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3.xml" ContentType="application/vnd.openxmlformats-officedocument.wordprocessingml.header+xml"/>
  <Override PartName="/word/header5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BF7E" w14:textId="5885AB74" w:rsidR="00580406" w:rsidRPr="007B4060" w:rsidRDefault="00580406" w:rsidP="00580406">
      <w:pPr>
        <w:spacing w:before="2400"/>
        <w:jc w:val="center"/>
        <w:rPr>
          <w:rFonts w:ascii="Calibri" w:hAnsi="Calibri"/>
          <w:b/>
          <w:sz w:val="56"/>
          <w:szCs w:val="48"/>
        </w:rPr>
      </w:pPr>
      <w:r w:rsidRPr="007B4060">
        <w:rPr>
          <w:rFonts w:ascii="Calibri" w:hAnsi="Calibri"/>
          <w:b/>
          <w:sz w:val="56"/>
          <w:szCs w:val="48"/>
        </w:rPr>
        <w:t>Financial Report</w:t>
      </w:r>
    </w:p>
    <w:p w14:paraId="311EF853" w14:textId="77777777" w:rsidR="00580406" w:rsidRPr="003A0092" w:rsidRDefault="00580406" w:rsidP="00580406">
      <w:pPr>
        <w:pBdr>
          <w:bottom w:val="single" w:sz="12" w:space="1" w:color="auto"/>
        </w:pBdr>
        <w:jc w:val="center"/>
        <w:rPr>
          <w:rFonts w:ascii="Calibri" w:hAnsi="Calibri"/>
          <w:b/>
          <w:sz w:val="40"/>
          <w:szCs w:val="40"/>
        </w:rPr>
      </w:pPr>
      <w:r w:rsidRPr="003A0092">
        <w:rPr>
          <w:rFonts w:ascii="Calibri" w:hAnsi="Calibri"/>
          <w:b/>
          <w:sz w:val="40"/>
          <w:szCs w:val="40"/>
        </w:rPr>
        <w:t>(</w:t>
      </w:r>
      <w:r>
        <w:rPr>
          <w:rFonts w:ascii="Calibri" w:hAnsi="Calibri"/>
          <w:b/>
          <w:sz w:val="40"/>
          <w:szCs w:val="40"/>
        </w:rPr>
        <w:t>I</w:t>
      </w:r>
      <w:r w:rsidRPr="003A0092">
        <w:rPr>
          <w:rFonts w:ascii="Calibri" w:hAnsi="Calibri"/>
          <w:b/>
          <w:sz w:val="40"/>
          <w:szCs w:val="40"/>
        </w:rPr>
        <w:t>ncorporating Quarterly Financial Report No. 4</w:t>
      </w:r>
      <w:r>
        <w:rPr>
          <w:rFonts w:ascii="Calibri" w:hAnsi="Calibri"/>
          <w:b/>
          <w:sz w:val="40"/>
          <w:szCs w:val="40"/>
        </w:rPr>
        <w:t>)</w:t>
      </w:r>
    </w:p>
    <w:p w14:paraId="0C2960CC" w14:textId="753E19A3" w:rsidR="00580406" w:rsidRPr="003A0092" w:rsidRDefault="00580406" w:rsidP="00580406">
      <w:pPr>
        <w:jc w:val="center"/>
        <w:rPr>
          <w:rFonts w:ascii="Calibri" w:hAnsi="Calibri"/>
          <w:b/>
          <w:sz w:val="56"/>
          <w:szCs w:val="48"/>
        </w:rPr>
      </w:pPr>
      <w:r w:rsidRPr="007B4060">
        <w:rPr>
          <w:rFonts w:ascii="Calibri" w:hAnsi="Calibri"/>
          <w:b/>
          <w:sz w:val="56"/>
          <w:szCs w:val="48"/>
        </w:rPr>
        <w:t>20</w:t>
      </w:r>
      <w:r>
        <w:rPr>
          <w:rFonts w:ascii="Calibri" w:hAnsi="Calibri"/>
          <w:b/>
          <w:sz w:val="56"/>
          <w:szCs w:val="48"/>
        </w:rPr>
        <w:t>2</w:t>
      </w:r>
      <w:r w:rsidR="005E12B0">
        <w:rPr>
          <w:rFonts w:ascii="Calibri" w:hAnsi="Calibri"/>
          <w:b/>
          <w:sz w:val="56"/>
          <w:szCs w:val="48"/>
        </w:rPr>
        <w:t>4</w:t>
      </w:r>
      <w:r>
        <w:rPr>
          <w:rFonts w:ascii="Calibri" w:hAnsi="Calibri"/>
          <w:b/>
          <w:sz w:val="56"/>
          <w:szCs w:val="48"/>
        </w:rPr>
        <w:t>-2</w:t>
      </w:r>
      <w:r w:rsidR="005E12B0">
        <w:rPr>
          <w:rFonts w:ascii="Calibri" w:hAnsi="Calibri"/>
          <w:b/>
          <w:sz w:val="56"/>
          <w:szCs w:val="48"/>
        </w:rPr>
        <w:t>5</w:t>
      </w:r>
    </w:p>
    <w:p w14:paraId="2A732104" w14:textId="77777777" w:rsidR="00580406" w:rsidRPr="007B4060" w:rsidRDefault="00580406" w:rsidP="00580406">
      <w:pPr>
        <w:jc w:val="center"/>
        <w:rPr>
          <w:rFonts w:ascii="Calibri" w:hAnsi="Calibri"/>
          <w:b/>
          <w:szCs w:val="24"/>
        </w:rPr>
      </w:pPr>
    </w:p>
    <w:p w14:paraId="1DC6650E" w14:textId="77777777" w:rsidR="00580406" w:rsidRPr="007B4060" w:rsidRDefault="00580406" w:rsidP="00580406">
      <w:pPr>
        <w:jc w:val="center"/>
        <w:rPr>
          <w:rFonts w:ascii="Calibri" w:hAnsi="Calibri"/>
          <w:szCs w:val="24"/>
        </w:rPr>
      </w:pPr>
      <w:r>
        <w:rPr>
          <w:noProof/>
          <w:lang w:eastAsia="en-AU"/>
        </w:rPr>
        <w:drawing>
          <wp:inline distT="0" distB="0" distL="0" distR="0" wp14:anchorId="5C01739E" wp14:editId="3EBD49F8">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5F1F9251" w14:textId="77777777" w:rsidR="00580406" w:rsidRPr="007B4060" w:rsidRDefault="00580406" w:rsidP="00580406">
      <w:pPr>
        <w:jc w:val="center"/>
        <w:rPr>
          <w:rFonts w:ascii="Calibri" w:hAnsi="Calibri"/>
        </w:rPr>
      </w:pPr>
    </w:p>
    <w:p w14:paraId="593D0B29" w14:textId="77777777" w:rsidR="00580406" w:rsidRPr="007B4060" w:rsidRDefault="00580406" w:rsidP="00580406">
      <w:pPr>
        <w:jc w:val="center"/>
        <w:rPr>
          <w:rFonts w:ascii="Calibri" w:hAnsi="Calibri"/>
        </w:rPr>
      </w:pPr>
    </w:p>
    <w:p w14:paraId="15E206A7" w14:textId="77777777" w:rsidR="00580406" w:rsidRPr="007B4060" w:rsidRDefault="00580406" w:rsidP="00580406">
      <w:pPr>
        <w:jc w:val="center"/>
        <w:rPr>
          <w:rFonts w:ascii="Calibri" w:hAnsi="Calibri"/>
        </w:rPr>
      </w:pPr>
    </w:p>
    <w:p w14:paraId="1B25F795" w14:textId="77777777" w:rsidR="00580406" w:rsidRPr="007B4060" w:rsidRDefault="00580406" w:rsidP="00580406">
      <w:pPr>
        <w:jc w:val="center"/>
        <w:rPr>
          <w:rFonts w:ascii="Calibri" w:hAnsi="Calibri"/>
          <w:sz w:val="28"/>
          <w:szCs w:val="28"/>
        </w:rPr>
      </w:pPr>
      <w:r w:rsidRPr="007B4060">
        <w:rPr>
          <w:rFonts w:ascii="Calibri" w:hAnsi="Calibri"/>
          <w:sz w:val="28"/>
          <w:szCs w:val="28"/>
        </w:rPr>
        <w:t>Presented by</w:t>
      </w:r>
    </w:p>
    <w:p w14:paraId="1A97CA7A" w14:textId="265A97E2" w:rsidR="00580406" w:rsidRPr="007B4060" w:rsidRDefault="000B3099" w:rsidP="00580406">
      <w:pPr>
        <w:jc w:val="center"/>
        <w:rPr>
          <w:rFonts w:ascii="Calibri" w:hAnsi="Calibri"/>
          <w:b/>
          <w:sz w:val="48"/>
          <w:szCs w:val="40"/>
        </w:rPr>
      </w:pPr>
      <w:r>
        <w:rPr>
          <w:rFonts w:ascii="Calibri" w:hAnsi="Calibri"/>
          <w:b/>
          <w:sz w:val="48"/>
          <w:szCs w:val="40"/>
        </w:rPr>
        <w:t>Ja</w:t>
      </w:r>
      <w:r w:rsidR="001049B2">
        <w:rPr>
          <w:rFonts w:ascii="Calibri" w:hAnsi="Calibri"/>
          <w:b/>
          <w:sz w:val="48"/>
          <w:szCs w:val="40"/>
        </w:rPr>
        <w:t>clyn Symes</w:t>
      </w:r>
      <w:r w:rsidR="00580406">
        <w:rPr>
          <w:rFonts w:ascii="Calibri" w:hAnsi="Calibri"/>
          <w:b/>
          <w:sz w:val="48"/>
          <w:szCs w:val="40"/>
        </w:rPr>
        <w:t xml:space="preserve"> MP</w:t>
      </w:r>
    </w:p>
    <w:p w14:paraId="4C3F5867" w14:textId="77777777" w:rsidR="00580406" w:rsidRPr="007B4060" w:rsidRDefault="00580406" w:rsidP="00580406">
      <w:pPr>
        <w:jc w:val="center"/>
        <w:rPr>
          <w:rFonts w:ascii="Calibri" w:hAnsi="Calibri"/>
          <w:sz w:val="36"/>
          <w:szCs w:val="32"/>
        </w:rPr>
      </w:pPr>
      <w:r w:rsidRPr="007B4060">
        <w:rPr>
          <w:rFonts w:ascii="Calibri" w:hAnsi="Calibri"/>
          <w:sz w:val="36"/>
          <w:szCs w:val="32"/>
        </w:rPr>
        <w:t>Treasurer of the State of Victoria</w:t>
      </w:r>
    </w:p>
    <w:p w14:paraId="352F3618" w14:textId="77777777" w:rsidR="00580406" w:rsidRPr="007B4060" w:rsidRDefault="00580406" w:rsidP="00580406">
      <w:pPr>
        <w:jc w:val="center"/>
        <w:rPr>
          <w:rFonts w:ascii="Calibri" w:hAnsi="Calibri"/>
          <w:sz w:val="32"/>
          <w:szCs w:val="32"/>
        </w:rPr>
      </w:pPr>
      <w:r w:rsidRPr="007B4060">
        <w:rPr>
          <w:rFonts w:ascii="Calibri" w:hAnsi="Calibri"/>
          <w:sz w:val="32"/>
          <w:szCs w:val="32"/>
        </w:rPr>
        <w:t>for the information of Honourable Members</w:t>
      </w:r>
    </w:p>
    <w:p w14:paraId="6F3B05EA" w14:textId="77777777" w:rsidR="00580406" w:rsidRPr="007B4060" w:rsidRDefault="00580406" w:rsidP="00580406">
      <w:pPr>
        <w:jc w:val="center"/>
        <w:rPr>
          <w:rFonts w:ascii="Calibri" w:hAnsi="Calibri"/>
        </w:rPr>
      </w:pPr>
      <w:r w:rsidRPr="007B4060">
        <w:rPr>
          <w:rFonts w:ascii="Calibri" w:hAnsi="Calibri"/>
        </w:rPr>
        <w:t>_______________________</w:t>
      </w:r>
    </w:p>
    <w:p w14:paraId="465EE1FC" w14:textId="77777777" w:rsidR="00580406" w:rsidRPr="007B4060" w:rsidRDefault="00580406" w:rsidP="00580406">
      <w:pPr>
        <w:jc w:val="center"/>
        <w:rPr>
          <w:rFonts w:ascii="Calibri" w:hAnsi="Calibri"/>
        </w:rPr>
      </w:pPr>
    </w:p>
    <w:p w14:paraId="411063AD" w14:textId="77777777" w:rsidR="00580406" w:rsidRPr="007B4060" w:rsidRDefault="00580406" w:rsidP="00580406">
      <w:pPr>
        <w:jc w:val="center"/>
        <w:rPr>
          <w:rFonts w:ascii="Calibri" w:hAnsi="Calibri"/>
        </w:rPr>
      </w:pPr>
      <w:r w:rsidRPr="007B4060">
        <w:rPr>
          <w:rFonts w:ascii="Calibri" w:hAnsi="Calibri"/>
        </w:rPr>
        <w:t>Ordered to be printed</w:t>
      </w:r>
    </w:p>
    <w:p w14:paraId="2CCCC99A" w14:textId="77777777" w:rsidR="00580406" w:rsidRPr="007B4060" w:rsidRDefault="00580406" w:rsidP="00580406">
      <w:pPr>
        <w:jc w:val="center"/>
        <w:rPr>
          <w:rFonts w:ascii="Calibri" w:hAnsi="Calibri"/>
        </w:rPr>
      </w:pPr>
      <w:r w:rsidRPr="007B4060">
        <w:rPr>
          <w:rFonts w:ascii="Calibri" w:hAnsi="Calibri"/>
        </w:rPr>
        <w:t>_______________________</w:t>
      </w:r>
    </w:p>
    <w:p w14:paraId="475EE60C" w14:textId="77777777" w:rsidR="00580406" w:rsidRPr="007B4060" w:rsidRDefault="00580406" w:rsidP="00580406">
      <w:pPr>
        <w:jc w:val="center"/>
        <w:rPr>
          <w:rFonts w:ascii="Calibri" w:hAnsi="Calibri"/>
        </w:rPr>
      </w:pPr>
    </w:p>
    <w:p w14:paraId="1EAC30AE" w14:textId="77777777" w:rsidR="00580406" w:rsidRDefault="00580406" w:rsidP="00580406">
      <w:pPr>
        <w:jc w:val="center"/>
      </w:pPr>
    </w:p>
    <w:p w14:paraId="4ED44047" w14:textId="77777777" w:rsidR="00580406" w:rsidRDefault="00580406" w:rsidP="00580406">
      <w:pPr>
        <w:jc w:val="center"/>
      </w:pPr>
    </w:p>
    <w:p w14:paraId="3FB2BF0E" w14:textId="77777777" w:rsidR="00580406" w:rsidRDefault="00580406" w:rsidP="00580406">
      <w:pPr>
        <w:keepLines w:val="0"/>
      </w:pPr>
    </w:p>
    <w:p w14:paraId="47585F11" w14:textId="77777777" w:rsidR="00580406" w:rsidRPr="00A20CD2" w:rsidRDefault="00580406" w:rsidP="00580406">
      <w:pPr>
        <w:rPr>
          <w:rFonts w:asciiTheme="majorHAnsi" w:hAnsiTheme="majorHAnsi" w:cstheme="majorHAnsi"/>
          <w:sz w:val="24"/>
          <w:szCs w:val="24"/>
        </w:rPr>
      </w:pPr>
      <w:r w:rsidRPr="00A20CD2">
        <w:rPr>
          <w:rFonts w:asciiTheme="majorHAnsi" w:hAnsiTheme="majorHAnsi" w:cstheme="majorHAnsi"/>
          <w:sz w:val="24"/>
          <w:szCs w:val="24"/>
        </w:rPr>
        <w:t xml:space="preserve">Published by order, or under the authority, of the Parliament of Victoria </w:t>
      </w:r>
    </w:p>
    <w:p w14:paraId="5020B2D9" w14:textId="77777777" w:rsidR="009B539A" w:rsidRDefault="002100E3" w:rsidP="009B539A">
      <w:pPr>
        <w:rPr>
          <w:rFonts w:asciiTheme="majorHAnsi" w:hAnsiTheme="majorHAnsi" w:cstheme="majorHAnsi"/>
          <w:sz w:val="24"/>
          <w:szCs w:val="24"/>
        </w:rPr>
      </w:pPr>
      <w:r>
        <w:rPr>
          <w:rFonts w:asciiTheme="majorHAnsi" w:hAnsiTheme="majorHAnsi" w:cstheme="majorHAnsi"/>
          <w:sz w:val="24"/>
          <w:szCs w:val="24"/>
        </w:rPr>
        <w:t>October</w:t>
      </w:r>
      <w:r w:rsidR="00580406">
        <w:rPr>
          <w:rFonts w:asciiTheme="majorHAnsi" w:hAnsiTheme="majorHAnsi" w:cstheme="majorHAnsi"/>
          <w:sz w:val="24"/>
          <w:szCs w:val="24"/>
        </w:rPr>
        <w:t xml:space="preserve"> 202</w:t>
      </w:r>
      <w:r w:rsidR="005E12B0">
        <w:rPr>
          <w:rFonts w:asciiTheme="majorHAnsi" w:hAnsiTheme="majorHAnsi" w:cstheme="majorHAnsi"/>
          <w:sz w:val="24"/>
          <w:szCs w:val="24"/>
        </w:rPr>
        <w:t>5</w:t>
      </w:r>
    </w:p>
    <w:p w14:paraId="1E65130A" w14:textId="1056F46F" w:rsidR="009B539A" w:rsidRDefault="009B539A" w:rsidP="009B539A">
      <w:pPr>
        <w:rPr>
          <w:rFonts w:asciiTheme="majorHAnsi" w:hAnsiTheme="majorHAnsi" w:cstheme="majorHAnsi"/>
          <w:sz w:val="24"/>
          <w:szCs w:val="24"/>
        </w:rPr>
        <w:sectPr w:rsidR="009B539A" w:rsidSect="009B539A">
          <w:headerReference w:type="even" r:id="rId16"/>
          <w:headerReference w:type="default" r:id="rId17"/>
          <w:headerReference w:type="first" r:id="rId18"/>
          <w:footerReference w:type="first" r:id="rId19"/>
          <w:pgSz w:w="11906" w:h="16838" w:code="9"/>
          <w:pgMar w:top="1134" w:right="1134" w:bottom="1134" w:left="1134" w:header="624" w:footer="567" w:gutter="0"/>
          <w:cols w:space="708"/>
          <w:docGrid w:linePitch="360"/>
        </w:sectPr>
      </w:pPr>
    </w:p>
    <w:p w14:paraId="26981610" w14:textId="77777777" w:rsidR="009B539A" w:rsidRPr="00E218A5" w:rsidRDefault="009B539A" w:rsidP="009B539A">
      <w:pPr>
        <w:spacing w:before="0"/>
        <w:rPr>
          <w:rFonts w:asciiTheme="majorHAnsi" w:hAnsiTheme="majorHAnsi" w:cstheme="majorHAnsi"/>
          <w:b/>
          <w:bCs/>
          <w:sz w:val="28"/>
          <w:szCs w:val="28"/>
        </w:rPr>
      </w:pPr>
      <w:r w:rsidRPr="00E218A5">
        <w:rPr>
          <w:rFonts w:asciiTheme="majorHAnsi" w:hAnsiTheme="majorHAnsi" w:cstheme="majorHAnsi"/>
          <w:b/>
          <w:bCs/>
          <w:sz w:val="28"/>
          <w:szCs w:val="28"/>
        </w:rPr>
        <w:lastRenderedPageBreak/>
        <w:t>ACKNOWLEDGEMENT OF COUNTRY</w:t>
      </w:r>
    </w:p>
    <w:p w14:paraId="33933CD4" w14:textId="0E4DA1FC" w:rsidR="009B539A" w:rsidRPr="00E218A5" w:rsidRDefault="009B539A" w:rsidP="009B539A">
      <w:pPr>
        <w:spacing w:before="240"/>
        <w:rPr>
          <w:rFonts w:asciiTheme="majorHAnsi" w:hAnsiTheme="majorHAnsi" w:cstheme="majorHAnsi"/>
        </w:rPr>
      </w:pPr>
      <w:r w:rsidRPr="00E218A5">
        <w:rPr>
          <w:rFonts w:asciiTheme="majorHAnsi" w:hAnsiTheme="majorHAnsi" w:cstheme="majorHAnsi"/>
        </w:rPr>
        <w:t>The Victorian Department of Treasury and Finance acknowledges that Aboriginal and Torres Strait Islander peoples are the First Peoples and Traditional Custodians of Australia, and the oldest continuing culture in human history. We proudly acknowledge Victoria</w:t>
      </w:r>
      <w:r w:rsidR="00845934">
        <w:rPr>
          <w:rFonts w:asciiTheme="majorHAnsi" w:hAnsiTheme="majorHAnsi" w:cstheme="majorHAnsi"/>
        </w:rPr>
        <w:t>’</w:t>
      </w:r>
      <w:r w:rsidRPr="00E218A5">
        <w:rPr>
          <w:rFonts w:asciiTheme="majorHAnsi" w:hAnsiTheme="majorHAnsi" w:cstheme="majorHAnsi"/>
        </w:rPr>
        <w:t xml:space="preserve">s Aboriginal communities and recognise the value and ongoing contribution of Aboriginal people and communities to Victorian life. We pay our respect to Elders past and present and emerging. </w:t>
      </w:r>
    </w:p>
    <w:p w14:paraId="329162C3" w14:textId="77777777" w:rsidR="009B539A" w:rsidRDefault="009B539A" w:rsidP="009B539A">
      <w:pPr>
        <w:spacing w:before="180"/>
        <w:rPr>
          <w:rFonts w:asciiTheme="majorHAnsi" w:hAnsiTheme="majorHAnsi" w:cstheme="majorHAnsi"/>
        </w:rPr>
      </w:pPr>
      <w:r w:rsidRPr="00E218A5">
        <w:rPr>
          <w:rFonts w:asciiTheme="majorHAnsi" w:hAnsiTheme="majorHAnsi" w:cstheme="majorHAnsi"/>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0E86B333" w14:textId="77777777" w:rsidR="009B539A" w:rsidRDefault="009B539A" w:rsidP="009B539A">
      <w:pPr>
        <w:spacing w:before="180"/>
        <w:rPr>
          <w:rFonts w:asciiTheme="majorHAnsi" w:hAnsiTheme="majorHAnsi" w:cstheme="majorHAnsi"/>
        </w:rPr>
      </w:pPr>
    </w:p>
    <w:p w14:paraId="609575A1" w14:textId="77777777" w:rsidR="009B539A" w:rsidRDefault="009B539A" w:rsidP="009B539A">
      <w:pPr>
        <w:spacing w:before="180"/>
        <w:rPr>
          <w:rFonts w:asciiTheme="majorHAnsi" w:hAnsiTheme="majorHAnsi" w:cstheme="majorHAnsi"/>
        </w:rPr>
      </w:pPr>
    </w:p>
    <w:p w14:paraId="60CE93FA" w14:textId="77777777" w:rsidR="009B539A" w:rsidRDefault="009B539A" w:rsidP="009B539A">
      <w:pPr>
        <w:spacing w:before="180"/>
        <w:rPr>
          <w:rFonts w:asciiTheme="majorHAnsi" w:hAnsiTheme="majorHAnsi" w:cstheme="majorHAnsi"/>
        </w:rPr>
      </w:pPr>
    </w:p>
    <w:p w14:paraId="700FCCA3" w14:textId="77777777" w:rsidR="009B539A" w:rsidRPr="00E218A5" w:rsidRDefault="009B539A" w:rsidP="009B539A">
      <w:pPr>
        <w:spacing w:before="180"/>
        <w:rPr>
          <w:rFonts w:asciiTheme="majorHAnsi" w:hAnsiTheme="majorHAnsi" w:cstheme="majorHAnsi"/>
        </w:rPr>
      </w:pPr>
    </w:p>
    <w:p w14:paraId="292A7BDB" w14:textId="77777777" w:rsidR="009B539A" w:rsidRDefault="009B539A" w:rsidP="009B539A">
      <w:pPr>
        <w:spacing w:before="480"/>
        <w:jc w:val="center"/>
        <w:rPr>
          <w:rFonts w:asciiTheme="majorHAnsi" w:hAnsiTheme="majorHAnsi" w:cstheme="majorHAnsi"/>
        </w:rPr>
      </w:pPr>
      <w:r w:rsidRPr="00E218A5">
        <w:rPr>
          <w:rFonts w:asciiTheme="majorHAnsi" w:hAnsiTheme="majorHAnsi" w:cstheme="majorHAnsi"/>
        </w:rPr>
        <w:br w:type="column"/>
      </w:r>
    </w:p>
    <w:p w14:paraId="5DDE5719" w14:textId="77777777" w:rsidR="009B539A" w:rsidRPr="00E218A5" w:rsidRDefault="009B539A" w:rsidP="009B539A">
      <w:pPr>
        <w:spacing w:before="400"/>
        <w:jc w:val="center"/>
        <w:rPr>
          <w:rFonts w:asciiTheme="majorHAnsi" w:hAnsiTheme="majorHAnsi" w:cstheme="majorHAnsi"/>
        </w:rPr>
      </w:pPr>
      <w:r w:rsidRPr="00E218A5">
        <w:rPr>
          <w:rFonts w:asciiTheme="majorHAnsi" w:hAnsiTheme="majorHAnsi" w:cstheme="majorHAnsi"/>
          <w:noProof/>
          <w:sz w:val="19"/>
          <w:szCs w:val="19"/>
        </w:rPr>
        <w:drawing>
          <wp:inline distT="0" distB="0" distL="0" distR="0" wp14:anchorId="4455F060" wp14:editId="2FF36E83">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20"/>
                    <a:stretch>
                      <a:fillRect/>
                    </a:stretch>
                  </pic:blipFill>
                  <pic:spPr>
                    <a:xfrm>
                      <a:off x="0" y="0"/>
                      <a:ext cx="2247626" cy="2144968"/>
                    </a:xfrm>
                    <a:prstGeom prst="rect">
                      <a:avLst/>
                    </a:prstGeom>
                  </pic:spPr>
                </pic:pic>
              </a:graphicData>
            </a:graphic>
          </wp:inline>
        </w:drawing>
      </w:r>
    </w:p>
    <w:p w14:paraId="35C0526B" w14:textId="77777777" w:rsidR="009B539A" w:rsidRPr="00E218A5" w:rsidRDefault="009B539A" w:rsidP="009B539A">
      <w:pPr>
        <w:spacing w:before="0"/>
        <w:rPr>
          <w:rFonts w:asciiTheme="majorHAnsi" w:hAnsiTheme="majorHAnsi" w:cstheme="majorHAnsi"/>
        </w:rPr>
      </w:pPr>
    </w:p>
    <w:p w14:paraId="2E26A1C6" w14:textId="5E73AA0F" w:rsidR="009B539A" w:rsidRPr="00E218A5" w:rsidRDefault="00845934" w:rsidP="009B539A">
      <w:pPr>
        <w:ind w:left="-180" w:right="-98"/>
        <w:jc w:val="center"/>
        <w:rPr>
          <w:rFonts w:asciiTheme="majorHAnsi" w:hAnsiTheme="majorHAnsi" w:cstheme="majorHAnsi"/>
          <w:i/>
          <w:iCs/>
        </w:rPr>
      </w:pPr>
      <w:r>
        <w:rPr>
          <w:rFonts w:asciiTheme="majorHAnsi" w:hAnsiTheme="majorHAnsi" w:cstheme="majorHAnsi"/>
          <w:i/>
          <w:iCs/>
        </w:rPr>
        <w:t>‘</w:t>
      </w:r>
      <w:r w:rsidR="009B539A" w:rsidRPr="00E218A5">
        <w:rPr>
          <w:rFonts w:asciiTheme="majorHAnsi" w:hAnsiTheme="majorHAnsi" w:cstheme="majorHAnsi"/>
          <w:i/>
          <w:iCs/>
        </w:rPr>
        <w:t>lim-ba nindee thana warn-ga-ilee</w:t>
      </w:r>
      <w:r>
        <w:rPr>
          <w:rFonts w:asciiTheme="majorHAnsi" w:hAnsiTheme="majorHAnsi" w:cstheme="majorHAnsi"/>
          <w:i/>
          <w:iCs/>
        </w:rPr>
        <w:t>’</w:t>
      </w:r>
      <w:r w:rsidR="009B539A" w:rsidRPr="00E218A5">
        <w:rPr>
          <w:rFonts w:asciiTheme="majorHAnsi" w:hAnsiTheme="majorHAnsi" w:cstheme="majorHAnsi"/>
          <w:i/>
          <w:iCs/>
        </w:rPr>
        <w:t xml:space="preserve"> </w:t>
      </w:r>
      <w:r w:rsidR="009B539A" w:rsidRPr="00E218A5">
        <w:rPr>
          <w:rFonts w:asciiTheme="majorHAnsi" w:hAnsiTheme="majorHAnsi" w:cstheme="majorHAnsi"/>
          <w:i/>
          <w:iCs/>
        </w:rPr>
        <w:br/>
        <w:t>(Preserve our Dreaming Lore) – Gunnai Language</w:t>
      </w:r>
    </w:p>
    <w:p w14:paraId="1B18E6AC" w14:textId="77777777" w:rsidR="009B539A" w:rsidRPr="00E218A5" w:rsidRDefault="009B539A" w:rsidP="009B539A">
      <w:pPr>
        <w:ind w:left="-180" w:right="-98"/>
        <w:jc w:val="center"/>
        <w:rPr>
          <w:rFonts w:asciiTheme="majorHAnsi" w:hAnsiTheme="majorHAnsi" w:cstheme="majorHAnsi"/>
          <w:i/>
          <w:iCs/>
        </w:rPr>
      </w:pPr>
      <w:r w:rsidRPr="00E218A5">
        <w:rPr>
          <w:rFonts w:asciiTheme="majorHAnsi" w:hAnsiTheme="majorHAnsi" w:cstheme="majorHAnsi"/>
          <w:i/>
          <w:iCs/>
        </w:rPr>
        <w:t xml:space="preserve">Bitja (Dixon Patten Jnr) Yorta Yorta, Gunnai, </w:t>
      </w:r>
      <w:r w:rsidRPr="00E218A5">
        <w:rPr>
          <w:rFonts w:asciiTheme="majorHAnsi" w:hAnsiTheme="majorHAnsi" w:cstheme="majorHAnsi"/>
          <w:i/>
          <w:iCs/>
        </w:rPr>
        <w:br/>
        <w:t>Gunditjmara and Dhudhuroa of Bayila Creative</w:t>
      </w:r>
    </w:p>
    <w:p w14:paraId="255621BD" w14:textId="77777777" w:rsidR="009B539A" w:rsidRPr="00E218A5" w:rsidRDefault="009B539A" w:rsidP="009B539A">
      <w:pPr>
        <w:spacing w:before="0"/>
        <w:rPr>
          <w:rFonts w:asciiTheme="majorHAnsi" w:hAnsiTheme="majorHAnsi" w:cstheme="majorHAnsi"/>
        </w:rPr>
      </w:pPr>
    </w:p>
    <w:p w14:paraId="74590D8C" w14:textId="77777777" w:rsidR="009B539A" w:rsidRPr="00E218A5" w:rsidRDefault="009B539A" w:rsidP="009B539A">
      <w:pPr>
        <w:spacing w:before="0"/>
        <w:rPr>
          <w:rFonts w:asciiTheme="majorHAnsi" w:hAnsiTheme="majorHAnsi" w:cstheme="majorHAnsi"/>
        </w:rPr>
        <w:sectPr w:rsidR="009B539A" w:rsidRPr="00E218A5" w:rsidSect="009B539A">
          <w:pgSz w:w="11906" w:h="16838" w:code="9"/>
          <w:pgMar w:top="1134" w:right="1134" w:bottom="1134" w:left="1134" w:header="624" w:footer="567" w:gutter="0"/>
          <w:cols w:num="2" w:space="708"/>
          <w:docGrid w:linePitch="360"/>
        </w:sectPr>
      </w:pPr>
    </w:p>
    <w:p w14:paraId="1769B56A"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The Secretary</w:t>
      </w:r>
    </w:p>
    <w:p w14:paraId="4D61593B"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Department of Treasury and Finance</w:t>
      </w:r>
    </w:p>
    <w:p w14:paraId="2AA90F57"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1 Treasury Place</w:t>
      </w:r>
    </w:p>
    <w:p w14:paraId="32BE4D74"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Melbourne, Victoria, 3002</w:t>
      </w:r>
    </w:p>
    <w:p w14:paraId="49AE349B"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Australia</w:t>
      </w:r>
    </w:p>
    <w:p w14:paraId="3B24F381"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Tel: (03) 9651 5111</w:t>
      </w:r>
    </w:p>
    <w:p w14:paraId="139E637F"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Website: dtf.vic.gov.au</w:t>
      </w:r>
    </w:p>
    <w:p w14:paraId="3E5BCB7D"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Authorised by the Victorian Government</w:t>
      </w:r>
    </w:p>
    <w:p w14:paraId="629A57C5" w14:textId="77777777" w:rsidR="009B539A" w:rsidRPr="00E218A5" w:rsidRDefault="009B539A" w:rsidP="009B539A">
      <w:pPr>
        <w:spacing w:before="0"/>
        <w:rPr>
          <w:rFonts w:asciiTheme="majorHAnsi" w:hAnsiTheme="majorHAnsi" w:cstheme="majorHAnsi"/>
        </w:rPr>
      </w:pPr>
      <w:r w:rsidRPr="00E218A5">
        <w:rPr>
          <w:rFonts w:asciiTheme="majorHAnsi" w:hAnsiTheme="majorHAnsi" w:cstheme="majorHAnsi"/>
        </w:rPr>
        <w:t>1 Treasury Place, Melbourne, 3002</w:t>
      </w:r>
    </w:p>
    <w:p w14:paraId="562606D8" w14:textId="63F271F6" w:rsidR="009B539A" w:rsidRPr="00E218A5" w:rsidRDefault="009B539A" w:rsidP="009B539A">
      <w:pPr>
        <w:rPr>
          <w:rFonts w:asciiTheme="majorHAnsi" w:hAnsiTheme="majorHAnsi" w:cstheme="majorHAnsi"/>
        </w:rPr>
      </w:pPr>
      <w:r w:rsidRPr="00E218A5">
        <w:rPr>
          <w:rFonts w:asciiTheme="majorHAnsi" w:hAnsiTheme="majorHAnsi" w:cstheme="majorHAnsi"/>
        </w:rPr>
        <w:t xml:space="preserve">Printed by </w:t>
      </w:r>
      <w:r w:rsidR="00BA5A49">
        <w:rPr>
          <w:rFonts w:asciiTheme="majorHAnsi" w:hAnsiTheme="majorHAnsi" w:cstheme="majorHAnsi"/>
        </w:rPr>
        <w:t xml:space="preserve">Valiant </w:t>
      </w:r>
      <w:r w:rsidRPr="00022643">
        <w:rPr>
          <w:rFonts w:asciiTheme="majorHAnsi" w:hAnsiTheme="majorHAnsi" w:cstheme="majorHAnsi"/>
        </w:rPr>
        <w:t xml:space="preserve">Doculink, </w:t>
      </w:r>
      <w:r w:rsidR="00BA5A49">
        <w:rPr>
          <w:rFonts w:asciiTheme="majorHAnsi" w:hAnsiTheme="majorHAnsi" w:cstheme="majorHAnsi"/>
        </w:rPr>
        <w:t>Mulgrave</w:t>
      </w:r>
    </w:p>
    <w:p w14:paraId="0BE163FD" w14:textId="5AAC5964" w:rsidR="009B539A" w:rsidRPr="00E218A5" w:rsidRDefault="009B539A" w:rsidP="009B539A">
      <w:pPr>
        <w:rPr>
          <w:rFonts w:asciiTheme="majorHAnsi" w:hAnsiTheme="majorHAnsi" w:cstheme="majorHAnsi"/>
        </w:rPr>
      </w:pPr>
      <w:r w:rsidRPr="00E218A5">
        <w:rPr>
          <w:rFonts w:asciiTheme="majorHAnsi" w:hAnsiTheme="majorHAnsi" w:cstheme="majorHAnsi"/>
        </w:rPr>
        <w:t>© State of Victoria 202</w:t>
      </w:r>
      <w:r w:rsidR="005E12B0">
        <w:rPr>
          <w:rFonts w:asciiTheme="majorHAnsi" w:hAnsiTheme="majorHAnsi" w:cstheme="majorHAnsi"/>
        </w:rPr>
        <w:t>5</w:t>
      </w:r>
    </w:p>
    <w:p w14:paraId="60C59A61"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br w:type="column"/>
      </w:r>
      <w:r w:rsidRPr="00E218A5">
        <w:rPr>
          <w:rFonts w:asciiTheme="majorHAnsi" w:hAnsiTheme="majorHAnsi" w:cstheme="majorHAnsi"/>
          <w:noProof/>
        </w:rPr>
        <w:drawing>
          <wp:inline distT="0" distB="0" distL="0" distR="0" wp14:anchorId="28E3770D" wp14:editId="395AF0EF">
            <wp:extent cx="1054100" cy="368300"/>
            <wp:effectExtent l="0" t="0" r="0" b="0"/>
            <wp:docPr id="8" name="Picture 8"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17C0614B" w14:textId="77777777" w:rsidR="009B539A" w:rsidRPr="00E218A5" w:rsidRDefault="009B539A" w:rsidP="009B539A">
      <w:pPr>
        <w:rPr>
          <w:rFonts w:asciiTheme="majorHAnsi" w:hAnsiTheme="majorHAnsi" w:cstheme="majorHAnsi"/>
        </w:rPr>
      </w:pPr>
      <w:r w:rsidRPr="00E218A5">
        <w:rPr>
          <w:rFonts w:asciiTheme="majorHAnsi" w:hAnsiTheme="majorHAnsi" w:cstheme="majorHAnsi"/>
          <w:lang w:val="en-US"/>
        </w:rPr>
        <w:t>You are free to re-use this work under a Creative Commons Attribution 4.0 International licence, provided you credit the State of Victoria (Department of Treasury and Finance) as author, indicate if changes were made and comply with the other licence terms. The licence does not apply to any branding (including Government logos), images, and material from third parties. Permission may be required for any re-use of third</w:t>
      </w:r>
      <w:r>
        <w:rPr>
          <w:rFonts w:asciiTheme="majorHAnsi" w:hAnsiTheme="majorHAnsi" w:cstheme="majorHAnsi"/>
          <w:lang w:val="en-US"/>
        </w:rPr>
        <w:t>-</w:t>
      </w:r>
      <w:r w:rsidRPr="00E218A5">
        <w:rPr>
          <w:rFonts w:asciiTheme="majorHAnsi" w:hAnsiTheme="majorHAnsi" w:cstheme="majorHAnsi"/>
          <w:lang w:val="en-US"/>
        </w:rPr>
        <w:t>party material protected by copyright.</w:t>
      </w:r>
    </w:p>
    <w:p w14:paraId="4A613CDB" w14:textId="6611CBF2" w:rsidR="009B539A" w:rsidRPr="00E218A5" w:rsidRDefault="009B539A" w:rsidP="009B539A">
      <w:pPr>
        <w:rPr>
          <w:rFonts w:asciiTheme="majorHAnsi" w:hAnsiTheme="majorHAnsi" w:cstheme="majorHAnsi"/>
        </w:rPr>
      </w:pPr>
      <w:r w:rsidRPr="00E218A5">
        <w:rPr>
          <w:rFonts w:asciiTheme="majorHAnsi" w:hAnsiTheme="majorHAnsi" w:cstheme="majorHAnsi"/>
        </w:rPr>
        <w:t>Copyright queries may be directed to</w:t>
      </w:r>
      <w:r w:rsidRPr="00E218A5">
        <w:rPr>
          <w:rFonts w:asciiTheme="majorHAnsi" w:hAnsiTheme="majorHAnsi" w:cstheme="majorHAnsi"/>
        </w:rPr>
        <w:br/>
      </w:r>
      <w:r w:rsidR="00532694">
        <w:rPr>
          <w:rFonts w:asciiTheme="majorHAnsi" w:hAnsiTheme="majorHAnsi" w:cstheme="majorHAnsi"/>
        </w:rPr>
        <w:t>information</w:t>
      </w:r>
      <w:r w:rsidRPr="00E218A5">
        <w:rPr>
          <w:rFonts w:asciiTheme="majorHAnsi" w:hAnsiTheme="majorHAnsi" w:cstheme="majorHAnsi"/>
        </w:rPr>
        <w:t>@dtf.vic.gov.au</w:t>
      </w:r>
    </w:p>
    <w:p w14:paraId="0F6889C2" w14:textId="77777777" w:rsidR="009B539A" w:rsidRPr="00E218A5" w:rsidRDefault="009B539A" w:rsidP="009B539A">
      <w:pPr>
        <w:rPr>
          <w:rFonts w:asciiTheme="majorHAnsi" w:hAnsiTheme="majorHAnsi" w:cstheme="majorHAnsi"/>
        </w:rPr>
      </w:pPr>
      <w:r w:rsidRPr="00E218A5">
        <w:rPr>
          <w:rFonts w:asciiTheme="majorHAnsi" w:hAnsiTheme="majorHAnsi" w:cstheme="majorHAnsi"/>
        </w:rPr>
        <w:t>ISSN 1443-1289 (print)</w:t>
      </w:r>
      <w:r w:rsidRPr="00E218A5">
        <w:rPr>
          <w:rFonts w:asciiTheme="majorHAnsi" w:hAnsiTheme="majorHAnsi" w:cstheme="majorHAnsi"/>
        </w:rPr>
        <w:br/>
        <w:t>ISSN 2204-7166 (online)</w:t>
      </w:r>
    </w:p>
    <w:p w14:paraId="3879960B" w14:textId="6D063643" w:rsidR="009B539A" w:rsidRPr="00580406" w:rsidRDefault="009B539A" w:rsidP="009B539A">
      <w:r w:rsidRPr="00E218A5">
        <w:rPr>
          <w:rFonts w:asciiTheme="majorHAnsi" w:hAnsiTheme="majorHAnsi" w:cstheme="majorHAnsi"/>
        </w:rPr>
        <w:t>Published October 202</w:t>
      </w:r>
      <w:r w:rsidR="005E12B0">
        <w:rPr>
          <w:rFonts w:asciiTheme="majorHAnsi" w:hAnsiTheme="majorHAnsi" w:cstheme="majorHAnsi"/>
        </w:rPr>
        <w:t>5</w:t>
      </w:r>
    </w:p>
    <w:p w14:paraId="2B7DF12C" w14:textId="77777777" w:rsidR="00580406" w:rsidRPr="00580406" w:rsidRDefault="00580406" w:rsidP="00580406">
      <w:pPr>
        <w:sectPr w:rsidR="00580406" w:rsidRPr="00580406" w:rsidSect="009B539A">
          <w:type w:val="continuous"/>
          <w:pgSz w:w="11906" w:h="16838" w:code="9"/>
          <w:pgMar w:top="1134" w:right="1134" w:bottom="1134" w:left="1134" w:header="624" w:footer="567" w:gutter="0"/>
          <w:cols w:num="2" w:space="708"/>
          <w:docGrid w:linePitch="360"/>
        </w:sectPr>
      </w:pPr>
    </w:p>
    <w:p w14:paraId="09D6D3C2" w14:textId="678E28D1" w:rsidR="00A20CD2" w:rsidRDefault="00A20CD2" w:rsidP="00C87E30">
      <w:pPr>
        <w:pStyle w:val="TOCHeading"/>
      </w:pPr>
      <w:r>
        <w:lastRenderedPageBreak/>
        <w:t>Table of content</w:t>
      </w:r>
      <w:r w:rsidR="00415575">
        <w:t>s</w:t>
      </w:r>
    </w:p>
    <w:p w14:paraId="631C66E7" w14:textId="43DBC336" w:rsidR="0054690B" w:rsidRDefault="00A20CD2">
      <w:pPr>
        <w:pStyle w:val="TOC1"/>
        <w:rPr>
          <w:rFonts w:asciiTheme="minorHAnsi" w:eastAsiaTheme="minorEastAsia" w:hAnsiTheme="minorHAnsi"/>
          <w:b w:val="0"/>
          <w:noProof/>
          <w:kern w:val="2"/>
          <w:sz w:val="24"/>
          <w:szCs w:val="24"/>
          <w:lang w:eastAsia="en-AU"/>
          <w14:ligatures w14:val="standardContextual"/>
        </w:rPr>
      </w:pPr>
      <w:r>
        <w:rPr>
          <w:rFonts w:ascii="Calibri" w:hAnsi="Calibri"/>
          <w:color w:val="2B579A"/>
          <w:spacing w:val="-2"/>
          <w:szCs w:val="19"/>
          <w:shd w:val="clear" w:color="auto" w:fill="E6E6E6"/>
        </w:rPr>
        <w:fldChar w:fldCharType="begin"/>
      </w:r>
      <w:r>
        <w:instrText xml:space="preserve"> TOC \h \z \t "</w:instrText>
      </w:r>
      <w:r w:rsidR="00D123D7">
        <w:instrText xml:space="preserve"> </w:instrText>
      </w:r>
      <w:r>
        <w:instrText xml:space="preserve">Chapter Heading,1" </w:instrText>
      </w:r>
      <w:r>
        <w:rPr>
          <w:rFonts w:ascii="Calibri" w:hAnsi="Calibri"/>
          <w:color w:val="2B579A"/>
          <w:spacing w:val="-2"/>
          <w:szCs w:val="19"/>
          <w:shd w:val="clear" w:color="auto" w:fill="E6E6E6"/>
        </w:rPr>
        <w:fldChar w:fldCharType="separate"/>
      </w:r>
      <w:hyperlink w:anchor="_Toc209474764" w:history="1">
        <w:r w:rsidR="0054690B" w:rsidRPr="000122B1">
          <w:rPr>
            <w:rStyle w:val="Hyperlink"/>
            <w:noProof/>
          </w:rPr>
          <w:t>Chapter 1 – Foreword</w:t>
        </w:r>
        <w:r w:rsidR="0054690B">
          <w:rPr>
            <w:noProof/>
            <w:webHidden/>
          </w:rPr>
          <w:tab/>
        </w:r>
        <w:r w:rsidR="0054690B">
          <w:rPr>
            <w:noProof/>
            <w:webHidden/>
          </w:rPr>
          <w:fldChar w:fldCharType="begin"/>
        </w:r>
        <w:r w:rsidR="0054690B">
          <w:rPr>
            <w:noProof/>
            <w:webHidden/>
          </w:rPr>
          <w:instrText xml:space="preserve"> PAGEREF _Toc209474764 \h </w:instrText>
        </w:r>
        <w:r w:rsidR="0054690B">
          <w:rPr>
            <w:noProof/>
            <w:webHidden/>
          </w:rPr>
        </w:r>
        <w:r w:rsidR="0054690B">
          <w:rPr>
            <w:noProof/>
            <w:webHidden/>
          </w:rPr>
          <w:fldChar w:fldCharType="separate"/>
        </w:r>
        <w:r w:rsidR="004A6B5C">
          <w:rPr>
            <w:noProof/>
            <w:webHidden/>
          </w:rPr>
          <w:t>1</w:t>
        </w:r>
        <w:r w:rsidR="0054690B">
          <w:rPr>
            <w:noProof/>
            <w:webHidden/>
          </w:rPr>
          <w:fldChar w:fldCharType="end"/>
        </w:r>
      </w:hyperlink>
    </w:p>
    <w:p w14:paraId="53A49B30" w14:textId="345958DA"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765" w:history="1">
        <w:r w:rsidRPr="000122B1">
          <w:rPr>
            <w:rStyle w:val="Hyperlink"/>
            <w:noProof/>
          </w:rPr>
          <w:t>Chapter 2 – General government sector outcome</w:t>
        </w:r>
        <w:r>
          <w:rPr>
            <w:noProof/>
            <w:webHidden/>
          </w:rPr>
          <w:tab/>
        </w:r>
        <w:r>
          <w:rPr>
            <w:noProof/>
            <w:webHidden/>
          </w:rPr>
          <w:fldChar w:fldCharType="begin"/>
        </w:r>
        <w:r>
          <w:rPr>
            <w:noProof/>
            <w:webHidden/>
          </w:rPr>
          <w:instrText xml:space="preserve"> PAGEREF _Toc209474765 \h </w:instrText>
        </w:r>
        <w:r>
          <w:rPr>
            <w:noProof/>
            <w:webHidden/>
          </w:rPr>
        </w:r>
        <w:r>
          <w:rPr>
            <w:noProof/>
            <w:webHidden/>
          </w:rPr>
          <w:fldChar w:fldCharType="separate"/>
        </w:r>
        <w:r w:rsidR="004A6B5C">
          <w:rPr>
            <w:noProof/>
            <w:webHidden/>
          </w:rPr>
          <w:t>5</w:t>
        </w:r>
        <w:r>
          <w:rPr>
            <w:noProof/>
            <w:webHidden/>
          </w:rPr>
          <w:fldChar w:fldCharType="end"/>
        </w:r>
      </w:hyperlink>
    </w:p>
    <w:p w14:paraId="6CE25029" w14:textId="7459B51A"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766" w:history="1">
        <w:r w:rsidRPr="000122B1">
          <w:rPr>
            <w:rStyle w:val="Hyperlink"/>
            <w:noProof/>
          </w:rPr>
          <w:t>Chapter 3 –</w:t>
        </w:r>
        <w:r w:rsidR="008823B9">
          <w:rPr>
            <w:rStyle w:val="Hyperlink"/>
            <w:noProof/>
          </w:rPr>
          <w:t xml:space="preserve"> </w:t>
        </w:r>
        <w:r w:rsidRPr="000122B1">
          <w:rPr>
            <w:rStyle w:val="Hyperlink"/>
            <w:noProof/>
          </w:rPr>
          <w:t>Broader public sector outcome</w:t>
        </w:r>
        <w:r>
          <w:rPr>
            <w:noProof/>
            <w:webHidden/>
          </w:rPr>
          <w:tab/>
        </w:r>
        <w:r>
          <w:rPr>
            <w:noProof/>
            <w:webHidden/>
          </w:rPr>
          <w:fldChar w:fldCharType="begin"/>
        </w:r>
        <w:r>
          <w:rPr>
            <w:noProof/>
            <w:webHidden/>
          </w:rPr>
          <w:instrText xml:space="preserve"> PAGEREF _Toc209474766 \h </w:instrText>
        </w:r>
        <w:r>
          <w:rPr>
            <w:noProof/>
            <w:webHidden/>
          </w:rPr>
        </w:r>
        <w:r>
          <w:rPr>
            <w:noProof/>
            <w:webHidden/>
          </w:rPr>
          <w:fldChar w:fldCharType="separate"/>
        </w:r>
        <w:r w:rsidR="004A6B5C">
          <w:rPr>
            <w:noProof/>
            <w:webHidden/>
          </w:rPr>
          <w:t>15</w:t>
        </w:r>
        <w:r>
          <w:rPr>
            <w:noProof/>
            <w:webHidden/>
          </w:rPr>
          <w:fldChar w:fldCharType="end"/>
        </w:r>
      </w:hyperlink>
    </w:p>
    <w:p w14:paraId="42AA450E" w14:textId="1214E2F4" w:rsidR="0054690B" w:rsidRDefault="0054690B" w:rsidP="0054690B">
      <w:pPr>
        <w:pStyle w:val="TOC1"/>
        <w:rPr>
          <w:noProof/>
        </w:rPr>
      </w:pPr>
      <w:hyperlink w:anchor="_Toc209474767" w:history="1">
        <w:r w:rsidRPr="000122B1">
          <w:rPr>
            <w:rStyle w:val="Hyperlink"/>
            <w:noProof/>
          </w:rPr>
          <w:t>Chapter 4 – Annual Financial Report</w:t>
        </w:r>
        <w:r>
          <w:rPr>
            <w:noProof/>
            <w:webHidden/>
          </w:rPr>
          <w:tab/>
        </w:r>
        <w:r>
          <w:rPr>
            <w:noProof/>
            <w:webHidden/>
          </w:rPr>
          <w:fldChar w:fldCharType="begin"/>
        </w:r>
        <w:r>
          <w:rPr>
            <w:noProof/>
            <w:webHidden/>
          </w:rPr>
          <w:instrText xml:space="preserve"> PAGEREF _Toc209474767 \h </w:instrText>
        </w:r>
        <w:r>
          <w:rPr>
            <w:noProof/>
            <w:webHidden/>
          </w:rPr>
        </w:r>
        <w:r>
          <w:rPr>
            <w:noProof/>
            <w:webHidden/>
          </w:rPr>
          <w:fldChar w:fldCharType="separate"/>
        </w:r>
        <w:r w:rsidR="004A6B5C">
          <w:rPr>
            <w:noProof/>
            <w:webHidden/>
          </w:rPr>
          <w:t>27</w:t>
        </w:r>
        <w:r>
          <w:rPr>
            <w:noProof/>
            <w:webHidden/>
          </w:rPr>
          <w:fldChar w:fldCharType="end"/>
        </w:r>
      </w:hyperlink>
      <w:r w:rsidR="00A20CD2">
        <w:rPr>
          <w:shd w:val="clear" w:color="auto" w:fill="E6E6E6"/>
          <w:lang w:val="en-US"/>
        </w:rPr>
        <w:fldChar w:fldCharType="end"/>
      </w:r>
      <w:r>
        <w:rPr>
          <w:rFonts w:ascii="Calibri" w:hAnsi="Calibri"/>
          <w:color w:val="2B579A"/>
          <w:spacing w:val="-2"/>
          <w:szCs w:val="19"/>
          <w:shd w:val="clear" w:color="auto" w:fill="E6E6E6"/>
        </w:rPr>
        <w:fldChar w:fldCharType="begin"/>
      </w:r>
      <w:r>
        <w:instrText xml:space="preserve"> TOC \h \z \t "Heading 1,2" \b Chapter4 </w:instrText>
      </w:r>
      <w:r>
        <w:rPr>
          <w:rFonts w:ascii="Calibri" w:hAnsi="Calibri"/>
          <w:color w:val="2B579A"/>
          <w:spacing w:val="-2"/>
          <w:szCs w:val="19"/>
          <w:shd w:val="clear" w:color="auto" w:fill="E6E6E6"/>
        </w:rPr>
        <w:fldChar w:fldCharType="separate"/>
      </w:r>
    </w:p>
    <w:p w14:paraId="2FC6A5CA" w14:textId="1D35E4CC"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77" w:history="1">
        <w:r w:rsidRPr="000F13B1">
          <w:rPr>
            <w:rStyle w:val="Hyperlink"/>
            <w:noProof/>
          </w:rPr>
          <w:t>1.</w:t>
        </w:r>
        <w:r>
          <w:rPr>
            <w:rFonts w:asciiTheme="minorHAnsi" w:eastAsiaTheme="minorEastAsia" w:hAnsiTheme="minorHAnsi"/>
            <w:noProof/>
            <w:kern w:val="2"/>
            <w:sz w:val="24"/>
            <w:szCs w:val="24"/>
            <w:lang w:eastAsia="en-AU"/>
            <w14:ligatures w14:val="standardContextual"/>
          </w:rPr>
          <w:tab/>
        </w:r>
        <w:r w:rsidRPr="000F13B1">
          <w:rPr>
            <w:rStyle w:val="Hyperlink"/>
            <w:noProof/>
          </w:rPr>
          <w:t>About this report</w:t>
        </w:r>
        <w:r>
          <w:rPr>
            <w:noProof/>
            <w:webHidden/>
          </w:rPr>
          <w:tab/>
        </w:r>
        <w:r>
          <w:rPr>
            <w:noProof/>
            <w:webHidden/>
          </w:rPr>
          <w:fldChar w:fldCharType="begin"/>
        </w:r>
        <w:r>
          <w:rPr>
            <w:noProof/>
            <w:webHidden/>
          </w:rPr>
          <w:instrText xml:space="preserve"> PAGEREF _Toc209474777 \h </w:instrText>
        </w:r>
        <w:r>
          <w:rPr>
            <w:noProof/>
            <w:webHidden/>
          </w:rPr>
        </w:r>
        <w:r>
          <w:rPr>
            <w:noProof/>
            <w:webHidden/>
          </w:rPr>
          <w:fldChar w:fldCharType="separate"/>
        </w:r>
        <w:r w:rsidR="00D352A1">
          <w:rPr>
            <w:noProof/>
            <w:webHidden/>
          </w:rPr>
          <w:t>43</w:t>
        </w:r>
        <w:r>
          <w:rPr>
            <w:noProof/>
            <w:webHidden/>
          </w:rPr>
          <w:fldChar w:fldCharType="end"/>
        </w:r>
      </w:hyperlink>
    </w:p>
    <w:p w14:paraId="72D2F10D" w14:textId="3F43CD0C"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78" w:history="1">
        <w:r w:rsidRPr="000F13B1">
          <w:rPr>
            <w:rStyle w:val="Hyperlink"/>
            <w:noProof/>
          </w:rPr>
          <w:t>2.</w:t>
        </w:r>
        <w:r>
          <w:rPr>
            <w:rFonts w:asciiTheme="minorHAnsi" w:eastAsiaTheme="minorEastAsia" w:hAnsiTheme="minorHAnsi"/>
            <w:noProof/>
            <w:kern w:val="2"/>
            <w:sz w:val="24"/>
            <w:szCs w:val="24"/>
            <w:lang w:eastAsia="en-AU"/>
            <w14:ligatures w14:val="standardContextual"/>
          </w:rPr>
          <w:tab/>
        </w:r>
        <w:r w:rsidRPr="000F13B1">
          <w:rPr>
            <w:rStyle w:val="Hyperlink"/>
            <w:noProof/>
          </w:rPr>
          <w:t>How funds are raised</w:t>
        </w:r>
        <w:r>
          <w:rPr>
            <w:noProof/>
            <w:webHidden/>
          </w:rPr>
          <w:tab/>
        </w:r>
        <w:r>
          <w:rPr>
            <w:noProof/>
            <w:webHidden/>
          </w:rPr>
          <w:fldChar w:fldCharType="begin"/>
        </w:r>
        <w:r>
          <w:rPr>
            <w:noProof/>
            <w:webHidden/>
          </w:rPr>
          <w:instrText xml:space="preserve"> PAGEREF _Toc209474778 \h </w:instrText>
        </w:r>
        <w:r>
          <w:rPr>
            <w:noProof/>
            <w:webHidden/>
          </w:rPr>
        </w:r>
        <w:r>
          <w:rPr>
            <w:noProof/>
            <w:webHidden/>
          </w:rPr>
          <w:fldChar w:fldCharType="separate"/>
        </w:r>
        <w:r w:rsidR="00D352A1">
          <w:rPr>
            <w:noProof/>
            <w:webHidden/>
          </w:rPr>
          <w:t>46</w:t>
        </w:r>
        <w:r>
          <w:rPr>
            <w:noProof/>
            <w:webHidden/>
          </w:rPr>
          <w:fldChar w:fldCharType="end"/>
        </w:r>
      </w:hyperlink>
    </w:p>
    <w:p w14:paraId="2176622E" w14:textId="47E22D3F"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79" w:history="1">
        <w:r w:rsidRPr="000F13B1">
          <w:rPr>
            <w:rStyle w:val="Hyperlink"/>
            <w:noProof/>
          </w:rPr>
          <w:t>3.</w:t>
        </w:r>
        <w:r>
          <w:rPr>
            <w:rFonts w:asciiTheme="minorHAnsi" w:eastAsiaTheme="minorEastAsia" w:hAnsiTheme="minorHAnsi"/>
            <w:noProof/>
            <w:kern w:val="2"/>
            <w:sz w:val="24"/>
            <w:szCs w:val="24"/>
            <w:lang w:eastAsia="en-AU"/>
            <w14:ligatures w14:val="standardContextual"/>
          </w:rPr>
          <w:tab/>
        </w:r>
        <w:r w:rsidRPr="000F13B1">
          <w:rPr>
            <w:rStyle w:val="Hyperlink"/>
            <w:noProof/>
          </w:rPr>
          <w:t>How funds are spent</w:t>
        </w:r>
        <w:r>
          <w:rPr>
            <w:noProof/>
            <w:webHidden/>
          </w:rPr>
          <w:tab/>
        </w:r>
        <w:r>
          <w:rPr>
            <w:noProof/>
            <w:webHidden/>
          </w:rPr>
          <w:fldChar w:fldCharType="begin"/>
        </w:r>
        <w:r>
          <w:rPr>
            <w:noProof/>
            <w:webHidden/>
          </w:rPr>
          <w:instrText xml:space="preserve"> PAGEREF _Toc209474779 \h </w:instrText>
        </w:r>
        <w:r>
          <w:rPr>
            <w:noProof/>
            <w:webHidden/>
          </w:rPr>
        </w:r>
        <w:r>
          <w:rPr>
            <w:noProof/>
            <w:webHidden/>
          </w:rPr>
          <w:fldChar w:fldCharType="separate"/>
        </w:r>
        <w:r w:rsidR="00D352A1">
          <w:rPr>
            <w:noProof/>
            <w:webHidden/>
          </w:rPr>
          <w:t>53</w:t>
        </w:r>
        <w:r>
          <w:rPr>
            <w:noProof/>
            <w:webHidden/>
          </w:rPr>
          <w:fldChar w:fldCharType="end"/>
        </w:r>
      </w:hyperlink>
    </w:p>
    <w:p w14:paraId="55A14C43" w14:textId="3DF8202B"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80" w:history="1">
        <w:r w:rsidRPr="000F13B1">
          <w:rPr>
            <w:rStyle w:val="Hyperlink"/>
            <w:noProof/>
          </w:rPr>
          <w:t>4.</w:t>
        </w:r>
        <w:r>
          <w:rPr>
            <w:rFonts w:asciiTheme="minorHAnsi" w:eastAsiaTheme="minorEastAsia" w:hAnsiTheme="minorHAnsi"/>
            <w:noProof/>
            <w:kern w:val="2"/>
            <w:sz w:val="24"/>
            <w:szCs w:val="24"/>
            <w:lang w:eastAsia="en-AU"/>
            <w14:ligatures w14:val="standardContextual"/>
          </w:rPr>
          <w:tab/>
        </w:r>
        <w:r w:rsidRPr="000F13B1">
          <w:rPr>
            <w:rStyle w:val="Hyperlink"/>
            <w:noProof/>
          </w:rPr>
          <w:t>Major assets and investments</w:t>
        </w:r>
        <w:r>
          <w:rPr>
            <w:noProof/>
            <w:webHidden/>
          </w:rPr>
          <w:tab/>
        </w:r>
        <w:r>
          <w:rPr>
            <w:noProof/>
            <w:webHidden/>
          </w:rPr>
          <w:fldChar w:fldCharType="begin"/>
        </w:r>
        <w:r>
          <w:rPr>
            <w:noProof/>
            <w:webHidden/>
          </w:rPr>
          <w:instrText xml:space="preserve"> PAGEREF _Toc209474780 \h </w:instrText>
        </w:r>
        <w:r>
          <w:rPr>
            <w:noProof/>
            <w:webHidden/>
          </w:rPr>
        </w:r>
        <w:r>
          <w:rPr>
            <w:noProof/>
            <w:webHidden/>
          </w:rPr>
          <w:fldChar w:fldCharType="separate"/>
        </w:r>
        <w:r w:rsidR="00D352A1">
          <w:rPr>
            <w:noProof/>
            <w:webHidden/>
          </w:rPr>
          <w:t>70</w:t>
        </w:r>
        <w:r>
          <w:rPr>
            <w:noProof/>
            <w:webHidden/>
          </w:rPr>
          <w:fldChar w:fldCharType="end"/>
        </w:r>
      </w:hyperlink>
    </w:p>
    <w:p w14:paraId="27F7801B" w14:textId="04E7C8BA"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81" w:history="1">
        <w:r w:rsidRPr="000F13B1">
          <w:rPr>
            <w:rStyle w:val="Hyperlink"/>
            <w:noProof/>
          </w:rPr>
          <w:t>5.</w:t>
        </w:r>
        <w:r>
          <w:rPr>
            <w:rFonts w:asciiTheme="minorHAnsi" w:eastAsiaTheme="minorEastAsia" w:hAnsiTheme="minorHAnsi"/>
            <w:noProof/>
            <w:kern w:val="2"/>
            <w:sz w:val="24"/>
            <w:szCs w:val="24"/>
            <w:lang w:eastAsia="en-AU"/>
            <w14:ligatures w14:val="standardContextual"/>
          </w:rPr>
          <w:tab/>
        </w:r>
        <w:r w:rsidRPr="000F13B1">
          <w:rPr>
            <w:rStyle w:val="Hyperlink"/>
            <w:noProof/>
          </w:rPr>
          <w:t>Financing state operations</w:t>
        </w:r>
        <w:r>
          <w:rPr>
            <w:noProof/>
            <w:webHidden/>
          </w:rPr>
          <w:tab/>
        </w:r>
        <w:r>
          <w:rPr>
            <w:noProof/>
            <w:webHidden/>
          </w:rPr>
          <w:fldChar w:fldCharType="begin"/>
        </w:r>
        <w:r>
          <w:rPr>
            <w:noProof/>
            <w:webHidden/>
          </w:rPr>
          <w:instrText xml:space="preserve"> PAGEREF _Toc209474781 \h </w:instrText>
        </w:r>
        <w:r>
          <w:rPr>
            <w:noProof/>
            <w:webHidden/>
          </w:rPr>
        </w:r>
        <w:r>
          <w:rPr>
            <w:noProof/>
            <w:webHidden/>
          </w:rPr>
          <w:fldChar w:fldCharType="separate"/>
        </w:r>
        <w:r w:rsidR="00D352A1">
          <w:rPr>
            <w:noProof/>
            <w:webHidden/>
          </w:rPr>
          <w:t>85</w:t>
        </w:r>
        <w:r>
          <w:rPr>
            <w:noProof/>
            <w:webHidden/>
          </w:rPr>
          <w:fldChar w:fldCharType="end"/>
        </w:r>
      </w:hyperlink>
    </w:p>
    <w:p w14:paraId="5CFA5683" w14:textId="2D0EA661"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82" w:history="1">
        <w:r w:rsidRPr="000F13B1">
          <w:rPr>
            <w:rStyle w:val="Hyperlink"/>
            <w:noProof/>
          </w:rPr>
          <w:t>6.</w:t>
        </w:r>
        <w:r>
          <w:rPr>
            <w:rFonts w:asciiTheme="minorHAnsi" w:eastAsiaTheme="minorEastAsia" w:hAnsiTheme="minorHAnsi"/>
            <w:noProof/>
            <w:kern w:val="2"/>
            <w:sz w:val="24"/>
            <w:szCs w:val="24"/>
            <w:lang w:eastAsia="en-AU"/>
            <w14:ligatures w14:val="standardContextual"/>
          </w:rPr>
          <w:tab/>
        </w:r>
        <w:r w:rsidRPr="000F13B1">
          <w:rPr>
            <w:rStyle w:val="Hyperlink"/>
            <w:noProof/>
          </w:rPr>
          <w:t>Risks, contingencies and valuation judgements</w:t>
        </w:r>
        <w:r>
          <w:rPr>
            <w:noProof/>
            <w:webHidden/>
          </w:rPr>
          <w:tab/>
        </w:r>
        <w:r>
          <w:rPr>
            <w:noProof/>
            <w:webHidden/>
          </w:rPr>
          <w:fldChar w:fldCharType="begin"/>
        </w:r>
        <w:r>
          <w:rPr>
            <w:noProof/>
            <w:webHidden/>
          </w:rPr>
          <w:instrText xml:space="preserve"> PAGEREF _Toc209474782 \h </w:instrText>
        </w:r>
        <w:r>
          <w:rPr>
            <w:noProof/>
            <w:webHidden/>
          </w:rPr>
        </w:r>
        <w:r>
          <w:rPr>
            <w:noProof/>
            <w:webHidden/>
          </w:rPr>
          <w:fldChar w:fldCharType="separate"/>
        </w:r>
        <w:r w:rsidR="00D352A1">
          <w:rPr>
            <w:noProof/>
            <w:webHidden/>
          </w:rPr>
          <w:t>106</w:t>
        </w:r>
        <w:r>
          <w:rPr>
            <w:noProof/>
            <w:webHidden/>
          </w:rPr>
          <w:fldChar w:fldCharType="end"/>
        </w:r>
      </w:hyperlink>
    </w:p>
    <w:p w14:paraId="0AD5BD1B" w14:textId="10025B18" w:rsidR="0054690B" w:rsidRDefault="0054690B">
      <w:pPr>
        <w:pStyle w:val="TOC2"/>
        <w:tabs>
          <w:tab w:val="left" w:pos="880"/>
        </w:tabs>
        <w:rPr>
          <w:rFonts w:asciiTheme="minorHAnsi" w:eastAsiaTheme="minorEastAsia" w:hAnsiTheme="minorHAnsi"/>
          <w:noProof/>
          <w:kern w:val="2"/>
          <w:sz w:val="24"/>
          <w:szCs w:val="24"/>
          <w:lang w:eastAsia="en-AU"/>
          <w14:ligatures w14:val="standardContextual"/>
        </w:rPr>
      </w:pPr>
      <w:hyperlink w:anchor="_Toc209474783" w:history="1">
        <w:r w:rsidRPr="000F13B1">
          <w:rPr>
            <w:rStyle w:val="Hyperlink"/>
            <w:noProof/>
          </w:rPr>
          <w:t>7.</w:t>
        </w:r>
        <w:r>
          <w:rPr>
            <w:rFonts w:asciiTheme="minorHAnsi" w:eastAsiaTheme="minorEastAsia" w:hAnsiTheme="minorHAnsi"/>
            <w:noProof/>
            <w:kern w:val="2"/>
            <w:sz w:val="24"/>
            <w:szCs w:val="24"/>
            <w:lang w:eastAsia="en-AU"/>
            <w14:ligatures w14:val="standardContextual"/>
          </w:rPr>
          <w:tab/>
        </w:r>
        <w:r w:rsidRPr="000F13B1">
          <w:rPr>
            <w:rStyle w:val="Hyperlink"/>
            <w:noProof/>
          </w:rPr>
          <w:t>Comparison against budget and the public account</w:t>
        </w:r>
        <w:r>
          <w:rPr>
            <w:noProof/>
            <w:webHidden/>
          </w:rPr>
          <w:tab/>
        </w:r>
        <w:r>
          <w:rPr>
            <w:noProof/>
            <w:webHidden/>
          </w:rPr>
          <w:fldChar w:fldCharType="begin"/>
        </w:r>
        <w:r>
          <w:rPr>
            <w:noProof/>
            <w:webHidden/>
          </w:rPr>
          <w:instrText xml:space="preserve"> PAGEREF _Toc209474783 \h </w:instrText>
        </w:r>
        <w:r>
          <w:rPr>
            <w:noProof/>
            <w:webHidden/>
          </w:rPr>
        </w:r>
        <w:r>
          <w:rPr>
            <w:noProof/>
            <w:webHidden/>
          </w:rPr>
          <w:fldChar w:fldCharType="separate"/>
        </w:r>
        <w:r w:rsidR="00D352A1">
          <w:rPr>
            <w:noProof/>
            <w:webHidden/>
          </w:rPr>
          <w:t>136</w:t>
        </w:r>
        <w:r>
          <w:rPr>
            <w:noProof/>
            <w:webHidden/>
          </w:rPr>
          <w:fldChar w:fldCharType="end"/>
        </w:r>
      </w:hyperlink>
    </w:p>
    <w:p w14:paraId="245A1D31" w14:textId="12E83574" w:rsidR="0054690B" w:rsidRDefault="0054690B" w:rsidP="0054690B">
      <w:pPr>
        <w:pStyle w:val="TOC2"/>
        <w:tabs>
          <w:tab w:val="left" w:pos="880"/>
        </w:tabs>
        <w:rPr>
          <w:noProof/>
        </w:rPr>
      </w:pPr>
      <w:hyperlink w:anchor="_Toc209474784" w:history="1">
        <w:r w:rsidRPr="000F13B1">
          <w:rPr>
            <w:rStyle w:val="Hyperlink"/>
            <w:noProof/>
          </w:rPr>
          <w:t>8.</w:t>
        </w:r>
        <w:r>
          <w:rPr>
            <w:rFonts w:asciiTheme="minorHAnsi" w:eastAsiaTheme="minorEastAsia" w:hAnsiTheme="minorHAnsi"/>
            <w:noProof/>
            <w:kern w:val="2"/>
            <w:sz w:val="24"/>
            <w:szCs w:val="24"/>
            <w:lang w:eastAsia="en-AU"/>
            <w14:ligatures w14:val="standardContextual"/>
          </w:rPr>
          <w:tab/>
        </w:r>
        <w:r w:rsidRPr="000F13B1">
          <w:rPr>
            <w:rStyle w:val="Hyperlink"/>
            <w:noProof/>
          </w:rPr>
          <w:t>Other disclosures</w:t>
        </w:r>
        <w:r>
          <w:rPr>
            <w:noProof/>
            <w:webHidden/>
          </w:rPr>
          <w:tab/>
        </w:r>
        <w:r>
          <w:rPr>
            <w:noProof/>
            <w:webHidden/>
          </w:rPr>
          <w:fldChar w:fldCharType="begin"/>
        </w:r>
        <w:r>
          <w:rPr>
            <w:noProof/>
            <w:webHidden/>
          </w:rPr>
          <w:instrText xml:space="preserve"> PAGEREF _Toc209474784 \h </w:instrText>
        </w:r>
        <w:r>
          <w:rPr>
            <w:noProof/>
            <w:webHidden/>
          </w:rPr>
        </w:r>
        <w:r>
          <w:rPr>
            <w:noProof/>
            <w:webHidden/>
          </w:rPr>
          <w:fldChar w:fldCharType="separate"/>
        </w:r>
        <w:r w:rsidR="00D352A1">
          <w:rPr>
            <w:noProof/>
            <w:webHidden/>
          </w:rPr>
          <w:t>163</w:t>
        </w:r>
        <w:r>
          <w:rPr>
            <w:noProof/>
            <w:webHidden/>
          </w:rPr>
          <w:fldChar w:fldCharType="end"/>
        </w:r>
      </w:hyperlink>
      <w:r>
        <w:rPr>
          <w:shd w:val="clear" w:color="auto" w:fill="E6E6E6"/>
          <w:lang w:val="en-US"/>
        </w:rPr>
        <w:fldChar w:fldCharType="end"/>
      </w:r>
      <w:r>
        <w:rPr>
          <w:rFonts w:ascii="Calibri" w:hAnsi="Calibri"/>
          <w:b/>
          <w:color w:val="2B579A"/>
          <w:spacing w:val="-2"/>
          <w:szCs w:val="19"/>
          <w:shd w:val="clear" w:color="auto" w:fill="E6E6E6"/>
        </w:rPr>
        <w:fldChar w:fldCharType="begin"/>
      </w:r>
      <w:r>
        <w:instrText xml:space="preserve"> TOC \h \z \t " Chapter Heading,1" </w:instrText>
      </w:r>
      <w:r>
        <w:rPr>
          <w:rFonts w:ascii="Calibri" w:hAnsi="Calibri"/>
          <w:b/>
          <w:color w:val="2B579A"/>
          <w:spacing w:val="-2"/>
          <w:szCs w:val="19"/>
          <w:shd w:val="clear" w:color="auto" w:fill="E6E6E6"/>
        </w:rPr>
        <w:fldChar w:fldCharType="separate"/>
      </w:r>
    </w:p>
    <w:p w14:paraId="6FC61805" w14:textId="42295476"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801" w:history="1">
        <w:r w:rsidRPr="00D6561C">
          <w:rPr>
            <w:rStyle w:val="Hyperlink"/>
            <w:noProof/>
          </w:rPr>
          <w:t>Chapter 5 – Supplementary uniform presentation framework tables</w:t>
        </w:r>
        <w:r>
          <w:rPr>
            <w:noProof/>
            <w:webHidden/>
          </w:rPr>
          <w:tab/>
        </w:r>
        <w:r>
          <w:rPr>
            <w:noProof/>
            <w:webHidden/>
          </w:rPr>
          <w:fldChar w:fldCharType="begin"/>
        </w:r>
        <w:r>
          <w:rPr>
            <w:noProof/>
            <w:webHidden/>
          </w:rPr>
          <w:instrText xml:space="preserve"> PAGEREF _Toc209474801 \h </w:instrText>
        </w:r>
        <w:r>
          <w:rPr>
            <w:noProof/>
            <w:webHidden/>
          </w:rPr>
        </w:r>
        <w:r>
          <w:rPr>
            <w:noProof/>
            <w:webHidden/>
          </w:rPr>
          <w:fldChar w:fldCharType="separate"/>
        </w:r>
        <w:r w:rsidR="00D352A1">
          <w:rPr>
            <w:noProof/>
            <w:webHidden/>
          </w:rPr>
          <w:t>185</w:t>
        </w:r>
        <w:r>
          <w:rPr>
            <w:noProof/>
            <w:webHidden/>
          </w:rPr>
          <w:fldChar w:fldCharType="end"/>
        </w:r>
      </w:hyperlink>
    </w:p>
    <w:p w14:paraId="1D945D92" w14:textId="2061BC5B"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802" w:history="1">
        <w:r w:rsidRPr="00D6561C">
          <w:rPr>
            <w:rStyle w:val="Hyperlink"/>
            <w:noProof/>
          </w:rPr>
          <w:t>Appendix A – General government sector quarterly financial report</w:t>
        </w:r>
        <w:r>
          <w:rPr>
            <w:noProof/>
            <w:webHidden/>
          </w:rPr>
          <w:tab/>
        </w:r>
        <w:r>
          <w:rPr>
            <w:noProof/>
            <w:webHidden/>
          </w:rPr>
          <w:fldChar w:fldCharType="begin"/>
        </w:r>
        <w:r>
          <w:rPr>
            <w:noProof/>
            <w:webHidden/>
          </w:rPr>
          <w:instrText xml:space="preserve"> PAGEREF _Toc209474802 \h </w:instrText>
        </w:r>
        <w:r>
          <w:rPr>
            <w:noProof/>
            <w:webHidden/>
          </w:rPr>
        </w:r>
        <w:r>
          <w:rPr>
            <w:noProof/>
            <w:webHidden/>
          </w:rPr>
          <w:fldChar w:fldCharType="separate"/>
        </w:r>
        <w:r w:rsidR="00D352A1">
          <w:rPr>
            <w:noProof/>
            <w:webHidden/>
          </w:rPr>
          <w:t>191</w:t>
        </w:r>
        <w:r>
          <w:rPr>
            <w:noProof/>
            <w:webHidden/>
          </w:rPr>
          <w:fldChar w:fldCharType="end"/>
        </w:r>
      </w:hyperlink>
    </w:p>
    <w:p w14:paraId="5FD6774A" w14:textId="39A53DE7"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803" w:history="1">
        <w:r w:rsidRPr="00D6561C">
          <w:rPr>
            <w:rStyle w:val="Hyperlink"/>
            <w:noProof/>
          </w:rPr>
          <w:t xml:space="preserve">Appendix B – </w:t>
        </w:r>
        <w:r w:rsidRPr="00D6561C">
          <w:rPr>
            <w:rStyle w:val="Hyperlink"/>
            <w:i/>
            <w:iCs/>
            <w:noProof/>
          </w:rPr>
          <w:t>Financial Management Act 1994</w:t>
        </w:r>
        <w:r w:rsidRPr="00D6561C">
          <w:rPr>
            <w:rStyle w:val="Hyperlink"/>
            <w:noProof/>
          </w:rPr>
          <w:t xml:space="preserve"> – Compliance index</w:t>
        </w:r>
        <w:r>
          <w:rPr>
            <w:noProof/>
            <w:webHidden/>
          </w:rPr>
          <w:tab/>
        </w:r>
        <w:r>
          <w:rPr>
            <w:noProof/>
            <w:webHidden/>
          </w:rPr>
          <w:fldChar w:fldCharType="begin"/>
        </w:r>
        <w:r>
          <w:rPr>
            <w:noProof/>
            <w:webHidden/>
          </w:rPr>
          <w:instrText xml:space="preserve"> PAGEREF _Toc209474803 \h </w:instrText>
        </w:r>
        <w:r>
          <w:rPr>
            <w:noProof/>
            <w:webHidden/>
          </w:rPr>
        </w:r>
        <w:r>
          <w:rPr>
            <w:noProof/>
            <w:webHidden/>
          </w:rPr>
          <w:fldChar w:fldCharType="separate"/>
        </w:r>
        <w:r w:rsidR="00D352A1">
          <w:rPr>
            <w:noProof/>
            <w:webHidden/>
          </w:rPr>
          <w:t>195</w:t>
        </w:r>
        <w:r>
          <w:rPr>
            <w:noProof/>
            <w:webHidden/>
          </w:rPr>
          <w:fldChar w:fldCharType="end"/>
        </w:r>
      </w:hyperlink>
    </w:p>
    <w:p w14:paraId="41AB3623" w14:textId="480F2439" w:rsidR="0054690B" w:rsidRDefault="0054690B">
      <w:pPr>
        <w:pStyle w:val="TOC1"/>
        <w:rPr>
          <w:rFonts w:asciiTheme="minorHAnsi" w:eastAsiaTheme="minorEastAsia" w:hAnsiTheme="minorHAnsi"/>
          <w:b w:val="0"/>
          <w:noProof/>
          <w:kern w:val="2"/>
          <w:sz w:val="24"/>
          <w:szCs w:val="24"/>
          <w:lang w:eastAsia="en-AU"/>
          <w14:ligatures w14:val="standardContextual"/>
        </w:rPr>
      </w:pPr>
      <w:hyperlink w:anchor="_Toc209474804" w:history="1">
        <w:r w:rsidRPr="00D6561C">
          <w:rPr>
            <w:rStyle w:val="Hyperlink"/>
            <w:noProof/>
          </w:rPr>
          <w:t>Style conventions</w:t>
        </w:r>
        <w:r>
          <w:rPr>
            <w:noProof/>
            <w:webHidden/>
          </w:rPr>
          <w:tab/>
        </w:r>
        <w:r>
          <w:rPr>
            <w:noProof/>
            <w:webHidden/>
          </w:rPr>
          <w:fldChar w:fldCharType="begin"/>
        </w:r>
        <w:r>
          <w:rPr>
            <w:noProof/>
            <w:webHidden/>
          </w:rPr>
          <w:instrText xml:space="preserve"> PAGEREF _Toc209474804 \h </w:instrText>
        </w:r>
        <w:r>
          <w:rPr>
            <w:noProof/>
            <w:webHidden/>
          </w:rPr>
        </w:r>
        <w:r>
          <w:rPr>
            <w:noProof/>
            <w:webHidden/>
          </w:rPr>
          <w:fldChar w:fldCharType="separate"/>
        </w:r>
        <w:r w:rsidR="00D352A1">
          <w:rPr>
            <w:noProof/>
            <w:webHidden/>
          </w:rPr>
          <w:t>199</w:t>
        </w:r>
        <w:r>
          <w:rPr>
            <w:noProof/>
            <w:webHidden/>
          </w:rPr>
          <w:fldChar w:fldCharType="end"/>
        </w:r>
      </w:hyperlink>
    </w:p>
    <w:p w14:paraId="056EE838" w14:textId="77777777" w:rsidR="0054690B" w:rsidRDefault="0054690B" w:rsidP="0054690B">
      <w:pPr>
        <w:pStyle w:val="TOC1"/>
        <w:rPr>
          <w:shd w:val="clear" w:color="auto" w:fill="E6E6E6"/>
          <w:lang w:val="en-US"/>
        </w:rPr>
      </w:pPr>
      <w:r>
        <w:rPr>
          <w:shd w:val="clear" w:color="auto" w:fill="E6E6E6"/>
          <w:lang w:val="en-US"/>
        </w:rPr>
        <w:fldChar w:fldCharType="end"/>
      </w:r>
    </w:p>
    <w:p w14:paraId="44B8F47A" w14:textId="0A3FFFE2" w:rsidR="0054690B" w:rsidRDefault="0054690B" w:rsidP="0054690B">
      <w:pPr>
        <w:rPr>
          <w:shd w:val="clear" w:color="auto" w:fill="E6E6E6"/>
          <w:lang w:val="en-US"/>
        </w:rPr>
      </w:pPr>
    </w:p>
    <w:p w14:paraId="4541D1C2" w14:textId="0687B694" w:rsidR="00CC1335" w:rsidRDefault="00CC1335" w:rsidP="00434547">
      <w:pPr>
        <w:rPr>
          <w:shd w:val="clear" w:color="auto" w:fill="E6E6E6"/>
          <w:lang w:val="en-US"/>
        </w:rPr>
      </w:pPr>
    </w:p>
    <w:p w14:paraId="680B126E" w14:textId="77777777" w:rsidR="00CC1335" w:rsidRDefault="00CC1335">
      <w:pPr>
        <w:keepLines w:val="0"/>
        <w:rPr>
          <w:shd w:val="clear" w:color="auto" w:fill="E6E6E6"/>
          <w:lang w:val="en-US"/>
        </w:rPr>
      </w:pPr>
      <w:r>
        <w:rPr>
          <w:shd w:val="clear" w:color="auto" w:fill="E6E6E6"/>
          <w:lang w:val="en-US"/>
        </w:rPr>
        <w:br w:type="page"/>
      </w:r>
    </w:p>
    <w:p w14:paraId="0D78B61B" w14:textId="77777777" w:rsidR="00A20CD2" w:rsidRDefault="00A20CD2" w:rsidP="00434547">
      <w:pPr>
        <w:rPr>
          <w:shd w:val="clear" w:color="auto" w:fill="E6E6E6"/>
          <w:lang w:val="en-US"/>
        </w:rPr>
      </w:pPr>
    </w:p>
    <w:p w14:paraId="0085CFB4" w14:textId="0A16A464" w:rsidR="00A20CD2" w:rsidRPr="00CE07EE" w:rsidRDefault="00A20CD2" w:rsidP="00A20CD2">
      <w:pPr>
        <w:rPr>
          <w:b/>
          <w:color w:val="2B579A"/>
          <w:shd w:val="clear" w:color="auto" w:fill="E6E6E6"/>
          <w:lang w:val="en-US"/>
        </w:rPr>
        <w:sectPr w:rsidR="00A20CD2" w:rsidRPr="00CE07EE" w:rsidSect="00760D40">
          <w:footerReference w:type="even" r:id="rId22"/>
          <w:footerReference w:type="default" r:id="rId23"/>
          <w:pgSz w:w="11906" w:h="16838" w:code="9"/>
          <w:pgMar w:top="1134" w:right="1134" w:bottom="1134" w:left="1134" w:header="624" w:footer="567" w:gutter="0"/>
          <w:cols w:space="708"/>
          <w:docGrid w:linePitch="360"/>
        </w:sectPr>
      </w:pPr>
    </w:p>
    <w:p w14:paraId="7E308C90" w14:textId="77777777" w:rsidR="00A20CD2" w:rsidRDefault="00A20CD2" w:rsidP="00097095">
      <w:pPr>
        <w:pStyle w:val="ChapterHeading"/>
      </w:pPr>
      <w:bookmarkStart w:id="0" w:name="_Toc209474764"/>
      <w:bookmarkStart w:id="1" w:name="_Toc209474797"/>
      <w:r>
        <w:lastRenderedPageBreak/>
        <w:t>Chapter 1 – Foreword</w:t>
      </w:r>
      <w:bookmarkEnd w:id="0"/>
      <w:bookmarkEnd w:id="1"/>
    </w:p>
    <w:p w14:paraId="3818C45A" w14:textId="77777777" w:rsidR="00CC1335" w:rsidRDefault="00CC1335" w:rsidP="005E12B0">
      <w:pPr>
        <w:pStyle w:val="Heading1"/>
        <w:sectPr w:rsidR="00CC1335" w:rsidSect="0054690B">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134" w:header="624" w:footer="567" w:gutter="0"/>
          <w:pgNumType w:start="1"/>
          <w:cols w:space="708"/>
          <w:docGrid w:linePitch="360"/>
        </w:sectPr>
      </w:pPr>
      <w:bookmarkStart w:id="2" w:name="_Toc176189327"/>
    </w:p>
    <w:p w14:paraId="35258F1E" w14:textId="77777777" w:rsidR="005E12B0" w:rsidRDefault="005E12B0" w:rsidP="005E12B0">
      <w:pPr>
        <w:pStyle w:val="Heading1"/>
      </w:pPr>
      <w:r>
        <w:t>Purpose</w:t>
      </w:r>
      <w:bookmarkEnd w:id="2"/>
    </w:p>
    <w:p w14:paraId="7CF03D0C" w14:textId="1EB36742" w:rsidR="005E12B0" w:rsidRDefault="005E12B0" w:rsidP="005E12B0">
      <w:r>
        <w:t xml:space="preserve">The </w:t>
      </w:r>
      <w:r>
        <w:rPr>
          <w:i/>
        </w:rPr>
        <w:t>202</w:t>
      </w:r>
      <w:r w:rsidR="00A356B8">
        <w:rPr>
          <w:i/>
        </w:rPr>
        <w:t>4</w:t>
      </w:r>
      <w:r w:rsidRPr="004D0ED5">
        <w:rPr>
          <w:i/>
        </w:rPr>
        <w:noBreakHyphen/>
        <w:t>2</w:t>
      </w:r>
      <w:r w:rsidR="00A356B8">
        <w:rPr>
          <w:i/>
        </w:rPr>
        <w:t>5</w:t>
      </w:r>
      <w:r w:rsidRPr="004D0ED5">
        <w:rPr>
          <w:i/>
        </w:rPr>
        <w:t xml:space="preserve"> Financial Report</w:t>
      </w:r>
      <w:r>
        <w:t xml:space="preserve"> presents the consolidated financial outcomes for the State of Victoria, including the</w:t>
      </w:r>
      <w:r w:rsidR="00D970E2">
        <w:t> </w:t>
      </w:r>
      <w:r>
        <w:t>general government sector, the public non</w:t>
      </w:r>
      <w:r>
        <w:noBreakHyphen/>
        <w:t>financial corporations sector and the public financial corporations sector.</w:t>
      </w:r>
    </w:p>
    <w:p w14:paraId="2762FCAF" w14:textId="10577AA9" w:rsidR="005E12B0" w:rsidRDefault="005E12B0" w:rsidP="005E12B0">
      <w:r>
        <w:t>This chapter outlines the economic and fiscal context for the State</w:t>
      </w:r>
      <w:r w:rsidR="00845934">
        <w:t>’</w:t>
      </w:r>
      <w:r>
        <w:t xml:space="preserve">s </w:t>
      </w:r>
      <w:r w:rsidRPr="00E1191D">
        <w:t>financial</w:t>
      </w:r>
      <w:r>
        <w:t xml:space="preserve"> performance and position, and summarises the 202</w:t>
      </w:r>
      <w:r w:rsidR="008C6B54">
        <w:t>4</w:t>
      </w:r>
      <w:r>
        <w:noBreakHyphen/>
        <w:t>2</w:t>
      </w:r>
      <w:r w:rsidR="008C6B54">
        <w:t>5</w:t>
      </w:r>
      <w:r>
        <w:t xml:space="preserve"> results. </w:t>
      </w:r>
    </w:p>
    <w:p w14:paraId="1B847ADA" w14:textId="64F50E2E" w:rsidR="005E12B0" w:rsidRDefault="005E12B0" w:rsidP="005E12B0">
      <w:r>
        <w:t>Chapter 2 analyses the results for the general government sector, comparing them with actual outcomes in 202</w:t>
      </w:r>
      <w:r w:rsidR="008C6B54">
        <w:t>3</w:t>
      </w:r>
      <w:r>
        <w:noBreakHyphen/>
        <w:t>2</w:t>
      </w:r>
      <w:r w:rsidR="008C6B54">
        <w:t>4</w:t>
      </w:r>
      <w:r>
        <w:t xml:space="preserve"> and the revised estimates for the year as presented in </w:t>
      </w:r>
      <w:r w:rsidRPr="00E1191D">
        <w:t>the</w:t>
      </w:r>
      <w:r>
        <w:t xml:space="preserve"> </w:t>
      </w:r>
      <w:r>
        <w:rPr>
          <w:i/>
        </w:rPr>
        <w:t>202</w:t>
      </w:r>
      <w:r w:rsidR="008C6B54">
        <w:rPr>
          <w:i/>
        </w:rPr>
        <w:t>5</w:t>
      </w:r>
      <w:r w:rsidRPr="004D0ED5">
        <w:rPr>
          <w:i/>
        </w:rPr>
        <w:noBreakHyphen/>
        <w:t>2</w:t>
      </w:r>
      <w:r w:rsidR="008C6B54">
        <w:rPr>
          <w:i/>
        </w:rPr>
        <w:t>6</w:t>
      </w:r>
      <w:r w:rsidRPr="004D0ED5">
        <w:rPr>
          <w:i/>
        </w:rPr>
        <w:t xml:space="preserve"> Budget</w:t>
      </w:r>
      <w:r>
        <w:t xml:space="preserve">. </w:t>
      </w:r>
    </w:p>
    <w:p w14:paraId="4469B64A" w14:textId="63E54305" w:rsidR="005E12B0" w:rsidRDefault="005E12B0" w:rsidP="005E12B0">
      <w:r>
        <w:t>Chapter 3 presents the 202</w:t>
      </w:r>
      <w:r w:rsidR="00796B2B">
        <w:t>4</w:t>
      </w:r>
      <w:r>
        <w:noBreakHyphen/>
        <w:t>2</w:t>
      </w:r>
      <w:r w:rsidR="00796B2B">
        <w:t>5</w:t>
      </w:r>
      <w:r>
        <w:t xml:space="preserve"> results for the State of Victoria and the broader public sector.</w:t>
      </w:r>
    </w:p>
    <w:p w14:paraId="26831E75" w14:textId="77777777" w:rsidR="005E12B0" w:rsidRDefault="005E12B0" w:rsidP="005E12B0">
      <w:r>
        <w:t xml:space="preserve">Chapter 4 contains the audited financial statements as required under the </w:t>
      </w:r>
      <w:r w:rsidRPr="004D0ED5">
        <w:rPr>
          <w:i/>
        </w:rPr>
        <w:t>Financial Management Act 1994</w:t>
      </w:r>
      <w:r>
        <w:t xml:space="preserve">. These are presented in line with applicable Australian accounting standards and pronouncements, in particular AASB 1049 </w:t>
      </w:r>
      <w:r w:rsidRPr="004D0ED5">
        <w:rPr>
          <w:i/>
        </w:rPr>
        <w:t>Whole of Government and General Government Sector Financial Reporting</w:t>
      </w:r>
      <w:r>
        <w:t xml:space="preserve">. </w:t>
      </w:r>
    </w:p>
    <w:p w14:paraId="0F3445B9" w14:textId="6CF15D78" w:rsidR="005E12B0" w:rsidRDefault="005E12B0" w:rsidP="005E12B0">
      <w:r>
        <w:t xml:space="preserve">Chapter 5 provides supplementary information required under the Uniform Presentation Framework. Appendix A includes the Quarterly Financial Report for the general government sector as required by Section 26 of the </w:t>
      </w:r>
      <w:r w:rsidRPr="004D0ED5">
        <w:rPr>
          <w:i/>
        </w:rPr>
        <w:t>Financial Management Act 1994</w:t>
      </w:r>
      <w:r>
        <w:t xml:space="preserve">. Appendix B presents a compliance index providing a linkage between the relevant legislative provisions relating to the preparation of this report and the disclosure provided therein. </w:t>
      </w:r>
    </w:p>
    <w:p w14:paraId="25279BF7" w14:textId="19D058F1" w:rsidR="005E12B0" w:rsidRDefault="00CC1335" w:rsidP="005E12B0">
      <w:pPr>
        <w:pStyle w:val="Heading1"/>
      </w:pPr>
      <w:bookmarkStart w:id="3" w:name="_Toc176189328"/>
      <w:r>
        <w:br w:type="column"/>
      </w:r>
      <w:r w:rsidR="005E12B0" w:rsidRPr="00C02797">
        <w:t>Economic context</w:t>
      </w:r>
      <w:bookmarkEnd w:id="3"/>
      <w:r w:rsidR="00F25831">
        <w:t xml:space="preserve"> </w:t>
      </w:r>
    </w:p>
    <w:p w14:paraId="17308524" w14:textId="72CC3D82" w:rsidR="000C23A5" w:rsidRDefault="000C23A5" w:rsidP="000C23A5">
      <w:r>
        <w:t>The Victorian economy performed well in 2024-25,</w:t>
      </w:r>
      <w:r w:rsidRPr="00B237DD">
        <w:t xml:space="preserve"> despite cost-of-living pressures and elevated interest rates weighing on </w:t>
      </w:r>
      <w:r>
        <w:t xml:space="preserve">some sectors of the economy. Employment growth was strong, and the unemployment rate remained low by historical standards. </w:t>
      </w:r>
      <w:r w:rsidR="00C90CD1" w:rsidRPr="00C90CD1">
        <w:t xml:space="preserve">However, </w:t>
      </w:r>
      <w:r w:rsidR="00EF1D52">
        <w:t>cost-of-</w:t>
      </w:r>
      <w:r w:rsidR="00C90CD1" w:rsidRPr="00C90CD1">
        <w:t>living pressures remained elevated for some households, as growth in household disposable incomes did not keep pace with growth in consumer prices since inflation peaked in December 2022.</w:t>
      </w:r>
    </w:p>
    <w:p w14:paraId="3B707671" w14:textId="0D9B970A" w:rsidR="000C23A5" w:rsidRDefault="000C23A5" w:rsidP="000C23A5">
      <w:bookmarkStart w:id="4" w:name="_Hlk205464533"/>
      <w:r w:rsidRPr="004E5B7B">
        <w:t>In 2024</w:t>
      </w:r>
      <w:r w:rsidR="00161E62">
        <w:noBreakHyphen/>
      </w:r>
      <w:r w:rsidRPr="004E5B7B">
        <w:t>25, state final demand</w:t>
      </w:r>
      <w:r>
        <w:t xml:space="preserve"> –</w:t>
      </w:r>
      <w:r w:rsidRPr="004E5B7B">
        <w:t xml:space="preserve"> a key indicator of economic activity</w:t>
      </w:r>
      <w:r>
        <w:t xml:space="preserve"> –</w:t>
      </w:r>
      <w:r w:rsidRPr="004E5B7B">
        <w:t xml:space="preserve"> grew by</w:t>
      </w:r>
      <w:r>
        <w:t xml:space="preserve"> </w:t>
      </w:r>
      <w:r w:rsidRPr="002A7B8C">
        <w:t>1.</w:t>
      </w:r>
      <w:r w:rsidR="00A610BC" w:rsidRPr="002A7B8C">
        <w:t>8</w:t>
      </w:r>
      <w:r w:rsidRPr="002A7B8C">
        <w:t xml:space="preserve"> per cent</w:t>
      </w:r>
      <w:r w:rsidRPr="004E5B7B">
        <w:t xml:space="preserve"> in real terms, </w:t>
      </w:r>
      <w:r>
        <w:t>following growth of</w:t>
      </w:r>
      <w:r w:rsidRPr="004E5B7B">
        <w:t xml:space="preserve"> </w:t>
      </w:r>
      <w:r w:rsidRPr="002A7B8C">
        <w:t>1.9 per cent</w:t>
      </w:r>
      <w:r w:rsidRPr="004E5B7B">
        <w:t xml:space="preserve"> in 2023</w:t>
      </w:r>
      <w:r w:rsidR="00DD6E82" w:rsidRPr="00FA1B57">
        <w:t>-</w:t>
      </w:r>
      <w:r w:rsidRPr="004E5B7B">
        <w:t>24.</w:t>
      </w:r>
      <w:bookmarkEnd w:id="4"/>
      <w:r>
        <w:t xml:space="preserve"> </w:t>
      </w:r>
      <w:r w:rsidRPr="00FA1B57">
        <w:t xml:space="preserve">This resulted in state final demand being </w:t>
      </w:r>
      <w:r w:rsidRPr="002A7B8C">
        <w:t>15.</w:t>
      </w:r>
      <w:r w:rsidR="008D2B91" w:rsidRPr="002A7B8C">
        <w:t>6</w:t>
      </w:r>
      <w:r w:rsidRPr="002A7B8C">
        <w:rPr>
          <w:rFonts w:ascii="Arial" w:hAnsi="Arial" w:cs="Arial"/>
        </w:rPr>
        <w:t> </w:t>
      </w:r>
      <w:r w:rsidRPr="002A7B8C">
        <w:t>per</w:t>
      </w:r>
      <w:r w:rsidRPr="002A7B8C">
        <w:rPr>
          <w:rFonts w:ascii="Arial" w:hAnsi="Arial" w:cs="Arial"/>
        </w:rPr>
        <w:t> </w:t>
      </w:r>
      <w:r w:rsidRPr="002A7B8C">
        <w:t>cent</w:t>
      </w:r>
      <w:r w:rsidRPr="00E33A03">
        <w:t xml:space="preserve"> larger</w:t>
      </w:r>
      <w:r w:rsidRPr="00FA1B57">
        <w:t xml:space="preserve"> than in 2018-19, the last full financial year before the COVID-19 pandemic. </w:t>
      </w:r>
      <w:r w:rsidRPr="00965D8D">
        <w:t xml:space="preserve">Among the components of final demand, dwelling investment recorded the strongest </w:t>
      </w:r>
      <w:r>
        <w:t>increase</w:t>
      </w:r>
      <w:r w:rsidRPr="00965D8D">
        <w:t xml:space="preserve">, rising by </w:t>
      </w:r>
      <w:r w:rsidR="00326C39" w:rsidRPr="002A7B8C">
        <w:t>3.9</w:t>
      </w:r>
      <w:r w:rsidRPr="002A7B8C">
        <w:t xml:space="preserve"> per cent</w:t>
      </w:r>
      <w:r w:rsidRPr="003839E4">
        <w:t xml:space="preserve"> </w:t>
      </w:r>
      <w:r w:rsidRPr="004763E7">
        <w:t>in 2024–25</w:t>
      </w:r>
      <w:r>
        <w:t xml:space="preserve"> and reaching its highest level </w:t>
      </w:r>
      <w:r w:rsidRPr="003839E4">
        <w:t>in three years</w:t>
      </w:r>
      <w:r w:rsidRPr="004763E7">
        <w:t>.</w:t>
      </w:r>
      <w:r w:rsidRPr="00447073" w:rsidDel="00D61380">
        <w:t xml:space="preserve"> </w:t>
      </w:r>
      <w:r>
        <w:t xml:space="preserve">The increase in </w:t>
      </w:r>
      <w:r w:rsidRPr="00447073">
        <w:t>residential construction</w:t>
      </w:r>
      <w:r>
        <w:t xml:space="preserve"> has been supported by an easing of construction </w:t>
      </w:r>
      <w:r w:rsidRPr="00447073">
        <w:t xml:space="preserve">labour shortages, </w:t>
      </w:r>
      <w:r>
        <w:t xml:space="preserve">enabling the sector to work through a backlog of projects. </w:t>
      </w:r>
    </w:p>
    <w:p w14:paraId="647CA803" w14:textId="6A2D659B" w:rsidR="000C23A5" w:rsidRDefault="000C23A5" w:rsidP="000C23A5">
      <w:r>
        <w:t>P</w:t>
      </w:r>
      <w:r w:rsidRPr="00124A78">
        <w:t xml:space="preserve">ublic demand </w:t>
      </w:r>
      <w:r>
        <w:t xml:space="preserve">also </w:t>
      </w:r>
      <w:r w:rsidRPr="00124A78">
        <w:t>contributed to growth in Victoria</w:t>
      </w:r>
      <w:r w:rsidR="00845934">
        <w:t>’</w:t>
      </w:r>
      <w:r w:rsidRPr="00124A78">
        <w:t xml:space="preserve">s state final demand, </w:t>
      </w:r>
      <w:r w:rsidR="006521BA">
        <w:t xml:space="preserve">contributed to in part </w:t>
      </w:r>
      <w:r w:rsidRPr="00124A78">
        <w:t xml:space="preserve">by </w:t>
      </w:r>
      <w:r w:rsidR="007E5A5F" w:rsidRPr="001E7B33">
        <w:t xml:space="preserve">increased Commonwealth spending across </w:t>
      </w:r>
      <w:r w:rsidR="004567C8">
        <w:t xml:space="preserve">various </w:t>
      </w:r>
      <w:r w:rsidR="007E5A5F" w:rsidRPr="001E7B33">
        <w:t>social benefits programs and</w:t>
      </w:r>
      <w:r w:rsidRPr="00124A78">
        <w:t xml:space="preserve"> </w:t>
      </w:r>
      <w:r w:rsidRPr="00D26C92">
        <w:t>infrastructure projects</w:t>
      </w:r>
      <w:r w:rsidR="008550B3">
        <w:t>.</w:t>
      </w:r>
    </w:p>
    <w:p w14:paraId="1D466890" w14:textId="54F8E35E" w:rsidR="000C23A5" w:rsidRDefault="000C23A5" w:rsidP="000C23A5">
      <w:r w:rsidRPr="0016096C">
        <w:t>Business investment</w:t>
      </w:r>
      <w:r>
        <w:t xml:space="preserve"> </w:t>
      </w:r>
      <w:r w:rsidRPr="003839E4">
        <w:t>grew modestly</w:t>
      </w:r>
      <w:r>
        <w:t xml:space="preserve"> in 2024-25, following three years of strong growth. Investment was driven by</w:t>
      </w:r>
      <w:r w:rsidRPr="0016096C">
        <w:t xml:space="preserve"> </w:t>
      </w:r>
      <w:r>
        <w:t xml:space="preserve">spending on </w:t>
      </w:r>
      <w:r w:rsidRPr="0016096C">
        <w:t xml:space="preserve">intellectual property, </w:t>
      </w:r>
      <w:r>
        <w:t>which includes digitisation and cyber security. Engineering construction also increased, including projects related to the energy transition</w:t>
      </w:r>
      <w:r w:rsidRPr="0016096C" w:rsidDel="000062DA">
        <w:t>.</w:t>
      </w:r>
      <w:r w:rsidRPr="0016096C">
        <w:t xml:space="preserve"> </w:t>
      </w:r>
    </w:p>
    <w:p w14:paraId="7CE62EF7" w14:textId="77777777" w:rsidR="00CC1335" w:rsidRDefault="00CC1335">
      <w:pPr>
        <w:keepLines w:val="0"/>
      </w:pPr>
      <w:r>
        <w:br w:type="page"/>
      </w:r>
    </w:p>
    <w:p w14:paraId="31261E40" w14:textId="68F0E74C" w:rsidR="000C23A5" w:rsidRDefault="000C23A5" w:rsidP="000C23A5">
      <w:r>
        <w:lastRenderedPageBreak/>
        <w:t xml:space="preserve">Growth in </w:t>
      </w:r>
      <w:r w:rsidRPr="0016096C" w:rsidDel="00A2467D">
        <w:t>h</w:t>
      </w:r>
      <w:r w:rsidRPr="0016096C">
        <w:t xml:space="preserve">ousehold </w:t>
      </w:r>
      <w:r w:rsidRPr="00CC1335">
        <w:t>consumption</w:t>
      </w:r>
      <w:r w:rsidRPr="0016096C">
        <w:t xml:space="preserve"> </w:t>
      </w:r>
      <w:r>
        <w:t>was subdued in 2024-25</w:t>
      </w:r>
      <w:r w:rsidR="00BE53DD">
        <w:t>,</w:t>
      </w:r>
      <w:r>
        <w:t xml:space="preserve"> and driven by</w:t>
      </w:r>
      <w:r w:rsidRPr="0016096C">
        <w:t xml:space="preserve"> </w:t>
      </w:r>
      <w:r>
        <w:t xml:space="preserve">a modest rise in </w:t>
      </w:r>
      <w:r w:rsidRPr="0016096C">
        <w:t>spending on essential items amid ongoing cost</w:t>
      </w:r>
      <w:r>
        <w:t>-</w:t>
      </w:r>
      <w:r w:rsidRPr="0016096C">
        <w:t>of</w:t>
      </w:r>
      <w:r>
        <w:t>-</w:t>
      </w:r>
      <w:r w:rsidRPr="0016096C">
        <w:t>living pressures.</w:t>
      </w:r>
      <w:r>
        <w:t xml:space="preserve"> </w:t>
      </w:r>
    </w:p>
    <w:p w14:paraId="1E635119" w14:textId="6C6E574C" w:rsidR="000C23A5" w:rsidRDefault="000C23A5" w:rsidP="000C23A5">
      <w:r w:rsidRPr="00CA02C9">
        <w:t xml:space="preserve">Goods exports recorded </w:t>
      </w:r>
      <w:r w:rsidR="007900E8" w:rsidRPr="003839E4">
        <w:t>solid</w:t>
      </w:r>
      <w:r w:rsidRPr="003839E4">
        <w:t xml:space="preserve"> growth</w:t>
      </w:r>
      <w:r w:rsidRPr="00CA02C9">
        <w:t xml:space="preserve"> </w:t>
      </w:r>
      <w:r>
        <w:t>in 2024-25. This was</w:t>
      </w:r>
      <w:r w:rsidRPr="00CA02C9">
        <w:t xml:space="preserve"> driven mainly by robust </w:t>
      </w:r>
      <w:r w:rsidRPr="007E5F4A">
        <w:t>global demand for</w:t>
      </w:r>
      <w:r w:rsidRPr="00CA02C9">
        <w:t xml:space="preserve"> food products, especially meat</w:t>
      </w:r>
      <w:r>
        <w:t>. B</w:t>
      </w:r>
      <w:r w:rsidRPr="00CA02C9">
        <w:t>eef exports performed particularly well</w:t>
      </w:r>
      <w:r>
        <w:t xml:space="preserve"> </w:t>
      </w:r>
      <w:r w:rsidRPr="00C2556A">
        <w:t xml:space="preserve">as Victorian producers increased supply in response to drought conditions and high global demand. </w:t>
      </w:r>
    </w:p>
    <w:p w14:paraId="632AE95F" w14:textId="360E6709" w:rsidR="000C23A5" w:rsidRDefault="000C23A5" w:rsidP="000C23A5">
      <w:r>
        <w:t xml:space="preserve">The </w:t>
      </w:r>
      <w:r w:rsidR="00A36FB0">
        <w:t>strength</w:t>
      </w:r>
      <w:r w:rsidDel="00790247">
        <w:t xml:space="preserve"> of </w:t>
      </w:r>
      <w:r>
        <w:t>the Victorian economy has supported a healthy labour market. T</w:t>
      </w:r>
      <w:r w:rsidRPr="00A102EC">
        <w:t xml:space="preserve">he share of the </w:t>
      </w:r>
      <w:r>
        <w:t xml:space="preserve">Victorian </w:t>
      </w:r>
      <w:r w:rsidRPr="00A102EC">
        <w:t xml:space="preserve">working-age population in employment </w:t>
      </w:r>
      <w:r>
        <w:t>and the participation rate were both at record levels in 2024-25</w:t>
      </w:r>
      <w:r w:rsidRPr="00A102EC">
        <w:t>.</w:t>
      </w:r>
      <w:r>
        <w:t xml:space="preserve"> In annual terms, employment grew by a strong 2.</w:t>
      </w:r>
      <w:r w:rsidR="00253548">
        <w:t>5</w:t>
      </w:r>
      <w:r>
        <w:t xml:space="preserve"> per cent. </w:t>
      </w:r>
      <w:r w:rsidRPr="00A102EC">
        <w:t xml:space="preserve">The unemployment rate </w:t>
      </w:r>
      <w:r>
        <w:t>increased modestly</w:t>
      </w:r>
      <w:r w:rsidRPr="00A102EC">
        <w:t>, averaging 4.4 per cent</w:t>
      </w:r>
      <w:r w:rsidRPr="00CC02E8">
        <w:t xml:space="preserve"> </w:t>
      </w:r>
      <w:r w:rsidRPr="00A102EC">
        <w:t>in 2024</w:t>
      </w:r>
      <w:r w:rsidR="0054690B">
        <w:noBreakHyphen/>
      </w:r>
      <w:r w:rsidRPr="00A102EC">
        <w:t xml:space="preserve">25, </w:t>
      </w:r>
      <w:r>
        <w:t>but</w:t>
      </w:r>
      <w:r w:rsidRPr="00A102EC">
        <w:t xml:space="preserve"> remained below the 20-year pre</w:t>
      </w:r>
      <w:r w:rsidR="0054690B">
        <w:noBreakHyphen/>
      </w:r>
      <w:r w:rsidRPr="00A102EC">
        <w:t>pandemic average of 5.5 per cent.</w:t>
      </w:r>
    </w:p>
    <w:p w14:paraId="0047D1AF" w14:textId="25DFD564" w:rsidR="000C23A5" w:rsidRDefault="000C23A5" w:rsidP="000C23A5">
      <w:r w:rsidRPr="0026111A">
        <w:t xml:space="preserve">Inflation </w:t>
      </w:r>
      <w:r>
        <w:t xml:space="preserve">continued to ease </w:t>
      </w:r>
      <w:r w:rsidRPr="0026111A">
        <w:t xml:space="preserve">over the year, with headline </w:t>
      </w:r>
      <w:r>
        <w:t>Melbourne</w:t>
      </w:r>
      <w:r w:rsidRPr="0026111A">
        <w:t xml:space="preserve"> inflation averaging 2.</w:t>
      </w:r>
      <w:r>
        <w:t>4</w:t>
      </w:r>
      <w:r w:rsidRPr="0026111A">
        <w:t xml:space="preserve"> per cent in 2024</w:t>
      </w:r>
      <w:r w:rsidR="007A3EC2">
        <w:t>-</w:t>
      </w:r>
      <w:r w:rsidRPr="0026111A">
        <w:t>25</w:t>
      </w:r>
      <w:r w:rsidRPr="00C80F1E">
        <w:t>. This marks</w:t>
      </w:r>
      <w:r w:rsidRPr="0026111A">
        <w:t xml:space="preserve"> a decline from 4.0 per cent in 2023</w:t>
      </w:r>
      <w:r w:rsidR="0080391E">
        <w:t>-</w:t>
      </w:r>
      <w:r w:rsidRPr="0026111A">
        <w:t>24 and 6.9 per cent in 2022</w:t>
      </w:r>
      <w:r w:rsidR="007A3EC2">
        <w:t>-</w:t>
      </w:r>
      <w:r w:rsidRPr="0026111A">
        <w:t xml:space="preserve">23. </w:t>
      </w:r>
      <w:r w:rsidRPr="00C80F1E">
        <w:t>The slowdown was largely driven by weaker growth in goods prices, as global supply chain disruptions eased and overall demand</w:t>
      </w:r>
      <w:r>
        <w:t xml:space="preserve"> for goods</w:t>
      </w:r>
      <w:r w:rsidRPr="00C80F1E">
        <w:t xml:space="preserve"> </w:t>
      </w:r>
      <w:r>
        <w:t>moderated</w:t>
      </w:r>
      <w:r w:rsidRPr="00C80F1E">
        <w:t>. Lower global oil prices led to a fall in automotive fuel costs, while electricity prices dropped significantly, supported by temporary government energy rebates.</w:t>
      </w:r>
      <w:r>
        <w:t xml:space="preserve"> </w:t>
      </w:r>
      <w:r w:rsidRPr="00C80F1E">
        <w:t>Price growth in services</w:t>
      </w:r>
      <w:r w:rsidR="00716AD2">
        <w:t xml:space="preserve"> – </w:t>
      </w:r>
      <w:r w:rsidRPr="00C80F1E">
        <w:t>such as rents, education, and insurance</w:t>
      </w:r>
      <w:r w:rsidR="00716AD2">
        <w:t xml:space="preserve"> – </w:t>
      </w:r>
      <w:r w:rsidRPr="00C80F1E">
        <w:t>also slowed.</w:t>
      </w:r>
      <w:r>
        <w:t xml:space="preserve"> </w:t>
      </w:r>
      <w:r w:rsidRPr="0026111A">
        <w:t>In response</w:t>
      </w:r>
      <w:r>
        <w:t xml:space="preserve"> to easing inflation</w:t>
      </w:r>
      <w:r w:rsidRPr="0026111A">
        <w:t>, the R</w:t>
      </w:r>
      <w:r>
        <w:t xml:space="preserve">eserve Bank of Australia </w:t>
      </w:r>
      <w:r w:rsidRPr="0026111A">
        <w:t>reduced the cash rate in</w:t>
      </w:r>
      <w:r>
        <w:t xml:space="preserve"> </w:t>
      </w:r>
      <w:r w:rsidRPr="0026111A">
        <w:t>February</w:t>
      </w:r>
      <w:r>
        <w:t xml:space="preserve">, May and August </w:t>
      </w:r>
      <w:r w:rsidRPr="0026111A">
        <w:t>2025.</w:t>
      </w:r>
    </w:p>
    <w:p w14:paraId="5E43D6D4" w14:textId="334F1AB9" w:rsidR="000C23A5" w:rsidRDefault="000C23A5" w:rsidP="000C23A5">
      <w:r w:rsidRPr="00D42F10">
        <w:t xml:space="preserve">Victorian wages </w:t>
      </w:r>
      <w:r>
        <w:t>grew</w:t>
      </w:r>
      <w:r w:rsidRPr="00D42F10">
        <w:t xml:space="preserve"> </w:t>
      </w:r>
      <w:r w:rsidRPr="00F53003">
        <w:t>by 3.3 per cent</w:t>
      </w:r>
      <w:r w:rsidRPr="00D42F10">
        <w:t xml:space="preserve"> in 2024</w:t>
      </w:r>
      <w:r w:rsidR="007A3EC2">
        <w:t>-</w:t>
      </w:r>
      <w:r w:rsidRPr="00D42F10">
        <w:t xml:space="preserve">25, outpacing inflation and marking the first year of real wages growth since the pandemic. This solid </w:t>
      </w:r>
      <w:r>
        <w:t>wages</w:t>
      </w:r>
      <w:r w:rsidRPr="00D42F10">
        <w:t xml:space="preserve"> growth </w:t>
      </w:r>
      <w:r w:rsidR="00A867F7">
        <w:t>was</w:t>
      </w:r>
      <w:r w:rsidRPr="00D42F10">
        <w:t xml:space="preserve"> supported by a tight labour market over the past couple of years</w:t>
      </w:r>
      <w:r>
        <w:t xml:space="preserve"> and the earlier period of elevated inflation being factored into wage negotiations</w:t>
      </w:r>
      <w:r w:rsidRPr="00D42F10">
        <w:t>. Wage growth in the private sector has been stronger than in the public sector.</w:t>
      </w:r>
    </w:p>
    <w:p w14:paraId="78BCEFA8" w14:textId="370A0AC2" w:rsidR="005E12B0" w:rsidRPr="00613743" w:rsidRDefault="000C23A5" w:rsidP="000C23A5">
      <w:pPr>
        <w:rPr>
          <w:rFonts w:cs="Arial"/>
        </w:rPr>
      </w:pPr>
      <w:r w:rsidRPr="00E70F45">
        <w:t>Victoria</w:t>
      </w:r>
      <w:r w:rsidR="00845934">
        <w:t>’</w:t>
      </w:r>
      <w:r w:rsidRPr="00E70F45">
        <w:t>s population grew by 1.</w:t>
      </w:r>
      <w:r w:rsidR="004B7C5D" w:rsidRPr="00E70F45">
        <w:t>8</w:t>
      </w:r>
      <w:r w:rsidRPr="00E70F45">
        <w:t xml:space="preserve"> per cent over the year to March 2025, based on the latest available data. This marks a moderation in growth following two years of strong increases, but remains a little above the long-term</w:t>
      </w:r>
      <w:r>
        <w:t xml:space="preserve"> average growth rate of 1.7 per cent</w:t>
      </w:r>
      <w:r w:rsidRPr="00190E13">
        <w:t>.</w:t>
      </w:r>
      <w:r w:rsidRPr="0007127C">
        <w:t xml:space="preserve"> </w:t>
      </w:r>
      <w:r>
        <w:t>Over the past year</w:t>
      </w:r>
      <w:r w:rsidRPr="0007127C">
        <w:t>,</w:t>
      </w:r>
      <w:r w:rsidR="00BB2824">
        <w:t xml:space="preserve"> </w:t>
      </w:r>
      <w:r w:rsidR="00BB2824" w:rsidRPr="00BB2824">
        <w:t>the moderation in population growth has been driven by an easing in net overseas migration</w:t>
      </w:r>
      <w:r w:rsidRPr="0007127C">
        <w:t>.</w:t>
      </w:r>
      <w:r>
        <w:t xml:space="preserve"> </w:t>
      </w:r>
      <w:bookmarkStart w:id="5" w:name="_Hlk145590930"/>
      <w:bookmarkStart w:id="6" w:name="_Hlk145590943"/>
    </w:p>
    <w:p w14:paraId="03430974" w14:textId="25A4AA33" w:rsidR="005E12B0" w:rsidRDefault="00CC1335" w:rsidP="005E12B0">
      <w:pPr>
        <w:pStyle w:val="Heading1"/>
        <w:spacing w:before="280"/>
      </w:pPr>
      <w:bookmarkStart w:id="7" w:name="_Toc176189329"/>
      <w:bookmarkEnd w:id="5"/>
      <w:bookmarkEnd w:id="6"/>
      <w:r>
        <w:br w:type="column"/>
      </w:r>
      <w:r w:rsidR="005E12B0">
        <w:t>Fiscal objectives</w:t>
      </w:r>
      <w:bookmarkEnd w:id="7"/>
    </w:p>
    <w:p w14:paraId="3DCE5FB6" w14:textId="28DADB18" w:rsidR="005E12B0" w:rsidRPr="00DE13B6" w:rsidRDefault="005E12B0" w:rsidP="005E12B0">
      <w:r>
        <w:t xml:space="preserve">As part of the </w:t>
      </w:r>
      <w:r w:rsidRPr="1201F633">
        <w:rPr>
          <w:i/>
          <w:iCs/>
        </w:rPr>
        <w:t>202</w:t>
      </w:r>
      <w:r w:rsidR="00517C8A">
        <w:rPr>
          <w:i/>
          <w:iCs/>
        </w:rPr>
        <w:t>4</w:t>
      </w:r>
      <w:r>
        <w:t>-</w:t>
      </w:r>
      <w:r w:rsidRPr="1201F633">
        <w:rPr>
          <w:i/>
          <w:iCs/>
        </w:rPr>
        <w:t>2</w:t>
      </w:r>
      <w:r w:rsidR="00517C8A">
        <w:rPr>
          <w:i/>
          <w:iCs/>
        </w:rPr>
        <w:t>5</w:t>
      </w:r>
      <w:r w:rsidRPr="1201F633">
        <w:rPr>
          <w:i/>
          <w:iCs/>
        </w:rPr>
        <w:t xml:space="preserve"> Budget</w:t>
      </w:r>
      <w:r>
        <w:t>, the Government outlined its financial measures and targets for the 202</w:t>
      </w:r>
      <w:r w:rsidR="00517C8A">
        <w:t>4-</w:t>
      </w:r>
      <w:r>
        <w:t>2</w:t>
      </w:r>
      <w:r w:rsidR="00517C8A">
        <w:t>5</w:t>
      </w:r>
      <w:r>
        <w:t xml:space="preserve"> financial year, including:</w:t>
      </w:r>
    </w:p>
    <w:p w14:paraId="313AA848" w14:textId="4DDFD205" w:rsidR="005E12B0" w:rsidRPr="00DE13B6" w:rsidRDefault="005E12B0" w:rsidP="005E12B0">
      <w:pPr>
        <w:pStyle w:val="ListBullet"/>
      </w:pPr>
      <w:r>
        <w:t>g</w:t>
      </w:r>
      <w:r w:rsidRPr="00DE13B6">
        <w:t xml:space="preserve">eneral government net debt as a percentage of </w:t>
      </w:r>
      <w:r>
        <w:t>gross state product (</w:t>
      </w:r>
      <w:r w:rsidRPr="00DE13B6">
        <w:t>GSP</w:t>
      </w:r>
      <w:r>
        <w:t>)</w:t>
      </w:r>
      <w:r w:rsidRPr="00DE13B6">
        <w:t xml:space="preserve"> to stabilise </w:t>
      </w:r>
      <w:r w:rsidR="004F2F3F" w:rsidRPr="004F2F3F">
        <w:t xml:space="preserve">and reduce </w:t>
      </w:r>
      <w:r w:rsidRPr="00DE13B6">
        <w:t>in the medium term</w:t>
      </w:r>
    </w:p>
    <w:p w14:paraId="3256907F" w14:textId="77777777" w:rsidR="005E12B0" w:rsidRPr="00DE13B6" w:rsidRDefault="005E12B0" w:rsidP="005E12B0">
      <w:pPr>
        <w:pStyle w:val="ListBullet"/>
        <w:numPr>
          <w:ilvl w:val="0"/>
          <w:numId w:val="18"/>
        </w:numPr>
      </w:pPr>
      <w:r>
        <w:t>g</w:t>
      </w:r>
      <w:r w:rsidRPr="00DE13B6">
        <w:t>eneral government interest expense as a percentage of revenue to stabilise in the medium term</w:t>
      </w:r>
    </w:p>
    <w:p w14:paraId="3DF236C6" w14:textId="77777777" w:rsidR="005E12B0" w:rsidRPr="00DE13B6" w:rsidRDefault="005E12B0" w:rsidP="005E12B0">
      <w:pPr>
        <w:pStyle w:val="ListBullet"/>
        <w:numPr>
          <w:ilvl w:val="0"/>
          <w:numId w:val="16"/>
        </w:numPr>
      </w:pPr>
      <w:r>
        <w:t>f</w:t>
      </w:r>
      <w:r w:rsidRPr="00DE13B6">
        <w:t>ully fund the unfunded superannuation liability by 2035</w:t>
      </w:r>
    </w:p>
    <w:p w14:paraId="102C0D38" w14:textId="29BA7BCF" w:rsidR="005E12B0" w:rsidRPr="00DE13B6" w:rsidRDefault="005E12B0" w:rsidP="005E12B0">
      <w:pPr>
        <w:pStyle w:val="ListBullet"/>
        <w:numPr>
          <w:ilvl w:val="0"/>
          <w:numId w:val="16"/>
        </w:numPr>
      </w:pPr>
      <w:r>
        <w:t>a</w:t>
      </w:r>
      <w:r w:rsidRPr="00DE13B6">
        <w:t xml:space="preserve"> net operating cash surplus consistent with maintaining general government net debt at a sustainable level</w:t>
      </w:r>
      <w:r>
        <w:t>.</w:t>
      </w:r>
    </w:p>
    <w:p w14:paraId="4F525B60" w14:textId="48B0CA52" w:rsidR="005E12B0" w:rsidRPr="00DE13B6" w:rsidRDefault="005E12B0" w:rsidP="005E12B0">
      <w:r w:rsidRPr="00DE13B6">
        <w:t>The 202</w:t>
      </w:r>
      <w:r w:rsidR="009A464D">
        <w:t>4</w:t>
      </w:r>
      <w:r w:rsidRPr="00DE13B6">
        <w:t>-2</w:t>
      </w:r>
      <w:r w:rsidR="009A464D">
        <w:t>5</w:t>
      </w:r>
      <w:r w:rsidRPr="00DE13B6">
        <w:t xml:space="preserve"> results compared with the Government</w:t>
      </w:r>
      <w:r w:rsidR="00845934">
        <w:t>’</w:t>
      </w:r>
      <w:r w:rsidRPr="00DE13B6">
        <w:t xml:space="preserve">s </w:t>
      </w:r>
      <w:r>
        <w:t>financial measures and targets</w:t>
      </w:r>
      <w:r w:rsidRPr="00DE13B6">
        <w:t xml:space="preserve"> were:</w:t>
      </w:r>
    </w:p>
    <w:p w14:paraId="258849B1" w14:textId="476A16D5" w:rsidR="005E12B0" w:rsidRPr="00DE13B6" w:rsidRDefault="005E12B0" w:rsidP="005E12B0">
      <w:pPr>
        <w:pStyle w:val="ListBullet"/>
        <w:numPr>
          <w:ilvl w:val="0"/>
          <w:numId w:val="16"/>
        </w:numPr>
      </w:pPr>
      <w:r w:rsidRPr="00DE13B6">
        <w:t xml:space="preserve">net debt to GSP </w:t>
      </w:r>
      <w:r>
        <w:t>of</w:t>
      </w:r>
      <w:r w:rsidRPr="00DE13B6">
        <w:t xml:space="preserve"> 2</w:t>
      </w:r>
      <w:r w:rsidR="00075C0E">
        <w:t>3</w:t>
      </w:r>
      <w:r w:rsidRPr="00DE13B6">
        <w:t>.</w:t>
      </w:r>
      <w:r w:rsidR="002A2AF6">
        <w:t>7</w:t>
      </w:r>
      <w:r w:rsidRPr="00DE13B6">
        <w:t> per cent at 30 June 202</w:t>
      </w:r>
      <w:r w:rsidR="00075C0E">
        <w:t>5</w:t>
      </w:r>
      <w:r w:rsidRPr="00DE13B6">
        <w:t xml:space="preserve">, lower than the revised estimate </w:t>
      </w:r>
      <w:r>
        <w:t xml:space="preserve">in the </w:t>
      </w:r>
      <w:r w:rsidRPr="00357A76">
        <w:rPr>
          <w:i/>
          <w:iCs/>
        </w:rPr>
        <w:t>202</w:t>
      </w:r>
      <w:r w:rsidR="00075C0E">
        <w:rPr>
          <w:i/>
          <w:iCs/>
        </w:rPr>
        <w:t>5</w:t>
      </w:r>
      <w:r>
        <w:t>-</w:t>
      </w:r>
      <w:r w:rsidRPr="00357A76">
        <w:rPr>
          <w:i/>
          <w:iCs/>
        </w:rPr>
        <w:t>2</w:t>
      </w:r>
      <w:r w:rsidR="00075C0E">
        <w:rPr>
          <w:i/>
          <w:iCs/>
        </w:rPr>
        <w:t>6</w:t>
      </w:r>
      <w:r w:rsidRPr="00357A76">
        <w:rPr>
          <w:i/>
          <w:iCs/>
        </w:rPr>
        <w:t xml:space="preserve"> Budget</w:t>
      </w:r>
      <w:r>
        <w:t xml:space="preserve"> </w:t>
      </w:r>
      <w:r w:rsidRPr="00DE13B6">
        <w:t>of 2</w:t>
      </w:r>
      <w:r w:rsidR="00075C0E">
        <w:t>4</w:t>
      </w:r>
      <w:r w:rsidRPr="00DE13B6">
        <w:t>.</w:t>
      </w:r>
      <w:r w:rsidR="00075C0E">
        <w:t>5</w:t>
      </w:r>
      <w:r w:rsidRPr="00DE13B6">
        <w:t> per cent</w:t>
      </w:r>
      <w:r>
        <w:t xml:space="preserve"> and an </w:t>
      </w:r>
      <w:r w:rsidRPr="00DE13B6">
        <w:t>increas</w:t>
      </w:r>
      <w:r>
        <w:t>e</w:t>
      </w:r>
      <w:r w:rsidRPr="00DE13B6">
        <w:t xml:space="preserve"> from 2</w:t>
      </w:r>
      <w:r w:rsidR="00BC1961">
        <w:t>2</w:t>
      </w:r>
      <w:r w:rsidRPr="00DE13B6">
        <w:t>.</w:t>
      </w:r>
      <w:r w:rsidR="00BC1961">
        <w:t>0</w:t>
      </w:r>
      <w:r w:rsidRPr="00DE13B6">
        <w:t> per cent at 30 June 202</w:t>
      </w:r>
      <w:r w:rsidR="00BC1961">
        <w:t>4</w:t>
      </w:r>
      <w:r w:rsidRPr="00DE13B6">
        <w:t xml:space="preserve"> </w:t>
      </w:r>
    </w:p>
    <w:p w14:paraId="787FE0A4" w14:textId="6CE77F4D" w:rsidR="005E12B0" w:rsidRPr="00642674" w:rsidRDefault="005E12B0" w:rsidP="005E12B0">
      <w:pPr>
        <w:pStyle w:val="ListParagraph"/>
        <w:numPr>
          <w:ilvl w:val="0"/>
          <w:numId w:val="16"/>
        </w:numPr>
      </w:pPr>
      <w:r w:rsidRPr="00642674">
        <w:t>interest expense as a percentage of revenue of 6.</w:t>
      </w:r>
      <w:r w:rsidR="00BC1961">
        <w:t>7</w:t>
      </w:r>
      <w:r w:rsidRPr="00642674">
        <w:t xml:space="preserve"> per cent for the 202</w:t>
      </w:r>
      <w:r w:rsidR="00BC1961">
        <w:t>4</w:t>
      </w:r>
      <w:r>
        <w:t>-2</w:t>
      </w:r>
      <w:r w:rsidR="00BC1961">
        <w:t>5</w:t>
      </w:r>
      <w:r w:rsidRPr="00642674">
        <w:t xml:space="preserve"> financial year, lower than the revised estimate in the </w:t>
      </w:r>
      <w:r w:rsidRPr="004F7196">
        <w:rPr>
          <w:i/>
          <w:iCs/>
        </w:rPr>
        <w:t>202</w:t>
      </w:r>
      <w:r w:rsidR="002978D6">
        <w:rPr>
          <w:i/>
          <w:iCs/>
        </w:rPr>
        <w:t>5</w:t>
      </w:r>
      <w:r w:rsidR="000E2550">
        <w:rPr>
          <w:i/>
          <w:iCs/>
        </w:rPr>
        <w:noBreakHyphen/>
      </w:r>
      <w:r w:rsidRPr="004F7196">
        <w:rPr>
          <w:i/>
          <w:iCs/>
        </w:rPr>
        <w:t>2</w:t>
      </w:r>
      <w:r w:rsidR="002978D6">
        <w:rPr>
          <w:i/>
          <w:iCs/>
        </w:rPr>
        <w:t>6</w:t>
      </w:r>
      <w:r w:rsidR="006E2EFC">
        <w:rPr>
          <w:i/>
          <w:iCs/>
        </w:rPr>
        <w:t> </w:t>
      </w:r>
      <w:r w:rsidRPr="004F7196">
        <w:rPr>
          <w:i/>
          <w:iCs/>
        </w:rPr>
        <w:t>Budget</w:t>
      </w:r>
      <w:r w:rsidRPr="00642674">
        <w:t xml:space="preserve"> of 6.</w:t>
      </w:r>
      <w:r w:rsidR="002978D6">
        <w:t>8</w:t>
      </w:r>
      <w:r w:rsidRPr="00642674">
        <w:t xml:space="preserve"> per cent and an increase of</w:t>
      </w:r>
      <w:r w:rsidR="00153E2B">
        <w:t> </w:t>
      </w:r>
      <w:r w:rsidR="002978D6">
        <w:t>0</w:t>
      </w:r>
      <w:r w:rsidRPr="00642674">
        <w:t>.</w:t>
      </w:r>
      <w:r w:rsidR="002978D6">
        <w:t>6</w:t>
      </w:r>
      <w:r>
        <w:t> </w:t>
      </w:r>
      <w:r w:rsidRPr="00642674">
        <w:t>percentage points compared with the previous year</w:t>
      </w:r>
    </w:p>
    <w:p w14:paraId="5CD9EF82" w14:textId="233F1164" w:rsidR="005E12B0" w:rsidRPr="00DE13B6" w:rsidRDefault="005E12B0" w:rsidP="005E12B0">
      <w:pPr>
        <w:pStyle w:val="ListBullet"/>
        <w:numPr>
          <w:ilvl w:val="0"/>
          <w:numId w:val="16"/>
        </w:numPr>
      </w:pPr>
      <w:r w:rsidRPr="00DE13B6">
        <w:t>a net operating cash surplus of $</w:t>
      </w:r>
      <w:r w:rsidR="002978D6">
        <w:t>3</w:t>
      </w:r>
      <w:r w:rsidRPr="00DE13B6">
        <w:t>.</w:t>
      </w:r>
      <w:r w:rsidR="00DF3D36">
        <w:t>2</w:t>
      </w:r>
      <w:r w:rsidRPr="00DE13B6">
        <w:t> billion, $</w:t>
      </w:r>
      <w:r>
        <w:t>2</w:t>
      </w:r>
      <w:r w:rsidRPr="00DE13B6">
        <w:t>.</w:t>
      </w:r>
      <w:r w:rsidR="00E41EDB">
        <w:t>6</w:t>
      </w:r>
      <w:r w:rsidRPr="00DE13B6">
        <w:t xml:space="preserve"> billion </w:t>
      </w:r>
      <w:r>
        <w:t>higher than</w:t>
      </w:r>
      <w:r w:rsidRPr="00DE13B6">
        <w:t xml:space="preserve"> the </w:t>
      </w:r>
      <w:r w:rsidRPr="0064263C">
        <w:t>revised estimate</w:t>
      </w:r>
      <w:r>
        <w:t xml:space="preserve"> </w:t>
      </w:r>
      <w:r w:rsidRPr="000F1827">
        <w:t xml:space="preserve">in the </w:t>
      </w:r>
      <w:r w:rsidRPr="000F1827">
        <w:rPr>
          <w:i/>
          <w:iCs/>
        </w:rPr>
        <w:t>202</w:t>
      </w:r>
      <w:r w:rsidR="00717CCF">
        <w:rPr>
          <w:i/>
          <w:iCs/>
        </w:rPr>
        <w:t>5</w:t>
      </w:r>
      <w:r>
        <w:t>-</w:t>
      </w:r>
      <w:r w:rsidRPr="000F1827">
        <w:rPr>
          <w:i/>
          <w:iCs/>
        </w:rPr>
        <w:t>2</w:t>
      </w:r>
      <w:r w:rsidR="00717CCF">
        <w:rPr>
          <w:i/>
          <w:iCs/>
        </w:rPr>
        <w:t>6</w:t>
      </w:r>
      <w:r w:rsidRPr="000F1827">
        <w:rPr>
          <w:i/>
        </w:rPr>
        <w:t xml:space="preserve"> Budget</w:t>
      </w:r>
      <w:r>
        <w:rPr>
          <w:i/>
        </w:rPr>
        <w:t xml:space="preserve"> </w:t>
      </w:r>
      <w:r w:rsidRPr="000E260F">
        <w:rPr>
          <w:iCs/>
        </w:rPr>
        <w:t>of $</w:t>
      </w:r>
      <w:r w:rsidR="00717CCF">
        <w:rPr>
          <w:iCs/>
        </w:rPr>
        <w:t>620</w:t>
      </w:r>
      <w:r w:rsidRPr="000E260F">
        <w:rPr>
          <w:iCs/>
        </w:rPr>
        <w:t xml:space="preserve"> million</w:t>
      </w:r>
      <w:r w:rsidRPr="00DE13B6">
        <w:t>.</w:t>
      </w:r>
    </w:p>
    <w:p w14:paraId="2FC638DA" w14:textId="3F9FB844" w:rsidR="005E12B0" w:rsidRDefault="005E12B0" w:rsidP="005E12B0">
      <w:r w:rsidRPr="003649FE">
        <w:t>The Government remains on track to fully fund the unfunded superannuation liability by 2035, with a contribution of $</w:t>
      </w:r>
      <w:r w:rsidR="00E00BE2" w:rsidRPr="00931CC0">
        <w:t>360</w:t>
      </w:r>
      <w:r w:rsidRPr="003649FE">
        <w:t xml:space="preserve"> million made to the State Superannuation Fund, under section 90(2) of the </w:t>
      </w:r>
      <w:r w:rsidRPr="003649FE">
        <w:rPr>
          <w:i/>
        </w:rPr>
        <w:t>State Superannuation Act 1988</w:t>
      </w:r>
      <w:r w:rsidRPr="003649FE">
        <w:t xml:space="preserve">, to fund this liability in </w:t>
      </w:r>
      <w:r w:rsidRPr="00931CC0">
        <w:t>202</w:t>
      </w:r>
      <w:r w:rsidR="00E00BE2" w:rsidRPr="00931CC0">
        <w:t>4</w:t>
      </w:r>
      <w:r w:rsidRPr="00931CC0">
        <w:noBreakHyphen/>
        <w:t>2</w:t>
      </w:r>
      <w:r w:rsidR="00E00BE2" w:rsidRPr="00931CC0">
        <w:t>5</w:t>
      </w:r>
      <w:r w:rsidRPr="00931CC0">
        <w:t>.</w:t>
      </w:r>
      <w:r w:rsidR="00E00BE2" w:rsidRPr="00931CC0">
        <w:t xml:space="preserve"> </w:t>
      </w:r>
    </w:p>
    <w:p w14:paraId="7000FF5B" w14:textId="77777777" w:rsidR="00CC1335" w:rsidRDefault="00CC1335">
      <w:pPr>
        <w:keepLines w:val="0"/>
        <w:rPr>
          <w:rFonts w:asciiTheme="majorHAnsi" w:eastAsiaTheme="majorEastAsia" w:hAnsiTheme="majorHAnsi" w:cstheme="majorBidi"/>
          <w:b/>
          <w:caps/>
          <w:sz w:val="27"/>
          <w:szCs w:val="32"/>
        </w:rPr>
      </w:pPr>
      <w:bookmarkStart w:id="8" w:name="_Toc176189330"/>
      <w:r>
        <w:br w:type="page"/>
      </w:r>
    </w:p>
    <w:p w14:paraId="627FC8E0" w14:textId="392232BB" w:rsidR="005E12B0" w:rsidRPr="002F3709" w:rsidRDefault="005E12B0" w:rsidP="005E12B0">
      <w:pPr>
        <w:pStyle w:val="Heading1"/>
      </w:pPr>
      <w:r w:rsidRPr="002F3709">
        <w:lastRenderedPageBreak/>
        <w:t>Fiscal outcomes</w:t>
      </w:r>
      <w:bookmarkEnd w:id="8"/>
    </w:p>
    <w:p w14:paraId="5B4A36BB" w14:textId="54DAE02A" w:rsidR="005E12B0" w:rsidRPr="002F3709" w:rsidRDefault="005E12B0" w:rsidP="005E12B0">
      <w:r w:rsidRPr="002F3709">
        <w:t>The Government recorded a general government sector operating deficit of $</w:t>
      </w:r>
      <w:r>
        <w:t>2</w:t>
      </w:r>
      <w:r w:rsidRPr="002F3709">
        <w:t>.</w:t>
      </w:r>
      <w:r w:rsidR="004F75D8">
        <w:t>6</w:t>
      </w:r>
      <w:r w:rsidRPr="002F3709">
        <w:t xml:space="preserve"> billion for 202</w:t>
      </w:r>
      <w:r w:rsidR="009F4155">
        <w:t>4</w:t>
      </w:r>
      <w:r>
        <w:t>-</w:t>
      </w:r>
      <w:r w:rsidRPr="002F3709">
        <w:t>2</w:t>
      </w:r>
      <w:r w:rsidR="009F4155">
        <w:t>5</w:t>
      </w:r>
      <w:r w:rsidRPr="002F3709">
        <w:t>.</w:t>
      </w:r>
    </w:p>
    <w:p w14:paraId="478BE8D2" w14:textId="475FEBD8" w:rsidR="00F16577" w:rsidRDefault="005E12B0" w:rsidP="00CC1335">
      <w:r w:rsidRPr="002F3709">
        <w:t>The 202</w:t>
      </w:r>
      <w:r w:rsidR="009F4155">
        <w:t>4</w:t>
      </w:r>
      <w:r>
        <w:t>-</w:t>
      </w:r>
      <w:r w:rsidRPr="002F3709">
        <w:t>2</w:t>
      </w:r>
      <w:r w:rsidR="009F4155">
        <w:t>5</w:t>
      </w:r>
      <w:r w:rsidRPr="002F3709">
        <w:t xml:space="preserve"> operating result was an improvement of $</w:t>
      </w:r>
      <w:r w:rsidR="00112D0F">
        <w:t>816</w:t>
      </w:r>
      <w:r w:rsidR="007B732B" w:rsidRPr="002F3709">
        <w:t xml:space="preserve"> </w:t>
      </w:r>
      <w:r w:rsidRPr="002F3709">
        <w:t xml:space="preserve">million compared with the revised estimate in the </w:t>
      </w:r>
      <w:r w:rsidRPr="002F3709">
        <w:rPr>
          <w:i/>
        </w:rPr>
        <w:t>202</w:t>
      </w:r>
      <w:r w:rsidR="003D6584">
        <w:rPr>
          <w:i/>
        </w:rPr>
        <w:t>5</w:t>
      </w:r>
      <w:r>
        <w:t>-</w:t>
      </w:r>
      <w:r w:rsidRPr="002F3709">
        <w:rPr>
          <w:i/>
        </w:rPr>
        <w:t>2</w:t>
      </w:r>
      <w:r w:rsidR="003D6584">
        <w:rPr>
          <w:i/>
        </w:rPr>
        <w:t>6</w:t>
      </w:r>
      <w:r w:rsidRPr="002F3709">
        <w:rPr>
          <w:i/>
        </w:rPr>
        <w:t xml:space="preserve"> Budget</w:t>
      </w:r>
      <w:r w:rsidRPr="002F3709">
        <w:t xml:space="preserve">, mainly due to </w:t>
      </w:r>
      <w:r w:rsidR="00F16577" w:rsidRPr="00CC1335">
        <w:t>higher</w:t>
      </w:r>
      <w:r w:rsidR="00F16577" w:rsidRPr="00F16577">
        <w:t xml:space="preserve"> than </w:t>
      </w:r>
      <w:r w:rsidR="005E72B6">
        <w:t xml:space="preserve">forecast </w:t>
      </w:r>
      <w:r w:rsidR="00CA5861">
        <w:t>revenue, primarily</w:t>
      </w:r>
      <w:r w:rsidR="00262015">
        <w:t xml:space="preserve"> relating to</w:t>
      </w:r>
      <w:r w:rsidR="00CA5861">
        <w:t xml:space="preserve"> grants and </w:t>
      </w:r>
      <w:r w:rsidR="00D336BB">
        <w:t>other revenue and income</w:t>
      </w:r>
      <w:r w:rsidR="00262015">
        <w:t>. This was</w:t>
      </w:r>
      <w:r w:rsidR="00D336BB">
        <w:t xml:space="preserve"> partially offset by lower than forecast taxation.</w:t>
      </w:r>
    </w:p>
    <w:p w14:paraId="4A964E3B" w14:textId="619388D4" w:rsidR="005E12B0" w:rsidRPr="002F3709" w:rsidRDefault="005E12B0" w:rsidP="00CC1335">
      <w:r w:rsidRPr="002F3709">
        <w:t>Government infrastructure investment (GII), which includes general government net infrastructure investment (net of asset sales) and estimated construction</w:t>
      </w:r>
      <w:r w:rsidR="00EF1D52">
        <w:t>-</w:t>
      </w:r>
      <w:r w:rsidRPr="002F3709">
        <w:t>related cash outflows for Partnerships Victoria projects, was $2</w:t>
      </w:r>
      <w:r w:rsidR="00C87823">
        <w:t>3</w:t>
      </w:r>
      <w:r w:rsidRPr="002F3709">
        <w:t>.</w:t>
      </w:r>
      <w:r w:rsidR="005B0ACD">
        <w:t>5</w:t>
      </w:r>
      <w:r w:rsidR="0067102B" w:rsidRPr="002F3709">
        <w:t> </w:t>
      </w:r>
      <w:r w:rsidRPr="002F3709">
        <w:t>billion for 202</w:t>
      </w:r>
      <w:r w:rsidR="00D52871">
        <w:t>4</w:t>
      </w:r>
      <w:r>
        <w:t>-</w:t>
      </w:r>
      <w:r w:rsidRPr="002F3709">
        <w:t>2</w:t>
      </w:r>
      <w:r w:rsidR="00C87823">
        <w:t>5</w:t>
      </w:r>
      <w:r w:rsidRPr="002F3709">
        <w:t xml:space="preserve">. This was </w:t>
      </w:r>
      <w:r w:rsidR="00F53341">
        <w:t xml:space="preserve">slightly </w:t>
      </w:r>
      <w:r w:rsidR="00C87823">
        <w:t>lower</w:t>
      </w:r>
      <w:r w:rsidRPr="002F3709">
        <w:t xml:space="preserve"> than the revised budget of $2</w:t>
      </w:r>
      <w:r w:rsidR="008B24DD">
        <w:t>3.8</w:t>
      </w:r>
      <w:r>
        <w:t> </w:t>
      </w:r>
      <w:r w:rsidRPr="002F3709">
        <w:t xml:space="preserve">billion published in the </w:t>
      </w:r>
      <w:r w:rsidRPr="002F3709">
        <w:rPr>
          <w:i/>
        </w:rPr>
        <w:t>202</w:t>
      </w:r>
      <w:r w:rsidR="00C87823">
        <w:rPr>
          <w:i/>
        </w:rPr>
        <w:t>5</w:t>
      </w:r>
      <w:r w:rsidR="00E25863">
        <w:t>-</w:t>
      </w:r>
      <w:r w:rsidRPr="002F3709">
        <w:rPr>
          <w:i/>
        </w:rPr>
        <w:t>2</w:t>
      </w:r>
      <w:r w:rsidR="00C87823">
        <w:rPr>
          <w:i/>
        </w:rPr>
        <w:t>6</w:t>
      </w:r>
      <w:r w:rsidR="006E56B5">
        <w:rPr>
          <w:i/>
        </w:rPr>
        <w:t> </w:t>
      </w:r>
      <w:r w:rsidRPr="002F3709">
        <w:rPr>
          <w:i/>
        </w:rPr>
        <w:t>Budget</w:t>
      </w:r>
      <w:bookmarkStart w:id="9" w:name="_Hlk177561468"/>
      <w:r>
        <w:t>.</w:t>
      </w:r>
      <w:r w:rsidRPr="002F3709">
        <w:t xml:space="preserve"> </w:t>
      </w:r>
      <w:bookmarkEnd w:id="9"/>
      <w:r w:rsidR="00126D73" w:rsidRPr="00126D73">
        <w:t>GII decreased by $</w:t>
      </w:r>
      <w:r w:rsidR="00AC69C0">
        <w:t>73</w:t>
      </w:r>
      <w:r w:rsidR="002E4D96">
        <w:t>2</w:t>
      </w:r>
      <w:r w:rsidR="00126D73">
        <w:t xml:space="preserve"> m</w:t>
      </w:r>
      <w:r w:rsidR="00126D73" w:rsidRPr="00126D73">
        <w:t xml:space="preserve">illion </w:t>
      </w:r>
      <w:r w:rsidR="001525E4">
        <w:t xml:space="preserve">in </w:t>
      </w:r>
      <w:r w:rsidR="001525E4" w:rsidRPr="00CC1335">
        <w:t>2024</w:t>
      </w:r>
      <w:r w:rsidR="001525E4">
        <w:t xml:space="preserve">-25 </w:t>
      </w:r>
      <w:r w:rsidR="00126D73" w:rsidRPr="00126D73">
        <w:t xml:space="preserve">compared </w:t>
      </w:r>
      <w:r w:rsidR="001525E4">
        <w:t>with</w:t>
      </w:r>
      <w:r w:rsidR="00126D73" w:rsidRPr="00126D73">
        <w:t xml:space="preserve"> </w:t>
      </w:r>
      <w:r w:rsidR="001525E4">
        <w:t>the</w:t>
      </w:r>
      <w:r w:rsidR="00126D73" w:rsidRPr="00126D73">
        <w:t xml:space="preserve"> peak of $24.2 billion in 2023-24</w:t>
      </w:r>
      <w:r w:rsidR="0080400D">
        <w:t>.</w:t>
      </w:r>
      <w:r w:rsidR="00FA392D">
        <w:t xml:space="preserve"> </w:t>
      </w:r>
      <w:r w:rsidR="00FA392D" w:rsidRPr="00FA392D">
        <w:t>This reflects the Government</w:t>
      </w:r>
      <w:r w:rsidR="00845934">
        <w:t>’</w:t>
      </w:r>
      <w:r w:rsidR="00FA392D" w:rsidRPr="00FA392D">
        <w:t>s commitment to a sustainable infrastructure program and returning infrastructure investment to pre-COVID levels.</w:t>
      </w:r>
    </w:p>
    <w:p w14:paraId="034413CA" w14:textId="57AF38FC" w:rsidR="005E12B0" w:rsidRPr="002F3709" w:rsidRDefault="005E12B0" w:rsidP="00CC1335">
      <w:r w:rsidRPr="002F3709">
        <w:t>Net debt for the general government sector was $1</w:t>
      </w:r>
      <w:r w:rsidR="00430236">
        <w:t>5</w:t>
      </w:r>
      <w:r w:rsidR="00EA0B92">
        <w:t>0.9</w:t>
      </w:r>
      <w:r w:rsidRPr="002F3709">
        <w:t> billion (2</w:t>
      </w:r>
      <w:r w:rsidR="00F10BD6">
        <w:t>3</w:t>
      </w:r>
      <w:r w:rsidRPr="002F3709">
        <w:t>.</w:t>
      </w:r>
      <w:r w:rsidR="00144987">
        <w:t>7</w:t>
      </w:r>
      <w:r w:rsidRPr="002F3709">
        <w:t> per cent of estimated gross state product) at 30 June 202</w:t>
      </w:r>
      <w:r w:rsidR="00F10BD6">
        <w:t>5</w:t>
      </w:r>
      <w:r w:rsidRPr="002F3709">
        <w:t>, $</w:t>
      </w:r>
      <w:r w:rsidR="003875D4">
        <w:t>4</w:t>
      </w:r>
      <w:r w:rsidR="00861046">
        <w:t>.</w:t>
      </w:r>
      <w:r w:rsidR="00F379B6">
        <w:t>7</w:t>
      </w:r>
      <w:r w:rsidRPr="002F3709">
        <w:t> billion lower than the revised estimate</w:t>
      </w:r>
      <w:r>
        <w:t xml:space="preserve"> in the </w:t>
      </w:r>
      <w:r w:rsidRPr="00486E27">
        <w:rPr>
          <w:i/>
          <w:iCs/>
        </w:rPr>
        <w:t>202</w:t>
      </w:r>
      <w:r w:rsidR="00F10BD6">
        <w:rPr>
          <w:i/>
          <w:iCs/>
        </w:rPr>
        <w:t>5</w:t>
      </w:r>
      <w:r w:rsidRPr="00486E27">
        <w:rPr>
          <w:i/>
          <w:iCs/>
        </w:rPr>
        <w:t>-2</w:t>
      </w:r>
      <w:r w:rsidR="00F10BD6">
        <w:rPr>
          <w:i/>
          <w:iCs/>
        </w:rPr>
        <w:t>6</w:t>
      </w:r>
      <w:r w:rsidRPr="00486E27">
        <w:rPr>
          <w:i/>
          <w:iCs/>
        </w:rPr>
        <w:t xml:space="preserve"> Budget</w:t>
      </w:r>
      <w:r w:rsidRPr="002F3709">
        <w:t>. This improved result primarily reflects</w:t>
      </w:r>
      <w:r>
        <w:t xml:space="preserve"> a higher than forecast</w:t>
      </w:r>
      <w:r w:rsidRPr="002F3709">
        <w:t xml:space="preserve"> net operating </w:t>
      </w:r>
      <w:r>
        <w:t>cash surplus</w:t>
      </w:r>
      <w:r w:rsidR="0013712A">
        <w:t xml:space="preserve"> and </w:t>
      </w:r>
      <w:r w:rsidR="003632B8">
        <w:t>capital</w:t>
      </w:r>
      <w:r w:rsidR="004B22A3" w:rsidRPr="004B22A3">
        <w:t xml:space="preserve"> gains from the Victorian Future Fund, Victorian Social Housing Growth Fund and the Victorian Homebuyer Scheme</w:t>
      </w:r>
      <w:r w:rsidRPr="002F3709">
        <w:t>.</w:t>
      </w:r>
      <w:r w:rsidR="001C42C1">
        <w:t xml:space="preserve"> </w:t>
      </w:r>
      <w:r w:rsidR="008F4DA9" w:rsidRPr="008F4DA9">
        <w:t xml:space="preserve">Also contributing to the improvement are </w:t>
      </w:r>
      <w:r w:rsidR="00D53D94" w:rsidRPr="00D53D94">
        <w:t xml:space="preserve">the valuation gains associated with </w:t>
      </w:r>
      <w:r w:rsidR="007E469F" w:rsidRPr="007E469F">
        <w:t xml:space="preserve">the </w:t>
      </w:r>
      <w:r w:rsidR="00244C84" w:rsidRPr="00CC1335">
        <w:t>Victorian</w:t>
      </w:r>
      <w:r w:rsidR="00244C84" w:rsidRPr="00654AA1">
        <w:t xml:space="preserve"> Renewable Energy Target</w:t>
      </w:r>
      <w:r w:rsidR="00244C84" w:rsidRPr="007E469F">
        <w:t xml:space="preserve"> </w:t>
      </w:r>
      <w:r w:rsidR="00244C84">
        <w:t>(</w:t>
      </w:r>
      <w:r w:rsidR="007E469F" w:rsidRPr="007E469F">
        <w:t>VRET</w:t>
      </w:r>
      <w:r w:rsidR="00244C84">
        <w:t>)</w:t>
      </w:r>
      <w:r w:rsidR="007E469F" w:rsidRPr="007E469F">
        <w:t xml:space="preserve"> </w:t>
      </w:r>
      <w:r w:rsidR="0040773D" w:rsidRPr="0040773D">
        <w:t>and</w:t>
      </w:r>
      <w:r w:rsidR="005D5F58" w:rsidRPr="005D5F58">
        <w:t xml:space="preserve"> Bulgana Green Power Hub</w:t>
      </w:r>
      <w:r w:rsidR="0040773D" w:rsidRPr="0040773D">
        <w:t xml:space="preserve"> financial derivative</w:t>
      </w:r>
      <w:r w:rsidR="00550DFE">
        <w:t>s</w:t>
      </w:r>
      <w:r w:rsidR="007E469F" w:rsidRPr="007E469F">
        <w:t xml:space="preserve">, as well as the </w:t>
      </w:r>
      <w:r w:rsidR="008F4DA9" w:rsidRPr="008F4DA9">
        <w:t>lower</w:t>
      </w:r>
      <w:r w:rsidR="008F4DA9">
        <w:t xml:space="preserve"> </w:t>
      </w:r>
      <w:r w:rsidR="008F4DA9" w:rsidRPr="008F4DA9">
        <w:t>than</w:t>
      </w:r>
      <w:r w:rsidR="008F4DA9">
        <w:t xml:space="preserve"> </w:t>
      </w:r>
      <w:r w:rsidR="008F4DA9" w:rsidRPr="008F4DA9">
        <w:t>expected leasing activities</w:t>
      </w:r>
      <w:r w:rsidR="008F4DA9">
        <w:t xml:space="preserve"> primarily </w:t>
      </w:r>
      <w:r w:rsidR="008F4DA9" w:rsidRPr="008F4DA9">
        <w:t>due to the timing of certain office accommodation lease renewals</w:t>
      </w:r>
      <w:r w:rsidR="00DE7C3B">
        <w:t xml:space="preserve"> </w:t>
      </w:r>
      <w:r w:rsidR="00636A41" w:rsidRPr="00636A41">
        <w:t>managed by the Department of Government Services</w:t>
      </w:r>
      <w:r w:rsidR="00733309">
        <w:t xml:space="preserve">. </w:t>
      </w:r>
    </w:p>
    <w:p w14:paraId="619A703A" w14:textId="77777777" w:rsidR="00CC1335" w:rsidRDefault="00CC1335" w:rsidP="00CC1335">
      <w:pPr>
        <w:pStyle w:val="Heading1"/>
      </w:pPr>
      <w:r>
        <w:br w:type="column"/>
      </w:r>
    </w:p>
    <w:p w14:paraId="65B7E481" w14:textId="75BB59C3" w:rsidR="005E12B0" w:rsidRDefault="005E12B0" w:rsidP="00CC1335">
      <w:r w:rsidRPr="002F3709">
        <w:t xml:space="preserve">The net operating </w:t>
      </w:r>
      <w:r>
        <w:t>cash</w:t>
      </w:r>
      <w:r w:rsidRPr="002F3709">
        <w:t xml:space="preserve"> </w:t>
      </w:r>
      <w:r w:rsidRPr="00CC1335">
        <w:t>surplus</w:t>
      </w:r>
      <w:r w:rsidRPr="002F3709">
        <w:t xml:space="preserve"> of $</w:t>
      </w:r>
      <w:r w:rsidR="003969E9">
        <w:t>3</w:t>
      </w:r>
      <w:r w:rsidR="00C03385">
        <w:t>.</w:t>
      </w:r>
      <w:r w:rsidR="00F379B6">
        <w:t>2</w:t>
      </w:r>
      <w:r w:rsidRPr="002F3709">
        <w:t> billion was an improvement of $2.</w:t>
      </w:r>
      <w:r w:rsidR="00F379B6">
        <w:t>6</w:t>
      </w:r>
      <w:r w:rsidRPr="002F3709">
        <w:t> billion compared with the $</w:t>
      </w:r>
      <w:r w:rsidR="006A4D49">
        <w:t>620</w:t>
      </w:r>
      <w:r w:rsidR="004226DF">
        <w:t> </w:t>
      </w:r>
      <w:r w:rsidRPr="002F3709">
        <w:t xml:space="preserve">million surplus forecast in the </w:t>
      </w:r>
      <w:r w:rsidRPr="002F3709">
        <w:rPr>
          <w:i/>
        </w:rPr>
        <w:t>202</w:t>
      </w:r>
      <w:r w:rsidR="006A4D49">
        <w:rPr>
          <w:i/>
        </w:rPr>
        <w:t>5</w:t>
      </w:r>
      <w:r w:rsidR="00402184">
        <w:t>-</w:t>
      </w:r>
      <w:r w:rsidRPr="002F3709">
        <w:rPr>
          <w:i/>
        </w:rPr>
        <w:t>2</w:t>
      </w:r>
      <w:r w:rsidR="006A4D49">
        <w:rPr>
          <w:i/>
        </w:rPr>
        <w:t>6</w:t>
      </w:r>
      <w:r w:rsidRPr="002F3709">
        <w:rPr>
          <w:i/>
        </w:rPr>
        <w:t xml:space="preserve"> Budget</w:t>
      </w:r>
      <w:r w:rsidRPr="002F3709">
        <w:t>. The improvement from the revised budget was primarily driven by</w:t>
      </w:r>
      <w:r>
        <w:t xml:space="preserve"> lower than forecast payments on goods and services and grants due to the timing of payments across departments. There were also higher </w:t>
      </w:r>
      <w:r w:rsidR="0092687F" w:rsidRPr="009F5815">
        <w:t xml:space="preserve">other receipts due to </w:t>
      </w:r>
      <w:r w:rsidR="00EF1D52">
        <w:t xml:space="preserve">an </w:t>
      </w:r>
      <w:r w:rsidR="0092687F" w:rsidRPr="0092687F">
        <w:t xml:space="preserve">improved </w:t>
      </w:r>
      <w:r w:rsidR="00445DDC">
        <w:t>collection rate</w:t>
      </w:r>
      <w:r w:rsidR="0092687F" w:rsidRPr="0092687F">
        <w:t xml:space="preserve"> of fees and fines in the justice sector</w:t>
      </w:r>
      <w:r w:rsidRPr="002F3709">
        <w:t>.</w:t>
      </w:r>
    </w:p>
    <w:p w14:paraId="5AC60494" w14:textId="3FB30E49" w:rsidR="005E12B0" w:rsidRPr="00CC1335" w:rsidRDefault="005E12B0" w:rsidP="00CC1335">
      <w:r w:rsidRPr="00BF152D">
        <w:t xml:space="preserve">Victoria is rated AA+ by Fitch Ratings (Fitch), </w:t>
      </w:r>
      <w:r w:rsidR="00BF152D" w:rsidRPr="00BF152D">
        <w:t>AA</w:t>
      </w:r>
      <w:r w:rsidR="00BF152D" w:rsidRPr="00BF152D">
        <w:rPr>
          <w:rFonts w:ascii="Times New Roman" w:hAnsi="Times New Roman"/>
        </w:rPr>
        <w:t> </w:t>
      </w:r>
      <w:r w:rsidR="00BF152D" w:rsidRPr="00BF152D">
        <w:t>by</w:t>
      </w:r>
      <w:r w:rsidRPr="00BF152D">
        <w:t xml:space="preserve"> Standard &amp; Poor</w:t>
      </w:r>
      <w:r w:rsidR="00845934">
        <w:rPr>
          <w:rFonts w:ascii="Garamond" w:hAnsi="Garamond" w:cs="Garamond"/>
        </w:rPr>
        <w:t>’</w:t>
      </w:r>
      <w:r w:rsidRPr="00BF152D">
        <w:t>s (S&amp;P) and Aa2 by Moody</w:t>
      </w:r>
      <w:r w:rsidR="00845934">
        <w:rPr>
          <w:rFonts w:ascii="Garamond" w:hAnsi="Garamond" w:cs="Garamond"/>
        </w:rPr>
        <w:t>’</w:t>
      </w:r>
      <w:r w:rsidRPr="00BF152D">
        <w:t>s Ratings (Moody</w:t>
      </w:r>
      <w:r w:rsidR="00845934">
        <w:rPr>
          <w:rFonts w:ascii="Garamond" w:hAnsi="Garamond" w:cs="Garamond"/>
        </w:rPr>
        <w:t>’</w:t>
      </w:r>
      <w:r w:rsidRPr="00BF152D">
        <w:t xml:space="preserve">s). All three ratings are with a stable outlook. The Fitch rating and outlook reflect the </w:t>
      </w:r>
      <w:r w:rsidR="00BF152D" w:rsidRPr="00BF152D">
        <w:t>State economy</w:t>
      </w:r>
      <w:r w:rsidR="00845934">
        <w:t>’</w:t>
      </w:r>
      <w:r w:rsidR="00BF152D" w:rsidRPr="00BF152D">
        <w:t>s growth prospects, supported by</w:t>
      </w:r>
      <w:r w:rsidRPr="00BF152D">
        <w:t xml:space="preserve"> strong </w:t>
      </w:r>
      <w:r w:rsidR="00BF152D" w:rsidRPr="00BF152D">
        <w:t xml:space="preserve">employment, rising real wages </w:t>
      </w:r>
      <w:r w:rsidRPr="00BF152D">
        <w:t xml:space="preserve">and </w:t>
      </w:r>
      <w:r w:rsidR="00BF152D" w:rsidRPr="00BF152D">
        <w:t>population growth</w:t>
      </w:r>
      <w:r w:rsidRPr="00BF152D">
        <w:t xml:space="preserve">, which will </w:t>
      </w:r>
      <w:r w:rsidR="00BF152D" w:rsidRPr="00BF152D">
        <w:t xml:space="preserve">strengthen </w:t>
      </w:r>
      <w:r w:rsidR="00B35DEF">
        <w:t>the State</w:t>
      </w:r>
      <w:r w:rsidR="00845934">
        <w:t>’</w:t>
      </w:r>
      <w:r w:rsidR="00B35DEF">
        <w:t>s</w:t>
      </w:r>
      <w:r w:rsidR="00B35DEF" w:rsidRPr="00BF152D">
        <w:t xml:space="preserve"> </w:t>
      </w:r>
      <w:r w:rsidR="00BF152D" w:rsidRPr="00BF152D">
        <w:t>operating balance over</w:t>
      </w:r>
      <w:r w:rsidRPr="00BF152D">
        <w:t xml:space="preserve"> the </w:t>
      </w:r>
      <w:r w:rsidR="00BF152D" w:rsidRPr="00BF152D">
        <w:t>medium term.</w:t>
      </w:r>
      <w:r w:rsidRPr="00BF152D">
        <w:t xml:space="preserve"> </w:t>
      </w:r>
      <w:r w:rsidR="00BB4385" w:rsidRPr="00BF152D">
        <w:t xml:space="preserve">The </w:t>
      </w:r>
      <w:r w:rsidRPr="00BF152D">
        <w:t>Moody</w:t>
      </w:r>
      <w:r w:rsidR="00845934">
        <w:rPr>
          <w:rFonts w:ascii="Garamond" w:hAnsi="Garamond" w:cs="Garamond"/>
        </w:rPr>
        <w:t>’</w:t>
      </w:r>
      <w:r w:rsidRPr="00BF152D">
        <w:t xml:space="preserve">s rating and outlook reflect the strong institutional framework for Australian states </w:t>
      </w:r>
      <w:r w:rsidR="00BF152D" w:rsidRPr="00BF152D">
        <w:t>which is characterised by close revenue linkages through transfers from the Government of Australia.</w:t>
      </w:r>
      <w:r w:rsidRPr="00BF152D">
        <w:t xml:space="preserve"> S&amp;P in its latest report notes that Victoria</w:t>
      </w:r>
      <w:r w:rsidR="00845934">
        <w:t>’</w:t>
      </w:r>
      <w:r w:rsidRPr="00BF152D">
        <w:t>s economy is wealthy, well</w:t>
      </w:r>
      <w:r w:rsidR="00A37D7E" w:rsidRPr="00BF152D">
        <w:t>-</w:t>
      </w:r>
      <w:r w:rsidRPr="00BF152D">
        <w:t xml:space="preserve">diversified and </w:t>
      </w:r>
      <w:r w:rsidR="00BF152D" w:rsidRPr="00BF152D">
        <w:t>fundamentally sound.</w:t>
      </w:r>
    </w:p>
    <w:p w14:paraId="06972063" w14:textId="7EE59B51" w:rsidR="00BC0C0C" w:rsidRDefault="00BC0C0C">
      <w:pPr>
        <w:keepLines w:val="0"/>
      </w:pPr>
      <w:r>
        <w:br w:type="page"/>
      </w:r>
    </w:p>
    <w:p w14:paraId="49846DAF" w14:textId="77777777" w:rsidR="00CC1335" w:rsidRDefault="00CC1335" w:rsidP="005E12B0"/>
    <w:p w14:paraId="2931830B" w14:textId="77777777" w:rsidR="00CC1335" w:rsidRDefault="00CC1335" w:rsidP="005E12B0">
      <w:pPr>
        <w:sectPr w:rsidR="00CC1335" w:rsidSect="00CC1335">
          <w:type w:val="continuous"/>
          <w:pgSz w:w="11906" w:h="16838" w:code="9"/>
          <w:pgMar w:top="1134" w:right="1134" w:bottom="1134" w:left="1134" w:header="624" w:footer="567" w:gutter="0"/>
          <w:cols w:num="2" w:space="708"/>
          <w:docGrid w:linePitch="360"/>
        </w:sectPr>
      </w:pPr>
    </w:p>
    <w:p w14:paraId="1E64C979" w14:textId="77777777" w:rsidR="00A20CD2" w:rsidRDefault="00A20CD2" w:rsidP="00097095">
      <w:pPr>
        <w:pStyle w:val="ChapterHeading"/>
      </w:pPr>
      <w:bookmarkStart w:id="10" w:name="_Toc209474765"/>
      <w:bookmarkStart w:id="11" w:name="_Toc209474798"/>
      <w:r>
        <w:lastRenderedPageBreak/>
        <w:t>Chapter 2 – General government sector outcome</w:t>
      </w:r>
      <w:bookmarkEnd w:id="10"/>
      <w:bookmarkEnd w:id="11"/>
    </w:p>
    <w:p w14:paraId="7CD04CD0" w14:textId="77777777" w:rsidR="00CC1335" w:rsidRDefault="00CC1335" w:rsidP="00366656">
      <w:pPr>
        <w:pStyle w:val="ShadedBoxBullet"/>
        <w:numPr>
          <w:ilvl w:val="0"/>
          <w:numId w:val="17"/>
        </w:numPr>
        <w:ind w:left="360"/>
        <w:sectPr w:rsidR="00CC1335" w:rsidSect="00D123D7">
          <w:headerReference w:type="default" r:id="rId30"/>
          <w:footerReference w:type="even" r:id="rId31"/>
          <w:footerReference w:type="default" r:id="rId32"/>
          <w:headerReference w:type="first" r:id="rId33"/>
          <w:footerReference w:type="first" r:id="rId34"/>
          <w:pgSz w:w="11906" w:h="16838" w:code="9"/>
          <w:pgMar w:top="1134" w:right="1134" w:bottom="1134" w:left="1134" w:header="624" w:footer="567" w:gutter="0"/>
          <w:cols w:space="708"/>
          <w:docGrid w:linePitch="360"/>
        </w:sectPr>
      </w:pPr>
    </w:p>
    <w:p w14:paraId="169ABCF0" w14:textId="00C89265" w:rsidR="00366656" w:rsidRPr="000F1827" w:rsidRDefault="00366656" w:rsidP="006B65A0">
      <w:pPr>
        <w:pStyle w:val="ShadedBoxBullet"/>
        <w:numPr>
          <w:ilvl w:val="0"/>
          <w:numId w:val="17"/>
        </w:numPr>
        <w:shd w:val="clear" w:color="auto" w:fill="E7E6E6" w:themeFill="background2"/>
        <w:ind w:left="360"/>
      </w:pPr>
      <w:r w:rsidRPr="000F1827">
        <w:t xml:space="preserve">The Government recorded a general government sector </w:t>
      </w:r>
      <w:r w:rsidR="00FD37CA">
        <w:t xml:space="preserve">net result from transactions deficit </w:t>
      </w:r>
      <w:r w:rsidRPr="000F1827">
        <w:t>of $</w:t>
      </w:r>
      <w:r w:rsidR="00E63FC7">
        <w:t>2.</w:t>
      </w:r>
      <w:r w:rsidR="00A61A3A">
        <w:t>6</w:t>
      </w:r>
      <w:r w:rsidR="00FF147B">
        <w:t xml:space="preserve"> </w:t>
      </w:r>
      <w:r w:rsidRPr="000F1827">
        <w:t>billion in 202</w:t>
      </w:r>
      <w:r w:rsidR="001402EA">
        <w:t>4</w:t>
      </w:r>
      <w:r w:rsidRPr="000F1827">
        <w:t>-2</w:t>
      </w:r>
      <w:r w:rsidR="001402EA">
        <w:t>5</w:t>
      </w:r>
      <w:r>
        <w:t>, an improvement of $</w:t>
      </w:r>
      <w:r w:rsidR="00BC4ED1">
        <w:t>1</w:t>
      </w:r>
      <w:r>
        <w:t>.</w:t>
      </w:r>
      <w:r w:rsidR="001725AE">
        <w:t>6</w:t>
      </w:r>
      <w:r>
        <w:t xml:space="preserve"> billion compared with </w:t>
      </w:r>
      <w:r w:rsidR="00B305CD">
        <w:t xml:space="preserve">the </w:t>
      </w:r>
      <w:r>
        <w:t>$</w:t>
      </w:r>
      <w:r w:rsidR="00895029">
        <w:t>4</w:t>
      </w:r>
      <w:r>
        <w:t>.</w:t>
      </w:r>
      <w:r w:rsidR="00895029">
        <w:t>2</w:t>
      </w:r>
      <w:r>
        <w:t xml:space="preserve"> billion </w:t>
      </w:r>
      <w:r w:rsidR="00F2626A">
        <w:t xml:space="preserve">deficit </w:t>
      </w:r>
      <w:r>
        <w:t>in 202</w:t>
      </w:r>
      <w:r w:rsidR="00895029">
        <w:t>3</w:t>
      </w:r>
      <w:r>
        <w:t>-2</w:t>
      </w:r>
      <w:r w:rsidR="00895029">
        <w:t>4</w:t>
      </w:r>
      <w:r w:rsidRPr="000F1827">
        <w:t>.</w:t>
      </w:r>
    </w:p>
    <w:p w14:paraId="494EEF52" w14:textId="6840AB75" w:rsidR="00366656" w:rsidRPr="000F1827" w:rsidRDefault="00366656" w:rsidP="006B65A0">
      <w:pPr>
        <w:pStyle w:val="ShadedBoxBullet"/>
        <w:numPr>
          <w:ilvl w:val="0"/>
          <w:numId w:val="17"/>
        </w:numPr>
        <w:shd w:val="clear" w:color="auto" w:fill="E7E6E6" w:themeFill="background2"/>
        <w:ind w:left="360"/>
      </w:pPr>
      <w:r w:rsidRPr="000F1827">
        <w:t>The 202</w:t>
      </w:r>
      <w:r w:rsidR="004B0732">
        <w:t>4</w:t>
      </w:r>
      <w:r w:rsidRPr="000F1827">
        <w:t>-2</w:t>
      </w:r>
      <w:r w:rsidR="004B0732">
        <w:t>5</w:t>
      </w:r>
      <w:r w:rsidRPr="000F1827">
        <w:t xml:space="preserve"> operating result was an improvement of $</w:t>
      </w:r>
      <w:r w:rsidR="001725AE">
        <w:t>816</w:t>
      </w:r>
      <w:r w:rsidRPr="000F1827">
        <w:t xml:space="preserve"> million compared with the revised estimate in the </w:t>
      </w:r>
      <w:r w:rsidRPr="000F1827">
        <w:rPr>
          <w:i/>
          <w:iCs/>
        </w:rPr>
        <w:t>202</w:t>
      </w:r>
      <w:r w:rsidR="000B7D18">
        <w:rPr>
          <w:i/>
          <w:iCs/>
        </w:rPr>
        <w:t>5</w:t>
      </w:r>
      <w:r w:rsidRPr="000F1827">
        <w:rPr>
          <w:i/>
          <w:iCs/>
        </w:rPr>
        <w:t>-2</w:t>
      </w:r>
      <w:r w:rsidR="000B7D18">
        <w:rPr>
          <w:i/>
          <w:iCs/>
        </w:rPr>
        <w:t>6</w:t>
      </w:r>
      <w:r w:rsidRPr="000F1827">
        <w:rPr>
          <w:i/>
        </w:rPr>
        <w:t xml:space="preserve"> Budget</w:t>
      </w:r>
      <w:r w:rsidR="00121D6B">
        <w:t>,</w:t>
      </w:r>
      <w:r w:rsidR="001001E1">
        <w:t xml:space="preserve"> primarily driven by</w:t>
      </w:r>
      <w:r w:rsidR="00ED084C">
        <w:t xml:space="preserve"> </w:t>
      </w:r>
      <w:r w:rsidR="00490DA3">
        <w:t>higher than expected</w:t>
      </w:r>
      <w:r w:rsidR="00C06556">
        <w:t xml:space="preserve"> </w:t>
      </w:r>
      <w:r w:rsidR="005C6B67">
        <w:t>r</w:t>
      </w:r>
      <w:r w:rsidRPr="000F1827">
        <w:t xml:space="preserve">evenue </w:t>
      </w:r>
      <w:r w:rsidR="005C6B67">
        <w:t>of</w:t>
      </w:r>
      <w:r w:rsidR="00ED084C">
        <w:t xml:space="preserve"> </w:t>
      </w:r>
      <w:r w:rsidRPr="000F1827">
        <w:t>$</w:t>
      </w:r>
      <w:r w:rsidR="001725AE">
        <w:t>748</w:t>
      </w:r>
      <w:r w:rsidRPr="000F1827">
        <w:t> </w:t>
      </w:r>
      <w:r w:rsidR="00234F9F">
        <w:t>m</w:t>
      </w:r>
      <w:r w:rsidRPr="000F1827">
        <w:t>illion</w:t>
      </w:r>
      <w:r w:rsidR="005C6B67">
        <w:t>.</w:t>
      </w:r>
    </w:p>
    <w:p w14:paraId="743FF61A" w14:textId="51AF6284" w:rsidR="00366656" w:rsidRPr="000F1827" w:rsidRDefault="00366656" w:rsidP="006B65A0">
      <w:pPr>
        <w:pStyle w:val="ShadedBoxBullet"/>
        <w:numPr>
          <w:ilvl w:val="0"/>
          <w:numId w:val="17"/>
        </w:numPr>
        <w:shd w:val="clear" w:color="auto" w:fill="E7E6E6" w:themeFill="background2"/>
        <w:ind w:left="360"/>
      </w:pPr>
      <w:r w:rsidRPr="000F1827">
        <w:t>The level of government infrastructure investment was $2</w:t>
      </w:r>
      <w:r w:rsidR="001C5D98">
        <w:t>3</w:t>
      </w:r>
      <w:r w:rsidRPr="000F1827">
        <w:t>.</w:t>
      </w:r>
      <w:r w:rsidR="00122E09">
        <w:t>5</w:t>
      </w:r>
      <w:r w:rsidRPr="000F1827">
        <w:t> billion in 202</w:t>
      </w:r>
      <w:r w:rsidR="00764478">
        <w:t>4</w:t>
      </w:r>
      <w:r w:rsidRPr="000F1827">
        <w:t>-2</w:t>
      </w:r>
      <w:r w:rsidR="00764478">
        <w:t>5</w:t>
      </w:r>
      <w:r w:rsidRPr="000F1827">
        <w:t xml:space="preserve">. This was </w:t>
      </w:r>
      <w:r w:rsidR="00F94F09">
        <w:t>slightly</w:t>
      </w:r>
      <w:r w:rsidRPr="000F1827">
        <w:t xml:space="preserve"> </w:t>
      </w:r>
      <w:r w:rsidR="00A67D6E">
        <w:t>lower</w:t>
      </w:r>
      <w:r w:rsidRPr="000F1827">
        <w:t xml:space="preserve"> than the revised budget of $2</w:t>
      </w:r>
      <w:r w:rsidR="00BB4167">
        <w:t>3.8</w:t>
      </w:r>
      <w:r w:rsidRPr="000F1827">
        <w:t xml:space="preserve"> billion published in the </w:t>
      </w:r>
      <w:r w:rsidRPr="000F1827">
        <w:rPr>
          <w:i/>
          <w:iCs/>
        </w:rPr>
        <w:t>202</w:t>
      </w:r>
      <w:r w:rsidR="00A67D6E">
        <w:rPr>
          <w:i/>
          <w:iCs/>
        </w:rPr>
        <w:t>5</w:t>
      </w:r>
      <w:r w:rsidRPr="000F1827">
        <w:rPr>
          <w:i/>
          <w:iCs/>
        </w:rPr>
        <w:t>-2</w:t>
      </w:r>
      <w:r w:rsidR="00A67D6E">
        <w:rPr>
          <w:i/>
          <w:iCs/>
        </w:rPr>
        <w:t>6</w:t>
      </w:r>
      <w:r w:rsidRPr="000F1827">
        <w:rPr>
          <w:i/>
        </w:rPr>
        <w:t xml:space="preserve"> Budget</w:t>
      </w:r>
      <w:r w:rsidR="007F5535">
        <w:rPr>
          <w:iCs/>
        </w:rPr>
        <w:t>.</w:t>
      </w:r>
      <w:r w:rsidR="002A1D6A">
        <w:t xml:space="preserve"> </w:t>
      </w:r>
    </w:p>
    <w:p w14:paraId="0DFB7A22" w14:textId="305B513D" w:rsidR="00D57BD8" w:rsidRPr="000F1827" w:rsidRDefault="00366656" w:rsidP="006B65A0">
      <w:pPr>
        <w:pStyle w:val="ShadedBoxBullet"/>
        <w:numPr>
          <w:ilvl w:val="0"/>
          <w:numId w:val="17"/>
        </w:numPr>
        <w:shd w:val="clear" w:color="auto" w:fill="E7E6E6" w:themeFill="background2"/>
        <w:ind w:left="360"/>
      </w:pPr>
      <w:r w:rsidRPr="000F1827">
        <w:t>Net debt for the general government sector was $1</w:t>
      </w:r>
      <w:r w:rsidR="00B47D29">
        <w:t>5</w:t>
      </w:r>
      <w:r w:rsidR="00AE1EA5">
        <w:t>0.9</w:t>
      </w:r>
      <w:r w:rsidRPr="000F1827">
        <w:t xml:space="preserve"> billion (2</w:t>
      </w:r>
      <w:r w:rsidR="0037476C">
        <w:t>3</w:t>
      </w:r>
      <w:r w:rsidRPr="000F1827">
        <w:t>.</w:t>
      </w:r>
      <w:r w:rsidR="00DC7C62">
        <w:t>7</w:t>
      </w:r>
      <w:r w:rsidRPr="000F1827">
        <w:t> per cent of gross state product (GSP)) at 30 June 202</w:t>
      </w:r>
      <w:r w:rsidR="003A1FDB">
        <w:t>5</w:t>
      </w:r>
      <w:r w:rsidRPr="000F1827">
        <w:t xml:space="preserve"> compared with $1</w:t>
      </w:r>
      <w:r w:rsidR="003A1FDB">
        <w:t>5</w:t>
      </w:r>
      <w:r w:rsidRPr="000F1827">
        <w:t>5.</w:t>
      </w:r>
      <w:r w:rsidR="003A1FDB">
        <w:t>5</w:t>
      </w:r>
      <w:r w:rsidRPr="000F1827">
        <w:t> billion (2</w:t>
      </w:r>
      <w:r w:rsidR="003A1FDB">
        <w:t>4</w:t>
      </w:r>
      <w:r w:rsidRPr="000F1827">
        <w:t>.</w:t>
      </w:r>
      <w:r w:rsidR="003A1FDB">
        <w:t>5</w:t>
      </w:r>
      <w:r w:rsidRPr="000F1827">
        <w:t xml:space="preserve"> per cent of GSP) published in the </w:t>
      </w:r>
      <w:r w:rsidRPr="000F1827">
        <w:rPr>
          <w:i/>
          <w:iCs/>
        </w:rPr>
        <w:t>202</w:t>
      </w:r>
      <w:r w:rsidR="003A1FDB">
        <w:rPr>
          <w:i/>
          <w:iCs/>
        </w:rPr>
        <w:t>5</w:t>
      </w:r>
      <w:r w:rsidRPr="000F1827">
        <w:rPr>
          <w:i/>
          <w:iCs/>
        </w:rPr>
        <w:t>-2</w:t>
      </w:r>
      <w:r w:rsidR="003A1FDB">
        <w:rPr>
          <w:i/>
          <w:iCs/>
        </w:rPr>
        <w:t>6</w:t>
      </w:r>
      <w:r w:rsidRPr="000F1827">
        <w:rPr>
          <w:i/>
        </w:rPr>
        <w:t xml:space="preserve"> Budget</w:t>
      </w:r>
      <w:r w:rsidRPr="000F1827">
        <w:t xml:space="preserve">. This improved result </w:t>
      </w:r>
      <w:r>
        <w:t xml:space="preserve">primarily </w:t>
      </w:r>
      <w:r w:rsidRPr="000F1827">
        <w:t xml:space="preserve">reflects </w:t>
      </w:r>
      <w:r w:rsidRPr="007816BD">
        <w:t xml:space="preserve">a </w:t>
      </w:r>
      <w:r w:rsidRPr="000F1827">
        <w:t xml:space="preserve">higher than </w:t>
      </w:r>
      <w:r w:rsidRPr="007816BD">
        <w:t>forecast</w:t>
      </w:r>
      <w:r w:rsidRPr="000F1827">
        <w:t xml:space="preserve"> net operating </w:t>
      </w:r>
      <w:r>
        <w:t>cash</w:t>
      </w:r>
      <w:r w:rsidRPr="007816BD">
        <w:t xml:space="preserve"> surplus</w:t>
      </w:r>
      <w:r w:rsidR="00DF71AC">
        <w:t xml:space="preserve"> and </w:t>
      </w:r>
      <w:r w:rsidR="003632B8">
        <w:t>capital</w:t>
      </w:r>
      <w:r w:rsidR="00DF71AC" w:rsidRPr="004B22A3">
        <w:t xml:space="preserve"> gains from the Victorian Future Fund, Victorian Social Housing Growth Fund and the Victorian Homebuyer Scheme</w:t>
      </w:r>
      <w:r w:rsidR="00AD023B">
        <w:t>.</w:t>
      </w:r>
      <w:r w:rsidR="00AF5E48">
        <w:t xml:space="preserve"> </w:t>
      </w:r>
      <w:r w:rsidR="00AF5E48" w:rsidRPr="00AF5E48">
        <w:t xml:space="preserve">Also contributing to the improvement are </w:t>
      </w:r>
      <w:r w:rsidR="005F5F64" w:rsidRPr="005F5F64">
        <w:t xml:space="preserve">the valuation gains associated with </w:t>
      </w:r>
      <w:r w:rsidR="00894F21" w:rsidRPr="00654AA1">
        <w:t xml:space="preserve">the Victorian Renewable Energy Target (VRET) </w:t>
      </w:r>
      <w:r w:rsidR="008F029E" w:rsidRPr="008F029E">
        <w:t>and</w:t>
      </w:r>
      <w:r w:rsidR="005D5F58">
        <w:t xml:space="preserve"> </w:t>
      </w:r>
      <w:r w:rsidR="005D5F58" w:rsidRPr="005D5F58">
        <w:t>Bulgana Green Power Hub</w:t>
      </w:r>
      <w:r w:rsidR="008F029E" w:rsidRPr="008F029E">
        <w:t xml:space="preserve"> financial derivatives</w:t>
      </w:r>
      <w:r w:rsidR="00894F21">
        <w:t>, as well as</w:t>
      </w:r>
      <w:r w:rsidR="00AF5E48" w:rsidRPr="00AF5E48">
        <w:t xml:space="preserve"> </w:t>
      </w:r>
      <w:r w:rsidR="004E73E0">
        <w:t xml:space="preserve">the </w:t>
      </w:r>
      <w:r w:rsidR="00AF5E48" w:rsidRPr="00AF5E48">
        <w:t>lower than expected leasing activities primarily due to the timing of certain office accommodation lease renewals managed by the Department of Government Services</w:t>
      </w:r>
      <w:r w:rsidR="00D57BD8">
        <w:t>.</w:t>
      </w:r>
    </w:p>
    <w:p w14:paraId="64D27CE6" w14:textId="77777777" w:rsidR="00CE177D" w:rsidRDefault="00CE177D" w:rsidP="00366656">
      <w:pPr>
        <w:pStyle w:val="TableHeading"/>
      </w:pPr>
    </w:p>
    <w:p w14:paraId="53984F94" w14:textId="42136C49" w:rsidR="00F563EA" w:rsidRDefault="00CC1335" w:rsidP="00366656">
      <w:pPr>
        <w:pStyle w:val="TableHeading"/>
        <w:rPr>
          <w:rFonts w:asciiTheme="minorHAnsi" w:hAnsiTheme="minorHAnsi" w:cs="Times New Roman"/>
          <w:b w:val="0"/>
          <w:sz w:val="22"/>
          <w:szCs w:val="22"/>
        </w:rPr>
      </w:pPr>
      <w:r>
        <w:rPr>
          <w:rFonts w:asciiTheme="minorHAnsi" w:hAnsiTheme="minorHAnsi" w:cs="Times New Roman"/>
          <w:b w:val="0"/>
          <w:sz w:val="22"/>
          <w:szCs w:val="22"/>
        </w:rPr>
        <w:br w:type="column"/>
      </w:r>
      <w:r w:rsidR="00CE177D" w:rsidRPr="00C629E4">
        <w:rPr>
          <w:rFonts w:asciiTheme="minorHAnsi" w:hAnsiTheme="minorHAnsi" w:cs="Times New Roman"/>
          <w:b w:val="0"/>
          <w:sz w:val="22"/>
          <w:szCs w:val="22"/>
        </w:rPr>
        <w:t>Fiscal aggregates are useful for assessing the impact of the financial transactions of the Government and its controlled entities on the economy. These measures, derived from the audited financial statements in Chapter 4, are shown in Table 2.1</w:t>
      </w:r>
      <w:r w:rsidR="004738D1" w:rsidRPr="00C629E4">
        <w:rPr>
          <w:rFonts w:asciiTheme="minorHAnsi" w:hAnsiTheme="minorHAnsi" w:cs="Times New Roman"/>
          <w:b w:val="0"/>
          <w:sz w:val="22"/>
          <w:szCs w:val="22"/>
        </w:rPr>
        <w:t xml:space="preserve">. </w:t>
      </w:r>
    </w:p>
    <w:p w14:paraId="5E1FCF68" w14:textId="77777777" w:rsidR="00CC1335" w:rsidRDefault="00CC1335">
      <w:pPr>
        <w:sectPr w:rsidR="00CC1335" w:rsidSect="00CC1335">
          <w:type w:val="continuous"/>
          <w:pgSz w:w="11906" w:h="16838" w:code="9"/>
          <w:pgMar w:top="1134" w:right="1134" w:bottom="1134" w:left="1134" w:header="624" w:footer="567" w:gutter="0"/>
          <w:cols w:num="2" w:space="708"/>
          <w:docGrid w:linePitch="360"/>
        </w:sectPr>
      </w:pPr>
    </w:p>
    <w:p w14:paraId="1772E941" w14:textId="77777777" w:rsidR="00740217" w:rsidRPr="00740217" w:rsidRDefault="00740217"/>
    <w:p w14:paraId="371EBC4A" w14:textId="7AFA0864" w:rsidR="00CE177D" w:rsidRPr="00BF144F" w:rsidRDefault="00366656" w:rsidP="00CC1335">
      <w:pPr>
        <w:pStyle w:val="TableHeading"/>
        <w:pageBreakBefore/>
      </w:pPr>
      <w:r w:rsidRPr="006C13A6">
        <w:lastRenderedPageBreak/>
        <w:t>Table</w:t>
      </w:r>
      <w:r w:rsidR="00852931">
        <w:t xml:space="preserve"> </w:t>
      </w:r>
      <w:r w:rsidRPr="006C13A6">
        <w:t>2.1:</w:t>
      </w:r>
      <w:r w:rsidR="00852931">
        <w:t xml:space="preserve"> </w:t>
      </w:r>
      <w:r w:rsidR="00B63941">
        <w:tab/>
      </w:r>
      <w:r w:rsidRPr="006C13A6">
        <w:t xml:space="preserve">Key fiscal aggregates for the general government sector </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2.xlsx|Table:Key_fiscal_aggregates_GG|MergedHeadingRow:1|TableGroup:Investment in other sectors"/>
      </w:tblPr>
      <w:tblGrid>
        <w:gridCol w:w="6917"/>
        <w:gridCol w:w="907"/>
        <w:gridCol w:w="907"/>
        <w:gridCol w:w="907"/>
      </w:tblGrid>
      <w:tr w:rsidR="005E614D" w14:paraId="3B836F34"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1A7C846C" w14:textId="77777777" w:rsidR="005E614D" w:rsidRDefault="005E614D">
            <w:pPr>
              <w:keepNext/>
            </w:pPr>
          </w:p>
        </w:tc>
        <w:tc>
          <w:tcPr>
            <w:tcW w:w="907" w:type="dxa"/>
          </w:tcPr>
          <w:p w14:paraId="35F0EF10"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77100BC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r>
              <w:br/>
              <w:t xml:space="preserve"> actual</w:t>
            </w:r>
          </w:p>
        </w:tc>
        <w:tc>
          <w:tcPr>
            <w:tcW w:w="907" w:type="dxa"/>
          </w:tcPr>
          <w:p w14:paraId="3D9FEE3D"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r>
              <w:br/>
              <w:t xml:space="preserve"> revised</w:t>
            </w:r>
          </w:p>
        </w:tc>
      </w:tr>
      <w:tr w:rsidR="005E614D" w14:paraId="3DAD9F11" w14:textId="77777777">
        <w:tc>
          <w:tcPr>
            <w:cnfStyle w:val="001000000000" w:firstRow="0" w:lastRow="0" w:firstColumn="1" w:lastColumn="0" w:oddVBand="0" w:evenVBand="0" w:oddHBand="0" w:evenHBand="0" w:firstRowFirstColumn="0" w:firstRowLastColumn="0" w:lastRowFirstColumn="0" w:lastRowLastColumn="0"/>
            <w:tcW w:w="6917" w:type="dxa"/>
          </w:tcPr>
          <w:p w14:paraId="3C4DFDF3" w14:textId="77777777" w:rsidR="005E614D" w:rsidRDefault="000C3A94">
            <w:r>
              <w:rPr>
                <w:b/>
              </w:rPr>
              <w:t>Operating statement aggregates</w:t>
            </w:r>
          </w:p>
        </w:tc>
        <w:tc>
          <w:tcPr>
            <w:tcW w:w="907" w:type="dxa"/>
          </w:tcPr>
          <w:p w14:paraId="171427E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B4A729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21C2B1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EDD98A9" w14:textId="77777777">
        <w:tc>
          <w:tcPr>
            <w:cnfStyle w:val="001000000000" w:firstRow="0" w:lastRow="0" w:firstColumn="1" w:lastColumn="0" w:oddVBand="0" w:evenVBand="0" w:oddHBand="0" w:evenHBand="0" w:firstRowFirstColumn="0" w:firstRowLastColumn="0" w:lastRowFirstColumn="0" w:lastRowLastColumn="0"/>
            <w:tcW w:w="6917" w:type="dxa"/>
          </w:tcPr>
          <w:p w14:paraId="48BC324E" w14:textId="1B09B675" w:rsidR="005E614D" w:rsidRDefault="000C3A94">
            <w:r>
              <w:t xml:space="preserve">Net result from transactions – </w:t>
            </w:r>
            <w:r w:rsidR="00B47858">
              <w:t>N</w:t>
            </w:r>
            <w:r>
              <w:t>et operating balance</w:t>
            </w:r>
          </w:p>
        </w:tc>
        <w:tc>
          <w:tcPr>
            <w:tcW w:w="907" w:type="dxa"/>
          </w:tcPr>
          <w:p w14:paraId="76E2C016" w14:textId="77777777" w:rsidR="005E614D" w:rsidRDefault="000C3A94">
            <w:pPr>
              <w:cnfStyle w:val="000000000000" w:firstRow="0" w:lastRow="0" w:firstColumn="0" w:lastColumn="0" w:oddVBand="0" w:evenVBand="0" w:oddHBand="0" w:evenHBand="0" w:firstRowFirstColumn="0" w:firstRowLastColumn="0" w:lastRowFirstColumn="0" w:lastRowLastColumn="0"/>
            </w:pPr>
            <w:r>
              <w:t>(4 223)</w:t>
            </w:r>
          </w:p>
        </w:tc>
        <w:tc>
          <w:tcPr>
            <w:tcW w:w="907" w:type="dxa"/>
          </w:tcPr>
          <w:p w14:paraId="73EFFF74" w14:textId="77777777" w:rsidR="005E614D" w:rsidRDefault="000C3A94">
            <w:pPr>
              <w:cnfStyle w:val="000000000000" w:firstRow="0" w:lastRow="0" w:firstColumn="0" w:lastColumn="0" w:oddVBand="0" w:evenVBand="0" w:oddHBand="0" w:evenHBand="0" w:firstRowFirstColumn="0" w:firstRowLastColumn="0" w:lastRowFirstColumn="0" w:lastRowLastColumn="0"/>
            </w:pPr>
            <w:r>
              <w:t>(2 626)</w:t>
            </w:r>
          </w:p>
        </w:tc>
        <w:tc>
          <w:tcPr>
            <w:tcW w:w="907" w:type="dxa"/>
          </w:tcPr>
          <w:p w14:paraId="592801E5" w14:textId="77777777" w:rsidR="005E614D" w:rsidRDefault="000C3A94">
            <w:pPr>
              <w:cnfStyle w:val="000000000000" w:firstRow="0" w:lastRow="0" w:firstColumn="0" w:lastColumn="0" w:oddVBand="0" w:evenVBand="0" w:oddHBand="0" w:evenHBand="0" w:firstRowFirstColumn="0" w:firstRowLastColumn="0" w:lastRowFirstColumn="0" w:lastRowLastColumn="0"/>
            </w:pPr>
            <w:r>
              <w:t>(3 441)</w:t>
            </w:r>
          </w:p>
        </w:tc>
      </w:tr>
      <w:tr w:rsidR="005E614D" w14:paraId="7676C9B6" w14:textId="77777777">
        <w:tc>
          <w:tcPr>
            <w:cnfStyle w:val="001000000000" w:firstRow="0" w:lastRow="0" w:firstColumn="1" w:lastColumn="0" w:oddVBand="0" w:evenVBand="0" w:oddHBand="0" w:evenHBand="0" w:firstRowFirstColumn="0" w:firstRowLastColumn="0" w:lastRowFirstColumn="0" w:lastRowLastColumn="0"/>
            <w:tcW w:w="6917" w:type="dxa"/>
          </w:tcPr>
          <w:p w14:paraId="46368FDE" w14:textId="77777777" w:rsidR="005E614D" w:rsidRDefault="000C3A94">
            <w:r>
              <w:t>Net result</w:t>
            </w:r>
          </w:p>
        </w:tc>
        <w:tc>
          <w:tcPr>
            <w:tcW w:w="907" w:type="dxa"/>
          </w:tcPr>
          <w:p w14:paraId="363A16E2" w14:textId="77777777" w:rsidR="005E614D" w:rsidRDefault="000C3A94">
            <w:pPr>
              <w:cnfStyle w:val="000000000000" w:firstRow="0" w:lastRow="0" w:firstColumn="0" w:lastColumn="0" w:oddVBand="0" w:evenVBand="0" w:oddHBand="0" w:evenHBand="0" w:firstRowFirstColumn="0" w:firstRowLastColumn="0" w:lastRowFirstColumn="0" w:lastRowLastColumn="0"/>
            </w:pPr>
            <w:r>
              <w:t>(4 493)</w:t>
            </w:r>
          </w:p>
        </w:tc>
        <w:tc>
          <w:tcPr>
            <w:tcW w:w="907" w:type="dxa"/>
          </w:tcPr>
          <w:p w14:paraId="6D8CB0C5"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c>
          <w:tcPr>
            <w:tcW w:w="907" w:type="dxa"/>
          </w:tcPr>
          <w:p w14:paraId="49665925" w14:textId="77777777" w:rsidR="005E614D" w:rsidRDefault="000C3A94">
            <w:pPr>
              <w:cnfStyle w:val="000000000000" w:firstRow="0" w:lastRow="0" w:firstColumn="0" w:lastColumn="0" w:oddVBand="0" w:evenVBand="0" w:oddHBand="0" w:evenHBand="0" w:firstRowFirstColumn="0" w:firstRowLastColumn="0" w:lastRowFirstColumn="0" w:lastRowLastColumn="0"/>
            </w:pPr>
            <w:r>
              <w:t>(3 822)</w:t>
            </w:r>
          </w:p>
        </w:tc>
      </w:tr>
      <w:tr w:rsidR="005E614D" w14:paraId="614D2076" w14:textId="77777777">
        <w:tc>
          <w:tcPr>
            <w:cnfStyle w:val="001000000000" w:firstRow="0" w:lastRow="0" w:firstColumn="1" w:lastColumn="0" w:oddVBand="0" w:evenVBand="0" w:oddHBand="0" w:evenHBand="0" w:firstRowFirstColumn="0" w:firstRowLastColumn="0" w:lastRowFirstColumn="0" w:lastRowLastColumn="0"/>
            <w:tcW w:w="6917" w:type="dxa"/>
          </w:tcPr>
          <w:p w14:paraId="46255330" w14:textId="77777777" w:rsidR="005E614D" w:rsidRDefault="000C3A94">
            <w:r>
              <w:t>Net lending/(borrowing)</w:t>
            </w:r>
          </w:p>
        </w:tc>
        <w:tc>
          <w:tcPr>
            <w:tcW w:w="907" w:type="dxa"/>
          </w:tcPr>
          <w:p w14:paraId="20F52CE2" w14:textId="77777777" w:rsidR="005E614D" w:rsidRDefault="000C3A94">
            <w:pPr>
              <w:cnfStyle w:val="000000000000" w:firstRow="0" w:lastRow="0" w:firstColumn="0" w:lastColumn="0" w:oddVBand="0" w:evenVBand="0" w:oddHBand="0" w:evenHBand="0" w:firstRowFirstColumn="0" w:firstRowLastColumn="0" w:lastRowFirstColumn="0" w:lastRowLastColumn="0"/>
            </w:pPr>
            <w:r>
              <w:t>(17 099)</w:t>
            </w:r>
          </w:p>
        </w:tc>
        <w:tc>
          <w:tcPr>
            <w:tcW w:w="907" w:type="dxa"/>
          </w:tcPr>
          <w:p w14:paraId="78C7A8C6" w14:textId="77777777" w:rsidR="005E614D" w:rsidRDefault="000C3A94">
            <w:pPr>
              <w:cnfStyle w:val="000000000000" w:firstRow="0" w:lastRow="0" w:firstColumn="0" w:lastColumn="0" w:oddVBand="0" w:evenVBand="0" w:oddHBand="0" w:evenHBand="0" w:firstRowFirstColumn="0" w:firstRowLastColumn="0" w:lastRowFirstColumn="0" w:lastRowLastColumn="0"/>
            </w:pPr>
            <w:r>
              <w:t>(13 079)</w:t>
            </w:r>
          </w:p>
        </w:tc>
        <w:tc>
          <w:tcPr>
            <w:tcW w:w="907" w:type="dxa"/>
          </w:tcPr>
          <w:p w14:paraId="1EA2A97F" w14:textId="77777777" w:rsidR="005E614D" w:rsidRDefault="000C3A94">
            <w:pPr>
              <w:cnfStyle w:val="000000000000" w:firstRow="0" w:lastRow="0" w:firstColumn="0" w:lastColumn="0" w:oddVBand="0" w:evenVBand="0" w:oddHBand="0" w:evenHBand="0" w:firstRowFirstColumn="0" w:firstRowLastColumn="0" w:lastRowFirstColumn="0" w:lastRowLastColumn="0"/>
            </w:pPr>
            <w:r>
              <w:t>(16 008)</w:t>
            </w:r>
          </w:p>
        </w:tc>
      </w:tr>
      <w:tr w:rsidR="005E614D" w14:paraId="0C9FEC8B" w14:textId="77777777" w:rsidTr="005E614D">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6E338F7" w14:textId="22246166" w:rsidR="005E614D" w:rsidRDefault="000C3A94">
            <w:r>
              <w:t xml:space="preserve">Comprehensive result – </w:t>
            </w:r>
            <w:r w:rsidR="00B47858">
              <w:t>T</w:t>
            </w:r>
            <w:r>
              <w:t>otal change in net worth</w:t>
            </w:r>
          </w:p>
        </w:tc>
        <w:tc>
          <w:tcPr>
            <w:tcW w:w="907" w:type="dxa"/>
            <w:tcBorders>
              <w:bottom w:val="single" w:sz="6" w:space="0" w:color="auto"/>
            </w:tcBorders>
          </w:tcPr>
          <w:p w14:paraId="360D3D5D" w14:textId="77777777" w:rsidR="005E614D" w:rsidRDefault="000C3A94">
            <w:pPr>
              <w:cnfStyle w:val="000000000000" w:firstRow="0" w:lastRow="0" w:firstColumn="0" w:lastColumn="0" w:oddVBand="0" w:evenVBand="0" w:oddHBand="0" w:evenHBand="0" w:firstRowFirstColumn="0" w:firstRowLastColumn="0" w:lastRowFirstColumn="0" w:lastRowLastColumn="0"/>
            </w:pPr>
            <w:r>
              <w:t>3 076</w:t>
            </w:r>
          </w:p>
        </w:tc>
        <w:tc>
          <w:tcPr>
            <w:tcW w:w="907" w:type="dxa"/>
            <w:tcBorders>
              <w:bottom w:val="single" w:sz="6" w:space="0" w:color="auto"/>
            </w:tcBorders>
          </w:tcPr>
          <w:p w14:paraId="34F7E643" w14:textId="77777777" w:rsidR="005E614D" w:rsidRDefault="000C3A94">
            <w:pPr>
              <w:cnfStyle w:val="000000000000" w:firstRow="0" w:lastRow="0" w:firstColumn="0" w:lastColumn="0" w:oddVBand="0" w:evenVBand="0" w:oddHBand="0" w:evenHBand="0" w:firstRowFirstColumn="0" w:firstRowLastColumn="0" w:lastRowFirstColumn="0" w:lastRowLastColumn="0"/>
            </w:pPr>
            <w:r>
              <w:t>(511)</w:t>
            </w:r>
          </w:p>
        </w:tc>
        <w:tc>
          <w:tcPr>
            <w:tcW w:w="907" w:type="dxa"/>
            <w:tcBorders>
              <w:bottom w:val="single" w:sz="6" w:space="0" w:color="auto"/>
            </w:tcBorders>
          </w:tcPr>
          <w:p w14:paraId="25496B23" w14:textId="77777777" w:rsidR="005E614D" w:rsidRDefault="000C3A94">
            <w:pPr>
              <w:cnfStyle w:val="000000000000" w:firstRow="0" w:lastRow="0" w:firstColumn="0" w:lastColumn="0" w:oddVBand="0" w:evenVBand="0" w:oddHBand="0" w:evenHBand="0" w:firstRowFirstColumn="0" w:firstRowLastColumn="0" w:lastRowFirstColumn="0" w:lastRowLastColumn="0"/>
            </w:pPr>
            <w:r>
              <w:t>(176)</w:t>
            </w:r>
          </w:p>
        </w:tc>
      </w:tr>
      <w:tr w:rsidR="005E614D" w14:paraId="219BB3DF" w14:textId="77777777" w:rsidTr="005E614D">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6E424744" w14:textId="77777777" w:rsidR="005E614D" w:rsidRDefault="000C3A94">
            <w:r>
              <w:rPr>
                <w:b/>
              </w:rPr>
              <w:t>Balance sheet aggregates</w:t>
            </w:r>
          </w:p>
        </w:tc>
        <w:tc>
          <w:tcPr>
            <w:tcW w:w="907" w:type="dxa"/>
            <w:tcBorders>
              <w:top w:val="single" w:sz="6" w:space="0" w:color="auto"/>
            </w:tcBorders>
          </w:tcPr>
          <w:p w14:paraId="7FB4F36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BEBF3B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5F1A03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F439C2D" w14:textId="77777777">
        <w:tc>
          <w:tcPr>
            <w:cnfStyle w:val="001000000000" w:firstRow="0" w:lastRow="0" w:firstColumn="1" w:lastColumn="0" w:oddVBand="0" w:evenVBand="0" w:oddHBand="0" w:evenHBand="0" w:firstRowFirstColumn="0" w:firstRowLastColumn="0" w:lastRowFirstColumn="0" w:lastRowLastColumn="0"/>
            <w:tcW w:w="6917" w:type="dxa"/>
          </w:tcPr>
          <w:p w14:paraId="6D5048B4" w14:textId="77777777" w:rsidR="005E614D" w:rsidRDefault="000C3A94">
            <w:r>
              <w:t>Net worth</w:t>
            </w:r>
          </w:p>
        </w:tc>
        <w:tc>
          <w:tcPr>
            <w:tcW w:w="907" w:type="dxa"/>
          </w:tcPr>
          <w:p w14:paraId="3C02014D" w14:textId="77777777" w:rsidR="005E614D" w:rsidRDefault="000C3A94">
            <w:pPr>
              <w:cnfStyle w:val="000000000000" w:firstRow="0" w:lastRow="0" w:firstColumn="0" w:lastColumn="0" w:oddVBand="0" w:evenVBand="0" w:oddHBand="0" w:evenHBand="0" w:firstRowFirstColumn="0" w:firstRowLastColumn="0" w:lastRowFirstColumn="0" w:lastRowLastColumn="0"/>
            </w:pPr>
            <w:r>
              <w:t>189 859</w:t>
            </w:r>
          </w:p>
        </w:tc>
        <w:tc>
          <w:tcPr>
            <w:tcW w:w="907" w:type="dxa"/>
          </w:tcPr>
          <w:p w14:paraId="33F8ADA2" w14:textId="77777777" w:rsidR="005E614D" w:rsidRDefault="000C3A94">
            <w:pPr>
              <w:cnfStyle w:val="000000000000" w:firstRow="0" w:lastRow="0" w:firstColumn="0" w:lastColumn="0" w:oddVBand="0" w:evenVBand="0" w:oddHBand="0" w:evenHBand="0" w:firstRowFirstColumn="0" w:firstRowLastColumn="0" w:lastRowFirstColumn="0" w:lastRowLastColumn="0"/>
            </w:pPr>
            <w:r>
              <w:t>189 307</w:t>
            </w:r>
          </w:p>
        </w:tc>
        <w:tc>
          <w:tcPr>
            <w:tcW w:w="907" w:type="dxa"/>
          </w:tcPr>
          <w:p w14:paraId="6629DE57" w14:textId="77777777" w:rsidR="005E614D" w:rsidRDefault="000C3A94">
            <w:pPr>
              <w:cnfStyle w:val="000000000000" w:firstRow="0" w:lastRow="0" w:firstColumn="0" w:lastColumn="0" w:oddVBand="0" w:evenVBand="0" w:oddHBand="0" w:evenHBand="0" w:firstRowFirstColumn="0" w:firstRowLastColumn="0" w:lastRowFirstColumn="0" w:lastRowLastColumn="0"/>
            </w:pPr>
            <w:r>
              <w:t>189 642</w:t>
            </w:r>
          </w:p>
        </w:tc>
      </w:tr>
      <w:tr w:rsidR="005E614D" w14:paraId="092B4228" w14:textId="77777777">
        <w:tc>
          <w:tcPr>
            <w:cnfStyle w:val="001000000000" w:firstRow="0" w:lastRow="0" w:firstColumn="1" w:lastColumn="0" w:oddVBand="0" w:evenVBand="0" w:oddHBand="0" w:evenHBand="0" w:firstRowFirstColumn="0" w:firstRowLastColumn="0" w:lastRowFirstColumn="0" w:lastRowLastColumn="0"/>
            <w:tcW w:w="6917" w:type="dxa"/>
          </w:tcPr>
          <w:p w14:paraId="0FCB4BC2" w14:textId="77777777" w:rsidR="005E614D" w:rsidRDefault="000C3A94">
            <w:r>
              <w:t>Net financial worth</w:t>
            </w:r>
          </w:p>
        </w:tc>
        <w:tc>
          <w:tcPr>
            <w:tcW w:w="907" w:type="dxa"/>
          </w:tcPr>
          <w:p w14:paraId="05260A0D" w14:textId="77777777" w:rsidR="005E614D" w:rsidRDefault="000C3A94">
            <w:pPr>
              <w:cnfStyle w:val="000000000000" w:firstRow="0" w:lastRow="0" w:firstColumn="0" w:lastColumn="0" w:oddVBand="0" w:evenVBand="0" w:oddHBand="0" w:evenHBand="0" w:firstRowFirstColumn="0" w:firstRowLastColumn="0" w:lastRowFirstColumn="0" w:lastRowLastColumn="0"/>
            </w:pPr>
            <w:r>
              <w:t>(86 686)</w:t>
            </w:r>
          </w:p>
        </w:tc>
        <w:tc>
          <w:tcPr>
            <w:tcW w:w="907" w:type="dxa"/>
          </w:tcPr>
          <w:p w14:paraId="1F5C4D85" w14:textId="77777777" w:rsidR="005E614D" w:rsidRDefault="000C3A94">
            <w:pPr>
              <w:cnfStyle w:val="000000000000" w:firstRow="0" w:lastRow="0" w:firstColumn="0" w:lastColumn="0" w:oddVBand="0" w:evenVBand="0" w:oddHBand="0" w:evenHBand="0" w:firstRowFirstColumn="0" w:firstRowLastColumn="0" w:lastRowFirstColumn="0" w:lastRowLastColumn="0"/>
            </w:pPr>
            <w:r>
              <w:t>(106 266)</w:t>
            </w:r>
          </w:p>
        </w:tc>
        <w:tc>
          <w:tcPr>
            <w:tcW w:w="907" w:type="dxa"/>
          </w:tcPr>
          <w:p w14:paraId="3316B505" w14:textId="77777777" w:rsidR="005E614D" w:rsidRDefault="000C3A94">
            <w:pPr>
              <w:cnfStyle w:val="000000000000" w:firstRow="0" w:lastRow="0" w:firstColumn="0" w:lastColumn="0" w:oddVBand="0" w:evenVBand="0" w:oddHBand="0" w:evenHBand="0" w:firstRowFirstColumn="0" w:firstRowLastColumn="0" w:lastRowFirstColumn="0" w:lastRowLastColumn="0"/>
            </w:pPr>
            <w:r>
              <w:t>(104 423)</w:t>
            </w:r>
          </w:p>
        </w:tc>
      </w:tr>
      <w:tr w:rsidR="005E614D" w14:paraId="7CA2CC20" w14:textId="77777777">
        <w:tc>
          <w:tcPr>
            <w:cnfStyle w:val="001000000000" w:firstRow="0" w:lastRow="0" w:firstColumn="1" w:lastColumn="0" w:oddVBand="0" w:evenVBand="0" w:oddHBand="0" w:evenHBand="0" w:firstRowFirstColumn="0" w:firstRowLastColumn="0" w:lastRowFirstColumn="0" w:lastRowLastColumn="0"/>
            <w:tcW w:w="6917" w:type="dxa"/>
          </w:tcPr>
          <w:p w14:paraId="5B95BAFE" w14:textId="77777777" w:rsidR="005E614D" w:rsidRDefault="000C3A94">
            <w:r>
              <w:t>Net financial liabilities</w:t>
            </w:r>
          </w:p>
        </w:tc>
        <w:tc>
          <w:tcPr>
            <w:tcW w:w="907" w:type="dxa"/>
          </w:tcPr>
          <w:p w14:paraId="1A338089" w14:textId="77777777" w:rsidR="005E614D" w:rsidRDefault="000C3A94">
            <w:pPr>
              <w:cnfStyle w:val="000000000000" w:firstRow="0" w:lastRow="0" w:firstColumn="0" w:lastColumn="0" w:oddVBand="0" w:evenVBand="0" w:oddHBand="0" w:evenHBand="0" w:firstRowFirstColumn="0" w:firstRowLastColumn="0" w:lastRowFirstColumn="0" w:lastRowLastColumn="0"/>
            </w:pPr>
            <w:r>
              <w:t>184 865</w:t>
            </w:r>
          </w:p>
        </w:tc>
        <w:tc>
          <w:tcPr>
            <w:tcW w:w="907" w:type="dxa"/>
          </w:tcPr>
          <w:p w14:paraId="44D6CE94" w14:textId="77777777" w:rsidR="005E614D" w:rsidRDefault="000C3A94">
            <w:pPr>
              <w:cnfStyle w:val="000000000000" w:firstRow="0" w:lastRow="0" w:firstColumn="0" w:lastColumn="0" w:oddVBand="0" w:evenVBand="0" w:oddHBand="0" w:evenHBand="0" w:firstRowFirstColumn="0" w:firstRowLastColumn="0" w:lastRowFirstColumn="0" w:lastRowLastColumn="0"/>
            </w:pPr>
            <w:r>
              <w:t>202 667</w:t>
            </w:r>
          </w:p>
        </w:tc>
        <w:tc>
          <w:tcPr>
            <w:tcW w:w="907" w:type="dxa"/>
          </w:tcPr>
          <w:p w14:paraId="7FBFD030" w14:textId="77777777" w:rsidR="005E614D" w:rsidRDefault="000C3A94">
            <w:pPr>
              <w:cnfStyle w:val="000000000000" w:firstRow="0" w:lastRow="0" w:firstColumn="0" w:lastColumn="0" w:oddVBand="0" w:evenVBand="0" w:oddHBand="0" w:evenHBand="0" w:firstRowFirstColumn="0" w:firstRowLastColumn="0" w:lastRowFirstColumn="0" w:lastRowLastColumn="0"/>
            </w:pPr>
            <w:r>
              <w:t>205 086</w:t>
            </w:r>
          </w:p>
        </w:tc>
      </w:tr>
      <w:tr w:rsidR="005E614D" w14:paraId="298F6862" w14:textId="77777777" w:rsidTr="005E614D">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0C7DF039" w14:textId="77777777" w:rsidR="005E614D" w:rsidRDefault="000C3A94">
            <w:r>
              <w:t>Net debt</w:t>
            </w:r>
          </w:p>
        </w:tc>
        <w:tc>
          <w:tcPr>
            <w:tcW w:w="907" w:type="dxa"/>
            <w:tcBorders>
              <w:bottom w:val="single" w:sz="6" w:space="0" w:color="auto"/>
            </w:tcBorders>
          </w:tcPr>
          <w:p w14:paraId="56757347" w14:textId="77777777" w:rsidR="005E614D" w:rsidRDefault="000C3A94">
            <w:pPr>
              <w:cnfStyle w:val="000000000000" w:firstRow="0" w:lastRow="0" w:firstColumn="0" w:lastColumn="0" w:oddVBand="0" w:evenVBand="0" w:oddHBand="0" w:evenHBand="0" w:firstRowFirstColumn="0" w:firstRowLastColumn="0" w:lastRowFirstColumn="0" w:lastRowLastColumn="0"/>
            </w:pPr>
            <w:r>
              <w:t>133 241</w:t>
            </w:r>
          </w:p>
        </w:tc>
        <w:tc>
          <w:tcPr>
            <w:tcW w:w="907" w:type="dxa"/>
            <w:tcBorders>
              <w:bottom w:val="single" w:sz="6" w:space="0" w:color="auto"/>
            </w:tcBorders>
          </w:tcPr>
          <w:p w14:paraId="72D449F3" w14:textId="77777777" w:rsidR="005E614D" w:rsidRDefault="000C3A94">
            <w:pPr>
              <w:cnfStyle w:val="000000000000" w:firstRow="0" w:lastRow="0" w:firstColumn="0" w:lastColumn="0" w:oddVBand="0" w:evenVBand="0" w:oddHBand="0" w:evenHBand="0" w:firstRowFirstColumn="0" w:firstRowLastColumn="0" w:lastRowFirstColumn="0" w:lastRowLastColumn="0"/>
            </w:pPr>
            <w:r>
              <w:t>150 867</w:t>
            </w:r>
          </w:p>
        </w:tc>
        <w:tc>
          <w:tcPr>
            <w:tcW w:w="907" w:type="dxa"/>
            <w:tcBorders>
              <w:bottom w:val="single" w:sz="6" w:space="0" w:color="auto"/>
            </w:tcBorders>
          </w:tcPr>
          <w:p w14:paraId="5525E357" w14:textId="77777777" w:rsidR="005E614D" w:rsidRDefault="000C3A94">
            <w:pPr>
              <w:cnfStyle w:val="000000000000" w:firstRow="0" w:lastRow="0" w:firstColumn="0" w:lastColumn="0" w:oddVBand="0" w:evenVBand="0" w:oddHBand="0" w:evenHBand="0" w:firstRowFirstColumn="0" w:firstRowLastColumn="0" w:lastRowFirstColumn="0" w:lastRowLastColumn="0"/>
            </w:pPr>
            <w:r>
              <w:t>155 524</w:t>
            </w:r>
          </w:p>
        </w:tc>
      </w:tr>
      <w:tr w:rsidR="005E614D" w14:paraId="118D6F2F" w14:textId="77777777" w:rsidTr="005E614D">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7DA44107" w14:textId="77777777" w:rsidR="005E614D" w:rsidRDefault="000C3A94">
            <w:r>
              <w:rPr>
                <w:b/>
              </w:rPr>
              <w:t>Cash flow statement aggregates</w:t>
            </w:r>
          </w:p>
        </w:tc>
        <w:tc>
          <w:tcPr>
            <w:tcW w:w="907" w:type="dxa"/>
            <w:tcBorders>
              <w:top w:val="single" w:sz="6" w:space="0" w:color="auto"/>
            </w:tcBorders>
          </w:tcPr>
          <w:p w14:paraId="215FAA0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E0B559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3E05E4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26AE15C" w14:textId="77777777">
        <w:tc>
          <w:tcPr>
            <w:cnfStyle w:val="001000000000" w:firstRow="0" w:lastRow="0" w:firstColumn="1" w:lastColumn="0" w:oddVBand="0" w:evenVBand="0" w:oddHBand="0" w:evenHBand="0" w:firstRowFirstColumn="0" w:firstRowLastColumn="0" w:lastRowFirstColumn="0" w:lastRowLastColumn="0"/>
            <w:tcW w:w="6917" w:type="dxa"/>
          </w:tcPr>
          <w:p w14:paraId="79EF2A0C" w14:textId="77777777" w:rsidR="005E614D" w:rsidRDefault="000C3A94">
            <w:r>
              <w:t>Net cash flows from operating activities</w:t>
            </w:r>
          </w:p>
        </w:tc>
        <w:tc>
          <w:tcPr>
            <w:tcW w:w="907" w:type="dxa"/>
          </w:tcPr>
          <w:p w14:paraId="672D159A" w14:textId="77777777" w:rsidR="005E614D" w:rsidRDefault="000C3A94">
            <w:pPr>
              <w:cnfStyle w:val="000000000000" w:firstRow="0" w:lastRow="0" w:firstColumn="0" w:lastColumn="0" w:oddVBand="0" w:evenVBand="0" w:oddHBand="0" w:evenHBand="0" w:firstRowFirstColumn="0" w:firstRowLastColumn="0" w:lastRowFirstColumn="0" w:lastRowLastColumn="0"/>
            </w:pPr>
            <w:r>
              <w:t>2 623</w:t>
            </w:r>
          </w:p>
        </w:tc>
        <w:tc>
          <w:tcPr>
            <w:tcW w:w="907" w:type="dxa"/>
          </w:tcPr>
          <w:p w14:paraId="47A2AFE7" w14:textId="77777777" w:rsidR="005E614D" w:rsidRDefault="000C3A94">
            <w:pPr>
              <w:cnfStyle w:val="000000000000" w:firstRow="0" w:lastRow="0" w:firstColumn="0" w:lastColumn="0" w:oddVBand="0" w:evenVBand="0" w:oddHBand="0" w:evenHBand="0" w:firstRowFirstColumn="0" w:firstRowLastColumn="0" w:lastRowFirstColumn="0" w:lastRowLastColumn="0"/>
            </w:pPr>
            <w:r>
              <w:t>3 233</w:t>
            </w:r>
          </w:p>
        </w:tc>
        <w:tc>
          <w:tcPr>
            <w:tcW w:w="907" w:type="dxa"/>
          </w:tcPr>
          <w:p w14:paraId="47430D87" w14:textId="5FD11425" w:rsidR="005E614D" w:rsidRDefault="000C3A94">
            <w:pPr>
              <w:cnfStyle w:val="000000000000" w:firstRow="0" w:lastRow="0" w:firstColumn="0" w:lastColumn="0" w:oddVBand="0" w:evenVBand="0" w:oddHBand="0" w:evenHBand="0" w:firstRowFirstColumn="0" w:firstRowLastColumn="0" w:lastRowFirstColumn="0" w:lastRowLastColumn="0"/>
            </w:pPr>
            <w:r>
              <w:t>6</w:t>
            </w:r>
            <w:r w:rsidR="00B16B6F">
              <w:t>20</w:t>
            </w:r>
          </w:p>
        </w:tc>
      </w:tr>
      <w:tr w:rsidR="005E614D" w14:paraId="197F1B50" w14:textId="77777777">
        <w:tc>
          <w:tcPr>
            <w:cnfStyle w:val="001000000000" w:firstRow="0" w:lastRow="0" w:firstColumn="1" w:lastColumn="0" w:oddVBand="0" w:evenVBand="0" w:oddHBand="0" w:evenHBand="0" w:firstRowFirstColumn="0" w:firstRowLastColumn="0" w:lastRowFirstColumn="0" w:lastRowLastColumn="0"/>
            <w:tcW w:w="6917" w:type="dxa"/>
          </w:tcPr>
          <w:p w14:paraId="09548727" w14:textId="77777777" w:rsidR="005E614D" w:rsidRDefault="000C3A94">
            <w:r>
              <w:t>Cash surplus/(deficit)</w:t>
            </w:r>
          </w:p>
        </w:tc>
        <w:tc>
          <w:tcPr>
            <w:tcW w:w="907" w:type="dxa"/>
          </w:tcPr>
          <w:p w14:paraId="0AD1990C" w14:textId="77777777" w:rsidR="005E614D" w:rsidRDefault="000C3A94">
            <w:pPr>
              <w:cnfStyle w:val="000000000000" w:firstRow="0" w:lastRow="0" w:firstColumn="0" w:lastColumn="0" w:oddVBand="0" w:evenVBand="0" w:oddHBand="0" w:evenHBand="0" w:firstRowFirstColumn="0" w:firstRowLastColumn="0" w:lastRowFirstColumn="0" w:lastRowLastColumn="0"/>
            </w:pPr>
            <w:r>
              <w:t>(14 434)</w:t>
            </w:r>
          </w:p>
        </w:tc>
        <w:tc>
          <w:tcPr>
            <w:tcW w:w="907" w:type="dxa"/>
          </w:tcPr>
          <w:p w14:paraId="25E9057A" w14:textId="77777777" w:rsidR="005E614D" w:rsidRDefault="000C3A94">
            <w:pPr>
              <w:cnfStyle w:val="000000000000" w:firstRow="0" w:lastRow="0" w:firstColumn="0" w:lastColumn="0" w:oddVBand="0" w:evenVBand="0" w:oddHBand="0" w:evenHBand="0" w:firstRowFirstColumn="0" w:firstRowLastColumn="0" w:lastRowFirstColumn="0" w:lastRowLastColumn="0"/>
            </w:pPr>
            <w:r>
              <w:t>(12 756)</w:t>
            </w:r>
          </w:p>
        </w:tc>
        <w:tc>
          <w:tcPr>
            <w:tcW w:w="907" w:type="dxa"/>
          </w:tcPr>
          <w:p w14:paraId="7783E1EC" w14:textId="77777777" w:rsidR="005E614D" w:rsidRDefault="000C3A94">
            <w:pPr>
              <w:cnfStyle w:val="000000000000" w:firstRow="0" w:lastRow="0" w:firstColumn="0" w:lastColumn="0" w:oddVBand="0" w:evenVBand="0" w:oddHBand="0" w:evenHBand="0" w:firstRowFirstColumn="0" w:firstRowLastColumn="0" w:lastRowFirstColumn="0" w:lastRowLastColumn="0"/>
            </w:pPr>
            <w:r>
              <w:t>(14 956)</w:t>
            </w:r>
          </w:p>
        </w:tc>
      </w:tr>
      <w:tr w:rsidR="005E614D" w14:paraId="78EF73B9" w14:textId="77777777" w:rsidTr="005E614D">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3C479A37" w14:textId="77777777" w:rsidR="005E614D" w:rsidRDefault="005E614D"/>
        </w:tc>
        <w:tc>
          <w:tcPr>
            <w:tcW w:w="907" w:type="dxa"/>
          </w:tcPr>
          <w:p w14:paraId="21F3F4C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2701D34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C14117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9FBD3DD" w14:textId="77777777">
        <w:tc>
          <w:tcPr>
            <w:cnfStyle w:val="001000000000" w:firstRow="0" w:lastRow="0" w:firstColumn="1" w:lastColumn="0" w:oddVBand="0" w:evenVBand="0" w:oddHBand="0" w:evenHBand="0" w:firstRowFirstColumn="0" w:firstRowLastColumn="0" w:lastRowFirstColumn="0" w:lastRowLastColumn="0"/>
            <w:tcW w:w="9638" w:type="dxa"/>
            <w:gridSpan w:val="4"/>
          </w:tcPr>
          <w:p w14:paraId="15376A75" w14:textId="77777777" w:rsidR="005E614D" w:rsidRDefault="000C3A94">
            <w:pPr>
              <w:pStyle w:val="TableUnits"/>
            </w:pPr>
            <w:r>
              <w:t>(per cent)</w:t>
            </w:r>
          </w:p>
        </w:tc>
      </w:tr>
      <w:tr w:rsidR="005E614D" w14:paraId="64A00D5C" w14:textId="77777777" w:rsidTr="005E614D">
        <w:trPr>
          <w:trHeight w:hRule="exact" w:val="113"/>
        </w:trPr>
        <w:tc>
          <w:tcPr>
            <w:cnfStyle w:val="001000000000" w:firstRow="0" w:lastRow="0" w:firstColumn="1" w:lastColumn="0" w:oddVBand="0" w:evenVBand="0" w:oddHBand="0" w:evenHBand="0" w:firstRowFirstColumn="0" w:firstRowLastColumn="0" w:lastRowFirstColumn="0" w:lastRowLastColumn="0"/>
            <w:tcW w:w="6917" w:type="dxa"/>
          </w:tcPr>
          <w:p w14:paraId="1CFB7218" w14:textId="77777777" w:rsidR="005E614D" w:rsidRDefault="005E614D"/>
        </w:tc>
        <w:tc>
          <w:tcPr>
            <w:tcW w:w="907" w:type="dxa"/>
          </w:tcPr>
          <w:p w14:paraId="7554CE0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814" w:type="dxa"/>
            <w:gridSpan w:val="2"/>
          </w:tcPr>
          <w:p w14:paraId="517084B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4DBC4F1" w14:textId="77777777">
        <w:tc>
          <w:tcPr>
            <w:cnfStyle w:val="001000000000" w:firstRow="0" w:lastRow="0" w:firstColumn="1" w:lastColumn="0" w:oddVBand="0" w:evenVBand="0" w:oddHBand="0" w:evenHBand="0" w:firstRowFirstColumn="0" w:firstRowLastColumn="0" w:lastRowFirstColumn="0" w:lastRowLastColumn="0"/>
            <w:tcW w:w="6917" w:type="dxa"/>
          </w:tcPr>
          <w:p w14:paraId="6B2D7B0E" w14:textId="77777777" w:rsidR="005E614D" w:rsidRDefault="000C3A94">
            <w:r>
              <w:rPr>
                <w:b/>
              </w:rPr>
              <w:t>Net debt to GSP</w:t>
            </w:r>
            <w:r>
              <w:rPr>
                <w:b/>
                <w:vertAlign w:val="superscript"/>
              </w:rPr>
              <w:t xml:space="preserve"> (a)</w:t>
            </w:r>
          </w:p>
        </w:tc>
        <w:tc>
          <w:tcPr>
            <w:tcW w:w="907" w:type="dxa"/>
          </w:tcPr>
          <w:p w14:paraId="4AD6B2D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22.0</w:t>
            </w:r>
          </w:p>
        </w:tc>
        <w:tc>
          <w:tcPr>
            <w:tcW w:w="907" w:type="dxa"/>
          </w:tcPr>
          <w:p w14:paraId="2998759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23.7</w:t>
            </w:r>
          </w:p>
        </w:tc>
        <w:tc>
          <w:tcPr>
            <w:tcW w:w="907" w:type="dxa"/>
          </w:tcPr>
          <w:p w14:paraId="58E5041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24.5</w:t>
            </w:r>
          </w:p>
        </w:tc>
      </w:tr>
      <w:tr w:rsidR="005E614D" w14:paraId="631E1DB5" w14:textId="77777777">
        <w:tc>
          <w:tcPr>
            <w:cnfStyle w:val="001000000000" w:firstRow="0" w:lastRow="0" w:firstColumn="1" w:lastColumn="0" w:oddVBand="0" w:evenVBand="0" w:oddHBand="0" w:evenHBand="0" w:firstRowFirstColumn="0" w:firstRowLastColumn="0" w:lastRowFirstColumn="0" w:lastRowLastColumn="0"/>
            <w:tcW w:w="6917" w:type="dxa"/>
          </w:tcPr>
          <w:p w14:paraId="5E1F4DC8" w14:textId="77777777" w:rsidR="005E614D" w:rsidRDefault="000C3A94">
            <w:r>
              <w:rPr>
                <w:b/>
              </w:rPr>
              <w:t>Interest expense to revenue</w:t>
            </w:r>
          </w:p>
        </w:tc>
        <w:tc>
          <w:tcPr>
            <w:tcW w:w="907" w:type="dxa"/>
          </w:tcPr>
          <w:p w14:paraId="71F7D1A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6.1</w:t>
            </w:r>
          </w:p>
        </w:tc>
        <w:tc>
          <w:tcPr>
            <w:tcW w:w="907" w:type="dxa"/>
          </w:tcPr>
          <w:p w14:paraId="4B324E3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6.7</w:t>
            </w:r>
          </w:p>
        </w:tc>
        <w:tc>
          <w:tcPr>
            <w:tcW w:w="907" w:type="dxa"/>
          </w:tcPr>
          <w:p w14:paraId="63EF019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6.8</w:t>
            </w:r>
          </w:p>
        </w:tc>
      </w:tr>
    </w:tbl>
    <w:p w14:paraId="1C3B28E2" w14:textId="77777777" w:rsidR="00366656" w:rsidRPr="006C13A6" w:rsidRDefault="00366656" w:rsidP="00366656">
      <w:pPr>
        <w:pStyle w:val="Note"/>
        <w:ind w:left="0" w:firstLine="0"/>
      </w:pPr>
      <w:r w:rsidRPr="006C13A6">
        <w:t>Note:</w:t>
      </w:r>
    </w:p>
    <w:p w14:paraId="249C2531" w14:textId="5944DED8" w:rsidR="00366656" w:rsidRPr="006C13A6" w:rsidRDefault="00366656" w:rsidP="00366656">
      <w:pPr>
        <w:pStyle w:val="Note"/>
      </w:pPr>
      <w:r w:rsidRPr="006C13A6">
        <w:t>(a)</w:t>
      </w:r>
      <w:r w:rsidRPr="006C13A6">
        <w:tab/>
        <w:t>The ratios to GSP may vary from publications year to year due to revisions to the Australian Bureau of Statistics data.</w:t>
      </w:r>
    </w:p>
    <w:p w14:paraId="13680D9F" w14:textId="77777777" w:rsidR="00366656" w:rsidRDefault="00366656" w:rsidP="00366656"/>
    <w:p w14:paraId="355D0647" w14:textId="77777777" w:rsidR="00CC1335" w:rsidRDefault="00CC1335" w:rsidP="00366656">
      <w:pPr>
        <w:ind w:right="-113"/>
        <w:sectPr w:rsidR="00CC1335" w:rsidSect="00CC1335">
          <w:type w:val="continuous"/>
          <w:pgSz w:w="11906" w:h="16838" w:code="9"/>
          <w:pgMar w:top="1134" w:right="1134" w:bottom="1134" w:left="1134" w:header="624" w:footer="567" w:gutter="0"/>
          <w:cols w:space="708"/>
          <w:docGrid w:linePitch="360"/>
        </w:sectPr>
      </w:pPr>
    </w:p>
    <w:p w14:paraId="6188D35C" w14:textId="5AA095B2" w:rsidR="00366656" w:rsidRPr="006C13A6" w:rsidRDefault="00366656" w:rsidP="00366656">
      <w:pPr>
        <w:ind w:right="-113"/>
      </w:pPr>
      <w:r w:rsidRPr="006C13A6">
        <w:t xml:space="preserve">The </w:t>
      </w:r>
      <w:r w:rsidRPr="005B724F">
        <w:rPr>
          <w:b/>
          <w:bCs/>
        </w:rPr>
        <w:t>net result from transactions</w:t>
      </w:r>
      <w:r w:rsidRPr="006C13A6">
        <w:t xml:space="preserve"> deficit of $</w:t>
      </w:r>
      <w:r w:rsidR="0092749C">
        <w:t>2.</w:t>
      </w:r>
      <w:r w:rsidR="004772C9">
        <w:t>6</w:t>
      </w:r>
      <w:r w:rsidRPr="006C13A6">
        <w:t> billion improved by $</w:t>
      </w:r>
      <w:r w:rsidR="004772C9">
        <w:t>816</w:t>
      </w:r>
      <w:r w:rsidRPr="006C13A6">
        <w:t> </w:t>
      </w:r>
      <w:r w:rsidR="00787CCC">
        <w:t>m</w:t>
      </w:r>
      <w:r w:rsidRPr="006C13A6">
        <w:t>illion compared with the $</w:t>
      </w:r>
      <w:r w:rsidR="002036ED">
        <w:t>3</w:t>
      </w:r>
      <w:r w:rsidRPr="006C13A6">
        <w:t>.</w:t>
      </w:r>
      <w:r w:rsidR="002036ED">
        <w:t>4</w:t>
      </w:r>
      <w:r w:rsidRPr="006C13A6">
        <w:t xml:space="preserve"> billion deficit forecast in the </w:t>
      </w:r>
      <w:r>
        <w:rPr>
          <w:i/>
        </w:rPr>
        <w:t>202</w:t>
      </w:r>
      <w:r w:rsidR="00D47AB8">
        <w:rPr>
          <w:i/>
        </w:rPr>
        <w:t>5</w:t>
      </w:r>
      <w:r w:rsidRPr="503C5C76">
        <w:rPr>
          <w:i/>
          <w:iCs/>
        </w:rPr>
        <w:noBreakHyphen/>
      </w:r>
      <w:r w:rsidRPr="002B78CF">
        <w:rPr>
          <w:i/>
        </w:rPr>
        <w:t>2</w:t>
      </w:r>
      <w:r w:rsidR="00D47AB8">
        <w:rPr>
          <w:i/>
        </w:rPr>
        <w:t>6</w:t>
      </w:r>
      <w:r>
        <w:rPr>
          <w:i/>
        </w:rPr>
        <w:t> </w:t>
      </w:r>
      <w:r w:rsidRPr="002B78CF">
        <w:rPr>
          <w:i/>
        </w:rPr>
        <w:t>Budget</w:t>
      </w:r>
      <w:r w:rsidRPr="006C13A6">
        <w:t xml:space="preserve">. </w:t>
      </w:r>
      <w:r w:rsidRPr="00B72BCA">
        <w:t xml:space="preserve">The improved result was primarily due to higher than </w:t>
      </w:r>
      <w:r w:rsidR="00196524">
        <w:t>forecast</w:t>
      </w:r>
      <w:r w:rsidRPr="00B72BCA">
        <w:t xml:space="preserve"> revenue</w:t>
      </w:r>
      <w:r w:rsidR="00196524">
        <w:t xml:space="preserve">, primarily grants and </w:t>
      </w:r>
      <w:r w:rsidRPr="00B72BCA">
        <w:t>other revenue and income</w:t>
      </w:r>
      <w:r w:rsidR="00196524">
        <w:t>, partially offset by lower than forecast taxation</w:t>
      </w:r>
      <w:r>
        <w:t>.</w:t>
      </w:r>
      <w:r w:rsidRPr="002D40DD">
        <w:t xml:space="preserve"> </w:t>
      </w:r>
    </w:p>
    <w:p w14:paraId="435F5A4F" w14:textId="22845123" w:rsidR="006B6191" w:rsidRDefault="00366656" w:rsidP="00366656">
      <w:r w:rsidRPr="0092749C">
        <w:t>The $</w:t>
      </w:r>
      <w:r w:rsidR="00E32626">
        <w:t>1</w:t>
      </w:r>
      <w:r w:rsidRPr="0092749C">
        <w:t>.</w:t>
      </w:r>
      <w:r w:rsidR="00F266EC">
        <w:t>6</w:t>
      </w:r>
      <w:r w:rsidRPr="0092749C">
        <w:t> billio</w:t>
      </w:r>
      <w:r w:rsidRPr="006C13A6">
        <w:t>n lower deficit compared with the 202</w:t>
      </w:r>
      <w:r w:rsidR="00061ED5">
        <w:t>3</w:t>
      </w:r>
      <w:r>
        <w:t>-</w:t>
      </w:r>
      <w:r w:rsidRPr="006C13A6">
        <w:t>2</w:t>
      </w:r>
      <w:r w:rsidR="00061ED5">
        <w:t>4</w:t>
      </w:r>
      <w:r w:rsidRPr="006C13A6">
        <w:t xml:space="preserve"> result was </w:t>
      </w:r>
      <w:r>
        <w:t xml:space="preserve">primarily </w:t>
      </w:r>
      <w:r w:rsidRPr="006C13A6">
        <w:t xml:space="preserve">due to </w:t>
      </w:r>
      <w:r w:rsidRPr="009267D7">
        <w:t>an increase in revenue,</w:t>
      </w:r>
      <w:r>
        <w:t xml:space="preserve"> mainly driven by </w:t>
      </w:r>
      <w:r w:rsidR="006375B5">
        <w:t xml:space="preserve">higher </w:t>
      </w:r>
      <w:r w:rsidR="00A778A8" w:rsidRPr="004C5D06">
        <w:t xml:space="preserve">goods and services tax </w:t>
      </w:r>
      <w:r w:rsidR="00A778A8">
        <w:t>(</w:t>
      </w:r>
      <w:r w:rsidR="00A778A8" w:rsidRPr="009267D7">
        <w:t>GST</w:t>
      </w:r>
      <w:r w:rsidR="00A778A8">
        <w:t>)</w:t>
      </w:r>
      <w:r w:rsidR="00A778A8" w:rsidRPr="009267D7">
        <w:t xml:space="preserve"> grants from the Commonwealth</w:t>
      </w:r>
      <w:r w:rsidR="00A37D7E">
        <w:t>,</w:t>
      </w:r>
      <w:r w:rsidR="00A778A8" w:rsidRPr="009267D7">
        <w:t xml:space="preserve"> driven by </w:t>
      </w:r>
      <w:r w:rsidR="00A778A8" w:rsidRPr="00A778A8">
        <w:t>the annual growth in the national GST pool</w:t>
      </w:r>
      <w:r w:rsidR="00881551">
        <w:t>,</w:t>
      </w:r>
      <w:r w:rsidR="00A778A8" w:rsidRPr="00A778A8">
        <w:t xml:space="preserve"> an increase in Victoria</w:t>
      </w:r>
      <w:r w:rsidR="00845934">
        <w:t>’</w:t>
      </w:r>
      <w:r w:rsidR="00A778A8" w:rsidRPr="00A778A8">
        <w:t>s GST relativity</w:t>
      </w:r>
      <w:r w:rsidR="00A11439">
        <w:t xml:space="preserve"> and population share growth in Victoria</w:t>
      </w:r>
      <w:r w:rsidR="00006F53">
        <w:t xml:space="preserve">, </w:t>
      </w:r>
      <w:r w:rsidR="00104658">
        <w:t xml:space="preserve">and </w:t>
      </w:r>
      <w:r w:rsidR="00531997">
        <w:t>increased</w:t>
      </w:r>
      <w:r w:rsidR="00955712">
        <w:t xml:space="preserve"> </w:t>
      </w:r>
      <w:r w:rsidR="007E3220">
        <w:t>Commonwealth funding for various programs across the</w:t>
      </w:r>
      <w:r w:rsidR="00F01E3D">
        <w:t xml:space="preserve"> </w:t>
      </w:r>
      <w:r w:rsidR="004C2B96" w:rsidRPr="00316682">
        <w:t>famil</w:t>
      </w:r>
      <w:r w:rsidR="00CA794F">
        <w:t>ies</w:t>
      </w:r>
      <w:r w:rsidR="008D7EC5">
        <w:t>,</w:t>
      </w:r>
      <w:r w:rsidR="004C2B96" w:rsidRPr="00316682">
        <w:t xml:space="preserve"> housing</w:t>
      </w:r>
      <w:r w:rsidR="00F01E3D" w:rsidRPr="00316682">
        <w:t>,</w:t>
      </w:r>
      <w:r w:rsidR="00F01E3D">
        <w:t xml:space="preserve"> </w:t>
      </w:r>
      <w:r w:rsidR="00E415F7">
        <w:t xml:space="preserve">education and </w:t>
      </w:r>
      <w:r w:rsidR="00E4089D">
        <w:t xml:space="preserve">health sectors. </w:t>
      </w:r>
      <w:r w:rsidR="006E76F0">
        <w:t>The increase</w:t>
      </w:r>
      <w:r w:rsidR="00BC65EE">
        <w:t xml:space="preserve"> </w:t>
      </w:r>
      <w:r w:rsidR="00311E1E">
        <w:t xml:space="preserve">was </w:t>
      </w:r>
      <w:r w:rsidR="006E76F0">
        <w:t xml:space="preserve">also attributable to </w:t>
      </w:r>
      <w:r w:rsidR="00311E1E">
        <w:t xml:space="preserve">an increase </w:t>
      </w:r>
      <w:r w:rsidR="002540BB">
        <w:t xml:space="preserve">in </w:t>
      </w:r>
      <w:r w:rsidR="00311E1E">
        <w:t>land transfer duty</w:t>
      </w:r>
      <w:r w:rsidR="003B482C">
        <w:t xml:space="preserve"> revenue</w:t>
      </w:r>
      <w:r w:rsidR="00311E1E">
        <w:t xml:space="preserve">, </w:t>
      </w:r>
      <w:r w:rsidR="00311E1E" w:rsidRPr="00420E14">
        <w:t>mainly driven by the strength of residential sales volumes and high value non-residential sales,</w:t>
      </w:r>
      <w:r w:rsidR="00311E1E">
        <w:t xml:space="preserve"> </w:t>
      </w:r>
      <w:r w:rsidR="00B53DAF">
        <w:t xml:space="preserve">as well as </w:t>
      </w:r>
      <w:r w:rsidR="00311E1E">
        <w:t xml:space="preserve">higher </w:t>
      </w:r>
      <w:r w:rsidR="003B482C">
        <w:t xml:space="preserve">collections of </w:t>
      </w:r>
      <w:r w:rsidR="00311E1E">
        <w:t xml:space="preserve">payroll taxes (including Mental Health and Wellbeing Levy and COVID Debt Levy – Payroll $10m+) due to a strong labour market driven </w:t>
      </w:r>
      <w:r w:rsidR="00311E1E" w:rsidRPr="00380FED">
        <w:t>by continued high employment and robust wage growth</w:t>
      </w:r>
      <w:r w:rsidR="00B53DAF">
        <w:t>.</w:t>
      </w:r>
    </w:p>
    <w:p w14:paraId="7B50B49C" w14:textId="77777777" w:rsidR="00CB0A3E" w:rsidRDefault="00366656" w:rsidP="00366656">
      <w:pPr>
        <w:rPr>
          <w:color w:val="000000" w:themeColor="text1"/>
        </w:rPr>
      </w:pPr>
      <w:r w:rsidRPr="00AD66C5">
        <w:t xml:space="preserve">The increase in revenue was partially offset by an increase in </w:t>
      </w:r>
      <w:r>
        <w:t xml:space="preserve">employee expenses, mainly due to </w:t>
      </w:r>
      <w:r w:rsidRPr="0029271D">
        <w:t>increased spending on service delivery in the health</w:t>
      </w:r>
      <w:r w:rsidR="00FD5E51" w:rsidRPr="00FD5E51">
        <w:t xml:space="preserve">, </w:t>
      </w:r>
      <w:r w:rsidRPr="0029271D">
        <w:t xml:space="preserve">education </w:t>
      </w:r>
      <w:r w:rsidR="00FD5E51" w:rsidRPr="00FD5E51">
        <w:t xml:space="preserve">and justice </w:t>
      </w:r>
      <w:r w:rsidRPr="0029271D">
        <w:t>sectors</w:t>
      </w:r>
      <w:r>
        <w:t xml:space="preserve"> and increases in remuneration levels in </w:t>
      </w:r>
      <w:r w:rsidRPr="00A354D5">
        <w:t xml:space="preserve">line with </w:t>
      </w:r>
      <w:r>
        <w:t>enterprise bargaining agreements</w:t>
      </w:r>
      <w:r>
        <w:rPr>
          <w:color w:val="000000" w:themeColor="text1"/>
        </w:rPr>
        <w:t xml:space="preserve">. </w:t>
      </w:r>
    </w:p>
    <w:p w14:paraId="6D5B9BD0" w14:textId="3FBAC628" w:rsidR="00366656" w:rsidRPr="006C13A6" w:rsidRDefault="00366656" w:rsidP="00366656">
      <w:r>
        <w:rPr>
          <w:color w:val="000000" w:themeColor="text1"/>
        </w:rPr>
        <w:t xml:space="preserve">There was also higher interest expense </w:t>
      </w:r>
      <w:r w:rsidRPr="00A30E20">
        <w:rPr>
          <w:color w:val="000000" w:themeColor="text1"/>
        </w:rPr>
        <w:t>reflecting additional borrowings to finance the State</w:t>
      </w:r>
      <w:r w:rsidR="00845934">
        <w:rPr>
          <w:color w:val="000000" w:themeColor="text1"/>
        </w:rPr>
        <w:t>’</w:t>
      </w:r>
      <w:r w:rsidRPr="00A30E20">
        <w:rPr>
          <w:color w:val="000000" w:themeColor="text1"/>
        </w:rPr>
        <w:t xml:space="preserve">s capital program and an increase in the interest rates on </w:t>
      </w:r>
      <w:r w:rsidR="008E1B0C" w:rsidRPr="008E1B0C">
        <w:rPr>
          <w:color w:val="000000" w:themeColor="text1"/>
        </w:rPr>
        <w:t>new and refinanced borrowings</w:t>
      </w:r>
      <w:r>
        <w:rPr>
          <w:color w:val="000000" w:themeColor="text1"/>
        </w:rPr>
        <w:t>.</w:t>
      </w:r>
      <w:r w:rsidR="00D070BB">
        <w:rPr>
          <w:color w:val="000000" w:themeColor="text1"/>
        </w:rPr>
        <w:t xml:space="preserve"> </w:t>
      </w:r>
      <w:r w:rsidR="006B055F">
        <w:rPr>
          <w:color w:val="000000" w:themeColor="text1"/>
        </w:rPr>
        <w:t>Also driving the incre</w:t>
      </w:r>
      <w:r w:rsidR="00546B95">
        <w:rPr>
          <w:color w:val="000000" w:themeColor="text1"/>
        </w:rPr>
        <w:t>ase were</w:t>
      </w:r>
      <w:r w:rsidR="00D070BB">
        <w:rPr>
          <w:color w:val="000000" w:themeColor="text1"/>
        </w:rPr>
        <w:t xml:space="preserve"> </w:t>
      </w:r>
      <w:r w:rsidR="00187174">
        <w:rPr>
          <w:color w:val="000000" w:themeColor="text1"/>
        </w:rPr>
        <w:t xml:space="preserve">higher </w:t>
      </w:r>
      <w:r w:rsidR="00660EF7">
        <w:rPr>
          <w:color w:val="000000" w:themeColor="text1"/>
        </w:rPr>
        <w:t>other operating expense</w:t>
      </w:r>
      <w:r w:rsidR="00187174">
        <w:rPr>
          <w:color w:val="000000" w:themeColor="text1"/>
        </w:rPr>
        <w:t>s</w:t>
      </w:r>
      <w:r w:rsidR="00546B95">
        <w:rPr>
          <w:color w:val="000000" w:themeColor="text1"/>
        </w:rPr>
        <w:t>,</w:t>
      </w:r>
      <w:r w:rsidR="00186B11">
        <w:rPr>
          <w:color w:val="000000" w:themeColor="text1"/>
        </w:rPr>
        <w:t xml:space="preserve"> </w:t>
      </w:r>
      <w:r w:rsidR="00D33D4D">
        <w:t>includ</w:t>
      </w:r>
      <w:r w:rsidR="00186B11">
        <w:t>ing</w:t>
      </w:r>
      <w:r w:rsidR="00D33D4D">
        <w:t xml:space="preserve"> the </w:t>
      </w:r>
      <w:r w:rsidR="00D33D4D" w:rsidRPr="009A703A">
        <w:t xml:space="preserve">increased </w:t>
      </w:r>
      <w:r w:rsidR="00D33D4D">
        <w:t>e</w:t>
      </w:r>
      <w:r w:rsidR="00D33D4D" w:rsidRPr="009A703A">
        <w:t xml:space="preserve">nergy bill relief </w:t>
      </w:r>
      <w:r w:rsidR="00D33D4D">
        <w:t>concession</w:t>
      </w:r>
      <w:r w:rsidR="00D33D4D" w:rsidRPr="009A703A">
        <w:t xml:space="preserve"> payments</w:t>
      </w:r>
      <w:r w:rsidR="00D33D4D">
        <w:t xml:space="preserve">, increased </w:t>
      </w:r>
      <w:r w:rsidR="00D33D4D" w:rsidRPr="00CC1B05">
        <w:t>subsidy payments to the operator as a result of the State</w:t>
      </w:r>
      <w:r w:rsidR="00D33D4D">
        <w:t xml:space="preserve"> retaining </w:t>
      </w:r>
      <w:r w:rsidR="00A37D7E">
        <w:t xml:space="preserve">a </w:t>
      </w:r>
      <w:r w:rsidR="00D33D4D">
        <w:t xml:space="preserve">higher share of farebox revenue under </w:t>
      </w:r>
      <w:r w:rsidR="00D33D4D" w:rsidRPr="002E12AA">
        <w:t>the new metropolitan tram franchise agreement</w:t>
      </w:r>
      <w:r w:rsidR="00D33D4D">
        <w:t xml:space="preserve">, as well as higher expenditure in the health and justice sectors due to increased service delivery. </w:t>
      </w:r>
    </w:p>
    <w:p w14:paraId="6E755A9E" w14:textId="745591D5" w:rsidR="00366656" w:rsidRPr="006C13A6" w:rsidRDefault="00366656" w:rsidP="00366656">
      <w:pPr>
        <w:ind w:right="-213"/>
      </w:pPr>
      <w:r w:rsidRPr="006C13A6">
        <w:t xml:space="preserve">The </w:t>
      </w:r>
      <w:r w:rsidRPr="007A786D">
        <w:rPr>
          <w:b/>
          <w:bCs/>
        </w:rPr>
        <w:t>net result</w:t>
      </w:r>
      <w:r w:rsidRPr="006C13A6">
        <w:t xml:space="preserve"> is a further measure of financial performance for the period, including the impact of market movements on the value of assets and liabilities. The </w:t>
      </w:r>
      <w:r>
        <w:t>202</w:t>
      </w:r>
      <w:r w:rsidR="00543E35">
        <w:t>4</w:t>
      </w:r>
      <w:r w:rsidRPr="006C13A6">
        <w:noBreakHyphen/>
        <w:t>2</w:t>
      </w:r>
      <w:r w:rsidR="00543E35">
        <w:t>5</w:t>
      </w:r>
      <w:r w:rsidRPr="006C13A6">
        <w:t xml:space="preserve"> net result was an improvement of $</w:t>
      </w:r>
      <w:r w:rsidR="001E132F">
        <w:t>1.</w:t>
      </w:r>
      <w:r w:rsidR="00EA4BD1">
        <w:t>8</w:t>
      </w:r>
      <w:r w:rsidRPr="006C13A6">
        <w:t> </w:t>
      </w:r>
      <w:r w:rsidR="001E132F">
        <w:t>b</w:t>
      </w:r>
      <w:r w:rsidRPr="006C13A6">
        <w:t>illion compared with the revised budget and an improvement of $</w:t>
      </w:r>
      <w:r w:rsidR="00B43B18">
        <w:t>2</w:t>
      </w:r>
      <w:r>
        <w:t>.</w:t>
      </w:r>
      <w:r w:rsidR="00EA4BD1">
        <w:t>5</w:t>
      </w:r>
      <w:r w:rsidRPr="006C13A6">
        <w:t> </w:t>
      </w:r>
      <w:r>
        <w:t>b</w:t>
      </w:r>
      <w:r w:rsidRPr="006C13A6">
        <w:t>illion compared with the 202</w:t>
      </w:r>
      <w:r w:rsidR="001E132F">
        <w:t>3</w:t>
      </w:r>
      <w:r w:rsidRPr="006C13A6">
        <w:noBreakHyphen/>
        <w:t>2</w:t>
      </w:r>
      <w:r w:rsidR="001E132F">
        <w:t>4</w:t>
      </w:r>
      <w:r w:rsidRPr="006C13A6">
        <w:t xml:space="preserve"> outcome. The</w:t>
      </w:r>
      <w:r w:rsidR="00A52E59">
        <w:t> </w:t>
      </w:r>
      <w:r w:rsidRPr="006C13A6">
        <w:t xml:space="preserve">improvement compared with the </w:t>
      </w:r>
      <w:r>
        <w:t>prior year</w:t>
      </w:r>
      <w:r w:rsidRPr="006C13A6">
        <w:t xml:space="preserve"> was due to </w:t>
      </w:r>
      <w:r w:rsidRPr="00A80AAC">
        <w:t xml:space="preserve">the same reasons as explained for the net result from transactions, </w:t>
      </w:r>
      <w:r>
        <w:t>as well as</w:t>
      </w:r>
      <w:r w:rsidRPr="00A80AAC">
        <w:t xml:space="preserve"> </w:t>
      </w:r>
      <w:r w:rsidR="00004D2F">
        <w:t>improvements</w:t>
      </w:r>
      <w:r>
        <w:t xml:space="preserve"> </w:t>
      </w:r>
      <w:r w:rsidRPr="00A80AAC">
        <w:t>from other economic flows in 202</w:t>
      </w:r>
      <w:r w:rsidR="00004D2F">
        <w:t>4</w:t>
      </w:r>
      <w:r w:rsidRPr="00A80AAC">
        <w:noBreakHyphen/>
        <w:t>2</w:t>
      </w:r>
      <w:r w:rsidR="00004D2F">
        <w:t>5</w:t>
      </w:r>
      <w:r w:rsidRPr="00A80AAC">
        <w:t>,</w:t>
      </w:r>
      <w:r>
        <w:t xml:space="preserve"> due to capital</w:t>
      </w:r>
      <w:r w:rsidRPr="00771E9B">
        <w:t xml:space="preserve"> gains from the Victorian Future Fund</w:t>
      </w:r>
      <w:r w:rsidR="00694F0E" w:rsidRPr="00694F0E">
        <w:t>, Victorian Social Housing Growth Fund and the Victorian Homebuyer Scheme</w:t>
      </w:r>
      <w:r w:rsidR="009F63E9">
        <w:t xml:space="preserve">, and </w:t>
      </w:r>
      <w:r w:rsidR="00DD1175" w:rsidRPr="00DD1175">
        <w:t xml:space="preserve">the valuation gains associated with </w:t>
      </w:r>
      <w:r w:rsidR="009F63E9" w:rsidRPr="00654AA1">
        <w:t xml:space="preserve">the VRET </w:t>
      </w:r>
      <w:r w:rsidR="009F63E9">
        <w:t xml:space="preserve">and </w:t>
      </w:r>
      <w:r w:rsidR="009F63E9" w:rsidRPr="005D5F58">
        <w:t>Bulgana Green Power Hub</w:t>
      </w:r>
      <w:r w:rsidR="00D53C5C" w:rsidRPr="00D53C5C">
        <w:t xml:space="preserve"> financial derivatives</w:t>
      </w:r>
      <w:r>
        <w:t>.</w:t>
      </w:r>
    </w:p>
    <w:p w14:paraId="27225A82" w14:textId="6E466FE0" w:rsidR="00366656" w:rsidRPr="006C13A6" w:rsidRDefault="00366656" w:rsidP="00366656">
      <w:r w:rsidRPr="006F29BC">
        <w:lastRenderedPageBreak/>
        <w:t xml:space="preserve">The </w:t>
      </w:r>
      <w:r w:rsidRPr="006F29BC">
        <w:rPr>
          <w:b/>
          <w:bCs/>
        </w:rPr>
        <w:t>net lending/(borrowing)</w:t>
      </w:r>
      <w:r w:rsidRPr="006F29BC">
        <w:t xml:space="preserve"> measure broadly reflects the net impact of the general government sector on the economy and financial markets, including the impact of operating and capital investing transactions. Net borrowing of $1</w:t>
      </w:r>
      <w:r w:rsidR="001C6BE9">
        <w:t>3</w:t>
      </w:r>
      <w:r w:rsidRPr="006F29BC">
        <w:t>.</w:t>
      </w:r>
      <w:r w:rsidR="00E303C2">
        <w:t>1</w:t>
      </w:r>
      <w:r w:rsidRPr="006F29BC">
        <w:t> billion for 202</w:t>
      </w:r>
      <w:r w:rsidR="001D174A">
        <w:t>4</w:t>
      </w:r>
      <w:r w:rsidRPr="006F29BC">
        <w:noBreakHyphen/>
        <w:t>2</w:t>
      </w:r>
      <w:r w:rsidR="001D174A">
        <w:t>5</w:t>
      </w:r>
      <w:r w:rsidRPr="006F29BC">
        <w:t xml:space="preserve"> was </w:t>
      </w:r>
      <w:r>
        <w:t xml:space="preserve">a </w:t>
      </w:r>
      <w:r w:rsidRPr="006F29BC">
        <w:t>$</w:t>
      </w:r>
      <w:r w:rsidR="001C6BE9">
        <w:t>2.</w:t>
      </w:r>
      <w:r w:rsidR="00E303C2">
        <w:t>9</w:t>
      </w:r>
      <w:r w:rsidRPr="006F29BC">
        <w:t xml:space="preserve"> </w:t>
      </w:r>
      <w:r w:rsidR="001C6BE9">
        <w:t>b</w:t>
      </w:r>
      <w:r w:rsidRPr="006F29BC">
        <w:t xml:space="preserve">illion </w:t>
      </w:r>
      <w:r>
        <w:t xml:space="preserve">improvement compared with </w:t>
      </w:r>
      <w:r w:rsidRPr="006F29BC">
        <w:t>the revised estimate</w:t>
      </w:r>
      <w:r>
        <w:t xml:space="preserve"> in the </w:t>
      </w:r>
      <w:r w:rsidRPr="00FE733F">
        <w:rPr>
          <w:i/>
          <w:iCs/>
        </w:rPr>
        <w:t>202</w:t>
      </w:r>
      <w:r w:rsidR="001C6BE9">
        <w:rPr>
          <w:i/>
          <w:iCs/>
        </w:rPr>
        <w:t>5</w:t>
      </w:r>
      <w:r w:rsidRPr="00FE733F">
        <w:rPr>
          <w:i/>
          <w:iCs/>
        </w:rPr>
        <w:t>-2</w:t>
      </w:r>
      <w:r w:rsidR="001C6BE9">
        <w:rPr>
          <w:i/>
          <w:iCs/>
        </w:rPr>
        <w:t>6</w:t>
      </w:r>
      <w:r w:rsidRPr="00FE733F">
        <w:rPr>
          <w:i/>
          <w:iCs/>
        </w:rPr>
        <w:t xml:space="preserve"> Budget</w:t>
      </w:r>
      <w:r w:rsidR="00A1418A">
        <w:t xml:space="preserve"> and </w:t>
      </w:r>
      <w:r w:rsidR="00CD64DB">
        <w:t xml:space="preserve">a </w:t>
      </w:r>
      <w:r w:rsidR="00A1418A">
        <w:t>$</w:t>
      </w:r>
      <w:r w:rsidR="00E303C2">
        <w:t>4</w:t>
      </w:r>
      <w:r w:rsidR="00E30F30">
        <w:t xml:space="preserve"> </w:t>
      </w:r>
      <w:r w:rsidR="00A1418A">
        <w:t xml:space="preserve">billion </w:t>
      </w:r>
      <w:r w:rsidR="00CD64DB">
        <w:t>improvement</w:t>
      </w:r>
      <w:r w:rsidR="00A1418A">
        <w:t xml:space="preserve"> compared with</w:t>
      </w:r>
      <w:r w:rsidR="00E43AAA">
        <w:t xml:space="preserve"> the 2023-24 outcome</w:t>
      </w:r>
      <w:r w:rsidR="00CB5784">
        <w:t>. This was</w:t>
      </w:r>
      <w:r w:rsidRPr="006F29BC">
        <w:t xml:space="preserve"> mainly due to an improvement in the net result from transactions </w:t>
      </w:r>
      <w:r>
        <w:t>explained previously</w:t>
      </w:r>
      <w:r w:rsidR="00E43AAA" w:rsidRPr="00327A33">
        <w:t xml:space="preserve">, </w:t>
      </w:r>
      <w:r w:rsidR="00BF5985" w:rsidRPr="00327A33">
        <w:t xml:space="preserve">and </w:t>
      </w:r>
      <w:r w:rsidR="00327A33" w:rsidRPr="00327A33">
        <w:t xml:space="preserve">lower net acquisitions </w:t>
      </w:r>
      <w:r w:rsidR="008C06A1">
        <w:t xml:space="preserve">of non-financial assets </w:t>
      </w:r>
      <w:r w:rsidR="00327A33" w:rsidRPr="00327A33">
        <w:t>primarily due to higher than expected asset transfers to VicTrack</w:t>
      </w:r>
      <w:r w:rsidRPr="006F29BC">
        <w:t>.</w:t>
      </w:r>
    </w:p>
    <w:p w14:paraId="40F7DC78" w14:textId="1E608F6A" w:rsidR="00C56ED6" w:rsidRPr="006C13A6" w:rsidRDefault="00366656" w:rsidP="00366656">
      <w:r w:rsidRPr="00593E79">
        <w:t xml:space="preserve">The </w:t>
      </w:r>
      <w:r>
        <w:t>202</w:t>
      </w:r>
      <w:r w:rsidR="0071277D">
        <w:t>4</w:t>
      </w:r>
      <w:r>
        <w:t>-2</w:t>
      </w:r>
      <w:r w:rsidR="0071277D">
        <w:t>5</w:t>
      </w:r>
      <w:r w:rsidRPr="00593E79">
        <w:t xml:space="preserve"> </w:t>
      </w:r>
      <w:r w:rsidRPr="00593E79">
        <w:rPr>
          <w:b/>
          <w:bCs/>
        </w:rPr>
        <w:t>comprehensive result – total change in net worth</w:t>
      </w:r>
      <w:r w:rsidRPr="00593E79">
        <w:t xml:space="preserve"> </w:t>
      </w:r>
      <w:r w:rsidR="00280037">
        <w:t>of</w:t>
      </w:r>
      <w:r w:rsidR="00225846">
        <w:t xml:space="preserve"> </w:t>
      </w:r>
      <w:r w:rsidR="003F5F86">
        <w:t xml:space="preserve">a </w:t>
      </w:r>
      <w:r w:rsidR="00280037">
        <w:t>$</w:t>
      </w:r>
      <w:r w:rsidR="004775E3">
        <w:t>511</w:t>
      </w:r>
      <w:r w:rsidR="0068761A">
        <w:t xml:space="preserve"> </w:t>
      </w:r>
      <w:r w:rsidR="004775E3">
        <w:t>m</w:t>
      </w:r>
      <w:r w:rsidR="00280037">
        <w:t xml:space="preserve">illion </w:t>
      </w:r>
      <w:r w:rsidR="002A7A56">
        <w:t xml:space="preserve">deficit </w:t>
      </w:r>
      <w:r w:rsidR="00280037">
        <w:t xml:space="preserve">was </w:t>
      </w:r>
      <w:r w:rsidR="002A7A56">
        <w:t>a $</w:t>
      </w:r>
      <w:r w:rsidR="004775E3">
        <w:t>335</w:t>
      </w:r>
      <w:r w:rsidR="002A7A56">
        <w:t xml:space="preserve"> </w:t>
      </w:r>
      <w:r w:rsidR="004775E3">
        <w:t>m</w:t>
      </w:r>
      <w:r w:rsidR="002A7A56">
        <w:t xml:space="preserve">illion </w:t>
      </w:r>
      <w:r w:rsidR="00C13304">
        <w:t>increase</w:t>
      </w:r>
      <w:r w:rsidR="00B04D9C">
        <w:t xml:space="preserve"> </w:t>
      </w:r>
      <w:r w:rsidR="00E83B34" w:rsidRPr="00E83B34">
        <w:t>compared with the $</w:t>
      </w:r>
      <w:r w:rsidR="00AA7F99">
        <w:t>176</w:t>
      </w:r>
      <w:r w:rsidR="00886463">
        <w:t> </w:t>
      </w:r>
      <w:r w:rsidR="00AA7F99">
        <w:t>m</w:t>
      </w:r>
      <w:r w:rsidR="00E83B34" w:rsidRPr="00E83B34">
        <w:t xml:space="preserve">illion deficit forecast in the </w:t>
      </w:r>
      <w:r w:rsidR="00E83B34" w:rsidRPr="00AA7F99">
        <w:rPr>
          <w:i/>
          <w:iCs/>
        </w:rPr>
        <w:t>2025</w:t>
      </w:r>
      <w:r w:rsidR="00AA7F99" w:rsidRPr="00AA7F99">
        <w:rPr>
          <w:i/>
          <w:iCs/>
        </w:rPr>
        <w:t>-</w:t>
      </w:r>
      <w:r w:rsidR="00E83B34" w:rsidRPr="00AA7F99">
        <w:rPr>
          <w:i/>
          <w:iCs/>
        </w:rPr>
        <w:t>26 Budget</w:t>
      </w:r>
      <w:r w:rsidR="00E83B34" w:rsidRPr="00E83B34">
        <w:t xml:space="preserve"> </w:t>
      </w:r>
      <w:r w:rsidR="00B04D9C">
        <w:t xml:space="preserve">and </w:t>
      </w:r>
      <w:r w:rsidR="00462468">
        <w:t xml:space="preserve">a </w:t>
      </w:r>
      <w:r w:rsidR="00B04D9C">
        <w:t>$</w:t>
      </w:r>
      <w:r w:rsidR="00886463">
        <w:t>3</w:t>
      </w:r>
      <w:r w:rsidR="00B04D9C">
        <w:t>.</w:t>
      </w:r>
      <w:r w:rsidR="00130DFA">
        <w:t>6</w:t>
      </w:r>
      <w:r w:rsidR="0054690B">
        <w:t> </w:t>
      </w:r>
      <w:r w:rsidR="00AA7F99">
        <w:t xml:space="preserve">billion </w:t>
      </w:r>
      <w:r w:rsidR="00976414">
        <w:t xml:space="preserve">decline </w:t>
      </w:r>
      <w:r w:rsidRPr="00593E79">
        <w:t xml:space="preserve">compared with the </w:t>
      </w:r>
      <w:r w:rsidR="00AA7F99">
        <w:t>2023</w:t>
      </w:r>
      <w:r w:rsidR="00886463">
        <w:noBreakHyphen/>
      </w:r>
      <w:r w:rsidR="00AA7F99">
        <w:t>24 result</w:t>
      </w:r>
      <w:r w:rsidRPr="00593E79">
        <w:t xml:space="preserve">. The </w:t>
      </w:r>
      <w:r w:rsidR="0058346F">
        <w:t>higher</w:t>
      </w:r>
      <w:r w:rsidR="00CF2C94">
        <w:t xml:space="preserve"> deficit </w:t>
      </w:r>
      <w:r w:rsidRPr="00593E79">
        <w:t xml:space="preserve">is </w:t>
      </w:r>
      <w:r w:rsidR="00C90498">
        <w:t xml:space="preserve">primarily </w:t>
      </w:r>
      <w:r w:rsidRPr="00593E79">
        <w:t xml:space="preserve">attributable to </w:t>
      </w:r>
      <w:r w:rsidR="00300F0A" w:rsidRPr="00300F0A">
        <w:t xml:space="preserve">a </w:t>
      </w:r>
      <w:r w:rsidR="00C32AA7">
        <w:t xml:space="preserve">higher </w:t>
      </w:r>
      <w:r w:rsidR="00300F0A" w:rsidRPr="00300F0A">
        <w:t xml:space="preserve">valuation </w:t>
      </w:r>
      <w:r w:rsidR="009F329B">
        <w:t>loss</w:t>
      </w:r>
      <w:r w:rsidR="00300F0A" w:rsidRPr="00300F0A">
        <w:t xml:space="preserve"> in the general government sector</w:t>
      </w:r>
      <w:r w:rsidR="00845934">
        <w:t>’</w:t>
      </w:r>
      <w:r w:rsidR="00300F0A" w:rsidRPr="00300F0A">
        <w:t>s investment in other sector entities</w:t>
      </w:r>
      <w:r w:rsidR="00300F0A">
        <w:t xml:space="preserve">, </w:t>
      </w:r>
      <w:r w:rsidRPr="00B633EF">
        <w:t xml:space="preserve">primarily due </w:t>
      </w:r>
      <w:r>
        <w:t>to</w:t>
      </w:r>
      <w:r w:rsidR="00C56ED6">
        <w:t xml:space="preserve"> </w:t>
      </w:r>
      <w:r w:rsidR="001723FA" w:rsidRPr="00BA61A9">
        <w:t>loss</w:t>
      </w:r>
      <w:r w:rsidR="001076D4" w:rsidRPr="00BA61A9">
        <w:t>es</w:t>
      </w:r>
      <w:r w:rsidR="001723FA" w:rsidRPr="00BA61A9">
        <w:t xml:space="preserve"> </w:t>
      </w:r>
      <w:r w:rsidR="005B0FD1" w:rsidRPr="00BA61A9">
        <w:t>on the mark</w:t>
      </w:r>
      <w:r w:rsidR="008A1C6B">
        <w:noBreakHyphen/>
      </w:r>
      <w:r w:rsidR="005B0FD1" w:rsidRPr="00BA61A9">
        <w:t>to</w:t>
      </w:r>
      <w:r w:rsidR="008A1C6B">
        <w:noBreakHyphen/>
      </w:r>
      <w:r w:rsidR="005B0FD1" w:rsidRPr="00BA61A9">
        <w:t xml:space="preserve">market revaluation of the </w:t>
      </w:r>
      <w:r w:rsidR="001723FA" w:rsidRPr="00BA61A9">
        <w:t xml:space="preserve">Treasury Corporation </w:t>
      </w:r>
      <w:r w:rsidR="005B0FD1" w:rsidRPr="00BA61A9">
        <w:t xml:space="preserve">of </w:t>
      </w:r>
      <w:r w:rsidR="001723FA" w:rsidRPr="00BA61A9">
        <w:t>Victoria</w:t>
      </w:r>
      <w:r w:rsidR="00845934">
        <w:t>’</w:t>
      </w:r>
      <w:r w:rsidR="001723FA" w:rsidRPr="00BA61A9">
        <w:t>s (</w:t>
      </w:r>
      <w:r w:rsidR="00510C25" w:rsidRPr="00BA61A9">
        <w:t>TCV</w:t>
      </w:r>
      <w:r w:rsidR="001723FA" w:rsidRPr="00BA61A9">
        <w:t xml:space="preserve">) </w:t>
      </w:r>
      <w:r w:rsidR="005B0FD1" w:rsidRPr="00BA61A9">
        <w:t xml:space="preserve">borrowings due to changes in </w:t>
      </w:r>
      <w:r w:rsidR="00326C03" w:rsidRPr="00BA61A9">
        <w:t>discount</w:t>
      </w:r>
      <w:r w:rsidR="005B0FD1" w:rsidRPr="00BA61A9">
        <w:t xml:space="preserve"> rates</w:t>
      </w:r>
      <w:r w:rsidR="001723FA" w:rsidRPr="00BA61A9">
        <w:t>.</w:t>
      </w:r>
      <w:r w:rsidRPr="00686D74">
        <w:t xml:space="preserve"> </w:t>
      </w:r>
      <w:r w:rsidR="00C73547" w:rsidRPr="00BA61A9">
        <w:t>Also contribut</w:t>
      </w:r>
      <w:r w:rsidR="00CA14B1" w:rsidRPr="00BA61A9">
        <w:t>ing</w:t>
      </w:r>
      <w:r w:rsidR="006F7C4B" w:rsidRPr="00BA61A9">
        <w:t xml:space="preserve"> to</w:t>
      </w:r>
      <w:r w:rsidR="009B324C" w:rsidRPr="00BA61A9">
        <w:t xml:space="preserve"> </w:t>
      </w:r>
      <w:r w:rsidR="00CA14B1" w:rsidRPr="00BA61A9">
        <w:t xml:space="preserve">the loss </w:t>
      </w:r>
      <w:r w:rsidR="007F2AF1">
        <w:t>is the</w:t>
      </w:r>
      <w:r w:rsidR="00283927">
        <w:t xml:space="preserve"> </w:t>
      </w:r>
      <w:r w:rsidR="00283927" w:rsidRPr="00952B09">
        <w:t>derecognition</w:t>
      </w:r>
      <w:r w:rsidR="00283927" w:rsidRPr="006F7C4B">
        <w:t xml:space="preserve"> of </w:t>
      </w:r>
      <w:r w:rsidR="00283927" w:rsidRPr="00952B09">
        <w:t xml:space="preserve">the rail assets under AASB 16 </w:t>
      </w:r>
      <w:r w:rsidR="00283927" w:rsidRPr="009C7DA6">
        <w:rPr>
          <w:i/>
        </w:rPr>
        <w:t>Leases</w:t>
      </w:r>
      <w:r w:rsidR="00283927" w:rsidRPr="00952B09">
        <w:t xml:space="preserve"> at nominal value, </w:t>
      </w:r>
      <w:r w:rsidR="00283927">
        <w:t>following</w:t>
      </w:r>
      <w:r w:rsidR="00283927" w:rsidRPr="00952B09">
        <w:t xml:space="preserve"> </w:t>
      </w:r>
      <w:r w:rsidR="00283927">
        <w:t>a revaluation</w:t>
      </w:r>
      <w:r w:rsidR="00283927" w:rsidRPr="00952B09">
        <w:t xml:space="preserve"> </w:t>
      </w:r>
      <w:r w:rsidR="00283927" w:rsidRPr="006F7C4B">
        <w:t xml:space="preserve">completed </w:t>
      </w:r>
      <w:r w:rsidR="00283927">
        <w:t>in 2024-25.</w:t>
      </w:r>
      <w:r w:rsidR="001723FA" w:rsidRPr="00BA61A9">
        <w:t xml:space="preserve"> </w:t>
      </w:r>
      <w:r w:rsidR="005B0FD1">
        <w:t>These losses</w:t>
      </w:r>
      <w:r w:rsidR="00C56ED6">
        <w:t xml:space="preserve"> </w:t>
      </w:r>
      <w:r w:rsidR="005B0FD1">
        <w:t xml:space="preserve">were </w:t>
      </w:r>
      <w:r w:rsidR="00C56ED6">
        <w:t xml:space="preserve">partially offset by </w:t>
      </w:r>
      <w:r w:rsidR="00C56ED6" w:rsidRPr="00593E79">
        <w:t xml:space="preserve">the </w:t>
      </w:r>
      <w:r w:rsidR="00625340" w:rsidRPr="006F7C4B">
        <w:t>additional investment</w:t>
      </w:r>
      <w:r w:rsidR="00625340">
        <w:t>s</w:t>
      </w:r>
      <w:r w:rsidR="00625340" w:rsidRPr="006F7C4B">
        <w:t xml:space="preserve"> into Homes Victoria</w:t>
      </w:r>
      <w:r w:rsidR="00625340">
        <w:t xml:space="preserve"> </w:t>
      </w:r>
      <w:r w:rsidR="00625340" w:rsidRPr="006F7C4B">
        <w:t>and State Tolling Corporation</w:t>
      </w:r>
      <w:r w:rsidR="00625340" w:rsidRPr="005C4A59">
        <w:t>,</w:t>
      </w:r>
      <w:r w:rsidR="00625340">
        <w:t xml:space="preserve"> </w:t>
      </w:r>
      <w:r w:rsidR="00B61DDE">
        <w:t>as well as</w:t>
      </w:r>
      <w:r w:rsidR="00C56ED6">
        <w:t xml:space="preserve"> </w:t>
      </w:r>
      <w:r w:rsidR="00C56ED6" w:rsidRPr="00593E79">
        <w:t xml:space="preserve">the revaluation of assets primarily in the </w:t>
      </w:r>
      <w:r w:rsidR="00C56ED6">
        <w:t>transport and creative industries</w:t>
      </w:r>
      <w:r w:rsidR="00F55C96">
        <w:t xml:space="preserve"> sectors</w:t>
      </w:r>
      <w:r w:rsidR="00C56ED6">
        <w:t xml:space="preserve">. </w:t>
      </w:r>
    </w:p>
    <w:p w14:paraId="7B9B0E17" w14:textId="12427657" w:rsidR="00366656" w:rsidRPr="00593E79" w:rsidRDefault="00366656" w:rsidP="00366656">
      <w:r w:rsidRPr="00593E79">
        <w:rPr>
          <w:b/>
          <w:bCs/>
        </w:rPr>
        <w:t>Net worth</w:t>
      </w:r>
      <w:r w:rsidRPr="00593E79">
        <w:t xml:space="preserve"> is a measure of economic wealth and is equal to net assets outlined in Table 2.4. The $</w:t>
      </w:r>
      <w:r w:rsidR="00D967D8">
        <w:t>335</w:t>
      </w:r>
      <w:r w:rsidR="0054690B">
        <w:t> </w:t>
      </w:r>
      <w:r w:rsidR="00253C10">
        <w:t>m</w:t>
      </w:r>
      <w:r w:rsidRPr="00593E79">
        <w:t xml:space="preserve">illion </w:t>
      </w:r>
      <w:r w:rsidR="00F13F2B">
        <w:t>decrease</w:t>
      </w:r>
      <w:r w:rsidRPr="00593E79">
        <w:t xml:space="preserve"> compared with the revised budget is due to the drivers as explained in the comprehensive result – total change in net worth above. </w:t>
      </w:r>
    </w:p>
    <w:p w14:paraId="067885DD" w14:textId="77777777" w:rsidR="00366656" w:rsidRPr="006C13A6" w:rsidRDefault="00366656" w:rsidP="00366656">
      <w:r w:rsidRPr="00593E79">
        <w:t xml:space="preserve">The year-on-year movement in </w:t>
      </w:r>
      <w:r w:rsidRPr="00593E79">
        <w:rPr>
          <w:b/>
          <w:bCs/>
        </w:rPr>
        <w:t>net financial worth</w:t>
      </w:r>
      <w:r w:rsidRPr="00593E79">
        <w:t>, which is equal to total financial assets less total liabilities, was mainly due to increased net debt, as explained in the next column.</w:t>
      </w:r>
      <w:r>
        <w:t xml:space="preserve"> </w:t>
      </w:r>
    </w:p>
    <w:p w14:paraId="512FD8E8" w14:textId="6DD1C21E" w:rsidR="00366656" w:rsidRPr="008B1DB0" w:rsidRDefault="00366656" w:rsidP="00366656">
      <w:r w:rsidRPr="00957000">
        <w:rPr>
          <w:b/>
          <w:bCs/>
        </w:rPr>
        <w:t>Net financial liabilities</w:t>
      </w:r>
      <w:r w:rsidRPr="00957000">
        <w:t xml:space="preserve"> are total liabilities less financial assets (excluding investments in other sector entities). Net financial liabilities were $</w:t>
      </w:r>
      <w:r w:rsidR="003D01D9">
        <w:t>20</w:t>
      </w:r>
      <w:r w:rsidR="00946442">
        <w:t>2</w:t>
      </w:r>
      <w:r w:rsidRPr="00957000">
        <w:t>.</w:t>
      </w:r>
      <w:r w:rsidR="00636C25">
        <w:t>7</w:t>
      </w:r>
      <w:r w:rsidRPr="00957000">
        <w:t> billion at 30 June 202</w:t>
      </w:r>
      <w:r w:rsidR="003D01D9">
        <w:t>5</w:t>
      </w:r>
      <w:r w:rsidRPr="00957000">
        <w:t>, $</w:t>
      </w:r>
      <w:r w:rsidR="00D93342">
        <w:t>2</w:t>
      </w:r>
      <w:r w:rsidRPr="00957000">
        <w:t>.</w:t>
      </w:r>
      <w:r w:rsidR="00636C25">
        <w:t>4</w:t>
      </w:r>
      <w:r w:rsidRPr="00957000">
        <w:t> billion lower than the revised budget</w:t>
      </w:r>
      <w:r w:rsidRPr="00D20D39">
        <w:t xml:space="preserve">. This decrease primarily reflects a higher than forecast net operating </w:t>
      </w:r>
      <w:r>
        <w:t>cash</w:t>
      </w:r>
      <w:r w:rsidRPr="00D20D39">
        <w:t xml:space="preserve"> surplus</w:t>
      </w:r>
      <w:r w:rsidR="0021261C">
        <w:t>,</w:t>
      </w:r>
      <w:r w:rsidRPr="00D20D39">
        <w:t xml:space="preserve"> </w:t>
      </w:r>
      <w:r w:rsidR="00B71B16">
        <w:t xml:space="preserve">capital </w:t>
      </w:r>
      <w:r w:rsidR="00BF1BF3" w:rsidRPr="00BF1BF3">
        <w:t>gains from</w:t>
      </w:r>
      <w:r w:rsidRPr="00783F98">
        <w:t xml:space="preserve"> the </w:t>
      </w:r>
      <w:r w:rsidR="00BF1BF3" w:rsidRPr="00BF1BF3">
        <w:t>Victorian Future Fund, Victorian Social Housing Growth Fund and the Victorian Homebuyer Scheme</w:t>
      </w:r>
      <w:r w:rsidR="00142258">
        <w:t>,</w:t>
      </w:r>
      <w:r w:rsidRPr="00783F98">
        <w:t xml:space="preserve"> </w:t>
      </w:r>
      <w:r w:rsidR="0021261C">
        <w:t xml:space="preserve">as well as </w:t>
      </w:r>
      <w:r w:rsidR="000802D1" w:rsidRPr="000802D1">
        <w:t xml:space="preserve">the valuation gains associated with </w:t>
      </w:r>
      <w:r w:rsidR="0021261C">
        <w:t>the</w:t>
      </w:r>
      <w:r w:rsidR="00501A19">
        <w:t xml:space="preserve"> </w:t>
      </w:r>
      <w:r w:rsidR="00890F59" w:rsidRPr="00890F59">
        <w:t xml:space="preserve">VRET </w:t>
      </w:r>
      <w:r w:rsidR="008D23DC">
        <w:t xml:space="preserve">and </w:t>
      </w:r>
      <w:r w:rsidR="008D23DC" w:rsidRPr="005D5F58">
        <w:t>Bulgana Green Power Hub</w:t>
      </w:r>
      <w:r w:rsidR="005C0BCE" w:rsidRPr="005C0BCE">
        <w:t xml:space="preserve"> financial derivatives</w:t>
      </w:r>
      <w:r w:rsidR="00890F59">
        <w:t xml:space="preserve">, </w:t>
      </w:r>
      <w:r w:rsidRPr="00783F98">
        <w:t xml:space="preserve">partially offset by higher than expected </w:t>
      </w:r>
      <w:r w:rsidR="00DB6CD5" w:rsidRPr="008F2E96">
        <w:t>provisions</w:t>
      </w:r>
      <w:r w:rsidR="00142258" w:rsidRPr="008F2E96">
        <w:t xml:space="preserve"> and accrued expenses</w:t>
      </w:r>
      <w:r w:rsidRPr="008F2E96">
        <w:t>.</w:t>
      </w:r>
      <w:r w:rsidR="00F63947">
        <w:t xml:space="preserve"> </w:t>
      </w:r>
    </w:p>
    <w:p w14:paraId="294E568A" w14:textId="7A5D526C" w:rsidR="004409FD" w:rsidRPr="006C13A6" w:rsidRDefault="00CC1335" w:rsidP="004409FD">
      <w:r>
        <w:rPr>
          <w:b/>
          <w:bCs/>
        </w:rPr>
        <w:br w:type="column"/>
      </w:r>
      <w:r w:rsidR="004409FD" w:rsidRPr="003B1386">
        <w:rPr>
          <w:b/>
          <w:bCs/>
        </w:rPr>
        <w:t>Net debt</w:t>
      </w:r>
      <w:r w:rsidR="004409FD" w:rsidRPr="003B1386">
        <w:t xml:space="preserve"> represents gross debt less liquid financial assets. Net debt of $1</w:t>
      </w:r>
      <w:r w:rsidR="004409FD">
        <w:t>5</w:t>
      </w:r>
      <w:r w:rsidR="00E63054">
        <w:t>0.9</w:t>
      </w:r>
      <w:r w:rsidR="004409FD" w:rsidRPr="003B1386">
        <w:t> billion at 30 June 202</w:t>
      </w:r>
      <w:r w:rsidR="004409FD">
        <w:t>5</w:t>
      </w:r>
      <w:r w:rsidR="004409FD" w:rsidRPr="003B1386">
        <w:t xml:space="preserve"> was $</w:t>
      </w:r>
      <w:r w:rsidR="004409FD">
        <w:t>4</w:t>
      </w:r>
      <w:r w:rsidR="00F05755">
        <w:t>.</w:t>
      </w:r>
      <w:r w:rsidR="00E63054">
        <w:t>7</w:t>
      </w:r>
      <w:r w:rsidR="004409FD" w:rsidRPr="003B1386">
        <w:t xml:space="preserve"> billion lower than the revised estimate in the </w:t>
      </w:r>
      <w:r w:rsidR="004409FD" w:rsidRPr="003B1386">
        <w:rPr>
          <w:i/>
        </w:rPr>
        <w:t>202</w:t>
      </w:r>
      <w:r w:rsidR="004409FD">
        <w:rPr>
          <w:i/>
        </w:rPr>
        <w:t>5</w:t>
      </w:r>
      <w:r w:rsidR="004409FD" w:rsidRPr="003B1386">
        <w:rPr>
          <w:i/>
        </w:rPr>
        <w:noBreakHyphen/>
        <w:t>2</w:t>
      </w:r>
      <w:r w:rsidR="004409FD">
        <w:rPr>
          <w:i/>
        </w:rPr>
        <w:t>6</w:t>
      </w:r>
      <w:r w:rsidR="004409FD" w:rsidRPr="003B1386">
        <w:rPr>
          <w:i/>
        </w:rPr>
        <w:t xml:space="preserve"> Budget</w:t>
      </w:r>
      <w:r w:rsidR="004409FD" w:rsidRPr="003B1386">
        <w:t xml:space="preserve">. This improved result primarily reflects </w:t>
      </w:r>
      <w:r w:rsidR="004409FD" w:rsidRPr="00040607">
        <w:t xml:space="preserve">a </w:t>
      </w:r>
      <w:r w:rsidR="004409FD" w:rsidRPr="003B1386">
        <w:t xml:space="preserve">higher than </w:t>
      </w:r>
      <w:r w:rsidR="004409FD" w:rsidRPr="00040607">
        <w:t>forecast</w:t>
      </w:r>
      <w:r w:rsidR="004409FD" w:rsidRPr="003B1386">
        <w:t xml:space="preserve"> net operating </w:t>
      </w:r>
      <w:r w:rsidR="004409FD">
        <w:t>cash</w:t>
      </w:r>
      <w:r w:rsidR="004409FD" w:rsidRPr="00040607">
        <w:t xml:space="preserve"> surplus</w:t>
      </w:r>
      <w:r w:rsidR="004409FD">
        <w:t xml:space="preserve"> </w:t>
      </w:r>
      <w:r w:rsidR="004409FD" w:rsidRPr="00F1648D">
        <w:t>and capital gains from the Victorian Future Fund, Victorian Social Housing Growth Fund and the Victorian Homebuyer Schem</w:t>
      </w:r>
      <w:r w:rsidR="004409FD">
        <w:t>e</w:t>
      </w:r>
      <w:r w:rsidR="004409FD" w:rsidRPr="003B1386">
        <w:t>.</w:t>
      </w:r>
      <w:r w:rsidR="004409FD">
        <w:t xml:space="preserve"> </w:t>
      </w:r>
      <w:r w:rsidR="004409FD" w:rsidRPr="008F4DA9">
        <w:t xml:space="preserve">Also contributing to the improvement are </w:t>
      </w:r>
      <w:r w:rsidR="00AC5057" w:rsidRPr="00AC5057">
        <w:t>the valuation gains associated with</w:t>
      </w:r>
      <w:r w:rsidR="00BC05AD" w:rsidRPr="00654AA1">
        <w:t xml:space="preserve"> the VRET </w:t>
      </w:r>
      <w:r w:rsidR="00992F82" w:rsidRPr="00992F82">
        <w:t>and</w:t>
      </w:r>
      <w:r w:rsidR="008B2C51" w:rsidRPr="005D5F58">
        <w:t xml:space="preserve"> Bulgana Green Power Hub</w:t>
      </w:r>
      <w:r w:rsidR="00992F82" w:rsidRPr="00992F82">
        <w:t xml:space="preserve"> financial derivatives</w:t>
      </w:r>
      <w:r w:rsidR="00756288">
        <w:t>, as well as</w:t>
      </w:r>
      <w:r w:rsidR="00BC05AD" w:rsidRPr="008F4DA9">
        <w:t xml:space="preserve"> </w:t>
      </w:r>
      <w:r w:rsidR="004409FD" w:rsidRPr="008F4DA9">
        <w:t>lower</w:t>
      </w:r>
      <w:r w:rsidR="004409FD">
        <w:t xml:space="preserve"> </w:t>
      </w:r>
      <w:r w:rsidR="004409FD" w:rsidRPr="008F4DA9">
        <w:t>than</w:t>
      </w:r>
      <w:r w:rsidR="004409FD">
        <w:t xml:space="preserve"> </w:t>
      </w:r>
      <w:r w:rsidR="004409FD" w:rsidRPr="008F4DA9">
        <w:t>expected leasing activities</w:t>
      </w:r>
      <w:r w:rsidR="004409FD">
        <w:t xml:space="preserve"> primarily </w:t>
      </w:r>
      <w:r w:rsidR="004409FD" w:rsidRPr="008F4DA9">
        <w:t>due to the timing of certain office accommodation lease renewals</w:t>
      </w:r>
      <w:r w:rsidR="004409FD">
        <w:t xml:space="preserve"> </w:t>
      </w:r>
      <w:r w:rsidR="004409FD" w:rsidRPr="00636A41">
        <w:t>managed by the Department of Government Services</w:t>
      </w:r>
      <w:r w:rsidR="004409FD">
        <w:t>.</w:t>
      </w:r>
    </w:p>
    <w:p w14:paraId="3D5ABABC" w14:textId="2BAE0235" w:rsidR="004409FD" w:rsidRPr="00B76F96" w:rsidRDefault="004409FD" w:rsidP="004409FD">
      <w:r w:rsidRPr="00B76F96">
        <w:t>The increase in net debt in 202</w:t>
      </w:r>
      <w:r>
        <w:t>4</w:t>
      </w:r>
      <w:r w:rsidRPr="00B76F96">
        <w:noBreakHyphen/>
        <w:t>2</w:t>
      </w:r>
      <w:r>
        <w:t>5</w:t>
      </w:r>
      <w:r w:rsidRPr="00B76F96">
        <w:t xml:space="preserve"> of $1</w:t>
      </w:r>
      <w:r w:rsidR="00EB2FBB">
        <w:t>7</w:t>
      </w:r>
      <w:r w:rsidRPr="00B76F96">
        <w:t>.</w:t>
      </w:r>
      <w:r w:rsidR="00E63054">
        <w:t>6</w:t>
      </w:r>
      <w:r w:rsidRPr="00B76F96">
        <w:t xml:space="preserve"> billion primarily reflects additional borrowings required to </w:t>
      </w:r>
      <w:r w:rsidRPr="006247A5">
        <w:t>fund</w:t>
      </w:r>
      <w:r w:rsidRPr="00B76F96">
        <w:t xml:space="preserve"> the State</w:t>
      </w:r>
      <w:r w:rsidR="00845934">
        <w:t>’</w:t>
      </w:r>
      <w:r w:rsidRPr="00B76F96">
        <w:t>s capital program.</w:t>
      </w:r>
    </w:p>
    <w:p w14:paraId="5CBA8687" w14:textId="41AFD3EA" w:rsidR="004409FD" w:rsidRPr="006C13A6" w:rsidRDefault="004409FD" w:rsidP="004409FD">
      <w:r w:rsidRPr="00B76F96">
        <w:t xml:space="preserve">The </w:t>
      </w:r>
      <w:r w:rsidRPr="00B76F96">
        <w:rPr>
          <w:b/>
          <w:bCs/>
        </w:rPr>
        <w:t>net cash flows from operating activities</w:t>
      </w:r>
      <w:r w:rsidRPr="00B76F96">
        <w:t xml:space="preserve"> surplus of $</w:t>
      </w:r>
      <w:r>
        <w:t>3</w:t>
      </w:r>
      <w:r w:rsidRPr="00B76F96">
        <w:t>.</w:t>
      </w:r>
      <w:r w:rsidR="007E2604">
        <w:t>2</w:t>
      </w:r>
      <w:r w:rsidRPr="00B76F96">
        <w:t xml:space="preserve"> billion was an improvement of $2.</w:t>
      </w:r>
      <w:r w:rsidR="00651F5B">
        <w:t>6</w:t>
      </w:r>
      <w:r w:rsidRPr="00B76F96">
        <w:t> billion compared with the $</w:t>
      </w:r>
      <w:r>
        <w:t>620</w:t>
      </w:r>
      <w:r w:rsidRPr="00B76F96">
        <w:t xml:space="preserve"> million surplus forecast in the </w:t>
      </w:r>
      <w:r w:rsidRPr="00B76F96">
        <w:rPr>
          <w:i/>
        </w:rPr>
        <w:t>202</w:t>
      </w:r>
      <w:r>
        <w:rPr>
          <w:i/>
        </w:rPr>
        <w:t>5</w:t>
      </w:r>
      <w:r w:rsidRPr="00B76F96">
        <w:rPr>
          <w:i/>
        </w:rPr>
        <w:noBreakHyphen/>
        <w:t>2</w:t>
      </w:r>
      <w:r>
        <w:rPr>
          <w:i/>
        </w:rPr>
        <w:t>6</w:t>
      </w:r>
      <w:r w:rsidRPr="00B76F96">
        <w:rPr>
          <w:i/>
        </w:rPr>
        <w:t xml:space="preserve"> Budget</w:t>
      </w:r>
      <w:r w:rsidRPr="00B76F96">
        <w:t xml:space="preserve">. The improvement from the revised budget was primarily driven by </w:t>
      </w:r>
      <w:r w:rsidRPr="00DF0F5F">
        <w:t xml:space="preserve">lower than forecast payments on goods and services and grants due to the timing of payments across departments. There were also higher </w:t>
      </w:r>
      <w:r w:rsidRPr="009F5815">
        <w:t xml:space="preserve">other receipts </w:t>
      </w:r>
      <w:r>
        <w:t xml:space="preserve">primarily </w:t>
      </w:r>
      <w:r w:rsidRPr="009F5815">
        <w:t xml:space="preserve">due </w:t>
      </w:r>
      <w:r w:rsidRPr="007032D7">
        <w:t xml:space="preserve">to </w:t>
      </w:r>
      <w:r>
        <w:t xml:space="preserve">an increase in fines collections and higher receipts </w:t>
      </w:r>
      <w:r w:rsidRPr="0081630A">
        <w:t xml:space="preserve">associated with the </w:t>
      </w:r>
      <w:r w:rsidRPr="00D666BB">
        <w:rPr>
          <w:i/>
          <w:iCs/>
        </w:rPr>
        <w:t>Unclaimed Money Act</w:t>
      </w:r>
      <w:r>
        <w:rPr>
          <w:i/>
          <w:iCs/>
        </w:rPr>
        <w:t> </w:t>
      </w:r>
      <w:r w:rsidRPr="00D666BB">
        <w:rPr>
          <w:i/>
          <w:iCs/>
        </w:rPr>
        <w:t>2008</w:t>
      </w:r>
      <w:r w:rsidRPr="00DF0F5F">
        <w:t>.</w:t>
      </w:r>
    </w:p>
    <w:p w14:paraId="7AC7C6C6" w14:textId="10875D52" w:rsidR="004409FD" w:rsidRPr="006C13A6" w:rsidRDefault="004409FD" w:rsidP="004409FD">
      <w:r w:rsidRPr="000A21EB">
        <w:t xml:space="preserve">The </w:t>
      </w:r>
      <w:r w:rsidRPr="000A21EB">
        <w:rPr>
          <w:b/>
          <w:bCs/>
        </w:rPr>
        <w:t>cash deficit</w:t>
      </w:r>
      <w:r w:rsidRPr="000A21EB">
        <w:t xml:space="preserve"> position in 202</w:t>
      </w:r>
      <w:r>
        <w:t>4</w:t>
      </w:r>
      <w:r w:rsidRPr="000A21EB">
        <w:noBreakHyphen/>
        <w:t>2</w:t>
      </w:r>
      <w:r>
        <w:t>5</w:t>
      </w:r>
      <w:r w:rsidRPr="000A21EB">
        <w:t xml:space="preserve"> reflects the sum of net cash flows from operating and investing activities. The deficit position in 202</w:t>
      </w:r>
      <w:r>
        <w:t>4</w:t>
      </w:r>
      <w:r w:rsidRPr="000A21EB">
        <w:noBreakHyphen/>
        <w:t>2</w:t>
      </w:r>
      <w:r>
        <w:t>5</w:t>
      </w:r>
      <w:r w:rsidRPr="000A21EB">
        <w:t xml:space="preserve"> was a $2.</w:t>
      </w:r>
      <w:r w:rsidR="007F6CB3">
        <w:t>2</w:t>
      </w:r>
      <w:r w:rsidRPr="000A21EB">
        <w:t> billion improvement compared with the $</w:t>
      </w:r>
      <w:r>
        <w:t>15</w:t>
      </w:r>
      <w:r w:rsidR="0054690B">
        <w:t> </w:t>
      </w:r>
      <w:r w:rsidRPr="000A21EB">
        <w:t xml:space="preserve">billion deficit forecast in the </w:t>
      </w:r>
      <w:r w:rsidRPr="000A21EB">
        <w:rPr>
          <w:i/>
        </w:rPr>
        <w:t>202</w:t>
      </w:r>
      <w:r>
        <w:rPr>
          <w:i/>
        </w:rPr>
        <w:t>5</w:t>
      </w:r>
      <w:r w:rsidRPr="000A21EB">
        <w:rPr>
          <w:i/>
        </w:rPr>
        <w:noBreakHyphen/>
        <w:t>2</w:t>
      </w:r>
      <w:r>
        <w:rPr>
          <w:i/>
        </w:rPr>
        <w:t>6</w:t>
      </w:r>
      <w:r w:rsidRPr="000A21EB">
        <w:rPr>
          <w:i/>
        </w:rPr>
        <w:t xml:space="preserve"> Budget</w:t>
      </w:r>
      <w:r w:rsidRPr="000A21EB">
        <w:t>, primarily attributed to the improved net cash flows from operating activities as discussed above.</w:t>
      </w:r>
      <w:r>
        <w:t xml:space="preserve"> </w:t>
      </w:r>
    </w:p>
    <w:p w14:paraId="4CC69C0C" w14:textId="77777777" w:rsidR="00CC1335" w:rsidRDefault="00CC1335" w:rsidP="00366656">
      <w:pPr>
        <w:pStyle w:val="Heading1"/>
        <w:sectPr w:rsidR="00CC1335" w:rsidSect="00CC1335">
          <w:type w:val="continuous"/>
          <w:pgSz w:w="11906" w:h="16838" w:code="9"/>
          <w:pgMar w:top="1134" w:right="1134" w:bottom="1134" w:left="1134" w:header="624" w:footer="567" w:gutter="0"/>
          <w:cols w:num="2" w:space="708"/>
          <w:docGrid w:linePitch="360"/>
        </w:sectPr>
      </w:pPr>
      <w:bookmarkStart w:id="12" w:name="_Toc176189332"/>
    </w:p>
    <w:p w14:paraId="7EB168B5" w14:textId="77777777" w:rsidR="00366656" w:rsidRPr="006C13A6" w:rsidRDefault="00366656" w:rsidP="00CC1335">
      <w:pPr>
        <w:pStyle w:val="Heading1"/>
        <w:spacing w:before="0"/>
      </w:pPr>
      <w:r w:rsidRPr="006C13A6">
        <w:lastRenderedPageBreak/>
        <w:t>Financial performance</w:t>
      </w:r>
      <w:bookmarkEnd w:id="12"/>
    </w:p>
    <w:p w14:paraId="2351E93E" w14:textId="77777777" w:rsidR="00CC1335" w:rsidRDefault="00CC1335" w:rsidP="00366656">
      <w:pPr>
        <w:keepNext/>
        <w:sectPr w:rsidR="00CC1335" w:rsidSect="00CC1335">
          <w:type w:val="continuous"/>
          <w:pgSz w:w="11906" w:h="16838" w:code="9"/>
          <w:pgMar w:top="1134" w:right="1134" w:bottom="1134" w:left="1134" w:header="624" w:footer="567" w:gutter="0"/>
          <w:cols w:space="708"/>
          <w:docGrid w:linePitch="360"/>
        </w:sectPr>
      </w:pPr>
    </w:p>
    <w:p w14:paraId="770AE1A9" w14:textId="5AED75BF" w:rsidR="00366656" w:rsidRDefault="00366656" w:rsidP="00CC1335">
      <w:r w:rsidRPr="006C13A6">
        <w:t xml:space="preserve">Table 2.2 shows a </w:t>
      </w:r>
      <w:r w:rsidR="00505271">
        <w:t xml:space="preserve">net result from transactions </w:t>
      </w:r>
      <w:r w:rsidRPr="006C13A6">
        <w:t>deficit of $</w:t>
      </w:r>
      <w:r w:rsidR="000F6A85">
        <w:t>2.</w:t>
      </w:r>
      <w:r w:rsidR="00472026">
        <w:t>6</w:t>
      </w:r>
      <w:r w:rsidRPr="006C13A6">
        <w:t xml:space="preserve"> billion in </w:t>
      </w:r>
      <w:r>
        <w:t>202</w:t>
      </w:r>
      <w:r w:rsidR="003D63E3">
        <w:t>4</w:t>
      </w:r>
      <w:r w:rsidRPr="006C13A6">
        <w:noBreakHyphen/>
        <w:t>2</w:t>
      </w:r>
      <w:r w:rsidR="003D63E3">
        <w:t>5</w:t>
      </w:r>
      <w:r w:rsidRPr="006C13A6">
        <w:t xml:space="preserve"> compared with the revised </w:t>
      </w:r>
      <w:r>
        <w:t>202</w:t>
      </w:r>
      <w:r w:rsidR="00831BDA">
        <w:t>4</w:t>
      </w:r>
      <w:r w:rsidRPr="006C13A6">
        <w:noBreakHyphen/>
        <w:t>2</w:t>
      </w:r>
      <w:r w:rsidR="00831BDA">
        <w:t>5</w:t>
      </w:r>
      <w:r w:rsidRPr="006C13A6">
        <w:t xml:space="preserve"> estimate of a deficit of $</w:t>
      </w:r>
      <w:r w:rsidR="00831BDA">
        <w:t>3</w:t>
      </w:r>
      <w:r w:rsidRPr="006C13A6">
        <w:t>.</w:t>
      </w:r>
      <w:r w:rsidR="00831BDA">
        <w:t>4</w:t>
      </w:r>
      <w:r w:rsidRPr="006C13A6">
        <w:t> billion.</w:t>
      </w:r>
    </w:p>
    <w:p w14:paraId="2F743B02" w14:textId="77777777" w:rsidR="00CC1335" w:rsidRPr="006C13A6" w:rsidRDefault="00CC1335" w:rsidP="00CC1335"/>
    <w:p w14:paraId="186DB2D0" w14:textId="77777777" w:rsidR="00CC1335" w:rsidRDefault="00CC1335" w:rsidP="00366656">
      <w:pPr>
        <w:pStyle w:val="TableHeading"/>
        <w:sectPr w:rsidR="00CC1335" w:rsidSect="00CC1335">
          <w:type w:val="continuous"/>
          <w:pgSz w:w="11906" w:h="16838" w:code="9"/>
          <w:pgMar w:top="1134" w:right="1134" w:bottom="1134" w:left="1134" w:header="624" w:footer="567" w:gutter="0"/>
          <w:cols w:num="2" w:space="708"/>
          <w:docGrid w:linePitch="360"/>
        </w:sectPr>
      </w:pPr>
    </w:p>
    <w:p w14:paraId="7A183376" w14:textId="77777777" w:rsidR="00CC1335" w:rsidRDefault="00CC1335" w:rsidP="00CC1335">
      <w:pPr>
        <w:pStyle w:val="TableHeading"/>
      </w:pPr>
    </w:p>
    <w:p w14:paraId="7252635C" w14:textId="2A1EC92B" w:rsidR="00366656" w:rsidRDefault="00366656" w:rsidP="00CC1335">
      <w:pPr>
        <w:pStyle w:val="TableHeading"/>
      </w:pPr>
      <w:r w:rsidRPr="006C13A6">
        <w:t>Table 2.2:</w:t>
      </w:r>
      <w:r w:rsidRPr="006C13A6">
        <w:tab/>
        <w:t xml:space="preserve">Summary of operating statement </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2.xlsx|Table:Summary_OS_GG|MergedHeadingRow:1"/>
      </w:tblPr>
      <w:tblGrid>
        <w:gridCol w:w="5103"/>
        <w:gridCol w:w="907"/>
        <w:gridCol w:w="907"/>
        <w:gridCol w:w="907"/>
        <w:gridCol w:w="907"/>
        <w:gridCol w:w="907"/>
      </w:tblGrid>
      <w:tr w:rsidR="00991200" w14:paraId="06F7DF91"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70D5BC7" w14:textId="77777777" w:rsidR="00E51EAC" w:rsidRDefault="00E51EAC">
            <w:pPr>
              <w:keepNext/>
            </w:pPr>
          </w:p>
        </w:tc>
        <w:tc>
          <w:tcPr>
            <w:tcW w:w="907" w:type="dxa"/>
          </w:tcPr>
          <w:p w14:paraId="6686C31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r>
              <w:br/>
              <w:t xml:space="preserve"> actual</w:t>
            </w:r>
          </w:p>
        </w:tc>
        <w:tc>
          <w:tcPr>
            <w:tcW w:w="907" w:type="dxa"/>
          </w:tcPr>
          <w:p w14:paraId="5AF68B5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r>
              <w:br/>
              <w:t>revised</w:t>
            </w:r>
          </w:p>
        </w:tc>
        <w:tc>
          <w:tcPr>
            <w:tcW w:w="907" w:type="dxa"/>
          </w:tcPr>
          <w:p w14:paraId="3F4B6CFB"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4BA0A8C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revised</w:t>
            </w:r>
            <w:r>
              <w:br/>
              <w:t>variance</w:t>
            </w:r>
          </w:p>
        </w:tc>
        <w:tc>
          <w:tcPr>
            <w:tcW w:w="907" w:type="dxa"/>
          </w:tcPr>
          <w:p w14:paraId="6D76F09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r>
              <w:br/>
              <w:t>actual</w:t>
            </w:r>
          </w:p>
        </w:tc>
      </w:tr>
      <w:tr w:rsidR="00E51EAC" w14:paraId="3190E06B" w14:textId="77777777">
        <w:tc>
          <w:tcPr>
            <w:cnfStyle w:val="001000000000" w:firstRow="0" w:lastRow="0" w:firstColumn="1" w:lastColumn="0" w:oddVBand="0" w:evenVBand="0" w:oddHBand="0" w:evenHBand="0" w:firstRowFirstColumn="0" w:firstRowLastColumn="0" w:lastRowFirstColumn="0" w:lastRowLastColumn="0"/>
            <w:tcW w:w="5103" w:type="dxa"/>
          </w:tcPr>
          <w:p w14:paraId="6E487EF0" w14:textId="77777777" w:rsidR="00E51EAC" w:rsidRDefault="00182F93">
            <w:r>
              <w:rPr>
                <w:b/>
              </w:rPr>
              <w:t>Revenue and income from transactions</w:t>
            </w:r>
          </w:p>
        </w:tc>
        <w:tc>
          <w:tcPr>
            <w:tcW w:w="907" w:type="dxa"/>
          </w:tcPr>
          <w:p w14:paraId="6E3A9F0B"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9F44B8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C024E7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F89E01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7667B3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4F63017" w14:textId="77777777">
        <w:tc>
          <w:tcPr>
            <w:cnfStyle w:val="001000000000" w:firstRow="0" w:lastRow="0" w:firstColumn="1" w:lastColumn="0" w:oddVBand="0" w:evenVBand="0" w:oddHBand="0" w:evenHBand="0" w:firstRowFirstColumn="0" w:firstRowLastColumn="0" w:lastRowFirstColumn="0" w:lastRowLastColumn="0"/>
            <w:tcW w:w="5103" w:type="dxa"/>
          </w:tcPr>
          <w:p w14:paraId="1DFE25A4" w14:textId="77777777" w:rsidR="00E51EAC" w:rsidRDefault="00182F93">
            <w:r>
              <w:t>Taxation</w:t>
            </w:r>
          </w:p>
        </w:tc>
        <w:tc>
          <w:tcPr>
            <w:tcW w:w="907" w:type="dxa"/>
          </w:tcPr>
          <w:p w14:paraId="39F6C3F8" w14:textId="77777777" w:rsidR="00E51EAC" w:rsidRDefault="00182F93">
            <w:pPr>
              <w:cnfStyle w:val="000000000000" w:firstRow="0" w:lastRow="0" w:firstColumn="0" w:lastColumn="0" w:oddVBand="0" w:evenVBand="0" w:oddHBand="0" w:evenHBand="0" w:firstRowFirstColumn="0" w:firstRowLastColumn="0" w:lastRowFirstColumn="0" w:lastRowLastColumn="0"/>
            </w:pPr>
            <w:r>
              <w:t>38 942</w:t>
            </w:r>
          </w:p>
        </w:tc>
        <w:tc>
          <w:tcPr>
            <w:tcW w:w="907" w:type="dxa"/>
          </w:tcPr>
          <w:p w14:paraId="4AC8CE32" w14:textId="77777777" w:rsidR="00E51EAC" w:rsidRDefault="00182F93">
            <w:pPr>
              <w:cnfStyle w:val="000000000000" w:firstRow="0" w:lastRow="0" w:firstColumn="0" w:lastColumn="0" w:oddVBand="0" w:evenVBand="0" w:oddHBand="0" w:evenHBand="0" w:firstRowFirstColumn="0" w:firstRowLastColumn="0" w:lastRowFirstColumn="0" w:lastRowLastColumn="0"/>
            </w:pPr>
            <w:r>
              <w:t>39 152</w:t>
            </w:r>
          </w:p>
        </w:tc>
        <w:tc>
          <w:tcPr>
            <w:tcW w:w="907" w:type="dxa"/>
          </w:tcPr>
          <w:p w14:paraId="149B2A7C" w14:textId="77777777" w:rsidR="00E51EAC" w:rsidRDefault="00182F93">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1FB9941E" w14:textId="77777777" w:rsidR="00E51EAC" w:rsidRDefault="00182F9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D73F7CD" w14:textId="77777777" w:rsidR="00E51EAC" w:rsidRDefault="00182F93">
            <w:pPr>
              <w:cnfStyle w:val="000000000000" w:firstRow="0" w:lastRow="0" w:firstColumn="0" w:lastColumn="0" w:oddVBand="0" w:evenVBand="0" w:oddHBand="0" w:evenHBand="0" w:firstRowFirstColumn="0" w:firstRowLastColumn="0" w:lastRowFirstColumn="0" w:lastRowLastColumn="0"/>
            </w:pPr>
            <w:r>
              <w:t>36 876</w:t>
            </w:r>
          </w:p>
        </w:tc>
      </w:tr>
      <w:tr w:rsidR="00E51EAC" w14:paraId="721EC508" w14:textId="77777777">
        <w:tc>
          <w:tcPr>
            <w:cnfStyle w:val="001000000000" w:firstRow="0" w:lastRow="0" w:firstColumn="1" w:lastColumn="0" w:oddVBand="0" w:evenVBand="0" w:oddHBand="0" w:evenHBand="0" w:firstRowFirstColumn="0" w:firstRowLastColumn="0" w:lastRowFirstColumn="0" w:lastRowLastColumn="0"/>
            <w:tcW w:w="5103" w:type="dxa"/>
          </w:tcPr>
          <w:p w14:paraId="039FBA2D" w14:textId="77777777" w:rsidR="00E51EAC" w:rsidRDefault="00182F93">
            <w:r>
              <w:t>Interest income</w:t>
            </w:r>
          </w:p>
        </w:tc>
        <w:tc>
          <w:tcPr>
            <w:tcW w:w="907" w:type="dxa"/>
          </w:tcPr>
          <w:p w14:paraId="21B5FF54" w14:textId="77777777" w:rsidR="00E51EAC" w:rsidRDefault="00182F93">
            <w:pPr>
              <w:cnfStyle w:val="000000000000" w:firstRow="0" w:lastRow="0" w:firstColumn="0" w:lastColumn="0" w:oddVBand="0" w:evenVBand="0" w:oddHBand="0" w:evenHBand="0" w:firstRowFirstColumn="0" w:firstRowLastColumn="0" w:lastRowFirstColumn="0" w:lastRowLastColumn="0"/>
            </w:pPr>
            <w:r>
              <w:t>1 546</w:t>
            </w:r>
          </w:p>
        </w:tc>
        <w:tc>
          <w:tcPr>
            <w:tcW w:w="907" w:type="dxa"/>
          </w:tcPr>
          <w:p w14:paraId="5E110F15" w14:textId="77777777" w:rsidR="00E51EAC" w:rsidRDefault="00182F93">
            <w:pPr>
              <w:cnfStyle w:val="000000000000" w:firstRow="0" w:lastRow="0" w:firstColumn="0" w:lastColumn="0" w:oddVBand="0" w:evenVBand="0" w:oddHBand="0" w:evenHBand="0" w:firstRowFirstColumn="0" w:firstRowLastColumn="0" w:lastRowFirstColumn="0" w:lastRowLastColumn="0"/>
            </w:pPr>
            <w:r>
              <w:t>1 502</w:t>
            </w:r>
          </w:p>
        </w:tc>
        <w:tc>
          <w:tcPr>
            <w:tcW w:w="907" w:type="dxa"/>
          </w:tcPr>
          <w:p w14:paraId="4F7C831A" w14:textId="77777777" w:rsidR="00E51EAC" w:rsidRDefault="00182F93">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76BE5A8D"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FA4D8D1" w14:textId="77777777" w:rsidR="00E51EAC" w:rsidRDefault="00182F93">
            <w:pPr>
              <w:cnfStyle w:val="000000000000" w:firstRow="0" w:lastRow="0" w:firstColumn="0" w:lastColumn="0" w:oddVBand="0" w:evenVBand="0" w:oddHBand="0" w:evenHBand="0" w:firstRowFirstColumn="0" w:firstRowLastColumn="0" w:lastRowFirstColumn="0" w:lastRowLastColumn="0"/>
            </w:pPr>
            <w:r>
              <w:t>1 761</w:t>
            </w:r>
          </w:p>
        </w:tc>
      </w:tr>
      <w:tr w:rsidR="00E51EAC" w14:paraId="63A80567" w14:textId="77777777">
        <w:tc>
          <w:tcPr>
            <w:cnfStyle w:val="001000000000" w:firstRow="0" w:lastRow="0" w:firstColumn="1" w:lastColumn="0" w:oddVBand="0" w:evenVBand="0" w:oddHBand="0" w:evenHBand="0" w:firstRowFirstColumn="0" w:firstRowLastColumn="0" w:lastRowFirstColumn="0" w:lastRowLastColumn="0"/>
            <w:tcW w:w="5103" w:type="dxa"/>
          </w:tcPr>
          <w:p w14:paraId="2179AE88" w14:textId="77777777" w:rsidR="00E51EAC" w:rsidRDefault="00182F93">
            <w:r>
              <w:t>Dividends and income tax equivalent income</w:t>
            </w:r>
          </w:p>
        </w:tc>
        <w:tc>
          <w:tcPr>
            <w:tcW w:w="907" w:type="dxa"/>
          </w:tcPr>
          <w:p w14:paraId="54295D2A" w14:textId="77777777" w:rsidR="00E51EAC" w:rsidRDefault="00182F93">
            <w:pPr>
              <w:cnfStyle w:val="000000000000" w:firstRow="0" w:lastRow="0" w:firstColumn="0" w:lastColumn="0" w:oddVBand="0" w:evenVBand="0" w:oddHBand="0" w:evenHBand="0" w:firstRowFirstColumn="0" w:firstRowLastColumn="0" w:lastRowFirstColumn="0" w:lastRowLastColumn="0"/>
            </w:pPr>
            <w:r>
              <w:t>2 284</w:t>
            </w:r>
          </w:p>
        </w:tc>
        <w:tc>
          <w:tcPr>
            <w:tcW w:w="907" w:type="dxa"/>
          </w:tcPr>
          <w:p w14:paraId="51E7F238" w14:textId="77777777" w:rsidR="00E51EAC" w:rsidRDefault="00182F93">
            <w:pPr>
              <w:cnfStyle w:val="000000000000" w:firstRow="0" w:lastRow="0" w:firstColumn="0" w:lastColumn="0" w:oddVBand="0" w:evenVBand="0" w:oddHBand="0" w:evenHBand="0" w:firstRowFirstColumn="0" w:firstRowLastColumn="0" w:lastRowFirstColumn="0" w:lastRowLastColumn="0"/>
            </w:pPr>
            <w:r>
              <w:t>2 341</w:t>
            </w:r>
          </w:p>
        </w:tc>
        <w:tc>
          <w:tcPr>
            <w:tcW w:w="907" w:type="dxa"/>
          </w:tcPr>
          <w:p w14:paraId="4A441FA4" w14:textId="77777777" w:rsidR="00E51EAC" w:rsidRDefault="00182F93">
            <w:pPr>
              <w:cnfStyle w:val="000000000000" w:firstRow="0" w:lastRow="0" w:firstColumn="0" w:lastColumn="0" w:oddVBand="0" w:evenVBand="0" w:oddHBand="0" w:evenHBand="0" w:firstRowFirstColumn="0" w:firstRowLastColumn="0" w:lastRowFirstColumn="0" w:lastRowLastColumn="0"/>
            </w:pPr>
            <w:r>
              <w:t>(57)</w:t>
            </w:r>
          </w:p>
        </w:tc>
        <w:tc>
          <w:tcPr>
            <w:tcW w:w="907" w:type="dxa"/>
          </w:tcPr>
          <w:p w14:paraId="327EB37E" w14:textId="77777777" w:rsidR="00E51EAC" w:rsidRDefault="00182F93">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1B8A53E" w14:textId="77777777" w:rsidR="00E51EAC" w:rsidRDefault="00182F93">
            <w:pPr>
              <w:cnfStyle w:val="000000000000" w:firstRow="0" w:lastRow="0" w:firstColumn="0" w:lastColumn="0" w:oddVBand="0" w:evenVBand="0" w:oddHBand="0" w:evenHBand="0" w:firstRowFirstColumn="0" w:firstRowLastColumn="0" w:lastRowFirstColumn="0" w:lastRowLastColumn="0"/>
            </w:pPr>
            <w:r>
              <w:t>2 199</w:t>
            </w:r>
          </w:p>
        </w:tc>
      </w:tr>
      <w:tr w:rsidR="00E51EAC" w14:paraId="04C6C06B" w14:textId="77777777">
        <w:tc>
          <w:tcPr>
            <w:cnfStyle w:val="001000000000" w:firstRow="0" w:lastRow="0" w:firstColumn="1" w:lastColumn="0" w:oddVBand="0" w:evenVBand="0" w:oddHBand="0" w:evenHBand="0" w:firstRowFirstColumn="0" w:firstRowLastColumn="0" w:lastRowFirstColumn="0" w:lastRowLastColumn="0"/>
            <w:tcW w:w="5103" w:type="dxa"/>
          </w:tcPr>
          <w:p w14:paraId="3FE41E01" w14:textId="77777777" w:rsidR="00E51EAC" w:rsidRDefault="00182F93">
            <w:r>
              <w:t>Sales of goods and services</w:t>
            </w:r>
          </w:p>
        </w:tc>
        <w:tc>
          <w:tcPr>
            <w:tcW w:w="907" w:type="dxa"/>
          </w:tcPr>
          <w:p w14:paraId="2D5FE12F" w14:textId="77777777" w:rsidR="00E51EAC" w:rsidRDefault="00182F93">
            <w:pPr>
              <w:cnfStyle w:val="000000000000" w:firstRow="0" w:lastRow="0" w:firstColumn="0" w:lastColumn="0" w:oddVBand="0" w:evenVBand="0" w:oddHBand="0" w:evenHBand="0" w:firstRowFirstColumn="0" w:firstRowLastColumn="0" w:lastRowFirstColumn="0" w:lastRowLastColumn="0"/>
            </w:pPr>
            <w:r>
              <w:t>6 893</w:t>
            </w:r>
          </w:p>
        </w:tc>
        <w:tc>
          <w:tcPr>
            <w:tcW w:w="907" w:type="dxa"/>
          </w:tcPr>
          <w:p w14:paraId="524E933A" w14:textId="77777777" w:rsidR="00E51EAC" w:rsidRDefault="00182F93">
            <w:pPr>
              <w:cnfStyle w:val="000000000000" w:firstRow="0" w:lastRow="0" w:firstColumn="0" w:lastColumn="0" w:oddVBand="0" w:evenVBand="0" w:oddHBand="0" w:evenHBand="0" w:firstRowFirstColumn="0" w:firstRowLastColumn="0" w:lastRowFirstColumn="0" w:lastRowLastColumn="0"/>
            </w:pPr>
            <w:r>
              <w:t>6 723</w:t>
            </w:r>
          </w:p>
        </w:tc>
        <w:tc>
          <w:tcPr>
            <w:tcW w:w="907" w:type="dxa"/>
          </w:tcPr>
          <w:p w14:paraId="2B72F907" w14:textId="77777777" w:rsidR="00E51EAC" w:rsidRDefault="00182F93">
            <w:pPr>
              <w:cnfStyle w:val="000000000000" w:firstRow="0" w:lastRow="0" w:firstColumn="0" w:lastColumn="0" w:oddVBand="0" w:evenVBand="0" w:oddHBand="0" w:evenHBand="0" w:firstRowFirstColumn="0" w:firstRowLastColumn="0" w:lastRowFirstColumn="0" w:lastRowLastColumn="0"/>
            </w:pPr>
            <w:r>
              <w:t>170</w:t>
            </w:r>
          </w:p>
        </w:tc>
        <w:tc>
          <w:tcPr>
            <w:tcW w:w="907" w:type="dxa"/>
          </w:tcPr>
          <w:p w14:paraId="74C85D07"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5A5CD6E" w14:textId="77777777" w:rsidR="00E51EAC" w:rsidRDefault="00182F93">
            <w:pPr>
              <w:cnfStyle w:val="000000000000" w:firstRow="0" w:lastRow="0" w:firstColumn="0" w:lastColumn="0" w:oddVBand="0" w:evenVBand="0" w:oddHBand="0" w:evenHBand="0" w:firstRowFirstColumn="0" w:firstRowLastColumn="0" w:lastRowFirstColumn="0" w:lastRowLastColumn="0"/>
            </w:pPr>
            <w:r>
              <w:t>6 212</w:t>
            </w:r>
          </w:p>
        </w:tc>
      </w:tr>
      <w:tr w:rsidR="00E51EAC" w14:paraId="07CEB5FD" w14:textId="77777777">
        <w:tc>
          <w:tcPr>
            <w:cnfStyle w:val="001000000000" w:firstRow="0" w:lastRow="0" w:firstColumn="1" w:lastColumn="0" w:oddVBand="0" w:evenVBand="0" w:oddHBand="0" w:evenHBand="0" w:firstRowFirstColumn="0" w:firstRowLastColumn="0" w:lastRowFirstColumn="0" w:lastRowLastColumn="0"/>
            <w:tcW w:w="5103" w:type="dxa"/>
          </w:tcPr>
          <w:p w14:paraId="57D078F9" w14:textId="77777777" w:rsidR="00E51EAC" w:rsidRDefault="00182F93">
            <w:r>
              <w:t>Grants</w:t>
            </w:r>
          </w:p>
        </w:tc>
        <w:tc>
          <w:tcPr>
            <w:tcW w:w="907" w:type="dxa"/>
          </w:tcPr>
          <w:p w14:paraId="73BDD9D2" w14:textId="77777777" w:rsidR="00E51EAC" w:rsidRDefault="00182F93">
            <w:pPr>
              <w:cnfStyle w:val="000000000000" w:firstRow="0" w:lastRow="0" w:firstColumn="0" w:lastColumn="0" w:oddVBand="0" w:evenVBand="0" w:oddHBand="0" w:evenHBand="0" w:firstRowFirstColumn="0" w:firstRowLastColumn="0" w:lastRowFirstColumn="0" w:lastRowLastColumn="0"/>
            </w:pPr>
            <w:r>
              <w:t>47 304</w:t>
            </w:r>
          </w:p>
        </w:tc>
        <w:tc>
          <w:tcPr>
            <w:tcW w:w="907" w:type="dxa"/>
          </w:tcPr>
          <w:p w14:paraId="555A46AC" w14:textId="77777777" w:rsidR="00E51EAC" w:rsidRDefault="00182F93">
            <w:pPr>
              <w:cnfStyle w:val="000000000000" w:firstRow="0" w:lastRow="0" w:firstColumn="0" w:lastColumn="0" w:oddVBand="0" w:evenVBand="0" w:oddHBand="0" w:evenHBand="0" w:firstRowFirstColumn="0" w:firstRowLastColumn="0" w:lastRowFirstColumn="0" w:lastRowLastColumn="0"/>
            </w:pPr>
            <w:r>
              <w:t>46 857</w:t>
            </w:r>
          </w:p>
        </w:tc>
        <w:tc>
          <w:tcPr>
            <w:tcW w:w="907" w:type="dxa"/>
          </w:tcPr>
          <w:p w14:paraId="03561838" w14:textId="77777777" w:rsidR="00E51EAC" w:rsidRDefault="00182F93">
            <w:pPr>
              <w:cnfStyle w:val="000000000000" w:firstRow="0" w:lastRow="0" w:firstColumn="0" w:lastColumn="0" w:oddVBand="0" w:evenVBand="0" w:oddHBand="0" w:evenHBand="0" w:firstRowFirstColumn="0" w:firstRowLastColumn="0" w:lastRowFirstColumn="0" w:lastRowLastColumn="0"/>
            </w:pPr>
            <w:r>
              <w:t>447</w:t>
            </w:r>
          </w:p>
        </w:tc>
        <w:tc>
          <w:tcPr>
            <w:tcW w:w="907" w:type="dxa"/>
          </w:tcPr>
          <w:p w14:paraId="18EBC6C2" w14:textId="77777777" w:rsidR="00E51EAC" w:rsidRDefault="00182F9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834AC9C" w14:textId="77777777" w:rsidR="00E51EAC" w:rsidRDefault="00182F93">
            <w:pPr>
              <w:cnfStyle w:val="000000000000" w:firstRow="0" w:lastRow="0" w:firstColumn="0" w:lastColumn="0" w:oddVBand="0" w:evenVBand="0" w:oddHBand="0" w:evenHBand="0" w:firstRowFirstColumn="0" w:firstRowLastColumn="0" w:lastRowFirstColumn="0" w:lastRowLastColumn="0"/>
            </w:pPr>
            <w:r>
              <w:t>41 797</w:t>
            </w:r>
          </w:p>
        </w:tc>
      </w:tr>
      <w:tr w:rsidR="00E51EAC" w14:paraId="7749D8B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028722B" w14:textId="77777777" w:rsidR="00E51EAC" w:rsidRDefault="00182F93">
            <w:r>
              <w:t>Other revenue and income</w:t>
            </w:r>
          </w:p>
        </w:tc>
        <w:tc>
          <w:tcPr>
            <w:tcW w:w="907" w:type="dxa"/>
            <w:tcBorders>
              <w:bottom w:val="single" w:sz="6" w:space="0" w:color="auto"/>
            </w:tcBorders>
          </w:tcPr>
          <w:p w14:paraId="4AB0AB7F" w14:textId="77777777" w:rsidR="00E51EAC" w:rsidRDefault="00182F93">
            <w:pPr>
              <w:cnfStyle w:val="000000000000" w:firstRow="0" w:lastRow="0" w:firstColumn="0" w:lastColumn="0" w:oddVBand="0" w:evenVBand="0" w:oddHBand="0" w:evenHBand="0" w:firstRowFirstColumn="0" w:firstRowLastColumn="0" w:lastRowFirstColumn="0" w:lastRowLastColumn="0"/>
            </w:pPr>
            <w:r>
              <w:t>4 411</w:t>
            </w:r>
          </w:p>
        </w:tc>
        <w:tc>
          <w:tcPr>
            <w:tcW w:w="907" w:type="dxa"/>
            <w:tcBorders>
              <w:bottom w:val="single" w:sz="6" w:space="0" w:color="auto"/>
            </w:tcBorders>
          </w:tcPr>
          <w:p w14:paraId="76AFF2BD" w14:textId="77777777" w:rsidR="00E51EAC" w:rsidRDefault="00182F93">
            <w:pPr>
              <w:cnfStyle w:val="000000000000" w:firstRow="0" w:lastRow="0" w:firstColumn="0" w:lastColumn="0" w:oddVBand="0" w:evenVBand="0" w:oddHBand="0" w:evenHBand="0" w:firstRowFirstColumn="0" w:firstRowLastColumn="0" w:lastRowFirstColumn="0" w:lastRowLastColumn="0"/>
            </w:pPr>
            <w:r>
              <w:t>4 057</w:t>
            </w:r>
          </w:p>
        </w:tc>
        <w:tc>
          <w:tcPr>
            <w:tcW w:w="907" w:type="dxa"/>
            <w:tcBorders>
              <w:bottom w:val="single" w:sz="6" w:space="0" w:color="auto"/>
            </w:tcBorders>
          </w:tcPr>
          <w:p w14:paraId="57002110" w14:textId="77777777" w:rsidR="00E51EAC" w:rsidRDefault="00182F93">
            <w:pPr>
              <w:cnfStyle w:val="000000000000" w:firstRow="0" w:lastRow="0" w:firstColumn="0" w:lastColumn="0" w:oddVBand="0" w:evenVBand="0" w:oddHBand="0" w:evenHBand="0" w:firstRowFirstColumn="0" w:firstRowLastColumn="0" w:lastRowFirstColumn="0" w:lastRowLastColumn="0"/>
            </w:pPr>
            <w:r>
              <w:t>354</w:t>
            </w:r>
          </w:p>
        </w:tc>
        <w:tc>
          <w:tcPr>
            <w:tcW w:w="907" w:type="dxa"/>
            <w:tcBorders>
              <w:bottom w:val="single" w:sz="6" w:space="0" w:color="auto"/>
            </w:tcBorders>
          </w:tcPr>
          <w:p w14:paraId="3B014BF0" w14:textId="77777777" w:rsidR="00E51EAC" w:rsidRDefault="00182F93">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3BCB09F5" w14:textId="77777777" w:rsidR="00E51EAC" w:rsidRDefault="00182F93">
            <w:pPr>
              <w:cnfStyle w:val="000000000000" w:firstRow="0" w:lastRow="0" w:firstColumn="0" w:lastColumn="0" w:oddVBand="0" w:evenVBand="0" w:oddHBand="0" w:evenHBand="0" w:firstRowFirstColumn="0" w:firstRowLastColumn="0" w:lastRowFirstColumn="0" w:lastRowLastColumn="0"/>
            </w:pPr>
            <w:r>
              <w:t>4 210</w:t>
            </w:r>
          </w:p>
        </w:tc>
      </w:tr>
      <w:tr w:rsidR="00E51EAC" w14:paraId="14500B48"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70ACC39" w14:textId="77777777" w:rsidR="00E51EAC" w:rsidRDefault="00182F93">
            <w:r>
              <w:rPr>
                <w:b/>
              </w:rPr>
              <w:t>Total revenue and income from transactions</w:t>
            </w:r>
          </w:p>
        </w:tc>
        <w:tc>
          <w:tcPr>
            <w:tcW w:w="907" w:type="dxa"/>
            <w:tcBorders>
              <w:top w:val="single" w:sz="6" w:space="0" w:color="auto"/>
            </w:tcBorders>
          </w:tcPr>
          <w:p w14:paraId="2449A35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101 380</w:t>
            </w:r>
          </w:p>
        </w:tc>
        <w:tc>
          <w:tcPr>
            <w:tcW w:w="907" w:type="dxa"/>
            <w:tcBorders>
              <w:top w:val="single" w:sz="6" w:space="0" w:color="auto"/>
            </w:tcBorders>
          </w:tcPr>
          <w:p w14:paraId="380B108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100 632</w:t>
            </w:r>
          </w:p>
        </w:tc>
        <w:tc>
          <w:tcPr>
            <w:tcW w:w="907" w:type="dxa"/>
            <w:tcBorders>
              <w:top w:val="single" w:sz="6" w:space="0" w:color="auto"/>
            </w:tcBorders>
          </w:tcPr>
          <w:p w14:paraId="1B85C41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748</w:t>
            </w:r>
          </w:p>
        </w:tc>
        <w:tc>
          <w:tcPr>
            <w:tcW w:w="907" w:type="dxa"/>
            <w:tcBorders>
              <w:top w:val="single" w:sz="6" w:space="0" w:color="auto"/>
            </w:tcBorders>
          </w:tcPr>
          <w:p w14:paraId="75BF7C6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tcBorders>
          </w:tcPr>
          <w:p w14:paraId="4E14F03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93 055</w:t>
            </w:r>
          </w:p>
        </w:tc>
      </w:tr>
      <w:tr w:rsidR="00E51EAC" w14:paraId="6C3615C3" w14:textId="77777777">
        <w:tc>
          <w:tcPr>
            <w:cnfStyle w:val="001000000000" w:firstRow="0" w:lastRow="0" w:firstColumn="1" w:lastColumn="0" w:oddVBand="0" w:evenVBand="0" w:oddHBand="0" w:evenHBand="0" w:firstRowFirstColumn="0" w:firstRowLastColumn="0" w:lastRowFirstColumn="0" w:lastRowLastColumn="0"/>
            <w:tcW w:w="5103" w:type="dxa"/>
          </w:tcPr>
          <w:p w14:paraId="5DCD7D74" w14:textId="77777777" w:rsidR="00E51EAC" w:rsidRDefault="00182F93" w:rsidP="0054690B">
            <w:pPr>
              <w:spacing w:before="120"/>
            </w:pPr>
            <w:r>
              <w:rPr>
                <w:b/>
              </w:rPr>
              <w:t>Expenses from transactions</w:t>
            </w:r>
          </w:p>
        </w:tc>
        <w:tc>
          <w:tcPr>
            <w:tcW w:w="907" w:type="dxa"/>
          </w:tcPr>
          <w:p w14:paraId="2F52C31A" w14:textId="77777777" w:rsidR="00E51EAC" w:rsidRDefault="00E51EAC" w:rsidP="0054690B">
            <w:pPr>
              <w:spacing w:before="120"/>
              <w:cnfStyle w:val="000000000000" w:firstRow="0" w:lastRow="0" w:firstColumn="0" w:lastColumn="0" w:oddVBand="0" w:evenVBand="0" w:oddHBand="0" w:evenHBand="0" w:firstRowFirstColumn="0" w:firstRowLastColumn="0" w:lastRowFirstColumn="0" w:lastRowLastColumn="0"/>
            </w:pPr>
          </w:p>
        </w:tc>
        <w:tc>
          <w:tcPr>
            <w:tcW w:w="907" w:type="dxa"/>
          </w:tcPr>
          <w:p w14:paraId="15138EDF" w14:textId="77777777" w:rsidR="00E51EAC" w:rsidRDefault="00E51EAC" w:rsidP="0054690B">
            <w:pPr>
              <w:spacing w:before="120"/>
              <w:cnfStyle w:val="000000000000" w:firstRow="0" w:lastRow="0" w:firstColumn="0" w:lastColumn="0" w:oddVBand="0" w:evenVBand="0" w:oddHBand="0" w:evenHBand="0" w:firstRowFirstColumn="0" w:firstRowLastColumn="0" w:lastRowFirstColumn="0" w:lastRowLastColumn="0"/>
            </w:pPr>
          </w:p>
        </w:tc>
        <w:tc>
          <w:tcPr>
            <w:tcW w:w="907" w:type="dxa"/>
          </w:tcPr>
          <w:p w14:paraId="2A5CACFF" w14:textId="77777777" w:rsidR="00E51EAC" w:rsidRDefault="00E51EAC" w:rsidP="0054690B">
            <w:pPr>
              <w:spacing w:before="120"/>
              <w:cnfStyle w:val="000000000000" w:firstRow="0" w:lastRow="0" w:firstColumn="0" w:lastColumn="0" w:oddVBand="0" w:evenVBand="0" w:oddHBand="0" w:evenHBand="0" w:firstRowFirstColumn="0" w:firstRowLastColumn="0" w:lastRowFirstColumn="0" w:lastRowLastColumn="0"/>
            </w:pPr>
          </w:p>
        </w:tc>
        <w:tc>
          <w:tcPr>
            <w:tcW w:w="907" w:type="dxa"/>
          </w:tcPr>
          <w:p w14:paraId="40657E04" w14:textId="77777777" w:rsidR="00E51EAC" w:rsidRDefault="00E51EAC" w:rsidP="0054690B">
            <w:pPr>
              <w:spacing w:before="120"/>
              <w:cnfStyle w:val="000000000000" w:firstRow="0" w:lastRow="0" w:firstColumn="0" w:lastColumn="0" w:oddVBand="0" w:evenVBand="0" w:oddHBand="0" w:evenHBand="0" w:firstRowFirstColumn="0" w:firstRowLastColumn="0" w:lastRowFirstColumn="0" w:lastRowLastColumn="0"/>
            </w:pPr>
          </w:p>
        </w:tc>
        <w:tc>
          <w:tcPr>
            <w:tcW w:w="907" w:type="dxa"/>
          </w:tcPr>
          <w:p w14:paraId="10A02EF5" w14:textId="77777777" w:rsidR="00E51EAC" w:rsidRDefault="00E51EAC" w:rsidP="0054690B">
            <w:pPr>
              <w:spacing w:before="120"/>
              <w:cnfStyle w:val="000000000000" w:firstRow="0" w:lastRow="0" w:firstColumn="0" w:lastColumn="0" w:oddVBand="0" w:evenVBand="0" w:oddHBand="0" w:evenHBand="0" w:firstRowFirstColumn="0" w:firstRowLastColumn="0" w:lastRowFirstColumn="0" w:lastRowLastColumn="0"/>
            </w:pPr>
          </w:p>
        </w:tc>
      </w:tr>
      <w:tr w:rsidR="00E51EAC" w14:paraId="1CB9228D" w14:textId="77777777">
        <w:tc>
          <w:tcPr>
            <w:cnfStyle w:val="001000000000" w:firstRow="0" w:lastRow="0" w:firstColumn="1" w:lastColumn="0" w:oddVBand="0" w:evenVBand="0" w:oddHBand="0" w:evenHBand="0" w:firstRowFirstColumn="0" w:firstRowLastColumn="0" w:lastRowFirstColumn="0" w:lastRowLastColumn="0"/>
            <w:tcW w:w="5103" w:type="dxa"/>
          </w:tcPr>
          <w:p w14:paraId="71EDD2D9" w14:textId="77777777" w:rsidR="00E51EAC" w:rsidRDefault="00182F93">
            <w:r>
              <w:t>Employee expenses</w:t>
            </w:r>
          </w:p>
        </w:tc>
        <w:tc>
          <w:tcPr>
            <w:tcW w:w="907" w:type="dxa"/>
          </w:tcPr>
          <w:p w14:paraId="4BBEB628" w14:textId="77777777" w:rsidR="00E51EAC" w:rsidRDefault="00182F93">
            <w:pPr>
              <w:cnfStyle w:val="000000000000" w:firstRow="0" w:lastRow="0" w:firstColumn="0" w:lastColumn="0" w:oddVBand="0" w:evenVBand="0" w:oddHBand="0" w:evenHBand="0" w:firstRowFirstColumn="0" w:firstRowLastColumn="0" w:lastRowFirstColumn="0" w:lastRowLastColumn="0"/>
            </w:pPr>
            <w:r>
              <w:t>38 515</w:t>
            </w:r>
          </w:p>
        </w:tc>
        <w:tc>
          <w:tcPr>
            <w:tcW w:w="907" w:type="dxa"/>
          </w:tcPr>
          <w:p w14:paraId="6E5F08F3" w14:textId="77777777" w:rsidR="00E51EAC" w:rsidRDefault="00182F93">
            <w:pPr>
              <w:cnfStyle w:val="000000000000" w:firstRow="0" w:lastRow="0" w:firstColumn="0" w:lastColumn="0" w:oddVBand="0" w:evenVBand="0" w:oddHBand="0" w:evenHBand="0" w:firstRowFirstColumn="0" w:firstRowLastColumn="0" w:lastRowFirstColumn="0" w:lastRowLastColumn="0"/>
            </w:pPr>
            <w:r>
              <w:t>37 975</w:t>
            </w:r>
          </w:p>
        </w:tc>
        <w:tc>
          <w:tcPr>
            <w:tcW w:w="907" w:type="dxa"/>
          </w:tcPr>
          <w:p w14:paraId="4EE74C1C" w14:textId="77777777" w:rsidR="00E51EAC" w:rsidRDefault="00182F93">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1A5FB580" w14:textId="77777777" w:rsidR="00E51EAC" w:rsidRDefault="00182F9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4C2B57B" w14:textId="77777777" w:rsidR="00E51EAC" w:rsidRDefault="00182F93">
            <w:pPr>
              <w:cnfStyle w:val="000000000000" w:firstRow="0" w:lastRow="0" w:firstColumn="0" w:lastColumn="0" w:oddVBand="0" w:evenVBand="0" w:oddHBand="0" w:evenHBand="0" w:firstRowFirstColumn="0" w:firstRowLastColumn="0" w:lastRowFirstColumn="0" w:lastRowLastColumn="0"/>
            </w:pPr>
            <w:r>
              <w:t>36 035</w:t>
            </w:r>
          </w:p>
        </w:tc>
      </w:tr>
      <w:tr w:rsidR="00E51EAC" w14:paraId="7681EBB6" w14:textId="77777777">
        <w:tc>
          <w:tcPr>
            <w:cnfStyle w:val="001000000000" w:firstRow="0" w:lastRow="0" w:firstColumn="1" w:lastColumn="0" w:oddVBand="0" w:evenVBand="0" w:oddHBand="0" w:evenHBand="0" w:firstRowFirstColumn="0" w:firstRowLastColumn="0" w:lastRowFirstColumn="0" w:lastRowLastColumn="0"/>
            <w:tcW w:w="5103" w:type="dxa"/>
          </w:tcPr>
          <w:p w14:paraId="056F4029" w14:textId="77777777" w:rsidR="00E51EAC" w:rsidRDefault="00182F93">
            <w:r>
              <w:t>Superannuation:</w:t>
            </w:r>
          </w:p>
        </w:tc>
        <w:tc>
          <w:tcPr>
            <w:tcW w:w="907" w:type="dxa"/>
          </w:tcPr>
          <w:p w14:paraId="17FD1C9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43DBEF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FD2FC5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C2778C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15289E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A4E40E9" w14:textId="77777777">
        <w:tc>
          <w:tcPr>
            <w:cnfStyle w:val="001000000000" w:firstRow="0" w:lastRow="0" w:firstColumn="1" w:lastColumn="0" w:oddVBand="0" w:evenVBand="0" w:oddHBand="0" w:evenHBand="0" w:firstRowFirstColumn="0" w:firstRowLastColumn="0" w:lastRowFirstColumn="0" w:lastRowLastColumn="0"/>
            <w:tcW w:w="5103" w:type="dxa"/>
          </w:tcPr>
          <w:p w14:paraId="713CA22B" w14:textId="1F98F850" w:rsidR="00E51EAC" w:rsidRDefault="006B4B9A">
            <w:r>
              <w:t xml:space="preserve">   </w:t>
            </w:r>
            <w:r w:rsidR="00182F93">
              <w:t>Net superannuation interest expense</w:t>
            </w:r>
          </w:p>
        </w:tc>
        <w:tc>
          <w:tcPr>
            <w:tcW w:w="907" w:type="dxa"/>
          </w:tcPr>
          <w:p w14:paraId="3E2651F8" w14:textId="77777777" w:rsidR="00E51EAC" w:rsidRDefault="00182F93">
            <w:pPr>
              <w:cnfStyle w:val="000000000000" w:firstRow="0" w:lastRow="0" w:firstColumn="0" w:lastColumn="0" w:oddVBand="0" w:evenVBand="0" w:oddHBand="0" w:evenHBand="0" w:firstRowFirstColumn="0" w:firstRowLastColumn="0" w:lastRowFirstColumn="0" w:lastRowLastColumn="0"/>
            </w:pPr>
            <w:r>
              <w:t>783</w:t>
            </w:r>
          </w:p>
        </w:tc>
        <w:tc>
          <w:tcPr>
            <w:tcW w:w="907" w:type="dxa"/>
          </w:tcPr>
          <w:p w14:paraId="5F2364CB" w14:textId="77777777" w:rsidR="00E51EAC" w:rsidRDefault="00182F93">
            <w:pPr>
              <w:cnfStyle w:val="000000000000" w:firstRow="0" w:lastRow="0" w:firstColumn="0" w:lastColumn="0" w:oddVBand="0" w:evenVBand="0" w:oddHBand="0" w:evenHBand="0" w:firstRowFirstColumn="0" w:firstRowLastColumn="0" w:lastRowFirstColumn="0" w:lastRowLastColumn="0"/>
            </w:pPr>
            <w:r>
              <w:t>783</w:t>
            </w:r>
          </w:p>
        </w:tc>
        <w:tc>
          <w:tcPr>
            <w:tcW w:w="907" w:type="dxa"/>
          </w:tcPr>
          <w:p w14:paraId="6BDEA772"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CAA93D"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CB677F" w14:textId="77777777" w:rsidR="00E51EAC" w:rsidRDefault="00182F93">
            <w:pPr>
              <w:cnfStyle w:val="000000000000" w:firstRow="0" w:lastRow="0" w:firstColumn="0" w:lastColumn="0" w:oddVBand="0" w:evenVBand="0" w:oddHBand="0" w:evenHBand="0" w:firstRowFirstColumn="0" w:firstRowLastColumn="0" w:lastRowFirstColumn="0" w:lastRowLastColumn="0"/>
            </w:pPr>
            <w:r>
              <w:t>774</w:t>
            </w:r>
          </w:p>
        </w:tc>
      </w:tr>
      <w:tr w:rsidR="00E51EAC" w14:paraId="7CB2DFB9" w14:textId="77777777">
        <w:tc>
          <w:tcPr>
            <w:cnfStyle w:val="001000000000" w:firstRow="0" w:lastRow="0" w:firstColumn="1" w:lastColumn="0" w:oddVBand="0" w:evenVBand="0" w:oddHBand="0" w:evenHBand="0" w:firstRowFirstColumn="0" w:firstRowLastColumn="0" w:lastRowFirstColumn="0" w:lastRowLastColumn="0"/>
            <w:tcW w:w="5103" w:type="dxa"/>
          </w:tcPr>
          <w:p w14:paraId="071D1951" w14:textId="728CD9E9" w:rsidR="00E51EAC" w:rsidRDefault="006B4B9A">
            <w:r>
              <w:t xml:space="preserve">   </w:t>
            </w:r>
            <w:r w:rsidR="00182F93">
              <w:t>Other superannuation</w:t>
            </w:r>
          </w:p>
        </w:tc>
        <w:tc>
          <w:tcPr>
            <w:tcW w:w="907" w:type="dxa"/>
          </w:tcPr>
          <w:p w14:paraId="0260F6C5" w14:textId="77777777" w:rsidR="00E51EAC" w:rsidRDefault="00182F93">
            <w:pPr>
              <w:cnfStyle w:val="000000000000" w:firstRow="0" w:lastRow="0" w:firstColumn="0" w:lastColumn="0" w:oddVBand="0" w:evenVBand="0" w:oddHBand="0" w:evenHBand="0" w:firstRowFirstColumn="0" w:firstRowLastColumn="0" w:lastRowFirstColumn="0" w:lastRowLastColumn="0"/>
            </w:pPr>
            <w:r>
              <w:t>4 524</w:t>
            </w:r>
          </w:p>
        </w:tc>
        <w:tc>
          <w:tcPr>
            <w:tcW w:w="907" w:type="dxa"/>
          </w:tcPr>
          <w:p w14:paraId="5CE79BD6" w14:textId="77777777" w:rsidR="00E51EAC" w:rsidRDefault="00182F93">
            <w:pPr>
              <w:cnfStyle w:val="000000000000" w:firstRow="0" w:lastRow="0" w:firstColumn="0" w:lastColumn="0" w:oddVBand="0" w:evenVBand="0" w:oddHBand="0" w:evenHBand="0" w:firstRowFirstColumn="0" w:firstRowLastColumn="0" w:lastRowFirstColumn="0" w:lastRowLastColumn="0"/>
            </w:pPr>
            <w:r>
              <w:t>4 442</w:t>
            </w:r>
          </w:p>
        </w:tc>
        <w:tc>
          <w:tcPr>
            <w:tcW w:w="907" w:type="dxa"/>
          </w:tcPr>
          <w:p w14:paraId="3C524A65" w14:textId="77777777" w:rsidR="00E51EAC" w:rsidRDefault="00182F93">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3BFCD384" w14:textId="77777777" w:rsidR="00E51EAC" w:rsidRDefault="00182F93">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D4B4C16" w14:textId="77777777" w:rsidR="00E51EAC" w:rsidRDefault="00182F93">
            <w:pPr>
              <w:cnfStyle w:val="000000000000" w:firstRow="0" w:lastRow="0" w:firstColumn="0" w:lastColumn="0" w:oddVBand="0" w:evenVBand="0" w:oddHBand="0" w:evenHBand="0" w:firstRowFirstColumn="0" w:firstRowLastColumn="0" w:lastRowFirstColumn="0" w:lastRowLastColumn="0"/>
            </w:pPr>
            <w:r>
              <w:t>4 062</w:t>
            </w:r>
          </w:p>
        </w:tc>
      </w:tr>
      <w:tr w:rsidR="00E51EAC" w14:paraId="0889EDC9" w14:textId="77777777">
        <w:tc>
          <w:tcPr>
            <w:cnfStyle w:val="001000000000" w:firstRow="0" w:lastRow="0" w:firstColumn="1" w:lastColumn="0" w:oddVBand="0" w:evenVBand="0" w:oddHBand="0" w:evenHBand="0" w:firstRowFirstColumn="0" w:firstRowLastColumn="0" w:lastRowFirstColumn="0" w:lastRowLastColumn="0"/>
            <w:tcW w:w="5103" w:type="dxa"/>
          </w:tcPr>
          <w:p w14:paraId="753DC699" w14:textId="77777777" w:rsidR="00E51EAC" w:rsidRDefault="00182F93">
            <w:r>
              <w:t>Depreciation</w:t>
            </w:r>
          </w:p>
        </w:tc>
        <w:tc>
          <w:tcPr>
            <w:tcW w:w="907" w:type="dxa"/>
          </w:tcPr>
          <w:p w14:paraId="5DF8C84D" w14:textId="77777777" w:rsidR="00E51EAC" w:rsidRDefault="00182F93">
            <w:pPr>
              <w:cnfStyle w:val="000000000000" w:firstRow="0" w:lastRow="0" w:firstColumn="0" w:lastColumn="0" w:oddVBand="0" w:evenVBand="0" w:oddHBand="0" w:evenHBand="0" w:firstRowFirstColumn="0" w:firstRowLastColumn="0" w:lastRowFirstColumn="0" w:lastRowLastColumn="0"/>
            </w:pPr>
            <w:r>
              <w:t>5 462</w:t>
            </w:r>
          </w:p>
        </w:tc>
        <w:tc>
          <w:tcPr>
            <w:tcW w:w="907" w:type="dxa"/>
          </w:tcPr>
          <w:p w14:paraId="2C292164" w14:textId="77777777" w:rsidR="00E51EAC" w:rsidRDefault="00182F93">
            <w:pPr>
              <w:cnfStyle w:val="000000000000" w:firstRow="0" w:lastRow="0" w:firstColumn="0" w:lastColumn="0" w:oddVBand="0" w:evenVBand="0" w:oddHBand="0" w:evenHBand="0" w:firstRowFirstColumn="0" w:firstRowLastColumn="0" w:lastRowFirstColumn="0" w:lastRowLastColumn="0"/>
            </w:pPr>
            <w:r>
              <w:t>5 481</w:t>
            </w:r>
          </w:p>
        </w:tc>
        <w:tc>
          <w:tcPr>
            <w:tcW w:w="907" w:type="dxa"/>
          </w:tcPr>
          <w:p w14:paraId="40F2D6FD" w14:textId="77777777" w:rsidR="00E51EAC" w:rsidRDefault="00182F93">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F2E83B3"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67F310E" w14:textId="77777777" w:rsidR="00E51EAC" w:rsidRDefault="00182F93">
            <w:pPr>
              <w:cnfStyle w:val="000000000000" w:firstRow="0" w:lastRow="0" w:firstColumn="0" w:lastColumn="0" w:oddVBand="0" w:evenVBand="0" w:oddHBand="0" w:evenHBand="0" w:firstRowFirstColumn="0" w:firstRowLastColumn="0" w:lastRowFirstColumn="0" w:lastRowLastColumn="0"/>
            </w:pPr>
            <w:r>
              <w:t>4 967</w:t>
            </w:r>
          </w:p>
        </w:tc>
      </w:tr>
      <w:tr w:rsidR="00E51EAC" w14:paraId="678533F0" w14:textId="77777777">
        <w:tc>
          <w:tcPr>
            <w:cnfStyle w:val="001000000000" w:firstRow="0" w:lastRow="0" w:firstColumn="1" w:lastColumn="0" w:oddVBand="0" w:evenVBand="0" w:oddHBand="0" w:evenHBand="0" w:firstRowFirstColumn="0" w:firstRowLastColumn="0" w:lastRowFirstColumn="0" w:lastRowLastColumn="0"/>
            <w:tcW w:w="5103" w:type="dxa"/>
          </w:tcPr>
          <w:p w14:paraId="2E73E9B3" w14:textId="77777777" w:rsidR="00E51EAC" w:rsidRDefault="00182F93">
            <w:r>
              <w:t>Interest expense</w:t>
            </w:r>
          </w:p>
        </w:tc>
        <w:tc>
          <w:tcPr>
            <w:tcW w:w="907" w:type="dxa"/>
          </w:tcPr>
          <w:p w14:paraId="2FD93BEA" w14:textId="77777777" w:rsidR="00E51EAC" w:rsidRDefault="00182F93">
            <w:pPr>
              <w:cnfStyle w:val="000000000000" w:firstRow="0" w:lastRow="0" w:firstColumn="0" w:lastColumn="0" w:oddVBand="0" w:evenVBand="0" w:oddHBand="0" w:evenHBand="0" w:firstRowFirstColumn="0" w:firstRowLastColumn="0" w:lastRowFirstColumn="0" w:lastRowLastColumn="0"/>
            </w:pPr>
            <w:r>
              <w:t>6 774</w:t>
            </w:r>
          </w:p>
        </w:tc>
        <w:tc>
          <w:tcPr>
            <w:tcW w:w="907" w:type="dxa"/>
          </w:tcPr>
          <w:p w14:paraId="3BDC4937" w14:textId="77777777" w:rsidR="00E51EAC" w:rsidRDefault="00182F93">
            <w:pPr>
              <w:cnfStyle w:val="000000000000" w:firstRow="0" w:lastRow="0" w:firstColumn="0" w:lastColumn="0" w:oddVBand="0" w:evenVBand="0" w:oddHBand="0" w:evenHBand="0" w:firstRowFirstColumn="0" w:firstRowLastColumn="0" w:lastRowFirstColumn="0" w:lastRowLastColumn="0"/>
            </w:pPr>
            <w:r>
              <w:t>6 811</w:t>
            </w:r>
          </w:p>
        </w:tc>
        <w:tc>
          <w:tcPr>
            <w:tcW w:w="907" w:type="dxa"/>
          </w:tcPr>
          <w:p w14:paraId="0CF18838"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29037987" w14:textId="77777777" w:rsidR="00E51EAC" w:rsidRDefault="00182F9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559F7D4" w14:textId="77777777" w:rsidR="00E51EAC" w:rsidRDefault="00182F93">
            <w:pPr>
              <w:cnfStyle w:val="000000000000" w:firstRow="0" w:lastRow="0" w:firstColumn="0" w:lastColumn="0" w:oddVBand="0" w:evenVBand="0" w:oddHBand="0" w:evenHBand="0" w:firstRowFirstColumn="0" w:firstRowLastColumn="0" w:lastRowFirstColumn="0" w:lastRowLastColumn="0"/>
            </w:pPr>
            <w:r>
              <w:t>5 639</w:t>
            </w:r>
          </w:p>
        </w:tc>
      </w:tr>
      <w:tr w:rsidR="00E51EAC" w14:paraId="2C0C7DDB" w14:textId="77777777">
        <w:tc>
          <w:tcPr>
            <w:cnfStyle w:val="001000000000" w:firstRow="0" w:lastRow="0" w:firstColumn="1" w:lastColumn="0" w:oddVBand="0" w:evenVBand="0" w:oddHBand="0" w:evenHBand="0" w:firstRowFirstColumn="0" w:firstRowLastColumn="0" w:lastRowFirstColumn="0" w:lastRowLastColumn="0"/>
            <w:tcW w:w="5103" w:type="dxa"/>
          </w:tcPr>
          <w:p w14:paraId="7C2679AA" w14:textId="77777777" w:rsidR="00E51EAC" w:rsidRDefault="00182F93">
            <w:r>
              <w:t>Grant expense</w:t>
            </w:r>
          </w:p>
        </w:tc>
        <w:tc>
          <w:tcPr>
            <w:tcW w:w="907" w:type="dxa"/>
          </w:tcPr>
          <w:p w14:paraId="6B167C25" w14:textId="77777777" w:rsidR="00E51EAC" w:rsidRDefault="00182F93">
            <w:pPr>
              <w:cnfStyle w:val="000000000000" w:firstRow="0" w:lastRow="0" w:firstColumn="0" w:lastColumn="0" w:oddVBand="0" w:evenVBand="0" w:oddHBand="0" w:evenHBand="0" w:firstRowFirstColumn="0" w:firstRowLastColumn="0" w:lastRowFirstColumn="0" w:lastRowLastColumn="0"/>
            </w:pPr>
            <w:r>
              <w:t>17 221</w:t>
            </w:r>
          </w:p>
        </w:tc>
        <w:tc>
          <w:tcPr>
            <w:tcW w:w="907" w:type="dxa"/>
          </w:tcPr>
          <w:p w14:paraId="58A58E5A" w14:textId="77777777" w:rsidR="00E51EAC" w:rsidRDefault="00182F93">
            <w:pPr>
              <w:cnfStyle w:val="000000000000" w:firstRow="0" w:lastRow="0" w:firstColumn="0" w:lastColumn="0" w:oddVBand="0" w:evenVBand="0" w:oddHBand="0" w:evenHBand="0" w:firstRowFirstColumn="0" w:firstRowLastColumn="0" w:lastRowFirstColumn="0" w:lastRowLastColumn="0"/>
            </w:pPr>
            <w:r>
              <w:t>17 731</w:t>
            </w:r>
          </w:p>
        </w:tc>
        <w:tc>
          <w:tcPr>
            <w:tcW w:w="907" w:type="dxa"/>
          </w:tcPr>
          <w:p w14:paraId="6252F6B9" w14:textId="77777777" w:rsidR="00E51EAC" w:rsidRDefault="00182F93">
            <w:pPr>
              <w:cnfStyle w:val="000000000000" w:firstRow="0" w:lastRow="0" w:firstColumn="0" w:lastColumn="0" w:oddVBand="0" w:evenVBand="0" w:oddHBand="0" w:evenHBand="0" w:firstRowFirstColumn="0" w:firstRowLastColumn="0" w:lastRowFirstColumn="0" w:lastRowLastColumn="0"/>
            </w:pPr>
            <w:r>
              <w:t>(511)</w:t>
            </w:r>
          </w:p>
        </w:tc>
        <w:tc>
          <w:tcPr>
            <w:tcW w:w="907" w:type="dxa"/>
          </w:tcPr>
          <w:p w14:paraId="23D003DB"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E30AA91" w14:textId="77777777" w:rsidR="00E51EAC" w:rsidRDefault="00182F93">
            <w:pPr>
              <w:cnfStyle w:val="000000000000" w:firstRow="0" w:lastRow="0" w:firstColumn="0" w:lastColumn="0" w:oddVBand="0" w:evenVBand="0" w:oddHBand="0" w:evenHBand="0" w:firstRowFirstColumn="0" w:firstRowLastColumn="0" w:lastRowFirstColumn="0" w:lastRowLastColumn="0"/>
            </w:pPr>
            <w:r>
              <w:t>16 675</w:t>
            </w:r>
          </w:p>
        </w:tc>
      </w:tr>
      <w:tr w:rsidR="00E51EAC" w14:paraId="280D519A"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644F3BA" w14:textId="77777777" w:rsidR="00E51EAC" w:rsidRDefault="00182F93">
            <w:r>
              <w:t>Other operating expenses</w:t>
            </w:r>
          </w:p>
        </w:tc>
        <w:tc>
          <w:tcPr>
            <w:tcW w:w="907" w:type="dxa"/>
            <w:tcBorders>
              <w:bottom w:val="single" w:sz="6" w:space="0" w:color="auto"/>
            </w:tcBorders>
          </w:tcPr>
          <w:p w14:paraId="4E47171D" w14:textId="77777777" w:rsidR="00E51EAC" w:rsidRDefault="00182F93">
            <w:pPr>
              <w:cnfStyle w:val="000000000000" w:firstRow="0" w:lastRow="0" w:firstColumn="0" w:lastColumn="0" w:oddVBand="0" w:evenVBand="0" w:oddHBand="0" w:evenHBand="0" w:firstRowFirstColumn="0" w:firstRowLastColumn="0" w:lastRowFirstColumn="0" w:lastRowLastColumn="0"/>
            </w:pPr>
            <w:r>
              <w:t>30 726</w:t>
            </w:r>
          </w:p>
        </w:tc>
        <w:tc>
          <w:tcPr>
            <w:tcW w:w="907" w:type="dxa"/>
            <w:tcBorders>
              <w:bottom w:val="single" w:sz="6" w:space="0" w:color="auto"/>
            </w:tcBorders>
          </w:tcPr>
          <w:p w14:paraId="184E86C9" w14:textId="77777777" w:rsidR="00E51EAC" w:rsidRDefault="00182F93">
            <w:pPr>
              <w:cnfStyle w:val="000000000000" w:firstRow="0" w:lastRow="0" w:firstColumn="0" w:lastColumn="0" w:oddVBand="0" w:evenVBand="0" w:oddHBand="0" w:evenHBand="0" w:firstRowFirstColumn="0" w:firstRowLastColumn="0" w:lastRowFirstColumn="0" w:lastRowLastColumn="0"/>
            </w:pPr>
            <w:r>
              <w:t>30 849</w:t>
            </w:r>
          </w:p>
        </w:tc>
        <w:tc>
          <w:tcPr>
            <w:tcW w:w="907" w:type="dxa"/>
            <w:tcBorders>
              <w:bottom w:val="single" w:sz="6" w:space="0" w:color="auto"/>
            </w:tcBorders>
          </w:tcPr>
          <w:p w14:paraId="179578EE" w14:textId="77777777" w:rsidR="00E51EAC" w:rsidRDefault="00182F93">
            <w:pPr>
              <w:cnfStyle w:val="000000000000" w:firstRow="0" w:lastRow="0" w:firstColumn="0" w:lastColumn="0" w:oddVBand="0" w:evenVBand="0" w:oddHBand="0" w:evenHBand="0" w:firstRowFirstColumn="0" w:firstRowLastColumn="0" w:lastRowFirstColumn="0" w:lastRowLastColumn="0"/>
            </w:pPr>
            <w:r>
              <w:t>(123)</w:t>
            </w:r>
          </w:p>
        </w:tc>
        <w:tc>
          <w:tcPr>
            <w:tcW w:w="907" w:type="dxa"/>
            <w:tcBorders>
              <w:bottom w:val="single" w:sz="6" w:space="0" w:color="auto"/>
            </w:tcBorders>
          </w:tcPr>
          <w:p w14:paraId="5C4D06DE"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20D6CA3" w14:textId="77777777" w:rsidR="00E51EAC" w:rsidRDefault="00182F93">
            <w:pPr>
              <w:cnfStyle w:val="000000000000" w:firstRow="0" w:lastRow="0" w:firstColumn="0" w:lastColumn="0" w:oddVBand="0" w:evenVBand="0" w:oddHBand="0" w:evenHBand="0" w:firstRowFirstColumn="0" w:firstRowLastColumn="0" w:lastRowFirstColumn="0" w:lastRowLastColumn="0"/>
            </w:pPr>
            <w:r>
              <w:t>29 127</w:t>
            </w:r>
          </w:p>
        </w:tc>
      </w:tr>
      <w:tr w:rsidR="00E51EAC" w14:paraId="4D846ABD"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200571D" w14:textId="77777777" w:rsidR="00E51EAC" w:rsidRDefault="00182F93">
            <w:r>
              <w:rPr>
                <w:b/>
              </w:rPr>
              <w:t>Total expenses from transactions</w:t>
            </w:r>
          </w:p>
        </w:tc>
        <w:tc>
          <w:tcPr>
            <w:tcW w:w="907" w:type="dxa"/>
            <w:tcBorders>
              <w:top w:val="single" w:sz="6" w:space="0" w:color="auto"/>
              <w:bottom w:val="single" w:sz="6" w:space="0" w:color="auto"/>
            </w:tcBorders>
          </w:tcPr>
          <w:p w14:paraId="021AC90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104 006</w:t>
            </w:r>
          </w:p>
        </w:tc>
        <w:tc>
          <w:tcPr>
            <w:tcW w:w="907" w:type="dxa"/>
            <w:tcBorders>
              <w:top w:val="single" w:sz="6" w:space="0" w:color="auto"/>
              <w:bottom w:val="single" w:sz="6" w:space="0" w:color="auto"/>
            </w:tcBorders>
          </w:tcPr>
          <w:p w14:paraId="589EF50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104 073</w:t>
            </w:r>
          </w:p>
        </w:tc>
        <w:tc>
          <w:tcPr>
            <w:tcW w:w="907" w:type="dxa"/>
            <w:tcBorders>
              <w:top w:val="single" w:sz="6" w:space="0" w:color="auto"/>
              <w:bottom w:val="single" w:sz="6" w:space="0" w:color="auto"/>
            </w:tcBorders>
          </w:tcPr>
          <w:p w14:paraId="652BAF9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(68)</w:t>
            </w:r>
          </w:p>
        </w:tc>
        <w:tc>
          <w:tcPr>
            <w:tcW w:w="907" w:type="dxa"/>
            <w:tcBorders>
              <w:top w:val="single" w:sz="6" w:space="0" w:color="auto"/>
              <w:bottom w:val="single" w:sz="6" w:space="0" w:color="auto"/>
            </w:tcBorders>
          </w:tcPr>
          <w:p w14:paraId="57FC29B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6" w:space="0" w:color="auto"/>
            </w:tcBorders>
          </w:tcPr>
          <w:p w14:paraId="7FD946F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97 279</w:t>
            </w:r>
          </w:p>
        </w:tc>
      </w:tr>
      <w:tr w:rsidR="00E51EAC" w14:paraId="35EBDD49"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BFFBBFC" w14:textId="4BF16762" w:rsidR="00E51EAC" w:rsidRDefault="00182F93">
            <w:r>
              <w:rPr>
                <w:b/>
              </w:rPr>
              <w:t xml:space="preserve">Net result from transactions – </w:t>
            </w:r>
            <w:r w:rsidR="0054690B">
              <w:rPr>
                <w:b/>
              </w:rPr>
              <w:t xml:space="preserve">Net </w:t>
            </w:r>
            <w:r>
              <w:rPr>
                <w:b/>
              </w:rPr>
              <w:t>operating balance</w:t>
            </w:r>
          </w:p>
        </w:tc>
        <w:tc>
          <w:tcPr>
            <w:tcW w:w="907" w:type="dxa"/>
            <w:tcBorders>
              <w:top w:val="single" w:sz="6" w:space="0" w:color="auto"/>
              <w:bottom w:val="single" w:sz="6" w:space="0" w:color="auto"/>
            </w:tcBorders>
          </w:tcPr>
          <w:p w14:paraId="4CDB9EE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(2 626)</w:t>
            </w:r>
          </w:p>
        </w:tc>
        <w:tc>
          <w:tcPr>
            <w:tcW w:w="907" w:type="dxa"/>
            <w:tcBorders>
              <w:top w:val="single" w:sz="6" w:space="0" w:color="auto"/>
              <w:bottom w:val="single" w:sz="6" w:space="0" w:color="auto"/>
            </w:tcBorders>
          </w:tcPr>
          <w:p w14:paraId="206B83D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(3 441)</w:t>
            </w:r>
          </w:p>
        </w:tc>
        <w:tc>
          <w:tcPr>
            <w:tcW w:w="907" w:type="dxa"/>
            <w:tcBorders>
              <w:top w:val="single" w:sz="6" w:space="0" w:color="auto"/>
              <w:bottom w:val="single" w:sz="6" w:space="0" w:color="auto"/>
            </w:tcBorders>
          </w:tcPr>
          <w:p w14:paraId="57ADC85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816</w:t>
            </w:r>
          </w:p>
        </w:tc>
        <w:tc>
          <w:tcPr>
            <w:tcW w:w="907" w:type="dxa"/>
            <w:tcBorders>
              <w:top w:val="single" w:sz="6" w:space="0" w:color="auto"/>
              <w:bottom w:val="single" w:sz="6" w:space="0" w:color="auto"/>
            </w:tcBorders>
          </w:tcPr>
          <w:p w14:paraId="40EB876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Borders>
              <w:top w:val="single" w:sz="6" w:space="0" w:color="auto"/>
              <w:bottom w:val="single" w:sz="6" w:space="0" w:color="auto"/>
            </w:tcBorders>
          </w:tcPr>
          <w:p w14:paraId="26B62D1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(4 223)</w:t>
            </w:r>
          </w:p>
        </w:tc>
      </w:tr>
      <w:tr w:rsidR="00E51EAC" w14:paraId="20F5F9AC"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49519E1" w14:textId="77777777" w:rsidR="00E51EAC" w:rsidRDefault="00182F93">
            <w:r>
              <w:rPr>
                <w:b/>
              </w:rPr>
              <w:t>Total other economic flows included in net result</w:t>
            </w:r>
          </w:p>
        </w:tc>
        <w:tc>
          <w:tcPr>
            <w:tcW w:w="907" w:type="dxa"/>
            <w:tcBorders>
              <w:top w:val="single" w:sz="6" w:space="0" w:color="auto"/>
              <w:bottom w:val="single" w:sz="6" w:space="0" w:color="auto"/>
            </w:tcBorders>
          </w:tcPr>
          <w:p w14:paraId="570E96D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596</w:t>
            </w:r>
          </w:p>
        </w:tc>
        <w:tc>
          <w:tcPr>
            <w:tcW w:w="907" w:type="dxa"/>
            <w:tcBorders>
              <w:top w:val="single" w:sz="6" w:space="0" w:color="auto"/>
              <w:bottom w:val="single" w:sz="6" w:space="0" w:color="auto"/>
            </w:tcBorders>
          </w:tcPr>
          <w:p w14:paraId="65BDA89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(380)</w:t>
            </w:r>
          </w:p>
        </w:tc>
        <w:tc>
          <w:tcPr>
            <w:tcW w:w="907" w:type="dxa"/>
            <w:tcBorders>
              <w:top w:val="single" w:sz="6" w:space="0" w:color="auto"/>
              <w:bottom w:val="single" w:sz="6" w:space="0" w:color="auto"/>
            </w:tcBorders>
          </w:tcPr>
          <w:p w14:paraId="37F9BE0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976</w:t>
            </w:r>
          </w:p>
        </w:tc>
        <w:tc>
          <w:tcPr>
            <w:tcW w:w="907" w:type="dxa"/>
            <w:tcBorders>
              <w:top w:val="single" w:sz="6" w:space="0" w:color="auto"/>
              <w:bottom w:val="single" w:sz="6" w:space="0" w:color="auto"/>
            </w:tcBorders>
          </w:tcPr>
          <w:p w14:paraId="02FC51E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(257)</w:t>
            </w:r>
          </w:p>
        </w:tc>
        <w:tc>
          <w:tcPr>
            <w:tcW w:w="907" w:type="dxa"/>
            <w:tcBorders>
              <w:top w:val="single" w:sz="6" w:space="0" w:color="auto"/>
              <w:bottom w:val="single" w:sz="6" w:space="0" w:color="auto"/>
            </w:tcBorders>
          </w:tcPr>
          <w:p w14:paraId="24DF2E0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(269)</w:t>
            </w:r>
          </w:p>
        </w:tc>
      </w:tr>
      <w:tr w:rsidR="00E51EAC" w14:paraId="617C67F1"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7780345" w14:textId="77777777" w:rsidR="00E51EAC" w:rsidRDefault="00182F93">
            <w:r>
              <w:rPr>
                <w:b/>
              </w:rPr>
              <w:t>Net result</w:t>
            </w:r>
          </w:p>
        </w:tc>
        <w:tc>
          <w:tcPr>
            <w:tcW w:w="907" w:type="dxa"/>
            <w:tcBorders>
              <w:top w:val="single" w:sz="6" w:space="0" w:color="auto"/>
              <w:bottom w:val="single" w:sz="12" w:space="0" w:color="auto"/>
            </w:tcBorders>
          </w:tcPr>
          <w:p w14:paraId="722221F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(2 030)</w:t>
            </w:r>
          </w:p>
        </w:tc>
        <w:tc>
          <w:tcPr>
            <w:tcW w:w="907" w:type="dxa"/>
            <w:tcBorders>
              <w:top w:val="single" w:sz="6" w:space="0" w:color="auto"/>
              <w:bottom w:val="single" w:sz="12" w:space="0" w:color="auto"/>
            </w:tcBorders>
          </w:tcPr>
          <w:p w14:paraId="227EE26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(3 822)</w:t>
            </w:r>
          </w:p>
        </w:tc>
        <w:tc>
          <w:tcPr>
            <w:tcW w:w="907" w:type="dxa"/>
            <w:tcBorders>
              <w:top w:val="single" w:sz="6" w:space="0" w:color="auto"/>
              <w:bottom w:val="single" w:sz="12" w:space="0" w:color="auto"/>
            </w:tcBorders>
          </w:tcPr>
          <w:p w14:paraId="78BFFD5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1 792</w:t>
            </w:r>
          </w:p>
        </w:tc>
        <w:tc>
          <w:tcPr>
            <w:tcW w:w="907" w:type="dxa"/>
            <w:tcBorders>
              <w:top w:val="single" w:sz="6" w:space="0" w:color="auto"/>
              <w:bottom w:val="single" w:sz="12" w:space="0" w:color="auto"/>
            </w:tcBorders>
          </w:tcPr>
          <w:p w14:paraId="78675C8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(47)</w:t>
            </w:r>
          </w:p>
        </w:tc>
        <w:tc>
          <w:tcPr>
            <w:tcW w:w="907" w:type="dxa"/>
            <w:tcBorders>
              <w:top w:val="single" w:sz="6" w:space="0" w:color="auto"/>
              <w:bottom w:val="single" w:sz="12" w:space="0" w:color="auto"/>
            </w:tcBorders>
          </w:tcPr>
          <w:p w14:paraId="3055AA8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(4 493)</w:t>
            </w:r>
          </w:p>
        </w:tc>
      </w:tr>
    </w:tbl>
    <w:p w14:paraId="28258E00" w14:textId="741204A0" w:rsidR="00366656" w:rsidRDefault="00366656" w:rsidP="00366656"/>
    <w:p w14:paraId="67003BB7" w14:textId="77777777" w:rsidR="00366656" w:rsidRPr="006C13A6" w:rsidRDefault="00366656" w:rsidP="00366656">
      <w:pPr>
        <w:pStyle w:val="Heading2"/>
      </w:pPr>
      <w:r w:rsidRPr="006C13A6">
        <w:t>Revenue</w:t>
      </w:r>
    </w:p>
    <w:p w14:paraId="0D7B2297" w14:textId="77777777" w:rsidR="00CC1335" w:rsidRDefault="00CC1335" w:rsidP="00223D39">
      <w:pPr>
        <w:keepNext/>
        <w:ind w:right="72"/>
        <w:sectPr w:rsidR="00CC1335" w:rsidSect="00CC1335">
          <w:type w:val="continuous"/>
          <w:pgSz w:w="11906" w:h="16838" w:code="9"/>
          <w:pgMar w:top="1134" w:right="1134" w:bottom="1134" w:left="1134" w:header="624" w:footer="567" w:gutter="0"/>
          <w:cols w:space="708"/>
          <w:docGrid w:linePitch="360"/>
        </w:sectPr>
      </w:pPr>
    </w:p>
    <w:p w14:paraId="0EFFC402" w14:textId="765C285B" w:rsidR="00366656" w:rsidRPr="006C13A6" w:rsidRDefault="00366656" w:rsidP="00223D39">
      <w:pPr>
        <w:keepNext/>
        <w:ind w:right="72"/>
      </w:pPr>
      <w:r w:rsidRPr="006C13A6">
        <w:t xml:space="preserve">Total revenue </w:t>
      </w:r>
      <w:r w:rsidR="00125D6B">
        <w:t xml:space="preserve">and income </w:t>
      </w:r>
      <w:r w:rsidRPr="006C13A6">
        <w:t>from transactions for the year was $</w:t>
      </w:r>
      <w:r w:rsidR="00DC4B8B">
        <w:t>101</w:t>
      </w:r>
      <w:r>
        <w:t>.</w:t>
      </w:r>
      <w:r w:rsidR="00B06AAD">
        <w:t>4</w:t>
      </w:r>
      <w:r>
        <w:t xml:space="preserve"> </w:t>
      </w:r>
      <w:r w:rsidRPr="006C13A6">
        <w:t>billion, which was $</w:t>
      </w:r>
      <w:r w:rsidR="00284E65">
        <w:t>748</w:t>
      </w:r>
      <w:r>
        <w:t xml:space="preserve"> </w:t>
      </w:r>
      <w:r w:rsidR="00DC4B8B">
        <w:t>m</w:t>
      </w:r>
      <w:r w:rsidRPr="006C13A6">
        <w:t>illion higher than the revised estimate. This was $</w:t>
      </w:r>
      <w:r>
        <w:t>8</w:t>
      </w:r>
      <w:r w:rsidR="0039286B">
        <w:t>.</w:t>
      </w:r>
      <w:r w:rsidR="00284E65">
        <w:t>3</w:t>
      </w:r>
      <w:r w:rsidR="0054690B">
        <w:t> </w:t>
      </w:r>
      <w:r w:rsidRPr="006C13A6">
        <w:t xml:space="preserve">billion, or </w:t>
      </w:r>
      <w:r w:rsidR="00B33E74">
        <w:t>8</w:t>
      </w:r>
      <w:r>
        <w:t>.</w:t>
      </w:r>
      <w:r w:rsidR="00284E65">
        <w:t>9</w:t>
      </w:r>
      <w:r w:rsidRPr="006C13A6">
        <w:t> per cent</w:t>
      </w:r>
      <w:r>
        <w:t>,</w:t>
      </w:r>
      <w:r w:rsidRPr="006C13A6">
        <w:t xml:space="preserve"> higher compared with the previous year, </w:t>
      </w:r>
      <w:r>
        <w:t xml:space="preserve">primarily </w:t>
      </w:r>
      <w:r w:rsidRPr="00C25D61">
        <w:t xml:space="preserve">reflecting an increase in </w:t>
      </w:r>
      <w:r>
        <w:t xml:space="preserve">grants, </w:t>
      </w:r>
      <w:r w:rsidRPr="00C25D61">
        <w:t>taxation revenue</w:t>
      </w:r>
      <w:r>
        <w:t xml:space="preserve"> </w:t>
      </w:r>
      <w:r w:rsidRPr="006F0687">
        <w:t xml:space="preserve">and </w:t>
      </w:r>
      <w:r w:rsidR="00A44639" w:rsidRPr="006F0687">
        <w:t>sales of goods and services</w:t>
      </w:r>
      <w:r w:rsidRPr="006C13A6">
        <w:t xml:space="preserve">. </w:t>
      </w:r>
    </w:p>
    <w:p w14:paraId="78DF3DD2" w14:textId="769EFA94" w:rsidR="000F5302" w:rsidRDefault="000F5302" w:rsidP="000F5302">
      <w:r>
        <w:t xml:space="preserve">Table 2.3 shows that state taxation revenue decreased by $210 million compared with the revised budget estimate. This was primarily driven by lower payroll taxes (including Mental Health and Wellbeing Levy and COVID Debt Levy – Payroll $10m+) of $106 million due to </w:t>
      </w:r>
      <w:r w:rsidRPr="00865565">
        <w:t>softer</w:t>
      </w:r>
      <w:r>
        <w:t>-</w:t>
      </w:r>
      <w:r w:rsidRPr="00865565">
        <w:t>than-expected employment outcomes in the second half of</w:t>
      </w:r>
      <w:r>
        <w:t xml:space="preserve"> the year and lower windfall gain</w:t>
      </w:r>
      <w:r w:rsidR="0079626B">
        <w:t>s</w:t>
      </w:r>
      <w:r>
        <w:t xml:space="preserve"> tax of $75 million in 2024-25. </w:t>
      </w:r>
    </w:p>
    <w:p w14:paraId="27538CE3" w14:textId="33FCA793" w:rsidR="000F5302" w:rsidRPr="006C13A6" w:rsidRDefault="000F5302" w:rsidP="000F5302">
      <w:r w:rsidRPr="006C13A6">
        <w:t>The increase of $</w:t>
      </w:r>
      <w:r>
        <w:t>2.1</w:t>
      </w:r>
      <w:r w:rsidRPr="006C13A6">
        <w:t> billion in taxation revenue compared with 202</w:t>
      </w:r>
      <w:r>
        <w:t>3</w:t>
      </w:r>
      <w:r w:rsidRPr="006C13A6">
        <w:noBreakHyphen/>
        <w:t>2</w:t>
      </w:r>
      <w:r>
        <w:t>4</w:t>
      </w:r>
      <w:r w:rsidRPr="006C13A6">
        <w:t xml:space="preserve"> is attributable </w:t>
      </w:r>
      <w:r>
        <w:t xml:space="preserve">to an increase of $827 million in land transfer duty, </w:t>
      </w:r>
      <w:r w:rsidRPr="00420E14">
        <w:t>mainly driven by the strength of residential sales volumes and high value non</w:t>
      </w:r>
      <w:r w:rsidR="00EC3AB3">
        <w:noBreakHyphen/>
      </w:r>
      <w:r w:rsidRPr="00420E14">
        <w:t>residential sales</w:t>
      </w:r>
      <w:r>
        <w:t>, and higher payroll taxes (including Mental Health and Wellbeing Levy and COVID Debt Levy – Payroll $10m+) of $728</w:t>
      </w:r>
      <w:r w:rsidR="0054690B">
        <w:t> </w:t>
      </w:r>
      <w:r>
        <w:t xml:space="preserve">million due to a strong labour market driven by </w:t>
      </w:r>
      <w:r w:rsidRPr="00380FED">
        <w:t>continued high employment and robust wage growt</w:t>
      </w:r>
      <w:r>
        <w:t>h</w:t>
      </w:r>
      <w:r w:rsidRPr="006C13A6">
        <w:t>.</w:t>
      </w:r>
      <w:r>
        <w:t xml:space="preserve"> </w:t>
      </w:r>
      <w:r w:rsidRPr="00817C53">
        <w:t>Land tax increased by $1</w:t>
      </w:r>
      <w:r>
        <w:t>84</w:t>
      </w:r>
      <w:r w:rsidRPr="00817C53">
        <w:t xml:space="preserve"> million due to </w:t>
      </w:r>
      <w:r w:rsidRPr="00D07F40">
        <w:t>site value growth</w:t>
      </w:r>
      <w:r>
        <w:t xml:space="preserve"> and the </w:t>
      </w:r>
      <w:r w:rsidRPr="007F12F0">
        <w:t>Fire Services Property Levy</w:t>
      </w:r>
      <w:r>
        <w:t xml:space="preserve"> increased by $191 million </w:t>
      </w:r>
      <w:r w:rsidRPr="00340923">
        <w:t>in line with statutory parameters</w:t>
      </w:r>
      <w:r>
        <w:t>.</w:t>
      </w:r>
      <w:r w:rsidR="00A73623" w:rsidRPr="006C13A6">
        <w:t xml:space="preserve"> </w:t>
      </w:r>
    </w:p>
    <w:p w14:paraId="47EAC3E9" w14:textId="77777777" w:rsidR="00CC1335" w:rsidRDefault="00CC1335" w:rsidP="009D2AD3">
      <w:pPr>
        <w:pStyle w:val="TableHeading"/>
        <w:sectPr w:rsidR="00CC1335" w:rsidSect="00CC1335">
          <w:type w:val="continuous"/>
          <w:pgSz w:w="11906" w:h="16838" w:code="9"/>
          <w:pgMar w:top="1134" w:right="1134" w:bottom="1134" w:left="1134" w:header="624" w:footer="567" w:gutter="0"/>
          <w:cols w:num="2" w:space="708"/>
          <w:docGrid w:linePitch="360"/>
        </w:sectPr>
      </w:pPr>
    </w:p>
    <w:p w14:paraId="5784927E" w14:textId="57D92895" w:rsidR="00366656" w:rsidRDefault="00366656" w:rsidP="00CC1335">
      <w:pPr>
        <w:pStyle w:val="TableHeading"/>
        <w:pageBreakBefore/>
      </w:pPr>
      <w:r w:rsidRPr="006C13A6">
        <w:lastRenderedPageBreak/>
        <w:t xml:space="preserve">Table 2.3: </w:t>
      </w:r>
      <w:r w:rsidRPr="006C13A6">
        <w:tab/>
        <w:t>Taxation</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2.xlsx|Table:Taxation_GG"/>
      </w:tblPr>
      <w:tblGrid>
        <w:gridCol w:w="5103"/>
        <w:gridCol w:w="907"/>
        <w:gridCol w:w="907"/>
        <w:gridCol w:w="907"/>
        <w:gridCol w:w="907"/>
        <w:gridCol w:w="907"/>
      </w:tblGrid>
      <w:tr w:rsidR="00991200" w14:paraId="63E16EB8" w14:textId="77777777" w:rsidTr="00656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CAC7365" w14:textId="77777777" w:rsidR="00656C71" w:rsidRDefault="00656C71">
            <w:pPr>
              <w:keepNext/>
            </w:pPr>
          </w:p>
        </w:tc>
        <w:tc>
          <w:tcPr>
            <w:tcW w:w="907" w:type="dxa"/>
          </w:tcPr>
          <w:p w14:paraId="7ED3EAA4" w14:textId="77777777" w:rsidR="00656C71" w:rsidRDefault="00773C05">
            <w:pPr>
              <w:keepNext/>
              <w:cnfStyle w:val="100000000000" w:firstRow="1" w:lastRow="0" w:firstColumn="0" w:lastColumn="0" w:oddVBand="0" w:evenVBand="0" w:oddHBand="0" w:evenHBand="0" w:firstRowFirstColumn="0" w:firstRowLastColumn="0" w:lastRowFirstColumn="0" w:lastRowLastColumn="0"/>
            </w:pPr>
            <w:r>
              <w:t>2025 actual</w:t>
            </w:r>
          </w:p>
        </w:tc>
        <w:tc>
          <w:tcPr>
            <w:tcW w:w="907" w:type="dxa"/>
          </w:tcPr>
          <w:p w14:paraId="22DD86A6" w14:textId="77777777" w:rsidR="00656C71" w:rsidRDefault="00773C05">
            <w:pPr>
              <w:keepNext/>
              <w:cnfStyle w:val="100000000000" w:firstRow="1" w:lastRow="0" w:firstColumn="0" w:lastColumn="0" w:oddVBand="0" w:evenVBand="0" w:oddHBand="0" w:evenHBand="0" w:firstRowFirstColumn="0" w:firstRowLastColumn="0" w:lastRowFirstColumn="0" w:lastRowLastColumn="0"/>
            </w:pPr>
            <w:r>
              <w:t>2025 revised</w:t>
            </w:r>
          </w:p>
        </w:tc>
        <w:tc>
          <w:tcPr>
            <w:tcW w:w="907" w:type="dxa"/>
          </w:tcPr>
          <w:p w14:paraId="27834587" w14:textId="77777777" w:rsidR="00656C71" w:rsidRDefault="00773C05">
            <w:pPr>
              <w:keepNext/>
              <w:cnfStyle w:val="100000000000" w:firstRow="1" w:lastRow="0" w:firstColumn="0" w:lastColumn="0" w:oddVBand="0" w:evenVBand="0" w:oddHBand="0" w:evenHBand="0" w:firstRowFirstColumn="0" w:firstRowLastColumn="0" w:lastRowFirstColumn="0" w:lastRowLastColumn="0"/>
            </w:pPr>
            <w:r>
              <w:t>Revised variance</w:t>
            </w:r>
          </w:p>
        </w:tc>
        <w:tc>
          <w:tcPr>
            <w:tcW w:w="907" w:type="dxa"/>
          </w:tcPr>
          <w:p w14:paraId="720F20DC" w14:textId="77777777" w:rsidR="00656C71" w:rsidRDefault="00773C05">
            <w:pPr>
              <w:keepNext/>
              <w:cnfStyle w:val="100000000000" w:firstRow="1" w:lastRow="0" w:firstColumn="0" w:lastColumn="0" w:oddVBand="0" w:evenVBand="0" w:oddHBand="0" w:evenHBand="0" w:firstRowFirstColumn="0" w:firstRowLastColumn="0" w:lastRowFirstColumn="0" w:lastRowLastColumn="0"/>
            </w:pPr>
            <w:r>
              <w:t>% revised variance</w:t>
            </w:r>
          </w:p>
        </w:tc>
        <w:tc>
          <w:tcPr>
            <w:tcW w:w="907" w:type="dxa"/>
          </w:tcPr>
          <w:p w14:paraId="496C8970" w14:textId="77777777" w:rsidR="00656C71" w:rsidRDefault="00773C05">
            <w:pPr>
              <w:keepNext/>
              <w:cnfStyle w:val="100000000000" w:firstRow="1" w:lastRow="0" w:firstColumn="0" w:lastColumn="0" w:oddVBand="0" w:evenVBand="0" w:oddHBand="0" w:evenHBand="0" w:firstRowFirstColumn="0" w:firstRowLastColumn="0" w:lastRowFirstColumn="0" w:lastRowLastColumn="0"/>
            </w:pPr>
            <w:r>
              <w:t>2024 actual</w:t>
            </w:r>
          </w:p>
        </w:tc>
      </w:tr>
      <w:tr w:rsidR="00656C71" w14:paraId="22C12D1A" w14:textId="77777777">
        <w:tc>
          <w:tcPr>
            <w:cnfStyle w:val="001000000000" w:firstRow="0" w:lastRow="0" w:firstColumn="1" w:lastColumn="0" w:oddVBand="0" w:evenVBand="0" w:oddHBand="0" w:evenHBand="0" w:firstRowFirstColumn="0" w:firstRowLastColumn="0" w:lastRowFirstColumn="0" w:lastRowLastColumn="0"/>
            <w:tcW w:w="5103" w:type="dxa"/>
          </w:tcPr>
          <w:p w14:paraId="5A616B4C" w14:textId="44CC0A14" w:rsidR="00656C71" w:rsidRDefault="00773C05">
            <w:r>
              <w:rPr>
                <w:b/>
              </w:rPr>
              <w:t>TAXES ON EMPLOYERS</w:t>
            </w:r>
            <w:r w:rsidR="00845934">
              <w:rPr>
                <w:b/>
              </w:rPr>
              <w:t>’</w:t>
            </w:r>
            <w:r>
              <w:rPr>
                <w:b/>
              </w:rPr>
              <w:t xml:space="preserve"> PAYROLL AND LABOUR FORCE</w:t>
            </w:r>
          </w:p>
        </w:tc>
        <w:tc>
          <w:tcPr>
            <w:tcW w:w="907" w:type="dxa"/>
          </w:tcPr>
          <w:p w14:paraId="665E365F"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4758CCB4"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34B1E856"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282B0801"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15DEE343"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r>
      <w:tr w:rsidR="00656C71" w14:paraId="01476E7A" w14:textId="77777777">
        <w:tc>
          <w:tcPr>
            <w:cnfStyle w:val="001000000000" w:firstRow="0" w:lastRow="0" w:firstColumn="1" w:lastColumn="0" w:oddVBand="0" w:evenVBand="0" w:oddHBand="0" w:evenHBand="0" w:firstRowFirstColumn="0" w:firstRowLastColumn="0" w:lastRowFirstColumn="0" w:lastRowLastColumn="0"/>
            <w:tcW w:w="5103" w:type="dxa"/>
          </w:tcPr>
          <w:p w14:paraId="67EBF4EB" w14:textId="77777777" w:rsidR="00656C71" w:rsidRDefault="00773C05">
            <w:r>
              <w:t>Payroll tax</w:t>
            </w:r>
          </w:p>
        </w:tc>
        <w:tc>
          <w:tcPr>
            <w:tcW w:w="907" w:type="dxa"/>
          </w:tcPr>
          <w:p w14:paraId="621FB73B" w14:textId="77777777" w:rsidR="00656C71" w:rsidRDefault="00773C05">
            <w:pPr>
              <w:cnfStyle w:val="000000000000" w:firstRow="0" w:lastRow="0" w:firstColumn="0" w:lastColumn="0" w:oddVBand="0" w:evenVBand="0" w:oddHBand="0" w:evenHBand="0" w:firstRowFirstColumn="0" w:firstRowLastColumn="0" w:lastRowFirstColumn="0" w:lastRowLastColumn="0"/>
            </w:pPr>
            <w:r>
              <w:t>9 186</w:t>
            </w:r>
          </w:p>
        </w:tc>
        <w:tc>
          <w:tcPr>
            <w:tcW w:w="907" w:type="dxa"/>
          </w:tcPr>
          <w:p w14:paraId="75C546CB" w14:textId="77777777" w:rsidR="00656C71" w:rsidRDefault="00773C05">
            <w:pPr>
              <w:cnfStyle w:val="000000000000" w:firstRow="0" w:lastRow="0" w:firstColumn="0" w:lastColumn="0" w:oddVBand="0" w:evenVBand="0" w:oddHBand="0" w:evenHBand="0" w:firstRowFirstColumn="0" w:firstRowLastColumn="0" w:lastRowFirstColumn="0" w:lastRowLastColumn="0"/>
            </w:pPr>
            <w:r>
              <w:t>9 231</w:t>
            </w:r>
          </w:p>
        </w:tc>
        <w:tc>
          <w:tcPr>
            <w:tcW w:w="907" w:type="dxa"/>
          </w:tcPr>
          <w:p w14:paraId="2C39DD52" w14:textId="77777777" w:rsidR="00656C71" w:rsidRDefault="00773C05">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42EC6B21" w14:textId="77777777" w:rsidR="00656C71" w:rsidRDefault="00773C0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2D6B0C0" w14:textId="77777777" w:rsidR="00656C71" w:rsidRDefault="00773C05">
            <w:pPr>
              <w:cnfStyle w:val="000000000000" w:firstRow="0" w:lastRow="0" w:firstColumn="0" w:lastColumn="0" w:oddVBand="0" w:evenVBand="0" w:oddHBand="0" w:evenHBand="0" w:firstRowFirstColumn="0" w:firstRowLastColumn="0" w:lastRowFirstColumn="0" w:lastRowLastColumn="0"/>
            </w:pPr>
            <w:r>
              <w:t>8 639</w:t>
            </w:r>
          </w:p>
        </w:tc>
      </w:tr>
      <w:tr w:rsidR="00656C71" w14:paraId="1D546241" w14:textId="77777777">
        <w:tc>
          <w:tcPr>
            <w:cnfStyle w:val="001000000000" w:firstRow="0" w:lastRow="0" w:firstColumn="1" w:lastColumn="0" w:oddVBand="0" w:evenVBand="0" w:oddHBand="0" w:evenHBand="0" w:firstRowFirstColumn="0" w:firstRowLastColumn="0" w:lastRowFirstColumn="0" w:lastRowLastColumn="0"/>
            <w:tcW w:w="5103" w:type="dxa"/>
          </w:tcPr>
          <w:p w14:paraId="2C65DEB1" w14:textId="77777777" w:rsidR="00656C71" w:rsidRDefault="00773C05">
            <w:r>
              <w:t>COVID Debt Levy – Payroll $10m+</w:t>
            </w:r>
          </w:p>
        </w:tc>
        <w:tc>
          <w:tcPr>
            <w:tcW w:w="907" w:type="dxa"/>
          </w:tcPr>
          <w:p w14:paraId="5B1D08C1" w14:textId="77777777" w:rsidR="00656C71" w:rsidRDefault="00773C05">
            <w:pPr>
              <w:cnfStyle w:val="000000000000" w:firstRow="0" w:lastRow="0" w:firstColumn="0" w:lastColumn="0" w:oddVBand="0" w:evenVBand="0" w:oddHBand="0" w:evenHBand="0" w:firstRowFirstColumn="0" w:firstRowLastColumn="0" w:lastRowFirstColumn="0" w:lastRowLastColumn="0"/>
            </w:pPr>
            <w:r>
              <w:t>1 066</w:t>
            </w:r>
          </w:p>
        </w:tc>
        <w:tc>
          <w:tcPr>
            <w:tcW w:w="907" w:type="dxa"/>
          </w:tcPr>
          <w:p w14:paraId="03E5C6B8" w14:textId="77777777" w:rsidR="00656C71" w:rsidRDefault="00773C05">
            <w:pPr>
              <w:cnfStyle w:val="000000000000" w:firstRow="0" w:lastRow="0" w:firstColumn="0" w:lastColumn="0" w:oddVBand="0" w:evenVBand="0" w:oddHBand="0" w:evenHBand="0" w:firstRowFirstColumn="0" w:firstRowLastColumn="0" w:lastRowFirstColumn="0" w:lastRowLastColumn="0"/>
            </w:pPr>
            <w:r>
              <w:t>1 096</w:t>
            </w:r>
          </w:p>
        </w:tc>
        <w:tc>
          <w:tcPr>
            <w:tcW w:w="907" w:type="dxa"/>
          </w:tcPr>
          <w:p w14:paraId="21054089" w14:textId="77777777" w:rsidR="00656C71" w:rsidRDefault="00773C05">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61898A61" w14:textId="77777777" w:rsidR="00656C71" w:rsidRDefault="00773C0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48E976F" w14:textId="77777777" w:rsidR="00656C71" w:rsidRDefault="00773C05">
            <w:pPr>
              <w:cnfStyle w:val="000000000000" w:firstRow="0" w:lastRow="0" w:firstColumn="0" w:lastColumn="0" w:oddVBand="0" w:evenVBand="0" w:oddHBand="0" w:evenHBand="0" w:firstRowFirstColumn="0" w:firstRowLastColumn="0" w:lastRowFirstColumn="0" w:lastRowLastColumn="0"/>
            </w:pPr>
            <w:r>
              <w:t>934</w:t>
            </w:r>
          </w:p>
        </w:tc>
      </w:tr>
      <w:tr w:rsidR="00656C71" w14:paraId="77E6029F"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4A24DD" w14:textId="77777777" w:rsidR="00656C71" w:rsidRDefault="00773C05">
            <w:r>
              <w:t>Mental Health and Wellbeing Levy</w:t>
            </w:r>
          </w:p>
        </w:tc>
        <w:tc>
          <w:tcPr>
            <w:tcW w:w="907" w:type="dxa"/>
            <w:tcBorders>
              <w:bottom w:val="single" w:sz="6" w:space="0" w:color="auto"/>
            </w:tcBorders>
          </w:tcPr>
          <w:p w14:paraId="3C75168A" w14:textId="77777777" w:rsidR="00656C71" w:rsidRDefault="00773C05">
            <w:pPr>
              <w:cnfStyle w:val="000000000000" w:firstRow="0" w:lastRow="0" w:firstColumn="0" w:lastColumn="0" w:oddVBand="0" w:evenVBand="0" w:oddHBand="0" w:evenHBand="0" w:firstRowFirstColumn="0" w:firstRowLastColumn="0" w:lastRowFirstColumn="0" w:lastRowLastColumn="0"/>
            </w:pPr>
            <w:r>
              <w:t>1 066</w:t>
            </w:r>
          </w:p>
        </w:tc>
        <w:tc>
          <w:tcPr>
            <w:tcW w:w="907" w:type="dxa"/>
            <w:tcBorders>
              <w:bottom w:val="single" w:sz="6" w:space="0" w:color="auto"/>
            </w:tcBorders>
          </w:tcPr>
          <w:p w14:paraId="72EE8751" w14:textId="77777777" w:rsidR="00656C71" w:rsidRDefault="00773C05">
            <w:pPr>
              <w:cnfStyle w:val="000000000000" w:firstRow="0" w:lastRow="0" w:firstColumn="0" w:lastColumn="0" w:oddVBand="0" w:evenVBand="0" w:oddHBand="0" w:evenHBand="0" w:firstRowFirstColumn="0" w:firstRowLastColumn="0" w:lastRowFirstColumn="0" w:lastRowLastColumn="0"/>
            </w:pPr>
            <w:r>
              <w:t>1 096</w:t>
            </w:r>
          </w:p>
        </w:tc>
        <w:tc>
          <w:tcPr>
            <w:tcW w:w="907" w:type="dxa"/>
            <w:tcBorders>
              <w:bottom w:val="single" w:sz="6" w:space="0" w:color="auto"/>
            </w:tcBorders>
          </w:tcPr>
          <w:p w14:paraId="43CA30CD" w14:textId="77777777" w:rsidR="00656C71" w:rsidRDefault="00773C05">
            <w:pPr>
              <w:cnfStyle w:val="000000000000" w:firstRow="0" w:lastRow="0" w:firstColumn="0" w:lastColumn="0" w:oddVBand="0" w:evenVBand="0" w:oddHBand="0" w:evenHBand="0" w:firstRowFirstColumn="0" w:firstRowLastColumn="0" w:lastRowFirstColumn="0" w:lastRowLastColumn="0"/>
            </w:pPr>
            <w:r>
              <w:t>(30)</w:t>
            </w:r>
          </w:p>
        </w:tc>
        <w:tc>
          <w:tcPr>
            <w:tcW w:w="907" w:type="dxa"/>
            <w:tcBorders>
              <w:bottom w:val="single" w:sz="6" w:space="0" w:color="auto"/>
            </w:tcBorders>
          </w:tcPr>
          <w:p w14:paraId="3EBF0469" w14:textId="77777777" w:rsidR="00656C71" w:rsidRDefault="00773C05">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4119051D" w14:textId="77777777" w:rsidR="00656C71" w:rsidRDefault="00773C05">
            <w:pPr>
              <w:cnfStyle w:val="000000000000" w:firstRow="0" w:lastRow="0" w:firstColumn="0" w:lastColumn="0" w:oddVBand="0" w:evenVBand="0" w:oddHBand="0" w:evenHBand="0" w:firstRowFirstColumn="0" w:firstRowLastColumn="0" w:lastRowFirstColumn="0" w:lastRowLastColumn="0"/>
            </w:pPr>
            <w:r>
              <w:t>1 018</w:t>
            </w:r>
          </w:p>
        </w:tc>
      </w:tr>
      <w:tr w:rsidR="00656C71" w14:paraId="4C3C530D"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DFF8CD7" w14:textId="66487BDE" w:rsidR="00656C71" w:rsidRDefault="00773C05">
            <w:r>
              <w:rPr>
                <w:b/>
              </w:rPr>
              <w:t>Total taxes on employers</w:t>
            </w:r>
            <w:r w:rsidR="00845934">
              <w:rPr>
                <w:b/>
              </w:rPr>
              <w:t>’</w:t>
            </w:r>
            <w:r>
              <w:rPr>
                <w:b/>
              </w:rPr>
              <w:t xml:space="preserve"> payroll and labour force</w:t>
            </w:r>
          </w:p>
        </w:tc>
        <w:tc>
          <w:tcPr>
            <w:tcW w:w="907" w:type="dxa"/>
            <w:tcBorders>
              <w:top w:val="single" w:sz="6" w:space="0" w:color="auto"/>
              <w:bottom w:val="single" w:sz="6" w:space="0" w:color="auto"/>
            </w:tcBorders>
          </w:tcPr>
          <w:p w14:paraId="5FCAF057"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11 318</w:t>
            </w:r>
          </w:p>
        </w:tc>
        <w:tc>
          <w:tcPr>
            <w:tcW w:w="907" w:type="dxa"/>
            <w:tcBorders>
              <w:top w:val="single" w:sz="6" w:space="0" w:color="auto"/>
              <w:bottom w:val="single" w:sz="6" w:space="0" w:color="auto"/>
            </w:tcBorders>
          </w:tcPr>
          <w:p w14:paraId="07732A74"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11 424</w:t>
            </w:r>
          </w:p>
        </w:tc>
        <w:tc>
          <w:tcPr>
            <w:tcW w:w="907" w:type="dxa"/>
            <w:tcBorders>
              <w:top w:val="single" w:sz="6" w:space="0" w:color="auto"/>
              <w:bottom w:val="single" w:sz="6" w:space="0" w:color="auto"/>
            </w:tcBorders>
          </w:tcPr>
          <w:p w14:paraId="6830466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(106)</w:t>
            </w:r>
          </w:p>
        </w:tc>
        <w:tc>
          <w:tcPr>
            <w:tcW w:w="907" w:type="dxa"/>
            <w:tcBorders>
              <w:top w:val="single" w:sz="6" w:space="0" w:color="auto"/>
              <w:bottom w:val="single" w:sz="6" w:space="0" w:color="auto"/>
            </w:tcBorders>
          </w:tcPr>
          <w:p w14:paraId="1F08F7D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6" w:space="0" w:color="auto"/>
            </w:tcBorders>
          </w:tcPr>
          <w:p w14:paraId="3617DB14"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10 590</w:t>
            </w:r>
          </w:p>
        </w:tc>
      </w:tr>
      <w:tr w:rsidR="00656C71" w14:paraId="2CE5D745"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14AE9D2" w14:textId="77777777" w:rsidR="00656C71" w:rsidRDefault="00773C05" w:rsidP="00C9037F">
            <w:pPr>
              <w:spacing w:before="120"/>
            </w:pPr>
            <w:r>
              <w:rPr>
                <w:b/>
              </w:rPr>
              <w:t>TAXES ON IMMOVABLE PROPERTY</w:t>
            </w:r>
          </w:p>
        </w:tc>
        <w:tc>
          <w:tcPr>
            <w:tcW w:w="907" w:type="dxa"/>
            <w:tcBorders>
              <w:top w:val="single" w:sz="6" w:space="0" w:color="auto"/>
            </w:tcBorders>
          </w:tcPr>
          <w:p w14:paraId="71F8FDCB"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82D5326"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DDBC320"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2D9993C"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0D88151"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r>
      <w:tr w:rsidR="00656C71" w14:paraId="42B30C0F" w14:textId="77777777">
        <w:tc>
          <w:tcPr>
            <w:cnfStyle w:val="001000000000" w:firstRow="0" w:lastRow="0" w:firstColumn="1" w:lastColumn="0" w:oddVBand="0" w:evenVBand="0" w:oddHBand="0" w:evenHBand="0" w:firstRowFirstColumn="0" w:firstRowLastColumn="0" w:lastRowFirstColumn="0" w:lastRowLastColumn="0"/>
            <w:tcW w:w="5103" w:type="dxa"/>
          </w:tcPr>
          <w:p w14:paraId="0880398D" w14:textId="77777777" w:rsidR="00656C71" w:rsidRDefault="00773C05">
            <w:r>
              <w:t>Land tax</w:t>
            </w:r>
          </w:p>
        </w:tc>
        <w:tc>
          <w:tcPr>
            <w:tcW w:w="907" w:type="dxa"/>
          </w:tcPr>
          <w:p w14:paraId="3A2C94A3" w14:textId="77777777" w:rsidR="00656C71" w:rsidRDefault="00773C05">
            <w:pPr>
              <w:cnfStyle w:val="000000000000" w:firstRow="0" w:lastRow="0" w:firstColumn="0" w:lastColumn="0" w:oddVBand="0" w:evenVBand="0" w:oddHBand="0" w:evenHBand="0" w:firstRowFirstColumn="0" w:firstRowLastColumn="0" w:lastRowFirstColumn="0" w:lastRowLastColumn="0"/>
            </w:pPr>
            <w:r>
              <w:t>6 114</w:t>
            </w:r>
          </w:p>
        </w:tc>
        <w:tc>
          <w:tcPr>
            <w:tcW w:w="907" w:type="dxa"/>
          </w:tcPr>
          <w:p w14:paraId="5B4F16D1" w14:textId="77777777" w:rsidR="00656C71" w:rsidRDefault="00773C05">
            <w:pPr>
              <w:cnfStyle w:val="000000000000" w:firstRow="0" w:lastRow="0" w:firstColumn="0" w:lastColumn="0" w:oddVBand="0" w:evenVBand="0" w:oddHBand="0" w:evenHBand="0" w:firstRowFirstColumn="0" w:firstRowLastColumn="0" w:lastRowFirstColumn="0" w:lastRowLastColumn="0"/>
            </w:pPr>
            <w:r>
              <w:t>6 058</w:t>
            </w:r>
          </w:p>
        </w:tc>
        <w:tc>
          <w:tcPr>
            <w:tcW w:w="907" w:type="dxa"/>
          </w:tcPr>
          <w:p w14:paraId="042B3575" w14:textId="77777777" w:rsidR="00656C71" w:rsidRDefault="00773C05">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08AE81B4"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9B292B6" w14:textId="77777777" w:rsidR="00656C71" w:rsidRDefault="00773C05">
            <w:pPr>
              <w:cnfStyle w:val="000000000000" w:firstRow="0" w:lastRow="0" w:firstColumn="0" w:lastColumn="0" w:oddVBand="0" w:evenVBand="0" w:oddHBand="0" w:evenHBand="0" w:firstRowFirstColumn="0" w:firstRowLastColumn="0" w:lastRowFirstColumn="0" w:lastRowLastColumn="0"/>
            </w:pPr>
            <w:r>
              <w:t>5 930</w:t>
            </w:r>
          </w:p>
        </w:tc>
      </w:tr>
      <w:tr w:rsidR="00656C71" w14:paraId="56A6B52F" w14:textId="77777777">
        <w:tc>
          <w:tcPr>
            <w:cnfStyle w:val="001000000000" w:firstRow="0" w:lastRow="0" w:firstColumn="1" w:lastColumn="0" w:oddVBand="0" w:evenVBand="0" w:oddHBand="0" w:evenHBand="0" w:firstRowFirstColumn="0" w:firstRowLastColumn="0" w:lastRowFirstColumn="0" w:lastRowLastColumn="0"/>
            <w:tcW w:w="5103" w:type="dxa"/>
          </w:tcPr>
          <w:p w14:paraId="69E28146" w14:textId="77777777" w:rsidR="00656C71" w:rsidRDefault="00773C05">
            <w:r>
              <w:t>COVID Debt Levy – Landholdings</w:t>
            </w:r>
          </w:p>
        </w:tc>
        <w:tc>
          <w:tcPr>
            <w:tcW w:w="907" w:type="dxa"/>
          </w:tcPr>
          <w:p w14:paraId="318654DD" w14:textId="77777777" w:rsidR="00656C71" w:rsidRDefault="00773C05">
            <w:pPr>
              <w:cnfStyle w:val="000000000000" w:firstRow="0" w:lastRow="0" w:firstColumn="0" w:lastColumn="0" w:oddVBand="0" w:evenVBand="0" w:oddHBand="0" w:evenHBand="0" w:firstRowFirstColumn="0" w:firstRowLastColumn="0" w:lastRowFirstColumn="0" w:lastRowLastColumn="0"/>
            </w:pPr>
            <w:r>
              <w:t>1 132</w:t>
            </w:r>
          </w:p>
        </w:tc>
        <w:tc>
          <w:tcPr>
            <w:tcW w:w="907" w:type="dxa"/>
          </w:tcPr>
          <w:p w14:paraId="0972747C" w14:textId="77777777" w:rsidR="00656C71" w:rsidRDefault="00773C05">
            <w:pPr>
              <w:cnfStyle w:val="000000000000" w:firstRow="0" w:lastRow="0" w:firstColumn="0" w:lastColumn="0" w:oddVBand="0" w:evenVBand="0" w:oddHBand="0" w:evenHBand="0" w:firstRowFirstColumn="0" w:firstRowLastColumn="0" w:lastRowFirstColumn="0" w:lastRowLastColumn="0"/>
            </w:pPr>
            <w:r>
              <w:t>1 138</w:t>
            </w:r>
          </w:p>
        </w:tc>
        <w:tc>
          <w:tcPr>
            <w:tcW w:w="907" w:type="dxa"/>
          </w:tcPr>
          <w:p w14:paraId="06EB767E" w14:textId="77777777" w:rsidR="00656C71" w:rsidRDefault="00773C0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122D7128"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45AB38A" w14:textId="77777777" w:rsidR="00656C71" w:rsidRDefault="00773C05">
            <w:pPr>
              <w:cnfStyle w:val="000000000000" w:firstRow="0" w:lastRow="0" w:firstColumn="0" w:lastColumn="0" w:oddVBand="0" w:evenVBand="0" w:oddHBand="0" w:evenHBand="0" w:firstRowFirstColumn="0" w:firstRowLastColumn="0" w:lastRowFirstColumn="0" w:lastRowLastColumn="0"/>
            </w:pPr>
            <w:r>
              <w:t>1 164</w:t>
            </w:r>
          </w:p>
        </w:tc>
      </w:tr>
      <w:tr w:rsidR="00656C71" w14:paraId="3D87FDC5" w14:textId="77777777">
        <w:tc>
          <w:tcPr>
            <w:cnfStyle w:val="001000000000" w:firstRow="0" w:lastRow="0" w:firstColumn="1" w:lastColumn="0" w:oddVBand="0" w:evenVBand="0" w:oddHBand="0" w:evenHBand="0" w:firstRowFirstColumn="0" w:firstRowLastColumn="0" w:lastRowFirstColumn="0" w:lastRowLastColumn="0"/>
            <w:tcW w:w="5103" w:type="dxa"/>
          </w:tcPr>
          <w:p w14:paraId="5481B63F" w14:textId="77777777" w:rsidR="00656C71" w:rsidRDefault="00773C05">
            <w:r>
              <w:t>Fire Services Property Levy</w:t>
            </w:r>
          </w:p>
        </w:tc>
        <w:tc>
          <w:tcPr>
            <w:tcW w:w="907" w:type="dxa"/>
          </w:tcPr>
          <w:p w14:paraId="0F39777D" w14:textId="77777777" w:rsidR="00656C71" w:rsidRDefault="00773C05">
            <w:pPr>
              <w:cnfStyle w:val="000000000000" w:firstRow="0" w:lastRow="0" w:firstColumn="0" w:lastColumn="0" w:oddVBand="0" w:evenVBand="0" w:oddHBand="0" w:evenHBand="0" w:firstRowFirstColumn="0" w:firstRowLastColumn="0" w:lastRowFirstColumn="0" w:lastRowLastColumn="0"/>
            </w:pPr>
            <w:r>
              <w:t>1 031</w:t>
            </w:r>
          </w:p>
        </w:tc>
        <w:tc>
          <w:tcPr>
            <w:tcW w:w="907" w:type="dxa"/>
          </w:tcPr>
          <w:p w14:paraId="2AA9BFC4" w14:textId="77777777" w:rsidR="00656C71" w:rsidRDefault="00773C05">
            <w:pPr>
              <w:cnfStyle w:val="000000000000" w:firstRow="0" w:lastRow="0" w:firstColumn="0" w:lastColumn="0" w:oddVBand="0" w:evenVBand="0" w:oddHBand="0" w:evenHBand="0" w:firstRowFirstColumn="0" w:firstRowLastColumn="0" w:lastRowFirstColumn="0" w:lastRowLastColumn="0"/>
            </w:pPr>
            <w:r>
              <w:t>1 033</w:t>
            </w:r>
          </w:p>
        </w:tc>
        <w:tc>
          <w:tcPr>
            <w:tcW w:w="907" w:type="dxa"/>
          </w:tcPr>
          <w:p w14:paraId="4D2E9560" w14:textId="77777777" w:rsidR="00656C71" w:rsidRDefault="00773C0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F254F2E" w14:textId="77777777" w:rsidR="00656C71" w:rsidRDefault="00773C0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5B603E" w14:textId="77777777" w:rsidR="00656C71" w:rsidRDefault="00773C05">
            <w:pPr>
              <w:cnfStyle w:val="000000000000" w:firstRow="0" w:lastRow="0" w:firstColumn="0" w:lastColumn="0" w:oddVBand="0" w:evenVBand="0" w:oddHBand="0" w:evenHBand="0" w:firstRowFirstColumn="0" w:firstRowLastColumn="0" w:lastRowFirstColumn="0" w:lastRowLastColumn="0"/>
            </w:pPr>
            <w:r>
              <w:t>839</w:t>
            </w:r>
          </w:p>
        </w:tc>
      </w:tr>
      <w:tr w:rsidR="00656C71" w14:paraId="258DCACE" w14:textId="77777777">
        <w:tc>
          <w:tcPr>
            <w:cnfStyle w:val="001000000000" w:firstRow="0" w:lastRow="0" w:firstColumn="1" w:lastColumn="0" w:oddVBand="0" w:evenVBand="0" w:oddHBand="0" w:evenHBand="0" w:firstRowFirstColumn="0" w:firstRowLastColumn="0" w:lastRowFirstColumn="0" w:lastRowLastColumn="0"/>
            <w:tcW w:w="5103" w:type="dxa"/>
          </w:tcPr>
          <w:p w14:paraId="251F40D7" w14:textId="77777777" w:rsidR="00656C71" w:rsidRDefault="00773C05">
            <w:r>
              <w:t>Congestion levy</w:t>
            </w:r>
          </w:p>
        </w:tc>
        <w:tc>
          <w:tcPr>
            <w:tcW w:w="907" w:type="dxa"/>
          </w:tcPr>
          <w:p w14:paraId="3B073C84" w14:textId="77777777" w:rsidR="00656C71" w:rsidRDefault="00773C05">
            <w:pPr>
              <w:cnfStyle w:val="000000000000" w:firstRow="0" w:lastRow="0" w:firstColumn="0" w:lastColumn="0" w:oddVBand="0" w:evenVBand="0" w:oddHBand="0" w:evenHBand="0" w:firstRowFirstColumn="0" w:firstRowLastColumn="0" w:lastRowFirstColumn="0" w:lastRowLastColumn="0"/>
            </w:pPr>
            <w:r>
              <w:t>123</w:t>
            </w:r>
          </w:p>
        </w:tc>
        <w:tc>
          <w:tcPr>
            <w:tcW w:w="907" w:type="dxa"/>
          </w:tcPr>
          <w:p w14:paraId="1FA96793" w14:textId="77777777" w:rsidR="00656C71" w:rsidRDefault="00773C05">
            <w:pPr>
              <w:cnfStyle w:val="000000000000" w:firstRow="0" w:lastRow="0" w:firstColumn="0" w:lastColumn="0" w:oddVBand="0" w:evenVBand="0" w:oddHBand="0" w:evenHBand="0" w:firstRowFirstColumn="0" w:firstRowLastColumn="0" w:lastRowFirstColumn="0" w:lastRowLastColumn="0"/>
            </w:pPr>
            <w:r>
              <w:t>128</w:t>
            </w:r>
          </w:p>
        </w:tc>
        <w:tc>
          <w:tcPr>
            <w:tcW w:w="907" w:type="dxa"/>
          </w:tcPr>
          <w:p w14:paraId="40F74127" w14:textId="77777777" w:rsidR="00656C71" w:rsidRDefault="00773C0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688B4B55" w14:textId="77777777" w:rsidR="00656C71" w:rsidRDefault="00773C0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2D5F7BC" w14:textId="77777777" w:rsidR="00656C71" w:rsidRDefault="00773C05">
            <w:pPr>
              <w:cnfStyle w:val="000000000000" w:firstRow="0" w:lastRow="0" w:firstColumn="0" w:lastColumn="0" w:oddVBand="0" w:evenVBand="0" w:oddHBand="0" w:evenHBand="0" w:firstRowFirstColumn="0" w:firstRowLastColumn="0" w:lastRowFirstColumn="0" w:lastRowLastColumn="0"/>
            </w:pPr>
            <w:r>
              <w:t>117</w:t>
            </w:r>
          </w:p>
        </w:tc>
      </w:tr>
      <w:tr w:rsidR="00656C71" w14:paraId="2C90F55C" w14:textId="77777777">
        <w:tc>
          <w:tcPr>
            <w:cnfStyle w:val="001000000000" w:firstRow="0" w:lastRow="0" w:firstColumn="1" w:lastColumn="0" w:oddVBand="0" w:evenVBand="0" w:oddHBand="0" w:evenHBand="0" w:firstRowFirstColumn="0" w:firstRowLastColumn="0" w:lastRowFirstColumn="0" w:lastRowLastColumn="0"/>
            <w:tcW w:w="5103" w:type="dxa"/>
          </w:tcPr>
          <w:p w14:paraId="4BA9FCB4" w14:textId="77777777" w:rsidR="00656C71" w:rsidRDefault="00773C05">
            <w:r>
              <w:t>Metropolitan improvement levy</w:t>
            </w:r>
          </w:p>
        </w:tc>
        <w:tc>
          <w:tcPr>
            <w:tcW w:w="907" w:type="dxa"/>
          </w:tcPr>
          <w:p w14:paraId="53506440" w14:textId="77777777" w:rsidR="00656C71" w:rsidRDefault="00773C05">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4E22C371" w14:textId="77777777" w:rsidR="00656C71" w:rsidRDefault="00773C05">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26B097E0" w14:textId="77777777" w:rsidR="00656C71" w:rsidRDefault="00773C05">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5FBF2D56" w14:textId="77777777" w:rsidR="00656C71" w:rsidRDefault="00773C0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43B2897" w14:textId="77777777" w:rsidR="00656C71" w:rsidRDefault="00773C05">
            <w:pPr>
              <w:cnfStyle w:val="000000000000" w:firstRow="0" w:lastRow="0" w:firstColumn="0" w:lastColumn="0" w:oddVBand="0" w:evenVBand="0" w:oddHBand="0" w:evenHBand="0" w:firstRowFirstColumn="0" w:firstRowLastColumn="0" w:lastRowFirstColumn="0" w:lastRowLastColumn="0"/>
            </w:pPr>
            <w:r>
              <w:t>200</w:t>
            </w:r>
          </w:p>
        </w:tc>
      </w:tr>
      <w:tr w:rsidR="00656C71" w14:paraId="6BC417B1"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0218F5B" w14:textId="77777777" w:rsidR="00656C71" w:rsidRDefault="00773C05">
            <w:r>
              <w:t>Windfall gains tax</w:t>
            </w:r>
          </w:p>
        </w:tc>
        <w:tc>
          <w:tcPr>
            <w:tcW w:w="907" w:type="dxa"/>
            <w:tcBorders>
              <w:bottom w:val="single" w:sz="6" w:space="0" w:color="auto"/>
            </w:tcBorders>
          </w:tcPr>
          <w:p w14:paraId="32857418" w14:textId="77777777" w:rsidR="00656C71" w:rsidRDefault="00773C05">
            <w:pPr>
              <w:cnfStyle w:val="000000000000" w:firstRow="0" w:lastRow="0" w:firstColumn="0" w:lastColumn="0" w:oddVBand="0" w:evenVBand="0" w:oddHBand="0" w:evenHBand="0" w:firstRowFirstColumn="0" w:firstRowLastColumn="0" w:lastRowFirstColumn="0" w:lastRowLastColumn="0"/>
            </w:pPr>
            <w:r>
              <w:t>15</w:t>
            </w:r>
          </w:p>
        </w:tc>
        <w:tc>
          <w:tcPr>
            <w:tcW w:w="907" w:type="dxa"/>
            <w:tcBorders>
              <w:bottom w:val="single" w:sz="6" w:space="0" w:color="auto"/>
            </w:tcBorders>
          </w:tcPr>
          <w:p w14:paraId="44C394FC" w14:textId="77777777" w:rsidR="00656C71" w:rsidRDefault="00773C05">
            <w:pPr>
              <w:cnfStyle w:val="000000000000" w:firstRow="0" w:lastRow="0" w:firstColumn="0" w:lastColumn="0" w:oddVBand="0" w:evenVBand="0" w:oddHBand="0" w:evenHBand="0" w:firstRowFirstColumn="0" w:firstRowLastColumn="0" w:lastRowFirstColumn="0" w:lastRowLastColumn="0"/>
            </w:pPr>
            <w:r>
              <w:t>90</w:t>
            </w:r>
          </w:p>
        </w:tc>
        <w:tc>
          <w:tcPr>
            <w:tcW w:w="907" w:type="dxa"/>
            <w:tcBorders>
              <w:bottom w:val="single" w:sz="6" w:space="0" w:color="auto"/>
            </w:tcBorders>
          </w:tcPr>
          <w:p w14:paraId="1E376057" w14:textId="77777777" w:rsidR="00656C71" w:rsidRDefault="00773C05">
            <w:pPr>
              <w:cnfStyle w:val="000000000000" w:firstRow="0" w:lastRow="0" w:firstColumn="0" w:lastColumn="0" w:oddVBand="0" w:evenVBand="0" w:oddHBand="0" w:evenHBand="0" w:firstRowFirstColumn="0" w:firstRowLastColumn="0" w:lastRowFirstColumn="0" w:lastRowLastColumn="0"/>
            </w:pPr>
            <w:r>
              <w:t>(75)</w:t>
            </w:r>
          </w:p>
        </w:tc>
        <w:tc>
          <w:tcPr>
            <w:tcW w:w="907" w:type="dxa"/>
            <w:tcBorders>
              <w:bottom w:val="single" w:sz="6" w:space="0" w:color="auto"/>
            </w:tcBorders>
          </w:tcPr>
          <w:p w14:paraId="4D77A672" w14:textId="77777777" w:rsidR="00656C71" w:rsidRDefault="00773C05">
            <w:pPr>
              <w:cnfStyle w:val="000000000000" w:firstRow="0" w:lastRow="0" w:firstColumn="0" w:lastColumn="0" w:oddVBand="0" w:evenVBand="0" w:oddHBand="0" w:evenHBand="0" w:firstRowFirstColumn="0" w:firstRowLastColumn="0" w:lastRowFirstColumn="0" w:lastRowLastColumn="0"/>
            </w:pPr>
            <w:r>
              <w:t>(84)</w:t>
            </w:r>
          </w:p>
        </w:tc>
        <w:tc>
          <w:tcPr>
            <w:tcW w:w="907" w:type="dxa"/>
            <w:tcBorders>
              <w:bottom w:val="single" w:sz="6" w:space="0" w:color="auto"/>
            </w:tcBorders>
          </w:tcPr>
          <w:p w14:paraId="02395024" w14:textId="77777777" w:rsidR="00656C71" w:rsidRDefault="00773C05">
            <w:pPr>
              <w:cnfStyle w:val="000000000000" w:firstRow="0" w:lastRow="0" w:firstColumn="0" w:lastColumn="0" w:oddVBand="0" w:evenVBand="0" w:oddHBand="0" w:evenHBand="0" w:firstRowFirstColumn="0" w:firstRowLastColumn="0" w:lastRowFirstColumn="0" w:lastRowLastColumn="0"/>
            </w:pPr>
            <w:r>
              <w:t>114</w:t>
            </w:r>
          </w:p>
        </w:tc>
      </w:tr>
      <w:tr w:rsidR="00656C71" w14:paraId="186693A3"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CCDDE5B" w14:textId="77777777" w:rsidR="00656C71" w:rsidRDefault="00773C05">
            <w:r>
              <w:rPr>
                <w:b/>
              </w:rPr>
              <w:t>Total taxes on property</w:t>
            </w:r>
          </w:p>
        </w:tc>
        <w:tc>
          <w:tcPr>
            <w:tcW w:w="907" w:type="dxa"/>
            <w:tcBorders>
              <w:top w:val="single" w:sz="6" w:space="0" w:color="auto"/>
              <w:bottom w:val="single" w:sz="6" w:space="0" w:color="auto"/>
            </w:tcBorders>
          </w:tcPr>
          <w:p w14:paraId="60D83FF8"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8 612</w:t>
            </w:r>
          </w:p>
        </w:tc>
        <w:tc>
          <w:tcPr>
            <w:tcW w:w="907" w:type="dxa"/>
            <w:tcBorders>
              <w:top w:val="single" w:sz="6" w:space="0" w:color="auto"/>
              <w:bottom w:val="single" w:sz="6" w:space="0" w:color="auto"/>
            </w:tcBorders>
          </w:tcPr>
          <w:p w14:paraId="631AF10C"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8 662</w:t>
            </w:r>
          </w:p>
        </w:tc>
        <w:tc>
          <w:tcPr>
            <w:tcW w:w="907" w:type="dxa"/>
            <w:tcBorders>
              <w:top w:val="single" w:sz="6" w:space="0" w:color="auto"/>
              <w:bottom w:val="single" w:sz="6" w:space="0" w:color="auto"/>
            </w:tcBorders>
          </w:tcPr>
          <w:p w14:paraId="1B9E3F0A"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(50)</w:t>
            </w:r>
          </w:p>
        </w:tc>
        <w:tc>
          <w:tcPr>
            <w:tcW w:w="907" w:type="dxa"/>
            <w:tcBorders>
              <w:top w:val="single" w:sz="6" w:space="0" w:color="auto"/>
              <w:bottom w:val="single" w:sz="6" w:space="0" w:color="auto"/>
            </w:tcBorders>
          </w:tcPr>
          <w:p w14:paraId="20E528C5"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6" w:space="0" w:color="auto"/>
            </w:tcBorders>
          </w:tcPr>
          <w:p w14:paraId="1259C1A5"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8 365</w:t>
            </w:r>
          </w:p>
        </w:tc>
      </w:tr>
      <w:tr w:rsidR="00656C71" w14:paraId="6818A2B9"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23A8CA3" w14:textId="77777777" w:rsidR="00656C71" w:rsidRDefault="00773C05" w:rsidP="00C9037F">
            <w:pPr>
              <w:spacing w:before="120"/>
            </w:pPr>
            <w:r>
              <w:rPr>
                <w:b/>
              </w:rPr>
              <w:t>TAXES ON THE PROVISION OF GOODS AND SERVICES</w:t>
            </w:r>
          </w:p>
        </w:tc>
        <w:tc>
          <w:tcPr>
            <w:tcW w:w="907" w:type="dxa"/>
            <w:tcBorders>
              <w:top w:val="single" w:sz="6" w:space="0" w:color="auto"/>
            </w:tcBorders>
          </w:tcPr>
          <w:p w14:paraId="0B321A71"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C2D10A2"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7E3D772"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ACCD38E"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EDCCFB2"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r>
      <w:tr w:rsidR="00656C71" w14:paraId="4C18DB5D" w14:textId="77777777">
        <w:tc>
          <w:tcPr>
            <w:cnfStyle w:val="001000000000" w:firstRow="0" w:lastRow="0" w:firstColumn="1" w:lastColumn="0" w:oddVBand="0" w:evenVBand="0" w:oddHBand="0" w:evenHBand="0" w:firstRowFirstColumn="0" w:firstRowLastColumn="0" w:lastRowFirstColumn="0" w:lastRowLastColumn="0"/>
            <w:tcW w:w="5103" w:type="dxa"/>
          </w:tcPr>
          <w:p w14:paraId="142782DA" w14:textId="77777777" w:rsidR="00656C71" w:rsidRDefault="00773C05">
            <w:r>
              <w:rPr>
                <w:b/>
              </w:rPr>
              <w:t>Gambling taxes</w:t>
            </w:r>
            <w:r>
              <w:rPr>
                <w:b/>
                <w:vertAlign w:val="superscript"/>
              </w:rPr>
              <w:t xml:space="preserve"> (a)</w:t>
            </w:r>
          </w:p>
        </w:tc>
        <w:tc>
          <w:tcPr>
            <w:tcW w:w="907" w:type="dxa"/>
          </w:tcPr>
          <w:p w14:paraId="4AD3B166"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3649657B"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38C6E7D7"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41B8F9DF"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7056C6E3"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r>
      <w:tr w:rsidR="00656C71" w14:paraId="63E78607" w14:textId="77777777">
        <w:tc>
          <w:tcPr>
            <w:cnfStyle w:val="001000000000" w:firstRow="0" w:lastRow="0" w:firstColumn="1" w:lastColumn="0" w:oddVBand="0" w:evenVBand="0" w:oddHBand="0" w:evenHBand="0" w:firstRowFirstColumn="0" w:firstRowLastColumn="0" w:lastRowFirstColumn="0" w:lastRowLastColumn="0"/>
            <w:tcW w:w="5103" w:type="dxa"/>
          </w:tcPr>
          <w:p w14:paraId="70A46403" w14:textId="77777777" w:rsidR="00656C71" w:rsidRDefault="00773C05">
            <w:r>
              <w:t>Public lotteries</w:t>
            </w:r>
          </w:p>
        </w:tc>
        <w:tc>
          <w:tcPr>
            <w:tcW w:w="907" w:type="dxa"/>
          </w:tcPr>
          <w:p w14:paraId="6D9DB023" w14:textId="77777777" w:rsidR="00656C71" w:rsidRDefault="00773C05">
            <w:pPr>
              <w:cnfStyle w:val="000000000000" w:firstRow="0" w:lastRow="0" w:firstColumn="0" w:lastColumn="0" w:oddVBand="0" w:evenVBand="0" w:oddHBand="0" w:evenHBand="0" w:firstRowFirstColumn="0" w:firstRowLastColumn="0" w:lastRowFirstColumn="0" w:lastRowLastColumn="0"/>
            </w:pPr>
            <w:r>
              <w:t>621</w:t>
            </w:r>
          </w:p>
        </w:tc>
        <w:tc>
          <w:tcPr>
            <w:tcW w:w="907" w:type="dxa"/>
          </w:tcPr>
          <w:p w14:paraId="557B2207" w14:textId="77777777" w:rsidR="00656C71" w:rsidRDefault="00773C05">
            <w:pPr>
              <w:cnfStyle w:val="000000000000" w:firstRow="0" w:lastRow="0" w:firstColumn="0" w:lastColumn="0" w:oddVBand="0" w:evenVBand="0" w:oddHBand="0" w:evenHBand="0" w:firstRowFirstColumn="0" w:firstRowLastColumn="0" w:lastRowFirstColumn="0" w:lastRowLastColumn="0"/>
            </w:pPr>
            <w:r>
              <w:t>622</w:t>
            </w:r>
          </w:p>
        </w:tc>
        <w:tc>
          <w:tcPr>
            <w:tcW w:w="907" w:type="dxa"/>
          </w:tcPr>
          <w:p w14:paraId="6FD5555C"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6389D0F" w14:textId="77777777" w:rsidR="00656C71" w:rsidRDefault="00773C0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EE455B" w14:textId="77777777" w:rsidR="00656C71" w:rsidRDefault="00773C05">
            <w:pPr>
              <w:cnfStyle w:val="000000000000" w:firstRow="0" w:lastRow="0" w:firstColumn="0" w:lastColumn="0" w:oddVBand="0" w:evenVBand="0" w:oddHBand="0" w:evenHBand="0" w:firstRowFirstColumn="0" w:firstRowLastColumn="0" w:lastRowFirstColumn="0" w:lastRowLastColumn="0"/>
            </w:pPr>
            <w:r>
              <w:t>689</w:t>
            </w:r>
          </w:p>
        </w:tc>
      </w:tr>
      <w:tr w:rsidR="00656C71" w14:paraId="004ADE5A" w14:textId="77777777">
        <w:tc>
          <w:tcPr>
            <w:cnfStyle w:val="001000000000" w:firstRow="0" w:lastRow="0" w:firstColumn="1" w:lastColumn="0" w:oddVBand="0" w:evenVBand="0" w:oddHBand="0" w:evenHBand="0" w:firstRowFirstColumn="0" w:firstRowLastColumn="0" w:lastRowFirstColumn="0" w:lastRowLastColumn="0"/>
            <w:tcW w:w="5103" w:type="dxa"/>
          </w:tcPr>
          <w:p w14:paraId="440DAFCE" w14:textId="77777777" w:rsidR="00656C71" w:rsidRDefault="00773C05">
            <w:r>
              <w:t>Electronic gaming machines</w:t>
            </w:r>
          </w:p>
        </w:tc>
        <w:tc>
          <w:tcPr>
            <w:tcW w:w="907" w:type="dxa"/>
          </w:tcPr>
          <w:p w14:paraId="5C1E55F0" w14:textId="77777777" w:rsidR="00656C71" w:rsidRDefault="00773C05">
            <w:pPr>
              <w:cnfStyle w:val="000000000000" w:firstRow="0" w:lastRow="0" w:firstColumn="0" w:lastColumn="0" w:oddVBand="0" w:evenVBand="0" w:oddHBand="0" w:evenHBand="0" w:firstRowFirstColumn="0" w:firstRowLastColumn="0" w:lastRowFirstColumn="0" w:lastRowLastColumn="0"/>
            </w:pPr>
            <w:r>
              <w:t>1 428</w:t>
            </w:r>
          </w:p>
        </w:tc>
        <w:tc>
          <w:tcPr>
            <w:tcW w:w="907" w:type="dxa"/>
          </w:tcPr>
          <w:p w14:paraId="12D3CBCE" w14:textId="77777777" w:rsidR="00656C71" w:rsidRDefault="00773C05">
            <w:pPr>
              <w:cnfStyle w:val="000000000000" w:firstRow="0" w:lastRow="0" w:firstColumn="0" w:lastColumn="0" w:oddVBand="0" w:evenVBand="0" w:oddHBand="0" w:evenHBand="0" w:firstRowFirstColumn="0" w:firstRowLastColumn="0" w:lastRowFirstColumn="0" w:lastRowLastColumn="0"/>
            </w:pPr>
            <w:r>
              <w:t>1 434</w:t>
            </w:r>
          </w:p>
        </w:tc>
        <w:tc>
          <w:tcPr>
            <w:tcW w:w="907" w:type="dxa"/>
          </w:tcPr>
          <w:p w14:paraId="623E5BBA" w14:textId="77777777" w:rsidR="00656C71" w:rsidRDefault="00773C05">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0D51C9C3" w14:textId="77777777" w:rsidR="00656C71" w:rsidRDefault="00773C0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B5F37E" w14:textId="77777777" w:rsidR="00656C71" w:rsidRDefault="00773C05">
            <w:pPr>
              <w:cnfStyle w:val="000000000000" w:firstRow="0" w:lastRow="0" w:firstColumn="0" w:lastColumn="0" w:oddVBand="0" w:evenVBand="0" w:oddHBand="0" w:evenHBand="0" w:firstRowFirstColumn="0" w:firstRowLastColumn="0" w:lastRowFirstColumn="0" w:lastRowLastColumn="0"/>
            </w:pPr>
            <w:r>
              <w:t>1 383</w:t>
            </w:r>
          </w:p>
        </w:tc>
      </w:tr>
      <w:tr w:rsidR="00656C71" w14:paraId="08646F5B" w14:textId="77777777">
        <w:tc>
          <w:tcPr>
            <w:cnfStyle w:val="001000000000" w:firstRow="0" w:lastRow="0" w:firstColumn="1" w:lastColumn="0" w:oddVBand="0" w:evenVBand="0" w:oddHBand="0" w:evenHBand="0" w:firstRowFirstColumn="0" w:firstRowLastColumn="0" w:lastRowFirstColumn="0" w:lastRowLastColumn="0"/>
            <w:tcW w:w="5103" w:type="dxa"/>
          </w:tcPr>
          <w:p w14:paraId="5340D14D" w14:textId="77777777" w:rsidR="00656C71" w:rsidRDefault="00773C05">
            <w:r>
              <w:t>Casino</w:t>
            </w:r>
          </w:p>
        </w:tc>
        <w:tc>
          <w:tcPr>
            <w:tcW w:w="907" w:type="dxa"/>
          </w:tcPr>
          <w:p w14:paraId="78AA5010" w14:textId="77777777" w:rsidR="00656C71" w:rsidRDefault="00773C05">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38CE5CEA" w14:textId="77777777" w:rsidR="00656C71" w:rsidRDefault="00773C05">
            <w:pPr>
              <w:cnfStyle w:val="000000000000" w:firstRow="0" w:lastRow="0" w:firstColumn="0" w:lastColumn="0" w:oddVBand="0" w:evenVBand="0" w:oddHBand="0" w:evenHBand="0" w:firstRowFirstColumn="0" w:firstRowLastColumn="0" w:lastRowFirstColumn="0" w:lastRowLastColumn="0"/>
            </w:pPr>
            <w:r>
              <w:t>196</w:t>
            </w:r>
          </w:p>
        </w:tc>
        <w:tc>
          <w:tcPr>
            <w:tcW w:w="907" w:type="dxa"/>
          </w:tcPr>
          <w:p w14:paraId="5FCF5473" w14:textId="77777777" w:rsidR="00656C71" w:rsidRDefault="00773C0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FE798A5" w14:textId="77777777" w:rsidR="00656C71" w:rsidRDefault="00773C0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2D7B5C0" w14:textId="77777777" w:rsidR="00656C71" w:rsidRDefault="00773C05">
            <w:pPr>
              <w:cnfStyle w:val="000000000000" w:firstRow="0" w:lastRow="0" w:firstColumn="0" w:lastColumn="0" w:oddVBand="0" w:evenVBand="0" w:oddHBand="0" w:evenHBand="0" w:firstRowFirstColumn="0" w:firstRowLastColumn="0" w:lastRowFirstColumn="0" w:lastRowLastColumn="0"/>
            </w:pPr>
            <w:r>
              <w:t>208</w:t>
            </w:r>
          </w:p>
        </w:tc>
      </w:tr>
      <w:tr w:rsidR="00656C71" w14:paraId="418DA484" w14:textId="77777777">
        <w:tc>
          <w:tcPr>
            <w:cnfStyle w:val="001000000000" w:firstRow="0" w:lastRow="0" w:firstColumn="1" w:lastColumn="0" w:oddVBand="0" w:evenVBand="0" w:oddHBand="0" w:evenHBand="0" w:firstRowFirstColumn="0" w:firstRowLastColumn="0" w:lastRowFirstColumn="0" w:lastRowLastColumn="0"/>
            <w:tcW w:w="5103" w:type="dxa"/>
          </w:tcPr>
          <w:p w14:paraId="1010990E" w14:textId="77777777" w:rsidR="00656C71" w:rsidRDefault="00773C05">
            <w:r>
              <w:t>Racing and other sports betting</w:t>
            </w:r>
          </w:p>
        </w:tc>
        <w:tc>
          <w:tcPr>
            <w:tcW w:w="907" w:type="dxa"/>
          </w:tcPr>
          <w:p w14:paraId="67CC5AE4" w14:textId="77777777" w:rsidR="00656C71" w:rsidRDefault="00773C05">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25C7CE7F" w14:textId="77777777" w:rsidR="00656C71" w:rsidRDefault="00773C05">
            <w:pPr>
              <w:cnfStyle w:val="000000000000" w:firstRow="0" w:lastRow="0" w:firstColumn="0" w:lastColumn="0" w:oddVBand="0" w:evenVBand="0" w:oddHBand="0" w:evenHBand="0" w:firstRowFirstColumn="0" w:firstRowLastColumn="0" w:lastRowFirstColumn="0" w:lastRowLastColumn="0"/>
            </w:pPr>
            <w:r>
              <w:t>406</w:t>
            </w:r>
          </w:p>
        </w:tc>
        <w:tc>
          <w:tcPr>
            <w:tcW w:w="907" w:type="dxa"/>
          </w:tcPr>
          <w:p w14:paraId="7D49A6AA" w14:textId="77777777" w:rsidR="00656C71" w:rsidRDefault="00773C05">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0D8BC15F" w14:textId="77777777" w:rsidR="00656C71" w:rsidRDefault="00773C05">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586057F" w14:textId="77777777" w:rsidR="00656C71" w:rsidRDefault="00773C05">
            <w:pPr>
              <w:cnfStyle w:val="000000000000" w:firstRow="0" w:lastRow="0" w:firstColumn="0" w:lastColumn="0" w:oddVBand="0" w:evenVBand="0" w:oddHBand="0" w:evenHBand="0" w:firstRowFirstColumn="0" w:firstRowLastColumn="0" w:lastRowFirstColumn="0" w:lastRowLastColumn="0"/>
            </w:pPr>
            <w:r>
              <w:t>277</w:t>
            </w:r>
          </w:p>
        </w:tc>
      </w:tr>
      <w:tr w:rsidR="00656C71" w14:paraId="64FC83A0" w14:textId="77777777">
        <w:tc>
          <w:tcPr>
            <w:cnfStyle w:val="001000000000" w:firstRow="0" w:lastRow="0" w:firstColumn="1" w:lastColumn="0" w:oddVBand="0" w:evenVBand="0" w:oddHBand="0" w:evenHBand="0" w:firstRowFirstColumn="0" w:firstRowLastColumn="0" w:lastRowFirstColumn="0" w:lastRowLastColumn="0"/>
            <w:tcW w:w="5103" w:type="dxa"/>
          </w:tcPr>
          <w:p w14:paraId="71ED2B73" w14:textId="77777777" w:rsidR="00656C71" w:rsidRDefault="00773C05">
            <w:r>
              <w:t>Other</w:t>
            </w:r>
          </w:p>
        </w:tc>
        <w:tc>
          <w:tcPr>
            <w:tcW w:w="907" w:type="dxa"/>
          </w:tcPr>
          <w:p w14:paraId="32A8D044" w14:textId="77777777" w:rsidR="00656C71" w:rsidRDefault="00773C05">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114A935A" w14:textId="77777777" w:rsidR="00656C71" w:rsidRDefault="00773C05">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503A495"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7CDCD82" w14:textId="77777777" w:rsidR="00656C71" w:rsidRDefault="00773C05">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D51C4ED" w14:textId="77777777" w:rsidR="00656C71" w:rsidRDefault="00773C05">
            <w:pPr>
              <w:cnfStyle w:val="000000000000" w:firstRow="0" w:lastRow="0" w:firstColumn="0" w:lastColumn="0" w:oddVBand="0" w:evenVBand="0" w:oddHBand="0" w:evenHBand="0" w:firstRowFirstColumn="0" w:firstRowLastColumn="0" w:lastRowFirstColumn="0" w:lastRowLastColumn="0"/>
            </w:pPr>
            <w:r>
              <w:t>18</w:t>
            </w:r>
          </w:p>
        </w:tc>
      </w:tr>
      <w:tr w:rsidR="00656C71" w14:paraId="7B0211B9" w14:textId="77777777">
        <w:tc>
          <w:tcPr>
            <w:cnfStyle w:val="001000000000" w:firstRow="0" w:lastRow="0" w:firstColumn="1" w:lastColumn="0" w:oddVBand="0" w:evenVBand="0" w:oddHBand="0" w:evenHBand="0" w:firstRowFirstColumn="0" w:firstRowLastColumn="0" w:lastRowFirstColumn="0" w:lastRowLastColumn="0"/>
            <w:tcW w:w="5103" w:type="dxa"/>
          </w:tcPr>
          <w:p w14:paraId="46526E8F" w14:textId="77777777" w:rsidR="00656C71" w:rsidRDefault="00773C05">
            <w:r>
              <w:rPr>
                <w:b/>
              </w:rPr>
              <w:t>Financial and capital transactions</w:t>
            </w:r>
          </w:p>
        </w:tc>
        <w:tc>
          <w:tcPr>
            <w:tcW w:w="907" w:type="dxa"/>
          </w:tcPr>
          <w:p w14:paraId="63685131"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33FFBE8F"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753E5427"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732F650F"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7C44EB41"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r>
      <w:tr w:rsidR="00656C71" w14:paraId="46327DE2" w14:textId="77777777">
        <w:tc>
          <w:tcPr>
            <w:cnfStyle w:val="001000000000" w:firstRow="0" w:lastRow="0" w:firstColumn="1" w:lastColumn="0" w:oddVBand="0" w:evenVBand="0" w:oddHBand="0" w:evenHBand="0" w:firstRowFirstColumn="0" w:firstRowLastColumn="0" w:lastRowFirstColumn="0" w:lastRowLastColumn="0"/>
            <w:tcW w:w="5103" w:type="dxa"/>
          </w:tcPr>
          <w:p w14:paraId="196EE2D1" w14:textId="77777777" w:rsidR="00656C71" w:rsidRDefault="00773C05">
            <w:r>
              <w:t>Land transfer duty</w:t>
            </w:r>
          </w:p>
        </w:tc>
        <w:tc>
          <w:tcPr>
            <w:tcW w:w="907" w:type="dxa"/>
          </w:tcPr>
          <w:p w14:paraId="4E002219" w14:textId="77777777" w:rsidR="00656C71" w:rsidRDefault="00773C05">
            <w:pPr>
              <w:cnfStyle w:val="000000000000" w:firstRow="0" w:lastRow="0" w:firstColumn="0" w:lastColumn="0" w:oddVBand="0" w:evenVBand="0" w:oddHBand="0" w:evenHBand="0" w:firstRowFirstColumn="0" w:firstRowLastColumn="0" w:lastRowFirstColumn="0" w:lastRowLastColumn="0"/>
            </w:pPr>
            <w:r>
              <w:t>9 254</w:t>
            </w:r>
          </w:p>
        </w:tc>
        <w:tc>
          <w:tcPr>
            <w:tcW w:w="907" w:type="dxa"/>
          </w:tcPr>
          <w:p w14:paraId="7628FF6E" w14:textId="77777777" w:rsidR="00656C71" w:rsidRDefault="00773C05">
            <w:pPr>
              <w:cnfStyle w:val="000000000000" w:firstRow="0" w:lastRow="0" w:firstColumn="0" w:lastColumn="0" w:oddVBand="0" w:evenVBand="0" w:oddHBand="0" w:evenHBand="0" w:firstRowFirstColumn="0" w:firstRowLastColumn="0" w:lastRowFirstColumn="0" w:lastRowLastColumn="0"/>
            </w:pPr>
            <w:r>
              <w:t>9 200</w:t>
            </w:r>
          </w:p>
        </w:tc>
        <w:tc>
          <w:tcPr>
            <w:tcW w:w="907" w:type="dxa"/>
          </w:tcPr>
          <w:p w14:paraId="1DDC23D0" w14:textId="77777777" w:rsidR="00656C71" w:rsidRDefault="00773C05">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215697FD"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2118BF2" w14:textId="77777777" w:rsidR="00656C71" w:rsidRDefault="00773C05">
            <w:pPr>
              <w:cnfStyle w:val="000000000000" w:firstRow="0" w:lastRow="0" w:firstColumn="0" w:lastColumn="0" w:oddVBand="0" w:evenVBand="0" w:oddHBand="0" w:evenHBand="0" w:firstRowFirstColumn="0" w:firstRowLastColumn="0" w:lastRowFirstColumn="0" w:lastRowLastColumn="0"/>
            </w:pPr>
            <w:r>
              <w:t>8 426</w:t>
            </w:r>
          </w:p>
        </w:tc>
      </w:tr>
      <w:tr w:rsidR="00656C71" w14:paraId="36BC4BEC" w14:textId="77777777">
        <w:tc>
          <w:tcPr>
            <w:cnfStyle w:val="001000000000" w:firstRow="0" w:lastRow="0" w:firstColumn="1" w:lastColumn="0" w:oddVBand="0" w:evenVBand="0" w:oddHBand="0" w:evenHBand="0" w:firstRowFirstColumn="0" w:firstRowLastColumn="0" w:lastRowFirstColumn="0" w:lastRowLastColumn="0"/>
            <w:tcW w:w="5103" w:type="dxa"/>
          </w:tcPr>
          <w:p w14:paraId="1A141F12" w14:textId="77777777" w:rsidR="00656C71" w:rsidRDefault="00773C05">
            <w:r>
              <w:t>Metropolitan planning levy</w:t>
            </w:r>
          </w:p>
        </w:tc>
        <w:tc>
          <w:tcPr>
            <w:tcW w:w="907" w:type="dxa"/>
          </w:tcPr>
          <w:p w14:paraId="10F8B275" w14:textId="77777777" w:rsidR="00656C71" w:rsidRDefault="00773C05">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2FE2FFD5" w14:textId="77777777" w:rsidR="00656C71" w:rsidRDefault="00773C05">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327D533D" w14:textId="77777777" w:rsidR="00656C71" w:rsidRDefault="00773C0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CEF223B" w14:textId="77777777" w:rsidR="00656C71" w:rsidRDefault="00773C0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D00E775" w14:textId="77777777" w:rsidR="00656C71" w:rsidRDefault="00773C05">
            <w:pPr>
              <w:cnfStyle w:val="000000000000" w:firstRow="0" w:lastRow="0" w:firstColumn="0" w:lastColumn="0" w:oddVBand="0" w:evenVBand="0" w:oddHBand="0" w:evenHBand="0" w:firstRowFirstColumn="0" w:firstRowLastColumn="0" w:lastRowFirstColumn="0" w:lastRowLastColumn="0"/>
            </w:pPr>
            <w:r>
              <w:t>20</w:t>
            </w:r>
          </w:p>
        </w:tc>
      </w:tr>
      <w:tr w:rsidR="00656C71" w14:paraId="325886D3" w14:textId="77777777">
        <w:tc>
          <w:tcPr>
            <w:cnfStyle w:val="001000000000" w:firstRow="0" w:lastRow="0" w:firstColumn="1" w:lastColumn="0" w:oddVBand="0" w:evenVBand="0" w:oddHBand="0" w:evenHBand="0" w:firstRowFirstColumn="0" w:firstRowLastColumn="0" w:lastRowFirstColumn="0" w:lastRowLastColumn="0"/>
            <w:tcW w:w="5103" w:type="dxa"/>
          </w:tcPr>
          <w:p w14:paraId="70B95D18" w14:textId="77777777" w:rsidR="00656C71" w:rsidRDefault="00773C05">
            <w:r>
              <w:t>Financial accommodation levy</w:t>
            </w:r>
          </w:p>
        </w:tc>
        <w:tc>
          <w:tcPr>
            <w:tcW w:w="907" w:type="dxa"/>
          </w:tcPr>
          <w:p w14:paraId="1235630C" w14:textId="77777777" w:rsidR="00656C71" w:rsidRDefault="00773C05">
            <w:pPr>
              <w:cnfStyle w:val="000000000000" w:firstRow="0" w:lastRow="0" w:firstColumn="0" w:lastColumn="0" w:oddVBand="0" w:evenVBand="0" w:oddHBand="0" w:evenHBand="0" w:firstRowFirstColumn="0" w:firstRowLastColumn="0" w:lastRowFirstColumn="0" w:lastRowLastColumn="0"/>
            </w:pPr>
            <w:r>
              <w:t>196</w:t>
            </w:r>
          </w:p>
        </w:tc>
        <w:tc>
          <w:tcPr>
            <w:tcW w:w="907" w:type="dxa"/>
          </w:tcPr>
          <w:p w14:paraId="25258A9E" w14:textId="77777777" w:rsidR="00656C71" w:rsidRDefault="00773C05">
            <w:pPr>
              <w:cnfStyle w:val="000000000000" w:firstRow="0" w:lastRow="0" w:firstColumn="0" w:lastColumn="0" w:oddVBand="0" w:evenVBand="0" w:oddHBand="0" w:evenHBand="0" w:firstRowFirstColumn="0" w:firstRowLastColumn="0" w:lastRowFirstColumn="0" w:lastRowLastColumn="0"/>
            </w:pPr>
            <w:r>
              <w:t>201</w:t>
            </w:r>
          </w:p>
        </w:tc>
        <w:tc>
          <w:tcPr>
            <w:tcW w:w="907" w:type="dxa"/>
          </w:tcPr>
          <w:p w14:paraId="2C439F46" w14:textId="77777777" w:rsidR="00656C71" w:rsidRDefault="00773C0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39420C08" w14:textId="77777777" w:rsidR="00656C71" w:rsidRDefault="00773C05">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5D47350" w14:textId="77777777" w:rsidR="00656C71" w:rsidRDefault="00773C05">
            <w:pPr>
              <w:cnfStyle w:val="000000000000" w:firstRow="0" w:lastRow="0" w:firstColumn="0" w:lastColumn="0" w:oddVBand="0" w:evenVBand="0" w:oddHBand="0" w:evenHBand="0" w:firstRowFirstColumn="0" w:firstRowLastColumn="0" w:lastRowFirstColumn="0" w:lastRowLastColumn="0"/>
            </w:pPr>
            <w:r>
              <w:t>172</w:t>
            </w:r>
          </w:p>
        </w:tc>
      </w:tr>
      <w:tr w:rsidR="00656C71" w14:paraId="77935E1C" w14:textId="77777777">
        <w:tc>
          <w:tcPr>
            <w:cnfStyle w:val="001000000000" w:firstRow="0" w:lastRow="0" w:firstColumn="1" w:lastColumn="0" w:oddVBand="0" w:evenVBand="0" w:oddHBand="0" w:evenHBand="0" w:firstRowFirstColumn="0" w:firstRowLastColumn="0" w:lastRowFirstColumn="0" w:lastRowLastColumn="0"/>
            <w:tcW w:w="5103" w:type="dxa"/>
          </w:tcPr>
          <w:p w14:paraId="0939206D" w14:textId="77777777" w:rsidR="00656C71" w:rsidRDefault="00773C05">
            <w:r>
              <w:t>Growth areas infrastructure contribution</w:t>
            </w:r>
          </w:p>
        </w:tc>
        <w:tc>
          <w:tcPr>
            <w:tcW w:w="907" w:type="dxa"/>
          </w:tcPr>
          <w:p w14:paraId="6F9DABEB" w14:textId="77777777" w:rsidR="00656C71" w:rsidRDefault="00773C05">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0ED94AAA" w14:textId="77777777" w:rsidR="00656C71" w:rsidRDefault="00773C05">
            <w:pPr>
              <w:cnfStyle w:val="000000000000" w:firstRow="0" w:lastRow="0" w:firstColumn="0" w:lastColumn="0" w:oddVBand="0" w:evenVBand="0" w:oddHBand="0" w:evenHBand="0" w:firstRowFirstColumn="0" w:firstRowLastColumn="0" w:lastRowFirstColumn="0" w:lastRowLastColumn="0"/>
            </w:pPr>
            <w:r>
              <w:t>179</w:t>
            </w:r>
          </w:p>
        </w:tc>
        <w:tc>
          <w:tcPr>
            <w:tcW w:w="907" w:type="dxa"/>
          </w:tcPr>
          <w:p w14:paraId="41120BA3" w14:textId="77777777" w:rsidR="00656C71" w:rsidRDefault="00773C05">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C5548AD" w14:textId="77777777" w:rsidR="00656C71" w:rsidRDefault="00773C05">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ED1F43C" w14:textId="77777777" w:rsidR="00656C71" w:rsidRDefault="00773C05">
            <w:pPr>
              <w:cnfStyle w:val="000000000000" w:firstRow="0" w:lastRow="0" w:firstColumn="0" w:lastColumn="0" w:oddVBand="0" w:evenVBand="0" w:oddHBand="0" w:evenHBand="0" w:firstRowFirstColumn="0" w:firstRowLastColumn="0" w:lastRowFirstColumn="0" w:lastRowLastColumn="0"/>
            </w:pPr>
            <w:r>
              <w:t>255</w:t>
            </w:r>
          </w:p>
        </w:tc>
      </w:tr>
      <w:tr w:rsidR="00656C71" w14:paraId="19343251" w14:textId="77777777">
        <w:tc>
          <w:tcPr>
            <w:cnfStyle w:val="001000000000" w:firstRow="0" w:lastRow="0" w:firstColumn="1" w:lastColumn="0" w:oddVBand="0" w:evenVBand="0" w:oddHBand="0" w:evenHBand="0" w:firstRowFirstColumn="0" w:firstRowLastColumn="0" w:lastRowFirstColumn="0" w:lastRowLastColumn="0"/>
            <w:tcW w:w="5103" w:type="dxa"/>
          </w:tcPr>
          <w:p w14:paraId="6B8E60D7" w14:textId="77777777" w:rsidR="00656C71" w:rsidRDefault="00773C05">
            <w:r>
              <w:rPr>
                <w:b/>
              </w:rPr>
              <w:t>Levies on statutory corporations</w:t>
            </w:r>
          </w:p>
        </w:tc>
        <w:tc>
          <w:tcPr>
            <w:tcW w:w="907" w:type="dxa"/>
          </w:tcPr>
          <w:p w14:paraId="5025FDEF"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177</w:t>
            </w:r>
          </w:p>
        </w:tc>
        <w:tc>
          <w:tcPr>
            <w:tcW w:w="907" w:type="dxa"/>
          </w:tcPr>
          <w:p w14:paraId="5C8B8DF8"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176</w:t>
            </w:r>
          </w:p>
        </w:tc>
        <w:tc>
          <w:tcPr>
            <w:tcW w:w="907" w:type="dxa"/>
          </w:tcPr>
          <w:p w14:paraId="70D23C4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C5E8FA9"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2BA1E95"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173</w:t>
            </w:r>
          </w:p>
        </w:tc>
      </w:tr>
      <w:tr w:rsidR="00656C71" w14:paraId="65B018DB"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27B0E65" w14:textId="77777777" w:rsidR="00656C71" w:rsidRDefault="00773C05">
            <w:r>
              <w:rPr>
                <w:b/>
              </w:rPr>
              <w:t>Taxes on insurance</w:t>
            </w:r>
          </w:p>
        </w:tc>
        <w:tc>
          <w:tcPr>
            <w:tcW w:w="907" w:type="dxa"/>
            <w:tcBorders>
              <w:bottom w:val="single" w:sz="6" w:space="0" w:color="auto"/>
            </w:tcBorders>
          </w:tcPr>
          <w:p w14:paraId="45E3D850"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2 197</w:t>
            </w:r>
          </w:p>
        </w:tc>
        <w:tc>
          <w:tcPr>
            <w:tcW w:w="907" w:type="dxa"/>
            <w:tcBorders>
              <w:bottom w:val="single" w:sz="6" w:space="0" w:color="auto"/>
            </w:tcBorders>
          </w:tcPr>
          <w:p w14:paraId="50EE419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2 207</w:t>
            </w:r>
          </w:p>
        </w:tc>
        <w:tc>
          <w:tcPr>
            <w:tcW w:w="907" w:type="dxa"/>
            <w:tcBorders>
              <w:bottom w:val="single" w:sz="6" w:space="0" w:color="auto"/>
            </w:tcBorders>
          </w:tcPr>
          <w:p w14:paraId="5F56339C"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(10)</w:t>
            </w:r>
          </w:p>
        </w:tc>
        <w:tc>
          <w:tcPr>
            <w:tcW w:w="907" w:type="dxa"/>
            <w:tcBorders>
              <w:bottom w:val="single" w:sz="6" w:space="0" w:color="auto"/>
            </w:tcBorders>
          </w:tcPr>
          <w:p w14:paraId="0906E302"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683F7673"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2 076</w:t>
            </w:r>
          </w:p>
        </w:tc>
      </w:tr>
      <w:tr w:rsidR="00656C71" w14:paraId="53FBA24C"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FB665CC" w14:textId="77777777" w:rsidR="00656C71" w:rsidRDefault="00773C05">
            <w:r>
              <w:rPr>
                <w:b/>
              </w:rPr>
              <w:t>Total taxes on the provision of goods and services</w:t>
            </w:r>
          </w:p>
        </w:tc>
        <w:tc>
          <w:tcPr>
            <w:tcW w:w="907" w:type="dxa"/>
            <w:tcBorders>
              <w:top w:val="single" w:sz="6" w:space="0" w:color="auto"/>
              <w:bottom w:val="single" w:sz="6" w:space="0" w:color="auto"/>
            </w:tcBorders>
          </w:tcPr>
          <w:p w14:paraId="036C0D98"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14 679</w:t>
            </w:r>
          </w:p>
        </w:tc>
        <w:tc>
          <w:tcPr>
            <w:tcW w:w="907" w:type="dxa"/>
            <w:tcBorders>
              <w:top w:val="single" w:sz="6" w:space="0" w:color="auto"/>
              <w:bottom w:val="single" w:sz="6" w:space="0" w:color="auto"/>
            </w:tcBorders>
          </w:tcPr>
          <w:p w14:paraId="63522276"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14 662</w:t>
            </w:r>
          </w:p>
        </w:tc>
        <w:tc>
          <w:tcPr>
            <w:tcW w:w="907" w:type="dxa"/>
            <w:tcBorders>
              <w:top w:val="single" w:sz="6" w:space="0" w:color="auto"/>
              <w:bottom w:val="single" w:sz="6" w:space="0" w:color="auto"/>
            </w:tcBorders>
          </w:tcPr>
          <w:p w14:paraId="6100E314"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17</w:t>
            </w:r>
          </w:p>
        </w:tc>
        <w:tc>
          <w:tcPr>
            <w:tcW w:w="907" w:type="dxa"/>
            <w:tcBorders>
              <w:top w:val="single" w:sz="6" w:space="0" w:color="auto"/>
              <w:bottom w:val="single" w:sz="6" w:space="0" w:color="auto"/>
            </w:tcBorders>
          </w:tcPr>
          <w:p w14:paraId="7A146AC7"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6" w:space="0" w:color="auto"/>
            </w:tcBorders>
          </w:tcPr>
          <w:p w14:paraId="7C513F70"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13 696</w:t>
            </w:r>
          </w:p>
        </w:tc>
      </w:tr>
      <w:tr w:rsidR="00656C71" w14:paraId="5E237BB7"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78E2C20" w14:textId="77777777" w:rsidR="00656C71" w:rsidRDefault="00773C05" w:rsidP="00C9037F">
            <w:pPr>
              <w:spacing w:before="120"/>
            </w:pPr>
            <w:r>
              <w:rPr>
                <w:b/>
              </w:rPr>
              <w:t>TAXES ON THE USE OF GOODS AND PERFORMANCE OF ACTIVITIES</w:t>
            </w:r>
          </w:p>
        </w:tc>
        <w:tc>
          <w:tcPr>
            <w:tcW w:w="907" w:type="dxa"/>
            <w:tcBorders>
              <w:top w:val="single" w:sz="6" w:space="0" w:color="auto"/>
            </w:tcBorders>
          </w:tcPr>
          <w:p w14:paraId="243FC4C2"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D6C0724"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45AC08C"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899BE35"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D22E121" w14:textId="77777777" w:rsidR="00656C71" w:rsidRDefault="00656C71" w:rsidP="00C9037F">
            <w:pPr>
              <w:spacing w:before="120"/>
              <w:cnfStyle w:val="000000000000" w:firstRow="0" w:lastRow="0" w:firstColumn="0" w:lastColumn="0" w:oddVBand="0" w:evenVBand="0" w:oddHBand="0" w:evenHBand="0" w:firstRowFirstColumn="0" w:firstRowLastColumn="0" w:lastRowFirstColumn="0" w:lastRowLastColumn="0"/>
            </w:pPr>
          </w:p>
        </w:tc>
      </w:tr>
      <w:tr w:rsidR="00656C71" w14:paraId="185C9D68" w14:textId="77777777">
        <w:tc>
          <w:tcPr>
            <w:cnfStyle w:val="001000000000" w:firstRow="0" w:lastRow="0" w:firstColumn="1" w:lastColumn="0" w:oddVBand="0" w:evenVBand="0" w:oddHBand="0" w:evenHBand="0" w:firstRowFirstColumn="0" w:firstRowLastColumn="0" w:lastRowFirstColumn="0" w:lastRowLastColumn="0"/>
            <w:tcW w:w="5103" w:type="dxa"/>
          </w:tcPr>
          <w:p w14:paraId="124DF553" w14:textId="77777777" w:rsidR="00656C71" w:rsidRDefault="00773C05">
            <w:r>
              <w:rPr>
                <w:b/>
              </w:rPr>
              <w:t>Motor vehicle taxes</w:t>
            </w:r>
          </w:p>
        </w:tc>
        <w:tc>
          <w:tcPr>
            <w:tcW w:w="907" w:type="dxa"/>
          </w:tcPr>
          <w:p w14:paraId="53C91C76"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6555B441"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23F11634"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72ED94A4"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c>
          <w:tcPr>
            <w:tcW w:w="907" w:type="dxa"/>
          </w:tcPr>
          <w:p w14:paraId="1F6C49EC" w14:textId="77777777" w:rsidR="00656C71" w:rsidRDefault="00656C71">
            <w:pPr>
              <w:cnfStyle w:val="000000000000" w:firstRow="0" w:lastRow="0" w:firstColumn="0" w:lastColumn="0" w:oddVBand="0" w:evenVBand="0" w:oddHBand="0" w:evenHBand="0" w:firstRowFirstColumn="0" w:firstRowLastColumn="0" w:lastRowFirstColumn="0" w:lastRowLastColumn="0"/>
            </w:pPr>
          </w:p>
        </w:tc>
      </w:tr>
      <w:tr w:rsidR="00656C71" w14:paraId="52C40274" w14:textId="77777777">
        <w:tc>
          <w:tcPr>
            <w:cnfStyle w:val="001000000000" w:firstRow="0" w:lastRow="0" w:firstColumn="1" w:lastColumn="0" w:oddVBand="0" w:evenVBand="0" w:oddHBand="0" w:evenHBand="0" w:firstRowFirstColumn="0" w:firstRowLastColumn="0" w:lastRowFirstColumn="0" w:lastRowLastColumn="0"/>
            <w:tcW w:w="5103" w:type="dxa"/>
          </w:tcPr>
          <w:p w14:paraId="340F5AE0" w14:textId="77777777" w:rsidR="00656C71" w:rsidRDefault="00773C05">
            <w:r>
              <w:t>Vehicle registration fees</w:t>
            </w:r>
          </w:p>
        </w:tc>
        <w:tc>
          <w:tcPr>
            <w:tcW w:w="907" w:type="dxa"/>
          </w:tcPr>
          <w:p w14:paraId="4C1E10C7" w14:textId="77777777" w:rsidR="00656C71" w:rsidRDefault="00773C05">
            <w:pPr>
              <w:cnfStyle w:val="000000000000" w:firstRow="0" w:lastRow="0" w:firstColumn="0" w:lastColumn="0" w:oddVBand="0" w:evenVBand="0" w:oddHBand="0" w:evenHBand="0" w:firstRowFirstColumn="0" w:firstRowLastColumn="0" w:lastRowFirstColumn="0" w:lastRowLastColumn="0"/>
            </w:pPr>
            <w:r>
              <w:t>2 219</w:t>
            </w:r>
          </w:p>
        </w:tc>
        <w:tc>
          <w:tcPr>
            <w:tcW w:w="907" w:type="dxa"/>
          </w:tcPr>
          <w:p w14:paraId="38766E1F" w14:textId="77777777" w:rsidR="00656C71" w:rsidRDefault="00773C05">
            <w:pPr>
              <w:cnfStyle w:val="000000000000" w:firstRow="0" w:lastRow="0" w:firstColumn="0" w:lastColumn="0" w:oddVBand="0" w:evenVBand="0" w:oddHBand="0" w:evenHBand="0" w:firstRowFirstColumn="0" w:firstRowLastColumn="0" w:lastRowFirstColumn="0" w:lastRowLastColumn="0"/>
            </w:pPr>
            <w:r>
              <w:t>2 228</w:t>
            </w:r>
          </w:p>
        </w:tc>
        <w:tc>
          <w:tcPr>
            <w:tcW w:w="907" w:type="dxa"/>
          </w:tcPr>
          <w:p w14:paraId="326B6E35" w14:textId="77777777" w:rsidR="00656C71" w:rsidRDefault="00773C05">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5E6FC403" w14:textId="77777777" w:rsidR="00656C71" w:rsidRDefault="00773C05">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BFA25A" w14:textId="77777777" w:rsidR="00656C71" w:rsidRDefault="00773C05">
            <w:pPr>
              <w:cnfStyle w:val="000000000000" w:firstRow="0" w:lastRow="0" w:firstColumn="0" w:lastColumn="0" w:oddVBand="0" w:evenVBand="0" w:oddHBand="0" w:evenHBand="0" w:firstRowFirstColumn="0" w:firstRowLastColumn="0" w:lastRowFirstColumn="0" w:lastRowLastColumn="0"/>
            </w:pPr>
            <w:r>
              <w:t>2 094</w:t>
            </w:r>
          </w:p>
        </w:tc>
      </w:tr>
      <w:tr w:rsidR="00656C71" w14:paraId="56F8009F" w14:textId="77777777">
        <w:tc>
          <w:tcPr>
            <w:cnfStyle w:val="001000000000" w:firstRow="0" w:lastRow="0" w:firstColumn="1" w:lastColumn="0" w:oddVBand="0" w:evenVBand="0" w:oddHBand="0" w:evenHBand="0" w:firstRowFirstColumn="0" w:firstRowLastColumn="0" w:lastRowFirstColumn="0" w:lastRowLastColumn="0"/>
            <w:tcW w:w="5103" w:type="dxa"/>
          </w:tcPr>
          <w:p w14:paraId="449EF8FA" w14:textId="77777777" w:rsidR="00656C71" w:rsidRDefault="00773C05">
            <w:r>
              <w:t>Duty on vehicle registrations and transfers</w:t>
            </w:r>
          </w:p>
        </w:tc>
        <w:tc>
          <w:tcPr>
            <w:tcW w:w="907" w:type="dxa"/>
          </w:tcPr>
          <w:p w14:paraId="21C27626" w14:textId="77777777" w:rsidR="00656C71" w:rsidRDefault="00773C05">
            <w:pPr>
              <w:cnfStyle w:val="000000000000" w:firstRow="0" w:lastRow="0" w:firstColumn="0" w:lastColumn="0" w:oddVBand="0" w:evenVBand="0" w:oddHBand="0" w:evenHBand="0" w:firstRowFirstColumn="0" w:firstRowLastColumn="0" w:lastRowFirstColumn="0" w:lastRowLastColumn="0"/>
            </w:pPr>
            <w:r>
              <w:t>1 319</w:t>
            </w:r>
          </w:p>
        </w:tc>
        <w:tc>
          <w:tcPr>
            <w:tcW w:w="907" w:type="dxa"/>
          </w:tcPr>
          <w:p w14:paraId="3C3B55CA" w14:textId="77777777" w:rsidR="00656C71" w:rsidRDefault="00773C05">
            <w:pPr>
              <w:cnfStyle w:val="000000000000" w:firstRow="0" w:lastRow="0" w:firstColumn="0" w:lastColumn="0" w:oddVBand="0" w:evenVBand="0" w:oddHBand="0" w:evenHBand="0" w:firstRowFirstColumn="0" w:firstRowLastColumn="0" w:lastRowFirstColumn="0" w:lastRowLastColumn="0"/>
            </w:pPr>
            <w:r>
              <w:t>1 337</w:t>
            </w:r>
          </w:p>
        </w:tc>
        <w:tc>
          <w:tcPr>
            <w:tcW w:w="907" w:type="dxa"/>
          </w:tcPr>
          <w:p w14:paraId="4B56F2E2" w14:textId="77777777" w:rsidR="00656C71" w:rsidRDefault="00773C05">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61B0B366" w14:textId="77777777" w:rsidR="00656C71" w:rsidRDefault="00773C05">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2DF2E17" w14:textId="77777777" w:rsidR="00656C71" w:rsidRDefault="00773C05">
            <w:pPr>
              <w:cnfStyle w:val="000000000000" w:firstRow="0" w:lastRow="0" w:firstColumn="0" w:lastColumn="0" w:oddVBand="0" w:evenVBand="0" w:oddHBand="0" w:evenHBand="0" w:firstRowFirstColumn="0" w:firstRowLastColumn="0" w:lastRowFirstColumn="0" w:lastRowLastColumn="0"/>
            </w:pPr>
            <w:r>
              <w:t>1 386</w:t>
            </w:r>
          </w:p>
        </w:tc>
      </w:tr>
      <w:tr w:rsidR="00656C71" w14:paraId="6C30C85F" w14:textId="77777777">
        <w:tc>
          <w:tcPr>
            <w:cnfStyle w:val="001000000000" w:firstRow="0" w:lastRow="0" w:firstColumn="1" w:lastColumn="0" w:oddVBand="0" w:evenVBand="0" w:oddHBand="0" w:evenHBand="0" w:firstRowFirstColumn="0" w:firstRowLastColumn="0" w:lastRowFirstColumn="0" w:lastRowLastColumn="0"/>
            <w:tcW w:w="5103" w:type="dxa"/>
          </w:tcPr>
          <w:p w14:paraId="033CAC8E" w14:textId="77777777" w:rsidR="00656C71" w:rsidRDefault="00773C05">
            <w:r>
              <w:rPr>
                <w:b/>
              </w:rPr>
              <w:t>Liquor licence fees</w:t>
            </w:r>
          </w:p>
        </w:tc>
        <w:tc>
          <w:tcPr>
            <w:tcW w:w="907" w:type="dxa"/>
          </w:tcPr>
          <w:p w14:paraId="49B4806D"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32</w:t>
            </w:r>
          </w:p>
        </w:tc>
        <w:tc>
          <w:tcPr>
            <w:tcW w:w="907" w:type="dxa"/>
          </w:tcPr>
          <w:p w14:paraId="2CAFC253"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33</w:t>
            </w:r>
          </w:p>
        </w:tc>
        <w:tc>
          <w:tcPr>
            <w:tcW w:w="907" w:type="dxa"/>
          </w:tcPr>
          <w:p w14:paraId="6DBEA3C5"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59DB08E"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Pr>
          <w:p w14:paraId="4D8B185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31</w:t>
            </w:r>
          </w:p>
        </w:tc>
      </w:tr>
      <w:tr w:rsidR="00656C71" w14:paraId="54E28A48"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683C266" w14:textId="77777777" w:rsidR="00656C71" w:rsidRDefault="00773C05">
            <w:r>
              <w:rPr>
                <w:b/>
              </w:rPr>
              <w:t>Other</w:t>
            </w:r>
          </w:p>
        </w:tc>
        <w:tc>
          <w:tcPr>
            <w:tcW w:w="907" w:type="dxa"/>
            <w:tcBorders>
              <w:bottom w:val="single" w:sz="6" w:space="0" w:color="auto"/>
            </w:tcBorders>
          </w:tcPr>
          <w:p w14:paraId="27C58D76"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763</w:t>
            </w:r>
          </w:p>
        </w:tc>
        <w:tc>
          <w:tcPr>
            <w:tcW w:w="907" w:type="dxa"/>
            <w:tcBorders>
              <w:bottom w:val="single" w:sz="6" w:space="0" w:color="auto"/>
            </w:tcBorders>
          </w:tcPr>
          <w:p w14:paraId="60D0A981"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807</w:t>
            </w:r>
          </w:p>
        </w:tc>
        <w:tc>
          <w:tcPr>
            <w:tcW w:w="907" w:type="dxa"/>
            <w:tcBorders>
              <w:bottom w:val="single" w:sz="6" w:space="0" w:color="auto"/>
            </w:tcBorders>
          </w:tcPr>
          <w:p w14:paraId="40039833"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(44)</w:t>
            </w:r>
          </w:p>
        </w:tc>
        <w:tc>
          <w:tcPr>
            <w:tcW w:w="907" w:type="dxa"/>
            <w:tcBorders>
              <w:bottom w:val="single" w:sz="6" w:space="0" w:color="auto"/>
            </w:tcBorders>
          </w:tcPr>
          <w:p w14:paraId="64F2AA4D"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(6)</w:t>
            </w:r>
          </w:p>
        </w:tc>
        <w:tc>
          <w:tcPr>
            <w:tcW w:w="907" w:type="dxa"/>
            <w:tcBorders>
              <w:bottom w:val="single" w:sz="6" w:space="0" w:color="auto"/>
            </w:tcBorders>
          </w:tcPr>
          <w:p w14:paraId="4C7C3AA4"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713</w:t>
            </w:r>
          </w:p>
        </w:tc>
      </w:tr>
      <w:tr w:rsidR="00656C71" w14:paraId="123A77E8"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1DFCACB" w14:textId="77777777" w:rsidR="00656C71" w:rsidRDefault="00773C05">
            <w:r>
              <w:rPr>
                <w:b/>
              </w:rPr>
              <w:t>Total taxes on the use of goods and performance of activities</w:t>
            </w:r>
          </w:p>
        </w:tc>
        <w:tc>
          <w:tcPr>
            <w:tcW w:w="907" w:type="dxa"/>
            <w:tcBorders>
              <w:top w:val="single" w:sz="6" w:space="0" w:color="auto"/>
              <w:bottom w:val="single" w:sz="6" w:space="0" w:color="auto"/>
            </w:tcBorders>
          </w:tcPr>
          <w:p w14:paraId="51739108"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4 333</w:t>
            </w:r>
          </w:p>
        </w:tc>
        <w:tc>
          <w:tcPr>
            <w:tcW w:w="907" w:type="dxa"/>
            <w:tcBorders>
              <w:top w:val="single" w:sz="6" w:space="0" w:color="auto"/>
              <w:bottom w:val="single" w:sz="6" w:space="0" w:color="auto"/>
            </w:tcBorders>
          </w:tcPr>
          <w:p w14:paraId="598FBE17"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4 404</w:t>
            </w:r>
          </w:p>
        </w:tc>
        <w:tc>
          <w:tcPr>
            <w:tcW w:w="907" w:type="dxa"/>
            <w:tcBorders>
              <w:top w:val="single" w:sz="6" w:space="0" w:color="auto"/>
              <w:bottom w:val="single" w:sz="6" w:space="0" w:color="auto"/>
            </w:tcBorders>
          </w:tcPr>
          <w:p w14:paraId="7A7C5E8E"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(71)</w:t>
            </w:r>
          </w:p>
        </w:tc>
        <w:tc>
          <w:tcPr>
            <w:tcW w:w="907" w:type="dxa"/>
            <w:tcBorders>
              <w:top w:val="single" w:sz="6" w:space="0" w:color="auto"/>
              <w:bottom w:val="single" w:sz="6" w:space="0" w:color="auto"/>
            </w:tcBorders>
          </w:tcPr>
          <w:p w14:paraId="10446480"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(2)</w:t>
            </w:r>
          </w:p>
        </w:tc>
        <w:tc>
          <w:tcPr>
            <w:tcW w:w="907" w:type="dxa"/>
            <w:tcBorders>
              <w:top w:val="single" w:sz="6" w:space="0" w:color="auto"/>
              <w:bottom w:val="single" w:sz="6" w:space="0" w:color="auto"/>
            </w:tcBorders>
          </w:tcPr>
          <w:p w14:paraId="2AD0402B"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4 225</w:t>
            </w:r>
          </w:p>
        </w:tc>
      </w:tr>
      <w:tr w:rsidR="00656C71" w14:paraId="03CBBB29" w14:textId="77777777" w:rsidTr="00656C71">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816C14A" w14:textId="77777777" w:rsidR="00656C71" w:rsidRDefault="00773C05">
            <w:r>
              <w:rPr>
                <w:b/>
              </w:rPr>
              <w:t>Total taxation</w:t>
            </w:r>
          </w:p>
        </w:tc>
        <w:tc>
          <w:tcPr>
            <w:tcW w:w="907" w:type="dxa"/>
            <w:tcBorders>
              <w:top w:val="single" w:sz="6" w:space="0" w:color="auto"/>
              <w:bottom w:val="single" w:sz="12" w:space="0" w:color="auto"/>
            </w:tcBorders>
          </w:tcPr>
          <w:p w14:paraId="4C02350F"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38 942</w:t>
            </w:r>
          </w:p>
        </w:tc>
        <w:tc>
          <w:tcPr>
            <w:tcW w:w="907" w:type="dxa"/>
            <w:tcBorders>
              <w:top w:val="single" w:sz="6" w:space="0" w:color="auto"/>
              <w:bottom w:val="single" w:sz="12" w:space="0" w:color="auto"/>
            </w:tcBorders>
          </w:tcPr>
          <w:p w14:paraId="0BBA5FFC"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39 152</w:t>
            </w:r>
          </w:p>
        </w:tc>
        <w:tc>
          <w:tcPr>
            <w:tcW w:w="907" w:type="dxa"/>
            <w:tcBorders>
              <w:top w:val="single" w:sz="6" w:space="0" w:color="auto"/>
              <w:bottom w:val="single" w:sz="12" w:space="0" w:color="auto"/>
            </w:tcBorders>
          </w:tcPr>
          <w:p w14:paraId="080110BB"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(210)</w:t>
            </w:r>
          </w:p>
        </w:tc>
        <w:tc>
          <w:tcPr>
            <w:tcW w:w="907" w:type="dxa"/>
            <w:tcBorders>
              <w:top w:val="single" w:sz="6" w:space="0" w:color="auto"/>
              <w:bottom w:val="single" w:sz="12" w:space="0" w:color="auto"/>
            </w:tcBorders>
          </w:tcPr>
          <w:p w14:paraId="2BEB82AB"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12" w:space="0" w:color="auto"/>
            </w:tcBorders>
          </w:tcPr>
          <w:p w14:paraId="05009E76" w14:textId="77777777" w:rsidR="00656C71" w:rsidRDefault="00773C05">
            <w:pPr>
              <w:cnfStyle w:val="000000000000" w:firstRow="0" w:lastRow="0" w:firstColumn="0" w:lastColumn="0" w:oddVBand="0" w:evenVBand="0" w:oddHBand="0" w:evenHBand="0" w:firstRowFirstColumn="0" w:firstRowLastColumn="0" w:lastRowFirstColumn="0" w:lastRowLastColumn="0"/>
            </w:pPr>
            <w:r>
              <w:rPr>
                <w:b/>
              </w:rPr>
              <w:t>36 876</w:t>
            </w:r>
          </w:p>
        </w:tc>
      </w:tr>
    </w:tbl>
    <w:p w14:paraId="0FA2FE30" w14:textId="668DF4CE" w:rsidR="00366656" w:rsidRPr="006C13A6" w:rsidRDefault="00366656" w:rsidP="00366656">
      <w:pPr>
        <w:pStyle w:val="Note"/>
        <w:ind w:left="0" w:firstLine="0"/>
      </w:pPr>
      <w:r w:rsidRPr="00AF0948">
        <w:t>Note:</w:t>
      </w:r>
    </w:p>
    <w:p w14:paraId="295EF105" w14:textId="77777777" w:rsidR="00C9037F" w:rsidRDefault="00366656" w:rsidP="00C9037F">
      <w:pPr>
        <w:pStyle w:val="Note"/>
      </w:pPr>
      <w:r w:rsidRPr="00A5200A">
        <w:t>(a)</w:t>
      </w:r>
      <w:r w:rsidRPr="00A5200A">
        <w:tab/>
      </w:r>
      <w:r w:rsidR="00A5200A" w:rsidRPr="00A5200A">
        <w:t>The public lotteries, electronic gaming machines, casino, racing and other sports betting and other gambling taxes balances include gambling licence revenue to 30</w:t>
      </w:r>
      <w:r w:rsidR="00A627CC">
        <w:t> </w:t>
      </w:r>
      <w:r w:rsidR="00A5200A" w:rsidRPr="00A5200A">
        <w:t>June 2025 of $172 million (30 June 2024: $202 million) recognised under AASB 15. The balance of these items is recognised under AASB 1058</w:t>
      </w:r>
      <w:r w:rsidR="00A37D7E">
        <w:t>.</w:t>
      </w:r>
      <w:r w:rsidR="00A5200A" w:rsidRPr="00A5200A">
        <w:t xml:space="preserve"> </w:t>
      </w:r>
    </w:p>
    <w:p w14:paraId="541FC567" w14:textId="77777777" w:rsidR="00C9037F" w:rsidRDefault="00C9037F" w:rsidP="00C9037F">
      <w:pPr>
        <w:pStyle w:val="Note"/>
      </w:pPr>
    </w:p>
    <w:p w14:paraId="7A870DEC" w14:textId="117D8CDD" w:rsidR="00C9037F" w:rsidRDefault="00C9037F" w:rsidP="00C9037F">
      <w:pPr>
        <w:pStyle w:val="Note"/>
        <w:sectPr w:rsidR="00C9037F" w:rsidSect="00CC1335">
          <w:type w:val="continuous"/>
          <w:pgSz w:w="11906" w:h="16838" w:code="9"/>
          <w:pgMar w:top="1134" w:right="1134" w:bottom="1134" w:left="1134" w:header="624" w:footer="567" w:gutter="0"/>
          <w:cols w:space="708"/>
          <w:docGrid w:linePitch="360"/>
        </w:sectPr>
      </w:pPr>
    </w:p>
    <w:p w14:paraId="1F644AC1" w14:textId="4657F9BE" w:rsidR="00210197" w:rsidRDefault="00210197" w:rsidP="00210197">
      <w:r>
        <w:t>Interest income</w:t>
      </w:r>
      <w:r w:rsidRPr="006C13A6">
        <w:t xml:space="preserve"> was $</w:t>
      </w:r>
      <w:r>
        <w:t xml:space="preserve">44 </w:t>
      </w:r>
      <w:r w:rsidRPr="006C13A6">
        <w:t xml:space="preserve">million </w:t>
      </w:r>
      <w:r>
        <w:t xml:space="preserve">higher </w:t>
      </w:r>
      <w:r w:rsidRPr="006C13A6">
        <w:t xml:space="preserve">than the revised budget </w:t>
      </w:r>
      <w:r>
        <w:t xml:space="preserve">and $215 million lower when </w:t>
      </w:r>
      <w:r w:rsidRPr="006C13A6">
        <w:t>compared with the previous year</w:t>
      </w:r>
      <w:r>
        <w:t xml:space="preserve">. The decrease from the prior year primarily reflects lower interest earned on the Victorian Future Fund due to the fund balance being invested fully with </w:t>
      </w:r>
      <w:r w:rsidR="00B95770">
        <w:t>the</w:t>
      </w:r>
      <w:r>
        <w:t xml:space="preserve"> Victorian Funds Management Corporation (VFMC), and a decrease </w:t>
      </w:r>
      <w:r w:rsidRPr="006154BB">
        <w:t>in funds held in the central banking system</w:t>
      </w:r>
      <w:r w:rsidRPr="0060736C">
        <w:t>.</w:t>
      </w:r>
    </w:p>
    <w:p w14:paraId="65949871" w14:textId="0AD3C75E" w:rsidR="00210197" w:rsidRPr="006C13A6" w:rsidRDefault="00210197" w:rsidP="00210197">
      <w:r w:rsidRPr="006C13A6">
        <w:t>Revenue from the sale of goods and services was $</w:t>
      </w:r>
      <w:r>
        <w:t>170 million higher</w:t>
      </w:r>
      <w:r w:rsidRPr="006C13A6">
        <w:t xml:space="preserve"> than the revised budget</w:t>
      </w:r>
      <w:r>
        <w:t xml:space="preserve"> and $681 million higher than the 2023-24 outcome, </w:t>
      </w:r>
      <w:r w:rsidRPr="006C13A6">
        <w:t xml:space="preserve">primarily due to </w:t>
      </w:r>
      <w:r>
        <w:t>higher revenue from</w:t>
      </w:r>
      <w:r w:rsidRPr="005F070A">
        <w:t xml:space="preserve"> </w:t>
      </w:r>
      <w:r>
        <w:t>hospital patient fees,</w:t>
      </w:r>
      <w:r w:rsidRPr="0022072F">
        <w:t xml:space="preserve"> </w:t>
      </w:r>
      <w:r>
        <w:t xml:space="preserve">additional land title fees resulting from increased activity, </w:t>
      </w:r>
      <w:r w:rsidRPr="00AD390F">
        <w:t>increased public transport fare revenue</w:t>
      </w:r>
      <w:r w:rsidR="00095A0C">
        <w:t xml:space="preserve">, as well as the </w:t>
      </w:r>
      <w:r w:rsidR="00095A0C" w:rsidRPr="008210D9">
        <w:t xml:space="preserve">recognition of </w:t>
      </w:r>
      <w:r w:rsidR="00655D4D" w:rsidRPr="00655D4D">
        <w:t>contractual guarantee fees</w:t>
      </w:r>
      <w:r>
        <w:t>.</w:t>
      </w:r>
    </w:p>
    <w:p w14:paraId="0A06FF43" w14:textId="6E7B72FF" w:rsidR="00014F60" w:rsidRDefault="00366656" w:rsidP="00014F60">
      <w:pPr>
        <w:ind w:right="83"/>
      </w:pPr>
      <w:r w:rsidRPr="006C13A6">
        <w:lastRenderedPageBreak/>
        <w:t xml:space="preserve">Grants </w:t>
      </w:r>
      <w:r>
        <w:t xml:space="preserve">revenue </w:t>
      </w:r>
      <w:r w:rsidRPr="006C13A6">
        <w:t>of $4</w:t>
      </w:r>
      <w:r w:rsidR="00241BC9">
        <w:t>7</w:t>
      </w:r>
      <w:r w:rsidRPr="006C13A6">
        <w:t>.</w:t>
      </w:r>
      <w:r w:rsidR="00241BC9">
        <w:t>3</w:t>
      </w:r>
      <w:r w:rsidRPr="006C13A6">
        <w:t> billion w</w:t>
      </w:r>
      <w:r>
        <w:t>as</w:t>
      </w:r>
      <w:r w:rsidRPr="006C13A6">
        <w:t xml:space="preserve"> $</w:t>
      </w:r>
      <w:r w:rsidR="00F17B8B">
        <w:t>5</w:t>
      </w:r>
      <w:r>
        <w:t>.</w:t>
      </w:r>
      <w:r w:rsidR="00F17B8B">
        <w:t>5</w:t>
      </w:r>
      <w:r>
        <w:t xml:space="preserve"> b</w:t>
      </w:r>
      <w:r w:rsidRPr="006C13A6">
        <w:t xml:space="preserve">illion </w:t>
      </w:r>
      <w:r>
        <w:t>higher than</w:t>
      </w:r>
      <w:r w:rsidRPr="006C13A6">
        <w:t xml:space="preserve"> 202</w:t>
      </w:r>
      <w:r w:rsidR="00F17B8B">
        <w:t>3</w:t>
      </w:r>
      <w:r w:rsidRPr="006C13A6">
        <w:noBreakHyphen/>
        <w:t>2</w:t>
      </w:r>
      <w:r w:rsidR="00F17B8B">
        <w:t>4</w:t>
      </w:r>
      <w:r w:rsidRPr="006C13A6">
        <w:t xml:space="preserve">. The </w:t>
      </w:r>
      <w:r>
        <w:t>significant</w:t>
      </w:r>
      <w:r w:rsidRPr="006C13A6">
        <w:t xml:space="preserve"> </w:t>
      </w:r>
      <w:r>
        <w:t>increase</w:t>
      </w:r>
      <w:r w:rsidRPr="006C13A6">
        <w:t xml:space="preserve"> </w:t>
      </w:r>
      <w:r>
        <w:t>is due to</w:t>
      </w:r>
      <w:r w:rsidRPr="006C13A6">
        <w:t xml:space="preserve"> a</w:t>
      </w:r>
      <w:r>
        <w:t>n</w:t>
      </w:r>
      <w:r w:rsidRPr="006C13A6">
        <w:t xml:space="preserve"> </w:t>
      </w:r>
      <w:r>
        <w:t>increase</w:t>
      </w:r>
      <w:r w:rsidRPr="006C13A6">
        <w:t xml:space="preserve"> in</w:t>
      </w:r>
      <w:r>
        <w:t xml:space="preserve"> </w:t>
      </w:r>
      <w:r w:rsidRPr="006C13A6">
        <w:t xml:space="preserve">GST revenue </w:t>
      </w:r>
      <w:r>
        <w:t xml:space="preserve">driven by </w:t>
      </w:r>
      <w:r w:rsidRPr="00D94912">
        <w:t>the annual growth in the national GST pool</w:t>
      </w:r>
      <w:r w:rsidR="00C81B39">
        <w:t>,</w:t>
      </w:r>
      <w:r w:rsidRPr="00D94912">
        <w:t xml:space="preserve"> an</w:t>
      </w:r>
      <w:r w:rsidR="001649D7" w:rsidRPr="00D94912">
        <w:t xml:space="preserve"> increase in Victoria</w:t>
      </w:r>
      <w:r w:rsidR="00845934">
        <w:t>’</w:t>
      </w:r>
      <w:r w:rsidR="001649D7" w:rsidRPr="00D94912">
        <w:t>s GST relativity</w:t>
      </w:r>
      <w:r w:rsidR="00C81B39">
        <w:t xml:space="preserve"> and population share growth in Victoria</w:t>
      </w:r>
      <w:r w:rsidR="00014F60" w:rsidRPr="00D94912">
        <w:t>.</w:t>
      </w:r>
      <w:r w:rsidR="00014F60">
        <w:t xml:space="preserve"> Also driving the increase was </w:t>
      </w:r>
      <w:r w:rsidR="00521B3C">
        <w:t xml:space="preserve">higher grants from the Commonwealth relating to Energy Bill Relief Payments that the </w:t>
      </w:r>
      <w:r w:rsidR="002716D5">
        <w:t>S</w:t>
      </w:r>
      <w:r w:rsidR="00521B3C">
        <w:t>tate passes on to eligible households and businesses</w:t>
      </w:r>
      <w:r w:rsidR="00521B3C">
        <w:rPr>
          <w:rFonts w:hint="eastAsia"/>
          <w:lang w:eastAsia="zh-CN"/>
        </w:rPr>
        <w:t xml:space="preserve">, and </w:t>
      </w:r>
      <w:r w:rsidR="001D53F9">
        <w:t xml:space="preserve">an increase in Commonwealth funding relating to </w:t>
      </w:r>
      <w:r w:rsidR="00AB5AC3">
        <w:t xml:space="preserve">the </w:t>
      </w:r>
      <w:r w:rsidR="001D53F9">
        <w:t xml:space="preserve">National Health Reform </w:t>
      </w:r>
      <w:r w:rsidR="00027AB8">
        <w:t xml:space="preserve">Agreement </w:t>
      </w:r>
      <w:r w:rsidR="001D53F9">
        <w:t>and the Pharmaceutical Benefit Scheme</w:t>
      </w:r>
      <w:r w:rsidR="00521B3C">
        <w:rPr>
          <w:rFonts w:hint="eastAsia"/>
          <w:lang w:eastAsia="zh-CN"/>
        </w:rPr>
        <w:t xml:space="preserve">. </w:t>
      </w:r>
      <w:r w:rsidR="00014F60">
        <w:t>There was also an increase</w:t>
      </w:r>
      <w:r w:rsidR="001D53F9">
        <w:rPr>
          <w:rFonts w:hint="eastAsia"/>
          <w:lang w:eastAsia="zh-CN"/>
        </w:rPr>
        <w:t xml:space="preserve"> </w:t>
      </w:r>
      <w:r w:rsidR="00014F60">
        <w:t xml:space="preserve">in </w:t>
      </w:r>
      <w:r w:rsidR="00BF7822">
        <w:rPr>
          <w:rFonts w:hint="eastAsia"/>
          <w:lang w:eastAsia="zh-CN"/>
        </w:rPr>
        <w:t xml:space="preserve">Commonwealth </w:t>
      </w:r>
      <w:r w:rsidR="00014F60">
        <w:t xml:space="preserve">grants </w:t>
      </w:r>
      <w:r w:rsidR="000D666F">
        <w:rPr>
          <w:lang w:eastAsia="zh-CN"/>
        </w:rPr>
        <w:t xml:space="preserve">to the education sector, </w:t>
      </w:r>
      <w:r w:rsidR="0025516B">
        <w:rPr>
          <w:lang w:eastAsia="zh-CN"/>
        </w:rPr>
        <w:t xml:space="preserve">primarily </w:t>
      </w:r>
      <w:r w:rsidR="000D666F">
        <w:rPr>
          <w:lang w:eastAsia="zh-CN"/>
        </w:rPr>
        <w:t xml:space="preserve">reflecting higher grants to </w:t>
      </w:r>
      <w:r w:rsidR="00432461">
        <w:rPr>
          <w:lang w:eastAsia="zh-CN"/>
        </w:rPr>
        <w:t xml:space="preserve">schools in line with </w:t>
      </w:r>
      <w:r w:rsidR="00246A13">
        <w:rPr>
          <w:lang w:eastAsia="zh-CN"/>
        </w:rPr>
        <w:t xml:space="preserve">the increased volume of activities, </w:t>
      </w:r>
      <w:r w:rsidR="00F96241">
        <w:rPr>
          <w:lang w:eastAsia="zh-CN"/>
        </w:rPr>
        <w:t xml:space="preserve">as well as </w:t>
      </w:r>
      <w:r w:rsidR="00B24C7E">
        <w:rPr>
          <w:lang w:eastAsia="zh-CN"/>
        </w:rPr>
        <w:t>the receipt</w:t>
      </w:r>
      <w:r w:rsidR="00432461">
        <w:rPr>
          <w:lang w:eastAsia="zh-CN"/>
        </w:rPr>
        <w:t xml:space="preserve"> of </w:t>
      </w:r>
      <w:r w:rsidR="00AA063F">
        <w:rPr>
          <w:lang w:eastAsia="zh-CN"/>
        </w:rPr>
        <w:t xml:space="preserve">the </w:t>
      </w:r>
      <w:r w:rsidR="00432461">
        <w:rPr>
          <w:lang w:eastAsia="zh-CN"/>
        </w:rPr>
        <w:t>delayed</w:t>
      </w:r>
      <w:r w:rsidR="00975A4D" w:rsidRPr="00975A4D">
        <w:rPr>
          <w:lang w:eastAsia="zh-CN"/>
        </w:rPr>
        <w:t xml:space="preserve"> </w:t>
      </w:r>
      <w:r w:rsidR="00E937DF">
        <w:rPr>
          <w:lang w:eastAsia="zh-CN"/>
        </w:rPr>
        <w:t xml:space="preserve">2023-24 </w:t>
      </w:r>
      <w:r w:rsidR="00975A4D" w:rsidRPr="00975A4D">
        <w:rPr>
          <w:lang w:eastAsia="zh-CN"/>
        </w:rPr>
        <w:t xml:space="preserve">payment </w:t>
      </w:r>
      <w:r w:rsidR="003023A4">
        <w:rPr>
          <w:lang w:eastAsia="zh-CN"/>
        </w:rPr>
        <w:t xml:space="preserve">from the Commonwealth </w:t>
      </w:r>
      <w:r w:rsidR="00975A4D" w:rsidRPr="00975A4D">
        <w:rPr>
          <w:lang w:eastAsia="zh-CN"/>
        </w:rPr>
        <w:t>for the Preschool Reform Agreement</w:t>
      </w:r>
      <w:r w:rsidR="00D21F3B">
        <w:t xml:space="preserve"> in 2024-25.</w:t>
      </w:r>
    </w:p>
    <w:p w14:paraId="02D578B6" w14:textId="0455A723" w:rsidR="00366656" w:rsidRPr="006C13A6" w:rsidRDefault="00366656" w:rsidP="00366656">
      <w:r w:rsidRPr="00F918A6">
        <w:t>Grants were $</w:t>
      </w:r>
      <w:r w:rsidR="00F17B8B">
        <w:t>4</w:t>
      </w:r>
      <w:r w:rsidR="00A05A95">
        <w:t>47</w:t>
      </w:r>
      <w:r w:rsidRPr="00F918A6">
        <w:t xml:space="preserve"> million higher than the revised budget. The increase is primarily due to the Commonwealth</w:t>
      </w:r>
      <w:r w:rsidR="00845934">
        <w:t>’</w:t>
      </w:r>
      <w:r w:rsidRPr="00F918A6">
        <w:t xml:space="preserve">s decision to </w:t>
      </w:r>
      <w:r w:rsidRPr="00D94912">
        <w:t>bring forward the payment of some of the 202</w:t>
      </w:r>
      <w:r w:rsidR="00D47AE4" w:rsidRPr="00D94912">
        <w:t>5</w:t>
      </w:r>
      <w:r w:rsidRPr="00D94912">
        <w:noBreakHyphen/>
        <w:t>2</w:t>
      </w:r>
      <w:r w:rsidR="00D47AE4" w:rsidRPr="00D94912">
        <w:t>6</w:t>
      </w:r>
      <w:r w:rsidRPr="00D94912">
        <w:t xml:space="preserve"> local government grants to 202</w:t>
      </w:r>
      <w:r w:rsidR="00D47AE4" w:rsidRPr="00D94912">
        <w:t>4</w:t>
      </w:r>
      <w:r w:rsidRPr="00D94912">
        <w:noBreakHyphen/>
        <w:t>2</w:t>
      </w:r>
      <w:r w:rsidR="00D47AE4">
        <w:t>5</w:t>
      </w:r>
      <w:r w:rsidRPr="00F918A6">
        <w:t xml:space="preserve"> as well as the receipt of the Commonwealth grant for</w:t>
      </w:r>
      <w:r w:rsidR="00241642">
        <w:t xml:space="preserve"> Disaster Recovery </w:t>
      </w:r>
      <w:r w:rsidR="00A275C9">
        <w:t>Arrangements.</w:t>
      </w:r>
      <w:r>
        <w:t xml:space="preserve"> This was partially offset by </w:t>
      </w:r>
      <w:r w:rsidDel="006A42CE">
        <w:t>lower</w:t>
      </w:r>
      <w:r w:rsidR="006A42CE">
        <w:t>-than-expected</w:t>
      </w:r>
      <w:r>
        <w:t xml:space="preserve"> grants </w:t>
      </w:r>
      <w:r w:rsidR="00EE74EF">
        <w:t xml:space="preserve">from </w:t>
      </w:r>
      <w:r w:rsidR="004016C8">
        <w:t xml:space="preserve">other </w:t>
      </w:r>
      <w:r w:rsidR="004016C8" w:rsidRPr="004016C8">
        <w:t>states</w:t>
      </w:r>
      <w:r w:rsidR="00EE74EF">
        <w:t xml:space="preserve"> and </w:t>
      </w:r>
      <w:r w:rsidR="004016C8" w:rsidRPr="004016C8">
        <w:t>territories</w:t>
      </w:r>
      <w:r w:rsidR="009F303C" w:rsidRPr="009F303C">
        <w:t xml:space="preserve"> for the health treatment of residents of other jurisdictions in Victoria</w:t>
      </w:r>
      <w:r w:rsidRPr="004016C8">
        <w:t>.</w:t>
      </w:r>
      <w:r>
        <w:t xml:space="preserve"> </w:t>
      </w:r>
    </w:p>
    <w:p w14:paraId="363A160D" w14:textId="165C7EDC" w:rsidR="0081630A" w:rsidRDefault="0081630A" w:rsidP="00366656">
      <w:pPr>
        <w:spacing w:before="80"/>
        <w:ind w:right="-29"/>
      </w:pPr>
      <w:r w:rsidRPr="0081630A">
        <w:t>Other revenue and income for 202</w:t>
      </w:r>
      <w:r>
        <w:t>4</w:t>
      </w:r>
      <w:r w:rsidRPr="0081630A">
        <w:t>-2</w:t>
      </w:r>
      <w:r>
        <w:t>5</w:t>
      </w:r>
      <w:r w:rsidRPr="0081630A">
        <w:t xml:space="preserve"> was $</w:t>
      </w:r>
      <w:r w:rsidR="0003390F">
        <w:t>202</w:t>
      </w:r>
      <w:r w:rsidR="00273CA6">
        <w:t> </w:t>
      </w:r>
      <w:r w:rsidRPr="0081630A">
        <w:t>million higher than the 202</w:t>
      </w:r>
      <w:r w:rsidR="00580089">
        <w:t>3</w:t>
      </w:r>
      <w:r w:rsidRPr="0081630A">
        <w:t>-2</w:t>
      </w:r>
      <w:r w:rsidR="00580089">
        <w:t>4</w:t>
      </w:r>
      <w:r w:rsidRPr="0081630A">
        <w:t xml:space="preserve"> outcome and $</w:t>
      </w:r>
      <w:r w:rsidR="0003390F">
        <w:t>354</w:t>
      </w:r>
      <w:r w:rsidRPr="0081630A">
        <w:t xml:space="preserve"> million higher than the revised budget, primarily driven by the</w:t>
      </w:r>
      <w:r w:rsidR="00D666BB">
        <w:t xml:space="preserve"> </w:t>
      </w:r>
      <w:r w:rsidR="00D666BB" w:rsidRPr="0081630A">
        <w:t xml:space="preserve">revenue associated with the </w:t>
      </w:r>
      <w:r w:rsidR="00D666BB" w:rsidRPr="00D666BB">
        <w:rPr>
          <w:i/>
          <w:iCs/>
        </w:rPr>
        <w:t>Unclaimed Money Act 2008</w:t>
      </w:r>
      <w:r w:rsidRPr="0081630A">
        <w:t xml:space="preserve">. The higher than expected </w:t>
      </w:r>
      <w:r w:rsidR="00753AEA">
        <w:t>donation</w:t>
      </w:r>
      <w:r w:rsidR="006467EB">
        <w:t>s</w:t>
      </w:r>
      <w:r w:rsidRPr="0081630A">
        <w:t xml:space="preserve"> in the health</w:t>
      </w:r>
      <w:r w:rsidR="00413E52">
        <w:t xml:space="preserve"> sector</w:t>
      </w:r>
      <w:r w:rsidRPr="0081630A">
        <w:t xml:space="preserve"> </w:t>
      </w:r>
      <w:r w:rsidR="002A73BD">
        <w:t xml:space="preserve">and </w:t>
      </w:r>
      <w:r w:rsidR="00413E52">
        <w:t>creative agencies</w:t>
      </w:r>
      <w:r w:rsidR="002A73BD">
        <w:t xml:space="preserve"> </w:t>
      </w:r>
      <w:r w:rsidRPr="0081630A">
        <w:t>have also contributed to the increase from the revised budget.</w:t>
      </w:r>
    </w:p>
    <w:p w14:paraId="25722C84" w14:textId="77777777" w:rsidR="00366656" w:rsidRPr="006C13A6" w:rsidRDefault="00366656" w:rsidP="00366656">
      <w:pPr>
        <w:pStyle w:val="Heading2"/>
      </w:pPr>
      <w:r w:rsidRPr="006C13A6">
        <w:t>Expenses</w:t>
      </w:r>
      <w:r>
        <w:t xml:space="preserve"> </w:t>
      </w:r>
    </w:p>
    <w:p w14:paraId="2EF4848B" w14:textId="1FE1A533" w:rsidR="001E4CAF" w:rsidRPr="00A47CD8" w:rsidRDefault="00366656" w:rsidP="001E4CAF">
      <w:pPr>
        <w:spacing w:before="80"/>
        <w:ind w:right="-71"/>
      </w:pPr>
      <w:r w:rsidRPr="004724A5">
        <w:t xml:space="preserve">Total general government sector expenses </w:t>
      </w:r>
      <w:r>
        <w:t>increased</w:t>
      </w:r>
      <w:r w:rsidRPr="004724A5">
        <w:t xml:space="preserve"> to $</w:t>
      </w:r>
      <w:r w:rsidR="007447BD">
        <w:t>104</w:t>
      </w:r>
      <w:r w:rsidRPr="004724A5">
        <w:t xml:space="preserve"> billion in </w:t>
      </w:r>
      <w:r>
        <w:t>202</w:t>
      </w:r>
      <w:r w:rsidR="007447BD">
        <w:t>4</w:t>
      </w:r>
      <w:r w:rsidRPr="004724A5">
        <w:noBreakHyphen/>
        <w:t>2</w:t>
      </w:r>
      <w:r w:rsidR="007447BD">
        <w:t>5</w:t>
      </w:r>
      <w:r w:rsidRPr="004724A5">
        <w:t xml:space="preserve">, </w:t>
      </w:r>
      <w:r>
        <w:t>an increase</w:t>
      </w:r>
      <w:r w:rsidRPr="004724A5">
        <w:t xml:space="preserve"> of $</w:t>
      </w:r>
      <w:r w:rsidR="007447BD">
        <w:t>6</w:t>
      </w:r>
      <w:r w:rsidRPr="004724A5">
        <w:t>.</w:t>
      </w:r>
      <w:r w:rsidR="00A84135">
        <w:t>7</w:t>
      </w:r>
      <w:r w:rsidRPr="004724A5">
        <w:t> billion (</w:t>
      </w:r>
      <w:r w:rsidR="00895630">
        <w:t>6.9</w:t>
      </w:r>
      <w:r w:rsidR="00E77399">
        <w:t> </w:t>
      </w:r>
      <w:r w:rsidRPr="004724A5">
        <w:t xml:space="preserve">per cent) compared with the previous year. Total expenses were </w:t>
      </w:r>
      <w:r w:rsidR="0021560E">
        <w:t>consistent with</w:t>
      </w:r>
      <w:r w:rsidRPr="004724A5">
        <w:t xml:space="preserve"> the revised estimate in the </w:t>
      </w:r>
      <w:r>
        <w:rPr>
          <w:i/>
        </w:rPr>
        <w:t>202</w:t>
      </w:r>
      <w:r w:rsidR="00DA23D9">
        <w:rPr>
          <w:i/>
        </w:rPr>
        <w:t>5</w:t>
      </w:r>
      <w:r w:rsidRPr="006D2BB3">
        <w:rPr>
          <w:i/>
        </w:rPr>
        <w:noBreakHyphen/>
        <w:t>2</w:t>
      </w:r>
      <w:r w:rsidR="00DA23D9">
        <w:rPr>
          <w:i/>
        </w:rPr>
        <w:t>6</w:t>
      </w:r>
      <w:r w:rsidRPr="006D2BB3">
        <w:rPr>
          <w:i/>
        </w:rPr>
        <w:t xml:space="preserve"> Budget</w:t>
      </w:r>
      <w:r w:rsidRPr="004724A5">
        <w:t xml:space="preserve">. </w:t>
      </w:r>
      <w:r w:rsidRPr="00910B6D">
        <w:t xml:space="preserve">The increase in total expenses compared with the previous year </w:t>
      </w:r>
      <w:r w:rsidR="001E4CAF" w:rsidRPr="00910B6D">
        <w:t>is primarily due to higher employee expenses, interest expense and other operating expenses.</w:t>
      </w:r>
      <w:r w:rsidR="001E4CAF" w:rsidRPr="00A47CD8">
        <w:t xml:space="preserve"> </w:t>
      </w:r>
    </w:p>
    <w:p w14:paraId="51DB9420" w14:textId="21BAA69A" w:rsidR="00366656" w:rsidRPr="004724A5" w:rsidRDefault="00366656" w:rsidP="00366656">
      <w:pPr>
        <w:spacing w:before="80"/>
      </w:pPr>
      <w:r w:rsidRPr="004724A5">
        <w:t>Employee expenses of $3</w:t>
      </w:r>
      <w:r w:rsidR="008A16DD">
        <w:t>8.5</w:t>
      </w:r>
      <w:r w:rsidRPr="004724A5">
        <w:t xml:space="preserve"> billion for </w:t>
      </w:r>
      <w:r>
        <w:t>202</w:t>
      </w:r>
      <w:r w:rsidR="008A16DD">
        <w:t>4</w:t>
      </w:r>
      <w:r w:rsidRPr="004724A5">
        <w:noBreakHyphen/>
        <w:t>2</w:t>
      </w:r>
      <w:r w:rsidR="008A16DD">
        <w:t>5</w:t>
      </w:r>
      <w:r w:rsidRPr="004724A5">
        <w:t xml:space="preserve"> were $</w:t>
      </w:r>
      <w:r w:rsidR="00F86613">
        <w:t>5</w:t>
      </w:r>
      <w:r w:rsidR="00291633">
        <w:t>40</w:t>
      </w:r>
      <w:r w:rsidRPr="004724A5">
        <w:t> million (</w:t>
      </w:r>
      <w:r>
        <w:t>1</w:t>
      </w:r>
      <w:r w:rsidRPr="004724A5">
        <w:t>.</w:t>
      </w:r>
      <w:r w:rsidR="00F86613">
        <w:t>4</w:t>
      </w:r>
      <w:r w:rsidRPr="004724A5">
        <w:t xml:space="preserve"> per cent) </w:t>
      </w:r>
      <w:r>
        <w:t>higher</w:t>
      </w:r>
      <w:r w:rsidRPr="004724A5">
        <w:t xml:space="preserve"> than the revised budget and $</w:t>
      </w:r>
      <w:r>
        <w:t>2</w:t>
      </w:r>
      <w:r w:rsidRPr="004724A5">
        <w:t>.</w:t>
      </w:r>
      <w:r w:rsidR="00F86613">
        <w:t>5</w:t>
      </w:r>
      <w:r w:rsidRPr="004724A5">
        <w:t> billion (</w:t>
      </w:r>
      <w:r w:rsidR="0086126E">
        <w:t>6</w:t>
      </w:r>
      <w:r w:rsidRPr="004724A5">
        <w:t>.</w:t>
      </w:r>
      <w:r w:rsidR="0086126E">
        <w:t>9</w:t>
      </w:r>
      <w:r w:rsidRPr="004724A5">
        <w:t> per cent) higher than 202</w:t>
      </w:r>
      <w:r w:rsidR="0086126E">
        <w:t>3</w:t>
      </w:r>
      <w:r w:rsidRPr="004724A5">
        <w:noBreakHyphen/>
        <w:t>2</w:t>
      </w:r>
      <w:r w:rsidR="0086126E">
        <w:t>4</w:t>
      </w:r>
      <w:r w:rsidRPr="004724A5">
        <w:t xml:space="preserve">. Compared with the previous year, this increase </w:t>
      </w:r>
      <w:r>
        <w:t xml:space="preserve">is mainly due to </w:t>
      </w:r>
      <w:r w:rsidRPr="0029271D">
        <w:t>increased spending on service delivery in the health</w:t>
      </w:r>
      <w:r w:rsidR="00222058">
        <w:t xml:space="preserve">, </w:t>
      </w:r>
      <w:r w:rsidRPr="0029271D">
        <w:t xml:space="preserve">education </w:t>
      </w:r>
      <w:r w:rsidR="00222058">
        <w:t xml:space="preserve">and justice </w:t>
      </w:r>
      <w:r w:rsidRPr="0029271D">
        <w:t>sectors</w:t>
      </w:r>
      <w:r w:rsidRPr="0029271D">
        <w:rPr>
          <w:color w:val="000000" w:themeColor="text1"/>
        </w:rPr>
        <w:t xml:space="preserve">. </w:t>
      </w:r>
      <w:r w:rsidRPr="0090349D">
        <w:t>The increase in employee expenses also reflects increases in remuneration levels in line with enterprise bargaining agreements</w:t>
      </w:r>
      <w:r>
        <w:t>.</w:t>
      </w:r>
    </w:p>
    <w:p w14:paraId="6FCE77D9" w14:textId="051E7F1A" w:rsidR="00366656" w:rsidRDefault="00366656" w:rsidP="00366656">
      <w:pPr>
        <w:spacing w:before="80"/>
      </w:pPr>
      <w:r>
        <w:t>The higher employee expenses for 202</w:t>
      </w:r>
      <w:r w:rsidR="00D83C7F">
        <w:t>4</w:t>
      </w:r>
      <w:r>
        <w:rPr>
          <w:rFonts w:ascii="Times New Roman" w:hAnsi="Times New Roman"/>
        </w:rPr>
        <w:t>-</w:t>
      </w:r>
      <w:r>
        <w:t>2</w:t>
      </w:r>
      <w:r w:rsidR="00D83C7F">
        <w:t>5</w:t>
      </w:r>
      <w:r>
        <w:t xml:space="preserve"> compared with the revised budget were </w:t>
      </w:r>
      <w:r w:rsidR="003C4269">
        <w:t>partly</w:t>
      </w:r>
      <w:r>
        <w:t xml:space="preserve"> due to</w:t>
      </w:r>
      <w:r w:rsidR="009433AC">
        <w:t xml:space="preserve"> </w:t>
      </w:r>
      <w:r>
        <w:t xml:space="preserve">higher expenditure in the education sector </w:t>
      </w:r>
      <w:r w:rsidR="00260717">
        <w:t xml:space="preserve">reflecting </w:t>
      </w:r>
      <w:r w:rsidR="00541F04">
        <w:t xml:space="preserve">an </w:t>
      </w:r>
      <w:r w:rsidR="00260717" w:rsidRPr="00260717">
        <w:t>increase in school teachers and support staff employed</w:t>
      </w:r>
      <w:r>
        <w:t xml:space="preserve"> to</w:t>
      </w:r>
      <w:r w:rsidR="009433AC">
        <w:t xml:space="preserve"> </w:t>
      </w:r>
      <w:r w:rsidR="00260717" w:rsidRPr="00260717">
        <w:t xml:space="preserve">meet demand in </w:t>
      </w:r>
      <w:r>
        <w:t>schools.</w:t>
      </w:r>
      <w:r w:rsidR="00670F0B">
        <w:t xml:space="preserve"> </w:t>
      </w:r>
    </w:p>
    <w:p w14:paraId="5ED8B312" w14:textId="5C5A9A25" w:rsidR="00366656" w:rsidRPr="004724A5" w:rsidRDefault="00366656" w:rsidP="00366656">
      <w:pPr>
        <w:spacing w:before="80"/>
      </w:pPr>
      <w:r w:rsidRPr="004724A5">
        <w:t>Other superannuation expenses of $</w:t>
      </w:r>
      <w:r>
        <w:t>4.</w:t>
      </w:r>
      <w:r w:rsidR="00A304BC">
        <w:t>5</w:t>
      </w:r>
      <w:r>
        <w:t xml:space="preserve"> </w:t>
      </w:r>
      <w:r w:rsidRPr="004724A5">
        <w:t xml:space="preserve">billion for </w:t>
      </w:r>
      <w:r>
        <w:t>202</w:t>
      </w:r>
      <w:r w:rsidR="00A304BC">
        <w:t>4</w:t>
      </w:r>
      <w:r w:rsidRPr="004724A5">
        <w:noBreakHyphen/>
        <w:t>2</w:t>
      </w:r>
      <w:r w:rsidR="00A304BC">
        <w:t>5</w:t>
      </w:r>
      <w:r w:rsidRPr="004724A5">
        <w:t xml:space="preserve"> were $</w:t>
      </w:r>
      <w:r w:rsidR="0084496D">
        <w:t>8</w:t>
      </w:r>
      <w:r w:rsidR="00E86E02">
        <w:t>2</w:t>
      </w:r>
      <w:r w:rsidR="0084496D">
        <w:t xml:space="preserve"> </w:t>
      </w:r>
      <w:r w:rsidRPr="004724A5">
        <w:t>million higher than the revised budget and $</w:t>
      </w:r>
      <w:r w:rsidR="0084496D">
        <w:t>46</w:t>
      </w:r>
      <w:r w:rsidR="00FE7CD4">
        <w:t>2</w:t>
      </w:r>
      <w:r w:rsidRPr="004724A5">
        <w:t xml:space="preserve"> million </w:t>
      </w:r>
      <w:r>
        <w:t>higher</w:t>
      </w:r>
      <w:r w:rsidRPr="004724A5">
        <w:t xml:space="preserve"> than in 202</w:t>
      </w:r>
      <w:r w:rsidR="0084496D">
        <w:t>3</w:t>
      </w:r>
      <w:r w:rsidRPr="004724A5">
        <w:noBreakHyphen/>
        <w:t>2</w:t>
      </w:r>
      <w:r w:rsidR="0084496D">
        <w:t>4</w:t>
      </w:r>
      <w:r w:rsidRPr="004724A5">
        <w:t>. The</w:t>
      </w:r>
      <w:r>
        <w:t> increase</w:t>
      </w:r>
      <w:r w:rsidRPr="004724A5">
        <w:t xml:space="preserve"> compared with the previous year is primarily due to </w:t>
      </w:r>
      <w:r>
        <w:t xml:space="preserve">higher employer contributions to the defined contribution plans in the education sector </w:t>
      </w:r>
      <w:r w:rsidRPr="00F615B0">
        <w:t xml:space="preserve">reflecting an increase in employee expenses, as explained above, </w:t>
      </w:r>
      <w:r w:rsidRPr="001525CA">
        <w:t>along with an increase in the compulsory superannuation guarantee contribution rate from 1 July 202</w:t>
      </w:r>
      <w:r w:rsidR="006F51C3" w:rsidRPr="001525CA">
        <w:t>4</w:t>
      </w:r>
      <w:r w:rsidRPr="001525CA">
        <w:t>.</w:t>
      </w:r>
      <w:r>
        <w:t xml:space="preserve"> </w:t>
      </w:r>
    </w:p>
    <w:p w14:paraId="3A5AA177" w14:textId="648C7F8B" w:rsidR="00366656" w:rsidRPr="004724A5" w:rsidRDefault="00366656" w:rsidP="00366656">
      <w:pPr>
        <w:spacing w:before="80"/>
      </w:pPr>
      <w:r w:rsidRPr="004724A5">
        <w:t>Depreciation expense increased by $</w:t>
      </w:r>
      <w:r w:rsidR="00A9794E">
        <w:t>495</w:t>
      </w:r>
      <w:r w:rsidRPr="004724A5">
        <w:t> million from the previous year to $</w:t>
      </w:r>
      <w:r>
        <w:t>5</w:t>
      </w:r>
      <w:r w:rsidR="00A9794E">
        <w:t>.5</w:t>
      </w:r>
      <w:r w:rsidRPr="004724A5">
        <w:t xml:space="preserve"> billion. This increase was primarily due </w:t>
      </w:r>
      <w:r>
        <w:t>to</w:t>
      </w:r>
      <w:r w:rsidRPr="00EC5D37">
        <w:t xml:space="preserve"> </w:t>
      </w:r>
      <w:r w:rsidRPr="007773F5">
        <w:t xml:space="preserve">increased depreciation in the </w:t>
      </w:r>
      <w:r>
        <w:t xml:space="preserve">health </w:t>
      </w:r>
      <w:r w:rsidRPr="007773F5">
        <w:t xml:space="preserve">sector due to </w:t>
      </w:r>
      <w:r w:rsidRPr="00635D9C">
        <w:t>the impact of asset revaluations</w:t>
      </w:r>
      <w:r>
        <w:t xml:space="preserve"> in June 202</w:t>
      </w:r>
      <w:r w:rsidR="00927ACF">
        <w:t>4</w:t>
      </w:r>
      <w:r w:rsidRPr="00635D9C">
        <w:t xml:space="preserve"> on the</w:t>
      </w:r>
      <w:r>
        <w:t xml:space="preserve"> 202</w:t>
      </w:r>
      <w:r w:rsidR="00927ACF">
        <w:t>4</w:t>
      </w:r>
      <w:r>
        <w:t>-2</w:t>
      </w:r>
      <w:r w:rsidR="00927ACF">
        <w:t>5</w:t>
      </w:r>
      <w:r w:rsidRPr="00635D9C">
        <w:t xml:space="preserve"> depreciation expense.</w:t>
      </w:r>
    </w:p>
    <w:p w14:paraId="41F12999" w14:textId="593539C5" w:rsidR="00366656" w:rsidRPr="004724A5" w:rsidRDefault="00366656" w:rsidP="00D52D5B">
      <w:pPr>
        <w:spacing w:before="80"/>
      </w:pPr>
      <w:r w:rsidRPr="004724A5">
        <w:t>Interest expense of $</w:t>
      </w:r>
      <w:r w:rsidR="00F97918">
        <w:t>6</w:t>
      </w:r>
      <w:r>
        <w:t>.</w:t>
      </w:r>
      <w:r w:rsidR="00F97918">
        <w:t>8</w:t>
      </w:r>
      <w:r>
        <w:t xml:space="preserve"> </w:t>
      </w:r>
      <w:r w:rsidRPr="004724A5">
        <w:t xml:space="preserve">billion for </w:t>
      </w:r>
      <w:r>
        <w:t>202</w:t>
      </w:r>
      <w:r w:rsidR="00F97918">
        <w:t>4</w:t>
      </w:r>
      <w:r w:rsidRPr="004724A5">
        <w:noBreakHyphen/>
        <w:t>2</w:t>
      </w:r>
      <w:r w:rsidR="00F97918">
        <w:t>5</w:t>
      </w:r>
      <w:r w:rsidRPr="004724A5">
        <w:t xml:space="preserve"> w</w:t>
      </w:r>
      <w:r>
        <w:t>as</w:t>
      </w:r>
      <w:r w:rsidRPr="004724A5">
        <w:t xml:space="preserve"> </w:t>
      </w:r>
      <w:r>
        <w:t>$</w:t>
      </w:r>
      <w:r w:rsidR="00AA5660">
        <w:t>3</w:t>
      </w:r>
      <w:r>
        <w:t xml:space="preserve">7 million lower than </w:t>
      </w:r>
      <w:r w:rsidRPr="004724A5">
        <w:t>the revised budget.</w:t>
      </w:r>
      <w:r>
        <w:t xml:space="preserve"> </w:t>
      </w:r>
      <w:r w:rsidRPr="004724A5">
        <w:t>Compared with the previous year, interest expense increased by $</w:t>
      </w:r>
      <w:r>
        <w:t>1.</w:t>
      </w:r>
      <w:r w:rsidR="000F0176">
        <w:t>1</w:t>
      </w:r>
      <w:r>
        <w:t xml:space="preserve"> b</w:t>
      </w:r>
      <w:r w:rsidRPr="004724A5">
        <w:t>illion</w:t>
      </w:r>
      <w:r>
        <w:t xml:space="preserve">, </w:t>
      </w:r>
      <w:r w:rsidRPr="00BC1BFB">
        <w:t>reflecting additional borrowings to finance the State</w:t>
      </w:r>
      <w:r w:rsidR="00845934">
        <w:t>’</w:t>
      </w:r>
      <w:r w:rsidRPr="00BC1BFB">
        <w:t xml:space="preserve">s capital program and an increase in the interest rates on </w:t>
      </w:r>
      <w:r w:rsidR="00D52D5B">
        <w:t>new and refinanced borrowings</w:t>
      </w:r>
      <w:r w:rsidRPr="00BC1BFB">
        <w:t>.</w:t>
      </w:r>
    </w:p>
    <w:p w14:paraId="2B9A0B2F" w14:textId="43C6BD61" w:rsidR="00D419EC" w:rsidRDefault="00366656" w:rsidP="00640EFE">
      <w:pPr>
        <w:spacing w:before="80"/>
      </w:pPr>
      <w:r w:rsidRPr="004724A5">
        <w:t>Grant expenses of $</w:t>
      </w:r>
      <w:r>
        <w:t>1</w:t>
      </w:r>
      <w:r w:rsidR="00924D02">
        <w:t>7</w:t>
      </w:r>
      <w:r w:rsidRPr="004724A5">
        <w:t>.</w:t>
      </w:r>
      <w:r w:rsidR="00A127A8">
        <w:t>2</w:t>
      </w:r>
      <w:r w:rsidRPr="004724A5">
        <w:t xml:space="preserve"> billion were </w:t>
      </w:r>
      <w:r>
        <w:t>$</w:t>
      </w:r>
      <w:r w:rsidR="0038302F">
        <w:t>5</w:t>
      </w:r>
      <w:r w:rsidR="00A7212C">
        <w:t>11</w:t>
      </w:r>
      <w:r>
        <w:t xml:space="preserve"> million lower than </w:t>
      </w:r>
      <w:r w:rsidRPr="004724A5">
        <w:t>the revised budget</w:t>
      </w:r>
      <w:r w:rsidR="004B2F6A">
        <w:t xml:space="preserve">, </w:t>
      </w:r>
      <w:r w:rsidR="004062E8">
        <w:t xml:space="preserve">primarily due to </w:t>
      </w:r>
      <w:r w:rsidR="00724EFE">
        <w:t>the timing of</w:t>
      </w:r>
      <w:r w:rsidR="004062E8">
        <w:t xml:space="preserve"> grant</w:t>
      </w:r>
      <w:r w:rsidR="00640EFE">
        <w:t xml:space="preserve"> programs across the </w:t>
      </w:r>
      <w:r w:rsidR="00515415" w:rsidRPr="00515415">
        <w:t>tourism, sports and major events</w:t>
      </w:r>
      <w:r w:rsidR="00640EFE">
        <w:t xml:space="preserve">, economic growth and jobs </w:t>
      </w:r>
      <w:r w:rsidR="00200A72">
        <w:t>and</w:t>
      </w:r>
      <w:r w:rsidR="00515415" w:rsidRPr="00515415">
        <w:t xml:space="preserve"> regional development </w:t>
      </w:r>
      <w:r w:rsidR="00640EFE">
        <w:t>portfolios</w:t>
      </w:r>
      <w:r w:rsidR="007B0465">
        <w:t xml:space="preserve">, </w:t>
      </w:r>
      <w:r w:rsidR="00612FC5">
        <w:t xml:space="preserve">as well as </w:t>
      </w:r>
      <w:r w:rsidR="006435B9">
        <w:t>the timing of</w:t>
      </w:r>
      <w:r w:rsidR="00612FC5">
        <w:t xml:space="preserve"> </w:t>
      </w:r>
      <w:r w:rsidR="0003754B">
        <w:t xml:space="preserve">expenditure </w:t>
      </w:r>
      <w:r w:rsidR="00612FC5">
        <w:t xml:space="preserve">from the Social Housing Growth Fund. </w:t>
      </w:r>
      <w:r w:rsidR="0058396F">
        <w:t xml:space="preserve">This was partially </w:t>
      </w:r>
      <w:r w:rsidR="004F7EB2">
        <w:t xml:space="preserve">offset </w:t>
      </w:r>
      <w:r w:rsidR="0058396F">
        <w:t xml:space="preserve">by </w:t>
      </w:r>
      <w:r w:rsidR="00980136">
        <w:t xml:space="preserve">higher than anticipated expenditure associated with Commonwealth grants for </w:t>
      </w:r>
      <w:r w:rsidR="001C3853">
        <w:t xml:space="preserve">local governments </w:t>
      </w:r>
      <w:r w:rsidR="0064737B">
        <w:t xml:space="preserve">as well as </w:t>
      </w:r>
      <w:r w:rsidR="00D9118A">
        <w:t xml:space="preserve">various </w:t>
      </w:r>
      <w:r w:rsidR="008C3F62">
        <w:t>grant</w:t>
      </w:r>
      <w:r w:rsidR="004F737F">
        <w:t xml:space="preserve"> programs in</w:t>
      </w:r>
      <w:r w:rsidR="008C3F62">
        <w:t xml:space="preserve"> the education sector.</w:t>
      </w:r>
    </w:p>
    <w:p w14:paraId="466BF38B" w14:textId="08F25585" w:rsidR="00B919A9" w:rsidRDefault="004B2F6A" w:rsidP="00366656">
      <w:pPr>
        <w:spacing w:before="80"/>
      </w:pPr>
      <w:r>
        <w:t>Grant expenses were</w:t>
      </w:r>
      <w:r w:rsidR="00E3687C">
        <w:t xml:space="preserve"> </w:t>
      </w:r>
      <w:r w:rsidR="00366656" w:rsidRPr="004724A5">
        <w:t>$</w:t>
      </w:r>
      <w:r w:rsidR="006C0067">
        <w:t>5</w:t>
      </w:r>
      <w:r w:rsidR="00A7212C">
        <w:t>46</w:t>
      </w:r>
      <w:r w:rsidR="00366656" w:rsidRPr="004724A5">
        <w:t> </w:t>
      </w:r>
      <w:r w:rsidR="006C0067">
        <w:t>m</w:t>
      </w:r>
      <w:r w:rsidR="00366656" w:rsidRPr="004724A5">
        <w:t xml:space="preserve">illion </w:t>
      </w:r>
      <w:r w:rsidR="006C0067">
        <w:t>higher</w:t>
      </w:r>
      <w:r w:rsidR="00366656" w:rsidRPr="004724A5">
        <w:t xml:space="preserve"> than in 202</w:t>
      </w:r>
      <w:r w:rsidR="006C0067">
        <w:t>3</w:t>
      </w:r>
      <w:r w:rsidR="00366656" w:rsidRPr="004724A5">
        <w:noBreakHyphen/>
        <w:t>2</w:t>
      </w:r>
      <w:r w:rsidR="006C0067">
        <w:t>4</w:t>
      </w:r>
      <w:r w:rsidR="00366656" w:rsidRPr="004724A5">
        <w:t>. The</w:t>
      </w:r>
      <w:r w:rsidR="00366656">
        <w:t xml:space="preserve"> </w:t>
      </w:r>
      <w:r w:rsidR="00CA1A3F">
        <w:t>increase</w:t>
      </w:r>
      <w:r w:rsidR="00366656" w:rsidRPr="004724A5">
        <w:t xml:space="preserve"> compared with the previous year was primarily due to </w:t>
      </w:r>
      <w:r w:rsidR="00366656" w:rsidRPr="00D44D88">
        <w:t xml:space="preserve">an increase in </w:t>
      </w:r>
      <w:r w:rsidR="00366656">
        <w:t>grants</w:t>
      </w:r>
      <w:r w:rsidR="00BF10B2">
        <w:t xml:space="preserve"> for </w:t>
      </w:r>
      <w:r w:rsidR="00BF10B2" w:rsidRPr="0073481C">
        <w:t>housing</w:t>
      </w:r>
      <w:r w:rsidR="0073481C">
        <w:t>,</w:t>
      </w:r>
      <w:r w:rsidR="00A56FB4">
        <w:t xml:space="preserve"> </w:t>
      </w:r>
      <w:r w:rsidR="009921DA">
        <w:t>increased expenditure associated with Commonwealth grants for non-government schools</w:t>
      </w:r>
      <w:r w:rsidR="00BF10B2">
        <w:t>, as well as</w:t>
      </w:r>
      <w:r w:rsidR="00A56FB4" w:rsidRPr="00A56FB4">
        <w:t xml:space="preserve"> increased payments to the National Disability Insurance Agency reflecting </w:t>
      </w:r>
      <w:r w:rsidR="00A56FB4" w:rsidRPr="00057DAC">
        <w:t>the continued roll-out of the National Disability Insurance Scheme</w:t>
      </w:r>
      <w:r w:rsidR="002F4E23">
        <w:t xml:space="preserve">. This was </w:t>
      </w:r>
      <w:r w:rsidR="00B919A9" w:rsidRPr="00D44D88">
        <w:t>partially offset by</w:t>
      </w:r>
      <w:r w:rsidR="0092487A">
        <w:t xml:space="preserve"> </w:t>
      </w:r>
      <w:r w:rsidR="0096217D">
        <w:t>lower</w:t>
      </w:r>
      <w:r w:rsidR="00C04E00">
        <w:t xml:space="preserve"> grant expense</w:t>
      </w:r>
      <w:r w:rsidR="004F3E2C">
        <w:t xml:space="preserve">s </w:t>
      </w:r>
      <w:r w:rsidR="0096217D">
        <w:t>associated with capital</w:t>
      </w:r>
      <w:r w:rsidR="00A63DAA">
        <w:t xml:space="preserve"> works in the education sector</w:t>
      </w:r>
      <w:r w:rsidR="00A21B29">
        <w:t xml:space="preserve"> in</w:t>
      </w:r>
      <w:r w:rsidR="008046B1">
        <w:t xml:space="preserve"> non-government schools. </w:t>
      </w:r>
    </w:p>
    <w:p w14:paraId="12EAF42E" w14:textId="00D37473" w:rsidR="0003754B" w:rsidRDefault="00366656" w:rsidP="00654858">
      <w:pPr>
        <w:spacing w:before="80"/>
      </w:pPr>
      <w:r w:rsidRPr="004724A5">
        <w:lastRenderedPageBreak/>
        <w:t xml:space="preserve">Other operating expenses in </w:t>
      </w:r>
      <w:r>
        <w:t>202</w:t>
      </w:r>
      <w:r w:rsidR="008046B1">
        <w:t>4</w:t>
      </w:r>
      <w:r>
        <w:noBreakHyphen/>
      </w:r>
      <w:r w:rsidRPr="004724A5">
        <w:t>2</w:t>
      </w:r>
      <w:r w:rsidR="008046B1">
        <w:t>5</w:t>
      </w:r>
      <w:r w:rsidRPr="004724A5">
        <w:t xml:space="preserve"> were $</w:t>
      </w:r>
      <w:r w:rsidR="003A11E8">
        <w:t>30</w:t>
      </w:r>
      <w:r w:rsidRPr="004724A5">
        <w:t>.</w:t>
      </w:r>
      <w:r w:rsidR="003A11E8">
        <w:t>7</w:t>
      </w:r>
      <w:r w:rsidRPr="004724A5">
        <w:t> billion</w:t>
      </w:r>
      <w:r>
        <w:t xml:space="preserve"> which was </w:t>
      </w:r>
      <w:r w:rsidR="00B85380">
        <w:t>$1</w:t>
      </w:r>
      <w:r w:rsidR="008F00FD">
        <w:t>23</w:t>
      </w:r>
      <w:r w:rsidR="00B85380">
        <w:t xml:space="preserve"> million lower than the </w:t>
      </w:r>
      <w:r w:rsidRPr="004724A5">
        <w:t>revised budget</w:t>
      </w:r>
      <w:r w:rsidRPr="001C487F">
        <w:t xml:space="preserve"> estimate</w:t>
      </w:r>
      <w:r w:rsidR="00C92F72">
        <w:t xml:space="preserve"> and $1.6 billion</w:t>
      </w:r>
      <w:r w:rsidR="00233904">
        <w:t xml:space="preserve"> higher than 2023-24. </w:t>
      </w:r>
      <w:r w:rsidR="00F93315" w:rsidRPr="00F93315">
        <w:t xml:space="preserve">The increase compared with the previous year </w:t>
      </w:r>
      <w:r w:rsidR="008727C0">
        <w:t xml:space="preserve">includes </w:t>
      </w:r>
      <w:r w:rsidR="00D55C5C">
        <w:t xml:space="preserve">the </w:t>
      </w:r>
      <w:r w:rsidR="009A703A" w:rsidRPr="009A703A">
        <w:t xml:space="preserve">increased </w:t>
      </w:r>
      <w:r w:rsidR="007D5A34">
        <w:t>e</w:t>
      </w:r>
      <w:r w:rsidR="009A703A" w:rsidRPr="009A703A">
        <w:t xml:space="preserve">nergy bill relief </w:t>
      </w:r>
      <w:r w:rsidR="007D5A34">
        <w:t>concession</w:t>
      </w:r>
      <w:r w:rsidR="009A703A" w:rsidRPr="009A703A">
        <w:t xml:space="preserve"> payments</w:t>
      </w:r>
      <w:r w:rsidR="007D5A34">
        <w:t>,</w:t>
      </w:r>
      <w:r w:rsidR="003D50F6">
        <w:t xml:space="preserve"> </w:t>
      </w:r>
      <w:r w:rsidR="001905A1">
        <w:t xml:space="preserve">increased </w:t>
      </w:r>
      <w:r w:rsidR="00CC1B05" w:rsidRPr="00CC1B05">
        <w:t>subsidy payments to the operator as a result of the State</w:t>
      </w:r>
      <w:r w:rsidR="00DE0BC4">
        <w:t xml:space="preserve"> </w:t>
      </w:r>
      <w:r w:rsidR="00950BBF">
        <w:t>electing to retain</w:t>
      </w:r>
      <w:r w:rsidR="00DE0BC4">
        <w:t xml:space="preserve"> </w:t>
      </w:r>
      <w:r w:rsidR="00512D36">
        <w:t xml:space="preserve">a </w:t>
      </w:r>
      <w:r w:rsidR="00DE0BC4">
        <w:t xml:space="preserve">higher </w:t>
      </w:r>
      <w:r w:rsidR="001905A1">
        <w:t>share</w:t>
      </w:r>
      <w:r w:rsidR="002E12AA">
        <w:t xml:space="preserve"> of farebox revenue under </w:t>
      </w:r>
      <w:r w:rsidR="002E12AA" w:rsidRPr="002E12AA">
        <w:t>the new metropolitan tram franchise agreement</w:t>
      </w:r>
      <w:r w:rsidR="003C4C7A">
        <w:t xml:space="preserve">, </w:t>
      </w:r>
      <w:r w:rsidR="00906AF4">
        <w:t xml:space="preserve">as well as </w:t>
      </w:r>
      <w:r w:rsidR="00CB73BA">
        <w:t xml:space="preserve">higher </w:t>
      </w:r>
      <w:r w:rsidR="00836380">
        <w:t xml:space="preserve">expenditure </w:t>
      </w:r>
      <w:r w:rsidR="0003644E">
        <w:t xml:space="preserve">in the health </w:t>
      </w:r>
      <w:r w:rsidR="007427E0">
        <w:t xml:space="preserve">and </w:t>
      </w:r>
      <w:r w:rsidR="00B749A5">
        <w:t xml:space="preserve">justice </w:t>
      </w:r>
      <w:r w:rsidR="007427E0">
        <w:t xml:space="preserve">sectors due to </w:t>
      </w:r>
      <w:r w:rsidR="000E1B91">
        <w:t>increased service delivery</w:t>
      </w:r>
      <w:r w:rsidR="00B749A5">
        <w:t xml:space="preserve">. </w:t>
      </w:r>
    </w:p>
    <w:p w14:paraId="0A51BB4F" w14:textId="1CCE1B50" w:rsidR="00366656" w:rsidRPr="00AF0178" w:rsidRDefault="00366656" w:rsidP="00366656">
      <w:pPr>
        <w:pStyle w:val="Heading2"/>
        <w:ind w:left="0" w:firstLine="0"/>
      </w:pPr>
      <w:r w:rsidRPr="00AF0178">
        <w:t>Other economic flows included in the net result</w:t>
      </w:r>
    </w:p>
    <w:p w14:paraId="7C8B7294" w14:textId="77777777" w:rsidR="00366656" w:rsidRPr="00AF0178" w:rsidRDefault="00366656" w:rsidP="00366656">
      <w:pPr>
        <w:spacing w:before="80"/>
      </w:pPr>
      <w:r w:rsidRPr="00AF0178">
        <w:t>The net result differs from the net result from transactions due to other economic flows, which include revaluation gains and losses recognised for the period.</w:t>
      </w:r>
    </w:p>
    <w:p w14:paraId="0CB79067" w14:textId="232E6C4A" w:rsidR="00366656" w:rsidRPr="00AF0178" w:rsidRDefault="00366656" w:rsidP="00366656">
      <w:pPr>
        <w:spacing w:before="80"/>
        <w:ind w:right="-71"/>
      </w:pPr>
      <w:r w:rsidRPr="00AF0178">
        <w:t>The net result from transactions is the Government</w:t>
      </w:r>
      <w:r w:rsidR="00845934">
        <w:t>’</w:t>
      </w:r>
      <w:r w:rsidRPr="00AF0178">
        <w:t xml:space="preserve">s </w:t>
      </w:r>
      <w:r>
        <w:t>operating</w:t>
      </w:r>
      <w:r w:rsidRPr="00AF0178">
        <w:t xml:space="preserve"> surplus measure for the purposes of its fiscal strategy. </w:t>
      </w:r>
    </w:p>
    <w:p w14:paraId="792B83F9" w14:textId="7D7F3143" w:rsidR="00366656" w:rsidRDefault="00366656" w:rsidP="00366656">
      <w:pPr>
        <w:spacing w:before="80"/>
        <w:ind w:right="-213"/>
      </w:pPr>
      <w:r w:rsidRPr="00AF0178">
        <w:t>Other economic flows included in the net result for 202</w:t>
      </w:r>
      <w:r w:rsidR="003C5674">
        <w:t>4</w:t>
      </w:r>
      <w:r w:rsidRPr="00AF0178">
        <w:noBreakHyphen/>
        <w:t>2</w:t>
      </w:r>
      <w:r w:rsidR="003C5674">
        <w:t>5</w:t>
      </w:r>
      <w:r w:rsidRPr="00AF0178">
        <w:t xml:space="preserve"> totalled a net revaluation </w:t>
      </w:r>
      <w:r w:rsidR="00583EDD">
        <w:t>gain</w:t>
      </w:r>
      <w:r w:rsidRPr="00AF0178">
        <w:t xml:space="preserve"> of $</w:t>
      </w:r>
      <w:r w:rsidR="00227F68">
        <w:t>596</w:t>
      </w:r>
      <w:r w:rsidRPr="00AF0178">
        <w:t xml:space="preserve"> million. This was </w:t>
      </w:r>
      <w:r w:rsidR="00AD77F8">
        <w:t xml:space="preserve">an improvement of </w:t>
      </w:r>
      <w:r w:rsidR="00603A7E">
        <w:t>$</w:t>
      </w:r>
      <w:r w:rsidR="00CD030E">
        <w:t>976</w:t>
      </w:r>
      <w:r w:rsidR="00603A7E">
        <w:t xml:space="preserve"> </w:t>
      </w:r>
      <w:r w:rsidR="00CD030E">
        <w:t>m</w:t>
      </w:r>
      <w:r w:rsidR="00603A7E">
        <w:t xml:space="preserve">illion compared with the $380 million net revaluation loss </w:t>
      </w:r>
      <w:r w:rsidR="002D5E4D">
        <w:t xml:space="preserve">in the </w:t>
      </w:r>
      <w:r w:rsidRPr="00AF0178">
        <w:t>revised budget and an improvement of $</w:t>
      </w:r>
      <w:r w:rsidR="00E02FA4">
        <w:t>8</w:t>
      </w:r>
      <w:r w:rsidR="00190E73">
        <w:t>65</w:t>
      </w:r>
      <w:r w:rsidRPr="00AF0178">
        <w:t> million compared with 202</w:t>
      </w:r>
      <w:r w:rsidR="003C5674">
        <w:t>3</w:t>
      </w:r>
      <w:r w:rsidRPr="00AF0178">
        <w:noBreakHyphen/>
        <w:t>2</w:t>
      </w:r>
      <w:r w:rsidR="003C5674">
        <w:t>4</w:t>
      </w:r>
      <w:r w:rsidRPr="00AF0178">
        <w:t>. This improvement</w:t>
      </w:r>
      <w:r w:rsidR="00F55E3C">
        <w:t xml:space="preserve"> primarily </w:t>
      </w:r>
      <w:r w:rsidR="0042684E">
        <w:t xml:space="preserve">reflects </w:t>
      </w:r>
      <w:r w:rsidR="007730F2">
        <w:t xml:space="preserve">investment </w:t>
      </w:r>
      <w:r w:rsidR="00F55E3C" w:rsidRPr="00F55E3C">
        <w:t xml:space="preserve">gains from </w:t>
      </w:r>
      <w:r w:rsidR="004F5CDA" w:rsidRPr="004F5CDA">
        <w:t xml:space="preserve">the Victorian Future Fund, Victorian Social Housing Growth Fund and </w:t>
      </w:r>
      <w:r w:rsidR="00704B57">
        <w:t xml:space="preserve">the </w:t>
      </w:r>
      <w:r w:rsidR="004F5CDA" w:rsidRPr="004F5CDA">
        <w:t>Victorian Homebuyer Scheme</w:t>
      </w:r>
      <w:r w:rsidR="00686D0F">
        <w:t xml:space="preserve">. </w:t>
      </w:r>
      <w:r w:rsidR="003920C1">
        <w:t>T</w:t>
      </w:r>
      <w:r w:rsidR="003920C1" w:rsidRPr="003920C1">
        <w:t xml:space="preserve">he valuation gains associated with </w:t>
      </w:r>
      <w:r w:rsidR="0060153C" w:rsidRPr="00A65AE2">
        <w:t xml:space="preserve">the VRET </w:t>
      </w:r>
      <w:r w:rsidR="00CD5D37" w:rsidRPr="00CD5D37">
        <w:t>and</w:t>
      </w:r>
      <w:r w:rsidR="009753C8" w:rsidRPr="005D5F58">
        <w:t xml:space="preserve"> Bulgana Green Power Hub</w:t>
      </w:r>
      <w:r w:rsidR="002D5195" w:rsidRPr="00A65AE2">
        <w:t xml:space="preserve"> </w:t>
      </w:r>
      <w:r w:rsidR="00CD5D37" w:rsidRPr="00CD5D37">
        <w:t xml:space="preserve">financial derivatives </w:t>
      </w:r>
      <w:r w:rsidR="002D5195" w:rsidRPr="00A65AE2">
        <w:t xml:space="preserve">have also contributed to </w:t>
      </w:r>
      <w:r w:rsidR="003B3F77" w:rsidRPr="00A65AE2">
        <w:t>the improvement.</w:t>
      </w:r>
    </w:p>
    <w:p w14:paraId="2A2E1E95" w14:textId="29FA999D" w:rsidR="00C9037F" w:rsidRDefault="00273CA6" w:rsidP="00366656">
      <w:pPr>
        <w:pStyle w:val="Heading1"/>
        <w:sectPr w:rsidR="00C9037F" w:rsidSect="00C9037F">
          <w:type w:val="continuous"/>
          <w:pgSz w:w="11906" w:h="16838" w:code="9"/>
          <w:pgMar w:top="1134" w:right="1134" w:bottom="1134" w:left="1134" w:header="624" w:footer="567" w:gutter="0"/>
          <w:cols w:num="2" w:space="708"/>
          <w:docGrid w:linePitch="360"/>
        </w:sectPr>
      </w:pPr>
      <w:bookmarkStart w:id="13" w:name="_Toc176189333"/>
      <w:r>
        <w:br w:type="column"/>
      </w:r>
    </w:p>
    <w:p w14:paraId="66BBA0CB" w14:textId="77777777" w:rsidR="00366656" w:rsidRPr="006C13A6" w:rsidRDefault="00366656" w:rsidP="00DE1E51">
      <w:pPr>
        <w:pStyle w:val="Heading1"/>
        <w:pageBreakBefore/>
        <w:spacing w:before="0"/>
      </w:pPr>
      <w:r w:rsidRPr="006C13A6">
        <w:lastRenderedPageBreak/>
        <w:t>Financial position</w:t>
      </w:r>
      <w:bookmarkEnd w:id="13"/>
    </w:p>
    <w:p w14:paraId="18D55DA3" w14:textId="77777777" w:rsidR="00C9037F" w:rsidRDefault="00C9037F" w:rsidP="00366656">
      <w:pPr>
        <w:keepNext/>
        <w:sectPr w:rsidR="00C9037F" w:rsidSect="00CC1335">
          <w:type w:val="continuous"/>
          <w:pgSz w:w="11906" w:h="16838" w:code="9"/>
          <w:pgMar w:top="1134" w:right="1134" w:bottom="1134" w:left="1134" w:header="624" w:footer="567" w:gutter="0"/>
          <w:cols w:space="708"/>
          <w:docGrid w:linePitch="360"/>
        </w:sectPr>
      </w:pPr>
    </w:p>
    <w:p w14:paraId="2B5BB46B" w14:textId="54081AA9" w:rsidR="00C9037F" w:rsidRDefault="00366656" w:rsidP="00C9037F">
      <w:pPr>
        <w:keepNext/>
      </w:pPr>
      <w:r w:rsidRPr="004A7E07">
        <w:t xml:space="preserve">Table 2.4 shows general government sector net assets </w:t>
      </w:r>
      <w:r w:rsidR="007C0192">
        <w:t>decreased</w:t>
      </w:r>
      <w:r w:rsidRPr="004A7E07">
        <w:t xml:space="preserve"> by $</w:t>
      </w:r>
      <w:r w:rsidR="00966867">
        <w:t>5</w:t>
      </w:r>
      <w:r w:rsidR="003567A6">
        <w:t>5</w:t>
      </w:r>
      <w:r w:rsidR="00966867">
        <w:t>3</w:t>
      </w:r>
      <w:r w:rsidRPr="004A7E07">
        <w:t> </w:t>
      </w:r>
      <w:r w:rsidR="00966867">
        <w:t>m</w:t>
      </w:r>
      <w:r w:rsidRPr="004A7E07">
        <w:t>illion to $1</w:t>
      </w:r>
      <w:r w:rsidR="00E528B1">
        <w:t>8</w:t>
      </w:r>
      <w:r w:rsidR="00497F10">
        <w:t>9</w:t>
      </w:r>
      <w:r w:rsidR="006F21CC">
        <w:t>.</w:t>
      </w:r>
      <w:r w:rsidR="00BC1AD4">
        <w:t>3</w:t>
      </w:r>
      <w:r w:rsidRPr="004A7E07">
        <w:t xml:space="preserve"> billion in 202</w:t>
      </w:r>
      <w:r w:rsidR="00C810EE">
        <w:t>4</w:t>
      </w:r>
      <w:r w:rsidRPr="004A7E07">
        <w:noBreakHyphen/>
        <w:t>2</w:t>
      </w:r>
      <w:r w:rsidR="007C0192">
        <w:t>5</w:t>
      </w:r>
      <w:r w:rsidRPr="004A7E07">
        <w:t>. This was $</w:t>
      </w:r>
      <w:r w:rsidR="00497F10">
        <w:t>335</w:t>
      </w:r>
      <w:r w:rsidRPr="004A7E07">
        <w:t> </w:t>
      </w:r>
      <w:r w:rsidR="00497F10">
        <w:t>m</w:t>
      </w:r>
      <w:r w:rsidRPr="004A7E07">
        <w:t>illion (</w:t>
      </w:r>
      <w:r w:rsidR="00497F10">
        <w:t>0.2</w:t>
      </w:r>
      <w:r w:rsidR="00E528B1">
        <w:t xml:space="preserve"> </w:t>
      </w:r>
      <w:r w:rsidRPr="004A7E07">
        <w:t xml:space="preserve">per cent) </w:t>
      </w:r>
      <w:r w:rsidR="0099513D">
        <w:t>lower</w:t>
      </w:r>
      <w:r w:rsidRPr="004A7E07">
        <w:t xml:space="preserve"> than expected in the 202</w:t>
      </w:r>
      <w:r w:rsidR="006E1DC6">
        <w:t>4</w:t>
      </w:r>
      <w:r w:rsidRPr="004A7E07">
        <w:noBreakHyphen/>
      </w:r>
      <w:r w:rsidR="00052D32" w:rsidRPr="004A7E07">
        <w:t>2</w:t>
      </w:r>
      <w:r w:rsidR="006E1DC6">
        <w:t>5</w:t>
      </w:r>
      <w:r w:rsidRPr="004A7E07">
        <w:t xml:space="preserve"> revised budget.</w:t>
      </w:r>
    </w:p>
    <w:p w14:paraId="4C75EE7C" w14:textId="77777777" w:rsidR="00C9037F" w:rsidRPr="00C9037F" w:rsidRDefault="00C9037F" w:rsidP="00C9037F">
      <w:pPr>
        <w:sectPr w:rsidR="00C9037F" w:rsidRPr="00C9037F" w:rsidSect="00C9037F">
          <w:type w:val="continuous"/>
          <w:pgSz w:w="11906" w:h="16838" w:code="9"/>
          <w:pgMar w:top="1134" w:right="1134" w:bottom="1134" w:left="1134" w:header="624" w:footer="567" w:gutter="0"/>
          <w:cols w:num="2" w:space="708"/>
          <w:docGrid w:linePitch="360"/>
        </w:sectPr>
      </w:pPr>
    </w:p>
    <w:p w14:paraId="6E2D7AB4" w14:textId="20F95069" w:rsidR="00366656" w:rsidRPr="004A7E07" w:rsidRDefault="00366656" w:rsidP="00366656">
      <w:pPr>
        <w:pStyle w:val="TableHeading"/>
      </w:pPr>
      <w:r w:rsidRPr="004A7E07">
        <w:t>Table 2.4:</w:t>
      </w:r>
      <w:r w:rsidRPr="004A7E07">
        <w:tab/>
        <w:t>Summary balance sheet</w:t>
      </w:r>
      <w:r w:rsidRPr="004A7E07">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2.xlsx|Table:Summary_BS_GG|MergedHeadingRow:1|TableGroup:Investment in other sectors"/>
      </w:tblPr>
      <w:tblGrid>
        <w:gridCol w:w="5103"/>
        <w:gridCol w:w="907"/>
        <w:gridCol w:w="907"/>
        <w:gridCol w:w="907"/>
        <w:gridCol w:w="907"/>
        <w:gridCol w:w="907"/>
      </w:tblGrid>
      <w:tr w:rsidR="005E614D" w14:paraId="58D6A536"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56686A4" w14:textId="77777777" w:rsidR="005E614D" w:rsidRDefault="005E614D">
            <w:pPr>
              <w:keepNext/>
            </w:pPr>
          </w:p>
        </w:tc>
        <w:tc>
          <w:tcPr>
            <w:tcW w:w="907" w:type="dxa"/>
          </w:tcPr>
          <w:p w14:paraId="19480BE9"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r>
              <w:br/>
              <w:t xml:space="preserve"> actual</w:t>
            </w:r>
          </w:p>
        </w:tc>
        <w:tc>
          <w:tcPr>
            <w:tcW w:w="907" w:type="dxa"/>
          </w:tcPr>
          <w:p w14:paraId="7BFDA44F"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Revised</w:t>
            </w:r>
            <w:r>
              <w:br/>
              <w:t>variance</w:t>
            </w:r>
          </w:p>
        </w:tc>
        <w:tc>
          <w:tcPr>
            <w:tcW w:w="907" w:type="dxa"/>
          </w:tcPr>
          <w:p w14:paraId="4C957385"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r>
              <w:br/>
              <w:t xml:space="preserve"> revised</w:t>
            </w:r>
          </w:p>
        </w:tc>
        <w:tc>
          <w:tcPr>
            <w:tcW w:w="907" w:type="dxa"/>
          </w:tcPr>
          <w:p w14:paraId="1C7D82DF"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Actual</w:t>
            </w:r>
            <w:r>
              <w:br/>
              <w:t xml:space="preserve"> movement</w:t>
            </w:r>
          </w:p>
        </w:tc>
        <w:tc>
          <w:tcPr>
            <w:tcW w:w="907" w:type="dxa"/>
          </w:tcPr>
          <w:p w14:paraId="1612586A"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r>
              <w:br/>
              <w:t xml:space="preserve"> actual</w:t>
            </w:r>
          </w:p>
        </w:tc>
      </w:tr>
      <w:tr w:rsidR="005E614D" w14:paraId="1855FD3E" w14:textId="77777777">
        <w:tc>
          <w:tcPr>
            <w:cnfStyle w:val="001000000000" w:firstRow="0" w:lastRow="0" w:firstColumn="1" w:lastColumn="0" w:oddVBand="0" w:evenVBand="0" w:oddHBand="0" w:evenHBand="0" w:firstRowFirstColumn="0" w:firstRowLastColumn="0" w:lastRowFirstColumn="0" w:lastRowLastColumn="0"/>
            <w:tcW w:w="5103" w:type="dxa"/>
          </w:tcPr>
          <w:p w14:paraId="3D8CE621" w14:textId="77777777" w:rsidR="005E614D" w:rsidRDefault="000C3A94">
            <w:r>
              <w:rPr>
                <w:b/>
              </w:rPr>
              <w:t>Assets</w:t>
            </w:r>
          </w:p>
        </w:tc>
        <w:tc>
          <w:tcPr>
            <w:tcW w:w="907" w:type="dxa"/>
          </w:tcPr>
          <w:p w14:paraId="61654DD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668006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EE369D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55F7C4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B3055B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6E31478" w14:textId="77777777">
        <w:tc>
          <w:tcPr>
            <w:cnfStyle w:val="001000000000" w:firstRow="0" w:lastRow="0" w:firstColumn="1" w:lastColumn="0" w:oddVBand="0" w:evenVBand="0" w:oddHBand="0" w:evenHBand="0" w:firstRowFirstColumn="0" w:firstRowLastColumn="0" w:lastRowFirstColumn="0" w:lastRowLastColumn="0"/>
            <w:tcW w:w="5103" w:type="dxa"/>
          </w:tcPr>
          <w:p w14:paraId="35E0F53D" w14:textId="77777777" w:rsidR="005E614D" w:rsidRDefault="000C3A94">
            <w:r>
              <w:t>Financial assets (excluding investment in other sector entities)</w:t>
            </w:r>
          </w:p>
        </w:tc>
        <w:tc>
          <w:tcPr>
            <w:tcW w:w="907" w:type="dxa"/>
          </w:tcPr>
          <w:p w14:paraId="122CE41A" w14:textId="77777777" w:rsidR="005E614D" w:rsidRDefault="000C3A94">
            <w:pPr>
              <w:cnfStyle w:val="000000000000" w:firstRow="0" w:lastRow="0" w:firstColumn="0" w:lastColumn="0" w:oddVBand="0" w:evenVBand="0" w:oddHBand="0" w:evenHBand="0" w:firstRowFirstColumn="0" w:firstRowLastColumn="0" w:lastRowFirstColumn="0" w:lastRowLastColumn="0"/>
            </w:pPr>
            <w:r>
              <w:t>48 331</w:t>
            </w:r>
          </w:p>
        </w:tc>
        <w:tc>
          <w:tcPr>
            <w:tcW w:w="907" w:type="dxa"/>
          </w:tcPr>
          <w:p w14:paraId="5F378319" w14:textId="77777777" w:rsidR="005E614D" w:rsidRDefault="000C3A94">
            <w:pPr>
              <w:cnfStyle w:val="000000000000" w:firstRow="0" w:lastRow="0" w:firstColumn="0" w:lastColumn="0" w:oddVBand="0" w:evenVBand="0" w:oddHBand="0" w:evenHBand="0" w:firstRowFirstColumn="0" w:firstRowLastColumn="0" w:lastRowFirstColumn="0" w:lastRowLastColumn="0"/>
            </w:pPr>
            <w:r>
              <w:t>2 958</w:t>
            </w:r>
          </w:p>
        </w:tc>
        <w:tc>
          <w:tcPr>
            <w:tcW w:w="907" w:type="dxa"/>
          </w:tcPr>
          <w:p w14:paraId="6FAD4520" w14:textId="77777777" w:rsidR="005E614D" w:rsidRDefault="000C3A94">
            <w:pPr>
              <w:cnfStyle w:val="000000000000" w:firstRow="0" w:lastRow="0" w:firstColumn="0" w:lastColumn="0" w:oddVBand="0" w:evenVBand="0" w:oddHBand="0" w:evenHBand="0" w:firstRowFirstColumn="0" w:firstRowLastColumn="0" w:lastRowFirstColumn="0" w:lastRowLastColumn="0"/>
            </w:pPr>
            <w:r>
              <w:t>45 373</w:t>
            </w:r>
          </w:p>
        </w:tc>
        <w:tc>
          <w:tcPr>
            <w:tcW w:w="907" w:type="dxa"/>
          </w:tcPr>
          <w:p w14:paraId="6541BDCE" w14:textId="77777777" w:rsidR="005E614D" w:rsidRDefault="000C3A94">
            <w:pPr>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261B784E" w14:textId="77777777" w:rsidR="005E614D" w:rsidRDefault="000C3A94">
            <w:pPr>
              <w:cnfStyle w:val="000000000000" w:firstRow="0" w:lastRow="0" w:firstColumn="0" w:lastColumn="0" w:oddVBand="0" w:evenVBand="0" w:oddHBand="0" w:evenHBand="0" w:firstRowFirstColumn="0" w:firstRowLastColumn="0" w:lastRowFirstColumn="0" w:lastRowLastColumn="0"/>
            </w:pPr>
            <w:r>
              <w:t>46 899</w:t>
            </w:r>
          </w:p>
        </w:tc>
      </w:tr>
      <w:tr w:rsidR="005E614D" w14:paraId="28B59173" w14:textId="77777777">
        <w:tc>
          <w:tcPr>
            <w:cnfStyle w:val="001000000000" w:firstRow="0" w:lastRow="0" w:firstColumn="1" w:lastColumn="0" w:oddVBand="0" w:evenVBand="0" w:oddHBand="0" w:evenHBand="0" w:firstRowFirstColumn="0" w:firstRowLastColumn="0" w:lastRowFirstColumn="0" w:lastRowLastColumn="0"/>
            <w:tcW w:w="5103" w:type="dxa"/>
          </w:tcPr>
          <w:p w14:paraId="5094E1AF" w14:textId="77777777" w:rsidR="005E614D" w:rsidRDefault="000C3A94">
            <w:r>
              <w:t>Investment in other sector entities:</w:t>
            </w:r>
          </w:p>
        </w:tc>
        <w:tc>
          <w:tcPr>
            <w:tcW w:w="907" w:type="dxa"/>
          </w:tcPr>
          <w:p w14:paraId="7AA2E93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6D9B95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9A95BF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13AB0A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397FC4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DB53D31" w14:textId="77777777">
        <w:tc>
          <w:tcPr>
            <w:cnfStyle w:val="001000000000" w:firstRow="0" w:lastRow="0" w:firstColumn="1" w:lastColumn="0" w:oddVBand="0" w:evenVBand="0" w:oddHBand="0" w:evenHBand="0" w:firstRowFirstColumn="0" w:firstRowLastColumn="0" w:lastRowFirstColumn="0" w:lastRowLastColumn="0"/>
            <w:tcW w:w="5103" w:type="dxa"/>
          </w:tcPr>
          <w:p w14:paraId="5899AD09" w14:textId="77777777" w:rsidR="005E614D" w:rsidRDefault="000C3A94">
            <w:r>
              <w:t>Public non</w:t>
            </w:r>
            <w:r>
              <w:noBreakHyphen/>
              <w:t>financial corporations</w:t>
            </w:r>
          </w:p>
        </w:tc>
        <w:tc>
          <w:tcPr>
            <w:tcW w:w="907" w:type="dxa"/>
          </w:tcPr>
          <w:p w14:paraId="1A901E52" w14:textId="77777777" w:rsidR="005E614D" w:rsidRDefault="000C3A94">
            <w:pPr>
              <w:cnfStyle w:val="000000000000" w:firstRow="0" w:lastRow="0" w:firstColumn="0" w:lastColumn="0" w:oddVBand="0" w:evenVBand="0" w:oddHBand="0" w:evenHBand="0" w:firstRowFirstColumn="0" w:firstRowLastColumn="0" w:lastRowFirstColumn="0" w:lastRowLastColumn="0"/>
            </w:pPr>
            <w:r>
              <w:t>86 504</w:t>
            </w:r>
          </w:p>
        </w:tc>
        <w:tc>
          <w:tcPr>
            <w:tcW w:w="907" w:type="dxa"/>
          </w:tcPr>
          <w:p w14:paraId="25E7E06B" w14:textId="77777777" w:rsidR="005E614D" w:rsidRDefault="000C3A94">
            <w:pPr>
              <w:cnfStyle w:val="000000000000" w:firstRow="0" w:lastRow="0" w:firstColumn="0" w:lastColumn="0" w:oddVBand="0" w:evenVBand="0" w:oddHBand="0" w:evenHBand="0" w:firstRowFirstColumn="0" w:firstRowLastColumn="0" w:lastRowFirstColumn="0" w:lastRowLastColumn="0"/>
            </w:pPr>
            <w:r>
              <w:t>(1 600)</w:t>
            </w:r>
          </w:p>
        </w:tc>
        <w:tc>
          <w:tcPr>
            <w:tcW w:w="907" w:type="dxa"/>
          </w:tcPr>
          <w:p w14:paraId="4B993E4A" w14:textId="77777777" w:rsidR="005E614D" w:rsidRDefault="000C3A94">
            <w:pPr>
              <w:cnfStyle w:val="000000000000" w:firstRow="0" w:lastRow="0" w:firstColumn="0" w:lastColumn="0" w:oddVBand="0" w:evenVBand="0" w:oddHBand="0" w:evenHBand="0" w:firstRowFirstColumn="0" w:firstRowLastColumn="0" w:lastRowFirstColumn="0" w:lastRowLastColumn="0"/>
            </w:pPr>
            <w:r>
              <w:t>88 104</w:t>
            </w:r>
          </w:p>
        </w:tc>
        <w:tc>
          <w:tcPr>
            <w:tcW w:w="907" w:type="dxa"/>
          </w:tcPr>
          <w:p w14:paraId="50F7796B" w14:textId="77777777" w:rsidR="005E614D" w:rsidRDefault="000C3A94">
            <w:pPr>
              <w:cnfStyle w:val="000000000000" w:firstRow="0" w:lastRow="0" w:firstColumn="0" w:lastColumn="0" w:oddVBand="0" w:evenVBand="0" w:oddHBand="0" w:evenHBand="0" w:firstRowFirstColumn="0" w:firstRowLastColumn="0" w:lastRowFirstColumn="0" w:lastRowLastColumn="0"/>
            </w:pPr>
            <w:r>
              <w:t>3 459</w:t>
            </w:r>
          </w:p>
        </w:tc>
        <w:tc>
          <w:tcPr>
            <w:tcW w:w="907" w:type="dxa"/>
          </w:tcPr>
          <w:p w14:paraId="40F9E439" w14:textId="77777777" w:rsidR="005E614D" w:rsidRDefault="000C3A94">
            <w:pPr>
              <w:cnfStyle w:val="000000000000" w:firstRow="0" w:lastRow="0" w:firstColumn="0" w:lastColumn="0" w:oddVBand="0" w:evenVBand="0" w:oddHBand="0" w:evenHBand="0" w:firstRowFirstColumn="0" w:firstRowLastColumn="0" w:lastRowFirstColumn="0" w:lastRowLastColumn="0"/>
            </w:pPr>
            <w:r>
              <w:t>83 045</w:t>
            </w:r>
          </w:p>
        </w:tc>
      </w:tr>
      <w:tr w:rsidR="005E614D" w14:paraId="060CE620" w14:textId="77777777">
        <w:tc>
          <w:tcPr>
            <w:cnfStyle w:val="001000000000" w:firstRow="0" w:lastRow="0" w:firstColumn="1" w:lastColumn="0" w:oddVBand="0" w:evenVBand="0" w:oddHBand="0" w:evenHBand="0" w:firstRowFirstColumn="0" w:firstRowLastColumn="0" w:lastRowFirstColumn="0" w:lastRowLastColumn="0"/>
            <w:tcW w:w="5103" w:type="dxa"/>
          </w:tcPr>
          <w:p w14:paraId="3CF95C83" w14:textId="77777777" w:rsidR="005E614D" w:rsidRDefault="000C3A94">
            <w:r>
              <w:t>Public financial corporations</w:t>
            </w:r>
          </w:p>
        </w:tc>
        <w:tc>
          <w:tcPr>
            <w:tcW w:w="907" w:type="dxa"/>
          </w:tcPr>
          <w:p w14:paraId="455EF404" w14:textId="77777777" w:rsidR="005E614D" w:rsidRDefault="000C3A94">
            <w:pPr>
              <w:cnfStyle w:val="000000000000" w:firstRow="0" w:lastRow="0" w:firstColumn="0" w:lastColumn="0" w:oddVBand="0" w:evenVBand="0" w:oddHBand="0" w:evenHBand="0" w:firstRowFirstColumn="0" w:firstRowLastColumn="0" w:lastRowFirstColumn="0" w:lastRowLastColumn="0"/>
            </w:pPr>
            <w:r>
              <w:t>9 898</w:t>
            </w:r>
          </w:p>
        </w:tc>
        <w:tc>
          <w:tcPr>
            <w:tcW w:w="907" w:type="dxa"/>
          </w:tcPr>
          <w:p w14:paraId="66C422E7" w14:textId="77777777" w:rsidR="005E614D" w:rsidRDefault="000C3A94">
            <w:pPr>
              <w:cnfStyle w:val="000000000000" w:firstRow="0" w:lastRow="0" w:firstColumn="0" w:lastColumn="0" w:oddVBand="0" w:evenVBand="0" w:oddHBand="0" w:evenHBand="0" w:firstRowFirstColumn="0" w:firstRowLastColumn="0" w:lastRowFirstColumn="0" w:lastRowLastColumn="0"/>
            </w:pPr>
            <w:r>
              <w:t>(2 662)</w:t>
            </w:r>
          </w:p>
        </w:tc>
        <w:tc>
          <w:tcPr>
            <w:tcW w:w="907" w:type="dxa"/>
          </w:tcPr>
          <w:p w14:paraId="0D7BF5E0" w14:textId="77777777" w:rsidR="005E614D" w:rsidRDefault="000C3A94">
            <w:pPr>
              <w:cnfStyle w:val="000000000000" w:firstRow="0" w:lastRow="0" w:firstColumn="0" w:lastColumn="0" w:oddVBand="0" w:evenVBand="0" w:oddHBand="0" w:evenHBand="0" w:firstRowFirstColumn="0" w:firstRowLastColumn="0" w:lastRowFirstColumn="0" w:lastRowLastColumn="0"/>
            </w:pPr>
            <w:r>
              <w:t>12 559</w:t>
            </w:r>
          </w:p>
        </w:tc>
        <w:tc>
          <w:tcPr>
            <w:tcW w:w="907" w:type="dxa"/>
          </w:tcPr>
          <w:p w14:paraId="679452D0" w14:textId="77777777" w:rsidR="005E614D" w:rsidRDefault="000C3A94">
            <w:pPr>
              <w:cnfStyle w:val="000000000000" w:firstRow="0" w:lastRow="0" w:firstColumn="0" w:lastColumn="0" w:oddVBand="0" w:evenVBand="0" w:oddHBand="0" w:evenHBand="0" w:firstRowFirstColumn="0" w:firstRowLastColumn="0" w:lastRowFirstColumn="0" w:lastRowLastColumn="0"/>
            </w:pPr>
            <w:r>
              <w:t>(5 236)</w:t>
            </w:r>
          </w:p>
        </w:tc>
        <w:tc>
          <w:tcPr>
            <w:tcW w:w="907" w:type="dxa"/>
          </w:tcPr>
          <w:p w14:paraId="4039D77E" w14:textId="77777777" w:rsidR="005E614D" w:rsidRDefault="000C3A94">
            <w:pPr>
              <w:cnfStyle w:val="000000000000" w:firstRow="0" w:lastRow="0" w:firstColumn="0" w:lastColumn="0" w:oddVBand="0" w:evenVBand="0" w:oddHBand="0" w:evenHBand="0" w:firstRowFirstColumn="0" w:firstRowLastColumn="0" w:lastRowFirstColumn="0" w:lastRowLastColumn="0"/>
            </w:pPr>
            <w:r>
              <w:t>15 134</w:t>
            </w:r>
          </w:p>
        </w:tc>
      </w:tr>
      <w:tr w:rsidR="005E614D" w14:paraId="77B71E4F"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7E51BF0" w14:textId="77777777" w:rsidR="005E614D" w:rsidRDefault="000C3A94">
            <w:r>
              <w:t>Non</w:t>
            </w:r>
            <w:r>
              <w:noBreakHyphen/>
              <w:t>financial assets</w:t>
            </w:r>
          </w:p>
        </w:tc>
        <w:tc>
          <w:tcPr>
            <w:tcW w:w="907" w:type="dxa"/>
            <w:tcBorders>
              <w:bottom w:val="single" w:sz="6" w:space="0" w:color="auto"/>
            </w:tcBorders>
          </w:tcPr>
          <w:p w14:paraId="6B6D9682" w14:textId="77777777" w:rsidR="005E614D" w:rsidRDefault="000C3A94">
            <w:pPr>
              <w:cnfStyle w:val="000000000000" w:firstRow="0" w:lastRow="0" w:firstColumn="0" w:lastColumn="0" w:oddVBand="0" w:evenVBand="0" w:oddHBand="0" w:evenHBand="0" w:firstRowFirstColumn="0" w:firstRowLastColumn="0" w:lastRowFirstColumn="0" w:lastRowLastColumn="0"/>
            </w:pPr>
            <w:r>
              <w:t>295 573</w:t>
            </w:r>
          </w:p>
        </w:tc>
        <w:tc>
          <w:tcPr>
            <w:tcW w:w="907" w:type="dxa"/>
            <w:tcBorders>
              <w:bottom w:val="single" w:sz="6" w:space="0" w:color="auto"/>
            </w:tcBorders>
          </w:tcPr>
          <w:p w14:paraId="6633EEA3" w14:textId="77777777" w:rsidR="005E614D" w:rsidRDefault="000C3A94">
            <w:pPr>
              <w:cnfStyle w:val="000000000000" w:firstRow="0" w:lastRow="0" w:firstColumn="0" w:lastColumn="0" w:oddVBand="0" w:evenVBand="0" w:oddHBand="0" w:evenHBand="0" w:firstRowFirstColumn="0" w:firstRowLastColumn="0" w:lastRowFirstColumn="0" w:lastRowLastColumn="0"/>
            </w:pPr>
            <w:r>
              <w:t>1 508</w:t>
            </w:r>
          </w:p>
        </w:tc>
        <w:tc>
          <w:tcPr>
            <w:tcW w:w="907" w:type="dxa"/>
            <w:tcBorders>
              <w:bottom w:val="single" w:sz="6" w:space="0" w:color="auto"/>
            </w:tcBorders>
          </w:tcPr>
          <w:p w14:paraId="7156D554" w14:textId="77777777" w:rsidR="005E614D" w:rsidRDefault="000C3A94">
            <w:pPr>
              <w:cnfStyle w:val="000000000000" w:firstRow="0" w:lastRow="0" w:firstColumn="0" w:lastColumn="0" w:oddVBand="0" w:evenVBand="0" w:oddHBand="0" w:evenHBand="0" w:firstRowFirstColumn="0" w:firstRowLastColumn="0" w:lastRowFirstColumn="0" w:lastRowLastColumn="0"/>
            </w:pPr>
            <w:r>
              <w:t>294 065</w:t>
            </w:r>
          </w:p>
        </w:tc>
        <w:tc>
          <w:tcPr>
            <w:tcW w:w="907" w:type="dxa"/>
            <w:tcBorders>
              <w:bottom w:val="single" w:sz="6" w:space="0" w:color="auto"/>
            </w:tcBorders>
          </w:tcPr>
          <w:p w14:paraId="2B42E9DC" w14:textId="77777777" w:rsidR="005E614D" w:rsidRDefault="000C3A94">
            <w:pPr>
              <w:cnfStyle w:val="000000000000" w:firstRow="0" w:lastRow="0" w:firstColumn="0" w:lastColumn="0" w:oddVBand="0" w:evenVBand="0" w:oddHBand="0" w:evenHBand="0" w:firstRowFirstColumn="0" w:firstRowLastColumn="0" w:lastRowFirstColumn="0" w:lastRowLastColumn="0"/>
            </w:pPr>
            <w:r>
              <w:t>19 027</w:t>
            </w:r>
          </w:p>
        </w:tc>
        <w:tc>
          <w:tcPr>
            <w:tcW w:w="907" w:type="dxa"/>
            <w:tcBorders>
              <w:bottom w:val="single" w:sz="6" w:space="0" w:color="auto"/>
            </w:tcBorders>
          </w:tcPr>
          <w:p w14:paraId="41125797" w14:textId="77777777" w:rsidR="005E614D" w:rsidRDefault="000C3A94">
            <w:pPr>
              <w:cnfStyle w:val="000000000000" w:firstRow="0" w:lastRow="0" w:firstColumn="0" w:lastColumn="0" w:oddVBand="0" w:evenVBand="0" w:oddHBand="0" w:evenHBand="0" w:firstRowFirstColumn="0" w:firstRowLastColumn="0" w:lastRowFirstColumn="0" w:lastRowLastColumn="0"/>
            </w:pPr>
            <w:r>
              <w:t>276 546</w:t>
            </w:r>
          </w:p>
        </w:tc>
      </w:tr>
      <w:tr w:rsidR="005E614D" w14:paraId="0717D413"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712B077" w14:textId="77777777" w:rsidR="005E614D" w:rsidRDefault="000C3A94">
            <w:r>
              <w:rPr>
                <w:b/>
              </w:rPr>
              <w:t>Total assets</w:t>
            </w:r>
          </w:p>
        </w:tc>
        <w:tc>
          <w:tcPr>
            <w:tcW w:w="907" w:type="dxa"/>
            <w:tcBorders>
              <w:top w:val="single" w:sz="6" w:space="0" w:color="auto"/>
            </w:tcBorders>
          </w:tcPr>
          <w:p w14:paraId="3308912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440 305</w:t>
            </w:r>
          </w:p>
        </w:tc>
        <w:tc>
          <w:tcPr>
            <w:tcW w:w="907" w:type="dxa"/>
            <w:tcBorders>
              <w:top w:val="single" w:sz="6" w:space="0" w:color="auto"/>
            </w:tcBorders>
          </w:tcPr>
          <w:p w14:paraId="6AB49F4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204</w:t>
            </w:r>
          </w:p>
        </w:tc>
        <w:tc>
          <w:tcPr>
            <w:tcW w:w="907" w:type="dxa"/>
            <w:tcBorders>
              <w:top w:val="single" w:sz="6" w:space="0" w:color="auto"/>
            </w:tcBorders>
          </w:tcPr>
          <w:p w14:paraId="2E4ECC5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440 101</w:t>
            </w:r>
          </w:p>
        </w:tc>
        <w:tc>
          <w:tcPr>
            <w:tcW w:w="907" w:type="dxa"/>
            <w:tcBorders>
              <w:top w:val="single" w:sz="6" w:space="0" w:color="auto"/>
            </w:tcBorders>
          </w:tcPr>
          <w:p w14:paraId="2002213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18 682</w:t>
            </w:r>
          </w:p>
        </w:tc>
        <w:tc>
          <w:tcPr>
            <w:tcW w:w="907" w:type="dxa"/>
            <w:tcBorders>
              <w:top w:val="single" w:sz="6" w:space="0" w:color="auto"/>
            </w:tcBorders>
          </w:tcPr>
          <w:p w14:paraId="0CC1EFC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421 623</w:t>
            </w:r>
          </w:p>
        </w:tc>
      </w:tr>
      <w:tr w:rsidR="005E614D" w14:paraId="1C62F9C1" w14:textId="77777777">
        <w:tc>
          <w:tcPr>
            <w:cnfStyle w:val="001000000000" w:firstRow="0" w:lastRow="0" w:firstColumn="1" w:lastColumn="0" w:oddVBand="0" w:evenVBand="0" w:oddHBand="0" w:evenHBand="0" w:firstRowFirstColumn="0" w:firstRowLastColumn="0" w:lastRowFirstColumn="0" w:lastRowLastColumn="0"/>
            <w:tcW w:w="5103" w:type="dxa"/>
          </w:tcPr>
          <w:p w14:paraId="382F9446" w14:textId="77777777" w:rsidR="005E614D" w:rsidRDefault="000C3A94">
            <w:r>
              <w:rPr>
                <w:b/>
              </w:rPr>
              <w:t>Liabilities</w:t>
            </w:r>
          </w:p>
        </w:tc>
        <w:tc>
          <w:tcPr>
            <w:tcW w:w="907" w:type="dxa"/>
          </w:tcPr>
          <w:p w14:paraId="1458243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1471085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F5A200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F8BF41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71F71F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FB87A87" w14:textId="77777777">
        <w:tc>
          <w:tcPr>
            <w:cnfStyle w:val="001000000000" w:firstRow="0" w:lastRow="0" w:firstColumn="1" w:lastColumn="0" w:oddVBand="0" w:evenVBand="0" w:oddHBand="0" w:evenHBand="0" w:firstRowFirstColumn="0" w:firstRowLastColumn="0" w:lastRowFirstColumn="0" w:lastRowLastColumn="0"/>
            <w:tcW w:w="5103" w:type="dxa"/>
          </w:tcPr>
          <w:p w14:paraId="1C14145E" w14:textId="77777777" w:rsidR="005E614D" w:rsidRDefault="000C3A94">
            <w:r>
              <w:t>Superannuation</w:t>
            </w:r>
          </w:p>
        </w:tc>
        <w:tc>
          <w:tcPr>
            <w:tcW w:w="907" w:type="dxa"/>
          </w:tcPr>
          <w:p w14:paraId="495E16EA"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c>
          <w:tcPr>
            <w:tcW w:w="907" w:type="dxa"/>
          </w:tcPr>
          <w:p w14:paraId="39A1F4C3" w14:textId="77777777" w:rsidR="005E614D" w:rsidRDefault="000C3A94">
            <w:pPr>
              <w:cnfStyle w:val="000000000000" w:firstRow="0" w:lastRow="0" w:firstColumn="0" w:lastColumn="0" w:oddVBand="0" w:evenVBand="0" w:oddHBand="0" w:evenHBand="0" w:firstRowFirstColumn="0" w:firstRowLastColumn="0" w:lastRowFirstColumn="0" w:lastRowLastColumn="0"/>
            </w:pPr>
            <w:r>
              <w:t>885</w:t>
            </w:r>
          </w:p>
        </w:tc>
        <w:tc>
          <w:tcPr>
            <w:tcW w:w="907" w:type="dxa"/>
          </w:tcPr>
          <w:p w14:paraId="1537A9F2" w14:textId="77777777" w:rsidR="005E614D" w:rsidRDefault="000C3A94">
            <w:pPr>
              <w:cnfStyle w:val="000000000000" w:firstRow="0" w:lastRow="0" w:firstColumn="0" w:lastColumn="0" w:oddVBand="0" w:evenVBand="0" w:oddHBand="0" w:evenHBand="0" w:firstRowFirstColumn="0" w:firstRowLastColumn="0" w:lastRowFirstColumn="0" w:lastRowLastColumn="0"/>
            </w:pPr>
            <w:r>
              <w:t>17 399</w:t>
            </w:r>
          </w:p>
        </w:tc>
        <w:tc>
          <w:tcPr>
            <w:tcW w:w="907" w:type="dxa"/>
          </w:tcPr>
          <w:p w14:paraId="137F58DF" w14:textId="77777777" w:rsidR="005E614D" w:rsidRDefault="000C3A94">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17812015"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18 226</w:t>
            </w:r>
          </w:p>
        </w:tc>
      </w:tr>
      <w:tr w:rsidR="005E614D" w14:paraId="441B4729" w14:textId="77777777">
        <w:tc>
          <w:tcPr>
            <w:cnfStyle w:val="001000000000" w:firstRow="0" w:lastRow="0" w:firstColumn="1" w:lastColumn="0" w:oddVBand="0" w:evenVBand="0" w:oddHBand="0" w:evenHBand="0" w:firstRowFirstColumn="0" w:firstRowLastColumn="0" w:lastRowFirstColumn="0" w:lastRowLastColumn="0"/>
            <w:tcW w:w="5103" w:type="dxa"/>
          </w:tcPr>
          <w:p w14:paraId="73417005" w14:textId="77777777" w:rsidR="005E614D" w:rsidRDefault="000C3A94">
            <w:r>
              <w:t>Borrowings</w:t>
            </w:r>
          </w:p>
        </w:tc>
        <w:tc>
          <w:tcPr>
            <w:tcW w:w="907" w:type="dxa"/>
          </w:tcPr>
          <w:p w14:paraId="30736DFF" w14:textId="77777777" w:rsidR="005E614D" w:rsidRDefault="000C3A94">
            <w:pPr>
              <w:cnfStyle w:val="000000000000" w:firstRow="0" w:lastRow="0" w:firstColumn="0" w:lastColumn="0" w:oddVBand="0" w:evenVBand="0" w:oddHBand="0" w:evenHBand="0" w:firstRowFirstColumn="0" w:firstRowLastColumn="0" w:lastRowFirstColumn="0" w:lastRowLastColumn="0"/>
            </w:pPr>
            <w:r>
              <w:t>186 259</w:t>
            </w:r>
          </w:p>
        </w:tc>
        <w:tc>
          <w:tcPr>
            <w:tcW w:w="907" w:type="dxa"/>
          </w:tcPr>
          <w:p w14:paraId="574FA4FB"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(2 036)</w:t>
            </w:r>
          </w:p>
        </w:tc>
        <w:tc>
          <w:tcPr>
            <w:tcW w:w="907" w:type="dxa"/>
          </w:tcPr>
          <w:p w14:paraId="257906C1" w14:textId="77777777" w:rsidR="005E614D" w:rsidRDefault="000C3A94">
            <w:pPr>
              <w:cnfStyle w:val="000000000000" w:firstRow="0" w:lastRow="0" w:firstColumn="0" w:lastColumn="0" w:oddVBand="0" w:evenVBand="0" w:oddHBand="0" w:evenHBand="0" w:firstRowFirstColumn="0" w:firstRowLastColumn="0" w:lastRowFirstColumn="0" w:lastRowLastColumn="0"/>
            </w:pPr>
            <w:r>
              <w:t>188 295</w:t>
            </w:r>
          </w:p>
        </w:tc>
        <w:tc>
          <w:tcPr>
            <w:tcW w:w="907" w:type="dxa"/>
          </w:tcPr>
          <w:p w14:paraId="2F04DE39" w14:textId="77777777" w:rsidR="005E614D" w:rsidRDefault="000C3A94">
            <w:pPr>
              <w:cnfStyle w:val="000000000000" w:firstRow="0" w:lastRow="0" w:firstColumn="0" w:lastColumn="0" w:oddVBand="0" w:evenVBand="0" w:oddHBand="0" w:evenHBand="0" w:firstRowFirstColumn="0" w:firstRowLastColumn="0" w:lastRowFirstColumn="0" w:lastRowLastColumn="0"/>
            </w:pPr>
            <w:r>
              <w:t>18 950</w:t>
            </w:r>
          </w:p>
        </w:tc>
        <w:tc>
          <w:tcPr>
            <w:tcW w:w="907" w:type="dxa"/>
          </w:tcPr>
          <w:p w14:paraId="68CE0ED1" w14:textId="77777777" w:rsidR="005E614D" w:rsidRDefault="000C3A94">
            <w:pPr>
              <w:cnfStyle w:val="000000000000" w:firstRow="0" w:lastRow="0" w:firstColumn="0" w:lastColumn="0" w:oddVBand="0" w:evenVBand="0" w:oddHBand="0" w:evenHBand="0" w:firstRowFirstColumn="0" w:firstRowLastColumn="0" w:lastRowFirstColumn="0" w:lastRowLastColumn="0"/>
            </w:pPr>
            <w:r>
              <w:t>167 309</w:t>
            </w:r>
          </w:p>
        </w:tc>
      </w:tr>
      <w:tr w:rsidR="005E614D" w14:paraId="3BE0B0F3"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585C490" w14:textId="77777777" w:rsidR="005E614D" w:rsidRDefault="000C3A94">
            <w:r>
              <w:t>Other liabilities</w:t>
            </w:r>
          </w:p>
        </w:tc>
        <w:tc>
          <w:tcPr>
            <w:tcW w:w="907" w:type="dxa"/>
            <w:tcBorders>
              <w:bottom w:val="single" w:sz="6" w:space="0" w:color="auto"/>
            </w:tcBorders>
          </w:tcPr>
          <w:p w14:paraId="57D2ABE4" w14:textId="77777777" w:rsidR="005E614D" w:rsidRDefault="000C3A94">
            <w:pPr>
              <w:cnfStyle w:val="000000000000" w:firstRow="0" w:lastRow="0" w:firstColumn="0" w:lastColumn="0" w:oddVBand="0" w:evenVBand="0" w:oddHBand="0" w:evenHBand="0" w:firstRowFirstColumn="0" w:firstRowLastColumn="0" w:lastRowFirstColumn="0" w:lastRowLastColumn="0"/>
            </w:pPr>
            <w:r>
              <w:t>46 456</w:t>
            </w:r>
          </w:p>
        </w:tc>
        <w:tc>
          <w:tcPr>
            <w:tcW w:w="907" w:type="dxa"/>
            <w:tcBorders>
              <w:bottom w:val="single" w:sz="6" w:space="0" w:color="auto"/>
            </w:tcBorders>
          </w:tcPr>
          <w:p w14:paraId="48193307" w14:textId="77777777" w:rsidR="005E614D" w:rsidRDefault="000C3A94">
            <w:pPr>
              <w:cnfStyle w:val="000000000000" w:firstRow="0" w:lastRow="0" w:firstColumn="0" w:lastColumn="0" w:oddVBand="0" w:evenVBand="0" w:oddHBand="0" w:evenHBand="0" w:firstRowFirstColumn="0" w:firstRowLastColumn="0" w:lastRowFirstColumn="0" w:lastRowLastColumn="0"/>
            </w:pPr>
            <w:r>
              <w:t>1 690</w:t>
            </w:r>
          </w:p>
        </w:tc>
        <w:tc>
          <w:tcPr>
            <w:tcW w:w="907" w:type="dxa"/>
            <w:tcBorders>
              <w:bottom w:val="single" w:sz="6" w:space="0" w:color="auto"/>
            </w:tcBorders>
          </w:tcPr>
          <w:p w14:paraId="09C76E49" w14:textId="77777777" w:rsidR="005E614D" w:rsidRDefault="000C3A94">
            <w:pPr>
              <w:cnfStyle w:val="000000000000" w:firstRow="0" w:lastRow="0" w:firstColumn="0" w:lastColumn="0" w:oddVBand="0" w:evenVBand="0" w:oddHBand="0" w:evenHBand="0" w:firstRowFirstColumn="0" w:firstRowLastColumn="0" w:lastRowFirstColumn="0" w:lastRowLastColumn="0"/>
            </w:pPr>
            <w:r>
              <w:t>44 765</w:t>
            </w:r>
          </w:p>
        </w:tc>
        <w:tc>
          <w:tcPr>
            <w:tcW w:w="907" w:type="dxa"/>
            <w:tcBorders>
              <w:bottom w:val="single" w:sz="6" w:space="0" w:color="auto"/>
            </w:tcBorders>
          </w:tcPr>
          <w:p w14:paraId="42DE98B9" w14:textId="77777777" w:rsidR="005E614D" w:rsidRDefault="000C3A94">
            <w:pPr>
              <w:cnfStyle w:val="000000000000" w:firstRow="0" w:lastRow="0" w:firstColumn="0" w:lastColumn="0" w:oddVBand="0" w:evenVBand="0" w:oddHBand="0" w:evenHBand="0" w:firstRowFirstColumn="0" w:firstRowLastColumn="0" w:lastRowFirstColumn="0" w:lastRowLastColumn="0"/>
            </w:pPr>
            <w:r>
              <w:t>227</w:t>
            </w:r>
          </w:p>
        </w:tc>
        <w:tc>
          <w:tcPr>
            <w:tcW w:w="907" w:type="dxa"/>
            <w:tcBorders>
              <w:bottom w:val="single" w:sz="6" w:space="0" w:color="auto"/>
            </w:tcBorders>
          </w:tcPr>
          <w:p w14:paraId="7095BF81" w14:textId="77777777" w:rsidR="005E614D" w:rsidRDefault="000C3A94">
            <w:pPr>
              <w:cnfStyle w:val="000000000000" w:firstRow="0" w:lastRow="0" w:firstColumn="0" w:lastColumn="0" w:oddVBand="0" w:evenVBand="0" w:oddHBand="0" w:evenHBand="0" w:firstRowFirstColumn="0" w:firstRowLastColumn="0" w:lastRowFirstColumn="0" w:lastRowLastColumn="0"/>
            </w:pPr>
            <w:r>
              <w:t>46 229</w:t>
            </w:r>
          </w:p>
        </w:tc>
      </w:tr>
      <w:tr w:rsidR="005E614D" w14:paraId="0627AA50"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5F12222" w14:textId="77777777" w:rsidR="005E614D" w:rsidRDefault="000C3A94">
            <w:r>
              <w:rPr>
                <w:b/>
              </w:rPr>
              <w:t>Total liabilities</w:t>
            </w:r>
          </w:p>
        </w:tc>
        <w:tc>
          <w:tcPr>
            <w:tcW w:w="907" w:type="dxa"/>
            <w:tcBorders>
              <w:top w:val="single" w:sz="6" w:space="0" w:color="auto"/>
              <w:bottom w:val="single" w:sz="6" w:space="0" w:color="auto"/>
            </w:tcBorders>
          </w:tcPr>
          <w:p w14:paraId="7EB7539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250 999</w:t>
            </w:r>
          </w:p>
        </w:tc>
        <w:tc>
          <w:tcPr>
            <w:tcW w:w="907" w:type="dxa"/>
            <w:tcBorders>
              <w:top w:val="single" w:sz="6" w:space="0" w:color="auto"/>
              <w:bottom w:val="single" w:sz="6" w:space="0" w:color="auto"/>
            </w:tcBorders>
          </w:tcPr>
          <w:p w14:paraId="5A0F58A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539</w:t>
            </w:r>
          </w:p>
        </w:tc>
        <w:tc>
          <w:tcPr>
            <w:tcW w:w="907" w:type="dxa"/>
            <w:tcBorders>
              <w:top w:val="single" w:sz="6" w:space="0" w:color="auto"/>
              <w:bottom w:val="single" w:sz="6" w:space="0" w:color="auto"/>
            </w:tcBorders>
          </w:tcPr>
          <w:p w14:paraId="19C97F9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250 459</w:t>
            </w:r>
          </w:p>
        </w:tc>
        <w:tc>
          <w:tcPr>
            <w:tcW w:w="907" w:type="dxa"/>
            <w:tcBorders>
              <w:top w:val="single" w:sz="6" w:space="0" w:color="auto"/>
              <w:bottom w:val="single" w:sz="6" w:space="0" w:color="auto"/>
            </w:tcBorders>
          </w:tcPr>
          <w:p w14:paraId="6230E48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19 235</w:t>
            </w:r>
          </w:p>
        </w:tc>
        <w:tc>
          <w:tcPr>
            <w:tcW w:w="907" w:type="dxa"/>
            <w:tcBorders>
              <w:top w:val="single" w:sz="6" w:space="0" w:color="auto"/>
              <w:bottom w:val="single" w:sz="6" w:space="0" w:color="auto"/>
            </w:tcBorders>
          </w:tcPr>
          <w:p w14:paraId="08BAED2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231 764</w:t>
            </w:r>
          </w:p>
        </w:tc>
      </w:tr>
      <w:tr w:rsidR="005E614D" w14:paraId="0A00D1DB"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ABD6FB1" w14:textId="77777777" w:rsidR="005E614D" w:rsidRDefault="000C3A94">
            <w:r>
              <w:rPr>
                <w:b/>
              </w:rPr>
              <w:t>Net assets</w:t>
            </w:r>
          </w:p>
        </w:tc>
        <w:tc>
          <w:tcPr>
            <w:tcW w:w="907" w:type="dxa"/>
            <w:tcBorders>
              <w:top w:val="single" w:sz="6" w:space="0" w:color="auto"/>
              <w:bottom w:val="single" w:sz="12" w:space="0" w:color="auto"/>
            </w:tcBorders>
          </w:tcPr>
          <w:p w14:paraId="1072AEB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907" w:type="dxa"/>
            <w:tcBorders>
              <w:top w:val="single" w:sz="6" w:space="0" w:color="auto"/>
              <w:bottom w:val="single" w:sz="12" w:space="0" w:color="auto"/>
            </w:tcBorders>
          </w:tcPr>
          <w:p w14:paraId="1AA5A56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(335)</w:t>
            </w:r>
          </w:p>
        </w:tc>
        <w:tc>
          <w:tcPr>
            <w:tcW w:w="907" w:type="dxa"/>
            <w:tcBorders>
              <w:top w:val="single" w:sz="6" w:space="0" w:color="auto"/>
              <w:bottom w:val="single" w:sz="12" w:space="0" w:color="auto"/>
            </w:tcBorders>
          </w:tcPr>
          <w:p w14:paraId="5FC6609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189 642</w:t>
            </w:r>
          </w:p>
        </w:tc>
        <w:tc>
          <w:tcPr>
            <w:tcW w:w="907" w:type="dxa"/>
            <w:tcBorders>
              <w:top w:val="single" w:sz="6" w:space="0" w:color="auto"/>
              <w:bottom w:val="single" w:sz="12" w:space="0" w:color="auto"/>
            </w:tcBorders>
          </w:tcPr>
          <w:p w14:paraId="58745F5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(553)</w:t>
            </w:r>
          </w:p>
        </w:tc>
        <w:tc>
          <w:tcPr>
            <w:tcW w:w="907" w:type="dxa"/>
            <w:tcBorders>
              <w:top w:val="single" w:sz="6" w:space="0" w:color="auto"/>
              <w:bottom w:val="single" w:sz="12" w:space="0" w:color="auto"/>
            </w:tcBorders>
          </w:tcPr>
          <w:p w14:paraId="037A685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bl>
    <w:p w14:paraId="32C9174E" w14:textId="77777777" w:rsidR="00366656" w:rsidRDefault="00366656" w:rsidP="00366656"/>
    <w:p w14:paraId="78253300" w14:textId="77777777" w:rsidR="00C9037F" w:rsidRDefault="00C9037F" w:rsidP="00366656">
      <w:pPr>
        <w:pStyle w:val="Heading2"/>
        <w:spacing w:before="0"/>
        <w:sectPr w:rsidR="00C9037F" w:rsidSect="00CC1335">
          <w:type w:val="continuous"/>
          <w:pgSz w:w="11906" w:h="16838" w:code="9"/>
          <w:pgMar w:top="1134" w:right="1134" w:bottom="1134" w:left="1134" w:header="624" w:footer="567" w:gutter="0"/>
          <w:cols w:space="708"/>
          <w:docGrid w:linePitch="360"/>
        </w:sectPr>
      </w:pPr>
    </w:p>
    <w:p w14:paraId="451B7B1C" w14:textId="77777777" w:rsidR="00366656" w:rsidRPr="004A7E07" w:rsidRDefault="00366656" w:rsidP="00366656">
      <w:pPr>
        <w:pStyle w:val="Heading2"/>
        <w:spacing w:before="0"/>
      </w:pPr>
      <w:r w:rsidRPr="005F49EC">
        <w:t>Assets</w:t>
      </w:r>
    </w:p>
    <w:p w14:paraId="4A4EC294" w14:textId="747C627F" w:rsidR="00366656" w:rsidRPr="004A7E07" w:rsidRDefault="00366656" w:rsidP="00366656">
      <w:r w:rsidRPr="00DE1387">
        <w:t xml:space="preserve">Financial assets in Table 2.4 include cash, investments, loans and placements. The value of financial assets </w:t>
      </w:r>
      <w:r w:rsidRPr="006F5D6B">
        <w:t>held by the general government sector increased by $</w:t>
      </w:r>
      <w:r w:rsidR="003A79DA">
        <w:t>1.</w:t>
      </w:r>
      <w:r w:rsidR="00D46B7D">
        <w:t>4</w:t>
      </w:r>
      <w:r w:rsidRPr="006F5D6B">
        <w:t> </w:t>
      </w:r>
      <w:r w:rsidR="003A79DA">
        <w:t>b</w:t>
      </w:r>
      <w:r w:rsidRPr="006F5D6B">
        <w:t xml:space="preserve">illion during the year. The increase is mainly </w:t>
      </w:r>
      <w:r>
        <w:t>due to</w:t>
      </w:r>
      <w:r w:rsidR="005244CF" w:rsidRPr="005244CF">
        <w:t xml:space="preserve"> an increase in investments associated with the Victorian Homebuyer Fund, Victorian Future Fund, and the Social Housing Growth Fund</w:t>
      </w:r>
      <w:r w:rsidR="00AE70F5">
        <w:t xml:space="preserve">. </w:t>
      </w:r>
      <w:r w:rsidR="001B44C0">
        <w:t>Additionally</w:t>
      </w:r>
      <w:r w:rsidR="00270C41">
        <w:t>,</w:t>
      </w:r>
      <w:r w:rsidR="002A0BED">
        <w:t xml:space="preserve"> </w:t>
      </w:r>
      <w:r w:rsidR="00550BA0" w:rsidRPr="00550BA0">
        <w:t xml:space="preserve">the valuation gains associated with </w:t>
      </w:r>
      <w:r w:rsidR="002A0BED" w:rsidRPr="00A65AE2">
        <w:t xml:space="preserve">the VRET </w:t>
      </w:r>
      <w:r w:rsidR="009753C8" w:rsidRPr="005D5F58">
        <w:t>and Bulgana Green Power Hub</w:t>
      </w:r>
      <w:r w:rsidR="009753C8" w:rsidRPr="007D3C8E">
        <w:t xml:space="preserve"> </w:t>
      </w:r>
      <w:r w:rsidR="006F5116" w:rsidRPr="006F5116">
        <w:t xml:space="preserve">financial derivatives </w:t>
      </w:r>
      <w:r w:rsidR="007D3C8E" w:rsidRPr="007D3C8E">
        <w:t>also contributed to the overall increase</w:t>
      </w:r>
      <w:r w:rsidR="00451F7A">
        <w:t>.</w:t>
      </w:r>
      <w:r w:rsidR="00056B99">
        <w:t xml:space="preserve"> </w:t>
      </w:r>
      <w:r w:rsidR="00AE70F5">
        <w:t xml:space="preserve">The increase </w:t>
      </w:r>
      <w:r w:rsidR="0020217A">
        <w:t xml:space="preserve">was partially offset by </w:t>
      </w:r>
      <w:r w:rsidR="00B91F18">
        <w:t xml:space="preserve">a </w:t>
      </w:r>
      <w:r w:rsidR="00B91F18" w:rsidRPr="00B91F18">
        <w:t xml:space="preserve">decrease in cash and deposits </w:t>
      </w:r>
      <w:r w:rsidR="00DE50AC" w:rsidRPr="00DE50AC">
        <w:t>due to meeting the State</w:t>
      </w:r>
      <w:r w:rsidR="00845934">
        <w:t>’</w:t>
      </w:r>
      <w:r w:rsidR="00DE50AC" w:rsidRPr="00DE50AC">
        <w:t>s expenditure requirements</w:t>
      </w:r>
      <w:r w:rsidR="00F17635">
        <w:t>.</w:t>
      </w:r>
    </w:p>
    <w:p w14:paraId="4A8B86B3" w14:textId="1C1E35BE" w:rsidR="00366656" w:rsidRDefault="00366656" w:rsidP="00366656">
      <w:r w:rsidRPr="004A7E07">
        <w:t>Non-financial assets increased by $</w:t>
      </w:r>
      <w:r w:rsidR="002947EA">
        <w:t>19</w:t>
      </w:r>
      <w:r w:rsidRPr="004A7E07">
        <w:t> billion during 202</w:t>
      </w:r>
      <w:r w:rsidR="00E13A87">
        <w:t>4</w:t>
      </w:r>
      <w:r w:rsidRPr="004A7E07">
        <w:noBreakHyphen/>
        <w:t>2</w:t>
      </w:r>
      <w:r w:rsidR="00E13A87">
        <w:t>5</w:t>
      </w:r>
      <w:r w:rsidRPr="004A7E07">
        <w:t>, mainly due to the Government</w:t>
      </w:r>
      <w:r w:rsidR="00845934">
        <w:t>’</w:t>
      </w:r>
      <w:r w:rsidRPr="004A7E07">
        <w:t xml:space="preserve">s investment in infrastructure and the revaluation of assets primarily in the </w:t>
      </w:r>
      <w:r w:rsidR="00B903B0">
        <w:t>transport</w:t>
      </w:r>
      <w:r w:rsidRPr="004A7E07">
        <w:t xml:space="preserve"> </w:t>
      </w:r>
      <w:r w:rsidR="007339FB">
        <w:t xml:space="preserve">and </w:t>
      </w:r>
      <w:r w:rsidR="00D15628">
        <w:t>c</w:t>
      </w:r>
      <w:r w:rsidR="007339FB">
        <w:t xml:space="preserve">reative </w:t>
      </w:r>
      <w:r w:rsidR="00D15628">
        <w:t>i</w:t>
      </w:r>
      <w:r w:rsidR="007339FB">
        <w:t>ndustries</w:t>
      </w:r>
      <w:r w:rsidR="000D723D">
        <w:t xml:space="preserve"> sectors</w:t>
      </w:r>
      <w:r w:rsidRPr="004A7E07">
        <w:t xml:space="preserve">. </w:t>
      </w:r>
    </w:p>
    <w:p w14:paraId="65BB602F" w14:textId="5AA03C58" w:rsidR="00366656" w:rsidRPr="004A7E07" w:rsidRDefault="00366656" w:rsidP="00273CA6">
      <w:pPr>
        <w:ind w:right="212"/>
      </w:pPr>
      <w:r w:rsidRPr="004A7E07">
        <w:t xml:space="preserve">General government investments in other sector entities </w:t>
      </w:r>
      <w:r w:rsidR="005F0510">
        <w:t>decreased</w:t>
      </w:r>
      <w:r w:rsidRPr="004A7E07">
        <w:t xml:space="preserve"> by $</w:t>
      </w:r>
      <w:r w:rsidR="005F0510">
        <w:t>1</w:t>
      </w:r>
      <w:r>
        <w:t>.</w:t>
      </w:r>
      <w:r w:rsidR="00BE1010">
        <w:t>8</w:t>
      </w:r>
      <w:r w:rsidRPr="004A7E07">
        <w:t> billion in the year. This was mainly due to</w:t>
      </w:r>
      <w:r w:rsidR="00591E7C">
        <w:t xml:space="preserve"> </w:t>
      </w:r>
      <w:r w:rsidR="001E1A23" w:rsidRPr="00BA61A9">
        <w:t>losses on the mark</w:t>
      </w:r>
      <w:r w:rsidR="0060778E">
        <w:noBreakHyphen/>
      </w:r>
      <w:r w:rsidR="001E1A23" w:rsidRPr="00BA61A9">
        <w:t>to</w:t>
      </w:r>
      <w:r w:rsidR="0060778E">
        <w:noBreakHyphen/>
      </w:r>
      <w:r w:rsidR="001E1A23" w:rsidRPr="00BA61A9">
        <w:t>market revaluation of TCV</w:t>
      </w:r>
      <w:r w:rsidR="00845934">
        <w:t>’</w:t>
      </w:r>
      <w:r w:rsidR="004378D5" w:rsidRPr="00BA61A9">
        <w:t>s</w:t>
      </w:r>
      <w:r w:rsidR="001E1A23" w:rsidRPr="00BA61A9">
        <w:t xml:space="preserve"> borrowings due to changes in discount rates.</w:t>
      </w:r>
      <w:r w:rsidR="001E1A23" w:rsidRPr="00686D74">
        <w:t xml:space="preserve"> </w:t>
      </w:r>
      <w:r w:rsidR="004A6378">
        <w:t>This</w:t>
      </w:r>
      <w:r w:rsidR="00C622F1" w:rsidRPr="00C622F1">
        <w:t xml:space="preserve"> was partially offset by the additional investments into Homes Victoria and State Tolling Corporation</w:t>
      </w:r>
      <w:r w:rsidR="004A6378">
        <w:t>.</w:t>
      </w:r>
    </w:p>
    <w:p w14:paraId="6065DF23" w14:textId="267666D7" w:rsidR="00366656" w:rsidRPr="004A7E07" w:rsidRDefault="00366656" w:rsidP="00366656">
      <w:r>
        <w:t>Total assets were $</w:t>
      </w:r>
      <w:r w:rsidR="00DE3976">
        <w:t>204</w:t>
      </w:r>
      <w:r>
        <w:t xml:space="preserve"> </w:t>
      </w:r>
      <w:r w:rsidR="00DE3976">
        <w:t>m</w:t>
      </w:r>
      <w:r>
        <w:t xml:space="preserve">illion </w:t>
      </w:r>
      <w:r w:rsidR="00784CD4">
        <w:t>high</w:t>
      </w:r>
      <w:r w:rsidR="00B30ADC">
        <w:t>er</w:t>
      </w:r>
      <w:r>
        <w:t xml:space="preserve"> than the revised budget. This was primarily due to </w:t>
      </w:r>
      <w:r w:rsidR="00565E36">
        <w:t xml:space="preserve">the </w:t>
      </w:r>
      <w:r>
        <w:t xml:space="preserve">higher than expected financial assets mainly relating to the </w:t>
      </w:r>
      <w:r w:rsidRPr="003B1386">
        <w:t xml:space="preserve">higher than </w:t>
      </w:r>
      <w:r w:rsidRPr="00040607">
        <w:t>forecast</w:t>
      </w:r>
      <w:r w:rsidRPr="003B1386">
        <w:t xml:space="preserve"> net cashflows from operating activities</w:t>
      </w:r>
      <w:r w:rsidRPr="00040607">
        <w:t xml:space="preserve"> surplus</w:t>
      </w:r>
      <w:r w:rsidRPr="003B1386">
        <w:t>.</w:t>
      </w:r>
      <w:r>
        <w:t xml:space="preserve"> </w:t>
      </w:r>
      <w:r w:rsidR="00565E36">
        <w:t xml:space="preserve">The </w:t>
      </w:r>
      <w:r w:rsidR="001A5F41">
        <w:t>in</w:t>
      </w:r>
      <w:r w:rsidR="00565E36">
        <w:t>crease</w:t>
      </w:r>
      <w:r>
        <w:t xml:space="preserve"> </w:t>
      </w:r>
      <w:r w:rsidR="00565E36">
        <w:t xml:space="preserve">was partially offset by </w:t>
      </w:r>
      <w:r w:rsidR="001A5F41">
        <w:t>a</w:t>
      </w:r>
      <w:r w:rsidR="0037201F">
        <w:t xml:space="preserve"> decrease</w:t>
      </w:r>
      <w:r w:rsidR="001A5F41">
        <w:t xml:space="preserve"> in general government investments in other sector entities as discussed above.</w:t>
      </w:r>
    </w:p>
    <w:p w14:paraId="3F2E296A" w14:textId="77777777" w:rsidR="00366656" w:rsidRPr="004A7E07" w:rsidRDefault="00366656" w:rsidP="00366656">
      <w:pPr>
        <w:pStyle w:val="Heading2"/>
      </w:pPr>
      <w:r w:rsidRPr="000F5880">
        <w:t>Liabilities</w:t>
      </w:r>
    </w:p>
    <w:p w14:paraId="77AD5033" w14:textId="4230CED2" w:rsidR="00976726" w:rsidRDefault="00366656" w:rsidP="00155FC4">
      <w:r w:rsidRPr="00161DFC">
        <w:t>Total liabilities as at 30 June 202</w:t>
      </w:r>
      <w:r w:rsidR="00594C9C">
        <w:t>5</w:t>
      </w:r>
      <w:r w:rsidRPr="00161DFC">
        <w:t xml:space="preserve"> were $2</w:t>
      </w:r>
      <w:r w:rsidR="00434CE4">
        <w:t>5</w:t>
      </w:r>
      <w:r w:rsidRPr="00161DFC">
        <w:t>1 billion, $</w:t>
      </w:r>
      <w:r w:rsidR="00E34E2E">
        <w:t>19</w:t>
      </w:r>
      <w:r w:rsidRPr="00161DFC">
        <w:t>.</w:t>
      </w:r>
      <w:r w:rsidR="00A22FD7">
        <w:t>2</w:t>
      </w:r>
      <w:r w:rsidRPr="00161DFC">
        <w:t> billion higher than the 202</w:t>
      </w:r>
      <w:r w:rsidR="00C4609B">
        <w:t>3</w:t>
      </w:r>
      <w:r w:rsidRPr="00161DFC">
        <w:noBreakHyphen/>
        <w:t>2</w:t>
      </w:r>
      <w:r w:rsidR="00C4609B">
        <w:t>4</w:t>
      </w:r>
      <w:r w:rsidRPr="00161DFC">
        <w:t xml:space="preserve"> outcome and $</w:t>
      </w:r>
      <w:r w:rsidR="00A22FD7">
        <w:t>539</w:t>
      </w:r>
      <w:r w:rsidRPr="00161DFC">
        <w:t> </w:t>
      </w:r>
      <w:r w:rsidR="00B33585">
        <w:t>m</w:t>
      </w:r>
      <w:r w:rsidRPr="00161DFC">
        <w:t xml:space="preserve">illion higher than the revised budget. </w:t>
      </w:r>
      <w:r w:rsidR="00976726">
        <w:t xml:space="preserve">The increase compared with the revised budget mainly </w:t>
      </w:r>
      <w:r w:rsidR="00C436EE">
        <w:t xml:space="preserve">reflects an increase </w:t>
      </w:r>
      <w:r w:rsidR="00C436EE" w:rsidRPr="00CC7E18">
        <w:t xml:space="preserve">in </w:t>
      </w:r>
      <w:r w:rsidR="007625D2">
        <w:t>provisions</w:t>
      </w:r>
      <w:r w:rsidR="00155FC4">
        <w:t xml:space="preserve">, including </w:t>
      </w:r>
      <w:r w:rsidR="00C135A0">
        <w:t>provisions for employee benefits</w:t>
      </w:r>
      <w:r w:rsidR="0094525F">
        <w:t xml:space="preserve"> and </w:t>
      </w:r>
      <w:r w:rsidR="00155FC4">
        <w:t xml:space="preserve">accrued expenses associated with the redress schemes in the justice </w:t>
      </w:r>
      <w:r w:rsidR="00155FC4" w:rsidRPr="00DA7603">
        <w:t>and the family and children portfolios</w:t>
      </w:r>
      <w:r w:rsidR="00581C3E">
        <w:t>. There was also a</w:t>
      </w:r>
      <w:r w:rsidR="00C436EE" w:rsidRPr="00CC7E18">
        <w:t xml:space="preserve"> </w:t>
      </w:r>
      <w:r w:rsidR="006E6174">
        <w:t xml:space="preserve">higher </w:t>
      </w:r>
      <w:r w:rsidR="00C436EE" w:rsidRPr="00CC7E18">
        <w:t xml:space="preserve">defined benefit superannuation liability </w:t>
      </w:r>
      <w:r w:rsidR="00F558E0">
        <w:t>primarily</w:t>
      </w:r>
      <w:r w:rsidR="00C436EE" w:rsidRPr="00CC7E18">
        <w:t xml:space="preserve"> due to </w:t>
      </w:r>
      <w:r w:rsidR="00C436EE">
        <w:t>a decrease</w:t>
      </w:r>
      <w:r w:rsidR="00C436EE" w:rsidRPr="00CC7E18">
        <w:t xml:space="preserve"> in the bond yields that underlie the key superannuation valuation assumptions</w:t>
      </w:r>
      <w:r w:rsidR="00F85130">
        <w:t>,</w:t>
      </w:r>
      <w:r w:rsidR="00FF1A2F" w:rsidRPr="00FF1A2F">
        <w:t xml:space="preserve"> partially offset by </w:t>
      </w:r>
      <w:r w:rsidR="006438B4">
        <w:t>higher</w:t>
      </w:r>
      <w:r w:rsidR="0081731D">
        <w:t> </w:t>
      </w:r>
      <w:r w:rsidR="00FF1A2F" w:rsidRPr="00FF1A2F">
        <w:t>than expected investment returns on superannuation assets</w:t>
      </w:r>
      <w:r w:rsidR="00F85130">
        <w:t>,</w:t>
      </w:r>
      <w:r w:rsidR="00FF1A2F" w:rsidRPr="00FF1A2F">
        <w:t xml:space="preserve"> between 31 March 202</w:t>
      </w:r>
      <w:r w:rsidR="000D7920">
        <w:t>5</w:t>
      </w:r>
      <w:r w:rsidR="00FF1A2F" w:rsidRPr="00FF1A2F">
        <w:t xml:space="preserve"> and 30 June 202</w:t>
      </w:r>
      <w:r w:rsidR="000D7920">
        <w:t>5</w:t>
      </w:r>
      <w:r w:rsidR="00FF1A2F" w:rsidRPr="00FF1A2F">
        <w:t>.</w:t>
      </w:r>
      <w:r w:rsidR="00FF1A2F">
        <w:t xml:space="preserve"> </w:t>
      </w:r>
      <w:r w:rsidR="00C36590">
        <w:t xml:space="preserve">These increases were </w:t>
      </w:r>
      <w:r w:rsidR="00C436EE" w:rsidRPr="00C436EE">
        <w:t xml:space="preserve">partially offset by lower borrowings </w:t>
      </w:r>
      <w:r w:rsidR="00C849E0">
        <w:t>primarily</w:t>
      </w:r>
      <w:r w:rsidR="00C436EE" w:rsidRPr="00C436EE">
        <w:t xml:space="preserve"> as a result of </w:t>
      </w:r>
      <w:r w:rsidR="00C436EE" w:rsidRPr="00DA7603">
        <w:t>the better than expected net cashflows from operating activities</w:t>
      </w:r>
      <w:r w:rsidR="000B6540">
        <w:t>.</w:t>
      </w:r>
    </w:p>
    <w:p w14:paraId="1CC1283C" w14:textId="1FC78A09" w:rsidR="00AA7675" w:rsidRDefault="00954691" w:rsidP="00BA3697">
      <w:pPr>
        <w:ind w:right="-213"/>
      </w:pPr>
      <w:r w:rsidRPr="00954691">
        <w:t>The increase in total liabilities when</w:t>
      </w:r>
      <w:r>
        <w:t xml:space="preserve"> </w:t>
      </w:r>
      <w:r w:rsidR="00366656" w:rsidRPr="00161DFC">
        <w:t xml:space="preserve">compared with the </w:t>
      </w:r>
      <w:r w:rsidR="00102DBE">
        <w:t xml:space="preserve">2023-24 outcome </w:t>
      </w:r>
      <w:r w:rsidR="00862DA2">
        <w:t xml:space="preserve">was primarily </w:t>
      </w:r>
      <w:r w:rsidR="000F1E15">
        <w:t xml:space="preserve">due to </w:t>
      </w:r>
      <w:r w:rsidR="00BA3697">
        <w:t>additional borrowings required to fund the Government</w:t>
      </w:r>
      <w:r w:rsidR="00845934">
        <w:t>’</w:t>
      </w:r>
      <w:r w:rsidR="00BA3697">
        <w:t>s infrastructure program</w:t>
      </w:r>
      <w:r w:rsidR="000F1E15">
        <w:t xml:space="preserve">. </w:t>
      </w:r>
    </w:p>
    <w:p w14:paraId="462287CD" w14:textId="77777777" w:rsidR="00C9037F" w:rsidRDefault="00C9037F" w:rsidP="00366656">
      <w:pPr>
        <w:pStyle w:val="Heading1"/>
        <w:sectPr w:rsidR="00C9037F" w:rsidSect="00C9037F">
          <w:type w:val="continuous"/>
          <w:pgSz w:w="11906" w:h="16838" w:code="9"/>
          <w:pgMar w:top="1134" w:right="1134" w:bottom="1134" w:left="1134" w:header="624" w:footer="567" w:gutter="0"/>
          <w:cols w:num="2" w:space="708"/>
          <w:docGrid w:linePitch="360"/>
        </w:sectPr>
      </w:pPr>
      <w:bookmarkStart w:id="14" w:name="_Toc176189334"/>
    </w:p>
    <w:p w14:paraId="57CAAAE2" w14:textId="77777777" w:rsidR="00366656" w:rsidRPr="006C13A6" w:rsidRDefault="00366656" w:rsidP="00DE1E51">
      <w:pPr>
        <w:pStyle w:val="Heading1"/>
        <w:pageBreakBefore/>
        <w:spacing w:before="0"/>
      </w:pPr>
      <w:r w:rsidRPr="00954691">
        <w:lastRenderedPageBreak/>
        <w:t>Cash flows</w:t>
      </w:r>
      <w:bookmarkEnd w:id="14"/>
    </w:p>
    <w:p w14:paraId="4EE100D1" w14:textId="77777777" w:rsidR="00C9037F" w:rsidRDefault="00C9037F" w:rsidP="00366656">
      <w:pPr>
        <w:sectPr w:rsidR="00C9037F" w:rsidSect="00CC1335">
          <w:type w:val="continuous"/>
          <w:pgSz w:w="11906" w:h="16838" w:code="9"/>
          <w:pgMar w:top="1134" w:right="1134" w:bottom="1134" w:left="1134" w:header="624" w:footer="567" w:gutter="0"/>
          <w:cols w:space="708"/>
          <w:docGrid w:linePitch="360"/>
        </w:sectPr>
      </w:pPr>
    </w:p>
    <w:p w14:paraId="150A92E5" w14:textId="77777777" w:rsidR="00366656" w:rsidRPr="00EB1122" w:rsidRDefault="00366656" w:rsidP="00366656">
      <w:r w:rsidRPr="00EB1122">
        <w:t xml:space="preserve">Table 2.5 outlines the use of cash resources. It summarises cash generated through the operations of government departments and other general government sector agencies, and how the cash has been invested in fixed assets. </w:t>
      </w:r>
    </w:p>
    <w:p w14:paraId="51B2249F" w14:textId="140B1CBE" w:rsidR="00366656" w:rsidRPr="00EB1122" w:rsidRDefault="00366656" w:rsidP="00366656">
      <w:r w:rsidRPr="00EB1122">
        <w:t>The net cash flows from operating activities surplus of $</w:t>
      </w:r>
      <w:r w:rsidR="00DE7DE9">
        <w:t>3</w:t>
      </w:r>
      <w:r w:rsidRPr="00EB1122">
        <w:t>.</w:t>
      </w:r>
      <w:r w:rsidR="00DF3FE0">
        <w:t>2</w:t>
      </w:r>
      <w:r w:rsidRPr="00EB1122">
        <w:t> billion was an improvement of $2.</w:t>
      </w:r>
      <w:r w:rsidR="008E65B0">
        <w:t>6</w:t>
      </w:r>
      <w:r w:rsidRPr="00EB1122">
        <w:t> billion compared with the $</w:t>
      </w:r>
      <w:r w:rsidR="00FB7E66">
        <w:t>620</w:t>
      </w:r>
      <w:r w:rsidRPr="00EB1122">
        <w:t xml:space="preserve"> million surplus forecast in the </w:t>
      </w:r>
      <w:r w:rsidRPr="00EB1122">
        <w:rPr>
          <w:i/>
        </w:rPr>
        <w:t>202</w:t>
      </w:r>
      <w:r w:rsidR="00FB7E66">
        <w:rPr>
          <w:i/>
        </w:rPr>
        <w:t>5</w:t>
      </w:r>
      <w:r w:rsidRPr="00EB1122">
        <w:rPr>
          <w:i/>
        </w:rPr>
        <w:noBreakHyphen/>
        <w:t>2</w:t>
      </w:r>
      <w:r w:rsidR="00FB7E66">
        <w:rPr>
          <w:i/>
        </w:rPr>
        <w:t>6</w:t>
      </w:r>
      <w:r w:rsidRPr="00EB1122">
        <w:rPr>
          <w:i/>
        </w:rPr>
        <w:t xml:space="preserve"> Budget</w:t>
      </w:r>
      <w:r w:rsidRPr="00EB1122">
        <w:t xml:space="preserve">. </w:t>
      </w:r>
      <w:r w:rsidRPr="002F3709">
        <w:t>The improvement from the revised budget was primarily driven by</w:t>
      </w:r>
      <w:r>
        <w:t xml:space="preserve"> lower than forecast payments on goods and services and grants due to the timing of payments across departments. There were also </w:t>
      </w:r>
      <w:r w:rsidR="00F16850">
        <w:t xml:space="preserve">higher </w:t>
      </w:r>
      <w:r w:rsidR="00F16850" w:rsidRPr="000A6AE0">
        <w:t xml:space="preserve">other receipts </w:t>
      </w:r>
      <w:r w:rsidR="00344E24" w:rsidRPr="000A6AE0">
        <w:t xml:space="preserve">primarily </w:t>
      </w:r>
      <w:r w:rsidR="000E1E2D" w:rsidRPr="000A6AE0">
        <w:t xml:space="preserve">due to </w:t>
      </w:r>
      <w:r w:rsidR="00BE19FA">
        <w:t>an increase in fines receipts</w:t>
      </w:r>
      <w:r w:rsidR="00214EEC">
        <w:t xml:space="preserve"> and</w:t>
      </w:r>
      <w:r w:rsidR="000A6AE0">
        <w:t xml:space="preserve"> </w:t>
      </w:r>
      <w:r w:rsidR="00DF7438">
        <w:t>higher</w:t>
      </w:r>
      <w:r w:rsidR="00BE19FA">
        <w:t xml:space="preserve"> </w:t>
      </w:r>
      <w:r w:rsidR="00EF46E7">
        <w:t>recei</w:t>
      </w:r>
      <w:r w:rsidR="009F5E64">
        <w:t xml:space="preserve">pts </w:t>
      </w:r>
      <w:r w:rsidR="009F5E64" w:rsidRPr="0081630A">
        <w:t xml:space="preserve">associated with the </w:t>
      </w:r>
      <w:r w:rsidR="009F5E64" w:rsidRPr="00D666BB">
        <w:rPr>
          <w:i/>
          <w:iCs/>
        </w:rPr>
        <w:t>Unclaimed Money Act</w:t>
      </w:r>
      <w:r w:rsidR="009F5E64">
        <w:rPr>
          <w:i/>
          <w:iCs/>
        </w:rPr>
        <w:t> </w:t>
      </w:r>
      <w:r w:rsidR="009F5E64" w:rsidRPr="00D666BB">
        <w:rPr>
          <w:i/>
          <w:iCs/>
        </w:rPr>
        <w:t>2008</w:t>
      </w:r>
      <w:r w:rsidR="009F5E64" w:rsidRPr="0081630A">
        <w:t>.</w:t>
      </w:r>
      <w:r w:rsidR="00214EEC">
        <w:t xml:space="preserve"> </w:t>
      </w:r>
    </w:p>
    <w:p w14:paraId="6EA28219" w14:textId="4AD41DDE" w:rsidR="00366656" w:rsidRPr="00EB1122" w:rsidRDefault="00366656" w:rsidP="00366656">
      <w:r w:rsidRPr="00EB1122">
        <w:t xml:space="preserve">Compared with the previous year, the net cash flows from operating activities </w:t>
      </w:r>
      <w:r w:rsidR="00157F36">
        <w:t>improved</w:t>
      </w:r>
      <w:r w:rsidRPr="00EB1122">
        <w:t xml:space="preserve"> by $</w:t>
      </w:r>
      <w:r w:rsidR="008E65B0">
        <w:t>610</w:t>
      </w:r>
      <w:r w:rsidRPr="00EB1122">
        <w:t> </w:t>
      </w:r>
      <w:r w:rsidR="002570B2">
        <w:t>m</w:t>
      </w:r>
      <w:r w:rsidRPr="00EB1122">
        <w:t>illion from a surplus of $</w:t>
      </w:r>
      <w:r w:rsidR="002570B2">
        <w:t>2</w:t>
      </w:r>
      <w:r w:rsidRPr="00EB1122">
        <w:t>.</w:t>
      </w:r>
      <w:r w:rsidR="002570B2">
        <w:t>6</w:t>
      </w:r>
      <w:r w:rsidRPr="00EB1122">
        <w:t xml:space="preserve"> billion. This was primarily driven by the year-on-year improvement in net result from transactions</w:t>
      </w:r>
      <w:r w:rsidR="00C77761">
        <w:t xml:space="preserve">, </w:t>
      </w:r>
      <w:r w:rsidR="00C77761" w:rsidRPr="00E771CF">
        <w:t xml:space="preserve">partially offset </w:t>
      </w:r>
      <w:r w:rsidR="00AE3E8E">
        <w:t xml:space="preserve">by higher </w:t>
      </w:r>
      <w:r w:rsidR="00354C1E">
        <w:t>grant payments</w:t>
      </w:r>
      <w:r w:rsidR="00F742D7">
        <w:t xml:space="preserve"> including </w:t>
      </w:r>
      <w:r w:rsidR="00E771CF">
        <w:t>accrued local government grants received from the Commonwealth in June 2024</w:t>
      </w:r>
      <w:r w:rsidR="00A32639">
        <w:t>.</w:t>
      </w:r>
    </w:p>
    <w:p w14:paraId="6B65E859" w14:textId="3E99BC82" w:rsidR="00366656" w:rsidRPr="006C13A6" w:rsidRDefault="00366656" w:rsidP="00366656">
      <w:r w:rsidRPr="00EB1122">
        <w:t>A detailed cash flow statement is provided in Chapter 4.</w:t>
      </w:r>
    </w:p>
    <w:p w14:paraId="28E9385B" w14:textId="77777777" w:rsidR="00C9037F" w:rsidRDefault="00C9037F" w:rsidP="00366656">
      <w:pPr>
        <w:sectPr w:rsidR="00C9037F" w:rsidSect="00C9037F">
          <w:type w:val="continuous"/>
          <w:pgSz w:w="11906" w:h="16838" w:code="9"/>
          <w:pgMar w:top="1134" w:right="1134" w:bottom="1134" w:left="1134" w:header="624" w:footer="567" w:gutter="0"/>
          <w:cols w:num="2" w:space="708"/>
          <w:docGrid w:linePitch="360"/>
        </w:sectPr>
      </w:pPr>
    </w:p>
    <w:p w14:paraId="2EBD6640" w14:textId="77777777" w:rsidR="00366656" w:rsidRDefault="00366656" w:rsidP="00366656"/>
    <w:p w14:paraId="1FC02DC0" w14:textId="31DB36A7" w:rsidR="00366656" w:rsidRDefault="00366656" w:rsidP="00366656">
      <w:pPr>
        <w:pStyle w:val="TableHeading"/>
      </w:pPr>
      <w:r w:rsidRPr="006C13A6">
        <w:t>Table 2.5:</w:t>
      </w:r>
      <w:r w:rsidRPr="006C13A6">
        <w:tab/>
        <w:t>Application of cash resources</w:t>
      </w:r>
      <w:r w:rsidRPr="006C13A6">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2.xlsx|Table:App_cash_resources_GG|MergedHeadingRow:1"/>
      </w:tblPr>
      <w:tblGrid>
        <w:gridCol w:w="6917"/>
        <w:gridCol w:w="907"/>
        <w:gridCol w:w="907"/>
        <w:gridCol w:w="907"/>
      </w:tblGrid>
      <w:tr w:rsidR="006C5F40" w14:paraId="0773C732"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0E5EF510" w14:textId="77777777" w:rsidR="00E51EAC" w:rsidRDefault="00E51EAC">
            <w:pPr>
              <w:keepNext/>
            </w:pPr>
          </w:p>
        </w:tc>
        <w:tc>
          <w:tcPr>
            <w:tcW w:w="907" w:type="dxa"/>
          </w:tcPr>
          <w:p w14:paraId="6BEC1185"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r>
              <w:br/>
              <w:t xml:space="preserve"> actual</w:t>
            </w:r>
          </w:p>
        </w:tc>
        <w:tc>
          <w:tcPr>
            <w:tcW w:w="907" w:type="dxa"/>
          </w:tcPr>
          <w:p w14:paraId="5A6909AF"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r>
              <w:br/>
              <w:t xml:space="preserve"> actual</w:t>
            </w:r>
          </w:p>
        </w:tc>
        <w:tc>
          <w:tcPr>
            <w:tcW w:w="907" w:type="dxa"/>
          </w:tcPr>
          <w:p w14:paraId="0AA56DD9"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r>
              <w:br/>
              <w:t xml:space="preserve"> revised</w:t>
            </w:r>
          </w:p>
        </w:tc>
      </w:tr>
      <w:tr w:rsidR="00E51EAC" w14:paraId="529C4AB4" w14:textId="77777777">
        <w:tc>
          <w:tcPr>
            <w:cnfStyle w:val="001000000000" w:firstRow="0" w:lastRow="0" w:firstColumn="1" w:lastColumn="0" w:oddVBand="0" w:evenVBand="0" w:oddHBand="0" w:evenHBand="0" w:firstRowFirstColumn="0" w:firstRowLastColumn="0" w:lastRowFirstColumn="0" w:lastRowLastColumn="0"/>
            <w:tcW w:w="6917" w:type="dxa"/>
          </w:tcPr>
          <w:p w14:paraId="7FAD86D4" w14:textId="3ABDF610" w:rsidR="00E51EAC" w:rsidRDefault="00182F93">
            <w:r>
              <w:t xml:space="preserve">Net result from transactions – </w:t>
            </w:r>
            <w:r w:rsidR="00273CA6">
              <w:t xml:space="preserve">Net </w:t>
            </w:r>
            <w:r>
              <w:t>operating balance</w:t>
            </w:r>
          </w:p>
        </w:tc>
        <w:tc>
          <w:tcPr>
            <w:tcW w:w="907" w:type="dxa"/>
          </w:tcPr>
          <w:p w14:paraId="3F1A5FA9" w14:textId="77777777" w:rsidR="00E51EAC" w:rsidRDefault="00182F93">
            <w:pPr>
              <w:cnfStyle w:val="000000000000" w:firstRow="0" w:lastRow="0" w:firstColumn="0" w:lastColumn="0" w:oddVBand="0" w:evenVBand="0" w:oddHBand="0" w:evenHBand="0" w:firstRowFirstColumn="0" w:firstRowLastColumn="0" w:lastRowFirstColumn="0" w:lastRowLastColumn="0"/>
            </w:pPr>
            <w:r>
              <w:t>(4 223)</w:t>
            </w:r>
          </w:p>
        </w:tc>
        <w:tc>
          <w:tcPr>
            <w:tcW w:w="907" w:type="dxa"/>
          </w:tcPr>
          <w:p w14:paraId="71D4BEEB" w14:textId="77777777" w:rsidR="00E51EAC" w:rsidRDefault="00182F93">
            <w:pPr>
              <w:cnfStyle w:val="000000000000" w:firstRow="0" w:lastRow="0" w:firstColumn="0" w:lastColumn="0" w:oddVBand="0" w:evenVBand="0" w:oddHBand="0" w:evenHBand="0" w:firstRowFirstColumn="0" w:firstRowLastColumn="0" w:lastRowFirstColumn="0" w:lastRowLastColumn="0"/>
            </w:pPr>
            <w:r>
              <w:t>(2 626)</w:t>
            </w:r>
          </w:p>
        </w:tc>
        <w:tc>
          <w:tcPr>
            <w:tcW w:w="907" w:type="dxa"/>
          </w:tcPr>
          <w:p w14:paraId="09AD2620" w14:textId="77777777" w:rsidR="00E51EAC" w:rsidRDefault="00182F93">
            <w:pPr>
              <w:cnfStyle w:val="000000000000" w:firstRow="0" w:lastRow="0" w:firstColumn="0" w:lastColumn="0" w:oddVBand="0" w:evenVBand="0" w:oddHBand="0" w:evenHBand="0" w:firstRowFirstColumn="0" w:firstRowLastColumn="0" w:lastRowFirstColumn="0" w:lastRowLastColumn="0"/>
            </w:pPr>
            <w:r>
              <w:t>(3 441)</w:t>
            </w:r>
          </w:p>
        </w:tc>
      </w:tr>
      <w:tr w:rsidR="00E51EAC" w14:paraId="15921112"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50EAB441" w14:textId="77777777" w:rsidR="00E51EAC" w:rsidRDefault="00182F93">
            <w:r>
              <w:t>Add back: non</w:t>
            </w:r>
            <w:r>
              <w:noBreakHyphen/>
              <w:t>cash revenues and expenses (net)</w:t>
            </w:r>
            <w:r>
              <w:rPr>
                <w:vertAlign w:val="superscript"/>
              </w:rPr>
              <w:t xml:space="preserve"> (a)</w:t>
            </w:r>
          </w:p>
        </w:tc>
        <w:tc>
          <w:tcPr>
            <w:tcW w:w="907" w:type="dxa"/>
            <w:tcBorders>
              <w:bottom w:val="single" w:sz="6" w:space="0" w:color="auto"/>
            </w:tcBorders>
          </w:tcPr>
          <w:p w14:paraId="57120BC9" w14:textId="77777777" w:rsidR="00E51EAC" w:rsidRDefault="00182F93">
            <w:pPr>
              <w:cnfStyle w:val="000000000000" w:firstRow="0" w:lastRow="0" w:firstColumn="0" w:lastColumn="0" w:oddVBand="0" w:evenVBand="0" w:oddHBand="0" w:evenHBand="0" w:firstRowFirstColumn="0" w:firstRowLastColumn="0" w:lastRowFirstColumn="0" w:lastRowLastColumn="0"/>
            </w:pPr>
            <w:r>
              <w:t>6 846</w:t>
            </w:r>
          </w:p>
        </w:tc>
        <w:tc>
          <w:tcPr>
            <w:tcW w:w="907" w:type="dxa"/>
            <w:tcBorders>
              <w:bottom w:val="single" w:sz="6" w:space="0" w:color="auto"/>
            </w:tcBorders>
          </w:tcPr>
          <w:p w14:paraId="6A5B069E" w14:textId="77777777" w:rsidR="00E51EAC" w:rsidRDefault="00182F93">
            <w:pPr>
              <w:cnfStyle w:val="000000000000" w:firstRow="0" w:lastRow="0" w:firstColumn="0" w:lastColumn="0" w:oddVBand="0" w:evenVBand="0" w:oddHBand="0" w:evenHBand="0" w:firstRowFirstColumn="0" w:firstRowLastColumn="0" w:lastRowFirstColumn="0" w:lastRowLastColumn="0"/>
            </w:pPr>
            <w:r>
              <w:t>5 858</w:t>
            </w:r>
          </w:p>
        </w:tc>
        <w:tc>
          <w:tcPr>
            <w:tcW w:w="907" w:type="dxa"/>
            <w:tcBorders>
              <w:bottom w:val="single" w:sz="6" w:space="0" w:color="auto"/>
            </w:tcBorders>
          </w:tcPr>
          <w:p w14:paraId="4119CB1E" w14:textId="77777777" w:rsidR="00E51EAC" w:rsidRDefault="00182F93">
            <w:pPr>
              <w:cnfStyle w:val="000000000000" w:firstRow="0" w:lastRow="0" w:firstColumn="0" w:lastColumn="0" w:oddVBand="0" w:evenVBand="0" w:oddHBand="0" w:evenHBand="0" w:firstRowFirstColumn="0" w:firstRowLastColumn="0" w:lastRowFirstColumn="0" w:lastRowLastColumn="0"/>
            </w:pPr>
            <w:r>
              <w:t>4 061</w:t>
            </w:r>
          </w:p>
        </w:tc>
      </w:tr>
      <w:tr w:rsidR="00E51EAC" w14:paraId="12F3784F"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1FA5AAD8" w14:textId="77777777" w:rsidR="00E51EAC" w:rsidRDefault="00182F93">
            <w:r>
              <w:rPr>
                <w:b/>
              </w:rPr>
              <w:t>Net cash flows from operating activities</w:t>
            </w:r>
          </w:p>
        </w:tc>
        <w:tc>
          <w:tcPr>
            <w:tcW w:w="907" w:type="dxa"/>
            <w:tcBorders>
              <w:top w:val="single" w:sz="6" w:space="0" w:color="auto"/>
            </w:tcBorders>
          </w:tcPr>
          <w:p w14:paraId="3197E90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2 623</w:t>
            </w:r>
          </w:p>
        </w:tc>
        <w:tc>
          <w:tcPr>
            <w:tcW w:w="907" w:type="dxa"/>
            <w:tcBorders>
              <w:top w:val="single" w:sz="6" w:space="0" w:color="auto"/>
            </w:tcBorders>
          </w:tcPr>
          <w:p w14:paraId="2BD2783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3 233</w:t>
            </w:r>
          </w:p>
        </w:tc>
        <w:tc>
          <w:tcPr>
            <w:tcW w:w="907" w:type="dxa"/>
            <w:tcBorders>
              <w:top w:val="single" w:sz="6" w:space="0" w:color="auto"/>
            </w:tcBorders>
          </w:tcPr>
          <w:p w14:paraId="445BDB2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620</w:t>
            </w:r>
          </w:p>
        </w:tc>
      </w:tr>
      <w:tr w:rsidR="00E51EAC" w14:paraId="74757CE2" w14:textId="77777777">
        <w:tc>
          <w:tcPr>
            <w:cnfStyle w:val="001000000000" w:firstRow="0" w:lastRow="0" w:firstColumn="1" w:lastColumn="0" w:oddVBand="0" w:evenVBand="0" w:oddHBand="0" w:evenHBand="0" w:firstRowFirstColumn="0" w:firstRowLastColumn="0" w:lastRowFirstColumn="0" w:lastRowLastColumn="0"/>
            <w:tcW w:w="6917" w:type="dxa"/>
          </w:tcPr>
          <w:p w14:paraId="215B1BF5" w14:textId="77777777" w:rsidR="00E51EAC" w:rsidRDefault="00182F93">
            <w:r>
              <w:t>Less:</w:t>
            </w:r>
          </w:p>
        </w:tc>
        <w:tc>
          <w:tcPr>
            <w:tcW w:w="907" w:type="dxa"/>
          </w:tcPr>
          <w:p w14:paraId="3F4C54C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E5C464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5010DA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ABAB418" w14:textId="77777777">
        <w:tc>
          <w:tcPr>
            <w:cnfStyle w:val="001000000000" w:firstRow="0" w:lastRow="0" w:firstColumn="1" w:lastColumn="0" w:oddVBand="0" w:evenVBand="0" w:oddHBand="0" w:evenHBand="0" w:firstRowFirstColumn="0" w:firstRowLastColumn="0" w:lastRowFirstColumn="0" w:lastRowLastColumn="0"/>
            <w:tcW w:w="6917" w:type="dxa"/>
          </w:tcPr>
          <w:p w14:paraId="5A44D34D" w14:textId="77777777" w:rsidR="00E51EAC" w:rsidRDefault="00182F93">
            <w:r>
              <w:rPr>
                <w:b/>
              </w:rPr>
              <w:t>Net investment in fixed assets</w:t>
            </w:r>
          </w:p>
        </w:tc>
        <w:tc>
          <w:tcPr>
            <w:tcW w:w="907" w:type="dxa"/>
          </w:tcPr>
          <w:p w14:paraId="1D6B0BB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EAD1DA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25890E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626D6CF" w14:textId="77777777">
        <w:tc>
          <w:tcPr>
            <w:cnfStyle w:val="001000000000" w:firstRow="0" w:lastRow="0" w:firstColumn="1" w:lastColumn="0" w:oddVBand="0" w:evenVBand="0" w:oddHBand="0" w:evenHBand="0" w:firstRowFirstColumn="0" w:firstRowLastColumn="0" w:lastRowFirstColumn="0" w:lastRowLastColumn="0"/>
            <w:tcW w:w="6917" w:type="dxa"/>
          </w:tcPr>
          <w:p w14:paraId="479BEAF0" w14:textId="77777777" w:rsidR="00E51EAC" w:rsidRDefault="00182F93">
            <w:r>
              <w:t>Purchases of non</w:t>
            </w:r>
            <w:r>
              <w:noBreakHyphen/>
              <w:t>financial assets</w:t>
            </w:r>
          </w:p>
        </w:tc>
        <w:tc>
          <w:tcPr>
            <w:tcW w:w="907" w:type="dxa"/>
          </w:tcPr>
          <w:p w14:paraId="4390DA72" w14:textId="77777777" w:rsidR="00E51EAC" w:rsidRDefault="00182F93">
            <w:pPr>
              <w:cnfStyle w:val="000000000000" w:firstRow="0" w:lastRow="0" w:firstColumn="0" w:lastColumn="0" w:oddVBand="0" w:evenVBand="0" w:oddHBand="0" w:evenHBand="0" w:firstRowFirstColumn="0" w:firstRowLastColumn="0" w:lastRowFirstColumn="0" w:lastRowLastColumn="0"/>
            </w:pPr>
            <w:r>
              <w:t>17 375</w:t>
            </w:r>
          </w:p>
        </w:tc>
        <w:tc>
          <w:tcPr>
            <w:tcW w:w="907" w:type="dxa"/>
          </w:tcPr>
          <w:p w14:paraId="2719186A" w14:textId="77777777" w:rsidR="00E51EAC" w:rsidRDefault="00182F93">
            <w:pPr>
              <w:cnfStyle w:val="000000000000" w:firstRow="0" w:lastRow="0" w:firstColumn="0" w:lastColumn="0" w:oddVBand="0" w:evenVBand="0" w:oddHBand="0" w:evenHBand="0" w:firstRowFirstColumn="0" w:firstRowLastColumn="0" w:lastRowFirstColumn="0" w:lastRowLastColumn="0"/>
            </w:pPr>
            <w:r>
              <w:t>16 220</w:t>
            </w:r>
          </w:p>
        </w:tc>
        <w:tc>
          <w:tcPr>
            <w:tcW w:w="907" w:type="dxa"/>
          </w:tcPr>
          <w:p w14:paraId="08CA5B8D" w14:textId="77777777" w:rsidR="00E51EAC" w:rsidRDefault="00182F93">
            <w:pPr>
              <w:cnfStyle w:val="000000000000" w:firstRow="0" w:lastRow="0" w:firstColumn="0" w:lastColumn="0" w:oddVBand="0" w:evenVBand="0" w:oddHBand="0" w:evenHBand="0" w:firstRowFirstColumn="0" w:firstRowLastColumn="0" w:lastRowFirstColumn="0" w:lastRowLastColumn="0"/>
            </w:pPr>
            <w:r>
              <w:t>16 040</w:t>
            </w:r>
          </w:p>
        </w:tc>
      </w:tr>
      <w:tr w:rsidR="00E51EAC" w14:paraId="408941D0" w14:textId="77777777">
        <w:tc>
          <w:tcPr>
            <w:cnfStyle w:val="001000000000" w:firstRow="0" w:lastRow="0" w:firstColumn="1" w:lastColumn="0" w:oddVBand="0" w:evenVBand="0" w:oddHBand="0" w:evenHBand="0" w:firstRowFirstColumn="0" w:firstRowLastColumn="0" w:lastRowFirstColumn="0" w:lastRowLastColumn="0"/>
            <w:tcW w:w="6917" w:type="dxa"/>
          </w:tcPr>
          <w:p w14:paraId="2B0BB1F2" w14:textId="77777777" w:rsidR="00E51EAC" w:rsidRDefault="00182F93">
            <w:r>
              <w:t>Net cash flows from investments in financial assets for policy purposes</w:t>
            </w:r>
          </w:p>
        </w:tc>
        <w:tc>
          <w:tcPr>
            <w:tcW w:w="907" w:type="dxa"/>
          </w:tcPr>
          <w:p w14:paraId="7AB65638" w14:textId="77777777" w:rsidR="00E51EAC" w:rsidRDefault="00182F93">
            <w:pPr>
              <w:cnfStyle w:val="000000000000" w:firstRow="0" w:lastRow="0" w:firstColumn="0" w:lastColumn="0" w:oddVBand="0" w:evenVBand="0" w:oddHBand="0" w:evenHBand="0" w:firstRowFirstColumn="0" w:firstRowLastColumn="0" w:lastRowFirstColumn="0" w:lastRowLastColumn="0"/>
            </w:pPr>
            <w:r>
              <w:t>2 331</w:t>
            </w:r>
          </w:p>
        </w:tc>
        <w:tc>
          <w:tcPr>
            <w:tcW w:w="907" w:type="dxa"/>
          </w:tcPr>
          <w:p w14:paraId="4016A339" w14:textId="77777777" w:rsidR="00E51EAC" w:rsidRDefault="00182F93">
            <w:pPr>
              <w:cnfStyle w:val="000000000000" w:firstRow="0" w:lastRow="0" w:firstColumn="0" w:lastColumn="0" w:oddVBand="0" w:evenVBand="0" w:oddHBand="0" w:evenHBand="0" w:firstRowFirstColumn="0" w:firstRowLastColumn="0" w:lastRowFirstColumn="0" w:lastRowLastColumn="0"/>
            </w:pPr>
            <w:r>
              <w:t>3 631</w:t>
            </w:r>
          </w:p>
        </w:tc>
        <w:tc>
          <w:tcPr>
            <w:tcW w:w="907" w:type="dxa"/>
          </w:tcPr>
          <w:p w14:paraId="3F80855E" w14:textId="77777777" w:rsidR="00E51EAC" w:rsidRDefault="00182F93">
            <w:pPr>
              <w:cnfStyle w:val="000000000000" w:firstRow="0" w:lastRow="0" w:firstColumn="0" w:lastColumn="0" w:oddVBand="0" w:evenVBand="0" w:oddHBand="0" w:evenHBand="0" w:firstRowFirstColumn="0" w:firstRowLastColumn="0" w:lastRowFirstColumn="0" w:lastRowLastColumn="0"/>
            </w:pPr>
            <w:r>
              <w:t>4 394</w:t>
            </w:r>
          </w:p>
        </w:tc>
      </w:tr>
      <w:tr w:rsidR="00E51EAC" w14:paraId="6D81D6A9"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CAE9A28" w14:textId="77777777" w:rsidR="00E51EAC" w:rsidRDefault="00182F93">
            <w:r>
              <w:t>Sales of non</w:t>
            </w:r>
            <w:r>
              <w:noBreakHyphen/>
              <w:t>financial assets</w:t>
            </w:r>
          </w:p>
        </w:tc>
        <w:tc>
          <w:tcPr>
            <w:tcW w:w="907" w:type="dxa"/>
            <w:tcBorders>
              <w:bottom w:val="single" w:sz="6" w:space="0" w:color="auto"/>
            </w:tcBorders>
          </w:tcPr>
          <w:p w14:paraId="015CE952" w14:textId="77777777" w:rsidR="00E51EAC" w:rsidRDefault="00182F93">
            <w:pPr>
              <w:cnfStyle w:val="000000000000" w:firstRow="0" w:lastRow="0" w:firstColumn="0" w:lastColumn="0" w:oddVBand="0" w:evenVBand="0" w:oddHBand="0" w:evenHBand="0" w:firstRowFirstColumn="0" w:firstRowLastColumn="0" w:lastRowFirstColumn="0" w:lastRowLastColumn="0"/>
            </w:pPr>
            <w:r>
              <w:t>(319)</w:t>
            </w:r>
          </w:p>
        </w:tc>
        <w:tc>
          <w:tcPr>
            <w:tcW w:w="907" w:type="dxa"/>
            <w:tcBorders>
              <w:bottom w:val="single" w:sz="6" w:space="0" w:color="auto"/>
            </w:tcBorders>
          </w:tcPr>
          <w:p w14:paraId="646F9AC5" w14:textId="77777777" w:rsidR="00E51EAC" w:rsidRDefault="00182F93">
            <w:pPr>
              <w:cnfStyle w:val="000000000000" w:firstRow="0" w:lastRow="0" w:firstColumn="0" w:lastColumn="0" w:oddVBand="0" w:evenVBand="0" w:oddHBand="0" w:evenHBand="0" w:firstRowFirstColumn="0" w:firstRowLastColumn="0" w:lastRowFirstColumn="0" w:lastRowLastColumn="0"/>
            </w:pPr>
            <w:r>
              <w:t>(232)</w:t>
            </w:r>
          </w:p>
        </w:tc>
        <w:tc>
          <w:tcPr>
            <w:tcW w:w="907" w:type="dxa"/>
            <w:tcBorders>
              <w:bottom w:val="single" w:sz="6" w:space="0" w:color="auto"/>
            </w:tcBorders>
          </w:tcPr>
          <w:p w14:paraId="2891694F" w14:textId="77777777" w:rsidR="00E51EAC" w:rsidRDefault="00182F93">
            <w:pPr>
              <w:cnfStyle w:val="000000000000" w:firstRow="0" w:lastRow="0" w:firstColumn="0" w:lastColumn="0" w:oddVBand="0" w:evenVBand="0" w:oddHBand="0" w:evenHBand="0" w:firstRowFirstColumn="0" w:firstRowLastColumn="0" w:lastRowFirstColumn="0" w:lastRowLastColumn="0"/>
            </w:pPr>
            <w:r>
              <w:t>(465)</w:t>
            </w:r>
          </w:p>
        </w:tc>
      </w:tr>
      <w:tr w:rsidR="00E51EAC" w14:paraId="06763991"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2914FEDE" w14:textId="77777777" w:rsidR="00E51EAC" w:rsidRDefault="00182F93">
            <w:r>
              <w:rPr>
                <w:b/>
              </w:rPr>
              <w:t>Net investment in fixed assets</w:t>
            </w:r>
          </w:p>
        </w:tc>
        <w:tc>
          <w:tcPr>
            <w:tcW w:w="907" w:type="dxa"/>
            <w:tcBorders>
              <w:top w:val="single" w:sz="6" w:space="0" w:color="auto"/>
            </w:tcBorders>
          </w:tcPr>
          <w:p w14:paraId="25824CA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19 387</w:t>
            </w:r>
          </w:p>
        </w:tc>
        <w:tc>
          <w:tcPr>
            <w:tcW w:w="907" w:type="dxa"/>
            <w:tcBorders>
              <w:top w:val="single" w:sz="6" w:space="0" w:color="auto"/>
            </w:tcBorders>
          </w:tcPr>
          <w:p w14:paraId="12C3CA3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19 619</w:t>
            </w:r>
          </w:p>
        </w:tc>
        <w:tc>
          <w:tcPr>
            <w:tcW w:w="907" w:type="dxa"/>
            <w:tcBorders>
              <w:top w:val="single" w:sz="6" w:space="0" w:color="auto"/>
            </w:tcBorders>
          </w:tcPr>
          <w:p w14:paraId="7C3132C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19 970</w:t>
            </w:r>
          </w:p>
        </w:tc>
      </w:tr>
      <w:tr w:rsidR="00E51EAC" w14:paraId="67E43605" w14:textId="77777777">
        <w:tc>
          <w:tcPr>
            <w:cnfStyle w:val="001000000000" w:firstRow="0" w:lastRow="0" w:firstColumn="1" w:lastColumn="0" w:oddVBand="0" w:evenVBand="0" w:oddHBand="0" w:evenHBand="0" w:firstRowFirstColumn="0" w:firstRowLastColumn="0" w:lastRowFirstColumn="0" w:lastRowLastColumn="0"/>
            <w:tcW w:w="6917" w:type="dxa"/>
          </w:tcPr>
          <w:p w14:paraId="008B1C90" w14:textId="77777777" w:rsidR="00E51EAC" w:rsidRDefault="00182F93">
            <w:r>
              <w:t>Leases and service concession arrangements</w:t>
            </w:r>
          </w:p>
        </w:tc>
        <w:tc>
          <w:tcPr>
            <w:tcW w:w="907" w:type="dxa"/>
          </w:tcPr>
          <w:p w14:paraId="73D36C38" w14:textId="77777777" w:rsidR="00E51EAC" w:rsidRDefault="00182F93">
            <w:pPr>
              <w:cnfStyle w:val="000000000000" w:firstRow="0" w:lastRow="0" w:firstColumn="0" w:lastColumn="0" w:oddVBand="0" w:evenVBand="0" w:oddHBand="0" w:evenHBand="0" w:firstRowFirstColumn="0" w:firstRowLastColumn="0" w:lastRowFirstColumn="0" w:lastRowLastColumn="0"/>
            </w:pPr>
            <w:r>
              <w:t>2 888</w:t>
            </w:r>
          </w:p>
        </w:tc>
        <w:tc>
          <w:tcPr>
            <w:tcW w:w="907" w:type="dxa"/>
          </w:tcPr>
          <w:p w14:paraId="10EB8B1F" w14:textId="77777777" w:rsidR="00E51EAC" w:rsidRDefault="00182F93">
            <w:pPr>
              <w:cnfStyle w:val="000000000000" w:firstRow="0" w:lastRow="0" w:firstColumn="0" w:lastColumn="0" w:oddVBand="0" w:evenVBand="0" w:oddHBand="0" w:evenHBand="0" w:firstRowFirstColumn="0" w:firstRowLastColumn="0" w:lastRowFirstColumn="0" w:lastRowLastColumn="0"/>
            </w:pPr>
            <w:r>
              <w:t>2 413</w:t>
            </w:r>
          </w:p>
        </w:tc>
        <w:tc>
          <w:tcPr>
            <w:tcW w:w="907" w:type="dxa"/>
          </w:tcPr>
          <w:p w14:paraId="3744DD22" w14:textId="77777777" w:rsidR="00E51EAC" w:rsidRDefault="00182F93">
            <w:pPr>
              <w:cnfStyle w:val="000000000000" w:firstRow="0" w:lastRow="0" w:firstColumn="0" w:lastColumn="0" w:oddVBand="0" w:evenVBand="0" w:oddHBand="0" w:evenHBand="0" w:firstRowFirstColumn="0" w:firstRowLastColumn="0" w:lastRowFirstColumn="0" w:lastRowLastColumn="0"/>
            </w:pPr>
            <w:r>
              <w:t>2 967</w:t>
            </w:r>
          </w:p>
        </w:tc>
      </w:tr>
      <w:tr w:rsidR="00E51EAC" w14:paraId="4FDCB4D3"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38F94166" w14:textId="77777777" w:rsidR="00E51EAC" w:rsidRDefault="00182F93">
            <w:r>
              <w:t>Other movements</w:t>
            </w:r>
          </w:p>
        </w:tc>
        <w:tc>
          <w:tcPr>
            <w:tcW w:w="907" w:type="dxa"/>
            <w:tcBorders>
              <w:bottom w:val="single" w:sz="6" w:space="0" w:color="auto"/>
            </w:tcBorders>
          </w:tcPr>
          <w:p w14:paraId="4D4EA8E4" w14:textId="77777777" w:rsidR="00E51EAC" w:rsidRDefault="00182F93">
            <w:pPr>
              <w:cnfStyle w:val="000000000000" w:firstRow="0" w:lastRow="0" w:firstColumn="0" w:lastColumn="0" w:oddVBand="0" w:evenVBand="0" w:oddHBand="0" w:evenHBand="0" w:firstRowFirstColumn="0" w:firstRowLastColumn="0" w:lastRowFirstColumn="0" w:lastRowLastColumn="0"/>
            </w:pPr>
            <w:r>
              <w:t>(1 455)</w:t>
            </w:r>
          </w:p>
        </w:tc>
        <w:tc>
          <w:tcPr>
            <w:tcW w:w="907" w:type="dxa"/>
            <w:tcBorders>
              <w:bottom w:val="single" w:sz="6" w:space="0" w:color="auto"/>
            </w:tcBorders>
          </w:tcPr>
          <w:p w14:paraId="5DB20D91" w14:textId="77777777" w:rsidR="00E51EAC" w:rsidRDefault="00182F93">
            <w:pPr>
              <w:cnfStyle w:val="000000000000" w:firstRow="0" w:lastRow="0" w:firstColumn="0" w:lastColumn="0" w:oddVBand="0" w:evenVBand="0" w:oddHBand="0" w:evenHBand="0" w:firstRowFirstColumn="0" w:firstRowLastColumn="0" w:lastRowFirstColumn="0" w:lastRowLastColumn="0"/>
            </w:pPr>
            <w:r>
              <w:t>(1 169)</w:t>
            </w:r>
          </w:p>
        </w:tc>
        <w:tc>
          <w:tcPr>
            <w:tcW w:w="907" w:type="dxa"/>
            <w:tcBorders>
              <w:bottom w:val="single" w:sz="6" w:space="0" w:color="auto"/>
            </w:tcBorders>
          </w:tcPr>
          <w:p w14:paraId="12BF4C3E" w14:textId="77777777" w:rsidR="00E51EAC" w:rsidRDefault="00182F93">
            <w:pPr>
              <w:cnfStyle w:val="000000000000" w:firstRow="0" w:lastRow="0" w:firstColumn="0" w:lastColumn="0" w:oddVBand="0" w:evenVBand="0" w:oddHBand="0" w:evenHBand="0" w:firstRowFirstColumn="0" w:firstRowLastColumn="0" w:lastRowFirstColumn="0" w:lastRowLastColumn="0"/>
            </w:pPr>
            <w:r>
              <w:t>(30)</w:t>
            </w:r>
          </w:p>
        </w:tc>
      </w:tr>
      <w:tr w:rsidR="00E51EAC" w14:paraId="38B01783" w14:textId="77777777" w:rsidTr="00E51EAC">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12" w:space="0" w:color="auto"/>
            </w:tcBorders>
          </w:tcPr>
          <w:p w14:paraId="6111D55F" w14:textId="77777777" w:rsidR="00E51EAC" w:rsidRDefault="00182F93">
            <w:r>
              <w:rPr>
                <w:b/>
              </w:rPr>
              <w:t>Decrease/(increase) in net debt</w:t>
            </w:r>
            <w:r>
              <w:rPr>
                <w:b/>
                <w:vertAlign w:val="superscript"/>
              </w:rPr>
              <w:t xml:space="preserve"> (b)</w:t>
            </w:r>
          </w:p>
        </w:tc>
        <w:tc>
          <w:tcPr>
            <w:tcW w:w="907" w:type="dxa"/>
            <w:tcBorders>
              <w:top w:val="single" w:sz="6" w:space="0" w:color="auto"/>
              <w:bottom w:val="single" w:sz="12" w:space="0" w:color="auto"/>
            </w:tcBorders>
          </w:tcPr>
          <w:p w14:paraId="04338BB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(18 197)</w:t>
            </w:r>
          </w:p>
        </w:tc>
        <w:tc>
          <w:tcPr>
            <w:tcW w:w="907" w:type="dxa"/>
            <w:tcBorders>
              <w:top w:val="single" w:sz="6" w:space="0" w:color="auto"/>
              <w:bottom w:val="single" w:sz="12" w:space="0" w:color="auto"/>
            </w:tcBorders>
          </w:tcPr>
          <w:p w14:paraId="4884663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(17 630)</w:t>
            </w:r>
          </w:p>
        </w:tc>
        <w:tc>
          <w:tcPr>
            <w:tcW w:w="907" w:type="dxa"/>
            <w:tcBorders>
              <w:top w:val="single" w:sz="6" w:space="0" w:color="auto"/>
              <w:bottom w:val="single" w:sz="12" w:space="0" w:color="auto"/>
            </w:tcBorders>
          </w:tcPr>
          <w:p w14:paraId="1A5136C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(22 287)</w:t>
            </w:r>
          </w:p>
        </w:tc>
      </w:tr>
    </w:tbl>
    <w:p w14:paraId="25FA25CE" w14:textId="2579E87C" w:rsidR="00366656" w:rsidRPr="006C13A6" w:rsidRDefault="00366656" w:rsidP="00366656">
      <w:pPr>
        <w:pStyle w:val="Note"/>
        <w:ind w:left="0" w:firstLine="0"/>
      </w:pPr>
      <w:r w:rsidRPr="006C13A6">
        <w:t>Note</w:t>
      </w:r>
      <w:r w:rsidR="008406D0">
        <w:t>s</w:t>
      </w:r>
      <w:r w:rsidRPr="006C13A6">
        <w:t>:</w:t>
      </w:r>
    </w:p>
    <w:p w14:paraId="08891AF5" w14:textId="6D652E6D" w:rsidR="00366656" w:rsidRPr="006C13A6" w:rsidRDefault="00366656" w:rsidP="00366656">
      <w:pPr>
        <w:pStyle w:val="Note"/>
      </w:pPr>
      <w:r w:rsidRPr="006C13A6">
        <w:t>(a)</w:t>
      </w:r>
      <w:r w:rsidR="00561035">
        <w:tab/>
      </w:r>
      <w:r w:rsidRPr="006C13A6">
        <w:t xml:space="preserve">Includes depreciation, prepayments and movements in the unfunded superannuation liability and liability for employee benefits, as well as operating cash flows not required to be recognised in the operating statement for the respective year. </w:t>
      </w:r>
    </w:p>
    <w:p w14:paraId="4FDBE892" w14:textId="4104FAD5" w:rsidR="00721C36" w:rsidRPr="006C13A6" w:rsidRDefault="007F7364" w:rsidP="00223D39">
      <w:pPr>
        <w:pStyle w:val="Note"/>
      </w:pPr>
      <w:r w:rsidRPr="00C91A33">
        <w:t>(</w:t>
      </w:r>
      <w:r>
        <w:t>b</w:t>
      </w:r>
      <w:r w:rsidRPr="00C91A33">
        <w:t>)</w:t>
      </w:r>
      <w:r w:rsidRPr="00C91A33">
        <w:tab/>
      </w:r>
      <w:r w:rsidR="0093309E">
        <w:t>The 2024-25 movement in net debt differs from the reported increase of net debt on the consolidated balance sheet from 30 June 2024 to 3</w:t>
      </w:r>
      <w:r w:rsidR="008406D0">
        <w:t>0</w:t>
      </w:r>
      <w:r w:rsidR="0093309E">
        <w:t xml:space="preserve"> </w:t>
      </w:r>
      <w:r w:rsidR="008406D0">
        <w:t>June</w:t>
      </w:r>
      <w:r w:rsidR="0093309E">
        <w:t xml:space="preserve"> 202</w:t>
      </w:r>
      <w:r w:rsidR="008406D0">
        <w:t>5</w:t>
      </w:r>
      <w:r w:rsidR="0093309E">
        <w:t xml:space="preserve"> as a</w:t>
      </w:r>
      <w:r w:rsidR="00223D39">
        <w:t xml:space="preserve"> </w:t>
      </w:r>
      <w:r w:rsidR="0093309E">
        <w:t>result of 1 July 2024 opening balance adjustments. Refer to the consolidated statement of changes in equity in Chapter 4 for further information.</w:t>
      </w:r>
    </w:p>
    <w:p w14:paraId="52030979" w14:textId="77777777" w:rsidR="00561035" w:rsidRDefault="00561035" w:rsidP="00561035">
      <w:pPr>
        <w:pStyle w:val="Heading1"/>
      </w:pPr>
      <w:bookmarkStart w:id="15" w:name="_Toc176189335"/>
    </w:p>
    <w:p w14:paraId="1780EC10" w14:textId="027B5F48" w:rsidR="00366656" w:rsidRPr="005E69B6" w:rsidRDefault="00366656" w:rsidP="00561035">
      <w:pPr>
        <w:pStyle w:val="Heading1"/>
      </w:pPr>
      <w:r w:rsidRPr="005E69B6">
        <w:t>Government infrastructure investment</w:t>
      </w:r>
      <w:bookmarkEnd w:id="15"/>
    </w:p>
    <w:p w14:paraId="6F7E4D8B" w14:textId="77777777" w:rsidR="00C9037F" w:rsidRDefault="00C9037F" w:rsidP="00366656">
      <w:pPr>
        <w:sectPr w:rsidR="00C9037F" w:rsidSect="00CC1335">
          <w:type w:val="continuous"/>
          <w:pgSz w:w="11906" w:h="16838" w:code="9"/>
          <w:pgMar w:top="1134" w:right="1134" w:bottom="1134" w:left="1134" w:header="624" w:footer="567" w:gutter="0"/>
          <w:cols w:space="708"/>
          <w:docGrid w:linePitch="360"/>
        </w:sectPr>
      </w:pPr>
    </w:p>
    <w:p w14:paraId="692D7824" w14:textId="627AFDFD" w:rsidR="00366656" w:rsidRPr="005E69B6" w:rsidRDefault="00366656" w:rsidP="00366656">
      <w:r w:rsidRPr="005E69B6">
        <w:t xml:space="preserve">Infrastructure supports </w:t>
      </w:r>
      <w:r w:rsidR="00FD10F7">
        <w:t xml:space="preserve">the </w:t>
      </w:r>
      <w:r w:rsidRPr="005E69B6">
        <w:t xml:space="preserve">delivery of high-quality services to the community. It has a significant and ongoing impact on state and national productivity and generates significant direct and indirect employment and wider economic benefits. </w:t>
      </w:r>
    </w:p>
    <w:p w14:paraId="1066FE2F" w14:textId="574D1EEF" w:rsidR="00366656" w:rsidRDefault="00366656" w:rsidP="00366656">
      <w:r w:rsidRPr="005E69B6">
        <w:t>Government infrastructure investment (GII), which includes general government net infrastructure investment (net of asset sales) and estimated construction related cash outflows for Partnerships Victoria projects, was $2</w:t>
      </w:r>
      <w:r w:rsidR="00D0723E">
        <w:t>3</w:t>
      </w:r>
      <w:r w:rsidRPr="005E69B6">
        <w:t>.</w:t>
      </w:r>
      <w:r w:rsidR="00AC0E7D">
        <w:t>5</w:t>
      </w:r>
      <w:r w:rsidRPr="005E69B6">
        <w:t> billion in 202</w:t>
      </w:r>
      <w:r w:rsidR="00D0723E">
        <w:t>4</w:t>
      </w:r>
      <w:r w:rsidRPr="005E69B6">
        <w:noBreakHyphen/>
        <w:t>2</w:t>
      </w:r>
      <w:r w:rsidR="00D0723E">
        <w:t>5</w:t>
      </w:r>
      <w:r w:rsidRPr="005E69B6">
        <w:t xml:space="preserve">. </w:t>
      </w:r>
    </w:p>
    <w:p w14:paraId="5A8560F0" w14:textId="54ACACE1" w:rsidR="007B227B" w:rsidRDefault="00C9037F" w:rsidP="00BA6644">
      <w:pPr>
        <w:rPr>
          <w:rFonts w:asciiTheme="majorHAnsi" w:hAnsiTheme="majorHAnsi" w:cstheme="majorHAnsi"/>
          <w:sz w:val="24"/>
          <w:szCs w:val="24"/>
        </w:rPr>
      </w:pPr>
      <w:r>
        <w:br w:type="column"/>
      </w:r>
      <w:r w:rsidR="00366656" w:rsidRPr="005E69B6">
        <w:t xml:space="preserve">This was </w:t>
      </w:r>
      <w:r w:rsidR="00AF3AA5">
        <w:t xml:space="preserve">slightly </w:t>
      </w:r>
      <w:r w:rsidR="004C1F84">
        <w:t>lower</w:t>
      </w:r>
      <w:r w:rsidR="00366656" w:rsidRPr="005E69B6">
        <w:t xml:space="preserve"> than the revised budget of $2</w:t>
      </w:r>
      <w:r w:rsidR="00734FD3">
        <w:t>3</w:t>
      </w:r>
      <w:r w:rsidR="004C1F84">
        <w:t>.</w:t>
      </w:r>
      <w:r w:rsidR="00734FD3">
        <w:t>8</w:t>
      </w:r>
      <w:r w:rsidR="00366656" w:rsidRPr="005E69B6">
        <w:t xml:space="preserve"> billion published in the </w:t>
      </w:r>
      <w:r w:rsidR="00366656" w:rsidRPr="005E69B6">
        <w:rPr>
          <w:i/>
        </w:rPr>
        <w:t>202</w:t>
      </w:r>
      <w:r w:rsidR="004C1F84">
        <w:rPr>
          <w:i/>
        </w:rPr>
        <w:t>5</w:t>
      </w:r>
      <w:r w:rsidR="00366656" w:rsidRPr="005E69B6">
        <w:rPr>
          <w:i/>
        </w:rPr>
        <w:noBreakHyphen/>
        <w:t>2</w:t>
      </w:r>
      <w:r w:rsidR="004C1F84">
        <w:rPr>
          <w:i/>
        </w:rPr>
        <w:t>6</w:t>
      </w:r>
      <w:r w:rsidR="00366656" w:rsidRPr="005E69B6">
        <w:rPr>
          <w:i/>
        </w:rPr>
        <w:t xml:space="preserve"> Budget</w:t>
      </w:r>
      <w:r w:rsidR="0036112C">
        <w:t>.</w:t>
      </w:r>
      <w:r w:rsidR="00A95C4A" w:rsidDel="00C54859">
        <w:t xml:space="preserve"> </w:t>
      </w:r>
      <w:r w:rsidR="00BA6644" w:rsidRPr="00126D73">
        <w:t>GII decreased by $</w:t>
      </w:r>
      <w:r w:rsidR="00250093">
        <w:t>7</w:t>
      </w:r>
      <w:r w:rsidR="00BA6644">
        <w:t>3</w:t>
      </w:r>
      <w:r w:rsidR="00FE1E2B">
        <w:t>2</w:t>
      </w:r>
      <w:r w:rsidR="00BA6644">
        <w:t xml:space="preserve"> m</w:t>
      </w:r>
      <w:r w:rsidR="00BA6644" w:rsidRPr="00126D73">
        <w:t xml:space="preserve">illion </w:t>
      </w:r>
      <w:r w:rsidR="00BA6644">
        <w:t>in 2024</w:t>
      </w:r>
      <w:r w:rsidR="003E2133">
        <w:t>-</w:t>
      </w:r>
      <w:r w:rsidR="00BA6644">
        <w:t xml:space="preserve">25 </w:t>
      </w:r>
      <w:r w:rsidR="00BA6644" w:rsidRPr="00126D73">
        <w:t xml:space="preserve">compared </w:t>
      </w:r>
      <w:r w:rsidR="00BA6644">
        <w:t>with</w:t>
      </w:r>
      <w:r w:rsidR="00BA6644" w:rsidRPr="00126D73">
        <w:t xml:space="preserve"> </w:t>
      </w:r>
      <w:r w:rsidR="00BA6644">
        <w:t>the</w:t>
      </w:r>
      <w:r w:rsidR="00BA6644" w:rsidRPr="00126D73">
        <w:t xml:space="preserve"> peak of $24.2 billion in 2023</w:t>
      </w:r>
      <w:r w:rsidR="00E11959">
        <w:t>-</w:t>
      </w:r>
      <w:r w:rsidR="00BA6644" w:rsidRPr="00126D73">
        <w:t>24</w:t>
      </w:r>
      <w:r w:rsidR="00406FB9">
        <w:t>.</w:t>
      </w:r>
      <w:r w:rsidR="00BA6644">
        <w:t xml:space="preserve"> </w:t>
      </w:r>
      <w:r w:rsidR="00BA6644" w:rsidRPr="00FA392D">
        <w:t>This reflects the Government</w:t>
      </w:r>
      <w:r w:rsidR="00845934">
        <w:t>’</w:t>
      </w:r>
      <w:r w:rsidR="00BA6644" w:rsidRPr="00FA392D">
        <w:t>s commitment to a sustainable infrastructure program and returning infrastructure investment to pre-COVID levels.</w:t>
      </w:r>
    </w:p>
    <w:p w14:paraId="2051160B" w14:textId="7C591CD0" w:rsidR="00BC0C0C" w:rsidRDefault="00BC0C0C">
      <w:pPr>
        <w:keepLines w:val="0"/>
        <w:rPr>
          <w:rFonts w:asciiTheme="majorHAnsi" w:hAnsiTheme="majorHAnsi" w:cstheme="majorHAnsi"/>
          <w:sz w:val="24"/>
          <w:szCs w:val="24"/>
        </w:rPr>
      </w:pPr>
      <w:r>
        <w:rPr>
          <w:rFonts w:asciiTheme="majorHAnsi" w:hAnsiTheme="majorHAnsi" w:cstheme="majorHAnsi"/>
          <w:sz w:val="24"/>
          <w:szCs w:val="24"/>
        </w:rPr>
        <w:br w:type="page"/>
      </w:r>
    </w:p>
    <w:p w14:paraId="01B356F2" w14:textId="77777777" w:rsidR="00C9037F" w:rsidRDefault="00C9037F">
      <w:pPr>
        <w:keepLines w:val="0"/>
        <w:rPr>
          <w:rFonts w:asciiTheme="majorHAnsi" w:hAnsiTheme="majorHAnsi" w:cstheme="majorHAnsi"/>
          <w:sz w:val="24"/>
          <w:szCs w:val="24"/>
        </w:rPr>
      </w:pPr>
    </w:p>
    <w:p w14:paraId="5B71B233" w14:textId="77777777" w:rsidR="00C9037F" w:rsidRDefault="00C9037F">
      <w:pPr>
        <w:keepLines w:val="0"/>
        <w:rPr>
          <w:rFonts w:asciiTheme="majorHAnsi" w:hAnsiTheme="majorHAnsi" w:cstheme="majorHAnsi"/>
          <w:sz w:val="24"/>
          <w:szCs w:val="24"/>
        </w:rPr>
        <w:sectPr w:rsidR="00C9037F" w:rsidSect="00C9037F">
          <w:type w:val="continuous"/>
          <w:pgSz w:w="11906" w:h="16838" w:code="9"/>
          <w:pgMar w:top="1134" w:right="1134" w:bottom="1134" w:left="1134" w:header="624" w:footer="567" w:gutter="0"/>
          <w:cols w:num="2" w:space="708"/>
          <w:docGrid w:linePitch="360"/>
        </w:sectPr>
      </w:pPr>
    </w:p>
    <w:p w14:paraId="1566DE21" w14:textId="28057F1A" w:rsidR="00A20CD2" w:rsidRDefault="00A20CD2" w:rsidP="00097095">
      <w:pPr>
        <w:pStyle w:val="ChapterHeading"/>
      </w:pPr>
      <w:bookmarkStart w:id="16" w:name="_Toc492985870"/>
      <w:bookmarkStart w:id="17" w:name="_Toc209474766"/>
      <w:bookmarkStart w:id="18" w:name="_Toc209474799"/>
      <w:r>
        <w:lastRenderedPageBreak/>
        <w:t>Chapter 3 –</w:t>
      </w:r>
      <w:bookmarkEnd w:id="16"/>
      <w:r w:rsidR="008823B9">
        <w:t xml:space="preserve"> </w:t>
      </w:r>
      <w:r w:rsidRPr="00975286">
        <w:t>Broader public sector</w:t>
      </w:r>
      <w:r>
        <w:t xml:space="preserve"> outcome</w:t>
      </w:r>
      <w:bookmarkEnd w:id="17"/>
      <w:bookmarkEnd w:id="18"/>
    </w:p>
    <w:p w14:paraId="3939BA32" w14:textId="77777777" w:rsidR="00C9037F" w:rsidRDefault="00C9037F" w:rsidP="00366656">
      <w:pPr>
        <w:pStyle w:val="ShadedBoxBullet"/>
        <w:numPr>
          <w:ilvl w:val="0"/>
          <w:numId w:val="26"/>
        </w:numPr>
        <w:ind w:left="360"/>
        <w:sectPr w:rsidR="00C9037F" w:rsidSect="00330E10">
          <w:headerReference w:type="default" r:id="rId35"/>
          <w:footerReference w:type="even" r:id="rId36"/>
          <w:footerReference w:type="default" r:id="rId37"/>
          <w:pgSz w:w="11906" w:h="16838" w:code="9"/>
          <w:pgMar w:top="1134" w:right="1134" w:bottom="1134" w:left="1134" w:header="624" w:footer="567" w:gutter="0"/>
          <w:cols w:space="708"/>
          <w:docGrid w:linePitch="360"/>
        </w:sectPr>
      </w:pPr>
    </w:p>
    <w:p w14:paraId="21FA07F7" w14:textId="45D7B4DA" w:rsidR="00366656" w:rsidRDefault="00366656" w:rsidP="006B65A0">
      <w:pPr>
        <w:pStyle w:val="ShadedBoxBullet"/>
        <w:numPr>
          <w:ilvl w:val="0"/>
          <w:numId w:val="26"/>
        </w:numPr>
        <w:shd w:val="clear" w:color="auto" w:fill="E7E6E6" w:themeFill="background2"/>
        <w:ind w:left="360"/>
      </w:pPr>
      <w:r>
        <w:t xml:space="preserve">The public non-financial corporations (PNFC) sector reported a net </w:t>
      </w:r>
      <w:r w:rsidR="00D45337" w:rsidRPr="00D45337">
        <w:t xml:space="preserve">deficit </w:t>
      </w:r>
      <w:r>
        <w:t xml:space="preserve">from transactions of </w:t>
      </w:r>
      <w:r w:rsidRPr="00AE6A81">
        <w:t>$</w:t>
      </w:r>
      <w:r w:rsidR="00D45337" w:rsidRPr="00D45337">
        <w:t>1</w:t>
      </w:r>
      <w:r w:rsidR="00CC1A16">
        <w:t>21</w:t>
      </w:r>
      <w:r w:rsidR="00C92E1F">
        <w:t> </w:t>
      </w:r>
      <w:r w:rsidR="00D45337" w:rsidRPr="00D45337">
        <w:t xml:space="preserve">million in 2024-25 compared </w:t>
      </w:r>
      <w:r w:rsidR="008327E7">
        <w:t xml:space="preserve">with </w:t>
      </w:r>
      <w:r w:rsidR="00D45337" w:rsidRPr="00D45337">
        <w:t xml:space="preserve">a small surplus of </w:t>
      </w:r>
      <w:r w:rsidR="00D64D87">
        <w:t>$</w:t>
      </w:r>
      <w:r w:rsidRPr="00AE6A81">
        <w:t>1 million</w:t>
      </w:r>
      <w:r>
        <w:t xml:space="preserve"> in 2023-24. Once losses reported as other economic flows are included, the PNFC sector</w:t>
      </w:r>
      <w:r w:rsidR="00845934">
        <w:t>’</w:t>
      </w:r>
      <w:r>
        <w:t xml:space="preserve">s net </w:t>
      </w:r>
      <w:r w:rsidRPr="00D50EC0">
        <w:t xml:space="preserve">result </w:t>
      </w:r>
      <w:r w:rsidR="009960F0" w:rsidRPr="00D50EC0">
        <w:t>was</w:t>
      </w:r>
      <w:r w:rsidRPr="00D50EC0">
        <w:t xml:space="preserve"> a deficit</w:t>
      </w:r>
      <w:r>
        <w:t xml:space="preserve"> of $</w:t>
      </w:r>
      <w:r w:rsidR="00D45337" w:rsidRPr="00D45337">
        <w:t>13.</w:t>
      </w:r>
      <w:r w:rsidR="00D45337">
        <w:t>1</w:t>
      </w:r>
      <w:r w:rsidR="00D45337" w:rsidRPr="00895344">
        <w:t> </w:t>
      </w:r>
      <w:r w:rsidR="00D45337">
        <w:t>billion</w:t>
      </w:r>
      <w:r>
        <w:t xml:space="preserve"> in </w:t>
      </w:r>
      <w:r w:rsidR="00D45337" w:rsidRPr="00D45337">
        <w:t>2024-25</w:t>
      </w:r>
      <w:r>
        <w:t>.</w:t>
      </w:r>
      <w:r w:rsidR="006572EC">
        <w:t xml:space="preserve"> </w:t>
      </w:r>
      <w:r w:rsidR="004D07AB">
        <w:t>This was</w:t>
      </w:r>
      <w:r w:rsidR="006572EC">
        <w:t xml:space="preserve"> </w:t>
      </w:r>
      <w:r w:rsidR="00BA7FD4">
        <w:t>l</w:t>
      </w:r>
      <w:r w:rsidR="00BA7FD4" w:rsidRPr="00BA7FD4">
        <w:t xml:space="preserve">argely driven by </w:t>
      </w:r>
      <w:r w:rsidR="00907A83" w:rsidRPr="00907A83">
        <w:t xml:space="preserve">the deferred tax impact of the </w:t>
      </w:r>
      <w:r w:rsidR="00907A83">
        <w:t>20</w:t>
      </w:r>
      <w:r w:rsidR="00BA7FD4" w:rsidRPr="00BA7FD4">
        <w:t>24-25 VicTrack revaluation</w:t>
      </w:r>
      <w:r>
        <w:t>.</w:t>
      </w:r>
    </w:p>
    <w:p w14:paraId="10104DE6" w14:textId="3601CE98" w:rsidR="00366656" w:rsidRDefault="00366656" w:rsidP="006B65A0">
      <w:pPr>
        <w:pStyle w:val="ShadedBoxBullet"/>
        <w:numPr>
          <w:ilvl w:val="0"/>
          <w:numId w:val="26"/>
        </w:numPr>
        <w:shd w:val="clear" w:color="auto" w:fill="E7E6E6" w:themeFill="background2"/>
        <w:ind w:left="360"/>
      </w:pPr>
      <w:r>
        <w:t xml:space="preserve">The net debt of the non-financial public sector (NFPS), which includes both the general government and the PNFC sectors, has increased from </w:t>
      </w:r>
      <w:r w:rsidRPr="00AE6A81">
        <w:t>$1</w:t>
      </w:r>
      <w:r w:rsidR="00101C79">
        <w:t>55</w:t>
      </w:r>
      <w:r w:rsidRPr="00AE6A81">
        <w:t>.</w:t>
      </w:r>
      <w:r w:rsidR="00101C79">
        <w:t>3</w:t>
      </w:r>
      <w:r w:rsidRPr="00AE6A81">
        <w:t xml:space="preserve"> billion</w:t>
      </w:r>
      <w:r>
        <w:t xml:space="preserve"> at 30 June 202</w:t>
      </w:r>
      <w:r w:rsidR="00864FE7">
        <w:t>4</w:t>
      </w:r>
      <w:r>
        <w:t xml:space="preserve"> to </w:t>
      </w:r>
      <w:r w:rsidRPr="00AE6A81">
        <w:t>$1</w:t>
      </w:r>
      <w:r w:rsidR="00864FE7">
        <w:t>7</w:t>
      </w:r>
      <w:r w:rsidR="00381E33">
        <w:t>5</w:t>
      </w:r>
      <w:r w:rsidRPr="00AE6A81">
        <w:t>.</w:t>
      </w:r>
      <w:r w:rsidR="00354461">
        <w:t>2</w:t>
      </w:r>
      <w:r w:rsidRPr="00AE6A81">
        <w:t> billion</w:t>
      </w:r>
      <w:r>
        <w:t xml:space="preserve"> at 30 June 202</w:t>
      </w:r>
      <w:r w:rsidR="00864FE7">
        <w:t>5</w:t>
      </w:r>
      <w:r>
        <w:t xml:space="preserve">. This increase is predominantly due to additional borrowings to fund the general government sector and </w:t>
      </w:r>
      <w:r w:rsidRPr="00735806">
        <w:t>PNFC infrastructure programs.</w:t>
      </w:r>
    </w:p>
    <w:p w14:paraId="5C8928C0" w14:textId="34940EE5" w:rsidR="00366656" w:rsidRPr="003626D6" w:rsidRDefault="00366656" w:rsidP="006B65A0">
      <w:pPr>
        <w:pStyle w:val="ShadedBoxBullet"/>
        <w:numPr>
          <w:ilvl w:val="0"/>
          <w:numId w:val="26"/>
        </w:numPr>
        <w:shd w:val="clear" w:color="auto" w:fill="E7E6E6" w:themeFill="background2"/>
        <w:ind w:left="360"/>
      </w:pPr>
      <w:r w:rsidRPr="003626D6">
        <w:t xml:space="preserve">The public financial corporations (PFC) sector reported a net deficit from transactions of </w:t>
      </w:r>
      <w:r w:rsidRPr="00CC073F">
        <w:t>$1.</w:t>
      </w:r>
      <w:r w:rsidR="00F444AC" w:rsidRPr="00CC073F">
        <w:t>4</w:t>
      </w:r>
      <w:r w:rsidRPr="00CC073F">
        <w:t> billion in 202</w:t>
      </w:r>
      <w:r w:rsidR="00724586" w:rsidRPr="00CC073F">
        <w:t>4</w:t>
      </w:r>
      <w:r w:rsidRPr="00CC073F">
        <w:t>-2</w:t>
      </w:r>
      <w:r w:rsidR="00724586" w:rsidRPr="00CC073F">
        <w:t>5</w:t>
      </w:r>
      <w:r w:rsidRPr="003626D6">
        <w:t xml:space="preserve">. Once other economic flows, which primarily relate to </w:t>
      </w:r>
      <w:r w:rsidR="00213F4C">
        <w:t>financial liability revaluations</w:t>
      </w:r>
      <w:r w:rsidR="004E584A">
        <w:t xml:space="preserve"> (</w:t>
      </w:r>
      <w:r w:rsidR="00213F4C">
        <w:t>partly offset by</w:t>
      </w:r>
      <w:r w:rsidRPr="003626D6">
        <w:t xml:space="preserve"> capital gains on the investments held by the State</w:t>
      </w:r>
      <w:r w:rsidR="00845934">
        <w:t>’</w:t>
      </w:r>
      <w:r w:rsidRPr="003626D6">
        <w:t>s insurance agencies</w:t>
      </w:r>
      <w:r w:rsidR="004E584A">
        <w:t>)</w:t>
      </w:r>
      <w:r w:rsidRPr="003626D6">
        <w:t xml:space="preserve"> are included</w:t>
      </w:r>
      <w:r w:rsidR="004E584A">
        <w:t>,</w:t>
      </w:r>
      <w:r w:rsidRPr="003626D6">
        <w:t xml:space="preserve"> the PFC sector</w:t>
      </w:r>
      <w:r w:rsidR="00845934">
        <w:t>’</w:t>
      </w:r>
      <w:r w:rsidRPr="003626D6">
        <w:t xml:space="preserve">s net </w:t>
      </w:r>
      <w:r w:rsidRPr="00E8729B">
        <w:t xml:space="preserve">result </w:t>
      </w:r>
      <w:r w:rsidR="004D7DA2" w:rsidRPr="00E8729B">
        <w:t>was</w:t>
      </w:r>
      <w:r w:rsidRPr="00E8729B">
        <w:t xml:space="preserve"> a </w:t>
      </w:r>
      <w:r w:rsidR="00DB5211" w:rsidRPr="00560086">
        <w:t>deficit</w:t>
      </w:r>
      <w:r w:rsidRPr="003626D6">
        <w:t xml:space="preserve"> of </w:t>
      </w:r>
      <w:r w:rsidRPr="00CC073F">
        <w:t>$</w:t>
      </w:r>
      <w:r w:rsidR="007A6925" w:rsidRPr="00CC073F">
        <w:t>3.5</w:t>
      </w:r>
      <w:r w:rsidRPr="00CC073F">
        <w:t> billion in 202</w:t>
      </w:r>
      <w:r w:rsidR="00C63DAF" w:rsidRPr="00CC073F">
        <w:t>4</w:t>
      </w:r>
      <w:r w:rsidRPr="00CC073F">
        <w:t>-2</w:t>
      </w:r>
      <w:r w:rsidR="007A6925" w:rsidRPr="00CC073F">
        <w:t>5</w:t>
      </w:r>
      <w:r w:rsidRPr="003626D6">
        <w:t>.</w:t>
      </w:r>
    </w:p>
    <w:p w14:paraId="14ED306F" w14:textId="1CDB0737" w:rsidR="00366656" w:rsidRPr="003626D6" w:rsidRDefault="00366656" w:rsidP="006B65A0">
      <w:pPr>
        <w:pStyle w:val="ShadedBoxBullet"/>
        <w:numPr>
          <w:ilvl w:val="0"/>
          <w:numId w:val="26"/>
        </w:numPr>
        <w:shd w:val="clear" w:color="auto" w:fill="E7E6E6" w:themeFill="background2"/>
        <w:ind w:left="360"/>
      </w:pPr>
      <w:r w:rsidRPr="003626D6">
        <w:t>Combining the above, the State reported a net result deficit of $</w:t>
      </w:r>
      <w:r w:rsidR="0007059F">
        <w:t>7</w:t>
      </w:r>
      <w:r w:rsidRPr="003626D6">
        <w:t>.</w:t>
      </w:r>
      <w:r w:rsidR="005529FA">
        <w:t>7</w:t>
      </w:r>
      <w:r w:rsidRPr="003626D6">
        <w:t xml:space="preserve"> billion in 202</w:t>
      </w:r>
      <w:r w:rsidR="00887723">
        <w:t>4</w:t>
      </w:r>
      <w:r w:rsidRPr="003626D6">
        <w:t>-2</w:t>
      </w:r>
      <w:r w:rsidR="00887723">
        <w:t>5</w:t>
      </w:r>
      <w:r w:rsidRPr="003626D6">
        <w:t>.</w:t>
      </w:r>
    </w:p>
    <w:p w14:paraId="73796770" w14:textId="77775DFA" w:rsidR="00366656" w:rsidRPr="00200564" w:rsidRDefault="00DE1E51" w:rsidP="00366656">
      <w:r>
        <w:br w:type="column"/>
      </w:r>
      <w:r w:rsidR="00366656" w:rsidRPr="00200564">
        <w:t xml:space="preserve">This chapter sets out the financial results </w:t>
      </w:r>
      <w:r w:rsidR="00366656">
        <w:t>of the broader public sector for 202</w:t>
      </w:r>
      <w:r w:rsidR="00C65008">
        <w:t>4</w:t>
      </w:r>
      <w:r w:rsidR="00366656">
        <w:t>-2</w:t>
      </w:r>
      <w:r w:rsidR="00C65008">
        <w:t>5</w:t>
      </w:r>
      <w:r w:rsidR="00366656">
        <w:t>, comprising:</w:t>
      </w:r>
    </w:p>
    <w:p w14:paraId="138223B5" w14:textId="68FA8C2B" w:rsidR="00366656" w:rsidRDefault="00366656" w:rsidP="00366656">
      <w:pPr>
        <w:pStyle w:val="ListBullet"/>
      </w:pPr>
      <w:r>
        <w:t>the NFPS, which consolidates the general government, discussed in Chapter 2, and the PNFC sector. The PNFC sector comprises a wide range of entities that provide services primarily funded by user charges and fees. The</w:t>
      </w:r>
      <w:r w:rsidR="00561035">
        <w:t> </w:t>
      </w:r>
      <w:r>
        <w:t>main services provided by PNFCs include water, housing and transport.</w:t>
      </w:r>
    </w:p>
    <w:p w14:paraId="02A09F83" w14:textId="293505E3" w:rsidR="00366656" w:rsidRDefault="00366656" w:rsidP="00366656">
      <w:pPr>
        <w:pStyle w:val="ListBullet"/>
      </w:pPr>
      <w:r>
        <w:t>the State of Victoria, which consolidates the NFPS and the PFC sector. PFCs can be categorised into two broad types: those that provide services to the general public and businesses (such as WorkSafe Victoria, the Transport Accident Commission, Breakthrough Victoria and State Trustees Limited) and those that predominantly provide financial services to other government entities (such as the Victorian Funds Management Corporation, the Treasury Corporation of Victoria (TCV) and the Victorian Managed Insurance Authority).</w:t>
      </w:r>
    </w:p>
    <w:p w14:paraId="4A009168" w14:textId="77777777" w:rsidR="00C9037F" w:rsidRDefault="00C9037F" w:rsidP="00097095"/>
    <w:p w14:paraId="76A8EA99" w14:textId="77777777" w:rsidR="00DE1E51" w:rsidRDefault="00DE1E51" w:rsidP="00097095">
      <w:pPr>
        <w:sectPr w:rsidR="00DE1E51" w:rsidSect="00C9037F">
          <w:type w:val="continuous"/>
          <w:pgSz w:w="11906" w:h="16838" w:code="9"/>
          <w:pgMar w:top="1134" w:right="1134" w:bottom="1134" w:left="1134" w:header="624" w:footer="567" w:gutter="0"/>
          <w:cols w:num="2" w:space="708"/>
          <w:docGrid w:linePitch="360"/>
        </w:sectPr>
      </w:pPr>
    </w:p>
    <w:p w14:paraId="237AD76A" w14:textId="4AA2981B" w:rsidR="00366656" w:rsidRDefault="00366656" w:rsidP="00DE1E51">
      <w:pPr>
        <w:pStyle w:val="Heading1"/>
        <w:spacing w:before="0"/>
      </w:pPr>
      <w:bookmarkStart w:id="19" w:name="_Toc176189337"/>
      <w:r w:rsidRPr="00975286">
        <w:lastRenderedPageBreak/>
        <w:t>Public Non-</w:t>
      </w:r>
      <w:r w:rsidRPr="007A6FD4">
        <w:t>Financial</w:t>
      </w:r>
      <w:r w:rsidRPr="00975286">
        <w:t xml:space="preserve"> Corporations Sector</w:t>
      </w:r>
      <w:bookmarkEnd w:id="19"/>
    </w:p>
    <w:p w14:paraId="3AA6B7BA" w14:textId="77777777" w:rsidR="00366656" w:rsidRDefault="00366656" w:rsidP="00366656">
      <w:pPr>
        <w:pStyle w:val="Heading2"/>
      </w:pPr>
      <w:r>
        <w:t>Operating statement</w:t>
      </w:r>
    </w:p>
    <w:p w14:paraId="5B7C833A" w14:textId="77777777" w:rsidR="00DE1E51" w:rsidRDefault="00DE1E51" w:rsidP="00366656">
      <w:pPr>
        <w:sectPr w:rsidR="00DE1E51" w:rsidSect="00DE1E51">
          <w:pgSz w:w="11906" w:h="16838" w:code="9"/>
          <w:pgMar w:top="1134" w:right="1134" w:bottom="1134" w:left="1134" w:header="624" w:footer="567" w:gutter="0"/>
          <w:cols w:space="708"/>
          <w:docGrid w:linePitch="360"/>
        </w:sectPr>
      </w:pPr>
    </w:p>
    <w:p w14:paraId="59780D7F" w14:textId="77777777" w:rsidR="00366656" w:rsidRDefault="00366656" w:rsidP="00366656">
      <w:r>
        <w:t>Tables 3.1 and 3.2 summarise the operating statement and financial position for the PNFC sector. These figures are derived from the audited financial statements in Chapter 4.</w:t>
      </w:r>
    </w:p>
    <w:p w14:paraId="75048D4C" w14:textId="77777777" w:rsidR="00DE1E51" w:rsidRDefault="00DE1E51" w:rsidP="00366656">
      <w:pPr>
        <w:pStyle w:val="TableHeading"/>
      </w:pPr>
    </w:p>
    <w:p w14:paraId="52C333F7" w14:textId="77777777" w:rsidR="00DE1E51" w:rsidRPr="00DE1E51" w:rsidRDefault="00DE1E51" w:rsidP="00DE1E51">
      <w:pPr>
        <w:sectPr w:rsidR="00DE1E51" w:rsidRPr="00DE1E51" w:rsidSect="00DE1E51">
          <w:type w:val="continuous"/>
          <w:pgSz w:w="11906" w:h="16838" w:code="9"/>
          <w:pgMar w:top="1134" w:right="1134" w:bottom="1134" w:left="1134" w:header="624" w:footer="567" w:gutter="0"/>
          <w:cols w:num="2" w:space="708"/>
          <w:docGrid w:linePitch="360"/>
        </w:sectPr>
      </w:pPr>
    </w:p>
    <w:p w14:paraId="49AB873C" w14:textId="4E23228A" w:rsidR="00366656" w:rsidRDefault="00366656" w:rsidP="00366656">
      <w:pPr>
        <w:pStyle w:val="TableHeading"/>
      </w:pPr>
      <w:r w:rsidRPr="00200564">
        <w:t>Table 3.1:</w:t>
      </w:r>
      <w:r w:rsidRPr="00200564">
        <w:tab/>
      </w:r>
      <w:r>
        <w:t>202</w:t>
      </w:r>
      <w:r w:rsidR="00FA6E34">
        <w:t>4</w:t>
      </w:r>
      <w:r>
        <w:t>-2</w:t>
      </w:r>
      <w:r w:rsidR="00FA6E34">
        <w:t>5</w:t>
      </w:r>
      <w:r w:rsidRPr="00200564">
        <w:t xml:space="preserve"> summary operating statement – </w:t>
      </w:r>
      <w:r>
        <w:t>PNFC sector</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OS_PNFC"/>
      </w:tblPr>
      <w:tblGrid>
        <w:gridCol w:w="5103"/>
        <w:gridCol w:w="907"/>
        <w:gridCol w:w="907"/>
        <w:gridCol w:w="907"/>
        <w:gridCol w:w="907"/>
        <w:gridCol w:w="907"/>
      </w:tblGrid>
      <w:tr w:rsidR="00991200" w14:paraId="221E8569"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04AB6D4" w14:textId="77777777" w:rsidR="00E51EAC" w:rsidRDefault="00E51EAC">
            <w:pPr>
              <w:keepNext/>
            </w:pPr>
          </w:p>
        </w:tc>
        <w:tc>
          <w:tcPr>
            <w:tcW w:w="907" w:type="dxa"/>
          </w:tcPr>
          <w:p w14:paraId="4D548EA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FF05F0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37A5BAD"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081B9DF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revised</w:t>
            </w:r>
          </w:p>
        </w:tc>
        <w:tc>
          <w:tcPr>
            <w:tcW w:w="907" w:type="dxa"/>
          </w:tcPr>
          <w:p w14:paraId="2686F2D4"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165BE9FC"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7F0D12F" w14:textId="77777777" w:rsidR="00E51EAC" w:rsidRDefault="00E51EAC">
            <w:pPr>
              <w:keepNext/>
            </w:pPr>
          </w:p>
        </w:tc>
        <w:tc>
          <w:tcPr>
            <w:tcW w:w="907" w:type="dxa"/>
          </w:tcPr>
          <w:p w14:paraId="3C95A8DA"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547B968D"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244B7385"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7D9B760D"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500CCE8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r>
      <w:tr w:rsidR="00E51EAC" w14:paraId="2B3A14DF" w14:textId="77777777">
        <w:tc>
          <w:tcPr>
            <w:cnfStyle w:val="001000000000" w:firstRow="0" w:lastRow="0" w:firstColumn="1" w:lastColumn="0" w:oddVBand="0" w:evenVBand="0" w:oddHBand="0" w:evenHBand="0" w:firstRowFirstColumn="0" w:firstRowLastColumn="0" w:lastRowFirstColumn="0" w:lastRowLastColumn="0"/>
            <w:tcW w:w="5103" w:type="dxa"/>
          </w:tcPr>
          <w:p w14:paraId="5F2C3353" w14:textId="77777777" w:rsidR="00E51EAC" w:rsidRDefault="00182F93">
            <w:r>
              <w:rPr>
                <w:b/>
              </w:rPr>
              <w:t>Revenue and income from transactions</w:t>
            </w:r>
          </w:p>
        </w:tc>
        <w:tc>
          <w:tcPr>
            <w:tcW w:w="907" w:type="dxa"/>
          </w:tcPr>
          <w:p w14:paraId="3DB9DBA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E2B9F9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A95E6C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3C33D5B"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415967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24EA9568" w14:textId="77777777">
        <w:tc>
          <w:tcPr>
            <w:cnfStyle w:val="001000000000" w:firstRow="0" w:lastRow="0" w:firstColumn="1" w:lastColumn="0" w:oddVBand="0" w:evenVBand="0" w:oddHBand="0" w:evenHBand="0" w:firstRowFirstColumn="0" w:firstRowLastColumn="0" w:lastRowFirstColumn="0" w:lastRowLastColumn="0"/>
            <w:tcW w:w="5103" w:type="dxa"/>
          </w:tcPr>
          <w:p w14:paraId="67198243" w14:textId="77777777" w:rsidR="00E51EAC" w:rsidRDefault="00182F93">
            <w:r>
              <w:t>Interest income</w:t>
            </w:r>
          </w:p>
        </w:tc>
        <w:tc>
          <w:tcPr>
            <w:tcW w:w="907" w:type="dxa"/>
          </w:tcPr>
          <w:p w14:paraId="58A737F4" w14:textId="77777777" w:rsidR="00E51EAC" w:rsidRDefault="00182F93">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221A6FE6" w14:textId="77777777" w:rsidR="00E51EAC" w:rsidRDefault="00182F93">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6B437F60" w14:textId="77777777" w:rsidR="00E51EAC" w:rsidRDefault="00182F93">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177A8841" w14:textId="77777777" w:rsidR="00E51EAC" w:rsidRDefault="00182F93">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52C9DB30" w14:textId="77777777" w:rsidR="00E51EAC" w:rsidRDefault="00182F93">
            <w:pPr>
              <w:cnfStyle w:val="000000000000" w:firstRow="0" w:lastRow="0" w:firstColumn="0" w:lastColumn="0" w:oddVBand="0" w:evenVBand="0" w:oddHBand="0" w:evenHBand="0" w:firstRowFirstColumn="0" w:firstRowLastColumn="0" w:lastRowFirstColumn="0" w:lastRowLastColumn="0"/>
            </w:pPr>
            <w:r>
              <w:t>120</w:t>
            </w:r>
          </w:p>
        </w:tc>
      </w:tr>
      <w:tr w:rsidR="00E51EAC" w14:paraId="16DCAA03" w14:textId="77777777">
        <w:tc>
          <w:tcPr>
            <w:cnfStyle w:val="001000000000" w:firstRow="0" w:lastRow="0" w:firstColumn="1" w:lastColumn="0" w:oddVBand="0" w:evenVBand="0" w:oddHBand="0" w:evenHBand="0" w:firstRowFirstColumn="0" w:firstRowLastColumn="0" w:lastRowFirstColumn="0" w:lastRowLastColumn="0"/>
            <w:tcW w:w="5103" w:type="dxa"/>
          </w:tcPr>
          <w:p w14:paraId="56728FDF" w14:textId="77777777" w:rsidR="00E51EAC" w:rsidRDefault="00182F93">
            <w:r>
              <w:t>Dividends and income tax equivalent income</w:t>
            </w:r>
          </w:p>
        </w:tc>
        <w:tc>
          <w:tcPr>
            <w:tcW w:w="907" w:type="dxa"/>
          </w:tcPr>
          <w:p w14:paraId="040636BB" w14:textId="77777777" w:rsidR="00E51EAC" w:rsidRDefault="00182F93">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7D6E59CE" w14:textId="77777777" w:rsidR="00E51EAC" w:rsidRDefault="00182F93">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0D7824AE" w14:textId="77777777" w:rsidR="00E51EAC" w:rsidRDefault="00182F93">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523EFF7" w14:textId="77777777" w:rsidR="00E51EAC" w:rsidRDefault="00182F93">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5EB9BEE1" w14:textId="77777777" w:rsidR="00E51EAC" w:rsidRDefault="00182F93">
            <w:pPr>
              <w:cnfStyle w:val="000000000000" w:firstRow="0" w:lastRow="0" w:firstColumn="0" w:lastColumn="0" w:oddVBand="0" w:evenVBand="0" w:oddHBand="0" w:evenHBand="0" w:firstRowFirstColumn="0" w:firstRowLastColumn="0" w:lastRowFirstColumn="0" w:lastRowLastColumn="0"/>
            </w:pPr>
            <w:r>
              <w:t>46</w:t>
            </w:r>
          </w:p>
        </w:tc>
      </w:tr>
      <w:tr w:rsidR="00E51EAC" w14:paraId="6BDF73A1" w14:textId="77777777">
        <w:tc>
          <w:tcPr>
            <w:cnfStyle w:val="001000000000" w:firstRow="0" w:lastRow="0" w:firstColumn="1" w:lastColumn="0" w:oddVBand="0" w:evenVBand="0" w:oddHBand="0" w:evenHBand="0" w:firstRowFirstColumn="0" w:firstRowLastColumn="0" w:lastRowFirstColumn="0" w:lastRowLastColumn="0"/>
            <w:tcW w:w="5103" w:type="dxa"/>
          </w:tcPr>
          <w:p w14:paraId="2A72FAA0" w14:textId="77777777" w:rsidR="00E51EAC" w:rsidRDefault="00182F93">
            <w:r>
              <w:t>Sales of goods and services</w:t>
            </w:r>
          </w:p>
        </w:tc>
        <w:tc>
          <w:tcPr>
            <w:tcW w:w="907" w:type="dxa"/>
          </w:tcPr>
          <w:p w14:paraId="1805952F" w14:textId="77777777" w:rsidR="00E51EAC" w:rsidRDefault="00182F93">
            <w:pPr>
              <w:cnfStyle w:val="000000000000" w:firstRow="0" w:lastRow="0" w:firstColumn="0" w:lastColumn="0" w:oddVBand="0" w:evenVBand="0" w:oddHBand="0" w:evenHBand="0" w:firstRowFirstColumn="0" w:firstRowLastColumn="0" w:lastRowFirstColumn="0" w:lastRowLastColumn="0"/>
            </w:pPr>
            <w:r>
              <w:t>8 093</w:t>
            </w:r>
          </w:p>
        </w:tc>
        <w:tc>
          <w:tcPr>
            <w:tcW w:w="907" w:type="dxa"/>
          </w:tcPr>
          <w:p w14:paraId="2938E35F" w14:textId="77777777" w:rsidR="00E51EAC" w:rsidRDefault="00182F93">
            <w:pPr>
              <w:cnfStyle w:val="000000000000" w:firstRow="0" w:lastRow="0" w:firstColumn="0" w:lastColumn="0" w:oddVBand="0" w:evenVBand="0" w:oddHBand="0" w:evenHBand="0" w:firstRowFirstColumn="0" w:firstRowLastColumn="0" w:lastRowFirstColumn="0" w:lastRowLastColumn="0"/>
            </w:pPr>
            <w:r>
              <w:t>8 111</w:t>
            </w:r>
          </w:p>
        </w:tc>
        <w:tc>
          <w:tcPr>
            <w:tcW w:w="907" w:type="dxa"/>
          </w:tcPr>
          <w:p w14:paraId="06778F4D" w14:textId="77777777" w:rsidR="00E51EAC" w:rsidRDefault="00182F93">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33C14401" w14:textId="77777777" w:rsidR="00E51EAC" w:rsidRDefault="00182F93">
            <w:pPr>
              <w:cnfStyle w:val="000000000000" w:firstRow="0" w:lastRow="0" w:firstColumn="0" w:lastColumn="0" w:oddVBand="0" w:evenVBand="0" w:oddHBand="0" w:evenHBand="0" w:firstRowFirstColumn="0" w:firstRowLastColumn="0" w:lastRowFirstColumn="0" w:lastRowLastColumn="0"/>
            </w:pPr>
            <w:r>
              <w:t>(0.2)</w:t>
            </w:r>
          </w:p>
        </w:tc>
        <w:tc>
          <w:tcPr>
            <w:tcW w:w="907" w:type="dxa"/>
          </w:tcPr>
          <w:p w14:paraId="185ABBB3" w14:textId="77777777" w:rsidR="00E51EAC" w:rsidRDefault="00182F93">
            <w:pPr>
              <w:cnfStyle w:val="000000000000" w:firstRow="0" w:lastRow="0" w:firstColumn="0" w:lastColumn="0" w:oddVBand="0" w:evenVBand="0" w:oddHBand="0" w:evenHBand="0" w:firstRowFirstColumn="0" w:firstRowLastColumn="0" w:lastRowFirstColumn="0" w:lastRowLastColumn="0"/>
            </w:pPr>
            <w:r>
              <w:t>7 584</w:t>
            </w:r>
          </w:p>
        </w:tc>
      </w:tr>
      <w:tr w:rsidR="00E51EAC" w14:paraId="0FD32764" w14:textId="77777777">
        <w:tc>
          <w:tcPr>
            <w:cnfStyle w:val="001000000000" w:firstRow="0" w:lastRow="0" w:firstColumn="1" w:lastColumn="0" w:oddVBand="0" w:evenVBand="0" w:oddHBand="0" w:evenHBand="0" w:firstRowFirstColumn="0" w:firstRowLastColumn="0" w:lastRowFirstColumn="0" w:lastRowLastColumn="0"/>
            <w:tcW w:w="5103" w:type="dxa"/>
          </w:tcPr>
          <w:p w14:paraId="7663CAC4" w14:textId="77777777" w:rsidR="00E51EAC" w:rsidRDefault="00182F93">
            <w:r>
              <w:t>Grants</w:t>
            </w:r>
          </w:p>
        </w:tc>
        <w:tc>
          <w:tcPr>
            <w:tcW w:w="907" w:type="dxa"/>
          </w:tcPr>
          <w:p w14:paraId="6D66B4F7" w14:textId="77777777" w:rsidR="00E51EAC" w:rsidRDefault="00182F93">
            <w:pPr>
              <w:cnfStyle w:val="000000000000" w:firstRow="0" w:lastRow="0" w:firstColumn="0" w:lastColumn="0" w:oddVBand="0" w:evenVBand="0" w:oddHBand="0" w:evenHBand="0" w:firstRowFirstColumn="0" w:firstRowLastColumn="0" w:lastRowFirstColumn="0" w:lastRowLastColumn="0"/>
            </w:pPr>
            <w:r>
              <w:t>2 597</w:t>
            </w:r>
          </w:p>
        </w:tc>
        <w:tc>
          <w:tcPr>
            <w:tcW w:w="907" w:type="dxa"/>
          </w:tcPr>
          <w:p w14:paraId="18395A00" w14:textId="77777777" w:rsidR="00E51EAC" w:rsidRDefault="00182F93">
            <w:pPr>
              <w:cnfStyle w:val="000000000000" w:firstRow="0" w:lastRow="0" w:firstColumn="0" w:lastColumn="0" w:oddVBand="0" w:evenVBand="0" w:oddHBand="0" w:evenHBand="0" w:firstRowFirstColumn="0" w:firstRowLastColumn="0" w:lastRowFirstColumn="0" w:lastRowLastColumn="0"/>
            </w:pPr>
            <w:r>
              <w:t>2 728</w:t>
            </w:r>
          </w:p>
        </w:tc>
        <w:tc>
          <w:tcPr>
            <w:tcW w:w="907" w:type="dxa"/>
          </w:tcPr>
          <w:p w14:paraId="6B3E65A0" w14:textId="77777777" w:rsidR="00E51EAC" w:rsidRDefault="00182F93">
            <w:pPr>
              <w:cnfStyle w:val="000000000000" w:firstRow="0" w:lastRow="0" w:firstColumn="0" w:lastColumn="0" w:oddVBand="0" w:evenVBand="0" w:oddHBand="0" w:evenHBand="0" w:firstRowFirstColumn="0" w:firstRowLastColumn="0" w:lastRowFirstColumn="0" w:lastRowLastColumn="0"/>
            </w:pPr>
            <w:r>
              <w:t>(131)</w:t>
            </w:r>
          </w:p>
        </w:tc>
        <w:tc>
          <w:tcPr>
            <w:tcW w:w="907" w:type="dxa"/>
          </w:tcPr>
          <w:p w14:paraId="53CD8ABC" w14:textId="77777777" w:rsidR="00E51EAC" w:rsidRDefault="00182F93">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0F501F73" w14:textId="77777777" w:rsidR="00E51EAC" w:rsidRDefault="00182F93">
            <w:pPr>
              <w:cnfStyle w:val="000000000000" w:firstRow="0" w:lastRow="0" w:firstColumn="0" w:lastColumn="0" w:oddVBand="0" w:evenVBand="0" w:oddHBand="0" w:evenHBand="0" w:firstRowFirstColumn="0" w:firstRowLastColumn="0" w:lastRowFirstColumn="0" w:lastRowLastColumn="0"/>
            </w:pPr>
            <w:r>
              <w:t>2 495</w:t>
            </w:r>
          </w:p>
        </w:tc>
      </w:tr>
      <w:tr w:rsidR="00E51EAC" w14:paraId="5BB0BA17"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29AEC0A" w14:textId="77777777" w:rsidR="00E51EAC" w:rsidRDefault="00182F93">
            <w:r>
              <w:t>Other revenue and income</w:t>
            </w:r>
          </w:p>
        </w:tc>
        <w:tc>
          <w:tcPr>
            <w:tcW w:w="907" w:type="dxa"/>
            <w:tcBorders>
              <w:bottom w:val="single" w:sz="6" w:space="0" w:color="auto"/>
            </w:tcBorders>
          </w:tcPr>
          <w:p w14:paraId="7C5E04C2" w14:textId="77777777" w:rsidR="00E51EAC" w:rsidRDefault="00182F93">
            <w:pPr>
              <w:cnfStyle w:val="000000000000" w:firstRow="0" w:lastRow="0" w:firstColumn="0" w:lastColumn="0" w:oddVBand="0" w:evenVBand="0" w:oddHBand="0" w:evenHBand="0" w:firstRowFirstColumn="0" w:firstRowLastColumn="0" w:lastRowFirstColumn="0" w:lastRowLastColumn="0"/>
            </w:pPr>
            <w:r>
              <w:t>843</w:t>
            </w:r>
          </w:p>
        </w:tc>
        <w:tc>
          <w:tcPr>
            <w:tcW w:w="907" w:type="dxa"/>
            <w:tcBorders>
              <w:bottom w:val="single" w:sz="6" w:space="0" w:color="auto"/>
            </w:tcBorders>
          </w:tcPr>
          <w:p w14:paraId="3DE99178" w14:textId="77777777" w:rsidR="00E51EAC" w:rsidRDefault="00182F93">
            <w:pPr>
              <w:cnfStyle w:val="000000000000" w:firstRow="0" w:lastRow="0" w:firstColumn="0" w:lastColumn="0" w:oddVBand="0" w:evenVBand="0" w:oddHBand="0" w:evenHBand="0" w:firstRowFirstColumn="0" w:firstRowLastColumn="0" w:lastRowFirstColumn="0" w:lastRowLastColumn="0"/>
            </w:pPr>
            <w:r>
              <w:t>739</w:t>
            </w:r>
          </w:p>
        </w:tc>
        <w:tc>
          <w:tcPr>
            <w:tcW w:w="907" w:type="dxa"/>
            <w:tcBorders>
              <w:bottom w:val="single" w:sz="6" w:space="0" w:color="auto"/>
            </w:tcBorders>
          </w:tcPr>
          <w:p w14:paraId="447E8056" w14:textId="77777777" w:rsidR="00E51EAC" w:rsidRDefault="00182F93">
            <w:pPr>
              <w:cnfStyle w:val="000000000000" w:firstRow="0" w:lastRow="0" w:firstColumn="0" w:lastColumn="0" w:oddVBand="0" w:evenVBand="0" w:oddHBand="0" w:evenHBand="0" w:firstRowFirstColumn="0" w:firstRowLastColumn="0" w:lastRowFirstColumn="0" w:lastRowLastColumn="0"/>
            </w:pPr>
            <w:r>
              <w:t>104</w:t>
            </w:r>
          </w:p>
        </w:tc>
        <w:tc>
          <w:tcPr>
            <w:tcW w:w="907" w:type="dxa"/>
            <w:tcBorders>
              <w:bottom w:val="single" w:sz="6" w:space="0" w:color="auto"/>
            </w:tcBorders>
          </w:tcPr>
          <w:p w14:paraId="440E319E" w14:textId="77777777" w:rsidR="00E51EAC" w:rsidRDefault="00182F93">
            <w:pPr>
              <w:cnfStyle w:val="000000000000" w:firstRow="0" w:lastRow="0" w:firstColumn="0" w:lastColumn="0" w:oddVBand="0" w:evenVBand="0" w:oddHBand="0" w:evenHBand="0" w:firstRowFirstColumn="0" w:firstRowLastColumn="0" w:lastRowFirstColumn="0" w:lastRowLastColumn="0"/>
            </w:pPr>
            <w:r>
              <w:t>14.0</w:t>
            </w:r>
          </w:p>
        </w:tc>
        <w:tc>
          <w:tcPr>
            <w:tcW w:w="907" w:type="dxa"/>
            <w:tcBorders>
              <w:bottom w:val="single" w:sz="6" w:space="0" w:color="auto"/>
            </w:tcBorders>
          </w:tcPr>
          <w:p w14:paraId="6F925416" w14:textId="77777777" w:rsidR="00E51EAC" w:rsidRDefault="00182F93">
            <w:pPr>
              <w:cnfStyle w:val="000000000000" w:firstRow="0" w:lastRow="0" w:firstColumn="0" w:lastColumn="0" w:oddVBand="0" w:evenVBand="0" w:oddHBand="0" w:evenHBand="0" w:firstRowFirstColumn="0" w:firstRowLastColumn="0" w:lastRowFirstColumn="0" w:lastRowLastColumn="0"/>
            </w:pPr>
            <w:r>
              <w:t>835</w:t>
            </w:r>
          </w:p>
        </w:tc>
      </w:tr>
      <w:tr w:rsidR="00E51EAC" w14:paraId="0BA06B32"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5DFE5FD" w14:textId="77777777" w:rsidR="00E51EAC" w:rsidRDefault="00182F93">
            <w:r>
              <w:rPr>
                <w:b/>
              </w:rPr>
              <w:t>Total revenue and income from transactions</w:t>
            </w:r>
          </w:p>
        </w:tc>
        <w:tc>
          <w:tcPr>
            <w:tcW w:w="907" w:type="dxa"/>
            <w:tcBorders>
              <w:top w:val="single" w:sz="6" w:space="0" w:color="auto"/>
            </w:tcBorders>
          </w:tcPr>
          <w:p w14:paraId="1986E86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11 701</w:t>
            </w:r>
          </w:p>
        </w:tc>
        <w:tc>
          <w:tcPr>
            <w:tcW w:w="907" w:type="dxa"/>
            <w:tcBorders>
              <w:top w:val="single" w:sz="6" w:space="0" w:color="auto"/>
            </w:tcBorders>
          </w:tcPr>
          <w:p w14:paraId="678DF0C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11 723</w:t>
            </w:r>
          </w:p>
        </w:tc>
        <w:tc>
          <w:tcPr>
            <w:tcW w:w="907" w:type="dxa"/>
            <w:tcBorders>
              <w:top w:val="single" w:sz="6" w:space="0" w:color="auto"/>
            </w:tcBorders>
          </w:tcPr>
          <w:p w14:paraId="4B5A37A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Borders>
              <w:top w:val="single" w:sz="6" w:space="0" w:color="auto"/>
            </w:tcBorders>
          </w:tcPr>
          <w:p w14:paraId="5F1651E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(0.2)</w:t>
            </w:r>
          </w:p>
        </w:tc>
        <w:tc>
          <w:tcPr>
            <w:tcW w:w="907" w:type="dxa"/>
            <w:tcBorders>
              <w:top w:val="single" w:sz="6" w:space="0" w:color="auto"/>
            </w:tcBorders>
          </w:tcPr>
          <w:p w14:paraId="76508F8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11 079</w:t>
            </w:r>
          </w:p>
        </w:tc>
      </w:tr>
      <w:tr w:rsidR="00E51EAC" w14:paraId="406951B3" w14:textId="77777777">
        <w:tc>
          <w:tcPr>
            <w:cnfStyle w:val="001000000000" w:firstRow="0" w:lastRow="0" w:firstColumn="1" w:lastColumn="0" w:oddVBand="0" w:evenVBand="0" w:oddHBand="0" w:evenHBand="0" w:firstRowFirstColumn="0" w:firstRowLastColumn="0" w:lastRowFirstColumn="0" w:lastRowLastColumn="0"/>
            <w:tcW w:w="5103" w:type="dxa"/>
          </w:tcPr>
          <w:p w14:paraId="243D1596" w14:textId="77777777" w:rsidR="00E51EAC" w:rsidRDefault="00182F93">
            <w:r>
              <w:rPr>
                <w:b/>
              </w:rPr>
              <w:t>Expenses from transactions</w:t>
            </w:r>
          </w:p>
        </w:tc>
        <w:tc>
          <w:tcPr>
            <w:tcW w:w="907" w:type="dxa"/>
          </w:tcPr>
          <w:p w14:paraId="5671ECB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B92FE6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1375C3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3D8671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FF7CC6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4D98CE4" w14:textId="77777777">
        <w:tc>
          <w:tcPr>
            <w:cnfStyle w:val="001000000000" w:firstRow="0" w:lastRow="0" w:firstColumn="1" w:lastColumn="0" w:oddVBand="0" w:evenVBand="0" w:oddHBand="0" w:evenHBand="0" w:firstRowFirstColumn="0" w:firstRowLastColumn="0" w:lastRowFirstColumn="0" w:lastRowLastColumn="0"/>
            <w:tcW w:w="5103" w:type="dxa"/>
          </w:tcPr>
          <w:p w14:paraId="23702868" w14:textId="77777777" w:rsidR="00E51EAC" w:rsidRDefault="00182F93">
            <w:r>
              <w:t>Employee expenses</w:t>
            </w:r>
          </w:p>
        </w:tc>
        <w:tc>
          <w:tcPr>
            <w:tcW w:w="907" w:type="dxa"/>
          </w:tcPr>
          <w:p w14:paraId="20CAD23C" w14:textId="77777777" w:rsidR="00E51EAC" w:rsidRDefault="00182F93">
            <w:pPr>
              <w:cnfStyle w:val="000000000000" w:firstRow="0" w:lastRow="0" w:firstColumn="0" w:lastColumn="0" w:oddVBand="0" w:evenVBand="0" w:oddHBand="0" w:evenHBand="0" w:firstRowFirstColumn="0" w:firstRowLastColumn="0" w:lastRowFirstColumn="0" w:lastRowLastColumn="0"/>
            </w:pPr>
            <w:r>
              <w:t>2 114</w:t>
            </w:r>
          </w:p>
        </w:tc>
        <w:tc>
          <w:tcPr>
            <w:tcW w:w="907" w:type="dxa"/>
          </w:tcPr>
          <w:p w14:paraId="1FF000F8" w14:textId="77777777" w:rsidR="00E51EAC" w:rsidRDefault="00182F93">
            <w:pPr>
              <w:cnfStyle w:val="000000000000" w:firstRow="0" w:lastRow="0" w:firstColumn="0" w:lastColumn="0" w:oddVBand="0" w:evenVBand="0" w:oddHBand="0" w:evenHBand="0" w:firstRowFirstColumn="0" w:firstRowLastColumn="0" w:lastRowFirstColumn="0" w:lastRowLastColumn="0"/>
            </w:pPr>
            <w:r>
              <w:t>2 028</w:t>
            </w:r>
          </w:p>
        </w:tc>
        <w:tc>
          <w:tcPr>
            <w:tcW w:w="907" w:type="dxa"/>
          </w:tcPr>
          <w:p w14:paraId="5561F446" w14:textId="77777777" w:rsidR="00E51EAC" w:rsidRDefault="00182F93">
            <w:pPr>
              <w:cnfStyle w:val="000000000000" w:firstRow="0" w:lastRow="0" w:firstColumn="0" w:lastColumn="0" w:oddVBand="0" w:evenVBand="0" w:oddHBand="0" w:evenHBand="0" w:firstRowFirstColumn="0" w:firstRowLastColumn="0" w:lastRowFirstColumn="0" w:lastRowLastColumn="0"/>
            </w:pPr>
            <w:r>
              <w:t>86</w:t>
            </w:r>
          </w:p>
        </w:tc>
        <w:tc>
          <w:tcPr>
            <w:tcW w:w="907" w:type="dxa"/>
          </w:tcPr>
          <w:p w14:paraId="29E4F487" w14:textId="77777777" w:rsidR="00E51EAC" w:rsidRDefault="00182F93">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4F85A360" w14:textId="77777777" w:rsidR="00E51EAC" w:rsidRDefault="00182F93">
            <w:pPr>
              <w:cnfStyle w:val="000000000000" w:firstRow="0" w:lastRow="0" w:firstColumn="0" w:lastColumn="0" w:oddVBand="0" w:evenVBand="0" w:oddHBand="0" w:evenHBand="0" w:firstRowFirstColumn="0" w:firstRowLastColumn="0" w:lastRowFirstColumn="0" w:lastRowLastColumn="0"/>
            </w:pPr>
            <w:r>
              <w:t>1 961</w:t>
            </w:r>
          </w:p>
        </w:tc>
      </w:tr>
      <w:tr w:rsidR="00E51EAC" w14:paraId="198F1A95" w14:textId="77777777">
        <w:tc>
          <w:tcPr>
            <w:cnfStyle w:val="001000000000" w:firstRow="0" w:lastRow="0" w:firstColumn="1" w:lastColumn="0" w:oddVBand="0" w:evenVBand="0" w:oddHBand="0" w:evenHBand="0" w:firstRowFirstColumn="0" w:firstRowLastColumn="0" w:lastRowFirstColumn="0" w:lastRowLastColumn="0"/>
            <w:tcW w:w="5103" w:type="dxa"/>
          </w:tcPr>
          <w:p w14:paraId="38FED9B3" w14:textId="77777777" w:rsidR="00E51EAC" w:rsidRDefault="00182F93">
            <w:r>
              <w:t>Superannuation:</w:t>
            </w:r>
          </w:p>
        </w:tc>
        <w:tc>
          <w:tcPr>
            <w:tcW w:w="907" w:type="dxa"/>
          </w:tcPr>
          <w:p w14:paraId="23F27DD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8D1BA4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0E5141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F4049F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063390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206903A2" w14:textId="77777777">
        <w:tc>
          <w:tcPr>
            <w:cnfStyle w:val="001000000000" w:firstRow="0" w:lastRow="0" w:firstColumn="1" w:lastColumn="0" w:oddVBand="0" w:evenVBand="0" w:oddHBand="0" w:evenHBand="0" w:firstRowFirstColumn="0" w:firstRowLastColumn="0" w:lastRowFirstColumn="0" w:lastRowLastColumn="0"/>
            <w:tcW w:w="5103" w:type="dxa"/>
          </w:tcPr>
          <w:p w14:paraId="21FB8E96" w14:textId="74E0DE6F" w:rsidR="00E51EAC" w:rsidRDefault="00017DBC">
            <w:r>
              <w:t xml:space="preserve">   </w:t>
            </w:r>
            <w:r w:rsidR="00182F93">
              <w:t>Net superannuation interest expense</w:t>
            </w:r>
          </w:p>
        </w:tc>
        <w:tc>
          <w:tcPr>
            <w:tcW w:w="907" w:type="dxa"/>
          </w:tcPr>
          <w:p w14:paraId="4A99DCC5" w14:textId="77777777" w:rsidR="00E51EAC" w:rsidRDefault="00182F93">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BB747F6" w14:textId="77777777" w:rsidR="00E51EAC" w:rsidRDefault="00182F93">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11506C68"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55B828F" w14:textId="77777777" w:rsidR="00E51EAC" w:rsidRDefault="00182F93">
            <w:pPr>
              <w:cnfStyle w:val="000000000000" w:firstRow="0" w:lastRow="0" w:firstColumn="0" w:lastColumn="0" w:oddVBand="0" w:evenVBand="0" w:oddHBand="0" w:evenHBand="0" w:firstRowFirstColumn="0" w:firstRowLastColumn="0" w:lastRowFirstColumn="0" w:lastRowLastColumn="0"/>
            </w:pPr>
            <w:r>
              <w:t>(60.6)</w:t>
            </w:r>
          </w:p>
        </w:tc>
        <w:tc>
          <w:tcPr>
            <w:tcW w:w="907" w:type="dxa"/>
          </w:tcPr>
          <w:p w14:paraId="32AC8B4E" w14:textId="77777777" w:rsidR="00E51EAC" w:rsidRDefault="00182F93">
            <w:pPr>
              <w:cnfStyle w:val="000000000000" w:firstRow="0" w:lastRow="0" w:firstColumn="0" w:lastColumn="0" w:oddVBand="0" w:evenVBand="0" w:oddHBand="0" w:evenHBand="0" w:firstRowFirstColumn="0" w:firstRowLastColumn="0" w:lastRowFirstColumn="0" w:lastRowLastColumn="0"/>
            </w:pPr>
            <w:r>
              <w:t>2</w:t>
            </w:r>
          </w:p>
        </w:tc>
      </w:tr>
      <w:tr w:rsidR="00E51EAC" w14:paraId="0BFBAC29" w14:textId="77777777">
        <w:tc>
          <w:tcPr>
            <w:cnfStyle w:val="001000000000" w:firstRow="0" w:lastRow="0" w:firstColumn="1" w:lastColumn="0" w:oddVBand="0" w:evenVBand="0" w:oddHBand="0" w:evenHBand="0" w:firstRowFirstColumn="0" w:firstRowLastColumn="0" w:lastRowFirstColumn="0" w:lastRowLastColumn="0"/>
            <w:tcW w:w="5103" w:type="dxa"/>
          </w:tcPr>
          <w:p w14:paraId="77BD1E96" w14:textId="6C8BBF5F" w:rsidR="00E51EAC" w:rsidRDefault="00017DBC">
            <w:r>
              <w:t xml:space="preserve">   </w:t>
            </w:r>
            <w:r w:rsidR="00182F93">
              <w:t>Other superannuation</w:t>
            </w:r>
          </w:p>
        </w:tc>
        <w:tc>
          <w:tcPr>
            <w:tcW w:w="907" w:type="dxa"/>
          </w:tcPr>
          <w:p w14:paraId="2D4B5E4C" w14:textId="77777777" w:rsidR="00E51EAC" w:rsidRDefault="00182F93">
            <w:pPr>
              <w:cnfStyle w:val="000000000000" w:firstRow="0" w:lastRow="0" w:firstColumn="0" w:lastColumn="0" w:oddVBand="0" w:evenVBand="0" w:oddHBand="0" w:evenHBand="0" w:firstRowFirstColumn="0" w:firstRowLastColumn="0" w:lastRowFirstColumn="0" w:lastRowLastColumn="0"/>
            </w:pPr>
            <w:r>
              <w:t>225</w:t>
            </w:r>
          </w:p>
        </w:tc>
        <w:tc>
          <w:tcPr>
            <w:tcW w:w="907" w:type="dxa"/>
          </w:tcPr>
          <w:p w14:paraId="3F6D628D" w14:textId="77777777" w:rsidR="00E51EAC" w:rsidRDefault="00182F93">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626A8600" w14:textId="77777777" w:rsidR="00E51EAC" w:rsidRDefault="00182F93">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BA3927B" w14:textId="77777777" w:rsidR="00E51EAC" w:rsidRDefault="00182F93">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D37426A" w14:textId="77777777" w:rsidR="00E51EAC" w:rsidRDefault="00182F93">
            <w:pPr>
              <w:cnfStyle w:val="000000000000" w:firstRow="0" w:lastRow="0" w:firstColumn="0" w:lastColumn="0" w:oddVBand="0" w:evenVBand="0" w:oddHBand="0" w:evenHBand="0" w:firstRowFirstColumn="0" w:firstRowLastColumn="0" w:lastRowFirstColumn="0" w:lastRowLastColumn="0"/>
            </w:pPr>
            <w:r>
              <w:t>196</w:t>
            </w:r>
          </w:p>
        </w:tc>
      </w:tr>
      <w:tr w:rsidR="00E51EAC" w14:paraId="7E5105EC" w14:textId="77777777">
        <w:tc>
          <w:tcPr>
            <w:cnfStyle w:val="001000000000" w:firstRow="0" w:lastRow="0" w:firstColumn="1" w:lastColumn="0" w:oddVBand="0" w:evenVBand="0" w:oddHBand="0" w:evenHBand="0" w:firstRowFirstColumn="0" w:firstRowLastColumn="0" w:lastRowFirstColumn="0" w:lastRowLastColumn="0"/>
            <w:tcW w:w="5103" w:type="dxa"/>
          </w:tcPr>
          <w:p w14:paraId="51085797" w14:textId="77777777" w:rsidR="00E51EAC" w:rsidRDefault="00182F93">
            <w:r>
              <w:t>Depreciation</w:t>
            </w:r>
          </w:p>
        </w:tc>
        <w:tc>
          <w:tcPr>
            <w:tcW w:w="907" w:type="dxa"/>
          </w:tcPr>
          <w:p w14:paraId="48152C9F" w14:textId="77777777" w:rsidR="00E51EAC" w:rsidRDefault="00182F93">
            <w:pPr>
              <w:cnfStyle w:val="000000000000" w:firstRow="0" w:lastRow="0" w:firstColumn="0" w:lastColumn="0" w:oddVBand="0" w:evenVBand="0" w:oddHBand="0" w:evenHBand="0" w:firstRowFirstColumn="0" w:firstRowLastColumn="0" w:lastRowFirstColumn="0" w:lastRowLastColumn="0"/>
            </w:pPr>
            <w:r>
              <w:t>2 360</w:t>
            </w:r>
          </w:p>
        </w:tc>
        <w:tc>
          <w:tcPr>
            <w:tcW w:w="907" w:type="dxa"/>
          </w:tcPr>
          <w:p w14:paraId="6F5DB7C2" w14:textId="77777777" w:rsidR="00E51EAC" w:rsidRDefault="00182F93">
            <w:pPr>
              <w:cnfStyle w:val="000000000000" w:firstRow="0" w:lastRow="0" w:firstColumn="0" w:lastColumn="0" w:oddVBand="0" w:evenVBand="0" w:oddHBand="0" w:evenHBand="0" w:firstRowFirstColumn="0" w:firstRowLastColumn="0" w:lastRowFirstColumn="0" w:lastRowLastColumn="0"/>
            </w:pPr>
            <w:r>
              <w:t>2 307</w:t>
            </w:r>
          </w:p>
        </w:tc>
        <w:tc>
          <w:tcPr>
            <w:tcW w:w="907" w:type="dxa"/>
          </w:tcPr>
          <w:p w14:paraId="795F922C" w14:textId="77777777" w:rsidR="00E51EAC" w:rsidRDefault="00182F93">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62779632" w14:textId="77777777" w:rsidR="00E51EAC" w:rsidRDefault="00182F93">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20C9F1E1" w14:textId="77777777" w:rsidR="00E51EAC" w:rsidRDefault="00182F93">
            <w:pPr>
              <w:cnfStyle w:val="000000000000" w:firstRow="0" w:lastRow="0" w:firstColumn="0" w:lastColumn="0" w:oddVBand="0" w:evenVBand="0" w:oddHBand="0" w:evenHBand="0" w:firstRowFirstColumn="0" w:firstRowLastColumn="0" w:lastRowFirstColumn="0" w:lastRowLastColumn="0"/>
            </w:pPr>
            <w:r>
              <w:t>2 120</w:t>
            </w:r>
          </w:p>
        </w:tc>
      </w:tr>
      <w:tr w:rsidR="00E51EAC" w14:paraId="0E4862C1" w14:textId="77777777">
        <w:tc>
          <w:tcPr>
            <w:cnfStyle w:val="001000000000" w:firstRow="0" w:lastRow="0" w:firstColumn="1" w:lastColumn="0" w:oddVBand="0" w:evenVBand="0" w:oddHBand="0" w:evenHBand="0" w:firstRowFirstColumn="0" w:firstRowLastColumn="0" w:lastRowFirstColumn="0" w:lastRowLastColumn="0"/>
            <w:tcW w:w="5103" w:type="dxa"/>
          </w:tcPr>
          <w:p w14:paraId="055D2FFD" w14:textId="77777777" w:rsidR="00E51EAC" w:rsidRDefault="00182F93">
            <w:r>
              <w:t>Interest expense</w:t>
            </w:r>
          </w:p>
        </w:tc>
        <w:tc>
          <w:tcPr>
            <w:tcW w:w="907" w:type="dxa"/>
          </w:tcPr>
          <w:p w14:paraId="6306BD1F" w14:textId="77777777" w:rsidR="00E51EAC" w:rsidRDefault="00182F93">
            <w:pPr>
              <w:cnfStyle w:val="000000000000" w:firstRow="0" w:lastRow="0" w:firstColumn="0" w:lastColumn="0" w:oddVBand="0" w:evenVBand="0" w:oddHBand="0" w:evenHBand="0" w:firstRowFirstColumn="0" w:firstRowLastColumn="0" w:lastRowFirstColumn="0" w:lastRowLastColumn="0"/>
            </w:pPr>
            <w:r>
              <w:t>1 052</w:t>
            </w:r>
          </w:p>
        </w:tc>
        <w:tc>
          <w:tcPr>
            <w:tcW w:w="907" w:type="dxa"/>
          </w:tcPr>
          <w:p w14:paraId="149241A7" w14:textId="77777777" w:rsidR="00E51EAC" w:rsidRDefault="00182F93">
            <w:pPr>
              <w:cnfStyle w:val="000000000000" w:firstRow="0" w:lastRow="0" w:firstColumn="0" w:lastColumn="0" w:oddVBand="0" w:evenVBand="0" w:oddHBand="0" w:evenHBand="0" w:firstRowFirstColumn="0" w:firstRowLastColumn="0" w:lastRowFirstColumn="0" w:lastRowLastColumn="0"/>
            </w:pPr>
            <w:r>
              <w:t>1 070</w:t>
            </w:r>
          </w:p>
        </w:tc>
        <w:tc>
          <w:tcPr>
            <w:tcW w:w="907" w:type="dxa"/>
          </w:tcPr>
          <w:p w14:paraId="49ED7304" w14:textId="77777777" w:rsidR="00E51EAC" w:rsidRDefault="00182F93">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35624801" w14:textId="77777777" w:rsidR="00E51EAC" w:rsidRDefault="00182F93">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16712941" w14:textId="77777777" w:rsidR="00E51EAC" w:rsidRDefault="00182F93">
            <w:pPr>
              <w:cnfStyle w:val="000000000000" w:firstRow="0" w:lastRow="0" w:firstColumn="0" w:lastColumn="0" w:oddVBand="0" w:evenVBand="0" w:oddHBand="0" w:evenHBand="0" w:firstRowFirstColumn="0" w:firstRowLastColumn="0" w:lastRowFirstColumn="0" w:lastRowLastColumn="0"/>
            </w:pPr>
            <w:r>
              <w:t>944</w:t>
            </w:r>
          </w:p>
        </w:tc>
      </w:tr>
      <w:tr w:rsidR="00E51EAC" w14:paraId="2395CE80" w14:textId="77777777">
        <w:tc>
          <w:tcPr>
            <w:cnfStyle w:val="001000000000" w:firstRow="0" w:lastRow="0" w:firstColumn="1" w:lastColumn="0" w:oddVBand="0" w:evenVBand="0" w:oddHBand="0" w:evenHBand="0" w:firstRowFirstColumn="0" w:firstRowLastColumn="0" w:lastRowFirstColumn="0" w:lastRowLastColumn="0"/>
            <w:tcW w:w="5103" w:type="dxa"/>
          </w:tcPr>
          <w:p w14:paraId="0A014C2D" w14:textId="77777777" w:rsidR="00E51EAC" w:rsidRDefault="00182F93">
            <w:r>
              <w:t>Grant expense</w:t>
            </w:r>
          </w:p>
        </w:tc>
        <w:tc>
          <w:tcPr>
            <w:tcW w:w="907" w:type="dxa"/>
          </w:tcPr>
          <w:p w14:paraId="6ED40774" w14:textId="77777777" w:rsidR="00E51EAC" w:rsidRDefault="00182F93">
            <w:pPr>
              <w:cnfStyle w:val="000000000000" w:firstRow="0" w:lastRow="0" w:firstColumn="0" w:lastColumn="0" w:oddVBand="0" w:evenVBand="0" w:oddHBand="0" w:evenHBand="0" w:firstRowFirstColumn="0" w:firstRowLastColumn="0" w:lastRowFirstColumn="0" w:lastRowLastColumn="0"/>
            </w:pPr>
            <w:r>
              <w:t>578</w:t>
            </w:r>
          </w:p>
        </w:tc>
        <w:tc>
          <w:tcPr>
            <w:tcW w:w="907" w:type="dxa"/>
          </w:tcPr>
          <w:p w14:paraId="572ED451" w14:textId="77777777" w:rsidR="00E51EAC" w:rsidRDefault="00182F93">
            <w:pPr>
              <w:cnfStyle w:val="000000000000" w:firstRow="0" w:lastRow="0" w:firstColumn="0" w:lastColumn="0" w:oddVBand="0" w:evenVBand="0" w:oddHBand="0" w:evenHBand="0" w:firstRowFirstColumn="0" w:firstRowLastColumn="0" w:lastRowFirstColumn="0" w:lastRowLastColumn="0"/>
            </w:pPr>
            <w:r>
              <w:t>711</w:t>
            </w:r>
          </w:p>
        </w:tc>
        <w:tc>
          <w:tcPr>
            <w:tcW w:w="907" w:type="dxa"/>
          </w:tcPr>
          <w:p w14:paraId="3A9405E9" w14:textId="77777777" w:rsidR="00E51EAC" w:rsidRDefault="00182F93">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5BB3975B" w14:textId="77777777" w:rsidR="00E51EAC" w:rsidRDefault="00182F93">
            <w:pPr>
              <w:cnfStyle w:val="000000000000" w:firstRow="0" w:lastRow="0" w:firstColumn="0" w:lastColumn="0" w:oddVBand="0" w:evenVBand="0" w:oddHBand="0" w:evenHBand="0" w:firstRowFirstColumn="0" w:firstRowLastColumn="0" w:lastRowFirstColumn="0" w:lastRowLastColumn="0"/>
            </w:pPr>
            <w:r>
              <w:t>(18.7)</w:t>
            </w:r>
          </w:p>
        </w:tc>
        <w:tc>
          <w:tcPr>
            <w:tcW w:w="907" w:type="dxa"/>
          </w:tcPr>
          <w:p w14:paraId="13C2647D" w14:textId="77777777" w:rsidR="00E51EAC" w:rsidRDefault="00182F93">
            <w:pPr>
              <w:cnfStyle w:val="000000000000" w:firstRow="0" w:lastRow="0" w:firstColumn="0" w:lastColumn="0" w:oddVBand="0" w:evenVBand="0" w:oddHBand="0" w:evenHBand="0" w:firstRowFirstColumn="0" w:firstRowLastColumn="0" w:lastRowFirstColumn="0" w:lastRowLastColumn="0"/>
            </w:pPr>
            <w:r>
              <w:t>686</w:t>
            </w:r>
          </w:p>
        </w:tc>
      </w:tr>
      <w:tr w:rsidR="00E51EAC" w14:paraId="3EA73A50" w14:textId="77777777">
        <w:tc>
          <w:tcPr>
            <w:cnfStyle w:val="001000000000" w:firstRow="0" w:lastRow="0" w:firstColumn="1" w:lastColumn="0" w:oddVBand="0" w:evenVBand="0" w:oddHBand="0" w:evenHBand="0" w:firstRowFirstColumn="0" w:firstRowLastColumn="0" w:lastRowFirstColumn="0" w:lastRowLastColumn="0"/>
            <w:tcW w:w="5103" w:type="dxa"/>
          </w:tcPr>
          <w:p w14:paraId="451FDC17" w14:textId="77777777" w:rsidR="00E51EAC" w:rsidRDefault="00182F93">
            <w:r>
              <w:t>Other operating expenses</w:t>
            </w:r>
          </w:p>
        </w:tc>
        <w:tc>
          <w:tcPr>
            <w:tcW w:w="907" w:type="dxa"/>
          </w:tcPr>
          <w:p w14:paraId="724B4528" w14:textId="77777777" w:rsidR="00E51EAC" w:rsidRDefault="00182F93">
            <w:pPr>
              <w:cnfStyle w:val="000000000000" w:firstRow="0" w:lastRow="0" w:firstColumn="0" w:lastColumn="0" w:oddVBand="0" w:evenVBand="0" w:oddHBand="0" w:evenHBand="0" w:firstRowFirstColumn="0" w:firstRowLastColumn="0" w:lastRowFirstColumn="0" w:lastRowLastColumn="0"/>
            </w:pPr>
            <w:r>
              <w:t>5 302</w:t>
            </w:r>
          </w:p>
        </w:tc>
        <w:tc>
          <w:tcPr>
            <w:tcW w:w="907" w:type="dxa"/>
          </w:tcPr>
          <w:p w14:paraId="4CA8F176" w14:textId="77777777" w:rsidR="00E51EAC" w:rsidRDefault="00182F93">
            <w:pPr>
              <w:cnfStyle w:val="000000000000" w:firstRow="0" w:lastRow="0" w:firstColumn="0" w:lastColumn="0" w:oddVBand="0" w:evenVBand="0" w:oddHBand="0" w:evenHBand="0" w:firstRowFirstColumn="0" w:firstRowLastColumn="0" w:lastRowFirstColumn="0" w:lastRowLastColumn="0"/>
            </w:pPr>
            <w:r>
              <w:t>5 270</w:t>
            </w:r>
          </w:p>
        </w:tc>
        <w:tc>
          <w:tcPr>
            <w:tcW w:w="907" w:type="dxa"/>
          </w:tcPr>
          <w:p w14:paraId="0844254C" w14:textId="77777777" w:rsidR="00E51EAC" w:rsidRDefault="00182F93">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39577787" w14:textId="77777777" w:rsidR="00E51EAC" w:rsidRDefault="00182F93">
            <w:pPr>
              <w:cnfStyle w:val="000000000000" w:firstRow="0" w:lastRow="0" w:firstColumn="0" w:lastColumn="0" w:oddVBand="0" w:evenVBand="0" w:oddHBand="0" w:evenHBand="0" w:firstRowFirstColumn="0" w:firstRowLastColumn="0" w:lastRowFirstColumn="0" w:lastRowLastColumn="0"/>
            </w:pPr>
            <w:r>
              <w:t>0.6</w:t>
            </w:r>
          </w:p>
        </w:tc>
        <w:tc>
          <w:tcPr>
            <w:tcW w:w="907" w:type="dxa"/>
          </w:tcPr>
          <w:p w14:paraId="6B91423E" w14:textId="77777777" w:rsidR="00E51EAC" w:rsidRDefault="00182F93">
            <w:pPr>
              <w:cnfStyle w:val="000000000000" w:firstRow="0" w:lastRow="0" w:firstColumn="0" w:lastColumn="0" w:oddVBand="0" w:evenVBand="0" w:oddHBand="0" w:evenHBand="0" w:firstRowFirstColumn="0" w:firstRowLastColumn="0" w:lastRowFirstColumn="0" w:lastRowLastColumn="0"/>
            </w:pPr>
            <w:r>
              <w:t>4 924</w:t>
            </w:r>
          </w:p>
        </w:tc>
      </w:tr>
      <w:tr w:rsidR="00E51EAC" w14:paraId="015B525B"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074D738" w14:textId="77777777" w:rsidR="00E51EAC" w:rsidRDefault="00182F93">
            <w:r>
              <w:t>Other property expenses</w:t>
            </w:r>
          </w:p>
        </w:tc>
        <w:tc>
          <w:tcPr>
            <w:tcW w:w="907" w:type="dxa"/>
            <w:tcBorders>
              <w:bottom w:val="single" w:sz="6" w:space="0" w:color="auto"/>
            </w:tcBorders>
          </w:tcPr>
          <w:p w14:paraId="0D71561D" w14:textId="77777777" w:rsidR="00E51EAC" w:rsidRDefault="00182F93">
            <w:pPr>
              <w:cnfStyle w:val="000000000000" w:firstRow="0" w:lastRow="0" w:firstColumn="0" w:lastColumn="0" w:oddVBand="0" w:evenVBand="0" w:oddHBand="0" w:evenHBand="0" w:firstRowFirstColumn="0" w:firstRowLastColumn="0" w:lastRowFirstColumn="0" w:lastRowLastColumn="0"/>
            </w:pPr>
            <w:r>
              <w:t>189</w:t>
            </w:r>
          </w:p>
        </w:tc>
        <w:tc>
          <w:tcPr>
            <w:tcW w:w="907" w:type="dxa"/>
            <w:tcBorders>
              <w:bottom w:val="single" w:sz="6" w:space="0" w:color="auto"/>
            </w:tcBorders>
          </w:tcPr>
          <w:p w14:paraId="5001570C" w14:textId="77777777" w:rsidR="00E51EAC" w:rsidRDefault="00182F93">
            <w:pPr>
              <w:cnfStyle w:val="000000000000" w:firstRow="0" w:lastRow="0" w:firstColumn="0" w:lastColumn="0" w:oddVBand="0" w:evenVBand="0" w:oddHBand="0" w:evenHBand="0" w:firstRowFirstColumn="0" w:firstRowLastColumn="0" w:lastRowFirstColumn="0" w:lastRowLastColumn="0"/>
            </w:pPr>
            <w:r>
              <w:t>224</w:t>
            </w:r>
          </w:p>
        </w:tc>
        <w:tc>
          <w:tcPr>
            <w:tcW w:w="907" w:type="dxa"/>
            <w:tcBorders>
              <w:bottom w:val="single" w:sz="6" w:space="0" w:color="auto"/>
            </w:tcBorders>
          </w:tcPr>
          <w:p w14:paraId="5E755042" w14:textId="77777777" w:rsidR="00E51EAC" w:rsidRDefault="00182F93">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5594D934" w14:textId="77777777" w:rsidR="00E51EAC" w:rsidRDefault="00182F93">
            <w:pPr>
              <w:cnfStyle w:val="000000000000" w:firstRow="0" w:lastRow="0" w:firstColumn="0" w:lastColumn="0" w:oddVBand="0" w:evenVBand="0" w:oddHBand="0" w:evenHBand="0" w:firstRowFirstColumn="0" w:firstRowLastColumn="0" w:lastRowFirstColumn="0" w:lastRowLastColumn="0"/>
            </w:pPr>
            <w:r>
              <w:t>(15.8)</w:t>
            </w:r>
          </w:p>
        </w:tc>
        <w:tc>
          <w:tcPr>
            <w:tcW w:w="907" w:type="dxa"/>
            <w:tcBorders>
              <w:bottom w:val="single" w:sz="6" w:space="0" w:color="auto"/>
            </w:tcBorders>
          </w:tcPr>
          <w:p w14:paraId="4A5D88F1" w14:textId="77777777" w:rsidR="00E51EAC" w:rsidRDefault="00182F93">
            <w:pPr>
              <w:cnfStyle w:val="000000000000" w:firstRow="0" w:lastRow="0" w:firstColumn="0" w:lastColumn="0" w:oddVBand="0" w:evenVBand="0" w:oddHBand="0" w:evenHBand="0" w:firstRowFirstColumn="0" w:firstRowLastColumn="0" w:lastRowFirstColumn="0" w:lastRowLastColumn="0"/>
            </w:pPr>
            <w:r>
              <w:t>245</w:t>
            </w:r>
          </w:p>
        </w:tc>
      </w:tr>
      <w:tr w:rsidR="00E51EAC" w14:paraId="0AD16BD2"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7732781" w14:textId="77777777" w:rsidR="00E51EAC" w:rsidRDefault="00182F93">
            <w:r>
              <w:rPr>
                <w:b/>
              </w:rPr>
              <w:t>Total expenses from transactions</w:t>
            </w:r>
          </w:p>
        </w:tc>
        <w:tc>
          <w:tcPr>
            <w:tcW w:w="907" w:type="dxa"/>
            <w:tcBorders>
              <w:top w:val="single" w:sz="6" w:space="0" w:color="auto"/>
              <w:bottom w:val="single" w:sz="6" w:space="0" w:color="auto"/>
            </w:tcBorders>
          </w:tcPr>
          <w:p w14:paraId="07BF4D6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11 822</w:t>
            </w:r>
          </w:p>
        </w:tc>
        <w:tc>
          <w:tcPr>
            <w:tcW w:w="907" w:type="dxa"/>
            <w:tcBorders>
              <w:top w:val="single" w:sz="6" w:space="0" w:color="auto"/>
              <w:bottom w:val="single" w:sz="6" w:space="0" w:color="auto"/>
            </w:tcBorders>
          </w:tcPr>
          <w:p w14:paraId="5109C0C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11 844</w:t>
            </w:r>
          </w:p>
        </w:tc>
        <w:tc>
          <w:tcPr>
            <w:tcW w:w="907" w:type="dxa"/>
            <w:tcBorders>
              <w:top w:val="single" w:sz="6" w:space="0" w:color="auto"/>
              <w:bottom w:val="single" w:sz="6" w:space="0" w:color="auto"/>
            </w:tcBorders>
          </w:tcPr>
          <w:p w14:paraId="7E35454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Borders>
              <w:top w:val="single" w:sz="6" w:space="0" w:color="auto"/>
              <w:bottom w:val="single" w:sz="6" w:space="0" w:color="auto"/>
            </w:tcBorders>
          </w:tcPr>
          <w:p w14:paraId="5CAFB91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(0.2)</w:t>
            </w:r>
          </w:p>
        </w:tc>
        <w:tc>
          <w:tcPr>
            <w:tcW w:w="907" w:type="dxa"/>
            <w:tcBorders>
              <w:top w:val="single" w:sz="6" w:space="0" w:color="auto"/>
              <w:bottom w:val="single" w:sz="6" w:space="0" w:color="auto"/>
            </w:tcBorders>
          </w:tcPr>
          <w:p w14:paraId="5C5D855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11 078</w:t>
            </w:r>
          </w:p>
        </w:tc>
      </w:tr>
      <w:tr w:rsidR="00E51EAC" w14:paraId="78D52721"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F220B84" w14:textId="2BDD42EF" w:rsidR="00E51EAC" w:rsidRDefault="00182F93">
            <w:r>
              <w:rPr>
                <w:b/>
              </w:rPr>
              <w:t xml:space="preserve">Net result from transactions – </w:t>
            </w:r>
            <w:r w:rsidR="00561035">
              <w:rPr>
                <w:b/>
              </w:rPr>
              <w:t xml:space="preserve">Net </w:t>
            </w:r>
            <w:r>
              <w:rPr>
                <w:b/>
              </w:rPr>
              <w:t>operating balance</w:t>
            </w:r>
          </w:p>
        </w:tc>
        <w:tc>
          <w:tcPr>
            <w:tcW w:w="907" w:type="dxa"/>
            <w:tcBorders>
              <w:top w:val="single" w:sz="6" w:space="0" w:color="auto"/>
              <w:bottom w:val="single" w:sz="6" w:space="0" w:color="auto"/>
            </w:tcBorders>
          </w:tcPr>
          <w:p w14:paraId="7820919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(121)</w:t>
            </w:r>
          </w:p>
        </w:tc>
        <w:tc>
          <w:tcPr>
            <w:tcW w:w="907" w:type="dxa"/>
            <w:tcBorders>
              <w:top w:val="single" w:sz="6" w:space="0" w:color="auto"/>
              <w:bottom w:val="single" w:sz="6" w:space="0" w:color="auto"/>
            </w:tcBorders>
          </w:tcPr>
          <w:p w14:paraId="147DD7A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(122)</w:t>
            </w:r>
          </w:p>
        </w:tc>
        <w:tc>
          <w:tcPr>
            <w:tcW w:w="907" w:type="dxa"/>
            <w:tcBorders>
              <w:top w:val="single" w:sz="6" w:space="0" w:color="auto"/>
              <w:bottom w:val="single" w:sz="6" w:space="0" w:color="auto"/>
            </w:tcBorders>
          </w:tcPr>
          <w:p w14:paraId="3AC7B38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w:t>
            </w:r>
          </w:p>
        </w:tc>
        <w:tc>
          <w:tcPr>
            <w:tcW w:w="907" w:type="dxa"/>
            <w:tcBorders>
              <w:top w:val="single" w:sz="6" w:space="0" w:color="auto"/>
              <w:bottom w:val="single" w:sz="6" w:space="0" w:color="auto"/>
            </w:tcBorders>
          </w:tcPr>
          <w:p w14:paraId="1A3F3E4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(0.5)</w:t>
            </w:r>
          </w:p>
        </w:tc>
        <w:tc>
          <w:tcPr>
            <w:tcW w:w="907" w:type="dxa"/>
            <w:tcBorders>
              <w:top w:val="single" w:sz="6" w:space="0" w:color="auto"/>
              <w:bottom w:val="single" w:sz="6" w:space="0" w:color="auto"/>
            </w:tcBorders>
          </w:tcPr>
          <w:p w14:paraId="0744E36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w:t>
            </w:r>
          </w:p>
        </w:tc>
      </w:tr>
      <w:tr w:rsidR="00E51EAC" w14:paraId="7FC9A38D"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44B2416" w14:textId="77777777" w:rsidR="00E51EAC" w:rsidRDefault="00182F93">
            <w:r>
              <w:rPr>
                <w:b/>
              </w:rPr>
              <w:t>Total other economic flows included in net result</w:t>
            </w:r>
          </w:p>
        </w:tc>
        <w:tc>
          <w:tcPr>
            <w:tcW w:w="907" w:type="dxa"/>
            <w:tcBorders>
              <w:top w:val="single" w:sz="6" w:space="0" w:color="auto"/>
              <w:bottom w:val="single" w:sz="6" w:space="0" w:color="auto"/>
            </w:tcBorders>
          </w:tcPr>
          <w:p w14:paraId="71B426A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(12 947)</w:t>
            </w:r>
          </w:p>
        </w:tc>
        <w:tc>
          <w:tcPr>
            <w:tcW w:w="907" w:type="dxa"/>
            <w:tcBorders>
              <w:top w:val="single" w:sz="6" w:space="0" w:color="auto"/>
              <w:bottom w:val="single" w:sz="6" w:space="0" w:color="auto"/>
            </w:tcBorders>
          </w:tcPr>
          <w:p w14:paraId="273B932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267</w:t>
            </w:r>
          </w:p>
        </w:tc>
        <w:tc>
          <w:tcPr>
            <w:tcW w:w="907" w:type="dxa"/>
            <w:tcBorders>
              <w:top w:val="single" w:sz="6" w:space="0" w:color="auto"/>
              <w:bottom w:val="single" w:sz="6" w:space="0" w:color="auto"/>
            </w:tcBorders>
          </w:tcPr>
          <w:p w14:paraId="3389524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(13 214)</w:t>
            </w:r>
          </w:p>
        </w:tc>
        <w:tc>
          <w:tcPr>
            <w:tcW w:w="907" w:type="dxa"/>
            <w:tcBorders>
              <w:top w:val="single" w:sz="6" w:space="0" w:color="auto"/>
              <w:bottom w:val="single" w:sz="6" w:space="0" w:color="auto"/>
            </w:tcBorders>
          </w:tcPr>
          <w:p w14:paraId="3625509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(4 946.5)</w:t>
            </w:r>
          </w:p>
        </w:tc>
        <w:tc>
          <w:tcPr>
            <w:tcW w:w="907" w:type="dxa"/>
            <w:tcBorders>
              <w:top w:val="single" w:sz="6" w:space="0" w:color="auto"/>
              <w:bottom w:val="single" w:sz="6" w:space="0" w:color="auto"/>
            </w:tcBorders>
          </w:tcPr>
          <w:p w14:paraId="5091ADE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(3 179)</w:t>
            </w:r>
          </w:p>
        </w:tc>
      </w:tr>
      <w:tr w:rsidR="00E51EAC" w14:paraId="37C969C6"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594453E" w14:textId="77777777" w:rsidR="00E51EAC" w:rsidRDefault="00182F93">
            <w:r>
              <w:rPr>
                <w:b/>
              </w:rPr>
              <w:t>Net result</w:t>
            </w:r>
          </w:p>
        </w:tc>
        <w:tc>
          <w:tcPr>
            <w:tcW w:w="907" w:type="dxa"/>
            <w:tcBorders>
              <w:top w:val="single" w:sz="6" w:space="0" w:color="auto"/>
              <w:bottom w:val="single" w:sz="12" w:space="0" w:color="auto"/>
            </w:tcBorders>
          </w:tcPr>
          <w:p w14:paraId="5431407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(13 068)</w:t>
            </w:r>
          </w:p>
        </w:tc>
        <w:tc>
          <w:tcPr>
            <w:tcW w:w="907" w:type="dxa"/>
            <w:tcBorders>
              <w:top w:val="single" w:sz="6" w:space="0" w:color="auto"/>
              <w:bottom w:val="single" w:sz="12" w:space="0" w:color="auto"/>
            </w:tcBorders>
          </w:tcPr>
          <w:p w14:paraId="00826F6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145</w:t>
            </w:r>
          </w:p>
        </w:tc>
        <w:tc>
          <w:tcPr>
            <w:tcW w:w="907" w:type="dxa"/>
            <w:tcBorders>
              <w:top w:val="single" w:sz="6" w:space="0" w:color="auto"/>
              <w:bottom w:val="single" w:sz="12" w:space="0" w:color="auto"/>
            </w:tcBorders>
          </w:tcPr>
          <w:p w14:paraId="26F8339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(13 214)</w:t>
            </w:r>
          </w:p>
        </w:tc>
        <w:tc>
          <w:tcPr>
            <w:tcW w:w="907" w:type="dxa"/>
            <w:tcBorders>
              <w:top w:val="single" w:sz="6" w:space="0" w:color="auto"/>
              <w:bottom w:val="single" w:sz="12" w:space="0" w:color="auto"/>
            </w:tcBorders>
          </w:tcPr>
          <w:p w14:paraId="1ADFB65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(9 087.2)</w:t>
            </w:r>
          </w:p>
        </w:tc>
        <w:tc>
          <w:tcPr>
            <w:tcW w:w="907" w:type="dxa"/>
            <w:tcBorders>
              <w:top w:val="single" w:sz="6" w:space="0" w:color="auto"/>
              <w:bottom w:val="single" w:sz="12" w:space="0" w:color="auto"/>
            </w:tcBorders>
          </w:tcPr>
          <w:p w14:paraId="136228F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(3 178)</w:t>
            </w:r>
          </w:p>
        </w:tc>
      </w:tr>
    </w:tbl>
    <w:p w14:paraId="7373BA06" w14:textId="77777777" w:rsidR="00366656" w:rsidRDefault="00366656" w:rsidP="00097095"/>
    <w:p w14:paraId="4AAD86DB" w14:textId="77777777" w:rsidR="00DE1E51" w:rsidRDefault="00DE1E51" w:rsidP="00366656">
      <w:pPr>
        <w:pStyle w:val="Heading3"/>
        <w:spacing w:before="0"/>
        <w:sectPr w:rsidR="00DE1E51" w:rsidSect="00DE1E51">
          <w:type w:val="continuous"/>
          <w:pgSz w:w="11906" w:h="16838" w:code="9"/>
          <w:pgMar w:top="1134" w:right="1134" w:bottom="1134" w:left="1134" w:header="624" w:footer="567" w:gutter="0"/>
          <w:cols w:space="708"/>
          <w:docGrid w:linePitch="360"/>
        </w:sectPr>
      </w:pPr>
    </w:p>
    <w:p w14:paraId="34FC4271" w14:textId="77777777" w:rsidR="00366656" w:rsidRPr="004909E4" w:rsidRDefault="00366656" w:rsidP="00366656">
      <w:pPr>
        <w:pStyle w:val="Heading3"/>
        <w:spacing w:before="0"/>
      </w:pPr>
      <w:r w:rsidRPr="004909E4">
        <w:t>Revenue</w:t>
      </w:r>
    </w:p>
    <w:p w14:paraId="71C0F046" w14:textId="10EC56FB" w:rsidR="00366656" w:rsidRPr="004909E4" w:rsidRDefault="00366656" w:rsidP="00366656">
      <w:r w:rsidRPr="004909E4">
        <w:t xml:space="preserve">Total revenue </w:t>
      </w:r>
      <w:r>
        <w:t xml:space="preserve">and income </w:t>
      </w:r>
      <w:r w:rsidRPr="004909E4">
        <w:t xml:space="preserve">from transactions for the PNFC sector was </w:t>
      </w:r>
      <w:r w:rsidRPr="004F5D8A">
        <w:t>$11.</w:t>
      </w:r>
      <w:r w:rsidR="005738FE">
        <w:t>7</w:t>
      </w:r>
      <w:r w:rsidRPr="004F5D8A">
        <w:t xml:space="preserve"> billion</w:t>
      </w:r>
      <w:r w:rsidRPr="004909E4">
        <w:t xml:space="preserve"> in </w:t>
      </w:r>
      <w:r w:rsidR="005738FE">
        <w:t>2024-25</w:t>
      </w:r>
      <w:r w:rsidRPr="004909E4">
        <w:t xml:space="preserve"> </w:t>
      </w:r>
      <w:r>
        <w:t xml:space="preserve">which </w:t>
      </w:r>
      <w:r w:rsidRPr="004909E4">
        <w:t xml:space="preserve">was </w:t>
      </w:r>
      <w:r w:rsidRPr="004F5D8A">
        <w:t>$</w:t>
      </w:r>
      <w:r w:rsidR="005738FE">
        <w:t>22</w:t>
      </w:r>
      <w:r w:rsidR="005738FE">
        <w:rPr>
          <w:rFonts w:ascii="Times New Roman" w:hAnsi="Times New Roman"/>
        </w:rPr>
        <w:t> </w:t>
      </w:r>
      <w:r w:rsidR="005738FE">
        <w:t xml:space="preserve">million lower </w:t>
      </w:r>
      <w:r w:rsidRPr="004909E4">
        <w:t xml:space="preserve">than the revised </w:t>
      </w:r>
      <w:r>
        <w:t>budget</w:t>
      </w:r>
      <w:r w:rsidRPr="004909E4">
        <w:t>.</w:t>
      </w:r>
      <w:r>
        <w:t xml:space="preserve"> </w:t>
      </w:r>
    </w:p>
    <w:p w14:paraId="60EA9D82" w14:textId="5A1A9288" w:rsidR="00366656" w:rsidRPr="004909E4" w:rsidRDefault="00366656" w:rsidP="00366656">
      <w:r w:rsidRPr="00243C46">
        <w:t>Total</w:t>
      </w:r>
      <w:r w:rsidRPr="004909E4">
        <w:t xml:space="preserve"> revenue </w:t>
      </w:r>
      <w:r w:rsidRPr="00243C46">
        <w:t xml:space="preserve">and income from transactions for the PNFC sector </w:t>
      </w:r>
      <w:r>
        <w:t>in</w:t>
      </w:r>
      <w:r w:rsidRPr="004909E4">
        <w:t xml:space="preserve"> </w:t>
      </w:r>
      <w:r w:rsidR="005738FE">
        <w:t>2024-25 was $62</w:t>
      </w:r>
      <w:r w:rsidR="00F51930">
        <w:t>2</w:t>
      </w:r>
      <w:r w:rsidR="005738FE">
        <w:t xml:space="preserve"> million higher than 202</w:t>
      </w:r>
      <w:r w:rsidR="001229BB">
        <w:t>3</w:t>
      </w:r>
      <w:r w:rsidR="00E77399">
        <w:noBreakHyphen/>
      </w:r>
      <w:r w:rsidR="005738FE">
        <w:t>2</w:t>
      </w:r>
      <w:r w:rsidR="000A1C0C">
        <w:t>4</w:t>
      </w:r>
      <w:r w:rsidR="005738FE">
        <w:t xml:space="preserve">, largely driven by increased revenue across the water sector reflecting increased water usage and higher settlements recorded by Development Victoria. </w:t>
      </w:r>
    </w:p>
    <w:p w14:paraId="629F88D2" w14:textId="77777777" w:rsidR="00366656" w:rsidRPr="004909E4" w:rsidRDefault="00366656" w:rsidP="00366656">
      <w:pPr>
        <w:pStyle w:val="Heading3"/>
      </w:pPr>
      <w:r w:rsidRPr="004909E4">
        <w:t>Expenses</w:t>
      </w:r>
    </w:p>
    <w:p w14:paraId="5266E6E6" w14:textId="38EFB4AE" w:rsidR="005738FE" w:rsidRDefault="005738FE" w:rsidP="005738FE">
      <w:r>
        <w:t>Total expenses from transactions for the PNFC sector was $11.8 billion in 2024-25, which was $2</w:t>
      </w:r>
      <w:r w:rsidR="00C67E84">
        <w:t>3</w:t>
      </w:r>
      <w:r>
        <w:rPr>
          <w:rFonts w:ascii="Times New Roman" w:hAnsi="Times New Roman"/>
        </w:rPr>
        <w:t> </w:t>
      </w:r>
      <w:r>
        <w:t xml:space="preserve">million lower than the revised budget. </w:t>
      </w:r>
    </w:p>
    <w:p w14:paraId="540108EE" w14:textId="77777777" w:rsidR="00561035" w:rsidRDefault="005738FE" w:rsidP="005738FE">
      <w:r>
        <w:t>Total expenses from transactions for the PNFC sector in 2024-25 was $7</w:t>
      </w:r>
      <w:r w:rsidR="00245AE6">
        <w:t>44</w:t>
      </w:r>
      <w:r>
        <w:t xml:space="preserve"> million higher compared with</w:t>
      </w:r>
      <w:r w:rsidR="00E77399">
        <w:t xml:space="preserve"> </w:t>
      </w:r>
      <w:r>
        <w:t>2023</w:t>
      </w:r>
      <w:r w:rsidR="00E77399">
        <w:noBreakHyphen/>
      </w:r>
      <w:r>
        <w:t xml:space="preserve">24 partially due to increased staffing </w:t>
      </w:r>
    </w:p>
    <w:p w14:paraId="3634CFE3" w14:textId="641D52DE" w:rsidR="005738FE" w:rsidRPr="004909E4" w:rsidRDefault="005738FE" w:rsidP="005738FE">
      <w:r>
        <w:t>levels across the PNFC sector, increased interest expenses and higher depreciation reported within the water sector and Homes Victoria.</w:t>
      </w:r>
      <w:r w:rsidR="00AF3E58">
        <w:t xml:space="preserve"> </w:t>
      </w:r>
      <w:r w:rsidR="00343992" w:rsidRPr="00343992">
        <w:t>As noted in the Revenue section, higher water usage and increased settlements at Development Victoria increased revenue and also raised other operating expenses</w:t>
      </w:r>
      <w:r>
        <w:t>.</w:t>
      </w:r>
    </w:p>
    <w:p w14:paraId="59051954" w14:textId="77777777" w:rsidR="00366656" w:rsidRPr="004909E4" w:rsidRDefault="00366656" w:rsidP="00366656">
      <w:pPr>
        <w:pStyle w:val="Heading3"/>
      </w:pPr>
      <w:r w:rsidRPr="004909E4">
        <w:t>Net result from transactions</w:t>
      </w:r>
    </w:p>
    <w:p w14:paraId="48F3CE38" w14:textId="0507EE7F" w:rsidR="000F2243" w:rsidRDefault="000F2243" w:rsidP="000F2243">
      <w:r>
        <w:t>The PNFC sector</w:t>
      </w:r>
      <w:r w:rsidR="00845934">
        <w:t>’</w:t>
      </w:r>
      <w:r>
        <w:t xml:space="preserve">s net result from transactions in 2024-25 was broadly consistent with the revised budget. </w:t>
      </w:r>
    </w:p>
    <w:p w14:paraId="418AA8CF" w14:textId="0D822D02" w:rsidR="000F2243" w:rsidRPr="004909E4" w:rsidRDefault="000F2243" w:rsidP="000F2243">
      <w:r>
        <w:t>When combined, the higher increase in expenses compared to revenue resulted in the PNFC sector</w:t>
      </w:r>
      <w:r w:rsidR="00845934">
        <w:t>’</w:t>
      </w:r>
      <w:r>
        <w:t>s net result from transactions declining from a surplus of $1 million in 2023-24 to a deficit of $</w:t>
      </w:r>
      <w:r w:rsidR="65B79845">
        <w:t>1</w:t>
      </w:r>
      <w:r w:rsidR="00077A62">
        <w:t>21</w:t>
      </w:r>
      <w:r w:rsidR="65B79845" w:rsidRPr="062C098C">
        <w:rPr>
          <w:rFonts w:ascii="Times New Roman" w:hAnsi="Times New Roman"/>
        </w:rPr>
        <w:t> </w:t>
      </w:r>
      <w:r w:rsidR="65B79845">
        <w:t>million</w:t>
      </w:r>
      <w:r>
        <w:t xml:space="preserve"> in 2024-25</w:t>
      </w:r>
      <w:r w:rsidR="0003014F">
        <w:t>.</w:t>
      </w:r>
    </w:p>
    <w:p w14:paraId="510334F0" w14:textId="77777777" w:rsidR="00366656" w:rsidRPr="004909E4" w:rsidRDefault="00366656" w:rsidP="00561035">
      <w:pPr>
        <w:pStyle w:val="Heading3"/>
        <w:spacing w:before="0"/>
      </w:pPr>
      <w:r w:rsidRPr="004909E4">
        <w:lastRenderedPageBreak/>
        <w:t>Net result and other economic flows</w:t>
      </w:r>
    </w:p>
    <w:p w14:paraId="3DEF6F8D" w14:textId="28F0B266" w:rsidR="00366656" w:rsidRPr="004909E4" w:rsidRDefault="00366656" w:rsidP="00366656">
      <w:r w:rsidRPr="004909E4">
        <w:t>The net result from transactions does not include some significant drivers of the PNFC sector</w:t>
      </w:r>
      <w:r w:rsidR="00845934">
        <w:t>’</w:t>
      </w:r>
      <w:r w:rsidRPr="004909E4">
        <w:t xml:space="preserve">s performance such </w:t>
      </w:r>
      <w:r>
        <w:t xml:space="preserve">the </w:t>
      </w:r>
      <w:r w:rsidRPr="002A5729">
        <w:t xml:space="preserve">derecognition of the rail assets under AASB 16 </w:t>
      </w:r>
      <w:r w:rsidRPr="000D0F94">
        <w:rPr>
          <w:i/>
        </w:rPr>
        <w:t>Leases</w:t>
      </w:r>
      <w:r>
        <w:t xml:space="preserve">. </w:t>
      </w:r>
      <w:r w:rsidRPr="004909E4">
        <w:t>In accordance with Australian accounting standards, these items are disclosed as other economic flows and included in the net result.</w:t>
      </w:r>
    </w:p>
    <w:p w14:paraId="3655E79C" w14:textId="3C20D8F8" w:rsidR="00366656" w:rsidRDefault="00366656" w:rsidP="00366656">
      <w:r w:rsidRPr="004909E4">
        <w:t xml:space="preserve">The losses from total other economic flows included in net result </w:t>
      </w:r>
      <w:r w:rsidR="001F4D7D">
        <w:t>i</w:t>
      </w:r>
      <w:r w:rsidR="00780C68">
        <w:t>ncreased</w:t>
      </w:r>
      <w:r>
        <w:t xml:space="preserve"> by</w:t>
      </w:r>
      <w:r w:rsidRPr="004909E4">
        <w:t xml:space="preserve"> </w:t>
      </w:r>
      <w:r w:rsidRPr="004F5D8A">
        <w:t>$</w:t>
      </w:r>
      <w:r w:rsidR="00BC49C2">
        <w:t>9.8</w:t>
      </w:r>
      <w:r w:rsidR="00BC49C2" w:rsidRPr="0A3B4176">
        <w:rPr>
          <w:rFonts w:ascii="Times New Roman" w:hAnsi="Times New Roman"/>
        </w:rPr>
        <w:t> </w:t>
      </w:r>
      <w:r w:rsidR="00BC49C2">
        <w:t xml:space="preserve">billion </w:t>
      </w:r>
      <w:r w:rsidR="00AB68F8">
        <w:t>from 2023-24</w:t>
      </w:r>
      <w:r w:rsidR="00CA657E">
        <w:t>,</w:t>
      </w:r>
      <w:r w:rsidR="00BC49C2">
        <w:t xml:space="preserve"> largely reflecting the derecognition of the rail assets under AASB 16 </w:t>
      </w:r>
      <w:r w:rsidR="00BC49C2" w:rsidRPr="000D0F94">
        <w:rPr>
          <w:i/>
        </w:rPr>
        <w:t>Leases</w:t>
      </w:r>
      <w:r w:rsidR="00BC49C2">
        <w:t xml:space="preserve"> at nominal value, which have been revalued this year. Refer to Note 5.</w:t>
      </w:r>
      <w:r w:rsidR="00365101">
        <w:t>6</w:t>
      </w:r>
      <w:r w:rsidR="00BC49C2">
        <w:t xml:space="preserve"> in Chapter</w:t>
      </w:r>
      <w:r w:rsidR="00BC49C2" w:rsidRPr="0A3B4176">
        <w:rPr>
          <w:rFonts w:ascii="Times New Roman" w:hAnsi="Times New Roman"/>
        </w:rPr>
        <w:t> </w:t>
      </w:r>
      <w:r w:rsidR="00BC49C2">
        <w:t xml:space="preserve">4 of this report for further detail on this arrangement. </w:t>
      </w:r>
    </w:p>
    <w:p w14:paraId="618B7AAC" w14:textId="77777777" w:rsidR="00561035" w:rsidRDefault="00561035" w:rsidP="00366656"/>
    <w:p w14:paraId="4416F8F4" w14:textId="46C07D15" w:rsidR="00366656" w:rsidRPr="004909E4" w:rsidRDefault="00BC49C2" w:rsidP="00366656">
      <w:r>
        <w:t xml:space="preserve">The losses from total other economic flows included in </w:t>
      </w:r>
      <w:r w:rsidR="0069356C">
        <w:t xml:space="preserve">the </w:t>
      </w:r>
      <w:r>
        <w:t xml:space="preserve">net result was $13.2 </w:t>
      </w:r>
      <w:r w:rsidR="00366656" w:rsidRPr="004F5D8A">
        <w:t xml:space="preserve">billion </w:t>
      </w:r>
      <w:r w:rsidR="00366656" w:rsidRPr="004909E4">
        <w:t>g</w:t>
      </w:r>
      <w:r w:rsidR="00366656">
        <w:t>reater than the revised estimates</w:t>
      </w:r>
      <w:r w:rsidR="00601817">
        <w:t>,</w:t>
      </w:r>
      <w:r w:rsidR="00366656">
        <w:t xml:space="preserve"> primarily due to </w:t>
      </w:r>
      <w:r w:rsidR="0069356C">
        <w:t>a</w:t>
      </w:r>
      <w:r w:rsidR="00366656">
        <w:t xml:space="preserve"> larger rail asset derecognition </w:t>
      </w:r>
      <w:r w:rsidR="0069356C">
        <w:t xml:space="preserve">of $13 billion, arising from a scheduled </w:t>
      </w:r>
      <w:r w:rsidR="00583EC9">
        <w:t>r</w:t>
      </w:r>
      <w:r w:rsidR="008828C7">
        <w:t>evaluation of rail asset</w:t>
      </w:r>
      <w:r w:rsidR="00583EC9">
        <w:t>s</w:t>
      </w:r>
      <w:r w:rsidR="002356AA">
        <w:t xml:space="preserve">. </w:t>
      </w:r>
    </w:p>
    <w:p w14:paraId="5244ECE3" w14:textId="2DF1F73A" w:rsidR="00366656" w:rsidRDefault="00366656" w:rsidP="00366656">
      <w:r w:rsidRPr="004909E4">
        <w:t xml:space="preserve">Overall, this resulted in the PNFC sector reporting a net result </w:t>
      </w:r>
      <w:r>
        <w:t>deficit</w:t>
      </w:r>
      <w:r w:rsidRPr="004909E4">
        <w:t xml:space="preserve"> of </w:t>
      </w:r>
      <w:r w:rsidRPr="004F5D8A">
        <w:t>$</w:t>
      </w:r>
      <w:r w:rsidR="00BC49C2">
        <w:t>13.1</w:t>
      </w:r>
      <w:r w:rsidR="00CE2904">
        <w:t xml:space="preserve"> </w:t>
      </w:r>
      <w:r w:rsidR="00BC49C2">
        <w:t>billion in 2024-25</w:t>
      </w:r>
      <w:r w:rsidRPr="004909E4">
        <w:t>.</w:t>
      </w:r>
    </w:p>
    <w:p w14:paraId="6358CF52" w14:textId="77777777" w:rsidR="00DE1E51" w:rsidRDefault="00DE1E51" w:rsidP="00366656">
      <w:pPr>
        <w:pStyle w:val="Heading2"/>
      </w:pPr>
    </w:p>
    <w:p w14:paraId="7E1B6F46" w14:textId="77777777" w:rsidR="00DE1E51" w:rsidRPr="00DE1E51" w:rsidRDefault="00DE1E51" w:rsidP="00DE1E51">
      <w:pPr>
        <w:sectPr w:rsidR="00DE1E51" w:rsidRPr="00DE1E51" w:rsidSect="00DE1E51">
          <w:type w:val="continuous"/>
          <w:pgSz w:w="11906" w:h="16838" w:code="9"/>
          <w:pgMar w:top="1134" w:right="1134" w:bottom="1134" w:left="1134" w:header="624" w:footer="567" w:gutter="0"/>
          <w:cols w:num="2" w:space="708"/>
          <w:docGrid w:linePitch="360"/>
        </w:sectPr>
      </w:pPr>
    </w:p>
    <w:p w14:paraId="4EC8AE86" w14:textId="77777777" w:rsidR="00561035" w:rsidRDefault="00561035" w:rsidP="00366656">
      <w:pPr>
        <w:pStyle w:val="Heading2"/>
      </w:pPr>
    </w:p>
    <w:p w14:paraId="295E39FC" w14:textId="3EEE15D7" w:rsidR="00366656" w:rsidRDefault="00366656" w:rsidP="00366656">
      <w:pPr>
        <w:pStyle w:val="Heading2"/>
      </w:pPr>
      <w:r>
        <w:t>Financial position</w:t>
      </w:r>
    </w:p>
    <w:p w14:paraId="1EE33CF5" w14:textId="2560E7A0" w:rsidR="00366656" w:rsidRDefault="00366656" w:rsidP="00366656">
      <w:pPr>
        <w:pStyle w:val="TableHeading"/>
      </w:pPr>
      <w:r w:rsidRPr="00200564">
        <w:t>Table 3.2:</w:t>
      </w:r>
      <w:r w:rsidRPr="00200564">
        <w:tab/>
      </w:r>
      <w:r>
        <w:t>202</w:t>
      </w:r>
      <w:r w:rsidR="00FA6E34">
        <w:t>4</w:t>
      </w:r>
      <w:r>
        <w:t>-2</w:t>
      </w:r>
      <w:r w:rsidR="00FA6E34">
        <w:t>5</w:t>
      </w:r>
      <w:r>
        <w:t xml:space="preserve"> s</w:t>
      </w:r>
      <w:r w:rsidRPr="00200564">
        <w:t xml:space="preserve">ummary balance sheet – </w:t>
      </w:r>
      <w:r>
        <w:t>PNFC sector</w:t>
      </w:r>
      <w:r w:rsidRPr="00200564">
        <w:t xml:space="preserve"> </w:t>
      </w:r>
      <w:r w:rsidRPr="002005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BS_PNFC"/>
      </w:tblPr>
      <w:tblGrid>
        <w:gridCol w:w="5103"/>
        <w:gridCol w:w="907"/>
        <w:gridCol w:w="907"/>
        <w:gridCol w:w="907"/>
        <w:gridCol w:w="907"/>
        <w:gridCol w:w="907"/>
      </w:tblGrid>
      <w:tr w:rsidR="00991200" w14:paraId="5669FAD7" w14:textId="77777777" w:rsidTr="00F66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4EBA64F" w14:textId="77777777" w:rsidR="00F66433" w:rsidRDefault="00F66433">
            <w:pPr>
              <w:keepNext/>
            </w:pPr>
          </w:p>
        </w:tc>
        <w:tc>
          <w:tcPr>
            <w:tcW w:w="907" w:type="dxa"/>
          </w:tcPr>
          <w:p w14:paraId="1F5810E6"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08D061F"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0D30A071"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D87C5FA"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7CC2C0C3"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7188F69D" w14:textId="77777777" w:rsidTr="00F66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AC8E9A4" w14:textId="77777777" w:rsidR="00F66433" w:rsidRDefault="00F66433">
            <w:pPr>
              <w:keepNext/>
            </w:pPr>
          </w:p>
        </w:tc>
        <w:tc>
          <w:tcPr>
            <w:tcW w:w="907" w:type="dxa"/>
          </w:tcPr>
          <w:p w14:paraId="48B802C2"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564E9F92"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214C8EBD"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07" w:type="dxa"/>
          </w:tcPr>
          <w:p w14:paraId="110CB551"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907" w:type="dxa"/>
          </w:tcPr>
          <w:p w14:paraId="2F9490EF"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actual</w:t>
            </w:r>
          </w:p>
        </w:tc>
      </w:tr>
      <w:tr w:rsidR="00F66433" w14:paraId="177F2366" w14:textId="77777777">
        <w:tc>
          <w:tcPr>
            <w:cnfStyle w:val="001000000000" w:firstRow="0" w:lastRow="0" w:firstColumn="1" w:lastColumn="0" w:oddVBand="0" w:evenVBand="0" w:oddHBand="0" w:evenHBand="0" w:firstRowFirstColumn="0" w:firstRowLastColumn="0" w:lastRowFirstColumn="0" w:lastRowLastColumn="0"/>
            <w:tcW w:w="5103" w:type="dxa"/>
          </w:tcPr>
          <w:p w14:paraId="2E69E46A" w14:textId="77777777" w:rsidR="00F66433" w:rsidRDefault="004A6378">
            <w:r>
              <w:rPr>
                <w:b/>
              </w:rPr>
              <w:t>Assets</w:t>
            </w:r>
          </w:p>
        </w:tc>
        <w:tc>
          <w:tcPr>
            <w:tcW w:w="907" w:type="dxa"/>
          </w:tcPr>
          <w:p w14:paraId="2F6C8842"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71B405F8"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2255EB90"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553ABF83"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49D1FA60"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r>
      <w:tr w:rsidR="00F66433" w14:paraId="14530A03" w14:textId="77777777">
        <w:tc>
          <w:tcPr>
            <w:cnfStyle w:val="001000000000" w:firstRow="0" w:lastRow="0" w:firstColumn="1" w:lastColumn="0" w:oddVBand="0" w:evenVBand="0" w:oddHBand="0" w:evenHBand="0" w:firstRowFirstColumn="0" w:firstRowLastColumn="0" w:lastRowFirstColumn="0" w:lastRowLastColumn="0"/>
            <w:tcW w:w="5103" w:type="dxa"/>
          </w:tcPr>
          <w:p w14:paraId="037DB076" w14:textId="77777777" w:rsidR="00F66433" w:rsidRDefault="004A6378">
            <w:r>
              <w:t>Financial assets</w:t>
            </w:r>
            <w:r>
              <w:rPr>
                <w:vertAlign w:val="superscript"/>
              </w:rPr>
              <w:t xml:space="preserve"> (a)</w:t>
            </w:r>
          </w:p>
        </w:tc>
        <w:tc>
          <w:tcPr>
            <w:tcW w:w="907" w:type="dxa"/>
          </w:tcPr>
          <w:p w14:paraId="07E75F62" w14:textId="77777777" w:rsidR="00F66433" w:rsidRDefault="004A6378">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5242F523" w14:textId="77777777" w:rsidR="00F66433" w:rsidRDefault="004A6378">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6DC324F1" w14:textId="77777777" w:rsidR="00F66433" w:rsidRDefault="004A6378">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726D1A99" w14:textId="77777777" w:rsidR="00F66433" w:rsidRDefault="004A6378">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EA252E5" w14:textId="77777777" w:rsidR="00F66433" w:rsidRDefault="004A6378">
            <w:pPr>
              <w:cnfStyle w:val="000000000000" w:firstRow="0" w:lastRow="0" w:firstColumn="0" w:lastColumn="0" w:oddVBand="0" w:evenVBand="0" w:oddHBand="0" w:evenHBand="0" w:firstRowFirstColumn="0" w:firstRowLastColumn="0" w:lastRowFirstColumn="0" w:lastRowLastColumn="0"/>
            </w:pPr>
            <w:r>
              <w:t>5.0</w:t>
            </w:r>
          </w:p>
        </w:tc>
      </w:tr>
      <w:tr w:rsidR="00F66433" w14:paraId="71C74B6B"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0B3E15E" w14:textId="77777777" w:rsidR="00F66433" w:rsidRDefault="004A6378">
            <w:r>
              <w:t>Non</w:t>
            </w:r>
            <w:r>
              <w:noBreakHyphen/>
              <w:t>financial assets</w:t>
            </w:r>
            <w:r>
              <w:rPr>
                <w:vertAlign w:val="superscript"/>
              </w:rPr>
              <w:t xml:space="preserve"> (b)</w:t>
            </w:r>
          </w:p>
        </w:tc>
        <w:tc>
          <w:tcPr>
            <w:tcW w:w="907" w:type="dxa"/>
            <w:tcBorders>
              <w:bottom w:val="single" w:sz="6" w:space="0" w:color="auto"/>
            </w:tcBorders>
          </w:tcPr>
          <w:p w14:paraId="1FD9A98B" w14:textId="77777777" w:rsidR="00F66433" w:rsidRDefault="004A6378">
            <w:pPr>
              <w:cnfStyle w:val="000000000000" w:firstRow="0" w:lastRow="0" w:firstColumn="0" w:lastColumn="0" w:oddVBand="0" w:evenVBand="0" w:oddHBand="0" w:evenHBand="0" w:firstRowFirstColumn="0" w:firstRowLastColumn="0" w:lastRowFirstColumn="0" w:lastRowLastColumn="0"/>
            </w:pPr>
            <w:r>
              <w:t>135.8</w:t>
            </w:r>
          </w:p>
        </w:tc>
        <w:tc>
          <w:tcPr>
            <w:tcW w:w="907" w:type="dxa"/>
            <w:tcBorders>
              <w:bottom w:val="single" w:sz="6" w:space="0" w:color="auto"/>
            </w:tcBorders>
          </w:tcPr>
          <w:p w14:paraId="7C49FD87" w14:textId="77777777" w:rsidR="00F66433" w:rsidRDefault="004A6378">
            <w:pPr>
              <w:cnfStyle w:val="000000000000" w:firstRow="0" w:lastRow="0" w:firstColumn="0" w:lastColumn="0" w:oddVBand="0" w:evenVBand="0" w:oddHBand="0" w:evenHBand="0" w:firstRowFirstColumn="0" w:firstRowLastColumn="0" w:lastRowFirstColumn="0" w:lastRowLastColumn="0"/>
            </w:pPr>
            <w:r>
              <w:t>(0.5)</w:t>
            </w:r>
          </w:p>
        </w:tc>
        <w:tc>
          <w:tcPr>
            <w:tcW w:w="907" w:type="dxa"/>
            <w:tcBorders>
              <w:bottom w:val="single" w:sz="6" w:space="0" w:color="auto"/>
            </w:tcBorders>
          </w:tcPr>
          <w:p w14:paraId="3D90218C" w14:textId="77777777" w:rsidR="00F66433" w:rsidRDefault="004A6378">
            <w:pPr>
              <w:cnfStyle w:val="000000000000" w:firstRow="0" w:lastRow="0" w:firstColumn="0" w:lastColumn="0" w:oddVBand="0" w:evenVBand="0" w:oddHBand="0" w:evenHBand="0" w:firstRowFirstColumn="0" w:firstRowLastColumn="0" w:lastRowFirstColumn="0" w:lastRowLastColumn="0"/>
            </w:pPr>
            <w:r>
              <w:t>136.3</w:t>
            </w:r>
          </w:p>
        </w:tc>
        <w:tc>
          <w:tcPr>
            <w:tcW w:w="907" w:type="dxa"/>
            <w:tcBorders>
              <w:bottom w:val="single" w:sz="6" w:space="0" w:color="auto"/>
            </w:tcBorders>
          </w:tcPr>
          <w:p w14:paraId="5D63DB4A" w14:textId="77777777" w:rsidR="00F66433" w:rsidRDefault="004A6378">
            <w:pPr>
              <w:cnfStyle w:val="000000000000" w:firstRow="0" w:lastRow="0" w:firstColumn="0" w:lastColumn="0" w:oddVBand="0" w:evenVBand="0" w:oddHBand="0" w:evenHBand="0" w:firstRowFirstColumn="0" w:firstRowLastColumn="0" w:lastRowFirstColumn="0" w:lastRowLastColumn="0"/>
            </w:pPr>
            <w:r>
              <w:t>8.2</w:t>
            </w:r>
          </w:p>
        </w:tc>
        <w:tc>
          <w:tcPr>
            <w:tcW w:w="907" w:type="dxa"/>
            <w:tcBorders>
              <w:bottom w:val="single" w:sz="6" w:space="0" w:color="auto"/>
            </w:tcBorders>
          </w:tcPr>
          <w:p w14:paraId="5AE08125" w14:textId="77777777" w:rsidR="00F66433" w:rsidRDefault="004A6378">
            <w:pPr>
              <w:cnfStyle w:val="000000000000" w:firstRow="0" w:lastRow="0" w:firstColumn="0" w:lastColumn="0" w:oddVBand="0" w:evenVBand="0" w:oddHBand="0" w:evenHBand="0" w:firstRowFirstColumn="0" w:firstRowLastColumn="0" w:lastRowFirstColumn="0" w:lastRowLastColumn="0"/>
            </w:pPr>
            <w:r>
              <w:t>127.6</w:t>
            </w:r>
          </w:p>
        </w:tc>
      </w:tr>
      <w:tr w:rsidR="00F66433" w14:paraId="1E353DEF"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5A5460E" w14:textId="77777777" w:rsidR="00F66433" w:rsidRDefault="004A6378">
            <w:r>
              <w:rPr>
                <w:b/>
              </w:rPr>
              <w:t>Total assets</w:t>
            </w:r>
          </w:p>
        </w:tc>
        <w:tc>
          <w:tcPr>
            <w:tcW w:w="907" w:type="dxa"/>
            <w:tcBorders>
              <w:top w:val="single" w:sz="6" w:space="0" w:color="auto"/>
            </w:tcBorders>
          </w:tcPr>
          <w:p w14:paraId="307D3611"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142.2</w:t>
            </w:r>
          </w:p>
        </w:tc>
        <w:tc>
          <w:tcPr>
            <w:tcW w:w="907" w:type="dxa"/>
            <w:tcBorders>
              <w:top w:val="single" w:sz="6" w:space="0" w:color="auto"/>
            </w:tcBorders>
          </w:tcPr>
          <w:p w14:paraId="4E8FFFBE"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1.0</w:t>
            </w:r>
          </w:p>
        </w:tc>
        <w:tc>
          <w:tcPr>
            <w:tcW w:w="907" w:type="dxa"/>
            <w:tcBorders>
              <w:top w:val="single" w:sz="6" w:space="0" w:color="auto"/>
            </w:tcBorders>
          </w:tcPr>
          <w:p w14:paraId="05530680"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141.3</w:t>
            </w:r>
          </w:p>
        </w:tc>
        <w:tc>
          <w:tcPr>
            <w:tcW w:w="907" w:type="dxa"/>
            <w:tcBorders>
              <w:top w:val="single" w:sz="6" w:space="0" w:color="auto"/>
            </w:tcBorders>
          </w:tcPr>
          <w:p w14:paraId="5D2D143F"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9.6</w:t>
            </w:r>
          </w:p>
        </w:tc>
        <w:tc>
          <w:tcPr>
            <w:tcW w:w="907" w:type="dxa"/>
            <w:tcBorders>
              <w:top w:val="single" w:sz="6" w:space="0" w:color="auto"/>
            </w:tcBorders>
          </w:tcPr>
          <w:p w14:paraId="256E941F"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132.6</w:t>
            </w:r>
          </w:p>
        </w:tc>
      </w:tr>
      <w:tr w:rsidR="00F66433" w14:paraId="3FCA18D8" w14:textId="77777777">
        <w:tc>
          <w:tcPr>
            <w:cnfStyle w:val="001000000000" w:firstRow="0" w:lastRow="0" w:firstColumn="1" w:lastColumn="0" w:oddVBand="0" w:evenVBand="0" w:oddHBand="0" w:evenHBand="0" w:firstRowFirstColumn="0" w:firstRowLastColumn="0" w:lastRowFirstColumn="0" w:lastRowLastColumn="0"/>
            <w:tcW w:w="5103" w:type="dxa"/>
          </w:tcPr>
          <w:p w14:paraId="7B95B70A" w14:textId="77777777" w:rsidR="00F66433" w:rsidRDefault="004A6378">
            <w:r>
              <w:rPr>
                <w:b/>
              </w:rPr>
              <w:t>Liabilities</w:t>
            </w:r>
          </w:p>
        </w:tc>
        <w:tc>
          <w:tcPr>
            <w:tcW w:w="907" w:type="dxa"/>
          </w:tcPr>
          <w:p w14:paraId="399BE3D5"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2C803D1E"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4EB58077"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240E2388"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4D75EB20"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r>
      <w:tr w:rsidR="00F66433" w14:paraId="78384B6F" w14:textId="77777777">
        <w:tc>
          <w:tcPr>
            <w:cnfStyle w:val="001000000000" w:firstRow="0" w:lastRow="0" w:firstColumn="1" w:lastColumn="0" w:oddVBand="0" w:evenVBand="0" w:oddHBand="0" w:evenHBand="0" w:firstRowFirstColumn="0" w:firstRowLastColumn="0" w:lastRowFirstColumn="0" w:lastRowLastColumn="0"/>
            <w:tcW w:w="5103" w:type="dxa"/>
          </w:tcPr>
          <w:p w14:paraId="357ED800" w14:textId="77777777" w:rsidR="00F66433" w:rsidRDefault="004A6378">
            <w:r>
              <w:t>Borrowings</w:t>
            </w:r>
          </w:p>
        </w:tc>
        <w:tc>
          <w:tcPr>
            <w:tcW w:w="907" w:type="dxa"/>
          </w:tcPr>
          <w:p w14:paraId="5E315655" w14:textId="77777777" w:rsidR="00F66433" w:rsidRDefault="004A6378">
            <w:pPr>
              <w:cnfStyle w:val="000000000000" w:firstRow="0" w:lastRow="0" w:firstColumn="0" w:lastColumn="0" w:oddVBand="0" w:evenVBand="0" w:oddHBand="0" w:evenHBand="0" w:firstRowFirstColumn="0" w:firstRowLastColumn="0" w:lastRowFirstColumn="0" w:lastRowLastColumn="0"/>
            </w:pPr>
            <w:r>
              <w:t>26.5</w:t>
            </w:r>
          </w:p>
        </w:tc>
        <w:tc>
          <w:tcPr>
            <w:tcW w:w="907" w:type="dxa"/>
          </w:tcPr>
          <w:p w14:paraId="25C9EF05" w14:textId="77777777" w:rsidR="00F66433" w:rsidRDefault="004A6378">
            <w:pPr>
              <w:cnfStyle w:val="000000000000" w:firstRow="0" w:lastRow="0" w:firstColumn="0" w:lastColumn="0" w:oddVBand="0" w:evenVBand="0" w:oddHBand="0" w:evenHBand="0" w:firstRowFirstColumn="0" w:firstRowLastColumn="0" w:lastRowFirstColumn="0" w:lastRowLastColumn="0"/>
            </w:pPr>
            <w:r>
              <w:t>(0.7)</w:t>
            </w:r>
          </w:p>
        </w:tc>
        <w:tc>
          <w:tcPr>
            <w:tcW w:w="907" w:type="dxa"/>
          </w:tcPr>
          <w:p w14:paraId="4EE35B1F" w14:textId="77777777" w:rsidR="00F66433" w:rsidRDefault="004A6378">
            <w:pPr>
              <w:cnfStyle w:val="000000000000" w:firstRow="0" w:lastRow="0" w:firstColumn="0" w:lastColumn="0" w:oddVBand="0" w:evenVBand="0" w:oddHBand="0" w:evenHBand="0" w:firstRowFirstColumn="0" w:firstRowLastColumn="0" w:lastRowFirstColumn="0" w:lastRowLastColumn="0"/>
            </w:pPr>
            <w:r>
              <w:t>27.2</w:t>
            </w:r>
          </w:p>
        </w:tc>
        <w:tc>
          <w:tcPr>
            <w:tcW w:w="907" w:type="dxa"/>
          </w:tcPr>
          <w:p w14:paraId="032B98F8" w14:textId="77777777" w:rsidR="00F66433" w:rsidRDefault="004A6378">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3A981A5E" w14:textId="77777777" w:rsidR="00F66433" w:rsidRDefault="004A6378">
            <w:pPr>
              <w:cnfStyle w:val="000000000000" w:firstRow="0" w:lastRow="0" w:firstColumn="0" w:lastColumn="0" w:oddVBand="0" w:evenVBand="0" w:oddHBand="0" w:evenHBand="0" w:firstRowFirstColumn="0" w:firstRowLastColumn="0" w:lastRowFirstColumn="0" w:lastRowLastColumn="0"/>
            </w:pPr>
            <w:r>
              <w:t>23.3</w:t>
            </w:r>
          </w:p>
        </w:tc>
      </w:tr>
      <w:tr w:rsidR="00F66433" w14:paraId="78C167B9" w14:textId="77777777">
        <w:tc>
          <w:tcPr>
            <w:cnfStyle w:val="001000000000" w:firstRow="0" w:lastRow="0" w:firstColumn="1" w:lastColumn="0" w:oddVBand="0" w:evenVBand="0" w:oddHBand="0" w:evenHBand="0" w:firstRowFirstColumn="0" w:firstRowLastColumn="0" w:lastRowFirstColumn="0" w:lastRowLastColumn="0"/>
            <w:tcW w:w="5103" w:type="dxa"/>
          </w:tcPr>
          <w:p w14:paraId="22B2D684" w14:textId="77777777" w:rsidR="00F66433" w:rsidRDefault="004A6378">
            <w:r>
              <w:t>Other provisions</w:t>
            </w:r>
          </w:p>
        </w:tc>
        <w:tc>
          <w:tcPr>
            <w:tcW w:w="907" w:type="dxa"/>
          </w:tcPr>
          <w:p w14:paraId="41DC3CBA" w14:textId="77777777" w:rsidR="00F66433" w:rsidRDefault="004A6378">
            <w:pPr>
              <w:cnfStyle w:val="000000000000" w:firstRow="0" w:lastRow="0" w:firstColumn="0" w:lastColumn="0" w:oddVBand="0" w:evenVBand="0" w:oddHBand="0" w:evenHBand="0" w:firstRowFirstColumn="0" w:firstRowLastColumn="0" w:lastRowFirstColumn="0" w:lastRowLastColumn="0"/>
            </w:pPr>
            <w:r>
              <w:t>23.7</w:t>
            </w:r>
          </w:p>
        </w:tc>
        <w:tc>
          <w:tcPr>
            <w:tcW w:w="907" w:type="dxa"/>
          </w:tcPr>
          <w:p w14:paraId="39127CF1" w14:textId="77777777" w:rsidR="00F66433" w:rsidRDefault="004A6378">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15500D6F" w14:textId="77777777" w:rsidR="00F66433" w:rsidRDefault="004A6378">
            <w:pPr>
              <w:cnfStyle w:val="000000000000" w:firstRow="0" w:lastRow="0" w:firstColumn="0" w:lastColumn="0" w:oddVBand="0" w:evenVBand="0" w:oddHBand="0" w:evenHBand="0" w:firstRowFirstColumn="0" w:firstRowLastColumn="0" w:lastRowFirstColumn="0" w:lastRowLastColumn="0"/>
            </w:pPr>
            <w:r>
              <w:t>11.9</w:t>
            </w:r>
          </w:p>
        </w:tc>
        <w:tc>
          <w:tcPr>
            <w:tcW w:w="907" w:type="dxa"/>
          </w:tcPr>
          <w:p w14:paraId="3B2013AC" w14:textId="77777777" w:rsidR="00F66433" w:rsidRDefault="004A6378">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589F77BD" w14:textId="77777777" w:rsidR="00F66433" w:rsidRDefault="004A6378">
            <w:pPr>
              <w:cnfStyle w:val="000000000000" w:firstRow="0" w:lastRow="0" w:firstColumn="0" w:lastColumn="0" w:oddVBand="0" w:evenVBand="0" w:oddHBand="0" w:evenHBand="0" w:firstRowFirstColumn="0" w:firstRowLastColumn="0" w:lastRowFirstColumn="0" w:lastRowLastColumn="0"/>
            </w:pPr>
            <w:r>
              <w:t>12.1</w:t>
            </w:r>
          </w:p>
        </w:tc>
      </w:tr>
      <w:tr w:rsidR="00F66433" w14:paraId="5A537495"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EB50AC9" w14:textId="77777777" w:rsidR="00F66433" w:rsidRDefault="004A6378">
            <w:r>
              <w:t>Other liabilities</w:t>
            </w:r>
            <w:r>
              <w:rPr>
                <w:vertAlign w:val="superscript"/>
              </w:rPr>
              <w:t xml:space="preserve"> (c)</w:t>
            </w:r>
          </w:p>
        </w:tc>
        <w:tc>
          <w:tcPr>
            <w:tcW w:w="907" w:type="dxa"/>
            <w:tcBorders>
              <w:bottom w:val="single" w:sz="6" w:space="0" w:color="auto"/>
            </w:tcBorders>
          </w:tcPr>
          <w:p w14:paraId="726B8E1E" w14:textId="77777777" w:rsidR="00F66433" w:rsidRDefault="004A6378">
            <w:pPr>
              <w:cnfStyle w:val="000000000000" w:firstRow="0" w:lastRow="0" w:firstColumn="0" w:lastColumn="0" w:oddVBand="0" w:evenVBand="0" w:oddHBand="0" w:evenHBand="0" w:firstRowFirstColumn="0" w:firstRowLastColumn="0" w:lastRowFirstColumn="0" w:lastRowLastColumn="0"/>
            </w:pPr>
            <w:r>
              <w:t>14.6</w:t>
            </w:r>
          </w:p>
        </w:tc>
        <w:tc>
          <w:tcPr>
            <w:tcW w:w="907" w:type="dxa"/>
            <w:tcBorders>
              <w:bottom w:val="single" w:sz="6" w:space="0" w:color="auto"/>
            </w:tcBorders>
          </w:tcPr>
          <w:p w14:paraId="23381195" w14:textId="77777777" w:rsidR="00F66433" w:rsidRDefault="004A6378">
            <w:pPr>
              <w:cnfStyle w:val="000000000000" w:firstRow="0" w:lastRow="0" w:firstColumn="0" w:lastColumn="0" w:oddVBand="0" w:evenVBand="0" w:oddHBand="0" w:evenHBand="0" w:firstRowFirstColumn="0" w:firstRowLastColumn="0" w:lastRowFirstColumn="0" w:lastRowLastColumn="0"/>
            </w:pPr>
            <w:r>
              <w:t>0.5</w:t>
            </w:r>
          </w:p>
        </w:tc>
        <w:tc>
          <w:tcPr>
            <w:tcW w:w="907" w:type="dxa"/>
            <w:tcBorders>
              <w:bottom w:val="single" w:sz="6" w:space="0" w:color="auto"/>
            </w:tcBorders>
          </w:tcPr>
          <w:p w14:paraId="39073E32" w14:textId="77777777" w:rsidR="00F66433" w:rsidRDefault="004A6378">
            <w:pPr>
              <w:cnfStyle w:val="000000000000" w:firstRow="0" w:lastRow="0" w:firstColumn="0" w:lastColumn="0" w:oddVBand="0" w:evenVBand="0" w:oddHBand="0" w:evenHBand="0" w:firstRowFirstColumn="0" w:firstRowLastColumn="0" w:lastRowFirstColumn="0" w:lastRowLastColumn="0"/>
            </w:pPr>
            <w:r>
              <w:t>14.1</w:t>
            </w:r>
          </w:p>
        </w:tc>
        <w:tc>
          <w:tcPr>
            <w:tcW w:w="907" w:type="dxa"/>
            <w:tcBorders>
              <w:bottom w:val="single" w:sz="6" w:space="0" w:color="auto"/>
            </w:tcBorders>
          </w:tcPr>
          <w:p w14:paraId="65E9DF6D" w14:textId="77777777" w:rsidR="00F66433" w:rsidRDefault="004A6378">
            <w:pPr>
              <w:cnfStyle w:val="000000000000" w:firstRow="0" w:lastRow="0" w:firstColumn="0" w:lastColumn="0" w:oddVBand="0" w:evenVBand="0" w:oddHBand="0" w:evenHBand="0" w:firstRowFirstColumn="0" w:firstRowLastColumn="0" w:lastRowFirstColumn="0" w:lastRowLastColumn="0"/>
            </w:pPr>
            <w:r>
              <w:t>0.4</w:t>
            </w:r>
          </w:p>
        </w:tc>
        <w:tc>
          <w:tcPr>
            <w:tcW w:w="907" w:type="dxa"/>
            <w:tcBorders>
              <w:bottom w:val="single" w:sz="6" w:space="0" w:color="auto"/>
            </w:tcBorders>
          </w:tcPr>
          <w:p w14:paraId="582D3B94" w14:textId="77777777" w:rsidR="00F66433" w:rsidRDefault="004A6378">
            <w:pPr>
              <w:cnfStyle w:val="000000000000" w:firstRow="0" w:lastRow="0" w:firstColumn="0" w:lastColumn="0" w:oddVBand="0" w:evenVBand="0" w:oddHBand="0" w:evenHBand="0" w:firstRowFirstColumn="0" w:firstRowLastColumn="0" w:lastRowFirstColumn="0" w:lastRowLastColumn="0"/>
            </w:pPr>
            <w:r>
              <w:t>14.2</w:t>
            </w:r>
          </w:p>
        </w:tc>
      </w:tr>
      <w:tr w:rsidR="00F66433" w14:paraId="3A3B8033"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EAC4D79" w14:textId="77777777" w:rsidR="00F66433" w:rsidRDefault="004A6378">
            <w:r>
              <w:rPr>
                <w:b/>
              </w:rPr>
              <w:t>Total liabilities</w:t>
            </w:r>
          </w:p>
        </w:tc>
        <w:tc>
          <w:tcPr>
            <w:tcW w:w="907" w:type="dxa"/>
            <w:tcBorders>
              <w:top w:val="single" w:sz="6" w:space="0" w:color="auto"/>
              <w:bottom w:val="single" w:sz="6" w:space="0" w:color="auto"/>
            </w:tcBorders>
          </w:tcPr>
          <w:p w14:paraId="4324F086"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64.7</w:t>
            </w:r>
          </w:p>
        </w:tc>
        <w:tc>
          <w:tcPr>
            <w:tcW w:w="907" w:type="dxa"/>
            <w:tcBorders>
              <w:top w:val="single" w:sz="6" w:space="0" w:color="auto"/>
              <w:bottom w:val="single" w:sz="6" w:space="0" w:color="auto"/>
            </w:tcBorders>
          </w:tcPr>
          <w:p w14:paraId="7B2C2F26"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11.6</w:t>
            </w:r>
          </w:p>
        </w:tc>
        <w:tc>
          <w:tcPr>
            <w:tcW w:w="907" w:type="dxa"/>
            <w:tcBorders>
              <w:top w:val="single" w:sz="6" w:space="0" w:color="auto"/>
              <w:bottom w:val="single" w:sz="6" w:space="0" w:color="auto"/>
            </w:tcBorders>
          </w:tcPr>
          <w:p w14:paraId="6919C947"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53.2</w:t>
            </w:r>
          </w:p>
        </w:tc>
        <w:tc>
          <w:tcPr>
            <w:tcW w:w="907" w:type="dxa"/>
            <w:tcBorders>
              <w:top w:val="single" w:sz="6" w:space="0" w:color="auto"/>
              <w:bottom w:val="single" w:sz="6" w:space="0" w:color="auto"/>
            </w:tcBorders>
          </w:tcPr>
          <w:p w14:paraId="1D4B8807"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15.2</w:t>
            </w:r>
          </w:p>
        </w:tc>
        <w:tc>
          <w:tcPr>
            <w:tcW w:w="907" w:type="dxa"/>
            <w:tcBorders>
              <w:top w:val="single" w:sz="6" w:space="0" w:color="auto"/>
              <w:bottom w:val="single" w:sz="6" w:space="0" w:color="auto"/>
            </w:tcBorders>
          </w:tcPr>
          <w:p w14:paraId="75AE4936"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49.5</w:t>
            </w:r>
          </w:p>
        </w:tc>
      </w:tr>
      <w:tr w:rsidR="00F66433" w14:paraId="0AEC701C"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7B1E771" w14:textId="77777777" w:rsidR="00F66433" w:rsidRDefault="004A6378">
            <w:r>
              <w:rPr>
                <w:b/>
              </w:rPr>
              <w:t>Net assets</w:t>
            </w:r>
          </w:p>
        </w:tc>
        <w:tc>
          <w:tcPr>
            <w:tcW w:w="907" w:type="dxa"/>
            <w:tcBorders>
              <w:top w:val="single" w:sz="6" w:space="0" w:color="auto"/>
              <w:bottom w:val="single" w:sz="12" w:space="0" w:color="auto"/>
            </w:tcBorders>
          </w:tcPr>
          <w:p w14:paraId="1F089565"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77.5</w:t>
            </w:r>
          </w:p>
        </w:tc>
        <w:tc>
          <w:tcPr>
            <w:tcW w:w="907" w:type="dxa"/>
            <w:tcBorders>
              <w:top w:val="single" w:sz="6" w:space="0" w:color="auto"/>
              <w:bottom w:val="single" w:sz="12" w:space="0" w:color="auto"/>
            </w:tcBorders>
          </w:tcPr>
          <w:p w14:paraId="27581823"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(10.6)</w:t>
            </w:r>
          </w:p>
        </w:tc>
        <w:tc>
          <w:tcPr>
            <w:tcW w:w="907" w:type="dxa"/>
            <w:tcBorders>
              <w:top w:val="single" w:sz="6" w:space="0" w:color="auto"/>
              <w:bottom w:val="single" w:sz="12" w:space="0" w:color="auto"/>
            </w:tcBorders>
          </w:tcPr>
          <w:p w14:paraId="79A2C563"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88.1</w:t>
            </w:r>
          </w:p>
        </w:tc>
        <w:tc>
          <w:tcPr>
            <w:tcW w:w="907" w:type="dxa"/>
            <w:tcBorders>
              <w:top w:val="single" w:sz="6" w:space="0" w:color="auto"/>
              <w:bottom w:val="single" w:sz="12" w:space="0" w:color="auto"/>
            </w:tcBorders>
          </w:tcPr>
          <w:p w14:paraId="747B5C86"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(5.6)</w:t>
            </w:r>
          </w:p>
        </w:tc>
        <w:tc>
          <w:tcPr>
            <w:tcW w:w="907" w:type="dxa"/>
            <w:tcBorders>
              <w:top w:val="single" w:sz="6" w:space="0" w:color="auto"/>
              <w:bottom w:val="single" w:sz="12" w:space="0" w:color="auto"/>
            </w:tcBorders>
          </w:tcPr>
          <w:p w14:paraId="3B9980BC"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83.0</w:t>
            </w:r>
          </w:p>
        </w:tc>
      </w:tr>
    </w:tbl>
    <w:p w14:paraId="27503EA4" w14:textId="77777777" w:rsidR="00366656" w:rsidRPr="00200564" w:rsidRDefault="00366656" w:rsidP="00366656">
      <w:pPr>
        <w:pStyle w:val="Note"/>
      </w:pPr>
      <w:r w:rsidRPr="00200564">
        <w:t>Note</w:t>
      </w:r>
      <w:r>
        <w:t>s</w:t>
      </w:r>
      <w:r w:rsidRPr="00200564">
        <w:t>:</w:t>
      </w:r>
    </w:p>
    <w:p w14:paraId="637F037B" w14:textId="7CDAF798" w:rsidR="00366656" w:rsidRDefault="00366656" w:rsidP="00366656">
      <w:pPr>
        <w:pStyle w:val="Note"/>
      </w:pPr>
      <w:r>
        <w:t>(</w:t>
      </w:r>
      <w:r w:rsidR="0029343E">
        <w:t>a</w:t>
      </w:r>
      <w:r>
        <w:t>)</w:t>
      </w:r>
      <w:r>
        <w:tab/>
        <w:t>Financial assets include cash and deposits, advances paid, investments, loans and placements, receivables and investments accounted for using the equity method.</w:t>
      </w:r>
    </w:p>
    <w:p w14:paraId="1AB57687" w14:textId="775984F7" w:rsidR="00366656" w:rsidRDefault="00366656" w:rsidP="00366656">
      <w:pPr>
        <w:pStyle w:val="Note"/>
      </w:pPr>
      <w:r>
        <w:t>(</w:t>
      </w:r>
      <w:r w:rsidR="0029343E">
        <w:t>b</w:t>
      </w:r>
      <w:r>
        <w:t>)</w:t>
      </w:r>
      <w:r>
        <w:tab/>
        <w:t>Non-financial assets include l</w:t>
      </w:r>
      <w:r w:rsidRPr="005C0052">
        <w:t>and, buildings, infrastructure, plant and equipment and other non-financial assets</w:t>
      </w:r>
      <w:r>
        <w:t>.</w:t>
      </w:r>
    </w:p>
    <w:p w14:paraId="3E90E1A6" w14:textId="3D4D71BF" w:rsidR="00366656" w:rsidRDefault="00366656" w:rsidP="00366656">
      <w:pPr>
        <w:pStyle w:val="Note"/>
      </w:pPr>
      <w:r>
        <w:t>(</w:t>
      </w:r>
      <w:r w:rsidR="0029343E">
        <w:t>c</w:t>
      </w:r>
      <w:r>
        <w:t>)</w:t>
      </w:r>
      <w:r>
        <w:tab/>
      </w:r>
      <w:r w:rsidRPr="005C0052">
        <w:t>Other liabilities consist of payables, employee benefits, deposits held and advances received</w:t>
      </w:r>
      <w:r w:rsidR="00641628">
        <w:t xml:space="preserve">, </w:t>
      </w:r>
      <w:r w:rsidR="0027309F">
        <w:t xml:space="preserve">contract liabilities, unearned income and grant of a right to the operator liability. </w:t>
      </w:r>
    </w:p>
    <w:p w14:paraId="68CCE5BB" w14:textId="77777777" w:rsidR="00366656" w:rsidRDefault="00366656" w:rsidP="00097095"/>
    <w:p w14:paraId="559B10C7" w14:textId="77777777" w:rsidR="00DE1E51" w:rsidRDefault="00DE1E51" w:rsidP="00E15A39">
      <w:pPr>
        <w:sectPr w:rsidR="00DE1E51" w:rsidSect="00DE1E51">
          <w:type w:val="continuous"/>
          <w:pgSz w:w="11906" w:h="16838" w:code="9"/>
          <w:pgMar w:top="1134" w:right="1134" w:bottom="1134" w:left="1134" w:header="624" w:footer="567" w:gutter="0"/>
          <w:cols w:space="708"/>
          <w:docGrid w:linePitch="360"/>
        </w:sectPr>
      </w:pPr>
    </w:p>
    <w:p w14:paraId="6A04C0F0" w14:textId="70C8AB93" w:rsidR="00E15A39" w:rsidRDefault="00E15A39" w:rsidP="00E15A39">
      <w:r>
        <w:t>Table 3.2 shows that PNFC sector net assets decreased by $</w:t>
      </w:r>
      <w:r w:rsidR="00576ED7">
        <w:t>5.</w:t>
      </w:r>
      <w:r>
        <w:t>6</w:t>
      </w:r>
      <w:r w:rsidRPr="7C22B0A6">
        <w:rPr>
          <w:rFonts w:ascii="Times New Roman" w:hAnsi="Times New Roman"/>
        </w:rPr>
        <w:t> </w:t>
      </w:r>
      <w:r>
        <w:t>billion to $77</w:t>
      </w:r>
      <w:r w:rsidR="00576ED7">
        <w:t>.5</w:t>
      </w:r>
      <w:r w:rsidRPr="7C22B0A6">
        <w:rPr>
          <w:rFonts w:ascii="Times New Roman" w:hAnsi="Times New Roman"/>
        </w:rPr>
        <w:t> </w:t>
      </w:r>
      <w:r>
        <w:t>billion at 30</w:t>
      </w:r>
      <w:r w:rsidRPr="7C22B0A6">
        <w:rPr>
          <w:rFonts w:ascii="Times New Roman" w:hAnsi="Times New Roman"/>
        </w:rPr>
        <w:t> </w:t>
      </w:r>
      <w:r>
        <w:t>June</w:t>
      </w:r>
      <w:r w:rsidRPr="7C22B0A6">
        <w:rPr>
          <w:rFonts w:ascii="Times New Roman" w:hAnsi="Times New Roman"/>
        </w:rPr>
        <w:t> </w:t>
      </w:r>
      <w:r>
        <w:t xml:space="preserve">2025. </w:t>
      </w:r>
      <w:r w:rsidR="00670308">
        <w:t>Net asset</w:t>
      </w:r>
      <w:r w:rsidR="006C4E67">
        <w:t>s were</w:t>
      </w:r>
      <w:r>
        <w:t xml:space="preserve"> $1</w:t>
      </w:r>
      <w:r w:rsidR="00576ED7">
        <w:t>0.6</w:t>
      </w:r>
      <w:r w:rsidRPr="7C22B0A6">
        <w:rPr>
          <w:rFonts w:ascii="Times New Roman" w:hAnsi="Times New Roman"/>
        </w:rPr>
        <w:t> </w:t>
      </w:r>
      <w:r>
        <w:t>billion lower than the revised budget</w:t>
      </w:r>
      <w:r w:rsidR="00666606">
        <w:t>,</w:t>
      </w:r>
      <w:r w:rsidR="00C71644">
        <w:t xml:space="preserve"> primarily due </w:t>
      </w:r>
      <w:r w:rsidR="001A6C3D">
        <w:t xml:space="preserve">to </w:t>
      </w:r>
      <w:r w:rsidR="00C71644">
        <w:t xml:space="preserve">the impact of deferred tax liability arising from the revaluation of </w:t>
      </w:r>
      <w:r w:rsidR="006B40BF">
        <w:t>rail assets</w:t>
      </w:r>
      <w:r>
        <w:t xml:space="preserve">. </w:t>
      </w:r>
    </w:p>
    <w:p w14:paraId="56ED2DD5" w14:textId="77777777" w:rsidR="00DE1E51" w:rsidRDefault="00E15A39" w:rsidP="00E15A39">
      <w:r>
        <w:t>The increase in total assets of $</w:t>
      </w:r>
      <w:r w:rsidR="007C6398">
        <w:t>9.</w:t>
      </w:r>
      <w:r w:rsidR="2155F699">
        <w:t>6</w:t>
      </w:r>
      <w:r w:rsidR="2155F699" w:rsidRPr="745B5B57">
        <w:rPr>
          <w:rFonts w:ascii="Times New Roman" w:hAnsi="Times New Roman"/>
        </w:rPr>
        <w:t> </w:t>
      </w:r>
      <w:r w:rsidR="2155F699">
        <w:t>billion</w:t>
      </w:r>
      <w:r w:rsidR="007C6398">
        <w:t xml:space="preserve"> </w:t>
      </w:r>
      <w:r>
        <w:t xml:space="preserve">compared with 2023-24 is primarily driven by capital expenditure by the water corporations during the year, the addition of service concession assets for the North East Link State Tolling Corporation, </w:t>
      </w:r>
      <w:r w:rsidR="007E0275">
        <w:t xml:space="preserve">and </w:t>
      </w:r>
      <w:r>
        <w:t xml:space="preserve">revaluations of VicTrack and Melbourne Port Lessor. </w:t>
      </w:r>
    </w:p>
    <w:p w14:paraId="2B17D018" w14:textId="42AC1A7C" w:rsidR="00E15A39" w:rsidRDefault="00E15A39" w:rsidP="00E15A39">
      <w:r>
        <w:t>In addition</w:t>
      </w:r>
      <w:r w:rsidR="005D3577">
        <w:t>,</w:t>
      </w:r>
      <w:r>
        <w:t xml:space="preserve"> cash holdings increased primarily due to Homes Victoria</w:t>
      </w:r>
      <w:r w:rsidR="00845934">
        <w:rPr>
          <w:rFonts w:ascii="Garamond" w:hAnsi="Garamond" w:cs="Garamond"/>
        </w:rPr>
        <w:t>’</w:t>
      </w:r>
      <w:r>
        <w:t xml:space="preserve">s receipt of funding </w:t>
      </w:r>
      <w:r w:rsidR="00063930">
        <w:t xml:space="preserve">in advance of </w:t>
      </w:r>
      <w:r w:rsidR="00F3528E">
        <w:t xml:space="preserve">incurring the </w:t>
      </w:r>
      <w:r>
        <w:t>expenditure. Liabilities increased by $15</w:t>
      </w:r>
      <w:r w:rsidR="00FD7E7F">
        <w:t>.</w:t>
      </w:r>
      <w:r w:rsidR="26507382">
        <w:t>2</w:t>
      </w:r>
      <w:r w:rsidR="742130C6" w:rsidRPr="745B5B57">
        <w:rPr>
          <w:rFonts w:ascii="Times New Roman" w:hAnsi="Times New Roman"/>
        </w:rPr>
        <w:t> </w:t>
      </w:r>
      <w:r w:rsidR="742130C6">
        <w:t>billion</w:t>
      </w:r>
      <w:r>
        <w:t xml:space="preserve"> compared with 2023-24</w:t>
      </w:r>
      <w:r w:rsidR="004762C3">
        <w:t xml:space="preserve">. </w:t>
      </w:r>
      <w:r w:rsidR="00BA092B" w:rsidRPr="00BA092B">
        <w:t>Other provisions increased by $11.</w:t>
      </w:r>
      <w:r w:rsidR="57CCBD64">
        <w:t>6</w:t>
      </w:r>
      <w:r w:rsidR="57CCBD64" w:rsidRPr="745B5B57">
        <w:rPr>
          <w:rFonts w:ascii="Times New Roman" w:hAnsi="Times New Roman"/>
        </w:rPr>
        <w:t> </w:t>
      </w:r>
      <w:r w:rsidR="57CCBD64">
        <w:t>billion</w:t>
      </w:r>
      <w:r w:rsidR="00BA092B" w:rsidRPr="00BA092B">
        <w:t xml:space="preserve"> primarily due to </w:t>
      </w:r>
      <w:r w:rsidR="00C73958">
        <w:t xml:space="preserve">the </w:t>
      </w:r>
      <w:r w:rsidR="00BA092B" w:rsidRPr="00BA092B">
        <w:t>deferred tax impact of the VicTrack revaluation</w:t>
      </w:r>
      <w:r w:rsidR="00DF1BE1">
        <w:t>.</w:t>
      </w:r>
      <w:r>
        <w:t xml:space="preserve"> </w:t>
      </w:r>
      <w:r w:rsidR="00FC5736" w:rsidRPr="00FC5736">
        <w:t>Borrowings increased by $3.2 billion, primarily due to debt incurred by the water corporation</w:t>
      </w:r>
      <w:r w:rsidR="00A5640B">
        <w:t xml:space="preserve">s </w:t>
      </w:r>
      <w:r w:rsidR="00FC5736" w:rsidRPr="00FC5736">
        <w:t xml:space="preserve">and the North East Link State Tolling Corporation to fund </w:t>
      </w:r>
      <w:r w:rsidR="00A5640B">
        <w:t>their capital expenditure program</w:t>
      </w:r>
      <w:r w:rsidR="00E0289C">
        <w:t>s</w:t>
      </w:r>
      <w:r w:rsidR="00FC5736" w:rsidRPr="00FC5736">
        <w:t>.</w:t>
      </w:r>
      <w:r>
        <w:t xml:space="preserve"> </w:t>
      </w:r>
    </w:p>
    <w:p w14:paraId="38DF9190"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7763DBAE" w14:textId="77777777" w:rsidR="00366656" w:rsidRDefault="00366656" w:rsidP="00097095"/>
    <w:p w14:paraId="748A1CC2" w14:textId="77777777" w:rsidR="00366656" w:rsidRPr="00200564" w:rsidRDefault="00366656" w:rsidP="00DE1E51">
      <w:pPr>
        <w:pStyle w:val="Heading1"/>
        <w:pageBreakBefore/>
        <w:spacing w:before="0"/>
      </w:pPr>
      <w:bookmarkStart w:id="20" w:name="_Toc176189338"/>
      <w:r w:rsidRPr="00200564">
        <w:lastRenderedPageBreak/>
        <w:t xml:space="preserve">Financial </w:t>
      </w:r>
      <w:r w:rsidRPr="00522352">
        <w:t>sustainability</w:t>
      </w:r>
      <w:r w:rsidRPr="00200564">
        <w:t xml:space="preserve"> </w:t>
      </w:r>
      <w:r>
        <w:t xml:space="preserve">of the </w:t>
      </w:r>
      <w:r w:rsidRPr="00200564">
        <w:t>Non</w:t>
      </w:r>
      <w:r w:rsidRPr="00200564">
        <w:noBreakHyphen/>
        <w:t>Financial Public Sector</w:t>
      </w:r>
      <w:bookmarkEnd w:id="20"/>
    </w:p>
    <w:p w14:paraId="0B6E0A5E"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6E1B87A5" w14:textId="6B6EB698" w:rsidR="00366656" w:rsidRPr="003626D6" w:rsidRDefault="00366656" w:rsidP="00366656">
      <w:r w:rsidRPr="00A04EEC">
        <w:t>The sustainability of the NFPS is an important consideration for credit rating agencies, in particular the level of net debt, net financial liabilities and the State</w:t>
      </w:r>
      <w:r w:rsidR="00845934">
        <w:t>’</w:t>
      </w:r>
      <w:r w:rsidRPr="00A04EEC">
        <w:t xml:space="preserve">s capacity to </w:t>
      </w:r>
      <w:r w:rsidRPr="003626D6">
        <w:t xml:space="preserve">service these liabilities. </w:t>
      </w:r>
    </w:p>
    <w:p w14:paraId="312FA91F" w14:textId="59BBDD1D" w:rsidR="00366656" w:rsidRPr="003626D6" w:rsidRDefault="00366656" w:rsidP="00366656">
      <w:r w:rsidRPr="003626D6">
        <w:t xml:space="preserve">Table 3.3 shows NFPS net debt of </w:t>
      </w:r>
      <w:r w:rsidRPr="00461005">
        <w:t>$1</w:t>
      </w:r>
      <w:r w:rsidR="001C18FD" w:rsidRPr="00461005">
        <w:t>7</w:t>
      </w:r>
      <w:r w:rsidR="00F21E15">
        <w:t>5</w:t>
      </w:r>
      <w:r w:rsidRPr="00461005">
        <w:t>.</w:t>
      </w:r>
      <w:r w:rsidR="00214CD3">
        <w:t>2</w:t>
      </w:r>
      <w:r w:rsidRPr="003626D6">
        <w:t> billion at 30 June 202</w:t>
      </w:r>
      <w:r w:rsidR="00B15CA8">
        <w:t>5</w:t>
      </w:r>
      <w:r w:rsidRPr="003626D6">
        <w:t xml:space="preserve">. This compares with </w:t>
      </w:r>
      <w:r w:rsidRPr="00461005">
        <w:t>$1</w:t>
      </w:r>
      <w:r w:rsidR="00461005" w:rsidRPr="00461005">
        <w:t>55</w:t>
      </w:r>
      <w:r w:rsidRPr="00461005">
        <w:t>.</w:t>
      </w:r>
      <w:r w:rsidR="00461005" w:rsidRPr="00461005">
        <w:t>3</w:t>
      </w:r>
      <w:r w:rsidRPr="003626D6">
        <w:t xml:space="preserve"> billion the previous year and a revised budget of </w:t>
      </w:r>
      <w:r w:rsidRPr="00461005">
        <w:t>$1</w:t>
      </w:r>
      <w:r w:rsidR="00461005" w:rsidRPr="00461005">
        <w:t>81</w:t>
      </w:r>
      <w:r w:rsidRPr="00461005">
        <w:t>.</w:t>
      </w:r>
      <w:r w:rsidR="00461005" w:rsidRPr="00461005">
        <w:t>8</w:t>
      </w:r>
      <w:r w:rsidRPr="00461005">
        <w:t> </w:t>
      </w:r>
      <w:r w:rsidRPr="003626D6">
        <w:t xml:space="preserve">billion in the </w:t>
      </w:r>
      <w:r w:rsidRPr="003626D6">
        <w:rPr>
          <w:i/>
        </w:rPr>
        <w:t>202</w:t>
      </w:r>
      <w:r w:rsidR="00A91946">
        <w:rPr>
          <w:i/>
        </w:rPr>
        <w:t>5</w:t>
      </w:r>
      <w:r w:rsidRPr="003626D6">
        <w:rPr>
          <w:i/>
        </w:rPr>
        <w:t>-2</w:t>
      </w:r>
      <w:r w:rsidR="00A91946">
        <w:rPr>
          <w:i/>
        </w:rPr>
        <w:t>6</w:t>
      </w:r>
      <w:r w:rsidRPr="003626D6">
        <w:rPr>
          <w:i/>
        </w:rPr>
        <w:t xml:space="preserve"> Budget</w:t>
      </w:r>
      <w:r w:rsidRPr="003626D6">
        <w:t xml:space="preserve">. </w:t>
      </w:r>
    </w:p>
    <w:p w14:paraId="5B43AE31" w14:textId="26A9554B" w:rsidR="00DE1E51" w:rsidRDefault="00366656" w:rsidP="00366656">
      <w:r w:rsidRPr="003626D6">
        <w:t xml:space="preserve">The ratio of NFPS net debt to gross state product (GSP) was </w:t>
      </w:r>
      <w:r w:rsidRPr="00001D8C">
        <w:t>2</w:t>
      </w:r>
      <w:r w:rsidR="00001D8C">
        <w:t>7</w:t>
      </w:r>
      <w:r w:rsidRPr="00001D8C">
        <w:t>.</w:t>
      </w:r>
      <w:r w:rsidR="00267861">
        <w:t>6</w:t>
      </w:r>
      <w:r w:rsidRPr="003626D6">
        <w:t> per cent at 30 June 202</w:t>
      </w:r>
      <w:r w:rsidR="00A91946">
        <w:t>5</w:t>
      </w:r>
      <w:r w:rsidRPr="003626D6">
        <w:t xml:space="preserve"> compared with 2</w:t>
      </w:r>
      <w:r w:rsidR="00A91946">
        <w:t>5</w:t>
      </w:r>
      <w:r w:rsidRPr="003626D6">
        <w:t>.</w:t>
      </w:r>
      <w:r w:rsidR="00001D8C">
        <w:t>6</w:t>
      </w:r>
      <w:r w:rsidRPr="003626D6">
        <w:t> per cent at 30 June 202</w:t>
      </w:r>
      <w:r w:rsidR="00A91946">
        <w:t>4</w:t>
      </w:r>
      <w:r w:rsidRPr="003626D6">
        <w:t xml:space="preserve">. The </w:t>
      </w:r>
      <w:r w:rsidRPr="00001D8C">
        <w:t xml:space="preserve">increase in NFPS net debt was predominantly due to </w:t>
      </w:r>
      <w:r w:rsidRPr="006B51B4">
        <w:t>additional borrowings to fund the Government</w:t>
      </w:r>
      <w:r w:rsidR="00845934">
        <w:t>’</w:t>
      </w:r>
      <w:r w:rsidRPr="006B51B4">
        <w:t>s infrastructure program</w:t>
      </w:r>
      <w:r w:rsidRPr="003626D6">
        <w:t xml:space="preserve">. </w:t>
      </w:r>
    </w:p>
    <w:p w14:paraId="0C77DE8F" w14:textId="4A66156C" w:rsidR="00366656" w:rsidRDefault="00DE1E51" w:rsidP="00366656">
      <w:r>
        <w:br w:type="column"/>
      </w:r>
      <w:r w:rsidR="00366656" w:rsidRPr="003626D6">
        <w:t xml:space="preserve">NFPS net debt to GSP was </w:t>
      </w:r>
      <w:r w:rsidR="00366656" w:rsidRPr="00001D8C">
        <w:t>lower than the revised budget of 2</w:t>
      </w:r>
      <w:r w:rsidR="008A73FE">
        <w:t>8</w:t>
      </w:r>
      <w:r w:rsidR="00366656" w:rsidRPr="00001D8C">
        <w:t>.</w:t>
      </w:r>
      <w:r w:rsidR="008A73FE">
        <w:t>6</w:t>
      </w:r>
      <w:r w:rsidR="00366656" w:rsidRPr="00001D8C">
        <w:t xml:space="preserve"> per cent primarily due to </w:t>
      </w:r>
      <w:r w:rsidR="008C4896">
        <w:t>the general government sector</w:t>
      </w:r>
      <w:r w:rsidR="00845934">
        <w:t>’</w:t>
      </w:r>
      <w:r w:rsidR="008C4896">
        <w:t>s</w:t>
      </w:r>
      <w:r w:rsidR="00366656" w:rsidRPr="00001D8C">
        <w:t xml:space="preserve"> higher than forecast net operating cash surplus</w:t>
      </w:r>
      <w:r w:rsidR="002D067F">
        <w:t xml:space="preserve"> </w:t>
      </w:r>
      <w:r w:rsidR="002D067F" w:rsidRPr="00F1648D">
        <w:t>and capital gains from the Victorian Future Fund, Victorian Social Housing Growth Fund and the Victorian Homebuyer Schem</w:t>
      </w:r>
      <w:r w:rsidR="002D067F">
        <w:t>e</w:t>
      </w:r>
      <w:r w:rsidR="002D067F" w:rsidRPr="003B1386">
        <w:t>.</w:t>
      </w:r>
      <w:r w:rsidR="002D067F">
        <w:t xml:space="preserve"> </w:t>
      </w:r>
      <w:r w:rsidR="002D067F" w:rsidRPr="006F5A75">
        <w:t xml:space="preserve">Also contributing to the improvement are </w:t>
      </w:r>
      <w:r w:rsidR="00687626" w:rsidRPr="00687626">
        <w:t xml:space="preserve">the valuation gains associated with the VRET </w:t>
      </w:r>
      <w:r w:rsidR="005018D6" w:rsidRPr="005018D6">
        <w:t>and</w:t>
      </w:r>
      <w:r w:rsidR="00687626" w:rsidRPr="00687626">
        <w:t xml:space="preserve"> Bulgana Green Power Hub</w:t>
      </w:r>
      <w:r w:rsidR="005018D6" w:rsidRPr="005018D6">
        <w:t xml:space="preserve"> financial derivatives</w:t>
      </w:r>
      <w:r w:rsidR="00687626" w:rsidRPr="00687626">
        <w:t>, as well as the</w:t>
      </w:r>
      <w:r w:rsidR="002D067F" w:rsidRPr="006F5A75">
        <w:t xml:space="preserve"> lower than expected leasing activities primarily due to the timing of certain office accommodation lease renewals managed by the Department of Government Services</w:t>
      </w:r>
      <w:r w:rsidR="00BF0310" w:rsidRPr="006F5A75">
        <w:t>.</w:t>
      </w:r>
    </w:p>
    <w:p w14:paraId="17906256"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126CD5A3" w14:textId="1C3233D1" w:rsidR="00366656" w:rsidRDefault="00366656" w:rsidP="00366656">
      <w:pPr>
        <w:pStyle w:val="TableHeading"/>
      </w:pPr>
      <w:r w:rsidRPr="00200564">
        <w:t>Table 3.3:</w:t>
      </w:r>
      <w:r w:rsidRPr="00200564">
        <w:tab/>
        <w:t>Non-financial public sector net debt and net financial liabilities as at 30 June</w:t>
      </w:r>
      <w:r>
        <w:t xml:space="preserve"> </w:t>
      </w:r>
      <w:r w:rsidRPr="00200564">
        <w:tab/>
        <w:t xml:space="preserve">($ </w:t>
      </w:r>
      <w:r>
        <w:t>billion</w:t>
      </w:r>
      <w:r w:rsidRPr="00200564">
        <w:t>)</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CRA Coordination/Financial Statements/Manual Reports/Chp 3/Link_AFR_Chapter3.xlsx|Table:NFPSNetDebNetLiabs"/>
      </w:tblPr>
      <w:tblGrid>
        <w:gridCol w:w="4536"/>
        <w:gridCol w:w="993"/>
        <w:gridCol w:w="992"/>
        <w:gridCol w:w="992"/>
        <w:gridCol w:w="992"/>
        <w:gridCol w:w="1133"/>
      </w:tblGrid>
      <w:tr w:rsidR="00991200" w14:paraId="353B63E3"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2B95A469" w14:textId="77777777" w:rsidR="00E51EAC" w:rsidRDefault="00E51EAC">
            <w:pPr>
              <w:keepNext/>
            </w:pPr>
          </w:p>
        </w:tc>
        <w:tc>
          <w:tcPr>
            <w:tcW w:w="993" w:type="dxa"/>
          </w:tcPr>
          <w:p w14:paraId="26D1198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3ECC16AC"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92" w:type="dxa"/>
          </w:tcPr>
          <w:p w14:paraId="368E8FCA"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162F00EB"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c>
          <w:tcPr>
            <w:tcW w:w="1133" w:type="dxa"/>
          </w:tcPr>
          <w:p w14:paraId="2442E44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305C4AC8"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4273BFE0" w14:textId="77777777" w:rsidR="00E51EAC" w:rsidRDefault="00E51EAC">
            <w:pPr>
              <w:keepNext/>
            </w:pPr>
          </w:p>
        </w:tc>
        <w:tc>
          <w:tcPr>
            <w:tcW w:w="993" w:type="dxa"/>
          </w:tcPr>
          <w:p w14:paraId="6D94C7FE"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92" w:type="dxa"/>
          </w:tcPr>
          <w:p w14:paraId="7FC9506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92" w:type="dxa"/>
          </w:tcPr>
          <w:p w14:paraId="691DBC35"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92" w:type="dxa"/>
          </w:tcPr>
          <w:p w14:paraId="34CA19CB"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movement</w:t>
            </w:r>
          </w:p>
        </w:tc>
        <w:tc>
          <w:tcPr>
            <w:tcW w:w="1133" w:type="dxa"/>
          </w:tcPr>
          <w:p w14:paraId="484C40BC"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r>
      <w:tr w:rsidR="00E51EAC" w14:paraId="25729C96" w14:textId="77777777">
        <w:tc>
          <w:tcPr>
            <w:cnfStyle w:val="001000000000" w:firstRow="0" w:lastRow="0" w:firstColumn="1" w:lastColumn="0" w:oddVBand="0" w:evenVBand="0" w:oddHBand="0" w:evenHBand="0" w:firstRowFirstColumn="0" w:firstRowLastColumn="0" w:lastRowFirstColumn="0" w:lastRowLastColumn="0"/>
            <w:tcW w:w="4536" w:type="dxa"/>
          </w:tcPr>
          <w:p w14:paraId="5FADB65E" w14:textId="77777777" w:rsidR="00E51EAC" w:rsidRDefault="00182F93">
            <w:r>
              <w:rPr>
                <w:b/>
              </w:rPr>
              <w:t>Assets</w:t>
            </w:r>
          </w:p>
        </w:tc>
        <w:tc>
          <w:tcPr>
            <w:tcW w:w="993" w:type="dxa"/>
          </w:tcPr>
          <w:p w14:paraId="263A1A9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1E1A5ED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74B5CF2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7DD8CB9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0107DB3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D801200" w14:textId="77777777">
        <w:tc>
          <w:tcPr>
            <w:cnfStyle w:val="001000000000" w:firstRow="0" w:lastRow="0" w:firstColumn="1" w:lastColumn="0" w:oddVBand="0" w:evenVBand="0" w:oddHBand="0" w:evenHBand="0" w:firstRowFirstColumn="0" w:firstRowLastColumn="0" w:lastRowFirstColumn="0" w:lastRowLastColumn="0"/>
            <w:tcW w:w="4536" w:type="dxa"/>
          </w:tcPr>
          <w:p w14:paraId="38EDEFC6" w14:textId="77777777" w:rsidR="00E51EAC" w:rsidRDefault="00182F93">
            <w:r>
              <w:t>Cash and deposits</w:t>
            </w:r>
          </w:p>
        </w:tc>
        <w:tc>
          <w:tcPr>
            <w:tcW w:w="993" w:type="dxa"/>
          </w:tcPr>
          <w:p w14:paraId="1B1456A3" w14:textId="77777777" w:rsidR="00E51EAC" w:rsidRDefault="00182F93">
            <w:pPr>
              <w:cnfStyle w:val="000000000000" w:firstRow="0" w:lastRow="0" w:firstColumn="0" w:lastColumn="0" w:oddVBand="0" w:evenVBand="0" w:oddHBand="0" w:evenHBand="0" w:firstRowFirstColumn="0" w:firstRowLastColumn="0" w:lastRowFirstColumn="0" w:lastRowLastColumn="0"/>
            </w:pPr>
            <w:r>
              <w:t>15.9</w:t>
            </w:r>
          </w:p>
        </w:tc>
        <w:tc>
          <w:tcPr>
            <w:tcW w:w="992" w:type="dxa"/>
          </w:tcPr>
          <w:p w14:paraId="764C62F5" w14:textId="77777777" w:rsidR="00E51EAC" w:rsidRDefault="00182F93">
            <w:pPr>
              <w:cnfStyle w:val="000000000000" w:firstRow="0" w:lastRow="0" w:firstColumn="0" w:lastColumn="0" w:oddVBand="0" w:evenVBand="0" w:oddHBand="0" w:evenHBand="0" w:firstRowFirstColumn="0" w:firstRowLastColumn="0" w:lastRowFirstColumn="0" w:lastRowLastColumn="0"/>
            </w:pPr>
            <w:r>
              <w:t>2.8</w:t>
            </w:r>
          </w:p>
        </w:tc>
        <w:tc>
          <w:tcPr>
            <w:tcW w:w="992" w:type="dxa"/>
          </w:tcPr>
          <w:p w14:paraId="6B7D5699" w14:textId="77777777" w:rsidR="00E51EAC" w:rsidRDefault="00182F93">
            <w:pPr>
              <w:cnfStyle w:val="000000000000" w:firstRow="0" w:lastRow="0" w:firstColumn="0" w:lastColumn="0" w:oddVBand="0" w:evenVBand="0" w:oddHBand="0" w:evenHBand="0" w:firstRowFirstColumn="0" w:firstRowLastColumn="0" w:lastRowFirstColumn="0" w:lastRowLastColumn="0"/>
            </w:pPr>
            <w:r>
              <w:t>13.1</w:t>
            </w:r>
          </w:p>
        </w:tc>
        <w:tc>
          <w:tcPr>
            <w:tcW w:w="992" w:type="dxa"/>
          </w:tcPr>
          <w:p w14:paraId="427026B0" w14:textId="77777777" w:rsidR="00E51EAC" w:rsidRDefault="00182F93">
            <w:pPr>
              <w:cnfStyle w:val="000000000000" w:firstRow="0" w:lastRow="0" w:firstColumn="0" w:lastColumn="0" w:oddVBand="0" w:evenVBand="0" w:oddHBand="0" w:evenHBand="0" w:firstRowFirstColumn="0" w:firstRowLastColumn="0" w:lastRowFirstColumn="0" w:lastRowLastColumn="0"/>
            </w:pPr>
            <w:r>
              <w:t>(0.7)</w:t>
            </w:r>
          </w:p>
        </w:tc>
        <w:tc>
          <w:tcPr>
            <w:tcW w:w="1133" w:type="dxa"/>
          </w:tcPr>
          <w:p w14:paraId="6389188F" w14:textId="77777777" w:rsidR="00E51EAC" w:rsidRDefault="00182F93">
            <w:pPr>
              <w:cnfStyle w:val="000000000000" w:firstRow="0" w:lastRow="0" w:firstColumn="0" w:lastColumn="0" w:oddVBand="0" w:evenVBand="0" w:oddHBand="0" w:evenHBand="0" w:firstRowFirstColumn="0" w:firstRowLastColumn="0" w:lastRowFirstColumn="0" w:lastRowLastColumn="0"/>
            </w:pPr>
            <w:r>
              <w:t>16.6</w:t>
            </w:r>
          </w:p>
        </w:tc>
      </w:tr>
      <w:tr w:rsidR="00E51EAC" w14:paraId="478CF37E" w14:textId="77777777">
        <w:tc>
          <w:tcPr>
            <w:cnfStyle w:val="001000000000" w:firstRow="0" w:lastRow="0" w:firstColumn="1" w:lastColumn="0" w:oddVBand="0" w:evenVBand="0" w:oddHBand="0" w:evenHBand="0" w:firstRowFirstColumn="0" w:firstRowLastColumn="0" w:lastRowFirstColumn="0" w:lastRowLastColumn="0"/>
            <w:tcW w:w="4536" w:type="dxa"/>
          </w:tcPr>
          <w:p w14:paraId="553F3AA1" w14:textId="77777777" w:rsidR="00E51EAC" w:rsidRDefault="00182F93">
            <w:r>
              <w:t>Advances paid</w:t>
            </w:r>
          </w:p>
        </w:tc>
        <w:tc>
          <w:tcPr>
            <w:tcW w:w="993" w:type="dxa"/>
          </w:tcPr>
          <w:p w14:paraId="75B907E7" w14:textId="77777777" w:rsidR="00E51EAC" w:rsidRDefault="00182F93">
            <w:pPr>
              <w:cnfStyle w:val="000000000000" w:firstRow="0" w:lastRow="0" w:firstColumn="0" w:lastColumn="0" w:oddVBand="0" w:evenVBand="0" w:oddHBand="0" w:evenHBand="0" w:firstRowFirstColumn="0" w:firstRowLastColumn="0" w:lastRowFirstColumn="0" w:lastRowLastColumn="0"/>
            </w:pPr>
            <w:r>
              <w:t>0.5</w:t>
            </w:r>
          </w:p>
        </w:tc>
        <w:tc>
          <w:tcPr>
            <w:tcW w:w="992" w:type="dxa"/>
          </w:tcPr>
          <w:p w14:paraId="56712BD1" w14:textId="77777777" w:rsidR="00E51EAC" w:rsidRDefault="00182F93">
            <w:pPr>
              <w:cnfStyle w:val="000000000000" w:firstRow="0" w:lastRow="0" w:firstColumn="0" w:lastColumn="0" w:oddVBand="0" w:evenVBand="0" w:oddHBand="0" w:evenHBand="0" w:firstRowFirstColumn="0" w:firstRowLastColumn="0" w:lastRowFirstColumn="0" w:lastRowLastColumn="0"/>
            </w:pPr>
            <w:r>
              <w:t>0.1</w:t>
            </w:r>
          </w:p>
        </w:tc>
        <w:tc>
          <w:tcPr>
            <w:tcW w:w="992" w:type="dxa"/>
          </w:tcPr>
          <w:p w14:paraId="4EAAD75A" w14:textId="77777777" w:rsidR="00E51EAC" w:rsidRDefault="00182F93">
            <w:pPr>
              <w:cnfStyle w:val="000000000000" w:firstRow="0" w:lastRow="0" w:firstColumn="0" w:lastColumn="0" w:oddVBand="0" w:evenVBand="0" w:oddHBand="0" w:evenHBand="0" w:firstRowFirstColumn="0" w:firstRowLastColumn="0" w:lastRowFirstColumn="0" w:lastRowLastColumn="0"/>
            </w:pPr>
            <w:r>
              <w:t>0.4</w:t>
            </w:r>
          </w:p>
        </w:tc>
        <w:tc>
          <w:tcPr>
            <w:tcW w:w="992" w:type="dxa"/>
          </w:tcPr>
          <w:p w14:paraId="0B147D27"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C11F266" w14:textId="77777777" w:rsidR="00E51EAC" w:rsidRDefault="00182F93">
            <w:pPr>
              <w:cnfStyle w:val="000000000000" w:firstRow="0" w:lastRow="0" w:firstColumn="0" w:lastColumn="0" w:oddVBand="0" w:evenVBand="0" w:oddHBand="0" w:evenHBand="0" w:firstRowFirstColumn="0" w:firstRowLastColumn="0" w:lastRowFirstColumn="0" w:lastRowLastColumn="0"/>
            </w:pPr>
            <w:r>
              <w:t>0.5</w:t>
            </w:r>
          </w:p>
        </w:tc>
      </w:tr>
      <w:tr w:rsidR="00E51EAC" w14:paraId="793AEA41"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05660AB5" w14:textId="77777777" w:rsidR="00E51EAC" w:rsidRDefault="00182F93">
            <w:r>
              <w:t>Investments, loans and placements</w:t>
            </w:r>
          </w:p>
        </w:tc>
        <w:tc>
          <w:tcPr>
            <w:tcW w:w="993" w:type="dxa"/>
            <w:tcBorders>
              <w:bottom w:val="single" w:sz="6" w:space="0" w:color="auto"/>
            </w:tcBorders>
          </w:tcPr>
          <w:p w14:paraId="36B584BE" w14:textId="77777777" w:rsidR="00E51EAC" w:rsidRDefault="00182F93">
            <w:pPr>
              <w:cnfStyle w:val="000000000000" w:firstRow="0" w:lastRow="0" w:firstColumn="0" w:lastColumn="0" w:oddVBand="0" w:evenVBand="0" w:oddHBand="0" w:evenHBand="0" w:firstRowFirstColumn="0" w:firstRowLastColumn="0" w:lastRowFirstColumn="0" w:lastRowLastColumn="0"/>
            </w:pPr>
            <w:r>
              <w:t>18.7</w:t>
            </w:r>
          </w:p>
        </w:tc>
        <w:tc>
          <w:tcPr>
            <w:tcW w:w="992" w:type="dxa"/>
            <w:tcBorders>
              <w:bottom w:val="single" w:sz="6" w:space="0" w:color="auto"/>
            </w:tcBorders>
          </w:tcPr>
          <w:p w14:paraId="6CB22F55" w14:textId="77777777" w:rsidR="00E51EAC" w:rsidRDefault="00182F93">
            <w:pPr>
              <w:cnfStyle w:val="000000000000" w:firstRow="0" w:lastRow="0" w:firstColumn="0" w:lastColumn="0" w:oddVBand="0" w:evenVBand="0" w:oddHBand="0" w:evenHBand="0" w:firstRowFirstColumn="0" w:firstRowLastColumn="0" w:lastRowFirstColumn="0" w:lastRowLastColumn="0"/>
            </w:pPr>
            <w:r>
              <w:t>1.1</w:t>
            </w:r>
          </w:p>
        </w:tc>
        <w:tc>
          <w:tcPr>
            <w:tcW w:w="992" w:type="dxa"/>
            <w:tcBorders>
              <w:bottom w:val="single" w:sz="6" w:space="0" w:color="auto"/>
            </w:tcBorders>
          </w:tcPr>
          <w:p w14:paraId="0ACEC692" w14:textId="77777777" w:rsidR="00E51EAC" w:rsidRDefault="00182F93">
            <w:pPr>
              <w:cnfStyle w:val="000000000000" w:firstRow="0" w:lastRow="0" w:firstColumn="0" w:lastColumn="0" w:oddVBand="0" w:evenVBand="0" w:oddHBand="0" w:evenHBand="0" w:firstRowFirstColumn="0" w:firstRowLastColumn="0" w:lastRowFirstColumn="0" w:lastRowLastColumn="0"/>
            </w:pPr>
            <w:r>
              <w:t>17.7</w:t>
            </w:r>
          </w:p>
        </w:tc>
        <w:tc>
          <w:tcPr>
            <w:tcW w:w="992" w:type="dxa"/>
            <w:tcBorders>
              <w:bottom w:val="single" w:sz="6" w:space="0" w:color="auto"/>
            </w:tcBorders>
          </w:tcPr>
          <w:p w14:paraId="39A477BA" w14:textId="77777777" w:rsidR="00E51EAC" w:rsidRDefault="00182F93">
            <w:pPr>
              <w:cnfStyle w:val="000000000000" w:firstRow="0" w:lastRow="0" w:firstColumn="0" w:lastColumn="0" w:oddVBand="0" w:evenVBand="0" w:oddHBand="0" w:evenHBand="0" w:firstRowFirstColumn="0" w:firstRowLastColumn="0" w:lastRowFirstColumn="0" w:lastRowLastColumn="0"/>
            </w:pPr>
            <w:r>
              <w:t>3.0</w:t>
            </w:r>
          </w:p>
        </w:tc>
        <w:tc>
          <w:tcPr>
            <w:tcW w:w="1133" w:type="dxa"/>
            <w:tcBorders>
              <w:bottom w:val="single" w:sz="6" w:space="0" w:color="auto"/>
            </w:tcBorders>
          </w:tcPr>
          <w:p w14:paraId="7591E63F" w14:textId="77777777" w:rsidR="00E51EAC" w:rsidRDefault="00182F93">
            <w:pPr>
              <w:cnfStyle w:val="000000000000" w:firstRow="0" w:lastRow="0" w:firstColumn="0" w:lastColumn="0" w:oddVBand="0" w:evenVBand="0" w:oddHBand="0" w:evenHBand="0" w:firstRowFirstColumn="0" w:firstRowLastColumn="0" w:lastRowFirstColumn="0" w:lastRowLastColumn="0"/>
            </w:pPr>
            <w:r>
              <w:t>15.7</w:t>
            </w:r>
          </w:p>
        </w:tc>
      </w:tr>
      <w:tr w:rsidR="00E51EAC" w14:paraId="69BAD79F"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6439CB0E" w14:textId="77777777" w:rsidR="00E51EAC" w:rsidRDefault="00182F93">
            <w:r>
              <w:rPr>
                <w:b/>
              </w:rPr>
              <w:t>Total</w:t>
            </w:r>
          </w:p>
        </w:tc>
        <w:tc>
          <w:tcPr>
            <w:tcW w:w="993" w:type="dxa"/>
            <w:tcBorders>
              <w:top w:val="single" w:sz="6" w:space="0" w:color="auto"/>
            </w:tcBorders>
          </w:tcPr>
          <w:p w14:paraId="182FB34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35.2</w:t>
            </w:r>
          </w:p>
        </w:tc>
        <w:tc>
          <w:tcPr>
            <w:tcW w:w="992" w:type="dxa"/>
            <w:tcBorders>
              <w:top w:val="single" w:sz="6" w:space="0" w:color="auto"/>
            </w:tcBorders>
          </w:tcPr>
          <w:p w14:paraId="78FD607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4.0</w:t>
            </w:r>
          </w:p>
        </w:tc>
        <w:tc>
          <w:tcPr>
            <w:tcW w:w="992" w:type="dxa"/>
            <w:tcBorders>
              <w:top w:val="single" w:sz="6" w:space="0" w:color="auto"/>
            </w:tcBorders>
          </w:tcPr>
          <w:p w14:paraId="2B69AAF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31.2</w:t>
            </w:r>
          </w:p>
        </w:tc>
        <w:tc>
          <w:tcPr>
            <w:tcW w:w="992" w:type="dxa"/>
            <w:tcBorders>
              <w:top w:val="single" w:sz="6" w:space="0" w:color="auto"/>
            </w:tcBorders>
          </w:tcPr>
          <w:p w14:paraId="0FD180F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w:t>
            </w:r>
          </w:p>
        </w:tc>
        <w:tc>
          <w:tcPr>
            <w:tcW w:w="1133" w:type="dxa"/>
            <w:tcBorders>
              <w:top w:val="single" w:sz="6" w:space="0" w:color="auto"/>
            </w:tcBorders>
          </w:tcPr>
          <w:p w14:paraId="734CF0B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32.8</w:t>
            </w:r>
          </w:p>
        </w:tc>
      </w:tr>
      <w:tr w:rsidR="00E51EAC" w14:paraId="22384528" w14:textId="77777777">
        <w:tc>
          <w:tcPr>
            <w:cnfStyle w:val="001000000000" w:firstRow="0" w:lastRow="0" w:firstColumn="1" w:lastColumn="0" w:oddVBand="0" w:evenVBand="0" w:oddHBand="0" w:evenHBand="0" w:firstRowFirstColumn="0" w:firstRowLastColumn="0" w:lastRowFirstColumn="0" w:lastRowLastColumn="0"/>
            <w:tcW w:w="4536" w:type="dxa"/>
          </w:tcPr>
          <w:p w14:paraId="3FEECB73" w14:textId="77777777" w:rsidR="00E51EAC" w:rsidRDefault="00182F93">
            <w:r>
              <w:rPr>
                <w:b/>
              </w:rPr>
              <w:t>Liabilities</w:t>
            </w:r>
          </w:p>
        </w:tc>
        <w:tc>
          <w:tcPr>
            <w:tcW w:w="993" w:type="dxa"/>
          </w:tcPr>
          <w:p w14:paraId="46FFC8B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5DC377A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2ED15E5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92" w:type="dxa"/>
          </w:tcPr>
          <w:p w14:paraId="311C027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1A96B20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EA814A7" w14:textId="77777777">
        <w:tc>
          <w:tcPr>
            <w:cnfStyle w:val="001000000000" w:firstRow="0" w:lastRow="0" w:firstColumn="1" w:lastColumn="0" w:oddVBand="0" w:evenVBand="0" w:oddHBand="0" w:evenHBand="0" w:firstRowFirstColumn="0" w:firstRowLastColumn="0" w:lastRowFirstColumn="0" w:lastRowLastColumn="0"/>
            <w:tcW w:w="4536" w:type="dxa"/>
          </w:tcPr>
          <w:p w14:paraId="63C1D31D" w14:textId="77777777" w:rsidR="00E51EAC" w:rsidRDefault="00182F93">
            <w:r>
              <w:t>Deposits held and advances received</w:t>
            </w:r>
          </w:p>
        </w:tc>
        <w:tc>
          <w:tcPr>
            <w:tcW w:w="993" w:type="dxa"/>
          </w:tcPr>
          <w:p w14:paraId="1DCCF999" w14:textId="77777777" w:rsidR="00E51EAC" w:rsidRDefault="00182F93">
            <w:pPr>
              <w:cnfStyle w:val="000000000000" w:firstRow="0" w:lastRow="0" w:firstColumn="0" w:lastColumn="0" w:oddVBand="0" w:evenVBand="0" w:oddHBand="0" w:evenHBand="0" w:firstRowFirstColumn="0" w:firstRowLastColumn="0" w:lastRowFirstColumn="0" w:lastRowLastColumn="0"/>
            </w:pPr>
            <w:r>
              <w:t>1.9</w:t>
            </w:r>
          </w:p>
        </w:tc>
        <w:tc>
          <w:tcPr>
            <w:tcW w:w="992" w:type="dxa"/>
          </w:tcPr>
          <w:p w14:paraId="5B9011EF" w14:textId="77777777" w:rsidR="00E51EAC" w:rsidRDefault="00182F93">
            <w:pPr>
              <w:cnfStyle w:val="000000000000" w:firstRow="0" w:lastRow="0" w:firstColumn="0" w:lastColumn="0" w:oddVBand="0" w:evenVBand="0" w:oddHBand="0" w:evenHBand="0" w:firstRowFirstColumn="0" w:firstRowLastColumn="0" w:lastRowFirstColumn="0" w:lastRowLastColumn="0"/>
            </w:pPr>
            <w:r>
              <w:t>0.2</w:t>
            </w:r>
          </w:p>
        </w:tc>
        <w:tc>
          <w:tcPr>
            <w:tcW w:w="992" w:type="dxa"/>
          </w:tcPr>
          <w:p w14:paraId="410CF63C" w14:textId="77777777" w:rsidR="00E51EAC" w:rsidRDefault="00182F93">
            <w:pPr>
              <w:cnfStyle w:val="000000000000" w:firstRow="0" w:lastRow="0" w:firstColumn="0" w:lastColumn="0" w:oddVBand="0" w:evenVBand="0" w:oddHBand="0" w:evenHBand="0" w:firstRowFirstColumn="0" w:firstRowLastColumn="0" w:lastRowFirstColumn="0" w:lastRowLastColumn="0"/>
            </w:pPr>
            <w:r>
              <w:t>1.7</w:t>
            </w:r>
          </w:p>
        </w:tc>
        <w:tc>
          <w:tcPr>
            <w:tcW w:w="992" w:type="dxa"/>
          </w:tcPr>
          <w:p w14:paraId="294F31AB" w14:textId="77777777" w:rsidR="00E51EAC" w:rsidRDefault="00182F93">
            <w:pPr>
              <w:cnfStyle w:val="000000000000" w:firstRow="0" w:lastRow="0" w:firstColumn="0" w:lastColumn="0" w:oddVBand="0" w:evenVBand="0" w:oddHBand="0" w:evenHBand="0" w:firstRowFirstColumn="0" w:firstRowLastColumn="0" w:lastRowFirstColumn="0" w:lastRowLastColumn="0"/>
            </w:pPr>
            <w:r>
              <w:t>0.1</w:t>
            </w:r>
          </w:p>
        </w:tc>
        <w:tc>
          <w:tcPr>
            <w:tcW w:w="1133" w:type="dxa"/>
          </w:tcPr>
          <w:p w14:paraId="5E3126BD" w14:textId="77777777" w:rsidR="00E51EAC" w:rsidRDefault="00182F93">
            <w:pPr>
              <w:cnfStyle w:val="000000000000" w:firstRow="0" w:lastRow="0" w:firstColumn="0" w:lastColumn="0" w:oddVBand="0" w:evenVBand="0" w:oddHBand="0" w:evenHBand="0" w:firstRowFirstColumn="0" w:firstRowLastColumn="0" w:lastRowFirstColumn="0" w:lastRowLastColumn="0"/>
            </w:pPr>
            <w:r>
              <w:t>1.8</w:t>
            </w:r>
          </w:p>
        </w:tc>
      </w:tr>
      <w:tr w:rsidR="00E51EAC" w14:paraId="4863F812"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312D050A" w14:textId="77777777" w:rsidR="00E51EAC" w:rsidRDefault="00182F93">
            <w:r>
              <w:t>Borrowings</w:t>
            </w:r>
          </w:p>
        </w:tc>
        <w:tc>
          <w:tcPr>
            <w:tcW w:w="993" w:type="dxa"/>
            <w:tcBorders>
              <w:bottom w:val="single" w:sz="6" w:space="0" w:color="auto"/>
            </w:tcBorders>
          </w:tcPr>
          <w:p w14:paraId="27271738" w14:textId="77777777" w:rsidR="00E51EAC" w:rsidRDefault="00182F93">
            <w:pPr>
              <w:cnfStyle w:val="000000000000" w:firstRow="0" w:lastRow="0" w:firstColumn="0" w:lastColumn="0" w:oddVBand="0" w:evenVBand="0" w:oddHBand="0" w:evenHBand="0" w:firstRowFirstColumn="0" w:firstRowLastColumn="0" w:lastRowFirstColumn="0" w:lastRowLastColumn="0"/>
            </w:pPr>
            <w:r>
              <w:t>208.5</w:t>
            </w:r>
          </w:p>
        </w:tc>
        <w:tc>
          <w:tcPr>
            <w:tcW w:w="992" w:type="dxa"/>
            <w:tcBorders>
              <w:bottom w:val="single" w:sz="6" w:space="0" w:color="auto"/>
            </w:tcBorders>
          </w:tcPr>
          <w:p w14:paraId="21B276DE" w14:textId="77777777" w:rsidR="00E51EAC" w:rsidRDefault="00182F93">
            <w:pPr>
              <w:cnfStyle w:val="000000000000" w:firstRow="0" w:lastRow="0" w:firstColumn="0" w:lastColumn="0" w:oddVBand="0" w:evenVBand="0" w:oddHBand="0" w:evenHBand="0" w:firstRowFirstColumn="0" w:firstRowLastColumn="0" w:lastRowFirstColumn="0" w:lastRowLastColumn="0"/>
            </w:pPr>
            <w:r>
              <w:t>(2.7)</w:t>
            </w:r>
          </w:p>
        </w:tc>
        <w:tc>
          <w:tcPr>
            <w:tcW w:w="992" w:type="dxa"/>
            <w:tcBorders>
              <w:bottom w:val="single" w:sz="6" w:space="0" w:color="auto"/>
            </w:tcBorders>
          </w:tcPr>
          <w:p w14:paraId="5686ECFA" w14:textId="77777777" w:rsidR="00E51EAC" w:rsidRDefault="00182F93">
            <w:pPr>
              <w:cnfStyle w:val="000000000000" w:firstRow="0" w:lastRow="0" w:firstColumn="0" w:lastColumn="0" w:oddVBand="0" w:evenVBand="0" w:oddHBand="0" w:evenHBand="0" w:firstRowFirstColumn="0" w:firstRowLastColumn="0" w:lastRowFirstColumn="0" w:lastRowLastColumn="0"/>
            </w:pPr>
            <w:r>
              <w:t>211.3</w:t>
            </w:r>
          </w:p>
        </w:tc>
        <w:tc>
          <w:tcPr>
            <w:tcW w:w="992" w:type="dxa"/>
            <w:tcBorders>
              <w:bottom w:val="single" w:sz="6" w:space="0" w:color="auto"/>
            </w:tcBorders>
          </w:tcPr>
          <w:p w14:paraId="113E13DB" w14:textId="77777777" w:rsidR="00E51EAC" w:rsidRDefault="00182F93">
            <w:pPr>
              <w:cnfStyle w:val="000000000000" w:firstRow="0" w:lastRow="0" w:firstColumn="0" w:lastColumn="0" w:oddVBand="0" w:evenVBand="0" w:oddHBand="0" w:evenHBand="0" w:firstRowFirstColumn="0" w:firstRowLastColumn="0" w:lastRowFirstColumn="0" w:lastRowLastColumn="0"/>
            </w:pPr>
            <w:r>
              <w:t>22.2</w:t>
            </w:r>
          </w:p>
        </w:tc>
        <w:tc>
          <w:tcPr>
            <w:tcW w:w="1133" w:type="dxa"/>
            <w:tcBorders>
              <w:bottom w:val="single" w:sz="6" w:space="0" w:color="auto"/>
            </w:tcBorders>
          </w:tcPr>
          <w:p w14:paraId="158C74A7" w14:textId="77777777" w:rsidR="00E51EAC" w:rsidRDefault="00182F93">
            <w:pPr>
              <w:cnfStyle w:val="000000000000" w:firstRow="0" w:lastRow="0" w:firstColumn="0" w:lastColumn="0" w:oddVBand="0" w:evenVBand="0" w:oddHBand="0" w:evenHBand="0" w:firstRowFirstColumn="0" w:firstRowLastColumn="0" w:lastRowFirstColumn="0" w:lastRowLastColumn="0"/>
            </w:pPr>
            <w:r>
              <w:t>186.3</w:t>
            </w:r>
          </w:p>
        </w:tc>
      </w:tr>
      <w:tr w:rsidR="00E51EAC" w14:paraId="0E5E88EA"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3E30965E" w14:textId="77777777" w:rsidR="00E51EAC" w:rsidRDefault="00182F93">
            <w:r>
              <w:rPr>
                <w:b/>
              </w:rPr>
              <w:t>Total</w:t>
            </w:r>
          </w:p>
        </w:tc>
        <w:tc>
          <w:tcPr>
            <w:tcW w:w="993" w:type="dxa"/>
            <w:tcBorders>
              <w:top w:val="single" w:sz="6" w:space="0" w:color="auto"/>
            </w:tcBorders>
          </w:tcPr>
          <w:p w14:paraId="6905671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210.4</w:t>
            </w:r>
          </w:p>
        </w:tc>
        <w:tc>
          <w:tcPr>
            <w:tcW w:w="992" w:type="dxa"/>
            <w:tcBorders>
              <w:top w:val="single" w:sz="6" w:space="0" w:color="auto"/>
            </w:tcBorders>
          </w:tcPr>
          <w:p w14:paraId="0F50E07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(2.6)</w:t>
            </w:r>
          </w:p>
        </w:tc>
        <w:tc>
          <w:tcPr>
            <w:tcW w:w="992" w:type="dxa"/>
            <w:tcBorders>
              <w:top w:val="single" w:sz="6" w:space="0" w:color="auto"/>
            </w:tcBorders>
          </w:tcPr>
          <w:p w14:paraId="2CC0A39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213.0</w:t>
            </w:r>
          </w:p>
        </w:tc>
        <w:tc>
          <w:tcPr>
            <w:tcW w:w="992" w:type="dxa"/>
            <w:tcBorders>
              <w:top w:val="single" w:sz="6" w:space="0" w:color="auto"/>
            </w:tcBorders>
          </w:tcPr>
          <w:p w14:paraId="755036E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22.3</w:t>
            </w:r>
          </w:p>
        </w:tc>
        <w:tc>
          <w:tcPr>
            <w:tcW w:w="1133" w:type="dxa"/>
            <w:tcBorders>
              <w:top w:val="single" w:sz="6" w:space="0" w:color="auto"/>
            </w:tcBorders>
          </w:tcPr>
          <w:p w14:paraId="21567F4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188.1</w:t>
            </w:r>
          </w:p>
        </w:tc>
      </w:tr>
      <w:tr w:rsidR="00E51EAC" w14:paraId="21025664" w14:textId="77777777">
        <w:tc>
          <w:tcPr>
            <w:cnfStyle w:val="001000000000" w:firstRow="0" w:lastRow="0" w:firstColumn="1" w:lastColumn="0" w:oddVBand="0" w:evenVBand="0" w:oddHBand="0" w:evenHBand="0" w:firstRowFirstColumn="0" w:firstRowLastColumn="0" w:lastRowFirstColumn="0" w:lastRowLastColumn="0"/>
            <w:tcW w:w="4536" w:type="dxa"/>
          </w:tcPr>
          <w:p w14:paraId="5BB7279D" w14:textId="77777777" w:rsidR="00E51EAC" w:rsidRDefault="00182F93">
            <w:r>
              <w:rPr>
                <w:b/>
              </w:rPr>
              <w:t>Net debt</w:t>
            </w:r>
          </w:p>
        </w:tc>
        <w:tc>
          <w:tcPr>
            <w:tcW w:w="993" w:type="dxa"/>
          </w:tcPr>
          <w:p w14:paraId="1C778B2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175.2</w:t>
            </w:r>
          </w:p>
        </w:tc>
        <w:tc>
          <w:tcPr>
            <w:tcW w:w="992" w:type="dxa"/>
          </w:tcPr>
          <w:p w14:paraId="3121235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(6.6)</w:t>
            </w:r>
          </w:p>
        </w:tc>
        <w:tc>
          <w:tcPr>
            <w:tcW w:w="992" w:type="dxa"/>
          </w:tcPr>
          <w:p w14:paraId="5F559CD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181.8</w:t>
            </w:r>
          </w:p>
        </w:tc>
        <w:tc>
          <w:tcPr>
            <w:tcW w:w="992" w:type="dxa"/>
          </w:tcPr>
          <w:p w14:paraId="726ED4F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19.9</w:t>
            </w:r>
          </w:p>
        </w:tc>
        <w:tc>
          <w:tcPr>
            <w:tcW w:w="1133" w:type="dxa"/>
          </w:tcPr>
          <w:p w14:paraId="20EC36E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155.3</w:t>
            </w:r>
          </w:p>
        </w:tc>
      </w:tr>
      <w:tr w:rsidR="00E51EAC" w14:paraId="22285DF5"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71B90F72" w14:textId="77777777" w:rsidR="00E51EAC" w:rsidRDefault="00182F93">
            <w:r>
              <w:t>Superannuation</w:t>
            </w:r>
          </w:p>
        </w:tc>
        <w:tc>
          <w:tcPr>
            <w:tcW w:w="993" w:type="dxa"/>
            <w:tcBorders>
              <w:bottom w:val="single" w:sz="6" w:space="0" w:color="auto"/>
            </w:tcBorders>
          </w:tcPr>
          <w:p w14:paraId="63926F70" w14:textId="77777777" w:rsidR="00E51EAC" w:rsidRDefault="00182F93">
            <w:pPr>
              <w:cnfStyle w:val="000000000000" w:firstRow="0" w:lastRow="0" w:firstColumn="0" w:lastColumn="0" w:oddVBand="0" w:evenVBand="0" w:oddHBand="0" w:evenHBand="0" w:firstRowFirstColumn="0" w:firstRowLastColumn="0" w:lastRowFirstColumn="0" w:lastRowLastColumn="0"/>
            </w:pPr>
            <w:r>
              <w:t>18.3</w:t>
            </w:r>
          </w:p>
        </w:tc>
        <w:tc>
          <w:tcPr>
            <w:tcW w:w="992" w:type="dxa"/>
            <w:tcBorders>
              <w:bottom w:val="single" w:sz="6" w:space="0" w:color="auto"/>
            </w:tcBorders>
          </w:tcPr>
          <w:p w14:paraId="03CA129A" w14:textId="77777777" w:rsidR="00E51EAC" w:rsidRDefault="00182F93">
            <w:pPr>
              <w:cnfStyle w:val="000000000000" w:firstRow="0" w:lastRow="0" w:firstColumn="0" w:lastColumn="0" w:oddVBand="0" w:evenVBand="0" w:oddHBand="0" w:evenHBand="0" w:firstRowFirstColumn="0" w:firstRowLastColumn="0" w:lastRowFirstColumn="0" w:lastRowLastColumn="0"/>
            </w:pPr>
            <w:r>
              <w:t>0.9</w:t>
            </w:r>
          </w:p>
        </w:tc>
        <w:tc>
          <w:tcPr>
            <w:tcW w:w="992" w:type="dxa"/>
            <w:tcBorders>
              <w:bottom w:val="single" w:sz="6" w:space="0" w:color="auto"/>
            </w:tcBorders>
          </w:tcPr>
          <w:p w14:paraId="7A385B88" w14:textId="77777777" w:rsidR="00E51EAC" w:rsidRDefault="00182F93">
            <w:pPr>
              <w:cnfStyle w:val="000000000000" w:firstRow="0" w:lastRow="0" w:firstColumn="0" w:lastColumn="0" w:oddVBand="0" w:evenVBand="0" w:oddHBand="0" w:evenHBand="0" w:firstRowFirstColumn="0" w:firstRowLastColumn="0" w:lastRowFirstColumn="0" w:lastRowLastColumn="0"/>
            </w:pPr>
            <w:r>
              <w:t>17.4</w:t>
            </w:r>
          </w:p>
        </w:tc>
        <w:tc>
          <w:tcPr>
            <w:tcW w:w="992" w:type="dxa"/>
            <w:tcBorders>
              <w:bottom w:val="single" w:sz="6" w:space="0" w:color="auto"/>
            </w:tcBorders>
          </w:tcPr>
          <w:p w14:paraId="5F1C7C72" w14:textId="77777777" w:rsidR="00E51EAC" w:rsidRDefault="00182F93">
            <w:pPr>
              <w:cnfStyle w:val="000000000000" w:firstRow="0" w:lastRow="0" w:firstColumn="0" w:lastColumn="0" w:oddVBand="0" w:evenVBand="0" w:oddHBand="0" w:evenHBand="0" w:firstRowFirstColumn="0" w:firstRowLastColumn="0" w:lastRowFirstColumn="0" w:lastRowLastColumn="0"/>
            </w:pPr>
            <w:r>
              <w:t>0.1</w:t>
            </w:r>
          </w:p>
        </w:tc>
        <w:tc>
          <w:tcPr>
            <w:tcW w:w="1133" w:type="dxa"/>
            <w:tcBorders>
              <w:bottom w:val="single" w:sz="6" w:space="0" w:color="auto"/>
            </w:tcBorders>
          </w:tcPr>
          <w:p w14:paraId="62DF0DFC" w14:textId="77777777" w:rsidR="00E51EAC" w:rsidRDefault="00182F93">
            <w:pPr>
              <w:cnfStyle w:val="000000000000" w:firstRow="0" w:lastRow="0" w:firstColumn="0" w:lastColumn="0" w:oddVBand="0" w:evenVBand="0" w:oddHBand="0" w:evenHBand="0" w:firstRowFirstColumn="0" w:firstRowLastColumn="0" w:lastRowFirstColumn="0" w:lastRowLastColumn="0"/>
            </w:pPr>
            <w:r>
              <w:t>18.2</w:t>
            </w:r>
          </w:p>
        </w:tc>
      </w:tr>
      <w:tr w:rsidR="00E51EAC" w14:paraId="3C32F8C9"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tcBorders>
          </w:tcPr>
          <w:p w14:paraId="01A93894" w14:textId="77777777" w:rsidR="00E51EAC" w:rsidRDefault="00182F93">
            <w:r>
              <w:rPr>
                <w:b/>
              </w:rPr>
              <w:t>Net debt plus superannuation liabilities</w:t>
            </w:r>
          </w:p>
        </w:tc>
        <w:tc>
          <w:tcPr>
            <w:tcW w:w="993" w:type="dxa"/>
            <w:tcBorders>
              <w:top w:val="single" w:sz="6" w:space="0" w:color="auto"/>
            </w:tcBorders>
          </w:tcPr>
          <w:p w14:paraId="53EC3E8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193.5</w:t>
            </w:r>
          </w:p>
        </w:tc>
        <w:tc>
          <w:tcPr>
            <w:tcW w:w="992" w:type="dxa"/>
            <w:tcBorders>
              <w:top w:val="single" w:sz="6" w:space="0" w:color="auto"/>
            </w:tcBorders>
          </w:tcPr>
          <w:p w14:paraId="2928E80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(5.7)</w:t>
            </w:r>
          </w:p>
        </w:tc>
        <w:tc>
          <w:tcPr>
            <w:tcW w:w="992" w:type="dxa"/>
            <w:tcBorders>
              <w:top w:val="single" w:sz="6" w:space="0" w:color="auto"/>
            </w:tcBorders>
          </w:tcPr>
          <w:p w14:paraId="2159AE4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199.2</w:t>
            </w:r>
          </w:p>
        </w:tc>
        <w:tc>
          <w:tcPr>
            <w:tcW w:w="992" w:type="dxa"/>
            <w:tcBorders>
              <w:top w:val="single" w:sz="6" w:space="0" w:color="auto"/>
            </w:tcBorders>
          </w:tcPr>
          <w:p w14:paraId="087ED46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20.0</w:t>
            </w:r>
          </w:p>
        </w:tc>
        <w:tc>
          <w:tcPr>
            <w:tcW w:w="1133" w:type="dxa"/>
            <w:tcBorders>
              <w:top w:val="single" w:sz="6" w:space="0" w:color="auto"/>
            </w:tcBorders>
          </w:tcPr>
          <w:p w14:paraId="04A800C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173.5</w:t>
            </w:r>
          </w:p>
        </w:tc>
      </w:tr>
      <w:tr w:rsidR="00E51EAC" w14:paraId="63DDAE66" w14:textId="77777777">
        <w:tc>
          <w:tcPr>
            <w:cnfStyle w:val="001000000000" w:firstRow="0" w:lastRow="0" w:firstColumn="1" w:lastColumn="0" w:oddVBand="0" w:evenVBand="0" w:oddHBand="0" w:evenHBand="0" w:firstRowFirstColumn="0" w:firstRowLastColumn="0" w:lastRowFirstColumn="0" w:lastRowLastColumn="0"/>
            <w:tcW w:w="4536" w:type="dxa"/>
          </w:tcPr>
          <w:p w14:paraId="0A7F01BA" w14:textId="77777777" w:rsidR="00E51EAC" w:rsidRDefault="00182F93">
            <w:r>
              <w:t>Other liabilities (net)</w:t>
            </w:r>
            <w:r>
              <w:rPr>
                <w:vertAlign w:val="superscript"/>
              </w:rPr>
              <w:t xml:space="preserve"> (a)</w:t>
            </w:r>
          </w:p>
        </w:tc>
        <w:tc>
          <w:tcPr>
            <w:tcW w:w="993" w:type="dxa"/>
          </w:tcPr>
          <w:p w14:paraId="4571F3B8" w14:textId="77777777" w:rsidR="00E51EAC" w:rsidRDefault="00182F93">
            <w:pPr>
              <w:cnfStyle w:val="000000000000" w:firstRow="0" w:lastRow="0" w:firstColumn="0" w:lastColumn="0" w:oddVBand="0" w:evenVBand="0" w:oddHBand="0" w:evenHBand="0" w:firstRowFirstColumn="0" w:firstRowLastColumn="0" w:lastRowFirstColumn="0" w:lastRowLastColumn="0"/>
            </w:pPr>
            <w:r>
              <w:t>43.0</w:t>
            </w:r>
          </w:p>
        </w:tc>
        <w:tc>
          <w:tcPr>
            <w:tcW w:w="992" w:type="dxa"/>
          </w:tcPr>
          <w:p w14:paraId="3F9FA7B2" w14:textId="77777777" w:rsidR="00E51EAC" w:rsidRDefault="00182F93">
            <w:pPr>
              <w:cnfStyle w:val="000000000000" w:firstRow="0" w:lastRow="0" w:firstColumn="0" w:lastColumn="0" w:oddVBand="0" w:evenVBand="0" w:oddHBand="0" w:evenHBand="0" w:firstRowFirstColumn="0" w:firstRowLastColumn="0" w:lastRowFirstColumn="0" w:lastRowLastColumn="0"/>
            </w:pPr>
            <w:r>
              <w:t>1.6</w:t>
            </w:r>
          </w:p>
        </w:tc>
        <w:tc>
          <w:tcPr>
            <w:tcW w:w="992" w:type="dxa"/>
          </w:tcPr>
          <w:p w14:paraId="6AF126F0" w14:textId="77777777" w:rsidR="00E51EAC" w:rsidRDefault="00182F93">
            <w:pPr>
              <w:cnfStyle w:val="000000000000" w:firstRow="0" w:lastRow="0" w:firstColumn="0" w:lastColumn="0" w:oddVBand="0" w:evenVBand="0" w:oddHBand="0" w:evenHBand="0" w:firstRowFirstColumn="0" w:firstRowLastColumn="0" w:lastRowFirstColumn="0" w:lastRowLastColumn="0"/>
            </w:pPr>
            <w:r>
              <w:t>41.4</w:t>
            </w:r>
          </w:p>
        </w:tc>
        <w:tc>
          <w:tcPr>
            <w:tcW w:w="992" w:type="dxa"/>
          </w:tcPr>
          <w:p w14:paraId="406FA5C5"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63755A7" w14:textId="77777777" w:rsidR="00E51EAC" w:rsidRDefault="00182F93">
            <w:pPr>
              <w:cnfStyle w:val="000000000000" w:firstRow="0" w:lastRow="0" w:firstColumn="0" w:lastColumn="0" w:oddVBand="0" w:evenVBand="0" w:oddHBand="0" w:evenHBand="0" w:firstRowFirstColumn="0" w:firstRowLastColumn="0" w:lastRowFirstColumn="0" w:lastRowLastColumn="0"/>
            </w:pPr>
            <w:r>
              <w:t>43.0</w:t>
            </w:r>
          </w:p>
        </w:tc>
      </w:tr>
      <w:tr w:rsidR="00E51EAC" w14:paraId="483AEBAE"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bottom w:val="single" w:sz="12" w:space="0" w:color="auto"/>
            </w:tcBorders>
          </w:tcPr>
          <w:p w14:paraId="4A786AE0" w14:textId="77777777" w:rsidR="00E51EAC" w:rsidRDefault="00182F93">
            <w:r>
              <w:rPr>
                <w:b/>
              </w:rPr>
              <w:t>Net financial liabilities</w:t>
            </w:r>
            <w:r>
              <w:rPr>
                <w:b/>
                <w:vertAlign w:val="superscript"/>
              </w:rPr>
              <w:t xml:space="preserve"> (b)</w:t>
            </w:r>
          </w:p>
        </w:tc>
        <w:tc>
          <w:tcPr>
            <w:tcW w:w="993" w:type="dxa"/>
            <w:tcBorders>
              <w:bottom w:val="single" w:sz="12" w:space="0" w:color="auto"/>
            </w:tcBorders>
          </w:tcPr>
          <w:p w14:paraId="08A8FBD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236.5</w:t>
            </w:r>
          </w:p>
        </w:tc>
        <w:tc>
          <w:tcPr>
            <w:tcW w:w="992" w:type="dxa"/>
            <w:tcBorders>
              <w:bottom w:val="single" w:sz="12" w:space="0" w:color="auto"/>
            </w:tcBorders>
          </w:tcPr>
          <w:p w14:paraId="55D1AF6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(4.1)</w:t>
            </w:r>
          </w:p>
        </w:tc>
        <w:tc>
          <w:tcPr>
            <w:tcW w:w="992" w:type="dxa"/>
            <w:tcBorders>
              <w:bottom w:val="single" w:sz="12" w:space="0" w:color="auto"/>
            </w:tcBorders>
          </w:tcPr>
          <w:p w14:paraId="684410B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240.6</w:t>
            </w:r>
          </w:p>
        </w:tc>
        <w:tc>
          <w:tcPr>
            <w:tcW w:w="992" w:type="dxa"/>
            <w:tcBorders>
              <w:bottom w:val="single" w:sz="12" w:space="0" w:color="auto"/>
            </w:tcBorders>
          </w:tcPr>
          <w:p w14:paraId="1642ED3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19.9</w:t>
            </w:r>
          </w:p>
        </w:tc>
        <w:tc>
          <w:tcPr>
            <w:tcW w:w="1133" w:type="dxa"/>
            <w:tcBorders>
              <w:bottom w:val="single" w:sz="12" w:space="0" w:color="auto"/>
            </w:tcBorders>
          </w:tcPr>
          <w:p w14:paraId="2093268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216.5</w:t>
            </w:r>
          </w:p>
        </w:tc>
      </w:tr>
      <w:tr w:rsidR="00E51EAC" w14:paraId="7918AE30"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0" w:space="0" w:color="auto"/>
            </w:tcBorders>
          </w:tcPr>
          <w:p w14:paraId="177040BD" w14:textId="77777777" w:rsidR="00E51EAC" w:rsidRDefault="00E51EAC" w:rsidP="00DE1E51">
            <w:pPr>
              <w:spacing w:before="120"/>
            </w:pPr>
          </w:p>
        </w:tc>
        <w:tc>
          <w:tcPr>
            <w:tcW w:w="993" w:type="dxa"/>
            <w:tcBorders>
              <w:top w:val="single" w:sz="0" w:space="0" w:color="auto"/>
            </w:tcBorders>
          </w:tcPr>
          <w:p w14:paraId="487053EC" w14:textId="77777777" w:rsidR="00E51EAC" w:rsidRDefault="00E51EAC" w:rsidP="00DE1E51">
            <w:pPr>
              <w:spacing w:before="120"/>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18506698" w14:textId="77777777" w:rsidR="00E51EAC" w:rsidRDefault="00E51EAC" w:rsidP="00DE1E51">
            <w:pPr>
              <w:spacing w:before="120"/>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5F7C913C" w14:textId="77777777" w:rsidR="00E51EAC" w:rsidRDefault="00E51EAC" w:rsidP="00DE1E51">
            <w:pPr>
              <w:spacing w:before="120"/>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48DC9798" w14:textId="77777777" w:rsidR="00E51EAC" w:rsidRDefault="00E51EAC" w:rsidP="00DE1E51">
            <w:pPr>
              <w:spacing w:before="120"/>
              <w:cnfStyle w:val="000000000000" w:firstRow="0" w:lastRow="0" w:firstColumn="0" w:lastColumn="0" w:oddVBand="0" w:evenVBand="0" w:oddHBand="0" w:evenHBand="0" w:firstRowFirstColumn="0" w:firstRowLastColumn="0" w:lastRowFirstColumn="0" w:lastRowLastColumn="0"/>
            </w:pPr>
          </w:p>
        </w:tc>
        <w:tc>
          <w:tcPr>
            <w:tcW w:w="1133" w:type="dxa"/>
            <w:tcBorders>
              <w:top w:val="single" w:sz="0" w:space="0" w:color="auto"/>
            </w:tcBorders>
          </w:tcPr>
          <w:p w14:paraId="51B0722B" w14:textId="77777777" w:rsidR="00E51EAC" w:rsidRDefault="00182F93" w:rsidP="00DE1E51">
            <w:pPr>
              <w:pStyle w:val="TableUnits"/>
              <w:spacing w:before="120"/>
              <w:cnfStyle w:val="000000000000" w:firstRow="0" w:lastRow="0" w:firstColumn="0" w:lastColumn="0" w:oddVBand="0" w:evenVBand="0" w:oddHBand="0" w:evenHBand="0" w:firstRowFirstColumn="0" w:firstRowLastColumn="0" w:lastRowFirstColumn="0" w:lastRowLastColumn="0"/>
            </w:pPr>
            <w:r>
              <w:t>(per cent)</w:t>
            </w:r>
          </w:p>
        </w:tc>
      </w:tr>
      <w:tr w:rsidR="00E51EAC" w14:paraId="616C3786"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bottom w:val="single" w:sz="6" w:space="0" w:color="auto"/>
            </w:tcBorders>
          </w:tcPr>
          <w:p w14:paraId="42DF6E15" w14:textId="77777777" w:rsidR="00E51EAC" w:rsidRDefault="00182F93">
            <w:r>
              <w:rPr>
                <w:b/>
              </w:rPr>
              <w:t>Net debt to GSP</w:t>
            </w:r>
            <w:r>
              <w:rPr>
                <w:b/>
                <w:vertAlign w:val="superscript"/>
              </w:rPr>
              <w:t xml:space="preserve"> (c)</w:t>
            </w:r>
          </w:p>
        </w:tc>
        <w:tc>
          <w:tcPr>
            <w:tcW w:w="993" w:type="dxa"/>
            <w:tcBorders>
              <w:bottom w:val="single" w:sz="6" w:space="0" w:color="auto"/>
            </w:tcBorders>
          </w:tcPr>
          <w:p w14:paraId="108F053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27.6</w:t>
            </w:r>
          </w:p>
        </w:tc>
        <w:tc>
          <w:tcPr>
            <w:tcW w:w="992" w:type="dxa"/>
            <w:tcBorders>
              <w:bottom w:val="single" w:sz="6" w:space="0" w:color="auto"/>
            </w:tcBorders>
          </w:tcPr>
          <w:p w14:paraId="59C7731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w:t>
            </w:r>
          </w:p>
        </w:tc>
        <w:tc>
          <w:tcPr>
            <w:tcW w:w="992" w:type="dxa"/>
            <w:tcBorders>
              <w:bottom w:val="single" w:sz="6" w:space="0" w:color="auto"/>
            </w:tcBorders>
          </w:tcPr>
          <w:p w14:paraId="5397BD2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28.6</w:t>
            </w:r>
          </w:p>
        </w:tc>
        <w:tc>
          <w:tcPr>
            <w:tcW w:w="992" w:type="dxa"/>
            <w:tcBorders>
              <w:bottom w:val="single" w:sz="6" w:space="0" w:color="auto"/>
            </w:tcBorders>
          </w:tcPr>
          <w:p w14:paraId="7F3F918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w:t>
            </w:r>
          </w:p>
        </w:tc>
        <w:tc>
          <w:tcPr>
            <w:tcW w:w="1133" w:type="dxa"/>
            <w:tcBorders>
              <w:bottom w:val="single" w:sz="6" w:space="0" w:color="auto"/>
            </w:tcBorders>
          </w:tcPr>
          <w:p w14:paraId="44BEA92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25.6</w:t>
            </w:r>
          </w:p>
        </w:tc>
      </w:tr>
      <w:tr w:rsidR="00E51EAC" w14:paraId="467AD732"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6" w:space="0" w:color="auto"/>
            </w:tcBorders>
          </w:tcPr>
          <w:p w14:paraId="0F9B0146" w14:textId="77777777" w:rsidR="00E51EAC" w:rsidRDefault="00182F93">
            <w:r>
              <w:rPr>
                <w:b/>
              </w:rPr>
              <w:t>Net debt plus superannuation liabilities to GSP</w:t>
            </w:r>
            <w:r>
              <w:rPr>
                <w:b/>
                <w:vertAlign w:val="superscript"/>
              </w:rPr>
              <w:t xml:space="preserve"> (c)</w:t>
            </w:r>
          </w:p>
        </w:tc>
        <w:tc>
          <w:tcPr>
            <w:tcW w:w="993" w:type="dxa"/>
            <w:tcBorders>
              <w:top w:val="single" w:sz="6" w:space="0" w:color="auto"/>
              <w:bottom w:val="single" w:sz="6" w:space="0" w:color="auto"/>
            </w:tcBorders>
          </w:tcPr>
          <w:p w14:paraId="488C9BF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30.4</w:t>
            </w:r>
          </w:p>
        </w:tc>
        <w:tc>
          <w:tcPr>
            <w:tcW w:w="992" w:type="dxa"/>
            <w:tcBorders>
              <w:top w:val="single" w:sz="6" w:space="0" w:color="auto"/>
              <w:bottom w:val="single" w:sz="6" w:space="0" w:color="auto"/>
            </w:tcBorders>
          </w:tcPr>
          <w:p w14:paraId="554936A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(0.9)</w:t>
            </w:r>
          </w:p>
        </w:tc>
        <w:tc>
          <w:tcPr>
            <w:tcW w:w="992" w:type="dxa"/>
            <w:tcBorders>
              <w:top w:val="single" w:sz="6" w:space="0" w:color="auto"/>
              <w:bottom w:val="single" w:sz="6" w:space="0" w:color="auto"/>
            </w:tcBorders>
          </w:tcPr>
          <w:p w14:paraId="74C2037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31.3</w:t>
            </w:r>
          </w:p>
        </w:tc>
        <w:tc>
          <w:tcPr>
            <w:tcW w:w="992" w:type="dxa"/>
            <w:tcBorders>
              <w:top w:val="single" w:sz="6" w:space="0" w:color="auto"/>
              <w:bottom w:val="single" w:sz="6" w:space="0" w:color="auto"/>
            </w:tcBorders>
          </w:tcPr>
          <w:p w14:paraId="520C274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w:t>
            </w:r>
          </w:p>
        </w:tc>
        <w:tc>
          <w:tcPr>
            <w:tcW w:w="1133" w:type="dxa"/>
            <w:tcBorders>
              <w:top w:val="single" w:sz="6" w:space="0" w:color="auto"/>
              <w:bottom w:val="single" w:sz="6" w:space="0" w:color="auto"/>
            </w:tcBorders>
          </w:tcPr>
          <w:p w14:paraId="374AAA7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28.6</w:t>
            </w:r>
          </w:p>
        </w:tc>
      </w:tr>
      <w:tr w:rsidR="00E51EAC" w14:paraId="56E28401" w14:textId="77777777" w:rsidTr="00E51EAC">
        <w:tc>
          <w:tcPr>
            <w:cnfStyle w:val="001000000000" w:firstRow="0" w:lastRow="0" w:firstColumn="1" w:lastColumn="0" w:oddVBand="0" w:evenVBand="0" w:oddHBand="0" w:evenHBand="0" w:firstRowFirstColumn="0" w:firstRowLastColumn="0" w:lastRowFirstColumn="0" w:lastRowLastColumn="0"/>
            <w:tcW w:w="4536" w:type="dxa"/>
            <w:tcBorders>
              <w:top w:val="single" w:sz="6" w:space="0" w:color="auto"/>
              <w:bottom w:val="single" w:sz="12" w:space="0" w:color="auto"/>
            </w:tcBorders>
          </w:tcPr>
          <w:p w14:paraId="719E80F0" w14:textId="77777777" w:rsidR="00E51EAC" w:rsidRDefault="00182F93">
            <w:r>
              <w:rPr>
                <w:b/>
              </w:rPr>
              <w:t>Net financial liabilities to GSP</w:t>
            </w:r>
            <w:r>
              <w:rPr>
                <w:b/>
                <w:vertAlign w:val="superscript"/>
              </w:rPr>
              <w:t xml:space="preserve"> (c)</w:t>
            </w:r>
          </w:p>
        </w:tc>
        <w:tc>
          <w:tcPr>
            <w:tcW w:w="993" w:type="dxa"/>
            <w:tcBorders>
              <w:top w:val="single" w:sz="6" w:space="0" w:color="auto"/>
              <w:bottom w:val="single" w:sz="12" w:space="0" w:color="auto"/>
            </w:tcBorders>
          </w:tcPr>
          <w:p w14:paraId="68C566F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37.2</w:t>
            </w:r>
          </w:p>
        </w:tc>
        <w:tc>
          <w:tcPr>
            <w:tcW w:w="992" w:type="dxa"/>
            <w:tcBorders>
              <w:top w:val="single" w:sz="6" w:space="0" w:color="auto"/>
              <w:bottom w:val="single" w:sz="12" w:space="0" w:color="auto"/>
            </w:tcBorders>
          </w:tcPr>
          <w:p w14:paraId="780C855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(0.6)</w:t>
            </w:r>
          </w:p>
        </w:tc>
        <w:tc>
          <w:tcPr>
            <w:tcW w:w="992" w:type="dxa"/>
            <w:tcBorders>
              <w:top w:val="single" w:sz="6" w:space="0" w:color="auto"/>
              <w:bottom w:val="single" w:sz="12" w:space="0" w:color="auto"/>
            </w:tcBorders>
          </w:tcPr>
          <w:p w14:paraId="1363885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37.8</w:t>
            </w:r>
          </w:p>
        </w:tc>
        <w:tc>
          <w:tcPr>
            <w:tcW w:w="992" w:type="dxa"/>
            <w:tcBorders>
              <w:top w:val="single" w:sz="6" w:space="0" w:color="auto"/>
              <w:bottom w:val="single" w:sz="12" w:space="0" w:color="auto"/>
            </w:tcBorders>
          </w:tcPr>
          <w:p w14:paraId="6C72144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w:t>
            </w:r>
          </w:p>
        </w:tc>
        <w:tc>
          <w:tcPr>
            <w:tcW w:w="1133" w:type="dxa"/>
            <w:tcBorders>
              <w:top w:val="single" w:sz="6" w:space="0" w:color="auto"/>
              <w:bottom w:val="single" w:sz="12" w:space="0" w:color="auto"/>
            </w:tcBorders>
          </w:tcPr>
          <w:p w14:paraId="6F81854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35.7</w:t>
            </w:r>
          </w:p>
        </w:tc>
      </w:tr>
    </w:tbl>
    <w:p w14:paraId="20D9893C" w14:textId="77777777" w:rsidR="00366656" w:rsidRPr="00200564" w:rsidRDefault="00366656" w:rsidP="00366656">
      <w:pPr>
        <w:pStyle w:val="Note"/>
      </w:pPr>
      <w:r>
        <w:t>N</w:t>
      </w:r>
      <w:r w:rsidRPr="00200564">
        <w:t>otes:</w:t>
      </w:r>
    </w:p>
    <w:p w14:paraId="49384A2F" w14:textId="49625F75" w:rsidR="00366656" w:rsidRDefault="00366656" w:rsidP="00366656">
      <w:pPr>
        <w:pStyle w:val="Note"/>
      </w:pPr>
      <w:r>
        <w:t>(</w:t>
      </w:r>
      <w:r w:rsidR="00FD1FA9">
        <w:t>a</w:t>
      </w:r>
      <w:r>
        <w:t>)</w:t>
      </w:r>
      <w:r>
        <w:tab/>
        <w:t>Other liabilities</w:t>
      </w:r>
      <w:r w:rsidR="000715E3">
        <w:t xml:space="preserve"> (net)</w:t>
      </w:r>
      <w:r>
        <w:t xml:space="preserve"> include other employee entitlements and provisions and other non-equity liabilities, less other non-equity financial assets.</w:t>
      </w:r>
    </w:p>
    <w:p w14:paraId="0F82C651" w14:textId="376E275E" w:rsidR="00366656" w:rsidRDefault="00366656" w:rsidP="00366656">
      <w:pPr>
        <w:pStyle w:val="Note"/>
      </w:pPr>
      <w:r>
        <w:t>(</w:t>
      </w:r>
      <w:r w:rsidR="00FD1FA9">
        <w:t>b</w:t>
      </w:r>
      <w:r>
        <w:t>)</w:t>
      </w:r>
      <w:r>
        <w:tab/>
      </w:r>
      <w:r w:rsidRPr="005C0052">
        <w:t>Net financial liabilities are total liabilities less financial assets (excluding investments in other sector entities)</w:t>
      </w:r>
      <w:r>
        <w:t>.</w:t>
      </w:r>
    </w:p>
    <w:p w14:paraId="26FED1B7" w14:textId="17E91273" w:rsidR="00366656" w:rsidRPr="00200564" w:rsidRDefault="00366656" w:rsidP="00366656">
      <w:pPr>
        <w:pStyle w:val="Note"/>
      </w:pPr>
      <w:r>
        <w:t>(</w:t>
      </w:r>
      <w:r w:rsidR="00FD1FA9">
        <w:t>c</w:t>
      </w:r>
      <w:r>
        <w:t>)</w:t>
      </w:r>
      <w:r>
        <w:tab/>
      </w:r>
      <w:r w:rsidRPr="00200564">
        <w:t>The ratios to GSP may vary from publications year to year due to revisions to the Australian Bureau of Statistics data.</w:t>
      </w:r>
    </w:p>
    <w:p w14:paraId="12BEB064" w14:textId="77777777" w:rsidR="00366656" w:rsidRDefault="00366656" w:rsidP="00097095"/>
    <w:p w14:paraId="2DC3BE7D" w14:textId="77777777" w:rsidR="00366656" w:rsidRPr="00200564" w:rsidRDefault="00366656" w:rsidP="00DE1E51">
      <w:pPr>
        <w:pStyle w:val="Heading2"/>
        <w:pageBreakBefore/>
      </w:pPr>
      <w:r w:rsidRPr="00BC108F">
        <w:lastRenderedPageBreak/>
        <w:t>Indicators of financial condition</w:t>
      </w:r>
    </w:p>
    <w:p w14:paraId="44818050"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7107DC90" w14:textId="77777777" w:rsidR="00366656" w:rsidRPr="00A04EEC" w:rsidRDefault="00366656" w:rsidP="00366656">
      <w:r w:rsidRPr="00A04EEC">
        <w:t xml:space="preserve">Table 3.4 shows the key indicators of financial sustainability for the NFPS. </w:t>
      </w:r>
    </w:p>
    <w:p w14:paraId="55A563E4" w14:textId="503459C8" w:rsidR="00366656" w:rsidRPr="003626D6" w:rsidRDefault="00366656" w:rsidP="00366656">
      <w:r w:rsidRPr="00A04EEC">
        <w:t xml:space="preserve">The operating cash flow surplus to revenue ratio is an indication of the extent to which the cash generated from </w:t>
      </w:r>
      <w:r w:rsidRPr="003626D6">
        <w:t xml:space="preserve">operations can be used to fund infrastructure. This ratio </w:t>
      </w:r>
      <w:r w:rsidR="00757AA3">
        <w:t>increased</w:t>
      </w:r>
      <w:r w:rsidRPr="003626D6">
        <w:t xml:space="preserve"> from 3.9 per cent in 2023-24 to </w:t>
      </w:r>
      <w:r w:rsidR="00757AA3">
        <w:t>4</w:t>
      </w:r>
      <w:r w:rsidRPr="003626D6">
        <w:t>.</w:t>
      </w:r>
      <w:r w:rsidR="00DC25A0">
        <w:t>3</w:t>
      </w:r>
      <w:r w:rsidRPr="003626D6">
        <w:t> per cent in 202</w:t>
      </w:r>
      <w:r w:rsidR="0091686E">
        <w:t>4</w:t>
      </w:r>
      <w:r w:rsidRPr="003626D6">
        <w:t>-2</w:t>
      </w:r>
      <w:r w:rsidR="0091686E">
        <w:t>5</w:t>
      </w:r>
      <w:r w:rsidRPr="003626D6">
        <w:t>. This was largely due to a $</w:t>
      </w:r>
      <w:r w:rsidR="0050389D">
        <w:t>834</w:t>
      </w:r>
      <w:r w:rsidRPr="003626D6">
        <w:t xml:space="preserve"> </w:t>
      </w:r>
      <w:r w:rsidR="00C62B6F">
        <w:t>m</w:t>
      </w:r>
      <w:r w:rsidRPr="003626D6">
        <w:t xml:space="preserve">illion </w:t>
      </w:r>
      <w:r w:rsidR="00E47E0C">
        <w:t>i</w:t>
      </w:r>
      <w:r w:rsidR="00E47E0C" w:rsidRPr="003626D6">
        <w:t>ncrease</w:t>
      </w:r>
      <w:r w:rsidRPr="003626D6">
        <w:t xml:space="preserve"> in net cash flows from operating activities which primarily related to the general government sector and is discussed in the previous chapter. </w:t>
      </w:r>
    </w:p>
    <w:p w14:paraId="44F60B1A" w14:textId="118B56F5" w:rsidR="00366656" w:rsidRPr="003626D6" w:rsidRDefault="00366656" w:rsidP="00366656">
      <w:r w:rsidRPr="003626D6">
        <w:t>The gross debt to revenue ratio, which indicates the State</w:t>
      </w:r>
      <w:r w:rsidR="00845934">
        <w:t>’</w:t>
      </w:r>
      <w:r w:rsidRPr="003626D6">
        <w:t xml:space="preserve">s overall debt burden, increased </w:t>
      </w:r>
      <w:r w:rsidR="00EC7B66">
        <w:t>from 188.4</w:t>
      </w:r>
      <w:r w:rsidR="00561035">
        <w:t> </w:t>
      </w:r>
      <w:r w:rsidR="00EC7B66">
        <w:t xml:space="preserve">per cent at 30 June 2024 </w:t>
      </w:r>
      <w:r w:rsidRPr="003626D6">
        <w:t>to 1</w:t>
      </w:r>
      <w:r w:rsidR="001E0E8F">
        <w:t>9</w:t>
      </w:r>
      <w:r w:rsidR="002C3B4E">
        <w:t>3.6</w:t>
      </w:r>
      <w:r w:rsidRPr="003626D6">
        <w:t> per cent as at 30 June 202</w:t>
      </w:r>
      <w:r w:rsidR="001E0E8F">
        <w:t>5</w:t>
      </w:r>
      <w:r w:rsidR="00EC7B66">
        <w:t xml:space="preserve">. This increase was primarily due to the </w:t>
      </w:r>
      <w:r w:rsidRPr="003626D6">
        <w:t>increase in borrowings</w:t>
      </w:r>
      <w:r w:rsidR="00EC7B66">
        <w:t xml:space="preserve"> to fund the Government</w:t>
      </w:r>
      <w:r w:rsidR="00845934">
        <w:t>’</w:t>
      </w:r>
      <w:r w:rsidR="00EC7B66">
        <w:t>s infrastructure program</w:t>
      </w:r>
      <w:r w:rsidRPr="003626D6">
        <w:t>.</w:t>
      </w:r>
    </w:p>
    <w:p w14:paraId="2E14C627" w14:textId="43104E20" w:rsidR="00366656" w:rsidRDefault="00366656" w:rsidP="00366656">
      <w:r w:rsidRPr="003626D6">
        <w:t>The NFPS interest expense to revenue ratio, a measure of the State</w:t>
      </w:r>
      <w:r w:rsidR="00845934">
        <w:t>’</w:t>
      </w:r>
      <w:r w:rsidRPr="003626D6">
        <w:t>s debt service burden, has increased since 2021-22 due to increases in debt and the higher interest rate environment</w:t>
      </w:r>
      <w:r w:rsidR="00EC7B66">
        <w:t xml:space="preserve"> </w:t>
      </w:r>
      <w:r w:rsidR="008204F7">
        <w:t xml:space="preserve">and was </w:t>
      </w:r>
      <w:r w:rsidR="00931855">
        <w:t>6.7 per cent at 30 June 2025</w:t>
      </w:r>
      <w:r w:rsidRPr="003626D6">
        <w:t>.</w:t>
      </w:r>
    </w:p>
    <w:p w14:paraId="1E04BE62" w14:textId="77777777" w:rsidR="00DE1E51" w:rsidRDefault="00DE1E51" w:rsidP="00366656">
      <w:pPr>
        <w:pStyle w:val="TableHeading"/>
      </w:pPr>
    </w:p>
    <w:p w14:paraId="37245B8C" w14:textId="77777777" w:rsidR="00DE1E51" w:rsidRPr="00DE1E51" w:rsidRDefault="00DE1E51" w:rsidP="00DE1E51">
      <w:pPr>
        <w:sectPr w:rsidR="00DE1E51" w:rsidRPr="00DE1E51" w:rsidSect="00DE1E51">
          <w:type w:val="continuous"/>
          <w:pgSz w:w="11906" w:h="16838" w:code="9"/>
          <w:pgMar w:top="1134" w:right="1134" w:bottom="1134" w:left="1134" w:header="624" w:footer="567" w:gutter="0"/>
          <w:cols w:num="2" w:space="708"/>
          <w:docGrid w:linePitch="360"/>
        </w:sectPr>
      </w:pPr>
    </w:p>
    <w:p w14:paraId="119ADFEF" w14:textId="1059A65D" w:rsidR="00366656" w:rsidRDefault="00366656" w:rsidP="00366656">
      <w:pPr>
        <w:pStyle w:val="TableHeading"/>
      </w:pPr>
      <w:r w:rsidRPr="00200564">
        <w:t>Table 3.4:</w:t>
      </w:r>
      <w:r w:rsidRPr="00200564">
        <w:tab/>
        <w:t>Indicators of financial condition for NFPS</w:t>
      </w:r>
      <w:r w:rsidRPr="00200564">
        <w:tab/>
        <w:t>(per cent)</w:t>
      </w:r>
    </w:p>
    <w:tbl>
      <w:tblPr>
        <w:tblStyle w:val="DTFTableNumeric"/>
        <w:tblW w:w="9638" w:type="dxa"/>
        <w:tblLayout w:type="fixed"/>
        <w:tblLook w:val="06A0" w:firstRow="1" w:lastRow="0" w:firstColumn="1" w:lastColumn="0" w:noHBand="1" w:noVBand="1"/>
        <w:tblDescription w:val="Type:DtfTable|Workbook:https://vicgov.sharepoint.com/sites/VG002733/Annual%20Financial%20Report/CRA%20Coordination/Financial%20Statements/Manual%20Reports/Chp%203/Link_AFR_Chapter3.xlsx|Table:FinPosIndicators_NFPS"/>
      </w:tblPr>
      <w:tblGrid>
        <w:gridCol w:w="2610"/>
        <w:gridCol w:w="780"/>
        <w:gridCol w:w="781"/>
        <w:gridCol w:w="781"/>
        <w:gridCol w:w="781"/>
        <w:gridCol w:w="781"/>
        <w:gridCol w:w="781"/>
        <w:gridCol w:w="781"/>
        <w:gridCol w:w="781"/>
        <w:gridCol w:w="781"/>
      </w:tblGrid>
      <w:tr w:rsidR="009132A6" w14:paraId="487C8FC5"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0" w:type="dxa"/>
            <w:tcBorders>
              <w:bottom w:val="single" w:sz="6" w:space="0" w:color="auto"/>
            </w:tcBorders>
          </w:tcPr>
          <w:p w14:paraId="4AEEEF68" w14:textId="77777777" w:rsidR="00E51EAC" w:rsidRDefault="00E51EAC">
            <w:pPr>
              <w:keepNext/>
            </w:pPr>
          </w:p>
        </w:tc>
        <w:tc>
          <w:tcPr>
            <w:tcW w:w="780" w:type="dxa"/>
            <w:tcBorders>
              <w:bottom w:val="single" w:sz="6" w:space="0" w:color="auto"/>
            </w:tcBorders>
          </w:tcPr>
          <w:p w14:paraId="4B6348D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2017</w:t>
            </w:r>
          </w:p>
        </w:tc>
        <w:tc>
          <w:tcPr>
            <w:tcW w:w="781" w:type="dxa"/>
            <w:tcBorders>
              <w:bottom w:val="single" w:sz="6" w:space="0" w:color="auto"/>
            </w:tcBorders>
          </w:tcPr>
          <w:p w14:paraId="3AEE34B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2018</w:t>
            </w:r>
          </w:p>
        </w:tc>
        <w:tc>
          <w:tcPr>
            <w:tcW w:w="781" w:type="dxa"/>
            <w:tcBorders>
              <w:bottom w:val="single" w:sz="6" w:space="0" w:color="auto"/>
            </w:tcBorders>
          </w:tcPr>
          <w:p w14:paraId="5F6893A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2019</w:t>
            </w:r>
          </w:p>
        </w:tc>
        <w:tc>
          <w:tcPr>
            <w:tcW w:w="781" w:type="dxa"/>
            <w:tcBorders>
              <w:bottom w:val="single" w:sz="6" w:space="0" w:color="auto"/>
            </w:tcBorders>
          </w:tcPr>
          <w:p w14:paraId="49F4C189"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2020</w:t>
            </w:r>
          </w:p>
        </w:tc>
        <w:tc>
          <w:tcPr>
            <w:tcW w:w="781" w:type="dxa"/>
            <w:tcBorders>
              <w:bottom w:val="single" w:sz="6" w:space="0" w:color="auto"/>
            </w:tcBorders>
          </w:tcPr>
          <w:p w14:paraId="4DB17F2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2021</w:t>
            </w:r>
          </w:p>
        </w:tc>
        <w:tc>
          <w:tcPr>
            <w:tcW w:w="781" w:type="dxa"/>
            <w:tcBorders>
              <w:bottom w:val="single" w:sz="6" w:space="0" w:color="auto"/>
            </w:tcBorders>
          </w:tcPr>
          <w:p w14:paraId="2D67177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2022</w:t>
            </w:r>
          </w:p>
        </w:tc>
        <w:tc>
          <w:tcPr>
            <w:tcW w:w="781" w:type="dxa"/>
            <w:tcBorders>
              <w:bottom w:val="single" w:sz="6" w:space="0" w:color="auto"/>
            </w:tcBorders>
          </w:tcPr>
          <w:p w14:paraId="66FB069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2023</w:t>
            </w:r>
          </w:p>
        </w:tc>
        <w:tc>
          <w:tcPr>
            <w:tcW w:w="781" w:type="dxa"/>
            <w:tcBorders>
              <w:bottom w:val="single" w:sz="6" w:space="0" w:color="auto"/>
            </w:tcBorders>
          </w:tcPr>
          <w:p w14:paraId="4738C61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c>
          <w:tcPr>
            <w:tcW w:w="781" w:type="dxa"/>
            <w:tcBorders>
              <w:bottom w:val="single" w:sz="6" w:space="0" w:color="auto"/>
            </w:tcBorders>
          </w:tcPr>
          <w:p w14:paraId="681353A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r>
      <w:tr w:rsidR="00E51EAC" w14:paraId="3AE00FBA" w14:textId="77777777" w:rsidTr="00E51EAC">
        <w:tc>
          <w:tcPr>
            <w:cnfStyle w:val="001000000000" w:firstRow="0" w:lastRow="0" w:firstColumn="1" w:lastColumn="0" w:oddVBand="0" w:evenVBand="0" w:oddHBand="0" w:evenHBand="0" w:firstRowFirstColumn="0" w:firstRowLastColumn="0" w:lastRowFirstColumn="0" w:lastRowLastColumn="0"/>
            <w:tcW w:w="2610" w:type="dxa"/>
            <w:tcBorders>
              <w:top w:val="single" w:sz="6" w:space="0" w:color="auto"/>
            </w:tcBorders>
          </w:tcPr>
          <w:p w14:paraId="6DA4668F" w14:textId="77777777" w:rsidR="00E51EAC" w:rsidRDefault="00182F93">
            <w:r>
              <w:t>Operating cash flow surplus to revenue</w:t>
            </w:r>
          </w:p>
        </w:tc>
        <w:tc>
          <w:tcPr>
            <w:tcW w:w="780" w:type="dxa"/>
            <w:tcBorders>
              <w:top w:val="single" w:sz="6" w:space="0" w:color="auto"/>
            </w:tcBorders>
          </w:tcPr>
          <w:p w14:paraId="56FF6EAA" w14:textId="77777777" w:rsidR="00E51EAC" w:rsidRDefault="00182F93">
            <w:pPr>
              <w:cnfStyle w:val="000000000000" w:firstRow="0" w:lastRow="0" w:firstColumn="0" w:lastColumn="0" w:oddVBand="0" w:evenVBand="0" w:oddHBand="0" w:evenHBand="0" w:firstRowFirstColumn="0" w:firstRowLastColumn="0" w:lastRowFirstColumn="0" w:lastRowLastColumn="0"/>
            </w:pPr>
            <w:r>
              <w:t>24.4</w:t>
            </w:r>
          </w:p>
        </w:tc>
        <w:tc>
          <w:tcPr>
            <w:tcW w:w="781" w:type="dxa"/>
            <w:tcBorders>
              <w:top w:val="single" w:sz="6" w:space="0" w:color="auto"/>
            </w:tcBorders>
          </w:tcPr>
          <w:p w14:paraId="20454D32" w14:textId="77777777" w:rsidR="00E51EAC" w:rsidRDefault="00182F93">
            <w:pPr>
              <w:cnfStyle w:val="000000000000" w:firstRow="0" w:lastRow="0" w:firstColumn="0" w:lastColumn="0" w:oddVBand="0" w:evenVBand="0" w:oddHBand="0" w:evenHBand="0" w:firstRowFirstColumn="0" w:firstRowLastColumn="0" w:lastRowFirstColumn="0" w:lastRowLastColumn="0"/>
            </w:pPr>
            <w:r>
              <w:t>8.7</w:t>
            </w:r>
          </w:p>
        </w:tc>
        <w:tc>
          <w:tcPr>
            <w:tcW w:w="781" w:type="dxa"/>
            <w:tcBorders>
              <w:top w:val="single" w:sz="6" w:space="0" w:color="auto"/>
            </w:tcBorders>
          </w:tcPr>
          <w:p w14:paraId="1DAF3E0C" w14:textId="77777777" w:rsidR="00E51EAC" w:rsidRDefault="00182F93">
            <w:pPr>
              <w:cnfStyle w:val="000000000000" w:firstRow="0" w:lastRow="0" w:firstColumn="0" w:lastColumn="0" w:oddVBand="0" w:evenVBand="0" w:oddHBand="0" w:evenHBand="0" w:firstRowFirstColumn="0" w:firstRowLastColumn="0" w:lastRowFirstColumn="0" w:lastRowLastColumn="0"/>
            </w:pPr>
            <w:r>
              <w:t>12.4</w:t>
            </w:r>
          </w:p>
        </w:tc>
        <w:tc>
          <w:tcPr>
            <w:tcW w:w="781" w:type="dxa"/>
            <w:tcBorders>
              <w:top w:val="single" w:sz="6" w:space="0" w:color="auto"/>
            </w:tcBorders>
          </w:tcPr>
          <w:p w14:paraId="66EC25C1" w14:textId="77777777" w:rsidR="00E51EAC" w:rsidRDefault="00182F93">
            <w:pPr>
              <w:cnfStyle w:val="000000000000" w:firstRow="0" w:lastRow="0" w:firstColumn="0" w:lastColumn="0" w:oddVBand="0" w:evenVBand="0" w:oddHBand="0" w:evenHBand="0" w:firstRowFirstColumn="0" w:firstRowLastColumn="0" w:lastRowFirstColumn="0" w:lastRowLastColumn="0"/>
            </w:pPr>
            <w:r>
              <w:t>(2.2)</w:t>
            </w:r>
          </w:p>
        </w:tc>
        <w:tc>
          <w:tcPr>
            <w:tcW w:w="781" w:type="dxa"/>
            <w:tcBorders>
              <w:top w:val="single" w:sz="6" w:space="0" w:color="auto"/>
            </w:tcBorders>
          </w:tcPr>
          <w:p w14:paraId="0C713D53" w14:textId="77777777" w:rsidR="00E51EAC" w:rsidRDefault="00182F93">
            <w:pPr>
              <w:cnfStyle w:val="000000000000" w:firstRow="0" w:lastRow="0" w:firstColumn="0" w:lastColumn="0" w:oddVBand="0" w:evenVBand="0" w:oddHBand="0" w:evenHBand="0" w:firstRowFirstColumn="0" w:firstRowLastColumn="0" w:lastRowFirstColumn="0" w:lastRowLastColumn="0"/>
            </w:pPr>
            <w:r>
              <w:t>(13.9)</w:t>
            </w:r>
          </w:p>
        </w:tc>
        <w:tc>
          <w:tcPr>
            <w:tcW w:w="781" w:type="dxa"/>
            <w:tcBorders>
              <w:top w:val="single" w:sz="6" w:space="0" w:color="auto"/>
            </w:tcBorders>
          </w:tcPr>
          <w:p w14:paraId="6F4A5551" w14:textId="77777777" w:rsidR="00E51EAC" w:rsidRDefault="00182F93">
            <w:pPr>
              <w:cnfStyle w:val="000000000000" w:firstRow="0" w:lastRow="0" w:firstColumn="0" w:lastColumn="0" w:oddVBand="0" w:evenVBand="0" w:oddHBand="0" w:evenHBand="0" w:firstRowFirstColumn="0" w:firstRowLastColumn="0" w:lastRowFirstColumn="0" w:lastRowLastColumn="0"/>
            </w:pPr>
            <w:r>
              <w:t>(7.8)</w:t>
            </w:r>
          </w:p>
        </w:tc>
        <w:tc>
          <w:tcPr>
            <w:tcW w:w="781" w:type="dxa"/>
            <w:tcBorders>
              <w:top w:val="single" w:sz="6" w:space="0" w:color="auto"/>
            </w:tcBorders>
          </w:tcPr>
          <w:p w14:paraId="11B7FF29" w14:textId="77777777" w:rsidR="00E51EAC" w:rsidRDefault="00182F93">
            <w:pPr>
              <w:cnfStyle w:val="000000000000" w:firstRow="0" w:lastRow="0" w:firstColumn="0" w:lastColumn="0" w:oddVBand="0" w:evenVBand="0" w:oddHBand="0" w:evenHBand="0" w:firstRowFirstColumn="0" w:firstRowLastColumn="0" w:lastRowFirstColumn="0" w:lastRowLastColumn="0"/>
            </w:pPr>
            <w:r>
              <w:t>6.9</w:t>
            </w:r>
          </w:p>
        </w:tc>
        <w:tc>
          <w:tcPr>
            <w:tcW w:w="781" w:type="dxa"/>
            <w:tcBorders>
              <w:top w:val="single" w:sz="6" w:space="0" w:color="auto"/>
            </w:tcBorders>
          </w:tcPr>
          <w:p w14:paraId="5AC48FC0" w14:textId="77777777" w:rsidR="00E51EAC" w:rsidRDefault="00182F93">
            <w:pPr>
              <w:cnfStyle w:val="000000000000" w:firstRow="0" w:lastRow="0" w:firstColumn="0" w:lastColumn="0" w:oddVBand="0" w:evenVBand="0" w:oddHBand="0" w:evenHBand="0" w:firstRowFirstColumn="0" w:firstRowLastColumn="0" w:lastRowFirstColumn="0" w:lastRowLastColumn="0"/>
            </w:pPr>
            <w:r>
              <w:t>3.9</w:t>
            </w:r>
          </w:p>
        </w:tc>
        <w:tc>
          <w:tcPr>
            <w:tcW w:w="781" w:type="dxa"/>
            <w:tcBorders>
              <w:top w:val="single" w:sz="6" w:space="0" w:color="auto"/>
            </w:tcBorders>
          </w:tcPr>
          <w:p w14:paraId="41CB9A02" w14:textId="77777777" w:rsidR="00E51EAC" w:rsidRDefault="00182F93">
            <w:pPr>
              <w:cnfStyle w:val="000000000000" w:firstRow="0" w:lastRow="0" w:firstColumn="0" w:lastColumn="0" w:oddVBand="0" w:evenVBand="0" w:oddHBand="0" w:evenHBand="0" w:firstRowFirstColumn="0" w:firstRowLastColumn="0" w:lastRowFirstColumn="0" w:lastRowLastColumn="0"/>
            </w:pPr>
            <w:r>
              <w:t>4.3</w:t>
            </w:r>
          </w:p>
        </w:tc>
      </w:tr>
      <w:tr w:rsidR="00E51EAC" w14:paraId="2ED917DF" w14:textId="77777777">
        <w:tc>
          <w:tcPr>
            <w:cnfStyle w:val="001000000000" w:firstRow="0" w:lastRow="0" w:firstColumn="1" w:lastColumn="0" w:oddVBand="0" w:evenVBand="0" w:oddHBand="0" w:evenHBand="0" w:firstRowFirstColumn="0" w:firstRowLastColumn="0" w:lastRowFirstColumn="0" w:lastRowLastColumn="0"/>
            <w:tcW w:w="2610" w:type="dxa"/>
          </w:tcPr>
          <w:p w14:paraId="40C8139C" w14:textId="77777777" w:rsidR="00E51EAC" w:rsidRDefault="00182F93">
            <w:r>
              <w:t xml:space="preserve">Gross debt to revenue </w:t>
            </w:r>
            <w:r>
              <w:rPr>
                <w:vertAlign w:val="superscript"/>
              </w:rPr>
              <w:t>(a)</w:t>
            </w:r>
          </w:p>
        </w:tc>
        <w:tc>
          <w:tcPr>
            <w:tcW w:w="780" w:type="dxa"/>
          </w:tcPr>
          <w:p w14:paraId="56A5149F" w14:textId="77777777" w:rsidR="00E51EAC" w:rsidRDefault="00182F93">
            <w:pPr>
              <w:cnfStyle w:val="000000000000" w:firstRow="0" w:lastRow="0" w:firstColumn="0" w:lastColumn="0" w:oddVBand="0" w:evenVBand="0" w:oddHBand="0" w:evenHBand="0" w:firstRowFirstColumn="0" w:firstRowLastColumn="0" w:lastRowFirstColumn="0" w:lastRowLastColumn="0"/>
            </w:pPr>
            <w:r>
              <w:t>64.7</w:t>
            </w:r>
          </w:p>
        </w:tc>
        <w:tc>
          <w:tcPr>
            <w:tcW w:w="781" w:type="dxa"/>
          </w:tcPr>
          <w:p w14:paraId="16150682" w14:textId="77777777" w:rsidR="00E51EAC" w:rsidRDefault="00182F93">
            <w:pPr>
              <w:cnfStyle w:val="000000000000" w:firstRow="0" w:lastRow="0" w:firstColumn="0" w:lastColumn="0" w:oddVBand="0" w:evenVBand="0" w:oddHBand="0" w:evenHBand="0" w:firstRowFirstColumn="0" w:firstRowLastColumn="0" w:lastRowFirstColumn="0" w:lastRowLastColumn="0"/>
            </w:pPr>
            <w:r>
              <w:t>69.8</w:t>
            </w:r>
          </w:p>
        </w:tc>
        <w:tc>
          <w:tcPr>
            <w:tcW w:w="781" w:type="dxa"/>
          </w:tcPr>
          <w:p w14:paraId="3FA76E89" w14:textId="77777777" w:rsidR="00E51EAC" w:rsidRDefault="00182F93">
            <w:pPr>
              <w:cnfStyle w:val="000000000000" w:firstRow="0" w:lastRow="0" w:firstColumn="0" w:lastColumn="0" w:oddVBand="0" w:evenVBand="0" w:oddHBand="0" w:evenHBand="0" w:firstRowFirstColumn="0" w:firstRowLastColumn="0" w:lastRowFirstColumn="0" w:lastRowLastColumn="0"/>
            </w:pPr>
            <w:r>
              <w:t>75.5</w:t>
            </w:r>
          </w:p>
        </w:tc>
        <w:tc>
          <w:tcPr>
            <w:tcW w:w="781" w:type="dxa"/>
          </w:tcPr>
          <w:p w14:paraId="15485849" w14:textId="77777777" w:rsidR="00E51EAC" w:rsidRDefault="00182F93">
            <w:pPr>
              <w:cnfStyle w:val="000000000000" w:firstRow="0" w:lastRow="0" w:firstColumn="0" w:lastColumn="0" w:oddVBand="0" w:evenVBand="0" w:oddHBand="0" w:evenHBand="0" w:firstRowFirstColumn="0" w:firstRowLastColumn="0" w:lastRowFirstColumn="0" w:lastRowLastColumn="0"/>
            </w:pPr>
            <w:r>
              <w:t>110.1</w:t>
            </w:r>
          </w:p>
        </w:tc>
        <w:tc>
          <w:tcPr>
            <w:tcW w:w="781" w:type="dxa"/>
          </w:tcPr>
          <w:p w14:paraId="136FAC2F" w14:textId="77777777" w:rsidR="00E51EAC" w:rsidRDefault="00182F93">
            <w:pPr>
              <w:cnfStyle w:val="000000000000" w:firstRow="0" w:lastRow="0" w:firstColumn="0" w:lastColumn="0" w:oddVBand="0" w:evenVBand="0" w:oddHBand="0" w:evenHBand="0" w:firstRowFirstColumn="0" w:firstRowLastColumn="0" w:lastRowFirstColumn="0" w:lastRowLastColumn="0"/>
            </w:pPr>
            <w:r>
              <w:t>144.1</w:t>
            </w:r>
          </w:p>
        </w:tc>
        <w:tc>
          <w:tcPr>
            <w:tcW w:w="781" w:type="dxa"/>
          </w:tcPr>
          <w:p w14:paraId="3E2D3B60" w14:textId="77777777" w:rsidR="00E51EAC" w:rsidRDefault="00182F93">
            <w:pPr>
              <w:cnfStyle w:val="000000000000" w:firstRow="0" w:lastRow="0" w:firstColumn="0" w:lastColumn="0" w:oddVBand="0" w:evenVBand="0" w:oddHBand="0" w:evenHBand="0" w:firstRowFirstColumn="0" w:firstRowLastColumn="0" w:lastRowFirstColumn="0" w:lastRowLastColumn="0"/>
            </w:pPr>
            <w:r>
              <w:t>150.6</w:t>
            </w:r>
          </w:p>
        </w:tc>
        <w:tc>
          <w:tcPr>
            <w:tcW w:w="781" w:type="dxa"/>
          </w:tcPr>
          <w:p w14:paraId="684BA378" w14:textId="77777777" w:rsidR="00E51EAC" w:rsidRDefault="00182F93">
            <w:pPr>
              <w:cnfStyle w:val="000000000000" w:firstRow="0" w:lastRow="0" w:firstColumn="0" w:lastColumn="0" w:oddVBand="0" w:evenVBand="0" w:oddHBand="0" w:evenHBand="0" w:firstRowFirstColumn="0" w:firstRowLastColumn="0" w:lastRowFirstColumn="0" w:lastRowLastColumn="0"/>
            </w:pPr>
            <w:r>
              <w:t>176.4</w:t>
            </w:r>
          </w:p>
        </w:tc>
        <w:tc>
          <w:tcPr>
            <w:tcW w:w="781" w:type="dxa"/>
          </w:tcPr>
          <w:p w14:paraId="38CB2B61" w14:textId="77777777" w:rsidR="00E51EAC" w:rsidRDefault="00182F93">
            <w:pPr>
              <w:cnfStyle w:val="000000000000" w:firstRow="0" w:lastRow="0" w:firstColumn="0" w:lastColumn="0" w:oddVBand="0" w:evenVBand="0" w:oddHBand="0" w:evenHBand="0" w:firstRowFirstColumn="0" w:firstRowLastColumn="0" w:lastRowFirstColumn="0" w:lastRowLastColumn="0"/>
            </w:pPr>
            <w:r>
              <w:t>188.4</w:t>
            </w:r>
          </w:p>
        </w:tc>
        <w:tc>
          <w:tcPr>
            <w:tcW w:w="781" w:type="dxa"/>
          </w:tcPr>
          <w:p w14:paraId="654BFA95" w14:textId="77777777" w:rsidR="00E51EAC" w:rsidRDefault="00182F93">
            <w:pPr>
              <w:cnfStyle w:val="000000000000" w:firstRow="0" w:lastRow="0" w:firstColumn="0" w:lastColumn="0" w:oddVBand="0" w:evenVBand="0" w:oddHBand="0" w:evenHBand="0" w:firstRowFirstColumn="0" w:firstRowLastColumn="0" w:lastRowFirstColumn="0" w:lastRowLastColumn="0"/>
            </w:pPr>
            <w:r>
              <w:t>193.6</w:t>
            </w:r>
          </w:p>
        </w:tc>
      </w:tr>
      <w:tr w:rsidR="00E51EAC" w14:paraId="48894EB6" w14:textId="77777777" w:rsidTr="00E51EAC">
        <w:tc>
          <w:tcPr>
            <w:cnfStyle w:val="001000000000" w:firstRow="0" w:lastRow="0" w:firstColumn="1" w:lastColumn="0" w:oddVBand="0" w:evenVBand="0" w:oddHBand="0" w:evenHBand="0" w:firstRowFirstColumn="0" w:firstRowLastColumn="0" w:lastRowFirstColumn="0" w:lastRowLastColumn="0"/>
            <w:tcW w:w="2610" w:type="dxa"/>
            <w:tcBorders>
              <w:bottom w:val="single" w:sz="12" w:space="0" w:color="auto"/>
            </w:tcBorders>
          </w:tcPr>
          <w:p w14:paraId="59759582" w14:textId="77777777" w:rsidR="00E51EAC" w:rsidRDefault="00182F93">
            <w:r>
              <w:t>Interest expense to revenue</w:t>
            </w:r>
          </w:p>
        </w:tc>
        <w:tc>
          <w:tcPr>
            <w:tcW w:w="780" w:type="dxa"/>
            <w:tcBorders>
              <w:bottom w:val="single" w:sz="12" w:space="0" w:color="auto"/>
            </w:tcBorders>
          </w:tcPr>
          <w:p w14:paraId="0EF591B8" w14:textId="77777777" w:rsidR="00E51EAC" w:rsidRDefault="00182F93">
            <w:pPr>
              <w:cnfStyle w:val="000000000000" w:firstRow="0" w:lastRow="0" w:firstColumn="0" w:lastColumn="0" w:oddVBand="0" w:evenVBand="0" w:oddHBand="0" w:evenHBand="0" w:firstRowFirstColumn="0" w:firstRowLastColumn="0" w:lastRowFirstColumn="0" w:lastRowLastColumn="0"/>
            </w:pPr>
            <w:r>
              <w:t>3.9</w:t>
            </w:r>
          </w:p>
        </w:tc>
        <w:tc>
          <w:tcPr>
            <w:tcW w:w="781" w:type="dxa"/>
            <w:tcBorders>
              <w:bottom w:val="single" w:sz="12" w:space="0" w:color="auto"/>
            </w:tcBorders>
          </w:tcPr>
          <w:p w14:paraId="7DE3EC1F"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781" w:type="dxa"/>
            <w:tcBorders>
              <w:bottom w:val="single" w:sz="12" w:space="0" w:color="auto"/>
            </w:tcBorders>
          </w:tcPr>
          <w:p w14:paraId="2BE66EE1"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781" w:type="dxa"/>
            <w:tcBorders>
              <w:bottom w:val="single" w:sz="12" w:space="0" w:color="auto"/>
            </w:tcBorders>
          </w:tcPr>
          <w:p w14:paraId="42386CE7" w14:textId="77777777" w:rsidR="00E51EAC" w:rsidRDefault="00182F93">
            <w:pPr>
              <w:cnfStyle w:val="000000000000" w:firstRow="0" w:lastRow="0" w:firstColumn="0" w:lastColumn="0" w:oddVBand="0" w:evenVBand="0" w:oddHBand="0" w:evenHBand="0" w:firstRowFirstColumn="0" w:firstRowLastColumn="0" w:lastRowFirstColumn="0" w:lastRowLastColumn="0"/>
            </w:pPr>
            <w:r>
              <w:t>3.9</w:t>
            </w:r>
          </w:p>
        </w:tc>
        <w:tc>
          <w:tcPr>
            <w:tcW w:w="781" w:type="dxa"/>
            <w:tcBorders>
              <w:bottom w:val="single" w:sz="12" w:space="0" w:color="auto"/>
            </w:tcBorders>
          </w:tcPr>
          <w:p w14:paraId="09B6B87B" w14:textId="77777777" w:rsidR="00E51EAC" w:rsidRDefault="00182F93">
            <w:pPr>
              <w:cnfStyle w:val="000000000000" w:firstRow="0" w:lastRow="0" w:firstColumn="0" w:lastColumn="0" w:oddVBand="0" w:evenVBand="0" w:oddHBand="0" w:evenHBand="0" w:firstRowFirstColumn="0" w:firstRowLastColumn="0" w:lastRowFirstColumn="0" w:lastRowLastColumn="0"/>
            </w:pPr>
            <w:r>
              <w:t>4.0</w:t>
            </w:r>
          </w:p>
        </w:tc>
        <w:tc>
          <w:tcPr>
            <w:tcW w:w="781" w:type="dxa"/>
            <w:tcBorders>
              <w:bottom w:val="single" w:sz="12" w:space="0" w:color="auto"/>
            </w:tcBorders>
          </w:tcPr>
          <w:p w14:paraId="41D00300"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781" w:type="dxa"/>
            <w:tcBorders>
              <w:bottom w:val="single" w:sz="12" w:space="0" w:color="auto"/>
            </w:tcBorders>
          </w:tcPr>
          <w:p w14:paraId="640FF94E" w14:textId="77777777" w:rsidR="00E51EAC" w:rsidRDefault="00182F93">
            <w:pPr>
              <w:cnfStyle w:val="000000000000" w:firstRow="0" w:lastRow="0" w:firstColumn="0" w:lastColumn="0" w:oddVBand="0" w:evenVBand="0" w:oddHBand="0" w:evenHBand="0" w:firstRowFirstColumn="0" w:firstRowLastColumn="0" w:lastRowFirstColumn="0" w:lastRowLastColumn="0"/>
            </w:pPr>
            <w:r>
              <w:t>4.7</w:t>
            </w:r>
          </w:p>
        </w:tc>
        <w:tc>
          <w:tcPr>
            <w:tcW w:w="781" w:type="dxa"/>
            <w:tcBorders>
              <w:bottom w:val="single" w:sz="12" w:space="0" w:color="auto"/>
            </w:tcBorders>
          </w:tcPr>
          <w:p w14:paraId="53DC0B2A" w14:textId="77777777" w:rsidR="00E51EAC" w:rsidRDefault="00182F93">
            <w:pPr>
              <w:cnfStyle w:val="000000000000" w:firstRow="0" w:lastRow="0" w:firstColumn="0" w:lastColumn="0" w:oddVBand="0" w:evenVBand="0" w:oddHBand="0" w:evenHBand="0" w:firstRowFirstColumn="0" w:firstRowLastColumn="0" w:lastRowFirstColumn="0" w:lastRowLastColumn="0"/>
            </w:pPr>
            <w:r>
              <w:t>6.1</w:t>
            </w:r>
          </w:p>
        </w:tc>
        <w:tc>
          <w:tcPr>
            <w:tcW w:w="781" w:type="dxa"/>
            <w:tcBorders>
              <w:bottom w:val="single" w:sz="12" w:space="0" w:color="auto"/>
            </w:tcBorders>
          </w:tcPr>
          <w:p w14:paraId="3BA51E54" w14:textId="77777777" w:rsidR="00E51EAC" w:rsidRDefault="00182F93">
            <w:pPr>
              <w:cnfStyle w:val="000000000000" w:firstRow="0" w:lastRow="0" w:firstColumn="0" w:lastColumn="0" w:oddVBand="0" w:evenVBand="0" w:oddHBand="0" w:evenHBand="0" w:firstRowFirstColumn="0" w:firstRowLastColumn="0" w:lastRowFirstColumn="0" w:lastRowLastColumn="0"/>
            </w:pPr>
            <w:r>
              <w:t>6.7</w:t>
            </w:r>
          </w:p>
        </w:tc>
      </w:tr>
    </w:tbl>
    <w:p w14:paraId="1214ECB3" w14:textId="77777777" w:rsidR="00366656" w:rsidRPr="00200564" w:rsidRDefault="00366656" w:rsidP="00366656">
      <w:pPr>
        <w:pStyle w:val="Note"/>
      </w:pPr>
      <w:r>
        <w:t>N</w:t>
      </w:r>
      <w:r w:rsidRPr="00200564">
        <w:t>ote:</w:t>
      </w:r>
    </w:p>
    <w:p w14:paraId="47C9402E" w14:textId="32BAD5F9" w:rsidR="00366656" w:rsidRDefault="00366656" w:rsidP="00366656">
      <w:pPr>
        <w:pStyle w:val="Note"/>
      </w:pPr>
      <w:r w:rsidRPr="00200564">
        <w:t>(a)</w:t>
      </w:r>
      <w:r w:rsidRPr="00200564">
        <w:tab/>
        <w:t>Gross debt comprises borrowings, deposits held and advances received.</w:t>
      </w:r>
    </w:p>
    <w:p w14:paraId="00B9F8FF" w14:textId="2FB1F026" w:rsidR="00366656" w:rsidRPr="00C14579" w:rsidDel="009F5E32" w:rsidRDefault="00366656" w:rsidP="00366656">
      <w:pPr>
        <w:pStyle w:val="Heading2"/>
        <w:rPr>
          <w:highlight w:val="green"/>
        </w:rPr>
      </w:pPr>
      <w:r w:rsidRPr="001C3F81" w:rsidDel="009F5E32">
        <w:t>Infrastructure investment</w:t>
      </w:r>
    </w:p>
    <w:p w14:paraId="37087897"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799210DF" w14:textId="797423C3" w:rsidR="00366656" w:rsidRPr="00924983" w:rsidDel="009F5E32" w:rsidRDefault="00366656" w:rsidP="00366656">
      <w:pPr>
        <w:rPr>
          <w:highlight w:val="yellow"/>
        </w:rPr>
      </w:pPr>
      <w:r w:rsidRPr="001C3F81" w:rsidDel="009F5E32">
        <w:t xml:space="preserve">Net cash </w:t>
      </w:r>
      <w:r w:rsidRPr="003626D6" w:rsidDel="009F5E32">
        <w:t>flows from investments in non-financial assets include</w:t>
      </w:r>
      <w:r w:rsidRPr="003626D6">
        <w:t>s</w:t>
      </w:r>
      <w:r w:rsidRPr="003626D6" w:rsidDel="009F5E32">
        <w:t xml:space="preserve"> </w:t>
      </w:r>
      <w:r w:rsidRPr="00FB0E6C" w:rsidDel="009F5E32">
        <w:t>$</w:t>
      </w:r>
      <w:r w:rsidR="00384F88">
        <w:t>16</w:t>
      </w:r>
      <w:r w:rsidRPr="003626D6">
        <w:t xml:space="preserve"> </w:t>
      </w:r>
      <w:r w:rsidRPr="003626D6" w:rsidDel="009F5E32">
        <w:t xml:space="preserve">billion invested by the general government sector and </w:t>
      </w:r>
      <w:r w:rsidRPr="0077292C" w:rsidDel="009F5E32">
        <w:t>$</w:t>
      </w:r>
      <w:r w:rsidR="007B6E93" w:rsidRPr="0077292C">
        <w:t>6</w:t>
      </w:r>
      <w:r w:rsidRPr="003626D6" w:rsidDel="00251507">
        <w:t xml:space="preserve"> </w:t>
      </w:r>
      <w:r w:rsidRPr="003626D6">
        <w:t>billion</w:t>
      </w:r>
      <w:r w:rsidRPr="003626D6" w:rsidDel="009F5E32">
        <w:t xml:space="preserve"> in the PNFC sector</w:t>
      </w:r>
      <w:r w:rsidRPr="003626D6">
        <w:t>.</w:t>
      </w:r>
    </w:p>
    <w:p w14:paraId="739E2ABA" w14:textId="0B7E5966" w:rsidR="00366656" w:rsidRPr="007B0D47" w:rsidDel="009F5E32" w:rsidRDefault="00366656" w:rsidP="00366656">
      <w:r w:rsidRPr="007B0D47" w:rsidDel="009F5E32">
        <w:t>Infrastructure investment in the PNFC sector included:</w:t>
      </w:r>
      <w:r w:rsidRPr="007B0D47">
        <w:t xml:space="preserve"> </w:t>
      </w:r>
    </w:p>
    <w:p w14:paraId="49FB23C3" w14:textId="52E1F3B3" w:rsidR="00AE121C" w:rsidRDefault="00E30BCF" w:rsidP="1A713842">
      <w:pPr>
        <w:pStyle w:val="ListBullet"/>
      </w:pPr>
      <w:r w:rsidRPr="00E30BCF">
        <w:t>the upgrade and renewal of water and sewer assets by the Melbourne metropolitan water corporations. This included the Melbourne Water Corporation</w:t>
      </w:r>
      <w:r w:rsidR="00845934">
        <w:t>’</w:t>
      </w:r>
      <w:r w:rsidRPr="00E30BCF">
        <w:t>s Primary Treatment and Waste Activated Sludge Capacity Augmentation and 5 West Nutrient Removal Plant projects at the Western Treatment Plant, Yarra Valley Water</w:t>
      </w:r>
      <w:r w:rsidR="00845934">
        <w:t>’</w:t>
      </w:r>
      <w:r w:rsidRPr="00E30BCF">
        <w:t>s Waste to Energy Project 2 and Rankin Street Branch Sewer Project, the rollout of digital meters, Mt</w:t>
      </w:r>
      <w:r w:rsidR="008D6B71">
        <w:t> </w:t>
      </w:r>
      <w:r w:rsidRPr="00E30BCF">
        <w:t>Martha Water Recycling Plant Augmentation and Greater Western Water</w:t>
      </w:r>
      <w:r w:rsidR="00845934">
        <w:t>’</w:t>
      </w:r>
      <w:r w:rsidRPr="00E30BCF">
        <w:t>s Redstone Hill Sewer Pump Station and Bald Hill Tank Construction.</w:t>
      </w:r>
    </w:p>
    <w:p w14:paraId="6D0C3223" w14:textId="7A632E7B" w:rsidR="00366656" w:rsidRPr="00735806" w:rsidDel="009F5E32" w:rsidRDefault="00366656" w:rsidP="1A713842">
      <w:pPr>
        <w:pStyle w:val="ListBullet"/>
      </w:pPr>
      <w:r w:rsidRPr="00735806" w:rsidDel="009F5E32">
        <w:t>the upgrade and renewal of water and sewer assets in regional Victoria</w:t>
      </w:r>
    </w:p>
    <w:p w14:paraId="07EC6BFE" w14:textId="519A0DD4" w:rsidR="00366656" w:rsidRPr="00735806" w:rsidRDefault="00366656" w:rsidP="1A713842">
      <w:pPr>
        <w:pStyle w:val="ListBullet"/>
      </w:pPr>
      <w:r w:rsidRPr="00735806">
        <w:t xml:space="preserve">the Homes Victoria Big Housing Build program which is investing in social and affordable housing, delivering </w:t>
      </w:r>
      <w:r w:rsidR="00F2470B">
        <w:t>more than</w:t>
      </w:r>
      <w:r w:rsidRPr="00735806">
        <w:t xml:space="preserve"> 12 000 new dwellings</w:t>
      </w:r>
    </w:p>
    <w:p w14:paraId="13F7ABBE" w14:textId="0BDD499C" w:rsidR="00366656" w:rsidRDefault="00366656" w:rsidP="1A713842">
      <w:pPr>
        <w:pStyle w:val="ListBullet"/>
      </w:pPr>
      <w:r w:rsidRPr="00735806" w:rsidDel="009F5E32">
        <w:t>transport infrastructure primarily related to the North East Link State Tolling Corporation</w:t>
      </w:r>
      <w:r w:rsidR="00845934">
        <w:t>’</w:t>
      </w:r>
      <w:r w:rsidRPr="00735806" w:rsidDel="009F5E32">
        <w:t>s investment in the North East Link – Primary Package (Tunnels)</w:t>
      </w:r>
      <w:r w:rsidRPr="00735806">
        <w:t xml:space="preserve">. </w:t>
      </w:r>
    </w:p>
    <w:p w14:paraId="319FC2F7" w14:textId="59074968" w:rsidR="00DE1E51" w:rsidRPr="00DE1E51" w:rsidRDefault="00DE1E51" w:rsidP="00DE1E51">
      <w:r>
        <w:br w:type="column"/>
      </w:r>
    </w:p>
    <w:p w14:paraId="5B06FB2A" w14:textId="77777777" w:rsidR="00DE1E51" w:rsidRDefault="00DE1E51" w:rsidP="00671019">
      <w:pPr>
        <w:pStyle w:val="Heading1"/>
        <w:sectPr w:rsidR="00DE1E51" w:rsidSect="00DE1E51">
          <w:type w:val="continuous"/>
          <w:pgSz w:w="11906" w:h="16838" w:code="9"/>
          <w:pgMar w:top="1134" w:right="1134" w:bottom="1134" w:left="1134" w:header="624" w:footer="567" w:gutter="0"/>
          <w:cols w:num="2" w:space="708"/>
          <w:docGrid w:linePitch="360"/>
        </w:sectPr>
      </w:pPr>
      <w:bookmarkStart w:id="21" w:name="_Toc176189339"/>
    </w:p>
    <w:p w14:paraId="02B80D56" w14:textId="750FBE76" w:rsidR="00366656" w:rsidRDefault="00366656" w:rsidP="00DE1E51">
      <w:pPr>
        <w:pStyle w:val="Heading1"/>
        <w:pageBreakBefore/>
        <w:spacing w:before="0"/>
      </w:pPr>
      <w:r w:rsidRPr="001E33C1">
        <w:lastRenderedPageBreak/>
        <w:t>Public Financial Corporations Sector</w:t>
      </w:r>
      <w:bookmarkEnd w:id="21"/>
    </w:p>
    <w:p w14:paraId="69E45602" w14:textId="77777777" w:rsidR="00366656" w:rsidRDefault="00366656" w:rsidP="00366656">
      <w:pPr>
        <w:pStyle w:val="Heading2"/>
      </w:pPr>
      <w:r>
        <w:t>Operating statement</w:t>
      </w:r>
    </w:p>
    <w:p w14:paraId="65509E66"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124F26B8" w14:textId="77777777" w:rsidR="00366656" w:rsidRDefault="00366656" w:rsidP="00366656">
      <w:r>
        <w:t>Tables 3.5 and 3.6 summarise the operating statement and financial position for the PFC sector. These figures are derived from the audited financial statements in Chapter 4.</w:t>
      </w:r>
    </w:p>
    <w:p w14:paraId="60D992A2" w14:textId="77777777" w:rsidR="00DE1E51" w:rsidRDefault="00DE1E51" w:rsidP="00366656">
      <w:pPr>
        <w:pStyle w:val="TableHeading"/>
        <w:sectPr w:rsidR="00DE1E51" w:rsidSect="00DE1E51">
          <w:type w:val="continuous"/>
          <w:pgSz w:w="11906" w:h="16838" w:code="9"/>
          <w:pgMar w:top="1134" w:right="1134" w:bottom="1134" w:left="1134" w:header="624" w:footer="567" w:gutter="0"/>
          <w:cols w:num="2" w:space="708"/>
          <w:docGrid w:linePitch="360"/>
        </w:sectPr>
      </w:pPr>
    </w:p>
    <w:p w14:paraId="164EDF77" w14:textId="77777777" w:rsidR="00DE1E51" w:rsidRPr="00DE1E51" w:rsidRDefault="00DE1E51" w:rsidP="00DE1E51"/>
    <w:p w14:paraId="1B03EE77" w14:textId="15DB3A0E" w:rsidR="00366656" w:rsidRDefault="00366656" w:rsidP="00366656">
      <w:pPr>
        <w:pStyle w:val="TableHeading"/>
      </w:pPr>
      <w:r w:rsidRPr="00200564">
        <w:t>Table 3.</w:t>
      </w:r>
      <w:r>
        <w:t>5</w:t>
      </w:r>
      <w:r w:rsidRPr="00200564">
        <w:t>:</w:t>
      </w:r>
      <w:r w:rsidRPr="00200564">
        <w:tab/>
      </w:r>
      <w:r>
        <w:t>202</w:t>
      </w:r>
      <w:r w:rsidR="00597F42">
        <w:t>4</w:t>
      </w:r>
      <w:r>
        <w:t>-2</w:t>
      </w:r>
      <w:r w:rsidR="00597F42">
        <w:t>5</w:t>
      </w:r>
      <w:r w:rsidRPr="00200564">
        <w:t xml:space="preserve"> summary operating statement – </w:t>
      </w:r>
      <w:r>
        <w:t>PFC sector</w:t>
      </w:r>
      <w:r w:rsidRPr="00200564">
        <w:t xml:space="preserve"> </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OS_PFC"/>
      </w:tblPr>
      <w:tblGrid>
        <w:gridCol w:w="5103"/>
        <w:gridCol w:w="907"/>
        <w:gridCol w:w="907"/>
        <w:gridCol w:w="907"/>
        <w:gridCol w:w="907"/>
        <w:gridCol w:w="907"/>
      </w:tblGrid>
      <w:tr w:rsidR="00991200" w14:paraId="0DB9D1DD"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69D7FEC" w14:textId="77777777" w:rsidR="00E51EAC" w:rsidRDefault="00E51EAC">
            <w:pPr>
              <w:keepNext/>
            </w:pPr>
          </w:p>
        </w:tc>
        <w:tc>
          <w:tcPr>
            <w:tcW w:w="907" w:type="dxa"/>
          </w:tcPr>
          <w:p w14:paraId="73415879"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CEC0EB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6FC9C8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540CD289"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revised</w:t>
            </w:r>
          </w:p>
        </w:tc>
        <w:tc>
          <w:tcPr>
            <w:tcW w:w="907" w:type="dxa"/>
          </w:tcPr>
          <w:p w14:paraId="0AF5AB5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471FBA58"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2CB4CECC" w14:textId="77777777" w:rsidR="00E51EAC" w:rsidRDefault="00E51EAC">
            <w:pPr>
              <w:keepNext/>
            </w:pPr>
          </w:p>
        </w:tc>
        <w:tc>
          <w:tcPr>
            <w:tcW w:w="907" w:type="dxa"/>
          </w:tcPr>
          <w:p w14:paraId="2F6E34D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31EDCF95"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0B4158CE"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64F889DC"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2DCDB18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r>
      <w:tr w:rsidR="00E51EAC" w14:paraId="2228FCC7" w14:textId="77777777">
        <w:tc>
          <w:tcPr>
            <w:cnfStyle w:val="001000000000" w:firstRow="0" w:lastRow="0" w:firstColumn="1" w:lastColumn="0" w:oddVBand="0" w:evenVBand="0" w:oddHBand="0" w:evenHBand="0" w:firstRowFirstColumn="0" w:firstRowLastColumn="0" w:lastRowFirstColumn="0" w:lastRowLastColumn="0"/>
            <w:tcW w:w="5103" w:type="dxa"/>
          </w:tcPr>
          <w:p w14:paraId="273C8DF3" w14:textId="77777777" w:rsidR="00E51EAC" w:rsidRDefault="00182F93">
            <w:r>
              <w:rPr>
                <w:b/>
              </w:rPr>
              <w:t>Revenue and income from transactions</w:t>
            </w:r>
          </w:p>
        </w:tc>
        <w:tc>
          <w:tcPr>
            <w:tcW w:w="907" w:type="dxa"/>
          </w:tcPr>
          <w:p w14:paraId="591E5DC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D012FA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18D092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AA4288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6B2BDD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9A4D26C" w14:textId="77777777">
        <w:tc>
          <w:tcPr>
            <w:cnfStyle w:val="001000000000" w:firstRow="0" w:lastRow="0" w:firstColumn="1" w:lastColumn="0" w:oddVBand="0" w:evenVBand="0" w:oddHBand="0" w:evenHBand="0" w:firstRowFirstColumn="0" w:firstRowLastColumn="0" w:lastRowFirstColumn="0" w:lastRowLastColumn="0"/>
            <w:tcW w:w="5103" w:type="dxa"/>
          </w:tcPr>
          <w:p w14:paraId="19762FD1" w14:textId="77777777" w:rsidR="00E51EAC" w:rsidRDefault="00182F93">
            <w:r>
              <w:t>Interest income</w:t>
            </w:r>
          </w:p>
        </w:tc>
        <w:tc>
          <w:tcPr>
            <w:tcW w:w="907" w:type="dxa"/>
          </w:tcPr>
          <w:p w14:paraId="66153060" w14:textId="77777777" w:rsidR="00E51EAC" w:rsidRDefault="00182F93">
            <w:pPr>
              <w:cnfStyle w:val="000000000000" w:firstRow="0" w:lastRow="0" w:firstColumn="0" w:lastColumn="0" w:oddVBand="0" w:evenVBand="0" w:oddHBand="0" w:evenHBand="0" w:firstRowFirstColumn="0" w:firstRowLastColumn="0" w:lastRowFirstColumn="0" w:lastRowLastColumn="0"/>
            </w:pPr>
            <w:r>
              <w:t>6 724</w:t>
            </w:r>
          </w:p>
        </w:tc>
        <w:tc>
          <w:tcPr>
            <w:tcW w:w="907" w:type="dxa"/>
          </w:tcPr>
          <w:p w14:paraId="55EDCFB4" w14:textId="77777777" w:rsidR="00E51EAC" w:rsidRDefault="00182F93">
            <w:pPr>
              <w:cnfStyle w:val="000000000000" w:firstRow="0" w:lastRow="0" w:firstColumn="0" w:lastColumn="0" w:oddVBand="0" w:evenVBand="0" w:oddHBand="0" w:evenHBand="0" w:firstRowFirstColumn="0" w:firstRowLastColumn="0" w:lastRowFirstColumn="0" w:lastRowLastColumn="0"/>
            </w:pPr>
            <w:r>
              <w:t>6 818</w:t>
            </w:r>
          </w:p>
        </w:tc>
        <w:tc>
          <w:tcPr>
            <w:tcW w:w="907" w:type="dxa"/>
          </w:tcPr>
          <w:p w14:paraId="1F461DC2" w14:textId="77777777" w:rsidR="00E51EAC" w:rsidRDefault="00182F93">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5FF06E7F" w14:textId="77777777" w:rsidR="00E51EAC" w:rsidRDefault="00182F93">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25CBE1DE" w14:textId="77777777" w:rsidR="00E51EAC" w:rsidRDefault="00182F93">
            <w:pPr>
              <w:cnfStyle w:val="000000000000" w:firstRow="0" w:lastRow="0" w:firstColumn="0" w:lastColumn="0" w:oddVBand="0" w:evenVBand="0" w:oddHBand="0" w:evenHBand="0" w:firstRowFirstColumn="0" w:firstRowLastColumn="0" w:lastRowFirstColumn="0" w:lastRowLastColumn="0"/>
            </w:pPr>
            <w:r>
              <w:t>5 332</w:t>
            </w:r>
          </w:p>
        </w:tc>
      </w:tr>
      <w:tr w:rsidR="00E51EAC" w14:paraId="1D4905F7" w14:textId="77777777">
        <w:tc>
          <w:tcPr>
            <w:cnfStyle w:val="001000000000" w:firstRow="0" w:lastRow="0" w:firstColumn="1" w:lastColumn="0" w:oddVBand="0" w:evenVBand="0" w:oddHBand="0" w:evenHBand="0" w:firstRowFirstColumn="0" w:firstRowLastColumn="0" w:lastRowFirstColumn="0" w:lastRowLastColumn="0"/>
            <w:tcW w:w="5103" w:type="dxa"/>
          </w:tcPr>
          <w:p w14:paraId="63294BBB" w14:textId="77777777" w:rsidR="00E51EAC" w:rsidRDefault="00182F93">
            <w:r>
              <w:t>Dividends and income tax equivalent income</w:t>
            </w:r>
          </w:p>
        </w:tc>
        <w:tc>
          <w:tcPr>
            <w:tcW w:w="907" w:type="dxa"/>
          </w:tcPr>
          <w:p w14:paraId="424B1E40" w14:textId="77777777" w:rsidR="00E51EAC" w:rsidRDefault="00182F93">
            <w:pPr>
              <w:cnfStyle w:val="000000000000" w:firstRow="0" w:lastRow="0" w:firstColumn="0" w:lastColumn="0" w:oddVBand="0" w:evenVBand="0" w:oddHBand="0" w:evenHBand="0" w:firstRowFirstColumn="0" w:firstRowLastColumn="0" w:lastRowFirstColumn="0" w:lastRowLastColumn="0"/>
            </w:pPr>
            <w:r>
              <w:t>3 214</w:t>
            </w:r>
          </w:p>
        </w:tc>
        <w:tc>
          <w:tcPr>
            <w:tcW w:w="907" w:type="dxa"/>
          </w:tcPr>
          <w:p w14:paraId="56D44481" w14:textId="77777777" w:rsidR="00E51EAC" w:rsidRDefault="00182F93">
            <w:pPr>
              <w:cnfStyle w:val="000000000000" w:firstRow="0" w:lastRow="0" w:firstColumn="0" w:lastColumn="0" w:oddVBand="0" w:evenVBand="0" w:oddHBand="0" w:evenHBand="0" w:firstRowFirstColumn="0" w:firstRowLastColumn="0" w:lastRowFirstColumn="0" w:lastRowLastColumn="0"/>
            </w:pPr>
            <w:r>
              <w:t>3 063</w:t>
            </w:r>
          </w:p>
        </w:tc>
        <w:tc>
          <w:tcPr>
            <w:tcW w:w="907" w:type="dxa"/>
          </w:tcPr>
          <w:p w14:paraId="2854FF1A" w14:textId="77777777" w:rsidR="00E51EAC" w:rsidRDefault="00182F93">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5FCB540C" w14:textId="77777777" w:rsidR="00E51EAC" w:rsidRDefault="00182F93">
            <w:pPr>
              <w:cnfStyle w:val="000000000000" w:firstRow="0" w:lastRow="0" w:firstColumn="0" w:lastColumn="0" w:oddVBand="0" w:evenVBand="0" w:oddHBand="0" w:evenHBand="0" w:firstRowFirstColumn="0" w:firstRowLastColumn="0" w:lastRowFirstColumn="0" w:lastRowLastColumn="0"/>
            </w:pPr>
            <w:r>
              <w:t>4.9</w:t>
            </w:r>
          </w:p>
        </w:tc>
        <w:tc>
          <w:tcPr>
            <w:tcW w:w="907" w:type="dxa"/>
          </w:tcPr>
          <w:p w14:paraId="166434C4" w14:textId="77777777" w:rsidR="00E51EAC" w:rsidRDefault="00182F93">
            <w:pPr>
              <w:cnfStyle w:val="000000000000" w:firstRow="0" w:lastRow="0" w:firstColumn="0" w:lastColumn="0" w:oddVBand="0" w:evenVBand="0" w:oddHBand="0" w:evenHBand="0" w:firstRowFirstColumn="0" w:firstRowLastColumn="0" w:lastRowFirstColumn="0" w:lastRowLastColumn="0"/>
            </w:pPr>
            <w:r>
              <w:t>2 296</w:t>
            </w:r>
          </w:p>
        </w:tc>
      </w:tr>
      <w:tr w:rsidR="00E51EAC" w14:paraId="4A89E7FE" w14:textId="77777777">
        <w:tc>
          <w:tcPr>
            <w:cnfStyle w:val="001000000000" w:firstRow="0" w:lastRow="0" w:firstColumn="1" w:lastColumn="0" w:oddVBand="0" w:evenVBand="0" w:oddHBand="0" w:evenHBand="0" w:firstRowFirstColumn="0" w:firstRowLastColumn="0" w:lastRowFirstColumn="0" w:lastRowLastColumn="0"/>
            <w:tcW w:w="5103" w:type="dxa"/>
          </w:tcPr>
          <w:p w14:paraId="1576A881" w14:textId="77777777" w:rsidR="00E51EAC" w:rsidRDefault="00182F93">
            <w:r>
              <w:t>Sales of goods and services</w:t>
            </w:r>
          </w:p>
        </w:tc>
        <w:tc>
          <w:tcPr>
            <w:tcW w:w="907" w:type="dxa"/>
          </w:tcPr>
          <w:p w14:paraId="042B1331" w14:textId="77777777" w:rsidR="00E51EAC" w:rsidRDefault="00182F93">
            <w:pPr>
              <w:cnfStyle w:val="000000000000" w:firstRow="0" w:lastRow="0" w:firstColumn="0" w:lastColumn="0" w:oddVBand="0" w:evenVBand="0" w:oddHBand="0" w:evenHBand="0" w:firstRowFirstColumn="0" w:firstRowLastColumn="0" w:lastRowFirstColumn="0" w:lastRowLastColumn="0"/>
            </w:pPr>
            <w:r>
              <w:t>8 456</w:t>
            </w:r>
          </w:p>
        </w:tc>
        <w:tc>
          <w:tcPr>
            <w:tcW w:w="907" w:type="dxa"/>
          </w:tcPr>
          <w:p w14:paraId="038BE65E" w14:textId="77777777" w:rsidR="00E51EAC" w:rsidRDefault="00182F93">
            <w:pPr>
              <w:cnfStyle w:val="000000000000" w:firstRow="0" w:lastRow="0" w:firstColumn="0" w:lastColumn="0" w:oddVBand="0" w:evenVBand="0" w:oddHBand="0" w:evenHBand="0" w:firstRowFirstColumn="0" w:firstRowLastColumn="0" w:lastRowFirstColumn="0" w:lastRowLastColumn="0"/>
            </w:pPr>
            <w:r>
              <w:t>8 531</w:t>
            </w:r>
          </w:p>
        </w:tc>
        <w:tc>
          <w:tcPr>
            <w:tcW w:w="907" w:type="dxa"/>
          </w:tcPr>
          <w:p w14:paraId="29115408" w14:textId="77777777" w:rsidR="00E51EAC" w:rsidRDefault="00182F93">
            <w:pPr>
              <w:cnfStyle w:val="000000000000" w:firstRow="0" w:lastRow="0" w:firstColumn="0" w:lastColumn="0" w:oddVBand="0" w:evenVBand="0" w:oddHBand="0" w:evenHBand="0" w:firstRowFirstColumn="0" w:firstRowLastColumn="0" w:lastRowFirstColumn="0" w:lastRowLastColumn="0"/>
            </w:pPr>
            <w:r>
              <w:t>(74)</w:t>
            </w:r>
          </w:p>
        </w:tc>
        <w:tc>
          <w:tcPr>
            <w:tcW w:w="907" w:type="dxa"/>
          </w:tcPr>
          <w:p w14:paraId="18D16D02" w14:textId="77777777" w:rsidR="00E51EAC" w:rsidRDefault="00182F93">
            <w:pPr>
              <w:cnfStyle w:val="000000000000" w:firstRow="0" w:lastRow="0" w:firstColumn="0" w:lastColumn="0" w:oddVBand="0" w:evenVBand="0" w:oddHBand="0" w:evenHBand="0" w:firstRowFirstColumn="0" w:firstRowLastColumn="0" w:lastRowFirstColumn="0" w:lastRowLastColumn="0"/>
            </w:pPr>
            <w:r>
              <w:t>(0.9)</w:t>
            </w:r>
          </w:p>
        </w:tc>
        <w:tc>
          <w:tcPr>
            <w:tcW w:w="907" w:type="dxa"/>
          </w:tcPr>
          <w:p w14:paraId="354F9EBF" w14:textId="77777777" w:rsidR="00E51EAC" w:rsidRDefault="00182F93">
            <w:pPr>
              <w:cnfStyle w:val="000000000000" w:firstRow="0" w:lastRow="0" w:firstColumn="0" w:lastColumn="0" w:oddVBand="0" w:evenVBand="0" w:oddHBand="0" w:evenHBand="0" w:firstRowFirstColumn="0" w:firstRowLastColumn="0" w:lastRowFirstColumn="0" w:lastRowLastColumn="0"/>
            </w:pPr>
            <w:r>
              <w:t>8 098</w:t>
            </w:r>
          </w:p>
        </w:tc>
      </w:tr>
      <w:tr w:rsidR="00E51EAC" w14:paraId="27C67A56"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4FE8823" w14:textId="77777777" w:rsidR="00E51EAC" w:rsidRDefault="00182F93">
            <w:r>
              <w:t>Other revenue and income</w:t>
            </w:r>
          </w:p>
        </w:tc>
        <w:tc>
          <w:tcPr>
            <w:tcW w:w="907" w:type="dxa"/>
            <w:tcBorders>
              <w:bottom w:val="single" w:sz="6" w:space="0" w:color="auto"/>
            </w:tcBorders>
          </w:tcPr>
          <w:p w14:paraId="43B987D2"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907" w:type="dxa"/>
            <w:tcBorders>
              <w:bottom w:val="single" w:sz="6" w:space="0" w:color="auto"/>
            </w:tcBorders>
          </w:tcPr>
          <w:p w14:paraId="3F9C6CB7" w14:textId="77777777" w:rsidR="00E51EAC" w:rsidRDefault="00182F93">
            <w:pPr>
              <w:cnfStyle w:val="000000000000" w:firstRow="0" w:lastRow="0" w:firstColumn="0" w:lastColumn="0" w:oddVBand="0" w:evenVBand="0" w:oddHBand="0" w:evenHBand="0" w:firstRowFirstColumn="0" w:firstRowLastColumn="0" w:lastRowFirstColumn="0" w:lastRowLastColumn="0"/>
            </w:pPr>
            <w:r>
              <w:t>28</w:t>
            </w:r>
          </w:p>
        </w:tc>
        <w:tc>
          <w:tcPr>
            <w:tcW w:w="907" w:type="dxa"/>
            <w:tcBorders>
              <w:bottom w:val="single" w:sz="6" w:space="0" w:color="auto"/>
            </w:tcBorders>
          </w:tcPr>
          <w:p w14:paraId="6F0371C2" w14:textId="77777777" w:rsidR="00E51EAC" w:rsidRDefault="00182F93">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7230120A" w14:textId="77777777" w:rsidR="00E51EAC" w:rsidRDefault="00182F93">
            <w:pPr>
              <w:cnfStyle w:val="000000000000" w:firstRow="0" w:lastRow="0" w:firstColumn="0" w:lastColumn="0" w:oddVBand="0" w:evenVBand="0" w:oddHBand="0" w:evenHBand="0" w:firstRowFirstColumn="0" w:firstRowLastColumn="0" w:lastRowFirstColumn="0" w:lastRowLastColumn="0"/>
            </w:pPr>
            <w:r>
              <w:t>31.2</w:t>
            </w:r>
          </w:p>
        </w:tc>
        <w:tc>
          <w:tcPr>
            <w:tcW w:w="907" w:type="dxa"/>
            <w:tcBorders>
              <w:bottom w:val="single" w:sz="6" w:space="0" w:color="auto"/>
            </w:tcBorders>
          </w:tcPr>
          <w:p w14:paraId="3930FF7F" w14:textId="77777777" w:rsidR="00E51EAC" w:rsidRDefault="00182F93">
            <w:pPr>
              <w:cnfStyle w:val="000000000000" w:firstRow="0" w:lastRow="0" w:firstColumn="0" w:lastColumn="0" w:oddVBand="0" w:evenVBand="0" w:oddHBand="0" w:evenHBand="0" w:firstRowFirstColumn="0" w:firstRowLastColumn="0" w:lastRowFirstColumn="0" w:lastRowLastColumn="0"/>
            </w:pPr>
            <w:r>
              <w:t>24</w:t>
            </w:r>
          </w:p>
        </w:tc>
      </w:tr>
      <w:tr w:rsidR="00E51EAC" w14:paraId="449050D5"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4500EDC" w14:textId="77777777" w:rsidR="00E51EAC" w:rsidRDefault="00182F93">
            <w:r>
              <w:rPr>
                <w:b/>
              </w:rPr>
              <w:t>Total revenue and income from transactions</w:t>
            </w:r>
          </w:p>
        </w:tc>
        <w:tc>
          <w:tcPr>
            <w:tcW w:w="907" w:type="dxa"/>
            <w:tcBorders>
              <w:top w:val="single" w:sz="6" w:space="0" w:color="auto"/>
            </w:tcBorders>
          </w:tcPr>
          <w:p w14:paraId="0E56CAB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18 431</w:t>
            </w:r>
          </w:p>
        </w:tc>
        <w:tc>
          <w:tcPr>
            <w:tcW w:w="907" w:type="dxa"/>
            <w:tcBorders>
              <w:top w:val="single" w:sz="6" w:space="0" w:color="auto"/>
            </w:tcBorders>
          </w:tcPr>
          <w:p w14:paraId="32AAA7B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18 440</w:t>
            </w:r>
          </w:p>
        </w:tc>
        <w:tc>
          <w:tcPr>
            <w:tcW w:w="907" w:type="dxa"/>
            <w:tcBorders>
              <w:top w:val="single" w:sz="6" w:space="0" w:color="auto"/>
            </w:tcBorders>
          </w:tcPr>
          <w:p w14:paraId="57EFFE6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w:t>
            </w:r>
          </w:p>
        </w:tc>
        <w:tc>
          <w:tcPr>
            <w:tcW w:w="907" w:type="dxa"/>
            <w:tcBorders>
              <w:top w:val="single" w:sz="6" w:space="0" w:color="auto"/>
            </w:tcBorders>
          </w:tcPr>
          <w:p w14:paraId="2CFF8BB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(0.1)</w:t>
            </w:r>
          </w:p>
        </w:tc>
        <w:tc>
          <w:tcPr>
            <w:tcW w:w="907" w:type="dxa"/>
            <w:tcBorders>
              <w:top w:val="single" w:sz="6" w:space="0" w:color="auto"/>
            </w:tcBorders>
          </w:tcPr>
          <w:p w14:paraId="62A08EB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15 750</w:t>
            </w:r>
          </w:p>
        </w:tc>
      </w:tr>
      <w:tr w:rsidR="00E51EAC" w14:paraId="19F1ED90" w14:textId="77777777">
        <w:tc>
          <w:tcPr>
            <w:cnfStyle w:val="001000000000" w:firstRow="0" w:lastRow="0" w:firstColumn="1" w:lastColumn="0" w:oddVBand="0" w:evenVBand="0" w:oddHBand="0" w:evenHBand="0" w:firstRowFirstColumn="0" w:firstRowLastColumn="0" w:lastRowFirstColumn="0" w:lastRowLastColumn="0"/>
            <w:tcW w:w="5103" w:type="dxa"/>
          </w:tcPr>
          <w:p w14:paraId="6F79DE5B" w14:textId="77777777" w:rsidR="00E51EAC" w:rsidRDefault="00182F93">
            <w:r>
              <w:rPr>
                <w:b/>
              </w:rPr>
              <w:t>Expenses from transactions</w:t>
            </w:r>
          </w:p>
        </w:tc>
        <w:tc>
          <w:tcPr>
            <w:tcW w:w="907" w:type="dxa"/>
          </w:tcPr>
          <w:p w14:paraId="3154473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93DC48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1A85E6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33B8C6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E875C6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376A8B0" w14:textId="77777777">
        <w:tc>
          <w:tcPr>
            <w:cnfStyle w:val="001000000000" w:firstRow="0" w:lastRow="0" w:firstColumn="1" w:lastColumn="0" w:oddVBand="0" w:evenVBand="0" w:oddHBand="0" w:evenHBand="0" w:firstRowFirstColumn="0" w:firstRowLastColumn="0" w:lastRowFirstColumn="0" w:lastRowLastColumn="0"/>
            <w:tcW w:w="5103" w:type="dxa"/>
          </w:tcPr>
          <w:p w14:paraId="71335B9E" w14:textId="77777777" w:rsidR="00E51EAC" w:rsidRDefault="00182F93">
            <w:r>
              <w:t>Employee expenses</w:t>
            </w:r>
          </w:p>
        </w:tc>
        <w:tc>
          <w:tcPr>
            <w:tcW w:w="907" w:type="dxa"/>
          </w:tcPr>
          <w:p w14:paraId="5A4E9FFA" w14:textId="77777777" w:rsidR="00E51EAC" w:rsidRDefault="00182F93">
            <w:pPr>
              <w:cnfStyle w:val="000000000000" w:firstRow="0" w:lastRow="0" w:firstColumn="0" w:lastColumn="0" w:oddVBand="0" w:evenVBand="0" w:oddHBand="0" w:evenHBand="0" w:firstRowFirstColumn="0" w:firstRowLastColumn="0" w:lastRowFirstColumn="0" w:lastRowLastColumn="0"/>
            </w:pPr>
            <w:r>
              <w:t>598</w:t>
            </w:r>
          </w:p>
        </w:tc>
        <w:tc>
          <w:tcPr>
            <w:tcW w:w="907" w:type="dxa"/>
          </w:tcPr>
          <w:p w14:paraId="155C2319" w14:textId="77777777" w:rsidR="00E51EAC" w:rsidRDefault="00182F93">
            <w:pPr>
              <w:cnfStyle w:val="000000000000" w:firstRow="0" w:lastRow="0" w:firstColumn="0" w:lastColumn="0" w:oddVBand="0" w:evenVBand="0" w:oddHBand="0" w:evenHBand="0" w:firstRowFirstColumn="0" w:firstRowLastColumn="0" w:lastRowFirstColumn="0" w:lastRowLastColumn="0"/>
            </w:pPr>
            <w:r>
              <w:t>580</w:t>
            </w:r>
          </w:p>
        </w:tc>
        <w:tc>
          <w:tcPr>
            <w:tcW w:w="907" w:type="dxa"/>
          </w:tcPr>
          <w:p w14:paraId="0ABB316E" w14:textId="77777777" w:rsidR="00E51EAC" w:rsidRDefault="00182F93">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4A63F70B" w14:textId="77777777" w:rsidR="00E51EAC" w:rsidRDefault="00182F93">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78092FAB" w14:textId="77777777" w:rsidR="00E51EAC" w:rsidRDefault="00182F93">
            <w:pPr>
              <w:cnfStyle w:val="000000000000" w:firstRow="0" w:lastRow="0" w:firstColumn="0" w:lastColumn="0" w:oddVBand="0" w:evenVBand="0" w:oddHBand="0" w:evenHBand="0" w:firstRowFirstColumn="0" w:firstRowLastColumn="0" w:lastRowFirstColumn="0" w:lastRowLastColumn="0"/>
            </w:pPr>
            <w:r>
              <w:t>536</w:t>
            </w:r>
          </w:p>
        </w:tc>
      </w:tr>
      <w:tr w:rsidR="00E51EAC" w14:paraId="6438653B" w14:textId="77777777">
        <w:tc>
          <w:tcPr>
            <w:cnfStyle w:val="001000000000" w:firstRow="0" w:lastRow="0" w:firstColumn="1" w:lastColumn="0" w:oddVBand="0" w:evenVBand="0" w:oddHBand="0" w:evenHBand="0" w:firstRowFirstColumn="0" w:firstRowLastColumn="0" w:lastRowFirstColumn="0" w:lastRowLastColumn="0"/>
            <w:tcW w:w="5103" w:type="dxa"/>
          </w:tcPr>
          <w:p w14:paraId="4A321B43" w14:textId="77777777" w:rsidR="00E51EAC" w:rsidRDefault="00182F93">
            <w:r>
              <w:t>Other superannuation</w:t>
            </w:r>
          </w:p>
        </w:tc>
        <w:tc>
          <w:tcPr>
            <w:tcW w:w="907" w:type="dxa"/>
          </w:tcPr>
          <w:p w14:paraId="7F4CC36F" w14:textId="77777777" w:rsidR="00E51EAC" w:rsidRDefault="00182F93">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3EF28152" w14:textId="77777777" w:rsidR="00E51EAC" w:rsidRDefault="00182F93">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7857F456"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145875E" w14:textId="77777777" w:rsidR="00E51EAC" w:rsidRDefault="00182F93">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4367125D" w14:textId="77777777" w:rsidR="00E51EAC" w:rsidRDefault="00182F93">
            <w:pPr>
              <w:cnfStyle w:val="000000000000" w:firstRow="0" w:lastRow="0" w:firstColumn="0" w:lastColumn="0" w:oddVBand="0" w:evenVBand="0" w:oddHBand="0" w:evenHBand="0" w:firstRowFirstColumn="0" w:firstRowLastColumn="0" w:lastRowFirstColumn="0" w:lastRowLastColumn="0"/>
            </w:pPr>
            <w:r>
              <w:t>55</w:t>
            </w:r>
          </w:p>
        </w:tc>
      </w:tr>
      <w:tr w:rsidR="00E51EAC" w14:paraId="4BC40668" w14:textId="77777777">
        <w:tc>
          <w:tcPr>
            <w:cnfStyle w:val="001000000000" w:firstRow="0" w:lastRow="0" w:firstColumn="1" w:lastColumn="0" w:oddVBand="0" w:evenVBand="0" w:oddHBand="0" w:evenHBand="0" w:firstRowFirstColumn="0" w:firstRowLastColumn="0" w:lastRowFirstColumn="0" w:lastRowLastColumn="0"/>
            <w:tcW w:w="5103" w:type="dxa"/>
          </w:tcPr>
          <w:p w14:paraId="62907467" w14:textId="77777777" w:rsidR="00E51EAC" w:rsidRDefault="00182F93">
            <w:r>
              <w:t>Depreciation</w:t>
            </w:r>
          </w:p>
        </w:tc>
        <w:tc>
          <w:tcPr>
            <w:tcW w:w="907" w:type="dxa"/>
          </w:tcPr>
          <w:p w14:paraId="5ACE89CE" w14:textId="77777777" w:rsidR="00E51EAC" w:rsidRDefault="00182F93">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40897D60" w14:textId="77777777" w:rsidR="00E51EAC" w:rsidRDefault="00182F93">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759BA809"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6F8A4B24" w14:textId="77777777" w:rsidR="00E51EAC" w:rsidRDefault="00182F93">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2771973F" w14:textId="77777777" w:rsidR="00E51EAC" w:rsidRDefault="00182F93">
            <w:pPr>
              <w:cnfStyle w:val="000000000000" w:firstRow="0" w:lastRow="0" w:firstColumn="0" w:lastColumn="0" w:oddVBand="0" w:evenVBand="0" w:oddHBand="0" w:evenHBand="0" w:firstRowFirstColumn="0" w:firstRowLastColumn="0" w:lastRowFirstColumn="0" w:lastRowLastColumn="0"/>
            </w:pPr>
            <w:r>
              <w:t>88</w:t>
            </w:r>
          </w:p>
        </w:tc>
      </w:tr>
      <w:tr w:rsidR="00E51EAC" w14:paraId="1E59BBB3" w14:textId="77777777">
        <w:tc>
          <w:tcPr>
            <w:cnfStyle w:val="001000000000" w:firstRow="0" w:lastRow="0" w:firstColumn="1" w:lastColumn="0" w:oddVBand="0" w:evenVBand="0" w:oddHBand="0" w:evenHBand="0" w:firstRowFirstColumn="0" w:firstRowLastColumn="0" w:lastRowFirstColumn="0" w:lastRowLastColumn="0"/>
            <w:tcW w:w="5103" w:type="dxa"/>
          </w:tcPr>
          <w:p w14:paraId="3A36984D" w14:textId="77777777" w:rsidR="00E51EAC" w:rsidRDefault="00182F93">
            <w:r>
              <w:t>Interest expense</w:t>
            </w:r>
          </w:p>
        </w:tc>
        <w:tc>
          <w:tcPr>
            <w:tcW w:w="907" w:type="dxa"/>
          </w:tcPr>
          <w:p w14:paraId="5B7D979D" w14:textId="77777777" w:rsidR="00E51EAC" w:rsidRDefault="00182F93">
            <w:pPr>
              <w:cnfStyle w:val="000000000000" w:firstRow="0" w:lastRow="0" w:firstColumn="0" w:lastColumn="0" w:oddVBand="0" w:evenVBand="0" w:oddHBand="0" w:evenHBand="0" w:firstRowFirstColumn="0" w:firstRowLastColumn="0" w:lastRowFirstColumn="0" w:lastRowLastColumn="0"/>
            </w:pPr>
            <w:r>
              <w:t>6 636</w:t>
            </w:r>
          </w:p>
        </w:tc>
        <w:tc>
          <w:tcPr>
            <w:tcW w:w="907" w:type="dxa"/>
          </w:tcPr>
          <w:p w14:paraId="7C2E5379" w14:textId="77777777" w:rsidR="00E51EAC" w:rsidRDefault="00182F93">
            <w:pPr>
              <w:cnfStyle w:val="000000000000" w:firstRow="0" w:lastRow="0" w:firstColumn="0" w:lastColumn="0" w:oddVBand="0" w:evenVBand="0" w:oddHBand="0" w:evenHBand="0" w:firstRowFirstColumn="0" w:firstRowLastColumn="0" w:lastRowFirstColumn="0" w:lastRowLastColumn="0"/>
            </w:pPr>
            <w:r>
              <w:t>6 401</w:t>
            </w:r>
          </w:p>
        </w:tc>
        <w:tc>
          <w:tcPr>
            <w:tcW w:w="907" w:type="dxa"/>
          </w:tcPr>
          <w:p w14:paraId="18454950" w14:textId="77777777" w:rsidR="00E51EAC" w:rsidRDefault="00182F93">
            <w:pPr>
              <w:cnfStyle w:val="000000000000" w:firstRow="0" w:lastRow="0" w:firstColumn="0" w:lastColumn="0" w:oddVBand="0" w:evenVBand="0" w:oddHBand="0" w:evenHBand="0" w:firstRowFirstColumn="0" w:firstRowLastColumn="0" w:lastRowFirstColumn="0" w:lastRowLastColumn="0"/>
            </w:pPr>
            <w:r>
              <w:t>235</w:t>
            </w:r>
          </w:p>
        </w:tc>
        <w:tc>
          <w:tcPr>
            <w:tcW w:w="907" w:type="dxa"/>
          </w:tcPr>
          <w:p w14:paraId="351A3B62" w14:textId="77777777" w:rsidR="00E51EAC" w:rsidRDefault="00182F93">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4A64F6B8" w14:textId="77777777" w:rsidR="00E51EAC" w:rsidRDefault="00182F93">
            <w:pPr>
              <w:cnfStyle w:val="000000000000" w:firstRow="0" w:lastRow="0" w:firstColumn="0" w:lastColumn="0" w:oddVBand="0" w:evenVBand="0" w:oddHBand="0" w:evenHBand="0" w:firstRowFirstColumn="0" w:firstRowLastColumn="0" w:lastRowFirstColumn="0" w:lastRowLastColumn="0"/>
            </w:pPr>
            <w:r>
              <w:t>5 171</w:t>
            </w:r>
          </w:p>
        </w:tc>
      </w:tr>
      <w:tr w:rsidR="00E51EAC" w14:paraId="5107DDC9" w14:textId="77777777">
        <w:tc>
          <w:tcPr>
            <w:cnfStyle w:val="001000000000" w:firstRow="0" w:lastRow="0" w:firstColumn="1" w:lastColumn="0" w:oddVBand="0" w:evenVBand="0" w:oddHBand="0" w:evenHBand="0" w:firstRowFirstColumn="0" w:firstRowLastColumn="0" w:lastRowFirstColumn="0" w:lastRowLastColumn="0"/>
            <w:tcW w:w="5103" w:type="dxa"/>
          </w:tcPr>
          <w:p w14:paraId="7382871C" w14:textId="77777777" w:rsidR="00E51EAC" w:rsidRDefault="00182F93">
            <w:r>
              <w:t>Grant expense</w:t>
            </w:r>
          </w:p>
        </w:tc>
        <w:tc>
          <w:tcPr>
            <w:tcW w:w="907" w:type="dxa"/>
          </w:tcPr>
          <w:p w14:paraId="71862924" w14:textId="77777777" w:rsidR="00E51EAC" w:rsidRDefault="00182F93">
            <w:pPr>
              <w:cnfStyle w:val="000000000000" w:firstRow="0" w:lastRow="0" w:firstColumn="0" w:lastColumn="0" w:oddVBand="0" w:evenVBand="0" w:oddHBand="0" w:evenHBand="0" w:firstRowFirstColumn="0" w:firstRowLastColumn="0" w:lastRowFirstColumn="0" w:lastRowLastColumn="0"/>
            </w:pPr>
            <w:r>
              <w:t>136</w:t>
            </w:r>
          </w:p>
        </w:tc>
        <w:tc>
          <w:tcPr>
            <w:tcW w:w="907" w:type="dxa"/>
          </w:tcPr>
          <w:p w14:paraId="42E5408A" w14:textId="77777777" w:rsidR="00E51EAC" w:rsidRDefault="00182F93">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6FE9CEB6" w14:textId="77777777" w:rsidR="00E51EAC" w:rsidRDefault="00182F93">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77AC217D" w14:textId="77777777" w:rsidR="00E51EAC" w:rsidRDefault="00182F93">
            <w:pPr>
              <w:cnfStyle w:val="000000000000" w:firstRow="0" w:lastRow="0" w:firstColumn="0" w:lastColumn="0" w:oddVBand="0" w:evenVBand="0" w:oddHBand="0" w:evenHBand="0" w:firstRowFirstColumn="0" w:firstRowLastColumn="0" w:lastRowFirstColumn="0" w:lastRowLastColumn="0"/>
            </w:pPr>
            <w:r>
              <w:t>(24.4)</w:t>
            </w:r>
          </w:p>
        </w:tc>
        <w:tc>
          <w:tcPr>
            <w:tcW w:w="907" w:type="dxa"/>
          </w:tcPr>
          <w:p w14:paraId="218D9E8A" w14:textId="77777777" w:rsidR="00E51EAC" w:rsidRDefault="00182F93">
            <w:pPr>
              <w:cnfStyle w:val="000000000000" w:firstRow="0" w:lastRow="0" w:firstColumn="0" w:lastColumn="0" w:oddVBand="0" w:evenVBand="0" w:oddHBand="0" w:evenHBand="0" w:firstRowFirstColumn="0" w:firstRowLastColumn="0" w:lastRowFirstColumn="0" w:lastRowLastColumn="0"/>
            </w:pPr>
            <w:r>
              <w:t>139</w:t>
            </w:r>
          </w:p>
        </w:tc>
      </w:tr>
      <w:tr w:rsidR="00E51EAC" w14:paraId="7A52622E" w14:textId="77777777">
        <w:tc>
          <w:tcPr>
            <w:cnfStyle w:val="001000000000" w:firstRow="0" w:lastRow="0" w:firstColumn="1" w:lastColumn="0" w:oddVBand="0" w:evenVBand="0" w:oddHBand="0" w:evenHBand="0" w:firstRowFirstColumn="0" w:firstRowLastColumn="0" w:lastRowFirstColumn="0" w:lastRowLastColumn="0"/>
            <w:tcW w:w="5103" w:type="dxa"/>
          </w:tcPr>
          <w:p w14:paraId="35D45710" w14:textId="77777777" w:rsidR="00E51EAC" w:rsidRDefault="00182F93">
            <w:r>
              <w:t>Other operating expenses</w:t>
            </w:r>
          </w:p>
        </w:tc>
        <w:tc>
          <w:tcPr>
            <w:tcW w:w="907" w:type="dxa"/>
          </w:tcPr>
          <w:p w14:paraId="2E1CE1FF" w14:textId="77777777" w:rsidR="00E51EAC" w:rsidRDefault="00182F93">
            <w:pPr>
              <w:cnfStyle w:val="000000000000" w:firstRow="0" w:lastRow="0" w:firstColumn="0" w:lastColumn="0" w:oddVBand="0" w:evenVBand="0" w:oddHBand="0" w:evenHBand="0" w:firstRowFirstColumn="0" w:firstRowLastColumn="0" w:lastRowFirstColumn="0" w:lastRowLastColumn="0"/>
            </w:pPr>
            <w:r>
              <w:t>11 569</w:t>
            </w:r>
          </w:p>
        </w:tc>
        <w:tc>
          <w:tcPr>
            <w:tcW w:w="907" w:type="dxa"/>
          </w:tcPr>
          <w:p w14:paraId="2516BDAB" w14:textId="77777777" w:rsidR="00E51EAC" w:rsidRDefault="00182F93">
            <w:pPr>
              <w:cnfStyle w:val="000000000000" w:firstRow="0" w:lastRow="0" w:firstColumn="0" w:lastColumn="0" w:oddVBand="0" w:evenVBand="0" w:oddHBand="0" w:evenHBand="0" w:firstRowFirstColumn="0" w:firstRowLastColumn="0" w:lastRowFirstColumn="0" w:lastRowLastColumn="0"/>
            </w:pPr>
            <w:r>
              <w:t>12 174</w:t>
            </w:r>
          </w:p>
        </w:tc>
        <w:tc>
          <w:tcPr>
            <w:tcW w:w="907" w:type="dxa"/>
          </w:tcPr>
          <w:p w14:paraId="74770E47" w14:textId="77777777" w:rsidR="00E51EAC" w:rsidRDefault="00182F93">
            <w:pPr>
              <w:cnfStyle w:val="000000000000" w:firstRow="0" w:lastRow="0" w:firstColumn="0" w:lastColumn="0" w:oddVBand="0" w:evenVBand="0" w:oddHBand="0" w:evenHBand="0" w:firstRowFirstColumn="0" w:firstRowLastColumn="0" w:lastRowFirstColumn="0" w:lastRowLastColumn="0"/>
            </w:pPr>
            <w:r>
              <w:t>(605)</w:t>
            </w:r>
          </w:p>
        </w:tc>
        <w:tc>
          <w:tcPr>
            <w:tcW w:w="907" w:type="dxa"/>
          </w:tcPr>
          <w:p w14:paraId="166BACBC" w14:textId="77777777" w:rsidR="00E51EAC" w:rsidRDefault="00182F93">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3BCE745A" w14:textId="77777777" w:rsidR="00E51EAC" w:rsidRDefault="00182F93">
            <w:pPr>
              <w:cnfStyle w:val="000000000000" w:firstRow="0" w:lastRow="0" w:firstColumn="0" w:lastColumn="0" w:oddVBand="0" w:evenVBand="0" w:oddHBand="0" w:evenHBand="0" w:firstRowFirstColumn="0" w:firstRowLastColumn="0" w:lastRowFirstColumn="0" w:lastRowLastColumn="0"/>
            </w:pPr>
            <w:r>
              <w:t>11 146</w:t>
            </w:r>
          </w:p>
        </w:tc>
      </w:tr>
      <w:tr w:rsidR="00E51EAC" w14:paraId="09843C8C"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58D7579" w14:textId="77777777" w:rsidR="00E51EAC" w:rsidRDefault="00182F93">
            <w:r>
              <w:t>Other property expenses</w:t>
            </w:r>
          </w:p>
        </w:tc>
        <w:tc>
          <w:tcPr>
            <w:tcW w:w="907" w:type="dxa"/>
            <w:tcBorders>
              <w:bottom w:val="single" w:sz="6" w:space="0" w:color="auto"/>
            </w:tcBorders>
          </w:tcPr>
          <w:p w14:paraId="5EE0790C" w14:textId="77777777" w:rsidR="00E51EAC" w:rsidRDefault="00182F93">
            <w:pPr>
              <w:cnfStyle w:val="000000000000" w:firstRow="0" w:lastRow="0" w:firstColumn="0" w:lastColumn="0" w:oddVBand="0" w:evenVBand="0" w:oddHBand="0" w:evenHBand="0" w:firstRowFirstColumn="0" w:firstRowLastColumn="0" w:lastRowFirstColumn="0" w:lastRowLastColumn="0"/>
            </w:pPr>
            <w:r>
              <w:t>758</w:t>
            </w:r>
          </w:p>
        </w:tc>
        <w:tc>
          <w:tcPr>
            <w:tcW w:w="907" w:type="dxa"/>
            <w:tcBorders>
              <w:bottom w:val="single" w:sz="6" w:space="0" w:color="auto"/>
            </w:tcBorders>
          </w:tcPr>
          <w:p w14:paraId="6490B63F" w14:textId="77777777" w:rsidR="00E51EAC" w:rsidRDefault="00182F93">
            <w:pPr>
              <w:cnfStyle w:val="000000000000" w:firstRow="0" w:lastRow="0" w:firstColumn="0" w:lastColumn="0" w:oddVBand="0" w:evenVBand="0" w:oddHBand="0" w:evenHBand="0" w:firstRowFirstColumn="0" w:firstRowLastColumn="0" w:lastRowFirstColumn="0" w:lastRowLastColumn="0"/>
            </w:pPr>
            <w:r>
              <w:t>251</w:t>
            </w:r>
          </w:p>
        </w:tc>
        <w:tc>
          <w:tcPr>
            <w:tcW w:w="907" w:type="dxa"/>
            <w:tcBorders>
              <w:bottom w:val="single" w:sz="6" w:space="0" w:color="auto"/>
            </w:tcBorders>
          </w:tcPr>
          <w:p w14:paraId="1EAC7684" w14:textId="77777777" w:rsidR="00E51EAC" w:rsidRDefault="00182F93">
            <w:pPr>
              <w:cnfStyle w:val="000000000000" w:firstRow="0" w:lastRow="0" w:firstColumn="0" w:lastColumn="0" w:oddVBand="0" w:evenVBand="0" w:oddHBand="0" w:evenHBand="0" w:firstRowFirstColumn="0" w:firstRowLastColumn="0" w:lastRowFirstColumn="0" w:lastRowLastColumn="0"/>
            </w:pPr>
            <w:r>
              <w:t>507</w:t>
            </w:r>
          </w:p>
        </w:tc>
        <w:tc>
          <w:tcPr>
            <w:tcW w:w="907" w:type="dxa"/>
            <w:tcBorders>
              <w:bottom w:val="single" w:sz="6" w:space="0" w:color="auto"/>
            </w:tcBorders>
          </w:tcPr>
          <w:p w14:paraId="594B6172" w14:textId="77777777" w:rsidR="00E51EAC" w:rsidRDefault="00182F93">
            <w:pPr>
              <w:cnfStyle w:val="000000000000" w:firstRow="0" w:lastRow="0" w:firstColumn="0" w:lastColumn="0" w:oddVBand="0" w:evenVBand="0" w:oddHBand="0" w:evenHBand="0" w:firstRowFirstColumn="0" w:firstRowLastColumn="0" w:lastRowFirstColumn="0" w:lastRowLastColumn="0"/>
            </w:pPr>
            <w:r>
              <w:t>202.1</w:t>
            </w:r>
          </w:p>
        </w:tc>
        <w:tc>
          <w:tcPr>
            <w:tcW w:w="907" w:type="dxa"/>
            <w:tcBorders>
              <w:bottom w:val="single" w:sz="6" w:space="0" w:color="auto"/>
            </w:tcBorders>
          </w:tcPr>
          <w:p w14:paraId="3BE634CC" w14:textId="77777777" w:rsidR="00E51EAC" w:rsidRDefault="00182F93">
            <w:pPr>
              <w:cnfStyle w:val="000000000000" w:firstRow="0" w:lastRow="0" w:firstColumn="0" w:lastColumn="0" w:oddVBand="0" w:evenVBand="0" w:oddHBand="0" w:evenHBand="0" w:firstRowFirstColumn="0" w:firstRowLastColumn="0" w:lastRowFirstColumn="0" w:lastRowLastColumn="0"/>
            </w:pPr>
            <w:r>
              <w:t>554</w:t>
            </w:r>
          </w:p>
        </w:tc>
      </w:tr>
      <w:tr w:rsidR="00E51EAC" w14:paraId="6A1AC641"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1137072" w14:textId="77777777" w:rsidR="00E51EAC" w:rsidRDefault="00182F93">
            <w:r>
              <w:rPr>
                <w:b/>
              </w:rPr>
              <w:t>Total expenses from transactions</w:t>
            </w:r>
          </w:p>
        </w:tc>
        <w:tc>
          <w:tcPr>
            <w:tcW w:w="907" w:type="dxa"/>
            <w:tcBorders>
              <w:top w:val="single" w:sz="6" w:space="0" w:color="auto"/>
              <w:bottom w:val="single" w:sz="6" w:space="0" w:color="auto"/>
            </w:tcBorders>
          </w:tcPr>
          <w:p w14:paraId="51CD97F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19 846</w:t>
            </w:r>
          </w:p>
        </w:tc>
        <w:tc>
          <w:tcPr>
            <w:tcW w:w="907" w:type="dxa"/>
            <w:tcBorders>
              <w:top w:val="single" w:sz="6" w:space="0" w:color="auto"/>
              <w:bottom w:val="single" w:sz="6" w:space="0" w:color="auto"/>
            </w:tcBorders>
          </w:tcPr>
          <w:p w14:paraId="574C7ED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19 728</w:t>
            </w:r>
          </w:p>
        </w:tc>
        <w:tc>
          <w:tcPr>
            <w:tcW w:w="907" w:type="dxa"/>
            <w:tcBorders>
              <w:top w:val="single" w:sz="6" w:space="0" w:color="auto"/>
              <w:bottom w:val="single" w:sz="6" w:space="0" w:color="auto"/>
            </w:tcBorders>
          </w:tcPr>
          <w:p w14:paraId="2CAA748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118</w:t>
            </w:r>
          </w:p>
        </w:tc>
        <w:tc>
          <w:tcPr>
            <w:tcW w:w="907" w:type="dxa"/>
            <w:tcBorders>
              <w:top w:val="single" w:sz="6" w:space="0" w:color="auto"/>
              <w:bottom w:val="single" w:sz="6" w:space="0" w:color="auto"/>
            </w:tcBorders>
          </w:tcPr>
          <w:p w14:paraId="2244BC3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0.6</w:t>
            </w:r>
          </w:p>
        </w:tc>
        <w:tc>
          <w:tcPr>
            <w:tcW w:w="907" w:type="dxa"/>
            <w:tcBorders>
              <w:top w:val="single" w:sz="6" w:space="0" w:color="auto"/>
              <w:bottom w:val="single" w:sz="6" w:space="0" w:color="auto"/>
            </w:tcBorders>
          </w:tcPr>
          <w:p w14:paraId="41F4DEF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17 690</w:t>
            </w:r>
          </w:p>
        </w:tc>
      </w:tr>
      <w:tr w:rsidR="00E51EAC" w14:paraId="5C3633F1"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034969D" w14:textId="225135BC" w:rsidR="00E51EAC" w:rsidRDefault="00182F93">
            <w:r>
              <w:rPr>
                <w:b/>
              </w:rPr>
              <w:t xml:space="preserve">Net result from transactions – </w:t>
            </w:r>
            <w:r w:rsidR="00561035">
              <w:rPr>
                <w:b/>
              </w:rPr>
              <w:t xml:space="preserve">Net </w:t>
            </w:r>
            <w:r>
              <w:rPr>
                <w:b/>
              </w:rPr>
              <w:t>operating balance</w:t>
            </w:r>
          </w:p>
        </w:tc>
        <w:tc>
          <w:tcPr>
            <w:tcW w:w="907" w:type="dxa"/>
            <w:tcBorders>
              <w:top w:val="single" w:sz="6" w:space="0" w:color="auto"/>
              <w:bottom w:val="single" w:sz="6" w:space="0" w:color="auto"/>
            </w:tcBorders>
          </w:tcPr>
          <w:p w14:paraId="1C82C73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(1 415)</w:t>
            </w:r>
          </w:p>
        </w:tc>
        <w:tc>
          <w:tcPr>
            <w:tcW w:w="907" w:type="dxa"/>
            <w:tcBorders>
              <w:top w:val="single" w:sz="6" w:space="0" w:color="auto"/>
              <w:bottom w:val="single" w:sz="6" w:space="0" w:color="auto"/>
            </w:tcBorders>
          </w:tcPr>
          <w:p w14:paraId="6020B1E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(1 287)</w:t>
            </w:r>
          </w:p>
        </w:tc>
        <w:tc>
          <w:tcPr>
            <w:tcW w:w="907" w:type="dxa"/>
            <w:tcBorders>
              <w:top w:val="single" w:sz="6" w:space="0" w:color="auto"/>
              <w:bottom w:val="single" w:sz="6" w:space="0" w:color="auto"/>
            </w:tcBorders>
          </w:tcPr>
          <w:p w14:paraId="6156354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(127)</w:t>
            </w:r>
          </w:p>
        </w:tc>
        <w:tc>
          <w:tcPr>
            <w:tcW w:w="907" w:type="dxa"/>
            <w:tcBorders>
              <w:top w:val="single" w:sz="6" w:space="0" w:color="auto"/>
              <w:bottom w:val="single" w:sz="6" w:space="0" w:color="auto"/>
            </w:tcBorders>
          </w:tcPr>
          <w:p w14:paraId="434795E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9.9</w:t>
            </w:r>
          </w:p>
        </w:tc>
        <w:tc>
          <w:tcPr>
            <w:tcW w:w="907" w:type="dxa"/>
            <w:tcBorders>
              <w:top w:val="single" w:sz="6" w:space="0" w:color="auto"/>
              <w:bottom w:val="single" w:sz="6" w:space="0" w:color="auto"/>
            </w:tcBorders>
          </w:tcPr>
          <w:p w14:paraId="2C4E8AF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(1 940)</w:t>
            </w:r>
          </w:p>
        </w:tc>
      </w:tr>
      <w:tr w:rsidR="00E51EAC" w14:paraId="33095BA2"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26739B50" w14:textId="77777777" w:rsidR="00E51EAC" w:rsidRDefault="00182F93">
            <w:r>
              <w:rPr>
                <w:b/>
              </w:rPr>
              <w:t>Total other economic flows included in net result</w:t>
            </w:r>
          </w:p>
        </w:tc>
        <w:tc>
          <w:tcPr>
            <w:tcW w:w="907" w:type="dxa"/>
            <w:tcBorders>
              <w:top w:val="single" w:sz="6" w:space="0" w:color="auto"/>
              <w:bottom w:val="single" w:sz="6" w:space="0" w:color="auto"/>
            </w:tcBorders>
          </w:tcPr>
          <w:p w14:paraId="3C1A221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(2 109)</w:t>
            </w:r>
          </w:p>
        </w:tc>
        <w:tc>
          <w:tcPr>
            <w:tcW w:w="907" w:type="dxa"/>
            <w:tcBorders>
              <w:top w:val="single" w:sz="6" w:space="0" w:color="auto"/>
              <w:bottom w:val="single" w:sz="6" w:space="0" w:color="auto"/>
            </w:tcBorders>
          </w:tcPr>
          <w:p w14:paraId="519A472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81</w:t>
            </w:r>
          </w:p>
        </w:tc>
        <w:tc>
          <w:tcPr>
            <w:tcW w:w="907" w:type="dxa"/>
            <w:tcBorders>
              <w:top w:val="single" w:sz="6" w:space="0" w:color="auto"/>
              <w:bottom w:val="single" w:sz="6" w:space="0" w:color="auto"/>
            </w:tcBorders>
          </w:tcPr>
          <w:p w14:paraId="26A9C1D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(2 190)</w:t>
            </w:r>
          </w:p>
        </w:tc>
        <w:tc>
          <w:tcPr>
            <w:tcW w:w="907" w:type="dxa"/>
            <w:tcBorders>
              <w:top w:val="single" w:sz="6" w:space="0" w:color="auto"/>
              <w:bottom w:val="single" w:sz="6" w:space="0" w:color="auto"/>
            </w:tcBorders>
          </w:tcPr>
          <w:p w14:paraId="597D76C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(2 697.6)</w:t>
            </w:r>
          </w:p>
        </w:tc>
        <w:tc>
          <w:tcPr>
            <w:tcW w:w="907" w:type="dxa"/>
            <w:tcBorders>
              <w:top w:val="single" w:sz="6" w:space="0" w:color="auto"/>
              <w:bottom w:val="single" w:sz="6" w:space="0" w:color="auto"/>
            </w:tcBorders>
          </w:tcPr>
          <w:p w14:paraId="3D42497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3 260</w:t>
            </w:r>
          </w:p>
        </w:tc>
      </w:tr>
      <w:tr w:rsidR="00E51EAC" w14:paraId="1C17A849"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90D23EE" w14:textId="77777777" w:rsidR="00E51EAC" w:rsidRDefault="00182F93">
            <w:r>
              <w:rPr>
                <w:b/>
              </w:rPr>
              <w:t>Net result</w:t>
            </w:r>
          </w:p>
        </w:tc>
        <w:tc>
          <w:tcPr>
            <w:tcW w:w="907" w:type="dxa"/>
            <w:tcBorders>
              <w:top w:val="single" w:sz="6" w:space="0" w:color="auto"/>
              <w:bottom w:val="single" w:sz="12" w:space="0" w:color="auto"/>
            </w:tcBorders>
          </w:tcPr>
          <w:p w14:paraId="58281F4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(3 523)</w:t>
            </w:r>
          </w:p>
        </w:tc>
        <w:tc>
          <w:tcPr>
            <w:tcW w:w="907" w:type="dxa"/>
            <w:tcBorders>
              <w:top w:val="single" w:sz="6" w:space="0" w:color="auto"/>
              <w:bottom w:val="single" w:sz="12" w:space="0" w:color="auto"/>
            </w:tcBorders>
          </w:tcPr>
          <w:p w14:paraId="1644BB0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(1 206)</w:t>
            </w:r>
          </w:p>
        </w:tc>
        <w:tc>
          <w:tcPr>
            <w:tcW w:w="907" w:type="dxa"/>
            <w:tcBorders>
              <w:top w:val="single" w:sz="6" w:space="0" w:color="auto"/>
              <w:bottom w:val="single" w:sz="12" w:space="0" w:color="auto"/>
            </w:tcBorders>
          </w:tcPr>
          <w:p w14:paraId="65C7423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(2 317)</w:t>
            </w:r>
          </w:p>
        </w:tc>
        <w:tc>
          <w:tcPr>
            <w:tcW w:w="907" w:type="dxa"/>
            <w:tcBorders>
              <w:top w:val="single" w:sz="6" w:space="0" w:color="auto"/>
              <w:bottom w:val="single" w:sz="12" w:space="0" w:color="auto"/>
            </w:tcBorders>
          </w:tcPr>
          <w:p w14:paraId="2844604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192.1</w:t>
            </w:r>
          </w:p>
        </w:tc>
        <w:tc>
          <w:tcPr>
            <w:tcW w:w="907" w:type="dxa"/>
            <w:tcBorders>
              <w:top w:val="single" w:sz="6" w:space="0" w:color="auto"/>
              <w:bottom w:val="single" w:sz="12" w:space="0" w:color="auto"/>
            </w:tcBorders>
          </w:tcPr>
          <w:p w14:paraId="622E0F8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1 320</w:t>
            </w:r>
          </w:p>
        </w:tc>
      </w:tr>
    </w:tbl>
    <w:p w14:paraId="5FB4D055" w14:textId="1E050A6F" w:rsidR="00366656" w:rsidRDefault="00366656" w:rsidP="00366656">
      <w:pPr>
        <w:pStyle w:val="Heading3"/>
      </w:pPr>
      <w:bookmarkStart w:id="22" w:name="_Hlk143778581"/>
      <w:r>
        <w:t>Revenue</w:t>
      </w:r>
    </w:p>
    <w:p w14:paraId="0BA6B73D"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36A9322F" w14:textId="126A4F4B" w:rsidR="00366656" w:rsidRPr="003626D6" w:rsidRDefault="00366656" w:rsidP="00366656">
      <w:r w:rsidRPr="003626D6">
        <w:t xml:space="preserve">Total revenue </w:t>
      </w:r>
      <w:r w:rsidR="00E8041C">
        <w:t>and income</w:t>
      </w:r>
      <w:r w:rsidRPr="003626D6">
        <w:t xml:space="preserve"> from transactions for the PFC sector </w:t>
      </w:r>
      <w:r w:rsidRPr="00B22B02">
        <w:t>was $1</w:t>
      </w:r>
      <w:r w:rsidR="00903AA5" w:rsidRPr="00B22B02">
        <w:t>8</w:t>
      </w:r>
      <w:r w:rsidR="00F53117" w:rsidRPr="00B22B02">
        <w:t>.4</w:t>
      </w:r>
      <w:r w:rsidRPr="00B22B02">
        <w:t> billion in 202</w:t>
      </w:r>
      <w:r w:rsidR="00F53117" w:rsidRPr="00B22B02">
        <w:t>4</w:t>
      </w:r>
      <w:r w:rsidRPr="00B22B02">
        <w:t>-2</w:t>
      </w:r>
      <w:r w:rsidR="00F53117" w:rsidRPr="00B22B02">
        <w:t>5</w:t>
      </w:r>
      <w:r w:rsidRPr="003626D6">
        <w:t xml:space="preserve">. This is </w:t>
      </w:r>
      <w:r w:rsidR="00DE37F4">
        <w:t xml:space="preserve">consistent with </w:t>
      </w:r>
      <w:r w:rsidRPr="003626D6">
        <w:t xml:space="preserve">the revised budget </w:t>
      </w:r>
      <w:r w:rsidRPr="00787E62">
        <w:t>and $</w:t>
      </w:r>
      <w:r w:rsidR="006A0396" w:rsidRPr="00787E62">
        <w:t>2.7</w:t>
      </w:r>
      <w:r w:rsidRPr="00787E62">
        <w:t xml:space="preserve"> billion, or </w:t>
      </w:r>
      <w:r w:rsidR="00B13AB7" w:rsidRPr="00787E62">
        <w:t>17</w:t>
      </w:r>
      <w:r w:rsidRPr="00787E62">
        <w:t xml:space="preserve"> per cent, </w:t>
      </w:r>
      <w:r w:rsidRPr="00917DC2">
        <w:t>higher than in 202</w:t>
      </w:r>
      <w:r w:rsidR="00917DC2" w:rsidRPr="00917DC2">
        <w:t>3</w:t>
      </w:r>
      <w:r w:rsidRPr="00917DC2">
        <w:t>-2</w:t>
      </w:r>
      <w:r w:rsidR="00917DC2" w:rsidRPr="00917DC2">
        <w:t>4</w:t>
      </w:r>
      <w:r w:rsidRPr="00917DC2">
        <w:t>.</w:t>
      </w:r>
      <w:r w:rsidRPr="003626D6">
        <w:t xml:space="preserve"> </w:t>
      </w:r>
    </w:p>
    <w:p w14:paraId="13F6FEBB" w14:textId="7DFDBB33" w:rsidR="00366656" w:rsidRDefault="00366656" w:rsidP="00366656">
      <w:r w:rsidRPr="003626D6">
        <w:t>As shown in Table 3.5, TCV</w:t>
      </w:r>
      <w:r w:rsidR="00845934">
        <w:t>’</w:t>
      </w:r>
      <w:r w:rsidRPr="003626D6">
        <w:t xml:space="preserve">s interest income </w:t>
      </w:r>
      <w:r w:rsidRPr="00FC12EE">
        <w:t>was $</w:t>
      </w:r>
      <w:r w:rsidR="00265B0A" w:rsidRPr="00FC12EE">
        <w:t>94</w:t>
      </w:r>
      <w:r w:rsidRPr="00FC12EE">
        <w:t xml:space="preserve"> million lower</w:t>
      </w:r>
      <w:r w:rsidRPr="003626D6">
        <w:t xml:space="preserve"> than the revised budget</w:t>
      </w:r>
      <w:r w:rsidR="00CB332B">
        <w:t>, along with</w:t>
      </w:r>
      <w:r w:rsidR="008A0F9F">
        <w:t xml:space="preserve"> </w:t>
      </w:r>
      <w:r w:rsidR="008269CC">
        <w:t xml:space="preserve">income from </w:t>
      </w:r>
      <w:r w:rsidR="00CB332B">
        <w:t xml:space="preserve">the </w:t>
      </w:r>
      <w:r w:rsidR="00A64348">
        <w:t>sale of goods and services</w:t>
      </w:r>
      <w:r w:rsidR="008269CC">
        <w:t xml:space="preserve"> </w:t>
      </w:r>
      <w:r w:rsidR="00E875CE">
        <w:t xml:space="preserve">by </w:t>
      </w:r>
      <w:r w:rsidR="009F6DA0">
        <w:t>the State</w:t>
      </w:r>
      <w:r w:rsidR="00845934">
        <w:t>’</w:t>
      </w:r>
      <w:r w:rsidR="009F6DA0">
        <w:t>s</w:t>
      </w:r>
      <w:r w:rsidR="000F7051">
        <w:t xml:space="preserve"> </w:t>
      </w:r>
      <w:r w:rsidR="009F6DA0">
        <w:t xml:space="preserve">insurance agencies </w:t>
      </w:r>
      <w:r w:rsidR="00C47D4E">
        <w:t>that</w:t>
      </w:r>
      <w:r w:rsidR="008269CC">
        <w:t xml:space="preserve"> was </w:t>
      </w:r>
      <w:r w:rsidR="00A65C11">
        <w:t>$74 million less than the revised budget</w:t>
      </w:r>
      <w:r w:rsidR="00CB332B">
        <w:t>.</w:t>
      </w:r>
      <w:r w:rsidR="00C47D4E">
        <w:t xml:space="preserve"> </w:t>
      </w:r>
      <w:r w:rsidRPr="003626D6">
        <w:t>However, the impact this had on the PFC sector</w:t>
      </w:r>
      <w:r w:rsidR="00845934">
        <w:t>’</w:t>
      </w:r>
      <w:r w:rsidRPr="003626D6">
        <w:t xml:space="preserve">s total revenue for </w:t>
      </w:r>
      <w:r w:rsidRPr="00FC12EE">
        <w:t>202</w:t>
      </w:r>
      <w:r w:rsidR="00025173" w:rsidRPr="00FC12EE">
        <w:t>4</w:t>
      </w:r>
      <w:r w:rsidR="00561035">
        <w:noBreakHyphen/>
      </w:r>
      <w:r w:rsidRPr="00FC12EE">
        <w:t>2</w:t>
      </w:r>
      <w:r w:rsidR="00025173" w:rsidRPr="00FC12EE">
        <w:t>5</w:t>
      </w:r>
      <w:r w:rsidRPr="00FC12EE">
        <w:t xml:space="preserve"> was</w:t>
      </w:r>
      <w:r w:rsidRPr="003626D6">
        <w:t xml:space="preserve"> </w:t>
      </w:r>
      <w:r w:rsidRPr="00FC12EE">
        <w:t>offset by dividends which were $1</w:t>
      </w:r>
      <w:r w:rsidR="009316B6" w:rsidRPr="00FC12EE">
        <w:t>51</w:t>
      </w:r>
      <w:r w:rsidR="00D123D7" w:rsidRPr="00FC12EE">
        <w:t> </w:t>
      </w:r>
      <w:r w:rsidRPr="00FC12EE">
        <w:t>million higher</w:t>
      </w:r>
      <w:r w:rsidRPr="003626D6">
        <w:t xml:space="preserve"> than the revised budget. This was primarily due to stronger than expected investment market returns on the assets held by the State</w:t>
      </w:r>
      <w:r w:rsidR="00845934">
        <w:t>’</w:t>
      </w:r>
      <w:r w:rsidRPr="003626D6">
        <w:t>s insurance agencies.</w:t>
      </w:r>
    </w:p>
    <w:p w14:paraId="3821AA60" w14:textId="6F23BC5E" w:rsidR="00366656" w:rsidRDefault="00DE1E51" w:rsidP="00366656">
      <w:r>
        <w:br w:type="column"/>
      </w:r>
      <w:r w:rsidR="00366656" w:rsidRPr="004B36F4">
        <w:t>Compared with 202</w:t>
      </w:r>
      <w:r w:rsidR="005B3E4F" w:rsidRPr="004B36F4">
        <w:t>3</w:t>
      </w:r>
      <w:r w:rsidR="00366656" w:rsidRPr="004B36F4">
        <w:t>-2</w:t>
      </w:r>
      <w:r w:rsidR="005B3E4F" w:rsidRPr="004B36F4">
        <w:t>4</w:t>
      </w:r>
      <w:r w:rsidR="00366656" w:rsidRPr="004B36F4">
        <w:t xml:space="preserve">, the increase in revenue </w:t>
      </w:r>
      <w:r w:rsidR="00361B0F">
        <w:t>and income</w:t>
      </w:r>
      <w:r w:rsidR="00366656" w:rsidRPr="004B36F4">
        <w:t xml:space="preserve"> from transactions is primarily attributable to higher interest income for TCV </w:t>
      </w:r>
      <w:r w:rsidR="00366656" w:rsidRPr="00233050">
        <w:t>and an</w:t>
      </w:r>
      <w:r w:rsidR="00366656">
        <w:t xml:space="preserve"> increase in </w:t>
      </w:r>
      <w:r w:rsidR="00EA752E">
        <w:t>dividends</w:t>
      </w:r>
      <w:r w:rsidR="00366656">
        <w:t xml:space="preserve"> due to </w:t>
      </w:r>
      <w:r w:rsidR="003B1FB0">
        <w:t>higher</w:t>
      </w:r>
      <w:r w:rsidR="00366656">
        <w:t xml:space="preserve"> average </w:t>
      </w:r>
      <w:r w:rsidR="003B1FB0">
        <w:t>investment return</w:t>
      </w:r>
      <w:r w:rsidR="00A342CA">
        <w:t xml:space="preserve">s earned by the </w:t>
      </w:r>
      <w:r w:rsidR="00233050">
        <w:t>insurers</w:t>
      </w:r>
      <w:r w:rsidR="003B1FB0">
        <w:t xml:space="preserve"> </w:t>
      </w:r>
      <w:r w:rsidR="00863C75">
        <w:t>of 11.4</w:t>
      </w:r>
      <w:r>
        <w:t> </w:t>
      </w:r>
      <w:r w:rsidR="004D48C1">
        <w:t>per cent</w:t>
      </w:r>
      <w:r w:rsidR="00366656">
        <w:t xml:space="preserve"> in </w:t>
      </w:r>
      <w:r w:rsidR="00863C75">
        <w:t>2024-25 compared</w:t>
      </w:r>
      <w:r w:rsidR="00366656">
        <w:t xml:space="preserve"> </w:t>
      </w:r>
      <w:r w:rsidR="004D48C1">
        <w:t xml:space="preserve">with </w:t>
      </w:r>
      <w:r w:rsidR="00A342CA">
        <w:t>9.4</w:t>
      </w:r>
      <w:r w:rsidR="00366656">
        <w:t xml:space="preserve"> </w:t>
      </w:r>
      <w:r w:rsidR="004D48C1">
        <w:t>per cent</w:t>
      </w:r>
      <w:r w:rsidR="00366656">
        <w:t xml:space="preserve"> in 2023-24.</w:t>
      </w:r>
      <w:r w:rsidR="00B60CCC">
        <w:t xml:space="preserve"> </w:t>
      </w:r>
    </w:p>
    <w:p w14:paraId="7E91EA08" w14:textId="77777777" w:rsidR="00366656" w:rsidRDefault="00366656" w:rsidP="00DE1E51">
      <w:pPr>
        <w:pStyle w:val="Heading3"/>
        <w:pageBreakBefore/>
      </w:pPr>
      <w:r>
        <w:lastRenderedPageBreak/>
        <w:t>Expenses</w:t>
      </w:r>
    </w:p>
    <w:p w14:paraId="07144CC3" w14:textId="33490247" w:rsidR="00E72D09" w:rsidRDefault="00366656" w:rsidP="00366656">
      <w:r w:rsidRPr="003626D6">
        <w:t xml:space="preserve">Total expenses from transactions for the PFC sector were </w:t>
      </w:r>
      <w:r w:rsidRPr="00FD7AD3">
        <w:t>$1</w:t>
      </w:r>
      <w:r w:rsidR="00397710" w:rsidRPr="00FD7AD3">
        <w:t>9</w:t>
      </w:r>
      <w:r w:rsidRPr="00FD7AD3">
        <w:t>.</w:t>
      </w:r>
      <w:r w:rsidR="00397710" w:rsidRPr="00FD7AD3">
        <w:t>8</w:t>
      </w:r>
      <w:r w:rsidRPr="00FD7AD3">
        <w:t> billion in 202</w:t>
      </w:r>
      <w:r w:rsidR="00397710" w:rsidRPr="00FD7AD3">
        <w:t>4</w:t>
      </w:r>
      <w:r w:rsidRPr="00FD7AD3">
        <w:t>-2</w:t>
      </w:r>
      <w:r w:rsidR="00397710" w:rsidRPr="00FD7AD3">
        <w:t>5</w:t>
      </w:r>
      <w:r w:rsidRPr="00FD7AD3">
        <w:t>. This was $</w:t>
      </w:r>
      <w:r w:rsidR="00C7145B" w:rsidRPr="00FD7AD3">
        <w:t>118</w:t>
      </w:r>
      <w:r w:rsidR="00DE1E51">
        <w:t> </w:t>
      </w:r>
      <w:r w:rsidRPr="00FD7AD3">
        <w:t xml:space="preserve">million </w:t>
      </w:r>
      <w:r w:rsidR="00C7145B" w:rsidRPr="00FD7AD3">
        <w:t>higher</w:t>
      </w:r>
      <w:r w:rsidRPr="003626D6">
        <w:t xml:space="preserve"> than the revised budget due to </w:t>
      </w:r>
      <w:r w:rsidR="00C7145B">
        <w:t>higher</w:t>
      </w:r>
      <w:r w:rsidR="00D655EF" w:rsidRPr="003626D6">
        <w:t>-</w:t>
      </w:r>
      <w:r w:rsidRPr="003626D6">
        <w:t>than</w:t>
      </w:r>
      <w:r w:rsidR="00D655EF" w:rsidRPr="003626D6">
        <w:t>-</w:t>
      </w:r>
      <w:r w:rsidRPr="003626D6">
        <w:t xml:space="preserve">expected </w:t>
      </w:r>
      <w:r w:rsidR="00D47C84">
        <w:t xml:space="preserve">income tax </w:t>
      </w:r>
      <w:r w:rsidR="00507625">
        <w:t>equivalents</w:t>
      </w:r>
      <w:r w:rsidR="00B97C19">
        <w:t xml:space="preserve"> </w:t>
      </w:r>
      <w:r w:rsidR="00A5287B">
        <w:t xml:space="preserve">for </w:t>
      </w:r>
      <w:r w:rsidR="00A400E0">
        <w:t xml:space="preserve">the </w:t>
      </w:r>
      <w:r w:rsidR="009644D5">
        <w:t>State</w:t>
      </w:r>
      <w:r w:rsidR="00845934">
        <w:t>’</w:t>
      </w:r>
      <w:r w:rsidR="009644D5">
        <w:t>s insurance agencies</w:t>
      </w:r>
      <w:r w:rsidR="00A400E0">
        <w:t xml:space="preserve"> </w:t>
      </w:r>
      <w:r w:rsidR="00D618FA">
        <w:t>which form part of</w:t>
      </w:r>
      <w:r w:rsidR="00B97C19">
        <w:t xml:space="preserve"> </w:t>
      </w:r>
      <w:r w:rsidR="00E1783D">
        <w:t>other property expenses</w:t>
      </w:r>
      <w:r w:rsidR="00A45F1F">
        <w:t xml:space="preserve"> and</w:t>
      </w:r>
      <w:r w:rsidR="00C22D0E">
        <w:t xml:space="preserve"> higher than expected interest expense</w:t>
      </w:r>
      <w:r w:rsidR="00BC74FE">
        <w:t xml:space="preserve"> incurred by TCV</w:t>
      </w:r>
      <w:r w:rsidR="00A45F1F">
        <w:t>. Th</w:t>
      </w:r>
      <w:r w:rsidR="00FD7AD3">
        <w:t>e increase</w:t>
      </w:r>
      <w:r w:rsidR="00A45F1F">
        <w:t xml:space="preserve"> was partially off</w:t>
      </w:r>
      <w:r w:rsidR="00F76AA5">
        <w:t>set by lower</w:t>
      </w:r>
      <w:r w:rsidR="003F7D2F">
        <w:t xml:space="preserve"> </w:t>
      </w:r>
      <w:r w:rsidR="00641998">
        <w:t>than</w:t>
      </w:r>
      <w:r w:rsidR="00CE3A72">
        <w:t xml:space="preserve"> </w:t>
      </w:r>
      <w:r w:rsidR="00641998">
        <w:t xml:space="preserve">expected </w:t>
      </w:r>
      <w:r w:rsidR="00EB1B66">
        <w:t xml:space="preserve">claims payments coupled with a </w:t>
      </w:r>
      <w:r w:rsidR="00AD4DEF">
        <w:t>favourable impact of the actu</w:t>
      </w:r>
      <w:r w:rsidR="00247156">
        <w:t>arial release</w:t>
      </w:r>
      <w:r w:rsidR="00DE4072">
        <w:t xml:space="preserve"> for</w:t>
      </w:r>
      <w:r w:rsidR="00FD7AD3">
        <w:t xml:space="preserve"> the WorkSafe Victoria year end valuation.</w:t>
      </w:r>
      <w:r w:rsidR="006B1BFC">
        <w:t xml:space="preserve"> </w:t>
      </w:r>
    </w:p>
    <w:p w14:paraId="39217BE3" w14:textId="183EB112" w:rsidR="00366656" w:rsidRPr="003626D6" w:rsidRDefault="00366656" w:rsidP="00366656">
      <w:r w:rsidRPr="003626D6">
        <w:t xml:space="preserve">Total expenses from transactions for the PFC </w:t>
      </w:r>
      <w:r w:rsidRPr="007605C2">
        <w:t>sector were $2</w:t>
      </w:r>
      <w:r w:rsidR="00D017D2" w:rsidRPr="007605C2">
        <w:t>.2</w:t>
      </w:r>
      <w:r w:rsidRPr="007605C2">
        <w:t> billion, or 12.</w:t>
      </w:r>
      <w:r w:rsidR="007605C2" w:rsidRPr="007605C2">
        <w:t>2</w:t>
      </w:r>
      <w:r w:rsidRPr="007605C2">
        <w:t> per cent, higher in 202</w:t>
      </w:r>
      <w:r w:rsidR="007605C2">
        <w:t>4</w:t>
      </w:r>
      <w:r w:rsidRPr="007605C2">
        <w:t>-2</w:t>
      </w:r>
      <w:r w:rsidR="007605C2">
        <w:t>5</w:t>
      </w:r>
      <w:r w:rsidRPr="003626D6">
        <w:t xml:space="preserve"> compared with the previous year. This increase was largely due to </w:t>
      </w:r>
      <w:r w:rsidR="00FF595E" w:rsidRPr="003626D6">
        <w:t>a higher interest expense for TCV</w:t>
      </w:r>
      <w:r w:rsidR="00FF595E">
        <w:t xml:space="preserve"> and</w:t>
      </w:r>
      <w:r w:rsidRPr="003626D6">
        <w:t xml:space="preserve"> increased claims expenses for the State</w:t>
      </w:r>
      <w:r w:rsidR="00845934">
        <w:t>’</w:t>
      </w:r>
      <w:r w:rsidRPr="003626D6">
        <w:t>s insurance agencies</w:t>
      </w:r>
      <w:r w:rsidR="00FF595E">
        <w:t>.</w:t>
      </w:r>
    </w:p>
    <w:p w14:paraId="549A74F4" w14:textId="77777777" w:rsidR="00366656" w:rsidRPr="003626D6" w:rsidRDefault="00366656" w:rsidP="00366656">
      <w:pPr>
        <w:pStyle w:val="Heading3"/>
      </w:pPr>
      <w:r w:rsidRPr="003626D6">
        <w:t>Net result from transactions</w:t>
      </w:r>
    </w:p>
    <w:p w14:paraId="4485850A" w14:textId="1961D59F" w:rsidR="00366656" w:rsidRPr="003626D6" w:rsidRDefault="00366656" w:rsidP="00366656">
      <w:r w:rsidRPr="003626D6">
        <w:t xml:space="preserve">Overall, the increase in expenses was lower than the increase in revenue such that the </w:t>
      </w:r>
      <w:r w:rsidRPr="00161325">
        <w:t>PFC sector</w:t>
      </w:r>
      <w:r w:rsidR="00845934">
        <w:t>’</w:t>
      </w:r>
      <w:r w:rsidRPr="00161325">
        <w:t>s net result from transactions improved from a deficit of $</w:t>
      </w:r>
      <w:r w:rsidR="00BD4411" w:rsidRPr="00161325">
        <w:t>1.9</w:t>
      </w:r>
      <w:r w:rsidRPr="00161325">
        <w:t> billion in 202</w:t>
      </w:r>
      <w:r w:rsidR="00BD4411" w:rsidRPr="00161325">
        <w:t>3</w:t>
      </w:r>
      <w:r w:rsidRPr="00161325">
        <w:t>-2</w:t>
      </w:r>
      <w:r w:rsidR="00BD4411" w:rsidRPr="00161325">
        <w:t>4</w:t>
      </w:r>
      <w:r w:rsidRPr="00161325">
        <w:t xml:space="preserve"> to a deficit of $1.</w:t>
      </w:r>
      <w:r w:rsidR="00161325" w:rsidRPr="00161325">
        <w:t>4</w:t>
      </w:r>
      <w:r w:rsidRPr="00161325">
        <w:t> billion in 202</w:t>
      </w:r>
      <w:r w:rsidR="00161325" w:rsidRPr="00161325">
        <w:t>4</w:t>
      </w:r>
      <w:r w:rsidRPr="00161325">
        <w:t>-2</w:t>
      </w:r>
      <w:r w:rsidR="00161325" w:rsidRPr="00161325">
        <w:t>5</w:t>
      </w:r>
      <w:r w:rsidRPr="00161325">
        <w:t>.</w:t>
      </w:r>
      <w:r w:rsidRPr="003626D6">
        <w:t xml:space="preserve"> </w:t>
      </w:r>
    </w:p>
    <w:bookmarkEnd w:id="22"/>
    <w:p w14:paraId="514DA6A6" w14:textId="119FF289" w:rsidR="00366656" w:rsidRPr="003626D6" w:rsidRDefault="00366656" w:rsidP="00366656">
      <w:pPr>
        <w:pStyle w:val="Heading3"/>
      </w:pPr>
      <w:r w:rsidRPr="003626D6">
        <w:t>Net result and other economic flows</w:t>
      </w:r>
    </w:p>
    <w:p w14:paraId="1E1EB009" w14:textId="3466913C" w:rsidR="004B5FF3" w:rsidRDefault="00366656" w:rsidP="004B5FF3">
      <w:r w:rsidRPr="003626D6">
        <w:t>The net result from transactions does not include some significant drivers of the PFC sector</w:t>
      </w:r>
      <w:r w:rsidR="00845934">
        <w:t>’</w:t>
      </w:r>
      <w:r w:rsidRPr="003626D6">
        <w:t>s performance, such as revaluations and capital gains on the investments held by the State</w:t>
      </w:r>
      <w:r w:rsidR="00845934">
        <w:t>’</w:t>
      </w:r>
      <w:r w:rsidRPr="003626D6">
        <w:t>s insurance agencies. In accordance with Australian accounting standards, these items are disclosed as other economic flows</w:t>
      </w:r>
      <w:r w:rsidRPr="0064568C">
        <w:t>. In 202</w:t>
      </w:r>
      <w:r w:rsidR="00E75A57" w:rsidRPr="0064568C">
        <w:t>4</w:t>
      </w:r>
      <w:r w:rsidRPr="0064568C">
        <w:t>-2</w:t>
      </w:r>
      <w:r w:rsidR="00E75A57" w:rsidRPr="0064568C">
        <w:t>5</w:t>
      </w:r>
      <w:r w:rsidRPr="0064568C">
        <w:t xml:space="preserve">, other economic flows for the PFC sector were </w:t>
      </w:r>
      <w:r w:rsidR="00E75A57" w:rsidRPr="0064568C">
        <w:t>negative</w:t>
      </w:r>
      <w:r w:rsidRPr="0064568C">
        <w:t xml:space="preserve"> $</w:t>
      </w:r>
      <w:r w:rsidR="00E75A57" w:rsidRPr="0064568C">
        <w:t>2.1</w:t>
      </w:r>
      <w:r w:rsidRPr="0064568C">
        <w:t> billion and primarily arose due to</w:t>
      </w:r>
      <w:r w:rsidR="004B5FF3">
        <w:t xml:space="preserve"> </w:t>
      </w:r>
      <w:r w:rsidR="00FA2CDC">
        <w:t xml:space="preserve">unrealised </w:t>
      </w:r>
      <w:r w:rsidR="008D6A7E" w:rsidRPr="008D6A7E">
        <w:t>losses on the mark</w:t>
      </w:r>
      <w:r w:rsidR="00B64349">
        <w:noBreakHyphen/>
      </w:r>
      <w:r w:rsidR="008D6A7E" w:rsidRPr="008D6A7E">
        <w:t>to</w:t>
      </w:r>
      <w:r w:rsidR="004B67BC">
        <w:noBreakHyphen/>
      </w:r>
      <w:r w:rsidR="008D6A7E" w:rsidRPr="008D6A7E">
        <w:t>market revaluation of TCV borrowings due to changes in discount rates</w:t>
      </w:r>
      <w:r w:rsidR="004B5FF3">
        <w:t>.</w:t>
      </w:r>
    </w:p>
    <w:p w14:paraId="187B32F3" w14:textId="3FC4F9B7" w:rsidR="00D46D1C" w:rsidRDefault="004B5FF3" w:rsidP="004B5FF3">
      <w:r>
        <w:t xml:space="preserve">The </w:t>
      </w:r>
      <w:r w:rsidR="00D162F1">
        <w:t>losses incurred on TCV borrowings were partially offset by</w:t>
      </w:r>
      <w:r w:rsidR="005E2F21">
        <w:t>:</w:t>
      </w:r>
      <w:r w:rsidR="009D56D3">
        <w:t xml:space="preserve"> </w:t>
      </w:r>
    </w:p>
    <w:p w14:paraId="17EAA275" w14:textId="3BCCDBD0" w:rsidR="00366656" w:rsidRPr="003626D6" w:rsidRDefault="00366656" w:rsidP="00366656">
      <w:pPr>
        <w:pStyle w:val="ListBullet"/>
      </w:pPr>
      <w:r w:rsidRPr="003626D6">
        <w:t xml:space="preserve">a net revaluation gain that arose due to the combined impact of changes in claims assumptions, as well as </w:t>
      </w:r>
      <w:r w:rsidR="001A6C3D">
        <w:t xml:space="preserve">a </w:t>
      </w:r>
      <w:r w:rsidR="00931C58">
        <w:t>decrease</w:t>
      </w:r>
      <w:r w:rsidRPr="003626D6">
        <w:t xml:space="preserve"> in the discount rates (</w:t>
      </w:r>
      <w:r w:rsidR="00346EF4">
        <w:t>negative</w:t>
      </w:r>
      <w:r w:rsidRPr="003626D6">
        <w:t>) and inflation rates (</w:t>
      </w:r>
      <w:r w:rsidR="00346EF4">
        <w:t>positive</w:t>
      </w:r>
      <w:r w:rsidRPr="003626D6">
        <w:t>) that are used to value the liabilities of the State</w:t>
      </w:r>
      <w:r w:rsidR="00845934">
        <w:t>’</w:t>
      </w:r>
      <w:r w:rsidRPr="003626D6">
        <w:t>s insurance agencies</w:t>
      </w:r>
    </w:p>
    <w:p w14:paraId="1F671DA0" w14:textId="15EC8CCC" w:rsidR="00366656" w:rsidRPr="003626D6" w:rsidRDefault="00366656" w:rsidP="00366656">
      <w:pPr>
        <w:pStyle w:val="ListBullet"/>
      </w:pPr>
      <w:r w:rsidRPr="003626D6">
        <w:t>unrealised gains on the investments held by the State</w:t>
      </w:r>
      <w:r w:rsidR="00845934">
        <w:t>’</w:t>
      </w:r>
      <w:r w:rsidRPr="003626D6">
        <w:t>s insurance agencies due to favourable investment market performance</w:t>
      </w:r>
    </w:p>
    <w:p w14:paraId="51E842AA" w14:textId="33FE6B5D" w:rsidR="00366656" w:rsidRPr="003626D6" w:rsidRDefault="00366656" w:rsidP="00366656">
      <w:pPr>
        <w:pStyle w:val="ListBullet"/>
      </w:pPr>
      <w:r w:rsidRPr="003626D6">
        <w:t>the release of risk margins and claims handling expenses</w:t>
      </w:r>
      <w:r w:rsidR="005B4B3B">
        <w:t xml:space="preserve"> </w:t>
      </w:r>
      <w:r w:rsidR="001F1A49">
        <w:t>in the State</w:t>
      </w:r>
      <w:r w:rsidR="00845934">
        <w:t>’</w:t>
      </w:r>
      <w:r w:rsidR="001F1A49">
        <w:t>s insurance agencies</w:t>
      </w:r>
      <w:r w:rsidRPr="003626D6">
        <w:t>.</w:t>
      </w:r>
    </w:p>
    <w:p w14:paraId="56524ECB" w14:textId="10D381B4" w:rsidR="00366656" w:rsidRDefault="00366656" w:rsidP="00366656">
      <w:r w:rsidRPr="008A350B">
        <w:t xml:space="preserve">Overall, this resulted in the PFC sector reporting a net </w:t>
      </w:r>
      <w:r w:rsidR="00313524" w:rsidRPr="008A350B">
        <w:t>loss</w:t>
      </w:r>
      <w:r w:rsidRPr="008A350B">
        <w:t xml:space="preserve"> of $3</w:t>
      </w:r>
      <w:r w:rsidR="00313524" w:rsidRPr="008A350B">
        <w:t>.5</w:t>
      </w:r>
      <w:r w:rsidRPr="008A350B">
        <w:t xml:space="preserve"> billion in 202</w:t>
      </w:r>
      <w:r w:rsidR="00313524" w:rsidRPr="008A350B">
        <w:t>4</w:t>
      </w:r>
      <w:r w:rsidRPr="008A350B">
        <w:t>-2</w:t>
      </w:r>
      <w:r w:rsidR="00313524">
        <w:t>5</w:t>
      </w:r>
      <w:r w:rsidRPr="003626D6">
        <w:t>.</w:t>
      </w:r>
    </w:p>
    <w:p w14:paraId="15D056FC"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5E7D248C" w14:textId="77777777" w:rsidR="00366656" w:rsidRDefault="00366656" w:rsidP="00097095"/>
    <w:p w14:paraId="4D1D6DEB" w14:textId="77777777" w:rsidR="00366656" w:rsidRDefault="00366656">
      <w:pPr>
        <w:keepLines w:val="0"/>
        <w:rPr>
          <w:rFonts w:asciiTheme="majorHAnsi" w:eastAsiaTheme="majorEastAsia" w:hAnsiTheme="majorHAnsi" w:cstheme="majorBidi"/>
          <w:b/>
          <w:sz w:val="27"/>
          <w:szCs w:val="26"/>
        </w:rPr>
      </w:pPr>
      <w:r>
        <w:br w:type="page"/>
      </w:r>
    </w:p>
    <w:p w14:paraId="6392DBFD" w14:textId="0EFAF88A" w:rsidR="00366656" w:rsidRDefault="00366656" w:rsidP="00366656">
      <w:pPr>
        <w:pStyle w:val="Heading2"/>
        <w:spacing w:before="0"/>
        <w:ind w:left="0" w:firstLine="0"/>
      </w:pPr>
      <w:r>
        <w:lastRenderedPageBreak/>
        <w:t>Financial position</w:t>
      </w:r>
    </w:p>
    <w:p w14:paraId="77E224E7" w14:textId="0C095451" w:rsidR="00366656" w:rsidRDefault="00366656" w:rsidP="00366656">
      <w:pPr>
        <w:pStyle w:val="TableHeading"/>
      </w:pPr>
      <w:r w:rsidRPr="00200564">
        <w:t>Table 3.</w:t>
      </w:r>
      <w:r>
        <w:t>6</w:t>
      </w:r>
      <w:r w:rsidRPr="00200564">
        <w:t>:</w:t>
      </w:r>
      <w:r w:rsidRPr="00200564">
        <w:tab/>
      </w:r>
      <w:r>
        <w:t>202</w:t>
      </w:r>
      <w:r w:rsidR="00597F42">
        <w:t>4</w:t>
      </w:r>
      <w:r>
        <w:t>-2</w:t>
      </w:r>
      <w:r w:rsidR="00597F42">
        <w:t>5</w:t>
      </w:r>
      <w:r>
        <w:t xml:space="preserve"> s</w:t>
      </w:r>
      <w:r w:rsidRPr="00200564">
        <w:t xml:space="preserve">ummary balance sheet – </w:t>
      </w:r>
      <w:r>
        <w:t>PFC sector</w:t>
      </w:r>
      <w:r w:rsidRPr="00200564">
        <w:t xml:space="preserve"> </w:t>
      </w:r>
      <w:r w:rsidRPr="002005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BS_PFC"/>
      </w:tblPr>
      <w:tblGrid>
        <w:gridCol w:w="5103"/>
        <w:gridCol w:w="907"/>
        <w:gridCol w:w="907"/>
        <w:gridCol w:w="907"/>
        <w:gridCol w:w="907"/>
        <w:gridCol w:w="907"/>
      </w:tblGrid>
      <w:tr w:rsidR="00991200" w14:paraId="4D66FDF8" w14:textId="77777777" w:rsidTr="00F66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29FA8FF" w14:textId="77777777" w:rsidR="00F66433" w:rsidRDefault="00F66433">
            <w:pPr>
              <w:keepNext/>
            </w:pPr>
          </w:p>
        </w:tc>
        <w:tc>
          <w:tcPr>
            <w:tcW w:w="907" w:type="dxa"/>
          </w:tcPr>
          <w:p w14:paraId="52232C7B"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A6E4F77"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64EB4778"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121AC1F"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73D4FFD2"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5B5A1B71" w14:textId="77777777" w:rsidTr="00F664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329F57B" w14:textId="77777777" w:rsidR="00F66433" w:rsidRDefault="00F66433">
            <w:pPr>
              <w:keepNext/>
            </w:pPr>
          </w:p>
        </w:tc>
        <w:tc>
          <w:tcPr>
            <w:tcW w:w="907" w:type="dxa"/>
          </w:tcPr>
          <w:p w14:paraId="7BBB0FC0"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52582F10"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1C126264"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07" w:type="dxa"/>
          </w:tcPr>
          <w:p w14:paraId="0855472F"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907" w:type="dxa"/>
          </w:tcPr>
          <w:p w14:paraId="4A989A09" w14:textId="77777777" w:rsidR="00F66433" w:rsidRDefault="004A6378">
            <w:pPr>
              <w:keepNext/>
              <w:cnfStyle w:val="100000000000" w:firstRow="1" w:lastRow="0" w:firstColumn="0" w:lastColumn="0" w:oddVBand="0" w:evenVBand="0" w:oddHBand="0" w:evenHBand="0" w:firstRowFirstColumn="0" w:firstRowLastColumn="0" w:lastRowFirstColumn="0" w:lastRowLastColumn="0"/>
            </w:pPr>
            <w:r>
              <w:t>actual</w:t>
            </w:r>
          </w:p>
        </w:tc>
      </w:tr>
      <w:tr w:rsidR="00F66433" w14:paraId="60E59991" w14:textId="77777777">
        <w:tc>
          <w:tcPr>
            <w:cnfStyle w:val="001000000000" w:firstRow="0" w:lastRow="0" w:firstColumn="1" w:lastColumn="0" w:oddVBand="0" w:evenVBand="0" w:oddHBand="0" w:evenHBand="0" w:firstRowFirstColumn="0" w:firstRowLastColumn="0" w:lastRowFirstColumn="0" w:lastRowLastColumn="0"/>
            <w:tcW w:w="5103" w:type="dxa"/>
          </w:tcPr>
          <w:p w14:paraId="2ADBA587" w14:textId="77777777" w:rsidR="00F66433" w:rsidRDefault="004A6378">
            <w:r>
              <w:rPr>
                <w:b/>
              </w:rPr>
              <w:t>Assets</w:t>
            </w:r>
          </w:p>
        </w:tc>
        <w:tc>
          <w:tcPr>
            <w:tcW w:w="907" w:type="dxa"/>
          </w:tcPr>
          <w:p w14:paraId="4769FFF6"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488D6AFD"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744E57F4"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7C9128FE"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67DE9421"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r>
      <w:tr w:rsidR="00F66433" w14:paraId="201D35CE" w14:textId="77777777">
        <w:tc>
          <w:tcPr>
            <w:cnfStyle w:val="001000000000" w:firstRow="0" w:lastRow="0" w:firstColumn="1" w:lastColumn="0" w:oddVBand="0" w:evenVBand="0" w:oddHBand="0" w:evenHBand="0" w:firstRowFirstColumn="0" w:firstRowLastColumn="0" w:lastRowFirstColumn="0" w:lastRowLastColumn="0"/>
            <w:tcW w:w="5103" w:type="dxa"/>
          </w:tcPr>
          <w:p w14:paraId="634138E0" w14:textId="77777777" w:rsidR="00F66433" w:rsidRDefault="004A6378">
            <w:r>
              <w:t>Financial assets</w:t>
            </w:r>
            <w:r>
              <w:rPr>
                <w:vertAlign w:val="superscript"/>
              </w:rPr>
              <w:t xml:space="preserve"> (a)</w:t>
            </w:r>
          </w:p>
        </w:tc>
        <w:tc>
          <w:tcPr>
            <w:tcW w:w="907" w:type="dxa"/>
          </w:tcPr>
          <w:p w14:paraId="582FC41D" w14:textId="77777777" w:rsidR="00F66433" w:rsidRDefault="004A6378">
            <w:pPr>
              <w:cnfStyle w:val="000000000000" w:firstRow="0" w:lastRow="0" w:firstColumn="0" w:lastColumn="0" w:oddVBand="0" w:evenVBand="0" w:oddHBand="0" w:evenHBand="0" w:firstRowFirstColumn="0" w:firstRowLastColumn="0" w:lastRowFirstColumn="0" w:lastRowLastColumn="0"/>
            </w:pPr>
            <w:r>
              <w:t>252.2</w:t>
            </w:r>
          </w:p>
        </w:tc>
        <w:tc>
          <w:tcPr>
            <w:tcW w:w="907" w:type="dxa"/>
          </w:tcPr>
          <w:p w14:paraId="3B83651A" w14:textId="77777777" w:rsidR="00F66433" w:rsidRDefault="004A6378">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3ACA64BF" w14:textId="77777777" w:rsidR="00F66433" w:rsidRDefault="004A6378">
            <w:pPr>
              <w:cnfStyle w:val="000000000000" w:firstRow="0" w:lastRow="0" w:firstColumn="0" w:lastColumn="0" w:oddVBand="0" w:evenVBand="0" w:oddHBand="0" w:evenHBand="0" w:firstRowFirstColumn="0" w:firstRowLastColumn="0" w:lastRowFirstColumn="0" w:lastRowLastColumn="0"/>
            </w:pPr>
            <w:r>
              <w:t>255.8</w:t>
            </w:r>
          </w:p>
        </w:tc>
        <w:tc>
          <w:tcPr>
            <w:tcW w:w="907" w:type="dxa"/>
          </w:tcPr>
          <w:p w14:paraId="0187C61D" w14:textId="77777777" w:rsidR="00F66433" w:rsidRDefault="004A6378">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50C7E807" w14:textId="77777777" w:rsidR="00F66433" w:rsidRDefault="004A6378">
            <w:pPr>
              <w:cnfStyle w:val="000000000000" w:firstRow="0" w:lastRow="0" w:firstColumn="0" w:lastColumn="0" w:oddVBand="0" w:evenVBand="0" w:oddHBand="0" w:evenHBand="0" w:firstRowFirstColumn="0" w:firstRowLastColumn="0" w:lastRowFirstColumn="0" w:lastRowLastColumn="0"/>
            </w:pPr>
            <w:r>
              <w:t>224.6</w:t>
            </w:r>
          </w:p>
        </w:tc>
      </w:tr>
      <w:tr w:rsidR="00F66433" w14:paraId="771BF076"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BA5D5F0" w14:textId="77777777" w:rsidR="00F66433" w:rsidRDefault="004A6378">
            <w:r>
              <w:t>Non</w:t>
            </w:r>
            <w:r>
              <w:noBreakHyphen/>
              <w:t>financial assets</w:t>
            </w:r>
            <w:r>
              <w:rPr>
                <w:vertAlign w:val="superscript"/>
              </w:rPr>
              <w:t xml:space="preserve"> (b)</w:t>
            </w:r>
          </w:p>
        </w:tc>
        <w:tc>
          <w:tcPr>
            <w:tcW w:w="907" w:type="dxa"/>
            <w:tcBorders>
              <w:bottom w:val="single" w:sz="6" w:space="0" w:color="auto"/>
            </w:tcBorders>
          </w:tcPr>
          <w:p w14:paraId="440D1135" w14:textId="77777777" w:rsidR="00F66433" w:rsidRDefault="004A6378">
            <w:pPr>
              <w:cnfStyle w:val="000000000000" w:firstRow="0" w:lastRow="0" w:firstColumn="0" w:lastColumn="0" w:oddVBand="0" w:evenVBand="0" w:oddHBand="0" w:evenHBand="0" w:firstRowFirstColumn="0" w:firstRowLastColumn="0" w:lastRowFirstColumn="0" w:lastRowLastColumn="0"/>
            </w:pPr>
            <w:r>
              <w:t>3.3</w:t>
            </w:r>
          </w:p>
        </w:tc>
        <w:tc>
          <w:tcPr>
            <w:tcW w:w="907" w:type="dxa"/>
            <w:tcBorders>
              <w:bottom w:val="single" w:sz="6" w:space="0" w:color="auto"/>
            </w:tcBorders>
          </w:tcPr>
          <w:p w14:paraId="445A00DC" w14:textId="77777777" w:rsidR="00F66433" w:rsidRDefault="004A6378">
            <w:pPr>
              <w:cnfStyle w:val="000000000000" w:firstRow="0" w:lastRow="0" w:firstColumn="0" w:lastColumn="0" w:oddVBand="0" w:evenVBand="0" w:oddHBand="0" w:evenHBand="0" w:firstRowFirstColumn="0" w:firstRowLastColumn="0" w:lastRowFirstColumn="0" w:lastRowLastColumn="0"/>
            </w:pPr>
            <w:r>
              <w:t>(0.1)</w:t>
            </w:r>
          </w:p>
        </w:tc>
        <w:tc>
          <w:tcPr>
            <w:tcW w:w="907" w:type="dxa"/>
            <w:tcBorders>
              <w:bottom w:val="single" w:sz="6" w:space="0" w:color="auto"/>
            </w:tcBorders>
          </w:tcPr>
          <w:p w14:paraId="4BDFD342" w14:textId="77777777" w:rsidR="00F66433" w:rsidRDefault="004A6378">
            <w:pPr>
              <w:cnfStyle w:val="000000000000" w:firstRow="0" w:lastRow="0" w:firstColumn="0" w:lastColumn="0" w:oddVBand="0" w:evenVBand="0" w:oddHBand="0" w:evenHBand="0" w:firstRowFirstColumn="0" w:firstRowLastColumn="0" w:lastRowFirstColumn="0" w:lastRowLastColumn="0"/>
            </w:pPr>
            <w:r>
              <w:t>3.3</w:t>
            </w:r>
          </w:p>
        </w:tc>
        <w:tc>
          <w:tcPr>
            <w:tcW w:w="907" w:type="dxa"/>
            <w:tcBorders>
              <w:bottom w:val="single" w:sz="6" w:space="0" w:color="auto"/>
            </w:tcBorders>
          </w:tcPr>
          <w:p w14:paraId="64B874EC" w14:textId="77777777" w:rsidR="00F66433" w:rsidRDefault="004A6378">
            <w:pPr>
              <w:cnfStyle w:val="000000000000" w:firstRow="0" w:lastRow="0" w:firstColumn="0" w:lastColumn="0" w:oddVBand="0" w:evenVBand="0" w:oddHBand="0" w:evenHBand="0" w:firstRowFirstColumn="0" w:firstRowLastColumn="0" w:lastRowFirstColumn="0" w:lastRowLastColumn="0"/>
            </w:pPr>
            <w:r>
              <w:t>(0.3)</w:t>
            </w:r>
          </w:p>
        </w:tc>
        <w:tc>
          <w:tcPr>
            <w:tcW w:w="907" w:type="dxa"/>
            <w:tcBorders>
              <w:bottom w:val="single" w:sz="6" w:space="0" w:color="auto"/>
            </w:tcBorders>
          </w:tcPr>
          <w:p w14:paraId="136A7BCC" w14:textId="77777777" w:rsidR="00F66433" w:rsidRDefault="004A6378">
            <w:pPr>
              <w:cnfStyle w:val="000000000000" w:firstRow="0" w:lastRow="0" w:firstColumn="0" w:lastColumn="0" w:oddVBand="0" w:evenVBand="0" w:oddHBand="0" w:evenHBand="0" w:firstRowFirstColumn="0" w:firstRowLastColumn="0" w:lastRowFirstColumn="0" w:lastRowLastColumn="0"/>
            </w:pPr>
            <w:r>
              <w:t>3.6</w:t>
            </w:r>
          </w:p>
        </w:tc>
      </w:tr>
      <w:tr w:rsidR="00F66433" w14:paraId="27040DBD"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5E4D748" w14:textId="77777777" w:rsidR="00F66433" w:rsidRDefault="004A6378">
            <w:r>
              <w:rPr>
                <w:b/>
              </w:rPr>
              <w:t>Total assets</w:t>
            </w:r>
          </w:p>
        </w:tc>
        <w:tc>
          <w:tcPr>
            <w:tcW w:w="907" w:type="dxa"/>
            <w:tcBorders>
              <w:top w:val="single" w:sz="6" w:space="0" w:color="auto"/>
            </w:tcBorders>
          </w:tcPr>
          <w:p w14:paraId="372394BD"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255.5</w:t>
            </w:r>
          </w:p>
        </w:tc>
        <w:tc>
          <w:tcPr>
            <w:tcW w:w="907" w:type="dxa"/>
            <w:tcBorders>
              <w:top w:val="single" w:sz="6" w:space="0" w:color="auto"/>
            </w:tcBorders>
          </w:tcPr>
          <w:p w14:paraId="6B0DD73F"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(3.6)</w:t>
            </w:r>
          </w:p>
        </w:tc>
        <w:tc>
          <w:tcPr>
            <w:tcW w:w="907" w:type="dxa"/>
            <w:tcBorders>
              <w:top w:val="single" w:sz="6" w:space="0" w:color="auto"/>
            </w:tcBorders>
          </w:tcPr>
          <w:p w14:paraId="0D077BC2"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259.1</w:t>
            </w:r>
          </w:p>
        </w:tc>
        <w:tc>
          <w:tcPr>
            <w:tcW w:w="907" w:type="dxa"/>
            <w:tcBorders>
              <w:top w:val="single" w:sz="6" w:space="0" w:color="auto"/>
            </w:tcBorders>
          </w:tcPr>
          <w:p w14:paraId="73237C4B"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27.4</w:t>
            </w:r>
          </w:p>
        </w:tc>
        <w:tc>
          <w:tcPr>
            <w:tcW w:w="907" w:type="dxa"/>
            <w:tcBorders>
              <w:top w:val="single" w:sz="6" w:space="0" w:color="auto"/>
            </w:tcBorders>
          </w:tcPr>
          <w:p w14:paraId="336439A4"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228.2</w:t>
            </w:r>
          </w:p>
        </w:tc>
      </w:tr>
      <w:tr w:rsidR="00F66433" w14:paraId="3F7F9668" w14:textId="77777777">
        <w:tc>
          <w:tcPr>
            <w:cnfStyle w:val="001000000000" w:firstRow="0" w:lastRow="0" w:firstColumn="1" w:lastColumn="0" w:oddVBand="0" w:evenVBand="0" w:oddHBand="0" w:evenHBand="0" w:firstRowFirstColumn="0" w:firstRowLastColumn="0" w:lastRowFirstColumn="0" w:lastRowLastColumn="0"/>
            <w:tcW w:w="5103" w:type="dxa"/>
          </w:tcPr>
          <w:p w14:paraId="618FD83C" w14:textId="77777777" w:rsidR="00F66433" w:rsidRDefault="004A6378">
            <w:r>
              <w:rPr>
                <w:b/>
              </w:rPr>
              <w:t>Liabilities</w:t>
            </w:r>
          </w:p>
        </w:tc>
        <w:tc>
          <w:tcPr>
            <w:tcW w:w="907" w:type="dxa"/>
          </w:tcPr>
          <w:p w14:paraId="6667680F"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281007BA"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0A054337"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06F043E4"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c>
          <w:tcPr>
            <w:tcW w:w="907" w:type="dxa"/>
          </w:tcPr>
          <w:p w14:paraId="4A692A10" w14:textId="77777777" w:rsidR="00F66433" w:rsidRDefault="00F66433">
            <w:pPr>
              <w:cnfStyle w:val="000000000000" w:firstRow="0" w:lastRow="0" w:firstColumn="0" w:lastColumn="0" w:oddVBand="0" w:evenVBand="0" w:oddHBand="0" w:evenHBand="0" w:firstRowFirstColumn="0" w:firstRowLastColumn="0" w:lastRowFirstColumn="0" w:lastRowLastColumn="0"/>
            </w:pPr>
          </w:p>
        </w:tc>
      </w:tr>
      <w:tr w:rsidR="00F66433" w14:paraId="32DE74CE" w14:textId="77777777">
        <w:tc>
          <w:tcPr>
            <w:cnfStyle w:val="001000000000" w:firstRow="0" w:lastRow="0" w:firstColumn="1" w:lastColumn="0" w:oddVBand="0" w:evenVBand="0" w:oddHBand="0" w:evenHBand="0" w:firstRowFirstColumn="0" w:firstRowLastColumn="0" w:lastRowFirstColumn="0" w:lastRowLastColumn="0"/>
            <w:tcW w:w="5103" w:type="dxa"/>
          </w:tcPr>
          <w:p w14:paraId="1CB9F185" w14:textId="77777777" w:rsidR="00F66433" w:rsidRDefault="004A6378">
            <w:r>
              <w:t>Borrowings</w:t>
            </w:r>
          </w:p>
        </w:tc>
        <w:tc>
          <w:tcPr>
            <w:tcW w:w="907" w:type="dxa"/>
          </w:tcPr>
          <w:p w14:paraId="247337B6" w14:textId="77777777" w:rsidR="00F66433" w:rsidRDefault="004A6378">
            <w:pPr>
              <w:cnfStyle w:val="000000000000" w:firstRow="0" w:lastRow="0" w:firstColumn="0" w:lastColumn="0" w:oddVBand="0" w:evenVBand="0" w:oddHBand="0" w:evenHBand="0" w:firstRowFirstColumn="0" w:firstRowLastColumn="0" w:lastRowFirstColumn="0" w:lastRowLastColumn="0"/>
            </w:pPr>
            <w:r>
              <w:t>188.2</w:t>
            </w:r>
          </w:p>
        </w:tc>
        <w:tc>
          <w:tcPr>
            <w:tcW w:w="907" w:type="dxa"/>
          </w:tcPr>
          <w:p w14:paraId="732D0406" w14:textId="77777777" w:rsidR="00F66433" w:rsidRDefault="004A637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21006240" w14:textId="77777777" w:rsidR="00F66433" w:rsidRDefault="004A6378">
            <w:pPr>
              <w:cnfStyle w:val="000000000000" w:firstRow="0" w:lastRow="0" w:firstColumn="0" w:lastColumn="0" w:oddVBand="0" w:evenVBand="0" w:oddHBand="0" w:evenHBand="0" w:firstRowFirstColumn="0" w:firstRowLastColumn="0" w:lastRowFirstColumn="0" w:lastRowLastColumn="0"/>
            </w:pPr>
            <w:r>
              <w:t>190.0</w:t>
            </w:r>
          </w:p>
        </w:tc>
        <w:tc>
          <w:tcPr>
            <w:tcW w:w="907" w:type="dxa"/>
          </w:tcPr>
          <w:p w14:paraId="26C605B2" w14:textId="77777777" w:rsidR="00F66433" w:rsidRDefault="004A6378">
            <w:pPr>
              <w:cnfStyle w:val="000000000000" w:firstRow="0" w:lastRow="0" w:firstColumn="0" w:lastColumn="0" w:oddVBand="0" w:evenVBand="0" w:oddHBand="0" w:evenHBand="0" w:firstRowFirstColumn="0" w:firstRowLastColumn="0" w:lastRowFirstColumn="0" w:lastRowLastColumn="0"/>
            </w:pPr>
            <w:r>
              <w:t>27.4</w:t>
            </w:r>
          </w:p>
        </w:tc>
        <w:tc>
          <w:tcPr>
            <w:tcW w:w="907" w:type="dxa"/>
          </w:tcPr>
          <w:p w14:paraId="15D54C57" w14:textId="77777777" w:rsidR="00F66433" w:rsidRDefault="004A6378">
            <w:pPr>
              <w:cnfStyle w:val="000000000000" w:firstRow="0" w:lastRow="0" w:firstColumn="0" w:lastColumn="0" w:oddVBand="0" w:evenVBand="0" w:oddHBand="0" w:evenHBand="0" w:firstRowFirstColumn="0" w:firstRowLastColumn="0" w:lastRowFirstColumn="0" w:lastRowLastColumn="0"/>
            </w:pPr>
            <w:r>
              <w:t>160.7</w:t>
            </w:r>
          </w:p>
        </w:tc>
      </w:tr>
      <w:tr w:rsidR="00F66433" w14:paraId="07D2E4AE" w14:textId="77777777">
        <w:tc>
          <w:tcPr>
            <w:cnfStyle w:val="001000000000" w:firstRow="0" w:lastRow="0" w:firstColumn="1" w:lastColumn="0" w:oddVBand="0" w:evenVBand="0" w:oddHBand="0" w:evenHBand="0" w:firstRowFirstColumn="0" w:firstRowLastColumn="0" w:lastRowFirstColumn="0" w:lastRowLastColumn="0"/>
            <w:tcW w:w="5103" w:type="dxa"/>
          </w:tcPr>
          <w:p w14:paraId="1B33DC74" w14:textId="77777777" w:rsidR="00F66433" w:rsidRDefault="004A6378">
            <w:r>
              <w:t>Other provisions</w:t>
            </w:r>
          </w:p>
        </w:tc>
        <w:tc>
          <w:tcPr>
            <w:tcW w:w="907" w:type="dxa"/>
          </w:tcPr>
          <w:p w14:paraId="2F9D0AE9" w14:textId="77777777" w:rsidR="00F66433" w:rsidRDefault="004A6378">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36B84C09" w14:textId="77777777" w:rsidR="00F66433" w:rsidRDefault="004A6378">
            <w:pPr>
              <w:cnfStyle w:val="000000000000" w:firstRow="0" w:lastRow="0" w:firstColumn="0" w:lastColumn="0" w:oddVBand="0" w:evenVBand="0" w:oddHBand="0" w:evenHBand="0" w:firstRowFirstColumn="0" w:firstRowLastColumn="0" w:lastRowFirstColumn="0" w:lastRowLastColumn="0"/>
            </w:pPr>
            <w:r>
              <w:t>0.1</w:t>
            </w:r>
          </w:p>
        </w:tc>
        <w:tc>
          <w:tcPr>
            <w:tcW w:w="907" w:type="dxa"/>
          </w:tcPr>
          <w:p w14:paraId="5749C25F" w14:textId="77777777" w:rsidR="00F66433" w:rsidRDefault="004A6378">
            <w:pPr>
              <w:cnfStyle w:val="000000000000" w:firstRow="0" w:lastRow="0" w:firstColumn="0" w:lastColumn="0" w:oddVBand="0" w:evenVBand="0" w:oddHBand="0" w:evenHBand="0" w:firstRowFirstColumn="0" w:firstRowLastColumn="0" w:lastRowFirstColumn="0" w:lastRowLastColumn="0"/>
            </w:pPr>
            <w:r>
              <w:t>53.9</w:t>
            </w:r>
          </w:p>
        </w:tc>
        <w:tc>
          <w:tcPr>
            <w:tcW w:w="907" w:type="dxa"/>
          </w:tcPr>
          <w:p w14:paraId="43B28CD4" w14:textId="77777777" w:rsidR="00F66433" w:rsidRDefault="004A6378">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33D18472" w14:textId="77777777" w:rsidR="00F66433" w:rsidRDefault="004A6378">
            <w:pPr>
              <w:cnfStyle w:val="000000000000" w:firstRow="0" w:lastRow="0" w:firstColumn="0" w:lastColumn="0" w:oddVBand="0" w:evenVBand="0" w:oddHBand="0" w:evenHBand="0" w:firstRowFirstColumn="0" w:firstRowLastColumn="0" w:lastRowFirstColumn="0" w:lastRowLastColumn="0"/>
            </w:pPr>
            <w:r>
              <w:t>50.4</w:t>
            </w:r>
          </w:p>
        </w:tc>
      </w:tr>
      <w:tr w:rsidR="00F66433" w14:paraId="2E0A9626"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09BA3D4" w14:textId="77777777" w:rsidR="00F66433" w:rsidRDefault="004A6378">
            <w:r>
              <w:t>Other liabilities</w:t>
            </w:r>
            <w:r>
              <w:rPr>
                <w:vertAlign w:val="superscript"/>
              </w:rPr>
              <w:t xml:space="preserve"> (c)</w:t>
            </w:r>
          </w:p>
        </w:tc>
        <w:tc>
          <w:tcPr>
            <w:tcW w:w="907" w:type="dxa"/>
            <w:tcBorders>
              <w:bottom w:val="single" w:sz="6" w:space="0" w:color="auto"/>
            </w:tcBorders>
          </w:tcPr>
          <w:p w14:paraId="2DE8D3D5" w14:textId="77777777" w:rsidR="00F66433" w:rsidRDefault="004A6378">
            <w:pPr>
              <w:cnfStyle w:val="000000000000" w:firstRow="0" w:lastRow="0" w:firstColumn="0" w:lastColumn="0" w:oddVBand="0" w:evenVBand="0" w:oddHBand="0" w:evenHBand="0" w:firstRowFirstColumn="0" w:firstRowLastColumn="0" w:lastRowFirstColumn="0" w:lastRowLastColumn="0"/>
            </w:pPr>
            <w:r>
              <w:t>4.0</w:t>
            </w:r>
          </w:p>
        </w:tc>
        <w:tc>
          <w:tcPr>
            <w:tcW w:w="907" w:type="dxa"/>
            <w:tcBorders>
              <w:bottom w:val="single" w:sz="6" w:space="0" w:color="auto"/>
            </w:tcBorders>
          </w:tcPr>
          <w:p w14:paraId="581367B9" w14:textId="77777777" w:rsidR="00F66433" w:rsidRDefault="004A6378">
            <w:pPr>
              <w:cnfStyle w:val="000000000000" w:firstRow="0" w:lastRow="0" w:firstColumn="0" w:lastColumn="0" w:oddVBand="0" w:evenVBand="0" w:oddHBand="0" w:evenHBand="0" w:firstRowFirstColumn="0" w:firstRowLastColumn="0" w:lastRowFirstColumn="0" w:lastRowLastColumn="0"/>
            </w:pPr>
            <w:r>
              <w:t>0.7</w:t>
            </w:r>
          </w:p>
        </w:tc>
        <w:tc>
          <w:tcPr>
            <w:tcW w:w="907" w:type="dxa"/>
            <w:tcBorders>
              <w:bottom w:val="single" w:sz="6" w:space="0" w:color="auto"/>
            </w:tcBorders>
          </w:tcPr>
          <w:p w14:paraId="7B7EF9C6" w14:textId="77777777" w:rsidR="00F66433" w:rsidRDefault="004A6378">
            <w:pP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51410B67" w14:textId="77777777" w:rsidR="00F66433" w:rsidRDefault="004A6378">
            <w:pPr>
              <w:cnfStyle w:val="000000000000" w:firstRow="0" w:lastRow="0" w:firstColumn="0" w:lastColumn="0" w:oddVBand="0" w:evenVBand="0" w:oddHBand="0" w:evenHBand="0" w:firstRowFirstColumn="0" w:firstRowLastColumn="0" w:lastRowFirstColumn="0" w:lastRowLastColumn="0"/>
            </w:pPr>
            <w:r>
              <w:t>0.6</w:t>
            </w:r>
          </w:p>
        </w:tc>
        <w:tc>
          <w:tcPr>
            <w:tcW w:w="907" w:type="dxa"/>
            <w:tcBorders>
              <w:bottom w:val="single" w:sz="6" w:space="0" w:color="auto"/>
            </w:tcBorders>
          </w:tcPr>
          <w:p w14:paraId="475F4C9A" w14:textId="77777777" w:rsidR="00F66433" w:rsidRDefault="004A6378">
            <w:pPr>
              <w:cnfStyle w:val="000000000000" w:firstRow="0" w:lastRow="0" w:firstColumn="0" w:lastColumn="0" w:oddVBand="0" w:evenVBand="0" w:oddHBand="0" w:evenHBand="0" w:firstRowFirstColumn="0" w:firstRowLastColumn="0" w:lastRowFirstColumn="0" w:lastRowLastColumn="0"/>
            </w:pPr>
            <w:r>
              <w:t>3.4</w:t>
            </w:r>
          </w:p>
        </w:tc>
      </w:tr>
      <w:tr w:rsidR="00F66433" w14:paraId="57ECF634"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72F005A" w14:textId="77777777" w:rsidR="00F66433" w:rsidRDefault="004A6378">
            <w:r>
              <w:rPr>
                <w:b/>
              </w:rPr>
              <w:t>Total liabilities</w:t>
            </w:r>
          </w:p>
        </w:tc>
        <w:tc>
          <w:tcPr>
            <w:tcW w:w="907" w:type="dxa"/>
            <w:tcBorders>
              <w:top w:val="single" w:sz="6" w:space="0" w:color="auto"/>
              <w:bottom w:val="single" w:sz="6" w:space="0" w:color="auto"/>
            </w:tcBorders>
          </w:tcPr>
          <w:p w14:paraId="112D60A7"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246.2</w:t>
            </w:r>
          </w:p>
        </w:tc>
        <w:tc>
          <w:tcPr>
            <w:tcW w:w="907" w:type="dxa"/>
            <w:tcBorders>
              <w:top w:val="single" w:sz="6" w:space="0" w:color="auto"/>
              <w:bottom w:val="single" w:sz="6" w:space="0" w:color="auto"/>
            </w:tcBorders>
          </w:tcPr>
          <w:p w14:paraId="14E1A5FC"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(1.1)</w:t>
            </w:r>
          </w:p>
        </w:tc>
        <w:tc>
          <w:tcPr>
            <w:tcW w:w="907" w:type="dxa"/>
            <w:tcBorders>
              <w:top w:val="single" w:sz="6" w:space="0" w:color="auto"/>
              <w:bottom w:val="single" w:sz="6" w:space="0" w:color="auto"/>
            </w:tcBorders>
          </w:tcPr>
          <w:p w14:paraId="2FA97AAE"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247.2</w:t>
            </w:r>
          </w:p>
        </w:tc>
        <w:tc>
          <w:tcPr>
            <w:tcW w:w="907" w:type="dxa"/>
            <w:tcBorders>
              <w:top w:val="single" w:sz="6" w:space="0" w:color="auto"/>
              <w:bottom w:val="single" w:sz="6" w:space="0" w:color="auto"/>
            </w:tcBorders>
          </w:tcPr>
          <w:p w14:paraId="13D43FA7"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31.7</w:t>
            </w:r>
          </w:p>
        </w:tc>
        <w:tc>
          <w:tcPr>
            <w:tcW w:w="907" w:type="dxa"/>
            <w:tcBorders>
              <w:top w:val="single" w:sz="6" w:space="0" w:color="auto"/>
              <w:bottom w:val="single" w:sz="6" w:space="0" w:color="auto"/>
            </w:tcBorders>
          </w:tcPr>
          <w:p w14:paraId="509AA65C"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214.5</w:t>
            </w:r>
          </w:p>
        </w:tc>
      </w:tr>
      <w:tr w:rsidR="00F66433" w14:paraId="68D05642" w14:textId="77777777" w:rsidTr="00F6643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8AE207A" w14:textId="77777777" w:rsidR="00F66433" w:rsidRDefault="004A6378">
            <w:r>
              <w:rPr>
                <w:b/>
              </w:rPr>
              <w:t>Net assets</w:t>
            </w:r>
          </w:p>
        </w:tc>
        <w:tc>
          <w:tcPr>
            <w:tcW w:w="907" w:type="dxa"/>
            <w:tcBorders>
              <w:top w:val="single" w:sz="6" w:space="0" w:color="auto"/>
              <w:bottom w:val="single" w:sz="12" w:space="0" w:color="auto"/>
            </w:tcBorders>
          </w:tcPr>
          <w:p w14:paraId="0B20BE44"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9.4</w:t>
            </w:r>
          </w:p>
        </w:tc>
        <w:tc>
          <w:tcPr>
            <w:tcW w:w="907" w:type="dxa"/>
            <w:tcBorders>
              <w:top w:val="single" w:sz="6" w:space="0" w:color="auto"/>
              <w:bottom w:val="single" w:sz="12" w:space="0" w:color="auto"/>
            </w:tcBorders>
          </w:tcPr>
          <w:p w14:paraId="022FF74C"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(2.5)</w:t>
            </w:r>
          </w:p>
        </w:tc>
        <w:tc>
          <w:tcPr>
            <w:tcW w:w="907" w:type="dxa"/>
            <w:tcBorders>
              <w:top w:val="single" w:sz="6" w:space="0" w:color="auto"/>
              <w:bottom w:val="single" w:sz="12" w:space="0" w:color="auto"/>
            </w:tcBorders>
          </w:tcPr>
          <w:p w14:paraId="052EC1C1"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11.9</w:t>
            </w:r>
          </w:p>
        </w:tc>
        <w:tc>
          <w:tcPr>
            <w:tcW w:w="907" w:type="dxa"/>
            <w:tcBorders>
              <w:top w:val="single" w:sz="6" w:space="0" w:color="auto"/>
              <w:bottom w:val="single" w:sz="12" w:space="0" w:color="auto"/>
            </w:tcBorders>
          </w:tcPr>
          <w:p w14:paraId="6DCBC3DB"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(4.3)</w:t>
            </w:r>
          </w:p>
        </w:tc>
        <w:tc>
          <w:tcPr>
            <w:tcW w:w="907" w:type="dxa"/>
            <w:tcBorders>
              <w:top w:val="single" w:sz="6" w:space="0" w:color="auto"/>
              <w:bottom w:val="single" w:sz="12" w:space="0" w:color="auto"/>
            </w:tcBorders>
          </w:tcPr>
          <w:p w14:paraId="3D25A8FA" w14:textId="77777777" w:rsidR="00F66433" w:rsidRDefault="004A6378">
            <w:pPr>
              <w:cnfStyle w:val="000000000000" w:firstRow="0" w:lastRow="0" w:firstColumn="0" w:lastColumn="0" w:oddVBand="0" w:evenVBand="0" w:oddHBand="0" w:evenHBand="0" w:firstRowFirstColumn="0" w:firstRowLastColumn="0" w:lastRowFirstColumn="0" w:lastRowLastColumn="0"/>
            </w:pPr>
            <w:r>
              <w:rPr>
                <w:b/>
              </w:rPr>
              <w:t>13.7</w:t>
            </w:r>
          </w:p>
        </w:tc>
      </w:tr>
    </w:tbl>
    <w:p w14:paraId="3878A738" w14:textId="77777777" w:rsidR="00366656" w:rsidRPr="00200564" w:rsidRDefault="00366656" w:rsidP="00366656">
      <w:pPr>
        <w:pStyle w:val="Note"/>
      </w:pPr>
      <w:r w:rsidRPr="00200564">
        <w:t>Note</w:t>
      </w:r>
      <w:r>
        <w:t>s</w:t>
      </w:r>
      <w:r w:rsidRPr="00200564">
        <w:t>:</w:t>
      </w:r>
    </w:p>
    <w:p w14:paraId="1BDA63B0" w14:textId="4B6E4A06" w:rsidR="00366656" w:rsidRDefault="00366656" w:rsidP="00366656">
      <w:pPr>
        <w:pStyle w:val="Note"/>
      </w:pPr>
      <w:r>
        <w:t>(</w:t>
      </w:r>
      <w:r w:rsidR="00AE5357">
        <w:t>a</w:t>
      </w:r>
      <w:r>
        <w:t>)</w:t>
      </w:r>
      <w:r>
        <w:tab/>
        <w:t>Financial assets include cash and deposits, advances paid, investments, loans and placements, receivables and investments accounted for using the equity method.</w:t>
      </w:r>
    </w:p>
    <w:p w14:paraId="242F216B" w14:textId="502ACEF0" w:rsidR="00366656" w:rsidRDefault="00366656" w:rsidP="00366656">
      <w:pPr>
        <w:pStyle w:val="Note"/>
      </w:pPr>
      <w:r>
        <w:t>(</w:t>
      </w:r>
      <w:r w:rsidR="00AE5357">
        <w:t>b</w:t>
      </w:r>
      <w:r>
        <w:t>)</w:t>
      </w:r>
      <w:r>
        <w:tab/>
        <w:t>Non-financial assets include l</w:t>
      </w:r>
      <w:r w:rsidRPr="005C0052">
        <w:t>and, buildings, infrastructure, plant and equipment and other non-financial assets</w:t>
      </w:r>
      <w:r>
        <w:t>.</w:t>
      </w:r>
    </w:p>
    <w:p w14:paraId="3F21CE7A" w14:textId="2D879566" w:rsidR="00366656" w:rsidRDefault="00366656" w:rsidP="00366656">
      <w:pPr>
        <w:pStyle w:val="Note"/>
      </w:pPr>
      <w:r>
        <w:t>(</w:t>
      </w:r>
      <w:r w:rsidR="00AE5357">
        <w:t>c</w:t>
      </w:r>
      <w:r>
        <w:t>)</w:t>
      </w:r>
      <w:r>
        <w:tab/>
      </w:r>
      <w:r w:rsidRPr="005C0052">
        <w:t>Other liabilities consist of payables, employee benefits, deposits held and advances receive</w:t>
      </w:r>
      <w:r w:rsidR="00A65C30">
        <w:t xml:space="preserve">d, </w:t>
      </w:r>
      <w:r w:rsidR="00A65C30" w:rsidRPr="00CD299A">
        <w:t>contract liabilities</w:t>
      </w:r>
      <w:r w:rsidR="00A65C30">
        <w:t>,</w:t>
      </w:r>
      <w:r w:rsidR="00961E26">
        <w:t xml:space="preserve"> and</w:t>
      </w:r>
      <w:r w:rsidR="00A65C30">
        <w:t xml:space="preserve"> </w:t>
      </w:r>
      <w:r w:rsidR="00A65C30" w:rsidRPr="00373914">
        <w:t>unearned income</w:t>
      </w:r>
      <w:r w:rsidR="00A65C30">
        <w:t>.</w:t>
      </w:r>
    </w:p>
    <w:p w14:paraId="2FDB9C93" w14:textId="77777777" w:rsidR="00366656" w:rsidRDefault="00366656" w:rsidP="00097095"/>
    <w:p w14:paraId="48FE6353"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4679E1DC" w14:textId="730989FE" w:rsidR="00366656" w:rsidRPr="00A04EEC" w:rsidRDefault="00366656" w:rsidP="00366656">
      <w:r w:rsidRPr="003626D6">
        <w:t xml:space="preserve">Table 3.6 shows that PFC sector net assets </w:t>
      </w:r>
      <w:r w:rsidR="000066F8">
        <w:t>decreased</w:t>
      </w:r>
      <w:r w:rsidRPr="003626D6">
        <w:t xml:space="preserve"> to </w:t>
      </w:r>
      <w:r w:rsidRPr="00357E91">
        <w:t>$</w:t>
      </w:r>
      <w:r w:rsidR="00C816E2" w:rsidRPr="00357E91">
        <w:t>9.4</w:t>
      </w:r>
      <w:r w:rsidRPr="00357E91">
        <w:t> billion at 30 June 202</w:t>
      </w:r>
      <w:r w:rsidR="00C816E2" w:rsidRPr="00357E91">
        <w:t>5</w:t>
      </w:r>
      <w:r w:rsidRPr="00357E91">
        <w:t>, a $</w:t>
      </w:r>
      <w:r w:rsidR="00357E91" w:rsidRPr="00357E91">
        <w:t>4.3</w:t>
      </w:r>
      <w:r w:rsidR="00DE1E51">
        <w:t> </w:t>
      </w:r>
      <w:r w:rsidR="00357E91" w:rsidRPr="00357E91">
        <w:t>b</w:t>
      </w:r>
      <w:r w:rsidRPr="00357E91">
        <w:t xml:space="preserve">illion </w:t>
      </w:r>
      <w:r w:rsidR="00357E91" w:rsidRPr="00357E91">
        <w:t>de</w:t>
      </w:r>
      <w:r w:rsidRPr="00357E91">
        <w:t>crease</w:t>
      </w:r>
      <w:r w:rsidRPr="003626D6">
        <w:t xml:space="preserve"> compared with </w:t>
      </w:r>
      <w:r w:rsidRPr="00504167">
        <w:t>30 June 202</w:t>
      </w:r>
      <w:r w:rsidR="00357E91" w:rsidRPr="00504167">
        <w:t>4</w:t>
      </w:r>
      <w:r w:rsidRPr="00504167">
        <w:t xml:space="preserve"> </w:t>
      </w:r>
      <w:r w:rsidRPr="00D55C94">
        <w:t>and $</w:t>
      </w:r>
      <w:r w:rsidR="00D55C94" w:rsidRPr="00D55C94">
        <w:t>2.</w:t>
      </w:r>
      <w:r w:rsidRPr="00D55C94">
        <w:t xml:space="preserve">5 billion </w:t>
      </w:r>
      <w:r w:rsidR="00D55C94" w:rsidRPr="00D55C94">
        <w:t>lower</w:t>
      </w:r>
      <w:r w:rsidRPr="00D55C94">
        <w:t xml:space="preserve"> than the revised budget</w:t>
      </w:r>
      <w:r w:rsidRPr="003626D6">
        <w:t>.</w:t>
      </w:r>
    </w:p>
    <w:p w14:paraId="4CDA9A60" w14:textId="7088C376" w:rsidR="00366656" w:rsidRPr="00A04EEC" w:rsidRDefault="00366656" w:rsidP="00366656">
      <w:r w:rsidRPr="00A04EEC">
        <w:t xml:space="preserve">The </w:t>
      </w:r>
      <w:r w:rsidR="00733B83">
        <w:t>decrease</w:t>
      </w:r>
      <w:r w:rsidRPr="00A04EEC">
        <w:t xml:space="preserve"> </w:t>
      </w:r>
      <w:r>
        <w:t xml:space="preserve">in net assets since </w:t>
      </w:r>
      <w:r w:rsidRPr="00632F57">
        <w:t>30 June 202</w:t>
      </w:r>
      <w:r w:rsidR="00733B83">
        <w:t>4</w:t>
      </w:r>
      <w:r w:rsidRPr="00A04EEC">
        <w:t xml:space="preserve"> is primarily </w:t>
      </w:r>
      <w:r>
        <w:t>due to an</w:t>
      </w:r>
      <w:r w:rsidRPr="00A04EEC">
        <w:t xml:space="preserve"> increase in</w:t>
      </w:r>
      <w:r>
        <w:t xml:space="preserve"> </w:t>
      </w:r>
      <w:r w:rsidRPr="00A04EEC">
        <w:t xml:space="preserve">TCV loans </w:t>
      </w:r>
      <w:r w:rsidR="00632F57">
        <w:t>payable</w:t>
      </w:r>
      <w:r w:rsidR="00E30B01">
        <w:t>,</w:t>
      </w:r>
      <w:r w:rsidRPr="00A04EEC">
        <w:t xml:space="preserve"> </w:t>
      </w:r>
      <w:r w:rsidR="00086AB9">
        <w:t>mark-to-market</w:t>
      </w:r>
      <w:r w:rsidRPr="00A04EEC">
        <w:t xml:space="preserve"> </w:t>
      </w:r>
      <w:r>
        <w:t xml:space="preserve">increases in </w:t>
      </w:r>
      <w:r w:rsidRPr="00A04EEC">
        <w:t xml:space="preserve">the </w:t>
      </w:r>
      <w:r w:rsidR="00F13AE9">
        <w:t>value of borrowings</w:t>
      </w:r>
      <w:r w:rsidRPr="00A04EEC">
        <w:t xml:space="preserve"> held by </w:t>
      </w:r>
      <w:r>
        <w:t>TCV</w:t>
      </w:r>
      <w:r w:rsidR="00AE1DCD">
        <w:t xml:space="preserve"> and </w:t>
      </w:r>
      <w:r>
        <w:t xml:space="preserve">increases in </w:t>
      </w:r>
      <w:r w:rsidRPr="00A04EEC">
        <w:t>the outstanding claims liabilities of the State</w:t>
      </w:r>
      <w:r w:rsidR="00845934">
        <w:t>’</w:t>
      </w:r>
      <w:r w:rsidRPr="00A04EEC">
        <w:t>s insurance agencies.</w:t>
      </w:r>
      <w:r w:rsidR="00834D78">
        <w:t xml:space="preserve"> </w:t>
      </w:r>
      <w:r w:rsidR="00AE1DCD">
        <w:t>T</w:t>
      </w:r>
      <w:r>
        <w:t>his was</w:t>
      </w:r>
      <w:r w:rsidRPr="00A04EEC">
        <w:t xml:space="preserve"> partly offset by </w:t>
      </w:r>
      <w:r>
        <w:t xml:space="preserve">an </w:t>
      </w:r>
      <w:r w:rsidRPr="00A04EEC">
        <w:t xml:space="preserve">increase in </w:t>
      </w:r>
      <w:r>
        <w:t xml:space="preserve">the </w:t>
      </w:r>
      <w:r w:rsidR="00103DF7">
        <w:t>investments he</w:t>
      </w:r>
      <w:r w:rsidR="00A321E0">
        <w:t xml:space="preserve">ld by the </w:t>
      </w:r>
      <w:r w:rsidR="00E11A0C">
        <w:t>State</w:t>
      </w:r>
      <w:r w:rsidR="00845934">
        <w:t>’</w:t>
      </w:r>
      <w:r w:rsidR="00E11A0C">
        <w:t xml:space="preserve">s </w:t>
      </w:r>
      <w:r w:rsidR="00AD4848">
        <w:t>insurance agencies.</w:t>
      </w:r>
    </w:p>
    <w:p w14:paraId="63BA50B9" w14:textId="2F2AE410" w:rsidR="00366656" w:rsidRDefault="00366656" w:rsidP="00366656">
      <w:r w:rsidRPr="006449AC">
        <w:t xml:space="preserve">Relative to the revised budget, the </w:t>
      </w:r>
      <w:r w:rsidR="00081A1C" w:rsidRPr="006449AC">
        <w:t>decrease</w:t>
      </w:r>
      <w:r w:rsidRPr="006449AC">
        <w:t xml:space="preserve"> in net assets is predominantly attributable to </w:t>
      </w:r>
      <w:r w:rsidR="009D1AD5">
        <w:t xml:space="preserve">lower </w:t>
      </w:r>
      <w:r w:rsidR="007A042C">
        <w:t xml:space="preserve">financial assets </w:t>
      </w:r>
      <w:r w:rsidR="008A121F">
        <w:t>resulting from</w:t>
      </w:r>
      <w:r w:rsidR="00471D87">
        <w:t xml:space="preserve"> lower lending to the </w:t>
      </w:r>
      <w:r w:rsidR="0000054E">
        <w:t>NF</w:t>
      </w:r>
      <w:r w:rsidR="00601534">
        <w:t>P</w:t>
      </w:r>
      <w:r w:rsidR="0000054E">
        <w:t>S</w:t>
      </w:r>
      <w:r w:rsidR="00F526F3">
        <w:t>,</w:t>
      </w:r>
      <w:r w:rsidR="00BF2042">
        <w:t xml:space="preserve"> </w:t>
      </w:r>
      <w:r w:rsidR="0045425D">
        <w:t>which is partially offset</w:t>
      </w:r>
      <w:r w:rsidR="00BF2042">
        <w:t xml:space="preserve"> </w:t>
      </w:r>
      <w:r w:rsidR="0045425D">
        <w:t xml:space="preserve">by </w:t>
      </w:r>
      <w:r w:rsidRPr="006449AC">
        <w:t>higher</w:t>
      </w:r>
      <w:r w:rsidR="00D655EF" w:rsidRPr="006449AC">
        <w:t>-</w:t>
      </w:r>
      <w:r w:rsidRPr="006449AC">
        <w:t>than</w:t>
      </w:r>
      <w:r w:rsidR="00D655EF" w:rsidRPr="006449AC">
        <w:t>-</w:t>
      </w:r>
      <w:r w:rsidRPr="006449AC">
        <w:t xml:space="preserve">expected </w:t>
      </w:r>
      <w:r w:rsidR="009145EE" w:rsidRPr="006449AC">
        <w:t>borrowing</w:t>
      </w:r>
      <w:r w:rsidR="007E34B3">
        <w:t>s</w:t>
      </w:r>
      <w:r w:rsidRPr="00D8466C">
        <w:t xml:space="preserve"> and outstanding claims liabilities f</w:t>
      </w:r>
      <w:r w:rsidRPr="006F71C4">
        <w:t>o</w:t>
      </w:r>
      <w:r w:rsidRPr="00D8466C">
        <w:t>r the State</w:t>
      </w:r>
      <w:r w:rsidR="00845934">
        <w:t>’</w:t>
      </w:r>
      <w:r w:rsidRPr="00D8466C">
        <w:t>s insurance agencies.</w:t>
      </w:r>
      <w:r w:rsidR="00C329BD">
        <w:t xml:space="preserve"> </w:t>
      </w:r>
      <w:r w:rsidRPr="00B4070C">
        <w:t>The reported net result and net asset position of the PFC sector are impacted by the accounting convention adopted for TCV, whereby its fixed interest rate loans to government clients are measured at book value while its borrowings are reported at market value. This approach enables TCV</w:t>
      </w:r>
      <w:r w:rsidR="00845934">
        <w:t>’</w:t>
      </w:r>
      <w:r w:rsidRPr="00B4070C">
        <w:t>s loans to be consolidated with the borrowings of the general government and PNFC sectors but, for the PFC sector in isolation, creates a mismatch between the value of TCV</w:t>
      </w:r>
      <w:r w:rsidR="00845934">
        <w:t>’</w:t>
      </w:r>
      <w:r w:rsidRPr="00B4070C">
        <w:t>s assets (which are at book value) and</w:t>
      </w:r>
      <w:r w:rsidR="00B4070C" w:rsidRPr="00B4070C">
        <w:t xml:space="preserve"> </w:t>
      </w:r>
      <w:r w:rsidRPr="00B4070C">
        <w:t xml:space="preserve">its liabilities (which are at market value). </w:t>
      </w:r>
    </w:p>
    <w:p w14:paraId="5375B717" w14:textId="26CC7B1E" w:rsidR="00366656" w:rsidRPr="00CF67DB" w:rsidRDefault="00366656" w:rsidP="00302EB4">
      <w:pPr>
        <w:rPr>
          <w:highlight w:val="yellow"/>
        </w:rPr>
      </w:pPr>
      <w:r w:rsidRPr="00223F9E">
        <w:t xml:space="preserve">This difference, which is estimated to be around </w:t>
      </w:r>
      <w:r w:rsidRPr="004469D1">
        <w:t>$</w:t>
      </w:r>
      <w:r w:rsidR="008A02EF">
        <w:t>6.6</w:t>
      </w:r>
      <w:r w:rsidRPr="004469D1">
        <w:t> billion at 30 June 202</w:t>
      </w:r>
      <w:r w:rsidR="008A02EF">
        <w:t>5</w:t>
      </w:r>
      <w:r w:rsidRPr="00CF67DB">
        <w:t xml:space="preserve">, </w:t>
      </w:r>
      <w:r w:rsidRPr="00223F9E">
        <w:t>is eliminated when TCV</w:t>
      </w:r>
      <w:r w:rsidR="00845934">
        <w:t>’</w:t>
      </w:r>
      <w:r w:rsidRPr="00223F9E">
        <w:t>s loans to government clients are consolidated in the whole of state accounts. This difference is not apparent in TCV</w:t>
      </w:r>
      <w:r w:rsidR="00845934">
        <w:t>’</w:t>
      </w:r>
      <w:r w:rsidRPr="00223F9E">
        <w:t>s own accounts as both assets and liabilities are reported at market value.</w:t>
      </w:r>
    </w:p>
    <w:p w14:paraId="65FDD607" w14:textId="320E50DC" w:rsidR="00366656" w:rsidRDefault="00366656" w:rsidP="00366656">
      <w:r w:rsidRPr="001D364E">
        <w:t>It is important to note the sensitivity of the PFC sector</w:t>
      </w:r>
      <w:r w:rsidR="00845934">
        <w:t>’</w:t>
      </w:r>
      <w:r w:rsidRPr="001D364E">
        <w:t>s net asset position to changes in Commonwealth Government bond yields which, in accordance with Australian accounting standards, underlie the discount rates used to value the insurance agencies</w:t>
      </w:r>
      <w:r w:rsidR="00845934">
        <w:t>’</w:t>
      </w:r>
      <w:r w:rsidRPr="001D364E">
        <w:t xml:space="preserve"> outstanding claims liabilities. </w:t>
      </w:r>
      <w:r w:rsidRPr="008311CD">
        <w:t xml:space="preserve">In isolation, a </w:t>
      </w:r>
      <w:r w:rsidR="000E174E" w:rsidRPr="008311CD">
        <w:t>decrease</w:t>
      </w:r>
      <w:r w:rsidRPr="008311CD">
        <w:t xml:space="preserve"> in the relevant bond yields between 30 June 202</w:t>
      </w:r>
      <w:r w:rsidR="00A26338" w:rsidRPr="008311CD">
        <w:t>4</w:t>
      </w:r>
      <w:r w:rsidRPr="008311CD">
        <w:t xml:space="preserve"> and 30 June 202</w:t>
      </w:r>
      <w:r w:rsidR="00A26338" w:rsidRPr="008311CD">
        <w:t>5</w:t>
      </w:r>
      <w:r w:rsidRPr="008311CD">
        <w:t xml:space="preserve"> </w:t>
      </w:r>
      <w:r w:rsidR="008311CD" w:rsidRPr="008311CD">
        <w:t>increased</w:t>
      </w:r>
      <w:r w:rsidRPr="008311CD">
        <w:t xml:space="preserve"> the value of insurance agencies</w:t>
      </w:r>
      <w:r w:rsidR="00845934">
        <w:t>’</w:t>
      </w:r>
      <w:r w:rsidRPr="008311CD">
        <w:t xml:space="preserve"> claims liabilities. </w:t>
      </w:r>
      <w:r w:rsidRPr="004469D1">
        <w:t>Changes in claims assumptions also reduced TAC</w:t>
      </w:r>
      <w:r w:rsidR="00845934">
        <w:t>’</w:t>
      </w:r>
      <w:r w:rsidRPr="004469D1">
        <w:t>s and WorkSafe</w:t>
      </w:r>
      <w:r w:rsidR="00845934">
        <w:t>’</w:t>
      </w:r>
      <w:r w:rsidRPr="004469D1">
        <w:t>s insurance claims liabilities. However, overall, insurance claims liabilities increased in 202</w:t>
      </w:r>
      <w:r w:rsidR="008311CD" w:rsidRPr="004469D1">
        <w:t>4</w:t>
      </w:r>
      <w:r w:rsidRPr="004469D1">
        <w:noBreakHyphen/>
        <w:t>2</w:t>
      </w:r>
      <w:r w:rsidR="008311CD" w:rsidRPr="004469D1">
        <w:t>5</w:t>
      </w:r>
      <w:r w:rsidRPr="004469D1">
        <w:t xml:space="preserve"> due to the ongoing accruing of claims.</w:t>
      </w:r>
    </w:p>
    <w:p w14:paraId="623546AF"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393CAD6A" w14:textId="77777777" w:rsidR="00366656" w:rsidRDefault="00366656" w:rsidP="00097095"/>
    <w:p w14:paraId="79727E0C" w14:textId="77777777" w:rsidR="00366656" w:rsidRDefault="00366656">
      <w:pPr>
        <w:keepLines w:val="0"/>
        <w:rPr>
          <w:rFonts w:asciiTheme="majorHAnsi" w:eastAsiaTheme="majorEastAsia" w:hAnsiTheme="majorHAnsi" w:cstheme="majorBidi"/>
          <w:b/>
          <w:caps/>
          <w:sz w:val="27"/>
          <w:szCs w:val="32"/>
        </w:rPr>
      </w:pPr>
      <w:bookmarkStart w:id="23" w:name="_Toc176189340"/>
      <w:r>
        <w:br w:type="page"/>
      </w:r>
    </w:p>
    <w:p w14:paraId="48ADDD62" w14:textId="6A0C6B05" w:rsidR="00366656" w:rsidRPr="00200564" w:rsidRDefault="00366656" w:rsidP="00366656">
      <w:pPr>
        <w:pStyle w:val="Heading1"/>
        <w:spacing w:before="0"/>
      </w:pPr>
      <w:r>
        <w:lastRenderedPageBreak/>
        <w:t>State of Victoria</w:t>
      </w:r>
      <w:bookmarkEnd w:id="23"/>
    </w:p>
    <w:p w14:paraId="5112D211" w14:textId="77777777" w:rsidR="00366656" w:rsidRDefault="00366656" w:rsidP="00366656">
      <w:pPr>
        <w:pStyle w:val="Heading2"/>
      </w:pPr>
      <w:r>
        <w:t>Operating statement</w:t>
      </w:r>
    </w:p>
    <w:p w14:paraId="4FFFBFF8"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5A11AB5E" w14:textId="77777777" w:rsidR="00366656" w:rsidRDefault="00366656" w:rsidP="00366656">
      <w:r>
        <w:t>Tables 3.7 and 3.8 summarise the operating statement and financial position for the State of Victoria. These figures are derived from the audited financial statements in Chapter 4.</w:t>
      </w:r>
    </w:p>
    <w:p w14:paraId="2174801C"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08D1FD5E" w14:textId="77777777" w:rsidR="00366656" w:rsidRDefault="00366656" w:rsidP="00097095"/>
    <w:p w14:paraId="7BE5A9B6" w14:textId="4D9BE9BD" w:rsidR="00366656" w:rsidRDefault="00366656" w:rsidP="00366656">
      <w:pPr>
        <w:pStyle w:val="TableHeading"/>
      </w:pPr>
      <w:r w:rsidRPr="00200564">
        <w:t>Table 3.</w:t>
      </w:r>
      <w:r>
        <w:t>7</w:t>
      </w:r>
      <w:r w:rsidRPr="00200564">
        <w:t>:</w:t>
      </w:r>
      <w:r w:rsidRPr="00200564">
        <w:tab/>
      </w:r>
      <w:r>
        <w:t>202</w:t>
      </w:r>
      <w:r w:rsidR="00226331">
        <w:t>4</w:t>
      </w:r>
      <w:r w:rsidRPr="00200564">
        <w:t>-2</w:t>
      </w:r>
      <w:r w:rsidR="00226331">
        <w:t>5</w:t>
      </w:r>
      <w:r w:rsidRPr="00200564">
        <w:t xml:space="preserve"> summary operating statement – State of Victoria </w:t>
      </w:r>
      <w:r w:rsidRPr="0020056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OS_SoV"/>
      </w:tblPr>
      <w:tblGrid>
        <w:gridCol w:w="5103"/>
        <w:gridCol w:w="907"/>
        <w:gridCol w:w="907"/>
        <w:gridCol w:w="907"/>
        <w:gridCol w:w="907"/>
        <w:gridCol w:w="907"/>
      </w:tblGrid>
      <w:tr w:rsidR="00991200" w14:paraId="41F3BC79"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B8A2135" w14:textId="77777777" w:rsidR="00E51EAC" w:rsidRDefault="00E51EAC">
            <w:pPr>
              <w:keepNext/>
            </w:pPr>
          </w:p>
        </w:tc>
        <w:tc>
          <w:tcPr>
            <w:tcW w:w="907" w:type="dxa"/>
          </w:tcPr>
          <w:p w14:paraId="1D28B21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D43F86A"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39DC3DC"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066FC87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revised</w:t>
            </w:r>
          </w:p>
        </w:tc>
        <w:tc>
          <w:tcPr>
            <w:tcW w:w="907" w:type="dxa"/>
          </w:tcPr>
          <w:p w14:paraId="0969FBF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4D612C96"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E9238F6" w14:textId="77777777" w:rsidR="00E51EAC" w:rsidRDefault="00E51EAC">
            <w:pPr>
              <w:keepNext/>
            </w:pPr>
          </w:p>
        </w:tc>
        <w:tc>
          <w:tcPr>
            <w:tcW w:w="907" w:type="dxa"/>
          </w:tcPr>
          <w:p w14:paraId="0AA00864"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386EA1B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073DFA7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6FBD6D2E"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51127D6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r>
      <w:tr w:rsidR="00E51EAC" w14:paraId="76B91C00" w14:textId="77777777">
        <w:tc>
          <w:tcPr>
            <w:cnfStyle w:val="001000000000" w:firstRow="0" w:lastRow="0" w:firstColumn="1" w:lastColumn="0" w:oddVBand="0" w:evenVBand="0" w:oddHBand="0" w:evenHBand="0" w:firstRowFirstColumn="0" w:firstRowLastColumn="0" w:lastRowFirstColumn="0" w:lastRowLastColumn="0"/>
            <w:tcW w:w="5103" w:type="dxa"/>
          </w:tcPr>
          <w:p w14:paraId="23F8465E" w14:textId="77777777" w:rsidR="00E51EAC" w:rsidRDefault="00182F93">
            <w:r>
              <w:rPr>
                <w:b/>
              </w:rPr>
              <w:t>Revenue and income from transactions</w:t>
            </w:r>
          </w:p>
        </w:tc>
        <w:tc>
          <w:tcPr>
            <w:tcW w:w="907" w:type="dxa"/>
          </w:tcPr>
          <w:p w14:paraId="06B04FC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4F05D2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4328A4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1F0330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6E1FD2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7C9BD4D0" w14:textId="77777777">
        <w:tc>
          <w:tcPr>
            <w:cnfStyle w:val="001000000000" w:firstRow="0" w:lastRow="0" w:firstColumn="1" w:lastColumn="0" w:oddVBand="0" w:evenVBand="0" w:oddHBand="0" w:evenHBand="0" w:firstRowFirstColumn="0" w:firstRowLastColumn="0" w:lastRowFirstColumn="0" w:lastRowLastColumn="0"/>
            <w:tcW w:w="5103" w:type="dxa"/>
          </w:tcPr>
          <w:p w14:paraId="3674289B" w14:textId="77777777" w:rsidR="00E51EAC" w:rsidRDefault="00182F93">
            <w:r>
              <w:t>Taxation</w:t>
            </w:r>
          </w:p>
        </w:tc>
        <w:tc>
          <w:tcPr>
            <w:tcW w:w="907" w:type="dxa"/>
          </w:tcPr>
          <w:p w14:paraId="21469ED9" w14:textId="77777777" w:rsidR="00E51EAC" w:rsidRDefault="00182F93">
            <w:pPr>
              <w:cnfStyle w:val="000000000000" w:firstRow="0" w:lastRow="0" w:firstColumn="0" w:lastColumn="0" w:oddVBand="0" w:evenVBand="0" w:oddHBand="0" w:evenHBand="0" w:firstRowFirstColumn="0" w:firstRowLastColumn="0" w:lastRowFirstColumn="0" w:lastRowLastColumn="0"/>
            </w:pPr>
            <w:r>
              <w:t>38 356</w:t>
            </w:r>
          </w:p>
        </w:tc>
        <w:tc>
          <w:tcPr>
            <w:tcW w:w="907" w:type="dxa"/>
          </w:tcPr>
          <w:p w14:paraId="2D48AAD2" w14:textId="77777777" w:rsidR="00E51EAC" w:rsidRDefault="00182F93">
            <w:pPr>
              <w:cnfStyle w:val="000000000000" w:firstRow="0" w:lastRow="0" w:firstColumn="0" w:lastColumn="0" w:oddVBand="0" w:evenVBand="0" w:oddHBand="0" w:evenHBand="0" w:firstRowFirstColumn="0" w:firstRowLastColumn="0" w:lastRowFirstColumn="0" w:lastRowLastColumn="0"/>
            </w:pPr>
            <w:r>
              <w:t>38 576</w:t>
            </w:r>
          </w:p>
        </w:tc>
        <w:tc>
          <w:tcPr>
            <w:tcW w:w="907" w:type="dxa"/>
          </w:tcPr>
          <w:p w14:paraId="57CE18C6" w14:textId="77777777" w:rsidR="00E51EAC" w:rsidRDefault="00182F93">
            <w:pPr>
              <w:cnfStyle w:val="000000000000" w:firstRow="0" w:lastRow="0" w:firstColumn="0" w:lastColumn="0" w:oddVBand="0" w:evenVBand="0" w:oddHBand="0" w:evenHBand="0" w:firstRowFirstColumn="0" w:firstRowLastColumn="0" w:lastRowFirstColumn="0" w:lastRowLastColumn="0"/>
            </w:pPr>
            <w:r>
              <w:t>(219)</w:t>
            </w:r>
          </w:p>
        </w:tc>
        <w:tc>
          <w:tcPr>
            <w:tcW w:w="907" w:type="dxa"/>
          </w:tcPr>
          <w:p w14:paraId="18993FA5" w14:textId="77777777" w:rsidR="00E51EAC" w:rsidRDefault="00182F93">
            <w:pPr>
              <w:cnfStyle w:val="000000000000" w:firstRow="0" w:lastRow="0" w:firstColumn="0" w:lastColumn="0" w:oddVBand="0" w:evenVBand="0" w:oddHBand="0" w:evenHBand="0" w:firstRowFirstColumn="0" w:firstRowLastColumn="0" w:lastRowFirstColumn="0" w:lastRowLastColumn="0"/>
            </w:pPr>
            <w:r>
              <w:t>(0.6)</w:t>
            </w:r>
          </w:p>
        </w:tc>
        <w:tc>
          <w:tcPr>
            <w:tcW w:w="907" w:type="dxa"/>
          </w:tcPr>
          <w:p w14:paraId="4A2B5D01" w14:textId="77777777" w:rsidR="00E51EAC" w:rsidRDefault="00182F93">
            <w:pPr>
              <w:cnfStyle w:val="000000000000" w:firstRow="0" w:lastRow="0" w:firstColumn="0" w:lastColumn="0" w:oddVBand="0" w:evenVBand="0" w:oddHBand="0" w:evenHBand="0" w:firstRowFirstColumn="0" w:firstRowLastColumn="0" w:lastRowFirstColumn="0" w:lastRowLastColumn="0"/>
            </w:pPr>
            <w:r>
              <w:t>36 324</w:t>
            </w:r>
          </w:p>
        </w:tc>
      </w:tr>
      <w:tr w:rsidR="00E51EAC" w14:paraId="4017FCCE" w14:textId="77777777">
        <w:tc>
          <w:tcPr>
            <w:cnfStyle w:val="001000000000" w:firstRow="0" w:lastRow="0" w:firstColumn="1" w:lastColumn="0" w:oddVBand="0" w:evenVBand="0" w:oddHBand="0" w:evenHBand="0" w:firstRowFirstColumn="0" w:firstRowLastColumn="0" w:lastRowFirstColumn="0" w:lastRowLastColumn="0"/>
            <w:tcW w:w="5103" w:type="dxa"/>
          </w:tcPr>
          <w:p w14:paraId="01402D85" w14:textId="77777777" w:rsidR="00E51EAC" w:rsidRDefault="00182F93">
            <w:r>
              <w:t>Interest income</w:t>
            </w:r>
          </w:p>
        </w:tc>
        <w:tc>
          <w:tcPr>
            <w:tcW w:w="907" w:type="dxa"/>
          </w:tcPr>
          <w:p w14:paraId="161F07D5" w14:textId="77777777" w:rsidR="00E51EAC" w:rsidRDefault="00182F93">
            <w:pPr>
              <w:cnfStyle w:val="000000000000" w:firstRow="0" w:lastRow="0" w:firstColumn="0" w:lastColumn="0" w:oddVBand="0" w:evenVBand="0" w:oddHBand="0" w:evenHBand="0" w:firstRowFirstColumn="0" w:firstRowLastColumn="0" w:lastRowFirstColumn="0" w:lastRowLastColumn="0"/>
            </w:pPr>
            <w:r>
              <w:t>2 002</w:t>
            </w:r>
          </w:p>
        </w:tc>
        <w:tc>
          <w:tcPr>
            <w:tcW w:w="907" w:type="dxa"/>
          </w:tcPr>
          <w:p w14:paraId="3F7C38EB" w14:textId="77777777" w:rsidR="00E51EAC" w:rsidRDefault="00182F93">
            <w:pPr>
              <w:cnfStyle w:val="000000000000" w:firstRow="0" w:lastRow="0" w:firstColumn="0" w:lastColumn="0" w:oddVBand="0" w:evenVBand="0" w:oddHBand="0" w:evenHBand="0" w:firstRowFirstColumn="0" w:firstRowLastColumn="0" w:lastRowFirstColumn="0" w:lastRowLastColumn="0"/>
            </w:pPr>
            <w:r>
              <w:t>1 986</w:t>
            </w:r>
          </w:p>
        </w:tc>
        <w:tc>
          <w:tcPr>
            <w:tcW w:w="907" w:type="dxa"/>
          </w:tcPr>
          <w:p w14:paraId="1BA059BD" w14:textId="77777777" w:rsidR="00E51EAC" w:rsidRDefault="00182F93">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719F7908" w14:textId="77777777" w:rsidR="00E51EAC" w:rsidRDefault="00182F93">
            <w:pPr>
              <w:cnfStyle w:val="000000000000" w:firstRow="0" w:lastRow="0" w:firstColumn="0" w:lastColumn="0" w:oddVBand="0" w:evenVBand="0" w:oddHBand="0" w:evenHBand="0" w:firstRowFirstColumn="0" w:firstRowLastColumn="0" w:lastRowFirstColumn="0" w:lastRowLastColumn="0"/>
            </w:pPr>
            <w:r>
              <w:t>0.8</w:t>
            </w:r>
          </w:p>
        </w:tc>
        <w:tc>
          <w:tcPr>
            <w:tcW w:w="907" w:type="dxa"/>
          </w:tcPr>
          <w:p w14:paraId="0DF30BCA" w14:textId="77777777" w:rsidR="00E51EAC" w:rsidRDefault="00182F93">
            <w:pPr>
              <w:cnfStyle w:val="000000000000" w:firstRow="0" w:lastRow="0" w:firstColumn="0" w:lastColumn="0" w:oddVBand="0" w:evenVBand="0" w:oddHBand="0" w:evenHBand="0" w:firstRowFirstColumn="0" w:firstRowLastColumn="0" w:lastRowFirstColumn="0" w:lastRowLastColumn="0"/>
            </w:pPr>
            <w:r>
              <w:t>2 157</w:t>
            </w:r>
          </w:p>
        </w:tc>
      </w:tr>
      <w:tr w:rsidR="00E51EAC" w14:paraId="4A80CF2E" w14:textId="77777777">
        <w:tc>
          <w:tcPr>
            <w:cnfStyle w:val="001000000000" w:firstRow="0" w:lastRow="0" w:firstColumn="1" w:lastColumn="0" w:oddVBand="0" w:evenVBand="0" w:oddHBand="0" w:evenHBand="0" w:firstRowFirstColumn="0" w:firstRowLastColumn="0" w:lastRowFirstColumn="0" w:lastRowLastColumn="0"/>
            <w:tcW w:w="5103" w:type="dxa"/>
          </w:tcPr>
          <w:p w14:paraId="734A3C0E" w14:textId="77777777" w:rsidR="00E51EAC" w:rsidRDefault="00182F93">
            <w:r>
              <w:t>Dividends and income tax equivalent income</w:t>
            </w:r>
          </w:p>
        </w:tc>
        <w:tc>
          <w:tcPr>
            <w:tcW w:w="907" w:type="dxa"/>
          </w:tcPr>
          <w:p w14:paraId="01EEE165" w14:textId="77777777" w:rsidR="00E51EAC" w:rsidRDefault="00182F93">
            <w:pPr>
              <w:cnfStyle w:val="000000000000" w:firstRow="0" w:lastRow="0" w:firstColumn="0" w:lastColumn="0" w:oddVBand="0" w:evenVBand="0" w:oddHBand="0" w:evenHBand="0" w:firstRowFirstColumn="0" w:firstRowLastColumn="0" w:lastRowFirstColumn="0" w:lastRowLastColumn="0"/>
            </w:pPr>
            <w:r>
              <w:t>3 947</w:t>
            </w:r>
          </w:p>
        </w:tc>
        <w:tc>
          <w:tcPr>
            <w:tcW w:w="907" w:type="dxa"/>
          </w:tcPr>
          <w:p w14:paraId="4449A05B" w14:textId="77777777" w:rsidR="00E51EAC" w:rsidRDefault="00182F93">
            <w:pPr>
              <w:cnfStyle w:val="000000000000" w:firstRow="0" w:lastRow="0" w:firstColumn="0" w:lastColumn="0" w:oddVBand="0" w:evenVBand="0" w:oddHBand="0" w:evenHBand="0" w:firstRowFirstColumn="0" w:firstRowLastColumn="0" w:lastRowFirstColumn="0" w:lastRowLastColumn="0"/>
            </w:pPr>
            <w:r>
              <w:t>3 799</w:t>
            </w:r>
          </w:p>
        </w:tc>
        <w:tc>
          <w:tcPr>
            <w:tcW w:w="907" w:type="dxa"/>
          </w:tcPr>
          <w:p w14:paraId="57999388" w14:textId="77777777" w:rsidR="00E51EAC" w:rsidRDefault="00182F93">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39BDBC65" w14:textId="77777777" w:rsidR="00E51EAC" w:rsidRDefault="00182F93">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3EF14F6D" w14:textId="77777777" w:rsidR="00E51EAC" w:rsidRDefault="00182F93">
            <w:pPr>
              <w:cnfStyle w:val="000000000000" w:firstRow="0" w:lastRow="0" w:firstColumn="0" w:lastColumn="0" w:oddVBand="0" w:evenVBand="0" w:oddHBand="0" w:evenHBand="0" w:firstRowFirstColumn="0" w:firstRowLastColumn="0" w:lastRowFirstColumn="0" w:lastRowLastColumn="0"/>
            </w:pPr>
            <w:r>
              <w:t>2 485</w:t>
            </w:r>
          </w:p>
        </w:tc>
      </w:tr>
      <w:tr w:rsidR="00E51EAC" w14:paraId="09A6B75C" w14:textId="77777777">
        <w:tc>
          <w:tcPr>
            <w:cnfStyle w:val="001000000000" w:firstRow="0" w:lastRow="0" w:firstColumn="1" w:lastColumn="0" w:oddVBand="0" w:evenVBand="0" w:oddHBand="0" w:evenHBand="0" w:firstRowFirstColumn="0" w:firstRowLastColumn="0" w:lastRowFirstColumn="0" w:lastRowLastColumn="0"/>
            <w:tcW w:w="5103" w:type="dxa"/>
          </w:tcPr>
          <w:p w14:paraId="4A98F599" w14:textId="77777777" w:rsidR="00E51EAC" w:rsidRDefault="00182F93">
            <w:r>
              <w:t>Sales of goods and services</w:t>
            </w:r>
          </w:p>
        </w:tc>
        <w:tc>
          <w:tcPr>
            <w:tcW w:w="907" w:type="dxa"/>
          </w:tcPr>
          <w:p w14:paraId="6912B8E9" w14:textId="77777777" w:rsidR="00E51EAC" w:rsidRDefault="00182F93">
            <w:pPr>
              <w:cnfStyle w:val="000000000000" w:firstRow="0" w:lastRow="0" w:firstColumn="0" w:lastColumn="0" w:oddVBand="0" w:evenVBand="0" w:oddHBand="0" w:evenHBand="0" w:firstRowFirstColumn="0" w:firstRowLastColumn="0" w:lastRowFirstColumn="0" w:lastRowLastColumn="0"/>
            </w:pPr>
            <w:r>
              <w:t>21 009</w:t>
            </w:r>
          </w:p>
        </w:tc>
        <w:tc>
          <w:tcPr>
            <w:tcW w:w="907" w:type="dxa"/>
          </w:tcPr>
          <w:p w14:paraId="0E4CA3AE" w14:textId="77777777" w:rsidR="00E51EAC" w:rsidRDefault="00182F93">
            <w:pPr>
              <w:cnfStyle w:val="000000000000" w:firstRow="0" w:lastRow="0" w:firstColumn="0" w:lastColumn="0" w:oddVBand="0" w:evenVBand="0" w:oddHBand="0" w:evenHBand="0" w:firstRowFirstColumn="0" w:firstRowLastColumn="0" w:lastRowFirstColumn="0" w:lastRowLastColumn="0"/>
            </w:pPr>
            <w:r>
              <w:t>21 201</w:t>
            </w:r>
          </w:p>
        </w:tc>
        <w:tc>
          <w:tcPr>
            <w:tcW w:w="907" w:type="dxa"/>
          </w:tcPr>
          <w:p w14:paraId="2D30064E" w14:textId="77777777" w:rsidR="00E51EAC" w:rsidRDefault="00182F93">
            <w:pPr>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266EABBD" w14:textId="77777777" w:rsidR="00E51EAC" w:rsidRDefault="00182F93">
            <w:pPr>
              <w:cnfStyle w:val="000000000000" w:firstRow="0" w:lastRow="0" w:firstColumn="0" w:lastColumn="0" w:oddVBand="0" w:evenVBand="0" w:oddHBand="0" w:evenHBand="0" w:firstRowFirstColumn="0" w:firstRowLastColumn="0" w:lastRowFirstColumn="0" w:lastRowLastColumn="0"/>
            </w:pPr>
            <w:r>
              <w:t>(0.9)</w:t>
            </w:r>
          </w:p>
        </w:tc>
        <w:tc>
          <w:tcPr>
            <w:tcW w:w="907" w:type="dxa"/>
          </w:tcPr>
          <w:p w14:paraId="7EBF3D7C" w14:textId="77777777" w:rsidR="00E51EAC" w:rsidRDefault="00182F93">
            <w:pPr>
              <w:cnfStyle w:val="000000000000" w:firstRow="0" w:lastRow="0" w:firstColumn="0" w:lastColumn="0" w:oddVBand="0" w:evenVBand="0" w:oddHBand="0" w:evenHBand="0" w:firstRowFirstColumn="0" w:firstRowLastColumn="0" w:lastRowFirstColumn="0" w:lastRowLastColumn="0"/>
            </w:pPr>
            <w:r>
              <w:t>19 885</w:t>
            </w:r>
          </w:p>
        </w:tc>
      </w:tr>
      <w:tr w:rsidR="00E51EAC" w14:paraId="7AC623E2" w14:textId="77777777">
        <w:tc>
          <w:tcPr>
            <w:cnfStyle w:val="001000000000" w:firstRow="0" w:lastRow="0" w:firstColumn="1" w:lastColumn="0" w:oddVBand="0" w:evenVBand="0" w:oddHBand="0" w:evenHBand="0" w:firstRowFirstColumn="0" w:firstRowLastColumn="0" w:lastRowFirstColumn="0" w:lastRowLastColumn="0"/>
            <w:tcW w:w="5103" w:type="dxa"/>
          </w:tcPr>
          <w:p w14:paraId="5BD4FAE5" w14:textId="77777777" w:rsidR="00E51EAC" w:rsidRDefault="00182F93">
            <w:r>
              <w:t>Grants</w:t>
            </w:r>
          </w:p>
        </w:tc>
        <w:tc>
          <w:tcPr>
            <w:tcW w:w="907" w:type="dxa"/>
          </w:tcPr>
          <w:p w14:paraId="14A9FF0E" w14:textId="77777777" w:rsidR="00E51EAC" w:rsidRDefault="00182F93">
            <w:pPr>
              <w:cnfStyle w:val="000000000000" w:firstRow="0" w:lastRow="0" w:firstColumn="0" w:lastColumn="0" w:oddVBand="0" w:evenVBand="0" w:oddHBand="0" w:evenHBand="0" w:firstRowFirstColumn="0" w:firstRowLastColumn="0" w:lastRowFirstColumn="0" w:lastRowLastColumn="0"/>
            </w:pPr>
            <w:r>
              <w:t>47 191</w:t>
            </w:r>
          </w:p>
        </w:tc>
        <w:tc>
          <w:tcPr>
            <w:tcW w:w="907" w:type="dxa"/>
          </w:tcPr>
          <w:p w14:paraId="58AA8A16" w14:textId="77777777" w:rsidR="00E51EAC" w:rsidRDefault="00182F93">
            <w:pPr>
              <w:cnfStyle w:val="000000000000" w:firstRow="0" w:lastRow="0" w:firstColumn="0" w:lastColumn="0" w:oddVBand="0" w:evenVBand="0" w:oddHBand="0" w:evenHBand="0" w:firstRowFirstColumn="0" w:firstRowLastColumn="0" w:lastRowFirstColumn="0" w:lastRowLastColumn="0"/>
            </w:pPr>
            <w:r>
              <w:t>46 708</w:t>
            </w:r>
          </w:p>
        </w:tc>
        <w:tc>
          <w:tcPr>
            <w:tcW w:w="907" w:type="dxa"/>
          </w:tcPr>
          <w:p w14:paraId="21804B35" w14:textId="77777777" w:rsidR="00E51EAC" w:rsidRDefault="00182F93">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51D1E23B" w14:textId="77777777" w:rsidR="00E51EAC" w:rsidRDefault="00182F93">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BE0D130" w14:textId="77777777" w:rsidR="00E51EAC" w:rsidRDefault="00182F93">
            <w:pPr>
              <w:cnfStyle w:val="000000000000" w:firstRow="0" w:lastRow="0" w:firstColumn="0" w:lastColumn="0" w:oddVBand="0" w:evenVBand="0" w:oddHBand="0" w:evenHBand="0" w:firstRowFirstColumn="0" w:firstRowLastColumn="0" w:lastRowFirstColumn="0" w:lastRowLastColumn="0"/>
            </w:pPr>
            <w:r>
              <w:t>41 686</w:t>
            </w:r>
          </w:p>
        </w:tc>
      </w:tr>
      <w:tr w:rsidR="00E51EAC" w14:paraId="6F699889"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E5B8246" w14:textId="77777777" w:rsidR="00E51EAC" w:rsidRDefault="00182F93">
            <w:r>
              <w:t>Other revenue and income</w:t>
            </w:r>
          </w:p>
        </w:tc>
        <w:tc>
          <w:tcPr>
            <w:tcW w:w="907" w:type="dxa"/>
            <w:tcBorders>
              <w:bottom w:val="single" w:sz="6" w:space="0" w:color="auto"/>
            </w:tcBorders>
          </w:tcPr>
          <w:p w14:paraId="37A183EF" w14:textId="77777777" w:rsidR="00E51EAC" w:rsidRDefault="00182F93">
            <w:pPr>
              <w:cnfStyle w:val="000000000000" w:firstRow="0" w:lastRow="0" w:firstColumn="0" w:lastColumn="0" w:oddVBand="0" w:evenVBand="0" w:oddHBand="0" w:evenHBand="0" w:firstRowFirstColumn="0" w:firstRowLastColumn="0" w:lastRowFirstColumn="0" w:lastRowLastColumn="0"/>
            </w:pPr>
            <w:r>
              <w:t>5 287</w:t>
            </w:r>
          </w:p>
        </w:tc>
        <w:tc>
          <w:tcPr>
            <w:tcW w:w="907" w:type="dxa"/>
            <w:tcBorders>
              <w:bottom w:val="single" w:sz="6" w:space="0" w:color="auto"/>
            </w:tcBorders>
          </w:tcPr>
          <w:p w14:paraId="4A4F2CC2" w14:textId="77777777" w:rsidR="00E51EAC" w:rsidRDefault="00182F93">
            <w:pPr>
              <w:cnfStyle w:val="000000000000" w:firstRow="0" w:lastRow="0" w:firstColumn="0" w:lastColumn="0" w:oddVBand="0" w:evenVBand="0" w:oddHBand="0" w:evenHBand="0" w:firstRowFirstColumn="0" w:firstRowLastColumn="0" w:lastRowFirstColumn="0" w:lastRowLastColumn="0"/>
            </w:pPr>
            <w:r>
              <w:t>4 824</w:t>
            </w:r>
          </w:p>
        </w:tc>
        <w:tc>
          <w:tcPr>
            <w:tcW w:w="907" w:type="dxa"/>
            <w:tcBorders>
              <w:bottom w:val="single" w:sz="6" w:space="0" w:color="auto"/>
            </w:tcBorders>
          </w:tcPr>
          <w:p w14:paraId="5A74EC83" w14:textId="77777777" w:rsidR="00E51EAC" w:rsidRDefault="00182F93">
            <w:pPr>
              <w:cnfStyle w:val="000000000000" w:firstRow="0" w:lastRow="0" w:firstColumn="0" w:lastColumn="0" w:oddVBand="0" w:evenVBand="0" w:oddHBand="0" w:evenHBand="0" w:firstRowFirstColumn="0" w:firstRowLastColumn="0" w:lastRowFirstColumn="0" w:lastRowLastColumn="0"/>
            </w:pPr>
            <w:r>
              <w:t>463</w:t>
            </w:r>
          </w:p>
        </w:tc>
        <w:tc>
          <w:tcPr>
            <w:tcW w:w="907" w:type="dxa"/>
            <w:tcBorders>
              <w:bottom w:val="single" w:sz="6" w:space="0" w:color="auto"/>
            </w:tcBorders>
          </w:tcPr>
          <w:p w14:paraId="52A235DB" w14:textId="77777777" w:rsidR="00E51EAC" w:rsidRDefault="00182F93">
            <w:pPr>
              <w:cnfStyle w:val="000000000000" w:firstRow="0" w:lastRow="0" w:firstColumn="0" w:lastColumn="0" w:oddVBand="0" w:evenVBand="0" w:oddHBand="0" w:evenHBand="0" w:firstRowFirstColumn="0" w:firstRowLastColumn="0" w:lastRowFirstColumn="0" w:lastRowLastColumn="0"/>
            </w:pPr>
            <w:r>
              <w:t>9.6</w:t>
            </w:r>
          </w:p>
        </w:tc>
        <w:tc>
          <w:tcPr>
            <w:tcW w:w="907" w:type="dxa"/>
            <w:tcBorders>
              <w:bottom w:val="single" w:sz="6" w:space="0" w:color="auto"/>
            </w:tcBorders>
          </w:tcPr>
          <w:p w14:paraId="33F8EB5A" w14:textId="77777777" w:rsidR="00E51EAC" w:rsidRDefault="00182F93">
            <w:pPr>
              <w:cnfStyle w:val="000000000000" w:firstRow="0" w:lastRow="0" w:firstColumn="0" w:lastColumn="0" w:oddVBand="0" w:evenVBand="0" w:oddHBand="0" w:evenHBand="0" w:firstRowFirstColumn="0" w:firstRowLastColumn="0" w:lastRowFirstColumn="0" w:lastRowLastColumn="0"/>
            </w:pPr>
            <w:r>
              <w:t>5 068</w:t>
            </w:r>
          </w:p>
        </w:tc>
      </w:tr>
      <w:tr w:rsidR="00E51EAC" w14:paraId="21D5325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10DAC7E" w14:textId="77777777" w:rsidR="00E51EAC" w:rsidRDefault="00182F93">
            <w:r>
              <w:rPr>
                <w:b/>
              </w:rPr>
              <w:t>Total revenue and income from transactions</w:t>
            </w:r>
          </w:p>
        </w:tc>
        <w:tc>
          <w:tcPr>
            <w:tcW w:w="907" w:type="dxa"/>
            <w:tcBorders>
              <w:top w:val="single" w:sz="6" w:space="0" w:color="auto"/>
            </w:tcBorders>
          </w:tcPr>
          <w:p w14:paraId="449F26D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117 791</w:t>
            </w:r>
          </w:p>
        </w:tc>
        <w:tc>
          <w:tcPr>
            <w:tcW w:w="907" w:type="dxa"/>
            <w:tcBorders>
              <w:top w:val="single" w:sz="6" w:space="0" w:color="auto"/>
            </w:tcBorders>
          </w:tcPr>
          <w:p w14:paraId="28A170A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117 094</w:t>
            </w:r>
          </w:p>
        </w:tc>
        <w:tc>
          <w:tcPr>
            <w:tcW w:w="907" w:type="dxa"/>
            <w:tcBorders>
              <w:top w:val="single" w:sz="6" w:space="0" w:color="auto"/>
            </w:tcBorders>
          </w:tcPr>
          <w:p w14:paraId="546C78A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697</w:t>
            </w:r>
          </w:p>
        </w:tc>
        <w:tc>
          <w:tcPr>
            <w:tcW w:w="907" w:type="dxa"/>
            <w:tcBorders>
              <w:top w:val="single" w:sz="6" w:space="0" w:color="auto"/>
            </w:tcBorders>
          </w:tcPr>
          <w:p w14:paraId="605CCC3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0.6</w:t>
            </w:r>
          </w:p>
        </w:tc>
        <w:tc>
          <w:tcPr>
            <w:tcW w:w="907" w:type="dxa"/>
            <w:tcBorders>
              <w:top w:val="single" w:sz="6" w:space="0" w:color="auto"/>
            </w:tcBorders>
          </w:tcPr>
          <w:p w14:paraId="63146E3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107 605</w:t>
            </w:r>
          </w:p>
        </w:tc>
      </w:tr>
      <w:tr w:rsidR="00E51EAC" w14:paraId="120CE6F8" w14:textId="77777777">
        <w:tc>
          <w:tcPr>
            <w:cnfStyle w:val="001000000000" w:firstRow="0" w:lastRow="0" w:firstColumn="1" w:lastColumn="0" w:oddVBand="0" w:evenVBand="0" w:oddHBand="0" w:evenHBand="0" w:firstRowFirstColumn="0" w:firstRowLastColumn="0" w:lastRowFirstColumn="0" w:lastRowLastColumn="0"/>
            <w:tcW w:w="5103" w:type="dxa"/>
          </w:tcPr>
          <w:p w14:paraId="0AF7E3FC" w14:textId="77777777" w:rsidR="00E51EAC" w:rsidRDefault="00182F93">
            <w:r>
              <w:rPr>
                <w:b/>
              </w:rPr>
              <w:t>Expenses from transactions</w:t>
            </w:r>
          </w:p>
        </w:tc>
        <w:tc>
          <w:tcPr>
            <w:tcW w:w="907" w:type="dxa"/>
          </w:tcPr>
          <w:p w14:paraId="62F1E18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465237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70DC9D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705400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F754CB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5E85742" w14:textId="77777777">
        <w:tc>
          <w:tcPr>
            <w:cnfStyle w:val="001000000000" w:firstRow="0" w:lastRow="0" w:firstColumn="1" w:lastColumn="0" w:oddVBand="0" w:evenVBand="0" w:oddHBand="0" w:evenHBand="0" w:firstRowFirstColumn="0" w:firstRowLastColumn="0" w:lastRowFirstColumn="0" w:lastRowLastColumn="0"/>
            <w:tcW w:w="5103" w:type="dxa"/>
          </w:tcPr>
          <w:p w14:paraId="14056D72" w14:textId="77777777" w:rsidR="00E51EAC" w:rsidRDefault="00182F93">
            <w:r>
              <w:t>Employee expenses</w:t>
            </w:r>
          </w:p>
        </w:tc>
        <w:tc>
          <w:tcPr>
            <w:tcW w:w="907" w:type="dxa"/>
          </w:tcPr>
          <w:p w14:paraId="2F446E7B" w14:textId="77777777" w:rsidR="00E51EAC" w:rsidRDefault="00182F93">
            <w:pPr>
              <w:cnfStyle w:val="000000000000" w:firstRow="0" w:lastRow="0" w:firstColumn="0" w:lastColumn="0" w:oddVBand="0" w:evenVBand="0" w:oddHBand="0" w:evenHBand="0" w:firstRowFirstColumn="0" w:firstRowLastColumn="0" w:lastRowFirstColumn="0" w:lastRowLastColumn="0"/>
            </w:pPr>
            <w:r>
              <w:t>40 054</w:t>
            </w:r>
          </w:p>
        </w:tc>
        <w:tc>
          <w:tcPr>
            <w:tcW w:w="907" w:type="dxa"/>
          </w:tcPr>
          <w:p w14:paraId="6F4F23C5" w14:textId="77777777" w:rsidR="00E51EAC" w:rsidRDefault="00182F93">
            <w:pPr>
              <w:cnfStyle w:val="000000000000" w:firstRow="0" w:lastRow="0" w:firstColumn="0" w:lastColumn="0" w:oddVBand="0" w:evenVBand="0" w:oddHBand="0" w:evenHBand="0" w:firstRowFirstColumn="0" w:firstRowLastColumn="0" w:lastRowFirstColumn="0" w:lastRowLastColumn="0"/>
            </w:pPr>
            <w:r>
              <w:t>39 463</w:t>
            </w:r>
          </w:p>
        </w:tc>
        <w:tc>
          <w:tcPr>
            <w:tcW w:w="907" w:type="dxa"/>
          </w:tcPr>
          <w:p w14:paraId="4A1C3A85" w14:textId="77777777" w:rsidR="00E51EAC" w:rsidRDefault="00182F93">
            <w:pPr>
              <w:cnfStyle w:val="000000000000" w:firstRow="0" w:lastRow="0" w:firstColumn="0" w:lastColumn="0" w:oddVBand="0" w:evenVBand="0" w:oddHBand="0" w:evenHBand="0" w:firstRowFirstColumn="0" w:firstRowLastColumn="0" w:lastRowFirstColumn="0" w:lastRowLastColumn="0"/>
            </w:pPr>
            <w:r>
              <w:t>591</w:t>
            </w:r>
          </w:p>
        </w:tc>
        <w:tc>
          <w:tcPr>
            <w:tcW w:w="907" w:type="dxa"/>
          </w:tcPr>
          <w:p w14:paraId="37FDE732" w14:textId="77777777" w:rsidR="00E51EAC" w:rsidRDefault="00182F93">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229B2BB4" w14:textId="77777777" w:rsidR="00E51EAC" w:rsidRDefault="00182F93">
            <w:pPr>
              <w:cnfStyle w:val="000000000000" w:firstRow="0" w:lastRow="0" w:firstColumn="0" w:lastColumn="0" w:oddVBand="0" w:evenVBand="0" w:oddHBand="0" w:evenHBand="0" w:firstRowFirstColumn="0" w:firstRowLastColumn="0" w:lastRowFirstColumn="0" w:lastRowLastColumn="0"/>
            </w:pPr>
            <w:r>
              <w:t>37 467</w:t>
            </w:r>
          </w:p>
        </w:tc>
      </w:tr>
      <w:tr w:rsidR="00E51EAC" w14:paraId="03B694EF" w14:textId="77777777">
        <w:tc>
          <w:tcPr>
            <w:cnfStyle w:val="001000000000" w:firstRow="0" w:lastRow="0" w:firstColumn="1" w:lastColumn="0" w:oddVBand="0" w:evenVBand="0" w:oddHBand="0" w:evenHBand="0" w:firstRowFirstColumn="0" w:firstRowLastColumn="0" w:lastRowFirstColumn="0" w:lastRowLastColumn="0"/>
            <w:tcW w:w="5103" w:type="dxa"/>
          </w:tcPr>
          <w:p w14:paraId="2D6841AA" w14:textId="77777777" w:rsidR="00E51EAC" w:rsidRDefault="00182F93">
            <w:r>
              <w:t>Superannuation:</w:t>
            </w:r>
          </w:p>
        </w:tc>
        <w:tc>
          <w:tcPr>
            <w:tcW w:w="907" w:type="dxa"/>
          </w:tcPr>
          <w:p w14:paraId="13ABE39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445C5C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3C0710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8BCF34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3CEE86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FBD8F0E" w14:textId="77777777">
        <w:tc>
          <w:tcPr>
            <w:cnfStyle w:val="001000000000" w:firstRow="0" w:lastRow="0" w:firstColumn="1" w:lastColumn="0" w:oddVBand="0" w:evenVBand="0" w:oddHBand="0" w:evenHBand="0" w:firstRowFirstColumn="0" w:firstRowLastColumn="0" w:lastRowFirstColumn="0" w:lastRowLastColumn="0"/>
            <w:tcW w:w="5103" w:type="dxa"/>
          </w:tcPr>
          <w:p w14:paraId="0E7C3C51" w14:textId="62F51B31" w:rsidR="00E51EAC" w:rsidRDefault="005C7550">
            <w:r>
              <w:t xml:space="preserve">   </w:t>
            </w:r>
            <w:r w:rsidR="00182F93">
              <w:t>Superannuation interest expense</w:t>
            </w:r>
          </w:p>
        </w:tc>
        <w:tc>
          <w:tcPr>
            <w:tcW w:w="907" w:type="dxa"/>
          </w:tcPr>
          <w:p w14:paraId="4F229856" w14:textId="77777777" w:rsidR="00E51EAC" w:rsidRDefault="00182F93">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7D3AFBD2" w14:textId="77777777" w:rsidR="00E51EAC" w:rsidRDefault="00182F93">
            <w:pPr>
              <w:cnfStyle w:val="000000000000" w:firstRow="0" w:lastRow="0" w:firstColumn="0" w:lastColumn="0" w:oddVBand="0" w:evenVBand="0" w:oddHBand="0" w:evenHBand="0" w:firstRowFirstColumn="0" w:firstRowLastColumn="0" w:lastRowFirstColumn="0" w:lastRowLastColumn="0"/>
            </w:pPr>
            <w:r>
              <w:t>788</w:t>
            </w:r>
          </w:p>
        </w:tc>
        <w:tc>
          <w:tcPr>
            <w:tcW w:w="907" w:type="dxa"/>
          </w:tcPr>
          <w:p w14:paraId="5ADBACA9"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87BB586" w14:textId="77777777" w:rsidR="00E51EAC" w:rsidRDefault="00182F93">
            <w:pPr>
              <w:cnfStyle w:val="000000000000" w:firstRow="0" w:lastRow="0" w:firstColumn="0" w:lastColumn="0" w:oddVBand="0" w:evenVBand="0" w:oddHBand="0" w:evenHBand="0" w:firstRowFirstColumn="0" w:firstRowLastColumn="0" w:lastRowFirstColumn="0" w:lastRowLastColumn="0"/>
            </w:pPr>
            <w:r>
              <w:t>(0.3)</w:t>
            </w:r>
          </w:p>
        </w:tc>
        <w:tc>
          <w:tcPr>
            <w:tcW w:w="907" w:type="dxa"/>
          </w:tcPr>
          <w:p w14:paraId="7CEF9F42" w14:textId="77777777" w:rsidR="00E51EAC" w:rsidRDefault="00182F93">
            <w:pPr>
              <w:cnfStyle w:val="000000000000" w:firstRow="0" w:lastRow="0" w:firstColumn="0" w:lastColumn="0" w:oddVBand="0" w:evenVBand="0" w:oddHBand="0" w:evenHBand="0" w:firstRowFirstColumn="0" w:firstRowLastColumn="0" w:lastRowFirstColumn="0" w:lastRowLastColumn="0"/>
            </w:pPr>
            <w:r>
              <w:t>775</w:t>
            </w:r>
          </w:p>
        </w:tc>
      </w:tr>
      <w:tr w:rsidR="00E51EAC" w14:paraId="31735518" w14:textId="77777777">
        <w:tc>
          <w:tcPr>
            <w:cnfStyle w:val="001000000000" w:firstRow="0" w:lastRow="0" w:firstColumn="1" w:lastColumn="0" w:oddVBand="0" w:evenVBand="0" w:oddHBand="0" w:evenHBand="0" w:firstRowFirstColumn="0" w:firstRowLastColumn="0" w:lastRowFirstColumn="0" w:lastRowLastColumn="0"/>
            <w:tcW w:w="5103" w:type="dxa"/>
          </w:tcPr>
          <w:p w14:paraId="7625CB19" w14:textId="35ABB0BF" w:rsidR="00E51EAC" w:rsidRDefault="005C7550">
            <w:r>
              <w:t xml:space="preserve">   </w:t>
            </w:r>
            <w:r w:rsidR="00182F93">
              <w:t>Other superannuation</w:t>
            </w:r>
          </w:p>
        </w:tc>
        <w:tc>
          <w:tcPr>
            <w:tcW w:w="907" w:type="dxa"/>
          </w:tcPr>
          <w:p w14:paraId="22ED7512" w14:textId="77777777" w:rsidR="00E51EAC" w:rsidRDefault="00182F93">
            <w:pPr>
              <w:cnfStyle w:val="000000000000" w:firstRow="0" w:lastRow="0" w:firstColumn="0" w:lastColumn="0" w:oddVBand="0" w:evenVBand="0" w:oddHBand="0" w:evenHBand="0" w:firstRowFirstColumn="0" w:firstRowLastColumn="0" w:lastRowFirstColumn="0" w:lastRowLastColumn="0"/>
            </w:pPr>
            <w:r>
              <w:t>4 812</w:t>
            </w:r>
          </w:p>
        </w:tc>
        <w:tc>
          <w:tcPr>
            <w:tcW w:w="907" w:type="dxa"/>
          </w:tcPr>
          <w:p w14:paraId="0AB0F81A" w14:textId="77777777" w:rsidR="00E51EAC" w:rsidRDefault="00182F93">
            <w:pPr>
              <w:cnfStyle w:val="000000000000" w:firstRow="0" w:lastRow="0" w:firstColumn="0" w:lastColumn="0" w:oddVBand="0" w:evenVBand="0" w:oddHBand="0" w:evenHBand="0" w:firstRowFirstColumn="0" w:firstRowLastColumn="0" w:lastRowFirstColumn="0" w:lastRowLastColumn="0"/>
            </w:pPr>
            <w:r>
              <w:t>4 731</w:t>
            </w:r>
          </w:p>
        </w:tc>
        <w:tc>
          <w:tcPr>
            <w:tcW w:w="907" w:type="dxa"/>
          </w:tcPr>
          <w:p w14:paraId="422AB8A4" w14:textId="77777777" w:rsidR="00E51EAC" w:rsidRDefault="00182F93">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7BFA3215" w14:textId="77777777" w:rsidR="00E51EAC" w:rsidRDefault="00182F93">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48604CE9" w14:textId="77777777" w:rsidR="00E51EAC" w:rsidRDefault="00182F93">
            <w:pPr>
              <w:cnfStyle w:val="000000000000" w:firstRow="0" w:lastRow="0" w:firstColumn="0" w:lastColumn="0" w:oddVBand="0" w:evenVBand="0" w:oddHBand="0" w:evenHBand="0" w:firstRowFirstColumn="0" w:firstRowLastColumn="0" w:lastRowFirstColumn="0" w:lastRowLastColumn="0"/>
            </w:pPr>
            <w:r>
              <w:t>4 312</w:t>
            </w:r>
          </w:p>
        </w:tc>
      </w:tr>
      <w:tr w:rsidR="00E51EAC" w14:paraId="0BDEAF58" w14:textId="77777777">
        <w:tc>
          <w:tcPr>
            <w:cnfStyle w:val="001000000000" w:firstRow="0" w:lastRow="0" w:firstColumn="1" w:lastColumn="0" w:oddVBand="0" w:evenVBand="0" w:oddHBand="0" w:evenHBand="0" w:firstRowFirstColumn="0" w:firstRowLastColumn="0" w:lastRowFirstColumn="0" w:lastRowLastColumn="0"/>
            <w:tcW w:w="5103" w:type="dxa"/>
          </w:tcPr>
          <w:p w14:paraId="30945A61" w14:textId="77777777" w:rsidR="00E51EAC" w:rsidRDefault="00182F93">
            <w:r>
              <w:t>Depreciation</w:t>
            </w:r>
          </w:p>
        </w:tc>
        <w:tc>
          <w:tcPr>
            <w:tcW w:w="907" w:type="dxa"/>
          </w:tcPr>
          <w:p w14:paraId="465BFADA" w14:textId="77777777" w:rsidR="00E51EAC" w:rsidRDefault="00182F93">
            <w:pPr>
              <w:cnfStyle w:val="000000000000" w:firstRow="0" w:lastRow="0" w:firstColumn="0" w:lastColumn="0" w:oddVBand="0" w:evenVBand="0" w:oddHBand="0" w:evenHBand="0" w:firstRowFirstColumn="0" w:firstRowLastColumn="0" w:lastRowFirstColumn="0" w:lastRowLastColumn="0"/>
            </w:pPr>
            <w:r>
              <w:t>9 349</w:t>
            </w:r>
          </w:p>
        </w:tc>
        <w:tc>
          <w:tcPr>
            <w:tcW w:w="907" w:type="dxa"/>
          </w:tcPr>
          <w:p w14:paraId="51B35F33" w14:textId="77777777" w:rsidR="00E51EAC" w:rsidRDefault="00182F93">
            <w:pPr>
              <w:cnfStyle w:val="000000000000" w:firstRow="0" w:lastRow="0" w:firstColumn="0" w:lastColumn="0" w:oddVBand="0" w:evenVBand="0" w:oddHBand="0" w:evenHBand="0" w:firstRowFirstColumn="0" w:firstRowLastColumn="0" w:lastRowFirstColumn="0" w:lastRowLastColumn="0"/>
            </w:pPr>
            <w:r>
              <w:t>9 052</w:t>
            </w:r>
          </w:p>
        </w:tc>
        <w:tc>
          <w:tcPr>
            <w:tcW w:w="907" w:type="dxa"/>
          </w:tcPr>
          <w:p w14:paraId="695817D8" w14:textId="77777777" w:rsidR="00E51EAC" w:rsidRDefault="00182F93">
            <w:pPr>
              <w:cnfStyle w:val="000000000000" w:firstRow="0" w:lastRow="0" w:firstColumn="0" w:lastColumn="0" w:oddVBand="0" w:evenVBand="0" w:oddHBand="0" w:evenHBand="0" w:firstRowFirstColumn="0" w:firstRowLastColumn="0" w:lastRowFirstColumn="0" w:lastRowLastColumn="0"/>
            </w:pPr>
            <w:r>
              <w:t>297</w:t>
            </w:r>
          </w:p>
        </w:tc>
        <w:tc>
          <w:tcPr>
            <w:tcW w:w="907" w:type="dxa"/>
          </w:tcPr>
          <w:p w14:paraId="73979E05" w14:textId="77777777" w:rsidR="00E51EAC" w:rsidRDefault="00182F93">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1A961CE1" w14:textId="77777777" w:rsidR="00E51EAC" w:rsidRDefault="00182F93">
            <w:pPr>
              <w:cnfStyle w:val="000000000000" w:firstRow="0" w:lastRow="0" w:firstColumn="0" w:lastColumn="0" w:oddVBand="0" w:evenVBand="0" w:oddHBand="0" w:evenHBand="0" w:firstRowFirstColumn="0" w:firstRowLastColumn="0" w:lastRowFirstColumn="0" w:lastRowLastColumn="0"/>
            </w:pPr>
            <w:r>
              <w:t>8 279</w:t>
            </w:r>
          </w:p>
        </w:tc>
      </w:tr>
      <w:tr w:rsidR="00E51EAC" w14:paraId="5EB4E686" w14:textId="77777777">
        <w:tc>
          <w:tcPr>
            <w:cnfStyle w:val="001000000000" w:firstRow="0" w:lastRow="0" w:firstColumn="1" w:lastColumn="0" w:oddVBand="0" w:evenVBand="0" w:oddHBand="0" w:evenHBand="0" w:firstRowFirstColumn="0" w:firstRowLastColumn="0" w:lastRowFirstColumn="0" w:lastRowLastColumn="0"/>
            <w:tcW w:w="5103" w:type="dxa"/>
          </w:tcPr>
          <w:p w14:paraId="78F98102" w14:textId="77777777" w:rsidR="00E51EAC" w:rsidRDefault="00182F93">
            <w:r>
              <w:t>Interest expense</w:t>
            </w:r>
          </w:p>
        </w:tc>
        <w:tc>
          <w:tcPr>
            <w:tcW w:w="907" w:type="dxa"/>
          </w:tcPr>
          <w:p w14:paraId="16D712DB" w14:textId="77777777" w:rsidR="00E51EAC" w:rsidRDefault="00182F93">
            <w:pPr>
              <w:cnfStyle w:val="000000000000" w:firstRow="0" w:lastRow="0" w:firstColumn="0" w:lastColumn="0" w:oddVBand="0" w:evenVBand="0" w:oddHBand="0" w:evenHBand="0" w:firstRowFirstColumn="0" w:firstRowLastColumn="0" w:lastRowFirstColumn="0" w:lastRowLastColumn="0"/>
            </w:pPr>
            <w:r>
              <w:t>8 130</w:t>
            </w:r>
          </w:p>
        </w:tc>
        <w:tc>
          <w:tcPr>
            <w:tcW w:w="907" w:type="dxa"/>
          </w:tcPr>
          <w:p w14:paraId="53FB090A" w14:textId="77777777" w:rsidR="00E51EAC" w:rsidRDefault="00182F93">
            <w:pPr>
              <w:cnfStyle w:val="000000000000" w:firstRow="0" w:lastRow="0" w:firstColumn="0" w:lastColumn="0" w:oddVBand="0" w:evenVBand="0" w:oddHBand="0" w:evenHBand="0" w:firstRowFirstColumn="0" w:firstRowLastColumn="0" w:lastRowFirstColumn="0" w:lastRowLastColumn="0"/>
            </w:pPr>
            <w:r>
              <w:t>7 948</w:t>
            </w:r>
          </w:p>
        </w:tc>
        <w:tc>
          <w:tcPr>
            <w:tcW w:w="907" w:type="dxa"/>
          </w:tcPr>
          <w:p w14:paraId="6096A849" w14:textId="77777777" w:rsidR="00E51EAC" w:rsidRDefault="00182F93">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0EC2E8B1" w14:textId="77777777" w:rsidR="00E51EAC" w:rsidRDefault="00182F93">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66657E8D" w14:textId="77777777" w:rsidR="00E51EAC" w:rsidRDefault="00182F93">
            <w:pPr>
              <w:cnfStyle w:val="000000000000" w:firstRow="0" w:lastRow="0" w:firstColumn="0" w:lastColumn="0" w:oddVBand="0" w:evenVBand="0" w:oddHBand="0" w:evenHBand="0" w:firstRowFirstColumn="0" w:firstRowLastColumn="0" w:lastRowFirstColumn="0" w:lastRowLastColumn="0"/>
            </w:pPr>
            <w:r>
              <w:t>6 722</w:t>
            </w:r>
          </w:p>
        </w:tc>
      </w:tr>
      <w:tr w:rsidR="00E51EAC" w14:paraId="18F5B159" w14:textId="77777777">
        <w:tc>
          <w:tcPr>
            <w:cnfStyle w:val="001000000000" w:firstRow="0" w:lastRow="0" w:firstColumn="1" w:lastColumn="0" w:oddVBand="0" w:evenVBand="0" w:oddHBand="0" w:evenHBand="0" w:firstRowFirstColumn="0" w:firstRowLastColumn="0" w:lastRowFirstColumn="0" w:lastRowLastColumn="0"/>
            <w:tcW w:w="5103" w:type="dxa"/>
          </w:tcPr>
          <w:p w14:paraId="5CFC93D2" w14:textId="77777777" w:rsidR="00E51EAC" w:rsidRDefault="00182F93">
            <w:r>
              <w:t>Grant expense</w:t>
            </w:r>
          </w:p>
        </w:tc>
        <w:tc>
          <w:tcPr>
            <w:tcW w:w="907" w:type="dxa"/>
          </w:tcPr>
          <w:p w14:paraId="60BFC3C4" w14:textId="77777777" w:rsidR="00E51EAC" w:rsidRDefault="00182F93">
            <w:pPr>
              <w:cnfStyle w:val="000000000000" w:firstRow="0" w:lastRow="0" w:firstColumn="0" w:lastColumn="0" w:oddVBand="0" w:evenVBand="0" w:oddHBand="0" w:evenHBand="0" w:firstRowFirstColumn="0" w:firstRowLastColumn="0" w:lastRowFirstColumn="0" w:lastRowLastColumn="0"/>
            </w:pPr>
            <w:r>
              <w:t>15 045</w:t>
            </w:r>
          </w:p>
        </w:tc>
        <w:tc>
          <w:tcPr>
            <w:tcW w:w="907" w:type="dxa"/>
          </w:tcPr>
          <w:p w14:paraId="37C6264C" w14:textId="77777777" w:rsidR="00E51EAC" w:rsidRDefault="00182F93">
            <w:pPr>
              <w:cnfStyle w:val="000000000000" w:firstRow="0" w:lastRow="0" w:firstColumn="0" w:lastColumn="0" w:oddVBand="0" w:evenVBand="0" w:oddHBand="0" w:evenHBand="0" w:firstRowFirstColumn="0" w:firstRowLastColumn="0" w:lastRowFirstColumn="0" w:lastRowLastColumn="0"/>
            </w:pPr>
            <w:r>
              <w:t>15 584</w:t>
            </w:r>
          </w:p>
        </w:tc>
        <w:tc>
          <w:tcPr>
            <w:tcW w:w="907" w:type="dxa"/>
          </w:tcPr>
          <w:p w14:paraId="47B80142" w14:textId="77777777" w:rsidR="00E51EAC" w:rsidRDefault="00182F93">
            <w:pPr>
              <w:cnfStyle w:val="000000000000" w:firstRow="0" w:lastRow="0" w:firstColumn="0" w:lastColumn="0" w:oddVBand="0" w:evenVBand="0" w:oddHBand="0" w:evenHBand="0" w:firstRowFirstColumn="0" w:firstRowLastColumn="0" w:lastRowFirstColumn="0" w:lastRowLastColumn="0"/>
            </w:pPr>
            <w:r>
              <w:t>(540)</w:t>
            </w:r>
          </w:p>
        </w:tc>
        <w:tc>
          <w:tcPr>
            <w:tcW w:w="907" w:type="dxa"/>
          </w:tcPr>
          <w:p w14:paraId="79151E09" w14:textId="77777777" w:rsidR="00E51EAC" w:rsidRDefault="00182F93">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3A2E300A" w14:textId="77777777" w:rsidR="00E51EAC" w:rsidRDefault="00182F93">
            <w:pPr>
              <w:cnfStyle w:val="000000000000" w:firstRow="0" w:lastRow="0" w:firstColumn="0" w:lastColumn="0" w:oddVBand="0" w:evenVBand="0" w:oddHBand="0" w:evenHBand="0" w:firstRowFirstColumn="0" w:firstRowLastColumn="0" w:lastRowFirstColumn="0" w:lastRowLastColumn="0"/>
            </w:pPr>
            <w:r>
              <w:t>14 721</w:t>
            </w:r>
          </w:p>
        </w:tc>
      </w:tr>
      <w:tr w:rsidR="00E51EAC" w14:paraId="6154F3FB"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4A16246" w14:textId="77777777" w:rsidR="00E51EAC" w:rsidRDefault="00182F93">
            <w:r>
              <w:t>Other operating expenses</w:t>
            </w:r>
          </w:p>
        </w:tc>
        <w:tc>
          <w:tcPr>
            <w:tcW w:w="907" w:type="dxa"/>
            <w:tcBorders>
              <w:bottom w:val="single" w:sz="6" w:space="0" w:color="auto"/>
            </w:tcBorders>
          </w:tcPr>
          <w:p w14:paraId="5E43E115" w14:textId="77777777" w:rsidR="00E51EAC" w:rsidRDefault="00182F93">
            <w:pPr>
              <w:cnfStyle w:val="000000000000" w:firstRow="0" w:lastRow="0" w:firstColumn="0" w:lastColumn="0" w:oddVBand="0" w:evenVBand="0" w:oddHBand="0" w:evenHBand="0" w:firstRowFirstColumn="0" w:firstRowLastColumn="0" w:lastRowFirstColumn="0" w:lastRowLastColumn="0"/>
            </w:pPr>
            <w:r>
              <w:t>45 793</w:t>
            </w:r>
          </w:p>
        </w:tc>
        <w:tc>
          <w:tcPr>
            <w:tcW w:w="907" w:type="dxa"/>
            <w:tcBorders>
              <w:bottom w:val="single" w:sz="6" w:space="0" w:color="auto"/>
            </w:tcBorders>
          </w:tcPr>
          <w:p w14:paraId="6D1ED1AC" w14:textId="77777777" w:rsidR="00E51EAC" w:rsidRDefault="00182F93">
            <w:pPr>
              <w:cnfStyle w:val="000000000000" w:firstRow="0" w:lastRow="0" w:firstColumn="0" w:lastColumn="0" w:oddVBand="0" w:evenVBand="0" w:oddHBand="0" w:evenHBand="0" w:firstRowFirstColumn="0" w:firstRowLastColumn="0" w:lastRowFirstColumn="0" w:lastRowLastColumn="0"/>
            </w:pPr>
            <w:r>
              <w:t>46 816</w:t>
            </w:r>
          </w:p>
        </w:tc>
        <w:tc>
          <w:tcPr>
            <w:tcW w:w="907" w:type="dxa"/>
            <w:tcBorders>
              <w:bottom w:val="single" w:sz="6" w:space="0" w:color="auto"/>
            </w:tcBorders>
          </w:tcPr>
          <w:p w14:paraId="525E94AA" w14:textId="77777777" w:rsidR="00E51EAC" w:rsidRDefault="00182F93">
            <w:pPr>
              <w:cnfStyle w:val="000000000000" w:firstRow="0" w:lastRow="0" w:firstColumn="0" w:lastColumn="0" w:oddVBand="0" w:evenVBand="0" w:oddHBand="0" w:evenHBand="0" w:firstRowFirstColumn="0" w:firstRowLastColumn="0" w:lastRowFirstColumn="0" w:lastRowLastColumn="0"/>
            </w:pPr>
            <w:r>
              <w:t>(1 022)</w:t>
            </w:r>
          </w:p>
        </w:tc>
        <w:tc>
          <w:tcPr>
            <w:tcW w:w="907" w:type="dxa"/>
            <w:tcBorders>
              <w:bottom w:val="single" w:sz="6" w:space="0" w:color="auto"/>
            </w:tcBorders>
          </w:tcPr>
          <w:p w14:paraId="117A2E3A" w14:textId="77777777" w:rsidR="00E51EAC" w:rsidRDefault="00182F93">
            <w:pPr>
              <w:cnfStyle w:val="000000000000" w:firstRow="0" w:lastRow="0" w:firstColumn="0" w:lastColumn="0" w:oddVBand="0" w:evenVBand="0" w:oddHBand="0" w:evenHBand="0" w:firstRowFirstColumn="0" w:firstRowLastColumn="0" w:lastRowFirstColumn="0" w:lastRowLastColumn="0"/>
            </w:pPr>
            <w:r>
              <w:t>(2.2)</w:t>
            </w:r>
          </w:p>
        </w:tc>
        <w:tc>
          <w:tcPr>
            <w:tcW w:w="907" w:type="dxa"/>
            <w:tcBorders>
              <w:bottom w:val="single" w:sz="6" w:space="0" w:color="auto"/>
            </w:tcBorders>
          </w:tcPr>
          <w:p w14:paraId="174C3333" w14:textId="77777777" w:rsidR="00E51EAC" w:rsidRDefault="00182F93">
            <w:pPr>
              <w:cnfStyle w:val="000000000000" w:firstRow="0" w:lastRow="0" w:firstColumn="0" w:lastColumn="0" w:oddVBand="0" w:evenVBand="0" w:oddHBand="0" w:evenHBand="0" w:firstRowFirstColumn="0" w:firstRowLastColumn="0" w:lastRowFirstColumn="0" w:lastRowLastColumn="0"/>
            </w:pPr>
            <w:r>
              <w:t>43 787</w:t>
            </w:r>
          </w:p>
        </w:tc>
      </w:tr>
      <w:tr w:rsidR="00E51EAC" w14:paraId="4B84D12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320D6D4" w14:textId="77777777" w:rsidR="00E51EAC" w:rsidRDefault="00182F93">
            <w:r>
              <w:rPr>
                <w:b/>
              </w:rPr>
              <w:t>Total expenses from transactions</w:t>
            </w:r>
          </w:p>
        </w:tc>
        <w:tc>
          <w:tcPr>
            <w:tcW w:w="907" w:type="dxa"/>
            <w:tcBorders>
              <w:top w:val="single" w:sz="6" w:space="0" w:color="auto"/>
              <w:bottom w:val="single" w:sz="6" w:space="0" w:color="auto"/>
            </w:tcBorders>
          </w:tcPr>
          <w:p w14:paraId="6DDE330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123 968</w:t>
            </w:r>
          </w:p>
        </w:tc>
        <w:tc>
          <w:tcPr>
            <w:tcW w:w="907" w:type="dxa"/>
            <w:tcBorders>
              <w:top w:val="single" w:sz="6" w:space="0" w:color="auto"/>
              <w:bottom w:val="single" w:sz="6" w:space="0" w:color="auto"/>
            </w:tcBorders>
          </w:tcPr>
          <w:p w14:paraId="0059176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124 382</w:t>
            </w:r>
          </w:p>
        </w:tc>
        <w:tc>
          <w:tcPr>
            <w:tcW w:w="907" w:type="dxa"/>
            <w:tcBorders>
              <w:top w:val="single" w:sz="6" w:space="0" w:color="auto"/>
              <w:bottom w:val="single" w:sz="6" w:space="0" w:color="auto"/>
            </w:tcBorders>
          </w:tcPr>
          <w:p w14:paraId="74E354D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(414)</w:t>
            </w:r>
          </w:p>
        </w:tc>
        <w:tc>
          <w:tcPr>
            <w:tcW w:w="907" w:type="dxa"/>
            <w:tcBorders>
              <w:top w:val="single" w:sz="6" w:space="0" w:color="auto"/>
              <w:bottom w:val="single" w:sz="6" w:space="0" w:color="auto"/>
            </w:tcBorders>
          </w:tcPr>
          <w:p w14:paraId="503A52B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(0.3)</w:t>
            </w:r>
          </w:p>
        </w:tc>
        <w:tc>
          <w:tcPr>
            <w:tcW w:w="907" w:type="dxa"/>
            <w:tcBorders>
              <w:top w:val="single" w:sz="6" w:space="0" w:color="auto"/>
              <w:bottom w:val="single" w:sz="6" w:space="0" w:color="auto"/>
            </w:tcBorders>
          </w:tcPr>
          <w:p w14:paraId="6884D8F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116 064</w:t>
            </w:r>
          </w:p>
        </w:tc>
      </w:tr>
      <w:tr w:rsidR="00E51EAC" w14:paraId="0D2C1E95"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1579E74" w14:textId="7C5C8C1E" w:rsidR="00E51EAC" w:rsidRDefault="00182F93">
            <w:r>
              <w:rPr>
                <w:b/>
              </w:rPr>
              <w:t xml:space="preserve">Net result from transactions – </w:t>
            </w:r>
            <w:r w:rsidR="00561035">
              <w:rPr>
                <w:b/>
              </w:rPr>
              <w:t xml:space="preserve">Net </w:t>
            </w:r>
            <w:r>
              <w:rPr>
                <w:b/>
              </w:rPr>
              <w:t>operating balance</w:t>
            </w:r>
          </w:p>
        </w:tc>
        <w:tc>
          <w:tcPr>
            <w:tcW w:w="907" w:type="dxa"/>
            <w:tcBorders>
              <w:top w:val="single" w:sz="6" w:space="0" w:color="auto"/>
              <w:bottom w:val="single" w:sz="6" w:space="0" w:color="auto"/>
            </w:tcBorders>
          </w:tcPr>
          <w:p w14:paraId="59669C3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(6 177)</w:t>
            </w:r>
          </w:p>
        </w:tc>
        <w:tc>
          <w:tcPr>
            <w:tcW w:w="907" w:type="dxa"/>
            <w:tcBorders>
              <w:top w:val="single" w:sz="6" w:space="0" w:color="auto"/>
              <w:bottom w:val="single" w:sz="6" w:space="0" w:color="auto"/>
            </w:tcBorders>
          </w:tcPr>
          <w:p w14:paraId="508395D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(7 288)</w:t>
            </w:r>
          </w:p>
        </w:tc>
        <w:tc>
          <w:tcPr>
            <w:tcW w:w="907" w:type="dxa"/>
            <w:tcBorders>
              <w:top w:val="single" w:sz="6" w:space="0" w:color="auto"/>
              <w:bottom w:val="single" w:sz="6" w:space="0" w:color="auto"/>
            </w:tcBorders>
          </w:tcPr>
          <w:p w14:paraId="6317305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1 111</w:t>
            </w:r>
          </w:p>
        </w:tc>
        <w:tc>
          <w:tcPr>
            <w:tcW w:w="907" w:type="dxa"/>
            <w:tcBorders>
              <w:top w:val="single" w:sz="6" w:space="0" w:color="auto"/>
              <w:bottom w:val="single" w:sz="6" w:space="0" w:color="auto"/>
            </w:tcBorders>
          </w:tcPr>
          <w:p w14:paraId="0BA75DE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(15.2)</w:t>
            </w:r>
          </w:p>
        </w:tc>
        <w:tc>
          <w:tcPr>
            <w:tcW w:w="907" w:type="dxa"/>
            <w:tcBorders>
              <w:top w:val="single" w:sz="6" w:space="0" w:color="auto"/>
              <w:bottom w:val="single" w:sz="6" w:space="0" w:color="auto"/>
            </w:tcBorders>
          </w:tcPr>
          <w:p w14:paraId="2EC9C23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(8 459)</w:t>
            </w:r>
          </w:p>
        </w:tc>
      </w:tr>
      <w:tr w:rsidR="00E51EAC" w14:paraId="50583578"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09DFDDD" w14:textId="77777777" w:rsidR="00E51EAC" w:rsidRDefault="00182F93">
            <w:r>
              <w:rPr>
                <w:b/>
              </w:rPr>
              <w:t>Total other economic flows included in net result</w:t>
            </w:r>
          </w:p>
        </w:tc>
        <w:tc>
          <w:tcPr>
            <w:tcW w:w="907" w:type="dxa"/>
            <w:tcBorders>
              <w:top w:val="single" w:sz="6" w:space="0" w:color="auto"/>
              <w:bottom w:val="single" w:sz="6" w:space="0" w:color="auto"/>
            </w:tcBorders>
          </w:tcPr>
          <w:p w14:paraId="7820E8E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(1 520)</w:t>
            </w:r>
          </w:p>
        </w:tc>
        <w:tc>
          <w:tcPr>
            <w:tcW w:w="907" w:type="dxa"/>
            <w:tcBorders>
              <w:top w:val="single" w:sz="6" w:space="0" w:color="auto"/>
              <w:bottom w:val="single" w:sz="6" w:space="0" w:color="auto"/>
            </w:tcBorders>
          </w:tcPr>
          <w:p w14:paraId="21944CE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(310)</w:t>
            </w:r>
          </w:p>
        </w:tc>
        <w:tc>
          <w:tcPr>
            <w:tcW w:w="907" w:type="dxa"/>
            <w:tcBorders>
              <w:top w:val="single" w:sz="6" w:space="0" w:color="auto"/>
              <w:bottom w:val="single" w:sz="6" w:space="0" w:color="auto"/>
            </w:tcBorders>
          </w:tcPr>
          <w:p w14:paraId="5157D39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(1 209)</w:t>
            </w:r>
          </w:p>
        </w:tc>
        <w:tc>
          <w:tcPr>
            <w:tcW w:w="907" w:type="dxa"/>
            <w:tcBorders>
              <w:top w:val="single" w:sz="6" w:space="0" w:color="auto"/>
              <w:bottom w:val="single" w:sz="6" w:space="0" w:color="auto"/>
            </w:tcBorders>
          </w:tcPr>
          <w:p w14:paraId="315C801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390.0</w:t>
            </w:r>
          </w:p>
        </w:tc>
        <w:tc>
          <w:tcPr>
            <w:tcW w:w="907" w:type="dxa"/>
            <w:tcBorders>
              <w:top w:val="single" w:sz="6" w:space="0" w:color="auto"/>
              <w:bottom w:val="single" w:sz="6" w:space="0" w:color="auto"/>
            </w:tcBorders>
          </w:tcPr>
          <w:p w14:paraId="44AA324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2 919</w:t>
            </w:r>
          </w:p>
        </w:tc>
      </w:tr>
      <w:tr w:rsidR="00E51EAC" w14:paraId="4BC87B0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3082EB5" w14:textId="77777777" w:rsidR="00E51EAC" w:rsidRDefault="00182F93">
            <w:r>
              <w:rPr>
                <w:b/>
              </w:rPr>
              <w:t>Net result</w:t>
            </w:r>
          </w:p>
        </w:tc>
        <w:tc>
          <w:tcPr>
            <w:tcW w:w="907" w:type="dxa"/>
            <w:tcBorders>
              <w:top w:val="single" w:sz="6" w:space="0" w:color="auto"/>
              <w:bottom w:val="single" w:sz="12" w:space="0" w:color="auto"/>
            </w:tcBorders>
          </w:tcPr>
          <w:p w14:paraId="4BF4C81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(7 696)</w:t>
            </w:r>
          </w:p>
        </w:tc>
        <w:tc>
          <w:tcPr>
            <w:tcW w:w="907" w:type="dxa"/>
            <w:tcBorders>
              <w:top w:val="single" w:sz="6" w:space="0" w:color="auto"/>
              <w:bottom w:val="single" w:sz="12" w:space="0" w:color="auto"/>
            </w:tcBorders>
          </w:tcPr>
          <w:p w14:paraId="08AD219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(7 598)</w:t>
            </w:r>
          </w:p>
        </w:tc>
        <w:tc>
          <w:tcPr>
            <w:tcW w:w="907" w:type="dxa"/>
            <w:tcBorders>
              <w:top w:val="single" w:sz="6" w:space="0" w:color="auto"/>
              <w:bottom w:val="single" w:sz="12" w:space="0" w:color="auto"/>
            </w:tcBorders>
          </w:tcPr>
          <w:p w14:paraId="74EEE57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(99)</w:t>
            </w:r>
          </w:p>
        </w:tc>
        <w:tc>
          <w:tcPr>
            <w:tcW w:w="907" w:type="dxa"/>
            <w:tcBorders>
              <w:top w:val="single" w:sz="6" w:space="0" w:color="auto"/>
              <w:bottom w:val="single" w:sz="12" w:space="0" w:color="auto"/>
            </w:tcBorders>
          </w:tcPr>
          <w:p w14:paraId="0BE5DBE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1.3</w:t>
            </w:r>
          </w:p>
        </w:tc>
        <w:tc>
          <w:tcPr>
            <w:tcW w:w="907" w:type="dxa"/>
            <w:tcBorders>
              <w:top w:val="single" w:sz="6" w:space="0" w:color="auto"/>
              <w:bottom w:val="single" w:sz="12" w:space="0" w:color="auto"/>
            </w:tcBorders>
          </w:tcPr>
          <w:p w14:paraId="0C30EB8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(5 540)</w:t>
            </w:r>
          </w:p>
        </w:tc>
      </w:tr>
    </w:tbl>
    <w:p w14:paraId="04EF1910" w14:textId="77777777" w:rsidR="00366656" w:rsidRDefault="00366656" w:rsidP="00097095"/>
    <w:p w14:paraId="0D63850C" w14:textId="77777777" w:rsidR="00DE1E51" w:rsidRDefault="00DE1E51" w:rsidP="00366656">
      <w:pPr>
        <w:sectPr w:rsidR="00DE1E51" w:rsidSect="00DE1E51">
          <w:type w:val="continuous"/>
          <w:pgSz w:w="11906" w:h="16838" w:code="9"/>
          <w:pgMar w:top="1134" w:right="1134" w:bottom="1134" w:left="1134" w:header="624" w:footer="567" w:gutter="0"/>
          <w:cols w:space="708"/>
          <w:docGrid w:linePitch="360"/>
        </w:sectPr>
      </w:pPr>
    </w:p>
    <w:p w14:paraId="1F5134B5" w14:textId="7D815CA0" w:rsidR="00366656" w:rsidRPr="003626D6" w:rsidRDefault="00366656" w:rsidP="00366656">
      <w:r w:rsidRPr="003626D6">
        <w:t xml:space="preserve">Table 3.7 shows the State recorded </w:t>
      </w:r>
      <w:r w:rsidRPr="0017356E">
        <w:t>a net deficit from transactions of $</w:t>
      </w:r>
      <w:r w:rsidR="0017356E" w:rsidRPr="0017356E">
        <w:t>6</w:t>
      </w:r>
      <w:r w:rsidRPr="0017356E">
        <w:t>.</w:t>
      </w:r>
      <w:r w:rsidR="00277B4D">
        <w:t>2</w:t>
      </w:r>
      <w:r w:rsidRPr="0017356E">
        <w:t> billion in 202</w:t>
      </w:r>
      <w:r w:rsidR="0017356E" w:rsidRPr="0017356E">
        <w:t>4</w:t>
      </w:r>
      <w:r w:rsidRPr="0017356E">
        <w:t>-2</w:t>
      </w:r>
      <w:r w:rsidR="0017356E" w:rsidRPr="0017356E">
        <w:t>5</w:t>
      </w:r>
      <w:r w:rsidRPr="0017356E">
        <w:t xml:space="preserve"> compared with a deficit of $</w:t>
      </w:r>
      <w:r w:rsidR="00F206DB">
        <w:t>8</w:t>
      </w:r>
      <w:r w:rsidRPr="0017356E">
        <w:t>.</w:t>
      </w:r>
      <w:r w:rsidR="00F206DB">
        <w:t>5</w:t>
      </w:r>
      <w:r w:rsidRPr="0017356E">
        <w:t xml:space="preserve"> billion in 202</w:t>
      </w:r>
      <w:r w:rsidR="0017356E" w:rsidRPr="0017356E">
        <w:t>3</w:t>
      </w:r>
      <w:r w:rsidRPr="0017356E">
        <w:t>-2</w:t>
      </w:r>
      <w:r w:rsidR="0017356E" w:rsidRPr="0017356E">
        <w:t>4</w:t>
      </w:r>
      <w:r w:rsidRPr="003626D6">
        <w:t>. This improvement was largely driven by the general government sector, as discussed in the previous chapter, and the PFC sector, as discussed earlier in this chapter.</w:t>
      </w:r>
    </w:p>
    <w:p w14:paraId="095FB7E8" w14:textId="1AEC7A1D" w:rsidR="00366656" w:rsidRDefault="00366656" w:rsidP="00DE1E51">
      <w:pPr>
        <w:ind w:right="-71"/>
        <w:rPr>
          <w:lang w:eastAsia="zh-CN"/>
        </w:rPr>
      </w:pPr>
      <w:r w:rsidRPr="003626D6">
        <w:t>Once other economic flows are included, the State</w:t>
      </w:r>
      <w:r w:rsidR="00845934">
        <w:t>’</w:t>
      </w:r>
      <w:r w:rsidRPr="003626D6">
        <w:t xml:space="preserve">s net result </w:t>
      </w:r>
      <w:r w:rsidR="00B24E4B">
        <w:t>declined</w:t>
      </w:r>
      <w:r w:rsidRPr="003626D6">
        <w:t xml:space="preserve"> from a deficit of </w:t>
      </w:r>
      <w:r w:rsidRPr="003C62AD">
        <w:t>$5.5 billion in 2023-24</w:t>
      </w:r>
      <w:r w:rsidR="003C62AD" w:rsidRPr="003C62AD">
        <w:t xml:space="preserve"> to </w:t>
      </w:r>
      <w:r w:rsidR="001A7A30">
        <w:t xml:space="preserve">a </w:t>
      </w:r>
      <w:r w:rsidR="003C62AD" w:rsidRPr="003C62AD">
        <w:t>deficit of $</w:t>
      </w:r>
      <w:r w:rsidR="00E71304">
        <w:t>7</w:t>
      </w:r>
      <w:r w:rsidR="003C62AD" w:rsidRPr="003C62AD">
        <w:t>.</w:t>
      </w:r>
      <w:r w:rsidR="002A57C8">
        <w:t>7</w:t>
      </w:r>
      <w:r w:rsidR="003C62AD" w:rsidRPr="003C62AD">
        <w:t xml:space="preserve"> billion in 2024-25</w:t>
      </w:r>
      <w:r w:rsidRPr="003C62AD">
        <w:t>.</w:t>
      </w:r>
      <w:r w:rsidRPr="003626D6">
        <w:t xml:space="preserve"> </w:t>
      </w:r>
      <w:r w:rsidR="00D158EA" w:rsidRPr="00D158EA">
        <w:t xml:space="preserve">This is primarily attributable to other economic flows </w:t>
      </w:r>
      <w:r w:rsidR="00286DE2">
        <w:t xml:space="preserve">loss </w:t>
      </w:r>
      <w:r w:rsidR="00D158EA" w:rsidRPr="00D158EA">
        <w:t>f</w:t>
      </w:r>
      <w:r w:rsidR="00461FFF">
        <w:t>or</w:t>
      </w:r>
      <w:r w:rsidR="00D158EA" w:rsidRPr="00D158EA">
        <w:t xml:space="preserve"> </w:t>
      </w:r>
      <w:r w:rsidR="003D4798">
        <w:t xml:space="preserve">the </w:t>
      </w:r>
      <w:r w:rsidR="00D158EA" w:rsidRPr="00D158EA">
        <w:t>PFC sector</w:t>
      </w:r>
      <w:r w:rsidR="002D4F62">
        <w:t xml:space="preserve"> </w:t>
      </w:r>
      <w:r w:rsidR="00286DE2">
        <w:t>compared with a gain in 2023</w:t>
      </w:r>
      <w:r w:rsidR="00DE1E51">
        <w:noBreakHyphen/>
      </w:r>
      <w:r w:rsidR="00286DE2">
        <w:t xml:space="preserve">24. This was due to </w:t>
      </w:r>
      <w:r w:rsidR="007B2A3A">
        <w:t xml:space="preserve">mark-to-market </w:t>
      </w:r>
      <w:r w:rsidR="00855916">
        <w:t xml:space="preserve">losses on </w:t>
      </w:r>
      <w:r w:rsidR="007B2A3A">
        <w:t>the value of borrowings</w:t>
      </w:r>
      <w:r w:rsidR="007B2A3A" w:rsidRPr="00A04EEC">
        <w:t xml:space="preserve"> held by </w:t>
      </w:r>
      <w:r w:rsidR="007B2A3A">
        <w:t xml:space="preserve">TCV </w:t>
      </w:r>
      <w:r w:rsidR="00247F57">
        <w:t>which were a gain in the prior year</w:t>
      </w:r>
      <w:r w:rsidR="007B2A3A" w:rsidRPr="00A04EEC">
        <w:t>.</w:t>
      </w:r>
    </w:p>
    <w:p w14:paraId="3DF3CCCA" w14:textId="77777777" w:rsidR="00DE1E51" w:rsidRDefault="00DE1E51" w:rsidP="00366656">
      <w:pPr>
        <w:pStyle w:val="TableHeading"/>
        <w:spacing w:before="0" w:after="0"/>
        <w:contextualSpacing w:val="0"/>
        <w:outlineLvl w:val="0"/>
        <w:sectPr w:rsidR="00DE1E51" w:rsidSect="00DE1E51">
          <w:type w:val="continuous"/>
          <w:pgSz w:w="11906" w:h="16838" w:code="9"/>
          <w:pgMar w:top="1134" w:right="1133" w:bottom="1134" w:left="1134" w:header="624" w:footer="567" w:gutter="0"/>
          <w:cols w:num="2" w:space="708"/>
          <w:docGrid w:linePitch="360"/>
        </w:sectPr>
      </w:pPr>
    </w:p>
    <w:p w14:paraId="55BA297F" w14:textId="44AF8933" w:rsidR="00366656" w:rsidRDefault="00366656" w:rsidP="00366656">
      <w:pPr>
        <w:pStyle w:val="TableHeading"/>
        <w:spacing w:before="0" w:after="0"/>
        <w:contextualSpacing w:val="0"/>
        <w:outlineLvl w:val="0"/>
        <w:rPr>
          <w:vertAlign w:val="superscript"/>
        </w:rPr>
      </w:pPr>
      <w:r w:rsidRPr="00200564">
        <w:lastRenderedPageBreak/>
        <w:t>Chart 3.1:</w:t>
      </w:r>
      <w:r w:rsidRPr="00200564">
        <w:tab/>
        <w:t xml:space="preserve">Revenue contributions by sector </w:t>
      </w:r>
      <w:r w:rsidRPr="00200564">
        <w:rPr>
          <w:vertAlign w:val="superscript"/>
        </w:rPr>
        <w:t>(a)</w:t>
      </w:r>
    </w:p>
    <w:p w14:paraId="62F39C23" w14:textId="42DF368B" w:rsidR="00366656" w:rsidRDefault="00281654" w:rsidP="00366656">
      <w:r>
        <w:rPr>
          <w:noProof/>
        </w:rPr>
        <w:drawing>
          <wp:inline distT="0" distB="0" distL="0" distR="0" wp14:anchorId="330FDFE3" wp14:editId="691BF3F5">
            <wp:extent cx="6082748" cy="4166152"/>
            <wp:effectExtent l="0" t="0" r="0" b="6350"/>
            <wp:docPr id="421500769"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E69C1D" w14:textId="77777777" w:rsidR="00366656" w:rsidRPr="00200564" w:rsidRDefault="00366656" w:rsidP="008A1CAF">
      <w:pPr>
        <w:pStyle w:val="Note"/>
        <w:ind w:left="0" w:firstLine="0"/>
      </w:pPr>
      <w:r w:rsidRPr="00200564">
        <w:t xml:space="preserve">Note: </w:t>
      </w:r>
    </w:p>
    <w:p w14:paraId="6EFFBADB" w14:textId="1D2F37E8" w:rsidR="00366656" w:rsidRPr="00200564" w:rsidRDefault="00366656" w:rsidP="00366656">
      <w:pPr>
        <w:pStyle w:val="Note"/>
      </w:pPr>
      <w:r w:rsidRPr="00200564">
        <w:t>(a)</w:t>
      </w:r>
      <w:r w:rsidRPr="00200564">
        <w:tab/>
        <w:t>The State of Victoria will not equal the sum of the general government, PNFC and PFC sectors due to inter-sector eliminations.</w:t>
      </w:r>
    </w:p>
    <w:p w14:paraId="44690A83" w14:textId="77777777" w:rsidR="00366656" w:rsidRDefault="00366656" w:rsidP="00097095"/>
    <w:p w14:paraId="27C30DD4" w14:textId="77777777" w:rsidR="00366656" w:rsidRDefault="00366656" w:rsidP="00366656">
      <w:pPr>
        <w:pStyle w:val="Heading2"/>
      </w:pPr>
      <w:r>
        <w:t>Financial position</w:t>
      </w:r>
    </w:p>
    <w:p w14:paraId="4D043A66" w14:textId="77777777" w:rsidR="00DE1E51" w:rsidRDefault="00DE1E51" w:rsidP="00366656">
      <w:pPr>
        <w:ind w:right="282"/>
        <w:sectPr w:rsidR="00DE1E51" w:rsidSect="00DE1E51">
          <w:type w:val="continuous"/>
          <w:pgSz w:w="11906" w:h="16838" w:code="9"/>
          <w:pgMar w:top="1134" w:right="1134" w:bottom="1134" w:left="1134" w:header="624" w:footer="567" w:gutter="0"/>
          <w:cols w:space="708"/>
          <w:docGrid w:linePitch="360"/>
        </w:sectPr>
      </w:pPr>
    </w:p>
    <w:p w14:paraId="2EB5C935" w14:textId="678BF6AC" w:rsidR="00366656" w:rsidRPr="003626D6" w:rsidRDefault="00366656" w:rsidP="00366656">
      <w:pPr>
        <w:ind w:right="282"/>
      </w:pPr>
      <w:r w:rsidRPr="003626D6">
        <w:t>Table 3.8 shows that the State</w:t>
      </w:r>
      <w:r w:rsidR="00845934">
        <w:t>’</w:t>
      </w:r>
      <w:r w:rsidRPr="003626D6">
        <w:t>s net assets have increased from $</w:t>
      </w:r>
      <w:r w:rsidR="009305B3">
        <w:t>2</w:t>
      </w:r>
      <w:r w:rsidR="009D1AB2">
        <w:t>39.9</w:t>
      </w:r>
      <w:r w:rsidRPr="003626D6">
        <w:t> billion in 2023-24 to $2</w:t>
      </w:r>
      <w:r w:rsidR="009D1AB2">
        <w:t>8</w:t>
      </w:r>
      <w:r w:rsidR="00153F18">
        <w:t>1</w:t>
      </w:r>
      <w:r w:rsidR="009D1AB2">
        <w:t>.</w:t>
      </w:r>
      <w:r w:rsidR="00FE758A">
        <w:t>4</w:t>
      </w:r>
      <w:r w:rsidRPr="003626D6">
        <w:t> billion in 202</w:t>
      </w:r>
      <w:r w:rsidR="000A5982">
        <w:t>4</w:t>
      </w:r>
      <w:r w:rsidRPr="003626D6">
        <w:t>-2</w:t>
      </w:r>
      <w:r w:rsidR="000A5982">
        <w:t>5</w:t>
      </w:r>
      <w:r w:rsidRPr="003626D6">
        <w:t>. While total assets increased by $</w:t>
      </w:r>
      <w:r w:rsidR="00E37283">
        <w:t>75</w:t>
      </w:r>
      <w:r w:rsidR="00153F18">
        <w:t>.</w:t>
      </w:r>
      <w:r w:rsidR="00C60D1D">
        <w:t>4</w:t>
      </w:r>
      <w:r w:rsidRPr="003626D6">
        <w:t xml:space="preserve"> billion, this was </w:t>
      </w:r>
      <w:r w:rsidR="00964FCD">
        <w:t xml:space="preserve">partially </w:t>
      </w:r>
      <w:r w:rsidRPr="003626D6">
        <w:t>offset by a $3</w:t>
      </w:r>
      <w:r w:rsidR="00C60D1D">
        <w:t>3.9</w:t>
      </w:r>
      <w:r w:rsidRPr="003626D6">
        <w:t xml:space="preserve"> billion increase in liabilities.</w:t>
      </w:r>
    </w:p>
    <w:p w14:paraId="0EF4AF6D" w14:textId="64E6E853" w:rsidR="00366656" w:rsidRPr="003626D6" w:rsidRDefault="00366656" w:rsidP="00366656">
      <w:pPr>
        <w:ind w:right="282"/>
      </w:pPr>
      <w:r w:rsidRPr="003626D6">
        <w:t>The State</w:t>
      </w:r>
      <w:r w:rsidR="00845934">
        <w:t>’</w:t>
      </w:r>
      <w:r w:rsidRPr="003626D6">
        <w:t>s financial assets increased from $1</w:t>
      </w:r>
      <w:r w:rsidR="00651706">
        <w:t>1</w:t>
      </w:r>
      <w:r w:rsidR="0041651D">
        <w:t>6.5</w:t>
      </w:r>
      <w:r w:rsidR="00651706">
        <w:t xml:space="preserve"> </w:t>
      </w:r>
      <w:r w:rsidRPr="003626D6">
        <w:t>billion in 202</w:t>
      </w:r>
      <w:r w:rsidR="00651706">
        <w:t>3</w:t>
      </w:r>
      <w:r w:rsidRPr="003626D6">
        <w:t>-2</w:t>
      </w:r>
      <w:r w:rsidR="00651706">
        <w:t>4</w:t>
      </w:r>
      <w:r w:rsidRPr="003626D6">
        <w:t xml:space="preserve"> to $1</w:t>
      </w:r>
      <w:r w:rsidR="00651706">
        <w:t>26</w:t>
      </w:r>
      <w:r w:rsidR="0041651D">
        <w:t>.</w:t>
      </w:r>
      <w:r w:rsidR="003F365D">
        <w:t>8</w:t>
      </w:r>
      <w:r w:rsidRPr="003626D6">
        <w:t> billion in 202</w:t>
      </w:r>
      <w:r w:rsidR="00651706">
        <w:t>4</w:t>
      </w:r>
      <w:r w:rsidRPr="003626D6">
        <w:t>-2</w:t>
      </w:r>
      <w:r w:rsidR="00651706">
        <w:t>5</w:t>
      </w:r>
      <w:r w:rsidRPr="003626D6">
        <w:t xml:space="preserve"> and non</w:t>
      </w:r>
      <w:r w:rsidR="00D123D7">
        <w:noBreakHyphen/>
      </w:r>
      <w:r w:rsidRPr="003626D6">
        <w:t>financial assets, including infrastructure, increased from $4</w:t>
      </w:r>
      <w:r w:rsidR="00035088">
        <w:t>46</w:t>
      </w:r>
      <w:r w:rsidR="00181983">
        <w:t>.2</w:t>
      </w:r>
      <w:r w:rsidR="00035088">
        <w:t xml:space="preserve"> </w:t>
      </w:r>
      <w:r w:rsidRPr="003626D6">
        <w:t>billion in 202</w:t>
      </w:r>
      <w:r w:rsidR="00035088">
        <w:t>3</w:t>
      </w:r>
      <w:r w:rsidRPr="003626D6">
        <w:t>-2</w:t>
      </w:r>
      <w:r w:rsidR="00035088">
        <w:t>4</w:t>
      </w:r>
      <w:r w:rsidRPr="003626D6">
        <w:t xml:space="preserve"> to $</w:t>
      </w:r>
      <w:r w:rsidR="00035088">
        <w:t>511</w:t>
      </w:r>
      <w:r w:rsidR="00181983">
        <w:t>.3</w:t>
      </w:r>
      <w:r w:rsidRPr="003626D6">
        <w:t> billion in 202</w:t>
      </w:r>
      <w:r w:rsidR="00035088">
        <w:t>4</w:t>
      </w:r>
      <w:r w:rsidR="00E261CA">
        <w:noBreakHyphen/>
      </w:r>
      <w:r w:rsidRPr="003626D6">
        <w:t>2</w:t>
      </w:r>
      <w:r w:rsidR="00035088">
        <w:t>5</w:t>
      </w:r>
      <w:r w:rsidRPr="003626D6">
        <w:t xml:space="preserve">. </w:t>
      </w:r>
    </w:p>
    <w:p w14:paraId="5BFAB2C6" w14:textId="6B3EFF1C" w:rsidR="00366656" w:rsidRPr="003626D6" w:rsidRDefault="00366656" w:rsidP="00366656">
      <w:r w:rsidRPr="003626D6">
        <w:t xml:space="preserve">The increase in financial assets is primarily due to an increase in the investments held by the general government sector, which is discussed in the previous chapter, </w:t>
      </w:r>
      <w:r w:rsidR="008B0477" w:rsidRPr="00284E5C">
        <w:t xml:space="preserve">and </w:t>
      </w:r>
      <w:r w:rsidR="00E61FD2">
        <w:t>the State</w:t>
      </w:r>
      <w:r w:rsidR="00845934">
        <w:t>’</w:t>
      </w:r>
      <w:r w:rsidR="00E61FD2">
        <w:t>s insurance agencies.</w:t>
      </w:r>
      <w:r w:rsidRPr="003626D6">
        <w:t xml:space="preserve"> The increase in non</w:t>
      </w:r>
      <w:r w:rsidR="00727C0F">
        <w:noBreakHyphen/>
      </w:r>
      <w:r w:rsidRPr="003626D6">
        <w:t>financial assets is mainly due to the Government</w:t>
      </w:r>
      <w:r w:rsidR="00845934">
        <w:t>’</w:t>
      </w:r>
      <w:r w:rsidRPr="003626D6">
        <w:t xml:space="preserve">s investment in infrastructure and the revaluation of </w:t>
      </w:r>
      <w:r w:rsidR="00DF1CAA" w:rsidRPr="00565E72">
        <w:t xml:space="preserve">assets primarily in the transport </w:t>
      </w:r>
      <w:r w:rsidR="00D15010" w:rsidRPr="00565E72">
        <w:t>sector</w:t>
      </w:r>
      <w:r>
        <w:t>.</w:t>
      </w:r>
    </w:p>
    <w:p w14:paraId="3BA94F64" w14:textId="3D478FD1" w:rsidR="00366656" w:rsidRPr="003626D6" w:rsidRDefault="00366656" w:rsidP="00366656">
      <w:r w:rsidRPr="003626D6">
        <w:t>The increase in the State</w:t>
      </w:r>
      <w:r w:rsidR="00845934">
        <w:t>’</w:t>
      </w:r>
      <w:r w:rsidRPr="003626D6">
        <w:t>s liabilities is largely due to borrowings increasing from $1</w:t>
      </w:r>
      <w:r w:rsidR="009B423A">
        <w:t>9</w:t>
      </w:r>
      <w:r w:rsidR="00BA7328">
        <w:t>3.7</w:t>
      </w:r>
      <w:r w:rsidRPr="003626D6">
        <w:t> billion in 2023</w:t>
      </w:r>
      <w:r w:rsidR="00523660">
        <w:noBreakHyphen/>
      </w:r>
      <w:r w:rsidRPr="003626D6">
        <w:t>24 to $</w:t>
      </w:r>
      <w:r w:rsidR="009B423A">
        <w:t>223</w:t>
      </w:r>
      <w:r w:rsidR="00BA7328">
        <w:t>.4</w:t>
      </w:r>
      <w:r w:rsidRPr="003626D6">
        <w:t> billion in 202</w:t>
      </w:r>
      <w:r w:rsidR="009B423A">
        <w:t>4</w:t>
      </w:r>
      <w:r w:rsidRPr="003626D6">
        <w:t>-2</w:t>
      </w:r>
      <w:r w:rsidR="009B423A">
        <w:t>5</w:t>
      </w:r>
      <w:r w:rsidRPr="003626D6">
        <w:t>. This increase in borrowings is mainly due to incremental borrowings by TCV to fund the Government</w:t>
      </w:r>
      <w:r w:rsidR="00845934">
        <w:t>’</w:t>
      </w:r>
      <w:r w:rsidRPr="003626D6">
        <w:t>s infrastructure investment program.</w:t>
      </w:r>
    </w:p>
    <w:p w14:paraId="695773A9" w14:textId="63D1D119" w:rsidR="00366656" w:rsidRDefault="00366656" w:rsidP="00366656">
      <w:r w:rsidRPr="003626D6">
        <w:t>Other liabilities also increased, from $1</w:t>
      </w:r>
      <w:r w:rsidR="00132E59">
        <w:t>1</w:t>
      </w:r>
      <w:r w:rsidR="0086317B">
        <w:t>0.9</w:t>
      </w:r>
      <w:r w:rsidRPr="003626D6">
        <w:t> billion in 202</w:t>
      </w:r>
      <w:r w:rsidR="00132E59">
        <w:t>3</w:t>
      </w:r>
      <w:r w:rsidRPr="003626D6">
        <w:t>-2</w:t>
      </w:r>
      <w:r w:rsidR="009D2ED7">
        <w:t>4</w:t>
      </w:r>
      <w:r w:rsidRPr="003626D6">
        <w:t xml:space="preserve"> to $11</w:t>
      </w:r>
      <w:r w:rsidR="009D2ED7">
        <w:t>5</w:t>
      </w:r>
      <w:r w:rsidRPr="003626D6">
        <w:t> billion by 202</w:t>
      </w:r>
      <w:r w:rsidR="009D2ED7">
        <w:t>4</w:t>
      </w:r>
      <w:r>
        <w:t>-2</w:t>
      </w:r>
      <w:r w:rsidR="009D2ED7">
        <w:t>5</w:t>
      </w:r>
      <w:r>
        <w:t>. This increase is predominantly driven by</w:t>
      </w:r>
      <w:r w:rsidR="00991604">
        <w:t xml:space="preserve"> increases in the outstanding claim liabilities of the State</w:t>
      </w:r>
      <w:r w:rsidR="00845934">
        <w:t>’</w:t>
      </w:r>
      <w:r w:rsidR="00991604">
        <w:t>s insurance agencies</w:t>
      </w:r>
      <w:r w:rsidR="00A13503">
        <w:t>.</w:t>
      </w:r>
    </w:p>
    <w:p w14:paraId="36412CCD" w14:textId="77777777" w:rsidR="00DE1E51" w:rsidRDefault="00DE1E51" w:rsidP="00097095">
      <w:pPr>
        <w:sectPr w:rsidR="00DE1E51" w:rsidSect="00DE1E51">
          <w:type w:val="continuous"/>
          <w:pgSz w:w="11906" w:h="16838" w:code="9"/>
          <w:pgMar w:top="1134" w:right="1134" w:bottom="1134" w:left="1134" w:header="624" w:footer="567" w:gutter="0"/>
          <w:cols w:num="2" w:space="708"/>
          <w:docGrid w:linePitch="360"/>
        </w:sectPr>
      </w:pPr>
    </w:p>
    <w:p w14:paraId="55F690C7" w14:textId="77777777" w:rsidR="00366656" w:rsidRDefault="00366656" w:rsidP="00097095"/>
    <w:p w14:paraId="31694D53" w14:textId="77777777" w:rsidR="00366656" w:rsidRDefault="00366656">
      <w:pPr>
        <w:keepLines w:val="0"/>
        <w:rPr>
          <w:rFonts w:asciiTheme="majorHAnsi" w:hAnsiTheme="majorHAnsi" w:cstheme="minorBidi"/>
          <w:b/>
          <w:iCs/>
          <w:sz w:val="20"/>
          <w:szCs w:val="18"/>
        </w:rPr>
      </w:pPr>
      <w:r>
        <w:br w:type="page"/>
      </w:r>
    </w:p>
    <w:p w14:paraId="7D2FFB3C" w14:textId="6CBD6C5E" w:rsidR="00366656" w:rsidRDefault="00366656" w:rsidP="00366656">
      <w:pPr>
        <w:pStyle w:val="TableHeading"/>
        <w:spacing w:before="0"/>
      </w:pPr>
      <w:r w:rsidRPr="00A77664">
        <w:lastRenderedPageBreak/>
        <w:t>Table 3.8:</w:t>
      </w:r>
      <w:r w:rsidRPr="00A77664">
        <w:tab/>
        <w:t>202</w:t>
      </w:r>
      <w:r w:rsidR="00AD0DEE">
        <w:t>4</w:t>
      </w:r>
      <w:r w:rsidRPr="00A77664">
        <w:t>-2</w:t>
      </w:r>
      <w:r w:rsidR="00AD0DEE">
        <w:t>5</w:t>
      </w:r>
      <w:r w:rsidRPr="00A77664">
        <w:t xml:space="preserve"> summary balance sheet – State of Victoria </w:t>
      </w:r>
      <w:r w:rsidRPr="00A77664">
        <w:tab/>
        <w:t>($ billion)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3.xlsx|Table:Summary_BS_SoV"/>
      </w:tblPr>
      <w:tblGrid>
        <w:gridCol w:w="5103"/>
        <w:gridCol w:w="907"/>
        <w:gridCol w:w="907"/>
        <w:gridCol w:w="907"/>
        <w:gridCol w:w="907"/>
        <w:gridCol w:w="907"/>
      </w:tblGrid>
      <w:tr w:rsidR="00991200" w14:paraId="6AF598A3"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5238A7C" w14:textId="77777777" w:rsidR="00E51EAC" w:rsidRDefault="00E51EAC">
            <w:pPr>
              <w:keepNext/>
            </w:pPr>
          </w:p>
        </w:tc>
        <w:tc>
          <w:tcPr>
            <w:tcW w:w="907" w:type="dxa"/>
          </w:tcPr>
          <w:p w14:paraId="1F84AEEF"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037D24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Revised</w:t>
            </w:r>
          </w:p>
        </w:tc>
        <w:tc>
          <w:tcPr>
            <w:tcW w:w="907" w:type="dxa"/>
          </w:tcPr>
          <w:p w14:paraId="388AC44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E980958"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c>
          <w:tcPr>
            <w:tcW w:w="907" w:type="dxa"/>
          </w:tcPr>
          <w:p w14:paraId="69AB47FD"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991200" w14:paraId="52A4AA30"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AED9C59" w14:textId="77777777" w:rsidR="00E51EAC" w:rsidRDefault="00E51EAC">
            <w:pPr>
              <w:keepNext/>
            </w:pPr>
          </w:p>
        </w:tc>
        <w:tc>
          <w:tcPr>
            <w:tcW w:w="907" w:type="dxa"/>
          </w:tcPr>
          <w:p w14:paraId="3893FB58"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actual</w:t>
            </w:r>
          </w:p>
        </w:tc>
        <w:tc>
          <w:tcPr>
            <w:tcW w:w="907" w:type="dxa"/>
          </w:tcPr>
          <w:p w14:paraId="201E1FEF"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variance</w:t>
            </w:r>
          </w:p>
        </w:tc>
        <w:tc>
          <w:tcPr>
            <w:tcW w:w="907" w:type="dxa"/>
          </w:tcPr>
          <w:p w14:paraId="3EBBD9CF"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revised</w:t>
            </w:r>
          </w:p>
        </w:tc>
        <w:tc>
          <w:tcPr>
            <w:tcW w:w="907" w:type="dxa"/>
          </w:tcPr>
          <w:p w14:paraId="479FA6B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 xml:space="preserve"> movement</w:t>
            </w:r>
          </w:p>
        </w:tc>
        <w:tc>
          <w:tcPr>
            <w:tcW w:w="907" w:type="dxa"/>
          </w:tcPr>
          <w:p w14:paraId="52CB0C5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actual</w:t>
            </w:r>
          </w:p>
        </w:tc>
      </w:tr>
      <w:tr w:rsidR="00E51EAC" w14:paraId="09190104" w14:textId="77777777">
        <w:tc>
          <w:tcPr>
            <w:cnfStyle w:val="001000000000" w:firstRow="0" w:lastRow="0" w:firstColumn="1" w:lastColumn="0" w:oddVBand="0" w:evenVBand="0" w:oddHBand="0" w:evenHBand="0" w:firstRowFirstColumn="0" w:firstRowLastColumn="0" w:lastRowFirstColumn="0" w:lastRowLastColumn="0"/>
            <w:tcW w:w="5103" w:type="dxa"/>
          </w:tcPr>
          <w:p w14:paraId="1221CBB5" w14:textId="77777777" w:rsidR="00E51EAC" w:rsidRDefault="00182F93">
            <w:r>
              <w:rPr>
                <w:b/>
              </w:rPr>
              <w:t>Assets</w:t>
            </w:r>
          </w:p>
        </w:tc>
        <w:tc>
          <w:tcPr>
            <w:tcW w:w="907" w:type="dxa"/>
          </w:tcPr>
          <w:p w14:paraId="3590912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61E74EB"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97821B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0B2CBE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645A6B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66CA74F" w14:textId="77777777">
        <w:tc>
          <w:tcPr>
            <w:cnfStyle w:val="001000000000" w:firstRow="0" w:lastRow="0" w:firstColumn="1" w:lastColumn="0" w:oddVBand="0" w:evenVBand="0" w:oddHBand="0" w:evenHBand="0" w:firstRowFirstColumn="0" w:firstRowLastColumn="0" w:lastRowFirstColumn="0" w:lastRowLastColumn="0"/>
            <w:tcW w:w="5103" w:type="dxa"/>
          </w:tcPr>
          <w:p w14:paraId="1F489DB8" w14:textId="77777777" w:rsidR="00E51EAC" w:rsidRDefault="00182F93">
            <w:r>
              <w:t>Financial assets</w:t>
            </w:r>
            <w:r>
              <w:rPr>
                <w:vertAlign w:val="superscript"/>
              </w:rPr>
              <w:t xml:space="preserve"> (a)</w:t>
            </w:r>
          </w:p>
        </w:tc>
        <w:tc>
          <w:tcPr>
            <w:tcW w:w="907" w:type="dxa"/>
          </w:tcPr>
          <w:p w14:paraId="3FD75637" w14:textId="77777777" w:rsidR="00E51EAC" w:rsidRDefault="00182F93">
            <w:pPr>
              <w:cnfStyle w:val="000000000000" w:firstRow="0" w:lastRow="0" w:firstColumn="0" w:lastColumn="0" w:oddVBand="0" w:evenVBand="0" w:oddHBand="0" w:evenHBand="0" w:firstRowFirstColumn="0" w:firstRowLastColumn="0" w:lastRowFirstColumn="0" w:lastRowLastColumn="0"/>
            </w:pPr>
            <w:r>
              <w:t>126.8</w:t>
            </w:r>
          </w:p>
        </w:tc>
        <w:tc>
          <w:tcPr>
            <w:tcW w:w="907" w:type="dxa"/>
          </w:tcPr>
          <w:p w14:paraId="43134290" w14:textId="77777777" w:rsidR="00E51EAC" w:rsidRDefault="00182F93">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54ED6C32" w14:textId="77777777" w:rsidR="00E51EAC" w:rsidRDefault="00182F93">
            <w:pPr>
              <w:cnfStyle w:val="000000000000" w:firstRow="0" w:lastRow="0" w:firstColumn="0" w:lastColumn="0" w:oddVBand="0" w:evenVBand="0" w:oddHBand="0" w:evenHBand="0" w:firstRowFirstColumn="0" w:firstRowLastColumn="0" w:lastRowFirstColumn="0" w:lastRowLastColumn="0"/>
            </w:pPr>
            <w:r>
              <w:t>124.3</w:t>
            </w:r>
          </w:p>
        </w:tc>
        <w:tc>
          <w:tcPr>
            <w:tcW w:w="907" w:type="dxa"/>
          </w:tcPr>
          <w:p w14:paraId="335CAADB" w14:textId="77777777" w:rsidR="00E51EAC" w:rsidRDefault="00182F93">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05137498" w14:textId="77777777" w:rsidR="00E51EAC" w:rsidRDefault="00182F93">
            <w:pPr>
              <w:cnfStyle w:val="000000000000" w:firstRow="0" w:lastRow="0" w:firstColumn="0" w:lastColumn="0" w:oddVBand="0" w:evenVBand="0" w:oddHBand="0" w:evenHBand="0" w:firstRowFirstColumn="0" w:firstRowLastColumn="0" w:lastRowFirstColumn="0" w:lastRowLastColumn="0"/>
            </w:pPr>
            <w:r>
              <w:t>116.5</w:t>
            </w:r>
          </w:p>
        </w:tc>
      </w:tr>
      <w:tr w:rsidR="00E51EAC" w14:paraId="0C4F4677"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15B7577" w14:textId="77777777" w:rsidR="00E51EAC" w:rsidRDefault="00182F93">
            <w:r>
              <w:t>Non</w:t>
            </w:r>
            <w:r>
              <w:noBreakHyphen/>
              <w:t>financial assets</w:t>
            </w:r>
            <w:r>
              <w:rPr>
                <w:vertAlign w:val="superscript"/>
              </w:rPr>
              <w:t xml:space="preserve"> (b)</w:t>
            </w:r>
          </w:p>
        </w:tc>
        <w:tc>
          <w:tcPr>
            <w:tcW w:w="907" w:type="dxa"/>
            <w:tcBorders>
              <w:bottom w:val="single" w:sz="6" w:space="0" w:color="auto"/>
            </w:tcBorders>
          </w:tcPr>
          <w:p w14:paraId="4CB6220F" w14:textId="77777777" w:rsidR="00E51EAC" w:rsidRDefault="00182F93">
            <w:pPr>
              <w:cnfStyle w:val="000000000000" w:firstRow="0" w:lastRow="0" w:firstColumn="0" w:lastColumn="0" w:oddVBand="0" w:evenVBand="0" w:oddHBand="0" w:evenHBand="0" w:firstRowFirstColumn="0" w:firstRowLastColumn="0" w:lastRowFirstColumn="0" w:lastRowLastColumn="0"/>
            </w:pPr>
            <w:r>
              <w:t>511.3</w:t>
            </w:r>
          </w:p>
        </w:tc>
        <w:tc>
          <w:tcPr>
            <w:tcW w:w="907" w:type="dxa"/>
            <w:tcBorders>
              <w:bottom w:val="single" w:sz="6" w:space="0" w:color="auto"/>
            </w:tcBorders>
          </w:tcPr>
          <w:p w14:paraId="02456C66" w14:textId="77777777" w:rsidR="00E51EAC" w:rsidRDefault="00182F93">
            <w:pPr>
              <w:cnfStyle w:val="000000000000" w:firstRow="0" w:lastRow="0" w:firstColumn="0" w:lastColumn="0" w:oddVBand="0" w:evenVBand="0" w:oddHBand="0" w:evenHBand="0" w:firstRowFirstColumn="0" w:firstRowLastColumn="0" w:lastRowFirstColumn="0" w:lastRowLastColumn="0"/>
            </w:pPr>
            <w:r>
              <w:t>40.6</w:t>
            </w:r>
          </w:p>
        </w:tc>
        <w:tc>
          <w:tcPr>
            <w:tcW w:w="907" w:type="dxa"/>
            <w:tcBorders>
              <w:bottom w:val="single" w:sz="6" w:space="0" w:color="auto"/>
            </w:tcBorders>
          </w:tcPr>
          <w:p w14:paraId="3C5C3B74" w14:textId="77777777" w:rsidR="00E51EAC" w:rsidRDefault="00182F93">
            <w:pPr>
              <w:cnfStyle w:val="000000000000" w:firstRow="0" w:lastRow="0" w:firstColumn="0" w:lastColumn="0" w:oddVBand="0" w:evenVBand="0" w:oddHBand="0" w:evenHBand="0" w:firstRowFirstColumn="0" w:firstRowLastColumn="0" w:lastRowFirstColumn="0" w:lastRowLastColumn="0"/>
            </w:pPr>
            <w:r>
              <w:t>470.8</w:t>
            </w:r>
          </w:p>
        </w:tc>
        <w:tc>
          <w:tcPr>
            <w:tcW w:w="907" w:type="dxa"/>
            <w:tcBorders>
              <w:bottom w:val="single" w:sz="6" w:space="0" w:color="auto"/>
            </w:tcBorders>
          </w:tcPr>
          <w:p w14:paraId="3961A60A" w14:textId="77777777" w:rsidR="00E51EAC" w:rsidRDefault="00182F93">
            <w:pPr>
              <w:cnfStyle w:val="000000000000" w:firstRow="0" w:lastRow="0" w:firstColumn="0" w:lastColumn="0" w:oddVBand="0" w:evenVBand="0" w:oddHBand="0" w:evenHBand="0" w:firstRowFirstColumn="0" w:firstRowLastColumn="0" w:lastRowFirstColumn="0" w:lastRowLastColumn="0"/>
            </w:pPr>
            <w:r>
              <w:t>65.2</w:t>
            </w:r>
          </w:p>
        </w:tc>
        <w:tc>
          <w:tcPr>
            <w:tcW w:w="907" w:type="dxa"/>
            <w:tcBorders>
              <w:bottom w:val="single" w:sz="6" w:space="0" w:color="auto"/>
            </w:tcBorders>
          </w:tcPr>
          <w:p w14:paraId="722B9064" w14:textId="77777777" w:rsidR="00E51EAC" w:rsidRDefault="00182F93">
            <w:pPr>
              <w:cnfStyle w:val="000000000000" w:firstRow="0" w:lastRow="0" w:firstColumn="0" w:lastColumn="0" w:oddVBand="0" w:evenVBand="0" w:oddHBand="0" w:evenHBand="0" w:firstRowFirstColumn="0" w:firstRowLastColumn="0" w:lastRowFirstColumn="0" w:lastRowLastColumn="0"/>
            </w:pPr>
            <w:r>
              <w:t>446.2</w:t>
            </w:r>
          </w:p>
        </w:tc>
      </w:tr>
      <w:tr w:rsidR="00E51EAC" w14:paraId="1743361A"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84EF9B4" w14:textId="77777777" w:rsidR="00E51EAC" w:rsidRDefault="00182F93">
            <w:r>
              <w:rPr>
                <w:b/>
              </w:rPr>
              <w:t>Total assets</w:t>
            </w:r>
          </w:p>
        </w:tc>
        <w:tc>
          <w:tcPr>
            <w:tcW w:w="907" w:type="dxa"/>
            <w:tcBorders>
              <w:top w:val="single" w:sz="6" w:space="0" w:color="auto"/>
            </w:tcBorders>
          </w:tcPr>
          <w:p w14:paraId="68CE4A4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638.1</w:t>
            </w:r>
          </w:p>
        </w:tc>
        <w:tc>
          <w:tcPr>
            <w:tcW w:w="907" w:type="dxa"/>
            <w:tcBorders>
              <w:top w:val="single" w:sz="6" w:space="0" w:color="auto"/>
            </w:tcBorders>
          </w:tcPr>
          <w:p w14:paraId="4D036D9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43.1</w:t>
            </w:r>
          </w:p>
        </w:tc>
        <w:tc>
          <w:tcPr>
            <w:tcW w:w="907" w:type="dxa"/>
            <w:tcBorders>
              <w:top w:val="single" w:sz="6" w:space="0" w:color="auto"/>
            </w:tcBorders>
          </w:tcPr>
          <w:p w14:paraId="1790FD4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595.0</w:t>
            </w:r>
          </w:p>
        </w:tc>
        <w:tc>
          <w:tcPr>
            <w:tcW w:w="907" w:type="dxa"/>
            <w:tcBorders>
              <w:top w:val="single" w:sz="6" w:space="0" w:color="auto"/>
            </w:tcBorders>
          </w:tcPr>
          <w:p w14:paraId="3050323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75.4</w:t>
            </w:r>
          </w:p>
        </w:tc>
        <w:tc>
          <w:tcPr>
            <w:tcW w:w="907" w:type="dxa"/>
            <w:tcBorders>
              <w:top w:val="single" w:sz="6" w:space="0" w:color="auto"/>
            </w:tcBorders>
          </w:tcPr>
          <w:p w14:paraId="0FA3BAD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562.7</w:t>
            </w:r>
          </w:p>
        </w:tc>
      </w:tr>
      <w:tr w:rsidR="00E51EAC" w14:paraId="05500CFE" w14:textId="77777777">
        <w:tc>
          <w:tcPr>
            <w:cnfStyle w:val="001000000000" w:firstRow="0" w:lastRow="0" w:firstColumn="1" w:lastColumn="0" w:oddVBand="0" w:evenVBand="0" w:oddHBand="0" w:evenHBand="0" w:firstRowFirstColumn="0" w:firstRowLastColumn="0" w:lastRowFirstColumn="0" w:lastRowLastColumn="0"/>
            <w:tcW w:w="5103" w:type="dxa"/>
          </w:tcPr>
          <w:p w14:paraId="087F4A2E" w14:textId="77777777" w:rsidR="00E51EAC" w:rsidRDefault="00182F93">
            <w:r>
              <w:rPr>
                <w:b/>
              </w:rPr>
              <w:t>Liabilities</w:t>
            </w:r>
          </w:p>
        </w:tc>
        <w:tc>
          <w:tcPr>
            <w:tcW w:w="907" w:type="dxa"/>
          </w:tcPr>
          <w:p w14:paraId="164D8C2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807361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7B2325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A414F3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688487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B586E0E" w14:textId="77777777">
        <w:tc>
          <w:tcPr>
            <w:cnfStyle w:val="001000000000" w:firstRow="0" w:lastRow="0" w:firstColumn="1" w:lastColumn="0" w:oddVBand="0" w:evenVBand="0" w:oddHBand="0" w:evenHBand="0" w:firstRowFirstColumn="0" w:firstRowLastColumn="0" w:lastRowFirstColumn="0" w:lastRowLastColumn="0"/>
            <w:tcW w:w="5103" w:type="dxa"/>
          </w:tcPr>
          <w:p w14:paraId="6B0F1C00" w14:textId="77777777" w:rsidR="00E51EAC" w:rsidRDefault="00182F93">
            <w:r>
              <w:t>Superannuation</w:t>
            </w:r>
          </w:p>
        </w:tc>
        <w:tc>
          <w:tcPr>
            <w:tcW w:w="907" w:type="dxa"/>
          </w:tcPr>
          <w:p w14:paraId="3DB220E3" w14:textId="77777777" w:rsidR="00E51EAC" w:rsidRDefault="00182F93">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75A48C16" w14:textId="77777777" w:rsidR="00E51EAC" w:rsidRDefault="00182F93">
            <w:pPr>
              <w:cnfStyle w:val="000000000000" w:firstRow="0" w:lastRow="0" w:firstColumn="0" w:lastColumn="0" w:oddVBand="0" w:evenVBand="0" w:oddHBand="0" w:evenHBand="0" w:firstRowFirstColumn="0" w:firstRowLastColumn="0" w:lastRowFirstColumn="0" w:lastRowLastColumn="0"/>
            </w:pPr>
            <w:r>
              <w:t>0.9</w:t>
            </w:r>
          </w:p>
        </w:tc>
        <w:tc>
          <w:tcPr>
            <w:tcW w:w="907" w:type="dxa"/>
          </w:tcPr>
          <w:p w14:paraId="449F3036" w14:textId="77777777" w:rsidR="00E51EAC" w:rsidRDefault="00182F93">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2A096A26" w14:textId="77777777" w:rsidR="00E51EAC" w:rsidRDefault="00182F93">
            <w:pPr>
              <w:cnfStyle w:val="000000000000" w:firstRow="0" w:lastRow="0" w:firstColumn="0" w:lastColumn="0" w:oddVBand="0" w:evenVBand="0" w:oddHBand="0" w:evenHBand="0" w:firstRowFirstColumn="0" w:firstRowLastColumn="0" w:lastRowFirstColumn="0" w:lastRowLastColumn="0"/>
            </w:pPr>
            <w:r>
              <w:t>0.1</w:t>
            </w:r>
          </w:p>
        </w:tc>
        <w:tc>
          <w:tcPr>
            <w:tcW w:w="907" w:type="dxa"/>
          </w:tcPr>
          <w:p w14:paraId="463A082D" w14:textId="77777777" w:rsidR="00E51EAC" w:rsidRDefault="00182F93">
            <w:pPr>
              <w:cnfStyle w:val="000000000000" w:firstRow="0" w:lastRow="0" w:firstColumn="0" w:lastColumn="0" w:oddVBand="0" w:evenVBand="0" w:oddHBand="0" w:evenHBand="0" w:firstRowFirstColumn="0" w:firstRowLastColumn="0" w:lastRowFirstColumn="0" w:lastRowLastColumn="0"/>
            </w:pPr>
            <w:r>
              <w:t>18.2</w:t>
            </w:r>
          </w:p>
        </w:tc>
      </w:tr>
      <w:tr w:rsidR="00E51EAC" w14:paraId="493673D8" w14:textId="77777777">
        <w:tc>
          <w:tcPr>
            <w:cnfStyle w:val="001000000000" w:firstRow="0" w:lastRow="0" w:firstColumn="1" w:lastColumn="0" w:oddVBand="0" w:evenVBand="0" w:oddHBand="0" w:evenHBand="0" w:firstRowFirstColumn="0" w:firstRowLastColumn="0" w:lastRowFirstColumn="0" w:lastRowLastColumn="0"/>
            <w:tcW w:w="5103" w:type="dxa"/>
          </w:tcPr>
          <w:p w14:paraId="4A82E268" w14:textId="77777777" w:rsidR="00E51EAC" w:rsidRDefault="00182F93">
            <w:r>
              <w:t>Borrowings</w:t>
            </w:r>
          </w:p>
        </w:tc>
        <w:tc>
          <w:tcPr>
            <w:tcW w:w="907" w:type="dxa"/>
          </w:tcPr>
          <w:p w14:paraId="1A348906" w14:textId="77777777" w:rsidR="00E51EAC" w:rsidRDefault="00182F93">
            <w:pPr>
              <w:cnfStyle w:val="000000000000" w:firstRow="0" w:lastRow="0" w:firstColumn="0" w:lastColumn="0" w:oddVBand="0" w:evenVBand="0" w:oddHBand="0" w:evenHBand="0" w:firstRowFirstColumn="0" w:firstRowLastColumn="0" w:lastRowFirstColumn="0" w:lastRowLastColumn="0"/>
            </w:pPr>
            <w:r>
              <w:t>223.4</w:t>
            </w:r>
          </w:p>
        </w:tc>
        <w:tc>
          <w:tcPr>
            <w:tcW w:w="907" w:type="dxa"/>
          </w:tcPr>
          <w:p w14:paraId="6C796B77" w14:textId="77777777" w:rsidR="00E51EAC" w:rsidRDefault="00182F93">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091CAE98" w14:textId="77777777" w:rsidR="00E51EAC" w:rsidRDefault="00182F93">
            <w:pPr>
              <w:cnfStyle w:val="000000000000" w:firstRow="0" w:lastRow="0" w:firstColumn="0" w:lastColumn="0" w:oddVBand="0" w:evenVBand="0" w:oddHBand="0" w:evenHBand="0" w:firstRowFirstColumn="0" w:firstRowLastColumn="0" w:lastRowFirstColumn="0" w:lastRowLastColumn="0"/>
            </w:pPr>
            <w:r>
              <w:t>226.0</w:t>
            </w:r>
          </w:p>
        </w:tc>
        <w:tc>
          <w:tcPr>
            <w:tcW w:w="907" w:type="dxa"/>
          </w:tcPr>
          <w:p w14:paraId="2C62A229" w14:textId="77777777" w:rsidR="00E51EAC" w:rsidRDefault="00182F93">
            <w:pPr>
              <w:cnfStyle w:val="000000000000" w:firstRow="0" w:lastRow="0" w:firstColumn="0" w:lastColumn="0" w:oddVBand="0" w:evenVBand="0" w:oddHBand="0" w:evenHBand="0" w:firstRowFirstColumn="0" w:firstRowLastColumn="0" w:lastRowFirstColumn="0" w:lastRowLastColumn="0"/>
            </w:pPr>
            <w:r>
              <w:t>29.7</w:t>
            </w:r>
          </w:p>
        </w:tc>
        <w:tc>
          <w:tcPr>
            <w:tcW w:w="907" w:type="dxa"/>
          </w:tcPr>
          <w:p w14:paraId="5EF3C76C" w14:textId="77777777" w:rsidR="00E51EAC" w:rsidRDefault="00182F93">
            <w:pPr>
              <w:cnfStyle w:val="000000000000" w:firstRow="0" w:lastRow="0" w:firstColumn="0" w:lastColumn="0" w:oddVBand="0" w:evenVBand="0" w:oddHBand="0" w:evenHBand="0" w:firstRowFirstColumn="0" w:firstRowLastColumn="0" w:lastRowFirstColumn="0" w:lastRowLastColumn="0"/>
            </w:pPr>
            <w:r>
              <w:t>193.7</w:t>
            </w:r>
          </w:p>
        </w:tc>
      </w:tr>
      <w:tr w:rsidR="00E51EAC" w14:paraId="05CD577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906F7BD" w14:textId="77777777" w:rsidR="00E51EAC" w:rsidRDefault="00182F93">
            <w:r>
              <w:t>Other liabilities</w:t>
            </w:r>
            <w:r>
              <w:rPr>
                <w:vertAlign w:val="superscript"/>
              </w:rPr>
              <w:t xml:space="preserve"> (c)</w:t>
            </w:r>
          </w:p>
        </w:tc>
        <w:tc>
          <w:tcPr>
            <w:tcW w:w="907" w:type="dxa"/>
            <w:tcBorders>
              <w:bottom w:val="single" w:sz="6" w:space="0" w:color="auto"/>
            </w:tcBorders>
          </w:tcPr>
          <w:p w14:paraId="2B5AF86F" w14:textId="77777777" w:rsidR="00E51EAC" w:rsidRDefault="00182F93">
            <w:pPr>
              <w:cnfStyle w:val="000000000000" w:firstRow="0" w:lastRow="0" w:firstColumn="0" w:lastColumn="0" w:oddVBand="0" w:evenVBand="0" w:oddHBand="0" w:evenHBand="0" w:firstRowFirstColumn="0" w:firstRowLastColumn="0" w:lastRowFirstColumn="0" w:lastRowLastColumn="0"/>
            </w:pPr>
            <w:r>
              <w:t>115.0</w:t>
            </w:r>
          </w:p>
        </w:tc>
        <w:tc>
          <w:tcPr>
            <w:tcW w:w="907" w:type="dxa"/>
            <w:tcBorders>
              <w:bottom w:val="single" w:sz="6" w:space="0" w:color="auto"/>
            </w:tcBorders>
          </w:tcPr>
          <w:p w14:paraId="5BF98DF1" w14:textId="77777777" w:rsidR="00E51EAC" w:rsidRDefault="00182F93">
            <w:pPr>
              <w:cnfStyle w:val="000000000000" w:firstRow="0" w:lastRow="0" w:firstColumn="0" w:lastColumn="0" w:oddVBand="0" w:evenVBand="0" w:oddHBand="0" w:evenHBand="0" w:firstRowFirstColumn="0" w:firstRowLastColumn="0" w:lastRowFirstColumn="0" w:lastRowLastColumn="0"/>
            </w:pPr>
            <w:r>
              <w:t>2.5</w:t>
            </w:r>
          </w:p>
        </w:tc>
        <w:tc>
          <w:tcPr>
            <w:tcW w:w="907" w:type="dxa"/>
            <w:tcBorders>
              <w:bottom w:val="single" w:sz="6" w:space="0" w:color="auto"/>
            </w:tcBorders>
          </w:tcPr>
          <w:p w14:paraId="0FC74BAB" w14:textId="77777777" w:rsidR="00E51EAC" w:rsidRDefault="00182F93">
            <w:pPr>
              <w:cnfStyle w:val="000000000000" w:firstRow="0" w:lastRow="0" w:firstColumn="0" w:lastColumn="0" w:oddVBand="0" w:evenVBand="0" w:oddHBand="0" w:evenHBand="0" w:firstRowFirstColumn="0" w:firstRowLastColumn="0" w:lastRowFirstColumn="0" w:lastRowLastColumn="0"/>
            </w:pPr>
            <w:r>
              <w:t>112.5</w:t>
            </w:r>
          </w:p>
        </w:tc>
        <w:tc>
          <w:tcPr>
            <w:tcW w:w="907" w:type="dxa"/>
            <w:tcBorders>
              <w:bottom w:val="single" w:sz="6" w:space="0" w:color="auto"/>
            </w:tcBorders>
          </w:tcPr>
          <w:p w14:paraId="6BAE8EEC" w14:textId="77777777" w:rsidR="00E51EAC" w:rsidRDefault="00182F93">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22ADEF98" w14:textId="77777777" w:rsidR="00E51EAC" w:rsidRDefault="00182F93">
            <w:pPr>
              <w:cnfStyle w:val="000000000000" w:firstRow="0" w:lastRow="0" w:firstColumn="0" w:lastColumn="0" w:oddVBand="0" w:evenVBand="0" w:oddHBand="0" w:evenHBand="0" w:firstRowFirstColumn="0" w:firstRowLastColumn="0" w:lastRowFirstColumn="0" w:lastRowLastColumn="0"/>
            </w:pPr>
            <w:r>
              <w:t>110.9</w:t>
            </w:r>
          </w:p>
        </w:tc>
      </w:tr>
      <w:tr w:rsidR="00E51EAC" w14:paraId="27B74B03"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1A02686" w14:textId="77777777" w:rsidR="00E51EAC" w:rsidRDefault="00182F93">
            <w:r>
              <w:rPr>
                <w:b/>
              </w:rPr>
              <w:t>Total liabilities</w:t>
            </w:r>
          </w:p>
        </w:tc>
        <w:tc>
          <w:tcPr>
            <w:tcW w:w="907" w:type="dxa"/>
            <w:tcBorders>
              <w:top w:val="single" w:sz="6" w:space="0" w:color="auto"/>
              <w:bottom w:val="single" w:sz="6" w:space="0" w:color="auto"/>
            </w:tcBorders>
          </w:tcPr>
          <w:p w14:paraId="67F2BD6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356.7</w:t>
            </w:r>
          </w:p>
        </w:tc>
        <w:tc>
          <w:tcPr>
            <w:tcW w:w="907" w:type="dxa"/>
            <w:tcBorders>
              <w:top w:val="single" w:sz="6" w:space="0" w:color="auto"/>
              <w:bottom w:val="single" w:sz="6" w:space="0" w:color="auto"/>
            </w:tcBorders>
          </w:tcPr>
          <w:p w14:paraId="66598A6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0.8</w:t>
            </w:r>
          </w:p>
        </w:tc>
        <w:tc>
          <w:tcPr>
            <w:tcW w:w="907" w:type="dxa"/>
            <w:tcBorders>
              <w:top w:val="single" w:sz="6" w:space="0" w:color="auto"/>
              <w:bottom w:val="single" w:sz="6" w:space="0" w:color="auto"/>
            </w:tcBorders>
          </w:tcPr>
          <w:p w14:paraId="1420B8F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355.9</w:t>
            </w:r>
          </w:p>
        </w:tc>
        <w:tc>
          <w:tcPr>
            <w:tcW w:w="907" w:type="dxa"/>
            <w:tcBorders>
              <w:top w:val="single" w:sz="6" w:space="0" w:color="auto"/>
              <w:bottom w:val="single" w:sz="6" w:space="0" w:color="auto"/>
            </w:tcBorders>
          </w:tcPr>
          <w:p w14:paraId="466594A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33.9</w:t>
            </w:r>
          </w:p>
        </w:tc>
        <w:tc>
          <w:tcPr>
            <w:tcW w:w="907" w:type="dxa"/>
            <w:tcBorders>
              <w:top w:val="single" w:sz="6" w:space="0" w:color="auto"/>
              <w:bottom w:val="single" w:sz="6" w:space="0" w:color="auto"/>
            </w:tcBorders>
          </w:tcPr>
          <w:p w14:paraId="4203D2B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322.8</w:t>
            </w:r>
          </w:p>
        </w:tc>
      </w:tr>
      <w:tr w:rsidR="00E51EAC" w14:paraId="54E48043"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DC58316" w14:textId="77777777" w:rsidR="00E51EAC" w:rsidRDefault="00182F93">
            <w:r>
              <w:rPr>
                <w:b/>
              </w:rPr>
              <w:t>Net assets</w:t>
            </w:r>
          </w:p>
        </w:tc>
        <w:tc>
          <w:tcPr>
            <w:tcW w:w="907" w:type="dxa"/>
            <w:tcBorders>
              <w:top w:val="single" w:sz="6" w:space="0" w:color="auto"/>
              <w:bottom w:val="single" w:sz="12" w:space="0" w:color="auto"/>
            </w:tcBorders>
          </w:tcPr>
          <w:p w14:paraId="5D42CA6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281.4</w:t>
            </w:r>
          </w:p>
        </w:tc>
        <w:tc>
          <w:tcPr>
            <w:tcW w:w="907" w:type="dxa"/>
            <w:tcBorders>
              <w:top w:val="single" w:sz="6" w:space="0" w:color="auto"/>
              <w:bottom w:val="single" w:sz="12" w:space="0" w:color="auto"/>
            </w:tcBorders>
          </w:tcPr>
          <w:p w14:paraId="665B51A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42.3</w:t>
            </w:r>
          </w:p>
        </w:tc>
        <w:tc>
          <w:tcPr>
            <w:tcW w:w="907" w:type="dxa"/>
            <w:tcBorders>
              <w:top w:val="single" w:sz="6" w:space="0" w:color="auto"/>
              <w:bottom w:val="single" w:sz="12" w:space="0" w:color="auto"/>
            </w:tcBorders>
          </w:tcPr>
          <w:p w14:paraId="5857EF5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239.1</w:t>
            </w:r>
          </w:p>
        </w:tc>
        <w:tc>
          <w:tcPr>
            <w:tcW w:w="907" w:type="dxa"/>
            <w:tcBorders>
              <w:top w:val="single" w:sz="6" w:space="0" w:color="auto"/>
              <w:bottom w:val="single" w:sz="12" w:space="0" w:color="auto"/>
            </w:tcBorders>
          </w:tcPr>
          <w:p w14:paraId="4085087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41.5</w:t>
            </w:r>
          </w:p>
        </w:tc>
        <w:tc>
          <w:tcPr>
            <w:tcW w:w="907" w:type="dxa"/>
            <w:tcBorders>
              <w:top w:val="single" w:sz="6" w:space="0" w:color="auto"/>
              <w:bottom w:val="single" w:sz="12" w:space="0" w:color="auto"/>
            </w:tcBorders>
          </w:tcPr>
          <w:p w14:paraId="4AA2716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239.9</w:t>
            </w:r>
          </w:p>
        </w:tc>
      </w:tr>
    </w:tbl>
    <w:p w14:paraId="4BB77986" w14:textId="77777777" w:rsidR="00366656" w:rsidRPr="00200564" w:rsidRDefault="00366656" w:rsidP="00366656">
      <w:pPr>
        <w:pStyle w:val="Note"/>
      </w:pPr>
      <w:r w:rsidRPr="00200564">
        <w:t>Note</w:t>
      </w:r>
      <w:r>
        <w:t>s</w:t>
      </w:r>
      <w:r w:rsidRPr="00200564">
        <w:t>:</w:t>
      </w:r>
    </w:p>
    <w:p w14:paraId="0997426E" w14:textId="418DC884" w:rsidR="00366656" w:rsidRDefault="00366656" w:rsidP="00366656">
      <w:pPr>
        <w:pStyle w:val="Note"/>
      </w:pPr>
      <w:r>
        <w:t>(</w:t>
      </w:r>
      <w:r w:rsidR="00253A1F">
        <w:t>a</w:t>
      </w:r>
      <w:r>
        <w:t>)</w:t>
      </w:r>
      <w:r>
        <w:tab/>
        <w:t>Financial assets include cash and deposits, advances paid, investments, loans and placements, receivables and investments accounted for using the equity method.</w:t>
      </w:r>
    </w:p>
    <w:p w14:paraId="0ADC25EB" w14:textId="53536E41" w:rsidR="00366656" w:rsidRDefault="00366656" w:rsidP="00366656">
      <w:pPr>
        <w:pStyle w:val="Note"/>
      </w:pPr>
      <w:r>
        <w:t>(</w:t>
      </w:r>
      <w:r w:rsidR="00253A1F">
        <w:t>b</w:t>
      </w:r>
      <w:r>
        <w:t>)</w:t>
      </w:r>
      <w:r>
        <w:tab/>
        <w:t>Non-financial assets include</w:t>
      </w:r>
      <w:r w:rsidR="00010E0B">
        <w:t xml:space="preserve"> inventories, non-financial assets held for sale</w:t>
      </w:r>
      <w:r>
        <w:t xml:space="preserve"> l</w:t>
      </w:r>
      <w:r w:rsidRPr="005C0052">
        <w:t>and, buildings, infrastructure, plant and equipment and other non-financial assets</w:t>
      </w:r>
      <w:r>
        <w:t>.</w:t>
      </w:r>
    </w:p>
    <w:p w14:paraId="3AA76570" w14:textId="30912F5D" w:rsidR="00366656" w:rsidRDefault="00366656" w:rsidP="00366656">
      <w:pPr>
        <w:pStyle w:val="Note"/>
      </w:pPr>
      <w:r>
        <w:t>(</w:t>
      </w:r>
      <w:r w:rsidR="00253A1F">
        <w:t>c</w:t>
      </w:r>
      <w:r>
        <w:t>)</w:t>
      </w:r>
      <w:r>
        <w:tab/>
      </w:r>
      <w:r w:rsidRPr="005C0052">
        <w:t>Other liabilities consist of payables, employee benefits, deposits held and advances received</w:t>
      </w:r>
      <w:r>
        <w:t xml:space="preserve">, </w:t>
      </w:r>
      <w:r w:rsidRPr="00CD299A">
        <w:t>contract liabilities</w:t>
      </w:r>
      <w:r w:rsidR="00373914">
        <w:t xml:space="preserve">, </w:t>
      </w:r>
      <w:r w:rsidR="00373914" w:rsidRPr="00373914">
        <w:t>unearned income, grant of a right to the operator liability</w:t>
      </w:r>
      <w:r w:rsidRPr="00CD299A">
        <w:t xml:space="preserve"> and other provisions</w:t>
      </w:r>
      <w:r w:rsidRPr="005C0052">
        <w:t>.</w:t>
      </w:r>
      <w:r w:rsidRPr="00CD299A">
        <w:t xml:space="preserve"> </w:t>
      </w:r>
    </w:p>
    <w:p w14:paraId="42EB54F3" w14:textId="77777777" w:rsidR="00366656" w:rsidRDefault="00366656" w:rsidP="00366656"/>
    <w:p w14:paraId="5926D142" w14:textId="3780729C" w:rsidR="00366656" w:rsidRPr="00200564" w:rsidRDefault="00366656" w:rsidP="00366656">
      <w:pPr>
        <w:pStyle w:val="TableHeading"/>
        <w:rPr>
          <w:vertAlign w:val="superscript"/>
        </w:rPr>
      </w:pPr>
      <w:r w:rsidRPr="00200564">
        <w:t>Chart 3.2:</w:t>
      </w:r>
      <w:r w:rsidRPr="00200564">
        <w:tab/>
        <w:t xml:space="preserve">Net assets by sector as at 30 June </w:t>
      </w:r>
      <w:r w:rsidRPr="00200564">
        <w:rPr>
          <w:vertAlign w:val="superscript"/>
        </w:rPr>
        <w:t>(a)</w:t>
      </w:r>
    </w:p>
    <w:p w14:paraId="4136A8CB" w14:textId="0BF4B60F" w:rsidR="00366656" w:rsidRDefault="001A72CA" w:rsidP="00366656">
      <w:r>
        <w:rPr>
          <w:noProof/>
        </w:rPr>
        <w:drawing>
          <wp:inline distT="0" distB="0" distL="0" distR="0" wp14:anchorId="3A1602E9" wp14:editId="43EBC424">
            <wp:extent cx="6120130" cy="3613150"/>
            <wp:effectExtent l="0" t="0" r="0" b="6350"/>
            <wp:docPr id="1848651903" name="Chart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8F64916" w14:textId="77777777" w:rsidR="00366656" w:rsidRPr="00200564" w:rsidRDefault="00366656" w:rsidP="00366656">
      <w:pPr>
        <w:pStyle w:val="Note"/>
      </w:pPr>
      <w:r w:rsidRPr="00200564">
        <w:t>Note:</w:t>
      </w:r>
    </w:p>
    <w:p w14:paraId="4B5ECCEC" w14:textId="5CF4B857" w:rsidR="00366656" w:rsidRDefault="00366656" w:rsidP="00366656">
      <w:pPr>
        <w:pStyle w:val="Note"/>
      </w:pPr>
      <w:r w:rsidRPr="00200564">
        <w:t>(a)</w:t>
      </w:r>
      <w:r w:rsidRPr="00200564">
        <w:tab/>
        <w:t xml:space="preserve">General government net assets </w:t>
      </w:r>
      <w:r w:rsidR="00065E5D">
        <w:t>in</w:t>
      </w:r>
      <w:r w:rsidR="00065E5D" w:rsidRPr="00200564">
        <w:t>clude</w:t>
      </w:r>
      <w:r w:rsidRPr="00200564">
        <w:t xml:space="preserve"> investments in other sector entities </w:t>
      </w:r>
      <w:r>
        <w:t>which means that</w:t>
      </w:r>
      <w:r w:rsidRPr="00200564">
        <w:t xml:space="preserve"> the </w:t>
      </w:r>
      <w:r>
        <w:t>data for</w:t>
      </w:r>
      <w:r w:rsidRPr="00200564">
        <w:t xml:space="preserve"> the State of Victoria will not equal the sum of the general government, PNFC and PFC sectors. </w:t>
      </w:r>
    </w:p>
    <w:p w14:paraId="2735E097" w14:textId="4AA94108" w:rsidR="00BC0C0C" w:rsidRDefault="00BC0C0C">
      <w:pPr>
        <w:keepLines w:val="0"/>
      </w:pPr>
      <w:r>
        <w:br w:type="page"/>
      </w:r>
    </w:p>
    <w:p w14:paraId="5A30AEC4" w14:textId="77777777" w:rsidR="00366656" w:rsidRDefault="00366656" w:rsidP="00097095"/>
    <w:p w14:paraId="422D8841" w14:textId="77777777" w:rsidR="00F34E8C" w:rsidRDefault="00F34E8C">
      <w:pPr>
        <w:keepLines w:val="0"/>
        <w:sectPr w:rsidR="00F34E8C" w:rsidSect="00DE1E51">
          <w:type w:val="continuous"/>
          <w:pgSz w:w="11906" w:h="16838" w:code="9"/>
          <w:pgMar w:top="1134" w:right="1134" w:bottom="1134" w:left="1134" w:header="624" w:footer="567" w:gutter="0"/>
          <w:cols w:space="708"/>
          <w:docGrid w:linePitch="360"/>
        </w:sectPr>
      </w:pPr>
    </w:p>
    <w:p w14:paraId="68413447" w14:textId="77777777" w:rsidR="004D42F9" w:rsidRDefault="004D42F9" w:rsidP="004D42F9">
      <w:pPr>
        <w:pStyle w:val="ChapterHeading"/>
      </w:pPr>
      <w:bookmarkStart w:id="24" w:name="_Toc203394886"/>
      <w:bookmarkStart w:id="25" w:name="_Toc209474767"/>
      <w:bookmarkStart w:id="26" w:name="_Toc209474800"/>
      <w:r w:rsidRPr="00712174">
        <w:lastRenderedPageBreak/>
        <w:t>Chapter</w:t>
      </w:r>
      <w:r>
        <w:rPr>
          <w:caps w:val="0"/>
        </w:rPr>
        <w:t> 4</w:t>
      </w:r>
      <w:r>
        <w:t xml:space="preserve"> – Annual Financial Report</w:t>
      </w:r>
      <w:bookmarkEnd w:id="24"/>
      <w:bookmarkEnd w:id="25"/>
      <w:bookmarkEnd w:id="26"/>
    </w:p>
    <w:p w14:paraId="53118FA6" w14:textId="77777777" w:rsidR="00561035" w:rsidRDefault="00561035" w:rsidP="004D42F9">
      <w:pPr>
        <w:pStyle w:val="Heading1"/>
        <w:spacing w:before="0"/>
      </w:pPr>
      <w:bookmarkStart w:id="27" w:name="_Toc176189342"/>
      <w:bookmarkStart w:id="28" w:name="_Toc203394887"/>
    </w:p>
    <w:p w14:paraId="287F84ED" w14:textId="706AFA4F" w:rsidR="004D42F9" w:rsidRDefault="004D42F9" w:rsidP="004D42F9">
      <w:pPr>
        <w:pStyle w:val="Heading1"/>
        <w:spacing w:before="0"/>
      </w:pPr>
      <w:r>
        <w:t>Report structure</w:t>
      </w:r>
      <w:bookmarkEnd w:id="27"/>
      <w:bookmarkEnd w:id="28"/>
      <w:r>
        <w:t xml:space="preserve"> </w:t>
      </w:r>
    </w:p>
    <w:p w14:paraId="3F1B389C" w14:textId="77777777" w:rsidR="004D42F9" w:rsidRPr="004A4224" w:rsidRDefault="004D42F9" w:rsidP="004D42F9">
      <w:pPr>
        <w:spacing w:after="120"/>
        <w:rPr>
          <w:b/>
          <w:bCs/>
        </w:rPr>
      </w:pPr>
      <w:r>
        <w:t xml:space="preserve">The Treasurer of </w:t>
      </w:r>
      <w:r w:rsidRPr="00C31CF8">
        <w:t>Victoria</w:t>
      </w:r>
      <w:r>
        <w:t xml:space="preserve"> presents the </w:t>
      </w:r>
      <w:r w:rsidRPr="00105ACB">
        <w:rPr>
          <w:i/>
          <w:iCs/>
        </w:rPr>
        <w:t>Annual Financial Report</w:t>
      </w:r>
      <w:r>
        <w:t xml:space="preserve"> of the State of Victoria (the State) for the financial year ended 30 June 2025 as follows: </w:t>
      </w:r>
    </w:p>
    <w:tbl>
      <w:tblPr>
        <w:tblStyle w:val="DTFTableText"/>
        <w:tblW w:w="9724" w:type="dxa"/>
        <w:tblLook w:val="0680" w:firstRow="0" w:lastRow="0" w:firstColumn="1" w:lastColumn="0" w:noHBand="1" w:noVBand="1"/>
      </w:tblPr>
      <w:tblGrid>
        <w:gridCol w:w="1534"/>
        <w:gridCol w:w="6907"/>
        <w:gridCol w:w="1283"/>
      </w:tblGrid>
      <w:tr w:rsidR="004D42F9" w:rsidRPr="007F6AF1" w14:paraId="193D68EB" w14:textId="77777777">
        <w:trPr>
          <w:trHeight w:val="37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tcBorders>
          </w:tcPr>
          <w:p w14:paraId="1257A193" w14:textId="77777777" w:rsidR="004D42F9" w:rsidRPr="007F6AF1" w:rsidRDefault="004D42F9">
            <w:r w:rsidRPr="007F6AF1">
              <w:t>Report Certifications</w:t>
            </w:r>
          </w:p>
        </w:tc>
        <w:tc>
          <w:tcPr>
            <w:tcW w:w="6907" w:type="dxa"/>
            <w:tcBorders>
              <w:top w:val="single" w:sz="6" w:space="0" w:color="auto"/>
            </w:tcBorders>
          </w:tcPr>
          <w:p w14:paraId="46DE4344"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Report of the Auditor-General</w:t>
            </w:r>
          </w:p>
        </w:tc>
        <w:tc>
          <w:tcPr>
            <w:tcW w:w="1283" w:type="dxa"/>
            <w:tcBorders>
              <w:top w:val="single" w:sz="6" w:space="0" w:color="auto"/>
            </w:tcBorders>
          </w:tcPr>
          <w:p w14:paraId="57C770C0" w14:textId="3A143D1B"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Report</w:instrText>
            </w:r>
            <w:r>
              <w:instrText>OfAuditorGeneral</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4A6B5C">
              <w:rPr>
                <w:noProof/>
              </w:rPr>
              <w:t>29</w:t>
            </w:r>
            <w:r w:rsidRPr="000C1CF2">
              <w:rPr>
                <w:color w:val="2B579A"/>
                <w:shd w:val="clear" w:color="auto" w:fill="E6E6E6"/>
              </w:rPr>
              <w:fldChar w:fldCharType="end"/>
            </w:r>
          </w:p>
        </w:tc>
      </w:tr>
      <w:tr w:rsidR="004D42F9" w:rsidRPr="007F6AF1" w14:paraId="0D2464B3" w14:textId="77777777">
        <w:trPr>
          <w:trHeight w:val="197"/>
        </w:trPr>
        <w:tc>
          <w:tcPr>
            <w:cnfStyle w:val="001000000000" w:firstRow="0" w:lastRow="0" w:firstColumn="1" w:lastColumn="0" w:oddVBand="0" w:evenVBand="0" w:oddHBand="0" w:evenHBand="0" w:firstRowFirstColumn="0" w:firstRowLastColumn="0" w:lastRowFirstColumn="0" w:lastRowLastColumn="0"/>
            <w:tcW w:w="1534" w:type="dxa"/>
            <w:vMerge/>
          </w:tcPr>
          <w:p w14:paraId="63EEB9D0" w14:textId="77777777" w:rsidR="004D42F9" w:rsidRPr="007F6AF1" w:rsidRDefault="004D42F9"/>
        </w:tc>
        <w:tc>
          <w:tcPr>
            <w:tcW w:w="6907" w:type="dxa"/>
            <w:tcBorders>
              <w:bottom w:val="single" w:sz="6" w:space="0" w:color="auto"/>
            </w:tcBorders>
          </w:tcPr>
          <w:p w14:paraId="585B547A"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 xml:space="preserve">Certification by the Treasurer and the </w:t>
            </w:r>
            <w:r>
              <w:t>Secretary of the</w:t>
            </w:r>
            <w:r w:rsidRPr="007F6AF1">
              <w:t xml:space="preserve"> Department of Treasury and Finance</w:t>
            </w:r>
          </w:p>
        </w:tc>
        <w:tc>
          <w:tcPr>
            <w:tcW w:w="1283" w:type="dxa"/>
            <w:tcBorders>
              <w:bottom w:val="single" w:sz="6" w:space="0" w:color="auto"/>
            </w:tcBorders>
          </w:tcPr>
          <w:p w14:paraId="42C4A616" w14:textId="7CBE6FCE"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w:instrText>
            </w:r>
            <w:r w:rsidRPr="001A1D9B">
              <w:instrText>CertificationByTreasurerAndDtf</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D352A1">
              <w:rPr>
                <w:noProof/>
              </w:rPr>
              <w:t>37</w:t>
            </w:r>
            <w:r w:rsidRPr="000C1CF2">
              <w:rPr>
                <w:color w:val="2B579A"/>
                <w:shd w:val="clear" w:color="auto" w:fill="E6E6E6"/>
              </w:rPr>
              <w:fldChar w:fldCharType="end"/>
            </w:r>
          </w:p>
        </w:tc>
      </w:tr>
      <w:tr w:rsidR="004D42F9" w:rsidRPr="007F6AF1" w14:paraId="7C40D22B" w14:textId="77777777">
        <w:trPr>
          <w:trHeight w:val="358"/>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22533233" w14:textId="5ACAFFEB" w:rsidR="004D42F9" w:rsidRPr="007F6AF1" w:rsidRDefault="004D42F9" w:rsidP="008623A6">
            <w:r w:rsidRPr="007F6AF1">
              <w:t>Financial statements</w:t>
            </w:r>
          </w:p>
        </w:tc>
        <w:tc>
          <w:tcPr>
            <w:tcW w:w="6907" w:type="dxa"/>
            <w:tcBorders>
              <w:top w:val="single" w:sz="6" w:space="0" w:color="auto"/>
              <w:bottom w:val="nil"/>
            </w:tcBorders>
          </w:tcPr>
          <w:p w14:paraId="6CB99DCD"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Consolidated comprehensive operating statement</w:t>
            </w:r>
          </w:p>
        </w:tc>
        <w:tc>
          <w:tcPr>
            <w:tcW w:w="1283" w:type="dxa"/>
            <w:tcBorders>
              <w:top w:val="single" w:sz="6" w:space="0" w:color="auto"/>
              <w:bottom w:val="nil"/>
            </w:tcBorders>
          </w:tcPr>
          <w:p w14:paraId="27E7A20F" w14:textId="57FDB6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ConsolidatedOS \h </w:instrText>
            </w:r>
            <w:r w:rsidRPr="000C1CF2">
              <w:rPr>
                <w:color w:val="2B579A"/>
                <w:shd w:val="clear" w:color="auto" w:fill="E6E6E6"/>
              </w:rPr>
            </w:r>
            <w:r w:rsidRPr="000C1CF2">
              <w:rPr>
                <w:color w:val="2B579A"/>
                <w:shd w:val="clear" w:color="auto" w:fill="E6E6E6"/>
              </w:rPr>
              <w:fldChar w:fldCharType="separate"/>
            </w:r>
            <w:r w:rsidR="00D352A1">
              <w:rPr>
                <w:noProof/>
              </w:rPr>
              <w:t>38</w:t>
            </w:r>
            <w:r w:rsidRPr="000C1CF2">
              <w:rPr>
                <w:color w:val="2B579A"/>
                <w:shd w:val="clear" w:color="auto" w:fill="E6E6E6"/>
              </w:rPr>
              <w:fldChar w:fldCharType="end"/>
            </w:r>
          </w:p>
        </w:tc>
      </w:tr>
      <w:tr w:rsidR="004D42F9" w:rsidRPr="007F6AF1" w14:paraId="3FC9DB04"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vMerge/>
          </w:tcPr>
          <w:p w14:paraId="5DCBA8B7" w14:textId="77777777" w:rsidR="004D42F9" w:rsidRPr="007F6AF1" w:rsidRDefault="004D42F9"/>
        </w:tc>
        <w:tc>
          <w:tcPr>
            <w:tcW w:w="6907" w:type="dxa"/>
            <w:tcBorders>
              <w:top w:val="nil"/>
            </w:tcBorders>
          </w:tcPr>
          <w:p w14:paraId="6914604D"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Consolidated balance sheet</w:t>
            </w:r>
          </w:p>
        </w:tc>
        <w:tc>
          <w:tcPr>
            <w:tcW w:w="1283" w:type="dxa"/>
            <w:tcBorders>
              <w:top w:val="nil"/>
            </w:tcBorders>
          </w:tcPr>
          <w:p w14:paraId="4DBF526C" w14:textId="33425764"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ConsolidatedBS \h </w:instrText>
            </w:r>
            <w:r w:rsidRPr="000C1CF2">
              <w:rPr>
                <w:color w:val="2B579A"/>
                <w:shd w:val="clear" w:color="auto" w:fill="E6E6E6"/>
              </w:rPr>
            </w:r>
            <w:r w:rsidRPr="000C1CF2">
              <w:rPr>
                <w:color w:val="2B579A"/>
                <w:shd w:val="clear" w:color="auto" w:fill="E6E6E6"/>
              </w:rPr>
              <w:fldChar w:fldCharType="separate"/>
            </w:r>
            <w:r w:rsidR="00D352A1">
              <w:rPr>
                <w:noProof/>
              </w:rPr>
              <w:t>39</w:t>
            </w:r>
            <w:r w:rsidRPr="000C1CF2">
              <w:rPr>
                <w:color w:val="2B579A"/>
                <w:shd w:val="clear" w:color="auto" w:fill="E6E6E6"/>
              </w:rPr>
              <w:fldChar w:fldCharType="end"/>
            </w:r>
          </w:p>
        </w:tc>
      </w:tr>
      <w:tr w:rsidR="004D42F9" w:rsidRPr="007F6AF1" w14:paraId="5A7F7379" w14:textId="77777777">
        <w:trPr>
          <w:trHeight w:val="358"/>
        </w:trPr>
        <w:tc>
          <w:tcPr>
            <w:cnfStyle w:val="001000000000" w:firstRow="0" w:lastRow="0" w:firstColumn="1" w:lastColumn="0" w:oddVBand="0" w:evenVBand="0" w:oddHBand="0" w:evenHBand="0" w:firstRowFirstColumn="0" w:firstRowLastColumn="0" w:lastRowFirstColumn="0" w:lastRowLastColumn="0"/>
            <w:tcW w:w="1534" w:type="dxa"/>
            <w:vMerge/>
          </w:tcPr>
          <w:p w14:paraId="3DE403DE" w14:textId="77777777" w:rsidR="004D42F9" w:rsidRPr="007F6AF1" w:rsidRDefault="004D42F9"/>
        </w:tc>
        <w:tc>
          <w:tcPr>
            <w:tcW w:w="6907" w:type="dxa"/>
          </w:tcPr>
          <w:p w14:paraId="6F752633"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Consolidated cash flow statement</w:t>
            </w:r>
          </w:p>
        </w:tc>
        <w:tc>
          <w:tcPr>
            <w:tcW w:w="1283" w:type="dxa"/>
          </w:tcPr>
          <w:p w14:paraId="7C476876" w14:textId="39286614"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ConsolidatedCF \h </w:instrText>
            </w:r>
            <w:r w:rsidRPr="000C1CF2">
              <w:rPr>
                <w:color w:val="2B579A"/>
                <w:shd w:val="clear" w:color="auto" w:fill="E6E6E6"/>
              </w:rPr>
            </w:r>
            <w:r w:rsidRPr="000C1CF2">
              <w:rPr>
                <w:color w:val="2B579A"/>
                <w:shd w:val="clear" w:color="auto" w:fill="E6E6E6"/>
              </w:rPr>
              <w:fldChar w:fldCharType="separate"/>
            </w:r>
            <w:r w:rsidR="00D352A1">
              <w:rPr>
                <w:noProof/>
              </w:rPr>
              <w:t>40</w:t>
            </w:r>
            <w:r w:rsidRPr="000C1CF2">
              <w:rPr>
                <w:color w:val="2B579A"/>
                <w:shd w:val="clear" w:color="auto" w:fill="E6E6E6"/>
              </w:rPr>
              <w:fldChar w:fldCharType="end"/>
            </w:r>
          </w:p>
        </w:tc>
      </w:tr>
      <w:tr w:rsidR="004D42F9" w:rsidRPr="007F6AF1" w14:paraId="2BB0B0E3"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vMerge/>
          </w:tcPr>
          <w:p w14:paraId="667DC57E" w14:textId="77777777" w:rsidR="004D42F9" w:rsidRPr="007F6AF1" w:rsidRDefault="004D42F9"/>
        </w:tc>
        <w:tc>
          <w:tcPr>
            <w:tcW w:w="6907" w:type="dxa"/>
            <w:tcBorders>
              <w:bottom w:val="single" w:sz="6" w:space="0" w:color="auto"/>
            </w:tcBorders>
          </w:tcPr>
          <w:p w14:paraId="020E5921" w14:textId="77777777" w:rsidR="004D42F9" w:rsidRPr="007F6AF1" w:rsidRDefault="004D42F9">
            <w:pPr>
              <w:cnfStyle w:val="000000000000" w:firstRow="0" w:lastRow="0" w:firstColumn="0" w:lastColumn="0" w:oddVBand="0" w:evenVBand="0" w:oddHBand="0" w:evenHBand="0" w:firstRowFirstColumn="0" w:firstRowLastColumn="0" w:lastRowFirstColumn="0" w:lastRowLastColumn="0"/>
            </w:pPr>
            <w:r w:rsidRPr="007F6AF1">
              <w:t>Consolidated statement of changes in equity</w:t>
            </w:r>
          </w:p>
        </w:tc>
        <w:tc>
          <w:tcPr>
            <w:tcW w:w="1283" w:type="dxa"/>
            <w:tcBorders>
              <w:bottom w:val="single" w:sz="6" w:space="0" w:color="auto"/>
            </w:tcBorders>
          </w:tcPr>
          <w:p w14:paraId="7B7DFF1B" w14:textId="1531C976"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ConsolidatedSOCIE \h </w:instrText>
            </w:r>
            <w:r w:rsidRPr="000C1CF2">
              <w:rPr>
                <w:color w:val="2B579A"/>
                <w:shd w:val="clear" w:color="auto" w:fill="E6E6E6"/>
              </w:rPr>
            </w:r>
            <w:r w:rsidRPr="000C1CF2">
              <w:rPr>
                <w:color w:val="2B579A"/>
                <w:shd w:val="clear" w:color="auto" w:fill="E6E6E6"/>
              </w:rPr>
              <w:fldChar w:fldCharType="separate"/>
            </w:r>
            <w:r w:rsidR="00D352A1">
              <w:rPr>
                <w:noProof/>
              </w:rPr>
              <w:t>42</w:t>
            </w:r>
            <w:r w:rsidRPr="000C1CF2">
              <w:rPr>
                <w:color w:val="2B579A"/>
                <w:shd w:val="clear" w:color="auto" w:fill="E6E6E6"/>
              </w:rPr>
              <w:fldChar w:fldCharType="end"/>
            </w:r>
          </w:p>
        </w:tc>
      </w:tr>
      <w:tr w:rsidR="004D42F9" w:rsidRPr="007F6AF1" w14:paraId="5D2B3C79"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vMerge w:val="restart"/>
            <w:tcBorders>
              <w:top w:val="single" w:sz="6" w:space="0" w:color="auto"/>
              <w:bottom w:val="nil"/>
            </w:tcBorders>
          </w:tcPr>
          <w:p w14:paraId="1BFF3A0E" w14:textId="7501A2AF" w:rsidR="004D42F9" w:rsidRPr="007F6AF1" w:rsidRDefault="004D42F9" w:rsidP="008623A6">
            <w:r w:rsidRPr="007F6AF1">
              <w:t>Notes to the</w:t>
            </w:r>
            <w:r w:rsidR="008623A6">
              <w:t xml:space="preserve"> </w:t>
            </w:r>
            <w:r w:rsidRPr="007F6AF1">
              <w:t>financial statements</w:t>
            </w:r>
          </w:p>
        </w:tc>
        <w:tc>
          <w:tcPr>
            <w:tcW w:w="6907" w:type="dxa"/>
            <w:tcBorders>
              <w:top w:val="single" w:sz="6" w:space="0" w:color="auto"/>
              <w:bottom w:val="nil"/>
            </w:tcBorders>
            <w:shd w:val="clear" w:color="auto" w:fill="D9D9D9" w:themeFill="background1" w:themeFillShade="D9"/>
          </w:tcPr>
          <w:p w14:paraId="2962EBE7"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sidRPr="003919AE">
              <w:rPr>
                <w:b/>
                <w:bCs/>
              </w:rPr>
              <w:t>1. About this report</w:t>
            </w:r>
          </w:p>
        </w:tc>
        <w:tc>
          <w:tcPr>
            <w:tcW w:w="1283" w:type="dxa"/>
            <w:tcBorders>
              <w:top w:val="single" w:sz="6" w:space="0" w:color="auto"/>
              <w:bottom w:val="nil"/>
            </w:tcBorders>
            <w:shd w:val="clear" w:color="auto" w:fill="D9D9D9" w:themeFill="background1" w:themeFillShade="D9"/>
          </w:tcPr>
          <w:p w14:paraId="5300B4F7" w14:textId="565BF36C"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Page</w:t>
            </w:r>
            <w:r>
              <w:t xml:space="preserve"> </w:t>
            </w:r>
            <w:r>
              <w:rPr>
                <w:color w:val="2B579A"/>
                <w:shd w:val="clear" w:color="auto" w:fill="E6E6E6"/>
              </w:rPr>
              <w:fldChar w:fldCharType="begin"/>
            </w:r>
            <w:r>
              <w:instrText xml:space="preserve"> PAGEREF _Ref147138393 \h </w:instrText>
            </w:r>
            <w:r>
              <w:rPr>
                <w:color w:val="2B579A"/>
                <w:shd w:val="clear" w:color="auto" w:fill="E6E6E6"/>
              </w:rPr>
            </w:r>
            <w:r>
              <w:rPr>
                <w:color w:val="2B579A"/>
                <w:shd w:val="clear" w:color="auto" w:fill="E6E6E6"/>
              </w:rPr>
              <w:fldChar w:fldCharType="separate"/>
            </w:r>
            <w:r w:rsidR="00D352A1">
              <w:rPr>
                <w:noProof/>
              </w:rPr>
              <w:t>43</w:t>
            </w:r>
            <w:r>
              <w:rPr>
                <w:color w:val="2B579A"/>
                <w:shd w:val="clear" w:color="auto" w:fill="E6E6E6"/>
              </w:rPr>
              <w:fldChar w:fldCharType="end"/>
            </w:r>
            <w:r w:rsidRPr="000C1CF2">
              <w:t xml:space="preserve"> </w:t>
            </w:r>
          </w:p>
        </w:tc>
      </w:tr>
      <w:tr w:rsidR="004D42F9" w:rsidRPr="007F6AF1" w14:paraId="008D5FCE" w14:textId="77777777">
        <w:trPr>
          <w:trHeight w:val="116"/>
        </w:trPr>
        <w:tc>
          <w:tcPr>
            <w:cnfStyle w:val="001000000000" w:firstRow="0" w:lastRow="0" w:firstColumn="1" w:lastColumn="0" w:oddVBand="0" w:evenVBand="0" w:oddHBand="0" w:evenHBand="0" w:firstRowFirstColumn="0" w:firstRowLastColumn="0" w:lastRowFirstColumn="0" w:lastRowLastColumn="0"/>
            <w:tcW w:w="1534" w:type="dxa"/>
            <w:vMerge/>
          </w:tcPr>
          <w:p w14:paraId="5EBBD881" w14:textId="77777777" w:rsidR="004D42F9" w:rsidRPr="007F6AF1" w:rsidRDefault="004D42F9"/>
        </w:tc>
        <w:tc>
          <w:tcPr>
            <w:tcW w:w="6907" w:type="dxa"/>
            <w:tcBorders>
              <w:top w:val="nil"/>
              <w:bottom w:val="nil"/>
            </w:tcBorders>
          </w:tcPr>
          <w:p w14:paraId="676DB1F1"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Basis of preparation</w:t>
            </w:r>
            <w:r>
              <w:rPr>
                <w:i/>
                <w:iCs/>
              </w:rPr>
              <w:t xml:space="preserve"> including key judgements, estimates and assumptions</w:t>
            </w:r>
          </w:p>
        </w:tc>
        <w:tc>
          <w:tcPr>
            <w:tcW w:w="1283" w:type="dxa"/>
            <w:tcBorders>
              <w:top w:val="nil"/>
              <w:bottom w:val="nil"/>
            </w:tcBorders>
          </w:tcPr>
          <w:p w14:paraId="765045A9"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p>
        </w:tc>
      </w:tr>
      <w:tr w:rsidR="004D42F9" w:rsidRPr="007F6AF1" w14:paraId="0BAB4369" w14:textId="77777777">
        <w:trPr>
          <w:trHeight w:val="65"/>
        </w:trPr>
        <w:tc>
          <w:tcPr>
            <w:cnfStyle w:val="001000000000" w:firstRow="0" w:lastRow="0" w:firstColumn="1" w:lastColumn="0" w:oddVBand="0" w:evenVBand="0" w:oddHBand="0" w:evenHBand="0" w:firstRowFirstColumn="0" w:firstRowLastColumn="0" w:lastRowFirstColumn="0" w:lastRowLastColumn="0"/>
            <w:tcW w:w="1534" w:type="dxa"/>
            <w:vMerge/>
          </w:tcPr>
          <w:p w14:paraId="4AA11B9B" w14:textId="77777777" w:rsidR="004D42F9" w:rsidRPr="007F6AF1" w:rsidRDefault="004D42F9"/>
        </w:tc>
        <w:tc>
          <w:tcPr>
            <w:tcW w:w="6907" w:type="dxa"/>
            <w:tcBorders>
              <w:bottom w:val="nil"/>
            </w:tcBorders>
          </w:tcPr>
          <w:p w14:paraId="21ACE4E0"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Compliance information</w:t>
            </w:r>
          </w:p>
        </w:tc>
        <w:tc>
          <w:tcPr>
            <w:tcW w:w="1283" w:type="dxa"/>
            <w:tcBorders>
              <w:bottom w:val="nil"/>
            </w:tcBorders>
          </w:tcPr>
          <w:p w14:paraId="00D522F8"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p>
        </w:tc>
      </w:tr>
      <w:tr w:rsidR="004D42F9" w:rsidRPr="007F6AF1" w14:paraId="2C374559" w14:textId="77777777">
        <w:trPr>
          <w:trHeight w:val="65"/>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4445D947" w14:textId="77777777" w:rsidR="004D42F9" w:rsidRPr="007F6AF1" w:rsidRDefault="004D42F9"/>
        </w:tc>
        <w:tc>
          <w:tcPr>
            <w:tcW w:w="6907" w:type="dxa"/>
            <w:tcBorders>
              <w:top w:val="nil"/>
              <w:bottom w:val="nil"/>
            </w:tcBorders>
            <w:shd w:val="clear" w:color="auto" w:fill="D9D9D9" w:themeFill="background1" w:themeFillShade="D9"/>
          </w:tcPr>
          <w:p w14:paraId="46AD5EBC" w14:textId="77777777" w:rsidR="004D42F9" w:rsidRPr="00DD1D30" w:rsidRDefault="004D42F9">
            <w:pPr>
              <w:cnfStyle w:val="000000000000" w:firstRow="0" w:lastRow="0" w:firstColumn="0" w:lastColumn="0" w:oddVBand="0" w:evenVBand="0" w:oddHBand="0" w:evenHBand="0" w:firstRowFirstColumn="0" w:firstRowLastColumn="0" w:lastRowFirstColumn="0" w:lastRowLastColumn="0"/>
              <w:rPr>
                <w:b/>
                <w:bCs/>
              </w:rPr>
            </w:pPr>
            <w:r>
              <w:rPr>
                <w:b/>
                <w:bCs/>
              </w:rPr>
              <w:t>2</w:t>
            </w:r>
            <w:r w:rsidRPr="003919AE">
              <w:rPr>
                <w:b/>
                <w:bCs/>
              </w:rPr>
              <w:t xml:space="preserve">. How funds are </w:t>
            </w:r>
            <w:r>
              <w:rPr>
                <w:b/>
                <w:bCs/>
              </w:rPr>
              <w:t>raised</w:t>
            </w:r>
          </w:p>
        </w:tc>
        <w:tc>
          <w:tcPr>
            <w:tcW w:w="1283" w:type="dxa"/>
            <w:tcBorders>
              <w:top w:val="nil"/>
              <w:bottom w:val="nil"/>
            </w:tcBorders>
            <w:shd w:val="clear" w:color="auto" w:fill="D9D9D9" w:themeFill="background1" w:themeFillShade="D9"/>
          </w:tcPr>
          <w:p w14:paraId="04181DAE" w14:textId="41C717DC" w:rsidR="004D42F9" w:rsidRPr="00DD1D30" w:rsidRDefault="004D42F9">
            <w:pPr>
              <w:jc w:val="right"/>
              <w:cnfStyle w:val="000000000000" w:firstRow="0" w:lastRow="0" w:firstColumn="0" w:lastColumn="0" w:oddVBand="0" w:evenVBand="0" w:oddHBand="0" w:evenHBand="0" w:firstRowFirstColumn="0" w:firstRowLastColumn="0" w:lastRowFirstColumn="0" w:lastRowLastColumn="0"/>
              <w:rPr>
                <w:b/>
                <w:bCs/>
              </w:rPr>
            </w:pPr>
            <w:r w:rsidRPr="00DD1D30">
              <w:t xml:space="preserve">Page </w:t>
            </w:r>
            <w:r w:rsidRPr="000C1CF2">
              <w:rPr>
                <w:color w:val="2B579A"/>
                <w:shd w:val="clear" w:color="auto" w:fill="E6E6E6"/>
              </w:rPr>
              <w:fldChar w:fldCharType="begin"/>
            </w:r>
            <w:r w:rsidRPr="000C1CF2">
              <w:instrText xml:space="preserve"> PAGEREF Section</w:instrText>
            </w:r>
            <w:r>
              <w:instrText>2</w:instrText>
            </w:r>
            <w:r w:rsidRPr="000C1CF2">
              <w:instrText xml:space="preserve">\h </w:instrText>
            </w:r>
            <w:r w:rsidRPr="000C1CF2">
              <w:rPr>
                <w:color w:val="2B579A"/>
                <w:shd w:val="clear" w:color="auto" w:fill="E6E6E6"/>
              </w:rPr>
            </w:r>
            <w:r w:rsidRPr="000C1CF2">
              <w:rPr>
                <w:color w:val="2B579A"/>
                <w:shd w:val="clear" w:color="auto" w:fill="E6E6E6"/>
              </w:rPr>
              <w:fldChar w:fldCharType="separate"/>
            </w:r>
            <w:r w:rsidR="00D352A1">
              <w:rPr>
                <w:noProof/>
              </w:rPr>
              <w:t>46</w:t>
            </w:r>
            <w:r w:rsidRPr="000C1CF2">
              <w:rPr>
                <w:color w:val="2B579A"/>
                <w:shd w:val="clear" w:color="auto" w:fill="E6E6E6"/>
              </w:rPr>
              <w:fldChar w:fldCharType="end"/>
            </w:r>
          </w:p>
        </w:tc>
      </w:tr>
      <w:tr w:rsidR="004D42F9" w:rsidRPr="007F6AF1" w14:paraId="35D81477" w14:textId="77777777">
        <w:trPr>
          <w:trHeight w:val="8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5F6C3674" w14:textId="77777777" w:rsidR="004D42F9" w:rsidRPr="007F6AF1" w:rsidRDefault="004D42F9"/>
        </w:tc>
        <w:tc>
          <w:tcPr>
            <w:tcW w:w="6907" w:type="dxa"/>
            <w:tcBorders>
              <w:top w:val="nil"/>
              <w:bottom w:val="nil"/>
            </w:tcBorders>
          </w:tcPr>
          <w:p w14:paraId="5571F926"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Revenue and income recognised from taxes, grants, sales of goods and services</w:t>
            </w:r>
            <w:r>
              <w:rPr>
                <w:i/>
                <w:iCs/>
              </w:rPr>
              <w:t>, receivables, other liabilities</w:t>
            </w:r>
            <w:r w:rsidRPr="00A04A5A">
              <w:rPr>
                <w:i/>
                <w:iCs/>
              </w:rPr>
              <w:t xml:space="preserve"> and other sources</w:t>
            </w:r>
          </w:p>
        </w:tc>
        <w:tc>
          <w:tcPr>
            <w:tcW w:w="1283" w:type="dxa"/>
            <w:tcBorders>
              <w:top w:val="nil"/>
              <w:bottom w:val="nil"/>
            </w:tcBorders>
          </w:tcPr>
          <w:p w14:paraId="10700E0F"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p>
        </w:tc>
      </w:tr>
      <w:tr w:rsidR="004D42F9" w:rsidRPr="007F6AF1" w14:paraId="4A2C8203"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3D95E9DB" w14:textId="77777777" w:rsidR="004D42F9" w:rsidRPr="007F6AF1" w:rsidRDefault="004D42F9"/>
        </w:tc>
        <w:tc>
          <w:tcPr>
            <w:tcW w:w="6907" w:type="dxa"/>
            <w:tcBorders>
              <w:top w:val="nil"/>
              <w:bottom w:val="nil"/>
            </w:tcBorders>
            <w:shd w:val="clear" w:color="auto" w:fill="D9D9D9" w:themeFill="background1" w:themeFillShade="D9"/>
          </w:tcPr>
          <w:p w14:paraId="3B393B1E"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sidRPr="003919AE">
              <w:rPr>
                <w:b/>
                <w:bCs/>
              </w:rPr>
              <w:t>3. How funds are spent</w:t>
            </w:r>
          </w:p>
        </w:tc>
        <w:tc>
          <w:tcPr>
            <w:tcW w:w="1283" w:type="dxa"/>
            <w:tcBorders>
              <w:top w:val="nil"/>
              <w:bottom w:val="nil"/>
            </w:tcBorders>
            <w:shd w:val="clear" w:color="auto" w:fill="D9D9D9" w:themeFill="background1" w:themeFillShade="D9"/>
          </w:tcPr>
          <w:p w14:paraId="1D9DCF75" w14:textId="1097383C"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Section3 \h </w:instrText>
            </w:r>
            <w:r w:rsidRPr="000C1CF2">
              <w:rPr>
                <w:color w:val="2B579A"/>
                <w:shd w:val="clear" w:color="auto" w:fill="E6E6E6"/>
              </w:rPr>
            </w:r>
            <w:r w:rsidRPr="000C1CF2">
              <w:rPr>
                <w:color w:val="2B579A"/>
                <w:shd w:val="clear" w:color="auto" w:fill="E6E6E6"/>
              </w:rPr>
              <w:fldChar w:fldCharType="separate"/>
            </w:r>
            <w:r w:rsidR="00D352A1">
              <w:rPr>
                <w:noProof/>
              </w:rPr>
              <w:t>53</w:t>
            </w:r>
            <w:r w:rsidRPr="000C1CF2">
              <w:rPr>
                <w:color w:val="2B579A"/>
                <w:shd w:val="clear" w:color="auto" w:fill="E6E6E6"/>
              </w:rPr>
              <w:fldChar w:fldCharType="end"/>
            </w:r>
          </w:p>
        </w:tc>
      </w:tr>
      <w:tr w:rsidR="004D42F9" w:rsidRPr="00A04A5A" w14:paraId="07B7967F"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28848402" w14:textId="77777777" w:rsidR="004D42F9" w:rsidRPr="007F6AF1" w:rsidRDefault="004D42F9"/>
        </w:tc>
        <w:tc>
          <w:tcPr>
            <w:tcW w:w="6907" w:type="dxa"/>
            <w:tcBorders>
              <w:top w:val="nil"/>
              <w:bottom w:val="nil"/>
            </w:tcBorders>
          </w:tcPr>
          <w:p w14:paraId="7EC90F2C"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Operating </w:t>
            </w:r>
            <w:r>
              <w:rPr>
                <w:i/>
                <w:iCs/>
              </w:rPr>
              <w:t xml:space="preserve">and capital </w:t>
            </w:r>
            <w:r w:rsidRPr="00A04A5A">
              <w:rPr>
                <w:i/>
                <w:iCs/>
              </w:rPr>
              <w:t>expenses</w:t>
            </w:r>
            <w:r>
              <w:rPr>
                <w:i/>
                <w:iCs/>
              </w:rPr>
              <w:t xml:space="preserve"> incurred to deliver public services including associated employee entitlement obligations</w:t>
            </w:r>
            <w:r w:rsidRPr="00A04A5A">
              <w:rPr>
                <w:i/>
                <w:iCs/>
              </w:rPr>
              <w:t xml:space="preserve"> </w:t>
            </w:r>
            <w:r>
              <w:rPr>
                <w:i/>
                <w:iCs/>
              </w:rPr>
              <w:t>and payables</w:t>
            </w:r>
          </w:p>
        </w:tc>
        <w:tc>
          <w:tcPr>
            <w:tcW w:w="1283" w:type="dxa"/>
            <w:tcBorders>
              <w:top w:val="nil"/>
              <w:bottom w:val="nil"/>
            </w:tcBorders>
          </w:tcPr>
          <w:p w14:paraId="02581202"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rPr>
                <w:i/>
                <w:iCs/>
              </w:rPr>
            </w:pPr>
          </w:p>
        </w:tc>
      </w:tr>
      <w:tr w:rsidR="004D42F9" w:rsidRPr="007F6AF1" w14:paraId="75F992D8" w14:textId="77777777">
        <w:trPr>
          <w:trHeight w:val="182"/>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2915295B" w14:textId="77777777" w:rsidR="004D42F9" w:rsidRPr="007F6AF1" w:rsidRDefault="004D42F9"/>
        </w:tc>
        <w:tc>
          <w:tcPr>
            <w:tcW w:w="6907" w:type="dxa"/>
            <w:tcBorders>
              <w:top w:val="nil"/>
              <w:bottom w:val="nil"/>
            </w:tcBorders>
            <w:shd w:val="clear" w:color="auto" w:fill="D9D9D9" w:themeFill="background1" w:themeFillShade="D9"/>
          </w:tcPr>
          <w:p w14:paraId="2BE060C4"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sidRPr="003919AE">
              <w:rPr>
                <w:b/>
                <w:bCs/>
              </w:rPr>
              <w:t>4. Major assets and investments</w:t>
            </w:r>
          </w:p>
        </w:tc>
        <w:tc>
          <w:tcPr>
            <w:tcW w:w="1283" w:type="dxa"/>
            <w:tcBorders>
              <w:top w:val="nil"/>
              <w:bottom w:val="nil"/>
            </w:tcBorders>
            <w:shd w:val="clear" w:color="auto" w:fill="D9D9D9" w:themeFill="background1" w:themeFillShade="D9"/>
          </w:tcPr>
          <w:p w14:paraId="59ED0C31" w14:textId="1B9F87A2"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Section4 \h </w:instrText>
            </w:r>
            <w:r w:rsidRPr="000C1CF2">
              <w:rPr>
                <w:color w:val="2B579A"/>
                <w:shd w:val="clear" w:color="auto" w:fill="E6E6E6"/>
              </w:rPr>
            </w:r>
            <w:r w:rsidRPr="000C1CF2">
              <w:rPr>
                <w:color w:val="2B579A"/>
                <w:shd w:val="clear" w:color="auto" w:fill="E6E6E6"/>
              </w:rPr>
              <w:fldChar w:fldCharType="separate"/>
            </w:r>
            <w:r w:rsidR="00D352A1">
              <w:rPr>
                <w:noProof/>
              </w:rPr>
              <w:t>70</w:t>
            </w:r>
            <w:r w:rsidRPr="000C1CF2">
              <w:rPr>
                <w:color w:val="2B579A"/>
                <w:shd w:val="clear" w:color="auto" w:fill="E6E6E6"/>
              </w:rPr>
              <w:fldChar w:fldCharType="end"/>
            </w:r>
          </w:p>
        </w:tc>
      </w:tr>
      <w:tr w:rsidR="004D42F9" w:rsidRPr="007F6AF1" w14:paraId="2A6B789D"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0283654E" w14:textId="77777777" w:rsidR="004D42F9" w:rsidRPr="007F6AF1" w:rsidRDefault="004D42F9"/>
        </w:tc>
        <w:tc>
          <w:tcPr>
            <w:tcW w:w="6907" w:type="dxa"/>
            <w:tcBorders>
              <w:top w:val="nil"/>
              <w:bottom w:val="nil"/>
            </w:tcBorders>
          </w:tcPr>
          <w:p w14:paraId="05D20621"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Land, buildings, infrastructure, plant and equipment, other </w:t>
            </w:r>
            <w:r>
              <w:rPr>
                <w:i/>
                <w:iCs/>
              </w:rPr>
              <w:t>non</w:t>
            </w:r>
            <w:r>
              <w:rPr>
                <w:i/>
                <w:iCs/>
              </w:rPr>
              <w:noBreakHyphen/>
            </w:r>
            <w:r w:rsidRPr="00A04A5A">
              <w:rPr>
                <w:i/>
                <w:iCs/>
              </w:rPr>
              <w:t xml:space="preserve">financial assets, </w:t>
            </w:r>
            <w:r w:rsidRPr="007F1C54">
              <w:rPr>
                <w:i/>
                <w:iCs/>
              </w:rPr>
              <w:t>investments in other sectors</w:t>
            </w:r>
            <w:r>
              <w:rPr>
                <w:i/>
                <w:iCs/>
              </w:rPr>
              <w:t>, and investments held in associates and joint arrangements</w:t>
            </w:r>
          </w:p>
        </w:tc>
        <w:tc>
          <w:tcPr>
            <w:tcW w:w="1283" w:type="dxa"/>
            <w:tcBorders>
              <w:top w:val="nil"/>
              <w:bottom w:val="nil"/>
            </w:tcBorders>
          </w:tcPr>
          <w:p w14:paraId="6541DA95"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rPr>
                <w:i/>
                <w:iCs/>
              </w:rPr>
            </w:pPr>
          </w:p>
        </w:tc>
      </w:tr>
      <w:tr w:rsidR="004D42F9" w:rsidRPr="007F6AF1" w14:paraId="63443F4F" w14:textId="77777777">
        <w:trPr>
          <w:trHeight w:val="358"/>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77FED834" w14:textId="77777777" w:rsidR="004D42F9" w:rsidRPr="007F6AF1" w:rsidRDefault="004D42F9"/>
        </w:tc>
        <w:tc>
          <w:tcPr>
            <w:tcW w:w="6907" w:type="dxa"/>
            <w:tcBorders>
              <w:top w:val="nil"/>
              <w:bottom w:val="nil"/>
            </w:tcBorders>
            <w:shd w:val="clear" w:color="auto" w:fill="D9D9D9" w:themeFill="background1" w:themeFillShade="D9"/>
          </w:tcPr>
          <w:p w14:paraId="06B93370"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sidRPr="003919AE">
              <w:rPr>
                <w:b/>
                <w:bCs/>
              </w:rPr>
              <w:t>5. Financing state operations</w:t>
            </w:r>
          </w:p>
        </w:tc>
        <w:tc>
          <w:tcPr>
            <w:tcW w:w="1283" w:type="dxa"/>
            <w:tcBorders>
              <w:top w:val="nil"/>
              <w:bottom w:val="nil"/>
            </w:tcBorders>
            <w:shd w:val="clear" w:color="auto" w:fill="D9D9D9" w:themeFill="background1" w:themeFillShade="D9"/>
          </w:tcPr>
          <w:p w14:paraId="09F6FC93" w14:textId="25C3CB5A"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Section5 \h </w:instrText>
            </w:r>
            <w:r w:rsidRPr="000C1CF2">
              <w:rPr>
                <w:color w:val="2B579A"/>
                <w:shd w:val="clear" w:color="auto" w:fill="E6E6E6"/>
              </w:rPr>
            </w:r>
            <w:r w:rsidRPr="000C1CF2">
              <w:rPr>
                <w:color w:val="2B579A"/>
                <w:shd w:val="clear" w:color="auto" w:fill="E6E6E6"/>
              </w:rPr>
              <w:fldChar w:fldCharType="separate"/>
            </w:r>
            <w:r w:rsidR="00D352A1">
              <w:rPr>
                <w:noProof/>
              </w:rPr>
              <w:t>85</w:t>
            </w:r>
            <w:r w:rsidRPr="000C1CF2">
              <w:rPr>
                <w:color w:val="2B579A"/>
                <w:shd w:val="clear" w:color="auto" w:fill="E6E6E6"/>
              </w:rPr>
              <w:fldChar w:fldCharType="end"/>
            </w:r>
          </w:p>
        </w:tc>
      </w:tr>
      <w:tr w:rsidR="004D42F9" w:rsidRPr="007F6AF1" w14:paraId="6AC1BB31"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4C3DA479" w14:textId="77777777" w:rsidR="004D42F9" w:rsidRPr="007F6AF1" w:rsidRDefault="004D42F9"/>
        </w:tc>
        <w:tc>
          <w:tcPr>
            <w:tcW w:w="6907" w:type="dxa"/>
            <w:tcBorders>
              <w:top w:val="nil"/>
              <w:bottom w:val="nil"/>
            </w:tcBorders>
          </w:tcPr>
          <w:p w14:paraId="73DB8993"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Borrowings</w:t>
            </w:r>
            <w:r w:rsidRPr="6D42517C">
              <w:rPr>
                <w:i/>
                <w:iCs/>
              </w:rPr>
              <w:t xml:space="preserve">, interest expense, </w:t>
            </w:r>
            <w:r w:rsidRPr="00A04A5A">
              <w:rPr>
                <w:i/>
                <w:iCs/>
              </w:rPr>
              <w:t xml:space="preserve">leases, service concession arrangements, cash flow information, investments held and commitments </w:t>
            </w:r>
          </w:p>
        </w:tc>
        <w:tc>
          <w:tcPr>
            <w:tcW w:w="1283" w:type="dxa"/>
            <w:tcBorders>
              <w:top w:val="nil"/>
              <w:bottom w:val="nil"/>
            </w:tcBorders>
          </w:tcPr>
          <w:p w14:paraId="4839C184"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rPr>
                <w:i/>
                <w:iCs/>
              </w:rPr>
            </w:pPr>
          </w:p>
        </w:tc>
      </w:tr>
      <w:tr w:rsidR="004D42F9" w:rsidRPr="007F6AF1" w14:paraId="44FC5DB7"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253749A1" w14:textId="77777777" w:rsidR="004D42F9" w:rsidRPr="007F6AF1" w:rsidRDefault="004D42F9"/>
        </w:tc>
        <w:tc>
          <w:tcPr>
            <w:tcW w:w="6907" w:type="dxa"/>
            <w:tcBorders>
              <w:top w:val="nil"/>
              <w:bottom w:val="nil"/>
            </w:tcBorders>
            <w:shd w:val="clear" w:color="auto" w:fill="D9D9D9" w:themeFill="background1" w:themeFillShade="D9"/>
          </w:tcPr>
          <w:p w14:paraId="55105E82"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Pr>
                <w:b/>
                <w:bCs/>
              </w:rPr>
              <w:t>6</w:t>
            </w:r>
            <w:r w:rsidRPr="003919AE">
              <w:rPr>
                <w:b/>
                <w:bCs/>
              </w:rPr>
              <w:t>. Risks, contingencies and valuation judgements</w:t>
            </w:r>
          </w:p>
        </w:tc>
        <w:tc>
          <w:tcPr>
            <w:tcW w:w="1283" w:type="dxa"/>
            <w:tcBorders>
              <w:top w:val="nil"/>
              <w:bottom w:val="nil"/>
            </w:tcBorders>
            <w:shd w:val="clear" w:color="auto" w:fill="D9D9D9" w:themeFill="background1" w:themeFillShade="D9"/>
          </w:tcPr>
          <w:p w14:paraId="700683D4" w14:textId="02277BF1" w:rsidR="004D42F9" w:rsidRPr="003E5B2A" w:rsidRDefault="008623A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w:instrText>
            </w:r>
            <w:r>
              <w:instrText>6</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D352A1">
              <w:rPr>
                <w:noProof/>
              </w:rPr>
              <w:t>106</w:t>
            </w:r>
            <w:r w:rsidRPr="000C1CF2">
              <w:rPr>
                <w:color w:val="2B579A"/>
                <w:shd w:val="clear" w:color="auto" w:fill="E6E6E6"/>
              </w:rPr>
              <w:fldChar w:fldCharType="end"/>
            </w:r>
          </w:p>
        </w:tc>
      </w:tr>
      <w:tr w:rsidR="004D42F9" w:rsidRPr="007F6AF1" w14:paraId="665343FF"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20A41F82" w14:textId="77777777" w:rsidR="004D42F9" w:rsidRPr="007F6AF1" w:rsidRDefault="004D42F9"/>
        </w:tc>
        <w:tc>
          <w:tcPr>
            <w:tcW w:w="6907" w:type="dxa"/>
            <w:tcBorders>
              <w:top w:val="nil"/>
              <w:bottom w:val="nil"/>
            </w:tcBorders>
          </w:tcPr>
          <w:p w14:paraId="53597287"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Financial instruments, contingent assets and liabilities, and fair value disclosures</w:t>
            </w:r>
          </w:p>
        </w:tc>
        <w:tc>
          <w:tcPr>
            <w:tcW w:w="1283" w:type="dxa"/>
            <w:tcBorders>
              <w:top w:val="nil"/>
              <w:bottom w:val="nil"/>
            </w:tcBorders>
          </w:tcPr>
          <w:p w14:paraId="298B76A4" w14:textId="77777777" w:rsidR="004D42F9" w:rsidRPr="003E5B2A" w:rsidRDefault="004D42F9">
            <w:pPr>
              <w:jc w:val="right"/>
              <w:cnfStyle w:val="000000000000" w:firstRow="0" w:lastRow="0" w:firstColumn="0" w:lastColumn="0" w:oddVBand="0" w:evenVBand="0" w:oddHBand="0" w:evenHBand="0" w:firstRowFirstColumn="0" w:firstRowLastColumn="0" w:lastRowFirstColumn="0" w:lastRowLastColumn="0"/>
            </w:pPr>
          </w:p>
        </w:tc>
      </w:tr>
      <w:tr w:rsidR="004D42F9" w:rsidRPr="007F6AF1" w14:paraId="4859A486"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23648659" w14:textId="77777777" w:rsidR="004D42F9" w:rsidRPr="007F6AF1" w:rsidRDefault="004D42F9"/>
        </w:tc>
        <w:tc>
          <w:tcPr>
            <w:tcW w:w="6907" w:type="dxa"/>
            <w:tcBorders>
              <w:top w:val="nil"/>
              <w:bottom w:val="nil"/>
            </w:tcBorders>
            <w:shd w:val="clear" w:color="auto" w:fill="D9D9D9" w:themeFill="background1" w:themeFillShade="D9"/>
          </w:tcPr>
          <w:p w14:paraId="6282CFB5"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Pr>
                <w:b/>
                <w:bCs/>
              </w:rPr>
              <w:t>7</w:t>
            </w:r>
            <w:r w:rsidRPr="003919AE">
              <w:rPr>
                <w:b/>
                <w:bCs/>
              </w:rPr>
              <w:t>. Comparison against budget and the public account</w:t>
            </w:r>
          </w:p>
        </w:tc>
        <w:tc>
          <w:tcPr>
            <w:tcW w:w="1283" w:type="dxa"/>
            <w:tcBorders>
              <w:top w:val="nil"/>
              <w:bottom w:val="nil"/>
            </w:tcBorders>
            <w:shd w:val="clear" w:color="auto" w:fill="D9D9D9" w:themeFill="background1" w:themeFillShade="D9"/>
          </w:tcPr>
          <w:p w14:paraId="4F67489E" w14:textId="55878AC3" w:rsidR="004D42F9" w:rsidRPr="003E5B2A" w:rsidRDefault="008623A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w:instrText>
            </w:r>
            <w:r>
              <w:instrText>7</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D352A1">
              <w:rPr>
                <w:noProof/>
              </w:rPr>
              <w:t>136</w:t>
            </w:r>
            <w:r w:rsidRPr="000C1CF2">
              <w:rPr>
                <w:color w:val="2B579A"/>
                <w:shd w:val="clear" w:color="auto" w:fill="E6E6E6"/>
              </w:rPr>
              <w:fldChar w:fldCharType="end"/>
            </w:r>
          </w:p>
        </w:tc>
      </w:tr>
      <w:tr w:rsidR="004D42F9" w:rsidRPr="007F6AF1" w14:paraId="51559CBB" w14:textId="77777777">
        <w:trPr>
          <w:trHeight w:val="70"/>
        </w:trPr>
        <w:tc>
          <w:tcPr>
            <w:cnfStyle w:val="001000000000" w:firstRow="0" w:lastRow="0" w:firstColumn="1" w:lastColumn="0" w:oddVBand="0" w:evenVBand="0" w:oddHBand="0" w:evenHBand="0" w:firstRowFirstColumn="0" w:firstRowLastColumn="0" w:lastRowFirstColumn="0" w:lastRowLastColumn="0"/>
            <w:tcW w:w="1534" w:type="dxa"/>
            <w:tcBorders>
              <w:bottom w:val="nil"/>
            </w:tcBorders>
          </w:tcPr>
          <w:p w14:paraId="32097B54" w14:textId="77777777" w:rsidR="004D42F9" w:rsidRPr="007F6AF1" w:rsidRDefault="004D42F9"/>
        </w:tc>
        <w:tc>
          <w:tcPr>
            <w:tcW w:w="6907" w:type="dxa"/>
            <w:tcBorders>
              <w:top w:val="nil"/>
              <w:bottom w:val="nil"/>
            </w:tcBorders>
          </w:tcPr>
          <w:p w14:paraId="30CD0668" w14:textId="77777777" w:rsidR="004D42F9" w:rsidRPr="00A04A5A" w:rsidRDefault="004D42F9">
            <w:pPr>
              <w:cnfStyle w:val="000000000000" w:firstRow="0" w:lastRow="0" w:firstColumn="0" w:lastColumn="0" w:oddVBand="0" w:evenVBand="0" w:oddHBand="0" w:evenHBand="0" w:firstRowFirstColumn="0" w:firstRowLastColumn="0" w:lastRowFirstColumn="0" w:lastRowLastColumn="0"/>
              <w:rPr>
                <w:i/>
                <w:iCs/>
              </w:rPr>
            </w:pPr>
            <w:r w:rsidRPr="00A04A5A">
              <w:rPr>
                <w:i/>
                <w:iCs/>
              </w:rPr>
              <w:t xml:space="preserve">Explanations of material variances between budget and actual outcomes, and </w:t>
            </w:r>
            <w:r w:rsidRPr="00A04A5A">
              <w:rPr>
                <w:i/>
                <w:iCs/>
              </w:rPr>
              <w:br/>
              <w:t>public account disclosures</w:t>
            </w:r>
          </w:p>
        </w:tc>
        <w:tc>
          <w:tcPr>
            <w:tcW w:w="1283" w:type="dxa"/>
            <w:tcBorders>
              <w:top w:val="nil"/>
              <w:bottom w:val="nil"/>
            </w:tcBorders>
          </w:tcPr>
          <w:p w14:paraId="447B82CC" w14:textId="77777777" w:rsidR="004D42F9" w:rsidRPr="003E5B2A" w:rsidRDefault="004D42F9">
            <w:pPr>
              <w:jc w:val="right"/>
              <w:cnfStyle w:val="000000000000" w:firstRow="0" w:lastRow="0" w:firstColumn="0" w:lastColumn="0" w:oddVBand="0" w:evenVBand="0" w:oddHBand="0" w:evenHBand="0" w:firstRowFirstColumn="0" w:firstRowLastColumn="0" w:lastRowFirstColumn="0" w:lastRowLastColumn="0"/>
            </w:pPr>
          </w:p>
        </w:tc>
      </w:tr>
      <w:tr w:rsidR="004D42F9" w:rsidRPr="007F6AF1" w14:paraId="4D9E14B3"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nil"/>
            </w:tcBorders>
          </w:tcPr>
          <w:p w14:paraId="5C6A9CDB" w14:textId="77777777" w:rsidR="004D42F9" w:rsidRPr="007F6AF1" w:rsidRDefault="004D42F9"/>
        </w:tc>
        <w:tc>
          <w:tcPr>
            <w:tcW w:w="6907" w:type="dxa"/>
            <w:tcBorders>
              <w:top w:val="nil"/>
              <w:bottom w:val="nil"/>
            </w:tcBorders>
            <w:shd w:val="clear" w:color="auto" w:fill="D9D9D9" w:themeFill="background1" w:themeFillShade="D9"/>
          </w:tcPr>
          <w:p w14:paraId="01105F1F"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Pr>
                <w:b/>
                <w:bCs/>
              </w:rPr>
              <w:t>8</w:t>
            </w:r>
            <w:r w:rsidRPr="003919AE">
              <w:rPr>
                <w:b/>
                <w:bCs/>
              </w:rPr>
              <w:t>. Other disclosures</w:t>
            </w:r>
          </w:p>
        </w:tc>
        <w:tc>
          <w:tcPr>
            <w:tcW w:w="1283" w:type="dxa"/>
            <w:tcBorders>
              <w:top w:val="nil"/>
              <w:bottom w:val="nil"/>
            </w:tcBorders>
            <w:shd w:val="clear" w:color="auto" w:fill="D9D9D9" w:themeFill="background1" w:themeFillShade="D9"/>
          </w:tcPr>
          <w:p w14:paraId="6C1DC867" w14:textId="6674485D" w:rsidR="004D42F9" w:rsidRPr="003E5B2A" w:rsidRDefault="008623A6">
            <w:pPr>
              <w:jc w:val="right"/>
              <w:cnfStyle w:val="000000000000" w:firstRow="0" w:lastRow="0" w:firstColumn="0" w:lastColumn="0" w:oddVBand="0" w:evenVBand="0" w:oddHBand="0" w:evenHBand="0" w:firstRowFirstColumn="0" w:firstRowLastColumn="0" w:lastRowFirstColumn="0" w:lastRowLastColumn="0"/>
            </w:pPr>
            <w:r w:rsidRPr="000C1CF2">
              <w:t xml:space="preserve">Page </w:t>
            </w:r>
            <w:r w:rsidRPr="000C1CF2">
              <w:rPr>
                <w:color w:val="2B579A"/>
                <w:shd w:val="clear" w:color="auto" w:fill="E6E6E6"/>
              </w:rPr>
              <w:fldChar w:fldCharType="begin"/>
            </w:r>
            <w:r w:rsidRPr="000C1CF2">
              <w:instrText xml:space="preserve"> PAGEREF Section</w:instrText>
            </w:r>
            <w:r>
              <w:instrText>8</w:instrText>
            </w:r>
            <w:r w:rsidRPr="000C1CF2">
              <w:instrText xml:space="preserve"> \h </w:instrText>
            </w:r>
            <w:r w:rsidRPr="000C1CF2">
              <w:rPr>
                <w:color w:val="2B579A"/>
                <w:shd w:val="clear" w:color="auto" w:fill="E6E6E6"/>
              </w:rPr>
            </w:r>
            <w:r w:rsidRPr="000C1CF2">
              <w:rPr>
                <w:color w:val="2B579A"/>
                <w:shd w:val="clear" w:color="auto" w:fill="E6E6E6"/>
              </w:rPr>
              <w:fldChar w:fldCharType="separate"/>
            </w:r>
            <w:r w:rsidR="00D352A1">
              <w:rPr>
                <w:noProof/>
              </w:rPr>
              <w:t>163</w:t>
            </w:r>
            <w:r w:rsidRPr="000C1CF2">
              <w:rPr>
                <w:color w:val="2B579A"/>
                <w:shd w:val="clear" w:color="auto" w:fill="E6E6E6"/>
              </w:rPr>
              <w:fldChar w:fldCharType="end"/>
            </w:r>
          </w:p>
        </w:tc>
      </w:tr>
      <w:tr w:rsidR="004D42F9" w:rsidRPr="007F6AF1" w14:paraId="3EAE006B" w14:textId="77777777">
        <w:trPr>
          <w:trHeight w:val="350"/>
        </w:trPr>
        <w:tc>
          <w:tcPr>
            <w:cnfStyle w:val="001000000000" w:firstRow="0" w:lastRow="0" w:firstColumn="1" w:lastColumn="0" w:oddVBand="0" w:evenVBand="0" w:oddHBand="0" w:evenHBand="0" w:firstRowFirstColumn="0" w:firstRowLastColumn="0" w:lastRowFirstColumn="0" w:lastRowLastColumn="0"/>
            <w:tcW w:w="1534" w:type="dxa"/>
            <w:tcBorders>
              <w:top w:val="nil"/>
              <w:bottom w:val="single" w:sz="12" w:space="0" w:color="auto"/>
            </w:tcBorders>
          </w:tcPr>
          <w:p w14:paraId="448CF104" w14:textId="77777777" w:rsidR="004D42F9" w:rsidRPr="007F6AF1" w:rsidRDefault="004D42F9"/>
        </w:tc>
        <w:tc>
          <w:tcPr>
            <w:tcW w:w="6907" w:type="dxa"/>
            <w:tcBorders>
              <w:top w:val="nil"/>
              <w:bottom w:val="single" w:sz="12" w:space="0" w:color="auto"/>
            </w:tcBorders>
            <w:shd w:val="clear" w:color="auto" w:fill="FFFFFF" w:themeFill="background1"/>
          </w:tcPr>
          <w:p w14:paraId="6E07060F" w14:textId="77777777" w:rsidR="004D42F9" w:rsidRPr="003919AE" w:rsidRDefault="004D42F9">
            <w:pPr>
              <w:cnfStyle w:val="000000000000" w:firstRow="0" w:lastRow="0" w:firstColumn="0" w:lastColumn="0" w:oddVBand="0" w:evenVBand="0" w:oddHBand="0" w:evenHBand="0" w:firstRowFirstColumn="0" w:firstRowLastColumn="0" w:lastRowFirstColumn="0" w:lastRowLastColumn="0"/>
              <w:rPr>
                <w:b/>
                <w:bCs/>
              </w:rPr>
            </w:pPr>
            <w:r>
              <w:rPr>
                <w:i/>
                <w:iCs/>
              </w:rPr>
              <w:t>Additional disclosures including disaggregated information, funds under management, related party transactions, subsequent events and controlled entities.</w:t>
            </w:r>
          </w:p>
        </w:tc>
        <w:tc>
          <w:tcPr>
            <w:tcW w:w="1283" w:type="dxa"/>
            <w:tcBorders>
              <w:top w:val="nil"/>
              <w:bottom w:val="single" w:sz="12" w:space="0" w:color="auto"/>
            </w:tcBorders>
            <w:shd w:val="clear" w:color="auto" w:fill="FFFFFF" w:themeFill="background1"/>
          </w:tcPr>
          <w:p w14:paraId="1E8064F6" w14:textId="77777777" w:rsidR="004D42F9" w:rsidRPr="000C1CF2" w:rsidRDefault="004D42F9">
            <w:pPr>
              <w:jc w:val="right"/>
              <w:cnfStyle w:val="000000000000" w:firstRow="0" w:lastRow="0" w:firstColumn="0" w:lastColumn="0" w:oddVBand="0" w:evenVBand="0" w:oddHBand="0" w:evenHBand="0" w:firstRowFirstColumn="0" w:firstRowLastColumn="0" w:lastRowFirstColumn="0" w:lastRowLastColumn="0"/>
            </w:pPr>
          </w:p>
        </w:tc>
      </w:tr>
    </w:tbl>
    <w:p w14:paraId="3452D48D" w14:textId="77777777" w:rsidR="004D42F9" w:rsidRDefault="004D42F9" w:rsidP="004D42F9">
      <w:r>
        <w:t> </w:t>
      </w:r>
    </w:p>
    <w:p w14:paraId="68B0EA3B" w14:textId="77777777" w:rsidR="004D42F9" w:rsidRDefault="004D42F9" w:rsidP="004D42F9">
      <w:pPr>
        <w:pStyle w:val="Heading1"/>
        <w:pageBreakBefore/>
      </w:pPr>
      <w:bookmarkStart w:id="29" w:name="_Toc176189343"/>
      <w:bookmarkStart w:id="30" w:name="_Toc203394888"/>
      <w:r>
        <w:lastRenderedPageBreak/>
        <w:t>Public sector terms explained</w:t>
      </w:r>
      <w:bookmarkEnd w:id="29"/>
      <w:bookmarkEnd w:id="30"/>
    </w:p>
    <w:p w14:paraId="6616BE6F" w14:textId="77777777" w:rsidR="004D42F9" w:rsidRDefault="004D42F9" w:rsidP="004D42F9">
      <w:r>
        <w:t>The State of Victoria reporting entity includes government departments, public non-financial corporations (PNFCs), public financial corporations (PFCs) and other government-controlled entities. The State and most of its controlled entities are not-for-</w:t>
      </w:r>
      <w:r w:rsidRPr="003B1D3F">
        <w:t>profit</w:t>
      </w:r>
      <w:r>
        <w:t xml:space="preserve"> entities.</w:t>
      </w:r>
    </w:p>
    <w:p w14:paraId="1194A2D6" w14:textId="77777777" w:rsidR="004D42F9" w:rsidRDefault="004D42F9" w:rsidP="004D42F9">
      <w:pPr>
        <w:spacing w:before="240"/>
        <w:jc w:val="center"/>
      </w:pPr>
      <w:r w:rsidRPr="00EA5BD2">
        <w:rPr>
          <w:noProof/>
          <w:color w:val="2B579A"/>
          <w:shd w:val="clear" w:color="auto" w:fill="E6E6E6"/>
        </w:rPr>
        <mc:AlternateContent>
          <mc:Choice Requires="wpg">
            <w:drawing>
              <wp:inline distT="0" distB="0" distL="0" distR="0" wp14:anchorId="2216B025" wp14:editId="5B704638">
                <wp:extent cx="4658379" cy="2457450"/>
                <wp:effectExtent l="0" t="0" r="27940" b="19050"/>
                <wp:docPr id="85" name="Group 85" descr="P115#y1"/>
                <wp:cNvGraphicFramePr/>
                <a:graphic xmlns:a="http://schemas.openxmlformats.org/drawingml/2006/main">
                  <a:graphicData uri="http://schemas.microsoft.com/office/word/2010/wordprocessingGroup">
                    <wpg:wgp>
                      <wpg:cNvGrpSpPr/>
                      <wpg:grpSpPr>
                        <a:xfrm>
                          <a:off x="0" y="0"/>
                          <a:ext cx="4658379" cy="2457450"/>
                          <a:chOff x="0" y="0"/>
                          <a:chExt cx="4658379" cy="2765014"/>
                        </a:xfrm>
                      </wpg:grpSpPr>
                      <wps:wsp>
                        <wps:cNvPr id="86" name="Straight Connector 86"/>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V="1">
                            <a:off x="1210360" y="1969794"/>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wps:spPr>
                        <wps:txbx>
                          <w:txbxContent>
                            <w:p w14:paraId="506288E7" w14:textId="77777777" w:rsidR="004D42F9" w:rsidRPr="00EA5BD2" w:rsidRDefault="004D42F9" w:rsidP="004D42F9">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wps:cNvSpPr>
                          <a:spLocks noChangeAspect="1" noChangeArrowheads="1"/>
                        </wps:cNvSpPr>
                        <wps:spPr bwMode="auto">
                          <a:xfrm>
                            <a:off x="1584424" y="1425375"/>
                            <a:ext cx="1500143" cy="578723"/>
                          </a:xfrm>
                          <a:prstGeom prst="roundRect">
                            <a:avLst/>
                          </a:prstGeom>
                          <a:solidFill>
                            <a:schemeClr val="bg1"/>
                          </a:solidFill>
                          <a:ln w="12700">
                            <a:solidFill>
                              <a:schemeClr val="tx1"/>
                            </a:solidFill>
                            <a:miter lim="800000"/>
                            <a:headEnd/>
                            <a:tailEnd/>
                          </a:ln>
                          <a:effectLst/>
                        </wps:spPr>
                        <wps:txbx>
                          <w:txbxContent>
                            <w:p w14:paraId="6F2AECB8"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wps:cNvSpPr>
                          <a:spLocks noChangeAspect="1" noChangeArrowheads="1"/>
                        </wps:cNvSpPr>
                        <wps:spPr bwMode="auto">
                          <a:xfrm>
                            <a:off x="3158210" y="1425375"/>
                            <a:ext cx="1500143" cy="578723"/>
                          </a:xfrm>
                          <a:prstGeom prst="roundRect">
                            <a:avLst/>
                          </a:prstGeom>
                          <a:solidFill>
                            <a:schemeClr val="bg1"/>
                          </a:solidFill>
                          <a:ln w="12700">
                            <a:solidFill>
                              <a:schemeClr val="tx1"/>
                            </a:solidFill>
                            <a:miter lim="800000"/>
                            <a:headEnd/>
                            <a:tailEnd/>
                          </a:ln>
                          <a:effectLst/>
                        </wps:spPr>
                        <wps:txbx>
                          <w:txbxContent>
                            <w:p w14:paraId="5CC830C6"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wps:cNvSpPr>
                          <a:spLocks noChangeAspect="1" noChangeArrowheads="1"/>
                        </wps:cNvSpPr>
                        <wps:spPr bwMode="auto">
                          <a:xfrm>
                            <a:off x="10638" y="1425375"/>
                            <a:ext cx="1500143" cy="578723"/>
                          </a:xfrm>
                          <a:prstGeom prst="roundRect">
                            <a:avLst/>
                          </a:prstGeom>
                          <a:solidFill>
                            <a:schemeClr val="bg1"/>
                          </a:solidFill>
                          <a:ln w="12700">
                            <a:solidFill>
                              <a:schemeClr val="tx1"/>
                            </a:solidFill>
                            <a:miter lim="800000"/>
                            <a:headEnd/>
                            <a:tailEnd/>
                          </a:ln>
                          <a:effectLst/>
                        </wps:spPr>
                        <wps:txbx>
                          <w:txbxContent>
                            <w:p w14:paraId="0704055C"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wps:cNvSpPr>
                          <a:spLocks noChangeAspect="1" noChangeArrowheads="1"/>
                        </wps:cNvSpPr>
                        <wps:spPr bwMode="auto">
                          <a:xfrm>
                            <a:off x="10640" y="2287236"/>
                            <a:ext cx="876464" cy="477773"/>
                          </a:xfrm>
                          <a:prstGeom prst="roundRect">
                            <a:avLst/>
                          </a:prstGeom>
                          <a:solidFill>
                            <a:schemeClr val="bg1">
                              <a:lumMod val="50000"/>
                            </a:schemeClr>
                          </a:solidFill>
                          <a:ln w="12700">
                            <a:solidFill>
                              <a:schemeClr val="tx1"/>
                            </a:solidFill>
                            <a:miter lim="800000"/>
                            <a:headEnd/>
                            <a:tailEnd/>
                          </a:ln>
                          <a:effectLst/>
                        </wps:spPr>
                        <wps:txbx>
                          <w:txbxContent>
                            <w:p w14:paraId="404E3D57" w14:textId="77777777" w:rsidR="004D42F9" w:rsidRPr="00EA5BD2" w:rsidRDefault="004D42F9" w:rsidP="004D42F9">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wps:cNvSpPr>
                          <a:spLocks noChangeAspect="1" noChangeArrowheads="1"/>
                        </wps:cNvSpPr>
                        <wps:spPr bwMode="auto">
                          <a:xfrm>
                            <a:off x="852985" y="2287483"/>
                            <a:ext cx="3805316"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1493FECF" w14:textId="77777777" w:rsidR="004D42F9" w:rsidRPr="00EA5BD2" w:rsidRDefault="004D42F9" w:rsidP="004D42F9">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0CA31AA0" w14:textId="77777777" w:rsidR="004D42F9" w:rsidRPr="00EA5BD2" w:rsidRDefault="004D42F9" w:rsidP="004D42F9">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wps:cNvCnPr>
                          <a:cxnSpLocks/>
                          <a:stCxn id="94" idx="0"/>
                        </wps:cNvCnPr>
                        <wps:spPr>
                          <a:xfrm flipV="1">
                            <a:off x="3908266" y="452773"/>
                            <a:ext cx="26" cy="972603"/>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rto="http://schemas.microsoft.com/office/word/2006/arto">
            <w:pict>
              <v:group w14:anchorId="2216B025" id="Group 85" o:spid="_x0000_s1026" alt="P115#y1"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" strokecolor="black [3213]" strokeweight="1.5pt">
                  <v:stroke endarrow="classic" endarrowwidth="wide" endarrowlength="long" joinstyle="miter"/>
                  <o:lock v:ext="edit" shapetype="f"/>
                </v:line>
                <v:line id="Straight Connector 87" o:spid="_x0000_s1028" style="position:absolute;flip:y;visibility:visible;mso-wrap-style:square" from="12103,19697" to="12103,2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" strokecolor="black [3213]" strokeweight="1.5pt">
                  <v:stroke endarrow="classic" endarrowwidth="wide" endarrowlength="long" joinstyle="miter"/>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" strokecolor="black [3213]" strokeweight="1.5pt">
                  <v:stroke endarrow="classic" endarrowwidth="wide" endarrowlength="long" joinstyle="miter"/>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" strokecolor="black [3213]" strokeweight="1.5pt">
                  <v:stroke endarrow="classic" endarrowwidth="wide" endarrowlength="long" joinstyle="miter"/>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" strokecolor="black [3213]" strokeweight="1.5pt">
                  <v:stroke endarrow="classic" endarrowwidth="wide" endarrowlength="long" joinstyle="miter"/>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" strokecolor="black [3213]" strokeweight="1.5pt">
                  <v:stroke endarrow="classic" endarrowwidth="wide" endarrowlength="long" joinstyle="miter"/>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506288E7" w14:textId="77777777" w:rsidR="004D42F9" w:rsidRPr="00EA5BD2" w:rsidRDefault="004D42F9" w:rsidP="004D42F9">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6F2AECB8"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5CC830C6"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253;width:15001;height: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0704055C" w14:textId="77777777" w:rsidR="004D42F9" w:rsidRPr="00EA5BD2" w:rsidRDefault="004D42F9" w:rsidP="004D42F9">
                        <w:pPr>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8765;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" fillcolor="#7f7f7f [1612]" strokecolor="black [3213]" strokeweight="1pt">
                  <v:stroke joinstyle="miter"/>
                  <o:lock v:ext="edit" aspectratio="t"/>
                  <v:textbox inset="2mm,,2mm">
                    <w:txbxContent>
                      <w:p w14:paraId="404E3D57" w14:textId="77777777" w:rsidR="004D42F9" w:rsidRPr="00EA5BD2" w:rsidRDefault="004D42F9" w:rsidP="004D42F9">
                        <w:pPr>
                          <w:spacing w:before="60" w:after="6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8529;top:22874;width:38054;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738547,0;3805316,79590;3805316,397941;3738547,477531;0,477531" o:connectangles="0,0,0,0,0,0,0" textboxrect="0,0,3832993,403522"/>
                  <o:lock v:ext="edit" aspectratio="t"/>
                  <v:textbox inset="0,,0">
                    <w:txbxContent>
                      <w:p w14:paraId="1493FECF" w14:textId="77777777" w:rsidR="004D42F9" w:rsidRPr="00EA5BD2" w:rsidRDefault="004D42F9" w:rsidP="004D42F9">
                        <w:pPr>
                          <w:spacing w:before="60" w:after="60"/>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0CA31AA0" w14:textId="77777777" w:rsidR="004D42F9" w:rsidRPr="00EA5BD2" w:rsidRDefault="004D42F9" w:rsidP="004D42F9">
                        <w:pPr>
                          <w:spacing w:before="60" w:after="60"/>
                          <w:ind w:left="176" w:hanging="176"/>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2,4527" to="39082,1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" strokecolor="black [3213]" strokeweight="1.5pt">
                  <v:stroke endarrow="classic" endarrowwidth="wide" endarrowlength="long" joinstyle="miter"/>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" strokecolor="black [3213]" strokeweight="1.5pt">
                  <v:stroke endarrow="classic" endarrowwidth="wide" endarrowlength="long" joinstyle="miter"/>
                  <o:lock v:ext="edit" shapetype="f"/>
                </v:line>
                <w10:anchorlock/>
              </v:group>
            </w:pict>
          </mc:Fallback>
        </mc:AlternateContent>
      </w:r>
    </w:p>
    <w:p w14:paraId="0E379E8C" w14:textId="77777777" w:rsidR="004D42F9" w:rsidRDefault="004D42F9" w:rsidP="004D42F9"/>
    <w:p w14:paraId="06CA1A2F" w14:textId="77777777" w:rsidR="004D42F9" w:rsidRDefault="004D42F9" w:rsidP="004D42F9">
      <w:pPr>
        <w:spacing w:after="120"/>
      </w:pPr>
      <w:r>
        <w:t xml:space="preserve">The State controlled entities are classified into several sectors according to the System of National Accounts (refer to Note 8.9), </w:t>
      </w:r>
      <w:r w:rsidRPr="00714F5D">
        <w:t>as</w:t>
      </w:r>
      <w:r>
        <w:t xml:space="preserve"> follows:</w:t>
      </w:r>
    </w:p>
    <w:tbl>
      <w:tblPr>
        <w:tblStyle w:val="DTFTableShadedText"/>
        <w:tblW w:w="9639" w:type="dxa"/>
        <w:tblLook w:val="0420" w:firstRow="1" w:lastRow="0" w:firstColumn="0" w:lastColumn="0" w:noHBand="0" w:noVBand="1"/>
      </w:tblPr>
      <w:tblGrid>
        <w:gridCol w:w="2268"/>
        <w:gridCol w:w="7371"/>
      </w:tblGrid>
      <w:tr w:rsidR="004D42F9" w:rsidRPr="00B42574" w14:paraId="24254119" w14:textId="77777777">
        <w:trPr>
          <w:cnfStyle w:val="100000000000" w:firstRow="1" w:lastRow="0" w:firstColumn="0" w:lastColumn="0" w:oddVBand="0" w:evenVBand="0" w:oddHBand="0" w:evenHBand="0" w:firstRowFirstColumn="0" w:firstRowLastColumn="0" w:lastRowFirstColumn="0" w:lastRowLastColumn="0"/>
          <w:trHeight w:val="70"/>
        </w:trPr>
        <w:tc>
          <w:tcPr>
            <w:tcW w:w="2268" w:type="dxa"/>
          </w:tcPr>
          <w:p w14:paraId="125B2ED4" w14:textId="77777777" w:rsidR="004D42F9" w:rsidRPr="00B42574" w:rsidRDefault="004D42F9">
            <w:pPr>
              <w:rPr>
                <w:szCs w:val="19"/>
              </w:rPr>
            </w:pPr>
            <w:r>
              <w:rPr>
                <w:szCs w:val="19"/>
              </w:rPr>
              <w:t>Sector</w:t>
            </w:r>
          </w:p>
        </w:tc>
        <w:tc>
          <w:tcPr>
            <w:tcW w:w="7371" w:type="dxa"/>
          </w:tcPr>
          <w:p w14:paraId="4F2045DE" w14:textId="77777777" w:rsidR="004D42F9" w:rsidRPr="00B42574" w:rsidRDefault="004D42F9">
            <w:pPr>
              <w:rPr>
                <w:szCs w:val="19"/>
              </w:rPr>
            </w:pPr>
            <w:r w:rsidRPr="00B42574">
              <w:rPr>
                <w:szCs w:val="19"/>
              </w:rPr>
              <w:t>Explanation</w:t>
            </w:r>
          </w:p>
        </w:tc>
      </w:tr>
      <w:tr w:rsidR="004D42F9" w:rsidRPr="00B42574" w14:paraId="14911277" w14:textId="77777777">
        <w:trPr>
          <w:cnfStyle w:val="000000100000" w:firstRow="0" w:lastRow="0" w:firstColumn="0" w:lastColumn="0" w:oddVBand="0" w:evenVBand="0" w:oddHBand="1" w:evenHBand="0" w:firstRowFirstColumn="0" w:firstRowLastColumn="0" w:lastRowFirstColumn="0" w:lastRowLastColumn="0"/>
        </w:trPr>
        <w:tc>
          <w:tcPr>
            <w:tcW w:w="2268" w:type="dxa"/>
          </w:tcPr>
          <w:p w14:paraId="443F21B1" w14:textId="77777777" w:rsidR="004D42F9" w:rsidRPr="00B42574" w:rsidRDefault="004D42F9">
            <w:pPr>
              <w:rPr>
                <w:szCs w:val="19"/>
              </w:rPr>
            </w:pPr>
            <w:r w:rsidRPr="00B42574">
              <w:rPr>
                <w:szCs w:val="19"/>
              </w:rPr>
              <w:t xml:space="preserve">General government sector </w:t>
            </w:r>
          </w:p>
        </w:tc>
        <w:tc>
          <w:tcPr>
            <w:tcW w:w="7371" w:type="dxa"/>
          </w:tcPr>
          <w:p w14:paraId="44FC5353" w14:textId="77777777" w:rsidR="004D42F9" w:rsidRPr="00B42574" w:rsidRDefault="004D42F9">
            <w:pPr>
              <w:rPr>
                <w:szCs w:val="19"/>
              </w:rPr>
            </w:pPr>
            <w:r w:rsidRPr="00B42574">
              <w:rPr>
                <w:szCs w:val="19"/>
              </w:rPr>
              <w:t>The Victorian general government sector includes all government departments, offices and other bodies engaged in providing services free of charge or at prices significantly below their cost of production.</w:t>
            </w:r>
            <w:r>
              <w:rPr>
                <w:szCs w:val="19"/>
              </w:rPr>
              <w:t xml:space="preserve"> </w:t>
            </w:r>
            <w:r w:rsidRPr="00B42574">
              <w:rPr>
                <w:szCs w:val="19"/>
              </w:rPr>
              <w:t>The</w:t>
            </w:r>
            <w:r>
              <w:rPr>
                <w:szCs w:val="19"/>
              </w:rPr>
              <w:t> </w:t>
            </w:r>
            <w:r w:rsidRPr="00B42574">
              <w:rPr>
                <w:szCs w:val="19"/>
              </w:rPr>
              <w:t>general government sector is not a separate entity but represents a sector within the State of Victoria reporting entity, and is reported in accordance with AASB</w:t>
            </w:r>
            <w:r>
              <w:rPr>
                <w:szCs w:val="19"/>
              </w:rPr>
              <w:t> </w:t>
            </w:r>
            <w:r w:rsidRPr="00B42574">
              <w:rPr>
                <w:szCs w:val="19"/>
              </w:rPr>
              <w:t xml:space="preserve">1049 </w:t>
            </w:r>
            <w:r w:rsidRPr="005B6670">
              <w:rPr>
                <w:i/>
                <w:szCs w:val="19"/>
              </w:rPr>
              <w:t>Whole of Government and General Government Sector Financial Reporting</w:t>
            </w:r>
            <w:r w:rsidRPr="00B42574">
              <w:rPr>
                <w:szCs w:val="19"/>
              </w:rPr>
              <w:t>.</w:t>
            </w:r>
          </w:p>
          <w:p w14:paraId="1F1570B2" w14:textId="77777777" w:rsidR="004D42F9" w:rsidRPr="00B42574" w:rsidRDefault="004D42F9">
            <w:r w:rsidRPr="3F638EDD">
              <w:t xml:space="preserve">The primary function of entities within the </w:t>
            </w:r>
            <w:r w:rsidRPr="00B42574">
              <w:rPr>
                <w:szCs w:val="19"/>
              </w:rPr>
              <w:t xml:space="preserve">general government sector </w:t>
            </w:r>
            <w:r w:rsidRPr="3F638EDD">
              <w:t>is to provide general government services that are mainly non</w:t>
            </w:r>
            <w:r>
              <w:rPr>
                <w:szCs w:val="19"/>
              </w:rPr>
              <w:noBreakHyphen/>
            </w:r>
            <w:r w:rsidRPr="00E227CF">
              <w:t>market</w:t>
            </w:r>
            <w:r w:rsidRPr="3F638EDD">
              <w:t xml:space="preserve"> in nature and are largely for collective consumption by the community,</w:t>
            </w:r>
            <w:r>
              <w:rPr>
                <w:szCs w:val="19"/>
              </w:rPr>
              <w:t xml:space="preserve"> </w:t>
            </w:r>
            <w:r w:rsidRPr="3F638EDD">
              <w:t>or that involve the transfer or redistribution of income. These services are financed mainly through taxes, other compulsory levies and user charges.</w:t>
            </w:r>
          </w:p>
        </w:tc>
      </w:tr>
      <w:tr w:rsidR="004D42F9" w:rsidRPr="00B42574" w14:paraId="75886296" w14:textId="77777777">
        <w:trPr>
          <w:cnfStyle w:val="000000010000" w:firstRow="0" w:lastRow="0" w:firstColumn="0" w:lastColumn="0" w:oddVBand="0" w:evenVBand="0" w:oddHBand="0" w:evenHBand="1" w:firstRowFirstColumn="0" w:firstRowLastColumn="0" w:lastRowFirstColumn="0" w:lastRowLastColumn="0"/>
        </w:trPr>
        <w:tc>
          <w:tcPr>
            <w:tcW w:w="2268" w:type="dxa"/>
          </w:tcPr>
          <w:p w14:paraId="1C7E22BE" w14:textId="77777777" w:rsidR="004D42F9" w:rsidRPr="00B42574" w:rsidRDefault="004D42F9">
            <w:pPr>
              <w:rPr>
                <w:szCs w:val="19"/>
              </w:rPr>
            </w:pPr>
            <w:r w:rsidRPr="00B42574">
              <w:rPr>
                <w:szCs w:val="19"/>
              </w:rPr>
              <w:t xml:space="preserve">Public </w:t>
            </w:r>
            <w:r>
              <w:rPr>
                <w:szCs w:val="19"/>
              </w:rPr>
              <w:t>non-</w:t>
            </w:r>
            <w:r w:rsidRPr="00B42574">
              <w:rPr>
                <w:szCs w:val="19"/>
              </w:rPr>
              <w:t>financial corporations (PNFC) sector</w:t>
            </w:r>
          </w:p>
        </w:tc>
        <w:tc>
          <w:tcPr>
            <w:tcW w:w="7371" w:type="dxa"/>
          </w:tcPr>
          <w:p w14:paraId="2E079FC0" w14:textId="77777777" w:rsidR="004D42F9" w:rsidRPr="00B42574" w:rsidRDefault="004D42F9">
            <w:pPr>
              <w:rPr>
                <w:szCs w:val="19"/>
              </w:rPr>
            </w:pPr>
            <w:r w:rsidRPr="00DA74BB">
              <w:rPr>
                <w:szCs w:val="19"/>
              </w:rPr>
              <w:t xml:space="preserve">The primary function of entities in the PNFC sector </w:t>
            </w:r>
            <w:r>
              <w:rPr>
                <w:szCs w:val="19"/>
              </w:rPr>
              <w:t>is to produce</w:t>
            </w:r>
            <w:r w:rsidRPr="00DA74BB">
              <w:rPr>
                <w:szCs w:val="19"/>
              </w:rPr>
              <w:t xml:space="preserve"> goods and services (of</w:t>
            </w:r>
            <w:r>
              <w:rPr>
                <w:szCs w:val="19"/>
              </w:rPr>
              <w:t> </w:t>
            </w:r>
            <w:r w:rsidRPr="00DA74BB">
              <w:rPr>
                <w:szCs w:val="19"/>
              </w:rPr>
              <w:t>a</w:t>
            </w:r>
            <w:r>
              <w:rPr>
                <w:szCs w:val="19"/>
              </w:rPr>
              <w:t> </w:t>
            </w:r>
            <w:r>
              <w:rPr>
                <w:szCs w:val="19"/>
              </w:rPr>
              <w:br/>
            </w:r>
            <w:r w:rsidRPr="00DA74BB">
              <w:rPr>
                <w:szCs w:val="19"/>
              </w:rPr>
              <w:t>non</w:t>
            </w:r>
            <w:r w:rsidRPr="261B157E">
              <w:t>-</w:t>
            </w:r>
            <w:r w:rsidRPr="00DA74BB">
              <w:rPr>
                <w:szCs w:val="19"/>
              </w:rPr>
              <w:t>financial nature) for sale in the marketplace at economically significant prices.</w:t>
            </w:r>
          </w:p>
        </w:tc>
      </w:tr>
      <w:tr w:rsidR="004D42F9" w:rsidRPr="00B42574" w14:paraId="0FF407BC" w14:textId="77777777">
        <w:trPr>
          <w:cnfStyle w:val="000000100000" w:firstRow="0" w:lastRow="0" w:firstColumn="0" w:lastColumn="0" w:oddVBand="0" w:evenVBand="0" w:oddHBand="1" w:evenHBand="0" w:firstRowFirstColumn="0" w:firstRowLastColumn="0" w:lastRowFirstColumn="0" w:lastRowLastColumn="0"/>
        </w:trPr>
        <w:tc>
          <w:tcPr>
            <w:tcW w:w="2268" w:type="dxa"/>
          </w:tcPr>
          <w:p w14:paraId="0C3B0C88" w14:textId="77777777" w:rsidR="004D42F9" w:rsidRPr="00B42574" w:rsidRDefault="004D42F9">
            <w:pPr>
              <w:rPr>
                <w:szCs w:val="19"/>
              </w:rPr>
            </w:pPr>
            <w:r w:rsidRPr="00B42574">
              <w:rPr>
                <w:szCs w:val="19"/>
              </w:rPr>
              <w:t>Public financial corporations (PFC) sector</w:t>
            </w:r>
          </w:p>
        </w:tc>
        <w:tc>
          <w:tcPr>
            <w:tcW w:w="7371" w:type="dxa"/>
          </w:tcPr>
          <w:p w14:paraId="505C7095" w14:textId="5A60DA83" w:rsidR="004D42F9" w:rsidRPr="007332BC" w:rsidRDefault="004D42F9">
            <w:r w:rsidRPr="007332BC">
              <w:t>The primary function of entities in the PFC sector is to provide financial intermediation</w:t>
            </w:r>
            <w:r>
              <w:t xml:space="preserve"> </w:t>
            </w:r>
            <w:r w:rsidRPr="007332BC">
              <w:t>services or auxiliary financial services</w:t>
            </w:r>
            <w:r w:rsidR="00A118CF">
              <w:t>; they</w:t>
            </w:r>
            <w:r w:rsidRPr="007332BC">
              <w:t xml:space="preserve"> have one or more of the following characteristics: </w:t>
            </w:r>
          </w:p>
          <w:p w14:paraId="0557E04B" w14:textId="3AF47DAC" w:rsidR="004D42F9" w:rsidRPr="00BB6604" w:rsidRDefault="003C3C9E" w:rsidP="004D42F9">
            <w:pPr>
              <w:pStyle w:val="ListBullet"/>
              <w:keepLines/>
              <w:numPr>
                <w:ilvl w:val="0"/>
                <w:numId w:val="27"/>
              </w:numPr>
            </w:pPr>
            <w:r>
              <w:t>t</w:t>
            </w:r>
            <w:r w:rsidR="004D42F9" w:rsidRPr="00B42574">
              <w:t>hey perform a central borrowing function</w:t>
            </w:r>
            <w:r w:rsidR="004D42F9">
              <w:t xml:space="preserve"> or </w:t>
            </w:r>
            <w:r w:rsidR="004D42F9" w:rsidRPr="00BB6604">
              <w:t>they provide insurance services</w:t>
            </w:r>
          </w:p>
          <w:p w14:paraId="174460C2" w14:textId="3F4EDBC6" w:rsidR="004D42F9" w:rsidRPr="00B42574" w:rsidRDefault="003C3C9E" w:rsidP="004D42F9">
            <w:pPr>
              <w:pStyle w:val="ListBullet"/>
              <w:keepLines/>
              <w:numPr>
                <w:ilvl w:val="0"/>
                <w:numId w:val="27"/>
              </w:numPr>
            </w:pPr>
            <w:r>
              <w:t>t</w:t>
            </w:r>
            <w:r w:rsidR="004D42F9" w:rsidRPr="00B42574">
              <w:t>hey accept call, term or savings deposits</w:t>
            </w:r>
          </w:p>
          <w:p w14:paraId="3540BF34" w14:textId="1D328160" w:rsidR="004D42F9" w:rsidRPr="00B42574" w:rsidRDefault="003C3C9E" w:rsidP="004D42F9">
            <w:pPr>
              <w:pStyle w:val="ListBullet"/>
              <w:keepLines/>
              <w:numPr>
                <w:ilvl w:val="0"/>
                <w:numId w:val="27"/>
              </w:numPr>
            </w:pPr>
            <w:r>
              <w:t>t</w:t>
            </w:r>
            <w:r w:rsidR="004D42F9" w:rsidRPr="00B42574">
              <w:t>hey have the ability to incur liabilities and acquire financial assets in the market on their own account.</w:t>
            </w:r>
          </w:p>
        </w:tc>
      </w:tr>
      <w:tr w:rsidR="004D42F9" w:rsidRPr="00B42574" w14:paraId="6F1C7A40" w14:textId="77777777">
        <w:trPr>
          <w:cnfStyle w:val="000000010000" w:firstRow="0" w:lastRow="0" w:firstColumn="0" w:lastColumn="0" w:oddVBand="0" w:evenVBand="0" w:oddHBand="0" w:evenHBand="1" w:firstRowFirstColumn="0" w:firstRowLastColumn="0" w:lastRowFirstColumn="0" w:lastRowLastColumn="0"/>
        </w:trPr>
        <w:tc>
          <w:tcPr>
            <w:tcW w:w="2268" w:type="dxa"/>
            <w:tcBorders>
              <w:bottom w:val="single" w:sz="12" w:space="0" w:color="auto"/>
            </w:tcBorders>
          </w:tcPr>
          <w:p w14:paraId="1FD9629C" w14:textId="77777777" w:rsidR="004D42F9" w:rsidRPr="00B42574" w:rsidRDefault="004D42F9">
            <w:pPr>
              <w:rPr>
                <w:szCs w:val="19"/>
              </w:rPr>
            </w:pPr>
            <w:r w:rsidRPr="00B42574">
              <w:rPr>
                <w:szCs w:val="19"/>
              </w:rPr>
              <w:t>Non-financial public sector (NFPS)</w:t>
            </w:r>
          </w:p>
        </w:tc>
        <w:tc>
          <w:tcPr>
            <w:tcW w:w="7371" w:type="dxa"/>
            <w:tcBorders>
              <w:bottom w:val="single" w:sz="12" w:space="0" w:color="auto"/>
            </w:tcBorders>
          </w:tcPr>
          <w:p w14:paraId="71A8ADB2" w14:textId="77777777" w:rsidR="004D42F9" w:rsidRPr="00B42574" w:rsidRDefault="004D42F9">
            <w:pPr>
              <w:rPr>
                <w:szCs w:val="19"/>
              </w:rPr>
            </w:pPr>
            <w:r w:rsidRPr="00B42574">
              <w:rPr>
                <w:szCs w:val="19"/>
              </w:rPr>
              <w:t>The NFPS sector repre</w:t>
            </w:r>
            <w:r>
              <w:rPr>
                <w:szCs w:val="19"/>
              </w:rPr>
              <w:t>sents the consolidation of the general government</w:t>
            </w:r>
            <w:r w:rsidRPr="00B42574">
              <w:rPr>
                <w:szCs w:val="19"/>
              </w:rPr>
              <w:t xml:space="preserve"> and PNFC sectors.</w:t>
            </w:r>
          </w:p>
        </w:tc>
      </w:tr>
    </w:tbl>
    <w:p w14:paraId="328ADB5E" w14:textId="77777777" w:rsidR="004D42F9" w:rsidRDefault="004D42F9" w:rsidP="004D42F9"/>
    <w:p w14:paraId="140E7134" w14:textId="77777777" w:rsidR="004D42F9" w:rsidRDefault="004D42F9" w:rsidP="004D42F9">
      <w:r>
        <w:t>Note 8.1 disaggregates information about these sectors. Disclosing this information assists users of the financial statements to determine the effects of differing activities on the financial performance and position of the State. It also assists users to identify the resources used in providing a range of goods and services, and the extent to which the State has recovered the costs of those resources from revenues attributable to those activities.</w:t>
      </w:r>
    </w:p>
    <w:p w14:paraId="09199962" w14:textId="77777777" w:rsidR="004D42F9" w:rsidRDefault="004D42F9" w:rsidP="004D42F9"/>
    <w:p w14:paraId="361DEEA3" w14:textId="77777777" w:rsidR="004D42F9" w:rsidRDefault="004D42F9" w:rsidP="004D42F9">
      <w:pPr>
        <w:keepLines w:val="0"/>
      </w:pPr>
      <w:r>
        <w:br w:type="page"/>
      </w:r>
    </w:p>
    <w:p w14:paraId="3558B93C" w14:textId="77777777" w:rsidR="004D42F9" w:rsidRDefault="004D42F9" w:rsidP="004D42F9">
      <w:pPr>
        <w:pStyle w:val="Heading1"/>
      </w:pPr>
      <w:bookmarkStart w:id="31" w:name="ReportOfAuditorGeneral"/>
      <w:bookmarkStart w:id="32" w:name="_Toc176189344"/>
      <w:bookmarkStart w:id="33" w:name="_Toc203394889"/>
      <w:r>
        <w:lastRenderedPageBreak/>
        <w:t>Report of the Auditor-General</w:t>
      </w:r>
      <w:bookmarkEnd w:id="31"/>
      <w:bookmarkEnd w:id="32"/>
      <w:bookmarkEnd w:id="33"/>
    </w:p>
    <w:p w14:paraId="71778E54" w14:textId="77777777" w:rsidR="00900DED" w:rsidRDefault="00900DED">
      <w:pPr>
        <w:keepLines w:val="0"/>
      </w:pPr>
      <w:r>
        <w:rPr>
          <w:noProof/>
        </w:rPr>
        <w:drawing>
          <wp:inline distT="0" distB="0" distL="0" distR="0" wp14:anchorId="5152CF4D" wp14:editId="6E31FE04">
            <wp:extent cx="5900216" cy="8854452"/>
            <wp:effectExtent l="0" t="0" r="5715" b="3810"/>
            <wp:docPr id="149414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6229" t="3864" r="6229" b="3234"/>
                    <a:stretch>
                      <a:fillRect/>
                    </a:stretch>
                  </pic:blipFill>
                  <pic:spPr bwMode="auto">
                    <a:xfrm>
                      <a:off x="0" y="0"/>
                      <a:ext cx="5905409" cy="8862246"/>
                    </a:xfrm>
                    <a:prstGeom prst="rect">
                      <a:avLst/>
                    </a:prstGeom>
                    <a:noFill/>
                    <a:ln>
                      <a:noFill/>
                    </a:ln>
                    <a:extLst>
                      <a:ext uri="{53640926-AAD7-44D8-BBD7-CCE9431645EC}">
                        <a14:shadowObscured xmlns:a14="http://schemas.microsoft.com/office/drawing/2010/main"/>
                      </a:ext>
                    </a:extLst>
                  </pic:spPr>
                </pic:pic>
              </a:graphicData>
            </a:graphic>
          </wp:inline>
        </w:drawing>
      </w:r>
    </w:p>
    <w:p w14:paraId="114E5ED3" w14:textId="7E000AC3" w:rsidR="00985E07" w:rsidRDefault="00900DED">
      <w:pPr>
        <w:keepLines w:val="0"/>
      </w:pPr>
      <w:r>
        <w:rPr>
          <w:noProof/>
        </w:rPr>
        <w:lastRenderedPageBreak/>
        <w:drawing>
          <wp:inline distT="0" distB="0" distL="0" distR="0" wp14:anchorId="25AAA098" wp14:editId="6F50DEDA">
            <wp:extent cx="5980309" cy="8874281"/>
            <wp:effectExtent l="0" t="0" r="1905" b="3175"/>
            <wp:docPr id="150003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7213" t="5101" r="7213" b="5101"/>
                    <a:stretch>
                      <a:fillRect/>
                    </a:stretch>
                  </pic:blipFill>
                  <pic:spPr bwMode="auto">
                    <a:xfrm>
                      <a:off x="0" y="0"/>
                      <a:ext cx="5985594" cy="88821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E84C3E9" wp14:editId="72B8F82B">
            <wp:extent cx="5986780" cy="8909873"/>
            <wp:effectExtent l="0" t="0" r="0" b="5715"/>
            <wp:docPr id="1241765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a:fillRect/>
                    </a:stretch>
                  </pic:blipFill>
                  <pic:spPr bwMode="auto">
                    <a:xfrm>
                      <a:off x="0" y="0"/>
                      <a:ext cx="5989385" cy="89137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063B17A" wp14:editId="0FA61D26">
            <wp:extent cx="5978817" cy="8910394"/>
            <wp:effectExtent l="0" t="0" r="3175" b="5080"/>
            <wp:docPr id="1697294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a:fillRect/>
                    </a:stretch>
                  </pic:blipFill>
                  <pic:spPr bwMode="auto">
                    <a:xfrm>
                      <a:off x="0" y="0"/>
                      <a:ext cx="5981012" cy="89136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D7404C3" wp14:editId="5745B5A5">
            <wp:extent cx="6052029" cy="8950441"/>
            <wp:effectExtent l="0" t="0" r="6350" b="3175"/>
            <wp:docPr id="1279446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6994" t="5023" r="6994" b="5023"/>
                    <a:stretch>
                      <a:fillRect/>
                    </a:stretch>
                  </pic:blipFill>
                  <pic:spPr bwMode="auto">
                    <a:xfrm>
                      <a:off x="0" y="0"/>
                      <a:ext cx="6055220" cy="89551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7836950" wp14:editId="26AA642B">
            <wp:extent cx="6106687" cy="9023860"/>
            <wp:effectExtent l="0" t="0" r="8890" b="6350"/>
            <wp:docPr id="1645965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a:stretch>
                      <a:fillRect/>
                    </a:stretch>
                  </pic:blipFill>
                  <pic:spPr bwMode="auto">
                    <a:xfrm>
                      <a:off x="0" y="0"/>
                      <a:ext cx="6109613" cy="90281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22D4731" wp14:editId="346F234F">
            <wp:extent cx="6010690" cy="9003837"/>
            <wp:effectExtent l="0" t="0" r="9525" b="6985"/>
            <wp:docPr id="1326089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a:fillRect/>
                    </a:stretch>
                  </pic:blipFill>
                  <pic:spPr bwMode="auto">
                    <a:xfrm>
                      <a:off x="0" y="0"/>
                      <a:ext cx="6013408" cy="90079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C2DE51B" wp14:editId="7DE36B55">
            <wp:extent cx="5937885" cy="8896622"/>
            <wp:effectExtent l="0" t="0" r="5715" b="0"/>
            <wp:docPr id="1738030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7">
                      <a:extLst>
                        <a:ext uri="{28A0092B-C50C-407E-A947-70E740481C1C}">
                          <a14:useLocalDpi xmlns:a14="http://schemas.microsoft.com/office/drawing/2010/main" val="0"/>
                        </a:ext>
                      </a:extLst>
                    </a:blip>
                    <a:srcRect l="7431" t="4695" r="7431" b="5101"/>
                    <a:stretch>
                      <a:fillRect/>
                    </a:stretch>
                  </pic:blipFill>
                  <pic:spPr bwMode="auto">
                    <a:xfrm>
                      <a:off x="0" y="0"/>
                      <a:ext cx="5939939" cy="8899699"/>
                    </a:xfrm>
                    <a:prstGeom prst="rect">
                      <a:avLst/>
                    </a:prstGeom>
                    <a:noFill/>
                    <a:ln>
                      <a:noFill/>
                    </a:ln>
                    <a:extLst>
                      <a:ext uri="{53640926-AAD7-44D8-BBD7-CCE9431645EC}">
                        <a14:shadowObscured xmlns:a14="http://schemas.microsoft.com/office/drawing/2010/main"/>
                      </a:ext>
                    </a:extLst>
                  </pic:spPr>
                </pic:pic>
              </a:graphicData>
            </a:graphic>
          </wp:inline>
        </w:drawing>
      </w:r>
    </w:p>
    <w:p w14:paraId="7694DD6A" w14:textId="77777777" w:rsidR="004D42F9" w:rsidRDefault="004D42F9" w:rsidP="004D42F9"/>
    <w:p w14:paraId="177F3A72" w14:textId="77777777" w:rsidR="004D42F9" w:rsidRDefault="004D42F9" w:rsidP="004D42F9">
      <w:pPr>
        <w:pStyle w:val="Heading1"/>
        <w:pageBreakBefore/>
      </w:pPr>
      <w:bookmarkStart w:id="34" w:name="CertificationByTreasurerAndDtf"/>
      <w:bookmarkStart w:id="35" w:name="_Toc176189345"/>
      <w:bookmarkStart w:id="36" w:name="_Toc203394890"/>
      <w:r>
        <w:lastRenderedPageBreak/>
        <w:t>Certification by the Treasurer and the secretary of the Department of Treasury and Finance</w:t>
      </w:r>
      <w:bookmarkEnd w:id="34"/>
      <w:bookmarkEnd w:id="35"/>
      <w:bookmarkEnd w:id="36"/>
    </w:p>
    <w:p w14:paraId="06F1E289" w14:textId="77777777" w:rsidR="004D42F9" w:rsidRDefault="004D42F9" w:rsidP="004D42F9">
      <w:r>
        <w:t xml:space="preserve">The Department of Treasury and Finance has prepared the </w:t>
      </w:r>
      <w:r w:rsidRPr="00BB1F5A">
        <w:rPr>
          <w:i/>
        </w:rPr>
        <w:t>Annual Financial Report</w:t>
      </w:r>
      <w:r>
        <w:t xml:space="preserve"> through consolidating the financial information provided by the Victorian public sector reporting entities listed in Note 8.8.</w:t>
      </w:r>
    </w:p>
    <w:p w14:paraId="088C6150" w14:textId="77777777" w:rsidR="004D42F9" w:rsidRDefault="004D42F9" w:rsidP="004D42F9">
      <w:r>
        <w:t xml:space="preserve">In our opinion, the </w:t>
      </w:r>
      <w:r w:rsidRPr="00BB1F5A">
        <w:rPr>
          <w:i/>
        </w:rPr>
        <w:t>Annual Financial Report</w:t>
      </w:r>
      <w:r>
        <w:t>, which comprises the consolidated comprehensive operating statement, consolidated balance sheet, consolidated cash flow statement, consolidated statement of changes in equity, and notes to the financial statements of the State and the Victorian general government sector as at 30 June 2025:</w:t>
      </w:r>
    </w:p>
    <w:p w14:paraId="0C7DEEBE" w14:textId="6D637E76" w:rsidR="004D42F9" w:rsidRPr="00C31CF8" w:rsidRDefault="004D42F9" w:rsidP="004D42F9">
      <w:pPr>
        <w:ind w:left="340" w:hanging="340"/>
      </w:pPr>
      <w:r>
        <w:t>a)</w:t>
      </w:r>
      <w:r>
        <w:tab/>
      </w:r>
      <w:r w:rsidRPr="00C31CF8">
        <w:t>presents fairly the State</w:t>
      </w:r>
      <w:r w:rsidR="00845934">
        <w:t>’</w:t>
      </w:r>
      <w:r w:rsidRPr="00C31CF8">
        <w:t>s and the Victorian general government sector</w:t>
      </w:r>
      <w:r w:rsidR="00845934">
        <w:t>’</w:t>
      </w:r>
      <w:r w:rsidRPr="00C31CF8">
        <w:t xml:space="preserve">s financial positions as at 30 June </w:t>
      </w:r>
      <w:r>
        <w:t>2025</w:t>
      </w:r>
      <w:r w:rsidRPr="00C31CF8">
        <w:t xml:space="preserve"> and their financial performance and cash flows for the financial year ended on that date</w:t>
      </w:r>
    </w:p>
    <w:p w14:paraId="563C96BC" w14:textId="77777777" w:rsidR="004D42F9" w:rsidRPr="00C31CF8" w:rsidRDefault="004D42F9" w:rsidP="004D42F9">
      <w:pPr>
        <w:ind w:left="340" w:hanging="340"/>
      </w:pPr>
      <w:r>
        <w:t>b)</w:t>
      </w:r>
      <w:r>
        <w:tab/>
      </w:r>
      <w:r w:rsidRPr="00C31CF8">
        <w:t xml:space="preserve">has been prepared in accordance with Australian Accounting Standards and pronouncements, in particular AASB 1049 </w:t>
      </w:r>
      <w:r w:rsidRPr="005B6670">
        <w:rPr>
          <w:i/>
        </w:rPr>
        <w:t>Whole of Government and General Government Sector Financial Reporting</w:t>
      </w:r>
      <w:r w:rsidRPr="00C31CF8">
        <w:t xml:space="preserve"> and the financial reporting requirements contained in Part 5 of the </w:t>
      </w:r>
      <w:r w:rsidRPr="005B6670">
        <w:rPr>
          <w:i/>
        </w:rPr>
        <w:t>Financial Management Act 1994</w:t>
      </w:r>
      <w:r w:rsidRPr="00C31CF8">
        <w:t>.</w:t>
      </w:r>
    </w:p>
    <w:p w14:paraId="6D6F8E79" w14:textId="77777777" w:rsidR="004D42F9" w:rsidRDefault="004D42F9" w:rsidP="004D42F9">
      <w:r>
        <w:t xml:space="preserve">At the time of signing, we are not aware of any circumstances which would render any particulars included in the </w:t>
      </w:r>
      <w:r w:rsidRPr="00BB1F5A">
        <w:rPr>
          <w:i/>
        </w:rPr>
        <w:t>Annual Financial Report</w:t>
      </w:r>
      <w:r>
        <w:t xml:space="preserve"> to be misleading or inaccurate.</w:t>
      </w:r>
    </w:p>
    <w:p w14:paraId="6BB9B28A" w14:textId="77777777" w:rsidR="004D42F9" w:rsidRDefault="004D42F9" w:rsidP="004D42F9"/>
    <w:p w14:paraId="4E033844" w14:textId="77777777" w:rsidR="004D42F9" w:rsidRDefault="004D42F9" w:rsidP="004D42F9"/>
    <w:p w14:paraId="6C926457" w14:textId="77777777" w:rsidR="004D42F9" w:rsidRDefault="004D42F9" w:rsidP="004D42F9"/>
    <w:p w14:paraId="47203D10" w14:textId="77777777" w:rsidR="004D42F9" w:rsidRDefault="004D42F9" w:rsidP="004D42F9"/>
    <w:p w14:paraId="3AD37889" w14:textId="77777777" w:rsidR="004D42F9" w:rsidRDefault="004D42F9" w:rsidP="004D42F9"/>
    <w:p w14:paraId="5DC404EC" w14:textId="552BABDB" w:rsidR="004D42F9" w:rsidRDefault="003B2BF5" w:rsidP="004D42F9">
      <w:r>
        <w:rPr>
          <w:noProof/>
        </w:rPr>
        <w:drawing>
          <wp:inline distT="0" distB="0" distL="0" distR="0" wp14:anchorId="545DE56B" wp14:editId="7974A82B">
            <wp:extent cx="5098928" cy="940545"/>
            <wp:effectExtent l="0" t="0" r="6985" b="0"/>
            <wp:docPr id="200768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87265" name="Picture 2007687265"/>
                    <pic:cNvPicPr/>
                  </pic:nvPicPr>
                  <pic:blipFill rotWithShape="1">
                    <a:blip r:embed="rId48"/>
                    <a:srcRect l="2099" t="6317" b="31221"/>
                    <a:stretch>
                      <a:fillRect/>
                    </a:stretch>
                  </pic:blipFill>
                  <pic:spPr bwMode="auto">
                    <a:xfrm>
                      <a:off x="0" y="0"/>
                      <a:ext cx="5135759" cy="947339"/>
                    </a:xfrm>
                    <a:prstGeom prst="rect">
                      <a:avLst/>
                    </a:prstGeom>
                    <a:ln>
                      <a:noFill/>
                    </a:ln>
                    <a:extLst>
                      <a:ext uri="{53640926-AAD7-44D8-BBD7-CCE9431645EC}">
                        <a14:shadowObscured xmlns:a14="http://schemas.microsoft.com/office/drawing/2010/main"/>
                      </a:ext>
                    </a:extLst>
                  </pic:spPr>
                </pic:pic>
              </a:graphicData>
            </a:graphic>
          </wp:inline>
        </w:drawing>
      </w:r>
    </w:p>
    <w:p w14:paraId="76E829D8" w14:textId="77777777" w:rsidR="004D42F9" w:rsidRPr="00DB430B" w:rsidRDefault="004D42F9" w:rsidP="003B2BF5">
      <w:pPr>
        <w:tabs>
          <w:tab w:val="left" w:pos="5670"/>
        </w:tabs>
        <w:spacing w:before="0"/>
      </w:pPr>
      <w:r w:rsidRPr="00DB430B">
        <w:t>Jaclyn Symes MP</w:t>
      </w:r>
      <w:r w:rsidRPr="00DB430B">
        <w:tab/>
        <w:t>Chris Barrett</w:t>
      </w:r>
    </w:p>
    <w:p w14:paraId="439A4A44" w14:textId="77777777" w:rsidR="004D42F9" w:rsidRPr="00C83669" w:rsidRDefault="004D42F9" w:rsidP="00F35ABA">
      <w:pPr>
        <w:tabs>
          <w:tab w:val="left" w:pos="5670"/>
        </w:tabs>
        <w:spacing w:before="60"/>
        <w:rPr>
          <w:b/>
          <w:bCs/>
        </w:rPr>
      </w:pPr>
      <w:r>
        <w:rPr>
          <w:b/>
          <w:bCs/>
        </w:rPr>
        <w:t>Treasurer</w:t>
      </w:r>
      <w:r>
        <w:rPr>
          <w:b/>
          <w:bCs/>
        </w:rPr>
        <w:tab/>
        <w:t>Secretary</w:t>
      </w:r>
    </w:p>
    <w:p w14:paraId="111FE3DB" w14:textId="77777777" w:rsidR="004D42F9" w:rsidRDefault="004D42F9" w:rsidP="004D42F9"/>
    <w:p w14:paraId="0F74F12C" w14:textId="77777777" w:rsidR="004D42F9" w:rsidRDefault="004D42F9" w:rsidP="004D42F9">
      <w:r>
        <w:t>Authorised for issue on:</w:t>
      </w:r>
    </w:p>
    <w:p w14:paraId="1454E9B2" w14:textId="3F857EB2" w:rsidR="004D42F9" w:rsidRDefault="00116BB5" w:rsidP="004D42F9">
      <w:r w:rsidRPr="00116BB5">
        <w:t>8</w:t>
      </w:r>
      <w:r w:rsidR="004D42F9" w:rsidRPr="00116BB5">
        <w:t xml:space="preserve"> October 2025</w:t>
      </w:r>
    </w:p>
    <w:p w14:paraId="18961ACC" w14:textId="77777777" w:rsidR="004D42F9" w:rsidRDefault="004D42F9" w:rsidP="004D42F9"/>
    <w:p w14:paraId="518EC260" w14:textId="77777777" w:rsidR="004D42F9" w:rsidRDefault="004D42F9" w:rsidP="004D42F9">
      <w:pPr>
        <w:sectPr w:rsidR="004D42F9" w:rsidSect="004D42F9">
          <w:footerReference w:type="even" r:id="rId49"/>
          <w:footerReference w:type="default" r:id="rId50"/>
          <w:pgSz w:w="11906" w:h="16838" w:code="9"/>
          <w:pgMar w:top="1138" w:right="1138" w:bottom="1138" w:left="1138" w:header="619" w:footer="562" w:gutter="0"/>
          <w:cols w:space="708"/>
          <w:docGrid w:linePitch="360"/>
        </w:sectPr>
      </w:pPr>
    </w:p>
    <w:p w14:paraId="6CC3B48A" w14:textId="77777777" w:rsidR="004D42F9" w:rsidRDefault="004D42F9" w:rsidP="004D42F9">
      <w:pPr>
        <w:pStyle w:val="Heading1"/>
        <w:pageBreakBefore/>
        <w:spacing w:before="0"/>
      </w:pPr>
      <w:bookmarkStart w:id="37" w:name="ConsolidatedOS"/>
      <w:bookmarkStart w:id="38" w:name="_Toc176189346"/>
      <w:bookmarkStart w:id="39" w:name="_Toc203394891"/>
      <w:r>
        <w:lastRenderedPageBreak/>
        <w:t>Consolidated comprehensive operating statement</w:t>
      </w:r>
      <w:bookmarkEnd w:id="37"/>
      <w:bookmarkEnd w:id="38"/>
      <w:bookmarkEnd w:id="39"/>
    </w:p>
    <w:p w14:paraId="2AF1FFE8" w14:textId="77777777" w:rsidR="004D42F9" w:rsidRDefault="004D42F9" w:rsidP="004D42F9">
      <w:pPr>
        <w:pStyle w:val="TableHeading"/>
      </w:pPr>
      <w:r>
        <w:t xml:space="preserve">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Consolidated_OS|TableGroup:Investment in other sectors"/>
      </w:tblPr>
      <w:tblGrid>
        <w:gridCol w:w="5245"/>
        <w:gridCol w:w="765"/>
        <w:gridCol w:w="907"/>
        <w:gridCol w:w="907"/>
        <w:gridCol w:w="907"/>
        <w:gridCol w:w="907"/>
      </w:tblGrid>
      <w:tr w:rsidR="005E614D" w14:paraId="44394D30"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5EDC0AD2" w14:textId="77777777" w:rsidR="005E614D" w:rsidRDefault="005E614D">
            <w:pPr>
              <w:keepNext/>
            </w:pPr>
          </w:p>
        </w:tc>
        <w:tc>
          <w:tcPr>
            <w:tcW w:w="765" w:type="dxa"/>
            <w:tcBorders>
              <w:bottom w:val="single" w:sz="6" w:space="0" w:color="auto"/>
            </w:tcBorders>
          </w:tcPr>
          <w:p w14:paraId="3A97F5ED" w14:textId="77777777" w:rsidR="005E614D" w:rsidRDefault="005E614D">
            <w:pPr>
              <w:keepNext/>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Borders>
              <w:bottom w:val="single" w:sz="6" w:space="0" w:color="auto"/>
            </w:tcBorders>
          </w:tcPr>
          <w:p w14:paraId="72C2648E"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Borders>
              <w:bottom w:val="single" w:sz="6" w:space="0" w:color="auto"/>
            </w:tcBorders>
          </w:tcPr>
          <w:p w14:paraId="26988529" w14:textId="642A3A1B"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A4691">
              <w:br/>
            </w:r>
            <w:r>
              <w:t>government sector</w:t>
            </w:r>
          </w:p>
        </w:tc>
      </w:tr>
      <w:tr w:rsidR="005E614D" w14:paraId="2429C485"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6552F55D" w14:textId="77777777" w:rsidR="005E614D" w:rsidRDefault="005E614D">
            <w:pPr>
              <w:keepNext/>
            </w:pPr>
          </w:p>
        </w:tc>
        <w:tc>
          <w:tcPr>
            <w:tcW w:w="765" w:type="dxa"/>
            <w:tcBorders>
              <w:top w:val="single" w:sz="6" w:space="0" w:color="auto"/>
              <w:bottom w:val="single" w:sz="6" w:space="0" w:color="auto"/>
            </w:tcBorders>
          </w:tcPr>
          <w:p w14:paraId="3A9BE334"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Borders>
              <w:top w:val="single" w:sz="6" w:space="0" w:color="auto"/>
              <w:bottom w:val="single" w:sz="6" w:space="0" w:color="auto"/>
            </w:tcBorders>
          </w:tcPr>
          <w:p w14:paraId="0968036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Borders>
              <w:top w:val="single" w:sz="6" w:space="0" w:color="auto"/>
              <w:bottom w:val="single" w:sz="6" w:space="0" w:color="auto"/>
            </w:tcBorders>
          </w:tcPr>
          <w:p w14:paraId="765670A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Borders>
              <w:top w:val="single" w:sz="6" w:space="0" w:color="auto"/>
              <w:bottom w:val="single" w:sz="6" w:space="0" w:color="auto"/>
            </w:tcBorders>
          </w:tcPr>
          <w:p w14:paraId="6D2BF33B"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Borders>
              <w:top w:val="single" w:sz="6" w:space="0" w:color="auto"/>
              <w:bottom w:val="single" w:sz="6" w:space="0" w:color="auto"/>
            </w:tcBorders>
          </w:tcPr>
          <w:p w14:paraId="4A1F0C5A"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r>
      <w:tr w:rsidR="005E614D" w14:paraId="4A470E8F"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7164E467" w14:textId="77777777" w:rsidR="005E614D" w:rsidRDefault="000C3A94">
            <w:r>
              <w:rPr>
                <w:b/>
              </w:rPr>
              <w:t>Revenue and income from transactions</w:t>
            </w:r>
          </w:p>
        </w:tc>
        <w:tc>
          <w:tcPr>
            <w:tcW w:w="765" w:type="dxa"/>
            <w:tcBorders>
              <w:top w:val="single" w:sz="6" w:space="0" w:color="auto"/>
            </w:tcBorders>
          </w:tcPr>
          <w:p w14:paraId="469B253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8EEF10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1A0F7F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755FD4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8E23CE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53802FE" w14:textId="77777777">
        <w:tc>
          <w:tcPr>
            <w:cnfStyle w:val="001000000000" w:firstRow="0" w:lastRow="0" w:firstColumn="1" w:lastColumn="0" w:oddVBand="0" w:evenVBand="0" w:oddHBand="0" w:evenHBand="0" w:firstRowFirstColumn="0" w:firstRowLastColumn="0" w:lastRowFirstColumn="0" w:lastRowLastColumn="0"/>
            <w:tcW w:w="5245" w:type="dxa"/>
          </w:tcPr>
          <w:p w14:paraId="230656F9" w14:textId="77777777" w:rsidR="005E614D" w:rsidRDefault="000C3A94">
            <w:r>
              <w:t>Taxation</w:t>
            </w:r>
          </w:p>
        </w:tc>
        <w:tc>
          <w:tcPr>
            <w:tcW w:w="765" w:type="dxa"/>
          </w:tcPr>
          <w:p w14:paraId="45434BD3"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41C0AE6D" w14:textId="77777777" w:rsidR="005E614D" w:rsidRDefault="000C3A94">
            <w:pPr>
              <w:cnfStyle w:val="000000000000" w:firstRow="0" w:lastRow="0" w:firstColumn="0" w:lastColumn="0" w:oddVBand="0" w:evenVBand="0" w:oddHBand="0" w:evenHBand="0" w:firstRowFirstColumn="0" w:firstRowLastColumn="0" w:lastRowFirstColumn="0" w:lastRowLastColumn="0"/>
            </w:pPr>
            <w:r>
              <w:t>38 356</w:t>
            </w:r>
          </w:p>
        </w:tc>
        <w:tc>
          <w:tcPr>
            <w:tcW w:w="907" w:type="dxa"/>
          </w:tcPr>
          <w:p w14:paraId="17F05E19" w14:textId="77777777" w:rsidR="005E614D" w:rsidRDefault="000C3A94">
            <w:pPr>
              <w:cnfStyle w:val="000000000000" w:firstRow="0" w:lastRow="0" w:firstColumn="0" w:lastColumn="0" w:oddVBand="0" w:evenVBand="0" w:oddHBand="0" w:evenHBand="0" w:firstRowFirstColumn="0" w:firstRowLastColumn="0" w:lastRowFirstColumn="0" w:lastRowLastColumn="0"/>
            </w:pPr>
            <w:r>
              <w:t>36 324</w:t>
            </w:r>
          </w:p>
        </w:tc>
        <w:tc>
          <w:tcPr>
            <w:tcW w:w="907" w:type="dxa"/>
          </w:tcPr>
          <w:p w14:paraId="7B569808" w14:textId="77777777" w:rsidR="005E614D" w:rsidRDefault="000C3A94">
            <w:pPr>
              <w:cnfStyle w:val="000000000000" w:firstRow="0" w:lastRow="0" w:firstColumn="0" w:lastColumn="0" w:oddVBand="0" w:evenVBand="0" w:oddHBand="0" w:evenHBand="0" w:firstRowFirstColumn="0" w:firstRowLastColumn="0" w:lastRowFirstColumn="0" w:lastRowLastColumn="0"/>
            </w:pPr>
            <w:r>
              <w:t>38 942</w:t>
            </w:r>
          </w:p>
        </w:tc>
        <w:tc>
          <w:tcPr>
            <w:tcW w:w="907" w:type="dxa"/>
          </w:tcPr>
          <w:p w14:paraId="44135887" w14:textId="77777777" w:rsidR="005E614D" w:rsidRDefault="000C3A94">
            <w:pPr>
              <w:cnfStyle w:val="000000000000" w:firstRow="0" w:lastRow="0" w:firstColumn="0" w:lastColumn="0" w:oddVBand="0" w:evenVBand="0" w:oddHBand="0" w:evenHBand="0" w:firstRowFirstColumn="0" w:firstRowLastColumn="0" w:lastRowFirstColumn="0" w:lastRowLastColumn="0"/>
            </w:pPr>
            <w:r>
              <w:t>36 876</w:t>
            </w:r>
          </w:p>
        </w:tc>
      </w:tr>
      <w:tr w:rsidR="005E614D" w14:paraId="72738FD5" w14:textId="77777777">
        <w:tc>
          <w:tcPr>
            <w:cnfStyle w:val="001000000000" w:firstRow="0" w:lastRow="0" w:firstColumn="1" w:lastColumn="0" w:oddVBand="0" w:evenVBand="0" w:oddHBand="0" w:evenHBand="0" w:firstRowFirstColumn="0" w:firstRowLastColumn="0" w:lastRowFirstColumn="0" w:lastRowLastColumn="0"/>
            <w:tcW w:w="5245" w:type="dxa"/>
          </w:tcPr>
          <w:p w14:paraId="40D79CD8" w14:textId="77777777" w:rsidR="005E614D" w:rsidRDefault="000C3A94">
            <w:r>
              <w:t>Interest income</w:t>
            </w:r>
          </w:p>
        </w:tc>
        <w:tc>
          <w:tcPr>
            <w:tcW w:w="765" w:type="dxa"/>
          </w:tcPr>
          <w:p w14:paraId="2AA8EAC1"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2D42B140" w14:textId="77777777" w:rsidR="005E614D" w:rsidRDefault="000C3A94">
            <w:pPr>
              <w:cnfStyle w:val="000000000000" w:firstRow="0" w:lastRow="0" w:firstColumn="0" w:lastColumn="0" w:oddVBand="0" w:evenVBand="0" w:oddHBand="0" w:evenHBand="0" w:firstRowFirstColumn="0" w:firstRowLastColumn="0" w:lastRowFirstColumn="0" w:lastRowLastColumn="0"/>
            </w:pPr>
            <w:r>
              <w:t>2 002</w:t>
            </w:r>
          </w:p>
        </w:tc>
        <w:tc>
          <w:tcPr>
            <w:tcW w:w="907" w:type="dxa"/>
          </w:tcPr>
          <w:p w14:paraId="7296B47F" w14:textId="77777777" w:rsidR="005E614D" w:rsidRDefault="000C3A94">
            <w:pPr>
              <w:cnfStyle w:val="000000000000" w:firstRow="0" w:lastRow="0" w:firstColumn="0" w:lastColumn="0" w:oddVBand="0" w:evenVBand="0" w:oddHBand="0" w:evenHBand="0" w:firstRowFirstColumn="0" w:firstRowLastColumn="0" w:lastRowFirstColumn="0" w:lastRowLastColumn="0"/>
            </w:pPr>
            <w:r>
              <w:t>2 157</w:t>
            </w:r>
          </w:p>
        </w:tc>
        <w:tc>
          <w:tcPr>
            <w:tcW w:w="907" w:type="dxa"/>
          </w:tcPr>
          <w:p w14:paraId="1A975A95" w14:textId="77777777" w:rsidR="005E614D" w:rsidRDefault="000C3A94">
            <w:pPr>
              <w:cnfStyle w:val="000000000000" w:firstRow="0" w:lastRow="0" w:firstColumn="0" w:lastColumn="0" w:oddVBand="0" w:evenVBand="0" w:oddHBand="0" w:evenHBand="0" w:firstRowFirstColumn="0" w:firstRowLastColumn="0" w:lastRowFirstColumn="0" w:lastRowLastColumn="0"/>
            </w:pPr>
            <w:r>
              <w:t>1 546</w:t>
            </w:r>
          </w:p>
        </w:tc>
        <w:tc>
          <w:tcPr>
            <w:tcW w:w="907" w:type="dxa"/>
          </w:tcPr>
          <w:p w14:paraId="3B7AD614" w14:textId="77777777" w:rsidR="005E614D" w:rsidRDefault="000C3A94">
            <w:pPr>
              <w:cnfStyle w:val="000000000000" w:firstRow="0" w:lastRow="0" w:firstColumn="0" w:lastColumn="0" w:oddVBand="0" w:evenVBand="0" w:oddHBand="0" w:evenHBand="0" w:firstRowFirstColumn="0" w:firstRowLastColumn="0" w:lastRowFirstColumn="0" w:lastRowLastColumn="0"/>
            </w:pPr>
            <w:r>
              <w:t>1 761</w:t>
            </w:r>
          </w:p>
        </w:tc>
      </w:tr>
      <w:tr w:rsidR="005E614D" w14:paraId="0F4BEEC0" w14:textId="77777777">
        <w:tc>
          <w:tcPr>
            <w:cnfStyle w:val="001000000000" w:firstRow="0" w:lastRow="0" w:firstColumn="1" w:lastColumn="0" w:oddVBand="0" w:evenVBand="0" w:oddHBand="0" w:evenHBand="0" w:firstRowFirstColumn="0" w:firstRowLastColumn="0" w:lastRowFirstColumn="0" w:lastRowLastColumn="0"/>
            <w:tcW w:w="5245" w:type="dxa"/>
          </w:tcPr>
          <w:p w14:paraId="5661E506" w14:textId="77777777" w:rsidR="005E614D" w:rsidRDefault="000C3A94">
            <w:r>
              <w:t>Dividends and income tax equivalent income</w:t>
            </w:r>
          </w:p>
        </w:tc>
        <w:tc>
          <w:tcPr>
            <w:tcW w:w="765" w:type="dxa"/>
          </w:tcPr>
          <w:p w14:paraId="049C00C2"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6FD5C354" w14:textId="77777777" w:rsidR="005E614D" w:rsidRDefault="000C3A94">
            <w:pPr>
              <w:cnfStyle w:val="000000000000" w:firstRow="0" w:lastRow="0" w:firstColumn="0" w:lastColumn="0" w:oddVBand="0" w:evenVBand="0" w:oddHBand="0" w:evenHBand="0" w:firstRowFirstColumn="0" w:firstRowLastColumn="0" w:lastRowFirstColumn="0" w:lastRowLastColumn="0"/>
            </w:pPr>
            <w:r>
              <w:t>3 947</w:t>
            </w:r>
          </w:p>
        </w:tc>
        <w:tc>
          <w:tcPr>
            <w:tcW w:w="907" w:type="dxa"/>
          </w:tcPr>
          <w:p w14:paraId="76B357D6" w14:textId="77777777" w:rsidR="005E614D" w:rsidRDefault="000C3A94">
            <w:pPr>
              <w:cnfStyle w:val="000000000000" w:firstRow="0" w:lastRow="0" w:firstColumn="0" w:lastColumn="0" w:oddVBand="0" w:evenVBand="0" w:oddHBand="0" w:evenHBand="0" w:firstRowFirstColumn="0" w:firstRowLastColumn="0" w:lastRowFirstColumn="0" w:lastRowLastColumn="0"/>
            </w:pPr>
            <w:r>
              <w:t>2 485</w:t>
            </w:r>
          </w:p>
        </w:tc>
        <w:tc>
          <w:tcPr>
            <w:tcW w:w="907" w:type="dxa"/>
          </w:tcPr>
          <w:p w14:paraId="593DA35A" w14:textId="77777777" w:rsidR="005E614D" w:rsidRDefault="000C3A94">
            <w:pPr>
              <w:cnfStyle w:val="000000000000" w:firstRow="0" w:lastRow="0" w:firstColumn="0" w:lastColumn="0" w:oddVBand="0" w:evenVBand="0" w:oddHBand="0" w:evenHBand="0" w:firstRowFirstColumn="0" w:firstRowLastColumn="0" w:lastRowFirstColumn="0" w:lastRowLastColumn="0"/>
            </w:pPr>
            <w:r>
              <w:t>2 284</w:t>
            </w:r>
          </w:p>
        </w:tc>
        <w:tc>
          <w:tcPr>
            <w:tcW w:w="907" w:type="dxa"/>
          </w:tcPr>
          <w:p w14:paraId="2CB0A237" w14:textId="77777777" w:rsidR="005E614D" w:rsidRDefault="000C3A94">
            <w:pPr>
              <w:cnfStyle w:val="000000000000" w:firstRow="0" w:lastRow="0" w:firstColumn="0" w:lastColumn="0" w:oddVBand="0" w:evenVBand="0" w:oddHBand="0" w:evenHBand="0" w:firstRowFirstColumn="0" w:firstRowLastColumn="0" w:lastRowFirstColumn="0" w:lastRowLastColumn="0"/>
            </w:pPr>
            <w:r>
              <w:t>2 199</w:t>
            </w:r>
          </w:p>
        </w:tc>
      </w:tr>
      <w:tr w:rsidR="005E614D" w14:paraId="104AFFA9" w14:textId="77777777">
        <w:tc>
          <w:tcPr>
            <w:cnfStyle w:val="001000000000" w:firstRow="0" w:lastRow="0" w:firstColumn="1" w:lastColumn="0" w:oddVBand="0" w:evenVBand="0" w:oddHBand="0" w:evenHBand="0" w:firstRowFirstColumn="0" w:firstRowLastColumn="0" w:lastRowFirstColumn="0" w:lastRowLastColumn="0"/>
            <w:tcW w:w="5245" w:type="dxa"/>
          </w:tcPr>
          <w:p w14:paraId="6F12FC43" w14:textId="77777777" w:rsidR="005E614D" w:rsidRDefault="000C3A94">
            <w:r>
              <w:t>Sales of goods and services</w:t>
            </w:r>
          </w:p>
        </w:tc>
        <w:tc>
          <w:tcPr>
            <w:tcW w:w="765" w:type="dxa"/>
          </w:tcPr>
          <w:p w14:paraId="46647F3D"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18722C64" w14:textId="77777777" w:rsidR="005E614D" w:rsidRDefault="000C3A94">
            <w:pPr>
              <w:cnfStyle w:val="000000000000" w:firstRow="0" w:lastRow="0" w:firstColumn="0" w:lastColumn="0" w:oddVBand="0" w:evenVBand="0" w:oddHBand="0" w:evenHBand="0" w:firstRowFirstColumn="0" w:firstRowLastColumn="0" w:lastRowFirstColumn="0" w:lastRowLastColumn="0"/>
            </w:pPr>
            <w:r>
              <w:t>21 009</w:t>
            </w:r>
          </w:p>
        </w:tc>
        <w:tc>
          <w:tcPr>
            <w:tcW w:w="907" w:type="dxa"/>
          </w:tcPr>
          <w:p w14:paraId="6F1DBB03" w14:textId="77777777" w:rsidR="005E614D" w:rsidRDefault="000C3A94">
            <w:pPr>
              <w:cnfStyle w:val="000000000000" w:firstRow="0" w:lastRow="0" w:firstColumn="0" w:lastColumn="0" w:oddVBand="0" w:evenVBand="0" w:oddHBand="0" w:evenHBand="0" w:firstRowFirstColumn="0" w:firstRowLastColumn="0" w:lastRowFirstColumn="0" w:lastRowLastColumn="0"/>
            </w:pPr>
            <w:r>
              <w:t>19 885</w:t>
            </w:r>
          </w:p>
        </w:tc>
        <w:tc>
          <w:tcPr>
            <w:tcW w:w="907" w:type="dxa"/>
          </w:tcPr>
          <w:p w14:paraId="629C5541" w14:textId="77777777" w:rsidR="005E614D" w:rsidRDefault="000C3A94">
            <w:pPr>
              <w:cnfStyle w:val="000000000000" w:firstRow="0" w:lastRow="0" w:firstColumn="0" w:lastColumn="0" w:oddVBand="0" w:evenVBand="0" w:oddHBand="0" w:evenHBand="0" w:firstRowFirstColumn="0" w:firstRowLastColumn="0" w:lastRowFirstColumn="0" w:lastRowLastColumn="0"/>
            </w:pPr>
            <w:r>
              <w:t>6 893</w:t>
            </w:r>
          </w:p>
        </w:tc>
        <w:tc>
          <w:tcPr>
            <w:tcW w:w="907" w:type="dxa"/>
          </w:tcPr>
          <w:p w14:paraId="227F7F7F" w14:textId="77777777" w:rsidR="005E614D" w:rsidRDefault="000C3A94">
            <w:pPr>
              <w:cnfStyle w:val="000000000000" w:firstRow="0" w:lastRow="0" w:firstColumn="0" w:lastColumn="0" w:oddVBand="0" w:evenVBand="0" w:oddHBand="0" w:evenHBand="0" w:firstRowFirstColumn="0" w:firstRowLastColumn="0" w:lastRowFirstColumn="0" w:lastRowLastColumn="0"/>
            </w:pPr>
            <w:r>
              <w:t>6 212</w:t>
            </w:r>
          </w:p>
        </w:tc>
      </w:tr>
      <w:tr w:rsidR="005E614D" w14:paraId="0C47C660" w14:textId="77777777">
        <w:tc>
          <w:tcPr>
            <w:cnfStyle w:val="001000000000" w:firstRow="0" w:lastRow="0" w:firstColumn="1" w:lastColumn="0" w:oddVBand="0" w:evenVBand="0" w:oddHBand="0" w:evenHBand="0" w:firstRowFirstColumn="0" w:firstRowLastColumn="0" w:lastRowFirstColumn="0" w:lastRowLastColumn="0"/>
            <w:tcW w:w="5245" w:type="dxa"/>
          </w:tcPr>
          <w:p w14:paraId="283EA5AD" w14:textId="77777777" w:rsidR="005E614D" w:rsidRDefault="000C3A94">
            <w:r>
              <w:t>Grants</w:t>
            </w:r>
          </w:p>
        </w:tc>
        <w:tc>
          <w:tcPr>
            <w:tcW w:w="765" w:type="dxa"/>
          </w:tcPr>
          <w:p w14:paraId="0666A8EE"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2B6B6617" w14:textId="77777777" w:rsidR="005E614D" w:rsidRDefault="000C3A94">
            <w:pPr>
              <w:cnfStyle w:val="000000000000" w:firstRow="0" w:lastRow="0" w:firstColumn="0" w:lastColumn="0" w:oddVBand="0" w:evenVBand="0" w:oddHBand="0" w:evenHBand="0" w:firstRowFirstColumn="0" w:firstRowLastColumn="0" w:lastRowFirstColumn="0" w:lastRowLastColumn="0"/>
            </w:pPr>
            <w:r>
              <w:t>47 191</w:t>
            </w:r>
          </w:p>
        </w:tc>
        <w:tc>
          <w:tcPr>
            <w:tcW w:w="907" w:type="dxa"/>
          </w:tcPr>
          <w:p w14:paraId="5238399A" w14:textId="77777777" w:rsidR="005E614D" w:rsidRDefault="000C3A94">
            <w:pPr>
              <w:cnfStyle w:val="000000000000" w:firstRow="0" w:lastRow="0" w:firstColumn="0" w:lastColumn="0" w:oddVBand="0" w:evenVBand="0" w:oddHBand="0" w:evenHBand="0" w:firstRowFirstColumn="0" w:firstRowLastColumn="0" w:lastRowFirstColumn="0" w:lastRowLastColumn="0"/>
            </w:pPr>
            <w:r>
              <w:t>41 686</w:t>
            </w:r>
          </w:p>
        </w:tc>
        <w:tc>
          <w:tcPr>
            <w:tcW w:w="907" w:type="dxa"/>
          </w:tcPr>
          <w:p w14:paraId="52069A18" w14:textId="77777777" w:rsidR="005E614D" w:rsidRDefault="000C3A94">
            <w:pPr>
              <w:cnfStyle w:val="000000000000" w:firstRow="0" w:lastRow="0" w:firstColumn="0" w:lastColumn="0" w:oddVBand="0" w:evenVBand="0" w:oddHBand="0" w:evenHBand="0" w:firstRowFirstColumn="0" w:firstRowLastColumn="0" w:lastRowFirstColumn="0" w:lastRowLastColumn="0"/>
            </w:pPr>
            <w:r>
              <w:t>47 304</w:t>
            </w:r>
          </w:p>
        </w:tc>
        <w:tc>
          <w:tcPr>
            <w:tcW w:w="907" w:type="dxa"/>
          </w:tcPr>
          <w:p w14:paraId="625259B1" w14:textId="77777777" w:rsidR="005E614D" w:rsidRDefault="000C3A94">
            <w:pPr>
              <w:cnfStyle w:val="000000000000" w:firstRow="0" w:lastRow="0" w:firstColumn="0" w:lastColumn="0" w:oddVBand="0" w:evenVBand="0" w:oddHBand="0" w:evenHBand="0" w:firstRowFirstColumn="0" w:firstRowLastColumn="0" w:lastRowFirstColumn="0" w:lastRowLastColumn="0"/>
            </w:pPr>
            <w:r>
              <w:t>41 797</w:t>
            </w:r>
          </w:p>
        </w:tc>
      </w:tr>
      <w:tr w:rsidR="005E614D" w14:paraId="42CD81AC"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38921A01" w14:textId="77777777" w:rsidR="005E614D" w:rsidRDefault="000C3A94">
            <w:r>
              <w:t>Other revenue and income</w:t>
            </w:r>
          </w:p>
        </w:tc>
        <w:tc>
          <w:tcPr>
            <w:tcW w:w="765" w:type="dxa"/>
            <w:tcBorders>
              <w:bottom w:val="single" w:sz="6" w:space="0" w:color="auto"/>
            </w:tcBorders>
          </w:tcPr>
          <w:p w14:paraId="57FC7CFE"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0C53F3F1" w14:textId="77777777" w:rsidR="005E614D" w:rsidRDefault="000C3A94">
            <w:pPr>
              <w:cnfStyle w:val="000000000000" w:firstRow="0" w:lastRow="0" w:firstColumn="0" w:lastColumn="0" w:oddVBand="0" w:evenVBand="0" w:oddHBand="0" w:evenHBand="0" w:firstRowFirstColumn="0" w:firstRowLastColumn="0" w:lastRowFirstColumn="0" w:lastRowLastColumn="0"/>
            </w:pPr>
            <w:r>
              <w:t>5 287</w:t>
            </w:r>
          </w:p>
        </w:tc>
        <w:tc>
          <w:tcPr>
            <w:tcW w:w="907" w:type="dxa"/>
            <w:tcBorders>
              <w:bottom w:val="single" w:sz="6" w:space="0" w:color="auto"/>
            </w:tcBorders>
          </w:tcPr>
          <w:p w14:paraId="0BC22BF6" w14:textId="77777777" w:rsidR="005E614D" w:rsidRDefault="000C3A94">
            <w:pPr>
              <w:cnfStyle w:val="000000000000" w:firstRow="0" w:lastRow="0" w:firstColumn="0" w:lastColumn="0" w:oddVBand="0" w:evenVBand="0" w:oddHBand="0" w:evenHBand="0" w:firstRowFirstColumn="0" w:firstRowLastColumn="0" w:lastRowFirstColumn="0" w:lastRowLastColumn="0"/>
            </w:pPr>
            <w:r>
              <w:t>5 068</w:t>
            </w:r>
          </w:p>
        </w:tc>
        <w:tc>
          <w:tcPr>
            <w:tcW w:w="907" w:type="dxa"/>
            <w:tcBorders>
              <w:bottom w:val="single" w:sz="6" w:space="0" w:color="auto"/>
            </w:tcBorders>
          </w:tcPr>
          <w:p w14:paraId="331D33D1" w14:textId="77777777" w:rsidR="005E614D" w:rsidRDefault="000C3A94">
            <w:pPr>
              <w:cnfStyle w:val="000000000000" w:firstRow="0" w:lastRow="0" w:firstColumn="0" w:lastColumn="0" w:oddVBand="0" w:evenVBand="0" w:oddHBand="0" w:evenHBand="0" w:firstRowFirstColumn="0" w:firstRowLastColumn="0" w:lastRowFirstColumn="0" w:lastRowLastColumn="0"/>
            </w:pPr>
            <w:r>
              <w:t>4 411</w:t>
            </w:r>
          </w:p>
        </w:tc>
        <w:tc>
          <w:tcPr>
            <w:tcW w:w="907" w:type="dxa"/>
            <w:tcBorders>
              <w:bottom w:val="single" w:sz="6" w:space="0" w:color="auto"/>
            </w:tcBorders>
          </w:tcPr>
          <w:p w14:paraId="02599C4A" w14:textId="77777777" w:rsidR="005E614D" w:rsidRDefault="000C3A94">
            <w:pPr>
              <w:cnfStyle w:val="000000000000" w:firstRow="0" w:lastRow="0" w:firstColumn="0" w:lastColumn="0" w:oddVBand="0" w:evenVBand="0" w:oddHBand="0" w:evenHBand="0" w:firstRowFirstColumn="0" w:firstRowLastColumn="0" w:lastRowFirstColumn="0" w:lastRowLastColumn="0"/>
            </w:pPr>
            <w:r>
              <w:t>4 210</w:t>
            </w:r>
          </w:p>
        </w:tc>
      </w:tr>
      <w:tr w:rsidR="005E614D" w14:paraId="2D78EC83"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60F48591" w14:textId="77777777" w:rsidR="005E614D" w:rsidRDefault="000C3A94">
            <w:r>
              <w:rPr>
                <w:b/>
              </w:rPr>
              <w:t>Total revenue and income from transactions</w:t>
            </w:r>
          </w:p>
        </w:tc>
        <w:tc>
          <w:tcPr>
            <w:tcW w:w="765" w:type="dxa"/>
            <w:tcBorders>
              <w:top w:val="single" w:sz="6" w:space="0" w:color="auto"/>
            </w:tcBorders>
          </w:tcPr>
          <w:p w14:paraId="1FB4F39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BF2324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117 791</w:t>
            </w:r>
          </w:p>
        </w:tc>
        <w:tc>
          <w:tcPr>
            <w:tcW w:w="907" w:type="dxa"/>
            <w:tcBorders>
              <w:top w:val="single" w:sz="6" w:space="0" w:color="auto"/>
            </w:tcBorders>
          </w:tcPr>
          <w:p w14:paraId="1580F8F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107 605</w:t>
            </w:r>
          </w:p>
        </w:tc>
        <w:tc>
          <w:tcPr>
            <w:tcW w:w="907" w:type="dxa"/>
            <w:tcBorders>
              <w:top w:val="single" w:sz="6" w:space="0" w:color="auto"/>
            </w:tcBorders>
          </w:tcPr>
          <w:p w14:paraId="0FDBBD6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101 380</w:t>
            </w:r>
          </w:p>
        </w:tc>
        <w:tc>
          <w:tcPr>
            <w:tcW w:w="907" w:type="dxa"/>
            <w:tcBorders>
              <w:top w:val="single" w:sz="6" w:space="0" w:color="auto"/>
            </w:tcBorders>
          </w:tcPr>
          <w:p w14:paraId="7BFCD4B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93 055</w:t>
            </w:r>
          </w:p>
        </w:tc>
      </w:tr>
      <w:tr w:rsidR="005E614D" w14:paraId="303DA090" w14:textId="77777777">
        <w:tc>
          <w:tcPr>
            <w:cnfStyle w:val="001000000000" w:firstRow="0" w:lastRow="0" w:firstColumn="1" w:lastColumn="0" w:oddVBand="0" w:evenVBand="0" w:oddHBand="0" w:evenHBand="0" w:firstRowFirstColumn="0" w:firstRowLastColumn="0" w:lastRowFirstColumn="0" w:lastRowLastColumn="0"/>
            <w:tcW w:w="5245" w:type="dxa"/>
          </w:tcPr>
          <w:p w14:paraId="13161F74" w14:textId="77777777" w:rsidR="005E614D" w:rsidRDefault="000C3A94">
            <w:r>
              <w:rPr>
                <w:b/>
              </w:rPr>
              <w:t>Expenses from transactions</w:t>
            </w:r>
          </w:p>
        </w:tc>
        <w:tc>
          <w:tcPr>
            <w:tcW w:w="765" w:type="dxa"/>
          </w:tcPr>
          <w:p w14:paraId="52C17204"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23FEB3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92FFFD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1779B6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4926BC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684055C" w14:textId="77777777">
        <w:tc>
          <w:tcPr>
            <w:cnfStyle w:val="001000000000" w:firstRow="0" w:lastRow="0" w:firstColumn="1" w:lastColumn="0" w:oddVBand="0" w:evenVBand="0" w:oddHBand="0" w:evenHBand="0" w:firstRowFirstColumn="0" w:firstRowLastColumn="0" w:lastRowFirstColumn="0" w:lastRowLastColumn="0"/>
            <w:tcW w:w="5245" w:type="dxa"/>
          </w:tcPr>
          <w:p w14:paraId="4745841C" w14:textId="77777777" w:rsidR="005E614D" w:rsidRDefault="000C3A94">
            <w:r>
              <w:t>Employee expenses</w:t>
            </w:r>
          </w:p>
        </w:tc>
        <w:tc>
          <w:tcPr>
            <w:tcW w:w="765" w:type="dxa"/>
          </w:tcPr>
          <w:p w14:paraId="50EA112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3EA18725" w14:textId="77777777" w:rsidR="005E614D" w:rsidRDefault="000C3A94">
            <w:pPr>
              <w:cnfStyle w:val="000000000000" w:firstRow="0" w:lastRow="0" w:firstColumn="0" w:lastColumn="0" w:oddVBand="0" w:evenVBand="0" w:oddHBand="0" w:evenHBand="0" w:firstRowFirstColumn="0" w:firstRowLastColumn="0" w:lastRowFirstColumn="0" w:lastRowLastColumn="0"/>
            </w:pPr>
            <w:r>
              <w:t>40 054</w:t>
            </w:r>
          </w:p>
        </w:tc>
        <w:tc>
          <w:tcPr>
            <w:tcW w:w="907" w:type="dxa"/>
          </w:tcPr>
          <w:p w14:paraId="55CA7F31" w14:textId="77777777" w:rsidR="005E614D" w:rsidRDefault="000C3A94">
            <w:pPr>
              <w:cnfStyle w:val="000000000000" w:firstRow="0" w:lastRow="0" w:firstColumn="0" w:lastColumn="0" w:oddVBand="0" w:evenVBand="0" w:oddHBand="0" w:evenHBand="0" w:firstRowFirstColumn="0" w:firstRowLastColumn="0" w:lastRowFirstColumn="0" w:lastRowLastColumn="0"/>
            </w:pPr>
            <w:r>
              <w:t>37 467</w:t>
            </w:r>
          </w:p>
        </w:tc>
        <w:tc>
          <w:tcPr>
            <w:tcW w:w="907" w:type="dxa"/>
          </w:tcPr>
          <w:p w14:paraId="547E5217" w14:textId="77777777" w:rsidR="005E614D" w:rsidRDefault="000C3A94">
            <w:pPr>
              <w:cnfStyle w:val="000000000000" w:firstRow="0" w:lastRow="0" w:firstColumn="0" w:lastColumn="0" w:oddVBand="0" w:evenVBand="0" w:oddHBand="0" w:evenHBand="0" w:firstRowFirstColumn="0" w:firstRowLastColumn="0" w:lastRowFirstColumn="0" w:lastRowLastColumn="0"/>
            </w:pPr>
            <w:r>
              <w:t>38 515</w:t>
            </w:r>
          </w:p>
        </w:tc>
        <w:tc>
          <w:tcPr>
            <w:tcW w:w="907" w:type="dxa"/>
          </w:tcPr>
          <w:p w14:paraId="0D202DA7" w14:textId="77777777" w:rsidR="005E614D" w:rsidRDefault="000C3A94">
            <w:pPr>
              <w:cnfStyle w:val="000000000000" w:firstRow="0" w:lastRow="0" w:firstColumn="0" w:lastColumn="0" w:oddVBand="0" w:evenVBand="0" w:oddHBand="0" w:evenHBand="0" w:firstRowFirstColumn="0" w:firstRowLastColumn="0" w:lastRowFirstColumn="0" w:lastRowLastColumn="0"/>
            </w:pPr>
            <w:r>
              <w:t>36 035</w:t>
            </w:r>
          </w:p>
        </w:tc>
      </w:tr>
      <w:tr w:rsidR="005E614D" w14:paraId="50E9E097" w14:textId="77777777">
        <w:tc>
          <w:tcPr>
            <w:cnfStyle w:val="001000000000" w:firstRow="0" w:lastRow="0" w:firstColumn="1" w:lastColumn="0" w:oddVBand="0" w:evenVBand="0" w:oddHBand="0" w:evenHBand="0" w:firstRowFirstColumn="0" w:firstRowLastColumn="0" w:lastRowFirstColumn="0" w:lastRowLastColumn="0"/>
            <w:tcW w:w="5245" w:type="dxa"/>
          </w:tcPr>
          <w:p w14:paraId="31CE5BE9" w14:textId="77777777" w:rsidR="005E614D" w:rsidRDefault="000C3A94">
            <w:r>
              <w:t>Superannuation:</w:t>
            </w:r>
          </w:p>
        </w:tc>
        <w:tc>
          <w:tcPr>
            <w:tcW w:w="765" w:type="dxa"/>
          </w:tcPr>
          <w:p w14:paraId="54A8CA0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A5BDE0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161070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256C37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595DA7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D12E5F9" w14:textId="77777777">
        <w:tc>
          <w:tcPr>
            <w:cnfStyle w:val="001000000000" w:firstRow="0" w:lastRow="0" w:firstColumn="1" w:lastColumn="0" w:oddVBand="0" w:evenVBand="0" w:oddHBand="0" w:evenHBand="0" w:firstRowFirstColumn="0" w:firstRowLastColumn="0" w:lastRowFirstColumn="0" w:lastRowLastColumn="0"/>
            <w:tcW w:w="5245" w:type="dxa"/>
          </w:tcPr>
          <w:p w14:paraId="3759DBE5" w14:textId="76EB52E2" w:rsidR="005E614D" w:rsidRDefault="00D001D2">
            <w:r>
              <w:t xml:space="preserve">   </w:t>
            </w:r>
            <w:r w:rsidR="000C3A94">
              <w:t>Net superannuation interest expense</w:t>
            </w:r>
          </w:p>
        </w:tc>
        <w:tc>
          <w:tcPr>
            <w:tcW w:w="765" w:type="dxa"/>
          </w:tcPr>
          <w:p w14:paraId="0D55AE45"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2B0B4AE2" w14:textId="77777777" w:rsidR="005E614D" w:rsidRDefault="000C3A94">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6B449452" w14:textId="77777777" w:rsidR="005E614D" w:rsidRDefault="000C3A94">
            <w:pPr>
              <w:cnfStyle w:val="000000000000" w:firstRow="0" w:lastRow="0" w:firstColumn="0" w:lastColumn="0" w:oddVBand="0" w:evenVBand="0" w:oddHBand="0" w:evenHBand="0" w:firstRowFirstColumn="0" w:firstRowLastColumn="0" w:lastRowFirstColumn="0" w:lastRowLastColumn="0"/>
            </w:pPr>
            <w:r>
              <w:t>775</w:t>
            </w:r>
          </w:p>
        </w:tc>
        <w:tc>
          <w:tcPr>
            <w:tcW w:w="907" w:type="dxa"/>
          </w:tcPr>
          <w:p w14:paraId="40FAEDEC" w14:textId="77777777" w:rsidR="005E614D" w:rsidRDefault="000C3A94">
            <w:pPr>
              <w:cnfStyle w:val="000000000000" w:firstRow="0" w:lastRow="0" w:firstColumn="0" w:lastColumn="0" w:oddVBand="0" w:evenVBand="0" w:oddHBand="0" w:evenHBand="0" w:firstRowFirstColumn="0" w:firstRowLastColumn="0" w:lastRowFirstColumn="0" w:lastRowLastColumn="0"/>
            </w:pPr>
            <w:r>
              <w:t>783</w:t>
            </w:r>
          </w:p>
        </w:tc>
        <w:tc>
          <w:tcPr>
            <w:tcW w:w="907" w:type="dxa"/>
          </w:tcPr>
          <w:p w14:paraId="7586525E" w14:textId="77777777" w:rsidR="005E614D" w:rsidRDefault="000C3A94">
            <w:pPr>
              <w:cnfStyle w:val="000000000000" w:firstRow="0" w:lastRow="0" w:firstColumn="0" w:lastColumn="0" w:oddVBand="0" w:evenVBand="0" w:oddHBand="0" w:evenHBand="0" w:firstRowFirstColumn="0" w:firstRowLastColumn="0" w:lastRowFirstColumn="0" w:lastRowLastColumn="0"/>
            </w:pPr>
            <w:r>
              <w:t>774</w:t>
            </w:r>
          </w:p>
        </w:tc>
      </w:tr>
      <w:tr w:rsidR="005E614D" w14:paraId="3A798455" w14:textId="77777777">
        <w:tc>
          <w:tcPr>
            <w:cnfStyle w:val="001000000000" w:firstRow="0" w:lastRow="0" w:firstColumn="1" w:lastColumn="0" w:oddVBand="0" w:evenVBand="0" w:oddHBand="0" w:evenHBand="0" w:firstRowFirstColumn="0" w:firstRowLastColumn="0" w:lastRowFirstColumn="0" w:lastRowLastColumn="0"/>
            <w:tcW w:w="5245" w:type="dxa"/>
          </w:tcPr>
          <w:p w14:paraId="190D44D2" w14:textId="749D10BB" w:rsidR="005E614D" w:rsidRDefault="00D001D2">
            <w:r>
              <w:t xml:space="preserve">   </w:t>
            </w:r>
            <w:r w:rsidR="000C3A94">
              <w:t>Other superannuation</w:t>
            </w:r>
          </w:p>
        </w:tc>
        <w:tc>
          <w:tcPr>
            <w:tcW w:w="765" w:type="dxa"/>
          </w:tcPr>
          <w:p w14:paraId="2D15EB15"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3CE84059" w14:textId="77777777" w:rsidR="005E614D" w:rsidRDefault="000C3A94">
            <w:pPr>
              <w:cnfStyle w:val="000000000000" w:firstRow="0" w:lastRow="0" w:firstColumn="0" w:lastColumn="0" w:oddVBand="0" w:evenVBand="0" w:oddHBand="0" w:evenHBand="0" w:firstRowFirstColumn="0" w:firstRowLastColumn="0" w:lastRowFirstColumn="0" w:lastRowLastColumn="0"/>
            </w:pPr>
            <w:r>
              <w:t>4 812</w:t>
            </w:r>
          </w:p>
        </w:tc>
        <w:tc>
          <w:tcPr>
            <w:tcW w:w="907" w:type="dxa"/>
          </w:tcPr>
          <w:p w14:paraId="34F96741" w14:textId="77777777" w:rsidR="005E614D" w:rsidRDefault="000C3A94">
            <w:pPr>
              <w:cnfStyle w:val="000000000000" w:firstRow="0" w:lastRow="0" w:firstColumn="0" w:lastColumn="0" w:oddVBand="0" w:evenVBand="0" w:oddHBand="0" w:evenHBand="0" w:firstRowFirstColumn="0" w:firstRowLastColumn="0" w:lastRowFirstColumn="0" w:lastRowLastColumn="0"/>
            </w:pPr>
            <w:r>
              <w:t>4 312</w:t>
            </w:r>
          </w:p>
        </w:tc>
        <w:tc>
          <w:tcPr>
            <w:tcW w:w="907" w:type="dxa"/>
          </w:tcPr>
          <w:p w14:paraId="5EFB090B" w14:textId="77777777" w:rsidR="005E614D" w:rsidRDefault="000C3A94">
            <w:pPr>
              <w:cnfStyle w:val="000000000000" w:firstRow="0" w:lastRow="0" w:firstColumn="0" w:lastColumn="0" w:oddVBand="0" w:evenVBand="0" w:oddHBand="0" w:evenHBand="0" w:firstRowFirstColumn="0" w:firstRowLastColumn="0" w:lastRowFirstColumn="0" w:lastRowLastColumn="0"/>
            </w:pPr>
            <w:r>
              <w:t>4 524</w:t>
            </w:r>
          </w:p>
        </w:tc>
        <w:tc>
          <w:tcPr>
            <w:tcW w:w="907" w:type="dxa"/>
          </w:tcPr>
          <w:p w14:paraId="5F96E26E" w14:textId="77777777" w:rsidR="005E614D" w:rsidRDefault="000C3A94">
            <w:pPr>
              <w:cnfStyle w:val="000000000000" w:firstRow="0" w:lastRow="0" w:firstColumn="0" w:lastColumn="0" w:oddVBand="0" w:evenVBand="0" w:oddHBand="0" w:evenHBand="0" w:firstRowFirstColumn="0" w:firstRowLastColumn="0" w:lastRowFirstColumn="0" w:lastRowLastColumn="0"/>
            </w:pPr>
            <w:r>
              <w:t>4 062</w:t>
            </w:r>
          </w:p>
        </w:tc>
      </w:tr>
      <w:tr w:rsidR="005E614D" w14:paraId="31ADB127" w14:textId="77777777">
        <w:tc>
          <w:tcPr>
            <w:cnfStyle w:val="001000000000" w:firstRow="0" w:lastRow="0" w:firstColumn="1" w:lastColumn="0" w:oddVBand="0" w:evenVBand="0" w:oddHBand="0" w:evenHBand="0" w:firstRowFirstColumn="0" w:firstRowLastColumn="0" w:lastRowFirstColumn="0" w:lastRowLastColumn="0"/>
            <w:tcW w:w="5245" w:type="dxa"/>
          </w:tcPr>
          <w:p w14:paraId="62D679B5" w14:textId="77777777" w:rsidR="005E614D" w:rsidRDefault="000C3A94">
            <w:r>
              <w:t>Depreciation</w:t>
            </w:r>
          </w:p>
        </w:tc>
        <w:tc>
          <w:tcPr>
            <w:tcW w:w="765" w:type="dxa"/>
          </w:tcPr>
          <w:p w14:paraId="590803DF"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23896A2A"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9 349</w:t>
            </w:r>
          </w:p>
        </w:tc>
        <w:tc>
          <w:tcPr>
            <w:tcW w:w="907" w:type="dxa"/>
          </w:tcPr>
          <w:p w14:paraId="69BA932A" w14:textId="77777777" w:rsidR="005E614D" w:rsidRDefault="000C3A94">
            <w:pPr>
              <w:cnfStyle w:val="000000000000" w:firstRow="0" w:lastRow="0" w:firstColumn="0" w:lastColumn="0" w:oddVBand="0" w:evenVBand="0" w:oddHBand="0" w:evenHBand="0" w:firstRowFirstColumn="0" w:firstRowLastColumn="0" w:lastRowFirstColumn="0" w:lastRowLastColumn="0"/>
            </w:pPr>
            <w:r>
              <w:t>8 279</w:t>
            </w:r>
          </w:p>
        </w:tc>
        <w:tc>
          <w:tcPr>
            <w:tcW w:w="907" w:type="dxa"/>
          </w:tcPr>
          <w:p w14:paraId="35AC9E28" w14:textId="77777777" w:rsidR="005E614D" w:rsidRDefault="000C3A94">
            <w:pPr>
              <w:cnfStyle w:val="000000000000" w:firstRow="0" w:lastRow="0" w:firstColumn="0" w:lastColumn="0" w:oddVBand="0" w:evenVBand="0" w:oddHBand="0" w:evenHBand="0" w:firstRowFirstColumn="0" w:firstRowLastColumn="0" w:lastRowFirstColumn="0" w:lastRowLastColumn="0"/>
            </w:pPr>
            <w:r>
              <w:t>5 462</w:t>
            </w:r>
          </w:p>
        </w:tc>
        <w:tc>
          <w:tcPr>
            <w:tcW w:w="907" w:type="dxa"/>
          </w:tcPr>
          <w:p w14:paraId="3A3C2D96" w14:textId="77777777" w:rsidR="005E614D" w:rsidRDefault="000C3A94">
            <w:pPr>
              <w:cnfStyle w:val="000000000000" w:firstRow="0" w:lastRow="0" w:firstColumn="0" w:lastColumn="0" w:oddVBand="0" w:evenVBand="0" w:oddHBand="0" w:evenHBand="0" w:firstRowFirstColumn="0" w:firstRowLastColumn="0" w:lastRowFirstColumn="0" w:lastRowLastColumn="0"/>
            </w:pPr>
            <w:r>
              <w:t>4 967</w:t>
            </w:r>
          </w:p>
        </w:tc>
      </w:tr>
      <w:tr w:rsidR="005E614D" w14:paraId="1DD8E73E" w14:textId="77777777">
        <w:tc>
          <w:tcPr>
            <w:cnfStyle w:val="001000000000" w:firstRow="0" w:lastRow="0" w:firstColumn="1" w:lastColumn="0" w:oddVBand="0" w:evenVBand="0" w:oddHBand="0" w:evenHBand="0" w:firstRowFirstColumn="0" w:firstRowLastColumn="0" w:lastRowFirstColumn="0" w:lastRowLastColumn="0"/>
            <w:tcW w:w="5245" w:type="dxa"/>
          </w:tcPr>
          <w:p w14:paraId="6F7200F4" w14:textId="77777777" w:rsidR="005E614D" w:rsidRDefault="000C3A94">
            <w:r>
              <w:t>Interest expense</w:t>
            </w:r>
          </w:p>
        </w:tc>
        <w:tc>
          <w:tcPr>
            <w:tcW w:w="765" w:type="dxa"/>
          </w:tcPr>
          <w:p w14:paraId="039B7E0A"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7F3F0099" w14:textId="77777777" w:rsidR="005E614D" w:rsidRDefault="000C3A94">
            <w:pPr>
              <w:cnfStyle w:val="000000000000" w:firstRow="0" w:lastRow="0" w:firstColumn="0" w:lastColumn="0" w:oddVBand="0" w:evenVBand="0" w:oddHBand="0" w:evenHBand="0" w:firstRowFirstColumn="0" w:firstRowLastColumn="0" w:lastRowFirstColumn="0" w:lastRowLastColumn="0"/>
            </w:pPr>
            <w:r>
              <w:t>8 130</w:t>
            </w:r>
          </w:p>
        </w:tc>
        <w:tc>
          <w:tcPr>
            <w:tcW w:w="907" w:type="dxa"/>
          </w:tcPr>
          <w:p w14:paraId="2F06EBEA" w14:textId="77777777" w:rsidR="005E614D" w:rsidRDefault="000C3A94">
            <w:pPr>
              <w:cnfStyle w:val="000000000000" w:firstRow="0" w:lastRow="0" w:firstColumn="0" w:lastColumn="0" w:oddVBand="0" w:evenVBand="0" w:oddHBand="0" w:evenHBand="0" w:firstRowFirstColumn="0" w:firstRowLastColumn="0" w:lastRowFirstColumn="0" w:lastRowLastColumn="0"/>
            </w:pPr>
            <w:r>
              <w:t>6 722</w:t>
            </w:r>
          </w:p>
        </w:tc>
        <w:tc>
          <w:tcPr>
            <w:tcW w:w="907" w:type="dxa"/>
          </w:tcPr>
          <w:p w14:paraId="37952D13" w14:textId="77777777" w:rsidR="005E614D" w:rsidRDefault="000C3A94">
            <w:pPr>
              <w:cnfStyle w:val="000000000000" w:firstRow="0" w:lastRow="0" w:firstColumn="0" w:lastColumn="0" w:oddVBand="0" w:evenVBand="0" w:oddHBand="0" w:evenHBand="0" w:firstRowFirstColumn="0" w:firstRowLastColumn="0" w:lastRowFirstColumn="0" w:lastRowLastColumn="0"/>
            </w:pPr>
            <w:r>
              <w:t>6 774</w:t>
            </w:r>
          </w:p>
        </w:tc>
        <w:tc>
          <w:tcPr>
            <w:tcW w:w="907" w:type="dxa"/>
          </w:tcPr>
          <w:p w14:paraId="70EF0D2A" w14:textId="77777777" w:rsidR="005E614D" w:rsidRDefault="000C3A94">
            <w:pPr>
              <w:cnfStyle w:val="000000000000" w:firstRow="0" w:lastRow="0" w:firstColumn="0" w:lastColumn="0" w:oddVBand="0" w:evenVBand="0" w:oddHBand="0" w:evenHBand="0" w:firstRowFirstColumn="0" w:firstRowLastColumn="0" w:lastRowFirstColumn="0" w:lastRowLastColumn="0"/>
            </w:pPr>
            <w:r>
              <w:t>5 639</w:t>
            </w:r>
          </w:p>
        </w:tc>
      </w:tr>
      <w:tr w:rsidR="005E614D" w14:paraId="0751453C" w14:textId="77777777">
        <w:tc>
          <w:tcPr>
            <w:cnfStyle w:val="001000000000" w:firstRow="0" w:lastRow="0" w:firstColumn="1" w:lastColumn="0" w:oddVBand="0" w:evenVBand="0" w:oddHBand="0" w:evenHBand="0" w:firstRowFirstColumn="0" w:firstRowLastColumn="0" w:lastRowFirstColumn="0" w:lastRowLastColumn="0"/>
            <w:tcW w:w="5245" w:type="dxa"/>
          </w:tcPr>
          <w:p w14:paraId="252BE70E" w14:textId="77777777" w:rsidR="005E614D" w:rsidRDefault="000C3A94">
            <w:r>
              <w:t>Grant expense</w:t>
            </w:r>
          </w:p>
        </w:tc>
        <w:tc>
          <w:tcPr>
            <w:tcW w:w="765" w:type="dxa"/>
          </w:tcPr>
          <w:p w14:paraId="204BBA09"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142CBCB8" w14:textId="77777777" w:rsidR="005E614D" w:rsidRDefault="000C3A94">
            <w:pPr>
              <w:cnfStyle w:val="000000000000" w:firstRow="0" w:lastRow="0" w:firstColumn="0" w:lastColumn="0" w:oddVBand="0" w:evenVBand="0" w:oddHBand="0" w:evenHBand="0" w:firstRowFirstColumn="0" w:firstRowLastColumn="0" w:lastRowFirstColumn="0" w:lastRowLastColumn="0"/>
            </w:pPr>
            <w:r>
              <w:t>15 045</w:t>
            </w:r>
          </w:p>
        </w:tc>
        <w:tc>
          <w:tcPr>
            <w:tcW w:w="907" w:type="dxa"/>
          </w:tcPr>
          <w:p w14:paraId="1350A355" w14:textId="77777777" w:rsidR="005E614D" w:rsidRDefault="000C3A94">
            <w:pPr>
              <w:cnfStyle w:val="000000000000" w:firstRow="0" w:lastRow="0" w:firstColumn="0" w:lastColumn="0" w:oddVBand="0" w:evenVBand="0" w:oddHBand="0" w:evenHBand="0" w:firstRowFirstColumn="0" w:firstRowLastColumn="0" w:lastRowFirstColumn="0" w:lastRowLastColumn="0"/>
            </w:pPr>
            <w:r>
              <w:t>14 721</w:t>
            </w:r>
          </w:p>
        </w:tc>
        <w:tc>
          <w:tcPr>
            <w:tcW w:w="907" w:type="dxa"/>
          </w:tcPr>
          <w:p w14:paraId="1796A81B" w14:textId="77777777" w:rsidR="005E614D" w:rsidRDefault="000C3A94">
            <w:pPr>
              <w:cnfStyle w:val="000000000000" w:firstRow="0" w:lastRow="0" w:firstColumn="0" w:lastColumn="0" w:oddVBand="0" w:evenVBand="0" w:oddHBand="0" w:evenHBand="0" w:firstRowFirstColumn="0" w:firstRowLastColumn="0" w:lastRowFirstColumn="0" w:lastRowLastColumn="0"/>
            </w:pPr>
            <w:r>
              <w:t>17 221</w:t>
            </w:r>
          </w:p>
        </w:tc>
        <w:tc>
          <w:tcPr>
            <w:tcW w:w="907" w:type="dxa"/>
          </w:tcPr>
          <w:p w14:paraId="09BBDE71" w14:textId="77777777" w:rsidR="005E614D" w:rsidRDefault="000C3A94">
            <w:pPr>
              <w:cnfStyle w:val="000000000000" w:firstRow="0" w:lastRow="0" w:firstColumn="0" w:lastColumn="0" w:oddVBand="0" w:evenVBand="0" w:oddHBand="0" w:evenHBand="0" w:firstRowFirstColumn="0" w:firstRowLastColumn="0" w:lastRowFirstColumn="0" w:lastRowLastColumn="0"/>
            </w:pPr>
            <w:r>
              <w:t>16 675</w:t>
            </w:r>
          </w:p>
        </w:tc>
      </w:tr>
      <w:tr w:rsidR="005E614D" w14:paraId="04CB10F1"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53D9BA67" w14:textId="77777777" w:rsidR="005E614D" w:rsidRDefault="000C3A94">
            <w:r>
              <w:t>Other operating expenses</w:t>
            </w:r>
          </w:p>
        </w:tc>
        <w:tc>
          <w:tcPr>
            <w:tcW w:w="765" w:type="dxa"/>
            <w:tcBorders>
              <w:bottom w:val="single" w:sz="6" w:space="0" w:color="auto"/>
            </w:tcBorders>
          </w:tcPr>
          <w:p w14:paraId="62D0F6AE"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3.5</w:t>
            </w:r>
          </w:p>
        </w:tc>
        <w:tc>
          <w:tcPr>
            <w:tcW w:w="907" w:type="dxa"/>
            <w:tcBorders>
              <w:bottom w:val="single" w:sz="6" w:space="0" w:color="auto"/>
            </w:tcBorders>
          </w:tcPr>
          <w:p w14:paraId="05945552" w14:textId="77777777" w:rsidR="005E614D" w:rsidRDefault="000C3A94">
            <w:pPr>
              <w:cnfStyle w:val="000000000000" w:firstRow="0" w:lastRow="0" w:firstColumn="0" w:lastColumn="0" w:oddVBand="0" w:evenVBand="0" w:oddHBand="0" w:evenHBand="0" w:firstRowFirstColumn="0" w:firstRowLastColumn="0" w:lastRowFirstColumn="0" w:lastRowLastColumn="0"/>
            </w:pPr>
            <w:r>
              <w:t>45 793</w:t>
            </w:r>
          </w:p>
        </w:tc>
        <w:tc>
          <w:tcPr>
            <w:tcW w:w="907" w:type="dxa"/>
            <w:tcBorders>
              <w:bottom w:val="single" w:sz="6" w:space="0" w:color="auto"/>
            </w:tcBorders>
          </w:tcPr>
          <w:p w14:paraId="2699D1AE" w14:textId="77777777" w:rsidR="005E614D" w:rsidRDefault="000C3A94">
            <w:pPr>
              <w:cnfStyle w:val="000000000000" w:firstRow="0" w:lastRow="0" w:firstColumn="0" w:lastColumn="0" w:oddVBand="0" w:evenVBand="0" w:oddHBand="0" w:evenHBand="0" w:firstRowFirstColumn="0" w:firstRowLastColumn="0" w:lastRowFirstColumn="0" w:lastRowLastColumn="0"/>
            </w:pPr>
            <w:r>
              <w:t>43 787</w:t>
            </w:r>
          </w:p>
        </w:tc>
        <w:tc>
          <w:tcPr>
            <w:tcW w:w="907" w:type="dxa"/>
            <w:tcBorders>
              <w:bottom w:val="single" w:sz="6" w:space="0" w:color="auto"/>
            </w:tcBorders>
          </w:tcPr>
          <w:p w14:paraId="760DBE19" w14:textId="77777777" w:rsidR="005E614D" w:rsidRDefault="000C3A94">
            <w:pPr>
              <w:cnfStyle w:val="000000000000" w:firstRow="0" w:lastRow="0" w:firstColumn="0" w:lastColumn="0" w:oddVBand="0" w:evenVBand="0" w:oddHBand="0" w:evenHBand="0" w:firstRowFirstColumn="0" w:firstRowLastColumn="0" w:lastRowFirstColumn="0" w:lastRowLastColumn="0"/>
            </w:pPr>
            <w:r>
              <w:t>30 726</w:t>
            </w:r>
          </w:p>
        </w:tc>
        <w:tc>
          <w:tcPr>
            <w:tcW w:w="907" w:type="dxa"/>
            <w:tcBorders>
              <w:bottom w:val="single" w:sz="6" w:space="0" w:color="auto"/>
            </w:tcBorders>
          </w:tcPr>
          <w:p w14:paraId="0842C6A3" w14:textId="77777777" w:rsidR="005E614D" w:rsidRDefault="000C3A94">
            <w:pPr>
              <w:cnfStyle w:val="000000000000" w:firstRow="0" w:lastRow="0" w:firstColumn="0" w:lastColumn="0" w:oddVBand="0" w:evenVBand="0" w:oddHBand="0" w:evenHBand="0" w:firstRowFirstColumn="0" w:firstRowLastColumn="0" w:lastRowFirstColumn="0" w:lastRowLastColumn="0"/>
            </w:pPr>
            <w:r>
              <w:t>29 127</w:t>
            </w:r>
          </w:p>
        </w:tc>
      </w:tr>
      <w:tr w:rsidR="005E614D" w14:paraId="6C181BFC"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7D55AA17" w14:textId="77777777" w:rsidR="005E614D" w:rsidRDefault="000C3A94">
            <w:r>
              <w:rPr>
                <w:b/>
              </w:rPr>
              <w:t>Total expenses from transactions</w:t>
            </w:r>
          </w:p>
        </w:tc>
        <w:tc>
          <w:tcPr>
            <w:tcW w:w="765" w:type="dxa"/>
            <w:tcBorders>
              <w:top w:val="single" w:sz="6" w:space="0" w:color="auto"/>
              <w:bottom w:val="single" w:sz="6" w:space="0" w:color="auto"/>
            </w:tcBorders>
          </w:tcPr>
          <w:p w14:paraId="5A6B2B91"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3.8, 3.9</w:t>
            </w:r>
          </w:p>
        </w:tc>
        <w:tc>
          <w:tcPr>
            <w:tcW w:w="907" w:type="dxa"/>
            <w:tcBorders>
              <w:top w:val="single" w:sz="6" w:space="0" w:color="auto"/>
              <w:bottom w:val="single" w:sz="6" w:space="0" w:color="auto"/>
            </w:tcBorders>
          </w:tcPr>
          <w:p w14:paraId="5C73333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123 968</w:t>
            </w:r>
          </w:p>
        </w:tc>
        <w:tc>
          <w:tcPr>
            <w:tcW w:w="907" w:type="dxa"/>
            <w:tcBorders>
              <w:top w:val="single" w:sz="6" w:space="0" w:color="auto"/>
              <w:bottom w:val="single" w:sz="6" w:space="0" w:color="auto"/>
            </w:tcBorders>
          </w:tcPr>
          <w:p w14:paraId="4A80A12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116 064</w:t>
            </w:r>
          </w:p>
        </w:tc>
        <w:tc>
          <w:tcPr>
            <w:tcW w:w="907" w:type="dxa"/>
            <w:tcBorders>
              <w:top w:val="single" w:sz="6" w:space="0" w:color="auto"/>
              <w:bottom w:val="single" w:sz="6" w:space="0" w:color="auto"/>
            </w:tcBorders>
          </w:tcPr>
          <w:p w14:paraId="43B2CBF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104 006</w:t>
            </w:r>
          </w:p>
        </w:tc>
        <w:tc>
          <w:tcPr>
            <w:tcW w:w="907" w:type="dxa"/>
            <w:tcBorders>
              <w:top w:val="single" w:sz="6" w:space="0" w:color="auto"/>
              <w:bottom w:val="single" w:sz="6" w:space="0" w:color="auto"/>
            </w:tcBorders>
          </w:tcPr>
          <w:p w14:paraId="3D471C5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97 279</w:t>
            </w:r>
          </w:p>
        </w:tc>
      </w:tr>
      <w:tr w:rsidR="005E614D" w14:paraId="437AE957"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73F68A94" w14:textId="2282037C" w:rsidR="005E614D" w:rsidRDefault="000C3A94">
            <w:r>
              <w:rPr>
                <w:b/>
              </w:rPr>
              <w:t xml:space="preserve">Net result from transactions – </w:t>
            </w:r>
            <w:r w:rsidR="00B47858">
              <w:rPr>
                <w:b/>
              </w:rPr>
              <w:t>N</w:t>
            </w:r>
            <w:r>
              <w:rPr>
                <w:b/>
              </w:rPr>
              <w:t>et operating balance</w:t>
            </w:r>
          </w:p>
        </w:tc>
        <w:tc>
          <w:tcPr>
            <w:tcW w:w="765" w:type="dxa"/>
            <w:tcBorders>
              <w:top w:val="single" w:sz="6" w:space="0" w:color="auto"/>
              <w:bottom w:val="single" w:sz="12" w:space="0" w:color="auto"/>
            </w:tcBorders>
          </w:tcPr>
          <w:p w14:paraId="542F4FA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36102F5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(6 177)</w:t>
            </w:r>
          </w:p>
        </w:tc>
        <w:tc>
          <w:tcPr>
            <w:tcW w:w="907" w:type="dxa"/>
            <w:tcBorders>
              <w:top w:val="single" w:sz="6" w:space="0" w:color="auto"/>
              <w:bottom w:val="single" w:sz="12" w:space="0" w:color="auto"/>
            </w:tcBorders>
          </w:tcPr>
          <w:p w14:paraId="25F5A6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(8 459)</w:t>
            </w:r>
          </w:p>
        </w:tc>
        <w:tc>
          <w:tcPr>
            <w:tcW w:w="907" w:type="dxa"/>
            <w:tcBorders>
              <w:top w:val="single" w:sz="6" w:space="0" w:color="auto"/>
              <w:bottom w:val="single" w:sz="12" w:space="0" w:color="auto"/>
            </w:tcBorders>
          </w:tcPr>
          <w:p w14:paraId="5C10B48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(2 626)</w:t>
            </w:r>
          </w:p>
        </w:tc>
        <w:tc>
          <w:tcPr>
            <w:tcW w:w="907" w:type="dxa"/>
            <w:tcBorders>
              <w:top w:val="single" w:sz="6" w:space="0" w:color="auto"/>
              <w:bottom w:val="single" w:sz="12" w:space="0" w:color="auto"/>
            </w:tcBorders>
          </w:tcPr>
          <w:p w14:paraId="07EA52E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(4 223)</w:t>
            </w:r>
          </w:p>
        </w:tc>
      </w:tr>
      <w:tr w:rsidR="005E614D" w14:paraId="63165F0E"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0" w:space="0" w:color="auto"/>
            </w:tcBorders>
          </w:tcPr>
          <w:p w14:paraId="5D5699C0" w14:textId="77777777" w:rsidR="005E614D" w:rsidRDefault="000C3A94">
            <w:r>
              <w:rPr>
                <w:b/>
              </w:rPr>
              <w:t>Other economic flows included in net result</w:t>
            </w:r>
          </w:p>
        </w:tc>
        <w:tc>
          <w:tcPr>
            <w:tcW w:w="765" w:type="dxa"/>
            <w:tcBorders>
              <w:top w:val="single" w:sz="0" w:space="0" w:color="auto"/>
            </w:tcBorders>
          </w:tcPr>
          <w:p w14:paraId="5E555136"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A19652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B4954A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741E80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66E5DE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2E40D3C" w14:textId="77777777">
        <w:tc>
          <w:tcPr>
            <w:cnfStyle w:val="001000000000" w:firstRow="0" w:lastRow="0" w:firstColumn="1" w:lastColumn="0" w:oddVBand="0" w:evenVBand="0" w:oddHBand="0" w:evenHBand="0" w:firstRowFirstColumn="0" w:firstRowLastColumn="0" w:lastRowFirstColumn="0" w:lastRowLastColumn="0"/>
            <w:tcW w:w="5245" w:type="dxa"/>
          </w:tcPr>
          <w:p w14:paraId="6C4995FE" w14:textId="77777777" w:rsidR="005E614D" w:rsidRDefault="000C3A94">
            <w:r>
              <w:t>Net gain/(loss) on disposal of non</w:t>
            </w:r>
            <w:r>
              <w:noBreakHyphen/>
              <w:t>financial assets</w:t>
            </w:r>
          </w:p>
        </w:tc>
        <w:tc>
          <w:tcPr>
            <w:tcW w:w="765" w:type="dxa"/>
          </w:tcPr>
          <w:p w14:paraId="5E0C1F6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21E2650" w14:textId="77777777" w:rsidR="005E614D" w:rsidRDefault="000C3A94">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9B087C2" w14:textId="77777777" w:rsidR="005E614D" w:rsidRDefault="000C3A94">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7454D5E5"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759EA9C6"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16D4B35A" w14:textId="77777777">
        <w:tc>
          <w:tcPr>
            <w:cnfStyle w:val="001000000000" w:firstRow="0" w:lastRow="0" w:firstColumn="1" w:lastColumn="0" w:oddVBand="0" w:evenVBand="0" w:oddHBand="0" w:evenHBand="0" w:firstRowFirstColumn="0" w:firstRowLastColumn="0" w:lastRowFirstColumn="0" w:lastRowLastColumn="0"/>
            <w:tcW w:w="5245" w:type="dxa"/>
          </w:tcPr>
          <w:p w14:paraId="61DC9DD2" w14:textId="77777777" w:rsidR="005E614D" w:rsidRDefault="000C3A94">
            <w:r>
              <w:t>Net gain/(loss) on financial assets or liabilities at fair value</w:t>
            </w:r>
          </w:p>
        </w:tc>
        <w:tc>
          <w:tcPr>
            <w:tcW w:w="765" w:type="dxa"/>
          </w:tcPr>
          <w:p w14:paraId="679F7820"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BD0409C" w14:textId="77777777" w:rsidR="005E614D" w:rsidRDefault="000C3A94">
            <w:pPr>
              <w:cnfStyle w:val="000000000000" w:firstRow="0" w:lastRow="0" w:firstColumn="0" w:lastColumn="0" w:oddVBand="0" w:evenVBand="0" w:oddHBand="0" w:evenHBand="0" w:firstRowFirstColumn="0" w:firstRowLastColumn="0" w:lastRowFirstColumn="0" w:lastRowLastColumn="0"/>
            </w:pPr>
            <w:r>
              <w:t>(1 844)</w:t>
            </w:r>
          </w:p>
        </w:tc>
        <w:tc>
          <w:tcPr>
            <w:tcW w:w="907" w:type="dxa"/>
          </w:tcPr>
          <w:p w14:paraId="2F4B8A79" w14:textId="77777777" w:rsidR="005E614D" w:rsidRDefault="000C3A94">
            <w:pPr>
              <w:cnfStyle w:val="000000000000" w:firstRow="0" w:lastRow="0" w:firstColumn="0" w:lastColumn="0" w:oddVBand="0" w:evenVBand="0" w:oddHBand="0" w:evenHBand="0" w:firstRowFirstColumn="0" w:firstRowLastColumn="0" w:lastRowFirstColumn="0" w:lastRowLastColumn="0"/>
            </w:pPr>
            <w:r>
              <w:t>2 422</w:t>
            </w:r>
          </w:p>
        </w:tc>
        <w:tc>
          <w:tcPr>
            <w:tcW w:w="907" w:type="dxa"/>
          </w:tcPr>
          <w:p w14:paraId="000C09B8" w14:textId="77777777" w:rsidR="005E614D" w:rsidRDefault="000C3A94">
            <w:pPr>
              <w:cnfStyle w:val="000000000000" w:firstRow="0" w:lastRow="0" w:firstColumn="0" w:lastColumn="0" w:oddVBand="0" w:evenVBand="0" w:oddHBand="0" w:evenHBand="0" w:firstRowFirstColumn="0" w:firstRowLastColumn="0" w:lastRowFirstColumn="0" w:lastRowLastColumn="0"/>
            </w:pPr>
            <w:r>
              <w:t>1 213</w:t>
            </w:r>
          </w:p>
        </w:tc>
        <w:tc>
          <w:tcPr>
            <w:tcW w:w="907" w:type="dxa"/>
          </w:tcPr>
          <w:p w14:paraId="68DD8F70" w14:textId="77777777" w:rsidR="005E614D" w:rsidRDefault="000C3A94">
            <w:pPr>
              <w:cnfStyle w:val="000000000000" w:firstRow="0" w:lastRow="0" w:firstColumn="0" w:lastColumn="0" w:oddVBand="0" w:evenVBand="0" w:oddHBand="0" w:evenHBand="0" w:firstRowFirstColumn="0" w:firstRowLastColumn="0" w:lastRowFirstColumn="0" w:lastRowLastColumn="0"/>
            </w:pPr>
            <w:r>
              <w:t>345</w:t>
            </w:r>
          </w:p>
        </w:tc>
      </w:tr>
      <w:tr w:rsidR="005E614D" w14:paraId="6FC5655A" w14:textId="77777777">
        <w:tc>
          <w:tcPr>
            <w:cnfStyle w:val="001000000000" w:firstRow="0" w:lastRow="0" w:firstColumn="1" w:lastColumn="0" w:oddVBand="0" w:evenVBand="0" w:oddHBand="0" w:evenHBand="0" w:firstRowFirstColumn="0" w:firstRowLastColumn="0" w:lastRowFirstColumn="0" w:lastRowLastColumn="0"/>
            <w:tcW w:w="5245" w:type="dxa"/>
          </w:tcPr>
          <w:p w14:paraId="78F147E0" w14:textId="77777777" w:rsidR="005E614D" w:rsidRDefault="000C3A94">
            <w:r>
              <w:t>Share of net profit/(loss) from associates/joint venture entities</w:t>
            </w:r>
          </w:p>
        </w:tc>
        <w:tc>
          <w:tcPr>
            <w:tcW w:w="765" w:type="dxa"/>
          </w:tcPr>
          <w:p w14:paraId="5B5F67D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61E981C" w14:textId="77777777" w:rsidR="005E614D" w:rsidRDefault="000C3A94">
            <w:pPr>
              <w:cnfStyle w:val="000000000000" w:firstRow="0" w:lastRow="0" w:firstColumn="0" w:lastColumn="0" w:oddVBand="0" w:evenVBand="0" w:oddHBand="0" w:evenHBand="0" w:firstRowFirstColumn="0" w:firstRowLastColumn="0" w:lastRowFirstColumn="0" w:lastRowLastColumn="0"/>
            </w:pPr>
            <w:r>
              <w:t>(75)</w:t>
            </w:r>
          </w:p>
        </w:tc>
        <w:tc>
          <w:tcPr>
            <w:tcW w:w="907" w:type="dxa"/>
          </w:tcPr>
          <w:p w14:paraId="0EBE6C8D" w14:textId="77777777" w:rsidR="005E614D" w:rsidRDefault="000C3A94">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3A5712CC" w14:textId="77777777" w:rsidR="005E614D" w:rsidRDefault="000C3A94">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3978F114" w14:textId="77777777" w:rsidR="005E614D" w:rsidRDefault="000C3A94">
            <w:pPr>
              <w:cnfStyle w:val="000000000000" w:firstRow="0" w:lastRow="0" w:firstColumn="0" w:lastColumn="0" w:oddVBand="0" w:evenVBand="0" w:oddHBand="0" w:evenHBand="0" w:firstRowFirstColumn="0" w:firstRowLastColumn="0" w:lastRowFirstColumn="0" w:lastRowLastColumn="0"/>
            </w:pPr>
            <w:r>
              <w:t>(46)</w:t>
            </w:r>
          </w:p>
        </w:tc>
      </w:tr>
      <w:tr w:rsidR="005E614D" w14:paraId="560B4FA3"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02CE2CC7" w14:textId="77777777" w:rsidR="005E614D" w:rsidRDefault="000C3A94">
            <w:r>
              <w:t>Other gains/(losses) from other economic flows</w:t>
            </w:r>
          </w:p>
        </w:tc>
        <w:tc>
          <w:tcPr>
            <w:tcW w:w="765" w:type="dxa"/>
            <w:tcBorders>
              <w:bottom w:val="single" w:sz="6" w:space="0" w:color="auto"/>
            </w:tcBorders>
          </w:tcPr>
          <w:p w14:paraId="3A98842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8.3</w:t>
            </w:r>
          </w:p>
        </w:tc>
        <w:tc>
          <w:tcPr>
            <w:tcW w:w="907" w:type="dxa"/>
            <w:tcBorders>
              <w:bottom w:val="single" w:sz="6" w:space="0" w:color="auto"/>
            </w:tcBorders>
          </w:tcPr>
          <w:p w14:paraId="0813301B" w14:textId="77777777" w:rsidR="005E614D" w:rsidRDefault="000C3A94">
            <w:pPr>
              <w:cnfStyle w:val="000000000000" w:firstRow="0" w:lastRow="0" w:firstColumn="0" w:lastColumn="0" w:oddVBand="0" w:evenVBand="0" w:oddHBand="0" w:evenHBand="0" w:firstRowFirstColumn="0" w:firstRowLastColumn="0" w:lastRowFirstColumn="0" w:lastRowLastColumn="0"/>
            </w:pPr>
            <w:r>
              <w:t>406</w:t>
            </w:r>
          </w:p>
        </w:tc>
        <w:tc>
          <w:tcPr>
            <w:tcW w:w="907" w:type="dxa"/>
            <w:tcBorders>
              <w:bottom w:val="single" w:sz="6" w:space="0" w:color="auto"/>
            </w:tcBorders>
          </w:tcPr>
          <w:p w14:paraId="6329350D" w14:textId="77777777" w:rsidR="005E614D" w:rsidRDefault="000C3A94">
            <w:pPr>
              <w:cnfStyle w:val="000000000000" w:firstRow="0" w:lastRow="0" w:firstColumn="0" w:lastColumn="0" w:oddVBand="0" w:evenVBand="0" w:oddHBand="0" w:evenHBand="0" w:firstRowFirstColumn="0" w:firstRowLastColumn="0" w:lastRowFirstColumn="0" w:lastRowLastColumn="0"/>
            </w:pPr>
            <w:r>
              <w:t>613</w:t>
            </w:r>
          </w:p>
        </w:tc>
        <w:tc>
          <w:tcPr>
            <w:tcW w:w="907" w:type="dxa"/>
            <w:tcBorders>
              <w:bottom w:val="single" w:sz="6" w:space="0" w:color="auto"/>
            </w:tcBorders>
          </w:tcPr>
          <w:p w14:paraId="3EE52B3C" w14:textId="77777777" w:rsidR="005E614D" w:rsidRDefault="000C3A94">
            <w:pPr>
              <w:cnfStyle w:val="000000000000" w:firstRow="0" w:lastRow="0" w:firstColumn="0" w:lastColumn="0" w:oddVBand="0" w:evenVBand="0" w:oddHBand="0" w:evenHBand="0" w:firstRowFirstColumn="0" w:firstRowLastColumn="0" w:lastRowFirstColumn="0" w:lastRowLastColumn="0"/>
            </w:pPr>
            <w:r>
              <w:t>(542)</w:t>
            </w:r>
          </w:p>
        </w:tc>
        <w:tc>
          <w:tcPr>
            <w:tcW w:w="907" w:type="dxa"/>
            <w:tcBorders>
              <w:bottom w:val="single" w:sz="6" w:space="0" w:color="auto"/>
            </w:tcBorders>
          </w:tcPr>
          <w:p w14:paraId="78B86BC5" w14:textId="77777777" w:rsidR="005E614D" w:rsidRDefault="000C3A94">
            <w:pPr>
              <w:cnfStyle w:val="000000000000" w:firstRow="0" w:lastRow="0" w:firstColumn="0" w:lastColumn="0" w:oddVBand="0" w:evenVBand="0" w:oddHBand="0" w:evenHBand="0" w:firstRowFirstColumn="0" w:firstRowLastColumn="0" w:lastRowFirstColumn="0" w:lastRowLastColumn="0"/>
            </w:pPr>
            <w:r>
              <w:t>(566)</w:t>
            </w:r>
          </w:p>
        </w:tc>
      </w:tr>
      <w:tr w:rsidR="005E614D" w14:paraId="2BBAF8B4"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0AFB0FC9" w14:textId="77777777" w:rsidR="005E614D" w:rsidRDefault="000C3A94">
            <w:r>
              <w:rPr>
                <w:b/>
              </w:rPr>
              <w:t>Total other economic flows included in net result</w:t>
            </w:r>
          </w:p>
        </w:tc>
        <w:tc>
          <w:tcPr>
            <w:tcW w:w="765" w:type="dxa"/>
            <w:tcBorders>
              <w:top w:val="single" w:sz="6" w:space="0" w:color="auto"/>
              <w:bottom w:val="single" w:sz="6" w:space="0" w:color="auto"/>
            </w:tcBorders>
          </w:tcPr>
          <w:p w14:paraId="5C995740"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01B52C2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(1 520)</w:t>
            </w:r>
          </w:p>
        </w:tc>
        <w:tc>
          <w:tcPr>
            <w:tcW w:w="907" w:type="dxa"/>
            <w:tcBorders>
              <w:top w:val="single" w:sz="6" w:space="0" w:color="auto"/>
              <w:bottom w:val="single" w:sz="6" w:space="0" w:color="auto"/>
            </w:tcBorders>
          </w:tcPr>
          <w:p w14:paraId="1E6BE8A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2 919</w:t>
            </w:r>
          </w:p>
        </w:tc>
        <w:tc>
          <w:tcPr>
            <w:tcW w:w="907" w:type="dxa"/>
            <w:tcBorders>
              <w:top w:val="single" w:sz="6" w:space="0" w:color="auto"/>
              <w:bottom w:val="single" w:sz="6" w:space="0" w:color="auto"/>
            </w:tcBorders>
          </w:tcPr>
          <w:p w14:paraId="2CCA0F2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596</w:t>
            </w:r>
          </w:p>
        </w:tc>
        <w:tc>
          <w:tcPr>
            <w:tcW w:w="907" w:type="dxa"/>
            <w:tcBorders>
              <w:top w:val="single" w:sz="6" w:space="0" w:color="auto"/>
              <w:bottom w:val="single" w:sz="6" w:space="0" w:color="auto"/>
            </w:tcBorders>
          </w:tcPr>
          <w:p w14:paraId="5EB39DD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(269)</w:t>
            </w:r>
          </w:p>
        </w:tc>
      </w:tr>
      <w:tr w:rsidR="005E614D" w14:paraId="699E5F66"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3EE3E2B0" w14:textId="77777777" w:rsidR="005E614D" w:rsidRDefault="000C3A94">
            <w:r>
              <w:rPr>
                <w:b/>
              </w:rPr>
              <w:t>Net result</w:t>
            </w:r>
          </w:p>
        </w:tc>
        <w:tc>
          <w:tcPr>
            <w:tcW w:w="765" w:type="dxa"/>
            <w:tcBorders>
              <w:top w:val="single" w:sz="6" w:space="0" w:color="auto"/>
              <w:bottom w:val="single" w:sz="12" w:space="0" w:color="auto"/>
            </w:tcBorders>
          </w:tcPr>
          <w:p w14:paraId="477C56D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081CA5A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(7 696)</w:t>
            </w:r>
          </w:p>
        </w:tc>
        <w:tc>
          <w:tcPr>
            <w:tcW w:w="907" w:type="dxa"/>
            <w:tcBorders>
              <w:top w:val="single" w:sz="6" w:space="0" w:color="auto"/>
              <w:bottom w:val="single" w:sz="12" w:space="0" w:color="auto"/>
            </w:tcBorders>
          </w:tcPr>
          <w:p w14:paraId="4E0C34A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(5 540)</w:t>
            </w:r>
          </w:p>
        </w:tc>
        <w:tc>
          <w:tcPr>
            <w:tcW w:w="907" w:type="dxa"/>
            <w:tcBorders>
              <w:top w:val="single" w:sz="6" w:space="0" w:color="auto"/>
              <w:bottom w:val="single" w:sz="12" w:space="0" w:color="auto"/>
            </w:tcBorders>
          </w:tcPr>
          <w:p w14:paraId="454C2EC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(2 030)</w:t>
            </w:r>
          </w:p>
        </w:tc>
        <w:tc>
          <w:tcPr>
            <w:tcW w:w="907" w:type="dxa"/>
            <w:tcBorders>
              <w:top w:val="single" w:sz="6" w:space="0" w:color="auto"/>
              <w:bottom w:val="single" w:sz="12" w:space="0" w:color="auto"/>
            </w:tcBorders>
          </w:tcPr>
          <w:p w14:paraId="16AC434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(4 493)</w:t>
            </w:r>
          </w:p>
        </w:tc>
      </w:tr>
      <w:tr w:rsidR="005E614D" w14:paraId="078871A8"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0" w:space="0" w:color="auto"/>
            </w:tcBorders>
          </w:tcPr>
          <w:p w14:paraId="7BBEAD02" w14:textId="59335826" w:rsidR="005E614D" w:rsidRDefault="000C3A94">
            <w:r>
              <w:rPr>
                <w:b/>
              </w:rPr>
              <w:t xml:space="preserve">Other economic flows – </w:t>
            </w:r>
            <w:r w:rsidR="004C2531">
              <w:rPr>
                <w:b/>
              </w:rPr>
              <w:t>O</w:t>
            </w:r>
            <w:r>
              <w:rPr>
                <w:b/>
              </w:rPr>
              <w:t>ther comprehensive income</w:t>
            </w:r>
          </w:p>
        </w:tc>
        <w:tc>
          <w:tcPr>
            <w:tcW w:w="765" w:type="dxa"/>
            <w:tcBorders>
              <w:top w:val="single" w:sz="0" w:space="0" w:color="auto"/>
            </w:tcBorders>
          </w:tcPr>
          <w:p w14:paraId="5D00279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9FB2A5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395043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6CF379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694DA5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B3BCD9E" w14:textId="77777777">
        <w:tc>
          <w:tcPr>
            <w:cnfStyle w:val="001000000000" w:firstRow="0" w:lastRow="0" w:firstColumn="1" w:lastColumn="0" w:oddVBand="0" w:evenVBand="0" w:oddHBand="0" w:evenHBand="0" w:firstRowFirstColumn="0" w:firstRowLastColumn="0" w:lastRowFirstColumn="0" w:lastRowLastColumn="0"/>
            <w:tcW w:w="5245" w:type="dxa"/>
          </w:tcPr>
          <w:p w14:paraId="187CE2CC" w14:textId="77777777" w:rsidR="005E614D" w:rsidRDefault="000C3A94">
            <w:r>
              <w:rPr>
                <w:b/>
              </w:rPr>
              <w:t>Items that will not be reclassified to net result</w:t>
            </w:r>
          </w:p>
        </w:tc>
        <w:tc>
          <w:tcPr>
            <w:tcW w:w="765" w:type="dxa"/>
          </w:tcPr>
          <w:p w14:paraId="0A15586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FECDB9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CB0A22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F49362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6AECEA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16B2E5C4" w14:textId="77777777">
        <w:tc>
          <w:tcPr>
            <w:cnfStyle w:val="001000000000" w:firstRow="0" w:lastRow="0" w:firstColumn="1" w:lastColumn="0" w:oddVBand="0" w:evenVBand="0" w:oddHBand="0" w:evenHBand="0" w:firstRowFirstColumn="0" w:firstRowLastColumn="0" w:lastRowFirstColumn="0" w:lastRowLastColumn="0"/>
            <w:tcW w:w="5245" w:type="dxa"/>
          </w:tcPr>
          <w:p w14:paraId="004BE92A" w14:textId="77777777" w:rsidR="005E614D" w:rsidRDefault="000C3A94">
            <w:r>
              <w:t>Changes in non</w:t>
            </w:r>
            <w:r>
              <w:noBreakHyphen/>
              <w:t>financial assets revaluation surplus</w:t>
            </w:r>
          </w:p>
        </w:tc>
        <w:tc>
          <w:tcPr>
            <w:tcW w:w="765" w:type="dxa"/>
          </w:tcPr>
          <w:p w14:paraId="7B3C9DA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F795F72" w14:textId="77777777" w:rsidR="005E614D" w:rsidRDefault="000C3A94">
            <w:pPr>
              <w:cnfStyle w:val="000000000000" w:firstRow="0" w:lastRow="0" w:firstColumn="0" w:lastColumn="0" w:oddVBand="0" w:evenVBand="0" w:oddHBand="0" w:evenHBand="0" w:firstRowFirstColumn="0" w:firstRowLastColumn="0" w:lastRowFirstColumn="0" w:lastRowLastColumn="0"/>
            </w:pPr>
            <w:r>
              <w:t>48 453</w:t>
            </w:r>
          </w:p>
        </w:tc>
        <w:tc>
          <w:tcPr>
            <w:tcW w:w="907" w:type="dxa"/>
          </w:tcPr>
          <w:p w14:paraId="4E4F74CD" w14:textId="77777777" w:rsidR="005E614D" w:rsidRDefault="000C3A94">
            <w:pPr>
              <w:cnfStyle w:val="000000000000" w:firstRow="0" w:lastRow="0" w:firstColumn="0" w:lastColumn="0" w:oddVBand="0" w:evenVBand="0" w:oddHBand="0" w:evenHBand="0" w:firstRowFirstColumn="0" w:firstRowLastColumn="0" w:lastRowFirstColumn="0" w:lastRowLastColumn="0"/>
            </w:pPr>
            <w:r>
              <w:t>9 626</w:t>
            </w:r>
          </w:p>
        </w:tc>
        <w:tc>
          <w:tcPr>
            <w:tcW w:w="907" w:type="dxa"/>
          </w:tcPr>
          <w:p w14:paraId="5940B4E3"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907" w:type="dxa"/>
          </w:tcPr>
          <w:p w14:paraId="22684F32" w14:textId="77777777" w:rsidR="005E614D" w:rsidRDefault="000C3A94">
            <w:pPr>
              <w:cnfStyle w:val="000000000000" w:firstRow="0" w:lastRow="0" w:firstColumn="0" w:lastColumn="0" w:oddVBand="0" w:evenVBand="0" w:oddHBand="0" w:evenHBand="0" w:firstRowFirstColumn="0" w:firstRowLastColumn="0" w:lastRowFirstColumn="0" w:lastRowLastColumn="0"/>
            </w:pPr>
            <w:r>
              <w:t>7 650</w:t>
            </w:r>
          </w:p>
        </w:tc>
      </w:tr>
      <w:tr w:rsidR="005E614D" w14:paraId="6A62FCE8" w14:textId="77777777">
        <w:tc>
          <w:tcPr>
            <w:cnfStyle w:val="001000000000" w:firstRow="0" w:lastRow="0" w:firstColumn="1" w:lastColumn="0" w:oddVBand="0" w:evenVBand="0" w:oddHBand="0" w:evenHBand="0" w:firstRowFirstColumn="0" w:firstRowLastColumn="0" w:lastRowFirstColumn="0" w:lastRowLastColumn="0"/>
            <w:tcW w:w="5245" w:type="dxa"/>
          </w:tcPr>
          <w:p w14:paraId="6825574F" w14:textId="77777777" w:rsidR="005E614D" w:rsidRDefault="000C3A94">
            <w:r>
              <w:t>Remeasurement of superannuation defined benefits plans</w:t>
            </w:r>
          </w:p>
        </w:tc>
        <w:tc>
          <w:tcPr>
            <w:tcW w:w="765" w:type="dxa"/>
          </w:tcPr>
          <w:p w14:paraId="7B9359FF"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5EF085D8" w14:textId="77777777" w:rsidR="005E614D" w:rsidRDefault="000C3A94">
            <w:pPr>
              <w:cnfStyle w:val="000000000000" w:firstRow="0" w:lastRow="0" w:firstColumn="0" w:lastColumn="0" w:oddVBand="0" w:evenVBand="0" w:oddHBand="0" w:evenHBand="0" w:firstRowFirstColumn="0" w:firstRowLastColumn="0" w:lastRowFirstColumn="0" w:lastRowLastColumn="0"/>
            </w:pPr>
            <w:r>
              <w:t>795</w:t>
            </w:r>
          </w:p>
        </w:tc>
        <w:tc>
          <w:tcPr>
            <w:tcW w:w="907" w:type="dxa"/>
          </w:tcPr>
          <w:p w14:paraId="4C4B9333" w14:textId="77777777" w:rsidR="005E614D" w:rsidRDefault="000C3A94">
            <w:pPr>
              <w:cnfStyle w:val="000000000000" w:firstRow="0" w:lastRow="0" w:firstColumn="0" w:lastColumn="0" w:oddVBand="0" w:evenVBand="0" w:oddHBand="0" w:evenHBand="0" w:firstRowFirstColumn="0" w:firstRowLastColumn="0" w:lastRowFirstColumn="0" w:lastRowLastColumn="0"/>
            </w:pPr>
            <w:r>
              <w:t>1 675</w:t>
            </w:r>
          </w:p>
        </w:tc>
        <w:tc>
          <w:tcPr>
            <w:tcW w:w="907" w:type="dxa"/>
          </w:tcPr>
          <w:p w14:paraId="0A5ADC4E" w14:textId="77777777" w:rsidR="005E614D" w:rsidRDefault="000C3A94">
            <w:pPr>
              <w:cnfStyle w:val="000000000000" w:firstRow="0" w:lastRow="0" w:firstColumn="0" w:lastColumn="0" w:oddVBand="0" w:evenVBand="0" w:oddHBand="0" w:evenHBand="0" w:firstRowFirstColumn="0" w:firstRowLastColumn="0" w:lastRowFirstColumn="0" w:lastRowLastColumn="0"/>
            </w:pPr>
            <w:r>
              <w:t>786</w:t>
            </w:r>
          </w:p>
        </w:tc>
        <w:tc>
          <w:tcPr>
            <w:tcW w:w="907" w:type="dxa"/>
          </w:tcPr>
          <w:p w14:paraId="5AC24878" w14:textId="77777777" w:rsidR="005E614D" w:rsidRDefault="000C3A94">
            <w:pPr>
              <w:cnfStyle w:val="000000000000" w:firstRow="0" w:lastRow="0" w:firstColumn="0" w:lastColumn="0" w:oddVBand="0" w:evenVBand="0" w:oddHBand="0" w:evenHBand="0" w:firstRowFirstColumn="0" w:firstRowLastColumn="0" w:lastRowFirstColumn="0" w:lastRowLastColumn="0"/>
            </w:pPr>
            <w:r>
              <w:t>1 661</w:t>
            </w:r>
          </w:p>
        </w:tc>
      </w:tr>
      <w:tr w:rsidR="005E614D" w14:paraId="1E9B0CA9" w14:textId="77777777">
        <w:tc>
          <w:tcPr>
            <w:cnfStyle w:val="001000000000" w:firstRow="0" w:lastRow="0" w:firstColumn="1" w:lastColumn="0" w:oddVBand="0" w:evenVBand="0" w:oddHBand="0" w:evenHBand="0" w:firstRowFirstColumn="0" w:firstRowLastColumn="0" w:lastRowFirstColumn="0" w:lastRowLastColumn="0"/>
            <w:tcW w:w="5245" w:type="dxa"/>
          </w:tcPr>
          <w:p w14:paraId="728D3DE6" w14:textId="77777777" w:rsidR="005E614D" w:rsidRDefault="000C3A94">
            <w:r>
              <w:t>Other movements in equity</w:t>
            </w:r>
          </w:p>
        </w:tc>
        <w:tc>
          <w:tcPr>
            <w:tcW w:w="765" w:type="dxa"/>
          </w:tcPr>
          <w:p w14:paraId="2F8C96C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F81B580"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6E1CBB7A" w14:textId="77777777" w:rsidR="005E614D" w:rsidRDefault="000C3A94">
            <w:pPr>
              <w:cnfStyle w:val="000000000000" w:firstRow="0" w:lastRow="0" w:firstColumn="0" w:lastColumn="0" w:oddVBand="0" w:evenVBand="0" w:oddHBand="0" w:evenHBand="0" w:firstRowFirstColumn="0" w:firstRowLastColumn="0" w:lastRowFirstColumn="0" w:lastRowLastColumn="0"/>
            </w:pPr>
            <w:r>
              <w:t>(67)</w:t>
            </w:r>
          </w:p>
        </w:tc>
        <w:tc>
          <w:tcPr>
            <w:tcW w:w="907" w:type="dxa"/>
          </w:tcPr>
          <w:p w14:paraId="5F511833"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51A577C" w14:textId="77777777" w:rsidR="005E614D" w:rsidRDefault="000C3A94">
            <w:pPr>
              <w:cnfStyle w:val="000000000000" w:firstRow="0" w:lastRow="0" w:firstColumn="0" w:lastColumn="0" w:oddVBand="0" w:evenVBand="0" w:oddHBand="0" w:evenHBand="0" w:firstRowFirstColumn="0" w:firstRowLastColumn="0" w:lastRowFirstColumn="0" w:lastRowLastColumn="0"/>
            </w:pPr>
            <w:r>
              <w:t>108</w:t>
            </w:r>
          </w:p>
        </w:tc>
      </w:tr>
      <w:tr w:rsidR="005E614D" w14:paraId="5A79082E" w14:textId="77777777">
        <w:tc>
          <w:tcPr>
            <w:cnfStyle w:val="001000000000" w:firstRow="0" w:lastRow="0" w:firstColumn="1" w:lastColumn="0" w:oddVBand="0" w:evenVBand="0" w:oddHBand="0" w:evenHBand="0" w:firstRowFirstColumn="0" w:firstRowLastColumn="0" w:lastRowFirstColumn="0" w:lastRowLastColumn="0"/>
            <w:tcW w:w="5245" w:type="dxa"/>
          </w:tcPr>
          <w:p w14:paraId="3D41765A" w14:textId="77777777" w:rsidR="005E614D" w:rsidRDefault="000C3A94">
            <w:r>
              <w:rPr>
                <w:b/>
              </w:rPr>
              <w:t>Items that may be reclassified subsequently to net result</w:t>
            </w:r>
          </w:p>
        </w:tc>
        <w:tc>
          <w:tcPr>
            <w:tcW w:w="765" w:type="dxa"/>
          </w:tcPr>
          <w:p w14:paraId="13663510"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30E5C8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900D6A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0387BB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1EE352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C1F6597" w14:textId="77777777">
        <w:tc>
          <w:tcPr>
            <w:cnfStyle w:val="001000000000" w:firstRow="0" w:lastRow="0" w:firstColumn="1" w:lastColumn="0" w:oddVBand="0" w:evenVBand="0" w:oddHBand="0" w:evenHBand="0" w:firstRowFirstColumn="0" w:firstRowLastColumn="0" w:lastRowFirstColumn="0" w:lastRowLastColumn="0"/>
            <w:tcW w:w="5245" w:type="dxa"/>
          </w:tcPr>
          <w:p w14:paraId="703BBAC7" w14:textId="77777777" w:rsidR="005E614D" w:rsidRDefault="000C3A94">
            <w:r>
              <w:t>Net gain/(loss) on financial assets at fair value</w:t>
            </w:r>
          </w:p>
        </w:tc>
        <w:tc>
          <w:tcPr>
            <w:tcW w:w="765" w:type="dxa"/>
          </w:tcPr>
          <w:p w14:paraId="3E795DFA"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117190F" w14:textId="77777777" w:rsidR="005E614D" w:rsidRDefault="000C3A94">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7E293B19" w14:textId="77777777" w:rsidR="005E614D" w:rsidRDefault="000C3A94">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0ECD2871"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6F95425A"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r>
      <w:tr w:rsidR="005E614D" w14:paraId="69528DC6"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6B892519" w14:textId="77777777" w:rsidR="005E614D" w:rsidRDefault="000C3A94">
            <w:r>
              <w:t>Net gain/(loss) on equity investments in other sector entities at proportional share of the carrying amount of net assets</w:t>
            </w:r>
          </w:p>
        </w:tc>
        <w:tc>
          <w:tcPr>
            <w:tcW w:w="765" w:type="dxa"/>
            <w:tcBorders>
              <w:bottom w:val="single" w:sz="6" w:space="0" w:color="auto"/>
            </w:tcBorders>
          </w:tcPr>
          <w:p w14:paraId="076128B8"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4.3</w:t>
            </w:r>
          </w:p>
        </w:tc>
        <w:tc>
          <w:tcPr>
            <w:tcW w:w="907" w:type="dxa"/>
            <w:tcBorders>
              <w:bottom w:val="single" w:sz="6" w:space="0" w:color="auto"/>
            </w:tcBorders>
          </w:tcPr>
          <w:p w14:paraId="3563DF6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37E53F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0686454"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907" w:type="dxa"/>
            <w:tcBorders>
              <w:bottom w:val="single" w:sz="6" w:space="0" w:color="auto"/>
            </w:tcBorders>
          </w:tcPr>
          <w:p w14:paraId="2FDDC16F" w14:textId="77777777" w:rsidR="005E614D" w:rsidRDefault="000C3A94">
            <w:pPr>
              <w:cnfStyle w:val="000000000000" w:firstRow="0" w:lastRow="0" w:firstColumn="0" w:lastColumn="0" w:oddVBand="0" w:evenVBand="0" w:oddHBand="0" w:evenHBand="0" w:firstRowFirstColumn="0" w:firstRowLastColumn="0" w:lastRowFirstColumn="0" w:lastRowLastColumn="0"/>
            </w:pPr>
            <w:r>
              <w:t>(1 864)</w:t>
            </w:r>
          </w:p>
        </w:tc>
      </w:tr>
      <w:tr w:rsidR="005E614D" w14:paraId="38AC078A"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6" w:space="0" w:color="auto"/>
            </w:tcBorders>
          </w:tcPr>
          <w:p w14:paraId="1F15C597" w14:textId="69ACC4BE" w:rsidR="005E614D" w:rsidRDefault="000C3A94">
            <w:r>
              <w:rPr>
                <w:b/>
              </w:rPr>
              <w:t xml:space="preserve">Total other economic flows – </w:t>
            </w:r>
            <w:r w:rsidR="004C2531">
              <w:rPr>
                <w:b/>
              </w:rPr>
              <w:t>O</w:t>
            </w:r>
            <w:r>
              <w:rPr>
                <w:b/>
              </w:rPr>
              <w:t>ther comprehensive income</w:t>
            </w:r>
          </w:p>
        </w:tc>
        <w:tc>
          <w:tcPr>
            <w:tcW w:w="765" w:type="dxa"/>
            <w:tcBorders>
              <w:top w:val="single" w:sz="6" w:space="0" w:color="auto"/>
              <w:bottom w:val="single" w:sz="6" w:space="0" w:color="auto"/>
            </w:tcBorders>
          </w:tcPr>
          <w:p w14:paraId="2149F17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6" w:space="0" w:color="auto"/>
            </w:tcBorders>
          </w:tcPr>
          <w:p w14:paraId="2CC16A9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49 203</w:t>
            </w:r>
          </w:p>
        </w:tc>
        <w:tc>
          <w:tcPr>
            <w:tcW w:w="907" w:type="dxa"/>
            <w:tcBorders>
              <w:top w:val="single" w:sz="6" w:space="0" w:color="auto"/>
              <w:bottom w:val="single" w:sz="6" w:space="0" w:color="auto"/>
            </w:tcBorders>
          </w:tcPr>
          <w:p w14:paraId="13235F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11 248</w:t>
            </w:r>
          </w:p>
        </w:tc>
        <w:tc>
          <w:tcPr>
            <w:tcW w:w="907" w:type="dxa"/>
            <w:tcBorders>
              <w:top w:val="single" w:sz="6" w:space="0" w:color="auto"/>
              <w:bottom w:val="single" w:sz="6" w:space="0" w:color="auto"/>
            </w:tcBorders>
          </w:tcPr>
          <w:p w14:paraId="4F22DF1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1 519</w:t>
            </w:r>
          </w:p>
        </w:tc>
        <w:tc>
          <w:tcPr>
            <w:tcW w:w="907" w:type="dxa"/>
            <w:tcBorders>
              <w:top w:val="single" w:sz="6" w:space="0" w:color="auto"/>
              <w:bottom w:val="single" w:sz="6" w:space="0" w:color="auto"/>
            </w:tcBorders>
          </w:tcPr>
          <w:p w14:paraId="07D605E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7 569</w:t>
            </w:r>
          </w:p>
        </w:tc>
      </w:tr>
      <w:tr w:rsidR="005E614D" w14:paraId="711A39F9"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3AAA1692" w14:textId="6DFD4C61" w:rsidR="005E614D" w:rsidRDefault="000C3A94">
            <w:r>
              <w:rPr>
                <w:b/>
              </w:rPr>
              <w:t xml:space="preserve">Comprehensive result – </w:t>
            </w:r>
            <w:r w:rsidR="00B47858">
              <w:rPr>
                <w:b/>
              </w:rPr>
              <w:t>T</w:t>
            </w:r>
            <w:r>
              <w:rPr>
                <w:b/>
              </w:rPr>
              <w:t>otal change in net worth</w:t>
            </w:r>
          </w:p>
        </w:tc>
        <w:tc>
          <w:tcPr>
            <w:tcW w:w="765" w:type="dxa"/>
            <w:tcBorders>
              <w:top w:val="single" w:sz="6" w:space="0" w:color="auto"/>
              <w:bottom w:val="single" w:sz="12" w:space="0" w:color="auto"/>
            </w:tcBorders>
          </w:tcPr>
          <w:p w14:paraId="2A30A5EC"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275A222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41 507</w:t>
            </w:r>
          </w:p>
        </w:tc>
        <w:tc>
          <w:tcPr>
            <w:tcW w:w="907" w:type="dxa"/>
            <w:tcBorders>
              <w:top w:val="single" w:sz="6" w:space="0" w:color="auto"/>
              <w:bottom w:val="single" w:sz="12" w:space="0" w:color="auto"/>
            </w:tcBorders>
          </w:tcPr>
          <w:p w14:paraId="47DC2C3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5 708</w:t>
            </w:r>
          </w:p>
        </w:tc>
        <w:tc>
          <w:tcPr>
            <w:tcW w:w="907" w:type="dxa"/>
            <w:tcBorders>
              <w:top w:val="single" w:sz="6" w:space="0" w:color="auto"/>
              <w:bottom w:val="single" w:sz="12" w:space="0" w:color="auto"/>
            </w:tcBorders>
          </w:tcPr>
          <w:p w14:paraId="64985CB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(511)</w:t>
            </w:r>
          </w:p>
        </w:tc>
        <w:tc>
          <w:tcPr>
            <w:tcW w:w="907" w:type="dxa"/>
            <w:tcBorders>
              <w:top w:val="single" w:sz="6" w:space="0" w:color="auto"/>
              <w:bottom w:val="single" w:sz="12" w:space="0" w:color="auto"/>
            </w:tcBorders>
          </w:tcPr>
          <w:p w14:paraId="4428ED0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3 076</w:t>
            </w:r>
          </w:p>
        </w:tc>
      </w:tr>
      <w:tr w:rsidR="005E614D" w14:paraId="53C39850" w14:textId="77777777" w:rsidTr="005E614D">
        <w:trPr>
          <w:trHeight w:hRule="exact" w:val="113"/>
        </w:trPr>
        <w:tc>
          <w:tcPr>
            <w:cnfStyle w:val="001000000000" w:firstRow="0" w:lastRow="0" w:firstColumn="1" w:lastColumn="0" w:oddVBand="0" w:evenVBand="0" w:oddHBand="0" w:evenHBand="0" w:firstRowFirstColumn="0" w:firstRowLastColumn="0" w:lastRowFirstColumn="0" w:lastRowLastColumn="0"/>
            <w:tcW w:w="5245" w:type="dxa"/>
            <w:tcBorders>
              <w:top w:val="single" w:sz="0" w:space="0" w:color="auto"/>
            </w:tcBorders>
          </w:tcPr>
          <w:p w14:paraId="162EFF25" w14:textId="77777777" w:rsidR="005E614D" w:rsidRDefault="005E614D"/>
        </w:tc>
        <w:tc>
          <w:tcPr>
            <w:tcW w:w="765" w:type="dxa"/>
            <w:tcBorders>
              <w:top w:val="single" w:sz="0" w:space="0" w:color="auto"/>
            </w:tcBorders>
          </w:tcPr>
          <w:p w14:paraId="23FEE152"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416C71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8E01E4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8F5BB9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629919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E3D7C60" w14:textId="77777777">
        <w:tc>
          <w:tcPr>
            <w:cnfStyle w:val="001000000000" w:firstRow="0" w:lastRow="0" w:firstColumn="1" w:lastColumn="0" w:oddVBand="0" w:evenVBand="0" w:oddHBand="0" w:evenHBand="0" w:firstRowFirstColumn="0" w:firstRowLastColumn="0" w:lastRowFirstColumn="0" w:lastRowLastColumn="0"/>
            <w:tcW w:w="5245" w:type="dxa"/>
          </w:tcPr>
          <w:p w14:paraId="11B706F6" w14:textId="77777777" w:rsidR="005E614D" w:rsidRDefault="000C3A94">
            <w:r>
              <w:rPr>
                <w:b/>
              </w:rPr>
              <w:t>KEY FISCAL AGGREGATES</w:t>
            </w:r>
          </w:p>
        </w:tc>
        <w:tc>
          <w:tcPr>
            <w:tcW w:w="765" w:type="dxa"/>
          </w:tcPr>
          <w:p w14:paraId="3592D34D"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CC0F2D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130C89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78D3D2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070B0D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9636A17" w14:textId="77777777">
        <w:tc>
          <w:tcPr>
            <w:cnfStyle w:val="001000000000" w:firstRow="0" w:lastRow="0" w:firstColumn="1" w:lastColumn="0" w:oddVBand="0" w:evenVBand="0" w:oddHBand="0" w:evenHBand="0" w:firstRowFirstColumn="0" w:firstRowLastColumn="0" w:lastRowFirstColumn="0" w:lastRowLastColumn="0"/>
            <w:tcW w:w="5245" w:type="dxa"/>
          </w:tcPr>
          <w:p w14:paraId="17D95F45" w14:textId="77777777" w:rsidR="005E614D" w:rsidRDefault="000C3A94">
            <w:r>
              <w:rPr>
                <w:b/>
              </w:rPr>
              <w:t>Net operating balance</w:t>
            </w:r>
          </w:p>
        </w:tc>
        <w:tc>
          <w:tcPr>
            <w:tcW w:w="765" w:type="dxa"/>
          </w:tcPr>
          <w:p w14:paraId="0928AAC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82BECB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(6 177)</w:t>
            </w:r>
          </w:p>
        </w:tc>
        <w:tc>
          <w:tcPr>
            <w:tcW w:w="907" w:type="dxa"/>
          </w:tcPr>
          <w:p w14:paraId="48259F5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(8 459)</w:t>
            </w:r>
          </w:p>
        </w:tc>
        <w:tc>
          <w:tcPr>
            <w:tcW w:w="907" w:type="dxa"/>
          </w:tcPr>
          <w:p w14:paraId="665FC67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(2 626)</w:t>
            </w:r>
          </w:p>
        </w:tc>
        <w:tc>
          <w:tcPr>
            <w:tcW w:w="907" w:type="dxa"/>
          </w:tcPr>
          <w:p w14:paraId="034DC3F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(4 223)</w:t>
            </w:r>
          </w:p>
        </w:tc>
      </w:tr>
      <w:tr w:rsidR="005E614D" w14:paraId="7E9BDA3E"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55E9D743" w14:textId="77777777" w:rsidR="005E614D" w:rsidRDefault="000C3A94">
            <w:r>
              <w:t>Less: Net acquisition of non</w:t>
            </w:r>
            <w:r>
              <w:noBreakHyphen/>
              <w:t>financial assets from transactions</w:t>
            </w:r>
          </w:p>
        </w:tc>
        <w:tc>
          <w:tcPr>
            <w:tcW w:w="765" w:type="dxa"/>
            <w:tcBorders>
              <w:bottom w:val="single" w:sz="6" w:space="0" w:color="auto"/>
            </w:tcBorders>
          </w:tcPr>
          <w:p w14:paraId="06F40D32"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8.1</w:t>
            </w:r>
          </w:p>
        </w:tc>
        <w:tc>
          <w:tcPr>
            <w:tcW w:w="907" w:type="dxa"/>
            <w:tcBorders>
              <w:bottom w:val="single" w:sz="6" w:space="0" w:color="auto"/>
            </w:tcBorders>
          </w:tcPr>
          <w:p w14:paraId="5BAAE133" w14:textId="77777777" w:rsidR="005E614D" w:rsidRDefault="000C3A94">
            <w:pPr>
              <w:cnfStyle w:val="000000000000" w:firstRow="0" w:lastRow="0" w:firstColumn="0" w:lastColumn="0" w:oddVBand="0" w:evenVBand="0" w:oddHBand="0" w:evenHBand="0" w:firstRowFirstColumn="0" w:firstRowLastColumn="0" w:lastRowFirstColumn="0" w:lastRowLastColumn="0"/>
            </w:pPr>
            <w:r>
              <w:t>17 241</w:t>
            </w:r>
          </w:p>
        </w:tc>
        <w:tc>
          <w:tcPr>
            <w:tcW w:w="907" w:type="dxa"/>
            <w:tcBorders>
              <w:bottom w:val="single" w:sz="6" w:space="0" w:color="auto"/>
            </w:tcBorders>
          </w:tcPr>
          <w:p w14:paraId="458E378C" w14:textId="77777777" w:rsidR="005E614D" w:rsidRDefault="000C3A94">
            <w:pPr>
              <w:cnfStyle w:val="000000000000" w:firstRow="0" w:lastRow="0" w:firstColumn="0" w:lastColumn="0" w:oddVBand="0" w:evenVBand="0" w:oddHBand="0" w:evenHBand="0" w:firstRowFirstColumn="0" w:firstRowLastColumn="0" w:lastRowFirstColumn="0" w:lastRowLastColumn="0"/>
            </w:pPr>
            <w:r>
              <w:t>18 528</w:t>
            </w:r>
          </w:p>
        </w:tc>
        <w:tc>
          <w:tcPr>
            <w:tcW w:w="907" w:type="dxa"/>
            <w:tcBorders>
              <w:bottom w:val="single" w:sz="6" w:space="0" w:color="auto"/>
            </w:tcBorders>
          </w:tcPr>
          <w:p w14:paraId="7BF5BD6A" w14:textId="77777777" w:rsidR="005E614D" w:rsidRDefault="000C3A94">
            <w:pPr>
              <w:cnfStyle w:val="000000000000" w:firstRow="0" w:lastRow="0" w:firstColumn="0" w:lastColumn="0" w:oddVBand="0" w:evenVBand="0" w:oddHBand="0" w:evenHBand="0" w:firstRowFirstColumn="0" w:firstRowLastColumn="0" w:lastRowFirstColumn="0" w:lastRowLastColumn="0"/>
            </w:pPr>
            <w:r>
              <w:t>10 454</w:t>
            </w:r>
          </w:p>
        </w:tc>
        <w:tc>
          <w:tcPr>
            <w:tcW w:w="907" w:type="dxa"/>
            <w:tcBorders>
              <w:bottom w:val="single" w:sz="6" w:space="0" w:color="auto"/>
            </w:tcBorders>
          </w:tcPr>
          <w:p w14:paraId="1D707742"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12 875</w:t>
            </w:r>
          </w:p>
        </w:tc>
      </w:tr>
      <w:tr w:rsidR="005E614D" w14:paraId="2FD502D0" w14:textId="77777777" w:rsidTr="005E614D">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3C10705D" w14:textId="77777777" w:rsidR="005E614D" w:rsidRDefault="000C3A94">
            <w:r>
              <w:rPr>
                <w:b/>
              </w:rPr>
              <w:t>Net lending/(borrowing)</w:t>
            </w:r>
          </w:p>
        </w:tc>
        <w:tc>
          <w:tcPr>
            <w:tcW w:w="765" w:type="dxa"/>
            <w:tcBorders>
              <w:top w:val="single" w:sz="6" w:space="0" w:color="auto"/>
              <w:bottom w:val="single" w:sz="12" w:space="0" w:color="auto"/>
            </w:tcBorders>
          </w:tcPr>
          <w:p w14:paraId="5DB372BB"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bottom w:val="single" w:sz="12" w:space="0" w:color="auto"/>
            </w:tcBorders>
          </w:tcPr>
          <w:p w14:paraId="48454CB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(23 417)</w:t>
            </w:r>
          </w:p>
        </w:tc>
        <w:tc>
          <w:tcPr>
            <w:tcW w:w="907" w:type="dxa"/>
            <w:tcBorders>
              <w:top w:val="single" w:sz="6" w:space="0" w:color="auto"/>
              <w:bottom w:val="single" w:sz="12" w:space="0" w:color="auto"/>
            </w:tcBorders>
          </w:tcPr>
          <w:p w14:paraId="259C1D8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(26 987)</w:t>
            </w:r>
          </w:p>
        </w:tc>
        <w:tc>
          <w:tcPr>
            <w:tcW w:w="907" w:type="dxa"/>
            <w:tcBorders>
              <w:top w:val="single" w:sz="6" w:space="0" w:color="auto"/>
              <w:bottom w:val="single" w:sz="12" w:space="0" w:color="auto"/>
            </w:tcBorders>
          </w:tcPr>
          <w:p w14:paraId="7126C91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(13 079)</w:t>
            </w:r>
          </w:p>
        </w:tc>
        <w:tc>
          <w:tcPr>
            <w:tcW w:w="907" w:type="dxa"/>
            <w:tcBorders>
              <w:top w:val="single" w:sz="6" w:space="0" w:color="auto"/>
              <w:bottom w:val="single" w:sz="12" w:space="0" w:color="auto"/>
            </w:tcBorders>
          </w:tcPr>
          <w:p w14:paraId="77FC945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(17 099)</w:t>
            </w:r>
          </w:p>
        </w:tc>
      </w:tr>
    </w:tbl>
    <w:p w14:paraId="0C50659F" w14:textId="77777777" w:rsidR="004D42F9" w:rsidRDefault="004D42F9" w:rsidP="004D42F9">
      <w:pPr>
        <w:pStyle w:val="Source"/>
      </w:pPr>
      <w:r>
        <w:t>The accompanying notes form part of these financial statements.</w:t>
      </w:r>
    </w:p>
    <w:p w14:paraId="0357413C" w14:textId="77777777" w:rsidR="004D42F9" w:rsidRDefault="004D42F9" w:rsidP="004D42F9"/>
    <w:p w14:paraId="456E3E50" w14:textId="77777777" w:rsidR="004D42F9" w:rsidRDefault="004D42F9" w:rsidP="004D42F9"/>
    <w:p w14:paraId="315960A6" w14:textId="77777777" w:rsidR="004D42F9" w:rsidRDefault="004D42F9" w:rsidP="004D42F9">
      <w:pPr>
        <w:pStyle w:val="Heading1"/>
        <w:pageBreakBefore/>
      </w:pPr>
      <w:bookmarkStart w:id="40" w:name="ConsolidatedBS"/>
      <w:bookmarkStart w:id="41" w:name="_Toc176189347"/>
      <w:bookmarkStart w:id="42" w:name="_Toc203394892"/>
      <w:r>
        <w:lastRenderedPageBreak/>
        <w:t>Consolidated balance sheet</w:t>
      </w:r>
      <w:bookmarkEnd w:id="40"/>
      <w:bookmarkEnd w:id="41"/>
      <w:bookmarkEnd w:id="42"/>
    </w:p>
    <w:p w14:paraId="4CDD9520" w14:textId="77777777" w:rsidR="004D42F9" w:rsidRDefault="004D42F9" w:rsidP="004D42F9">
      <w:pPr>
        <w:pStyle w:val="TableHeading"/>
      </w:pPr>
      <w:r>
        <w:t>As at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Consolidated_BS|TableGroup:Investment in other sectors"/>
      </w:tblPr>
      <w:tblGrid>
        <w:gridCol w:w="5103"/>
        <w:gridCol w:w="709"/>
        <w:gridCol w:w="956"/>
        <w:gridCol w:w="957"/>
        <w:gridCol w:w="956"/>
        <w:gridCol w:w="957"/>
      </w:tblGrid>
      <w:tr w:rsidR="005E614D" w14:paraId="77462B2B"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9D9BA9C" w14:textId="77777777" w:rsidR="005E614D" w:rsidRDefault="005E614D">
            <w:pPr>
              <w:keepNext/>
            </w:pPr>
          </w:p>
        </w:tc>
        <w:tc>
          <w:tcPr>
            <w:tcW w:w="709" w:type="dxa"/>
          </w:tcPr>
          <w:p w14:paraId="50D8AC5E" w14:textId="77777777" w:rsidR="005E614D" w:rsidRDefault="005E614D">
            <w:pPr>
              <w:keepNext/>
              <w:jc w:val="center"/>
              <w:cnfStyle w:val="100000000000" w:firstRow="1" w:lastRow="0" w:firstColumn="0" w:lastColumn="0" w:oddVBand="0" w:evenVBand="0" w:oddHBand="0" w:evenHBand="0" w:firstRowFirstColumn="0" w:firstRowLastColumn="0" w:lastRowFirstColumn="0" w:lastRowLastColumn="0"/>
            </w:pPr>
          </w:p>
        </w:tc>
        <w:tc>
          <w:tcPr>
            <w:tcW w:w="1913" w:type="dxa"/>
            <w:gridSpan w:val="2"/>
          </w:tcPr>
          <w:p w14:paraId="235966BF"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37C763A3" w14:textId="568FC29F"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5A4691">
              <w:br/>
            </w:r>
            <w:r>
              <w:t>government sector</w:t>
            </w:r>
          </w:p>
        </w:tc>
      </w:tr>
      <w:tr w:rsidR="005E614D" w14:paraId="4237E3BF"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9F31159" w14:textId="77777777" w:rsidR="005E614D" w:rsidRDefault="005E614D">
            <w:pPr>
              <w:keepNext/>
            </w:pPr>
          </w:p>
        </w:tc>
        <w:tc>
          <w:tcPr>
            <w:tcW w:w="709" w:type="dxa"/>
          </w:tcPr>
          <w:p w14:paraId="5CED5F91"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56" w:type="dxa"/>
          </w:tcPr>
          <w:p w14:paraId="19782E85"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329D6CE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c>
          <w:tcPr>
            <w:tcW w:w="956" w:type="dxa"/>
          </w:tcPr>
          <w:p w14:paraId="5C6873F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2E34FF6E"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r>
      <w:tr w:rsidR="005E614D" w14:paraId="659A09D4" w14:textId="77777777">
        <w:tc>
          <w:tcPr>
            <w:cnfStyle w:val="001000000000" w:firstRow="0" w:lastRow="0" w:firstColumn="1" w:lastColumn="0" w:oddVBand="0" w:evenVBand="0" w:oddHBand="0" w:evenHBand="0" w:firstRowFirstColumn="0" w:firstRowLastColumn="0" w:lastRowFirstColumn="0" w:lastRowLastColumn="0"/>
            <w:tcW w:w="5103" w:type="dxa"/>
          </w:tcPr>
          <w:p w14:paraId="7528E67B" w14:textId="77777777" w:rsidR="005E614D" w:rsidRDefault="000C3A94">
            <w:r>
              <w:rPr>
                <w:b/>
              </w:rPr>
              <w:t>Assets</w:t>
            </w:r>
          </w:p>
        </w:tc>
        <w:tc>
          <w:tcPr>
            <w:tcW w:w="709" w:type="dxa"/>
          </w:tcPr>
          <w:p w14:paraId="3D1F038E"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9D836A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26B4826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Pr>
          <w:p w14:paraId="75FA661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222AF8D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96E623B" w14:textId="77777777">
        <w:tc>
          <w:tcPr>
            <w:cnfStyle w:val="001000000000" w:firstRow="0" w:lastRow="0" w:firstColumn="1" w:lastColumn="0" w:oddVBand="0" w:evenVBand="0" w:oddHBand="0" w:evenHBand="0" w:firstRowFirstColumn="0" w:firstRowLastColumn="0" w:lastRowFirstColumn="0" w:lastRowLastColumn="0"/>
            <w:tcW w:w="5103" w:type="dxa"/>
          </w:tcPr>
          <w:p w14:paraId="6177F829" w14:textId="77777777" w:rsidR="005E614D" w:rsidRDefault="000C3A94">
            <w:r>
              <w:rPr>
                <w:b/>
              </w:rPr>
              <w:t>Financial assets</w:t>
            </w:r>
          </w:p>
        </w:tc>
        <w:tc>
          <w:tcPr>
            <w:tcW w:w="709" w:type="dxa"/>
          </w:tcPr>
          <w:p w14:paraId="5278172F"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41E3B3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76D1ADD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Pr>
          <w:p w14:paraId="65066E7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42C98E8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8CD270E" w14:textId="77777777">
        <w:tc>
          <w:tcPr>
            <w:cnfStyle w:val="001000000000" w:firstRow="0" w:lastRow="0" w:firstColumn="1" w:lastColumn="0" w:oddVBand="0" w:evenVBand="0" w:oddHBand="0" w:evenHBand="0" w:firstRowFirstColumn="0" w:firstRowLastColumn="0" w:lastRowFirstColumn="0" w:lastRowLastColumn="0"/>
            <w:tcW w:w="5103" w:type="dxa"/>
          </w:tcPr>
          <w:p w14:paraId="2ABB5551" w14:textId="77777777" w:rsidR="005E614D" w:rsidRDefault="000C3A94">
            <w:r>
              <w:t>Cash and deposits</w:t>
            </w:r>
          </w:p>
        </w:tc>
        <w:tc>
          <w:tcPr>
            <w:tcW w:w="709" w:type="dxa"/>
          </w:tcPr>
          <w:p w14:paraId="6FC4BCC5"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5.4</w:t>
            </w:r>
          </w:p>
        </w:tc>
        <w:tc>
          <w:tcPr>
            <w:tcW w:w="956" w:type="dxa"/>
          </w:tcPr>
          <w:p w14:paraId="698AC22E" w14:textId="77777777" w:rsidR="005E614D" w:rsidRDefault="000C3A94">
            <w:pPr>
              <w:cnfStyle w:val="000000000000" w:firstRow="0" w:lastRow="0" w:firstColumn="0" w:lastColumn="0" w:oddVBand="0" w:evenVBand="0" w:oddHBand="0" w:evenHBand="0" w:firstRowFirstColumn="0" w:firstRowLastColumn="0" w:lastRowFirstColumn="0" w:lastRowLastColumn="0"/>
            </w:pPr>
            <w:r>
              <w:t>20 450</w:t>
            </w:r>
          </w:p>
        </w:tc>
        <w:tc>
          <w:tcPr>
            <w:tcW w:w="957" w:type="dxa"/>
          </w:tcPr>
          <w:p w14:paraId="0B485F37" w14:textId="77777777" w:rsidR="005E614D" w:rsidRDefault="000C3A94">
            <w:pPr>
              <w:cnfStyle w:val="000000000000" w:firstRow="0" w:lastRow="0" w:firstColumn="0" w:lastColumn="0" w:oddVBand="0" w:evenVBand="0" w:oddHBand="0" w:evenHBand="0" w:firstRowFirstColumn="0" w:firstRowLastColumn="0" w:lastRowFirstColumn="0" w:lastRowLastColumn="0"/>
            </w:pPr>
            <w:r>
              <w:t>19 595</w:t>
            </w:r>
          </w:p>
        </w:tc>
        <w:tc>
          <w:tcPr>
            <w:tcW w:w="956" w:type="dxa"/>
          </w:tcPr>
          <w:p w14:paraId="72798829"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12 800</w:t>
            </w:r>
          </w:p>
        </w:tc>
        <w:tc>
          <w:tcPr>
            <w:tcW w:w="957" w:type="dxa"/>
          </w:tcPr>
          <w:p w14:paraId="3B697C2A" w14:textId="77777777" w:rsidR="005E614D" w:rsidRDefault="000C3A94">
            <w:pPr>
              <w:cnfStyle w:val="000000000000" w:firstRow="0" w:lastRow="0" w:firstColumn="0" w:lastColumn="0" w:oddVBand="0" w:evenVBand="0" w:oddHBand="0" w:evenHBand="0" w:firstRowFirstColumn="0" w:firstRowLastColumn="0" w:lastRowFirstColumn="0" w:lastRowLastColumn="0"/>
            </w:pPr>
            <w:r>
              <w:t>14 306</w:t>
            </w:r>
          </w:p>
        </w:tc>
      </w:tr>
      <w:tr w:rsidR="005E614D" w14:paraId="3ED0082B" w14:textId="77777777">
        <w:tc>
          <w:tcPr>
            <w:cnfStyle w:val="001000000000" w:firstRow="0" w:lastRow="0" w:firstColumn="1" w:lastColumn="0" w:oddVBand="0" w:evenVBand="0" w:oddHBand="0" w:evenHBand="0" w:firstRowFirstColumn="0" w:firstRowLastColumn="0" w:lastRowFirstColumn="0" w:lastRowLastColumn="0"/>
            <w:tcW w:w="5103" w:type="dxa"/>
          </w:tcPr>
          <w:p w14:paraId="51602F15" w14:textId="77777777" w:rsidR="005E614D" w:rsidRDefault="000C3A94">
            <w:r>
              <w:t>Advances paid</w:t>
            </w:r>
          </w:p>
        </w:tc>
        <w:tc>
          <w:tcPr>
            <w:tcW w:w="709" w:type="dxa"/>
          </w:tcPr>
          <w:p w14:paraId="71FB2127"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5.5</w:t>
            </w:r>
          </w:p>
        </w:tc>
        <w:tc>
          <w:tcPr>
            <w:tcW w:w="956" w:type="dxa"/>
          </w:tcPr>
          <w:p w14:paraId="4A33BDEB" w14:textId="77777777" w:rsidR="005E614D" w:rsidRDefault="000C3A94">
            <w:pPr>
              <w:cnfStyle w:val="000000000000" w:firstRow="0" w:lastRow="0" w:firstColumn="0" w:lastColumn="0" w:oddVBand="0" w:evenVBand="0" w:oddHBand="0" w:evenHBand="0" w:firstRowFirstColumn="0" w:firstRowLastColumn="0" w:lastRowFirstColumn="0" w:lastRowLastColumn="0"/>
            </w:pPr>
            <w:r>
              <w:t>412</w:t>
            </w:r>
          </w:p>
        </w:tc>
        <w:tc>
          <w:tcPr>
            <w:tcW w:w="957" w:type="dxa"/>
          </w:tcPr>
          <w:p w14:paraId="3E09B7D0" w14:textId="77777777" w:rsidR="005E614D" w:rsidRDefault="000C3A94">
            <w:pPr>
              <w:cnfStyle w:val="000000000000" w:firstRow="0" w:lastRow="0" w:firstColumn="0" w:lastColumn="0" w:oddVBand="0" w:evenVBand="0" w:oddHBand="0" w:evenHBand="0" w:firstRowFirstColumn="0" w:firstRowLastColumn="0" w:lastRowFirstColumn="0" w:lastRowLastColumn="0"/>
            </w:pPr>
            <w:r>
              <w:t>521</w:t>
            </w:r>
          </w:p>
        </w:tc>
        <w:tc>
          <w:tcPr>
            <w:tcW w:w="956" w:type="dxa"/>
          </w:tcPr>
          <w:p w14:paraId="15DD7F6E" w14:textId="77777777" w:rsidR="005E614D" w:rsidRDefault="000C3A94">
            <w:pPr>
              <w:cnfStyle w:val="000000000000" w:firstRow="0" w:lastRow="0" w:firstColumn="0" w:lastColumn="0" w:oddVBand="0" w:evenVBand="0" w:oddHBand="0" w:evenHBand="0" w:firstRowFirstColumn="0" w:firstRowLastColumn="0" w:lastRowFirstColumn="0" w:lastRowLastColumn="0"/>
            </w:pPr>
            <w:r>
              <w:t>6 407</w:t>
            </w:r>
          </w:p>
        </w:tc>
        <w:tc>
          <w:tcPr>
            <w:tcW w:w="957" w:type="dxa"/>
          </w:tcPr>
          <w:p w14:paraId="6D6E62C5" w14:textId="77777777" w:rsidR="005E614D" w:rsidRDefault="000C3A94">
            <w:pPr>
              <w:cnfStyle w:val="000000000000" w:firstRow="0" w:lastRow="0" w:firstColumn="0" w:lastColumn="0" w:oddVBand="0" w:evenVBand="0" w:oddHBand="0" w:evenHBand="0" w:firstRowFirstColumn="0" w:firstRowLastColumn="0" w:lastRowFirstColumn="0" w:lastRowLastColumn="0"/>
            </w:pPr>
            <w:r>
              <w:t>6 421</w:t>
            </w:r>
          </w:p>
        </w:tc>
      </w:tr>
      <w:tr w:rsidR="005E614D" w14:paraId="4E06CCCA" w14:textId="77777777">
        <w:tc>
          <w:tcPr>
            <w:cnfStyle w:val="001000000000" w:firstRow="0" w:lastRow="0" w:firstColumn="1" w:lastColumn="0" w:oddVBand="0" w:evenVBand="0" w:oddHBand="0" w:evenHBand="0" w:firstRowFirstColumn="0" w:firstRowLastColumn="0" w:lastRowFirstColumn="0" w:lastRowLastColumn="0"/>
            <w:tcW w:w="5103" w:type="dxa"/>
          </w:tcPr>
          <w:p w14:paraId="4DD622FA" w14:textId="77777777" w:rsidR="005E614D" w:rsidRDefault="000C3A94">
            <w:r>
              <w:t>Receivables and contract assets</w:t>
            </w:r>
          </w:p>
        </w:tc>
        <w:tc>
          <w:tcPr>
            <w:tcW w:w="709" w:type="dxa"/>
          </w:tcPr>
          <w:p w14:paraId="2B08A3FE"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2.7</w:t>
            </w:r>
          </w:p>
        </w:tc>
        <w:tc>
          <w:tcPr>
            <w:tcW w:w="956" w:type="dxa"/>
          </w:tcPr>
          <w:p w14:paraId="05881295" w14:textId="77777777" w:rsidR="005E614D" w:rsidRDefault="000C3A94">
            <w:pPr>
              <w:cnfStyle w:val="000000000000" w:firstRow="0" w:lastRow="0" w:firstColumn="0" w:lastColumn="0" w:oddVBand="0" w:evenVBand="0" w:oddHBand="0" w:evenHBand="0" w:firstRowFirstColumn="0" w:firstRowLastColumn="0" w:lastRowFirstColumn="0" w:lastRowLastColumn="0"/>
            </w:pPr>
            <w:r>
              <w:t>14 427</w:t>
            </w:r>
          </w:p>
        </w:tc>
        <w:tc>
          <w:tcPr>
            <w:tcW w:w="957" w:type="dxa"/>
          </w:tcPr>
          <w:p w14:paraId="503D804C" w14:textId="77777777" w:rsidR="005E614D" w:rsidRDefault="000C3A94">
            <w:pPr>
              <w:cnfStyle w:val="000000000000" w:firstRow="0" w:lastRow="0" w:firstColumn="0" w:lastColumn="0" w:oddVBand="0" w:evenVBand="0" w:oddHBand="0" w:evenHBand="0" w:firstRowFirstColumn="0" w:firstRowLastColumn="0" w:lastRowFirstColumn="0" w:lastRowLastColumn="0"/>
            </w:pPr>
            <w:r>
              <w:t>14 129</w:t>
            </w:r>
          </w:p>
        </w:tc>
        <w:tc>
          <w:tcPr>
            <w:tcW w:w="956" w:type="dxa"/>
          </w:tcPr>
          <w:p w14:paraId="626FB6DA" w14:textId="77777777" w:rsidR="005E614D" w:rsidRDefault="000C3A94">
            <w:pPr>
              <w:cnfStyle w:val="000000000000" w:firstRow="0" w:lastRow="0" w:firstColumn="0" w:lastColumn="0" w:oddVBand="0" w:evenVBand="0" w:oddHBand="0" w:evenHBand="0" w:firstRowFirstColumn="0" w:firstRowLastColumn="0" w:lastRowFirstColumn="0" w:lastRowLastColumn="0"/>
            </w:pPr>
            <w:r>
              <w:t>10 203</w:t>
            </w:r>
          </w:p>
        </w:tc>
        <w:tc>
          <w:tcPr>
            <w:tcW w:w="957" w:type="dxa"/>
          </w:tcPr>
          <w:p w14:paraId="72C6C1D4" w14:textId="77777777" w:rsidR="005E614D" w:rsidRDefault="000C3A94">
            <w:pPr>
              <w:cnfStyle w:val="000000000000" w:firstRow="0" w:lastRow="0" w:firstColumn="0" w:lastColumn="0" w:oddVBand="0" w:evenVBand="0" w:oddHBand="0" w:evenHBand="0" w:firstRowFirstColumn="0" w:firstRowLastColumn="0" w:lastRowFirstColumn="0" w:lastRowLastColumn="0"/>
            </w:pPr>
            <w:r>
              <w:t>10 163</w:t>
            </w:r>
          </w:p>
        </w:tc>
      </w:tr>
      <w:tr w:rsidR="005E614D" w14:paraId="13E19426" w14:textId="77777777">
        <w:tc>
          <w:tcPr>
            <w:cnfStyle w:val="001000000000" w:firstRow="0" w:lastRow="0" w:firstColumn="1" w:lastColumn="0" w:oddVBand="0" w:evenVBand="0" w:oddHBand="0" w:evenHBand="0" w:firstRowFirstColumn="0" w:firstRowLastColumn="0" w:lastRowFirstColumn="0" w:lastRowLastColumn="0"/>
            <w:tcW w:w="5103" w:type="dxa"/>
          </w:tcPr>
          <w:p w14:paraId="75EB3513" w14:textId="77777777" w:rsidR="005E614D" w:rsidRDefault="000C3A94">
            <w:r>
              <w:t>Investments, loans and placements</w:t>
            </w:r>
          </w:p>
        </w:tc>
        <w:tc>
          <w:tcPr>
            <w:tcW w:w="709" w:type="dxa"/>
          </w:tcPr>
          <w:p w14:paraId="5B6015F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5.5</w:t>
            </w:r>
          </w:p>
        </w:tc>
        <w:tc>
          <w:tcPr>
            <w:tcW w:w="956" w:type="dxa"/>
          </w:tcPr>
          <w:p w14:paraId="10383699" w14:textId="77777777" w:rsidR="005E614D" w:rsidRDefault="000C3A94">
            <w:pPr>
              <w:cnfStyle w:val="000000000000" w:firstRow="0" w:lastRow="0" w:firstColumn="0" w:lastColumn="0" w:oddVBand="0" w:evenVBand="0" w:oddHBand="0" w:evenHBand="0" w:firstRowFirstColumn="0" w:firstRowLastColumn="0" w:lastRowFirstColumn="0" w:lastRowLastColumn="0"/>
            </w:pPr>
            <w:r>
              <w:t>90 144</w:t>
            </w:r>
          </w:p>
        </w:tc>
        <w:tc>
          <w:tcPr>
            <w:tcW w:w="957" w:type="dxa"/>
          </w:tcPr>
          <w:p w14:paraId="57933B16" w14:textId="77777777" w:rsidR="005E614D" w:rsidRDefault="000C3A94">
            <w:pPr>
              <w:cnfStyle w:val="000000000000" w:firstRow="0" w:lastRow="0" w:firstColumn="0" w:lastColumn="0" w:oddVBand="0" w:evenVBand="0" w:oddHBand="0" w:evenHBand="0" w:firstRowFirstColumn="0" w:firstRowLastColumn="0" w:lastRowFirstColumn="0" w:lastRowLastColumn="0"/>
            </w:pPr>
            <w:r>
              <w:t>81 054</w:t>
            </w:r>
          </w:p>
        </w:tc>
        <w:tc>
          <w:tcPr>
            <w:tcW w:w="956" w:type="dxa"/>
          </w:tcPr>
          <w:p w14:paraId="464E9AFA" w14:textId="77777777" w:rsidR="005E614D" w:rsidRDefault="000C3A94">
            <w:pPr>
              <w:cnfStyle w:val="000000000000" w:firstRow="0" w:lastRow="0" w:firstColumn="0" w:lastColumn="0" w:oddVBand="0" w:evenVBand="0" w:oddHBand="0" w:evenHBand="0" w:firstRowFirstColumn="0" w:firstRowLastColumn="0" w:lastRowFirstColumn="0" w:lastRowLastColumn="0"/>
            </w:pPr>
            <w:r>
              <w:t>17 781</w:t>
            </w:r>
          </w:p>
        </w:tc>
        <w:tc>
          <w:tcPr>
            <w:tcW w:w="957" w:type="dxa"/>
          </w:tcPr>
          <w:p w14:paraId="509C3672" w14:textId="77777777" w:rsidR="005E614D" w:rsidRDefault="000C3A94">
            <w:pPr>
              <w:cnfStyle w:val="000000000000" w:firstRow="0" w:lastRow="0" w:firstColumn="0" w:lastColumn="0" w:oddVBand="0" w:evenVBand="0" w:oddHBand="0" w:evenHBand="0" w:firstRowFirstColumn="0" w:firstRowLastColumn="0" w:lastRowFirstColumn="0" w:lastRowLastColumn="0"/>
            </w:pPr>
            <w:r>
              <w:t>14 866</w:t>
            </w:r>
          </w:p>
        </w:tc>
      </w:tr>
      <w:tr w:rsidR="005E614D" w14:paraId="1929F7BE" w14:textId="77777777">
        <w:tc>
          <w:tcPr>
            <w:cnfStyle w:val="001000000000" w:firstRow="0" w:lastRow="0" w:firstColumn="1" w:lastColumn="0" w:oddVBand="0" w:evenVBand="0" w:oddHBand="0" w:evenHBand="0" w:firstRowFirstColumn="0" w:firstRowLastColumn="0" w:lastRowFirstColumn="0" w:lastRowLastColumn="0"/>
            <w:tcW w:w="5103" w:type="dxa"/>
          </w:tcPr>
          <w:p w14:paraId="4FFD3C63" w14:textId="77777777" w:rsidR="005E614D" w:rsidRDefault="000C3A94">
            <w:r>
              <w:t>Investments accounted for using the equity method</w:t>
            </w:r>
          </w:p>
        </w:tc>
        <w:tc>
          <w:tcPr>
            <w:tcW w:w="709" w:type="dxa"/>
          </w:tcPr>
          <w:p w14:paraId="41027FDA"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4.4.1</w:t>
            </w:r>
          </w:p>
        </w:tc>
        <w:tc>
          <w:tcPr>
            <w:tcW w:w="956" w:type="dxa"/>
          </w:tcPr>
          <w:p w14:paraId="17EF9887" w14:textId="77777777" w:rsidR="005E614D" w:rsidRDefault="000C3A94">
            <w:pPr>
              <w:cnfStyle w:val="000000000000" w:firstRow="0" w:lastRow="0" w:firstColumn="0" w:lastColumn="0" w:oddVBand="0" w:evenVBand="0" w:oddHBand="0" w:evenHBand="0" w:firstRowFirstColumn="0" w:firstRowLastColumn="0" w:lastRowFirstColumn="0" w:lastRowLastColumn="0"/>
            </w:pPr>
            <w:r>
              <w:t>1 329</w:t>
            </w:r>
          </w:p>
        </w:tc>
        <w:tc>
          <w:tcPr>
            <w:tcW w:w="957" w:type="dxa"/>
          </w:tcPr>
          <w:p w14:paraId="5DBB2DB6" w14:textId="77777777" w:rsidR="005E614D" w:rsidRDefault="000C3A94">
            <w:pPr>
              <w:cnfStyle w:val="000000000000" w:firstRow="0" w:lastRow="0" w:firstColumn="0" w:lastColumn="0" w:oddVBand="0" w:evenVBand="0" w:oddHBand="0" w:evenHBand="0" w:firstRowFirstColumn="0" w:firstRowLastColumn="0" w:lastRowFirstColumn="0" w:lastRowLastColumn="0"/>
            </w:pPr>
            <w:r>
              <w:t>1 220</w:t>
            </w:r>
          </w:p>
        </w:tc>
        <w:tc>
          <w:tcPr>
            <w:tcW w:w="956" w:type="dxa"/>
          </w:tcPr>
          <w:p w14:paraId="70D58192"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1 141</w:t>
            </w:r>
          </w:p>
        </w:tc>
        <w:tc>
          <w:tcPr>
            <w:tcW w:w="957" w:type="dxa"/>
          </w:tcPr>
          <w:p w14:paraId="49D8B1CE"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1 143</w:t>
            </w:r>
          </w:p>
        </w:tc>
      </w:tr>
      <w:tr w:rsidR="005E614D" w14:paraId="6AE03B44"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A11E792" w14:textId="77777777" w:rsidR="005E614D" w:rsidRDefault="000C3A94">
            <w:r>
              <w:t>Investments in PNFC and PFC sector entities</w:t>
            </w:r>
          </w:p>
        </w:tc>
        <w:tc>
          <w:tcPr>
            <w:tcW w:w="709" w:type="dxa"/>
            <w:tcBorders>
              <w:bottom w:val="single" w:sz="6" w:space="0" w:color="auto"/>
            </w:tcBorders>
          </w:tcPr>
          <w:p w14:paraId="1BEDCB0C"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4.3</w:t>
            </w:r>
          </w:p>
        </w:tc>
        <w:tc>
          <w:tcPr>
            <w:tcW w:w="956" w:type="dxa"/>
            <w:tcBorders>
              <w:bottom w:val="single" w:sz="6" w:space="0" w:color="auto"/>
            </w:tcBorders>
          </w:tcPr>
          <w:p w14:paraId="0C933A5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0731F12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21FE0F76" w14:textId="77777777" w:rsidR="005E614D" w:rsidRDefault="000C3A94">
            <w:pPr>
              <w:cnfStyle w:val="000000000000" w:firstRow="0" w:lastRow="0" w:firstColumn="0" w:lastColumn="0" w:oddVBand="0" w:evenVBand="0" w:oddHBand="0" w:evenHBand="0" w:firstRowFirstColumn="0" w:firstRowLastColumn="0" w:lastRowFirstColumn="0" w:lastRowLastColumn="0"/>
            </w:pPr>
            <w:r>
              <w:t>96 401</w:t>
            </w:r>
          </w:p>
        </w:tc>
        <w:tc>
          <w:tcPr>
            <w:tcW w:w="957" w:type="dxa"/>
            <w:tcBorders>
              <w:bottom w:val="single" w:sz="6" w:space="0" w:color="auto"/>
            </w:tcBorders>
          </w:tcPr>
          <w:p w14:paraId="2AA3D99E" w14:textId="77777777" w:rsidR="005E614D" w:rsidRDefault="000C3A94">
            <w:pPr>
              <w:cnfStyle w:val="000000000000" w:firstRow="0" w:lastRow="0" w:firstColumn="0" w:lastColumn="0" w:oddVBand="0" w:evenVBand="0" w:oddHBand="0" w:evenHBand="0" w:firstRowFirstColumn="0" w:firstRowLastColumn="0" w:lastRowFirstColumn="0" w:lastRowLastColumn="0"/>
            </w:pPr>
            <w:r>
              <w:t>98 178</w:t>
            </w:r>
          </w:p>
        </w:tc>
      </w:tr>
      <w:tr w:rsidR="005E614D" w14:paraId="3A732AD2"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74E9ABC" w14:textId="77777777" w:rsidR="005E614D" w:rsidRDefault="000C3A94">
            <w:r>
              <w:rPr>
                <w:b/>
              </w:rPr>
              <w:t>Total financial assets</w:t>
            </w:r>
          </w:p>
        </w:tc>
        <w:tc>
          <w:tcPr>
            <w:tcW w:w="709" w:type="dxa"/>
            <w:tcBorders>
              <w:top w:val="single" w:sz="6" w:space="0" w:color="auto"/>
              <w:bottom w:val="single" w:sz="6" w:space="0" w:color="auto"/>
            </w:tcBorders>
          </w:tcPr>
          <w:p w14:paraId="5D930206"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6BC1975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126 762</w:t>
            </w:r>
          </w:p>
        </w:tc>
        <w:tc>
          <w:tcPr>
            <w:tcW w:w="957" w:type="dxa"/>
            <w:tcBorders>
              <w:top w:val="single" w:sz="6" w:space="0" w:color="auto"/>
              <w:bottom w:val="single" w:sz="6" w:space="0" w:color="auto"/>
            </w:tcBorders>
          </w:tcPr>
          <w:p w14:paraId="7CD6D0E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116 519</w:t>
            </w:r>
          </w:p>
        </w:tc>
        <w:tc>
          <w:tcPr>
            <w:tcW w:w="956" w:type="dxa"/>
            <w:tcBorders>
              <w:top w:val="single" w:sz="6" w:space="0" w:color="auto"/>
              <w:bottom w:val="single" w:sz="6" w:space="0" w:color="auto"/>
            </w:tcBorders>
          </w:tcPr>
          <w:p w14:paraId="5819C7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144 732</w:t>
            </w:r>
          </w:p>
        </w:tc>
        <w:tc>
          <w:tcPr>
            <w:tcW w:w="957" w:type="dxa"/>
            <w:tcBorders>
              <w:top w:val="single" w:sz="6" w:space="0" w:color="auto"/>
              <w:bottom w:val="single" w:sz="6" w:space="0" w:color="auto"/>
            </w:tcBorders>
          </w:tcPr>
          <w:p w14:paraId="6FF8E4E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145 077</w:t>
            </w:r>
          </w:p>
        </w:tc>
      </w:tr>
      <w:tr w:rsidR="005E614D" w14:paraId="4C3FB915"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F3E8225" w14:textId="77777777" w:rsidR="005E614D" w:rsidRDefault="000C3A94">
            <w:r>
              <w:rPr>
                <w:b/>
              </w:rPr>
              <w:t>Non</w:t>
            </w:r>
            <w:r>
              <w:rPr>
                <w:b/>
              </w:rPr>
              <w:noBreakHyphen/>
              <w:t>financial assets</w:t>
            </w:r>
          </w:p>
        </w:tc>
        <w:tc>
          <w:tcPr>
            <w:tcW w:w="709" w:type="dxa"/>
            <w:tcBorders>
              <w:top w:val="single" w:sz="6" w:space="0" w:color="auto"/>
            </w:tcBorders>
          </w:tcPr>
          <w:p w14:paraId="4C13A6B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28EEF22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71CD775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72676FD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053B3A7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69ED33E" w14:textId="77777777">
        <w:tc>
          <w:tcPr>
            <w:cnfStyle w:val="001000000000" w:firstRow="0" w:lastRow="0" w:firstColumn="1" w:lastColumn="0" w:oddVBand="0" w:evenVBand="0" w:oddHBand="0" w:evenHBand="0" w:firstRowFirstColumn="0" w:firstRowLastColumn="0" w:lastRowFirstColumn="0" w:lastRowLastColumn="0"/>
            <w:tcW w:w="5103" w:type="dxa"/>
          </w:tcPr>
          <w:p w14:paraId="43AC3524" w14:textId="77777777" w:rsidR="005E614D" w:rsidRDefault="000C3A94">
            <w:r>
              <w:t>Inventories</w:t>
            </w:r>
          </w:p>
        </w:tc>
        <w:tc>
          <w:tcPr>
            <w:tcW w:w="709" w:type="dxa"/>
          </w:tcPr>
          <w:p w14:paraId="407F901A"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78C8101B" w14:textId="77777777" w:rsidR="005E614D" w:rsidRDefault="000C3A94">
            <w:pPr>
              <w:cnfStyle w:val="000000000000" w:firstRow="0" w:lastRow="0" w:firstColumn="0" w:lastColumn="0" w:oddVBand="0" w:evenVBand="0" w:oddHBand="0" w:evenHBand="0" w:firstRowFirstColumn="0" w:firstRowLastColumn="0" w:lastRowFirstColumn="0" w:lastRowLastColumn="0"/>
            </w:pPr>
            <w:r>
              <w:t>1 440</w:t>
            </w:r>
          </w:p>
        </w:tc>
        <w:tc>
          <w:tcPr>
            <w:tcW w:w="957" w:type="dxa"/>
          </w:tcPr>
          <w:p w14:paraId="2E1ED3C5" w14:textId="77777777" w:rsidR="005E614D" w:rsidRDefault="000C3A94">
            <w:pPr>
              <w:cnfStyle w:val="000000000000" w:firstRow="0" w:lastRow="0" w:firstColumn="0" w:lastColumn="0" w:oddVBand="0" w:evenVBand="0" w:oddHBand="0" w:evenHBand="0" w:firstRowFirstColumn="0" w:firstRowLastColumn="0" w:lastRowFirstColumn="0" w:lastRowLastColumn="0"/>
            </w:pPr>
            <w:r>
              <w:t>1 748</w:t>
            </w:r>
          </w:p>
        </w:tc>
        <w:tc>
          <w:tcPr>
            <w:tcW w:w="956" w:type="dxa"/>
          </w:tcPr>
          <w:p w14:paraId="6FAEFF0F" w14:textId="77777777" w:rsidR="005E614D" w:rsidRDefault="000C3A94">
            <w:pPr>
              <w:cnfStyle w:val="000000000000" w:firstRow="0" w:lastRow="0" w:firstColumn="0" w:lastColumn="0" w:oddVBand="0" w:evenVBand="0" w:oddHBand="0" w:evenHBand="0" w:firstRowFirstColumn="0" w:firstRowLastColumn="0" w:lastRowFirstColumn="0" w:lastRowLastColumn="0"/>
            </w:pPr>
            <w:r>
              <w:t>277</w:t>
            </w:r>
          </w:p>
        </w:tc>
        <w:tc>
          <w:tcPr>
            <w:tcW w:w="957" w:type="dxa"/>
          </w:tcPr>
          <w:p w14:paraId="277BE221" w14:textId="77777777" w:rsidR="005E614D" w:rsidRDefault="000C3A94">
            <w:pPr>
              <w:cnfStyle w:val="000000000000" w:firstRow="0" w:lastRow="0" w:firstColumn="0" w:lastColumn="0" w:oddVBand="0" w:evenVBand="0" w:oddHBand="0" w:evenHBand="0" w:firstRowFirstColumn="0" w:firstRowLastColumn="0" w:lastRowFirstColumn="0" w:lastRowLastColumn="0"/>
            </w:pPr>
            <w:r>
              <w:t>402</w:t>
            </w:r>
          </w:p>
        </w:tc>
      </w:tr>
      <w:tr w:rsidR="005E614D" w14:paraId="24B5EEDE" w14:textId="77777777">
        <w:tc>
          <w:tcPr>
            <w:cnfStyle w:val="001000000000" w:firstRow="0" w:lastRow="0" w:firstColumn="1" w:lastColumn="0" w:oddVBand="0" w:evenVBand="0" w:oddHBand="0" w:evenHBand="0" w:firstRowFirstColumn="0" w:firstRowLastColumn="0" w:lastRowFirstColumn="0" w:lastRowLastColumn="0"/>
            <w:tcW w:w="5103" w:type="dxa"/>
          </w:tcPr>
          <w:p w14:paraId="261AE7C3" w14:textId="77777777" w:rsidR="005E614D" w:rsidRDefault="000C3A94">
            <w:r>
              <w:t>Non</w:t>
            </w:r>
            <w:r>
              <w:noBreakHyphen/>
              <w:t>financial assets held for sale</w:t>
            </w:r>
          </w:p>
        </w:tc>
        <w:tc>
          <w:tcPr>
            <w:tcW w:w="709" w:type="dxa"/>
          </w:tcPr>
          <w:p w14:paraId="7139EF7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6A3A674" w14:textId="77777777" w:rsidR="005E614D" w:rsidRDefault="000C3A94">
            <w:pPr>
              <w:cnfStyle w:val="000000000000" w:firstRow="0" w:lastRow="0" w:firstColumn="0" w:lastColumn="0" w:oddVBand="0" w:evenVBand="0" w:oddHBand="0" w:evenHBand="0" w:firstRowFirstColumn="0" w:firstRowLastColumn="0" w:lastRowFirstColumn="0" w:lastRowLastColumn="0"/>
            </w:pPr>
            <w:r>
              <w:t>170</w:t>
            </w:r>
          </w:p>
        </w:tc>
        <w:tc>
          <w:tcPr>
            <w:tcW w:w="957" w:type="dxa"/>
          </w:tcPr>
          <w:p w14:paraId="5F359943" w14:textId="77777777" w:rsidR="005E614D" w:rsidRDefault="000C3A94">
            <w:pPr>
              <w:cnfStyle w:val="000000000000" w:firstRow="0" w:lastRow="0" w:firstColumn="0" w:lastColumn="0" w:oddVBand="0" w:evenVBand="0" w:oddHBand="0" w:evenHBand="0" w:firstRowFirstColumn="0" w:firstRowLastColumn="0" w:lastRowFirstColumn="0" w:lastRowLastColumn="0"/>
            </w:pPr>
            <w:r>
              <w:t>245</w:t>
            </w:r>
          </w:p>
        </w:tc>
        <w:tc>
          <w:tcPr>
            <w:tcW w:w="956" w:type="dxa"/>
          </w:tcPr>
          <w:p w14:paraId="2645997A" w14:textId="77777777" w:rsidR="005E614D" w:rsidRDefault="000C3A94">
            <w:pPr>
              <w:cnfStyle w:val="000000000000" w:firstRow="0" w:lastRow="0" w:firstColumn="0" w:lastColumn="0" w:oddVBand="0" w:evenVBand="0" w:oddHBand="0" w:evenHBand="0" w:firstRowFirstColumn="0" w:firstRowLastColumn="0" w:lastRowFirstColumn="0" w:lastRowLastColumn="0"/>
            </w:pPr>
            <w:r>
              <w:t>145</w:t>
            </w:r>
          </w:p>
        </w:tc>
        <w:tc>
          <w:tcPr>
            <w:tcW w:w="957" w:type="dxa"/>
          </w:tcPr>
          <w:p w14:paraId="571D93A4" w14:textId="77777777" w:rsidR="005E614D" w:rsidRDefault="000C3A94">
            <w:pPr>
              <w:cnfStyle w:val="000000000000" w:firstRow="0" w:lastRow="0" w:firstColumn="0" w:lastColumn="0" w:oddVBand="0" w:evenVBand="0" w:oddHBand="0" w:evenHBand="0" w:firstRowFirstColumn="0" w:firstRowLastColumn="0" w:lastRowFirstColumn="0" w:lastRowLastColumn="0"/>
            </w:pPr>
            <w:r>
              <w:t>232</w:t>
            </w:r>
          </w:p>
        </w:tc>
      </w:tr>
      <w:tr w:rsidR="005E614D" w14:paraId="5FC6BFC6" w14:textId="77777777">
        <w:tc>
          <w:tcPr>
            <w:cnfStyle w:val="001000000000" w:firstRow="0" w:lastRow="0" w:firstColumn="1" w:lastColumn="0" w:oddVBand="0" w:evenVBand="0" w:oddHBand="0" w:evenHBand="0" w:firstRowFirstColumn="0" w:firstRowLastColumn="0" w:lastRowFirstColumn="0" w:lastRowLastColumn="0"/>
            <w:tcW w:w="5103" w:type="dxa"/>
          </w:tcPr>
          <w:p w14:paraId="729990E3" w14:textId="77777777" w:rsidR="005E614D" w:rsidRDefault="000C3A94">
            <w:r>
              <w:t>Land, buildings, infrastructure, plant and equipment</w:t>
            </w:r>
          </w:p>
        </w:tc>
        <w:tc>
          <w:tcPr>
            <w:tcW w:w="709" w:type="dxa"/>
          </w:tcPr>
          <w:p w14:paraId="0858574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4.1.1</w:t>
            </w:r>
          </w:p>
        </w:tc>
        <w:tc>
          <w:tcPr>
            <w:tcW w:w="956" w:type="dxa"/>
          </w:tcPr>
          <w:p w14:paraId="4019916B" w14:textId="77777777" w:rsidR="005E614D" w:rsidRDefault="000C3A94">
            <w:pPr>
              <w:cnfStyle w:val="000000000000" w:firstRow="0" w:lastRow="0" w:firstColumn="0" w:lastColumn="0" w:oddVBand="0" w:evenVBand="0" w:oddHBand="0" w:evenHBand="0" w:firstRowFirstColumn="0" w:firstRowLastColumn="0" w:lastRowFirstColumn="0" w:lastRowLastColumn="0"/>
            </w:pPr>
            <w:r>
              <w:t>501 720</w:t>
            </w:r>
          </w:p>
        </w:tc>
        <w:tc>
          <w:tcPr>
            <w:tcW w:w="957" w:type="dxa"/>
          </w:tcPr>
          <w:p w14:paraId="2FEC800D" w14:textId="77777777" w:rsidR="005E614D" w:rsidRDefault="000C3A94">
            <w:pPr>
              <w:cnfStyle w:val="000000000000" w:firstRow="0" w:lastRow="0" w:firstColumn="0" w:lastColumn="0" w:oddVBand="0" w:evenVBand="0" w:oddHBand="0" w:evenHBand="0" w:firstRowFirstColumn="0" w:firstRowLastColumn="0" w:lastRowFirstColumn="0" w:lastRowLastColumn="0"/>
            </w:pPr>
            <w:r>
              <w:t>436 678</w:t>
            </w:r>
          </w:p>
        </w:tc>
        <w:tc>
          <w:tcPr>
            <w:tcW w:w="956" w:type="dxa"/>
          </w:tcPr>
          <w:p w14:paraId="1EF945D2" w14:textId="77777777" w:rsidR="005E614D" w:rsidRDefault="000C3A94">
            <w:pPr>
              <w:cnfStyle w:val="000000000000" w:firstRow="0" w:lastRow="0" w:firstColumn="0" w:lastColumn="0" w:oddVBand="0" w:evenVBand="0" w:oddHBand="0" w:evenHBand="0" w:firstRowFirstColumn="0" w:firstRowLastColumn="0" w:lastRowFirstColumn="0" w:lastRowLastColumn="0"/>
            </w:pPr>
            <w:r>
              <w:t>288 244</w:t>
            </w:r>
          </w:p>
        </w:tc>
        <w:tc>
          <w:tcPr>
            <w:tcW w:w="957" w:type="dxa"/>
          </w:tcPr>
          <w:p w14:paraId="5BF84D9F" w14:textId="77777777" w:rsidR="005E614D" w:rsidRDefault="000C3A94">
            <w:pPr>
              <w:cnfStyle w:val="000000000000" w:firstRow="0" w:lastRow="0" w:firstColumn="0" w:lastColumn="0" w:oddVBand="0" w:evenVBand="0" w:oddHBand="0" w:evenHBand="0" w:firstRowFirstColumn="0" w:firstRowLastColumn="0" w:lastRowFirstColumn="0" w:lastRowLastColumn="0"/>
            </w:pPr>
            <w:r>
              <w:t>269 690</w:t>
            </w:r>
          </w:p>
        </w:tc>
      </w:tr>
      <w:tr w:rsidR="005E614D" w14:paraId="7E386B33"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6B80829" w14:textId="77777777" w:rsidR="005E614D" w:rsidRDefault="000C3A94">
            <w:r>
              <w:t>Other non</w:t>
            </w:r>
            <w:r>
              <w:noBreakHyphen/>
              <w:t>financial assets</w:t>
            </w:r>
          </w:p>
        </w:tc>
        <w:tc>
          <w:tcPr>
            <w:tcW w:w="709" w:type="dxa"/>
            <w:tcBorders>
              <w:bottom w:val="single" w:sz="6" w:space="0" w:color="auto"/>
            </w:tcBorders>
          </w:tcPr>
          <w:p w14:paraId="3D1E090D"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4.2</w:t>
            </w:r>
          </w:p>
        </w:tc>
        <w:tc>
          <w:tcPr>
            <w:tcW w:w="956" w:type="dxa"/>
            <w:tcBorders>
              <w:bottom w:val="single" w:sz="6" w:space="0" w:color="auto"/>
            </w:tcBorders>
          </w:tcPr>
          <w:p w14:paraId="444E10BD" w14:textId="77777777" w:rsidR="005E614D" w:rsidRDefault="000C3A94">
            <w:pPr>
              <w:cnfStyle w:val="000000000000" w:firstRow="0" w:lastRow="0" w:firstColumn="0" w:lastColumn="0" w:oddVBand="0" w:evenVBand="0" w:oddHBand="0" w:evenHBand="0" w:firstRowFirstColumn="0" w:firstRowLastColumn="0" w:lastRowFirstColumn="0" w:lastRowLastColumn="0"/>
            </w:pPr>
            <w:r>
              <w:t>8 015</w:t>
            </w:r>
          </w:p>
        </w:tc>
        <w:tc>
          <w:tcPr>
            <w:tcW w:w="957" w:type="dxa"/>
            <w:tcBorders>
              <w:bottom w:val="single" w:sz="6" w:space="0" w:color="auto"/>
            </w:tcBorders>
          </w:tcPr>
          <w:p w14:paraId="01E4F469" w14:textId="77777777" w:rsidR="005E614D" w:rsidRDefault="000C3A94">
            <w:pPr>
              <w:cnfStyle w:val="000000000000" w:firstRow="0" w:lastRow="0" w:firstColumn="0" w:lastColumn="0" w:oddVBand="0" w:evenVBand="0" w:oddHBand="0" w:evenHBand="0" w:firstRowFirstColumn="0" w:firstRowLastColumn="0" w:lastRowFirstColumn="0" w:lastRowLastColumn="0"/>
            </w:pPr>
            <w:r>
              <w:t>7 505</w:t>
            </w:r>
          </w:p>
        </w:tc>
        <w:tc>
          <w:tcPr>
            <w:tcW w:w="956" w:type="dxa"/>
            <w:tcBorders>
              <w:bottom w:val="single" w:sz="6" w:space="0" w:color="auto"/>
            </w:tcBorders>
          </w:tcPr>
          <w:p w14:paraId="47811A24" w14:textId="77777777" w:rsidR="005E614D" w:rsidRDefault="000C3A94">
            <w:pPr>
              <w:cnfStyle w:val="000000000000" w:firstRow="0" w:lastRow="0" w:firstColumn="0" w:lastColumn="0" w:oddVBand="0" w:evenVBand="0" w:oddHBand="0" w:evenHBand="0" w:firstRowFirstColumn="0" w:firstRowLastColumn="0" w:lastRowFirstColumn="0" w:lastRowLastColumn="0"/>
            </w:pPr>
            <w:r>
              <w:t>6 906</w:t>
            </w:r>
          </w:p>
        </w:tc>
        <w:tc>
          <w:tcPr>
            <w:tcW w:w="957" w:type="dxa"/>
            <w:tcBorders>
              <w:bottom w:val="single" w:sz="6" w:space="0" w:color="auto"/>
            </w:tcBorders>
          </w:tcPr>
          <w:p w14:paraId="3ED4A12F" w14:textId="77777777" w:rsidR="005E614D" w:rsidRDefault="000C3A94">
            <w:pPr>
              <w:cnfStyle w:val="000000000000" w:firstRow="0" w:lastRow="0" w:firstColumn="0" w:lastColumn="0" w:oddVBand="0" w:evenVBand="0" w:oddHBand="0" w:evenHBand="0" w:firstRowFirstColumn="0" w:firstRowLastColumn="0" w:lastRowFirstColumn="0" w:lastRowLastColumn="0"/>
            </w:pPr>
            <w:r>
              <w:t>6 222</w:t>
            </w:r>
          </w:p>
        </w:tc>
      </w:tr>
      <w:tr w:rsidR="005E614D" w14:paraId="762BB3E0"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5758FA4" w14:textId="77777777" w:rsidR="005E614D" w:rsidRDefault="000C3A94">
            <w:r>
              <w:rPr>
                <w:b/>
              </w:rPr>
              <w:t>Total non</w:t>
            </w:r>
            <w:r>
              <w:rPr>
                <w:b/>
              </w:rPr>
              <w:noBreakHyphen/>
              <w:t>financial assets</w:t>
            </w:r>
          </w:p>
        </w:tc>
        <w:tc>
          <w:tcPr>
            <w:tcW w:w="709" w:type="dxa"/>
            <w:tcBorders>
              <w:top w:val="single" w:sz="6" w:space="0" w:color="auto"/>
              <w:bottom w:val="single" w:sz="6" w:space="0" w:color="auto"/>
            </w:tcBorders>
          </w:tcPr>
          <w:p w14:paraId="1A147A32"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1EA08E0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511 345</w:t>
            </w:r>
          </w:p>
        </w:tc>
        <w:tc>
          <w:tcPr>
            <w:tcW w:w="957" w:type="dxa"/>
            <w:tcBorders>
              <w:top w:val="single" w:sz="6" w:space="0" w:color="auto"/>
              <w:bottom w:val="single" w:sz="6" w:space="0" w:color="auto"/>
            </w:tcBorders>
          </w:tcPr>
          <w:p w14:paraId="10768A4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446 177</w:t>
            </w:r>
          </w:p>
        </w:tc>
        <w:tc>
          <w:tcPr>
            <w:tcW w:w="956" w:type="dxa"/>
            <w:tcBorders>
              <w:top w:val="single" w:sz="6" w:space="0" w:color="auto"/>
              <w:bottom w:val="single" w:sz="6" w:space="0" w:color="auto"/>
            </w:tcBorders>
          </w:tcPr>
          <w:p w14:paraId="2EA37B7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295 573</w:t>
            </w:r>
          </w:p>
        </w:tc>
        <w:tc>
          <w:tcPr>
            <w:tcW w:w="957" w:type="dxa"/>
            <w:tcBorders>
              <w:top w:val="single" w:sz="6" w:space="0" w:color="auto"/>
              <w:bottom w:val="single" w:sz="6" w:space="0" w:color="auto"/>
            </w:tcBorders>
          </w:tcPr>
          <w:p w14:paraId="50C379F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276 546</w:t>
            </w:r>
          </w:p>
        </w:tc>
      </w:tr>
      <w:tr w:rsidR="005E614D" w14:paraId="62F4F00F"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5A097D5" w14:textId="77777777" w:rsidR="005E614D" w:rsidRDefault="000C3A94">
            <w:r>
              <w:rPr>
                <w:b/>
              </w:rPr>
              <w:t>Total assets</w:t>
            </w:r>
          </w:p>
        </w:tc>
        <w:tc>
          <w:tcPr>
            <w:tcW w:w="709" w:type="dxa"/>
            <w:tcBorders>
              <w:top w:val="single" w:sz="6" w:space="0" w:color="auto"/>
            </w:tcBorders>
          </w:tcPr>
          <w:p w14:paraId="7CED78CD"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3.9</w:t>
            </w:r>
          </w:p>
        </w:tc>
        <w:tc>
          <w:tcPr>
            <w:tcW w:w="956" w:type="dxa"/>
            <w:tcBorders>
              <w:top w:val="single" w:sz="6" w:space="0" w:color="auto"/>
            </w:tcBorders>
          </w:tcPr>
          <w:p w14:paraId="3D405A0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638 107</w:t>
            </w:r>
          </w:p>
        </w:tc>
        <w:tc>
          <w:tcPr>
            <w:tcW w:w="957" w:type="dxa"/>
            <w:tcBorders>
              <w:top w:val="single" w:sz="6" w:space="0" w:color="auto"/>
            </w:tcBorders>
          </w:tcPr>
          <w:p w14:paraId="68CB1E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562 697</w:t>
            </w:r>
          </w:p>
        </w:tc>
        <w:tc>
          <w:tcPr>
            <w:tcW w:w="956" w:type="dxa"/>
            <w:tcBorders>
              <w:top w:val="single" w:sz="6" w:space="0" w:color="auto"/>
            </w:tcBorders>
          </w:tcPr>
          <w:p w14:paraId="5358520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440 305</w:t>
            </w:r>
          </w:p>
        </w:tc>
        <w:tc>
          <w:tcPr>
            <w:tcW w:w="957" w:type="dxa"/>
            <w:tcBorders>
              <w:top w:val="single" w:sz="6" w:space="0" w:color="auto"/>
            </w:tcBorders>
          </w:tcPr>
          <w:p w14:paraId="7E50205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421 623</w:t>
            </w:r>
          </w:p>
        </w:tc>
      </w:tr>
      <w:tr w:rsidR="005E614D" w14:paraId="79327803" w14:textId="77777777">
        <w:tc>
          <w:tcPr>
            <w:cnfStyle w:val="001000000000" w:firstRow="0" w:lastRow="0" w:firstColumn="1" w:lastColumn="0" w:oddVBand="0" w:evenVBand="0" w:oddHBand="0" w:evenHBand="0" w:firstRowFirstColumn="0" w:firstRowLastColumn="0" w:lastRowFirstColumn="0" w:lastRowLastColumn="0"/>
            <w:tcW w:w="5103" w:type="dxa"/>
          </w:tcPr>
          <w:p w14:paraId="69AA5C78" w14:textId="77777777" w:rsidR="005E614D" w:rsidRDefault="000C3A94">
            <w:r>
              <w:rPr>
                <w:b/>
              </w:rPr>
              <w:t>Liabilities</w:t>
            </w:r>
          </w:p>
        </w:tc>
        <w:tc>
          <w:tcPr>
            <w:tcW w:w="709" w:type="dxa"/>
          </w:tcPr>
          <w:p w14:paraId="47AA4C72"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B439DF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1C10ADF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Pr>
          <w:p w14:paraId="46EE489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3E630E9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471A010" w14:textId="77777777">
        <w:tc>
          <w:tcPr>
            <w:cnfStyle w:val="001000000000" w:firstRow="0" w:lastRow="0" w:firstColumn="1" w:lastColumn="0" w:oddVBand="0" w:evenVBand="0" w:oddHBand="0" w:evenHBand="0" w:firstRowFirstColumn="0" w:firstRowLastColumn="0" w:lastRowFirstColumn="0" w:lastRowLastColumn="0"/>
            <w:tcW w:w="5103" w:type="dxa"/>
          </w:tcPr>
          <w:p w14:paraId="2032F2CB" w14:textId="77777777" w:rsidR="005E614D" w:rsidRDefault="000C3A94">
            <w:r>
              <w:t>Deposits held and advances received</w:t>
            </w:r>
          </w:p>
        </w:tc>
        <w:tc>
          <w:tcPr>
            <w:tcW w:w="709" w:type="dxa"/>
          </w:tcPr>
          <w:p w14:paraId="5D991835"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5.3</w:t>
            </w:r>
          </w:p>
        </w:tc>
        <w:tc>
          <w:tcPr>
            <w:tcW w:w="956" w:type="dxa"/>
          </w:tcPr>
          <w:p w14:paraId="55428783" w14:textId="77777777" w:rsidR="005E614D" w:rsidRDefault="000C3A94">
            <w:pPr>
              <w:cnfStyle w:val="000000000000" w:firstRow="0" w:lastRow="0" w:firstColumn="0" w:lastColumn="0" w:oddVBand="0" w:evenVBand="0" w:oddHBand="0" w:evenHBand="0" w:firstRowFirstColumn="0" w:firstRowLastColumn="0" w:lastRowFirstColumn="0" w:lastRowLastColumn="0"/>
            </w:pPr>
            <w:r>
              <w:t>2 049</w:t>
            </w:r>
          </w:p>
        </w:tc>
        <w:tc>
          <w:tcPr>
            <w:tcW w:w="957" w:type="dxa"/>
          </w:tcPr>
          <w:p w14:paraId="745599C2" w14:textId="77777777" w:rsidR="005E614D" w:rsidRDefault="000C3A94">
            <w:pPr>
              <w:cnfStyle w:val="000000000000" w:firstRow="0" w:lastRow="0" w:firstColumn="0" w:lastColumn="0" w:oddVBand="0" w:evenVBand="0" w:oddHBand="0" w:evenHBand="0" w:firstRowFirstColumn="0" w:firstRowLastColumn="0" w:lastRowFirstColumn="0" w:lastRowLastColumn="0"/>
            </w:pPr>
            <w:r>
              <w:t>1 938</w:t>
            </w:r>
          </w:p>
        </w:tc>
        <w:tc>
          <w:tcPr>
            <w:tcW w:w="956" w:type="dxa"/>
          </w:tcPr>
          <w:p w14:paraId="12F89A45" w14:textId="77777777" w:rsidR="005E614D" w:rsidRDefault="000C3A94">
            <w:pPr>
              <w:cnfStyle w:val="000000000000" w:firstRow="0" w:lastRow="0" w:firstColumn="0" w:lastColumn="0" w:oddVBand="0" w:evenVBand="0" w:oddHBand="0" w:evenHBand="0" w:firstRowFirstColumn="0" w:firstRowLastColumn="0" w:lastRowFirstColumn="0" w:lastRowLastColumn="0"/>
            </w:pPr>
            <w:r>
              <w:t>1 595</w:t>
            </w:r>
          </w:p>
        </w:tc>
        <w:tc>
          <w:tcPr>
            <w:tcW w:w="957" w:type="dxa"/>
          </w:tcPr>
          <w:p w14:paraId="66430708" w14:textId="77777777" w:rsidR="005E614D" w:rsidRDefault="000C3A94">
            <w:pPr>
              <w:cnfStyle w:val="000000000000" w:firstRow="0" w:lastRow="0" w:firstColumn="0" w:lastColumn="0" w:oddVBand="0" w:evenVBand="0" w:oddHBand="0" w:evenHBand="0" w:firstRowFirstColumn="0" w:firstRowLastColumn="0" w:lastRowFirstColumn="0" w:lastRowLastColumn="0"/>
            </w:pPr>
            <w:r>
              <w:t>1 525</w:t>
            </w:r>
          </w:p>
        </w:tc>
      </w:tr>
      <w:tr w:rsidR="005E614D" w14:paraId="37618B8A" w14:textId="77777777">
        <w:tc>
          <w:tcPr>
            <w:cnfStyle w:val="001000000000" w:firstRow="0" w:lastRow="0" w:firstColumn="1" w:lastColumn="0" w:oddVBand="0" w:evenVBand="0" w:oddHBand="0" w:evenHBand="0" w:firstRowFirstColumn="0" w:firstRowLastColumn="0" w:lastRowFirstColumn="0" w:lastRowLastColumn="0"/>
            <w:tcW w:w="5103" w:type="dxa"/>
          </w:tcPr>
          <w:p w14:paraId="06165DB5" w14:textId="77777777" w:rsidR="005E614D" w:rsidRDefault="000C3A94">
            <w:r>
              <w:t>Payables</w:t>
            </w:r>
          </w:p>
        </w:tc>
        <w:tc>
          <w:tcPr>
            <w:tcW w:w="709" w:type="dxa"/>
          </w:tcPr>
          <w:p w14:paraId="23159EB4"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3.6</w:t>
            </w:r>
          </w:p>
        </w:tc>
        <w:tc>
          <w:tcPr>
            <w:tcW w:w="956" w:type="dxa"/>
          </w:tcPr>
          <w:p w14:paraId="0F7630D7" w14:textId="77777777" w:rsidR="005E614D" w:rsidRDefault="000C3A94">
            <w:pPr>
              <w:cnfStyle w:val="000000000000" w:firstRow="0" w:lastRow="0" w:firstColumn="0" w:lastColumn="0" w:oddVBand="0" w:evenVBand="0" w:oddHBand="0" w:evenHBand="0" w:firstRowFirstColumn="0" w:firstRowLastColumn="0" w:lastRowFirstColumn="0" w:lastRowLastColumn="0"/>
            </w:pPr>
            <w:r>
              <w:t>9 528</w:t>
            </w:r>
          </w:p>
        </w:tc>
        <w:tc>
          <w:tcPr>
            <w:tcW w:w="957" w:type="dxa"/>
          </w:tcPr>
          <w:p w14:paraId="443C6C97" w14:textId="77777777" w:rsidR="005E614D" w:rsidRDefault="000C3A94">
            <w:pPr>
              <w:cnfStyle w:val="000000000000" w:firstRow="0" w:lastRow="0" w:firstColumn="0" w:lastColumn="0" w:oddVBand="0" w:evenVBand="0" w:oddHBand="0" w:evenHBand="0" w:firstRowFirstColumn="0" w:firstRowLastColumn="0" w:lastRowFirstColumn="0" w:lastRowLastColumn="0"/>
            </w:pPr>
            <w:r>
              <w:t>10 491</w:t>
            </w:r>
          </w:p>
        </w:tc>
        <w:tc>
          <w:tcPr>
            <w:tcW w:w="956" w:type="dxa"/>
          </w:tcPr>
          <w:p w14:paraId="5D1EB771" w14:textId="77777777" w:rsidR="005E614D" w:rsidRDefault="000C3A94">
            <w:pPr>
              <w:cnfStyle w:val="000000000000" w:firstRow="0" w:lastRow="0" w:firstColumn="0" w:lastColumn="0" w:oddVBand="0" w:evenVBand="0" w:oddHBand="0" w:evenHBand="0" w:firstRowFirstColumn="0" w:firstRowLastColumn="0" w:lastRowFirstColumn="0" w:lastRowLastColumn="0"/>
            </w:pPr>
            <w:r>
              <w:t>6 558</w:t>
            </w:r>
          </w:p>
        </w:tc>
        <w:tc>
          <w:tcPr>
            <w:tcW w:w="957" w:type="dxa"/>
          </w:tcPr>
          <w:p w14:paraId="7E705B0A" w14:textId="77777777" w:rsidR="005E614D" w:rsidRDefault="000C3A94">
            <w:pPr>
              <w:cnfStyle w:val="000000000000" w:firstRow="0" w:lastRow="0" w:firstColumn="0" w:lastColumn="0" w:oddVBand="0" w:evenVBand="0" w:oddHBand="0" w:evenHBand="0" w:firstRowFirstColumn="0" w:firstRowLastColumn="0" w:lastRowFirstColumn="0" w:lastRowLastColumn="0"/>
            </w:pPr>
            <w:r>
              <w:t>7 741</w:t>
            </w:r>
          </w:p>
        </w:tc>
      </w:tr>
      <w:tr w:rsidR="005E614D" w14:paraId="4567F680" w14:textId="77777777">
        <w:tc>
          <w:tcPr>
            <w:cnfStyle w:val="001000000000" w:firstRow="0" w:lastRow="0" w:firstColumn="1" w:lastColumn="0" w:oddVBand="0" w:evenVBand="0" w:oddHBand="0" w:evenHBand="0" w:firstRowFirstColumn="0" w:firstRowLastColumn="0" w:lastRowFirstColumn="0" w:lastRowLastColumn="0"/>
            <w:tcW w:w="5103" w:type="dxa"/>
          </w:tcPr>
          <w:p w14:paraId="3432FF2E" w14:textId="77777777" w:rsidR="005E614D" w:rsidRDefault="000C3A94">
            <w:r>
              <w:t>Borrowings</w:t>
            </w:r>
          </w:p>
        </w:tc>
        <w:tc>
          <w:tcPr>
            <w:tcW w:w="709" w:type="dxa"/>
          </w:tcPr>
          <w:p w14:paraId="23745D95"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5.1</w:t>
            </w:r>
          </w:p>
        </w:tc>
        <w:tc>
          <w:tcPr>
            <w:tcW w:w="956" w:type="dxa"/>
          </w:tcPr>
          <w:p w14:paraId="4236D6C0" w14:textId="77777777" w:rsidR="005E614D" w:rsidRDefault="000C3A94">
            <w:pPr>
              <w:cnfStyle w:val="000000000000" w:firstRow="0" w:lastRow="0" w:firstColumn="0" w:lastColumn="0" w:oddVBand="0" w:evenVBand="0" w:oddHBand="0" w:evenHBand="0" w:firstRowFirstColumn="0" w:firstRowLastColumn="0" w:lastRowFirstColumn="0" w:lastRowLastColumn="0"/>
            </w:pPr>
            <w:r>
              <w:t>223 408</w:t>
            </w:r>
          </w:p>
        </w:tc>
        <w:tc>
          <w:tcPr>
            <w:tcW w:w="957" w:type="dxa"/>
          </w:tcPr>
          <w:p w14:paraId="4CD95160" w14:textId="77777777" w:rsidR="005E614D" w:rsidRDefault="000C3A94">
            <w:pPr>
              <w:cnfStyle w:val="000000000000" w:firstRow="0" w:lastRow="0" w:firstColumn="0" w:lastColumn="0" w:oddVBand="0" w:evenVBand="0" w:oddHBand="0" w:evenHBand="0" w:firstRowFirstColumn="0" w:firstRowLastColumn="0" w:lastRowFirstColumn="0" w:lastRowLastColumn="0"/>
            </w:pPr>
            <w:r>
              <w:t>193 712</w:t>
            </w:r>
          </w:p>
        </w:tc>
        <w:tc>
          <w:tcPr>
            <w:tcW w:w="956" w:type="dxa"/>
          </w:tcPr>
          <w:p w14:paraId="4813B09B" w14:textId="77777777" w:rsidR="005E614D" w:rsidRDefault="000C3A94">
            <w:pPr>
              <w:cnfStyle w:val="000000000000" w:firstRow="0" w:lastRow="0" w:firstColumn="0" w:lastColumn="0" w:oddVBand="0" w:evenVBand="0" w:oddHBand="0" w:evenHBand="0" w:firstRowFirstColumn="0" w:firstRowLastColumn="0" w:lastRowFirstColumn="0" w:lastRowLastColumn="0"/>
            </w:pPr>
            <w:r>
              <w:t>186 259</w:t>
            </w:r>
          </w:p>
        </w:tc>
        <w:tc>
          <w:tcPr>
            <w:tcW w:w="957" w:type="dxa"/>
          </w:tcPr>
          <w:p w14:paraId="366B1741" w14:textId="77777777" w:rsidR="005E614D" w:rsidRDefault="000C3A94">
            <w:pPr>
              <w:cnfStyle w:val="000000000000" w:firstRow="0" w:lastRow="0" w:firstColumn="0" w:lastColumn="0" w:oddVBand="0" w:evenVBand="0" w:oddHBand="0" w:evenHBand="0" w:firstRowFirstColumn="0" w:firstRowLastColumn="0" w:lastRowFirstColumn="0" w:lastRowLastColumn="0"/>
            </w:pPr>
            <w:r>
              <w:t>167 309</w:t>
            </w:r>
          </w:p>
        </w:tc>
      </w:tr>
      <w:tr w:rsidR="005E614D" w14:paraId="4935B6FE" w14:textId="77777777">
        <w:tc>
          <w:tcPr>
            <w:cnfStyle w:val="001000000000" w:firstRow="0" w:lastRow="0" w:firstColumn="1" w:lastColumn="0" w:oddVBand="0" w:evenVBand="0" w:oddHBand="0" w:evenHBand="0" w:firstRowFirstColumn="0" w:firstRowLastColumn="0" w:lastRowFirstColumn="0" w:lastRowLastColumn="0"/>
            <w:tcW w:w="5103" w:type="dxa"/>
          </w:tcPr>
          <w:p w14:paraId="406856D4" w14:textId="77777777" w:rsidR="005E614D" w:rsidRDefault="000C3A94">
            <w:r>
              <w:t>Employee benefits</w:t>
            </w:r>
          </w:p>
        </w:tc>
        <w:tc>
          <w:tcPr>
            <w:tcW w:w="709" w:type="dxa"/>
          </w:tcPr>
          <w:p w14:paraId="7DD7E40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3.1</w:t>
            </w:r>
          </w:p>
        </w:tc>
        <w:tc>
          <w:tcPr>
            <w:tcW w:w="956" w:type="dxa"/>
          </w:tcPr>
          <w:p w14:paraId="5E5482D0"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12 859</w:t>
            </w:r>
          </w:p>
        </w:tc>
        <w:tc>
          <w:tcPr>
            <w:tcW w:w="957" w:type="dxa"/>
          </w:tcPr>
          <w:p w14:paraId="6B2B5979" w14:textId="77777777" w:rsidR="005E614D" w:rsidRDefault="000C3A94">
            <w:pPr>
              <w:cnfStyle w:val="000000000000" w:firstRow="0" w:lastRow="0" w:firstColumn="0" w:lastColumn="0" w:oddVBand="0" w:evenVBand="0" w:oddHBand="0" w:evenHBand="0" w:firstRowFirstColumn="0" w:firstRowLastColumn="0" w:lastRowFirstColumn="0" w:lastRowLastColumn="0"/>
            </w:pPr>
            <w:r>
              <w:t>11 857</w:t>
            </w:r>
          </w:p>
        </w:tc>
        <w:tc>
          <w:tcPr>
            <w:tcW w:w="956" w:type="dxa"/>
          </w:tcPr>
          <w:p w14:paraId="79147715" w14:textId="77777777" w:rsidR="005E614D" w:rsidRDefault="000C3A94">
            <w:pPr>
              <w:cnfStyle w:val="000000000000" w:firstRow="0" w:lastRow="0" w:firstColumn="0" w:lastColumn="0" w:oddVBand="0" w:evenVBand="0" w:oddHBand="0" w:evenHBand="0" w:firstRowFirstColumn="0" w:firstRowLastColumn="0" w:lastRowFirstColumn="0" w:lastRowLastColumn="0"/>
            </w:pPr>
            <w:r>
              <w:t>12 070</w:t>
            </w:r>
          </w:p>
        </w:tc>
        <w:tc>
          <w:tcPr>
            <w:tcW w:w="957" w:type="dxa"/>
          </w:tcPr>
          <w:p w14:paraId="212951D9" w14:textId="77777777" w:rsidR="005E614D" w:rsidRDefault="000C3A94">
            <w:pPr>
              <w:cnfStyle w:val="000000000000" w:firstRow="0" w:lastRow="0" w:firstColumn="0" w:lastColumn="0" w:oddVBand="0" w:evenVBand="0" w:oddHBand="0" w:evenHBand="0" w:firstRowFirstColumn="0" w:firstRowLastColumn="0" w:lastRowFirstColumn="0" w:lastRowLastColumn="0"/>
            </w:pPr>
            <w:r>
              <w:t>11 120</w:t>
            </w:r>
          </w:p>
        </w:tc>
      </w:tr>
      <w:tr w:rsidR="005E614D" w14:paraId="6A4D87BD" w14:textId="77777777">
        <w:tc>
          <w:tcPr>
            <w:cnfStyle w:val="001000000000" w:firstRow="0" w:lastRow="0" w:firstColumn="1" w:lastColumn="0" w:oddVBand="0" w:evenVBand="0" w:oddHBand="0" w:evenHBand="0" w:firstRowFirstColumn="0" w:firstRowLastColumn="0" w:lastRowFirstColumn="0" w:lastRowLastColumn="0"/>
            <w:tcW w:w="5103" w:type="dxa"/>
          </w:tcPr>
          <w:p w14:paraId="2CB9FADA" w14:textId="77777777" w:rsidR="005E614D" w:rsidRDefault="000C3A94">
            <w:r>
              <w:t>Superannuation</w:t>
            </w:r>
          </w:p>
        </w:tc>
        <w:tc>
          <w:tcPr>
            <w:tcW w:w="709" w:type="dxa"/>
          </w:tcPr>
          <w:p w14:paraId="75D94918"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3.3</w:t>
            </w:r>
          </w:p>
        </w:tc>
        <w:tc>
          <w:tcPr>
            <w:tcW w:w="956" w:type="dxa"/>
          </w:tcPr>
          <w:p w14:paraId="2BD61DFF"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c>
          <w:tcPr>
            <w:tcW w:w="957" w:type="dxa"/>
          </w:tcPr>
          <w:p w14:paraId="50499847"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18 226</w:t>
            </w:r>
          </w:p>
        </w:tc>
        <w:tc>
          <w:tcPr>
            <w:tcW w:w="956" w:type="dxa"/>
          </w:tcPr>
          <w:p w14:paraId="3263B110"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c>
          <w:tcPr>
            <w:tcW w:w="957" w:type="dxa"/>
          </w:tcPr>
          <w:p w14:paraId="358C816A"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18 226</w:t>
            </w:r>
          </w:p>
        </w:tc>
      </w:tr>
      <w:tr w:rsidR="005E614D" w14:paraId="492D7836" w14:textId="77777777">
        <w:tc>
          <w:tcPr>
            <w:cnfStyle w:val="001000000000" w:firstRow="0" w:lastRow="0" w:firstColumn="1" w:lastColumn="0" w:oddVBand="0" w:evenVBand="0" w:oddHBand="0" w:evenHBand="0" w:firstRowFirstColumn="0" w:firstRowLastColumn="0" w:lastRowFirstColumn="0" w:lastRowLastColumn="0"/>
            <w:tcW w:w="5103" w:type="dxa"/>
          </w:tcPr>
          <w:p w14:paraId="3B5D3B65" w14:textId="77777777" w:rsidR="005E614D" w:rsidRDefault="000C3A94">
            <w:r>
              <w:t>Other provisions</w:t>
            </w:r>
          </w:p>
        </w:tc>
        <w:tc>
          <w:tcPr>
            <w:tcW w:w="709" w:type="dxa"/>
          </w:tcPr>
          <w:p w14:paraId="02BC7473"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3.7</w:t>
            </w:r>
          </w:p>
        </w:tc>
        <w:tc>
          <w:tcPr>
            <w:tcW w:w="956" w:type="dxa"/>
          </w:tcPr>
          <w:p w14:paraId="12CC22B1" w14:textId="77777777" w:rsidR="005E614D" w:rsidRDefault="000C3A94">
            <w:pPr>
              <w:cnfStyle w:val="000000000000" w:firstRow="0" w:lastRow="0" w:firstColumn="0" w:lastColumn="0" w:oddVBand="0" w:evenVBand="0" w:oddHBand="0" w:evenHBand="0" w:firstRowFirstColumn="0" w:firstRowLastColumn="0" w:lastRowFirstColumn="0" w:lastRowLastColumn="0"/>
            </w:pPr>
            <w:r>
              <w:t>57 849</w:t>
            </w:r>
          </w:p>
        </w:tc>
        <w:tc>
          <w:tcPr>
            <w:tcW w:w="957" w:type="dxa"/>
          </w:tcPr>
          <w:p w14:paraId="3C5B9BA6" w14:textId="77777777" w:rsidR="005E614D" w:rsidRDefault="000C3A94">
            <w:pPr>
              <w:cnfStyle w:val="000000000000" w:firstRow="0" w:lastRow="0" w:firstColumn="0" w:lastColumn="0" w:oddVBand="0" w:evenVBand="0" w:oddHBand="0" w:evenHBand="0" w:firstRowFirstColumn="0" w:firstRowLastColumn="0" w:lastRowFirstColumn="0" w:lastRowLastColumn="0"/>
            </w:pPr>
            <w:r>
              <w:t>53 960</w:t>
            </w:r>
          </w:p>
        </w:tc>
        <w:tc>
          <w:tcPr>
            <w:tcW w:w="956" w:type="dxa"/>
          </w:tcPr>
          <w:p w14:paraId="216EF464" w14:textId="77777777" w:rsidR="005E614D" w:rsidRDefault="000C3A94">
            <w:pPr>
              <w:cnfStyle w:val="000000000000" w:firstRow="0" w:lastRow="0" w:firstColumn="0" w:lastColumn="0" w:oddVBand="0" w:evenVBand="0" w:oddHBand="0" w:evenHBand="0" w:firstRowFirstColumn="0" w:firstRowLastColumn="0" w:lastRowFirstColumn="0" w:lastRowLastColumn="0"/>
            </w:pPr>
            <w:r>
              <w:t>3 762</w:t>
            </w:r>
          </w:p>
        </w:tc>
        <w:tc>
          <w:tcPr>
            <w:tcW w:w="957" w:type="dxa"/>
          </w:tcPr>
          <w:p w14:paraId="38A265F0" w14:textId="77777777" w:rsidR="005E614D" w:rsidRDefault="000C3A94">
            <w:pPr>
              <w:cnfStyle w:val="000000000000" w:firstRow="0" w:lastRow="0" w:firstColumn="0" w:lastColumn="0" w:oddVBand="0" w:evenVBand="0" w:oddHBand="0" w:evenHBand="0" w:firstRowFirstColumn="0" w:firstRowLastColumn="0" w:lastRowFirstColumn="0" w:lastRowLastColumn="0"/>
            </w:pPr>
            <w:r>
              <w:t>3 431</w:t>
            </w:r>
          </w:p>
        </w:tc>
      </w:tr>
      <w:tr w:rsidR="005E614D" w14:paraId="2C8832CB"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0698927" w14:textId="77777777" w:rsidR="005E614D" w:rsidRDefault="000C3A94">
            <w:r>
              <w:t>Other liabilities</w:t>
            </w:r>
          </w:p>
        </w:tc>
        <w:tc>
          <w:tcPr>
            <w:tcW w:w="709" w:type="dxa"/>
            <w:tcBorders>
              <w:bottom w:val="single" w:sz="6" w:space="0" w:color="auto"/>
            </w:tcBorders>
          </w:tcPr>
          <w:p w14:paraId="1BBF9FB2"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t>2.8</w:t>
            </w:r>
          </w:p>
        </w:tc>
        <w:tc>
          <w:tcPr>
            <w:tcW w:w="956" w:type="dxa"/>
            <w:tcBorders>
              <w:bottom w:val="single" w:sz="6" w:space="0" w:color="auto"/>
            </w:tcBorders>
          </w:tcPr>
          <w:p w14:paraId="215E3354" w14:textId="77777777" w:rsidR="005E614D" w:rsidRDefault="000C3A94">
            <w:pPr>
              <w:cnfStyle w:val="000000000000" w:firstRow="0" w:lastRow="0" w:firstColumn="0" w:lastColumn="0" w:oddVBand="0" w:evenVBand="0" w:oddHBand="0" w:evenHBand="0" w:firstRowFirstColumn="0" w:firstRowLastColumn="0" w:lastRowFirstColumn="0" w:lastRowLastColumn="0"/>
            </w:pPr>
            <w:r>
              <w:t>32 717</w:t>
            </w:r>
          </w:p>
        </w:tc>
        <w:tc>
          <w:tcPr>
            <w:tcW w:w="957" w:type="dxa"/>
            <w:tcBorders>
              <w:bottom w:val="single" w:sz="6" w:space="0" w:color="auto"/>
            </w:tcBorders>
          </w:tcPr>
          <w:p w14:paraId="35E3D1D1" w14:textId="77777777" w:rsidR="005E614D" w:rsidRDefault="000C3A94">
            <w:pPr>
              <w:cnfStyle w:val="000000000000" w:firstRow="0" w:lastRow="0" w:firstColumn="0" w:lastColumn="0" w:oddVBand="0" w:evenVBand="0" w:oddHBand="0" w:evenHBand="0" w:firstRowFirstColumn="0" w:firstRowLastColumn="0" w:lastRowFirstColumn="0" w:lastRowLastColumn="0"/>
            </w:pPr>
            <w:r>
              <w:t>32 609</w:t>
            </w:r>
          </w:p>
        </w:tc>
        <w:tc>
          <w:tcPr>
            <w:tcW w:w="956" w:type="dxa"/>
            <w:tcBorders>
              <w:bottom w:val="single" w:sz="6" w:space="0" w:color="auto"/>
            </w:tcBorders>
          </w:tcPr>
          <w:p w14:paraId="7FF51085"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22 470</w:t>
            </w:r>
          </w:p>
        </w:tc>
        <w:tc>
          <w:tcPr>
            <w:tcW w:w="957" w:type="dxa"/>
            <w:tcBorders>
              <w:bottom w:val="single" w:sz="6" w:space="0" w:color="auto"/>
            </w:tcBorders>
          </w:tcPr>
          <w:p w14:paraId="7787B719"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22 411</w:t>
            </w:r>
          </w:p>
        </w:tc>
      </w:tr>
      <w:tr w:rsidR="005E614D" w14:paraId="61D29503"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0116134" w14:textId="77777777" w:rsidR="005E614D" w:rsidRDefault="000C3A94">
            <w:r>
              <w:rPr>
                <w:b/>
              </w:rPr>
              <w:t>Total liabilities</w:t>
            </w:r>
          </w:p>
        </w:tc>
        <w:tc>
          <w:tcPr>
            <w:tcW w:w="709" w:type="dxa"/>
            <w:tcBorders>
              <w:top w:val="single" w:sz="6" w:space="0" w:color="auto"/>
              <w:bottom w:val="single" w:sz="6" w:space="0" w:color="auto"/>
            </w:tcBorders>
          </w:tcPr>
          <w:p w14:paraId="35CAB7FF"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3D017CA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356 693</w:t>
            </w:r>
          </w:p>
        </w:tc>
        <w:tc>
          <w:tcPr>
            <w:tcW w:w="957" w:type="dxa"/>
            <w:tcBorders>
              <w:top w:val="single" w:sz="6" w:space="0" w:color="auto"/>
              <w:bottom w:val="single" w:sz="6" w:space="0" w:color="auto"/>
            </w:tcBorders>
          </w:tcPr>
          <w:p w14:paraId="7D17803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322 792</w:t>
            </w:r>
          </w:p>
        </w:tc>
        <w:tc>
          <w:tcPr>
            <w:tcW w:w="956" w:type="dxa"/>
            <w:tcBorders>
              <w:top w:val="single" w:sz="6" w:space="0" w:color="auto"/>
              <w:bottom w:val="single" w:sz="6" w:space="0" w:color="auto"/>
            </w:tcBorders>
          </w:tcPr>
          <w:p w14:paraId="099F63C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250 999</w:t>
            </w:r>
          </w:p>
        </w:tc>
        <w:tc>
          <w:tcPr>
            <w:tcW w:w="957" w:type="dxa"/>
            <w:tcBorders>
              <w:top w:val="single" w:sz="6" w:space="0" w:color="auto"/>
              <w:bottom w:val="single" w:sz="6" w:space="0" w:color="auto"/>
            </w:tcBorders>
          </w:tcPr>
          <w:p w14:paraId="42C3850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231 764</w:t>
            </w:r>
          </w:p>
        </w:tc>
      </w:tr>
      <w:tr w:rsidR="005E614D" w14:paraId="0FAA3215"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6AB7485" w14:textId="77777777" w:rsidR="005E614D" w:rsidRDefault="000C3A94">
            <w:r>
              <w:rPr>
                <w:b/>
              </w:rPr>
              <w:t>Net assets</w:t>
            </w:r>
          </w:p>
        </w:tc>
        <w:tc>
          <w:tcPr>
            <w:tcW w:w="709" w:type="dxa"/>
            <w:tcBorders>
              <w:top w:val="single" w:sz="6" w:space="0" w:color="auto"/>
              <w:bottom w:val="single" w:sz="12" w:space="0" w:color="auto"/>
            </w:tcBorders>
          </w:tcPr>
          <w:p w14:paraId="5AA209C0"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155CF9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281 414</w:t>
            </w:r>
          </w:p>
        </w:tc>
        <w:tc>
          <w:tcPr>
            <w:tcW w:w="957" w:type="dxa"/>
            <w:tcBorders>
              <w:top w:val="single" w:sz="6" w:space="0" w:color="auto"/>
              <w:bottom w:val="single" w:sz="12" w:space="0" w:color="auto"/>
            </w:tcBorders>
          </w:tcPr>
          <w:p w14:paraId="2ACDE31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239 904</w:t>
            </w:r>
          </w:p>
        </w:tc>
        <w:tc>
          <w:tcPr>
            <w:tcW w:w="956" w:type="dxa"/>
            <w:tcBorders>
              <w:top w:val="single" w:sz="6" w:space="0" w:color="auto"/>
              <w:bottom w:val="single" w:sz="12" w:space="0" w:color="auto"/>
            </w:tcBorders>
          </w:tcPr>
          <w:p w14:paraId="378DD87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957" w:type="dxa"/>
            <w:tcBorders>
              <w:top w:val="single" w:sz="6" w:space="0" w:color="auto"/>
              <w:bottom w:val="single" w:sz="12" w:space="0" w:color="auto"/>
            </w:tcBorders>
          </w:tcPr>
          <w:p w14:paraId="57B6821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2CB92B1C"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F50152A" w14:textId="77777777" w:rsidR="005E614D" w:rsidRDefault="000C3A94">
            <w:r>
              <w:rPr>
                <w:b/>
              </w:rPr>
              <w:t>Equity</w:t>
            </w:r>
          </w:p>
        </w:tc>
        <w:tc>
          <w:tcPr>
            <w:tcW w:w="709" w:type="dxa"/>
            <w:tcBorders>
              <w:top w:val="single" w:sz="6" w:space="0" w:color="auto"/>
            </w:tcBorders>
          </w:tcPr>
          <w:p w14:paraId="0E48B55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16609BB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1342E3F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083174A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6C55A57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C23F039" w14:textId="77777777">
        <w:tc>
          <w:tcPr>
            <w:cnfStyle w:val="001000000000" w:firstRow="0" w:lastRow="0" w:firstColumn="1" w:lastColumn="0" w:oddVBand="0" w:evenVBand="0" w:oddHBand="0" w:evenHBand="0" w:firstRowFirstColumn="0" w:firstRowLastColumn="0" w:lastRowFirstColumn="0" w:lastRowLastColumn="0"/>
            <w:tcW w:w="5103" w:type="dxa"/>
          </w:tcPr>
          <w:p w14:paraId="56B78E3D" w14:textId="77777777" w:rsidR="005E614D" w:rsidRDefault="000C3A94">
            <w:r>
              <w:t>Accumulated surplus/(deficit)</w:t>
            </w:r>
          </w:p>
        </w:tc>
        <w:tc>
          <w:tcPr>
            <w:tcW w:w="709" w:type="dxa"/>
          </w:tcPr>
          <w:p w14:paraId="5AD8956C"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1E93337" w14:textId="77777777" w:rsidR="005E614D" w:rsidRDefault="000C3A94">
            <w:pPr>
              <w:cnfStyle w:val="000000000000" w:firstRow="0" w:lastRow="0" w:firstColumn="0" w:lastColumn="0" w:oddVBand="0" w:evenVBand="0" w:oddHBand="0" w:evenHBand="0" w:firstRowFirstColumn="0" w:firstRowLastColumn="0" w:lastRowFirstColumn="0" w:lastRowLastColumn="0"/>
            </w:pPr>
            <w:r>
              <w:t>69 466</w:t>
            </w:r>
          </w:p>
        </w:tc>
        <w:tc>
          <w:tcPr>
            <w:tcW w:w="957" w:type="dxa"/>
          </w:tcPr>
          <w:p w14:paraId="2A5E9CCC" w14:textId="77777777" w:rsidR="005E614D" w:rsidRDefault="000C3A94">
            <w:pPr>
              <w:cnfStyle w:val="000000000000" w:firstRow="0" w:lastRow="0" w:firstColumn="0" w:lastColumn="0" w:oddVBand="0" w:evenVBand="0" w:oddHBand="0" w:evenHBand="0" w:firstRowFirstColumn="0" w:firstRowLastColumn="0" w:lastRowFirstColumn="0" w:lastRowLastColumn="0"/>
            </w:pPr>
            <w:r>
              <w:t>76 281</w:t>
            </w:r>
          </w:p>
        </w:tc>
        <w:tc>
          <w:tcPr>
            <w:tcW w:w="956" w:type="dxa"/>
          </w:tcPr>
          <w:p w14:paraId="0AB21375" w14:textId="77777777" w:rsidR="005E614D" w:rsidRDefault="000C3A94">
            <w:pPr>
              <w:cnfStyle w:val="000000000000" w:firstRow="0" w:lastRow="0" w:firstColumn="0" w:lastColumn="0" w:oddVBand="0" w:evenVBand="0" w:oddHBand="0" w:evenHBand="0" w:firstRowFirstColumn="0" w:firstRowLastColumn="0" w:lastRowFirstColumn="0" w:lastRowLastColumn="0"/>
            </w:pPr>
            <w:r>
              <w:t>41 982</w:t>
            </w:r>
          </w:p>
        </w:tc>
        <w:tc>
          <w:tcPr>
            <w:tcW w:w="957" w:type="dxa"/>
          </w:tcPr>
          <w:p w14:paraId="6CA11EB5" w14:textId="77777777" w:rsidR="005E614D" w:rsidRDefault="000C3A94">
            <w:pPr>
              <w:cnfStyle w:val="000000000000" w:firstRow="0" w:lastRow="0" w:firstColumn="0" w:lastColumn="0" w:oddVBand="0" w:evenVBand="0" w:oddHBand="0" w:evenHBand="0" w:firstRowFirstColumn="0" w:firstRowLastColumn="0" w:lastRowFirstColumn="0" w:lastRowLastColumn="0"/>
            </w:pPr>
            <w:r>
              <w:t>43 405</w:t>
            </w:r>
          </w:p>
        </w:tc>
      </w:tr>
      <w:tr w:rsidR="005E614D" w14:paraId="083ACEC2"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9C3BF42" w14:textId="77777777" w:rsidR="005E614D" w:rsidRDefault="000C3A94">
            <w:r>
              <w:t>Reserves</w:t>
            </w:r>
          </w:p>
        </w:tc>
        <w:tc>
          <w:tcPr>
            <w:tcW w:w="709" w:type="dxa"/>
            <w:tcBorders>
              <w:bottom w:val="single" w:sz="6" w:space="0" w:color="auto"/>
            </w:tcBorders>
          </w:tcPr>
          <w:p w14:paraId="358D06E4"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7E4E3057" w14:textId="77777777" w:rsidR="005E614D" w:rsidRDefault="000C3A94">
            <w:pPr>
              <w:cnfStyle w:val="000000000000" w:firstRow="0" w:lastRow="0" w:firstColumn="0" w:lastColumn="0" w:oddVBand="0" w:evenVBand="0" w:oddHBand="0" w:evenHBand="0" w:firstRowFirstColumn="0" w:firstRowLastColumn="0" w:lastRowFirstColumn="0" w:lastRowLastColumn="0"/>
            </w:pPr>
            <w:r>
              <w:t>211 949</w:t>
            </w:r>
          </w:p>
        </w:tc>
        <w:tc>
          <w:tcPr>
            <w:tcW w:w="957" w:type="dxa"/>
            <w:tcBorders>
              <w:bottom w:val="single" w:sz="6" w:space="0" w:color="auto"/>
            </w:tcBorders>
          </w:tcPr>
          <w:p w14:paraId="18A17FCE" w14:textId="77777777" w:rsidR="005E614D" w:rsidRDefault="000C3A94">
            <w:pPr>
              <w:cnfStyle w:val="000000000000" w:firstRow="0" w:lastRow="0" w:firstColumn="0" w:lastColumn="0" w:oddVBand="0" w:evenVBand="0" w:oddHBand="0" w:evenHBand="0" w:firstRowFirstColumn="0" w:firstRowLastColumn="0" w:lastRowFirstColumn="0" w:lastRowLastColumn="0"/>
            </w:pPr>
            <w:r>
              <w:t>163 624</w:t>
            </w:r>
          </w:p>
        </w:tc>
        <w:tc>
          <w:tcPr>
            <w:tcW w:w="956" w:type="dxa"/>
            <w:tcBorders>
              <w:bottom w:val="single" w:sz="6" w:space="0" w:color="auto"/>
            </w:tcBorders>
          </w:tcPr>
          <w:p w14:paraId="06B0C19B" w14:textId="77777777" w:rsidR="005E614D" w:rsidRDefault="000C3A94">
            <w:pPr>
              <w:cnfStyle w:val="000000000000" w:firstRow="0" w:lastRow="0" w:firstColumn="0" w:lastColumn="0" w:oddVBand="0" w:evenVBand="0" w:oddHBand="0" w:evenHBand="0" w:firstRowFirstColumn="0" w:firstRowLastColumn="0" w:lastRowFirstColumn="0" w:lastRowLastColumn="0"/>
            </w:pPr>
            <w:r>
              <w:t>147 325</w:t>
            </w:r>
          </w:p>
        </w:tc>
        <w:tc>
          <w:tcPr>
            <w:tcW w:w="957" w:type="dxa"/>
            <w:tcBorders>
              <w:bottom w:val="single" w:sz="6" w:space="0" w:color="auto"/>
            </w:tcBorders>
          </w:tcPr>
          <w:p w14:paraId="45FFFA86"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146 454</w:t>
            </w:r>
          </w:p>
        </w:tc>
      </w:tr>
      <w:tr w:rsidR="005E614D" w14:paraId="6D4D5AC7"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31AA76A" w14:textId="77777777" w:rsidR="005E614D" w:rsidRDefault="000C3A94">
            <w:r>
              <w:rPr>
                <w:b/>
              </w:rPr>
              <w:t>Net worth</w:t>
            </w:r>
          </w:p>
        </w:tc>
        <w:tc>
          <w:tcPr>
            <w:tcW w:w="709" w:type="dxa"/>
            <w:tcBorders>
              <w:top w:val="single" w:sz="6" w:space="0" w:color="auto"/>
              <w:bottom w:val="single" w:sz="12" w:space="0" w:color="auto"/>
            </w:tcBorders>
          </w:tcPr>
          <w:p w14:paraId="40957D87"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41FD6CB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281 414</w:t>
            </w:r>
          </w:p>
        </w:tc>
        <w:tc>
          <w:tcPr>
            <w:tcW w:w="957" w:type="dxa"/>
            <w:tcBorders>
              <w:top w:val="single" w:sz="6" w:space="0" w:color="auto"/>
              <w:bottom w:val="single" w:sz="12" w:space="0" w:color="auto"/>
            </w:tcBorders>
          </w:tcPr>
          <w:p w14:paraId="3240D66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239 904</w:t>
            </w:r>
          </w:p>
        </w:tc>
        <w:tc>
          <w:tcPr>
            <w:tcW w:w="956" w:type="dxa"/>
            <w:tcBorders>
              <w:top w:val="single" w:sz="6" w:space="0" w:color="auto"/>
              <w:bottom w:val="single" w:sz="12" w:space="0" w:color="auto"/>
            </w:tcBorders>
          </w:tcPr>
          <w:p w14:paraId="7C6D845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957" w:type="dxa"/>
            <w:tcBorders>
              <w:top w:val="single" w:sz="6" w:space="0" w:color="auto"/>
              <w:bottom w:val="single" w:sz="12" w:space="0" w:color="auto"/>
            </w:tcBorders>
          </w:tcPr>
          <w:p w14:paraId="107B829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4CAB49FD" w14:textId="77777777" w:rsidTr="005E614D">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4BA07D87" w14:textId="77777777" w:rsidR="005E614D" w:rsidRDefault="005E614D"/>
        </w:tc>
        <w:tc>
          <w:tcPr>
            <w:tcW w:w="709" w:type="dxa"/>
            <w:tcBorders>
              <w:top w:val="single" w:sz="0" w:space="0" w:color="auto"/>
            </w:tcBorders>
          </w:tcPr>
          <w:p w14:paraId="66FC79FC"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7EE09F7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0" w:space="0" w:color="auto"/>
            </w:tcBorders>
          </w:tcPr>
          <w:p w14:paraId="0A53BB0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0" w:space="0" w:color="auto"/>
            </w:tcBorders>
          </w:tcPr>
          <w:p w14:paraId="4939F68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0" w:space="0" w:color="auto"/>
            </w:tcBorders>
          </w:tcPr>
          <w:p w14:paraId="4FB422E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1CF47A8" w14:textId="77777777">
        <w:tc>
          <w:tcPr>
            <w:cnfStyle w:val="001000000000" w:firstRow="0" w:lastRow="0" w:firstColumn="1" w:lastColumn="0" w:oddVBand="0" w:evenVBand="0" w:oddHBand="0" w:evenHBand="0" w:firstRowFirstColumn="0" w:firstRowLastColumn="0" w:lastRowFirstColumn="0" w:lastRowLastColumn="0"/>
            <w:tcW w:w="5103" w:type="dxa"/>
          </w:tcPr>
          <w:p w14:paraId="62423B7C" w14:textId="77777777" w:rsidR="005E614D" w:rsidRDefault="000C3A94">
            <w:r>
              <w:rPr>
                <w:b/>
              </w:rPr>
              <w:t>FISCAL AGGREGATES</w:t>
            </w:r>
          </w:p>
        </w:tc>
        <w:tc>
          <w:tcPr>
            <w:tcW w:w="709" w:type="dxa"/>
          </w:tcPr>
          <w:p w14:paraId="21F0F65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42634F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38CB337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6" w:type="dxa"/>
          </w:tcPr>
          <w:p w14:paraId="66820B2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57" w:type="dxa"/>
          </w:tcPr>
          <w:p w14:paraId="25F20C5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B1D9EED" w14:textId="77777777">
        <w:tc>
          <w:tcPr>
            <w:cnfStyle w:val="001000000000" w:firstRow="0" w:lastRow="0" w:firstColumn="1" w:lastColumn="0" w:oddVBand="0" w:evenVBand="0" w:oddHBand="0" w:evenHBand="0" w:firstRowFirstColumn="0" w:firstRowLastColumn="0" w:lastRowFirstColumn="0" w:lastRowLastColumn="0"/>
            <w:tcW w:w="5103" w:type="dxa"/>
          </w:tcPr>
          <w:p w14:paraId="17FCD5C5" w14:textId="77777777" w:rsidR="005E614D" w:rsidRDefault="000C3A94">
            <w:r>
              <w:t>Net financial worth</w:t>
            </w:r>
          </w:p>
        </w:tc>
        <w:tc>
          <w:tcPr>
            <w:tcW w:w="709" w:type="dxa"/>
          </w:tcPr>
          <w:p w14:paraId="59A1A2F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8F57A48" w14:textId="77777777" w:rsidR="005E614D" w:rsidRDefault="000C3A94">
            <w:pPr>
              <w:cnfStyle w:val="000000000000" w:firstRow="0" w:lastRow="0" w:firstColumn="0" w:lastColumn="0" w:oddVBand="0" w:evenVBand="0" w:oddHBand="0" w:evenHBand="0" w:firstRowFirstColumn="0" w:firstRowLastColumn="0" w:lastRowFirstColumn="0" w:lastRowLastColumn="0"/>
            </w:pPr>
            <w:r>
              <w:t>(229 930)</w:t>
            </w:r>
          </w:p>
        </w:tc>
        <w:tc>
          <w:tcPr>
            <w:tcW w:w="957" w:type="dxa"/>
          </w:tcPr>
          <w:p w14:paraId="6C60D77F" w14:textId="77777777" w:rsidR="005E614D" w:rsidRDefault="000C3A94">
            <w:pPr>
              <w:cnfStyle w:val="000000000000" w:firstRow="0" w:lastRow="0" w:firstColumn="0" w:lastColumn="0" w:oddVBand="0" w:evenVBand="0" w:oddHBand="0" w:evenHBand="0" w:firstRowFirstColumn="0" w:firstRowLastColumn="0" w:lastRowFirstColumn="0" w:lastRowLastColumn="0"/>
            </w:pPr>
            <w:r>
              <w:t>(206 273)</w:t>
            </w:r>
          </w:p>
        </w:tc>
        <w:tc>
          <w:tcPr>
            <w:tcW w:w="956" w:type="dxa"/>
          </w:tcPr>
          <w:p w14:paraId="5A381DF1" w14:textId="77777777" w:rsidR="005E614D" w:rsidRDefault="000C3A94">
            <w:pPr>
              <w:cnfStyle w:val="000000000000" w:firstRow="0" w:lastRow="0" w:firstColumn="0" w:lastColumn="0" w:oddVBand="0" w:evenVBand="0" w:oddHBand="0" w:evenHBand="0" w:firstRowFirstColumn="0" w:firstRowLastColumn="0" w:lastRowFirstColumn="0" w:lastRowLastColumn="0"/>
            </w:pPr>
            <w:r>
              <w:t>(106 266)</w:t>
            </w:r>
          </w:p>
        </w:tc>
        <w:tc>
          <w:tcPr>
            <w:tcW w:w="957" w:type="dxa"/>
          </w:tcPr>
          <w:p w14:paraId="35E19BAA" w14:textId="77777777" w:rsidR="005E614D" w:rsidRDefault="000C3A94">
            <w:pPr>
              <w:cnfStyle w:val="000000000000" w:firstRow="0" w:lastRow="0" w:firstColumn="0" w:lastColumn="0" w:oddVBand="0" w:evenVBand="0" w:oddHBand="0" w:evenHBand="0" w:firstRowFirstColumn="0" w:firstRowLastColumn="0" w:lastRowFirstColumn="0" w:lastRowLastColumn="0"/>
            </w:pPr>
            <w:r>
              <w:t>(86 686)</w:t>
            </w:r>
          </w:p>
        </w:tc>
      </w:tr>
      <w:tr w:rsidR="005E614D" w14:paraId="780E8198" w14:textId="77777777">
        <w:tc>
          <w:tcPr>
            <w:cnfStyle w:val="001000000000" w:firstRow="0" w:lastRow="0" w:firstColumn="1" w:lastColumn="0" w:oddVBand="0" w:evenVBand="0" w:oddHBand="0" w:evenHBand="0" w:firstRowFirstColumn="0" w:firstRowLastColumn="0" w:lastRowFirstColumn="0" w:lastRowLastColumn="0"/>
            <w:tcW w:w="5103" w:type="dxa"/>
          </w:tcPr>
          <w:p w14:paraId="2A66BF98" w14:textId="77777777" w:rsidR="005E614D" w:rsidRDefault="000C3A94">
            <w:r>
              <w:t>Net financial liabilities</w:t>
            </w:r>
          </w:p>
        </w:tc>
        <w:tc>
          <w:tcPr>
            <w:tcW w:w="709" w:type="dxa"/>
          </w:tcPr>
          <w:p w14:paraId="42D0E75C"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34896A7" w14:textId="77777777" w:rsidR="005E614D" w:rsidRDefault="000C3A94">
            <w:pPr>
              <w:cnfStyle w:val="000000000000" w:firstRow="0" w:lastRow="0" w:firstColumn="0" w:lastColumn="0" w:oddVBand="0" w:evenVBand="0" w:oddHBand="0" w:evenHBand="0" w:firstRowFirstColumn="0" w:firstRowLastColumn="0" w:lastRowFirstColumn="0" w:lastRowLastColumn="0"/>
            </w:pPr>
            <w:r>
              <w:t>229 930</w:t>
            </w:r>
          </w:p>
        </w:tc>
        <w:tc>
          <w:tcPr>
            <w:tcW w:w="957" w:type="dxa"/>
          </w:tcPr>
          <w:p w14:paraId="72C86386" w14:textId="77777777" w:rsidR="005E614D" w:rsidRDefault="000C3A94">
            <w:pPr>
              <w:cnfStyle w:val="000000000000" w:firstRow="0" w:lastRow="0" w:firstColumn="0" w:lastColumn="0" w:oddVBand="0" w:evenVBand="0" w:oddHBand="0" w:evenHBand="0" w:firstRowFirstColumn="0" w:firstRowLastColumn="0" w:lastRowFirstColumn="0" w:lastRowLastColumn="0"/>
            </w:pPr>
            <w:r>
              <w:t>206 273</w:t>
            </w:r>
          </w:p>
        </w:tc>
        <w:tc>
          <w:tcPr>
            <w:tcW w:w="956" w:type="dxa"/>
          </w:tcPr>
          <w:p w14:paraId="0C9F0A3D" w14:textId="77777777" w:rsidR="005E614D" w:rsidRDefault="000C3A94">
            <w:pPr>
              <w:cnfStyle w:val="000000000000" w:firstRow="0" w:lastRow="0" w:firstColumn="0" w:lastColumn="0" w:oddVBand="0" w:evenVBand="0" w:oddHBand="0" w:evenHBand="0" w:firstRowFirstColumn="0" w:firstRowLastColumn="0" w:lastRowFirstColumn="0" w:lastRowLastColumn="0"/>
            </w:pPr>
            <w:r>
              <w:t>202 667</w:t>
            </w:r>
          </w:p>
        </w:tc>
        <w:tc>
          <w:tcPr>
            <w:tcW w:w="957" w:type="dxa"/>
          </w:tcPr>
          <w:p w14:paraId="4C5871B1" w14:textId="77777777" w:rsidR="005E614D" w:rsidRDefault="000C3A94">
            <w:pPr>
              <w:cnfStyle w:val="000000000000" w:firstRow="0" w:lastRow="0" w:firstColumn="0" w:lastColumn="0" w:oddVBand="0" w:evenVBand="0" w:oddHBand="0" w:evenHBand="0" w:firstRowFirstColumn="0" w:firstRowLastColumn="0" w:lastRowFirstColumn="0" w:lastRowLastColumn="0"/>
            </w:pPr>
            <w:r>
              <w:t>184 865</w:t>
            </w:r>
          </w:p>
        </w:tc>
      </w:tr>
      <w:tr w:rsidR="005E614D" w14:paraId="578388AD" w14:textId="77777777" w:rsidTr="005E614D">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5F8E8C71" w14:textId="77777777" w:rsidR="005E614D" w:rsidRDefault="000C3A94">
            <w:r>
              <w:t>Net debt</w:t>
            </w:r>
          </w:p>
        </w:tc>
        <w:tc>
          <w:tcPr>
            <w:tcW w:w="709" w:type="dxa"/>
            <w:tcBorders>
              <w:bottom w:val="single" w:sz="12" w:space="0" w:color="auto"/>
            </w:tcBorders>
          </w:tcPr>
          <w:p w14:paraId="7AAEBE5D"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12" w:space="0" w:color="auto"/>
            </w:tcBorders>
          </w:tcPr>
          <w:p w14:paraId="1CC9E488" w14:textId="77777777" w:rsidR="005E614D" w:rsidRDefault="000C3A94">
            <w:pPr>
              <w:cnfStyle w:val="000000000000" w:firstRow="0" w:lastRow="0" w:firstColumn="0" w:lastColumn="0" w:oddVBand="0" w:evenVBand="0" w:oddHBand="0" w:evenHBand="0" w:firstRowFirstColumn="0" w:firstRowLastColumn="0" w:lastRowFirstColumn="0" w:lastRowLastColumn="0"/>
            </w:pPr>
            <w:r>
              <w:t>114 450</w:t>
            </w:r>
          </w:p>
        </w:tc>
        <w:tc>
          <w:tcPr>
            <w:tcW w:w="957" w:type="dxa"/>
            <w:tcBorders>
              <w:bottom w:val="single" w:sz="12" w:space="0" w:color="auto"/>
            </w:tcBorders>
          </w:tcPr>
          <w:p w14:paraId="0850FADE" w14:textId="77777777" w:rsidR="005E614D" w:rsidRDefault="000C3A94">
            <w:pPr>
              <w:cnfStyle w:val="000000000000" w:firstRow="0" w:lastRow="0" w:firstColumn="0" w:lastColumn="0" w:oddVBand="0" w:evenVBand="0" w:oddHBand="0" w:evenHBand="0" w:firstRowFirstColumn="0" w:firstRowLastColumn="0" w:lastRowFirstColumn="0" w:lastRowLastColumn="0"/>
            </w:pPr>
            <w:r>
              <w:t>94 480</w:t>
            </w:r>
          </w:p>
        </w:tc>
        <w:tc>
          <w:tcPr>
            <w:tcW w:w="956" w:type="dxa"/>
            <w:tcBorders>
              <w:bottom w:val="single" w:sz="12" w:space="0" w:color="auto"/>
            </w:tcBorders>
          </w:tcPr>
          <w:p w14:paraId="25B4D8BD" w14:textId="77777777" w:rsidR="005E614D" w:rsidRDefault="000C3A94">
            <w:pPr>
              <w:cnfStyle w:val="000000000000" w:firstRow="0" w:lastRow="0" w:firstColumn="0" w:lastColumn="0" w:oddVBand="0" w:evenVBand="0" w:oddHBand="0" w:evenHBand="0" w:firstRowFirstColumn="0" w:firstRowLastColumn="0" w:lastRowFirstColumn="0" w:lastRowLastColumn="0"/>
            </w:pPr>
            <w:r>
              <w:t>150 867</w:t>
            </w:r>
          </w:p>
        </w:tc>
        <w:tc>
          <w:tcPr>
            <w:tcW w:w="957" w:type="dxa"/>
            <w:tcBorders>
              <w:bottom w:val="single" w:sz="12" w:space="0" w:color="auto"/>
            </w:tcBorders>
          </w:tcPr>
          <w:p w14:paraId="25EB8615" w14:textId="77777777" w:rsidR="005E614D" w:rsidRDefault="000C3A94">
            <w:pPr>
              <w:cnfStyle w:val="000000000000" w:firstRow="0" w:lastRow="0" w:firstColumn="0" w:lastColumn="0" w:oddVBand="0" w:evenVBand="0" w:oddHBand="0" w:evenHBand="0" w:firstRowFirstColumn="0" w:firstRowLastColumn="0" w:lastRowFirstColumn="0" w:lastRowLastColumn="0"/>
            </w:pPr>
            <w:r>
              <w:t>133 241</w:t>
            </w:r>
          </w:p>
        </w:tc>
      </w:tr>
    </w:tbl>
    <w:p w14:paraId="33CD8FD1" w14:textId="77777777" w:rsidR="004D42F9" w:rsidRDefault="004D42F9" w:rsidP="004D42F9">
      <w:pPr>
        <w:pStyle w:val="Source"/>
      </w:pPr>
      <w:r>
        <w:t>The accompanying notes form part of these financial statements.</w:t>
      </w:r>
    </w:p>
    <w:p w14:paraId="70131B17" w14:textId="77777777" w:rsidR="004D42F9" w:rsidRDefault="004D42F9" w:rsidP="004D42F9">
      <w:pPr>
        <w:pStyle w:val="Note"/>
      </w:pPr>
    </w:p>
    <w:p w14:paraId="28033D37" w14:textId="77777777" w:rsidR="004D42F9" w:rsidRDefault="004D42F9" w:rsidP="004D42F9"/>
    <w:p w14:paraId="1F502433" w14:textId="77777777" w:rsidR="004D42F9" w:rsidRDefault="004D42F9" w:rsidP="004D42F9">
      <w:pPr>
        <w:pStyle w:val="Heading1"/>
        <w:pageBreakBefore/>
      </w:pPr>
      <w:bookmarkStart w:id="43" w:name="ConsolidatedCF"/>
      <w:bookmarkStart w:id="44" w:name="_Toc176189348"/>
      <w:bookmarkStart w:id="45" w:name="_Toc203394893"/>
      <w:r>
        <w:lastRenderedPageBreak/>
        <w:t>Consolidated cash flow statement</w:t>
      </w:r>
      <w:bookmarkEnd w:id="43"/>
      <w:bookmarkEnd w:id="44"/>
      <w:bookmarkEnd w:id="45"/>
    </w:p>
    <w:p w14:paraId="60897B5D" w14:textId="77777777" w:rsidR="004D42F9" w:rsidRDefault="004D42F9" w:rsidP="004D42F9">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Cons_CF|LastRow:56"/>
      </w:tblPr>
      <w:tblGrid>
        <w:gridCol w:w="5387"/>
        <w:gridCol w:w="632"/>
        <w:gridCol w:w="904"/>
        <w:gridCol w:w="905"/>
        <w:gridCol w:w="905"/>
        <w:gridCol w:w="905"/>
      </w:tblGrid>
      <w:tr w:rsidR="004D42F9" w14:paraId="4B7A219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154E7987" w14:textId="77777777" w:rsidR="004D42F9" w:rsidRDefault="004D42F9">
            <w:pPr>
              <w:keepNext/>
            </w:pPr>
          </w:p>
        </w:tc>
        <w:tc>
          <w:tcPr>
            <w:tcW w:w="632" w:type="dxa"/>
          </w:tcPr>
          <w:p w14:paraId="7E98E23E"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4A2C593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0" w:type="dxa"/>
            <w:gridSpan w:val="2"/>
          </w:tcPr>
          <w:p w14:paraId="2266593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91200" w14:paraId="1488284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2768ADE6" w14:textId="77777777" w:rsidR="004D42F9" w:rsidRDefault="004D42F9">
            <w:pPr>
              <w:keepNext/>
            </w:pPr>
          </w:p>
        </w:tc>
        <w:tc>
          <w:tcPr>
            <w:tcW w:w="632" w:type="dxa"/>
          </w:tcPr>
          <w:p w14:paraId="75E421ED"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4" w:type="dxa"/>
          </w:tcPr>
          <w:p w14:paraId="4BF664F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5" w:type="dxa"/>
          </w:tcPr>
          <w:p w14:paraId="468CA99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1D53708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5" w:type="dxa"/>
          </w:tcPr>
          <w:p w14:paraId="2510E75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E8081D5" w14:textId="77777777">
        <w:tc>
          <w:tcPr>
            <w:cnfStyle w:val="001000000000" w:firstRow="0" w:lastRow="0" w:firstColumn="1" w:lastColumn="0" w:oddVBand="0" w:evenVBand="0" w:oddHBand="0" w:evenHBand="0" w:firstRowFirstColumn="0" w:firstRowLastColumn="0" w:lastRowFirstColumn="0" w:lastRowLastColumn="0"/>
            <w:tcW w:w="5387" w:type="dxa"/>
          </w:tcPr>
          <w:p w14:paraId="467E4206" w14:textId="77777777" w:rsidR="004D42F9" w:rsidRDefault="004D42F9">
            <w:r>
              <w:rPr>
                <w:b/>
              </w:rPr>
              <w:t>Cash flows from operating activities</w:t>
            </w:r>
          </w:p>
        </w:tc>
        <w:tc>
          <w:tcPr>
            <w:tcW w:w="632" w:type="dxa"/>
          </w:tcPr>
          <w:p w14:paraId="74B7C149"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87EF6F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49D46B4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7524093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0283347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7DD1EEC0" w14:textId="77777777">
        <w:tc>
          <w:tcPr>
            <w:cnfStyle w:val="001000000000" w:firstRow="0" w:lastRow="0" w:firstColumn="1" w:lastColumn="0" w:oddVBand="0" w:evenVBand="0" w:oddHBand="0" w:evenHBand="0" w:firstRowFirstColumn="0" w:firstRowLastColumn="0" w:lastRowFirstColumn="0" w:lastRowLastColumn="0"/>
            <w:tcW w:w="5387" w:type="dxa"/>
          </w:tcPr>
          <w:p w14:paraId="2301C8F6" w14:textId="77777777" w:rsidR="004D42F9" w:rsidRDefault="004D42F9">
            <w:r>
              <w:rPr>
                <w:b/>
              </w:rPr>
              <w:t>Receipts</w:t>
            </w:r>
          </w:p>
        </w:tc>
        <w:tc>
          <w:tcPr>
            <w:tcW w:w="632" w:type="dxa"/>
          </w:tcPr>
          <w:p w14:paraId="1687443C"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E51747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75EE85D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5A91B6A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23187F2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5449A96" w14:textId="77777777">
        <w:tc>
          <w:tcPr>
            <w:cnfStyle w:val="001000000000" w:firstRow="0" w:lastRow="0" w:firstColumn="1" w:lastColumn="0" w:oddVBand="0" w:evenVBand="0" w:oddHBand="0" w:evenHBand="0" w:firstRowFirstColumn="0" w:firstRowLastColumn="0" w:lastRowFirstColumn="0" w:lastRowLastColumn="0"/>
            <w:tcW w:w="5387" w:type="dxa"/>
          </w:tcPr>
          <w:p w14:paraId="79C12CD0" w14:textId="77777777" w:rsidR="004D42F9" w:rsidRDefault="004D42F9">
            <w:r>
              <w:t>Taxes received</w:t>
            </w:r>
          </w:p>
        </w:tc>
        <w:tc>
          <w:tcPr>
            <w:tcW w:w="632" w:type="dxa"/>
          </w:tcPr>
          <w:p w14:paraId="02E12B84"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34F157D" w14:textId="77777777" w:rsidR="004D42F9" w:rsidRDefault="004D42F9">
            <w:pPr>
              <w:cnfStyle w:val="000000000000" w:firstRow="0" w:lastRow="0" w:firstColumn="0" w:lastColumn="0" w:oddVBand="0" w:evenVBand="0" w:oddHBand="0" w:evenHBand="0" w:firstRowFirstColumn="0" w:firstRowLastColumn="0" w:lastRowFirstColumn="0" w:lastRowLastColumn="0"/>
            </w:pPr>
            <w:r>
              <w:t>38 828</w:t>
            </w:r>
          </w:p>
        </w:tc>
        <w:tc>
          <w:tcPr>
            <w:tcW w:w="905" w:type="dxa"/>
          </w:tcPr>
          <w:p w14:paraId="5BF8082B" w14:textId="77777777" w:rsidR="004D42F9" w:rsidRDefault="004D42F9">
            <w:pPr>
              <w:cnfStyle w:val="000000000000" w:firstRow="0" w:lastRow="0" w:firstColumn="0" w:lastColumn="0" w:oddVBand="0" w:evenVBand="0" w:oddHBand="0" w:evenHBand="0" w:firstRowFirstColumn="0" w:firstRowLastColumn="0" w:lastRowFirstColumn="0" w:lastRowLastColumn="0"/>
            </w:pPr>
            <w:r>
              <w:t>35 944</w:t>
            </w:r>
          </w:p>
        </w:tc>
        <w:tc>
          <w:tcPr>
            <w:tcW w:w="905" w:type="dxa"/>
          </w:tcPr>
          <w:p w14:paraId="555E4D76" w14:textId="77777777" w:rsidR="004D42F9" w:rsidRDefault="004D42F9">
            <w:pPr>
              <w:cnfStyle w:val="000000000000" w:firstRow="0" w:lastRow="0" w:firstColumn="0" w:lastColumn="0" w:oddVBand="0" w:evenVBand="0" w:oddHBand="0" w:evenHBand="0" w:firstRowFirstColumn="0" w:firstRowLastColumn="0" w:lastRowFirstColumn="0" w:lastRowLastColumn="0"/>
            </w:pPr>
            <w:r>
              <w:t>39 414</w:t>
            </w:r>
          </w:p>
        </w:tc>
        <w:tc>
          <w:tcPr>
            <w:tcW w:w="905" w:type="dxa"/>
          </w:tcPr>
          <w:p w14:paraId="1DCE7AAA" w14:textId="77777777" w:rsidR="004D42F9" w:rsidRDefault="004D42F9">
            <w:pPr>
              <w:cnfStyle w:val="000000000000" w:firstRow="0" w:lastRow="0" w:firstColumn="0" w:lastColumn="0" w:oddVBand="0" w:evenVBand="0" w:oddHBand="0" w:evenHBand="0" w:firstRowFirstColumn="0" w:firstRowLastColumn="0" w:lastRowFirstColumn="0" w:lastRowLastColumn="0"/>
            </w:pPr>
            <w:r>
              <w:t>36 496</w:t>
            </w:r>
          </w:p>
        </w:tc>
      </w:tr>
      <w:tr w:rsidR="004D42F9" w14:paraId="7E77FE76" w14:textId="77777777">
        <w:tc>
          <w:tcPr>
            <w:cnfStyle w:val="001000000000" w:firstRow="0" w:lastRow="0" w:firstColumn="1" w:lastColumn="0" w:oddVBand="0" w:evenVBand="0" w:oddHBand="0" w:evenHBand="0" w:firstRowFirstColumn="0" w:firstRowLastColumn="0" w:lastRowFirstColumn="0" w:lastRowLastColumn="0"/>
            <w:tcW w:w="5387" w:type="dxa"/>
          </w:tcPr>
          <w:p w14:paraId="03EB2345" w14:textId="77777777" w:rsidR="004D42F9" w:rsidRDefault="004D42F9">
            <w:r>
              <w:t>Grants</w:t>
            </w:r>
          </w:p>
        </w:tc>
        <w:tc>
          <w:tcPr>
            <w:tcW w:w="632" w:type="dxa"/>
          </w:tcPr>
          <w:p w14:paraId="6EB4B91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62CF1C9" w14:textId="77777777" w:rsidR="004D42F9" w:rsidRDefault="004D42F9">
            <w:pPr>
              <w:cnfStyle w:val="000000000000" w:firstRow="0" w:lastRow="0" w:firstColumn="0" w:lastColumn="0" w:oddVBand="0" w:evenVBand="0" w:oddHBand="0" w:evenHBand="0" w:firstRowFirstColumn="0" w:firstRowLastColumn="0" w:lastRowFirstColumn="0" w:lastRowLastColumn="0"/>
            </w:pPr>
            <w:r>
              <w:t>46 950</w:t>
            </w:r>
          </w:p>
        </w:tc>
        <w:tc>
          <w:tcPr>
            <w:tcW w:w="905" w:type="dxa"/>
          </w:tcPr>
          <w:p w14:paraId="25446471" w14:textId="77777777" w:rsidR="004D42F9" w:rsidRDefault="004D42F9">
            <w:pPr>
              <w:cnfStyle w:val="000000000000" w:firstRow="0" w:lastRow="0" w:firstColumn="0" w:lastColumn="0" w:oddVBand="0" w:evenVBand="0" w:oddHBand="0" w:evenHBand="0" w:firstRowFirstColumn="0" w:firstRowLastColumn="0" w:lastRowFirstColumn="0" w:lastRowLastColumn="0"/>
            </w:pPr>
            <w:r>
              <w:t>40 959</w:t>
            </w:r>
          </w:p>
        </w:tc>
        <w:tc>
          <w:tcPr>
            <w:tcW w:w="905" w:type="dxa"/>
          </w:tcPr>
          <w:p w14:paraId="4BCE1446" w14:textId="77777777" w:rsidR="004D42F9" w:rsidRDefault="004D42F9">
            <w:pPr>
              <w:cnfStyle w:val="000000000000" w:firstRow="0" w:lastRow="0" w:firstColumn="0" w:lastColumn="0" w:oddVBand="0" w:evenVBand="0" w:oddHBand="0" w:evenHBand="0" w:firstRowFirstColumn="0" w:firstRowLastColumn="0" w:lastRowFirstColumn="0" w:lastRowLastColumn="0"/>
            </w:pPr>
            <w:r>
              <w:t>47 029</w:t>
            </w:r>
          </w:p>
        </w:tc>
        <w:tc>
          <w:tcPr>
            <w:tcW w:w="905" w:type="dxa"/>
          </w:tcPr>
          <w:p w14:paraId="3BEC975F" w14:textId="77777777" w:rsidR="004D42F9" w:rsidRDefault="004D42F9">
            <w:pPr>
              <w:cnfStyle w:val="000000000000" w:firstRow="0" w:lastRow="0" w:firstColumn="0" w:lastColumn="0" w:oddVBand="0" w:evenVBand="0" w:oddHBand="0" w:evenHBand="0" w:firstRowFirstColumn="0" w:firstRowLastColumn="0" w:lastRowFirstColumn="0" w:lastRowLastColumn="0"/>
            </w:pPr>
            <w:r>
              <w:t>41 062</w:t>
            </w:r>
          </w:p>
        </w:tc>
      </w:tr>
      <w:tr w:rsidR="004D42F9" w14:paraId="6C5F3850" w14:textId="77777777">
        <w:tc>
          <w:tcPr>
            <w:cnfStyle w:val="001000000000" w:firstRow="0" w:lastRow="0" w:firstColumn="1" w:lastColumn="0" w:oddVBand="0" w:evenVBand="0" w:oddHBand="0" w:evenHBand="0" w:firstRowFirstColumn="0" w:firstRowLastColumn="0" w:lastRowFirstColumn="0" w:lastRowLastColumn="0"/>
            <w:tcW w:w="5387" w:type="dxa"/>
          </w:tcPr>
          <w:p w14:paraId="5C69E4BC" w14:textId="77777777" w:rsidR="004D42F9" w:rsidRDefault="004D42F9">
            <w:r>
              <w:t xml:space="preserve">Sales of goods and services </w:t>
            </w:r>
            <w:r>
              <w:rPr>
                <w:vertAlign w:val="superscript"/>
              </w:rPr>
              <w:t>(a)</w:t>
            </w:r>
          </w:p>
        </w:tc>
        <w:tc>
          <w:tcPr>
            <w:tcW w:w="632" w:type="dxa"/>
          </w:tcPr>
          <w:p w14:paraId="6578E17A"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96EF5B6" w14:textId="77777777" w:rsidR="004D42F9" w:rsidRDefault="004D42F9">
            <w:pPr>
              <w:cnfStyle w:val="000000000000" w:firstRow="0" w:lastRow="0" w:firstColumn="0" w:lastColumn="0" w:oddVBand="0" w:evenVBand="0" w:oddHBand="0" w:evenHBand="0" w:firstRowFirstColumn="0" w:firstRowLastColumn="0" w:lastRowFirstColumn="0" w:lastRowLastColumn="0"/>
            </w:pPr>
            <w:r>
              <w:t>23 019</w:t>
            </w:r>
          </w:p>
        </w:tc>
        <w:tc>
          <w:tcPr>
            <w:tcW w:w="905" w:type="dxa"/>
          </w:tcPr>
          <w:p w14:paraId="60D532A3" w14:textId="77777777" w:rsidR="004D42F9" w:rsidRDefault="004D42F9">
            <w:pPr>
              <w:cnfStyle w:val="000000000000" w:firstRow="0" w:lastRow="0" w:firstColumn="0" w:lastColumn="0" w:oddVBand="0" w:evenVBand="0" w:oddHBand="0" w:evenHBand="0" w:firstRowFirstColumn="0" w:firstRowLastColumn="0" w:lastRowFirstColumn="0" w:lastRowLastColumn="0"/>
            </w:pPr>
            <w:r>
              <w:t>21 669</w:t>
            </w:r>
          </w:p>
        </w:tc>
        <w:tc>
          <w:tcPr>
            <w:tcW w:w="905" w:type="dxa"/>
          </w:tcPr>
          <w:p w14:paraId="6E048A27" w14:textId="77777777" w:rsidR="004D42F9" w:rsidRDefault="004D42F9">
            <w:pPr>
              <w:cnfStyle w:val="000000000000" w:firstRow="0" w:lastRow="0" w:firstColumn="0" w:lastColumn="0" w:oddVBand="0" w:evenVBand="0" w:oddHBand="0" w:evenHBand="0" w:firstRowFirstColumn="0" w:firstRowLastColumn="0" w:lastRowFirstColumn="0" w:lastRowLastColumn="0"/>
            </w:pPr>
            <w:r>
              <w:t>7 478</w:t>
            </w:r>
          </w:p>
        </w:tc>
        <w:tc>
          <w:tcPr>
            <w:tcW w:w="905" w:type="dxa"/>
          </w:tcPr>
          <w:p w14:paraId="3F34EC6F" w14:textId="77777777" w:rsidR="004D42F9" w:rsidRDefault="004D42F9">
            <w:pPr>
              <w:cnfStyle w:val="000000000000" w:firstRow="0" w:lastRow="0" w:firstColumn="0" w:lastColumn="0" w:oddVBand="0" w:evenVBand="0" w:oddHBand="0" w:evenHBand="0" w:firstRowFirstColumn="0" w:firstRowLastColumn="0" w:lastRowFirstColumn="0" w:lastRowLastColumn="0"/>
            </w:pPr>
            <w:r>
              <w:t>6 894</w:t>
            </w:r>
          </w:p>
        </w:tc>
      </w:tr>
      <w:tr w:rsidR="004D42F9" w14:paraId="05342433" w14:textId="77777777">
        <w:tc>
          <w:tcPr>
            <w:cnfStyle w:val="001000000000" w:firstRow="0" w:lastRow="0" w:firstColumn="1" w:lastColumn="0" w:oddVBand="0" w:evenVBand="0" w:oddHBand="0" w:evenHBand="0" w:firstRowFirstColumn="0" w:firstRowLastColumn="0" w:lastRowFirstColumn="0" w:lastRowLastColumn="0"/>
            <w:tcW w:w="5387" w:type="dxa"/>
          </w:tcPr>
          <w:p w14:paraId="1C0034AC" w14:textId="77777777" w:rsidR="004D42F9" w:rsidRDefault="004D42F9">
            <w:r>
              <w:t>Interest received</w:t>
            </w:r>
          </w:p>
        </w:tc>
        <w:tc>
          <w:tcPr>
            <w:tcW w:w="632" w:type="dxa"/>
          </w:tcPr>
          <w:p w14:paraId="4EF17BA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120C4D4" w14:textId="77777777" w:rsidR="004D42F9" w:rsidRDefault="004D42F9">
            <w:pPr>
              <w:cnfStyle w:val="000000000000" w:firstRow="0" w:lastRow="0" w:firstColumn="0" w:lastColumn="0" w:oddVBand="0" w:evenVBand="0" w:oddHBand="0" w:evenHBand="0" w:firstRowFirstColumn="0" w:firstRowLastColumn="0" w:lastRowFirstColumn="0" w:lastRowLastColumn="0"/>
            </w:pPr>
            <w:r>
              <w:t>1 540</w:t>
            </w:r>
          </w:p>
        </w:tc>
        <w:tc>
          <w:tcPr>
            <w:tcW w:w="905" w:type="dxa"/>
          </w:tcPr>
          <w:p w14:paraId="012BBDBB" w14:textId="77777777" w:rsidR="004D42F9" w:rsidRDefault="004D42F9">
            <w:pPr>
              <w:cnfStyle w:val="000000000000" w:firstRow="0" w:lastRow="0" w:firstColumn="0" w:lastColumn="0" w:oddVBand="0" w:evenVBand="0" w:oddHBand="0" w:evenHBand="0" w:firstRowFirstColumn="0" w:firstRowLastColumn="0" w:lastRowFirstColumn="0" w:lastRowLastColumn="0"/>
            </w:pPr>
            <w:r>
              <w:t>1 798</w:t>
            </w:r>
          </w:p>
        </w:tc>
        <w:tc>
          <w:tcPr>
            <w:tcW w:w="905" w:type="dxa"/>
          </w:tcPr>
          <w:p w14:paraId="061A51B4" w14:textId="77777777" w:rsidR="004D42F9" w:rsidRDefault="004D42F9">
            <w:pPr>
              <w:cnfStyle w:val="000000000000" w:firstRow="0" w:lastRow="0" w:firstColumn="0" w:lastColumn="0" w:oddVBand="0" w:evenVBand="0" w:oddHBand="0" w:evenHBand="0" w:firstRowFirstColumn="0" w:firstRowLastColumn="0" w:lastRowFirstColumn="0" w:lastRowLastColumn="0"/>
            </w:pPr>
            <w:r>
              <w:t>1 449</w:t>
            </w:r>
          </w:p>
        </w:tc>
        <w:tc>
          <w:tcPr>
            <w:tcW w:w="905" w:type="dxa"/>
          </w:tcPr>
          <w:p w14:paraId="3ABD24A8" w14:textId="77777777" w:rsidR="004D42F9" w:rsidRDefault="004D42F9">
            <w:pPr>
              <w:cnfStyle w:val="000000000000" w:firstRow="0" w:lastRow="0" w:firstColumn="0" w:lastColumn="0" w:oddVBand="0" w:evenVBand="0" w:oddHBand="0" w:evenHBand="0" w:firstRowFirstColumn="0" w:firstRowLastColumn="0" w:lastRowFirstColumn="0" w:lastRowLastColumn="0"/>
            </w:pPr>
            <w:r>
              <w:t>1 691</w:t>
            </w:r>
          </w:p>
        </w:tc>
      </w:tr>
      <w:tr w:rsidR="004D42F9" w14:paraId="4CE64CDE" w14:textId="77777777">
        <w:tc>
          <w:tcPr>
            <w:cnfStyle w:val="001000000000" w:firstRow="0" w:lastRow="0" w:firstColumn="1" w:lastColumn="0" w:oddVBand="0" w:evenVBand="0" w:oddHBand="0" w:evenHBand="0" w:firstRowFirstColumn="0" w:firstRowLastColumn="0" w:lastRowFirstColumn="0" w:lastRowLastColumn="0"/>
            <w:tcW w:w="5387" w:type="dxa"/>
          </w:tcPr>
          <w:p w14:paraId="3C5D609D" w14:textId="77777777" w:rsidR="004D42F9" w:rsidRDefault="004D42F9">
            <w:r>
              <w:t>Dividends and income tax equivalent receipts</w:t>
            </w:r>
          </w:p>
        </w:tc>
        <w:tc>
          <w:tcPr>
            <w:tcW w:w="632" w:type="dxa"/>
          </w:tcPr>
          <w:p w14:paraId="655047B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53DB3747" w14:textId="77777777" w:rsidR="004D42F9" w:rsidRDefault="004D42F9">
            <w:pPr>
              <w:cnfStyle w:val="000000000000" w:firstRow="0" w:lastRow="0" w:firstColumn="0" w:lastColumn="0" w:oddVBand="0" w:evenVBand="0" w:oddHBand="0" w:evenHBand="0" w:firstRowFirstColumn="0" w:firstRowLastColumn="0" w:lastRowFirstColumn="0" w:lastRowLastColumn="0"/>
            </w:pPr>
            <w:r>
              <w:t>3 980</w:t>
            </w:r>
          </w:p>
        </w:tc>
        <w:tc>
          <w:tcPr>
            <w:tcW w:w="905" w:type="dxa"/>
          </w:tcPr>
          <w:p w14:paraId="1BE480CD" w14:textId="77777777" w:rsidR="004D42F9" w:rsidRDefault="004D42F9">
            <w:pPr>
              <w:cnfStyle w:val="000000000000" w:firstRow="0" w:lastRow="0" w:firstColumn="0" w:lastColumn="0" w:oddVBand="0" w:evenVBand="0" w:oddHBand="0" w:evenHBand="0" w:firstRowFirstColumn="0" w:firstRowLastColumn="0" w:lastRowFirstColumn="0" w:lastRowLastColumn="0"/>
            </w:pPr>
            <w:r>
              <w:t>2 550</w:t>
            </w:r>
          </w:p>
        </w:tc>
        <w:tc>
          <w:tcPr>
            <w:tcW w:w="905" w:type="dxa"/>
          </w:tcPr>
          <w:p w14:paraId="282E026E" w14:textId="77777777" w:rsidR="004D42F9" w:rsidRDefault="004D42F9">
            <w:pPr>
              <w:cnfStyle w:val="000000000000" w:firstRow="0" w:lastRow="0" w:firstColumn="0" w:lastColumn="0" w:oddVBand="0" w:evenVBand="0" w:oddHBand="0" w:evenHBand="0" w:firstRowFirstColumn="0" w:firstRowLastColumn="0" w:lastRowFirstColumn="0" w:lastRowLastColumn="0"/>
            </w:pPr>
            <w:r>
              <w:t>2 347</w:t>
            </w:r>
          </w:p>
        </w:tc>
        <w:tc>
          <w:tcPr>
            <w:tcW w:w="905" w:type="dxa"/>
          </w:tcPr>
          <w:p w14:paraId="081FF428" w14:textId="77777777" w:rsidR="004D42F9" w:rsidRDefault="004D42F9">
            <w:pPr>
              <w:cnfStyle w:val="000000000000" w:firstRow="0" w:lastRow="0" w:firstColumn="0" w:lastColumn="0" w:oddVBand="0" w:evenVBand="0" w:oddHBand="0" w:evenHBand="0" w:firstRowFirstColumn="0" w:firstRowLastColumn="0" w:lastRowFirstColumn="0" w:lastRowLastColumn="0"/>
            </w:pPr>
            <w:r>
              <w:t>2 645</w:t>
            </w:r>
          </w:p>
        </w:tc>
      </w:tr>
      <w:tr w:rsidR="004D42F9" w14:paraId="5180115B"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A1FAC2D" w14:textId="77777777" w:rsidR="004D42F9" w:rsidRDefault="004D42F9">
            <w:r>
              <w:t>Other receipts</w:t>
            </w:r>
          </w:p>
        </w:tc>
        <w:tc>
          <w:tcPr>
            <w:tcW w:w="632" w:type="dxa"/>
            <w:tcBorders>
              <w:bottom w:val="single" w:sz="6" w:space="0" w:color="auto"/>
            </w:tcBorders>
          </w:tcPr>
          <w:p w14:paraId="6C1D17C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332640E7" w14:textId="77777777" w:rsidR="004D42F9" w:rsidRDefault="004D42F9">
            <w:pPr>
              <w:cnfStyle w:val="000000000000" w:firstRow="0" w:lastRow="0" w:firstColumn="0" w:lastColumn="0" w:oddVBand="0" w:evenVBand="0" w:oddHBand="0" w:evenHBand="0" w:firstRowFirstColumn="0" w:firstRowLastColumn="0" w:lastRowFirstColumn="0" w:lastRowLastColumn="0"/>
            </w:pPr>
            <w:r>
              <w:t>3 337</w:t>
            </w:r>
          </w:p>
        </w:tc>
        <w:tc>
          <w:tcPr>
            <w:tcW w:w="905" w:type="dxa"/>
            <w:tcBorders>
              <w:bottom w:val="single" w:sz="6" w:space="0" w:color="auto"/>
            </w:tcBorders>
          </w:tcPr>
          <w:p w14:paraId="5D94B176" w14:textId="77777777" w:rsidR="004D42F9" w:rsidRDefault="004D42F9">
            <w:pPr>
              <w:cnfStyle w:val="000000000000" w:firstRow="0" w:lastRow="0" w:firstColumn="0" w:lastColumn="0" w:oddVBand="0" w:evenVBand="0" w:oddHBand="0" w:evenHBand="0" w:firstRowFirstColumn="0" w:firstRowLastColumn="0" w:lastRowFirstColumn="0" w:lastRowLastColumn="0"/>
            </w:pPr>
            <w:r>
              <w:t>2 694</w:t>
            </w:r>
          </w:p>
        </w:tc>
        <w:tc>
          <w:tcPr>
            <w:tcW w:w="905" w:type="dxa"/>
            <w:tcBorders>
              <w:bottom w:val="single" w:sz="6" w:space="0" w:color="auto"/>
            </w:tcBorders>
          </w:tcPr>
          <w:p w14:paraId="2C68EA03" w14:textId="77777777" w:rsidR="004D42F9" w:rsidRDefault="004D42F9">
            <w:pPr>
              <w:cnfStyle w:val="000000000000" w:firstRow="0" w:lastRow="0" w:firstColumn="0" w:lastColumn="0" w:oddVBand="0" w:evenVBand="0" w:oddHBand="0" w:evenHBand="0" w:firstRowFirstColumn="0" w:firstRowLastColumn="0" w:lastRowFirstColumn="0" w:lastRowLastColumn="0"/>
            </w:pPr>
            <w:r>
              <w:t>2 989</w:t>
            </w:r>
          </w:p>
        </w:tc>
        <w:tc>
          <w:tcPr>
            <w:tcW w:w="905" w:type="dxa"/>
            <w:tcBorders>
              <w:bottom w:val="single" w:sz="6" w:space="0" w:color="auto"/>
            </w:tcBorders>
          </w:tcPr>
          <w:p w14:paraId="4FE64F61" w14:textId="77777777" w:rsidR="004D42F9" w:rsidRDefault="004D42F9">
            <w:pPr>
              <w:cnfStyle w:val="000000000000" w:firstRow="0" w:lastRow="0" w:firstColumn="0" w:lastColumn="0" w:oddVBand="0" w:evenVBand="0" w:oddHBand="0" w:evenHBand="0" w:firstRowFirstColumn="0" w:firstRowLastColumn="0" w:lastRowFirstColumn="0" w:lastRowLastColumn="0"/>
            </w:pPr>
            <w:r>
              <w:t>2 408</w:t>
            </w:r>
          </w:p>
        </w:tc>
      </w:tr>
      <w:tr w:rsidR="004D42F9" w14:paraId="55669AE4"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3926B716" w14:textId="77777777" w:rsidR="004D42F9" w:rsidRDefault="004D42F9">
            <w:r>
              <w:rPr>
                <w:b/>
              </w:rPr>
              <w:t>Total receipts</w:t>
            </w:r>
          </w:p>
        </w:tc>
        <w:tc>
          <w:tcPr>
            <w:tcW w:w="632" w:type="dxa"/>
            <w:tcBorders>
              <w:top w:val="single" w:sz="6" w:space="0" w:color="auto"/>
            </w:tcBorders>
          </w:tcPr>
          <w:p w14:paraId="1D4A977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51A18D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117 654</w:t>
            </w:r>
          </w:p>
        </w:tc>
        <w:tc>
          <w:tcPr>
            <w:tcW w:w="905" w:type="dxa"/>
            <w:tcBorders>
              <w:top w:val="single" w:sz="6" w:space="0" w:color="auto"/>
            </w:tcBorders>
          </w:tcPr>
          <w:p w14:paraId="3DB360C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105 614</w:t>
            </w:r>
          </w:p>
        </w:tc>
        <w:tc>
          <w:tcPr>
            <w:tcW w:w="905" w:type="dxa"/>
            <w:tcBorders>
              <w:top w:val="single" w:sz="6" w:space="0" w:color="auto"/>
            </w:tcBorders>
          </w:tcPr>
          <w:p w14:paraId="25949E6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100 706</w:t>
            </w:r>
          </w:p>
        </w:tc>
        <w:tc>
          <w:tcPr>
            <w:tcW w:w="905" w:type="dxa"/>
            <w:tcBorders>
              <w:top w:val="single" w:sz="6" w:space="0" w:color="auto"/>
            </w:tcBorders>
          </w:tcPr>
          <w:p w14:paraId="518E267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91 197</w:t>
            </w:r>
          </w:p>
        </w:tc>
      </w:tr>
      <w:tr w:rsidR="004D42F9" w14:paraId="194FD548" w14:textId="77777777">
        <w:tc>
          <w:tcPr>
            <w:cnfStyle w:val="001000000000" w:firstRow="0" w:lastRow="0" w:firstColumn="1" w:lastColumn="0" w:oddVBand="0" w:evenVBand="0" w:oddHBand="0" w:evenHBand="0" w:firstRowFirstColumn="0" w:firstRowLastColumn="0" w:lastRowFirstColumn="0" w:lastRowLastColumn="0"/>
            <w:tcW w:w="5387" w:type="dxa"/>
          </w:tcPr>
          <w:p w14:paraId="5C50F9BD" w14:textId="77777777" w:rsidR="004D42F9" w:rsidRDefault="004D42F9">
            <w:r>
              <w:rPr>
                <w:b/>
              </w:rPr>
              <w:t>Payments</w:t>
            </w:r>
          </w:p>
        </w:tc>
        <w:tc>
          <w:tcPr>
            <w:tcW w:w="632" w:type="dxa"/>
          </w:tcPr>
          <w:p w14:paraId="2989AA7E"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15E6DA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EA17D4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544EFB6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75109C7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49569C7" w14:textId="77777777">
        <w:tc>
          <w:tcPr>
            <w:cnfStyle w:val="001000000000" w:firstRow="0" w:lastRow="0" w:firstColumn="1" w:lastColumn="0" w:oddVBand="0" w:evenVBand="0" w:oddHBand="0" w:evenHBand="0" w:firstRowFirstColumn="0" w:firstRowLastColumn="0" w:lastRowFirstColumn="0" w:lastRowLastColumn="0"/>
            <w:tcW w:w="5387" w:type="dxa"/>
          </w:tcPr>
          <w:p w14:paraId="26B5E06F" w14:textId="77777777" w:rsidR="004D42F9" w:rsidRDefault="004D42F9">
            <w:r>
              <w:t>Payments for employees</w:t>
            </w:r>
          </w:p>
        </w:tc>
        <w:tc>
          <w:tcPr>
            <w:tcW w:w="632" w:type="dxa"/>
          </w:tcPr>
          <w:p w14:paraId="2A6FBB6C"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B75E173" w14:textId="77777777" w:rsidR="004D42F9" w:rsidRDefault="004D42F9">
            <w:pPr>
              <w:cnfStyle w:val="000000000000" w:firstRow="0" w:lastRow="0" w:firstColumn="0" w:lastColumn="0" w:oddVBand="0" w:evenVBand="0" w:oddHBand="0" w:evenHBand="0" w:firstRowFirstColumn="0" w:firstRowLastColumn="0" w:lastRowFirstColumn="0" w:lastRowLastColumn="0"/>
            </w:pPr>
            <w:r>
              <w:t>(39 081)</w:t>
            </w:r>
          </w:p>
        </w:tc>
        <w:tc>
          <w:tcPr>
            <w:tcW w:w="905" w:type="dxa"/>
          </w:tcPr>
          <w:p w14:paraId="1456A9A2" w14:textId="77777777" w:rsidR="004D42F9" w:rsidRDefault="004D42F9">
            <w:pPr>
              <w:cnfStyle w:val="000000000000" w:firstRow="0" w:lastRow="0" w:firstColumn="0" w:lastColumn="0" w:oddVBand="0" w:evenVBand="0" w:oddHBand="0" w:evenHBand="0" w:firstRowFirstColumn="0" w:firstRowLastColumn="0" w:lastRowFirstColumn="0" w:lastRowLastColumn="0"/>
            </w:pPr>
            <w:r>
              <w:t>(36 465)</w:t>
            </w:r>
          </w:p>
        </w:tc>
        <w:tc>
          <w:tcPr>
            <w:tcW w:w="905" w:type="dxa"/>
          </w:tcPr>
          <w:p w14:paraId="5BB66FCF" w14:textId="77777777" w:rsidR="004D42F9" w:rsidRDefault="004D42F9">
            <w:pPr>
              <w:cnfStyle w:val="000000000000" w:firstRow="0" w:lastRow="0" w:firstColumn="0" w:lastColumn="0" w:oddVBand="0" w:evenVBand="0" w:oddHBand="0" w:evenHBand="0" w:firstRowFirstColumn="0" w:firstRowLastColumn="0" w:lastRowFirstColumn="0" w:lastRowLastColumn="0"/>
            </w:pPr>
            <w:r>
              <w:t>(37 595)</w:t>
            </w:r>
          </w:p>
        </w:tc>
        <w:tc>
          <w:tcPr>
            <w:tcW w:w="905" w:type="dxa"/>
          </w:tcPr>
          <w:p w14:paraId="00EC4EBD" w14:textId="77777777" w:rsidR="004D42F9" w:rsidRDefault="004D42F9">
            <w:pPr>
              <w:cnfStyle w:val="000000000000" w:firstRow="0" w:lastRow="0" w:firstColumn="0" w:lastColumn="0" w:oddVBand="0" w:evenVBand="0" w:oddHBand="0" w:evenHBand="0" w:firstRowFirstColumn="0" w:firstRowLastColumn="0" w:lastRowFirstColumn="0" w:lastRowLastColumn="0"/>
            </w:pPr>
            <w:r>
              <w:t>(35 074)</w:t>
            </w:r>
          </w:p>
        </w:tc>
      </w:tr>
      <w:tr w:rsidR="004D42F9" w14:paraId="68C24DE9" w14:textId="77777777">
        <w:tc>
          <w:tcPr>
            <w:cnfStyle w:val="001000000000" w:firstRow="0" w:lastRow="0" w:firstColumn="1" w:lastColumn="0" w:oddVBand="0" w:evenVBand="0" w:oddHBand="0" w:evenHBand="0" w:firstRowFirstColumn="0" w:firstRowLastColumn="0" w:lastRowFirstColumn="0" w:lastRowLastColumn="0"/>
            <w:tcW w:w="5387" w:type="dxa"/>
          </w:tcPr>
          <w:p w14:paraId="7307A4D9" w14:textId="77777777" w:rsidR="004D42F9" w:rsidRDefault="004D42F9">
            <w:r>
              <w:t>Superannuation</w:t>
            </w:r>
          </w:p>
        </w:tc>
        <w:tc>
          <w:tcPr>
            <w:tcW w:w="632" w:type="dxa"/>
          </w:tcPr>
          <w:p w14:paraId="074C0EF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0BE67372" w14:textId="77777777" w:rsidR="004D42F9" w:rsidRDefault="004D42F9">
            <w:pPr>
              <w:cnfStyle w:val="000000000000" w:firstRow="0" w:lastRow="0" w:firstColumn="0" w:lastColumn="0" w:oddVBand="0" w:evenVBand="0" w:oddHBand="0" w:evenHBand="0" w:firstRowFirstColumn="0" w:firstRowLastColumn="0" w:lastRowFirstColumn="0" w:lastRowLastColumn="0"/>
            </w:pPr>
            <w:r>
              <w:t>(4 744)</w:t>
            </w:r>
          </w:p>
        </w:tc>
        <w:tc>
          <w:tcPr>
            <w:tcW w:w="905" w:type="dxa"/>
          </w:tcPr>
          <w:p w14:paraId="22E796DC" w14:textId="77777777" w:rsidR="004D42F9" w:rsidRDefault="004D42F9">
            <w:pPr>
              <w:cnfStyle w:val="000000000000" w:firstRow="0" w:lastRow="0" w:firstColumn="0" w:lastColumn="0" w:oddVBand="0" w:evenVBand="0" w:oddHBand="0" w:evenHBand="0" w:firstRowFirstColumn="0" w:firstRowLastColumn="0" w:lastRowFirstColumn="0" w:lastRowLastColumn="0"/>
            </w:pPr>
            <w:r>
              <w:t>(4 098)</w:t>
            </w:r>
          </w:p>
        </w:tc>
        <w:tc>
          <w:tcPr>
            <w:tcW w:w="905" w:type="dxa"/>
          </w:tcPr>
          <w:p w14:paraId="29934379" w14:textId="77777777" w:rsidR="004D42F9" w:rsidRDefault="004D42F9">
            <w:pPr>
              <w:cnfStyle w:val="000000000000" w:firstRow="0" w:lastRow="0" w:firstColumn="0" w:lastColumn="0" w:oddVBand="0" w:evenVBand="0" w:oddHBand="0" w:evenHBand="0" w:firstRowFirstColumn="0" w:firstRowLastColumn="0" w:lastRowFirstColumn="0" w:lastRowLastColumn="0"/>
            </w:pPr>
            <w:r>
              <w:t>(4 464)</w:t>
            </w:r>
          </w:p>
        </w:tc>
        <w:tc>
          <w:tcPr>
            <w:tcW w:w="905" w:type="dxa"/>
          </w:tcPr>
          <w:p w14:paraId="119052B9" w14:textId="77777777" w:rsidR="004D42F9" w:rsidRDefault="004D42F9">
            <w:pPr>
              <w:cnfStyle w:val="000000000000" w:firstRow="0" w:lastRow="0" w:firstColumn="0" w:lastColumn="0" w:oddVBand="0" w:evenVBand="0" w:oddHBand="0" w:evenHBand="0" w:firstRowFirstColumn="0" w:firstRowLastColumn="0" w:lastRowFirstColumn="0" w:lastRowLastColumn="0"/>
            </w:pPr>
            <w:r>
              <w:t>(3 853)</w:t>
            </w:r>
          </w:p>
        </w:tc>
      </w:tr>
      <w:tr w:rsidR="004D42F9" w14:paraId="1CD5FFF3" w14:textId="77777777">
        <w:tc>
          <w:tcPr>
            <w:cnfStyle w:val="001000000000" w:firstRow="0" w:lastRow="0" w:firstColumn="1" w:lastColumn="0" w:oddVBand="0" w:evenVBand="0" w:oddHBand="0" w:evenHBand="0" w:firstRowFirstColumn="0" w:firstRowLastColumn="0" w:lastRowFirstColumn="0" w:lastRowLastColumn="0"/>
            <w:tcW w:w="5387" w:type="dxa"/>
          </w:tcPr>
          <w:p w14:paraId="0133C129" w14:textId="77777777" w:rsidR="004D42F9" w:rsidRDefault="004D42F9">
            <w:r>
              <w:t>Interest paid</w:t>
            </w:r>
          </w:p>
        </w:tc>
        <w:tc>
          <w:tcPr>
            <w:tcW w:w="632" w:type="dxa"/>
          </w:tcPr>
          <w:p w14:paraId="3985E96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15723E0" w14:textId="77777777" w:rsidR="004D42F9" w:rsidRDefault="004D42F9">
            <w:pPr>
              <w:cnfStyle w:val="000000000000" w:firstRow="0" w:lastRow="0" w:firstColumn="0" w:lastColumn="0" w:oddVBand="0" w:evenVBand="0" w:oddHBand="0" w:evenHBand="0" w:firstRowFirstColumn="0" w:firstRowLastColumn="0" w:lastRowFirstColumn="0" w:lastRowLastColumn="0"/>
            </w:pPr>
            <w:r>
              <w:t>(6 573)</w:t>
            </w:r>
          </w:p>
        </w:tc>
        <w:tc>
          <w:tcPr>
            <w:tcW w:w="905" w:type="dxa"/>
          </w:tcPr>
          <w:p w14:paraId="6708346B" w14:textId="77777777" w:rsidR="004D42F9" w:rsidRDefault="004D42F9">
            <w:pPr>
              <w:cnfStyle w:val="000000000000" w:firstRow="0" w:lastRow="0" w:firstColumn="0" w:lastColumn="0" w:oddVBand="0" w:evenVBand="0" w:oddHBand="0" w:evenHBand="0" w:firstRowFirstColumn="0" w:firstRowLastColumn="0" w:lastRowFirstColumn="0" w:lastRowLastColumn="0"/>
            </w:pPr>
            <w:r>
              <w:t>(5 669)</w:t>
            </w:r>
          </w:p>
        </w:tc>
        <w:tc>
          <w:tcPr>
            <w:tcW w:w="905" w:type="dxa"/>
          </w:tcPr>
          <w:p w14:paraId="40CFEA3A" w14:textId="77777777" w:rsidR="004D42F9" w:rsidRDefault="004D42F9">
            <w:pPr>
              <w:cnfStyle w:val="000000000000" w:firstRow="0" w:lastRow="0" w:firstColumn="0" w:lastColumn="0" w:oddVBand="0" w:evenVBand="0" w:oddHBand="0" w:evenHBand="0" w:firstRowFirstColumn="0" w:firstRowLastColumn="0" w:lastRowFirstColumn="0" w:lastRowLastColumn="0"/>
            </w:pPr>
            <w:r>
              <w:t>(6 421)</w:t>
            </w:r>
          </w:p>
        </w:tc>
        <w:tc>
          <w:tcPr>
            <w:tcW w:w="905" w:type="dxa"/>
          </w:tcPr>
          <w:p w14:paraId="0359887E" w14:textId="77777777" w:rsidR="004D42F9" w:rsidRDefault="004D42F9">
            <w:pPr>
              <w:cnfStyle w:val="000000000000" w:firstRow="0" w:lastRow="0" w:firstColumn="0" w:lastColumn="0" w:oddVBand="0" w:evenVBand="0" w:oddHBand="0" w:evenHBand="0" w:firstRowFirstColumn="0" w:firstRowLastColumn="0" w:lastRowFirstColumn="0" w:lastRowLastColumn="0"/>
            </w:pPr>
            <w:r>
              <w:t>(5 262)</w:t>
            </w:r>
          </w:p>
        </w:tc>
      </w:tr>
      <w:tr w:rsidR="004D42F9" w14:paraId="2EDEC4A1" w14:textId="77777777">
        <w:tc>
          <w:tcPr>
            <w:cnfStyle w:val="001000000000" w:firstRow="0" w:lastRow="0" w:firstColumn="1" w:lastColumn="0" w:oddVBand="0" w:evenVBand="0" w:oddHBand="0" w:evenHBand="0" w:firstRowFirstColumn="0" w:firstRowLastColumn="0" w:lastRowFirstColumn="0" w:lastRowLastColumn="0"/>
            <w:tcW w:w="5387" w:type="dxa"/>
          </w:tcPr>
          <w:p w14:paraId="58C8CD44" w14:textId="77777777" w:rsidR="004D42F9" w:rsidRDefault="004D42F9">
            <w:r>
              <w:t>Grants and subsidies</w:t>
            </w:r>
          </w:p>
        </w:tc>
        <w:tc>
          <w:tcPr>
            <w:tcW w:w="632" w:type="dxa"/>
          </w:tcPr>
          <w:p w14:paraId="2A77883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6B07526" w14:textId="77777777" w:rsidR="004D42F9" w:rsidRDefault="004D42F9">
            <w:pPr>
              <w:cnfStyle w:val="000000000000" w:firstRow="0" w:lastRow="0" w:firstColumn="0" w:lastColumn="0" w:oddVBand="0" w:evenVBand="0" w:oddHBand="0" w:evenHBand="0" w:firstRowFirstColumn="0" w:firstRowLastColumn="0" w:lastRowFirstColumn="0" w:lastRowLastColumn="0"/>
            </w:pPr>
            <w:r>
              <w:t>(15 813)</w:t>
            </w:r>
          </w:p>
        </w:tc>
        <w:tc>
          <w:tcPr>
            <w:tcW w:w="905" w:type="dxa"/>
          </w:tcPr>
          <w:p w14:paraId="7A8B193A" w14:textId="77777777" w:rsidR="004D42F9" w:rsidRDefault="004D42F9">
            <w:pPr>
              <w:cnfStyle w:val="000000000000" w:firstRow="0" w:lastRow="0" w:firstColumn="0" w:lastColumn="0" w:oddVBand="0" w:evenVBand="0" w:oddHBand="0" w:evenHBand="0" w:firstRowFirstColumn="0" w:firstRowLastColumn="0" w:lastRowFirstColumn="0" w:lastRowLastColumn="0"/>
            </w:pPr>
            <w:r>
              <w:t>(13 922)</w:t>
            </w:r>
          </w:p>
        </w:tc>
        <w:tc>
          <w:tcPr>
            <w:tcW w:w="905" w:type="dxa"/>
          </w:tcPr>
          <w:p w14:paraId="4553D1E3" w14:textId="77777777" w:rsidR="004D42F9" w:rsidRDefault="004D42F9">
            <w:pPr>
              <w:cnfStyle w:val="000000000000" w:firstRow="0" w:lastRow="0" w:firstColumn="0" w:lastColumn="0" w:oddVBand="0" w:evenVBand="0" w:oddHBand="0" w:evenHBand="0" w:firstRowFirstColumn="0" w:firstRowLastColumn="0" w:lastRowFirstColumn="0" w:lastRowLastColumn="0"/>
            </w:pPr>
            <w:r>
              <w:t>(17 987)</w:t>
            </w:r>
          </w:p>
        </w:tc>
        <w:tc>
          <w:tcPr>
            <w:tcW w:w="905" w:type="dxa"/>
          </w:tcPr>
          <w:p w14:paraId="3BA7C935" w14:textId="77777777" w:rsidR="004D42F9" w:rsidRDefault="004D42F9">
            <w:pPr>
              <w:cnfStyle w:val="000000000000" w:firstRow="0" w:lastRow="0" w:firstColumn="0" w:lastColumn="0" w:oddVBand="0" w:evenVBand="0" w:oddHBand="0" w:evenHBand="0" w:firstRowFirstColumn="0" w:firstRowLastColumn="0" w:lastRowFirstColumn="0" w:lastRowLastColumn="0"/>
            </w:pPr>
            <w:r>
              <w:t>(15 936)</w:t>
            </w:r>
          </w:p>
        </w:tc>
      </w:tr>
      <w:tr w:rsidR="004D42F9" w14:paraId="6DA3083B" w14:textId="77777777">
        <w:tc>
          <w:tcPr>
            <w:cnfStyle w:val="001000000000" w:firstRow="0" w:lastRow="0" w:firstColumn="1" w:lastColumn="0" w:oddVBand="0" w:evenVBand="0" w:oddHBand="0" w:evenHBand="0" w:firstRowFirstColumn="0" w:firstRowLastColumn="0" w:lastRowFirstColumn="0" w:lastRowLastColumn="0"/>
            <w:tcW w:w="5387" w:type="dxa"/>
          </w:tcPr>
          <w:p w14:paraId="332A2E2E" w14:textId="77777777" w:rsidR="004D42F9" w:rsidRDefault="004D42F9">
            <w:r>
              <w:t xml:space="preserve">Goods and services </w:t>
            </w:r>
            <w:r>
              <w:rPr>
                <w:vertAlign w:val="superscript"/>
              </w:rPr>
              <w:t>(a)</w:t>
            </w:r>
          </w:p>
        </w:tc>
        <w:tc>
          <w:tcPr>
            <w:tcW w:w="632" w:type="dxa"/>
          </w:tcPr>
          <w:p w14:paraId="743A5E7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E461D0B" w14:textId="77777777" w:rsidR="004D42F9" w:rsidRDefault="004D42F9">
            <w:pPr>
              <w:cnfStyle w:val="000000000000" w:firstRow="0" w:lastRow="0" w:firstColumn="0" w:lastColumn="0" w:oddVBand="0" w:evenVBand="0" w:oddHBand="0" w:evenHBand="0" w:firstRowFirstColumn="0" w:firstRowLastColumn="0" w:lastRowFirstColumn="0" w:lastRowLastColumn="0"/>
            </w:pPr>
            <w:r>
              <w:t>(41 174)</w:t>
            </w:r>
          </w:p>
        </w:tc>
        <w:tc>
          <w:tcPr>
            <w:tcW w:w="905" w:type="dxa"/>
          </w:tcPr>
          <w:p w14:paraId="62D522E9" w14:textId="77777777" w:rsidR="004D42F9" w:rsidRDefault="004D42F9">
            <w:pPr>
              <w:cnfStyle w:val="000000000000" w:firstRow="0" w:lastRow="0" w:firstColumn="0" w:lastColumn="0" w:oddVBand="0" w:evenVBand="0" w:oddHBand="0" w:evenHBand="0" w:firstRowFirstColumn="0" w:firstRowLastColumn="0" w:lastRowFirstColumn="0" w:lastRowLastColumn="0"/>
            </w:pPr>
            <w:r>
              <w:t>(38 629)</w:t>
            </w:r>
          </w:p>
        </w:tc>
        <w:tc>
          <w:tcPr>
            <w:tcW w:w="905" w:type="dxa"/>
          </w:tcPr>
          <w:p w14:paraId="25A91E7C" w14:textId="77777777" w:rsidR="004D42F9" w:rsidRDefault="004D42F9">
            <w:pPr>
              <w:cnfStyle w:val="000000000000" w:firstRow="0" w:lastRow="0" w:firstColumn="0" w:lastColumn="0" w:oddVBand="0" w:evenVBand="0" w:oddHBand="0" w:evenHBand="0" w:firstRowFirstColumn="0" w:firstRowLastColumn="0" w:lastRowFirstColumn="0" w:lastRowLastColumn="0"/>
            </w:pPr>
            <w:r>
              <w:t>(29 068)</w:t>
            </w:r>
          </w:p>
        </w:tc>
        <w:tc>
          <w:tcPr>
            <w:tcW w:w="905" w:type="dxa"/>
          </w:tcPr>
          <w:p w14:paraId="64034CB8" w14:textId="77777777" w:rsidR="004D42F9" w:rsidRDefault="004D42F9">
            <w:pPr>
              <w:cnfStyle w:val="000000000000" w:firstRow="0" w:lastRow="0" w:firstColumn="0" w:lastColumn="0" w:oddVBand="0" w:evenVBand="0" w:oddHBand="0" w:evenHBand="0" w:firstRowFirstColumn="0" w:firstRowLastColumn="0" w:lastRowFirstColumn="0" w:lastRowLastColumn="0"/>
            </w:pPr>
            <w:r>
              <w:t>(26 868)</w:t>
            </w:r>
          </w:p>
        </w:tc>
      </w:tr>
      <w:tr w:rsidR="004D42F9" w14:paraId="441FD739"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227FB406" w14:textId="77777777" w:rsidR="004D42F9" w:rsidRDefault="004D42F9">
            <w:r>
              <w:t>Other payments</w:t>
            </w:r>
          </w:p>
        </w:tc>
        <w:tc>
          <w:tcPr>
            <w:tcW w:w="632" w:type="dxa"/>
            <w:tcBorders>
              <w:bottom w:val="single" w:sz="6" w:space="0" w:color="auto"/>
            </w:tcBorders>
          </w:tcPr>
          <w:p w14:paraId="182A15EF"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21983DCE" w14:textId="77777777" w:rsidR="004D42F9" w:rsidRDefault="004D42F9">
            <w:pPr>
              <w:cnfStyle w:val="000000000000" w:firstRow="0" w:lastRow="0" w:firstColumn="0" w:lastColumn="0" w:oddVBand="0" w:evenVBand="0" w:oddHBand="0" w:evenHBand="0" w:firstRowFirstColumn="0" w:firstRowLastColumn="0" w:lastRowFirstColumn="0" w:lastRowLastColumn="0"/>
            </w:pPr>
            <w:r>
              <w:t>(1 945)</w:t>
            </w:r>
          </w:p>
        </w:tc>
        <w:tc>
          <w:tcPr>
            <w:tcW w:w="905" w:type="dxa"/>
            <w:tcBorders>
              <w:bottom w:val="single" w:sz="6" w:space="0" w:color="auto"/>
            </w:tcBorders>
          </w:tcPr>
          <w:p w14:paraId="6887C25A" w14:textId="77777777" w:rsidR="004D42F9" w:rsidRDefault="004D42F9">
            <w:pPr>
              <w:cnfStyle w:val="000000000000" w:firstRow="0" w:lastRow="0" w:firstColumn="0" w:lastColumn="0" w:oddVBand="0" w:evenVBand="0" w:oddHBand="0" w:evenHBand="0" w:firstRowFirstColumn="0" w:firstRowLastColumn="0" w:lastRowFirstColumn="0" w:lastRowLastColumn="0"/>
            </w:pPr>
            <w:r>
              <w:t>(1 582)</w:t>
            </w:r>
          </w:p>
        </w:tc>
        <w:tc>
          <w:tcPr>
            <w:tcW w:w="905" w:type="dxa"/>
            <w:tcBorders>
              <w:bottom w:val="single" w:sz="6" w:space="0" w:color="auto"/>
            </w:tcBorders>
          </w:tcPr>
          <w:p w14:paraId="3B37F194" w14:textId="77777777" w:rsidR="004D42F9" w:rsidRDefault="004D42F9">
            <w:pPr>
              <w:cnfStyle w:val="000000000000" w:firstRow="0" w:lastRow="0" w:firstColumn="0" w:lastColumn="0" w:oddVBand="0" w:evenVBand="0" w:oddHBand="0" w:evenHBand="0" w:firstRowFirstColumn="0" w:firstRowLastColumn="0" w:lastRowFirstColumn="0" w:lastRowLastColumn="0"/>
            </w:pPr>
            <w:r>
              <w:t>(1 939)</w:t>
            </w:r>
          </w:p>
        </w:tc>
        <w:tc>
          <w:tcPr>
            <w:tcW w:w="905" w:type="dxa"/>
            <w:tcBorders>
              <w:bottom w:val="single" w:sz="6" w:space="0" w:color="auto"/>
            </w:tcBorders>
          </w:tcPr>
          <w:p w14:paraId="6C3B9068" w14:textId="77777777" w:rsidR="004D42F9" w:rsidRDefault="004D42F9">
            <w:pPr>
              <w:cnfStyle w:val="000000000000" w:firstRow="0" w:lastRow="0" w:firstColumn="0" w:lastColumn="0" w:oddVBand="0" w:evenVBand="0" w:oddHBand="0" w:evenHBand="0" w:firstRowFirstColumn="0" w:firstRowLastColumn="0" w:lastRowFirstColumn="0" w:lastRowLastColumn="0"/>
            </w:pPr>
            <w:r>
              <w:t>(1 582)</w:t>
            </w:r>
          </w:p>
        </w:tc>
      </w:tr>
      <w:tr w:rsidR="004D42F9" w14:paraId="55A03DAF"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14907FD9" w14:textId="77777777" w:rsidR="004D42F9" w:rsidRDefault="004D42F9">
            <w:r>
              <w:rPr>
                <w:b/>
              </w:rPr>
              <w:t>Total payments</w:t>
            </w:r>
          </w:p>
        </w:tc>
        <w:tc>
          <w:tcPr>
            <w:tcW w:w="632" w:type="dxa"/>
            <w:tcBorders>
              <w:top w:val="single" w:sz="6" w:space="0" w:color="auto"/>
              <w:bottom w:val="single" w:sz="6" w:space="0" w:color="auto"/>
            </w:tcBorders>
          </w:tcPr>
          <w:p w14:paraId="06856F0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4800B55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(109 329)</w:t>
            </w:r>
          </w:p>
        </w:tc>
        <w:tc>
          <w:tcPr>
            <w:tcW w:w="905" w:type="dxa"/>
            <w:tcBorders>
              <w:top w:val="single" w:sz="6" w:space="0" w:color="auto"/>
              <w:bottom w:val="single" w:sz="6" w:space="0" w:color="auto"/>
            </w:tcBorders>
          </w:tcPr>
          <w:p w14:paraId="5E3A5A2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(100 364)</w:t>
            </w:r>
          </w:p>
        </w:tc>
        <w:tc>
          <w:tcPr>
            <w:tcW w:w="905" w:type="dxa"/>
            <w:tcBorders>
              <w:top w:val="single" w:sz="6" w:space="0" w:color="auto"/>
              <w:bottom w:val="single" w:sz="6" w:space="0" w:color="auto"/>
            </w:tcBorders>
          </w:tcPr>
          <w:p w14:paraId="7FA1217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(97 474)</w:t>
            </w:r>
          </w:p>
        </w:tc>
        <w:tc>
          <w:tcPr>
            <w:tcW w:w="905" w:type="dxa"/>
            <w:tcBorders>
              <w:top w:val="single" w:sz="6" w:space="0" w:color="auto"/>
              <w:bottom w:val="single" w:sz="6" w:space="0" w:color="auto"/>
            </w:tcBorders>
          </w:tcPr>
          <w:p w14:paraId="638DE53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(88 574)</w:t>
            </w:r>
          </w:p>
        </w:tc>
      </w:tr>
      <w:tr w:rsidR="004D42F9" w14:paraId="4D392493"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7F6B4B52" w14:textId="77777777" w:rsidR="004D42F9" w:rsidRDefault="004D42F9">
            <w:r>
              <w:rPr>
                <w:b/>
              </w:rPr>
              <w:t>Net cash flows from operating activities</w:t>
            </w:r>
          </w:p>
        </w:tc>
        <w:tc>
          <w:tcPr>
            <w:tcW w:w="632" w:type="dxa"/>
            <w:tcBorders>
              <w:top w:val="single" w:sz="6" w:space="0" w:color="auto"/>
            </w:tcBorders>
          </w:tcPr>
          <w:p w14:paraId="5235867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t>5.4</w:t>
            </w:r>
          </w:p>
        </w:tc>
        <w:tc>
          <w:tcPr>
            <w:tcW w:w="904" w:type="dxa"/>
            <w:tcBorders>
              <w:top w:val="single" w:sz="6" w:space="0" w:color="auto"/>
            </w:tcBorders>
          </w:tcPr>
          <w:p w14:paraId="6A738E6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8 324</w:t>
            </w:r>
          </w:p>
        </w:tc>
        <w:tc>
          <w:tcPr>
            <w:tcW w:w="905" w:type="dxa"/>
            <w:tcBorders>
              <w:top w:val="single" w:sz="6" w:space="0" w:color="auto"/>
            </w:tcBorders>
          </w:tcPr>
          <w:p w14:paraId="6E2B71E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5 249</w:t>
            </w:r>
          </w:p>
        </w:tc>
        <w:tc>
          <w:tcPr>
            <w:tcW w:w="905" w:type="dxa"/>
            <w:tcBorders>
              <w:top w:val="single" w:sz="6" w:space="0" w:color="auto"/>
            </w:tcBorders>
          </w:tcPr>
          <w:p w14:paraId="13BD1B9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3 233</w:t>
            </w:r>
          </w:p>
        </w:tc>
        <w:tc>
          <w:tcPr>
            <w:tcW w:w="905" w:type="dxa"/>
            <w:tcBorders>
              <w:top w:val="single" w:sz="6" w:space="0" w:color="auto"/>
            </w:tcBorders>
          </w:tcPr>
          <w:p w14:paraId="58D70DC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2 623</w:t>
            </w:r>
          </w:p>
        </w:tc>
      </w:tr>
      <w:tr w:rsidR="004D42F9" w14:paraId="3F38D1B9" w14:textId="77777777">
        <w:tc>
          <w:tcPr>
            <w:cnfStyle w:val="001000000000" w:firstRow="0" w:lastRow="0" w:firstColumn="1" w:lastColumn="0" w:oddVBand="0" w:evenVBand="0" w:oddHBand="0" w:evenHBand="0" w:firstRowFirstColumn="0" w:firstRowLastColumn="0" w:lastRowFirstColumn="0" w:lastRowLastColumn="0"/>
            <w:tcW w:w="5387" w:type="dxa"/>
          </w:tcPr>
          <w:p w14:paraId="243CF099" w14:textId="77777777" w:rsidR="004D42F9" w:rsidRDefault="004D42F9">
            <w:r>
              <w:rPr>
                <w:b/>
              </w:rPr>
              <w:t>Cash flows from investing activities</w:t>
            </w:r>
          </w:p>
        </w:tc>
        <w:tc>
          <w:tcPr>
            <w:tcW w:w="632" w:type="dxa"/>
          </w:tcPr>
          <w:p w14:paraId="50E6E536"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4F43B5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6895093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8904F7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1344533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7C1140F" w14:textId="77777777">
        <w:tc>
          <w:tcPr>
            <w:cnfStyle w:val="001000000000" w:firstRow="0" w:lastRow="0" w:firstColumn="1" w:lastColumn="0" w:oddVBand="0" w:evenVBand="0" w:oddHBand="0" w:evenHBand="0" w:firstRowFirstColumn="0" w:firstRowLastColumn="0" w:lastRowFirstColumn="0" w:lastRowLastColumn="0"/>
            <w:tcW w:w="5387" w:type="dxa"/>
          </w:tcPr>
          <w:p w14:paraId="01D28C43" w14:textId="77777777" w:rsidR="004D42F9" w:rsidRDefault="004D42F9">
            <w:r>
              <w:rPr>
                <w:b/>
              </w:rPr>
              <w:t>Cash flows from investments in non</w:t>
            </w:r>
            <w:r>
              <w:rPr>
                <w:b/>
              </w:rPr>
              <w:noBreakHyphen/>
              <w:t>financial assets</w:t>
            </w:r>
          </w:p>
        </w:tc>
        <w:tc>
          <w:tcPr>
            <w:tcW w:w="632" w:type="dxa"/>
          </w:tcPr>
          <w:p w14:paraId="055BA8F4"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86D5E7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06CE43E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20EE9F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0132750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B8D29F4" w14:textId="77777777">
        <w:tc>
          <w:tcPr>
            <w:cnfStyle w:val="001000000000" w:firstRow="0" w:lastRow="0" w:firstColumn="1" w:lastColumn="0" w:oddVBand="0" w:evenVBand="0" w:oddHBand="0" w:evenHBand="0" w:firstRowFirstColumn="0" w:firstRowLastColumn="0" w:lastRowFirstColumn="0" w:lastRowLastColumn="0"/>
            <w:tcW w:w="5387" w:type="dxa"/>
          </w:tcPr>
          <w:p w14:paraId="152B323F" w14:textId="77777777" w:rsidR="004D42F9" w:rsidRDefault="004D42F9">
            <w:r>
              <w:t>Purchases of non</w:t>
            </w:r>
            <w:r>
              <w:noBreakHyphen/>
              <w:t>financial assets</w:t>
            </w:r>
          </w:p>
        </w:tc>
        <w:tc>
          <w:tcPr>
            <w:tcW w:w="632" w:type="dxa"/>
          </w:tcPr>
          <w:p w14:paraId="3533575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t>3.8, 3.9</w:t>
            </w:r>
          </w:p>
        </w:tc>
        <w:tc>
          <w:tcPr>
            <w:tcW w:w="904" w:type="dxa"/>
          </w:tcPr>
          <w:p w14:paraId="0DAB07F1" w14:textId="77777777" w:rsidR="004D42F9" w:rsidRDefault="004D42F9">
            <w:pPr>
              <w:cnfStyle w:val="000000000000" w:firstRow="0" w:lastRow="0" w:firstColumn="0" w:lastColumn="0" w:oddVBand="0" w:evenVBand="0" w:oddHBand="0" w:evenHBand="0" w:firstRowFirstColumn="0" w:firstRowLastColumn="0" w:lastRowFirstColumn="0" w:lastRowLastColumn="0"/>
            </w:pPr>
            <w:r>
              <w:t>(22 255)</w:t>
            </w:r>
          </w:p>
        </w:tc>
        <w:tc>
          <w:tcPr>
            <w:tcW w:w="905" w:type="dxa"/>
          </w:tcPr>
          <w:p w14:paraId="755C5FC5" w14:textId="77777777" w:rsidR="004D42F9" w:rsidRDefault="004D42F9">
            <w:pPr>
              <w:cnfStyle w:val="000000000000" w:firstRow="0" w:lastRow="0" w:firstColumn="0" w:lastColumn="0" w:oddVBand="0" w:evenVBand="0" w:oddHBand="0" w:evenHBand="0" w:firstRowFirstColumn="0" w:firstRowLastColumn="0" w:lastRowFirstColumn="0" w:lastRowLastColumn="0"/>
            </w:pPr>
            <w:r>
              <w:t>(23 021)</w:t>
            </w:r>
          </w:p>
        </w:tc>
        <w:tc>
          <w:tcPr>
            <w:tcW w:w="905" w:type="dxa"/>
          </w:tcPr>
          <w:p w14:paraId="73D303BF" w14:textId="77777777" w:rsidR="004D42F9" w:rsidRDefault="004D42F9">
            <w:pPr>
              <w:cnfStyle w:val="000000000000" w:firstRow="0" w:lastRow="0" w:firstColumn="0" w:lastColumn="0" w:oddVBand="0" w:evenVBand="0" w:oddHBand="0" w:evenHBand="0" w:firstRowFirstColumn="0" w:firstRowLastColumn="0" w:lastRowFirstColumn="0" w:lastRowLastColumn="0"/>
            </w:pPr>
            <w:r>
              <w:t>(16 220)</w:t>
            </w:r>
          </w:p>
        </w:tc>
        <w:tc>
          <w:tcPr>
            <w:tcW w:w="905" w:type="dxa"/>
          </w:tcPr>
          <w:p w14:paraId="0143A7E8" w14:textId="77777777" w:rsidR="004D42F9" w:rsidRDefault="004D42F9">
            <w:pPr>
              <w:cnfStyle w:val="000000000000" w:firstRow="0" w:lastRow="0" w:firstColumn="0" w:lastColumn="0" w:oddVBand="0" w:evenVBand="0" w:oddHBand="0" w:evenHBand="0" w:firstRowFirstColumn="0" w:firstRowLastColumn="0" w:lastRowFirstColumn="0" w:lastRowLastColumn="0"/>
            </w:pPr>
            <w:r>
              <w:t>(17 375)</w:t>
            </w:r>
          </w:p>
        </w:tc>
      </w:tr>
      <w:tr w:rsidR="004D42F9" w14:paraId="6ACC93D8"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118F31BD" w14:textId="77777777" w:rsidR="004D42F9" w:rsidRDefault="004D42F9">
            <w:r>
              <w:t>Sales of non</w:t>
            </w:r>
            <w:r>
              <w:noBreakHyphen/>
              <w:t>financial assets</w:t>
            </w:r>
          </w:p>
        </w:tc>
        <w:tc>
          <w:tcPr>
            <w:tcW w:w="632" w:type="dxa"/>
            <w:tcBorders>
              <w:bottom w:val="single" w:sz="6" w:space="0" w:color="auto"/>
            </w:tcBorders>
          </w:tcPr>
          <w:p w14:paraId="3D73D23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F53C901" w14:textId="77777777" w:rsidR="004D42F9" w:rsidRDefault="004D42F9">
            <w:pPr>
              <w:cnfStyle w:val="000000000000" w:firstRow="0" w:lastRow="0" w:firstColumn="0" w:lastColumn="0" w:oddVBand="0" w:evenVBand="0" w:oddHBand="0" w:evenHBand="0" w:firstRowFirstColumn="0" w:firstRowLastColumn="0" w:lastRowFirstColumn="0" w:lastRowLastColumn="0"/>
            </w:pPr>
            <w:r>
              <w:t>400</w:t>
            </w:r>
          </w:p>
        </w:tc>
        <w:tc>
          <w:tcPr>
            <w:tcW w:w="905" w:type="dxa"/>
            <w:tcBorders>
              <w:bottom w:val="single" w:sz="6" w:space="0" w:color="auto"/>
            </w:tcBorders>
          </w:tcPr>
          <w:p w14:paraId="6C52FEAE" w14:textId="77777777" w:rsidR="004D42F9" w:rsidRDefault="004D42F9">
            <w:pPr>
              <w:cnfStyle w:val="000000000000" w:firstRow="0" w:lastRow="0" w:firstColumn="0" w:lastColumn="0" w:oddVBand="0" w:evenVBand="0" w:oddHBand="0" w:evenHBand="0" w:firstRowFirstColumn="0" w:firstRowLastColumn="0" w:lastRowFirstColumn="0" w:lastRowLastColumn="0"/>
            </w:pPr>
            <w:r>
              <w:t>670</w:t>
            </w:r>
          </w:p>
        </w:tc>
        <w:tc>
          <w:tcPr>
            <w:tcW w:w="905" w:type="dxa"/>
            <w:tcBorders>
              <w:bottom w:val="single" w:sz="6" w:space="0" w:color="auto"/>
            </w:tcBorders>
          </w:tcPr>
          <w:p w14:paraId="470158D0"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c>
          <w:tcPr>
            <w:tcW w:w="905" w:type="dxa"/>
            <w:tcBorders>
              <w:bottom w:val="single" w:sz="6" w:space="0" w:color="auto"/>
            </w:tcBorders>
          </w:tcPr>
          <w:p w14:paraId="19B90A4B" w14:textId="77777777" w:rsidR="004D42F9" w:rsidRDefault="004D42F9">
            <w:pPr>
              <w:cnfStyle w:val="000000000000" w:firstRow="0" w:lastRow="0" w:firstColumn="0" w:lastColumn="0" w:oddVBand="0" w:evenVBand="0" w:oddHBand="0" w:evenHBand="0" w:firstRowFirstColumn="0" w:firstRowLastColumn="0" w:lastRowFirstColumn="0" w:lastRowLastColumn="0"/>
            </w:pPr>
            <w:r>
              <w:t>319</w:t>
            </w:r>
          </w:p>
        </w:tc>
      </w:tr>
      <w:tr w:rsidR="004D42F9" w14:paraId="69D67226"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550B2F0" w14:textId="77777777" w:rsidR="004D42F9" w:rsidRDefault="004D42F9">
            <w:r>
              <w:rPr>
                <w:b/>
              </w:rPr>
              <w:t>Net cash flows from investments in non</w:t>
            </w:r>
            <w:r>
              <w:rPr>
                <w:b/>
              </w:rPr>
              <w:noBreakHyphen/>
              <w:t>financial assets</w:t>
            </w:r>
          </w:p>
        </w:tc>
        <w:tc>
          <w:tcPr>
            <w:tcW w:w="632" w:type="dxa"/>
            <w:tcBorders>
              <w:top w:val="single" w:sz="6" w:space="0" w:color="auto"/>
            </w:tcBorders>
          </w:tcPr>
          <w:p w14:paraId="43ED899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0AC3342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(21 854)</w:t>
            </w:r>
          </w:p>
        </w:tc>
        <w:tc>
          <w:tcPr>
            <w:tcW w:w="905" w:type="dxa"/>
            <w:tcBorders>
              <w:top w:val="single" w:sz="6" w:space="0" w:color="auto"/>
            </w:tcBorders>
          </w:tcPr>
          <w:p w14:paraId="7DB38F2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(22 351)</w:t>
            </w:r>
          </w:p>
        </w:tc>
        <w:tc>
          <w:tcPr>
            <w:tcW w:w="905" w:type="dxa"/>
            <w:tcBorders>
              <w:top w:val="single" w:sz="6" w:space="0" w:color="auto"/>
            </w:tcBorders>
          </w:tcPr>
          <w:p w14:paraId="6C87E21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(15 988)</w:t>
            </w:r>
          </w:p>
        </w:tc>
        <w:tc>
          <w:tcPr>
            <w:tcW w:w="905" w:type="dxa"/>
            <w:tcBorders>
              <w:top w:val="single" w:sz="6" w:space="0" w:color="auto"/>
            </w:tcBorders>
          </w:tcPr>
          <w:p w14:paraId="33F8C62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(17 056)</w:t>
            </w:r>
          </w:p>
        </w:tc>
      </w:tr>
      <w:tr w:rsidR="004D42F9" w14:paraId="257286A2" w14:textId="77777777">
        <w:tc>
          <w:tcPr>
            <w:cnfStyle w:val="001000000000" w:firstRow="0" w:lastRow="0" w:firstColumn="1" w:lastColumn="0" w:oddVBand="0" w:evenVBand="0" w:oddHBand="0" w:evenHBand="0" w:firstRowFirstColumn="0" w:firstRowLastColumn="0" w:lastRowFirstColumn="0" w:lastRowLastColumn="0"/>
            <w:tcW w:w="5387" w:type="dxa"/>
          </w:tcPr>
          <w:p w14:paraId="62E60D8B" w14:textId="77777777" w:rsidR="004D42F9" w:rsidRDefault="004D42F9">
            <w:r>
              <w:rPr>
                <w:b/>
              </w:rPr>
              <w:t>Cash flows from investments in financial assets for policy purposes</w:t>
            </w:r>
          </w:p>
        </w:tc>
        <w:tc>
          <w:tcPr>
            <w:tcW w:w="632" w:type="dxa"/>
          </w:tcPr>
          <w:p w14:paraId="2EA2835C"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B962F8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BAAE08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25739C1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5F38E9E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3B1DBAA" w14:textId="77777777">
        <w:tc>
          <w:tcPr>
            <w:cnfStyle w:val="001000000000" w:firstRow="0" w:lastRow="0" w:firstColumn="1" w:lastColumn="0" w:oddVBand="0" w:evenVBand="0" w:oddHBand="0" w:evenHBand="0" w:firstRowFirstColumn="0" w:firstRowLastColumn="0" w:lastRowFirstColumn="0" w:lastRowLastColumn="0"/>
            <w:tcW w:w="5387" w:type="dxa"/>
          </w:tcPr>
          <w:p w14:paraId="35A3B969" w14:textId="77777777" w:rsidR="004D42F9" w:rsidRDefault="004D42F9">
            <w:r>
              <w:t>Cash inflows</w:t>
            </w:r>
          </w:p>
        </w:tc>
        <w:tc>
          <w:tcPr>
            <w:tcW w:w="632" w:type="dxa"/>
          </w:tcPr>
          <w:p w14:paraId="650CD2B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37FC09E6" w14:textId="77777777" w:rsidR="004D42F9" w:rsidRDefault="004D42F9">
            <w:pPr>
              <w:cnfStyle w:val="000000000000" w:firstRow="0" w:lastRow="0" w:firstColumn="0" w:lastColumn="0" w:oddVBand="0" w:evenVBand="0" w:oddHBand="0" w:evenHBand="0" w:firstRowFirstColumn="0" w:firstRowLastColumn="0" w:lastRowFirstColumn="0" w:lastRowLastColumn="0"/>
            </w:pPr>
            <w:r>
              <w:t>836</w:t>
            </w:r>
          </w:p>
        </w:tc>
        <w:tc>
          <w:tcPr>
            <w:tcW w:w="905" w:type="dxa"/>
          </w:tcPr>
          <w:p w14:paraId="5B149378" w14:textId="77777777" w:rsidR="004D42F9" w:rsidRDefault="004D42F9">
            <w:pPr>
              <w:cnfStyle w:val="000000000000" w:firstRow="0" w:lastRow="0" w:firstColumn="0" w:lastColumn="0" w:oddVBand="0" w:evenVBand="0" w:oddHBand="0" w:evenHBand="0" w:firstRowFirstColumn="0" w:firstRowLastColumn="0" w:lastRowFirstColumn="0" w:lastRowLastColumn="0"/>
            </w:pPr>
            <w:r>
              <w:t>1 223</w:t>
            </w:r>
          </w:p>
        </w:tc>
        <w:tc>
          <w:tcPr>
            <w:tcW w:w="905" w:type="dxa"/>
          </w:tcPr>
          <w:p w14:paraId="3F6A5768" w14:textId="77777777" w:rsidR="004D42F9" w:rsidRDefault="004D42F9">
            <w:pPr>
              <w:cnfStyle w:val="000000000000" w:firstRow="0" w:lastRow="0" w:firstColumn="0" w:lastColumn="0" w:oddVBand="0" w:evenVBand="0" w:oddHBand="0" w:evenHBand="0" w:firstRowFirstColumn="0" w:firstRowLastColumn="0" w:lastRowFirstColumn="0" w:lastRowLastColumn="0"/>
            </w:pPr>
            <w:r>
              <w:t>971</w:t>
            </w:r>
          </w:p>
        </w:tc>
        <w:tc>
          <w:tcPr>
            <w:tcW w:w="905" w:type="dxa"/>
          </w:tcPr>
          <w:p w14:paraId="6DA81170" w14:textId="77777777" w:rsidR="004D42F9" w:rsidRDefault="004D42F9">
            <w:pPr>
              <w:cnfStyle w:val="000000000000" w:firstRow="0" w:lastRow="0" w:firstColumn="0" w:lastColumn="0" w:oddVBand="0" w:evenVBand="0" w:oddHBand="0" w:evenHBand="0" w:firstRowFirstColumn="0" w:firstRowLastColumn="0" w:lastRowFirstColumn="0" w:lastRowLastColumn="0"/>
            </w:pPr>
            <w:r>
              <w:t>1 789</w:t>
            </w:r>
          </w:p>
        </w:tc>
      </w:tr>
      <w:tr w:rsidR="004D42F9" w14:paraId="44110A2D"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944EAD7" w14:textId="77777777" w:rsidR="004D42F9" w:rsidRDefault="004D42F9">
            <w:r>
              <w:t>Cash outflows</w:t>
            </w:r>
          </w:p>
        </w:tc>
        <w:tc>
          <w:tcPr>
            <w:tcW w:w="632" w:type="dxa"/>
            <w:tcBorders>
              <w:bottom w:val="single" w:sz="6" w:space="0" w:color="auto"/>
            </w:tcBorders>
          </w:tcPr>
          <w:p w14:paraId="23F20B0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79DEBFA" w14:textId="77777777" w:rsidR="004D42F9" w:rsidRDefault="004D42F9">
            <w:pPr>
              <w:cnfStyle w:val="000000000000" w:firstRow="0" w:lastRow="0" w:firstColumn="0" w:lastColumn="0" w:oddVBand="0" w:evenVBand="0" w:oddHBand="0" w:evenHBand="0" w:firstRowFirstColumn="0" w:firstRowLastColumn="0" w:lastRowFirstColumn="0" w:lastRowLastColumn="0"/>
            </w:pPr>
            <w:r>
              <w:t>(921)</w:t>
            </w:r>
          </w:p>
        </w:tc>
        <w:tc>
          <w:tcPr>
            <w:tcW w:w="905" w:type="dxa"/>
            <w:tcBorders>
              <w:bottom w:val="single" w:sz="6" w:space="0" w:color="auto"/>
            </w:tcBorders>
          </w:tcPr>
          <w:p w14:paraId="2072A6E5" w14:textId="77777777" w:rsidR="004D42F9" w:rsidRDefault="004D42F9">
            <w:pPr>
              <w:cnfStyle w:val="000000000000" w:firstRow="0" w:lastRow="0" w:firstColumn="0" w:lastColumn="0" w:oddVBand="0" w:evenVBand="0" w:oddHBand="0" w:evenHBand="0" w:firstRowFirstColumn="0" w:firstRowLastColumn="0" w:lastRowFirstColumn="0" w:lastRowLastColumn="0"/>
            </w:pPr>
            <w:r>
              <w:t>(939)</w:t>
            </w:r>
          </w:p>
        </w:tc>
        <w:tc>
          <w:tcPr>
            <w:tcW w:w="905" w:type="dxa"/>
            <w:tcBorders>
              <w:bottom w:val="single" w:sz="6" w:space="0" w:color="auto"/>
            </w:tcBorders>
          </w:tcPr>
          <w:p w14:paraId="69796732" w14:textId="77777777" w:rsidR="004D42F9" w:rsidRDefault="004D42F9">
            <w:pPr>
              <w:cnfStyle w:val="000000000000" w:firstRow="0" w:lastRow="0" w:firstColumn="0" w:lastColumn="0" w:oddVBand="0" w:evenVBand="0" w:oddHBand="0" w:evenHBand="0" w:firstRowFirstColumn="0" w:firstRowLastColumn="0" w:lastRowFirstColumn="0" w:lastRowLastColumn="0"/>
            </w:pPr>
            <w:r>
              <w:t>(4 602)</w:t>
            </w:r>
          </w:p>
        </w:tc>
        <w:tc>
          <w:tcPr>
            <w:tcW w:w="905" w:type="dxa"/>
            <w:tcBorders>
              <w:bottom w:val="single" w:sz="6" w:space="0" w:color="auto"/>
            </w:tcBorders>
          </w:tcPr>
          <w:p w14:paraId="7178D85B" w14:textId="77777777" w:rsidR="004D42F9" w:rsidRDefault="004D42F9">
            <w:pPr>
              <w:cnfStyle w:val="000000000000" w:firstRow="0" w:lastRow="0" w:firstColumn="0" w:lastColumn="0" w:oddVBand="0" w:evenVBand="0" w:oddHBand="0" w:evenHBand="0" w:firstRowFirstColumn="0" w:firstRowLastColumn="0" w:lastRowFirstColumn="0" w:lastRowLastColumn="0"/>
            </w:pPr>
            <w:r>
              <w:t>(4 119)</w:t>
            </w:r>
          </w:p>
        </w:tc>
      </w:tr>
      <w:tr w:rsidR="004D42F9" w14:paraId="345FEB95"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5CC04892" w14:textId="77777777" w:rsidR="004D42F9" w:rsidRDefault="004D42F9">
            <w:r>
              <w:rPr>
                <w:b/>
              </w:rPr>
              <w:t>Net cash flows from investments in financial assets for policy purposes</w:t>
            </w:r>
          </w:p>
        </w:tc>
        <w:tc>
          <w:tcPr>
            <w:tcW w:w="632" w:type="dxa"/>
            <w:tcBorders>
              <w:top w:val="single" w:sz="6" w:space="0" w:color="auto"/>
              <w:bottom w:val="single" w:sz="6" w:space="0" w:color="auto"/>
            </w:tcBorders>
          </w:tcPr>
          <w:p w14:paraId="57ACFC4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2257179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(84)</w:t>
            </w:r>
          </w:p>
        </w:tc>
        <w:tc>
          <w:tcPr>
            <w:tcW w:w="905" w:type="dxa"/>
            <w:tcBorders>
              <w:top w:val="single" w:sz="6" w:space="0" w:color="auto"/>
              <w:bottom w:val="single" w:sz="6" w:space="0" w:color="auto"/>
            </w:tcBorders>
          </w:tcPr>
          <w:p w14:paraId="0230057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283</w:t>
            </w:r>
          </w:p>
        </w:tc>
        <w:tc>
          <w:tcPr>
            <w:tcW w:w="905" w:type="dxa"/>
            <w:tcBorders>
              <w:top w:val="single" w:sz="6" w:space="0" w:color="auto"/>
              <w:bottom w:val="single" w:sz="6" w:space="0" w:color="auto"/>
            </w:tcBorders>
          </w:tcPr>
          <w:p w14:paraId="074EA6B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(3 631)</w:t>
            </w:r>
          </w:p>
        </w:tc>
        <w:tc>
          <w:tcPr>
            <w:tcW w:w="905" w:type="dxa"/>
            <w:tcBorders>
              <w:top w:val="single" w:sz="6" w:space="0" w:color="auto"/>
              <w:bottom w:val="single" w:sz="6" w:space="0" w:color="auto"/>
            </w:tcBorders>
          </w:tcPr>
          <w:p w14:paraId="6F5F417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(2 331)</w:t>
            </w:r>
          </w:p>
        </w:tc>
      </w:tr>
      <w:tr w:rsidR="004D42F9" w14:paraId="48842515"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5EDD9103" w14:textId="77777777" w:rsidR="004D42F9" w:rsidRDefault="004D42F9">
            <w:r>
              <w:rPr>
                <w:b/>
              </w:rPr>
              <w:t>Cash flows from investments in financial assets for liquidity management purposes</w:t>
            </w:r>
          </w:p>
        </w:tc>
        <w:tc>
          <w:tcPr>
            <w:tcW w:w="632" w:type="dxa"/>
            <w:tcBorders>
              <w:top w:val="single" w:sz="6" w:space="0" w:color="auto"/>
            </w:tcBorders>
          </w:tcPr>
          <w:p w14:paraId="751110C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2ABDA9B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4923A77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77DC7AF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Borders>
              <w:top w:val="single" w:sz="6" w:space="0" w:color="auto"/>
            </w:tcBorders>
          </w:tcPr>
          <w:p w14:paraId="60661D6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80AF180" w14:textId="77777777">
        <w:tc>
          <w:tcPr>
            <w:cnfStyle w:val="001000000000" w:firstRow="0" w:lastRow="0" w:firstColumn="1" w:lastColumn="0" w:oddVBand="0" w:evenVBand="0" w:oddHBand="0" w:evenHBand="0" w:firstRowFirstColumn="0" w:firstRowLastColumn="0" w:lastRowFirstColumn="0" w:lastRowLastColumn="0"/>
            <w:tcW w:w="5387" w:type="dxa"/>
          </w:tcPr>
          <w:p w14:paraId="108F76D7" w14:textId="77777777" w:rsidR="004D42F9" w:rsidRDefault="004D42F9">
            <w:r>
              <w:t>Cash inflows</w:t>
            </w:r>
          </w:p>
        </w:tc>
        <w:tc>
          <w:tcPr>
            <w:tcW w:w="632" w:type="dxa"/>
          </w:tcPr>
          <w:p w14:paraId="6ACED24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B659BCD" w14:textId="77777777" w:rsidR="004D42F9" w:rsidRDefault="004D42F9">
            <w:pPr>
              <w:cnfStyle w:val="000000000000" w:firstRow="0" w:lastRow="0" w:firstColumn="0" w:lastColumn="0" w:oddVBand="0" w:evenVBand="0" w:oddHBand="0" w:evenHBand="0" w:firstRowFirstColumn="0" w:firstRowLastColumn="0" w:lastRowFirstColumn="0" w:lastRowLastColumn="0"/>
            </w:pPr>
            <w:r>
              <w:t>8 630</w:t>
            </w:r>
          </w:p>
        </w:tc>
        <w:tc>
          <w:tcPr>
            <w:tcW w:w="905" w:type="dxa"/>
          </w:tcPr>
          <w:p w14:paraId="2416CF55" w14:textId="77777777" w:rsidR="004D42F9" w:rsidRDefault="004D42F9">
            <w:pPr>
              <w:cnfStyle w:val="000000000000" w:firstRow="0" w:lastRow="0" w:firstColumn="0" w:lastColumn="0" w:oddVBand="0" w:evenVBand="0" w:oddHBand="0" w:evenHBand="0" w:firstRowFirstColumn="0" w:firstRowLastColumn="0" w:lastRowFirstColumn="0" w:lastRowLastColumn="0"/>
            </w:pPr>
            <w:r>
              <w:t>5 770</w:t>
            </w:r>
          </w:p>
        </w:tc>
        <w:tc>
          <w:tcPr>
            <w:tcW w:w="905" w:type="dxa"/>
          </w:tcPr>
          <w:p w14:paraId="1A1CAAC6" w14:textId="77777777" w:rsidR="004D42F9" w:rsidRDefault="004D42F9">
            <w:pPr>
              <w:cnfStyle w:val="000000000000" w:firstRow="0" w:lastRow="0" w:firstColumn="0" w:lastColumn="0" w:oddVBand="0" w:evenVBand="0" w:oddHBand="0" w:evenHBand="0" w:firstRowFirstColumn="0" w:firstRowLastColumn="0" w:lastRowFirstColumn="0" w:lastRowLastColumn="0"/>
            </w:pPr>
            <w:r>
              <w:t>217</w:t>
            </w:r>
          </w:p>
        </w:tc>
        <w:tc>
          <w:tcPr>
            <w:tcW w:w="905" w:type="dxa"/>
          </w:tcPr>
          <w:p w14:paraId="58D03EED" w14:textId="77777777" w:rsidR="004D42F9" w:rsidRDefault="004D42F9">
            <w:pPr>
              <w:cnfStyle w:val="000000000000" w:firstRow="0" w:lastRow="0" w:firstColumn="0" w:lastColumn="0" w:oddVBand="0" w:evenVBand="0" w:oddHBand="0" w:evenHBand="0" w:firstRowFirstColumn="0" w:firstRowLastColumn="0" w:lastRowFirstColumn="0" w:lastRowLastColumn="0"/>
            </w:pPr>
            <w:r>
              <w:t>574</w:t>
            </w:r>
          </w:p>
        </w:tc>
      </w:tr>
      <w:tr w:rsidR="004D42F9" w14:paraId="1944130C"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66DF8873" w14:textId="77777777" w:rsidR="004D42F9" w:rsidRDefault="004D42F9">
            <w:r>
              <w:t>Cash outflows</w:t>
            </w:r>
          </w:p>
        </w:tc>
        <w:tc>
          <w:tcPr>
            <w:tcW w:w="632" w:type="dxa"/>
            <w:tcBorders>
              <w:bottom w:val="single" w:sz="6" w:space="0" w:color="auto"/>
            </w:tcBorders>
          </w:tcPr>
          <w:p w14:paraId="28829286"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343BE3FD" w14:textId="77777777" w:rsidR="004D42F9" w:rsidRDefault="004D42F9">
            <w:pPr>
              <w:cnfStyle w:val="000000000000" w:firstRow="0" w:lastRow="0" w:firstColumn="0" w:lastColumn="0" w:oddVBand="0" w:evenVBand="0" w:oddHBand="0" w:evenHBand="0" w:firstRowFirstColumn="0" w:firstRowLastColumn="0" w:lastRowFirstColumn="0" w:lastRowLastColumn="0"/>
            </w:pPr>
            <w:r>
              <w:t>(13 337)</w:t>
            </w:r>
          </w:p>
        </w:tc>
        <w:tc>
          <w:tcPr>
            <w:tcW w:w="905" w:type="dxa"/>
            <w:tcBorders>
              <w:bottom w:val="single" w:sz="6" w:space="0" w:color="auto"/>
            </w:tcBorders>
          </w:tcPr>
          <w:p w14:paraId="78A63B6C" w14:textId="77777777" w:rsidR="004D42F9" w:rsidRDefault="004D42F9">
            <w:pPr>
              <w:cnfStyle w:val="000000000000" w:firstRow="0" w:lastRow="0" w:firstColumn="0" w:lastColumn="0" w:oddVBand="0" w:evenVBand="0" w:oddHBand="0" w:evenHBand="0" w:firstRowFirstColumn="0" w:firstRowLastColumn="0" w:lastRowFirstColumn="0" w:lastRowLastColumn="0"/>
            </w:pPr>
            <w:r>
              <w:t>(20 659)</w:t>
            </w:r>
          </w:p>
        </w:tc>
        <w:tc>
          <w:tcPr>
            <w:tcW w:w="905" w:type="dxa"/>
            <w:tcBorders>
              <w:bottom w:val="single" w:sz="6" w:space="0" w:color="auto"/>
            </w:tcBorders>
          </w:tcPr>
          <w:p w14:paraId="1C428843" w14:textId="77777777" w:rsidR="004D42F9" w:rsidRDefault="004D42F9">
            <w:pPr>
              <w:cnfStyle w:val="000000000000" w:firstRow="0" w:lastRow="0" w:firstColumn="0" w:lastColumn="0" w:oddVBand="0" w:evenVBand="0" w:oddHBand="0" w:evenHBand="0" w:firstRowFirstColumn="0" w:firstRowLastColumn="0" w:lastRowFirstColumn="0" w:lastRowLastColumn="0"/>
            </w:pPr>
            <w:r>
              <w:t>(1 934)</w:t>
            </w:r>
          </w:p>
        </w:tc>
        <w:tc>
          <w:tcPr>
            <w:tcW w:w="905" w:type="dxa"/>
            <w:tcBorders>
              <w:bottom w:val="single" w:sz="6" w:space="0" w:color="auto"/>
            </w:tcBorders>
          </w:tcPr>
          <w:p w14:paraId="3F7226B7" w14:textId="77777777" w:rsidR="004D42F9" w:rsidRDefault="004D42F9">
            <w:pPr>
              <w:cnfStyle w:val="000000000000" w:firstRow="0" w:lastRow="0" w:firstColumn="0" w:lastColumn="0" w:oddVBand="0" w:evenVBand="0" w:oddHBand="0" w:evenHBand="0" w:firstRowFirstColumn="0" w:firstRowLastColumn="0" w:lastRowFirstColumn="0" w:lastRowLastColumn="0"/>
            </w:pPr>
            <w:r>
              <w:t>(11 123)</w:t>
            </w:r>
          </w:p>
        </w:tc>
      </w:tr>
      <w:tr w:rsidR="004D42F9" w14:paraId="3DC0AA71"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639B81A8" w14:textId="77777777" w:rsidR="004D42F9" w:rsidRDefault="004D42F9">
            <w:r>
              <w:rPr>
                <w:b/>
              </w:rPr>
              <w:t xml:space="preserve">Net cash flows from investments in financial assets for liquidity management purposes </w:t>
            </w:r>
            <w:r>
              <w:rPr>
                <w:b/>
                <w:vertAlign w:val="superscript"/>
              </w:rPr>
              <w:t>(b)</w:t>
            </w:r>
          </w:p>
        </w:tc>
        <w:tc>
          <w:tcPr>
            <w:tcW w:w="632" w:type="dxa"/>
            <w:tcBorders>
              <w:top w:val="single" w:sz="6" w:space="0" w:color="auto"/>
              <w:bottom w:val="single" w:sz="6" w:space="0" w:color="auto"/>
            </w:tcBorders>
          </w:tcPr>
          <w:p w14:paraId="5FCA031D"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63E65DC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(4 707)</w:t>
            </w:r>
          </w:p>
        </w:tc>
        <w:tc>
          <w:tcPr>
            <w:tcW w:w="905" w:type="dxa"/>
            <w:tcBorders>
              <w:top w:val="single" w:sz="6" w:space="0" w:color="auto"/>
              <w:bottom w:val="single" w:sz="6" w:space="0" w:color="auto"/>
            </w:tcBorders>
          </w:tcPr>
          <w:p w14:paraId="17A796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(14 889)</w:t>
            </w:r>
          </w:p>
        </w:tc>
        <w:tc>
          <w:tcPr>
            <w:tcW w:w="905" w:type="dxa"/>
            <w:tcBorders>
              <w:top w:val="single" w:sz="6" w:space="0" w:color="auto"/>
              <w:bottom w:val="single" w:sz="6" w:space="0" w:color="auto"/>
            </w:tcBorders>
          </w:tcPr>
          <w:p w14:paraId="13408B8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(1 717)</w:t>
            </w:r>
          </w:p>
        </w:tc>
        <w:tc>
          <w:tcPr>
            <w:tcW w:w="905" w:type="dxa"/>
            <w:tcBorders>
              <w:top w:val="single" w:sz="6" w:space="0" w:color="auto"/>
              <w:bottom w:val="single" w:sz="6" w:space="0" w:color="auto"/>
            </w:tcBorders>
          </w:tcPr>
          <w:p w14:paraId="2E34E1A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(10 549)</w:t>
            </w:r>
          </w:p>
        </w:tc>
      </w:tr>
      <w:tr w:rsidR="004D42F9" w14:paraId="01105E6B"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2357796F" w14:textId="77777777" w:rsidR="004D42F9" w:rsidRDefault="004D42F9">
            <w:r>
              <w:rPr>
                <w:b/>
              </w:rPr>
              <w:t>Net cash flows from investing activities</w:t>
            </w:r>
          </w:p>
        </w:tc>
        <w:tc>
          <w:tcPr>
            <w:tcW w:w="632" w:type="dxa"/>
            <w:tcBorders>
              <w:top w:val="single" w:sz="6" w:space="0" w:color="auto"/>
            </w:tcBorders>
          </w:tcPr>
          <w:p w14:paraId="6DDA5CA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6D208D5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(26 646)</w:t>
            </w:r>
          </w:p>
        </w:tc>
        <w:tc>
          <w:tcPr>
            <w:tcW w:w="905" w:type="dxa"/>
            <w:tcBorders>
              <w:top w:val="single" w:sz="6" w:space="0" w:color="auto"/>
            </w:tcBorders>
          </w:tcPr>
          <w:p w14:paraId="14DC12D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(36 957)</w:t>
            </w:r>
          </w:p>
        </w:tc>
        <w:tc>
          <w:tcPr>
            <w:tcW w:w="905" w:type="dxa"/>
            <w:tcBorders>
              <w:top w:val="single" w:sz="6" w:space="0" w:color="auto"/>
            </w:tcBorders>
          </w:tcPr>
          <w:p w14:paraId="59CA69F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(21 336)</w:t>
            </w:r>
          </w:p>
        </w:tc>
        <w:tc>
          <w:tcPr>
            <w:tcW w:w="905" w:type="dxa"/>
            <w:tcBorders>
              <w:top w:val="single" w:sz="6" w:space="0" w:color="auto"/>
            </w:tcBorders>
          </w:tcPr>
          <w:p w14:paraId="454EF4C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(29 936)</w:t>
            </w:r>
          </w:p>
        </w:tc>
      </w:tr>
      <w:tr w:rsidR="004D42F9" w14:paraId="6AEF8A75" w14:textId="77777777">
        <w:tc>
          <w:tcPr>
            <w:cnfStyle w:val="001000000000" w:firstRow="0" w:lastRow="0" w:firstColumn="1" w:lastColumn="0" w:oddVBand="0" w:evenVBand="0" w:oddHBand="0" w:evenHBand="0" w:firstRowFirstColumn="0" w:firstRowLastColumn="0" w:lastRowFirstColumn="0" w:lastRowLastColumn="0"/>
            <w:tcW w:w="5387" w:type="dxa"/>
          </w:tcPr>
          <w:p w14:paraId="6C02DB3A" w14:textId="77777777" w:rsidR="004D42F9" w:rsidRDefault="004D42F9">
            <w:r>
              <w:rPr>
                <w:b/>
              </w:rPr>
              <w:t>Cash flows from financing activities</w:t>
            </w:r>
          </w:p>
        </w:tc>
        <w:tc>
          <w:tcPr>
            <w:tcW w:w="632" w:type="dxa"/>
          </w:tcPr>
          <w:p w14:paraId="44A12E4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7679B9C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6D7F80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1653195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0D0098B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70073ED" w14:textId="77777777">
        <w:tc>
          <w:tcPr>
            <w:cnfStyle w:val="001000000000" w:firstRow="0" w:lastRow="0" w:firstColumn="1" w:lastColumn="0" w:oddVBand="0" w:evenVBand="0" w:oddHBand="0" w:evenHBand="0" w:firstRowFirstColumn="0" w:firstRowLastColumn="0" w:lastRowFirstColumn="0" w:lastRowLastColumn="0"/>
            <w:tcW w:w="5387" w:type="dxa"/>
          </w:tcPr>
          <w:p w14:paraId="029F8C84" w14:textId="77777777" w:rsidR="004D42F9" w:rsidRDefault="004D42F9">
            <w:r>
              <w:t>Advances received</w:t>
            </w:r>
          </w:p>
        </w:tc>
        <w:tc>
          <w:tcPr>
            <w:tcW w:w="632" w:type="dxa"/>
          </w:tcPr>
          <w:p w14:paraId="3DDE478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136B840E" w14:textId="77777777" w:rsidR="004D42F9" w:rsidRDefault="004D42F9">
            <w:pPr>
              <w:cnfStyle w:val="000000000000" w:firstRow="0" w:lastRow="0" w:firstColumn="0" w:lastColumn="0" w:oddVBand="0" w:evenVBand="0" w:oddHBand="0" w:evenHBand="0" w:firstRowFirstColumn="0" w:firstRowLastColumn="0" w:lastRowFirstColumn="0" w:lastRowLastColumn="0"/>
            </w:pPr>
            <w:r>
              <w:t>77</w:t>
            </w:r>
          </w:p>
        </w:tc>
        <w:tc>
          <w:tcPr>
            <w:tcW w:w="905" w:type="dxa"/>
          </w:tcPr>
          <w:p w14:paraId="1EB5CE6D" w14:textId="77777777" w:rsidR="004D42F9" w:rsidRDefault="004D42F9">
            <w:pPr>
              <w:cnfStyle w:val="000000000000" w:firstRow="0" w:lastRow="0" w:firstColumn="0" w:lastColumn="0" w:oddVBand="0" w:evenVBand="0" w:oddHBand="0" w:evenHBand="0" w:firstRowFirstColumn="0" w:firstRowLastColumn="0" w:lastRowFirstColumn="0" w:lastRowLastColumn="0"/>
            </w:pPr>
            <w:r>
              <w:t>26</w:t>
            </w:r>
          </w:p>
        </w:tc>
        <w:tc>
          <w:tcPr>
            <w:tcW w:w="905" w:type="dxa"/>
          </w:tcPr>
          <w:p w14:paraId="3FBCEE0F" w14:textId="77777777" w:rsidR="004D42F9" w:rsidRDefault="004D42F9">
            <w:pPr>
              <w:cnfStyle w:val="000000000000" w:firstRow="0" w:lastRow="0" w:firstColumn="0" w:lastColumn="0" w:oddVBand="0" w:evenVBand="0" w:oddHBand="0" w:evenHBand="0" w:firstRowFirstColumn="0" w:firstRowLastColumn="0" w:lastRowFirstColumn="0" w:lastRowLastColumn="0"/>
            </w:pPr>
            <w:r>
              <w:t>68</w:t>
            </w:r>
          </w:p>
        </w:tc>
        <w:tc>
          <w:tcPr>
            <w:tcW w:w="905" w:type="dxa"/>
          </w:tcPr>
          <w:p w14:paraId="4E0593B5" w14:textId="77777777" w:rsidR="004D42F9" w:rsidRDefault="004D42F9">
            <w:pPr>
              <w:cnfStyle w:val="000000000000" w:firstRow="0" w:lastRow="0" w:firstColumn="0" w:lastColumn="0" w:oddVBand="0" w:evenVBand="0" w:oddHBand="0" w:evenHBand="0" w:firstRowFirstColumn="0" w:firstRowLastColumn="0" w:lastRowFirstColumn="0" w:lastRowLastColumn="0"/>
            </w:pPr>
            <w:r>
              <w:t>23</w:t>
            </w:r>
          </w:p>
        </w:tc>
      </w:tr>
      <w:tr w:rsidR="004D42F9" w14:paraId="1B341F68"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776C1785" w14:textId="77777777" w:rsidR="004D42F9" w:rsidRDefault="004D42F9">
            <w:r>
              <w:t>Advances repaid</w:t>
            </w:r>
          </w:p>
        </w:tc>
        <w:tc>
          <w:tcPr>
            <w:tcW w:w="632" w:type="dxa"/>
            <w:tcBorders>
              <w:bottom w:val="single" w:sz="6" w:space="0" w:color="auto"/>
            </w:tcBorders>
          </w:tcPr>
          <w:p w14:paraId="08CF540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4D6B2F6"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905" w:type="dxa"/>
            <w:tcBorders>
              <w:bottom w:val="single" w:sz="6" w:space="0" w:color="auto"/>
            </w:tcBorders>
          </w:tcPr>
          <w:p w14:paraId="0B9C3FDE"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905" w:type="dxa"/>
            <w:tcBorders>
              <w:bottom w:val="single" w:sz="6" w:space="0" w:color="auto"/>
            </w:tcBorders>
          </w:tcPr>
          <w:p w14:paraId="044AD97B"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905" w:type="dxa"/>
            <w:tcBorders>
              <w:bottom w:val="single" w:sz="6" w:space="0" w:color="auto"/>
            </w:tcBorders>
          </w:tcPr>
          <w:p w14:paraId="4685EF24" w14:textId="77777777" w:rsidR="004D42F9" w:rsidRDefault="004D42F9">
            <w:pPr>
              <w:cnfStyle w:val="000000000000" w:firstRow="0" w:lastRow="0" w:firstColumn="0" w:lastColumn="0" w:oddVBand="0" w:evenVBand="0" w:oddHBand="0" w:evenHBand="0" w:firstRowFirstColumn="0" w:firstRowLastColumn="0" w:lastRowFirstColumn="0" w:lastRowLastColumn="0"/>
            </w:pPr>
            <w:r>
              <w:t>(249)</w:t>
            </w:r>
          </w:p>
        </w:tc>
      </w:tr>
      <w:tr w:rsidR="004D42F9" w14:paraId="0642C0D8"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39A59EC4" w14:textId="77777777" w:rsidR="004D42F9" w:rsidRDefault="004D42F9">
            <w:r>
              <w:t xml:space="preserve">Advances received (net) </w:t>
            </w:r>
            <w:r>
              <w:rPr>
                <w:vertAlign w:val="superscript"/>
              </w:rPr>
              <w:t>(b)</w:t>
            </w:r>
          </w:p>
        </w:tc>
        <w:tc>
          <w:tcPr>
            <w:tcW w:w="632" w:type="dxa"/>
            <w:tcBorders>
              <w:top w:val="single" w:sz="6" w:space="0" w:color="auto"/>
            </w:tcBorders>
          </w:tcPr>
          <w:p w14:paraId="21C891B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268A91B1"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05" w:type="dxa"/>
            <w:tcBorders>
              <w:top w:val="single" w:sz="6" w:space="0" w:color="auto"/>
            </w:tcBorders>
          </w:tcPr>
          <w:p w14:paraId="2D03EAF9" w14:textId="77777777" w:rsidR="004D42F9" w:rsidRDefault="004D42F9">
            <w:pPr>
              <w:cnfStyle w:val="000000000000" w:firstRow="0" w:lastRow="0" w:firstColumn="0" w:lastColumn="0" w:oddVBand="0" w:evenVBand="0" w:oddHBand="0" w:evenHBand="0" w:firstRowFirstColumn="0" w:firstRowLastColumn="0" w:lastRowFirstColumn="0" w:lastRowLastColumn="0"/>
            </w:pPr>
            <w:r>
              <w:t>(12)</w:t>
            </w:r>
          </w:p>
        </w:tc>
        <w:tc>
          <w:tcPr>
            <w:tcW w:w="905" w:type="dxa"/>
            <w:tcBorders>
              <w:top w:val="single" w:sz="6" w:space="0" w:color="auto"/>
            </w:tcBorders>
          </w:tcPr>
          <w:p w14:paraId="0A5A2ABA" w14:textId="77777777" w:rsidR="004D42F9" w:rsidRDefault="004D42F9">
            <w:pPr>
              <w:cnfStyle w:val="000000000000" w:firstRow="0" w:lastRow="0" w:firstColumn="0" w:lastColumn="0" w:oddVBand="0" w:evenVBand="0" w:oddHBand="0" w:evenHBand="0" w:firstRowFirstColumn="0" w:firstRowLastColumn="0" w:lastRowFirstColumn="0" w:lastRowLastColumn="0"/>
            </w:pPr>
            <w:r>
              <w:t>31</w:t>
            </w:r>
          </w:p>
        </w:tc>
        <w:tc>
          <w:tcPr>
            <w:tcW w:w="905" w:type="dxa"/>
            <w:tcBorders>
              <w:top w:val="single" w:sz="6" w:space="0" w:color="auto"/>
            </w:tcBorders>
          </w:tcPr>
          <w:p w14:paraId="4025D3FF" w14:textId="77777777" w:rsidR="004D42F9" w:rsidRDefault="004D42F9">
            <w:pPr>
              <w:cnfStyle w:val="000000000000" w:firstRow="0" w:lastRow="0" w:firstColumn="0" w:lastColumn="0" w:oddVBand="0" w:evenVBand="0" w:oddHBand="0" w:evenHBand="0" w:firstRowFirstColumn="0" w:firstRowLastColumn="0" w:lastRowFirstColumn="0" w:lastRowLastColumn="0"/>
            </w:pPr>
            <w:r>
              <w:t>(226)</w:t>
            </w:r>
          </w:p>
        </w:tc>
      </w:tr>
      <w:tr w:rsidR="004D42F9" w14:paraId="61B22FAC" w14:textId="77777777">
        <w:tc>
          <w:tcPr>
            <w:cnfStyle w:val="001000000000" w:firstRow="0" w:lastRow="0" w:firstColumn="1" w:lastColumn="0" w:oddVBand="0" w:evenVBand="0" w:oddHBand="0" w:evenHBand="0" w:firstRowFirstColumn="0" w:firstRowLastColumn="0" w:lastRowFirstColumn="0" w:lastRowLastColumn="0"/>
            <w:tcW w:w="5387" w:type="dxa"/>
          </w:tcPr>
          <w:p w14:paraId="49ECE4D3" w14:textId="77777777" w:rsidR="004D42F9" w:rsidRDefault="004D42F9">
            <w:r>
              <w:t xml:space="preserve">Borrowings received </w:t>
            </w:r>
            <w:r w:rsidRPr="00291CC9">
              <w:rPr>
                <w:vertAlign w:val="superscript"/>
              </w:rPr>
              <w:t>(</w:t>
            </w:r>
            <w:r>
              <w:rPr>
                <w:vertAlign w:val="superscript"/>
              </w:rPr>
              <w:t>c</w:t>
            </w:r>
            <w:r w:rsidRPr="00291CC9">
              <w:rPr>
                <w:vertAlign w:val="superscript"/>
              </w:rPr>
              <w:t>)</w:t>
            </w:r>
          </w:p>
        </w:tc>
        <w:tc>
          <w:tcPr>
            <w:tcW w:w="632" w:type="dxa"/>
          </w:tcPr>
          <w:p w14:paraId="2013620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22A34A55" w14:textId="77777777" w:rsidR="004D42F9" w:rsidRDefault="004D42F9">
            <w:pPr>
              <w:cnfStyle w:val="000000000000" w:firstRow="0" w:lastRow="0" w:firstColumn="0" w:lastColumn="0" w:oddVBand="0" w:evenVBand="0" w:oddHBand="0" w:evenHBand="0" w:firstRowFirstColumn="0" w:firstRowLastColumn="0" w:lastRowFirstColumn="0" w:lastRowLastColumn="0"/>
            </w:pPr>
            <w:r>
              <w:t>21 591</w:t>
            </w:r>
          </w:p>
        </w:tc>
        <w:tc>
          <w:tcPr>
            <w:tcW w:w="905" w:type="dxa"/>
          </w:tcPr>
          <w:p w14:paraId="6D67586C" w14:textId="77777777" w:rsidR="004D42F9" w:rsidRDefault="004D42F9">
            <w:pPr>
              <w:cnfStyle w:val="000000000000" w:firstRow="0" w:lastRow="0" w:firstColumn="0" w:lastColumn="0" w:oddVBand="0" w:evenVBand="0" w:oddHBand="0" w:evenHBand="0" w:firstRowFirstColumn="0" w:firstRowLastColumn="0" w:lastRowFirstColumn="0" w:lastRowLastColumn="0"/>
            </w:pPr>
            <w:r>
              <w:t>28 784</w:t>
            </w:r>
          </w:p>
        </w:tc>
        <w:tc>
          <w:tcPr>
            <w:tcW w:w="905" w:type="dxa"/>
          </w:tcPr>
          <w:p w14:paraId="30B81442" w14:textId="77777777" w:rsidR="004D42F9" w:rsidRDefault="004D42F9">
            <w:pPr>
              <w:cnfStyle w:val="000000000000" w:firstRow="0" w:lastRow="0" w:firstColumn="0" w:lastColumn="0" w:oddVBand="0" w:evenVBand="0" w:oddHBand="0" w:evenHBand="0" w:firstRowFirstColumn="0" w:firstRowLastColumn="0" w:lastRowFirstColumn="0" w:lastRowLastColumn="0"/>
            </w:pPr>
            <w:r>
              <w:t>18 913</w:t>
            </w:r>
          </w:p>
        </w:tc>
        <w:tc>
          <w:tcPr>
            <w:tcW w:w="905" w:type="dxa"/>
          </w:tcPr>
          <w:p w14:paraId="20EDE68B" w14:textId="77777777" w:rsidR="004D42F9" w:rsidRDefault="004D42F9">
            <w:pPr>
              <w:cnfStyle w:val="000000000000" w:firstRow="0" w:lastRow="0" w:firstColumn="0" w:lastColumn="0" w:oddVBand="0" w:evenVBand="0" w:oddHBand="0" w:evenHBand="0" w:firstRowFirstColumn="0" w:firstRowLastColumn="0" w:lastRowFirstColumn="0" w:lastRowLastColumn="0"/>
            </w:pPr>
            <w:r>
              <w:t>25 156</w:t>
            </w:r>
          </w:p>
        </w:tc>
      </w:tr>
      <w:tr w:rsidR="004D42F9" w14:paraId="41D76254"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0BDBB6C6" w14:textId="77777777" w:rsidR="004D42F9" w:rsidRDefault="004D42F9">
            <w:r>
              <w:t xml:space="preserve">Borrowings repaid </w:t>
            </w:r>
            <w:r w:rsidRPr="00291CC9">
              <w:rPr>
                <w:vertAlign w:val="superscript"/>
              </w:rPr>
              <w:t>(</w:t>
            </w:r>
            <w:r>
              <w:rPr>
                <w:vertAlign w:val="superscript"/>
              </w:rPr>
              <w:t>c</w:t>
            </w:r>
            <w:r w:rsidRPr="00291CC9">
              <w:rPr>
                <w:vertAlign w:val="superscript"/>
              </w:rPr>
              <w:t>)</w:t>
            </w:r>
          </w:p>
        </w:tc>
        <w:tc>
          <w:tcPr>
            <w:tcW w:w="632" w:type="dxa"/>
            <w:tcBorders>
              <w:bottom w:val="single" w:sz="6" w:space="0" w:color="auto"/>
            </w:tcBorders>
          </w:tcPr>
          <w:p w14:paraId="06FF82E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134CA704" w14:textId="77777777" w:rsidR="004D42F9" w:rsidRDefault="004D42F9">
            <w:pPr>
              <w:cnfStyle w:val="000000000000" w:firstRow="0" w:lastRow="0" w:firstColumn="0" w:lastColumn="0" w:oddVBand="0" w:evenVBand="0" w:oddHBand="0" w:evenHBand="0" w:firstRowFirstColumn="0" w:firstRowLastColumn="0" w:lastRowFirstColumn="0" w:lastRowLastColumn="0"/>
            </w:pPr>
            <w:r>
              <w:t>(2 525)</w:t>
            </w:r>
          </w:p>
        </w:tc>
        <w:tc>
          <w:tcPr>
            <w:tcW w:w="905" w:type="dxa"/>
            <w:tcBorders>
              <w:bottom w:val="single" w:sz="6" w:space="0" w:color="auto"/>
            </w:tcBorders>
          </w:tcPr>
          <w:p w14:paraId="7EAFFD8C" w14:textId="77777777" w:rsidR="004D42F9" w:rsidRDefault="004D42F9">
            <w:pPr>
              <w:cnfStyle w:val="000000000000" w:firstRow="0" w:lastRow="0" w:firstColumn="0" w:lastColumn="0" w:oddVBand="0" w:evenVBand="0" w:oddHBand="0" w:evenHBand="0" w:firstRowFirstColumn="0" w:firstRowLastColumn="0" w:lastRowFirstColumn="0" w:lastRowLastColumn="0"/>
            </w:pPr>
            <w:r>
              <w:t>(3 321)</w:t>
            </w:r>
          </w:p>
        </w:tc>
        <w:tc>
          <w:tcPr>
            <w:tcW w:w="905" w:type="dxa"/>
            <w:tcBorders>
              <w:bottom w:val="single" w:sz="6" w:space="0" w:color="auto"/>
            </w:tcBorders>
          </w:tcPr>
          <w:p w14:paraId="409ECD6F" w14:textId="77777777" w:rsidR="004D42F9" w:rsidRDefault="004D42F9">
            <w:pPr>
              <w:cnfStyle w:val="000000000000" w:firstRow="0" w:lastRow="0" w:firstColumn="0" w:lastColumn="0" w:oddVBand="0" w:evenVBand="0" w:oddHBand="0" w:evenHBand="0" w:firstRowFirstColumn="0" w:firstRowLastColumn="0" w:lastRowFirstColumn="0" w:lastRowLastColumn="0"/>
            </w:pPr>
            <w:r>
              <w:t>(2 389)</w:t>
            </w:r>
          </w:p>
        </w:tc>
        <w:tc>
          <w:tcPr>
            <w:tcW w:w="905" w:type="dxa"/>
            <w:tcBorders>
              <w:bottom w:val="single" w:sz="6" w:space="0" w:color="auto"/>
            </w:tcBorders>
          </w:tcPr>
          <w:p w14:paraId="273BF29E" w14:textId="77777777" w:rsidR="004D42F9" w:rsidRDefault="004D42F9">
            <w:pPr>
              <w:cnfStyle w:val="000000000000" w:firstRow="0" w:lastRow="0" w:firstColumn="0" w:lastColumn="0" w:oddVBand="0" w:evenVBand="0" w:oddHBand="0" w:evenHBand="0" w:firstRowFirstColumn="0" w:firstRowLastColumn="0" w:lastRowFirstColumn="0" w:lastRowLastColumn="0"/>
            </w:pPr>
            <w:r>
              <w:t>(3 145)</w:t>
            </w:r>
          </w:p>
        </w:tc>
      </w:tr>
      <w:tr w:rsidR="004D42F9" w14:paraId="54208D73"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7EE3FC90" w14:textId="77777777" w:rsidR="004D42F9" w:rsidRDefault="004D42F9">
            <w:r>
              <w:t xml:space="preserve">Net borrowings </w:t>
            </w:r>
            <w:r>
              <w:rPr>
                <w:vertAlign w:val="superscript"/>
              </w:rPr>
              <w:t>(b)</w:t>
            </w:r>
          </w:p>
        </w:tc>
        <w:tc>
          <w:tcPr>
            <w:tcW w:w="632" w:type="dxa"/>
            <w:tcBorders>
              <w:top w:val="single" w:sz="6" w:space="0" w:color="auto"/>
            </w:tcBorders>
          </w:tcPr>
          <w:p w14:paraId="0B5D2E8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10CEC198" w14:textId="77777777" w:rsidR="004D42F9" w:rsidRDefault="004D42F9">
            <w:pPr>
              <w:cnfStyle w:val="000000000000" w:firstRow="0" w:lastRow="0" w:firstColumn="0" w:lastColumn="0" w:oddVBand="0" w:evenVBand="0" w:oddHBand="0" w:evenHBand="0" w:firstRowFirstColumn="0" w:firstRowLastColumn="0" w:lastRowFirstColumn="0" w:lastRowLastColumn="0"/>
            </w:pPr>
            <w:r>
              <w:t>19 066</w:t>
            </w:r>
          </w:p>
        </w:tc>
        <w:tc>
          <w:tcPr>
            <w:tcW w:w="905" w:type="dxa"/>
            <w:tcBorders>
              <w:top w:val="single" w:sz="6" w:space="0" w:color="auto"/>
            </w:tcBorders>
          </w:tcPr>
          <w:p w14:paraId="66E5A1CF" w14:textId="77777777" w:rsidR="004D42F9" w:rsidRDefault="004D42F9">
            <w:pPr>
              <w:cnfStyle w:val="000000000000" w:firstRow="0" w:lastRow="0" w:firstColumn="0" w:lastColumn="0" w:oddVBand="0" w:evenVBand="0" w:oddHBand="0" w:evenHBand="0" w:firstRowFirstColumn="0" w:firstRowLastColumn="0" w:lastRowFirstColumn="0" w:lastRowLastColumn="0"/>
            </w:pPr>
            <w:r>
              <w:t>25 463</w:t>
            </w:r>
          </w:p>
        </w:tc>
        <w:tc>
          <w:tcPr>
            <w:tcW w:w="905" w:type="dxa"/>
            <w:tcBorders>
              <w:top w:val="single" w:sz="6" w:space="0" w:color="auto"/>
            </w:tcBorders>
          </w:tcPr>
          <w:p w14:paraId="127D67E1" w14:textId="77777777" w:rsidR="004D42F9" w:rsidRDefault="004D42F9">
            <w:pPr>
              <w:cnfStyle w:val="000000000000" w:firstRow="0" w:lastRow="0" w:firstColumn="0" w:lastColumn="0" w:oddVBand="0" w:evenVBand="0" w:oddHBand="0" w:evenHBand="0" w:firstRowFirstColumn="0" w:firstRowLastColumn="0" w:lastRowFirstColumn="0" w:lastRowLastColumn="0"/>
            </w:pPr>
            <w:r>
              <w:t>16 524</w:t>
            </w:r>
          </w:p>
        </w:tc>
        <w:tc>
          <w:tcPr>
            <w:tcW w:w="905" w:type="dxa"/>
            <w:tcBorders>
              <w:top w:val="single" w:sz="6" w:space="0" w:color="auto"/>
            </w:tcBorders>
          </w:tcPr>
          <w:p w14:paraId="7006E8DE" w14:textId="77777777" w:rsidR="004D42F9" w:rsidRDefault="004D42F9">
            <w:pPr>
              <w:cnfStyle w:val="000000000000" w:firstRow="0" w:lastRow="0" w:firstColumn="0" w:lastColumn="0" w:oddVBand="0" w:evenVBand="0" w:oddHBand="0" w:evenHBand="0" w:firstRowFirstColumn="0" w:firstRowLastColumn="0" w:lastRowFirstColumn="0" w:lastRowLastColumn="0"/>
            </w:pPr>
            <w:r>
              <w:t>22 011</w:t>
            </w:r>
          </w:p>
        </w:tc>
      </w:tr>
      <w:tr w:rsidR="004D42F9" w14:paraId="03E6D792" w14:textId="77777777">
        <w:tc>
          <w:tcPr>
            <w:cnfStyle w:val="001000000000" w:firstRow="0" w:lastRow="0" w:firstColumn="1" w:lastColumn="0" w:oddVBand="0" w:evenVBand="0" w:oddHBand="0" w:evenHBand="0" w:firstRowFirstColumn="0" w:firstRowLastColumn="0" w:lastRowFirstColumn="0" w:lastRowLastColumn="0"/>
            <w:tcW w:w="5387" w:type="dxa"/>
          </w:tcPr>
          <w:p w14:paraId="7FDF57E7" w14:textId="77777777" w:rsidR="004D42F9" w:rsidRDefault="004D42F9">
            <w:r>
              <w:t>Deposits received</w:t>
            </w:r>
          </w:p>
        </w:tc>
        <w:tc>
          <w:tcPr>
            <w:tcW w:w="632" w:type="dxa"/>
          </w:tcPr>
          <w:p w14:paraId="363C4509"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1313785" w14:textId="77777777" w:rsidR="004D42F9" w:rsidRDefault="004D42F9">
            <w:pPr>
              <w:cnfStyle w:val="000000000000" w:firstRow="0" w:lastRow="0" w:firstColumn="0" w:lastColumn="0" w:oddVBand="0" w:evenVBand="0" w:oddHBand="0" w:evenHBand="0" w:firstRowFirstColumn="0" w:firstRowLastColumn="0" w:lastRowFirstColumn="0" w:lastRowLastColumn="0"/>
            </w:pPr>
            <w:r>
              <w:t>2 304</w:t>
            </w:r>
          </w:p>
        </w:tc>
        <w:tc>
          <w:tcPr>
            <w:tcW w:w="905" w:type="dxa"/>
          </w:tcPr>
          <w:p w14:paraId="182BCD93" w14:textId="77777777" w:rsidR="004D42F9" w:rsidRDefault="004D42F9">
            <w:pPr>
              <w:cnfStyle w:val="000000000000" w:firstRow="0" w:lastRow="0" w:firstColumn="0" w:lastColumn="0" w:oddVBand="0" w:evenVBand="0" w:oddHBand="0" w:evenHBand="0" w:firstRowFirstColumn="0" w:firstRowLastColumn="0" w:lastRowFirstColumn="0" w:lastRowLastColumn="0"/>
            </w:pPr>
            <w:r>
              <w:t>2 762</w:t>
            </w:r>
          </w:p>
        </w:tc>
        <w:tc>
          <w:tcPr>
            <w:tcW w:w="905" w:type="dxa"/>
          </w:tcPr>
          <w:p w14:paraId="637A353A" w14:textId="77777777" w:rsidR="004D42F9" w:rsidRDefault="004D42F9">
            <w:pPr>
              <w:cnfStyle w:val="000000000000" w:firstRow="0" w:lastRow="0" w:firstColumn="0" w:lastColumn="0" w:oddVBand="0" w:evenVBand="0" w:oddHBand="0" w:evenHBand="0" w:firstRowFirstColumn="0" w:firstRowLastColumn="0" w:lastRowFirstColumn="0" w:lastRowLastColumn="0"/>
            </w:pPr>
            <w:r>
              <w:t>1 895</w:t>
            </w:r>
          </w:p>
        </w:tc>
        <w:tc>
          <w:tcPr>
            <w:tcW w:w="905" w:type="dxa"/>
          </w:tcPr>
          <w:p w14:paraId="6258CE15" w14:textId="77777777" w:rsidR="004D42F9" w:rsidRDefault="004D42F9">
            <w:pPr>
              <w:cnfStyle w:val="000000000000" w:firstRow="0" w:lastRow="0" w:firstColumn="0" w:lastColumn="0" w:oddVBand="0" w:evenVBand="0" w:oddHBand="0" w:evenHBand="0" w:firstRowFirstColumn="0" w:firstRowLastColumn="0" w:lastRowFirstColumn="0" w:lastRowLastColumn="0"/>
            </w:pPr>
            <w:r>
              <w:t>2 380</w:t>
            </w:r>
          </w:p>
        </w:tc>
      </w:tr>
      <w:tr w:rsidR="004D42F9" w14:paraId="1176A22D"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49E8AAA5" w14:textId="77777777" w:rsidR="004D42F9" w:rsidRDefault="004D42F9">
            <w:r>
              <w:t>Deposits repaid</w:t>
            </w:r>
          </w:p>
        </w:tc>
        <w:tc>
          <w:tcPr>
            <w:tcW w:w="632" w:type="dxa"/>
            <w:tcBorders>
              <w:bottom w:val="single" w:sz="6" w:space="0" w:color="auto"/>
            </w:tcBorders>
          </w:tcPr>
          <w:p w14:paraId="7DE7550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2EB5EC9F" w14:textId="77777777" w:rsidR="004D42F9" w:rsidRDefault="004D42F9">
            <w:pPr>
              <w:cnfStyle w:val="000000000000" w:firstRow="0" w:lastRow="0" w:firstColumn="0" w:lastColumn="0" w:oddVBand="0" w:evenVBand="0" w:oddHBand="0" w:evenHBand="0" w:firstRowFirstColumn="0" w:firstRowLastColumn="0" w:lastRowFirstColumn="0" w:lastRowLastColumn="0"/>
            </w:pPr>
            <w:r>
              <w:t>(2 232)</w:t>
            </w:r>
          </w:p>
        </w:tc>
        <w:tc>
          <w:tcPr>
            <w:tcW w:w="905" w:type="dxa"/>
            <w:tcBorders>
              <w:bottom w:val="single" w:sz="6" w:space="0" w:color="auto"/>
            </w:tcBorders>
          </w:tcPr>
          <w:p w14:paraId="14436C00" w14:textId="77777777" w:rsidR="004D42F9" w:rsidRDefault="004D42F9">
            <w:pPr>
              <w:cnfStyle w:val="000000000000" w:firstRow="0" w:lastRow="0" w:firstColumn="0" w:lastColumn="0" w:oddVBand="0" w:evenVBand="0" w:oddHBand="0" w:evenHBand="0" w:firstRowFirstColumn="0" w:firstRowLastColumn="0" w:lastRowFirstColumn="0" w:lastRowLastColumn="0"/>
            </w:pPr>
            <w:r>
              <w:t>(2 590)</w:t>
            </w:r>
          </w:p>
        </w:tc>
        <w:tc>
          <w:tcPr>
            <w:tcW w:w="905" w:type="dxa"/>
            <w:tcBorders>
              <w:bottom w:val="single" w:sz="6" w:space="0" w:color="auto"/>
            </w:tcBorders>
          </w:tcPr>
          <w:p w14:paraId="7993067A" w14:textId="77777777" w:rsidR="004D42F9" w:rsidRDefault="004D42F9">
            <w:pPr>
              <w:cnfStyle w:val="000000000000" w:firstRow="0" w:lastRow="0" w:firstColumn="0" w:lastColumn="0" w:oddVBand="0" w:evenVBand="0" w:oddHBand="0" w:evenHBand="0" w:firstRowFirstColumn="0" w:firstRowLastColumn="0" w:lastRowFirstColumn="0" w:lastRowLastColumn="0"/>
            </w:pPr>
            <w:r>
              <w:t>(1 855)</w:t>
            </w:r>
          </w:p>
        </w:tc>
        <w:tc>
          <w:tcPr>
            <w:tcW w:w="905" w:type="dxa"/>
            <w:tcBorders>
              <w:bottom w:val="single" w:sz="6" w:space="0" w:color="auto"/>
            </w:tcBorders>
          </w:tcPr>
          <w:p w14:paraId="186C654B" w14:textId="77777777" w:rsidR="004D42F9" w:rsidRDefault="004D42F9">
            <w:pPr>
              <w:cnfStyle w:val="000000000000" w:firstRow="0" w:lastRow="0" w:firstColumn="0" w:lastColumn="0" w:oddVBand="0" w:evenVBand="0" w:oddHBand="0" w:evenHBand="0" w:firstRowFirstColumn="0" w:firstRowLastColumn="0" w:lastRowFirstColumn="0" w:lastRowLastColumn="0"/>
            </w:pPr>
            <w:r>
              <w:t>(2 244)</w:t>
            </w:r>
          </w:p>
        </w:tc>
      </w:tr>
      <w:tr w:rsidR="004D42F9" w14:paraId="2B0A3687"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0F38471B" w14:textId="77777777" w:rsidR="004D42F9" w:rsidRDefault="004D42F9">
            <w:r>
              <w:t xml:space="preserve">Deposits received (net) </w:t>
            </w:r>
            <w:r>
              <w:rPr>
                <w:vertAlign w:val="superscript"/>
              </w:rPr>
              <w:t>(b)</w:t>
            </w:r>
          </w:p>
        </w:tc>
        <w:tc>
          <w:tcPr>
            <w:tcW w:w="632" w:type="dxa"/>
            <w:tcBorders>
              <w:top w:val="single" w:sz="6" w:space="0" w:color="auto"/>
            </w:tcBorders>
          </w:tcPr>
          <w:p w14:paraId="7D0C977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671BCD6E" w14:textId="77777777" w:rsidR="004D42F9" w:rsidRDefault="004D42F9">
            <w:pPr>
              <w:cnfStyle w:val="000000000000" w:firstRow="0" w:lastRow="0" w:firstColumn="0" w:lastColumn="0" w:oddVBand="0" w:evenVBand="0" w:oddHBand="0" w:evenHBand="0" w:firstRowFirstColumn="0" w:firstRowLastColumn="0" w:lastRowFirstColumn="0" w:lastRowLastColumn="0"/>
            </w:pPr>
            <w:r>
              <w:t>72</w:t>
            </w:r>
          </w:p>
        </w:tc>
        <w:tc>
          <w:tcPr>
            <w:tcW w:w="905" w:type="dxa"/>
            <w:tcBorders>
              <w:top w:val="single" w:sz="6" w:space="0" w:color="auto"/>
            </w:tcBorders>
          </w:tcPr>
          <w:p w14:paraId="30A4D219" w14:textId="77777777" w:rsidR="004D42F9" w:rsidRDefault="004D42F9">
            <w:pPr>
              <w:cnfStyle w:val="000000000000" w:firstRow="0" w:lastRow="0" w:firstColumn="0" w:lastColumn="0" w:oddVBand="0" w:evenVBand="0" w:oddHBand="0" w:evenHBand="0" w:firstRowFirstColumn="0" w:firstRowLastColumn="0" w:lastRowFirstColumn="0" w:lastRowLastColumn="0"/>
            </w:pPr>
            <w:r>
              <w:t>173</w:t>
            </w:r>
          </w:p>
        </w:tc>
        <w:tc>
          <w:tcPr>
            <w:tcW w:w="905" w:type="dxa"/>
            <w:tcBorders>
              <w:top w:val="single" w:sz="6" w:space="0" w:color="auto"/>
            </w:tcBorders>
          </w:tcPr>
          <w:p w14:paraId="3E1CDA74"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05" w:type="dxa"/>
            <w:tcBorders>
              <w:top w:val="single" w:sz="6" w:space="0" w:color="auto"/>
            </w:tcBorders>
          </w:tcPr>
          <w:p w14:paraId="73F57804" w14:textId="77777777" w:rsidR="004D42F9" w:rsidRDefault="004D42F9">
            <w:pPr>
              <w:cnfStyle w:val="000000000000" w:firstRow="0" w:lastRow="0" w:firstColumn="0" w:lastColumn="0" w:oddVBand="0" w:evenVBand="0" w:oddHBand="0" w:evenHBand="0" w:firstRowFirstColumn="0" w:firstRowLastColumn="0" w:lastRowFirstColumn="0" w:lastRowLastColumn="0"/>
            </w:pPr>
            <w:r>
              <w:t>136</w:t>
            </w:r>
          </w:p>
        </w:tc>
      </w:tr>
      <w:tr w:rsidR="004D42F9" w14:paraId="55605077"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6" w:space="0" w:color="auto"/>
            </w:tcBorders>
          </w:tcPr>
          <w:p w14:paraId="41DAA34C" w14:textId="77777777" w:rsidR="004D42F9" w:rsidRDefault="004D42F9">
            <w:r>
              <w:rPr>
                <w:b/>
              </w:rPr>
              <w:t>Net cash flows from financing activities</w:t>
            </w:r>
          </w:p>
        </w:tc>
        <w:tc>
          <w:tcPr>
            <w:tcW w:w="632" w:type="dxa"/>
            <w:tcBorders>
              <w:top w:val="single" w:sz="6" w:space="0" w:color="auto"/>
              <w:bottom w:val="single" w:sz="6" w:space="0" w:color="auto"/>
            </w:tcBorders>
          </w:tcPr>
          <w:p w14:paraId="7BB774A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6" w:space="0" w:color="auto"/>
            </w:tcBorders>
          </w:tcPr>
          <w:p w14:paraId="4803D11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19 177</w:t>
            </w:r>
          </w:p>
        </w:tc>
        <w:tc>
          <w:tcPr>
            <w:tcW w:w="905" w:type="dxa"/>
            <w:tcBorders>
              <w:top w:val="single" w:sz="6" w:space="0" w:color="auto"/>
              <w:bottom w:val="single" w:sz="6" w:space="0" w:color="auto"/>
            </w:tcBorders>
          </w:tcPr>
          <w:p w14:paraId="55781FE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25 624</w:t>
            </w:r>
          </w:p>
        </w:tc>
        <w:tc>
          <w:tcPr>
            <w:tcW w:w="905" w:type="dxa"/>
            <w:tcBorders>
              <w:top w:val="single" w:sz="6" w:space="0" w:color="auto"/>
              <w:bottom w:val="single" w:sz="6" w:space="0" w:color="auto"/>
            </w:tcBorders>
          </w:tcPr>
          <w:p w14:paraId="7C6D2A5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16 593</w:t>
            </w:r>
          </w:p>
        </w:tc>
        <w:tc>
          <w:tcPr>
            <w:tcW w:w="905" w:type="dxa"/>
            <w:tcBorders>
              <w:top w:val="single" w:sz="6" w:space="0" w:color="auto"/>
              <w:bottom w:val="single" w:sz="6" w:space="0" w:color="auto"/>
            </w:tcBorders>
          </w:tcPr>
          <w:p w14:paraId="02FD959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21 921</w:t>
            </w:r>
          </w:p>
        </w:tc>
      </w:tr>
      <w:tr w:rsidR="004D42F9" w14:paraId="7713CE5B"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6AFBCF2E" w14:textId="77777777" w:rsidR="004D42F9" w:rsidRDefault="004D42F9">
            <w:r>
              <w:rPr>
                <w:b/>
              </w:rPr>
              <w:t>Net increase/(decrease) in cash and cash equivalents</w:t>
            </w:r>
          </w:p>
        </w:tc>
        <w:tc>
          <w:tcPr>
            <w:tcW w:w="632" w:type="dxa"/>
            <w:tcBorders>
              <w:top w:val="single" w:sz="6" w:space="0" w:color="auto"/>
            </w:tcBorders>
          </w:tcPr>
          <w:p w14:paraId="5948026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tcBorders>
          </w:tcPr>
          <w:p w14:paraId="3A9142C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855</w:t>
            </w:r>
          </w:p>
        </w:tc>
        <w:tc>
          <w:tcPr>
            <w:tcW w:w="905" w:type="dxa"/>
            <w:tcBorders>
              <w:top w:val="single" w:sz="6" w:space="0" w:color="auto"/>
            </w:tcBorders>
          </w:tcPr>
          <w:p w14:paraId="71BC5EF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(6 083)</w:t>
            </w:r>
          </w:p>
        </w:tc>
        <w:tc>
          <w:tcPr>
            <w:tcW w:w="905" w:type="dxa"/>
            <w:tcBorders>
              <w:top w:val="single" w:sz="6" w:space="0" w:color="auto"/>
            </w:tcBorders>
          </w:tcPr>
          <w:p w14:paraId="629498F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(1 510)</w:t>
            </w:r>
          </w:p>
        </w:tc>
        <w:tc>
          <w:tcPr>
            <w:tcW w:w="905" w:type="dxa"/>
            <w:tcBorders>
              <w:top w:val="single" w:sz="6" w:space="0" w:color="auto"/>
            </w:tcBorders>
          </w:tcPr>
          <w:p w14:paraId="79BD87E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(5 392)</w:t>
            </w:r>
          </w:p>
        </w:tc>
      </w:tr>
      <w:tr w:rsidR="004D42F9" w14:paraId="381297B7"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4DE07BA8" w14:textId="77777777" w:rsidR="004D42F9" w:rsidRDefault="004D42F9">
            <w:r>
              <w:t>Cash and cash equivalents at beginning of reporting period</w:t>
            </w:r>
            <w:r>
              <w:rPr>
                <w:vertAlign w:val="superscript"/>
              </w:rPr>
              <w:t xml:space="preserve"> (d) </w:t>
            </w:r>
          </w:p>
        </w:tc>
        <w:tc>
          <w:tcPr>
            <w:tcW w:w="632" w:type="dxa"/>
            <w:tcBorders>
              <w:bottom w:val="single" w:sz="6" w:space="0" w:color="auto"/>
            </w:tcBorders>
          </w:tcPr>
          <w:p w14:paraId="37F4CCF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456755DA" w14:textId="77777777" w:rsidR="004D42F9" w:rsidRDefault="004D42F9">
            <w:pPr>
              <w:cnfStyle w:val="000000000000" w:firstRow="0" w:lastRow="0" w:firstColumn="0" w:lastColumn="0" w:oddVBand="0" w:evenVBand="0" w:oddHBand="0" w:evenHBand="0" w:firstRowFirstColumn="0" w:firstRowLastColumn="0" w:lastRowFirstColumn="0" w:lastRowLastColumn="0"/>
            </w:pPr>
            <w:r>
              <w:t>19 595</w:t>
            </w:r>
          </w:p>
        </w:tc>
        <w:tc>
          <w:tcPr>
            <w:tcW w:w="905" w:type="dxa"/>
            <w:tcBorders>
              <w:bottom w:val="single" w:sz="6" w:space="0" w:color="auto"/>
            </w:tcBorders>
          </w:tcPr>
          <w:p w14:paraId="2855624A" w14:textId="77777777" w:rsidR="004D42F9" w:rsidRDefault="004D42F9">
            <w:pPr>
              <w:cnfStyle w:val="000000000000" w:firstRow="0" w:lastRow="0" w:firstColumn="0" w:lastColumn="0" w:oddVBand="0" w:evenVBand="0" w:oddHBand="0" w:evenHBand="0" w:firstRowFirstColumn="0" w:firstRowLastColumn="0" w:lastRowFirstColumn="0" w:lastRowLastColumn="0"/>
            </w:pPr>
            <w:r>
              <w:t>25 678</w:t>
            </w:r>
          </w:p>
        </w:tc>
        <w:tc>
          <w:tcPr>
            <w:tcW w:w="905" w:type="dxa"/>
            <w:tcBorders>
              <w:bottom w:val="single" w:sz="6" w:space="0" w:color="auto"/>
            </w:tcBorders>
          </w:tcPr>
          <w:p w14:paraId="6EA87F68" w14:textId="77777777" w:rsidR="004D42F9" w:rsidRDefault="004D42F9">
            <w:pPr>
              <w:cnfStyle w:val="000000000000" w:firstRow="0" w:lastRow="0" w:firstColumn="0" w:lastColumn="0" w:oddVBand="0" w:evenVBand="0" w:oddHBand="0" w:evenHBand="0" w:firstRowFirstColumn="0" w:firstRowLastColumn="0" w:lastRowFirstColumn="0" w:lastRowLastColumn="0"/>
            </w:pPr>
            <w:r>
              <w:t>14 310</w:t>
            </w:r>
          </w:p>
        </w:tc>
        <w:tc>
          <w:tcPr>
            <w:tcW w:w="905" w:type="dxa"/>
            <w:tcBorders>
              <w:bottom w:val="single" w:sz="6" w:space="0" w:color="auto"/>
            </w:tcBorders>
          </w:tcPr>
          <w:p w14:paraId="512CA068" w14:textId="77777777" w:rsidR="004D42F9" w:rsidRDefault="004D42F9">
            <w:pPr>
              <w:cnfStyle w:val="000000000000" w:firstRow="0" w:lastRow="0" w:firstColumn="0" w:lastColumn="0" w:oddVBand="0" w:evenVBand="0" w:oddHBand="0" w:evenHBand="0" w:firstRowFirstColumn="0" w:firstRowLastColumn="0" w:lastRowFirstColumn="0" w:lastRowLastColumn="0"/>
            </w:pPr>
            <w:r>
              <w:t>19 698</w:t>
            </w:r>
          </w:p>
        </w:tc>
      </w:tr>
      <w:tr w:rsidR="004D42F9" w14:paraId="1EE4FA39"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3C530A78" w14:textId="77777777" w:rsidR="004D42F9" w:rsidRDefault="004D42F9">
            <w:r>
              <w:rPr>
                <w:b/>
              </w:rPr>
              <w:t>Cash and cash equivalents at end of the reporting period</w:t>
            </w:r>
          </w:p>
        </w:tc>
        <w:tc>
          <w:tcPr>
            <w:tcW w:w="632" w:type="dxa"/>
            <w:tcBorders>
              <w:top w:val="single" w:sz="6" w:space="0" w:color="auto"/>
              <w:bottom w:val="single" w:sz="12" w:space="0" w:color="auto"/>
            </w:tcBorders>
          </w:tcPr>
          <w:p w14:paraId="58C55FE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t>5.4</w:t>
            </w:r>
          </w:p>
        </w:tc>
        <w:tc>
          <w:tcPr>
            <w:tcW w:w="904" w:type="dxa"/>
            <w:tcBorders>
              <w:top w:val="single" w:sz="6" w:space="0" w:color="auto"/>
              <w:bottom w:val="single" w:sz="12" w:space="0" w:color="auto"/>
            </w:tcBorders>
          </w:tcPr>
          <w:p w14:paraId="26FD179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20 450</w:t>
            </w:r>
          </w:p>
        </w:tc>
        <w:tc>
          <w:tcPr>
            <w:tcW w:w="905" w:type="dxa"/>
            <w:tcBorders>
              <w:top w:val="single" w:sz="6" w:space="0" w:color="auto"/>
              <w:bottom w:val="single" w:sz="12" w:space="0" w:color="auto"/>
            </w:tcBorders>
          </w:tcPr>
          <w:p w14:paraId="567F645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19 595</w:t>
            </w:r>
          </w:p>
        </w:tc>
        <w:tc>
          <w:tcPr>
            <w:tcW w:w="905" w:type="dxa"/>
            <w:tcBorders>
              <w:top w:val="single" w:sz="6" w:space="0" w:color="auto"/>
              <w:bottom w:val="single" w:sz="12" w:space="0" w:color="auto"/>
            </w:tcBorders>
          </w:tcPr>
          <w:p w14:paraId="7039E91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12 800</w:t>
            </w:r>
          </w:p>
        </w:tc>
        <w:tc>
          <w:tcPr>
            <w:tcW w:w="905" w:type="dxa"/>
            <w:tcBorders>
              <w:top w:val="single" w:sz="6" w:space="0" w:color="auto"/>
              <w:bottom w:val="single" w:sz="12" w:space="0" w:color="auto"/>
            </w:tcBorders>
          </w:tcPr>
          <w:p w14:paraId="78B04F7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14 306</w:t>
            </w:r>
          </w:p>
        </w:tc>
      </w:tr>
    </w:tbl>
    <w:p w14:paraId="51601188" w14:textId="77777777" w:rsidR="004D42F9" w:rsidRDefault="004D42F9" w:rsidP="004D42F9">
      <w:pPr>
        <w:pStyle w:val="Heading1"/>
        <w:pageBreakBefore/>
      </w:pPr>
      <w:bookmarkStart w:id="46" w:name="_Toc176189349"/>
      <w:bookmarkStart w:id="47" w:name="_Toc203394894"/>
      <w:r>
        <w:lastRenderedPageBreak/>
        <w:t xml:space="preserve">Consolidated cash flow statement </w:t>
      </w:r>
      <w:r w:rsidRPr="00027DD0">
        <w:rPr>
          <w:i/>
          <w:iCs/>
          <w:sz w:val="22"/>
          <w:szCs w:val="24"/>
        </w:rPr>
        <w:t>(continued)</w:t>
      </w:r>
      <w:bookmarkEnd w:id="46"/>
      <w:bookmarkEnd w:id="47"/>
    </w:p>
    <w:p w14:paraId="6D8D6A6A" w14:textId="77777777" w:rsidR="004D42F9" w:rsidRDefault="004D42F9" w:rsidP="004D42F9">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Cons_CF|FirstRow:59"/>
      </w:tblPr>
      <w:tblGrid>
        <w:gridCol w:w="5387"/>
        <w:gridCol w:w="632"/>
        <w:gridCol w:w="904"/>
        <w:gridCol w:w="905"/>
        <w:gridCol w:w="905"/>
        <w:gridCol w:w="905"/>
      </w:tblGrid>
      <w:tr w:rsidR="004D42F9" w14:paraId="32879FD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653866CE" w14:textId="77777777" w:rsidR="004D42F9" w:rsidRDefault="004D42F9">
            <w:pPr>
              <w:keepNext/>
            </w:pPr>
          </w:p>
        </w:tc>
        <w:tc>
          <w:tcPr>
            <w:tcW w:w="632" w:type="dxa"/>
          </w:tcPr>
          <w:p w14:paraId="3FCCE83E"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p>
        </w:tc>
        <w:tc>
          <w:tcPr>
            <w:tcW w:w="1809" w:type="dxa"/>
            <w:gridSpan w:val="2"/>
          </w:tcPr>
          <w:p w14:paraId="32F67295"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0" w:type="dxa"/>
            <w:gridSpan w:val="2"/>
          </w:tcPr>
          <w:p w14:paraId="339692B9"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91200" w14:paraId="271711D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180B0240" w14:textId="77777777" w:rsidR="004D42F9" w:rsidRDefault="004D42F9">
            <w:pPr>
              <w:keepNext/>
            </w:pPr>
          </w:p>
        </w:tc>
        <w:tc>
          <w:tcPr>
            <w:tcW w:w="632" w:type="dxa"/>
          </w:tcPr>
          <w:p w14:paraId="7962053F"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04" w:type="dxa"/>
          </w:tcPr>
          <w:p w14:paraId="4070445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5" w:type="dxa"/>
          </w:tcPr>
          <w:p w14:paraId="2DFA7A3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5" w:type="dxa"/>
          </w:tcPr>
          <w:p w14:paraId="7D2FB48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5" w:type="dxa"/>
          </w:tcPr>
          <w:p w14:paraId="2A2D4E0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12B2B320" w14:textId="77777777">
        <w:tc>
          <w:tcPr>
            <w:cnfStyle w:val="001000000000" w:firstRow="0" w:lastRow="0" w:firstColumn="1" w:lastColumn="0" w:oddVBand="0" w:evenVBand="0" w:oddHBand="0" w:evenHBand="0" w:firstRowFirstColumn="0" w:firstRowLastColumn="0" w:lastRowFirstColumn="0" w:lastRowLastColumn="0"/>
            <w:tcW w:w="5387" w:type="dxa"/>
          </w:tcPr>
          <w:p w14:paraId="3B1396BB" w14:textId="77777777" w:rsidR="004D42F9" w:rsidRDefault="004D42F9">
            <w:r>
              <w:rPr>
                <w:b/>
              </w:rPr>
              <w:t>FISCAL AGGREGATES</w:t>
            </w:r>
          </w:p>
        </w:tc>
        <w:tc>
          <w:tcPr>
            <w:tcW w:w="632" w:type="dxa"/>
          </w:tcPr>
          <w:p w14:paraId="798A5DE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4C42065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1BFA2F1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67EE60D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5" w:type="dxa"/>
          </w:tcPr>
          <w:p w14:paraId="3F07361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F2305C4" w14:textId="77777777">
        <w:tc>
          <w:tcPr>
            <w:cnfStyle w:val="001000000000" w:firstRow="0" w:lastRow="0" w:firstColumn="1" w:lastColumn="0" w:oddVBand="0" w:evenVBand="0" w:oddHBand="0" w:evenHBand="0" w:firstRowFirstColumn="0" w:firstRowLastColumn="0" w:lastRowFirstColumn="0" w:lastRowLastColumn="0"/>
            <w:tcW w:w="5387" w:type="dxa"/>
          </w:tcPr>
          <w:p w14:paraId="6C8E90E3" w14:textId="77777777" w:rsidR="004D42F9" w:rsidRDefault="004D42F9">
            <w:r>
              <w:t>Net cash flows from operating activities</w:t>
            </w:r>
          </w:p>
        </w:tc>
        <w:tc>
          <w:tcPr>
            <w:tcW w:w="632" w:type="dxa"/>
          </w:tcPr>
          <w:p w14:paraId="3459527F"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Pr>
          <w:p w14:paraId="61BE99B1" w14:textId="77777777" w:rsidR="004D42F9" w:rsidRDefault="004D42F9">
            <w:pPr>
              <w:cnfStyle w:val="000000000000" w:firstRow="0" w:lastRow="0" w:firstColumn="0" w:lastColumn="0" w:oddVBand="0" w:evenVBand="0" w:oddHBand="0" w:evenHBand="0" w:firstRowFirstColumn="0" w:firstRowLastColumn="0" w:lastRowFirstColumn="0" w:lastRowLastColumn="0"/>
            </w:pPr>
            <w:r>
              <w:t>8 324</w:t>
            </w:r>
          </w:p>
        </w:tc>
        <w:tc>
          <w:tcPr>
            <w:tcW w:w="905" w:type="dxa"/>
          </w:tcPr>
          <w:p w14:paraId="681B070C" w14:textId="77777777" w:rsidR="004D42F9" w:rsidRDefault="004D42F9">
            <w:pPr>
              <w:cnfStyle w:val="000000000000" w:firstRow="0" w:lastRow="0" w:firstColumn="0" w:lastColumn="0" w:oddVBand="0" w:evenVBand="0" w:oddHBand="0" w:evenHBand="0" w:firstRowFirstColumn="0" w:firstRowLastColumn="0" w:lastRowFirstColumn="0" w:lastRowLastColumn="0"/>
            </w:pPr>
            <w:r>
              <w:t>5 249</w:t>
            </w:r>
          </w:p>
        </w:tc>
        <w:tc>
          <w:tcPr>
            <w:tcW w:w="905" w:type="dxa"/>
          </w:tcPr>
          <w:p w14:paraId="6FEA38D7" w14:textId="77777777" w:rsidR="004D42F9" w:rsidRDefault="004D42F9">
            <w:pPr>
              <w:cnfStyle w:val="000000000000" w:firstRow="0" w:lastRow="0" w:firstColumn="0" w:lastColumn="0" w:oddVBand="0" w:evenVBand="0" w:oddHBand="0" w:evenHBand="0" w:firstRowFirstColumn="0" w:firstRowLastColumn="0" w:lastRowFirstColumn="0" w:lastRowLastColumn="0"/>
            </w:pPr>
            <w:r>
              <w:t>3 233</w:t>
            </w:r>
          </w:p>
        </w:tc>
        <w:tc>
          <w:tcPr>
            <w:tcW w:w="905" w:type="dxa"/>
          </w:tcPr>
          <w:p w14:paraId="07937603" w14:textId="77777777" w:rsidR="004D42F9" w:rsidRDefault="004D42F9">
            <w:pPr>
              <w:cnfStyle w:val="000000000000" w:firstRow="0" w:lastRow="0" w:firstColumn="0" w:lastColumn="0" w:oddVBand="0" w:evenVBand="0" w:oddHBand="0" w:evenHBand="0" w:firstRowFirstColumn="0" w:firstRowLastColumn="0" w:lastRowFirstColumn="0" w:lastRowLastColumn="0"/>
            </w:pPr>
            <w:r>
              <w:t>2 623</w:t>
            </w:r>
          </w:p>
        </w:tc>
      </w:tr>
      <w:tr w:rsidR="004D42F9" w14:paraId="08B31B26" w14:textId="77777777" w:rsidTr="00F35ABA">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DA0FE47" w14:textId="77777777" w:rsidR="004D42F9" w:rsidRDefault="004D42F9">
            <w:r>
              <w:t>Net cash flows from investments in non</w:t>
            </w:r>
            <w:r>
              <w:noBreakHyphen/>
              <w:t>financial assets</w:t>
            </w:r>
          </w:p>
        </w:tc>
        <w:tc>
          <w:tcPr>
            <w:tcW w:w="632" w:type="dxa"/>
            <w:tcBorders>
              <w:bottom w:val="single" w:sz="6" w:space="0" w:color="auto"/>
            </w:tcBorders>
          </w:tcPr>
          <w:p w14:paraId="6447CDF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bottom w:val="single" w:sz="6" w:space="0" w:color="auto"/>
            </w:tcBorders>
          </w:tcPr>
          <w:p w14:paraId="31B59DAD" w14:textId="77777777" w:rsidR="004D42F9" w:rsidRDefault="004D42F9">
            <w:pPr>
              <w:cnfStyle w:val="000000000000" w:firstRow="0" w:lastRow="0" w:firstColumn="0" w:lastColumn="0" w:oddVBand="0" w:evenVBand="0" w:oddHBand="0" w:evenHBand="0" w:firstRowFirstColumn="0" w:firstRowLastColumn="0" w:lastRowFirstColumn="0" w:lastRowLastColumn="0"/>
            </w:pPr>
            <w:r>
              <w:t>(21 854)</w:t>
            </w:r>
          </w:p>
        </w:tc>
        <w:tc>
          <w:tcPr>
            <w:tcW w:w="905" w:type="dxa"/>
            <w:tcBorders>
              <w:bottom w:val="single" w:sz="6" w:space="0" w:color="auto"/>
            </w:tcBorders>
          </w:tcPr>
          <w:p w14:paraId="1F6ED5FC" w14:textId="77777777" w:rsidR="004D42F9" w:rsidRDefault="004D42F9">
            <w:pPr>
              <w:cnfStyle w:val="000000000000" w:firstRow="0" w:lastRow="0" w:firstColumn="0" w:lastColumn="0" w:oddVBand="0" w:evenVBand="0" w:oddHBand="0" w:evenHBand="0" w:firstRowFirstColumn="0" w:firstRowLastColumn="0" w:lastRowFirstColumn="0" w:lastRowLastColumn="0"/>
            </w:pPr>
            <w:r>
              <w:t>(22 351)</w:t>
            </w:r>
          </w:p>
        </w:tc>
        <w:tc>
          <w:tcPr>
            <w:tcW w:w="905" w:type="dxa"/>
            <w:tcBorders>
              <w:bottom w:val="single" w:sz="6" w:space="0" w:color="auto"/>
            </w:tcBorders>
          </w:tcPr>
          <w:p w14:paraId="7A13D9BE" w14:textId="77777777" w:rsidR="004D42F9" w:rsidRDefault="004D42F9">
            <w:pPr>
              <w:cnfStyle w:val="000000000000" w:firstRow="0" w:lastRow="0" w:firstColumn="0" w:lastColumn="0" w:oddVBand="0" w:evenVBand="0" w:oddHBand="0" w:evenHBand="0" w:firstRowFirstColumn="0" w:firstRowLastColumn="0" w:lastRowFirstColumn="0" w:lastRowLastColumn="0"/>
            </w:pPr>
            <w:r>
              <w:t>(15 988)</w:t>
            </w:r>
          </w:p>
        </w:tc>
        <w:tc>
          <w:tcPr>
            <w:tcW w:w="905" w:type="dxa"/>
            <w:tcBorders>
              <w:bottom w:val="single" w:sz="6" w:space="0" w:color="auto"/>
            </w:tcBorders>
          </w:tcPr>
          <w:p w14:paraId="66954CE0" w14:textId="77777777" w:rsidR="004D42F9" w:rsidRDefault="004D42F9">
            <w:pPr>
              <w:cnfStyle w:val="000000000000" w:firstRow="0" w:lastRow="0" w:firstColumn="0" w:lastColumn="0" w:oddVBand="0" w:evenVBand="0" w:oddHBand="0" w:evenHBand="0" w:firstRowFirstColumn="0" w:firstRowLastColumn="0" w:lastRowFirstColumn="0" w:lastRowLastColumn="0"/>
            </w:pPr>
            <w:r>
              <w:t>(17 056)</w:t>
            </w:r>
          </w:p>
        </w:tc>
      </w:tr>
      <w:tr w:rsidR="004D42F9" w14:paraId="38A36B8A"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5A253840" w14:textId="77777777" w:rsidR="004D42F9" w:rsidRDefault="004D42F9">
            <w:r>
              <w:rPr>
                <w:b/>
              </w:rPr>
              <w:t>Cash surplus/(deficit)</w:t>
            </w:r>
          </w:p>
        </w:tc>
        <w:tc>
          <w:tcPr>
            <w:tcW w:w="632" w:type="dxa"/>
            <w:tcBorders>
              <w:top w:val="single" w:sz="6" w:space="0" w:color="auto"/>
              <w:bottom w:val="single" w:sz="12" w:space="0" w:color="auto"/>
            </w:tcBorders>
          </w:tcPr>
          <w:p w14:paraId="60EBD8F9"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p>
        </w:tc>
        <w:tc>
          <w:tcPr>
            <w:tcW w:w="904" w:type="dxa"/>
            <w:tcBorders>
              <w:top w:val="single" w:sz="6" w:space="0" w:color="auto"/>
              <w:bottom w:val="single" w:sz="12" w:space="0" w:color="auto"/>
            </w:tcBorders>
          </w:tcPr>
          <w:p w14:paraId="52EFAD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(13 530)</w:t>
            </w:r>
          </w:p>
        </w:tc>
        <w:tc>
          <w:tcPr>
            <w:tcW w:w="905" w:type="dxa"/>
            <w:tcBorders>
              <w:top w:val="single" w:sz="6" w:space="0" w:color="auto"/>
              <w:bottom w:val="single" w:sz="12" w:space="0" w:color="auto"/>
            </w:tcBorders>
          </w:tcPr>
          <w:p w14:paraId="4FE41BC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(17 102)</w:t>
            </w:r>
          </w:p>
        </w:tc>
        <w:tc>
          <w:tcPr>
            <w:tcW w:w="905" w:type="dxa"/>
            <w:tcBorders>
              <w:top w:val="single" w:sz="6" w:space="0" w:color="auto"/>
              <w:bottom w:val="single" w:sz="12" w:space="0" w:color="auto"/>
            </w:tcBorders>
          </w:tcPr>
          <w:p w14:paraId="7D098C0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(12 756)</w:t>
            </w:r>
          </w:p>
        </w:tc>
        <w:tc>
          <w:tcPr>
            <w:tcW w:w="905" w:type="dxa"/>
            <w:tcBorders>
              <w:top w:val="single" w:sz="6" w:space="0" w:color="auto"/>
              <w:bottom w:val="single" w:sz="12" w:space="0" w:color="auto"/>
            </w:tcBorders>
          </w:tcPr>
          <w:p w14:paraId="724E15B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(14 434)</w:t>
            </w:r>
          </w:p>
        </w:tc>
      </w:tr>
    </w:tbl>
    <w:p w14:paraId="70615C2E" w14:textId="77777777" w:rsidR="004D42F9" w:rsidRDefault="004D42F9" w:rsidP="004D42F9">
      <w:pPr>
        <w:pStyle w:val="Source"/>
      </w:pPr>
      <w:r>
        <w:t>The accompanying notes form part of these financial statements.</w:t>
      </w:r>
    </w:p>
    <w:p w14:paraId="621A42C0" w14:textId="77777777" w:rsidR="004D42F9" w:rsidRDefault="004D42F9" w:rsidP="004D42F9">
      <w:pPr>
        <w:pStyle w:val="Note"/>
      </w:pPr>
      <w:r>
        <w:t>Notes:</w:t>
      </w:r>
    </w:p>
    <w:p w14:paraId="247FAB46" w14:textId="77777777" w:rsidR="004D42F9" w:rsidRPr="00027DD0" w:rsidRDefault="004D42F9" w:rsidP="004D42F9">
      <w:pPr>
        <w:pStyle w:val="Note"/>
      </w:pPr>
      <w:r>
        <w:t>(a)</w:t>
      </w:r>
      <w:r>
        <w:tab/>
      </w:r>
      <w:r w:rsidRPr="00027DD0">
        <w:t>These items include goods and services tax.</w:t>
      </w:r>
    </w:p>
    <w:p w14:paraId="50DA6901" w14:textId="77777777" w:rsidR="004D42F9" w:rsidRDefault="004D42F9" w:rsidP="004D42F9">
      <w:pPr>
        <w:pStyle w:val="Note"/>
      </w:pPr>
      <w:r>
        <w:t>(b)</w:t>
      </w:r>
      <w:r>
        <w:tab/>
      </w:r>
      <w:r w:rsidRPr="00B122BD">
        <w:t xml:space="preserve">In accordance with AASB 107 </w:t>
      </w:r>
      <w:r w:rsidRPr="00B122BD">
        <w:rPr>
          <w:i w:val="0"/>
          <w:iCs/>
        </w:rPr>
        <w:t>Statement of Cash Flows</w:t>
      </w:r>
      <w:r w:rsidRPr="00B122BD">
        <w:t>,</w:t>
      </w:r>
      <w:r>
        <w:t xml:space="preserve"> </w:t>
      </w:r>
      <w:r w:rsidRPr="00B122BD">
        <w:t xml:space="preserve">TCV has reported its cash flow information for whole of government consolidation purposes on a net basis for both financial years ended 30 June </w:t>
      </w:r>
      <w:r>
        <w:t>2024</w:t>
      </w:r>
      <w:r w:rsidRPr="00B122BD">
        <w:t xml:space="preserve"> and 30 June </w:t>
      </w:r>
      <w:r>
        <w:t>2025.</w:t>
      </w:r>
    </w:p>
    <w:p w14:paraId="65FB3DA0" w14:textId="01282477" w:rsidR="004D42F9" w:rsidRDefault="004D42F9" w:rsidP="004D42F9">
      <w:pPr>
        <w:pStyle w:val="Note"/>
      </w:pPr>
      <w:r>
        <w:t>(c)</w:t>
      </w:r>
      <w:r>
        <w:tab/>
      </w:r>
      <w:r w:rsidRPr="00291CC9">
        <w:t xml:space="preserve">The June 2024 figures </w:t>
      </w:r>
      <w:r w:rsidRPr="00797830">
        <w:t>have been reclassified between borrowings</w:t>
      </w:r>
      <w:r w:rsidRPr="00291CC9">
        <w:t xml:space="preserve"> received and </w:t>
      </w:r>
      <w:r w:rsidRPr="00797830">
        <w:t>borrowings</w:t>
      </w:r>
      <w:r w:rsidRPr="00291CC9">
        <w:t xml:space="preserve"> repaid to more </w:t>
      </w:r>
      <w:r w:rsidR="007C0D91">
        <w:t>accurately</w:t>
      </w:r>
      <w:r w:rsidRPr="00291CC9">
        <w:t xml:space="preserve"> reflect the nature of the cash</w:t>
      </w:r>
      <w:r w:rsidR="00A118CF">
        <w:t xml:space="preserve"> </w:t>
      </w:r>
      <w:r w:rsidRPr="00291CC9">
        <w:t>flows.</w:t>
      </w:r>
    </w:p>
    <w:p w14:paraId="72782366" w14:textId="77777777" w:rsidR="004D42F9" w:rsidRDefault="004D42F9" w:rsidP="004D42F9">
      <w:pPr>
        <w:pStyle w:val="Note"/>
      </w:pPr>
      <w:r>
        <w:t xml:space="preserve">(d) </w:t>
      </w:r>
      <w:r>
        <w:tab/>
        <w:t xml:space="preserve">On 1 July 2024, the previous State Electricity Commission of Victoria, established under the </w:t>
      </w:r>
      <w:r w:rsidRPr="00DA3717">
        <w:rPr>
          <w:i w:val="0"/>
        </w:rPr>
        <w:t xml:space="preserve">State Electricity Commission Act 1958 (SEC Act) </w:t>
      </w:r>
      <w:r>
        <w:t xml:space="preserve">was abolished by the commencement of the </w:t>
      </w:r>
      <w:r w:rsidRPr="00DA3717">
        <w:rPr>
          <w:i w:val="0"/>
        </w:rPr>
        <w:t>State Electricity Commission Amendment Act 2024</w:t>
      </w:r>
      <w:r>
        <w:t xml:space="preserve"> and the residual financial assets were transferred to the Department of Energy, Environment and Climate Action. This has resulted in the 1 July 2024 opening balance not equalling the 30 June closing balance.</w:t>
      </w:r>
    </w:p>
    <w:p w14:paraId="05F2FF10" w14:textId="77777777" w:rsidR="004D42F9" w:rsidRDefault="004D42F9" w:rsidP="004D42F9">
      <w:pPr>
        <w:pStyle w:val="Note"/>
      </w:pPr>
    </w:p>
    <w:p w14:paraId="562FB7CB" w14:textId="77777777" w:rsidR="004D42F9" w:rsidRDefault="004D42F9" w:rsidP="004D42F9">
      <w:pPr>
        <w:pStyle w:val="Note"/>
      </w:pPr>
    </w:p>
    <w:p w14:paraId="7FAABC50" w14:textId="77777777" w:rsidR="004D42F9" w:rsidRDefault="004D42F9" w:rsidP="004D42F9">
      <w:pPr>
        <w:pStyle w:val="Heading1"/>
        <w:pageBreakBefore/>
      </w:pPr>
      <w:bookmarkStart w:id="48" w:name="ConsolidatedSOCIE"/>
      <w:bookmarkStart w:id="49" w:name="_Toc176189350"/>
      <w:bookmarkStart w:id="50" w:name="_Toc203394895"/>
      <w:r>
        <w:lastRenderedPageBreak/>
        <w:t>Consolidated statement of changes in equity</w:t>
      </w:r>
      <w:bookmarkEnd w:id="48"/>
      <w:bookmarkEnd w:id="49"/>
      <w:bookmarkEnd w:id="50"/>
    </w:p>
    <w:p w14:paraId="54073389" w14:textId="77777777" w:rsidR="004D42F9" w:rsidRDefault="004D42F9" w:rsidP="004D42F9">
      <w:pPr>
        <w:pStyle w:val="TableHeading"/>
      </w:pPr>
      <w:r>
        <w:t>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OCIE/Link_AFR_SOCIE.xlsx|Table:SOCIE_SoV"/>
      </w:tblPr>
      <w:tblGrid>
        <w:gridCol w:w="3402"/>
        <w:gridCol w:w="1276"/>
        <w:gridCol w:w="1559"/>
        <w:gridCol w:w="1587"/>
        <w:gridCol w:w="907"/>
        <w:gridCol w:w="907"/>
      </w:tblGrid>
      <w:tr w:rsidR="002F56B2" w14:paraId="5404DC3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3350ECF5" w14:textId="77777777" w:rsidR="004D42F9" w:rsidRDefault="004D42F9">
            <w:pPr>
              <w:keepNext/>
            </w:pPr>
            <w:r>
              <w:t>State of Victoria</w:t>
            </w:r>
          </w:p>
        </w:tc>
        <w:tc>
          <w:tcPr>
            <w:tcW w:w="1276" w:type="dxa"/>
            <w:tcBorders>
              <w:top w:val="single" w:sz="6" w:space="0" w:color="auto"/>
            </w:tcBorders>
          </w:tcPr>
          <w:p w14:paraId="429F32D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559" w:type="dxa"/>
            <w:tcBorders>
              <w:top w:val="single" w:sz="6" w:space="0" w:color="auto"/>
            </w:tcBorders>
          </w:tcPr>
          <w:p w14:paraId="706E590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87" w:type="dxa"/>
            <w:tcBorders>
              <w:top w:val="single" w:sz="6" w:space="0" w:color="auto"/>
            </w:tcBorders>
          </w:tcPr>
          <w:p w14:paraId="5459D26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907" w:type="dxa"/>
            <w:tcBorders>
              <w:top w:val="single" w:sz="6" w:space="0" w:color="auto"/>
            </w:tcBorders>
          </w:tcPr>
          <w:p w14:paraId="14E9C59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Other reserves</w:t>
            </w:r>
          </w:p>
        </w:tc>
        <w:tc>
          <w:tcPr>
            <w:tcW w:w="907" w:type="dxa"/>
            <w:tcBorders>
              <w:top w:val="single" w:sz="6" w:space="0" w:color="auto"/>
            </w:tcBorders>
          </w:tcPr>
          <w:p w14:paraId="674EC5B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Total</w:t>
            </w:r>
          </w:p>
        </w:tc>
      </w:tr>
      <w:tr w:rsidR="004D42F9" w14:paraId="2BE92B61" w14:textId="77777777">
        <w:tc>
          <w:tcPr>
            <w:cnfStyle w:val="001000000000" w:firstRow="0" w:lastRow="0" w:firstColumn="1" w:lastColumn="0" w:oddVBand="0" w:evenVBand="0" w:oddHBand="0" w:evenHBand="0" w:firstRowFirstColumn="0" w:firstRowLastColumn="0" w:lastRowFirstColumn="0" w:lastRowLastColumn="0"/>
            <w:tcW w:w="3402" w:type="dxa"/>
          </w:tcPr>
          <w:p w14:paraId="59813426" w14:textId="77777777" w:rsidR="004D42F9" w:rsidRDefault="004D42F9">
            <w:r>
              <w:rPr>
                <w:b/>
              </w:rPr>
              <w:t>2025</w:t>
            </w:r>
          </w:p>
        </w:tc>
        <w:tc>
          <w:tcPr>
            <w:tcW w:w="1276" w:type="dxa"/>
          </w:tcPr>
          <w:p w14:paraId="4CBA6D8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559" w:type="dxa"/>
          </w:tcPr>
          <w:p w14:paraId="2709623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587" w:type="dxa"/>
          </w:tcPr>
          <w:p w14:paraId="2E0A717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1B08C2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CFD491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82AEDAE" w14:textId="77777777">
        <w:tc>
          <w:tcPr>
            <w:cnfStyle w:val="001000000000" w:firstRow="0" w:lastRow="0" w:firstColumn="1" w:lastColumn="0" w:oddVBand="0" w:evenVBand="0" w:oddHBand="0" w:evenHBand="0" w:firstRowFirstColumn="0" w:firstRowLastColumn="0" w:lastRowFirstColumn="0" w:lastRowLastColumn="0"/>
            <w:tcW w:w="3402" w:type="dxa"/>
          </w:tcPr>
          <w:p w14:paraId="2B31FB09" w14:textId="77777777" w:rsidR="004D42F9" w:rsidRDefault="004D42F9">
            <w:r>
              <w:rPr>
                <w:b/>
              </w:rPr>
              <w:t>Balance at 1 July 2024</w:t>
            </w:r>
          </w:p>
        </w:tc>
        <w:tc>
          <w:tcPr>
            <w:tcW w:w="1276" w:type="dxa"/>
          </w:tcPr>
          <w:p w14:paraId="3778571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76 281</w:t>
            </w:r>
          </w:p>
        </w:tc>
        <w:tc>
          <w:tcPr>
            <w:tcW w:w="1559" w:type="dxa"/>
          </w:tcPr>
          <w:p w14:paraId="1EB210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161 192</w:t>
            </w:r>
          </w:p>
        </w:tc>
        <w:tc>
          <w:tcPr>
            <w:tcW w:w="1587" w:type="dxa"/>
          </w:tcPr>
          <w:p w14:paraId="303D72E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06EF85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2 432</w:t>
            </w:r>
          </w:p>
        </w:tc>
        <w:tc>
          <w:tcPr>
            <w:tcW w:w="907" w:type="dxa"/>
          </w:tcPr>
          <w:p w14:paraId="7C3A005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239 904</w:t>
            </w:r>
          </w:p>
        </w:tc>
      </w:tr>
      <w:tr w:rsidR="004D42F9" w14:paraId="527B5E62" w14:textId="77777777">
        <w:tc>
          <w:tcPr>
            <w:cnfStyle w:val="001000000000" w:firstRow="0" w:lastRow="0" w:firstColumn="1" w:lastColumn="0" w:oddVBand="0" w:evenVBand="0" w:oddHBand="0" w:evenHBand="0" w:firstRowFirstColumn="0" w:firstRowLastColumn="0" w:lastRowFirstColumn="0" w:lastRowLastColumn="0"/>
            <w:tcW w:w="3402" w:type="dxa"/>
          </w:tcPr>
          <w:p w14:paraId="01ED065B" w14:textId="77777777" w:rsidR="004D42F9" w:rsidRDefault="004D42F9">
            <w:r>
              <w:t>Opening balance adjustment</w:t>
            </w:r>
            <w:r>
              <w:rPr>
                <w:b/>
                <w:vertAlign w:val="superscript"/>
              </w:rPr>
              <w:t xml:space="preserve"> </w:t>
            </w:r>
            <w:r>
              <w:rPr>
                <w:vertAlign w:val="superscript"/>
              </w:rPr>
              <w:t>(a)(b)</w:t>
            </w:r>
          </w:p>
        </w:tc>
        <w:tc>
          <w:tcPr>
            <w:tcW w:w="1276" w:type="dxa"/>
          </w:tcPr>
          <w:p w14:paraId="7D1971E0" w14:textId="77777777" w:rsidR="004D42F9" w:rsidRDefault="004D42F9">
            <w:pPr>
              <w:cnfStyle w:val="000000000000" w:firstRow="0" w:lastRow="0" w:firstColumn="0" w:lastColumn="0" w:oddVBand="0" w:evenVBand="0" w:oddHBand="0" w:evenHBand="0" w:firstRowFirstColumn="0" w:firstRowLastColumn="0" w:lastRowFirstColumn="0" w:lastRowLastColumn="0"/>
            </w:pPr>
            <w:r>
              <w:t>215</w:t>
            </w:r>
          </w:p>
        </w:tc>
        <w:tc>
          <w:tcPr>
            <w:tcW w:w="1559" w:type="dxa"/>
          </w:tcPr>
          <w:p w14:paraId="54328DA5" w14:textId="77777777" w:rsidR="004D42F9" w:rsidRDefault="004D42F9">
            <w:pPr>
              <w:cnfStyle w:val="000000000000" w:firstRow="0" w:lastRow="0" w:firstColumn="0" w:lastColumn="0" w:oddVBand="0" w:evenVBand="0" w:oddHBand="0" w:evenHBand="0" w:firstRowFirstColumn="0" w:firstRowLastColumn="0" w:lastRowFirstColumn="0" w:lastRowLastColumn="0"/>
            </w:pPr>
            <w:r>
              <w:t>(211)</w:t>
            </w:r>
          </w:p>
        </w:tc>
        <w:tc>
          <w:tcPr>
            <w:tcW w:w="1587" w:type="dxa"/>
          </w:tcPr>
          <w:p w14:paraId="3270D9A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5B501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1C231A"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r>
      <w:tr w:rsidR="004D42F9" w14:paraId="0FAC1866" w14:textId="77777777">
        <w:tc>
          <w:tcPr>
            <w:cnfStyle w:val="001000000000" w:firstRow="0" w:lastRow="0" w:firstColumn="1" w:lastColumn="0" w:oddVBand="0" w:evenVBand="0" w:oddHBand="0" w:evenHBand="0" w:firstRowFirstColumn="0" w:firstRowLastColumn="0" w:lastRowFirstColumn="0" w:lastRowLastColumn="0"/>
            <w:tcW w:w="3402" w:type="dxa"/>
          </w:tcPr>
          <w:p w14:paraId="61E0A972" w14:textId="77777777" w:rsidR="004D42F9" w:rsidRDefault="004D42F9">
            <w:r>
              <w:rPr>
                <w:b/>
              </w:rPr>
              <w:t>Restated balance at 1 July 2024</w:t>
            </w:r>
          </w:p>
        </w:tc>
        <w:tc>
          <w:tcPr>
            <w:tcW w:w="1276" w:type="dxa"/>
          </w:tcPr>
          <w:p w14:paraId="02D16C7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76 495</w:t>
            </w:r>
          </w:p>
        </w:tc>
        <w:tc>
          <w:tcPr>
            <w:tcW w:w="1559" w:type="dxa"/>
          </w:tcPr>
          <w:p w14:paraId="373A898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160 980</w:t>
            </w:r>
          </w:p>
        </w:tc>
        <w:tc>
          <w:tcPr>
            <w:tcW w:w="1587" w:type="dxa"/>
          </w:tcPr>
          <w:p w14:paraId="5BBA4B9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4F2F1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2 432</w:t>
            </w:r>
          </w:p>
        </w:tc>
        <w:tc>
          <w:tcPr>
            <w:tcW w:w="907" w:type="dxa"/>
          </w:tcPr>
          <w:p w14:paraId="4722733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239 908</w:t>
            </w:r>
          </w:p>
        </w:tc>
      </w:tr>
      <w:tr w:rsidR="004D42F9" w14:paraId="7BFC05B0" w14:textId="77777777">
        <w:tc>
          <w:tcPr>
            <w:cnfStyle w:val="001000000000" w:firstRow="0" w:lastRow="0" w:firstColumn="1" w:lastColumn="0" w:oddVBand="0" w:evenVBand="0" w:oddHBand="0" w:evenHBand="0" w:firstRowFirstColumn="0" w:firstRowLastColumn="0" w:lastRowFirstColumn="0" w:lastRowLastColumn="0"/>
            <w:tcW w:w="3402" w:type="dxa"/>
          </w:tcPr>
          <w:p w14:paraId="5830B2BB" w14:textId="77777777" w:rsidR="004D42F9" w:rsidRDefault="004D42F9">
            <w:r>
              <w:t>Net result for the year</w:t>
            </w:r>
          </w:p>
        </w:tc>
        <w:tc>
          <w:tcPr>
            <w:tcW w:w="1276" w:type="dxa"/>
          </w:tcPr>
          <w:p w14:paraId="5F459A2E" w14:textId="77777777" w:rsidR="004D42F9" w:rsidRDefault="004D42F9">
            <w:pPr>
              <w:cnfStyle w:val="000000000000" w:firstRow="0" w:lastRow="0" w:firstColumn="0" w:lastColumn="0" w:oddVBand="0" w:evenVBand="0" w:oddHBand="0" w:evenHBand="0" w:firstRowFirstColumn="0" w:firstRowLastColumn="0" w:lastRowFirstColumn="0" w:lastRowLastColumn="0"/>
            </w:pPr>
            <w:r>
              <w:t>(7 696)</w:t>
            </w:r>
          </w:p>
        </w:tc>
        <w:tc>
          <w:tcPr>
            <w:tcW w:w="1559" w:type="dxa"/>
          </w:tcPr>
          <w:p w14:paraId="0C38C64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791B7D6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A638E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E0B13B" w14:textId="77777777" w:rsidR="004D42F9" w:rsidRDefault="004D42F9">
            <w:pPr>
              <w:cnfStyle w:val="000000000000" w:firstRow="0" w:lastRow="0" w:firstColumn="0" w:lastColumn="0" w:oddVBand="0" w:evenVBand="0" w:oddHBand="0" w:evenHBand="0" w:firstRowFirstColumn="0" w:firstRowLastColumn="0" w:lastRowFirstColumn="0" w:lastRowLastColumn="0"/>
            </w:pPr>
            <w:r>
              <w:t>(7 696)</w:t>
            </w:r>
          </w:p>
        </w:tc>
      </w:tr>
      <w:tr w:rsidR="004D42F9" w14:paraId="7189C570" w14:textId="77777777">
        <w:tc>
          <w:tcPr>
            <w:cnfStyle w:val="001000000000" w:firstRow="0" w:lastRow="0" w:firstColumn="1" w:lastColumn="0" w:oddVBand="0" w:evenVBand="0" w:oddHBand="0" w:evenHBand="0" w:firstRowFirstColumn="0" w:firstRowLastColumn="0" w:lastRowFirstColumn="0" w:lastRowLastColumn="0"/>
            <w:tcW w:w="3402" w:type="dxa"/>
          </w:tcPr>
          <w:p w14:paraId="0E73284D" w14:textId="77777777" w:rsidR="004D42F9" w:rsidRDefault="004D42F9">
            <w:r w:rsidRPr="0079402E">
              <w:t>Other comprehensive income for the year</w:t>
            </w:r>
          </w:p>
        </w:tc>
        <w:tc>
          <w:tcPr>
            <w:tcW w:w="1276" w:type="dxa"/>
          </w:tcPr>
          <w:p w14:paraId="72DDD315"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79402E">
              <w:t>628</w:t>
            </w:r>
          </w:p>
        </w:tc>
        <w:tc>
          <w:tcPr>
            <w:tcW w:w="1559" w:type="dxa"/>
          </w:tcPr>
          <w:p w14:paraId="42F7C6E9"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79402E">
              <w:t>48 453</w:t>
            </w:r>
          </w:p>
        </w:tc>
        <w:tc>
          <w:tcPr>
            <w:tcW w:w="1587" w:type="dxa"/>
          </w:tcPr>
          <w:p w14:paraId="3696C345"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79402E">
              <w:t>..</w:t>
            </w:r>
          </w:p>
        </w:tc>
        <w:tc>
          <w:tcPr>
            <w:tcW w:w="907" w:type="dxa"/>
          </w:tcPr>
          <w:p w14:paraId="50CDF3C0"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79402E">
              <w:t>122</w:t>
            </w:r>
          </w:p>
        </w:tc>
        <w:tc>
          <w:tcPr>
            <w:tcW w:w="907" w:type="dxa"/>
          </w:tcPr>
          <w:p w14:paraId="080CE3BF"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79402E">
              <w:t>49 203</w:t>
            </w:r>
          </w:p>
        </w:tc>
      </w:tr>
      <w:tr w:rsidR="004D42F9" w14:paraId="7ED257F9" w14:textId="77777777">
        <w:tc>
          <w:tcPr>
            <w:cnfStyle w:val="001000000000" w:firstRow="0" w:lastRow="0" w:firstColumn="1" w:lastColumn="0" w:oddVBand="0" w:evenVBand="0" w:oddHBand="0" w:evenHBand="0" w:firstRowFirstColumn="0" w:firstRowLastColumn="0" w:lastRowFirstColumn="0" w:lastRowLastColumn="0"/>
            <w:tcW w:w="3402" w:type="dxa"/>
          </w:tcPr>
          <w:p w14:paraId="4D685C96" w14:textId="77777777" w:rsidR="004D42F9" w:rsidRDefault="004D42F9">
            <w:r>
              <w:t>Transfer to/(from) accumulated surplus</w:t>
            </w:r>
          </w:p>
        </w:tc>
        <w:tc>
          <w:tcPr>
            <w:tcW w:w="1276" w:type="dxa"/>
          </w:tcPr>
          <w:p w14:paraId="37B4CCEC"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1559" w:type="dxa"/>
          </w:tcPr>
          <w:p w14:paraId="2E2638D3"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1587" w:type="dxa"/>
          </w:tcPr>
          <w:p w14:paraId="0B5ECE3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1B075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F4DD1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13A03D51"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14:paraId="6685FA7E" w14:textId="77777777" w:rsidR="004D42F9" w:rsidRDefault="004D42F9">
            <w:r>
              <w:rPr>
                <w:b/>
              </w:rPr>
              <w:t>Balance at 30 June 2025</w:t>
            </w:r>
          </w:p>
        </w:tc>
        <w:tc>
          <w:tcPr>
            <w:tcW w:w="1276" w:type="dxa"/>
            <w:tcBorders>
              <w:top w:val="single" w:sz="6" w:space="0" w:color="auto"/>
              <w:bottom w:val="single" w:sz="6" w:space="0" w:color="auto"/>
            </w:tcBorders>
          </w:tcPr>
          <w:p w14:paraId="3CE7AA8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69 466</w:t>
            </w:r>
          </w:p>
        </w:tc>
        <w:tc>
          <w:tcPr>
            <w:tcW w:w="1559" w:type="dxa"/>
            <w:tcBorders>
              <w:top w:val="single" w:sz="6" w:space="0" w:color="auto"/>
              <w:bottom w:val="single" w:sz="6" w:space="0" w:color="auto"/>
            </w:tcBorders>
          </w:tcPr>
          <w:p w14:paraId="1E861FC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209 395</w:t>
            </w:r>
          </w:p>
        </w:tc>
        <w:tc>
          <w:tcPr>
            <w:tcW w:w="1587" w:type="dxa"/>
            <w:tcBorders>
              <w:top w:val="single" w:sz="6" w:space="0" w:color="auto"/>
              <w:bottom w:val="single" w:sz="6" w:space="0" w:color="auto"/>
            </w:tcBorders>
          </w:tcPr>
          <w:p w14:paraId="1A7E4FF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6" w:space="0" w:color="auto"/>
            </w:tcBorders>
          </w:tcPr>
          <w:p w14:paraId="7ACD95E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2 554</w:t>
            </w:r>
          </w:p>
        </w:tc>
        <w:tc>
          <w:tcPr>
            <w:tcW w:w="907" w:type="dxa"/>
            <w:tcBorders>
              <w:top w:val="single" w:sz="6" w:space="0" w:color="auto"/>
              <w:bottom w:val="single" w:sz="6" w:space="0" w:color="auto"/>
            </w:tcBorders>
          </w:tcPr>
          <w:p w14:paraId="3BFDD34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281 414</w:t>
            </w:r>
          </w:p>
        </w:tc>
      </w:tr>
      <w:tr w:rsidR="004D42F9" w14:paraId="30AC86A4"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055D0813" w14:textId="77777777" w:rsidR="004D42F9" w:rsidRDefault="004D42F9" w:rsidP="00F35ABA">
            <w:pPr>
              <w:spacing w:before="120"/>
            </w:pPr>
            <w:r>
              <w:rPr>
                <w:b/>
              </w:rPr>
              <w:t>2024</w:t>
            </w:r>
          </w:p>
        </w:tc>
        <w:tc>
          <w:tcPr>
            <w:tcW w:w="1276" w:type="dxa"/>
            <w:tcBorders>
              <w:top w:val="single" w:sz="6" w:space="0" w:color="auto"/>
            </w:tcBorders>
          </w:tcPr>
          <w:p w14:paraId="5D0B647E" w14:textId="77777777" w:rsidR="004D42F9" w:rsidRDefault="004D42F9" w:rsidP="00F35ABA">
            <w:pPr>
              <w:spacing w:before="120"/>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191B1A54" w14:textId="77777777" w:rsidR="004D42F9" w:rsidRDefault="004D42F9" w:rsidP="00F35ABA">
            <w:pPr>
              <w:spacing w:before="120"/>
              <w:cnfStyle w:val="000000000000" w:firstRow="0"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3FCDD937" w14:textId="77777777" w:rsidR="004D42F9" w:rsidRDefault="004D42F9" w:rsidP="00F35ABA">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712DE82" w14:textId="77777777" w:rsidR="004D42F9" w:rsidRDefault="004D42F9" w:rsidP="00F35ABA">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9EEFEAA" w14:textId="77777777" w:rsidR="004D42F9" w:rsidRDefault="004D42F9" w:rsidP="00F35ABA">
            <w:pPr>
              <w:spacing w:before="120"/>
              <w:cnfStyle w:val="000000000000" w:firstRow="0" w:lastRow="0" w:firstColumn="0" w:lastColumn="0" w:oddVBand="0" w:evenVBand="0" w:oddHBand="0" w:evenHBand="0" w:firstRowFirstColumn="0" w:firstRowLastColumn="0" w:lastRowFirstColumn="0" w:lastRowLastColumn="0"/>
            </w:pPr>
          </w:p>
        </w:tc>
      </w:tr>
      <w:tr w:rsidR="004D42F9" w14:paraId="3A81186A" w14:textId="77777777">
        <w:tc>
          <w:tcPr>
            <w:cnfStyle w:val="001000000000" w:firstRow="0" w:lastRow="0" w:firstColumn="1" w:lastColumn="0" w:oddVBand="0" w:evenVBand="0" w:oddHBand="0" w:evenHBand="0" w:firstRowFirstColumn="0" w:firstRowLastColumn="0" w:lastRowFirstColumn="0" w:lastRowLastColumn="0"/>
            <w:tcW w:w="3402" w:type="dxa"/>
          </w:tcPr>
          <w:p w14:paraId="65B614F9" w14:textId="77777777" w:rsidR="004D42F9" w:rsidRDefault="004D42F9">
            <w:r>
              <w:rPr>
                <w:b/>
              </w:rPr>
              <w:t>Balance at 1 July 2023</w:t>
            </w:r>
          </w:p>
        </w:tc>
        <w:tc>
          <w:tcPr>
            <w:tcW w:w="1276" w:type="dxa"/>
          </w:tcPr>
          <w:p w14:paraId="154F74A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80 106</w:t>
            </w:r>
          </w:p>
        </w:tc>
        <w:tc>
          <w:tcPr>
            <w:tcW w:w="1559" w:type="dxa"/>
          </w:tcPr>
          <w:p w14:paraId="243B804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151 951</w:t>
            </w:r>
          </w:p>
        </w:tc>
        <w:tc>
          <w:tcPr>
            <w:tcW w:w="1587" w:type="dxa"/>
          </w:tcPr>
          <w:p w14:paraId="19B56B4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FE0645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2 139</w:t>
            </w:r>
          </w:p>
        </w:tc>
        <w:tc>
          <w:tcPr>
            <w:tcW w:w="907" w:type="dxa"/>
          </w:tcPr>
          <w:p w14:paraId="3E75711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234 196</w:t>
            </w:r>
          </w:p>
        </w:tc>
      </w:tr>
      <w:tr w:rsidR="004D42F9" w14:paraId="0F882A29" w14:textId="77777777">
        <w:tc>
          <w:tcPr>
            <w:cnfStyle w:val="001000000000" w:firstRow="0" w:lastRow="0" w:firstColumn="1" w:lastColumn="0" w:oddVBand="0" w:evenVBand="0" w:oddHBand="0" w:evenHBand="0" w:firstRowFirstColumn="0" w:firstRowLastColumn="0" w:lastRowFirstColumn="0" w:lastRowLastColumn="0"/>
            <w:tcW w:w="3402" w:type="dxa"/>
          </w:tcPr>
          <w:p w14:paraId="05925ACD" w14:textId="77777777" w:rsidR="004D42F9" w:rsidRDefault="004D42F9">
            <w:r>
              <w:t>Net result for the year</w:t>
            </w:r>
          </w:p>
        </w:tc>
        <w:tc>
          <w:tcPr>
            <w:tcW w:w="1276" w:type="dxa"/>
          </w:tcPr>
          <w:p w14:paraId="5AB2181A" w14:textId="77777777" w:rsidR="004D42F9" w:rsidRDefault="004D42F9">
            <w:pPr>
              <w:cnfStyle w:val="000000000000" w:firstRow="0" w:lastRow="0" w:firstColumn="0" w:lastColumn="0" w:oddVBand="0" w:evenVBand="0" w:oddHBand="0" w:evenHBand="0" w:firstRowFirstColumn="0" w:firstRowLastColumn="0" w:lastRowFirstColumn="0" w:lastRowLastColumn="0"/>
            </w:pPr>
            <w:r>
              <w:t>(5 540)</w:t>
            </w:r>
          </w:p>
        </w:tc>
        <w:tc>
          <w:tcPr>
            <w:tcW w:w="1559" w:type="dxa"/>
          </w:tcPr>
          <w:p w14:paraId="7D538F0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09A3343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516399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ACC82C" w14:textId="77777777" w:rsidR="004D42F9" w:rsidRDefault="004D42F9">
            <w:pPr>
              <w:cnfStyle w:val="000000000000" w:firstRow="0" w:lastRow="0" w:firstColumn="0" w:lastColumn="0" w:oddVBand="0" w:evenVBand="0" w:oddHBand="0" w:evenHBand="0" w:firstRowFirstColumn="0" w:firstRowLastColumn="0" w:lastRowFirstColumn="0" w:lastRowLastColumn="0"/>
            </w:pPr>
            <w:r>
              <w:t>(5 540)</w:t>
            </w:r>
          </w:p>
        </w:tc>
      </w:tr>
      <w:tr w:rsidR="004D42F9" w14:paraId="2319551A" w14:textId="77777777">
        <w:tc>
          <w:tcPr>
            <w:cnfStyle w:val="001000000000" w:firstRow="0" w:lastRow="0" w:firstColumn="1" w:lastColumn="0" w:oddVBand="0" w:evenVBand="0" w:oddHBand="0" w:evenHBand="0" w:firstRowFirstColumn="0" w:firstRowLastColumn="0" w:lastRowFirstColumn="0" w:lastRowLastColumn="0"/>
            <w:tcW w:w="3402" w:type="dxa"/>
          </w:tcPr>
          <w:p w14:paraId="75C62921" w14:textId="77777777" w:rsidR="004D42F9" w:rsidRDefault="004D42F9">
            <w:r>
              <w:t>Other comprehensive income for the year</w:t>
            </w:r>
          </w:p>
        </w:tc>
        <w:tc>
          <w:tcPr>
            <w:tcW w:w="1276" w:type="dxa"/>
          </w:tcPr>
          <w:p w14:paraId="4E24C6B5" w14:textId="77777777" w:rsidR="004D42F9" w:rsidRDefault="004D42F9">
            <w:pPr>
              <w:cnfStyle w:val="000000000000" w:firstRow="0" w:lastRow="0" w:firstColumn="0" w:lastColumn="0" w:oddVBand="0" w:evenVBand="0" w:oddHBand="0" w:evenHBand="0" w:firstRowFirstColumn="0" w:firstRowLastColumn="0" w:lastRowFirstColumn="0" w:lastRowLastColumn="0"/>
            </w:pPr>
            <w:r>
              <w:t>1 329</w:t>
            </w:r>
          </w:p>
        </w:tc>
        <w:tc>
          <w:tcPr>
            <w:tcW w:w="1559" w:type="dxa"/>
          </w:tcPr>
          <w:p w14:paraId="73E7E0FF" w14:textId="77777777" w:rsidR="004D42F9" w:rsidRDefault="004D42F9">
            <w:pPr>
              <w:cnfStyle w:val="000000000000" w:firstRow="0" w:lastRow="0" w:firstColumn="0" w:lastColumn="0" w:oddVBand="0" w:evenVBand="0" w:oddHBand="0" w:evenHBand="0" w:firstRowFirstColumn="0" w:firstRowLastColumn="0" w:lastRowFirstColumn="0" w:lastRowLastColumn="0"/>
            </w:pPr>
            <w:r>
              <w:t>9 626</w:t>
            </w:r>
          </w:p>
        </w:tc>
        <w:tc>
          <w:tcPr>
            <w:tcW w:w="1587" w:type="dxa"/>
          </w:tcPr>
          <w:p w14:paraId="21AF8F4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1834FD" w14:textId="77777777" w:rsidR="004D42F9" w:rsidRDefault="004D42F9">
            <w:pPr>
              <w:cnfStyle w:val="000000000000" w:firstRow="0" w:lastRow="0" w:firstColumn="0" w:lastColumn="0" w:oddVBand="0" w:evenVBand="0" w:oddHBand="0" w:evenHBand="0" w:firstRowFirstColumn="0" w:firstRowLastColumn="0" w:lastRowFirstColumn="0" w:lastRowLastColumn="0"/>
            </w:pPr>
            <w:r>
              <w:t>293</w:t>
            </w:r>
          </w:p>
        </w:tc>
        <w:tc>
          <w:tcPr>
            <w:tcW w:w="907" w:type="dxa"/>
          </w:tcPr>
          <w:p w14:paraId="26B5AF78" w14:textId="77777777" w:rsidR="004D42F9" w:rsidRDefault="004D42F9">
            <w:pPr>
              <w:cnfStyle w:val="000000000000" w:firstRow="0" w:lastRow="0" w:firstColumn="0" w:lastColumn="0" w:oddVBand="0" w:evenVBand="0" w:oddHBand="0" w:evenHBand="0" w:firstRowFirstColumn="0" w:firstRowLastColumn="0" w:lastRowFirstColumn="0" w:lastRowLastColumn="0"/>
            </w:pPr>
            <w:r>
              <w:t>11 248</w:t>
            </w:r>
          </w:p>
        </w:tc>
      </w:tr>
      <w:tr w:rsidR="004D42F9" w14:paraId="6AF3C7BC" w14:textId="77777777">
        <w:tc>
          <w:tcPr>
            <w:cnfStyle w:val="001000000000" w:firstRow="0" w:lastRow="0" w:firstColumn="1" w:lastColumn="0" w:oddVBand="0" w:evenVBand="0" w:oddHBand="0" w:evenHBand="0" w:firstRowFirstColumn="0" w:firstRowLastColumn="0" w:lastRowFirstColumn="0" w:lastRowLastColumn="0"/>
            <w:tcW w:w="3402" w:type="dxa"/>
          </w:tcPr>
          <w:p w14:paraId="1DE29D5D" w14:textId="77777777" w:rsidR="004D42F9" w:rsidRDefault="004D42F9">
            <w:r>
              <w:t>Transfer to/(from) accumulated surplus</w:t>
            </w:r>
          </w:p>
        </w:tc>
        <w:tc>
          <w:tcPr>
            <w:tcW w:w="1276" w:type="dxa"/>
          </w:tcPr>
          <w:p w14:paraId="19BBC73D" w14:textId="77777777" w:rsidR="004D42F9" w:rsidRDefault="004D42F9">
            <w:pPr>
              <w:cnfStyle w:val="000000000000" w:firstRow="0" w:lastRow="0" w:firstColumn="0" w:lastColumn="0" w:oddVBand="0" w:evenVBand="0" w:oddHBand="0" w:evenHBand="0" w:firstRowFirstColumn="0" w:firstRowLastColumn="0" w:lastRowFirstColumn="0" w:lastRowLastColumn="0"/>
            </w:pPr>
            <w:r>
              <w:t>385</w:t>
            </w:r>
          </w:p>
        </w:tc>
        <w:tc>
          <w:tcPr>
            <w:tcW w:w="1559" w:type="dxa"/>
          </w:tcPr>
          <w:p w14:paraId="53D72974" w14:textId="77777777" w:rsidR="004D42F9" w:rsidRDefault="004D42F9">
            <w:pPr>
              <w:cnfStyle w:val="000000000000" w:firstRow="0" w:lastRow="0" w:firstColumn="0" w:lastColumn="0" w:oddVBand="0" w:evenVBand="0" w:oddHBand="0" w:evenHBand="0" w:firstRowFirstColumn="0" w:firstRowLastColumn="0" w:lastRowFirstColumn="0" w:lastRowLastColumn="0"/>
            </w:pPr>
            <w:r>
              <w:t>(385)</w:t>
            </w:r>
          </w:p>
        </w:tc>
        <w:tc>
          <w:tcPr>
            <w:tcW w:w="1587" w:type="dxa"/>
          </w:tcPr>
          <w:p w14:paraId="005E2D1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7F5B9E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8E9C33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13B59EC" w14:textId="77777777">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25426991" w14:textId="77777777" w:rsidR="004D42F9" w:rsidRDefault="004D42F9">
            <w:r>
              <w:rPr>
                <w:b/>
              </w:rPr>
              <w:t>Balance at 30 June 2024</w:t>
            </w:r>
          </w:p>
        </w:tc>
        <w:tc>
          <w:tcPr>
            <w:tcW w:w="1276" w:type="dxa"/>
            <w:tcBorders>
              <w:top w:val="single" w:sz="6" w:space="0" w:color="auto"/>
              <w:bottom w:val="single" w:sz="12" w:space="0" w:color="auto"/>
            </w:tcBorders>
          </w:tcPr>
          <w:p w14:paraId="7FD8934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76 281</w:t>
            </w:r>
          </w:p>
        </w:tc>
        <w:tc>
          <w:tcPr>
            <w:tcW w:w="1559" w:type="dxa"/>
            <w:tcBorders>
              <w:top w:val="single" w:sz="6" w:space="0" w:color="auto"/>
              <w:bottom w:val="single" w:sz="12" w:space="0" w:color="auto"/>
            </w:tcBorders>
          </w:tcPr>
          <w:p w14:paraId="3297D0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161 192</w:t>
            </w:r>
          </w:p>
        </w:tc>
        <w:tc>
          <w:tcPr>
            <w:tcW w:w="1587" w:type="dxa"/>
            <w:tcBorders>
              <w:top w:val="single" w:sz="6" w:space="0" w:color="auto"/>
              <w:bottom w:val="single" w:sz="12" w:space="0" w:color="auto"/>
            </w:tcBorders>
          </w:tcPr>
          <w:p w14:paraId="0529B54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2C1C33C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2 432</w:t>
            </w:r>
          </w:p>
        </w:tc>
        <w:tc>
          <w:tcPr>
            <w:tcW w:w="907" w:type="dxa"/>
            <w:tcBorders>
              <w:top w:val="single" w:sz="6" w:space="0" w:color="auto"/>
              <w:bottom w:val="single" w:sz="12" w:space="0" w:color="auto"/>
            </w:tcBorders>
          </w:tcPr>
          <w:p w14:paraId="50FAD14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239 904</w:t>
            </w:r>
          </w:p>
        </w:tc>
      </w:tr>
    </w:tbl>
    <w:p w14:paraId="1CF5975E"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OCIE/Link_AFR_SOCIE.xlsx|Table:SOCIE_GG|TableGroup:Investment in other sectors"/>
      </w:tblPr>
      <w:tblGrid>
        <w:gridCol w:w="3402"/>
        <w:gridCol w:w="1274"/>
        <w:gridCol w:w="1561"/>
        <w:gridCol w:w="1587"/>
        <w:gridCol w:w="907"/>
        <w:gridCol w:w="907"/>
      </w:tblGrid>
      <w:tr w:rsidR="005E614D" w14:paraId="34768CD3"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6C1F45C3" w14:textId="77777777" w:rsidR="005E614D" w:rsidRDefault="000C3A94">
            <w:pPr>
              <w:keepNext/>
            </w:pPr>
            <w:r>
              <w:t>General government sector</w:t>
            </w:r>
          </w:p>
        </w:tc>
        <w:tc>
          <w:tcPr>
            <w:tcW w:w="1274" w:type="dxa"/>
            <w:tcBorders>
              <w:top w:val="single" w:sz="6" w:space="0" w:color="auto"/>
            </w:tcBorders>
          </w:tcPr>
          <w:p w14:paraId="06C43FC8" w14:textId="0639A5EB" w:rsidR="005E614D" w:rsidRDefault="005E614D">
            <w:pPr>
              <w:keepNext/>
              <w:cnfStyle w:val="100000000000" w:firstRow="1" w:lastRow="0" w:firstColumn="0" w:lastColumn="0" w:oddVBand="0" w:evenVBand="0" w:oddHBand="0" w:evenHBand="0" w:firstRowFirstColumn="0" w:firstRowLastColumn="0" w:lastRowFirstColumn="0" w:lastRowLastColumn="0"/>
            </w:pPr>
          </w:p>
        </w:tc>
        <w:tc>
          <w:tcPr>
            <w:tcW w:w="1561" w:type="dxa"/>
            <w:tcBorders>
              <w:top w:val="single" w:sz="6" w:space="0" w:color="auto"/>
            </w:tcBorders>
          </w:tcPr>
          <w:p w14:paraId="31CF8B89" w14:textId="7BF878A7" w:rsidR="005E614D" w:rsidRDefault="005E614D">
            <w:pPr>
              <w:keepNext/>
              <w:cnfStyle w:val="100000000000" w:firstRow="1"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0228E33C" w14:textId="648C7885" w:rsidR="005E614D" w:rsidRDefault="005E614D">
            <w:pPr>
              <w:keepNext/>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5A22DD0" w14:textId="477B6989" w:rsidR="005E614D" w:rsidRDefault="005E614D">
            <w:pPr>
              <w:keepNext/>
              <w:cnfStyle w:val="100000000000" w:firstRow="1"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9C48D88" w14:textId="7C32E4AB" w:rsidR="005E614D" w:rsidRDefault="005E614D">
            <w:pPr>
              <w:keepNext/>
              <w:cnfStyle w:val="100000000000" w:firstRow="1" w:lastRow="0" w:firstColumn="0" w:lastColumn="0" w:oddVBand="0" w:evenVBand="0" w:oddHBand="0" w:evenHBand="0" w:firstRowFirstColumn="0" w:firstRowLastColumn="0" w:lastRowFirstColumn="0" w:lastRowLastColumn="0"/>
            </w:pPr>
          </w:p>
        </w:tc>
      </w:tr>
      <w:tr w:rsidR="005E614D" w14:paraId="181CB65B" w14:textId="77777777">
        <w:tc>
          <w:tcPr>
            <w:cnfStyle w:val="001000000000" w:firstRow="0" w:lastRow="0" w:firstColumn="1" w:lastColumn="0" w:oddVBand="0" w:evenVBand="0" w:oddHBand="0" w:evenHBand="0" w:firstRowFirstColumn="0" w:firstRowLastColumn="0" w:lastRowFirstColumn="0" w:lastRowLastColumn="0"/>
            <w:tcW w:w="3402" w:type="dxa"/>
          </w:tcPr>
          <w:p w14:paraId="43053C24" w14:textId="77777777" w:rsidR="005E614D" w:rsidRDefault="000C3A94">
            <w:r>
              <w:rPr>
                <w:b/>
              </w:rPr>
              <w:t>2025</w:t>
            </w:r>
          </w:p>
        </w:tc>
        <w:tc>
          <w:tcPr>
            <w:tcW w:w="1274" w:type="dxa"/>
          </w:tcPr>
          <w:p w14:paraId="3AE1017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61" w:type="dxa"/>
          </w:tcPr>
          <w:p w14:paraId="65027B5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87" w:type="dxa"/>
          </w:tcPr>
          <w:p w14:paraId="2B42802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13B90A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528C50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0B2BC18" w14:textId="77777777">
        <w:tc>
          <w:tcPr>
            <w:cnfStyle w:val="001000000000" w:firstRow="0" w:lastRow="0" w:firstColumn="1" w:lastColumn="0" w:oddVBand="0" w:evenVBand="0" w:oddHBand="0" w:evenHBand="0" w:firstRowFirstColumn="0" w:firstRowLastColumn="0" w:lastRowFirstColumn="0" w:lastRowLastColumn="0"/>
            <w:tcW w:w="3402" w:type="dxa"/>
          </w:tcPr>
          <w:p w14:paraId="208C75BC" w14:textId="77777777" w:rsidR="005E614D" w:rsidRDefault="000C3A94">
            <w:r>
              <w:rPr>
                <w:b/>
              </w:rPr>
              <w:t>Balance at 1 July 2024</w:t>
            </w:r>
          </w:p>
        </w:tc>
        <w:tc>
          <w:tcPr>
            <w:tcW w:w="1274" w:type="dxa"/>
          </w:tcPr>
          <w:p w14:paraId="478D7B5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43 405</w:t>
            </w:r>
          </w:p>
        </w:tc>
        <w:tc>
          <w:tcPr>
            <w:tcW w:w="1561" w:type="dxa"/>
          </w:tcPr>
          <w:p w14:paraId="19C2CFB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87" w:type="dxa"/>
          </w:tcPr>
          <w:p w14:paraId="61A68D8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46 381</w:t>
            </w:r>
          </w:p>
        </w:tc>
        <w:tc>
          <w:tcPr>
            <w:tcW w:w="907" w:type="dxa"/>
          </w:tcPr>
          <w:p w14:paraId="4D90077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907" w:type="dxa"/>
          </w:tcPr>
          <w:p w14:paraId="297AA25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24F5BD25" w14:textId="77777777">
        <w:tc>
          <w:tcPr>
            <w:cnfStyle w:val="001000000000" w:firstRow="0" w:lastRow="0" w:firstColumn="1" w:lastColumn="0" w:oddVBand="0" w:evenVBand="0" w:oddHBand="0" w:evenHBand="0" w:firstRowFirstColumn="0" w:firstRowLastColumn="0" w:lastRowFirstColumn="0" w:lastRowLastColumn="0"/>
            <w:tcW w:w="3402" w:type="dxa"/>
          </w:tcPr>
          <w:p w14:paraId="43E6D26A" w14:textId="77777777" w:rsidR="005E614D" w:rsidRDefault="000C3A94">
            <w:r>
              <w:t>Opening balance adjustment</w:t>
            </w:r>
            <w:r>
              <w:rPr>
                <w:b/>
                <w:vertAlign w:val="superscript"/>
              </w:rPr>
              <w:t xml:space="preserve"> </w:t>
            </w:r>
            <w:r>
              <w:rPr>
                <w:vertAlign w:val="superscript"/>
              </w:rPr>
              <w:t>(a)(b)</w:t>
            </w:r>
          </w:p>
        </w:tc>
        <w:tc>
          <w:tcPr>
            <w:tcW w:w="1274" w:type="dxa"/>
          </w:tcPr>
          <w:p w14:paraId="0923035A" w14:textId="77777777" w:rsidR="005E614D" w:rsidRDefault="000C3A94">
            <w:pPr>
              <w:cnfStyle w:val="000000000000" w:firstRow="0" w:lastRow="0" w:firstColumn="0" w:lastColumn="0" w:oddVBand="0" w:evenVBand="0" w:oddHBand="0" w:evenHBand="0" w:firstRowFirstColumn="0" w:firstRowLastColumn="0" w:lastRowFirstColumn="0" w:lastRowLastColumn="0"/>
            </w:pPr>
            <w:r>
              <w:t>(51)</w:t>
            </w:r>
          </w:p>
        </w:tc>
        <w:tc>
          <w:tcPr>
            <w:tcW w:w="1561" w:type="dxa"/>
          </w:tcPr>
          <w:p w14:paraId="1F445B2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1C6AB221"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44405B3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F8A598"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r>
      <w:tr w:rsidR="005E614D" w14:paraId="1B8ADEFB" w14:textId="77777777">
        <w:tc>
          <w:tcPr>
            <w:cnfStyle w:val="001000000000" w:firstRow="0" w:lastRow="0" w:firstColumn="1" w:lastColumn="0" w:oddVBand="0" w:evenVBand="0" w:oddHBand="0" w:evenHBand="0" w:firstRowFirstColumn="0" w:firstRowLastColumn="0" w:lastRowFirstColumn="0" w:lastRowLastColumn="0"/>
            <w:tcW w:w="3402" w:type="dxa"/>
          </w:tcPr>
          <w:p w14:paraId="0265F0EA" w14:textId="77777777" w:rsidR="005E614D" w:rsidRDefault="000C3A94">
            <w:r>
              <w:rPr>
                <w:b/>
              </w:rPr>
              <w:t>Restated balance at 1 July 2024</w:t>
            </w:r>
          </w:p>
        </w:tc>
        <w:tc>
          <w:tcPr>
            <w:tcW w:w="1274" w:type="dxa"/>
          </w:tcPr>
          <w:p w14:paraId="1BD7E48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43 354</w:t>
            </w:r>
          </w:p>
        </w:tc>
        <w:tc>
          <w:tcPr>
            <w:tcW w:w="1561" w:type="dxa"/>
          </w:tcPr>
          <w:p w14:paraId="4466C64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87" w:type="dxa"/>
          </w:tcPr>
          <w:p w14:paraId="35D10A8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46 391</w:t>
            </w:r>
          </w:p>
        </w:tc>
        <w:tc>
          <w:tcPr>
            <w:tcW w:w="907" w:type="dxa"/>
          </w:tcPr>
          <w:p w14:paraId="2F8D9F2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907" w:type="dxa"/>
          </w:tcPr>
          <w:p w14:paraId="671E96C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189 818</w:t>
            </w:r>
          </w:p>
        </w:tc>
      </w:tr>
      <w:tr w:rsidR="005E614D" w14:paraId="7AF09E52" w14:textId="77777777">
        <w:tc>
          <w:tcPr>
            <w:cnfStyle w:val="001000000000" w:firstRow="0" w:lastRow="0" w:firstColumn="1" w:lastColumn="0" w:oddVBand="0" w:evenVBand="0" w:oddHBand="0" w:evenHBand="0" w:firstRowFirstColumn="0" w:firstRowLastColumn="0" w:lastRowFirstColumn="0" w:lastRowLastColumn="0"/>
            <w:tcW w:w="3402" w:type="dxa"/>
          </w:tcPr>
          <w:p w14:paraId="39990DBD" w14:textId="77777777" w:rsidR="005E614D" w:rsidRDefault="000C3A94">
            <w:r>
              <w:t>Net result for the year</w:t>
            </w:r>
          </w:p>
        </w:tc>
        <w:tc>
          <w:tcPr>
            <w:tcW w:w="1274" w:type="dxa"/>
          </w:tcPr>
          <w:p w14:paraId="3FB0DB3C"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c>
          <w:tcPr>
            <w:tcW w:w="1561" w:type="dxa"/>
          </w:tcPr>
          <w:p w14:paraId="7ED762E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27F9935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C96CB5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002EAA6"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r>
      <w:tr w:rsidR="005E614D" w14:paraId="6A0DDB32" w14:textId="77777777">
        <w:tc>
          <w:tcPr>
            <w:cnfStyle w:val="001000000000" w:firstRow="0" w:lastRow="0" w:firstColumn="1" w:lastColumn="0" w:oddVBand="0" w:evenVBand="0" w:oddHBand="0" w:evenHBand="0" w:firstRowFirstColumn="0" w:firstRowLastColumn="0" w:lastRowFirstColumn="0" w:lastRowLastColumn="0"/>
            <w:tcW w:w="3402" w:type="dxa"/>
          </w:tcPr>
          <w:p w14:paraId="7BF69C95" w14:textId="77777777" w:rsidR="005E614D" w:rsidRDefault="000C3A94">
            <w:r>
              <w:t>Other comprehensive income for the year</w:t>
            </w:r>
          </w:p>
        </w:tc>
        <w:tc>
          <w:tcPr>
            <w:tcW w:w="1274" w:type="dxa"/>
          </w:tcPr>
          <w:p w14:paraId="3EE1F671" w14:textId="77777777" w:rsidR="005E614D" w:rsidRDefault="000C3A94">
            <w:pPr>
              <w:cnfStyle w:val="000000000000" w:firstRow="0" w:lastRow="0" w:firstColumn="0" w:lastColumn="0" w:oddVBand="0" w:evenVBand="0" w:oddHBand="0" w:evenHBand="0" w:firstRowFirstColumn="0" w:firstRowLastColumn="0" w:lastRowFirstColumn="0" w:lastRowLastColumn="0"/>
            </w:pPr>
            <w:r>
              <w:t>658</w:t>
            </w:r>
          </w:p>
        </w:tc>
        <w:tc>
          <w:tcPr>
            <w:tcW w:w="1561" w:type="dxa"/>
          </w:tcPr>
          <w:p w14:paraId="7DB81FB1"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1587" w:type="dxa"/>
          </w:tcPr>
          <w:p w14:paraId="1BA4D6EB"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907" w:type="dxa"/>
          </w:tcPr>
          <w:p w14:paraId="1DD5B48A" w14:textId="77777777" w:rsidR="005E614D" w:rsidRDefault="000C3A94">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2A7BCA55" w14:textId="77777777" w:rsidR="005E614D" w:rsidRDefault="000C3A94">
            <w:pPr>
              <w:cnfStyle w:val="000000000000" w:firstRow="0" w:lastRow="0" w:firstColumn="0" w:lastColumn="0" w:oddVBand="0" w:evenVBand="0" w:oddHBand="0" w:evenHBand="0" w:firstRowFirstColumn="0" w:firstRowLastColumn="0" w:lastRowFirstColumn="0" w:lastRowLastColumn="0"/>
            </w:pPr>
            <w:r>
              <w:t>1 519</w:t>
            </w:r>
          </w:p>
        </w:tc>
      </w:tr>
      <w:tr w:rsidR="005E614D" w14:paraId="2AB638CC" w14:textId="77777777">
        <w:tc>
          <w:tcPr>
            <w:cnfStyle w:val="001000000000" w:firstRow="0" w:lastRow="0" w:firstColumn="1" w:lastColumn="0" w:oddVBand="0" w:evenVBand="0" w:oddHBand="0" w:evenHBand="0" w:firstRowFirstColumn="0" w:firstRowLastColumn="0" w:lastRowFirstColumn="0" w:lastRowLastColumn="0"/>
            <w:tcW w:w="3402" w:type="dxa"/>
          </w:tcPr>
          <w:p w14:paraId="309EEF79" w14:textId="77777777" w:rsidR="005E614D" w:rsidRDefault="000C3A94">
            <w:r>
              <w:t>Transfer to/(from) accumulated surplus</w:t>
            </w:r>
          </w:p>
        </w:tc>
        <w:tc>
          <w:tcPr>
            <w:tcW w:w="1274" w:type="dxa"/>
          </w:tcPr>
          <w:p w14:paraId="5C55B46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61" w:type="dxa"/>
          </w:tcPr>
          <w:p w14:paraId="5EF7674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5442ED8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9F5E3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EE155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76A2EE72" w14:textId="77777777" w:rsidTr="005E614D">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6" w:space="0" w:color="auto"/>
            </w:tcBorders>
          </w:tcPr>
          <w:p w14:paraId="2BADC3CD" w14:textId="77777777" w:rsidR="005E614D" w:rsidRDefault="000C3A94">
            <w:r>
              <w:rPr>
                <w:b/>
              </w:rPr>
              <w:t>Balance at 30 June 2025</w:t>
            </w:r>
          </w:p>
        </w:tc>
        <w:tc>
          <w:tcPr>
            <w:tcW w:w="1274" w:type="dxa"/>
            <w:tcBorders>
              <w:top w:val="single" w:sz="6" w:space="0" w:color="auto"/>
              <w:bottom w:val="single" w:sz="6" w:space="0" w:color="auto"/>
            </w:tcBorders>
          </w:tcPr>
          <w:p w14:paraId="443D533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41 982</w:t>
            </w:r>
          </w:p>
        </w:tc>
        <w:tc>
          <w:tcPr>
            <w:tcW w:w="1561" w:type="dxa"/>
            <w:tcBorders>
              <w:top w:val="single" w:sz="6" w:space="0" w:color="auto"/>
              <w:bottom w:val="single" w:sz="6" w:space="0" w:color="auto"/>
            </w:tcBorders>
          </w:tcPr>
          <w:p w14:paraId="7FADF9E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107 890</w:t>
            </w:r>
          </w:p>
        </w:tc>
        <w:tc>
          <w:tcPr>
            <w:tcW w:w="1587" w:type="dxa"/>
            <w:tcBorders>
              <w:top w:val="single" w:sz="6" w:space="0" w:color="auto"/>
              <w:bottom w:val="single" w:sz="6" w:space="0" w:color="auto"/>
            </w:tcBorders>
          </w:tcPr>
          <w:p w14:paraId="505846F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37 805</w:t>
            </w:r>
          </w:p>
        </w:tc>
        <w:tc>
          <w:tcPr>
            <w:tcW w:w="907" w:type="dxa"/>
            <w:tcBorders>
              <w:top w:val="single" w:sz="6" w:space="0" w:color="auto"/>
              <w:bottom w:val="single" w:sz="6" w:space="0" w:color="auto"/>
            </w:tcBorders>
          </w:tcPr>
          <w:p w14:paraId="65A65E7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1 630</w:t>
            </w:r>
          </w:p>
        </w:tc>
        <w:tc>
          <w:tcPr>
            <w:tcW w:w="907" w:type="dxa"/>
            <w:tcBorders>
              <w:top w:val="single" w:sz="6" w:space="0" w:color="auto"/>
              <w:bottom w:val="single" w:sz="6" w:space="0" w:color="auto"/>
            </w:tcBorders>
          </w:tcPr>
          <w:p w14:paraId="3A840AE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r>
      <w:tr w:rsidR="005E614D" w14:paraId="58C1A4EF" w14:textId="77777777" w:rsidTr="005E614D">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tcBorders>
          </w:tcPr>
          <w:p w14:paraId="63A283E6" w14:textId="77777777" w:rsidR="005E614D" w:rsidRDefault="000C3A94">
            <w:r>
              <w:rPr>
                <w:b/>
              </w:rPr>
              <w:t>2024</w:t>
            </w:r>
          </w:p>
        </w:tc>
        <w:tc>
          <w:tcPr>
            <w:tcW w:w="1274" w:type="dxa"/>
            <w:tcBorders>
              <w:top w:val="single" w:sz="6" w:space="0" w:color="auto"/>
            </w:tcBorders>
          </w:tcPr>
          <w:p w14:paraId="6CAAEB6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61" w:type="dxa"/>
            <w:tcBorders>
              <w:top w:val="single" w:sz="6" w:space="0" w:color="auto"/>
            </w:tcBorders>
          </w:tcPr>
          <w:p w14:paraId="7415373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87" w:type="dxa"/>
            <w:tcBorders>
              <w:top w:val="single" w:sz="6" w:space="0" w:color="auto"/>
            </w:tcBorders>
          </w:tcPr>
          <w:p w14:paraId="6CF320F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43F58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82E06A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6119B5C" w14:textId="77777777">
        <w:tc>
          <w:tcPr>
            <w:cnfStyle w:val="001000000000" w:firstRow="0" w:lastRow="0" w:firstColumn="1" w:lastColumn="0" w:oddVBand="0" w:evenVBand="0" w:oddHBand="0" w:evenHBand="0" w:firstRowFirstColumn="0" w:firstRowLastColumn="0" w:lastRowFirstColumn="0" w:lastRowLastColumn="0"/>
            <w:tcW w:w="3402" w:type="dxa"/>
          </w:tcPr>
          <w:p w14:paraId="17E1391F" w14:textId="77777777" w:rsidR="005E614D" w:rsidRDefault="000C3A94">
            <w:r>
              <w:rPr>
                <w:b/>
              </w:rPr>
              <w:t>Balance at 1 July 2023</w:t>
            </w:r>
          </w:p>
        </w:tc>
        <w:tc>
          <w:tcPr>
            <w:tcW w:w="1274" w:type="dxa"/>
          </w:tcPr>
          <w:p w14:paraId="36591B0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45 889</w:t>
            </w:r>
          </w:p>
        </w:tc>
        <w:tc>
          <w:tcPr>
            <w:tcW w:w="1561" w:type="dxa"/>
          </w:tcPr>
          <w:p w14:paraId="136DA67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91 269</w:t>
            </w:r>
          </w:p>
        </w:tc>
        <w:tc>
          <w:tcPr>
            <w:tcW w:w="1587" w:type="dxa"/>
          </w:tcPr>
          <w:p w14:paraId="709715E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48 245</w:t>
            </w:r>
          </w:p>
        </w:tc>
        <w:tc>
          <w:tcPr>
            <w:tcW w:w="907" w:type="dxa"/>
          </w:tcPr>
          <w:p w14:paraId="6F309C2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1 380</w:t>
            </w:r>
          </w:p>
        </w:tc>
        <w:tc>
          <w:tcPr>
            <w:tcW w:w="907" w:type="dxa"/>
          </w:tcPr>
          <w:p w14:paraId="36E4796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186 783</w:t>
            </w:r>
          </w:p>
        </w:tc>
      </w:tr>
      <w:tr w:rsidR="005E614D" w14:paraId="6E8727FE" w14:textId="77777777">
        <w:tc>
          <w:tcPr>
            <w:cnfStyle w:val="001000000000" w:firstRow="0" w:lastRow="0" w:firstColumn="1" w:lastColumn="0" w:oddVBand="0" w:evenVBand="0" w:oddHBand="0" w:evenHBand="0" w:firstRowFirstColumn="0" w:firstRowLastColumn="0" w:lastRowFirstColumn="0" w:lastRowLastColumn="0"/>
            <w:tcW w:w="3402" w:type="dxa"/>
          </w:tcPr>
          <w:p w14:paraId="1C8214CE" w14:textId="77777777" w:rsidR="005E614D" w:rsidRDefault="000C3A94">
            <w:r>
              <w:t>Net result for the year</w:t>
            </w:r>
          </w:p>
        </w:tc>
        <w:tc>
          <w:tcPr>
            <w:tcW w:w="1274" w:type="dxa"/>
          </w:tcPr>
          <w:p w14:paraId="4564EA64" w14:textId="77777777" w:rsidR="005E614D" w:rsidRDefault="000C3A94">
            <w:pPr>
              <w:cnfStyle w:val="000000000000" w:firstRow="0" w:lastRow="0" w:firstColumn="0" w:lastColumn="0" w:oddVBand="0" w:evenVBand="0" w:oddHBand="0" w:evenHBand="0" w:firstRowFirstColumn="0" w:firstRowLastColumn="0" w:lastRowFirstColumn="0" w:lastRowLastColumn="0"/>
            </w:pPr>
            <w:r>
              <w:t>(4 493)</w:t>
            </w:r>
          </w:p>
        </w:tc>
        <w:tc>
          <w:tcPr>
            <w:tcW w:w="1561" w:type="dxa"/>
          </w:tcPr>
          <w:p w14:paraId="4B80EA1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87" w:type="dxa"/>
          </w:tcPr>
          <w:p w14:paraId="2BA0BC6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67E181"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42ECE7" w14:textId="77777777" w:rsidR="005E614D" w:rsidRDefault="000C3A94">
            <w:pPr>
              <w:cnfStyle w:val="000000000000" w:firstRow="0" w:lastRow="0" w:firstColumn="0" w:lastColumn="0" w:oddVBand="0" w:evenVBand="0" w:oddHBand="0" w:evenHBand="0" w:firstRowFirstColumn="0" w:firstRowLastColumn="0" w:lastRowFirstColumn="0" w:lastRowLastColumn="0"/>
            </w:pPr>
            <w:r>
              <w:t>(4 493)</w:t>
            </w:r>
          </w:p>
        </w:tc>
      </w:tr>
      <w:tr w:rsidR="005E614D" w14:paraId="56C9804C" w14:textId="77777777">
        <w:tc>
          <w:tcPr>
            <w:cnfStyle w:val="001000000000" w:firstRow="0" w:lastRow="0" w:firstColumn="1" w:lastColumn="0" w:oddVBand="0" w:evenVBand="0" w:oddHBand="0" w:evenHBand="0" w:firstRowFirstColumn="0" w:firstRowLastColumn="0" w:lastRowFirstColumn="0" w:lastRowLastColumn="0"/>
            <w:tcW w:w="3402" w:type="dxa"/>
          </w:tcPr>
          <w:p w14:paraId="52161F74" w14:textId="77777777" w:rsidR="005E614D" w:rsidRDefault="000C3A94">
            <w:r>
              <w:t>Other comprehensive income for the year</w:t>
            </w:r>
          </w:p>
        </w:tc>
        <w:tc>
          <w:tcPr>
            <w:tcW w:w="1274" w:type="dxa"/>
          </w:tcPr>
          <w:p w14:paraId="35C17970" w14:textId="77777777" w:rsidR="005E614D" w:rsidRDefault="000C3A94">
            <w:pPr>
              <w:cnfStyle w:val="000000000000" w:firstRow="0" w:lastRow="0" w:firstColumn="0" w:lastColumn="0" w:oddVBand="0" w:evenVBand="0" w:oddHBand="0" w:evenHBand="0" w:firstRowFirstColumn="0" w:firstRowLastColumn="0" w:lastRowFirstColumn="0" w:lastRowLastColumn="0"/>
            </w:pPr>
            <w:r>
              <w:t>1 635</w:t>
            </w:r>
          </w:p>
        </w:tc>
        <w:tc>
          <w:tcPr>
            <w:tcW w:w="1561" w:type="dxa"/>
          </w:tcPr>
          <w:p w14:paraId="5A5C7E6D" w14:textId="77777777" w:rsidR="005E614D" w:rsidRDefault="000C3A94">
            <w:pPr>
              <w:cnfStyle w:val="000000000000" w:firstRow="0" w:lastRow="0" w:firstColumn="0" w:lastColumn="0" w:oddVBand="0" w:evenVBand="0" w:oddHBand="0" w:evenHBand="0" w:firstRowFirstColumn="0" w:firstRowLastColumn="0" w:lastRowFirstColumn="0" w:lastRowLastColumn="0"/>
            </w:pPr>
            <w:r>
              <w:t>7 650</w:t>
            </w:r>
          </w:p>
        </w:tc>
        <w:tc>
          <w:tcPr>
            <w:tcW w:w="1587" w:type="dxa"/>
          </w:tcPr>
          <w:p w14:paraId="296AF30A" w14:textId="77777777" w:rsidR="005E614D" w:rsidRDefault="000C3A94">
            <w:pPr>
              <w:cnfStyle w:val="000000000000" w:firstRow="0" w:lastRow="0" w:firstColumn="0" w:lastColumn="0" w:oddVBand="0" w:evenVBand="0" w:oddHBand="0" w:evenHBand="0" w:firstRowFirstColumn="0" w:firstRowLastColumn="0" w:lastRowFirstColumn="0" w:lastRowLastColumn="0"/>
            </w:pPr>
            <w:r>
              <w:t>(1 864)</w:t>
            </w:r>
          </w:p>
        </w:tc>
        <w:tc>
          <w:tcPr>
            <w:tcW w:w="907" w:type="dxa"/>
          </w:tcPr>
          <w:p w14:paraId="06FA9F80" w14:textId="77777777" w:rsidR="005E614D" w:rsidRDefault="000C3A94">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57C5B54F" w14:textId="77777777" w:rsidR="005E614D" w:rsidRDefault="000C3A94">
            <w:pPr>
              <w:cnfStyle w:val="000000000000" w:firstRow="0" w:lastRow="0" w:firstColumn="0" w:lastColumn="0" w:oddVBand="0" w:evenVBand="0" w:oddHBand="0" w:evenHBand="0" w:firstRowFirstColumn="0" w:firstRowLastColumn="0" w:lastRowFirstColumn="0" w:lastRowLastColumn="0"/>
            </w:pPr>
            <w:r>
              <w:t>7 569</w:t>
            </w:r>
          </w:p>
        </w:tc>
      </w:tr>
      <w:tr w:rsidR="005E614D" w14:paraId="3622DFAC" w14:textId="77777777">
        <w:tc>
          <w:tcPr>
            <w:cnfStyle w:val="001000000000" w:firstRow="0" w:lastRow="0" w:firstColumn="1" w:lastColumn="0" w:oddVBand="0" w:evenVBand="0" w:oddHBand="0" w:evenHBand="0" w:firstRowFirstColumn="0" w:firstRowLastColumn="0" w:lastRowFirstColumn="0" w:lastRowLastColumn="0"/>
            <w:tcW w:w="3402" w:type="dxa"/>
          </w:tcPr>
          <w:p w14:paraId="0B4BD355" w14:textId="77777777" w:rsidR="005E614D" w:rsidRDefault="000C3A94">
            <w:r>
              <w:t>Transfer to/(from) accumulated surplus</w:t>
            </w:r>
          </w:p>
        </w:tc>
        <w:tc>
          <w:tcPr>
            <w:tcW w:w="1274" w:type="dxa"/>
          </w:tcPr>
          <w:p w14:paraId="76F710AF" w14:textId="77777777" w:rsidR="005E614D" w:rsidRDefault="000C3A94">
            <w:pPr>
              <w:cnfStyle w:val="000000000000" w:firstRow="0" w:lastRow="0" w:firstColumn="0" w:lastColumn="0" w:oddVBand="0" w:evenVBand="0" w:oddHBand="0" w:evenHBand="0" w:firstRowFirstColumn="0" w:firstRowLastColumn="0" w:lastRowFirstColumn="0" w:lastRowLastColumn="0"/>
            </w:pPr>
            <w:r>
              <w:t>375</w:t>
            </w:r>
          </w:p>
        </w:tc>
        <w:tc>
          <w:tcPr>
            <w:tcW w:w="1561" w:type="dxa"/>
          </w:tcPr>
          <w:p w14:paraId="7F47FB3D" w14:textId="77777777" w:rsidR="005E614D" w:rsidRDefault="000C3A94">
            <w:pPr>
              <w:cnfStyle w:val="000000000000" w:firstRow="0" w:lastRow="0" w:firstColumn="0" w:lastColumn="0" w:oddVBand="0" w:evenVBand="0" w:oddHBand="0" w:evenHBand="0" w:firstRowFirstColumn="0" w:firstRowLastColumn="0" w:lastRowFirstColumn="0" w:lastRowLastColumn="0"/>
            </w:pPr>
            <w:r>
              <w:t>(375)</w:t>
            </w:r>
          </w:p>
        </w:tc>
        <w:tc>
          <w:tcPr>
            <w:tcW w:w="1587" w:type="dxa"/>
          </w:tcPr>
          <w:p w14:paraId="077E4222"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BBC64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B266E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46DD06F0" w14:textId="77777777" w:rsidTr="005E614D">
        <w:tc>
          <w:tcPr>
            <w:cnfStyle w:val="001000000000" w:firstRow="0" w:lastRow="0" w:firstColumn="1" w:lastColumn="0" w:oddVBand="0" w:evenVBand="0" w:oddHBand="0" w:evenHBand="0" w:firstRowFirstColumn="0" w:firstRowLastColumn="0" w:lastRowFirstColumn="0" w:lastRowLastColumn="0"/>
            <w:tcW w:w="3402" w:type="dxa"/>
            <w:tcBorders>
              <w:top w:val="single" w:sz="6" w:space="0" w:color="auto"/>
              <w:bottom w:val="single" w:sz="12" w:space="0" w:color="auto"/>
            </w:tcBorders>
          </w:tcPr>
          <w:p w14:paraId="72EB9A08" w14:textId="77777777" w:rsidR="005E614D" w:rsidRDefault="000C3A94">
            <w:r>
              <w:rPr>
                <w:b/>
              </w:rPr>
              <w:t>Balance at 30 June 2024</w:t>
            </w:r>
          </w:p>
        </w:tc>
        <w:tc>
          <w:tcPr>
            <w:tcW w:w="1274" w:type="dxa"/>
            <w:tcBorders>
              <w:top w:val="single" w:sz="6" w:space="0" w:color="auto"/>
              <w:bottom w:val="single" w:sz="12" w:space="0" w:color="auto"/>
            </w:tcBorders>
          </w:tcPr>
          <w:p w14:paraId="538108D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43 405</w:t>
            </w:r>
          </w:p>
        </w:tc>
        <w:tc>
          <w:tcPr>
            <w:tcW w:w="1561" w:type="dxa"/>
            <w:tcBorders>
              <w:top w:val="single" w:sz="6" w:space="0" w:color="auto"/>
              <w:bottom w:val="single" w:sz="12" w:space="0" w:color="auto"/>
            </w:tcBorders>
          </w:tcPr>
          <w:p w14:paraId="183DC5C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87" w:type="dxa"/>
            <w:tcBorders>
              <w:top w:val="single" w:sz="6" w:space="0" w:color="auto"/>
              <w:bottom w:val="single" w:sz="12" w:space="0" w:color="auto"/>
            </w:tcBorders>
          </w:tcPr>
          <w:p w14:paraId="14D82AD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46 381</w:t>
            </w:r>
          </w:p>
        </w:tc>
        <w:tc>
          <w:tcPr>
            <w:tcW w:w="907" w:type="dxa"/>
            <w:tcBorders>
              <w:top w:val="single" w:sz="6" w:space="0" w:color="auto"/>
              <w:bottom w:val="single" w:sz="12" w:space="0" w:color="auto"/>
            </w:tcBorders>
          </w:tcPr>
          <w:p w14:paraId="43EF8C7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907" w:type="dxa"/>
            <w:tcBorders>
              <w:top w:val="single" w:sz="6" w:space="0" w:color="auto"/>
              <w:bottom w:val="single" w:sz="12" w:space="0" w:color="auto"/>
            </w:tcBorders>
          </w:tcPr>
          <w:p w14:paraId="57ED54D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bl>
    <w:p w14:paraId="070FE9B1" w14:textId="77777777" w:rsidR="004D42F9" w:rsidRDefault="004D42F9" w:rsidP="004D42F9">
      <w:pPr>
        <w:pStyle w:val="Source"/>
      </w:pPr>
      <w:r>
        <w:t>The accompanying notes form part of these financial statements.</w:t>
      </w:r>
    </w:p>
    <w:p w14:paraId="0884DDF5" w14:textId="77777777" w:rsidR="004D42F9" w:rsidRPr="00C91A33" w:rsidRDefault="004D42F9" w:rsidP="004D42F9">
      <w:pPr>
        <w:pStyle w:val="Note"/>
      </w:pPr>
      <w:r w:rsidRPr="00C91A33">
        <w:t>Note</w:t>
      </w:r>
      <w:r>
        <w:t>s</w:t>
      </w:r>
      <w:r w:rsidRPr="00C91A33">
        <w:t xml:space="preserve">: </w:t>
      </w:r>
    </w:p>
    <w:p w14:paraId="6C43AB63" w14:textId="77777777" w:rsidR="004D42F9" w:rsidRPr="00C91A33" w:rsidRDefault="004D42F9" w:rsidP="004D42F9">
      <w:pPr>
        <w:pStyle w:val="Note"/>
      </w:pPr>
      <w:r w:rsidRPr="00C91A33">
        <w:t>(a)</w:t>
      </w:r>
      <w:r w:rsidRPr="00C91A33">
        <w:tab/>
        <w:t xml:space="preserve">On 1 July 2024, the previous State Electricity Commission of Victoria, established under the </w:t>
      </w:r>
      <w:r w:rsidRPr="00E81B8F">
        <w:rPr>
          <w:i w:val="0"/>
          <w:iCs/>
        </w:rPr>
        <w:t xml:space="preserve">State Electricity Commission Act 1958 </w:t>
      </w:r>
      <w:r w:rsidRPr="00EA6C89">
        <w:t>(SEC Act)</w:t>
      </w:r>
      <w:r w:rsidRPr="00C91A33">
        <w:t xml:space="preserve"> was abolished by the commencement of the </w:t>
      </w:r>
      <w:r w:rsidRPr="00E81B8F">
        <w:rPr>
          <w:i w:val="0"/>
          <w:iCs/>
        </w:rPr>
        <w:t>State Electricity Commission Amendment Act 2024</w:t>
      </w:r>
      <w:r w:rsidRPr="00C91A33">
        <w:t xml:space="preserve"> and the residual financial assets were transferred to the Department of Energy, Environment and Climate Action. This has resulted in the 1 July 2024 opening balance not equalling the 30 June closing balance.</w:t>
      </w:r>
    </w:p>
    <w:p w14:paraId="7B12D552" w14:textId="77777777" w:rsidR="004D42F9" w:rsidRPr="00C91A33" w:rsidRDefault="004D42F9" w:rsidP="004D42F9">
      <w:pPr>
        <w:pStyle w:val="Note"/>
      </w:pPr>
      <w:r w:rsidRPr="00C91A33">
        <w:t>(b)</w:t>
      </w:r>
      <w:r w:rsidRPr="00C91A33">
        <w:tab/>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E81B8F">
        <w:rPr>
          <w:i w:val="0"/>
          <w:iCs/>
        </w:rPr>
        <w:t>Sustainable Forests (Timber) Repeal Act 2024</w:t>
      </w:r>
      <w:r w:rsidRPr="00C91A33">
        <w:t>, effective from 1 July 2024. This has resulted in the 1 July 2024 opening balance not equalling the 30 June closing balance.</w:t>
      </w:r>
    </w:p>
    <w:p w14:paraId="1C8E9B69" w14:textId="77777777" w:rsidR="004D42F9" w:rsidRDefault="004D42F9" w:rsidP="004D42F9"/>
    <w:p w14:paraId="64276C04" w14:textId="77777777" w:rsidR="004F2221" w:rsidRDefault="004F2221" w:rsidP="004D42F9">
      <w:pPr>
        <w:sectPr w:rsidR="004F2221" w:rsidSect="004D42F9">
          <w:headerReference w:type="even" r:id="rId51"/>
          <w:headerReference w:type="default" r:id="rId52"/>
          <w:pgSz w:w="11906" w:h="16838" w:code="9"/>
          <w:pgMar w:top="1134" w:right="1134" w:bottom="1134" w:left="1134" w:header="624" w:footer="567" w:gutter="0"/>
          <w:cols w:space="708"/>
          <w:docGrid w:linePitch="360"/>
        </w:sectPr>
      </w:pPr>
    </w:p>
    <w:p w14:paraId="722C4246" w14:textId="77777777" w:rsidR="004D42F9" w:rsidRDefault="004D42F9" w:rsidP="00F35ABA">
      <w:pPr>
        <w:pStyle w:val="Heading1"/>
        <w:spacing w:before="0"/>
      </w:pPr>
      <w:bookmarkStart w:id="51" w:name="_Ref147138393"/>
      <w:bookmarkStart w:id="52" w:name="_Toc203394896"/>
      <w:bookmarkStart w:id="53" w:name="_Toc209474777"/>
      <w:bookmarkStart w:id="54" w:name="Chapter4"/>
      <w:r>
        <w:lastRenderedPageBreak/>
        <w:t>1.</w:t>
      </w:r>
      <w:r>
        <w:tab/>
      </w:r>
      <w:r w:rsidRPr="000559D2">
        <w:t>About</w:t>
      </w:r>
      <w:r>
        <w:t xml:space="preserve"> this report</w:t>
      </w:r>
      <w:bookmarkEnd w:id="51"/>
      <w:bookmarkEnd w:id="52"/>
      <w:bookmarkEnd w:id="53"/>
    </w:p>
    <w:p w14:paraId="2DE84EAA" w14:textId="77777777" w:rsidR="008623A6" w:rsidRDefault="008623A6" w:rsidP="004D42F9">
      <w:pPr>
        <w:pStyle w:val="Heading2"/>
        <w:sectPr w:rsidR="008623A6" w:rsidSect="004F2221">
          <w:headerReference w:type="even" r:id="rId53"/>
          <w:footerReference w:type="first" r:id="rId54"/>
          <w:pgSz w:w="11906" w:h="16838" w:code="9"/>
          <w:pgMar w:top="1134" w:right="1134" w:bottom="1134" w:left="1134" w:header="624" w:footer="567" w:gutter="0"/>
          <w:cols w:space="708"/>
          <w:titlePg/>
          <w:docGrid w:linePitch="360"/>
        </w:sectPr>
      </w:pPr>
    </w:p>
    <w:p w14:paraId="26F76D85" w14:textId="77777777" w:rsidR="004D42F9" w:rsidRDefault="004D42F9" w:rsidP="004D42F9">
      <w:pPr>
        <w:pStyle w:val="Heading2"/>
      </w:pPr>
      <w:r>
        <w:t>Basis of preparation</w:t>
      </w:r>
    </w:p>
    <w:p w14:paraId="7D3144FB" w14:textId="57CF7946" w:rsidR="004D42F9" w:rsidRDefault="004D42F9" w:rsidP="004D42F9">
      <w:r>
        <w:t xml:space="preserve">This </w:t>
      </w:r>
      <w:r w:rsidRPr="0059177C">
        <w:rPr>
          <w:i/>
          <w:iCs/>
        </w:rPr>
        <w:t>Annual Financial Report</w:t>
      </w:r>
      <w:r>
        <w:t xml:space="preserve"> presents the audited general purpose consolidated financial statements of the State and the Victorian general government sector for the financial year ended 30 June 2025. This report informs users about the Government</w:t>
      </w:r>
      <w:r w:rsidR="00845934">
        <w:t>’</w:t>
      </w:r>
      <w:r>
        <w:t>s stewardship of the resources entrusted to it.</w:t>
      </w:r>
    </w:p>
    <w:p w14:paraId="66303DD4" w14:textId="77777777" w:rsidR="004D42F9" w:rsidRDefault="004D42F9" w:rsidP="004D42F9">
      <w:r>
        <w:t xml:space="preserve">Accounting policies selected and applied ensure that the resulting financial information satisfies the concepts of relevance and reliability, thereby </w:t>
      </w:r>
      <w:r w:rsidRPr="00A150DE">
        <w:t>ensuring</w:t>
      </w:r>
      <w:r>
        <w:t xml:space="preserve"> that the substance of the underlying transactions or other events is reported.</w:t>
      </w:r>
    </w:p>
    <w:p w14:paraId="63C0D68A" w14:textId="77777777" w:rsidR="004D42F9" w:rsidRDefault="004D42F9" w:rsidP="004D42F9">
      <w:r>
        <w:t xml:space="preserve">The </w:t>
      </w:r>
      <w:r w:rsidRPr="00A150DE">
        <w:t>accrual</w:t>
      </w:r>
      <w:r>
        <w:t xml:space="preserve"> basis of accounting has been applied, where assets, liabilities, equity, income and expenses are recognised in the reporting period to which they relate, regardless of when cash is received or paid.</w:t>
      </w:r>
    </w:p>
    <w:p w14:paraId="77F354E1" w14:textId="77777777" w:rsidR="004D42F9" w:rsidRDefault="004D42F9" w:rsidP="004D42F9">
      <w:r>
        <w:t xml:space="preserve">These financial statements are in Australian dollars </w:t>
      </w:r>
      <w:r w:rsidRPr="00A150DE">
        <w:t>and</w:t>
      </w:r>
      <w:r>
        <w:t xml:space="preserve"> the historical cost convention is used except for: </w:t>
      </w:r>
    </w:p>
    <w:p w14:paraId="4D0C3964" w14:textId="77777777" w:rsidR="004D42F9" w:rsidRPr="00027DD0" w:rsidRDefault="004D42F9" w:rsidP="004D42F9">
      <w:pPr>
        <w:pStyle w:val="ListBullet"/>
        <w:keepLines/>
        <w:numPr>
          <w:ilvl w:val="0"/>
          <w:numId w:val="27"/>
        </w:numPr>
      </w:pPr>
      <w:r w:rsidRPr="00027DD0">
        <w:t>the general government sector investments in other sector entities which are measured at net asset value</w:t>
      </w:r>
    </w:p>
    <w:p w14:paraId="6902A2B1" w14:textId="77777777" w:rsidR="004D42F9" w:rsidRPr="00027DD0" w:rsidRDefault="004D42F9" w:rsidP="004D42F9">
      <w:pPr>
        <w:pStyle w:val="ListBullet"/>
        <w:keepLines/>
        <w:numPr>
          <w:ilvl w:val="0"/>
          <w:numId w:val="27"/>
        </w:numPr>
      </w:pPr>
      <w:r>
        <w:t>n</w:t>
      </w:r>
      <w:r w:rsidRPr="00027DD0">
        <w:t>on</w:t>
      </w:r>
      <w:r>
        <w:t>-</w:t>
      </w:r>
      <w:r w:rsidRPr="00027DD0">
        <w:t>financial physical assets including service concession arrangement assets and right-of-use assets which, subsequent to initial recognition, are measured at a revalued amount being their fair value at the reporting date less any subsequent accumulated depreciation and subsequent impairment losses. Revaluations are made with sufficient regularity to ensure that the carrying amounts do not materially differ from their fair values</w:t>
      </w:r>
    </w:p>
    <w:p w14:paraId="252859B0" w14:textId="77777777" w:rsidR="004D42F9" w:rsidRPr="00027DD0" w:rsidRDefault="004D42F9" w:rsidP="004D42F9">
      <w:pPr>
        <w:pStyle w:val="ListBullet"/>
        <w:keepLines/>
        <w:numPr>
          <w:ilvl w:val="0"/>
          <w:numId w:val="27"/>
        </w:numPr>
      </w:pPr>
      <w:r w:rsidRPr="00027DD0">
        <w:t>certain liabilities, most notably unfunded superannuation and insurance claim provisions, which are subject to actuarial assessments</w:t>
      </w:r>
    </w:p>
    <w:p w14:paraId="1805724E" w14:textId="77777777" w:rsidR="004D42F9" w:rsidRPr="00027DD0" w:rsidRDefault="004D42F9" w:rsidP="004D42F9">
      <w:pPr>
        <w:pStyle w:val="ListBullet"/>
        <w:keepLines/>
        <w:numPr>
          <w:ilvl w:val="0"/>
          <w:numId w:val="27"/>
        </w:numPr>
      </w:pPr>
      <w:r w:rsidRPr="00027DD0">
        <w:t xml:space="preserve">financial assets classified at fair value through other comprehensive income, which are measured at fair value with movements reflected in other economic flows – other comprehensive income </w:t>
      </w:r>
    </w:p>
    <w:p w14:paraId="23FEEB1C" w14:textId="77777777" w:rsidR="004D42F9" w:rsidRPr="00027DD0" w:rsidRDefault="004D42F9" w:rsidP="004D42F9">
      <w:pPr>
        <w:pStyle w:val="ListBullet"/>
        <w:keepLines/>
        <w:numPr>
          <w:ilvl w:val="0"/>
          <w:numId w:val="27"/>
        </w:numPr>
      </w:pPr>
      <w:r w:rsidRPr="00027DD0">
        <w:t xml:space="preserve">financial assets classified at fair value through profit and loss, which are measured at fair value with movements reflected in other economic flows included in net result. </w:t>
      </w:r>
    </w:p>
    <w:p w14:paraId="05A0EB13" w14:textId="0966EBD5" w:rsidR="008623A6" w:rsidRDefault="008623A6" w:rsidP="008623A6">
      <w:pPr>
        <w:pStyle w:val="Heading2"/>
      </w:pPr>
      <w:r>
        <w:br w:type="column"/>
      </w:r>
    </w:p>
    <w:p w14:paraId="058E63AC" w14:textId="6446A7D1" w:rsidR="004D42F9" w:rsidRDefault="004D42F9" w:rsidP="004D42F9">
      <w:r>
        <w:t xml:space="preserve">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w:t>
      </w:r>
      <w:r w:rsidRPr="00A150DE">
        <w:t>statements</w:t>
      </w:r>
      <w:r>
        <w:t xml:space="preserve"> and estimates relate to:</w:t>
      </w:r>
    </w:p>
    <w:p w14:paraId="42927070" w14:textId="50BF0D54" w:rsidR="004D42F9" w:rsidRPr="00027DD0" w:rsidRDefault="004D42F9" w:rsidP="004D42F9">
      <w:pPr>
        <w:pStyle w:val="ListBullet"/>
        <w:keepLines/>
        <w:numPr>
          <w:ilvl w:val="0"/>
          <w:numId w:val="27"/>
        </w:numPr>
      </w:pPr>
      <w:r w:rsidRPr="00027DD0">
        <w:t>revenue/income recognition – determination of GST income based on the State</w:t>
      </w:r>
      <w:r w:rsidR="00845934">
        <w:t>’</w:t>
      </w:r>
      <w:r w:rsidRPr="00027DD0">
        <w:t>s entitlement (Note 2.</w:t>
      </w:r>
      <w:r>
        <w:t>5)</w:t>
      </w:r>
    </w:p>
    <w:p w14:paraId="06F03FF3" w14:textId="77777777" w:rsidR="004D42F9" w:rsidRPr="00027DD0" w:rsidRDefault="004D42F9" w:rsidP="004D42F9">
      <w:pPr>
        <w:pStyle w:val="ListBullet"/>
        <w:keepLines/>
        <w:numPr>
          <w:ilvl w:val="0"/>
          <w:numId w:val="27"/>
        </w:numPr>
      </w:pPr>
      <w:r w:rsidRPr="00027DD0">
        <w:t>provision for employee benefits – use of assumptions in the measurement of employee benefit provisions (Note 3.1)</w:t>
      </w:r>
    </w:p>
    <w:p w14:paraId="49D1F6CA" w14:textId="77777777" w:rsidR="004D42F9" w:rsidRPr="00027DD0" w:rsidRDefault="004D42F9" w:rsidP="004D42F9">
      <w:pPr>
        <w:pStyle w:val="ListBullet"/>
        <w:keepLines/>
        <w:numPr>
          <w:ilvl w:val="0"/>
          <w:numId w:val="27"/>
        </w:numPr>
      </w:pPr>
      <w:r w:rsidRPr="00027DD0">
        <w:t>superannuation expenses and liabilities – use of actuarial assumptions in measuring liabilities (Note 3.2 and Note </w:t>
      </w:r>
      <w:r>
        <w:t>3.3</w:t>
      </w:r>
      <w:r w:rsidRPr="00027DD0">
        <w:t>)</w:t>
      </w:r>
    </w:p>
    <w:p w14:paraId="16F56EFD" w14:textId="77777777" w:rsidR="004D42F9" w:rsidRPr="00027DD0" w:rsidRDefault="004D42F9" w:rsidP="004D42F9">
      <w:pPr>
        <w:pStyle w:val="ListBullet"/>
        <w:keepLines/>
        <w:numPr>
          <w:ilvl w:val="0"/>
          <w:numId w:val="27"/>
        </w:numPr>
      </w:pPr>
      <w:r w:rsidRPr="00027DD0">
        <w:t xml:space="preserve">insurance claims – use of actuarial assumptions in the measurement of liabilities for outstanding insurance claims (Note </w:t>
      </w:r>
      <w:r>
        <w:t>3.7.1</w:t>
      </w:r>
      <w:r w:rsidRPr="00027DD0">
        <w:t>)</w:t>
      </w:r>
    </w:p>
    <w:p w14:paraId="60AF9DF3" w14:textId="77777777" w:rsidR="004D42F9" w:rsidRPr="00027DD0" w:rsidRDefault="004D42F9" w:rsidP="004D42F9">
      <w:pPr>
        <w:pStyle w:val="ListBullet"/>
        <w:keepLines/>
        <w:numPr>
          <w:ilvl w:val="0"/>
          <w:numId w:val="27"/>
        </w:numPr>
      </w:pPr>
      <w:r w:rsidRPr="00027DD0">
        <w:t xml:space="preserve">service concession arrangements – whether and how AASB 1059 </w:t>
      </w:r>
      <w:r w:rsidRPr="00D93036">
        <w:rPr>
          <w:i/>
        </w:rPr>
        <w:t>Service Concession Arrangements: Grantor</w:t>
      </w:r>
      <w:r w:rsidRPr="00D93036">
        <w:t xml:space="preserve"> </w:t>
      </w:r>
      <w:r w:rsidRPr="00027DD0">
        <w:t>applies (Note 5.</w:t>
      </w:r>
      <w:r>
        <w:t>7</w:t>
      </w:r>
      <w:r w:rsidRPr="00027DD0">
        <w:t>)</w:t>
      </w:r>
    </w:p>
    <w:p w14:paraId="4C4B5C67" w14:textId="77777777" w:rsidR="004D42F9" w:rsidRPr="00027DD0" w:rsidRDefault="004D42F9" w:rsidP="004D42F9">
      <w:pPr>
        <w:pStyle w:val="ListBullet"/>
        <w:keepLines/>
        <w:numPr>
          <w:ilvl w:val="0"/>
          <w:numId w:val="27"/>
        </w:numPr>
      </w:pPr>
      <w:r w:rsidRPr="00027DD0">
        <w:t xml:space="preserve">fair value measurement – Level 3 valuation inputs used in measuring fair values of financial and </w:t>
      </w:r>
      <w:r>
        <w:t>non-financial</w:t>
      </w:r>
      <w:r w:rsidRPr="00027DD0">
        <w:t xml:space="preserve"> physical assets and liabilities in accordance with AASB 13 </w:t>
      </w:r>
      <w:r w:rsidRPr="00027DD0">
        <w:rPr>
          <w:i/>
          <w:iCs/>
        </w:rPr>
        <w:t>Fair Value Measurement</w:t>
      </w:r>
      <w:r w:rsidRPr="00027DD0">
        <w:t xml:space="preserve"> (Note </w:t>
      </w:r>
      <w:r>
        <w:t>6</w:t>
      </w:r>
      <w:r w:rsidRPr="00027DD0">
        <w:t>.4 and Note </w:t>
      </w:r>
      <w:r>
        <w:t>6</w:t>
      </w:r>
      <w:r w:rsidRPr="00027DD0">
        <w:t>.5).</w:t>
      </w:r>
    </w:p>
    <w:p w14:paraId="0224AF31" w14:textId="77777777" w:rsidR="004D42F9" w:rsidRDefault="004D42F9" w:rsidP="004D42F9">
      <w:r>
        <w:t xml:space="preserve">All amounts in the financial statements have been rounded to the nearest $1 000 000 except in the Public Account disclosure in Note 7.2 and the Related party transactions disclosure in Note 8.5, which are rounded to the nearest $1 000. </w:t>
      </w:r>
    </w:p>
    <w:p w14:paraId="5461A11F" w14:textId="77777777" w:rsidR="004D42F9" w:rsidRDefault="004D42F9" w:rsidP="004D42F9">
      <w:r>
        <w:t xml:space="preserve">Figures in the </w:t>
      </w:r>
      <w:r>
        <w:rPr>
          <w:i/>
        </w:rPr>
        <w:t>2024</w:t>
      </w:r>
      <w:r w:rsidRPr="005B6670">
        <w:rPr>
          <w:i/>
        </w:rPr>
        <w:noBreakHyphen/>
        <w:t>2</w:t>
      </w:r>
      <w:r>
        <w:rPr>
          <w:i/>
        </w:rPr>
        <w:t>5</w:t>
      </w:r>
      <w:r w:rsidRPr="005B6670">
        <w:rPr>
          <w:i/>
        </w:rPr>
        <w:t xml:space="preserve"> Financial Report</w:t>
      </w:r>
      <w:r>
        <w:t xml:space="preserve"> may not add due to rounding. </w:t>
      </w:r>
    </w:p>
    <w:p w14:paraId="406F168E" w14:textId="77777777" w:rsidR="004D42F9" w:rsidRDefault="004D42F9" w:rsidP="004D42F9"/>
    <w:p w14:paraId="00C10C79" w14:textId="77777777" w:rsidR="004D42F9" w:rsidRDefault="004D42F9" w:rsidP="004D42F9"/>
    <w:p w14:paraId="09082AFE" w14:textId="77777777" w:rsidR="004D42F9" w:rsidRDefault="004D42F9" w:rsidP="004D42F9">
      <w:pPr>
        <w:pStyle w:val="Heading2"/>
        <w:pageBreakBefore/>
      </w:pPr>
      <w:r>
        <w:lastRenderedPageBreak/>
        <w:t>Basis for consolidation</w:t>
      </w:r>
    </w:p>
    <w:p w14:paraId="19660C1F" w14:textId="77777777" w:rsidR="004D42F9" w:rsidRDefault="004D42F9" w:rsidP="004D42F9">
      <w:r>
        <w:t xml:space="preserve">The consolidated financial statements of the State incorporate assets and liabilities of all reporting entities it controlled as at 30 June 2025 and the revenue and expenses of controlled entities for the part of the reporting period in which control </w:t>
      </w:r>
      <w:r w:rsidRPr="00BE1EE6">
        <w:t>existed (</w:t>
      </w:r>
      <w:r w:rsidRPr="00251DEB">
        <w:t>Note 8.8</w:t>
      </w:r>
      <w:r w:rsidRPr="00BE1EE6">
        <w:t>).</w:t>
      </w:r>
    </w:p>
    <w:p w14:paraId="7AEBC8ED" w14:textId="1ED48AF4" w:rsidR="004D42F9" w:rsidRDefault="004D42F9" w:rsidP="004D42F9">
      <w:r>
        <w:t>The consolidated financial statements of the Victorian general government sector incorporate the assets and liabilities, revenue and expenses of entities classified as general government. Entities in the public non-financial corporation (PNFC) and public financial corporation (PFC) sectors are not consolidated into the financial statements of the general government sector, but are accounted for as equity investments measured at the Government</w:t>
      </w:r>
      <w:r w:rsidR="00845934">
        <w:t>’</w:t>
      </w:r>
      <w:r>
        <w:t>s proportional share of the carrying amount of the net assets of the PNFC and PFC sector entities before consolidation eliminations. Where the carrying amount of the entity</w:t>
      </w:r>
      <w:r w:rsidR="00845934">
        <w:t>’</w:t>
      </w:r>
      <w:r>
        <w:t xml:space="preserve">s net assets is less than zero (before consolidation), the amount is not included in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9 </w:t>
      </w:r>
      <w:r w:rsidRPr="000650B3">
        <w:rPr>
          <w:i/>
          <w:iCs/>
        </w:rPr>
        <w:t>Financial Instruments</w:t>
      </w:r>
      <w:r>
        <w:t xml:space="preserve">. </w:t>
      </w:r>
    </w:p>
    <w:p w14:paraId="4288357B" w14:textId="77777777" w:rsidR="004D42F9" w:rsidRDefault="004D42F9" w:rsidP="004D42F9">
      <w:r>
        <w:t xml:space="preserve">Entities which are not controlled by the State, including local government authorities, universities and denominated hospitals, are not consolidated into the financial statements for the State. </w:t>
      </w:r>
    </w:p>
    <w:p w14:paraId="7E7877D6" w14:textId="77777777" w:rsidR="004D42F9" w:rsidRDefault="004D42F9" w:rsidP="004D42F9">
      <w:r>
        <w:t>Where entities adopt dissimilar accounting policies and their effect is considered material, adjustments are made to ensure consistent policies are adopted in these financial statements.</w:t>
      </w:r>
    </w:p>
    <w:p w14:paraId="6E9A49DF" w14:textId="77777777" w:rsidR="004D42F9" w:rsidRDefault="004D42F9" w:rsidP="004D42F9">
      <w:r>
        <w:t>In preparing the consolidated financial statements for reporting the State and the Victorian general government sector, all material transactions and balances between consolidated government-controlled entities are eliminated.</w:t>
      </w:r>
    </w:p>
    <w:p w14:paraId="3010D70A" w14:textId="77777777" w:rsidR="004D42F9" w:rsidRDefault="004D42F9" w:rsidP="004D42F9">
      <w:r>
        <w:t>Although certain entities prepare their audited financial statements on a different financial year end basis, their information on transactions and balances supplied for consolidation purposes reflect adjusted audited figures.</w:t>
      </w:r>
    </w:p>
    <w:p w14:paraId="11166B2F" w14:textId="77777777" w:rsidR="004D42F9" w:rsidRDefault="004D42F9" w:rsidP="004D42F9">
      <w:r>
        <w:t xml:space="preserve">Consistent with the requirements of AASB 1004 </w:t>
      </w:r>
      <w:r w:rsidRPr="000650B3">
        <w:rPr>
          <w:i/>
          <w:iCs/>
        </w:rPr>
        <w:t>Contributions</w:t>
      </w:r>
      <w:r>
        <w:t>, contributions by owners (that is, contributed capital and its repayment) are treated as equity transactions and, therefore, do not form part of the revenues and expenses of the relevant sectors of government.</w:t>
      </w:r>
    </w:p>
    <w:p w14:paraId="241AA7AB" w14:textId="77777777" w:rsidR="004D42F9" w:rsidRDefault="004D42F9" w:rsidP="004D42F9">
      <w:pPr>
        <w:pStyle w:val="Heading2"/>
      </w:pPr>
      <w:r>
        <w:t>Compliance</w:t>
      </w:r>
    </w:p>
    <w:p w14:paraId="2D9F0A70" w14:textId="77777777" w:rsidR="004D42F9" w:rsidRDefault="004D42F9" w:rsidP="004D42F9">
      <w:r>
        <w:t xml:space="preserve">These general-purpose financial statements have been prepared in the manner and form as determined by the Treasurer, in accordance with the </w:t>
      </w:r>
      <w:r w:rsidRPr="005B6670">
        <w:rPr>
          <w:i/>
        </w:rPr>
        <w:t>Financial Management Act 1994</w:t>
      </w:r>
      <w:r>
        <w:t xml:space="preserve"> and applicable Australian Accounting Standards (AASs), which include Interpretations issued by the Australian Accounting Standards Board (AASB). In particular, they are presented consistent with the requirements of AASB 1049 </w:t>
      </w:r>
      <w:r w:rsidRPr="005B6670">
        <w:rPr>
          <w:i/>
        </w:rPr>
        <w:t>Whole of Government and General Government Sector Financial Reporting</w:t>
      </w:r>
      <w:r>
        <w:t xml:space="preserve">. </w:t>
      </w:r>
    </w:p>
    <w:p w14:paraId="496030D2" w14:textId="77777777" w:rsidR="004D42F9" w:rsidRDefault="004D42F9" w:rsidP="004D42F9">
      <w:r>
        <w:t>Where appropriate, those AAS paragraphs applicable to not-for-profit entities have been applied.</w:t>
      </w:r>
    </w:p>
    <w:p w14:paraId="0A3DC2BB" w14:textId="77777777" w:rsidR="004D42F9" w:rsidRDefault="004D42F9" w:rsidP="004D42F9">
      <w:pPr>
        <w:ind w:right="212"/>
      </w:pPr>
      <w:r>
        <w:t xml:space="preserve">The Government Finance Statistics (GFS) information included in this report is based on the GFS manual (the Australian Bureau of Statistics (ABS) publication </w:t>
      </w:r>
      <w:r w:rsidRPr="00A567E5">
        <w:rPr>
          <w:i/>
          <w:iCs/>
        </w:rPr>
        <w:t>Australian System of Government Finance Statistics: Concepts, Sources and Methods 2015</w:t>
      </w:r>
      <w:r>
        <w:t xml:space="preserve"> as updated from time to time). Note 8.4 describes the significant differences between Australian Accounting Standards and the requirements contained in the GFS Manual.</w:t>
      </w:r>
    </w:p>
    <w:p w14:paraId="7E643C9F" w14:textId="77777777" w:rsidR="004D42F9" w:rsidRPr="00DA3717" w:rsidRDefault="004D42F9" w:rsidP="004D42F9">
      <w:pPr>
        <w:pStyle w:val="Heading2"/>
        <w:ind w:left="0" w:firstLine="0"/>
      </w:pPr>
      <w:bookmarkStart w:id="55" w:name="_Hlk128655196"/>
      <w:r w:rsidRPr="006D3B4F">
        <w:t xml:space="preserve">Economic and fiscal impacts </w:t>
      </w:r>
      <w:bookmarkEnd w:id="55"/>
      <w:r w:rsidRPr="006D3B4F">
        <w:t xml:space="preserve">affecting this </w:t>
      </w:r>
      <w:r>
        <w:t>report</w:t>
      </w:r>
    </w:p>
    <w:p w14:paraId="6676A4E8" w14:textId="25520CD3" w:rsidR="004D42F9" w:rsidRDefault="004D42F9" w:rsidP="004D42F9">
      <w:pPr>
        <w:ind w:right="-239"/>
      </w:pPr>
      <w:r>
        <w:t>Cost of living pressures continued to weigh on the Victorian and national economies in 2024-25. Although growth in consumer prices has eased significantly from its peak, cost-of-living pressures remained elevated after the period of high national and global inflation in 2022 and much of 2023. Rising inflation prompted the Reserve Bank of Australia (RBA) to raise interest rates to a 12-year high by November 2023. A decline in inflation enabled the RBA to begin reducing interest rates in 2024-25 (in</w:t>
      </w:r>
      <w:r w:rsidR="008623A6">
        <w:t> </w:t>
      </w:r>
      <w:r>
        <w:t xml:space="preserve">February and May 2025) but the impact of these initial reductions on economic activity in the fiscal year will have been limited. </w:t>
      </w:r>
    </w:p>
    <w:p w14:paraId="70A14FF0" w14:textId="60F0FD25" w:rsidR="004D42F9" w:rsidRPr="00CD6100" w:rsidRDefault="004D42F9" w:rsidP="004D42F9">
      <w:pPr>
        <w:ind w:right="-239"/>
        <w:rPr>
          <w:b/>
        </w:rPr>
      </w:pPr>
      <w:r>
        <w:t>Cost-of-living pressures and restrictive interest rates have restrained activity in some sectors of the Victorian and national economies, and these headwinds have affected the State</w:t>
      </w:r>
      <w:r w:rsidR="00845934">
        <w:t>’</w:t>
      </w:r>
      <w:r>
        <w:t xml:space="preserve">s revenue and expenses, including </w:t>
      </w:r>
      <w:r w:rsidRPr="00CD6100">
        <w:t>land transfer duty revenue and interest expense. Interest rate rises have led to declines in borrowing capacity and housing sentiment, which have negatively affected land transfer duty revenue, however, the impact was lower than forecast for 2024</w:t>
      </w:r>
      <w:r w:rsidR="008623A6">
        <w:noBreakHyphen/>
      </w:r>
      <w:r w:rsidRPr="00CD6100">
        <w:t>25.</w:t>
      </w:r>
    </w:p>
    <w:p w14:paraId="7784AD75" w14:textId="6E5411CD" w:rsidR="004D42F9" w:rsidRPr="00E442AA" w:rsidRDefault="004D42F9" w:rsidP="004D42F9">
      <w:pPr>
        <w:ind w:right="-71"/>
      </w:pPr>
      <w:r w:rsidRPr="00CD6100">
        <w:lastRenderedPageBreak/>
        <w:t>The State</w:t>
      </w:r>
      <w:r w:rsidR="00845934">
        <w:t>’</w:t>
      </w:r>
      <w:r w:rsidRPr="00CD6100">
        <w:t xml:space="preserve">s comprehensive operating statement and balance sheet in 2024-25 were also </w:t>
      </w:r>
      <w:r>
        <w:t>affected</w:t>
      </w:r>
      <w:r w:rsidRPr="00CD6100">
        <w:t xml:space="preserve"> by financial market volatility and bond yield movements</w:t>
      </w:r>
      <w:r>
        <w:t>.</w:t>
      </w:r>
      <w:r w:rsidRPr="00CD6100">
        <w:t xml:space="preserve"> </w:t>
      </w:r>
      <w:r>
        <w:t>These movements favourably</w:t>
      </w:r>
      <w:r w:rsidRPr="00CD6100">
        <w:t xml:space="preserve"> impacted the investment returns of the Victorian Future Fund, the superannuation funds and State</w:t>
      </w:r>
      <w:r w:rsidR="00845934">
        <w:t>’</w:t>
      </w:r>
      <w:r w:rsidRPr="00CD6100">
        <w:t xml:space="preserve">s insurance agencies and </w:t>
      </w:r>
      <w:r w:rsidRPr="001A3766">
        <w:t>unfavourably impacted</w:t>
      </w:r>
      <w:r>
        <w:t xml:space="preserve"> </w:t>
      </w:r>
      <w:r w:rsidRPr="00CD6100">
        <w:t>the valuation of the related liabilities</w:t>
      </w:r>
      <w:r w:rsidRPr="00FB47B5">
        <w:t>.</w:t>
      </w:r>
      <w:r>
        <w:t xml:space="preserve"> </w:t>
      </w:r>
      <w:r w:rsidRPr="003D08DD">
        <w:t>The recent high inflation environment and the cost of labour and raw materials also had a significant impact on the State</w:t>
      </w:r>
      <w:r w:rsidR="00845934">
        <w:t>’</w:t>
      </w:r>
      <w:r w:rsidRPr="003D08DD">
        <w:t xml:space="preserve">s balance sheet through property, plant and equipment valuations within the </w:t>
      </w:r>
      <w:r>
        <w:t>t</w:t>
      </w:r>
      <w:r w:rsidRPr="003D08DD">
        <w:t>ransport sector during 2024</w:t>
      </w:r>
      <w:r w:rsidR="008623A6">
        <w:noBreakHyphen/>
      </w:r>
      <w:r w:rsidRPr="003D08DD">
        <w:t>25</w:t>
      </w:r>
      <w:r>
        <w:t>.</w:t>
      </w:r>
    </w:p>
    <w:p w14:paraId="37FF6AB3" w14:textId="77777777" w:rsidR="004D42F9" w:rsidRPr="00E442AA" w:rsidRDefault="004D42F9" w:rsidP="004D42F9">
      <w:r w:rsidRPr="00FB47B5">
        <w:t>Further market</w:t>
      </w:r>
      <w:r>
        <w:t>-</w:t>
      </w:r>
      <w:r w:rsidRPr="00FB47B5">
        <w:t xml:space="preserve">related impacts have also been considered and, where deemed appropriate, specifically included in relevant disclosures throughout the </w:t>
      </w:r>
      <w:r w:rsidRPr="008F372E">
        <w:rPr>
          <w:i/>
        </w:rPr>
        <w:t>202</w:t>
      </w:r>
      <w:r>
        <w:rPr>
          <w:i/>
        </w:rPr>
        <w:t>4</w:t>
      </w:r>
      <w:r w:rsidRPr="008F372E">
        <w:rPr>
          <w:i/>
        </w:rPr>
        <w:noBreakHyphen/>
        <w:t>2</w:t>
      </w:r>
      <w:r>
        <w:rPr>
          <w:i/>
        </w:rPr>
        <w:t>5</w:t>
      </w:r>
      <w:r w:rsidRPr="008F372E">
        <w:rPr>
          <w:i/>
        </w:rPr>
        <w:t xml:space="preserve"> Financial Report</w:t>
      </w:r>
      <w:r w:rsidRPr="00FB47B5">
        <w:t xml:space="preserve"> to reflect the material management judgements, estimates and assumptions in the valuation of key balances within the financial report: </w:t>
      </w:r>
    </w:p>
    <w:p w14:paraId="5CAD1EFB" w14:textId="77777777" w:rsidR="004D42F9" w:rsidRPr="00E442AA" w:rsidRDefault="004D42F9" w:rsidP="004D42F9">
      <w:pPr>
        <w:pStyle w:val="ListBullet"/>
        <w:keepLines/>
        <w:numPr>
          <w:ilvl w:val="0"/>
          <w:numId w:val="27"/>
        </w:numPr>
      </w:pPr>
      <w:r w:rsidRPr="00FB47B5">
        <w:t>Note </w:t>
      </w:r>
      <w:r>
        <w:t>3.3</w:t>
      </w:r>
      <w:r w:rsidRPr="00FB47B5">
        <w:t>: Superannuation</w:t>
      </w:r>
    </w:p>
    <w:p w14:paraId="788A67BC" w14:textId="77777777" w:rsidR="004D42F9" w:rsidRPr="00BE1EE6" w:rsidRDefault="004D42F9" w:rsidP="004D42F9">
      <w:pPr>
        <w:pStyle w:val="ListBullet"/>
        <w:keepLines/>
        <w:numPr>
          <w:ilvl w:val="0"/>
          <w:numId w:val="27"/>
        </w:numPr>
      </w:pPr>
      <w:r w:rsidRPr="00BE1EE6">
        <w:t>Note 3.7</w:t>
      </w:r>
      <w:r>
        <w:t>.1</w:t>
      </w:r>
      <w:r w:rsidRPr="00BE1EE6">
        <w:t>: Insurance claims</w:t>
      </w:r>
    </w:p>
    <w:p w14:paraId="70BA8E5B" w14:textId="77777777" w:rsidR="004D42F9" w:rsidRPr="00530F0B" w:rsidRDefault="004D42F9" w:rsidP="004D42F9">
      <w:pPr>
        <w:pStyle w:val="ListBullet"/>
        <w:keepLines/>
        <w:numPr>
          <w:ilvl w:val="0"/>
          <w:numId w:val="27"/>
        </w:numPr>
      </w:pPr>
      <w:r w:rsidRPr="00530F0B">
        <w:t xml:space="preserve">Note </w:t>
      </w:r>
      <w:r w:rsidRPr="00BE1EE6">
        <w:t>6</w:t>
      </w:r>
      <w:r w:rsidRPr="00530F0B">
        <w:t>.4: Fair value determination of financial assets and liabilities</w:t>
      </w:r>
    </w:p>
    <w:p w14:paraId="3FF42B06" w14:textId="77777777" w:rsidR="004D42F9" w:rsidRPr="00E442AA" w:rsidRDefault="004D42F9" w:rsidP="004D42F9">
      <w:pPr>
        <w:pStyle w:val="ListBullet"/>
        <w:keepLines/>
        <w:numPr>
          <w:ilvl w:val="0"/>
          <w:numId w:val="27"/>
        </w:numPr>
      </w:pPr>
      <w:r w:rsidRPr="00530F0B">
        <w:t>Note</w:t>
      </w:r>
      <w:r w:rsidRPr="00530F0B">
        <w:rPr>
          <w:rFonts w:hint="eastAsia"/>
        </w:rPr>
        <w:t> </w:t>
      </w:r>
      <w:r w:rsidRPr="00BE1EE6">
        <w:t>6</w:t>
      </w:r>
      <w:r w:rsidRPr="00530F0B">
        <w:t>.5:</w:t>
      </w:r>
      <w:r w:rsidRPr="00BE1EE6">
        <w:t xml:space="preserve"> Fair value determination</w:t>
      </w:r>
      <w:r w:rsidRPr="00FB47B5">
        <w:t xml:space="preserve"> of non</w:t>
      </w:r>
      <w:r w:rsidRPr="00FB47B5">
        <w:noBreakHyphen/>
        <w:t>financial assets.</w:t>
      </w:r>
      <w:r w:rsidRPr="00E442AA">
        <w:t xml:space="preserve"> </w:t>
      </w:r>
    </w:p>
    <w:p w14:paraId="152369A9" w14:textId="70CA3128" w:rsidR="004D42F9" w:rsidRDefault="008623A6" w:rsidP="004D42F9">
      <w:r>
        <w:br w:type="column"/>
      </w:r>
    </w:p>
    <w:p w14:paraId="0A994221" w14:textId="77777777" w:rsidR="004D42F9" w:rsidRDefault="004D42F9" w:rsidP="004D42F9"/>
    <w:p w14:paraId="441E94FE" w14:textId="77777777" w:rsidR="008623A6" w:rsidRDefault="008623A6" w:rsidP="004D42F9">
      <w:pPr>
        <w:sectPr w:rsidR="008623A6" w:rsidSect="008623A6">
          <w:headerReference w:type="even" r:id="rId55"/>
          <w:headerReference w:type="default" r:id="rId56"/>
          <w:footerReference w:type="even" r:id="rId57"/>
          <w:type w:val="continuous"/>
          <w:pgSz w:w="11906" w:h="16838" w:code="9"/>
          <w:pgMar w:top="1134" w:right="1134" w:bottom="1134" w:left="1134" w:header="624" w:footer="567" w:gutter="0"/>
          <w:cols w:num="2" w:space="708"/>
          <w:docGrid w:linePitch="360"/>
        </w:sectPr>
      </w:pPr>
    </w:p>
    <w:p w14:paraId="348A9546" w14:textId="77777777" w:rsidR="004D42F9" w:rsidRDefault="004D42F9" w:rsidP="004D42F9"/>
    <w:p w14:paraId="438D7B7E" w14:textId="77777777" w:rsidR="004D42F9" w:rsidRDefault="004D42F9" w:rsidP="004D42F9">
      <w:pPr>
        <w:keepLines w:val="0"/>
      </w:pPr>
      <w:r>
        <w:br w:type="page"/>
      </w:r>
    </w:p>
    <w:p w14:paraId="25C75B2E" w14:textId="77777777" w:rsidR="004D42F9" w:rsidRDefault="004D42F9" w:rsidP="00F35ABA">
      <w:pPr>
        <w:pStyle w:val="Heading1"/>
        <w:spacing w:before="0"/>
      </w:pPr>
      <w:bookmarkStart w:id="56" w:name="_Toc203394897"/>
      <w:bookmarkStart w:id="57" w:name="_Toc209474778"/>
      <w:r>
        <w:lastRenderedPageBreak/>
        <w:t>2.</w:t>
      </w:r>
      <w:r>
        <w:tab/>
        <w:t>How funds are raised</w:t>
      </w:r>
      <w:bookmarkEnd w:id="56"/>
      <w:bookmarkEnd w:id="57"/>
    </w:p>
    <w:p w14:paraId="44A4F45E" w14:textId="77777777" w:rsidR="008623A6" w:rsidRDefault="008623A6" w:rsidP="00F35ABA">
      <w:pPr>
        <w:pStyle w:val="Heading3"/>
        <w:spacing w:before="0"/>
        <w:sectPr w:rsidR="008623A6" w:rsidSect="004F2221">
          <w:headerReference w:type="even" r:id="rId58"/>
          <w:headerReference w:type="default" r:id="rId59"/>
          <w:type w:val="continuous"/>
          <w:pgSz w:w="11906" w:h="16838" w:code="9"/>
          <w:pgMar w:top="1134" w:right="1134" w:bottom="1134" w:left="1134" w:header="624" w:footer="567" w:gutter="0"/>
          <w:cols w:space="708"/>
          <w:titlePg/>
          <w:docGrid w:linePitch="360"/>
        </w:sectPr>
      </w:pPr>
    </w:p>
    <w:p w14:paraId="6C01B559" w14:textId="77777777" w:rsidR="004D42F9" w:rsidRDefault="004D42F9" w:rsidP="004D42F9">
      <w:pPr>
        <w:pStyle w:val="Heading3"/>
      </w:pPr>
      <w:r>
        <w:t xml:space="preserve">Introduction </w:t>
      </w:r>
    </w:p>
    <w:p w14:paraId="1896F5AB" w14:textId="77777777" w:rsidR="004D42F9" w:rsidRDefault="004D42F9" w:rsidP="004D42F9">
      <w:r w:rsidRPr="00977212">
        <w:t xml:space="preserve">This section presents the sources of revenue and income and the related receivables and other liabilities forecast for the </w:t>
      </w:r>
      <w:r>
        <w:t xml:space="preserve">State. Revenue and income recognition are determined by the State based on the substance of the relevant arrangement in accordance with the requirements of AASB 15 </w:t>
      </w:r>
      <w:r w:rsidRPr="005B6670">
        <w:rPr>
          <w:i/>
        </w:rPr>
        <w:t>Revenue from Contracts with Customers</w:t>
      </w:r>
      <w:r w:rsidRPr="002B0D5D">
        <w:t>, AASB</w:t>
      </w:r>
      <w:r>
        <w:t> </w:t>
      </w:r>
      <w:r w:rsidRPr="002B0D5D">
        <w:t>16</w:t>
      </w:r>
      <w:r>
        <w:t xml:space="preserve"> </w:t>
      </w:r>
      <w:r w:rsidRPr="002B0D5D">
        <w:rPr>
          <w:i/>
        </w:rPr>
        <w:t>Leases</w:t>
      </w:r>
      <w:r>
        <w:t xml:space="preserve">, AASB 1058 </w:t>
      </w:r>
      <w:r w:rsidRPr="005B6670">
        <w:rPr>
          <w:i/>
        </w:rPr>
        <w:t>Income of Not-for-Profit Entities</w:t>
      </w:r>
      <w:r>
        <w:rPr>
          <w:i/>
        </w:rPr>
        <w:t xml:space="preserve"> </w:t>
      </w:r>
      <w:r w:rsidRPr="002B0D5D">
        <w:t>and AASB 1059</w:t>
      </w:r>
      <w:r>
        <w:rPr>
          <w:i/>
        </w:rPr>
        <w:t xml:space="preserve"> Service Concession Arrangements: Grantors</w:t>
      </w:r>
      <w:r>
        <w:t>.</w:t>
      </w:r>
    </w:p>
    <w:p w14:paraId="725B6EF8" w14:textId="2D8A5DAB" w:rsidR="004D42F9" w:rsidRDefault="008623A6" w:rsidP="004D42F9">
      <w:pPr>
        <w:pStyle w:val="Heading3"/>
      </w:pPr>
      <w:r>
        <w:br w:type="column"/>
      </w:r>
      <w:r w:rsidR="004D42F9">
        <w:t>Structure</w:t>
      </w:r>
    </w:p>
    <w:p w14:paraId="549956DC" w14:textId="736073CF" w:rsidR="00F35ABA" w:rsidRDefault="004D42F9">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Section2 \t "Heading 2,9" </w:instrText>
      </w:r>
      <w:r>
        <w:rPr>
          <w:color w:val="2B579A"/>
          <w:shd w:val="clear" w:color="auto" w:fill="E6E6E6"/>
        </w:rPr>
        <w:fldChar w:fldCharType="separate"/>
      </w:r>
      <w:hyperlink w:anchor="_Toc209476160" w:history="1">
        <w:r w:rsidR="00F35ABA" w:rsidRPr="00BD0F15">
          <w:rPr>
            <w:rStyle w:val="Hyperlink"/>
            <w:noProof/>
          </w:rPr>
          <w:t>2.1</w:t>
        </w:r>
        <w:r w:rsidR="00F35ABA">
          <w:rPr>
            <w:rFonts w:eastAsiaTheme="minorEastAsia"/>
            <w:noProof/>
            <w:kern w:val="2"/>
            <w:sz w:val="24"/>
            <w:szCs w:val="24"/>
            <w:lang w:eastAsia="en-AU"/>
            <w14:ligatures w14:val="standardContextual"/>
          </w:rPr>
          <w:tab/>
        </w:r>
        <w:r w:rsidR="00F35ABA" w:rsidRPr="00BD0F15">
          <w:rPr>
            <w:rStyle w:val="Hyperlink"/>
            <w:noProof/>
          </w:rPr>
          <w:t>Taxation</w:t>
        </w:r>
        <w:r w:rsidR="00F35ABA">
          <w:rPr>
            <w:noProof/>
            <w:webHidden/>
          </w:rPr>
          <w:tab/>
        </w:r>
        <w:r w:rsidR="00F35ABA">
          <w:rPr>
            <w:noProof/>
            <w:webHidden/>
          </w:rPr>
          <w:fldChar w:fldCharType="begin"/>
        </w:r>
        <w:r w:rsidR="00F35ABA">
          <w:rPr>
            <w:noProof/>
            <w:webHidden/>
          </w:rPr>
          <w:instrText xml:space="preserve"> PAGEREF _Toc209476160 \h </w:instrText>
        </w:r>
        <w:r w:rsidR="00F35ABA">
          <w:rPr>
            <w:noProof/>
            <w:webHidden/>
          </w:rPr>
        </w:r>
        <w:r w:rsidR="00F35ABA">
          <w:rPr>
            <w:noProof/>
            <w:webHidden/>
          </w:rPr>
          <w:fldChar w:fldCharType="separate"/>
        </w:r>
        <w:r w:rsidR="00727C5B">
          <w:rPr>
            <w:noProof/>
            <w:webHidden/>
          </w:rPr>
          <w:t>46</w:t>
        </w:r>
        <w:r w:rsidR="00F35ABA">
          <w:rPr>
            <w:noProof/>
            <w:webHidden/>
          </w:rPr>
          <w:fldChar w:fldCharType="end"/>
        </w:r>
      </w:hyperlink>
    </w:p>
    <w:p w14:paraId="19A62019" w14:textId="17408DCB" w:rsidR="00F35ABA" w:rsidRDefault="00F35ABA">
      <w:pPr>
        <w:pStyle w:val="TOC9"/>
        <w:rPr>
          <w:rFonts w:eastAsiaTheme="minorEastAsia"/>
          <w:noProof/>
          <w:kern w:val="2"/>
          <w:sz w:val="24"/>
          <w:szCs w:val="24"/>
          <w:lang w:eastAsia="en-AU"/>
          <w14:ligatures w14:val="standardContextual"/>
        </w:rPr>
      </w:pPr>
      <w:hyperlink w:anchor="_Toc209476161" w:history="1">
        <w:r w:rsidRPr="00BD0F15">
          <w:rPr>
            <w:rStyle w:val="Hyperlink"/>
            <w:noProof/>
          </w:rPr>
          <w:t>2.2</w:t>
        </w:r>
        <w:r>
          <w:rPr>
            <w:rFonts w:eastAsiaTheme="minorEastAsia"/>
            <w:noProof/>
            <w:kern w:val="2"/>
            <w:sz w:val="24"/>
            <w:szCs w:val="24"/>
            <w:lang w:eastAsia="en-AU"/>
            <w14:ligatures w14:val="standardContextual"/>
          </w:rPr>
          <w:tab/>
        </w:r>
        <w:r w:rsidRPr="00BD0F15">
          <w:rPr>
            <w:rStyle w:val="Hyperlink"/>
            <w:noProof/>
          </w:rPr>
          <w:t>Interest income</w:t>
        </w:r>
        <w:r>
          <w:rPr>
            <w:noProof/>
            <w:webHidden/>
          </w:rPr>
          <w:tab/>
        </w:r>
        <w:r>
          <w:rPr>
            <w:noProof/>
            <w:webHidden/>
          </w:rPr>
          <w:fldChar w:fldCharType="begin"/>
        </w:r>
        <w:r>
          <w:rPr>
            <w:noProof/>
            <w:webHidden/>
          </w:rPr>
          <w:instrText xml:space="preserve"> PAGEREF _Toc209476161 \h </w:instrText>
        </w:r>
        <w:r>
          <w:rPr>
            <w:noProof/>
            <w:webHidden/>
          </w:rPr>
        </w:r>
        <w:r>
          <w:rPr>
            <w:noProof/>
            <w:webHidden/>
          </w:rPr>
          <w:fldChar w:fldCharType="separate"/>
        </w:r>
        <w:r w:rsidR="00727C5B">
          <w:rPr>
            <w:noProof/>
            <w:webHidden/>
          </w:rPr>
          <w:t>47</w:t>
        </w:r>
        <w:r>
          <w:rPr>
            <w:noProof/>
            <w:webHidden/>
          </w:rPr>
          <w:fldChar w:fldCharType="end"/>
        </w:r>
      </w:hyperlink>
    </w:p>
    <w:p w14:paraId="152A2152" w14:textId="005A4F44" w:rsidR="00F35ABA" w:rsidRDefault="00F35ABA">
      <w:pPr>
        <w:pStyle w:val="TOC9"/>
        <w:rPr>
          <w:rFonts w:eastAsiaTheme="minorEastAsia"/>
          <w:noProof/>
          <w:kern w:val="2"/>
          <w:sz w:val="24"/>
          <w:szCs w:val="24"/>
          <w:lang w:eastAsia="en-AU"/>
          <w14:ligatures w14:val="standardContextual"/>
        </w:rPr>
      </w:pPr>
      <w:hyperlink w:anchor="_Toc209476162" w:history="1">
        <w:r w:rsidRPr="00BD0F15">
          <w:rPr>
            <w:rStyle w:val="Hyperlink"/>
            <w:noProof/>
          </w:rPr>
          <w:t>2.3</w:t>
        </w:r>
        <w:r>
          <w:rPr>
            <w:rFonts w:eastAsiaTheme="minorEastAsia"/>
            <w:noProof/>
            <w:kern w:val="2"/>
            <w:sz w:val="24"/>
            <w:szCs w:val="24"/>
            <w:lang w:eastAsia="en-AU"/>
            <w14:ligatures w14:val="standardContextual"/>
          </w:rPr>
          <w:tab/>
        </w:r>
        <w:r w:rsidRPr="00BD0F15">
          <w:rPr>
            <w:rStyle w:val="Hyperlink"/>
            <w:noProof/>
          </w:rPr>
          <w:t>Dividends and income tax equivalent income</w:t>
        </w:r>
        <w:r>
          <w:rPr>
            <w:noProof/>
            <w:webHidden/>
          </w:rPr>
          <w:tab/>
        </w:r>
        <w:r>
          <w:rPr>
            <w:noProof/>
            <w:webHidden/>
          </w:rPr>
          <w:fldChar w:fldCharType="begin"/>
        </w:r>
        <w:r>
          <w:rPr>
            <w:noProof/>
            <w:webHidden/>
          </w:rPr>
          <w:instrText xml:space="preserve"> PAGEREF _Toc209476162 \h </w:instrText>
        </w:r>
        <w:r>
          <w:rPr>
            <w:noProof/>
            <w:webHidden/>
          </w:rPr>
        </w:r>
        <w:r>
          <w:rPr>
            <w:noProof/>
            <w:webHidden/>
          </w:rPr>
          <w:fldChar w:fldCharType="separate"/>
        </w:r>
        <w:r w:rsidR="00727C5B">
          <w:rPr>
            <w:noProof/>
            <w:webHidden/>
          </w:rPr>
          <w:t>47</w:t>
        </w:r>
        <w:r>
          <w:rPr>
            <w:noProof/>
            <w:webHidden/>
          </w:rPr>
          <w:fldChar w:fldCharType="end"/>
        </w:r>
      </w:hyperlink>
    </w:p>
    <w:p w14:paraId="0C4D1026" w14:textId="3D6066E9" w:rsidR="00F35ABA" w:rsidRDefault="00F35ABA">
      <w:pPr>
        <w:pStyle w:val="TOC9"/>
        <w:rPr>
          <w:rFonts w:eastAsiaTheme="minorEastAsia"/>
          <w:noProof/>
          <w:kern w:val="2"/>
          <w:sz w:val="24"/>
          <w:szCs w:val="24"/>
          <w:lang w:eastAsia="en-AU"/>
          <w14:ligatures w14:val="standardContextual"/>
        </w:rPr>
      </w:pPr>
      <w:hyperlink w:anchor="_Toc209476163" w:history="1">
        <w:r w:rsidRPr="00BD0F15">
          <w:rPr>
            <w:rStyle w:val="Hyperlink"/>
            <w:noProof/>
          </w:rPr>
          <w:t>2.4</w:t>
        </w:r>
        <w:r>
          <w:rPr>
            <w:rFonts w:eastAsiaTheme="minorEastAsia"/>
            <w:noProof/>
            <w:kern w:val="2"/>
            <w:sz w:val="24"/>
            <w:szCs w:val="24"/>
            <w:lang w:eastAsia="en-AU"/>
            <w14:ligatures w14:val="standardContextual"/>
          </w:rPr>
          <w:tab/>
        </w:r>
        <w:r w:rsidRPr="00BD0F15">
          <w:rPr>
            <w:rStyle w:val="Hyperlink"/>
            <w:noProof/>
          </w:rPr>
          <w:t>Sales of goods and services</w:t>
        </w:r>
        <w:r>
          <w:rPr>
            <w:noProof/>
            <w:webHidden/>
          </w:rPr>
          <w:tab/>
        </w:r>
        <w:r>
          <w:rPr>
            <w:noProof/>
            <w:webHidden/>
          </w:rPr>
          <w:fldChar w:fldCharType="begin"/>
        </w:r>
        <w:r>
          <w:rPr>
            <w:noProof/>
            <w:webHidden/>
          </w:rPr>
          <w:instrText xml:space="preserve"> PAGEREF _Toc209476163 \h </w:instrText>
        </w:r>
        <w:r>
          <w:rPr>
            <w:noProof/>
            <w:webHidden/>
          </w:rPr>
        </w:r>
        <w:r>
          <w:rPr>
            <w:noProof/>
            <w:webHidden/>
          </w:rPr>
          <w:fldChar w:fldCharType="separate"/>
        </w:r>
        <w:r w:rsidR="00727C5B">
          <w:rPr>
            <w:noProof/>
            <w:webHidden/>
          </w:rPr>
          <w:t>48</w:t>
        </w:r>
        <w:r>
          <w:rPr>
            <w:noProof/>
            <w:webHidden/>
          </w:rPr>
          <w:fldChar w:fldCharType="end"/>
        </w:r>
      </w:hyperlink>
    </w:p>
    <w:p w14:paraId="03712E9E" w14:textId="069E6719" w:rsidR="00F35ABA" w:rsidRDefault="00F35ABA">
      <w:pPr>
        <w:pStyle w:val="TOC9"/>
        <w:rPr>
          <w:rFonts w:eastAsiaTheme="minorEastAsia"/>
          <w:noProof/>
          <w:kern w:val="2"/>
          <w:sz w:val="24"/>
          <w:szCs w:val="24"/>
          <w:lang w:eastAsia="en-AU"/>
          <w14:ligatures w14:val="standardContextual"/>
        </w:rPr>
      </w:pPr>
      <w:hyperlink w:anchor="_Toc209476164" w:history="1">
        <w:r w:rsidRPr="00BD0F15">
          <w:rPr>
            <w:rStyle w:val="Hyperlink"/>
            <w:noProof/>
          </w:rPr>
          <w:t>2.5</w:t>
        </w:r>
        <w:r>
          <w:rPr>
            <w:rFonts w:eastAsiaTheme="minorEastAsia"/>
            <w:noProof/>
            <w:kern w:val="2"/>
            <w:sz w:val="24"/>
            <w:szCs w:val="24"/>
            <w:lang w:eastAsia="en-AU"/>
            <w14:ligatures w14:val="standardContextual"/>
          </w:rPr>
          <w:tab/>
        </w:r>
        <w:r w:rsidRPr="00BD0F15">
          <w:rPr>
            <w:rStyle w:val="Hyperlink"/>
            <w:noProof/>
          </w:rPr>
          <w:t>Grants</w:t>
        </w:r>
        <w:r>
          <w:rPr>
            <w:noProof/>
            <w:webHidden/>
          </w:rPr>
          <w:tab/>
        </w:r>
        <w:r>
          <w:rPr>
            <w:noProof/>
            <w:webHidden/>
          </w:rPr>
          <w:fldChar w:fldCharType="begin"/>
        </w:r>
        <w:r>
          <w:rPr>
            <w:noProof/>
            <w:webHidden/>
          </w:rPr>
          <w:instrText xml:space="preserve"> PAGEREF _Toc209476164 \h </w:instrText>
        </w:r>
        <w:r>
          <w:rPr>
            <w:noProof/>
            <w:webHidden/>
          </w:rPr>
        </w:r>
        <w:r>
          <w:rPr>
            <w:noProof/>
            <w:webHidden/>
          </w:rPr>
          <w:fldChar w:fldCharType="separate"/>
        </w:r>
        <w:r w:rsidR="00727C5B">
          <w:rPr>
            <w:noProof/>
            <w:webHidden/>
          </w:rPr>
          <w:t>49</w:t>
        </w:r>
        <w:r>
          <w:rPr>
            <w:noProof/>
            <w:webHidden/>
          </w:rPr>
          <w:fldChar w:fldCharType="end"/>
        </w:r>
      </w:hyperlink>
    </w:p>
    <w:p w14:paraId="28160857" w14:textId="5BFC04F1" w:rsidR="00F35ABA" w:rsidRDefault="00F35ABA">
      <w:pPr>
        <w:pStyle w:val="TOC9"/>
        <w:rPr>
          <w:rFonts w:eastAsiaTheme="minorEastAsia"/>
          <w:noProof/>
          <w:kern w:val="2"/>
          <w:sz w:val="24"/>
          <w:szCs w:val="24"/>
          <w:lang w:eastAsia="en-AU"/>
          <w14:ligatures w14:val="standardContextual"/>
        </w:rPr>
      </w:pPr>
      <w:hyperlink w:anchor="_Toc209476165" w:history="1">
        <w:r w:rsidRPr="00BD0F15">
          <w:rPr>
            <w:rStyle w:val="Hyperlink"/>
            <w:noProof/>
          </w:rPr>
          <w:t>2.6</w:t>
        </w:r>
        <w:r>
          <w:rPr>
            <w:rFonts w:eastAsiaTheme="minorEastAsia"/>
            <w:noProof/>
            <w:kern w:val="2"/>
            <w:sz w:val="24"/>
            <w:szCs w:val="24"/>
            <w:lang w:eastAsia="en-AU"/>
            <w14:ligatures w14:val="standardContextual"/>
          </w:rPr>
          <w:tab/>
        </w:r>
        <w:r w:rsidRPr="00BD0F15">
          <w:rPr>
            <w:rStyle w:val="Hyperlink"/>
            <w:noProof/>
          </w:rPr>
          <w:t>Other revenue and income</w:t>
        </w:r>
        <w:r>
          <w:rPr>
            <w:noProof/>
            <w:webHidden/>
          </w:rPr>
          <w:tab/>
        </w:r>
        <w:r>
          <w:rPr>
            <w:noProof/>
            <w:webHidden/>
          </w:rPr>
          <w:fldChar w:fldCharType="begin"/>
        </w:r>
        <w:r>
          <w:rPr>
            <w:noProof/>
            <w:webHidden/>
          </w:rPr>
          <w:instrText xml:space="preserve"> PAGEREF _Toc209476165 \h </w:instrText>
        </w:r>
        <w:r>
          <w:rPr>
            <w:noProof/>
            <w:webHidden/>
          </w:rPr>
        </w:r>
        <w:r>
          <w:rPr>
            <w:noProof/>
            <w:webHidden/>
          </w:rPr>
          <w:fldChar w:fldCharType="separate"/>
        </w:r>
        <w:r w:rsidR="00727C5B">
          <w:rPr>
            <w:noProof/>
            <w:webHidden/>
          </w:rPr>
          <w:t>50</w:t>
        </w:r>
        <w:r>
          <w:rPr>
            <w:noProof/>
            <w:webHidden/>
          </w:rPr>
          <w:fldChar w:fldCharType="end"/>
        </w:r>
      </w:hyperlink>
    </w:p>
    <w:p w14:paraId="704ABA22" w14:textId="0756AAFE" w:rsidR="00F35ABA" w:rsidRDefault="00F35ABA">
      <w:pPr>
        <w:pStyle w:val="TOC9"/>
        <w:rPr>
          <w:rFonts w:eastAsiaTheme="minorEastAsia"/>
          <w:noProof/>
          <w:kern w:val="2"/>
          <w:sz w:val="24"/>
          <w:szCs w:val="24"/>
          <w:lang w:eastAsia="en-AU"/>
          <w14:ligatures w14:val="standardContextual"/>
        </w:rPr>
      </w:pPr>
      <w:hyperlink w:anchor="_Toc209476166" w:history="1">
        <w:r w:rsidRPr="00BD0F15">
          <w:rPr>
            <w:rStyle w:val="Hyperlink"/>
            <w:noProof/>
          </w:rPr>
          <w:t>2.7</w:t>
        </w:r>
        <w:r>
          <w:rPr>
            <w:rFonts w:eastAsiaTheme="minorEastAsia"/>
            <w:noProof/>
            <w:kern w:val="2"/>
            <w:sz w:val="24"/>
            <w:szCs w:val="24"/>
            <w:lang w:eastAsia="en-AU"/>
            <w14:ligatures w14:val="standardContextual"/>
          </w:rPr>
          <w:tab/>
        </w:r>
        <w:r w:rsidRPr="00BD0F15">
          <w:rPr>
            <w:rStyle w:val="Hyperlink"/>
            <w:noProof/>
          </w:rPr>
          <w:t>Receivables and contract assets</w:t>
        </w:r>
        <w:r>
          <w:rPr>
            <w:noProof/>
            <w:webHidden/>
          </w:rPr>
          <w:tab/>
        </w:r>
        <w:r>
          <w:rPr>
            <w:noProof/>
            <w:webHidden/>
          </w:rPr>
          <w:fldChar w:fldCharType="begin"/>
        </w:r>
        <w:r>
          <w:rPr>
            <w:noProof/>
            <w:webHidden/>
          </w:rPr>
          <w:instrText xml:space="preserve"> PAGEREF _Toc209476166 \h </w:instrText>
        </w:r>
        <w:r>
          <w:rPr>
            <w:noProof/>
            <w:webHidden/>
          </w:rPr>
        </w:r>
        <w:r>
          <w:rPr>
            <w:noProof/>
            <w:webHidden/>
          </w:rPr>
          <w:fldChar w:fldCharType="separate"/>
        </w:r>
        <w:r w:rsidR="00727C5B">
          <w:rPr>
            <w:noProof/>
            <w:webHidden/>
          </w:rPr>
          <w:t>51</w:t>
        </w:r>
        <w:r>
          <w:rPr>
            <w:noProof/>
            <w:webHidden/>
          </w:rPr>
          <w:fldChar w:fldCharType="end"/>
        </w:r>
      </w:hyperlink>
    </w:p>
    <w:p w14:paraId="499CFCA6" w14:textId="1898B9C1" w:rsidR="004D42F9" w:rsidRDefault="00F35ABA" w:rsidP="008623A6">
      <w:pPr>
        <w:pStyle w:val="TOC9"/>
        <w:rPr>
          <w:color w:val="2B579A"/>
          <w:shd w:val="clear" w:color="auto" w:fill="E6E6E6"/>
        </w:rPr>
      </w:pPr>
      <w:hyperlink w:anchor="_Toc209476167" w:history="1">
        <w:r w:rsidRPr="00BD0F15">
          <w:rPr>
            <w:rStyle w:val="Hyperlink"/>
            <w:noProof/>
          </w:rPr>
          <w:t>2.8</w:t>
        </w:r>
        <w:r>
          <w:rPr>
            <w:rFonts w:eastAsiaTheme="minorEastAsia"/>
            <w:noProof/>
            <w:kern w:val="2"/>
            <w:sz w:val="24"/>
            <w:szCs w:val="24"/>
            <w:lang w:eastAsia="en-AU"/>
            <w14:ligatures w14:val="standardContextual"/>
          </w:rPr>
          <w:tab/>
        </w:r>
        <w:r w:rsidRPr="00BD0F15">
          <w:rPr>
            <w:rStyle w:val="Hyperlink"/>
            <w:noProof/>
          </w:rPr>
          <w:t>Other liabilities</w:t>
        </w:r>
        <w:r>
          <w:rPr>
            <w:noProof/>
            <w:webHidden/>
          </w:rPr>
          <w:tab/>
        </w:r>
        <w:r>
          <w:rPr>
            <w:noProof/>
            <w:webHidden/>
          </w:rPr>
          <w:fldChar w:fldCharType="begin"/>
        </w:r>
        <w:r>
          <w:rPr>
            <w:noProof/>
            <w:webHidden/>
          </w:rPr>
          <w:instrText xml:space="preserve"> PAGEREF _Toc209476167 \h </w:instrText>
        </w:r>
        <w:r>
          <w:rPr>
            <w:noProof/>
            <w:webHidden/>
          </w:rPr>
        </w:r>
        <w:r>
          <w:rPr>
            <w:noProof/>
            <w:webHidden/>
          </w:rPr>
          <w:fldChar w:fldCharType="separate"/>
        </w:r>
        <w:r w:rsidR="00727C5B">
          <w:rPr>
            <w:noProof/>
            <w:webHidden/>
          </w:rPr>
          <w:t>52</w:t>
        </w:r>
        <w:r>
          <w:rPr>
            <w:noProof/>
            <w:webHidden/>
          </w:rPr>
          <w:fldChar w:fldCharType="end"/>
        </w:r>
      </w:hyperlink>
      <w:r w:rsidR="004D42F9">
        <w:rPr>
          <w:color w:val="2B579A"/>
          <w:shd w:val="clear" w:color="auto" w:fill="E6E6E6"/>
        </w:rPr>
        <w:fldChar w:fldCharType="end"/>
      </w:r>
    </w:p>
    <w:p w14:paraId="008AC00A" w14:textId="77777777" w:rsidR="008623A6" w:rsidRPr="008623A6" w:rsidRDefault="008623A6" w:rsidP="008623A6">
      <w:pPr>
        <w:spacing w:before="0"/>
      </w:pPr>
    </w:p>
    <w:p w14:paraId="073F96D7" w14:textId="77777777" w:rsidR="008623A6" w:rsidRDefault="008623A6" w:rsidP="004D42F9">
      <w:pPr>
        <w:sectPr w:rsidR="008623A6" w:rsidSect="008623A6">
          <w:type w:val="continuous"/>
          <w:pgSz w:w="11906" w:h="16838" w:code="9"/>
          <w:pgMar w:top="1134" w:right="1134" w:bottom="1134" w:left="1134" w:header="624" w:footer="567" w:gutter="0"/>
          <w:cols w:num="2" w:space="708"/>
          <w:docGrid w:linePitch="360"/>
        </w:sectPr>
      </w:pPr>
    </w:p>
    <w:p w14:paraId="52B35AD1" w14:textId="77777777" w:rsidR="004D42F9" w:rsidRDefault="004D42F9" w:rsidP="004D42F9">
      <w:pPr>
        <w:pStyle w:val="Heading2"/>
        <w:spacing w:before="0"/>
      </w:pPr>
      <w:bookmarkStart w:id="58" w:name="_Toc209476160"/>
      <w:bookmarkStart w:id="59" w:name="Section2"/>
      <w:r>
        <w:t>2.1</w:t>
      </w:r>
      <w:r>
        <w:tab/>
        <w:t>Taxation</w:t>
      </w:r>
      <w:bookmarkEnd w:id="58"/>
    </w:p>
    <w:p w14:paraId="45AFD287"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Taxation_revenue"/>
      </w:tblPr>
      <w:tblGrid>
        <w:gridCol w:w="6010"/>
        <w:gridCol w:w="907"/>
        <w:gridCol w:w="907"/>
        <w:gridCol w:w="965"/>
        <w:gridCol w:w="849"/>
      </w:tblGrid>
      <w:tr w:rsidR="004D42F9" w14:paraId="5F64065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52C4D47" w14:textId="77777777" w:rsidR="004D42F9" w:rsidRDefault="004D42F9">
            <w:pPr>
              <w:keepNext/>
              <w:spacing w:after="0"/>
            </w:pPr>
          </w:p>
        </w:tc>
        <w:tc>
          <w:tcPr>
            <w:tcW w:w="1814" w:type="dxa"/>
            <w:gridSpan w:val="2"/>
          </w:tcPr>
          <w:p w14:paraId="0F9D542B" w14:textId="77777777" w:rsidR="004D42F9" w:rsidRDefault="004D42F9">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1B2B204" w14:textId="77777777" w:rsidR="004D42F9" w:rsidRDefault="004D42F9">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40F7B" w14:paraId="3190254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B54FF7F" w14:textId="77777777" w:rsidR="004D42F9" w:rsidRDefault="004D42F9">
            <w:pPr>
              <w:keepNext/>
              <w:spacing w:after="0"/>
            </w:pPr>
          </w:p>
        </w:tc>
        <w:tc>
          <w:tcPr>
            <w:tcW w:w="907" w:type="dxa"/>
          </w:tcPr>
          <w:p w14:paraId="26DA5938" w14:textId="77777777" w:rsidR="004D42F9" w:rsidRDefault="004D42F9">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19D8805" w14:textId="77777777" w:rsidR="004D42F9" w:rsidRDefault="004D42F9">
            <w:pPr>
              <w:keepNext/>
              <w:spacing w:after="0"/>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3377F704" w14:textId="77777777" w:rsidR="004D42F9" w:rsidRDefault="004D42F9">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849" w:type="dxa"/>
          </w:tcPr>
          <w:p w14:paraId="1C4C2E12" w14:textId="77777777" w:rsidR="004D42F9" w:rsidRDefault="004D42F9">
            <w:pPr>
              <w:keepNext/>
              <w:spacing w:after="0"/>
              <w:cnfStyle w:val="100000000000" w:firstRow="1" w:lastRow="0" w:firstColumn="0" w:lastColumn="0" w:oddVBand="0" w:evenVBand="0" w:oddHBand="0" w:evenHBand="0" w:firstRowFirstColumn="0" w:firstRowLastColumn="0" w:lastRowFirstColumn="0" w:lastRowLastColumn="0"/>
            </w:pPr>
            <w:r>
              <w:t>2024</w:t>
            </w:r>
          </w:p>
        </w:tc>
      </w:tr>
      <w:tr w:rsidR="004D42F9" w14:paraId="26713309" w14:textId="77777777">
        <w:tc>
          <w:tcPr>
            <w:cnfStyle w:val="001000000000" w:firstRow="0" w:lastRow="0" w:firstColumn="1" w:lastColumn="0" w:oddVBand="0" w:evenVBand="0" w:oddHBand="0" w:evenHBand="0" w:firstRowFirstColumn="0" w:firstRowLastColumn="0" w:lastRowFirstColumn="0" w:lastRowLastColumn="0"/>
            <w:tcW w:w="6010" w:type="dxa"/>
          </w:tcPr>
          <w:p w14:paraId="01F40718" w14:textId="5346794A" w:rsidR="004D42F9" w:rsidRDefault="004D42F9">
            <w:pPr>
              <w:spacing w:after="0"/>
            </w:pPr>
            <w:r>
              <w:rPr>
                <w:b/>
              </w:rPr>
              <w:t>TAXES ON EMPLOYERS</w:t>
            </w:r>
            <w:r w:rsidR="00845934">
              <w:rPr>
                <w:b/>
              </w:rPr>
              <w:t>’</w:t>
            </w:r>
            <w:r>
              <w:rPr>
                <w:b/>
              </w:rPr>
              <w:t xml:space="preserve"> PAYROLL AND LABOUR FORCE</w:t>
            </w:r>
          </w:p>
        </w:tc>
        <w:tc>
          <w:tcPr>
            <w:tcW w:w="907" w:type="dxa"/>
          </w:tcPr>
          <w:p w14:paraId="09C0CA7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423C0D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65" w:type="dxa"/>
          </w:tcPr>
          <w:p w14:paraId="2AA932B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849" w:type="dxa"/>
          </w:tcPr>
          <w:p w14:paraId="380B596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r>
      <w:tr w:rsidR="004D42F9" w14:paraId="0CCCFFAB" w14:textId="77777777">
        <w:tc>
          <w:tcPr>
            <w:cnfStyle w:val="001000000000" w:firstRow="0" w:lastRow="0" w:firstColumn="1" w:lastColumn="0" w:oddVBand="0" w:evenVBand="0" w:oddHBand="0" w:evenHBand="0" w:firstRowFirstColumn="0" w:firstRowLastColumn="0" w:lastRowFirstColumn="0" w:lastRowLastColumn="0"/>
            <w:tcW w:w="6010" w:type="dxa"/>
          </w:tcPr>
          <w:p w14:paraId="5FBFB4B6" w14:textId="77777777" w:rsidR="004D42F9" w:rsidRDefault="004D42F9">
            <w:pPr>
              <w:spacing w:after="0"/>
            </w:pPr>
            <w:r>
              <w:t>Payroll tax</w:t>
            </w:r>
          </w:p>
        </w:tc>
        <w:tc>
          <w:tcPr>
            <w:tcW w:w="907" w:type="dxa"/>
          </w:tcPr>
          <w:p w14:paraId="58849F2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9 064</w:t>
            </w:r>
          </w:p>
        </w:tc>
        <w:tc>
          <w:tcPr>
            <w:tcW w:w="907" w:type="dxa"/>
          </w:tcPr>
          <w:p w14:paraId="72DA90B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8 527</w:t>
            </w:r>
          </w:p>
        </w:tc>
        <w:tc>
          <w:tcPr>
            <w:tcW w:w="965" w:type="dxa"/>
          </w:tcPr>
          <w:p w14:paraId="45EF2F8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9 186</w:t>
            </w:r>
          </w:p>
        </w:tc>
        <w:tc>
          <w:tcPr>
            <w:tcW w:w="849" w:type="dxa"/>
          </w:tcPr>
          <w:p w14:paraId="03FFF0F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8 639</w:t>
            </w:r>
          </w:p>
        </w:tc>
      </w:tr>
      <w:tr w:rsidR="004D42F9" w14:paraId="06862EA2" w14:textId="77777777">
        <w:tc>
          <w:tcPr>
            <w:cnfStyle w:val="001000000000" w:firstRow="0" w:lastRow="0" w:firstColumn="1" w:lastColumn="0" w:oddVBand="0" w:evenVBand="0" w:oddHBand="0" w:evenHBand="0" w:firstRowFirstColumn="0" w:firstRowLastColumn="0" w:lastRowFirstColumn="0" w:lastRowLastColumn="0"/>
            <w:tcW w:w="6010" w:type="dxa"/>
          </w:tcPr>
          <w:p w14:paraId="2F78E9DC" w14:textId="77777777" w:rsidR="004D42F9" w:rsidRDefault="004D42F9">
            <w:pPr>
              <w:spacing w:after="0"/>
            </w:pPr>
            <w:r>
              <w:t>COVID Debt Levy – Payroll $10m+</w:t>
            </w:r>
          </w:p>
        </w:tc>
        <w:tc>
          <w:tcPr>
            <w:tcW w:w="907" w:type="dxa"/>
          </w:tcPr>
          <w:p w14:paraId="4CB0733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1 051</w:t>
            </w:r>
          </w:p>
        </w:tc>
        <w:tc>
          <w:tcPr>
            <w:tcW w:w="907" w:type="dxa"/>
          </w:tcPr>
          <w:p w14:paraId="2841CE9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924</w:t>
            </w:r>
          </w:p>
        </w:tc>
        <w:tc>
          <w:tcPr>
            <w:tcW w:w="965" w:type="dxa"/>
          </w:tcPr>
          <w:p w14:paraId="7F9F521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1 066</w:t>
            </w:r>
          </w:p>
        </w:tc>
        <w:tc>
          <w:tcPr>
            <w:tcW w:w="849" w:type="dxa"/>
          </w:tcPr>
          <w:p w14:paraId="1E1E2BE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934</w:t>
            </w:r>
          </w:p>
        </w:tc>
      </w:tr>
      <w:tr w:rsidR="004D42F9" w14:paraId="5FBE3656"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4B7B2CC" w14:textId="77777777" w:rsidR="004D42F9" w:rsidRDefault="004D42F9">
            <w:pPr>
              <w:spacing w:after="0"/>
            </w:pPr>
            <w:r>
              <w:t>Mental Health and Wellbeing Levy</w:t>
            </w:r>
          </w:p>
        </w:tc>
        <w:tc>
          <w:tcPr>
            <w:tcW w:w="907" w:type="dxa"/>
            <w:tcBorders>
              <w:bottom w:val="single" w:sz="6" w:space="0" w:color="auto"/>
            </w:tcBorders>
          </w:tcPr>
          <w:p w14:paraId="765333E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1 051</w:t>
            </w:r>
          </w:p>
        </w:tc>
        <w:tc>
          <w:tcPr>
            <w:tcW w:w="907" w:type="dxa"/>
            <w:tcBorders>
              <w:bottom w:val="single" w:sz="6" w:space="0" w:color="auto"/>
            </w:tcBorders>
          </w:tcPr>
          <w:p w14:paraId="70FBA93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1 001</w:t>
            </w:r>
          </w:p>
        </w:tc>
        <w:tc>
          <w:tcPr>
            <w:tcW w:w="965" w:type="dxa"/>
            <w:tcBorders>
              <w:bottom w:val="single" w:sz="6" w:space="0" w:color="auto"/>
            </w:tcBorders>
          </w:tcPr>
          <w:p w14:paraId="0197A41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1 066</w:t>
            </w:r>
          </w:p>
        </w:tc>
        <w:tc>
          <w:tcPr>
            <w:tcW w:w="849" w:type="dxa"/>
            <w:tcBorders>
              <w:bottom w:val="single" w:sz="6" w:space="0" w:color="auto"/>
            </w:tcBorders>
          </w:tcPr>
          <w:p w14:paraId="317E924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1 018</w:t>
            </w:r>
          </w:p>
        </w:tc>
      </w:tr>
      <w:tr w:rsidR="004D42F9" w14:paraId="287B094E"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F375B59" w14:textId="3515AE7D" w:rsidR="004D42F9" w:rsidRDefault="004D42F9">
            <w:pPr>
              <w:spacing w:after="0"/>
            </w:pPr>
            <w:r>
              <w:rPr>
                <w:b/>
              </w:rPr>
              <w:t>Total taxes on employers</w:t>
            </w:r>
            <w:r w:rsidR="00845934">
              <w:rPr>
                <w:b/>
              </w:rPr>
              <w:t>’</w:t>
            </w:r>
            <w:r>
              <w:rPr>
                <w:b/>
              </w:rPr>
              <w:t xml:space="preserve"> payroll and labour force</w:t>
            </w:r>
          </w:p>
        </w:tc>
        <w:tc>
          <w:tcPr>
            <w:tcW w:w="907" w:type="dxa"/>
            <w:tcBorders>
              <w:top w:val="single" w:sz="6" w:space="0" w:color="auto"/>
              <w:bottom w:val="single" w:sz="6" w:space="0" w:color="auto"/>
            </w:tcBorders>
          </w:tcPr>
          <w:p w14:paraId="29B815E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11 166</w:t>
            </w:r>
          </w:p>
        </w:tc>
        <w:tc>
          <w:tcPr>
            <w:tcW w:w="907" w:type="dxa"/>
            <w:tcBorders>
              <w:top w:val="single" w:sz="6" w:space="0" w:color="auto"/>
              <w:bottom w:val="single" w:sz="6" w:space="0" w:color="auto"/>
            </w:tcBorders>
          </w:tcPr>
          <w:p w14:paraId="162C73E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10 452</w:t>
            </w:r>
          </w:p>
        </w:tc>
        <w:tc>
          <w:tcPr>
            <w:tcW w:w="965" w:type="dxa"/>
            <w:tcBorders>
              <w:top w:val="single" w:sz="6" w:space="0" w:color="auto"/>
              <w:bottom w:val="single" w:sz="6" w:space="0" w:color="auto"/>
            </w:tcBorders>
          </w:tcPr>
          <w:p w14:paraId="4267B8A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11 318</w:t>
            </w:r>
          </w:p>
        </w:tc>
        <w:tc>
          <w:tcPr>
            <w:tcW w:w="849" w:type="dxa"/>
            <w:tcBorders>
              <w:top w:val="single" w:sz="6" w:space="0" w:color="auto"/>
              <w:bottom w:val="single" w:sz="6" w:space="0" w:color="auto"/>
            </w:tcBorders>
          </w:tcPr>
          <w:p w14:paraId="202437B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10 590</w:t>
            </w:r>
          </w:p>
        </w:tc>
      </w:tr>
      <w:tr w:rsidR="004D42F9" w14:paraId="73C76592"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320BF4B" w14:textId="77777777" w:rsidR="004D42F9" w:rsidRDefault="004D42F9" w:rsidP="008623A6">
            <w:pPr>
              <w:spacing w:before="120" w:after="0"/>
            </w:pPr>
            <w:r>
              <w:rPr>
                <w:b/>
              </w:rPr>
              <w:t>TAXES ON IMMOVABLE PROPERTY</w:t>
            </w:r>
          </w:p>
        </w:tc>
        <w:tc>
          <w:tcPr>
            <w:tcW w:w="907" w:type="dxa"/>
            <w:tcBorders>
              <w:top w:val="single" w:sz="6" w:space="0" w:color="auto"/>
            </w:tcBorders>
          </w:tcPr>
          <w:p w14:paraId="6A575E6F"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4CEBF63"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7A91047D"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28663336"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r>
      <w:tr w:rsidR="004D42F9" w14:paraId="41CD436F" w14:textId="77777777">
        <w:tc>
          <w:tcPr>
            <w:cnfStyle w:val="001000000000" w:firstRow="0" w:lastRow="0" w:firstColumn="1" w:lastColumn="0" w:oddVBand="0" w:evenVBand="0" w:oddHBand="0" w:evenHBand="0" w:firstRowFirstColumn="0" w:firstRowLastColumn="0" w:lastRowFirstColumn="0" w:lastRowLastColumn="0"/>
            <w:tcW w:w="6010" w:type="dxa"/>
          </w:tcPr>
          <w:p w14:paraId="439092C4" w14:textId="77777777" w:rsidR="004D42F9" w:rsidRDefault="004D42F9">
            <w:pPr>
              <w:spacing w:after="0"/>
            </w:pPr>
            <w:r>
              <w:t>Land tax</w:t>
            </w:r>
          </w:p>
        </w:tc>
        <w:tc>
          <w:tcPr>
            <w:tcW w:w="907" w:type="dxa"/>
          </w:tcPr>
          <w:p w14:paraId="1C5B457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6 054</w:t>
            </w:r>
          </w:p>
        </w:tc>
        <w:tc>
          <w:tcPr>
            <w:tcW w:w="907" w:type="dxa"/>
          </w:tcPr>
          <w:p w14:paraId="7483CA8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5 864</w:t>
            </w:r>
          </w:p>
        </w:tc>
        <w:tc>
          <w:tcPr>
            <w:tcW w:w="965" w:type="dxa"/>
          </w:tcPr>
          <w:p w14:paraId="7EFD8C0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6 114</w:t>
            </w:r>
          </w:p>
        </w:tc>
        <w:tc>
          <w:tcPr>
            <w:tcW w:w="849" w:type="dxa"/>
          </w:tcPr>
          <w:p w14:paraId="5FF1296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5 930</w:t>
            </w:r>
          </w:p>
        </w:tc>
      </w:tr>
      <w:tr w:rsidR="004D42F9" w14:paraId="7A1918D2" w14:textId="77777777">
        <w:tc>
          <w:tcPr>
            <w:cnfStyle w:val="001000000000" w:firstRow="0" w:lastRow="0" w:firstColumn="1" w:lastColumn="0" w:oddVBand="0" w:evenVBand="0" w:oddHBand="0" w:evenHBand="0" w:firstRowFirstColumn="0" w:firstRowLastColumn="0" w:lastRowFirstColumn="0" w:lastRowLastColumn="0"/>
            <w:tcW w:w="6010" w:type="dxa"/>
          </w:tcPr>
          <w:p w14:paraId="7AA0C0F4" w14:textId="77777777" w:rsidR="004D42F9" w:rsidRDefault="004D42F9">
            <w:pPr>
              <w:spacing w:after="0"/>
            </w:pPr>
            <w:r>
              <w:t>COVID Debt Levy – Landholdings</w:t>
            </w:r>
          </w:p>
        </w:tc>
        <w:tc>
          <w:tcPr>
            <w:tcW w:w="907" w:type="dxa"/>
          </w:tcPr>
          <w:p w14:paraId="0417435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1 132</w:t>
            </w:r>
          </w:p>
        </w:tc>
        <w:tc>
          <w:tcPr>
            <w:tcW w:w="907" w:type="dxa"/>
          </w:tcPr>
          <w:p w14:paraId="0B7FD77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1 164</w:t>
            </w:r>
          </w:p>
        </w:tc>
        <w:tc>
          <w:tcPr>
            <w:tcW w:w="965" w:type="dxa"/>
          </w:tcPr>
          <w:p w14:paraId="427AEA0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1 132</w:t>
            </w:r>
          </w:p>
        </w:tc>
        <w:tc>
          <w:tcPr>
            <w:tcW w:w="849" w:type="dxa"/>
          </w:tcPr>
          <w:p w14:paraId="0070953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1 164</w:t>
            </w:r>
          </w:p>
        </w:tc>
      </w:tr>
      <w:tr w:rsidR="004D42F9" w14:paraId="2B5418FF" w14:textId="77777777">
        <w:tc>
          <w:tcPr>
            <w:cnfStyle w:val="001000000000" w:firstRow="0" w:lastRow="0" w:firstColumn="1" w:lastColumn="0" w:oddVBand="0" w:evenVBand="0" w:oddHBand="0" w:evenHBand="0" w:firstRowFirstColumn="0" w:firstRowLastColumn="0" w:lastRowFirstColumn="0" w:lastRowLastColumn="0"/>
            <w:tcW w:w="6010" w:type="dxa"/>
          </w:tcPr>
          <w:p w14:paraId="2FDA392F" w14:textId="77777777" w:rsidR="004D42F9" w:rsidRDefault="004D42F9">
            <w:pPr>
              <w:spacing w:after="0"/>
            </w:pPr>
            <w:r>
              <w:t>Fire Services Property Levy</w:t>
            </w:r>
          </w:p>
        </w:tc>
        <w:tc>
          <w:tcPr>
            <w:tcW w:w="907" w:type="dxa"/>
          </w:tcPr>
          <w:p w14:paraId="61D0A00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1 031</w:t>
            </w:r>
          </w:p>
        </w:tc>
        <w:tc>
          <w:tcPr>
            <w:tcW w:w="907" w:type="dxa"/>
          </w:tcPr>
          <w:p w14:paraId="1B992D1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839</w:t>
            </w:r>
          </w:p>
        </w:tc>
        <w:tc>
          <w:tcPr>
            <w:tcW w:w="965" w:type="dxa"/>
          </w:tcPr>
          <w:p w14:paraId="5E6312A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1 031</w:t>
            </w:r>
          </w:p>
        </w:tc>
        <w:tc>
          <w:tcPr>
            <w:tcW w:w="849" w:type="dxa"/>
          </w:tcPr>
          <w:p w14:paraId="19CEBDC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839</w:t>
            </w:r>
          </w:p>
        </w:tc>
      </w:tr>
      <w:tr w:rsidR="004D42F9" w14:paraId="34AE0C51" w14:textId="77777777">
        <w:tc>
          <w:tcPr>
            <w:cnfStyle w:val="001000000000" w:firstRow="0" w:lastRow="0" w:firstColumn="1" w:lastColumn="0" w:oddVBand="0" w:evenVBand="0" w:oddHBand="0" w:evenHBand="0" w:firstRowFirstColumn="0" w:firstRowLastColumn="0" w:lastRowFirstColumn="0" w:lastRowLastColumn="0"/>
            <w:tcW w:w="6010" w:type="dxa"/>
          </w:tcPr>
          <w:p w14:paraId="544FB8F7" w14:textId="77777777" w:rsidR="004D42F9" w:rsidRDefault="004D42F9">
            <w:pPr>
              <w:spacing w:after="0"/>
            </w:pPr>
            <w:r>
              <w:t>Congestion levy</w:t>
            </w:r>
          </w:p>
        </w:tc>
        <w:tc>
          <w:tcPr>
            <w:tcW w:w="907" w:type="dxa"/>
          </w:tcPr>
          <w:p w14:paraId="1177BCC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123</w:t>
            </w:r>
          </w:p>
        </w:tc>
        <w:tc>
          <w:tcPr>
            <w:tcW w:w="907" w:type="dxa"/>
          </w:tcPr>
          <w:p w14:paraId="3991674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117</w:t>
            </w:r>
          </w:p>
        </w:tc>
        <w:tc>
          <w:tcPr>
            <w:tcW w:w="965" w:type="dxa"/>
          </w:tcPr>
          <w:p w14:paraId="1A349C0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123</w:t>
            </w:r>
          </w:p>
        </w:tc>
        <w:tc>
          <w:tcPr>
            <w:tcW w:w="849" w:type="dxa"/>
          </w:tcPr>
          <w:p w14:paraId="6F51EAE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117</w:t>
            </w:r>
          </w:p>
        </w:tc>
      </w:tr>
      <w:tr w:rsidR="004D42F9" w14:paraId="3EB746FA" w14:textId="77777777">
        <w:tc>
          <w:tcPr>
            <w:cnfStyle w:val="001000000000" w:firstRow="0" w:lastRow="0" w:firstColumn="1" w:lastColumn="0" w:oddVBand="0" w:evenVBand="0" w:oddHBand="0" w:evenHBand="0" w:firstRowFirstColumn="0" w:firstRowLastColumn="0" w:lastRowFirstColumn="0" w:lastRowLastColumn="0"/>
            <w:tcW w:w="6010" w:type="dxa"/>
          </w:tcPr>
          <w:p w14:paraId="141B5C44" w14:textId="77777777" w:rsidR="004D42F9" w:rsidRDefault="004D42F9">
            <w:pPr>
              <w:spacing w:after="0"/>
            </w:pPr>
            <w:r>
              <w:t>Metropolitan improvement levy</w:t>
            </w:r>
          </w:p>
        </w:tc>
        <w:tc>
          <w:tcPr>
            <w:tcW w:w="907" w:type="dxa"/>
          </w:tcPr>
          <w:p w14:paraId="78AF523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78F162E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200</w:t>
            </w:r>
          </w:p>
        </w:tc>
        <w:tc>
          <w:tcPr>
            <w:tcW w:w="965" w:type="dxa"/>
          </w:tcPr>
          <w:p w14:paraId="5F6BA21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198</w:t>
            </w:r>
          </w:p>
        </w:tc>
        <w:tc>
          <w:tcPr>
            <w:tcW w:w="849" w:type="dxa"/>
          </w:tcPr>
          <w:p w14:paraId="3F3711E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200</w:t>
            </w:r>
          </w:p>
        </w:tc>
      </w:tr>
      <w:tr w:rsidR="004D42F9" w14:paraId="48CDCD97"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82AC029" w14:textId="77777777" w:rsidR="004D42F9" w:rsidRDefault="004D42F9">
            <w:pPr>
              <w:spacing w:after="0"/>
            </w:pPr>
            <w:r>
              <w:t>Windfall gains tax</w:t>
            </w:r>
          </w:p>
        </w:tc>
        <w:tc>
          <w:tcPr>
            <w:tcW w:w="907" w:type="dxa"/>
            <w:tcBorders>
              <w:bottom w:val="single" w:sz="6" w:space="0" w:color="auto"/>
            </w:tcBorders>
          </w:tcPr>
          <w:p w14:paraId="3B1AA87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15</w:t>
            </w:r>
          </w:p>
        </w:tc>
        <w:tc>
          <w:tcPr>
            <w:tcW w:w="907" w:type="dxa"/>
            <w:tcBorders>
              <w:bottom w:val="single" w:sz="6" w:space="0" w:color="auto"/>
            </w:tcBorders>
          </w:tcPr>
          <w:p w14:paraId="08BE4A6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114</w:t>
            </w:r>
          </w:p>
        </w:tc>
        <w:tc>
          <w:tcPr>
            <w:tcW w:w="965" w:type="dxa"/>
            <w:tcBorders>
              <w:bottom w:val="single" w:sz="6" w:space="0" w:color="auto"/>
            </w:tcBorders>
          </w:tcPr>
          <w:p w14:paraId="073840F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15</w:t>
            </w:r>
          </w:p>
        </w:tc>
        <w:tc>
          <w:tcPr>
            <w:tcW w:w="849" w:type="dxa"/>
            <w:tcBorders>
              <w:bottom w:val="single" w:sz="6" w:space="0" w:color="auto"/>
            </w:tcBorders>
          </w:tcPr>
          <w:p w14:paraId="1420C90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114</w:t>
            </w:r>
          </w:p>
        </w:tc>
      </w:tr>
      <w:tr w:rsidR="004D42F9" w14:paraId="26B5B733"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A54F9D7" w14:textId="77777777" w:rsidR="004D42F9" w:rsidRDefault="004D42F9">
            <w:pPr>
              <w:spacing w:after="0"/>
            </w:pPr>
            <w:r>
              <w:rPr>
                <w:b/>
              </w:rPr>
              <w:t>Total taxes on immovable property</w:t>
            </w:r>
          </w:p>
        </w:tc>
        <w:tc>
          <w:tcPr>
            <w:tcW w:w="907" w:type="dxa"/>
            <w:tcBorders>
              <w:top w:val="single" w:sz="6" w:space="0" w:color="auto"/>
              <w:bottom w:val="single" w:sz="6" w:space="0" w:color="auto"/>
            </w:tcBorders>
          </w:tcPr>
          <w:p w14:paraId="49017AB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8 552</w:t>
            </w:r>
          </w:p>
        </w:tc>
        <w:tc>
          <w:tcPr>
            <w:tcW w:w="907" w:type="dxa"/>
            <w:tcBorders>
              <w:top w:val="single" w:sz="6" w:space="0" w:color="auto"/>
              <w:bottom w:val="single" w:sz="6" w:space="0" w:color="auto"/>
            </w:tcBorders>
          </w:tcPr>
          <w:p w14:paraId="58CE38A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8 298</w:t>
            </w:r>
          </w:p>
        </w:tc>
        <w:tc>
          <w:tcPr>
            <w:tcW w:w="965" w:type="dxa"/>
            <w:tcBorders>
              <w:top w:val="single" w:sz="6" w:space="0" w:color="auto"/>
              <w:bottom w:val="single" w:sz="6" w:space="0" w:color="auto"/>
            </w:tcBorders>
          </w:tcPr>
          <w:p w14:paraId="7A60BEB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8 612</w:t>
            </w:r>
          </w:p>
        </w:tc>
        <w:tc>
          <w:tcPr>
            <w:tcW w:w="849" w:type="dxa"/>
            <w:tcBorders>
              <w:top w:val="single" w:sz="6" w:space="0" w:color="auto"/>
              <w:bottom w:val="single" w:sz="6" w:space="0" w:color="auto"/>
            </w:tcBorders>
          </w:tcPr>
          <w:p w14:paraId="6C80DD4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8 365</w:t>
            </w:r>
          </w:p>
        </w:tc>
      </w:tr>
      <w:tr w:rsidR="004D42F9" w14:paraId="2CD4B128"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441E13E" w14:textId="77777777" w:rsidR="004D42F9" w:rsidRDefault="004D42F9" w:rsidP="008623A6">
            <w:pPr>
              <w:spacing w:before="120" w:after="0"/>
            </w:pPr>
            <w:r>
              <w:rPr>
                <w:b/>
              </w:rPr>
              <w:t>TAXES ON THE PROVISION OF GOODS AND SERVICES</w:t>
            </w:r>
          </w:p>
        </w:tc>
        <w:tc>
          <w:tcPr>
            <w:tcW w:w="907" w:type="dxa"/>
            <w:tcBorders>
              <w:top w:val="single" w:sz="6" w:space="0" w:color="auto"/>
            </w:tcBorders>
          </w:tcPr>
          <w:p w14:paraId="0E6AC677"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4C8CE3"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60C5A925"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19F6D1A0"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r>
      <w:tr w:rsidR="004D42F9" w14:paraId="15A6487B" w14:textId="77777777">
        <w:tc>
          <w:tcPr>
            <w:cnfStyle w:val="001000000000" w:firstRow="0" w:lastRow="0" w:firstColumn="1" w:lastColumn="0" w:oddVBand="0" w:evenVBand="0" w:oddHBand="0" w:evenHBand="0" w:firstRowFirstColumn="0" w:firstRowLastColumn="0" w:lastRowFirstColumn="0" w:lastRowLastColumn="0"/>
            <w:tcW w:w="6010" w:type="dxa"/>
          </w:tcPr>
          <w:p w14:paraId="769D10B0" w14:textId="77777777" w:rsidR="004D42F9" w:rsidRDefault="004D42F9">
            <w:pPr>
              <w:spacing w:after="0"/>
            </w:pPr>
            <w:r>
              <w:rPr>
                <w:b/>
              </w:rPr>
              <w:t>Gambling taxes</w:t>
            </w:r>
            <w:r>
              <w:rPr>
                <w:b/>
                <w:vertAlign w:val="superscript"/>
              </w:rPr>
              <w:t xml:space="preserve"> (a)</w:t>
            </w:r>
          </w:p>
        </w:tc>
        <w:tc>
          <w:tcPr>
            <w:tcW w:w="907" w:type="dxa"/>
          </w:tcPr>
          <w:p w14:paraId="029622E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4C4DDC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65" w:type="dxa"/>
          </w:tcPr>
          <w:p w14:paraId="1F7D763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849" w:type="dxa"/>
          </w:tcPr>
          <w:p w14:paraId="2B2DC33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r>
      <w:tr w:rsidR="004D42F9" w14:paraId="7E52A401" w14:textId="77777777">
        <w:tc>
          <w:tcPr>
            <w:cnfStyle w:val="001000000000" w:firstRow="0" w:lastRow="0" w:firstColumn="1" w:lastColumn="0" w:oddVBand="0" w:evenVBand="0" w:oddHBand="0" w:evenHBand="0" w:firstRowFirstColumn="0" w:firstRowLastColumn="0" w:lastRowFirstColumn="0" w:lastRowLastColumn="0"/>
            <w:tcW w:w="6010" w:type="dxa"/>
          </w:tcPr>
          <w:p w14:paraId="27375F11" w14:textId="77777777" w:rsidR="004D42F9" w:rsidRDefault="004D42F9">
            <w:pPr>
              <w:spacing w:after="0"/>
            </w:pPr>
            <w:r>
              <w:t>Public lotteries</w:t>
            </w:r>
          </w:p>
        </w:tc>
        <w:tc>
          <w:tcPr>
            <w:tcW w:w="907" w:type="dxa"/>
          </w:tcPr>
          <w:p w14:paraId="1246D47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621</w:t>
            </w:r>
          </w:p>
        </w:tc>
        <w:tc>
          <w:tcPr>
            <w:tcW w:w="907" w:type="dxa"/>
          </w:tcPr>
          <w:p w14:paraId="4252738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689</w:t>
            </w:r>
          </w:p>
        </w:tc>
        <w:tc>
          <w:tcPr>
            <w:tcW w:w="965" w:type="dxa"/>
          </w:tcPr>
          <w:p w14:paraId="70281EF8"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621</w:t>
            </w:r>
          </w:p>
        </w:tc>
        <w:tc>
          <w:tcPr>
            <w:tcW w:w="849" w:type="dxa"/>
          </w:tcPr>
          <w:p w14:paraId="4E39111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689</w:t>
            </w:r>
          </w:p>
        </w:tc>
      </w:tr>
      <w:tr w:rsidR="004D42F9" w14:paraId="4C4A689F" w14:textId="77777777">
        <w:tc>
          <w:tcPr>
            <w:cnfStyle w:val="001000000000" w:firstRow="0" w:lastRow="0" w:firstColumn="1" w:lastColumn="0" w:oddVBand="0" w:evenVBand="0" w:oddHBand="0" w:evenHBand="0" w:firstRowFirstColumn="0" w:firstRowLastColumn="0" w:lastRowFirstColumn="0" w:lastRowLastColumn="0"/>
            <w:tcW w:w="6010" w:type="dxa"/>
          </w:tcPr>
          <w:p w14:paraId="436AC116" w14:textId="77777777" w:rsidR="004D42F9" w:rsidRDefault="004D42F9">
            <w:pPr>
              <w:spacing w:after="0"/>
            </w:pPr>
            <w:r>
              <w:t>Electronic gaming machines</w:t>
            </w:r>
          </w:p>
        </w:tc>
        <w:tc>
          <w:tcPr>
            <w:tcW w:w="907" w:type="dxa"/>
          </w:tcPr>
          <w:p w14:paraId="717E333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1 428</w:t>
            </w:r>
          </w:p>
        </w:tc>
        <w:tc>
          <w:tcPr>
            <w:tcW w:w="907" w:type="dxa"/>
          </w:tcPr>
          <w:p w14:paraId="1180D1F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1 383</w:t>
            </w:r>
          </w:p>
        </w:tc>
        <w:tc>
          <w:tcPr>
            <w:tcW w:w="965" w:type="dxa"/>
          </w:tcPr>
          <w:p w14:paraId="16033E0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1 428</w:t>
            </w:r>
          </w:p>
        </w:tc>
        <w:tc>
          <w:tcPr>
            <w:tcW w:w="849" w:type="dxa"/>
          </w:tcPr>
          <w:p w14:paraId="156E875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1 383</w:t>
            </w:r>
          </w:p>
        </w:tc>
      </w:tr>
      <w:tr w:rsidR="004D42F9" w14:paraId="0B565D86" w14:textId="77777777">
        <w:tc>
          <w:tcPr>
            <w:cnfStyle w:val="001000000000" w:firstRow="0" w:lastRow="0" w:firstColumn="1" w:lastColumn="0" w:oddVBand="0" w:evenVBand="0" w:oddHBand="0" w:evenHBand="0" w:firstRowFirstColumn="0" w:firstRowLastColumn="0" w:lastRowFirstColumn="0" w:lastRowLastColumn="0"/>
            <w:tcW w:w="6010" w:type="dxa"/>
          </w:tcPr>
          <w:p w14:paraId="5D9C840F" w14:textId="77777777" w:rsidR="004D42F9" w:rsidRDefault="004D42F9">
            <w:pPr>
              <w:spacing w:after="0"/>
            </w:pPr>
            <w:r>
              <w:t>Casino</w:t>
            </w:r>
          </w:p>
        </w:tc>
        <w:tc>
          <w:tcPr>
            <w:tcW w:w="907" w:type="dxa"/>
          </w:tcPr>
          <w:p w14:paraId="58832DA8"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3B7B69B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208</w:t>
            </w:r>
          </w:p>
        </w:tc>
        <w:tc>
          <w:tcPr>
            <w:tcW w:w="965" w:type="dxa"/>
          </w:tcPr>
          <w:p w14:paraId="08924EB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200</w:t>
            </w:r>
          </w:p>
        </w:tc>
        <w:tc>
          <w:tcPr>
            <w:tcW w:w="849" w:type="dxa"/>
          </w:tcPr>
          <w:p w14:paraId="6FE3A5A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208</w:t>
            </w:r>
          </w:p>
        </w:tc>
      </w:tr>
      <w:tr w:rsidR="004D42F9" w14:paraId="48FD71BF" w14:textId="77777777">
        <w:tc>
          <w:tcPr>
            <w:cnfStyle w:val="001000000000" w:firstRow="0" w:lastRow="0" w:firstColumn="1" w:lastColumn="0" w:oddVBand="0" w:evenVBand="0" w:oddHBand="0" w:evenHBand="0" w:firstRowFirstColumn="0" w:firstRowLastColumn="0" w:lastRowFirstColumn="0" w:lastRowLastColumn="0"/>
            <w:tcW w:w="6010" w:type="dxa"/>
          </w:tcPr>
          <w:p w14:paraId="0B4E822C" w14:textId="77777777" w:rsidR="004D42F9" w:rsidRDefault="004D42F9">
            <w:pPr>
              <w:spacing w:after="0"/>
            </w:pPr>
            <w:r>
              <w:t>Racing and other sports betting</w:t>
            </w:r>
          </w:p>
        </w:tc>
        <w:tc>
          <w:tcPr>
            <w:tcW w:w="907" w:type="dxa"/>
          </w:tcPr>
          <w:p w14:paraId="5DE4971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2584532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277</w:t>
            </w:r>
          </w:p>
        </w:tc>
        <w:tc>
          <w:tcPr>
            <w:tcW w:w="965" w:type="dxa"/>
          </w:tcPr>
          <w:p w14:paraId="6076A8D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382</w:t>
            </w:r>
          </w:p>
        </w:tc>
        <w:tc>
          <w:tcPr>
            <w:tcW w:w="849" w:type="dxa"/>
          </w:tcPr>
          <w:p w14:paraId="4337A68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277</w:t>
            </w:r>
          </w:p>
        </w:tc>
      </w:tr>
      <w:tr w:rsidR="004D42F9" w14:paraId="5E3FBEAD" w14:textId="77777777">
        <w:tc>
          <w:tcPr>
            <w:cnfStyle w:val="001000000000" w:firstRow="0" w:lastRow="0" w:firstColumn="1" w:lastColumn="0" w:oddVBand="0" w:evenVBand="0" w:oddHBand="0" w:evenHBand="0" w:firstRowFirstColumn="0" w:firstRowLastColumn="0" w:lastRowFirstColumn="0" w:lastRowLastColumn="0"/>
            <w:tcW w:w="6010" w:type="dxa"/>
          </w:tcPr>
          <w:p w14:paraId="3E019643" w14:textId="77777777" w:rsidR="004D42F9" w:rsidRDefault="004D42F9">
            <w:pPr>
              <w:spacing w:after="0"/>
            </w:pPr>
            <w:r>
              <w:t>Other</w:t>
            </w:r>
          </w:p>
        </w:tc>
        <w:tc>
          <w:tcPr>
            <w:tcW w:w="907" w:type="dxa"/>
          </w:tcPr>
          <w:p w14:paraId="5DEE551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17</w:t>
            </w:r>
          </w:p>
        </w:tc>
        <w:tc>
          <w:tcPr>
            <w:tcW w:w="907" w:type="dxa"/>
          </w:tcPr>
          <w:p w14:paraId="1B42470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18</w:t>
            </w:r>
          </w:p>
        </w:tc>
        <w:tc>
          <w:tcPr>
            <w:tcW w:w="965" w:type="dxa"/>
          </w:tcPr>
          <w:p w14:paraId="58AB362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17</w:t>
            </w:r>
          </w:p>
        </w:tc>
        <w:tc>
          <w:tcPr>
            <w:tcW w:w="849" w:type="dxa"/>
          </w:tcPr>
          <w:p w14:paraId="3B48430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18</w:t>
            </w:r>
          </w:p>
        </w:tc>
      </w:tr>
      <w:tr w:rsidR="004D42F9" w14:paraId="0BD161A2" w14:textId="77777777">
        <w:tc>
          <w:tcPr>
            <w:cnfStyle w:val="001000000000" w:firstRow="0" w:lastRow="0" w:firstColumn="1" w:lastColumn="0" w:oddVBand="0" w:evenVBand="0" w:oddHBand="0" w:evenHBand="0" w:firstRowFirstColumn="0" w:firstRowLastColumn="0" w:lastRowFirstColumn="0" w:lastRowLastColumn="0"/>
            <w:tcW w:w="6010" w:type="dxa"/>
          </w:tcPr>
          <w:p w14:paraId="4E82E4F6" w14:textId="77777777" w:rsidR="004D42F9" w:rsidRDefault="004D42F9">
            <w:pPr>
              <w:spacing w:after="0"/>
            </w:pPr>
            <w:r>
              <w:rPr>
                <w:b/>
              </w:rPr>
              <w:t>Financial and capital transactions</w:t>
            </w:r>
          </w:p>
        </w:tc>
        <w:tc>
          <w:tcPr>
            <w:tcW w:w="907" w:type="dxa"/>
          </w:tcPr>
          <w:p w14:paraId="0E96A3B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41337A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65" w:type="dxa"/>
          </w:tcPr>
          <w:p w14:paraId="304A3CB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849" w:type="dxa"/>
          </w:tcPr>
          <w:p w14:paraId="2B08CDF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r>
      <w:tr w:rsidR="004D42F9" w14:paraId="5B9A2353" w14:textId="77777777">
        <w:tc>
          <w:tcPr>
            <w:cnfStyle w:val="001000000000" w:firstRow="0" w:lastRow="0" w:firstColumn="1" w:lastColumn="0" w:oddVBand="0" w:evenVBand="0" w:oddHBand="0" w:evenHBand="0" w:firstRowFirstColumn="0" w:firstRowLastColumn="0" w:lastRowFirstColumn="0" w:lastRowLastColumn="0"/>
            <w:tcW w:w="6010" w:type="dxa"/>
          </w:tcPr>
          <w:p w14:paraId="7A9B3779" w14:textId="77777777" w:rsidR="004D42F9" w:rsidRDefault="004D42F9">
            <w:pPr>
              <w:spacing w:after="0"/>
            </w:pPr>
            <w:r>
              <w:t>Land transfer duty</w:t>
            </w:r>
          </w:p>
        </w:tc>
        <w:tc>
          <w:tcPr>
            <w:tcW w:w="907" w:type="dxa"/>
          </w:tcPr>
          <w:p w14:paraId="2FAC22E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9 254</w:t>
            </w:r>
          </w:p>
        </w:tc>
        <w:tc>
          <w:tcPr>
            <w:tcW w:w="907" w:type="dxa"/>
          </w:tcPr>
          <w:p w14:paraId="79C4D59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8 426</w:t>
            </w:r>
          </w:p>
        </w:tc>
        <w:tc>
          <w:tcPr>
            <w:tcW w:w="965" w:type="dxa"/>
          </w:tcPr>
          <w:p w14:paraId="0F4390A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9 254</w:t>
            </w:r>
          </w:p>
        </w:tc>
        <w:tc>
          <w:tcPr>
            <w:tcW w:w="849" w:type="dxa"/>
          </w:tcPr>
          <w:p w14:paraId="2E10F52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8 426</w:t>
            </w:r>
          </w:p>
        </w:tc>
      </w:tr>
      <w:tr w:rsidR="004D42F9" w14:paraId="49D24AF9" w14:textId="77777777">
        <w:tc>
          <w:tcPr>
            <w:cnfStyle w:val="001000000000" w:firstRow="0" w:lastRow="0" w:firstColumn="1" w:lastColumn="0" w:oddVBand="0" w:evenVBand="0" w:oddHBand="0" w:evenHBand="0" w:firstRowFirstColumn="0" w:firstRowLastColumn="0" w:lastRowFirstColumn="0" w:lastRowLastColumn="0"/>
            <w:tcW w:w="6010" w:type="dxa"/>
          </w:tcPr>
          <w:p w14:paraId="434A038A" w14:textId="77777777" w:rsidR="004D42F9" w:rsidRDefault="004D42F9">
            <w:pPr>
              <w:spacing w:after="0"/>
            </w:pPr>
            <w:r>
              <w:t>Metropolitan planning levy</w:t>
            </w:r>
          </w:p>
        </w:tc>
        <w:tc>
          <w:tcPr>
            <w:tcW w:w="907" w:type="dxa"/>
          </w:tcPr>
          <w:p w14:paraId="09769D8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24</w:t>
            </w:r>
          </w:p>
        </w:tc>
        <w:tc>
          <w:tcPr>
            <w:tcW w:w="907" w:type="dxa"/>
          </w:tcPr>
          <w:p w14:paraId="2686EA9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w:t>
            </w:r>
          </w:p>
        </w:tc>
        <w:tc>
          <w:tcPr>
            <w:tcW w:w="965" w:type="dxa"/>
          </w:tcPr>
          <w:p w14:paraId="20E2577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24</w:t>
            </w:r>
          </w:p>
        </w:tc>
        <w:tc>
          <w:tcPr>
            <w:tcW w:w="849" w:type="dxa"/>
          </w:tcPr>
          <w:p w14:paraId="2641EA9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20</w:t>
            </w:r>
          </w:p>
        </w:tc>
      </w:tr>
      <w:tr w:rsidR="004D42F9" w14:paraId="51393ED9" w14:textId="77777777">
        <w:tc>
          <w:tcPr>
            <w:cnfStyle w:val="001000000000" w:firstRow="0" w:lastRow="0" w:firstColumn="1" w:lastColumn="0" w:oddVBand="0" w:evenVBand="0" w:oddHBand="0" w:evenHBand="0" w:firstRowFirstColumn="0" w:firstRowLastColumn="0" w:lastRowFirstColumn="0" w:lastRowLastColumn="0"/>
            <w:tcW w:w="6010" w:type="dxa"/>
          </w:tcPr>
          <w:p w14:paraId="2393064E" w14:textId="77777777" w:rsidR="004D42F9" w:rsidRDefault="004D42F9">
            <w:pPr>
              <w:spacing w:after="0"/>
            </w:pPr>
            <w:r>
              <w:t>Financial accommodation levy</w:t>
            </w:r>
          </w:p>
        </w:tc>
        <w:tc>
          <w:tcPr>
            <w:tcW w:w="907" w:type="dxa"/>
          </w:tcPr>
          <w:p w14:paraId="5A659BA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10394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w:t>
            </w:r>
          </w:p>
        </w:tc>
        <w:tc>
          <w:tcPr>
            <w:tcW w:w="965" w:type="dxa"/>
          </w:tcPr>
          <w:p w14:paraId="1472C8D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196</w:t>
            </w:r>
          </w:p>
        </w:tc>
        <w:tc>
          <w:tcPr>
            <w:tcW w:w="849" w:type="dxa"/>
          </w:tcPr>
          <w:p w14:paraId="12909F3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172</w:t>
            </w:r>
          </w:p>
        </w:tc>
      </w:tr>
      <w:tr w:rsidR="004D42F9" w14:paraId="2FED8D40" w14:textId="77777777">
        <w:tc>
          <w:tcPr>
            <w:cnfStyle w:val="001000000000" w:firstRow="0" w:lastRow="0" w:firstColumn="1" w:lastColumn="0" w:oddVBand="0" w:evenVBand="0" w:oddHBand="0" w:evenHBand="0" w:firstRowFirstColumn="0" w:firstRowLastColumn="0" w:lastRowFirstColumn="0" w:lastRowLastColumn="0"/>
            <w:tcW w:w="6010" w:type="dxa"/>
          </w:tcPr>
          <w:p w14:paraId="1C2CEF50" w14:textId="77777777" w:rsidR="004D42F9" w:rsidRDefault="004D42F9">
            <w:pPr>
              <w:spacing w:after="0"/>
            </w:pPr>
            <w:r>
              <w:t>Growth areas infrastructure contribution</w:t>
            </w:r>
          </w:p>
        </w:tc>
        <w:tc>
          <w:tcPr>
            <w:tcW w:w="907" w:type="dxa"/>
          </w:tcPr>
          <w:p w14:paraId="02E599CC"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3D49D06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255</w:t>
            </w:r>
          </w:p>
        </w:tc>
        <w:tc>
          <w:tcPr>
            <w:tcW w:w="965" w:type="dxa"/>
          </w:tcPr>
          <w:p w14:paraId="53CC8FC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184</w:t>
            </w:r>
          </w:p>
        </w:tc>
        <w:tc>
          <w:tcPr>
            <w:tcW w:w="849" w:type="dxa"/>
          </w:tcPr>
          <w:p w14:paraId="69B3C08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255</w:t>
            </w:r>
          </w:p>
        </w:tc>
      </w:tr>
      <w:tr w:rsidR="004D42F9" w14:paraId="26F0DECE" w14:textId="77777777">
        <w:tc>
          <w:tcPr>
            <w:cnfStyle w:val="001000000000" w:firstRow="0" w:lastRow="0" w:firstColumn="1" w:lastColumn="0" w:oddVBand="0" w:evenVBand="0" w:oddHBand="0" w:evenHBand="0" w:firstRowFirstColumn="0" w:firstRowLastColumn="0" w:lastRowFirstColumn="0" w:lastRowLastColumn="0"/>
            <w:tcW w:w="6010" w:type="dxa"/>
          </w:tcPr>
          <w:p w14:paraId="4750AF69" w14:textId="77777777" w:rsidR="004D42F9" w:rsidRDefault="004D42F9">
            <w:pPr>
              <w:spacing w:after="0"/>
            </w:pPr>
            <w:r>
              <w:rPr>
                <w:b/>
              </w:rPr>
              <w:t>Levies on statutory corporations</w:t>
            </w:r>
          </w:p>
        </w:tc>
        <w:tc>
          <w:tcPr>
            <w:tcW w:w="907" w:type="dxa"/>
          </w:tcPr>
          <w:p w14:paraId="7D661CD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16D722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6EC1C47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177</w:t>
            </w:r>
          </w:p>
        </w:tc>
        <w:tc>
          <w:tcPr>
            <w:tcW w:w="849" w:type="dxa"/>
          </w:tcPr>
          <w:p w14:paraId="1A9A27A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173</w:t>
            </w:r>
          </w:p>
        </w:tc>
      </w:tr>
      <w:tr w:rsidR="004D42F9" w14:paraId="0182DD69"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1A05F34" w14:textId="77777777" w:rsidR="004D42F9" w:rsidRDefault="004D42F9">
            <w:pPr>
              <w:spacing w:after="0"/>
            </w:pPr>
            <w:r>
              <w:rPr>
                <w:b/>
              </w:rPr>
              <w:t>Taxes on insurance</w:t>
            </w:r>
          </w:p>
        </w:tc>
        <w:tc>
          <w:tcPr>
            <w:tcW w:w="907" w:type="dxa"/>
            <w:tcBorders>
              <w:bottom w:val="single" w:sz="6" w:space="0" w:color="auto"/>
            </w:tcBorders>
          </w:tcPr>
          <w:p w14:paraId="0071039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2 197</w:t>
            </w:r>
          </w:p>
        </w:tc>
        <w:tc>
          <w:tcPr>
            <w:tcW w:w="907" w:type="dxa"/>
            <w:tcBorders>
              <w:bottom w:val="single" w:sz="6" w:space="0" w:color="auto"/>
            </w:tcBorders>
          </w:tcPr>
          <w:p w14:paraId="0AA480F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2 076</w:t>
            </w:r>
          </w:p>
        </w:tc>
        <w:tc>
          <w:tcPr>
            <w:tcW w:w="965" w:type="dxa"/>
            <w:tcBorders>
              <w:bottom w:val="single" w:sz="6" w:space="0" w:color="auto"/>
            </w:tcBorders>
          </w:tcPr>
          <w:p w14:paraId="63F379E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2 197</w:t>
            </w:r>
          </w:p>
        </w:tc>
        <w:tc>
          <w:tcPr>
            <w:tcW w:w="849" w:type="dxa"/>
            <w:tcBorders>
              <w:bottom w:val="single" w:sz="6" w:space="0" w:color="auto"/>
            </w:tcBorders>
          </w:tcPr>
          <w:p w14:paraId="0E983DA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2 076</w:t>
            </w:r>
          </w:p>
        </w:tc>
      </w:tr>
      <w:tr w:rsidR="004D42F9" w14:paraId="2E232CED"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1474A42B" w14:textId="77777777" w:rsidR="004D42F9" w:rsidRDefault="004D42F9">
            <w:pPr>
              <w:spacing w:after="0"/>
            </w:pPr>
            <w:r>
              <w:rPr>
                <w:b/>
              </w:rPr>
              <w:t>Total taxes on the provision of goods and services</w:t>
            </w:r>
          </w:p>
        </w:tc>
        <w:tc>
          <w:tcPr>
            <w:tcW w:w="907" w:type="dxa"/>
            <w:tcBorders>
              <w:top w:val="single" w:sz="6" w:space="0" w:color="auto"/>
              <w:bottom w:val="single" w:sz="6" w:space="0" w:color="auto"/>
            </w:tcBorders>
          </w:tcPr>
          <w:p w14:paraId="59CAC0B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14 307</w:t>
            </w:r>
          </w:p>
        </w:tc>
        <w:tc>
          <w:tcPr>
            <w:tcW w:w="907" w:type="dxa"/>
            <w:tcBorders>
              <w:top w:val="single" w:sz="6" w:space="0" w:color="auto"/>
              <w:bottom w:val="single" w:sz="6" w:space="0" w:color="auto"/>
            </w:tcBorders>
          </w:tcPr>
          <w:p w14:paraId="5251041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13 351</w:t>
            </w:r>
          </w:p>
        </w:tc>
        <w:tc>
          <w:tcPr>
            <w:tcW w:w="965" w:type="dxa"/>
            <w:tcBorders>
              <w:top w:val="single" w:sz="6" w:space="0" w:color="auto"/>
              <w:bottom w:val="single" w:sz="6" w:space="0" w:color="auto"/>
            </w:tcBorders>
          </w:tcPr>
          <w:p w14:paraId="0915C37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14 679</w:t>
            </w:r>
          </w:p>
        </w:tc>
        <w:tc>
          <w:tcPr>
            <w:tcW w:w="849" w:type="dxa"/>
            <w:tcBorders>
              <w:top w:val="single" w:sz="6" w:space="0" w:color="auto"/>
              <w:bottom w:val="single" w:sz="6" w:space="0" w:color="auto"/>
            </w:tcBorders>
          </w:tcPr>
          <w:p w14:paraId="22F8640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13 696</w:t>
            </w:r>
          </w:p>
        </w:tc>
      </w:tr>
      <w:tr w:rsidR="004D42F9" w14:paraId="36E60FCB"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67F50A6" w14:textId="77777777" w:rsidR="004D42F9" w:rsidRDefault="004D42F9" w:rsidP="008623A6">
            <w:pPr>
              <w:spacing w:before="120" w:after="0"/>
            </w:pPr>
            <w:r>
              <w:rPr>
                <w:b/>
              </w:rPr>
              <w:t>TAXES ON THE USE OF GOODS AND PERFORMANCE OF ACTIVITIES</w:t>
            </w:r>
          </w:p>
        </w:tc>
        <w:tc>
          <w:tcPr>
            <w:tcW w:w="907" w:type="dxa"/>
            <w:tcBorders>
              <w:top w:val="single" w:sz="6" w:space="0" w:color="auto"/>
            </w:tcBorders>
          </w:tcPr>
          <w:p w14:paraId="2D45ADE6"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52D0FDE"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0CC6A426"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3B93F9E1" w14:textId="77777777" w:rsidR="004D42F9" w:rsidRDefault="004D42F9" w:rsidP="008623A6">
            <w:pPr>
              <w:spacing w:before="120" w:after="0"/>
              <w:cnfStyle w:val="000000000000" w:firstRow="0" w:lastRow="0" w:firstColumn="0" w:lastColumn="0" w:oddVBand="0" w:evenVBand="0" w:oddHBand="0" w:evenHBand="0" w:firstRowFirstColumn="0" w:firstRowLastColumn="0" w:lastRowFirstColumn="0" w:lastRowLastColumn="0"/>
            </w:pPr>
          </w:p>
        </w:tc>
      </w:tr>
      <w:tr w:rsidR="004D42F9" w14:paraId="6B7E3FB2" w14:textId="77777777">
        <w:tc>
          <w:tcPr>
            <w:cnfStyle w:val="001000000000" w:firstRow="0" w:lastRow="0" w:firstColumn="1" w:lastColumn="0" w:oddVBand="0" w:evenVBand="0" w:oddHBand="0" w:evenHBand="0" w:firstRowFirstColumn="0" w:firstRowLastColumn="0" w:lastRowFirstColumn="0" w:lastRowLastColumn="0"/>
            <w:tcW w:w="6010" w:type="dxa"/>
          </w:tcPr>
          <w:p w14:paraId="32F8BD88" w14:textId="77777777" w:rsidR="004D42F9" w:rsidRDefault="004D42F9">
            <w:pPr>
              <w:spacing w:after="0"/>
            </w:pPr>
            <w:r>
              <w:rPr>
                <w:b/>
              </w:rPr>
              <w:t>Motor vehicle taxes</w:t>
            </w:r>
          </w:p>
        </w:tc>
        <w:tc>
          <w:tcPr>
            <w:tcW w:w="907" w:type="dxa"/>
          </w:tcPr>
          <w:p w14:paraId="0B8BDBA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75856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965" w:type="dxa"/>
          </w:tcPr>
          <w:p w14:paraId="2A8CB3E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c>
          <w:tcPr>
            <w:tcW w:w="849" w:type="dxa"/>
          </w:tcPr>
          <w:p w14:paraId="72DEE18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p>
        </w:tc>
      </w:tr>
      <w:tr w:rsidR="004D42F9" w14:paraId="383344FE" w14:textId="77777777">
        <w:tc>
          <w:tcPr>
            <w:cnfStyle w:val="001000000000" w:firstRow="0" w:lastRow="0" w:firstColumn="1" w:lastColumn="0" w:oddVBand="0" w:evenVBand="0" w:oddHBand="0" w:evenHBand="0" w:firstRowFirstColumn="0" w:firstRowLastColumn="0" w:lastRowFirstColumn="0" w:lastRowLastColumn="0"/>
            <w:tcW w:w="6010" w:type="dxa"/>
          </w:tcPr>
          <w:p w14:paraId="655E7916" w14:textId="77777777" w:rsidR="004D42F9" w:rsidRDefault="004D42F9">
            <w:pPr>
              <w:spacing w:after="0"/>
            </w:pPr>
            <w:r>
              <w:t>Vehicle registration fees</w:t>
            </w:r>
          </w:p>
        </w:tc>
        <w:tc>
          <w:tcPr>
            <w:tcW w:w="907" w:type="dxa"/>
          </w:tcPr>
          <w:p w14:paraId="745830B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2 218</w:t>
            </w:r>
          </w:p>
        </w:tc>
        <w:tc>
          <w:tcPr>
            <w:tcW w:w="907" w:type="dxa"/>
          </w:tcPr>
          <w:p w14:paraId="76518949"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2 092</w:t>
            </w:r>
          </w:p>
        </w:tc>
        <w:tc>
          <w:tcPr>
            <w:tcW w:w="965" w:type="dxa"/>
          </w:tcPr>
          <w:p w14:paraId="310CA756"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2 219</w:t>
            </w:r>
          </w:p>
        </w:tc>
        <w:tc>
          <w:tcPr>
            <w:tcW w:w="849" w:type="dxa"/>
          </w:tcPr>
          <w:p w14:paraId="4D7C64C9"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2 094</w:t>
            </w:r>
          </w:p>
        </w:tc>
      </w:tr>
      <w:tr w:rsidR="004D42F9" w14:paraId="1A117984" w14:textId="77777777">
        <w:tc>
          <w:tcPr>
            <w:cnfStyle w:val="001000000000" w:firstRow="0" w:lastRow="0" w:firstColumn="1" w:lastColumn="0" w:oddVBand="0" w:evenVBand="0" w:oddHBand="0" w:evenHBand="0" w:firstRowFirstColumn="0" w:firstRowLastColumn="0" w:lastRowFirstColumn="0" w:lastRowLastColumn="0"/>
            <w:tcW w:w="6010" w:type="dxa"/>
          </w:tcPr>
          <w:p w14:paraId="21EA932D" w14:textId="77777777" w:rsidR="004D42F9" w:rsidRDefault="004D42F9">
            <w:pPr>
              <w:spacing w:after="0"/>
            </w:pPr>
            <w:r>
              <w:t>Duty on vehicle registrations and transfers</w:t>
            </w:r>
          </w:p>
        </w:tc>
        <w:tc>
          <w:tcPr>
            <w:tcW w:w="907" w:type="dxa"/>
          </w:tcPr>
          <w:p w14:paraId="3F1CE317"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1 319</w:t>
            </w:r>
          </w:p>
        </w:tc>
        <w:tc>
          <w:tcPr>
            <w:tcW w:w="907" w:type="dxa"/>
          </w:tcPr>
          <w:p w14:paraId="5240B69B"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1 386</w:t>
            </w:r>
          </w:p>
        </w:tc>
        <w:tc>
          <w:tcPr>
            <w:tcW w:w="965" w:type="dxa"/>
          </w:tcPr>
          <w:p w14:paraId="17AA3C9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1 319</w:t>
            </w:r>
          </w:p>
        </w:tc>
        <w:tc>
          <w:tcPr>
            <w:tcW w:w="849" w:type="dxa"/>
          </w:tcPr>
          <w:p w14:paraId="78E23B7F"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t>1 386</w:t>
            </w:r>
          </w:p>
        </w:tc>
      </w:tr>
      <w:tr w:rsidR="004D42F9" w14:paraId="1C518E1D" w14:textId="77777777">
        <w:tc>
          <w:tcPr>
            <w:cnfStyle w:val="001000000000" w:firstRow="0" w:lastRow="0" w:firstColumn="1" w:lastColumn="0" w:oddVBand="0" w:evenVBand="0" w:oddHBand="0" w:evenHBand="0" w:firstRowFirstColumn="0" w:firstRowLastColumn="0" w:lastRowFirstColumn="0" w:lastRowLastColumn="0"/>
            <w:tcW w:w="6010" w:type="dxa"/>
          </w:tcPr>
          <w:p w14:paraId="2B6F7287" w14:textId="77777777" w:rsidR="004D42F9" w:rsidRDefault="004D42F9">
            <w:pPr>
              <w:spacing w:after="0"/>
            </w:pPr>
            <w:r>
              <w:rPr>
                <w:b/>
              </w:rPr>
              <w:t>Liquor licence fees</w:t>
            </w:r>
          </w:p>
        </w:tc>
        <w:tc>
          <w:tcPr>
            <w:tcW w:w="907" w:type="dxa"/>
          </w:tcPr>
          <w:p w14:paraId="6D897A0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32</w:t>
            </w:r>
          </w:p>
        </w:tc>
        <w:tc>
          <w:tcPr>
            <w:tcW w:w="907" w:type="dxa"/>
          </w:tcPr>
          <w:p w14:paraId="4E1A9E2E"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31</w:t>
            </w:r>
          </w:p>
        </w:tc>
        <w:tc>
          <w:tcPr>
            <w:tcW w:w="965" w:type="dxa"/>
          </w:tcPr>
          <w:p w14:paraId="6E33238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32</w:t>
            </w:r>
          </w:p>
        </w:tc>
        <w:tc>
          <w:tcPr>
            <w:tcW w:w="849" w:type="dxa"/>
          </w:tcPr>
          <w:p w14:paraId="3AE5C8B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31</w:t>
            </w:r>
          </w:p>
        </w:tc>
      </w:tr>
      <w:tr w:rsidR="004D42F9" w14:paraId="59487822"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FC5B783" w14:textId="77777777" w:rsidR="004D42F9" w:rsidRDefault="004D42F9">
            <w:pPr>
              <w:spacing w:after="0"/>
            </w:pPr>
            <w:r>
              <w:rPr>
                <w:b/>
              </w:rPr>
              <w:t>Other</w:t>
            </w:r>
          </w:p>
        </w:tc>
        <w:tc>
          <w:tcPr>
            <w:tcW w:w="907" w:type="dxa"/>
            <w:tcBorders>
              <w:bottom w:val="single" w:sz="6" w:space="0" w:color="auto"/>
            </w:tcBorders>
          </w:tcPr>
          <w:p w14:paraId="5F1E19A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763</w:t>
            </w:r>
          </w:p>
        </w:tc>
        <w:tc>
          <w:tcPr>
            <w:tcW w:w="907" w:type="dxa"/>
            <w:tcBorders>
              <w:bottom w:val="single" w:sz="6" w:space="0" w:color="auto"/>
            </w:tcBorders>
          </w:tcPr>
          <w:p w14:paraId="20CAAEE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713</w:t>
            </w:r>
          </w:p>
        </w:tc>
        <w:tc>
          <w:tcPr>
            <w:tcW w:w="965" w:type="dxa"/>
            <w:tcBorders>
              <w:bottom w:val="single" w:sz="6" w:space="0" w:color="auto"/>
            </w:tcBorders>
          </w:tcPr>
          <w:p w14:paraId="1AA587B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763</w:t>
            </w:r>
          </w:p>
        </w:tc>
        <w:tc>
          <w:tcPr>
            <w:tcW w:w="849" w:type="dxa"/>
            <w:tcBorders>
              <w:bottom w:val="single" w:sz="6" w:space="0" w:color="auto"/>
            </w:tcBorders>
          </w:tcPr>
          <w:p w14:paraId="5B54A4F0"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713</w:t>
            </w:r>
          </w:p>
        </w:tc>
      </w:tr>
      <w:tr w:rsidR="004D42F9" w14:paraId="6048FD50"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4C358E3C" w14:textId="77777777" w:rsidR="004D42F9" w:rsidRDefault="004D42F9">
            <w:pPr>
              <w:spacing w:after="0"/>
            </w:pPr>
            <w:r>
              <w:rPr>
                <w:b/>
              </w:rPr>
              <w:t>Total taxes on the use of goods and performance of activities</w:t>
            </w:r>
          </w:p>
        </w:tc>
        <w:tc>
          <w:tcPr>
            <w:tcW w:w="907" w:type="dxa"/>
            <w:tcBorders>
              <w:top w:val="single" w:sz="6" w:space="0" w:color="auto"/>
              <w:bottom w:val="single" w:sz="6" w:space="0" w:color="auto"/>
            </w:tcBorders>
          </w:tcPr>
          <w:p w14:paraId="3D9E847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4 331</w:t>
            </w:r>
          </w:p>
        </w:tc>
        <w:tc>
          <w:tcPr>
            <w:tcW w:w="907" w:type="dxa"/>
            <w:tcBorders>
              <w:top w:val="single" w:sz="6" w:space="0" w:color="auto"/>
              <w:bottom w:val="single" w:sz="6" w:space="0" w:color="auto"/>
            </w:tcBorders>
          </w:tcPr>
          <w:p w14:paraId="054D9072"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4 223</w:t>
            </w:r>
          </w:p>
        </w:tc>
        <w:tc>
          <w:tcPr>
            <w:tcW w:w="965" w:type="dxa"/>
            <w:tcBorders>
              <w:top w:val="single" w:sz="6" w:space="0" w:color="auto"/>
              <w:bottom w:val="single" w:sz="6" w:space="0" w:color="auto"/>
            </w:tcBorders>
          </w:tcPr>
          <w:p w14:paraId="0BAB2183"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4 333</w:t>
            </w:r>
          </w:p>
        </w:tc>
        <w:tc>
          <w:tcPr>
            <w:tcW w:w="849" w:type="dxa"/>
            <w:tcBorders>
              <w:top w:val="single" w:sz="6" w:space="0" w:color="auto"/>
              <w:bottom w:val="single" w:sz="6" w:space="0" w:color="auto"/>
            </w:tcBorders>
          </w:tcPr>
          <w:p w14:paraId="3F3145A1"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4 225</w:t>
            </w:r>
          </w:p>
        </w:tc>
      </w:tr>
      <w:tr w:rsidR="004D42F9" w14:paraId="5D3DA6F8"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B2ADF5E" w14:textId="77777777" w:rsidR="004D42F9" w:rsidRDefault="004D42F9">
            <w:pPr>
              <w:spacing w:after="0"/>
            </w:pPr>
            <w:r>
              <w:rPr>
                <w:b/>
              </w:rPr>
              <w:t>Total taxation</w:t>
            </w:r>
          </w:p>
        </w:tc>
        <w:tc>
          <w:tcPr>
            <w:tcW w:w="907" w:type="dxa"/>
            <w:tcBorders>
              <w:top w:val="single" w:sz="6" w:space="0" w:color="auto"/>
              <w:bottom w:val="single" w:sz="12" w:space="0" w:color="auto"/>
            </w:tcBorders>
          </w:tcPr>
          <w:p w14:paraId="66C81C45"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38 356</w:t>
            </w:r>
          </w:p>
        </w:tc>
        <w:tc>
          <w:tcPr>
            <w:tcW w:w="907" w:type="dxa"/>
            <w:tcBorders>
              <w:top w:val="single" w:sz="6" w:space="0" w:color="auto"/>
              <w:bottom w:val="single" w:sz="12" w:space="0" w:color="auto"/>
            </w:tcBorders>
          </w:tcPr>
          <w:p w14:paraId="25F17E7A"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36 324</w:t>
            </w:r>
          </w:p>
        </w:tc>
        <w:tc>
          <w:tcPr>
            <w:tcW w:w="965" w:type="dxa"/>
            <w:tcBorders>
              <w:top w:val="single" w:sz="6" w:space="0" w:color="auto"/>
              <w:bottom w:val="single" w:sz="12" w:space="0" w:color="auto"/>
            </w:tcBorders>
          </w:tcPr>
          <w:p w14:paraId="3C8DC804"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38 942</w:t>
            </w:r>
          </w:p>
        </w:tc>
        <w:tc>
          <w:tcPr>
            <w:tcW w:w="849" w:type="dxa"/>
            <w:tcBorders>
              <w:top w:val="single" w:sz="6" w:space="0" w:color="auto"/>
              <w:bottom w:val="single" w:sz="12" w:space="0" w:color="auto"/>
            </w:tcBorders>
          </w:tcPr>
          <w:p w14:paraId="263F160D" w14:textId="77777777" w:rsidR="004D42F9" w:rsidRDefault="004D42F9">
            <w:pPr>
              <w:spacing w:after="0"/>
              <w:cnfStyle w:val="000000000000" w:firstRow="0" w:lastRow="0" w:firstColumn="0" w:lastColumn="0" w:oddVBand="0" w:evenVBand="0" w:oddHBand="0" w:evenHBand="0" w:firstRowFirstColumn="0" w:firstRowLastColumn="0" w:lastRowFirstColumn="0" w:lastRowLastColumn="0"/>
            </w:pPr>
            <w:r>
              <w:rPr>
                <w:b/>
              </w:rPr>
              <w:t>36 876</w:t>
            </w:r>
          </w:p>
        </w:tc>
      </w:tr>
    </w:tbl>
    <w:p w14:paraId="213B656B" w14:textId="77777777" w:rsidR="004D42F9" w:rsidRPr="00FF38BD" w:rsidRDefault="004D42F9" w:rsidP="004D42F9">
      <w:pPr>
        <w:pStyle w:val="Note"/>
      </w:pPr>
      <w:r w:rsidRPr="00FF38BD">
        <w:t>Note:</w:t>
      </w:r>
    </w:p>
    <w:p w14:paraId="7EAE6DDE" w14:textId="77777777" w:rsidR="004D42F9" w:rsidRPr="00FF38BD" w:rsidRDefault="004D42F9" w:rsidP="004D42F9">
      <w:pPr>
        <w:pStyle w:val="Note"/>
      </w:pPr>
      <w:r w:rsidRPr="00FF38BD">
        <w:t xml:space="preserve">(a) </w:t>
      </w:r>
      <w:r w:rsidRPr="00FF38BD">
        <w:tab/>
        <w:t>The public lotteries, electronic gaming machines, casino, racing and other sports betting and other gambling taxes balances include gambling licence revenue to 30 June 202</w:t>
      </w:r>
      <w:r>
        <w:t>5</w:t>
      </w:r>
      <w:r w:rsidRPr="00FF38BD">
        <w:t xml:space="preserve"> of $</w:t>
      </w:r>
      <w:r>
        <w:t>172</w:t>
      </w:r>
      <w:r w:rsidRPr="00FF38BD">
        <w:t xml:space="preserve"> million (30 June 202</w:t>
      </w:r>
      <w:r>
        <w:t>4</w:t>
      </w:r>
      <w:r w:rsidRPr="00FF38BD">
        <w:t>: $</w:t>
      </w:r>
      <w:r>
        <w:t>202</w:t>
      </w:r>
      <w:r w:rsidRPr="00FF38BD">
        <w:t> million) recognised under AASB 15. The balance of these items is recognised under AASB 1058.</w:t>
      </w:r>
    </w:p>
    <w:p w14:paraId="3311F03C" w14:textId="77777777" w:rsidR="008623A6" w:rsidRDefault="008623A6" w:rsidP="004D42F9">
      <w:pPr>
        <w:sectPr w:rsidR="008623A6" w:rsidSect="008623A6">
          <w:type w:val="continuous"/>
          <w:pgSz w:w="11906" w:h="16838" w:code="9"/>
          <w:pgMar w:top="1134" w:right="1134" w:bottom="1134" w:left="1134" w:header="624" w:footer="567" w:gutter="0"/>
          <w:cols w:space="708"/>
          <w:docGrid w:linePitch="360"/>
        </w:sectPr>
      </w:pPr>
    </w:p>
    <w:p w14:paraId="7876F7A0" w14:textId="230A3763" w:rsidR="004D42F9" w:rsidRPr="001600F7" w:rsidRDefault="004D42F9" w:rsidP="004D42F9">
      <w:r>
        <w:lastRenderedPageBreak/>
        <w:t>Taxation represents income earned from the State</w:t>
      </w:r>
      <w:r w:rsidR="00845934">
        <w:t>’</w:t>
      </w:r>
      <w:r>
        <w:t xml:space="preserve">s taxpayers. For taxes (excluding gambling licence revenue), income is recognised under AASB 1058 when the relevant </w:t>
      </w:r>
      <w:r w:rsidRPr="001600F7">
        <w:t xml:space="preserve">taxable event has occurred. </w:t>
      </w:r>
    </w:p>
    <w:p w14:paraId="0706B0D6" w14:textId="77777777" w:rsidR="004D42F9" w:rsidRDefault="004D42F9" w:rsidP="004D42F9">
      <w:r w:rsidRPr="001600F7">
        <w:t xml:space="preserve">Gambling licence revenue is accounted for under AASB 15 using the principles noted in </w:t>
      </w:r>
      <w:r w:rsidRPr="00251DEB">
        <w:t>Note 2.4.</w:t>
      </w:r>
    </w:p>
    <w:p w14:paraId="5239FD72" w14:textId="38272FB5" w:rsidR="008623A6" w:rsidRDefault="008623A6" w:rsidP="004D42F9">
      <w:pPr>
        <w:pStyle w:val="Heading2"/>
        <w:sectPr w:rsidR="008623A6" w:rsidSect="008623A6">
          <w:headerReference w:type="even" r:id="rId60"/>
          <w:headerReference w:type="default" r:id="rId61"/>
          <w:type w:val="continuous"/>
          <w:pgSz w:w="11906" w:h="16838" w:code="9"/>
          <w:pgMar w:top="1134" w:right="1134" w:bottom="1134" w:left="1134" w:header="624" w:footer="567" w:gutter="0"/>
          <w:cols w:num="2" w:space="708"/>
          <w:docGrid w:linePitch="360"/>
        </w:sectPr>
      </w:pPr>
      <w:bookmarkStart w:id="60" w:name="_Toc176184155"/>
      <w:r>
        <w:br w:type="column"/>
      </w:r>
    </w:p>
    <w:p w14:paraId="439803F7" w14:textId="77777777" w:rsidR="004D42F9" w:rsidRDefault="004D42F9" w:rsidP="004D42F9">
      <w:pPr>
        <w:pStyle w:val="Heading2"/>
      </w:pPr>
      <w:bookmarkStart w:id="61" w:name="_Toc209476161"/>
      <w:r w:rsidDel="000B5696">
        <w:t>2.2</w:t>
      </w:r>
      <w:r w:rsidDel="000B5696">
        <w:tab/>
        <w:t>Interest income</w:t>
      </w:r>
      <w:bookmarkEnd w:id="60"/>
      <w:bookmarkEnd w:id="61"/>
      <w:r w:rsidDel="000B5696">
        <w:t xml:space="preserve"> </w:t>
      </w:r>
    </w:p>
    <w:p w14:paraId="525E0207" w14:textId="77777777" w:rsidR="008623A6" w:rsidRDefault="008623A6" w:rsidP="004D42F9">
      <w:pPr>
        <w:sectPr w:rsidR="008623A6" w:rsidSect="008623A6">
          <w:type w:val="continuous"/>
          <w:pgSz w:w="11906" w:h="16838" w:code="9"/>
          <w:pgMar w:top="1134" w:right="1134" w:bottom="1134" w:left="1134" w:header="624" w:footer="567" w:gutter="0"/>
          <w:cols w:space="708"/>
          <w:docGrid w:linePitch="360"/>
        </w:sectPr>
      </w:pPr>
    </w:p>
    <w:p w14:paraId="39DCFA57" w14:textId="77777777" w:rsidR="004D42F9" w:rsidDel="000B5696" w:rsidRDefault="004D42F9" w:rsidP="004D42F9">
      <w:r w:rsidDel="000B5696">
        <w:t xml:space="preserve">Interest income includes interest earned on bank term deposits and other investments, and the unwinding over time of the discount on financial assets. Interest income is recognised using the effective interest method, which allocates the interest over the relevant period. </w:t>
      </w:r>
    </w:p>
    <w:p w14:paraId="6D7CACC0" w14:textId="77777777" w:rsidR="004D42F9" w:rsidDel="000B5696" w:rsidRDefault="004D42F9" w:rsidP="004D42F9">
      <w:r w:rsidDel="000B5696">
        <w:t>Net realised and unrealised gains or losses on the revaluation of investments do not form part of net result from transactions,</w:t>
      </w:r>
      <w:r>
        <w:t xml:space="preserve"> </w:t>
      </w:r>
      <w:r w:rsidDel="000B5696">
        <w:t>but are reported either as part of other economic flows included in the net result or as unrealised gains or losses taken directly to equity, forming part of the total change in net worth in the comprehensive result.</w:t>
      </w:r>
    </w:p>
    <w:p w14:paraId="7B80A71F" w14:textId="77777777" w:rsidR="008623A6" w:rsidRDefault="008623A6" w:rsidP="004D42F9">
      <w:pPr>
        <w:pStyle w:val="Heading2"/>
        <w:sectPr w:rsidR="008623A6" w:rsidSect="008623A6">
          <w:type w:val="continuous"/>
          <w:pgSz w:w="11906" w:h="16838" w:code="9"/>
          <w:pgMar w:top="1134" w:right="1134" w:bottom="1134" w:left="1134" w:header="624" w:footer="567" w:gutter="0"/>
          <w:cols w:num="2" w:space="708"/>
          <w:docGrid w:linePitch="360"/>
        </w:sectPr>
      </w:pPr>
      <w:bookmarkStart w:id="62" w:name="_Toc176184156"/>
    </w:p>
    <w:p w14:paraId="62FC3716" w14:textId="77777777" w:rsidR="004D42F9" w:rsidRDefault="004D42F9" w:rsidP="004D42F9">
      <w:pPr>
        <w:pStyle w:val="Heading2"/>
      </w:pPr>
      <w:bookmarkStart w:id="63" w:name="_Toc209476162"/>
      <w:r>
        <w:t>2.3</w:t>
      </w:r>
      <w:r>
        <w:tab/>
        <w:t>Dividends and income tax equivalent income</w:t>
      </w:r>
      <w:bookmarkEnd w:id="62"/>
      <w:bookmarkEnd w:id="63"/>
    </w:p>
    <w:p w14:paraId="00DA3238"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ividends_revenue"/>
      </w:tblPr>
      <w:tblGrid>
        <w:gridCol w:w="5954"/>
        <w:gridCol w:w="921"/>
        <w:gridCol w:w="921"/>
        <w:gridCol w:w="921"/>
        <w:gridCol w:w="921"/>
      </w:tblGrid>
      <w:tr w:rsidR="004D42F9" w14:paraId="1639C96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DC53F0C" w14:textId="77777777" w:rsidR="004D42F9" w:rsidRDefault="004D42F9">
            <w:pPr>
              <w:keepNext/>
            </w:pPr>
          </w:p>
        </w:tc>
        <w:tc>
          <w:tcPr>
            <w:tcW w:w="1842" w:type="dxa"/>
            <w:gridSpan w:val="2"/>
          </w:tcPr>
          <w:p w14:paraId="23108BC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4CCE0244"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67A3F3D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1F0B1C3" w14:textId="77777777" w:rsidR="004D42F9" w:rsidRDefault="004D42F9">
            <w:pPr>
              <w:keepNext/>
            </w:pPr>
          </w:p>
        </w:tc>
        <w:tc>
          <w:tcPr>
            <w:tcW w:w="921" w:type="dxa"/>
          </w:tcPr>
          <w:p w14:paraId="49E05FE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3FCC077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1148602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209DFA9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39AD281D" w14:textId="77777777">
        <w:tc>
          <w:tcPr>
            <w:cnfStyle w:val="001000000000" w:firstRow="0" w:lastRow="0" w:firstColumn="1" w:lastColumn="0" w:oddVBand="0" w:evenVBand="0" w:oddHBand="0" w:evenHBand="0" w:firstRowFirstColumn="0" w:firstRowLastColumn="0" w:lastRowFirstColumn="0" w:lastRowLastColumn="0"/>
            <w:tcW w:w="5954" w:type="dxa"/>
          </w:tcPr>
          <w:p w14:paraId="17CF19D0" w14:textId="77777777" w:rsidR="004D42F9" w:rsidRDefault="004D42F9">
            <w:r>
              <w:t>Dividends from PFC sector</w:t>
            </w:r>
          </w:p>
        </w:tc>
        <w:tc>
          <w:tcPr>
            <w:tcW w:w="921" w:type="dxa"/>
          </w:tcPr>
          <w:p w14:paraId="7F1E00B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3D0DBF7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3767252" w14:textId="77777777" w:rsidR="004D42F9" w:rsidRDefault="004D42F9">
            <w:pPr>
              <w:cnfStyle w:val="000000000000" w:firstRow="0" w:lastRow="0" w:firstColumn="0" w:lastColumn="0" w:oddVBand="0" w:evenVBand="0" w:oddHBand="0" w:evenHBand="0" w:firstRowFirstColumn="0" w:firstRowLastColumn="0" w:lastRowFirstColumn="0" w:lastRowLastColumn="0"/>
            </w:pPr>
            <w:r>
              <w:t>876</w:t>
            </w:r>
          </w:p>
        </w:tc>
        <w:tc>
          <w:tcPr>
            <w:tcW w:w="921" w:type="dxa"/>
          </w:tcPr>
          <w:p w14:paraId="020CA1F0" w14:textId="77777777" w:rsidR="004D42F9" w:rsidRDefault="004D42F9">
            <w:pPr>
              <w:cnfStyle w:val="000000000000" w:firstRow="0" w:lastRow="0" w:firstColumn="0" w:lastColumn="0" w:oddVBand="0" w:evenVBand="0" w:oddHBand="0" w:evenHBand="0" w:firstRowFirstColumn="0" w:firstRowLastColumn="0" w:lastRowFirstColumn="0" w:lastRowLastColumn="0"/>
            </w:pPr>
            <w:r>
              <w:t>1 232</w:t>
            </w:r>
          </w:p>
        </w:tc>
      </w:tr>
      <w:tr w:rsidR="004D42F9" w14:paraId="54F018D1" w14:textId="77777777">
        <w:tc>
          <w:tcPr>
            <w:cnfStyle w:val="001000000000" w:firstRow="0" w:lastRow="0" w:firstColumn="1" w:lastColumn="0" w:oddVBand="0" w:evenVBand="0" w:oddHBand="0" w:evenHBand="0" w:firstRowFirstColumn="0" w:firstRowLastColumn="0" w:lastRowFirstColumn="0" w:lastRowLastColumn="0"/>
            <w:tcW w:w="5954" w:type="dxa"/>
          </w:tcPr>
          <w:p w14:paraId="42E8B5A8" w14:textId="77777777" w:rsidR="004D42F9" w:rsidRDefault="004D42F9">
            <w:r>
              <w:t>Dividends from PNFC sector</w:t>
            </w:r>
          </w:p>
        </w:tc>
        <w:tc>
          <w:tcPr>
            <w:tcW w:w="921" w:type="dxa"/>
          </w:tcPr>
          <w:p w14:paraId="748DC5B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DE62B6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021D1F37" w14:textId="77777777" w:rsidR="004D42F9" w:rsidRDefault="004D42F9">
            <w:pPr>
              <w:cnfStyle w:val="000000000000" w:firstRow="0" w:lastRow="0" w:firstColumn="0" w:lastColumn="0" w:oddVBand="0" w:evenVBand="0" w:oddHBand="0" w:evenHBand="0" w:firstRowFirstColumn="0" w:firstRowLastColumn="0" w:lastRowFirstColumn="0" w:lastRowLastColumn="0"/>
            </w:pPr>
            <w:r>
              <w:t>106</w:t>
            </w:r>
          </w:p>
        </w:tc>
        <w:tc>
          <w:tcPr>
            <w:tcW w:w="921" w:type="dxa"/>
          </w:tcPr>
          <w:p w14:paraId="32432506" w14:textId="77777777" w:rsidR="004D42F9" w:rsidRDefault="004D42F9">
            <w:pPr>
              <w:cnfStyle w:val="000000000000" w:firstRow="0" w:lastRow="0" w:firstColumn="0" w:lastColumn="0" w:oddVBand="0" w:evenVBand="0" w:oddHBand="0" w:evenHBand="0" w:firstRowFirstColumn="0" w:firstRowLastColumn="0" w:lastRowFirstColumn="0" w:lastRowLastColumn="0"/>
            </w:pPr>
            <w:r>
              <w:t>206</w:t>
            </w:r>
          </w:p>
        </w:tc>
      </w:tr>
      <w:tr w:rsidR="004D42F9" w14:paraId="1A28AC20"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19F4FF44" w14:textId="77777777" w:rsidR="004D42F9" w:rsidRDefault="004D42F9">
            <w:r>
              <w:t>Dividends from non</w:t>
            </w:r>
            <w:r>
              <w:noBreakHyphen/>
              <w:t>public sector</w:t>
            </w:r>
          </w:p>
        </w:tc>
        <w:tc>
          <w:tcPr>
            <w:tcW w:w="921" w:type="dxa"/>
            <w:tcBorders>
              <w:bottom w:val="single" w:sz="6" w:space="0" w:color="auto"/>
            </w:tcBorders>
          </w:tcPr>
          <w:p w14:paraId="66F19869" w14:textId="77777777" w:rsidR="004D42F9" w:rsidRDefault="004D42F9">
            <w:pPr>
              <w:cnfStyle w:val="000000000000" w:firstRow="0" w:lastRow="0" w:firstColumn="0" w:lastColumn="0" w:oddVBand="0" w:evenVBand="0" w:oddHBand="0" w:evenHBand="0" w:firstRowFirstColumn="0" w:firstRowLastColumn="0" w:lastRowFirstColumn="0" w:lastRowLastColumn="0"/>
            </w:pPr>
            <w:r>
              <w:t>3 947</w:t>
            </w:r>
          </w:p>
        </w:tc>
        <w:tc>
          <w:tcPr>
            <w:tcW w:w="921" w:type="dxa"/>
            <w:tcBorders>
              <w:bottom w:val="single" w:sz="6" w:space="0" w:color="auto"/>
            </w:tcBorders>
          </w:tcPr>
          <w:p w14:paraId="5D70E3A3" w14:textId="77777777" w:rsidR="004D42F9" w:rsidRDefault="004D42F9">
            <w:pPr>
              <w:cnfStyle w:val="000000000000" w:firstRow="0" w:lastRow="0" w:firstColumn="0" w:lastColumn="0" w:oddVBand="0" w:evenVBand="0" w:oddHBand="0" w:evenHBand="0" w:firstRowFirstColumn="0" w:firstRowLastColumn="0" w:lastRowFirstColumn="0" w:lastRowLastColumn="0"/>
            </w:pPr>
            <w:r>
              <w:t>2 485</w:t>
            </w:r>
          </w:p>
        </w:tc>
        <w:tc>
          <w:tcPr>
            <w:tcW w:w="921" w:type="dxa"/>
            <w:tcBorders>
              <w:bottom w:val="single" w:sz="6" w:space="0" w:color="auto"/>
            </w:tcBorders>
          </w:tcPr>
          <w:p w14:paraId="4ED9C8D8" w14:textId="77777777" w:rsidR="004D42F9" w:rsidRDefault="004D42F9">
            <w:pPr>
              <w:cnfStyle w:val="000000000000" w:firstRow="0" w:lastRow="0" w:firstColumn="0" w:lastColumn="0" w:oddVBand="0" w:evenVBand="0" w:oddHBand="0" w:evenHBand="0" w:firstRowFirstColumn="0" w:firstRowLastColumn="0" w:lastRowFirstColumn="0" w:lastRowLastColumn="0"/>
            </w:pPr>
            <w:r>
              <w:t>705</w:t>
            </w:r>
          </w:p>
        </w:tc>
        <w:tc>
          <w:tcPr>
            <w:tcW w:w="921" w:type="dxa"/>
            <w:tcBorders>
              <w:bottom w:val="single" w:sz="6" w:space="0" w:color="auto"/>
            </w:tcBorders>
          </w:tcPr>
          <w:p w14:paraId="13FADE23" w14:textId="77777777" w:rsidR="004D42F9" w:rsidRDefault="004D42F9">
            <w:pPr>
              <w:cnfStyle w:val="000000000000" w:firstRow="0" w:lastRow="0" w:firstColumn="0" w:lastColumn="0" w:oddVBand="0" w:evenVBand="0" w:oddHBand="0" w:evenHBand="0" w:firstRowFirstColumn="0" w:firstRowLastColumn="0" w:lastRowFirstColumn="0" w:lastRowLastColumn="0"/>
            </w:pPr>
            <w:r>
              <w:t>143</w:t>
            </w:r>
          </w:p>
        </w:tc>
      </w:tr>
      <w:tr w:rsidR="004D42F9" w14:paraId="130331E7"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255FFF13" w14:textId="77777777" w:rsidR="004D42F9" w:rsidRDefault="004D42F9">
            <w:r>
              <w:rPr>
                <w:b/>
              </w:rPr>
              <w:t>Dividends</w:t>
            </w:r>
          </w:p>
        </w:tc>
        <w:tc>
          <w:tcPr>
            <w:tcW w:w="921" w:type="dxa"/>
            <w:tcBorders>
              <w:top w:val="single" w:sz="6" w:space="0" w:color="auto"/>
            </w:tcBorders>
          </w:tcPr>
          <w:p w14:paraId="6EC93F4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3 947</w:t>
            </w:r>
          </w:p>
        </w:tc>
        <w:tc>
          <w:tcPr>
            <w:tcW w:w="921" w:type="dxa"/>
            <w:tcBorders>
              <w:top w:val="single" w:sz="6" w:space="0" w:color="auto"/>
            </w:tcBorders>
          </w:tcPr>
          <w:p w14:paraId="398CD27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2 485</w:t>
            </w:r>
          </w:p>
        </w:tc>
        <w:tc>
          <w:tcPr>
            <w:tcW w:w="921" w:type="dxa"/>
            <w:tcBorders>
              <w:top w:val="single" w:sz="6" w:space="0" w:color="auto"/>
            </w:tcBorders>
          </w:tcPr>
          <w:p w14:paraId="6A740E0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1 687</w:t>
            </w:r>
          </w:p>
        </w:tc>
        <w:tc>
          <w:tcPr>
            <w:tcW w:w="921" w:type="dxa"/>
            <w:tcBorders>
              <w:top w:val="single" w:sz="6" w:space="0" w:color="auto"/>
            </w:tcBorders>
          </w:tcPr>
          <w:p w14:paraId="014A1B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1 581</w:t>
            </w:r>
          </w:p>
        </w:tc>
      </w:tr>
      <w:tr w:rsidR="004D42F9" w14:paraId="2361A8B5" w14:textId="77777777">
        <w:tc>
          <w:tcPr>
            <w:cnfStyle w:val="001000000000" w:firstRow="0" w:lastRow="0" w:firstColumn="1" w:lastColumn="0" w:oddVBand="0" w:evenVBand="0" w:oddHBand="0" w:evenHBand="0" w:firstRowFirstColumn="0" w:firstRowLastColumn="0" w:lastRowFirstColumn="0" w:lastRowLastColumn="0"/>
            <w:tcW w:w="5954" w:type="dxa"/>
          </w:tcPr>
          <w:p w14:paraId="7C9E1660" w14:textId="77777777" w:rsidR="004D42F9" w:rsidRDefault="004D42F9">
            <w:r>
              <w:t>Income tax equivalent income from PFC sector</w:t>
            </w:r>
          </w:p>
        </w:tc>
        <w:tc>
          <w:tcPr>
            <w:tcW w:w="921" w:type="dxa"/>
          </w:tcPr>
          <w:p w14:paraId="57CD53B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B10F52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549903E6" w14:textId="77777777" w:rsidR="004D42F9" w:rsidRDefault="004D42F9">
            <w:pPr>
              <w:cnfStyle w:val="000000000000" w:firstRow="0" w:lastRow="0" w:firstColumn="0" w:lastColumn="0" w:oddVBand="0" w:evenVBand="0" w:oddHBand="0" w:evenHBand="0" w:firstRowFirstColumn="0" w:firstRowLastColumn="0" w:lastRowFirstColumn="0" w:lastRowLastColumn="0"/>
            </w:pPr>
            <w:r>
              <w:t>387</w:t>
            </w:r>
          </w:p>
        </w:tc>
        <w:tc>
          <w:tcPr>
            <w:tcW w:w="921" w:type="dxa"/>
          </w:tcPr>
          <w:p w14:paraId="0D3773C9" w14:textId="77777777" w:rsidR="004D42F9" w:rsidRDefault="004D42F9">
            <w:pPr>
              <w:cnfStyle w:val="000000000000" w:firstRow="0" w:lastRow="0" w:firstColumn="0" w:lastColumn="0" w:oddVBand="0" w:evenVBand="0" w:oddHBand="0" w:evenHBand="0" w:firstRowFirstColumn="0" w:firstRowLastColumn="0" w:lastRowFirstColumn="0" w:lastRowLastColumn="0"/>
            </w:pPr>
            <w:r>
              <w:t>352</w:t>
            </w:r>
          </w:p>
        </w:tc>
      </w:tr>
      <w:tr w:rsidR="004D42F9" w14:paraId="79819500"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491F48D" w14:textId="77777777" w:rsidR="004D42F9" w:rsidRDefault="004D42F9">
            <w:r>
              <w:t>Income tax equivalent income from PNFC sector</w:t>
            </w:r>
          </w:p>
        </w:tc>
        <w:tc>
          <w:tcPr>
            <w:tcW w:w="921" w:type="dxa"/>
            <w:tcBorders>
              <w:bottom w:val="single" w:sz="6" w:space="0" w:color="auto"/>
            </w:tcBorders>
          </w:tcPr>
          <w:p w14:paraId="1E5FCC6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5C310C3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60AF8049" w14:textId="77777777" w:rsidR="004D42F9" w:rsidRDefault="004D42F9">
            <w:pPr>
              <w:cnfStyle w:val="000000000000" w:firstRow="0" w:lastRow="0" w:firstColumn="0" w:lastColumn="0" w:oddVBand="0" w:evenVBand="0" w:oddHBand="0" w:evenHBand="0" w:firstRowFirstColumn="0" w:firstRowLastColumn="0" w:lastRowFirstColumn="0" w:lastRowLastColumn="0"/>
            </w:pPr>
            <w:r>
              <w:t>205</w:t>
            </w:r>
          </w:p>
        </w:tc>
        <w:tc>
          <w:tcPr>
            <w:tcW w:w="921" w:type="dxa"/>
            <w:tcBorders>
              <w:bottom w:val="single" w:sz="6" w:space="0" w:color="auto"/>
            </w:tcBorders>
          </w:tcPr>
          <w:p w14:paraId="47D96196" w14:textId="77777777" w:rsidR="004D42F9" w:rsidRDefault="004D42F9">
            <w:pPr>
              <w:cnfStyle w:val="000000000000" w:firstRow="0" w:lastRow="0" w:firstColumn="0" w:lastColumn="0" w:oddVBand="0" w:evenVBand="0" w:oddHBand="0" w:evenHBand="0" w:firstRowFirstColumn="0" w:firstRowLastColumn="0" w:lastRowFirstColumn="0" w:lastRowLastColumn="0"/>
            </w:pPr>
            <w:r>
              <w:t>261</w:t>
            </w:r>
          </w:p>
        </w:tc>
      </w:tr>
      <w:tr w:rsidR="004D42F9" w14:paraId="259E38C3"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B3E1536" w14:textId="77777777" w:rsidR="004D42F9" w:rsidRDefault="004D42F9">
            <w:r>
              <w:rPr>
                <w:b/>
              </w:rPr>
              <w:t>Income tax equivalent income</w:t>
            </w:r>
          </w:p>
        </w:tc>
        <w:tc>
          <w:tcPr>
            <w:tcW w:w="921" w:type="dxa"/>
            <w:tcBorders>
              <w:top w:val="single" w:sz="6" w:space="0" w:color="auto"/>
            </w:tcBorders>
          </w:tcPr>
          <w:p w14:paraId="17C0AE5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21" w:type="dxa"/>
            <w:tcBorders>
              <w:top w:val="single" w:sz="6" w:space="0" w:color="auto"/>
            </w:tcBorders>
          </w:tcPr>
          <w:p w14:paraId="55ECB42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921" w:type="dxa"/>
            <w:tcBorders>
              <w:top w:val="single" w:sz="6" w:space="0" w:color="auto"/>
            </w:tcBorders>
          </w:tcPr>
          <w:p w14:paraId="74C7AAE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592</w:t>
            </w:r>
          </w:p>
        </w:tc>
        <w:tc>
          <w:tcPr>
            <w:tcW w:w="921" w:type="dxa"/>
            <w:tcBorders>
              <w:top w:val="single" w:sz="6" w:space="0" w:color="auto"/>
            </w:tcBorders>
          </w:tcPr>
          <w:p w14:paraId="2AF5753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614</w:t>
            </w:r>
          </w:p>
        </w:tc>
      </w:tr>
      <w:tr w:rsidR="004D42F9" w14:paraId="13AA4EBE"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41F467C2" w14:textId="77777777" w:rsidR="004D42F9" w:rsidRDefault="004D42F9">
            <w:r>
              <w:t>Local government rate equivalent income</w:t>
            </w:r>
          </w:p>
        </w:tc>
        <w:tc>
          <w:tcPr>
            <w:tcW w:w="921" w:type="dxa"/>
            <w:tcBorders>
              <w:bottom w:val="single" w:sz="6" w:space="0" w:color="auto"/>
            </w:tcBorders>
          </w:tcPr>
          <w:p w14:paraId="583D4BE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4296A3C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28150918"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921" w:type="dxa"/>
            <w:tcBorders>
              <w:bottom w:val="single" w:sz="6" w:space="0" w:color="auto"/>
            </w:tcBorders>
          </w:tcPr>
          <w:p w14:paraId="4A0A995D"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r>
      <w:tr w:rsidR="004D42F9" w14:paraId="40492520"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079B8D38" w14:textId="77777777" w:rsidR="004D42F9" w:rsidRDefault="004D42F9">
            <w:r>
              <w:rPr>
                <w:b/>
              </w:rPr>
              <w:t>Total dividends and income tax equivalent income</w:t>
            </w:r>
          </w:p>
        </w:tc>
        <w:tc>
          <w:tcPr>
            <w:tcW w:w="921" w:type="dxa"/>
            <w:tcBorders>
              <w:top w:val="single" w:sz="6" w:space="0" w:color="auto"/>
              <w:bottom w:val="single" w:sz="12" w:space="0" w:color="auto"/>
            </w:tcBorders>
          </w:tcPr>
          <w:p w14:paraId="758547A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3 947</w:t>
            </w:r>
          </w:p>
        </w:tc>
        <w:tc>
          <w:tcPr>
            <w:tcW w:w="921" w:type="dxa"/>
            <w:tcBorders>
              <w:top w:val="single" w:sz="6" w:space="0" w:color="auto"/>
              <w:bottom w:val="single" w:sz="12" w:space="0" w:color="auto"/>
            </w:tcBorders>
          </w:tcPr>
          <w:p w14:paraId="151BA9B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2 485</w:t>
            </w:r>
          </w:p>
        </w:tc>
        <w:tc>
          <w:tcPr>
            <w:tcW w:w="921" w:type="dxa"/>
            <w:tcBorders>
              <w:top w:val="single" w:sz="6" w:space="0" w:color="auto"/>
              <w:bottom w:val="single" w:sz="12" w:space="0" w:color="auto"/>
            </w:tcBorders>
          </w:tcPr>
          <w:p w14:paraId="614B951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2 284</w:t>
            </w:r>
          </w:p>
        </w:tc>
        <w:tc>
          <w:tcPr>
            <w:tcW w:w="921" w:type="dxa"/>
            <w:tcBorders>
              <w:top w:val="single" w:sz="6" w:space="0" w:color="auto"/>
              <w:bottom w:val="single" w:sz="12" w:space="0" w:color="auto"/>
            </w:tcBorders>
          </w:tcPr>
          <w:p w14:paraId="2BA3A6F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2 199</w:t>
            </w:r>
          </w:p>
        </w:tc>
      </w:tr>
    </w:tbl>
    <w:p w14:paraId="51221CD5" w14:textId="77777777" w:rsidR="004D42F9" w:rsidRDefault="004D42F9" w:rsidP="004D42F9"/>
    <w:p w14:paraId="01C7ED51" w14:textId="77777777" w:rsidR="008623A6" w:rsidRDefault="008623A6" w:rsidP="004D42F9">
      <w:pPr>
        <w:sectPr w:rsidR="008623A6" w:rsidSect="008623A6">
          <w:type w:val="continuous"/>
          <w:pgSz w:w="11906" w:h="16838" w:code="9"/>
          <w:pgMar w:top="1134" w:right="1134" w:bottom="1134" w:left="1134" w:header="624" w:footer="567" w:gutter="0"/>
          <w:cols w:space="708"/>
          <w:docGrid w:linePitch="360"/>
        </w:sectPr>
      </w:pPr>
    </w:p>
    <w:p w14:paraId="24B8F9E9" w14:textId="77777777" w:rsidR="004D42F9" w:rsidRDefault="004D42F9" w:rsidP="004D42F9">
      <w:r>
        <w:t xml:space="preserve">General government sector dividends, income tax equivalent and rate equivalent income represent income earned from other sectors of government. Such income for the general government sector is recognised when the right to receive the payment is established. </w:t>
      </w:r>
    </w:p>
    <w:p w14:paraId="67583403" w14:textId="77777777" w:rsidR="004D42F9" w:rsidRDefault="004D42F9" w:rsidP="004D42F9">
      <w:r>
        <w:t>Dividends and income tax equivalent income are mainly from the public non-financial corporation (PNFC) and public financial corporation (PFC) sectors. This income is based on established dividend policies and the profitability of the PNFCs and PFCs.</w:t>
      </w:r>
    </w:p>
    <w:p w14:paraId="2FEE93AB" w14:textId="77777777" w:rsidR="008623A6" w:rsidRDefault="004D42F9" w:rsidP="004D42F9">
      <w:r>
        <w:t xml:space="preserve">While most government departments and agencies are exempt from federal income tax, certain larger PNFC and PFC entities are subject to income tax equivalents payable to the general government sector in accordance with the National Tax Equivalent Regime (NTER). </w:t>
      </w:r>
    </w:p>
    <w:p w14:paraId="79FA0936" w14:textId="34B5724C" w:rsidR="004D42F9" w:rsidRDefault="004D42F9" w:rsidP="004D42F9">
      <w:r>
        <w:t>The primary objective of the NTER is to promote competitive neutrality by uniformly applying income tax laws to NTER entities and their privately held counterparts.</w:t>
      </w:r>
    </w:p>
    <w:p w14:paraId="08405C39" w14:textId="77777777" w:rsidR="004D42F9" w:rsidRDefault="004D42F9" w:rsidP="004D42F9">
      <w:r>
        <w:t>Dividends and income tax equivalents from the PNFC and PFC sectors are eliminated on consolidation into the financial statements of the State.</w:t>
      </w:r>
    </w:p>
    <w:p w14:paraId="281EB712" w14:textId="77777777" w:rsidR="004D42F9" w:rsidRDefault="004D42F9" w:rsidP="004D42F9">
      <w:r>
        <w:t>Dividends earned from the non-public sector primarily relate to distributions from investments held in managed funds, and are recognised when the right to receive the dividend is established.</w:t>
      </w:r>
    </w:p>
    <w:p w14:paraId="1F05BA09" w14:textId="77777777" w:rsidR="008623A6" w:rsidRDefault="008623A6" w:rsidP="004D42F9"/>
    <w:p w14:paraId="6DE7DFB7" w14:textId="77777777" w:rsidR="008623A6" w:rsidRDefault="008623A6" w:rsidP="004D42F9">
      <w:pPr>
        <w:sectPr w:rsidR="008623A6" w:rsidSect="008623A6">
          <w:type w:val="continuous"/>
          <w:pgSz w:w="11906" w:h="16838" w:code="9"/>
          <w:pgMar w:top="1134" w:right="1134" w:bottom="1134" w:left="1134" w:header="624" w:footer="567" w:gutter="0"/>
          <w:cols w:num="2" w:space="708"/>
          <w:docGrid w:linePitch="360"/>
        </w:sectPr>
      </w:pPr>
    </w:p>
    <w:p w14:paraId="74ED03F8" w14:textId="77777777" w:rsidR="004D42F9" w:rsidRPr="00D840EB" w:rsidDel="000B5696" w:rsidRDefault="004D42F9" w:rsidP="004D42F9"/>
    <w:p w14:paraId="43BE2965" w14:textId="77777777" w:rsidR="004D42F9" w:rsidRDefault="004D42F9" w:rsidP="004D42F9">
      <w:pPr>
        <w:pStyle w:val="TableHeading"/>
        <w:pageBreakBefore/>
      </w:pPr>
      <w:r>
        <w:lastRenderedPageBreak/>
        <w:t xml:space="preserve">Dividends by entity </w:t>
      </w:r>
      <w:r w:rsidRPr="005B23EF">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ividends_by_entity"/>
      </w:tblPr>
      <w:tblGrid>
        <w:gridCol w:w="7797"/>
        <w:gridCol w:w="920"/>
        <w:gridCol w:w="921"/>
      </w:tblGrid>
      <w:tr w:rsidR="004D42F9" w14:paraId="1173F18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7146DB89" w14:textId="77777777" w:rsidR="004D42F9" w:rsidRDefault="004D42F9">
            <w:pPr>
              <w:keepNext/>
            </w:pPr>
          </w:p>
        </w:tc>
        <w:tc>
          <w:tcPr>
            <w:tcW w:w="1841" w:type="dxa"/>
            <w:gridSpan w:val="2"/>
          </w:tcPr>
          <w:p w14:paraId="4660FA6D"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756B30E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280692C7" w14:textId="77777777" w:rsidR="004D42F9" w:rsidRDefault="004D42F9">
            <w:pPr>
              <w:keepNext/>
            </w:pPr>
          </w:p>
        </w:tc>
        <w:tc>
          <w:tcPr>
            <w:tcW w:w="920" w:type="dxa"/>
          </w:tcPr>
          <w:p w14:paraId="1F39ACF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02AE57C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8EF450C" w14:textId="77777777">
        <w:tc>
          <w:tcPr>
            <w:cnfStyle w:val="001000000000" w:firstRow="0" w:lastRow="0" w:firstColumn="1" w:lastColumn="0" w:oddVBand="0" w:evenVBand="0" w:oddHBand="0" w:evenHBand="0" w:firstRowFirstColumn="0" w:firstRowLastColumn="0" w:lastRowFirstColumn="0" w:lastRowLastColumn="0"/>
            <w:tcW w:w="7797" w:type="dxa"/>
          </w:tcPr>
          <w:p w14:paraId="2C402188" w14:textId="77777777" w:rsidR="004D42F9" w:rsidRDefault="004D42F9">
            <w:r>
              <w:rPr>
                <w:b/>
              </w:rPr>
              <w:t>Public financial corporations</w:t>
            </w:r>
          </w:p>
        </w:tc>
        <w:tc>
          <w:tcPr>
            <w:tcW w:w="920" w:type="dxa"/>
          </w:tcPr>
          <w:p w14:paraId="3353228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1760001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BE2E97A" w14:textId="77777777">
        <w:tc>
          <w:tcPr>
            <w:cnfStyle w:val="001000000000" w:firstRow="0" w:lastRow="0" w:firstColumn="1" w:lastColumn="0" w:oddVBand="0" w:evenVBand="0" w:oddHBand="0" w:evenHBand="0" w:firstRowFirstColumn="0" w:firstRowLastColumn="0" w:lastRowFirstColumn="0" w:lastRowLastColumn="0"/>
            <w:tcW w:w="7797" w:type="dxa"/>
          </w:tcPr>
          <w:p w14:paraId="6E38B207" w14:textId="77777777" w:rsidR="004D42F9" w:rsidRDefault="004D42F9">
            <w:r>
              <w:t>Victorian Managed Insurance Authority</w:t>
            </w:r>
          </w:p>
        </w:tc>
        <w:tc>
          <w:tcPr>
            <w:tcW w:w="920" w:type="dxa"/>
          </w:tcPr>
          <w:p w14:paraId="10129A2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34AF808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36CC98CD" w14:textId="77777777">
        <w:tc>
          <w:tcPr>
            <w:cnfStyle w:val="001000000000" w:firstRow="0" w:lastRow="0" w:firstColumn="1" w:lastColumn="0" w:oddVBand="0" w:evenVBand="0" w:oddHBand="0" w:evenHBand="0" w:firstRowFirstColumn="0" w:firstRowLastColumn="0" w:lastRowFirstColumn="0" w:lastRowLastColumn="0"/>
            <w:tcW w:w="7797" w:type="dxa"/>
          </w:tcPr>
          <w:p w14:paraId="5B23C1C3" w14:textId="77777777" w:rsidR="004D42F9" w:rsidRDefault="004D42F9">
            <w:r>
              <w:t>Transport Accident Commission</w:t>
            </w:r>
          </w:p>
        </w:tc>
        <w:tc>
          <w:tcPr>
            <w:tcW w:w="920" w:type="dxa"/>
          </w:tcPr>
          <w:p w14:paraId="05CD4AE2" w14:textId="77777777" w:rsidR="004D42F9" w:rsidRDefault="004D42F9">
            <w:pPr>
              <w:cnfStyle w:val="000000000000" w:firstRow="0" w:lastRow="0" w:firstColumn="0" w:lastColumn="0" w:oddVBand="0" w:evenVBand="0" w:oddHBand="0" w:evenHBand="0" w:firstRowFirstColumn="0" w:firstRowLastColumn="0" w:lastRowFirstColumn="0" w:lastRowLastColumn="0"/>
            </w:pPr>
            <w:r>
              <w:t>748</w:t>
            </w:r>
          </w:p>
        </w:tc>
        <w:tc>
          <w:tcPr>
            <w:tcW w:w="921" w:type="dxa"/>
          </w:tcPr>
          <w:p w14:paraId="2FBE68F0" w14:textId="77777777" w:rsidR="004D42F9" w:rsidRDefault="004D42F9">
            <w:pPr>
              <w:cnfStyle w:val="000000000000" w:firstRow="0" w:lastRow="0" w:firstColumn="0" w:lastColumn="0" w:oddVBand="0" w:evenVBand="0" w:oddHBand="0" w:evenHBand="0" w:firstRowFirstColumn="0" w:firstRowLastColumn="0" w:lastRowFirstColumn="0" w:lastRowLastColumn="0"/>
            </w:pPr>
            <w:r>
              <w:t>1 082</w:t>
            </w:r>
          </w:p>
        </w:tc>
      </w:tr>
      <w:tr w:rsidR="004D42F9" w14:paraId="676C8861" w14:textId="77777777">
        <w:tc>
          <w:tcPr>
            <w:cnfStyle w:val="001000000000" w:firstRow="0" w:lastRow="0" w:firstColumn="1" w:lastColumn="0" w:oddVBand="0" w:evenVBand="0" w:oddHBand="0" w:evenHBand="0" w:firstRowFirstColumn="0" w:firstRowLastColumn="0" w:lastRowFirstColumn="0" w:lastRowLastColumn="0"/>
            <w:tcW w:w="7797" w:type="dxa"/>
          </w:tcPr>
          <w:p w14:paraId="620ED39A" w14:textId="77777777" w:rsidR="004D42F9" w:rsidRDefault="004D42F9">
            <w:r>
              <w:t>Treasury Corporation of Victoria</w:t>
            </w:r>
          </w:p>
        </w:tc>
        <w:tc>
          <w:tcPr>
            <w:tcW w:w="920" w:type="dxa"/>
          </w:tcPr>
          <w:p w14:paraId="6DD8A0B2" w14:textId="77777777" w:rsidR="004D42F9" w:rsidRDefault="004D42F9">
            <w:pPr>
              <w:cnfStyle w:val="000000000000" w:firstRow="0" w:lastRow="0" w:firstColumn="0" w:lastColumn="0" w:oddVBand="0" w:evenVBand="0" w:oddHBand="0" w:evenHBand="0" w:firstRowFirstColumn="0" w:firstRowLastColumn="0" w:lastRowFirstColumn="0" w:lastRowLastColumn="0"/>
            </w:pPr>
            <w:r>
              <w:t>122</w:t>
            </w:r>
          </w:p>
        </w:tc>
        <w:tc>
          <w:tcPr>
            <w:tcW w:w="921" w:type="dxa"/>
          </w:tcPr>
          <w:p w14:paraId="2A99C021" w14:textId="77777777" w:rsidR="004D42F9" w:rsidRDefault="004D42F9">
            <w:pPr>
              <w:cnfStyle w:val="000000000000" w:firstRow="0" w:lastRow="0" w:firstColumn="0" w:lastColumn="0" w:oddVBand="0" w:evenVBand="0" w:oddHBand="0" w:evenHBand="0" w:firstRowFirstColumn="0" w:firstRowLastColumn="0" w:lastRowFirstColumn="0" w:lastRowLastColumn="0"/>
            </w:pPr>
            <w:r>
              <w:t>145</w:t>
            </w:r>
          </w:p>
        </w:tc>
      </w:tr>
      <w:tr w:rsidR="004D42F9" w14:paraId="4FCE0FCD" w14:textId="77777777">
        <w:tc>
          <w:tcPr>
            <w:cnfStyle w:val="001000000000" w:firstRow="0" w:lastRow="0" w:firstColumn="1" w:lastColumn="0" w:oddVBand="0" w:evenVBand="0" w:oddHBand="0" w:evenHBand="0" w:firstRowFirstColumn="0" w:firstRowLastColumn="0" w:lastRowFirstColumn="0" w:lastRowLastColumn="0"/>
            <w:tcW w:w="7797" w:type="dxa"/>
          </w:tcPr>
          <w:p w14:paraId="49B8DBA3" w14:textId="77777777" w:rsidR="004D42F9" w:rsidRDefault="004D42F9">
            <w:r>
              <w:t>State Trustees Ltd</w:t>
            </w:r>
          </w:p>
        </w:tc>
        <w:tc>
          <w:tcPr>
            <w:tcW w:w="920" w:type="dxa"/>
          </w:tcPr>
          <w:p w14:paraId="53CED35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408F2D6A"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774C4A33" w14:textId="77777777">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2F411293" w14:textId="77777777" w:rsidR="004D42F9" w:rsidRDefault="004D42F9">
            <w:r>
              <w:t>Victorian Funds Management Corporation</w:t>
            </w:r>
          </w:p>
        </w:tc>
        <w:tc>
          <w:tcPr>
            <w:tcW w:w="920" w:type="dxa"/>
            <w:tcBorders>
              <w:bottom w:val="single" w:sz="6" w:space="0" w:color="auto"/>
            </w:tcBorders>
          </w:tcPr>
          <w:p w14:paraId="6E7268D7" w14:textId="77777777" w:rsidR="004D42F9" w:rsidRDefault="004D42F9">
            <w:pPr>
              <w:cnfStyle w:val="000000000000" w:firstRow="0" w:lastRow="0" w:firstColumn="0" w:lastColumn="0" w:oddVBand="0" w:evenVBand="0" w:oddHBand="0" w:evenHBand="0" w:firstRowFirstColumn="0" w:firstRowLastColumn="0" w:lastRowFirstColumn="0" w:lastRowLastColumn="0"/>
            </w:pPr>
            <w:r>
              <w:t>6</w:t>
            </w:r>
          </w:p>
        </w:tc>
        <w:tc>
          <w:tcPr>
            <w:tcW w:w="921" w:type="dxa"/>
            <w:tcBorders>
              <w:bottom w:val="single" w:sz="6" w:space="0" w:color="auto"/>
            </w:tcBorders>
          </w:tcPr>
          <w:p w14:paraId="362CFF56"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r>
      <w:tr w:rsidR="004D42F9" w14:paraId="128E5EE1" w14:textId="77777777">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44C77D10" w14:textId="77777777" w:rsidR="004D42F9" w:rsidRDefault="004D42F9">
            <w:r>
              <w:rPr>
                <w:b/>
              </w:rPr>
              <w:t>Dividends from PFC sector</w:t>
            </w:r>
          </w:p>
        </w:tc>
        <w:tc>
          <w:tcPr>
            <w:tcW w:w="920" w:type="dxa"/>
            <w:tcBorders>
              <w:top w:val="single" w:sz="6" w:space="0" w:color="auto"/>
              <w:bottom w:val="single" w:sz="12" w:space="0" w:color="auto"/>
            </w:tcBorders>
          </w:tcPr>
          <w:p w14:paraId="3415B6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876</w:t>
            </w:r>
          </w:p>
        </w:tc>
        <w:tc>
          <w:tcPr>
            <w:tcW w:w="921" w:type="dxa"/>
            <w:tcBorders>
              <w:top w:val="single" w:sz="6" w:space="0" w:color="auto"/>
              <w:bottom w:val="single" w:sz="12" w:space="0" w:color="auto"/>
            </w:tcBorders>
          </w:tcPr>
          <w:p w14:paraId="4004C88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1 232</w:t>
            </w:r>
          </w:p>
        </w:tc>
      </w:tr>
      <w:tr w:rsidR="004D42F9" w14:paraId="04A82CD9" w14:textId="77777777">
        <w:tc>
          <w:tcPr>
            <w:cnfStyle w:val="001000000000" w:firstRow="0" w:lastRow="0" w:firstColumn="1" w:lastColumn="0" w:oddVBand="0" w:evenVBand="0" w:oddHBand="0" w:evenHBand="0" w:firstRowFirstColumn="0" w:firstRowLastColumn="0" w:lastRowFirstColumn="0" w:lastRowLastColumn="0"/>
            <w:tcW w:w="7797" w:type="dxa"/>
            <w:tcBorders>
              <w:top w:val="single" w:sz="0" w:space="0" w:color="auto"/>
            </w:tcBorders>
          </w:tcPr>
          <w:p w14:paraId="7ADAA42B" w14:textId="77777777" w:rsidR="004D42F9" w:rsidRDefault="004D42F9">
            <w:r>
              <w:rPr>
                <w:b/>
              </w:rPr>
              <w:t>Public non</w:t>
            </w:r>
            <w:r>
              <w:rPr>
                <w:b/>
              </w:rPr>
              <w:noBreakHyphen/>
              <w:t>financial corporations</w:t>
            </w:r>
          </w:p>
        </w:tc>
        <w:tc>
          <w:tcPr>
            <w:tcW w:w="920" w:type="dxa"/>
            <w:tcBorders>
              <w:top w:val="single" w:sz="0" w:space="0" w:color="auto"/>
            </w:tcBorders>
          </w:tcPr>
          <w:p w14:paraId="30D8FBE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0" w:space="0" w:color="auto"/>
            </w:tcBorders>
          </w:tcPr>
          <w:p w14:paraId="0F45D27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212385F" w14:textId="77777777">
        <w:tc>
          <w:tcPr>
            <w:cnfStyle w:val="001000000000" w:firstRow="0" w:lastRow="0" w:firstColumn="1" w:lastColumn="0" w:oddVBand="0" w:evenVBand="0" w:oddHBand="0" w:evenHBand="0" w:firstRowFirstColumn="0" w:firstRowLastColumn="0" w:lastRowFirstColumn="0" w:lastRowLastColumn="0"/>
            <w:tcW w:w="7797" w:type="dxa"/>
          </w:tcPr>
          <w:p w14:paraId="42CD3FD9" w14:textId="77777777" w:rsidR="004D42F9" w:rsidRDefault="004D42F9">
            <w:r>
              <w:t>Greater Western Water</w:t>
            </w:r>
          </w:p>
        </w:tc>
        <w:tc>
          <w:tcPr>
            <w:tcW w:w="920" w:type="dxa"/>
          </w:tcPr>
          <w:p w14:paraId="57173874"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21" w:type="dxa"/>
          </w:tcPr>
          <w:p w14:paraId="30DDA511" w14:textId="77777777" w:rsidR="004D42F9" w:rsidRDefault="004D42F9">
            <w:pPr>
              <w:cnfStyle w:val="000000000000" w:firstRow="0" w:lastRow="0" w:firstColumn="0" w:lastColumn="0" w:oddVBand="0" w:evenVBand="0" w:oddHBand="0" w:evenHBand="0" w:firstRowFirstColumn="0" w:firstRowLastColumn="0" w:lastRowFirstColumn="0" w:lastRowLastColumn="0"/>
            </w:pPr>
            <w:r>
              <w:t>42</w:t>
            </w:r>
          </w:p>
        </w:tc>
      </w:tr>
      <w:tr w:rsidR="004D42F9" w14:paraId="1DD7DF0C" w14:textId="77777777">
        <w:tc>
          <w:tcPr>
            <w:cnfStyle w:val="001000000000" w:firstRow="0" w:lastRow="0" w:firstColumn="1" w:lastColumn="0" w:oddVBand="0" w:evenVBand="0" w:oddHBand="0" w:evenHBand="0" w:firstRowFirstColumn="0" w:firstRowLastColumn="0" w:lastRowFirstColumn="0" w:lastRowLastColumn="0"/>
            <w:tcW w:w="7797" w:type="dxa"/>
          </w:tcPr>
          <w:p w14:paraId="50095B05" w14:textId="77777777" w:rsidR="004D42F9" w:rsidRDefault="004D42F9">
            <w:r>
              <w:t>Melbourne Water Corporation</w:t>
            </w:r>
          </w:p>
        </w:tc>
        <w:tc>
          <w:tcPr>
            <w:tcW w:w="920" w:type="dxa"/>
          </w:tcPr>
          <w:p w14:paraId="11F5A5B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7E3EBC0" w14:textId="77777777" w:rsidR="004D42F9" w:rsidRDefault="004D42F9">
            <w:pPr>
              <w:cnfStyle w:val="000000000000" w:firstRow="0" w:lastRow="0" w:firstColumn="0" w:lastColumn="0" w:oddVBand="0" w:evenVBand="0" w:oddHBand="0" w:evenHBand="0" w:firstRowFirstColumn="0" w:firstRowLastColumn="0" w:lastRowFirstColumn="0" w:lastRowLastColumn="0"/>
            </w:pPr>
            <w:r>
              <w:t>48</w:t>
            </w:r>
          </w:p>
        </w:tc>
      </w:tr>
      <w:tr w:rsidR="004D42F9" w14:paraId="44F7BAA1" w14:textId="77777777">
        <w:tc>
          <w:tcPr>
            <w:cnfStyle w:val="001000000000" w:firstRow="0" w:lastRow="0" w:firstColumn="1" w:lastColumn="0" w:oddVBand="0" w:evenVBand="0" w:oddHBand="0" w:evenHBand="0" w:firstRowFirstColumn="0" w:firstRowLastColumn="0" w:lastRowFirstColumn="0" w:lastRowLastColumn="0"/>
            <w:tcW w:w="7797" w:type="dxa"/>
          </w:tcPr>
          <w:p w14:paraId="7D948EF8" w14:textId="77777777" w:rsidR="004D42F9" w:rsidRDefault="004D42F9">
            <w:r>
              <w:t>South East Water Corporation</w:t>
            </w:r>
          </w:p>
        </w:tc>
        <w:tc>
          <w:tcPr>
            <w:tcW w:w="920" w:type="dxa"/>
          </w:tcPr>
          <w:p w14:paraId="473DC877"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21" w:type="dxa"/>
          </w:tcPr>
          <w:p w14:paraId="28404730" w14:textId="77777777" w:rsidR="004D42F9" w:rsidRDefault="004D42F9">
            <w:pPr>
              <w:cnfStyle w:val="000000000000" w:firstRow="0" w:lastRow="0" w:firstColumn="0" w:lastColumn="0" w:oddVBand="0" w:evenVBand="0" w:oddHBand="0" w:evenHBand="0" w:firstRowFirstColumn="0" w:firstRowLastColumn="0" w:lastRowFirstColumn="0" w:lastRowLastColumn="0"/>
            </w:pPr>
            <w:r>
              <w:t>47</w:t>
            </w:r>
          </w:p>
        </w:tc>
      </w:tr>
      <w:tr w:rsidR="004D42F9" w14:paraId="2C6A6081" w14:textId="77777777">
        <w:tc>
          <w:tcPr>
            <w:cnfStyle w:val="001000000000" w:firstRow="0" w:lastRow="0" w:firstColumn="1" w:lastColumn="0" w:oddVBand="0" w:evenVBand="0" w:oddHBand="0" w:evenHBand="0" w:firstRowFirstColumn="0" w:firstRowLastColumn="0" w:lastRowFirstColumn="0" w:lastRowLastColumn="0"/>
            <w:tcW w:w="7797" w:type="dxa"/>
          </w:tcPr>
          <w:p w14:paraId="6EBF832F" w14:textId="77777777" w:rsidR="004D42F9" w:rsidRDefault="004D42F9">
            <w:r>
              <w:t>Yarra Valley Water Corporation</w:t>
            </w:r>
          </w:p>
        </w:tc>
        <w:tc>
          <w:tcPr>
            <w:tcW w:w="920" w:type="dxa"/>
          </w:tcPr>
          <w:p w14:paraId="441893F7" w14:textId="77777777" w:rsidR="004D42F9" w:rsidRDefault="004D42F9">
            <w:pPr>
              <w:cnfStyle w:val="000000000000" w:firstRow="0" w:lastRow="0" w:firstColumn="0" w:lastColumn="0" w:oddVBand="0" w:evenVBand="0" w:oddHBand="0" w:evenHBand="0" w:firstRowFirstColumn="0" w:firstRowLastColumn="0" w:lastRowFirstColumn="0" w:lastRowLastColumn="0"/>
            </w:pPr>
            <w:r>
              <w:t>50</w:t>
            </w:r>
          </w:p>
        </w:tc>
        <w:tc>
          <w:tcPr>
            <w:tcW w:w="921" w:type="dxa"/>
          </w:tcPr>
          <w:p w14:paraId="7DF1482A" w14:textId="77777777" w:rsidR="004D42F9" w:rsidRDefault="004D42F9">
            <w:pPr>
              <w:cnfStyle w:val="000000000000" w:firstRow="0" w:lastRow="0" w:firstColumn="0" w:lastColumn="0" w:oddVBand="0" w:evenVBand="0" w:oddHBand="0" w:evenHBand="0" w:firstRowFirstColumn="0" w:firstRowLastColumn="0" w:lastRowFirstColumn="0" w:lastRowLastColumn="0"/>
            </w:pPr>
            <w:r>
              <w:t>41</w:t>
            </w:r>
          </w:p>
        </w:tc>
      </w:tr>
      <w:tr w:rsidR="004D42F9" w14:paraId="6B14D415" w14:textId="77777777">
        <w:tc>
          <w:tcPr>
            <w:cnfStyle w:val="001000000000" w:firstRow="0" w:lastRow="0" w:firstColumn="1" w:lastColumn="0" w:oddVBand="0" w:evenVBand="0" w:oddHBand="0" w:evenHBand="0" w:firstRowFirstColumn="0" w:firstRowLastColumn="0" w:lastRowFirstColumn="0" w:lastRowLastColumn="0"/>
            <w:tcW w:w="7797" w:type="dxa"/>
          </w:tcPr>
          <w:p w14:paraId="08050869" w14:textId="77777777" w:rsidR="004D42F9" w:rsidRDefault="004D42F9">
            <w:r>
              <w:t>Development Victoria</w:t>
            </w:r>
          </w:p>
        </w:tc>
        <w:tc>
          <w:tcPr>
            <w:tcW w:w="920" w:type="dxa"/>
          </w:tcPr>
          <w:p w14:paraId="44206BE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2AD93D63" w14:textId="77777777" w:rsidR="004D42F9" w:rsidRDefault="004D42F9">
            <w:pPr>
              <w:cnfStyle w:val="000000000000" w:firstRow="0" w:lastRow="0" w:firstColumn="0" w:lastColumn="0" w:oddVBand="0" w:evenVBand="0" w:oddHBand="0" w:evenHBand="0" w:firstRowFirstColumn="0" w:firstRowLastColumn="0" w:lastRowFirstColumn="0" w:lastRowLastColumn="0"/>
            </w:pPr>
            <w:r>
              <w:t>27</w:t>
            </w:r>
          </w:p>
        </w:tc>
      </w:tr>
      <w:tr w:rsidR="004D42F9" w14:paraId="0D059AAD" w14:textId="77777777">
        <w:tc>
          <w:tcPr>
            <w:cnfStyle w:val="001000000000" w:firstRow="0" w:lastRow="0" w:firstColumn="1" w:lastColumn="0" w:oddVBand="0" w:evenVBand="0" w:oddHBand="0" w:evenHBand="0" w:firstRowFirstColumn="0" w:firstRowLastColumn="0" w:lastRowFirstColumn="0" w:lastRowLastColumn="0"/>
            <w:tcW w:w="7797" w:type="dxa"/>
            <w:tcBorders>
              <w:bottom w:val="single" w:sz="6" w:space="0" w:color="auto"/>
            </w:tcBorders>
          </w:tcPr>
          <w:p w14:paraId="191910A8" w14:textId="77777777" w:rsidR="004D42F9" w:rsidRDefault="004D42F9">
            <w:r>
              <w:t>Others</w:t>
            </w:r>
          </w:p>
        </w:tc>
        <w:tc>
          <w:tcPr>
            <w:tcW w:w="920" w:type="dxa"/>
            <w:tcBorders>
              <w:bottom w:val="single" w:sz="6" w:space="0" w:color="auto"/>
            </w:tcBorders>
          </w:tcPr>
          <w:p w14:paraId="71A0CD94"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21" w:type="dxa"/>
            <w:tcBorders>
              <w:bottom w:val="single" w:sz="6" w:space="0" w:color="auto"/>
            </w:tcBorders>
          </w:tcPr>
          <w:p w14:paraId="40FB8AB8"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r>
      <w:tr w:rsidR="004D42F9" w14:paraId="382CCF9C" w14:textId="77777777">
        <w:tc>
          <w:tcPr>
            <w:cnfStyle w:val="001000000000" w:firstRow="0" w:lastRow="0" w:firstColumn="1" w:lastColumn="0" w:oddVBand="0" w:evenVBand="0" w:oddHBand="0" w:evenHBand="0" w:firstRowFirstColumn="0" w:firstRowLastColumn="0" w:lastRowFirstColumn="0" w:lastRowLastColumn="0"/>
            <w:tcW w:w="7797" w:type="dxa"/>
            <w:tcBorders>
              <w:top w:val="single" w:sz="6" w:space="0" w:color="auto"/>
              <w:bottom w:val="single" w:sz="12" w:space="0" w:color="auto"/>
            </w:tcBorders>
          </w:tcPr>
          <w:p w14:paraId="2B0B8C8E" w14:textId="77777777" w:rsidR="004D42F9" w:rsidRDefault="004D42F9">
            <w:r>
              <w:rPr>
                <w:b/>
              </w:rPr>
              <w:t>Dividends from PNFC sector</w:t>
            </w:r>
          </w:p>
        </w:tc>
        <w:tc>
          <w:tcPr>
            <w:tcW w:w="920" w:type="dxa"/>
            <w:tcBorders>
              <w:top w:val="single" w:sz="6" w:space="0" w:color="auto"/>
              <w:bottom w:val="single" w:sz="12" w:space="0" w:color="auto"/>
            </w:tcBorders>
          </w:tcPr>
          <w:p w14:paraId="751BF5C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106</w:t>
            </w:r>
          </w:p>
        </w:tc>
        <w:tc>
          <w:tcPr>
            <w:tcW w:w="921" w:type="dxa"/>
            <w:tcBorders>
              <w:top w:val="single" w:sz="6" w:space="0" w:color="auto"/>
              <w:bottom w:val="single" w:sz="12" w:space="0" w:color="auto"/>
            </w:tcBorders>
          </w:tcPr>
          <w:p w14:paraId="4CB0DD7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206</w:t>
            </w:r>
          </w:p>
        </w:tc>
      </w:tr>
    </w:tbl>
    <w:p w14:paraId="2A25620C" w14:textId="77777777" w:rsidR="004D42F9" w:rsidRPr="00254EBA" w:rsidRDefault="004D42F9" w:rsidP="004D42F9">
      <w:pPr>
        <w:pStyle w:val="Note"/>
      </w:pPr>
      <w:r w:rsidRPr="00254EBA">
        <w:t xml:space="preserve">Note: </w:t>
      </w:r>
    </w:p>
    <w:p w14:paraId="772F400C" w14:textId="44983497" w:rsidR="004D42F9" w:rsidRPr="0097299B" w:rsidRDefault="004D42F9" w:rsidP="004D42F9">
      <w:pPr>
        <w:pStyle w:val="Note"/>
      </w:pPr>
      <w:r w:rsidRPr="00254EBA">
        <w:t>(a)</w:t>
      </w:r>
      <w:r w:rsidRPr="00254EBA">
        <w:tab/>
      </w:r>
      <w:r w:rsidR="00845934">
        <w:t>‘</w:t>
      </w:r>
      <w:r w:rsidRPr="00254EBA">
        <w:t>Amounts equivalent to dividends</w:t>
      </w:r>
      <w:r w:rsidR="00845934">
        <w:t>’</w:t>
      </w:r>
      <w:r w:rsidRPr="00254EBA">
        <w:t xml:space="preserve"> paid by the Victorian Managed Insurance Authority are received and reported as contributions forming part of grant revenue, due to the requirements of AASB 1023 </w:t>
      </w:r>
      <w:r w:rsidRPr="00254EBA">
        <w:rPr>
          <w:i w:val="0"/>
        </w:rPr>
        <w:t>General Insurance Contracts</w:t>
      </w:r>
      <w:r w:rsidRPr="00254EBA">
        <w:t>. The amount paid in 2023-24 was $598 000 from the Victorian Managed Insurance Authority. There were no amounts paid in 2024-25.</w:t>
      </w:r>
      <w:r w:rsidRPr="0097299B">
        <w:t xml:space="preserve"> </w:t>
      </w:r>
    </w:p>
    <w:p w14:paraId="6AB8F675" w14:textId="77777777" w:rsidR="004D42F9" w:rsidRPr="003A7B76" w:rsidRDefault="004D42F9" w:rsidP="004D42F9">
      <w:pPr>
        <w:pStyle w:val="Heading2"/>
      </w:pPr>
      <w:bookmarkStart w:id="64" w:name="_Toc176184157"/>
      <w:bookmarkStart w:id="65" w:name="_Toc209476163"/>
      <w:r>
        <w:t>2.4</w:t>
      </w:r>
      <w:r>
        <w:tab/>
      </w:r>
      <w:r w:rsidRPr="003A7B76">
        <w:t>Sales of goods and services</w:t>
      </w:r>
      <w:bookmarkEnd w:id="64"/>
      <w:bookmarkEnd w:id="65"/>
    </w:p>
    <w:p w14:paraId="54D3C822" w14:textId="77777777" w:rsidR="004D42F9" w:rsidRDefault="004D42F9" w:rsidP="004D42F9">
      <w:pPr>
        <w:pStyle w:val="TableHeading"/>
      </w:pPr>
      <w:r>
        <w:tab/>
      </w:r>
      <w:r>
        <w:tab/>
        <w:t xml:space="preserve">($ million) </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Sales_of_goods_and_services"/>
      </w:tblPr>
      <w:tblGrid>
        <w:gridCol w:w="6010"/>
        <w:gridCol w:w="907"/>
        <w:gridCol w:w="907"/>
        <w:gridCol w:w="907"/>
        <w:gridCol w:w="907"/>
      </w:tblGrid>
      <w:tr w:rsidR="004D42F9" w14:paraId="3BEF3CE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B1B430" w14:textId="77777777" w:rsidR="004D42F9" w:rsidRDefault="004D42F9">
            <w:pPr>
              <w:keepNext/>
            </w:pPr>
          </w:p>
        </w:tc>
        <w:tc>
          <w:tcPr>
            <w:tcW w:w="1814" w:type="dxa"/>
            <w:gridSpan w:val="2"/>
          </w:tcPr>
          <w:p w14:paraId="4B5A8E99"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C1D526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7893227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400D4D1" w14:textId="77777777" w:rsidR="004D42F9" w:rsidRDefault="004D42F9">
            <w:pPr>
              <w:keepNext/>
            </w:pPr>
          </w:p>
        </w:tc>
        <w:tc>
          <w:tcPr>
            <w:tcW w:w="907" w:type="dxa"/>
          </w:tcPr>
          <w:p w14:paraId="0EF140C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84EC68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122A6F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96B687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F6FB1FE" w14:textId="77777777">
        <w:tc>
          <w:tcPr>
            <w:cnfStyle w:val="001000000000" w:firstRow="0" w:lastRow="0" w:firstColumn="1" w:lastColumn="0" w:oddVBand="0" w:evenVBand="0" w:oddHBand="0" w:evenHBand="0" w:firstRowFirstColumn="0" w:firstRowLastColumn="0" w:lastRowFirstColumn="0" w:lastRowLastColumn="0"/>
            <w:tcW w:w="6010" w:type="dxa"/>
          </w:tcPr>
          <w:p w14:paraId="3F9E7138" w14:textId="77777777" w:rsidR="004D42F9" w:rsidRDefault="004D42F9">
            <w:r>
              <w:rPr>
                <w:b/>
              </w:rPr>
              <w:t>Amounts recognised as revenue from contracts with customers (AASB 15)</w:t>
            </w:r>
          </w:p>
        </w:tc>
        <w:tc>
          <w:tcPr>
            <w:tcW w:w="907" w:type="dxa"/>
          </w:tcPr>
          <w:p w14:paraId="3C6A558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565FC9E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3D15CB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1DDA78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1AA9FA6" w14:textId="77777777">
        <w:tc>
          <w:tcPr>
            <w:cnfStyle w:val="001000000000" w:firstRow="0" w:lastRow="0" w:firstColumn="1" w:lastColumn="0" w:oddVBand="0" w:evenVBand="0" w:oddHBand="0" w:evenHBand="0" w:firstRowFirstColumn="0" w:firstRowLastColumn="0" w:lastRowFirstColumn="0" w:lastRowLastColumn="0"/>
            <w:tcW w:w="6010" w:type="dxa"/>
          </w:tcPr>
          <w:p w14:paraId="6B0C249B" w14:textId="77777777" w:rsidR="004D42F9" w:rsidRDefault="004D42F9">
            <w:r>
              <w:t>Sale of goods</w:t>
            </w:r>
          </w:p>
        </w:tc>
        <w:tc>
          <w:tcPr>
            <w:tcW w:w="907" w:type="dxa"/>
          </w:tcPr>
          <w:p w14:paraId="4BE53C27" w14:textId="77777777" w:rsidR="004D42F9" w:rsidRDefault="004D42F9">
            <w:pPr>
              <w:cnfStyle w:val="000000000000" w:firstRow="0" w:lastRow="0" w:firstColumn="0" w:lastColumn="0" w:oddVBand="0" w:evenVBand="0" w:oddHBand="0" w:evenHBand="0" w:firstRowFirstColumn="0" w:firstRowLastColumn="0" w:lastRowFirstColumn="0" w:lastRowLastColumn="0"/>
            </w:pPr>
            <w:r>
              <w:t>633</w:t>
            </w:r>
          </w:p>
        </w:tc>
        <w:tc>
          <w:tcPr>
            <w:tcW w:w="907" w:type="dxa"/>
          </w:tcPr>
          <w:p w14:paraId="34418919" w14:textId="77777777" w:rsidR="004D42F9" w:rsidRDefault="004D42F9">
            <w:pPr>
              <w:cnfStyle w:val="000000000000" w:firstRow="0" w:lastRow="0" w:firstColumn="0" w:lastColumn="0" w:oddVBand="0" w:evenVBand="0" w:oddHBand="0" w:evenHBand="0" w:firstRowFirstColumn="0" w:firstRowLastColumn="0" w:lastRowFirstColumn="0" w:lastRowLastColumn="0"/>
            </w:pPr>
            <w:r>
              <w:t>594</w:t>
            </w:r>
          </w:p>
        </w:tc>
        <w:tc>
          <w:tcPr>
            <w:tcW w:w="907" w:type="dxa"/>
          </w:tcPr>
          <w:p w14:paraId="51355142" w14:textId="77777777" w:rsidR="004D42F9" w:rsidRDefault="004D42F9">
            <w:pPr>
              <w:cnfStyle w:val="000000000000" w:firstRow="0" w:lastRow="0" w:firstColumn="0" w:lastColumn="0" w:oddVBand="0" w:evenVBand="0" w:oddHBand="0" w:evenHBand="0" w:firstRowFirstColumn="0" w:firstRowLastColumn="0" w:lastRowFirstColumn="0" w:lastRowLastColumn="0"/>
            </w:pPr>
            <w:r>
              <w:t>106</w:t>
            </w:r>
          </w:p>
        </w:tc>
        <w:tc>
          <w:tcPr>
            <w:tcW w:w="907" w:type="dxa"/>
          </w:tcPr>
          <w:p w14:paraId="057B2E44" w14:textId="77777777" w:rsidR="004D42F9" w:rsidRDefault="004D42F9">
            <w:pPr>
              <w:cnfStyle w:val="000000000000" w:firstRow="0" w:lastRow="0" w:firstColumn="0" w:lastColumn="0" w:oddVBand="0" w:evenVBand="0" w:oddHBand="0" w:evenHBand="0" w:firstRowFirstColumn="0" w:firstRowLastColumn="0" w:lastRowFirstColumn="0" w:lastRowLastColumn="0"/>
            </w:pPr>
            <w:r>
              <w:t>99</w:t>
            </w:r>
          </w:p>
        </w:tc>
      </w:tr>
      <w:tr w:rsidR="004D42F9" w14:paraId="2D924204" w14:textId="77777777">
        <w:tc>
          <w:tcPr>
            <w:cnfStyle w:val="001000000000" w:firstRow="0" w:lastRow="0" w:firstColumn="1" w:lastColumn="0" w:oddVBand="0" w:evenVBand="0" w:oddHBand="0" w:evenHBand="0" w:firstRowFirstColumn="0" w:firstRowLastColumn="0" w:lastRowFirstColumn="0" w:lastRowLastColumn="0"/>
            <w:tcW w:w="6010" w:type="dxa"/>
          </w:tcPr>
          <w:p w14:paraId="69BB7EF1" w14:textId="77777777" w:rsidR="004D42F9" w:rsidRDefault="004D42F9">
            <w:r>
              <w:t>Provision of services</w:t>
            </w:r>
            <w:r>
              <w:rPr>
                <w:vertAlign w:val="superscript"/>
              </w:rPr>
              <w:t xml:space="preserve"> (a)</w:t>
            </w:r>
          </w:p>
        </w:tc>
        <w:tc>
          <w:tcPr>
            <w:tcW w:w="907" w:type="dxa"/>
          </w:tcPr>
          <w:p w14:paraId="5901C302" w14:textId="77777777" w:rsidR="004D42F9" w:rsidRDefault="004D42F9">
            <w:pPr>
              <w:cnfStyle w:val="000000000000" w:firstRow="0" w:lastRow="0" w:firstColumn="0" w:lastColumn="0" w:oddVBand="0" w:evenVBand="0" w:oddHBand="0" w:evenHBand="0" w:firstRowFirstColumn="0" w:firstRowLastColumn="0" w:lastRowFirstColumn="0" w:lastRowLastColumn="0"/>
            </w:pPr>
            <w:r>
              <w:t>18 652</w:t>
            </w:r>
          </w:p>
        </w:tc>
        <w:tc>
          <w:tcPr>
            <w:tcW w:w="907" w:type="dxa"/>
          </w:tcPr>
          <w:p w14:paraId="33A30D4D" w14:textId="77777777" w:rsidR="004D42F9" w:rsidRDefault="004D42F9">
            <w:pPr>
              <w:cnfStyle w:val="000000000000" w:firstRow="0" w:lastRow="0" w:firstColumn="0" w:lastColumn="0" w:oddVBand="0" w:evenVBand="0" w:oddHBand="0" w:evenHBand="0" w:firstRowFirstColumn="0" w:firstRowLastColumn="0" w:lastRowFirstColumn="0" w:lastRowLastColumn="0"/>
            </w:pPr>
            <w:r>
              <w:t>17 464</w:t>
            </w:r>
          </w:p>
        </w:tc>
        <w:tc>
          <w:tcPr>
            <w:tcW w:w="907" w:type="dxa"/>
          </w:tcPr>
          <w:p w14:paraId="11421A31" w14:textId="77777777" w:rsidR="004D42F9" w:rsidRDefault="004D42F9">
            <w:pPr>
              <w:cnfStyle w:val="000000000000" w:firstRow="0" w:lastRow="0" w:firstColumn="0" w:lastColumn="0" w:oddVBand="0" w:evenVBand="0" w:oddHBand="0" w:evenHBand="0" w:firstRowFirstColumn="0" w:firstRowLastColumn="0" w:lastRowFirstColumn="0" w:lastRowLastColumn="0"/>
            </w:pPr>
            <w:r>
              <w:t>5 691</w:t>
            </w:r>
          </w:p>
        </w:tc>
        <w:tc>
          <w:tcPr>
            <w:tcW w:w="907" w:type="dxa"/>
          </w:tcPr>
          <w:p w14:paraId="2FF38DC3" w14:textId="77777777" w:rsidR="004D42F9" w:rsidRDefault="004D42F9">
            <w:pPr>
              <w:cnfStyle w:val="000000000000" w:firstRow="0" w:lastRow="0" w:firstColumn="0" w:lastColumn="0" w:oddVBand="0" w:evenVBand="0" w:oddHBand="0" w:evenHBand="0" w:firstRowFirstColumn="0" w:firstRowLastColumn="0" w:lastRowFirstColumn="0" w:lastRowLastColumn="0"/>
            </w:pPr>
            <w:r>
              <w:t>4 937</w:t>
            </w:r>
          </w:p>
        </w:tc>
      </w:tr>
      <w:tr w:rsidR="004D42F9" w14:paraId="5ED1625A" w14:textId="77777777">
        <w:tc>
          <w:tcPr>
            <w:cnfStyle w:val="001000000000" w:firstRow="0" w:lastRow="0" w:firstColumn="1" w:lastColumn="0" w:oddVBand="0" w:evenVBand="0" w:oddHBand="0" w:evenHBand="0" w:firstRowFirstColumn="0" w:firstRowLastColumn="0" w:lastRowFirstColumn="0" w:lastRowLastColumn="0"/>
            <w:tcW w:w="6010" w:type="dxa"/>
          </w:tcPr>
          <w:p w14:paraId="5EFB5490" w14:textId="77777777" w:rsidR="004D42F9" w:rsidRDefault="004D42F9">
            <w:r>
              <w:rPr>
                <w:b/>
              </w:rPr>
              <w:t>Amounts recognised as income of not</w:t>
            </w:r>
            <w:r>
              <w:rPr>
                <w:b/>
              </w:rPr>
              <w:noBreakHyphen/>
              <w:t>for</w:t>
            </w:r>
            <w:r>
              <w:rPr>
                <w:b/>
              </w:rPr>
              <w:noBreakHyphen/>
              <w:t>profit entities (AASB 1058)</w:t>
            </w:r>
          </w:p>
        </w:tc>
        <w:tc>
          <w:tcPr>
            <w:tcW w:w="907" w:type="dxa"/>
          </w:tcPr>
          <w:p w14:paraId="6AE8129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41E3BD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6EA933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201EF60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5289399" w14:textId="77777777">
        <w:tc>
          <w:tcPr>
            <w:cnfStyle w:val="001000000000" w:firstRow="0" w:lastRow="0" w:firstColumn="1" w:lastColumn="0" w:oddVBand="0" w:evenVBand="0" w:oddHBand="0" w:evenHBand="0" w:firstRowFirstColumn="0" w:firstRowLastColumn="0" w:lastRowFirstColumn="0" w:lastRowLastColumn="0"/>
            <w:tcW w:w="6010" w:type="dxa"/>
          </w:tcPr>
          <w:p w14:paraId="21B7018C" w14:textId="77777777" w:rsidR="004D42F9" w:rsidRDefault="004D42F9">
            <w:r>
              <w:t>Motor vehicle regulatory fees</w:t>
            </w:r>
          </w:p>
        </w:tc>
        <w:tc>
          <w:tcPr>
            <w:tcW w:w="907" w:type="dxa"/>
          </w:tcPr>
          <w:p w14:paraId="04C30C17" w14:textId="77777777" w:rsidR="004D42F9" w:rsidRDefault="004D42F9">
            <w:pPr>
              <w:cnfStyle w:val="000000000000" w:firstRow="0" w:lastRow="0" w:firstColumn="0" w:lastColumn="0" w:oddVBand="0" w:evenVBand="0" w:oddHBand="0" w:evenHBand="0" w:firstRowFirstColumn="0" w:firstRowLastColumn="0" w:lastRowFirstColumn="0" w:lastRowLastColumn="0"/>
            </w:pPr>
            <w:r>
              <w:t>274</w:t>
            </w:r>
          </w:p>
        </w:tc>
        <w:tc>
          <w:tcPr>
            <w:tcW w:w="907" w:type="dxa"/>
          </w:tcPr>
          <w:p w14:paraId="49B3729F" w14:textId="77777777" w:rsidR="004D42F9" w:rsidRDefault="004D42F9">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0441144F" w14:textId="77777777" w:rsidR="004D42F9" w:rsidRDefault="004D42F9">
            <w:pPr>
              <w:cnfStyle w:val="000000000000" w:firstRow="0" w:lastRow="0" w:firstColumn="0" w:lastColumn="0" w:oddVBand="0" w:evenVBand="0" w:oddHBand="0" w:evenHBand="0" w:firstRowFirstColumn="0" w:firstRowLastColumn="0" w:lastRowFirstColumn="0" w:lastRowLastColumn="0"/>
            </w:pPr>
            <w:r>
              <w:t>274</w:t>
            </w:r>
          </w:p>
        </w:tc>
        <w:tc>
          <w:tcPr>
            <w:tcW w:w="907" w:type="dxa"/>
          </w:tcPr>
          <w:p w14:paraId="4FB4C64F" w14:textId="77777777" w:rsidR="004D42F9" w:rsidRDefault="004D42F9">
            <w:pPr>
              <w:cnfStyle w:val="000000000000" w:firstRow="0" w:lastRow="0" w:firstColumn="0" w:lastColumn="0" w:oddVBand="0" w:evenVBand="0" w:oddHBand="0" w:evenHBand="0" w:firstRowFirstColumn="0" w:firstRowLastColumn="0" w:lastRowFirstColumn="0" w:lastRowLastColumn="0"/>
            </w:pPr>
            <w:r>
              <w:t>288</w:t>
            </w:r>
          </w:p>
        </w:tc>
      </w:tr>
      <w:tr w:rsidR="004D42F9" w14:paraId="31770D2C" w14:textId="77777777">
        <w:tc>
          <w:tcPr>
            <w:cnfStyle w:val="001000000000" w:firstRow="0" w:lastRow="0" w:firstColumn="1" w:lastColumn="0" w:oddVBand="0" w:evenVBand="0" w:oddHBand="0" w:evenHBand="0" w:firstRowFirstColumn="0" w:firstRowLastColumn="0" w:lastRowFirstColumn="0" w:lastRowLastColumn="0"/>
            <w:tcW w:w="6010" w:type="dxa"/>
          </w:tcPr>
          <w:p w14:paraId="60B338AF" w14:textId="77777777" w:rsidR="004D42F9" w:rsidRDefault="004D42F9">
            <w:r>
              <w:t>Other regulatory fees</w:t>
            </w:r>
          </w:p>
        </w:tc>
        <w:tc>
          <w:tcPr>
            <w:tcW w:w="907" w:type="dxa"/>
          </w:tcPr>
          <w:p w14:paraId="56928530" w14:textId="77777777" w:rsidR="004D42F9" w:rsidRDefault="004D42F9">
            <w:pPr>
              <w:cnfStyle w:val="000000000000" w:firstRow="0" w:lastRow="0" w:firstColumn="0" w:lastColumn="0" w:oddVBand="0" w:evenVBand="0" w:oddHBand="0" w:evenHBand="0" w:firstRowFirstColumn="0" w:firstRowLastColumn="0" w:lastRowFirstColumn="0" w:lastRowLastColumn="0"/>
            </w:pPr>
            <w:r>
              <w:t>739</w:t>
            </w:r>
          </w:p>
        </w:tc>
        <w:tc>
          <w:tcPr>
            <w:tcW w:w="907" w:type="dxa"/>
          </w:tcPr>
          <w:p w14:paraId="4E0C66B1" w14:textId="77777777" w:rsidR="004D42F9" w:rsidRDefault="004D42F9">
            <w:pPr>
              <w:cnfStyle w:val="000000000000" w:firstRow="0" w:lastRow="0" w:firstColumn="0" w:lastColumn="0" w:oddVBand="0" w:evenVBand="0" w:oddHBand="0" w:evenHBand="0" w:firstRowFirstColumn="0" w:firstRowLastColumn="0" w:lastRowFirstColumn="0" w:lastRowLastColumn="0"/>
            </w:pPr>
            <w:r>
              <w:t>806</w:t>
            </w:r>
          </w:p>
        </w:tc>
        <w:tc>
          <w:tcPr>
            <w:tcW w:w="907" w:type="dxa"/>
          </w:tcPr>
          <w:p w14:paraId="4CCC6F7D" w14:textId="77777777" w:rsidR="004D42F9" w:rsidRDefault="004D42F9">
            <w:pPr>
              <w:cnfStyle w:val="000000000000" w:firstRow="0" w:lastRow="0" w:firstColumn="0" w:lastColumn="0" w:oddVBand="0" w:evenVBand="0" w:oddHBand="0" w:evenHBand="0" w:firstRowFirstColumn="0" w:firstRowLastColumn="0" w:lastRowFirstColumn="0" w:lastRowLastColumn="0"/>
            </w:pPr>
            <w:r>
              <w:t>713</w:t>
            </w:r>
          </w:p>
        </w:tc>
        <w:tc>
          <w:tcPr>
            <w:tcW w:w="907" w:type="dxa"/>
          </w:tcPr>
          <w:p w14:paraId="59DDEA6C" w14:textId="77777777" w:rsidR="004D42F9" w:rsidRDefault="004D42F9">
            <w:pPr>
              <w:cnfStyle w:val="000000000000" w:firstRow="0" w:lastRow="0" w:firstColumn="0" w:lastColumn="0" w:oddVBand="0" w:evenVBand="0" w:oddHBand="0" w:evenHBand="0" w:firstRowFirstColumn="0" w:firstRowLastColumn="0" w:lastRowFirstColumn="0" w:lastRowLastColumn="0"/>
            </w:pPr>
            <w:r>
              <w:t>780</w:t>
            </w:r>
          </w:p>
        </w:tc>
      </w:tr>
      <w:tr w:rsidR="004D42F9" w14:paraId="1496916E" w14:textId="77777777">
        <w:tc>
          <w:tcPr>
            <w:cnfStyle w:val="001000000000" w:firstRow="0" w:lastRow="0" w:firstColumn="1" w:lastColumn="0" w:oddVBand="0" w:evenVBand="0" w:oddHBand="0" w:evenHBand="0" w:firstRowFirstColumn="0" w:firstRowLastColumn="0" w:lastRowFirstColumn="0" w:lastRowLastColumn="0"/>
            <w:tcW w:w="6010" w:type="dxa"/>
          </w:tcPr>
          <w:p w14:paraId="3F4125F4" w14:textId="77777777" w:rsidR="004D42F9" w:rsidRDefault="004D42F9">
            <w:r>
              <w:t>Refunds and reimbursements</w:t>
            </w:r>
          </w:p>
        </w:tc>
        <w:tc>
          <w:tcPr>
            <w:tcW w:w="907" w:type="dxa"/>
          </w:tcPr>
          <w:p w14:paraId="4159DABB" w14:textId="77777777" w:rsidR="004D42F9" w:rsidRDefault="004D42F9">
            <w:pPr>
              <w:cnfStyle w:val="000000000000" w:firstRow="0" w:lastRow="0" w:firstColumn="0" w:lastColumn="0" w:oddVBand="0" w:evenVBand="0" w:oddHBand="0" w:evenHBand="0" w:firstRowFirstColumn="0" w:firstRowLastColumn="0" w:lastRowFirstColumn="0" w:lastRowLastColumn="0"/>
            </w:pPr>
            <w:r>
              <w:t>346</w:t>
            </w:r>
          </w:p>
        </w:tc>
        <w:tc>
          <w:tcPr>
            <w:tcW w:w="907" w:type="dxa"/>
          </w:tcPr>
          <w:p w14:paraId="2F2910A6" w14:textId="77777777" w:rsidR="004D42F9" w:rsidRDefault="004D42F9">
            <w:pPr>
              <w:cnfStyle w:val="000000000000" w:firstRow="0" w:lastRow="0" w:firstColumn="0" w:lastColumn="0" w:oddVBand="0" w:evenVBand="0" w:oddHBand="0" w:evenHBand="0" w:firstRowFirstColumn="0" w:firstRowLastColumn="0" w:lastRowFirstColumn="0" w:lastRowLastColumn="0"/>
            </w:pPr>
            <w:r>
              <w:t>368</w:t>
            </w:r>
          </w:p>
        </w:tc>
        <w:tc>
          <w:tcPr>
            <w:tcW w:w="907" w:type="dxa"/>
          </w:tcPr>
          <w:p w14:paraId="55708C8A"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59CC7AF9"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r>
      <w:tr w:rsidR="004D42F9" w14:paraId="2F2CA72B" w14:textId="77777777">
        <w:tc>
          <w:tcPr>
            <w:cnfStyle w:val="001000000000" w:firstRow="0" w:lastRow="0" w:firstColumn="1" w:lastColumn="0" w:oddVBand="0" w:evenVBand="0" w:oddHBand="0" w:evenHBand="0" w:firstRowFirstColumn="0" w:firstRowLastColumn="0" w:lastRowFirstColumn="0" w:lastRowLastColumn="0"/>
            <w:tcW w:w="6010" w:type="dxa"/>
          </w:tcPr>
          <w:p w14:paraId="6F55DCCF" w14:textId="77777777" w:rsidR="004D42F9" w:rsidRDefault="004D42F9">
            <w:r>
              <w:rPr>
                <w:b/>
              </w:rPr>
              <w:t>Amounts recognised as lease income (AASB 16)</w:t>
            </w:r>
          </w:p>
        </w:tc>
        <w:tc>
          <w:tcPr>
            <w:tcW w:w="907" w:type="dxa"/>
          </w:tcPr>
          <w:p w14:paraId="4C04E5B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2ED625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17E27AA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688F50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8A7FC73"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F15FB1B" w14:textId="77777777" w:rsidR="004D42F9" w:rsidRDefault="004D42F9">
            <w:r>
              <w:t>Rental</w:t>
            </w:r>
          </w:p>
        </w:tc>
        <w:tc>
          <w:tcPr>
            <w:tcW w:w="907" w:type="dxa"/>
            <w:tcBorders>
              <w:bottom w:val="single" w:sz="6" w:space="0" w:color="auto"/>
            </w:tcBorders>
          </w:tcPr>
          <w:p w14:paraId="694F1685" w14:textId="77777777" w:rsidR="004D42F9" w:rsidRDefault="004D42F9">
            <w:pPr>
              <w:cnfStyle w:val="000000000000" w:firstRow="0" w:lastRow="0" w:firstColumn="0" w:lastColumn="0" w:oddVBand="0" w:evenVBand="0" w:oddHBand="0" w:evenHBand="0" w:firstRowFirstColumn="0" w:firstRowLastColumn="0" w:lastRowFirstColumn="0" w:lastRowLastColumn="0"/>
            </w:pPr>
            <w:r>
              <w:t>365</w:t>
            </w:r>
          </w:p>
        </w:tc>
        <w:tc>
          <w:tcPr>
            <w:tcW w:w="907" w:type="dxa"/>
            <w:tcBorders>
              <w:bottom w:val="single" w:sz="6" w:space="0" w:color="auto"/>
            </w:tcBorders>
          </w:tcPr>
          <w:p w14:paraId="1A1FD2BF" w14:textId="77777777" w:rsidR="004D42F9" w:rsidRDefault="004D42F9">
            <w:pPr>
              <w:cnfStyle w:val="000000000000" w:firstRow="0" w:lastRow="0" w:firstColumn="0" w:lastColumn="0" w:oddVBand="0" w:evenVBand="0" w:oddHBand="0" w:evenHBand="0" w:firstRowFirstColumn="0" w:firstRowLastColumn="0" w:lastRowFirstColumn="0" w:lastRowLastColumn="0"/>
            </w:pPr>
            <w:r>
              <w:t>365</w:t>
            </w:r>
          </w:p>
        </w:tc>
        <w:tc>
          <w:tcPr>
            <w:tcW w:w="907" w:type="dxa"/>
            <w:tcBorders>
              <w:bottom w:val="single" w:sz="6" w:space="0" w:color="auto"/>
            </w:tcBorders>
          </w:tcPr>
          <w:p w14:paraId="51E4A87A" w14:textId="77777777" w:rsidR="004D42F9" w:rsidRDefault="004D42F9">
            <w:pPr>
              <w:cnfStyle w:val="000000000000" w:firstRow="0" w:lastRow="0" w:firstColumn="0" w:lastColumn="0" w:oddVBand="0" w:evenVBand="0" w:oddHBand="0" w:evenHBand="0" w:firstRowFirstColumn="0" w:firstRowLastColumn="0" w:lastRowFirstColumn="0" w:lastRowLastColumn="0"/>
            </w:pPr>
            <w:r>
              <w:t>104</w:t>
            </w:r>
          </w:p>
        </w:tc>
        <w:tc>
          <w:tcPr>
            <w:tcW w:w="907" w:type="dxa"/>
            <w:tcBorders>
              <w:bottom w:val="single" w:sz="6" w:space="0" w:color="auto"/>
            </w:tcBorders>
          </w:tcPr>
          <w:p w14:paraId="4C2027E9" w14:textId="77777777" w:rsidR="004D42F9" w:rsidRDefault="004D42F9">
            <w:pPr>
              <w:cnfStyle w:val="000000000000" w:firstRow="0" w:lastRow="0" w:firstColumn="0" w:lastColumn="0" w:oddVBand="0" w:evenVBand="0" w:oddHBand="0" w:evenHBand="0" w:firstRowFirstColumn="0" w:firstRowLastColumn="0" w:lastRowFirstColumn="0" w:lastRowLastColumn="0"/>
            </w:pPr>
            <w:r>
              <w:t>106</w:t>
            </w:r>
          </w:p>
        </w:tc>
      </w:tr>
      <w:tr w:rsidR="004D42F9" w14:paraId="5F400613"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F8C8359" w14:textId="77777777" w:rsidR="004D42F9" w:rsidRDefault="004D42F9">
            <w:r>
              <w:rPr>
                <w:b/>
              </w:rPr>
              <w:t>Total sales of goods and services</w:t>
            </w:r>
          </w:p>
        </w:tc>
        <w:tc>
          <w:tcPr>
            <w:tcW w:w="907" w:type="dxa"/>
            <w:tcBorders>
              <w:top w:val="single" w:sz="6" w:space="0" w:color="auto"/>
              <w:bottom w:val="single" w:sz="12" w:space="0" w:color="auto"/>
            </w:tcBorders>
          </w:tcPr>
          <w:p w14:paraId="3C97B05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21 009</w:t>
            </w:r>
          </w:p>
        </w:tc>
        <w:tc>
          <w:tcPr>
            <w:tcW w:w="907" w:type="dxa"/>
            <w:tcBorders>
              <w:top w:val="single" w:sz="6" w:space="0" w:color="auto"/>
              <w:bottom w:val="single" w:sz="12" w:space="0" w:color="auto"/>
            </w:tcBorders>
          </w:tcPr>
          <w:p w14:paraId="2253FC1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19 885</w:t>
            </w:r>
          </w:p>
        </w:tc>
        <w:tc>
          <w:tcPr>
            <w:tcW w:w="907" w:type="dxa"/>
            <w:tcBorders>
              <w:top w:val="single" w:sz="6" w:space="0" w:color="auto"/>
              <w:bottom w:val="single" w:sz="12" w:space="0" w:color="auto"/>
            </w:tcBorders>
          </w:tcPr>
          <w:p w14:paraId="0AFB41C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6 893</w:t>
            </w:r>
          </w:p>
        </w:tc>
        <w:tc>
          <w:tcPr>
            <w:tcW w:w="907" w:type="dxa"/>
            <w:tcBorders>
              <w:top w:val="single" w:sz="6" w:space="0" w:color="auto"/>
              <w:bottom w:val="single" w:sz="12" w:space="0" w:color="auto"/>
            </w:tcBorders>
          </w:tcPr>
          <w:p w14:paraId="6416F19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6 212</w:t>
            </w:r>
          </w:p>
        </w:tc>
      </w:tr>
    </w:tbl>
    <w:p w14:paraId="3635F247" w14:textId="77777777" w:rsidR="004D42F9" w:rsidRDefault="004D42F9" w:rsidP="004D42F9">
      <w:pPr>
        <w:pStyle w:val="Note"/>
        <w:ind w:left="0" w:firstLine="0"/>
      </w:pPr>
      <w:r>
        <w:t>Note:</w:t>
      </w:r>
    </w:p>
    <w:p w14:paraId="5D2D1278" w14:textId="08DC7074" w:rsidR="004D42F9" w:rsidRDefault="004D42F9" w:rsidP="008623A6">
      <w:pPr>
        <w:pStyle w:val="Note"/>
        <w:spacing w:after="120"/>
      </w:pPr>
      <w:r>
        <w:t>(a)</w:t>
      </w:r>
      <w:r>
        <w:tab/>
        <w:t>Further disclosure on provision of services is available on the Department of Treasury and Finance</w:t>
      </w:r>
      <w:r w:rsidR="00845934">
        <w:t>’</w:t>
      </w:r>
      <w:r>
        <w:t>s website (www.dtf.vic.gov.au). This further disclosure is not subject to audit by the Victorian Auditor-General</w:t>
      </w:r>
      <w:r w:rsidR="00845934">
        <w:t>’</w:t>
      </w:r>
      <w:r>
        <w:t>s Office.</w:t>
      </w:r>
    </w:p>
    <w:p w14:paraId="39BEA364" w14:textId="77777777" w:rsidR="008623A6" w:rsidRDefault="008623A6" w:rsidP="004D42F9">
      <w:pPr>
        <w:sectPr w:rsidR="008623A6" w:rsidSect="008623A6">
          <w:headerReference w:type="default" r:id="rId62"/>
          <w:type w:val="continuous"/>
          <w:pgSz w:w="11906" w:h="16838" w:code="9"/>
          <w:pgMar w:top="1134" w:right="1134" w:bottom="1134" w:left="1134" w:header="624" w:footer="567" w:gutter="0"/>
          <w:cols w:space="708"/>
          <w:docGrid w:linePitch="360"/>
        </w:sectPr>
      </w:pPr>
    </w:p>
    <w:p w14:paraId="252A5EC3" w14:textId="77777777" w:rsidR="004D42F9" w:rsidRDefault="004D42F9" w:rsidP="004D42F9">
      <w:r>
        <w:t xml:space="preserve">The sale of goods and services included in the table above (excluding regulatory fees, refunds and reimbursements, which are recognised under AASB 1058, and rental income, which is recognised under AASB 16), represent transactions </w:t>
      </w:r>
      <w:r w:rsidRPr="00CD34E8">
        <w:t>that</w:t>
      </w:r>
      <w:r>
        <w:t xml:space="preserve"> the State has determined to be classified as revenue from contracts with customers in accordance with AASB 15. Revenue is measured based on the consideration specified in the contract with the customer. The State recognises revenue when it transfers control of a good or service to the customer, i.e. when, or as, the performance obligations for the sale of goods and services to the customer are satisfied:</w:t>
      </w:r>
    </w:p>
    <w:p w14:paraId="65821828" w14:textId="77777777" w:rsidR="004D42F9" w:rsidRPr="00027DD0" w:rsidRDefault="004D42F9" w:rsidP="004D42F9">
      <w:pPr>
        <w:pStyle w:val="ListBullet"/>
        <w:keepLines/>
        <w:numPr>
          <w:ilvl w:val="0"/>
          <w:numId w:val="27"/>
        </w:numPr>
      </w:pPr>
      <w:r w:rsidRPr="00027DD0">
        <w:t>customers obtain control of the supplies and consumables at a point in time when the goods are delivered to and have been accepted at their premises</w:t>
      </w:r>
    </w:p>
    <w:p w14:paraId="4AE5B503" w14:textId="77777777" w:rsidR="004D42F9" w:rsidRPr="00027DD0" w:rsidRDefault="004D42F9" w:rsidP="004D42F9">
      <w:pPr>
        <w:pStyle w:val="ListBullet"/>
        <w:keepLines/>
        <w:numPr>
          <w:ilvl w:val="0"/>
          <w:numId w:val="27"/>
        </w:numPr>
      </w:pPr>
      <w:r w:rsidRPr="00027DD0">
        <w:t xml:space="preserve">revenue from the rendering of services is recognised at a point in time when the performance obligations are satisfied when the service is completed and over time when the customer simultaneously receives and consumes the services as it is provided. </w:t>
      </w:r>
    </w:p>
    <w:p w14:paraId="695DFEF1" w14:textId="77777777" w:rsidR="004D42F9" w:rsidRDefault="004D42F9" w:rsidP="004D42F9">
      <w:r>
        <w:t xml:space="preserve">Consideration received in advance of recognising the associated revenue from the customer is recorded as a contract liability (Note 2.8). Where the performance </w:t>
      </w:r>
      <w:r w:rsidRPr="00CD34E8">
        <w:t>obligations</w:t>
      </w:r>
      <w:r>
        <w:t xml:space="preserve"> are satisfied but not yet billed, a contract asset is recorded (Note 2.7). </w:t>
      </w:r>
    </w:p>
    <w:p w14:paraId="560A4EFF" w14:textId="77777777" w:rsidR="004D42F9" w:rsidRDefault="004D42F9" w:rsidP="004D42F9">
      <w:r>
        <w:lastRenderedPageBreak/>
        <w:t xml:space="preserve">Regulatory fees are accounted for under AASB 1058 as they represent income arising from statutory requirements, which is recognised when the State has the right to receive payment. </w:t>
      </w:r>
    </w:p>
    <w:p w14:paraId="618F0F0A" w14:textId="77777777" w:rsidR="008623A6" w:rsidRDefault="008623A6" w:rsidP="004D42F9">
      <w:pPr>
        <w:pStyle w:val="Heading2"/>
        <w:sectPr w:rsidR="008623A6" w:rsidSect="008623A6">
          <w:headerReference w:type="default" r:id="rId63"/>
          <w:type w:val="continuous"/>
          <w:pgSz w:w="11906" w:h="16838" w:code="9"/>
          <w:pgMar w:top="1134" w:right="1134" w:bottom="1134" w:left="1134" w:header="624" w:footer="567" w:gutter="0"/>
          <w:cols w:num="2" w:space="708"/>
          <w:docGrid w:linePitch="360"/>
        </w:sectPr>
      </w:pPr>
      <w:bookmarkStart w:id="66" w:name="_Toc176184158"/>
    </w:p>
    <w:p w14:paraId="6485789B" w14:textId="77777777" w:rsidR="004D42F9" w:rsidRDefault="004D42F9" w:rsidP="004D42F9">
      <w:pPr>
        <w:pStyle w:val="Heading2"/>
      </w:pPr>
      <w:bookmarkStart w:id="67" w:name="_Toc209476164"/>
      <w:r>
        <w:t>2.5</w:t>
      </w:r>
      <w:r>
        <w:tab/>
        <w:t xml:space="preserve">Grants </w:t>
      </w:r>
      <w:r w:rsidRPr="005D334C">
        <w:rPr>
          <w:vertAlign w:val="superscript"/>
        </w:rPr>
        <w:t>(a</w:t>
      </w:r>
      <w:r w:rsidRPr="00C50EC9">
        <w:rPr>
          <w:color w:val="000000" w:themeColor="text1"/>
          <w:vertAlign w:val="superscript"/>
        </w:rPr>
        <w:t>)</w:t>
      </w:r>
      <w:bookmarkEnd w:id="66"/>
      <w:bookmarkEnd w:id="67"/>
    </w:p>
    <w:p w14:paraId="6F70C8B1"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Grant_revenue"/>
      </w:tblPr>
      <w:tblGrid>
        <w:gridCol w:w="5812"/>
        <w:gridCol w:w="956"/>
        <w:gridCol w:w="957"/>
        <w:gridCol w:w="956"/>
        <w:gridCol w:w="957"/>
      </w:tblGrid>
      <w:tr w:rsidR="004D42F9" w14:paraId="63FB153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54D02E34" w14:textId="77777777" w:rsidR="004D42F9" w:rsidRDefault="004D42F9">
            <w:pPr>
              <w:keepNext/>
            </w:pPr>
          </w:p>
        </w:tc>
        <w:tc>
          <w:tcPr>
            <w:tcW w:w="1913" w:type="dxa"/>
            <w:gridSpan w:val="2"/>
          </w:tcPr>
          <w:p w14:paraId="51895D2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1DC6857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40F7B" w14:paraId="559D356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32691FBE" w14:textId="77777777" w:rsidR="004D42F9" w:rsidRDefault="004D42F9">
            <w:pPr>
              <w:keepNext/>
            </w:pPr>
          </w:p>
        </w:tc>
        <w:tc>
          <w:tcPr>
            <w:tcW w:w="956" w:type="dxa"/>
          </w:tcPr>
          <w:p w14:paraId="05F38A2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6B08A52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56" w:type="dxa"/>
          </w:tcPr>
          <w:p w14:paraId="45B3D97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1FA9F15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2C9F985" w14:textId="77777777">
        <w:tc>
          <w:tcPr>
            <w:cnfStyle w:val="001000000000" w:firstRow="0" w:lastRow="0" w:firstColumn="1" w:lastColumn="0" w:oddVBand="0" w:evenVBand="0" w:oddHBand="0" w:evenHBand="0" w:firstRowFirstColumn="0" w:firstRowLastColumn="0" w:lastRowFirstColumn="0" w:lastRowLastColumn="0"/>
            <w:tcW w:w="5812" w:type="dxa"/>
          </w:tcPr>
          <w:p w14:paraId="0B17A317" w14:textId="77777777" w:rsidR="004D42F9" w:rsidRDefault="004D42F9">
            <w:r>
              <w:rPr>
                <w:b/>
              </w:rPr>
              <w:t>Grants from the Commonwealth</w:t>
            </w:r>
          </w:p>
        </w:tc>
        <w:tc>
          <w:tcPr>
            <w:tcW w:w="956" w:type="dxa"/>
          </w:tcPr>
          <w:p w14:paraId="24D872F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7" w:type="dxa"/>
          </w:tcPr>
          <w:p w14:paraId="1EBE22E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6" w:type="dxa"/>
          </w:tcPr>
          <w:p w14:paraId="7F4DB6D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7" w:type="dxa"/>
          </w:tcPr>
          <w:p w14:paraId="636CDF9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5842E5E" w14:textId="77777777">
        <w:tc>
          <w:tcPr>
            <w:cnfStyle w:val="001000000000" w:firstRow="0" w:lastRow="0" w:firstColumn="1" w:lastColumn="0" w:oddVBand="0" w:evenVBand="0" w:oddHBand="0" w:evenHBand="0" w:firstRowFirstColumn="0" w:firstRowLastColumn="0" w:lastRowFirstColumn="0" w:lastRowLastColumn="0"/>
            <w:tcW w:w="5812" w:type="dxa"/>
          </w:tcPr>
          <w:p w14:paraId="79764B77" w14:textId="77777777" w:rsidR="004D42F9" w:rsidRDefault="004D42F9">
            <w:r>
              <w:t>General purpose grants</w:t>
            </w:r>
          </w:p>
        </w:tc>
        <w:tc>
          <w:tcPr>
            <w:tcW w:w="956" w:type="dxa"/>
          </w:tcPr>
          <w:p w14:paraId="4A3A0080" w14:textId="77777777" w:rsidR="004D42F9" w:rsidRDefault="004D42F9">
            <w:pPr>
              <w:cnfStyle w:val="000000000000" w:firstRow="0" w:lastRow="0" w:firstColumn="0" w:lastColumn="0" w:oddVBand="0" w:evenVBand="0" w:oddHBand="0" w:evenHBand="0" w:firstRowFirstColumn="0" w:firstRowLastColumn="0" w:lastRowFirstColumn="0" w:lastRowLastColumn="0"/>
            </w:pPr>
            <w:r>
              <w:t>24 075</w:t>
            </w:r>
          </w:p>
        </w:tc>
        <w:tc>
          <w:tcPr>
            <w:tcW w:w="957" w:type="dxa"/>
          </w:tcPr>
          <w:p w14:paraId="2E321A79" w14:textId="77777777" w:rsidR="004D42F9" w:rsidRDefault="004D42F9">
            <w:pPr>
              <w:cnfStyle w:val="000000000000" w:firstRow="0" w:lastRow="0" w:firstColumn="0" w:lastColumn="0" w:oddVBand="0" w:evenVBand="0" w:oddHBand="0" w:evenHBand="0" w:firstRowFirstColumn="0" w:firstRowLastColumn="0" w:lastRowFirstColumn="0" w:lastRowLastColumn="0"/>
            </w:pPr>
            <w:r>
              <w:t>20 162</w:t>
            </w:r>
          </w:p>
        </w:tc>
        <w:tc>
          <w:tcPr>
            <w:tcW w:w="956" w:type="dxa"/>
          </w:tcPr>
          <w:p w14:paraId="532E63FB" w14:textId="77777777" w:rsidR="004D42F9" w:rsidRDefault="004D42F9">
            <w:pPr>
              <w:cnfStyle w:val="000000000000" w:firstRow="0" w:lastRow="0" w:firstColumn="0" w:lastColumn="0" w:oddVBand="0" w:evenVBand="0" w:oddHBand="0" w:evenHBand="0" w:firstRowFirstColumn="0" w:firstRowLastColumn="0" w:lastRowFirstColumn="0" w:lastRowLastColumn="0"/>
            </w:pPr>
            <w:r>
              <w:t>24 075</w:t>
            </w:r>
          </w:p>
        </w:tc>
        <w:tc>
          <w:tcPr>
            <w:tcW w:w="957" w:type="dxa"/>
          </w:tcPr>
          <w:p w14:paraId="35BE6DB9" w14:textId="77777777" w:rsidR="004D42F9" w:rsidRDefault="004D42F9">
            <w:pPr>
              <w:cnfStyle w:val="000000000000" w:firstRow="0" w:lastRow="0" w:firstColumn="0" w:lastColumn="0" w:oddVBand="0" w:evenVBand="0" w:oddHBand="0" w:evenHBand="0" w:firstRowFirstColumn="0" w:firstRowLastColumn="0" w:lastRowFirstColumn="0" w:lastRowLastColumn="0"/>
            </w:pPr>
            <w:r>
              <w:t>20 162</w:t>
            </w:r>
          </w:p>
        </w:tc>
      </w:tr>
      <w:tr w:rsidR="004D42F9" w14:paraId="53445A34" w14:textId="77777777">
        <w:tc>
          <w:tcPr>
            <w:cnfStyle w:val="001000000000" w:firstRow="0" w:lastRow="0" w:firstColumn="1" w:lastColumn="0" w:oddVBand="0" w:evenVBand="0" w:oddHBand="0" w:evenHBand="0" w:firstRowFirstColumn="0" w:firstRowLastColumn="0" w:lastRowFirstColumn="0" w:lastRowLastColumn="0"/>
            <w:tcW w:w="5812" w:type="dxa"/>
          </w:tcPr>
          <w:p w14:paraId="1AF3B606" w14:textId="77777777" w:rsidR="004D42F9" w:rsidRDefault="004D42F9">
            <w:r>
              <w:t>Specific purpose grants for on</w:t>
            </w:r>
            <w:r>
              <w:noBreakHyphen/>
              <w:t>passing</w:t>
            </w:r>
          </w:p>
        </w:tc>
        <w:tc>
          <w:tcPr>
            <w:tcW w:w="956" w:type="dxa"/>
          </w:tcPr>
          <w:p w14:paraId="129AD0E9" w14:textId="77777777" w:rsidR="004D42F9" w:rsidRDefault="004D42F9">
            <w:pPr>
              <w:cnfStyle w:val="000000000000" w:firstRow="0" w:lastRow="0" w:firstColumn="0" w:lastColumn="0" w:oddVBand="0" w:evenVBand="0" w:oddHBand="0" w:evenHBand="0" w:firstRowFirstColumn="0" w:firstRowLastColumn="0" w:lastRowFirstColumn="0" w:lastRowLastColumn="0"/>
            </w:pPr>
            <w:r>
              <w:t>5 973</w:t>
            </w:r>
          </w:p>
        </w:tc>
        <w:tc>
          <w:tcPr>
            <w:tcW w:w="957" w:type="dxa"/>
          </w:tcPr>
          <w:p w14:paraId="584D2E1E" w14:textId="77777777" w:rsidR="004D42F9" w:rsidRDefault="004D42F9">
            <w:pPr>
              <w:cnfStyle w:val="000000000000" w:firstRow="0" w:lastRow="0" w:firstColumn="0" w:lastColumn="0" w:oddVBand="0" w:evenVBand="0" w:oddHBand="0" w:evenHBand="0" w:firstRowFirstColumn="0" w:firstRowLastColumn="0" w:lastRowFirstColumn="0" w:lastRowLastColumn="0"/>
            </w:pPr>
            <w:r>
              <w:t>5 751</w:t>
            </w:r>
          </w:p>
        </w:tc>
        <w:tc>
          <w:tcPr>
            <w:tcW w:w="956" w:type="dxa"/>
          </w:tcPr>
          <w:p w14:paraId="23EF2CF0" w14:textId="77777777" w:rsidR="004D42F9" w:rsidRDefault="004D42F9">
            <w:pPr>
              <w:cnfStyle w:val="000000000000" w:firstRow="0" w:lastRow="0" w:firstColumn="0" w:lastColumn="0" w:oddVBand="0" w:evenVBand="0" w:oddHBand="0" w:evenHBand="0" w:firstRowFirstColumn="0" w:firstRowLastColumn="0" w:lastRowFirstColumn="0" w:lastRowLastColumn="0"/>
            </w:pPr>
            <w:r>
              <w:t>5 973</w:t>
            </w:r>
          </w:p>
        </w:tc>
        <w:tc>
          <w:tcPr>
            <w:tcW w:w="957" w:type="dxa"/>
          </w:tcPr>
          <w:p w14:paraId="299BA637" w14:textId="77777777" w:rsidR="004D42F9" w:rsidRDefault="004D42F9">
            <w:pPr>
              <w:cnfStyle w:val="000000000000" w:firstRow="0" w:lastRow="0" w:firstColumn="0" w:lastColumn="0" w:oddVBand="0" w:evenVBand="0" w:oddHBand="0" w:evenHBand="0" w:firstRowFirstColumn="0" w:firstRowLastColumn="0" w:lastRowFirstColumn="0" w:lastRowLastColumn="0"/>
            </w:pPr>
            <w:r>
              <w:t>5 751</w:t>
            </w:r>
          </w:p>
        </w:tc>
      </w:tr>
      <w:tr w:rsidR="004D42F9" w14:paraId="3C59C362" w14:textId="77777777">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00456F03" w14:textId="77777777" w:rsidR="004D42F9" w:rsidRDefault="004D42F9">
            <w:r>
              <w:t>Specific purpose grants</w:t>
            </w:r>
          </w:p>
        </w:tc>
        <w:tc>
          <w:tcPr>
            <w:tcW w:w="956" w:type="dxa"/>
            <w:tcBorders>
              <w:bottom w:val="single" w:sz="6" w:space="0" w:color="auto"/>
            </w:tcBorders>
          </w:tcPr>
          <w:p w14:paraId="02C06BB5" w14:textId="77777777" w:rsidR="004D42F9" w:rsidRDefault="004D42F9">
            <w:pPr>
              <w:cnfStyle w:val="000000000000" w:firstRow="0" w:lastRow="0" w:firstColumn="0" w:lastColumn="0" w:oddVBand="0" w:evenVBand="0" w:oddHBand="0" w:evenHBand="0" w:firstRowFirstColumn="0" w:firstRowLastColumn="0" w:lastRowFirstColumn="0" w:lastRowLastColumn="0"/>
            </w:pPr>
            <w:r>
              <w:t>16 955</w:t>
            </w:r>
          </w:p>
        </w:tc>
        <w:tc>
          <w:tcPr>
            <w:tcW w:w="957" w:type="dxa"/>
            <w:tcBorders>
              <w:bottom w:val="single" w:sz="6" w:space="0" w:color="auto"/>
            </w:tcBorders>
          </w:tcPr>
          <w:p w14:paraId="2AF0B947" w14:textId="77777777" w:rsidR="004D42F9" w:rsidRDefault="004D42F9">
            <w:pPr>
              <w:cnfStyle w:val="000000000000" w:firstRow="0" w:lastRow="0" w:firstColumn="0" w:lastColumn="0" w:oddVBand="0" w:evenVBand="0" w:oddHBand="0" w:evenHBand="0" w:firstRowFirstColumn="0" w:firstRowLastColumn="0" w:lastRowFirstColumn="0" w:lastRowLastColumn="0"/>
            </w:pPr>
            <w:r>
              <w:t>15 671</w:t>
            </w:r>
          </w:p>
        </w:tc>
        <w:tc>
          <w:tcPr>
            <w:tcW w:w="956" w:type="dxa"/>
            <w:tcBorders>
              <w:bottom w:val="single" w:sz="6" w:space="0" w:color="auto"/>
            </w:tcBorders>
          </w:tcPr>
          <w:p w14:paraId="70009552" w14:textId="77777777" w:rsidR="004D42F9" w:rsidRDefault="004D42F9">
            <w:pPr>
              <w:cnfStyle w:val="000000000000" w:firstRow="0" w:lastRow="0" w:firstColumn="0" w:lastColumn="0" w:oddVBand="0" w:evenVBand="0" w:oddHBand="0" w:evenHBand="0" w:firstRowFirstColumn="0" w:firstRowLastColumn="0" w:lastRowFirstColumn="0" w:lastRowLastColumn="0"/>
            </w:pPr>
            <w:r>
              <w:t>16 945</w:t>
            </w:r>
          </w:p>
        </w:tc>
        <w:tc>
          <w:tcPr>
            <w:tcW w:w="957" w:type="dxa"/>
            <w:tcBorders>
              <w:bottom w:val="single" w:sz="6" w:space="0" w:color="auto"/>
            </w:tcBorders>
          </w:tcPr>
          <w:p w14:paraId="616D621C" w14:textId="77777777" w:rsidR="004D42F9" w:rsidRDefault="004D42F9">
            <w:pPr>
              <w:cnfStyle w:val="000000000000" w:firstRow="0" w:lastRow="0" w:firstColumn="0" w:lastColumn="0" w:oddVBand="0" w:evenVBand="0" w:oddHBand="0" w:evenHBand="0" w:firstRowFirstColumn="0" w:firstRowLastColumn="0" w:lastRowFirstColumn="0" w:lastRowLastColumn="0"/>
            </w:pPr>
            <w:r>
              <w:t>15 653</w:t>
            </w:r>
          </w:p>
        </w:tc>
      </w:tr>
      <w:tr w:rsidR="004D42F9" w14:paraId="02CBEB17" w14:textId="77777777">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5AA96011" w14:textId="77777777" w:rsidR="004D42F9" w:rsidRDefault="004D42F9">
            <w:r>
              <w:rPr>
                <w:b/>
              </w:rPr>
              <w:t>Total grants from the Commonwealth</w:t>
            </w:r>
          </w:p>
        </w:tc>
        <w:tc>
          <w:tcPr>
            <w:tcW w:w="956" w:type="dxa"/>
            <w:tcBorders>
              <w:top w:val="single" w:sz="6" w:space="0" w:color="auto"/>
            </w:tcBorders>
          </w:tcPr>
          <w:p w14:paraId="2ED741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47 003</w:t>
            </w:r>
          </w:p>
        </w:tc>
        <w:tc>
          <w:tcPr>
            <w:tcW w:w="957" w:type="dxa"/>
            <w:tcBorders>
              <w:top w:val="single" w:sz="6" w:space="0" w:color="auto"/>
            </w:tcBorders>
          </w:tcPr>
          <w:p w14:paraId="12F3A12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41 584</w:t>
            </w:r>
          </w:p>
        </w:tc>
        <w:tc>
          <w:tcPr>
            <w:tcW w:w="956" w:type="dxa"/>
            <w:tcBorders>
              <w:top w:val="single" w:sz="6" w:space="0" w:color="auto"/>
            </w:tcBorders>
          </w:tcPr>
          <w:p w14:paraId="2779D4C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46 993</w:t>
            </w:r>
          </w:p>
        </w:tc>
        <w:tc>
          <w:tcPr>
            <w:tcW w:w="957" w:type="dxa"/>
            <w:tcBorders>
              <w:top w:val="single" w:sz="6" w:space="0" w:color="auto"/>
            </w:tcBorders>
          </w:tcPr>
          <w:p w14:paraId="07E54D1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41 566</w:t>
            </w:r>
          </w:p>
        </w:tc>
      </w:tr>
      <w:tr w:rsidR="004D42F9" w14:paraId="4ED96E6C" w14:textId="77777777">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64068282" w14:textId="77777777" w:rsidR="004D42F9" w:rsidRDefault="004D42F9">
            <w:r>
              <w:t>Other contributions and grants</w:t>
            </w:r>
          </w:p>
        </w:tc>
        <w:tc>
          <w:tcPr>
            <w:tcW w:w="956" w:type="dxa"/>
            <w:tcBorders>
              <w:bottom w:val="single" w:sz="6" w:space="0" w:color="auto"/>
            </w:tcBorders>
          </w:tcPr>
          <w:p w14:paraId="68C9950F" w14:textId="77777777" w:rsidR="004D42F9" w:rsidRDefault="004D42F9">
            <w:pPr>
              <w:cnfStyle w:val="000000000000" w:firstRow="0" w:lastRow="0" w:firstColumn="0" w:lastColumn="0" w:oddVBand="0" w:evenVBand="0" w:oddHBand="0" w:evenHBand="0" w:firstRowFirstColumn="0" w:firstRowLastColumn="0" w:lastRowFirstColumn="0" w:lastRowLastColumn="0"/>
            </w:pPr>
            <w:r>
              <w:t>187</w:t>
            </w:r>
          </w:p>
        </w:tc>
        <w:tc>
          <w:tcPr>
            <w:tcW w:w="957" w:type="dxa"/>
            <w:tcBorders>
              <w:bottom w:val="single" w:sz="6" w:space="0" w:color="auto"/>
            </w:tcBorders>
          </w:tcPr>
          <w:p w14:paraId="18685D82" w14:textId="77777777" w:rsidR="004D42F9" w:rsidRDefault="004D42F9">
            <w:pPr>
              <w:cnfStyle w:val="000000000000" w:firstRow="0" w:lastRow="0" w:firstColumn="0" w:lastColumn="0" w:oddVBand="0" w:evenVBand="0" w:oddHBand="0" w:evenHBand="0" w:firstRowFirstColumn="0" w:firstRowLastColumn="0" w:lastRowFirstColumn="0" w:lastRowLastColumn="0"/>
            </w:pPr>
            <w:r>
              <w:t>103</w:t>
            </w:r>
          </w:p>
        </w:tc>
        <w:tc>
          <w:tcPr>
            <w:tcW w:w="956" w:type="dxa"/>
            <w:tcBorders>
              <w:bottom w:val="single" w:sz="6" w:space="0" w:color="auto"/>
            </w:tcBorders>
          </w:tcPr>
          <w:p w14:paraId="76D7FDC5" w14:textId="77777777" w:rsidR="004D42F9" w:rsidRDefault="004D42F9">
            <w:pPr>
              <w:cnfStyle w:val="000000000000" w:firstRow="0" w:lastRow="0" w:firstColumn="0" w:lastColumn="0" w:oddVBand="0" w:evenVBand="0" w:oddHBand="0" w:evenHBand="0" w:firstRowFirstColumn="0" w:firstRowLastColumn="0" w:lastRowFirstColumn="0" w:lastRowLastColumn="0"/>
            </w:pPr>
            <w:r>
              <w:t>311</w:t>
            </w:r>
          </w:p>
        </w:tc>
        <w:tc>
          <w:tcPr>
            <w:tcW w:w="957" w:type="dxa"/>
            <w:tcBorders>
              <w:bottom w:val="single" w:sz="6" w:space="0" w:color="auto"/>
            </w:tcBorders>
          </w:tcPr>
          <w:p w14:paraId="572F5B96" w14:textId="77777777" w:rsidR="004D42F9" w:rsidRDefault="004D42F9">
            <w:pPr>
              <w:cnfStyle w:val="000000000000" w:firstRow="0" w:lastRow="0" w:firstColumn="0" w:lastColumn="0" w:oddVBand="0" w:evenVBand="0" w:oddHBand="0" w:evenHBand="0" w:firstRowFirstColumn="0" w:firstRowLastColumn="0" w:lastRowFirstColumn="0" w:lastRowLastColumn="0"/>
            </w:pPr>
            <w:r>
              <w:t>231</w:t>
            </w:r>
          </w:p>
        </w:tc>
      </w:tr>
      <w:tr w:rsidR="004D42F9" w14:paraId="7EEDC246" w14:textId="77777777">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066DF26A" w14:textId="77777777" w:rsidR="004D42F9" w:rsidRDefault="004D42F9">
            <w:r>
              <w:rPr>
                <w:b/>
              </w:rPr>
              <w:t>Total grants</w:t>
            </w:r>
          </w:p>
        </w:tc>
        <w:tc>
          <w:tcPr>
            <w:tcW w:w="956" w:type="dxa"/>
            <w:tcBorders>
              <w:top w:val="single" w:sz="6" w:space="0" w:color="auto"/>
              <w:bottom w:val="single" w:sz="12" w:space="0" w:color="auto"/>
            </w:tcBorders>
          </w:tcPr>
          <w:p w14:paraId="42F9836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47 191</w:t>
            </w:r>
          </w:p>
        </w:tc>
        <w:tc>
          <w:tcPr>
            <w:tcW w:w="957" w:type="dxa"/>
            <w:tcBorders>
              <w:top w:val="single" w:sz="6" w:space="0" w:color="auto"/>
              <w:bottom w:val="single" w:sz="12" w:space="0" w:color="auto"/>
            </w:tcBorders>
          </w:tcPr>
          <w:p w14:paraId="7933F24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41 686</w:t>
            </w:r>
          </w:p>
        </w:tc>
        <w:tc>
          <w:tcPr>
            <w:tcW w:w="956" w:type="dxa"/>
            <w:tcBorders>
              <w:top w:val="single" w:sz="6" w:space="0" w:color="auto"/>
              <w:bottom w:val="single" w:sz="12" w:space="0" w:color="auto"/>
            </w:tcBorders>
          </w:tcPr>
          <w:p w14:paraId="58E21CB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47 304</w:t>
            </w:r>
          </w:p>
        </w:tc>
        <w:tc>
          <w:tcPr>
            <w:tcW w:w="957" w:type="dxa"/>
            <w:tcBorders>
              <w:top w:val="single" w:sz="6" w:space="0" w:color="auto"/>
              <w:bottom w:val="single" w:sz="12" w:space="0" w:color="auto"/>
            </w:tcBorders>
          </w:tcPr>
          <w:p w14:paraId="757404E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41 797</w:t>
            </w:r>
          </w:p>
        </w:tc>
      </w:tr>
    </w:tbl>
    <w:p w14:paraId="0242F10B" w14:textId="77777777" w:rsidR="004D42F9" w:rsidRDefault="004D42F9" w:rsidP="004D42F9">
      <w:pPr>
        <w:pStyle w:val="Note"/>
      </w:pPr>
      <w:r>
        <w:t xml:space="preserve">Note: </w:t>
      </w:r>
    </w:p>
    <w:p w14:paraId="5D25DEFA" w14:textId="77777777" w:rsidR="004D42F9" w:rsidRDefault="004D42F9" w:rsidP="004D42F9">
      <w:pPr>
        <w:pStyle w:val="Note"/>
      </w:pPr>
      <w:r>
        <w:t xml:space="preserve">(a) </w:t>
      </w:r>
      <w:r>
        <w:tab/>
        <w:t>Grants predominantly relate to grants from the Commonwealth Government, which are recognised under AASB 1058</w:t>
      </w:r>
      <w:r w:rsidRPr="005D71C4">
        <w:t>.</w:t>
      </w:r>
      <w:r w:rsidRPr="00BC6FF6">
        <w:t xml:space="preserve"> The State has not recognised any material grant revenue under AASB 15 in the current or previous year</w:t>
      </w:r>
      <w:r w:rsidRPr="005D71C4">
        <w:t>.</w:t>
      </w:r>
    </w:p>
    <w:p w14:paraId="10E80E91" w14:textId="77777777" w:rsidR="004D42F9" w:rsidRDefault="004D42F9" w:rsidP="008623A6">
      <w:pPr>
        <w:spacing w:before="0"/>
      </w:pPr>
    </w:p>
    <w:p w14:paraId="7C226F32" w14:textId="77777777" w:rsidR="008623A6" w:rsidRDefault="008623A6" w:rsidP="008623A6">
      <w:pPr>
        <w:spacing w:before="0"/>
        <w:sectPr w:rsidR="008623A6" w:rsidSect="008623A6">
          <w:type w:val="continuous"/>
          <w:pgSz w:w="11906" w:h="16838" w:code="9"/>
          <w:pgMar w:top="1134" w:right="1134" w:bottom="1134" w:left="1134" w:header="624" w:footer="567" w:gutter="0"/>
          <w:cols w:space="708"/>
          <w:docGrid w:linePitch="360"/>
        </w:sectPr>
      </w:pPr>
    </w:p>
    <w:p w14:paraId="318390D1" w14:textId="77777777" w:rsidR="004D42F9" w:rsidRDefault="004D42F9" w:rsidP="004D42F9">
      <w:r>
        <w:t>Grants income mainly comprises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w:t>
      </w:r>
    </w:p>
    <w:p w14:paraId="1F5767FC" w14:textId="77777777" w:rsidR="004D42F9" w:rsidRDefault="004D42F9" w:rsidP="004D42F9">
      <w:r>
        <w:t xml:space="preserve">On initial recognition of the assets granted, the State recognises any related contributions by owners, increases in liabilities, decreases in assets and revenue (related amounts) in accordance with other Australian Accounting Standards. </w:t>
      </w:r>
    </w:p>
    <w:p w14:paraId="773D0204" w14:textId="77777777" w:rsidR="004D42F9" w:rsidRDefault="004D42F9" w:rsidP="004D42F9">
      <w:r>
        <w:t xml:space="preserve">Related amounts may take the form of either: </w:t>
      </w:r>
    </w:p>
    <w:p w14:paraId="7A833AA0" w14:textId="77777777" w:rsidR="004D42F9" w:rsidRDefault="004D42F9" w:rsidP="004D42F9">
      <w:pPr>
        <w:spacing w:before="80"/>
        <w:ind w:left="397" w:hanging="397"/>
      </w:pPr>
      <w:r>
        <w:t>(</w:t>
      </w:r>
      <w:r w:rsidRPr="007822AA">
        <w:t>a)</w:t>
      </w:r>
      <w:r>
        <w:tab/>
        <w:t>contributions by owners, in accordance with AASB 1004</w:t>
      </w:r>
    </w:p>
    <w:p w14:paraId="176D10FA" w14:textId="77777777" w:rsidR="004D42F9" w:rsidRDefault="004D42F9" w:rsidP="004D42F9">
      <w:pPr>
        <w:spacing w:before="80"/>
        <w:ind w:left="397" w:hanging="397"/>
      </w:pPr>
      <w:r>
        <w:t>(</w:t>
      </w:r>
      <w:r w:rsidRPr="007822AA">
        <w:t>b)</w:t>
      </w:r>
      <w:r w:rsidRPr="007822AA">
        <w:tab/>
      </w:r>
      <w:r>
        <w:t>revenue or a contract liability arising from a contract with a customer, in accordance with AASB 15</w:t>
      </w:r>
    </w:p>
    <w:p w14:paraId="4E30FC3E" w14:textId="77777777" w:rsidR="004D42F9" w:rsidRDefault="004D42F9" w:rsidP="004D42F9">
      <w:pPr>
        <w:spacing w:before="80"/>
        <w:ind w:left="397" w:hanging="397"/>
      </w:pPr>
      <w:r>
        <w:t>(</w:t>
      </w:r>
      <w:r w:rsidRPr="007822AA">
        <w:t>c)</w:t>
      </w:r>
      <w:r>
        <w:tab/>
        <w:t>a lease liability, in accordance with AASB 16</w:t>
      </w:r>
    </w:p>
    <w:p w14:paraId="4849C3EB" w14:textId="77777777" w:rsidR="004D42F9" w:rsidRDefault="004D42F9" w:rsidP="004D42F9">
      <w:pPr>
        <w:spacing w:before="80"/>
        <w:ind w:left="397" w:hanging="397"/>
      </w:pPr>
      <w:r>
        <w:t>(</w:t>
      </w:r>
      <w:r w:rsidRPr="007822AA">
        <w:t>d)</w:t>
      </w:r>
      <w:r w:rsidRPr="007822AA">
        <w:tab/>
      </w:r>
      <w:r>
        <w:t>a financial instrument, in accordance with AASB 9</w:t>
      </w:r>
    </w:p>
    <w:p w14:paraId="50EDEFB4" w14:textId="77777777" w:rsidR="004D42F9" w:rsidRDefault="004D42F9" w:rsidP="004D42F9">
      <w:pPr>
        <w:spacing w:before="80"/>
        <w:ind w:left="397" w:hanging="397"/>
      </w:pPr>
      <w:r>
        <w:t>(</w:t>
      </w:r>
      <w:r w:rsidRPr="007822AA">
        <w:t>e)</w:t>
      </w:r>
      <w:r>
        <w:tab/>
        <w:t xml:space="preserve">a provision, in accordance with AASB 137 </w:t>
      </w:r>
      <w:r w:rsidRPr="003D181E">
        <w:rPr>
          <w:i/>
          <w:iCs/>
        </w:rPr>
        <w:t>Provisions, Contingent Liabilities and Contingent Assets</w:t>
      </w:r>
      <w:r>
        <w:t>.</w:t>
      </w:r>
    </w:p>
    <w:p w14:paraId="5311A45B" w14:textId="77777777" w:rsidR="004D42F9" w:rsidRDefault="004D42F9" w:rsidP="004D42F9">
      <w:r>
        <w:t xml:space="preserve">Income from grants without any sufficiently specific performance obligations, or that are not enforceable, is recognised using AASB 1058, when the State has an unconditional right to receive cash which usually coincides with receipt of cash. </w:t>
      </w:r>
    </w:p>
    <w:p w14:paraId="66DB1A56" w14:textId="77777777" w:rsidR="004D42F9" w:rsidRDefault="004D42F9" w:rsidP="004D42F9">
      <w:r>
        <w:t xml:space="preserve">Income from grants to construct capital assets that are controlled by the State is recognised progressively as the assets are constructed. </w:t>
      </w:r>
    </w:p>
    <w:p w14:paraId="7E8E48EE" w14:textId="77777777" w:rsidR="004D42F9" w:rsidRDefault="004D42F9" w:rsidP="004D42F9">
      <w:r>
        <w:t>The progressive percentage costs incurred are used to recognise income because this most closely reflects the progress to completion.</w:t>
      </w:r>
    </w:p>
    <w:p w14:paraId="3390BDAF" w14:textId="77777777" w:rsidR="004D42F9" w:rsidRDefault="004D42F9" w:rsidP="004D42F9">
      <w:r>
        <w:t xml:space="preserve">In </w:t>
      </w:r>
      <w:r w:rsidRPr="002300F8">
        <w:t>applying AASB </w:t>
      </w:r>
      <w:r w:rsidRPr="00964A40">
        <w:t xml:space="preserve">1058, a portion of the grant income may need to be deferred. The portion is recognised as unearned income in </w:t>
      </w:r>
      <w:r w:rsidRPr="00251DEB">
        <w:t>Note 2.8.</w:t>
      </w:r>
    </w:p>
    <w:p w14:paraId="52C9B9B7" w14:textId="19E0371D" w:rsidR="004D42F9" w:rsidRDefault="004D42F9" w:rsidP="004D42F9">
      <w:r>
        <w:t>Total goods and services tax (GST)-related payments include GST entitlements, and no</w:t>
      </w:r>
      <w:r w:rsidR="00F35ABA">
        <w:noBreakHyphen/>
      </w:r>
      <w:r>
        <w:t>worse</w:t>
      </w:r>
      <w:r w:rsidR="00F35ABA">
        <w:noBreakHyphen/>
      </w:r>
      <w:r>
        <w:t xml:space="preserve">off payments under the </w:t>
      </w:r>
      <w:r>
        <w:rPr>
          <w:i/>
          <w:iCs/>
        </w:rPr>
        <w:t>Treasury Laws Amendment (Making Sure Every State and Territory Gets Their Fair Share of GST) Act 2018</w:t>
      </w:r>
      <w:r>
        <w:t>.</w:t>
      </w:r>
      <w:r w:rsidRPr="00EA5795">
        <w:t xml:space="preserve"> </w:t>
      </w:r>
      <w:r>
        <w:t>The Commonwealth Government makes GST-related payments to states and territories in the form of general</w:t>
      </w:r>
      <w:r>
        <w:noBreakHyphen/>
        <w:t>purpose grants. Funds are remitted throughout the financial year based on the Commonwealth</w:t>
      </w:r>
      <w:r w:rsidR="00845934">
        <w:t>’</w:t>
      </w:r>
      <w:r>
        <w:t>s estimates of each state</w:t>
      </w:r>
      <w:r w:rsidR="00845934">
        <w:t>’</w:t>
      </w:r>
      <w:r>
        <w:t>s relative share of the GST pool for that financial year and of no-worse-off payments</w:t>
      </w:r>
      <w:r w:rsidRPr="00FD6AB5">
        <w:t>.</w:t>
      </w:r>
    </w:p>
    <w:p w14:paraId="1FE684D6" w14:textId="512315C5" w:rsidR="004D42F9" w:rsidRDefault="004D42F9" w:rsidP="004D42F9">
      <w:r w:rsidRPr="00FD6AB5">
        <w:t>The Commonwealth subsequently updates each state</w:t>
      </w:r>
      <w:r w:rsidR="00845934">
        <w:t>’</w:t>
      </w:r>
      <w:r w:rsidRPr="00FD6AB5">
        <w:t>s share of the national GST pool</w:t>
      </w:r>
      <w:r>
        <w:t xml:space="preserve"> and no</w:t>
      </w:r>
      <w:r>
        <w:noBreakHyphen/>
        <w:t>worse-off payment</w:t>
      </w:r>
      <w:r w:rsidRPr="00FD6AB5">
        <w:t xml:space="preserve"> when the final aggregate GST pool</w:t>
      </w:r>
      <w:r>
        <w:t xml:space="preserve"> and state populations</w:t>
      </w:r>
      <w:r w:rsidRPr="00FD6AB5">
        <w:t xml:space="preserve"> </w:t>
      </w:r>
      <w:r>
        <w:t>are</w:t>
      </w:r>
      <w:r w:rsidRPr="00FD6AB5">
        <w:t xml:space="preserve"> known, and adjusts any over or under payment during the year through the remittance of funds in the subsequent year. The State has made the significant judgement that the legislation, operation</w:t>
      </w:r>
      <w:r>
        <w:t>,</w:t>
      </w:r>
      <w:r w:rsidRPr="00FD6AB5">
        <w:t xml:space="preserve"> and objectives of the GST arrangements are such that its entitlement to the annual GST pool</w:t>
      </w:r>
      <w:r>
        <w:t xml:space="preserve"> and no-worse-off payment</w:t>
      </w:r>
      <w:r w:rsidRPr="00FD6AB5">
        <w:t xml:space="preserve"> forms the basis for GST income recognition, rather than the funding progressively received from the Commonwealth across the financial year. As a result, the State monitors and tracks its share of the GST pool</w:t>
      </w:r>
      <w:r>
        <w:t xml:space="preserve"> and no-worse-off payment</w:t>
      </w:r>
      <w:r w:rsidRPr="00FD6AB5">
        <w:t xml:space="preserve"> progressively to determine if a receivable or payable needs to be recognised at the end of each reporting period.</w:t>
      </w:r>
    </w:p>
    <w:p w14:paraId="5010BA36" w14:textId="77777777" w:rsidR="008623A6" w:rsidRDefault="008623A6" w:rsidP="004D42F9">
      <w:pPr>
        <w:sectPr w:rsidR="008623A6" w:rsidSect="008623A6">
          <w:type w:val="continuous"/>
          <w:pgSz w:w="11906" w:h="16838" w:code="9"/>
          <w:pgMar w:top="1134" w:right="1134" w:bottom="1134" w:left="1134" w:header="624" w:footer="567" w:gutter="0"/>
          <w:cols w:num="2" w:space="708"/>
          <w:docGrid w:linePitch="360"/>
        </w:sectPr>
      </w:pPr>
    </w:p>
    <w:p w14:paraId="5BF3725F" w14:textId="77777777" w:rsidR="004D42F9" w:rsidRDefault="004D42F9" w:rsidP="004D42F9">
      <w:pPr>
        <w:pStyle w:val="Heading2"/>
        <w:spacing w:before="0"/>
      </w:pPr>
      <w:bookmarkStart w:id="68" w:name="_Toc209476165"/>
      <w:r>
        <w:lastRenderedPageBreak/>
        <w:t>2.6</w:t>
      </w:r>
      <w:r>
        <w:tab/>
        <w:t>Other revenue and income</w:t>
      </w:r>
      <w:bookmarkEnd w:id="68"/>
      <w:r>
        <w:t xml:space="preserve"> </w:t>
      </w:r>
    </w:p>
    <w:p w14:paraId="25777DF4"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Other_revenue"/>
      </w:tblPr>
      <w:tblGrid>
        <w:gridCol w:w="6010"/>
        <w:gridCol w:w="907"/>
        <w:gridCol w:w="907"/>
        <w:gridCol w:w="907"/>
        <w:gridCol w:w="907"/>
      </w:tblGrid>
      <w:tr w:rsidR="004D42F9" w14:paraId="1FB0423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427D281" w14:textId="77777777" w:rsidR="004D42F9" w:rsidRDefault="004D42F9">
            <w:pPr>
              <w:keepNext/>
            </w:pPr>
          </w:p>
        </w:tc>
        <w:tc>
          <w:tcPr>
            <w:tcW w:w="1814" w:type="dxa"/>
            <w:gridSpan w:val="2"/>
          </w:tcPr>
          <w:p w14:paraId="36C3890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66D06F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7D7545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E9ED36" w14:textId="77777777" w:rsidR="004D42F9" w:rsidRDefault="004D42F9">
            <w:pPr>
              <w:keepNext/>
            </w:pPr>
          </w:p>
        </w:tc>
        <w:tc>
          <w:tcPr>
            <w:tcW w:w="907" w:type="dxa"/>
          </w:tcPr>
          <w:p w14:paraId="743DFC4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904B49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491F67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EA9816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13B23A9" w14:textId="77777777">
        <w:tc>
          <w:tcPr>
            <w:cnfStyle w:val="001000000000" w:firstRow="0" w:lastRow="0" w:firstColumn="1" w:lastColumn="0" w:oddVBand="0" w:evenVBand="0" w:oddHBand="0" w:evenHBand="0" w:firstRowFirstColumn="0" w:firstRowLastColumn="0" w:lastRowFirstColumn="0" w:lastRowLastColumn="0"/>
            <w:tcW w:w="6010" w:type="dxa"/>
          </w:tcPr>
          <w:p w14:paraId="6ACC7A34" w14:textId="77777777" w:rsidR="004D42F9" w:rsidRDefault="004D42F9">
            <w:r>
              <w:rPr>
                <w:b/>
              </w:rPr>
              <w:t>Amounts recognised as revenue from contracts with customers (AASB 15)</w:t>
            </w:r>
          </w:p>
        </w:tc>
        <w:tc>
          <w:tcPr>
            <w:tcW w:w="907" w:type="dxa"/>
          </w:tcPr>
          <w:p w14:paraId="417917D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5D94BC8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2E11083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5E7608C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EA32EF8" w14:textId="77777777">
        <w:tc>
          <w:tcPr>
            <w:cnfStyle w:val="001000000000" w:firstRow="0" w:lastRow="0" w:firstColumn="1" w:lastColumn="0" w:oddVBand="0" w:evenVBand="0" w:oddHBand="0" w:evenHBand="0" w:firstRowFirstColumn="0" w:firstRowLastColumn="0" w:lastRowFirstColumn="0" w:lastRowLastColumn="0"/>
            <w:tcW w:w="6010" w:type="dxa"/>
          </w:tcPr>
          <w:p w14:paraId="04D41025" w14:textId="77777777" w:rsidR="004D42F9" w:rsidRDefault="004D42F9">
            <w:r>
              <w:t>Royalties</w:t>
            </w:r>
          </w:p>
        </w:tc>
        <w:tc>
          <w:tcPr>
            <w:tcW w:w="907" w:type="dxa"/>
          </w:tcPr>
          <w:p w14:paraId="567C17C2" w14:textId="77777777" w:rsidR="004D42F9" w:rsidRDefault="004D42F9">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71A84FC8" w14:textId="77777777" w:rsidR="004D42F9" w:rsidRDefault="004D42F9">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6109917B" w14:textId="77777777" w:rsidR="004D42F9" w:rsidRDefault="004D42F9">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471F1631" w14:textId="77777777" w:rsidR="004D42F9" w:rsidRDefault="004D42F9">
            <w:pPr>
              <w:cnfStyle w:val="000000000000" w:firstRow="0" w:lastRow="0" w:firstColumn="0" w:lastColumn="0" w:oddVBand="0" w:evenVBand="0" w:oddHBand="0" w:evenHBand="0" w:firstRowFirstColumn="0" w:firstRowLastColumn="0" w:lastRowFirstColumn="0" w:lastRowLastColumn="0"/>
            </w:pPr>
            <w:r>
              <w:t>136</w:t>
            </w:r>
          </w:p>
        </w:tc>
      </w:tr>
      <w:tr w:rsidR="004D42F9" w14:paraId="4CF6ED9D" w14:textId="77777777">
        <w:tc>
          <w:tcPr>
            <w:cnfStyle w:val="001000000000" w:firstRow="0" w:lastRow="0" w:firstColumn="1" w:lastColumn="0" w:oddVBand="0" w:evenVBand="0" w:oddHBand="0" w:evenHBand="0" w:firstRowFirstColumn="0" w:firstRowLastColumn="0" w:lastRowFirstColumn="0" w:lastRowLastColumn="0"/>
            <w:tcW w:w="6010" w:type="dxa"/>
          </w:tcPr>
          <w:p w14:paraId="254D996A" w14:textId="77777777" w:rsidR="004D42F9" w:rsidRDefault="004D42F9">
            <w:r>
              <w:t>Other revenue – Health</w:t>
            </w:r>
          </w:p>
        </w:tc>
        <w:tc>
          <w:tcPr>
            <w:tcW w:w="907" w:type="dxa"/>
          </w:tcPr>
          <w:p w14:paraId="2D034FA0" w14:textId="77777777" w:rsidR="004D42F9" w:rsidRDefault="004D42F9">
            <w:pPr>
              <w:cnfStyle w:val="000000000000" w:firstRow="0" w:lastRow="0" w:firstColumn="0" w:lastColumn="0" w:oddVBand="0" w:evenVBand="0" w:oddHBand="0" w:evenHBand="0" w:firstRowFirstColumn="0" w:firstRowLastColumn="0" w:lastRowFirstColumn="0" w:lastRowLastColumn="0"/>
            </w:pPr>
            <w:r>
              <w:t>336</w:t>
            </w:r>
          </w:p>
        </w:tc>
        <w:tc>
          <w:tcPr>
            <w:tcW w:w="907" w:type="dxa"/>
          </w:tcPr>
          <w:p w14:paraId="731277FA" w14:textId="77777777" w:rsidR="004D42F9" w:rsidRDefault="004D42F9">
            <w:pPr>
              <w:cnfStyle w:val="000000000000" w:firstRow="0" w:lastRow="0" w:firstColumn="0" w:lastColumn="0" w:oddVBand="0" w:evenVBand="0" w:oddHBand="0" w:evenHBand="0" w:firstRowFirstColumn="0" w:firstRowLastColumn="0" w:lastRowFirstColumn="0" w:lastRowLastColumn="0"/>
            </w:pPr>
            <w:r>
              <w:t>272</w:t>
            </w:r>
          </w:p>
        </w:tc>
        <w:tc>
          <w:tcPr>
            <w:tcW w:w="907" w:type="dxa"/>
          </w:tcPr>
          <w:p w14:paraId="26919D45" w14:textId="77777777" w:rsidR="004D42F9" w:rsidRDefault="004D42F9">
            <w:pPr>
              <w:cnfStyle w:val="000000000000" w:firstRow="0" w:lastRow="0" w:firstColumn="0" w:lastColumn="0" w:oddVBand="0" w:evenVBand="0" w:oddHBand="0" w:evenHBand="0" w:firstRowFirstColumn="0" w:firstRowLastColumn="0" w:lastRowFirstColumn="0" w:lastRowLastColumn="0"/>
            </w:pPr>
            <w:r>
              <w:t>336</w:t>
            </w:r>
          </w:p>
        </w:tc>
        <w:tc>
          <w:tcPr>
            <w:tcW w:w="907" w:type="dxa"/>
          </w:tcPr>
          <w:p w14:paraId="3B4B25D3" w14:textId="77777777" w:rsidR="004D42F9" w:rsidRDefault="004D42F9">
            <w:pPr>
              <w:cnfStyle w:val="000000000000" w:firstRow="0" w:lastRow="0" w:firstColumn="0" w:lastColumn="0" w:oddVBand="0" w:evenVBand="0" w:oddHBand="0" w:evenHBand="0" w:firstRowFirstColumn="0" w:firstRowLastColumn="0" w:lastRowFirstColumn="0" w:lastRowLastColumn="0"/>
            </w:pPr>
            <w:r>
              <w:t>272</w:t>
            </w:r>
          </w:p>
        </w:tc>
      </w:tr>
      <w:tr w:rsidR="004D42F9" w14:paraId="75917E1E" w14:textId="77777777">
        <w:tc>
          <w:tcPr>
            <w:cnfStyle w:val="001000000000" w:firstRow="0" w:lastRow="0" w:firstColumn="1" w:lastColumn="0" w:oddVBand="0" w:evenVBand="0" w:oddHBand="0" w:evenHBand="0" w:firstRowFirstColumn="0" w:firstRowLastColumn="0" w:lastRowFirstColumn="0" w:lastRowLastColumn="0"/>
            <w:tcW w:w="6010" w:type="dxa"/>
          </w:tcPr>
          <w:p w14:paraId="38067155" w14:textId="77777777" w:rsidR="004D42F9" w:rsidRDefault="004D42F9">
            <w:r>
              <w:t>Other miscellaneous revenue</w:t>
            </w:r>
          </w:p>
        </w:tc>
        <w:tc>
          <w:tcPr>
            <w:tcW w:w="907" w:type="dxa"/>
          </w:tcPr>
          <w:p w14:paraId="6A36A6CA" w14:textId="77777777" w:rsidR="004D42F9" w:rsidRDefault="004D42F9">
            <w:pPr>
              <w:cnfStyle w:val="000000000000" w:firstRow="0" w:lastRow="0" w:firstColumn="0" w:lastColumn="0" w:oddVBand="0" w:evenVBand="0" w:oddHBand="0" w:evenHBand="0" w:firstRowFirstColumn="0" w:firstRowLastColumn="0" w:lastRowFirstColumn="0" w:lastRowLastColumn="0"/>
            </w:pPr>
            <w:r>
              <w:t>1 677</w:t>
            </w:r>
          </w:p>
        </w:tc>
        <w:tc>
          <w:tcPr>
            <w:tcW w:w="907" w:type="dxa"/>
          </w:tcPr>
          <w:p w14:paraId="4DA97636" w14:textId="77777777" w:rsidR="004D42F9" w:rsidRDefault="004D42F9">
            <w:pPr>
              <w:cnfStyle w:val="000000000000" w:firstRow="0" w:lastRow="0" w:firstColumn="0" w:lastColumn="0" w:oddVBand="0" w:evenVBand="0" w:oddHBand="0" w:evenHBand="0" w:firstRowFirstColumn="0" w:firstRowLastColumn="0" w:lastRowFirstColumn="0" w:lastRowLastColumn="0"/>
            </w:pPr>
            <w:r>
              <w:t>1 200</w:t>
            </w:r>
          </w:p>
        </w:tc>
        <w:tc>
          <w:tcPr>
            <w:tcW w:w="907" w:type="dxa"/>
          </w:tcPr>
          <w:p w14:paraId="7928E5DB" w14:textId="77777777" w:rsidR="004D42F9" w:rsidRDefault="004D42F9">
            <w:pPr>
              <w:cnfStyle w:val="000000000000" w:firstRow="0" w:lastRow="0" w:firstColumn="0" w:lastColumn="0" w:oddVBand="0" w:evenVBand="0" w:oddHBand="0" w:evenHBand="0" w:firstRowFirstColumn="0" w:firstRowLastColumn="0" w:lastRowFirstColumn="0" w:lastRowLastColumn="0"/>
            </w:pPr>
            <w:r>
              <w:t>1 504</w:t>
            </w:r>
          </w:p>
        </w:tc>
        <w:tc>
          <w:tcPr>
            <w:tcW w:w="907" w:type="dxa"/>
          </w:tcPr>
          <w:p w14:paraId="31070682"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1 006</w:t>
            </w:r>
          </w:p>
        </w:tc>
      </w:tr>
      <w:tr w:rsidR="004D42F9" w14:paraId="4A021AB6" w14:textId="77777777">
        <w:tc>
          <w:tcPr>
            <w:cnfStyle w:val="001000000000" w:firstRow="0" w:lastRow="0" w:firstColumn="1" w:lastColumn="0" w:oddVBand="0" w:evenVBand="0" w:oddHBand="0" w:evenHBand="0" w:firstRowFirstColumn="0" w:firstRowLastColumn="0" w:lastRowFirstColumn="0" w:lastRowLastColumn="0"/>
            <w:tcW w:w="6010" w:type="dxa"/>
          </w:tcPr>
          <w:p w14:paraId="69A03D62" w14:textId="77777777" w:rsidR="004D42F9" w:rsidRDefault="004D42F9">
            <w:r>
              <w:rPr>
                <w:b/>
              </w:rPr>
              <w:t>Amounts recognised as income of not</w:t>
            </w:r>
            <w:r>
              <w:rPr>
                <w:b/>
              </w:rPr>
              <w:noBreakHyphen/>
              <w:t>for</w:t>
            </w:r>
            <w:r>
              <w:rPr>
                <w:b/>
              </w:rPr>
              <w:noBreakHyphen/>
              <w:t>profit entities (AASB 1058)</w:t>
            </w:r>
          </w:p>
        </w:tc>
        <w:tc>
          <w:tcPr>
            <w:tcW w:w="907" w:type="dxa"/>
          </w:tcPr>
          <w:p w14:paraId="435FB57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9C0658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504A03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D8387E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F65864D" w14:textId="77777777">
        <w:tc>
          <w:tcPr>
            <w:cnfStyle w:val="001000000000" w:firstRow="0" w:lastRow="0" w:firstColumn="1" w:lastColumn="0" w:oddVBand="0" w:evenVBand="0" w:oddHBand="0" w:evenHBand="0" w:firstRowFirstColumn="0" w:firstRowLastColumn="0" w:lastRowFirstColumn="0" w:lastRowLastColumn="0"/>
            <w:tcW w:w="6010" w:type="dxa"/>
          </w:tcPr>
          <w:p w14:paraId="4DC797E0" w14:textId="77777777" w:rsidR="004D42F9" w:rsidRDefault="004D42F9">
            <w:r>
              <w:t>Fair value of assets received free of charge or for nominal consideration</w:t>
            </w:r>
            <w:r>
              <w:rPr>
                <w:vertAlign w:val="superscript"/>
              </w:rPr>
              <w:t xml:space="preserve"> (a)</w:t>
            </w:r>
          </w:p>
        </w:tc>
        <w:tc>
          <w:tcPr>
            <w:tcW w:w="907" w:type="dxa"/>
          </w:tcPr>
          <w:p w14:paraId="7D1A4B75"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1 148</w:t>
            </w:r>
          </w:p>
        </w:tc>
        <w:tc>
          <w:tcPr>
            <w:tcW w:w="907" w:type="dxa"/>
          </w:tcPr>
          <w:p w14:paraId="74CDB499" w14:textId="77777777" w:rsidR="004D42F9" w:rsidRDefault="004D42F9">
            <w:pPr>
              <w:cnfStyle w:val="000000000000" w:firstRow="0" w:lastRow="0" w:firstColumn="0" w:lastColumn="0" w:oddVBand="0" w:evenVBand="0" w:oddHBand="0" w:evenHBand="0" w:firstRowFirstColumn="0" w:firstRowLastColumn="0" w:lastRowFirstColumn="0" w:lastRowLastColumn="0"/>
            </w:pPr>
            <w:r>
              <w:t>1 281</w:t>
            </w:r>
          </w:p>
        </w:tc>
        <w:tc>
          <w:tcPr>
            <w:tcW w:w="907" w:type="dxa"/>
          </w:tcPr>
          <w:p w14:paraId="12963D68" w14:textId="77777777" w:rsidR="004D42F9" w:rsidRDefault="004D42F9">
            <w:pPr>
              <w:cnfStyle w:val="000000000000" w:firstRow="0" w:lastRow="0" w:firstColumn="0" w:lastColumn="0" w:oddVBand="0" w:evenVBand="0" w:oddHBand="0" w:evenHBand="0" w:firstRowFirstColumn="0" w:firstRowLastColumn="0" w:lastRowFirstColumn="0" w:lastRowLastColumn="0"/>
            </w:pPr>
            <w:r>
              <w:t>670</w:t>
            </w:r>
          </w:p>
        </w:tc>
        <w:tc>
          <w:tcPr>
            <w:tcW w:w="907" w:type="dxa"/>
          </w:tcPr>
          <w:p w14:paraId="28BE80F2" w14:textId="77777777" w:rsidR="004D42F9" w:rsidRDefault="004D42F9">
            <w:pPr>
              <w:cnfStyle w:val="000000000000" w:firstRow="0" w:lastRow="0" w:firstColumn="0" w:lastColumn="0" w:oddVBand="0" w:evenVBand="0" w:oddHBand="0" w:evenHBand="0" w:firstRowFirstColumn="0" w:firstRowLastColumn="0" w:lastRowFirstColumn="0" w:lastRowLastColumn="0"/>
            </w:pPr>
            <w:r>
              <w:t>823</w:t>
            </w:r>
          </w:p>
        </w:tc>
      </w:tr>
      <w:tr w:rsidR="004D42F9" w14:paraId="21D24FC0" w14:textId="77777777">
        <w:tc>
          <w:tcPr>
            <w:cnfStyle w:val="001000000000" w:firstRow="0" w:lastRow="0" w:firstColumn="1" w:lastColumn="0" w:oddVBand="0" w:evenVBand="0" w:oddHBand="0" w:evenHBand="0" w:firstRowFirstColumn="0" w:firstRowLastColumn="0" w:lastRowFirstColumn="0" w:lastRowLastColumn="0"/>
            <w:tcW w:w="6010" w:type="dxa"/>
          </w:tcPr>
          <w:p w14:paraId="64DE0F43" w14:textId="77777777" w:rsidR="004D42F9" w:rsidRDefault="004D42F9">
            <w:r>
              <w:t>Fines</w:t>
            </w:r>
          </w:p>
        </w:tc>
        <w:tc>
          <w:tcPr>
            <w:tcW w:w="907" w:type="dxa"/>
          </w:tcPr>
          <w:p w14:paraId="35FC6EA2" w14:textId="77777777" w:rsidR="004D42F9" w:rsidRDefault="004D42F9">
            <w:pPr>
              <w:cnfStyle w:val="000000000000" w:firstRow="0" w:lastRow="0" w:firstColumn="0" w:lastColumn="0" w:oddVBand="0" w:evenVBand="0" w:oddHBand="0" w:evenHBand="0" w:firstRowFirstColumn="0" w:firstRowLastColumn="0" w:lastRowFirstColumn="0" w:lastRowLastColumn="0"/>
            </w:pPr>
            <w:r>
              <w:t>680</w:t>
            </w:r>
          </w:p>
        </w:tc>
        <w:tc>
          <w:tcPr>
            <w:tcW w:w="907" w:type="dxa"/>
          </w:tcPr>
          <w:p w14:paraId="302D08E8" w14:textId="77777777" w:rsidR="004D42F9" w:rsidRDefault="004D42F9">
            <w:pPr>
              <w:cnfStyle w:val="000000000000" w:firstRow="0" w:lastRow="0" w:firstColumn="0" w:lastColumn="0" w:oddVBand="0" w:evenVBand="0" w:oddHBand="0" w:evenHBand="0" w:firstRowFirstColumn="0" w:firstRowLastColumn="0" w:lastRowFirstColumn="0" w:lastRowLastColumn="0"/>
            </w:pPr>
            <w:r>
              <w:t>750</w:t>
            </w:r>
          </w:p>
        </w:tc>
        <w:tc>
          <w:tcPr>
            <w:tcW w:w="907" w:type="dxa"/>
          </w:tcPr>
          <w:p w14:paraId="4ABB6DC5" w14:textId="77777777" w:rsidR="004D42F9" w:rsidRDefault="004D42F9">
            <w:pPr>
              <w:cnfStyle w:val="000000000000" w:firstRow="0" w:lastRow="0" w:firstColumn="0" w:lastColumn="0" w:oddVBand="0" w:evenVBand="0" w:oddHBand="0" w:evenHBand="0" w:firstRowFirstColumn="0" w:firstRowLastColumn="0" w:lastRowFirstColumn="0" w:lastRowLastColumn="0"/>
            </w:pPr>
            <w:r>
              <w:t>676</w:t>
            </w:r>
          </w:p>
        </w:tc>
        <w:tc>
          <w:tcPr>
            <w:tcW w:w="907" w:type="dxa"/>
          </w:tcPr>
          <w:p w14:paraId="136EEEF8" w14:textId="77777777" w:rsidR="004D42F9" w:rsidRDefault="004D42F9">
            <w:pPr>
              <w:cnfStyle w:val="000000000000" w:firstRow="0" w:lastRow="0" w:firstColumn="0" w:lastColumn="0" w:oddVBand="0" w:evenVBand="0" w:oddHBand="0" w:evenHBand="0" w:firstRowFirstColumn="0" w:firstRowLastColumn="0" w:lastRowFirstColumn="0" w:lastRowLastColumn="0"/>
            </w:pPr>
            <w:r>
              <w:t>745</w:t>
            </w:r>
          </w:p>
        </w:tc>
      </w:tr>
      <w:tr w:rsidR="004D42F9" w14:paraId="1AFB89B4" w14:textId="77777777">
        <w:tc>
          <w:tcPr>
            <w:cnfStyle w:val="001000000000" w:firstRow="0" w:lastRow="0" w:firstColumn="1" w:lastColumn="0" w:oddVBand="0" w:evenVBand="0" w:oddHBand="0" w:evenHBand="0" w:firstRowFirstColumn="0" w:firstRowLastColumn="0" w:lastRowFirstColumn="0" w:lastRowLastColumn="0"/>
            <w:tcW w:w="6010" w:type="dxa"/>
          </w:tcPr>
          <w:p w14:paraId="1C4A404F" w14:textId="77777777" w:rsidR="004D42F9" w:rsidRDefault="004D42F9">
            <w:r>
              <w:t>Donations and gifts</w:t>
            </w:r>
            <w:r>
              <w:rPr>
                <w:vertAlign w:val="superscript"/>
              </w:rPr>
              <w:t xml:space="preserve"> (b)</w:t>
            </w:r>
          </w:p>
        </w:tc>
        <w:tc>
          <w:tcPr>
            <w:tcW w:w="907" w:type="dxa"/>
          </w:tcPr>
          <w:p w14:paraId="6791DC15" w14:textId="77777777" w:rsidR="004D42F9" w:rsidRDefault="004D42F9">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61B4F31C" w14:textId="77777777" w:rsidR="004D42F9" w:rsidRDefault="004D42F9">
            <w:pPr>
              <w:cnfStyle w:val="000000000000" w:firstRow="0" w:lastRow="0" w:firstColumn="0" w:lastColumn="0" w:oddVBand="0" w:evenVBand="0" w:oddHBand="0" w:evenHBand="0" w:firstRowFirstColumn="0" w:firstRowLastColumn="0" w:lastRowFirstColumn="0" w:lastRowLastColumn="0"/>
            </w:pPr>
            <w:r>
              <w:t>422</w:t>
            </w:r>
          </w:p>
        </w:tc>
        <w:tc>
          <w:tcPr>
            <w:tcW w:w="907" w:type="dxa"/>
          </w:tcPr>
          <w:p w14:paraId="75DF5F12" w14:textId="77777777" w:rsidR="004D42F9" w:rsidRDefault="004D42F9">
            <w:pPr>
              <w:cnfStyle w:val="000000000000" w:firstRow="0" w:lastRow="0" w:firstColumn="0" w:lastColumn="0" w:oddVBand="0" w:evenVBand="0" w:oddHBand="0" w:evenHBand="0" w:firstRowFirstColumn="0" w:firstRowLastColumn="0" w:lastRowFirstColumn="0" w:lastRowLastColumn="0"/>
            </w:pPr>
            <w:r>
              <w:t>273</w:t>
            </w:r>
          </w:p>
        </w:tc>
        <w:tc>
          <w:tcPr>
            <w:tcW w:w="907" w:type="dxa"/>
          </w:tcPr>
          <w:p w14:paraId="154F36F1" w14:textId="77777777" w:rsidR="004D42F9" w:rsidRDefault="004D42F9">
            <w:pPr>
              <w:cnfStyle w:val="000000000000" w:firstRow="0" w:lastRow="0" w:firstColumn="0" w:lastColumn="0" w:oddVBand="0" w:evenVBand="0" w:oddHBand="0" w:evenHBand="0" w:firstRowFirstColumn="0" w:firstRowLastColumn="0" w:lastRowFirstColumn="0" w:lastRowLastColumn="0"/>
            </w:pPr>
            <w:r>
              <w:t>294</w:t>
            </w:r>
          </w:p>
        </w:tc>
      </w:tr>
      <w:tr w:rsidR="004D42F9" w14:paraId="0414C6EB" w14:textId="77777777">
        <w:tc>
          <w:tcPr>
            <w:cnfStyle w:val="001000000000" w:firstRow="0" w:lastRow="0" w:firstColumn="1" w:lastColumn="0" w:oddVBand="0" w:evenVBand="0" w:oddHBand="0" w:evenHBand="0" w:firstRowFirstColumn="0" w:firstRowLastColumn="0" w:lastRowFirstColumn="0" w:lastRowLastColumn="0"/>
            <w:tcW w:w="6010" w:type="dxa"/>
          </w:tcPr>
          <w:p w14:paraId="3EDE832D" w14:textId="77777777" w:rsidR="004D42F9" w:rsidRDefault="004D42F9">
            <w:r>
              <w:t>Other income – Education</w:t>
            </w:r>
          </w:p>
        </w:tc>
        <w:tc>
          <w:tcPr>
            <w:tcW w:w="907" w:type="dxa"/>
          </w:tcPr>
          <w:p w14:paraId="795B2571" w14:textId="77777777" w:rsidR="004D42F9" w:rsidRDefault="004D42F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B866EC" w14:textId="77777777" w:rsidR="004D42F9" w:rsidRDefault="004D42F9">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155143C7" w14:textId="77777777" w:rsidR="004D42F9" w:rsidRDefault="004D42F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69A1ED2D" w14:textId="77777777" w:rsidR="004D42F9" w:rsidRDefault="004D42F9">
            <w:pPr>
              <w:cnfStyle w:val="000000000000" w:firstRow="0" w:lastRow="0" w:firstColumn="0" w:lastColumn="0" w:oddVBand="0" w:evenVBand="0" w:oddHBand="0" w:evenHBand="0" w:firstRowFirstColumn="0" w:firstRowLastColumn="0" w:lastRowFirstColumn="0" w:lastRowLastColumn="0"/>
            </w:pPr>
            <w:r>
              <w:t>371</w:t>
            </w:r>
          </w:p>
        </w:tc>
      </w:tr>
      <w:tr w:rsidR="004D42F9" w14:paraId="1D4102BA" w14:textId="77777777">
        <w:tc>
          <w:tcPr>
            <w:cnfStyle w:val="001000000000" w:firstRow="0" w:lastRow="0" w:firstColumn="1" w:lastColumn="0" w:oddVBand="0" w:evenVBand="0" w:oddHBand="0" w:evenHBand="0" w:firstRowFirstColumn="0" w:firstRowLastColumn="0" w:lastRowFirstColumn="0" w:lastRowLastColumn="0"/>
            <w:tcW w:w="6010" w:type="dxa"/>
          </w:tcPr>
          <w:p w14:paraId="2C1FEA9B" w14:textId="77777777" w:rsidR="004D42F9" w:rsidRDefault="004D42F9">
            <w:r>
              <w:rPr>
                <w:b/>
              </w:rPr>
              <w:t>Amounts recognised as lease income (AASB 16)</w:t>
            </w:r>
          </w:p>
        </w:tc>
        <w:tc>
          <w:tcPr>
            <w:tcW w:w="907" w:type="dxa"/>
          </w:tcPr>
          <w:p w14:paraId="5F780FD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1C050C5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8B73FE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91B094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C4DEAB5" w14:textId="77777777">
        <w:tc>
          <w:tcPr>
            <w:cnfStyle w:val="001000000000" w:firstRow="0" w:lastRow="0" w:firstColumn="1" w:lastColumn="0" w:oddVBand="0" w:evenVBand="0" w:oddHBand="0" w:evenHBand="0" w:firstRowFirstColumn="0" w:firstRowLastColumn="0" w:lastRowFirstColumn="0" w:lastRowLastColumn="0"/>
            <w:tcW w:w="6010" w:type="dxa"/>
          </w:tcPr>
          <w:p w14:paraId="62126A1E" w14:textId="77777777" w:rsidR="004D42F9" w:rsidRDefault="004D42F9">
            <w:r>
              <w:t>Other non</w:t>
            </w:r>
            <w:r>
              <w:noBreakHyphen/>
              <w:t>property rental</w:t>
            </w:r>
          </w:p>
        </w:tc>
        <w:tc>
          <w:tcPr>
            <w:tcW w:w="907" w:type="dxa"/>
          </w:tcPr>
          <w:p w14:paraId="777DE4DA" w14:textId="77777777" w:rsidR="004D42F9" w:rsidRDefault="004D42F9">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33C164E0" w14:textId="77777777" w:rsidR="004D42F9" w:rsidRDefault="004D42F9">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1D47AB96" w14:textId="77777777" w:rsidR="004D42F9" w:rsidRDefault="004D42F9">
            <w:pPr>
              <w:cnfStyle w:val="000000000000" w:firstRow="0" w:lastRow="0" w:firstColumn="0" w:lastColumn="0" w:oddVBand="0" w:evenVBand="0" w:oddHBand="0" w:evenHBand="0" w:firstRowFirstColumn="0" w:firstRowLastColumn="0" w:lastRowFirstColumn="0" w:lastRowLastColumn="0"/>
            </w:pPr>
            <w:r>
              <w:t>37</w:t>
            </w:r>
          </w:p>
        </w:tc>
        <w:tc>
          <w:tcPr>
            <w:tcW w:w="907" w:type="dxa"/>
          </w:tcPr>
          <w:p w14:paraId="618E5489" w14:textId="77777777" w:rsidR="004D42F9" w:rsidRDefault="004D42F9">
            <w:pPr>
              <w:cnfStyle w:val="000000000000" w:firstRow="0" w:lastRow="0" w:firstColumn="0" w:lastColumn="0" w:oddVBand="0" w:evenVBand="0" w:oddHBand="0" w:evenHBand="0" w:firstRowFirstColumn="0" w:firstRowLastColumn="0" w:lastRowFirstColumn="0" w:lastRowLastColumn="0"/>
            </w:pPr>
            <w:r>
              <w:t>46</w:t>
            </w:r>
          </w:p>
        </w:tc>
      </w:tr>
      <w:tr w:rsidR="004D42F9" w14:paraId="158F1EDB" w14:textId="77777777">
        <w:tc>
          <w:tcPr>
            <w:cnfStyle w:val="001000000000" w:firstRow="0" w:lastRow="0" w:firstColumn="1" w:lastColumn="0" w:oddVBand="0" w:evenVBand="0" w:oddHBand="0" w:evenHBand="0" w:firstRowFirstColumn="0" w:firstRowLastColumn="0" w:lastRowFirstColumn="0" w:lastRowLastColumn="0"/>
            <w:tcW w:w="6010" w:type="dxa"/>
          </w:tcPr>
          <w:p w14:paraId="4431DA8D" w14:textId="77777777" w:rsidR="004D42F9" w:rsidRDefault="004D42F9">
            <w:r>
              <w:rPr>
                <w:b/>
              </w:rPr>
              <w:t>Revenue items accounted for under AASB 1059</w:t>
            </w:r>
          </w:p>
        </w:tc>
        <w:tc>
          <w:tcPr>
            <w:tcW w:w="907" w:type="dxa"/>
          </w:tcPr>
          <w:p w14:paraId="479A20E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EEDE56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787BC2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D49DC2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283D624"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E9F8004" w14:textId="77777777" w:rsidR="004D42F9" w:rsidRDefault="004D42F9">
            <w:r>
              <w:t>Revenue related to economic service concession arrangements</w:t>
            </w:r>
          </w:p>
        </w:tc>
        <w:tc>
          <w:tcPr>
            <w:tcW w:w="907" w:type="dxa"/>
            <w:tcBorders>
              <w:bottom w:val="single" w:sz="6" w:space="0" w:color="auto"/>
            </w:tcBorders>
          </w:tcPr>
          <w:p w14:paraId="37FEE5BB" w14:textId="77777777" w:rsidR="004D42F9" w:rsidRDefault="004D42F9">
            <w:pPr>
              <w:cnfStyle w:val="000000000000" w:firstRow="0" w:lastRow="0" w:firstColumn="0" w:lastColumn="0" w:oddVBand="0" w:evenVBand="0" w:oddHBand="0" w:evenHBand="0" w:firstRowFirstColumn="0" w:firstRowLastColumn="0" w:lastRowFirstColumn="0" w:lastRowLastColumn="0"/>
            </w:pPr>
            <w:r>
              <w:t>505</w:t>
            </w:r>
          </w:p>
        </w:tc>
        <w:tc>
          <w:tcPr>
            <w:tcW w:w="907" w:type="dxa"/>
            <w:tcBorders>
              <w:bottom w:val="single" w:sz="6" w:space="0" w:color="auto"/>
            </w:tcBorders>
          </w:tcPr>
          <w:p w14:paraId="48C00D53" w14:textId="77777777" w:rsidR="004D42F9" w:rsidRDefault="004D42F9">
            <w:pPr>
              <w:cnfStyle w:val="000000000000" w:firstRow="0" w:lastRow="0" w:firstColumn="0" w:lastColumn="0" w:oddVBand="0" w:evenVBand="0" w:oddHBand="0" w:evenHBand="0" w:firstRowFirstColumn="0" w:firstRowLastColumn="0" w:lastRowFirstColumn="0" w:lastRowLastColumn="0"/>
            </w:pPr>
            <w:r>
              <w:t>517</w:t>
            </w:r>
          </w:p>
        </w:tc>
        <w:tc>
          <w:tcPr>
            <w:tcW w:w="907" w:type="dxa"/>
            <w:tcBorders>
              <w:bottom w:val="single" w:sz="6" w:space="0" w:color="auto"/>
            </w:tcBorders>
          </w:tcPr>
          <w:p w14:paraId="0ACC138E" w14:textId="77777777" w:rsidR="004D42F9" w:rsidRDefault="004D42F9">
            <w:pPr>
              <w:cnfStyle w:val="000000000000" w:firstRow="0" w:lastRow="0" w:firstColumn="0" w:lastColumn="0" w:oddVBand="0" w:evenVBand="0" w:oddHBand="0" w:evenHBand="0" w:firstRowFirstColumn="0" w:firstRowLastColumn="0" w:lastRowFirstColumn="0" w:lastRowLastColumn="0"/>
            </w:pPr>
            <w:r>
              <w:t>503</w:t>
            </w:r>
          </w:p>
        </w:tc>
        <w:tc>
          <w:tcPr>
            <w:tcW w:w="907" w:type="dxa"/>
            <w:tcBorders>
              <w:bottom w:val="single" w:sz="6" w:space="0" w:color="auto"/>
            </w:tcBorders>
          </w:tcPr>
          <w:p w14:paraId="5216DF5D" w14:textId="77777777" w:rsidR="004D42F9" w:rsidRDefault="004D42F9">
            <w:pPr>
              <w:cnfStyle w:val="000000000000" w:firstRow="0" w:lastRow="0" w:firstColumn="0" w:lastColumn="0" w:oddVBand="0" w:evenVBand="0" w:oddHBand="0" w:evenHBand="0" w:firstRowFirstColumn="0" w:firstRowLastColumn="0" w:lastRowFirstColumn="0" w:lastRowLastColumn="0"/>
            </w:pPr>
            <w:r>
              <w:t>516</w:t>
            </w:r>
          </w:p>
        </w:tc>
      </w:tr>
      <w:tr w:rsidR="004D42F9" w14:paraId="1DA5C161"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6BAF760" w14:textId="77777777" w:rsidR="004D42F9" w:rsidRDefault="004D42F9">
            <w:r>
              <w:rPr>
                <w:b/>
              </w:rPr>
              <w:t>Total other revenue and income</w:t>
            </w:r>
          </w:p>
        </w:tc>
        <w:tc>
          <w:tcPr>
            <w:tcW w:w="907" w:type="dxa"/>
            <w:tcBorders>
              <w:top w:val="single" w:sz="6" w:space="0" w:color="auto"/>
              <w:bottom w:val="single" w:sz="12" w:space="0" w:color="auto"/>
            </w:tcBorders>
          </w:tcPr>
          <w:p w14:paraId="6DB0DE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5 287</w:t>
            </w:r>
          </w:p>
        </w:tc>
        <w:tc>
          <w:tcPr>
            <w:tcW w:w="907" w:type="dxa"/>
            <w:tcBorders>
              <w:top w:val="single" w:sz="6" w:space="0" w:color="auto"/>
              <w:bottom w:val="single" w:sz="12" w:space="0" w:color="auto"/>
            </w:tcBorders>
          </w:tcPr>
          <w:p w14:paraId="3559047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5 068</w:t>
            </w:r>
          </w:p>
        </w:tc>
        <w:tc>
          <w:tcPr>
            <w:tcW w:w="907" w:type="dxa"/>
            <w:tcBorders>
              <w:top w:val="single" w:sz="6" w:space="0" w:color="auto"/>
              <w:bottom w:val="single" w:sz="12" w:space="0" w:color="auto"/>
            </w:tcBorders>
          </w:tcPr>
          <w:p w14:paraId="330D954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4 411</w:t>
            </w:r>
          </w:p>
        </w:tc>
        <w:tc>
          <w:tcPr>
            <w:tcW w:w="907" w:type="dxa"/>
            <w:tcBorders>
              <w:top w:val="single" w:sz="6" w:space="0" w:color="auto"/>
              <w:bottom w:val="single" w:sz="12" w:space="0" w:color="auto"/>
            </w:tcBorders>
          </w:tcPr>
          <w:p w14:paraId="2B23F61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4 210</w:t>
            </w:r>
          </w:p>
        </w:tc>
      </w:tr>
    </w:tbl>
    <w:p w14:paraId="7AF86FF7" w14:textId="77777777" w:rsidR="004D42F9" w:rsidRDefault="004D42F9" w:rsidP="004D42F9">
      <w:pPr>
        <w:pStyle w:val="Note"/>
      </w:pPr>
      <w:r>
        <w:t xml:space="preserve">Notes: </w:t>
      </w:r>
    </w:p>
    <w:p w14:paraId="27EC4CBF" w14:textId="77777777" w:rsidR="004D42F9" w:rsidRDefault="004D42F9" w:rsidP="004D42F9">
      <w:pPr>
        <w:pStyle w:val="Note"/>
      </w:pPr>
      <w:r>
        <w:t>(a)</w:t>
      </w:r>
      <w:r>
        <w:tab/>
      </w:r>
      <w:r w:rsidRPr="00A365DB">
        <w:t>The 2024</w:t>
      </w:r>
      <w:r w:rsidRPr="00A365DB">
        <w:noBreakHyphen/>
        <w:t xml:space="preserve">25 figure includes </w:t>
      </w:r>
      <w:r w:rsidRPr="004548C3">
        <w:t>$558 </w:t>
      </w:r>
      <w:r w:rsidRPr="00A365DB">
        <w:t>million (2023</w:t>
      </w:r>
      <w:r w:rsidRPr="00A365DB">
        <w:noBreakHyphen/>
        <w:t>24: $732 million) relating to fair value of assets and services received free of charge or for nominal consideration reflecting adjustments for actual costs under the Metro Tunnel service concession arrangement.</w:t>
      </w:r>
      <w:r>
        <w:t xml:space="preserve"> This applies to both the general government sector and the State of Victoria.</w:t>
      </w:r>
    </w:p>
    <w:p w14:paraId="2F48F229" w14:textId="77777777" w:rsidR="004D42F9" w:rsidRDefault="004D42F9" w:rsidP="004D42F9">
      <w:pPr>
        <w:pStyle w:val="Note"/>
      </w:pPr>
      <w:r>
        <w:t>(b)</w:t>
      </w:r>
      <w:r>
        <w:tab/>
        <w:t>Primarily relates to donations to health services from non</w:t>
      </w:r>
      <w:r>
        <w:noBreakHyphen/>
        <w:t>government sources.</w:t>
      </w:r>
    </w:p>
    <w:p w14:paraId="1C7EE045" w14:textId="77777777" w:rsidR="004D42F9" w:rsidRDefault="004D42F9" w:rsidP="004D42F9"/>
    <w:p w14:paraId="782290A6" w14:textId="77777777" w:rsidR="008623A6" w:rsidRDefault="008623A6" w:rsidP="004D42F9">
      <w:pPr>
        <w:sectPr w:rsidR="008623A6" w:rsidSect="008623A6">
          <w:type w:val="continuous"/>
          <w:pgSz w:w="11906" w:h="16838" w:code="9"/>
          <w:pgMar w:top="1134" w:right="1134" w:bottom="1134" w:left="1134" w:header="624" w:footer="567" w:gutter="0"/>
          <w:cols w:space="708"/>
          <w:docGrid w:linePitch="360"/>
        </w:sectPr>
      </w:pPr>
    </w:p>
    <w:p w14:paraId="4A6E7495" w14:textId="77777777" w:rsidR="004D42F9" w:rsidRDefault="004D42F9" w:rsidP="004D42F9">
      <w:r>
        <w:t>Other revenue and income comes from a variety of miscellaneous sources, as the above table summarises.</w:t>
      </w:r>
    </w:p>
    <w:p w14:paraId="0A7B56D8" w14:textId="77777777" w:rsidR="004D42F9" w:rsidRDefault="004D42F9" w:rsidP="004D42F9">
      <w:r>
        <w:rPr>
          <w:b/>
          <w:bCs/>
        </w:rPr>
        <w:t>Assets</w:t>
      </w:r>
      <w:r w:rsidRPr="00B176A2">
        <w:rPr>
          <w:b/>
          <w:bCs/>
        </w:rPr>
        <w:t xml:space="preserve"> received free of charge or for nominal consideration</w:t>
      </w:r>
      <w:r>
        <w:t xml:space="preserve"> are recognised at fair value when the State obtains control over them, irrespective of whether these contributions are subject to restrictions or conditions over their use. </w:t>
      </w:r>
    </w:p>
    <w:p w14:paraId="38BF405C" w14:textId="77777777" w:rsidR="004D42F9" w:rsidRDefault="004D42F9" w:rsidP="004D42F9">
      <w:r>
        <w:t>Volunteer contributions in the form of services are only recognised when a fair value can be reliably determined and the services would have been purchased if not received as a donation.</w:t>
      </w:r>
    </w:p>
    <w:p w14:paraId="1C14E37D" w14:textId="77777777" w:rsidR="004D42F9" w:rsidRDefault="004D42F9" w:rsidP="004D42F9">
      <w:r w:rsidRPr="00B176A2">
        <w:rPr>
          <w:b/>
          <w:bCs/>
        </w:rPr>
        <w:t>Fines</w:t>
      </w:r>
      <w:r>
        <w:t xml:space="preserve"> are collected from road safety cameras, toll road evasions, police on-the-spot, court and other (non-traffic) statutory infringements. Income is recognised at the time the notice of the fine is issued.</w:t>
      </w:r>
    </w:p>
    <w:p w14:paraId="0D2E7847" w14:textId="77777777" w:rsidR="008623A6" w:rsidRDefault="008623A6" w:rsidP="004D42F9">
      <w:pPr>
        <w:rPr>
          <w:b/>
          <w:bCs/>
        </w:rPr>
      </w:pPr>
    </w:p>
    <w:p w14:paraId="1B2DE91E" w14:textId="77777777" w:rsidR="008623A6" w:rsidRDefault="008623A6" w:rsidP="004D42F9">
      <w:pPr>
        <w:rPr>
          <w:b/>
          <w:bCs/>
        </w:rPr>
      </w:pPr>
    </w:p>
    <w:p w14:paraId="13D3ED26" w14:textId="77777777" w:rsidR="008623A6" w:rsidRDefault="008623A6" w:rsidP="004D42F9">
      <w:pPr>
        <w:rPr>
          <w:b/>
          <w:bCs/>
        </w:rPr>
      </w:pPr>
    </w:p>
    <w:p w14:paraId="44A625D4" w14:textId="603D129E" w:rsidR="008623A6" w:rsidRDefault="008623A6" w:rsidP="004D42F9">
      <w:pPr>
        <w:rPr>
          <w:b/>
          <w:bCs/>
        </w:rPr>
      </w:pPr>
      <w:r>
        <w:rPr>
          <w:b/>
          <w:bCs/>
        </w:rPr>
        <w:br/>
      </w:r>
      <w:r>
        <w:rPr>
          <w:b/>
          <w:bCs/>
        </w:rPr>
        <w:br/>
      </w:r>
    </w:p>
    <w:p w14:paraId="6867F29F" w14:textId="3E89B9B5" w:rsidR="004D42F9" w:rsidRDefault="004D42F9" w:rsidP="004D42F9">
      <w:r w:rsidRPr="00B176A2">
        <w:rPr>
          <w:b/>
          <w:bCs/>
        </w:rPr>
        <w:t xml:space="preserve">Revenue related to economic </w:t>
      </w:r>
      <w:r w:rsidRPr="00314863">
        <w:rPr>
          <w:b/>
          <w:bCs/>
        </w:rPr>
        <w:t>service concession arrangements</w:t>
      </w:r>
      <w:r w:rsidRPr="00314863">
        <w:t xml:space="preserve"> reflects the progressive unwinding of the grant of a right to the operator </w:t>
      </w:r>
      <w:r w:rsidRPr="00D2495D">
        <w:t xml:space="preserve">liability </w:t>
      </w:r>
      <w:r w:rsidRPr="00251DEB">
        <w:t>(Note 2.8)</w:t>
      </w:r>
      <w:r w:rsidRPr="00D2495D">
        <w:t xml:space="preserve"> recognised applying AASB 1059. Refer to </w:t>
      </w:r>
      <w:r w:rsidRPr="00251DEB">
        <w:t>Note 5.</w:t>
      </w:r>
      <w:r w:rsidRPr="00D2495D">
        <w:t>7</w:t>
      </w:r>
      <w:r>
        <w:t xml:space="preserve"> </w:t>
      </w:r>
      <w:r w:rsidRPr="00D2495D">
        <w:t>for</w:t>
      </w:r>
      <w:r>
        <w:t xml:space="preserve"> details on service concession arrangements.</w:t>
      </w:r>
    </w:p>
    <w:p w14:paraId="76D3B126" w14:textId="77777777" w:rsidR="004D42F9" w:rsidRDefault="004D42F9" w:rsidP="004D42F9">
      <w:r w:rsidRPr="00B176A2">
        <w:rPr>
          <w:b/>
          <w:bCs/>
        </w:rPr>
        <w:t>Other income – Education</w:t>
      </w:r>
      <w:r>
        <w:t xml:space="preserve"> mainly comprises locally raised funds from school fetes, fundraising events and voluntary contributions made by parents.</w:t>
      </w:r>
    </w:p>
    <w:p w14:paraId="323FF485" w14:textId="77777777" w:rsidR="004D42F9" w:rsidRDefault="004D42F9" w:rsidP="004D42F9">
      <w:r w:rsidRPr="00B176A2">
        <w:rPr>
          <w:b/>
          <w:bCs/>
        </w:rPr>
        <w:t>Other revenue – Health</w:t>
      </w:r>
      <w:r>
        <w:t xml:space="preserve"> mainly comprises research funding from non-government organisations and non-salary cost recovery from external organisations in the health sector.</w:t>
      </w:r>
    </w:p>
    <w:p w14:paraId="5A945394" w14:textId="77777777" w:rsidR="004D42F9" w:rsidRDefault="004D42F9" w:rsidP="004D42F9">
      <w:r w:rsidRPr="00244518">
        <w:rPr>
          <w:b/>
          <w:bCs/>
        </w:rPr>
        <w:t>Other miscellaneous revenue</w:t>
      </w:r>
      <w:r>
        <w:t xml:space="preserve"> includes all other revenue from various sources that are not able to be classified elsewhere.</w:t>
      </w:r>
    </w:p>
    <w:p w14:paraId="6114196D" w14:textId="77777777" w:rsidR="008623A6" w:rsidRDefault="008623A6" w:rsidP="004D42F9">
      <w:pPr>
        <w:pStyle w:val="Heading2"/>
        <w:sectPr w:rsidR="008623A6" w:rsidSect="008623A6">
          <w:type w:val="continuous"/>
          <w:pgSz w:w="11906" w:h="16838" w:code="9"/>
          <w:pgMar w:top="1134" w:right="1134" w:bottom="1134" w:left="1134" w:header="624" w:footer="567" w:gutter="0"/>
          <w:cols w:num="2" w:space="708"/>
          <w:docGrid w:linePitch="360"/>
        </w:sectPr>
      </w:pPr>
    </w:p>
    <w:p w14:paraId="075736A0" w14:textId="77777777" w:rsidR="004D42F9" w:rsidRDefault="004D42F9" w:rsidP="008623A6">
      <w:pPr>
        <w:pStyle w:val="Heading2"/>
        <w:pageBreakBefore/>
        <w:spacing w:before="0"/>
      </w:pPr>
      <w:bookmarkStart w:id="69" w:name="_Toc209476166"/>
      <w:r>
        <w:lastRenderedPageBreak/>
        <w:t>2.7</w:t>
      </w:r>
      <w:r>
        <w:tab/>
        <w:t>Receivables and contract assets</w:t>
      </w:r>
      <w:bookmarkEnd w:id="69"/>
      <w:r w:rsidDel="00F84EA9">
        <w:t xml:space="preserve"> </w:t>
      </w:r>
    </w:p>
    <w:p w14:paraId="37D75425"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Receivables"/>
      </w:tblPr>
      <w:tblGrid>
        <w:gridCol w:w="6033"/>
        <w:gridCol w:w="901"/>
        <w:gridCol w:w="901"/>
        <w:gridCol w:w="901"/>
        <w:gridCol w:w="902"/>
      </w:tblGrid>
      <w:tr w:rsidR="004D42F9" w14:paraId="7A63E57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5AC3D5DF" w14:textId="77777777" w:rsidR="004D42F9" w:rsidRDefault="004D42F9">
            <w:pPr>
              <w:keepNext/>
            </w:pPr>
          </w:p>
        </w:tc>
        <w:tc>
          <w:tcPr>
            <w:tcW w:w="1802" w:type="dxa"/>
            <w:gridSpan w:val="2"/>
          </w:tcPr>
          <w:p w14:paraId="25F0C25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03" w:type="dxa"/>
            <w:gridSpan w:val="2"/>
          </w:tcPr>
          <w:p w14:paraId="205BBCB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F021DB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33" w:type="dxa"/>
          </w:tcPr>
          <w:p w14:paraId="6567D5E8" w14:textId="77777777" w:rsidR="004D42F9" w:rsidRDefault="004D42F9">
            <w:pPr>
              <w:keepNext/>
            </w:pPr>
          </w:p>
        </w:tc>
        <w:tc>
          <w:tcPr>
            <w:tcW w:w="901" w:type="dxa"/>
          </w:tcPr>
          <w:p w14:paraId="5B861BE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1" w:type="dxa"/>
          </w:tcPr>
          <w:p w14:paraId="42E8E84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1" w:type="dxa"/>
          </w:tcPr>
          <w:p w14:paraId="7C23953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2" w:type="dxa"/>
          </w:tcPr>
          <w:p w14:paraId="7C20BD1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09720D1" w14:textId="77777777">
        <w:tc>
          <w:tcPr>
            <w:cnfStyle w:val="001000000000" w:firstRow="0" w:lastRow="0" w:firstColumn="1" w:lastColumn="0" w:oddVBand="0" w:evenVBand="0" w:oddHBand="0" w:evenHBand="0" w:firstRowFirstColumn="0" w:firstRowLastColumn="0" w:lastRowFirstColumn="0" w:lastRowLastColumn="0"/>
            <w:tcW w:w="6033" w:type="dxa"/>
          </w:tcPr>
          <w:p w14:paraId="5F3A44DA" w14:textId="77777777" w:rsidR="004D42F9" w:rsidRDefault="004D42F9">
            <w:r>
              <w:rPr>
                <w:b/>
              </w:rPr>
              <w:t>Contractual</w:t>
            </w:r>
          </w:p>
        </w:tc>
        <w:tc>
          <w:tcPr>
            <w:tcW w:w="901" w:type="dxa"/>
          </w:tcPr>
          <w:p w14:paraId="59703D7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41F2785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0DFE617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2" w:type="dxa"/>
          </w:tcPr>
          <w:p w14:paraId="72EEDCB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77C843C6" w14:textId="77777777">
        <w:tc>
          <w:tcPr>
            <w:cnfStyle w:val="001000000000" w:firstRow="0" w:lastRow="0" w:firstColumn="1" w:lastColumn="0" w:oddVBand="0" w:evenVBand="0" w:oddHBand="0" w:evenHBand="0" w:firstRowFirstColumn="0" w:firstRowLastColumn="0" w:lastRowFirstColumn="0" w:lastRowLastColumn="0"/>
            <w:tcW w:w="6033" w:type="dxa"/>
          </w:tcPr>
          <w:p w14:paraId="50D2C9F7" w14:textId="77777777" w:rsidR="004D42F9" w:rsidRDefault="004D42F9">
            <w:r>
              <w:t>Sales of goods and services</w:t>
            </w:r>
          </w:p>
        </w:tc>
        <w:tc>
          <w:tcPr>
            <w:tcW w:w="901" w:type="dxa"/>
          </w:tcPr>
          <w:p w14:paraId="419AF2FB" w14:textId="77777777" w:rsidR="004D42F9" w:rsidRDefault="004D42F9">
            <w:pPr>
              <w:cnfStyle w:val="000000000000" w:firstRow="0" w:lastRow="0" w:firstColumn="0" w:lastColumn="0" w:oddVBand="0" w:evenVBand="0" w:oddHBand="0" w:evenHBand="0" w:firstRowFirstColumn="0" w:firstRowLastColumn="0" w:lastRowFirstColumn="0" w:lastRowLastColumn="0"/>
            </w:pPr>
            <w:r>
              <w:t>1 625</w:t>
            </w:r>
          </w:p>
        </w:tc>
        <w:tc>
          <w:tcPr>
            <w:tcW w:w="901" w:type="dxa"/>
          </w:tcPr>
          <w:p w14:paraId="70685063" w14:textId="77777777" w:rsidR="004D42F9" w:rsidRDefault="004D42F9">
            <w:pPr>
              <w:cnfStyle w:val="000000000000" w:firstRow="0" w:lastRow="0" w:firstColumn="0" w:lastColumn="0" w:oddVBand="0" w:evenVBand="0" w:oddHBand="0" w:evenHBand="0" w:firstRowFirstColumn="0" w:firstRowLastColumn="0" w:lastRowFirstColumn="0" w:lastRowLastColumn="0"/>
            </w:pPr>
            <w:r>
              <w:t>1 467</w:t>
            </w:r>
          </w:p>
        </w:tc>
        <w:tc>
          <w:tcPr>
            <w:tcW w:w="901" w:type="dxa"/>
          </w:tcPr>
          <w:p w14:paraId="6CE0D18F" w14:textId="77777777" w:rsidR="004D42F9" w:rsidRDefault="004D42F9">
            <w:pPr>
              <w:cnfStyle w:val="000000000000" w:firstRow="0" w:lastRow="0" w:firstColumn="0" w:lastColumn="0" w:oddVBand="0" w:evenVBand="0" w:oddHBand="0" w:evenHBand="0" w:firstRowFirstColumn="0" w:firstRowLastColumn="0" w:lastRowFirstColumn="0" w:lastRowLastColumn="0"/>
            </w:pPr>
            <w:r>
              <w:t>580</w:t>
            </w:r>
          </w:p>
        </w:tc>
        <w:tc>
          <w:tcPr>
            <w:tcW w:w="902" w:type="dxa"/>
          </w:tcPr>
          <w:p w14:paraId="07D454DC" w14:textId="77777777" w:rsidR="004D42F9" w:rsidRDefault="004D42F9">
            <w:pPr>
              <w:cnfStyle w:val="000000000000" w:firstRow="0" w:lastRow="0" w:firstColumn="0" w:lastColumn="0" w:oddVBand="0" w:evenVBand="0" w:oddHBand="0" w:evenHBand="0" w:firstRowFirstColumn="0" w:firstRowLastColumn="0" w:lastRowFirstColumn="0" w:lastRowLastColumn="0"/>
            </w:pPr>
            <w:r>
              <w:t>681</w:t>
            </w:r>
          </w:p>
        </w:tc>
      </w:tr>
      <w:tr w:rsidR="004D42F9" w14:paraId="403141D4" w14:textId="77777777">
        <w:tc>
          <w:tcPr>
            <w:cnfStyle w:val="001000000000" w:firstRow="0" w:lastRow="0" w:firstColumn="1" w:lastColumn="0" w:oddVBand="0" w:evenVBand="0" w:oddHBand="0" w:evenHBand="0" w:firstRowFirstColumn="0" w:firstRowLastColumn="0" w:lastRowFirstColumn="0" w:lastRowLastColumn="0"/>
            <w:tcW w:w="6033" w:type="dxa"/>
          </w:tcPr>
          <w:p w14:paraId="58DD0A8C" w14:textId="77777777" w:rsidR="004D42F9" w:rsidRDefault="004D42F9">
            <w:r>
              <w:t>Accrued investment income</w:t>
            </w:r>
          </w:p>
        </w:tc>
        <w:tc>
          <w:tcPr>
            <w:tcW w:w="901" w:type="dxa"/>
          </w:tcPr>
          <w:p w14:paraId="32EA945F" w14:textId="77777777" w:rsidR="004D42F9" w:rsidRDefault="004D42F9">
            <w:pPr>
              <w:cnfStyle w:val="000000000000" w:firstRow="0" w:lastRow="0" w:firstColumn="0" w:lastColumn="0" w:oddVBand="0" w:evenVBand="0" w:oddHBand="0" w:evenHBand="0" w:firstRowFirstColumn="0" w:firstRowLastColumn="0" w:lastRowFirstColumn="0" w:lastRowLastColumn="0"/>
            </w:pPr>
            <w:r>
              <w:t>238</w:t>
            </w:r>
          </w:p>
        </w:tc>
        <w:tc>
          <w:tcPr>
            <w:tcW w:w="901" w:type="dxa"/>
          </w:tcPr>
          <w:p w14:paraId="6C4ACF7C" w14:textId="77777777" w:rsidR="004D42F9" w:rsidRDefault="004D42F9">
            <w:pPr>
              <w:cnfStyle w:val="000000000000" w:firstRow="0" w:lastRow="0" w:firstColumn="0" w:lastColumn="0" w:oddVBand="0" w:evenVBand="0" w:oddHBand="0" w:evenHBand="0" w:firstRowFirstColumn="0" w:firstRowLastColumn="0" w:lastRowFirstColumn="0" w:lastRowLastColumn="0"/>
            </w:pPr>
            <w:r>
              <w:t>178</w:t>
            </w:r>
          </w:p>
        </w:tc>
        <w:tc>
          <w:tcPr>
            <w:tcW w:w="901" w:type="dxa"/>
          </w:tcPr>
          <w:p w14:paraId="0D06B31F" w14:textId="77777777" w:rsidR="004D42F9" w:rsidRDefault="004D42F9">
            <w:pPr>
              <w:cnfStyle w:val="000000000000" w:firstRow="0" w:lastRow="0" w:firstColumn="0" w:lastColumn="0" w:oddVBand="0" w:evenVBand="0" w:oddHBand="0" w:evenHBand="0" w:firstRowFirstColumn="0" w:firstRowLastColumn="0" w:lastRowFirstColumn="0" w:lastRowLastColumn="0"/>
            </w:pPr>
            <w:r>
              <w:t>102</w:t>
            </w:r>
          </w:p>
        </w:tc>
        <w:tc>
          <w:tcPr>
            <w:tcW w:w="902" w:type="dxa"/>
          </w:tcPr>
          <w:p w14:paraId="55127577" w14:textId="77777777" w:rsidR="004D42F9" w:rsidRDefault="004D42F9">
            <w:pPr>
              <w:cnfStyle w:val="000000000000" w:firstRow="0" w:lastRow="0" w:firstColumn="0" w:lastColumn="0" w:oddVBand="0" w:evenVBand="0" w:oddHBand="0" w:evenHBand="0" w:firstRowFirstColumn="0" w:firstRowLastColumn="0" w:lastRowFirstColumn="0" w:lastRowLastColumn="0"/>
            </w:pPr>
            <w:r>
              <w:t>81</w:t>
            </w:r>
          </w:p>
        </w:tc>
      </w:tr>
      <w:tr w:rsidR="004D42F9" w14:paraId="2B3F3E9C" w14:textId="77777777">
        <w:tc>
          <w:tcPr>
            <w:cnfStyle w:val="001000000000" w:firstRow="0" w:lastRow="0" w:firstColumn="1" w:lastColumn="0" w:oddVBand="0" w:evenVBand="0" w:oddHBand="0" w:evenHBand="0" w:firstRowFirstColumn="0" w:firstRowLastColumn="0" w:lastRowFirstColumn="0" w:lastRowLastColumn="0"/>
            <w:tcW w:w="6033" w:type="dxa"/>
          </w:tcPr>
          <w:p w14:paraId="3CB73590" w14:textId="77777777" w:rsidR="004D42F9" w:rsidRDefault="004D42F9">
            <w:r>
              <w:t>Other receivables</w:t>
            </w:r>
          </w:p>
        </w:tc>
        <w:tc>
          <w:tcPr>
            <w:tcW w:w="901" w:type="dxa"/>
          </w:tcPr>
          <w:p w14:paraId="5B8E9D18" w14:textId="77777777" w:rsidR="004D42F9" w:rsidRDefault="004D42F9">
            <w:pPr>
              <w:cnfStyle w:val="000000000000" w:firstRow="0" w:lastRow="0" w:firstColumn="0" w:lastColumn="0" w:oddVBand="0" w:evenVBand="0" w:oddHBand="0" w:evenHBand="0" w:firstRowFirstColumn="0" w:firstRowLastColumn="0" w:lastRowFirstColumn="0" w:lastRowLastColumn="0"/>
            </w:pPr>
            <w:r>
              <w:t>3 747</w:t>
            </w:r>
          </w:p>
        </w:tc>
        <w:tc>
          <w:tcPr>
            <w:tcW w:w="901" w:type="dxa"/>
          </w:tcPr>
          <w:p w14:paraId="092D7C03" w14:textId="77777777" w:rsidR="004D42F9" w:rsidRDefault="004D42F9">
            <w:pPr>
              <w:cnfStyle w:val="000000000000" w:firstRow="0" w:lastRow="0" w:firstColumn="0" w:lastColumn="0" w:oddVBand="0" w:evenVBand="0" w:oddHBand="0" w:evenHBand="0" w:firstRowFirstColumn="0" w:firstRowLastColumn="0" w:lastRowFirstColumn="0" w:lastRowLastColumn="0"/>
            </w:pPr>
            <w:r>
              <w:t>3 415</w:t>
            </w:r>
          </w:p>
        </w:tc>
        <w:tc>
          <w:tcPr>
            <w:tcW w:w="901" w:type="dxa"/>
          </w:tcPr>
          <w:p w14:paraId="30FB2DD9" w14:textId="77777777" w:rsidR="004D42F9" w:rsidRDefault="004D42F9">
            <w:pPr>
              <w:cnfStyle w:val="000000000000" w:firstRow="0" w:lastRow="0" w:firstColumn="0" w:lastColumn="0" w:oddVBand="0" w:evenVBand="0" w:oddHBand="0" w:evenHBand="0" w:firstRowFirstColumn="0" w:firstRowLastColumn="0" w:lastRowFirstColumn="0" w:lastRowLastColumn="0"/>
            </w:pPr>
            <w:r>
              <w:t>2 719</w:t>
            </w:r>
          </w:p>
        </w:tc>
        <w:tc>
          <w:tcPr>
            <w:tcW w:w="902" w:type="dxa"/>
          </w:tcPr>
          <w:p w14:paraId="2F1A9E7F" w14:textId="77777777" w:rsidR="004D42F9" w:rsidRDefault="004D42F9">
            <w:pPr>
              <w:cnfStyle w:val="000000000000" w:firstRow="0" w:lastRow="0" w:firstColumn="0" w:lastColumn="0" w:oddVBand="0" w:evenVBand="0" w:oddHBand="0" w:evenHBand="0" w:firstRowFirstColumn="0" w:firstRowLastColumn="0" w:lastRowFirstColumn="0" w:lastRowLastColumn="0"/>
            </w:pPr>
            <w:r>
              <w:t>2 373</w:t>
            </w:r>
          </w:p>
        </w:tc>
      </w:tr>
      <w:tr w:rsidR="004D42F9" w14:paraId="533C5C5A" w14:textId="77777777">
        <w:tc>
          <w:tcPr>
            <w:cnfStyle w:val="001000000000" w:firstRow="0" w:lastRow="0" w:firstColumn="1" w:lastColumn="0" w:oddVBand="0" w:evenVBand="0" w:oddHBand="0" w:evenHBand="0" w:firstRowFirstColumn="0" w:firstRowLastColumn="0" w:lastRowFirstColumn="0" w:lastRowLastColumn="0"/>
            <w:tcW w:w="6033" w:type="dxa"/>
          </w:tcPr>
          <w:p w14:paraId="3451C3A9" w14:textId="77777777" w:rsidR="004D42F9" w:rsidRDefault="004D42F9">
            <w:r>
              <w:t>Allowance for impairment losses of contractual receivables</w:t>
            </w:r>
          </w:p>
        </w:tc>
        <w:tc>
          <w:tcPr>
            <w:tcW w:w="901" w:type="dxa"/>
          </w:tcPr>
          <w:p w14:paraId="3FCBEDD5" w14:textId="77777777" w:rsidR="004D42F9" w:rsidRDefault="004D42F9">
            <w:pPr>
              <w:cnfStyle w:val="000000000000" w:firstRow="0" w:lastRow="0" w:firstColumn="0" w:lastColumn="0" w:oddVBand="0" w:evenVBand="0" w:oddHBand="0" w:evenHBand="0" w:firstRowFirstColumn="0" w:firstRowLastColumn="0" w:lastRowFirstColumn="0" w:lastRowLastColumn="0"/>
            </w:pPr>
            <w:r>
              <w:t>(425)</w:t>
            </w:r>
          </w:p>
        </w:tc>
        <w:tc>
          <w:tcPr>
            <w:tcW w:w="901" w:type="dxa"/>
          </w:tcPr>
          <w:p w14:paraId="0D6FCA24" w14:textId="77777777" w:rsidR="004D42F9" w:rsidRDefault="004D42F9">
            <w:pPr>
              <w:cnfStyle w:val="000000000000" w:firstRow="0" w:lastRow="0" w:firstColumn="0" w:lastColumn="0" w:oddVBand="0" w:evenVBand="0" w:oddHBand="0" w:evenHBand="0" w:firstRowFirstColumn="0" w:firstRowLastColumn="0" w:lastRowFirstColumn="0" w:lastRowLastColumn="0"/>
            </w:pPr>
            <w:r>
              <w:t>(362)</w:t>
            </w:r>
          </w:p>
        </w:tc>
        <w:tc>
          <w:tcPr>
            <w:tcW w:w="901" w:type="dxa"/>
          </w:tcPr>
          <w:p w14:paraId="14AA7EAE" w14:textId="77777777" w:rsidR="004D42F9" w:rsidRDefault="004D42F9">
            <w:pPr>
              <w:cnfStyle w:val="000000000000" w:firstRow="0" w:lastRow="0" w:firstColumn="0" w:lastColumn="0" w:oddVBand="0" w:evenVBand="0" w:oddHBand="0" w:evenHBand="0" w:firstRowFirstColumn="0" w:firstRowLastColumn="0" w:lastRowFirstColumn="0" w:lastRowLastColumn="0"/>
            </w:pPr>
            <w:r>
              <w:t>(143)</w:t>
            </w:r>
          </w:p>
        </w:tc>
        <w:tc>
          <w:tcPr>
            <w:tcW w:w="902" w:type="dxa"/>
          </w:tcPr>
          <w:p w14:paraId="6BCA8424" w14:textId="77777777" w:rsidR="004D42F9" w:rsidRDefault="004D42F9">
            <w:pPr>
              <w:cnfStyle w:val="000000000000" w:firstRow="0" w:lastRow="0" w:firstColumn="0" w:lastColumn="0" w:oddVBand="0" w:evenVBand="0" w:oddHBand="0" w:evenHBand="0" w:firstRowFirstColumn="0" w:firstRowLastColumn="0" w:lastRowFirstColumn="0" w:lastRowLastColumn="0"/>
            </w:pPr>
            <w:r>
              <w:t>(158)</w:t>
            </w:r>
          </w:p>
        </w:tc>
      </w:tr>
      <w:tr w:rsidR="004D42F9" w14:paraId="3C437080" w14:textId="77777777">
        <w:tc>
          <w:tcPr>
            <w:cnfStyle w:val="001000000000" w:firstRow="0" w:lastRow="0" w:firstColumn="1" w:lastColumn="0" w:oddVBand="0" w:evenVBand="0" w:oddHBand="0" w:evenHBand="0" w:firstRowFirstColumn="0" w:firstRowLastColumn="0" w:lastRowFirstColumn="0" w:lastRowLastColumn="0"/>
            <w:tcW w:w="6033" w:type="dxa"/>
          </w:tcPr>
          <w:p w14:paraId="4DAFCB86" w14:textId="77777777" w:rsidR="004D42F9" w:rsidRDefault="004D42F9">
            <w:r>
              <w:rPr>
                <w:b/>
              </w:rPr>
              <w:t>Statutory</w:t>
            </w:r>
          </w:p>
        </w:tc>
        <w:tc>
          <w:tcPr>
            <w:tcW w:w="901" w:type="dxa"/>
          </w:tcPr>
          <w:p w14:paraId="6C1FC3E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19AC125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7947A8A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2" w:type="dxa"/>
          </w:tcPr>
          <w:p w14:paraId="4D1F13B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115A374" w14:textId="77777777">
        <w:tc>
          <w:tcPr>
            <w:cnfStyle w:val="001000000000" w:firstRow="0" w:lastRow="0" w:firstColumn="1" w:lastColumn="0" w:oddVBand="0" w:evenVBand="0" w:oddHBand="0" w:evenHBand="0" w:firstRowFirstColumn="0" w:firstRowLastColumn="0" w:lastRowFirstColumn="0" w:lastRowLastColumn="0"/>
            <w:tcW w:w="6033" w:type="dxa"/>
          </w:tcPr>
          <w:p w14:paraId="023FBA5E" w14:textId="77777777" w:rsidR="004D42F9" w:rsidRDefault="004D42F9">
            <w:r>
              <w:t>Sales of goods and services</w:t>
            </w:r>
          </w:p>
        </w:tc>
        <w:tc>
          <w:tcPr>
            <w:tcW w:w="901" w:type="dxa"/>
          </w:tcPr>
          <w:p w14:paraId="61DD4FC9" w14:textId="77777777" w:rsidR="004D42F9" w:rsidRDefault="004D42F9">
            <w:pPr>
              <w:cnfStyle w:val="000000000000" w:firstRow="0" w:lastRow="0" w:firstColumn="0" w:lastColumn="0" w:oddVBand="0" w:evenVBand="0" w:oddHBand="0" w:evenHBand="0" w:firstRowFirstColumn="0" w:firstRowLastColumn="0" w:lastRowFirstColumn="0" w:lastRowLastColumn="0"/>
            </w:pPr>
            <w:r>
              <w:t>17</w:t>
            </w:r>
          </w:p>
        </w:tc>
        <w:tc>
          <w:tcPr>
            <w:tcW w:w="901" w:type="dxa"/>
          </w:tcPr>
          <w:p w14:paraId="024AAF3D"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c>
          <w:tcPr>
            <w:tcW w:w="901" w:type="dxa"/>
          </w:tcPr>
          <w:p w14:paraId="063159C8"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2" w:type="dxa"/>
          </w:tcPr>
          <w:p w14:paraId="2E4DFDFD"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18EC1B50" w14:textId="77777777">
        <w:tc>
          <w:tcPr>
            <w:cnfStyle w:val="001000000000" w:firstRow="0" w:lastRow="0" w:firstColumn="1" w:lastColumn="0" w:oddVBand="0" w:evenVBand="0" w:oddHBand="0" w:evenHBand="0" w:firstRowFirstColumn="0" w:firstRowLastColumn="0" w:lastRowFirstColumn="0" w:lastRowLastColumn="0"/>
            <w:tcW w:w="6033" w:type="dxa"/>
          </w:tcPr>
          <w:p w14:paraId="362C477C" w14:textId="77777777" w:rsidR="004D42F9" w:rsidRDefault="004D42F9">
            <w:r>
              <w:t>Taxes receivable</w:t>
            </w:r>
          </w:p>
        </w:tc>
        <w:tc>
          <w:tcPr>
            <w:tcW w:w="901" w:type="dxa"/>
          </w:tcPr>
          <w:p w14:paraId="5BBF33EE" w14:textId="77777777" w:rsidR="004D42F9" w:rsidRDefault="004D42F9">
            <w:pPr>
              <w:cnfStyle w:val="000000000000" w:firstRow="0" w:lastRow="0" w:firstColumn="0" w:lastColumn="0" w:oddVBand="0" w:evenVBand="0" w:oddHBand="0" w:evenHBand="0" w:firstRowFirstColumn="0" w:firstRowLastColumn="0" w:lastRowFirstColumn="0" w:lastRowLastColumn="0"/>
            </w:pPr>
            <w:r>
              <w:t>6 072</w:t>
            </w:r>
          </w:p>
        </w:tc>
        <w:tc>
          <w:tcPr>
            <w:tcW w:w="901" w:type="dxa"/>
          </w:tcPr>
          <w:p w14:paraId="513810EB" w14:textId="77777777" w:rsidR="004D42F9" w:rsidRDefault="004D42F9">
            <w:pPr>
              <w:cnfStyle w:val="000000000000" w:firstRow="0" w:lastRow="0" w:firstColumn="0" w:lastColumn="0" w:oddVBand="0" w:evenVBand="0" w:oddHBand="0" w:evenHBand="0" w:firstRowFirstColumn="0" w:firstRowLastColumn="0" w:lastRowFirstColumn="0" w:lastRowLastColumn="0"/>
            </w:pPr>
            <w:r>
              <w:t>6 414</w:t>
            </w:r>
          </w:p>
        </w:tc>
        <w:tc>
          <w:tcPr>
            <w:tcW w:w="901" w:type="dxa"/>
          </w:tcPr>
          <w:p w14:paraId="6EEDF0F1" w14:textId="77777777" w:rsidR="004D42F9" w:rsidRDefault="004D42F9">
            <w:pPr>
              <w:cnfStyle w:val="000000000000" w:firstRow="0" w:lastRow="0" w:firstColumn="0" w:lastColumn="0" w:oddVBand="0" w:evenVBand="0" w:oddHBand="0" w:evenHBand="0" w:firstRowFirstColumn="0" w:firstRowLastColumn="0" w:lastRowFirstColumn="0" w:lastRowLastColumn="0"/>
            </w:pPr>
            <w:r>
              <w:t>6 098</w:t>
            </w:r>
          </w:p>
        </w:tc>
        <w:tc>
          <w:tcPr>
            <w:tcW w:w="902" w:type="dxa"/>
          </w:tcPr>
          <w:p w14:paraId="39414B22" w14:textId="77777777" w:rsidR="004D42F9" w:rsidRDefault="004D42F9">
            <w:pPr>
              <w:cnfStyle w:val="000000000000" w:firstRow="0" w:lastRow="0" w:firstColumn="0" w:lastColumn="0" w:oddVBand="0" w:evenVBand="0" w:oddHBand="0" w:evenHBand="0" w:firstRowFirstColumn="0" w:firstRowLastColumn="0" w:lastRowFirstColumn="0" w:lastRowLastColumn="0"/>
            </w:pPr>
            <w:r>
              <w:t>6 477</w:t>
            </w:r>
          </w:p>
        </w:tc>
      </w:tr>
      <w:tr w:rsidR="004D42F9" w14:paraId="39A858CD" w14:textId="77777777">
        <w:tc>
          <w:tcPr>
            <w:cnfStyle w:val="001000000000" w:firstRow="0" w:lastRow="0" w:firstColumn="1" w:lastColumn="0" w:oddVBand="0" w:evenVBand="0" w:oddHBand="0" w:evenHBand="0" w:firstRowFirstColumn="0" w:firstRowLastColumn="0" w:lastRowFirstColumn="0" w:lastRowLastColumn="0"/>
            <w:tcW w:w="6033" w:type="dxa"/>
          </w:tcPr>
          <w:p w14:paraId="34E09C3D" w14:textId="77777777" w:rsidR="004D42F9" w:rsidRDefault="004D42F9">
            <w:r>
              <w:t>Fines and regulatory fees</w:t>
            </w:r>
          </w:p>
        </w:tc>
        <w:tc>
          <w:tcPr>
            <w:tcW w:w="901" w:type="dxa"/>
          </w:tcPr>
          <w:p w14:paraId="27D69146" w14:textId="77777777" w:rsidR="004D42F9" w:rsidRDefault="004D42F9">
            <w:pPr>
              <w:cnfStyle w:val="000000000000" w:firstRow="0" w:lastRow="0" w:firstColumn="0" w:lastColumn="0" w:oddVBand="0" w:evenVBand="0" w:oddHBand="0" w:evenHBand="0" w:firstRowFirstColumn="0" w:firstRowLastColumn="0" w:lastRowFirstColumn="0" w:lastRowLastColumn="0"/>
            </w:pPr>
            <w:r>
              <w:t>2 528</w:t>
            </w:r>
          </w:p>
        </w:tc>
        <w:tc>
          <w:tcPr>
            <w:tcW w:w="901" w:type="dxa"/>
          </w:tcPr>
          <w:p w14:paraId="6D8FFE59" w14:textId="77777777" w:rsidR="004D42F9" w:rsidRDefault="004D42F9">
            <w:pPr>
              <w:cnfStyle w:val="000000000000" w:firstRow="0" w:lastRow="0" w:firstColumn="0" w:lastColumn="0" w:oddVBand="0" w:evenVBand="0" w:oddHBand="0" w:evenHBand="0" w:firstRowFirstColumn="0" w:firstRowLastColumn="0" w:lastRowFirstColumn="0" w:lastRowLastColumn="0"/>
            </w:pPr>
            <w:r>
              <w:t>2 602</w:t>
            </w:r>
          </w:p>
        </w:tc>
        <w:tc>
          <w:tcPr>
            <w:tcW w:w="901" w:type="dxa"/>
          </w:tcPr>
          <w:p w14:paraId="481D86F4" w14:textId="77777777" w:rsidR="004D42F9" w:rsidRDefault="004D42F9">
            <w:pPr>
              <w:cnfStyle w:val="000000000000" w:firstRow="0" w:lastRow="0" w:firstColumn="0" w:lastColumn="0" w:oddVBand="0" w:evenVBand="0" w:oddHBand="0" w:evenHBand="0" w:firstRowFirstColumn="0" w:firstRowLastColumn="0" w:lastRowFirstColumn="0" w:lastRowLastColumn="0"/>
            </w:pPr>
            <w:r>
              <w:t>2 528</w:t>
            </w:r>
          </w:p>
        </w:tc>
        <w:tc>
          <w:tcPr>
            <w:tcW w:w="902" w:type="dxa"/>
          </w:tcPr>
          <w:p w14:paraId="2FCF2AC3" w14:textId="77777777" w:rsidR="004D42F9" w:rsidRDefault="004D42F9">
            <w:pPr>
              <w:cnfStyle w:val="000000000000" w:firstRow="0" w:lastRow="0" w:firstColumn="0" w:lastColumn="0" w:oddVBand="0" w:evenVBand="0" w:oddHBand="0" w:evenHBand="0" w:firstRowFirstColumn="0" w:firstRowLastColumn="0" w:lastRowFirstColumn="0" w:lastRowLastColumn="0"/>
            </w:pPr>
            <w:r>
              <w:t>2 601</w:t>
            </w:r>
          </w:p>
        </w:tc>
      </w:tr>
      <w:tr w:rsidR="004D42F9" w14:paraId="29EBF5BC" w14:textId="77777777">
        <w:tc>
          <w:tcPr>
            <w:cnfStyle w:val="001000000000" w:firstRow="0" w:lastRow="0" w:firstColumn="1" w:lastColumn="0" w:oddVBand="0" w:evenVBand="0" w:oddHBand="0" w:evenHBand="0" w:firstRowFirstColumn="0" w:firstRowLastColumn="0" w:lastRowFirstColumn="0" w:lastRowLastColumn="0"/>
            <w:tcW w:w="6033" w:type="dxa"/>
          </w:tcPr>
          <w:p w14:paraId="0A6381C6" w14:textId="77777777" w:rsidR="004D42F9" w:rsidRDefault="004D42F9">
            <w:r>
              <w:t>GST input tax credits recoverable</w:t>
            </w:r>
          </w:p>
        </w:tc>
        <w:tc>
          <w:tcPr>
            <w:tcW w:w="901" w:type="dxa"/>
          </w:tcPr>
          <w:p w14:paraId="26763F7B" w14:textId="77777777" w:rsidR="004D42F9" w:rsidRDefault="004D42F9">
            <w:pPr>
              <w:cnfStyle w:val="000000000000" w:firstRow="0" w:lastRow="0" w:firstColumn="0" w:lastColumn="0" w:oddVBand="0" w:evenVBand="0" w:oddHBand="0" w:evenHBand="0" w:firstRowFirstColumn="0" w:firstRowLastColumn="0" w:lastRowFirstColumn="0" w:lastRowLastColumn="0"/>
            </w:pPr>
            <w:r>
              <w:t>1 572</w:t>
            </w:r>
          </w:p>
        </w:tc>
        <w:tc>
          <w:tcPr>
            <w:tcW w:w="901" w:type="dxa"/>
          </w:tcPr>
          <w:p w14:paraId="216E0E27" w14:textId="77777777" w:rsidR="004D42F9" w:rsidRDefault="004D42F9">
            <w:pPr>
              <w:cnfStyle w:val="000000000000" w:firstRow="0" w:lastRow="0" w:firstColumn="0" w:lastColumn="0" w:oddVBand="0" w:evenVBand="0" w:oddHBand="0" w:evenHBand="0" w:firstRowFirstColumn="0" w:firstRowLastColumn="0" w:lastRowFirstColumn="0" w:lastRowLastColumn="0"/>
            </w:pPr>
            <w:r>
              <w:t>1 524</w:t>
            </w:r>
          </w:p>
        </w:tc>
        <w:tc>
          <w:tcPr>
            <w:tcW w:w="901" w:type="dxa"/>
          </w:tcPr>
          <w:p w14:paraId="1621B80D" w14:textId="77777777" w:rsidR="004D42F9" w:rsidRDefault="004D42F9">
            <w:pPr>
              <w:cnfStyle w:val="000000000000" w:firstRow="0" w:lastRow="0" w:firstColumn="0" w:lastColumn="0" w:oddVBand="0" w:evenVBand="0" w:oddHBand="0" w:evenHBand="0" w:firstRowFirstColumn="0" w:firstRowLastColumn="0" w:lastRowFirstColumn="0" w:lastRowLastColumn="0"/>
            </w:pPr>
            <w:r>
              <w:t>541</w:t>
            </w:r>
          </w:p>
        </w:tc>
        <w:tc>
          <w:tcPr>
            <w:tcW w:w="902" w:type="dxa"/>
          </w:tcPr>
          <w:p w14:paraId="269E81F2" w14:textId="77777777" w:rsidR="004D42F9" w:rsidRDefault="004D42F9">
            <w:pPr>
              <w:cnfStyle w:val="000000000000" w:firstRow="0" w:lastRow="0" w:firstColumn="0" w:lastColumn="0" w:oddVBand="0" w:evenVBand="0" w:oddHBand="0" w:evenHBand="0" w:firstRowFirstColumn="0" w:firstRowLastColumn="0" w:lastRowFirstColumn="0" w:lastRowLastColumn="0"/>
            </w:pPr>
            <w:r>
              <w:t>530</w:t>
            </w:r>
          </w:p>
        </w:tc>
      </w:tr>
      <w:tr w:rsidR="004D42F9" w14:paraId="49B874A3" w14:textId="77777777">
        <w:tc>
          <w:tcPr>
            <w:cnfStyle w:val="001000000000" w:firstRow="0" w:lastRow="0" w:firstColumn="1" w:lastColumn="0" w:oddVBand="0" w:evenVBand="0" w:oddHBand="0" w:evenHBand="0" w:firstRowFirstColumn="0" w:firstRowLastColumn="0" w:lastRowFirstColumn="0" w:lastRowLastColumn="0"/>
            <w:tcW w:w="6033" w:type="dxa"/>
          </w:tcPr>
          <w:p w14:paraId="5C3EF873" w14:textId="77777777" w:rsidR="004D42F9" w:rsidRDefault="004D42F9">
            <w:r>
              <w:t>Other receivables</w:t>
            </w:r>
          </w:p>
        </w:tc>
        <w:tc>
          <w:tcPr>
            <w:tcW w:w="901" w:type="dxa"/>
          </w:tcPr>
          <w:p w14:paraId="76CE34BB" w14:textId="77777777" w:rsidR="004D42F9" w:rsidRDefault="004D42F9">
            <w:pPr>
              <w:cnfStyle w:val="000000000000" w:firstRow="0" w:lastRow="0" w:firstColumn="0" w:lastColumn="0" w:oddVBand="0" w:evenVBand="0" w:oddHBand="0" w:evenHBand="0" w:firstRowFirstColumn="0" w:firstRowLastColumn="0" w:lastRowFirstColumn="0" w:lastRowLastColumn="0"/>
            </w:pPr>
            <w:r>
              <w:t>121</w:t>
            </w:r>
          </w:p>
        </w:tc>
        <w:tc>
          <w:tcPr>
            <w:tcW w:w="901" w:type="dxa"/>
          </w:tcPr>
          <w:p w14:paraId="5FC9EBC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1" w:type="dxa"/>
          </w:tcPr>
          <w:p w14:paraId="60674F9D" w14:textId="77777777" w:rsidR="004D42F9" w:rsidRDefault="004D42F9">
            <w:pPr>
              <w:cnfStyle w:val="000000000000" w:firstRow="0" w:lastRow="0" w:firstColumn="0" w:lastColumn="0" w:oddVBand="0" w:evenVBand="0" w:oddHBand="0" w:evenHBand="0" w:firstRowFirstColumn="0" w:firstRowLastColumn="0" w:lastRowFirstColumn="0" w:lastRowLastColumn="0"/>
            </w:pPr>
            <w:r>
              <w:t>121</w:t>
            </w:r>
          </w:p>
        </w:tc>
        <w:tc>
          <w:tcPr>
            <w:tcW w:w="902" w:type="dxa"/>
          </w:tcPr>
          <w:p w14:paraId="766632D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1222AEE" w14:textId="77777777">
        <w:tc>
          <w:tcPr>
            <w:cnfStyle w:val="001000000000" w:firstRow="0" w:lastRow="0" w:firstColumn="1" w:lastColumn="0" w:oddVBand="0" w:evenVBand="0" w:oddHBand="0" w:evenHBand="0" w:firstRowFirstColumn="0" w:firstRowLastColumn="0" w:lastRowFirstColumn="0" w:lastRowLastColumn="0"/>
            <w:tcW w:w="6033" w:type="dxa"/>
          </w:tcPr>
          <w:p w14:paraId="445F5CAB" w14:textId="77777777" w:rsidR="004D42F9" w:rsidRDefault="004D42F9">
            <w:r>
              <w:t>Allowance for impairment losses of statutory receivables</w:t>
            </w:r>
          </w:p>
        </w:tc>
        <w:tc>
          <w:tcPr>
            <w:tcW w:w="901" w:type="dxa"/>
          </w:tcPr>
          <w:p w14:paraId="1972E297" w14:textId="77777777" w:rsidR="004D42F9" w:rsidRDefault="004D42F9">
            <w:pPr>
              <w:cnfStyle w:val="000000000000" w:firstRow="0" w:lastRow="0" w:firstColumn="0" w:lastColumn="0" w:oddVBand="0" w:evenVBand="0" w:oddHBand="0" w:evenHBand="0" w:firstRowFirstColumn="0" w:firstRowLastColumn="0" w:lastRowFirstColumn="0" w:lastRowLastColumn="0"/>
            </w:pPr>
            <w:r>
              <w:t>(2 345)</w:t>
            </w:r>
          </w:p>
        </w:tc>
        <w:tc>
          <w:tcPr>
            <w:tcW w:w="901" w:type="dxa"/>
          </w:tcPr>
          <w:p w14:paraId="676B85DB" w14:textId="77777777" w:rsidR="004D42F9" w:rsidRDefault="004D42F9">
            <w:pPr>
              <w:cnfStyle w:val="000000000000" w:firstRow="0" w:lastRow="0" w:firstColumn="0" w:lastColumn="0" w:oddVBand="0" w:evenVBand="0" w:oddHBand="0" w:evenHBand="0" w:firstRowFirstColumn="0" w:firstRowLastColumn="0" w:lastRowFirstColumn="0" w:lastRowLastColumn="0"/>
            </w:pPr>
            <w:r>
              <w:t>(2 424)</w:t>
            </w:r>
          </w:p>
        </w:tc>
        <w:tc>
          <w:tcPr>
            <w:tcW w:w="901" w:type="dxa"/>
          </w:tcPr>
          <w:p w14:paraId="22FB1BF2" w14:textId="77777777" w:rsidR="004D42F9" w:rsidRDefault="004D42F9">
            <w:pPr>
              <w:cnfStyle w:val="000000000000" w:firstRow="0" w:lastRow="0" w:firstColumn="0" w:lastColumn="0" w:oddVBand="0" w:evenVBand="0" w:oddHBand="0" w:evenHBand="0" w:firstRowFirstColumn="0" w:firstRowLastColumn="0" w:lastRowFirstColumn="0" w:lastRowLastColumn="0"/>
            </w:pPr>
            <w:r>
              <w:t>(2 345)</w:t>
            </w:r>
          </w:p>
        </w:tc>
        <w:tc>
          <w:tcPr>
            <w:tcW w:w="902" w:type="dxa"/>
          </w:tcPr>
          <w:p w14:paraId="166BD048" w14:textId="77777777" w:rsidR="004D42F9" w:rsidRDefault="004D42F9">
            <w:pPr>
              <w:cnfStyle w:val="000000000000" w:firstRow="0" w:lastRow="0" w:firstColumn="0" w:lastColumn="0" w:oddVBand="0" w:evenVBand="0" w:oddHBand="0" w:evenHBand="0" w:firstRowFirstColumn="0" w:firstRowLastColumn="0" w:lastRowFirstColumn="0" w:lastRowLastColumn="0"/>
            </w:pPr>
            <w:r>
              <w:t>(2 424)</w:t>
            </w:r>
          </w:p>
        </w:tc>
      </w:tr>
      <w:tr w:rsidR="004D42F9" w14:paraId="5D157975" w14:textId="77777777">
        <w:tc>
          <w:tcPr>
            <w:cnfStyle w:val="001000000000" w:firstRow="0" w:lastRow="0" w:firstColumn="1" w:lastColumn="0" w:oddVBand="0" w:evenVBand="0" w:oddHBand="0" w:evenHBand="0" w:firstRowFirstColumn="0" w:firstRowLastColumn="0" w:lastRowFirstColumn="0" w:lastRowLastColumn="0"/>
            <w:tcW w:w="6033" w:type="dxa"/>
          </w:tcPr>
          <w:p w14:paraId="56D5BEF5" w14:textId="77777777" w:rsidR="004D42F9" w:rsidRDefault="004D42F9">
            <w:r>
              <w:rPr>
                <w:b/>
              </w:rPr>
              <w:t>Other</w:t>
            </w:r>
          </w:p>
        </w:tc>
        <w:tc>
          <w:tcPr>
            <w:tcW w:w="901" w:type="dxa"/>
          </w:tcPr>
          <w:p w14:paraId="610B965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14928F0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Pr>
          <w:p w14:paraId="55868F3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2" w:type="dxa"/>
          </w:tcPr>
          <w:p w14:paraId="2631BC6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06BC264" w14:textId="77777777">
        <w:tc>
          <w:tcPr>
            <w:cnfStyle w:val="001000000000" w:firstRow="0" w:lastRow="0" w:firstColumn="1" w:lastColumn="0" w:oddVBand="0" w:evenVBand="0" w:oddHBand="0" w:evenHBand="0" w:firstRowFirstColumn="0" w:firstRowLastColumn="0" w:lastRowFirstColumn="0" w:lastRowLastColumn="0"/>
            <w:tcW w:w="6033" w:type="dxa"/>
          </w:tcPr>
          <w:p w14:paraId="1BE166A1" w14:textId="77777777" w:rsidR="004D42F9" w:rsidRDefault="004D42F9">
            <w:r>
              <w:t>Actuarially determined</w:t>
            </w:r>
          </w:p>
        </w:tc>
        <w:tc>
          <w:tcPr>
            <w:tcW w:w="901" w:type="dxa"/>
          </w:tcPr>
          <w:p w14:paraId="312B0242" w14:textId="77777777" w:rsidR="004D42F9" w:rsidRDefault="004D42F9">
            <w:pPr>
              <w:cnfStyle w:val="000000000000" w:firstRow="0" w:lastRow="0" w:firstColumn="0" w:lastColumn="0" w:oddVBand="0" w:evenVBand="0" w:oddHBand="0" w:evenHBand="0" w:firstRowFirstColumn="0" w:firstRowLastColumn="0" w:lastRowFirstColumn="0" w:lastRowLastColumn="0"/>
            </w:pPr>
            <w:r>
              <w:t>1 067</w:t>
            </w:r>
          </w:p>
        </w:tc>
        <w:tc>
          <w:tcPr>
            <w:tcW w:w="901" w:type="dxa"/>
          </w:tcPr>
          <w:p w14:paraId="5A027AA9" w14:textId="77777777" w:rsidR="004D42F9" w:rsidRDefault="004D42F9">
            <w:pPr>
              <w:cnfStyle w:val="000000000000" w:firstRow="0" w:lastRow="0" w:firstColumn="0" w:lastColumn="0" w:oddVBand="0" w:evenVBand="0" w:oddHBand="0" w:evenHBand="0" w:firstRowFirstColumn="0" w:firstRowLastColumn="0" w:lastRowFirstColumn="0" w:lastRowLastColumn="0"/>
            </w:pPr>
            <w:r>
              <w:t>1 096</w:t>
            </w:r>
          </w:p>
        </w:tc>
        <w:tc>
          <w:tcPr>
            <w:tcW w:w="901" w:type="dxa"/>
          </w:tcPr>
          <w:p w14:paraId="2C2899A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2" w:type="dxa"/>
          </w:tcPr>
          <w:p w14:paraId="2C9CA4D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76D247CA" w14:textId="77777777">
        <w:tc>
          <w:tcPr>
            <w:cnfStyle w:val="001000000000" w:firstRow="0" w:lastRow="0" w:firstColumn="1" w:lastColumn="0" w:oddVBand="0" w:evenVBand="0" w:oddHBand="0" w:evenHBand="0" w:firstRowFirstColumn="0" w:firstRowLastColumn="0" w:lastRowFirstColumn="0" w:lastRowLastColumn="0"/>
            <w:tcW w:w="6033" w:type="dxa"/>
            <w:tcBorders>
              <w:bottom w:val="single" w:sz="6" w:space="0" w:color="auto"/>
            </w:tcBorders>
          </w:tcPr>
          <w:p w14:paraId="110D2F5A" w14:textId="77777777" w:rsidR="004D42F9" w:rsidRDefault="004D42F9">
            <w:r>
              <w:t>Contract assets</w:t>
            </w:r>
          </w:p>
        </w:tc>
        <w:tc>
          <w:tcPr>
            <w:tcW w:w="901" w:type="dxa"/>
            <w:tcBorders>
              <w:bottom w:val="single" w:sz="6" w:space="0" w:color="auto"/>
            </w:tcBorders>
          </w:tcPr>
          <w:p w14:paraId="41DE4BF0" w14:textId="77777777" w:rsidR="004D42F9" w:rsidRDefault="004D42F9">
            <w:pPr>
              <w:cnfStyle w:val="000000000000" w:firstRow="0" w:lastRow="0" w:firstColumn="0" w:lastColumn="0" w:oddVBand="0" w:evenVBand="0" w:oddHBand="0" w:evenHBand="0" w:firstRowFirstColumn="0" w:firstRowLastColumn="0" w:lastRowFirstColumn="0" w:lastRowLastColumn="0"/>
            </w:pPr>
            <w:r>
              <w:t>210</w:t>
            </w:r>
          </w:p>
        </w:tc>
        <w:tc>
          <w:tcPr>
            <w:tcW w:w="901" w:type="dxa"/>
            <w:tcBorders>
              <w:bottom w:val="single" w:sz="6" w:space="0" w:color="auto"/>
            </w:tcBorders>
          </w:tcPr>
          <w:p w14:paraId="08141187" w14:textId="77777777" w:rsidR="004D42F9" w:rsidRDefault="004D42F9">
            <w:pPr>
              <w:cnfStyle w:val="000000000000" w:firstRow="0" w:lastRow="0" w:firstColumn="0" w:lastColumn="0" w:oddVBand="0" w:evenVBand="0" w:oddHBand="0" w:evenHBand="0" w:firstRowFirstColumn="0" w:firstRowLastColumn="0" w:lastRowFirstColumn="0" w:lastRowLastColumn="0"/>
            </w:pPr>
            <w:r>
              <w:t>206</w:t>
            </w:r>
          </w:p>
        </w:tc>
        <w:tc>
          <w:tcPr>
            <w:tcW w:w="901" w:type="dxa"/>
            <w:tcBorders>
              <w:bottom w:val="single" w:sz="6" w:space="0" w:color="auto"/>
            </w:tcBorders>
          </w:tcPr>
          <w:p w14:paraId="04F12BA2"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02" w:type="dxa"/>
            <w:tcBorders>
              <w:bottom w:val="single" w:sz="6" w:space="0" w:color="auto"/>
            </w:tcBorders>
          </w:tcPr>
          <w:p w14:paraId="3323932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2514712D" w14:textId="77777777">
        <w:tc>
          <w:tcPr>
            <w:cnfStyle w:val="001000000000" w:firstRow="0" w:lastRow="0" w:firstColumn="1" w:lastColumn="0" w:oddVBand="0" w:evenVBand="0" w:oddHBand="0" w:evenHBand="0" w:firstRowFirstColumn="0" w:firstRowLastColumn="0" w:lastRowFirstColumn="0" w:lastRowLastColumn="0"/>
            <w:tcW w:w="6033" w:type="dxa"/>
            <w:tcBorders>
              <w:top w:val="single" w:sz="6" w:space="0" w:color="auto"/>
              <w:bottom w:val="single" w:sz="12" w:space="0" w:color="auto"/>
            </w:tcBorders>
          </w:tcPr>
          <w:p w14:paraId="7C1908CA" w14:textId="77777777" w:rsidR="004D42F9" w:rsidRDefault="004D42F9">
            <w:r>
              <w:rPr>
                <w:b/>
              </w:rPr>
              <w:t>Total receivables and contract assets</w:t>
            </w:r>
          </w:p>
        </w:tc>
        <w:tc>
          <w:tcPr>
            <w:tcW w:w="901" w:type="dxa"/>
            <w:tcBorders>
              <w:top w:val="single" w:sz="6" w:space="0" w:color="auto"/>
              <w:bottom w:val="single" w:sz="12" w:space="0" w:color="auto"/>
            </w:tcBorders>
          </w:tcPr>
          <w:p w14:paraId="677329B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14 427</w:t>
            </w:r>
          </w:p>
        </w:tc>
        <w:tc>
          <w:tcPr>
            <w:tcW w:w="901" w:type="dxa"/>
            <w:tcBorders>
              <w:top w:val="single" w:sz="6" w:space="0" w:color="auto"/>
              <w:bottom w:val="single" w:sz="12" w:space="0" w:color="auto"/>
            </w:tcBorders>
          </w:tcPr>
          <w:p w14:paraId="48132BF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14 129</w:t>
            </w:r>
          </w:p>
        </w:tc>
        <w:tc>
          <w:tcPr>
            <w:tcW w:w="901" w:type="dxa"/>
            <w:tcBorders>
              <w:top w:val="single" w:sz="6" w:space="0" w:color="auto"/>
              <w:bottom w:val="single" w:sz="12" w:space="0" w:color="auto"/>
            </w:tcBorders>
          </w:tcPr>
          <w:p w14:paraId="228A733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10 203</w:t>
            </w:r>
          </w:p>
        </w:tc>
        <w:tc>
          <w:tcPr>
            <w:tcW w:w="902" w:type="dxa"/>
            <w:tcBorders>
              <w:top w:val="single" w:sz="6" w:space="0" w:color="auto"/>
              <w:bottom w:val="single" w:sz="12" w:space="0" w:color="auto"/>
            </w:tcBorders>
          </w:tcPr>
          <w:p w14:paraId="34726EE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10 163</w:t>
            </w:r>
          </w:p>
        </w:tc>
      </w:tr>
      <w:tr w:rsidR="004D42F9" w14:paraId="17A41785" w14:textId="77777777">
        <w:tc>
          <w:tcPr>
            <w:cnfStyle w:val="001000000000" w:firstRow="0" w:lastRow="0" w:firstColumn="1" w:lastColumn="0" w:oddVBand="0" w:evenVBand="0" w:oddHBand="0" w:evenHBand="0" w:firstRowFirstColumn="0" w:firstRowLastColumn="0" w:lastRowFirstColumn="0" w:lastRowLastColumn="0"/>
            <w:tcW w:w="6033" w:type="dxa"/>
            <w:tcBorders>
              <w:top w:val="single" w:sz="0" w:space="0" w:color="auto"/>
            </w:tcBorders>
          </w:tcPr>
          <w:p w14:paraId="1C46911C" w14:textId="77777777" w:rsidR="004D42F9" w:rsidRDefault="004D42F9">
            <w:r>
              <w:rPr>
                <w:b/>
              </w:rPr>
              <w:t>Represented by:</w:t>
            </w:r>
          </w:p>
        </w:tc>
        <w:tc>
          <w:tcPr>
            <w:tcW w:w="901" w:type="dxa"/>
            <w:tcBorders>
              <w:top w:val="single" w:sz="0" w:space="0" w:color="auto"/>
            </w:tcBorders>
          </w:tcPr>
          <w:p w14:paraId="5A3996C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Borders>
              <w:top w:val="single" w:sz="0" w:space="0" w:color="auto"/>
            </w:tcBorders>
          </w:tcPr>
          <w:p w14:paraId="6E59D4D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1" w:type="dxa"/>
            <w:tcBorders>
              <w:top w:val="single" w:sz="0" w:space="0" w:color="auto"/>
            </w:tcBorders>
          </w:tcPr>
          <w:p w14:paraId="0747FF3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2" w:type="dxa"/>
            <w:tcBorders>
              <w:top w:val="single" w:sz="0" w:space="0" w:color="auto"/>
            </w:tcBorders>
          </w:tcPr>
          <w:p w14:paraId="701603F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DD8A813" w14:textId="77777777">
        <w:tc>
          <w:tcPr>
            <w:cnfStyle w:val="001000000000" w:firstRow="0" w:lastRow="0" w:firstColumn="1" w:lastColumn="0" w:oddVBand="0" w:evenVBand="0" w:oddHBand="0" w:evenHBand="0" w:firstRowFirstColumn="0" w:firstRowLastColumn="0" w:lastRowFirstColumn="0" w:lastRowLastColumn="0"/>
            <w:tcW w:w="6033" w:type="dxa"/>
          </w:tcPr>
          <w:p w14:paraId="0D2700B1" w14:textId="77777777" w:rsidR="004D42F9" w:rsidRDefault="004D42F9">
            <w:r>
              <w:t>Current receivables and contract assets</w:t>
            </w:r>
          </w:p>
        </w:tc>
        <w:tc>
          <w:tcPr>
            <w:tcW w:w="901" w:type="dxa"/>
          </w:tcPr>
          <w:p w14:paraId="2C5242B2" w14:textId="77777777" w:rsidR="004D42F9" w:rsidRDefault="004D42F9">
            <w:pPr>
              <w:cnfStyle w:val="000000000000" w:firstRow="0" w:lastRow="0" w:firstColumn="0" w:lastColumn="0" w:oddVBand="0" w:evenVBand="0" w:oddHBand="0" w:evenHBand="0" w:firstRowFirstColumn="0" w:firstRowLastColumn="0" w:lastRowFirstColumn="0" w:lastRowLastColumn="0"/>
            </w:pPr>
            <w:r>
              <w:t>11 729</w:t>
            </w:r>
          </w:p>
        </w:tc>
        <w:tc>
          <w:tcPr>
            <w:tcW w:w="901" w:type="dxa"/>
          </w:tcPr>
          <w:p w14:paraId="6AD56993" w14:textId="77777777" w:rsidR="004D42F9" w:rsidRDefault="004D42F9">
            <w:pPr>
              <w:cnfStyle w:val="000000000000" w:firstRow="0" w:lastRow="0" w:firstColumn="0" w:lastColumn="0" w:oddVBand="0" w:evenVBand="0" w:oddHBand="0" w:evenHBand="0" w:firstRowFirstColumn="0" w:firstRowLastColumn="0" w:lastRowFirstColumn="0" w:lastRowLastColumn="0"/>
            </w:pPr>
            <w:r>
              <w:t>11 875</w:t>
            </w:r>
          </w:p>
        </w:tc>
        <w:tc>
          <w:tcPr>
            <w:tcW w:w="901" w:type="dxa"/>
          </w:tcPr>
          <w:p w14:paraId="18400E1D" w14:textId="77777777" w:rsidR="004D42F9" w:rsidRDefault="004D42F9">
            <w:pPr>
              <w:cnfStyle w:val="000000000000" w:firstRow="0" w:lastRow="0" w:firstColumn="0" w:lastColumn="0" w:oddVBand="0" w:evenVBand="0" w:oddHBand="0" w:evenHBand="0" w:firstRowFirstColumn="0" w:firstRowLastColumn="0" w:lastRowFirstColumn="0" w:lastRowLastColumn="0"/>
            </w:pPr>
            <w:r>
              <w:t>9 156</w:t>
            </w:r>
          </w:p>
        </w:tc>
        <w:tc>
          <w:tcPr>
            <w:tcW w:w="902" w:type="dxa"/>
          </w:tcPr>
          <w:p w14:paraId="6C6A1C9D" w14:textId="77777777" w:rsidR="004D42F9" w:rsidRDefault="004D42F9">
            <w:pPr>
              <w:cnfStyle w:val="000000000000" w:firstRow="0" w:lastRow="0" w:firstColumn="0" w:lastColumn="0" w:oddVBand="0" w:evenVBand="0" w:oddHBand="0" w:evenHBand="0" w:firstRowFirstColumn="0" w:firstRowLastColumn="0" w:lastRowFirstColumn="0" w:lastRowLastColumn="0"/>
            </w:pPr>
            <w:r>
              <w:t>9 391</w:t>
            </w:r>
          </w:p>
        </w:tc>
      </w:tr>
      <w:tr w:rsidR="004D42F9" w14:paraId="7007C800" w14:textId="77777777">
        <w:tc>
          <w:tcPr>
            <w:cnfStyle w:val="001000000000" w:firstRow="0" w:lastRow="0" w:firstColumn="1" w:lastColumn="0" w:oddVBand="0" w:evenVBand="0" w:oddHBand="0" w:evenHBand="0" w:firstRowFirstColumn="0" w:firstRowLastColumn="0" w:lastRowFirstColumn="0" w:lastRowLastColumn="0"/>
            <w:tcW w:w="6033" w:type="dxa"/>
            <w:tcBorders>
              <w:bottom w:val="single" w:sz="12" w:space="0" w:color="auto"/>
            </w:tcBorders>
          </w:tcPr>
          <w:p w14:paraId="3BB4B041" w14:textId="77777777" w:rsidR="004D42F9" w:rsidRDefault="004D42F9">
            <w:r>
              <w:t>Non</w:t>
            </w:r>
            <w:r>
              <w:noBreakHyphen/>
              <w:t>current receivables and contract assets</w:t>
            </w:r>
          </w:p>
        </w:tc>
        <w:tc>
          <w:tcPr>
            <w:tcW w:w="901" w:type="dxa"/>
            <w:tcBorders>
              <w:bottom w:val="single" w:sz="12" w:space="0" w:color="auto"/>
            </w:tcBorders>
          </w:tcPr>
          <w:p w14:paraId="1DDA6ECE" w14:textId="77777777" w:rsidR="004D42F9" w:rsidRDefault="004D42F9">
            <w:pPr>
              <w:cnfStyle w:val="000000000000" w:firstRow="0" w:lastRow="0" w:firstColumn="0" w:lastColumn="0" w:oddVBand="0" w:evenVBand="0" w:oddHBand="0" w:evenHBand="0" w:firstRowFirstColumn="0" w:firstRowLastColumn="0" w:lastRowFirstColumn="0" w:lastRowLastColumn="0"/>
            </w:pPr>
            <w:r>
              <w:t>2 697</w:t>
            </w:r>
          </w:p>
        </w:tc>
        <w:tc>
          <w:tcPr>
            <w:tcW w:w="901" w:type="dxa"/>
            <w:tcBorders>
              <w:bottom w:val="single" w:sz="12" w:space="0" w:color="auto"/>
            </w:tcBorders>
          </w:tcPr>
          <w:p w14:paraId="5FD9895C" w14:textId="77777777" w:rsidR="004D42F9" w:rsidRDefault="004D42F9">
            <w:pPr>
              <w:cnfStyle w:val="000000000000" w:firstRow="0" w:lastRow="0" w:firstColumn="0" w:lastColumn="0" w:oddVBand="0" w:evenVBand="0" w:oddHBand="0" w:evenHBand="0" w:firstRowFirstColumn="0" w:firstRowLastColumn="0" w:lastRowFirstColumn="0" w:lastRowLastColumn="0"/>
            </w:pPr>
            <w:r>
              <w:t>2 254</w:t>
            </w:r>
          </w:p>
        </w:tc>
        <w:tc>
          <w:tcPr>
            <w:tcW w:w="901" w:type="dxa"/>
            <w:tcBorders>
              <w:bottom w:val="single" w:sz="12" w:space="0" w:color="auto"/>
            </w:tcBorders>
          </w:tcPr>
          <w:p w14:paraId="377774ED" w14:textId="77777777" w:rsidR="004D42F9" w:rsidRDefault="004D42F9">
            <w:pPr>
              <w:cnfStyle w:val="000000000000" w:firstRow="0" w:lastRow="0" w:firstColumn="0" w:lastColumn="0" w:oddVBand="0" w:evenVBand="0" w:oddHBand="0" w:evenHBand="0" w:firstRowFirstColumn="0" w:firstRowLastColumn="0" w:lastRowFirstColumn="0" w:lastRowLastColumn="0"/>
            </w:pPr>
            <w:r>
              <w:t>1 048</w:t>
            </w:r>
          </w:p>
        </w:tc>
        <w:tc>
          <w:tcPr>
            <w:tcW w:w="902" w:type="dxa"/>
            <w:tcBorders>
              <w:bottom w:val="single" w:sz="12" w:space="0" w:color="auto"/>
            </w:tcBorders>
          </w:tcPr>
          <w:p w14:paraId="7CCD6E27" w14:textId="77777777" w:rsidR="004D42F9" w:rsidRDefault="004D42F9">
            <w:pPr>
              <w:cnfStyle w:val="000000000000" w:firstRow="0" w:lastRow="0" w:firstColumn="0" w:lastColumn="0" w:oddVBand="0" w:evenVBand="0" w:oddHBand="0" w:evenHBand="0" w:firstRowFirstColumn="0" w:firstRowLastColumn="0" w:lastRowFirstColumn="0" w:lastRowLastColumn="0"/>
            </w:pPr>
            <w:r>
              <w:t>771</w:t>
            </w:r>
          </w:p>
        </w:tc>
      </w:tr>
    </w:tbl>
    <w:p w14:paraId="75908F53" w14:textId="77777777" w:rsidR="004D42F9" w:rsidRDefault="004D42F9" w:rsidP="004D42F9"/>
    <w:p w14:paraId="45D74F93" w14:textId="77777777" w:rsidR="004D42F9" w:rsidRDefault="004D42F9" w:rsidP="004D42F9">
      <w:r>
        <w:t>Receivables consist of:</w:t>
      </w:r>
    </w:p>
    <w:p w14:paraId="70148DF2" w14:textId="77777777" w:rsidR="004D42F9" w:rsidRPr="008B2338" w:rsidRDefault="004D42F9" w:rsidP="004D42F9">
      <w:pPr>
        <w:pStyle w:val="ListBullet"/>
        <w:keepLines/>
        <w:numPr>
          <w:ilvl w:val="0"/>
          <w:numId w:val="27"/>
        </w:numPr>
      </w:pPr>
      <w:r w:rsidRPr="008B2338">
        <w:t>contractual receivables, classified as financial instruments</w:t>
      </w:r>
    </w:p>
    <w:p w14:paraId="5F966B0F" w14:textId="77777777" w:rsidR="004D42F9" w:rsidRPr="008B2338" w:rsidRDefault="004D42F9" w:rsidP="004D42F9">
      <w:pPr>
        <w:pStyle w:val="ListBullet"/>
        <w:keepLines/>
        <w:numPr>
          <w:ilvl w:val="0"/>
          <w:numId w:val="27"/>
        </w:numPr>
      </w:pPr>
      <w:r w:rsidRPr="008B2338">
        <w:t>statutory receivables that do not arise from contracts</w:t>
      </w:r>
    </w:p>
    <w:p w14:paraId="2895F8E4" w14:textId="77777777" w:rsidR="004D42F9" w:rsidRPr="008B2338" w:rsidRDefault="004D42F9" w:rsidP="004D42F9">
      <w:pPr>
        <w:pStyle w:val="ListBullet"/>
        <w:keepLines/>
        <w:numPr>
          <w:ilvl w:val="0"/>
          <w:numId w:val="27"/>
        </w:numPr>
      </w:pPr>
      <w:r w:rsidRPr="008B2338">
        <w:t>other actuarially determined receivables</w:t>
      </w:r>
    </w:p>
    <w:p w14:paraId="1C79FF86" w14:textId="77777777" w:rsidR="004D42F9" w:rsidRPr="008B2338" w:rsidRDefault="004D42F9" w:rsidP="004D42F9">
      <w:pPr>
        <w:pStyle w:val="ListBullet"/>
        <w:keepLines/>
        <w:numPr>
          <w:ilvl w:val="0"/>
          <w:numId w:val="27"/>
        </w:numPr>
      </w:pPr>
      <w:r w:rsidRPr="008B2338">
        <w:t>contract assets.</w:t>
      </w:r>
    </w:p>
    <w:p w14:paraId="780AADE5" w14:textId="77777777" w:rsidR="008623A6" w:rsidRDefault="008623A6" w:rsidP="004D42F9">
      <w:pPr>
        <w:rPr>
          <w:b/>
          <w:bCs/>
        </w:rPr>
        <w:sectPr w:rsidR="008623A6" w:rsidSect="008623A6">
          <w:type w:val="continuous"/>
          <w:pgSz w:w="11906" w:h="16838" w:code="9"/>
          <w:pgMar w:top="1134" w:right="1134" w:bottom="1134" w:left="1134" w:header="624" w:footer="567" w:gutter="0"/>
          <w:cols w:space="708"/>
          <w:docGrid w:linePitch="360"/>
        </w:sectPr>
      </w:pPr>
    </w:p>
    <w:p w14:paraId="0F4C701B" w14:textId="77777777" w:rsidR="004D42F9" w:rsidRPr="00FC4BE6" w:rsidRDefault="004D42F9" w:rsidP="004D42F9">
      <w:r w:rsidRPr="00FC4BE6">
        <w:rPr>
          <w:b/>
          <w:bCs/>
        </w:rPr>
        <w:t>Contractual receivables</w:t>
      </w:r>
      <w:r w:rsidRPr="00FC4BE6">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6.1).</w:t>
      </w:r>
    </w:p>
    <w:p w14:paraId="027566AC" w14:textId="0ABE3AE9" w:rsidR="004D42F9" w:rsidRPr="00FC4BE6" w:rsidRDefault="004D42F9" w:rsidP="004D42F9">
      <w:r w:rsidRPr="00FC4BE6">
        <w:rPr>
          <w:b/>
          <w:bCs/>
        </w:rPr>
        <w:t>Contract assets</w:t>
      </w:r>
      <w:r w:rsidRPr="00FC4BE6">
        <w:t xml:space="preserve"> relate to the State</w:t>
      </w:r>
      <w:r w:rsidR="00845934">
        <w:t>’</w:t>
      </w:r>
      <w:r w:rsidRPr="00FC4BE6">
        <w:t>s right to consideration in exchange for goods transferred to customers for works completed, but not yet billed at the reporting date. The contract assets are transferred to receivables when the State issues an invoice to the customer.</w:t>
      </w:r>
    </w:p>
    <w:p w14:paraId="6CF08410" w14:textId="77777777" w:rsidR="004D42F9" w:rsidRDefault="004D42F9" w:rsidP="004D42F9">
      <w:r w:rsidRPr="00E961F5">
        <w:rPr>
          <w:b/>
          <w:bCs/>
        </w:rPr>
        <w:t>Statutory receivables</w:t>
      </w:r>
      <w:r>
        <w:t xml:space="preserve"> are recognised and measured similarly to contractual receivables but are not classified as financial instruments because they do not arise from contracts.</w:t>
      </w:r>
    </w:p>
    <w:p w14:paraId="620740C4" w14:textId="77777777" w:rsidR="004D42F9" w:rsidRDefault="004D42F9" w:rsidP="004D42F9">
      <w:r w:rsidRPr="00E961F5">
        <w:rPr>
          <w:b/>
          <w:bCs/>
        </w:rPr>
        <w:t>Allowance for impairment losses</w:t>
      </w:r>
      <w:r>
        <w:t xml:space="preserve">: the State applies the simplified approach under AASB 9 for all contractual receivables and statutory receivables to measure expected credit losses using a lifetime expected loss allowance based on the assumptions about risk default and expected loss rates. </w:t>
      </w:r>
    </w:p>
    <w:p w14:paraId="4B4C7FC9" w14:textId="77777777" w:rsidR="004D42F9" w:rsidRDefault="004D42F9" w:rsidP="004D42F9">
      <w:r>
        <w:t xml:space="preserve">The expected loss rate is based on past history, existing market conditions as well as forward-looking estimates at the end of the financial year. </w:t>
      </w:r>
    </w:p>
    <w:p w14:paraId="4CBE2646" w14:textId="77777777" w:rsidR="008623A6" w:rsidRDefault="008623A6" w:rsidP="004D42F9">
      <w:pPr>
        <w:keepLines w:val="0"/>
        <w:sectPr w:rsidR="008623A6" w:rsidSect="008623A6">
          <w:type w:val="continuous"/>
          <w:pgSz w:w="11906" w:h="16838" w:code="9"/>
          <w:pgMar w:top="1134" w:right="1134" w:bottom="1134" w:left="1134" w:header="624" w:footer="567" w:gutter="0"/>
          <w:cols w:num="2" w:space="708"/>
          <w:docGrid w:linePitch="360"/>
        </w:sectPr>
      </w:pPr>
    </w:p>
    <w:p w14:paraId="50CF2107" w14:textId="77777777" w:rsidR="004D42F9" w:rsidRDefault="004D42F9" w:rsidP="004D42F9">
      <w:pPr>
        <w:keepLines w:val="0"/>
        <w:rPr>
          <w:rFonts w:asciiTheme="majorHAnsi" w:eastAsiaTheme="majorEastAsia" w:hAnsiTheme="majorHAnsi" w:cstheme="majorBidi"/>
          <w:b/>
          <w:sz w:val="27"/>
          <w:szCs w:val="26"/>
        </w:rPr>
      </w:pPr>
      <w:r>
        <w:br w:type="page"/>
      </w:r>
    </w:p>
    <w:p w14:paraId="3532EFAC" w14:textId="77777777" w:rsidR="004D42F9" w:rsidRDefault="004D42F9" w:rsidP="004D42F9">
      <w:pPr>
        <w:pStyle w:val="Heading2"/>
      </w:pPr>
      <w:bookmarkStart w:id="70" w:name="_Toc209476167"/>
      <w:r>
        <w:lastRenderedPageBreak/>
        <w:t>2.8</w:t>
      </w:r>
      <w:r>
        <w:tab/>
        <w:t>Other liabilities</w:t>
      </w:r>
      <w:bookmarkEnd w:id="70"/>
      <w:r>
        <w:t xml:space="preserve"> </w:t>
      </w:r>
    </w:p>
    <w:p w14:paraId="7E21630F" w14:textId="77777777" w:rsidR="004D42F9" w:rsidRPr="00CE3CD4"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Other_liabilities"/>
      </w:tblPr>
      <w:tblGrid>
        <w:gridCol w:w="6005"/>
        <w:gridCol w:w="908"/>
        <w:gridCol w:w="908"/>
        <w:gridCol w:w="908"/>
        <w:gridCol w:w="909"/>
      </w:tblGrid>
      <w:tr w:rsidR="004D42F9" w14:paraId="3AD9B54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61E244E3" w14:textId="77777777" w:rsidR="004D42F9" w:rsidRDefault="004D42F9">
            <w:pPr>
              <w:keepNext/>
            </w:pPr>
          </w:p>
        </w:tc>
        <w:tc>
          <w:tcPr>
            <w:tcW w:w="1816" w:type="dxa"/>
            <w:gridSpan w:val="2"/>
          </w:tcPr>
          <w:p w14:paraId="40799DD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14A9381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4F1D48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4D0C4659" w14:textId="77777777" w:rsidR="004D42F9" w:rsidRDefault="004D42F9">
            <w:pPr>
              <w:keepNext/>
            </w:pPr>
          </w:p>
        </w:tc>
        <w:tc>
          <w:tcPr>
            <w:tcW w:w="908" w:type="dxa"/>
          </w:tcPr>
          <w:p w14:paraId="6AF3B13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8" w:type="dxa"/>
          </w:tcPr>
          <w:p w14:paraId="21E1EEC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8" w:type="dxa"/>
          </w:tcPr>
          <w:p w14:paraId="739349A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9" w:type="dxa"/>
          </w:tcPr>
          <w:p w14:paraId="747D45F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B5501A8" w14:textId="77777777">
        <w:tc>
          <w:tcPr>
            <w:cnfStyle w:val="001000000000" w:firstRow="0" w:lastRow="0" w:firstColumn="1" w:lastColumn="0" w:oddVBand="0" w:evenVBand="0" w:oddHBand="0" w:evenHBand="0" w:firstRowFirstColumn="0" w:firstRowLastColumn="0" w:lastRowFirstColumn="0" w:lastRowLastColumn="0"/>
            <w:tcW w:w="6005" w:type="dxa"/>
          </w:tcPr>
          <w:p w14:paraId="4C71D5CA" w14:textId="77777777" w:rsidR="004D42F9" w:rsidRDefault="004D42F9">
            <w:r>
              <w:t>Contract liabilities</w:t>
            </w:r>
          </w:p>
        </w:tc>
        <w:tc>
          <w:tcPr>
            <w:tcW w:w="908" w:type="dxa"/>
          </w:tcPr>
          <w:p w14:paraId="4623956D" w14:textId="77777777" w:rsidR="004D42F9" w:rsidRDefault="004D42F9">
            <w:pPr>
              <w:cnfStyle w:val="000000000000" w:firstRow="0" w:lastRow="0" w:firstColumn="0" w:lastColumn="0" w:oddVBand="0" w:evenVBand="0" w:oddHBand="0" w:evenHBand="0" w:firstRowFirstColumn="0" w:firstRowLastColumn="0" w:lastRowFirstColumn="0" w:lastRowLastColumn="0"/>
            </w:pPr>
            <w:r>
              <w:t>661</w:t>
            </w:r>
          </w:p>
        </w:tc>
        <w:tc>
          <w:tcPr>
            <w:tcW w:w="908" w:type="dxa"/>
          </w:tcPr>
          <w:p w14:paraId="5E2857C7" w14:textId="77777777" w:rsidR="004D42F9" w:rsidRDefault="004D42F9">
            <w:pPr>
              <w:cnfStyle w:val="000000000000" w:firstRow="0" w:lastRow="0" w:firstColumn="0" w:lastColumn="0" w:oddVBand="0" w:evenVBand="0" w:oddHBand="0" w:evenHBand="0" w:firstRowFirstColumn="0" w:firstRowLastColumn="0" w:lastRowFirstColumn="0" w:lastRowLastColumn="0"/>
            </w:pPr>
            <w:r>
              <w:t>724</w:t>
            </w:r>
          </w:p>
        </w:tc>
        <w:tc>
          <w:tcPr>
            <w:tcW w:w="908" w:type="dxa"/>
          </w:tcPr>
          <w:p w14:paraId="4CBC5DAF" w14:textId="77777777" w:rsidR="004D42F9" w:rsidRDefault="004D42F9">
            <w:pPr>
              <w:cnfStyle w:val="000000000000" w:firstRow="0" w:lastRow="0" w:firstColumn="0" w:lastColumn="0" w:oddVBand="0" w:evenVBand="0" w:oddHBand="0" w:evenHBand="0" w:firstRowFirstColumn="0" w:firstRowLastColumn="0" w:lastRowFirstColumn="0" w:lastRowLastColumn="0"/>
            </w:pPr>
            <w:r>
              <w:t>435</w:t>
            </w:r>
          </w:p>
        </w:tc>
        <w:tc>
          <w:tcPr>
            <w:tcW w:w="909" w:type="dxa"/>
          </w:tcPr>
          <w:p w14:paraId="7162EE18" w14:textId="77777777" w:rsidR="004D42F9" w:rsidRDefault="004D42F9">
            <w:pPr>
              <w:cnfStyle w:val="000000000000" w:firstRow="0" w:lastRow="0" w:firstColumn="0" w:lastColumn="0" w:oddVBand="0" w:evenVBand="0" w:oddHBand="0" w:evenHBand="0" w:firstRowFirstColumn="0" w:firstRowLastColumn="0" w:lastRowFirstColumn="0" w:lastRowLastColumn="0"/>
            </w:pPr>
            <w:r>
              <w:t>477</w:t>
            </w:r>
          </w:p>
        </w:tc>
      </w:tr>
      <w:tr w:rsidR="004D42F9" w14:paraId="7E7E92EA" w14:textId="77777777">
        <w:tc>
          <w:tcPr>
            <w:cnfStyle w:val="001000000000" w:firstRow="0" w:lastRow="0" w:firstColumn="1" w:lastColumn="0" w:oddVBand="0" w:evenVBand="0" w:oddHBand="0" w:evenHBand="0" w:firstRowFirstColumn="0" w:firstRowLastColumn="0" w:lastRowFirstColumn="0" w:lastRowLastColumn="0"/>
            <w:tcW w:w="6005" w:type="dxa"/>
          </w:tcPr>
          <w:p w14:paraId="072D7C73" w14:textId="77777777" w:rsidR="004D42F9" w:rsidRDefault="004D42F9">
            <w:r>
              <w:t>Grant of a right to the operator liability</w:t>
            </w:r>
          </w:p>
        </w:tc>
        <w:tc>
          <w:tcPr>
            <w:tcW w:w="908" w:type="dxa"/>
          </w:tcPr>
          <w:p w14:paraId="770C0956" w14:textId="77777777" w:rsidR="004D42F9" w:rsidRDefault="004D42F9">
            <w:pPr>
              <w:cnfStyle w:val="000000000000" w:firstRow="0" w:lastRow="0" w:firstColumn="0" w:lastColumn="0" w:oddVBand="0" w:evenVBand="0" w:oddHBand="0" w:evenHBand="0" w:firstRowFirstColumn="0" w:firstRowLastColumn="0" w:lastRowFirstColumn="0" w:lastRowLastColumn="0"/>
            </w:pPr>
            <w:r>
              <w:t>20 245</w:t>
            </w:r>
          </w:p>
        </w:tc>
        <w:tc>
          <w:tcPr>
            <w:tcW w:w="908" w:type="dxa"/>
          </w:tcPr>
          <w:p w14:paraId="23CF25F9" w14:textId="77777777" w:rsidR="004D42F9" w:rsidRDefault="004D42F9">
            <w:pPr>
              <w:cnfStyle w:val="000000000000" w:firstRow="0" w:lastRow="0" w:firstColumn="0" w:lastColumn="0" w:oddVBand="0" w:evenVBand="0" w:oddHBand="0" w:evenHBand="0" w:firstRowFirstColumn="0" w:firstRowLastColumn="0" w:lastRowFirstColumn="0" w:lastRowLastColumn="0"/>
            </w:pPr>
            <w:r>
              <w:t>20 175</w:t>
            </w:r>
          </w:p>
        </w:tc>
        <w:tc>
          <w:tcPr>
            <w:tcW w:w="908" w:type="dxa"/>
          </w:tcPr>
          <w:p w14:paraId="5CF09381" w14:textId="77777777" w:rsidR="004D42F9" w:rsidRDefault="004D42F9">
            <w:pPr>
              <w:cnfStyle w:val="000000000000" w:firstRow="0" w:lastRow="0" w:firstColumn="0" w:lastColumn="0" w:oddVBand="0" w:evenVBand="0" w:oddHBand="0" w:evenHBand="0" w:firstRowFirstColumn="0" w:firstRowLastColumn="0" w:lastRowFirstColumn="0" w:lastRowLastColumn="0"/>
            </w:pPr>
            <w:r>
              <w:t>20 125</w:t>
            </w:r>
          </w:p>
        </w:tc>
        <w:tc>
          <w:tcPr>
            <w:tcW w:w="909" w:type="dxa"/>
          </w:tcPr>
          <w:p w14:paraId="145791BC" w14:textId="77777777" w:rsidR="004D42F9" w:rsidRDefault="004D42F9">
            <w:pPr>
              <w:cnfStyle w:val="000000000000" w:firstRow="0" w:lastRow="0" w:firstColumn="0" w:lastColumn="0" w:oddVBand="0" w:evenVBand="0" w:oddHBand="0" w:evenHBand="0" w:firstRowFirstColumn="0" w:firstRowLastColumn="0" w:lastRowFirstColumn="0" w:lastRowLastColumn="0"/>
            </w:pPr>
            <w:r>
              <w:t>20 089</w:t>
            </w:r>
          </w:p>
        </w:tc>
      </w:tr>
      <w:tr w:rsidR="004D42F9" w14:paraId="30133440" w14:textId="77777777">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58D70EFF" w14:textId="77777777" w:rsidR="004D42F9" w:rsidRDefault="004D42F9">
            <w:r>
              <w:t>Unearned income</w:t>
            </w:r>
          </w:p>
        </w:tc>
        <w:tc>
          <w:tcPr>
            <w:tcW w:w="908" w:type="dxa"/>
            <w:tcBorders>
              <w:bottom w:val="single" w:sz="6" w:space="0" w:color="auto"/>
            </w:tcBorders>
          </w:tcPr>
          <w:p w14:paraId="4D672D5E" w14:textId="77777777" w:rsidR="004D42F9" w:rsidRDefault="004D42F9">
            <w:pPr>
              <w:cnfStyle w:val="000000000000" w:firstRow="0" w:lastRow="0" w:firstColumn="0" w:lastColumn="0" w:oddVBand="0" w:evenVBand="0" w:oddHBand="0" w:evenHBand="0" w:firstRowFirstColumn="0" w:firstRowLastColumn="0" w:lastRowFirstColumn="0" w:lastRowLastColumn="0"/>
            </w:pPr>
            <w:r>
              <w:t>11 810</w:t>
            </w:r>
          </w:p>
        </w:tc>
        <w:tc>
          <w:tcPr>
            <w:tcW w:w="908" w:type="dxa"/>
            <w:tcBorders>
              <w:bottom w:val="single" w:sz="6" w:space="0" w:color="auto"/>
            </w:tcBorders>
          </w:tcPr>
          <w:p w14:paraId="0A445C19" w14:textId="77777777" w:rsidR="004D42F9" w:rsidRDefault="004D42F9">
            <w:pPr>
              <w:cnfStyle w:val="000000000000" w:firstRow="0" w:lastRow="0" w:firstColumn="0" w:lastColumn="0" w:oddVBand="0" w:evenVBand="0" w:oddHBand="0" w:evenHBand="0" w:firstRowFirstColumn="0" w:firstRowLastColumn="0" w:lastRowFirstColumn="0" w:lastRowLastColumn="0"/>
            </w:pPr>
            <w:r>
              <w:t>11 710</w:t>
            </w:r>
          </w:p>
        </w:tc>
        <w:tc>
          <w:tcPr>
            <w:tcW w:w="908" w:type="dxa"/>
            <w:tcBorders>
              <w:bottom w:val="single" w:sz="6" w:space="0" w:color="auto"/>
            </w:tcBorders>
          </w:tcPr>
          <w:p w14:paraId="7B8DE29A" w14:textId="77777777" w:rsidR="004D42F9" w:rsidRDefault="004D42F9">
            <w:pPr>
              <w:cnfStyle w:val="000000000000" w:firstRow="0" w:lastRow="0" w:firstColumn="0" w:lastColumn="0" w:oddVBand="0" w:evenVBand="0" w:oddHBand="0" w:evenHBand="0" w:firstRowFirstColumn="0" w:firstRowLastColumn="0" w:lastRowFirstColumn="0" w:lastRowLastColumn="0"/>
            </w:pPr>
            <w:r>
              <w:t>1 910</w:t>
            </w:r>
          </w:p>
        </w:tc>
        <w:tc>
          <w:tcPr>
            <w:tcW w:w="909" w:type="dxa"/>
            <w:tcBorders>
              <w:bottom w:val="single" w:sz="6" w:space="0" w:color="auto"/>
            </w:tcBorders>
          </w:tcPr>
          <w:p w14:paraId="0D3B1EA4" w14:textId="77777777" w:rsidR="004D42F9" w:rsidRDefault="004D42F9">
            <w:pPr>
              <w:cnfStyle w:val="000000000000" w:firstRow="0" w:lastRow="0" w:firstColumn="0" w:lastColumn="0" w:oddVBand="0" w:evenVBand="0" w:oddHBand="0" w:evenHBand="0" w:firstRowFirstColumn="0" w:firstRowLastColumn="0" w:lastRowFirstColumn="0" w:lastRowLastColumn="0"/>
            </w:pPr>
            <w:r>
              <w:t>1 846</w:t>
            </w:r>
          </w:p>
        </w:tc>
      </w:tr>
      <w:tr w:rsidR="004D42F9" w14:paraId="1BEE9789"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6BC83757" w14:textId="77777777" w:rsidR="004D42F9" w:rsidRDefault="004D42F9">
            <w:r>
              <w:rPr>
                <w:b/>
              </w:rPr>
              <w:t>Total other liabilities</w:t>
            </w:r>
          </w:p>
        </w:tc>
        <w:tc>
          <w:tcPr>
            <w:tcW w:w="908" w:type="dxa"/>
            <w:tcBorders>
              <w:top w:val="single" w:sz="6" w:space="0" w:color="auto"/>
              <w:bottom w:val="single" w:sz="12" w:space="0" w:color="auto"/>
            </w:tcBorders>
          </w:tcPr>
          <w:p w14:paraId="7AFFF85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32 717</w:t>
            </w:r>
          </w:p>
        </w:tc>
        <w:tc>
          <w:tcPr>
            <w:tcW w:w="908" w:type="dxa"/>
            <w:tcBorders>
              <w:top w:val="single" w:sz="6" w:space="0" w:color="auto"/>
              <w:bottom w:val="single" w:sz="12" w:space="0" w:color="auto"/>
            </w:tcBorders>
          </w:tcPr>
          <w:p w14:paraId="48E8206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32 609</w:t>
            </w:r>
          </w:p>
        </w:tc>
        <w:tc>
          <w:tcPr>
            <w:tcW w:w="908" w:type="dxa"/>
            <w:tcBorders>
              <w:top w:val="single" w:sz="6" w:space="0" w:color="auto"/>
              <w:bottom w:val="single" w:sz="12" w:space="0" w:color="auto"/>
            </w:tcBorders>
          </w:tcPr>
          <w:p w14:paraId="0C305C8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22 470</w:t>
            </w:r>
          </w:p>
        </w:tc>
        <w:tc>
          <w:tcPr>
            <w:tcW w:w="909" w:type="dxa"/>
            <w:tcBorders>
              <w:top w:val="single" w:sz="6" w:space="0" w:color="auto"/>
              <w:bottom w:val="single" w:sz="12" w:space="0" w:color="auto"/>
            </w:tcBorders>
          </w:tcPr>
          <w:p w14:paraId="365953B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22 411</w:t>
            </w:r>
          </w:p>
        </w:tc>
      </w:tr>
      <w:tr w:rsidR="004D42F9" w14:paraId="790ABBFD"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0" w:space="0" w:color="auto"/>
            </w:tcBorders>
          </w:tcPr>
          <w:p w14:paraId="2B3831BF" w14:textId="77777777" w:rsidR="004D42F9" w:rsidRDefault="004D42F9">
            <w:r>
              <w:rPr>
                <w:b/>
              </w:rPr>
              <w:t>Represented by:</w:t>
            </w:r>
          </w:p>
        </w:tc>
        <w:tc>
          <w:tcPr>
            <w:tcW w:w="908" w:type="dxa"/>
            <w:tcBorders>
              <w:top w:val="single" w:sz="0" w:space="0" w:color="auto"/>
            </w:tcBorders>
          </w:tcPr>
          <w:p w14:paraId="25D9311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183D553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03FADD4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Borders>
              <w:top w:val="single" w:sz="0" w:space="0" w:color="auto"/>
            </w:tcBorders>
          </w:tcPr>
          <w:p w14:paraId="4A06918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A4A1AE5" w14:textId="77777777">
        <w:tc>
          <w:tcPr>
            <w:cnfStyle w:val="001000000000" w:firstRow="0" w:lastRow="0" w:firstColumn="1" w:lastColumn="0" w:oddVBand="0" w:evenVBand="0" w:oddHBand="0" w:evenHBand="0" w:firstRowFirstColumn="0" w:firstRowLastColumn="0" w:lastRowFirstColumn="0" w:lastRowLastColumn="0"/>
            <w:tcW w:w="6005" w:type="dxa"/>
          </w:tcPr>
          <w:p w14:paraId="2BDADD16" w14:textId="77777777" w:rsidR="004D42F9" w:rsidRDefault="004D42F9">
            <w:r>
              <w:t>Current other liabilities</w:t>
            </w:r>
          </w:p>
        </w:tc>
        <w:tc>
          <w:tcPr>
            <w:tcW w:w="908" w:type="dxa"/>
          </w:tcPr>
          <w:p w14:paraId="0660585B" w14:textId="77777777" w:rsidR="004D42F9" w:rsidRDefault="004D42F9">
            <w:pPr>
              <w:cnfStyle w:val="000000000000" w:firstRow="0" w:lastRow="0" w:firstColumn="0" w:lastColumn="0" w:oddVBand="0" w:evenVBand="0" w:oddHBand="0" w:evenHBand="0" w:firstRowFirstColumn="0" w:firstRowLastColumn="0" w:lastRowFirstColumn="0" w:lastRowLastColumn="0"/>
            </w:pPr>
            <w:r>
              <w:t>3 238</w:t>
            </w:r>
          </w:p>
        </w:tc>
        <w:tc>
          <w:tcPr>
            <w:tcW w:w="908" w:type="dxa"/>
          </w:tcPr>
          <w:p w14:paraId="392A59D9" w14:textId="77777777" w:rsidR="004D42F9" w:rsidRDefault="004D42F9">
            <w:pPr>
              <w:cnfStyle w:val="000000000000" w:firstRow="0" w:lastRow="0" w:firstColumn="0" w:lastColumn="0" w:oddVBand="0" w:evenVBand="0" w:oddHBand="0" w:evenHBand="0" w:firstRowFirstColumn="0" w:firstRowLastColumn="0" w:lastRowFirstColumn="0" w:lastRowLastColumn="0"/>
            </w:pPr>
            <w:r>
              <w:t>3 244</w:t>
            </w:r>
          </w:p>
        </w:tc>
        <w:tc>
          <w:tcPr>
            <w:tcW w:w="908" w:type="dxa"/>
          </w:tcPr>
          <w:p w14:paraId="28C5BBEA" w14:textId="77777777" w:rsidR="004D42F9" w:rsidRDefault="004D42F9">
            <w:pPr>
              <w:cnfStyle w:val="000000000000" w:firstRow="0" w:lastRow="0" w:firstColumn="0" w:lastColumn="0" w:oddVBand="0" w:evenVBand="0" w:oddHBand="0" w:evenHBand="0" w:firstRowFirstColumn="0" w:firstRowLastColumn="0" w:lastRowFirstColumn="0" w:lastRowLastColumn="0"/>
            </w:pPr>
            <w:r>
              <w:t>1 736</w:t>
            </w:r>
          </w:p>
        </w:tc>
        <w:tc>
          <w:tcPr>
            <w:tcW w:w="909" w:type="dxa"/>
          </w:tcPr>
          <w:p w14:paraId="44C6D0EE" w14:textId="77777777" w:rsidR="004D42F9" w:rsidRDefault="004D42F9">
            <w:pPr>
              <w:cnfStyle w:val="000000000000" w:firstRow="0" w:lastRow="0" w:firstColumn="0" w:lastColumn="0" w:oddVBand="0" w:evenVBand="0" w:oddHBand="0" w:evenHBand="0" w:firstRowFirstColumn="0" w:firstRowLastColumn="0" w:lastRowFirstColumn="0" w:lastRowLastColumn="0"/>
            </w:pPr>
            <w:r>
              <w:t>1 680</w:t>
            </w:r>
          </w:p>
        </w:tc>
      </w:tr>
      <w:tr w:rsidR="004D42F9" w14:paraId="24B0A15C" w14:textId="77777777">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27F69444" w14:textId="77777777" w:rsidR="004D42F9" w:rsidRDefault="004D42F9">
            <w:r>
              <w:t>Non</w:t>
            </w:r>
            <w:r>
              <w:noBreakHyphen/>
              <w:t>current other liabilities</w:t>
            </w:r>
          </w:p>
        </w:tc>
        <w:tc>
          <w:tcPr>
            <w:tcW w:w="908" w:type="dxa"/>
            <w:tcBorders>
              <w:bottom w:val="single" w:sz="12" w:space="0" w:color="auto"/>
            </w:tcBorders>
          </w:tcPr>
          <w:p w14:paraId="39A2BCB6" w14:textId="77777777" w:rsidR="004D42F9" w:rsidRDefault="004D42F9">
            <w:pPr>
              <w:cnfStyle w:val="000000000000" w:firstRow="0" w:lastRow="0" w:firstColumn="0" w:lastColumn="0" w:oddVBand="0" w:evenVBand="0" w:oddHBand="0" w:evenHBand="0" w:firstRowFirstColumn="0" w:firstRowLastColumn="0" w:lastRowFirstColumn="0" w:lastRowLastColumn="0"/>
            </w:pPr>
            <w:r>
              <w:t>29 479</w:t>
            </w:r>
          </w:p>
        </w:tc>
        <w:tc>
          <w:tcPr>
            <w:tcW w:w="908" w:type="dxa"/>
            <w:tcBorders>
              <w:bottom w:val="single" w:sz="12" w:space="0" w:color="auto"/>
            </w:tcBorders>
          </w:tcPr>
          <w:p w14:paraId="332E5AF3" w14:textId="77777777" w:rsidR="004D42F9" w:rsidRDefault="004D42F9">
            <w:pPr>
              <w:cnfStyle w:val="000000000000" w:firstRow="0" w:lastRow="0" w:firstColumn="0" w:lastColumn="0" w:oddVBand="0" w:evenVBand="0" w:oddHBand="0" w:evenHBand="0" w:firstRowFirstColumn="0" w:firstRowLastColumn="0" w:lastRowFirstColumn="0" w:lastRowLastColumn="0"/>
            </w:pPr>
            <w:r>
              <w:t>29 365</w:t>
            </w:r>
          </w:p>
        </w:tc>
        <w:tc>
          <w:tcPr>
            <w:tcW w:w="908" w:type="dxa"/>
            <w:tcBorders>
              <w:bottom w:val="single" w:sz="12" w:space="0" w:color="auto"/>
            </w:tcBorders>
          </w:tcPr>
          <w:p w14:paraId="1463E509" w14:textId="77777777" w:rsidR="004D42F9" w:rsidRDefault="004D42F9">
            <w:pPr>
              <w:cnfStyle w:val="000000000000" w:firstRow="0" w:lastRow="0" w:firstColumn="0" w:lastColumn="0" w:oddVBand="0" w:evenVBand="0" w:oddHBand="0" w:evenHBand="0" w:firstRowFirstColumn="0" w:firstRowLastColumn="0" w:lastRowFirstColumn="0" w:lastRowLastColumn="0"/>
            </w:pPr>
            <w:r>
              <w:t>20 734</w:t>
            </w:r>
          </w:p>
        </w:tc>
        <w:tc>
          <w:tcPr>
            <w:tcW w:w="909" w:type="dxa"/>
            <w:tcBorders>
              <w:bottom w:val="single" w:sz="12" w:space="0" w:color="auto"/>
            </w:tcBorders>
          </w:tcPr>
          <w:p w14:paraId="57564C0E" w14:textId="77777777" w:rsidR="004D42F9" w:rsidRDefault="004D42F9">
            <w:pPr>
              <w:cnfStyle w:val="000000000000" w:firstRow="0" w:lastRow="0" w:firstColumn="0" w:lastColumn="0" w:oddVBand="0" w:evenVBand="0" w:oddHBand="0" w:evenHBand="0" w:firstRowFirstColumn="0" w:firstRowLastColumn="0" w:lastRowFirstColumn="0" w:lastRowLastColumn="0"/>
            </w:pPr>
            <w:r>
              <w:t>20 732</w:t>
            </w:r>
          </w:p>
        </w:tc>
      </w:tr>
    </w:tbl>
    <w:p w14:paraId="272B0BF5" w14:textId="77777777" w:rsidR="004D42F9" w:rsidRPr="00FC4BE6" w:rsidRDefault="004D42F9" w:rsidP="004D42F9"/>
    <w:p w14:paraId="783900A7" w14:textId="77777777" w:rsidR="008623A6" w:rsidRDefault="008623A6" w:rsidP="004D42F9">
      <w:pPr>
        <w:rPr>
          <w:b/>
          <w:bCs/>
        </w:rPr>
        <w:sectPr w:rsidR="008623A6" w:rsidSect="008623A6">
          <w:type w:val="continuous"/>
          <w:pgSz w:w="11906" w:h="16838" w:code="9"/>
          <w:pgMar w:top="1134" w:right="1134" w:bottom="1134" w:left="1134" w:header="624" w:footer="567" w:gutter="0"/>
          <w:cols w:space="708"/>
          <w:docGrid w:linePitch="360"/>
        </w:sectPr>
      </w:pPr>
    </w:p>
    <w:p w14:paraId="39767F0F" w14:textId="59E16297" w:rsidR="004D42F9" w:rsidRDefault="004D42F9" w:rsidP="004D42F9">
      <w:r w:rsidRPr="00C53584">
        <w:rPr>
          <w:b/>
          <w:bCs/>
        </w:rPr>
        <w:t>Contract liabilities</w:t>
      </w:r>
      <w:r>
        <w:t xml:space="preserve"> relate to consideration received in advance from customers in which set performance obligations have not yet been satisfied at the end of the reporting </w:t>
      </w:r>
      <w:r w:rsidRPr="00F84EA9">
        <w:t xml:space="preserve">period. The revenue is expected to be recognised in future periods as the performance obligations are satisfied </w:t>
      </w:r>
      <w:r w:rsidRPr="00A22710">
        <w:t>(</w:t>
      </w:r>
      <w:r w:rsidRPr="00251DEB">
        <w:t>Note</w:t>
      </w:r>
      <w:r w:rsidR="00F35ABA">
        <w:t>s</w:t>
      </w:r>
      <w:r w:rsidRPr="00251DEB">
        <w:t xml:space="preserve"> 2.4 and 2.6).</w:t>
      </w:r>
    </w:p>
    <w:p w14:paraId="11F5401D" w14:textId="77777777" w:rsidR="004D42F9" w:rsidRPr="00C12CE5" w:rsidRDefault="004D42F9" w:rsidP="004D42F9">
      <w:r w:rsidRPr="00BD6A51">
        <w:rPr>
          <w:b/>
          <w:bCs/>
        </w:rPr>
        <w:t>Unearned income</w:t>
      </w:r>
      <w:r>
        <w:t xml:space="preserve"> comprises upfront fees received for the medium-term lease over the Port of Melbourne, unearned insurance premiums received and upfront licence revenue. This unearned income is recognised progressively as revenue over the term of the relevant arrangements.</w:t>
      </w:r>
    </w:p>
    <w:p w14:paraId="08A94DF6" w14:textId="2357993D" w:rsidR="004D42F9" w:rsidRDefault="008623A6" w:rsidP="004D42F9">
      <w:r>
        <w:rPr>
          <w:b/>
          <w:bCs/>
        </w:rPr>
        <w:br w:type="column"/>
      </w:r>
      <w:r w:rsidR="004D42F9" w:rsidRPr="00BD6A51">
        <w:rPr>
          <w:b/>
          <w:bCs/>
        </w:rPr>
        <w:t>Grant of a right to the operator liabilities</w:t>
      </w:r>
      <w:r w:rsidR="004D42F9">
        <w:t xml:space="preserve"> relate to economic service concession arrangements and are recognised applying AASB 1059 (Note 5.7). It represents unearned revenue and is progressively reduced over the period of the arrangement in accordance with its </w:t>
      </w:r>
      <w:r w:rsidR="004D42F9" w:rsidRPr="00A22710">
        <w:t xml:space="preserve">substance </w:t>
      </w:r>
      <w:r w:rsidR="004D42F9" w:rsidRPr="00251DEB">
        <w:t>(Note 2.6).</w:t>
      </w:r>
    </w:p>
    <w:p w14:paraId="3DDAF39D" w14:textId="77777777" w:rsidR="008623A6" w:rsidRDefault="008623A6" w:rsidP="004D42F9">
      <w:pPr>
        <w:sectPr w:rsidR="008623A6" w:rsidSect="008623A6">
          <w:type w:val="continuous"/>
          <w:pgSz w:w="11906" w:h="16838" w:code="9"/>
          <w:pgMar w:top="1134" w:right="1134" w:bottom="1134" w:left="1134" w:header="624" w:footer="567" w:gutter="0"/>
          <w:cols w:num="2" w:space="708"/>
          <w:docGrid w:linePitch="360"/>
        </w:sectPr>
      </w:pPr>
    </w:p>
    <w:p w14:paraId="62209D66" w14:textId="77777777" w:rsidR="004D42F9" w:rsidRDefault="004D42F9" w:rsidP="004D42F9"/>
    <w:p w14:paraId="465671BE" w14:textId="77777777" w:rsidR="004D42F9" w:rsidRDefault="004D42F9" w:rsidP="004D42F9"/>
    <w:bookmarkEnd w:id="59"/>
    <w:p w14:paraId="7D565359" w14:textId="77777777" w:rsidR="004D42F9" w:rsidRPr="00FC4BE6" w:rsidRDefault="004D42F9" w:rsidP="004D42F9"/>
    <w:p w14:paraId="6A5FE6BA" w14:textId="77777777" w:rsidR="004D42F9" w:rsidRDefault="004D42F9" w:rsidP="004D42F9">
      <w:pPr>
        <w:keepLines w:val="0"/>
        <w:rPr>
          <w:rFonts w:asciiTheme="majorHAnsi" w:eastAsiaTheme="majorEastAsia" w:hAnsiTheme="majorHAnsi" w:cstheme="majorBidi"/>
          <w:b/>
          <w:sz w:val="27"/>
          <w:szCs w:val="26"/>
        </w:rPr>
      </w:pPr>
      <w:bookmarkStart w:id="71" w:name="_Toc176184159"/>
      <w:r>
        <w:br w:type="page"/>
      </w:r>
    </w:p>
    <w:p w14:paraId="7C2350FF" w14:textId="77777777" w:rsidR="004D42F9" w:rsidRDefault="004D42F9" w:rsidP="004D42F9">
      <w:pPr>
        <w:pStyle w:val="Heading1"/>
      </w:pPr>
      <w:bookmarkStart w:id="72" w:name="_Toc203394898"/>
      <w:bookmarkStart w:id="73" w:name="_Toc209474779"/>
      <w:bookmarkStart w:id="74" w:name="Section3"/>
      <w:bookmarkEnd w:id="71"/>
      <w:r>
        <w:lastRenderedPageBreak/>
        <w:t>3.</w:t>
      </w:r>
      <w:r>
        <w:tab/>
        <w:t>How funds are spent</w:t>
      </w:r>
      <w:bookmarkEnd w:id="72"/>
      <w:bookmarkEnd w:id="73"/>
    </w:p>
    <w:p w14:paraId="7BD87190" w14:textId="77777777" w:rsidR="008623A6" w:rsidRDefault="008623A6" w:rsidP="004D42F9">
      <w:pPr>
        <w:pStyle w:val="Heading3"/>
        <w:sectPr w:rsidR="008623A6" w:rsidSect="004F2221">
          <w:headerReference w:type="even" r:id="rId64"/>
          <w:headerReference w:type="default" r:id="rId65"/>
          <w:type w:val="continuous"/>
          <w:pgSz w:w="11906" w:h="16838" w:code="9"/>
          <w:pgMar w:top="1134" w:right="1134" w:bottom="1134" w:left="1134" w:header="624" w:footer="567" w:gutter="0"/>
          <w:cols w:space="708"/>
          <w:titlePg/>
          <w:docGrid w:linePitch="360"/>
        </w:sectPr>
      </w:pPr>
    </w:p>
    <w:p w14:paraId="71E74843" w14:textId="77777777" w:rsidR="004D42F9" w:rsidRDefault="004D42F9" w:rsidP="004D42F9">
      <w:pPr>
        <w:pStyle w:val="Heading3"/>
      </w:pPr>
      <w:r>
        <w:t xml:space="preserve">Introduction </w:t>
      </w:r>
    </w:p>
    <w:p w14:paraId="50CC1578" w14:textId="77777777" w:rsidR="004D42F9" w:rsidRDefault="004D42F9" w:rsidP="004D42F9">
      <w:r>
        <w:t>This section presents the major components of expenditure incurred by the State towards the delivery of services and on capital or infrastructure projects during the year, as well as any related obligations outstanding at 30 June 2025.</w:t>
      </w:r>
    </w:p>
    <w:p w14:paraId="4060826C" w14:textId="3B43A3A5" w:rsidR="004D42F9" w:rsidRDefault="008623A6" w:rsidP="004D42F9">
      <w:pPr>
        <w:pStyle w:val="Heading3"/>
      </w:pPr>
      <w:r>
        <w:br w:type="column"/>
      </w:r>
      <w:r w:rsidR="004D42F9">
        <w:t>Structure</w:t>
      </w:r>
    </w:p>
    <w:p w14:paraId="7AF682DE" w14:textId="408DDD2E" w:rsidR="00F35ABA" w:rsidRDefault="004D42F9">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Section3 \t "Heading 2,9" </w:instrText>
      </w:r>
      <w:r>
        <w:rPr>
          <w:color w:val="2B579A"/>
          <w:shd w:val="clear" w:color="auto" w:fill="E6E6E6"/>
        </w:rPr>
        <w:fldChar w:fldCharType="separate"/>
      </w:r>
      <w:hyperlink w:anchor="_Toc209476183" w:history="1">
        <w:r w:rsidR="00F35ABA" w:rsidRPr="007A75EE">
          <w:rPr>
            <w:rStyle w:val="Hyperlink"/>
            <w:noProof/>
          </w:rPr>
          <w:t>3.1</w:t>
        </w:r>
        <w:r w:rsidR="00F35ABA">
          <w:rPr>
            <w:rFonts w:eastAsiaTheme="minorEastAsia"/>
            <w:noProof/>
            <w:kern w:val="2"/>
            <w:sz w:val="24"/>
            <w:szCs w:val="24"/>
            <w:lang w:eastAsia="en-AU"/>
            <w14:ligatures w14:val="standardContextual"/>
          </w:rPr>
          <w:tab/>
        </w:r>
        <w:r w:rsidR="00F35ABA" w:rsidRPr="007A75EE">
          <w:rPr>
            <w:rStyle w:val="Hyperlink"/>
            <w:noProof/>
          </w:rPr>
          <w:t xml:space="preserve">Employee expenses and provision for </w:t>
        </w:r>
        <w:r w:rsidR="00F35ABA">
          <w:rPr>
            <w:rStyle w:val="Hyperlink"/>
            <w:noProof/>
          </w:rPr>
          <w:br/>
        </w:r>
        <w:r w:rsidR="00F35ABA" w:rsidRPr="007A75EE">
          <w:rPr>
            <w:rStyle w:val="Hyperlink"/>
            <w:noProof/>
          </w:rPr>
          <w:t>employee benefits</w:t>
        </w:r>
        <w:r w:rsidR="00F35ABA">
          <w:rPr>
            <w:noProof/>
            <w:webHidden/>
          </w:rPr>
          <w:tab/>
        </w:r>
        <w:r w:rsidR="00F35ABA">
          <w:rPr>
            <w:noProof/>
            <w:webHidden/>
          </w:rPr>
          <w:fldChar w:fldCharType="begin"/>
        </w:r>
        <w:r w:rsidR="00F35ABA">
          <w:rPr>
            <w:noProof/>
            <w:webHidden/>
          </w:rPr>
          <w:instrText xml:space="preserve"> PAGEREF _Toc209476183 \h </w:instrText>
        </w:r>
        <w:r w:rsidR="00F35ABA">
          <w:rPr>
            <w:noProof/>
            <w:webHidden/>
          </w:rPr>
        </w:r>
        <w:r w:rsidR="00F35ABA">
          <w:rPr>
            <w:noProof/>
            <w:webHidden/>
          </w:rPr>
          <w:fldChar w:fldCharType="separate"/>
        </w:r>
        <w:r w:rsidR="00727C5B">
          <w:rPr>
            <w:noProof/>
            <w:webHidden/>
          </w:rPr>
          <w:t>53</w:t>
        </w:r>
        <w:r w:rsidR="00F35ABA">
          <w:rPr>
            <w:noProof/>
            <w:webHidden/>
          </w:rPr>
          <w:fldChar w:fldCharType="end"/>
        </w:r>
      </w:hyperlink>
    </w:p>
    <w:p w14:paraId="5E077E06" w14:textId="2DABC24B" w:rsidR="00F35ABA" w:rsidRDefault="00F35ABA">
      <w:pPr>
        <w:pStyle w:val="TOC9"/>
        <w:rPr>
          <w:rFonts w:eastAsiaTheme="minorEastAsia"/>
          <w:noProof/>
          <w:kern w:val="2"/>
          <w:sz w:val="24"/>
          <w:szCs w:val="24"/>
          <w:lang w:eastAsia="en-AU"/>
          <w14:ligatures w14:val="standardContextual"/>
        </w:rPr>
      </w:pPr>
      <w:hyperlink w:anchor="_Toc209476184" w:history="1">
        <w:r w:rsidRPr="007A75EE">
          <w:rPr>
            <w:rStyle w:val="Hyperlink"/>
            <w:noProof/>
          </w:rPr>
          <w:t>3.2</w:t>
        </w:r>
        <w:r>
          <w:rPr>
            <w:rFonts w:eastAsiaTheme="minorEastAsia"/>
            <w:noProof/>
            <w:kern w:val="2"/>
            <w:sz w:val="24"/>
            <w:szCs w:val="24"/>
            <w:lang w:eastAsia="en-AU"/>
            <w14:ligatures w14:val="standardContextual"/>
          </w:rPr>
          <w:tab/>
        </w:r>
        <w:r w:rsidRPr="007A75EE">
          <w:rPr>
            <w:rStyle w:val="Hyperlink"/>
            <w:noProof/>
          </w:rPr>
          <w:t>Superannuation interest expense and other superannuation expenses</w:t>
        </w:r>
        <w:r>
          <w:rPr>
            <w:noProof/>
            <w:webHidden/>
          </w:rPr>
          <w:tab/>
        </w:r>
        <w:r>
          <w:rPr>
            <w:noProof/>
            <w:webHidden/>
          </w:rPr>
          <w:fldChar w:fldCharType="begin"/>
        </w:r>
        <w:r>
          <w:rPr>
            <w:noProof/>
            <w:webHidden/>
          </w:rPr>
          <w:instrText xml:space="preserve"> PAGEREF _Toc209476184 \h </w:instrText>
        </w:r>
        <w:r>
          <w:rPr>
            <w:noProof/>
            <w:webHidden/>
          </w:rPr>
        </w:r>
        <w:r>
          <w:rPr>
            <w:noProof/>
            <w:webHidden/>
          </w:rPr>
          <w:fldChar w:fldCharType="separate"/>
        </w:r>
        <w:r w:rsidR="00727C5B">
          <w:rPr>
            <w:noProof/>
            <w:webHidden/>
          </w:rPr>
          <w:t>55</w:t>
        </w:r>
        <w:r>
          <w:rPr>
            <w:noProof/>
            <w:webHidden/>
          </w:rPr>
          <w:fldChar w:fldCharType="end"/>
        </w:r>
      </w:hyperlink>
    </w:p>
    <w:p w14:paraId="607AA44A" w14:textId="6C3EE275" w:rsidR="00F35ABA" w:rsidRDefault="00F35ABA">
      <w:pPr>
        <w:pStyle w:val="TOC9"/>
        <w:rPr>
          <w:rFonts w:eastAsiaTheme="minorEastAsia"/>
          <w:noProof/>
          <w:kern w:val="2"/>
          <w:sz w:val="24"/>
          <w:szCs w:val="24"/>
          <w:lang w:eastAsia="en-AU"/>
          <w14:ligatures w14:val="standardContextual"/>
        </w:rPr>
      </w:pPr>
      <w:hyperlink w:anchor="_Toc209476185" w:history="1">
        <w:r w:rsidRPr="007A75EE">
          <w:rPr>
            <w:rStyle w:val="Hyperlink"/>
            <w:noProof/>
          </w:rPr>
          <w:t>3.3</w:t>
        </w:r>
        <w:r>
          <w:rPr>
            <w:rFonts w:eastAsiaTheme="minorEastAsia"/>
            <w:noProof/>
            <w:kern w:val="2"/>
            <w:sz w:val="24"/>
            <w:szCs w:val="24"/>
            <w:lang w:eastAsia="en-AU"/>
            <w14:ligatures w14:val="standardContextual"/>
          </w:rPr>
          <w:tab/>
        </w:r>
        <w:r w:rsidRPr="007A75EE">
          <w:rPr>
            <w:rStyle w:val="Hyperlink"/>
            <w:noProof/>
          </w:rPr>
          <w:t>Superannuation</w:t>
        </w:r>
        <w:r>
          <w:rPr>
            <w:noProof/>
            <w:webHidden/>
          </w:rPr>
          <w:tab/>
        </w:r>
        <w:r>
          <w:rPr>
            <w:noProof/>
            <w:webHidden/>
          </w:rPr>
          <w:fldChar w:fldCharType="begin"/>
        </w:r>
        <w:r>
          <w:rPr>
            <w:noProof/>
            <w:webHidden/>
          </w:rPr>
          <w:instrText xml:space="preserve"> PAGEREF _Toc209476185 \h </w:instrText>
        </w:r>
        <w:r>
          <w:rPr>
            <w:noProof/>
            <w:webHidden/>
          </w:rPr>
        </w:r>
        <w:r>
          <w:rPr>
            <w:noProof/>
            <w:webHidden/>
          </w:rPr>
          <w:fldChar w:fldCharType="separate"/>
        </w:r>
        <w:r w:rsidR="00727C5B">
          <w:rPr>
            <w:noProof/>
            <w:webHidden/>
          </w:rPr>
          <w:t>56</w:t>
        </w:r>
        <w:r>
          <w:rPr>
            <w:noProof/>
            <w:webHidden/>
          </w:rPr>
          <w:fldChar w:fldCharType="end"/>
        </w:r>
      </w:hyperlink>
    </w:p>
    <w:p w14:paraId="5BFD8B3D" w14:textId="043E9BCD" w:rsidR="00F35ABA" w:rsidRDefault="00F35ABA">
      <w:pPr>
        <w:pStyle w:val="TOC9"/>
        <w:rPr>
          <w:rFonts w:eastAsiaTheme="minorEastAsia"/>
          <w:noProof/>
          <w:kern w:val="2"/>
          <w:sz w:val="24"/>
          <w:szCs w:val="24"/>
          <w:lang w:eastAsia="en-AU"/>
          <w14:ligatures w14:val="standardContextual"/>
        </w:rPr>
      </w:pPr>
      <w:hyperlink w:anchor="_Toc209476186" w:history="1">
        <w:r w:rsidRPr="007A75EE">
          <w:rPr>
            <w:rStyle w:val="Hyperlink"/>
            <w:noProof/>
          </w:rPr>
          <w:t>3.4</w:t>
        </w:r>
        <w:r>
          <w:rPr>
            <w:rFonts w:eastAsiaTheme="minorEastAsia"/>
            <w:noProof/>
            <w:kern w:val="2"/>
            <w:sz w:val="24"/>
            <w:szCs w:val="24"/>
            <w:lang w:eastAsia="en-AU"/>
            <w14:ligatures w14:val="standardContextual"/>
          </w:rPr>
          <w:tab/>
        </w:r>
        <w:r w:rsidRPr="007A75EE">
          <w:rPr>
            <w:rStyle w:val="Hyperlink"/>
            <w:noProof/>
          </w:rPr>
          <w:t>Grant expense</w:t>
        </w:r>
        <w:r>
          <w:rPr>
            <w:noProof/>
            <w:webHidden/>
          </w:rPr>
          <w:tab/>
        </w:r>
        <w:r>
          <w:rPr>
            <w:noProof/>
            <w:webHidden/>
          </w:rPr>
          <w:fldChar w:fldCharType="begin"/>
        </w:r>
        <w:r>
          <w:rPr>
            <w:noProof/>
            <w:webHidden/>
          </w:rPr>
          <w:instrText xml:space="preserve"> PAGEREF _Toc209476186 \h </w:instrText>
        </w:r>
        <w:r>
          <w:rPr>
            <w:noProof/>
            <w:webHidden/>
          </w:rPr>
        </w:r>
        <w:r>
          <w:rPr>
            <w:noProof/>
            <w:webHidden/>
          </w:rPr>
          <w:fldChar w:fldCharType="separate"/>
        </w:r>
        <w:r w:rsidR="00727C5B">
          <w:rPr>
            <w:noProof/>
            <w:webHidden/>
          </w:rPr>
          <w:t>61</w:t>
        </w:r>
        <w:r>
          <w:rPr>
            <w:noProof/>
            <w:webHidden/>
          </w:rPr>
          <w:fldChar w:fldCharType="end"/>
        </w:r>
      </w:hyperlink>
    </w:p>
    <w:p w14:paraId="28D393A1" w14:textId="1CBDC17B" w:rsidR="00F35ABA" w:rsidRDefault="00F35ABA">
      <w:pPr>
        <w:pStyle w:val="TOC9"/>
        <w:rPr>
          <w:rFonts w:eastAsiaTheme="minorEastAsia"/>
          <w:noProof/>
          <w:kern w:val="2"/>
          <w:sz w:val="24"/>
          <w:szCs w:val="24"/>
          <w:lang w:eastAsia="en-AU"/>
          <w14:ligatures w14:val="standardContextual"/>
        </w:rPr>
      </w:pPr>
      <w:hyperlink w:anchor="_Toc209476187" w:history="1">
        <w:r w:rsidRPr="007A75EE">
          <w:rPr>
            <w:rStyle w:val="Hyperlink"/>
            <w:noProof/>
          </w:rPr>
          <w:t>3.5</w:t>
        </w:r>
        <w:r>
          <w:rPr>
            <w:rFonts w:eastAsiaTheme="minorEastAsia"/>
            <w:noProof/>
            <w:kern w:val="2"/>
            <w:sz w:val="24"/>
            <w:szCs w:val="24"/>
            <w:lang w:eastAsia="en-AU"/>
            <w14:ligatures w14:val="standardContextual"/>
          </w:rPr>
          <w:tab/>
        </w:r>
        <w:r w:rsidRPr="007A75EE">
          <w:rPr>
            <w:rStyle w:val="Hyperlink"/>
            <w:noProof/>
          </w:rPr>
          <w:t>Other operating expenses</w:t>
        </w:r>
        <w:r>
          <w:rPr>
            <w:noProof/>
            <w:webHidden/>
          </w:rPr>
          <w:tab/>
        </w:r>
        <w:r>
          <w:rPr>
            <w:noProof/>
            <w:webHidden/>
          </w:rPr>
          <w:fldChar w:fldCharType="begin"/>
        </w:r>
        <w:r>
          <w:rPr>
            <w:noProof/>
            <w:webHidden/>
          </w:rPr>
          <w:instrText xml:space="preserve"> PAGEREF _Toc209476187 \h </w:instrText>
        </w:r>
        <w:r>
          <w:rPr>
            <w:noProof/>
            <w:webHidden/>
          </w:rPr>
        </w:r>
        <w:r>
          <w:rPr>
            <w:noProof/>
            <w:webHidden/>
          </w:rPr>
          <w:fldChar w:fldCharType="separate"/>
        </w:r>
        <w:r w:rsidR="00727C5B">
          <w:rPr>
            <w:noProof/>
            <w:webHidden/>
          </w:rPr>
          <w:t>62</w:t>
        </w:r>
        <w:r>
          <w:rPr>
            <w:noProof/>
            <w:webHidden/>
          </w:rPr>
          <w:fldChar w:fldCharType="end"/>
        </w:r>
      </w:hyperlink>
    </w:p>
    <w:p w14:paraId="57D3539D" w14:textId="3D1E4B9A" w:rsidR="00F35ABA" w:rsidRDefault="00F35ABA">
      <w:pPr>
        <w:pStyle w:val="TOC9"/>
        <w:rPr>
          <w:rFonts w:eastAsiaTheme="minorEastAsia"/>
          <w:noProof/>
          <w:kern w:val="2"/>
          <w:sz w:val="24"/>
          <w:szCs w:val="24"/>
          <w:lang w:eastAsia="en-AU"/>
          <w14:ligatures w14:val="standardContextual"/>
        </w:rPr>
      </w:pPr>
      <w:hyperlink w:anchor="_Toc209476188" w:history="1">
        <w:r w:rsidRPr="007A75EE">
          <w:rPr>
            <w:rStyle w:val="Hyperlink"/>
            <w:noProof/>
          </w:rPr>
          <w:t>3.6</w:t>
        </w:r>
        <w:r>
          <w:rPr>
            <w:rFonts w:eastAsiaTheme="minorEastAsia"/>
            <w:noProof/>
            <w:kern w:val="2"/>
            <w:sz w:val="24"/>
            <w:szCs w:val="24"/>
            <w:lang w:eastAsia="en-AU"/>
            <w14:ligatures w14:val="standardContextual"/>
          </w:rPr>
          <w:tab/>
        </w:r>
        <w:r w:rsidRPr="007A75EE">
          <w:rPr>
            <w:rStyle w:val="Hyperlink"/>
            <w:noProof/>
          </w:rPr>
          <w:t>Payables</w:t>
        </w:r>
        <w:r>
          <w:rPr>
            <w:noProof/>
            <w:webHidden/>
          </w:rPr>
          <w:tab/>
        </w:r>
        <w:r>
          <w:rPr>
            <w:noProof/>
            <w:webHidden/>
          </w:rPr>
          <w:fldChar w:fldCharType="begin"/>
        </w:r>
        <w:r>
          <w:rPr>
            <w:noProof/>
            <w:webHidden/>
          </w:rPr>
          <w:instrText xml:space="preserve"> PAGEREF _Toc209476188 \h </w:instrText>
        </w:r>
        <w:r>
          <w:rPr>
            <w:noProof/>
            <w:webHidden/>
          </w:rPr>
        </w:r>
        <w:r>
          <w:rPr>
            <w:noProof/>
            <w:webHidden/>
          </w:rPr>
          <w:fldChar w:fldCharType="separate"/>
        </w:r>
        <w:r w:rsidR="00727C5B">
          <w:rPr>
            <w:noProof/>
            <w:webHidden/>
          </w:rPr>
          <w:t>63</w:t>
        </w:r>
        <w:r>
          <w:rPr>
            <w:noProof/>
            <w:webHidden/>
          </w:rPr>
          <w:fldChar w:fldCharType="end"/>
        </w:r>
      </w:hyperlink>
    </w:p>
    <w:p w14:paraId="613B9CDA" w14:textId="1807554D" w:rsidR="00F35ABA" w:rsidRDefault="00F35ABA">
      <w:pPr>
        <w:pStyle w:val="TOC9"/>
        <w:rPr>
          <w:rFonts w:eastAsiaTheme="minorEastAsia"/>
          <w:noProof/>
          <w:kern w:val="2"/>
          <w:sz w:val="24"/>
          <w:szCs w:val="24"/>
          <w:lang w:eastAsia="en-AU"/>
          <w14:ligatures w14:val="standardContextual"/>
        </w:rPr>
      </w:pPr>
      <w:hyperlink w:anchor="_Toc209476189" w:history="1">
        <w:r w:rsidRPr="007A75EE">
          <w:rPr>
            <w:rStyle w:val="Hyperlink"/>
            <w:noProof/>
          </w:rPr>
          <w:t>3.7</w:t>
        </w:r>
        <w:r>
          <w:rPr>
            <w:rFonts w:eastAsiaTheme="minorEastAsia"/>
            <w:noProof/>
            <w:kern w:val="2"/>
            <w:sz w:val="24"/>
            <w:szCs w:val="24"/>
            <w:lang w:eastAsia="en-AU"/>
            <w14:ligatures w14:val="standardContextual"/>
          </w:rPr>
          <w:tab/>
        </w:r>
        <w:r w:rsidRPr="007A75EE">
          <w:rPr>
            <w:rStyle w:val="Hyperlink"/>
            <w:noProof/>
          </w:rPr>
          <w:t>Other provisions</w:t>
        </w:r>
        <w:r>
          <w:rPr>
            <w:noProof/>
            <w:webHidden/>
          </w:rPr>
          <w:tab/>
        </w:r>
        <w:r>
          <w:rPr>
            <w:noProof/>
            <w:webHidden/>
          </w:rPr>
          <w:fldChar w:fldCharType="begin"/>
        </w:r>
        <w:r>
          <w:rPr>
            <w:noProof/>
            <w:webHidden/>
          </w:rPr>
          <w:instrText xml:space="preserve"> PAGEREF _Toc209476189 \h </w:instrText>
        </w:r>
        <w:r>
          <w:rPr>
            <w:noProof/>
            <w:webHidden/>
          </w:rPr>
        </w:r>
        <w:r>
          <w:rPr>
            <w:noProof/>
            <w:webHidden/>
          </w:rPr>
          <w:fldChar w:fldCharType="separate"/>
        </w:r>
        <w:r w:rsidR="00727C5B">
          <w:rPr>
            <w:noProof/>
            <w:webHidden/>
          </w:rPr>
          <w:t>64</w:t>
        </w:r>
        <w:r>
          <w:rPr>
            <w:noProof/>
            <w:webHidden/>
          </w:rPr>
          <w:fldChar w:fldCharType="end"/>
        </w:r>
      </w:hyperlink>
    </w:p>
    <w:p w14:paraId="46FD49D6" w14:textId="429EC3DC" w:rsidR="00F35ABA" w:rsidRDefault="00F35ABA">
      <w:pPr>
        <w:pStyle w:val="TOC9"/>
        <w:rPr>
          <w:rFonts w:eastAsiaTheme="minorEastAsia"/>
          <w:noProof/>
          <w:kern w:val="2"/>
          <w:sz w:val="24"/>
          <w:szCs w:val="24"/>
          <w:lang w:eastAsia="en-AU"/>
          <w14:ligatures w14:val="standardContextual"/>
        </w:rPr>
      </w:pPr>
      <w:hyperlink w:anchor="_Toc209476190" w:history="1">
        <w:r w:rsidRPr="007A75EE">
          <w:rPr>
            <w:rStyle w:val="Hyperlink"/>
            <w:noProof/>
          </w:rPr>
          <w:t>3.8</w:t>
        </w:r>
        <w:r>
          <w:rPr>
            <w:rFonts w:eastAsiaTheme="minorEastAsia"/>
            <w:noProof/>
            <w:kern w:val="2"/>
            <w:sz w:val="24"/>
            <w:szCs w:val="24"/>
            <w:lang w:eastAsia="en-AU"/>
            <w14:ligatures w14:val="standardContextual"/>
          </w:rPr>
          <w:tab/>
        </w:r>
        <w:r w:rsidRPr="007A75EE">
          <w:rPr>
            <w:rStyle w:val="Hyperlink"/>
            <w:noProof/>
          </w:rPr>
          <w:t xml:space="preserve">Total operating expenses and purchases of </w:t>
        </w:r>
        <w:r>
          <w:rPr>
            <w:rStyle w:val="Hyperlink"/>
            <w:noProof/>
          </w:rPr>
          <w:br/>
        </w:r>
        <w:r w:rsidRPr="007A75EE">
          <w:rPr>
            <w:rStyle w:val="Hyperlink"/>
            <w:noProof/>
          </w:rPr>
          <w:t>non-financial assets by department</w:t>
        </w:r>
        <w:r>
          <w:rPr>
            <w:noProof/>
            <w:webHidden/>
          </w:rPr>
          <w:tab/>
        </w:r>
        <w:r>
          <w:rPr>
            <w:noProof/>
            <w:webHidden/>
          </w:rPr>
          <w:fldChar w:fldCharType="begin"/>
        </w:r>
        <w:r>
          <w:rPr>
            <w:noProof/>
            <w:webHidden/>
          </w:rPr>
          <w:instrText xml:space="preserve"> PAGEREF _Toc209476190 \h </w:instrText>
        </w:r>
        <w:r>
          <w:rPr>
            <w:noProof/>
            <w:webHidden/>
          </w:rPr>
        </w:r>
        <w:r>
          <w:rPr>
            <w:noProof/>
            <w:webHidden/>
          </w:rPr>
          <w:fldChar w:fldCharType="separate"/>
        </w:r>
        <w:r w:rsidR="00727C5B">
          <w:rPr>
            <w:noProof/>
            <w:webHidden/>
          </w:rPr>
          <w:t>67</w:t>
        </w:r>
        <w:r>
          <w:rPr>
            <w:noProof/>
            <w:webHidden/>
          </w:rPr>
          <w:fldChar w:fldCharType="end"/>
        </w:r>
      </w:hyperlink>
    </w:p>
    <w:p w14:paraId="7E066D22" w14:textId="4659B635" w:rsidR="00F35ABA" w:rsidRDefault="00F35ABA">
      <w:pPr>
        <w:pStyle w:val="TOC9"/>
        <w:rPr>
          <w:rFonts w:eastAsiaTheme="minorEastAsia"/>
          <w:noProof/>
          <w:kern w:val="2"/>
          <w:sz w:val="24"/>
          <w:szCs w:val="24"/>
          <w:lang w:eastAsia="en-AU"/>
          <w14:ligatures w14:val="standardContextual"/>
        </w:rPr>
      </w:pPr>
      <w:hyperlink w:anchor="_Toc209476191" w:history="1">
        <w:r w:rsidRPr="007A75EE">
          <w:rPr>
            <w:rStyle w:val="Hyperlink"/>
            <w:noProof/>
          </w:rPr>
          <w:t>3.9</w:t>
        </w:r>
        <w:r>
          <w:rPr>
            <w:rFonts w:eastAsiaTheme="minorEastAsia"/>
            <w:noProof/>
            <w:kern w:val="2"/>
            <w:sz w:val="24"/>
            <w:szCs w:val="24"/>
            <w:lang w:eastAsia="en-AU"/>
            <w14:ligatures w14:val="standardContextual"/>
          </w:rPr>
          <w:tab/>
        </w:r>
        <w:r w:rsidRPr="007A75EE">
          <w:rPr>
            <w:rStyle w:val="Hyperlink"/>
            <w:noProof/>
          </w:rPr>
          <w:t>Classification of the functions of government disclosure</w:t>
        </w:r>
        <w:r>
          <w:rPr>
            <w:noProof/>
            <w:webHidden/>
          </w:rPr>
          <w:tab/>
        </w:r>
        <w:r>
          <w:rPr>
            <w:noProof/>
            <w:webHidden/>
          </w:rPr>
          <w:fldChar w:fldCharType="begin"/>
        </w:r>
        <w:r>
          <w:rPr>
            <w:noProof/>
            <w:webHidden/>
          </w:rPr>
          <w:instrText xml:space="preserve"> PAGEREF _Toc209476191 \h </w:instrText>
        </w:r>
        <w:r>
          <w:rPr>
            <w:noProof/>
            <w:webHidden/>
          </w:rPr>
        </w:r>
        <w:r>
          <w:rPr>
            <w:noProof/>
            <w:webHidden/>
          </w:rPr>
          <w:fldChar w:fldCharType="separate"/>
        </w:r>
        <w:r w:rsidR="00727C5B">
          <w:rPr>
            <w:noProof/>
            <w:webHidden/>
          </w:rPr>
          <w:t>68</w:t>
        </w:r>
        <w:r>
          <w:rPr>
            <w:noProof/>
            <w:webHidden/>
          </w:rPr>
          <w:fldChar w:fldCharType="end"/>
        </w:r>
      </w:hyperlink>
    </w:p>
    <w:p w14:paraId="39898E42" w14:textId="57959BC0" w:rsidR="008623A6" w:rsidRDefault="004D42F9" w:rsidP="008623A6">
      <w:pPr>
        <w:pStyle w:val="TOC9"/>
        <w:rPr>
          <w:color w:val="2B579A"/>
          <w:shd w:val="clear" w:color="auto" w:fill="E6E6E6"/>
        </w:rPr>
        <w:sectPr w:rsidR="008623A6" w:rsidSect="008623A6">
          <w:type w:val="continuous"/>
          <w:pgSz w:w="11906" w:h="16838" w:code="9"/>
          <w:pgMar w:top="1134" w:right="1134" w:bottom="1134" w:left="1134" w:header="624" w:footer="567" w:gutter="0"/>
          <w:cols w:num="2" w:space="708"/>
          <w:docGrid w:linePitch="360"/>
        </w:sectPr>
      </w:pPr>
      <w:r>
        <w:rPr>
          <w:color w:val="2B579A"/>
          <w:shd w:val="clear" w:color="auto" w:fill="E6E6E6"/>
        </w:rPr>
        <w:fldChar w:fldCharType="end"/>
      </w:r>
    </w:p>
    <w:p w14:paraId="0C78113C" w14:textId="77777777" w:rsidR="004D42F9" w:rsidRDefault="004D42F9" w:rsidP="004D42F9">
      <w:pPr>
        <w:pStyle w:val="Heading2"/>
      </w:pPr>
      <w:bookmarkStart w:id="75" w:name="_Toc209476183"/>
      <w:r>
        <w:t>3.1</w:t>
      </w:r>
      <w:r>
        <w:tab/>
        <w:t>Employee expenses and provision for employee benefits</w:t>
      </w:r>
      <w:bookmarkEnd w:id="75"/>
      <w:r>
        <w:t xml:space="preserve"> </w:t>
      </w:r>
    </w:p>
    <w:p w14:paraId="5B262E59" w14:textId="77777777" w:rsidR="008623A6" w:rsidRDefault="008623A6" w:rsidP="004D42F9">
      <w:pPr>
        <w:pStyle w:val="Heading3"/>
        <w:sectPr w:rsidR="008623A6" w:rsidSect="008623A6">
          <w:type w:val="continuous"/>
          <w:pgSz w:w="11906" w:h="16838" w:code="9"/>
          <w:pgMar w:top="1134" w:right="1134" w:bottom="1134" w:left="1134" w:header="624" w:footer="567" w:gutter="0"/>
          <w:cols w:space="708"/>
          <w:docGrid w:linePitch="360"/>
        </w:sectPr>
      </w:pPr>
    </w:p>
    <w:p w14:paraId="7539E89C" w14:textId="77777777" w:rsidR="004D42F9" w:rsidRDefault="004D42F9" w:rsidP="004D42F9">
      <w:pPr>
        <w:pStyle w:val="Heading3"/>
      </w:pPr>
      <w:r>
        <w:t>Employee expenses (operating statement)</w:t>
      </w:r>
    </w:p>
    <w:p w14:paraId="499DA341" w14:textId="77777777" w:rsidR="004D42F9" w:rsidRDefault="004D42F9" w:rsidP="004D42F9">
      <w:r>
        <w:t xml:space="preserve">Employee expenses in the operating statement are a major component of operating costs and include all costs related to employment, including wages and salaries, fringe benefits tax, leave entitlements and redundancy payments. More than </w:t>
      </w:r>
      <w:r w:rsidRPr="0061755B">
        <w:t>9</w:t>
      </w:r>
      <w:r>
        <w:t>4 per cent (93 per cent in the prior year) of employee expenses in the operating statement are wages and salaries. Employee expenses are recognised in the period in which the employee provides the services.</w:t>
      </w:r>
    </w:p>
    <w:p w14:paraId="3F8CD4BF" w14:textId="259EB3E9" w:rsidR="004D42F9" w:rsidRDefault="004D42F9" w:rsidP="008623A6">
      <w:pPr>
        <w:pStyle w:val="Heading3"/>
        <w:spacing w:before="180"/>
        <w:ind w:left="0" w:firstLine="0"/>
      </w:pPr>
      <w:r>
        <w:t xml:space="preserve">Provision for employee benefits </w:t>
      </w:r>
      <w:r w:rsidR="008623A6">
        <w:br/>
      </w:r>
      <w:r>
        <w:t>(balance sheet)</w:t>
      </w:r>
    </w:p>
    <w:p w14:paraId="18CA7EF4" w14:textId="77777777" w:rsidR="004D42F9" w:rsidRDefault="004D42F9" w:rsidP="004D42F9">
      <w:pPr>
        <w:ind w:right="-71"/>
      </w:pPr>
      <w: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significant judgement is applied in determining expected future wage and salary levels, experience of employee departures and periods of service. Future payments expected to be made after 12 months are discounted to reflect the estimated timing and amount of benefit payment. The table below shows the key components of this provision at 30 June.</w:t>
      </w:r>
    </w:p>
    <w:p w14:paraId="62CCFF6C" w14:textId="77777777" w:rsidR="008623A6" w:rsidRDefault="008623A6" w:rsidP="004D42F9">
      <w:pPr>
        <w:sectPr w:rsidR="008623A6" w:rsidSect="008623A6">
          <w:type w:val="continuous"/>
          <w:pgSz w:w="11906" w:h="16838" w:code="9"/>
          <w:pgMar w:top="1134" w:right="1134" w:bottom="1134" w:left="1134" w:header="624" w:footer="567" w:gutter="0"/>
          <w:cols w:num="2" w:space="708"/>
          <w:docGrid w:linePitch="360"/>
        </w:sectPr>
      </w:pPr>
    </w:p>
    <w:p w14:paraId="3EA03266" w14:textId="77777777" w:rsidR="004D42F9" w:rsidRDefault="004D42F9" w:rsidP="00643F56">
      <w:pPr>
        <w:pStyle w:val="TableHeading"/>
        <w:pageBreakBefore/>
        <w:spacing w:before="0"/>
      </w:pPr>
      <w:r>
        <w:lastRenderedPageBreak/>
        <w:t>Total provision for employee benefits and on-costs at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Employee_benefits"/>
      </w:tblPr>
      <w:tblGrid>
        <w:gridCol w:w="6005"/>
        <w:gridCol w:w="908"/>
        <w:gridCol w:w="908"/>
        <w:gridCol w:w="908"/>
        <w:gridCol w:w="909"/>
      </w:tblGrid>
      <w:tr w:rsidR="004D42F9" w14:paraId="0499E26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22BA3A8A" w14:textId="77777777" w:rsidR="004D42F9" w:rsidRDefault="004D42F9">
            <w:pPr>
              <w:keepNext/>
            </w:pPr>
          </w:p>
        </w:tc>
        <w:tc>
          <w:tcPr>
            <w:tcW w:w="1816" w:type="dxa"/>
            <w:gridSpan w:val="2"/>
          </w:tcPr>
          <w:p w14:paraId="5D647E8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7357A676"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1CA6E0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1E8F1B54" w14:textId="77777777" w:rsidR="004D42F9" w:rsidRDefault="004D42F9">
            <w:pPr>
              <w:keepNext/>
            </w:pPr>
          </w:p>
        </w:tc>
        <w:tc>
          <w:tcPr>
            <w:tcW w:w="908" w:type="dxa"/>
          </w:tcPr>
          <w:p w14:paraId="731828C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8" w:type="dxa"/>
          </w:tcPr>
          <w:p w14:paraId="00E21EA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8" w:type="dxa"/>
          </w:tcPr>
          <w:p w14:paraId="7DBEF94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9" w:type="dxa"/>
          </w:tcPr>
          <w:p w14:paraId="226F233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C397EE5" w14:textId="77777777">
        <w:tc>
          <w:tcPr>
            <w:cnfStyle w:val="001000000000" w:firstRow="0" w:lastRow="0" w:firstColumn="1" w:lastColumn="0" w:oddVBand="0" w:evenVBand="0" w:oddHBand="0" w:evenHBand="0" w:firstRowFirstColumn="0" w:firstRowLastColumn="0" w:lastRowFirstColumn="0" w:lastRowLastColumn="0"/>
            <w:tcW w:w="6005" w:type="dxa"/>
          </w:tcPr>
          <w:p w14:paraId="48F9C1B3" w14:textId="77777777" w:rsidR="004D42F9" w:rsidRDefault="004D42F9">
            <w:r>
              <w:rPr>
                <w:b/>
              </w:rPr>
              <w:t>Current</w:t>
            </w:r>
          </w:p>
        </w:tc>
        <w:tc>
          <w:tcPr>
            <w:tcW w:w="908" w:type="dxa"/>
          </w:tcPr>
          <w:p w14:paraId="3088C42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09DAA52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23FE827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Pr>
          <w:p w14:paraId="75E0CD8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F53A755" w14:textId="77777777">
        <w:tc>
          <w:tcPr>
            <w:cnfStyle w:val="001000000000" w:firstRow="0" w:lastRow="0" w:firstColumn="1" w:lastColumn="0" w:oddVBand="0" w:evenVBand="0" w:oddHBand="0" w:evenHBand="0" w:firstRowFirstColumn="0" w:firstRowLastColumn="0" w:lastRowFirstColumn="0" w:lastRowLastColumn="0"/>
            <w:tcW w:w="6005" w:type="dxa"/>
          </w:tcPr>
          <w:p w14:paraId="54C602B6" w14:textId="77777777" w:rsidR="004D42F9" w:rsidRDefault="004D42F9">
            <w:r>
              <w:rPr>
                <w:b/>
              </w:rPr>
              <w:t>Accrued salaries and wages</w:t>
            </w:r>
          </w:p>
        </w:tc>
        <w:tc>
          <w:tcPr>
            <w:tcW w:w="908" w:type="dxa"/>
          </w:tcPr>
          <w:p w14:paraId="4B62F30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1 027</w:t>
            </w:r>
          </w:p>
        </w:tc>
        <w:tc>
          <w:tcPr>
            <w:tcW w:w="908" w:type="dxa"/>
          </w:tcPr>
          <w:p w14:paraId="2E13525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862</w:t>
            </w:r>
          </w:p>
        </w:tc>
        <w:tc>
          <w:tcPr>
            <w:tcW w:w="908" w:type="dxa"/>
          </w:tcPr>
          <w:p w14:paraId="364B20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967</w:t>
            </w:r>
          </w:p>
        </w:tc>
        <w:tc>
          <w:tcPr>
            <w:tcW w:w="909" w:type="dxa"/>
          </w:tcPr>
          <w:p w14:paraId="7B2ED9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820</w:t>
            </w:r>
          </w:p>
        </w:tc>
      </w:tr>
      <w:tr w:rsidR="004D42F9" w14:paraId="06883E33" w14:textId="77777777">
        <w:tc>
          <w:tcPr>
            <w:cnfStyle w:val="001000000000" w:firstRow="0" w:lastRow="0" w:firstColumn="1" w:lastColumn="0" w:oddVBand="0" w:evenVBand="0" w:oddHBand="0" w:evenHBand="0" w:firstRowFirstColumn="0" w:firstRowLastColumn="0" w:lastRowFirstColumn="0" w:lastRowLastColumn="0"/>
            <w:tcW w:w="6005" w:type="dxa"/>
          </w:tcPr>
          <w:p w14:paraId="574736A1" w14:textId="77777777" w:rsidR="004D42F9" w:rsidRDefault="004D42F9">
            <w:r>
              <w:rPr>
                <w:b/>
              </w:rPr>
              <w:t>Other employee benefits</w:t>
            </w:r>
          </w:p>
        </w:tc>
        <w:tc>
          <w:tcPr>
            <w:tcW w:w="908" w:type="dxa"/>
          </w:tcPr>
          <w:p w14:paraId="620794A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172</w:t>
            </w:r>
          </w:p>
        </w:tc>
        <w:tc>
          <w:tcPr>
            <w:tcW w:w="908" w:type="dxa"/>
          </w:tcPr>
          <w:p w14:paraId="57DEC68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170</w:t>
            </w:r>
          </w:p>
        </w:tc>
        <w:tc>
          <w:tcPr>
            <w:tcW w:w="908" w:type="dxa"/>
          </w:tcPr>
          <w:p w14:paraId="1872E63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146</w:t>
            </w:r>
          </w:p>
        </w:tc>
        <w:tc>
          <w:tcPr>
            <w:tcW w:w="909" w:type="dxa"/>
          </w:tcPr>
          <w:p w14:paraId="0AF57B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137</w:t>
            </w:r>
          </w:p>
        </w:tc>
      </w:tr>
      <w:tr w:rsidR="004D42F9" w14:paraId="32ADC1D3" w14:textId="77777777">
        <w:tc>
          <w:tcPr>
            <w:cnfStyle w:val="001000000000" w:firstRow="0" w:lastRow="0" w:firstColumn="1" w:lastColumn="0" w:oddVBand="0" w:evenVBand="0" w:oddHBand="0" w:evenHBand="0" w:firstRowFirstColumn="0" w:firstRowLastColumn="0" w:lastRowFirstColumn="0" w:lastRowLastColumn="0"/>
            <w:tcW w:w="6005" w:type="dxa"/>
          </w:tcPr>
          <w:p w14:paraId="33C6DC5B" w14:textId="77777777" w:rsidR="004D42F9" w:rsidRDefault="004D42F9">
            <w:r>
              <w:rPr>
                <w:b/>
              </w:rPr>
              <w:t>Annual leave</w:t>
            </w:r>
          </w:p>
        </w:tc>
        <w:tc>
          <w:tcPr>
            <w:tcW w:w="908" w:type="dxa"/>
          </w:tcPr>
          <w:p w14:paraId="6F0060E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7C917F1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74C4753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Pr>
          <w:p w14:paraId="2FD2525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75FBC264" w14:textId="77777777">
        <w:tc>
          <w:tcPr>
            <w:cnfStyle w:val="001000000000" w:firstRow="0" w:lastRow="0" w:firstColumn="1" w:lastColumn="0" w:oddVBand="0" w:evenVBand="0" w:oddHBand="0" w:evenHBand="0" w:firstRowFirstColumn="0" w:firstRowLastColumn="0" w:lastRowFirstColumn="0" w:lastRowLastColumn="0"/>
            <w:tcW w:w="6005" w:type="dxa"/>
          </w:tcPr>
          <w:p w14:paraId="4EF19CE9" w14:textId="77777777" w:rsidR="004D42F9" w:rsidRDefault="004D42F9">
            <w:r>
              <w:t>Unconditional and expected to settle within 12 months</w:t>
            </w:r>
          </w:p>
        </w:tc>
        <w:tc>
          <w:tcPr>
            <w:tcW w:w="908" w:type="dxa"/>
          </w:tcPr>
          <w:p w14:paraId="261D67A5" w14:textId="77777777" w:rsidR="004D42F9" w:rsidRDefault="004D42F9">
            <w:pPr>
              <w:cnfStyle w:val="000000000000" w:firstRow="0" w:lastRow="0" w:firstColumn="0" w:lastColumn="0" w:oddVBand="0" w:evenVBand="0" w:oddHBand="0" w:evenHBand="0" w:firstRowFirstColumn="0" w:firstRowLastColumn="0" w:lastRowFirstColumn="0" w:lastRowLastColumn="0"/>
            </w:pPr>
            <w:r>
              <w:t>2 639</w:t>
            </w:r>
          </w:p>
        </w:tc>
        <w:tc>
          <w:tcPr>
            <w:tcW w:w="908" w:type="dxa"/>
          </w:tcPr>
          <w:p w14:paraId="511DE5FA"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2 411</w:t>
            </w:r>
          </w:p>
        </w:tc>
        <w:tc>
          <w:tcPr>
            <w:tcW w:w="908" w:type="dxa"/>
          </w:tcPr>
          <w:p w14:paraId="030C9B24" w14:textId="77777777" w:rsidR="004D42F9" w:rsidRDefault="004D42F9">
            <w:pPr>
              <w:cnfStyle w:val="000000000000" w:firstRow="0" w:lastRow="0" w:firstColumn="0" w:lastColumn="0" w:oddVBand="0" w:evenVBand="0" w:oddHBand="0" w:evenHBand="0" w:firstRowFirstColumn="0" w:firstRowLastColumn="0" w:lastRowFirstColumn="0" w:lastRowLastColumn="0"/>
            </w:pPr>
            <w:r>
              <w:t>2 466</w:t>
            </w:r>
          </w:p>
        </w:tc>
        <w:tc>
          <w:tcPr>
            <w:tcW w:w="909" w:type="dxa"/>
          </w:tcPr>
          <w:p w14:paraId="15A85619" w14:textId="77777777" w:rsidR="004D42F9" w:rsidRDefault="004D42F9">
            <w:pPr>
              <w:cnfStyle w:val="000000000000" w:firstRow="0" w:lastRow="0" w:firstColumn="0" w:lastColumn="0" w:oddVBand="0" w:evenVBand="0" w:oddHBand="0" w:evenHBand="0" w:firstRowFirstColumn="0" w:firstRowLastColumn="0" w:lastRowFirstColumn="0" w:lastRowLastColumn="0"/>
            </w:pPr>
            <w:r>
              <w:t>2 246</w:t>
            </w:r>
          </w:p>
        </w:tc>
      </w:tr>
      <w:tr w:rsidR="004D42F9" w14:paraId="25B42E9F" w14:textId="77777777">
        <w:tc>
          <w:tcPr>
            <w:cnfStyle w:val="001000000000" w:firstRow="0" w:lastRow="0" w:firstColumn="1" w:lastColumn="0" w:oddVBand="0" w:evenVBand="0" w:oddHBand="0" w:evenHBand="0" w:firstRowFirstColumn="0" w:firstRowLastColumn="0" w:lastRowFirstColumn="0" w:lastRowLastColumn="0"/>
            <w:tcW w:w="6005" w:type="dxa"/>
          </w:tcPr>
          <w:p w14:paraId="565D67D8" w14:textId="77777777" w:rsidR="004D42F9" w:rsidRDefault="004D42F9">
            <w:r>
              <w:t>Unconditional and expected to settle after 12 months</w:t>
            </w:r>
          </w:p>
        </w:tc>
        <w:tc>
          <w:tcPr>
            <w:tcW w:w="908" w:type="dxa"/>
          </w:tcPr>
          <w:p w14:paraId="5865AA80" w14:textId="77777777" w:rsidR="004D42F9" w:rsidRDefault="004D42F9">
            <w:pPr>
              <w:cnfStyle w:val="000000000000" w:firstRow="0" w:lastRow="0" w:firstColumn="0" w:lastColumn="0" w:oddVBand="0" w:evenVBand="0" w:oddHBand="0" w:evenHBand="0" w:firstRowFirstColumn="0" w:firstRowLastColumn="0" w:lastRowFirstColumn="0" w:lastRowLastColumn="0"/>
            </w:pPr>
            <w:r>
              <w:t>460</w:t>
            </w:r>
          </w:p>
        </w:tc>
        <w:tc>
          <w:tcPr>
            <w:tcW w:w="908" w:type="dxa"/>
          </w:tcPr>
          <w:p w14:paraId="4F4AD2F5" w14:textId="77777777" w:rsidR="004D42F9" w:rsidRDefault="004D42F9">
            <w:pPr>
              <w:cnfStyle w:val="000000000000" w:firstRow="0" w:lastRow="0" w:firstColumn="0" w:lastColumn="0" w:oddVBand="0" w:evenVBand="0" w:oddHBand="0" w:evenHBand="0" w:firstRowFirstColumn="0" w:firstRowLastColumn="0" w:lastRowFirstColumn="0" w:lastRowLastColumn="0"/>
            </w:pPr>
            <w:r>
              <w:t>446</w:t>
            </w:r>
          </w:p>
        </w:tc>
        <w:tc>
          <w:tcPr>
            <w:tcW w:w="908" w:type="dxa"/>
          </w:tcPr>
          <w:p w14:paraId="048BCE69" w14:textId="77777777" w:rsidR="004D42F9" w:rsidRDefault="004D42F9">
            <w:pPr>
              <w:cnfStyle w:val="000000000000" w:firstRow="0" w:lastRow="0" w:firstColumn="0" w:lastColumn="0" w:oddVBand="0" w:evenVBand="0" w:oddHBand="0" w:evenHBand="0" w:firstRowFirstColumn="0" w:firstRowLastColumn="0" w:lastRowFirstColumn="0" w:lastRowLastColumn="0"/>
            </w:pPr>
            <w:r>
              <w:t>410</w:t>
            </w:r>
          </w:p>
        </w:tc>
        <w:tc>
          <w:tcPr>
            <w:tcW w:w="909" w:type="dxa"/>
          </w:tcPr>
          <w:p w14:paraId="027A379D" w14:textId="77777777" w:rsidR="004D42F9" w:rsidRDefault="004D42F9">
            <w:pPr>
              <w:cnfStyle w:val="000000000000" w:firstRow="0" w:lastRow="0" w:firstColumn="0" w:lastColumn="0" w:oddVBand="0" w:evenVBand="0" w:oddHBand="0" w:evenHBand="0" w:firstRowFirstColumn="0" w:firstRowLastColumn="0" w:lastRowFirstColumn="0" w:lastRowLastColumn="0"/>
            </w:pPr>
            <w:r>
              <w:t>396</w:t>
            </w:r>
          </w:p>
        </w:tc>
      </w:tr>
      <w:tr w:rsidR="004D42F9" w14:paraId="2E68A9DB" w14:textId="77777777">
        <w:tc>
          <w:tcPr>
            <w:cnfStyle w:val="001000000000" w:firstRow="0" w:lastRow="0" w:firstColumn="1" w:lastColumn="0" w:oddVBand="0" w:evenVBand="0" w:oddHBand="0" w:evenHBand="0" w:firstRowFirstColumn="0" w:firstRowLastColumn="0" w:lastRowFirstColumn="0" w:lastRowLastColumn="0"/>
            <w:tcW w:w="6005" w:type="dxa"/>
          </w:tcPr>
          <w:p w14:paraId="0C6D402A" w14:textId="77777777" w:rsidR="004D42F9" w:rsidRDefault="004D42F9">
            <w:r>
              <w:rPr>
                <w:b/>
              </w:rPr>
              <w:t>Long service leave</w:t>
            </w:r>
          </w:p>
        </w:tc>
        <w:tc>
          <w:tcPr>
            <w:tcW w:w="908" w:type="dxa"/>
          </w:tcPr>
          <w:p w14:paraId="564350C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6F7F44C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007F4A2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Pr>
          <w:p w14:paraId="2E4BD64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432B62A" w14:textId="77777777">
        <w:tc>
          <w:tcPr>
            <w:cnfStyle w:val="001000000000" w:firstRow="0" w:lastRow="0" w:firstColumn="1" w:lastColumn="0" w:oddVBand="0" w:evenVBand="0" w:oddHBand="0" w:evenHBand="0" w:firstRowFirstColumn="0" w:firstRowLastColumn="0" w:lastRowFirstColumn="0" w:lastRowLastColumn="0"/>
            <w:tcW w:w="6005" w:type="dxa"/>
          </w:tcPr>
          <w:p w14:paraId="0048F4CA" w14:textId="77777777" w:rsidR="004D42F9" w:rsidRDefault="004D42F9">
            <w:r>
              <w:t>Unconditional and expected to settle within 12 months</w:t>
            </w:r>
          </w:p>
        </w:tc>
        <w:tc>
          <w:tcPr>
            <w:tcW w:w="908" w:type="dxa"/>
          </w:tcPr>
          <w:p w14:paraId="09E3AA6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1 194</w:t>
            </w:r>
          </w:p>
        </w:tc>
        <w:tc>
          <w:tcPr>
            <w:tcW w:w="908" w:type="dxa"/>
          </w:tcPr>
          <w:p w14:paraId="7E0C4E40" w14:textId="77777777" w:rsidR="004D42F9" w:rsidRDefault="004D42F9">
            <w:pPr>
              <w:cnfStyle w:val="000000000000" w:firstRow="0" w:lastRow="0" w:firstColumn="0" w:lastColumn="0" w:oddVBand="0" w:evenVBand="0" w:oddHBand="0" w:evenHBand="0" w:firstRowFirstColumn="0" w:firstRowLastColumn="0" w:lastRowFirstColumn="0" w:lastRowLastColumn="0"/>
            </w:pPr>
            <w:r>
              <w:t>898</w:t>
            </w:r>
          </w:p>
        </w:tc>
        <w:tc>
          <w:tcPr>
            <w:tcW w:w="908" w:type="dxa"/>
          </w:tcPr>
          <w:p w14:paraId="3922D940"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1 124</w:t>
            </w:r>
          </w:p>
        </w:tc>
        <w:tc>
          <w:tcPr>
            <w:tcW w:w="909" w:type="dxa"/>
          </w:tcPr>
          <w:p w14:paraId="08F543B2" w14:textId="77777777" w:rsidR="004D42F9" w:rsidRDefault="004D42F9">
            <w:pPr>
              <w:cnfStyle w:val="000000000000" w:firstRow="0" w:lastRow="0" w:firstColumn="0" w:lastColumn="0" w:oddVBand="0" w:evenVBand="0" w:oddHBand="0" w:evenHBand="0" w:firstRowFirstColumn="0" w:firstRowLastColumn="0" w:lastRowFirstColumn="0" w:lastRowLastColumn="0"/>
            </w:pPr>
            <w:r>
              <w:t>838</w:t>
            </w:r>
          </w:p>
        </w:tc>
      </w:tr>
      <w:tr w:rsidR="004D42F9" w14:paraId="1F3A68C1" w14:textId="77777777">
        <w:tc>
          <w:tcPr>
            <w:cnfStyle w:val="001000000000" w:firstRow="0" w:lastRow="0" w:firstColumn="1" w:lastColumn="0" w:oddVBand="0" w:evenVBand="0" w:oddHBand="0" w:evenHBand="0" w:firstRowFirstColumn="0" w:firstRowLastColumn="0" w:lastRowFirstColumn="0" w:lastRowLastColumn="0"/>
            <w:tcW w:w="6005" w:type="dxa"/>
          </w:tcPr>
          <w:p w14:paraId="6883536E" w14:textId="77777777" w:rsidR="004D42F9" w:rsidRDefault="004D42F9">
            <w:r>
              <w:t>Unconditional and expected to settle after 12 months</w:t>
            </w:r>
          </w:p>
        </w:tc>
        <w:tc>
          <w:tcPr>
            <w:tcW w:w="908" w:type="dxa"/>
          </w:tcPr>
          <w:p w14:paraId="11248B90" w14:textId="77777777" w:rsidR="004D42F9" w:rsidRDefault="004D42F9">
            <w:pPr>
              <w:cnfStyle w:val="000000000000" w:firstRow="0" w:lastRow="0" w:firstColumn="0" w:lastColumn="0" w:oddVBand="0" w:evenVBand="0" w:oddHBand="0" w:evenHBand="0" w:firstRowFirstColumn="0" w:firstRowLastColumn="0" w:lastRowFirstColumn="0" w:lastRowLastColumn="0"/>
            </w:pPr>
            <w:r>
              <w:t>4 631</w:t>
            </w:r>
          </w:p>
        </w:tc>
        <w:tc>
          <w:tcPr>
            <w:tcW w:w="908" w:type="dxa"/>
          </w:tcPr>
          <w:p w14:paraId="420ADCAB" w14:textId="77777777" w:rsidR="004D42F9" w:rsidRDefault="004D42F9">
            <w:pPr>
              <w:cnfStyle w:val="000000000000" w:firstRow="0" w:lastRow="0" w:firstColumn="0" w:lastColumn="0" w:oddVBand="0" w:evenVBand="0" w:oddHBand="0" w:evenHBand="0" w:firstRowFirstColumn="0" w:firstRowLastColumn="0" w:lastRowFirstColumn="0" w:lastRowLastColumn="0"/>
            </w:pPr>
            <w:r>
              <w:t>4 473</w:t>
            </w:r>
          </w:p>
        </w:tc>
        <w:tc>
          <w:tcPr>
            <w:tcW w:w="908" w:type="dxa"/>
          </w:tcPr>
          <w:p w14:paraId="35C05F4B" w14:textId="77777777" w:rsidR="004D42F9" w:rsidRDefault="004D42F9">
            <w:pPr>
              <w:cnfStyle w:val="000000000000" w:firstRow="0" w:lastRow="0" w:firstColumn="0" w:lastColumn="0" w:oddVBand="0" w:evenVBand="0" w:oddHBand="0" w:evenHBand="0" w:firstRowFirstColumn="0" w:firstRowLastColumn="0" w:lastRowFirstColumn="0" w:lastRowLastColumn="0"/>
            </w:pPr>
            <w:r>
              <w:t>4 413</w:t>
            </w:r>
          </w:p>
        </w:tc>
        <w:tc>
          <w:tcPr>
            <w:tcW w:w="909" w:type="dxa"/>
          </w:tcPr>
          <w:p w14:paraId="30148B8D" w14:textId="77777777" w:rsidR="004D42F9" w:rsidRDefault="004D42F9">
            <w:pPr>
              <w:cnfStyle w:val="000000000000" w:firstRow="0" w:lastRow="0" w:firstColumn="0" w:lastColumn="0" w:oddVBand="0" w:evenVBand="0" w:oddHBand="0" w:evenHBand="0" w:firstRowFirstColumn="0" w:firstRowLastColumn="0" w:lastRowFirstColumn="0" w:lastRowLastColumn="0"/>
            </w:pPr>
            <w:r>
              <w:t>4 269</w:t>
            </w:r>
          </w:p>
        </w:tc>
      </w:tr>
      <w:tr w:rsidR="004D42F9" w14:paraId="564CA721" w14:textId="77777777">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1ED1875C" w14:textId="77777777" w:rsidR="004D42F9" w:rsidRDefault="004D42F9">
            <w:r>
              <w:rPr>
                <w:b/>
              </w:rPr>
              <w:t>On</w:t>
            </w:r>
            <w:r>
              <w:rPr>
                <w:b/>
              </w:rPr>
              <w:noBreakHyphen/>
              <w:t>costs</w:t>
            </w:r>
          </w:p>
        </w:tc>
        <w:tc>
          <w:tcPr>
            <w:tcW w:w="908" w:type="dxa"/>
            <w:tcBorders>
              <w:bottom w:val="single" w:sz="6" w:space="0" w:color="auto"/>
            </w:tcBorders>
          </w:tcPr>
          <w:p w14:paraId="6742A6B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1 529</w:t>
            </w:r>
          </w:p>
        </w:tc>
        <w:tc>
          <w:tcPr>
            <w:tcW w:w="908" w:type="dxa"/>
            <w:tcBorders>
              <w:bottom w:val="single" w:sz="6" w:space="0" w:color="auto"/>
            </w:tcBorders>
          </w:tcPr>
          <w:p w14:paraId="0301BF1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1 412</w:t>
            </w:r>
          </w:p>
        </w:tc>
        <w:tc>
          <w:tcPr>
            <w:tcW w:w="908" w:type="dxa"/>
            <w:tcBorders>
              <w:bottom w:val="single" w:sz="6" w:space="0" w:color="auto"/>
            </w:tcBorders>
          </w:tcPr>
          <w:p w14:paraId="750C0F8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1 428</w:t>
            </w:r>
          </w:p>
        </w:tc>
        <w:tc>
          <w:tcPr>
            <w:tcW w:w="909" w:type="dxa"/>
            <w:tcBorders>
              <w:bottom w:val="single" w:sz="6" w:space="0" w:color="auto"/>
            </w:tcBorders>
          </w:tcPr>
          <w:p w14:paraId="6ABC566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1 319</w:t>
            </w:r>
          </w:p>
        </w:tc>
      </w:tr>
      <w:tr w:rsidR="004D42F9" w14:paraId="01CEAF1F"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tcBorders>
          </w:tcPr>
          <w:p w14:paraId="55B48FC7" w14:textId="77777777" w:rsidR="004D42F9" w:rsidRDefault="004D42F9">
            <w:r>
              <w:rPr>
                <w:b/>
              </w:rPr>
              <w:t>Total current employee benefits and on</w:t>
            </w:r>
            <w:r>
              <w:rPr>
                <w:b/>
              </w:rPr>
              <w:noBreakHyphen/>
              <w:t>costs</w:t>
            </w:r>
          </w:p>
        </w:tc>
        <w:tc>
          <w:tcPr>
            <w:tcW w:w="908" w:type="dxa"/>
            <w:tcBorders>
              <w:top w:val="single" w:sz="6" w:space="0" w:color="auto"/>
            </w:tcBorders>
          </w:tcPr>
          <w:p w14:paraId="0AFCA9A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11 651</w:t>
            </w:r>
          </w:p>
        </w:tc>
        <w:tc>
          <w:tcPr>
            <w:tcW w:w="908" w:type="dxa"/>
            <w:tcBorders>
              <w:top w:val="single" w:sz="6" w:space="0" w:color="auto"/>
            </w:tcBorders>
          </w:tcPr>
          <w:p w14:paraId="1A041AE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10 673</w:t>
            </w:r>
          </w:p>
        </w:tc>
        <w:tc>
          <w:tcPr>
            <w:tcW w:w="908" w:type="dxa"/>
            <w:tcBorders>
              <w:top w:val="single" w:sz="6" w:space="0" w:color="auto"/>
            </w:tcBorders>
          </w:tcPr>
          <w:p w14:paraId="2A89814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10 954</w:t>
            </w:r>
          </w:p>
        </w:tc>
        <w:tc>
          <w:tcPr>
            <w:tcW w:w="909" w:type="dxa"/>
            <w:tcBorders>
              <w:top w:val="single" w:sz="6" w:space="0" w:color="auto"/>
            </w:tcBorders>
          </w:tcPr>
          <w:p w14:paraId="7830C3A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10 025</w:t>
            </w:r>
          </w:p>
        </w:tc>
      </w:tr>
      <w:tr w:rsidR="004D42F9" w14:paraId="23C94401" w14:textId="77777777">
        <w:tc>
          <w:tcPr>
            <w:cnfStyle w:val="001000000000" w:firstRow="0" w:lastRow="0" w:firstColumn="1" w:lastColumn="0" w:oddVBand="0" w:evenVBand="0" w:oddHBand="0" w:evenHBand="0" w:firstRowFirstColumn="0" w:firstRowLastColumn="0" w:lastRowFirstColumn="0" w:lastRowLastColumn="0"/>
            <w:tcW w:w="6005" w:type="dxa"/>
          </w:tcPr>
          <w:p w14:paraId="7120D675" w14:textId="77777777" w:rsidR="004D42F9" w:rsidRDefault="004D42F9">
            <w:r>
              <w:rPr>
                <w:b/>
              </w:rPr>
              <w:t>Non</w:t>
            </w:r>
            <w:r>
              <w:rPr>
                <w:b/>
              </w:rPr>
              <w:noBreakHyphen/>
              <w:t>current</w:t>
            </w:r>
          </w:p>
        </w:tc>
        <w:tc>
          <w:tcPr>
            <w:tcW w:w="908" w:type="dxa"/>
          </w:tcPr>
          <w:p w14:paraId="13D0281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339DCB6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4790DCE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Pr>
          <w:p w14:paraId="1B76488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20EE8FF" w14:textId="77777777">
        <w:tc>
          <w:tcPr>
            <w:cnfStyle w:val="001000000000" w:firstRow="0" w:lastRow="0" w:firstColumn="1" w:lastColumn="0" w:oddVBand="0" w:evenVBand="0" w:oddHBand="0" w:evenHBand="0" w:firstRowFirstColumn="0" w:firstRowLastColumn="0" w:lastRowFirstColumn="0" w:lastRowLastColumn="0"/>
            <w:tcW w:w="6005" w:type="dxa"/>
          </w:tcPr>
          <w:p w14:paraId="7B428F7C" w14:textId="77777777" w:rsidR="004D42F9" w:rsidRDefault="004D42F9">
            <w:r>
              <w:t>Long service leave</w:t>
            </w:r>
          </w:p>
        </w:tc>
        <w:tc>
          <w:tcPr>
            <w:tcW w:w="908" w:type="dxa"/>
          </w:tcPr>
          <w:p w14:paraId="43877FEF" w14:textId="77777777" w:rsidR="004D42F9" w:rsidRDefault="004D42F9">
            <w:pPr>
              <w:cnfStyle w:val="000000000000" w:firstRow="0" w:lastRow="0" w:firstColumn="0" w:lastColumn="0" w:oddVBand="0" w:evenVBand="0" w:oddHBand="0" w:evenHBand="0" w:firstRowFirstColumn="0" w:firstRowLastColumn="0" w:lastRowFirstColumn="0" w:lastRowLastColumn="0"/>
            </w:pPr>
            <w:r>
              <w:t>1 049</w:t>
            </w:r>
          </w:p>
        </w:tc>
        <w:tc>
          <w:tcPr>
            <w:tcW w:w="908" w:type="dxa"/>
          </w:tcPr>
          <w:p w14:paraId="4043BF47" w14:textId="77777777" w:rsidR="004D42F9" w:rsidRDefault="004D42F9">
            <w:pPr>
              <w:cnfStyle w:val="000000000000" w:firstRow="0" w:lastRow="0" w:firstColumn="0" w:lastColumn="0" w:oddVBand="0" w:evenVBand="0" w:oddHBand="0" w:evenHBand="0" w:firstRowFirstColumn="0" w:firstRowLastColumn="0" w:lastRowFirstColumn="0" w:lastRowLastColumn="0"/>
            </w:pPr>
            <w:r>
              <w:t>1 026</w:t>
            </w:r>
          </w:p>
        </w:tc>
        <w:tc>
          <w:tcPr>
            <w:tcW w:w="908" w:type="dxa"/>
          </w:tcPr>
          <w:p w14:paraId="020DDD44" w14:textId="77777777" w:rsidR="004D42F9" w:rsidRDefault="004D42F9">
            <w:pPr>
              <w:cnfStyle w:val="000000000000" w:firstRow="0" w:lastRow="0" w:firstColumn="0" w:lastColumn="0" w:oddVBand="0" w:evenVBand="0" w:oddHBand="0" w:evenHBand="0" w:firstRowFirstColumn="0" w:firstRowLastColumn="0" w:lastRowFirstColumn="0" w:lastRowLastColumn="0"/>
            </w:pPr>
            <w:r>
              <w:t>967</w:t>
            </w:r>
          </w:p>
        </w:tc>
        <w:tc>
          <w:tcPr>
            <w:tcW w:w="909" w:type="dxa"/>
          </w:tcPr>
          <w:p w14:paraId="68EE1E57" w14:textId="77777777" w:rsidR="004D42F9" w:rsidRDefault="004D42F9">
            <w:pPr>
              <w:cnfStyle w:val="000000000000" w:firstRow="0" w:lastRow="0" w:firstColumn="0" w:lastColumn="0" w:oddVBand="0" w:evenVBand="0" w:oddHBand="0" w:evenHBand="0" w:firstRowFirstColumn="0" w:firstRowLastColumn="0" w:lastRowFirstColumn="0" w:lastRowLastColumn="0"/>
            </w:pPr>
            <w:r>
              <w:t>946</w:t>
            </w:r>
          </w:p>
        </w:tc>
      </w:tr>
      <w:tr w:rsidR="004D42F9" w14:paraId="2EED91AF" w14:textId="77777777">
        <w:tc>
          <w:tcPr>
            <w:cnfStyle w:val="001000000000" w:firstRow="0" w:lastRow="0" w:firstColumn="1" w:lastColumn="0" w:oddVBand="0" w:evenVBand="0" w:oddHBand="0" w:evenHBand="0" w:firstRowFirstColumn="0" w:firstRowLastColumn="0" w:lastRowFirstColumn="0" w:lastRowLastColumn="0"/>
            <w:tcW w:w="6005" w:type="dxa"/>
            <w:tcBorders>
              <w:bottom w:val="single" w:sz="6" w:space="0" w:color="auto"/>
            </w:tcBorders>
          </w:tcPr>
          <w:p w14:paraId="610D2CA4" w14:textId="77777777" w:rsidR="004D42F9" w:rsidRDefault="004D42F9">
            <w:r>
              <w:t>On</w:t>
            </w:r>
            <w:r>
              <w:noBreakHyphen/>
              <w:t>costs</w:t>
            </w:r>
          </w:p>
        </w:tc>
        <w:tc>
          <w:tcPr>
            <w:tcW w:w="908" w:type="dxa"/>
            <w:tcBorders>
              <w:bottom w:val="single" w:sz="6" w:space="0" w:color="auto"/>
            </w:tcBorders>
          </w:tcPr>
          <w:p w14:paraId="51767DA6" w14:textId="77777777" w:rsidR="004D42F9" w:rsidRDefault="004D42F9">
            <w:pPr>
              <w:cnfStyle w:val="000000000000" w:firstRow="0" w:lastRow="0" w:firstColumn="0" w:lastColumn="0" w:oddVBand="0" w:evenVBand="0" w:oddHBand="0" w:evenHBand="0" w:firstRowFirstColumn="0" w:firstRowLastColumn="0" w:lastRowFirstColumn="0" w:lastRowLastColumn="0"/>
            </w:pPr>
            <w:r>
              <w:t>159</w:t>
            </w:r>
          </w:p>
        </w:tc>
        <w:tc>
          <w:tcPr>
            <w:tcW w:w="908" w:type="dxa"/>
            <w:tcBorders>
              <w:bottom w:val="single" w:sz="6" w:space="0" w:color="auto"/>
            </w:tcBorders>
          </w:tcPr>
          <w:p w14:paraId="49BF1CA0" w14:textId="77777777" w:rsidR="004D42F9" w:rsidRDefault="004D42F9">
            <w:pPr>
              <w:cnfStyle w:val="000000000000" w:firstRow="0" w:lastRow="0" w:firstColumn="0" w:lastColumn="0" w:oddVBand="0" w:evenVBand="0" w:oddHBand="0" w:evenHBand="0" w:firstRowFirstColumn="0" w:firstRowLastColumn="0" w:lastRowFirstColumn="0" w:lastRowLastColumn="0"/>
            </w:pPr>
            <w:r>
              <w:t>157</w:t>
            </w:r>
          </w:p>
        </w:tc>
        <w:tc>
          <w:tcPr>
            <w:tcW w:w="908" w:type="dxa"/>
            <w:tcBorders>
              <w:bottom w:val="single" w:sz="6" w:space="0" w:color="auto"/>
            </w:tcBorders>
          </w:tcPr>
          <w:p w14:paraId="43B9FF5D" w14:textId="77777777" w:rsidR="004D42F9" w:rsidRDefault="004D42F9">
            <w:pPr>
              <w:cnfStyle w:val="000000000000" w:firstRow="0" w:lastRow="0" w:firstColumn="0" w:lastColumn="0" w:oddVBand="0" w:evenVBand="0" w:oddHBand="0" w:evenHBand="0" w:firstRowFirstColumn="0" w:firstRowLastColumn="0" w:lastRowFirstColumn="0" w:lastRowLastColumn="0"/>
            </w:pPr>
            <w:r>
              <w:t>150</w:t>
            </w:r>
          </w:p>
        </w:tc>
        <w:tc>
          <w:tcPr>
            <w:tcW w:w="909" w:type="dxa"/>
            <w:tcBorders>
              <w:bottom w:val="single" w:sz="6" w:space="0" w:color="auto"/>
            </w:tcBorders>
          </w:tcPr>
          <w:p w14:paraId="51867970" w14:textId="77777777" w:rsidR="004D42F9" w:rsidRDefault="004D42F9">
            <w:pPr>
              <w:cnfStyle w:val="000000000000" w:firstRow="0" w:lastRow="0" w:firstColumn="0" w:lastColumn="0" w:oddVBand="0" w:evenVBand="0" w:oddHBand="0" w:evenHBand="0" w:firstRowFirstColumn="0" w:firstRowLastColumn="0" w:lastRowFirstColumn="0" w:lastRowLastColumn="0"/>
            </w:pPr>
            <w:r>
              <w:t>148</w:t>
            </w:r>
          </w:p>
        </w:tc>
      </w:tr>
      <w:tr w:rsidR="004D42F9" w14:paraId="1C414896"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6" w:space="0" w:color="auto"/>
            </w:tcBorders>
          </w:tcPr>
          <w:p w14:paraId="6AFAB1CD" w14:textId="77777777" w:rsidR="004D42F9" w:rsidRDefault="004D42F9">
            <w:r>
              <w:rPr>
                <w:b/>
              </w:rPr>
              <w:t>Total non</w:t>
            </w:r>
            <w:r>
              <w:rPr>
                <w:b/>
              </w:rPr>
              <w:noBreakHyphen/>
              <w:t>current employee benefits and on</w:t>
            </w:r>
            <w:r>
              <w:rPr>
                <w:b/>
              </w:rPr>
              <w:noBreakHyphen/>
              <w:t>costs</w:t>
            </w:r>
          </w:p>
        </w:tc>
        <w:tc>
          <w:tcPr>
            <w:tcW w:w="908" w:type="dxa"/>
            <w:tcBorders>
              <w:top w:val="single" w:sz="6" w:space="0" w:color="auto"/>
              <w:bottom w:val="single" w:sz="6" w:space="0" w:color="auto"/>
            </w:tcBorders>
          </w:tcPr>
          <w:p w14:paraId="2E83ED6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1 208</w:t>
            </w:r>
          </w:p>
        </w:tc>
        <w:tc>
          <w:tcPr>
            <w:tcW w:w="908" w:type="dxa"/>
            <w:tcBorders>
              <w:top w:val="single" w:sz="6" w:space="0" w:color="auto"/>
              <w:bottom w:val="single" w:sz="6" w:space="0" w:color="auto"/>
            </w:tcBorders>
          </w:tcPr>
          <w:p w14:paraId="1637398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1 183</w:t>
            </w:r>
          </w:p>
        </w:tc>
        <w:tc>
          <w:tcPr>
            <w:tcW w:w="908" w:type="dxa"/>
            <w:tcBorders>
              <w:top w:val="single" w:sz="6" w:space="0" w:color="auto"/>
              <w:bottom w:val="single" w:sz="6" w:space="0" w:color="auto"/>
            </w:tcBorders>
          </w:tcPr>
          <w:p w14:paraId="5FA5960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1 116</w:t>
            </w:r>
          </w:p>
        </w:tc>
        <w:tc>
          <w:tcPr>
            <w:tcW w:w="909" w:type="dxa"/>
            <w:tcBorders>
              <w:top w:val="single" w:sz="6" w:space="0" w:color="auto"/>
              <w:bottom w:val="single" w:sz="6" w:space="0" w:color="auto"/>
            </w:tcBorders>
          </w:tcPr>
          <w:p w14:paraId="6E78682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1 095</w:t>
            </w:r>
          </w:p>
        </w:tc>
      </w:tr>
      <w:tr w:rsidR="004D42F9" w14:paraId="52C3FC5A"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6" w:space="0" w:color="auto"/>
              <w:bottom w:val="single" w:sz="12" w:space="0" w:color="auto"/>
            </w:tcBorders>
          </w:tcPr>
          <w:p w14:paraId="0F8A6BDA" w14:textId="77777777" w:rsidR="004D42F9" w:rsidRDefault="004D42F9">
            <w:r>
              <w:rPr>
                <w:b/>
              </w:rPr>
              <w:t>Total employee benefits and on</w:t>
            </w:r>
            <w:r>
              <w:rPr>
                <w:b/>
              </w:rPr>
              <w:noBreakHyphen/>
              <w:t>costs</w:t>
            </w:r>
          </w:p>
        </w:tc>
        <w:tc>
          <w:tcPr>
            <w:tcW w:w="908" w:type="dxa"/>
            <w:tcBorders>
              <w:top w:val="single" w:sz="6" w:space="0" w:color="auto"/>
              <w:bottom w:val="single" w:sz="12" w:space="0" w:color="auto"/>
            </w:tcBorders>
          </w:tcPr>
          <w:p w14:paraId="4C58370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12 859</w:t>
            </w:r>
          </w:p>
        </w:tc>
        <w:tc>
          <w:tcPr>
            <w:tcW w:w="908" w:type="dxa"/>
            <w:tcBorders>
              <w:top w:val="single" w:sz="6" w:space="0" w:color="auto"/>
              <w:bottom w:val="single" w:sz="12" w:space="0" w:color="auto"/>
            </w:tcBorders>
          </w:tcPr>
          <w:p w14:paraId="6F42ECA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11 857</w:t>
            </w:r>
          </w:p>
        </w:tc>
        <w:tc>
          <w:tcPr>
            <w:tcW w:w="908" w:type="dxa"/>
            <w:tcBorders>
              <w:top w:val="single" w:sz="6" w:space="0" w:color="auto"/>
              <w:bottom w:val="single" w:sz="12" w:space="0" w:color="auto"/>
            </w:tcBorders>
          </w:tcPr>
          <w:p w14:paraId="757E24A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12 070</w:t>
            </w:r>
          </w:p>
        </w:tc>
        <w:tc>
          <w:tcPr>
            <w:tcW w:w="909" w:type="dxa"/>
            <w:tcBorders>
              <w:top w:val="single" w:sz="6" w:space="0" w:color="auto"/>
              <w:bottom w:val="single" w:sz="12" w:space="0" w:color="auto"/>
            </w:tcBorders>
          </w:tcPr>
          <w:p w14:paraId="0350EDE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11 120</w:t>
            </w:r>
          </w:p>
        </w:tc>
      </w:tr>
    </w:tbl>
    <w:p w14:paraId="43B4FA70" w14:textId="77777777" w:rsidR="004D42F9" w:rsidRDefault="004D42F9" w:rsidP="004D42F9"/>
    <w:p w14:paraId="19798F9B" w14:textId="77777777" w:rsidR="00643F56" w:rsidRDefault="00643F56" w:rsidP="004D42F9">
      <w:pPr>
        <w:pStyle w:val="Heading3"/>
        <w:spacing w:before="0"/>
        <w:sectPr w:rsidR="00643F56" w:rsidSect="008623A6">
          <w:headerReference w:type="even" r:id="rId66"/>
          <w:headerReference w:type="default" r:id="rId67"/>
          <w:type w:val="continuous"/>
          <w:pgSz w:w="11906" w:h="16838" w:code="9"/>
          <w:pgMar w:top="1134" w:right="1134" w:bottom="1134" w:left="1134" w:header="624" w:footer="567" w:gutter="0"/>
          <w:cols w:space="708"/>
          <w:docGrid w:linePitch="360"/>
        </w:sectPr>
      </w:pPr>
    </w:p>
    <w:p w14:paraId="10F88131" w14:textId="77777777" w:rsidR="004D42F9" w:rsidRDefault="004D42F9" w:rsidP="00643F56">
      <w:pPr>
        <w:pStyle w:val="Heading3"/>
        <w:spacing w:before="0"/>
      </w:pPr>
      <w:r>
        <w:t xml:space="preserve">Wages and salaries and annual leave </w:t>
      </w:r>
    </w:p>
    <w:p w14:paraId="2880FADC" w14:textId="77777777" w:rsidR="004D42F9" w:rsidRDefault="004D42F9" w:rsidP="004D42F9">
      <w:r>
        <w:t>Liabilities for employee benefits are recognised in the provision for employee benefits and classified as current liabilities where the State does not have an unconditional right to defer settlement of these liabilities</w:t>
      </w:r>
    </w:p>
    <w:p w14:paraId="77249D64" w14:textId="77777777" w:rsidR="004D42F9" w:rsidRDefault="004D42F9" w:rsidP="004D42F9">
      <w:pPr>
        <w:pStyle w:val="Heading3"/>
      </w:pPr>
      <w:r>
        <w:t>Long service leave</w:t>
      </w:r>
    </w:p>
    <w:p w14:paraId="52B6EC81" w14:textId="77777777" w:rsidR="004D42F9" w:rsidRDefault="004D42F9" w:rsidP="004D42F9">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4E9BEF59" w14:textId="77777777" w:rsidR="004D42F9" w:rsidRDefault="004D42F9" w:rsidP="004D42F9">
      <w:r>
        <w:t>The components of this current LSL liability are measured at:</w:t>
      </w:r>
    </w:p>
    <w:p w14:paraId="4F3A050B" w14:textId="77777777" w:rsidR="004D42F9" w:rsidRPr="008D0FA7" w:rsidRDefault="004D42F9" w:rsidP="004D42F9">
      <w:pPr>
        <w:pStyle w:val="ListBullet"/>
        <w:keepLines/>
        <w:numPr>
          <w:ilvl w:val="0"/>
          <w:numId w:val="27"/>
        </w:numPr>
      </w:pPr>
      <w:r w:rsidRPr="008D0FA7">
        <w:t>undiscounted value – if the State expects to wholly settle within 12 months</w:t>
      </w:r>
    </w:p>
    <w:p w14:paraId="7FE05D6B" w14:textId="77777777" w:rsidR="004D42F9" w:rsidRPr="008D0FA7" w:rsidRDefault="004D42F9" w:rsidP="004D42F9">
      <w:pPr>
        <w:pStyle w:val="ListBullet"/>
        <w:keepLines/>
        <w:numPr>
          <w:ilvl w:val="0"/>
          <w:numId w:val="27"/>
        </w:numPr>
      </w:pPr>
      <w:r w:rsidRPr="008D0FA7">
        <w:t>present value – if the State does not expect to wholly settle within 12 months.</w:t>
      </w:r>
    </w:p>
    <w:p w14:paraId="5D6CDDB0" w14:textId="19B48ED8" w:rsidR="004D42F9" w:rsidRDefault="004D42F9" w:rsidP="004D42F9">
      <w:r>
        <w:t>Conditional LSL is disclosed as a non-current liability as there is a right to defer the settlement of the entitlement until the employee has completed the requisite years of service. This non</w:t>
      </w:r>
      <w:r>
        <w:noBreakHyphen/>
        <w:t>current LSL liability is measured at present value.</w:t>
      </w:r>
    </w:p>
    <w:p w14:paraId="348180AE" w14:textId="77777777" w:rsidR="004D42F9" w:rsidRDefault="004D42F9" w:rsidP="004D42F9">
      <w:r>
        <w:t>Any gain or loss following revaluation of the present value of the non-current LSL liability is recognised as a transaction, except to the extent that a gain or loss arises due to changes in bond interest rates for which it is then recognised as an other economic flow in the net result.</w:t>
      </w:r>
    </w:p>
    <w:p w14:paraId="67326195" w14:textId="3ED8A745" w:rsidR="004D42F9" w:rsidRDefault="00643F56" w:rsidP="00643F56">
      <w:pPr>
        <w:pStyle w:val="Heading3"/>
        <w:spacing w:before="0"/>
      </w:pPr>
      <w:r>
        <w:br w:type="column"/>
      </w:r>
      <w:r w:rsidR="004D42F9">
        <w:t>On-costs</w:t>
      </w:r>
    </w:p>
    <w:p w14:paraId="12D6912F" w14:textId="77777777" w:rsidR="004D42F9" w:rsidRDefault="004D42F9" w:rsidP="004D42F9">
      <w:r>
        <w:t>Employee benefits on-costs, including superannuation, are recognised as a component of the provision for employee benefits.</w:t>
      </w:r>
    </w:p>
    <w:p w14:paraId="6786E14F" w14:textId="77777777" w:rsidR="00643F56" w:rsidRDefault="00643F56" w:rsidP="004D42F9">
      <w:pPr>
        <w:keepLines w:val="0"/>
        <w:sectPr w:rsidR="00643F56" w:rsidSect="00643F56">
          <w:type w:val="continuous"/>
          <w:pgSz w:w="11906" w:h="16838" w:code="9"/>
          <w:pgMar w:top="1134" w:right="1134" w:bottom="1134" w:left="1134" w:header="624" w:footer="567" w:gutter="0"/>
          <w:cols w:num="2" w:space="708"/>
          <w:docGrid w:linePitch="360"/>
        </w:sectPr>
      </w:pPr>
    </w:p>
    <w:p w14:paraId="447695D5" w14:textId="77777777" w:rsidR="004D42F9" w:rsidRDefault="004D42F9" w:rsidP="00643F56">
      <w:pPr>
        <w:pStyle w:val="Heading2"/>
        <w:spacing w:before="0"/>
      </w:pPr>
      <w:bookmarkStart w:id="76" w:name="_Toc209476184"/>
      <w:r>
        <w:lastRenderedPageBreak/>
        <w:t>3.2</w:t>
      </w:r>
      <w:r>
        <w:tab/>
        <w:t>Superannuation interest expense and other superannuation expenses</w:t>
      </w:r>
      <w:bookmarkEnd w:id="76"/>
    </w:p>
    <w:p w14:paraId="554C5E0A" w14:textId="77777777" w:rsidR="00643F56" w:rsidRDefault="00643F56" w:rsidP="004D42F9">
      <w:pPr>
        <w:pStyle w:val="Heading3"/>
        <w:ind w:left="0" w:firstLine="0"/>
        <w:sectPr w:rsidR="00643F56" w:rsidSect="008623A6">
          <w:headerReference w:type="even" r:id="rId68"/>
          <w:headerReference w:type="default" r:id="rId69"/>
          <w:type w:val="continuous"/>
          <w:pgSz w:w="11906" w:h="16838" w:code="9"/>
          <w:pgMar w:top="1134" w:right="1134" w:bottom="1134" w:left="1134" w:header="624" w:footer="567" w:gutter="0"/>
          <w:cols w:space="708"/>
          <w:docGrid w:linePitch="360"/>
        </w:sectPr>
      </w:pPr>
    </w:p>
    <w:p w14:paraId="145ED9DC" w14:textId="77777777" w:rsidR="004D42F9" w:rsidRDefault="004D42F9" w:rsidP="004D42F9">
      <w:pPr>
        <w:pStyle w:val="Heading3"/>
        <w:ind w:left="0" w:firstLine="0"/>
      </w:pPr>
      <w:r w:rsidRPr="008006AA">
        <w:t>Superannuation</w:t>
      </w:r>
      <w:r>
        <w:t xml:space="preserve"> expense recognised in the operating statement</w:t>
      </w:r>
    </w:p>
    <w:p w14:paraId="15D8795B" w14:textId="77777777" w:rsidR="004D42F9" w:rsidRDefault="004D42F9" w:rsidP="004D42F9">
      <w:r>
        <w:t>The State recognises the net superannuation expense from transactions on the following basis:</w:t>
      </w:r>
    </w:p>
    <w:p w14:paraId="2CB466E2" w14:textId="77777777" w:rsidR="004D42F9" w:rsidRPr="008D0FA7" w:rsidRDefault="004D42F9" w:rsidP="004D42F9">
      <w:pPr>
        <w:pStyle w:val="ListBullet"/>
        <w:keepLines/>
        <w:numPr>
          <w:ilvl w:val="0"/>
          <w:numId w:val="27"/>
        </w:numPr>
      </w:pPr>
      <w:r w:rsidRPr="008D0FA7">
        <w:t>in relation to defined contribution (i.e.</w:t>
      </w:r>
      <w:r>
        <w:t> </w:t>
      </w:r>
      <w:r w:rsidRPr="008D0FA7">
        <w:t>accumulation) superannuation plans, the associated expense is simply the employer contributions that are paid or payable in respect of employees who are members of these plans during the reporting period</w:t>
      </w:r>
    </w:p>
    <w:p w14:paraId="1FDBC93D" w14:textId="77777777" w:rsidR="004D42F9" w:rsidRDefault="004D42F9" w:rsidP="004D42F9">
      <w:pPr>
        <w:pStyle w:val="ListBullet"/>
        <w:keepLines/>
        <w:numPr>
          <w:ilvl w:val="0"/>
          <w:numId w:val="27"/>
        </w:numPr>
      </w:pPr>
      <w:r w:rsidRPr="008D0FA7">
        <w:t>for defined benefit plans, the superannuation expense reflects the employer financed component of defined benefits that are expected to accrue over the reporting period (i.e. service cost), along with the net superannuation interest expense.</w:t>
      </w:r>
    </w:p>
    <w:p w14:paraId="4DC3FA88" w14:textId="77777777" w:rsidR="004D42F9" w:rsidRDefault="004D42F9" w:rsidP="00643F56">
      <w:pPr>
        <w:spacing w:before="240"/>
      </w:pPr>
      <w:r>
        <w:t>Remeasurements of the net superannuation liability are recognised under other economic flows – other comprehensive income and consist of:</w:t>
      </w:r>
    </w:p>
    <w:p w14:paraId="726F1748" w14:textId="77777777" w:rsidR="004D42F9" w:rsidRDefault="004D42F9" w:rsidP="004D42F9">
      <w:pPr>
        <w:pStyle w:val="ListBullet"/>
        <w:keepLines/>
        <w:numPr>
          <w:ilvl w:val="0"/>
          <w:numId w:val="27"/>
        </w:numPr>
      </w:pPr>
      <w:r>
        <w:t>actuarial gains and losses, which reflect changes in the defined benefit obligation that have arisen due to differences between actual outcomes and the assumptions used to calculate the superannuation expense from transactions</w:t>
      </w:r>
    </w:p>
    <w:p w14:paraId="2ADD2A3B" w14:textId="77777777" w:rsidR="004D42F9" w:rsidRPr="008D0FA7" w:rsidRDefault="004D42F9" w:rsidP="004D42F9">
      <w:pPr>
        <w:pStyle w:val="ListBullet"/>
        <w:keepLines/>
        <w:numPr>
          <w:ilvl w:val="0"/>
          <w:numId w:val="27"/>
        </w:numPr>
      </w:pPr>
      <w:r w:rsidRPr="008D0FA7">
        <w:t>the return on plan assets, excluding amounts included in the net superannuation interest expense</w:t>
      </w:r>
    </w:p>
    <w:p w14:paraId="01A9E3B1" w14:textId="77777777" w:rsidR="004D42F9" w:rsidRPr="008D0FA7" w:rsidRDefault="004D42F9" w:rsidP="004D42F9">
      <w:pPr>
        <w:pStyle w:val="ListBullet"/>
        <w:keepLines/>
        <w:numPr>
          <w:ilvl w:val="0"/>
          <w:numId w:val="27"/>
        </w:numPr>
      </w:pPr>
      <w:r w:rsidRPr="008D0FA7">
        <w:t>the effect of any change in actuarial assumptions during the period.</w:t>
      </w:r>
    </w:p>
    <w:p w14:paraId="6D90B100" w14:textId="77777777" w:rsidR="004D42F9" w:rsidRDefault="004D42F9" w:rsidP="004D42F9">
      <w:r>
        <w:t xml:space="preserve">These remeasurements are fully recognised as other comprehensive income in the period in which they occur. </w:t>
      </w:r>
    </w:p>
    <w:p w14:paraId="6DC094F9" w14:textId="77777777" w:rsidR="00643F56" w:rsidRDefault="00643F56" w:rsidP="004D42F9">
      <w:pPr>
        <w:sectPr w:rsidR="00643F56" w:rsidSect="00643F56">
          <w:type w:val="continuous"/>
          <w:pgSz w:w="11906" w:h="16838" w:code="9"/>
          <w:pgMar w:top="1134" w:right="1134" w:bottom="1134" w:left="1134" w:header="624" w:footer="567" w:gutter="0"/>
          <w:cols w:num="2" w:space="708"/>
          <w:docGrid w:linePitch="360"/>
        </w:sectPr>
      </w:pPr>
    </w:p>
    <w:p w14:paraId="62E33394" w14:textId="77777777" w:rsidR="004D42F9" w:rsidRDefault="004D42F9" w:rsidP="004D42F9"/>
    <w:p w14:paraId="413E8D68" w14:textId="77777777" w:rsidR="004D42F9" w:rsidRDefault="004D42F9" w:rsidP="004D42F9">
      <w:pPr>
        <w:pStyle w:val="TableHeading"/>
      </w:pPr>
      <w:r>
        <w:t xml:space="preserve">Superannuation expense recognised in the operating statement </w:t>
      </w:r>
      <w:r w:rsidRPr="00CC0FAE">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Superannuation_OS"/>
      </w:tblPr>
      <w:tblGrid>
        <w:gridCol w:w="7824"/>
        <w:gridCol w:w="907"/>
        <w:gridCol w:w="907"/>
      </w:tblGrid>
      <w:tr w:rsidR="004D42F9" w14:paraId="14CB196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7C3A40D" w14:textId="77777777" w:rsidR="004D42F9" w:rsidRDefault="004D42F9">
            <w:pPr>
              <w:keepNext/>
            </w:pPr>
          </w:p>
        </w:tc>
        <w:tc>
          <w:tcPr>
            <w:tcW w:w="1814" w:type="dxa"/>
            <w:gridSpan w:val="2"/>
          </w:tcPr>
          <w:p w14:paraId="4779555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7198E66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4E99A256" w14:textId="77777777" w:rsidR="004D42F9" w:rsidRDefault="004D42F9">
            <w:pPr>
              <w:keepNext/>
            </w:pPr>
          </w:p>
        </w:tc>
        <w:tc>
          <w:tcPr>
            <w:tcW w:w="907" w:type="dxa"/>
          </w:tcPr>
          <w:p w14:paraId="76F59FF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807E2E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BBF0332" w14:textId="77777777">
        <w:tc>
          <w:tcPr>
            <w:cnfStyle w:val="001000000000" w:firstRow="0" w:lastRow="0" w:firstColumn="1" w:lastColumn="0" w:oddVBand="0" w:evenVBand="0" w:oddHBand="0" w:evenHBand="0" w:firstRowFirstColumn="0" w:firstRowLastColumn="0" w:lastRowFirstColumn="0" w:lastRowLastColumn="0"/>
            <w:tcW w:w="7824" w:type="dxa"/>
          </w:tcPr>
          <w:p w14:paraId="11CCBF03" w14:textId="77777777" w:rsidR="004D42F9" w:rsidRDefault="004D42F9">
            <w:r>
              <w:rPr>
                <w:b/>
              </w:rPr>
              <w:t>Defined benefit plans</w:t>
            </w:r>
          </w:p>
        </w:tc>
        <w:tc>
          <w:tcPr>
            <w:tcW w:w="907" w:type="dxa"/>
          </w:tcPr>
          <w:p w14:paraId="76C8A0A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9C7A98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BBF0596" w14:textId="77777777">
        <w:tc>
          <w:tcPr>
            <w:cnfStyle w:val="001000000000" w:firstRow="0" w:lastRow="0" w:firstColumn="1" w:lastColumn="0" w:oddVBand="0" w:evenVBand="0" w:oddHBand="0" w:evenHBand="0" w:firstRowFirstColumn="0" w:firstRowLastColumn="0" w:lastRowFirstColumn="0" w:lastRowLastColumn="0"/>
            <w:tcW w:w="7824" w:type="dxa"/>
          </w:tcPr>
          <w:p w14:paraId="79EA719F" w14:textId="77777777" w:rsidR="004D42F9" w:rsidRDefault="004D42F9">
            <w:r>
              <w:t>Net superannuation interest expense</w:t>
            </w:r>
          </w:p>
        </w:tc>
        <w:tc>
          <w:tcPr>
            <w:tcW w:w="907" w:type="dxa"/>
          </w:tcPr>
          <w:p w14:paraId="3215E683" w14:textId="77777777" w:rsidR="004D42F9" w:rsidRDefault="004D42F9">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0D38EBE9" w14:textId="77777777" w:rsidR="004D42F9" w:rsidRDefault="004D42F9">
            <w:pPr>
              <w:cnfStyle w:val="000000000000" w:firstRow="0" w:lastRow="0" w:firstColumn="0" w:lastColumn="0" w:oddVBand="0" w:evenVBand="0" w:oddHBand="0" w:evenHBand="0" w:firstRowFirstColumn="0" w:firstRowLastColumn="0" w:lastRowFirstColumn="0" w:lastRowLastColumn="0"/>
            </w:pPr>
            <w:r>
              <w:t>775</w:t>
            </w:r>
          </w:p>
        </w:tc>
      </w:tr>
      <w:tr w:rsidR="004D42F9" w14:paraId="67777EB4" w14:textId="77777777">
        <w:tc>
          <w:tcPr>
            <w:cnfStyle w:val="001000000000" w:firstRow="0" w:lastRow="0" w:firstColumn="1" w:lastColumn="0" w:oddVBand="0" w:evenVBand="0" w:oddHBand="0" w:evenHBand="0" w:firstRowFirstColumn="0" w:firstRowLastColumn="0" w:lastRowFirstColumn="0" w:lastRowLastColumn="0"/>
            <w:tcW w:w="7824" w:type="dxa"/>
          </w:tcPr>
          <w:p w14:paraId="4A463152" w14:textId="77777777" w:rsidR="004D42F9" w:rsidRDefault="004D42F9">
            <w:r>
              <w:t>Current service cost</w:t>
            </w:r>
          </w:p>
        </w:tc>
        <w:tc>
          <w:tcPr>
            <w:tcW w:w="907" w:type="dxa"/>
          </w:tcPr>
          <w:p w14:paraId="01DEEADD"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1 006</w:t>
            </w:r>
          </w:p>
        </w:tc>
        <w:tc>
          <w:tcPr>
            <w:tcW w:w="907" w:type="dxa"/>
          </w:tcPr>
          <w:p w14:paraId="5FE4CC1E" w14:textId="77777777" w:rsidR="004D42F9" w:rsidRDefault="004D42F9">
            <w:pPr>
              <w:cnfStyle w:val="000000000000" w:firstRow="0" w:lastRow="0" w:firstColumn="0" w:lastColumn="0" w:oddVBand="0" w:evenVBand="0" w:oddHBand="0" w:evenHBand="0" w:firstRowFirstColumn="0" w:firstRowLastColumn="0" w:lastRowFirstColumn="0" w:lastRowLastColumn="0"/>
            </w:pPr>
            <w:r>
              <w:t>947</w:t>
            </w:r>
          </w:p>
        </w:tc>
      </w:tr>
      <w:tr w:rsidR="004D42F9" w14:paraId="3D099A32" w14:textId="77777777">
        <w:tc>
          <w:tcPr>
            <w:cnfStyle w:val="001000000000" w:firstRow="0" w:lastRow="0" w:firstColumn="1" w:lastColumn="0" w:oddVBand="0" w:evenVBand="0" w:oddHBand="0" w:evenHBand="0" w:firstRowFirstColumn="0" w:firstRowLastColumn="0" w:lastRowFirstColumn="0" w:lastRowLastColumn="0"/>
            <w:tcW w:w="7824" w:type="dxa"/>
          </w:tcPr>
          <w:p w14:paraId="6E44AE22" w14:textId="77777777" w:rsidR="004D42F9" w:rsidRDefault="004D42F9">
            <w:r>
              <w:t>Remeasurements:</w:t>
            </w:r>
          </w:p>
        </w:tc>
        <w:tc>
          <w:tcPr>
            <w:tcW w:w="907" w:type="dxa"/>
          </w:tcPr>
          <w:p w14:paraId="5BD93A0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793D2C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7D5ACB3" w14:textId="77777777">
        <w:tc>
          <w:tcPr>
            <w:cnfStyle w:val="001000000000" w:firstRow="0" w:lastRow="0" w:firstColumn="1" w:lastColumn="0" w:oddVBand="0" w:evenVBand="0" w:oddHBand="0" w:evenHBand="0" w:firstRowFirstColumn="0" w:firstRowLastColumn="0" w:lastRowFirstColumn="0" w:lastRowLastColumn="0"/>
            <w:tcW w:w="7824" w:type="dxa"/>
          </w:tcPr>
          <w:p w14:paraId="346D46B5" w14:textId="77777777" w:rsidR="004D42F9" w:rsidRDefault="004D42F9">
            <w:r>
              <w:t>Expected return on superannuation assets excluding interest income</w:t>
            </w:r>
          </w:p>
        </w:tc>
        <w:tc>
          <w:tcPr>
            <w:tcW w:w="907" w:type="dxa"/>
          </w:tcPr>
          <w:p w14:paraId="5F3E5FB9" w14:textId="77777777" w:rsidR="004D42F9" w:rsidRDefault="004D42F9">
            <w:pPr>
              <w:cnfStyle w:val="000000000000" w:firstRow="0" w:lastRow="0" w:firstColumn="0" w:lastColumn="0" w:oddVBand="0" w:evenVBand="0" w:oddHBand="0" w:evenHBand="0" w:firstRowFirstColumn="0" w:firstRowLastColumn="0" w:lastRowFirstColumn="0" w:lastRowLastColumn="0"/>
            </w:pPr>
            <w:r>
              <w:t>(641)</w:t>
            </w:r>
          </w:p>
        </w:tc>
        <w:tc>
          <w:tcPr>
            <w:tcW w:w="907" w:type="dxa"/>
          </w:tcPr>
          <w:p w14:paraId="76EB3177" w14:textId="77777777" w:rsidR="004D42F9" w:rsidRDefault="004D42F9">
            <w:pPr>
              <w:cnfStyle w:val="000000000000" w:firstRow="0" w:lastRow="0" w:firstColumn="0" w:lastColumn="0" w:oddVBand="0" w:evenVBand="0" w:oddHBand="0" w:evenHBand="0" w:firstRowFirstColumn="0" w:firstRowLastColumn="0" w:lastRowFirstColumn="0" w:lastRowLastColumn="0"/>
            </w:pPr>
            <w:r>
              <w:t>(722)</w:t>
            </w:r>
          </w:p>
        </w:tc>
      </w:tr>
      <w:tr w:rsidR="004D42F9" w14:paraId="238BD5E0" w14:textId="77777777">
        <w:tc>
          <w:tcPr>
            <w:cnfStyle w:val="001000000000" w:firstRow="0" w:lastRow="0" w:firstColumn="1" w:lastColumn="0" w:oddVBand="0" w:evenVBand="0" w:oddHBand="0" w:evenHBand="0" w:firstRowFirstColumn="0" w:firstRowLastColumn="0" w:lastRowFirstColumn="0" w:lastRowLastColumn="0"/>
            <w:tcW w:w="7824" w:type="dxa"/>
          </w:tcPr>
          <w:p w14:paraId="1B4F1C48" w14:textId="77777777" w:rsidR="004D42F9" w:rsidRDefault="004D42F9">
            <w:r>
              <w:t>Other actuarial (gain)/loss on superannuation assets</w:t>
            </w:r>
          </w:p>
        </w:tc>
        <w:tc>
          <w:tcPr>
            <w:tcW w:w="907" w:type="dxa"/>
          </w:tcPr>
          <w:p w14:paraId="44FCB40C" w14:textId="77777777" w:rsidR="004D42F9" w:rsidRDefault="004D42F9">
            <w:pPr>
              <w:cnfStyle w:val="000000000000" w:firstRow="0" w:lastRow="0" w:firstColumn="0" w:lastColumn="0" w:oddVBand="0" w:evenVBand="0" w:oddHBand="0" w:evenHBand="0" w:firstRowFirstColumn="0" w:firstRowLastColumn="0" w:lastRowFirstColumn="0" w:lastRowLastColumn="0"/>
            </w:pPr>
            <w:r>
              <w:t>(579)</w:t>
            </w:r>
          </w:p>
        </w:tc>
        <w:tc>
          <w:tcPr>
            <w:tcW w:w="907" w:type="dxa"/>
          </w:tcPr>
          <w:p w14:paraId="2D940B8C" w14:textId="77777777" w:rsidR="004D42F9" w:rsidRDefault="004D42F9">
            <w:pPr>
              <w:cnfStyle w:val="000000000000" w:firstRow="0" w:lastRow="0" w:firstColumn="0" w:lastColumn="0" w:oddVBand="0" w:evenVBand="0" w:oddHBand="0" w:evenHBand="0" w:firstRowFirstColumn="0" w:firstRowLastColumn="0" w:lastRowFirstColumn="0" w:lastRowLastColumn="0"/>
            </w:pPr>
            <w:r>
              <w:t>(264)</w:t>
            </w:r>
          </w:p>
        </w:tc>
      </w:tr>
      <w:tr w:rsidR="004D42F9" w14:paraId="3FC18E89" w14:textId="77777777">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4698A7F3" w14:textId="77777777" w:rsidR="004D42F9" w:rsidRDefault="004D42F9">
            <w:r>
              <w:t>Actuarial and other adjustments to unfunded superannuation liability</w:t>
            </w:r>
          </w:p>
        </w:tc>
        <w:tc>
          <w:tcPr>
            <w:tcW w:w="907" w:type="dxa"/>
            <w:tcBorders>
              <w:bottom w:val="single" w:sz="6" w:space="0" w:color="auto"/>
            </w:tcBorders>
          </w:tcPr>
          <w:p w14:paraId="696FEA3E" w14:textId="77777777" w:rsidR="004D42F9" w:rsidRDefault="004D42F9">
            <w:pPr>
              <w:cnfStyle w:val="000000000000" w:firstRow="0" w:lastRow="0" w:firstColumn="0" w:lastColumn="0" w:oddVBand="0" w:evenVBand="0" w:oddHBand="0" w:evenHBand="0" w:firstRowFirstColumn="0" w:firstRowLastColumn="0" w:lastRowFirstColumn="0" w:lastRowLastColumn="0"/>
            </w:pPr>
            <w:r>
              <w:t>425</w:t>
            </w:r>
          </w:p>
        </w:tc>
        <w:tc>
          <w:tcPr>
            <w:tcW w:w="907" w:type="dxa"/>
            <w:tcBorders>
              <w:bottom w:val="single" w:sz="6" w:space="0" w:color="auto"/>
            </w:tcBorders>
          </w:tcPr>
          <w:p w14:paraId="057A4BFB" w14:textId="77777777" w:rsidR="004D42F9" w:rsidRDefault="004D42F9">
            <w:pPr>
              <w:cnfStyle w:val="000000000000" w:firstRow="0" w:lastRow="0" w:firstColumn="0" w:lastColumn="0" w:oddVBand="0" w:evenVBand="0" w:oddHBand="0" w:evenHBand="0" w:firstRowFirstColumn="0" w:firstRowLastColumn="0" w:lastRowFirstColumn="0" w:lastRowLastColumn="0"/>
            </w:pPr>
            <w:r>
              <w:t>(689)</w:t>
            </w:r>
          </w:p>
        </w:tc>
      </w:tr>
      <w:tr w:rsidR="004D42F9" w14:paraId="4C60B7E0"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7F85FA01" w14:textId="77777777" w:rsidR="004D42F9" w:rsidRDefault="004D42F9">
            <w:r>
              <w:rPr>
                <w:b/>
              </w:rPr>
              <w:t>Total expense recognised in respect of defined benefit plans</w:t>
            </w:r>
          </w:p>
        </w:tc>
        <w:tc>
          <w:tcPr>
            <w:tcW w:w="907" w:type="dxa"/>
            <w:tcBorders>
              <w:top w:val="single" w:sz="6" w:space="0" w:color="auto"/>
            </w:tcBorders>
          </w:tcPr>
          <w:p w14:paraId="51D4E93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995</w:t>
            </w:r>
          </w:p>
        </w:tc>
        <w:tc>
          <w:tcPr>
            <w:tcW w:w="907" w:type="dxa"/>
            <w:tcBorders>
              <w:top w:val="single" w:sz="6" w:space="0" w:color="auto"/>
            </w:tcBorders>
          </w:tcPr>
          <w:p w14:paraId="70035F0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48</w:t>
            </w:r>
          </w:p>
        </w:tc>
      </w:tr>
      <w:tr w:rsidR="004D42F9" w14:paraId="6AB164F5" w14:textId="77777777">
        <w:tc>
          <w:tcPr>
            <w:cnfStyle w:val="001000000000" w:firstRow="0" w:lastRow="0" w:firstColumn="1" w:lastColumn="0" w:oddVBand="0" w:evenVBand="0" w:oddHBand="0" w:evenHBand="0" w:firstRowFirstColumn="0" w:firstRowLastColumn="0" w:lastRowFirstColumn="0" w:lastRowLastColumn="0"/>
            <w:tcW w:w="7824" w:type="dxa"/>
          </w:tcPr>
          <w:p w14:paraId="357AF8CC" w14:textId="77777777" w:rsidR="004D42F9" w:rsidRDefault="004D42F9">
            <w:r>
              <w:rPr>
                <w:b/>
              </w:rPr>
              <w:t>Defined contribution plans</w:t>
            </w:r>
          </w:p>
        </w:tc>
        <w:tc>
          <w:tcPr>
            <w:tcW w:w="907" w:type="dxa"/>
          </w:tcPr>
          <w:p w14:paraId="49A77D9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9897DF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BBF8DD9" w14:textId="77777777">
        <w:tc>
          <w:tcPr>
            <w:cnfStyle w:val="001000000000" w:firstRow="0" w:lastRow="0" w:firstColumn="1" w:lastColumn="0" w:oddVBand="0" w:evenVBand="0" w:oddHBand="0" w:evenHBand="0" w:firstRowFirstColumn="0" w:firstRowLastColumn="0" w:lastRowFirstColumn="0" w:lastRowLastColumn="0"/>
            <w:tcW w:w="7824" w:type="dxa"/>
          </w:tcPr>
          <w:p w14:paraId="327B061D" w14:textId="77777777" w:rsidR="004D42F9" w:rsidRDefault="004D42F9">
            <w:r>
              <w:t>Employer contributions to defined contribution plans</w:t>
            </w:r>
          </w:p>
        </w:tc>
        <w:tc>
          <w:tcPr>
            <w:tcW w:w="907" w:type="dxa"/>
          </w:tcPr>
          <w:p w14:paraId="34A64AB9" w14:textId="77777777" w:rsidR="004D42F9" w:rsidRDefault="004D42F9">
            <w:pPr>
              <w:cnfStyle w:val="000000000000" w:firstRow="0" w:lastRow="0" w:firstColumn="0" w:lastColumn="0" w:oddVBand="0" w:evenVBand="0" w:oddHBand="0" w:evenHBand="0" w:firstRowFirstColumn="0" w:firstRowLastColumn="0" w:lastRowFirstColumn="0" w:lastRowLastColumn="0"/>
            </w:pPr>
            <w:r>
              <w:t>3 704</w:t>
            </w:r>
          </w:p>
        </w:tc>
        <w:tc>
          <w:tcPr>
            <w:tcW w:w="907" w:type="dxa"/>
          </w:tcPr>
          <w:p w14:paraId="6A8D59EB" w14:textId="77777777" w:rsidR="004D42F9" w:rsidRDefault="004D42F9">
            <w:pPr>
              <w:cnfStyle w:val="000000000000" w:firstRow="0" w:lastRow="0" w:firstColumn="0" w:lastColumn="0" w:oddVBand="0" w:evenVBand="0" w:oddHBand="0" w:evenHBand="0" w:firstRowFirstColumn="0" w:firstRowLastColumn="0" w:lastRowFirstColumn="0" w:lastRowLastColumn="0"/>
            </w:pPr>
            <w:r>
              <w:t>3 268</w:t>
            </w:r>
          </w:p>
        </w:tc>
      </w:tr>
      <w:tr w:rsidR="004D42F9" w14:paraId="1DD384FC" w14:textId="77777777">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EB192E1" w14:textId="77777777" w:rsidR="004D42F9" w:rsidRDefault="004D42F9">
            <w:r>
              <w:t>Other (including pensions)</w:t>
            </w:r>
          </w:p>
        </w:tc>
        <w:tc>
          <w:tcPr>
            <w:tcW w:w="907" w:type="dxa"/>
            <w:tcBorders>
              <w:bottom w:val="single" w:sz="6" w:space="0" w:color="auto"/>
            </w:tcBorders>
          </w:tcPr>
          <w:p w14:paraId="4D5C7B6F" w14:textId="77777777" w:rsidR="004D42F9" w:rsidRDefault="004D42F9">
            <w:pPr>
              <w:cnfStyle w:val="000000000000" w:firstRow="0" w:lastRow="0" w:firstColumn="0" w:lastColumn="0" w:oddVBand="0" w:evenVBand="0" w:oddHBand="0" w:evenHBand="0" w:firstRowFirstColumn="0" w:firstRowLastColumn="0" w:lastRowFirstColumn="0" w:lastRowLastColumn="0"/>
            </w:pPr>
            <w:r>
              <w:t>102</w:t>
            </w:r>
          </w:p>
        </w:tc>
        <w:tc>
          <w:tcPr>
            <w:tcW w:w="907" w:type="dxa"/>
            <w:tcBorders>
              <w:bottom w:val="single" w:sz="6" w:space="0" w:color="auto"/>
            </w:tcBorders>
          </w:tcPr>
          <w:p w14:paraId="6FF825EA" w14:textId="77777777" w:rsidR="004D42F9" w:rsidRDefault="004D42F9">
            <w:pPr>
              <w:cnfStyle w:val="000000000000" w:firstRow="0" w:lastRow="0" w:firstColumn="0" w:lastColumn="0" w:oddVBand="0" w:evenVBand="0" w:oddHBand="0" w:evenHBand="0" w:firstRowFirstColumn="0" w:firstRowLastColumn="0" w:lastRowFirstColumn="0" w:lastRowLastColumn="0"/>
            </w:pPr>
            <w:r>
              <w:t>97</w:t>
            </w:r>
          </w:p>
        </w:tc>
      </w:tr>
      <w:tr w:rsidR="004D42F9" w14:paraId="7A64776F"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6A17E81" w14:textId="77777777" w:rsidR="004D42F9" w:rsidRDefault="004D42F9">
            <w:r>
              <w:rPr>
                <w:b/>
              </w:rPr>
              <w:t>Total expense recognised in respect of defined contribution plans</w:t>
            </w:r>
          </w:p>
        </w:tc>
        <w:tc>
          <w:tcPr>
            <w:tcW w:w="907" w:type="dxa"/>
            <w:tcBorders>
              <w:top w:val="single" w:sz="6" w:space="0" w:color="auto"/>
              <w:bottom w:val="single" w:sz="6" w:space="0" w:color="auto"/>
            </w:tcBorders>
          </w:tcPr>
          <w:p w14:paraId="0C7EF53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3 806</w:t>
            </w:r>
          </w:p>
        </w:tc>
        <w:tc>
          <w:tcPr>
            <w:tcW w:w="907" w:type="dxa"/>
            <w:tcBorders>
              <w:top w:val="single" w:sz="6" w:space="0" w:color="auto"/>
              <w:bottom w:val="single" w:sz="6" w:space="0" w:color="auto"/>
            </w:tcBorders>
          </w:tcPr>
          <w:p w14:paraId="7D928E2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3 365</w:t>
            </w:r>
          </w:p>
        </w:tc>
      </w:tr>
      <w:tr w:rsidR="004D42F9" w14:paraId="6869B8AA"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B46D488" w14:textId="77777777" w:rsidR="004D42F9" w:rsidRDefault="004D42F9">
            <w:r>
              <w:rPr>
                <w:b/>
              </w:rPr>
              <w:t>Total superannuation (gain)/expense recognised in operating statement</w:t>
            </w:r>
          </w:p>
        </w:tc>
        <w:tc>
          <w:tcPr>
            <w:tcW w:w="907" w:type="dxa"/>
            <w:tcBorders>
              <w:top w:val="single" w:sz="6" w:space="0" w:color="auto"/>
              <w:bottom w:val="single" w:sz="12" w:space="0" w:color="auto"/>
            </w:tcBorders>
          </w:tcPr>
          <w:p w14:paraId="675465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4 802</w:t>
            </w:r>
          </w:p>
        </w:tc>
        <w:tc>
          <w:tcPr>
            <w:tcW w:w="907" w:type="dxa"/>
            <w:tcBorders>
              <w:top w:val="single" w:sz="6" w:space="0" w:color="auto"/>
              <w:bottom w:val="single" w:sz="12" w:space="0" w:color="auto"/>
            </w:tcBorders>
          </w:tcPr>
          <w:p w14:paraId="2BBF63F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3 413</w:t>
            </w:r>
          </w:p>
        </w:tc>
      </w:tr>
      <w:tr w:rsidR="004D42F9" w14:paraId="4BBEF6D8"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0" w:space="0" w:color="auto"/>
            </w:tcBorders>
          </w:tcPr>
          <w:p w14:paraId="3ADE40BA" w14:textId="77777777" w:rsidR="004D42F9" w:rsidRDefault="004D42F9">
            <w:r>
              <w:rPr>
                <w:b/>
              </w:rPr>
              <w:t>Represented by:</w:t>
            </w:r>
          </w:p>
        </w:tc>
        <w:tc>
          <w:tcPr>
            <w:tcW w:w="907" w:type="dxa"/>
            <w:tcBorders>
              <w:top w:val="single" w:sz="0" w:space="0" w:color="auto"/>
            </w:tcBorders>
          </w:tcPr>
          <w:p w14:paraId="7B65F9C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22C622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1062B83" w14:textId="77777777">
        <w:tc>
          <w:tcPr>
            <w:cnfStyle w:val="001000000000" w:firstRow="0" w:lastRow="0" w:firstColumn="1" w:lastColumn="0" w:oddVBand="0" w:evenVBand="0" w:oddHBand="0" w:evenHBand="0" w:firstRowFirstColumn="0" w:firstRowLastColumn="0" w:lastRowFirstColumn="0" w:lastRowLastColumn="0"/>
            <w:tcW w:w="7824" w:type="dxa"/>
          </w:tcPr>
          <w:p w14:paraId="78109388" w14:textId="77777777" w:rsidR="004D42F9" w:rsidRDefault="004D42F9">
            <w:r>
              <w:t>Net superannuation interest expense</w:t>
            </w:r>
          </w:p>
        </w:tc>
        <w:tc>
          <w:tcPr>
            <w:tcW w:w="907" w:type="dxa"/>
          </w:tcPr>
          <w:p w14:paraId="2EF8CB28" w14:textId="77777777" w:rsidR="004D42F9" w:rsidRDefault="004D42F9">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19969606" w14:textId="77777777" w:rsidR="004D42F9" w:rsidRDefault="004D42F9">
            <w:pPr>
              <w:cnfStyle w:val="000000000000" w:firstRow="0" w:lastRow="0" w:firstColumn="0" w:lastColumn="0" w:oddVBand="0" w:evenVBand="0" w:oddHBand="0" w:evenHBand="0" w:firstRowFirstColumn="0" w:firstRowLastColumn="0" w:lastRowFirstColumn="0" w:lastRowLastColumn="0"/>
            </w:pPr>
            <w:r>
              <w:t>775</w:t>
            </w:r>
          </w:p>
        </w:tc>
      </w:tr>
      <w:tr w:rsidR="004D42F9" w14:paraId="0F5127B7" w14:textId="77777777">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4C0176F" w14:textId="77777777" w:rsidR="004D42F9" w:rsidRDefault="004D42F9">
            <w:r>
              <w:t>Other superannuation</w:t>
            </w:r>
          </w:p>
        </w:tc>
        <w:tc>
          <w:tcPr>
            <w:tcW w:w="907" w:type="dxa"/>
            <w:tcBorders>
              <w:bottom w:val="single" w:sz="6" w:space="0" w:color="auto"/>
            </w:tcBorders>
          </w:tcPr>
          <w:p w14:paraId="784FC4CD" w14:textId="77777777" w:rsidR="004D42F9" w:rsidRDefault="004D42F9">
            <w:pPr>
              <w:cnfStyle w:val="000000000000" w:firstRow="0" w:lastRow="0" w:firstColumn="0" w:lastColumn="0" w:oddVBand="0" w:evenVBand="0" w:oddHBand="0" w:evenHBand="0" w:firstRowFirstColumn="0" w:firstRowLastColumn="0" w:lastRowFirstColumn="0" w:lastRowLastColumn="0"/>
            </w:pPr>
            <w:r>
              <w:t>4 812</w:t>
            </w:r>
          </w:p>
        </w:tc>
        <w:tc>
          <w:tcPr>
            <w:tcW w:w="907" w:type="dxa"/>
            <w:tcBorders>
              <w:bottom w:val="single" w:sz="6" w:space="0" w:color="auto"/>
            </w:tcBorders>
          </w:tcPr>
          <w:p w14:paraId="273DF79E" w14:textId="77777777" w:rsidR="004D42F9" w:rsidRDefault="004D42F9">
            <w:pPr>
              <w:cnfStyle w:val="000000000000" w:firstRow="0" w:lastRow="0" w:firstColumn="0" w:lastColumn="0" w:oddVBand="0" w:evenVBand="0" w:oddHBand="0" w:evenHBand="0" w:firstRowFirstColumn="0" w:firstRowLastColumn="0" w:lastRowFirstColumn="0" w:lastRowLastColumn="0"/>
            </w:pPr>
            <w:r>
              <w:t>4 312</w:t>
            </w:r>
          </w:p>
        </w:tc>
      </w:tr>
      <w:tr w:rsidR="004D42F9" w14:paraId="47081D06"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76D5D9D" w14:textId="77777777" w:rsidR="004D42F9" w:rsidRDefault="004D42F9">
            <w:r>
              <w:rPr>
                <w:b/>
              </w:rPr>
              <w:t>Superannuation expense from transactions</w:t>
            </w:r>
          </w:p>
        </w:tc>
        <w:tc>
          <w:tcPr>
            <w:tcW w:w="907" w:type="dxa"/>
            <w:tcBorders>
              <w:top w:val="single" w:sz="6" w:space="0" w:color="auto"/>
              <w:bottom w:val="single" w:sz="6" w:space="0" w:color="auto"/>
            </w:tcBorders>
          </w:tcPr>
          <w:p w14:paraId="79AD2A7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5 597</w:t>
            </w:r>
          </w:p>
        </w:tc>
        <w:tc>
          <w:tcPr>
            <w:tcW w:w="907" w:type="dxa"/>
            <w:tcBorders>
              <w:top w:val="single" w:sz="6" w:space="0" w:color="auto"/>
              <w:bottom w:val="single" w:sz="6" w:space="0" w:color="auto"/>
            </w:tcBorders>
          </w:tcPr>
          <w:p w14:paraId="0343470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5 088</w:t>
            </w:r>
          </w:p>
        </w:tc>
      </w:tr>
      <w:tr w:rsidR="004D42F9" w14:paraId="257ACB88"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1D4E4E58" w14:textId="77777777" w:rsidR="004D42F9" w:rsidRDefault="004D42F9">
            <w:r>
              <w:rPr>
                <w:b/>
              </w:rPr>
              <w:t>Remeasurement recognised in other comprehensive income</w:t>
            </w:r>
          </w:p>
        </w:tc>
        <w:tc>
          <w:tcPr>
            <w:tcW w:w="907" w:type="dxa"/>
            <w:tcBorders>
              <w:top w:val="single" w:sz="6" w:space="0" w:color="auto"/>
              <w:bottom w:val="single" w:sz="6" w:space="0" w:color="auto"/>
            </w:tcBorders>
          </w:tcPr>
          <w:p w14:paraId="602044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(795)</w:t>
            </w:r>
          </w:p>
        </w:tc>
        <w:tc>
          <w:tcPr>
            <w:tcW w:w="907" w:type="dxa"/>
            <w:tcBorders>
              <w:top w:val="single" w:sz="6" w:space="0" w:color="auto"/>
              <w:bottom w:val="single" w:sz="6" w:space="0" w:color="auto"/>
            </w:tcBorders>
          </w:tcPr>
          <w:p w14:paraId="50E9695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(1 675)</w:t>
            </w:r>
          </w:p>
        </w:tc>
      </w:tr>
      <w:tr w:rsidR="004D42F9" w14:paraId="24A01AC7"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2DED83A" w14:textId="77777777" w:rsidR="004D42F9" w:rsidRDefault="004D42F9">
            <w:r>
              <w:rPr>
                <w:b/>
              </w:rPr>
              <w:t>Total superannuation costs recognised in operating statement</w:t>
            </w:r>
          </w:p>
        </w:tc>
        <w:tc>
          <w:tcPr>
            <w:tcW w:w="907" w:type="dxa"/>
            <w:tcBorders>
              <w:top w:val="single" w:sz="6" w:space="0" w:color="auto"/>
              <w:bottom w:val="single" w:sz="12" w:space="0" w:color="auto"/>
            </w:tcBorders>
          </w:tcPr>
          <w:p w14:paraId="6A1A0F4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4 802</w:t>
            </w:r>
          </w:p>
        </w:tc>
        <w:tc>
          <w:tcPr>
            <w:tcW w:w="907" w:type="dxa"/>
            <w:tcBorders>
              <w:top w:val="single" w:sz="6" w:space="0" w:color="auto"/>
              <w:bottom w:val="single" w:sz="12" w:space="0" w:color="auto"/>
            </w:tcBorders>
          </w:tcPr>
          <w:p w14:paraId="04C8C0F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3 413</w:t>
            </w:r>
          </w:p>
        </w:tc>
      </w:tr>
    </w:tbl>
    <w:p w14:paraId="2D30039C" w14:textId="77777777" w:rsidR="004D42F9" w:rsidRDefault="004D42F9" w:rsidP="004D42F9">
      <w:pPr>
        <w:pStyle w:val="Note"/>
      </w:pPr>
      <w:r>
        <w:t xml:space="preserve">Note: </w:t>
      </w:r>
    </w:p>
    <w:p w14:paraId="26073DCF" w14:textId="77777777" w:rsidR="004D42F9" w:rsidRDefault="004D42F9" w:rsidP="004D42F9">
      <w:pPr>
        <w:pStyle w:val="Note"/>
      </w:pPr>
      <w:r>
        <w:t>(a)</w:t>
      </w:r>
      <w:r>
        <w:tab/>
        <w:t>The disclosure in this note is for the consolidated State of Victoria only, as greater than 95 per cent of the total is in the general government sector.</w:t>
      </w:r>
    </w:p>
    <w:p w14:paraId="7EDAE245" w14:textId="77777777" w:rsidR="004D42F9" w:rsidRDefault="004D42F9" w:rsidP="004D42F9"/>
    <w:p w14:paraId="181C66E2" w14:textId="77777777" w:rsidR="00643F56" w:rsidRDefault="00643F56" w:rsidP="004D42F9">
      <w:pPr>
        <w:spacing w:before="0"/>
        <w:rPr>
          <w:b/>
          <w:bCs/>
        </w:rPr>
        <w:sectPr w:rsidR="00643F56" w:rsidSect="008623A6">
          <w:type w:val="continuous"/>
          <w:pgSz w:w="11906" w:h="16838" w:code="9"/>
          <w:pgMar w:top="1134" w:right="1134" w:bottom="1134" w:left="1134" w:header="624" w:footer="567" w:gutter="0"/>
          <w:cols w:space="708"/>
          <w:docGrid w:linePitch="360"/>
        </w:sectPr>
      </w:pPr>
    </w:p>
    <w:p w14:paraId="2E277A7C" w14:textId="77777777" w:rsidR="004D42F9" w:rsidRDefault="004D42F9" w:rsidP="004D42F9">
      <w:pPr>
        <w:spacing w:before="0"/>
      </w:pPr>
      <w:r w:rsidRPr="00BF7A92">
        <w:rPr>
          <w:b/>
          <w:bCs/>
        </w:rPr>
        <w:t>Net superannuation interest expense</w:t>
      </w:r>
      <w:r>
        <w:t xml:space="preserve"> is the change during the period in the net defined benefit liability that arises from the passage of time. This is effectively calculated by applying the discount rate (a long-term government bond yield) to the net superannuation liability without reference to the expected rate of investment return on plan assets.</w:t>
      </w:r>
    </w:p>
    <w:p w14:paraId="3B92C5FB" w14:textId="77777777" w:rsidR="004D42F9" w:rsidRDefault="004D42F9" w:rsidP="00F35ABA">
      <w:pPr>
        <w:spacing w:before="0"/>
        <w:ind w:right="212"/>
      </w:pPr>
      <w:r w:rsidRPr="00BF7A92">
        <w:rPr>
          <w:b/>
          <w:bCs/>
        </w:rPr>
        <w:t>Other superannuation</w:t>
      </w:r>
      <w:r>
        <w:t xml:space="preserve"> includes all superannuation expenses from transactions except the net superannuation interest expense. That is, it </w:t>
      </w:r>
      <w:r w:rsidRPr="00FC4BE6">
        <w:t>includes</w:t>
      </w:r>
      <w:r>
        <w:t xml:space="preserve"> current service cost, which is the increase in entitlements associated with the employment services provided in the current period, and employer contributions to defined contribution plans.</w:t>
      </w:r>
    </w:p>
    <w:p w14:paraId="14A3BCF4" w14:textId="77777777" w:rsidR="00643F56" w:rsidRDefault="00643F56" w:rsidP="004D42F9">
      <w:pPr>
        <w:sectPr w:rsidR="00643F56" w:rsidSect="00643F56">
          <w:type w:val="continuous"/>
          <w:pgSz w:w="11906" w:h="16838" w:code="9"/>
          <w:pgMar w:top="1134" w:right="1134" w:bottom="1134" w:left="1134" w:header="624" w:footer="567" w:gutter="0"/>
          <w:cols w:num="2" w:space="708"/>
          <w:docGrid w:linePitch="360"/>
        </w:sectPr>
      </w:pPr>
    </w:p>
    <w:p w14:paraId="08C20D59" w14:textId="77777777" w:rsidR="004D42F9" w:rsidRDefault="004D42F9" w:rsidP="004D42F9"/>
    <w:p w14:paraId="1786B6AC" w14:textId="77777777" w:rsidR="004D42F9" w:rsidRDefault="004D42F9" w:rsidP="004D42F9">
      <w:pPr>
        <w:pStyle w:val="Heading2"/>
      </w:pPr>
      <w:bookmarkStart w:id="77" w:name="_Toc209476185"/>
      <w:r>
        <w:lastRenderedPageBreak/>
        <w:t>3.3</w:t>
      </w:r>
      <w:r>
        <w:tab/>
        <w:t>Superannuation</w:t>
      </w:r>
      <w:bookmarkEnd w:id="77"/>
      <w:r>
        <w:t xml:space="preserve"> </w:t>
      </w:r>
    </w:p>
    <w:p w14:paraId="3B36CDBC"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261AA5D3" w14:textId="77777777" w:rsidR="004D42F9" w:rsidRDefault="004D42F9" w:rsidP="004D42F9">
      <w:r>
        <w:t xml:space="preserve">The disclosure in this note is for the consolidated State of Victoria only, as the full value of the </w:t>
      </w:r>
      <w:r w:rsidRPr="002071E4">
        <w:t>$18.</w:t>
      </w:r>
      <w:r>
        <w:t>3 billion superannuation liability is in the general government sector.</w:t>
      </w:r>
    </w:p>
    <w:p w14:paraId="407F879A" w14:textId="77777777" w:rsidR="00322197" w:rsidRDefault="00322197" w:rsidP="004D42F9">
      <w:pPr>
        <w:pStyle w:val="Heading3"/>
        <w:sectPr w:rsidR="00322197" w:rsidSect="00322197">
          <w:type w:val="continuous"/>
          <w:pgSz w:w="11906" w:h="16838" w:code="9"/>
          <w:pgMar w:top="1134" w:right="1134" w:bottom="1134" w:left="1134" w:header="624" w:footer="567" w:gutter="0"/>
          <w:cols w:num="2" w:space="708"/>
          <w:docGrid w:linePitch="360"/>
        </w:sectPr>
      </w:pPr>
    </w:p>
    <w:p w14:paraId="6758521D" w14:textId="77777777" w:rsidR="004D42F9" w:rsidRDefault="004D42F9" w:rsidP="004D42F9">
      <w:pPr>
        <w:pStyle w:val="Heading3"/>
      </w:pPr>
      <w:r>
        <w:t>Net superannuation liability</w:t>
      </w:r>
    </w:p>
    <w:p w14:paraId="533CB89E"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425300CC" w14:textId="3643E14D" w:rsidR="004D42F9" w:rsidRDefault="004D42F9" w:rsidP="004D42F9">
      <w:r>
        <w:t>The State</w:t>
      </w:r>
      <w:r w:rsidR="00845934">
        <w:t>’</w:t>
      </w:r>
      <w:r>
        <w:t xml:space="preserve">s public sector defined benefit superannuation plans are responsible for the liability for employee superannuation entitlements. These plans are not consolidated in the </w:t>
      </w:r>
      <w:r w:rsidRPr="00960A7E">
        <w:rPr>
          <w:i/>
        </w:rPr>
        <w:t>Annual Financial Report</w:t>
      </w:r>
      <w:r>
        <w:t xml:space="preserve"> as they are not controlled by the State. However, the majority of the superannuation liability is the responsibility of the State and is recognised accordingly. </w:t>
      </w:r>
    </w:p>
    <w:p w14:paraId="055258EC" w14:textId="27930F36" w:rsidR="004D42F9" w:rsidRDefault="004D42F9" w:rsidP="004D42F9">
      <w:r>
        <w:t>At each reporting date, a net liability or asset is recognised in respect of defined benefit superannuation obligations. This is measured as the difference between the present value of the defined benefit obligations at the reporting date and the net market value of the defined benefit superannuation plans</w:t>
      </w:r>
      <w:r w:rsidR="00845934">
        <w:t>’</w:t>
      </w:r>
      <w:r>
        <w:t xml:space="preserve"> assets.</w:t>
      </w:r>
    </w:p>
    <w:p w14:paraId="4329FBCC" w14:textId="77777777" w:rsidR="004D42F9" w:rsidRDefault="004D42F9" w:rsidP="004D42F9">
      <w:r>
        <w:t xml:space="preserve">AASB 119 </w:t>
      </w:r>
      <w:r w:rsidRPr="00BD6A51">
        <w:rPr>
          <w:i/>
          <w:iCs/>
        </w:rPr>
        <w:t>Employee Benefits</w:t>
      </w:r>
      <w:r>
        <w:t xml:space="preserve"> requires the defined benefit obligation to include an assumed value of contributions tax relating to service before the reporting date or on benefits resulting from that service. The contributions tax component is calculated as the present value of the tax that is estimated to be paid on contributions that are expected to be made to fund the past service liability. These tax payments have been determined based on the deficit (if any) valued using the funding valuation assumptions, which is smaller than the deficit shown in these statements valued using the AASB 119 assumptions. The expected payments are then discounted to the reporting date using the AASB 119 discount rate.</w:t>
      </w:r>
    </w:p>
    <w:p w14:paraId="3CADA570" w14:textId="77777777" w:rsidR="004D42F9" w:rsidRDefault="004D42F9" w:rsidP="004D42F9">
      <w:r>
        <w:t>The superannuation liabilities of agencies for which the State is not responsible, such as universities, are not reflected in the balance sheet.</w:t>
      </w:r>
    </w:p>
    <w:p w14:paraId="6CB09BD7" w14:textId="7067D57A" w:rsidR="004D42F9" w:rsidRPr="00C9115A" w:rsidRDefault="00322197" w:rsidP="004D42F9">
      <w:r>
        <w:rPr>
          <w:b/>
          <w:bCs/>
        </w:rPr>
        <w:br w:type="column"/>
      </w:r>
      <w:r w:rsidR="004D42F9" w:rsidRPr="00C9115A">
        <w:rPr>
          <w:b/>
          <w:bCs/>
        </w:rPr>
        <w:t>Defined benefit plans:</w:t>
      </w:r>
      <w:r w:rsidR="004D42F9" w:rsidRPr="00C9115A">
        <w:t xml:space="preserve"> these provide benefits based on years of service and final average salary. At each reporting date, a liability or asset is recognised in respect of defined benefit superannuation obligations.</w:t>
      </w:r>
    </w:p>
    <w:p w14:paraId="4E57855C" w14:textId="77777777" w:rsidR="004D42F9" w:rsidRPr="00C9115A" w:rsidRDefault="004D42F9" w:rsidP="004D42F9">
      <w:r w:rsidRPr="00C9115A">
        <w:t xml:space="preserve">The present value of defined benefit obligations is based upon future payments, which are expected to arise due to membership of the superannuation plan to date, taking into account the taxes payable by the plan. </w:t>
      </w:r>
    </w:p>
    <w:p w14:paraId="0EA3F6D0" w14:textId="77777777" w:rsidR="004D42F9" w:rsidRPr="00C9115A" w:rsidRDefault="004D42F9" w:rsidP="004D42F9">
      <w:r w:rsidRPr="00C9115A">
        <w:t>Consideration is given to expected future salary levels and employee departures. Expected future payments are discounted to present values using yields applying to long-term Commonwealth Government bonds.</w:t>
      </w:r>
    </w:p>
    <w:p w14:paraId="43403B9D" w14:textId="77777777" w:rsidR="004D42F9" w:rsidRPr="00C9115A" w:rsidRDefault="004D42F9" w:rsidP="004D42F9">
      <w:r w:rsidRPr="00C9115A">
        <w:t>Salary and pension inflation rates are actuarial assumptions based on fund experience along with long</w:t>
      </w:r>
      <w:r>
        <w:t>-</w:t>
      </w:r>
      <w:r w:rsidRPr="00C9115A">
        <w:t xml:space="preserve">term economic and market indicators. </w:t>
      </w:r>
    </w:p>
    <w:p w14:paraId="123BDCC4" w14:textId="77777777" w:rsidR="004D42F9" w:rsidRDefault="004D42F9" w:rsidP="004D42F9">
      <w:r w:rsidRPr="00C9115A">
        <w:rPr>
          <w:b/>
          <w:bCs/>
        </w:rPr>
        <w:t>Defined contribution plans:</w:t>
      </w:r>
      <w:r w:rsidRPr="00C9115A">
        <w:t xml:space="preserve"> the State has no obligation to fund any shortfall in these funds and is only responsible for meeting agreed and/or legislated contribution requirements.</w:t>
      </w:r>
    </w:p>
    <w:p w14:paraId="5B835485" w14:textId="77777777" w:rsidR="00322197" w:rsidRDefault="00322197" w:rsidP="004D42F9">
      <w:pPr>
        <w:sectPr w:rsidR="00322197" w:rsidSect="00322197">
          <w:type w:val="continuous"/>
          <w:pgSz w:w="11906" w:h="16838" w:code="9"/>
          <w:pgMar w:top="1134" w:right="1134" w:bottom="1134" w:left="1134" w:header="624" w:footer="567" w:gutter="0"/>
          <w:cols w:num="2" w:space="708"/>
          <w:docGrid w:linePitch="360"/>
        </w:sectPr>
      </w:pPr>
    </w:p>
    <w:p w14:paraId="1D90FFCE" w14:textId="77777777" w:rsidR="004D42F9" w:rsidRDefault="004D42F9" w:rsidP="004D42F9"/>
    <w:p w14:paraId="5EB248F1" w14:textId="77777777" w:rsidR="004D42F9" w:rsidRDefault="004D42F9" w:rsidP="004D42F9">
      <w:pPr>
        <w:pStyle w:val="TableHeading"/>
        <w:pageBreakBefore/>
      </w:pPr>
      <w:r>
        <w:lastRenderedPageBreak/>
        <w:t>Net superannuation liability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uperannuation/Link_AFR_Superannuation.xlsx|Table:Super_net_liability"/>
      </w:tblPr>
      <w:tblGrid>
        <w:gridCol w:w="7371"/>
        <w:gridCol w:w="1133"/>
        <w:gridCol w:w="1134"/>
      </w:tblGrid>
      <w:tr w:rsidR="004D42F9" w14:paraId="7A58DB5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78A52DD9" w14:textId="77777777" w:rsidR="004D42F9" w:rsidRDefault="004D42F9">
            <w:pPr>
              <w:keepNext/>
            </w:pPr>
          </w:p>
        </w:tc>
        <w:tc>
          <w:tcPr>
            <w:tcW w:w="2267" w:type="dxa"/>
            <w:gridSpan w:val="2"/>
          </w:tcPr>
          <w:p w14:paraId="73DCD80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5F40C86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3DE44FA2" w14:textId="77777777" w:rsidR="004D42F9" w:rsidRDefault="004D42F9">
            <w:pPr>
              <w:keepNext/>
            </w:pPr>
          </w:p>
        </w:tc>
        <w:tc>
          <w:tcPr>
            <w:tcW w:w="1133" w:type="dxa"/>
          </w:tcPr>
          <w:p w14:paraId="7ACFD36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11ED7F7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E0232A7" w14:textId="77777777">
        <w:tc>
          <w:tcPr>
            <w:cnfStyle w:val="001000000000" w:firstRow="0" w:lastRow="0" w:firstColumn="1" w:lastColumn="0" w:oddVBand="0" w:evenVBand="0" w:oddHBand="0" w:evenHBand="0" w:firstRowFirstColumn="0" w:firstRowLastColumn="0" w:lastRowFirstColumn="0" w:lastRowLastColumn="0"/>
            <w:tcW w:w="7371" w:type="dxa"/>
          </w:tcPr>
          <w:p w14:paraId="535624FD" w14:textId="77777777" w:rsidR="004D42F9" w:rsidRDefault="004D42F9">
            <w:r>
              <w:rPr>
                <w:b/>
              </w:rPr>
              <w:t>Emergency Services and State Super</w:t>
            </w:r>
          </w:p>
        </w:tc>
        <w:tc>
          <w:tcPr>
            <w:tcW w:w="1133" w:type="dxa"/>
          </w:tcPr>
          <w:p w14:paraId="2AD5CF8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Pr>
          <w:p w14:paraId="678680A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DD68901" w14:textId="77777777">
        <w:tc>
          <w:tcPr>
            <w:cnfStyle w:val="001000000000" w:firstRow="0" w:lastRow="0" w:firstColumn="1" w:lastColumn="0" w:oddVBand="0" w:evenVBand="0" w:oddHBand="0" w:evenHBand="0" w:firstRowFirstColumn="0" w:firstRowLastColumn="0" w:lastRowFirstColumn="0" w:lastRowLastColumn="0"/>
            <w:tcW w:w="7371" w:type="dxa"/>
          </w:tcPr>
          <w:p w14:paraId="255DFC0C" w14:textId="77777777" w:rsidR="004D42F9" w:rsidRDefault="004D42F9">
            <w:r>
              <w:t>Defined benefit obligation</w:t>
            </w:r>
          </w:p>
        </w:tc>
        <w:tc>
          <w:tcPr>
            <w:tcW w:w="1133" w:type="dxa"/>
          </w:tcPr>
          <w:p w14:paraId="219B27DC" w14:textId="77777777" w:rsidR="004D42F9" w:rsidRDefault="004D42F9">
            <w:pPr>
              <w:cnfStyle w:val="000000000000" w:firstRow="0" w:lastRow="0" w:firstColumn="0" w:lastColumn="0" w:oddVBand="0" w:evenVBand="0" w:oddHBand="0" w:evenHBand="0" w:firstRowFirstColumn="0" w:firstRowLastColumn="0" w:lastRowFirstColumn="0" w:lastRowLastColumn="0"/>
            </w:pPr>
            <w:r>
              <w:t>39 886</w:t>
            </w:r>
          </w:p>
        </w:tc>
        <w:tc>
          <w:tcPr>
            <w:tcW w:w="1134" w:type="dxa"/>
          </w:tcPr>
          <w:p w14:paraId="5854F20C" w14:textId="77777777" w:rsidR="004D42F9" w:rsidRDefault="004D42F9">
            <w:pPr>
              <w:cnfStyle w:val="000000000000" w:firstRow="0" w:lastRow="0" w:firstColumn="0" w:lastColumn="0" w:oddVBand="0" w:evenVBand="0" w:oddHBand="0" w:evenHBand="0" w:firstRowFirstColumn="0" w:firstRowLastColumn="0" w:lastRowFirstColumn="0" w:lastRowLastColumn="0"/>
            </w:pPr>
            <w:r>
              <w:t>39 883</w:t>
            </w:r>
          </w:p>
        </w:tc>
      </w:tr>
      <w:tr w:rsidR="004D42F9" w14:paraId="6C13C9E9" w14:textId="77777777">
        <w:tc>
          <w:tcPr>
            <w:cnfStyle w:val="001000000000" w:firstRow="0" w:lastRow="0" w:firstColumn="1" w:lastColumn="0" w:oddVBand="0" w:evenVBand="0" w:oddHBand="0" w:evenHBand="0" w:firstRowFirstColumn="0" w:firstRowLastColumn="0" w:lastRowFirstColumn="0" w:lastRowLastColumn="0"/>
            <w:tcW w:w="7371" w:type="dxa"/>
          </w:tcPr>
          <w:p w14:paraId="3A52D29D" w14:textId="77777777" w:rsidR="004D42F9" w:rsidRDefault="004D42F9">
            <w:r>
              <w:t>Tax liability</w:t>
            </w:r>
            <w:r>
              <w:rPr>
                <w:vertAlign w:val="superscript"/>
              </w:rPr>
              <w:t xml:space="preserve"> (a)</w:t>
            </w:r>
          </w:p>
        </w:tc>
        <w:tc>
          <w:tcPr>
            <w:tcW w:w="1133" w:type="dxa"/>
          </w:tcPr>
          <w:p w14:paraId="1666B66A" w14:textId="77777777" w:rsidR="004D42F9" w:rsidRDefault="004D42F9">
            <w:pPr>
              <w:cnfStyle w:val="000000000000" w:firstRow="0" w:lastRow="0" w:firstColumn="0" w:lastColumn="0" w:oddVBand="0" w:evenVBand="0" w:oddHBand="0" w:evenHBand="0" w:firstRowFirstColumn="0" w:firstRowLastColumn="0" w:lastRowFirstColumn="0" w:lastRowLastColumn="0"/>
            </w:pPr>
            <w:r>
              <w:t>2 210</w:t>
            </w:r>
          </w:p>
        </w:tc>
        <w:tc>
          <w:tcPr>
            <w:tcW w:w="1134" w:type="dxa"/>
          </w:tcPr>
          <w:p w14:paraId="7D70D121" w14:textId="77777777" w:rsidR="004D42F9" w:rsidRDefault="004D42F9">
            <w:pPr>
              <w:cnfStyle w:val="000000000000" w:firstRow="0" w:lastRow="0" w:firstColumn="0" w:lastColumn="0" w:oddVBand="0" w:evenVBand="0" w:oddHBand="0" w:evenHBand="0" w:firstRowFirstColumn="0" w:firstRowLastColumn="0" w:lastRowFirstColumn="0" w:lastRowLastColumn="0"/>
            </w:pPr>
            <w:r>
              <w:t>2 044</w:t>
            </w:r>
          </w:p>
        </w:tc>
      </w:tr>
      <w:tr w:rsidR="004D42F9" w14:paraId="091E0A01"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4E35D147" w14:textId="77777777" w:rsidR="004D42F9" w:rsidRDefault="004D42F9">
            <w:r>
              <w:t>Plan assets</w:t>
            </w:r>
          </w:p>
        </w:tc>
        <w:tc>
          <w:tcPr>
            <w:tcW w:w="1133" w:type="dxa"/>
            <w:tcBorders>
              <w:bottom w:val="single" w:sz="6" w:space="0" w:color="auto"/>
            </w:tcBorders>
          </w:tcPr>
          <w:p w14:paraId="01AA5E59" w14:textId="77777777" w:rsidR="004D42F9" w:rsidRDefault="004D42F9">
            <w:pPr>
              <w:cnfStyle w:val="000000000000" w:firstRow="0" w:lastRow="0" w:firstColumn="0" w:lastColumn="0" w:oddVBand="0" w:evenVBand="0" w:oddHBand="0" w:evenHBand="0" w:firstRowFirstColumn="0" w:firstRowLastColumn="0" w:lastRowFirstColumn="0" w:lastRowLastColumn="0"/>
            </w:pPr>
            <w:r>
              <w:t>(24 660)</w:t>
            </w:r>
          </w:p>
        </w:tc>
        <w:tc>
          <w:tcPr>
            <w:tcW w:w="1134" w:type="dxa"/>
            <w:tcBorders>
              <w:bottom w:val="single" w:sz="6" w:space="0" w:color="auto"/>
            </w:tcBorders>
          </w:tcPr>
          <w:p w14:paraId="7FF22FBB" w14:textId="77777777" w:rsidR="004D42F9" w:rsidRDefault="004D42F9">
            <w:pPr>
              <w:cnfStyle w:val="000000000000" w:firstRow="0" w:lastRow="0" w:firstColumn="0" w:lastColumn="0" w:oddVBand="0" w:evenVBand="0" w:oddHBand="0" w:evenHBand="0" w:firstRowFirstColumn="0" w:firstRowLastColumn="0" w:lastRowFirstColumn="0" w:lastRowLastColumn="0"/>
            </w:pPr>
            <w:r>
              <w:t>(24 577)</w:t>
            </w:r>
          </w:p>
        </w:tc>
      </w:tr>
      <w:tr w:rsidR="004D42F9" w14:paraId="702E8829"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60728B1F" w14:textId="77777777" w:rsidR="004D42F9" w:rsidRDefault="004D42F9">
            <w:r>
              <w:rPr>
                <w:b/>
              </w:rPr>
              <w:t>Net liability/(asset)</w:t>
            </w:r>
          </w:p>
        </w:tc>
        <w:tc>
          <w:tcPr>
            <w:tcW w:w="1133" w:type="dxa"/>
            <w:tcBorders>
              <w:top w:val="single" w:sz="6" w:space="0" w:color="auto"/>
              <w:bottom w:val="single" w:sz="6" w:space="0" w:color="auto"/>
            </w:tcBorders>
          </w:tcPr>
          <w:p w14:paraId="25501E6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17 436</w:t>
            </w:r>
          </w:p>
        </w:tc>
        <w:tc>
          <w:tcPr>
            <w:tcW w:w="1134" w:type="dxa"/>
            <w:tcBorders>
              <w:top w:val="single" w:sz="6" w:space="0" w:color="auto"/>
              <w:bottom w:val="single" w:sz="6" w:space="0" w:color="auto"/>
            </w:tcBorders>
          </w:tcPr>
          <w:p w14:paraId="0DAAE5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17 349</w:t>
            </w:r>
          </w:p>
        </w:tc>
      </w:tr>
      <w:tr w:rsidR="004D42F9" w14:paraId="30CFE53F"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442A8980" w14:textId="77777777" w:rsidR="004D42F9" w:rsidRDefault="004D42F9">
            <w:r>
              <w:rPr>
                <w:b/>
              </w:rPr>
              <w:t>Other funds</w:t>
            </w:r>
            <w:r>
              <w:rPr>
                <w:b/>
                <w:vertAlign w:val="superscript"/>
              </w:rPr>
              <w:t xml:space="preserve"> (b)</w:t>
            </w:r>
          </w:p>
        </w:tc>
        <w:tc>
          <w:tcPr>
            <w:tcW w:w="1133" w:type="dxa"/>
            <w:tcBorders>
              <w:top w:val="single" w:sz="6" w:space="0" w:color="auto"/>
            </w:tcBorders>
          </w:tcPr>
          <w:p w14:paraId="2EE9D00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ADECF9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89CCB75" w14:textId="77777777">
        <w:tc>
          <w:tcPr>
            <w:cnfStyle w:val="001000000000" w:firstRow="0" w:lastRow="0" w:firstColumn="1" w:lastColumn="0" w:oddVBand="0" w:evenVBand="0" w:oddHBand="0" w:evenHBand="0" w:firstRowFirstColumn="0" w:firstRowLastColumn="0" w:lastRowFirstColumn="0" w:lastRowLastColumn="0"/>
            <w:tcW w:w="7371" w:type="dxa"/>
          </w:tcPr>
          <w:p w14:paraId="329A7D9A" w14:textId="77777777" w:rsidR="004D42F9" w:rsidRDefault="004D42F9">
            <w:r>
              <w:t>Defined benefit obligation</w:t>
            </w:r>
          </w:p>
        </w:tc>
        <w:tc>
          <w:tcPr>
            <w:tcW w:w="1133" w:type="dxa"/>
          </w:tcPr>
          <w:p w14:paraId="6BD13D02" w14:textId="77777777" w:rsidR="004D42F9" w:rsidRDefault="004D42F9">
            <w:pPr>
              <w:cnfStyle w:val="000000000000" w:firstRow="0" w:lastRow="0" w:firstColumn="0" w:lastColumn="0" w:oddVBand="0" w:evenVBand="0" w:oddHBand="0" w:evenHBand="0" w:firstRowFirstColumn="0" w:firstRowLastColumn="0" w:lastRowFirstColumn="0" w:lastRowLastColumn="0"/>
            </w:pPr>
            <w:r>
              <w:t>2 382</w:t>
            </w:r>
          </w:p>
        </w:tc>
        <w:tc>
          <w:tcPr>
            <w:tcW w:w="1134" w:type="dxa"/>
          </w:tcPr>
          <w:p w14:paraId="551E5B2E"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2 410</w:t>
            </w:r>
          </w:p>
        </w:tc>
      </w:tr>
      <w:tr w:rsidR="004D42F9" w14:paraId="3594627C" w14:textId="77777777">
        <w:tc>
          <w:tcPr>
            <w:cnfStyle w:val="001000000000" w:firstRow="0" w:lastRow="0" w:firstColumn="1" w:lastColumn="0" w:oddVBand="0" w:evenVBand="0" w:oddHBand="0" w:evenHBand="0" w:firstRowFirstColumn="0" w:firstRowLastColumn="0" w:lastRowFirstColumn="0" w:lastRowLastColumn="0"/>
            <w:tcW w:w="7371" w:type="dxa"/>
          </w:tcPr>
          <w:p w14:paraId="0235EF85" w14:textId="77777777" w:rsidR="004D42F9" w:rsidRDefault="004D42F9">
            <w:r>
              <w:t>Tax liability</w:t>
            </w:r>
            <w:r>
              <w:rPr>
                <w:vertAlign w:val="superscript"/>
              </w:rPr>
              <w:t xml:space="preserve"> (a)</w:t>
            </w:r>
          </w:p>
        </w:tc>
        <w:tc>
          <w:tcPr>
            <w:tcW w:w="1133" w:type="dxa"/>
          </w:tcPr>
          <w:p w14:paraId="6A3274A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CB1A1A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77D5260A"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1892F376" w14:textId="77777777" w:rsidR="004D42F9" w:rsidRDefault="004D42F9">
            <w:r>
              <w:t>Plan assets</w:t>
            </w:r>
          </w:p>
        </w:tc>
        <w:tc>
          <w:tcPr>
            <w:tcW w:w="1133" w:type="dxa"/>
            <w:tcBorders>
              <w:bottom w:val="single" w:sz="6" w:space="0" w:color="auto"/>
            </w:tcBorders>
          </w:tcPr>
          <w:p w14:paraId="5892A31F" w14:textId="77777777" w:rsidR="004D42F9" w:rsidRDefault="004D42F9">
            <w:pPr>
              <w:cnfStyle w:val="000000000000" w:firstRow="0" w:lastRow="0" w:firstColumn="0" w:lastColumn="0" w:oddVBand="0" w:evenVBand="0" w:oddHBand="0" w:evenHBand="0" w:firstRowFirstColumn="0" w:firstRowLastColumn="0" w:lastRowFirstColumn="0" w:lastRowLastColumn="0"/>
            </w:pPr>
            <w:r>
              <w:t>(1 534)</w:t>
            </w:r>
          </w:p>
        </w:tc>
        <w:tc>
          <w:tcPr>
            <w:tcW w:w="1134" w:type="dxa"/>
            <w:tcBorders>
              <w:bottom w:val="single" w:sz="6" w:space="0" w:color="auto"/>
            </w:tcBorders>
          </w:tcPr>
          <w:p w14:paraId="0C88D161" w14:textId="77777777" w:rsidR="004D42F9" w:rsidRDefault="004D42F9">
            <w:pPr>
              <w:cnfStyle w:val="000000000000" w:firstRow="0" w:lastRow="0" w:firstColumn="0" w:lastColumn="0" w:oddVBand="0" w:evenVBand="0" w:oddHBand="0" w:evenHBand="0" w:firstRowFirstColumn="0" w:firstRowLastColumn="0" w:lastRowFirstColumn="0" w:lastRowLastColumn="0"/>
            </w:pPr>
            <w:r>
              <w:t>(1 533)</w:t>
            </w:r>
          </w:p>
        </w:tc>
      </w:tr>
      <w:tr w:rsidR="004D42F9" w14:paraId="1D012EEA"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4721497D" w14:textId="77777777" w:rsidR="004D42F9" w:rsidRDefault="004D42F9">
            <w:r>
              <w:rPr>
                <w:b/>
              </w:rPr>
              <w:t>Net liability/(asset)</w:t>
            </w:r>
          </w:p>
        </w:tc>
        <w:tc>
          <w:tcPr>
            <w:tcW w:w="1133" w:type="dxa"/>
            <w:tcBorders>
              <w:top w:val="single" w:sz="6" w:space="0" w:color="auto"/>
              <w:bottom w:val="single" w:sz="6" w:space="0" w:color="auto"/>
            </w:tcBorders>
          </w:tcPr>
          <w:p w14:paraId="630D23F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848</w:t>
            </w:r>
          </w:p>
        </w:tc>
        <w:tc>
          <w:tcPr>
            <w:tcW w:w="1134" w:type="dxa"/>
            <w:tcBorders>
              <w:top w:val="single" w:sz="6" w:space="0" w:color="auto"/>
              <w:bottom w:val="single" w:sz="6" w:space="0" w:color="auto"/>
            </w:tcBorders>
          </w:tcPr>
          <w:p w14:paraId="0A2A8A1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877</w:t>
            </w:r>
          </w:p>
        </w:tc>
      </w:tr>
      <w:tr w:rsidR="004D42F9" w14:paraId="21382C94"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51717936" w14:textId="77777777" w:rsidR="004D42F9" w:rsidRDefault="004D42F9">
            <w:r>
              <w:rPr>
                <w:b/>
              </w:rPr>
              <w:t>Total superannuation</w:t>
            </w:r>
          </w:p>
        </w:tc>
        <w:tc>
          <w:tcPr>
            <w:tcW w:w="1133" w:type="dxa"/>
            <w:tcBorders>
              <w:top w:val="single" w:sz="6" w:space="0" w:color="auto"/>
            </w:tcBorders>
          </w:tcPr>
          <w:p w14:paraId="0943DAE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0B323C1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B0118E1" w14:textId="77777777">
        <w:tc>
          <w:tcPr>
            <w:cnfStyle w:val="001000000000" w:firstRow="0" w:lastRow="0" w:firstColumn="1" w:lastColumn="0" w:oddVBand="0" w:evenVBand="0" w:oddHBand="0" w:evenHBand="0" w:firstRowFirstColumn="0" w:firstRowLastColumn="0" w:lastRowFirstColumn="0" w:lastRowLastColumn="0"/>
            <w:tcW w:w="7371" w:type="dxa"/>
          </w:tcPr>
          <w:p w14:paraId="0312E4AA" w14:textId="77777777" w:rsidR="004D42F9" w:rsidRDefault="004D42F9">
            <w:r>
              <w:t>Defined benefit obligation</w:t>
            </w:r>
          </w:p>
        </w:tc>
        <w:tc>
          <w:tcPr>
            <w:tcW w:w="1133" w:type="dxa"/>
          </w:tcPr>
          <w:p w14:paraId="06DAF865" w14:textId="77777777" w:rsidR="004D42F9" w:rsidRDefault="004D42F9">
            <w:pPr>
              <w:cnfStyle w:val="000000000000" w:firstRow="0" w:lastRow="0" w:firstColumn="0" w:lastColumn="0" w:oddVBand="0" w:evenVBand="0" w:oddHBand="0" w:evenHBand="0" w:firstRowFirstColumn="0" w:firstRowLastColumn="0" w:lastRowFirstColumn="0" w:lastRowLastColumn="0"/>
            </w:pPr>
            <w:r>
              <w:t>42 268</w:t>
            </w:r>
          </w:p>
        </w:tc>
        <w:tc>
          <w:tcPr>
            <w:tcW w:w="1134" w:type="dxa"/>
          </w:tcPr>
          <w:p w14:paraId="1977FBBC" w14:textId="77777777" w:rsidR="004D42F9" w:rsidRDefault="004D42F9">
            <w:pPr>
              <w:cnfStyle w:val="000000000000" w:firstRow="0" w:lastRow="0" w:firstColumn="0" w:lastColumn="0" w:oddVBand="0" w:evenVBand="0" w:oddHBand="0" w:evenHBand="0" w:firstRowFirstColumn="0" w:firstRowLastColumn="0" w:lastRowFirstColumn="0" w:lastRowLastColumn="0"/>
            </w:pPr>
            <w:r>
              <w:t>42 292</w:t>
            </w:r>
          </w:p>
        </w:tc>
      </w:tr>
      <w:tr w:rsidR="004D42F9" w14:paraId="634B7A33" w14:textId="77777777">
        <w:tc>
          <w:tcPr>
            <w:cnfStyle w:val="001000000000" w:firstRow="0" w:lastRow="0" w:firstColumn="1" w:lastColumn="0" w:oddVBand="0" w:evenVBand="0" w:oddHBand="0" w:evenHBand="0" w:firstRowFirstColumn="0" w:firstRowLastColumn="0" w:lastRowFirstColumn="0" w:lastRowLastColumn="0"/>
            <w:tcW w:w="7371" w:type="dxa"/>
          </w:tcPr>
          <w:p w14:paraId="6424462B" w14:textId="77777777" w:rsidR="004D42F9" w:rsidRDefault="004D42F9">
            <w:r>
              <w:t>Tax liability</w:t>
            </w:r>
            <w:r>
              <w:rPr>
                <w:vertAlign w:val="superscript"/>
              </w:rPr>
              <w:t xml:space="preserve"> (a)</w:t>
            </w:r>
          </w:p>
        </w:tc>
        <w:tc>
          <w:tcPr>
            <w:tcW w:w="1133" w:type="dxa"/>
          </w:tcPr>
          <w:p w14:paraId="5EA4BA52" w14:textId="77777777" w:rsidR="004D42F9" w:rsidRDefault="004D42F9">
            <w:pPr>
              <w:cnfStyle w:val="000000000000" w:firstRow="0" w:lastRow="0" w:firstColumn="0" w:lastColumn="0" w:oddVBand="0" w:evenVBand="0" w:oddHBand="0" w:evenHBand="0" w:firstRowFirstColumn="0" w:firstRowLastColumn="0" w:lastRowFirstColumn="0" w:lastRowLastColumn="0"/>
            </w:pPr>
            <w:r>
              <w:t>2 210</w:t>
            </w:r>
          </w:p>
        </w:tc>
        <w:tc>
          <w:tcPr>
            <w:tcW w:w="1134" w:type="dxa"/>
          </w:tcPr>
          <w:p w14:paraId="708CC416" w14:textId="77777777" w:rsidR="004D42F9" w:rsidRDefault="004D42F9">
            <w:pPr>
              <w:cnfStyle w:val="000000000000" w:firstRow="0" w:lastRow="0" w:firstColumn="0" w:lastColumn="0" w:oddVBand="0" w:evenVBand="0" w:oddHBand="0" w:evenHBand="0" w:firstRowFirstColumn="0" w:firstRowLastColumn="0" w:lastRowFirstColumn="0" w:lastRowLastColumn="0"/>
            </w:pPr>
            <w:r>
              <w:t>2 044</w:t>
            </w:r>
          </w:p>
        </w:tc>
      </w:tr>
      <w:tr w:rsidR="004D42F9" w14:paraId="51D51833"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619BDA41" w14:textId="77777777" w:rsidR="004D42F9" w:rsidRDefault="004D42F9">
            <w:r>
              <w:t>Plan assets</w:t>
            </w:r>
          </w:p>
        </w:tc>
        <w:tc>
          <w:tcPr>
            <w:tcW w:w="1133" w:type="dxa"/>
            <w:tcBorders>
              <w:bottom w:val="single" w:sz="6" w:space="0" w:color="auto"/>
            </w:tcBorders>
          </w:tcPr>
          <w:p w14:paraId="3310E6C0" w14:textId="77777777" w:rsidR="004D42F9" w:rsidRDefault="004D42F9">
            <w:pPr>
              <w:cnfStyle w:val="000000000000" w:firstRow="0" w:lastRow="0" w:firstColumn="0" w:lastColumn="0" w:oddVBand="0" w:evenVBand="0" w:oddHBand="0" w:evenHBand="0" w:firstRowFirstColumn="0" w:firstRowLastColumn="0" w:lastRowFirstColumn="0" w:lastRowLastColumn="0"/>
            </w:pPr>
            <w:r>
              <w:t>(26 194)</w:t>
            </w:r>
          </w:p>
        </w:tc>
        <w:tc>
          <w:tcPr>
            <w:tcW w:w="1134" w:type="dxa"/>
            <w:tcBorders>
              <w:bottom w:val="single" w:sz="6" w:space="0" w:color="auto"/>
            </w:tcBorders>
          </w:tcPr>
          <w:p w14:paraId="2A71263F" w14:textId="77777777" w:rsidR="004D42F9" w:rsidRDefault="004D42F9">
            <w:pPr>
              <w:cnfStyle w:val="000000000000" w:firstRow="0" w:lastRow="0" w:firstColumn="0" w:lastColumn="0" w:oddVBand="0" w:evenVBand="0" w:oddHBand="0" w:evenHBand="0" w:firstRowFirstColumn="0" w:firstRowLastColumn="0" w:lastRowFirstColumn="0" w:lastRowLastColumn="0"/>
            </w:pPr>
            <w:r>
              <w:t>(26 110)</w:t>
            </w:r>
          </w:p>
        </w:tc>
      </w:tr>
      <w:tr w:rsidR="004D42F9" w14:paraId="622030C8"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770E4A25" w14:textId="77777777" w:rsidR="004D42F9" w:rsidRDefault="004D42F9">
            <w:r>
              <w:rPr>
                <w:b/>
              </w:rPr>
              <w:t>Superannuation liability</w:t>
            </w:r>
          </w:p>
        </w:tc>
        <w:tc>
          <w:tcPr>
            <w:tcW w:w="1133" w:type="dxa"/>
            <w:tcBorders>
              <w:top w:val="single" w:sz="6" w:space="0" w:color="auto"/>
              <w:bottom w:val="single" w:sz="6" w:space="0" w:color="auto"/>
            </w:tcBorders>
          </w:tcPr>
          <w:p w14:paraId="7A3F63A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18 284</w:t>
            </w:r>
          </w:p>
        </w:tc>
        <w:tc>
          <w:tcPr>
            <w:tcW w:w="1134" w:type="dxa"/>
            <w:tcBorders>
              <w:top w:val="single" w:sz="6" w:space="0" w:color="auto"/>
              <w:bottom w:val="single" w:sz="6" w:space="0" w:color="auto"/>
            </w:tcBorders>
          </w:tcPr>
          <w:p w14:paraId="6CDFD5F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18 226</w:t>
            </w:r>
          </w:p>
        </w:tc>
      </w:tr>
      <w:tr w:rsidR="004D42F9" w14:paraId="40C5A647"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07FC5096" w14:textId="77777777" w:rsidR="004D42F9" w:rsidRDefault="004D42F9">
            <w:r>
              <w:rPr>
                <w:b/>
              </w:rPr>
              <w:t>Represented by:</w:t>
            </w:r>
          </w:p>
        </w:tc>
        <w:tc>
          <w:tcPr>
            <w:tcW w:w="1133" w:type="dxa"/>
            <w:tcBorders>
              <w:top w:val="single" w:sz="6" w:space="0" w:color="auto"/>
            </w:tcBorders>
          </w:tcPr>
          <w:p w14:paraId="75AC3B7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B73490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A16F7F1" w14:textId="77777777">
        <w:tc>
          <w:tcPr>
            <w:cnfStyle w:val="001000000000" w:firstRow="0" w:lastRow="0" w:firstColumn="1" w:lastColumn="0" w:oddVBand="0" w:evenVBand="0" w:oddHBand="0" w:evenHBand="0" w:firstRowFirstColumn="0" w:firstRowLastColumn="0" w:lastRowFirstColumn="0" w:lastRowLastColumn="0"/>
            <w:tcW w:w="7371" w:type="dxa"/>
          </w:tcPr>
          <w:p w14:paraId="7988BAB2" w14:textId="77777777" w:rsidR="004D42F9" w:rsidRDefault="004D42F9">
            <w:r>
              <w:t>Current liability</w:t>
            </w:r>
          </w:p>
        </w:tc>
        <w:tc>
          <w:tcPr>
            <w:tcW w:w="1133" w:type="dxa"/>
          </w:tcPr>
          <w:p w14:paraId="0D6F34C1" w14:textId="77777777" w:rsidR="004D42F9" w:rsidRDefault="004D42F9">
            <w:pPr>
              <w:cnfStyle w:val="000000000000" w:firstRow="0" w:lastRow="0" w:firstColumn="0" w:lastColumn="0" w:oddVBand="0" w:evenVBand="0" w:oddHBand="0" w:evenHBand="0" w:firstRowFirstColumn="0" w:firstRowLastColumn="0" w:lastRowFirstColumn="0" w:lastRowLastColumn="0"/>
            </w:pPr>
            <w:r>
              <w:t>538</w:t>
            </w:r>
          </w:p>
        </w:tc>
        <w:tc>
          <w:tcPr>
            <w:tcW w:w="1134" w:type="dxa"/>
          </w:tcPr>
          <w:p w14:paraId="7E478DC7" w14:textId="77777777" w:rsidR="004D42F9" w:rsidRDefault="004D42F9">
            <w:pPr>
              <w:cnfStyle w:val="000000000000" w:firstRow="0" w:lastRow="0" w:firstColumn="0" w:lastColumn="0" w:oddVBand="0" w:evenVBand="0" w:oddHBand="0" w:evenHBand="0" w:firstRowFirstColumn="0" w:firstRowLastColumn="0" w:lastRowFirstColumn="0" w:lastRowLastColumn="0"/>
            </w:pPr>
            <w:r>
              <w:t>581</w:t>
            </w:r>
          </w:p>
        </w:tc>
      </w:tr>
      <w:tr w:rsidR="004D42F9" w14:paraId="0EC7974C"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7E329AB6" w14:textId="77777777" w:rsidR="004D42F9" w:rsidRDefault="004D42F9">
            <w:r>
              <w:t>Non</w:t>
            </w:r>
            <w:r>
              <w:noBreakHyphen/>
              <w:t>current liability</w:t>
            </w:r>
          </w:p>
        </w:tc>
        <w:tc>
          <w:tcPr>
            <w:tcW w:w="1133" w:type="dxa"/>
            <w:tcBorders>
              <w:bottom w:val="single" w:sz="6" w:space="0" w:color="auto"/>
            </w:tcBorders>
          </w:tcPr>
          <w:p w14:paraId="766620DD" w14:textId="77777777" w:rsidR="004D42F9" w:rsidRDefault="004D42F9">
            <w:pPr>
              <w:cnfStyle w:val="000000000000" w:firstRow="0" w:lastRow="0" w:firstColumn="0" w:lastColumn="0" w:oddVBand="0" w:evenVBand="0" w:oddHBand="0" w:evenHBand="0" w:firstRowFirstColumn="0" w:firstRowLastColumn="0" w:lastRowFirstColumn="0" w:lastRowLastColumn="0"/>
            </w:pPr>
            <w:r>
              <w:t>17 746</w:t>
            </w:r>
          </w:p>
        </w:tc>
        <w:tc>
          <w:tcPr>
            <w:tcW w:w="1134" w:type="dxa"/>
            <w:tcBorders>
              <w:bottom w:val="single" w:sz="6" w:space="0" w:color="auto"/>
            </w:tcBorders>
          </w:tcPr>
          <w:p w14:paraId="4707BC17" w14:textId="77777777" w:rsidR="004D42F9" w:rsidRDefault="004D42F9">
            <w:pPr>
              <w:cnfStyle w:val="000000000000" w:firstRow="0" w:lastRow="0" w:firstColumn="0" w:lastColumn="0" w:oddVBand="0" w:evenVBand="0" w:oddHBand="0" w:evenHBand="0" w:firstRowFirstColumn="0" w:firstRowLastColumn="0" w:lastRowFirstColumn="0" w:lastRowLastColumn="0"/>
            </w:pPr>
            <w:r>
              <w:t>17 645</w:t>
            </w:r>
          </w:p>
        </w:tc>
      </w:tr>
      <w:tr w:rsidR="004D42F9" w14:paraId="7F399516"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1A040964" w14:textId="77777777" w:rsidR="004D42F9" w:rsidRDefault="004D42F9">
            <w:r>
              <w:rPr>
                <w:b/>
              </w:rPr>
              <w:t>Total superannuation liability</w:t>
            </w:r>
          </w:p>
        </w:tc>
        <w:tc>
          <w:tcPr>
            <w:tcW w:w="1133" w:type="dxa"/>
            <w:tcBorders>
              <w:top w:val="single" w:sz="6" w:space="0" w:color="auto"/>
              <w:bottom w:val="single" w:sz="12" w:space="0" w:color="auto"/>
            </w:tcBorders>
          </w:tcPr>
          <w:p w14:paraId="27E8FF7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18 284</w:t>
            </w:r>
          </w:p>
        </w:tc>
        <w:tc>
          <w:tcPr>
            <w:tcW w:w="1134" w:type="dxa"/>
            <w:tcBorders>
              <w:top w:val="single" w:sz="6" w:space="0" w:color="auto"/>
              <w:bottom w:val="single" w:sz="12" w:space="0" w:color="auto"/>
            </w:tcBorders>
          </w:tcPr>
          <w:p w14:paraId="309C822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18 226</w:t>
            </w:r>
          </w:p>
        </w:tc>
      </w:tr>
    </w:tbl>
    <w:p w14:paraId="5F19706A" w14:textId="77777777" w:rsidR="004D42F9" w:rsidRDefault="004D42F9" w:rsidP="004D42F9">
      <w:pPr>
        <w:pStyle w:val="Note"/>
      </w:pPr>
      <w:r>
        <w:t>Notes:</w:t>
      </w:r>
    </w:p>
    <w:p w14:paraId="6DFA836C" w14:textId="77777777" w:rsidR="004D42F9" w:rsidRDefault="004D42F9" w:rsidP="004D42F9">
      <w:pPr>
        <w:pStyle w:val="Note"/>
      </w:pPr>
      <w:r>
        <w:t>(a)</w:t>
      </w:r>
      <w:r>
        <w:tab/>
        <w:t>Tax liability represents the present value of tax payments on contributions that are expected to be required to fund accrued benefits.</w:t>
      </w:r>
    </w:p>
    <w:p w14:paraId="3E90BC2C" w14:textId="6293D37A" w:rsidR="004D42F9" w:rsidRDefault="004D42F9" w:rsidP="004D42F9">
      <w:pPr>
        <w:pStyle w:val="Note"/>
      </w:pPr>
      <w:r>
        <w:t>(b)</w:t>
      </w:r>
      <w:r>
        <w:tab/>
        <w:t>Other plans include constitutionally protected plans and the State</w:t>
      </w:r>
      <w:r w:rsidR="00845934">
        <w:t>’</w:t>
      </w:r>
      <w:r>
        <w:t>s share of liabilities of the defined benefit plan of the Health Super Fund (which is now part of Aware Super).</w:t>
      </w:r>
    </w:p>
    <w:p w14:paraId="518FBA3A" w14:textId="77777777" w:rsidR="004D42F9" w:rsidRDefault="004D42F9" w:rsidP="004D42F9"/>
    <w:p w14:paraId="11E81F89" w14:textId="77777777" w:rsidR="004D42F9" w:rsidRDefault="004D42F9" w:rsidP="004D42F9">
      <w:pPr>
        <w:pStyle w:val="TableHeading"/>
      </w:pPr>
      <w:r>
        <w:t>Reconciliation of the defined benefit obligation</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uperannuation/Link_AFR_Superannuation.xlsx|Table:Super_defined_benefit_recon"/>
      </w:tblPr>
      <w:tblGrid>
        <w:gridCol w:w="7371"/>
        <w:gridCol w:w="1133"/>
        <w:gridCol w:w="1134"/>
      </w:tblGrid>
      <w:tr w:rsidR="004D42F9" w14:paraId="39C5CB4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110E83CB" w14:textId="77777777" w:rsidR="004D42F9" w:rsidRDefault="004D42F9">
            <w:pPr>
              <w:keepNext/>
            </w:pPr>
          </w:p>
        </w:tc>
        <w:tc>
          <w:tcPr>
            <w:tcW w:w="2267" w:type="dxa"/>
            <w:gridSpan w:val="2"/>
          </w:tcPr>
          <w:p w14:paraId="74E2BEF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7EDD27C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741319E8" w14:textId="77777777" w:rsidR="004D42F9" w:rsidRDefault="004D42F9">
            <w:pPr>
              <w:keepNext/>
            </w:pPr>
          </w:p>
        </w:tc>
        <w:tc>
          <w:tcPr>
            <w:tcW w:w="1133" w:type="dxa"/>
          </w:tcPr>
          <w:p w14:paraId="1BD5DA4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7624DA7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165D72A" w14:textId="77777777">
        <w:tc>
          <w:tcPr>
            <w:cnfStyle w:val="001000000000" w:firstRow="0" w:lastRow="0" w:firstColumn="1" w:lastColumn="0" w:oddVBand="0" w:evenVBand="0" w:oddHBand="0" w:evenHBand="0" w:firstRowFirstColumn="0" w:firstRowLastColumn="0" w:lastRowFirstColumn="0" w:lastRowLastColumn="0"/>
            <w:tcW w:w="7371" w:type="dxa"/>
          </w:tcPr>
          <w:p w14:paraId="054BA130" w14:textId="77777777" w:rsidR="004D42F9" w:rsidRDefault="004D42F9">
            <w:r>
              <w:rPr>
                <w:b/>
              </w:rPr>
              <w:t>Opening balance of defined benefit obligation</w:t>
            </w:r>
          </w:p>
        </w:tc>
        <w:tc>
          <w:tcPr>
            <w:tcW w:w="1133" w:type="dxa"/>
          </w:tcPr>
          <w:p w14:paraId="417362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44 336</w:t>
            </w:r>
          </w:p>
        </w:tc>
        <w:tc>
          <w:tcPr>
            <w:tcW w:w="1134" w:type="dxa"/>
          </w:tcPr>
          <w:p w14:paraId="028B9F2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45 205</w:t>
            </w:r>
          </w:p>
        </w:tc>
      </w:tr>
      <w:tr w:rsidR="004D42F9" w14:paraId="510174E4" w14:textId="77777777">
        <w:tc>
          <w:tcPr>
            <w:cnfStyle w:val="001000000000" w:firstRow="0" w:lastRow="0" w:firstColumn="1" w:lastColumn="0" w:oddVBand="0" w:evenVBand="0" w:oddHBand="0" w:evenHBand="0" w:firstRowFirstColumn="0" w:firstRowLastColumn="0" w:lastRowFirstColumn="0" w:lastRowLastColumn="0"/>
            <w:tcW w:w="7371" w:type="dxa"/>
          </w:tcPr>
          <w:p w14:paraId="7AFC35FB" w14:textId="77777777" w:rsidR="004D42F9" w:rsidRDefault="004D42F9">
            <w:r>
              <w:t>Current service cost</w:t>
            </w:r>
          </w:p>
        </w:tc>
        <w:tc>
          <w:tcPr>
            <w:tcW w:w="1133" w:type="dxa"/>
          </w:tcPr>
          <w:p w14:paraId="38AFD937"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1 006</w:t>
            </w:r>
          </w:p>
        </w:tc>
        <w:tc>
          <w:tcPr>
            <w:tcW w:w="1134" w:type="dxa"/>
          </w:tcPr>
          <w:p w14:paraId="4D2CF6B6" w14:textId="77777777" w:rsidR="004D42F9" w:rsidRDefault="004D42F9">
            <w:pPr>
              <w:cnfStyle w:val="000000000000" w:firstRow="0" w:lastRow="0" w:firstColumn="0" w:lastColumn="0" w:oddVBand="0" w:evenVBand="0" w:oddHBand="0" w:evenHBand="0" w:firstRowFirstColumn="0" w:firstRowLastColumn="0" w:lastRowFirstColumn="0" w:lastRowLastColumn="0"/>
            </w:pPr>
            <w:r>
              <w:t>947</w:t>
            </w:r>
          </w:p>
        </w:tc>
      </w:tr>
      <w:tr w:rsidR="004D42F9" w14:paraId="6B53EB11" w14:textId="77777777">
        <w:tc>
          <w:tcPr>
            <w:cnfStyle w:val="001000000000" w:firstRow="0" w:lastRow="0" w:firstColumn="1" w:lastColumn="0" w:oddVBand="0" w:evenVBand="0" w:oddHBand="0" w:evenHBand="0" w:firstRowFirstColumn="0" w:firstRowLastColumn="0" w:lastRowFirstColumn="0" w:lastRowLastColumn="0"/>
            <w:tcW w:w="7371" w:type="dxa"/>
          </w:tcPr>
          <w:p w14:paraId="3FEE2153" w14:textId="77777777" w:rsidR="004D42F9" w:rsidRDefault="004D42F9">
            <w:r>
              <w:t>Interest cost</w:t>
            </w:r>
          </w:p>
        </w:tc>
        <w:tc>
          <w:tcPr>
            <w:tcW w:w="1133" w:type="dxa"/>
          </w:tcPr>
          <w:p w14:paraId="2D814678" w14:textId="77777777" w:rsidR="004D42F9" w:rsidRDefault="004D42F9">
            <w:pPr>
              <w:cnfStyle w:val="000000000000" w:firstRow="0" w:lastRow="0" w:firstColumn="0" w:lastColumn="0" w:oddVBand="0" w:evenVBand="0" w:oddHBand="0" w:evenHBand="0" w:firstRowFirstColumn="0" w:firstRowLastColumn="0" w:lastRowFirstColumn="0" w:lastRowLastColumn="0"/>
            </w:pPr>
            <w:r>
              <w:t>1 874</w:t>
            </w:r>
          </w:p>
        </w:tc>
        <w:tc>
          <w:tcPr>
            <w:tcW w:w="1134" w:type="dxa"/>
          </w:tcPr>
          <w:p w14:paraId="537930DA" w14:textId="77777777" w:rsidR="004D42F9" w:rsidRDefault="004D42F9">
            <w:pPr>
              <w:cnfStyle w:val="000000000000" w:firstRow="0" w:lastRow="0" w:firstColumn="0" w:lastColumn="0" w:oddVBand="0" w:evenVBand="0" w:oddHBand="0" w:evenHBand="0" w:firstRowFirstColumn="0" w:firstRowLastColumn="0" w:lastRowFirstColumn="0" w:lastRowLastColumn="0"/>
            </w:pPr>
            <w:r>
              <w:t>1 805</w:t>
            </w:r>
          </w:p>
        </w:tc>
      </w:tr>
      <w:tr w:rsidR="004D42F9" w14:paraId="01CC7FDD" w14:textId="77777777">
        <w:tc>
          <w:tcPr>
            <w:cnfStyle w:val="001000000000" w:firstRow="0" w:lastRow="0" w:firstColumn="1" w:lastColumn="0" w:oddVBand="0" w:evenVBand="0" w:oddHBand="0" w:evenHBand="0" w:firstRowFirstColumn="0" w:firstRowLastColumn="0" w:lastRowFirstColumn="0" w:lastRowLastColumn="0"/>
            <w:tcW w:w="7371" w:type="dxa"/>
          </w:tcPr>
          <w:p w14:paraId="0D6DDD25" w14:textId="77777777" w:rsidR="004D42F9" w:rsidRDefault="004D42F9">
            <w:r>
              <w:t>Contributions by plan participants</w:t>
            </w:r>
          </w:p>
        </w:tc>
        <w:tc>
          <w:tcPr>
            <w:tcW w:w="1133" w:type="dxa"/>
          </w:tcPr>
          <w:p w14:paraId="4AC9928E" w14:textId="77777777" w:rsidR="004D42F9" w:rsidRDefault="004D42F9">
            <w:pPr>
              <w:cnfStyle w:val="000000000000" w:firstRow="0" w:lastRow="0" w:firstColumn="0" w:lastColumn="0" w:oddVBand="0" w:evenVBand="0" w:oddHBand="0" w:evenHBand="0" w:firstRowFirstColumn="0" w:firstRowLastColumn="0" w:lastRowFirstColumn="0" w:lastRowLastColumn="0"/>
            </w:pPr>
            <w:r>
              <w:t>235</w:t>
            </w:r>
          </w:p>
        </w:tc>
        <w:tc>
          <w:tcPr>
            <w:tcW w:w="1134" w:type="dxa"/>
          </w:tcPr>
          <w:p w14:paraId="320841AE" w14:textId="77777777" w:rsidR="004D42F9" w:rsidRDefault="004D42F9">
            <w:pPr>
              <w:cnfStyle w:val="000000000000" w:firstRow="0" w:lastRow="0" w:firstColumn="0" w:lastColumn="0" w:oddVBand="0" w:evenVBand="0" w:oddHBand="0" w:evenHBand="0" w:firstRowFirstColumn="0" w:firstRowLastColumn="0" w:lastRowFirstColumn="0" w:lastRowLastColumn="0"/>
            </w:pPr>
            <w:r>
              <w:t>233</w:t>
            </w:r>
          </w:p>
        </w:tc>
      </w:tr>
      <w:tr w:rsidR="004D42F9" w14:paraId="61FC4C7F" w14:textId="77777777">
        <w:tc>
          <w:tcPr>
            <w:cnfStyle w:val="001000000000" w:firstRow="0" w:lastRow="0" w:firstColumn="1" w:lastColumn="0" w:oddVBand="0" w:evenVBand="0" w:oddHBand="0" w:evenHBand="0" w:firstRowFirstColumn="0" w:firstRowLastColumn="0" w:lastRowFirstColumn="0" w:lastRowLastColumn="0"/>
            <w:tcW w:w="7371" w:type="dxa"/>
          </w:tcPr>
          <w:p w14:paraId="1D51F7FC" w14:textId="77777777" w:rsidR="004D42F9" w:rsidRDefault="004D42F9">
            <w:r>
              <w:t>Remeasurements:</w:t>
            </w:r>
          </w:p>
        </w:tc>
        <w:tc>
          <w:tcPr>
            <w:tcW w:w="1133" w:type="dxa"/>
          </w:tcPr>
          <w:p w14:paraId="6CA348F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Pr>
          <w:p w14:paraId="4F32914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D968DBE" w14:textId="77777777">
        <w:tc>
          <w:tcPr>
            <w:cnfStyle w:val="001000000000" w:firstRow="0" w:lastRow="0" w:firstColumn="1" w:lastColumn="0" w:oddVBand="0" w:evenVBand="0" w:oddHBand="0" w:evenHBand="0" w:firstRowFirstColumn="0" w:firstRowLastColumn="0" w:lastRowFirstColumn="0" w:lastRowLastColumn="0"/>
            <w:tcW w:w="7371" w:type="dxa"/>
          </w:tcPr>
          <w:p w14:paraId="270FA012" w14:textId="77777777" w:rsidR="004D42F9" w:rsidRDefault="004D42F9">
            <w:r>
              <w:t xml:space="preserve">   Actuarial (gain)/loss arising from change in financial assumptions</w:t>
            </w:r>
          </w:p>
        </w:tc>
        <w:tc>
          <w:tcPr>
            <w:tcW w:w="1133" w:type="dxa"/>
          </w:tcPr>
          <w:p w14:paraId="1D7C96A7" w14:textId="77777777" w:rsidR="004D42F9" w:rsidRDefault="004D42F9">
            <w:pPr>
              <w:cnfStyle w:val="000000000000" w:firstRow="0" w:lastRow="0" w:firstColumn="0" w:lastColumn="0" w:oddVBand="0" w:evenVBand="0" w:oddHBand="0" w:evenHBand="0" w:firstRowFirstColumn="0" w:firstRowLastColumn="0" w:lastRowFirstColumn="0" w:lastRowLastColumn="0"/>
            </w:pPr>
            <w:r>
              <w:t>243</w:t>
            </w:r>
          </w:p>
        </w:tc>
        <w:tc>
          <w:tcPr>
            <w:tcW w:w="1134" w:type="dxa"/>
          </w:tcPr>
          <w:p w14:paraId="4FAC3C6A"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(1 140)</w:t>
            </w:r>
          </w:p>
        </w:tc>
      </w:tr>
      <w:tr w:rsidR="004D42F9" w14:paraId="45F200ED" w14:textId="77777777">
        <w:tc>
          <w:tcPr>
            <w:cnfStyle w:val="001000000000" w:firstRow="0" w:lastRow="0" w:firstColumn="1" w:lastColumn="0" w:oddVBand="0" w:evenVBand="0" w:oddHBand="0" w:evenHBand="0" w:firstRowFirstColumn="0" w:firstRowLastColumn="0" w:lastRowFirstColumn="0" w:lastRowLastColumn="0"/>
            <w:tcW w:w="7371" w:type="dxa"/>
          </w:tcPr>
          <w:p w14:paraId="33C886B2" w14:textId="77777777" w:rsidR="004D42F9" w:rsidRDefault="004D42F9">
            <w:r>
              <w:t xml:space="preserve">   Actuarial (gain)/loss arising from change in demographic assumptions</w:t>
            </w:r>
          </w:p>
        </w:tc>
        <w:tc>
          <w:tcPr>
            <w:tcW w:w="1133" w:type="dxa"/>
          </w:tcPr>
          <w:p w14:paraId="2EE417E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F74FBEF" w14:textId="77777777" w:rsidR="004D42F9" w:rsidRDefault="004D42F9">
            <w:pPr>
              <w:cnfStyle w:val="000000000000" w:firstRow="0" w:lastRow="0" w:firstColumn="0" w:lastColumn="0" w:oddVBand="0" w:evenVBand="0" w:oddHBand="0" w:evenHBand="0" w:firstRowFirstColumn="0" w:firstRowLastColumn="0" w:lastRowFirstColumn="0" w:lastRowLastColumn="0"/>
            </w:pPr>
            <w:r>
              <w:t>(493)</w:t>
            </w:r>
          </w:p>
        </w:tc>
      </w:tr>
      <w:tr w:rsidR="004D42F9" w14:paraId="18254DCA" w14:textId="77777777">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701A5CBC" w14:textId="77777777" w:rsidR="004D42F9" w:rsidRDefault="004D42F9">
            <w:r>
              <w:t xml:space="preserve">   Actuarial (gain)/loss due to other experience</w:t>
            </w:r>
          </w:p>
        </w:tc>
        <w:tc>
          <w:tcPr>
            <w:tcW w:w="0" w:type="dxa"/>
            <w:tcBorders>
              <w:bottom w:val="nil"/>
            </w:tcBorders>
          </w:tcPr>
          <w:p w14:paraId="3E6493EE" w14:textId="77777777" w:rsidR="004D42F9" w:rsidRDefault="004D42F9">
            <w:pPr>
              <w:cnfStyle w:val="000000000000" w:firstRow="0" w:lastRow="0" w:firstColumn="0" w:lastColumn="0" w:oddVBand="0" w:evenVBand="0" w:oddHBand="0" w:evenHBand="0" w:firstRowFirstColumn="0" w:firstRowLastColumn="0" w:lastRowFirstColumn="0" w:lastRowLastColumn="0"/>
            </w:pPr>
            <w:r>
              <w:t>181</w:t>
            </w:r>
          </w:p>
        </w:tc>
        <w:tc>
          <w:tcPr>
            <w:tcW w:w="0" w:type="dxa"/>
            <w:tcBorders>
              <w:bottom w:val="nil"/>
            </w:tcBorders>
          </w:tcPr>
          <w:p w14:paraId="338BE036" w14:textId="77777777" w:rsidR="004D42F9" w:rsidRDefault="004D42F9">
            <w:pPr>
              <w:cnfStyle w:val="000000000000" w:firstRow="0" w:lastRow="0" w:firstColumn="0" w:lastColumn="0" w:oddVBand="0" w:evenVBand="0" w:oddHBand="0" w:evenHBand="0" w:firstRowFirstColumn="0" w:firstRowLastColumn="0" w:lastRowFirstColumn="0" w:lastRowLastColumn="0"/>
            </w:pPr>
            <w:r>
              <w:t>944</w:t>
            </w:r>
          </w:p>
        </w:tc>
      </w:tr>
      <w:tr w:rsidR="004D42F9" w14:paraId="76E8A922" w14:textId="77777777">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6A25ED83" w14:textId="77777777" w:rsidR="004D42F9" w:rsidRDefault="004D42F9">
            <w:r>
              <w:t>Benefits paid</w:t>
            </w:r>
          </w:p>
        </w:tc>
        <w:tc>
          <w:tcPr>
            <w:tcW w:w="0" w:type="dxa"/>
            <w:tcBorders>
              <w:bottom w:val="single" w:sz="4" w:space="0" w:color="auto"/>
            </w:tcBorders>
          </w:tcPr>
          <w:p w14:paraId="4C159E18" w14:textId="77777777" w:rsidR="004D42F9" w:rsidRDefault="004D42F9">
            <w:pPr>
              <w:cnfStyle w:val="000000000000" w:firstRow="0" w:lastRow="0" w:firstColumn="0" w:lastColumn="0" w:oddVBand="0" w:evenVBand="0" w:oddHBand="0" w:evenHBand="0" w:firstRowFirstColumn="0" w:firstRowLastColumn="0" w:lastRowFirstColumn="0" w:lastRowLastColumn="0"/>
            </w:pPr>
            <w:r>
              <w:t>(3 398)</w:t>
            </w:r>
          </w:p>
        </w:tc>
        <w:tc>
          <w:tcPr>
            <w:tcW w:w="0" w:type="dxa"/>
            <w:tcBorders>
              <w:bottom w:val="single" w:sz="4" w:space="0" w:color="auto"/>
            </w:tcBorders>
          </w:tcPr>
          <w:p w14:paraId="745EE0F2" w14:textId="77777777" w:rsidR="004D42F9" w:rsidRDefault="004D42F9">
            <w:pPr>
              <w:cnfStyle w:val="000000000000" w:firstRow="0" w:lastRow="0" w:firstColumn="0" w:lastColumn="0" w:oddVBand="0" w:evenVBand="0" w:oddHBand="0" w:evenHBand="0" w:firstRowFirstColumn="0" w:firstRowLastColumn="0" w:lastRowFirstColumn="0" w:lastRowLastColumn="0"/>
            </w:pPr>
            <w:r>
              <w:t>(3 165)</w:t>
            </w:r>
          </w:p>
        </w:tc>
      </w:tr>
      <w:tr w:rsidR="004D42F9" w14:paraId="6201C535"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56AD7C0E" w14:textId="77777777" w:rsidR="004D42F9" w:rsidRDefault="004D42F9">
            <w:r>
              <w:rPr>
                <w:b/>
              </w:rPr>
              <w:t>Closing balance of defined benefit obligation</w:t>
            </w:r>
          </w:p>
        </w:tc>
        <w:tc>
          <w:tcPr>
            <w:tcW w:w="0" w:type="dxa"/>
            <w:tcBorders>
              <w:top w:val="single" w:sz="4" w:space="0" w:color="auto"/>
            </w:tcBorders>
          </w:tcPr>
          <w:p w14:paraId="587D04E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44 478</w:t>
            </w:r>
          </w:p>
        </w:tc>
        <w:tc>
          <w:tcPr>
            <w:tcW w:w="0" w:type="dxa"/>
            <w:tcBorders>
              <w:top w:val="single" w:sz="4" w:space="0" w:color="auto"/>
            </w:tcBorders>
          </w:tcPr>
          <w:p w14:paraId="4F32916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44 336</w:t>
            </w:r>
          </w:p>
        </w:tc>
      </w:tr>
    </w:tbl>
    <w:p w14:paraId="78F76E72" w14:textId="77777777" w:rsidR="004D42F9" w:rsidRDefault="004D42F9" w:rsidP="004D42F9"/>
    <w:p w14:paraId="475516B5" w14:textId="77777777" w:rsidR="004D42F9" w:rsidRDefault="004D42F9" w:rsidP="004D42F9">
      <w:pPr>
        <w:pStyle w:val="TableHeading"/>
      </w:pPr>
      <w:r>
        <w:t>Reconciliation of the fair value of plan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uperannuation/Link_AFR_Superannuation.xlsx|Table:Super_fair_value_of_plan_assets_recon"/>
      </w:tblPr>
      <w:tblGrid>
        <w:gridCol w:w="7371"/>
        <w:gridCol w:w="1133"/>
        <w:gridCol w:w="1134"/>
      </w:tblGrid>
      <w:tr w:rsidR="004D42F9" w14:paraId="7D88AD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2654EB02" w14:textId="77777777" w:rsidR="004D42F9" w:rsidRDefault="004D42F9">
            <w:pPr>
              <w:keepNext/>
            </w:pPr>
          </w:p>
        </w:tc>
        <w:tc>
          <w:tcPr>
            <w:tcW w:w="2267" w:type="dxa"/>
            <w:gridSpan w:val="2"/>
          </w:tcPr>
          <w:p w14:paraId="22C8699F"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6FA77C0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7F782F80" w14:textId="77777777" w:rsidR="004D42F9" w:rsidRDefault="004D42F9">
            <w:pPr>
              <w:keepNext/>
            </w:pPr>
          </w:p>
        </w:tc>
        <w:tc>
          <w:tcPr>
            <w:tcW w:w="1133" w:type="dxa"/>
          </w:tcPr>
          <w:p w14:paraId="40C343C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1E0CE48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3BC63F2" w14:textId="77777777">
        <w:tc>
          <w:tcPr>
            <w:cnfStyle w:val="001000000000" w:firstRow="0" w:lastRow="0" w:firstColumn="1" w:lastColumn="0" w:oddVBand="0" w:evenVBand="0" w:oddHBand="0" w:evenHBand="0" w:firstRowFirstColumn="0" w:firstRowLastColumn="0" w:lastRowFirstColumn="0" w:lastRowLastColumn="0"/>
            <w:tcW w:w="7371" w:type="dxa"/>
          </w:tcPr>
          <w:p w14:paraId="074D53B0" w14:textId="77777777" w:rsidR="004D42F9" w:rsidRDefault="004D42F9">
            <w:r>
              <w:rPr>
                <w:b/>
              </w:rPr>
              <w:t>Opening balance of plan assets</w:t>
            </w:r>
          </w:p>
        </w:tc>
        <w:tc>
          <w:tcPr>
            <w:tcW w:w="1133" w:type="dxa"/>
          </w:tcPr>
          <w:p w14:paraId="3C903D4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26 110</w:t>
            </w:r>
          </w:p>
        </w:tc>
        <w:tc>
          <w:tcPr>
            <w:tcW w:w="1134" w:type="dxa"/>
          </w:tcPr>
          <w:p w14:paraId="048B014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26 301</w:t>
            </w:r>
          </w:p>
        </w:tc>
      </w:tr>
      <w:tr w:rsidR="004D42F9" w14:paraId="5B856277" w14:textId="77777777">
        <w:tc>
          <w:tcPr>
            <w:cnfStyle w:val="001000000000" w:firstRow="0" w:lastRow="0" w:firstColumn="1" w:lastColumn="0" w:oddVBand="0" w:evenVBand="0" w:oddHBand="0" w:evenHBand="0" w:firstRowFirstColumn="0" w:firstRowLastColumn="0" w:lastRowFirstColumn="0" w:lastRowLastColumn="0"/>
            <w:tcW w:w="7371" w:type="dxa"/>
          </w:tcPr>
          <w:p w14:paraId="4D531760" w14:textId="77777777" w:rsidR="004D42F9" w:rsidRDefault="004D42F9">
            <w:r>
              <w:t>Interest income</w:t>
            </w:r>
          </w:p>
        </w:tc>
        <w:tc>
          <w:tcPr>
            <w:tcW w:w="1133" w:type="dxa"/>
          </w:tcPr>
          <w:p w14:paraId="07B49D43" w14:textId="77777777" w:rsidR="004D42F9" w:rsidRDefault="004D42F9">
            <w:pPr>
              <w:cnfStyle w:val="000000000000" w:firstRow="0" w:lastRow="0" w:firstColumn="0" w:lastColumn="0" w:oddVBand="0" w:evenVBand="0" w:oddHBand="0" w:evenHBand="0" w:firstRowFirstColumn="0" w:firstRowLastColumn="0" w:lastRowFirstColumn="0" w:lastRowLastColumn="0"/>
            </w:pPr>
            <w:r>
              <w:t>1 089</w:t>
            </w:r>
          </w:p>
        </w:tc>
        <w:tc>
          <w:tcPr>
            <w:tcW w:w="1134" w:type="dxa"/>
          </w:tcPr>
          <w:p w14:paraId="3701CF95" w14:textId="77777777" w:rsidR="004D42F9" w:rsidRDefault="004D42F9">
            <w:pPr>
              <w:cnfStyle w:val="000000000000" w:firstRow="0" w:lastRow="0" w:firstColumn="0" w:lastColumn="0" w:oddVBand="0" w:evenVBand="0" w:oddHBand="0" w:evenHBand="0" w:firstRowFirstColumn="0" w:firstRowLastColumn="0" w:lastRowFirstColumn="0" w:lastRowLastColumn="0"/>
            </w:pPr>
            <w:r>
              <w:t>1 031</w:t>
            </w:r>
          </w:p>
        </w:tc>
      </w:tr>
      <w:tr w:rsidR="004D42F9" w14:paraId="61CD148B" w14:textId="77777777">
        <w:tc>
          <w:tcPr>
            <w:cnfStyle w:val="001000000000" w:firstRow="0" w:lastRow="0" w:firstColumn="1" w:lastColumn="0" w:oddVBand="0" w:evenVBand="0" w:oddHBand="0" w:evenHBand="0" w:firstRowFirstColumn="0" w:firstRowLastColumn="0" w:lastRowFirstColumn="0" w:lastRowLastColumn="0"/>
            <w:tcW w:w="7371" w:type="dxa"/>
          </w:tcPr>
          <w:p w14:paraId="271F592E" w14:textId="77777777" w:rsidR="004D42F9" w:rsidRDefault="004D42F9">
            <w:r>
              <w:t>Remeasurements:</w:t>
            </w:r>
          </w:p>
        </w:tc>
        <w:tc>
          <w:tcPr>
            <w:tcW w:w="1133" w:type="dxa"/>
          </w:tcPr>
          <w:p w14:paraId="78AD0D6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134" w:type="dxa"/>
          </w:tcPr>
          <w:p w14:paraId="21E8248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C37F45A" w14:textId="77777777">
        <w:tc>
          <w:tcPr>
            <w:cnfStyle w:val="001000000000" w:firstRow="0" w:lastRow="0" w:firstColumn="1" w:lastColumn="0" w:oddVBand="0" w:evenVBand="0" w:oddHBand="0" w:evenHBand="0" w:firstRowFirstColumn="0" w:firstRowLastColumn="0" w:lastRowFirstColumn="0" w:lastRowLastColumn="0"/>
            <w:tcW w:w="7371" w:type="dxa"/>
          </w:tcPr>
          <w:p w14:paraId="139A14BB" w14:textId="77777777" w:rsidR="004D42F9" w:rsidRDefault="004D42F9">
            <w:r>
              <w:t xml:space="preserve">   Expected return on plan assets excluding interest income</w:t>
            </w:r>
          </w:p>
        </w:tc>
        <w:tc>
          <w:tcPr>
            <w:tcW w:w="1133" w:type="dxa"/>
          </w:tcPr>
          <w:p w14:paraId="191A038E" w14:textId="77777777" w:rsidR="004D42F9" w:rsidRDefault="004D42F9">
            <w:pPr>
              <w:cnfStyle w:val="000000000000" w:firstRow="0" w:lastRow="0" w:firstColumn="0" w:lastColumn="0" w:oddVBand="0" w:evenVBand="0" w:oddHBand="0" w:evenHBand="0" w:firstRowFirstColumn="0" w:firstRowLastColumn="0" w:lastRowFirstColumn="0" w:lastRowLastColumn="0"/>
            </w:pPr>
            <w:r>
              <w:t>641</w:t>
            </w:r>
          </w:p>
        </w:tc>
        <w:tc>
          <w:tcPr>
            <w:tcW w:w="1134" w:type="dxa"/>
          </w:tcPr>
          <w:p w14:paraId="16072C37" w14:textId="77777777" w:rsidR="004D42F9" w:rsidRDefault="004D42F9">
            <w:pPr>
              <w:cnfStyle w:val="000000000000" w:firstRow="0" w:lastRow="0" w:firstColumn="0" w:lastColumn="0" w:oddVBand="0" w:evenVBand="0" w:oddHBand="0" w:evenHBand="0" w:firstRowFirstColumn="0" w:firstRowLastColumn="0" w:lastRowFirstColumn="0" w:lastRowLastColumn="0"/>
            </w:pPr>
            <w:r>
              <w:t>722</w:t>
            </w:r>
          </w:p>
        </w:tc>
      </w:tr>
      <w:tr w:rsidR="004D42F9" w14:paraId="7D77841B" w14:textId="77777777">
        <w:tc>
          <w:tcPr>
            <w:cnfStyle w:val="001000000000" w:firstRow="0" w:lastRow="0" w:firstColumn="1" w:lastColumn="0" w:oddVBand="0" w:evenVBand="0" w:oddHBand="0" w:evenHBand="0" w:firstRowFirstColumn="0" w:firstRowLastColumn="0" w:lastRowFirstColumn="0" w:lastRowLastColumn="0"/>
            <w:tcW w:w="7371" w:type="dxa"/>
          </w:tcPr>
          <w:p w14:paraId="79A5E746" w14:textId="77777777" w:rsidR="004D42F9" w:rsidRDefault="004D42F9">
            <w:r>
              <w:t xml:space="preserve">   Actuarial gain/(loss) relative to expected return</w:t>
            </w:r>
          </w:p>
        </w:tc>
        <w:tc>
          <w:tcPr>
            <w:tcW w:w="1133" w:type="dxa"/>
          </w:tcPr>
          <w:p w14:paraId="6CA66CAD" w14:textId="77777777" w:rsidR="004D42F9" w:rsidRDefault="004D42F9">
            <w:pPr>
              <w:cnfStyle w:val="000000000000" w:firstRow="0" w:lastRow="0" w:firstColumn="0" w:lastColumn="0" w:oddVBand="0" w:evenVBand="0" w:oddHBand="0" w:evenHBand="0" w:firstRowFirstColumn="0" w:firstRowLastColumn="0" w:lastRowFirstColumn="0" w:lastRowLastColumn="0"/>
            </w:pPr>
            <w:r>
              <w:t>579</w:t>
            </w:r>
          </w:p>
        </w:tc>
        <w:tc>
          <w:tcPr>
            <w:tcW w:w="1134" w:type="dxa"/>
          </w:tcPr>
          <w:p w14:paraId="47A4199D" w14:textId="77777777" w:rsidR="004D42F9" w:rsidRDefault="004D42F9">
            <w:pPr>
              <w:cnfStyle w:val="000000000000" w:firstRow="0" w:lastRow="0" w:firstColumn="0" w:lastColumn="0" w:oddVBand="0" w:evenVBand="0" w:oddHBand="0" w:evenHBand="0" w:firstRowFirstColumn="0" w:firstRowLastColumn="0" w:lastRowFirstColumn="0" w:lastRowLastColumn="0"/>
            </w:pPr>
            <w:r>
              <w:t>264</w:t>
            </w:r>
          </w:p>
        </w:tc>
      </w:tr>
      <w:tr w:rsidR="004D42F9" w14:paraId="36AB628E" w14:textId="77777777">
        <w:tc>
          <w:tcPr>
            <w:cnfStyle w:val="001000000000" w:firstRow="0" w:lastRow="0" w:firstColumn="1" w:lastColumn="0" w:oddVBand="0" w:evenVBand="0" w:oddHBand="0" w:evenHBand="0" w:firstRowFirstColumn="0" w:firstRowLastColumn="0" w:lastRowFirstColumn="0" w:lastRowLastColumn="0"/>
            <w:tcW w:w="7371" w:type="dxa"/>
          </w:tcPr>
          <w:p w14:paraId="6D140B79" w14:textId="77777777" w:rsidR="004D42F9" w:rsidRDefault="004D42F9">
            <w:r>
              <w:t>Employer contributions</w:t>
            </w:r>
          </w:p>
        </w:tc>
        <w:tc>
          <w:tcPr>
            <w:tcW w:w="1133" w:type="dxa"/>
          </w:tcPr>
          <w:p w14:paraId="350910FA" w14:textId="77777777" w:rsidR="004D42F9" w:rsidRDefault="004D42F9">
            <w:pPr>
              <w:cnfStyle w:val="000000000000" w:firstRow="0" w:lastRow="0" w:firstColumn="0" w:lastColumn="0" w:oddVBand="0" w:evenVBand="0" w:oddHBand="0" w:evenHBand="0" w:firstRowFirstColumn="0" w:firstRowLastColumn="0" w:lastRowFirstColumn="0" w:lastRowLastColumn="0"/>
            </w:pPr>
            <w:r>
              <w:t>937</w:t>
            </w:r>
          </w:p>
        </w:tc>
        <w:tc>
          <w:tcPr>
            <w:tcW w:w="1134" w:type="dxa"/>
          </w:tcPr>
          <w:p w14:paraId="37DD0F94" w14:textId="77777777" w:rsidR="004D42F9" w:rsidRDefault="004D42F9">
            <w:pPr>
              <w:cnfStyle w:val="000000000000" w:firstRow="0" w:lastRow="0" w:firstColumn="0" w:lastColumn="0" w:oddVBand="0" w:evenVBand="0" w:oddHBand="0" w:evenHBand="0" w:firstRowFirstColumn="0" w:firstRowLastColumn="0" w:lastRowFirstColumn="0" w:lastRowLastColumn="0"/>
            </w:pPr>
            <w:r>
              <w:t>724</w:t>
            </w:r>
          </w:p>
        </w:tc>
      </w:tr>
      <w:tr w:rsidR="004D42F9" w14:paraId="19D9B6CC" w14:textId="77777777">
        <w:tc>
          <w:tcPr>
            <w:cnfStyle w:val="001000000000" w:firstRow="0" w:lastRow="0" w:firstColumn="1" w:lastColumn="0" w:oddVBand="0" w:evenVBand="0" w:oddHBand="0" w:evenHBand="0" w:firstRowFirstColumn="0" w:firstRowLastColumn="0" w:lastRowFirstColumn="0" w:lastRowLastColumn="0"/>
            <w:tcW w:w="7371" w:type="dxa"/>
          </w:tcPr>
          <w:p w14:paraId="67F0A77E" w14:textId="77777777" w:rsidR="004D42F9" w:rsidRDefault="004D42F9">
            <w:r>
              <w:t>Contributions by plan participants</w:t>
            </w:r>
          </w:p>
        </w:tc>
        <w:tc>
          <w:tcPr>
            <w:tcW w:w="1133" w:type="dxa"/>
          </w:tcPr>
          <w:p w14:paraId="165678AC" w14:textId="77777777" w:rsidR="004D42F9" w:rsidRDefault="004D42F9">
            <w:pPr>
              <w:cnfStyle w:val="000000000000" w:firstRow="0" w:lastRow="0" w:firstColumn="0" w:lastColumn="0" w:oddVBand="0" w:evenVBand="0" w:oddHBand="0" w:evenHBand="0" w:firstRowFirstColumn="0" w:firstRowLastColumn="0" w:lastRowFirstColumn="0" w:lastRowLastColumn="0"/>
            </w:pPr>
            <w:r>
              <w:t>235</w:t>
            </w:r>
          </w:p>
        </w:tc>
        <w:tc>
          <w:tcPr>
            <w:tcW w:w="1134" w:type="dxa"/>
          </w:tcPr>
          <w:p w14:paraId="0E60278B" w14:textId="77777777" w:rsidR="004D42F9" w:rsidRDefault="004D42F9">
            <w:pPr>
              <w:cnfStyle w:val="000000000000" w:firstRow="0" w:lastRow="0" w:firstColumn="0" w:lastColumn="0" w:oddVBand="0" w:evenVBand="0" w:oddHBand="0" w:evenHBand="0" w:firstRowFirstColumn="0" w:firstRowLastColumn="0" w:lastRowFirstColumn="0" w:lastRowLastColumn="0"/>
            </w:pPr>
            <w:r>
              <w:t>233</w:t>
            </w:r>
          </w:p>
        </w:tc>
      </w:tr>
      <w:tr w:rsidR="004D42F9" w14:paraId="57BC82CD"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50466588" w14:textId="77777777" w:rsidR="004D42F9" w:rsidRDefault="004D42F9">
            <w:r>
              <w:t>Benefits paid</w:t>
            </w:r>
          </w:p>
        </w:tc>
        <w:tc>
          <w:tcPr>
            <w:tcW w:w="1133" w:type="dxa"/>
            <w:tcBorders>
              <w:bottom w:val="single" w:sz="6" w:space="0" w:color="auto"/>
            </w:tcBorders>
          </w:tcPr>
          <w:p w14:paraId="37B1FFCD" w14:textId="77777777" w:rsidR="004D42F9" w:rsidRDefault="004D42F9">
            <w:pPr>
              <w:cnfStyle w:val="000000000000" w:firstRow="0" w:lastRow="0" w:firstColumn="0" w:lastColumn="0" w:oddVBand="0" w:evenVBand="0" w:oddHBand="0" w:evenHBand="0" w:firstRowFirstColumn="0" w:firstRowLastColumn="0" w:lastRowFirstColumn="0" w:lastRowLastColumn="0"/>
            </w:pPr>
            <w:r>
              <w:t>(3 398)</w:t>
            </w:r>
          </w:p>
        </w:tc>
        <w:tc>
          <w:tcPr>
            <w:tcW w:w="1134" w:type="dxa"/>
            <w:tcBorders>
              <w:bottom w:val="single" w:sz="6" w:space="0" w:color="auto"/>
            </w:tcBorders>
          </w:tcPr>
          <w:p w14:paraId="42AF3CCE" w14:textId="77777777" w:rsidR="004D42F9" w:rsidRDefault="004D42F9">
            <w:pPr>
              <w:cnfStyle w:val="000000000000" w:firstRow="0" w:lastRow="0" w:firstColumn="0" w:lastColumn="0" w:oddVBand="0" w:evenVBand="0" w:oddHBand="0" w:evenHBand="0" w:firstRowFirstColumn="0" w:firstRowLastColumn="0" w:lastRowFirstColumn="0" w:lastRowLastColumn="0"/>
            </w:pPr>
            <w:r>
              <w:t>(3 165)</w:t>
            </w:r>
          </w:p>
        </w:tc>
      </w:tr>
      <w:tr w:rsidR="004D42F9" w14:paraId="190932CA"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75F2D5C0" w14:textId="77777777" w:rsidR="004D42F9" w:rsidRDefault="004D42F9">
            <w:r>
              <w:rPr>
                <w:b/>
              </w:rPr>
              <w:t>Closing balance of plan assets</w:t>
            </w:r>
          </w:p>
        </w:tc>
        <w:tc>
          <w:tcPr>
            <w:tcW w:w="1133" w:type="dxa"/>
            <w:tcBorders>
              <w:top w:val="single" w:sz="6" w:space="0" w:color="auto"/>
              <w:bottom w:val="single" w:sz="12" w:space="0" w:color="auto"/>
            </w:tcBorders>
          </w:tcPr>
          <w:p w14:paraId="7FFF1A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26 194</w:t>
            </w:r>
          </w:p>
        </w:tc>
        <w:tc>
          <w:tcPr>
            <w:tcW w:w="1134" w:type="dxa"/>
            <w:tcBorders>
              <w:top w:val="single" w:sz="6" w:space="0" w:color="auto"/>
              <w:bottom w:val="single" w:sz="12" w:space="0" w:color="auto"/>
            </w:tcBorders>
          </w:tcPr>
          <w:p w14:paraId="78A625E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26 110</w:t>
            </w:r>
          </w:p>
        </w:tc>
      </w:tr>
    </w:tbl>
    <w:p w14:paraId="1C2C130B" w14:textId="77777777" w:rsidR="004D42F9" w:rsidRDefault="004D42F9" w:rsidP="004D42F9"/>
    <w:p w14:paraId="61E3499D" w14:textId="0C87C193" w:rsidR="004D42F9" w:rsidRDefault="004D42F9" w:rsidP="004D42F9">
      <w:pPr>
        <w:pStyle w:val="Heading3"/>
      </w:pPr>
      <w:r>
        <w:lastRenderedPageBreak/>
        <w:t>The State</w:t>
      </w:r>
      <w:r w:rsidR="00845934">
        <w:t>’</w:t>
      </w:r>
      <w:r>
        <w:t>s defined benefit superannuation plans</w:t>
      </w:r>
    </w:p>
    <w:p w14:paraId="5A7589FA"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678BE3D9" w14:textId="2FC32A29" w:rsidR="004D42F9" w:rsidRDefault="004D42F9" w:rsidP="004D42F9">
      <w:r>
        <w:t>The State</w:t>
      </w:r>
      <w:r w:rsidR="00845934">
        <w:t>’</w:t>
      </w:r>
      <w:r>
        <w:t>s defined benefit superannuation plans provide benefits based on years of service and final average salary. Commonly referred to as plans, these are:</w:t>
      </w:r>
    </w:p>
    <w:p w14:paraId="7CB0F789" w14:textId="77777777" w:rsidR="004D42F9" w:rsidRPr="008B2338" w:rsidRDefault="004D42F9" w:rsidP="004D42F9">
      <w:pPr>
        <w:pStyle w:val="ListBullet"/>
        <w:keepLines/>
        <w:numPr>
          <w:ilvl w:val="0"/>
          <w:numId w:val="27"/>
        </w:numPr>
      </w:pPr>
      <w:r w:rsidRPr="008B2338">
        <w:t xml:space="preserve">State Super Funds (SSF), a collection of defined benefit </w:t>
      </w:r>
      <w:r>
        <w:t>plans</w:t>
      </w:r>
      <w:r w:rsidRPr="008B2338">
        <w:t xml:space="preserve">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w:t>
      </w:r>
      <w:r>
        <w:t>of these plans</w:t>
      </w:r>
      <w:r w:rsidRPr="008B2338">
        <w:t xml:space="preserve"> are now closed to new members.</w:t>
      </w:r>
    </w:p>
    <w:p w14:paraId="2C153EB4" w14:textId="77777777" w:rsidR="004D42F9" w:rsidRPr="008B2338" w:rsidRDefault="004D42F9" w:rsidP="004D42F9">
      <w:pPr>
        <w:pStyle w:val="ListBullet"/>
        <w:keepLines/>
        <w:numPr>
          <w:ilvl w:val="0"/>
          <w:numId w:val="27"/>
        </w:numPr>
      </w:pPr>
      <w:r w:rsidRPr="008B2338">
        <w:t>Emergency Services Superannuation Scheme Defined Benefit (ESSS DB), a</w:t>
      </w:r>
      <w:r>
        <w:t xml:space="preserve"> </w:t>
      </w:r>
      <w:r w:rsidRPr="008B2338">
        <w:t xml:space="preserve">defined benefit lump sum </w:t>
      </w:r>
      <w:r>
        <w:t>plan</w:t>
      </w:r>
      <w:r w:rsidRPr="008B2338">
        <w:t xml:space="preserve">, which remains open to new members. It also has a number of pensioners remaining from prior </w:t>
      </w:r>
      <w:r>
        <w:t>plans</w:t>
      </w:r>
      <w:r w:rsidRPr="008B2338">
        <w:t>.</w:t>
      </w:r>
    </w:p>
    <w:p w14:paraId="461343A6" w14:textId="6A21BC9C" w:rsidR="004D42F9" w:rsidRPr="008B2338" w:rsidRDefault="004D42F9" w:rsidP="004D42F9">
      <w:pPr>
        <w:pStyle w:val="ListBullet"/>
        <w:keepLines/>
        <w:numPr>
          <w:ilvl w:val="0"/>
          <w:numId w:val="27"/>
        </w:numPr>
      </w:pPr>
      <w:r w:rsidRPr="008B2338">
        <w:t>Constitutionally Protected Pension Schemes, defined benefit pensions that continue to be provided to new office holders</w:t>
      </w:r>
    </w:p>
    <w:p w14:paraId="6C172359" w14:textId="77777777" w:rsidR="004D42F9" w:rsidRPr="008B2338" w:rsidRDefault="004D42F9" w:rsidP="004D42F9">
      <w:pPr>
        <w:pStyle w:val="ListBullet"/>
        <w:keepLines/>
        <w:numPr>
          <w:ilvl w:val="0"/>
          <w:numId w:val="27"/>
        </w:numPr>
      </w:pPr>
      <w:r w:rsidRPr="008B2338">
        <w:t>Health Super Division of Aware Super (Health Super), a</w:t>
      </w:r>
      <w:r>
        <w:t xml:space="preserve"> </w:t>
      </w:r>
      <w:r w:rsidRPr="008B2338">
        <w:t xml:space="preserve">defined benefit </w:t>
      </w:r>
      <w:r>
        <w:t>plan</w:t>
      </w:r>
      <w:r w:rsidRPr="008B2338">
        <w:t xml:space="preserve"> that provides both lump sum and pension benefits. This </w:t>
      </w:r>
      <w:r>
        <w:t>plan</w:t>
      </w:r>
      <w:r w:rsidRPr="008B2338">
        <w:t xml:space="preserve"> is closed to new members.</w:t>
      </w:r>
    </w:p>
    <w:p w14:paraId="4EB40AB0" w14:textId="77777777" w:rsidR="004D42F9" w:rsidRDefault="004D42F9" w:rsidP="004D42F9">
      <w:r>
        <w:t xml:space="preserve">The SSF, ESSS DB and Constitutionally Protected Pension Schemes are exempt public sector superannuation plans. These plans comply with national superannuation standards under a Heads of Government Agreement and are treated as complying for concessional tax and superannuation guarantee purposes. </w:t>
      </w:r>
    </w:p>
    <w:p w14:paraId="6C0AD76E" w14:textId="77777777" w:rsidR="004D42F9" w:rsidRDefault="004D42F9" w:rsidP="004D42F9">
      <w:r>
        <w:t>The Emergency Services Superannuation Board (ESSB) is responsible for the governance of the SSF and ESSS DB and acts as paying agent for constitutionally protected pensions. The ESSB has the following roles:</w:t>
      </w:r>
    </w:p>
    <w:p w14:paraId="76F77A76" w14:textId="7362F8E1" w:rsidR="004D42F9" w:rsidRPr="008B2338" w:rsidRDefault="006E70C2" w:rsidP="004D42F9">
      <w:pPr>
        <w:pStyle w:val="ListBullet"/>
        <w:keepLines/>
        <w:numPr>
          <w:ilvl w:val="0"/>
          <w:numId w:val="27"/>
        </w:numPr>
      </w:pPr>
      <w:r>
        <w:t>a</w:t>
      </w:r>
      <w:r w:rsidR="004D42F9" w:rsidRPr="008B2338">
        <w:t xml:space="preserve">dministration of the </w:t>
      </w:r>
      <w:r w:rsidR="004D42F9">
        <w:t>plans</w:t>
      </w:r>
      <w:r w:rsidR="004D42F9" w:rsidRPr="008B2338">
        <w:t xml:space="preserve">, including payment of benefits to beneficiaries in accordance with the governing rules of the </w:t>
      </w:r>
      <w:r w:rsidR="004D42F9">
        <w:t>plans</w:t>
      </w:r>
      <w:r w:rsidR="004D42F9" w:rsidRPr="008B2338">
        <w:t xml:space="preserve">. The administration service </w:t>
      </w:r>
      <w:r w:rsidR="004D42F9">
        <w:t>is</w:t>
      </w:r>
      <w:r w:rsidR="004D42F9" w:rsidRPr="008B2338">
        <w:t xml:space="preserve"> outsourced to </w:t>
      </w:r>
      <w:r w:rsidR="004D42F9">
        <w:t>a third</w:t>
      </w:r>
      <w:r w:rsidR="006167B7">
        <w:noBreakHyphen/>
      </w:r>
      <w:r w:rsidR="004D42F9">
        <w:t>party provider, Apex.</w:t>
      </w:r>
      <w:r w:rsidR="004D42F9" w:rsidRPr="008B2338">
        <w:t xml:space="preserve"> </w:t>
      </w:r>
    </w:p>
    <w:p w14:paraId="0F220977" w14:textId="0A479894" w:rsidR="004D42F9" w:rsidRPr="008B2338" w:rsidRDefault="00061BDA" w:rsidP="004D42F9">
      <w:pPr>
        <w:pStyle w:val="ListBullet"/>
        <w:keepLines/>
        <w:numPr>
          <w:ilvl w:val="0"/>
          <w:numId w:val="27"/>
        </w:numPr>
      </w:pPr>
      <w:r>
        <w:t>m</w:t>
      </w:r>
      <w:r w:rsidR="004D42F9" w:rsidRPr="008B2338">
        <w:t xml:space="preserve">anagement and investment of the assets of the </w:t>
      </w:r>
      <w:r w:rsidR="004D42F9">
        <w:t>plans</w:t>
      </w:r>
      <w:r w:rsidR="004D42F9" w:rsidRPr="008B2338">
        <w:t>, the responsibility for which is primarily outsourced to the Victorian Funds Management Corporation (VFMC)</w:t>
      </w:r>
    </w:p>
    <w:p w14:paraId="27D1D2CE" w14:textId="7BFD5584" w:rsidR="004D42F9" w:rsidRPr="008B2338" w:rsidRDefault="00061BDA" w:rsidP="004D42F9">
      <w:pPr>
        <w:pStyle w:val="ListBullet"/>
        <w:keepLines/>
        <w:numPr>
          <w:ilvl w:val="0"/>
          <w:numId w:val="27"/>
        </w:numPr>
      </w:pPr>
      <w:r>
        <w:t>c</w:t>
      </w:r>
      <w:r w:rsidR="004D42F9" w:rsidRPr="008B2338">
        <w:t>ompliance with superannuation law and other applicable regulations in accordance with the Heads of Government Agreement.</w:t>
      </w:r>
    </w:p>
    <w:p w14:paraId="3790E1A2" w14:textId="77777777" w:rsidR="004D42F9" w:rsidRDefault="004D42F9" w:rsidP="004D42F9">
      <w:r>
        <w:t>Constitutionally protected pensions are governed by Victorian acts for which the Attorney-General is responsible.</w:t>
      </w:r>
    </w:p>
    <w:p w14:paraId="4C2CD18D" w14:textId="77777777" w:rsidR="004D42F9" w:rsidRDefault="004D42F9" w:rsidP="004D42F9">
      <w:r>
        <w:t>Aware Super is a regulated public offer superannuation fund. Aware Super Pty Ltd (ASPL) is responsible for the governance of Aware Super and therefore Health Super. As trustee, ASPL has the following roles:</w:t>
      </w:r>
    </w:p>
    <w:p w14:paraId="6E6FF5EC" w14:textId="721802A0" w:rsidR="004D42F9" w:rsidRPr="008B2338" w:rsidRDefault="00804E80" w:rsidP="004D42F9">
      <w:pPr>
        <w:pStyle w:val="ListBullet"/>
        <w:keepLines/>
        <w:numPr>
          <w:ilvl w:val="0"/>
          <w:numId w:val="27"/>
        </w:numPr>
      </w:pPr>
      <w:r>
        <w:t>a</w:t>
      </w:r>
      <w:r w:rsidR="004D42F9" w:rsidRPr="008B2338">
        <w:t>dministration of Health Super, including payment of benefits to beneficiaries in accordance with the governing rules</w:t>
      </w:r>
    </w:p>
    <w:p w14:paraId="583A478F" w14:textId="71A036DD" w:rsidR="004D42F9" w:rsidRPr="008B2338" w:rsidRDefault="00804E80" w:rsidP="004D42F9">
      <w:pPr>
        <w:pStyle w:val="ListBullet"/>
        <w:keepLines/>
        <w:numPr>
          <w:ilvl w:val="0"/>
          <w:numId w:val="27"/>
        </w:numPr>
      </w:pPr>
      <w:r>
        <w:t>m</w:t>
      </w:r>
      <w:r w:rsidR="004D42F9" w:rsidRPr="008B2338">
        <w:t>anagement and investment of the assets of Health Super</w:t>
      </w:r>
    </w:p>
    <w:p w14:paraId="4ED81749" w14:textId="17D54903" w:rsidR="004D42F9" w:rsidRPr="008B2338" w:rsidRDefault="00804E80" w:rsidP="004D42F9">
      <w:pPr>
        <w:pStyle w:val="ListBullet"/>
        <w:keepLines/>
        <w:numPr>
          <w:ilvl w:val="0"/>
          <w:numId w:val="27"/>
        </w:numPr>
      </w:pPr>
      <w:r>
        <w:t>c</w:t>
      </w:r>
      <w:r w:rsidR="004D42F9" w:rsidRPr="008B2338">
        <w:t>ompliance with superannuation law and other applicable regulations.</w:t>
      </w:r>
    </w:p>
    <w:p w14:paraId="6A3B21F2" w14:textId="77777777" w:rsidR="00322197" w:rsidRDefault="00322197" w:rsidP="004D42F9">
      <w:pPr>
        <w:keepLines w:val="0"/>
        <w:sectPr w:rsidR="00322197" w:rsidSect="00322197">
          <w:type w:val="continuous"/>
          <w:pgSz w:w="11906" w:h="16838" w:code="9"/>
          <w:pgMar w:top="1134" w:right="1134" w:bottom="1134" w:left="1134" w:header="624" w:footer="567" w:gutter="0"/>
          <w:cols w:num="2" w:space="708"/>
          <w:docGrid w:linePitch="360"/>
        </w:sectPr>
      </w:pPr>
    </w:p>
    <w:p w14:paraId="5302194B" w14:textId="77777777" w:rsidR="004D42F9" w:rsidRDefault="004D42F9" w:rsidP="004D42F9">
      <w:pPr>
        <w:keepLines w:val="0"/>
        <w:rPr>
          <w:rFonts w:asciiTheme="majorHAnsi" w:eastAsiaTheme="majorEastAsia" w:hAnsiTheme="majorHAnsi" w:cstheme="majorBidi"/>
          <w:b/>
          <w:sz w:val="23"/>
          <w:szCs w:val="24"/>
        </w:rPr>
      </w:pPr>
      <w:r>
        <w:br w:type="page"/>
      </w:r>
    </w:p>
    <w:p w14:paraId="129140EB" w14:textId="77777777" w:rsidR="004D42F9" w:rsidRDefault="004D42F9" w:rsidP="006167B7">
      <w:pPr>
        <w:pStyle w:val="Heading3"/>
        <w:spacing w:before="0"/>
      </w:pPr>
      <w:r>
        <w:lastRenderedPageBreak/>
        <w:t xml:space="preserve">Superannuation assumptions </w:t>
      </w:r>
    </w:p>
    <w:p w14:paraId="0BA144F5"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697435B6" w14:textId="5E91AB03" w:rsidR="004D42F9" w:rsidRDefault="004D42F9" w:rsidP="004D42F9">
      <w:r>
        <w:t xml:space="preserve">The significant actuarial assumptions used for superannuation reporting purposes are the discount rate, future rates of wages growth and the inflation rate that is used to index pensions (while the expected return on assets is included for completeness), as detailed below. The superannuation assumptions are determined in accordance with AASB </w:t>
      </w:r>
      <w:r w:rsidRPr="00A443B3">
        <w:t xml:space="preserve">119 </w:t>
      </w:r>
      <w:r w:rsidRPr="00A443B3">
        <w:rPr>
          <w:i/>
          <w:iCs/>
        </w:rPr>
        <w:t>Employee Benefits</w:t>
      </w:r>
      <w:r>
        <w:t>.</w:t>
      </w:r>
    </w:p>
    <w:p w14:paraId="44DF290B" w14:textId="77777777" w:rsidR="00322197" w:rsidRDefault="00322197" w:rsidP="004D42F9">
      <w:pPr>
        <w:sectPr w:rsidR="00322197" w:rsidSect="00322197">
          <w:type w:val="continuous"/>
          <w:pgSz w:w="11906" w:h="16838" w:code="9"/>
          <w:pgMar w:top="1134" w:right="1134" w:bottom="1134" w:left="1134" w:header="624" w:footer="567" w:gutter="0"/>
          <w:cols w:num="2" w:space="708"/>
          <w:docGrid w:linePitch="360"/>
        </w:sectPr>
      </w:pPr>
    </w:p>
    <w:p w14:paraId="2A3D65C1" w14:textId="77777777" w:rsidR="004D42F9" w:rsidRDefault="004D42F9" w:rsidP="004D42F9"/>
    <w:tbl>
      <w:tblPr>
        <w:tblStyle w:val="DTFTableNumeric"/>
        <w:tblW w:w="9638" w:type="dxa"/>
        <w:tblLayout w:type="fixed"/>
        <w:tblLook w:val="0620" w:firstRow="1" w:lastRow="0" w:firstColumn="0" w:lastColumn="0" w:noHBand="1" w:noVBand="1"/>
        <w:tblDescription w:val="Type:DtfTable|Workbook:https://vicgov.sharepoint.com/sites/VG002733/Annual Financial Report/CRA Coordination/Financial Statements/Manual Reports/Superannuation/Link_AFR_Superannuation.xlsx|Table:Super_assumptions"/>
      </w:tblPr>
      <w:tblGrid>
        <w:gridCol w:w="2835"/>
        <w:gridCol w:w="2381"/>
        <w:gridCol w:w="2608"/>
        <w:gridCol w:w="907"/>
        <w:gridCol w:w="907"/>
      </w:tblGrid>
      <w:tr w:rsidR="004D42F9" w14:paraId="407974D6" w14:textId="77777777">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tcPr>
          <w:p w14:paraId="10756067" w14:textId="77777777" w:rsidR="004D42F9" w:rsidRDefault="004D42F9">
            <w:pPr>
              <w:keepNext/>
              <w:jc w:val="left"/>
            </w:pPr>
            <w:r>
              <w:t>Victorian statutory</w:t>
            </w:r>
            <w:r>
              <w:br/>
              <w:t>superannuation funds</w:t>
            </w:r>
          </w:p>
        </w:tc>
        <w:tc>
          <w:tcPr>
            <w:tcW w:w="2381" w:type="dxa"/>
          </w:tcPr>
          <w:p w14:paraId="0200073E" w14:textId="77777777" w:rsidR="004D42F9" w:rsidRDefault="004D42F9">
            <w:pPr>
              <w:keepNext/>
              <w:jc w:val="left"/>
            </w:pPr>
          </w:p>
        </w:tc>
        <w:tc>
          <w:tcPr>
            <w:tcW w:w="2608" w:type="dxa"/>
            <w:vMerge w:val="restart"/>
          </w:tcPr>
          <w:p w14:paraId="5622955C" w14:textId="77777777" w:rsidR="004D42F9" w:rsidRDefault="004D42F9">
            <w:pPr>
              <w:keepNext/>
              <w:ind w:left="170"/>
              <w:jc w:val="left"/>
            </w:pPr>
            <w:r>
              <w:t>Financial</w:t>
            </w:r>
            <w:r>
              <w:br/>
              <w:t>assumptions</w:t>
            </w:r>
          </w:p>
        </w:tc>
        <w:tc>
          <w:tcPr>
            <w:tcW w:w="1814" w:type="dxa"/>
            <w:gridSpan w:val="2"/>
          </w:tcPr>
          <w:p w14:paraId="07C8E157" w14:textId="77777777" w:rsidR="004D42F9" w:rsidRDefault="004D42F9">
            <w:pPr>
              <w:keepNext/>
            </w:pPr>
            <w:r>
              <w:t>Per cent per annum</w:t>
            </w:r>
          </w:p>
        </w:tc>
      </w:tr>
      <w:tr w:rsidR="00991200" w14:paraId="08AA4D45" w14:textId="77777777" w:rsidTr="006167B7">
        <w:trPr>
          <w:cnfStyle w:val="100000000000" w:firstRow="1" w:lastRow="0" w:firstColumn="0" w:lastColumn="0" w:oddVBand="0" w:evenVBand="0" w:oddHBand="0" w:evenHBand="0" w:firstRowFirstColumn="0" w:firstRowLastColumn="0" w:lastRowFirstColumn="0" w:lastRowLastColumn="0"/>
          <w:tblHeader/>
        </w:trPr>
        <w:tc>
          <w:tcPr>
            <w:tcW w:w="2835" w:type="dxa"/>
            <w:vMerge/>
          </w:tcPr>
          <w:p w14:paraId="0E84125B" w14:textId="77777777" w:rsidR="004D42F9" w:rsidRDefault="004D42F9">
            <w:pPr>
              <w:keepNext/>
              <w:jc w:val="left"/>
            </w:pPr>
          </w:p>
        </w:tc>
        <w:tc>
          <w:tcPr>
            <w:tcW w:w="2381" w:type="dxa"/>
          </w:tcPr>
          <w:p w14:paraId="7BC0F403" w14:textId="77777777" w:rsidR="004D42F9" w:rsidRDefault="004D42F9">
            <w:pPr>
              <w:keepNext/>
              <w:jc w:val="left"/>
            </w:pPr>
            <w:r>
              <w:t>Actuary</w:t>
            </w:r>
          </w:p>
        </w:tc>
        <w:tc>
          <w:tcPr>
            <w:tcW w:w="2608" w:type="dxa"/>
            <w:vMerge/>
          </w:tcPr>
          <w:p w14:paraId="345E17D1" w14:textId="77777777" w:rsidR="004D42F9" w:rsidRDefault="004D42F9">
            <w:pPr>
              <w:keepNext/>
              <w:ind w:left="340" w:hanging="170"/>
              <w:jc w:val="left"/>
            </w:pPr>
          </w:p>
        </w:tc>
        <w:tc>
          <w:tcPr>
            <w:tcW w:w="907" w:type="dxa"/>
          </w:tcPr>
          <w:p w14:paraId="18C4892A" w14:textId="77777777" w:rsidR="004D42F9" w:rsidRDefault="004D42F9">
            <w:pPr>
              <w:keepNext/>
            </w:pPr>
            <w:r>
              <w:t>2025</w:t>
            </w:r>
          </w:p>
        </w:tc>
        <w:tc>
          <w:tcPr>
            <w:tcW w:w="907" w:type="dxa"/>
          </w:tcPr>
          <w:p w14:paraId="46CEDABD" w14:textId="77777777" w:rsidR="004D42F9" w:rsidRDefault="004D42F9">
            <w:pPr>
              <w:keepNext/>
            </w:pPr>
            <w:r>
              <w:t>2024</w:t>
            </w:r>
          </w:p>
        </w:tc>
      </w:tr>
      <w:tr w:rsidR="004D42F9" w14:paraId="75199F38" w14:textId="77777777" w:rsidTr="006167B7">
        <w:tc>
          <w:tcPr>
            <w:tcW w:w="2835" w:type="dxa"/>
            <w:tcBorders>
              <w:bottom w:val="nil"/>
            </w:tcBorders>
          </w:tcPr>
          <w:p w14:paraId="086303EC" w14:textId="77777777" w:rsidR="004D42F9" w:rsidRDefault="004D42F9">
            <w:pPr>
              <w:jc w:val="left"/>
            </w:pPr>
            <w:r>
              <w:t>Emergency Services and State Super</w:t>
            </w:r>
          </w:p>
        </w:tc>
        <w:tc>
          <w:tcPr>
            <w:tcW w:w="2381" w:type="dxa"/>
            <w:tcBorders>
              <w:bottom w:val="nil"/>
            </w:tcBorders>
          </w:tcPr>
          <w:p w14:paraId="599A1C85" w14:textId="77777777" w:rsidR="004D42F9" w:rsidRDefault="004D42F9">
            <w:pPr>
              <w:jc w:val="left"/>
            </w:pPr>
            <w:r>
              <w:t>PwC Securities Ltd.</w:t>
            </w:r>
          </w:p>
        </w:tc>
        <w:tc>
          <w:tcPr>
            <w:tcW w:w="2608" w:type="dxa"/>
            <w:tcBorders>
              <w:bottom w:val="nil"/>
            </w:tcBorders>
          </w:tcPr>
          <w:p w14:paraId="08450578" w14:textId="77777777" w:rsidR="004D42F9" w:rsidRDefault="004D42F9">
            <w:pPr>
              <w:ind w:left="340" w:hanging="170"/>
              <w:jc w:val="left"/>
            </w:pPr>
            <w:r>
              <w:t>Expected return on assets</w:t>
            </w:r>
            <w:r>
              <w:rPr>
                <w:vertAlign w:val="superscript"/>
              </w:rPr>
              <w:t xml:space="preserve"> (a)</w:t>
            </w:r>
          </w:p>
        </w:tc>
        <w:tc>
          <w:tcPr>
            <w:tcW w:w="907" w:type="dxa"/>
            <w:tcBorders>
              <w:bottom w:val="nil"/>
            </w:tcBorders>
          </w:tcPr>
          <w:p w14:paraId="5AEF7654" w14:textId="77777777" w:rsidR="004D42F9" w:rsidRDefault="004D42F9">
            <w:r>
              <w:t>6.7</w:t>
            </w:r>
          </w:p>
        </w:tc>
        <w:tc>
          <w:tcPr>
            <w:tcW w:w="907" w:type="dxa"/>
            <w:tcBorders>
              <w:bottom w:val="nil"/>
            </w:tcBorders>
          </w:tcPr>
          <w:p w14:paraId="2F9B5506" w14:textId="77777777" w:rsidR="004D42F9" w:rsidRDefault="004D42F9">
            <w:r>
              <w:t>7.0</w:t>
            </w:r>
          </w:p>
        </w:tc>
      </w:tr>
      <w:tr w:rsidR="004D42F9" w14:paraId="185CCCF8" w14:textId="77777777" w:rsidTr="006167B7">
        <w:tc>
          <w:tcPr>
            <w:tcW w:w="2835" w:type="dxa"/>
            <w:tcBorders>
              <w:top w:val="nil"/>
            </w:tcBorders>
          </w:tcPr>
          <w:p w14:paraId="72FE1197" w14:textId="77777777" w:rsidR="004D42F9" w:rsidRDefault="004D42F9">
            <w:pPr>
              <w:jc w:val="left"/>
            </w:pPr>
          </w:p>
        </w:tc>
        <w:tc>
          <w:tcPr>
            <w:tcW w:w="2381" w:type="dxa"/>
            <w:tcBorders>
              <w:top w:val="nil"/>
            </w:tcBorders>
          </w:tcPr>
          <w:p w14:paraId="17F5BD94" w14:textId="77777777" w:rsidR="004D42F9" w:rsidRDefault="004D42F9">
            <w:pPr>
              <w:jc w:val="left"/>
            </w:pPr>
          </w:p>
        </w:tc>
        <w:tc>
          <w:tcPr>
            <w:tcW w:w="2608" w:type="dxa"/>
            <w:tcBorders>
              <w:top w:val="nil"/>
            </w:tcBorders>
          </w:tcPr>
          <w:p w14:paraId="497683A6" w14:textId="77777777" w:rsidR="004D42F9" w:rsidRDefault="004D42F9">
            <w:pPr>
              <w:ind w:left="340" w:hanging="170"/>
              <w:jc w:val="left"/>
            </w:pPr>
            <w:r>
              <w:t>Discount rate</w:t>
            </w:r>
            <w:r>
              <w:rPr>
                <w:vertAlign w:val="superscript"/>
              </w:rPr>
              <w:t xml:space="preserve"> (b)</w:t>
            </w:r>
          </w:p>
        </w:tc>
        <w:tc>
          <w:tcPr>
            <w:tcW w:w="907" w:type="dxa"/>
            <w:tcBorders>
              <w:top w:val="nil"/>
            </w:tcBorders>
          </w:tcPr>
          <w:p w14:paraId="62A54993" w14:textId="77777777" w:rsidR="004D42F9" w:rsidRDefault="004D42F9">
            <w:r>
              <w:t>4.4</w:t>
            </w:r>
          </w:p>
        </w:tc>
        <w:tc>
          <w:tcPr>
            <w:tcW w:w="907" w:type="dxa"/>
            <w:tcBorders>
              <w:top w:val="nil"/>
            </w:tcBorders>
          </w:tcPr>
          <w:p w14:paraId="7A04772C" w14:textId="77777777" w:rsidR="004D42F9" w:rsidRDefault="004D42F9">
            <w:r>
              <w:t>4.5</w:t>
            </w:r>
          </w:p>
        </w:tc>
      </w:tr>
      <w:tr w:rsidR="004D42F9" w14:paraId="08B05B1E" w14:textId="77777777">
        <w:tc>
          <w:tcPr>
            <w:tcW w:w="2835" w:type="dxa"/>
          </w:tcPr>
          <w:p w14:paraId="3B3014D8" w14:textId="77777777" w:rsidR="004D42F9" w:rsidRDefault="004D42F9">
            <w:pPr>
              <w:jc w:val="left"/>
            </w:pPr>
          </w:p>
        </w:tc>
        <w:tc>
          <w:tcPr>
            <w:tcW w:w="2381" w:type="dxa"/>
          </w:tcPr>
          <w:p w14:paraId="3E9C78A3" w14:textId="77777777" w:rsidR="004D42F9" w:rsidRDefault="004D42F9">
            <w:pPr>
              <w:jc w:val="left"/>
            </w:pPr>
          </w:p>
        </w:tc>
        <w:tc>
          <w:tcPr>
            <w:tcW w:w="2608" w:type="dxa"/>
          </w:tcPr>
          <w:p w14:paraId="13CCDAB6" w14:textId="77777777" w:rsidR="004D42F9" w:rsidRDefault="004D42F9">
            <w:pPr>
              <w:ind w:left="340" w:hanging="170"/>
              <w:jc w:val="left"/>
            </w:pPr>
            <w:r>
              <w:t>Wages growth</w:t>
            </w:r>
            <w:r>
              <w:rPr>
                <w:vertAlign w:val="superscript"/>
              </w:rPr>
              <w:t xml:space="preserve"> (c)</w:t>
            </w:r>
          </w:p>
        </w:tc>
        <w:tc>
          <w:tcPr>
            <w:tcW w:w="907" w:type="dxa"/>
          </w:tcPr>
          <w:p w14:paraId="34EF3542" w14:textId="77777777" w:rsidR="004D42F9" w:rsidRDefault="004D42F9">
            <w:r>
              <w:t>3.3</w:t>
            </w:r>
          </w:p>
        </w:tc>
        <w:tc>
          <w:tcPr>
            <w:tcW w:w="907" w:type="dxa"/>
          </w:tcPr>
          <w:p w14:paraId="57DB0735" w14:textId="77777777" w:rsidR="004D42F9" w:rsidRDefault="004D42F9">
            <w:r>
              <w:t>3.3</w:t>
            </w:r>
          </w:p>
        </w:tc>
      </w:tr>
      <w:tr w:rsidR="004D42F9" w14:paraId="5BE53B03" w14:textId="77777777">
        <w:tc>
          <w:tcPr>
            <w:tcW w:w="2835" w:type="dxa"/>
            <w:tcBorders>
              <w:bottom w:val="single" w:sz="6" w:space="0" w:color="auto"/>
            </w:tcBorders>
          </w:tcPr>
          <w:p w14:paraId="70A43FB9" w14:textId="77777777" w:rsidR="004D42F9" w:rsidRDefault="004D42F9">
            <w:pPr>
              <w:jc w:val="left"/>
            </w:pPr>
          </w:p>
        </w:tc>
        <w:tc>
          <w:tcPr>
            <w:tcW w:w="2381" w:type="dxa"/>
            <w:tcBorders>
              <w:bottom w:val="single" w:sz="6" w:space="0" w:color="auto"/>
            </w:tcBorders>
          </w:tcPr>
          <w:p w14:paraId="682D9464" w14:textId="77777777" w:rsidR="004D42F9" w:rsidRDefault="004D42F9">
            <w:pPr>
              <w:jc w:val="left"/>
            </w:pPr>
          </w:p>
        </w:tc>
        <w:tc>
          <w:tcPr>
            <w:tcW w:w="2608" w:type="dxa"/>
            <w:tcBorders>
              <w:bottom w:val="single" w:sz="6" w:space="0" w:color="auto"/>
            </w:tcBorders>
          </w:tcPr>
          <w:p w14:paraId="37A2A7A8" w14:textId="77777777" w:rsidR="004D42F9" w:rsidRDefault="004D42F9">
            <w:pPr>
              <w:ind w:left="340" w:hanging="170"/>
              <w:jc w:val="left"/>
            </w:pPr>
            <w:r>
              <w:t>Inflation rate</w:t>
            </w:r>
            <w:r>
              <w:rPr>
                <w:vertAlign w:val="superscript"/>
              </w:rPr>
              <w:t xml:space="preserve"> (c)</w:t>
            </w:r>
          </w:p>
        </w:tc>
        <w:tc>
          <w:tcPr>
            <w:tcW w:w="907" w:type="dxa"/>
            <w:tcBorders>
              <w:bottom w:val="single" w:sz="6" w:space="0" w:color="auto"/>
            </w:tcBorders>
          </w:tcPr>
          <w:p w14:paraId="76069E03" w14:textId="77777777" w:rsidR="004D42F9" w:rsidRDefault="004D42F9">
            <w:r>
              <w:t>2.5</w:t>
            </w:r>
          </w:p>
        </w:tc>
        <w:tc>
          <w:tcPr>
            <w:tcW w:w="907" w:type="dxa"/>
            <w:tcBorders>
              <w:bottom w:val="single" w:sz="6" w:space="0" w:color="auto"/>
            </w:tcBorders>
          </w:tcPr>
          <w:p w14:paraId="76E8CBF4" w14:textId="77777777" w:rsidR="004D42F9" w:rsidRDefault="004D42F9">
            <w:r>
              <w:t>2.5</w:t>
            </w:r>
          </w:p>
        </w:tc>
      </w:tr>
      <w:tr w:rsidR="004D42F9" w14:paraId="312CEC4F" w14:textId="77777777">
        <w:tc>
          <w:tcPr>
            <w:tcW w:w="2835" w:type="dxa"/>
            <w:tcBorders>
              <w:top w:val="single" w:sz="6" w:space="0" w:color="auto"/>
            </w:tcBorders>
          </w:tcPr>
          <w:p w14:paraId="0415C72C" w14:textId="77777777" w:rsidR="004D42F9" w:rsidRDefault="004D42F9">
            <w:pPr>
              <w:jc w:val="left"/>
            </w:pPr>
            <w:r>
              <w:t>Constitutionally Protected Pensions</w:t>
            </w:r>
          </w:p>
        </w:tc>
        <w:tc>
          <w:tcPr>
            <w:tcW w:w="2381" w:type="dxa"/>
            <w:tcBorders>
              <w:top w:val="single" w:sz="6" w:space="0" w:color="auto"/>
            </w:tcBorders>
          </w:tcPr>
          <w:p w14:paraId="528697BC" w14:textId="77777777" w:rsidR="004D42F9" w:rsidRDefault="004D42F9">
            <w:pPr>
              <w:jc w:val="left"/>
            </w:pPr>
            <w:r>
              <w:t>PwC Securities Ltd.</w:t>
            </w:r>
          </w:p>
        </w:tc>
        <w:tc>
          <w:tcPr>
            <w:tcW w:w="2608" w:type="dxa"/>
            <w:tcBorders>
              <w:top w:val="single" w:sz="6" w:space="0" w:color="auto"/>
            </w:tcBorders>
          </w:tcPr>
          <w:p w14:paraId="1077DC58" w14:textId="77777777" w:rsidR="004D42F9" w:rsidRDefault="004D42F9">
            <w:pPr>
              <w:ind w:left="340" w:hanging="170"/>
              <w:jc w:val="left"/>
            </w:pPr>
            <w:r>
              <w:t>Discount rate</w:t>
            </w:r>
            <w:r>
              <w:rPr>
                <w:vertAlign w:val="superscript"/>
              </w:rPr>
              <w:t xml:space="preserve"> (b)</w:t>
            </w:r>
          </w:p>
        </w:tc>
        <w:tc>
          <w:tcPr>
            <w:tcW w:w="907" w:type="dxa"/>
            <w:tcBorders>
              <w:top w:val="single" w:sz="6" w:space="0" w:color="auto"/>
            </w:tcBorders>
          </w:tcPr>
          <w:p w14:paraId="614CD5A9" w14:textId="77777777" w:rsidR="004D42F9" w:rsidRDefault="004D42F9">
            <w:r>
              <w:t>4.4</w:t>
            </w:r>
          </w:p>
        </w:tc>
        <w:tc>
          <w:tcPr>
            <w:tcW w:w="907" w:type="dxa"/>
            <w:tcBorders>
              <w:top w:val="single" w:sz="6" w:space="0" w:color="auto"/>
            </w:tcBorders>
          </w:tcPr>
          <w:p w14:paraId="5BADAF5A" w14:textId="77777777" w:rsidR="004D42F9" w:rsidRDefault="004D42F9">
            <w:r>
              <w:t>4.5</w:t>
            </w:r>
          </w:p>
        </w:tc>
      </w:tr>
      <w:tr w:rsidR="004D42F9" w14:paraId="2F68563B" w14:textId="77777777">
        <w:tc>
          <w:tcPr>
            <w:tcW w:w="2835" w:type="dxa"/>
          </w:tcPr>
          <w:p w14:paraId="237259A9" w14:textId="77777777" w:rsidR="004D42F9" w:rsidRDefault="004D42F9">
            <w:pPr>
              <w:jc w:val="left"/>
            </w:pPr>
          </w:p>
        </w:tc>
        <w:tc>
          <w:tcPr>
            <w:tcW w:w="2381" w:type="dxa"/>
          </w:tcPr>
          <w:p w14:paraId="74E65C64" w14:textId="77777777" w:rsidR="004D42F9" w:rsidRDefault="004D42F9">
            <w:pPr>
              <w:jc w:val="left"/>
            </w:pPr>
          </w:p>
        </w:tc>
        <w:tc>
          <w:tcPr>
            <w:tcW w:w="2608" w:type="dxa"/>
          </w:tcPr>
          <w:p w14:paraId="44736AC7" w14:textId="77777777" w:rsidR="004D42F9" w:rsidRDefault="004D42F9">
            <w:pPr>
              <w:ind w:left="340" w:hanging="170"/>
              <w:jc w:val="left"/>
            </w:pPr>
            <w:r>
              <w:t>Wages growth</w:t>
            </w:r>
            <w:r>
              <w:rPr>
                <w:vertAlign w:val="superscript"/>
              </w:rPr>
              <w:t xml:space="preserve"> (c)</w:t>
            </w:r>
          </w:p>
        </w:tc>
        <w:tc>
          <w:tcPr>
            <w:tcW w:w="907" w:type="dxa"/>
          </w:tcPr>
          <w:p w14:paraId="1AD43747" w14:textId="77777777" w:rsidR="004D42F9" w:rsidRDefault="004D42F9">
            <w:r>
              <w:t>3.3</w:t>
            </w:r>
          </w:p>
        </w:tc>
        <w:tc>
          <w:tcPr>
            <w:tcW w:w="907" w:type="dxa"/>
          </w:tcPr>
          <w:p w14:paraId="5A59503F" w14:textId="77777777" w:rsidR="004D42F9" w:rsidRDefault="004D42F9">
            <w:r>
              <w:t>3.3</w:t>
            </w:r>
          </w:p>
        </w:tc>
      </w:tr>
      <w:tr w:rsidR="004D42F9" w14:paraId="187FFB25" w14:textId="77777777">
        <w:tc>
          <w:tcPr>
            <w:tcW w:w="2835" w:type="dxa"/>
            <w:tcBorders>
              <w:bottom w:val="single" w:sz="6" w:space="0" w:color="auto"/>
            </w:tcBorders>
          </w:tcPr>
          <w:p w14:paraId="50C0EB00" w14:textId="77777777" w:rsidR="004D42F9" w:rsidRDefault="004D42F9">
            <w:pPr>
              <w:jc w:val="left"/>
            </w:pPr>
          </w:p>
        </w:tc>
        <w:tc>
          <w:tcPr>
            <w:tcW w:w="2381" w:type="dxa"/>
            <w:tcBorders>
              <w:bottom w:val="single" w:sz="6" w:space="0" w:color="auto"/>
            </w:tcBorders>
          </w:tcPr>
          <w:p w14:paraId="1404497A" w14:textId="77777777" w:rsidR="004D42F9" w:rsidRDefault="004D42F9">
            <w:pPr>
              <w:jc w:val="left"/>
            </w:pPr>
          </w:p>
        </w:tc>
        <w:tc>
          <w:tcPr>
            <w:tcW w:w="2608" w:type="dxa"/>
            <w:tcBorders>
              <w:bottom w:val="single" w:sz="6" w:space="0" w:color="auto"/>
            </w:tcBorders>
          </w:tcPr>
          <w:p w14:paraId="03838512" w14:textId="77777777" w:rsidR="004D42F9" w:rsidRDefault="004D42F9">
            <w:pPr>
              <w:ind w:left="340" w:hanging="170"/>
              <w:jc w:val="left"/>
            </w:pPr>
            <w:r>
              <w:t>Inflation rate</w:t>
            </w:r>
            <w:r>
              <w:rPr>
                <w:vertAlign w:val="superscript"/>
              </w:rPr>
              <w:t xml:space="preserve"> (c)</w:t>
            </w:r>
          </w:p>
        </w:tc>
        <w:tc>
          <w:tcPr>
            <w:tcW w:w="907" w:type="dxa"/>
            <w:tcBorders>
              <w:bottom w:val="single" w:sz="6" w:space="0" w:color="auto"/>
            </w:tcBorders>
          </w:tcPr>
          <w:p w14:paraId="6794BC68" w14:textId="77777777" w:rsidR="004D42F9" w:rsidRDefault="004D42F9">
            <w:r>
              <w:t>n.a.</w:t>
            </w:r>
          </w:p>
        </w:tc>
        <w:tc>
          <w:tcPr>
            <w:tcW w:w="907" w:type="dxa"/>
            <w:tcBorders>
              <w:bottom w:val="single" w:sz="6" w:space="0" w:color="auto"/>
            </w:tcBorders>
          </w:tcPr>
          <w:p w14:paraId="500CDCD0" w14:textId="77777777" w:rsidR="004D42F9" w:rsidRDefault="004D42F9">
            <w:r>
              <w:t>n.a.</w:t>
            </w:r>
          </w:p>
        </w:tc>
      </w:tr>
      <w:tr w:rsidR="004D42F9" w14:paraId="22BBCD8A" w14:textId="77777777">
        <w:tc>
          <w:tcPr>
            <w:tcW w:w="2835" w:type="dxa"/>
            <w:tcBorders>
              <w:top w:val="single" w:sz="6" w:space="0" w:color="auto"/>
            </w:tcBorders>
          </w:tcPr>
          <w:p w14:paraId="00D27D48" w14:textId="77777777" w:rsidR="004D42F9" w:rsidRDefault="004D42F9">
            <w:pPr>
              <w:jc w:val="left"/>
            </w:pPr>
            <w:r>
              <w:t>Health Super Fund</w:t>
            </w:r>
          </w:p>
        </w:tc>
        <w:tc>
          <w:tcPr>
            <w:tcW w:w="2381" w:type="dxa"/>
            <w:tcBorders>
              <w:top w:val="single" w:sz="6" w:space="0" w:color="auto"/>
            </w:tcBorders>
          </w:tcPr>
          <w:p w14:paraId="261CE788" w14:textId="77777777" w:rsidR="004D42F9" w:rsidRDefault="004D42F9">
            <w:pPr>
              <w:jc w:val="left"/>
            </w:pPr>
            <w:r>
              <w:t>Mercer (Australia) Pty. Ltd.</w:t>
            </w:r>
          </w:p>
        </w:tc>
        <w:tc>
          <w:tcPr>
            <w:tcW w:w="2608" w:type="dxa"/>
            <w:tcBorders>
              <w:top w:val="single" w:sz="6" w:space="0" w:color="auto"/>
            </w:tcBorders>
          </w:tcPr>
          <w:p w14:paraId="3DEB24F9" w14:textId="77777777" w:rsidR="004D42F9" w:rsidRDefault="004D42F9">
            <w:pPr>
              <w:ind w:left="340" w:hanging="170"/>
              <w:jc w:val="left"/>
            </w:pPr>
            <w:r>
              <w:t>Expected return on assets</w:t>
            </w:r>
            <w:r>
              <w:rPr>
                <w:vertAlign w:val="superscript"/>
              </w:rPr>
              <w:t xml:space="preserve"> (a)</w:t>
            </w:r>
          </w:p>
        </w:tc>
        <w:tc>
          <w:tcPr>
            <w:tcW w:w="907" w:type="dxa"/>
            <w:tcBorders>
              <w:top w:val="single" w:sz="6" w:space="0" w:color="auto"/>
            </w:tcBorders>
          </w:tcPr>
          <w:p w14:paraId="00F63E43" w14:textId="77777777" w:rsidR="004D42F9" w:rsidRDefault="004D42F9">
            <w:r>
              <w:t>4.5</w:t>
            </w:r>
          </w:p>
        </w:tc>
        <w:tc>
          <w:tcPr>
            <w:tcW w:w="907" w:type="dxa"/>
            <w:tcBorders>
              <w:top w:val="single" w:sz="6" w:space="0" w:color="auto"/>
            </w:tcBorders>
          </w:tcPr>
          <w:p w14:paraId="01BF4B63" w14:textId="77777777" w:rsidR="004D42F9" w:rsidRDefault="004D42F9">
            <w:r>
              <w:t>5.0</w:t>
            </w:r>
          </w:p>
        </w:tc>
      </w:tr>
      <w:tr w:rsidR="004D42F9" w14:paraId="30CF8296" w14:textId="77777777">
        <w:tc>
          <w:tcPr>
            <w:tcW w:w="2835" w:type="dxa"/>
          </w:tcPr>
          <w:p w14:paraId="19C8EB6E" w14:textId="77777777" w:rsidR="004D42F9" w:rsidRDefault="004D42F9">
            <w:pPr>
              <w:jc w:val="left"/>
            </w:pPr>
          </w:p>
        </w:tc>
        <w:tc>
          <w:tcPr>
            <w:tcW w:w="2381" w:type="dxa"/>
          </w:tcPr>
          <w:p w14:paraId="4BFCA04F" w14:textId="77777777" w:rsidR="004D42F9" w:rsidRDefault="004D42F9">
            <w:pPr>
              <w:jc w:val="left"/>
            </w:pPr>
          </w:p>
        </w:tc>
        <w:tc>
          <w:tcPr>
            <w:tcW w:w="2608" w:type="dxa"/>
          </w:tcPr>
          <w:p w14:paraId="359EC184" w14:textId="77777777" w:rsidR="004D42F9" w:rsidRDefault="004D42F9">
            <w:pPr>
              <w:ind w:left="340" w:hanging="170"/>
              <w:jc w:val="left"/>
            </w:pPr>
            <w:r>
              <w:t>Discount rate</w:t>
            </w:r>
            <w:r>
              <w:rPr>
                <w:vertAlign w:val="superscript"/>
              </w:rPr>
              <w:t xml:space="preserve"> (b)</w:t>
            </w:r>
          </w:p>
        </w:tc>
        <w:tc>
          <w:tcPr>
            <w:tcW w:w="907" w:type="dxa"/>
          </w:tcPr>
          <w:p w14:paraId="2672B9C6" w14:textId="77777777" w:rsidR="004D42F9" w:rsidRDefault="004D42F9">
            <w:r>
              <w:t>4.4</w:t>
            </w:r>
          </w:p>
        </w:tc>
        <w:tc>
          <w:tcPr>
            <w:tcW w:w="907" w:type="dxa"/>
          </w:tcPr>
          <w:p w14:paraId="1A4DAC16" w14:textId="77777777" w:rsidR="004D42F9" w:rsidRDefault="004D42F9">
            <w:r>
              <w:t>4.5</w:t>
            </w:r>
          </w:p>
        </w:tc>
      </w:tr>
      <w:tr w:rsidR="004D42F9" w14:paraId="7678A560" w14:textId="77777777">
        <w:tc>
          <w:tcPr>
            <w:tcW w:w="2835" w:type="dxa"/>
          </w:tcPr>
          <w:p w14:paraId="23D18FFB" w14:textId="77777777" w:rsidR="004D42F9" w:rsidRDefault="004D42F9">
            <w:pPr>
              <w:jc w:val="left"/>
            </w:pPr>
          </w:p>
        </w:tc>
        <w:tc>
          <w:tcPr>
            <w:tcW w:w="2381" w:type="dxa"/>
          </w:tcPr>
          <w:p w14:paraId="398D61B5" w14:textId="77777777" w:rsidR="004D42F9" w:rsidRDefault="004D42F9">
            <w:pPr>
              <w:jc w:val="left"/>
            </w:pPr>
          </w:p>
        </w:tc>
        <w:tc>
          <w:tcPr>
            <w:tcW w:w="2608" w:type="dxa"/>
          </w:tcPr>
          <w:p w14:paraId="7FEA2834" w14:textId="77777777" w:rsidR="004D42F9" w:rsidRDefault="004D42F9">
            <w:pPr>
              <w:ind w:left="340" w:hanging="170"/>
              <w:jc w:val="left"/>
            </w:pPr>
            <w:r>
              <w:t>Wages growth</w:t>
            </w:r>
            <w:r>
              <w:rPr>
                <w:vertAlign w:val="superscript"/>
              </w:rPr>
              <w:t xml:space="preserve"> (c)</w:t>
            </w:r>
          </w:p>
        </w:tc>
        <w:tc>
          <w:tcPr>
            <w:tcW w:w="907" w:type="dxa"/>
          </w:tcPr>
          <w:p w14:paraId="55154FB8" w14:textId="77777777" w:rsidR="004D42F9" w:rsidRDefault="004D42F9">
            <w:r>
              <w:t>3.3</w:t>
            </w:r>
          </w:p>
        </w:tc>
        <w:tc>
          <w:tcPr>
            <w:tcW w:w="907" w:type="dxa"/>
          </w:tcPr>
          <w:p w14:paraId="2DA0375D" w14:textId="77777777" w:rsidR="004D42F9" w:rsidRDefault="004D42F9">
            <w:r>
              <w:t>3.3</w:t>
            </w:r>
          </w:p>
        </w:tc>
      </w:tr>
      <w:tr w:rsidR="004D42F9" w14:paraId="0E5412FC" w14:textId="77777777">
        <w:tc>
          <w:tcPr>
            <w:tcW w:w="2835" w:type="dxa"/>
            <w:tcBorders>
              <w:bottom w:val="single" w:sz="12" w:space="0" w:color="auto"/>
            </w:tcBorders>
          </w:tcPr>
          <w:p w14:paraId="0D6D55BB" w14:textId="77777777" w:rsidR="004D42F9" w:rsidRDefault="004D42F9">
            <w:pPr>
              <w:jc w:val="left"/>
            </w:pPr>
          </w:p>
        </w:tc>
        <w:tc>
          <w:tcPr>
            <w:tcW w:w="2381" w:type="dxa"/>
            <w:tcBorders>
              <w:bottom w:val="single" w:sz="12" w:space="0" w:color="auto"/>
            </w:tcBorders>
          </w:tcPr>
          <w:p w14:paraId="367E922B" w14:textId="77777777" w:rsidR="004D42F9" w:rsidRDefault="004D42F9">
            <w:pPr>
              <w:jc w:val="left"/>
            </w:pPr>
          </w:p>
        </w:tc>
        <w:tc>
          <w:tcPr>
            <w:tcW w:w="2608" w:type="dxa"/>
            <w:tcBorders>
              <w:bottom w:val="single" w:sz="12" w:space="0" w:color="auto"/>
            </w:tcBorders>
          </w:tcPr>
          <w:p w14:paraId="30BA4E0B" w14:textId="77777777" w:rsidR="004D42F9" w:rsidRDefault="004D42F9">
            <w:pPr>
              <w:ind w:left="340" w:hanging="170"/>
              <w:jc w:val="left"/>
            </w:pPr>
            <w:r>
              <w:t>Inflation rate</w:t>
            </w:r>
            <w:r>
              <w:rPr>
                <w:vertAlign w:val="superscript"/>
              </w:rPr>
              <w:t xml:space="preserve"> (c)</w:t>
            </w:r>
          </w:p>
        </w:tc>
        <w:tc>
          <w:tcPr>
            <w:tcW w:w="907" w:type="dxa"/>
            <w:tcBorders>
              <w:bottom w:val="single" w:sz="12" w:space="0" w:color="auto"/>
            </w:tcBorders>
          </w:tcPr>
          <w:p w14:paraId="7650CE57" w14:textId="77777777" w:rsidR="004D42F9" w:rsidRDefault="004D42F9">
            <w:r>
              <w:t>2.5</w:t>
            </w:r>
          </w:p>
        </w:tc>
        <w:tc>
          <w:tcPr>
            <w:tcW w:w="907" w:type="dxa"/>
            <w:tcBorders>
              <w:bottom w:val="single" w:sz="12" w:space="0" w:color="auto"/>
            </w:tcBorders>
          </w:tcPr>
          <w:p w14:paraId="1508D159" w14:textId="77777777" w:rsidR="004D42F9" w:rsidRDefault="004D42F9">
            <w:r>
              <w:t>2.5</w:t>
            </w:r>
          </w:p>
        </w:tc>
      </w:tr>
    </w:tbl>
    <w:p w14:paraId="4A69043F" w14:textId="77777777" w:rsidR="004D42F9" w:rsidRPr="00E507BC" w:rsidRDefault="004D42F9" w:rsidP="004D42F9">
      <w:pPr>
        <w:pStyle w:val="Note"/>
      </w:pPr>
      <w:r w:rsidRPr="00E507BC">
        <w:t>Notes:</w:t>
      </w:r>
    </w:p>
    <w:p w14:paraId="39D4AF4B" w14:textId="77777777" w:rsidR="004D42F9" w:rsidRPr="00E507BC" w:rsidRDefault="004D42F9" w:rsidP="004D42F9">
      <w:pPr>
        <w:pStyle w:val="Note"/>
      </w:pPr>
      <w:r w:rsidRPr="00E507BC">
        <w:t>(a)</w:t>
      </w:r>
      <w:r w:rsidRPr="00E507BC">
        <w:tab/>
        <w:t>The expected return on assets stated is gross of tax. This rate is adjusted in the calculation process to reflect the assumed rate of tax payable by each scheme.</w:t>
      </w:r>
    </w:p>
    <w:p w14:paraId="2F5591E2" w14:textId="77777777" w:rsidR="004D42F9" w:rsidRPr="00E507BC" w:rsidRDefault="004D42F9" w:rsidP="004D42F9">
      <w:pPr>
        <w:pStyle w:val="Note"/>
      </w:pPr>
      <w:r w:rsidRPr="00E507BC">
        <w:t>(b)</w:t>
      </w:r>
      <w:r w:rsidRPr="00E507BC">
        <w:tab/>
        <w:t>In accordance with accounting standards, the discount rate is based on a long-term Commonwealth bond rate. The rate stated above is an annual effective rate, gross of tax.</w:t>
      </w:r>
    </w:p>
    <w:p w14:paraId="00CA6971" w14:textId="2A4CD428" w:rsidR="004D42F9" w:rsidRDefault="004D42F9" w:rsidP="004D42F9">
      <w:pPr>
        <w:pStyle w:val="Note"/>
      </w:pPr>
      <w:r w:rsidRPr="00E507BC">
        <w:t>(c)</w:t>
      </w:r>
      <w:r w:rsidRPr="00E507BC">
        <w:tab/>
        <w:t>The wages growth</w:t>
      </w:r>
      <w:r>
        <w:t xml:space="preserve"> and inflation</w:t>
      </w:r>
      <w:r w:rsidRPr="00E507BC">
        <w:t xml:space="preserve"> rates in this table are actuarial assumptions</w:t>
      </w:r>
      <w:r>
        <w:t xml:space="preserve"> based on plan experiences along with long term economic and market indicators</w:t>
      </w:r>
      <w:r w:rsidRPr="00E507BC">
        <w:t xml:space="preserve"> and do not reflect the Government</w:t>
      </w:r>
      <w:r w:rsidR="00845934">
        <w:t>’</w:t>
      </w:r>
      <w:r w:rsidRPr="00E507BC">
        <w:t>s wages policy.</w:t>
      </w:r>
      <w:r>
        <w:t xml:space="preserve"> </w:t>
      </w:r>
    </w:p>
    <w:p w14:paraId="703BBB76" w14:textId="77777777" w:rsidR="004D42F9" w:rsidRDefault="004D42F9" w:rsidP="004D42F9"/>
    <w:p w14:paraId="17C1DDC5" w14:textId="77777777" w:rsidR="00322197" w:rsidRDefault="00322197" w:rsidP="004D42F9">
      <w:pPr>
        <w:pStyle w:val="Heading3"/>
        <w:spacing w:before="120"/>
        <w:ind w:left="0" w:firstLine="0"/>
        <w:sectPr w:rsidR="00322197" w:rsidSect="008623A6">
          <w:type w:val="continuous"/>
          <w:pgSz w:w="11906" w:h="16838" w:code="9"/>
          <w:pgMar w:top="1134" w:right="1134" w:bottom="1134" w:left="1134" w:header="624" w:footer="567" w:gutter="0"/>
          <w:cols w:space="708"/>
          <w:docGrid w:linePitch="360"/>
        </w:sectPr>
      </w:pPr>
    </w:p>
    <w:p w14:paraId="3E938C8A" w14:textId="77777777" w:rsidR="004D42F9" w:rsidRDefault="004D42F9" w:rsidP="004D42F9">
      <w:pPr>
        <w:pStyle w:val="Heading3"/>
        <w:spacing w:before="120"/>
        <w:ind w:left="0" w:firstLine="0"/>
      </w:pPr>
      <w:r>
        <w:t>Superannuation liability – Differences in valuation approach</w:t>
      </w:r>
    </w:p>
    <w:p w14:paraId="3D835416" w14:textId="77777777" w:rsidR="004D42F9" w:rsidRPr="0002019D" w:rsidRDefault="004D42F9" w:rsidP="004D42F9">
      <w:r w:rsidRPr="0002019D">
        <w:t xml:space="preserve">In accordance with AASB 119, the discount rate used to determine the superannuation liability reported in the </w:t>
      </w:r>
      <w:r w:rsidRPr="00A3385E">
        <w:rPr>
          <w:i/>
          <w:iCs/>
        </w:rPr>
        <w:t>Annual Financial Report</w:t>
      </w:r>
      <w:r>
        <w:t xml:space="preserve"> </w:t>
      </w:r>
      <w:r w:rsidRPr="0002019D">
        <w:t xml:space="preserve">is based on Commonwealth government bond yields. </w:t>
      </w:r>
    </w:p>
    <w:p w14:paraId="723DB48B" w14:textId="57D9FA2F" w:rsidR="004D42F9" w:rsidRPr="0002019D" w:rsidRDefault="004D42F9" w:rsidP="004D42F9">
      <w:r w:rsidRPr="0002019D">
        <w:t>This differs from the discount rate used for the superannuation plans</w:t>
      </w:r>
      <w:r w:rsidR="00845934">
        <w:t>’</w:t>
      </w:r>
      <w:r w:rsidRPr="0002019D">
        <w:t xml:space="preserve"> reporting under AASB 1056 </w:t>
      </w:r>
      <w:r w:rsidRPr="00C74B70">
        <w:rPr>
          <w:i/>
          <w:iCs/>
        </w:rPr>
        <w:t>Superannuation Entities</w:t>
      </w:r>
      <w:r w:rsidRPr="0002019D">
        <w:t xml:space="preserve"> which is based on the expected return on assets. The expected return on assets is also allowed for when determining superannuation funding requirements.</w:t>
      </w:r>
    </w:p>
    <w:p w14:paraId="44442F8F" w14:textId="2606BCF5" w:rsidR="004D42F9" w:rsidRPr="0002019D" w:rsidRDefault="004D42F9" w:rsidP="004D42F9">
      <w:r w:rsidRPr="0002019D">
        <w:t>As shown in the table above, the discount rate adopted to value the superannuation liability under AASB</w:t>
      </w:r>
      <w:r>
        <w:t> </w:t>
      </w:r>
      <w:r w:rsidRPr="0002019D">
        <w:t>119 is currently lower than the expected return on assets. This results in the State reporting a higher liability than that recognised by the relevant plans. The State</w:t>
      </w:r>
      <w:r w:rsidR="00845934">
        <w:t>’</w:t>
      </w:r>
      <w:r w:rsidRPr="0002019D">
        <w:t>s, and employers</w:t>
      </w:r>
      <w:r w:rsidR="00845934">
        <w:t>’</w:t>
      </w:r>
      <w:r w:rsidRPr="0002019D">
        <w:t>, funding obligations are also based on a lower liability than that reported by the State under AASB</w:t>
      </w:r>
      <w:r>
        <w:t> </w:t>
      </w:r>
      <w:r w:rsidRPr="0002019D">
        <w:t xml:space="preserve">119. </w:t>
      </w:r>
    </w:p>
    <w:p w14:paraId="06E14C8E" w14:textId="77777777" w:rsidR="004D42F9" w:rsidRPr="00BD2CE5" w:rsidRDefault="004D42F9" w:rsidP="004D42F9">
      <w:pPr>
        <w:pStyle w:val="Heading3"/>
        <w:spacing w:before="120"/>
      </w:pPr>
      <w:r w:rsidRPr="00BD2CE5">
        <w:t>Market volatility and bond yield movements</w:t>
      </w:r>
      <w:r>
        <w:t xml:space="preserve"> </w:t>
      </w:r>
    </w:p>
    <w:p w14:paraId="0C42A1A1" w14:textId="77DE5722" w:rsidR="004D42F9" w:rsidRDefault="004D42F9" w:rsidP="004D42F9">
      <w:r w:rsidRPr="009F79F0">
        <w:t>Despite volatility associated with tariff-related</w:t>
      </w:r>
      <w:r w:rsidRPr="000F0761">
        <w:t xml:space="preserve"> uncertainty</w:t>
      </w:r>
      <w:r w:rsidRPr="009F79F0">
        <w:t>, armed conflict and fears of recession,</w:t>
      </w:r>
      <w:r w:rsidRPr="000F0761">
        <w:t xml:space="preserve"> the </w:t>
      </w:r>
      <w:r w:rsidRPr="009F79F0">
        <w:t>2024-25 financial year delivered strong investment returns that</w:t>
      </w:r>
      <w:r w:rsidRPr="0079696B">
        <w:t xml:space="preserve"> resulted in the investment </w:t>
      </w:r>
      <w:r w:rsidRPr="009F79F0">
        <w:t xml:space="preserve">return </w:t>
      </w:r>
      <w:r w:rsidRPr="0079696B">
        <w:t>on the State</w:t>
      </w:r>
      <w:r w:rsidR="00845934">
        <w:t>’</w:t>
      </w:r>
      <w:r w:rsidRPr="0079696B">
        <w:t>s defined benefit superannuation assets exceeding expectations</w:t>
      </w:r>
      <w:r w:rsidRPr="009F79F0">
        <w:t xml:space="preserve">. </w:t>
      </w:r>
      <w:r>
        <w:t xml:space="preserve">However, </w:t>
      </w:r>
      <w:r w:rsidRPr="00B55BFB">
        <w:t>as outlined in the reconciliations above</w:t>
      </w:r>
      <w:r>
        <w:t>, overall</w:t>
      </w:r>
      <w:r w:rsidRPr="00B55BFB">
        <w:t xml:space="preserve"> growth in the defined benefit obligation exceed</w:t>
      </w:r>
      <w:r>
        <w:t>ed</w:t>
      </w:r>
      <w:r w:rsidRPr="00B55BFB">
        <w:t xml:space="preserve"> growth in assets</w:t>
      </w:r>
      <w:r>
        <w:t xml:space="preserve"> such that</w:t>
      </w:r>
      <w:r w:rsidRPr="00B55BFB">
        <w:t xml:space="preserve"> the State</w:t>
      </w:r>
      <w:r w:rsidR="00845934">
        <w:t>’</w:t>
      </w:r>
      <w:r w:rsidRPr="00B55BFB">
        <w:t xml:space="preserve">s superannuation liability increased by $58 million in the year to 30 June 2025. </w:t>
      </w:r>
    </w:p>
    <w:p w14:paraId="733F603F" w14:textId="77777777" w:rsidR="004D42F9" w:rsidRDefault="004D42F9" w:rsidP="004D42F9">
      <w:r w:rsidRPr="00221AD7">
        <w:t>It is important to note that changes in the reported superannuation liability that arise solely due to changes in the bond yields that underlie its valuation do not affect the amount of cash required to fund this liability over time. However, superannuation funding requirements will vary over time based on any differences between the actual and expected returns on superannuation assets.</w:t>
      </w:r>
    </w:p>
    <w:p w14:paraId="615C4B05" w14:textId="77777777" w:rsidR="004D42F9" w:rsidRDefault="004D42F9" w:rsidP="004D42F9">
      <w:pPr>
        <w:pStyle w:val="Heading3"/>
        <w:pageBreakBefore/>
        <w:spacing w:before="0"/>
      </w:pPr>
      <w:r>
        <w:lastRenderedPageBreak/>
        <w:t>Sensitivity analysis</w:t>
      </w:r>
    </w:p>
    <w:p w14:paraId="2CB6DBA7" w14:textId="4E2613EB" w:rsidR="004D42F9" w:rsidRDefault="004D42F9" w:rsidP="004D42F9">
      <w:r>
        <w:t>The significant actuarial assumptions associated with the State</w:t>
      </w:r>
      <w:r w:rsidR="00845934">
        <w:t>’</w:t>
      </w:r>
      <w:r>
        <w:t>s defined benefit superannuation plans are:</w:t>
      </w:r>
    </w:p>
    <w:p w14:paraId="7E157187" w14:textId="77777777" w:rsidR="004D42F9" w:rsidRPr="001B7F16" w:rsidRDefault="004D42F9" w:rsidP="004D42F9">
      <w:pPr>
        <w:pStyle w:val="ListBullet"/>
        <w:keepLines/>
        <w:numPr>
          <w:ilvl w:val="0"/>
          <w:numId w:val="27"/>
        </w:numPr>
      </w:pPr>
      <w:r w:rsidRPr="001B7F16">
        <w:t>investment risk – the risk that investment returns will be lower than assumed and that State contributions will need to increase to offset the shortfall</w:t>
      </w:r>
    </w:p>
    <w:p w14:paraId="17B13C69" w14:textId="77777777" w:rsidR="004D42F9" w:rsidRPr="001B7F16" w:rsidRDefault="004D42F9" w:rsidP="004D42F9">
      <w:pPr>
        <w:pStyle w:val="ListBullet"/>
        <w:keepLines/>
        <w:numPr>
          <w:ilvl w:val="0"/>
          <w:numId w:val="27"/>
        </w:numPr>
      </w:pPr>
      <w:r w:rsidRPr="001B7F16">
        <w:t>wages growth risk – the risk that wages or salaries (on which future benefits are based) will rise more rapidly than assumed, thereby increasing defined benefits and requiring additional employer contributions</w:t>
      </w:r>
    </w:p>
    <w:p w14:paraId="05673F12" w14:textId="77777777" w:rsidR="004D42F9" w:rsidRPr="001B7F16" w:rsidRDefault="004D42F9" w:rsidP="004D42F9">
      <w:pPr>
        <w:pStyle w:val="ListBullet"/>
        <w:keepLines/>
        <w:numPr>
          <w:ilvl w:val="0"/>
          <w:numId w:val="27"/>
        </w:numPr>
      </w:pPr>
      <w:r w:rsidRPr="001B7F16">
        <w:t>pension growth risk – the risk that CPI and therefore pension increases will be higher than assumed, thereby increasing defined benefit pension payments and requiring additional employer contributions</w:t>
      </w:r>
      <w:r>
        <w:t>.</w:t>
      </w:r>
    </w:p>
    <w:p w14:paraId="470F77C6" w14:textId="77777777" w:rsidR="00322197" w:rsidRDefault="00322197" w:rsidP="00322197">
      <w:pPr>
        <w:pStyle w:val="Heading3"/>
      </w:pPr>
      <w:r>
        <w:br w:type="column"/>
      </w:r>
    </w:p>
    <w:p w14:paraId="64EB4E7C" w14:textId="422B2ABB" w:rsidR="004D42F9" w:rsidRDefault="004D42F9" w:rsidP="006167B7">
      <w:r>
        <w:t>To illustrate the impact that movements in significant actuarial assumptions can have on the State</w:t>
      </w:r>
      <w:r w:rsidR="00845934">
        <w:t>’</w:t>
      </w:r>
      <w:r>
        <w:t xml:space="preserve">s superannuation liability, the defined benefit obligation has been remeasured under the scenarios below. </w:t>
      </w:r>
    </w:p>
    <w:p w14:paraId="322EC6AF" w14:textId="77777777" w:rsidR="004D42F9" w:rsidRDefault="004D42F9" w:rsidP="004D42F9">
      <w:r>
        <w:t>The assumptions below have been adjusted while maintaining all other assumptions. There have been no changes to the methods and assumptions used to prepare this sensitivity analysis since the prior period.</w:t>
      </w:r>
    </w:p>
    <w:p w14:paraId="64B2DFF9" w14:textId="77777777" w:rsidR="00322197" w:rsidRDefault="00322197">
      <w:pPr>
        <w:keepNext/>
        <w:rPr>
          <w:i/>
        </w:rPr>
      </w:pPr>
    </w:p>
    <w:p w14:paraId="03659228" w14:textId="77777777" w:rsidR="00322197" w:rsidRDefault="00322197">
      <w:pPr>
        <w:keepNext/>
        <w:rPr>
          <w:i/>
        </w:rPr>
        <w:sectPr w:rsidR="00322197" w:rsidSect="00322197">
          <w:type w:val="continuous"/>
          <w:pgSz w:w="11906" w:h="16838" w:code="9"/>
          <w:pgMar w:top="1134" w:right="1134" w:bottom="1134" w:left="1134" w:header="624" w:footer="567" w:gutter="0"/>
          <w:cols w:num="2" w:space="708"/>
          <w:docGrid w:linePitch="360"/>
        </w:sectPr>
      </w:pPr>
    </w:p>
    <w:p w14:paraId="75851FBC" w14:textId="310965DB" w:rsidR="00322197" w:rsidRDefault="00322197" w:rsidP="00322197">
      <w:pPr>
        <w:spacing w:after="120"/>
      </w:pPr>
      <w:r>
        <w:t xml:space="preserve">These scenarios are expected to have the following impact </w:t>
      </w:r>
      <w:r>
        <w:br/>
        <w:t>on the State</w:t>
      </w:r>
      <w:r w:rsidR="00845934">
        <w:t>’</w:t>
      </w:r>
      <w:r>
        <w:t>s defined benefit obligation.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uperannuation/Link_AFR_Superannuation.xlsx|Table:Super_sensitivity_analysis"/>
      </w:tblPr>
      <w:tblGrid>
        <w:gridCol w:w="3038"/>
        <w:gridCol w:w="1357"/>
        <w:gridCol w:w="992"/>
        <w:gridCol w:w="1472"/>
        <w:gridCol w:w="1363"/>
        <w:gridCol w:w="1416"/>
      </w:tblGrid>
      <w:tr w:rsidR="00991200" w14:paraId="2C34AA56" w14:textId="77777777" w:rsidTr="003221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8" w:type="dxa"/>
          </w:tcPr>
          <w:p w14:paraId="6EDFA77A" w14:textId="77777777" w:rsidR="004D42F9" w:rsidRDefault="004D42F9" w:rsidP="00322197">
            <w:pPr>
              <w:keepNext/>
            </w:pPr>
          </w:p>
        </w:tc>
        <w:tc>
          <w:tcPr>
            <w:tcW w:w="1357" w:type="dxa"/>
          </w:tcPr>
          <w:p w14:paraId="1528F0E7" w14:textId="77777777" w:rsidR="004D42F9" w:rsidRDefault="004D42F9" w:rsidP="00322197">
            <w:pPr>
              <w:keepNext/>
              <w:jc w:val="center"/>
              <w:cnfStyle w:val="100000000000" w:firstRow="1" w:lastRow="0" w:firstColumn="0" w:lastColumn="0" w:oddVBand="0" w:evenVBand="0" w:oddHBand="0" w:evenHBand="0" w:firstRowFirstColumn="0" w:firstRowLastColumn="0" w:lastRowFirstColumn="0" w:lastRowLastColumn="0"/>
            </w:pPr>
          </w:p>
        </w:tc>
        <w:tc>
          <w:tcPr>
            <w:tcW w:w="992" w:type="dxa"/>
          </w:tcPr>
          <w:p w14:paraId="5EAE91E0"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p>
        </w:tc>
        <w:tc>
          <w:tcPr>
            <w:tcW w:w="1472" w:type="dxa"/>
          </w:tcPr>
          <w:p w14:paraId="6A1F34E9"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Discount rate</w:t>
            </w:r>
          </w:p>
        </w:tc>
        <w:tc>
          <w:tcPr>
            <w:tcW w:w="1363" w:type="dxa"/>
          </w:tcPr>
          <w:p w14:paraId="4A3DB61F"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Wage growth</w:t>
            </w:r>
          </w:p>
        </w:tc>
        <w:tc>
          <w:tcPr>
            <w:tcW w:w="1416" w:type="dxa"/>
          </w:tcPr>
          <w:p w14:paraId="3C80972F"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Inflation rate</w:t>
            </w:r>
          </w:p>
        </w:tc>
      </w:tr>
      <w:tr w:rsidR="00991200" w14:paraId="457B6F1E" w14:textId="77777777" w:rsidTr="003221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38" w:type="dxa"/>
          </w:tcPr>
          <w:p w14:paraId="7B776AEC" w14:textId="77777777" w:rsidR="004D42F9" w:rsidRDefault="004D42F9" w:rsidP="00322197">
            <w:pPr>
              <w:keepNext/>
            </w:pPr>
          </w:p>
        </w:tc>
        <w:tc>
          <w:tcPr>
            <w:tcW w:w="1357" w:type="dxa"/>
          </w:tcPr>
          <w:p w14:paraId="2F4DDD17" w14:textId="77777777" w:rsidR="004D42F9" w:rsidRDefault="004D42F9" w:rsidP="00322197">
            <w:pPr>
              <w:keepNext/>
              <w:jc w:val="center"/>
              <w:cnfStyle w:val="100000000000" w:firstRow="1" w:lastRow="0" w:firstColumn="0" w:lastColumn="0" w:oddVBand="0" w:evenVBand="0" w:oddHBand="0" w:evenHBand="0" w:firstRowFirstColumn="0" w:firstRowLastColumn="0" w:lastRowFirstColumn="0" w:lastRowLastColumn="0"/>
            </w:pPr>
          </w:p>
        </w:tc>
        <w:tc>
          <w:tcPr>
            <w:tcW w:w="992" w:type="dxa"/>
          </w:tcPr>
          <w:p w14:paraId="592790D9"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Base case</w:t>
            </w:r>
          </w:p>
        </w:tc>
        <w:tc>
          <w:tcPr>
            <w:tcW w:w="1472" w:type="dxa"/>
          </w:tcPr>
          <w:p w14:paraId="5DECB856"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plus 0.25 per cent</w:t>
            </w:r>
          </w:p>
        </w:tc>
        <w:tc>
          <w:tcPr>
            <w:tcW w:w="1363" w:type="dxa"/>
          </w:tcPr>
          <w:p w14:paraId="5D689D79"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plus 0.25 per cent</w:t>
            </w:r>
          </w:p>
        </w:tc>
        <w:tc>
          <w:tcPr>
            <w:tcW w:w="1416" w:type="dxa"/>
          </w:tcPr>
          <w:p w14:paraId="116E09D2" w14:textId="77777777" w:rsidR="004D42F9" w:rsidRDefault="004D42F9" w:rsidP="00322197">
            <w:pPr>
              <w:keepNext/>
              <w:cnfStyle w:val="100000000000" w:firstRow="1" w:lastRow="0" w:firstColumn="0" w:lastColumn="0" w:oddVBand="0" w:evenVBand="0" w:oddHBand="0" w:evenHBand="0" w:firstRowFirstColumn="0" w:firstRowLastColumn="0" w:lastRowFirstColumn="0" w:lastRowLastColumn="0"/>
            </w:pPr>
            <w:r>
              <w:t>plus 0.25 per cent</w:t>
            </w:r>
          </w:p>
        </w:tc>
      </w:tr>
      <w:tr w:rsidR="004D42F9" w14:paraId="35F5099C" w14:textId="77777777" w:rsidTr="00322197">
        <w:tc>
          <w:tcPr>
            <w:cnfStyle w:val="001000000000" w:firstRow="0" w:lastRow="0" w:firstColumn="1" w:lastColumn="0" w:oddVBand="0" w:evenVBand="0" w:oddHBand="0" w:evenHBand="0" w:firstRowFirstColumn="0" w:firstRowLastColumn="0" w:lastRowFirstColumn="0" w:lastRowLastColumn="0"/>
            <w:tcW w:w="3038" w:type="dxa"/>
          </w:tcPr>
          <w:p w14:paraId="2B62A3B9" w14:textId="77777777" w:rsidR="004D42F9" w:rsidRDefault="004D42F9" w:rsidP="00322197">
            <w:r>
              <w:t>Discount rate</w:t>
            </w:r>
          </w:p>
        </w:tc>
        <w:tc>
          <w:tcPr>
            <w:tcW w:w="1357" w:type="dxa"/>
          </w:tcPr>
          <w:p w14:paraId="022FB12D" w14:textId="77777777" w:rsidR="004D42F9" w:rsidRDefault="004D42F9" w:rsidP="00322197">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992" w:type="dxa"/>
          </w:tcPr>
          <w:p w14:paraId="7AACAAF7"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4.4</w:t>
            </w:r>
          </w:p>
        </w:tc>
        <w:tc>
          <w:tcPr>
            <w:tcW w:w="1472" w:type="dxa"/>
          </w:tcPr>
          <w:p w14:paraId="4D27B899"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4.7</w:t>
            </w:r>
          </w:p>
        </w:tc>
        <w:tc>
          <w:tcPr>
            <w:tcW w:w="1363" w:type="dxa"/>
          </w:tcPr>
          <w:p w14:paraId="07E1A186"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4.4</w:t>
            </w:r>
          </w:p>
        </w:tc>
        <w:tc>
          <w:tcPr>
            <w:tcW w:w="1416" w:type="dxa"/>
          </w:tcPr>
          <w:p w14:paraId="75FE4048"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4.4</w:t>
            </w:r>
          </w:p>
        </w:tc>
      </w:tr>
      <w:tr w:rsidR="004D42F9" w14:paraId="38413DA9" w14:textId="77777777" w:rsidTr="00322197">
        <w:tc>
          <w:tcPr>
            <w:cnfStyle w:val="001000000000" w:firstRow="0" w:lastRow="0" w:firstColumn="1" w:lastColumn="0" w:oddVBand="0" w:evenVBand="0" w:oddHBand="0" w:evenHBand="0" w:firstRowFirstColumn="0" w:firstRowLastColumn="0" w:lastRowFirstColumn="0" w:lastRowLastColumn="0"/>
            <w:tcW w:w="3038" w:type="dxa"/>
          </w:tcPr>
          <w:p w14:paraId="147E7E77" w14:textId="77777777" w:rsidR="004D42F9" w:rsidRDefault="004D42F9" w:rsidP="00322197">
            <w:r>
              <w:t>Wage growth</w:t>
            </w:r>
          </w:p>
        </w:tc>
        <w:tc>
          <w:tcPr>
            <w:tcW w:w="1357" w:type="dxa"/>
          </w:tcPr>
          <w:p w14:paraId="53C65812" w14:textId="77777777" w:rsidR="004D42F9" w:rsidRDefault="004D42F9" w:rsidP="00322197">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992" w:type="dxa"/>
          </w:tcPr>
          <w:p w14:paraId="7B2D9742"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3.3</w:t>
            </w:r>
          </w:p>
        </w:tc>
        <w:tc>
          <w:tcPr>
            <w:tcW w:w="1472" w:type="dxa"/>
          </w:tcPr>
          <w:p w14:paraId="1F10AE53"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3.3</w:t>
            </w:r>
          </w:p>
        </w:tc>
        <w:tc>
          <w:tcPr>
            <w:tcW w:w="1363" w:type="dxa"/>
          </w:tcPr>
          <w:p w14:paraId="5DFC56A1"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3.5</w:t>
            </w:r>
          </w:p>
        </w:tc>
        <w:tc>
          <w:tcPr>
            <w:tcW w:w="1416" w:type="dxa"/>
          </w:tcPr>
          <w:p w14:paraId="34944C56"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3.3</w:t>
            </w:r>
          </w:p>
        </w:tc>
      </w:tr>
      <w:tr w:rsidR="004D42F9" w14:paraId="3F795DAE" w14:textId="77777777" w:rsidTr="00322197">
        <w:tc>
          <w:tcPr>
            <w:cnfStyle w:val="001000000000" w:firstRow="0" w:lastRow="0" w:firstColumn="1" w:lastColumn="0" w:oddVBand="0" w:evenVBand="0" w:oddHBand="0" w:evenHBand="0" w:firstRowFirstColumn="0" w:firstRowLastColumn="0" w:lastRowFirstColumn="0" w:lastRowLastColumn="0"/>
            <w:tcW w:w="3038" w:type="dxa"/>
            <w:tcBorders>
              <w:bottom w:val="single" w:sz="6" w:space="0" w:color="auto"/>
            </w:tcBorders>
          </w:tcPr>
          <w:p w14:paraId="39E73BA2" w14:textId="77777777" w:rsidR="004D42F9" w:rsidRDefault="004D42F9" w:rsidP="00322197">
            <w:r>
              <w:t>Inflation rate</w:t>
            </w:r>
          </w:p>
        </w:tc>
        <w:tc>
          <w:tcPr>
            <w:tcW w:w="1357" w:type="dxa"/>
            <w:tcBorders>
              <w:bottom w:val="single" w:sz="6" w:space="0" w:color="auto"/>
            </w:tcBorders>
          </w:tcPr>
          <w:p w14:paraId="76E79B60" w14:textId="77777777" w:rsidR="004D42F9" w:rsidRDefault="004D42F9" w:rsidP="00322197">
            <w:pPr>
              <w:jc w:val="center"/>
              <w:cnfStyle w:val="000000000000" w:firstRow="0" w:lastRow="0" w:firstColumn="0" w:lastColumn="0" w:oddVBand="0" w:evenVBand="0" w:oddHBand="0" w:evenHBand="0" w:firstRowFirstColumn="0" w:firstRowLastColumn="0" w:lastRowFirstColumn="0" w:lastRowLastColumn="0"/>
            </w:pPr>
            <w:r>
              <w:t>(per cent a year)</w:t>
            </w:r>
          </w:p>
        </w:tc>
        <w:tc>
          <w:tcPr>
            <w:tcW w:w="992" w:type="dxa"/>
            <w:tcBorders>
              <w:bottom w:val="single" w:sz="6" w:space="0" w:color="auto"/>
            </w:tcBorders>
          </w:tcPr>
          <w:p w14:paraId="2E40B6CD"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2.5</w:t>
            </w:r>
          </w:p>
        </w:tc>
        <w:tc>
          <w:tcPr>
            <w:tcW w:w="1472" w:type="dxa"/>
            <w:tcBorders>
              <w:bottom w:val="single" w:sz="6" w:space="0" w:color="auto"/>
            </w:tcBorders>
          </w:tcPr>
          <w:p w14:paraId="03B192F2"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2.5</w:t>
            </w:r>
          </w:p>
        </w:tc>
        <w:tc>
          <w:tcPr>
            <w:tcW w:w="1363" w:type="dxa"/>
            <w:tcBorders>
              <w:bottom w:val="single" w:sz="6" w:space="0" w:color="auto"/>
            </w:tcBorders>
          </w:tcPr>
          <w:p w14:paraId="4E5EF16E"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2.5</w:t>
            </w:r>
          </w:p>
        </w:tc>
        <w:tc>
          <w:tcPr>
            <w:tcW w:w="1416" w:type="dxa"/>
            <w:tcBorders>
              <w:bottom w:val="single" w:sz="6" w:space="0" w:color="auto"/>
            </w:tcBorders>
          </w:tcPr>
          <w:p w14:paraId="2B60E68C"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t>2.8</w:t>
            </w:r>
          </w:p>
        </w:tc>
      </w:tr>
      <w:tr w:rsidR="004D42F9" w14:paraId="63C0413D" w14:textId="77777777" w:rsidTr="00322197">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6" w:space="0" w:color="auto"/>
            </w:tcBorders>
          </w:tcPr>
          <w:p w14:paraId="2E0BA75E" w14:textId="77777777" w:rsidR="004D42F9" w:rsidRDefault="004D42F9" w:rsidP="00322197">
            <w:r>
              <w:rPr>
                <w:b/>
              </w:rPr>
              <w:t>Estimated increase / (decrease)</w:t>
            </w:r>
          </w:p>
        </w:tc>
        <w:tc>
          <w:tcPr>
            <w:tcW w:w="1357" w:type="dxa"/>
            <w:tcBorders>
              <w:top w:val="single" w:sz="6" w:space="0" w:color="auto"/>
              <w:bottom w:val="single" w:sz="6" w:space="0" w:color="auto"/>
            </w:tcBorders>
          </w:tcPr>
          <w:p w14:paraId="10207BBF" w14:textId="77777777" w:rsidR="004D42F9" w:rsidRDefault="004D42F9" w:rsidP="00322197">
            <w:pPr>
              <w:pStyle w:val="TableUnits"/>
              <w:spacing w:after="20"/>
              <w:jc w:val="center"/>
              <w:cnfStyle w:val="000000000000" w:firstRow="0" w:lastRow="0" w:firstColumn="0" w:lastColumn="0" w:oddVBand="0" w:evenVBand="0" w:oddHBand="0" w:evenHBand="0" w:firstRowFirstColumn="0" w:firstRowLastColumn="0" w:lastRowFirstColumn="0" w:lastRowLastColumn="0"/>
            </w:pPr>
            <w:r>
              <w:rPr>
                <w:sz w:val="17"/>
              </w:rPr>
              <w:t>(per cent)</w:t>
            </w:r>
          </w:p>
        </w:tc>
        <w:tc>
          <w:tcPr>
            <w:tcW w:w="992" w:type="dxa"/>
            <w:tcBorders>
              <w:top w:val="single" w:sz="6" w:space="0" w:color="auto"/>
              <w:bottom w:val="single" w:sz="6" w:space="0" w:color="auto"/>
            </w:tcBorders>
          </w:tcPr>
          <w:p w14:paraId="49380383"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n.a.</w:t>
            </w:r>
          </w:p>
        </w:tc>
        <w:tc>
          <w:tcPr>
            <w:tcW w:w="1472" w:type="dxa"/>
            <w:tcBorders>
              <w:top w:val="single" w:sz="6" w:space="0" w:color="auto"/>
              <w:bottom w:val="single" w:sz="6" w:space="0" w:color="auto"/>
            </w:tcBorders>
          </w:tcPr>
          <w:p w14:paraId="04EB8A1E"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(2.6)</w:t>
            </w:r>
          </w:p>
        </w:tc>
        <w:tc>
          <w:tcPr>
            <w:tcW w:w="1363" w:type="dxa"/>
            <w:tcBorders>
              <w:top w:val="single" w:sz="6" w:space="0" w:color="auto"/>
              <w:bottom w:val="single" w:sz="6" w:space="0" w:color="auto"/>
            </w:tcBorders>
          </w:tcPr>
          <w:p w14:paraId="5B1E45FD"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0.5</w:t>
            </w:r>
          </w:p>
        </w:tc>
        <w:tc>
          <w:tcPr>
            <w:tcW w:w="1416" w:type="dxa"/>
            <w:tcBorders>
              <w:top w:val="single" w:sz="6" w:space="0" w:color="auto"/>
              <w:bottom w:val="single" w:sz="6" w:space="0" w:color="auto"/>
            </w:tcBorders>
          </w:tcPr>
          <w:p w14:paraId="336FD161"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1.8</w:t>
            </w:r>
          </w:p>
        </w:tc>
      </w:tr>
      <w:tr w:rsidR="004D42F9" w14:paraId="062C36B9" w14:textId="77777777" w:rsidTr="00322197">
        <w:tc>
          <w:tcPr>
            <w:cnfStyle w:val="001000000000" w:firstRow="0" w:lastRow="0" w:firstColumn="1" w:lastColumn="0" w:oddVBand="0" w:evenVBand="0" w:oddHBand="0" w:evenHBand="0" w:firstRowFirstColumn="0" w:firstRowLastColumn="0" w:lastRowFirstColumn="0" w:lastRowLastColumn="0"/>
            <w:tcW w:w="3038" w:type="dxa"/>
            <w:tcBorders>
              <w:top w:val="single" w:sz="6" w:space="0" w:color="auto"/>
              <w:bottom w:val="single" w:sz="12" w:space="0" w:color="auto"/>
            </w:tcBorders>
          </w:tcPr>
          <w:p w14:paraId="6193BA8B" w14:textId="77777777" w:rsidR="004D42F9" w:rsidRDefault="004D42F9" w:rsidP="00322197">
            <w:r>
              <w:rPr>
                <w:b/>
              </w:rPr>
              <w:t>Estimated increase / (decrease) in defined benefit obligation</w:t>
            </w:r>
          </w:p>
        </w:tc>
        <w:tc>
          <w:tcPr>
            <w:tcW w:w="1357" w:type="dxa"/>
            <w:tcBorders>
              <w:top w:val="single" w:sz="6" w:space="0" w:color="auto"/>
              <w:bottom w:val="single" w:sz="12" w:space="0" w:color="auto"/>
            </w:tcBorders>
          </w:tcPr>
          <w:p w14:paraId="7B684A39" w14:textId="77777777" w:rsidR="004D42F9" w:rsidRDefault="004D42F9" w:rsidP="00322197">
            <w:pPr>
              <w:jc w:val="center"/>
              <w:cnfStyle w:val="000000000000" w:firstRow="0" w:lastRow="0" w:firstColumn="0" w:lastColumn="0" w:oddVBand="0" w:evenVBand="0" w:oddHBand="0" w:evenHBand="0" w:firstRowFirstColumn="0" w:firstRowLastColumn="0" w:lastRowFirstColumn="0" w:lastRowLastColumn="0"/>
            </w:pPr>
            <w:r>
              <w:rPr>
                <w:b/>
              </w:rPr>
              <w:t>($ million)</w:t>
            </w:r>
          </w:p>
        </w:tc>
        <w:tc>
          <w:tcPr>
            <w:tcW w:w="992" w:type="dxa"/>
            <w:tcBorders>
              <w:top w:val="single" w:sz="6" w:space="0" w:color="auto"/>
              <w:bottom w:val="single" w:sz="12" w:space="0" w:color="auto"/>
            </w:tcBorders>
          </w:tcPr>
          <w:p w14:paraId="6AF463D7"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n.a.</w:t>
            </w:r>
          </w:p>
        </w:tc>
        <w:tc>
          <w:tcPr>
            <w:tcW w:w="1472" w:type="dxa"/>
            <w:tcBorders>
              <w:top w:val="single" w:sz="6" w:space="0" w:color="auto"/>
              <w:bottom w:val="single" w:sz="12" w:space="0" w:color="auto"/>
            </w:tcBorders>
          </w:tcPr>
          <w:p w14:paraId="3CA7281D"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(1 138)</w:t>
            </w:r>
          </w:p>
        </w:tc>
        <w:tc>
          <w:tcPr>
            <w:tcW w:w="1363" w:type="dxa"/>
            <w:tcBorders>
              <w:top w:val="single" w:sz="6" w:space="0" w:color="auto"/>
              <w:bottom w:val="single" w:sz="12" w:space="0" w:color="auto"/>
            </w:tcBorders>
          </w:tcPr>
          <w:p w14:paraId="73BAC7DC"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219</w:t>
            </w:r>
          </w:p>
        </w:tc>
        <w:tc>
          <w:tcPr>
            <w:tcW w:w="1416" w:type="dxa"/>
            <w:tcBorders>
              <w:top w:val="single" w:sz="6" w:space="0" w:color="auto"/>
              <w:bottom w:val="single" w:sz="12" w:space="0" w:color="auto"/>
            </w:tcBorders>
          </w:tcPr>
          <w:p w14:paraId="5F922F44" w14:textId="77777777" w:rsidR="004D42F9" w:rsidRDefault="004D42F9" w:rsidP="00322197">
            <w:pPr>
              <w:cnfStyle w:val="000000000000" w:firstRow="0" w:lastRow="0" w:firstColumn="0" w:lastColumn="0" w:oddVBand="0" w:evenVBand="0" w:oddHBand="0" w:evenHBand="0" w:firstRowFirstColumn="0" w:firstRowLastColumn="0" w:lastRowFirstColumn="0" w:lastRowLastColumn="0"/>
            </w:pPr>
            <w:r>
              <w:rPr>
                <w:b/>
              </w:rPr>
              <w:t>788</w:t>
            </w:r>
          </w:p>
        </w:tc>
      </w:tr>
    </w:tbl>
    <w:p w14:paraId="693C03B6" w14:textId="77777777" w:rsidR="004D42F9" w:rsidRDefault="004D42F9" w:rsidP="004D42F9"/>
    <w:p w14:paraId="3E675946" w14:textId="77777777" w:rsidR="004D42F9" w:rsidRDefault="004D42F9" w:rsidP="004D42F9">
      <w:pPr>
        <w:pStyle w:val="TableHeading"/>
      </w:pPr>
      <w:r>
        <w:t>Target asset allocation</w:t>
      </w:r>
      <w:r>
        <w:tab/>
        <w:t>(per cent)</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uperannuation/Link_AFR_Superannuation.xlsx|Table:Super_asset_allocation"/>
      </w:tblPr>
      <w:tblGrid>
        <w:gridCol w:w="7824"/>
        <w:gridCol w:w="823"/>
        <w:gridCol w:w="991"/>
      </w:tblGrid>
      <w:tr w:rsidR="004D42F9" w14:paraId="46960EB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DD8AB72" w14:textId="77777777" w:rsidR="004D42F9" w:rsidRDefault="004D42F9">
            <w:pPr>
              <w:keepNext/>
            </w:pPr>
            <w:r>
              <w:t>Asset class</w:t>
            </w:r>
          </w:p>
        </w:tc>
        <w:tc>
          <w:tcPr>
            <w:tcW w:w="823" w:type="dxa"/>
          </w:tcPr>
          <w:p w14:paraId="1C36062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91" w:type="dxa"/>
          </w:tcPr>
          <w:p w14:paraId="5F97334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1FB32BEA" w14:textId="77777777">
        <w:tc>
          <w:tcPr>
            <w:cnfStyle w:val="001000000000" w:firstRow="0" w:lastRow="0" w:firstColumn="1" w:lastColumn="0" w:oddVBand="0" w:evenVBand="0" w:oddHBand="0" w:evenHBand="0" w:firstRowFirstColumn="0" w:firstRowLastColumn="0" w:lastRowFirstColumn="0" w:lastRowLastColumn="0"/>
            <w:tcW w:w="7824" w:type="dxa"/>
          </w:tcPr>
          <w:p w14:paraId="05BF74FA" w14:textId="77777777" w:rsidR="004D42F9" w:rsidRDefault="004D42F9">
            <w:r>
              <w:t>Domestic equity</w:t>
            </w:r>
          </w:p>
        </w:tc>
        <w:tc>
          <w:tcPr>
            <w:tcW w:w="823" w:type="dxa"/>
          </w:tcPr>
          <w:p w14:paraId="1CF73CEA" w14:textId="77777777" w:rsidR="004D42F9" w:rsidRDefault="004D42F9">
            <w:pPr>
              <w:cnfStyle w:val="000000000000" w:firstRow="0" w:lastRow="0" w:firstColumn="0" w:lastColumn="0" w:oddVBand="0" w:evenVBand="0" w:oddHBand="0" w:evenHBand="0" w:firstRowFirstColumn="0" w:firstRowLastColumn="0" w:lastRowFirstColumn="0" w:lastRowLastColumn="0"/>
            </w:pPr>
            <w:r>
              <w:t>20.5</w:t>
            </w:r>
          </w:p>
        </w:tc>
        <w:tc>
          <w:tcPr>
            <w:tcW w:w="991" w:type="dxa"/>
          </w:tcPr>
          <w:p w14:paraId="53E8A949" w14:textId="77777777" w:rsidR="004D42F9" w:rsidRDefault="004D42F9">
            <w:pPr>
              <w:cnfStyle w:val="000000000000" w:firstRow="0" w:lastRow="0" w:firstColumn="0" w:lastColumn="0" w:oddVBand="0" w:evenVBand="0" w:oddHBand="0" w:evenHBand="0" w:firstRowFirstColumn="0" w:firstRowLastColumn="0" w:lastRowFirstColumn="0" w:lastRowLastColumn="0"/>
            </w:pPr>
            <w:r>
              <w:t>20.7</w:t>
            </w:r>
          </w:p>
        </w:tc>
      </w:tr>
      <w:tr w:rsidR="004D42F9" w14:paraId="224549D6" w14:textId="77777777">
        <w:tc>
          <w:tcPr>
            <w:cnfStyle w:val="001000000000" w:firstRow="0" w:lastRow="0" w:firstColumn="1" w:lastColumn="0" w:oddVBand="0" w:evenVBand="0" w:oddHBand="0" w:evenHBand="0" w:firstRowFirstColumn="0" w:firstRowLastColumn="0" w:lastRowFirstColumn="0" w:lastRowLastColumn="0"/>
            <w:tcW w:w="7824" w:type="dxa"/>
          </w:tcPr>
          <w:p w14:paraId="37A8740B" w14:textId="77777777" w:rsidR="004D42F9" w:rsidRDefault="004D42F9">
            <w:r>
              <w:t>International equity</w:t>
            </w:r>
          </w:p>
        </w:tc>
        <w:tc>
          <w:tcPr>
            <w:tcW w:w="823" w:type="dxa"/>
          </w:tcPr>
          <w:p w14:paraId="5478A123" w14:textId="77777777" w:rsidR="004D42F9" w:rsidRDefault="004D42F9">
            <w:pPr>
              <w:cnfStyle w:val="000000000000" w:firstRow="0" w:lastRow="0" w:firstColumn="0" w:lastColumn="0" w:oddVBand="0" w:evenVBand="0" w:oddHBand="0" w:evenHBand="0" w:firstRowFirstColumn="0" w:firstRowLastColumn="0" w:lastRowFirstColumn="0" w:lastRowLastColumn="0"/>
            </w:pPr>
            <w:r>
              <w:t>28.2</w:t>
            </w:r>
          </w:p>
        </w:tc>
        <w:tc>
          <w:tcPr>
            <w:tcW w:w="991" w:type="dxa"/>
          </w:tcPr>
          <w:p w14:paraId="32CA9F12" w14:textId="77777777" w:rsidR="004D42F9" w:rsidRDefault="004D42F9">
            <w:pPr>
              <w:cnfStyle w:val="000000000000" w:firstRow="0" w:lastRow="0" w:firstColumn="0" w:lastColumn="0" w:oddVBand="0" w:evenVBand="0" w:oddHBand="0" w:evenHBand="0" w:firstRowFirstColumn="0" w:firstRowLastColumn="0" w:lastRowFirstColumn="0" w:lastRowLastColumn="0"/>
            </w:pPr>
            <w:r>
              <w:t>28.5</w:t>
            </w:r>
          </w:p>
        </w:tc>
      </w:tr>
      <w:tr w:rsidR="004D42F9" w14:paraId="47FBE295" w14:textId="77777777">
        <w:tc>
          <w:tcPr>
            <w:cnfStyle w:val="001000000000" w:firstRow="0" w:lastRow="0" w:firstColumn="1" w:lastColumn="0" w:oddVBand="0" w:evenVBand="0" w:oddHBand="0" w:evenHBand="0" w:firstRowFirstColumn="0" w:firstRowLastColumn="0" w:lastRowFirstColumn="0" w:lastRowLastColumn="0"/>
            <w:tcW w:w="7824" w:type="dxa"/>
          </w:tcPr>
          <w:p w14:paraId="572E577B" w14:textId="77777777" w:rsidR="004D42F9" w:rsidRDefault="004D42F9">
            <w:r>
              <w:t>Domestic debt assets</w:t>
            </w:r>
          </w:p>
        </w:tc>
        <w:tc>
          <w:tcPr>
            <w:tcW w:w="823" w:type="dxa"/>
          </w:tcPr>
          <w:p w14:paraId="27DEE120" w14:textId="77777777" w:rsidR="004D42F9" w:rsidRDefault="004D42F9">
            <w:pPr>
              <w:cnfStyle w:val="000000000000" w:firstRow="0" w:lastRow="0" w:firstColumn="0" w:lastColumn="0" w:oddVBand="0" w:evenVBand="0" w:oddHBand="0" w:evenHBand="0" w:firstRowFirstColumn="0" w:firstRowLastColumn="0" w:lastRowFirstColumn="0" w:lastRowLastColumn="0"/>
            </w:pPr>
            <w:r>
              <w:t>15.0</w:t>
            </w:r>
          </w:p>
        </w:tc>
        <w:tc>
          <w:tcPr>
            <w:tcW w:w="991" w:type="dxa"/>
          </w:tcPr>
          <w:p w14:paraId="2C6F617E" w14:textId="77777777" w:rsidR="004D42F9" w:rsidRDefault="004D42F9">
            <w:pPr>
              <w:cnfStyle w:val="000000000000" w:firstRow="0" w:lastRow="0" w:firstColumn="0" w:lastColumn="0" w:oddVBand="0" w:evenVBand="0" w:oddHBand="0" w:evenHBand="0" w:firstRowFirstColumn="0" w:firstRowLastColumn="0" w:lastRowFirstColumn="0" w:lastRowLastColumn="0"/>
            </w:pPr>
            <w:r>
              <w:t>15.8</w:t>
            </w:r>
          </w:p>
        </w:tc>
      </w:tr>
      <w:tr w:rsidR="004D42F9" w14:paraId="437A1B64" w14:textId="77777777">
        <w:tc>
          <w:tcPr>
            <w:cnfStyle w:val="001000000000" w:firstRow="0" w:lastRow="0" w:firstColumn="1" w:lastColumn="0" w:oddVBand="0" w:evenVBand="0" w:oddHBand="0" w:evenHBand="0" w:firstRowFirstColumn="0" w:firstRowLastColumn="0" w:lastRowFirstColumn="0" w:lastRowLastColumn="0"/>
            <w:tcW w:w="7824" w:type="dxa"/>
          </w:tcPr>
          <w:p w14:paraId="253056BB" w14:textId="77777777" w:rsidR="004D42F9" w:rsidRDefault="004D42F9">
            <w:r>
              <w:t>International debt assets</w:t>
            </w:r>
          </w:p>
        </w:tc>
        <w:tc>
          <w:tcPr>
            <w:tcW w:w="823" w:type="dxa"/>
          </w:tcPr>
          <w:p w14:paraId="4A7C0D4A"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991" w:type="dxa"/>
          </w:tcPr>
          <w:p w14:paraId="1416A30E" w14:textId="77777777" w:rsidR="004D42F9" w:rsidRDefault="004D42F9">
            <w:pPr>
              <w:cnfStyle w:val="000000000000" w:firstRow="0" w:lastRow="0" w:firstColumn="0" w:lastColumn="0" w:oddVBand="0" w:evenVBand="0" w:oddHBand="0" w:evenHBand="0" w:firstRowFirstColumn="0" w:firstRowLastColumn="0" w:lastRowFirstColumn="0" w:lastRowLastColumn="0"/>
            </w:pPr>
            <w:r>
              <w:t>3.4</w:t>
            </w:r>
          </w:p>
        </w:tc>
      </w:tr>
      <w:tr w:rsidR="004D42F9" w14:paraId="442BAE9A" w14:textId="77777777">
        <w:tc>
          <w:tcPr>
            <w:cnfStyle w:val="001000000000" w:firstRow="0" w:lastRow="0" w:firstColumn="1" w:lastColumn="0" w:oddVBand="0" w:evenVBand="0" w:oddHBand="0" w:evenHBand="0" w:firstRowFirstColumn="0" w:firstRowLastColumn="0" w:lastRowFirstColumn="0" w:lastRowLastColumn="0"/>
            <w:tcW w:w="7824" w:type="dxa"/>
          </w:tcPr>
          <w:p w14:paraId="3E7993DC" w14:textId="77777777" w:rsidR="004D42F9" w:rsidRDefault="004D42F9">
            <w:r>
              <w:t>Property</w:t>
            </w:r>
          </w:p>
        </w:tc>
        <w:tc>
          <w:tcPr>
            <w:tcW w:w="823" w:type="dxa"/>
          </w:tcPr>
          <w:p w14:paraId="592A322A" w14:textId="77777777" w:rsidR="004D42F9" w:rsidRDefault="004D42F9">
            <w:pPr>
              <w:cnfStyle w:val="000000000000" w:firstRow="0" w:lastRow="0" w:firstColumn="0" w:lastColumn="0" w:oddVBand="0" w:evenVBand="0" w:oddHBand="0" w:evenHBand="0" w:firstRowFirstColumn="0" w:firstRowLastColumn="0" w:lastRowFirstColumn="0" w:lastRowLastColumn="0"/>
            </w:pPr>
            <w:r>
              <w:t>10.1</w:t>
            </w:r>
          </w:p>
        </w:tc>
        <w:tc>
          <w:tcPr>
            <w:tcW w:w="991" w:type="dxa"/>
          </w:tcPr>
          <w:p w14:paraId="42D36DE4" w14:textId="77777777" w:rsidR="004D42F9" w:rsidRDefault="004D42F9">
            <w:pPr>
              <w:cnfStyle w:val="000000000000" w:firstRow="0" w:lastRow="0" w:firstColumn="0" w:lastColumn="0" w:oddVBand="0" w:evenVBand="0" w:oddHBand="0" w:evenHBand="0" w:firstRowFirstColumn="0" w:firstRowLastColumn="0" w:lastRowFirstColumn="0" w:lastRowLastColumn="0"/>
            </w:pPr>
            <w:r>
              <w:t>9.2</w:t>
            </w:r>
          </w:p>
        </w:tc>
      </w:tr>
      <w:tr w:rsidR="004D42F9" w14:paraId="413DF5B2" w14:textId="77777777">
        <w:tc>
          <w:tcPr>
            <w:cnfStyle w:val="001000000000" w:firstRow="0" w:lastRow="0" w:firstColumn="1" w:lastColumn="0" w:oddVBand="0" w:evenVBand="0" w:oddHBand="0" w:evenHBand="0" w:firstRowFirstColumn="0" w:firstRowLastColumn="0" w:lastRowFirstColumn="0" w:lastRowLastColumn="0"/>
            <w:tcW w:w="7824" w:type="dxa"/>
          </w:tcPr>
          <w:p w14:paraId="5AD61D90" w14:textId="77777777" w:rsidR="004D42F9" w:rsidRDefault="004D42F9">
            <w:r>
              <w:t>Cash</w:t>
            </w:r>
          </w:p>
        </w:tc>
        <w:tc>
          <w:tcPr>
            <w:tcW w:w="823" w:type="dxa"/>
          </w:tcPr>
          <w:p w14:paraId="6339126C" w14:textId="77777777" w:rsidR="004D42F9" w:rsidRDefault="004D42F9">
            <w:pPr>
              <w:cnfStyle w:val="000000000000" w:firstRow="0" w:lastRow="0" w:firstColumn="0" w:lastColumn="0" w:oddVBand="0" w:evenVBand="0" w:oddHBand="0" w:evenHBand="0" w:firstRowFirstColumn="0" w:firstRowLastColumn="0" w:lastRowFirstColumn="0" w:lastRowLastColumn="0"/>
            </w:pPr>
            <w:r>
              <w:t>4.5</w:t>
            </w:r>
          </w:p>
        </w:tc>
        <w:tc>
          <w:tcPr>
            <w:tcW w:w="991" w:type="dxa"/>
          </w:tcPr>
          <w:p w14:paraId="1F84B5C4" w14:textId="77777777" w:rsidR="004D42F9" w:rsidRDefault="004D42F9">
            <w:pPr>
              <w:cnfStyle w:val="000000000000" w:firstRow="0" w:lastRow="0" w:firstColumn="0" w:lastColumn="0" w:oddVBand="0" w:evenVBand="0" w:oddHBand="0" w:evenHBand="0" w:firstRowFirstColumn="0" w:firstRowLastColumn="0" w:lastRowFirstColumn="0" w:lastRowLastColumn="0"/>
            </w:pPr>
            <w:r>
              <w:t>6.3</w:t>
            </w:r>
          </w:p>
        </w:tc>
      </w:tr>
      <w:tr w:rsidR="004D42F9" w14:paraId="21F71EC8" w14:textId="77777777">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107912C" w14:textId="77777777" w:rsidR="004D42F9" w:rsidRDefault="004D42F9">
            <w:r>
              <w:t>Other (including private equity, hedge funds and infrastructure)</w:t>
            </w:r>
          </w:p>
        </w:tc>
        <w:tc>
          <w:tcPr>
            <w:tcW w:w="823" w:type="dxa"/>
            <w:tcBorders>
              <w:bottom w:val="single" w:sz="6" w:space="0" w:color="auto"/>
            </w:tcBorders>
          </w:tcPr>
          <w:p w14:paraId="1A5900DB" w14:textId="77777777" w:rsidR="004D42F9" w:rsidRDefault="004D42F9">
            <w:pPr>
              <w:cnfStyle w:val="000000000000" w:firstRow="0" w:lastRow="0" w:firstColumn="0" w:lastColumn="0" w:oddVBand="0" w:evenVBand="0" w:oddHBand="0" w:evenHBand="0" w:firstRowFirstColumn="0" w:firstRowLastColumn="0" w:lastRowFirstColumn="0" w:lastRowLastColumn="0"/>
            </w:pPr>
            <w:r>
              <w:t>18.1</w:t>
            </w:r>
          </w:p>
        </w:tc>
        <w:tc>
          <w:tcPr>
            <w:tcW w:w="991" w:type="dxa"/>
            <w:tcBorders>
              <w:bottom w:val="single" w:sz="6" w:space="0" w:color="auto"/>
            </w:tcBorders>
          </w:tcPr>
          <w:p w14:paraId="63828A0E" w14:textId="77777777" w:rsidR="004D42F9" w:rsidRDefault="004D42F9">
            <w:pPr>
              <w:cnfStyle w:val="000000000000" w:firstRow="0" w:lastRow="0" w:firstColumn="0" w:lastColumn="0" w:oddVBand="0" w:evenVBand="0" w:oddHBand="0" w:evenHBand="0" w:firstRowFirstColumn="0" w:firstRowLastColumn="0" w:lastRowFirstColumn="0" w:lastRowLastColumn="0"/>
            </w:pPr>
            <w:r>
              <w:t>16.1</w:t>
            </w:r>
          </w:p>
        </w:tc>
      </w:tr>
      <w:tr w:rsidR="004D42F9" w14:paraId="39DC8850"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06498CE" w14:textId="77777777" w:rsidR="004D42F9" w:rsidRDefault="004D42F9">
            <w:r>
              <w:rPr>
                <w:b/>
              </w:rPr>
              <w:t>Total</w:t>
            </w:r>
          </w:p>
        </w:tc>
        <w:tc>
          <w:tcPr>
            <w:tcW w:w="823" w:type="dxa"/>
            <w:tcBorders>
              <w:top w:val="single" w:sz="6" w:space="0" w:color="auto"/>
              <w:bottom w:val="single" w:sz="12" w:space="0" w:color="auto"/>
            </w:tcBorders>
          </w:tcPr>
          <w:p w14:paraId="4E46C88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100</w:t>
            </w:r>
          </w:p>
        </w:tc>
        <w:tc>
          <w:tcPr>
            <w:tcW w:w="991" w:type="dxa"/>
            <w:tcBorders>
              <w:top w:val="single" w:sz="6" w:space="0" w:color="auto"/>
              <w:bottom w:val="single" w:sz="12" w:space="0" w:color="auto"/>
            </w:tcBorders>
          </w:tcPr>
          <w:p w14:paraId="0C8733D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100</w:t>
            </w:r>
          </w:p>
        </w:tc>
      </w:tr>
    </w:tbl>
    <w:p w14:paraId="2958C1A3"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56717927" w14:textId="77777777" w:rsidR="004D42F9" w:rsidRDefault="004D42F9" w:rsidP="004D42F9">
      <w:r>
        <w:t>The assets are invested in the asset classes shown above. The chosen assets are not designed to match the liabilities exactly. However, the nature of the liabilities is considered in setting the investment strategy.</w:t>
      </w:r>
    </w:p>
    <w:p w14:paraId="4D09597D" w14:textId="77777777" w:rsidR="00322197" w:rsidRDefault="00322197" w:rsidP="004D42F9">
      <w:pPr>
        <w:sectPr w:rsidR="00322197" w:rsidSect="00322197">
          <w:type w:val="continuous"/>
          <w:pgSz w:w="11906" w:h="16838" w:code="9"/>
          <w:pgMar w:top="1134" w:right="1134" w:bottom="1134" w:left="1134" w:header="624" w:footer="567" w:gutter="0"/>
          <w:cols w:num="2" w:space="708"/>
          <w:docGrid w:linePitch="360"/>
        </w:sectPr>
      </w:pPr>
    </w:p>
    <w:p w14:paraId="5A41BB50" w14:textId="77777777" w:rsidR="004D42F9" w:rsidRDefault="004D42F9" w:rsidP="004D42F9"/>
    <w:p w14:paraId="26BBC65A" w14:textId="77777777" w:rsidR="004D42F9" w:rsidRDefault="004D42F9" w:rsidP="004D42F9">
      <w:pPr>
        <w:pStyle w:val="Heading3"/>
        <w:pageBreakBefore/>
      </w:pPr>
      <w:r>
        <w:lastRenderedPageBreak/>
        <w:t xml:space="preserve">Funding arrangements </w:t>
      </w:r>
    </w:p>
    <w:p w14:paraId="59D065DB" w14:textId="77777777" w:rsidR="00322197" w:rsidRDefault="00322197" w:rsidP="004D42F9">
      <w:pPr>
        <w:sectPr w:rsidR="00322197" w:rsidSect="008623A6">
          <w:type w:val="continuous"/>
          <w:pgSz w:w="11906" w:h="16838" w:code="9"/>
          <w:pgMar w:top="1134" w:right="1134" w:bottom="1134" w:left="1134" w:header="624" w:footer="567" w:gutter="0"/>
          <w:cols w:space="708"/>
          <w:docGrid w:linePitch="360"/>
        </w:sectPr>
      </w:pPr>
    </w:p>
    <w:p w14:paraId="0CB53FD1" w14:textId="77777777" w:rsidR="004D42F9" w:rsidRDefault="004D42F9" w:rsidP="004D42F9">
      <w:r>
        <w:t>The funding arrangements for each defined benefit plan are as follows:</w:t>
      </w:r>
    </w:p>
    <w:p w14:paraId="205DF597" w14:textId="77777777" w:rsidR="004D42F9" w:rsidRPr="001B7F16" w:rsidRDefault="004D42F9" w:rsidP="004D42F9">
      <w:pPr>
        <w:pStyle w:val="ListBullet"/>
        <w:keepLines/>
        <w:numPr>
          <w:ilvl w:val="0"/>
          <w:numId w:val="27"/>
        </w:numPr>
      </w:pPr>
      <w:r w:rsidRPr="001B7F16">
        <w:t>SSF – the scheme is partially funded, with participating employers generally contributing the cost of service as it accrues while the State meets the cost of past service</w:t>
      </w:r>
    </w:p>
    <w:p w14:paraId="4FA37254" w14:textId="093252D5" w:rsidR="004D42F9" w:rsidRPr="001B7F16" w:rsidRDefault="004D42F9" w:rsidP="004D42F9">
      <w:pPr>
        <w:pStyle w:val="ListBullet"/>
        <w:keepLines/>
        <w:numPr>
          <w:ilvl w:val="0"/>
          <w:numId w:val="27"/>
        </w:numPr>
      </w:pPr>
      <w:r w:rsidRPr="001B7F16">
        <w:t>ESSS DB – a funded scheme, with a funding target of 110 per cent to 120 per cent of vested benefits. The board</w:t>
      </w:r>
      <w:r w:rsidR="00845934">
        <w:t>’</w:t>
      </w:r>
      <w:r w:rsidRPr="001B7F16">
        <w:t>s shortfall limit is 95 per cent of vested benefits</w:t>
      </w:r>
    </w:p>
    <w:p w14:paraId="4C65DD80" w14:textId="77777777" w:rsidR="004D42F9" w:rsidRPr="001B7F16" w:rsidRDefault="004D42F9" w:rsidP="004D42F9">
      <w:pPr>
        <w:pStyle w:val="ListBullet"/>
        <w:keepLines/>
        <w:numPr>
          <w:ilvl w:val="0"/>
          <w:numId w:val="27"/>
        </w:numPr>
      </w:pPr>
      <w:r w:rsidRPr="001B7F16">
        <w:t>Constitutionally Protected Pension Schemes – unfunded schemes (i.e. there are no assets) and benefits are paid from the Consolidated Fund as they fall due</w:t>
      </w:r>
    </w:p>
    <w:p w14:paraId="7AEF614C" w14:textId="6A9A4856" w:rsidR="004D42F9" w:rsidRDefault="004D42F9" w:rsidP="004D42F9">
      <w:pPr>
        <w:pStyle w:val="ListBullet"/>
        <w:keepLines/>
        <w:numPr>
          <w:ilvl w:val="0"/>
          <w:numId w:val="27"/>
        </w:numPr>
      </w:pPr>
      <w:r w:rsidRPr="001B7F16">
        <w:t>Health Super – a funded scheme where employers contribute in accordance with the actuary</w:t>
      </w:r>
      <w:r w:rsidR="00845934">
        <w:t>’</w:t>
      </w:r>
      <w:r w:rsidRPr="001B7F16">
        <w:t>s recommendations, which are designed to maintain scheme assets in excess of 100 per cent of the scheme</w:t>
      </w:r>
      <w:r w:rsidR="00845934">
        <w:t>’</w:t>
      </w:r>
      <w:r w:rsidRPr="001B7F16">
        <w:t xml:space="preserve">s vested benefits. </w:t>
      </w:r>
    </w:p>
    <w:p w14:paraId="4C748CBB" w14:textId="1AD5C4DE" w:rsidR="004D42F9" w:rsidRPr="00EC399A" w:rsidRDefault="00322197" w:rsidP="00CC7EC3">
      <w:pPr>
        <w:spacing w:before="180"/>
      </w:pPr>
      <w:r>
        <w:br w:type="column"/>
      </w:r>
      <w:r w:rsidR="004D42F9" w:rsidRPr="00EC399A">
        <w:t>In the 202</w:t>
      </w:r>
      <w:r w:rsidR="004D42F9">
        <w:t>5</w:t>
      </w:r>
      <w:r w:rsidR="004D42F9" w:rsidRPr="00EC399A">
        <w:t>-2</w:t>
      </w:r>
      <w:r w:rsidR="004D42F9">
        <w:t>6</w:t>
      </w:r>
      <w:r w:rsidR="004D42F9" w:rsidRPr="00EC399A">
        <w:t xml:space="preserve"> financial year, employer contributions of </w:t>
      </w:r>
      <w:r w:rsidR="004D42F9" w:rsidRPr="00B8650B">
        <w:t>$1.2</w:t>
      </w:r>
      <w:r w:rsidR="004D42F9">
        <w:t xml:space="preserve"> b</w:t>
      </w:r>
      <w:r w:rsidR="004D42F9" w:rsidRPr="00EC399A">
        <w:t>illion, in total, are expected to be paid to the defined benefit plans. Of this</w:t>
      </w:r>
      <w:r w:rsidR="004D42F9" w:rsidRPr="00B8650B">
        <w:t>, $538</w:t>
      </w:r>
      <w:r w:rsidR="004D42F9" w:rsidRPr="00EC399A">
        <w:t> million relates to the funding of the SSF</w:t>
      </w:r>
      <w:r w:rsidR="00845934">
        <w:t>’</w:t>
      </w:r>
      <w:r w:rsidR="004D42F9" w:rsidRPr="00EC399A">
        <w:t>s past service liability.</w:t>
      </w:r>
    </w:p>
    <w:p w14:paraId="2E47BFF8" w14:textId="77777777" w:rsidR="004D42F9" w:rsidRPr="00B74B82" w:rsidRDefault="004D42F9" w:rsidP="004D42F9">
      <w:r w:rsidRPr="00EC399A">
        <w:t>The weighted average duration of the defined benefit obligation is approximately 11 years.</w:t>
      </w:r>
    </w:p>
    <w:p w14:paraId="2AE05F19" w14:textId="77777777" w:rsidR="00322197" w:rsidRDefault="00322197" w:rsidP="004D42F9">
      <w:pPr>
        <w:sectPr w:rsidR="00322197" w:rsidSect="00322197">
          <w:type w:val="continuous"/>
          <w:pgSz w:w="11906" w:h="16838" w:code="9"/>
          <w:pgMar w:top="1134" w:right="1134" w:bottom="1134" w:left="1134" w:header="624" w:footer="567" w:gutter="0"/>
          <w:cols w:num="2" w:space="708"/>
          <w:docGrid w:linePitch="360"/>
        </w:sectPr>
      </w:pPr>
    </w:p>
    <w:p w14:paraId="119C655D" w14:textId="77777777" w:rsidR="004D42F9" w:rsidRDefault="004D42F9" w:rsidP="004D42F9"/>
    <w:p w14:paraId="37E95336" w14:textId="77777777" w:rsidR="004D42F9" w:rsidRDefault="004D42F9" w:rsidP="004D42F9">
      <w:pPr>
        <w:pStyle w:val="Heading2"/>
      </w:pPr>
      <w:bookmarkStart w:id="78" w:name="_Toc209476186"/>
      <w:r>
        <w:t>3.4</w:t>
      </w:r>
      <w:r>
        <w:tab/>
        <w:t>Grant expense</w:t>
      </w:r>
      <w:bookmarkEnd w:id="78"/>
    </w:p>
    <w:p w14:paraId="0D2A21D3"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Grant_expense"/>
      </w:tblPr>
      <w:tblGrid>
        <w:gridCol w:w="6010"/>
        <w:gridCol w:w="907"/>
        <w:gridCol w:w="907"/>
        <w:gridCol w:w="965"/>
        <w:gridCol w:w="849"/>
      </w:tblGrid>
      <w:tr w:rsidR="004D42F9" w14:paraId="4D32825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4606203" w14:textId="77777777" w:rsidR="004D42F9" w:rsidRDefault="004D42F9">
            <w:pPr>
              <w:keepNext/>
            </w:pPr>
          </w:p>
        </w:tc>
        <w:tc>
          <w:tcPr>
            <w:tcW w:w="1814" w:type="dxa"/>
            <w:gridSpan w:val="2"/>
          </w:tcPr>
          <w:p w14:paraId="209CD61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BCD473B"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40F7B" w14:paraId="04A8D79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5BF30A1" w14:textId="77777777" w:rsidR="004D42F9" w:rsidRDefault="004D42F9">
            <w:pPr>
              <w:keepNext/>
            </w:pPr>
          </w:p>
        </w:tc>
        <w:tc>
          <w:tcPr>
            <w:tcW w:w="907" w:type="dxa"/>
          </w:tcPr>
          <w:p w14:paraId="32B94EF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A17B96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4B3012B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849" w:type="dxa"/>
          </w:tcPr>
          <w:p w14:paraId="0E4B953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28E25F0" w14:textId="77777777">
        <w:tc>
          <w:tcPr>
            <w:cnfStyle w:val="001000000000" w:firstRow="0" w:lastRow="0" w:firstColumn="1" w:lastColumn="0" w:oddVBand="0" w:evenVBand="0" w:oddHBand="0" w:evenHBand="0" w:firstRowFirstColumn="0" w:firstRowLastColumn="0" w:lastRowFirstColumn="0" w:lastRowLastColumn="0"/>
            <w:tcW w:w="6010" w:type="dxa"/>
          </w:tcPr>
          <w:p w14:paraId="5C63AFEB" w14:textId="77777777" w:rsidR="004D42F9" w:rsidRDefault="004D42F9">
            <w:r>
              <w:rPr>
                <w:b/>
              </w:rPr>
              <w:t>Current grant expense</w:t>
            </w:r>
          </w:p>
        </w:tc>
        <w:tc>
          <w:tcPr>
            <w:tcW w:w="907" w:type="dxa"/>
          </w:tcPr>
          <w:p w14:paraId="7760B21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539C455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65" w:type="dxa"/>
          </w:tcPr>
          <w:p w14:paraId="2D1DDF1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849" w:type="dxa"/>
          </w:tcPr>
          <w:p w14:paraId="6E05760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C855E43" w14:textId="77777777">
        <w:tc>
          <w:tcPr>
            <w:cnfStyle w:val="001000000000" w:firstRow="0" w:lastRow="0" w:firstColumn="1" w:lastColumn="0" w:oddVBand="0" w:evenVBand="0" w:oddHBand="0" w:evenHBand="0" w:firstRowFirstColumn="0" w:firstRowLastColumn="0" w:lastRowFirstColumn="0" w:lastRowLastColumn="0"/>
            <w:tcW w:w="6010" w:type="dxa"/>
          </w:tcPr>
          <w:p w14:paraId="02524CF8" w14:textId="77777777" w:rsidR="004D42F9" w:rsidRDefault="004D42F9">
            <w:r>
              <w:t>Commonwealth Government</w:t>
            </w:r>
          </w:p>
        </w:tc>
        <w:tc>
          <w:tcPr>
            <w:tcW w:w="907" w:type="dxa"/>
          </w:tcPr>
          <w:p w14:paraId="2A5F8556" w14:textId="77777777" w:rsidR="004D42F9" w:rsidRDefault="004D42F9">
            <w:pPr>
              <w:cnfStyle w:val="000000000000" w:firstRow="0" w:lastRow="0" w:firstColumn="0" w:lastColumn="0" w:oddVBand="0" w:evenVBand="0" w:oddHBand="0" w:evenHBand="0" w:firstRowFirstColumn="0" w:firstRowLastColumn="0" w:lastRowFirstColumn="0" w:lastRowLastColumn="0"/>
            </w:pPr>
            <w:r>
              <w:t>3 221</w:t>
            </w:r>
          </w:p>
        </w:tc>
        <w:tc>
          <w:tcPr>
            <w:tcW w:w="907" w:type="dxa"/>
          </w:tcPr>
          <w:p w14:paraId="2D8AF369" w14:textId="77777777" w:rsidR="004D42F9" w:rsidRDefault="004D42F9">
            <w:pPr>
              <w:cnfStyle w:val="000000000000" w:firstRow="0" w:lastRow="0" w:firstColumn="0" w:lastColumn="0" w:oddVBand="0" w:evenVBand="0" w:oddHBand="0" w:evenHBand="0" w:firstRowFirstColumn="0" w:firstRowLastColumn="0" w:lastRowFirstColumn="0" w:lastRowLastColumn="0"/>
            </w:pPr>
            <w:r>
              <w:t>3 069</w:t>
            </w:r>
          </w:p>
        </w:tc>
        <w:tc>
          <w:tcPr>
            <w:tcW w:w="965" w:type="dxa"/>
          </w:tcPr>
          <w:p w14:paraId="46A8D258" w14:textId="77777777" w:rsidR="004D42F9" w:rsidRDefault="004D42F9">
            <w:pPr>
              <w:cnfStyle w:val="000000000000" w:firstRow="0" w:lastRow="0" w:firstColumn="0" w:lastColumn="0" w:oddVBand="0" w:evenVBand="0" w:oddHBand="0" w:evenHBand="0" w:firstRowFirstColumn="0" w:firstRowLastColumn="0" w:lastRowFirstColumn="0" w:lastRowLastColumn="0"/>
            </w:pPr>
            <w:r>
              <w:t>3 221</w:t>
            </w:r>
          </w:p>
        </w:tc>
        <w:tc>
          <w:tcPr>
            <w:tcW w:w="849" w:type="dxa"/>
          </w:tcPr>
          <w:p w14:paraId="559A5395" w14:textId="77777777" w:rsidR="004D42F9" w:rsidRDefault="004D42F9">
            <w:pPr>
              <w:cnfStyle w:val="000000000000" w:firstRow="0" w:lastRow="0" w:firstColumn="0" w:lastColumn="0" w:oddVBand="0" w:evenVBand="0" w:oddHBand="0" w:evenHBand="0" w:firstRowFirstColumn="0" w:firstRowLastColumn="0" w:lastRowFirstColumn="0" w:lastRowLastColumn="0"/>
            </w:pPr>
            <w:r>
              <w:t>3 068</w:t>
            </w:r>
          </w:p>
        </w:tc>
      </w:tr>
      <w:tr w:rsidR="004D42F9" w14:paraId="2CC6E79E" w14:textId="77777777">
        <w:tc>
          <w:tcPr>
            <w:cnfStyle w:val="001000000000" w:firstRow="0" w:lastRow="0" w:firstColumn="1" w:lastColumn="0" w:oddVBand="0" w:evenVBand="0" w:oddHBand="0" w:evenHBand="0" w:firstRowFirstColumn="0" w:firstRowLastColumn="0" w:lastRowFirstColumn="0" w:lastRowLastColumn="0"/>
            <w:tcW w:w="6010" w:type="dxa"/>
          </w:tcPr>
          <w:p w14:paraId="437DEFBB" w14:textId="77777777" w:rsidR="004D42F9" w:rsidRDefault="004D42F9">
            <w:r>
              <w:t>Local government (including grants for on</w:t>
            </w:r>
            <w:r>
              <w:noBreakHyphen/>
              <w:t>passing)</w:t>
            </w:r>
          </w:p>
        </w:tc>
        <w:tc>
          <w:tcPr>
            <w:tcW w:w="907" w:type="dxa"/>
          </w:tcPr>
          <w:p w14:paraId="5162A609"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1 003</w:t>
            </w:r>
          </w:p>
        </w:tc>
        <w:tc>
          <w:tcPr>
            <w:tcW w:w="907" w:type="dxa"/>
          </w:tcPr>
          <w:p w14:paraId="50887D96" w14:textId="77777777" w:rsidR="004D42F9" w:rsidRDefault="004D42F9">
            <w:pPr>
              <w:cnfStyle w:val="000000000000" w:firstRow="0" w:lastRow="0" w:firstColumn="0" w:lastColumn="0" w:oddVBand="0" w:evenVBand="0" w:oddHBand="0" w:evenHBand="0" w:firstRowFirstColumn="0" w:firstRowLastColumn="0" w:lastRowFirstColumn="0" w:lastRowLastColumn="0"/>
            </w:pPr>
            <w:r>
              <w:t>938</w:t>
            </w:r>
          </w:p>
        </w:tc>
        <w:tc>
          <w:tcPr>
            <w:tcW w:w="965" w:type="dxa"/>
          </w:tcPr>
          <w:p w14:paraId="1F46C6ED"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1 000</w:t>
            </w:r>
          </w:p>
        </w:tc>
        <w:tc>
          <w:tcPr>
            <w:tcW w:w="849" w:type="dxa"/>
          </w:tcPr>
          <w:p w14:paraId="794A26FE" w14:textId="77777777" w:rsidR="004D42F9" w:rsidRDefault="004D42F9">
            <w:pPr>
              <w:cnfStyle w:val="000000000000" w:firstRow="0" w:lastRow="0" w:firstColumn="0" w:lastColumn="0" w:oddVBand="0" w:evenVBand="0" w:oddHBand="0" w:evenHBand="0" w:firstRowFirstColumn="0" w:firstRowLastColumn="0" w:lastRowFirstColumn="0" w:lastRowLastColumn="0"/>
            </w:pPr>
            <w:r>
              <w:t>934</w:t>
            </w:r>
          </w:p>
        </w:tc>
      </w:tr>
      <w:tr w:rsidR="004D42F9" w14:paraId="5DADB7E9" w14:textId="77777777">
        <w:tc>
          <w:tcPr>
            <w:cnfStyle w:val="001000000000" w:firstRow="0" w:lastRow="0" w:firstColumn="1" w:lastColumn="0" w:oddVBand="0" w:evenVBand="0" w:oddHBand="0" w:evenHBand="0" w:firstRowFirstColumn="0" w:firstRowLastColumn="0" w:lastRowFirstColumn="0" w:lastRowLastColumn="0"/>
            <w:tcW w:w="6010" w:type="dxa"/>
          </w:tcPr>
          <w:p w14:paraId="65B0704A" w14:textId="77777777" w:rsidR="004D42F9" w:rsidRDefault="004D42F9">
            <w:r>
              <w:t>Private sector and not</w:t>
            </w:r>
            <w:r>
              <w:noBreakHyphen/>
              <w:t>for</w:t>
            </w:r>
            <w:r>
              <w:noBreakHyphen/>
              <w:t>profit on</w:t>
            </w:r>
            <w:r>
              <w:noBreakHyphen/>
              <w:t>passing</w:t>
            </w:r>
          </w:p>
        </w:tc>
        <w:tc>
          <w:tcPr>
            <w:tcW w:w="907" w:type="dxa"/>
          </w:tcPr>
          <w:p w14:paraId="3CD0A332" w14:textId="77777777" w:rsidR="004D42F9" w:rsidRDefault="004D42F9">
            <w:pPr>
              <w:cnfStyle w:val="000000000000" w:firstRow="0" w:lastRow="0" w:firstColumn="0" w:lastColumn="0" w:oddVBand="0" w:evenVBand="0" w:oddHBand="0" w:evenHBand="0" w:firstRowFirstColumn="0" w:firstRowLastColumn="0" w:lastRowFirstColumn="0" w:lastRowLastColumn="0"/>
            </w:pPr>
            <w:r>
              <w:t>5 465</w:t>
            </w:r>
          </w:p>
        </w:tc>
        <w:tc>
          <w:tcPr>
            <w:tcW w:w="907" w:type="dxa"/>
          </w:tcPr>
          <w:p w14:paraId="2B11869D" w14:textId="77777777" w:rsidR="004D42F9" w:rsidRDefault="004D42F9">
            <w:pPr>
              <w:cnfStyle w:val="000000000000" w:firstRow="0" w:lastRow="0" w:firstColumn="0" w:lastColumn="0" w:oddVBand="0" w:evenVBand="0" w:oddHBand="0" w:evenHBand="0" w:firstRowFirstColumn="0" w:firstRowLastColumn="0" w:lastRowFirstColumn="0" w:lastRowLastColumn="0"/>
            </w:pPr>
            <w:r>
              <w:t>5 086</w:t>
            </w:r>
          </w:p>
        </w:tc>
        <w:tc>
          <w:tcPr>
            <w:tcW w:w="965" w:type="dxa"/>
          </w:tcPr>
          <w:p w14:paraId="5A65F985" w14:textId="77777777" w:rsidR="004D42F9" w:rsidRDefault="004D42F9">
            <w:pPr>
              <w:cnfStyle w:val="000000000000" w:firstRow="0" w:lastRow="0" w:firstColumn="0" w:lastColumn="0" w:oddVBand="0" w:evenVBand="0" w:oddHBand="0" w:evenHBand="0" w:firstRowFirstColumn="0" w:firstRowLastColumn="0" w:lastRowFirstColumn="0" w:lastRowLastColumn="0"/>
            </w:pPr>
            <w:r>
              <w:t>5 465</w:t>
            </w:r>
          </w:p>
        </w:tc>
        <w:tc>
          <w:tcPr>
            <w:tcW w:w="849" w:type="dxa"/>
          </w:tcPr>
          <w:p w14:paraId="15223DE8" w14:textId="77777777" w:rsidR="004D42F9" w:rsidRDefault="004D42F9">
            <w:pPr>
              <w:cnfStyle w:val="000000000000" w:firstRow="0" w:lastRow="0" w:firstColumn="0" w:lastColumn="0" w:oddVBand="0" w:evenVBand="0" w:oddHBand="0" w:evenHBand="0" w:firstRowFirstColumn="0" w:firstRowLastColumn="0" w:lastRowFirstColumn="0" w:lastRowLastColumn="0"/>
            </w:pPr>
            <w:r>
              <w:t>5 086</w:t>
            </w:r>
          </w:p>
        </w:tc>
      </w:tr>
      <w:tr w:rsidR="004D42F9" w14:paraId="17D3EB54" w14:textId="77777777">
        <w:tc>
          <w:tcPr>
            <w:cnfStyle w:val="001000000000" w:firstRow="0" w:lastRow="0" w:firstColumn="1" w:lastColumn="0" w:oddVBand="0" w:evenVBand="0" w:oddHBand="0" w:evenHBand="0" w:firstRowFirstColumn="0" w:firstRowLastColumn="0" w:lastRowFirstColumn="0" w:lastRowLastColumn="0"/>
            <w:tcW w:w="6010" w:type="dxa"/>
          </w:tcPr>
          <w:p w14:paraId="6C753C2F" w14:textId="77777777" w:rsidR="004D42F9" w:rsidRDefault="004D42F9">
            <w:r>
              <w:t>Other private sector and not</w:t>
            </w:r>
            <w:r>
              <w:noBreakHyphen/>
              <w:t>for</w:t>
            </w:r>
            <w:r>
              <w:noBreakHyphen/>
              <w:t>profit</w:t>
            </w:r>
          </w:p>
        </w:tc>
        <w:tc>
          <w:tcPr>
            <w:tcW w:w="907" w:type="dxa"/>
          </w:tcPr>
          <w:p w14:paraId="6892CF68" w14:textId="77777777" w:rsidR="004D42F9" w:rsidRDefault="004D42F9">
            <w:pPr>
              <w:cnfStyle w:val="000000000000" w:firstRow="0" w:lastRow="0" w:firstColumn="0" w:lastColumn="0" w:oddVBand="0" w:evenVBand="0" w:oddHBand="0" w:evenHBand="0" w:firstRowFirstColumn="0" w:firstRowLastColumn="0" w:lastRowFirstColumn="0" w:lastRowLastColumn="0"/>
            </w:pPr>
            <w:r>
              <w:t>4 403</w:t>
            </w:r>
          </w:p>
        </w:tc>
        <w:tc>
          <w:tcPr>
            <w:tcW w:w="907" w:type="dxa"/>
          </w:tcPr>
          <w:p w14:paraId="632BBE31" w14:textId="77777777" w:rsidR="004D42F9" w:rsidRDefault="004D42F9">
            <w:pPr>
              <w:cnfStyle w:val="000000000000" w:firstRow="0" w:lastRow="0" w:firstColumn="0" w:lastColumn="0" w:oddVBand="0" w:evenVBand="0" w:oddHBand="0" w:evenHBand="0" w:firstRowFirstColumn="0" w:firstRowLastColumn="0" w:lastRowFirstColumn="0" w:lastRowLastColumn="0"/>
            </w:pPr>
            <w:r>
              <w:t>4 404</w:t>
            </w:r>
          </w:p>
        </w:tc>
        <w:tc>
          <w:tcPr>
            <w:tcW w:w="965" w:type="dxa"/>
          </w:tcPr>
          <w:p w14:paraId="202C4FD8" w14:textId="77777777" w:rsidR="004D42F9" w:rsidRDefault="004D42F9">
            <w:pPr>
              <w:cnfStyle w:val="000000000000" w:firstRow="0" w:lastRow="0" w:firstColumn="0" w:lastColumn="0" w:oddVBand="0" w:evenVBand="0" w:oddHBand="0" w:evenHBand="0" w:firstRowFirstColumn="0" w:firstRowLastColumn="0" w:lastRowFirstColumn="0" w:lastRowLastColumn="0"/>
            </w:pPr>
            <w:r>
              <w:t>4 347</w:t>
            </w:r>
          </w:p>
        </w:tc>
        <w:tc>
          <w:tcPr>
            <w:tcW w:w="849" w:type="dxa"/>
          </w:tcPr>
          <w:p w14:paraId="5EFFD67A" w14:textId="77777777" w:rsidR="004D42F9" w:rsidRDefault="004D42F9">
            <w:pPr>
              <w:cnfStyle w:val="000000000000" w:firstRow="0" w:lastRow="0" w:firstColumn="0" w:lastColumn="0" w:oddVBand="0" w:evenVBand="0" w:oddHBand="0" w:evenHBand="0" w:firstRowFirstColumn="0" w:firstRowLastColumn="0" w:lastRowFirstColumn="0" w:lastRowLastColumn="0"/>
            </w:pPr>
            <w:r>
              <w:t>4 350</w:t>
            </w:r>
          </w:p>
        </w:tc>
      </w:tr>
      <w:tr w:rsidR="004D42F9" w14:paraId="6A061343" w14:textId="77777777">
        <w:tc>
          <w:tcPr>
            <w:cnfStyle w:val="001000000000" w:firstRow="0" w:lastRow="0" w:firstColumn="1" w:lastColumn="0" w:oddVBand="0" w:evenVBand="0" w:oddHBand="0" w:evenHBand="0" w:firstRowFirstColumn="0" w:firstRowLastColumn="0" w:lastRowFirstColumn="0" w:lastRowLastColumn="0"/>
            <w:tcW w:w="6010" w:type="dxa"/>
          </w:tcPr>
          <w:p w14:paraId="37F7A34C" w14:textId="77777777" w:rsidR="004D42F9" w:rsidRDefault="004D42F9">
            <w:r>
              <w:t>Grants within the Victorian Government</w:t>
            </w:r>
          </w:p>
        </w:tc>
        <w:tc>
          <w:tcPr>
            <w:tcW w:w="907" w:type="dxa"/>
          </w:tcPr>
          <w:p w14:paraId="324073C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A6529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20BC2927" w14:textId="77777777" w:rsidR="004D42F9" w:rsidRDefault="004D42F9">
            <w:pPr>
              <w:cnfStyle w:val="000000000000" w:firstRow="0" w:lastRow="0" w:firstColumn="0" w:lastColumn="0" w:oddVBand="0" w:evenVBand="0" w:oddHBand="0" w:evenHBand="0" w:firstRowFirstColumn="0" w:firstRowLastColumn="0" w:lastRowFirstColumn="0" w:lastRowLastColumn="0"/>
            </w:pPr>
            <w:r>
              <w:t>2 533</w:t>
            </w:r>
          </w:p>
        </w:tc>
        <w:tc>
          <w:tcPr>
            <w:tcW w:w="849" w:type="dxa"/>
          </w:tcPr>
          <w:p w14:paraId="6D838805" w14:textId="77777777" w:rsidR="004D42F9" w:rsidRDefault="004D42F9">
            <w:pPr>
              <w:cnfStyle w:val="000000000000" w:firstRow="0" w:lastRow="0" w:firstColumn="0" w:lastColumn="0" w:oddVBand="0" w:evenVBand="0" w:oddHBand="0" w:evenHBand="0" w:firstRowFirstColumn="0" w:firstRowLastColumn="0" w:lastRowFirstColumn="0" w:lastRowLastColumn="0"/>
            </w:pPr>
            <w:r>
              <w:t>2 409</w:t>
            </w:r>
          </w:p>
        </w:tc>
      </w:tr>
      <w:tr w:rsidR="004D42F9" w14:paraId="30E29BD7"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61DDD77" w14:textId="77777777" w:rsidR="004D42F9" w:rsidRDefault="004D42F9">
            <w:r>
              <w:t>Grants to other state governments</w:t>
            </w:r>
          </w:p>
        </w:tc>
        <w:tc>
          <w:tcPr>
            <w:tcW w:w="907" w:type="dxa"/>
            <w:tcBorders>
              <w:bottom w:val="single" w:sz="6" w:space="0" w:color="auto"/>
            </w:tcBorders>
          </w:tcPr>
          <w:p w14:paraId="42C5D5D4" w14:textId="77777777" w:rsidR="004D42F9" w:rsidRDefault="004D42F9">
            <w:pPr>
              <w:cnfStyle w:val="000000000000" w:firstRow="0" w:lastRow="0" w:firstColumn="0" w:lastColumn="0" w:oddVBand="0" w:evenVBand="0" w:oddHBand="0" w:evenHBand="0" w:firstRowFirstColumn="0" w:firstRowLastColumn="0" w:lastRowFirstColumn="0" w:lastRowLastColumn="0"/>
            </w:pPr>
            <w:r>
              <w:t>107</w:t>
            </w:r>
          </w:p>
        </w:tc>
        <w:tc>
          <w:tcPr>
            <w:tcW w:w="907" w:type="dxa"/>
            <w:tcBorders>
              <w:bottom w:val="single" w:sz="6" w:space="0" w:color="auto"/>
            </w:tcBorders>
          </w:tcPr>
          <w:p w14:paraId="3AA8F750" w14:textId="77777777" w:rsidR="004D42F9" w:rsidRDefault="004D42F9">
            <w:pPr>
              <w:cnfStyle w:val="000000000000" w:firstRow="0" w:lastRow="0" w:firstColumn="0" w:lastColumn="0" w:oddVBand="0" w:evenVBand="0" w:oddHBand="0" w:evenHBand="0" w:firstRowFirstColumn="0" w:firstRowLastColumn="0" w:lastRowFirstColumn="0" w:lastRowLastColumn="0"/>
            </w:pPr>
            <w:r>
              <w:t>26</w:t>
            </w:r>
          </w:p>
        </w:tc>
        <w:tc>
          <w:tcPr>
            <w:tcW w:w="965" w:type="dxa"/>
            <w:tcBorders>
              <w:bottom w:val="single" w:sz="6" w:space="0" w:color="auto"/>
            </w:tcBorders>
          </w:tcPr>
          <w:p w14:paraId="7F2494F8" w14:textId="77777777" w:rsidR="004D42F9" w:rsidRDefault="004D42F9">
            <w:pPr>
              <w:cnfStyle w:val="000000000000" w:firstRow="0" w:lastRow="0" w:firstColumn="0" w:lastColumn="0" w:oddVBand="0" w:evenVBand="0" w:oddHBand="0" w:evenHBand="0" w:firstRowFirstColumn="0" w:firstRowLastColumn="0" w:lastRowFirstColumn="0" w:lastRowLastColumn="0"/>
            </w:pPr>
            <w:r>
              <w:t>107</w:t>
            </w:r>
          </w:p>
        </w:tc>
        <w:tc>
          <w:tcPr>
            <w:tcW w:w="849" w:type="dxa"/>
            <w:tcBorders>
              <w:bottom w:val="single" w:sz="6" w:space="0" w:color="auto"/>
            </w:tcBorders>
          </w:tcPr>
          <w:p w14:paraId="3973F74A"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r>
      <w:tr w:rsidR="004D42F9" w14:paraId="29C5AFBB"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0081454D" w14:textId="77777777" w:rsidR="004D42F9" w:rsidRDefault="004D42F9">
            <w:r>
              <w:rPr>
                <w:b/>
              </w:rPr>
              <w:t>Total current grant expense</w:t>
            </w:r>
          </w:p>
        </w:tc>
        <w:tc>
          <w:tcPr>
            <w:tcW w:w="907" w:type="dxa"/>
            <w:tcBorders>
              <w:top w:val="single" w:sz="6" w:space="0" w:color="auto"/>
              <w:bottom w:val="single" w:sz="6" w:space="0" w:color="auto"/>
            </w:tcBorders>
          </w:tcPr>
          <w:p w14:paraId="7A4C454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14 199</w:t>
            </w:r>
          </w:p>
        </w:tc>
        <w:tc>
          <w:tcPr>
            <w:tcW w:w="907" w:type="dxa"/>
            <w:tcBorders>
              <w:top w:val="single" w:sz="6" w:space="0" w:color="auto"/>
              <w:bottom w:val="single" w:sz="6" w:space="0" w:color="auto"/>
            </w:tcBorders>
          </w:tcPr>
          <w:p w14:paraId="5B0BB3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13 524</w:t>
            </w:r>
          </w:p>
        </w:tc>
        <w:tc>
          <w:tcPr>
            <w:tcW w:w="965" w:type="dxa"/>
            <w:tcBorders>
              <w:top w:val="single" w:sz="6" w:space="0" w:color="auto"/>
              <w:bottom w:val="single" w:sz="6" w:space="0" w:color="auto"/>
            </w:tcBorders>
          </w:tcPr>
          <w:p w14:paraId="6AE7A10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16 673</w:t>
            </w:r>
          </w:p>
        </w:tc>
        <w:tc>
          <w:tcPr>
            <w:tcW w:w="849" w:type="dxa"/>
            <w:tcBorders>
              <w:top w:val="single" w:sz="6" w:space="0" w:color="auto"/>
              <w:bottom w:val="single" w:sz="6" w:space="0" w:color="auto"/>
            </w:tcBorders>
          </w:tcPr>
          <w:p w14:paraId="531A0F3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15 872</w:t>
            </w:r>
          </w:p>
        </w:tc>
      </w:tr>
      <w:tr w:rsidR="004D42F9" w14:paraId="3718731F"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FF3661D" w14:textId="77777777" w:rsidR="004D42F9" w:rsidRDefault="004D42F9">
            <w:r>
              <w:rPr>
                <w:b/>
              </w:rPr>
              <w:t>Capital grant expense</w:t>
            </w:r>
          </w:p>
        </w:tc>
        <w:tc>
          <w:tcPr>
            <w:tcW w:w="907" w:type="dxa"/>
            <w:tcBorders>
              <w:top w:val="single" w:sz="6" w:space="0" w:color="auto"/>
            </w:tcBorders>
          </w:tcPr>
          <w:p w14:paraId="57A11D7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AF3F0D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65" w:type="dxa"/>
            <w:tcBorders>
              <w:top w:val="single" w:sz="6" w:space="0" w:color="auto"/>
            </w:tcBorders>
          </w:tcPr>
          <w:p w14:paraId="5B6A373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14D47EF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B69CD59" w14:textId="77777777">
        <w:tc>
          <w:tcPr>
            <w:cnfStyle w:val="001000000000" w:firstRow="0" w:lastRow="0" w:firstColumn="1" w:lastColumn="0" w:oddVBand="0" w:evenVBand="0" w:oddHBand="0" w:evenHBand="0" w:firstRowFirstColumn="0" w:firstRowLastColumn="0" w:lastRowFirstColumn="0" w:lastRowLastColumn="0"/>
            <w:tcW w:w="6010" w:type="dxa"/>
          </w:tcPr>
          <w:p w14:paraId="4005437B" w14:textId="77777777" w:rsidR="004D42F9" w:rsidRDefault="004D42F9">
            <w:r>
              <w:t>Local government (including grants for on</w:t>
            </w:r>
            <w:r>
              <w:noBreakHyphen/>
              <w:t>passing)</w:t>
            </w:r>
          </w:p>
        </w:tc>
        <w:tc>
          <w:tcPr>
            <w:tcW w:w="907" w:type="dxa"/>
          </w:tcPr>
          <w:p w14:paraId="24FA89A5" w14:textId="77777777" w:rsidR="004D42F9" w:rsidRDefault="004D42F9">
            <w:pPr>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3A7F4F1E" w14:textId="77777777" w:rsidR="004D42F9" w:rsidRDefault="004D42F9">
            <w:pPr>
              <w:cnfStyle w:val="000000000000" w:firstRow="0" w:lastRow="0" w:firstColumn="0" w:lastColumn="0" w:oddVBand="0" w:evenVBand="0" w:oddHBand="0" w:evenHBand="0" w:firstRowFirstColumn="0" w:firstRowLastColumn="0" w:lastRowFirstColumn="0" w:lastRowLastColumn="0"/>
            </w:pPr>
            <w:r>
              <w:t>165</w:t>
            </w:r>
          </w:p>
        </w:tc>
        <w:tc>
          <w:tcPr>
            <w:tcW w:w="965" w:type="dxa"/>
          </w:tcPr>
          <w:p w14:paraId="410AF303" w14:textId="77777777" w:rsidR="004D42F9" w:rsidRDefault="004D42F9">
            <w:pPr>
              <w:cnfStyle w:val="000000000000" w:firstRow="0" w:lastRow="0" w:firstColumn="0" w:lastColumn="0" w:oddVBand="0" w:evenVBand="0" w:oddHBand="0" w:evenHBand="0" w:firstRowFirstColumn="0" w:firstRowLastColumn="0" w:lastRowFirstColumn="0" w:lastRowLastColumn="0"/>
            </w:pPr>
            <w:r>
              <w:t>204</w:t>
            </w:r>
          </w:p>
        </w:tc>
        <w:tc>
          <w:tcPr>
            <w:tcW w:w="849" w:type="dxa"/>
          </w:tcPr>
          <w:p w14:paraId="5C198E02" w14:textId="77777777" w:rsidR="004D42F9" w:rsidRDefault="004D42F9">
            <w:pPr>
              <w:cnfStyle w:val="000000000000" w:firstRow="0" w:lastRow="0" w:firstColumn="0" w:lastColumn="0" w:oddVBand="0" w:evenVBand="0" w:oddHBand="0" w:evenHBand="0" w:firstRowFirstColumn="0" w:firstRowLastColumn="0" w:lastRowFirstColumn="0" w:lastRowLastColumn="0"/>
            </w:pPr>
            <w:r>
              <w:t>165</w:t>
            </w:r>
          </w:p>
        </w:tc>
      </w:tr>
      <w:tr w:rsidR="004D42F9" w14:paraId="37D96501" w14:textId="77777777">
        <w:tc>
          <w:tcPr>
            <w:cnfStyle w:val="001000000000" w:firstRow="0" w:lastRow="0" w:firstColumn="1" w:lastColumn="0" w:oddVBand="0" w:evenVBand="0" w:oddHBand="0" w:evenHBand="0" w:firstRowFirstColumn="0" w:firstRowLastColumn="0" w:lastRowFirstColumn="0" w:lastRowLastColumn="0"/>
            <w:tcW w:w="6010" w:type="dxa"/>
          </w:tcPr>
          <w:p w14:paraId="04F7BB62" w14:textId="77777777" w:rsidR="004D42F9" w:rsidRDefault="004D42F9">
            <w:r>
              <w:t>Private sector and not</w:t>
            </w:r>
            <w:r>
              <w:noBreakHyphen/>
              <w:t>for</w:t>
            </w:r>
            <w:r>
              <w:noBreakHyphen/>
              <w:t>profit on</w:t>
            </w:r>
            <w:r>
              <w:noBreakHyphen/>
              <w:t>passing</w:t>
            </w:r>
          </w:p>
        </w:tc>
        <w:tc>
          <w:tcPr>
            <w:tcW w:w="907" w:type="dxa"/>
          </w:tcPr>
          <w:p w14:paraId="2EDC4F3B" w14:textId="77777777" w:rsidR="004D42F9" w:rsidRDefault="004D42F9">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54D85FDA" w14:textId="77777777" w:rsidR="004D42F9" w:rsidRDefault="004D42F9">
            <w:pPr>
              <w:cnfStyle w:val="000000000000" w:firstRow="0" w:lastRow="0" w:firstColumn="0" w:lastColumn="0" w:oddVBand="0" w:evenVBand="0" w:oddHBand="0" w:evenHBand="0" w:firstRowFirstColumn="0" w:firstRowLastColumn="0" w:lastRowFirstColumn="0" w:lastRowLastColumn="0"/>
            </w:pPr>
            <w:r>
              <w:t>950</w:t>
            </w:r>
          </w:p>
        </w:tc>
        <w:tc>
          <w:tcPr>
            <w:tcW w:w="965" w:type="dxa"/>
          </w:tcPr>
          <w:p w14:paraId="0BE20ABC" w14:textId="77777777" w:rsidR="004D42F9" w:rsidRDefault="004D42F9">
            <w:pPr>
              <w:cnfStyle w:val="000000000000" w:firstRow="0" w:lastRow="0" w:firstColumn="0" w:lastColumn="0" w:oddVBand="0" w:evenVBand="0" w:oddHBand="0" w:evenHBand="0" w:firstRowFirstColumn="0" w:firstRowLastColumn="0" w:lastRowFirstColumn="0" w:lastRowLastColumn="0"/>
            </w:pPr>
            <w:r>
              <w:t>285</w:t>
            </w:r>
          </w:p>
        </w:tc>
        <w:tc>
          <w:tcPr>
            <w:tcW w:w="849" w:type="dxa"/>
          </w:tcPr>
          <w:p w14:paraId="79C28E48" w14:textId="77777777" w:rsidR="004D42F9" w:rsidRDefault="004D42F9">
            <w:pPr>
              <w:cnfStyle w:val="000000000000" w:firstRow="0" w:lastRow="0" w:firstColumn="0" w:lastColumn="0" w:oddVBand="0" w:evenVBand="0" w:oddHBand="0" w:evenHBand="0" w:firstRowFirstColumn="0" w:firstRowLastColumn="0" w:lastRowFirstColumn="0" w:lastRowLastColumn="0"/>
            </w:pPr>
            <w:r>
              <w:t>554</w:t>
            </w:r>
          </w:p>
        </w:tc>
      </w:tr>
      <w:tr w:rsidR="004D42F9" w14:paraId="3590FDB7" w14:textId="77777777">
        <w:tc>
          <w:tcPr>
            <w:cnfStyle w:val="001000000000" w:firstRow="0" w:lastRow="0" w:firstColumn="1" w:lastColumn="0" w:oddVBand="0" w:evenVBand="0" w:oddHBand="0" w:evenHBand="0" w:firstRowFirstColumn="0" w:firstRowLastColumn="0" w:lastRowFirstColumn="0" w:lastRowLastColumn="0"/>
            <w:tcW w:w="6010" w:type="dxa"/>
          </w:tcPr>
          <w:p w14:paraId="2A04B327" w14:textId="77777777" w:rsidR="004D42F9" w:rsidRDefault="004D42F9">
            <w:r>
              <w:t>Other private sector and not</w:t>
            </w:r>
            <w:r>
              <w:noBreakHyphen/>
              <w:t>for</w:t>
            </w:r>
            <w:r>
              <w:noBreakHyphen/>
              <w:t>profit</w:t>
            </w:r>
            <w:r>
              <w:rPr>
                <w:vertAlign w:val="superscript"/>
              </w:rPr>
              <w:t xml:space="preserve"> </w:t>
            </w:r>
          </w:p>
        </w:tc>
        <w:tc>
          <w:tcPr>
            <w:tcW w:w="907" w:type="dxa"/>
          </w:tcPr>
          <w:p w14:paraId="1159A634" w14:textId="77777777" w:rsidR="004D42F9" w:rsidRDefault="004D42F9">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749D3DC"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65" w:type="dxa"/>
          </w:tcPr>
          <w:p w14:paraId="265176E4" w14:textId="77777777" w:rsidR="004D42F9" w:rsidRDefault="004D42F9">
            <w:pPr>
              <w:cnfStyle w:val="000000000000" w:firstRow="0" w:lastRow="0" w:firstColumn="0" w:lastColumn="0" w:oddVBand="0" w:evenVBand="0" w:oddHBand="0" w:evenHBand="0" w:firstRowFirstColumn="0" w:firstRowLastColumn="0" w:lastRowFirstColumn="0" w:lastRowLastColumn="0"/>
            </w:pPr>
            <w:r>
              <w:t>10</w:t>
            </w:r>
          </w:p>
        </w:tc>
        <w:tc>
          <w:tcPr>
            <w:tcW w:w="849" w:type="dxa"/>
          </w:tcPr>
          <w:p w14:paraId="1E4AC5BF"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7CE4CE1D" w14:textId="77777777">
        <w:tc>
          <w:tcPr>
            <w:cnfStyle w:val="001000000000" w:firstRow="0" w:lastRow="0" w:firstColumn="1" w:lastColumn="0" w:oddVBand="0" w:evenVBand="0" w:oddHBand="0" w:evenHBand="0" w:firstRowFirstColumn="0" w:firstRowLastColumn="0" w:lastRowFirstColumn="0" w:lastRowLastColumn="0"/>
            <w:tcW w:w="6010" w:type="dxa"/>
          </w:tcPr>
          <w:p w14:paraId="16621A58" w14:textId="77777777" w:rsidR="004D42F9" w:rsidRDefault="004D42F9">
            <w:r>
              <w:t>Grants within the Victorian Government</w:t>
            </w:r>
          </w:p>
        </w:tc>
        <w:tc>
          <w:tcPr>
            <w:tcW w:w="907" w:type="dxa"/>
          </w:tcPr>
          <w:p w14:paraId="4C9952A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056CD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82E7F6E"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c>
          <w:tcPr>
            <w:tcW w:w="849" w:type="dxa"/>
          </w:tcPr>
          <w:p w14:paraId="6ADB5F52" w14:textId="77777777" w:rsidR="004D42F9" w:rsidRDefault="004D42F9">
            <w:pPr>
              <w:cnfStyle w:val="000000000000" w:firstRow="0" w:lastRow="0" w:firstColumn="0" w:lastColumn="0" w:oddVBand="0" w:evenVBand="0" w:oddHBand="0" w:evenHBand="0" w:firstRowFirstColumn="0" w:firstRowLastColumn="0" w:lastRowFirstColumn="0" w:lastRowLastColumn="0"/>
            </w:pPr>
            <w:r>
              <w:t>36</w:t>
            </w:r>
          </w:p>
        </w:tc>
      </w:tr>
      <w:tr w:rsidR="004D42F9" w14:paraId="7DA61C91"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0C41C27" w14:textId="77777777" w:rsidR="004D42F9" w:rsidRDefault="004D42F9">
            <w:r>
              <w:t>Other grants</w:t>
            </w:r>
          </w:p>
        </w:tc>
        <w:tc>
          <w:tcPr>
            <w:tcW w:w="907" w:type="dxa"/>
            <w:tcBorders>
              <w:bottom w:val="single" w:sz="6" w:space="0" w:color="auto"/>
            </w:tcBorders>
          </w:tcPr>
          <w:p w14:paraId="2E78FA7B" w14:textId="77777777" w:rsidR="004D42F9" w:rsidRDefault="004D42F9">
            <w:pPr>
              <w:cnfStyle w:val="000000000000" w:firstRow="0" w:lastRow="0" w:firstColumn="0" w:lastColumn="0" w:oddVBand="0" w:evenVBand="0" w:oddHBand="0" w:evenHBand="0" w:firstRowFirstColumn="0" w:firstRowLastColumn="0" w:lastRowFirstColumn="0" w:lastRowLastColumn="0"/>
            </w:pPr>
            <w:r>
              <w:t>74</w:t>
            </w:r>
          </w:p>
        </w:tc>
        <w:tc>
          <w:tcPr>
            <w:tcW w:w="907" w:type="dxa"/>
            <w:tcBorders>
              <w:bottom w:val="single" w:sz="6" w:space="0" w:color="auto"/>
            </w:tcBorders>
          </w:tcPr>
          <w:p w14:paraId="722E1354" w14:textId="77777777" w:rsidR="004D42F9" w:rsidRDefault="004D42F9">
            <w:pPr>
              <w:cnfStyle w:val="000000000000" w:firstRow="0" w:lastRow="0" w:firstColumn="0" w:lastColumn="0" w:oddVBand="0" w:evenVBand="0" w:oddHBand="0" w:evenHBand="0" w:firstRowFirstColumn="0" w:firstRowLastColumn="0" w:lastRowFirstColumn="0" w:lastRowLastColumn="0"/>
            </w:pPr>
            <w:r>
              <w:t>83</w:t>
            </w:r>
          </w:p>
        </w:tc>
        <w:tc>
          <w:tcPr>
            <w:tcW w:w="965" w:type="dxa"/>
            <w:tcBorders>
              <w:bottom w:val="single" w:sz="6" w:space="0" w:color="auto"/>
            </w:tcBorders>
          </w:tcPr>
          <w:p w14:paraId="6CA864C4"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c>
          <w:tcPr>
            <w:tcW w:w="849" w:type="dxa"/>
            <w:tcBorders>
              <w:bottom w:val="single" w:sz="6" w:space="0" w:color="auto"/>
            </w:tcBorders>
          </w:tcPr>
          <w:p w14:paraId="132E98BC" w14:textId="77777777" w:rsidR="004D42F9" w:rsidRDefault="004D42F9">
            <w:pPr>
              <w:cnfStyle w:val="000000000000" w:firstRow="0" w:lastRow="0" w:firstColumn="0" w:lastColumn="0" w:oddVBand="0" w:evenVBand="0" w:oddHBand="0" w:evenHBand="0" w:firstRowFirstColumn="0" w:firstRowLastColumn="0" w:lastRowFirstColumn="0" w:lastRowLastColumn="0"/>
            </w:pPr>
            <w:r>
              <w:t>47</w:t>
            </w:r>
          </w:p>
        </w:tc>
      </w:tr>
      <w:tr w:rsidR="004D42F9" w14:paraId="58ABF334"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8A2D053" w14:textId="77777777" w:rsidR="004D42F9" w:rsidRDefault="004D42F9">
            <w:r>
              <w:rPr>
                <w:b/>
              </w:rPr>
              <w:t>Total capital grant expense</w:t>
            </w:r>
          </w:p>
        </w:tc>
        <w:tc>
          <w:tcPr>
            <w:tcW w:w="907" w:type="dxa"/>
            <w:tcBorders>
              <w:top w:val="single" w:sz="6" w:space="0" w:color="auto"/>
              <w:bottom w:val="single" w:sz="6" w:space="0" w:color="auto"/>
            </w:tcBorders>
          </w:tcPr>
          <w:p w14:paraId="491EDE7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846</w:t>
            </w:r>
          </w:p>
        </w:tc>
        <w:tc>
          <w:tcPr>
            <w:tcW w:w="907" w:type="dxa"/>
            <w:tcBorders>
              <w:top w:val="single" w:sz="6" w:space="0" w:color="auto"/>
              <w:bottom w:val="single" w:sz="6" w:space="0" w:color="auto"/>
            </w:tcBorders>
          </w:tcPr>
          <w:p w14:paraId="404A2F3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1 198</w:t>
            </w:r>
          </w:p>
        </w:tc>
        <w:tc>
          <w:tcPr>
            <w:tcW w:w="965" w:type="dxa"/>
            <w:tcBorders>
              <w:top w:val="single" w:sz="6" w:space="0" w:color="auto"/>
              <w:bottom w:val="single" w:sz="6" w:space="0" w:color="auto"/>
            </w:tcBorders>
          </w:tcPr>
          <w:p w14:paraId="79010CB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548</w:t>
            </w:r>
          </w:p>
        </w:tc>
        <w:tc>
          <w:tcPr>
            <w:tcW w:w="849" w:type="dxa"/>
            <w:tcBorders>
              <w:top w:val="single" w:sz="6" w:space="0" w:color="auto"/>
              <w:bottom w:val="single" w:sz="6" w:space="0" w:color="auto"/>
            </w:tcBorders>
          </w:tcPr>
          <w:p w14:paraId="3852B9B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803</w:t>
            </w:r>
          </w:p>
        </w:tc>
      </w:tr>
      <w:tr w:rsidR="004D42F9" w14:paraId="540FAA62"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79DFB8A" w14:textId="77777777" w:rsidR="004D42F9" w:rsidRDefault="004D42F9">
            <w:r>
              <w:rPr>
                <w:b/>
              </w:rPr>
              <w:t>Total grant expense</w:t>
            </w:r>
          </w:p>
        </w:tc>
        <w:tc>
          <w:tcPr>
            <w:tcW w:w="907" w:type="dxa"/>
            <w:tcBorders>
              <w:top w:val="single" w:sz="6" w:space="0" w:color="auto"/>
              <w:bottom w:val="single" w:sz="12" w:space="0" w:color="auto"/>
            </w:tcBorders>
          </w:tcPr>
          <w:p w14:paraId="62C7BB5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15 045</w:t>
            </w:r>
          </w:p>
        </w:tc>
        <w:tc>
          <w:tcPr>
            <w:tcW w:w="907" w:type="dxa"/>
            <w:tcBorders>
              <w:top w:val="single" w:sz="6" w:space="0" w:color="auto"/>
              <w:bottom w:val="single" w:sz="12" w:space="0" w:color="auto"/>
            </w:tcBorders>
          </w:tcPr>
          <w:p w14:paraId="2369F8A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14 721</w:t>
            </w:r>
          </w:p>
        </w:tc>
        <w:tc>
          <w:tcPr>
            <w:tcW w:w="965" w:type="dxa"/>
            <w:tcBorders>
              <w:top w:val="single" w:sz="6" w:space="0" w:color="auto"/>
              <w:bottom w:val="single" w:sz="12" w:space="0" w:color="auto"/>
            </w:tcBorders>
          </w:tcPr>
          <w:p w14:paraId="3374090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17 221</w:t>
            </w:r>
          </w:p>
        </w:tc>
        <w:tc>
          <w:tcPr>
            <w:tcW w:w="849" w:type="dxa"/>
            <w:tcBorders>
              <w:top w:val="single" w:sz="6" w:space="0" w:color="auto"/>
              <w:bottom w:val="single" w:sz="12" w:space="0" w:color="auto"/>
            </w:tcBorders>
          </w:tcPr>
          <w:p w14:paraId="058B82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16 675</w:t>
            </w:r>
          </w:p>
        </w:tc>
      </w:tr>
    </w:tbl>
    <w:p w14:paraId="78085E18" w14:textId="77777777" w:rsidR="004D42F9" w:rsidRPr="00902E5F" w:rsidRDefault="004D42F9" w:rsidP="004D42F9">
      <w:pPr>
        <w:pStyle w:val="Note"/>
        <w:ind w:left="0" w:firstLine="0"/>
        <w:rPr>
          <w:highlight w:val="yellow"/>
        </w:rPr>
      </w:pPr>
    </w:p>
    <w:p w14:paraId="48EB0914" w14:textId="77777777" w:rsidR="00D41447" w:rsidRDefault="00D41447" w:rsidP="004D42F9">
      <w:pPr>
        <w:sectPr w:rsidR="00D41447" w:rsidSect="008623A6">
          <w:type w:val="continuous"/>
          <w:pgSz w:w="11906" w:h="16838" w:code="9"/>
          <w:pgMar w:top="1134" w:right="1134" w:bottom="1134" w:left="1134" w:header="624" w:footer="567" w:gutter="0"/>
          <w:cols w:space="708"/>
          <w:docGrid w:linePitch="360"/>
        </w:sectPr>
      </w:pPr>
    </w:p>
    <w:p w14:paraId="740EBF85" w14:textId="77777777" w:rsidR="004D42F9" w:rsidRDefault="004D42F9" w:rsidP="004D42F9">
      <w:r>
        <w:t>Grants expenses to third parties are recognised as an expense in the reporting period in which they are paid or payable.</w:t>
      </w:r>
    </w:p>
    <w:p w14:paraId="74D63472" w14:textId="77777777" w:rsidR="004D42F9" w:rsidRDefault="004D42F9" w:rsidP="004D42F9">
      <w:r>
        <w:t xml:space="preserve">They include transactions such as grants, subsidies, personal benefit payments made in cash to individuals, and other transfer payments made to local government, non-government schools and community groups. </w:t>
      </w:r>
    </w:p>
    <w:p w14:paraId="58A6DF3E" w14:textId="77777777" w:rsidR="004D42F9" w:rsidRDefault="004D42F9" w:rsidP="004D42F9">
      <w:r>
        <w:t>For the general government sector, these include grants and transfer payments to public non-financial corporations and public financial corporations.</w:t>
      </w:r>
    </w:p>
    <w:p w14:paraId="7BC81F9A" w14:textId="77777777" w:rsidR="00D41447" w:rsidRDefault="00D41447" w:rsidP="004D42F9">
      <w:pPr>
        <w:sectPr w:rsidR="00D41447" w:rsidSect="00D41447">
          <w:type w:val="continuous"/>
          <w:pgSz w:w="11906" w:h="16838" w:code="9"/>
          <w:pgMar w:top="1134" w:right="1134" w:bottom="1134" w:left="1134" w:header="624" w:footer="567" w:gutter="0"/>
          <w:cols w:num="2" w:space="708"/>
          <w:docGrid w:linePitch="360"/>
        </w:sectPr>
      </w:pPr>
    </w:p>
    <w:p w14:paraId="694B7649" w14:textId="77777777" w:rsidR="004D42F9" w:rsidRDefault="004D42F9" w:rsidP="00D41447">
      <w:pPr>
        <w:pStyle w:val="Heading2"/>
        <w:spacing w:before="0"/>
      </w:pPr>
      <w:bookmarkStart w:id="79" w:name="_Toc209476187"/>
      <w:r>
        <w:lastRenderedPageBreak/>
        <w:t>3.5</w:t>
      </w:r>
      <w:r>
        <w:tab/>
        <w:t>Other operating expenses</w:t>
      </w:r>
      <w:bookmarkEnd w:id="79"/>
      <w:r>
        <w:t xml:space="preserve"> </w:t>
      </w:r>
    </w:p>
    <w:p w14:paraId="0F05AE35"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Other_operating_expenses"/>
      </w:tblPr>
      <w:tblGrid>
        <w:gridCol w:w="6010"/>
        <w:gridCol w:w="907"/>
        <w:gridCol w:w="907"/>
        <w:gridCol w:w="907"/>
        <w:gridCol w:w="907"/>
      </w:tblGrid>
      <w:tr w:rsidR="004D42F9" w14:paraId="0931649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7F8D901" w14:textId="77777777" w:rsidR="004D42F9" w:rsidRDefault="004D42F9">
            <w:pPr>
              <w:keepNext/>
            </w:pPr>
          </w:p>
        </w:tc>
        <w:tc>
          <w:tcPr>
            <w:tcW w:w="1814" w:type="dxa"/>
            <w:gridSpan w:val="2"/>
          </w:tcPr>
          <w:p w14:paraId="50A9EC94"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1E5D53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1109CB0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6ECC4E1" w14:textId="77777777" w:rsidR="004D42F9" w:rsidRDefault="004D42F9">
            <w:pPr>
              <w:keepNext/>
            </w:pPr>
          </w:p>
        </w:tc>
        <w:tc>
          <w:tcPr>
            <w:tcW w:w="907" w:type="dxa"/>
          </w:tcPr>
          <w:p w14:paraId="0449C54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D2210F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EF14A8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9C476A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4836C84" w14:textId="77777777">
        <w:tc>
          <w:tcPr>
            <w:cnfStyle w:val="001000000000" w:firstRow="0" w:lastRow="0" w:firstColumn="1" w:lastColumn="0" w:oddVBand="0" w:evenVBand="0" w:oddHBand="0" w:evenHBand="0" w:firstRowFirstColumn="0" w:firstRowLastColumn="0" w:lastRowFirstColumn="0" w:lastRowLastColumn="0"/>
            <w:tcW w:w="6010" w:type="dxa"/>
          </w:tcPr>
          <w:p w14:paraId="3FBF8365" w14:textId="77777777" w:rsidR="004D42F9" w:rsidRDefault="004D42F9">
            <w:r>
              <w:t>Purchase of supplies and consumables</w:t>
            </w:r>
            <w:r>
              <w:rPr>
                <w:vertAlign w:val="superscript"/>
              </w:rPr>
              <w:t xml:space="preserve"> (a)</w:t>
            </w:r>
          </w:p>
        </w:tc>
        <w:tc>
          <w:tcPr>
            <w:tcW w:w="907" w:type="dxa"/>
          </w:tcPr>
          <w:p w14:paraId="31209315" w14:textId="77777777" w:rsidR="004D42F9" w:rsidRDefault="004D42F9">
            <w:pPr>
              <w:cnfStyle w:val="000000000000" w:firstRow="0" w:lastRow="0" w:firstColumn="0" w:lastColumn="0" w:oddVBand="0" w:evenVBand="0" w:oddHBand="0" w:evenHBand="0" w:firstRowFirstColumn="0" w:firstRowLastColumn="0" w:lastRowFirstColumn="0" w:lastRowLastColumn="0"/>
            </w:pPr>
            <w:r>
              <w:t>7 182</w:t>
            </w:r>
          </w:p>
        </w:tc>
        <w:tc>
          <w:tcPr>
            <w:tcW w:w="907" w:type="dxa"/>
          </w:tcPr>
          <w:p w14:paraId="49B75ADB" w14:textId="77777777" w:rsidR="004D42F9" w:rsidRDefault="004D42F9">
            <w:pPr>
              <w:cnfStyle w:val="000000000000" w:firstRow="0" w:lastRow="0" w:firstColumn="0" w:lastColumn="0" w:oddVBand="0" w:evenVBand="0" w:oddHBand="0" w:evenHBand="0" w:firstRowFirstColumn="0" w:firstRowLastColumn="0" w:lastRowFirstColumn="0" w:lastRowLastColumn="0"/>
            </w:pPr>
            <w:r>
              <w:t>6 246</w:t>
            </w:r>
          </w:p>
        </w:tc>
        <w:tc>
          <w:tcPr>
            <w:tcW w:w="907" w:type="dxa"/>
          </w:tcPr>
          <w:p w14:paraId="1A254F50" w14:textId="77777777" w:rsidR="004D42F9" w:rsidRDefault="004D42F9">
            <w:pPr>
              <w:cnfStyle w:val="000000000000" w:firstRow="0" w:lastRow="0" w:firstColumn="0" w:lastColumn="0" w:oddVBand="0" w:evenVBand="0" w:oddHBand="0" w:evenHBand="0" w:firstRowFirstColumn="0" w:firstRowLastColumn="0" w:lastRowFirstColumn="0" w:lastRowLastColumn="0"/>
            </w:pPr>
            <w:r>
              <w:t>6 068</w:t>
            </w:r>
          </w:p>
        </w:tc>
        <w:tc>
          <w:tcPr>
            <w:tcW w:w="907" w:type="dxa"/>
          </w:tcPr>
          <w:p w14:paraId="24607C0B" w14:textId="77777777" w:rsidR="004D42F9" w:rsidRDefault="004D42F9">
            <w:pPr>
              <w:cnfStyle w:val="000000000000" w:firstRow="0" w:lastRow="0" w:firstColumn="0" w:lastColumn="0" w:oddVBand="0" w:evenVBand="0" w:oddHBand="0" w:evenHBand="0" w:firstRowFirstColumn="0" w:firstRowLastColumn="0" w:lastRowFirstColumn="0" w:lastRowLastColumn="0"/>
            </w:pPr>
            <w:r>
              <w:t>5 308</w:t>
            </w:r>
          </w:p>
        </w:tc>
      </w:tr>
      <w:tr w:rsidR="004D42F9" w14:paraId="5495CF95" w14:textId="77777777">
        <w:tc>
          <w:tcPr>
            <w:cnfStyle w:val="001000000000" w:firstRow="0" w:lastRow="0" w:firstColumn="1" w:lastColumn="0" w:oddVBand="0" w:evenVBand="0" w:oddHBand="0" w:evenHBand="0" w:firstRowFirstColumn="0" w:firstRowLastColumn="0" w:lastRowFirstColumn="0" w:lastRowLastColumn="0"/>
            <w:tcW w:w="6010" w:type="dxa"/>
          </w:tcPr>
          <w:p w14:paraId="60E6D878" w14:textId="77777777" w:rsidR="004D42F9" w:rsidRDefault="004D42F9">
            <w:r>
              <w:t>Cost of goods sold</w:t>
            </w:r>
          </w:p>
        </w:tc>
        <w:tc>
          <w:tcPr>
            <w:tcW w:w="907" w:type="dxa"/>
          </w:tcPr>
          <w:p w14:paraId="130B6F9A" w14:textId="77777777" w:rsidR="004D42F9" w:rsidRDefault="004D42F9">
            <w:pPr>
              <w:cnfStyle w:val="000000000000" w:firstRow="0" w:lastRow="0" w:firstColumn="0" w:lastColumn="0" w:oddVBand="0" w:evenVBand="0" w:oddHBand="0" w:evenHBand="0" w:firstRowFirstColumn="0" w:firstRowLastColumn="0" w:lastRowFirstColumn="0" w:lastRowLastColumn="0"/>
            </w:pPr>
            <w:r>
              <w:t>393</w:t>
            </w:r>
          </w:p>
        </w:tc>
        <w:tc>
          <w:tcPr>
            <w:tcW w:w="907" w:type="dxa"/>
          </w:tcPr>
          <w:p w14:paraId="38C53206" w14:textId="77777777" w:rsidR="004D42F9" w:rsidRDefault="004D42F9">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001CEA2C"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7050533A" w14:textId="77777777" w:rsidR="004D42F9" w:rsidRDefault="004D42F9">
            <w:pPr>
              <w:cnfStyle w:val="000000000000" w:firstRow="0" w:lastRow="0" w:firstColumn="0" w:lastColumn="0" w:oddVBand="0" w:evenVBand="0" w:oddHBand="0" w:evenHBand="0" w:firstRowFirstColumn="0" w:firstRowLastColumn="0" w:lastRowFirstColumn="0" w:lastRowLastColumn="0"/>
            </w:pPr>
            <w:r>
              <w:t>33</w:t>
            </w:r>
          </w:p>
        </w:tc>
      </w:tr>
      <w:tr w:rsidR="004D42F9" w14:paraId="223D661C" w14:textId="77777777">
        <w:tc>
          <w:tcPr>
            <w:cnfStyle w:val="001000000000" w:firstRow="0" w:lastRow="0" w:firstColumn="1" w:lastColumn="0" w:oddVBand="0" w:evenVBand="0" w:oddHBand="0" w:evenHBand="0" w:firstRowFirstColumn="0" w:firstRowLastColumn="0" w:lastRowFirstColumn="0" w:lastRowLastColumn="0"/>
            <w:tcW w:w="6010" w:type="dxa"/>
          </w:tcPr>
          <w:p w14:paraId="12496491" w14:textId="77777777" w:rsidR="004D42F9" w:rsidRDefault="004D42F9">
            <w:r>
              <w:t>Finance expenses and fees</w:t>
            </w:r>
            <w:r>
              <w:rPr>
                <w:vertAlign w:val="superscript"/>
              </w:rPr>
              <w:t xml:space="preserve"> (b)</w:t>
            </w:r>
          </w:p>
        </w:tc>
        <w:tc>
          <w:tcPr>
            <w:tcW w:w="907" w:type="dxa"/>
          </w:tcPr>
          <w:p w14:paraId="24A3D58F" w14:textId="77777777" w:rsidR="004D42F9" w:rsidRDefault="004D42F9">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3C44A258" w14:textId="77777777" w:rsidR="004D42F9" w:rsidRDefault="004D42F9">
            <w:pPr>
              <w:cnfStyle w:val="000000000000" w:firstRow="0" w:lastRow="0" w:firstColumn="0" w:lastColumn="0" w:oddVBand="0" w:evenVBand="0" w:oddHBand="0" w:evenHBand="0" w:firstRowFirstColumn="0" w:firstRowLastColumn="0" w:lastRowFirstColumn="0" w:lastRowLastColumn="0"/>
            </w:pPr>
            <w:r>
              <w:t>686</w:t>
            </w:r>
          </w:p>
        </w:tc>
        <w:tc>
          <w:tcPr>
            <w:tcW w:w="907" w:type="dxa"/>
          </w:tcPr>
          <w:p w14:paraId="3014EA2E" w14:textId="77777777" w:rsidR="004D42F9" w:rsidRDefault="004D42F9">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2D68A2E1" w14:textId="77777777" w:rsidR="004D42F9" w:rsidRDefault="004D42F9">
            <w:pPr>
              <w:cnfStyle w:val="000000000000" w:firstRow="0" w:lastRow="0" w:firstColumn="0" w:lastColumn="0" w:oddVBand="0" w:evenVBand="0" w:oddHBand="0" w:evenHBand="0" w:firstRowFirstColumn="0" w:firstRowLastColumn="0" w:lastRowFirstColumn="0" w:lastRowLastColumn="0"/>
            </w:pPr>
            <w:r>
              <w:t>60</w:t>
            </w:r>
          </w:p>
        </w:tc>
      </w:tr>
      <w:tr w:rsidR="004D42F9" w14:paraId="2633FE6D" w14:textId="77777777">
        <w:tc>
          <w:tcPr>
            <w:cnfStyle w:val="001000000000" w:firstRow="0" w:lastRow="0" w:firstColumn="1" w:lastColumn="0" w:oddVBand="0" w:evenVBand="0" w:oddHBand="0" w:evenHBand="0" w:firstRowFirstColumn="0" w:firstRowLastColumn="0" w:lastRowFirstColumn="0" w:lastRowLastColumn="0"/>
            <w:tcW w:w="6010" w:type="dxa"/>
          </w:tcPr>
          <w:p w14:paraId="288307E1" w14:textId="77777777" w:rsidR="004D42F9" w:rsidRDefault="004D42F9">
            <w:r>
              <w:t>Purchase of services</w:t>
            </w:r>
            <w:r>
              <w:rPr>
                <w:vertAlign w:val="superscript"/>
              </w:rPr>
              <w:t xml:space="preserve"> (a)</w:t>
            </w:r>
          </w:p>
        </w:tc>
        <w:tc>
          <w:tcPr>
            <w:tcW w:w="907" w:type="dxa"/>
          </w:tcPr>
          <w:p w14:paraId="45D2160F" w14:textId="77777777" w:rsidR="004D42F9" w:rsidRDefault="004D42F9">
            <w:pPr>
              <w:cnfStyle w:val="000000000000" w:firstRow="0" w:lastRow="0" w:firstColumn="0" w:lastColumn="0" w:oddVBand="0" w:evenVBand="0" w:oddHBand="0" w:evenHBand="0" w:firstRowFirstColumn="0" w:firstRowLastColumn="0" w:lastRowFirstColumn="0" w:lastRowLastColumn="0"/>
            </w:pPr>
            <w:r>
              <w:t>22 083</w:t>
            </w:r>
          </w:p>
        </w:tc>
        <w:tc>
          <w:tcPr>
            <w:tcW w:w="907" w:type="dxa"/>
          </w:tcPr>
          <w:p w14:paraId="27A516B1" w14:textId="77777777" w:rsidR="004D42F9" w:rsidRDefault="004D42F9">
            <w:pPr>
              <w:cnfStyle w:val="000000000000" w:firstRow="0" w:lastRow="0" w:firstColumn="0" w:lastColumn="0" w:oddVBand="0" w:evenVBand="0" w:oddHBand="0" w:evenHBand="0" w:firstRowFirstColumn="0" w:firstRowLastColumn="0" w:lastRowFirstColumn="0" w:lastRowLastColumn="0"/>
            </w:pPr>
            <w:r>
              <w:t>22 019</w:t>
            </w:r>
          </w:p>
        </w:tc>
        <w:tc>
          <w:tcPr>
            <w:tcW w:w="907" w:type="dxa"/>
          </w:tcPr>
          <w:p w14:paraId="03644498" w14:textId="77777777" w:rsidR="004D42F9" w:rsidRDefault="004D42F9">
            <w:pPr>
              <w:cnfStyle w:val="000000000000" w:firstRow="0" w:lastRow="0" w:firstColumn="0" w:lastColumn="0" w:oddVBand="0" w:evenVBand="0" w:oddHBand="0" w:evenHBand="0" w:firstRowFirstColumn="0" w:firstRowLastColumn="0" w:lastRowFirstColumn="0" w:lastRowLastColumn="0"/>
            </w:pPr>
            <w:r>
              <w:t>19 752</w:t>
            </w:r>
          </w:p>
        </w:tc>
        <w:tc>
          <w:tcPr>
            <w:tcW w:w="907" w:type="dxa"/>
          </w:tcPr>
          <w:p w14:paraId="38A828DA" w14:textId="77777777" w:rsidR="004D42F9" w:rsidRDefault="004D42F9">
            <w:pPr>
              <w:cnfStyle w:val="000000000000" w:firstRow="0" w:lastRow="0" w:firstColumn="0" w:lastColumn="0" w:oddVBand="0" w:evenVBand="0" w:oddHBand="0" w:evenHBand="0" w:firstRowFirstColumn="0" w:firstRowLastColumn="0" w:lastRowFirstColumn="0" w:lastRowLastColumn="0"/>
            </w:pPr>
            <w:r>
              <w:t>19 598</w:t>
            </w:r>
          </w:p>
        </w:tc>
      </w:tr>
      <w:tr w:rsidR="004D42F9" w14:paraId="625E4001" w14:textId="77777777">
        <w:tc>
          <w:tcPr>
            <w:cnfStyle w:val="001000000000" w:firstRow="0" w:lastRow="0" w:firstColumn="1" w:lastColumn="0" w:oddVBand="0" w:evenVBand="0" w:oddHBand="0" w:evenHBand="0" w:firstRowFirstColumn="0" w:firstRowLastColumn="0" w:lastRowFirstColumn="0" w:lastRowLastColumn="0"/>
            <w:tcW w:w="6010" w:type="dxa"/>
          </w:tcPr>
          <w:p w14:paraId="33B45D29" w14:textId="77777777" w:rsidR="004D42F9" w:rsidRDefault="004D42F9">
            <w:r>
              <w:t>Insurance claims expense</w:t>
            </w:r>
          </w:p>
        </w:tc>
        <w:tc>
          <w:tcPr>
            <w:tcW w:w="907" w:type="dxa"/>
          </w:tcPr>
          <w:p w14:paraId="2966C543" w14:textId="77777777" w:rsidR="004D42F9" w:rsidRDefault="004D42F9">
            <w:pPr>
              <w:cnfStyle w:val="000000000000" w:firstRow="0" w:lastRow="0" w:firstColumn="0" w:lastColumn="0" w:oddVBand="0" w:evenVBand="0" w:oddHBand="0" w:evenHBand="0" w:firstRowFirstColumn="0" w:firstRowLastColumn="0" w:lastRowFirstColumn="0" w:lastRowLastColumn="0"/>
            </w:pPr>
            <w:r>
              <w:t>10 721</w:t>
            </w:r>
          </w:p>
        </w:tc>
        <w:tc>
          <w:tcPr>
            <w:tcW w:w="907" w:type="dxa"/>
          </w:tcPr>
          <w:p w14:paraId="66AA6D3C" w14:textId="77777777" w:rsidR="004D42F9" w:rsidRDefault="004D42F9">
            <w:pPr>
              <w:cnfStyle w:val="000000000000" w:firstRow="0" w:lastRow="0" w:firstColumn="0" w:lastColumn="0" w:oddVBand="0" w:evenVBand="0" w:oddHBand="0" w:evenHBand="0" w:firstRowFirstColumn="0" w:firstRowLastColumn="0" w:lastRowFirstColumn="0" w:lastRowLastColumn="0"/>
            </w:pPr>
            <w:r>
              <w:t>10 126</w:t>
            </w:r>
          </w:p>
        </w:tc>
        <w:tc>
          <w:tcPr>
            <w:tcW w:w="907" w:type="dxa"/>
          </w:tcPr>
          <w:p w14:paraId="332D8518" w14:textId="77777777" w:rsidR="004D42F9" w:rsidRDefault="004D42F9">
            <w:pPr>
              <w:cnfStyle w:val="000000000000" w:firstRow="0" w:lastRow="0" w:firstColumn="0" w:lastColumn="0" w:oddVBand="0" w:evenVBand="0" w:oddHBand="0" w:evenHBand="0" w:firstRowFirstColumn="0" w:firstRowLastColumn="0" w:lastRowFirstColumn="0" w:lastRowLastColumn="0"/>
            </w:pPr>
            <w:r>
              <w:t>889</w:t>
            </w:r>
          </w:p>
        </w:tc>
        <w:tc>
          <w:tcPr>
            <w:tcW w:w="907" w:type="dxa"/>
          </w:tcPr>
          <w:p w14:paraId="7457AB94" w14:textId="77777777" w:rsidR="004D42F9" w:rsidRDefault="004D42F9">
            <w:pPr>
              <w:cnfStyle w:val="000000000000" w:firstRow="0" w:lastRow="0" w:firstColumn="0" w:lastColumn="0" w:oddVBand="0" w:evenVBand="0" w:oddHBand="0" w:evenHBand="0" w:firstRowFirstColumn="0" w:firstRowLastColumn="0" w:lastRowFirstColumn="0" w:lastRowLastColumn="0"/>
            </w:pPr>
            <w:r>
              <w:t>656</w:t>
            </w:r>
          </w:p>
        </w:tc>
      </w:tr>
      <w:tr w:rsidR="004D42F9" w14:paraId="54772172" w14:textId="77777777">
        <w:tc>
          <w:tcPr>
            <w:cnfStyle w:val="001000000000" w:firstRow="0" w:lastRow="0" w:firstColumn="1" w:lastColumn="0" w:oddVBand="0" w:evenVBand="0" w:oddHBand="0" w:evenHBand="0" w:firstRowFirstColumn="0" w:firstRowLastColumn="0" w:lastRowFirstColumn="0" w:lastRowLastColumn="0"/>
            <w:tcW w:w="6010" w:type="dxa"/>
          </w:tcPr>
          <w:p w14:paraId="54CA4E4A" w14:textId="77777777" w:rsidR="004D42F9" w:rsidRDefault="004D42F9">
            <w:r>
              <w:t>Maintenance</w:t>
            </w:r>
          </w:p>
        </w:tc>
        <w:tc>
          <w:tcPr>
            <w:tcW w:w="907" w:type="dxa"/>
          </w:tcPr>
          <w:p w14:paraId="702A443F" w14:textId="77777777" w:rsidR="004D42F9" w:rsidRDefault="004D42F9">
            <w:pPr>
              <w:cnfStyle w:val="000000000000" w:firstRow="0" w:lastRow="0" w:firstColumn="0" w:lastColumn="0" w:oddVBand="0" w:evenVBand="0" w:oddHBand="0" w:evenHBand="0" w:firstRowFirstColumn="0" w:firstRowLastColumn="0" w:lastRowFirstColumn="0" w:lastRowLastColumn="0"/>
            </w:pPr>
            <w:r>
              <w:t>2 291</w:t>
            </w:r>
          </w:p>
        </w:tc>
        <w:tc>
          <w:tcPr>
            <w:tcW w:w="907" w:type="dxa"/>
          </w:tcPr>
          <w:p w14:paraId="20891D26" w14:textId="77777777" w:rsidR="004D42F9" w:rsidRDefault="004D42F9">
            <w:pPr>
              <w:cnfStyle w:val="000000000000" w:firstRow="0" w:lastRow="0" w:firstColumn="0" w:lastColumn="0" w:oddVBand="0" w:evenVBand="0" w:oddHBand="0" w:evenHBand="0" w:firstRowFirstColumn="0" w:firstRowLastColumn="0" w:lastRowFirstColumn="0" w:lastRowLastColumn="0"/>
            </w:pPr>
            <w:r>
              <w:t>2 288</w:t>
            </w:r>
          </w:p>
        </w:tc>
        <w:tc>
          <w:tcPr>
            <w:tcW w:w="907" w:type="dxa"/>
          </w:tcPr>
          <w:p w14:paraId="473002D0" w14:textId="77777777" w:rsidR="004D42F9" w:rsidRDefault="004D42F9">
            <w:pPr>
              <w:cnfStyle w:val="000000000000" w:firstRow="0" w:lastRow="0" w:firstColumn="0" w:lastColumn="0" w:oddVBand="0" w:evenVBand="0" w:oddHBand="0" w:evenHBand="0" w:firstRowFirstColumn="0" w:firstRowLastColumn="0" w:lastRowFirstColumn="0" w:lastRowLastColumn="0"/>
            </w:pPr>
            <w:r>
              <w:t>1 382</w:t>
            </w:r>
          </w:p>
        </w:tc>
        <w:tc>
          <w:tcPr>
            <w:tcW w:w="907" w:type="dxa"/>
          </w:tcPr>
          <w:p w14:paraId="17E8AE65" w14:textId="77777777" w:rsidR="004D42F9" w:rsidRDefault="004D42F9">
            <w:pPr>
              <w:cnfStyle w:val="000000000000" w:firstRow="0" w:lastRow="0" w:firstColumn="0" w:lastColumn="0" w:oddVBand="0" w:evenVBand="0" w:oddHBand="0" w:evenHBand="0" w:firstRowFirstColumn="0" w:firstRowLastColumn="0" w:lastRowFirstColumn="0" w:lastRowLastColumn="0"/>
            </w:pPr>
            <w:r>
              <w:t>1 332</w:t>
            </w:r>
          </w:p>
        </w:tc>
      </w:tr>
      <w:tr w:rsidR="004D42F9" w14:paraId="49FEA497" w14:textId="77777777">
        <w:tc>
          <w:tcPr>
            <w:cnfStyle w:val="001000000000" w:firstRow="0" w:lastRow="0" w:firstColumn="1" w:lastColumn="0" w:oddVBand="0" w:evenVBand="0" w:oddHBand="0" w:evenHBand="0" w:firstRowFirstColumn="0" w:firstRowLastColumn="0" w:lastRowFirstColumn="0" w:lastRowLastColumn="0"/>
            <w:tcW w:w="6010" w:type="dxa"/>
          </w:tcPr>
          <w:p w14:paraId="794AFA90" w14:textId="77777777" w:rsidR="004D42F9" w:rsidRDefault="004D42F9">
            <w:r>
              <w:t>Short</w:t>
            </w:r>
            <w:r>
              <w:noBreakHyphen/>
              <w:t>term and low value lease expense</w:t>
            </w:r>
          </w:p>
        </w:tc>
        <w:tc>
          <w:tcPr>
            <w:tcW w:w="907" w:type="dxa"/>
          </w:tcPr>
          <w:p w14:paraId="4C7B5295" w14:textId="77777777" w:rsidR="004D42F9" w:rsidRDefault="004D42F9">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321C0A1A" w14:textId="77777777" w:rsidR="004D42F9" w:rsidRDefault="004D42F9">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78BC5777" w14:textId="77777777" w:rsidR="004D42F9" w:rsidRDefault="004D42F9">
            <w:pPr>
              <w:cnfStyle w:val="000000000000" w:firstRow="0" w:lastRow="0" w:firstColumn="0" w:lastColumn="0" w:oddVBand="0" w:evenVBand="0" w:oddHBand="0" w:evenHBand="0" w:firstRowFirstColumn="0" w:firstRowLastColumn="0" w:lastRowFirstColumn="0" w:lastRowLastColumn="0"/>
            </w:pPr>
            <w:r>
              <w:t>129</w:t>
            </w:r>
          </w:p>
        </w:tc>
        <w:tc>
          <w:tcPr>
            <w:tcW w:w="907" w:type="dxa"/>
          </w:tcPr>
          <w:p w14:paraId="6C747021" w14:textId="77777777" w:rsidR="004D42F9" w:rsidRDefault="004D42F9">
            <w:pPr>
              <w:cnfStyle w:val="000000000000" w:firstRow="0" w:lastRow="0" w:firstColumn="0" w:lastColumn="0" w:oddVBand="0" w:evenVBand="0" w:oddHBand="0" w:evenHBand="0" w:firstRowFirstColumn="0" w:firstRowLastColumn="0" w:lastRowFirstColumn="0" w:lastRowLastColumn="0"/>
            </w:pPr>
            <w:r>
              <w:t>126</w:t>
            </w:r>
          </w:p>
        </w:tc>
      </w:tr>
      <w:tr w:rsidR="004D42F9" w14:paraId="43EBF6E1"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8FCFF69" w14:textId="77777777" w:rsidR="004D42F9" w:rsidRDefault="004D42F9">
            <w:r>
              <w:t>Other</w:t>
            </w:r>
          </w:p>
        </w:tc>
        <w:tc>
          <w:tcPr>
            <w:tcW w:w="907" w:type="dxa"/>
            <w:tcBorders>
              <w:bottom w:val="single" w:sz="6" w:space="0" w:color="auto"/>
            </w:tcBorders>
          </w:tcPr>
          <w:p w14:paraId="2CDF2EB8" w14:textId="77777777" w:rsidR="004D42F9" w:rsidRDefault="004D42F9">
            <w:pPr>
              <w:cnfStyle w:val="000000000000" w:firstRow="0" w:lastRow="0" w:firstColumn="0" w:lastColumn="0" w:oddVBand="0" w:evenVBand="0" w:oddHBand="0" w:evenHBand="0" w:firstRowFirstColumn="0" w:firstRowLastColumn="0" w:lastRowFirstColumn="0" w:lastRowLastColumn="0"/>
            </w:pPr>
            <w:r>
              <w:t>2 455</w:t>
            </w:r>
          </w:p>
        </w:tc>
        <w:tc>
          <w:tcPr>
            <w:tcW w:w="907" w:type="dxa"/>
            <w:tcBorders>
              <w:bottom w:val="single" w:sz="6" w:space="0" w:color="auto"/>
            </w:tcBorders>
          </w:tcPr>
          <w:p w14:paraId="09101EF1" w14:textId="77777777" w:rsidR="004D42F9" w:rsidRDefault="004D42F9">
            <w:pPr>
              <w:cnfStyle w:val="000000000000" w:firstRow="0" w:lastRow="0" w:firstColumn="0" w:lastColumn="0" w:oddVBand="0" w:evenVBand="0" w:oddHBand="0" w:evenHBand="0" w:firstRowFirstColumn="0" w:firstRowLastColumn="0" w:lastRowFirstColumn="0" w:lastRowLastColumn="0"/>
            </w:pPr>
            <w:r>
              <w:t>2 039</w:t>
            </w:r>
          </w:p>
        </w:tc>
        <w:tc>
          <w:tcPr>
            <w:tcW w:w="907" w:type="dxa"/>
            <w:tcBorders>
              <w:bottom w:val="single" w:sz="6" w:space="0" w:color="auto"/>
            </w:tcBorders>
          </w:tcPr>
          <w:p w14:paraId="4A7FABB6"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2 414</w:t>
            </w:r>
          </w:p>
        </w:tc>
        <w:tc>
          <w:tcPr>
            <w:tcW w:w="907" w:type="dxa"/>
            <w:tcBorders>
              <w:bottom w:val="single" w:sz="6" w:space="0" w:color="auto"/>
            </w:tcBorders>
          </w:tcPr>
          <w:p w14:paraId="1EEB4CBF" w14:textId="77777777" w:rsidR="004D42F9" w:rsidRDefault="004D42F9">
            <w:pPr>
              <w:cnfStyle w:val="000000000000" w:firstRow="0" w:lastRow="0" w:firstColumn="0" w:lastColumn="0" w:oddVBand="0" w:evenVBand="0" w:oddHBand="0" w:evenHBand="0" w:firstRowFirstColumn="0" w:firstRowLastColumn="0" w:lastRowFirstColumn="0" w:lastRowLastColumn="0"/>
            </w:pPr>
            <w:r>
              <w:t>2 015</w:t>
            </w:r>
          </w:p>
        </w:tc>
      </w:tr>
      <w:tr w:rsidR="004D42F9" w14:paraId="14B4A640"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E6AF81E" w14:textId="77777777" w:rsidR="004D42F9" w:rsidRDefault="004D42F9">
            <w:r>
              <w:rPr>
                <w:b/>
              </w:rPr>
              <w:t>Total other operating expenses</w:t>
            </w:r>
          </w:p>
        </w:tc>
        <w:tc>
          <w:tcPr>
            <w:tcW w:w="907" w:type="dxa"/>
            <w:tcBorders>
              <w:top w:val="single" w:sz="6" w:space="0" w:color="auto"/>
              <w:bottom w:val="single" w:sz="12" w:space="0" w:color="auto"/>
            </w:tcBorders>
          </w:tcPr>
          <w:p w14:paraId="78BD83B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45 793</w:t>
            </w:r>
          </w:p>
        </w:tc>
        <w:tc>
          <w:tcPr>
            <w:tcW w:w="907" w:type="dxa"/>
            <w:tcBorders>
              <w:top w:val="single" w:sz="6" w:space="0" w:color="auto"/>
              <w:bottom w:val="single" w:sz="12" w:space="0" w:color="auto"/>
            </w:tcBorders>
          </w:tcPr>
          <w:p w14:paraId="1972139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43 787</w:t>
            </w:r>
          </w:p>
        </w:tc>
        <w:tc>
          <w:tcPr>
            <w:tcW w:w="907" w:type="dxa"/>
            <w:tcBorders>
              <w:top w:val="single" w:sz="6" w:space="0" w:color="auto"/>
              <w:bottom w:val="single" w:sz="12" w:space="0" w:color="auto"/>
            </w:tcBorders>
          </w:tcPr>
          <w:p w14:paraId="486740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30 726</w:t>
            </w:r>
          </w:p>
        </w:tc>
        <w:tc>
          <w:tcPr>
            <w:tcW w:w="907" w:type="dxa"/>
            <w:tcBorders>
              <w:top w:val="single" w:sz="6" w:space="0" w:color="auto"/>
              <w:bottom w:val="single" w:sz="12" w:space="0" w:color="auto"/>
            </w:tcBorders>
          </w:tcPr>
          <w:p w14:paraId="3C293A7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29 127</w:t>
            </w:r>
          </w:p>
        </w:tc>
      </w:tr>
    </w:tbl>
    <w:p w14:paraId="715A8F82" w14:textId="77777777" w:rsidR="004D42F9" w:rsidRDefault="004D42F9" w:rsidP="004D42F9">
      <w:pPr>
        <w:pStyle w:val="Note"/>
      </w:pPr>
      <w:r>
        <w:t>Notes:</w:t>
      </w:r>
    </w:p>
    <w:p w14:paraId="3A405926" w14:textId="77777777" w:rsidR="004D42F9" w:rsidRDefault="004D42F9" w:rsidP="004D42F9">
      <w:pPr>
        <w:pStyle w:val="Note"/>
      </w:pPr>
      <w:r>
        <w:t>(a)</w:t>
      </w:r>
      <w:r>
        <w:tab/>
        <w:t>A breakdown of purchase of supplies and consumables and purchase of services is provided in the following two tables.</w:t>
      </w:r>
    </w:p>
    <w:p w14:paraId="51A8E86F" w14:textId="77777777" w:rsidR="004D42F9" w:rsidRDefault="004D42F9" w:rsidP="004D42F9">
      <w:pPr>
        <w:pStyle w:val="Note"/>
      </w:pPr>
      <w:r>
        <w:t xml:space="preserve">(b) </w:t>
      </w:r>
      <w:r>
        <w:tab/>
        <w:t>Includes items such as bank fees and associated costs involved in entering into loan transactions, and credit card and corporate card charges.</w:t>
      </w:r>
    </w:p>
    <w:p w14:paraId="57E9DE2A" w14:textId="77777777" w:rsidR="004D42F9" w:rsidRDefault="004D42F9" w:rsidP="004D42F9"/>
    <w:p w14:paraId="6BAB829C" w14:textId="77777777" w:rsidR="00D41447" w:rsidRDefault="00D41447" w:rsidP="004D42F9">
      <w:pPr>
        <w:rPr>
          <w:b/>
          <w:bCs/>
        </w:rPr>
        <w:sectPr w:rsidR="00D41447" w:rsidSect="008623A6">
          <w:type w:val="continuous"/>
          <w:pgSz w:w="11906" w:h="16838" w:code="9"/>
          <w:pgMar w:top="1134" w:right="1134" w:bottom="1134" w:left="1134" w:header="624" w:footer="567" w:gutter="0"/>
          <w:cols w:space="708"/>
          <w:docGrid w:linePitch="360"/>
        </w:sectPr>
      </w:pPr>
    </w:p>
    <w:p w14:paraId="41FCC40E" w14:textId="77777777" w:rsidR="004D42F9" w:rsidRDefault="004D42F9" w:rsidP="004D42F9">
      <w:r w:rsidRPr="000D1AD4">
        <w:rPr>
          <w:b/>
          <w:bCs/>
        </w:rPr>
        <w:t>Other operating expenses</w:t>
      </w:r>
      <w:r>
        <w:t xml:space="preserve"> generally represent the day-to-day running costs incurred in normal operations and include supplies and services costs, which are recognised as an expense in the reporting period in which they are incurred. The carrying amounts of any inventories held for distribution are expensed when distributed.</w:t>
      </w:r>
    </w:p>
    <w:p w14:paraId="18FA1BEA" w14:textId="5D5611E2" w:rsidR="004D42F9" w:rsidRDefault="004D42F9" w:rsidP="004D42F9">
      <w:pPr>
        <w:ind w:right="-71"/>
      </w:pPr>
      <w:r w:rsidRPr="000D1AD4">
        <w:rPr>
          <w:b/>
          <w:bCs/>
        </w:rPr>
        <w:t>Audit fees</w:t>
      </w:r>
      <w:r>
        <w:t xml:space="preserve"> of </w:t>
      </w:r>
      <w:r w:rsidRPr="006655D8">
        <w:t>$</w:t>
      </w:r>
      <w:r>
        <w:t>445 000 ($423 </w:t>
      </w:r>
      <w:r w:rsidRPr="006655D8">
        <w:t>000</w:t>
      </w:r>
      <w:r>
        <w:t xml:space="preserve"> in 2024) were paid or payable to the Victorian Auditor-General</w:t>
      </w:r>
      <w:r w:rsidR="00845934">
        <w:t>’</w:t>
      </w:r>
      <w:r>
        <w:t xml:space="preserve">s Office for the audit of the </w:t>
      </w:r>
      <w:r w:rsidRPr="00A3385E">
        <w:rPr>
          <w:i/>
          <w:iCs/>
        </w:rPr>
        <w:t>Annual Financial Report</w:t>
      </w:r>
      <w:r>
        <w:t xml:space="preserve"> of the State of Victoria. The Victorian Auditor</w:t>
      </w:r>
      <w:r>
        <w:noBreakHyphen/>
        <w:t>General</w:t>
      </w:r>
      <w:r w:rsidR="00845934">
        <w:t>’</w:t>
      </w:r>
      <w:r>
        <w:t>s Office provided no other services, other than the review of the Estimated Financial Statements and the financial audits of departments and agencies.</w:t>
      </w:r>
    </w:p>
    <w:p w14:paraId="4E0D96C8" w14:textId="77777777" w:rsidR="004D42F9" w:rsidRDefault="004D42F9" w:rsidP="004D42F9">
      <w:r w:rsidRPr="005441DB">
        <w:rPr>
          <w:b/>
          <w:bCs/>
        </w:rPr>
        <w:t>Insurance claims expense</w:t>
      </w:r>
      <w:r>
        <w:t xml:space="preserve"> includes claims incurred during the financial year and any costs associated with processing and resolving claims, prior year effects of discounting caused by the natural reduction in discount as the claims move one year closer to settlement, and net of reinsurance recoveries. </w:t>
      </w:r>
    </w:p>
    <w:p w14:paraId="2DBE7AA8" w14:textId="77777777" w:rsidR="00D41447" w:rsidRDefault="00D41447" w:rsidP="004D42F9">
      <w:pPr>
        <w:sectPr w:rsidR="00D41447" w:rsidSect="00D41447">
          <w:type w:val="continuous"/>
          <w:pgSz w:w="11906" w:h="16838" w:code="9"/>
          <w:pgMar w:top="1134" w:right="1134" w:bottom="1134" w:left="1134" w:header="624" w:footer="567" w:gutter="0"/>
          <w:cols w:num="2" w:space="708"/>
          <w:docGrid w:linePitch="360"/>
        </w:sectPr>
      </w:pPr>
    </w:p>
    <w:p w14:paraId="7A5E4806" w14:textId="77777777" w:rsidR="004D42F9" w:rsidRDefault="004D42F9" w:rsidP="004D42F9"/>
    <w:p w14:paraId="0DFE186D" w14:textId="77777777" w:rsidR="004D42F9" w:rsidRDefault="004D42F9" w:rsidP="004D42F9">
      <w:pPr>
        <w:pStyle w:val="TableHeading"/>
      </w:pPr>
      <w:r>
        <w:t>Purchase of supplies and consumables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Purchase_supplies_consumables"/>
      </w:tblPr>
      <w:tblGrid>
        <w:gridCol w:w="6010"/>
        <w:gridCol w:w="907"/>
        <w:gridCol w:w="907"/>
        <w:gridCol w:w="907"/>
        <w:gridCol w:w="907"/>
      </w:tblGrid>
      <w:tr w:rsidR="004D42F9" w14:paraId="6D44865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7FBC604" w14:textId="77777777" w:rsidR="004D42F9" w:rsidRDefault="004D42F9">
            <w:pPr>
              <w:keepNext/>
            </w:pPr>
          </w:p>
        </w:tc>
        <w:tc>
          <w:tcPr>
            <w:tcW w:w="1814" w:type="dxa"/>
            <w:gridSpan w:val="2"/>
          </w:tcPr>
          <w:p w14:paraId="40E87F0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25E7894"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C57C1F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8E31A8F" w14:textId="77777777" w:rsidR="004D42F9" w:rsidRDefault="004D42F9">
            <w:pPr>
              <w:keepNext/>
            </w:pPr>
          </w:p>
        </w:tc>
        <w:tc>
          <w:tcPr>
            <w:tcW w:w="907" w:type="dxa"/>
          </w:tcPr>
          <w:p w14:paraId="3B7EE77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E83BD3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EFFBFA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468321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B35BEEF" w14:textId="77777777">
        <w:tc>
          <w:tcPr>
            <w:cnfStyle w:val="001000000000" w:firstRow="0" w:lastRow="0" w:firstColumn="1" w:lastColumn="0" w:oddVBand="0" w:evenVBand="0" w:oddHBand="0" w:evenHBand="0" w:firstRowFirstColumn="0" w:firstRowLastColumn="0" w:lastRowFirstColumn="0" w:lastRowLastColumn="0"/>
            <w:tcW w:w="6010" w:type="dxa"/>
          </w:tcPr>
          <w:p w14:paraId="1DB9712F" w14:textId="77777777" w:rsidR="004D42F9" w:rsidRDefault="004D42F9">
            <w:r>
              <w:t>Medicinal pharmacy and medical supplies</w:t>
            </w:r>
          </w:p>
        </w:tc>
        <w:tc>
          <w:tcPr>
            <w:tcW w:w="907" w:type="dxa"/>
          </w:tcPr>
          <w:p w14:paraId="6E37D7FC" w14:textId="77777777" w:rsidR="004D42F9" w:rsidRDefault="004D42F9">
            <w:pPr>
              <w:cnfStyle w:val="000000000000" w:firstRow="0" w:lastRow="0" w:firstColumn="0" w:lastColumn="0" w:oddVBand="0" w:evenVBand="0" w:oddHBand="0" w:evenHBand="0" w:firstRowFirstColumn="0" w:firstRowLastColumn="0" w:lastRowFirstColumn="0" w:lastRowLastColumn="0"/>
            </w:pPr>
            <w:r>
              <w:t>2 390</w:t>
            </w:r>
          </w:p>
        </w:tc>
        <w:tc>
          <w:tcPr>
            <w:tcW w:w="907" w:type="dxa"/>
          </w:tcPr>
          <w:p w14:paraId="6F65DC6D" w14:textId="77777777" w:rsidR="004D42F9" w:rsidRDefault="004D42F9">
            <w:pPr>
              <w:cnfStyle w:val="000000000000" w:firstRow="0" w:lastRow="0" w:firstColumn="0" w:lastColumn="0" w:oddVBand="0" w:evenVBand="0" w:oddHBand="0" w:evenHBand="0" w:firstRowFirstColumn="0" w:firstRowLastColumn="0" w:lastRowFirstColumn="0" w:lastRowLastColumn="0"/>
            </w:pPr>
            <w:r>
              <w:t>2 220</w:t>
            </w:r>
          </w:p>
        </w:tc>
        <w:tc>
          <w:tcPr>
            <w:tcW w:w="907" w:type="dxa"/>
          </w:tcPr>
          <w:p w14:paraId="31C6216F" w14:textId="77777777" w:rsidR="004D42F9" w:rsidRDefault="004D42F9">
            <w:pPr>
              <w:cnfStyle w:val="000000000000" w:firstRow="0" w:lastRow="0" w:firstColumn="0" w:lastColumn="0" w:oddVBand="0" w:evenVBand="0" w:oddHBand="0" w:evenHBand="0" w:firstRowFirstColumn="0" w:firstRowLastColumn="0" w:lastRowFirstColumn="0" w:lastRowLastColumn="0"/>
            </w:pPr>
            <w:r>
              <w:t>2 390</w:t>
            </w:r>
          </w:p>
        </w:tc>
        <w:tc>
          <w:tcPr>
            <w:tcW w:w="907" w:type="dxa"/>
          </w:tcPr>
          <w:p w14:paraId="18FD5F17" w14:textId="77777777" w:rsidR="004D42F9" w:rsidRDefault="004D42F9">
            <w:pPr>
              <w:cnfStyle w:val="000000000000" w:firstRow="0" w:lastRow="0" w:firstColumn="0" w:lastColumn="0" w:oddVBand="0" w:evenVBand="0" w:oddHBand="0" w:evenHBand="0" w:firstRowFirstColumn="0" w:firstRowLastColumn="0" w:lastRowFirstColumn="0" w:lastRowLastColumn="0"/>
            </w:pPr>
            <w:r>
              <w:t>2 220</w:t>
            </w:r>
          </w:p>
        </w:tc>
      </w:tr>
      <w:tr w:rsidR="004D42F9" w14:paraId="64D0029C" w14:textId="77777777">
        <w:tc>
          <w:tcPr>
            <w:cnfStyle w:val="001000000000" w:firstRow="0" w:lastRow="0" w:firstColumn="1" w:lastColumn="0" w:oddVBand="0" w:evenVBand="0" w:oddHBand="0" w:evenHBand="0" w:firstRowFirstColumn="0" w:firstRowLastColumn="0" w:lastRowFirstColumn="0" w:lastRowLastColumn="0"/>
            <w:tcW w:w="6010" w:type="dxa"/>
          </w:tcPr>
          <w:p w14:paraId="67EABEE6" w14:textId="77777777" w:rsidR="004D42F9" w:rsidRDefault="004D42F9">
            <w:r>
              <w:t>Office supplies and consumables</w:t>
            </w:r>
          </w:p>
        </w:tc>
        <w:tc>
          <w:tcPr>
            <w:tcW w:w="907" w:type="dxa"/>
          </w:tcPr>
          <w:p w14:paraId="33AA62DC"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2A9F5B94" w14:textId="77777777" w:rsidR="004D42F9" w:rsidRDefault="004D42F9">
            <w:pPr>
              <w:cnfStyle w:val="000000000000" w:firstRow="0" w:lastRow="0" w:firstColumn="0" w:lastColumn="0" w:oddVBand="0" w:evenVBand="0" w:oddHBand="0" w:evenHBand="0" w:firstRowFirstColumn="0" w:firstRowLastColumn="0" w:lastRowFirstColumn="0" w:lastRowLastColumn="0"/>
            </w:pPr>
            <w:r>
              <w:t>217</w:t>
            </w:r>
          </w:p>
        </w:tc>
        <w:tc>
          <w:tcPr>
            <w:tcW w:w="907" w:type="dxa"/>
          </w:tcPr>
          <w:p w14:paraId="3E890572" w14:textId="77777777" w:rsidR="004D42F9" w:rsidRDefault="004D42F9">
            <w:pPr>
              <w:cnfStyle w:val="000000000000" w:firstRow="0" w:lastRow="0" w:firstColumn="0" w:lastColumn="0" w:oddVBand="0" w:evenVBand="0" w:oddHBand="0" w:evenHBand="0" w:firstRowFirstColumn="0" w:firstRowLastColumn="0" w:lastRowFirstColumn="0" w:lastRowLastColumn="0"/>
            </w:pPr>
            <w:r>
              <w:t>217</w:t>
            </w:r>
          </w:p>
        </w:tc>
        <w:tc>
          <w:tcPr>
            <w:tcW w:w="907" w:type="dxa"/>
          </w:tcPr>
          <w:p w14:paraId="29A2C799" w14:textId="77777777" w:rsidR="004D42F9" w:rsidRDefault="004D42F9">
            <w:pPr>
              <w:cnfStyle w:val="000000000000" w:firstRow="0" w:lastRow="0" w:firstColumn="0" w:lastColumn="0" w:oddVBand="0" w:evenVBand="0" w:oddHBand="0" w:evenHBand="0" w:firstRowFirstColumn="0" w:firstRowLastColumn="0" w:lastRowFirstColumn="0" w:lastRowLastColumn="0"/>
            </w:pPr>
            <w:r>
              <w:t>204</w:t>
            </w:r>
          </w:p>
        </w:tc>
      </w:tr>
      <w:tr w:rsidR="004D42F9" w14:paraId="431E3434" w14:textId="77777777">
        <w:tc>
          <w:tcPr>
            <w:cnfStyle w:val="001000000000" w:firstRow="0" w:lastRow="0" w:firstColumn="1" w:lastColumn="0" w:oddVBand="0" w:evenVBand="0" w:oddHBand="0" w:evenHBand="0" w:firstRowFirstColumn="0" w:firstRowLastColumn="0" w:lastRowFirstColumn="0" w:lastRowLastColumn="0"/>
            <w:tcW w:w="6010" w:type="dxa"/>
          </w:tcPr>
          <w:p w14:paraId="1B010632" w14:textId="77777777" w:rsidR="004D42F9" w:rsidRDefault="004D42F9">
            <w:r>
              <w:t>Specialised operational supplies and consumables</w:t>
            </w:r>
          </w:p>
        </w:tc>
        <w:tc>
          <w:tcPr>
            <w:tcW w:w="907" w:type="dxa"/>
          </w:tcPr>
          <w:p w14:paraId="115778BE" w14:textId="77777777" w:rsidR="004D42F9" w:rsidRDefault="004D42F9">
            <w:pPr>
              <w:cnfStyle w:val="000000000000" w:firstRow="0" w:lastRow="0" w:firstColumn="0" w:lastColumn="0" w:oddVBand="0" w:evenVBand="0" w:oddHBand="0" w:evenHBand="0" w:firstRowFirstColumn="0" w:firstRowLastColumn="0" w:lastRowFirstColumn="0" w:lastRowLastColumn="0"/>
            </w:pPr>
            <w:r>
              <w:t>423</w:t>
            </w:r>
          </w:p>
        </w:tc>
        <w:tc>
          <w:tcPr>
            <w:tcW w:w="907" w:type="dxa"/>
          </w:tcPr>
          <w:p w14:paraId="63BFDCED" w14:textId="77777777" w:rsidR="004D42F9" w:rsidRDefault="004D42F9">
            <w:pPr>
              <w:cnfStyle w:val="000000000000" w:firstRow="0" w:lastRow="0" w:firstColumn="0" w:lastColumn="0" w:oddVBand="0" w:evenVBand="0" w:oddHBand="0" w:evenHBand="0" w:firstRowFirstColumn="0" w:firstRowLastColumn="0" w:lastRowFirstColumn="0" w:lastRowLastColumn="0"/>
            </w:pPr>
            <w:r>
              <w:t>315</w:t>
            </w:r>
          </w:p>
        </w:tc>
        <w:tc>
          <w:tcPr>
            <w:tcW w:w="907" w:type="dxa"/>
          </w:tcPr>
          <w:p w14:paraId="528B4A03" w14:textId="77777777" w:rsidR="004D42F9" w:rsidRDefault="004D42F9">
            <w:pPr>
              <w:cnfStyle w:val="000000000000" w:firstRow="0" w:lastRow="0" w:firstColumn="0" w:lastColumn="0" w:oddVBand="0" w:evenVBand="0" w:oddHBand="0" w:evenHBand="0" w:firstRowFirstColumn="0" w:firstRowLastColumn="0" w:lastRowFirstColumn="0" w:lastRowLastColumn="0"/>
            </w:pPr>
            <w:r>
              <w:t>384</w:t>
            </w:r>
          </w:p>
        </w:tc>
        <w:tc>
          <w:tcPr>
            <w:tcW w:w="907" w:type="dxa"/>
          </w:tcPr>
          <w:p w14:paraId="44A32DBB" w14:textId="77777777" w:rsidR="004D42F9" w:rsidRDefault="004D42F9">
            <w:pPr>
              <w:cnfStyle w:val="000000000000" w:firstRow="0" w:lastRow="0" w:firstColumn="0" w:lastColumn="0" w:oddVBand="0" w:evenVBand="0" w:oddHBand="0" w:evenHBand="0" w:firstRowFirstColumn="0" w:firstRowLastColumn="0" w:lastRowFirstColumn="0" w:lastRowLastColumn="0"/>
            </w:pPr>
            <w:r>
              <w:t>270</w:t>
            </w:r>
          </w:p>
        </w:tc>
      </w:tr>
      <w:tr w:rsidR="004D42F9" w14:paraId="3AD3AA29"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8C57D7D" w14:textId="77777777" w:rsidR="004D42F9" w:rsidRDefault="004D42F9">
            <w:r>
              <w:t>Other purchase of supplies and consumables</w:t>
            </w:r>
          </w:p>
        </w:tc>
        <w:tc>
          <w:tcPr>
            <w:tcW w:w="907" w:type="dxa"/>
            <w:tcBorders>
              <w:bottom w:val="single" w:sz="6" w:space="0" w:color="auto"/>
            </w:tcBorders>
          </w:tcPr>
          <w:p w14:paraId="4B6C1301" w14:textId="77777777" w:rsidR="004D42F9" w:rsidRDefault="004D42F9">
            <w:pPr>
              <w:cnfStyle w:val="000000000000" w:firstRow="0" w:lastRow="0" w:firstColumn="0" w:lastColumn="0" w:oddVBand="0" w:evenVBand="0" w:oddHBand="0" w:evenHBand="0" w:firstRowFirstColumn="0" w:firstRowLastColumn="0" w:lastRowFirstColumn="0" w:lastRowLastColumn="0"/>
            </w:pPr>
            <w:r>
              <w:t>4 137</w:t>
            </w:r>
          </w:p>
        </w:tc>
        <w:tc>
          <w:tcPr>
            <w:tcW w:w="907" w:type="dxa"/>
            <w:tcBorders>
              <w:bottom w:val="single" w:sz="6" w:space="0" w:color="auto"/>
            </w:tcBorders>
          </w:tcPr>
          <w:p w14:paraId="0C21EB1A" w14:textId="77777777" w:rsidR="004D42F9" w:rsidRDefault="004D42F9">
            <w:pPr>
              <w:cnfStyle w:val="000000000000" w:firstRow="0" w:lastRow="0" w:firstColumn="0" w:lastColumn="0" w:oddVBand="0" w:evenVBand="0" w:oddHBand="0" w:evenHBand="0" w:firstRowFirstColumn="0" w:firstRowLastColumn="0" w:lastRowFirstColumn="0" w:lastRowLastColumn="0"/>
            </w:pPr>
            <w:r>
              <w:t>3 495</w:t>
            </w:r>
          </w:p>
        </w:tc>
        <w:tc>
          <w:tcPr>
            <w:tcW w:w="907" w:type="dxa"/>
            <w:tcBorders>
              <w:bottom w:val="single" w:sz="6" w:space="0" w:color="auto"/>
            </w:tcBorders>
          </w:tcPr>
          <w:p w14:paraId="0C4500D7" w14:textId="77777777" w:rsidR="004D42F9" w:rsidRDefault="004D42F9">
            <w:pPr>
              <w:cnfStyle w:val="000000000000" w:firstRow="0" w:lastRow="0" w:firstColumn="0" w:lastColumn="0" w:oddVBand="0" w:evenVBand="0" w:oddHBand="0" w:evenHBand="0" w:firstRowFirstColumn="0" w:firstRowLastColumn="0" w:lastRowFirstColumn="0" w:lastRowLastColumn="0"/>
            </w:pPr>
            <w:r>
              <w:t>3 077</w:t>
            </w:r>
          </w:p>
        </w:tc>
        <w:tc>
          <w:tcPr>
            <w:tcW w:w="907" w:type="dxa"/>
            <w:tcBorders>
              <w:bottom w:val="single" w:sz="6" w:space="0" w:color="auto"/>
            </w:tcBorders>
          </w:tcPr>
          <w:p w14:paraId="4E3DFB04" w14:textId="77777777" w:rsidR="004D42F9" w:rsidRDefault="004D42F9">
            <w:pPr>
              <w:cnfStyle w:val="000000000000" w:firstRow="0" w:lastRow="0" w:firstColumn="0" w:lastColumn="0" w:oddVBand="0" w:evenVBand="0" w:oddHBand="0" w:evenHBand="0" w:firstRowFirstColumn="0" w:firstRowLastColumn="0" w:lastRowFirstColumn="0" w:lastRowLastColumn="0"/>
            </w:pPr>
            <w:r>
              <w:t>2 614</w:t>
            </w:r>
          </w:p>
        </w:tc>
      </w:tr>
      <w:tr w:rsidR="004D42F9" w14:paraId="6ED4A1DC"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533BB56" w14:textId="77777777" w:rsidR="004D42F9" w:rsidRDefault="004D42F9">
            <w:r>
              <w:rPr>
                <w:b/>
              </w:rPr>
              <w:t>Total purchase of supplies and consumables</w:t>
            </w:r>
          </w:p>
        </w:tc>
        <w:tc>
          <w:tcPr>
            <w:tcW w:w="907" w:type="dxa"/>
            <w:tcBorders>
              <w:top w:val="single" w:sz="6" w:space="0" w:color="auto"/>
              <w:bottom w:val="single" w:sz="12" w:space="0" w:color="auto"/>
            </w:tcBorders>
          </w:tcPr>
          <w:p w14:paraId="0CA6C74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7 182</w:t>
            </w:r>
          </w:p>
        </w:tc>
        <w:tc>
          <w:tcPr>
            <w:tcW w:w="907" w:type="dxa"/>
            <w:tcBorders>
              <w:top w:val="single" w:sz="6" w:space="0" w:color="auto"/>
              <w:bottom w:val="single" w:sz="12" w:space="0" w:color="auto"/>
            </w:tcBorders>
          </w:tcPr>
          <w:p w14:paraId="7537E45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6 246</w:t>
            </w:r>
          </w:p>
        </w:tc>
        <w:tc>
          <w:tcPr>
            <w:tcW w:w="907" w:type="dxa"/>
            <w:tcBorders>
              <w:top w:val="single" w:sz="6" w:space="0" w:color="auto"/>
              <w:bottom w:val="single" w:sz="12" w:space="0" w:color="auto"/>
            </w:tcBorders>
          </w:tcPr>
          <w:p w14:paraId="7C4050A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6 068</w:t>
            </w:r>
          </w:p>
        </w:tc>
        <w:tc>
          <w:tcPr>
            <w:tcW w:w="907" w:type="dxa"/>
            <w:tcBorders>
              <w:top w:val="single" w:sz="6" w:space="0" w:color="auto"/>
              <w:bottom w:val="single" w:sz="12" w:space="0" w:color="auto"/>
            </w:tcBorders>
          </w:tcPr>
          <w:p w14:paraId="4A63B99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5 308</w:t>
            </w:r>
          </w:p>
        </w:tc>
      </w:tr>
    </w:tbl>
    <w:p w14:paraId="6E526F5A" w14:textId="77777777" w:rsidR="004D42F9" w:rsidRDefault="004D42F9" w:rsidP="004D42F9"/>
    <w:p w14:paraId="6B86C867" w14:textId="77777777" w:rsidR="004D42F9" w:rsidRDefault="004D42F9" w:rsidP="004D42F9">
      <w:pPr>
        <w:pStyle w:val="TableHeading"/>
      </w:pPr>
      <w:r>
        <w:t>Purchase of services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Purchase_services"/>
      </w:tblPr>
      <w:tblGrid>
        <w:gridCol w:w="6010"/>
        <w:gridCol w:w="907"/>
        <w:gridCol w:w="907"/>
        <w:gridCol w:w="907"/>
        <w:gridCol w:w="907"/>
      </w:tblGrid>
      <w:tr w:rsidR="004D42F9" w14:paraId="01882CA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CC3093C" w14:textId="77777777" w:rsidR="004D42F9" w:rsidRDefault="004D42F9">
            <w:pPr>
              <w:keepNext/>
            </w:pPr>
          </w:p>
        </w:tc>
        <w:tc>
          <w:tcPr>
            <w:tcW w:w="1814" w:type="dxa"/>
            <w:gridSpan w:val="2"/>
          </w:tcPr>
          <w:p w14:paraId="5146195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946F095"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2D9BCA5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02659DC" w14:textId="77777777" w:rsidR="004D42F9" w:rsidRDefault="004D42F9">
            <w:pPr>
              <w:keepNext/>
            </w:pPr>
          </w:p>
        </w:tc>
        <w:tc>
          <w:tcPr>
            <w:tcW w:w="907" w:type="dxa"/>
          </w:tcPr>
          <w:p w14:paraId="3A52408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082B77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1C6099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56A647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2902846" w14:textId="77777777">
        <w:tc>
          <w:tcPr>
            <w:cnfStyle w:val="001000000000" w:firstRow="0" w:lastRow="0" w:firstColumn="1" w:lastColumn="0" w:oddVBand="0" w:evenVBand="0" w:oddHBand="0" w:evenHBand="0" w:firstRowFirstColumn="0" w:firstRowLastColumn="0" w:lastRowFirstColumn="0" w:lastRowLastColumn="0"/>
            <w:tcW w:w="6010" w:type="dxa"/>
          </w:tcPr>
          <w:p w14:paraId="4CAEE6F4" w14:textId="77777777" w:rsidR="004D42F9" w:rsidRDefault="004D42F9">
            <w:r>
              <w:t>Service contracts</w:t>
            </w:r>
          </w:p>
        </w:tc>
        <w:tc>
          <w:tcPr>
            <w:tcW w:w="907" w:type="dxa"/>
          </w:tcPr>
          <w:p w14:paraId="6CDEF152" w14:textId="77777777" w:rsidR="004D42F9" w:rsidRDefault="004D42F9">
            <w:pPr>
              <w:cnfStyle w:val="000000000000" w:firstRow="0" w:lastRow="0" w:firstColumn="0" w:lastColumn="0" w:oddVBand="0" w:evenVBand="0" w:oddHBand="0" w:evenHBand="0" w:firstRowFirstColumn="0" w:firstRowLastColumn="0" w:lastRowFirstColumn="0" w:lastRowLastColumn="0"/>
            </w:pPr>
            <w:r>
              <w:t>11 898</w:t>
            </w:r>
          </w:p>
        </w:tc>
        <w:tc>
          <w:tcPr>
            <w:tcW w:w="907" w:type="dxa"/>
          </w:tcPr>
          <w:p w14:paraId="3FDCD4AB" w14:textId="77777777" w:rsidR="004D42F9" w:rsidRDefault="004D42F9">
            <w:pPr>
              <w:cnfStyle w:val="000000000000" w:firstRow="0" w:lastRow="0" w:firstColumn="0" w:lastColumn="0" w:oddVBand="0" w:evenVBand="0" w:oddHBand="0" w:evenHBand="0" w:firstRowFirstColumn="0" w:firstRowLastColumn="0" w:lastRowFirstColumn="0" w:lastRowLastColumn="0"/>
            </w:pPr>
            <w:r>
              <w:t>11 610</w:t>
            </w:r>
          </w:p>
        </w:tc>
        <w:tc>
          <w:tcPr>
            <w:tcW w:w="907" w:type="dxa"/>
          </w:tcPr>
          <w:p w14:paraId="15D783F5" w14:textId="77777777" w:rsidR="004D42F9" w:rsidRDefault="004D42F9">
            <w:pPr>
              <w:cnfStyle w:val="000000000000" w:firstRow="0" w:lastRow="0" w:firstColumn="0" w:lastColumn="0" w:oddVBand="0" w:evenVBand="0" w:oddHBand="0" w:evenHBand="0" w:firstRowFirstColumn="0" w:firstRowLastColumn="0" w:lastRowFirstColumn="0" w:lastRowLastColumn="0"/>
            </w:pPr>
            <w:r>
              <w:t>11 412</w:t>
            </w:r>
          </w:p>
        </w:tc>
        <w:tc>
          <w:tcPr>
            <w:tcW w:w="907" w:type="dxa"/>
          </w:tcPr>
          <w:p w14:paraId="07EE0DB2" w14:textId="77777777" w:rsidR="004D42F9" w:rsidRDefault="004D42F9">
            <w:pPr>
              <w:cnfStyle w:val="000000000000" w:firstRow="0" w:lastRow="0" w:firstColumn="0" w:lastColumn="0" w:oddVBand="0" w:evenVBand="0" w:oddHBand="0" w:evenHBand="0" w:firstRowFirstColumn="0" w:firstRowLastColumn="0" w:lastRowFirstColumn="0" w:lastRowLastColumn="0"/>
            </w:pPr>
            <w:r>
              <w:t>11 109</w:t>
            </w:r>
          </w:p>
        </w:tc>
      </w:tr>
      <w:tr w:rsidR="004D42F9" w14:paraId="31B2AC2A" w14:textId="77777777">
        <w:tc>
          <w:tcPr>
            <w:cnfStyle w:val="001000000000" w:firstRow="0" w:lastRow="0" w:firstColumn="1" w:lastColumn="0" w:oddVBand="0" w:evenVBand="0" w:oddHBand="0" w:evenHBand="0" w:firstRowFirstColumn="0" w:firstRowLastColumn="0" w:lastRowFirstColumn="0" w:lastRowLastColumn="0"/>
            <w:tcW w:w="6010" w:type="dxa"/>
          </w:tcPr>
          <w:p w14:paraId="7F65F19F" w14:textId="77777777" w:rsidR="004D42F9" w:rsidRDefault="004D42F9">
            <w:r>
              <w:t>Accommodation/occupancy</w:t>
            </w:r>
          </w:p>
        </w:tc>
        <w:tc>
          <w:tcPr>
            <w:tcW w:w="907" w:type="dxa"/>
          </w:tcPr>
          <w:p w14:paraId="04F36C0F" w14:textId="77777777" w:rsidR="004D42F9" w:rsidRDefault="004D42F9">
            <w:pPr>
              <w:cnfStyle w:val="000000000000" w:firstRow="0" w:lastRow="0" w:firstColumn="0" w:lastColumn="0" w:oddVBand="0" w:evenVBand="0" w:oddHBand="0" w:evenHBand="0" w:firstRowFirstColumn="0" w:firstRowLastColumn="0" w:lastRowFirstColumn="0" w:lastRowLastColumn="0"/>
            </w:pPr>
            <w:r>
              <w:t>1 423</w:t>
            </w:r>
          </w:p>
        </w:tc>
        <w:tc>
          <w:tcPr>
            <w:tcW w:w="907" w:type="dxa"/>
          </w:tcPr>
          <w:p w14:paraId="09852257" w14:textId="77777777" w:rsidR="004D42F9" w:rsidRDefault="004D42F9">
            <w:pPr>
              <w:cnfStyle w:val="000000000000" w:firstRow="0" w:lastRow="0" w:firstColumn="0" w:lastColumn="0" w:oddVBand="0" w:evenVBand="0" w:oddHBand="0" w:evenHBand="0" w:firstRowFirstColumn="0" w:firstRowLastColumn="0" w:lastRowFirstColumn="0" w:lastRowLastColumn="0"/>
            </w:pPr>
            <w:r>
              <w:t>1 387</w:t>
            </w:r>
          </w:p>
        </w:tc>
        <w:tc>
          <w:tcPr>
            <w:tcW w:w="907" w:type="dxa"/>
          </w:tcPr>
          <w:p w14:paraId="5383217F" w14:textId="77777777" w:rsidR="004D42F9" w:rsidRDefault="004D42F9">
            <w:pPr>
              <w:cnfStyle w:val="000000000000" w:firstRow="0" w:lastRow="0" w:firstColumn="0" w:lastColumn="0" w:oddVBand="0" w:evenVBand="0" w:oddHBand="0" w:evenHBand="0" w:firstRowFirstColumn="0" w:firstRowLastColumn="0" w:lastRowFirstColumn="0" w:lastRowLastColumn="0"/>
            </w:pPr>
            <w:r>
              <w:t>1 207</w:t>
            </w:r>
          </w:p>
        </w:tc>
        <w:tc>
          <w:tcPr>
            <w:tcW w:w="907" w:type="dxa"/>
          </w:tcPr>
          <w:p w14:paraId="68A8E05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1 182</w:t>
            </w:r>
          </w:p>
        </w:tc>
      </w:tr>
      <w:tr w:rsidR="004D42F9" w14:paraId="5AB3C687" w14:textId="77777777">
        <w:tc>
          <w:tcPr>
            <w:cnfStyle w:val="001000000000" w:firstRow="0" w:lastRow="0" w:firstColumn="1" w:lastColumn="0" w:oddVBand="0" w:evenVBand="0" w:oddHBand="0" w:evenHBand="0" w:firstRowFirstColumn="0" w:firstRowLastColumn="0" w:lastRowFirstColumn="0" w:lastRowLastColumn="0"/>
            <w:tcW w:w="6010" w:type="dxa"/>
          </w:tcPr>
          <w:p w14:paraId="2E83A332" w14:textId="77777777" w:rsidR="004D42F9" w:rsidRDefault="004D42F9">
            <w:r>
              <w:t>Medical and client care services</w:t>
            </w:r>
          </w:p>
        </w:tc>
        <w:tc>
          <w:tcPr>
            <w:tcW w:w="907" w:type="dxa"/>
          </w:tcPr>
          <w:p w14:paraId="0B188A23" w14:textId="77777777" w:rsidR="004D42F9" w:rsidRDefault="004D42F9">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47781371" w14:textId="77777777" w:rsidR="004D42F9" w:rsidRDefault="004D42F9">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648EAEC4" w14:textId="77777777" w:rsidR="004D42F9" w:rsidRDefault="004D42F9">
            <w:pPr>
              <w:cnfStyle w:val="000000000000" w:firstRow="0" w:lastRow="0" w:firstColumn="0" w:lastColumn="0" w:oddVBand="0" w:evenVBand="0" w:oddHBand="0" w:evenHBand="0" w:firstRowFirstColumn="0" w:firstRowLastColumn="0" w:lastRowFirstColumn="0" w:lastRowLastColumn="0"/>
            </w:pPr>
            <w:r>
              <w:t>473</w:t>
            </w:r>
          </w:p>
        </w:tc>
        <w:tc>
          <w:tcPr>
            <w:tcW w:w="907" w:type="dxa"/>
          </w:tcPr>
          <w:p w14:paraId="50D37170" w14:textId="77777777" w:rsidR="004D42F9" w:rsidRDefault="004D42F9">
            <w:pPr>
              <w:cnfStyle w:val="000000000000" w:firstRow="0" w:lastRow="0" w:firstColumn="0" w:lastColumn="0" w:oddVBand="0" w:evenVBand="0" w:oddHBand="0" w:evenHBand="0" w:firstRowFirstColumn="0" w:firstRowLastColumn="0" w:lastRowFirstColumn="0" w:lastRowLastColumn="0"/>
            </w:pPr>
            <w:r>
              <w:t>544</w:t>
            </w:r>
          </w:p>
        </w:tc>
      </w:tr>
      <w:tr w:rsidR="004D42F9" w14:paraId="65080B96" w14:textId="77777777">
        <w:tc>
          <w:tcPr>
            <w:cnfStyle w:val="001000000000" w:firstRow="0" w:lastRow="0" w:firstColumn="1" w:lastColumn="0" w:oddVBand="0" w:evenVBand="0" w:oddHBand="0" w:evenHBand="0" w:firstRowFirstColumn="0" w:firstRowLastColumn="0" w:lastRowFirstColumn="0" w:lastRowLastColumn="0"/>
            <w:tcW w:w="6010" w:type="dxa"/>
          </w:tcPr>
          <w:p w14:paraId="3DD41803" w14:textId="77777777" w:rsidR="004D42F9" w:rsidRDefault="004D42F9">
            <w:r>
              <w:t>Staff related expenses (non</w:t>
            </w:r>
            <w:r>
              <w:noBreakHyphen/>
              <w:t>labour related)</w:t>
            </w:r>
          </w:p>
        </w:tc>
        <w:tc>
          <w:tcPr>
            <w:tcW w:w="907" w:type="dxa"/>
          </w:tcPr>
          <w:p w14:paraId="0CAA054F" w14:textId="77777777" w:rsidR="004D42F9" w:rsidRDefault="004D42F9">
            <w:pPr>
              <w:cnfStyle w:val="000000000000" w:firstRow="0" w:lastRow="0" w:firstColumn="0" w:lastColumn="0" w:oddVBand="0" w:evenVBand="0" w:oddHBand="0" w:evenHBand="0" w:firstRowFirstColumn="0" w:firstRowLastColumn="0" w:lastRowFirstColumn="0" w:lastRowLastColumn="0"/>
            </w:pPr>
            <w:r>
              <w:t>428</w:t>
            </w:r>
          </w:p>
        </w:tc>
        <w:tc>
          <w:tcPr>
            <w:tcW w:w="907" w:type="dxa"/>
          </w:tcPr>
          <w:p w14:paraId="719A4F7C" w14:textId="77777777" w:rsidR="004D42F9" w:rsidRDefault="004D42F9">
            <w:pPr>
              <w:cnfStyle w:val="000000000000" w:firstRow="0" w:lastRow="0" w:firstColumn="0" w:lastColumn="0" w:oddVBand="0" w:evenVBand="0" w:oddHBand="0" w:evenHBand="0" w:firstRowFirstColumn="0" w:firstRowLastColumn="0" w:lastRowFirstColumn="0" w:lastRowLastColumn="0"/>
            </w:pPr>
            <w:r>
              <w:t>437</w:t>
            </w:r>
          </w:p>
        </w:tc>
        <w:tc>
          <w:tcPr>
            <w:tcW w:w="907" w:type="dxa"/>
          </w:tcPr>
          <w:p w14:paraId="47E83332" w14:textId="77777777" w:rsidR="004D42F9" w:rsidRDefault="004D42F9">
            <w:pPr>
              <w:cnfStyle w:val="000000000000" w:firstRow="0" w:lastRow="0" w:firstColumn="0" w:lastColumn="0" w:oddVBand="0" w:evenVBand="0" w:oddHBand="0" w:evenHBand="0" w:firstRowFirstColumn="0" w:firstRowLastColumn="0" w:lastRowFirstColumn="0" w:lastRowLastColumn="0"/>
            </w:pPr>
            <w:r>
              <w:t>385</w:t>
            </w:r>
          </w:p>
        </w:tc>
        <w:tc>
          <w:tcPr>
            <w:tcW w:w="907" w:type="dxa"/>
          </w:tcPr>
          <w:p w14:paraId="3200D56A" w14:textId="77777777" w:rsidR="004D42F9" w:rsidRDefault="004D42F9">
            <w:pPr>
              <w:cnfStyle w:val="000000000000" w:firstRow="0" w:lastRow="0" w:firstColumn="0" w:lastColumn="0" w:oddVBand="0" w:evenVBand="0" w:oddHBand="0" w:evenHBand="0" w:firstRowFirstColumn="0" w:firstRowLastColumn="0" w:lastRowFirstColumn="0" w:lastRowLastColumn="0"/>
            </w:pPr>
            <w:r>
              <w:t>395</w:t>
            </w:r>
          </w:p>
        </w:tc>
      </w:tr>
      <w:tr w:rsidR="004D42F9" w14:paraId="79B73F8E"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0B16FA9" w14:textId="77777777" w:rsidR="004D42F9" w:rsidRDefault="004D42F9">
            <w:r>
              <w:t>Other purchase of services</w:t>
            </w:r>
          </w:p>
        </w:tc>
        <w:tc>
          <w:tcPr>
            <w:tcW w:w="907" w:type="dxa"/>
            <w:tcBorders>
              <w:bottom w:val="single" w:sz="6" w:space="0" w:color="auto"/>
            </w:tcBorders>
          </w:tcPr>
          <w:p w14:paraId="321544AB" w14:textId="77777777" w:rsidR="004D42F9" w:rsidRDefault="004D42F9">
            <w:pPr>
              <w:cnfStyle w:val="000000000000" w:firstRow="0" w:lastRow="0" w:firstColumn="0" w:lastColumn="0" w:oddVBand="0" w:evenVBand="0" w:oddHBand="0" w:evenHBand="0" w:firstRowFirstColumn="0" w:firstRowLastColumn="0" w:lastRowFirstColumn="0" w:lastRowLastColumn="0"/>
            </w:pPr>
            <w:r>
              <w:t>7 861</w:t>
            </w:r>
          </w:p>
        </w:tc>
        <w:tc>
          <w:tcPr>
            <w:tcW w:w="907" w:type="dxa"/>
            <w:tcBorders>
              <w:bottom w:val="single" w:sz="6" w:space="0" w:color="auto"/>
            </w:tcBorders>
          </w:tcPr>
          <w:p w14:paraId="74F81648" w14:textId="77777777" w:rsidR="004D42F9" w:rsidRDefault="004D42F9">
            <w:pPr>
              <w:cnfStyle w:val="000000000000" w:firstRow="0" w:lastRow="0" w:firstColumn="0" w:lastColumn="0" w:oddVBand="0" w:evenVBand="0" w:oddHBand="0" w:evenHBand="0" w:firstRowFirstColumn="0" w:firstRowLastColumn="0" w:lastRowFirstColumn="0" w:lastRowLastColumn="0"/>
            </w:pPr>
            <w:r>
              <w:t>8 041</w:t>
            </w:r>
          </w:p>
        </w:tc>
        <w:tc>
          <w:tcPr>
            <w:tcW w:w="907" w:type="dxa"/>
            <w:tcBorders>
              <w:bottom w:val="single" w:sz="6" w:space="0" w:color="auto"/>
            </w:tcBorders>
          </w:tcPr>
          <w:p w14:paraId="6C7BBC68" w14:textId="77777777" w:rsidR="004D42F9" w:rsidRDefault="004D42F9">
            <w:pPr>
              <w:cnfStyle w:val="000000000000" w:firstRow="0" w:lastRow="0" w:firstColumn="0" w:lastColumn="0" w:oddVBand="0" w:evenVBand="0" w:oddHBand="0" w:evenHBand="0" w:firstRowFirstColumn="0" w:firstRowLastColumn="0" w:lastRowFirstColumn="0" w:lastRowLastColumn="0"/>
            </w:pPr>
            <w:r>
              <w:t>6 276</w:t>
            </w:r>
          </w:p>
        </w:tc>
        <w:tc>
          <w:tcPr>
            <w:tcW w:w="907" w:type="dxa"/>
            <w:tcBorders>
              <w:bottom w:val="single" w:sz="6" w:space="0" w:color="auto"/>
            </w:tcBorders>
          </w:tcPr>
          <w:p w14:paraId="61F7C7C2" w14:textId="77777777" w:rsidR="004D42F9" w:rsidRDefault="004D42F9">
            <w:pPr>
              <w:cnfStyle w:val="000000000000" w:firstRow="0" w:lastRow="0" w:firstColumn="0" w:lastColumn="0" w:oddVBand="0" w:evenVBand="0" w:oddHBand="0" w:evenHBand="0" w:firstRowFirstColumn="0" w:firstRowLastColumn="0" w:lastRowFirstColumn="0" w:lastRowLastColumn="0"/>
            </w:pPr>
            <w:r>
              <w:t>6 368</w:t>
            </w:r>
          </w:p>
        </w:tc>
      </w:tr>
      <w:tr w:rsidR="004D42F9" w14:paraId="17A8D026"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60E21E0" w14:textId="77777777" w:rsidR="004D42F9" w:rsidRDefault="004D42F9">
            <w:r>
              <w:rPr>
                <w:b/>
              </w:rPr>
              <w:t>Total purchase of services</w:t>
            </w:r>
          </w:p>
        </w:tc>
        <w:tc>
          <w:tcPr>
            <w:tcW w:w="907" w:type="dxa"/>
            <w:tcBorders>
              <w:top w:val="single" w:sz="6" w:space="0" w:color="auto"/>
              <w:bottom w:val="single" w:sz="12" w:space="0" w:color="auto"/>
            </w:tcBorders>
          </w:tcPr>
          <w:p w14:paraId="6736487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22 083</w:t>
            </w:r>
          </w:p>
        </w:tc>
        <w:tc>
          <w:tcPr>
            <w:tcW w:w="907" w:type="dxa"/>
            <w:tcBorders>
              <w:top w:val="single" w:sz="6" w:space="0" w:color="auto"/>
              <w:bottom w:val="single" w:sz="12" w:space="0" w:color="auto"/>
            </w:tcBorders>
          </w:tcPr>
          <w:p w14:paraId="28860E7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22 019</w:t>
            </w:r>
          </w:p>
        </w:tc>
        <w:tc>
          <w:tcPr>
            <w:tcW w:w="907" w:type="dxa"/>
            <w:tcBorders>
              <w:top w:val="single" w:sz="6" w:space="0" w:color="auto"/>
              <w:bottom w:val="single" w:sz="12" w:space="0" w:color="auto"/>
            </w:tcBorders>
          </w:tcPr>
          <w:p w14:paraId="39E6996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19 752</w:t>
            </w:r>
          </w:p>
        </w:tc>
        <w:tc>
          <w:tcPr>
            <w:tcW w:w="907" w:type="dxa"/>
            <w:tcBorders>
              <w:top w:val="single" w:sz="6" w:space="0" w:color="auto"/>
              <w:bottom w:val="single" w:sz="12" w:space="0" w:color="auto"/>
            </w:tcBorders>
          </w:tcPr>
          <w:p w14:paraId="5E9866B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19 598</w:t>
            </w:r>
          </w:p>
        </w:tc>
      </w:tr>
    </w:tbl>
    <w:p w14:paraId="1304A421" w14:textId="77777777" w:rsidR="004D42F9" w:rsidRDefault="004D42F9" w:rsidP="004D42F9">
      <w:pPr>
        <w:pStyle w:val="Heading2"/>
      </w:pPr>
      <w:bookmarkStart w:id="80" w:name="_Toc209476188"/>
      <w:r>
        <w:lastRenderedPageBreak/>
        <w:t>3.6</w:t>
      </w:r>
      <w:r w:rsidDel="00513A53">
        <w:tab/>
        <w:t>Payables</w:t>
      </w:r>
      <w:bookmarkEnd w:id="80"/>
    </w:p>
    <w:p w14:paraId="34194B86" w14:textId="77777777" w:rsidR="004D42F9" w:rsidDel="00513A53" w:rsidRDefault="004D42F9" w:rsidP="004D42F9">
      <w:pPr>
        <w:pStyle w:val="TableHeading"/>
      </w:pPr>
      <w:r>
        <w:tab/>
      </w:r>
      <w:r>
        <w:tab/>
      </w:r>
      <w:r w:rsidDel="00513A53">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Payables"/>
      </w:tblPr>
      <w:tblGrid>
        <w:gridCol w:w="6005"/>
        <w:gridCol w:w="908"/>
        <w:gridCol w:w="908"/>
        <w:gridCol w:w="908"/>
        <w:gridCol w:w="909"/>
      </w:tblGrid>
      <w:tr w:rsidR="004D42F9" w14:paraId="1ED5D9C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49731CBC" w14:textId="77777777" w:rsidR="004D42F9" w:rsidRDefault="004D42F9">
            <w:pPr>
              <w:keepNext/>
            </w:pPr>
          </w:p>
        </w:tc>
        <w:tc>
          <w:tcPr>
            <w:tcW w:w="1816" w:type="dxa"/>
            <w:gridSpan w:val="2"/>
          </w:tcPr>
          <w:p w14:paraId="602235F5"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7" w:type="dxa"/>
            <w:gridSpan w:val="2"/>
          </w:tcPr>
          <w:p w14:paraId="1B7CD3CB"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43869C2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5" w:type="dxa"/>
          </w:tcPr>
          <w:p w14:paraId="0D1088A1" w14:textId="77777777" w:rsidR="004D42F9" w:rsidRDefault="004D42F9">
            <w:pPr>
              <w:keepNext/>
            </w:pPr>
          </w:p>
        </w:tc>
        <w:tc>
          <w:tcPr>
            <w:tcW w:w="908" w:type="dxa"/>
          </w:tcPr>
          <w:p w14:paraId="4E563A1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8" w:type="dxa"/>
          </w:tcPr>
          <w:p w14:paraId="5CFF67A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8" w:type="dxa"/>
          </w:tcPr>
          <w:p w14:paraId="4D37A58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9" w:type="dxa"/>
          </w:tcPr>
          <w:p w14:paraId="6AD68A5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15E2CCE" w14:textId="77777777">
        <w:tc>
          <w:tcPr>
            <w:cnfStyle w:val="001000000000" w:firstRow="0" w:lastRow="0" w:firstColumn="1" w:lastColumn="0" w:oddVBand="0" w:evenVBand="0" w:oddHBand="0" w:evenHBand="0" w:firstRowFirstColumn="0" w:firstRowLastColumn="0" w:lastRowFirstColumn="0" w:lastRowLastColumn="0"/>
            <w:tcW w:w="6005" w:type="dxa"/>
          </w:tcPr>
          <w:p w14:paraId="1E20542A" w14:textId="77777777" w:rsidR="004D42F9" w:rsidRDefault="004D42F9">
            <w:r>
              <w:rPr>
                <w:b/>
              </w:rPr>
              <w:t>Contractual</w:t>
            </w:r>
          </w:p>
        </w:tc>
        <w:tc>
          <w:tcPr>
            <w:tcW w:w="908" w:type="dxa"/>
          </w:tcPr>
          <w:p w14:paraId="59498F3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7609425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Pr>
          <w:p w14:paraId="5C44123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Pr>
          <w:p w14:paraId="3A7BFB2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9016DF8" w14:textId="77777777">
        <w:tc>
          <w:tcPr>
            <w:cnfStyle w:val="001000000000" w:firstRow="0" w:lastRow="0" w:firstColumn="1" w:lastColumn="0" w:oddVBand="0" w:evenVBand="0" w:oddHBand="0" w:evenHBand="0" w:firstRowFirstColumn="0" w:firstRowLastColumn="0" w:lastRowFirstColumn="0" w:lastRowLastColumn="0"/>
            <w:tcW w:w="6005" w:type="dxa"/>
          </w:tcPr>
          <w:p w14:paraId="54E9B26D" w14:textId="77777777" w:rsidR="004D42F9" w:rsidRDefault="004D42F9">
            <w:r>
              <w:t>Accounts payable</w:t>
            </w:r>
          </w:p>
        </w:tc>
        <w:tc>
          <w:tcPr>
            <w:tcW w:w="908" w:type="dxa"/>
          </w:tcPr>
          <w:p w14:paraId="246EE667" w14:textId="77777777" w:rsidR="004D42F9" w:rsidRDefault="004D42F9">
            <w:pPr>
              <w:cnfStyle w:val="000000000000" w:firstRow="0" w:lastRow="0" w:firstColumn="0" w:lastColumn="0" w:oddVBand="0" w:evenVBand="0" w:oddHBand="0" w:evenHBand="0" w:firstRowFirstColumn="0" w:firstRowLastColumn="0" w:lastRowFirstColumn="0" w:lastRowLastColumn="0"/>
            </w:pPr>
            <w:r>
              <w:t>3 500</w:t>
            </w:r>
          </w:p>
        </w:tc>
        <w:tc>
          <w:tcPr>
            <w:tcW w:w="908" w:type="dxa"/>
          </w:tcPr>
          <w:p w14:paraId="4D89B8FC" w14:textId="77777777" w:rsidR="004D42F9" w:rsidRDefault="004D42F9">
            <w:pPr>
              <w:cnfStyle w:val="000000000000" w:firstRow="0" w:lastRow="0" w:firstColumn="0" w:lastColumn="0" w:oddVBand="0" w:evenVBand="0" w:oddHBand="0" w:evenHBand="0" w:firstRowFirstColumn="0" w:firstRowLastColumn="0" w:lastRowFirstColumn="0" w:lastRowLastColumn="0"/>
            </w:pPr>
            <w:r>
              <w:t>3 340</w:t>
            </w:r>
          </w:p>
        </w:tc>
        <w:tc>
          <w:tcPr>
            <w:tcW w:w="908" w:type="dxa"/>
          </w:tcPr>
          <w:p w14:paraId="378A84E6" w14:textId="77777777" w:rsidR="004D42F9" w:rsidRDefault="004D42F9">
            <w:pPr>
              <w:cnfStyle w:val="000000000000" w:firstRow="0" w:lastRow="0" w:firstColumn="0" w:lastColumn="0" w:oddVBand="0" w:evenVBand="0" w:oddHBand="0" w:evenHBand="0" w:firstRowFirstColumn="0" w:firstRowLastColumn="0" w:lastRowFirstColumn="0" w:lastRowLastColumn="0"/>
            </w:pPr>
            <w:r>
              <w:t>1 350</w:t>
            </w:r>
          </w:p>
        </w:tc>
        <w:tc>
          <w:tcPr>
            <w:tcW w:w="909" w:type="dxa"/>
          </w:tcPr>
          <w:p w14:paraId="58192DDD" w14:textId="77777777" w:rsidR="004D42F9" w:rsidRDefault="004D42F9">
            <w:pPr>
              <w:cnfStyle w:val="000000000000" w:firstRow="0" w:lastRow="0" w:firstColumn="0" w:lastColumn="0" w:oddVBand="0" w:evenVBand="0" w:oddHBand="0" w:evenHBand="0" w:firstRowFirstColumn="0" w:firstRowLastColumn="0" w:lastRowFirstColumn="0" w:lastRowLastColumn="0"/>
            </w:pPr>
            <w:r>
              <w:t>1 456</w:t>
            </w:r>
          </w:p>
        </w:tc>
      </w:tr>
      <w:tr w:rsidR="004D42F9" w14:paraId="2EB2EFEA" w14:textId="77777777">
        <w:tc>
          <w:tcPr>
            <w:cnfStyle w:val="001000000000" w:firstRow="0" w:lastRow="0" w:firstColumn="1" w:lastColumn="0" w:oddVBand="0" w:evenVBand="0" w:oddHBand="0" w:evenHBand="0" w:firstRowFirstColumn="0" w:firstRowLastColumn="0" w:lastRowFirstColumn="0" w:lastRowLastColumn="0"/>
            <w:tcW w:w="6005" w:type="dxa"/>
          </w:tcPr>
          <w:p w14:paraId="26E4B882" w14:textId="77777777" w:rsidR="004D42F9" w:rsidRDefault="004D42F9">
            <w:r>
              <w:t>Accrued expenses</w:t>
            </w:r>
          </w:p>
        </w:tc>
        <w:tc>
          <w:tcPr>
            <w:tcW w:w="908" w:type="dxa"/>
          </w:tcPr>
          <w:p w14:paraId="2F871EE8" w14:textId="77777777" w:rsidR="004D42F9" w:rsidRDefault="004D42F9">
            <w:pPr>
              <w:cnfStyle w:val="000000000000" w:firstRow="0" w:lastRow="0" w:firstColumn="0" w:lastColumn="0" w:oddVBand="0" w:evenVBand="0" w:oddHBand="0" w:evenHBand="0" w:firstRowFirstColumn="0" w:firstRowLastColumn="0" w:lastRowFirstColumn="0" w:lastRowLastColumn="0"/>
            </w:pPr>
            <w:r>
              <w:t>5 906</w:t>
            </w:r>
          </w:p>
        </w:tc>
        <w:tc>
          <w:tcPr>
            <w:tcW w:w="908" w:type="dxa"/>
          </w:tcPr>
          <w:p w14:paraId="6DB96F4A" w14:textId="77777777" w:rsidR="004D42F9" w:rsidRDefault="004D42F9">
            <w:pPr>
              <w:cnfStyle w:val="000000000000" w:firstRow="0" w:lastRow="0" w:firstColumn="0" w:lastColumn="0" w:oddVBand="0" w:evenVBand="0" w:oddHBand="0" w:evenHBand="0" w:firstRowFirstColumn="0" w:firstRowLastColumn="0" w:lastRowFirstColumn="0" w:lastRowLastColumn="0"/>
            </w:pPr>
            <w:r>
              <w:t>7 050</w:t>
            </w:r>
          </w:p>
        </w:tc>
        <w:tc>
          <w:tcPr>
            <w:tcW w:w="908" w:type="dxa"/>
          </w:tcPr>
          <w:p w14:paraId="7DEF4EE2" w14:textId="77777777" w:rsidR="004D42F9" w:rsidRDefault="004D42F9">
            <w:pPr>
              <w:cnfStyle w:val="000000000000" w:firstRow="0" w:lastRow="0" w:firstColumn="0" w:lastColumn="0" w:oddVBand="0" w:evenVBand="0" w:oddHBand="0" w:evenHBand="0" w:firstRowFirstColumn="0" w:firstRowLastColumn="0" w:lastRowFirstColumn="0" w:lastRowLastColumn="0"/>
            </w:pPr>
            <w:r>
              <w:t>5 139</w:t>
            </w:r>
          </w:p>
        </w:tc>
        <w:tc>
          <w:tcPr>
            <w:tcW w:w="909" w:type="dxa"/>
          </w:tcPr>
          <w:p w14:paraId="60B22E9C" w14:textId="77777777" w:rsidR="004D42F9" w:rsidRDefault="004D42F9">
            <w:pPr>
              <w:cnfStyle w:val="000000000000" w:firstRow="0" w:lastRow="0" w:firstColumn="0" w:lastColumn="0" w:oddVBand="0" w:evenVBand="0" w:oddHBand="0" w:evenHBand="0" w:firstRowFirstColumn="0" w:firstRowLastColumn="0" w:lastRowFirstColumn="0" w:lastRowLastColumn="0"/>
            </w:pPr>
            <w:r>
              <w:t>6 218</w:t>
            </w:r>
          </w:p>
        </w:tc>
      </w:tr>
      <w:tr w:rsidR="004D42F9" w14:paraId="1E1FF3CE" w14:textId="77777777" w:rsidTr="002F56B2">
        <w:tc>
          <w:tcPr>
            <w:cnfStyle w:val="001000000000" w:firstRow="0" w:lastRow="0" w:firstColumn="1" w:lastColumn="0" w:oddVBand="0" w:evenVBand="0" w:oddHBand="0" w:evenHBand="0" w:firstRowFirstColumn="0" w:firstRowLastColumn="0" w:lastRowFirstColumn="0" w:lastRowLastColumn="0"/>
            <w:tcW w:w="6005" w:type="dxa"/>
            <w:tcBorders>
              <w:bottom w:val="nil"/>
            </w:tcBorders>
          </w:tcPr>
          <w:p w14:paraId="21AAA44C" w14:textId="77777777" w:rsidR="004D42F9" w:rsidRDefault="004D42F9">
            <w:r>
              <w:rPr>
                <w:b/>
              </w:rPr>
              <w:t>Statutory</w:t>
            </w:r>
          </w:p>
        </w:tc>
        <w:tc>
          <w:tcPr>
            <w:tcW w:w="908" w:type="dxa"/>
            <w:tcBorders>
              <w:bottom w:val="nil"/>
            </w:tcBorders>
          </w:tcPr>
          <w:p w14:paraId="2A6DCB9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bottom w:val="nil"/>
            </w:tcBorders>
          </w:tcPr>
          <w:p w14:paraId="5128C48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bottom w:val="nil"/>
            </w:tcBorders>
          </w:tcPr>
          <w:p w14:paraId="2408A3B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Borders>
              <w:bottom w:val="nil"/>
            </w:tcBorders>
          </w:tcPr>
          <w:p w14:paraId="7A7CBB0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7D0CA31" w14:textId="77777777" w:rsidTr="002F56B2">
        <w:tc>
          <w:tcPr>
            <w:cnfStyle w:val="001000000000" w:firstRow="0" w:lastRow="0" w:firstColumn="1" w:lastColumn="0" w:oddVBand="0" w:evenVBand="0" w:oddHBand="0" w:evenHBand="0" w:firstRowFirstColumn="0" w:firstRowLastColumn="0" w:lastRowFirstColumn="0" w:lastRowLastColumn="0"/>
            <w:tcW w:w="6005" w:type="dxa"/>
            <w:tcBorders>
              <w:bottom w:val="single" w:sz="4" w:space="0" w:color="auto"/>
            </w:tcBorders>
          </w:tcPr>
          <w:p w14:paraId="4AD8EDD7" w14:textId="77777777" w:rsidR="004D42F9" w:rsidRDefault="004D42F9">
            <w:r>
              <w:t>Accrued taxes payable</w:t>
            </w:r>
          </w:p>
        </w:tc>
        <w:tc>
          <w:tcPr>
            <w:tcW w:w="908" w:type="dxa"/>
            <w:tcBorders>
              <w:bottom w:val="single" w:sz="4" w:space="0" w:color="auto"/>
            </w:tcBorders>
          </w:tcPr>
          <w:p w14:paraId="7F29404C" w14:textId="77777777" w:rsidR="004D42F9" w:rsidRDefault="004D42F9">
            <w:pPr>
              <w:cnfStyle w:val="000000000000" w:firstRow="0" w:lastRow="0" w:firstColumn="0" w:lastColumn="0" w:oddVBand="0" w:evenVBand="0" w:oddHBand="0" w:evenHBand="0" w:firstRowFirstColumn="0" w:firstRowLastColumn="0" w:lastRowFirstColumn="0" w:lastRowLastColumn="0"/>
            </w:pPr>
            <w:r>
              <w:t>121</w:t>
            </w:r>
          </w:p>
        </w:tc>
        <w:tc>
          <w:tcPr>
            <w:tcW w:w="908" w:type="dxa"/>
            <w:tcBorders>
              <w:bottom w:val="single" w:sz="4" w:space="0" w:color="auto"/>
            </w:tcBorders>
          </w:tcPr>
          <w:p w14:paraId="6C9492BA" w14:textId="77777777" w:rsidR="004D42F9" w:rsidRDefault="004D42F9">
            <w:pPr>
              <w:cnfStyle w:val="000000000000" w:firstRow="0" w:lastRow="0" w:firstColumn="0" w:lastColumn="0" w:oddVBand="0" w:evenVBand="0" w:oddHBand="0" w:evenHBand="0" w:firstRowFirstColumn="0" w:firstRowLastColumn="0" w:lastRowFirstColumn="0" w:lastRowLastColumn="0"/>
            </w:pPr>
            <w:r>
              <w:t>101</w:t>
            </w:r>
          </w:p>
        </w:tc>
        <w:tc>
          <w:tcPr>
            <w:tcW w:w="908" w:type="dxa"/>
            <w:tcBorders>
              <w:bottom w:val="single" w:sz="4" w:space="0" w:color="auto"/>
            </w:tcBorders>
          </w:tcPr>
          <w:p w14:paraId="1ACDD1CC" w14:textId="77777777" w:rsidR="004D42F9" w:rsidRDefault="004D42F9">
            <w:pPr>
              <w:cnfStyle w:val="000000000000" w:firstRow="0" w:lastRow="0" w:firstColumn="0" w:lastColumn="0" w:oddVBand="0" w:evenVBand="0" w:oddHBand="0" w:evenHBand="0" w:firstRowFirstColumn="0" w:firstRowLastColumn="0" w:lastRowFirstColumn="0" w:lastRowLastColumn="0"/>
            </w:pPr>
            <w:r>
              <w:t>70</w:t>
            </w:r>
          </w:p>
        </w:tc>
        <w:tc>
          <w:tcPr>
            <w:tcW w:w="909" w:type="dxa"/>
            <w:tcBorders>
              <w:bottom w:val="single" w:sz="4" w:space="0" w:color="auto"/>
            </w:tcBorders>
          </w:tcPr>
          <w:p w14:paraId="64F64C0F" w14:textId="77777777" w:rsidR="004D42F9" w:rsidRDefault="004D42F9">
            <w:pPr>
              <w:cnfStyle w:val="000000000000" w:firstRow="0" w:lastRow="0" w:firstColumn="0" w:lastColumn="0" w:oddVBand="0" w:evenVBand="0" w:oddHBand="0" w:evenHBand="0" w:firstRowFirstColumn="0" w:firstRowLastColumn="0" w:lastRowFirstColumn="0" w:lastRowLastColumn="0"/>
            </w:pPr>
            <w:r>
              <w:t>67</w:t>
            </w:r>
          </w:p>
        </w:tc>
      </w:tr>
      <w:tr w:rsidR="004D42F9" w14:paraId="1D904791" w14:textId="77777777" w:rsidTr="002F56B2">
        <w:tc>
          <w:tcPr>
            <w:cnfStyle w:val="001000000000" w:firstRow="0" w:lastRow="0" w:firstColumn="1" w:lastColumn="0" w:oddVBand="0" w:evenVBand="0" w:oddHBand="0" w:evenHBand="0" w:firstRowFirstColumn="0" w:firstRowLastColumn="0" w:lastRowFirstColumn="0" w:lastRowLastColumn="0"/>
            <w:tcW w:w="6005" w:type="dxa"/>
            <w:tcBorders>
              <w:top w:val="single" w:sz="4" w:space="0" w:color="auto"/>
              <w:bottom w:val="single" w:sz="12" w:space="0" w:color="auto"/>
            </w:tcBorders>
          </w:tcPr>
          <w:p w14:paraId="7FE9A578" w14:textId="77777777" w:rsidR="004D42F9" w:rsidRDefault="004D42F9">
            <w:r>
              <w:rPr>
                <w:b/>
              </w:rPr>
              <w:t>Total payables</w:t>
            </w:r>
          </w:p>
        </w:tc>
        <w:tc>
          <w:tcPr>
            <w:tcW w:w="908" w:type="dxa"/>
            <w:tcBorders>
              <w:top w:val="single" w:sz="4" w:space="0" w:color="auto"/>
              <w:bottom w:val="single" w:sz="12" w:space="0" w:color="auto"/>
            </w:tcBorders>
          </w:tcPr>
          <w:p w14:paraId="417DED7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9 528</w:t>
            </w:r>
          </w:p>
        </w:tc>
        <w:tc>
          <w:tcPr>
            <w:tcW w:w="908" w:type="dxa"/>
            <w:tcBorders>
              <w:top w:val="single" w:sz="4" w:space="0" w:color="auto"/>
              <w:bottom w:val="single" w:sz="12" w:space="0" w:color="auto"/>
            </w:tcBorders>
          </w:tcPr>
          <w:p w14:paraId="170BFE9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10 491</w:t>
            </w:r>
          </w:p>
        </w:tc>
        <w:tc>
          <w:tcPr>
            <w:tcW w:w="908" w:type="dxa"/>
            <w:tcBorders>
              <w:top w:val="single" w:sz="4" w:space="0" w:color="auto"/>
              <w:bottom w:val="single" w:sz="12" w:space="0" w:color="auto"/>
            </w:tcBorders>
          </w:tcPr>
          <w:p w14:paraId="4233CE1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6 558</w:t>
            </w:r>
          </w:p>
        </w:tc>
        <w:tc>
          <w:tcPr>
            <w:tcW w:w="909" w:type="dxa"/>
            <w:tcBorders>
              <w:top w:val="single" w:sz="4" w:space="0" w:color="auto"/>
              <w:bottom w:val="single" w:sz="12" w:space="0" w:color="auto"/>
            </w:tcBorders>
          </w:tcPr>
          <w:p w14:paraId="58750D6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7 741</w:t>
            </w:r>
          </w:p>
        </w:tc>
      </w:tr>
      <w:tr w:rsidR="004D42F9" w14:paraId="0EFD2F91" w14:textId="77777777">
        <w:tc>
          <w:tcPr>
            <w:cnfStyle w:val="001000000000" w:firstRow="0" w:lastRow="0" w:firstColumn="1" w:lastColumn="0" w:oddVBand="0" w:evenVBand="0" w:oddHBand="0" w:evenHBand="0" w:firstRowFirstColumn="0" w:firstRowLastColumn="0" w:lastRowFirstColumn="0" w:lastRowLastColumn="0"/>
            <w:tcW w:w="6005" w:type="dxa"/>
            <w:tcBorders>
              <w:top w:val="single" w:sz="0" w:space="0" w:color="auto"/>
            </w:tcBorders>
          </w:tcPr>
          <w:p w14:paraId="43165806" w14:textId="77777777" w:rsidR="004D42F9" w:rsidRDefault="004D42F9">
            <w:r>
              <w:rPr>
                <w:b/>
              </w:rPr>
              <w:t>Represented by:</w:t>
            </w:r>
          </w:p>
        </w:tc>
        <w:tc>
          <w:tcPr>
            <w:tcW w:w="908" w:type="dxa"/>
            <w:tcBorders>
              <w:top w:val="single" w:sz="0" w:space="0" w:color="auto"/>
            </w:tcBorders>
          </w:tcPr>
          <w:p w14:paraId="4B3BA98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4AE4A27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8" w:type="dxa"/>
            <w:tcBorders>
              <w:top w:val="single" w:sz="0" w:space="0" w:color="auto"/>
            </w:tcBorders>
          </w:tcPr>
          <w:p w14:paraId="4038E4E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9" w:type="dxa"/>
            <w:tcBorders>
              <w:top w:val="single" w:sz="0" w:space="0" w:color="auto"/>
            </w:tcBorders>
          </w:tcPr>
          <w:p w14:paraId="61B2449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01069B4" w14:textId="77777777">
        <w:tc>
          <w:tcPr>
            <w:cnfStyle w:val="001000000000" w:firstRow="0" w:lastRow="0" w:firstColumn="1" w:lastColumn="0" w:oddVBand="0" w:evenVBand="0" w:oddHBand="0" w:evenHBand="0" w:firstRowFirstColumn="0" w:firstRowLastColumn="0" w:lastRowFirstColumn="0" w:lastRowLastColumn="0"/>
            <w:tcW w:w="6005" w:type="dxa"/>
          </w:tcPr>
          <w:p w14:paraId="22168CB1" w14:textId="77777777" w:rsidR="004D42F9" w:rsidRDefault="004D42F9">
            <w:r>
              <w:t>Current payables</w:t>
            </w:r>
          </w:p>
        </w:tc>
        <w:tc>
          <w:tcPr>
            <w:tcW w:w="908" w:type="dxa"/>
          </w:tcPr>
          <w:p w14:paraId="562032EC" w14:textId="77777777" w:rsidR="004D42F9" w:rsidRDefault="004D42F9">
            <w:pPr>
              <w:cnfStyle w:val="000000000000" w:firstRow="0" w:lastRow="0" w:firstColumn="0" w:lastColumn="0" w:oddVBand="0" w:evenVBand="0" w:oddHBand="0" w:evenHBand="0" w:firstRowFirstColumn="0" w:firstRowLastColumn="0" w:lastRowFirstColumn="0" w:lastRowLastColumn="0"/>
            </w:pPr>
            <w:r>
              <w:t>9 355</w:t>
            </w:r>
          </w:p>
        </w:tc>
        <w:tc>
          <w:tcPr>
            <w:tcW w:w="908" w:type="dxa"/>
          </w:tcPr>
          <w:p w14:paraId="2C4E72A9" w14:textId="77777777" w:rsidR="004D42F9" w:rsidRDefault="004D42F9">
            <w:pPr>
              <w:cnfStyle w:val="000000000000" w:firstRow="0" w:lastRow="0" w:firstColumn="0" w:lastColumn="0" w:oddVBand="0" w:evenVBand="0" w:oddHBand="0" w:evenHBand="0" w:firstRowFirstColumn="0" w:firstRowLastColumn="0" w:lastRowFirstColumn="0" w:lastRowLastColumn="0"/>
            </w:pPr>
            <w:r>
              <w:t>10 331</w:t>
            </w:r>
          </w:p>
        </w:tc>
        <w:tc>
          <w:tcPr>
            <w:tcW w:w="908" w:type="dxa"/>
          </w:tcPr>
          <w:p w14:paraId="58917896" w14:textId="77777777" w:rsidR="004D42F9" w:rsidRDefault="004D42F9">
            <w:pPr>
              <w:cnfStyle w:val="000000000000" w:firstRow="0" w:lastRow="0" w:firstColumn="0" w:lastColumn="0" w:oddVBand="0" w:evenVBand="0" w:oddHBand="0" w:evenHBand="0" w:firstRowFirstColumn="0" w:firstRowLastColumn="0" w:lastRowFirstColumn="0" w:lastRowLastColumn="0"/>
            </w:pPr>
            <w:r>
              <w:t>6 387</w:t>
            </w:r>
          </w:p>
        </w:tc>
        <w:tc>
          <w:tcPr>
            <w:tcW w:w="909" w:type="dxa"/>
          </w:tcPr>
          <w:p w14:paraId="5FCBFF5D" w14:textId="77777777" w:rsidR="004D42F9" w:rsidRDefault="004D42F9">
            <w:pPr>
              <w:cnfStyle w:val="000000000000" w:firstRow="0" w:lastRow="0" w:firstColumn="0" w:lastColumn="0" w:oddVBand="0" w:evenVBand="0" w:oddHBand="0" w:evenHBand="0" w:firstRowFirstColumn="0" w:firstRowLastColumn="0" w:lastRowFirstColumn="0" w:lastRowLastColumn="0"/>
            </w:pPr>
            <w:r>
              <w:t>7 582</w:t>
            </w:r>
          </w:p>
        </w:tc>
      </w:tr>
      <w:tr w:rsidR="004D42F9" w14:paraId="03DEDC1B" w14:textId="77777777">
        <w:tc>
          <w:tcPr>
            <w:cnfStyle w:val="001000000000" w:firstRow="0" w:lastRow="0" w:firstColumn="1" w:lastColumn="0" w:oddVBand="0" w:evenVBand="0" w:oddHBand="0" w:evenHBand="0" w:firstRowFirstColumn="0" w:firstRowLastColumn="0" w:lastRowFirstColumn="0" w:lastRowLastColumn="0"/>
            <w:tcW w:w="6005" w:type="dxa"/>
            <w:tcBorders>
              <w:bottom w:val="single" w:sz="12" w:space="0" w:color="auto"/>
            </w:tcBorders>
          </w:tcPr>
          <w:p w14:paraId="00B3ECD8" w14:textId="77777777" w:rsidR="004D42F9" w:rsidRDefault="004D42F9">
            <w:r>
              <w:t>Non</w:t>
            </w:r>
            <w:r>
              <w:noBreakHyphen/>
              <w:t>current payables</w:t>
            </w:r>
          </w:p>
        </w:tc>
        <w:tc>
          <w:tcPr>
            <w:tcW w:w="908" w:type="dxa"/>
            <w:tcBorders>
              <w:bottom w:val="single" w:sz="12" w:space="0" w:color="auto"/>
            </w:tcBorders>
          </w:tcPr>
          <w:p w14:paraId="1191D4C4" w14:textId="77777777" w:rsidR="004D42F9" w:rsidRDefault="004D42F9">
            <w:pPr>
              <w:cnfStyle w:val="000000000000" w:firstRow="0" w:lastRow="0" w:firstColumn="0" w:lastColumn="0" w:oddVBand="0" w:evenVBand="0" w:oddHBand="0" w:evenHBand="0" w:firstRowFirstColumn="0" w:firstRowLastColumn="0" w:lastRowFirstColumn="0" w:lastRowLastColumn="0"/>
            </w:pPr>
            <w:r>
              <w:t>172</w:t>
            </w:r>
          </w:p>
        </w:tc>
        <w:tc>
          <w:tcPr>
            <w:tcW w:w="908" w:type="dxa"/>
            <w:tcBorders>
              <w:bottom w:val="single" w:sz="12" w:space="0" w:color="auto"/>
            </w:tcBorders>
          </w:tcPr>
          <w:p w14:paraId="229C22D2" w14:textId="77777777" w:rsidR="004D42F9" w:rsidRDefault="004D42F9">
            <w:pPr>
              <w:cnfStyle w:val="000000000000" w:firstRow="0" w:lastRow="0" w:firstColumn="0" w:lastColumn="0" w:oddVBand="0" w:evenVBand="0" w:oddHBand="0" w:evenHBand="0" w:firstRowFirstColumn="0" w:firstRowLastColumn="0" w:lastRowFirstColumn="0" w:lastRowLastColumn="0"/>
            </w:pPr>
            <w:r>
              <w:t>159</w:t>
            </w:r>
          </w:p>
        </w:tc>
        <w:tc>
          <w:tcPr>
            <w:tcW w:w="908" w:type="dxa"/>
            <w:tcBorders>
              <w:bottom w:val="single" w:sz="12" w:space="0" w:color="auto"/>
            </w:tcBorders>
          </w:tcPr>
          <w:p w14:paraId="5AF0996F" w14:textId="77777777" w:rsidR="004D42F9" w:rsidRDefault="004D42F9">
            <w:pPr>
              <w:cnfStyle w:val="000000000000" w:firstRow="0" w:lastRow="0" w:firstColumn="0" w:lastColumn="0" w:oddVBand="0" w:evenVBand="0" w:oddHBand="0" w:evenHBand="0" w:firstRowFirstColumn="0" w:firstRowLastColumn="0" w:lastRowFirstColumn="0" w:lastRowLastColumn="0"/>
            </w:pPr>
            <w:r>
              <w:t>171</w:t>
            </w:r>
          </w:p>
        </w:tc>
        <w:tc>
          <w:tcPr>
            <w:tcW w:w="909" w:type="dxa"/>
            <w:tcBorders>
              <w:bottom w:val="single" w:sz="12" w:space="0" w:color="auto"/>
            </w:tcBorders>
          </w:tcPr>
          <w:p w14:paraId="5B3B0FED" w14:textId="77777777" w:rsidR="004D42F9" w:rsidRDefault="004D42F9">
            <w:pPr>
              <w:cnfStyle w:val="000000000000" w:firstRow="0" w:lastRow="0" w:firstColumn="0" w:lastColumn="0" w:oddVBand="0" w:evenVBand="0" w:oddHBand="0" w:evenHBand="0" w:firstRowFirstColumn="0" w:firstRowLastColumn="0" w:lastRowFirstColumn="0" w:lastRowLastColumn="0"/>
            </w:pPr>
            <w:r>
              <w:t>159</w:t>
            </w:r>
          </w:p>
        </w:tc>
      </w:tr>
    </w:tbl>
    <w:p w14:paraId="17AEA598" w14:textId="77777777" w:rsidR="004D42F9" w:rsidRDefault="004D42F9" w:rsidP="004D42F9"/>
    <w:p w14:paraId="17B0B03C" w14:textId="77777777" w:rsidR="00D41447" w:rsidRDefault="00D41447" w:rsidP="004D42F9">
      <w:pPr>
        <w:sectPr w:rsidR="00D41447" w:rsidSect="008623A6">
          <w:type w:val="continuous"/>
          <w:pgSz w:w="11906" w:h="16838" w:code="9"/>
          <w:pgMar w:top="1134" w:right="1134" w:bottom="1134" w:left="1134" w:header="624" w:footer="567" w:gutter="0"/>
          <w:cols w:space="708"/>
          <w:docGrid w:linePitch="360"/>
        </w:sectPr>
      </w:pPr>
    </w:p>
    <w:p w14:paraId="22136B06" w14:textId="77777777" w:rsidR="004D42F9" w:rsidDel="00513A53" w:rsidRDefault="004D42F9" w:rsidP="004D42F9">
      <w:r w:rsidDel="00513A53">
        <w:t>Payables consist of:</w:t>
      </w:r>
    </w:p>
    <w:p w14:paraId="5DFD7E80" w14:textId="77777777" w:rsidR="004D42F9" w:rsidRPr="008B2338" w:rsidDel="00513A53" w:rsidRDefault="004D42F9" w:rsidP="004D42F9">
      <w:pPr>
        <w:pStyle w:val="ListBullet"/>
        <w:keepLines/>
        <w:numPr>
          <w:ilvl w:val="0"/>
          <w:numId w:val="27"/>
        </w:numPr>
      </w:pPr>
      <w:r w:rsidRPr="008B2338" w:rsidDel="00513A53">
        <w:t>contractual payables, such as accounts payable and accrued expenses</w:t>
      </w:r>
    </w:p>
    <w:p w14:paraId="60EACC9D" w14:textId="77777777" w:rsidR="004D42F9" w:rsidRPr="008B2338" w:rsidDel="00513A53" w:rsidRDefault="004D42F9" w:rsidP="004D42F9">
      <w:pPr>
        <w:pStyle w:val="ListBullet"/>
        <w:keepLines/>
        <w:numPr>
          <w:ilvl w:val="0"/>
          <w:numId w:val="27"/>
        </w:numPr>
      </w:pPr>
      <w:r w:rsidRPr="008B2338" w:rsidDel="00513A53">
        <w:t>statutory payables (accrued taxes payable), such as GST and fringe benefits tax payables</w:t>
      </w:r>
      <w:r w:rsidDel="00513A53">
        <w:t>.</w:t>
      </w:r>
    </w:p>
    <w:p w14:paraId="4CD6A7FF" w14:textId="6CF62E87" w:rsidR="00CC7EC3" w:rsidRDefault="00CC7EC3" w:rsidP="004D42F9">
      <w:pPr>
        <w:rPr>
          <w:b/>
          <w:bCs/>
        </w:rPr>
        <w:sectPr w:rsidR="00CC7EC3" w:rsidSect="00D41447">
          <w:type w:val="continuous"/>
          <w:pgSz w:w="11906" w:h="16838" w:code="9"/>
          <w:pgMar w:top="1134" w:right="1134" w:bottom="1134" w:left="1134" w:header="624" w:footer="567" w:gutter="0"/>
          <w:cols w:num="2" w:space="708"/>
          <w:docGrid w:linePitch="360"/>
        </w:sectPr>
      </w:pPr>
      <w:r>
        <w:rPr>
          <w:b/>
          <w:bCs/>
        </w:rPr>
        <w:br w:type="column"/>
      </w:r>
    </w:p>
    <w:p w14:paraId="2AB89441" w14:textId="77777777" w:rsidR="004D42F9" w:rsidDel="00513A53" w:rsidRDefault="004D42F9" w:rsidP="004D42F9">
      <w:r w:rsidRPr="00BD6A51" w:rsidDel="00513A53">
        <w:rPr>
          <w:b/>
          <w:bCs/>
        </w:rPr>
        <w:t>Contractual payables</w:t>
      </w:r>
      <w:r w:rsidDel="00513A53">
        <w:t xml:space="preserve"> are classified as financial instruments (Note </w:t>
      </w:r>
      <w:r>
        <w:t>6</w:t>
      </w:r>
      <w:r w:rsidDel="00513A53">
        <w:t>.1)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061C46B3" w14:textId="2E6FF739" w:rsidR="004D42F9" w:rsidRDefault="004D42F9" w:rsidP="004D42F9">
      <w:r w:rsidRPr="00BD6A51" w:rsidDel="00513A53">
        <w:rPr>
          <w:b/>
          <w:bCs/>
        </w:rPr>
        <w:t>Statutory payables</w:t>
      </w:r>
      <w:r w:rsidDel="00513A53">
        <w:t xml:space="preserve"> are recognised and measured similarly to contractual payables but are not classified as financial instruments and not included in the category of financial liabilities at amortised cost, because they do not arise from contracts.</w:t>
      </w:r>
    </w:p>
    <w:p w14:paraId="7065B367" w14:textId="77777777" w:rsidR="00D41447" w:rsidRDefault="00D41447" w:rsidP="004D42F9">
      <w:pPr>
        <w:pStyle w:val="Heading2"/>
        <w:sectPr w:rsidR="00D41447" w:rsidSect="00D41447">
          <w:type w:val="continuous"/>
          <w:pgSz w:w="11906" w:h="16838" w:code="9"/>
          <w:pgMar w:top="1134" w:right="1134" w:bottom="1134" w:left="1134" w:header="624" w:footer="567" w:gutter="0"/>
          <w:cols w:num="2" w:space="708"/>
          <w:docGrid w:linePitch="360"/>
        </w:sectPr>
      </w:pPr>
    </w:p>
    <w:p w14:paraId="05D106A4" w14:textId="77777777" w:rsidR="004D42F9" w:rsidRDefault="004D42F9" w:rsidP="00D41447">
      <w:pPr>
        <w:pStyle w:val="Heading2"/>
        <w:pageBreakBefore/>
        <w:spacing w:before="0"/>
      </w:pPr>
      <w:bookmarkStart w:id="81" w:name="_Toc209476189"/>
      <w:r>
        <w:lastRenderedPageBreak/>
        <w:t>3.7</w:t>
      </w:r>
      <w:r>
        <w:tab/>
        <w:t>Other provisions</w:t>
      </w:r>
      <w:bookmarkEnd w:id="81"/>
      <w:r>
        <w:t xml:space="preserve"> </w:t>
      </w:r>
    </w:p>
    <w:p w14:paraId="3EF86B3D" w14:textId="77777777" w:rsidR="004D42F9" w:rsidRDefault="004D42F9" w:rsidP="00D41447">
      <w:pPr>
        <w:pStyle w:val="TableHeading"/>
        <w:spacing w:before="0"/>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Other_provisions"/>
      </w:tblPr>
      <w:tblGrid>
        <w:gridCol w:w="6010"/>
        <w:gridCol w:w="907"/>
        <w:gridCol w:w="907"/>
        <w:gridCol w:w="907"/>
        <w:gridCol w:w="907"/>
      </w:tblGrid>
      <w:tr w:rsidR="004D42F9" w14:paraId="14B64BC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36DCB3" w14:textId="77777777" w:rsidR="004D42F9" w:rsidRDefault="004D42F9">
            <w:pPr>
              <w:keepNext/>
            </w:pPr>
          </w:p>
        </w:tc>
        <w:tc>
          <w:tcPr>
            <w:tcW w:w="1814" w:type="dxa"/>
            <w:gridSpan w:val="2"/>
          </w:tcPr>
          <w:p w14:paraId="62BD9B3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EF76A5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7AB10BC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0865E39" w14:textId="77777777" w:rsidR="004D42F9" w:rsidRDefault="004D42F9">
            <w:pPr>
              <w:keepNext/>
            </w:pPr>
          </w:p>
        </w:tc>
        <w:tc>
          <w:tcPr>
            <w:tcW w:w="907" w:type="dxa"/>
          </w:tcPr>
          <w:p w14:paraId="2DD9826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C6B9CA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7649AB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9902A3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990443C" w14:textId="77777777">
        <w:tc>
          <w:tcPr>
            <w:cnfStyle w:val="001000000000" w:firstRow="0" w:lastRow="0" w:firstColumn="1" w:lastColumn="0" w:oddVBand="0" w:evenVBand="0" w:oddHBand="0" w:evenHBand="0" w:firstRowFirstColumn="0" w:firstRowLastColumn="0" w:lastRowFirstColumn="0" w:lastRowLastColumn="0"/>
            <w:tcW w:w="6010" w:type="dxa"/>
          </w:tcPr>
          <w:p w14:paraId="751D8BCF" w14:textId="77777777" w:rsidR="004D42F9" w:rsidRDefault="004D42F9">
            <w:r>
              <w:rPr>
                <w:b/>
              </w:rPr>
              <w:t>Current provision for insurance claims</w:t>
            </w:r>
          </w:p>
        </w:tc>
        <w:tc>
          <w:tcPr>
            <w:tcW w:w="907" w:type="dxa"/>
          </w:tcPr>
          <w:p w14:paraId="09897F2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ADFFE3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E28784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19AC54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C2CD731" w14:textId="77777777">
        <w:tc>
          <w:tcPr>
            <w:cnfStyle w:val="001000000000" w:firstRow="0" w:lastRow="0" w:firstColumn="1" w:lastColumn="0" w:oddVBand="0" w:evenVBand="0" w:oddHBand="0" w:evenHBand="0" w:firstRowFirstColumn="0" w:firstRowLastColumn="0" w:lastRowFirstColumn="0" w:lastRowLastColumn="0"/>
            <w:tcW w:w="6010" w:type="dxa"/>
          </w:tcPr>
          <w:p w14:paraId="0E96983A" w14:textId="77777777" w:rsidR="004D42F9" w:rsidRDefault="004D42F9">
            <w:r>
              <w:t>WorkSafe Victoria</w:t>
            </w:r>
          </w:p>
        </w:tc>
        <w:tc>
          <w:tcPr>
            <w:tcW w:w="907" w:type="dxa"/>
          </w:tcPr>
          <w:p w14:paraId="425AA829" w14:textId="77777777" w:rsidR="004D42F9" w:rsidRDefault="004D42F9">
            <w:pPr>
              <w:cnfStyle w:val="000000000000" w:firstRow="0" w:lastRow="0" w:firstColumn="0" w:lastColumn="0" w:oddVBand="0" w:evenVBand="0" w:oddHBand="0" w:evenHBand="0" w:firstRowFirstColumn="0" w:firstRowLastColumn="0" w:lastRowFirstColumn="0" w:lastRowLastColumn="0"/>
            </w:pPr>
            <w:r>
              <w:t>4 400</w:t>
            </w:r>
          </w:p>
        </w:tc>
        <w:tc>
          <w:tcPr>
            <w:tcW w:w="907" w:type="dxa"/>
          </w:tcPr>
          <w:p w14:paraId="2AF2047D" w14:textId="77777777" w:rsidR="004D42F9" w:rsidRDefault="004D42F9">
            <w:pPr>
              <w:cnfStyle w:val="000000000000" w:firstRow="0" w:lastRow="0" w:firstColumn="0" w:lastColumn="0" w:oddVBand="0" w:evenVBand="0" w:oddHBand="0" w:evenHBand="0" w:firstRowFirstColumn="0" w:firstRowLastColumn="0" w:lastRowFirstColumn="0" w:lastRowLastColumn="0"/>
            </w:pPr>
            <w:r>
              <w:t>4 197</w:t>
            </w:r>
          </w:p>
        </w:tc>
        <w:tc>
          <w:tcPr>
            <w:tcW w:w="907" w:type="dxa"/>
          </w:tcPr>
          <w:p w14:paraId="21A2EFD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2D839C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C7F8E7E" w14:textId="77777777">
        <w:tc>
          <w:tcPr>
            <w:cnfStyle w:val="001000000000" w:firstRow="0" w:lastRow="0" w:firstColumn="1" w:lastColumn="0" w:oddVBand="0" w:evenVBand="0" w:oddHBand="0" w:evenHBand="0" w:firstRowFirstColumn="0" w:firstRowLastColumn="0" w:lastRowFirstColumn="0" w:lastRowLastColumn="0"/>
            <w:tcW w:w="6010" w:type="dxa"/>
          </w:tcPr>
          <w:p w14:paraId="1F48351E" w14:textId="77777777" w:rsidR="004D42F9" w:rsidRDefault="004D42F9">
            <w:r>
              <w:t>Transport Accident Commission</w:t>
            </w:r>
          </w:p>
        </w:tc>
        <w:tc>
          <w:tcPr>
            <w:tcW w:w="907" w:type="dxa"/>
          </w:tcPr>
          <w:p w14:paraId="302A80DD" w14:textId="77777777" w:rsidR="004D42F9" w:rsidRDefault="004D42F9">
            <w:pPr>
              <w:cnfStyle w:val="000000000000" w:firstRow="0" w:lastRow="0" w:firstColumn="0" w:lastColumn="0" w:oddVBand="0" w:evenVBand="0" w:oddHBand="0" w:evenHBand="0" w:firstRowFirstColumn="0" w:firstRowLastColumn="0" w:lastRowFirstColumn="0" w:lastRowLastColumn="0"/>
            </w:pPr>
            <w:r>
              <w:t>1 833</w:t>
            </w:r>
          </w:p>
        </w:tc>
        <w:tc>
          <w:tcPr>
            <w:tcW w:w="907" w:type="dxa"/>
          </w:tcPr>
          <w:p w14:paraId="699E6444" w14:textId="77777777" w:rsidR="004D42F9" w:rsidRDefault="004D42F9">
            <w:pPr>
              <w:cnfStyle w:val="000000000000" w:firstRow="0" w:lastRow="0" w:firstColumn="0" w:lastColumn="0" w:oddVBand="0" w:evenVBand="0" w:oddHBand="0" w:evenHBand="0" w:firstRowFirstColumn="0" w:firstRowLastColumn="0" w:lastRowFirstColumn="0" w:lastRowLastColumn="0"/>
            </w:pPr>
            <w:r>
              <w:t>1 855</w:t>
            </w:r>
          </w:p>
        </w:tc>
        <w:tc>
          <w:tcPr>
            <w:tcW w:w="907" w:type="dxa"/>
          </w:tcPr>
          <w:p w14:paraId="7C79779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ECE0F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1AAB5252" w14:textId="77777777">
        <w:tc>
          <w:tcPr>
            <w:cnfStyle w:val="001000000000" w:firstRow="0" w:lastRow="0" w:firstColumn="1" w:lastColumn="0" w:oddVBand="0" w:evenVBand="0" w:oddHBand="0" w:evenHBand="0" w:firstRowFirstColumn="0" w:firstRowLastColumn="0" w:lastRowFirstColumn="0" w:lastRowLastColumn="0"/>
            <w:tcW w:w="6010" w:type="dxa"/>
          </w:tcPr>
          <w:p w14:paraId="548A500A" w14:textId="77777777" w:rsidR="004D42F9" w:rsidRDefault="004D42F9">
            <w:r>
              <w:t>Victorian Managed Insurance Authority</w:t>
            </w:r>
            <w:r>
              <w:rPr>
                <w:vertAlign w:val="superscript"/>
              </w:rPr>
              <w:t xml:space="preserve"> </w:t>
            </w:r>
            <w:r w:rsidRPr="004F3B82">
              <w:rPr>
                <w:vertAlign w:val="superscript"/>
              </w:rPr>
              <w:t>(a)</w:t>
            </w:r>
          </w:p>
        </w:tc>
        <w:tc>
          <w:tcPr>
            <w:tcW w:w="907" w:type="dxa"/>
          </w:tcPr>
          <w:p w14:paraId="592D686C" w14:textId="77777777" w:rsidR="004D42F9" w:rsidRDefault="004D42F9">
            <w:pPr>
              <w:cnfStyle w:val="000000000000" w:firstRow="0" w:lastRow="0" w:firstColumn="0" w:lastColumn="0" w:oddVBand="0" w:evenVBand="0" w:oddHBand="0" w:evenHBand="0" w:firstRowFirstColumn="0" w:firstRowLastColumn="0" w:lastRowFirstColumn="0" w:lastRowLastColumn="0"/>
            </w:pPr>
            <w:r>
              <w:t>928</w:t>
            </w:r>
          </w:p>
        </w:tc>
        <w:tc>
          <w:tcPr>
            <w:tcW w:w="907" w:type="dxa"/>
          </w:tcPr>
          <w:p w14:paraId="3E0BDA71" w14:textId="77777777" w:rsidR="004D42F9" w:rsidRDefault="004D42F9">
            <w:pPr>
              <w:cnfStyle w:val="000000000000" w:firstRow="0" w:lastRow="0" w:firstColumn="0" w:lastColumn="0" w:oddVBand="0" w:evenVBand="0" w:oddHBand="0" w:evenHBand="0" w:firstRowFirstColumn="0" w:firstRowLastColumn="0" w:lastRowFirstColumn="0" w:lastRowLastColumn="0"/>
            </w:pPr>
            <w:r>
              <w:t>959</w:t>
            </w:r>
          </w:p>
        </w:tc>
        <w:tc>
          <w:tcPr>
            <w:tcW w:w="907" w:type="dxa"/>
          </w:tcPr>
          <w:p w14:paraId="67C7E76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B05701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DD0CD49"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981CD69" w14:textId="77777777" w:rsidR="004D42F9" w:rsidRDefault="004D42F9">
            <w:r>
              <w:t>Other agencies</w:t>
            </w:r>
          </w:p>
        </w:tc>
        <w:tc>
          <w:tcPr>
            <w:tcW w:w="907" w:type="dxa"/>
            <w:tcBorders>
              <w:bottom w:val="single" w:sz="6" w:space="0" w:color="auto"/>
            </w:tcBorders>
          </w:tcPr>
          <w:p w14:paraId="43B202C5" w14:textId="77777777" w:rsidR="004D42F9" w:rsidRDefault="004D42F9">
            <w:pPr>
              <w:cnfStyle w:val="000000000000" w:firstRow="0" w:lastRow="0" w:firstColumn="0" w:lastColumn="0" w:oddVBand="0" w:evenVBand="0" w:oddHBand="0" w:evenHBand="0" w:firstRowFirstColumn="0" w:firstRowLastColumn="0" w:lastRowFirstColumn="0" w:lastRowLastColumn="0"/>
            </w:pPr>
            <w:r>
              <w:t>254</w:t>
            </w:r>
          </w:p>
        </w:tc>
        <w:tc>
          <w:tcPr>
            <w:tcW w:w="907" w:type="dxa"/>
            <w:tcBorders>
              <w:bottom w:val="single" w:sz="6" w:space="0" w:color="auto"/>
            </w:tcBorders>
          </w:tcPr>
          <w:p w14:paraId="1F21204D" w14:textId="77777777" w:rsidR="004D42F9" w:rsidRDefault="004D42F9">
            <w:pPr>
              <w:cnfStyle w:val="000000000000" w:firstRow="0" w:lastRow="0" w:firstColumn="0" w:lastColumn="0" w:oddVBand="0" w:evenVBand="0" w:oddHBand="0" w:evenHBand="0" w:firstRowFirstColumn="0" w:firstRowLastColumn="0" w:lastRowFirstColumn="0" w:lastRowLastColumn="0"/>
            </w:pPr>
            <w:r>
              <w:t>175</w:t>
            </w:r>
          </w:p>
        </w:tc>
        <w:tc>
          <w:tcPr>
            <w:tcW w:w="907" w:type="dxa"/>
            <w:tcBorders>
              <w:bottom w:val="single" w:sz="6" w:space="0" w:color="auto"/>
            </w:tcBorders>
          </w:tcPr>
          <w:p w14:paraId="54E0F08E" w14:textId="77777777" w:rsidR="004D42F9" w:rsidRDefault="004D42F9">
            <w:pPr>
              <w:cnfStyle w:val="000000000000" w:firstRow="0" w:lastRow="0" w:firstColumn="0" w:lastColumn="0" w:oddVBand="0" w:evenVBand="0" w:oddHBand="0" w:evenHBand="0" w:firstRowFirstColumn="0" w:firstRowLastColumn="0" w:lastRowFirstColumn="0" w:lastRowLastColumn="0"/>
            </w:pPr>
            <w:r>
              <w:t>252</w:t>
            </w:r>
          </w:p>
        </w:tc>
        <w:tc>
          <w:tcPr>
            <w:tcW w:w="907" w:type="dxa"/>
            <w:tcBorders>
              <w:bottom w:val="single" w:sz="6" w:space="0" w:color="auto"/>
            </w:tcBorders>
          </w:tcPr>
          <w:p w14:paraId="54795578" w14:textId="77777777" w:rsidR="004D42F9" w:rsidRDefault="004D42F9">
            <w:pPr>
              <w:cnfStyle w:val="000000000000" w:firstRow="0" w:lastRow="0" w:firstColumn="0" w:lastColumn="0" w:oddVBand="0" w:evenVBand="0" w:oddHBand="0" w:evenHBand="0" w:firstRowFirstColumn="0" w:firstRowLastColumn="0" w:lastRowFirstColumn="0" w:lastRowLastColumn="0"/>
            </w:pPr>
            <w:r>
              <w:t>174</w:t>
            </w:r>
          </w:p>
        </w:tc>
      </w:tr>
      <w:tr w:rsidR="004D42F9" w14:paraId="38D2F845"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E604A8D" w14:textId="77777777" w:rsidR="004D42F9" w:rsidRDefault="004D42F9">
            <w:r>
              <w:rPr>
                <w:b/>
              </w:rPr>
              <w:t>Current provision for insurance claims</w:t>
            </w:r>
          </w:p>
        </w:tc>
        <w:tc>
          <w:tcPr>
            <w:tcW w:w="907" w:type="dxa"/>
            <w:tcBorders>
              <w:top w:val="single" w:sz="6" w:space="0" w:color="auto"/>
            </w:tcBorders>
          </w:tcPr>
          <w:p w14:paraId="2F18E5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7 415</w:t>
            </w:r>
          </w:p>
        </w:tc>
        <w:tc>
          <w:tcPr>
            <w:tcW w:w="907" w:type="dxa"/>
            <w:tcBorders>
              <w:top w:val="single" w:sz="6" w:space="0" w:color="auto"/>
            </w:tcBorders>
          </w:tcPr>
          <w:p w14:paraId="693011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7 186</w:t>
            </w:r>
          </w:p>
        </w:tc>
        <w:tc>
          <w:tcPr>
            <w:tcW w:w="907" w:type="dxa"/>
            <w:tcBorders>
              <w:top w:val="single" w:sz="6" w:space="0" w:color="auto"/>
            </w:tcBorders>
          </w:tcPr>
          <w:p w14:paraId="74207FD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252</w:t>
            </w:r>
          </w:p>
        </w:tc>
        <w:tc>
          <w:tcPr>
            <w:tcW w:w="907" w:type="dxa"/>
            <w:tcBorders>
              <w:top w:val="single" w:sz="6" w:space="0" w:color="auto"/>
            </w:tcBorders>
          </w:tcPr>
          <w:p w14:paraId="1DD6143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174</w:t>
            </w:r>
          </w:p>
        </w:tc>
      </w:tr>
      <w:tr w:rsidR="004D42F9" w14:paraId="1051E243"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08B4AEF" w14:textId="77777777" w:rsidR="004D42F9" w:rsidRDefault="004D42F9">
            <w:r>
              <w:t>Other provisions</w:t>
            </w:r>
          </w:p>
        </w:tc>
        <w:tc>
          <w:tcPr>
            <w:tcW w:w="907" w:type="dxa"/>
            <w:tcBorders>
              <w:bottom w:val="single" w:sz="6" w:space="0" w:color="auto"/>
            </w:tcBorders>
          </w:tcPr>
          <w:p w14:paraId="4AC65A76" w14:textId="77777777" w:rsidR="004D42F9" w:rsidRDefault="004D42F9">
            <w:pPr>
              <w:cnfStyle w:val="000000000000" w:firstRow="0" w:lastRow="0" w:firstColumn="0" w:lastColumn="0" w:oddVBand="0" w:evenVBand="0" w:oddHBand="0" w:evenHBand="0" w:firstRowFirstColumn="0" w:firstRowLastColumn="0" w:lastRowFirstColumn="0" w:lastRowLastColumn="0"/>
            </w:pPr>
            <w:r>
              <w:t>1 971</w:t>
            </w:r>
          </w:p>
        </w:tc>
        <w:tc>
          <w:tcPr>
            <w:tcW w:w="907" w:type="dxa"/>
            <w:tcBorders>
              <w:bottom w:val="single" w:sz="6" w:space="0" w:color="auto"/>
            </w:tcBorders>
          </w:tcPr>
          <w:p w14:paraId="36893E14" w14:textId="77777777" w:rsidR="004D42F9" w:rsidRDefault="004D42F9">
            <w:pPr>
              <w:cnfStyle w:val="000000000000" w:firstRow="0" w:lastRow="0" w:firstColumn="0" w:lastColumn="0" w:oddVBand="0" w:evenVBand="0" w:oddHBand="0" w:evenHBand="0" w:firstRowFirstColumn="0" w:firstRowLastColumn="0" w:lastRowFirstColumn="0" w:lastRowLastColumn="0"/>
            </w:pPr>
            <w:r>
              <w:t>2 217</w:t>
            </w:r>
          </w:p>
        </w:tc>
        <w:tc>
          <w:tcPr>
            <w:tcW w:w="907" w:type="dxa"/>
            <w:tcBorders>
              <w:bottom w:val="single" w:sz="6" w:space="0" w:color="auto"/>
            </w:tcBorders>
          </w:tcPr>
          <w:p w14:paraId="4A1F5D9B" w14:textId="77777777" w:rsidR="004D42F9" w:rsidRDefault="004D42F9">
            <w:pPr>
              <w:cnfStyle w:val="000000000000" w:firstRow="0" w:lastRow="0" w:firstColumn="0" w:lastColumn="0" w:oddVBand="0" w:evenVBand="0" w:oddHBand="0" w:evenHBand="0" w:firstRowFirstColumn="0" w:firstRowLastColumn="0" w:lastRowFirstColumn="0" w:lastRowLastColumn="0"/>
            </w:pPr>
            <w:r>
              <w:t>1 758</w:t>
            </w:r>
          </w:p>
        </w:tc>
        <w:tc>
          <w:tcPr>
            <w:tcW w:w="907" w:type="dxa"/>
            <w:tcBorders>
              <w:bottom w:val="single" w:sz="6" w:space="0" w:color="auto"/>
            </w:tcBorders>
          </w:tcPr>
          <w:p w14:paraId="3056E311" w14:textId="77777777" w:rsidR="004D42F9" w:rsidRDefault="004D42F9">
            <w:pPr>
              <w:cnfStyle w:val="000000000000" w:firstRow="0" w:lastRow="0" w:firstColumn="0" w:lastColumn="0" w:oddVBand="0" w:evenVBand="0" w:oddHBand="0" w:evenHBand="0" w:firstRowFirstColumn="0" w:firstRowLastColumn="0" w:lastRowFirstColumn="0" w:lastRowLastColumn="0"/>
            </w:pPr>
            <w:r>
              <w:t>1 963</w:t>
            </w:r>
          </w:p>
        </w:tc>
      </w:tr>
      <w:tr w:rsidR="004D42F9" w14:paraId="72256872"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3061EB13" w14:textId="77777777" w:rsidR="004D42F9" w:rsidRDefault="004D42F9">
            <w:r>
              <w:rPr>
                <w:b/>
              </w:rPr>
              <w:t>Total current other provisions</w:t>
            </w:r>
          </w:p>
        </w:tc>
        <w:tc>
          <w:tcPr>
            <w:tcW w:w="907" w:type="dxa"/>
            <w:tcBorders>
              <w:top w:val="single" w:sz="6" w:space="0" w:color="auto"/>
            </w:tcBorders>
          </w:tcPr>
          <w:p w14:paraId="3783FD5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9 386</w:t>
            </w:r>
          </w:p>
        </w:tc>
        <w:tc>
          <w:tcPr>
            <w:tcW w:w="907" w:type="dxa"/>
            <w:tcBorders>
              <w:top w:val="single" w:sz="6" w:space="0" w:color="auto"/>
            </w:tcBorders>
          </w:tcPr>
          <w:p w14:paraId="5D9B9AD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9 403</w:t>
            </w:r>
          </w:p>
        </w:tc>
        <w:tc>
          <w:tcPr>
            <w:tcW w:w="907" w:type="dxa"/>
            <w:tcBorders>
              <w:top w:val="single" w:sz="6" w:space="0" w:color="auto"/>
            </w:tcBorders>
          </w:tcPr>
          <w:p w14:paraId="35913EC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2 011</w:t>
            </w:r>
          </w:p>
        </w:tc>
        <w:tc>
          <w:tcPr>
            <w:tcW w:w="907" w:type="dxa"/>
            <w:tcBorders>
              <w:top w:val="single" w:sz="6" w:space="0" w:color="auto"/>
            </w:tcBorders>
          </w:tcPr>
          <w:p w14:paraId="2022CD2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2 137</w:t>
            </w:r>
          </w:p>
        </w:tc>
      </w:tr>
      <w:tr w:rsidR="004D42F9" w14:paraId="402908D6" w14:textId="77777777">
        <w:tc>
          <w:tcPr>
            <w:cnfStyle w:val="001000000000" w:firstRow="0" w:lastRow="0" w:firstColumn="1" w:lastColumn="0" w:oddVBand="0" w:evenVBand="0" w:oddHBand="0" w:evenHBand="0" w:firstRowFirstColumn="0" w:firstRowLastColumn="0" w:lastRowFirstColumn="0" w:lastRowLastColumn="0"/>
            <w:tcW w:w="6010" w:type="dxa"/>
          </w:tcPr>
          <w:p w14:paraId="2024D35A" w14:textId="77777777" w:rsidR="004D42F9" w:rsidRDefault="004D42F9">
            <w:r>
              <w:rPr>
                <w:b/>
              </w:rPr>
              <w:t>Non</w:t>
            </w:r>
            <w:r>
              <w:rPr>
                <w:b/>
              </w:rPr>
              <w:noBreakHyphen/>
              <w:t>current provision for insurance claims</w:t>
            </w:r>
          </w:p>
        </w:tc>
        <w:tc>
          <w:tcPr>
            <w:tcW w:w="907" w:type="dxa"/>
          </w:tcPr>
          <w:p w14:paraId="3FCCF9F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59D48A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DF8E7B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0DD2D8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9508356" w14:textId="77777777">
        <w:tc>
          <w:tcPr>
            <w:cnfStyle w:val="001000000000" w:firstRow="0" w:lastRow="0" w:firstColumn="1" w:lastColumn="0" w:oddVBand="0" w:evenVBand="0" w:oddHBand="0" w:evenHBand="0" w:firstRowFirstColumn="0" w:firstRowLastColumn="0" w:lastRowFirstColumn="0" w:lastRowLastColumn="0"/>
            <w:tcW w:w="6010" w:type="dxa"/>
          </w:tcPr>
          <w:p w14:paraId="0144BD55" w14:textId="77777777" w:rsidR="004D42F9" w:rsidRDefault="004D42F9">
            <w:r>
              <w:t>WorkSafe Victoria</w:t>
            </w:r>
          </w:p>
        </w:tc>
        <w:tc>
          <w:tcPr>
            <w:tcW w:w="907" w:type="dxa"/>
          </w:tcPr>
          <w:p w14:paraId="45201EAD" w14:textId="77777777" w:rsidR="004D42F9" w:rsidRDefault="004D42F9">
            <w:pPr>
              <w:cnfStyle w:val="000000000000" w:firstRow="0" w:lastRow="0" w:firstColumn="0" w:lastColumn="0" w:oddVBand="0" w:evenVBand="0" w:oddHBand="0" w:evenHBand="0" w:firstRowFirstColumn="0" w:firstRowLastColumn="0" w:lastRowFirstColumn="0" w:lastRowLastColumn="0"/>
            </w:pPr>
            <w:r>
              <w:t>27 492</w:t>
            </w:r>
          </w:p>
        </w:tc>
        <w:tc>
          <w:tcPr>
            <w:tcW w:w="907" w:type="dxa"/>
          </w:tcPr>
          <w:p w14:paraId="7C45A08C" w14:textId="77777777" w:rsidR="004D42F9" w:rsidRDefault="004D42F9">
            <w:pPr>
              <w:cnfStyle w:val="000000000000" w:firstRow="0" w:lastRow="0" w:firstColumn="0" w:lastColumn="0" w:oddVBand="0" w:evenVBand="0" w:oddHBand="0" w:evenHBand="0" w:firstRowFirstColumn="0" w:firstRowLastColumn="0" w:lastRowFirstColumn="0" w:lastRowLastColumn="0"/>
            </w:pPr>
            <w:r>
              <w:t>24 966</w:t>
            </w:r>
          </w:p>
        </w:tc>
        <w:tc>
          <w:tcPr>
            <w:tcW w:w="907" w:type="dxa"/>
          </w:tcPr>
          <w:p w14:paraId="162D0E0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7FDD1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3B9C5AB" w14:textId="77777777">
        <w:tc>
          <w:tcPr>
            <w:cnfStyle w:val="001000000000" w:firstRow="0" w:lastRow="0" w:firstColumn="1" w:lastColumn="0" w:oddVBand="0" w:evenVBand="0" w:oddHBand="0" w:evenHBand="0" w:firstRowFirstColumn="0" w:firstRowLastColumn="0" w:lastRowFirstColumn="0" w:lastRowLastColumn="0"/>
            <w:tcW w:w="6010" w:type="dxa"/>
          </w:tcPr>
          <w:p w14:paraId="40CB2986" w14:textId="77777777" w:rsidR="004D42F9" w:rsidRDefault="004D42F9">
            <w:r>
              <w:t>Transport Accident Commission</w:t>
            </w:r>
          </w:p>
        </w:tc>
        <w:tc>
          <w:tcPr>
            <w:tcW w:w="907" w:type="dxa"/>
          </w:tcPr>
          <w:p w14:paraId="4D04C4C2" w14:textId="77777777" w:rsidR="004D42F9" w:rsidRDefault="004D42F9">
            <w:pPr>
              <w:cnfStyle w:val="000000000000" w:firstRow="0" w:lastRow="0" w:firstColumn="0" w:lastColumn="0" w:oddVBand="0" w:evenVBand="0" w:oddHBand="0" w:evenHBand="0" w:firstRowFirstColumn="0" w:firstRowLastColumn="0" w:lastRowFirstColumn="0" w:lastRowLastColumn="0"/>
            </w:pPr>
            <w:r>
              <w:t>16 093</w:t>
            </w:r>
          </w:p>
        </w:tc>
        <w:tc>
          <w:tcPr>
            <w:tcW w:w="907" w:type="dxa"/>
          </w:tcPr>
          <w:p w14:paraId="4AFD2077" w14:textId="77777777" w:rsidR="004D42F9" w:rsidRDefault="004D42F9">
            <w:pPr>
              <w:cnfStyle w:val="000000000000" w:firstRow="0" w:lastRow="0" w:firstColumn="0" w:lastColumn="0" w:oddVBand="0" w:evenVBand="0" w:oddHBand="0" w:evenHBand="0" w:firstRowFirstColumn="0" w:firstRowLastColumn="0" w:lastRowFirstColumn="0" w:lastRowLastColumn="0"/>
            </w:pPr>
            <w:r>
              <w:t>15 516</w:t>
            </w:r>
          </w:p>
        </w:tc>
        <w:tc>
          <w:tcPr>
            <w:tcW w:w="907" w:type="dxa"/>
          </w:tcPr>
          <w:p w14:paraId="6BD354D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6A8D4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2F16D35" w14:textId="77777777">
        <w:tc>
          <w:tcPr>
            <w:cnfStyle w:val="001000000000" w:firstRow="0" w:lastRow="0" w:firstColumn="1" w:lastColumn="0" w:oddVBand="0" w:evenVBand="0" w:oddHBand="0" w:evenHBand="0" w:firstRowFirstColumn="0" w:firstRowLastColumn="0" w:lastRowFirstColumn="0" w:lastRowLastColumn="0"/>
            <w:tcW w:w="6010" w:type="dxa"/>
          </w:tcPr>
          <w:p w14:paraId="08E0D670" w14:textId="77777777" w:rsidR="004D42F9" w:rsidRDefault="004D42F9">
            <w:r>
              <w:t>Victorian Managed Insurance Authority</w:t>
            </w:r>
            <w:r>
              <w:rPr>
                <w:vertAlign w:val="superscript"/>
              </w:rPr>
              <w:t xml:space="preserve"> </w:t>
            </w:r>
            <w:r w:rsidRPr="00B86099">
              <w:rPr>
                <w:vertAlign w:val="superscript"/>
              </w:rPr>
              <w:t>(a)</w:t>
            </w:r>
          </w:p>
        </w:tc>
        <w:tc>
          <w:tcPr>
            <w:tcW w:w="907" w:type="dxa"/>
          </w:tcPr>
          <w:p w14:paraId="348F4BB3" w14:textId="77777777" w:rsidR="004D42F9" w:rsidRDefault="004D42F9">
            <w:pPr>
              <w:cnfStyle w:val="000000000000" w:firstRow="0" w:lastRow="0" w:firstColumn="0" w:lastColumn="0" w:oddVBand="0" w:evenVBand="0" w:oddHBand="0" w:evenHBand="0" w:firstRowFirstColumn="0" w:firstRowLastColumn="0" w:lastRowFirstColumn="0" w:lastRowLastColumn="0"/>
            </w:pPr>
            <w:r>
              <w:t>3 039</w:t>
            </w:r>
          </w:p>
        </w:tc>
        <w:tc>
          <w:tcPr>
            <w:tcW w:w="907" w:type="dxa"/>
          </w:tcPr>
          <w:p w14:paraId="7857D0AA" w14:textId="77777777" w:rsidR="004D42F9" w:rsidRDefault="004D42F9">
            <w:pPr>
              <w:cnfStyle w:val="000000000000" w:firstRow="0" w:lastRow="0" w:firstColumn="0" w:lastColumn="0" w:oddVBand="0" w:evenVBand="0" w:oddHBand="0" w:evenHBand="0" w:firstRowFirstColumn="0" w:firstRowLastColumn="0" w:lastRowFirstColumn="0" w:lastRowLastColumn="0"/>
            </w:pPr>
            <w:r>
              <w:t>2 706</w:t>
            </w:r>
          </w:p>
        </w:tc>
        <w:tc>
          <w:tcPr>
            <w:tcW w:w="907" w:type="dxa"/>
          </w:tcPr>
          <w:p w14:paraId="5BED044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C97DF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62941CF"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2F737E4" w14:textId="77777777" w:rsidR="004D42F9" w:rsidRDefault="004D42F9">
            <w:r>
              <w:t>Other agencies</w:t>
            </w:r>
          </w:p>
        </w:tc>
        <w:tc>
          <w:tcPr>
            <w:tcW w:w="907" w:type="dxa"/>
            <w:tcBorders>
              <w:bottom w:val="single" w:sz="6" w:space="0" w:color="auto"/>
            </w:tcBorders>
          </w:tcPr>
          <w:p w14:paraId="6127CAB2" w14:textId="77777777" w:rsidR="004D42F9" w:rsidRDefault="004D42F9">
            <w:pPr>
              <w:cnfStyle w:val="000000000000" w:firstRow="0" w:lastRow="0" w:firstColumn="0" w:lastColumn="0" w:oddVBand="0" w:evenVBand="0" w:oddHBand="0" w:evenHBand="0" w:firstRowFirstColumn="0" w:firstRowLastColumn="0" w:lastRowFirstColumn="0" w:lastRowLastColumn="0"/>
            </w:pPr>
            <w:r>
              <w:t>281</w:t>
            </w:r>
          </w:p>
        </w:tc>
        <w:tc>
          <w:tcPr>
            <w:tcW w:w="907" w:type="dxa"/>
            <w:tcBorders>
              <w:bottom w:val="single" w:sz="6" w:space="0" w:color="auto"/>
            </w:tcBorders>
          </w:tcPr>
          <w:p w14:paraId="4E97E739" w14:textId="77777777" w:rsidR="004D42F9" w:rsidRDefault="004D42F9">
            <w:pPr>
              <w:cnfStyle w:val="000000000000" w:firstRow="0" w:lastRow="0" w:firstColumn="0" w:lastColumn="0" w:oddVBand="0" w:evenVBand="0" w:oddHBand="0" w:evenHBand="0" w:firstRowFirstColumn="0" w:firstRowLastColumn="0" w:lastRowFirstColumn="0" w:lastRowLastColumn="0"/>
            </w:pPr>
            <w:r>
              <w:t>191</w:t>
            </w:r>
          </w:p>
        </w:tc>
        <w:tc>
          <w:tcPr>
            <w:tcW w:w="907" w:type="dxa"/>
            <w:tcBorders>
              <w:bottom w:val="single" w:sz="6" w:space="0" w:color="auto"/>
            </w:tcBorders>
          </w:tcPr>
          <w:p w14:paraId="348E62BB" w14:textId="77777777" w:rsidR="004D42F9" w:rsidRDefault="004D42F9">
            <w:pPr>
              <w:cnfStyle w:val="000000000000" w:firstRow="0" w:lastRow="0" w:firstColumn="0" w:lastColumn="0" w:oddVBand="0" w:evenVBand="0" w:oddHBand="0" w:evenHBand="0" w:firstRowFirstColumn="0" w:firstRowLastColumn="0" w:lastRowFirstColumn="0" w:lastRowLastColumn="0"/>
            </w:pPr>
            <w:r>
              <w:t>280</w:t>
            </w:r>
          </w:p>
        </w:tc>
        <w:tc>
          <w:tcPr>
            <w:tcW w:w="907" w:type="dxa"/>
            <w:tcBorders>
              <w:bottom w:val="single" w:sz="6" w:space="0" w:color="auto"/>
            </w:tcBorders>
          </w:tcPr>
          <w:p w14:paraId="556E5E6C" w14:textId="77777777" w:rsidR="004D42F9" w:rsidRDefault="004D42F9">
            <w:pPr>
              <w:cnfStyle w:val="000000000000" w:firstRow="0" w:lastRow="0" w:firstColumn="0" w:lastColumn="0" w:oddVBand="0" w:evenVBand="0" w:oddHBand="0" w:evenHBand="0" w:firstRowFirstColumn="0" w:firstRowLastColumn="0" w:lastRowFirstColumn="0" w:lastRowLastColumn="0"/>
            </w:pPr>
            <w:r>
              <w:t>191</w:t>
            </w:r>
          </w:p>
        </w:tc>
      </w:tr>
      <w:tr w:rsidR="004D42F9" w14:paraId="0A8707EC"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7CE5D3D" w14:textId="77777777" w:rsidR="004D42F9" w:rsidRDefault="004D42F9">
            <w:r>
              <w:rPr>
                <w:b/>
              </w:rPr>
              <w:t>Non</w:t>
            </w:r>
            <w:r>
              <w:rPr>
                <w:b/>
              </w:rPr>
              <w:noBreakHyphen/>
              <w:t>current provision for insurance claims</w:t>
            </w:r>
          </w:p>
        </w:tc>
        <w:tc>
          <w:tcPr>
            <w:tcW w:w="907" w:type="dxa"/>
            <w:tcBorders>
              <w:top w:val="single" w:sz="6" w:space="0" w:color="auto"/>
            </w:tcBorders>
          </w:tcPr>
          <w:p w14:paraId="42DBF27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46 904</w:t>
            </w:r>
          </w:p>
        </w:tc>
        <w:tc>
          <w:tcPr>
            <w:tcW w:w="907" w:type="dxa"/>
            <w:tcBorders>
              <w:top w:val="single" w:sz="6" w:space="0" w:color="auto"/>
            </w:tcBorders>
          </w:tcPr>
          <w:p w14:paraId="0AF151B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43 380</w:t>
            </w:r>
          </w:p>
        </w:tc>
        <w:tc>
          <w:tcPr>
            <w:tcW w:w="907" w:type="dxa"/>
            <w:tcBorders>
              <w:top w:val="single" w:sz="6" w:space="0" w:color="auto"/>
            </w:tcBorders>
          </w:tcPr>
          <w:p w14:paraId="66D9945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280</w:t>
            </w:r>
          </w:p>
        </w:tc>
        <w:tc>
          <w:tcPr>
            <w:tcW w:w="907" w:type="dxa"/>
            <w:tcBorders>
              <w:top w:val="single" w:sz="6" w:space="0" w:color="auto"/>
            </w:tcBorders>
          </w:tcPr>
          <w:p w14:paraId="441C3E1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191</w:t>
            </w:r>
          </w:p>
        </w:tc>
      </w:tr>
      <w:tr w:rsidR="004D42F9" w14:paraId="0976FE49"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9479D1B" w14:textId="77777777" w:rsidR="004D42F9" w:rsidRDefault="004D42F9">
            <w:r>
              <w:t>Other provisions</w:t>
            </w:r>
          </w:p>
        </w:tc>
        <w:tc>
          <w:tcPr>
            <w:tcW w:w="907" w:type="dxa"/>
            <w:tcBorders>
              <w:bottom w:val="single" w:sz="6" w:space="0" w:color="auto"/>
            </w:tcBorders>
          </w:tcPr>
          <w:p w14:paraId="4B6313BD" w14:textId="77777777" w:rsidR="004D42F9" w:rsidRDefault="004D42F9">
            <w:pPr>
              <w:cnfStyle w:val="000000000000" w:firstRow="0" w:lastRow="0" w:firstColumn="0" w:lastColumn="0" w:oddVBand="0" w:evenVBand="0" w:oddHBand="0" w:evenHBand="0" w:firstRowFirstColumn="0" w:firstRowLastColumn="0" w:lastRowFirstColumn="0" w:lastRowLastColumn="0"/>
            </w:pPr>
            <w:r>
              <w:t>1 558</w:t>
            </w:r>
          </w:p>
        </w:tc>
        <w:tc>
          <w:tcPr>
            <w:tcW w:w="907" w:type="dxa"/>
            <w:tcBorders>
              <w:bottom w:val="single" w:sz="6" w:space="0" w:color="auto"/>
            </w:tcBorders>
          </w:tcPr>
          <w:p w14:paraId="32F9081C" w14:textId="77777777" w:rsidR="004D42F9" w:rsidRDefault="004D42F9">
            <w:pPr>
              <w:cnfStyle w:val="000000000000" w:firstRow="0" w:lastRow="0" w:firstColumn="0" w:lastColumn="0" w:oddVBand="0" w:evenVBand="0" w:oddHBand="0" w:evenHBand="0" w:firstRowFirstColumn="0" w:firstRowLastColumn="0" w:lastRowFirstColumn="0" w:lastRowLastColumn="0"/>
            </w:pPr>
            <w:r>
              <w:t>1 177</w:t>
            </w:r>
          </w:p>
        </w:tc>
        <w:tc>
          <w:tcPr>
            <w:tcW w:w="907" w:type="dxa"/>
            <w:tcBorders>
              <w:bottom w:val="single" w:sz="6" w:space="0" w:color="auto"/>
            </w:tcBorders>
          </w:tcPr>
          <w:p w14:paraId="16B8FAD5" w14:textId="77777777" w:rsidR="004D42F9" w:rsidRDefault="004D42F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6" w:space="0" w:color="auto"/>
            </w:tcBorders>
          </w:tcPr>
          <w:p w14:paraId="517B7CFE" w14:textId="77777777" w:rsidR="004D42F9" w:rsidRDefault="004D42F9">
            <w:pPr>
              <w:cnfStyle w:val="000000000000" w:firstRow="0" w:lastRow="0" w:firstColumn="0" w:lastColumn="0" w:oddVBand="0" w:evenVBand="0" w:oddHBand="0" w:evenHBand="0" w:firstRowFirstColumn="0" w:firstRowLastColumn="0" w:lastRowFirstColumn="0" w:lastRowLastColumn="0"/>
            </w:pPr>
            <w:r>
              <w:t>1 103</w:t>
            </w:r>
          </w:p>
        </w:tc>
      </w:tr>
      <w:tr w:rsidR="004D42F9" w14:paraId="214F71EA"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3505DA1D" w14:textId="77777777" w:rsidR="004D42F9" w:rsidRDefault="004D42F9">
            <w:r>
              <w:rPr>
                <w:b/>
              </w:rPr>
              <w:t>Total non</w:t>
            </w:r>
            <w:r>
              <w:rPr>
                <w:b/>
              </w:rPr>
              <w:noBreakHyphen/>
              <w:t>current other provisions</w:t>
            </w:r>
          </w:p>
        </w:tc>
        <w:tc>
          <w:tcPr>
            <w:tcW w:w="907" w:type="dxa"/>
            <w:tcBorders>
              <w:top w:val="single" w:sz="6" w:space="0" w:color="auto"/>
              <w:bottom w:val="single" w:sz="6" w:space="0" w:color="auto"/>
            </w:tcBorders>
          </w:tcPr>
          <w:p w14:paraId="3C8D48B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48 463</w:t>
            </w:r>
          </w:p>
        </w:tc>
        <w:tc>
          <w:tcPr>
            <w:tcW w:w="907" w:type="dxa"/>
            <w:tcBorders>
              <w:top w:val="single" w:sz="6" w:space="0" w:color="auto"/>
              <w:bottom w:val="single" w:sz="6" w:space="0" w:color="auto"/>
            </w:tcBorders>
          </w:tcPr>
          <w:p w14:paraId="132BD84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44 557</w:t>
            </w:r>
          </w:p>
        </w:tc>
        <w:tc>
          <w:tcPr>
            <w:tcW w:w="907" w:type="dxa"/>
            <w:tcBorders>
              <w:top w:val="single" w:sz="6" w:space="0" w:color="auto"/>
              <w:bottom w:val="single" w:sz="6" w:space="0" w:color="auto"/>
            </w:tcBorders>
          </w:tcPr>
          <w:p w14:paraId="14149A9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1 752</w:t>
            </w:r>
          </w:p>
        </w:tc>
        <w:tc>
          <w:tcPr>
            <w:tcW w:w="907" w:type="dxa"/>
            <w:tcBorders>
              <w:top w:val="single" w:sz="6" w:space="0" w:color="auto"/>
              <w:bottom w:val="single" w:sz="6" w:space="0" w:color="auto"/>
            </w:tcBorders>
          </w:tcPr>
          <w:p w14:paraId="757B96A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1 294</w:t>
            </w:r>
          </w:p>
        </w:tc>
      </w:tr>
      <w:tr w:rsidR="004D42F9" w14:paraId="384A712A"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7FD1F18D" w14:textId="77777777" w:rsidR="004D42F9" w:rsidRDefault="004D42F9">
            <w:r>
              <w:rPr>
                <w:b/>
              </w:rPr>
              <w:t>Total other provisions</w:t>
            </w:r>
          </w:p>
        </w:tc>
        <w:tc>
          <w:tcPr>
            <w:tcW w:w="907" w:type="dxa"/>
            <w:tcBorders>
              <w:top w:val="single" w:sz="6" w:space="0" w:color="auto"/>
              <w:bottom w:val="single" w:sz="12" w:space="0" w:color="auto"/>
            </w:tcBorders>
          </w:tcPr>
          <w:p w14:paraId="342C9C5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57 849</w:t>
            </w:r>
          </w:p>
        </w:tc>
        <w:tc>
          <w:tcPr>
            <w:tcW w:w="907" w:type="dxa"/>
            <w:tcBorders>
              <w:top w:val="single" w:sz="6" w:space="0" w:color="auto"/>
              <w:bottom w:val="single" w:sz="12" w:space="0" w:color="auto"/>
            </w:tcBorders>
          </w:tcPr>
          <w:p w14:paraId="2E779C9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53 960</w:t>
            </w:r>
          </w:p>
        </w:tc>
        <w:tc>
          <w:tcPr>
            <w:tcW w:w="907" w:type="dxa"/>
            <w:tcBorders>
              <w:top w:val="single" w:sz="6" w:space="0" w:color="auto"/>
              <w:bottom w:val="single" w:sz="12" w:space="0" w:color="auto"/>
            </w:tcBorders>
          </w:tcPr>
          <w:p w14:paraId="3DBF098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3 762</w:t>
            </w:r>
          </w:p>
        </w:tc>
        <w:tc>
          <w:tcPr>
            <w:tcW w:w="907" w:type="dxa"/>
            <w:tcBorders>
              <w:top w:val="single" w:sz="6" w:space="0" w:color="auto"/>
              <w:bottom w:val="single" w:sz="12" w:space="0" w:color="auto"/>
            </w:tcBorders>
          </w:tcPr>
          <w:p w14:paraId="64DE1EA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3 431</w:t>
            </w:r>
          </w:p>
        </w:tc>
      </w:tr>
    </w:tbl>
    <w:p w14:paraId="1AE42E34" w14:textId="77777777" w:rsidR="004D42F9" w:rsidRDefault="004D42F9" w:rsidP="004D42F9">
      <w:pPr>
        <w:pStyle w:val="Note"/>
      </w:pPr>
      <w:r>
        <w:t>Note:</w:t>
      </w:r>
    </w:p>
    <w:p w14:paraId="3ECD417B" w14:textId="77777777" w:rsidR="004D42F9" w:rsidRDefault="004D42F9" w:rsidP="004D42F9">
      <w:pPr>
        <w:pStyle w:val="Note"/>
      </w:pPr>
      <w:r>
        <w:t>(a)</w:t>
      </w:r>
      <w:r>
        <w:tab/>
      </w:r>
      <w:r w:rsidRPr="004F3B82">
        <w:t>On</w:t>
      </w:r>
      <w:r>
        <w:t xml:space="preserve"> </w:t>
      </w:r>
      <w:r w:rsidRPr="004F3B82">
        <w:t xml:space="preserve">1 July 2025, the </w:t>
      </w:r>
      <w:r w:rsidRPr="00D25677">
        <w:rPr>
          <w:i w:val="0"/>
        </w:rPr>
        <w:t>Building Legislation Amendment (Buyer Protections) Act 2025</w:t>
      </w:r>
      <w:r w:rsidRPr="004F3B82">
        <w:t xml:space="preserve"> became effective, and the Building and Plumbing </w:t>
      </w:r>
      <w:r>
        <w:t xml:space="preserve">Commission </w:t>
      </w:r>
      <w:r w:rsidRPr="004F3B82">
        <w:t xml:space="preserve">(BPC) was established as a building industry regulator to succeed the former Victorian Building Authority. </w:t>
      </w:r>
      <w:r>
        <w:t>This resulted in responsibility for the Domestic Building Insurance function in the VMIA, within the PFC sector, transferring to the BPC in the general government sector.</w:t>
      </w:r>
    </w:p>
    <w:p w14:paraId="6355D530" w14:textId="77777777" w:rsidR="004D42F9" w:rsidRDefault="004D42F9" w:rsidP="004D42F9"/>
    <w:p w14:paraId="4E024D30" w14:textId="77777777" w:rsidR="00D41447" w:rsidRDefault="00D41447" w:rsidP="004D42F9">
      <w:pPr>
        <w:sectPr w:rsidR="00D41447" w:rsidSect="008623A6">
          <w:type w:val="continuous"/>
          <w:pgSz w:w="11906" w:h="16838" w:code="9"/>
          <w:pgMar w:top="1134" w:right="1134" w:bottom="1134" w:left="1134" w:header="624" w:footer="567" w:gutter="0"/>
          <w:cols w:space="708"/>
          <w:docGrid w:linePitch="360"/>
        </w:sectPr>
      </w:pPr>
    </w:p>
    <w:p w14:paraId="6EE0738B" w14:textId="77777777" w:rsidR="004D42F9" w:rsidRDefault="004D42F9" w:rsidP="004D42F9">
      <w:r>
        <w:t>Other provisions are recognised when the State has a present obligation, the future sacrifice of economic benefits is probable, and the amount of the provision can be measured reliably.</w:t>
      </w:r>
    </w:p>
    <w:p w14:paraId="33BD84EC" w14:textId="77777777" w:rsidR="004D42F9" w:rsidRDefault="004D42F9" w:rsidP="004D42F9">
      <w:r>
        <w:t>The amount recognised as a provision is the best estimate of the consideration required to settle the present obligation at reporting date, taking into account the risks and uncertainties surrounding the obligation.</w:t>
      </w:r>
    </w:p>
    <w:p w14:paraId="08A11B18" w14:textId="77777777" w:rsidR="004D42F9" w:rsidRDefault="004D42F9" w:rsidP="004D42F9">
      <w:r>
        <w:t>Where a provision is measured using the cash flows estimated to settle the present obligation, its carrying amount is the present value of those cash flows.</w:t>
      </w:r>
    </w:p>
    <w:p w14:paraId="27991487" w14:textId="77777777" w:rsidR="004D42F9" w:rsidRDefault="004D42F9" w:rsidP="004D42F9">
      <w:r>
        <w:t>When some or all of the economic benefits required to settle a provision are expected to be received from a third party, the receivable is recognised as an asset when recovery is virtually certain and the amount of the receivable can be measured reliably.</w:t>
      </w:r>
    </w:p>
    <w:p w14:paraId="495817C2" w14:textId="77777777" w:rsidR="00D41447" w:rsidRDefault="00D41447" w:rsidP="004D42F9">
      <w:pPr>
        <w:pStyle w:val="Heading3"/>
        <w:sectPr w:rsidR="00D41447" w:rsidSect="00D41447">
          <w:type w:val="continuous"/>
          <w:pgSz w:w="11906" w:h="16838" w:code="9"/>
          <w:pgMar w:top="1134" w:right="1134" w:bottom="1134" w:left="1134" w:header="624" w:footer="567" w:gutter="0"/>
          <w:cols w:num="2" w:space="708"/>
          <w:docGrid w:linePitch="360"/>
        </w:sectPr>
      </w:pPr>
    </w:p>
    <w:p w14:paraId="36B54A59" w14:textId="77777777" w:rsidR="004D42F9" w:rsidRDefault="004D42F9" w:rsidP="00D41447">
      <w:pPr>
        <w:pStyle w:val="Heading3"/>
        <w:pageBreakBefore/>
        <w:spacing w:before="0"/>
      </w:pPr>
      <w:r>
        <w:lastRenderedPageBreak/>
        <w:t>3.7.1</w:t>
      </w:r>
      <w:r>
        <w:tab/>
      </w:r>
      <w:r w:rsidRPr="00311DC4">
        <w:t>Insurance</w:t>
      </w:r>
      <w:r>
        <w:t xml:space="preserve"> claims </w:t>
      </w:r>
    </w:p>
    <w:p w14:paraId="1706D923" w14:textId="77777777" w:rsidR="00D41447" w:rsidRDefault="00D41447" w:rsidP="004D42F9">
      <w:pPr>
        <w:pStyle w:val="Heading4"/>
        <w:sectPr w:rsidR="00D41447" w:rsidSect="008623A6">
          <w:type w:val="continuous"/>
          <w:pgSz w:w="11906" w:h="16838" w:code="9"/>
          <w:pgMar w:top="1134" w:right="1134" w:bottom="1134" w:left="1134" w:header="624" w:footer="567" w:gutter="0"/>
          <w:cols w:space="708"/>
          <w:docGrid w:linePitch="360"/>
        </w:sectPr>
      </w:pPr>
    </w:p>
    <w:p w14:paraId="63F200DC" w14:textId="77777777" w:rsidR="004D42F9" w:rsidRDefault="004D42F9" w:rsidP="004D42F9">
      <w:pPr>
        <w:pStyle w:val="Heading4"/>
      </w:pPr>
      <w:r>
        <w:t>Assumptions used in measurement of liability for outstanding insurance claims</w:t>
      </w:r>
    </w:p>
    <w:p w14:paraId="5617F188" w14:textId="77777777" w:rsidR="004D42F9" w:rsidRDefault="004D42F9" w:rsidP="004D42F9">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75 per cent. </w:t>
      </w:r>
    </w:p>
    <w:p w14:paraId="6F99C0AD" w14:textId="77777777" w:rsidR="004D42F9" w:rsidRPr="00C10AA1" w:rsidRDefault="004D42F9" w:rsidP="004D42F9">
      <w:pPr>
        <w:ind w:right="212"/>
        <w:rPr>
          <w:b/>
          <w:bCs/>
        </w:rPr>
      </w:pPr>
      <w:r>
        <w:t xml:space="preserve">The actuaries take into account projected inflation and other factors to arrive at expected future payments. These are then discounted to the reporting date using a market determined, risk-free discount rate to determine the liability for </w:t>
      </w:r>
      <w:r w:rsidRPr="008E25B4">
        <w:t>outstanding insurance claims.</w:t>
      </w:r>
    </w:p>
    <w:p w14:paraId="7881979E" w14:textId="77777777" w:rsidR="004D42F9" w:rsidRPr="00C10AA1" w:rsidRDefault="004D42F9" w:rsidP="004D42F9">
      <w:pPr>
        <w:rPr>
          <w:i/>
          <w:iCs/>
        </w:rPr>
      </w:pPr>
      <w:r w:rsidRPr="008E25B4">
        <w:t xml:space="preserve">There is </w:t>
      </w:r>
      <w:r w:rsidRPr="00840BAD">
        <w:t>considerable</w:t>
      </w:r>
      <w:r w:rsidRPr="008E25B4">
        <w:t xml:space="preserve"> uncertainty with estimating future claim costs, particularly for long-tail claims, where payments are expected to occur many decades into the future. The introduction of </w:t>
      </w:r>
      <w:r>
        <w:t xml:space="preserve">Workcover </w:t>
      </w:r>
      <w:r w:rsidRPr="008E25B4">
        <w:t>Scheme modernisation</w:t>
      </w:r>
      <w:r>
        <w:t xml:space="preserve">, as made by the </w:t>
      </w:r>
      <w:r w:rsidRPr="006F3FCA">
        <w:rPr>
          <w:i/>
        </w:rPr>
        <w:t>Workplace Injury R</w:t>
      </w:r>
      <w:r>
        <w:rPr>
          <w:i/>
          <w:iCs/>
        </w:rPr>
        <w:t>ehabilitation and Compensation Amendment (Workcover Scheme Modernisation) Act 2024,</w:t>
      </w:r>
      <w:r w:rsidRPr="008E25B4">
        <w:t xml:space="preserve"> introduces additional uncertainties, as noted below:</w:t>
      </w:r>
    </w:p>
    <w:p w14:paraId="1EA28276" w14:textId="6F52235A" w:rsidR="004D42F9" w:rsidRPr="008E25B4" w:rsidRDefault="00D43B5A" w:rsidP="00D41447">
      <w:pPr>
        <w:pStyle w:val="ListBullet"/>
      </w:pPr>
      <w:r>
        <w:t>t</w:t>
      </w:r>
      <w:r w:rsidR="004D42F9" w:rsidRPr="008E25B4">
        <w:t>here is significant uncertainty in the assessment of Common Law costs under the reforms due to the need to anticipate behaviour change, and how some claimants may shift from weekly to common law benefits</w:t>
      </w:r>
    </w:p>
    <w:p w14:paraId="5B73984C" w14:textId="07C7B01F" w:rsidR="004D42F9" w:rsidRPr="008E25B4" w:rsidRDefault="00D43B5A" w:rsidP="004D42F9">
      <w:pPr>
        <w:pStyle w:val="ListBullet"/>
        <w:keepLines/>
        <w:numPr>
          <w:ilvl w:val="0"/>
          <w:numId w:val="27"/>
        </w:numPr>
      </w:pPr>
      <w:r>
        <w:t>t</w:t>
      </w:r>
      <w:r w:rsidR="004D42F9" w:rsidRPr="008E25B4">
        <w:t>here is insufficient claims experience at present to determine the effect of the new entitlement test</w:t>
      </w:r>
    </w:p>
    <w:p w14:paraId="7CA6749F" w14:textId="59EC471A" w:rsidR="004D42F9" w:rsidRDefault="00D43B5A" w:rsidP="004D42F9">
      <w:pPr>
        <w:pStyle w:val="ListBullet"/>
        <w:keepLines/>
        <w:numPr>
          <w:ilvl w:val="0"/>
          <w:numId w:val="27"/>
        </w:numPr>
      </w:pPr>
      <w:r>
        <w:t>l</w:t>
      </w:r>
      <w:r w:rsidR="004D42F9" w:rsidRPr="008E25B4">
        <w:t>egal precedent has not been established and the actual impact of Scheme modernisation will take many years to</w:t>
      </w:r>
      <w:r w:rsidR="004D42F9">
        <w:t xml:space="preserve"> </w:t>
      </w:r>
      <w:r w:rsidR="004D42F9" w:rsidRPr="008E25B4">
        <w:t>emerge.</w:t>
      </w:r>
    </w:p>
    <w:p w14:paraId="3C031E72" w14:textId="20460937" w:rsidR="004D42F9" w:rsidRDefault="00D41447" w:rsidP="003E4A17">
      <w:pPr>
        <w:pStyle w:val="Heading4"/>
      </w:pPr>
      <w:r>
        <w:br w:type="column"/>
      </w:r>
      <w:r w:rsidR="004D42F9">
        <w:t xml:space="preserve">Market volatility and bond yield movements </w:t>
      </w:r>
    </w:p>
    <w:p w14:paraId="5EB3CC7C" w14:textId="0A754B42" w:rsidR="004D42F9" w:rsidRPr="00CA21EE" w:rsidRDefault="004D42F9" w:rsidP="004D42F9">
      <w:pPr>
        <w:pStyle w:val="TableHeading"/>
        <w:rPr>
          <w:rFonts w:asciiTheme="minorHAnsi" w:hAnsiTheme="minorHAnsi" w:cs="Times New Roman"/>
          <w:b w:val="0"/>
          <w:sz w:val="22"/>
          <w:szCs w:val="22"/>
        </w:rPr>
      </w:pPr>
      <w:r w:rsidRPr="00CA21EE">
        <w:rPr>
          <w:rFonts w:asciiTheme="minorHAnsi" w:hAnsiTheme="minorHAnsi" w:cs="Times New Roman"/>
          <w:b w:val="0"/>
          <w:sz w:val="22"/>
          <w:szCs w:val="22"/>
        </w:rPr>
        <w:t>The State</w:t>
      </w:r>
      <w:r w:rsidR="00845934">
        <w:rPr>
          <w:rFonts w:asciiTheme="minorHAnsi" w:hAnsiTheme="minorHAnsi" w:cs="Times New Roman"/>
          <w:b w:val="0"/>
          <w:sz w:val="22"/>
          <w:szCs w:val="22"/>
        </w:rPr>
        <w:t>’</w:t>
      </w:r>
      <w:r w:rsidRPr="00CA21EE">
        <w:rPr>
          <w:rFonts w:asciiTheme="minorHAnsi" w:hAnsiTheme="minorHAnsi" w:cs="Times New Roman"/>
          <w:b w:val="0"/>
          <w:sz w:val="22"/>
          <w:szCs w:val="22"/>
        </w:rPr>
        <w:t>s insurance agencies hold significant assets that are invested to support their claims liabilities. The return on these investments impact on an insurer</w:t>
      </w:r>
      <w:r w:rsidR="00845934">
        <w:rPr>
          <w:rFonts w:asciiTheme="minorHAnsi" w:hAnsiTheme="minorHAnsi" w:cs="Times New Roman"/>
          <w:b w:val="0"/>
          <w:sz w:val="22"/>
          <w:szCs w:val="22"/>
        </w:rPr>
        <w:t>’</w:t>
      </w:r>
      <w:r w:rsidRPr="00CA21EE">
        <w:rPr>
          <w:rFonts w:asciiTheme="minorHAnsi" w:hAnsiTheme="minorHAnsi" w:cs="Times New Roman"/>
          <w:b w:val="0"/>
          <w:sz w:val="22"/>
          <w:szCs w:val="22"/>
        </w:rPr>
        <w:t xml:space="preserve">s net asset position. </w:t>
      </w:r>
      <w:r w:rsidRPr="00CA21EE">
        <w:rPr>
          <w:rFonts w:asciiTheme="minorHAnsi" w:hAnsiTheme="minorHAnsi"/>
          <w:b w:val="0"/>
          <w:sz w:val="22"/>
          <w:szCs w:val="22"/>
        </w:rPr>
        <w:t>During 2024-25</w:t>
      </w:r>
      <w:r>
        <w:rPr>
          <w:rFonts w:asciiTheme="minorHAnsi" w:hAnsiTheme="minorHAnsi"/>
          <w:b w:val="0"/>
          <w:sz w:val="22"/>
          <w:szCs w:val="22"/>
        </w:rPr>
        <w:t>,</w:t>
      </w:r>
      <w:r w:rsidRPr="00CA21EE">
        <w:rPr>
          <w:rFonts w:asciiTheme="minorHAnsi" w:hAnsiTheme="minorHAnsi"/>
          <w:b w:val="0"/>
          <w:sz w:val="22"/>
          <w:szCs w:val="22"/>
        </w:rPr>
        <w:t xml:space="preserve"> concerns around a recession peaked again, mainly due to trade and policy uncertainty surrounding US tariffs. This was before easing in response to more resilient economic growth, notably in the United States of America and Europe. Equity markets fluctuated in line with tariff uncertainties, however there were signs of easing inflation with continued investor confidence in Artificial Intelligence</w:t>
      </w:r>
      <w:r w:rsidRPr="00CA21EE">
        <w:rPr>
          <w:rFonts w:asciiTheme="minorHAnsi" w:hAnsiTheme="minorHAnsi" w:cs="Times New Roman"/>
          <w:b w:val="0"/>
          <w:sz w:val="22"/>
          <w:szCs w:val="22"/>
        </w:rPr>
        <w:t>. This resulted in the investments returns for the State</w:t>
      </w:r>
      <w:r w:rsidR="00845934">
        <w:rPr>
          <w:rFonts w:asciiTheme="minorHAnsi" w:hAnsiTheme="minorHAnsi" w:cs="Times New Roman"/>
          <w:b w:val="0"/>
          <w:sz w:val="22"/>
          <w:szCs w:val="22"/>
        </w:rPr>
        <w:t>’</w:t>
      </w:r>
      <w:r w:rsidRPr="00CA21EE">
        <w:rPr>
          <w:rFonts w:asciiTheme="minorHAnsi" w:hAnsiTheme="minorHAnsi" w:cs="Times New Roman"/>
          <w:b w:val="0"/>
          <w:sz w:val="22"/>
          <w:szCs w:val="22"/>
        </w:rPr>
        <w:t>s insurance agencies exceeding expectations in 2024</w:t>
      </w:r>
      <w:r w:rsidR="00D41447">
        <w:rPr>
          <w:rFonts w:asciiTheme="minorHAnsi" w:hAnsiTheme="minorHAnsi" w:cs="Times New Roman"/>
          <w:b w:val="0"/>
          <w:sz w:val="22"/>
          <w:szCs w:val="22"/>
        </w:rPr>
        <w:noBreakHyphen/>
      </w:r>
      <w:r w:rsidRPr="00CA21EE">
        <w:rPr>
          <w:rFonts w:asciiTheme="minorHAnsi" w:hAnsiTheme="minorHAnsi" w:cs="Times New Roman"/>
          <w:b w:val="0"/>
          <w:sz w:val="22"/>
          <w:szCs w:val="22"/>
        </w:rPr>
        <w:t>25.</w:t>
      </w:r>
    </w:p>
    <w:p w14:paraId="32B89F6B" w14:textId="372FCEA9" w:rsidR="004D42F9" w:rsidRDefault="004D42F9" w:rsidP="004D42F9">
      <w:r w:rsidRPr="002739BE">
        <w:t>The Insurer</w:t>
      </w:r>
      <w:r w:rsidR="00845934">
        <w:t>’</w:t>
      </w:r>
      <w:r w:rsidRPr="002739BE">
        <w:t>s net asset position is also sensitive to Commonwealth Government bond yields which, in accordance with Australian Accounting Standards, underlie the discount rates used to value the State insurance agencies</w:t>
      </w:r>
      <w:r w:rsidR="00845934">
        <w:t>’</w:t>
      </w:r>
      <w:r w:rsidRPr="002739BE">
        <w:t xml:space="preserve"> outstanding claims liabilities. Commonwealth Government bond yields </w:t>
      </w:r>
      <w:r w:rsidRPr="00CA21EE">
        <w:t>decreased</w:t>
      </w:r>
      <w:r w:rsidRPr="002739BE">
        <w:t xml:space="preserve"> in </w:t>
      </w:r>
      <w:r w:rsidRPr="00CA21EE">
        <w:t>2024-25, which</w:t>
      </w:r>
      <w:r w:rsidRPr="002739BE">
        <w:t xml:space="preserve"> </w:t>
      </w:r>
      <w:r w:rsidRPr="00CA21EE">
        <w:t xml:space="preserve">increased </w:t>
      </w:r>
      <w:r w:rsidRPr="002739BE">
        <w:t>the value of the State insurance agencies</w:t>
      </w:r>
      <w:r w:rsidR="00845934">
        <w:t>’</w:t>
      </w:r>
      <w:r w:rsidRPr="002739BE">
        <w:t xml:space="preserve"> outstanding claims liabilities.</w:t>
      </w:r>
    </w:p>
    <w:p w14:paraId="057CC997" w14:textId="77777777" w:rsidR="00D41447" w:rsidRDefault="00D41447" w:rsidP="004D42F9">
      <w:pPr>
        <w:keepLines w:val="0"/>
      </w:pPr>
    </w:p>
    <w:p w14:paraId="7CC4D5E0" w14:textId="77777777" w:rsidR="00D41447" w:rsidRDefault="00D41447" w:rsidP="004D42F9">
      <w:pPr>
        <w:keepLines w:val="0"/>
        <w:sectPr w:rsidR="00D41447" w:rsidSect="00D41447">
          <w:type w:val="continuous"/>
          <w:pgSz w:w="11906" w:h="16838" w:code="9"/>
          <w:pgMar w:top="1134" w:right="1134" w:bottom="1134" w:left="1134" w:header="624" w:footer="567" w:gutter="0"/>
          <w:cols w:num="2" w:space="708"/>
          <w:docGrid w:linePitch="360"/>
        </w:sectPr>
      </w:pPr>
    </w:p>
    <w:p w14:paraId="7CFD8625" w14:textId="77777777" w:rsidR="004D42F9" w:rsidRDefault="004D42F9" w:rsidP="004D42F9">
      <w:pPr>
        <w:pStyle w:val="TableHeading"/>
      </w:pPr>
      <w:r>
        <w:t xml:space="preserve">Reconciliation of movements in insurance claims </w:t>
      </w:r>
      <w:r w:rsidRPr="00021B6B">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Insurance/Link_AFR_Insurance.xlsx|Table:Insurance_claims_recon"/>
      </w:tblPr>
      <w:tblGrid>
        <w:gridCol w:w="7230"/>
        <w:gridCol w:w="1204"/>
        <w:gridCol w:w="1204"/>
      </w:tblGrid>
      <w:tr w:rsidR="004D42F9" w14:paraId="4D3A23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251021AB" w14:textId="77777777" w:rsidR="004D42F9" w:rsidRDefault="004D42F9">
            <w:pPr>
              <w:keepNext/>
            </w:pPr>
          </w:p>
        </w:tc>
        <w:tc>
          <w:tcPr>
            <w:tcW w:w="2408" w:type="dxa"/>
            <w:gridSpan w:val="2"/>
          </w:tcPr>
          <w:p w14:paraId="76E86A1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5D066B3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30" w:type="dxa"/>
          </w:tcPr>
          <w:p w14:paraId="4A686CFA" w14:textId="77777777" w:rsidR="004D42F9" w:rsidRDefault="004D42F9">
            <w:pPr>
              <w:keepNext/>
            </w:pPr>
          </w:p>
        </w:tc>
        <w:tc>
          <w:tcPr>
            <w:tcW w:w="1204" w:type="dxa"/>
          </w:tcPr>
          <w:p w14:paraId="23299B4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204" w:type="dxa"/>
          </w:tcPr>
          <w:p w14:paraId="0E3687D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DC672DE" w14:textId="77777777">
        <w:tc>
          <w:tcPr>
            <w:cnfStyle w:val="001000000000" w:firstRow="0" w:lastRow="0" w:firstColumn="1" w:lastColumn="0" w:oddVBand="0" w:evenVBand="0" w:oddHBand="0" w:evenHBand="0" w:firstRowFirstColumn="0" w:firstRowLastColumn="0" w:lastRowFirstColumn="0" w:lastRowLastColumn="0"/>
            <w:tcW w:w="7230" w:type="dxa"/>
          </w:tcPr>
          <w:p w14:paraId="5A4D1A70" w14:textId="77777777" w:rsidR="004D42F9" w:rsidRDefault="004D42F9">
            <w:r>
              <w:rPr>
                <w:b/>
              </w:rPr>
              <w:t>Opening balance</w:t>
            </w:r>
          </w:p>
        </w:tc>
        <w:tc>
          <w:tcPr>
            <w:tcW w:w="1204" w:type="dxa"/>
          </w:tcPr>
          <w:p w14:paraId="5AFC30A0"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85A75">
              <w:rPr>
                <w:b/>
                <w:bCs/>
              </w:rPr>
              <w:t>50 566</w:t>
            </w:r>
          </w:p>
        </w:tc>
        <w:tc>
          <w:tcPr>
            <w:tcW w:w="1204" w:type="dxa"/>
          </w:tcPr>
          <w:p w14:paraId="17E24038"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85A75">
              <w:rPr>
                <w:b/>
                <w:bCs/>
              </w:rPr>
              <w:t>47 046</w:t>
            </w:r>
          </w:p>
        </w:tc>
      </w:tr>
      <w:tr w:rsidR="004D42F9" w14:paraId="68A73359" w14:textId="77777777">
        <w:tc>
          <w:tcPr>
            <w:cnfStyle w:val="001000000000" w:firstRow="0" w:lastRow="0" w:firstColumn="1" w:lastColumn="0" w:oddVBand="0" w:evenVBand="0" w:oddHBand="0" w:evenHBand="0" w:firstRowFirstColumn="0" w:firstRowLastColumn="0" w:lastRowFirstColumn="0" w:lastRowLastColumn="0"/>
            <w:tcW w:w="7230" w:type="dxa"/>
          </w:tcPr>
          <w:p w14:paraId="21319647" w14:textId="77777777" w:rsidR="004D42F9" w:rsidRDefault="004D42F9">
            <w:r>
              <w:t>Effect of changes in assumptions and claims experience</w:t>
            </w:r>
          </w:p>
        </w:tc>
        <w:tc>
          <w:tcPr>
            <w:tcW w:w="1204" w:type="dxa"/>
          </w:tcPr>
          <w:p w14:paraId="065EDD4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r w:rsidRPr="000433A4">
              <w:t>65</w:t>
            </w:r>
            <w:r>
              <w:t>)</w:t>
            </w:r>
          </w:p>
        </w:tc>
        <w:tc>
          <w:tcPr>
            <w:tcW w:w="1204" w:type="dxa"/>
          </w:tcPr>
          <w:p w14:paraId="005C1BE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r w:rsidRPr="000433A4">
              <w:t>639</w:t>
            </w:r>
            <w:r>
              <w:t>)</w:t>
            </w:r>
          </w:p>
        </w:tc>
      </w:tr>
      <w:tr w:rsidR="004D42F9" w14:paraId="47B86742" w14:textId="77777777">
        <w:tc>
          <w:tcPr>
            <w:cnfStyle w:val="001000000000" w:firstRow="0" w:lastRow="0" w:firstColumn="1" w:lastColumn="0" w:oddVBand="0" w:evenVBand="0" w:oddHBand="0" w:evenHBand="0" w:firstRowFirstColumn="0" w:firstRowLastColumn="0" w:lastRowFirstColumn="0" w:lastRowLastColumn="0"/>
            <w:tcW w:w="7230" w:type="dxa"/>
          </w:tcPr>
          <w:p w14:paraId="7169D3A4" w14:textId="77777777" w:rsidR="004D42F9" w:rsidRDefault="004D42F9">
            <w:r>
              <w:t>Cost of prior year claims (unwinding of discount)</w:t>
            </w:r>
          </w:p>
        </w:tc>
        <w:tc>
          <w:tcPr>
            <w:tcW w:w="1204" w:type="dxa"/>
          </w:tcPr>
          <w:p w14:paraId="03E941E7" w14:textId="77777777" w:rsidR="004D42F9" w:rsidRDefault="004D42F9">
            <w:pPr>
              <w:cnfStyle w:val="000000000000" w:firstRow="0" w:lastRow="0" w:firstColumn="0" w:lastColumn="0" w:oddVBand="0" w:evenVBand="0" w:oddHBand="0" w:evenHBand="0" w:firstRowFirstColumn="0" w:firstRowLastColumn="0" w:lastRowFirstColumn="0" w:lastRowLastColumn="0"/>
            </w:pPr>
            <w:r>
              <w:t xml:space="preserve">1 </w:t>
            </w:r>
            <w:r w:rsidRPr="000433A4">
              <w:t>833</w:t>
            </w:r>
          </w:p>
        </w:tc>
        <w:tc>
          <w:tcPr>
            <w:tcW w:w="1204" w:type="dxa"/>
          </w:tcPr>
          <w:p w14:paraId="2691F032" w14:textId="77777777" w:rsidR="004D42F9" w:rsidRDefault="004D42F9">
            <w:pPr>
              <w:cnfStyle w:val="000000000000" w:firstRow="0" w:lastRow="0" w:firstColumn="0" w:lastColumn="0" w:oddVBand="0" w:evenVBand="0" w:oddHBand="0" w:evenHBand="0" w:firstRowFirstColumn="0" w:firstRowLastColumn="0" w:lastRowFirstColumn="0" w:lastRowLastColumn="0"/>
            </w:pPr>
            <w:r>
              <w:t xml:space="preserve">1 </w:t>
            </w:r>
            <w:r w:rsidRPr="000433A4">
              <w:t>712</w:t>
            </w:r>
          </w:p>
        </w:tc>
      </w:tr>
      <w:tr w:rsidR="004D42F9" w14:paraId="34C41A44" w14:textId="77777777">
        <w:tc>
          <w:tcPr>
            <w:cnfStyle w:val="001000000000" w:firstRow="0" w:lastRow="0" w:firstColumn="1" w:lastColumn="0" w:oddVBand="0" w:evenVBand="0" w:oddHBand="0" w:evenHBand="0" w:firstRowFirstColumn="0" w:firstRowLastColumn="0" w:lastRowFirstColumn="0" w:lastRowLastColumn="0"/>
            <w:tcW w:w="7230" w:type="dxa"/>
          </w:tcPr>
          <w:p w14:paraId="085E388E" w14:textId="77777777" w:rsidR="004D42F9" w:rsidRDefault="004D42F9">
            <w:r>
              <w:t>Increase in claims incurred</w:t>
            </w:r>
            <w:r>
              <w:rPr>
                <w:vertAlign w:val="superscript"/>
              </w:rPr>
              <w:t xml:space="preserve"> (b)</w:t>
            </w:r>
          </w:p>
        </w:tc>
        <w:tc>
          <w:tcPr>
            <w:tcW w:w="1204" w:type="dxa"/>
          </w:tcPr>
          <w:p w14:paraId="21AC5071"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433A4">
              <w:t>9 356</w:t>
            </w:r>
          </w:p>
        </w:tc>
        <w:tc>
          <w:tcPr>
            <w:tcW w:w="1204" w:type="dxa"/>
          </w:tcPr>
          <w:p w14:paraId="6A96C302"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433A4">
              <w:t>8 927</w:t>
            </w:r>
          </w:p>
        </w:tc>
      </w:tr>
      <w:tr w:rsidR="004D42F9" w14:paraId="0C9DDF7B" w14:textId="77777777">
        <w:tc>
          <w:tcPr>
            <w:cnfStyle w:val="001000000000" w:firstRow="0" w:lastRow="0" w:firstColumn="1" w:lastColumn="0" w:oddVBand="0" w:evenVBand="0" w:oddHBand="0" w:evenHBand="0" w:firstRowFirstColumn="0" w:firstRowLastColumn="0" w:lastRowFirstColumn="0" w:lastRowLastColumn="0"/>
            <w:tcW w:w="7230" w:type="dxa"/>
          </w:tcPr>
          <w:p w14:paraId="623063D0" w14:textId="77777777" w:rsidR="004D42F9" w:rsidRDefault="004D42F9">
            <w:r>
              <w:t>Claim payments during the year</w:t>
            </w:r>
            <w:r>
              <w:rPr>
                <w:vertAlign w:val="superscript"/>
              </w:rPr>
              <w:t xml:space="preserve"> (b)</w:t>
            </w:r>
          </w:p>
        </w:tc>
        <w:tc>
          <w:tcPr>
            <w:tcW w:w="1204" w:type="dxa"/>
          </w:tcPr>
          <w:p w14:paraId="75721CD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r w:rsidRPr="000433A4">
              <w:t>6 443</w:t>
            </w:r>
            <w:r>
              <w:t>)</w:t>
            </w:r>
          </w:p>
        </w:tc>
        <w:tc>
          <w:tcPr>
            <w:tcW w:w="1204" w:type="dxa"/>
          </w:tcPr>
          <w:p w14:paraId="35C97518" w14:textId="77777777" w:rsidR="004D42F9" w:rsidRDefault="004D42F9">
            <w:pPr>
              <w:cnfStyle w:val="000000000000" w:firstRow="0" w:lastRow="0" w:firstColumn="0" w:lastColumn="0" w:oddVBand="0" w:evenVBand="0" w:oddHBand="0" w:evenHBand="0" w:firstRowFirstColumn="0" w:firstRowLastColumn="0" w:lastRowFirstColumn="0" w:lastRowLastColumn="0"/>
            </w:pPr>
            <w:r>
              <w:t xml:space="preserve">(5 </w:t>
            </w:r>
            <w:r w:rsidRPr="000433A4">
              <w:t>921</w:t>
            </w:r>
            <w:r>
              <w:t>)</w:t>
            </w:r>
          </w:p>
        </w:tc>
      </w:tr>
      <w:tr w:rsidR="004D42F9" w14:paraId="2B45388E" w14:textId="77777777">
        <w:tc>
          <w:tcPr>
            <w:cnfStyle w:val="001000000000" w:firstRow="0" w:lastRow="0" w:firstColumn="1" w:lastColumn="0" w:oddVBand="0" w:evenVBand="0" w:oddHBand="0" w:evenHBand="0" w:firstRowFirstColumn="0" w:firstRowLastColumn="0" w:lastRowFirstColumn="0" w:lastRowLastColumn="0"/>
            <w:tcW w:w="7230" w:type="dxa"/>
            <w:tcBorders>
              <w:bottom w:val="single" w:sz="6" w:space="0" w:color="auto"/>
            </w:tcBorders>
          </w:tcPr>
          <w:p w14:paraId="1F932948" w14:textId="77777777" w:rsidR="004D42F9" w:rsidRDefault="004D42F9">
            <w:r>
              <w:t>Other</w:t>
            </w:r>
          </w:p>
        </w:tc>
        <w:tc>
          <w:tcPr>
            <w:tcW w:w="1204" w:type="dxa"/>
            <w:tcBorders>
              <w:bottom w:val="single" w:sz="6" w:space="0" w:color="auto"/>
            </w:tcBorders>
          </w:tcPr>
          <w:p w14:paraId="6BA3807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r w:rsidRPr="000433A4">
              <w:t>928</w:t>
            </w:r>
            <w:r>
              <w:t>)</w:t>
            </w:r>
          </w:p>
        </w:tc>
        <w:tc>
          <w:tcPr>
            <w:tcW w:w="1204" w:type="dxa"/>
            <w:tcBorders>
              <w:bottom w:val="single" w:sz="6" w:space="0" w:color="auto"/>
            </w:tcBorders>
          </w:tcPr>
          <w:p w14:paraId="7A83BF0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r w:rsidRPr="000433A4">
              <w:t>559</w:t>
            </w:r>
            <w:r>
              <w:t>)</w:t>
            </w:r>
          </w:p>
        </w:tc>
      </w:tr>
      <w:tr w:rsidR="004D42F9" w14:paraId="22A457BF" w14:textId="77777777">
        <w:tc>
          <w:tcPr>
            <w:cnfStyle w:val="001000000000" w:firstRow="0" w:lastRow="0" w:firstColumn="1" w:lastColumn="0" w:oddVBand="0" w:evenVBand="0" w:oddHBand="0" w:evenHBand="0" w:firstRowFirstColumn="0" w:firstRowLastColumn="0" w:lastRowFirstColumn="0" w:lastRowLastColumn="0"/>
            <w:tcW w:w="7230" w:type="dxa"/>
            <w:tcBorders>
              <w:top w:val="single" w:sz="6" w:space="0" w:color="auto"/>
              <w:bottom w:val="single" w:sz="12" w:space="0" w:color="auto"/>
            </w:tcBorders>
          </w:tcPr>
          <w:p w14:paraId="1997698B" w14:textId="77777777" w:rsidR="004D42F9" w:rsidRDefault="004D42F9">
            <w:r>
              <w:rPr>
                <w:b/>
              </w:rPr>
              <w:t>Closing balance</w:t>
            </w:r>
          </w:p>
        </w:tc>
        <w:tc>
          <w:tcPr>
            <w:tcW w:w="1204" w:type="dxa"/>
            <w:tcBorders>
              <w:top w:val="single" w:sz="6" w:space="0" w:color="auto"/>
              <w:bottom w:val="single" w:sz="12" w:space="0" w:color="auto"/>
            </w:tcBorders>
          </w:tcPr>
          <w:p w14:paraId="60B8B7AF"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85A75">
              <w:rPr>
                <w:b/>
                <w:bCs/>
              </w:rPr>
              <w:t>54 320</w:t>
            </w:r>
          </w:p>
        </w:tc>
        <w:tc>
          <w:tcPr>
            <w:tcW w:w="1204" w:type="dxa"/>
            <w:tcBorders>
              <w:top w:val="single" w:sz="6" w:space="0" w:color="auto"/>
              <w:bottom w:val="single" w:sz="12" w:space="0" w:color="auto"/>
            </w:tcBorders>
          </w:tcPr>
          <w:p w14:paraId="296BABA3" w14:textId="77777777" w:rsidR="004D42F9" w:rsidRDefault="004D42F9">
            <w:pPr>
              <w:cnfStyle w:val="000000000000" w:firstRow="0" w:lastRow="0" w:firstColumn="0" w:lastColumn="0" w:oddVBand="0" w:evenVBand="0" w:oddHBand="0" w:evenHBand="0" w:firstRowFirstColumn="0" w:firstRowLastColumn="0" w:lastRowFirstColumn="0" w:lastRowLastColumn="0"/>
            </w:pPr>
            <w:r w:rsidRPr="00085A75">
              <w:rPr>
                <w:b/>
                <w:bCs/>
              </w:rPr>
              <w:t>50 566</w:t>
            </w:r>
          </w:p>
        </w:tc>
      </w:tr>
    </w:tbl>
    <w:p w14:paraId="15C6F176" w14:textId="77777777" w:rsidR="004D42F9" w:rsidRDefault="004D42F9" w:rsidP="004D42F9">
      <w:pPr>
        <w:pStyle w:val="Note"/>
      </w:pPr>
      <w:r>
        <w:t>Notes:</w:t>
      </w:r>
    </w:p>
    <w:p w14:paraId="0C2A02C1" w14:textId="7083B188" w:rsidR="004D42F9" w:rsidRPr="002E0FBB" w:rsidRDefault="004D42F9" w:rsidP="004D42F9">
      <w:pPr>
        <w:pStyle w:val="Note"/>
        <w:rPr>
          <w:b/>
          <w:bCs/>
        </w:rPr>
      </w:pPr>
      <w:r>
        <w:t>(a)</w:t>
      </w:r>
      <w:r>
        <w:tab/>
        <w:t>Reconciliation of movements in insurance claims is only disclosed for the whole of state as they are only material for the State</w:t>
      </w:r>
      <w:r w:rsidR="00845934">
        <w:t>’</w:t>
      </w:r>
      <w:r>
        <w:t xml:space="preserve">s insurance agencies in the public financial corporations sector. </w:t>
      </w:r>
    </w:p>
    <w:p w14:paraId="42B85325" w14:textId="77777777" w:rsidR="004D42F9" w:rsidRDefault="004D42F9" w:rsidP="004D42F9">
      <w:pPr>
        <w:pStyle w:val="Note"/>
      </w:pPr>
      <w:r>
        <w:t>(b)</w:t>
      </w:r>
      <w:r>
        <w:tab/>
        <w:t>Claim payments and claims incurred during the year are net of recoveries.</w:t>
      </w:r>
    </w:p>
    <w:p w14:paraId="11B8CCD7" w14:textId="77777777" w:rsidR="004D42F9" w:rsidRDefault="004D42F9" w:rsidP="004D42F9"/>
    <w:p w14:paraId="7997021C" w14:textId="77777777" w:rsidR="004D42F9" w:rsidRDefault="004D42F9" w:rsidP="004D42F9">
      <w:pPr>
        <w:sectPr w:rsidR="004D42F9" w:rsidSect="008623A6">
          <w:type w:val="continuous"/>
          <w:pgSz w:w="11906" w:h="16838" w:code="9"/>
          <w:pgMar w:top="1134" w:right="1134" w:bottom="1134" w:left="1134" w:header="624" w:footer="567" w:gutter="0"/>
          <w:cols w:space="708"/>
          <w:docGrid w:linePitch="360"/>
        </w:sectPr>
      </w:pPr>
    </w:p>
    <w:p w14:paraId="3138DA3E" w14:textId="77777777" w:rsidR="004D42F9" w:rsidRDefault="004D42F9" w:rsidP="004D42F9">
      <w:pPr>
        <w:pStyle w:val="TableHeading"/>
        <w:spacing w:before="0"/>
      </w:pPr>
      <w:r>
        <w:lastRenderedPageBreak/>
        <w:t xml:space="preserve">Insurance claims assumptions </w:t>
      </w:r>
    </w:p>
    <w:tbl>
      <w:tblPr>
        <w:tblStyle w:val="DTFTableNumeric"/>
        <w:tblW w:w="14572" w:type="dxa"/>
        <w:tblLayout w:type="fixed"/>
        <w:tblLook w:val="06A0" w:firstRow="1" w:lastRow="0" w:firstColumn="1" w:lastColumn="0" w:noHBand="1" w:noVBand="1"/>
        <w:tblDescription w:val="Type:DtfTable|Workbook:https://vicgov.sharepoint.com/sites/VG002733/Annual Financial Report/CRA Coordination/Financial Statements/Manual Reports/Insurance/Link_AFR_Insurance.xlsx|Table:Insurance_claims_assumptions"/>
      </w:tblPr>
      <w:tblGrid>
        <w:gridCol w:w="2127"/>
        <w:gridCol w:w="2283"/>
        <w:gridCol w:w="741"/>
        <w:gridCol w:w="742"/>
        <w:gridCol w:w="1498"/>
        <w:gridCol w:w="1470"/>
        <w:gridCol w:w="1414"/>
        <w:gridCol w:w="1413"/>
        <w:gridCol w:w="1428"/>
        <w:gridCol w:w="1456"/>
      </w:tblGrid>
      <w:tr w:rsidR="00940F7B" w:rsidRPr="00546D50" w14:paraId="5BDDC1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D194FEB" w14:textId="77777777" w:rsidR="004D42F9" w:rsidRPr="00546D50" w:rsidRDefault="004D42F9">
            <w:pPr>
              <w:keepNext/>
              <w:rPr>
                <w:sz w:val="16"/>
                <w:szCs w:val="16"/>
              </w:rPr>
            </w:pPr>
          </w:p>
        </w:tc>
        <w:tc>
          <w:tcPr>
            <w:tcW w:w="2283" w:type="dxa"/>
          </w:tcPr>
          <w:p w14:paraId="7F1BCA93" w14:textId="77777777" w:rsidR="004D42F9" w:rsidRPr="00546D50" w:rsidRDefault="004D42F9">
            <w:pPr>
              <w:keepNext/>
              <w:jc w:val="left"/>
              <w:cnfStyle w:val="100000000000" w:firstRow="1" w:lastRow="0" w:firstColumn="0" w:lastColumn="0" w:oddVBand="0" w:evenVBand="0" w:oddHBand="0" w:evenHBand="0" w:firstRowFirstColumn="0" w:firstRowLastColumn="0" w:lastRowFirstColumn="0" w:lastRowLastColumn="0"/>
              <w:rPr>
                <w:sz w:val="16"/>
                <w:szCs w:val="16"/>
              </w:rPr>
            </w:pPr>
          </w:p>
        </w:tc>
        <w:tc>
          <w:tcPr>
            <w:tcW w:w="1483" w:type="dxa"/>
            <w:gridSpan w:val="2"/>
          </w:tcPr>
          <w:p w14:paraId="6837724B"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Weighted average</w:t>
            </w:r>
          </w:p>
        </w:tc>
        <w:tc>
          <w:tcPr>
            <w:tcW w:w="8679" w:type="dxa"/>
            <w:gridSpan w:val="6"/>
            <w:tcBorders>
              <w:bottom w:val="single" w:sz="6" w:space="0" w:color="FFFFFF" w:themeColor="background1"/>
            </w:tcBorders>
          </w:tcPr>
          <w:p w14:paraId="3228A20E"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Financial assumptions used (%)</w:t>
            </w:r>
            <w:r w:rsidRPr="00546D50">
              <w:rPr>
                <w:sz w:val="16"/>
                <w:szCs w:val="16"/>
                <w:vertAlign w:val="superscript"/>
              </w:rPr>
              <w:t xml:space="preserve"> (a)(b)(c)</w:t>
            </w:r>
          </w:p>
        </w:tc>
      </w:tr>
      <w:tr w:rsidR="002F56B2" w:rsidRPr="00546D50" w14:paraId="1277468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55F2509" w14:textId="77777777" w:rsidR="004D42F9" w:rsidRPr="00546D50" w:rsidRDefault="004D42F9">
            <w:pPr>
              <w:keepNext/>
              <w:rPr>
                <w:sz w:val="16"/>
                <w:szCs w:val="16"/>
              </w:rPr>
            </w:pPr>
          </w:p>
        </w:tc>
        <w:tc>
          <w:tcPr>
            <w:tcW w:w="2283" w:type="dxa"/>
          </w:tcPr>
          <w:p w14:paraId="0E1CCA40" w14:textId="77777777" w:rsidR="004D42F9" w:rsidRPr="00546D50" w:rsidRDefault="004D42F9">
            <w:pPr>
              <w:keepNext/>
              <w:jc w:val="left"/>
              <w:cnfStyle w:val="100000000000" w:firstRow="1" w:lastRow="0" w:firstColumn="0" w:lastColumn="0" w:oddVBand="0" w:evenVBand="0" w:oddHBand="0" w:evenHBand="0" w:firstRowFirstColumn="0" w:firstRowLastColumn="0" w:lastRowFirstColumn="0" w:lastRowLastColumn="0"/>
              <w:rPr>
                <w:sz w:val="16"/>
                <w:szCs w:val="16"/>
              </w:rPr>
            </w:pPr>
          </w:p>
        </w:tc>
        <w:tc>
          <w:tcPr>
            <w:tcW w:w="1483" w:type="dxa"/>
            <w:gridSpan w:val="2"/>
          </w:tcPr>
          <w:p w14:paraId="0187B605"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expected term to settlement (years)</w:t>
            </w:r>
          </w:p>
        </w:tc>
        <w:tc>
          <w:tcPr>
            <w:tcW w:w="2968" w:type="dxa"/>
            <w:gridSpan w:val="2"/>
            <w:tcBorders>
              <w:top w:val="single" w:sz="6" w:space="0" w:color="FFFFFF" w:themeColor="background1"/>
            </w:tcBorders>
          </w:tcPr>
          <w:p w14:paraId="4E5E9D35"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Weighted average</w:t>
            </w:r>
            <w:r w:rsidRPr="00546D50">
              <w:rPr>
                <w:sz w:val="16"/>
                <w:szCs w:val="16"/>
              </w:rPr>
              <w:br/>
              <w:t>inflation rate (%)</w:t>
            </w:r>
            <w:r w:rsidRPr="00546D50">
              <w:rPr>
                <w:sz w:val="16"/>
                <w:szCs w:val="16"/>
                <w:vertAlign w:val="superscript"/>
              </w:rPr>
              <w:t xml:space="preserve"> (d)</w:t>
            </w:r>
          </w:p>
        </w:tc>
        <w:tc>
          <w:tcPr>
            <w:tcW w:w="2827" w:type="dxa"/>
            <w:gridSpan w:val="2"/>
            <w:tcBorders>
              <w:top w:val="single" w:sz="6" w:space="0" w:color="FFFFFF" w:themeColor="background1"/>
            </w:tcBorders>
          </w:tcPr>
          <w:p w14:paraId="1EC1C75C"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Weighted average</w:t>
            </w:r>
            <w:r w:rsidRPr="00546D50">
              <w:rPr>
                <w:sz w:val="16"/>
                <w:szCs w:val="16"/>
              </w:rPr>
              <w:br/>
              <w:t>discount rate (%)</w:t>
            </w:r>
          </w:p>
        </w:tc>
        <w:tc>
          <w:tcPr>
            <w:tcW w:w="2884" w:type="dxa"/>
            <w:gridSpan w:val="2"/>
            <w:tcBorders>
              <w:top w:val="single" w:sz="6" w:space="0" w:color="FFFFFF" w:themeColor="background1"/>
            </w:tcBorders>
          </w:tcPr>
          <w:p w14:paraId="0B09CFD8" w14:textId="77777777" w:rsidR="004D42F9" w:rsidRPr="00546D50"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Prudential margin</w:t>
            </w:r>
            <w:r w:rsidRPr="00546D50">
              <w:rPr>
                <w:sz w:val="16"/>
                <w:szCs w:val="16"/>
              </w:rPr>
              <w:br/>
              <w:t>used (%)</w:t>
            </w:r>
            <w:r w:rsidRPr="00546D50">
              <w:rPr>
                <w:sz w:val="16"/>
                <w:szCs w:val="16"/>
                <w:vertAlign w:val="superscript"/>
              </w:rPr>
              <w:t xml:space="preserve"> (e)</w:t>
            </w:r>
          </w:p>
        </w:tc>
      </w:tr>
      <w:tr w:rsidR="005B108F" w:rsidRPr="00546D50" w14:paraId="7DDF920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04D926E0" w14:textId="77777777" w:rsidR="004D42F9" w:rsidRPr="00546D50" w:rsidRDefault="004D42F9">
            <w:pPr>
              <w:keepNext/>
              <w:rPr>
                <w:sz w:val="16"/>
                <w:szCs w:val="16"/>
              </w:rPr>
            </w:pPr>
            <w:r w:rsidRPr="00546D50">
              <w:rPr>
                <w:sz w:val="16"/>
                <w:szCs w:val="16"/>
              </w:rPr>
              <w:t>Entity</w:t>
            </w:r>
          </w:p>
        </w:tc>
        <w:tc>
          <w:tcPr>
            <w:tcW w:w="2283" w:type="dxa"/>
          </w:tcPr>
          <w:p w14:paraId="19B50897" w14:textId="77777777" w:rsidR="004D42F9" w:rsidRPr="00546D50" w:rsidRDefault="004D42F9">
            <w:pPr>
              <w:keepNext/>
              <w:jc w:val="lef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Actuary</w:t>
            </w:r>
          </w:p>
        </w:tc>
        <w:tc>
          <w:tcPr>
            <w:tcW w:w="741" w:type="dxa"/>
          </w:tcPr>
          <w:p w14:paraId="51173896"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2025</w:t>
            </w:r>
          </w:p>
        </w:tc>
        <w:tc>
          <w:tcPr>
            <w:tcW w:w="742" w:type="dxa"/>
          </w:tcPr>
          <w:p w14:paraId="02E2A105"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2024</w:t>
            </w:r>
          </w:p>
        </w:tc>
        <w:tc>
          <w:tcPr>
            <w:tcW w:w="1498" w:type="dxa"/>
          </w:tcPr>
          <w:p w14:paraId="4B47FE14"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2025</w:t>
            </w:r>
          </w:p>
        </w:tc>
        <w:tc>
          <w:tcPr>
            <w:tcW w:w="1470" w:type="dxa"/>
          </w:tcPr>
          <w:p w14:paraId="23EB2720"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2024</w:t>
            </w:r>
          </w:p>
        </w:tc>
        <w:tc>
          <w:tcPr>
            <w:tcW w:w="1414" w:type="dxa"/>
          </w:tcPr>
          <w:p w14:paraId="0F48C9A6"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2025</w:t>
            </w:r>
          </w:p>
        </w:tc>
        <w:tc>
          <w:tcPr>
            <w:tcW w:w="1413" w:type="dxa"/>
          </w:tcPr>
          <w:p w14:paraId="766CA2AB"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2024</w:t>
            </w:r>
          </w:p>
        </w:tc>
        <w:tc>
          <w:tcPr>
            <w:tcW w:w="1428" w:type="dxa"/>
          </w:tcPr>
          <w:p w14:paraId="40A97142"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2025</w:t>
            </w:r>
          </w:p>
        </w:tc>
        <w:tc>
          <w:tcPr>
            <w:tcW w:w="1456" w:type="dxa"/>
          </w:tcPr>
          <w:p w14:paraId="3F6AC39F" w14:textId="77777777" w:rsidR="004D42F9" w:rsidRPr="00546D50"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546D50">
              <w:rPr>
                <w:sz w:val="16"/>
                <w:szCs w:val="16"/>
              </w:rPr>
              <w:t>2024</w:t>
            </w:r>
          </w:p>
        </w:tc>
      </w:tr>
      <w:tr w:rsidR="004D42F9" w:rsidRPr="00546D50" w14:paraId="7138F39D" w14:textId="77777777">
        <w:tc>
          <w:tcPr>
            <w:cnfStyle w:val="001000000000" w:firstRow="0" w:lastRow="0" w:firstColumn="1" w:lastColumn="0" w:oddVBand="0" w:evenVBand="0" w:oddHBand="0" w:evenHBand="0" w:firstRowFirstColumn="0" w:firstRowLastColumn="0" w:lastRowFirstColumn="0" w:lastRowLastColumn="0"/>
            <w:tcW w:w="2127" w:type="dxa"/>
            <w:tcBorders>
              <w:bottom w:val="single" w:sz="6" w:space="0" w:color="auto"/>
            </w:tcBorders>
          </w:tcPr>
          <w:p w14:paraId="04F16279" w14:textId="77777777" w:rsidR="004D42F9" w:rsidRPr="00546D50" w:rsidRDefault="004D42F9">
            <w:pPr>
              <w:rPr>
                <w:sz w:val="16"/>
                <w:szCs w:val="16"/>
              </w:rPr>
            </w:pPr>
            <w:r w:rsidRPr="00546D50">
              <w:rPr>
                <w:sz w:val="16"/>
                <w:szCs w:val="16"/>
              </w:rPr>
              <w:t>Victorian WorkCover Authority (WorkSafe Victoria)</w:t>
            </w:r>
          </w:p>
        </w:tc>
        <w:tc>
          <w:tcPr>
            <w:tcW w:w="2283" w:type="dxa"/>
            <w:tcBorders>
              <w:bottom w:val="single" w:sz="6" w:space="0" w:color="auto"/>
            </w:tcBorders>
          </w:tcPr>
          <w:p w14:paraId="3B5B664B"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p>
        </w:tc>
        <w:tc>
          <w:tcPr>
            <w:tcW w:w="741" w:type="dxa"/>
            <w:tcBorders>
              <w:bottom w:val="single" w:sz="6" w:space="0" w:color="auto"/>
            </w:tcBorders>
          </w:tcPr>
          <w:p w14:paraId="3C7016C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6.93</w:t>
            </w:r>
          </w:p>
        </w:tc>
        <w:tc>
          <w:tcPr>
            <w:tcW w:w="742" w:type="dxa"/>
            <w:tcBorders>
              <w:bottom w:val="single" w:sz="6" w:space="0" w:color="auto"/>
            </w:tcBorders>
          </w:tcPr>
          <w:p w14:paraId="3326875E"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7.01</w:t>
            </w:r>
          </w:p>
        </w:tc>
        <w:tc>
          <w:tcPr>
            <w:tcW w:w="1498" w:type="dxa"/>
            <w:tcBorders>
              <w:bottom w:val="single" w:sz="6" w:space="0" w:color="auto"/>
            </w:tcBorders>
          </w:tcPr>
          <w:p w14:paraId="6823E807"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AWE inflation</w:t>
            </w:r>
            <w:r w:rsidRPr="00546D50">
              <w:rPr>
                <w:sz w:val="16"/>
                <w:szCs w:val="16"/>
              </w:rPr>
              <w:br/>
              <w:t>0 to 20 years = 3.61</w:t>
            </w:r>
            <w:r w:rsidRPr="00546D50">
              <w:rPr>
                <w:sz w:val="16"/>
                <w:szCs w:val="16"/>
              </w:rPr>
              <w:br/>
              <w:t>21+ years = 3.51</w:t>
            </w:r>
            <w:r w:rsidRPr="00546D50">
              <w:rPr>
                <w:sz w:val="16"/>
                <w:szCs w:val="16"/>
              </w:rPr>
              <w:br/>
            </w:r>
            <w:r w:rsidRPr="00546D50">
              <w:rPr>
                <w:sz w:val="16"/>
                <w:szCs w:val="16"/>
              </w:rPr>
              <w:br/>
              <w:t>CPI inflation</w:t>
            </w:r>
            <w:r w:rsidRPr="00546D50">
              <w:rPr>
                <w:sz w:val="16"/>
                <w:szCs w:val="16"/>
              </w:rPr>
              <w:br/>
              <w:t>0 to 20 years = 2.56</w:t>
            </w:r>
            <w:r w:rsidRPr="00546D50">
              <w:rPr>
                <w:sz w:val="16"/>
                <w:szCs w:val="16"/>
              </w:rPr>
              <w:br/>
              <w:t>21+ years = 2.63</w:t>
            </w:r>
          </w:p>
        </w:tc>
        <w:tc>
          <w:tcPr>
            <w:tcW w:w="1470" w:type="dxa"/>
            <w:tcBorders>
              <w:bottom w:val="single" w:sz="6" w:space="0" w:color="auto"/>
            </w:tcBorders>
          </w:tcPr>
          <w:p w14:paraId="44894E4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AWE inflation</w:t>
            </w:r>
            <w:r w:rsidRPr="00546D50">
              <w:rPr>
                <w:sz w:val="16"/>
                <w:szCs w:val="16"/>
              </w:rPr>
              <w:br/>
              <w:t>0 to 20 years = 3.66</w:t>
            </w:r>
            <w:r w:rsidRPr="00546D50">
              <w:rPr>
                <w:sz w:val="16"/>
                <w:szCs w:val="16"/>
              </w:rPr>
              <w:br/>
              <w:t>21+ years = 3.52</w:t>
            </w:r>
            <w:r w:rsidRPr="00546D50">
              <w:rPr>
                <w:sz w:val="16"/>
                <w:szCs w:val="16"/>
              </w:rPr>
              <w:br/>
            </w:r>
            <w:r w:rsidRPr="00546D50">
              <w:rPr>
                <w:sz w:val="16"/>
                <w:szCs w:val="16"/>
              </w:rPr>
              <w:br/>
              <w:t>CPI inflation</w:t>
            </w:r>
            <w:r w:rsidRPr="00546D50">
              <w:rPr>
                <w:sz w:val="16"/>
                <w:szCs w:val="16"/>
              </w:rPr>
              <w:br/>
              <w:t>0 to 20 years = 2.73</w:t>
            </w:r>
            <w:r w:rsidRPr="00546D50">
              <w:rPr>
                <w:sz w:val="16"/>
                <w:szCs w:val="16"/>
              </w:rPr>
              <w:br/>
              <w:t>21+ years = 2.64</w:t>
            </w:r>
          </w:p>
        </w:tc>
        <w:tc>
          <w:tcPr>
            <w:tcW w:w="1414" w:type="dxa"/>
            <w:tcBorders>
              <w:bottom w:val="single" w:sz="6" w:space="0" w:color="auto"/>
            </w:tcBorders>
          </w:tcPr>
          <w:p w14:paraId="628DC02E"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0 to 20 years = 4.25</w:t>
            </w:r>
            <w:r w:rsidRPr="00546D50">
              <w:rPr>
                <w:sz w:val="16"/>
                <w:szCs w:val="16"/>
              </w:rPr>
              <w:br/>
              <w:t>21+ years = 4.91</w:t>
            </w:r>
          </w:p>
        </w:tc>
        <w:tc>
          <w:tcPr>
            <w:tcW w:w="1413" w:type="dxa"/>
            <w:tcBorders>
              <w:bottom w:val="single" w:sz="6" w:space="0" w:color="auto"/>
            </w:tcBorders>
          </w:tcPr>
          <w:p w14:paraId="7312873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0 to 20 years = 4.48</w:t>
            </w:r>
            <w:r w:rsidRPr="00546D50">
              <w:rPr>
                <w:sz w:val="16"/>
                <w:szCs w:val="16"/>
              </w:rPr>
              <w:br/>
              <w:t>21+ years = 4.82</w:t>
            </w:r>
            <w:r w:rsidRPr="00546D50">
              <w:rPr>
                <w:sz w:val="16"/>
                <w:szCs w:val="16"/>
              </w:rPr>
              <w:br/>
            </w:r>
          </w:p>
        </w:tc>
        <w:tc>
          <w:tcPr>
            <w:tcW w:w="1428" w:type="dxa"/>
            <w:tcBorders>
              <w:bottom w:val="single" w:sz="6" w:space="0" w:color="auto"/>
            </w:tcBorders>
          </w:tcPr>
          <w:p w14:paraId="28DB29E5"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10.50</w:t>
            </w:r>
            <w:r w:rsidRPr="00546D50">
              <w:rPr>
                <w:sz w:val="16"/>
                <w:szCs w:val="16"/>
              </w:rPr>
              <w:br/>
              <w:t>CHE = 8.50</w:t>
            </w:r>
            <w:r w:rsidRPr="00546D50">
              <w:rPr>
                <w:sz w:val="16"/>
                <w:szCs w:val="16"/>
              </w:rPr>
              <w:br/>
            </w:r>
          </w:p>
        </w:tc>
        <w:tc>
          <w:tcPr>
            <w:tcW w:w="1456" w:type="dxa"/>
            <w:tcBorders>
              <w:bottom w:val="single" w:sz="6" w:space="0" w:color="auto"/>
            </w:tcBorders>
          </w:tcPr>
          <w:p w14:paraId="7AE2FE0B"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=10.50</w:t>
            </w:r>
            <w:r w:rsidRPr="00546D50">
              <w:rPr>
                <w:sz w:val="16"/>
                <w:szCs w:val="16"/>
              </w:rPr>
              <w:br/>
              <w:t>CHE = 8.53</w:t>
            </w:r>
            <w:r w:rsidRPr="00546D50">
              <w:rPr>
                <w:sz w:val="16"/>
                <w:szCs w:val="16"/>
              </w:rPr>
              <w:br/>
            </w:r>
          </w:p>
        </w:tc>
      </w:tr>
      <w:tr w:rsidR="004D42F9" w:rsidRPr="00546D50" w14:paraId="70E1409E"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30E6C58C" w14:textId="77777777" w:rsidR="004D42F9" w:rsidRPr="00546D50" w:rsidRDefault="004D42F9">
            <w:pPr>
              <w:rPr>
                <w:sz w:val="16"/>
                <w:szCs w:val="16"/>
              </w:rPr>
            </w:pPr>
            <w:r w:rsidRPr="00546D50">
              <w:rPr>
                <w:sz w:val="16"/>
                <w:szCs w:val="16"/>
              </w:rPr>
              <w:t>Transport Accident Commission</w:t>
            </w:r>
          </w:p>
        </w:tc>
        <w:tc>
          <w:tcPr>
            <w:tcW w:w="2283" w:type="dxa"/>
            <w:tcBorders>
              <w:top w:val="single" w:sz="6" w:space="0" w:color="auto"/>
              <w:bottom w:val="single" w:sz="6" w:space="0" w:color="auto"/>
            </w:tcBorders>
          </w:tcPr>
          <w:p w14:paraId="20355AE9"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p>
        </w:tc>
        <w:tc>
          <w:tcPr>
            <w:tcW w:w="741" w:type="dxa"/>
            <w:tcBorders>
              <w:top w:val="single" w:sz="6" w:space="0" w:color="auto"/>
              <w:bottom w:val="single" w:sz="6" w:space="0" w:color="auto"/>
            </w:tcBorders>
          </w:tcPr>
          <w:p w14:paraId="39ED6853"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13.00</w:t>
            </w:r>
          </w:p>
        </w:tc>
        <w:tc>
          <w:tcPr>
            <w:tcW w:w="742" w:type="dxa"/>
            <w:tcBorders>
              <w:top w:val="single" w:sz="6" w:space="0" w:color="auto"/>
              <w:bottom w:val="single" w:sz="6" w:space="0" w:color="auto"/>
            </w:tcBorders>
          </w:tcPr>
          <w:p w14:paraId="63C7FD29"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13.80</w:t>
            </w:r>
          </w:p>
        </w:tc>
        <w:tc>
          <w:tcPr>
            <w:tcW w:w="1498" w:type="dxa"/>
            <w:tcBorders>
              <w:top w:val="single" w:sz="6" w:space="0" w:color="auto"/>
              <w:bottom w:val="single" w:sz="6" w:space="0" w:color="auto"/>
            </w:tcBorders>
          </w:tcPr>
          <w:p w14:paraId="0A47F2E7"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AWE inflation</w:t>
            </w:r>
            <w:r w:rsidRPr="00546D50">
              <w:rPr>
                <w:sz w:val="16"/>
                <w:szCs w:val="16"/>
              </w:rPr>
              <w:br/>
              <w:t>0 to 20 years = 3.60</w:t>
            </w:r>
            <w:r w:rsidRPr="00546D50">
              <w:rPr>
                <w:sz w:val="16"/>
                <w:szCs w:val="16"/>
              </w:rPr>
              <w:br/>
              <w:t>21+ years = 3.63</w:t>
            </w:r>
            <w:r w:rsidRPr="00546D50">
              <w:rPr>
                <w:sz w:val="16"/>
                <w:szCs w:val="16"/>
              </w:rPr>
              <w:br/>
            </w:r>
            <w:r w:rsidRPr="00546D50">
              <w:rPr>
                <w:sz w:val="16"/>
                <w:szCs w:val="16"/>
              </w:rPr>
              <w:br/>
              <w:t>CPI inflation</w:t>
            </w:r>
            <w:r w:rsidRPr="00546D50">
              <w:rPr>
                <w:sz w:val="16"/>
                <w:szCs w:val="16"/>
              </w:rPr>
              <w:br/>
              <w:t>0 to 20 years = 2.51</w:t>
            </w:r>
            <w:r w:rsidRPr="00546D50">
              <w:rPr>
                <w:sz w:val="16"/>
                <w:szCs w:val="16"/>
              </w:rPr>
              <w:br/>
              <w:t>21+ years = 2.62</w:t>
            </w:r>
          </w:p>
        </w:tc>
        <w:tc>
          <w:tcPr>
            <w:tcW w:w="1470" w:type="dxa"/>
            <w:tcBorders>
              <w:top w:val="single" w:sz="6" w:space="0" w:color="auto"/>
              <w:bottom w:val="single" w:sz="6" w:space="0" w:color="auto"/>
            </w:tcBorders>
          </w:tcPr>
          <w:p w14:paraId="053E35B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AWE inflation</w:t>
            </w:r>
            <w:r w:rsidRPr="00546D50">
              <w:rPr>
                <w:sz w:val="16"/>
                <w:szCs w:val="16"/>
              </w:rPr>
              <w:br/>
              <w:t>0 to 20 years = 3.60</w:t>
            </w:r>
            <w:r w:rsidRPr="00546D50">
              <w:rPr>
                <w:sz w:val="16"/>
                <w:szCs w:val="16"/>
              </w:rPr>
              <w:br/>
              <w:t>21+ years = 3.69</w:t>
            </w:r>
            <w:r w:rsidRPr="00546D50">
              <w:rPr>
                <w:sz w:val="16"/>
                <w:szCs w:val="16"/>
              </w:rPr>
              <w:br/>
            </w:r>
            <w:r w:rsidRPr="00546D50">
              <w:rPr>
                <w:sz w:val="16"/>
                <w:szCs w:val="16"/>
              </w:rPr>
              <w:br/>
              <w:t>CPI inflation</w:t>
            </w:r>
            <w:r w:rsidRPr="00546D50">
              <w:rPr>
                <w:sz w:val="16"/>
                <w:szCs w:val="16"/>
              </w:rPr>
              <w:br/>
              <w:t>0 to 20 years = 2.71</w:t>
            </w:r>
            <w:r w:rsidRPr="00546D50">
              <w:rPr>
                <w:sz w:val="16"/>
                <w:szCs w:val="16"/>
              </w:rPr>
              <w:br/>
              <w:t>21+ years = 2.72</w:t>
            </w:r>
          </w:p>
        </w:tc>
        <w:tc>
          <w:tcPr>
            <w:tcW w:w="1414" w:type="dxa"/>
            <w:tcBorders>
              <w:top w:val="single" w:sz="6" w:space="0" w:color="auto"/>
              <w:bottom w:val="single" w:sz="6" w:space="0" w:color="auto"/>
            </w:tcBorders>
          </w:tcPr>
          <w:p w14:paraId="3E9EED3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0 to 20 years = 4.27</w:t>
            </w:r>
            <w:r w:rsidRPr="00546D50">
              <w:rPr>
                <w:sz w:val="16"/>
                <w:szCs w:val="16"/>
              </w:rPr>
              <w:br/>
              <w:t>21+ years = 4.82</w:t>
            </w:r>
            <w:r w:rsidRPr="00546D50">
              <w:rPr>
                <w:sz w:val="16"/>
                <w:szCs w:val="16"/>
              </w:rPr>
              <w:br/>
            </w:r>
          </w:p>
        </w:tc>
        <w:tc>
          <w:tcPr>
            <w:tcW w:w="1413" w:type="dxa"/>
            <w:tcBorders>
              <w:top w:val="single" w:sz="6" w:space="0" w:color="auto"/>
              <w:bottom w:val="single" w:sz="6" w:space="0" w:color="auto"/>
            </w:tcBorders>
          </w:tcPr>
          <w:p w14:paraId="71FE507B"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0 to 20 years = 4.47</w:t>
            </w:r>
            <w:r w:rsidRPr="00546D50">
              <w:rPr>
                <w:sz w:val="16"/>
                <w:szCs w:val="16"/>
              </w:rPr>
              <w:br/>
              <w:t>21+ years = 4.77</w:t>
            </w:r>
            <w:r w:rsidRPr="00546D50">
              <w:rPr>
                <w:sz w:val="16"/>
                <w:szCs w:val="16"/>
              </w:rPr>
              <w:br/>
            </w:r>
          </w:p>
        </w:tc>
        <w:tc>
          <w:tcPr>
            <w:tcW w:w="1428" w:type="dxa"/>
            <w:tcBorders>
              <w:top w:val="single" w:sz="6" w:space="0" w:color="auto"/>
              <w:bottom w:val="single" w:sz="6" w:space="0" w:color="auto"/>
            </w:tcBorders>
          </w:tcPr>
          <w:p w14:paraId="44627D2A"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11.00</w:t>
            </w:r>
            <w:r w:rsidRPr="00546D50">
              <w:rPr>
                <w:sz w:val="16"/>
                <w:szCs w:val="16"/>
              </w:rPr>
              <w:br/>
              <w:t>CHE = 7.50</w:t>
            </w:r>
          </w:p>
        </w:tc>
        <w:tc>
          <w:tcPr>
            <w:tcW w:w="1456" w:type="dxa"/>
            <w:tcBorders>
              <w:top w:val="single" w:sz="6" w:space="0" w:color="auto"/>
              <w:bottom w:val="single" w:sz="6" w:space="0" w:color="auto"/>
            </w:tcBorders>
          </w:tcPr>
          <w:p w14:paraId="11687F1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11.00</w:t>
            </w:r>
            <w:r w:rsidRPr="00546D50">
              <w:rPr>
                <w:sz w:val="16"/>
                <w:szCs w:val="16"/>
              </w:rPr>
              <w:br/>
              <w:t>CHE = 7.60</w:t>
            </w:r>
          </w:p>
        </w:tc>
      </w:tr>
      <w:tr w:rsidR="004D42F9" w:rsidRPr="00546D50" w14:paraId="42D70164"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0C78D960"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6" w:space="0" w:color="auto"/>
            </w:tcBorders>
          </w:tcPr>
          <w:p w14:paraId="1337E19D"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r w:rsidRPr="00546D50">
              <w:rPr>
                <w:sz w:val="16"/>
                <w:szCs w:val="16"/>
              </w:rPr>
              <w:br/>
              <w:t>(Medical Indemnity)</w:t>
            </w:r>
          </w:p>
        </w:tc>
        <w:tc>
          <w:tcPr>
            <w:tcW w:w="741" w:type="dxa"/>
            <w:tcBorders>
              <w:top w:val="single" w:sz="6" w:space="0" w:color="auto"/>
              <w:bottom w:val="single" w:sz="6" w:space="0" w:color="auto"/>
            </w:tcBorders>
          </w:tcPr>
          <w:p w14:paraId="61D6FE2E"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4.30</w:t>
            </w:r>
          </w:p>
        </w:tc>
        <w:tc>
          <w:tcPr>
            <w:tcW w:w="742" w:type="dxa"/>
            <w:tcBorders>
              <w:top w:val="single" w:sz="6" w:space="0" w:color="auto"/>
              <w:bottom w:val="single" w:sz="6" w:space="0" w:color="auto"/>
            </w:tcBorders>
          </w:tcPr>
          <w:p w14:paraId="0FE202C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4.10</w:t>
            </w:r>
          </w:p>
        </w:tc>
        <w:tc>
          <w:tcPr>
            <w:tcW w:w="1498" w:type="dxa"/>
            <w:tcBorders>
              <w:top w:val="single" w:sz="6" w:space="0" w:color="auto"/>
              <w:bottom w:val="single" w:sz="6" w:space="0" w:color="auto"/>
            </w:tcBorders>
          </w:tcPr>
          <w:p w14:paraId="6C9069FF"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6.90</w:t>
            </w:r>
          </w:p>
        </w:tc>
        <w:tc>
          <w:tcPr>
            <w:tcW w:w="1470" w:type="dxa"/>
            <w:tcBorders>
              <w:top w:val="single" w:sz="6" w:space="0" w:color="auto"/>
              <w:bottom w:val="single" w:sz="6" w:space="0" w:color="auto"/>
            </w:tcBorders>
          </w:tcPr>
          <w:p w14:paraId="7B3F4B3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6.80</w:t>
            </w:r>
          </w:p>
        </w:tc>
        <w:tc>
          <w:tcPr>
            <w:tcW w:w="1414" w:type="dxa"/>
            <w:tcBorders>
              <w:top w:val="single" w:sz="6" w:space="0" w:color="auto"/>
              <w:bottom w:val="single" w:sz="6" w:space="0" w:color="auto"/>
            </w:tcBorders>
          </w:tcPr>
          <w:p w14:paraId="4634F59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3.80</w:t>
            </w:r>
          </w:p>
        </w:tc>
        <w:tc>
          <w:tcPr>
            <w:tcW w:w="1413" w:type="dxa"/>
            <w:tcBorders>
              <w:top w:val="single" w:sz="6" w:space="0" w:color="auto"/>
              <w:bottom w:val="single" w:sz="6" w:space="0" w:color="auto"/>
            </w:tcBorders>
          </w:tcPr>
          <w:p w14:paraId="78BD6FE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6" w:space="0" w:color="auto"/>
            </w:tcBorders>
          </w:tcPr>
          <w:p w14:paraId="167ABB8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4.50</w:t>
            </w:r>
            <w:r w:rsidRPr="00546D50">
              <w:rPr>
                <w:sz w:val="16"/>
                <w:szCs w:val="16"/>
              </w:rPr>
              <w:br/>
              <w:t>CHE = 2.00</w:t>
            </w:r>
          </w:p>
        </w:tc>
        <w:tc>
          <w:tcPr>
            <w:tcW w:w="1456" w:type="dxa"/>
            <w:tcBorders>
              <w:top w:val="single" w:sz="6" w:space="0" w:color="auto"/>
              <w:bottom w:val="single" w:sz="6" w:space="0" w:color="auto"/>
            </w:tcBorders>
          </w:tcPr>
          <w:p w14:paraId="7D79C06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6.40</w:t>
            </w:r>
            <w:r w:rsidRPr="00546D50">
              <w:rPr>
                <w:sz w:val="16"/>
                <w:szCs w:val="16"/>
              </w:rPr>
              <w:br/>
              <w:t>CHE = 2.00</w:t>
            </w:r>
          </w:p>
        </w:tc>
      </w:tr>
      <w:tr w:rsidR="004D42F9" w:rsidRPr="00546D50" w14:paraId="697B4A7E"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4D5D2861" w14:textId="77777777" w:rsidR="004D42F9" w:rsidRPr="00546D50" w:rsidRDefault="004D42F9">
            <w:pPr>
              <w:rPr>
                <w:sz w:val="16"/>
                <w:szCs w:val="16"/>
              </w:rPr>
            </w:pPr>
            <w:r w:rsidRPr="00546D50">
              <w:rPr>
                <w:sz w:val="16"/>
                <w:szCs w:val="16"/>
              </w:rPr>
              <w:t>Victorian Managed Insurance Authority</w:t>
            </w:r>
            <w:r w:rsidRPr="00546D50">
              <w:rPr>
                <w:sz w:val="16"/>
                <w:szCs w:val="16"/>
                <w:vertAlign w:val="superscript"/>
              </w:rPr>
              <w:t xml:space="preserve"> </w:t>
            </w:r>
          </w:p>
        </w:tc>
        <w:tc>
          <w:tcPr>
            <w:tcW w:w="2283" w:type="dxa"/>
            <w:tcBorders>
              <w:top w:val="single" w:sz="6" w:space="0" w:color="auto"/>
              <w:bottom w:val="single" w:sz="6" w:space="0" w:color="auto"/>
            </w:tcBorders>
          </w:tcPr>
          <w:p w14:paraId="09E2DCEB"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 (Liability)</w:t>
            </w:r>
          </w:p>
        </w:tc>
        <w:tc>
          <w:tcPr>
            <w:tcW w:w="741" w:type="dxa"/>
            <w:tcBorders>
              <w:top w:val="single" w:sz="6" w:space="0" w:color="auto"/>
              <w:bottom w:val="single" w:sz="6" w:space="0" w:color="auto"/>
            </w:tcBorders>
          </w:tcPr>
          <w:p w14:paraId="5F41E86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2.20</w:t>
            </w:r>
          </w:p>
        </w:tc>
        <w:tc>
          <w:tcPr>
            <w:tcW w:w="742" w:type="dxa"/>
            <w:tcBorders>
              <w:top w:val="single" w:sz="6" w:space="0" w:color="auto"/>
              <w:bottom w:val="single" w:sz="6" w:space="0" w:color="auto"/>
            </w:tcBorders>
          </w:tcPr>
          <w:p w14:paraId="7E7CB63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2.50</w:t>
            </w:r>
          </w:p>
        </w:tc>
        <w:tc>
          <w:tcPr>
            <w:tcW w:w="1498" w:type="dxa"/>
            <w:tcBorders>
              <w:top w:val="single" w:sz="6" w:space="0" w:color="auto"/>
              <w:bottom w:val="single" w:sz="6" w:space="0" w:color="auto"/>
            </w:tcBorders>
          </w:tcPr>
          <w:p w14:paraId="11683CAC"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3.40</w:t>
            </w:r>
          </w:p>
        </w:tc>
        <w:tc>
          <w:tcPr>
            <w:tcW w:w="1470" w:type="dxa"/>
            <w:tcBorders>
              <w:top w:val="single" w:sz="6" w:space="0" w:color="auto"/>
              <w:bottom w:val="single" w:sz="6" w:space="0" w:color="auto"/>
            </w:tcBorders>
          </w:tcPr>
          <w:p w14:paraId="66EC455C"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3.30</w:t>
            </w:r>
          </w:p>
        </w:tc>
        <w:tc>
          <w:tcPr>
            <w:tcW w:w="1414" w:type="dxa"/>
            <w:tcBorders>
              <w:top w:val="single" w:sz="6" w:space="0" w:color="auto"/>
              <w:bottom w:val="single" w:sz="6" w:space="0" w:color="auto"/>
            </w:tcBorders>
          </w:tcPr>
          <w:p w14:paraId="112DC11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3.50</w:t>
            </w:r>
          </w:p>
        </w:tc>
        <w:tc>
          <w:tcPr>
            <w:tcW w:w="1413" w:type="dxa"/>
            <w:tcBorders>
              <w:top w:val="single" w:sz="6" w:space="0" w:color="auto"/>
              <w:bottom w:val="single" w:sz="6" w:space="0" w:color="auto"/>
            </w:tcBorders>
          </w:tcPr>
          <w:p w14:paraId="2354C9E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6" w:space="0" w:color="auto"/>
            </w:tcBorders>
          </w:tcPr>
          <w:p w14:paraId="06D247C9"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30.80</w:t>
            </w:r>
            <w:r w:rsidRPr="00546D50">
              <w:rPr>
                <w:sz w:val="16"/>
                <w:szCs w:val="16"/>
              </w:rPr>
              <w:br/>
              <w:t>CHE = 3.00</w:t>
            </w:r>
          </w:p>
        </w:tc>
        <w:tc>
          <w:tcPr>
            <w:tcW w:w="1456" w:type="dxa"/>
            <w:tcBorders>
              <w:top w:val="single" w:sz="6" w:space="0" w:color="auto"/>
              <w:bottom w:val="single" w:sz="6" w:space="0" w:color="auto"/>
            </w:tcBorders>
          </w:tcPr>
          <w:p w14:paraId="4C18AB95"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31.70</w:t>
            </w:r>
            <w:r w:rsidRPr="00546D50">
              <w:rPr>
                <w:sz w:val="16"/>
                <w:szCs w:val="16"/>
              </w:rPr>
              <w:br/>
              <w:t>CHE = 3.00</w:t>
            </w:r>
          </w:p>
        </w:tc>
      </w:tr>
      <w:tr w:rsidR="004D42F9" w:rsidRPr="00546D50" w14:paraId="0C16FF99"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39E5BC09"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6" w:space="0" w:color="auto"/>
            </w:tcBorders>
          </w:tcPr>
          <w:p w14:paraId="3D6B6D34"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r w:rsidRPr="00546D50">
              <w:rPr>
                <w:sz w:val="16"/>
                <w:szCs w:val="16"/>
              </w:rPr>
              <w:br/>
              <w:t>(Property)</w:t>
            </w:r>
          </w:p>
        </w:tc>
        <w:tc>
          <w:tcPr>
            <w:tcW w:w="741" w:type="dxa"/>
            <w:tcBorders>
              <w:top w:val="single" w:sz="6" w:space="0" w:color="auto"/>
              <w:bottom w:val="single" w:sz="6" w:space="0" w:color="auto"/>
            </w:tcBorders>
          </w:tcPr>
          <w:p w14:paraId="5D4925C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1.20</w:t>
            </w:r>
          </w:p>
        </w:tc>
        <w:tc>
          <w:tcPr>
            <w:tcW w:w="742" w:type="dxa"/>
            <w:tcBorders>
              <w:top w:val="single" w:sz="6" w:space="0" w:color="auto"/>
              <w:bottom w:val="single" w:sz="6" w:space="0" w:color="auto"/>
            </w:tcBorders>
          </w:tcPr>
          <w:p w14:paraId="5A3A29F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1.30</w:t>
            </w:r>
          </w:p>
        </w:tc>
        <w:tc>
          <w:tcPr>
            <w:tcW w:w="1498" w:type="dxa"/>
            <w:tcBorders>
              <w:top w:val="single" w:sz="6" w:space="0" w:color="auto"/>
              <w:bottom w:val="single" w:sz="6" w:space="0" w:color="auto"/>
            </w:tcBorders>
          </w:tcPr>
          <w:p w14:paraId="0469B6B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3.40</w:t>
            </w:r>
          </w:p>
        </w:tc>
        <w:tc>
          <w:tcPr>
            <w:tcW w:w="1470" w:type="dxa"/>
            <w:tcBorders>
              <w:top w:val="single" w:sz="6" w:space="0" w:color="auto"/>
              <w:bottom w:val="single" w:sz="6" w:space="0" w:color="auto"/>
            </w:tcBorders>
          </w:tcPr>
          <w:p w14:paraId="6692475D"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3.30</w:t>
            </w:r>
          </w:p>
        </w:tc>
        <w:tc>
          <w:tcPr>
            <w:tcW w:w="1414" w:type="dxa"/>
            <w:tcBorders>
              <w:top w:val="single" w:sz="6" w:space="0" w:color="auto"/>
              <w:bottom w:val="single" w:sz="6" w:space="0" w:color="auto"/>
            </w:tcBorders>
          </w:tcPr>
          <w:p w14:paraId="14C8BB4A"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3.50</w:t>
            </w:r>
          </w:p>
        </w:tc>
        <w:tc>
          <w:tcPr>
            <w:tcW w:w="1413" w:type="dxa"/>
            <w:tcBorders>
              <w:top w:val="single" w:sz="6" w:space="0" w:color="auto"/>
              <w:bottom w:val="single" w:sz="6" w:space="0" w:color="auto"/>
            </w:tcBorders>
          </w:tcPr>
          <w:p w14:paraId="73C5CD1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6" w:space="0" w:color="auto"/>
            </w:tcBorders>
          </w:tcPr>
          <w:p w14:paraId="0658CE1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16.90</w:t>
            </w:r>
            <w:r w:rsidRPr="00546D50">
              <w:rPr>
                <w:sz w:val="16"/>
                <w:szCs w:val="16"/>
              </w:rPr>
              <w:br/>
              <w:t>CHE = 1.80</w:t>
            </w:r>
          </w:p>
        </w:tc>
        <w:tc>
          <w:tcPr>
            <w:tcW w:w="1456" w:type="dxa"/>
            <w:tcBorders>
              <w:top w:val="single" w:sz="6" w:space="0" w:color="auto"/>
              <w:bottom w:val="single" w:sz="6" w:space="0" w:color="auto"/>
            </w:tcBorders>
          </w:tcPr>
          <w:p w14:paraId="17E6CB6E"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14.70</w:t>
            </w:r>
            <w:r w:rsidRPr="00546D50">
              <w:rPr>
                <w:sz w:val="16"/>
                <w:szCs w:val="16"/>
              </w:rPr>
              <w:br/>
              <w:t>CHE = 1.80</w:t>
            </w:r>
          </w:p>
        </w:tc>
      </w:tr>
      <w:tr w:rsidR="004D42F9" w:rsidRPr="00546D50" w14:paraId="4AB9441E"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695852BE"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6" w:space="0" w:color="auto"/>
            </w:tcBorders>
          </w:tcPr>
          <w:p w14:paraId="7C6B2BC5"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r w:rsidRPr="00546D50">
              <w:rPr>
                <w:sz w:val="16"/>
                <w:szCs w:val="16"/>
              </w:rPr>
              <w:br/>
              <w:t>(Other)</w:t>
            </w:r>
          </w:p>
        </w:tc>
        <w:tc>
          <w:tcPr>
            <w:tcW w:w="741" w:type="dxa"/>
            <w:tcBorders>
              <w:top w:val="single" w:sz="6" w:space="0" w:color="auto"/>
              <w:bottom w:val="single" w:sz="6" w:space="0" w:color="auto"/>
            </w:tcBorders>
          </w:tcPr>
          <w:p w14:paraId="367B2239"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2.00</w:t>
            </w:r>
          </w:p>
        </w:tc>
        <w:tc>
          <w:tcPr>
            <w:tcW w:w="742" w:type="dxa"/>
            <w:tcBorders>
              <w:top w:val="single" w:sz="6" w:space="0" w:color="auto"/>
              <w:bottom w:val="single" w:sz="6" w:space="0" w:color="auto"/>
            </w:tcBorders>
          </w:tcPr>
          <w:p w14:paraId="2CDCAFB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2.00</w:t>
            </w:r>
          </w:p>
        </w:tc>
        <w:tc>
          <w:tcPr>
            <w:tcW w:w="1498" w:type="dxa"/>
            <w:tcBorders>
              <w:top w:val="single" w:sz="6" w:space="0" w:color="auto"/>
              <w:bottom w:val="single" w:sz="6" w:space="0" w:color="auto"/>
            </w:tcBorders>
          </w:tcPr>
          <w:p w14:paraId="294DAC2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3.40</w:t>
            </w:r>
          </w:p>
        </w:tc>
        <w:tc>
          <w:tcPr>
            <w:tcW w:w="1470" w:type="dxa"/>
            <w:tcBorders>
              <w:top w:val="single" w:sz="6" w:space="0" w:color="auto"/>
              <w:bottom w:val="single" w:sz="6" w:space="0" w:color="auto"/>
            </w:tcBorders>
          </w:tcPr>
          <w:p w14:paraId="23D19E72"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3.30</w:t>
            </w:r>
          </w:p>
        </w:tc>
        <w:tc>
          <w:tcPr>
            <w:tcW w:w="1414" w:type="dxa"/>
            <w:tcBorders>
              <w:top w:val="single" w:sz="6" w:space="0" w:color="auto"/>
              <w:bottom w:val="single" w:sz="6" w:space="0" w:color="auto"/>
            </w:tcBorders>
          </w:tcPr>
          <w:p w14:paraId="3BB84C3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3.50</w:t>
            </w:r>
          </w:p>
        </w:tc>
        <w:tc>
          <w:tcPr>
            <w:tcW w:w="1413" w:type="dxa"/>
            <w:tcBorders>
              <w:top w:val="single" w:sz="6" w:space="0" w:color="auto"/>
              <w:bottom w:val="single" w:sz="6" w:space="0" w:color="auto"/>
            </w:tcBorders>
          </w:tcPr>
          <w:p w14:paraId="284F9FEF"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6" w:space="0" w:color="auto"/>
            </w:tcBorders>
          </w:tcPr>
          <w:p w14:paraId="11B76D2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17.50</w:t>
            </w:r>
            <w:r w:rsidRPr="00546D50">
              <w:rPr>
                <w:sz w:val="16"/>
                <w:szCs w:val="16"/>
              </w:rPr>
              <w:br/>
              <w:t>CHE = 3.00</w:t>
            </w:r>
          </w:p>
        </w:tc>
        <w:tc>
          <w:tcPr>
            <w:tcW w:w="1456" w:type="dxa"/>
            <w:tcBorders>
              <w:top w:val="single" w:sz="6" w:space="0" w:color="auto"/>
              <w:bottom w:val="single" w:sz="6" w:space="0" w:color="auto"/>
            </w:tcBorders>
          </w:tcPr>
          <w:p w14:paraId="44E2C556"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17.50</w:t>
            </w:r>
            <w:r w:rsidRPr="00546D50">
              <w:rPr>
                <w:sz w:val="16"/>
                <w:szCs w:val="16"/>
              </w:rPr>
              <w:br/>
              <w:t>CHE = 3.00</w:t>
            </w:r>
          </w:p>
        </w:tc>
      </w:tr>
      <w:tr w:rsidR="004D42F9" w:rsidRPr="00546D50" w14:paraId="61AADC30"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4076FE80"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6" w:space="0" w:color="auto"/>
            </w:tcBorders>
          </w:tcPr>
          <w:p w14:paraId="300E58E8" w14:textId="095BD841"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r w:rsidRPr="00546D50">
              <w:rPr>
                <w:sz w:val="16"/>
                <w:szCs w:val="16"/>
              </w:rPr>
              <w:br/>
              <w:t>(Dust Diseases and Workers</w:t>
            </w:r>
            <w:r w:rsidR="00845934">
              <w:rPr>
                <w:sz w:val="16"/>
                <w:szCs w:val="16"/>
              </w:rPr>
              <w:t>’</w:t>
            </w:r>
            <w:r w:rsidRPr="00546D50">
              <w:rPr>
                <w:sz w:val="16"/>
                <w:szCs w:val="16"/>
              </w:rPr>
              <w:t xml:space="preserve"> Compensation)</w:t>
            </w:r>
          </w:p>
        </w:tc>
        <w:tc>
          <w:tcPr>
            <w:tcW w:w="741" w:type="dxa"/>
            <w:tcBorders>
              <w:top w:val="single" w:sz="6" w:space="0" w:color="auto"/>
              <w:bottom w:val="single" w:sz="6" w:space="0" w:color="auto"/>
            </w:tcBorders>
          </w:tcPr>
          <w:p w14:paraId="31757F0B"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8.30</w:t>
            </w:r>
          </w:p>
        </w:tc>
        <w:tc>
          <w:tcPr>
            <w:tcW w:w="742" w:type="dxa"/>
            <w:tcBorders>
              <w:top w:val="single" w:sz="6" w:space="0" w:color="auto"/>
              <w:bottom w:val="single" w:sz="6" w:space="0" w:color="auto"/>
            </w:tcBorders>
          </w:tcPr>
          <w:p w14:paraId="03979CC5"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8.50</w:t>
            </w:r>
          </w:p>
        </w:tc>
        <w:tc>
          <w:tcPr>
            <w:tcW w:w="1498" w:type="dxa"/>
            <w:tcBorders>
              <w:top w:val="single" w:sz="6" w:space="0" w:color="auto"/>
              <w:bottom w:val="single" w:sz="6" w:space="0" w:color="auto"/>
            </w:tcBorders>
          </w:tcPr>
          <w:p w14:paraId="6A65E7E3"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5.50</w:t>
            </w:r>
          </w:p>
        </w:tc>
        <w:tc>
          <w:tcPr>
            <w:tcW w:w="1470" w:type="dxa"/>
            <w:tcBorders>
              <w:top w:val="single" w:sz="6" w:space="0" w:color="auto"/>
              <w:bottom w:val="single" w:sz="6" w:space="0" w:color="auto"/>
            </w:tcBorders>
          </w:tcPr>
          <w:p w14:paraId="627DE3C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5.40</w:t>
            </w:r>
          </w:p>
        </w:tc>
        <w:tc>
          <w:tcPr>
            <w:tcW w:w="1414" w:type="dxa"/>
            <w:tcBorders>
              <w:top w:val="single" w:sz="6" w:space="0" w:color="auto"/>
              <w:bottom w:val="single" w:sz="6" w:space="0" w:color="auto"/>
            </w:tcBorders>
          </w:tcPr>
          <w:p w14:paraId="1297395C"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4.40</w:t>
            </w:r>
          </w:p>
        </w:tc>
        <w:tc>
          <w:tcPr>
            <w:tcW w:w="1413" w:type="dxa"/>
            <w:tcBorders>
              <w:top w:val="single" w:sz="6" w:space="0" w:color="auto"/>
              <w:bottom w:val="single" w:sz="6" w:space="0" w:color="auto"/>
            </w:tcBorders>
          </w:tcPr>
          <w:p w14:paraId="4E803485"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4.50</w:t>
            </w:r>
          </w:p>
        </w:tc>
        <w:tc>
          <w:tcPr>
            <w:tcW w:w="1428" w:type="dxa"/>
            <w:tcBorders>
              <w:top w:val="single" w:sz="6" w:space="0" w:color="auto"/>
              <w:bottom w:val="single" w:sz="6" w:space="0" w:color="auto"/>
            </w:tcBorders>
          </w:tcPr>
          <w:p w14:paraId="276BB1B4"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28.50</w:t>
            </w:r>
            <w:r w:rsidRPr="00546D50">
              <w:rPr>
                <w:sz w:val="16"/>
                <w:szCs w:val="16"/>
              </w:rPr>
              <w:br/>
              <w:t>CHE = 3.00</w:t>
            </w:r>
          </w:p>
        </w:tc>
        <w:tc>
          <w:tcPr>
            <w:tcW w:w="1456" w:type="dxa"/>
            <w:tcBorders>
              <w:top w:val="single" w:sz="6" w:space="0" w:color="auto"/>
              <w:bottom w:val="single" w:sz="6" w:space="0" w:color="auto"/>
            </w:tcBorders>
          </w:tcPr>
          <w:p w14:paraId="698D02A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28.50</w:t>
            </w:r>
            <w:r w:rsidRPr="00546D50">
              <w:rPr>
                <w:sz w:val="16"/>
                <w:szCs w:val="16"/>
              </w:rPr>
              <w:br/>
              <w:t>CHE = 3.00</w:t>
            </w:r>
          </w:p>
        </w:tc>
      </w:tr>
      <w:tr w:rsidR="004D42F9" w:rsidRPr="00546D50" w14:paraId="19BC70D1"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6" w:space="0" w:color="auto"/>
            </w:tcBorders>
          </w:tcPr>
          <w:p w14:paraId="72CE0762"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6" w:space="0" w:color="auto"/>
            </w:tcBorders>
          </w:tcPr>
          <w:p w14:paraId="64FE34A8"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 xml:space="preserve">Finity Consulting Pty. Ltd.(Domestic Building Insurance) </w:t>
            </w:r>
            <w:r w:rsidRPr="00546D50">
              <w:rPr>
                <w:sz w:val="16"/>
                <w:szCs w:val="16"/>
                <w:vertAlign w:val="superscript"/>
              </w:rPr>
              <w:t>(f)</w:t>
            </w:r>
          </w:p>
        </w:tc>
        <w:tc>
          <w:tcPr>
            <w:tcW w:w="741" w:type="dxa"/>
            <w:tcBorders>
              <w:top w:val="single" w:sz="6" w:space="0" w:color="auto"/>
              <w:bottom w:val="single" w:sz="6" w:space="0" w:color="auto"/>
            </w:tcBorders>
          </w:tcPr>
          <w:p w14:paraId="07370D3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2.90</w:t>
            </w:r>
          </w:p>
        </w:tc>
        <w:tc>
          <w:tcPr>
            <w:tcW w:w="742" w:type="dxa"/>
            <w:tcBorders>
              <w:top w:val="single" w:sz="6" w:space="0" w:color="auto"/>
              <w:bottom w:val="single" w:sz="6" w:space="0" w:color="auto"/>
            </w:tcBorders>
          </w:tcPr>
          <w:p w14:paraId="6601C373"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2.30</w:t>
            </w:r>
          </w:p>
        </w:tc>
        <w:tc>
          <w:tcPr>
            <w:tcW w:w="1498" w:type="dxa"/>
            <w:tcBorders>
              <w:top w:val="single" w:sz="6" w:space="0" w:color="auto"/>
              <w:bottom w:val="single" w:sz="6" w:space="0" w:color="auto"/>
            </w:tcBorders>
          </w:tcPr>
          <w:p w14:paraId="6CB40AE3"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3.90</w:t>
            </w:r>
          </w:p>
        </w:tc>
        <w:tc>
          <w:tcPr>
            <w:tcW w:w="1470" w:type="dxa"/>
            <w:tcBorders>
              <w:top w:val="single" w:sz="6" w:space="0" w:color="auto"/>
              <w:bottom w:val="single" w:sz="6" w:space="0" w:color="auto"/>
            </w:tcBorders>
          </w:tcPr>
          <w:p w14:paraId="521286D2"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3.75</w:t>
            </w:r>
          </w:p>
        </w:tc>
        <w:tc>
          <w:tcPr>
            <w:tcW w:w="1414" w:type="dxa"/>
            <w:tcBorders>
              <w:top w:val="single" w:sz="6" w:space="0" w:color="auto"/>
              <w:bottom w:val="single" w:sz="6" w:space="0" w:color="auto"/>
            </w:tcBorders>
          </w:tcPr>
          <w:p w14:paraId="2BCB16E8"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3.50</w:t>
            </w:r>
          </w:p>
        </w:tc>
        <w:tc>
          <w:tcPr>
            <w:tcW w:w="1413" w:type="dxa"/>
            <w:tcBorders>
              <w:top w:val="single" w:sz="6" w:space="0" w:color="auto"/>
              <w:bottom w:val="single" w:sz="6" w:space="0" w:color="auto"/>
            </w:tcBorders>
          </w:tcPr>
          <w:p w14:paraId="293A9C59"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6" w:space="0" w:color="auto"/>
            </w:tcBorders>
          </w:tcPr>
          <w:p w14:paraId="488CC28C"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23.50</w:t>
            </w:r>
            <w:r w:rsidRPr="00546D50">
              <w:rPr>
                <w:sz w:val="16"/>
                <w:szCs w:val="16"/>
              </w:rPr>
              <w:br/>
              <w:t>CHE = 3.50</w:t>
            </w:r>
          </w:p>
        </w:tc>
        <w:tc>
          <w:tcPr>
            <w:tcW w:w="1456" w:type="dxa"/>
            <w:tcBorders>
              <w:top w:val="single" w:sz="6" w:space="0" w:color="auto"/>
              <w:bottom w:val="single" w:sz="6" w:space="0" w:color="auto"/>
            </w:tcBorders>
          </w:tcPr>
          <w:p w14:paraId="5B1041E2"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22.20</w:t>
            </w:r>
            <w:r w:rsidRPr="00546D50">
              <w:rPr>
                <w:sz w:val="16"/>
                <w:szCs w:val="16"/>
              </w:rPr>
              <w:br/>
              <w:t>CHE = 3.50</w:t>
            </w:r>
          </w:p>
        </w:tc>
      </w:tr>
      <w:tr w:rsidR="004D42F9" w:rsidRPr="00546D50" w14:paraId="0C9ADCE1" w14:textId="77777777">
        <w:tc>
          <w:tcPr>
            <w:cnfStyle w:val="001000000000" w:firstRow="0" w:lastRow="0" w:firstColumn="1" w:lastColumn="0" w:oddVBand="0" w:evenVBand="0" w:oddHBand="0" w:evenHBand="0" w:firstRowFirstColumn="0" w:firstRowLastColumn="0" w:lastRowFirstColumn="0" w:lastRowLastColumn="0"/>
            <w:tcW w:w="2127" w:type="dxa"/>
            <w:tcBorders>
              <w:top w:val="single" w:sz="6" w:space="0" w:color="auto"/>
              <w:bottom w:val="single" w:sz="12" w:space="0" w:color="auto"/>
            </w:tcBorders>
          </w:tcPr>
          <w:p w14:paraId="6D40C31C" w14:textId="77777777" w:rsidR="004D42F9" w:rsidRPr="00546D50" w:rsidRDefault="004D42F9">
            <w:pPr>
              <w:rPr>
                <w:sz w:val="16"/>
                <w:szCs w:val="16"/>
              </w:rPr>
            </w:pPr>
            <w:r w:rsidRPr="00546D50">
              <w:rPr>
                <w:sz w:val="16"/>
                <w:szCs w:val="16"/>
              </w:rPr>
              <w:t>Victorian Managed Insurance Authority</w:t>
            </w:r>
          </w:p>
        </w:tc>
        <w:tc>
          <w:tcPr>
            <w:tcW w:w="2283" w:type="dxa"/>
            <w:tcBorders>
              <w:top w:val="single" w:sz="6" w:space="0" w:color="auto"/>
              <w:bottom w:val="single" w:sz="12" w:space="0" w:color="auto"/>
            </w:tcBorders>
          </w:tcPr>
          <w:p w14:paraId="688A0A6C" w14:textId="77777777" w:rsidR="004D42F9" w:rsidRPr="00546D50" w:rsidRDefault="004D42F9">
            <w:pPr>
              <w:ind w:left="170" w:hanging="170"/>
              <w:jc w:val="left"/>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Finity Consulting Pty. Ltd.</w:t>
            </w:r>
            <w:r w:rsidRPr="00546D50">
              <w:rPr>
                <w:sz w:val="16"/>
                <w:szCs w:val="16"/>
              </w:rPr>
              <w:br/>
              <w:t>(Construction)</w:t>
            </w:r>
          </w:p>
        </w:tc>
        <w:tc>
          <w:tcPr>
            <w:tcW w:w="741" w:type="dxa"/>
            <w:tcBorders>
              <w:top w:val="single" w:sz="6" w:space="0" w:color="auto"/>
              <w:bottom w:val="single" w:sz="12" w:space="0" w:color="auto"/>
            </w:tcBorders>
          </w:tcPr>
          <w:p w14:paraId="12BEB7D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2.80</w:t>
            </w:r>
          </w:p>
        </w:tc>
        <w:tc>
          <w:tcPr>
            <w:tcW w:w="742" w:type="dxa"/>
            <w:tcBorders>
              <w:top w:val="single" w:sz="6" w:space="0" w:color="auto"/>
              <w:bottom w:val="single" w:sz="12" w:space="0" w:color="auto"/>
            </w:tcBorders>
          </w:tcPr>
          <w:p w14:paraId="399E7397"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2.80</w:t>
            </w:r>
          </w:p>
        </w:tc>
        <w:tc>
          <w:tcPr>
            <w:tcW w:w="1498" w:type="dxa"/>
            <w:tcBorders>
              <w:top w:val="single" w:sz="6" w:space="0" w:color="auto"/>
              <w:bottom w:val="single" w:sz="12" w:space="0" w:color="auto"/>
            </w:tcBorders>
          </w:tcPr>
          <w:p w14:paraId="0EC53735"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3.40</w:t>
            </w:r>
          </w:p>
        </w:tc>
        <w:tc>
          <w:tcPr>
            <w:tcW w:w="1470" w:type="dxa"/>
            <w:tcBorders>
              <w:top w:val="single" w:sz="6" w:space="0" w:color="auto"/>
              <w:bottom w:val="single" w:sz="12" w:space="0" w:color="auto"/>
            </w:tcBorders>
          </w:tcPr>
          <w:p w14:paraId="3EE3AD71"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3.30</w:t>
            </w:r>
          </w:p>
        </w:tc>
        <w:tc>
          <w:tcPr>
            <w:tcW w:w="1414" w:type="dxa"/>
            <w:tcBorders>
              <w:top w:val="single" w:sz="6" w:space="0" w:color="auto"/>
              <w:bottom w:val="single" w:sz="12" w:space="0" w:color="auto"/>
            </w:tcBorders>
          </w:tcPr>
          <w:p w14:paraId="3F81A2F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3.50</w:t>
            </w:r>
          </w:p>
        </w:tc>
        <w:tc>
          <w:tcPr>
            <w:tcW w:w="1413" w:type="dxa"/>
            <w:tcBorders>
              <w:top w:val="single" w:sz="6" w:space="0" w:color="auto"/>
              <w:bottom w:val="single" w:sz="12" w:space="0" w:color="auto"/>
            </w:tcBorders>
          </w:tcPr>
          <w:p w14:paraId="6B54B7B0"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4.20</w:t>
            </w:r>
          </w:p>
        </w:tc>
        <w:tc>
          <w:tcPr>
            <w:tcW w:w="1428" w:type="dxa"/>
            <w:tcBorders>
              <w:top w:val="single" w:sz="6" w:space="0" w:color="auto"/>
              <w:bottom w:val="single" w:sz="12" w:space="0" w:color="auto"/>
            </w:tcBorders>
          </w:tcPr>
          <w:p w14:paraId="2C17C75C"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29.30</w:t>
            </w:r>
            <w:r w:rsidRPr="00546D50">
              <w:rPr>
                <w:sz w:val="16"/>
                <w:szCs w:val="16"/>
              </w:rPr>
              <w:br/>
              <w:t>CHE = 3.00</w:t>
            </w:r>
          </w:p>
        </w:tc>
        <w:tc>
          <w:tcPr>
            <w:tcW w:w="1456" w:type="dxa"/>
            <w:tcBorders>
              <w:top w:val="single" w:sz="6" w:space="0" w:color="auto"/>
              <w:bottom w:val="single" w:sz="12" w:space="0" w:color="auto"/>
            </w:tcBorders>
          </w:tcPr>
          <w:p w14:paraId="2747E7F8" w14:textId="77777777" w:rsidR="004D42F9" w:rsidRPr="00546D50"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546D50">
              <w:rPr>
                <w:sz w:val="16"/>
                <w:szCs w:val="16"/>
              </w:rPr>
              <w:t>Risk margin = 29.80</w:t>
            </w:r>
            <w:r w:rsidRPr="00546D50">
              <w:rPr>
                <w:sz w:val="16"/>
                <w:szCs w:val="16"/>
              </w:rPr>
              <w:br/>
              <w:t>CHE = 3.00</w:t>
            </w:r>
          </w:p>
        </w:tc>
      </w:tr>
    </w:tbl>
    <w:p w14:paraId="2C1857AA" w14:textId="77777777" w:rsidR="004D42F9" w:rsidRDefault="004D42F9" w:rsidP="004D42F9">
      <w:pPr>
        <w:pStyle w:val="Note"/>
        <w:ind w:left="0" w:firstLine="0"/>
      </w:pPr>
      <w:r>
        <w:t>Notes:</w:t>
      </w:r>
    </w:p>
    <w:p w14:paraId="3CE7E9E0" w14:textId="77777777" w:rsidR="004D42F9" w:rsidRDefault="004D42F9" w:rsidP="004D42F9">
      <w:pPr>
        <w:pStyle w:val="Note"/>
      </w:pPr>
      <w:r>
        <w:t>(a)</w:t>
      </w:r>
      <w:r>
        <w:tab/>
        <w:t>The inflation rate assumptions are based on the anticipated rise in costs relevant to a particular entity.</w:t>
      </w:r>
    </w:p>
    <w:p w14:paraId="28041D67" w14:textId="77777777" w:rsidR="004D42F9" w:rsidRDefault="004D42F9" w:rsidP="004D42F9">
      <w:pPr>
        <w:pStyle w:val="Note"/>
      </w:pPr>
      <w:r>
        <w:t>(b)</w:t>
      </w:r>
      <w:r>
        <w:tab/>
        <w:t>Financial assumptions used for provisions not later than 1 year and later than 1 year are the same unless otherwise specified.</w:t>
      </w:r>
    </w:p>
    <w:p w14:paraId="40E8C8E4" w14:textId="77777777" w:rsidR="004D42F9" w:rsidRDefault="004D42F9" w:rsidP="004D42F9">
      <w:pPr>
        <w:pStyle w:val="Note"/>
      </w:pPr>
      <w:r>
        <w:t>(c)</w:t>
      </w:r>
      <w:r>
        <w:tab/>
        <w:t>Data in the Financial assumptions used columns are weighted averages unless otherwise specified.</w:t>
      </w:r>
    </w:p>
    <w:p w14:paraId="3D6FAFD1" w14:textId="77777777" w:rsidR="004D42F9" w:rsidRDefault="004D42F9" w:rsidP="004D42F9">
      <w:pPr>
        <w:pStyle w:val="Note"/>
      </w:pPr>
      <w:r>
        <w:t>(d)</w:t>
      </w:r>
      <w:r>
        <w:tab/>
        <w:t>AWE = Victorian Average Weekly Earnings.</w:t>
      </w:r>
    </w:p>
    <w:p w14:paraId="00B8A85E" w14:textId="77777777" w:rsidR="004D42F9" w:rsidRDefault="004D42F9" w:rsidP="004D42F9">
      <w:pPr>
        <w:pStyle w:val="Note"/>
      </w:pPr>
      <w:r>
        <w:t>(e)</w:t>
      </w:r>
      <w:r>
        <w:tab/>
        <w:t>CHE refers to claims handling expenses. These are the direct expenses that are expected to be incurred when settling claims.</w:t>
      </w:r>
    </w:p>
    <w:p w14:paraId="471FBD8B" w14:textId="77777777" w:rsidR="004D42F9" w:rsidRDefault="004D42F9" w:rsidP="004D42F9">
      <w:pPr>
        <w:pStyle w:val="Note"/>
      </w:pPr>
      <w:r>
        <w:t>(f)</w:t>
      </w:r>
      <w:r>
        <w:tab/>
      </w:r>
      <w:r w:rsidRPr="004F3B82">
        <w:t>On</w:t>
      </w:r>
      <w:r>
        <w:t xml:space="preserve"> </w:t>
      </w:r>
      <w:r w:rsidRPr="004F3B82">
        <w:t xml:space="preserve">1 July 2025, the </w:t>
      </w:r>
      <w:r w:rsidRPr="005B76EA">
        <w:rPr>
          <w:i w:val="0"/>
        </w:rPr>
        <w:t>Building Legislation Amendment (Buyer Protections) Act 2025</w:t>
      </w:r>
      <w:r w:rsidRPr="004F3B82">
        <w:t xml:space="preserve"> became effective, and the Building and Plumbing </w:t>
      </w:r>
      <w:r>
        <w:t>Commission</w:t>
      </w:r>
      <w:r w:rsidRPr="004F3B82">
        <w:t xml:space="preserve"> (BPC) was established as a building industry regulator to succeed the former Victorian Building Authority. </w:t>
      </w:r>
      <w:r>
        <w:t>This resulted in responsibility for the Domestic Building Insurance function in the VMIA, within the PFC sector, transferring to the BPC in the general government sector.</w:t>
      </w:r>
    </w:p>
    <w:p w14:paraId="27B75B76" w14:textId="77777777" w:rsidR="004D42F9" w:rsidRPr="007D0A1D" w:rsidRDefault="004D42F9" w:rsidP="004D42F9">
      <w:pPr>
        <w:pStyle w:val="Note"/>
        <w:sectPr w:rsidR="004D42F9" w:rsidRPr="007D0A1D" w:rsidSect="004D42F9">
          <w:headerReference w:type="even" r:id="rId70"/>
          <w:headerReference w:type="default" r:id="rId71"/>
          <w:footerReference w:type="even" r:id="rId72"/>
          <w:footerReference w:type="default" r:id="rId73"/>
          <w:pgSz w:w="16839" w:h="11907" w:orient="landscape" w:code="9"/>
          <w:pgMar w:top="1134" w:right="1134" w:bottom="1134" w:left="1134" w:header="624" w:footer="567" w:gutter="0"/>
          <w:cols w:sep="1" w:space="567"/>
          <w:docGrid w:linePitch="360"/>
        </w:sectPr>
      </w:pPr>
    </w:p>
    <w:p w14:paraId="403C7444" w14:textId="7257C810" w:rsidR="004D42F9" w:rsidRDefault="004D42F9" w:rsidP="00CC7EC3">
      <w:pPr>
        <w:pStyle w:val="Heading2"/>
        <w:spacing w:before="0"/>
        <w:ind w:right="-82"/>
      </w:pPr>
      <w:bookmarkStart w:id="82" w:name="_Toc209476190"/>
      <w:r>
        <w:lastRenderedPageBreak/>
        <w:t>3.8</w:t>
      </w:r>
      <w:r>
        <w:tab/>
        <w:t>Total operating expenses and purchases of non-financial assets by department</w:t>
      </w:r>
      <w:bookmarkEnd w:id="82"/>
    </w:p>
    <w:p w14:paraId="255849E0" w14:textId="77777777" w:rsidR="00D41447" w:rsidRDefault="00D41447" w:rsidP="00CC7EC3">
      <w:pPr>
        <w:spacing w:before="0"/>
        <w:sectPr w:rsidR="00D41447" w:rsidSect="004D42F9">
          <w:headerReference w:type="even" r:id="rId74"/>
          <w:headerReference w:type="default" r:id="rId75"/>
          <w:footerReference w:type="even" r:id="rId76"/>
          <w:footerReference w:type="default" r:id="rId77"/>
          <w:type w:val="continuous"/>
          <w:pgSz w:w="11906" w:h="16838" w:code="9"/>
          <w:pgMar w:top="1134" w:right="1134" w:bottom="1134" w:left="1134" w:header="624" w:footer="567" w:gutter="0"/>
          <w:cols w:space="708"/>
          <w:docGrid w:linePitch="360"/>
        </w:sectPr>
      </w:pPr>
    </w:p>
    <w:p w14:paraId="6A452998" w14:textId="17B9FBB6" w:rsidR="004D42F9" w:rsidRDefault="004D42F9" w:rsidP="004D42F9">
      <w:r>
        <w:t>The following table discloses the funds spent by each portfolio department, including operating expenditure and capital expenditure, as part of the department</w:t>
      </w:r>
      <w:r w:rsidR="00845934">
        <w:t>’</w:t>
      </w:r>
      <w:r>
        <w:t>s normal activities.</w:t>
      </w:r>
    </w:p>
    <w:p w14:paraId="4716DFF4" w14:textId="77777777" w:rsidR="00D41447" w:rsidRDefault="00D41447" w:rsidP="004D42F9">
      <w:pPr>
        <w:pStyle w:val="TableHeading"/>
        <w:sectPr w:rsidR="00D41447" w:rsidSect="00D41447">
          <w:type w:val="continuous"/>
          <w:pgSz w:w="11906" w:h="16838" w:code="9"/>
          <w:pgMar w:top="1134" w:right="1134" w:bottom="1134" w:left="1134" w:header="624" w:footer="567" w:gutter="0"/>
          <w:cols w:num="2" w:space="708"/>
          <w:docGrid w:linePitch="360"/>
        </w:sectPr>
      </w:pPr>
    </w:p>
    <w:p w14:paraId="7A59A4B3"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FOG/Link_AFR_COFOG.xlsx|Table:COFOG_by_department_SoV"/>
      </w:tblPr>
      <w:tblGrid>
        <w:gridCol w:w="5245"/>
        <w:gridCol w:w="1098"/>
        <w:gridCol w:w="1098"/>
        <w:gridCol w:w="1098"/>
        <w:gridCol w:w="1099"/>
      </w:tblGrid>
      <w:tr w:rsidR="004D42F9" w14:paraId="3EF949E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5C106A3A" w14:textId="77777777" w:rsidR="004D42F9" w:rsidRDefault="004D42F9">
            <w:pPr>
              <w:keepNext/>
              <w:jc w:val="center"/>
            </w:pPr>
          </w:p>
        </w:tc>
        <w:tc>
          <w:tcPr>
            <w:tcW w:w="2196" w:type="dxa"/>
            <w:gridSpan w:val="2"/>
          </w:tcPr>
          <w:p w14:paraId="7CC80F01"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Expenses from </w:t>
            </w:r>
            <w:r>
              <w:br/>
              <w:t>transactions</w:t>
            </w:r>
          </w:p>
        </w:tc>
        <w:tc>
          <w:tcPr>
            <w:tcW w:w="2197" w:type="dxa"/>
            <w:gridSpan w:val="2"/>
          </w:tcPr>
          <w:p w14:paraId="21F494B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Purchases of </w:t>
            </w:r>
            <w:r>
              <w:br/>
              <w:t>non</w:t>
            </w:r>
            <w:r>
              <w:noBreakHyphen/>
              <w:t>financial assets</w:t>
            </w:r>
          </w:p>
        </w:tc>
      </w:tr>
      <w:tr w:rsidR="004D42F9" w14:paraId="78A5D7B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7C950991" w14:textId="77777777" w:rsidR="004D42F9" w:rsidRDefault="004D42F9">
            <w:pPr>
              <w:keepNext/>
            </w:pPr>
            <w:r>
              <w:t>State of Victoria</w:t>
            </w:r>
          </w:p>
        </w:tc>
        <w:tc>
          <w:tcPr>
            <w:tcW w:w="1098" w:type="dxa"/>
          </w:tcPr>
          <w:p w14:paraId="7C9CFA0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098" w:type="dxa"/>
          </w:tcPr>
          <w:p w14:paraId="2D30F69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1098" w:type="dxa"/>
          </w:tcPr>
          <w:p w14:paraId="4A702E0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099" w:type="dxa"/>
          </w:tcPr>
          <w:p w14:paraId="4CA1DCF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8E4E76F" w14:textId="77777777">
        <w:tc>
          <w:tcPr>
            <w:cnfStyle w:val="001000000000" w:firstRow="0" w:lastRow="0" w:firstColumn="1" w:lastColumn="0" w:oddVBand="0" w:evenVBand="0" w:oddHBand="0" w:evenHBand="0" w:firstRowFirstColumn="0" w:firstRowLastColumn="0" w:lastRowFirstColumn="0" w:lastRowLastColumn="0"/>
            <w:tcW w:w="5245" w:type="dxa"/>
          </w:tcPr>
          <w:p w14:paraId="0D50D92E" w14:textId="77777777" w:rsidR="004D42F9" w:rsidRDefault="004D42F9">
            <w:r>
              <w:t>Education</w:t>
            </w:r>
          </w:p>
        </w:tc>
        <w:tc>
          <w:tcPr>
            <w:tcW w:w="1098" w:type="dxa"/>
          </w:tcPr>
          <w:p w14:paraId="71A86398" w14:textId="77777777" w:rsidR="004D42F9" w:rsidRDefault="004D42F9">
            <w:pPr>
              <w:cnfStyle w:val="000000000000" w:firstRow="0" w:lastRow="0" w:firstColumn="0" w:lastColumn="0" w:oddVBand="0" w:evenVBand="0" w:oddHBand="0" w:evenHBand="0" w:firstRowFirstColumn="0" w:firstRowLastColumn="0" w:lastRowFirstColumn="0" w:lastRowLastColumn="0"/>
            </w:pPr>
            <w:r>
              <w:t>22 839</w:t>
            </w:r>
          </w:p>
        </w:tc>
        <w:tc>
          <w:tcPr>
            <w:tcW w:w="1098" w:type="dxa"/>
          </w:tcPr>
          <w:p w14:paraId="6401ACA9" w14:textId="77777777" w:rsidR="004D42F9" w:rsidRDefault="004D42F9">
            <w:pPr>
              <w:cnfStyle w:val="000000000000" w:firstRow="0" w:lastRow="0" w:firstColumn="0" w:lastColumn="0" w:oddVBand="0" w:evenVBand="0" w:oddHBand="0" w:evenHBand="0" w:firstRowFirstColumn="0" w:firstRowLastColumn="0" w:lastRowFirstColumn="0" w:lastRowLastColumn="0"/>
            </w:pPr>
            <w:r>
              <w:t>21 389</w:t>
            </w:r>
          </w:p>
        </w:tc>
        <w:tc>
          <w:tcPr>
            <w:tcW w:w="1098" w:type="dxa"/>
          </w:tcPr>
          <w:p w14:paraId="2F49C5B5" w14:textId="77777777" w:rsidR="004D42F9" w:rsidRDefault="004D42F9">
            <w:pPr>
              <w:cnfStyle w:val="000000000000" w:firstRow="0" w:lastRow="0" w:firstColumn="0" w:lastColumn="0" w:oddVBand="0" w:evenVBand="0" w:oddHBand="0" w:evenHBand="0" w:firstRowFirstColumn="0" w:firstRowLastColumn="0" w:lastRowFirstColumn="0" w:lastRowLastColumn="0"/>
            </w:pPr>
            <w:r>
              <w:t>2 315</w:t>
            </w:r>
          </w:p>
        </w:tc>
        <w:tc>
          <w:tcPr>
            <w:tcW w:w="1099" w:type="dxa"/>
          </w:tcPr>
          <w:p w14:paraId="3C328353" w14:textId="77777777" w:rsidR="004D42F9" w:rsidRDefault="004D42F9">
            <w:pPr>
              <w:cnfStyle w:val="000000000000" w:firstRow="0" w:lastRow="0" w:firstColumn="0" w:lastColumn="0" w:oddVBand="0" w:evenVBand="0" w:oddHBand="0" w:evenHBand="0" w:firstRowFirstColumn="0" w:firstRowLastColumn="0" w:lastRowFirstColumn="0" w:lastRowLastColumn="0"/>
            </w:pPr>
            <w:r>
              <w:t>2 391</w:t>
            </w:r>
          </w:p>
        </w:tc>
      </w:tr>
      <w:tr w:rsidR="004D42F9" w14:paraId="3526BC5B" w14:textId="77777777">
        <w:tc>
          <w:tcPr>
            <w:cnfStyle w:val="001000000000" w:firstRow="0" w:lastRow="0" w:firstColumn="1" w:lastColumn="0" w:oddVBand="0" w:evenVBand="0" w:oddHBand="0" w:evenHBand="0" w:firstRowFirstColumn="0" w:firstRowLastColumn="0" w:lastRowFirstColumn="0" w:lastRowLastColumn="0"/>
            <w:tcW w:w="5245" w:type="dxa"/>
          </w:tcPr>
          <w:p w14:paraId="008F76D4" w14:textId="77777777" w:rsidR="004D42F9" w:rsidRDefault="004D42F9">
            <w:r>
              <w:t>Energy, Environment and Climate Action</w:t>
            </w:r>
          </w:p>
        </w:tc>
        <w:tc>
          <w:tcPr>
            <w:tcW w:w="1098" w:type="dxa"/>
          </w:tcPr>
          <w:p w14:paraId="1ACE4CE7" w14:textId="77777777" w:rsidR="004D42F9" w:rsidRDefault="004D42F9">
            <w:pPr>
              <w:cnfStyle w:val="000000000000" w:firstRow="0" w:lastRow="0" w:firstColumn="0" w:lastColumn="0" w:oddVBand="0" w:evenVBand="0" w:oddHBand="0" w:evenHBand="0" w:firstRowFirstColumn="0" w:firstRowLastColumn="0" w:lastRowFirstColumn="0" w:lastRowLastColumn="0"/>
            </w:pPr>
            <w:r>
              <w:t>11 328</w:t>
            </w:r>
          </w:p>
        </w:tc>
        <w:tc>
          <w:tcPr>
            <w:tcW w:w="1098" w:type="dxa"/>
          </w:tcPr>
          <w:p w14:paraId="776901FF" w14:textId="77777777" w:rsidR="004D42F9" w:rsidRDefault="004D42F9">
            <w:pPr>
              <w:cnfStyle w:val="000000000000" w:firstRow="0" w:lastRow="0" w:firstColumn="0" w:lastColumn="0" w:oddVBand="0" w:evenVBand="0" w:oddHBand="0" w:evenHBand="0" w:firstRowFirstColumn="0" w:firstRowLastColumn="0" w:lastRowFirstColumn="0" w:lastRowLastColumn="0"/>
            </w:pPr>
            <w:r>
              <w:t>11 020</w:t>
            </w:r>
          </w:p>
        </w:tc>
        <w:tc>
          <w:tcPr>
            <w:tcW w:w="1098" w:type="dxa"/>
          </w:tcPr>
          <w:p w14:paraId="127E954E" w14:textId="77777777" w:rsidR="004D42F9" w:rsidRDefault="004D42F9">
            <w:pPr>
              <w:cnfStyle w:val="000000000000" w:firstRow="0" w:lastRow="0" w:firstColumn="0" w:lastColumn="0" w:oddVBand="0" w:evenVBand="0" w:oddHBand="0" w:evenHBand="0" w:firstRowFirstColumn="0" w:firstRowLastColumn="0" w:lastRowFirstColumn="0" w:lastRowLastColumn="0"/>
            </w:pPr>
            <w:r>
              <w:t>3 013</w:t>
            </w:r>
          </w:p>
        </w:tc>
        <w:tc>
          <w:tcPr>
            <w:tcW w:w="1099" w:type="dxa"/>
          </w:tcPr>
          <w:p w14:paraId="1D327E5F" w14:textId="77777777" w:rsidR="004D42F9" w:rsidRDefault="004D42F9">
            <w:pPr>
              <w:cnfStyle w:val="000000000000" w:firstRow="0" w:lastRow="0" w:firstColumn="0" w:lastColumn="0" w:oddVBand="0" w:evenVBand="0" w:oddHBand="0" w:evenHBand="0" w:firstRowFirstColumn="0" w:firstRowLastColumn="0" w:lastRowFirstColumn="0" w:lastRowLastColumn="0"/>
            </w:pPr>
            <w:r>
              <w:t>2 834</w:t>
            </w:r>
          </w:p>
        </w:tc>
      </w:tr>
      <w:tr w:rsidR="004D42F9" w14:paraId="451394F9" w14:textId="77777777">
        <w:tc>
          <w:tcPr>
            <w:cnfStyle w:val="001000000000" w:firstRow="0" w:lastRow="0" w:firstColumn="1" w:lastColumn="0" w:oddVBand="0" w:evenVBand="0" w:oddHBand="0" w:evenHBand="0" w:firstRowFirstColumn="0" w:firstRowLastColumn="0" w:lastRowFirstColumn="0" w:lastRowLastColumn="0"/>
            <w:tcW w:w="5245" w:type="dxa"/>
          </w:tcPr>
          <w:p w14:paraId="2A14D197" w14:textId="77777777" w:rsidR="004D42F9" w:rsidRDefault="004D42F9">
            <w:r>
              <w:t>Families, Fairness and Housing</w:t>
            </w:r>
          </w:p>
        </w:tc>
        <w:tc>
          <w:tcPr>
            <w:tcW w:w="1098" w:type="dxa"/>
          </w:tcPr>
          <w:p w14:paraId="7BB96239" w14:textId="77777777" w:rsidR="004D42F9" w:rsidRDefault="004D42F9">
            <w:pPr>
              <w:cnfStyle w:val="000000000000" w:firstRow="0" w:lastRow="0" w:firstColumn="0" w:lastColumn="0" w:oddVBand="0" w:evenVBand="0" w:oddHBand="0" w:evenHBand="0" w:firstRowFirstColumn="0" w:firstRowLastColumn="0" w:lastRowFirstColumn="0" w:lastRowLastColumn="0"/>
            </w:pPr>
            <w:r>
              <w:t>11 609</w:t>
            </w:r>
          </w:p>
        </w:tc>
        <w:tc>
          <w:tcPr>
            <w:tcW w:w="1098" w:type="dxa"/>
          </w:tcPr>
          <w:p w14:paraId="11FA12C8" w14:textId="77777777" w:rsidR="004D42F9" w:rsidRDefault="004D42F9">
            <w:pPr>
              <w:cnfStyle w:val="000000000000" w:firstRow="0" w:lastRow="0" w:firstColumn="0" w:lastColumn="0" w:oddVBand="0" w:evenVBand="0" w:oddHBand="0" w:evenHBand="0" w:firstRowFirstColumn="0" w:firstRowLastColumn="0" w:lastRowFirstColumn="0" w:lastRowLastColumn="0"/>
            </w:pPr>
            <w:r>
              <w:t>10 463</w:t>
            </w:r>
          </w:p>
        </w:tc>
        <w:tc>
          <w:tcPr>
            <w:tcW w:w="1098" w:type="dxa"/>
          </w:tcPr>
          <w:p w14:paraId="41AF2FB0" w14:textId="77777777" w:rsidR="004D42F9" w:rsidRDefault="004D42F9">
            <w:pPr>
              <w:cnfStyle w:val="000000000000" w:firstRow="0" w:lastRow="0" w:firstColumn="0" w:lastColumn="0" w:oddVBand="0" w:evenVBand="0" w:oddHBand="0" w:evenHBand="0" w:firstRowFirstColumn="0" w:firstRowLastColumn="0" w:lastRowFirstColumn="0" w:lastRowLastColumn="0"/>
            </w:pPr>
            <w:r>
              <w:t>845</w:t>
            </w:r>
          </w:p>
        </w:tc>
        <w:tc>
          <w:tcPr>
            <w:tcW w:w="1099" w:type="dxa"/>
          </w:tcPr>
          <w:p w14:paraId="78C55324" w14:textId="77777777" w:rsidR="004D42F9" w:rsidRDefault="004D42F9">
            <w:pPr>
              <w:cnfStyle w:val="000000000000" w:firstRow="0" w:lastRow="0" w:firstColumn="0" w:lastColumn="0" w:oddVBand="0" w:evenVBand="0" w:oddHBand="0" w:evenHBand="0" w:firstRowFirstColumn="0" w:firstRowLastColumn="0" w:lastRowFirstColumn="0" w:lastRowLastColumn="0"/>
            </w:pPr>
            <w:r>
              <w:t>995</w:t>
            </w:r>
          </w:p>
        </w:tc>
      </w:tr>
      <w:tr w:rsidR="004D42F9" w14:paraId="1BEB901A" w14:textId="77777777">
        <w:tc>
          <w:tcPr>
            <w:cnfStyle w:val="001000000000" w:firstRow="0" w:lastRow="0" w:firstColumn="1" w:lastColumn="0" w:oddVBand="0" w:evenVBand="0" w:oddHBand="0" w:evenHBand="0" w:firstRowFirstColumn="0" w:firstRowLastColumn="0" w:lastRowFirstColumn="0" w:lastRowLastColumn="0"/>
            <w:tcW w:w="5245" w:type="dxa"/>
          </w:tcPr>
          <w:p w14:paraId="1B46E8E7" w14:textId="77777777" w:rsidR="004D42F9" w:rsidRDefault="004D42F9">
            <w:r>
              <w:t>Government Services</w:t>
            </w:r>
          </w:p>
        </w:tc>
        <w:tc>
          <w:tcPr>
            <w:tcW w:w="1098" w:type="dxa"/>
          </w:tcPr>
          <w:p w14:paraId="0A61B499" w14:textId="77777777" w:rsidR="004D42F9" w:rsidRDefault="004D42F9">
            <w:pPr>
              <w:cnfStyle w:val="000000000000" w:firstRow="0" w:lastRow="0" w:firstColumn="0" w:lastColumn="0" w:oddVBand="0" w:evenVBand="0" w:oddHBand="0" w:evenHBand="0" w:firstRowFirstColumn="0" w:firstRowLastColumn="0" w:lastRowFirstColumn="0" w:lastRowLastColumn="0"/>
            </w:pPr>
            <w:r>
              <w:t>2 020</w:t>
            </w:r>
          </w:p>
        </w:tc>
        <w:tc>
          <w:tcPr>
            <w:tcW w:w="1098" w:type="dxa"/>
          </w:tcPr>
          <w:p w14:paraId="6159FA6B" w14:textId="77777777" w:rsidR="004D42F9" w:rsidRDefault="004D42F9">
            <w:pPr>
              <w:cnfStyle w:val="000000000000" w:firstRow="0" w:lastRow="0" w:firstColumn="0" w:lastColumn="0" w:oddVBand="0" w:evenVBand="0" w:oddHBand="0" w:evenHBand="0" w:firstRowFirstColumn="0" w:firstRowLastColumn="0" w:lastRowFirstColumn="0" w:lastRowLastColumn="0"/>
            </w:pPr>
            <w:r>
              <w:t>2 159</w:t>
            </w:r>
          </w:p>
        </w:tc>
        <w:tc>
          <w:tcPr>
            <w:tcW w:w="1098" w:type="dxa"/>
          </w:tcPr>
          <w:p w14:paraId="53E8B47C"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c>
          <w:tcPr>
            <w:tcW w:w="1099" w:type="dxa"/>
          </w:tcPr>
          <w:p w14:paraId="2160DC2E"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r>
      <w:tr w:rsidR="004D42F9" w14:paraId="200D497E" w14:textId="77777777">
        <w:tc>
          <w:tcPr>
            <w:cnfStyle w:val="001000000000" w:firstRow="0" w:lastRow="0" w:firstColumn="1" w:lastColumn="0" w:oddVBand="0" w:evenVBand="0" w:oddHBand="0" w:evenHBand="0" w:firstRowFirstColumn="0" w:firstRowLastColumn="0" w:lastRowFirstColumn="0" w:lastRowLastColumn="0"/>
            <w:tcW w:w="5245" w:type="dxa"/>
          </w:tcPr>
          <w:p w14:paraId="3704028C" w14:textId="77777777" w:rsidR="004D42F9" w:rsidRDefault="004D42F9">
            <w:r>
              <w:t>Health</w:t>
            </w:r>
          </w:p>
        </w:tc>
        <w:tc>
          <w:tcPr>
            <w:tcW w:w="1098" w:type="dxa"/>
          </w:tcPr>
          <w:p w14:paraId="2FE28B2E" w14:textId="77777777" w:rsidR="004D42F9" w:rsidRDefault="004D42F9">
            <w:pPr>
              <w:cnfStyle w:val="000000000000" w:firstRow="0" w:lastRow="0" w:firstColumn="0" w:lastColumn="0" w:oddVBand="0" w:evenVBand="0" w:oddHBand="0" w:evenHBand="0" w:firstRowFirstColumn="0" w:firstRowLastColumn="0" w:lastRowFirstColumn="0" w:lastRowLastColumn="0"/>
            </w:pPr>
            <w:r>
              <w:t>32 981</w:t>
            </w:r>
          </w:p>
        </w:tc>
        <w:tc>
          <w:tcPr>
            <w:tcW w:w="1098" w:type="dxa"/>
          </w:tcPr>
          <w:p w14:paraId="210220C8" w14:textId="77777777" w:rsidR="004D42F9" w:rsidRDefault="004D42F9">
            <w:pPr>
              <w:cnfStyle w:val="000000000000" w:firstRow="0" w:lastRow="0" w:firstColumn="0" w:lastColumn="0" w:oddVBand="0" w:evenVBand="0" w:oddHBand="0" w:evenHBand="0" w:firstRowFirstColumn="0" w:firstRowLastColumn="0" w:lastRowFirstColumn="0" w:lastRowLastColumn="0"/>
            </w:pPr>
            <w:r>
              <w:t>30 918</w:t>
            </w:r>
          </w:p>
        </w:tc>
        <w:tc>
          <w:tcPr>
            <w:tcW w:w="1098" w:type="dxa"/>
          </w:tcPr>
          <w:p w14:paraId="69B04D8E" w14:textId="77777777" w:rsidR="004D42F9" w:rsidRDefault="004D42F9">
            <w:pPr>
              <w:cnfStyle w:val="000000000000" w:firstRow="0" w:lastRow="0" w:firstColumn="0" w:lastColumn="0" w:oddVBand="0" w:evenVBand="0" w:oddHBand="0" w:evenHBand="0" w:firstRowFirstColumn="0" w:firstRowLastColumn="0" w:lastRowFirstColumn="0" w:lastRowLastColumn="0"/>
            </w:pPr>
            <w:r>
              <w:t>1 973</w:t>
            </w:r>
          </w:p>
        </w:tc>
        <w:tc>
          <w:tcPr>
            <w:tcW w:w="1099" w:type="dxa"/>
          </w:tcPr>
          <w:p w14:paraId="2B9C2391" w14:textId="77777777" w:rsidR="004D42F9" w:rsidRDefault="004D42F9">
            <w:pPr>
              <w:cnfStyle w:val="000000000000" w:firstRow="0" w:lastRow="0" w:firstColumn="0" w:lastColumn="0" w:oddVBand="0" w:evenVBand="0" w:oddHBand="0" w:evenHBand="0" w:firstRowFirstColumn="0" w:firstRowLastColumn="0" w:lastRowFirstColumn="0" w:lastRowLastColumn="0"/>
            </w:pPr>
            <w:r>
              <w:t>1 698</w:t>
            </w:r>
          </w:p>
        </w:tc>
      </w:tr>
      <w:tr w:rsidR="004D42F9" w14:paraId="0ADE63F8" w14:textId="77777777">
        <w:tc>
          <w:tcPr>
            <w:cnfStyle w:val="001000000000" w:firstRow="0" w:lastRow="0" w:firstColumn="1" w:lastColumn="0" w:oddVBand="0" w:evenVBand="0" w:oddHBand="0" w:evenHBand="0" w:firstRowFirstColumn="0" w:firstRowLastColumn="0" w:lastRowFirstColumn="0" w:lastRowLastColumn="0"/>
            <w:tcW w:w="5245" w:type="dxa"/>
          </w:tcPr>
          <w:p w14:paraId="38C93C1E" w14:textId="77777777" w:rsidR="004D42F9" w:rsidRDefault="004D42F9">
            <w:r>
              <w:t>Jobs, Skills, Industry and Regions</w:t>
            </w:r>
          </w:p>
        </w:tc>
        <w:tc>
          <w:tcPr>
            <w:tcW w:w="1098" w:type="dxa"/>
          </w:tcPr>
          <w:p w14:paraId="1B142078" w14:textId="77777777" w:rsidR="004D42F9" w:rsidRDefault="004D42F9">
            <w:pPr>
              <w:cnfStyle w:val="000000000000" w:firstRow="0" w:lastRow="0" w:firstColumn="0" w:lastColumn="0" w:oddVBand="0" w:evenVBand="0" w:oddHBand="0" w:evenHBand="0" w:firstRowFirstColumn="0" w:firstRowLastColumn="0" w:lastRowFirstColumn="0" w:lastRowLastColumn="0"/>
            </w:pPr>
            <w:r>
              <w:t>5 407</w:t>
            </w:r>
          </w:p>
        </w:tc>
        <w:tc>
          <w:tcPr>
            <w:tcW w:w="1098" w:type="dxa"/>
          </w:tcPr>
          <w:p w14:paraId="6E2E5FB3" w14:textId="77777777" w:rsidR="004D42F9" w:rsidRDefault="004D42F9">
            <w:pPr>
              <w:cnfStyle w:val="000000000000" w:firstRow="0" w:lastRow="0" w:firstColumn="0" w:lastColumn="0" w:oddVBand="0" w:evenVBand="0" w:oddHBand="0" w:evenHBand="0" w:firstRowFirstColumn="0" w:firstRowLastColumn="0" w:lastRowFirstColumn="0" w:lastRowLastColumn="0"/>
            </w:pPr>
            <w:r>
              <w:t>5 092</w:t>
            </w:r>
          </w:p>
        </w:tc>
        <w:tc>
          <w:tcPr>
            <w:tcW w:w="1098" w:type="dxa"/>
          </w:tcPr>
          <w:p w14:paraId="041A5A81" w14:textId="77777777" w:rsidR="004D42F9" w:rsidRDefault="004D42F9">
            <w:pPr>
              <w:cnfStyle w:val="000000000000" w:firstRow="0" w:lastRow="0" w:firstColumn="0" w:lastColumn="0" w:oddVBand="0" w:evenVBand="0" w:oddHBand="0" w:evenHBand="0" w:firstRowFirstColumn="0" w:firstRowLastColumn="0" w:lastRowFirstColumn="0" w:lastRowLastColumn="0"/>
            </w:pPr>
            <w:r>
              <w:t>522</w:t>
            </w:r>
          </w:p>
        </w:tc>
        <w:tc>
          <w:tcPr>
            <w:tcW w:w="1099" w:type="dxa"/>
          </w:tcPr>
          <w:p w14:paraId="020EBFBD" w14:textId="77777777" w:rsidR="004D42F9" w:rsidRDefault="004D42F9">
            <w:pPr>
              <w:cnfStyle w:val="000000000000" w:firstRow="0" w:lastRow="0" w:firstColumn="0" w:lastColumn="0" w:oddVBand="0" w:evenVBand="0" w:oddHBand="0" w:evenHBand="0" w:firstRowFirstColumn="0" w:firstRowLastColumn="0" w:lastRowFirstColumn="0" w:lastRowLastColumn="0"/>
            </w:pPr>
            <w:r>
              <w:t>495</w:t>
            </w:r>
          </w:p>
        </w:tc>
      </w:tr>
      <w:tr w:rsidR="004D42F9" w14:paraId="4F70463A" w14:textId="77777777">
        <w:tc>
          <w:tcPr>
            <w:cnfStyle w:val="001000000000" w:firstRow="0" w:lastRow="0" w:firstColumn="1" w:lastColumn="0" w:oddVBand="0" w:evenVBand="0" w:oddHBand="0" w:evenHBand="0" w:firstRowFirstColumn="0" w:firstRowLastColumn="0" w:lastRowFirstColumn="0" w:lastRowLastColumn="0"/>
            <w:tcW w:w="5245" w:type="dxa"/>
          </w:tcPr>
          <w:p w14:paraId="10ADDE51" w14:textId="77777777" w:rsidR="004D42F9" w:rsidRDefault="004D42F9">
            <w:r>
              <w:t>Justice and Community Safety</w:t>
            </w:r>
          </w:p>
        </w:tc>
        <w:tc>
          <w:tcPr>
            <w:tcW w:w="1098" w:type="dxa"/>
          </w:tcPr>
          <w:p w14:paraId="79367CE4" w14:textId="77777777" w:rsidR="004D42F9" w:rsidRDefault="004D42F9">
            <w:pPr>
              <w:cnfStyle w:val="000000000000" w:firstRow="0" w:lastRow="0" w:firstColumn="0" w:lastColumn="0" w:oddVBand="0" w:evenVBand="0" w:oddHBand="0" w:evenHBand="0" w:firstRowFirstColumn="0" w:firstRowLastColumn="0" w:lastRowFirstColumn="0" w:lastRowLastColumn="0"/>
            </w:pPr>
            <w:r>
              <w:t>11 321</w:t>
            </w:r>
          </w:p>
        </w:tc>
        <w:tc>
          <w:tcPr>
            <w:tcW w:w="1098" w:type="dxa"/>
          </w:tcPr>
          <w:p w14:paraId="3A621F9E" w14:textId="77777777" w:rsidR="004D42F9" w:rsidRDefault="004D42F9">
            <w:pPr>
              <w:cnfStyle w:val="000000000000" w:firstRow="0" w:lastRow="0" w:firstColumn="0" w:lastColumn="0" w:oddVBand="0" w:evenVBand="0" w:oddHBand="0" w:evenHBand="0" w:firstRowFirstColumn="0" w:firstRowLastColumn="0" w:lastRowFirstColumn="0" w:lastRowLastColumn="0"/>
            </w:pPr>
            <w:r>
              <w:t>10 573</w:t>
            </w:r>
          </w:p>
        </w:tc>
        <w:tc>
          <w:tcPr>
            <w:tcW w:w="1098" w:type="dxa"/>
          </w:tcPr>
          <w:p w14:paraId="6163B81A" w14:textId="77777777" w:rsidR="004D42F9" w:rsidRDefault="004D42F9">
            <w:pPr>
              <w:cnfStyle w:val="000000000000" w:firstRow="0" w:lastRow="0" w:firstColumn="0" w:lastColumn="0" w:oddVBand="0" w:evenVBand="0" w:oddHBand="0" w:evenHBand="0" w:firstRowFirstColumn="0" w:firstRowLastColumn="0" w:lastRowFirstColumn="0" w:lastRowLastColumn="0"/>
            </w:pPr>
            <w:r>
              <w:t>442</w:t>
            </w:r>
          </w:p>
        </w:tc>
        <w:tc>
          <w:tcPr>
            <w:tcW w:w="1099" w:type="dxa"/>
          </w:tcPr>
          <w:p w14:paraId="499AB721" w14:textId="77777777" w:rsidR="004D42F9" w:rsidRDefault="004D42F9">
            <w:pPr>
              <w:cnfStyle w:val="000000000000" w:firstRow="0" w:lastRow="0" w:firstColumn="0" w:lastColumn="0" w:oddVBand="0" w:evenVBand="0" w:oddHBand="0" w:evenHBand="0" w:firstRowFirstColumn="0" w:firstRowLastColumn="0" w:lastRowFirstColumn="0" w:lastRowLastColumn="0"/>
            </w:pPr>
            <w:r>
              <w:t>564</w:t>
            </w:r>
          </w:p>
        </w:tc>
      </w:tr>
      <w:tr w:rsidR="004D42F9" w14:paraId="0AD431B7" w14:textId="77777777">
        <w:tc>
          <w:tcPr>
            <w:cnfStyle w:val="001000000000" w:firstRow="0" w:lastRow="0" w:firstColumn="1" w:lastColumn="0" w:oddVBand="0" w:evenVBand="0" w:oddHBand="0" w:evenHBand="0" w:firstRowFirstColumn="0" w:firstRowLastColumn="0" w:lastRowFirstColumn="0" w:lastRowLastColumn="0"/>
            <w:tcW w:w="5245" w:type="dxa"/>
          </w:tcPr>
          <w:p w14:paraId="214305B9" w14:textId="77777777" w:rsidR="004D42F9" w:rsidRDefault="004D42F9">
            <w:r>
              <w:t>Premier and Cabinet</w:t>
            </w:r>
          </w:p>
        </w:tc>
        <w:tc>
          <w:tcPr>
            <w:tcW w:w="1098" w:type="dxa"/>
          </w:tcPr>
          <w:p w14:paraId="233F5E34" w14:textId="77777777" w:rsidR="004D42F9" w:rsidRDefault="004D42F9">
            <w:pPr>
              <w:cnfStyle w:val="000000000000" w:firstRow="0" w:lastRow="0" w:firstColumn="0" w:lastColumn="0" w:oddVBand="0" w:evenVBand="0" w:oddHBand="0" w:evenHBand="0" w:firstRowFirstColumn="0" w:firstRowLastColumn="0" w:lastRowFirstColumn="0" w:lastRowLastColumn="0"/>
            </w:pPr>
            <w:r>
              <w:t>643</w:t>
            </w:r>
          </w:p>
        </w:tc>
        <w:tc>
          <w:tcPr>
            <w:tcW w:w="1098" w:type="dxa"/>
          </w:tcPr>
          <w:p w14:paraId="510DBC1E" w14:textId="77777777" w:rsidR="004D42F9" w:rsidRDefault="004D42F9">
            <w:pPr>
              <w:cnfStyle w:val="000000000000" w:firstRow="0" w:lastRow="0" w:firstColumn="0" w:lastColumn="0" w:oddVBand="0" w:evenVBand="0" w:oddHBand="0" w:evenHBand="0" w:firstRowFirstColumn="0" w:firstRowLastColumn="0" w:lastRowFirstColumn="0" w:lastRowLastColumn="0"/>
            </w:pPr>
            <w:r>
              <w:t>540</w:t>
            </w:r>
          </w:p>
        </w:tc>
        <w:tc>
          <w:tcPr>
            <w:tcW w:w="1098" w:type="dxa"/>
          </w:tcPr>
          <w:p w14:paraId="16F6B2D4" w14:textId="77777777" w:rsidR="004D42F9" w:rsidRDefault="004D42F9">
            <w:pPr>
              <w:cnfStyle w:val="000000000000" w:firstRow="0" w:lastRow="0" w:firstColumn="0" w:lastColumn="0" w:oddVBand="0" w:evenVBand="0" w:oddHBand="0" w:evenHBand="0" w:firstRowFirstColumn="0" w:firstRowLastColumn="0" w:lastRowFirstColumn="0" w:lastRowLastColumn="0"/>
            </w:pPr>
            <w:r>
              <w:t>12</w:t>
            </w:r>
          </w:p>
        </w:tc>
        <w:tc>
          <w:tcPr>
            <w:tcW w:w="1099" w:type="dxa"/>
          </w:tcPr>
          <w:p w14:paraId="11372006" w14:textId="77777777" w:rsidR="004D42F9" w:rsidRDefault="004D42F9">
            <w:pPr>
              <w:cnfStyle w:val="000000000000" w:firstRow="0" w:lastRow="0" w:firstColumn="0" w:lastColumn="0" w:oddVBand="0" w:evenVBand="0" w:oddHBand="0" w:evenHBand="0" w:firstRowFirstColumn="0" w:firstRowLastColumn="0" w:lastRowFirstColumn="0" w:lastRowLastColumn="0"/>
            </w:pPr>
            <w:r>
              <w:t>15</w:t>
            </w:r>
          </w:p>
        </w:tc>
      </w:tr>
      <w:tr w:rsidR="004D42F9" w14:paraId="07159948" w14:textId="77777777">
        <w:tc>
          <w:tcPr>
            <w:cnfStyle w:val="001000000000" w:firstRow="0" w:lastRow="0" w:firstColumn="1" w:lastColumn="0" w:oddVBand="0" w:evenVBand="0" w:oddHBand="0" w:evenHBand="0" w:firstRowFirstColumn="0" w:firstRowLastColumn="0" w:lastRowFirstColumn="0" w:lastRowLastColumn="0"/>
            <w:tcW w:w="5245" w:type="dxa"/>
          </w:tcPr>
          <w:p w14:paraId="0984016A" w14:textId="77777777" w:rsidR="004D42F9" w:rsidRDefault="004D42F9">
            <w:r>
              <w:t>Transport and Planning</w:t>
            </w:r>
          </w:p>
        </w:tc>
        <w:tc>
          <w:tcPr>
            <w:tcW w:w="1098" w:type="dxa"/>
          </w:tcPr>
          <w:p w14:paraId="2837015F" w14:textId="77777777" w:rsidR="004D42F9" w:rsidRDefault="004D42F9">
            <w:pPr>
              <w:cnfStyle w:val="000000000000" w:firstRow="0" w:lastRow="0" w:firstColumn="0" w:lastColumn="0" w:oddVBand="0" w:evenVBand="0" w:oddHBand="0" w:evenHBand="0" w:firstRowFirstColumn="0" w:firstRowLastColumn="0" w:lastRowFirstColumn="0" w:lastRowLastColumn="0"/>
            </w:pPr>
            <w:r>
              <w:t>13 290</w:t>
            </w:r>
          </w:p>
        </w:tc>
        <w:tc>
          <w:tcPr>
            <w:tcW w:w="1098" w:type="dxa"/>
          </w:tcPr>
          <w:p w14:paraId="613C6663" w14:textId="77777777" w:rsidR="004D42F9" w:rsidRDefault="004D42F9">
            <w:pPr>
              <w:cnfStyle w:val="000000000000" w:firstRow="0" w:lastRow="0" w:firstColumn="0" w:lastColumn="0" w:oddVBand="0" w:evenVBand="0" w:oddHBand="0" w:evenHBand="0" w:firstRowFirstColumn="0" w:firstRowLastColumn="0" w:lastRowFirstColumn="0" w:lastRowLastColumn="0"/>
            </w:pPr>
            <w:r>
              <w:t>12 498</w:t>
            </w:r>
          </w:p>
        </w:tc>
        <w:tc>
          <w:tcPr>
            <w:tcW w:w="1098" w:type="dxa"/>
          </w:tcPr>
          <w:p w14:paraId="6530CBBD" w14:textId="77777777" w:rsidR="004D42F9" w:rsidRDefault="004D42F9">
            <w:pPr>
              <w:cnfStyle w:val="000000000000" w:firstRow="0" w:lastRow="0" w:firstColumn="0" w:lastColumn="0" w:oddVBand="0" w:evenVBand="0" w:oddHBand="0" w:evenHBand="0" w:firstRowFirstColumn="0" w:firstRowLastColumn="0" w:lastRowFirstColumn="0" w:lastRowLastColumn="0"/>
            </w:pPr>
            <w:r>
              <w:t>12 606</w:t>
            </w:r>
          </w:p>
        </w:tc>
        <w:tc>
          <w:tcPr>
            <w:tcW w:w="1099" w:type="dxa"/>
          </w:tcPr>
          <w:p w14:paraId="1C050175" w14:textId="77777777" w:rsidR="004D42F9" w:rsidRDefault="004D42F9">
            <w:pPr>
              <w:cnfStyle w:val="000000000000" w:firstRow="0" w:lastRow="0" w:firstColumn="0" w:lastColumn="0" w:oddVBand="0" w:evenVBand="0" w:oddHBand="0" w:evenHBand="0" w:firstRowFirstColumn="0" w:firstRowLastColumn="0" w:lastRowFirstColumn="0" w:lastRowLastColumn="0"/>
            </w:pPr>
            <w:r>
              <w:t>13 653</w:t>
            </w:r>
          </w:p>
        </w:tc>
      </w:tr>
      <w:tr w:rsidR="004D42F9" w14:paraId="53F4E960" w14:textId="77777777">
        <w:tc>
          <w:tcPr>
            <w:cnfStyle w:val="001000000000" w:firstRow="0" w:lastRow="0" w:firstColumn="1" w:lastColumn="0" w:oddVBand="0" w:evenVBand="0" w:oddHBand="0" w:evenHBand="0" w:firstRowFirstColumn="0" w:firstRowLastColumn="0" w:lastRowFirstColumn="0" w:lastRowLastColumn="0"/>
            <w:tcW w:w="5245" w:type="dxa"/>
          </w:tcPr>
          <w:p w14:paraId="62A62656" w14:textId="77777777" w:rsidR="004D42F9" w:rsidRDefault="004D42F9">
            <w:r>
              <w:t>Treasury and Finance</w:t>
            </w:r>
          </w:p>
        </w:tc>
        <w:tc>
          <w:tcPr>
            <w:tcW w:w="1098" w:type="dxa"/>
          </w:tcPr>
          <w:p w14:paraId="1B19A083" w14:textId="77777777" w:rsidR="004D42F9" w:rsidRDefault="004D42F9">
            <w:pPr>
              <w:cnfStyle w:val="000000000000" w:firstRow="0" w:lastRow="0" w:firstColumn="0" w:lastColumn="0" w:oddVBand="0" w:evenVBand="0" w:oddHBand="0" w:evenHBand="0" w:firstRowFirstColumn="0" w:firstRowLastColumn="0" w:lastRowFirstColumn="0" w:lastRowLastColumn="0"/>
            </w:pPr>
            <w:r>
              <w:t>34 560</w:t>
            </w:r>
          </w:p>
        </w:tc>
        <w:tc>
          <w:tcPr>
            <w:tcW w:w="1098" w:type="dxa"/>
          </w:tcPr>
          <w:p w14:paraId="412F9150" w14:textId="77777777" w:rsidR="004D42F9" w:rsidRDefault="004D42F9">
            <w:pPr>
              <w:cnfStyle w:val="000000000000" w:firstRow="0" w:lastRow="0" w:firstColumn="0" w:lastColumn="0" w:oddVBand="0" w:evenVBand="0" w:oddHBand="0" w:evenHBand="0" w:firstRowFirstColumn="0" w:firstRowLastColumn="0" w:lastRowFirstColumn="0" w:lastRowLastColumn="0"/>
            </w:pPr>
            <w:r>
              <w:t>30 673</w:t>
            </w:r>
          </w:p>
        </w:tc>
        <w:tc>
          <w:tcPr>
            <w:tcW w:w="1098" w:type="dxa"/>
          </w:tcPr>
          <w:p w14:paraId="58E68E17"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099" w:type="dxa"/>
          </w:tcPr>
          <w:p w14:paraId="1FE5F501" w14:textId="77777777" w:rsidR="004D42F9" w:rsidRDefault="004D42F9">
            <w:pPr>
              <w:cnfStyle w:val="000000000000" w:firstRow="0" w:lastRow="0" w:firstColumn="0" w:lastColumn="0" w:oddVBand="0" w:evenVBand="0" w:oddHBand="0" w:evenHBand="0" w:firstRowFirstColumn="0" w:firstRowLastColumn="0" w:lastRowFirstColumn="0" w:lastRowLastColumn="0"/>
            </w:pPr>
            <w:r>
              <w:t>59</w:t>
            </w:r>
          </w:p>
        </w:tc>
      </w:tr>
      <w:tr w:rsidR="004D42F9" w14:paraId="1F440569" w14:textId="77777777">
        <w:tc>
          <w:tcPr>
            <w:cnfStyle w:val="001000000000" w:firstRow="0" w:lastRow="0" w:firstColumn="1" w:lastColumn="0" w:oddVBand="0" w:evenVBand="0" w:oddHBand="0" w:evenHBand="0" w:firstRowFirstColumn="0" w:firstRowLastColumn="0" w:lastRowFirstColumn="0" w:lastRowLastColumn="0"/>
            <w:tcW w:w="5245" w:type="dxa"/>
          </w:tcPr>
          <w:p w14:paraId="75A9E2AF" w14:textId="77777777" w:rsidR="004D42F9" w:rsidRDefault="004D42F9">
            <w:r>
              <w:t>Parliament</w:t>
            </w:r>
          </w:p>
        </w:tc>
        <w:tc>
          <w:tcPr>
            <w:tcW w:w="1098" w:type="dxa"/>
          </w:tcPr>
          <w:p w14:paraId="116A5979" w14:textId="77777777" w:rsidR="004D42F9" w:rsidRDefault="004D42F9">
            <w:pPr>
              <w:cnfStyle w:val="000000000000" w:firstRow="0" w:lastRow="0" w:firstColumn="0" w:lastColumn="0" w:oddVBand="0" w:evenVBand="0" w:oddHBand="0" w:evenHBand="0" w:firstRowFirstColumn="0" w:firstRowLastColumn="0" w:lastRowFirstColumn="0" w:lastRowLastColumn="0"/>
            </w:pPr>
            <w:r>
              <w:t>382</w:t>
            </w:r>
          </w:p>
        </w:tc>
        <w:tc>
          <w:tcPr>
            <w:tcW w:w="1098" w:type="dxa"/>
          </w:tcPr>
          <w:p w14:paraId="37F74136" w14:textId="77777777" w:rsidR="004D42F9" w:rsidRDefault="004D42F9">
            <w:pPr>
              <w:cnfStyle w:val="000000000000" w:firstRow="0" w:lastRow="0" w:firstColumn="0" w:lastColumn="0" w:oddVBand="0" w:evenVBand="0" w:oddHBand="0" w:evenHBand="0" w:firstRowFirstColumn="0" w:firstRowLastColumn="0" w:lastRowFirstColumn="0" w:lastRowLastColumn="0"/>
            </w:pPr>
            <w:r>
              <w:t>366</w:t>
            </w:r>
          </w:p>
        </w:tc>
        <w:tc>
          <w:tcPr>
            <w:tcW w:w="1098" w:type="dxa"/>
          </w:tcPr>
          <w:p w14:paraId="238D8EAF" w14:textId="77777777" w:rsidR="004D42F9" w:rsidRDefault="004D42F9">
            <w:pPr>
              <w:cnfStyle w:val="000000000000" w:firstRow="0" w:lastRow="0" w:firstColumn="0" w:lastColumn="0" w:oddVBand="0" w:evenVBand="0" w:oddHBand="0" w:evenHBand="0" w:firstRowFirstColumn="0" w:firstRowLastColumn="0" w:lastRowFirstColumn="0" w:lastRowLastColumn="0"/>
            </w:pPr>
            <w:r>
              <w:t>26</w:t>
            </w:r>
          </w:p>
        </w:tc>
        <w:tc>
          <w:tcPr>
            <w:tcW w:w="1099" w:type="dxa"/>
          </w:tcPr>
          <w:p w14:paraId="08A78FCB"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r>
      <w:tr w:rsidR="004D42F9" w14:paraId="3507C567" w14:textId="77777777">
        <w:tc>
          <w:tcPr>
            <w:cnfStyle w:val="001000000000" w:firstRow="0" w:lastRow="0" w:firstColumn="1" w:lastColumn="0" w:oddVBand="0" w:evenVBand="0" w:oddHBand="0" w:evenHBand="0" w:firstRowFirstColumn="0" w:firstRowLastColumn="0" w:lastRowFirstColumn="0" w:lastRowLastColumn="0"/>
            <w:tcW w:w="5245" w:type="dxa"/>
          </w:tcPr>
          <w:p w14:paraId="0F905C7F" w14:textId="77777777" w:rsidR="004D42F9" w:rsidRDefault="004D42F9">
            <w:r>
              <w:t>Courts</w:t>
            </w:r>
          </w:p>
        </w:tc>
        <w:tc>
          <w:tcPr>
            <w:tcW w:w="1098" w:type="dxa"/>
          </w:tcPr>
          <w:p w14:paraId="30393553" w14:textId="77777777" w:rsidR="004D42F9" w:rsidRDefault="004D42F9">
            <w:pPr>
              <w:cnfStyle w:val="000000000000" w:firstRow="0" w:lastRow="0" w:firstColumn="0" w:lastColumn="0" w:oddVBand="0" w:evenVBand="0" w:oddHBand="0" w:evenHBand="0" w:firstRowFirstColumn="0" w:firstRowLastColumn="0" w:lastRowFirstColumn="0" w:lastRowLastColumn="0"/>
            </w:pPr>
            <w:r>
              <w:t>941</w:t>
            </w:r>
          </w:p>
        </w:tc>
        <w:tc>
          <w:tcPr>
            <w:tcW w:w="1098" w:type="dxa"/>
          </w:tcPr>
          <w:p w14:paraId="1DBF8C0B" w14:textId="77777777" w:rsidR="004D42F9" w:rsidRDefault="004D42F9">
            <w:pPr>
              <w:cnfStyle w:val="000000000000" w:firstRow="0" w:lastRow="0" w:firstColumn="0" w:lastColumn="0" w:oddVBand="0" w:evenVBand="0" w:oddHBand="0" w:evenHBand="0" w:firstRowFirstColumn="0" w:firstRowLastColumn="0" w:lastRowFirstColumn="0" w:lastRowLastColumn="0"/>
            </w:pPr>
            <w:r>
              <w:t>896</w:t>
            </w:r>
          </w:p>
        </w:tc>
        <w:tc>
          <w:tcPr>
            <w:tcW w:w="1098" w:type="dxa"/>
          </w:tcPr>
          <w:p w14:paraId="586C4222" w14:textId="77777777" w:rsidR="004D42F9" w:rsidRDefault="004D42F9">
            <w:pPr>
              <w:cnfStyle w:val="000000000000" w:firstRow="0" w:lastRow="0" w:firstColumn="0" w:lastColumn="0" w:oddVBand="0" w:evenVBand="0" w:oddHBand="0" w:evenHBand="0" w:firstRowFirstColumn="0" w:firstRowLastColumn="0" w:lastRowFirstColumn="0" w:lastRowLastColumn="0"/>
            </w:pPr>
            <w:r>
              <w:t>191</w:t>
            </w:r>
          </w:p>
        </w:tc>
        <w:tc>
          <w:tcPr>
            <w:tcW w:w="1099" w:type="dxa"/>
          </w:tcPr>
          <w:p w14:paraId="4C31FEC6" w14:textId="77777777" w:rsidR="004D42F9" w:rsidRDefault="004D42F9">
            <w:pPr>
              <w:cnfStyle w:val="000000000000" w:firstRow="0" w:lastRow="0" w:firstColumn="0" w:lastColumn="0" w:oddVBand="0" w:evenVBand="0" w:oddHBand="0" w:evenHBand="0" w:firstRowFirstColumn="0" w:firstRowLastColumn="0" w:lastRowFirstColumn="0" w:lastRowLastColumn="0"/>
            </w:pPr>
            <w:r>
              <w:t>200</w:t>
            </w:r>
          </w:p>
        </w:tc>
      </w:tr>
      <w:tr w:rsidR="004D42F9" w14:paraId="18E19B40" w14:textId="77777777">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062CC13C" w14:textId="77777777" w:rsidR="004D42F9" w:rsidRDefault="004D42F9">
            <w:r>
              <w:t xml:space="preserve">Regulatory bodies and other part budget funded agencies </w:t>
            </w:r>
            <w:r>
              <w:rPr>
                <w:vertAlign w:val="superscript"/>
              </w:rPr>
              <w:t>(a)</w:t>
            </w:r>
          </w:p>
        </w:tc>
        <w:tc>
          <w:tcPr>
            <w:tcW w:w="1098" w:type="dxa"/>
            <w:tcBorders>
              <w:bottom w:val="single" w:sz="6" w:space="0" w:color="auto"/>
            </w:tcBorders>
          </w:tcPr>
          <w:p w14:paraId="7DFDD2D7" w14:textId="77777777" w:rsidR="004D42F9" w:rsidRDefault="004D42F9">
            <w:pPr>
              <w:cnfStyle w:val="000000000000" w:firstRow="0" w:lastRow="0" w:firstColumn="0" w:lastColumn="0" w:oddVBand="0" w:evenVBand="0" w:oddHBand="0" w:evenHBand="0" w:firstRowFirstColumn="0" w:firstRowLastColumn="0" w:lastRowFirstColumn="0" w:lastRowLastColumn="0"/>
            </w:pPr>
            <w:r>
              <w:t>3 955</w:t>
            </w:r>
          </w:p>
        </w:tc>
        <w:tc>
          <w:tcPr>
            <w:tcW w:w="1098" w:type="dxa"/>
            <w:tcBorders>
              <w:bottom w:val="single" w:sz="6" w:space="0" w:color="auto"/>
            </w:tcBorders>
          </w:tcPr>
          <w:p w14:paraId="0D8E7D37" w14:textId="77777777" w:rsidR="004D42F9" w:rsidRDefault="004D42F9">
            <w:pPr>
              <w:cnfStyle w:val="000000000000" w:firstRow="0" w:lastRow="0" w:firstColumn="0" w:lastColumn="0" w:oddVBand="0" w:evenVBand="0" w:oddHBand="0" w:evenHBand="0" w:firstRowFirstColumn="0" w:firstRowLastColumn="0" w:lastRowFirstColumn="0" w:lastRowLastColumn="0"/>
            </w:pPr>
            <w:r>
              <w:t>4 111</w:t>
            </w:r>
          </w:p>
        </w:tc>
        <w:tc>
          <w:tcPr>
            <w:tcW w:w="1098" w:type="dxa"/>
            <w:tcBorders>
              <w:bottom w:val="single" w:sz="6" w:space="0" w:color="auto"/>
            </w:tcBorders>
          </w:tcPr>
          <w:p w14:paraId="2E666B3E" w14:textId="77777777" w:rsidR="004D42F9" w:rsidRDefault="004D42F9">
            <w:pPr>
              <w:cnfStyle w:val="000000000000" w:firstRow="0" w:lastRow="0" w:firstColumn="0" w:lastColumn="0" w:oddVBand="0" w:evenVBand="0" w:oddHBand="0" w:evenHBand="0" w:firstRowFirstColumn="0" w:firstRowLastColumn="0" w:lastRowFirstColumn="0" w:lastRowLastColumn="0"/>
            </w:pPr>
            <w:r>
              <w:t>407</w:t>
            </w:r>
          </w:p>
        </w:tc>
        <w:tc>
          <w:tcPr>
            <w:tcW w:w="1099" w:type="dxa"/>
            <w:tcBorders>
              <w:bottom w:val="single" w:sz="6" w:space="0" w:color="auto"/>
            </w:tcBorders>
          </w:tcPr>
          <w:p w14:paraId="2A2CEF35" w14:textId="77777777" w:rsidR="004D42F9" w:rsidRDefault="004D42F9">
            <w:pPr>
              <w:cnfStyle w:val="000000000000" w:firstRow="0" w:lastRow="0" w:firstColumn="0" w:lastColumn="0" w:oddVBand="0" w:evenVBand="0" w:oddHBand="0" w:evenHBand="0" w:firstRowFirstColumn="0" w:firstRowLastColumn="0" w:lastRowFirstColumn="0" w:lastRowLastColumn="0"/>
            </w:pPr>
            <w:r>
              <w:t>195</w:t>
            </w:r>
          </w:p>
        </w:tc>
      </w:tr>
      <w:tr w:rsidR="004D42F9" w14:paraId="443F4680" w14:textId="77777777">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tcBorders>
          </w:tcPr>
          <w:p w14:paraId="220D954F" w14:textId="77777777" w:rsidR="004D42F9" w:rsidRDefault="004D42F9">
            <w:r>
              <w:rPr>
                <w:b/>
              </w:rPr>
              <w:t>Total</w:t>
            </w:r>
          </w:p>
        </w:tc>
        <w:tc>
          <w:tcPr>
            <w:tcW w:w="1098" w:type="dxa"/>
            <w:tcBorders>
              <w:top w:val="single" w:sz="6" w:space="0" w:color="auto"/>
            </w:tcBorders>
          </w:tcPr>
          <w:p w14:paraId="7E25ADD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151 277</w:t>
            </w:r>
          </w:p>
        </w:tc>
        <w:tc>
          <w:tcPr>
            <w:tcW w:w="1098" w:type="dxa"/>
            <w:tcBorders>
              <w:top w:val="single" w:sz="6" w:space="0" w:color="auto"/>
            </w:tcBorders>
          </w:tcPr>
          <w:p w14:paraId="068C2A5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140 699</w:t>
            </w:r>
          </w:p>
        </w:tc>
        <w:tc>
          <w:tcPr>
            <w:tcW w:w="1098" w:type="dxa"/>
            <w:tcBorders>
              <w:top w:val="single" w:sz="6" w:space="0" w:color="auto"/>
            </w:tcBorders>
          </w:tcPr>
          <w:p w14:paraId="4A42106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22 411</w:t>
            </w:r>
          </w:p>
        </w:tc>
        <w:tc>
          <w:tcPr>
            <w:tcW w:w="1099" w:type="dxa"/>
            <w:tcBorders>
              <w:top w:val="single" w:sz="6" w:space="0" w:color="auto"/>
            </w:tcBorders>
          </w:tcPr>
          <w:p w14:paraId="637CC28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23 182</w:t>
            </w:r>
          </w:p>
        </w:tc>
      </w:tr>
      <w:tr w:rsidR="004D42F9" w14:paraId="5D3C871C" w14:textId="77777777">
        <w:tc>
          <w:tcPr>
            <w:cnfStyle w:val="001000000000" w:firstRow="0" w:lastRow="0" w:firstColumn="1" w:lastColumn="0" w:oddVBand="0" w:evenVBand="0" w:oddHBand="0" w:evenHBand="0" w:firstRowFirstColumn="0" w:firstRowLastColumn="0" w:lastRowFirstColumn="0" w:lastRowLastColumn="0"/>
            <w:tcW w:w="5245" w:type="dxa"/>
            <w:tcBorders>
              <w:bottom w:val="single" w:sz="6" w:space="0" w:color="auto"/>
            </w:tcBorders>
          </w:tcPr>
          <w:p w14:paraId="4A8082B4" w14:textId="77777777" w:rsidR="004D42F9" w:rsidRDefault="004D42F9">
            <w:r>
              <w:rPr>
                <w:i/>
              </w:rPr>
              <w:t xml:space="preserve">(Less)/plus eliminations and adjustments </w:t>
            </w:r>
            <w:r>
              <w:rPr>
                <w:i/>
                <w:vertAlign w:val="superscript"/>
              </w:rPr>
              <w:t>(b)</w:t>
            </w:r>
          </w:p>
        </w:tc>
        <w:tc>
          <w:tcPr>
            <w:tcW w:w="1098" w:type="dxa"/>
            <w:tcBorders>
              <w:bottom w:val="single" w:sz="6" w:space="0" w:color="auto"/>
            </w:tcBorders>
          </w:tcPr>
          <w:p w14:paraId="3F2303F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(27 309)</w:t>
            </w:r>
          </w:p>
        </w:tc>
        <w:tc>
          <w:tcPr>
            <w:tcW w:w="1098" w:type="dxa"/>
            <w:tcBorders>
              <w:bottom w:val="single" w:sz="6" w:space="0" w:color="auto"/>
            </w:tcBorders>
          </w:tcPr>
          <w:p w14:paraId="3D5AF22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(24 634)</w:t>
            </w:r>
          </w:p>
        </w:tc>
        <w:tc>
          <w:tcPr>
            <w:tcW w:w="1098" w:type="dxa"/>
            <w:tcBorders>
              <w:bottom w:val="single" w:sz="6" w:space="0" w:color="auto"/>
            </w:tcBorders>
          </w:tcPr>
          <w:p w14:paraId="650834C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(157)</w:t>
            </w:r>
          </w:p>
        </w:tc>
        <w:tc>
          <w:tcPr>
            <w:tcW w:w="1099" w:type="dxa"/>
            <w:tcBorders>
              <w:bottom w:val="single" w:sz="6" w:space="0" w:color="auto"/>
            </w:tcBorders>
          </w:tcPr>
          <w:p w14:paraId="06DCBC9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(160)</w:t>
            </w:r>
          </w:p>
        </w:tc>
      </w:tr>
      <w:tr w:rsidR="004D42F9" w14:paraId="1607EC7B" w14:textId="77777777">
        <w:tc>
          <w:tcPr>
            <w:cnfStyle w:val="001000000000" w:firstRow="0" w:lastRow="0" w:firstColumn="1" w:lastColumn="0" w:oddVBand="0" w:evenVBand="0" w:oddHBand="0" w:evenHBand="0" w:firstRowFirstColumn="0" w:firstRowLastColumn="0" w:lastRowFirstColumn="0" w:lastRowLastColumn="0"/>
            <w:tcW w:w="5245" w:type="dxa"/>
            <w:tcBorders>
              <w:top w:val="single" w:sz="6" w:space="0" w:color="auto"/>
              <w:bottom w:val="single" w:sz="12" w:space="0" w:color="auto"/>
            </w:tcBorders>
          </w:tcPr>
          <w:p w14:paraId="76182039" w14:textId="77777777" w:rsidR="004D42F9" w:rsidRDefault="004D42F9">
            <w:r>
              <w:rPr>
                <w:b/>
              </w:rPr>
              <w:t>Grand total</w:t>
            </w:r>
          </w:p>
        </w:tc>
        <w:tc>
          <w:tcPr>
            <w:tcW w:w="1098" w:type="dxa"/>
            <w:tcBorders>
              <w:top w:val="single" w:sz="6" w:space="0" w:color="auto"/>
              <w:bottom w:val="single" w:sz="12" w:space="0" w:color="auto"/>
            </w:tcBorders>
          </w:tcPr>
          <w:p w14:paraId="16992FD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123 968</w:t>
            </w:r>
          </w:p>
        </w:tc>
        <w:tc>
          <w:tcPr>
            <w:tcW w:w="1098" w:type="dxa"/>
            <w:tcBorders>
              <w:top w:val="single" w:sz="6" w:space="0" w:color="auto"/>
              <w:bottom w:val="single" w:sz="12" w:space="0" w:color="auto"/>
            </w:tcBorders>
          </w:tcPr>
          <w:p w14:paraId="0DCDB5D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116 064</w:t>
            </w:r>
          </w:p>
        </w:tc>
        <w:tc>
          <w:tcPr>
            <w:tcW w:w="1098" w:type="dxa"/>
            <w:tcBorders>
              <w:top w:val="single" w:sz="6" w:space="0" w:color="auto"/>
              <w:bottom w:val="single" w:sz="12" w:space="0" w:color="auto"/>
            </w:tcBorders>
          </w:tcPr>
          <w:p w14:paraId="27C66F7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22 255</w:t>
            </w:r>
          </w:p>
        </w:tc>
        <w:tc>
          <w:tcPr>
            <w:tcW w:w="1099" w:type="dxa"/>
            <w:tcBorders>
              <w:top w:val="single" w:sz="6" w:space="0" w:color="auto"/>
              <w:bottom w:val="single" w:sz="12" w:space="0" w:color="auto"/>
            </w:tcBorders>
          </w:tcPr>
          <w:p w14:paraId="02AF316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23 021</w:t>
            </w:r>
          </w:p>
        </w:tc>
      </w:tr>
    </w:tbl>
    <w:p w14:paraId="4907E1E8"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FOG/Link_AFR_COFOG.xlsx|Table:COFOG_by_department_GG"/>
      </w:tblPr>
      <w:tblGrid>
        <w:gridCol w:w="5250"/>
        <w:gridCol w:w="1097"/>
        <w:gridCol w:w="1097"/>
        <w:gridCol w:w="1097"/>
        <w:gridCol w:w="1097"/>
      </w:tblGrid>
      <w:tr w:rsidR="004D42F9" w14:paraId="2615CE4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50" w:type="dxa"/>
          </w:tcPr>
          <w:p w14:paraId="4E726D1A" w14:textId="77777777" w:rsidR="004D42F9" w:rsidRDefault="004D42F9">
            <w:pPr>
              <w:keepNext/>
            </w:pPr>
            <w:r>
              <w:t>General government sector</w:t>
            </w:r>
          </w:p>
        </w:tc>
        <w:tc>
          <w:tcPr>
            <w:tcW w:w="1097" w:type="dxa"/>
          </w:tcPr>
          <w:p w14:paraId="16D066E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540840F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5BB16BD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97" w:type="dxa"/>
          </w:tcPr>
          <w:p w14:paraId="4084149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60A001DD" w14:textId="77777777">
        <w:tc>
          <w:tcPr>
            <w:cnfStyle w:val="001000000000" w:firstRow="0" w:lastRow="0" w:firstColumn="1" w:lastColumn="0" w:oddVBand="0" w:evenVBand="0" w:oddHBand="0" w:evenHBand="0" w:firstRowFirstColumn="0" w:firstRowLastColumn="0" w:lastRowFirstColumn="0" w:lastRowLastColumn="0"/>
            <w:tcW w:w="5250" w:type="dxa"/>
          </w:tcPr>
          <w:p w14:paraId="2D964358" w14:textId="77777777" w:rsidR="004D42F9" w:rsidRDefault="004D42F9">
            <w:r>
              <w:t>Education</w:t>
            </w:r>
          </w:p>
        </w:tc>
        <w:tc>
          <w:tcPr>
            <w:tcW w:w="1097" w:type="dxa"/>
          </w:tcPr>
          <w:p w14:paraId="78A2557E" w14:textId="77777777" w:rsidR="004D42F9" w:rsidRDefault="004D42F9">
            <w:pPr>
              <w:cnfStyle w:val="000000000000" w:firstRow="0" w:lastRow="0" w:firstColumn="0" w:lastColumn="0" w:oddVBand="0" w:evenVBand="0" w:oddHBand="0" w:evenHBand="0" w:firstRowFirstColumn="0" w:firstRowLastColumn="0" w:lastRowFirstColumn="0" w:lastRowLastColumn="0"/>
            </w:pPr>
            <w:r>
              <w:t>22 839</w:t>
            </w:r>
          </w:p>
        </w:tc>
        <w:tc>
          <w:tcPr>
            <w:tcW w:w="1097" w:type="dxa"/>
          </w:tcPr>
          <w:p w14:paraId="06B6AA67" w14:textId="77777777" w:rsidR="004D42F9" w:rsidRDefault="004D42F9">
            <w:pPr>
              <w:cnfStyle w:val="000000000000" w:firstRow="0" w:lastRow="0" w:firstColumn="0" w:lastColumn="0" w:oddVBand="0" w:evenVBand="0" w:oddHBand="0" w:evenHBand="0" w:firstRowFirstColumn="0" w:firstRowLastColumn="0" w:lastRowFirstColumn="0" w:lastRowLastColumn="0"/>
            </w:pPr>
            <w:r>
              <w:t>21 389</w:t>
            </w:r>
          </w:p>
        </w:tc>
        <w:tc>
          <w:tcPr>
            <w:tcW w:w="1097" w:type="dxa"/>
          </w:tcPr>
          <w:p w14:paraId="28B3ECFD" w14:textId="77777777" w:rsidR="004D42F9" w:rsidRDefault="004D42F9">
            <w:pPr>
              <w:cnfStyle w:val="000000000000" w:firstRow="0" w:lastRow="0" w:firstColumn="0" w:lastColumn="0" w:oddVBand="0" w:evenVBand="0" w:oddHBand="0" w:evenHBand="0" w:firstRowFirstColumn="0" w:firstRowLastColumn="0" w:lastRowFirstColumn="0" w:lastRowLastColumn="0"/>
            </w:pPr>
            <w:r>
              <w:t>2 315</w:t>
            </w:r>
          </w:p>
        </w:tc>
        <w:tc>
          <w:tcPr>
            <w:tcW w:w="1097" w:type="dxa"/>
          </w:tcPr>
          <w:p w14:paraId="199768E6" w14:textId="77777777" w:rsidR="004D42F9" w:rsidRDefault="004D42F9">
            <w:pPr>
              <w:cnfStyle w:val="000000000000" w:firstRow="0" w:lastRow="0" w:firstColumn="0" w:lastColumn="0" w:oddVBand="0" w:evenVBand="0" w:oddHBand="0" w:evenHBand="0" w:firstRowFirstColumn="0" w:firstRowLastColumn="0" w:lastRowFirstColumn="0" w:lastRowLastColumn="0"/>
            </w:pPr>
            <w:r>
              <w:t>2 391</w:t>
            </w:r>
          </w:p>
        </w:tc>
      </w:tr>
      <w:tr w:rsidR="004D42F9" w14:paraId="696EF28D" w14:textId="77777777">
        <w:tc>
          <w:tcPr>
            <w:cnfStyle w:val="001000000000" w:firstRow="0" w:lastRow="0" w:firstColumn="1" w:lastColumn="0" w:oddVBand="0" w:evenVBand="0" w:oddHBand="0" w:evenHBand="0" w:firstRowFirstColumn="0" w:firstRowLastColumn="0" w:lastRowFirstColumn="0" w:lastRowLastColumn="0"/>
            <w:tcW w:w="5250" w:type="dxa"/>
          </w:tcPr>
          <w:p w14:paraId="757471F8" w14:textId="77777777" w:rsidR="004D42F9" w:rsidRDefault="004D42F9">
            <w:r>
              <w:t>Energy, Environment and Climate Action</w:t>
            </w:r>
          </w:p>
        </w:tc>
        <w:tc>
          <w:tcPr>
            <w:tcW w:w="1097" w:type="dxa"/>
          </w:tcPr>
          <w:p w14:paraId="0F452C82" w14:textId="77777777" w:rsidR="004D42F9" w:rsidRDefault="004D42F9">
            <w:pPr>
              <w:cnfStyle w:val="000000000000" w:firstRow="0" w:lastRow="0" w:firstColumn="0" w:lastColumn="0" w:oddVBand="0" w:evenVBand="0" w:oddHBand="0" w:evenHBand="0" w:firstRowFirstColumn="0" w:firstRowLastColumn="0" w:lastRowFirstColumn="0" w:lastRowLastColumn="0"/>
            </w:pPr>
            <w:r>
              <w:t>3 756</w:t>
            </w:r>
          </w:p>
        </w:tc>
        <w:tc>
          <w:tcPr>
            <w:tcW w:w="1097" w:type="dxa"/>
          </w:tcPr>
          <w:p w14:paraId="6BC942FA" w14:textId="77777777" w:rsidR="004D42F9" w:rsidRDefault="004D42F9">
            <w:pPr>
              <w:cnfStyle w:val="000000000000" w:firstRow="0" w:lastRow="0" w:firstColumn="0" w:lastColumn="0" w:oddVBand="0" w:evenVBand="0" w:oddHBand="0" w:evenHBand="0" w:firstRowFirstColumn="0" w:firstRowLastColumn="0" w:lastRowFirstColumn="0" w:lastRowLastColumn="0"/>
            </w:pPr>
            <w:r>
              <w:t>3 834</w:t>
            </w:r>
          </w:p>
        </w:tc>
        <w:tc>
          <w:tcPr>
            <w:tcW w:w="1097" w:type="dxa"/>
          </w:tcPr>
          <w:p w14:paraId="231B632A" w14:textId="77777777" w:rsidR="004D42F9" w:rsidRDefault="004D42F9">
            <w:pPr>
              <w:cnfStyle w:val="000000000000" w:firstRow="0" w:lastRow="0" w:firstColumn="0" w:lastColumn="0" w:oddVBand="0" w:evenVBand="0" w:oddHBand="0" w:evenHBand="0" w:firstRowFirstColumn="0" w:firstRowLastColumn="0" w:lastRowFirstColumn="0" w:lastRowLastColumn="0"/>
            </w:pPr>
            <w:r>
              <w:t>218</w:t>
            </w:r>
          </w:p>
        </w:tc>
        <w:tc>
          <w:tcPr>
            <w:tcW w:w="1097" w:type="dxa"/>
          </w:tcPr>
          <w:p w14:paraId="6CB7FCED" w14:textId="77777777" w:rsidR="004D42F9" w:rsidRDefault="004D42F9">
            <w:pPr>
              <w:cnfStyle w:val="000000000000" w:firstRow="0" w:lastRow="0" w:firstColumn="0" w:lastColumn="0" w:oddVBand="0" w:evenVBand="0" w:oddHBand="0" w:evenHBand="0" w:firstRowFirstColumn="0" w:firstRowLastColumn="0" w:lastRowFirstColumn="0" w:lastRowLastColumn="0"/>
            </w:pPr>
            <w:r>
              <w:t>225</w:t>
            </w:r>
          </w:p>
        </w:tc>
      </w:tr>
      <w:tr w:rsidR="004D42F9" w14:paraId="3A89B842" w14:textId="77777777">
        <w:tc>
          <w:tcPr>
            <w:cnfStyle w:val="001000000000" w:firstRow="0" w:lastRow="0" w:firstColumn="1" w:lastColumn="0" w:oddVBand="0" w:evenVBand="0" w:oddHBand="0" w:evenHBand="0" w:firstRowFirstColumn="0" w:firstRowLastColumn="0" w:lastRowFirstColumn="0" w:lastRowLastColumn="0"/>
            <w:tcW w:w="5250" w:type="dxa"/>
          </w:tcPr>
          <w:p w14:paraId="605BFF23" w14:textId="77777777" w:rsidR="004D42F9" w:rsidRDefault="004D42F9">
            <w:r>
              <w:t>Families, Fairness and Housing</w:t>
            </w:r>
          </w:p>
        </w:tc>
        <w:tc>
          <w:tcPr>
            <w:tcW w:w="1097" w:type="dxa"/>
          </w:tcPr>
          <w:p w14:paraId="4457BB7B" w14:textId="77777777" w:rsidR="004D42F9" w:rsidRDefault="004D42F9">
            <w:pPr>
              <w:cnfStyle w:val="000000000000" w:firstRow="0" w:lastRow="0" w:firstColumn="0" w:lastColumn="0" w:oddVBand="0" w:evenVBand="0" w:oddHBand="0" w:evenHBand="0" w:firstRowFirstColumn="0" w:firstRowLastColumn="0" w:lastRowFirstColumn="0" w:lastRowLastColumn="0"/>
            </w:pPr>
            <w:r>
              <w:t>9 579</w:t>
            </w:r>
          </w:p>
        </w:tc>
        <w:tc>
          <w:tcPr>
            <w:tcW w:w="1097" w:type="dxa"/>
          </w:tcPr>
          <w:p w14:paraId="74C02862" w14:textId="77777777" w:rsidR="004D42F9" w:rsidRDefault="004D42F9">
            <w:pPr>
              <w:cnfStyle w:val="000000000000" w:firstRow="0" w:lastRow="0" w:firstColumn="0" w:lastColumn="0" w:oddVBand="0" w:evenVBand="0" w:oddHBand="0" w:evenHBand="0" w:firstRowFirstColumn="0" w:firstRowLastColumn="0" w:lastRowFirstColumn="0" w:lastRowLastColumn="0"/>
            </w:pPr>
            <w:r>
              <w:t>8 459</w:t>
            </w:r>
          </w:p>
        </w:tc>
        <w:tc>
          <w:tcPr>
            <w:tcW w:w="1097" w:type="dxa"/>
          </w:tcPr>
          <w:p w14:paraId="0ADA3B7B" w14:textId="77777777" w:rsidR="004D42F9" w:rsidRDefault="004D42F9">
            <w:pPr>
              <w:cnfStyle w:val="000000000000" w:firstRow="0" w:lastRow="0" w:firstColumn="0" w:lastColumn="0" w:oddVBand="0" w:evenVBand="0" w:oddHBand="0" w:evenHBand="0" w:firstRowFirstColumn="0" w:firstRowLastColumn="0" w:lastRowFirstColumn="0" w:lastRowLastColumn="0"/>
            </w:pPr>
            <w:r>
              <w:t>57</w:t>
            </w:r>
          </w:p>
        </w:tc>
        <w:tc>
          <w:tcPr>
            <w:tcW w:w="1097" w:type="dxa"/>
          </w:tcPr>
          <w:p w14:paraId="7128852B" w14:textId="77777777" w:rsidR="004D42F9" w:rsidRDefault="004D42F9">
            <w:pPr>
              <w:cnfStyle w:val="000000000000" w:firstRow="0" w:lastRow="0" w:firstColumn="0" w:lastColumn="0" w:oddVBand="0" w:evenVBand="0" w:oddHBand="0" w:evenHBand="0" w:firstRowFirstColumn="0" w:firstRowLastColumn="0" w:lastRowFirstColumn="0" w:lastRowLastColumn="0"/>
            </w:pPr>
            <w:r>
              <w:t>49</w:t>
            </w:r>
          </w:p>
        </w:tc>
      </w:tr>
      <w:tr w:rsidR="004D42F9" w14:paraId="73902EE2" w14:textId="77777777">
        <w:tc>
          <w:tcPr>
            <w:cnfStyle w:val="001000000000" w:firstRow="0" w:lastRow="0" w:firstColumn="1" w:lastColumn="0" w:oddVBand="0" w:evenVBand="0" w:oddHBand="0" w:evenHBand="0" w:firstRowFirstColumn="0" w:firstRowLastColumn="0" w:lastRowFirstColumn="0" w:lastRowLastColumn="0"/>
            <w:tcW w:w="5250" w:type="dxa"/>
          </w:tcPr>
          <w:p w14:paraId="506E9CB5" w14:textId="77777777" w:rsidR="004D42F9" w:rsidRDefault="004D42F9">
            <w:r>
              <w:t>Government Services</w:t>
            </w:r>
          </w:p>
        </w:tc>
        <w:tc>
          <w:tcPr>
            <w:tcW w:w="1097" w:type="dxa"/>
          </w:tcPr>
          <w:p w14:paraId="3E7EB8B3" w14:textId="77777777" w:rsidR="004D42F9" w:rsidRDefault="004D42F9">
            <w:pPr>
              <w:cnfStyle w:val="000000000000" w:firstRow="0" w:lastRow="0" w:firstColumn="0" w:lastColumn="0" w:oddVBand="0" w:evenVBand="0" w:oddHBand="0" w:evenHBand="0" w:firstRowFirstColumn="0" w:firstRowLastColumn="0" w:lastRowFirstColumn="0" w:lastRowLastColumn="0"/>
            </w:pPr>
            <w:r>
              <w:t>2 020</w:t>
            </w:r>
          </w:p>
        </w:tc>
        <w:tc>
          <w:tcPr>
            <w:tcW w:w="1097" w:type="dxa"/>
          </w:tcPr>
          <w:p w14:paraId="1E8088EA" w14:textId="77777777" w:rsidR="004D42F9" w:rsidRDefault="004D42F9">
            <w:pPr>
              <w:cnfStyle w:val="000000000000" w:firstRow="0" w:lastRow="0" w:firstColumn="0" w:lastColumn="0" w:oddVBand="0" w:evenVBand="0" w:oddHBand="0" w:evenHBand="0" w:firstRowFirstColumn="0" w:firstRowLastColumn="0" w:lastRowFirstColumn="0" w:lastRowLastColumn="0"/>
            </w:pPr>
            <w:r>
              <w:t>2 159</w:t>
            </w:r>
          </w:p>
        </w:tc>
        <w:tc>
          <w:tcPr>
            <w:tcW w:w="1097" w:type="dxa"/>
          </w:tcPr>
          <w:p w14:paraId="44114356"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c>
          <w:tcPr>
            <w:tcW w:w="1097" w:type="dxa"/>
          </w:tcPr>
          <w:p w14:paraId="65511B46"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r>
      <w:tr w:rsidR="004D42F9" w14:paraId="34609815" w14:textId="77777777">
        <w:tc>
          <w:tcPr>
            <w:cnfStyle w:val="001000000000" w:firstRow="0" w:lastRow="0" w:firstColumn="1" w:lastColumn="0" w:oddVBand="0" w:evenVBand="0" w:oddHBand="0" w:evenHBand="0" w:firstRowFirstColumn="0" w:firstRowLastColumn="0" w:lastRowFirstColumn="0" w:lastRowLastColumn="0"/>
            <w:tcW w:w="5250" w:type="dxa"/>
          </w:tcPr>
          <w:p w14:paraId="7D6387DD" w14:textId="77777777" w:rsidR="004D42F9" w:rsidRDefault="004D42F9">
            <w:r>
              <w:t>Health</w:t>
            </w:r>
          </w:p>
        </w:tc>
        <w:tc>
          <w:tcPr>
            <w:tcW w:w="1097" w:type="dxa"/>
          </w:tcPr>
          <w:p w14:paraId="6E601B8C" w14:textId="77777777" w:rsidR="004D42F9" w:rsidRDefault="004D42F9">
            <w:pPr>
              <w:cnfStyle w:val="000000000000" w:firstRow="0" w:lastRow="0" w:firstColumn="0" w:lastColumn="0" w:oddVBand="0" w:evenVBand="0" w:oddHBand="0" w:evenHBand="0" w:firstRowFirstColumn="0" w:firstRowLastColumn="0" w:lastRowFirstColumn="0" w:lastRowLastColumn="0"/>
            </w:pPr>
            <w:r>
              <w:t>32 790</w:t>
            </w:r>
          </w:p>
        </w:tc>
        <w:tc>
          <w:tcPr>
            <w:tcW w:w="1097" w:type="dxa"/>
          </w:tcPr>
          <w:p w14:paraId="780DCA35" w14:textId="77777777" w:rsidR="004D42F9" w:rsidRDefault="004D42F9">
            <w:pPr>
              <w:cnfStyle w:val="000000000000" w:firstRow="0" w:lastRow="0" w:firstColumn="0" w:lastColumn="0" w:oddVBand="0" w:evenVBand="0" w:oddHBand="0" w:evenHBand="0" w:firstRowFirstColumn="0" w:firstRowLastColumn="0" w:lastRowFirstColumn="0" w:lastRowLastColumn="0"/>
            </w:pPr>
            <w:r>
              <w:t>30 736</w:t>
            </w:r>
          </w:p>
        </w:tc>
        <w:tc>
          <w:tcPr>
            <w:tcW w:w="1097" w:type="dxa"/>
          </w:tcPr>
          <w:p w14:paraId="4413594D" w14:textId="77777777" w:rsidR="004D42F9" w:rsidRDefault="004D42F9">
            <w:pPr>
              <w:cnfStyle w:val="000000000000" w:firstRow="0" w:lastRow="0" w:firstColumn="0" w:lastColumn="0" w:oddVBand="0" w:evenVBand="0" w:oddHBand="0" w:evenHBand="0" w:firstRowFirstColumn="0" w:firstRowLastColumn="0" w:lastRowFirstColumn="0" w:lastRowLastColumn="0"/>
            </w:pPr>
            <w:r>
              <w:t>1 942</w:t>
            </w:r>
          </w:p>
        </w:tc>
        <w:tc>
          <w:tcPr>
            <w:tcW w:w="1097" w:type="dxa"/>
          </w:tcPr>
          <w:p w14:paraId="3555B72A" w14:textId="77777777" w:rsidR="004D42F9" w:rsidRDefault="004D42F9">
            <w:pPr>
              <w:cnfStyle w:val="000000000000" w:firstRow="0" w:lastRow="0" w:firstColumn="0" w:lastColumn="0" w:oddVBand="0" w:evenVBand="0" w:oddHBand="0" w:evenHBand="0" w:firstRowFirstColumn="0" w:firstRowLastColumn="0" w:lastRowFirstColumn="0" w:lastRowLastColumn="0"/>
            </w:pPr>
            <w:r>
              <w:t>1 655</w:t>
            </w:r>
          </w:p>
        </w:tc>
      </w:tr>
      <w:tr w:rsidR="004D42F9" w14:paraId="79404A90" w14:textId="77777777">
        <w:tc>
          <w:tcPr>
            <w:cnfStyle w:val="001000000000" w:firstRow="0" w:lastRow="0" w:firstColumn="1" w:lastColumn="0" w:oddVBand="0" w:evenVBand="0" w:oddHBand="0" w:evenHBand="0" w:firstRowFirstColumn="0" w:firstRowLastColumn="0" w:lastRowFirstColumn="0" w:lastRowLastColumn="0"/>
            <w:tcW w:w="5250" w:type="dxa"/>
          </w:tcPr>
          <w:p w14:paraId="78B71E97" w14:textId="77777777" w:rsidR="004D42F9" w:rsidRDefault="004D42F9">
            <w:r>
              <w:t>Jobs, Skills, Industry and Regions</w:t>
            </w:r>
          </w:p>
        </w:tc>
        <w:tc>
          <w:tcPr>
            <w:tcW w:w="1097" w:type="dxa"/>
          </w:tcPr>
          <w:p w14:paraId="241D7334" w14:textId="77777777" w:rsidR="004D42F9" w:rsidRDefault="004D42F9">
            <w:pPr>
              <w:cnfStyle w:val="000000000000" w:firstRow="0" w:lastRow="0" w:firstColumn="0" w:lastColumn="0" w:oddVBand="0" w:evenVBand="0" w:oddHBand="0" w:evenHBand="0" w:firstRowFirstColumn="0" w:firstRowLastColumn="0" w:lastRowFirstColumn="0" w:lastRowLastColumn="0"/>
            </w:pPr>
            <w:r>
              <w:t>4 403</w:t>
            </w:r>
          </w:p>
        </w:tc>
        <w:tc>
          <w:tcPr>
            <w:tcW w:w="1097" w:type="dxa"/>
          </w:tcPr>
          <w:p w14:paraId="18D95E8C" w14:textId="77777777" w:rsidR="004D42F9" w:rsidRDefault="004D42F9">
            <w:pPr>
              <w:cnfStyle w:val="000000000000" w:firstRow="0" w:lastRow="0" w:firstColumn="0" w:lastColumn="0" w:oddVBand="0" w:evenVBand="0" w:oddHBand="0" w:evenHBand="0" w:firstRowFirstColumn="0" w:firstRowLastColumn="0" w:lastRowFirstColumn="0" w:lastRowLastColumn="0"/>
            </w:pPr>
            <w:r>
              <w:t>4 136</w:t>
            </w:r>
          </w:p>
        </w:tc>
        <w:tc>
          <w:tcPr>
            <w:tcW w:w="1097" w:type="dxa"/>
          </w:tcPr>
          <w:p w14:paraId="660CCD5D" w14:textId="77777777" w:rsidR="004D42F9" w:rsidRDefault="004D42F9">
            <w:pPr>
              <w:cnfStyle w:val="000000000000" w:firstRow="0" w:lastRow="0" w:firstColumn="0" w:lastColumn="0" w:oddVBand="0" w:evenVBand="0" w:oddHBand="0" w:evenHBand="0" w:firstRowFirstColumn="0" w:firstRowLastColumn="0" w:lastRowFirstColumn="0" w:lastRowLastColumn="0"/>
            </w:pPr>
            <w:r>
              <w:t>293</w:t>
            </w:r>
          </w:p>
        </w:tc>
        <w:tc>
          <w:tcPr>
            <w:tcW w:w="1097" w:type="dxa"/>
          </w:tcPr>
          <w:p w14:paraId="142F64F2" w14:textId="77777777" w:rsidR="004D42F9" w:rsidRDefault="004D42F9">
            <w:pPr>
              <w:cnfStyle w:val="000000000000" w:firstRow="0" w:lastRow="0" w:firstColumn="0" w:lastColumn="0" w:oddVBand="0" w:evenVBand="0" w:oddHBand="0" w:evenHBand="0" w:firstRowFirstColumn="0" w:firstRowLastColumn="0" w:lastRowFirstColumn="0" w:lastRowLastColumn="0"/>
            </w:pPr>
            <w:r>
              <w:t>290</w:t>
            </w:r>
          </w:p>
        </w:tc>
      </w:tr>
      <w:tr w:rsidR="004D42F9" w14:paraId="34990E77" w14:textId="77777777">
        <w:tc>
          <w:tcPr>
            <w:cnfStyle w:val="001000000000" w:firstRow="0" w:lastRow="0" w:firstColumn="1" w:lastColumn="0" w:oddVBand="0" w:evenVBand="0" w:oddHBand="0" w:evenHBand="0" w:firstRowFirstColumn="0" w:firstRowLastColumn="0" w:lastRowFirstColumn="0" w:lastRowLastColumn="0"/>
            <w:tcW w:w="5250" w:type="dxa"/>
          </w:tcPr>
          <w:p w14:paraId="32796E6C" w14:textId="77777777" w:rsidR="004D42F9" w:rsidRDefault="004D42F9">
            <w:r>
              <w:t>Justice and Community Safety</w:t>
            </w:r>
          </w:p>
        </w:tc>
        <w:tc>
          <w:tcPr>
            <w:tcW w:w="1097" w:type="dxa"/>
          </w:tcPr>
          <w:p w14:paraId="778E05AA" w14:textId="77777777" w:rsidR="004D42F9" w:rsidRDefault="004D42F9">
            <w:pPr>
              <w:cnfStyle w:val="000000000000" w:firstRow="0" w:lastRow="0" w:firstColumn="0" w:lastColumn="0" w:oddVBand="0" w:evenVBand="0" w:oddHBand="0" w:evenHBand="0" w:firstRowFirstColumn="0" w:firstRowLastColumn="0" w:lastRowFirstColumn="0" w:lastRowLastColumn="0"/>
            </w:pPr>
            <w:r>
              <w:t>11 096</w:t>
            </w:r>
          </w:p>
        </w:tc>
        <w:tc>
          <w:tcPr>
            <w:tcW w:w="1097" w:type="dxa"/>
          </w:tcPr>
          <w:p w14:paraId="1E7C4232" w14:textId="77777777" w:rsidR="004D42F9" w:rsidRDefault="004D42F9">
            <w:pPr>
              <w:cnfStyle w:val="000000000000" w:firstRow="0" w:lastRow="0" w:firstColumn="0" w:lastColumn="0" w:oddVBand="0" w:evenVBand="0" w:oddHBand="0" w:evenHBand="0" w:firstRowFirstColumn="0" w:firstRowLastColumn="0" w:lastRowFirstColumn="0" w:lastRowLastColumn="0"/>
            </w:pPr>
            <w:r>
              <w:t>10 308</w:t>
            </w:r>
          </w:p>
        </w:tc>
        <w:tc>
          <w:tcPr>
            <w:tcW w:w="1097" w:type="dxa"/>
          </w:tcPr>
          <w:p w14:paraId="20044053" w14:textId="77777777" w:rsidR="004D42F9" w:rsidRDefault="004D42F9">
            <w:pPr>
              <w:cnfStyle w:val="000000000000" w:firstRow="0" w:lastRow="0" w:firstColumn="0" w:lastColumn="0" w:oddVBand="0" w:evenVBand="0" w:oddHBand="0" w:evenHBand="0" w:firstRowFirstColumn="0" w:firstRowLastColumn="0" w:lastRowFirstColumn="0" w:lastRowLastColumn="0"/>
            </w:pPr>
            <w:r>
              <w:t>438</w:t>
            </w:r>
          </w:p>
        </w:tc>
        <w:tc>
          <w:tcPr>
            <w:tcW w:w="1097" w:type="dxa"/>
          </w:tcPr>
          <w:p w14:paraId="5E24608E" w14:textId="77777777" w:rsidR="004D42F9" w:rsidRDefault="004D42F9">
            <w:pPr>
              <w:cnfStyle w:val="000000000000" w:firstRow="0" w:lastRow="0" w:firstColumn="0" w:lastColumn="0" w:oddVBand="0" w:evenVBand="0" w:oddHBand="0" w:evenHBand="0" w:firstRowFirstColumn="0" w:firstRowLastColumn="0" w:lastRowFirstColumn="0" w:lastRowLastColumn="0"/>
            </w:pPr>
            <w:r>
              <w:t>564</w:t>
            </w:r>
          </w:p>
        </w:tc>
      </w:tr>
      <w:tr w:rsidR="004D42F9" w14:paraId="64FA66B5" w14:textId="77777777">
        <w:tc>
          <w:tcPr>
            <w:cnfStyle w:val="001000000000" w:firstRow="0" w:lastRow="0" w:firstColumn="1" w:lastColumn="0" w:oddVBand="0" w:evenVBand="0" w:oddHBand="0" w:evenHBand="0" w:firstRowFirstColumn="0" w:firstRowLastColumn="0" w:lastRowFirstColumn="0" w:lastRowLastColumn="0"/>
            <w:tcW w:w="5250" w:type="dxa"/>
          </w:tcPr>
          <w:p w14:paraId="6ECCADC4" w14:textId="77777777" w:rsidR="004D42F9" w:rsidRDefault="004D42F9">
            <w:r>
              <w:t>Premier and Cabinet</w:t>
            </w:r>
          </w:p>
        </w:tc>
        <w:tc>
          <w:tcPr>
            <w:tcW w:w="1097" w:type="dxa"/>
          </w:tcPr>
          <w:p w14:paraId="3D331D6F" w14:textId="77777777" w:rsidR="004D42F9" w:rsidRDefault="004D42F9">
            <w:pPr>
              <w:cnfStyle w:val="000000000000" w:firstRow="0" w:lastRow="0" w:firstColumn="0" w:lastColumn="0" w:oddVBand="0" w:evenVBand="0" w:oddHBand="0" w:evenHBand="0" w:firstRowFirstColumn="0" w:firstRowLastColumn="0" w:lastRowFirstColumn="0" w:lastRowLastColumn="0"/>
            </w:pPr>
            <w:r>
              <w:t>613</w:t>
            </w:r>
          </w:p>
        </w:tc>
        <w:tc>
          <w:tcPr>
            <w:tcW w:w="1097" w:type="dxa"/>
          </w:tcPr>
          <w:p w14:paraId="6CFCEE15" w14:textId="77777777" w:rsidR="004D42F9" w:rsidRDefault="004D42F9">
            <w:pPr>
              <w:cnfStyle w:val="000000000000" w:firstRow="0" w:lastRow="0" w:firstColumn="0" w:lastColumn="0" w:oddVBand="0" w:evenVBand="0" w:oddHBand="0" w:evenHBand="0" w:firstRowFirstColumn="0" w:firstRowLastColumn="0" w:lastRowFirstColumn="0" w:lastRowLastColumn="0"/>
            </w:pPr>
            <w:r>
              <w:t>510</w:t>
            </w:r>
          </w:p>
        </w:tc>
        <w:tc>
          <w:tcPr>
            <w:tcW w:w="1097" w:type="dxa"/>
          </w:tcPr>
          <w:p w14:paraId="3E4695C3" w14:textId="77777777" w:rsidR="004D42F9" w:rsidRDefault="004D42F9">
            <w:pPr>
              <w:cnfStyle w:val="000000000000" w:firstRow="0" w:lastRow="0" w:firstColumn="0" w:lastColumn="0" w:oddVBand="0" w:evenVBand="0" w:oddHBand="0" w:evenHBand="0" w:firstRowFirstColumn="0" w:firstRowLastColumn="0" w:lastRowFirstColumn="0" w:lastRowLastColumn="0"/>
            </w:pPr>
            <w:r>
              <w:t>11</w:t>
            </w:r>
          </w:p>
        </w:tc>
        <w:tc>
          <w:tcPr>
            <w:tcW w:w="1097" w:type="dxa"/>
          </w:tcPr>
          <w:p w14:paraId="34EC36AD"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r>
      <w:tr w:rsidR="004D42F9" w14:paraId="04B621AF" w14:textId="77777777">
        <w:tc>
          <w:tcPr>
            <w:cnfStyle w:val="001000000000" w:firstRow="0" w:lastRow="0" w:firstColumn="1" w:lastColumn="0" w:oddVBand="0" w:evenVBand="0" w:oddHBand="0" w:evenHBand="0" w:firstRowFirstColumn="0" w:firstRowLastColumn="0" w:lastRowFirstColumn="0" w:lastRowLastColumn="0"/>
            <w:tcW w:w="5250" w:type="dxa"/>
          </w:tcPr>
          <w:p w14:paraId="7543221D" w14:textId="77777777" w:rsidR="004D42F9" w:rsidRDefault="004D42F9">
            <w:r>
              <w:t>Transport and Planning</w:t>
            </w:r>
          </w:p>
        </w:tc>
        <w:tc>
          <w:tcPr>
            <w:tcW w:w="1097" w:type="dxa"/>
          </w:tcPr>
          <w:p w14:paraId="2B80B61C" w14:textId="77777777" w:rsidR="004D42F9" w:rsidRDefault="004D42F9">
            <w:pPr>
              <w:cnfStyle w:val="000000000000" w:firstRow="0" w:lastRow="0" w:firstColumn="0" w:lastColumn="0" w:oddVBand="0" w:evenVBand="0" w:oddHBand="0" w:evenHBand="0" w:firstRowFirstColumn="0" w:firstRowLastColumn="0" w:lastRowFirstColumn="0" w:lastRowLastColumn="0"/>
            </w:pPr>
            <w:r>
              <w:t>9 773</w:t>
            </w:r>
          </w:p>
        </w:tc>
        <w:tc>
          <w:tcPr>
            <w:tcW w:w="1097" w:type="dxa"/>
          </w:tcPr>
          <w:p w14:paraId="03D72884" w14:textId="77777777" w:rsidR="004D42F9" w:rsidRDefault="004D42F9">
            <w:pPr>
              <w:cnfStyle w:val="000000000000" w:firstRow="0" w:lastRow="0" w:firstColumn="0" w:lastColumn="0" w:oddVBand="0" w:evenVBand="0" w:oddHBand="0" w:evenHBand="0" w:firstRowFirstColumn="0" w:firstRowLastColumn="0" w:lastRowFirstColumn="0" w:lastRowLastColumn="0"/>
            </w:pPr>
            <w:r>
              <w:t>9 423</w:t>
            </w:r>
          </w:p>
        </w:tc>
        <w:tc>
          <w:tcPr>
            <w:tcW w:w="1097" w:type="dxa"/>
          </w:tcPr>
          <w:p w14:paraId="703A0958" w14:textId="77777777" w:rsidR="004D42F9" w:rsidRDefault="004D42F9">
            <w:pPr>
              <w:cnfStyle w:val="000000000000" w:firstRow="0" w:lastRow="0" w:firstColumn="0" w:lastColumn="0" w:oddVBand="0" w:evenVBand="0" w:oddHBand="0" w:evenHBand="0" w:firstRowFirstColumn="0" w:firstRowLastColumn="0" w:lastRowFirstColumn="0" w:lastRowLastColumn="0"/>
            </w:pPr>
            <w:r>
              <w:t>10 298</w:t>
            </w:r>
          </w:p>
        </w:tc>
        <w:tc>
          <w:tcPr>
            <w:tcW w:w="1097" w:type="dxa"/>
          </w:tcPr>
          <w:p w14:paraId="7D857A6A" w14:textId="77777777" w:rsidR="004D42F9" w:rsidRDefault="004D42F9">
            <w:pPr>
              <w:cnfStyle w:val="000000000000" w:firstRow="0" w:lastRow="0" w:firstColumn="0" w:lastColumn="0" w:oddVBand="0" w:evenVBand="0" w:oddHBand="0" w:evenHBand="0" w:firstRowFirstColumn="0" w:firstRowLastColumn="0" w:lastRowFirstColumn="0" w:lastRowLastColumn="0"/>
            </w:pPr>
            <w:r>
              <w:t>11 689</w:t>
            </w:r>
          </w:p>
        </w:tc>
      </w:tr>
      <w:tr w:rsidR="004D42F9" w14:paraId="40CFA9B2" w14:textId="77777777">
        <w:tc>
          <w:tcPr>
            <w:cnfStyle w:val="001000000000" w:firstRow="0" w:lastRow="0" w:firstColumn="1" w:lastColumn="0" w:oddVBand="0" w:evenVBand="0" w:oddHBand="0" w:evenHBand="0" w:firstRowFirstColumn="0" w:firstRowLastColumn="0" w:lastRowFirstColumn="0" w:lastRowLastColumn="0"/>
            <w:tcW w:w="5250" w:type="dxa"/>
          </w:tcPr>
          <w:p w14:paraId="5A36DCB6" w14:textId="77777777" w:rsidR="004D42F9" w:rsidRDefault="004D42F9">
            <w:r>
              <w:t>Treasury and Finance</w:t>
            </w:r>
          </w:p>
        </w:tc>
        <w:tc>
          <w:tcPr>
            <w:tcW w:w="1097" w:type="dxa"/>
          </w:tcPr>
          <w:p w14:paraId="05BE1D6B" w14:textId="77777777" w:rsidR="004D42F9" w:rsidRDefault="004D42F9">
            <w:pPr>
              <w:cnfStyle w:val="000000000000" w:firstRow="0" w:lastRow="0" w:firstColumn="0" w:lastColumn="0" w:oddVBand="0" w:evenVBand="0" w:oddHBand="0" w:evenHBand="0" w:firstRowFirstColumn="0" w:firstRowLastColumn="0" w:lastRowFirstColumn="0" w:lastRowLastColumn="0"/>
            </w:pPr>
            <w:r>
              <w:t>14 417</w:t>
            </w:r>
          </w:p>
        </w:tc>
        <w:tc>
          <w:tcPr>
            <w:tcW w:w="1097" w:type="dxa"/>
          </w:tcPr>
          <w:p w14:paraId="697B498A" w14:textId="77777777" w:rsidR="004D42F9" w:rsidRDefault="004D42F9">
            <w:pPr>
              <w:cnfStyle w:val="000000000000" w:firstRow="0" w:lastRow="0" w:firstColumn="0" w:lastColumn="0" w:oddVBand="0" w:evenVBand="0" w:oddHBand="0" w:evenHBand="0" w:firstRowFirstColumn="0" w:firstRowLastColumn="0" w:lastRowFirstColumn="0" w:lastRowLastColumn="0"/>
            </w:pPr>
            <w:r>
              <w:t>12 810</w:t>
            </w:r>
          </w:p>
        </w:tc>
        <w:tc>
          <w:tcPr>
            <w:tcW w:w="1097" w:type="dxa"/>
          </w:tcPr>
          <w:p w14:paraId="39C131C3"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1097" w:type="dxa"/>
          </w:tcPr>
          <w:p w14:paraId="439EDEA1" w14:textId="77777777" w:rsidR="004D42F9" w:rsidRDefault="004D42F9">
            <w:pPr>
              <w:cnfStyle w:val="000000000000" w:firstRow="0" w:lastRow="0" w:firstColumn="0" w:lastColumn="0" w:oddVBand="0" w:evenVBand="0" w:oddHBand="0" w:evenHBand="0" w:firstRowFirstColumn="0" w:firstRowLastColumn="0" w:lastRowFirstColumn="0" w:lastRowLastColumn="0"/>
            </w:pPr>
            <w:r>
              <w:t>15</w:t>
            </w:r>
          </w:p>
        </w:tc>
      </w:tr>
      <w:tr w:rsidR="004D42F9" w14:paraId="0DBC6FA1" w14:textId="77777777">
        <w:tc>
          <w:tcPr>
            <w:cnfStyle w:val="001000000000" w:firstRow="0" w:lastRow="0" w:firstColumn="1" w:lastColumn="0" w:oddVBand="0" w:evenVBand="0" w:oddHBand="0" w:evenHBand="0" w:firstRowFirstColumn="0" w:firstRowLastColumn="0" w:lastRowFirstColumn="0" w:lastRowLastColumn="0"/>
            <w:tcW w:w="5250" w:type="dxa"/>
          </w:tcPr>
          <w:p w14:paraId="79ADD805" w14:textId="77777777" w:rsidR="004D42F9" w:rsidRDefault="004D42F9">
            <w:r>
              <w:t>Parliament</w:t>
            </w:r>
          </w:p>
        </w:tc>
        <w:tc>
          <w:tcPr>
            <w:tcW w:w="1097" w:type="dxa"/>
          </w:tcPr>
          <w:p w14:paraId="1D45272A" w14:textId="77777777" w:rsidR="004D42F9" w:rsidRDefault="004D42F9">
            <w:pPr>
              <w:cnfStyle w:val="000000000000" w:firstRow="0" w:lastRow="0" w:firstColumn="0" w:lastColumn="0" w:oddVBand="0" w:evenVBand="0" w:oddHBand="0" w:evenHBand="0" w:firstRowFirstColumn="0" w:firstRowLastColumn="0" w:lastRowFirstColumn="0" w:lastRowLastColumn="0"/>
            </w:pPr>
            <w:r>
              <w:t>382</w:t>
            </w:r>
          </w:p>
        </w:tc>
        <w:tc>
          <w:tcPr>
            <w:tcW w:w="1097" w:type="dxa"/>
          </w:tcPr>
          <w:p w14:paraId="00FC26BE" w14:textId="77777777" w:rsidR="004D42F9" w:rsidRDefault="004D42F9">
            <w:pPr>
              <w:cnfStyle w:val="000000000000" w:firstRow="0" w:lastRow="0" w:firstColumn="0" w:lastColumn="0" w:oddVBand="0" w:evenVBand="0" w:oddHBand="0" w:evenHBand="0" w:firstRowFirstColumn="0" w:firstRowLastColumn="0" w:lastRowFirstColumn="0" w:lastRowLastColumn="0"/>
            </w:pPr>
            <w:r>
              <w:t>366</w:t>
            </w:r>
          </w:p>
        </w:tc>
        <w:tc>
          <w:tcPr>
            <w:tcW w:w="1097" w:type="dxa"/>
          </w:tcPr>
          <w:p w14:paraId="6466E824" w14:textId="77777777" w:rsidR="004D42F9" w:rsidRDefault="004D42F9">
            <w:pPr>
              <w:cnfStyle w:val="000000000000" w:firstRow="0" w:lastRow="0" w:firstColumn="0" w:lastColumn="0" w:oddVBand="0" w:evenVBand="0" w:oddHBand="0" w:evenHBand="0" w:firstRowFirstColumn="0" w:firstRowLastColumn="0" w:lastRowFirstColumn="0" w:lastRowLastColumn="0"/>
            </w:pPr>
            <w:r>
              <w:t>26</w:t>
            </w:r>
          </w:p>
        </w:tc>
        <w:tc>
          <w:tcPr>
            <w:tcW w:w="1097" w:type="dxa"/>
          </w:tcPr>
          <w:p w14:paraId="5AE491DB"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r>
      <w:tr w:rsidR="004D42F9" w14:paraId="4B293A16" w14:textId="77777777">
        <w:tc>
          <w:tcPr>
            <w:cnfStyle w:val="001000000000" w:firstRow="0" w:lastRow="0" w:firstColumn="1" w:lastColumn="0" w:oddVBand="0" w:evenVBand="0" w:oddHBand="0" w:evenHBand="0" w:firstRowFirstColumn="0" w:firstRowLastColumn="0" w:lastRowFirstColumn="0" w:lastRowLastColumn="0"/>
            <w:tcW w:w="5250" w:type="dxa"/>
          </w:tcPr>
          <w:p w14:paraId="11132AA4" w14:textId="77777777" w:rsidR="004D42F9" w:rsidRDefault="004D42F9">
            <w:r>
              <w:t>Courts</w:t>
            </w:r>
          </w:p>
        </w:tc>
        <w:tc>
          <w:tcPr>
            <w:tcW w:w="1097" w:type="dxa"/>
          </w:tcPr>
          <w:p w14:paraId="27577D11" w14:textId="77777777" w:rsidR="004D42F9" w:rsidRDefault="004D42F9">
            <w:pPr>
              <w:cnfStyle w:val="000000000000" w:firstRow="0" w:lastRow="0" w:firstColumn="0" w:lastColumn="0" w:oddVBand="0" w:evenVBand="0" w:oddHBand="0" w:evenHBand="0" w:firstRowFirstColumn="0" w:firstRowLastColumn="0" w:lastRowFirstColumn="0" w:lastRowLastColumn="0"/>
            </w:pPr>
            <w:r>
              <w:t>941</w:t>
            </w:r>
          </w:p>
        </w:tc>
        <w:tc>
          <w:tcPr>
            <w:tcW w:w="1097" w:type="dxa"/>
          </w:tcPr>
          <w:p w14:paraId="6265C473" w14:textId="77777777" w:rsidR="004D42F9" w:rsidRDefault="004D42F9">
            <w:pPr>
              <w:cnfStyle w:val="000000000000" w:firstRow="0" w:lastRow="0" w:firstColumn="0" w:lastColumn="0" w:oddVBand="0" w:evenVBand="0" w:oddHBand="0" w:evenHBand="0" w:firstRowFirstColumn="0" w:firstRowLastColumn="0" w:lastRowFirstColumn="0" w:lastRowLastColumn="0"/>
            </w:pPr>
            <w:r>
              <w:t>896</w:t>
            </w:r>
          </w:p>
        </w:tc>
        <w:tc>
          <w:tcPr>
            <w:tcW w:w="1097" w:type="dxa"/>
          </w:tcPr>
          <w:p w14:paraId="752E505B" w14:textId="77777777" w:rsidR="004D42F9" w:rsidRDefault="004D42F9">
            <w:pPr>
              <w:cnfStyle w:val="000000000000" w:firstRow="0" w:lastRow="0" w:firstColumn="0" w:lastColumn="0" w:oddVBand="0" w:evenVBand="0" w:oddHBand="0" w:evenHBand="0" w:firstRowFirstColumn="0" w:firstRowLastColumn="0" w:lastRowFirstColumn="0" w:lastRowLastColumn="0"/>
            </w:pPr>
            <w:r>
              <w:t>191</w:t>
            </w:r>
          </w:p>
        </w:tc>
        <w:tc>
          <w:tcPr>
            <w:tcW w:w="1097" w:type="dxa"/>
          </w:tcPr>
          <w:p w14:paraId="0CCDB86F" w14:textId="77777777" w:rsidR="004D42F9" w:rsidRDefault="004D42F9">
            <w:pPr>
              <w:cnfStyle w:val="000000000000" w:firstRow="0" w:lastRow="0" w:firstColumn="0" w:lastColumn="0" w:oddVBand="0" w:evenVBand="0" w:oddHBand="0" w:evenHBand="0" w:firstRowFirstColumn="0" w:firstRowLastColumn="0" w:lastRowFirstColumn="0" w:lastRowLastColumn="0"/>
            </w:pPr>
            <w:r>
              <w:t>200</w:t>
            </w:r>
          </w:p>
        </w:tc>
      </w:tr>
      <w:tr w:rsidR="004D42F9" w14:paraId="78DE0A77" w14:textId="77777777">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07A64DF0" w14:textId="77777777" w:rsidR="004D42F9" w:rsidRDefault="004D42F9">
            <w:r>
              <w:t xml:space="preserve">Regulatory bodies and other part budget funded agencies </w:t>
            </w:r>
            <w:r>
              <w:rPr>
                <w:vertAlign w:val="superscript"/>
              </w:rPr>
              <w:t>(a)</w:t>
            </w:r>
          </w:p>
        </w:tc>
        <w:tc>
          <w:tcPr>
            <w:tcW w:w="1097" w:type="dxa"/>
            <w:tcBorders>
              <w:bottom w:val="single" w:sz="6" w:space="0" w:color="auto"/>
            </w:tcBorders>
          </w:tcPr>
          <w:p w14:paraId="1208B1E7" w14:textId="77777777" w:rsidR="004D42F9" w:rsidRDefault="004D42F9">
            <w:pPr>
              <w:cnfStyle w:val="000000000000" w:firstRow="0" w:lastRow="0" w:firstColumn="0" w:lastColumn="0" w:oddVBand="0" w:evenVBand="0" w:oddHBand="0" w:evenHBand="0" w:firstRowFirstColumn="0" w:firstRowLastColumn="0" w:lastRowFirstColumn="0" w:lastRowLastColumn="0"/>
            </w:pPr>
            <w:r>
              <w:t>3 955</w:t>
            </w:r>
          </w:p>
        </w:tc>
        <w:tc>
          <w:tcPr>
            <w:tcW w:w="1097" w:type="dxa"/>
            <w:tcBorders>
              <w:bottom w:val="single" w:sz="6" w:space="0" w:color="auto"/>
            </w:tcBorders>
          </w:tcPr>
          <w:p w14:paraId="729DA9DB" w14:textId="77777777" w:rsidR="004D42F9" w:rsidRDefault="004D42F9">
            <w:pPr>
              <w:cnfStyle w:val="000000000000" w:firstRow="0" w:lastRow="0" w:firstColumn="0" w:lastColumn="0" w:oddVBand="0" w:evenVBand="0" w:oddHBand="0" w:evenHBand="0" w:firstRowFirstColumn="0" w:firstRowLastColumn="0" w:lastRowFirstColumn="0" w:lastRowLastColumn="0"/>
            </w:pPr>
            <w:r>
              <w:t>4 111</w:t>
            </w:r>
          </w:p>
        </w:tc>
        <w:tc>
          <w:tcPr>
            <w:tcW w:w="1097" w:type="dxa"/>
            <w:tcBorders>
              <w:bottom w:val="single" w:sz="6" w:space="0" w:color="auto"/>
            </w:tcBorders>
          </w:tcPr>
          <w:p w14:paraId="258A2694" w14:textId="77777777" w:rsidR="004D42F9" w:rsidRDefault="004D42F9">
            <w:pPr>
              <w:cnfStyle w:val="000000000000" w:firstRow="0" w:lastRow="0" w:firstColumn="0" w:lastColumn="0" w:oddVBand="0" w:evenVBand="0" w:oddHBand="0" w:evenHBand="0" w:firstRowFirstColumn="0" w:firstRowLastColumn="0" w:lastRowFirstColumn="0" w:lastRowLastColumn="0"/>
            </w:pPr>
            <w:r>
              <w:t>407</w:t>
            </w:r>
          </w:p>
        </w:tc>
        <w:tc>
          <w:tcPr>
            <w:tcW w:w="1097" w:type="dxa"/>
            <w:tcBorders>
              <w:bottom w:val="single" w:sz="6" w:space="0" w:color="auto"/>
            </w:tcBorders>
          </w:tcPr>
          <w:p w14:paraId="3FF6C485" w14:textId="77777777" w:rsidR="004D42F9" w:rsidRDefault="004D42F9">
            <w:pPr>
              <w:cnfStyle w:val="000000000000" w:firstRow="0" w:lastRow="0" w:firstColumn="0" w:lastColumn="0" w:oddVBand="0" w:evenVBand="0" w:oddHBand="0" w:evenHBand="0" w:firstRowFirstColumn="0" w:firstRowLastColumn="0" w:lastRowFirstColumn="0" w:lastRowLastColumn="0"/>
            </w:pPr>
            <w:r>
              <w:t>195</w:t>
            </w:r>
          </w:p>
        </w:tc>
      </w:tr>
      <w:tr w:rsidR="004D42F9" w14:paraId="1591AD3A" w14:textId="77777777">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tcBorders>
          </w:tcPr>
          <w:p w14:paraId="79446380" w14:textId="77777777" w:rsidR="004D42F9" w:rsidRDefault="004D42F9">
            <w:r>
              <w:rPr>
                <w:b/>
              </w:rPr>
              <w:t>Total</w:t>
            </w:r>
          </w:p>
        </w:tc>
        <w:tc>
          <w:tcPr>
            <w:tcW w:w="1097" w:type="dxa"/>
            <w:tcBorders>
              <w:top w:val="single" w:sz="6" w:space="0" w:color="auto"/>
            </w:tcBorders>
          </w:tcPr>
          <w:p w14:paraId="4FAA117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116 565</w:t>
            </w:r>
          </w:p>
        </w:tc>
        <w:tc>
          <w:tcPr>
            <w:tcW w:w="1097" w:type="dxa"/>
            <w:tcBorders>
              <w:top w:val="single" w:sz="6" w:space="0" w:color="auto"/>
            </w:tcBorders>
          </w:tcPr>
          <w:p w14:paraId="4A6D1F0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109 138</w:t>
            </w:r>
          </w:p>
        </w:tc>
        <w:tc>
          <w:tcPr>
            <w:tcW w:w="1097" w:type="dxa"/>
            <w:tcBorders>
              <w:top w:val="single" w:sz="6" w:space="0" w:color="auto"/>
            </w:tcBorders>
          </w:tcPr>
          <w:p w14:paraId="574D3C9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16 228</w:t>
            </w:r>
          </w:p>
        </w:tc>
        <w:tc>
          <w:tcPr>
            <w:tcW w:w="1097" w:type="dxa"/>
            <w:tcBorders>
              <w:top w:val="single" w:sz="6" w:space="0" w:color="auto"/>
            </w:tcBorders>
          </w:tcPr>
          <w:p w14:paraId="491A6B4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17 369</w:t>
            </w:r>
          </w:p>
        </w:tc>
      </w:tr>
      <w:tr w:rsidR="004D42F9" w14:paraId="65CA8A7B" w14:textId="77777777">
        <w:tc>
          <w:tcPr>
            <w:cnfStyle w:val="001000000000" w:firstRow="0" w:lastRow="0" w:firstColumn="1" w:lastColumn="0" w:oddVBand="0" w:evenVBand="0" w:oddHBand="0" w:evenHBand="0" w:firstRowFirstColumn="0" w:firstRowLastColumn="0" w:lastRowFirstColumn="0" w:lastRowLastColumn="0"/>
            <w:tcW w:w="5250" w:type="dxa"/>
            <w:tcBorders>
              <w:bottom w:val="single" w:sz="6" w:space="0" w:color="auto"/>
            </w:tcBorders>
          </w:tcPr>
          <w:p w14:paraId="10AF5347" w14:textId="77777777" w:rsidR="004D42F9" w:rsidRDefault="004D42F9">
            <w:r>
              <w:rPr>
                <w:i/>
              </w:rPr>
              <w:t xml:space="preserve">(Less)/plus eliminations and adjustments </w:t>
            </w:r>
            <w:r>
              <w:rPr>
                <w:i/>
                <w:vertAlign w:val="superscript"/>
              </w:rPr>
              <w:t>(b)</w:t>
            </w:r>
          </w:p>
        </w:tc>
        <w:tc>
          <w:tcPr>
            <w:tcW w:w="1097" w:type="dxa"/>
            <w:tcBorders>
              <w:bottom w:val="single" w:sz="6" w:space="0" w:color="auto"/>
            </w:tcBorders>
          </w:tcPr>
          <w:p w14:paraId="311A900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(12 559)</w:t>
            </w:r>
          </w:p>
        </w:tc>
        <w:tc>
          <w:tcPr>
            <w:tcW w:w="1097" w:type="dxa"/>
            <w:tcBorders>
              <w:bottom w:val="single" w:sz="6" w:space="0" w:color="auto"/>
            </w:tcBorders>
          </w:tcPr>
          <w:p w14:paraId="6314301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(11 859)</w:t>
            </w:r>
          </w:p>
        </w:tc>
        <w:tc>
          <w:tcPr>
            <w:tcW w:w="1097" w:type="dxa"/>
            <w:tcBorders>
              <w:bottom w:val="single" w:sz="6" w:space="0" w:color="auto"/>
            </w:tcBorders>
          </w:tcPr>
          <w:p w14:paraId="1885AA2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(7)</w:t>
            </w:r>
          </w:p>
        </w:tc>
        <w:tc>
          <w:tcPr>
            <w:tcW w:w="1097" w:type="dxa"/>
            <w:tcBorders>
              <w:bottom w:val="single" w:sz="6" w:space="0" w:color="auto"/>
            </w:tcBorders>
          </w:tcPr>
          <w:p w14:paraId="5ADCDB0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i/>
              </w:rPr>
              <w:t>6</w:t>
            </w:r>
          </w:p>
        </w:tc>
      </w:tr>
      <w:tr w:rsidR="004D42F9" w14:paraId="3CDDFAAB" w14:textId="77777777">
        <w:tc>
          <w:tcPr>
            <w:cnfStyle w:val="001000000000" w:firstRow="0" w:lastRow="0" w:firstColumn="1" w:lastColumn="0" w:oddVBand="0" w:evenVBand="0" w:oddHBand="0" w:evenHBand="0" w:firstRowFirstColumn="0" w:firstRowLastColumn="0" w:lastRowFirstColumn="0" w:lastRowLastColumn="0"/>
            <w:tcW w:w="5250" w:type="dxa"/>
            <w:tcBorders>
              <w:top w:val="single" w:sz="6" w:space="0" w:color="auto"/>
              <w:bottom w:val="single" w:sz="12" w:space="0" w:color="auto"/>
            </w:tcBorders>
          </w:tcPr>
          <w:p w14:paraId="262F77B6" w14:textId="77777777" w:rsidR="004D42F9" w:rsidRDefault="004D42F9">
            <w:r>
              <w:rPr>
                <w:b/>
              </w:rPr>
              <w:t>Grand total</w:t>
            </w:r>
          </w:p>
        </w:tc>
        <w:tc>
          <w:tcPr>
            <w:tcW w:w="1097" w:type="dxa"/>
            <w:tcBorders>
              <w:top w:val="single" w:sz="6" w:space="0" w:color="auto"/>
              <w:bottom w:val="single" w:sz="12" w:space="0" w:color="auto"/>
            </w:tcBorders>
          </w:tcPr>
          <w:p w14:paraId="0610519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104 006</w:t>
            </w:r>
          </w:p>
        </w:tc>
        <w:tc>
          <w:tcPr>
            <w:tcW w:w="1097" w:type="dxa"/>
            <w:tcBorders>
              <w:top w:val="single" w:sz="6" w:space="0" w:color="auto"/>
              <w:bottom w:val="single" w:sz="12" w:space="0" w:color="auto"/>
            </w:tcBorders>
          </w:tcPr>
          <w:p w14:paraId="3B16EAD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97 279</w:t>
            </w:r>
          </w:p>
        </w:tc>
        <w:tc>
          <w:tcPr>
            <w:tcW w:w="1097" w:type="dxa"/>
            <w:tcBorders>
              <w:top w:val="single" w:sz="6" w:space="0" w:color="auto"/>
              <w:bottom w:val="single" w:sz="12" w:space="0" w:color="auto"/>
            </w:tcBorders>
          </w:tcPr>
          <w:p w14:paraId="793C23E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16 220</w:t>
            </w:r>
          </w:p>
        </w:tc>
        <w:tc>
          <w:tcPr>
            <w:tcW w:w="1097" w:type="dxa"/>
            <w:tcBorders>
              <w:top w:val="single" w:sz="6" w:space="0" w:color="auto"/>
              <w:bottom w:val="single" w:sz="12" w:space="0" w:color="auto"/>
            </w:tcBorders>
          </w:tcPr>
          <w:p w14:paraId="133A410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17 375</w:t>
            </w:r>
          </w:p>
        </w:tc>
      </w:tr>
    </w:tbl>
    <w:p w14:paraId="2AE64A63" w14:textId="77777777" w:rsidR="004D42F9" w:rsidRDefault="004D42F9" w:rsidP="004D42F9">
      <w:pPr>
        <w:pStyle w:val="Note"/>
        <w:ind w:left="0" w:firstLine="0"/>
      </w:pPr>
      <w:r>
        <w:t>Notes:</w:t>
      </w:r>
    </w:p>
    <w:p w14:paraId="5FC090C1" w14:textId="77777777" w:rsidR="004D42F9" w:rsidRDefault="004D42F9" w:rsidP="004D42F9">
      <w:pPr>
        <w:pStyle w:val="Note"/>
        <w:ind w:left="0" w:firstLine="0"/>
      </w:pPr>
      <w:r>
        <w:t>(a)</w:t>
      </w:r>
      <w:r>
        <w:tab/>
        <w:t xml:space="preserve">Other general government sector agencies not allocated to </w:t>
      </w:r>
      <w:r w:rsidRPr="008A17BB">
        <w:t>departments</w:t>
      </w:r>
      <w:r>
        <w:t>.</w:t>
      </w:r>
    </w:p>
    <w:p w14:paraId="797E1F51" w14:textId="77777777" w:rsidR="004D42F9" w:rsidRDefault="004D42F9" w:rsidP="004D42F9">
      <w:pPr>
        <w:pStyle w:val="Note"/>
      </w:pPr>
      <w:r>
        <w:t>(b)</w:t>
      </w:r>
      <w:r>
        <w:tab/>
        <w:t>Mainly comprising payroll tax (including the COVID Debt Levy – Payroll $10m+), the M</w:t>
      </w:r>
      <w:r w:rsidRPr="00806DB9">
        <w:t xml:space="preserve">ental </w:t>
      </w:r>
      <w:r>
        <w:t>H</w:t>
      </w:r>
      <w:r w:rsidRPr="00806DB9">
        <w:t>ealth</w:t>
      </w:r>
      <w:r>
        <w:t xml:space="preserve"> and W</w:t>
      </w:r>
      <w:r w:rsidRPr="00806DB9">
        <w:t xml:space="preserve">ellbeing </w:t>
      </w:r>
      <w:r>
        <w:t>L</w:t>
      </w:r>
      <w:r w:rsidRPr="00806DB9">
        <w:t>evy</w:t>
      </w:r>
      <w:r>
        <w:t xml:space="preserve"> and </w:t>
      </w:r>
      <w:r w:rsidRPr="00806DB9">
        <w:t>interdepartmental</w:t>
      </w:r>
      <w:r>
        <w:t xml:space="preserve"> transfers.</w:t>
      </w:r>
    </w:p>
    <w:p w14:paraId="76845325" w14:textId="77777777" w:rsidR="004D42F9" w:rsidRDefault="004D42F9" w:rsidP="004D42F9">
      <w:pPr>
        <w:pStyle w:val="Note"/>
      </w:pPr>
    </w:p>
    <w:p w14:paraId="4D76A1DC" w14:textId="77777777" w:rsidR="004D42F9" w:rsidRDefault="004D42F9" w:rsidP="004D42F9">
      <w:pPr>
        <w:pStyle w:val="Note"/>
      </w:pPr>
    </w:p>
    <w:p w14:paraId="5B2C52A8" w14:textId="77777777" w:rsidR="004D42F9" w:rsidRDefault="004D42F9" w:rsidP="004D42F9"/>
    <w:p w14:paraId="4E6BD9C9" w14:textId="77777777" w:rsidR="004D42F9" w:rsidRDefault="004D42F9" w:rsidP="004D42F9">
      <w:pPr>
        <w:keepLines w:val="0"/>
        <w:rPr>
          <w:rFonts w:asciiTheme="majorHAnsi" w:eastAsiaTheme="majorEastAsia" w:hAnsiTheme="majorHAnsi" w:cstheme="majorBidi"/>
          <w:b/>
          <w:sz w:val="27"/>
          <w:szCs w:val="26"/>
        </w:rPr>
      </w:pPr>
      <w:r>
        <w:br w:type="page"/>
      </w:r>
    </w:p>
    <w:p w14:paraId="1A8EDD4C" w14:textId="77777777" w:rsidR="004D42F9" w:rsidRDefault="004D42F9" w:rsidP="004D42F9">
      <w:pPr>
        <w:pStyle w:val="Heading2"/>
      </w:pPr>
      <w:bookmarkStart w:id="83" w:name="_Toc209476191"/>
      <w:r>
        <w:lastRenderedPageBreak/>
        <w:t>3.9</w:t>
      </w:r>
      <w:r>
        <w:tab/>
        <w:t>Classification of the functions of government disclosure</w:t>
      </w:r>
      <w:bookmarkEnd w:id="83"/>
    </w:p>
    <w:p w14:paraId="3FA8C4DA" w14:textId="77777777" w:rsidR="00D41447" w:rsidRDefault="00D41447" w:rsidP="004D42F9">
      <w:pPr>
        <w:sectPr w:rsidR="00D41447" w:rsidSect="004D42F9">
          <w:type w:val="continuous"/>
          <w:pgSz w:w="11906" w:h="16838" w:code="9"/>
          <w:pgMar w:top="1134" w:right="1134" w:bottom="1134" w:left="1134" w:header="624" w:footer="567" w:gutter="0"/>
          <w:cols w:space="708"/>
          <w:docGrid w:linePitch="360"/>
        </w:sectPr>
      </w:pPr>
    </w:p>
    <w:p w14:paraId="75CC67F3" w14:textId="77777777" w:rsidR="004D42F9" w:rsidRDefault="004D42F9" w:rsidP="004D42F9">
      <w:r>
        <w:t xml:space="preserve">The classification of the functions of government (COFOG) framework disclosures required under AASB 1049 </w:t>
      </w:r>
      <w:r w:rsidRPr="005B6670">
        <w:rPr>
          <w:i/>
        </w:rPr>
        <w:t>Whole of Government and General Government Sector Financial Reporting</w:t>
      </w:r>
      <w:r>
        <w:t xml:space="preserve"> classify expenses, acquisition of non-financial assets and total assets in terms of their purposes. This information is presented to facilitate improved inter</w:t>
      </w:r>
      <w:r>
        <w:noBreakHyphen/>
        <w:t xml:space="preserve">jurisdictional comparison of the financial operations of public sector jurisdictions. </w:t>
      </w:r>
    </w:p>
    <w:p w14:paraId="0F87AABF" w14:textId="1C3F4C93" w:rsidR="004D42F9" w:rsidRDefault="004D42F9" w:rsidP="004D42F9">
      <w:r>
        <w:t xml:space="preserve">The major COFOG groups reflect the broad objectives of government, and the groups and subgroups detail the means by which these broad objectives are achieved. </w:t>
      </w:r>
      <w:r w:rsidR="00D41447">
        <w:br w:type="column"/>
      </w:r>
    </w:p>
    <w:p w14:paraId="4894A7E0" w14:textId="77777777" w:rsidR="00D41447" w:rsidRDefault="00D41447" w:rsidP="004D42F9">
      <w:pPr>
        <w:pStyle w:val="ListBullet"/>
        <w:keepLines/>
        <w:numPr>
          <w:ilvl w:val="0"/>
          <w:numId w:val="27"/>
        </w:numPr>
        <w:rPr>
          <w:b/>
          <w:bCs/>
        </w:rPr>
        <w:sectPr w:rsidR="00D41447" w:rsidSect="00D41447">
          <w:type w:val="continuous"/>
          <w:pgSz w:w="11906" w:h="16838" w:code="9"/>
          <w:pgMar w:top="1134" w:right="1134" w:bottom="1134" w:left="1134" w:header="624" w:footer="567" w:gutter="0"/>
          <w:cols w:num="2" w:space="708"/>
          <w:docGrid w:linePitch="360"/>
        </w:sectPr>
      </w:pPr>
    </w:p>
    <w:p w14:paraId="3190F700" w14:textId="6D9B5243" w:rsidR="00D41447" w:rsidRDefault="00D41447" w:rsidP="00D41447">
      <w:pPr>
        <w:spacing w:before="180"/>
      </w:pPr>
      <w:r>
        <w:t xml:space="preserve">The </w:t>
      </w:r>
      <w:r w:rsidRPr="00D41447">
        <w:t>major</w:t>
      </w:r>
      <w:r>
        <w:t xml:space="preserve"> </w:t>
      </w:r>
      <w:r w:rsidRPr="00D41447">
        <w:t>groups</w:t>
      </w:r>
      <w:r>
        <w:t xml:space="preserve"> are:</w:t>
      </w:r>
    </w:p>
    <w:p w14:paraId="62AE1130" w14:textId="27A2F4AA" w:rsidR="004D42F9" w:rsidRDefault="004D42F9" w:rsidP="004D42F9">
      <w:pPr>
        <w:pStyle w:val="ListBullet"/>
        <w:keepLines/>
        <w:numPr>
          <w:ilvl w:val="0"/>
          <w:numId w:val="27"/>
        </w:numPr>
      </w:pPr>
      <w:r w:rsidRPr="00E92FAA">
        <w:rPr>
          <w:b/>
          <w:bCs/>
        </w:rPr>
        <w:t>General public services</w:t>
      </w:r>
      <w:r>
        <w:t>: includes legislative and executive organs, financial and fiscal affairs, external affairs, foreign economic aid, general services, basic research, research and development – general public services, public debt transactions.</w:t>
      </w:r>
    </w:p>
    <w:p w14:paraId="4AD65A4B" w14:textId="77777777" w:rsidR="004D42F9" w:rsidRDefault="004D42F9" w:rsidP="004D42F9">
      <w:pPr>
        <w:pStyle w:val="ListBullet"/>
        <w:keepLines/>
        <w:numPr>
          <w:ilvl w:val="0"/>
          <w:numId w:val="27"/>
        </w:numPr>
      </w:pPr>
      <w:r w:rsidRPr="00E92FAA">
        <w:rPr>
          <w:b/>
          <w:bCs/>
        </w:rPr>
        <w:t>Public order and safety</w:t>
      </w:r>
      <w:r>
        <w:t>: includes police services, civil and fire protection services, law courts, prisons, research and development.</w:t>
      </w:r>
    </w:p>
    <w:p w14:paraId="1C52D2C1" w14:textId="77777777" w:rsidR="004D42F9" w:rsidRDefault="004D42F9" w:rsidP="004D42F9">
      <w:pPr>
        <w:pStyle w:val="ListBullet"/>
        <w:keepLines/>
        <w:numPr>
          <w:ilvl w:val="0"/>
          <w:numId w:val="27"/>
        </w:numPr>
      </w:pPr>
      <w:r w:rsidRPr="00E92FAA">
        <w:rPr>
          <w:b/>
          <w:bCs/>
        </w:rPr>
        <w:t>Economic affairs</w:t>
      </w:r>
      <w:r>
        <w:t>: includes general economic, commercial and labour affairs, agriculture, forestry, fishing and hunting, fuel and energy, mining, manufacturing, and construction, communication, other industries, research and development.</w:t>
      </w:r>
    </w:p>
    <w:p w14:paraId="306BF1FB" w14:textId="77777777" w:rsidR="004D42F9" w:rsidRDefault="004D42F9" w:rsidP="004D42F9">
      <w:pPr>
        <w:pStyle w:val="ListBullet"/>
        <w:keepLines/>
        <w:numPr>
          <w:ilvl w:val="0"/>
          <w:numId w:val="27"/>
        </w:numPr>
      </w:pPr>
      <w:r w:rsidRPr="00E92FAA">
        <w:rPr>
          <w:b/>
          <w:bCs/>
        </w:rPr>
        <w:t>Environmental protection</w:t>
      </w:r>
      <w:r>
        <w:t>: includes waste management, wastewater management, pollution abatement, protection of biodiversity and landscape, research and development.</w:t>
      </w:r>
    </w:p>
    <w:p w14:paraId="382F090B" w14:textId="77777777" w:rsidR="004D42F9" w:rsidRDefault="004D42F9" w:rsidP="004D42F9">
      <w:pPr>
        <w:pStyle w:val="ListBullet"/>
        <w:keepLines/>
        <w:numPr>
          <w:ilvl w:val="0"/>
          <w:numId w:val="27"/>
        </w:numPr>
      </w:pPr>
      <w:r w:rsidRPr="00E92FAA">
        <w:rPr>
          <w:b/>
          <w:bCs/>
        </w:rPr>
        <w:t>Housing and community amenities</w:t>
      </w:r>
      <w:r>
        <w:t>: includes housing and community development, water supply, street lighting, research and development.</w:t>
      </w:r>
    </w:p>
    <w:p w14:paraId="0D6699E1" w14:textId="77777777" w:rsidR="00D41447" w:rsidRPr="00D41447" w:rsidRDefault="00D41447" w:rsidP="00D41447">
      <w:pPr>
        <w:spacing w:before="180"/>
      </w:pPr>
    </w:p>
    <w:p w14:paraId="7F7AC32F" w14:textId="21607B4A" w:rsidR="004D42F9" w:rsidRDefault="004D42F9" w:rsidP="004D42F9">
      <w:pPr>
        <w:pStyle w:val="ListBullet"/>
        <w:keepLines/>
        <w:numPr>
          <w:ilvl w:val="0"/>
          <w:numId w:val="27"/>
        </w:numPr>
      </w:pPr>
      <w:r w:rsidRPr="00E92FAA">
        <w:rPr>
          <w:b/>
          <w:bCs/>
        </w:rPr>
        <w:t>Health</w:t>
      </w:r>
      <w:r>
        <w:t>: includes medical products, appliances, and equipment, outpatient services, hospital services, mental health institutions, community health services, public health services, research and development.</w:t>
      </w:r>
    </w:p>
    <w:p w14:paraId="239EDA43" w14:textId="77777777" w:rsidR="004D42F9" w:rsidRDefault="004D42F9" w:rsidP="004D42F9">
      <w:pPr>
        <w:pStyle w:val="ListBullet"/>
        <w:keepLines/>
        <w:numPr>
          <w:ilvl w:val="0"/>
          <w:numId w:val="27"/>
        </w:numPr>
      </w:pPr>
      <w:r w:rsidRPr="00E92FAA">
        <w:rPr>
          <w:b/>
          <w:bCs/>
        </w:rPr>
        <w:t>Recreation, culture and religion</w:t>
      </w:r>
      <w:r>
        <w:t>: includes recreational and sporting services, cultural services, broadcasting and publishing services, religious and other community services, research and development.</w:t>
      </w:r>
    </w:p>
    <w:p w14:paraId="2027FD4E" w14:textId="77777777" w:rsidR="004D42F9" w:rsidRDefault="004D42F9" w:rsidP="004D42F9">
      <w:pPr>
        <w:pStyle w:val="ListBullet"/>
        <w:keepLines/>
        <w:numPr>
          <w:ilvl w:val="0"/>
          <w:numId w:val="27"/>
        </w:numPr>
      </w:pPr>
      <w:r w:rsidRPr="00E92FAA">
        <w:rPr>
          <w:b/>
          <w:bCs/>
        </w:rPr>
        <w:t>Education</w:t>
      </w:r>
      <w:r>
        <w:t>: includes pre-primary and primary education, secondary education, tertiary education, education not defined by level, subsidiary services to education, research and development.</w:t>
      </w:r>
    </w:p>
    <w:p w14:paraId="392D5F52" w14:textId="77777777" w:rsidR="004D42F9" w:rsidRDefault="004D42F9" w:rsidP="004D42F9">
      <w:pPr>
        <w:pStyle w:val="ListBullet"/>
        <w:keepLines/>
        <w:numPr>
          <w:ilvl w:val="0"/>
          <w:numId w:val="27"/>
        </w:numPr>
      </w:pPr>
      <w:r w:rsidRPr="00E92FAA">
        <w:rPr>
          <w:b/>
          <w:bCs/>
        </w:rPr>
        <w:t>Social protection</w:t>
      </w:r>
      <w:r>
        <w:t>: includes sickness and disability, old age, survivors, family and children, unemployment, housing, social exclusion, research and development.</w:t>
      </w:r>
    </w:p>
    <w:p w14:paraId="1CAE994B" w14:textId="77777777" w:rsidR="004D42F9" w:rsidRDefault="004D42F9" w:rsidP="004D42F9">
      <w:pPr>
        <w:pStyle w:val="ListBullet"/>
        <w:keepLines/>
        <w:numPr>
          <w:ilvl w:val="0"/>
          <w:numId w:val="27"/>
        </w:numPr>
      </w:pPr>
      <w:r w:rsidRPr="00E92FAA">
        <w:rPr>
          <w:b/>
          <w:bCs/>
        </w:rPr>
        <w:t>Transport</w:t>
      </w:r>
      <w:r>
        <w:t>: includes road transport, bus transport, water transport, railway transport, air transport, multi-mode urban transport, pipeline and other transport, research and development.</w:t>
      </w:r>
    </w:p>
    <w:p w14:paraId="4036CAD5" w14:textId="77777777" w:rsidR="00D41447" w:rsidRDefault="00D41447" w:rsidP="004D42F9">
      <w:pPr>
        <w:sectPr w:rsidR="00D41447" w:rsidSect="00D41447">
          <w:type w:val="continuous"/>
          <w:pgSz w:w="11906" w:h="16838" w:code="9"/>
          <w:pgMar w:top="1134" w:right="1134" w:bottom="1134" w:left="1134" w:header="624" w:footer="567" w:gutter="0"/>
          <w:cols w:num="2" w:space="708"/>
          <w:docGrid w:linePitch="360"/>
        </w:sectPr>
      </w:pPr>
    </w:p>
    <w:p w14:paraId="713B972D" w14:textId="77777777" w:rsidR="004D42F9" w:rsidRDefault="004D42F9" w:rsidP="004D42F9"/>
    <w:p w14:paraId="16239DC0" w14:textId="77777777" w:rsidR="004D42F9" w:rsidRDefault="004D42F9" w:rsidP="004D42F9"/>
    <w:p w14:paraId="6F6780B9" w14:textId="77777777" w:rsidR="004D42F9" w:rsidRDefault="004D42F9" w:rsidP="004D42F9"/>
    <w:p w14:paraId="70C23F53" w14:textId="77777777" w:rsidR="004D42F9" w:rsidRDefault="004D42F9" w:rsidP="004D42F9"/>
    <w:p w14:paraId="670458BF" w14:textId="77777777" w:rsidR="004D42F9" w:rsidRDefault="004D42F9" w:rsidP="004D42F9">
      <w:pPr>
        <w:pStyle w:val="Heading3"/>
        <w:pageBreakBefore/>
        <w:ind w:left="0" w:firstLine="0"/>
      </w:pPr>
      <w:r>
        <w:lastRenderedPageBreak/>
        <w:t>Total operating expenses, purchases of non</w:t>
      </w:r>
      <w:r>
        <w:noBreakHyphen/>
        <w:t xml:space="preserve">financial assets and total assets by classification of the functions of government </w:t>
      </w:r>
    </w:p>
    <w:p w14:paraId="3B1A2027" w14:textId="77777777" w:rsidR="00D41447" w:rsidRDefault="00D41447" w:rsidP="004D42F9">
      <w:pPr>
        <w:sectPr w:rsidR="00D41447" w:rsidSect="004D42F9">
          <w:type w:val="continuous"/>
          <w:pgSz w:w="11906" w:h="16838" w:code="9"/>
          <w:pgMar w:top="1134" w:right="1134" w:bottom="1134" w:left="1134" w:header="624" w:footer="567" w:gutter="0"/>
          <w:cols w:space="708"/>
          <w:docGrid w:linePitch="360"/>
        </w:sectPr>
      </w:pPr>
    </w:p>
    <w:p w14:paraId="2CCD927F" w14:textId="77777777" w:rsidR="004D42F9" w:rsidRDefault="004D42F9" w:rsidP="004D42F9">
      <w:r>
        <w:t>The following table presents the operating and capital expenditure and total assets held by classification of the functions of government.</w:t>
      </w:r>
    </w:p>
    <w:p w14:paraId="74503C93" w14:textId="77777777" w:rsidR="00D41447" w:rsidRDefault="00D41447" w:rsidP="004D42F9">
      <w:pPr>
        <w:pStyle w:val="TableHeading"/>
        <w:sectPr w:rsidR="00D41447" w:rsidSect="00D41447">
          <w:type w:val="continuous"/>
          <w:pgSz w:w="11906" w:h="16838" w:code="9"/>
          <w:pgMar w:top="1134" w:right="1134" w:bottom="1134" w:left="1134" w:header="624" w:footer="567" w:gutter="0"/>
          <w:cols w:num="2" w:space="708"/>
          <w:docGrid w:linePitch="360"/>
        </w:sectPr>
      </w:pPr>
    </w:p>
    <w:p w14:paraId="6579D652"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FOG/Link_AFR_COFOG.xlsx|Table:COFOG_SoV"/>
      </w:tblPr>
      <w:tblGrid>
        <w:gridCol w:w="3850"/>
        <w:gridCol w:w="964"/>
        <w:gridCol w:w="965"/>
        <w:gridCol w:w="965"/>
        <w:gridCol w:w="964"/>
        <w:gridCol w:w="965"/>
        <w:gridCol w:w="965"/>
      </w:tblGrid>
      <w:tr w:rsidR="004D42F9" w14:paraId="7B045B5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0E1FECDF" w14:textId="77777777" w:rsidR="004D42F9" w:rsidRDefault="004D42F9">
            <w:pPr>
              <w:keepNext/>
            </w:pPr>
          </w:p>
        </w:tc>
        <w:tc>
          <w:tcPr>
            <w:tcW w:w="1929" w:type="dxa"/>
            <w:gridSpan w:val="2"/>
          </w:tcPr>
          <w:p w14:paraId="79CEDBC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929" w:type="dxa"/>
            <w:gridSpan w:val="2"/>
          </w:tcPr>
          <w:p w14:paraId="0FD19CE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Purchases of </w:t>
            </w:r>
            <w:r>
              <w:br/>
              <w:t>non</w:t>
            </w:r>
            <w:r>
              <w:noBreakHyphen/>
              <w:t>financial assets</w:t>
            </w:r>
          </w:p>
        </w:tc>
        <w:tc>
          <w:tcPr>
            <w:tcW w:w="1930" w:type="dxa"/>
            <w:gridSpan w:val="2"/>
          </w:tcPr>
          <w:p w14:paraId="777C6A3B"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Total assets</w:t>
            </w:r>
          </w:p>
        </w:tc>
      </w:tr>
      <w:tr w:rsidR="00991200" w14:paraId="6806AE3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0" w:type="dxa"/>
          </w:tcPr>
          <w:p w14:paraId="7131B10F" w14:textId="77777777" w:rsidR="004D42F9" w:rsidRDefault="004D42F9">
            <w:pPr>
              <w:keepNext/>
            </w:pPr>
            <w:r>
              <w:t>State of Victoria</w:t>
            </w:r>
          </w:p>
        </w:tc>
        <w:tc>
          <w:tcPr>
            <w:tcW w:w="964" w:type="dxa"/>
          </w:tcPr>
          <w:p w14:paraId="1A62882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65" w:type="dxa"/>
          </w:tcPr>
          <w:p w14:paraId="510E3C2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2A27556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64" w:type="dxa"/>
          </w:tcPr>
          <w:p w14:paraId="4205109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65" w:type="dxa"/>
          </w:tcPr>
          <w:p w14:paraId="575A2A1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65" w:type="dxa"/>
          </w:tcPr>
          <w:p w14:paraId="390DF89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79B4693" w14:textId="77777777">
        <w:tc>
          <w:tcPr>
            <w:cnfStyle w:val="001000000000" w:firstRow="0" w:lastRow="0" w:firstColumn="1" w:lastColumn="0" w:oddVBand="0" w:evenVBand="0" w:oddHBand="0" w:evenHBand="0" w:firstRowFirstColumn="0" w:firstRowLastColumn="0" w:lastRowFirstColumn="0" w:lastRowLastColumn="0"/>
            <w:tcW w:w="3850" w:type="dxa"/>
          </w:tcPr>
          <w:p w14:paraId="635578DF" w14:textId="77777777" w:rsidR="004D42F9" w:rsidRDefault="004D42F9">
            <w:r>
              <w:t>General public services</w:t>
            </w:r>
          </w:p>
        </w:tc>
        <w:tc>
          <w:tcPr>
            <w:tcW w:w="964" w:type="dxa"/>
          </w:tcPr>
          <w:p w14:paraId="610AF281" w14:textId="77777777" w:rsidR="004D42F9" w:rsidRDefault="004D42F9">
            <w:pPr>
              <w:cnfStyle w:val="000000000000" w:firstRow="0" w:lastRow="0" w:firstColumn="0" w:lastColumn="0" w:oddVBand="0" w:evenVBand="0" w:oddHBand="0" w:evenHBand="0" w:firstRowFirstColumn="0" w:firstRowLastColumn="0" w:lastRowFirstColumn="0" w:lastRowLastColumn="0"/>
            </w:pPr>
            <w:r>
              <w:t>23 289</w:t>
            </w:r>
          </w:p>
        </w:tc>
        <w:tc>
          <w:tcPr>
            <w:tcW w:w="965" w:type="dxa"/>
          </w:tcPr>
          <w:p w14:paraId="7C06237D" w14:textId="77777777" w:rsidR="004D42F9" w:rsidRDefault="004D42F9">
            <w:pPr>
              <w:cnfStyle w:val="000000000000" w:firstRow="0" w:lastRow="0" w:firstColumn="0" w:lastColumn="0" w:oddVBand="0" w:evenVBand="0" w:oddHBand="0" w:evenHBand="0" w:firstRowFirstColumn="0" w:firstRowLastColumn="0" w:lastRowFirstColumn="0" w:lastRowLastColumn="0"/>
            </w:pPr>
            <w:r>
              <w:t>20 953</w:t>
            </w:r>
          </w:p>
        </w:tc>
        <w:tc>
          <w:tcPr>
            <w:tcW w:w="965" w:type="dxa"/>
          </w:tcPr>
          <w:p w14:paraId="128C7071" w14:textId="77777777" w:rsidR="004D42F9" w:rsidRDefault="004D42F9">
            <w:pPr>
              <w:cnfStyle w:val="000000000000" w:firstRow="0" w:lastRow="0" w:firstColumn="0" w:lastColumn="0" w:oddVBand="0" w:evenVBand="0" w:oddHBand="0" w:evenHBand="0" w:firstRowFirstColumn="0" w:firstRowLastColumn="0" w:lastRowFirstColumn="0" w:lastRowLastColumn="0"/>
            </w:pPr>
            <w:r>
              <w:t>84</w:t>
            </w:r>
          </w:p>
        </w:tc>
        <w:tc>
          <w:tcPr>
            <w:tcW w:w="964" w:type="dxa"/>
          </w:tcPr>
          <w:p w14:paraId="30C2669C" w14:textId="77777777" w:rsidR="004D42F9" w:rsidRDefault="004D42F9">
            <w:pPr>
              <w:cnfStyle w:val="000000000000" w:firstRow="0" w:lastRow="0" w:firstColumn="0" w:lastColumn="0" w:oddVBand="0" w:evenVBand="0" w:oddHBand="0" w:evenHBand="0" w:firstRowFirstColumn="0" w:firstRowLastColumn="0" w:lastRowFirstColumn="0" w:lastRowLastColumn="0"/>
            </w:pPr>
            <w:r>
              <w:t>137</w:t>
            </w:r>
          </w:p>
        </w:tc>
        <w:tc>
          <w:tcPr>
            <w:tcW w:w="965" w:type="dxa"/>
          </w:tcPr>
          <w:p w14:paraId="2CE7340F" w14:textId="77777777" w:rsidR="004D42F9" w:rsidRDefault="004D42F9">
            <w:pPr>
              <w:cnfStyle w:val="000000000000" w:firstRow="0" w:lastRow="0" w:firstColumn="0" w:lastColumn="0" w:oddVBand="0" w:evenVBand="0" w:oddHBand="0" w:evenHBand="0" w:firstRowFirstColumn="0" w:firstRowLastColumn="0" w:lastRowFirstColumn="0" w:lastRowLastColumn="0"/>
            </w:pPr>
            <w:r>
              <w:t>6 214</w:t>
            </w:r>
          </w:p>
        </w:tc>
        <w:tc>
          <w:tcPr>
            <w:tcW w:w="965" w:type="dxa"/>
          </w:tcPr>
          <w:p w14:paraId="3CC4DE91" w14:textId="77777777" w:rsidR="004D42F9" w:rsidRDefault="004D42F9">
            <w:pPr>
              <w:cnfStyle w:val="000000000000" w:firstRow="0" w:lastRow="0" w:firstColumn="0" w:lastColumn="0" w:oddVBand="0" w:evenVBand="0" w:oddHBand="0" w:evenHBand="0" w:firstRowFirstColumn="0" w:firstRowLastColumn="0" w:lastRowFirstColumn="0" w:lastRowLastColumn="0"/>
            </w:pPr>
            <w:r>
              <w:t>7 010</w:t>
            </w:r>
          </w:p>
        </w:tc>
      </w:tr>
      <w:tr w:rsidR="004D42F9" w14:paraId="365A76E4" w14:textId="77777777">
        <w:tc>
          <w:tcPr>
            <w:cnfStyle w:val="001000000000" w:firstRow="0" w:lastRow="0" w:firstColumn="1" w:lastColumn="0" w:oddVBand="0" w:evenVBand="0" w:oddHBand="0" w:evenHBand="0" w:firstRowFirstColumn="0" w:firstRowLastColumn="0" w:lastRowFirstColumn="0" w:lastRowLastColumn="0"/>
            <w:tcW w:w="3850" w:type="dxa"/>
          </w:tcPr>
          <w:p w14:paraId="4AEF76CE" w14:textId="77777777" w:rsidR="004D42F9" w:rsidRDefault="004D42F9">
            <w:r>
              <w:t>Public order and safety</w:t>
            </w:r>
          </w:p>
        </w:tc>
        <w:tc>
          <w:tcPr>
            <w:tcW w:w="964" w:type="dxa"/>
          </w:tcPr>
          <w:p w14:paraId="5FAD8AE9" w14:textId="77777777" w:rsidR="004D42F9" w:rsidRDefault="004D42F9">
            <w:pPr>
              <w:cnfStyle w:val="000000000000" w:firstRow="0" w:lastRow="0" w:firstColumn="0" w:lastColumn="0" w:oddVBand="0" w:evenVBand="0" w:oddHBand="0" w:evenHBand="0" w:firstRowFirstColumn="0" w:firstRowLastColumn="0" w:lastRowFirstColumn="0" w:lastRowLastColumn="0"/>
            </w:pPr>
            <w:r>
              <w:t>11 957</w:t>
            </w:r>
          </w:p>
        </w:tc>
        <w:tc>
          <w:tcPr>
            <w:tcW w:w="965" w:type="dxa"/>
          </w:tcPr>
          <w:p w14:paraId="1FB6F0D3" w14:textId="77777777" w:rsidR="004D42F9" w:rsidRDefault="004D42F9">
            <w:pPr>
              <w:cnfStyle w:val="000000000000" w:firstRow="0" w:lastRow="0" w:firstColumn="0" w:lastColumn="0" w:oddVBand="0" w:evenVBand="0" w:oddHBand="0" w:evenHBand="0" w:firstRowFirstColumn="0" w:firstRowLastColumn="0" w:lastRowFirstColumn="0" w:lastRowLastColumn="0"/>
            </w:pPr>
            <w:r>
              <w:t>11 313</w:t>
            </w:r>
          </w:p>
        </w:tc>
        <w:tc>
          <w:tcPr>
            <w:tcW w:w="965" w:type="dxa"/>
          </w:tcPr>
          <w:p w14:paraId="4841A2DF" w14:textId="77777777" w:rsidR="004D42F9" w:rsidRDefault="004D42F9">
            <w:pPr>
              <w:cnfStyle w:val="000000000000" w:firstRow="0" w:lastRow="0" w:firstColumn="0" w:lastColumn="0" w:oddVBand="0" w:evenVBand="0" w:oddHBand="0" w:evenHBand="0" w:firstRowFirstColumn="0" w:firstRowLastColumn="0" w:lastRowFirstColumn="0" w:lastRowLastColumn="0"/>
            </w:pPr>
            <w:r>
              <w:t>929</w:t>
            </w:r>
          </w:p>
        </w:tc>
        <w:tc>
          <w:tcPr>
            <w:tcW w:w="964" w:type="dxa"/>
          </w:tcPr>
          <w:p w14:paraId="19122526" w14:textId="77777777" w:rsidR="004D42F9" w:rsidRDefault="004D42F9">
            <w:pPr>
              <w:cnfStyle w:val="000000000000" w:firstRow="0" w:lastRow="0" w:firstColumn="0" w:lastColumn="0" w:oddVBand="0" w:evenVBand="0" w:oddHBand="0" w:evenHBand="0" w:firstRowFirstColumn="0" w:firstRowLastColumn="0" w:lastRowFirstColumn="0" w:lastRowLastColumn="0"/>
            </w:pPr>
            <w:r>
              <w:t>888</w:t>
            </w:r>
          </w:p>
        </w:tc>
        <w:tc>
          <w:tcPr>
            <w:tcW w:w="965" w:type="dxa"/>
          </w:tcPr>
          <w:p w14:paraId="6827D800" w14:textId="77777777" w:rsidR="004D42F9" w:rsidRDefault="004D42F9">
            <w:pPr>
              <w:cnfStyle w:val="000000000000" w:firstRow="0" w:lastRow="0" w:firstColumn="0" w:lastColumn="0" w:oddVBand="0" w:evenVBand="0" w:oddHBand="0" w:evenHBand="0" w:firstRowFirstColumn="0" w:firstRowLastColumn="0" w:lastRowFirstColumn="0" w:lastRowLastColumn="0"/>
            </w:pPr>
            <w:r>
              <w:t>16 206</w:t>
            </w:r>
          </w:p>
        </w:tc>
        <w:tc>
          <w:tcPr>
            <w:tcW w:w="965" w:type="dxa"/>
          </w:tcPr>
          <w:p w14:paraId="5B9676DA" w14:textId="77777777" w:rsidR="004D42F9" w:rsidRDefault="004D42F9">
            <w:pPr>
              <w:cnfStyle w:val="000000000000" w:firstRow="0" w:lastRow="0" w:firstColumn="0" w:lastColumn="0" w:oddVBand="0" w:evenVBand="0" w:oddHBand="0" w:evenHBand="0" w:firstRowFirstColumn="0" w:firstRowLastColumn="0" w:lastRowFirstColumn="0" w:lastRowLastColumn="0"/>
            </w:pPr>
            <w:r>
              <w:t>16 158</w:t>
            </w:r>
          </w:p>
        </w:tc>
      </w:tr>
      <w:tr w:rsidR="004D42F9" w14:paraId="15F116F9" w14:textId="77777777">
        <w:tc>
          <w:tcPr>
            <w:cnfStyle w:val="001000000000" w:firstRow="0" w:lastRow="0" w:firstColumn="1" w:lastColumn="0" w:oddVBand="0" w:evenVBand="0" w:oddHBand="0" w:evenHBand="0" w:firstRowFirstColumn="0" w:firstRowLastColumn="0" w:lastRowFirstColumn="0" w:lastRowLastColumn="0"/>
            <w:tcW w:w="3850" w:type="dxa"/>
          </w:tcPr>
          <w:p w14:paraId="478FDFAB" w14:textId="77777777" w:rsidR="004D42F9" w:rsidRDefault="004D42F9">
            <w:r>
              <w:t>Economic affairs</w:t>
            </w:r>
          </w:p>
        </w:tc>
        <w:tc>
          <w:tcPr>
            <w:tcW w:w="964" w:type="dxa"/>
          </w:tcPr>
          <w:p w14:paraId="758490F7" w14:textId="77777777" w:rsidR="004D42F9" w:rsidRDefault="004D42F9">
            <w:pPr>
              <w:cnfStyle w:val="000000000000" w:firstRow="0" w:lastRow="0" w:firstColumn="0" w:lastColumn="0" w:oddVBand="0" w:evenVBand="0" w:oddHBand="0" w:evenHBand="0" w:firstRowFirstColumn="0" w:firstRowLastColumn="0" w:lastRowFirstColumn="0" w:lastRowLastColumn="0"/>
            </w:pPr>
            <w:r>
              <w:t>2 771</w:t>
            </w:r>
          </w:p>
        </w:tc>
        <w:tc>
          <w:tcPr>
            <w:tcW w:w="965" w:type="dxa"/>
          </w:tcPr>
          <w:p w14:paraId="79BA3881" w14:textId="77777777" w:rsidR="004D42F9" w:rsidRDefault="004D42F9">
            <w:pPr>
              <w:cnfStyle w:val="000000000000" w:firstRow="0" w:lastRow="0" w:firstColumn="0" w:lastColumn="0" w:oddVBand="0" w:evenVBand="0" w:oddHBand="0" w:evenHBand="0" w:firstRowFirstColumn="0" w:firstRowLastColumn="0" w:lastRowFirstColumn="0" w:lastRowLastColumn="0"/>
            </w:pPr>
            <w:r>
              <w:t>3 068</w:t>
            </w:r>
          </w:p>
        </w:tc>
        <w:tc>
          <w:tcPr>
            <w:tcW w:w="965" w:type="dxa"/>
          </w:tcPr>
          <w:p w14:paraId="7816B8E7" w14:textId="77777777" w:rsidR="004D42F9" w:rsidRDefault="004D42F9">
            <w:pPr>
              <w:cnfStyle w:val="000000000000" w:firstRow="0" w:lastRow="0" w:firstColumn="0" w:lastColumn="0" w:oddVBand="0" w:evenVBand="0" w:oddHBand="0" w:evenHBand="0" w:firstRowFirstColumn="0" w:firstRowLastColumn="0" w:lastRowFirstColumn="0" w:lastRowLastColumn="0"/>
            </w:pPr>
            <w:r>
              <w:t>359</w:t>
            </w:r>
          </w:p>
        </w:tc>
        <w:tc>
          <w:tcPr>
            <w:tcW w:w="964" w:type="dxa"/>
          </w:tcPr>
          <w:p w14:paraId="1AC0627E" w14:textId="77777777" w:rsidR="004D42F9" w:rsidRDefault="004D42F9">
            <w:pPr>
              <w:cnfStyle w:val="000000000000" w:firstRow="0" w:lastRow="0" w:firstColumn="0" w:lastColumn="0" w:oddVBand="0" w:evenVBand="0" w:oddHBand="0" w:evenHBand="0" w:firstRowFirstColumn="0" w:firstRowLastColumn="0" w:lastRowFirstColumn="0" w:lastRowLastColumn="0"/>
            </w:pPr>
            <w:r>
              <w:t>224</w:t>
            </w:r>
          </w:p>
        </w:tc>
        <w:tc>
          <w:tcPr>
            <w:tcW w:w="965" w:type="dxa"/>
          </w:tcPr>
          <w:p w14:paraId="618F36E4" w14:textId="77777777" w:rsidR="004D42F9" w:rsidRDefault="004D42F9">
            <w:pPr>
              <w:cnfStyle w:val="000000000000" w:firstRow="0" w:lastRow="0" w:firstColumn="0" w:lastColumn="0" w:oddVBand="0" w:evenVBand="0" w:oddHBand="0" w:evenHBand="0" w:firstRowFirstColumn="0" w:firstRowLastColumn="0" w:lastRowFirstColumn="0" w:lastRowLastColumn="0"/>
            </w:pPr>
            <w:r>
              <w:t>2 315</w:t>
            </w:r>
          </w:p>
        </w:tc>
        <w:tc>
          <w:tcPr>
            <w:tcW w:w="965" w:type="dxa"/>
          </w:tcPr>
          <w:p w14:paraId="4E39AEBB" w14:textId="77777777" w:rsidR="004D42F9" w:rsidRDefault="004D42F9">
            <w:pPr>
              <w:cnfStyle w:val="000000000000" w:firstRow="0" w:lastRow="0" w:firstColumn="0" w:lastColumn="0" w:oddVBand="0" w:evenVBand="0" w:oddHBand="0" w:evenHBand="0" w:firstRowFirstColumn="0" w:firstRowLastColumn="0" w:lastRowFirstColumn="0" w:lastRowLastColumn="0"/>
            </w:pPr>
            <w:r>
              <w:t>1 818</w:t>
            </w:r>
          </w:p>
        </w:tc>
      </w:tr>
      <w:tr w:rsidR="004D42F9" w14:paraId="36ACE2B7" w14:textId="77777777">
        <w:tc>
          <w:tcPr>
            <w:cnfStyle w:val="001000000000" w:firstRow="0" w:lastRow="0" w:firstColumn="1" w:lastColumn="0" w:oddVBand="0" w:evenVBand="0" w:oddHBand="0" w:evenHBand="0" w:firstRowFirstColumn="0" w:firstRowLastColumn="0" w:lastRowFirstColumn="0" w:lastRowLastColumn="0"/>
            <w:tcW w:w="3850" w:type="dxa"/>
          </w:tcPr>
          <w:p w14:paraId="5D0B1C88" w14:textId="77777777" w:rsidR="004D42F9" w:rsidRDefault="004D42F9">
            <w:r>
              <w:t>Environmental protection</w:t>
            </w:r>
          </w:p>
        </w:tc>
        <w:tc>
          <w:tcPr>
            <w:tcW w:w="964" w:type="dxa"/>
          </w:tcPr>
          <w:p w14:paraId="0E527197" w14:textId="77777777" w:rsidR="004D42F9" w:rsidRDefault="004D42F9">
            <w:pPr>
              <w:cnfStyle w:val="000000000000" w:firstRow="0" w:lastRow="0" w:firstColumn="0" w:lastColumn="0" w:oddVBand="0" w:evenVBand="0" w:oddHBand="0" w:evenHBand="0" w:firstRowFirstColumn="0" w:firstRowLastColumn="0" w:lastRowFirstColumn="0" w:lastRowLastColumn="0"/>
            </w:pPr>
            <w:r>
              <w:t>1 206</w:t>
            </w:r>
          </w:p>
        </w:tc>
        <w:tc>
          <w:tcPr>
            <w:tcW w:w="965" w:type="dxa"/>
          </w:tcPr>
          <w:p w14:paraId="0BDC5BB7" w14:textId="77777777" w:rsidR="004D42F9" w:rsidRDefault="004D42F9">
            <w:pPr>
              <w:cnfStyle w:val="000000000000" w:firstRow="0" w:lastRow="0" w:firstColumn="0" w:lastColumn="0" w:oddVBand="0" w:evenVBand="0" w:oddHBand="0" w:evenHBand="0" w:firstRowFirstColumn="0" w:firstRowLastColumn="0" w:lastRowFirstColumn="0" w:lastRowLastColumn="0"/>
            </w:pPr>
            <w:r>
              <w:t>1 076</w:t>
            </w:r>
          </w:p>
        </w:tc>
        <w:tc>
          <w:tcPr>
            <w:tcW w:w="965" w:type="dxa"/>
          </w:tcPr>
          <w:p w14:paraId="1FB73541" w14:textId="77777777" w:rsidR="004D42F9" w:rsidRDefault="004D42F9">
            <w:pPr>
              <w:cnfStyle w:val="000000000000" w:firstRow="0" w:lastRow="0" w:firstColumn="0" w:lastColumn="0" w:oddVBand="0" w:evenVBand="0" w:oddHBand="0" w:evenHBand="0" w:firstRowFirstColumn="0" w:firstRowLastColumn="0" w:lastRowFirstColumn="0" w:lastRowLastColumn="0"/>
            </w:pPr>
            <w:r>
              <w:t>167</w:t>
            </w:r>
          </w:p>
        </w:tc>
        <w:tc>
          <w:tcPr>
            <w:tcW w:w="964" w:type="dxa"/>
          </w:tcPr>
          <w:p w14:paraId="5282B3D0" w14:textId="77777777" w:rsidR="004D42F9" w:rsidRDefault="004D42F9">
            <w:pPr>
              <w:cnfStyle w:val="000000000000" w:firstRow="0" w:lastRow="0" w:firstColumn="0" w:lastColumn="0" w:oddVBand="0" w:evenVBand="0" w:oddHBand="0" w:evenHBand="0" w:firstRowFirstColumn="0" w:firstRowLastColumn="0" w:lastRowFirstColumn="0" w:lastRowLastColumn="0"/>
            </w:pPr>
            <w:r>
              <w:t>140</w:t>
            </w:r>
          </w:p>
        </w:tc>
        <w:tc>
          <w:tcPr>
            <w:tcW w:w="965" w:type="dxa"/>
          </w:tcPr>
          <w:p w14:paraId="7B390B0D" w14:textId="77777777" w:rsidR="004D42F9" w:rsidRDefault="004D42F9">
            <w:pPr>
              <w:cnfStyle w:val="000000000000" w:firstRow="0" w:lastRow="0" w:firstColumn="0" w:lastColumn="0" w:oddVBand="0" w:evenVBand="0" w:oddHBand="0" w:evenHBand="0" w:firstRowFirstColumn="0" w:firstRowLastColumn="0" w:lastRowFirstColumn="0" w:lastRowLastColumn="0"/>
            </w:pPr>
            <w:r>
              <w:t>16 815</w:t>
            </w:r>
          </w:p>
        </w:tc>
        <w:tc>
          <w:tcPr>
            <w:tcW w:w="965" w:type="dxa"/>
          </w:tcPr>
          <w:p w14:paraId="5669DF6B" w14:textId="77777777" w:rsidR="004D42F9" w:rsidRDefault="004D42F9">
            <w:pPr>
              <w:cnfStyle w:val="000000000000" w:firstRow="0" w:lastRow="0" w:firstColumn="0" w:lastColumn="0" w:oddVBand="0" w:evenVBand="0" w:oddHBand="0" w:evenHBand="0" w:firstRowFirstColumn="0" w:firstRowLastColumn="0" w:lastRowFirstColumn="0" w:lastRowLastColumn="0"/>
            </w:pPr>
            <w:r>
              <w:t>16 700</w:t>
            </w:r>
          </w:p>
        </w:tc>
      </w:tr>
      <w:tr w:rsidR="004D42F9" w14:paraId="26EA97A0" w14:textId="77777777">
        <w:tc>
          <w:tcPr>
            <w:cnfStyle w:val="001000000000" w:firstRow="0" w:lastRow="0" w:firstColumn="1" w:lastColumn="0" w:oddVBand="0" w:evenVBand="0" w:oddHBand="0" w:evenHBand="0" w:firstRowFirstColumn="0" w:firstRowLastColumn="0" w:lastRowFirstColumn="0" w:lastRowLastColumn="0"/>
            <w:tcW w:w="3850" w:type="dxa"/>
          </w:tcPr>
          <w:p w14:paraId="21824DF7" w14:textId="77777777" w:rsidR="004D42F9" w:rsidRDefault="004D42F9">
            <w:r>
              <w:t>Housing and community amenities</w:t>
            </w:r>
          </w:p>
        </w:tc>
        <w:tc>
          <w:tcPr>
            <w:tcW w:w="964" w:type="dxa"/>
          </w:tcPr>
          <w:p w14:paraId="1EF5BB26" w14:textId="77777777" w:rsidR="004D42F9" w:rsidRDefault="004D42F9">
            <w:pPr>
              <w:cnfStyle w:val="000000000000" w:firstRow="0" w:lastRow="0" w:firstColumn="0" w:lastColumn="0" w:oddVBand="0" w:evenVBand="0" w:oddHBand="0" w:evenHBand="0" w:firstRowFirstColumn="0" w:firstRowLastColumn="0" w:lastRowFirstColumn="0" w:lastRowLastColumn="0"/>
            </w:pPr>
            <w:r>
              <w:t>6 918</w:t>
            </w:r>
          </w:p>
        </w:tc>
        <w:tc>
          <w:tcPr>
            <w:tcW w:w="965" w:type="dxa"/>
          </w:tcPr>
          <w:p w14:paraId="5419600B" w14:textId="77777777" w:rsidR="004D42F9" w:rsidRDefault="004D42F9">
            <w:pPr>
              <w:cnfStyle w:val="000000000000" w:firstRow="0" w:lastRow="0" w:firstColumn="0" w:lastColumn="0" w:oddVBand="0" w:evenVBand="0" w:oddHBand="0" w:evenHBand="0" w:firstRowFirstColumn="0" w:firstRowLastColumn="0" w:lastRowFirstColumn="0" w:lastRowLastColumn="0"/>
            </w:pPr>
            <w:r>
              <w:t>6 566</w:t>
            </w:r>
          </w:p>
        </w:tc>
        <w:tc>
          <w:tcPr>
            <w:tcW w:w="965" w:type="dxa"/>
          </w:tcPr>
          <w:p w14:paraId="6C866B86" w14:textId="77777777" w:rsidR="004D42F9" w:rsidRDefault="004D42F9">
            <w:pPr>
              <w:cnfStyle w:val="000000000000" w:firstRow="0" w:lastRow="0" w:firstColumn="0" w:lastColumn="0" w:oddVBand="0" w:evenVBand="0" w:oddHBand="0" w:evenHBand="0" w:firstRowFirstColumn="0" w:firstRowLastColumn="0" w:lastRowFirstColumn="0" w:lastRowLastColumn="0"/>
            </w:pPr>
            <w:r>
              <w:t>2 638</w:t>
            </w:r>
          </w:p>
        </w:tc>
        <w:tc>
          <w:tcPr>
            <w:tcW w:w="964" w:type="dxa"/>
          </w:tcPr>
          <w:p w14:paraId="7BD7D23C" w14:textId="77777777" w:rsidR="004D42F9" w:rsidRDefault="004D42F9">
            <w:pPr>
              <w:cnfStyle w:val="000000000000" w:firstRow="0" w:lastRow="0" w:firstColumn="0" w:lastColumn="0" w:oddVBand="0" w:evenVBand="0" w:oddHBand="0" w:evenHBand="0" w:firstRowFirstColumn="0" w:firstRowLastColumn="0" w:lastRowFirstColumn="0" w:lastRowLastColumn="0"/>
            </w:pPr>
            <w:r>
              <w:t>2 688</w:t>
            </w:r>
          </w:p>
        </w:tc>
        <w:tc>
          <w:tcPr>
            <w:tcW w:w="965" w:type="dxa"/>
          </w:tcPr>
          <w:p w14:paraId="21A950FE" w14:textId="77777777" w:rsidR="004D42F9" w:rsidRDefault="004D42F9">
            <w:pPr>
              <w:cnfStyle w:val="000000000000" w:firstRow="0" w:lastRow="0" w:firstColumn="0" w:lastColumn="0" w:oddVBand="0" w:evenVBand="0" w:oddHBand="0" w:evenHBand="0" w:firstRowFirstColumn="0" w:firstRowLastColumn="0" w:lastRowFirstColumn="0" w:lastRowLastColumn="0"/>
            </w:pPr>
            <w:r>
              <w:t>67 072</w:t>
            </w:r>
          </w:p>
        </w:tc>
        <w:tc>
          <w:tcPr>
            <w:tcW w:w="965" w:type="dxa"/>
          </w:tcPr>
          <w:p w14:paraId="7794EA39" w14:textId="77777777" w:rsidR="004D42F9" w:rsidRDefault="004D42F9">
            <w:pPr>
              <w:cnfStyle w:val="000000000000" w:firstRow="0" w:lastRow="0" w:firstColumn="0" w:lastColumn="0" w:oddVBand="0" w:evenVBand="0" w:oddHBand="0" w:evenHBand="0" w:firstRowFirstColumn="0" w:firstRowLastColumn="0" w:lastRowFirstColumn="0" w:lastRowLastColumn="0"/>
            </w:pPr>
            <w:r>
              <w:t>64 682</w:t>
            </w:r>
          </w:p>
        </w:tc>
      </w:tr>
      <w:tr w:rsidR="004D42F9" w14:paraId="3476B1E5" w14:textId="77777777">
        <w:tc>
          <w:tcPr>
            <w:cnfStyle w:val="001000000000" w:firstRow="0" w:lastRow="0" w:firstColumn="1" w:lastColumn="0" w:oddVBand="0" w:evenVBand="0" w:oddHBand="0" w:evenHBand="0" w:firstRowFirstColumn="0" w:firstRowLastColumn="0" w:lastRowFirstColumn="0" w:lastRowLastColumn="0"/>
            <w:tcW w:w="3850" w:type="dxa"/>
          </w:tcPr>
          <w:p w14:paraId="10C7A5FA" w14:textId="77777777" w:rsidR="004D42F9" w:rsidRDefault="004D42F9">
            <w:r>
              <w:t>Health</w:t>
            </w:r>
          </w:p>
        </w:tc>
        <w:tc>
          <w:tcPr>
            <w:tcW w:w="964" w:type="dxa"/>
          </w:tcPr>
          <w:p w14:paraId="56371AEC" w14:textId="77777777" w:rsidR="004D42F9" w:rsidRDefault="004D42F9">
            <w:pPr>
              <w:cnfStyle w:val="000000000000" w:firstRow="0" w:lastRow="0" w:firstColumn="0" w:lastColumn="0" w:oddVBand="0" w:evenVBand="0" w:oddHBand="0" w:evenHBand="0" w:firstRowFirstColumn="0" w:firstRowLastColumn="0" w:lastRowFirstColumn="0" w:lastRowLastColumn="0"/>
            </w:pPr>
            <w:r>
              <w:t>31 546</w:t>
            </w:r>
          </w:p>
        </w:tc>
        <w:tc>
          <w:tcPr>
            <w:tcW w:w="965" w:type="dxa"/>
          </w:tcPr>
          <w:p w14:paraId="1B10A4EE" w14:textId="77777777" w:rsidR="004D42F9" w:rsidRDefault="004D42F9">
            <w:pPr>
              <w:cnfStyle w:val="000000000000" w:firstRow="0" w:lastRow="0" w:firstColumn="0" w:lastColumn="0" w:oddVBand="0" w:evenVBand="0" w:oddHBand="0" w:evenHBand="0" w:firstRowFirstColumn="0" w:firstRowLastColumn="0" w:lastRowFirstColumn="0" w:lastRowLastColumn="0"/>
            </w:pPr>
            <w:r>
              <w:t>29 431</w:t>
            </w:r>
          </w:p>
        </w:tc>
        <w:tc>
          <w:tcPr>
            <w:tcW w:w="965" w:type="dxa"/>
          </w:tcPr>
          <w:p w14:paraId="68940617" w14:textId="77777777" w:rsidR="004D42F9" w:rsidRDefault="004D42F9">
            <w:pPr>
              <w:cnfStyle w:val="000000000000" w:firstRow="0" w:lastRow="0" w:firstColumn="0" w:lastColumn="0" w:oddVBand="0" w:evenVBand="0" w:oddHBand="0" w:evenHBand="0" w:firstRowFirstColumn="0" w:firstRowLastColumn="0" w:lastRowFirstColumn="0" w:lastRowLastColumn="0"/>
            </w:pPr>
            <w:r>
              <w:t>1 915</w:t>
            </w:r>
          </w:p>
        </w:tc>
        <w:tc>
          <w:tcPr>
            <w:tcW w:w="964" w:type="dxa"/>
          </w:tcPr>
          <w:p w14:paraId="11BA9313" w14:textId="77777777" w:rsidR="004D42F9" w:rsidRDefault="004D42F9">
            <w:pPr>
              <w:cnfStyle w:val="000000000000" w:firstRow="0" w:lastRow="0" w:firstColumn="0" w:lastColumn="0" w:oddVBand="0" w:evenVBand="0" w:oddHBand="0" w:evenHBand="0" w:firstRowFirstColumn="0" w:firstRowLastColumn="0" w:lastRowFirstColumn="0" w:lastRowLastColumn="0"/>
            </w:pPr>
            <w:r>
              <w:t>1 607</w:t>
            </w:r>
          </w:p>
        </w:tc>
        <w:tc>
          <w:tcPr>
            <w:tcW w:w="965" w:type="dxa"/>
          </w:tcPr>
          <w:p w14:paraId="3DA8F6E6" w14:textId="77777777" w:rsidR="004D42F9" w:rsidRDefault="004D42F9">
            <w:pPr>
              <w:cnfStyle w:val="000000000000" w:firstRow="0" w:lastRow="0" w:firstColumn="0" w:lastColumn="0" w:oddVBand="0" w:evenVBand="0" w:oddHBand="0" w:evenHBand="0" w:firstRowFirstColumn="0" w:firstRowLastColumn="0" w:lastRowFirstColumn="0" w:lastRowLastColumn="0"/>
            </w:pPr>
            <w:r>
              <w:t>33 249</w:t>
            </w:r>
          </w:p>
        </w:tc>
        <w:tc>
          <w:tcPr>
            <w:tcW w:w="965" w:type="dxa"/>
          </w:tcPr>
          <w:p w14:paraId="1614BBD6" w14:textId="77777777" w:rsidR="004D42F9" w:rsidRDefault="004D42F9">
            <w:pPr>
              <w:cnfStyle w:val="000000000000" w:firstRow="0" w:lastRow="0" w:firstColumn="0" w:lastColumn="0" w:oddVBand="0" w:evenVBand="0" w:oddHBand="0" w:evenHBand="0" w:firstRowFirstColumn="0" w:firstRowLastColumn="0" w:lastRowFirstColumn="0" w:lastRowLastColumn="0"/>
            </w:pPr>
            <w:r>
              <w:t>31 928</w:t>
            </w:r>
          </w:p>
        </w:tc>
      </w:tr>
      <w:tr w:rsidR="004D42F9" w14:paraId="10F987EA" w14:textId="77777777">
        <w:tc>
          <w:tcPr>
            <w:cnfStyle w:val="001000000000" w:firstRow="0" w:lastRow="0" w:firstColumn="1" w:lastColumn="0" w:oddVBand="0" w:evenVBand="0" w:oddHBand="0" w:evenHBand="0" w:firstRowFirstColumn="0" w:firstRowLastColumn="0" w:lastRowFirstColumn="0" w:lastRowLastColumn="0"/>
            <w:tcW w:w="3850" w:type="dxa"/>
          </w:tcPr>
          <w:p w14:paraId="48937E06" w14:textId="77777777" w:rsidR="004D42F9" w:rsidRDefault="004D42F9">
            <w:r>
              <w:t>Recreation, culture and religion</w:t>
            </w:r>
          </w:p>
        </w:tc>
        <w:tc>
          <w:tcPr>
            <w:tcW w:w="964" w:type="dxa"/>
          </w:tcPr>
          <w:p w14:paraId="5D56923B" w14:textId="77777777" w:rsidR="004D42F9" w:rsidRDefault="004D42F9">
            <w:pPr>
              <w:cnfStyle w:val="000000000000" w:firstRow="0" w:lastRow="0" w:firstColumn="0" w:lastColumn="0" w:oddVBand="0" w:evenVBand="0" w:oddHBand="0" w:evenHBand="0" w:firstRowFirstColumn="0" w:firstRowLastColumn="0" w:lastRowFirstColumn="0" w:lastRowLastColumn="0"/>
            </w:pPr>
            <w:r>
              <w:t>2 467</w:t>
            </w:r>
          </w:p>
        </w:tc>
        <w:tc>
          <w:tcPr>
            <w:tcW w:w="965" w:type="dxa"/>
          </w:tcPr>
          <w:p w14:paraId="5D34CA68" w14:textId="77777777" w:rsidR="004D42F9" w:rsidRDefault="004D42F9">
            <w:pPr>
              <w:cnfStyle w:val="000000000000" w:firstRow="0" w:lastRow="0" w:firstColumn="0" w:lastColumn="0" w:oddVBand="0" w:evenVBand="0" w:oddHBand="0" w:evenHBand="0" w:firstRowFirstColumn="0" w:firstRowLastColumn="0" w:lastRowFirstColumn="0" w:lastRowLastColumn="0"/>
            </w:pPr>
            <w:r>
              <w:t>2 730</w:t>
            </w:r>
          </w:p>
        </w:tc>
        <w:tc>
          <w:tcPr>
            <w:tcW w:w="965" w:type="dxa"/>
          </w:tcPr>
          <w:p w14:paraId="4D45E3FA" w14:textId="77777777" w:rsidR="004D42F9" w:rsidRDefault="004D42F9">
            <w:pPr>
              <w:cnfStyle w:val="000000000000" w:firstRow="0" w:lastRow="0" w:firstColumn="0" w:lastColumn="0" w:oddVBand="0" w:evenVBand="0" w:oddHBand="0" w:evenHBand="0" w:firstRowFirstColumn="0" w:firstRowLastColumn="0" w:lastRowFirstColumn="0" w:lastRowLastColumn="0"/>
            </w:pPr>
            <w:r>
              <w:t>513</w:t>
            </w:r>
          </w:p>
        </w:tc>
        <w:tc>
          <w:tcPr>
            <w:tcW w:w="964" w:type="dxa"/>
          </w:tcPr>
          <w:p w14:paraId="0D47D2C1" w14:textId="77777777" w:rsidR="004D42F9" w:rsidRDefault="004D42F9">
            <w:pPr>
              <w:cnfStyle w:val="000000000000" w:firstRow="0" w:lastRow="0" w:firstColumn="0" w:lastColumn="0" w:oddVBand="0" w:evenVBand="0" w:oddHBand="0" w:evenHBand="0" w:firstRowFirstColumn="0" w:firstRowLastColumn="0" w:lastRowFirstColumn="0" w:lastRowLastColumn="0"/>
            </w:pPr>
            <w:r>
              <w:t>410</w:t>
            </w:r>
          </w:p>
        </w:tc>
        <w:tc>
          <w:tcPr>
            <w:tcW w:w="965" w:type="dxa"/>
          </w:tcPr>
          <w:p w14:paraId="176CDCEE" w14:textId="77777777" w:rsidR="004D42F9" w:rsidRDefault="004D42F9">
            <w:pPr>
              <w:cnfStyle w:val="000000000000" w:firstRow="0" w:lastRow="0" w:firstColumn="0" w:lastColumn="0" w:oddVBand="0" w:evenVBand="0" w:oddHBand="0" w:evenHBand="0" w:firstRowFirstColumn="0" w:firstRowLastColumn="0" w:lastRowFirstColumn="0" w:lastRowLastColumn="0"/>
            </w:pPr>
            <w:r>
              <w:t>17 874</w:t>
            </w:r>
          </w:p>
        </w:tc>
        <w:tc>
          <w:tcPr>
            <w:tcW w:w="965" w:type="dxa"/>
          </w:tcPr>
          <w:p w14:paraId="46644D62" w14:textId="77777777" w:rsidR="004D42F9" w:rsidRDefault="004D42F9">
            <w:pPr>
              <w:cnfStyle w:val="000000000000" w:firstRow="0" w:lastRow="0" w:firstColumn="0" w:lastColumn="0" w:oddVBand="0" w:evenVBand="0" w:oddHBand="0" w:evenHBand="0" w:firstRowFirstColumn="0" w:firstRowLastColumn="0" w:lastRowFirstColumn="0" w:lastRowLastColumn="0"/>
            </w:pPr>
            <w:r>
              <w:t>16 822</w:t>
            </w:r>
          </w:p>
        </w:tc>
      </w:tr>
      <w:tr w:rsidR="004D42F9" w14:paraId="1BCBACCF" w14:textId="77777777">
        <w:tc>
          <w:tcPr>
            <w:cnfStyle w:val="001000000000" w:firstRow="0" w:lastRow="0" w:firstColumn="1" w:lastColumn="0" w:oddVBand="0" w:evenVBand="0" w:oddHBand="0" w:evenHBand="0" w:firstRowFirstColumn="0" w:firstRowLastColumn="0" w:lastRowFirstColumn="0" w:lastRowLastColumn="0"/>
            <w:tcW w:w="3850" w:type="dxa"/>
          </w:tcPr>
          <w:p w14:paraId="4FDFD148" w14:textId="77777777" w:rsidR="004D42F9" w:rsidRDefault="004D42F9">
            <w:r>
              <w:t>Education</w:t>
            </w:r>
          </w:p>
        </w:tc>
        <w:tc>
          <w:tcPr>
            <w:tcW w:w="964" w:type="dxa"/>
          </w:tcPr>
          <w:p w14:paraId="586C969D" w14:textId="77777777" w:rsidR="004D42F9" w:rsidRDefault="004D42F9">
            <w:pPr>
              <w:cnfStyle w:val="000000000000" w:firstRow="0" w:lastRow="0" w:firstColumn="0" w:lastColumn="0" w:oddVBand="0" w:evenVBand="0" w:oddHBand="0" w:evenHBand="0" w:firstRowFirstColumn="0" w:firstRowLastColumn="0" w:lastRowFirstColumn="0" w:lastRowLastColumn="0"/>
            </w:pPr>
            <w:r>
              <w:t>23 964</w:t>
            </w:r>
          </w:p>
        </w:tc>
        <w:tc>
          <w:tcPr>
            <w:tcW w:w="965" w:type="dxa"/>
          </w:tcPr>
          <w:p w14:paraId="58DAEE9C" w14:textId="77777777" w:rsidR="004D42F9" w:rsidRDefault="004D42F9">
            <w:pPr>
              <w:cnfStyle w:val="000000000000" w:firstRow="0" w:lastRow="0" w:firstColumn="0" w:lastColumn="0" w:oddVBand="0" w:evenVBand="0" w:oddHBand="0" w:evenHBand="0" w:firstRowFirstColumn="0" w:firstRowLastColumn="0" w:lastRowFirstColumn="0" w:lastRowLastColumn="0"/>
            </w:pPr>
            <w:r>
              <w:t>22 453</w:t>
            </w:r>
          </w:p>
        </w:tc>
        <w:tc>
          <w:tcPr>
            <w:tcW w:w="965" w:type="dxa"/>
          </w:tcPr>
          <w:p w14:paraId="6200ADE3" w14:textId="77777777" w:rsidR="004D42F9" w:rsidRDefault="004D42F9">
            <w:pPr>
              <w:cnfStyle w:val="000000000000" w:firstRow="0" w:lastRow="0" w:firstColumn="0" w:lastColumn="0" w:oddVBand="0" w:evenVBand="0" w:oddHBand="0" w:evenHBand="0" w:firstRowFirstColumn="0" w:firstRowLastColumn="0" w:lastRowFirstColumn="0" w:lastRowLastColumn="0"/>
            </w:pPr>
            <w:r>
              <w:t>2 452</w:t>
            </w:r>
          </w:p>
        </w:tc>
        <w:tc>
          <w:tcPr>
            <w:tcW w:w="964" w:type="dxa"/>
          </w:tcPr>
          <w:p w14:paraId="4F1BC7CA" w14:textId="77777777" w:rsidR="004D42F9" w:rsidRDefault="004D42F9">
            <w:pPr>
              <w:cnfStyle w:val="000000000000" w:firstRow="0" w:lastRow="0" w:firstColumn="0" w:lastColumn="0" w:oddVBand="0" w:evenVBand="0" w:oddHBand="0" w:evenHBand="0" w:firstRowFirstColumn="0" w:firstRowLastColumn="0" w:lastRowFirstColumn="0" w:lastRowLastColumn="0"/>
            </w:pPr>
            <w:r>
              <w:t>2 560</w:t>
            </w:r>
          </w:p>
        </w:tc>
        <w:tc>
          <w:tcPr>
            <w:tcW w:w="965" w:type="dxa"/>
          </w:tcPr>
          <w:p w14:paraId="77CC608E" w14:textId="77777777" w:rsidR="004D42F9" w:rsidRDefault="004D42F9">
            <w:pPr>
              <w:cnfStyle w:val="000000000000" w:firstRow="0" w:lastRow="0" w:firstColumn="0" w:lastColumn="0" w:oddVBand="0" w:evenVBand="0" w:oddHBand="0" w:evenHBand="0" w:firstRowFirstColumn="0" w:firstRowLastColumn="0" w:lastRowFirstColumn="0" w:lastRowLastColumn="0"/>
            </w:pPr>
            <w:r>
              <w:t>46 973</w:t>
            </w:r>
          </w:p>
        </w:tc>
        <w:tc>
          <w:tcPr>
            <w:tcW w:w="965" w:type="dxa"/>
          </w:tcPr>
          <w:p w14:paraId="76A10F0F" w14:textId="77777777" w:rsidR="004D42F9" w:rsidRDefault="004D42F9">
            <w:pPr>
              <w:cnfStyle w:val="000000000000" w:firstRow="0" w:lastRow="0" w:firstColumn="0" w:lastColumn="0" w:oddVBand="0" w:evenVBand="0" w:oddHBand="0" w:evenHBand="0" w:firstRowFirstColumn="0" w:firstRowLastColumn="0" w:lastRowFirstColumn="0" w:lastRowLastColumn="0"/>
            </w:pPr>
            <w:r>
              <w:t>45 391</w:t>
            </w:r>
          </w:p>
        </w:tc>
      </w:tr>
      <w:tr w:rsidR="004D42F9" w14:paraId="02576776" w14:textId="77777777">
        <w:tc>
          <w:tcPr>
            <w:cnfStyle w:val="001000000000" w:firstRow="0" w:lastRow="0" w:firstColumn="1" w:lastColumn="0" w:oddVBand="0" w:evenVBand="0" w:oddHBand="0" w:evenHBand="0" w:firstRowFirstColumn="0" w:firstRowLastColumn="0" w:lastRowFirstColumn="0" w:lastRowLastColumn="0"/>
            <w:tcW w:w="3850" w:type="dxa"/>
          </w:tcPr>
          <w:p w14:paraId="6FB14C80" w14:textId="77777777" w:rsidR="004D42F9" w:rsidRDefault="004D42F9">
            <w:r>
              <w:t>Social protection</w:t>
            </w:r>
          </w:p>
        </w:tc>
        <w:tc>
          <w:tcPr>
            <w:tcW w:w="964" w:type="dxa"/>
          </w:tcPr>
          <w:p w14:paraId="7FD0B964" w14:textId="77777777" w:rsidR="004D42F9" w:rsidRDefault="004D42F9">
            <w:pPr>
              <w:cnfStyle w:val="000000000000" w:firstRow="0" w:lastRow="0" w:firstColumn="0" w:lastColumn="0" w:oddVBand="0" w:evenVBand="0" w:oddHBand="0" w:evenHBand="0" w:firstRowFirstColumn="0" w:firstRowLastColumn="0" w:lastRowFirstColumn="0" w:lastRowLastColumn="0"/>
            </w:pPr>
            <w:r>
              <w:t>10 805</w:t>
            </w:r>
          </w:p>
        </w:tc>
        <w:tc>
          <w:tcPr>
            <w:tcW w:w="965" w:type="dxa"/>
          </w:tcPr>
          <w:p w14:paraId="05652AF1" w14:textId="77777777" w:rsidR="004D42F9" w:rsidRDefault="004D42F9">
            <w:pPr>
              <w:cnfStyle w:val="000000000000" w:firstRow="0" w:lastRow="0" w:firstColumn="0" w:lastColumn="0" w:oddVBand="0" w:evenVBand="0" w:oddHBand="0" w:evenHBand="0" w:firstRowFirstColumn="0" w:firstRowLastColumn="0" w:lastRowFirstColumn="0" w:lastRowLastColumn="0"/>
            </w:pPr>
            <w:r>
              <w:t>9 912</w:t>
            </w:r>
          </w:p>
        </w:tc>
        <w:tc>
          <w:tcPr>
            <w:tcW w:w="965" w:type="dxa"/>
          </w:tcPr>
          <w:p w14:paraId="152D0B89" w14:textId="77777777" w:rsidR="004D42F9" w:rsidRDefault="004D42F9">
            <w:pPr>
              <w:cnfStyle w:val="000000000000" w:firstRow="0" w:lastRow="0" w:firstColumn="0" w:lastColumn="0" w:oddVBand="0" w:evenVBand="0" w:oddHBand="0" w:evenHBand="0" w:firstRowFirstColumn="0" w:firstRowLastColumn="0" w:lastRowFirstColumn="0" w:lastRowLastColumn="0"/>
            </w:pPr>
            <w:r>
              <w:t>871</w:t>
            </w:r>
          </w:p>
        </w:tc>
        <w:tc>
          <w:tcPr>
            <w:tcW w:w="964" w:type="dxa"/>
          </w:tcPr>
          <w:p w14:paraId="7C205225" w14:textId="77777777" w:rsidR="004D42F9" w:rsidRDefault="004D42F9">
            <w:pPr>
              <w:cnfStyle w:val="000000000000" w:firstRow="0" w:lastRow="0" w:firstColumn="0" w:lastColumn="0" w:oddVBand="0" w:evenVBand="0" w:oddHBand="0" w:evenHBand="0" w:firstRowFirstColumn="0" w:firstRowLastColumn="0" w:lastRowFirstColumn="0" w:lastRowLastColumn="0"/>
            </w:pPr>
            <w:r>
              <w:t>1 045</w:t>
            </w:r>
          </w:p>
        </w:tc>
        <w:tc>
          <w:tcPr>
            <w:tcW w:w="965" w:type="dxa"/>
          </w:tcPr>
          <w:p w14:paraId="7EFC4B4D" w14:textId="77777777" w:rsidR="004D42F9" w:rsidRDefault="004D42F9">
            <w:pPr>
              <w:cnfStyle w:val="000000000000" w:firstRow="0" w:lastRow="0" w:firstColumn="0" w:lastColumn="0" w:oddVBand="0" w:evenVBand="0" w:oddHBand="0" w:evenHBand="0" w:firstRowFirstColumn="0" w:firstRowLastColumn="0" w:lastRowFirstColumn="0" w:lastRowLastColumn="0"/>
            </w:pPr>
            <w:r>
              <w:t>40 098</w:t>
            </w:r>
          </w:p>
        </w:tc>
        <w:tc>
          <w:tcPr>
            <w:tcW w:w="965" w:type="dxa"/>
          </w:tcPr>
          <w:p w14:paraId="2FE1BE89" w14:textId="77777777" w:rsidR="004D42F9" w:rsidRDefault="004D42F9">
            <w:pPr>
              <w:cnfStyle w:val="000000000000" w:firstRow="0" w:lastRow="0" w:firstColumn="0" w:lastColumn="0" w:oddVBand="0" w:evenVBand="0" w:oddHBand="0" w:evenHBand="0" w:firstRowFirstColumn="0" w:firstRowLastColumn="0" w:lastRowFirstColumn="0" w:lastRowLastColumn="0"/>
            </w:pPr>
            <w:r>
              <w:t>39 619</w:t>
            </w:r>
          </w:p>
        </w:tc>
      </w:tr>
      <w:tr w:rsidR="004D42F9" w14:paraId="3198BDF5" w14:textId="77777777">
        <w:tc>
          <w:tcPr>
            <w:cnfStyle w:val="001000000000" w:firstRow="0" w:lastRow="0" w:firstColumn="1" w:lastColumn="0" w:oddVBand="0" w:evenVBand="0" w:oddHBand="0" w:evenHBand="0" w:firstRowFirstColumn="0" w:firstRowLastColumn="0" w:lastRowFirstColumn="0" w:lastRowLastColumn="0"/>
            <w:tcW w:w="3850" w:type="dxa"/>
          </w:tcPr>
          <w:p w14:paraId="6E28DD9A" w14:textId="77777777" w:rsidR="004D42F9" w:rsidRDefault="004D42F9">
            <w:r>
              <w:t>Transport</w:t>
            </w:r>
          </w:p>
        </w:tc>
        <w:tc>
          <w:tcPr>
            <w:tcW w:w="964" w:type="dxa"/>
          </w:tcPr>
          <w:p w14:paraId="30CA3E95" w14:textId="77777777" w:rsidR="004D42F9" w:rsidRDefault="004D42F9">
            <w:pPr>
              <w:cnfStyle w:val="000000000000" w:firstRow="0" w:lastRow="0" w:firstColumn="0" w:lastColumn="0" w:oddVBand="0" w:evenVBand="0" w:oddHBand="0" w:evenHBand="0" w:firstRowFirstColumn="0" w:firstRowLastColumn="0" w:lastRowFirstColumn="0" w:lastRowLastColumn="0"/>
            </w:pPr>
            <w:r>
              <w:t>10 813</w:t>
            </w:r>
          </w:p>
        </w:tc>
        <w:tc>
          <w:tcPr>
            <w:tcW w:w="965" w:type="dxa"/>
          </w:tcPr>
          <w:p w14:paraId="59CF983E" w14:textId="77777777" w:rsidR="004D42F9" w:rsidRDefault="004D42F9">
            <w:pPr>
              <w:cnfStyle w:val="000000000000" w:firstRow="0" w:lastRow="0" w:firstColumn="0" w:lastColumn="0" w:oddVBand="0" w:evenVBand="0" w:oddHBand="0" w:evenHBand="0" w:firstRowFirstColumn="0" w:firstRowLastColumn="0" w:lastRowFirstColumn="0" w:lastRowLastColumn="0"/>
            </w:pPr>
            <w:r>
              <w:t>10 411</w:t>
            </w:r>
          </w:p>
        </w:tc>
        <w:tc>
          <w:tcPr>
            <w:tcW w:w="965" w:type="dxa"/>
          </w:tcPr>
          <w:p w14:paraId="0C10729F" w14:textId="77777777" w:rsidR="004D42F9" w:rsidRDefault="004D42F9">
            <w:pPr>
              <w:cnfStyle w:val="000000000000" w:firstRow="0" w:lastRow="0" w:firstColumn="0" w:lastColumn="0" w:oddVBand="0" w:evenVBand="0" w:oddHBand="0" w:evenHBand="0" w:firstRowFirstColumn="0" w:firstRowLastColumn="0" w:lastRowFirstColumn="0" w:lastRowLastColumn="0"/>
            </w:pPr>
            <w:r>
              <w:t>12 483</w:t>
            </w:r>
          </w:p>
        </w:tc>
        <w:tc>
          <w:tcPr>
            <w:tcW w:w="964" w:type="dxa"/>
          </w:tcPr>
          <w:p w14:paraId="6E09E70B" w14:textId="77777777" w:rsidR="004D42F9" w:rsidRDefault="004D42F9">
            <w:pPr>
              <w:cnfStyle w:val="000000000000" w:firstRow="0" w:lastRow="0" w:firstColumn="0" w:lastColumn="0" w:oddVBand="0" w:evenVBand="0" w:oddHBand="0" w:evenHBand="0" w:firstRowFirstColumn="0" w:firstRowLastColumn="0" w:lastRowFirstColumn="0" w:lastRowLastColumn="0"/>
            </w:pPr>
            <w:r>
              <w:t>13 353</w:t>
            </w:r>
          </w:p>
        </w:tc>
        <w:tc>
          <w:tcPr>
            <w:tcW w:w="965" w:type="dxa"/>
          </w:tcPr>
          <w:p w14:paraId="0CF1946C" w14:textId="77777777" w:rsidR="004D42F9" w:rsidRDefault="004D42F9">
            <w:pPr>
              <w:cnfStyle w:val="000000000000" w:firstRow="0" w:lastRow="0" w:firstColumn="0" w:lastColumn="0" w:oddVBand="0" w:evenVBand="0" w:oddHBand="0" w:evenHBand="0" w:firstRowFirstColumn="0" w:firstRowLastColumn="0" w:lastRowFirstColumn="0" w:lastRowLastColumn="0"/>
            </w:pPr>
            <w:r>
              <w:t>270 521</w:t>
            </w:r>
          </w:p>
        </w:tc>
        <w:tc>
          <w:tcPr>
            <w:tcW w:w="965" w:type="dxa"/>
          </w:tcPr>
          <w:p w14:paraId="2AD7BDCA" w14:textId="77777777" w:rsidR="004D42F9" w:rsidRDefault="004D42F9">
            <w:pPr>
              <w:cnfStyle w:val="000000000000" w:firstRow="0" w:lastRow="0" w:firstColumn="0" w:lastColumn="0" w:oddVBand="0" w:evenVBand="0" w:oddHBand="0" w:evenHBand="0" w:firstRowFirstColumn="0" w:firstRowLastColumn="0" w:lastRowFirstColumn="0" w:lastRowLastColumn="0"/>
            </w:pPr>
            <w:r>
              <w:t>211 974</w:t>
            </w:r>
          </w:p>
        </w:tc>
      </w:tr>
      <w:tr w:rsidR="004D42F9" w14:paraId="012ACDF9" w14:textId="77777777">
        <w:tc>
          <w:tcPr>
            <w:cnfStyle w:val="001000000000" w:firstRow="0" w:lastRow="0" w:firstColumn="1" w:lastColumn="0" w:oddVBand="0" w:evenVBand="0" w:oddHBand="0" w:evenHBand="0" w:firstRowFirstColumn="0" w:firstRowLastColumn="0" w:lastRowFirstColumn="0" w:lastRowLastColumn="0"/>
            <w:tcW w:w="3850" w:type="dxa"/>
            <w:tcBorders>
              <w:bottom w:val="single" w:sz="6" w:space="0" w:color="auto"/>
            </w:tcBorders>
          </w:tcPr>
          <w:p w14:paraId="4BBC3619" w14:textId="77777777" w:rsidR="004D42F9" w:rsidRDefault="004D42F9">
            <w:r>
              <w:t>Not allocated by function</w:t>
            </w:r>
            <w:r>
              <w:rPr>
                <w:vertAlign w:val="superscript"/>
              </w:rPr>
              <w:t xml:space="preserve"> (a)(b)</w:t>
            </w:r>
          </w:p>
        </w:tc>
        <w:tc>
          <w:tcPr>
            <w:tcW w:w="964" w:type="dxa"/>
            <w:tcBorders>
              <w:bottom w:val="single" w:sz="6" w:space="0" w:color="auto"/>
            </w:tcBorders>
          </w:tcPr>
          <w:p w14:paraId="0E742B9C" w14:textId="77777777" w:rsidR="004D42F9" w:rsidRDefault="004D42F9">
            <w:pPr>
              <w:cnfStyle w:val="000000000000" w:firstRow="0" w:lastRow="0" w:firstColumn="0" w:lastColumn="0" w:oddVBand="0" w:evenVBand="0" w:oddHBand="0" w:evenHBand="0" w:firstRowFirstColumn="0" w:firstRowLastColumn="0" w:lastRowFirstColumn="0" w:lastRowLastColumn="0"/>
            </w:pPr>
            <w:r>
              <w:t>(1 768)</w:t>
            </w:r>
          </w:p>
        </w:tc>
        <w:tc>
          <w:tcPr>
            <w:tcW w:w="965" w:type="dxa"/>
            <w:tcBorders>
              <w:bottom w:val="single" w:sz="6" w:space="0" w:color="auto"/>
            </w:tcBorders>
          </w:tcPr>
          <w:p w14:paraId="19B9C0F0" w14:textId="77777777" w:rsidR="004D42F9" w:rsidRDefault="004D42F9">
            <w:pPr>
              <w:cnfStyle w:val="000000000000" w:firstRow="0" w:lastRow="0" w:firstColumn="0" w:lastColumn="0" w:oddVBand="0" w:evenVBand="0" w:oddHBand="0" w:evenHBand="0" w:firstRowFirstColumn="0" w:firstRowLastColumn="0" w:lastRowFirstColumn="0" w:lastRowLastColumn="0"/>
            </w:pPr>
            <w:r>
              <w:t>(1 850)</w:t>
            </w:r>
          </w:p>
        </w:tc>
        <w:tc>
          <w:tcPr>
            <w:tcW w:w="965" w:type="dxa"/>
            <w:tcBorders>
              <w:bottom w:val="single" w:sz="6" w:space="0" w:color="auto"/>
            </w:tcBorders>
          </w:tcPr>
          <w:p w14:paraId="062B72AF" w14:textId="77777777" w:rsidR="004D42F9" w:rsidRDefault="004D42F9">
            <w:pPr>
              <w:cnfStyle w:val="000000000000" w:firstRow="0" w:lastRow="0" w:firstColumn="0" w:lastColumn="0" w:oddVBand="0" w:evenVBand="0" w:oddHBand="0" w:evenHBand="0" w:firstRowFirstColumn="0" w:firstRowLastColumn="0" w:lastRowFirstColumn="0" w:lastRowLastColumn="0"/>
            </w:pPr>
            <w:r>
              <w:t>(157)</w:t>
            </w:r>
          </w:p>
        </w:tc>
        <w:tc>
          <w:tcPr>
            <w:tcW w:w="964" w:type="dxa"/>
            <w:tcBorders>
              <w:bottom w:val="single" w:sz="6" w:space="0" w:color="auto"/>
            </w:tcBorders>
          </w:tcPr>
          <w:p w14:paraId="4BDB5F97" w14:textId="77777777" w:rsidR="004D42F9" w:rsidRDefault="004D42F9">
            <w:pPr>
              <w:cnfStyle w:val="000000000000" w:firstRow="0" w:lastRow="0" w:firstColumn="0" w:lastColumn="0" w:oddVBand="0" w:evenVBand="0" w:oddHBand="0" w:evenHBand="0" w:firstRowFirstColumn="0" w:firstRowLastColumn="0" w:lastRowFirstColumn="0" w:lastRowLastColumn="0"/>
            </w:pPr>
            <w:r>
              <w:t>(31)</w:t>
            </w:r>
          </w:p>
        </w:tc>
        <w:tc>
          <w:tcPr>
            <w:tcW w:w="965" w:type="dxa"/>
            <w:tcBorders>
              <w:bottom w:val="single" w:sz="6" w:space="0" w:color="auto"/>
            </w:tcBorders>
          </w:tcPr>
          <w:p w14:paraId="39EF10A7" w14:textId="77777777" w:rsidR="004D42F9" w:rsidRDefault="004D42F9">
            <w:pPr>
              <w:cnfStyle w:val="000000000000" w:firstRow="0" w:lastRow="0" w:firstColumn="0" w:lastColumn="0" w:oddVBand="0" w:evenVBand="0" w:oddHBand="0" w:evenHBand="0" w:firstRowFirstColumn="0" w:firstRowLastColumn="0" w:lastRowFirstColumn="0" w:lastRowLastColumn="0"/>
            </w:pPr>
            <w:r>
              <w:t>120 770</w:t>
            </w:r>
          </w:p>
        </w:tc>
        <w:tc>
          <w:tcPr>
            <w:tcW w:w="965" w:type="dxa"/>
            <w:tcBorders>
              <w:bottom w:val="single" w:sz="6" w:space="0" w:color="auto"/>
            </w:tcBorders>
          </w:tcPr>
          <w:p w14:paraId="235EA69E" w14:textId="77777777" w:rsidR="004D42F9" w:rsidRDefault="004D42F9">
            <w:pPr>
              <w:cnfStyle w:val="000000000000" w:firstRow="0" w:lastRow="0" w:firstColumn="0" w:lastColumn="0" w:oddVBand="0" w:evenVBand="0" w:oddHBand="0" w:evenHBand="0" w:firstRowFirstColumn="0" w:firstRowLastColumn="0" w:lastRowFirstColumn="0" w:lastRowLastColumn="0"/>
            </w:pPr>
            <w:r>
              <w:t>110 593</w:t>
            </w:r>
          </w:p>
        </w:tc>
      </w:tr>
      <w:tr w:rsidR="004D42F9" w14:paraId="5D064215" w14:textId="77777777">
        <w:tc>
          <w:tcPr>
            <w:cnfStyle w:val="001000000000" w:firstRow="0" w:lastRow="0" w:firstColumn="1" w:lastColumn="0" w:oddVBand="0" w:evenVBand="0" w:oddHBand="0" w:evenHBand="0" w:firstRowFirstColumn="0" w:firstRowLastColumn="0" w:lastRowFirstColumn="0" w:lastRowLastColumn="0"/>
            <w:tcW w:w="3850" w:type="dxa"/>
            <w:tcBorders>
              <w:top w:val="single" w:sz="6" w:space="0" w:color="auto"/>
              <w:bottom w:val="single" w:sz="12" w:space="0" w:color="auto"/>
            </w:tcBorders>
          </w:tcPr>
          <w:p w14:paraId="622C8360" w14:textId="77777777" w:rsidR="004D42F9" w:rsidRDefault="004D42F9">
            <w:r>
              <w:rPr>
                <w:b/>
              </w:rPr>
              <w:t>Total</w:t>
            </w:r>
          </w:p>
        </w:tc>
        <w:tc>
          <w:tcPr>
            <w:tcW w:w="964" w:type="dxa"/>
            <w:tcBorders>
              <w:top w:val="single" w:sz="6" w:space="0" w:color="auto"/>
              <w:bottom w:val="single" w:sz="12" w:space="0" w:color="auto"/>
            </w:tcBorders>
          </w:tcPr>
          <w:p w14:paraId="60B8E36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123 968</w:t>
            </w:r>
          </w:p>
        </w:tc>
        <w:tc>
          <w:tcPr>
            <w:tcW w:w="965" w:type="dxa"/>
            <w:tcBorders>
              <w:top w:val="single" w:sz="6" w:space="0" w:color="auto"/>
              <w:bottom w:val="single" w:sz="12" w:space="0" w:color="auto"/>
            </w:tcBorders>
          </w:tcPr>
          <w:p w14:paraId="2FF7B59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116 064</w:t>
            </w:r>
          </w:p>
        </w:tc>
        <w:tc>
          <w:tcPr>
            <w:tcW w:w="965" w:type="dxa"/>
            <w:tcBorders>
              <w:top w:val="single" w:sz="6" w:space="0" w:color="auto"/>
              <w:bottom w:val="single" w:sz="12" w:space="0" w:color="auto"/>
            </w:tcBorders>
          </w:tcPr>
          <w:p w14:paraId="4CFE21E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22 255</w:t>
            </w:r>
          </w:p>
        </w:tc>
        <w:tc>
          <w:tcPr>
            <w:tcW w:w="964" w:type="dxa"/>
            <w:tcBorders>
              <w:top w:val="single" w:sz="6" w:space="0" w:color="auto"/>
              <w:bottom w:val="single" w:sz="12" w:space="0" w:color="auto"/>
            </w:tcBorders>
          </w:tcPr>
          <w:p w14:paraId="4C6819D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23 021</w:t>
            </w:r>
          </w:p>
        </w:tc>
        <w:tc>
          <w:tcPr>
            <w:tcW w:w="965" w:type="dxa"/>
            <w:tcBorders>
              <w:top w:val="single" w:sz="6" w:space="0" w:color="auto"/>
              <w:bottom w:val="single" w:sz="12" w:space="0" w:color="auto"/>
            </w:tcBorders>
          </w:tcPr>
          <w:p w14:paraId="50B38B3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638 107</w:t>
            </w:r>
          </w:p>
        </w:tc>
        <w:tc>
          <w:tcPr>
            <w:tcW w:w="965" w:type="dxa"/>
            <w:tcBorders>
              <w:top w:val="single" w:sz="6" w:space="0" w:color="auto"/>
              <w:bottom w:val="single" w:sz="12" w:space="0" w:color="auto"/>
            </w:tcBorders>
          </w:tcPr>
          <w:p w14:paraId="12F1B05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562 697</w:t>
            </w:r>
          </w:p>
        </w:tc>
      </w:tr>
    </w:tbl>
    <w:p w14:paraId="542208FA"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FOG/Link_AFR_COFOG.xlsx|Table:COFOG_GG"/>
      </w:tblPr>
      <w:tblGrid>
        <w:gridCol w:w="3828"/>
        <w:gridCol w:w="968"/>
        <w:gridCol w:w="968"/>
        <w:gridCol w:w="969"/>
        <w:gridCol w:w="968"/>
        <w:gridCol w:w="968"/>
        <w:gridCol w:w="969"/>
      </w:tblGrid>
      <w:tr w:rsidR="00991200" w14:paraId="01C6D1C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38BF477F" w14:textId="77777777" w:rsidR="004D42F9" w:rsidRDefault="004D42F9">
            <w:pPr>
              <w:keepNext/>
            </w:pPr>
            <w:r>
              <w:t>General government sector</w:t>
            </w:r>
          </w:p>
        </w:tc>
        <w:tc>
          <w:tcPr>
            <w:tcW w:w="968" w:type="dxa"/>
          </w:tcPr>
          <w:p w14:paraId="1D26A37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6E59B4E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69" w:type="dxa"/>
          </w:tcPr>
          <w:p w14:paraId="027E670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464422E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68" w:type="dxa"/>
          </w:tcPr>
          <w:p w14:paraId="3EFB04A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69" w:type="dxa"/>
          </w:tcPr>
          <w:p w14:paraId="3EEF6A1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18BBD2CC" w14:textId="77777777">
        <w:tc>
          <w:tcPr>
            <w:cnfStyle w:val="001000000000" w:firstRow="0" w:lastRow="0" w:firstColumn="1" w:lastColumn="0" w:oddVBand="0" w:evenVBand="0" w:oddHBand="0" w:evenHBand="0" w:firstRowFirstColumn="0" w:firstRowLastColumn="0" w:lastRowFirstColumn="0" w:lastRowLastColumn="0"/>
            <w:tcW w:w="3828" w:type="dxa"/>
          </w:tcPr>
          <w:p w14:paraId="436965DA" w14:textId="77777777" w:rsidR="004D42F9" w:rsidRDefault="004D42F9">
            <w:r>
              <w:t>General public services</w:t>
            </w:r>
          </w:p>
        </w:tc>
        <w:tc>
          <w:tcPr>
            <w:tcW w:w="968" w:type="dxa"/>
          </w:tcPr>
          <w:p w14:paraId="3D753164" w14:textId="77777777" w:rsidR="004D42F9" w:rsidRDefault="004D42F9">
            <w:pPr>
              <w:cnfStyle w:val="000000000000" w:firstRow="0" w:lastRow="0" w:firstColumn="0" w:lastColumn="0" w:oddVBand="0" w:evenVBand="0" w:oddHBand="0" w:evenHBand="0" w:firstRowFirstColumn="0" w:firstRowLastColumn="0" w:lastRowFirstColumn="0" w:lastRowLastColumn="0"/>
            </w:pPr>
            <w:r>
              <w:t>10 062</w:t>
            </w:r>
          </w:p>
        </w:tc>
        <w:tc>
          <w:tcPr>
            <w:tcW w:w="968" w:type="dxa"/>
          </w:tcPr>
          <w:p w14:paraId="53F4A7F6" w14:textId="77777777" w:rsidR="004D42F9" w:rsidRDefault="004D42F9">
            <w:pPr>
              <w:cnfStyle w:val="000000000000" w:firstRow="0" w:lastRow="0" w:firstColumn="0" w:lastColumn="0" w:oddVBand="0" w:evenVBand="0" w:oddHBand="0" w:evenHBand="0" w:firstRowFirstColumn="0" w:firstRowLastColumn="0" w:lastRowFirstColumn="0" w:lastRowLastColumn="0"/>
            </w:pPr>
            <w:r>
              <w:t>8 396</w:t>
            </w:r>
          </w:p>
        </w:tc>
        <w:tc>
          <w:tcPr>
            <w:tcW w:w="969" w:type="dxa"/>
          </w:tcPr>
          <w:p w14:paraId="6BDC7204" w14:textId="77777777" w:rsidR="004D42F9" w:rsidRDefault="004D42F9">
            <w:pPr>
              <w:cnfStyle w:val="000000000000" w:firstRow="0" w:lastRow="0" w:firstColumn="0" w:lastColumn="0" w:oddVBand="0" w:evenVBand="0" w:oddHBand="0" w:evenHBand="0" w:firstRowFirstColumn="0" w:firstRowLastColumn="0" w:lastRowFirstColumn="0" w:lastRowLastColumn="0"/>
            </w:pPr>
            <w:r>
              <w:t>55</w:t>
            </w:r>
          </w:p>
        </w:tc>
        <w:tc>
          <w:tcPr>
            <w:tcW w:w="968" w:type="dxa"/>
          </w:tcPr>
          <w:p w14:paraId="030EE1A4" w14:textId="77777777" w:rsidR="004D42F9" w:rsidRDefault="004D42F9">
            <w:pPr>
              <w:cnfStyle w:val="000000000000" w:firstRow="0" w:lastRow="0" w:firstColumn="0" w:lastColumn="0" w:oddVBand="0" w:evenVBand="0" w:oddHBand="0" w:evenHBand="0" w:firstRowFirstColumn="0" w:firstRowLastColumn="0" w:lastRowFirstColumn="0" w:lastRowLastColumn="0"/>
            </w:pPr>
            <w:r>
              <w:t>91</w:t>
            </w:r>
          </w:p>
        </w:tc>
        <w:tc>
          <w:tcPr>
            <w:tcW w:w="968" w:type="dxa"/>
          </w:tcPr>
          <w:p w14:paraId="6CF3107D" w14:textId="77777777" w:rsidR="004D42F9" w:rsidRDefault="004D42F9">
            <w:pPr>
              <w:cnfStyle w:val="000000000000" w:firstRow="0" w:lastRow="0" w:firstColumn="0" w:lastColumn="0" w:oddVBand="0" w:evenVBand="0" w:oddHBand="0" w:evenHBand="0" w:firstRowFirstColumn="0" w:firstRowLastColumn="0" w:lastRowFirstColumn="0" w:lastRowLastColumn="0"/>
            </w:pPr>
            <w:r>
              <w:t>2 859</w:t>
            </w:r>
          </w:p>
        </w:tc>
        <w:tc>
          <w:tcPr>
            <w:tcW w:w="969" w:type="dxa"/>
          </w:tcPr>
          <w:p w14:paraId="43CC894B" w14:textId="77777777" w:rsidR="004D42F9" w:rsidRDefault="004D42F9">
            <w:pPr>
              <w:cnfStyle w:val="000000000000" w:firstRow="0" w:lastRow="0" w:firstColumn="0" w:lastColumn="0" w:oddVBand="0" w:evenVBand="0" w:oddHBand="0" w:evenHBand="0" w:firstRowFirstColumn="0" w:firstRowLastColumn="0" w:lastRowFirstColumn="0" w:lastRowLastColumn="0"/>
            </w:pPr>
            <w:r>
              <w:t>3 252</w:t>
            </w:r>
          </w:p>
        </w:tc>
      </w:tr>
      <w:tr w:rsidR="004D42F9" w14:paraId="26EFB250" w14:textId="77777777">
        <w:tc>
          <w:tcPr>
            <w:cnfStyle w:val="001000000000" w:firstRow="0" w:lastRow="0" w:firstColumn="1" w:lastColumn="0" w:oddVBand="0" w:evenVBand="0" w:oddHBand="0" w:evenHBand="0" w:firstRowFirstColumn="0" w:firstRowLastColumn="0" w:lastRowFirstColumn="0" w:lastRowLastColumn="0"/>
            <w:tcW w:w="3828" w:type="dxa"/>
          </w:tcPr>
          <w:p w14:paraId="789299B3" w14:textId="77777777" w:rsidR="004D42F9" w:rsidRDefault="004D42F9">
            <w:r>
              <w:t>Public order and safety</w:t>
            </w:r>
          </w:p>
        </w:tc>
        <w:tc>
          <w:tcPr>
            <w:tcW w:w="968" w:type="dxa"/>
          </w:tcPr>
          <w:p w14:paraId="2B1F4DB5" w14:textId="77777777" w:rsidR="004D42F9" w:rsidRDefault="004D42F9">
            <w:pPr>
              <w:cnfStyle w:val="000000000000" w:firstRow="0" w:lastRow="0" w:firstColumn="0" w:lastColumn="0" w:oddVBand="0" w:evenVBand="0" w:oddHBand="0" w:evenHBand="0" w:firstRowFirstColumn="0" w:firstRowLastColumn="0" w:lastRowFirstColumn="0" w:lastRowLastColumn="0"/>
            </w:pPr>
            <w:r>
              <w:t>12 284</w:t>
            </w:r>
          </w:p>
        </w:tc>
        <w:tc>
          <w:tcPr>
            <w:tcW w:w="968" w:type="dxa"/>
          </w:tcPr>
          <w:p w14:paraId="6AF4DEF6" w14:textId="77777777" w:rsidR="004D42F9" w:rsidRDefault="004D42F9">
            <w:pPr>
              <w:cnfStyle w:val="000000000000" w:firstRow="0" w:lastRow="0" w:firstColumn="0" w:lastColumn="0" w:oddVBand="0" w:evenVBand="0" w:oddHBand="0" w:evenHBand="0" w:firstRowFirstColumn="0" w:firstRowLastColumn="0" w:lastRowFirstColumn="0" w:lastRowLastColumn="0"/>
            </w:pPr>
            <w:r>
              <w:t>11 520</w:t>
            </w:r>
          </w:p>
        </w:tc>
        <w:tc>
          <w:tcPr>
            <w:tcW w:w="969" w:type="dxa"/>
          </w:tcPr>
          <w:p w14:paraId="4F1A64C6" w14:textId="77777777" w:rsidR="004D42F9" w:rsidRDefault="004D42F9">
            <w:pPr>
              <w:cnfStyle w:val="000000000000" w:firstRow="0" w:lastRow="0" w:firstColumn="0" w:lastColumn="0" w:oddVBand="0" w:evenVBand="0" w:oddHBand="0" w:evenHBand="0" w:firstRowFirstColumn="0" w:firstRowLastColumn="0" w:lastRowFirstColumn="0" w:lastRowLastColumn="0"/>
            </w:pPr>
            <w:r>
              <w:t>929</w:t>
            </w:r>
          </w:p>
        </w:tc>
        <w:tc>
          <w:tcPr>
            <w:tcW w:w="968" w:type="dxa"/>
          </w:tcPr>
          <w:p w14:paraId="4298DEDD" w14:textId="77777777" w:rsidR="004D42F9" w:rsidRDefault="004D42F9">
            <w:pPr>
              <w:cnfStyle w:val="000000000000" w:firstRow="0" w:lastRow="0" w:firstColumn="0" w:lastColumn="0" w:oddVBand="0" w:evenVBand="0" w:oddHBand="0" w:evenHBand="0" w:firstRowFirstColumn="0" w:firstRowLastColumn="0" w:lastRowFirstColumn="0" w:lastRowLastColumn="0"/>
            </w:pPr>
            <w:r>
              <w:t>888</w:t>
            </w:r>
          </w:p>
        </w:tc>
        <w:tc>
          <w:tcPr>
            <w:tcW w:w="968" w:type="dxa"/>
          </w:tcPr>
          <w:p w14:paraId="7DAAA371" w14:textId="77777777" w:rsidR="004D42F9" w:rsidRDefault="004D42F9">
            <w:pPr>
              <w:cnfStyle w:val="000000000000" w:firstRow="0" w:lastRow="0" w:firstColumn="0" w:lastColumn="0" w:oddVBand="0" w:evenVBand="0" w:oddHBand="0" w:evenHBand="0" w:firstRowFirstColumn="0" w:firstRowLastColumn="0" w:lastRowFirstColumn="0" w:lastRowLastColumn="0"/>
            </w:pPr>
            <w:r>
              <w:t>16 206</w:t>
            </w:r>
          </w:p>
        </w:tc>
        <w:tc>
          <w:tcPr>
            <w:tcW w:w="969" w:type="dxa"/>
          </w:tcPr>
          <w:p w14:paraId="164D1A1E" w14:textId="77777777" w:rsidR="004D42F9" w:rsidRDefault="004D42F9">
            <w:pPr>
              <w:cnfStyle w:val="000000000000" w:firstRow="0" w:lastRow="0" w:firstColumn="0" w:lastColumn="0" w:oddVBand="0" w:evenVBand="0" w:oddHBand="0" w:evenHBand="0" w:firstRowFirstColumn="0" w:firstRowLastColumn="0" w:lastRowFirstColumn="0" w:lastRowLastColumn="0"/>
            </w:pPr>
            <w:r>
              <w:t>16 158</w:t>
            </w:r>
          </w:p>
        </w:tc>
      </w:tr>
      <w:tr w:rsidR="004D42F9" w14:paraId="2392C9EF" w14:textId="77777777">
        <w:tc>
          <w:tcPr>
            <w:cnfStyle w:val="001000000000" w:firstRow="0" w:lastRow="0" w:firstColumn="1" w:lastColumn="0" w:oddVBand="0" w:evenVBand="0" w:oddHBand="0" w:evenHBand="0" w:firstRowFirstColumn="0" w:firstRowLastColumn="0" w:lastRowFirstColumn="0" w:lastRowLastColumn="0"/>
            <w:tcW w:w="3828" w:type="dxa"/>
          </w:tcPr>
          <w:p w14:paraId="5498707E" w14:textId="77777777" w:rsidR="004D42F9" w:rsidRDefault="004D42F9">
            <w:r>
              <w:t>Economic affairs</w:t>
            </w:r>
          </w:p>
        </w:tc>
        <w:tc>
          <w:tcPr>
            <w:tcW w:w="968" w:type="dxa"/>
          </w:tcPr>
          <w:p w14:paraId="77206BE9" w14:textId="77777777" w:rsidR="004D42F9" w:rsidRDefault="004D42F9">
            <w:pPr>
              <w:cnfStyle w:val="000000000000" w:firstRow="0" w:lastRow="0" w:firstColumn="0" w:lastColumn="0" w:oddVBand="0" w:evenVBand="0" w:oddHBand="0" w:evenHBand="0" w:firstRowFirstColumn="0" w:firstRowLastColumn="0" w:lastRowFirstColumn="0" w:lastRowLastColumn="0"/>
            </w:pPr>
            <w:r>
              <w:t>2 861</w:t>
            </w:r>
          </w:p>
        </w:tc>
        <w:tc>
          <w:tcPr>
            <w:tcW w:w="968" w:type="dxa"/>
          </w:tcPr>
          <w:p w14:paraId="31D8B731" w14:textId="77777777" w:rsidR="004D42F9" w:rsidRDefault="004D42F9">
            <w:pPr>
              <w:cnfStyle w:val="000000000000" w:firstRow="0" w:lastRow="0" w:firstColumn="0" w:lastColumn="0" w:oddVBand="0" w:evenVBand="0" w:oddHBand="0" w:evenHBand="0" w:firstRowFirstColumn="0" w:firstRowLastColumn="0" w:lastRowFirstColumn="0" w:lastRowLastColumn="0"/>
            </w:pPr>
            <w:r>
              <w:t>3 181</w:t>
            </w:r>
          </w:p>
        </w:tc>
        <w:tc>
          <w:tcPr>
            <w:tcW w:w="969" w:type="dxa"/>
          </w:tcPr>
          <w:p w14:paraId="61F89BDB" w14:textId="77777777" w:rsidR="004D42F9" w:rsidRDefault="004D42F9">
            <w:pPr>
              <w:cnfStyle w:val="000000000000" w:firstRow="0" w:lastRow="0" w:firstColumn="0" w:lastColumn="0" w:oddVBand="0" w:evenVBand="0" w:oddHBand="0" w:evenHBand="0" w:firstRowFirstColumn="0" w:firstRowLastColumn="0" w:lastRowFirstColumn="0" w:lastRowLastColumn="0"/>
            </w:pPr>
            <w:r>
              <w:t>253</w:t>
            </w:r>
          </w:p>
        </w:tc>
        <w:tc>
          <w:tcPr>
            <w:tcW w:w="968" w:type="dxa"/>
          </w:tcPr>
          <w:p w14:paraId="197FFE39" w14:textId="77777777" w:rsidR="004D42F9" w:rsidRDefault="004D42F9">
            <w:pPr>
              <w:cnfStyle w:val="000000000000" w:firstRow="0" w:lastRow="0" w:firstColumn="0" w:lastColumn="0" w:oddVBand="0" w:evenVBand="0" w:oddHBand="0" w:evenHBand="0" w:firstRowFirstColumn="0" w:firstRowLastColumn="0" w:lastRowFirstColumn="0" w:lastRowLastColumn="0"/>
            </w:pPr>
            <w:r>
              <w:t>225</w:t>
            </w:r>
          </w:p>
        </w:tc>
        <w:tc>
          <w:tcPr>
            <w:tcW w:w="968" w:type="dxa"/>
          </w:tcPr>
          <w:p w14:paraId="5E488621" w14:textId="77777777" w:rsidR="004D42F9" w:rsidRDefault="004D42F9">
            <w:pPr>
              <w:cnfStyle w:val="000000000000" w:firstRow="0" w:lastRow="0" w:firstColumn="0" w:lastColumn="0" w:oddVBand="0" w:evenVBand="0" w:oddHBand="0" w:evenHBand="0" w:firstRowFirstColumn="0" w:firstRowLastColumn="0" w:lastRowFirstColumn="0" w:lastRowLastColumn="0"/>
            </w:pPr>
            <w:r>
              <w:t>2 206</w:t>
            </w:r>
          </w:p>
        </w:tc>
        <w:tc>
          <w:tcPr>
            <w:tcW w:w="969" w:type="dxa"/>
          </w:tcPr>
          <w:p w14:paraId="1F4E8D63" w14:textId="77777777" w:rsidR="004D42F9" w:rsidRDefault="004D42F9">
            <w:pPr>
              <w:cnfStyle w:val="000000000000" w:firstRow="0" w:lastRow="0" w:firstColumn="0" w:lastColumn="0" w:oddVBand="0" w:evenVBand="0" w:oddHBand="0" w:evenHBand="0" w:firstRowFirstColumn="0" w:firstRowLastColumn="0" w:lastRowFirstColumn="0" w:lastRowLastColumn="0"/>
            </w:pPr>
            <w:r>
              <w:t>1 810</w:t>
            </w:r>
          </w:p>
        </w:tc>
      </w:tr>
      <w:tr w:rsidR="004D42F9" w14:paraId="4A85FD0E" w14:textId="77777777">
        <w:tc>
          <w:tcPr>
            <w:cnfStyle w:val="001000000000" w:firstRow="0" w:lastRow="0" w:firstColumn="1" w:lastColumn="0" w:oddVBand="0" w:evenVBand="0" w:oddHBand="0" w:evenHBand="0" w:firstRowFirstColumn="0" w:firstRowLastColumn="0" w:lastRowFirstColumn="0" w:lastRowLastColumn="0"/>
            <w:tcW w:w="3828" w:type="dxa"/>
          </w:tcPr>
          <w:p w14:paraId="5159ADCA" w14:textId="77777777" w:rsidR="004D42F9" w:rsidRDefault="004D42F9">
            <w:r>
              <w:t>Environmental protection</w:t>
            </w:r>
          </w:p>
        </w:tc>
        <w:tc>
          <w:tcPr>
            <w:tcW w:w="968" w:type="dxa"/>
          </w:tcPr>
          <w:p w14:paraId="786D01A9" w14:textId="77777777" w:rsidR="004D42F9" w:rsidRDefault="004D42F9">
            <w:pPr>
              <w:cnfStyle w:val="000000000000" w:firstRow="0" w:lastRow="0" w:firstColumn="0" w:lastColumn="0" w:oddVBand="0" w:evenVBand="0" w:oddHBand="0" w:evenHBand="0" w:firstRowFirstColumn="0" w:firstRowLastColumn="0" w:lastRowFirstColumn="0" w:lastRowLastColumn="0"/>
            </w:pPr>
            <w:r>
              <w:t>1 277</w:t>
            </w:r>
          </w:p>
        </w:tc>
        <w:tc>
          <w:tcPr>
            <w:tcW w:w="968" w:type="dxa"/>
          </w:tcPr>
          <w:p w14:paraId="08E5A416" w14:textId="77777777" w:rsidR="004D42F9" w:rsidRDefault="004D42F9">
            <w:pPr>
              <w:cnfStyle w:val="000000000000" w:firstRow="0" w:lastRow="0" w:firstColumn="0" w:lastColumn="0" w:oddVBand="0" w:evenVBand="0" w:oddHBand="0" w:evenHBand="0" w:firstRowFirstColumn="0" w:firstRowLastColumn="0" w:lastRowFirstColumn="0" w:lastRowLastColumn="0"/>
            </w:pPr>
            <w:r>
              <w:t>1 182</w:t>
            </w:r>
          </w:p>
        </w:tc>
        <w:tc>
          <w:tcPr>
            <w:tcW w:w="969" w:type="dxa"/>
          </w:tcPr>
          <w:p w14:paraId="6CD4A4D9" w14:textId="77777777" w:rsidR="004D42F9" w:rsidRDefault="004D42F9">
            <w:pPr>
              <w:cnfStyle w:val="000000000000" w:firstRow="0" w:lastRow="0" w:firstColumn="0" w:lastColumn="0" w:oddVBand="0" w:evenVBand="0" w:oddHBand="0" w:evenHBand="0" w:firstRowFirstColumn="0" w:firstRowLastColumn="0" w:lastRowFirstColumn="0" w:lastRowLastColumn="0"/>
            </w:pPr>
            <w:r>
              <w:t>167</w:t>
            </w:r>
          </w:p>
        </w:tc>
        <w:tc>
          <w:tcPr>
            <w:tcW w:w="968" w:type="dxa"/>
          </w:tcPr>
          <w:p w14:paraId="34C51643" w14:textId="77777777" w:rsidR="004D42F9" w:rsidRDefault="004D42F9">
            <w:pPr>
              <w:cnfStyle w:val="000000000000" w:firstRow="0" w:lastRow="0" w:firstColumn="0" w:lastColumn="0" w:oddVBand="0" w:evenVBand="0" w:oddHBand="0" w:evenHBand="0" w:firstRowFirstColumn="0" w:firstRowLastColumn="0" w:lastRowFirstColumn="0" w:lastRowLastColumn="0"/>
            </w:pPr>
            <w:r>
              <w:t>140</w:t>
            </w:r>
          </w:p>
        </w:tc>
        <w:tc>
          <w:tcPr>
            <w:tcW w:w="968" w:type="dxa"/>
          </w:tcPr>
          <w:p w14:paraId="07F3E4E1" w14:textId="77777777" w:rsidR="004D42F9" w:rsidRDefault="004D42F9">
            <w:pPr>
              <w:cnfStyle w:val="000000000000" w:firstRow="0" w:lastRow="0" w:firstColumn="0" w:lastColumn="0" w:oddVBand="0" w:evenVBand="0" w:oddHBand="0" w:evenHBand="0" w:firstRowFirstColumn="0" w:firstRowLastColumn="0" w:lastRowFirstColumn="0" w:lastRowLastColumn="0"/>
            </w:pPr>
            <w:r>
              <w:t>16 815</w:t>
            </w:r>
          </w:p>
        </w:tc>
        <w:tc>
          <w:tcPr>
            <w:tcW w:w="969" w:type="dxa"/>
          </w:tcPr>
          <w:p w14:paraId="32A04BBA" w14:textId="77777777" w:rsidR="004D42F9" w:rsidRDefault="004D42F9">
            <w:pPr>
              <w:cnfStyle w:val="000000000000" w:firstRow="0" w:lastRow="0" w:firstColumn="0" w:lastColumn="0" w:oddVBand="0" w:evenVBand="0" w:oddHBand="0" w:evenHBand="0" w:firstRowFirstColumn="0" w:firstRowLastColumn="0" w:lastRowFirstColumn="0" w:lastRowLastColumn="0"/>
            </w:pPr>
            <w:r>
              <w:t>16 700</w:t>
            </w:r>
          </w:p>
        </w:tc>
      </w:tr>
      <w:tr w:rsidR="004D42F9" w14:paraId="53318E20" w14:textId="77777777">
        <w:tc>
          <w:tcPr>
            <w:cnfStyle w:val="001000000000" w:firstRow="0" w:lastRow="0" w:firstColumn="1" w:lastColumn="0" w:oddVBand="0" w:evenVBand="0" w:oddHBand="0" w:evenHBand="0" w:firstRowFirstColumn="0" w:firstRowLastColumn="0" w:lastRowFirstColumn="0" w:lastRowLastColumn="0"/>
            <w:tcW w:w="3828" w:type="dxa"/>
          </w:tcPr>
          <w:p w14:paraId="1149DDCD" w14:textId="77777777" w:rsidR="004D42F9" w:rsidRDefault="004D42F9">
            <w:r>
              <w:t>Housing and community amenities</w:t>
            </w:r>
          </w:p>
        </w:tc>
        <w:tc>
          <w:tcPr>
            <w:tcW w:w="968" w:type="dxa"/>
          </w:tcPr>
          <w:p w14:paraId="59CEC189" w14:textId="77777777" w:rsidR="004D42F9" w:rsidRDefault="004D42F9">
            <w:pPr>
              <w:cnfStyle w:val="000000000000" w:firstRow="0" w:lastRow="0" w:firstColumn="0" w:lastColumn="0" w:oddVBand="0" w:evenVBand="0" w:oddHBand="0" w:evenHBand="0" w:firstRowFirstColumn="0" w:firstRowLastColumn="0" w:lastRowFirstColumn="0" w:lastRowLastColumn="0"/>
            </w:pPr>
            <w:r>
              <w:t>2 337</w:t>
            </w:r>
          </w:p>
        </w:tc>
        <w:tc>
          <w:tcPr>
            <w:tcW w:w="968" w:type="dxa"/>
          </w:tcPr>
          <w:p w14:paraId="6BE38A38"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2 418</w:t>
            </w:r>
          </w:p>
        </w:tc>
        <w:tc>
          <w:tcPr>
            <w:tcW w:w="969" w:type="dxa"/>
          </w:tcPr>
          <w:p w14:paraId="133A844D" w14:textId="77777777" w:rsidR="004D42F9" w:rsidRDefault="004D42F9">
            <w:pPr>
              <w:cnfStyle w:val="000000000000" w:firstRow="0" w:lastRow="0" w:firstColumn="0" w:lastColumn="0" w:oddVBand="0" w:evenVBand="0" w:oddHBand="0" w:evenHBand="0" w:firstRowFirstColumn="0" w:firstRowLastColumn="0" w:lastRowFirstColumn="0" w:lastRowLastColumn="0"/>
            </w:pPr>
            <w:r>
              <w:t>64</w:t>
            </w:r>
          </w:p>
        </w:tc>
        <w:tc>
          <w:tcPr>
            <w:tcW w:w="968" w:type="dxa"/>
          </w:tcPr>
          <w:p w14:paraId="46F23E7C" w14:textId="77777777" w:rsidR="004D42F9" w:rsidRDefault="004D42F9">
            <w:pPr>
              <w:cnfStyle w:val="000000000000" w:firstRow="0" w:lastRow="0" w:firstColumn="0" w:lastColumn="0" w:oddVBand="0" w:evenVBand="0" w:oddHBand="0" w:evenHBand="0" w:firstRowFirstColumn="0" w:firstRowLastColumn="0" w:lastRowFirstColumn="0" w:lastRowLastColumn="0"/>
            </w:pPr>
            <w:r>
              <w:t>68</w:t>
            </w:r>
          </w:p>
        </w:tc>
        <w:tc>
          <w:tcPr>
            <w:tcW w:w="968" w:type="dxa"/>
          </w:tcPr>
          <w:p w14:paraId="565403F2" w14:textId="77777777" w:rsidR="004D42F9" w:rsidRDefault="004D42F9">
            <w:pPr>
              <w:cnfStyle w:val="000000000000" w:firstRow="0" w:lastRow="0" w:firstColumn="0" w:lastColumn="0" w:oddVBand="0" w:evenVBand="0" w:oddHBand="0" w:evenHBand="0" w:firstRowFirstColumn="0" w:firstRowLastColumn="0" w:lastRowFirstColumn="0" w:lastRowLastColumn="0"/>
            </w:pPr>
            <w:r>
              <w:t>4 092</w:t>
            </w:r>
          </w:p>
        </w:tc>
        <w:tc>
          <w:tcPr>
            <w:tcW w:w="969" w:type="dxa"/>
          </w:tcPr>
          <w:p w14:paraId="70284024" w14:textId="77777777" w:rsidR="004D42F9" w:rsidRDefault="004D42F9">
            <w:pPr>
              <w:cnfStyle w:val="000000000000" w:firstRow="0" w:lastRow="0" w:firstColumn="0" w:lastColumn="0" w:oddVBand="0" w:evenVBand="0" w:oddHBand="0" w:evenHBand="0" w:firstRowFirstColumn="0" w:firstRowLastColumn="0" w:lastRowFirstColumn="0" w:lastRowLastColumn="0"/>
            </w:pPr>
            <w:r>
              <w:t>3 837</w:t>
            </w:r>
          </w:p>
        </w:tc>
      </w:tr>
      <w:tr w:rsidR="004D42F9" w14:paraId="065F4865" w14:textId="77777777">
        <w:tc>
          <w:tcPr>
            <w:cnfStyle w:val="001000000000" w:firstRow="0" w:lastRow="0" w:firstColumn="1" w:lastColumn="0" w:oddVBand="0" w:evenVBand="0" w:oddHBand="0" w:evenHBand="0" w:firstRowFirstColumn="0" w:firstRowLastColumn="0" w:lastRowFirstColumn="0" w:lastRowLastColumn="0"/>
            <w:tcW w:w="3828" w:type="dxa"/>
          </w:tcPr>
          <w:p w14:paraId="2F2654F1" w14:textId="77777777" w:rsidR="004D42F9" w:rsidRDefault="004D42F9">
            <w:r>
              <w:t>Health</w:t>
            </w:r>
          </w:p>
        </w:tc>
        <w:tc>
          <w:tcPr>
            <w:tcW w:w="968" w:type="dxa"/>
          </w:tcPr>
          <w:p w14:paraId="6C9569EE" w14:textId="77777777" w:rsidR="004D42F9" w:rsidRDefault="004D42F9">
            <w:pPr>
              <w:cnfStyle w:val="000000000000" w:firstRow="0" w:lastRow="0" w:firstColumn="0" w:lastColumn="0" w:oddVBand="0" w:evenVBand="0" w:oddHBand="0" w:evenHBand="0" w:firstRowFirstColumn="0" w:firstRowLastColumn="0" w:lastRowFirstColumn="0" w:lastRowLastColumn="0"/>
            </w:pPr>
            <w:r>
              <w:t>32 240</w:t>
            </w:r>
          </w:p>
        </w:tc>
        <w:tc>
          <w:tcPr>
            <w:tcW w:w="968" w:type="dxa"/>
          </w:tcPr>
          <w:p w14:paraId="3B0DBB22" w14:textId="77777777" w:rsidR="004D42F9" w:rsidRDefault="004D42F9">
            <w:pPr>
              <w:cnfStyle w:val="000000000000" w:firstRow="0" w:lastRow="0" w:firstColumn="0" w:lastColumn="0" w:oddVBand="0" w:evenVBand="0" w:oddHBand="0" w:evenHBand="0" w:firstRowFirstColumn="0" w:firstRowLastColumn="0" w:lastRowFirstColumn="0" w:lastRowLastColumn="0"/>
            </w:pPr>
            <w:r>
              <w:t>30 055</w:t>
            </w:r>
          </w:p>
        </w:tc>
        <w:tc>
          <w:tcPr>
            <w:tcW w:w="969" w:type="dxa"/>
          </w:tcPr>
          <w:p w14:paraId="18D0E1F1" w14:textId="77777777" w:rsidR="004D42F9" w:rsidRDefault="004D42F9">
            <w:pPr>
              <w:cnfStyle w:val="000000000000" w:firstRow="0" w:lastRow="0" w:firstColumn="0" w:lastColumn="0" w:oddVBand="0" w:evenVBand="0" w:oddHBand="0" w:evenHBand="0" w:firstRowFirstColumn="0" w:firstRowLastColumn="0" w:lastRowFirstColumn="0" w:lastRowLastColumn="0"/>
            </w:pPr>
            <w:r>
              <w:t>1 915</w:t>
            </w:r>
          </w:p>
        </w:tc>
        <w:tc>
          <w:tcPr>
            <w:tcW w:w="968" w:type="dxa"/>
          </w:tcPr>
          <w:p w14:paraId="2078A52E" w14:textId="77777777" w:rsidR="004D42F9" w:rsidRDefault="004D42F9">
            <w:pPr>
              <w:cnfStyle w:val="000000000000" w:firstRow="0" w:lastRow="0" w:firstColumn="0" w:lastColumn="0" w:oddVBand="0" w:evenVBand="0" w:oddHBand="0" w:evenHBand="0" w:firstRowFirstColumn="0" w:firstRowLastColumn="0" w:lastRowFirstColumn="0" w:lastRowLastColumn="0"/>
            </w:pPr>
            <w:r>
              <w:t>1 607</w:t>
            </w:r>
          </w:p>
        </w:tc>
        <w:tc>
          <w:tcPr>
            <w:tcW w:w="968" w:type="dxa"/>
          </w:tcPr>
          <w:p w14:paraId="4F65AC41" w14:textId="77777777" w:rsidR="004D42F9" w:rsidRDefault="004D42F9">
            <w:pPr>
              <w:cnfStyle w:val="000000000000" w:firstRow="0" w:lastRow="0" w:firstColumn="0" w:lastColumn="0" w:oddVBand="0" w:evenVBand="0" w:oddHBand="0" w:evenHBand="0" w:firstRowFirstColumn="0" w:firstRowLastColumn="0" w:lastRowFirstColumn="0" w:lastRowLastColumn="0"/>
            </w:pPr>
            <w:r>
              <w:t>33 249</w:t>
            </w:r>
          </w:p>
        </w:tc>
        <w:tc>
          <w:tcPr>
            <w:tcW w:w="969" w:type="dxa"/>
          </w:tcPr>
          <w:p w14:paraId="0A8E0B97" w14:textId="77777777" w:rsidR="004D42F9" w:rsidRDefault="004D42F9">
            <w:pPr>
              <w:cnfStyle w:val="000000000000" w:firstRow="0" w:lastRow="0" w:firstColumn="0" w:lastColumn="0" w:oddVBand="0" w:evenVBand="0" w:oddHBand="0" w:evenHBand="0" w:firstRowFirstColumn="0" w:firstRowLastColumn="0" w:lastRowFirstColumn="0" w:lastRowLastColumn="0"/>
            </w:pPr>
            <w:r>
              <w:t>31 928</w:t>
            </w:r>
          </w:p>
        </w:tc>
      </w:tr>
      <w:tr w:rsidR="004D42F9" w14:paraId="3CDFD666" w14:textId="77777777">
        <w:tc>
          <w:tcPr>
            <w:cnfStyle w:val="001000000000" w:firstRow="0" w:lastRow="0" w:firstColumn="1" w:lastColumn="0" w:oddVBand="0" w:evenVBand="0" w:oddHBand="0" w:evenHBand="0" w:firstRowFirstColumn="0" w:firstRowLastColumn="0" w:lastRowFirstColumn="0" w:lastRowLastColumn="0"/>
            <w:tcW w:w="3828" w:type="dxa"/>
          </w:tcPr>
          <w:p w14:paraId="10690870" w14:textId="77777777" w:rsidR="004D42F9" w:rsidRDefault="004D42F9">
            <w:r>
              <w:t>Recreation, culture and religion</w:t>
            </w:r>
          </w:p>
        </w:tc>
        <w:tc>
          <w:tcPr>
            <w:tcW w:w="968" w:type="dxa"/>
          </w:tcPr>
          <w:p w14:paraId="28755794" w14:textId="77777777" w:rsidR="004D42F9" w:rsidRDefault="004D42F9">
            <w:pPr>
              <w:cnfStyle w:val="000000000000" w:firstRow="0" w:lastRow="0" w:firstColumn="0" w:lastColumn="0" w:oddVBand="0" w:evenVBand="0" w:oddHBand="0" w:evenHBand="0" w:firstRowFirstColumn="0" w:firstRowLastColumn="0" w:lastRowFirstColumn="0" w:lastRowLastColumn="0"/>
            </w:pPr>
            <w:r>
              <w:t>1 186</w:t>
            </w:r>
          </w:p>
        </w:tc>
        <w:tc>
          <w:tcPr>
            <w:tcW w:w="968" w:type="dxa"/>
          </w:tcPr>
          <w:p w14:paraId="38AD86A8" w14:textId="77777777" w:rsidR="004D42F9" w:rsidRDefault="004D42F9">
            <w:pPr>
              <w:cnfStyle w:val="000000000000" w:firstRow="0" w:lastRow="0" w:firstColumn="0" w:lastColumn="0" w:oddVBand="0" w:evenVBand="0" w:oddHBand="0" w:evenHBand="0" w:firstRowFirstColumn="0" w:firstRowLastColumn="0" w:lastRowFirstColumn="0" w:lastRowLastColumn="0"/>
            </w:pPr>
            <w:r>
              <w:t>1 458</w:t>
            </w:r>
          </w:p>
        </w:tc>
        <w:tc>
          <w:tcPr>
            <w:tcW w:w="969" w:type="dxa"/>
          </w:tcPr>
          <w:p w14:paraId="7413B637" w14:textId="77777777" w:rsidR="004D42F9" w:rsidRDefault="004D42F9">
            <w:pPr>
              <w:cnfStyle w:val="000000000000" w:firstRow="0" w:lastRow="0" w:firstColumn="0" w:lastColumn="0" w:oddVBand="0" w:evenVBand="0" w:oddHBand="0" w:evenHBand="0" w:firstRowFirstColumn="0" w:firstRowLastColumn="0" w:lastRowFirstColumn="0" w:lastRowLastColumn="0"/>
            </w:pPr>
            <w:r>
              <w:t>210</w:t>
            </w:r>
          </w:p>
        </w:tc>
        <w:tc>
          <w:tcPr>
            <w:tcW w:w="968" w:type="dxa"/>
          </w:tcPr>
          <w:p w14:paraId="33425E5B" w14:textId="77777777" w:rsidR="004D42F9" w:rsidRDefault="004D42F9">
            <w:pPr>
              <w:cnfStyle w:val="000000000000" w:firstRow="0" w:lastRow="0" w:firstColumn="0" w:lastColumn="0" w:oddVBand="0" w:evenVBand="0" w:oddHBand="0" w:evenHBand="0" w:firstRowFirstColumn="0" w:firstRowLastColumn="0" w:lastRowFirstColumn="0" w:lastRowLastColumn="0"/>
            </w:pPr>
            <w:r>
              <w:t>118</w:t>
            </w:r>
          </w:p>
        </w:tc>
        <w:tc>
          <w:tcPr>
            <w:tcW w:w="968" w:type="dxa"/>
          </w:tcPr>
          <w:p w14:paraId="142AA500" w14:textId="77777777" w:rsidR="004D42F9" w:rsidRDefault="004D42F9">
            <w:pPr>
              <w:cnfStyle w:val="000000000000" w:firstRow="0" w:lastRow="0" w:firstColumn="0" w:lastColumn="0" w:oddVBand="0" w:evenVBand="0" w:oddHBand="0" w:evenHBand="0" w:firstRowFirstColumn="0" w:firstRowLastColumn="0" w:lastRowFirstColumn="0" w:lastRowLastColumn="0"/>
            </w:pPr>
            <w:r>
              <w:t>9 668</w:t>
            </w:r>
          </w:p>
        </w:tc>
        <w:tc>
          <w:tcPr>
            <w:tcW w:w="969" w:type="dxa"/>
          </w:tcPr>
          <w:p w14:paraId="43089F9B" w14:textId="77777777" w:rsidR="004D42F9" w:rsidRDefault="004D42F9">
            <w:pPr>
              <w:cnfStyle w:val="000000000000" w:firstRow="0" w:lastRow="0" w:firstColumn="0" w:lastColumn="0" w:oddVBand="0" w:evenVBand="0" w:oddHBand="0" w:evenHBand="0" w:firstRowFirstColumn="0" w:firstRowLastColumn="0" w:lastRowFirstColumn="0" w:lastRowLastColumn="0"/>
            </w:pPr>
            <w:r>
              <w:t>8 670</w:t>
            </w:r>
          </w:p>
        </w:tc>
      </w:tr>
      <w:tr w:rsidR="004D42F9" w14:paraId="4F546C40" w14:textId="77777777">
        <w:tc>
          <w:tcPr>
            <w:cnfStyle w:val="001000000000" w:firstRow="0" w:lastRow="0" w:firstColumn="1" w:lastColumn="0" w:oddVBand="0" w:evenVBand="0" w:oddHBand="0" w:evenHBand="0" w:firstRowFirstColumn="0" w:firstRowLastColumn="0" w:lastRowFirstColumn="0" w:lastRowLastColumn="0"/>
            <w:tcW w:w="3828" w:type="dxa"/>
          </w:tcPr>
          <w:p w14:paraId="7230DFC4" w14:textId="77777777" w:rsidR="004D42F9" w:rsidRDefault="004D42F9">
            <w:r>
              <w:t>Education</w:t>
            </w:r>
          </w:p>
        </w:tc>
        <w:tc>
          <w:tcPr>
            <w:tcW w:w="968" w:type="dxa"/>
          </w:tcPr>
          <w:p w14:paraId="580564CD" w14:textId="77777777" w:rsidR="004D42F9" w:rsidRDefault="004D42F9">
            <w:pPr>
              <w:cnfStyle w:val="000000000000" w:firstRow="0" w:lastRow="0" w:firstColumn="0" w:lastColumn="0" w:oddVBand="0" w:evenVBand="0" w:oddHBand="0" w:evenHBand="0" w:firstRowFirstColumn="0" w:firstRowLastColumn="0" w:lastRowFirstColumn="0" w:lastRowLastColumn="0"/>
            </w:pPr>
            <w:r>
              <w:t>24 127</w:t>
            </w:r>
          </w:p>
        </w:tc>
        <w:tc>
          <w:tcPr>
            <w:tcW w:w="968" w:type="dxa"/>
          </w:tcPr>
          <w:p w14:paraId="61F8FD63" w14:textId="77777777" w:rsidR="004D42F9" w:rsidRDefault="004D42F9">
            <w:pPr>
              <w:cnfStyle w:val="000000000000" w:firstRow="0" w:lastRow="0" w:firstColumn="0" w:lastColumn="0" w:oddVBand="0" w:evenVBand="0" w:oddHBand="0" w:evenHBand="0" w:firstRowFirstColumn="0" w:firstRowLastColumn="0" w:lastRowFirstColumn="0" w:lastRowLastColumn="0"/>
            </w:pPr>
            <w:r>
              <w:t>22 578</w:t>
            </w:r>
          </w:p>
        </w:tc>
        <w:tc>
          <w:tcPr>
            <w:tcW w:w="969" w:type="dxa"/>
          </w:tcPr>
          <w:p w14:paraId="281DB4E7" w14:textId="77777777" w:rsidR="004D42F9" w:rsidRDefault="004D42F9">
            <w:pPr>
              <w:cnfStyle w:val="000000000000" w:firstRow="0" w:lastRow="0" w:firstColumn="0" w:lastColumn="0" w:oddVBand="0" w:evenVBand="0" w:oddHBand="0" w:evenHBand="0" w:firstRowFirstColumn="0" w:firstRowLastColumn="0" w:lastRowFirstColumn="0" w:lastRowLastColumn="0"/>
            </w:pPr>
            <w:r>
              <w:t>2 452</w:t>
            </w:r>
          </w:p>
        </w:tc>
        <w:tc>
          <w:tcPr>
            <w:tcW w:w="968" w:type="dxa"/>
          </w:tcPr>
          <w:p w14:paraId="16B1D803" w14:textId="77777777" w:rsidR="004D42F9" w:rsidRDefault="004D42F9">
            <w:pPr>
              <w:cnfStyle w:val="000000000000" w:firstRow="0" w:lastRow="0" w:firstColumn="0" w:lastColumn="0" w:oddVBand="0" w:evenVBand="0" w:oddHBand="0" w:evenHBand="0" w:firstRowFirstColumn="0" w:firstRowLastColumn="0" w:lastRowFirstColumn="0" w:lastRowLastColumn="0"/>
            </w:pPr>
            <w:r>
              <w:t>2 560</w:t>
            </w:r>
          </w:p>
        </w:tc>
        <w:tc>
          <w:tcPr>
            <w:tcW w:w="968" w:type="dxa"/>
          </w:tcPr>
          <w:p w14:paraId="3FB8B99D" w14:textId="77777777" w:rsidR="004D42F9" w:rsidRDefault="004D42F9">
            <w:pPr>
              <w:cnfStyle w:val="000000000000" w:firstRow="0" w:lastRow="0" w:firstColumn="0" w:lastColumn="0" w:oddVBand="0" w:evenVBand="0" w:oddHBand="0" w:evenHBand="0" w:firstRowFirstColumn="0" w:firstRowLastColumn="0" w:lastRowFirstColumn="0" w:lastRowLastColumn="0"/>
            </w:pPr>
            <w:r>
              <w:t>46 973</w:t>
            </w:r>
          </w:p>
        </w:tc>
        <w:tc>
          <w:tcPr>
            <w:tcW w:w="969" w:type="dxa"/>
          </w:tcPr>
          <w:p w14:paraId="2CB5A3AA" w14:textId="77777777" w:rsidR="004D42F9" w:rsidRDefault="004D42F9">
            <w:pPr>
              <w:cnfStyle w:val="000000000000" w:firstRow="0" w:lastRow="0" w:firstColumn="0" w:lastColumn="0" w:oddVBand="0" w:evenVBand="0" w:oddHBand="0" w:evenHBand="0" w:firstRowFirstColumn="0" w:firstRowLastColumn="0" w:lastRowFirstColumn="0" w:lastRowLastColumn="0"/>
            </w:pPr>
            <w:r>
              <w:t>45 391</w:t>
            </w:r>
          </w:p>
        </w:tc>
      </w:tr>
      <w:tr w:rsidR="004D42F9" w14:paraId="590151E5" w14:textId="77777777">
        <w:tc>
          <w:tcPr>
            <w:cnfStyle w:val="001000000000" w:firstRow="0" w:lastRow="0" w:firstColumn="1" w:lastColumn="0" w:oddVBand="0" w:evenVBand="0" w:oddHBand="0" w:evenHBand="0" w:firstRowFirstColumn="0" w:firstRowLastColumn="0" w:lastRowFirstColumn="0" w:lastRowLastColumn="0"/>
            <w:tcW w:w="3828" w:type="dxa"/>
          </w:tcPr>
          <w:p w14:paraId="74C9B5A1" w14:textId="77777777" w:rsidR="004D42F9" w:rsidRDefault="004D42F9">
            <w:r>
              <w:t>Social protection</w:t>
            </w:r>
          </w:p>
        </w:tc>
        <w:tc>
          <w:tcPr>
            <w:tcW w:w="968" w:type="dxa"/>
          </w:tcPr>
          <w:p w14:paraId="7949CE48" w14:textId="77777777" w:rsidR="004D42F9" w:rsidRDefault="004D42F9">
            <w:pPr>
              <w:cnfStyle w:val="000000000000" w:firstRow="0" w:lastRow="0" w:firstColumn="0" w:lastColumn="0" w:oddVBand="0" w:evenVBand="0" w:oddHBand="0" w:evenHBand="0" w:firstRowFirstColumn="0" w:firstRowLastColumn="0" w:lastRowFirstColumn="0" w:lastRowLastColumn="0"/>
            </w:pPr>
            <w:r>
              <w:t>9 617</w:t>
            </w:r>
          </w:p>
        </w:tc>
        <w:tc>
          <w:tcPr>
            <w:tcW w:w="968" w:type="dxa"/>
          </w:tcPr>
          <w:p w14:paraId="1F7B9678"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8 549</w:t>
            </w:r>
          </w:p>
        </w:tc>
        <w:tc>
          <w:tcPr>
            <w:tcW w:w="969" w:type="dxa"/>
          </w:tcPr>
          <w:p w14:paraId="63484C3D" w14:textId="77777777" w:rsidR="004D42F9" w:rsidRDefault="004D42F9">
            <w:pPr>
              <w:cnfStyle w:val="000000000000" w:firstRow="0" w:lastRow="0" w:firstColumn="0" w:lastColumn="0" w:oddVBand="0" w:evenVBand="0" w:oddHBand="0" w:evenHBand="0" w:firstRowFirstColumn="0" w:firstRowLastColumn="0" w:lastRowFirstColumn="0" w:lastRowLastColumn="0"/>
            </w:pPr>
            <w:r>
              <w:t>84</w:t>
            </w:r>
          </w:p>
        </w:tc>
        <w:tc>
          <w:tcPr>
            <w:tcW w:w="968" w:type="dxa"/>
          </w:tcPr>
          <w:p w14:paraId="67A1A769" w14:textId="77777777" w:rsidR="004D42F9" w:rsidRDefault="004D42F9">
            <w:pPr>
              <w:cnfStyle w:val="000000000000" w:firstRow="0" w:lastRow="0" w:firstColumn="0" w:lastColumn="0" w:oddVBand="0" w:evenVBand="0" w:oddHBand="0" w:evenHBand="0" w:firstRowFirstColumn="0" w:firstRowLastColumn="0" w:lastRowFirstColumn="0" w:lastRowLastColumn="0"/>
            </w:pPr>
            <w:r>
              <w:t>97</w:t>
            </w:r>
          </w:p>
        </w:tc>
        <w:tc>
          <w:tcPr>
            <w:tcW w:w="968" w:type="dxa"/>
          </w:tcPr>
          <w:p w14:paraId="3FA04C86" w14:textId="77777777" w:rsidR="004D42F9" w:rsidRDefault="004D42F9">
            <w:pPr>
              <w:cnfStyle w:val="000000000000" w:firstRow="0" w:lastRow="0" w:firstColumn="0" w:lastColumn="0" w:oddVBand="0" w:evenVBand="0" w:oddHBand="0" w:evenHBand="0" w:firstRowFirstColumn="0" w:firstRowLastColumn="0" w:lastRowFirstColumn="0" w:lastRowLastColumn="0"/>
            </w:pPr>
            <w:r>
              <w:t>2 727</w:t>
            </w:r>
          </w:p>
        </w:tc>
        <w:tc>
          <w:tcPr>
            <w:tcW w:w="969" w:type="dxa"/>
          </w:tcPr>
          <w:p w14:paraId="03A4814E" w14:textId="77777777" w:rsidR="004D42F9" w:rsidRDefault="004D42F9">
            <w:pPr>
              <w:cnfStyle w:val="000000000000" w:firstRow="0" w:lastRow="0" w:firstColumn="0" w:lastColumn="0" w:oddVBand="0" w:evenVBand="0" w:oddHBand="0" w:evenHBand="0" w:firstRowFirstColumn="0" w:firstRowLastColumn="0" w:lastRowFirstColumn="0" w:lastRowLastColumn="0"/>
            </w:pPr>
            <w:r>
              <w:t>2 690</w:t>
            </w:r>
          </w:p>
        </w:tc>
      </w:tr>
      <w:tr w:rsidR="004D42F9" w14:paraId="6190B124" w14:textId="77777777">
        <w:tc>
          <w:tcPr>
            <w:cnfStyle w:val="001000000000" w:firstRow="0" w:lastRow="0" w:firstColumn="1" w:lastColumn="0" w:oddVBand="0" w:evenVBand="0" w:oddHBand="0" w:evenHBand="0" w:firstRowFirstColumn="0" w:firstRowLastColumn="0" w:lastRowFirstColumn="0" w:lastRowLastColumn="0"/>
            <w:tcW w:w="3828" w:type="dxa"/>
          </w:tcPr>
          <w:p w14:paraId="22AF9FC0" w14:textId="77777777" w:rsidR="004D42F9" w:rsidRDefault="004D42F9">
            <w:r>
              <w:t>Transport</w:t>
            </w:r>
          </w:p>
        </w:tc>
        <w:tc>
          <w:tcPr>
            <w:tcW w:w="968" w:type="dxa"/>
          </w:tcPr>
          <w:p w14:paraId="46904F42"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8 544</w:t>
            </w:r>
          </w:p>
        </w:tc>
        <w:tc>
          <w:tcPr>
            <w:tcW w:w="968" w:type="dxa"/>
          </w:tcPr>
          <w:p w14:paraId="293D6DE5" w14:textId="77777777" w:rsidR="004D42F9" w:rsidRDefault="004D42F9">
            <w:pPr>
              <w:cnfStyle w:val="000000000000" w:firstRow="0" w:lastRow="0" w:firstColumn="0" w:lastColumn="0" w:oddVBand="0" w:evenVBand="0" w:oddHBand="0" w:evenHBand="0" w:firstRowFirstColumn="0" w:firstRowLastColumn="0" w:lastRowFirstColumn="0" w:lastRowLastColumn="0"/>
            </w:pPr>
            <w:r>
              <w:t>8 498</w:t>
            </w:r>
          </w:p>
        </w:tc>
        <w:tc>
          <w:tcPr>
            <w:tcW w:w="969" w:type="dxa"/>
          </w:tcPr>
          <w:p w14:paraId="34ADB8A4" w14:textId="77777777" w:rsidR="004D42F9" w:rsidRDefault="004D42F9">
            <w:pPr>
              <w:cnfStyle w:val="000000000000" w:firstRow="0" w:lastRow="0" w:firstColumn="0" w:lastColumn="0" w:oddVBand="0" w:evenVBand="0" w:oddHBand="0" w:evenHBand="0" w:firstRowFirstColumn="0" w:firstRowLastColumn="0" w:lastRowFirstColumn="0" w:lastRowLastColumn="0"/>
            </w:pPr>
            <w:r>
              <w:t>10 099</w:t>
            </w:r>
          </w:p>
        </w:tc>
        <w:tc>
          <w:tcPr>
            <w:tcW w:w="968" w:type="dxa"/>
          </w:tcPr>
          <w:p w14:paraId="07914C3D" w14:textId="77777777" w:rsidR="004D42F9" w:rsidRDefault="004D42F9">
            <w:pPr>
              <w:cnfStyle w:val="000000000000" w:firstRow="0" w:lastRow="0" w:firstColumn="0" w:lastColumn="0" w:oddVBand="0" w:evenVBand="0" w:oddHBand="0" w:evenHBand="0" w:firstRowFirstColumn="0" w:firstRowLastColumn="0" w:lastRowFirstColumn="0" w:lastRowLastColumn="0"/>
            </w:pPr>
            <w:r>
              <w:t>11 576</w:t>
            </w:r>
          </w:p>
        </w:tc>
        <w:tc>
          <w:tcPr>
            <w:tcW w:w="968" w:type="dxa"/>
          </w:tcPr>
          <w:p w14:paraId="6C267FC6" w14:textId="77777777" w:rsidR="004D42F9" w:rsidRDefault="004D42F9">
            <w:pPr>
              <w:cnfStyle w:val="000000000000" w:firstRow="0" w:lastRow="0" w:firstColumn="0" w:lastColumn="0" w:oddVBand="0" w:evenVBand="0" w:oddHBand="0" w:evenHBand="0" w:firstRowFirstColumn="0" w:firstRowLastColumn="0" w:lastRowFirstColumn="0" w:lastRowLastColumn="0"/>
            </w:pPr>
            <w:r>
              <w:t>161 392</w:t>
            </w:r>
          </w:p>
        </w:tc>
        <w:tc>
          <w:tcPr>
            <w:tcW w:w="969" w:type="dxa"/>
          </w:tcPr>
          <w:p w14:paraId="1C00B0F0" w14:textId="77777777" w:rsidR="004D42F9" w:rsidRDefault="004D42F9">
            <w:pPr>
              <w:cnfStyle w:val="000000000000" w:firstRow="0" w:lastRow="0" w:firstColumn="0" w:lastColumn="0" w:oddVBand="0" w:evenVBand="0" w:oddHBand="0" w:evenHBand="0" w:firstRowFirstColumn="0" w:firstRowLastColumn="0" w:lastRowFirstColumn="0" w:lastRowLastColumn="0"/>
            </w:pPr>
            <w:r>
              <w:t>146 666</w:t>
            </w:r>
          </w:p>
        </w:tc>
      </w:tr>
      <w:tr w:rsidR="004D42F9" w14:paraId="3472DBB1"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06E896A3" w14:textId="77777777" w:rsidR="004D42F9" w:rsidRDefault="004D42F9">
            <w:r>
              <w:t>Not allocated by function</w:t>
            </w:r>
            <w:r>
              <w:rPr>
                <w:vertAlign w:val="superscript"/>
              </w:rPr>
              <w:t xml:space="preserve"> (a)(b)</w:t>
            </w:r>
          </w:p>
        </w:tc>
        <w:tc>
          <w:tcPr>
            <w:tcW w:w="968" w:type="dxa"/>
            <w:tcBorders>
              <w:bottom w:val="single" w:sz="6" w:space="0" w:color="auto"/>
            </w:tcBorders>
          </w:tcPr>
          <w:p w14:paraId="23E7958D" w14:textId="77777777" w:rsidR="004D42F9" w:rsidRDefault="004D42F9">
            <w:pPr>
              <w:cnfStyle w:val="000000000000" w:firstRow="0" w:lastRow="0" w:firstColumn="0" w:lastColumn="0" w:oddVBand="0" w:evenVBand="0" w:oddHBand="0" w:evenHBand="0" w:firstRowFirstColumn="0" w:firstRowLastColumn="0" w:lastRowFirstColumn="0" w:lastRowLastColumn="0"/>
            </w:pPr>
            <w:r>
              <w:t>(529)</w:t>
            </w:r>
          </w:p>
        </w:tc>
        <w:tc>
          <w:tcPr>
            <w:tcW w:w="968" w:type="dxa"/>
            <w:tcBorders>
              <w:bottom w:val="single" w:sz="6" w:space="0" w:color="auto"/>
            </w:tcBorders>
          </w:tcPr>
          <w:p w14:paraId="06610DC1" w14:textId="77777777" w:rsidR="004D42F9" w:rsidRDefault="004D42F9">
            <w:pPr>
              <w:cnfStyle w:val="000000000000" w:firstRow="0" w:lastRow="0" w:firstColumn="0" w:lastColumn="0" w:oddVBand="0" w:evenVBand="0" w:oddHBand="0" w:evenHBand="0" w:firstRowFirstColumn="0" w:firstRowLastColumn="0" w:lastRowFirstColumn="0" w:lastRowLastColumn="0"/>
            </w:pPr>
            <w:r>
              <w:t>(558)</w:t>
            </w:r>
          </w:p>
        </w:tc>
        <w:tc>
          <w:tcPr>
            <w:tcW w:w="969" w:type="dxa"/>
            <w:tcBorders>
              <w:bottom w:val="single" w:sz="6" w:space="0" w:color="auto"/>
            </w:tcBorders>
          </w:tcPr>
          <w:p w14:paraId="54595C2F" w14:textId="77777777" w:rsidR="004D42F9" w:rsidRDefault="004D42F9">
            <w:pPr>
              <w:cnfStyle w:val="000000000000" w:firstRow="0" w:lastRow="0" w:firstColumn="0" w:lastColumn="0" w:oddVBand="0" w:evenVBand="0" w:oddHBand="0" w:evenHBand="0" w:firstRowFirstColumn="0" w:firstRowLastColumn="0" w:lastRowFirstColumn="0" w:lastRowLastColumn="0"/>
            </w:pPr>
            <w:r>
              <w:t>(7)</w:t>
            </w:r>
          </w:p>
        </w:tc>
        <w:tc>
          <w:tcPr>
            <w:tcW w:w="968" w:type="dxa"/>
            <w:tcBorders>
              <w:bottom w:val="single" w:sz="6" w:space="0" w:color="auto"/>
            </w:tcBorders>
          </w:tcPr>
          <w:p w14:paraId="03326453" w14:textId="77777777" w:rsidR="004D42F9" w:rsidRDefault="004D42F9">
            <w:pPr>
              <w:cnfStyle w:val="000000000000" w:firstRow="0" w:lastRow="0" w:firstColumn="0" w:lastColumn="0" w:oddVBand="0" w:evenVBand="0" w:oddHBand="0" w:evenHBand="0" w:firstRowFirstColumn="0" w:firstRowLastColumn="0" w:lastRowFirstColumn="0" w:lastRowLastColumn="0"/>
            </w:pPr>
            <w:r>
              <w:t>6</w:t>
            </w:r>
          </w:p>
        </w:tc>
        <w:tc>
          <w:tcPr>
            <w:tcW w:w="968" w:type="dxa"/>
            <w:tcBorders>
              <w:bottom w:val="single" w:sz="6" w:space="0" w:color="auto"/>
            </w:tcBorders>
          </w:tcPr>
          <w:p w14:paraId="3F3F712F" w14:textId="2BD88B21" w:rsidR="004D42F9" w:rsidRDefault="004D42F9">
            <w:pPr>
              <w:cnfStyle w:val="000000000000" w:firstRow="0" w:lastRow="0" w:firstColumn="0" w:lastColumn="0" w:oddVBand="0" w:evenVBand="0" w:oddHBand="0" w:evenHBand="0" w:firstRowFirstColumn="0" w:firstRowLastColumn="0" w:lastRowFirstColumn="0" w:lastRowLastColumn="0"/>
            </w:pPr>
            <w:r>
              <w:t>1</w:t>
            </w:r>
            <w:r w:rsidR="00FB37A8">
              <w:t>44</w:t>
            </w:r>
            <w:r>
              <w:t xml:space="preserve"> </w:t>
            </w:r>
            <w:r w:rsidR="00FB37A8">
              <w:t>119</w:t>
            </w:r>
          </w:p>
        </w:tc>
        <w:tc>
          <w:tcPr>
            <w:tcW w:w="969" w:type="dxa"/>
            <w:tcBorders>
              <w:bottom w:val="single" w:sz="6" w:space="0" w:color="auto"/>
            </w:tcBorders>
          </w:tcPr>
          <w:p w14:paraId="7FE5F848" w14:textId="77777777" w:rsidR="004D42F9" w:rsidRDefault="004D42F9">
            <w:pPr>
              <w:cnfStyle w:val="000000000000" w:firstRow="0" w:lastRow="0" w:firstColumn="0" w:lastColumn="0" w:oddVBand="0" w:evenVBand="0" w:oddHBand="0" w:evenHBand="0" w:firstRowFirstColumn="0" w:firstRowLastColumn="0" w:lastRowFirstColumn="0" w:lastRowLastColumn="0"/>
            </w:pPr>
            <w:r>
              <w:t>144 521</w:t>
            </w:r>
          </w:p>
        </w:tc>
      </w:tr>
      <w:tr w:rsidR="004D42F9" w14:paraId="3B5EA004"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3562E0C1" w14:textId="77777777" w:rsidR="004D42F9" w:rsidRDefault="004D42F9">
            <w:r>
              <w:rPr>
                <w:b/>
              </w:rPr>
              <w:t>Total</w:t>
            </w:r>
          </w:p>
        </w:tc>
        <w:tc>
          <w:tcPr>
            <w:tcW w:w="968" w:type="dxa"/>
            <w:tcBorders>
              <w:top w:val="single" w:sz="6" w:space="0" w:color="auto"/>
              <w:bottom w:val="single" w:sz="12" w:space="0" w:color="auto"/>
            </w:tcBorders>
          </w:tcPr>
          <w:p w14:paraId="2D5522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104 006</w:t>
            </w:r>
          </w:p>
        </w:tc>
        <w:tc>
          <w:tcPr>
            <w:tcW w:w="968" w:type="dxa"/>
            <w:tcBorders>
              <w:top w:val="single" w:sz="6" w:space="0" w:color="auto"/>
              <w:bottom w:val="single" w:sz="12" w:space="0" w:color="auto"/>
            </w:tcBorders>
          </w:tcPr>
          <w:p w14:paraId="361C792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97 279</w:t>
            </w:r>
          </w:p>
        </w:tc>
        <w:tc>
          <w:tcPr>
            <w:tcW w:w="969" w:type="dxa"/>
            <w:tcBorders>
              <w:top w:val="single" w:sz="6" w:space="0" w:color="auto"/>
              <w:bottom w:val="single" w:sz="12" w:space="0" w:color="auto"/>
            </w:tcBorders>
          </w:tcPr>
          <w:p w14:paraId="7D5FE05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16 220</w:t>
            </w:r>
          </w:p>
        </w:tc>
        <w:tc>
          <w:tcPr>
            <w:tcW w:w="968" w:type="dxa"/>
            <w:tcBorders>
              <w:top w:val="single" w:sz="6" w:space="0" w:color="auto"/>
              <w:bottom w:val="single" w:sz="12" w:space="0" w:color="auto"/>
            </w:tcBorders>
          </w:tcPr>
          <w:p w14:paraId="622F803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17 375</w:t>
            </w:r>
          </w:p>
        </w:tc>
        <w:tc>
          <w:tcPr>
            <w:tcW w:w="968" w:type="dxa"/>
            <w:tcBorders>
              <w:top w:val="single" w:sz="6" w:space="0" w:color="auto"/>
              <w:bottom w:val="single" w:sz="12" w:space="0" w:color="auto"/>
            </w:tcBorders>
          </w:tcPr>
          <w:p w14:paraId="53579B5F" w14:textId="69EA526D" w:rsidR="004D42F9" w:rsidRDefault="004D42F9">
            <w:pPr>
              <w:cnfStyle w:val="000000000000" w:firstRow="0" w:lastRow="0" w:firstColumn="0" w:lastColumn="0" w:oddVBand="0" w:evenVBand="0" w:oddHBand="0" w:evenHBand="0" w:firstRowFirstColumn="0" w:firstRowLastColumn="0" w:lastRowFirstColumn="0" w:lastRowLastColumn="0"/>
            </w:pPr>
            <w:r>
              <w:rPr>
                <w:b/>
              </w:rPr>
              <w:t>4</w:t>
            </w:r>
            <w:r w:rsidR="00FB37A8">
              <w:rPr>
                <w:b/>
              </w:rPr>
              <w:t>40</w:t>
            </w:r>
            <w:r>
              <w:rPr>
                <w:b/>
              </w:rPr>
              <w:t xml:space="preserve"> </w:t>
            </w:r>
            <w:r w:rsidR="00FB37A8">
              <w:rPr>
                <w:b/>
              </w:rPr>
              <w:t>305</w:t>
            </w:r>
          </w:p>
        </w:tc>
        <w:tc>
          <w:tcPr>
            <w:tcW w:w="969" w:type="dxa"/>
            <w:tcBorders>
              <w:top w:val="single" w:sz="6" w:space="0" w:color="auto"/>
              <w:bottom w:val="single" w:sz="12" w:space="0" w:color="auto"/>
            </w:tcBorders>
          </w:tcPr>
          <w:p w14:paraId="62F064F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421 623</w:t>
            </w:r>
          </w:p>
        </w:tc>
      </w:tr>
    </w:tbl>
    <w:p w14:paraId="382D8116" w14:textId="77777777" w:rsidR="004D42F9" w:rsidRDefault="004D42F9" w:rsidP="004D42F9">
      <w:pPr>
        <w:pStyle w:val="Note"/>
      </w:pPr>
      <w:r>
        <w:t>Notes:</w:t>
      </w:r>
    </w:p>
    <w:p w14:paraId="44BDF558" w14:textId="77777777" w:rsidR="004D42F9" w:rsidRDefault="004D42F9" w:rsidP="004D42F9">
      <w:pPr>
        <w:pStyle w:val="Note"/>
      </w:pPr>
      <w:r>
        <w:t>(a)</w:t>
      </w:r>
      <w:r>
        <w:tab/>
        <w:t>Not allocated by function for expenses and purchases of non-financial assets represents eliminations and adjustments.</w:t>
      </w:r>
    </w:p>
    <w:p w14:paraId="467A0E54" w14:textId="77777777" w:rsidR="004D42F9" w:rsidRDefault="004D42F9" w:rsidP="004D42F9">
      <w:pPr>
        <w:pStyle w:val="Note"/>
      </w:pPr>
      <w:r>
        <w:t>(b)</w:t>
      </w:r>
      <w:r>
        <w:tab/>
        <w:t>Not allocated by function for total assets represents eliminations and adjustments, and financial assets that are not able to be allocated by function.</w:t>
      </w:r>
    </w:p>
    <w:p w14:paraId="538492CB" w14:textId="77777777" w:rsidR="004D42F9" w:rsidRDefault="004D42F9" w:rsidP="004D42F9"/>
    <w:p w14:paraId="20004D44" w14:textId="77777777" w:rsidR="004D42F9" w:rsidRDefault="004D42F9" w:rsidP="004D42F9"/>
    <w:bookmarkEnd w:id="74"/>
    <w:p w14:paraId="46A0E32C" w14:textId="77777777" w:rsidR="004D42F9" w:rsidRDefault="004D42F9" w:rsidP="004D42F9"/>
    <w:p w14:paraId="2537F50A" w14:textId="77777777" w:rsidR="004D42F9" w:rsidRDefault="004D42F9" w:rsidP="004D42F9">
      <w:pPr>
        <w:keepLines w:val="0"/>
        <w:rPr>
          <w:rFonts w:asciiTheme="majorHAnsi" w:eastAsiaTheme="majorEastAsia" w:hAnsiTheme="majorHAnsi" w:cstheme="majorBidi"/>
          <w:b/>
          <w:caps/>
          <w:sz w:val="27"/>
          <w:szCs w:val="32"/>
        </w:rPr>
      </w:pPr>
      <w:r>
        <w:br w:type="page"/>
      </w:r>
    </w:p>
    <w:p w14:paraId="6EC0433E" w14:textId="77777777" w:rsidR="004D42F9" w:rsidRDefault="004D42F9" w:rsidP="004D42F9">
      <w:pPr>
        <w:pStyle w:val="Heading1"/>
      </w:pPr>
      <w:bookmarkStart w:id="84" w:name="_Toc203394899"/>
      <w:bookmarkStart w:id="85" w:name="_Toc209474780"/>
      <w:r>
        <w:lastRenderedPageBreak/>
        <w:t>4.</w:t>
      </w:r>
      <w:r>
        <w:tab/>
        <w:t>Major assets and investments</w:t>
      </w:r>
      <w:bookmarkEnd w:id="84"/>
      <w:bookmarkEnd w:id="85"/>
    </w:p>
    <w:p w14:paraId="4D85C7BC" w14:textId="77777777" w:rsidR="002D61B9" w:rsidRDefault="002D61B9" w:rsidP="004D42F9">
      <w:pPr>
        <w:pStyle w:val="Heading3"/>
        <w:sectPr w:rsidR="002D61B9" w:rsidSect="004F2221">
          <w:headerReference w:type="even" r:id="rId78"/>
          <w:headerReference w:type="default" r:id="rId79"/>
          <w:type w:val="continuous"/>
          <w:pgSz w:w="11906" w:h="16838" w:code="9"/>
          <w:pgMar w:top="1134" w:right="1134" w:bottom="1134" w:left="1134" w:header="624" w:footer="567" w:gutter="0"/>
          <w:cols w:space="708"/>
          <w:titlePg/>
          <w:docGrid w:linePitch="360"/>
        </w:sectPr>
      </w:pPr>
    </w:p>
    <w:p w14:paraId="60E08DB8" w14:textId="77777777" w:rsidR="004D42F9" w:rsidRDefault="004D42F9" w:rsidP="004D42F9">
      <w:pPr>
        <w:pStyle w:val="Heading3"/>
      </w:pPr>
      <w:r>
        <w:t>Introduction</w:t>
      </w:r>
    </w:p>
    <w:p w14:paraId="21A9B0C6" w14:textId="77777777" w:rsidR="004D42F9" w:rsidRDefault="004D42F9" w:rsidP="004D42F9">
      <w:r>
        <w:t>This section outlines those assets that the State controls, reflecting investing activities in the current and prior years.</w:t>
      </w:r>
    </w:p>
    <w:p w14:paraId="05EF691C" w14:textId="0FFC8381" w:rsidR="004D42F9" w:rsidRDefault="002D61B9" w:rsidP="004D42F9">
      <w:pPr>
        <w:pStyle w:val="Heading3"/>
      </w:pPr>
      <w:r>
        <w:br w:type="column"/>
      </w:r>
      <w:r w:rsidR="004D42F9">
        <w:t>Structure</w:t>
      </w:r>
    </w:p>
    <w:p w14:paraId="5DB7A763" w14:textId="47776772" w:rsidR="00BC0C0C" w:rsidRDefault="004D42F9">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Section4 \t "Heading 2,9" </w:instrText>
      </w:r>
      <w:r>
        <w:rPr>
          <w:color w:val="2B579A"/>
          <w:shd w:val="clear" w:color="auto" w:fill="E6E6E6"/>
        </w:rPr>
        <w:fldChar w:fldCharType="separate"/>
      </w:r>
      <w:hyperlink w:anchor="_Toc209481735" w:history="1">
        <w:r w:rsidR="00BC0C0C" w:rsidRPr="00BD3FD3">
          <w:rPr>
            <w:rStyle w:val="Hyperlink"/>
            <w:noProof/>
          </w:rPr>
          <w:t>4.1</w:t>
        </w:r>
        <w:r w:rsidR="00BC0C0C">
          <w:rPr>
            <w:rFonts w:eastAsiaTheme="minorEastAsia"/>
            <w:noProof/>
            <w:kern w:val="2"/>
            <w:sz w:val="24"/>
            <w:szCs w:val="24"/>
            <w:lang w:eastAsia="en-AU"/>
            <w14:ligatures w14:val="standardContextual"/>
          </w:rPr>
          <w:tab/>
        </w:r>
        <w:r w:rsidR="00BC0C0C" w:rsidRPr="00BD3FD3">
          <w:rPr>
            <w:rStyle w:val="Hyperlink"/>
            <w:noProof/>
          </w:rPr>
          <w:t>Land, buildings, infrastructure, plant and equipment</w:t>
        </w:r>
        <w:r w:rsidR="00BC0C0C">
          <w:rPr>
            <w:noProof/>
            <w:webHidden/>
          </w:rPr>
          <w:tab/>
        </w:r>
        <w:r w:rsidR="00BC0C0C">
          <w:rPr>
            <w:noProof/>
            <w:webHidden/>
          </w:rPr>
          <w:fldChar w:fldCharType="begin"/>
        </w:r>
        <w:r w:rsidR="00BC0C0C">
          <w:rPr>
            <w:noProof/>
            <w:webHidden/>
          </w:rPr>
          <w:instrText xml:space="preserve"> PAGEREF _Toc209481735 \h </w:instrText>
        </w:r>
        <w:r w:rsidR="00BC0C0C">
          <w:rPr>
            <w:noProof/>
            <w:webHidden/>
          </w:rPr>
        </w:r>
        <w:r w:rsidR="00BC0C0C">
          <w:rPr>
            <w:noProof/>
            <w:webHidden/>
          </w:rPr>
          <w:fldChar w:fldCharType="separate"/>
        </w:r>
        <w:r w:rsidR="00727C5B">
          <w:rPr>
            <w:noProof/>
            <w:webHidden/>
          </w:rPr>
          <w:t>70</w:t>
        </w:r>
        <w:r w:rsidR="00BC0C0C">
          <w:rPr>
            <w:noProof/>
            <w:webHidden/>
          </w:rPr>
          <w:fldChar w:fldCharType="end"/>
        </w:r>
      </w:hyperlink>
    </w:p>
    <w:p w14:paraId="699D673D" w14:textId="030D435C" w:rsidR="00BC0C0C" w:rsidRDefault="00BC0C0C">
      <w:pPr>
        <w:pStyle w:val="TOC9"/>
        <w:rPr>
          <w:rFonts w:eastAsiaTheme="minorEastAsia"/>
          <w:noProof/>
          <w:kern w:val="2"/>
          <w:sz w:val="24"/>
          <w:szCs w:val="24"/>
          <w:lang w:eastAsia="en-AU"/>
          <w14:ligatures w14:val="standardContextual"/>
        </w:rPr>
      </w:pPr>
      <w:hyperlink w:anchor="_Toc209481736" w:history="1">
        <w:r w:rsidRPr="00BD3FD3">
          <w:rPr>
            <w:rStyle w:val="Hyperlink"/>
            <w:noProof/>
          </w:rPr>
          <w:t>4.2</w:t>
        </w:r>
        <w:r>
          <w:rPr>
            <w:rFonts w:eastAsiaTheme="minorEastAsia"/>
            <w:noProof/>
            <w:kern w:val="2"/>
            <w:sz w:val="24"/>
            <w:szCs w:val="24"/>
            <w:lang w:eastAsia="en-AU"/>
            <w14:ligatures w14:val="standardContextual"/>
          </w:rPr>
          <w:tab/>
        </w:r>
        <w:r w:rsidRPr="00BD3FD3">
          <w:rPr>
            <w:rStyle w:val="Hyperlink"/>
            <w:noProof/>
          </w:rPr>
          <w:t>Other non-financial assets</w:t>
        </w:r>
        <w:r>
          <w:rPr>
            <w:noProof/>
            <w:webHidden/>
          </w:rPr>
          <w:tab/>
        </w:r>
        <w:r>
          <w:rPr>
            <w:noProof/>
            <w:webHidden/>
          </w:rPr>
          <w:fldChar w:fldCharType="begin"/>
        </w:r>
        <w:r>
          <w:rPr>
            <w:noProof/>
            <w:webHidden/>
          </w:rPr>
          <w:instrText xml:space="preserve"> PAGEREF _Toc209481736 \h </w:instrText>
        </w:r>
        <w:r>
          <w:rPr>
            <w:noProof/>
            <w:webHidden/>
          </w:rPr>
        </w:r>
        <w:r>
          <w:rPr>
            <w:noProof/>
            <w:webHidden/>
          </w:rPr>
          <w:fldChar w:fldCharType="separate"/>
        </w:r>
        <w:r w:rsidR="00727C5B">
          <w:rPr>
            <w:noProof/>
            <w:webHidden/>
          </w:rPr>
          <w:t>78</w:t>
        </w:r>
        <w:r>
          <w:rPr>
            <w:noProof/>
            <w:webHidden/>
          </w:rPr>
          <w:fldChar w:fldCharType="end"/>
        </w:r>
      </w:hyperlink>
    </w:p>
    <w:p w14:paraId="568E8D0A" w14:textId="0D67C3A2" w:rsidR="00BC0C0C" w:rsidRDefault="00BC0C0C">
      <w:pPr>
        <w:pStyle w:val="TOC9"/>
        <w:rPr>
          <w:rFonts w:eastAsiaTheme="minorEastAsia"/>
          <w:noProof/>
          <w:kern w:val="2"/>
          <w:sz w:val="24"/>
          <w:szCs w:val="24"/>
          <w:lang w:eastAsia="en-AU"/>
          <w14:ligatures w14:val="standardContextual"/>
        </w:rPr>
      </w:pPr>
      <w:hyperlink w:anchor="_Toc209481737" w:history="1">
        <w:r w:rsidRPr="00BD3FD3">
          <w:rPr>
            <w:rStyle w:val="Hyperlink"/>
            <w:noProof/>
          </w:rPr>
          <w:t>4.3</w:t>
        </w:r>
        <w:r>
          <w:rPr>
            <w:rFonts w:eastAsiaTheme="minorEastAsia"/>
            <w:noProof/>
            <w:kern w:val="2"/>
            <w:sz w:val="24"/>
            <w:szCs w:val="24"/>
            <w:lang w:eastAsia="en-AU"/>
            <w14:ligatures w14:val="standardContextual"/>
          </w:rPr>
          <w:tab/>
        </w:r>
        <w:r w:rsidRPr="00BD3FD3">
          <w:rPr>
            <w:rStyle w:val="Hyperlink"/>
            <w:noProof/>
          </w:rPr>
          <w:t>Investments in PNFC and PFC sector entities</w:t>
        </w:r>
        <w:r>
          <w:rPr>
            <w:noProof/>
            <w:webHidden/>
          </w:rPr>
          <w:tab/>
        </w:r>
        <w:r>
          <w:rPr>
            <w:noProof/>
            <w:webHidden/>
          </w:rPr>
          <w:fldChar w:fldCharType="begin"/>
        </w:r>
        <w:r>
          <w:rPr>
            <w:noProof/>
            <w:webHidden/>
          </w:rPr>
          <w:instrText xml:space="preserve"> PAGEREF _Toc209481737 \h </w:instrText>
        </w:r>
        <w:r>
          <w:rPr>
            <w:noProof/>
            <w:webHidden/>
          </w:rPr>
        </w:r>
        <w:r>
          <w:rPr>
            <w:noProof/>
            <w:webHidden/>
          </w:rPr>
          <w:fldChar w:fldCharType="separate"/>
        </w:r>
        <w:r w:rsidR="00727C5B">
          <w:rPr>
            <w:noProof/>
            <w:webHidden/>
          </w:rPr>
          <w:t>80</w:t>
        </w:r>
        <w:r>
          <w:rPr>
            <w:noProof/>
            <w:webHidden/>
          </w:rPr>
          <w:fldChar w:fldCharType="end"/>
        </w:r>
      </w:hyperlink>
    </w:p>
    <w:p w14:paraId="35C59878" w14:textId="115B88FA" w:rsidR="00BC0C0C" w:rsidRDefault="00BC0C0C">
      <w:pPr>
        <w:pStyle w:val="TOC9"/>
        <w:rPr>
          <w:rFonts w:eastAsiaTheme="minorEastAsia"/>
          <w:noProof/>
          <w:kern w:val="2"/>
          <w:sz w:val="24"/>
          <w:szCs w:val="24"/>
          <w:lang w:eastAsia="en-AU"/>
          <w14:ligatures w14:val="standardContextual"/>
        </w:rPr>
      </w:pPr>
      <w:hyperlink w:anchor="_Toc209481738" w:history="1">
        <w:r w:rsidRPr="00BD3FD3">
          <w:rPr>
            <w:rStyle w:val="Hyperlink"/>
            <w:noProof/>
          </w:rPr>
          <w:t>4.4</w:t>
        </w:r>
        <w:r>
          <w:rPr>
            <w:rFonts w:eastAsiaTheme="minorEastAsia"/>
            <w:noProof/>
            <w:kern w:val="2"/>
            <w:sz w:val="24"/>
            <w:szCs w:val="24"/>
            <w:lang w:eastAsia="en-AU"/>
            <w14:ligatures w14:val="standardContextual"/>
          </w:rPr>
          <w:tab/>
        </w:r>
        <w:r w:rsidRPr="00BD3FD3">
          <w:rPr>
            <w:rStyle w:val="Hyperlink"/>
            <w:noProof/>
          </w:rPr>
          <w:t xml:space="preserve">Investments in associates and joint </w:t>
        </w:r>
        <w:r>
          <w:rPr>
            <w:rStyle w:val="Hyperlink"/>
            <w:noProof/>
          </w:rPr>
          <w:br/>
        </w:r>
        <w:r w:rsidRPr="00BD3FD3">
          <w:rPr>
            <w:rStyle w:val="Hyperlink"/>
            <w:noProof/>
          </w:rPr>
          <w:t>arrangements</w:t>
        </w:r>
        <w:r>
          <w:rPr>
            <w:noProof/>
            <w:webHidden/>
          </w:rPr>
          <w:tab/>
        </w:r>
        <w:r>
          <w:rPr>
            <w:noProof/>
            <w:webHidden/>
          </w:rPr>
          <w:fldChar w:fldCharType="begin"/>
        </w:r>
        <w:r>
          <w:rPr>
            <w:noProof/>
            <w:webHidden/>
          </w:rPr>
          <w:instrText xml:space="preserve"> PAGEREF _Toc209481738 \h </w:instrText>
        </w:r>
        <w:r>
          <w:rPr>
            <w:noProof/>
            <w:webHidden/>
          </w:rPr>
        </w:r>
        <w:r>
          <w:rPr>
            <w:noProof/>
            <w:webHidden/>
          </w:rPr>
          <w:fldChar w:fldCharType="separate"/>
        </w:r>
        <w:r w:rsidR="00727C5B">
          <w:rPr>
            <w:noProof/>
            <w:webHidden/>
          </w:rPr>
          <w:t>80</w:t>
        </w:r>
        <w:r>
          <w:rPr>
            <w:noProof/>
            <w:webHidden/>
          </w:rPr>
          <w:fldChar w:fldCharType="end"/>
        </w:r>
      </w:hyperlink>
    </w:p>
    <w:p w14:paraId="204C5110" w14:textId="7876F348" w:rsidR="002D61B9" w:rsidRDefault="004D42F9" w:rsidP="004D42F9">
      <w:pPr>
        <w:rPr>
          <w:color w:val="2B579A"/>
          <w:shd w:val="clear" w:color="auto" w:fill="E6E6E6"/>
        </w:rPr>
        <w:sectPr w:rsidR="002D61B9" w:rsidSect="002D61B9">
          <w:type w:val="continuous"/>
          <w:pgSz w:w="11906" w:h="16838" w:code="9"/>
          <w:pgMar w:top="1134" w:right="1134" w:bottom="1134" w:left="1134" w:header="624" w:footer="567" w:gutter="0"/>
          <w:cols w:num="2" w:space="708"/>
          <w:docGrid w:linePitch="360"/>
        </w:sectPr>
      </w:pPr>
      <w:r>
        <w:rPr>
          <w:color w:val="2B579A"/>
          <w:shd w:val="clear" w:color="auto" w:fill="E6E6E6"/>
        </w:rPr>
        <w:fldChar w:fldCharType="end"/>
      </w:r>
    </w:p>
    <w:p w14:paraId="7BEC7D31" w14:textId="77777777" w:rsidR="004D42F9" w:rsidRDefault="004D42F9" w:rsidP="004D42F9"/>
    <w:p w14:paraId="3A8BBE62" w14:textId="77777777" w:rsidR="004D42F9" w:rsidRDefault="004D42F9" w:rsidP="004D42F9">
      <w:pPr>
        <w:pStyle w:val="Heading2"/>
      </w:pPr>
      <w:bookmarkStart w:id="86" w:name="_Toc209481735"/>
      <w:bookmarkStart w:id="87" w:name="Section4"/>
      <w:r>
        <w:t>4.1</w:t>
      </w:r>
      <w:r>
        <w:tab/>
        <w:t>Land, buildings, infrastructure, plant and equipment</w:t>
      </w:r>
      <w:bookmarkEnd w:id="86"/>
    </w:p>
    <w:p w14:paraId="1E137990" w14:textId="77777777" w:rsidR="004D42F9" w:rsidRDefault="004D42F9" w:rsidP="004D42F9">
      <w:pPr>
        <w:pStyle w:val="Heading3"/>
      </w:pPr>
      <w:r>
        <w:t>4.1.1</w:t>
      </w:r>
      <w:r>
        <w:tab/>
        <w:t>Total land, buildings, infrastructure, plant and equipment</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PPE_CY"/>
      </w:tblPr>
      <w:tblGrid>
        <w:gridCol w:w="3686"/>
        <w:gridCol w:w="850"/>
        <w:gridCol w:w="1134"/>
        <w:gridCol w:w="851"/>
        <w:gridCol w:w="992"/>
        <w:gridCol w:w="1134"/>
        <w:gridCol w:w="991"/>
      </w:tblGrid>
      <w:tr w:rsidR="004D42F9" w14:paraId="3C30191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C2B597C" w14:textId="77777777" w:rsidR="004D42F9" w:rsidRDefault="004D42F9">
            <w:pPr>
              <w:keepNext/>
            </w:pPr>
          </w:p>
        </w:tc>
        <w:tc>
          <w:tcPr>
            <w:tcW w:w="2835" w:type="dxa"/>
            <w:gridSpan w:val="3"/>
          </w:tcPr>
          <w:p w14:paraId="5614D186"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3117" w:type="dxa"/>
            <w:gridSpan w:val="3"/>
          </w:tcPr>
          <w:p w14:paraId="77B6D5A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2F56B2" w14:paraId="5DE248B0"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3686" w:type="dxa"/>
          </w:tcPr>
          <w:p w14:paraId="1C3ED5D5" w14:textId="77777777" w:rsidR="004D42F9" w:rsidRDefault="004D42F9">
            <w:pPr>
              <w:keepNext/>
            </w:pPr>
            <w:r>
              <w:t>2025</w:t>
            </w:r>
          </w:p>
        </w:tc>
        <w:tc>
          <w:tcPr>
            <w:tcW w:w="850" w:type="dxa"/>
          </w:tcPr>
          <w:p w14:paraId="319DFD62" w14:textId="77777777" w:rsidR="004D42F9" w:rsidRDefault="004D42F9">
            <w:pPr>
              <w:keepNext/>
              <w:cnfStyle w:val="100000000000" w:firstRow="1" w:lastRow="0" w:firstColumn="0" w:lastColumn="0" w:oddVBand="0" w:evenVBand="0" w:oddHBand="0" w:evenHBand="0" w:firstRowFirstColumn="0" w:firstRowLastColumn="0" w:lastRowFirstColumn="0" w:lastRowLastColumn="0"/>
              <w:rPr>
                <w:i w:val="0"/>
              </w:rPr>
            </w:pPr>
            <w:r>
              <w:t>Gross carrying</w:t>
            </w:r>
          </w:p>
          <w:p w14:paraId="150E6A8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amount</w:t>
            </w:r>
          </w:p>
        </w:tc>
        <w:tc>
          <w:tcPr>
            <w:tcW w:w="1134" w:type="dxa"/>
          </w:tcPr>
          <w:p w14:paraId="6518786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51" w:type="dxa"/>
          </w:tcPr>
          <w:p w14:paraId="76D0FC2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c>
          <w:tcPr>
            <w:tcW w:w="992" w:type="dxa"/>
          </w:tcPr>
          <w:p w14:paraId="4A678A5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4" w:type="dxa"/>
          </w:tcPr>
          <w:p w14:paraId="013206F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991" w:type="dxa"/>
          </w:tcPr>
          <w:p w14:paraId="7742EF4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r>
      <w:tr w:rsidR="004D42F9" w14:paraId="6FC6768F" w14:textId="77777777">
        <w:tc>
          <w:tcPr>
            <w:cnfStyle w:val="001000000000" w:firstRow="0" w:lastRow="0" w:firstColumn="1" w:lastColumn="0" w:oddVBand="0" w:evenVBand="0" w:oddHBand="0" w:evenHBand="0" w:firstRowFirstColumn="0" w:firstRowLastColumn="0" w:lastRowFirstColumn="0" w:lastRowLastColumn="0"/>
            <w:tcW w:w="3686" w:type="dxa"/>
          </w:tcPr>
          <w:p w14:paraId="4D0B81D8" w14:textId="77777777" w:rsidR="004D42F9" w:rsidRDefault="004D42F9">
            <w:r>
              <w:t>Buildings</w:t>
            </w:r>
          </w:p>
        </w:tc>
        <w:tc>
          <w:tcPr>
            <w:tcW w:w="850" w:type="dxa"/>
          </w:tcPr>
          <w:p w14:paraId="4D81299D" w14:textId="77777777" w:rsidR="004D42F9" w:rsidRDefault="004D42F9">
            <w:pPr>
              <w:cnfStyle w:val="000000000000" w:firstRow="0" w:lastRow="0" w:firstColumn="0" w:lastColumn="0" w:oddVBand="0" w:evenVBand="0" w:oddHBand="0" w:evenHBand="0" w:firstRowFirstColumn="0" w:firstRowLastColumn="0" w:lastRowFirstColumn="0" w:lastRowLastColumn="0"/>
            </w:pPr>
            <w:r>
              <w:t>104 626</w:t>
            </w:r>
          </w:p>
        </w:tc>
        <w:tc>
          <w:tcPr>
            <w:tcW w:w="1134" w:type="dxa"/>
          </w:tcPr>
          <w:p w14:paraId="6F264652" w14:textId="77777777" w:rsidR="004D42F9" w:rsidRDefault="004D42F9">
            <w:pPr>
              <w:cnfStyle w:val="000000000000" w:firstRow="0" w:lastRow="0" w:firstColumn="0" w:lastColumn="0" w:oddVBand="0" w:evenVBand="0" w:oddHBand="0" w:evenHBand="0" w:firstRowFirstColumn="0" w:firstRowLastColumn="0" w:lastRowFirstColumn="0" w:lastRowLastColumn="0"/>
            </w:pPr>
            <w:r>
              <w:t>(7 429)</w:t>
            </w:r>
          </w:p>
        </w:tc>
        <w:tc>
          <w:tcPr>
            <w:tcW w:w="851" w:type="dxa"/>
          </w:tcPr>
          <w:p w14:paraId="2A64B346" w14:textId="77777777" w:rsidR="004D42F9" w:rsidRDefault="004D42F9">
            <w:pPr>
              <w:cnfStyle w:val="000000000000" w:firstRow="0" w:lastRow="0" w:firstColumn="0" w:lastColumn="0" w:oddVBand="0" w:evenVBand="0" w:oddHBand="0" w:evenHBand="0" w:firstRowFirstColumn="0" w:firstRowLastColumn="0" w:lastRowFirstColumn="0" w:lastRowLastColumn="0"/>
            </w:pPr>
            <w:r>
              <w:t>97 197</w:t>
            </w:r>
          </w:p>
        </w:tc>
        <w:tc>
          <w:tcPr>
            <w:tcW w:w="992" w:type="dxa"/>
          </w:tcPr>
          <w:p w14:paraId="743E4517" w14:textId="77777777" w:rsidR="004D42F9" w:rsidRDefault="004D42F9">
            <w:pPr>
              <w:cnfStyle w:val="000000000000" w:firstRow="0" w:lastRow="0" w:firstColumn="0" w:lastColumn="0" w:oddVBand="0" w:evenVBand="0" w:oddHBand="0" w:evenHBand="0" w:firstRowFirstColumn="0" w:firstRowLastColumn="0" w:lastRowFirstColumn="0" w:lastRowLastColumn="0"/>
            </w:pPr>
            <w:r>
              <w:t>67 682</w:t>
            </w:r>
          </w:p>
        </w:tc>
        <w:tc>
          <w:tcPr>
            <w:tcW w:w="1134" w:type="dxa"/>
          </w:tcPr>
          <w:p w14:paraId="13ED7A32" w14:textId="77777777" w:rsidR="004D42F9" w:rsidRDefault="004D42F9">
            <w:pPr>
              <w:cnfStyle w:val="000000000000" w:firstRow="0" w:lastRow="0" w:firstColumn="0" w:lastColumn="0" w:oddVBand="0" w:evenVBand="0" w:oddHBand="0" w:evenHBand="0" w:firstRowFirstColumn="0" w:firstRowLastColumn="0" w:lastRowFirstColumn="0" w:lastRowLastColumn="0"/>
            </w:pPr>
            <w:r>
              <w:t>(5 996)</w:t>
            </w:r>
          </w:p>
        </w:tc>
        <w:tc>
          <w:tcPr>
            <w:tcW w:w="991" w:type="dxa"/>
          </w:tcPr>
          <w:p w14:paraId="187586F0" w14:textId="77777777" w:rsidR="004D42F9" w:rsidRDefault="004D42F9">
            <w:pPr>
              <w:cnfStyle w:val="000000000000" w:firstRow="0" w:lastRow="0" w:firstColumn="0" w:lastColumn="0" w:oddVBand="0" w:evenVBand="0" w:oddHBand="0" w:evenHBand="0" w:firstRowFirstColumn="0" w:firstRowLastColumn="0" w:lastRowFirstColumn="0" w:lastRowLastColumn="0"/>
            </w:pPr>
            <w:r>
              <w:t>61 686</w:t>
            </w:r>
          </w:p>
        </w:tc>
      </w:tr>
      <w:tr w:rsidR="004D42F9" w14:paraId="7190E0D3" w14:textId="77777777">
        <w:tc>
          <w:tcPr>
            <w:cnfStyle w:val="001000000000" w:firstRow="0" w:lastRow="0" w:firstColumn="1" w:lastColumn="0" w:oddVBand="0" w:evenVBand="0" w:oddHBand="0" w:evenHBand="0" w:firstRowFirstColumn="0" w:firstRowLastColumn="0" w:lastRowFirstColumn="0" w:lastRowLastColumn="0"/>
            <w:tcW w:w="3686" w:type="dxa"/>
          </w:tcPr>
          <w:p w14:paraId="2BBF2FD5" w14:textId="77777777" w:rsidR="004D42F9" w:rsidRDefault="004D42F9">
            <w:r>
              <w:t>Land and national parks</w:t>
            </w:r>
          </w:p>
        </w:tc>
        <w:tc>
          <w:tcPr>
            <w:tcW w:w="850" w:type="dxa"/>
          </w:tcPr>
          <w:p w14:paraId="609AB6CC" w14:textId="77777777" w:rsidR="004D42F9" w:rsidRDefault="004D42F9">
            <w:pPr>
              <w:cnfStyle w:val="000000000000" w:firstRow="0" w:lastRow="0" w:firstColumn="0" w:lastColumn="0" w:oddVBand="0" w:evenVBand="0" w:oddHBand="0" w:evenHBand="0" w:firstRowFirstColumn="0" w:firstRowLastColumn="0" w:lastRowFirstColumn="0" w:lastRowLastColumn="0"/>
            </w:pPr>
            <w:r>
              <w:t>137 886</w:t>
            </w:r>
          </w:p>
        </w:tc>
        <w:tc>
          <w:tcPr>
            <w:tcW w:w="1134" w:type="dxa"/>
          </w:tcPr>
          <w:p w14:paraId="2A63A7B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C252D9B" w14:textId="77777777" w:rsidR="004D42F9" w:rsidRDefault="004D42F9">
            <w:pPr>
              <w:cnfStyle w:val="000000000000" w:firstRow="0" w:lastRow="0" w:firstColumn="0" w:lastColumn="0" w:oddVBand="0" w:evenVBand="0" w:oddHBand="0" w:evenHBand="0" w:firstRowFirstColumn="0" w:firstRowLastColumn="0" w:lastRowFirstColumn="0" w:lastRowLastColumn="0"/>
            </w:pPr>
            <w:r>
              <w:t>137 886</w:t>
            </w:r>
          </w:p>
        </w:tc>
        <w:tc>
          <w:tcPr>
            <w:tcW w:w="992" w:type="dxa"/>
          </w:tcPr>
          <w:p w14:paraId="49537A43" w14:textId="77777777" w:rsidR="004D42F9" w:rsidRDefault="004D42F9">
            <w:pPr>
              <w:cnfStyle w:val="000000000000" w:firstRow="0" w:lastRow="0" w:firstColumn="0" w:lastColumn="0" w:oddVBand="0" w:evenVBand="0" w:oddHBand="0" w:evenHBand="0" w:firstRowFirstColumn="0" w:firstRowLastColumn="0" w:lastRowFirstColumn="0" w:lastRowLastColumn="0"/>
            </w:pPr>
            <w:r>
              <w:t>91 359</w:t>
            </w:r>
          </w:p>
        </w:tc>
        <w:tc>
          <w:tcPr>
            <w:tcW w:w="1134" w:type="dxa"/>
          </w:tcPr>
          <w:p w14:paraId="228625D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0F66B094" w14:textId="77777777" w:rsidR="004D42F9" w:rsidRDefault="004D42F9">
            <w:pPr>
              <w:cnfStyle w:val="000000000000" w:firstRow="0" w:lastRow="0" w:firstColumn="0" w:lastColumn="0" w:oddVBand="0" w:evenVBand="0" w:oddHBand="0" w:evenHBand="0" w:firstRowFirstColumn="0" w:firstRowLastColumn="0" w:lastRowFirstColumn="0" w:lastRowLastColumn="0"/>
            </w:pPr>
            <w:r>
              <w:t>91 359</w:t>
            </w:r>
          </w:p>
        </w:tc>
      </w:tr>
      <w:tr w:rsidR="004D42F9" w14:paraId="0CDCE2AD" w14:textId="77777777">
        <w:tc>
          <w:tcPr>
            <w:cnfStyle w:val="001000000000" w:firstRow="0" w:lastRow="0" w:firstColumn="1" w:lastColumn="0" w:oddVBand="0" w:evenVBand="0" w:oddHBand="0" w:evenHBand="0" w:firstRowFirstColumn="0" w:firstRowLastColumn="0" w:lastRowFirstColumn="0" w:lastRowLastColumn="0"/>
            <w:tcW w:w="3686" w:type="dxa"/>
          </w:tcPr>
          <w:p w14:paraId="5E0DEE4B" w14:textId="77777777" w:rsidR="004D42F9" w:rsidRDefault="004D42F9">
            <w:r>
              <w:t>Infrastructure</w:t>
            </w:r>
          </w:p>
        </w:tc>
        <w:tc>
          <w:tcPr>
            <w:tcW w:w="850" w:type="dxa"/>
          </w:tcPr>
          <w:p w14:paraId="577BA5F6" w14:textId="77777777" w:rsidR="004D42F9" w:rsidRDefault="004D42F9">
            <w:pPr>
              <w:cnfStyle w:val="000000000000" w:firstRow="0" w:lastRow="0" w:firstColumn="0" w:lastColumn="0" w:oddVBand="0" w:evenVBand="0" w:oddHBand="0" w:evenHBand="0" w:firstRowFirstColumn="0" w:firstRowLastColumn="0" w:lastRowFirstColumn="0" w:lastRowLastColumn="0"/>
            </w:pPr>
            <w:r>
              <w:t>94 161</w:t>
            </w:r>
          </w:p>
        </w:tc>
        <w:tc>
          <w:tcPr>
            <w:tcW w:w="1134" w:type="dxa"/>
          </w:tcPr>
          <w:p w14:paraId="3D9AABBA" w14:textId="77777777" w:rsidR="004D42F9" w:rsidRDefault="004D42F9">
            <w:pPr>
              <w:cnfStyle w:val="000000000000" w:firstRow="0" w:lastRow="0" w:firstColumn="0" w:lastColumn="0" w:oddVBand="0" w:evenVBand="0" w:oddHBand="0" w:evenHBand="0" w:firstRowFirstColumn="0" w:firstRowLastColumn="0" w:lastRowFirstColumn="0" w:lastRowLastColumn="0"/>
            </w:pPr>
            <w:r>
              <w:t>(5 772)</w:t>
            </w:r>
          </w:p>
        </w:tc>
        <w:tc>
          <w:tcPr>
            <w:tcW w:w="851" w:type="dxa"/>
          </w:tcPr>
          <w:p w14:paraId="71BAE4D8" w14:textId="77777777" w:rsidR="004D42F9" w:rsidRDefault="004D42F9">
            <w:pPr>
              <w:cnfStyle w:val="000000000000" w:firstRow="0" w:lastRow="0" w:firstColumn="0" w:lastColumn="0" w:oddVBand="0" w:evenVBand="0" w:oddHBand="0" w:evenHBand="0" w:firstRowFirstColumn="0" w:firstRowLastColumn="0" w:lastRowFirstColumn="0" w:lastRowLastColumn="0"/>
            </w:pPr>
            <w:r>
              <w:t>88 389</w:t>
            </w:r>
          </w:p>
        </w:tc>
        <w:tc>
          <w:tcPr>
            <w:tcW w:w="992" w:type="dxa"/>
          </w:tcPr>
          <w:p w14:paraId="29EA305A" w14:textId="77777777" w:rsidR="004D42F9" w:rsidRDefault="004D42F9">
            <w:pPr>
              <w:cnfStyle w:val="000000000000" w:firstRow="0" w:lastRow="0" w:firstColumn="0" w:lastColumn="0" w:oddVBand="0" w:evenVBand="0" w:oddHBand="0" w:evenHBand="0" w:firstRowFirstColumn="0" w:firstRowLastColumn="0" w:lastRowFirstColumn="0" w:lastRowLastColumn="0"/>
            </w:pPr>
            <w:r>
              <w:t>2 388</w:t>
            </w:r>
          </w:p>
        </w:tc>
        <w:tc>
          <w:tcPr>
            <w:tcW w:w="1134" w:type="dxa"/>
          </w:tcPr>
          <w:p w14:paraId="184DA62B" w14:textId="77777777" w:rsidR="004D42F9" w:rsidRDefault="004D42F9">
            <w:pPr>
              <w:cnfStyle w:val="000000000000" w:firstRow="0" w:lastRow="0" w:firstColumn="0" w:lastColumn="0" w:oddVBand="0" w:evenVBand="0" w:oddHBand="0" w:evenHBand="0" w:firstRowFirstColumn="0" w:firstRowLastColumn="0" w:lastRowFirstColumn="0" w:lastRowLastColumn="0"/>
            </w:pPr>
            <w:r>
              <w:t>(627)</w:t>
            </w:r>
          </w:p>
        </w:tc>
        <w:tc>
          <w:tcPr>
            <w:tcW w:w="991" w:type="dxa"/>
          </w:tcPr>
          <w:p w14:paraId="75EC7F4F" w14:textId="77777777" w:rsidR="004D42F9" w:rsidRDefault="004D42F9">
            <w:pPr>
              <w:cnfStyle w:val="000000000000" w:firstRow="0" w:lastRow="0" w:firstColumn="0" w:lastColumn="0" w:oddVBand="0" w:evenVBand="0" w:oddHBand="0" w:evenHBand="0" w:firstRowFirstColumn="0" w:firstRowLastColumn="0" w:lastRowFirstColumn="0" w:lastRowLastColumn="0"/>
            </w:pPr>
            <w:r>
              <w:t>1 761</w:t>
            </w:r>
          </w:p>
        </w:tc>
      </w:tr>
      <w:tr w:rsidR="004D42F9" w14:paraId="18A77D87" w14:textId="77777777">
        <w:tc>
          <w:tcPr>
            <w:cnfStyle w:val="001000000000" w:firstRow="0" w:lastRow="0" w:firstColumn="1" w:lastColumn="0" w:oddVBand="0" w:evenVBand="0" w:oddHBand="0" w:evenHBand="0" w:firstRowFirstColumn="0" w:firstRowLastColumn="0" w:lastRowFirstColumn="0" w:lastRowLastColumn="0"/>
            <w:tcW w:w="3686" w:type="dxa"/>
          </w:tcPr>
          <w:p w14:paraId="10F0CCC2" w14:textId="77777777" w:rsidR="004D42F9" w:rsidRDefault="004D42F9">
            <w:r>
              <w:t>Plant, equipment and vehicles</w:t>
            </w:r>
          </w:p>
        </w:tc>
        <w:tc>
          <w:tcPr>
            <w:tcW w:w="850" w:type="dxa"/>
          </w:tcPr>
          <w:p w14:paraId="00EBF404" w14:textId="77777777" w:rsidR="004D42F9" w:rsidRDefault="004D42F9">
            <w:pPr>
              <w:cnfStyle w:val="000000000000" w:firstRow="0" w:lastRow="0" w:firstColumn="0" w:lastColumn="0" w:oddVBand="0" w:evenVBand="0" w:oddHBand="0" w:evenHBand="0" w:firstRowFirstColumn="0" w:firstRowLastColumn="0" w:lastRowFirstColumn="0" w:lastRowLastColumn="0"/>
            </w:pPr>
            <w:r>
              <w:t>23 691</w:t>
            </w:r>
          </w:p>
        </w:tc>
        <w:tc>
          <w:tcPr>
            <w:tcW w:w="1134" w:type="dxa"/>
          </w:tcPr>
          <w:p w14:paraId="76FCE024" w14:textId="77777777" w:rsidR="004D42F9" w:rsidRDefault="004D42F9">
            <w:pPr>
              <w:cnfStyle w:val="000000000000" w:firstRow="0" w:lastRow="0" w:firstColumn="0" w:lastColumn="0" w:oddVBand="0" w:evenVBand="0" w:oddHBand="0" w:evenHBand="0" w:firstRowFirstColumn="0" w:firstRowLastColumn="0" w:lastRowFirstColumn="0" w:lastRowLastColumn="0"/>
            </w:pPr>
            <w:r>
              <w:t>(7 719)</w:t>
            </w:r>
          </w:p>
        </w:tc>
        <w:tc>
          <w:tcPr>
            <w:tcW w:w="851" w:type="dxa"/>
          </w:tcPr>
          <w:p w14:paraId="5E2FC91A" w14:textId="77777777" w:rsidR="004D42F9" w:rsidRDefault="004D42F9">
            <w:pPr>
              <w:cnfStyle w:val="000000000000" w:firstRow="0" w:lastRow="0" w:firstColumn="0" w:lastColumn="0" w:oddVBand="0" w:evenVBand="0" w:oddHBand="0" w:evenHBand="0" w:firstRowFirstColumn="0" w:firstRowLastColumn="0" w:lastRowFirstColumn="0" w:lastRowLastColumn="0"/>
            </w:pPr>
            <w:r>
              <w:t>15 971</w:t>
            </w:r>
          </w:p>
        </w:tc>
        <w:tc>
          <w:tcPr>
            <w:tcW w:w="992" w:type="dxa"/>
          </w:tcPr>
          <w:p w14:paraId="6A42D1C5" w14:textId="77777777" w:rsidR="004D42F9" w:rsidRDefault="004D42F9">
            <w:pPr>
              <w:cnfStyle w:val="000000000000" w:firstRow="0" w:lastRow="0" w:firstColumn="0" w:lastColumn="0" w:oddVBand="0" w:evenVBand="0" w:oddHBand="0" w:evenHBand="0" w:firstRowFirstColumn="0" w:firstRowLastColumn="0" w:lastRowFirstColumn="0" w:lastRowLastColumn="0"/>
            </w:pPr>
            <w:r>
              <w:t>11 003</w:t>
            </w:r>
          </w:p>
        </w:tc>
        <w:tc>
          <w:tcPr>
            <w:tcW w:w="1134" w:type="dxa"/>
          </w:tcPr>
          <w:p w14:paraId="20765EEA" w14:textId="77777777" w:rsidR="004D42F9" w:rsidRDefault="004D42F9">
            <w:pPr>
              <w:cnfStyle w:val="000000000000" w:firstRow="0" w:lastRow="0" w:firstColumn="0" w:lastColumn="0" w:oddVBand="0" w:evenVBand="0" w:oddHBand="0" w:evenHBand="0" w:firstRowFirstColumn="0" w:firstRowLastColumn="0" w:lastRowFirstColumn="0" w:lastRowLastColumn="0"/>
            </w:pPr>
            <w:r>
              <w:t>(6 506)</w:t>
            </w:r>
          </w:p>
        </w:tc>
        <w:tc>
          <w:tcPr>
            <w:tcW w:w="991" w:type="dxa"/>
          </w:tcPr>
          <w:p w14:paraId="78240382" w14:textId="77777777" w:rsidR="004D42F9" w:rsidRDefault="004D42F9">
            <w:pPr>
              <w:cnfStyle w:val="000000000000" w:firstRow="0" w:lastRow="0" w:firstColumn="0" w:lastColumn="0" w:oddVBand="0" w:evenVBand="0" w:oddHBand="0" w:evenHBand="0" w:firstRowFirstColumn="0" w:firstRowLastColumn="0" w:lastRowFirstColumn="0" w:lastRowLastColumn="0"/>
            </w:pPr>
            <w:r>
              <w:t>4 497</w:t>
            </w:r>
          </w:p>
        </w:tc>
      </w:tr>
      <w:tr w:rsidR="004D42F9" w14:paraId="175F603B" w14:textId="77777777">
        <w:tc>
          <w:tcPr>
            <w:cnfStyle w:val="001000000000" w:firstRow="0" w:lastRow="0" w:firstColumn="1" w:lastColumn="0" w:oddVBand="0" w:evenVBand="0" w:oddHBand="0" w:evenHBand="0" w:firstRowFirstColumn="0" w:firstRowLastColumn="0" w:lastRowFirstColumn="0" w:lastRowLastColumn="0"/>
            <w:tcW w:w="3686" w:type="dxa"/>
          </w:tcPr>
          <w:p w14:paraId="6C875BB6" w14:textId="77777777" w:rsidR="004D42F9" w:rsidRDefault="004D42F9">
            <w:r>
              <w:t>Roads and road infrastructure</w:t>
            </w:r>
          </w:p>
        </w:tc>
        <w:tc>
          <w:tcPr>
            <w:tcW w:w="850" w:type="dxa"/>
          </w:tcPr>
          <w:p w14:paraId="1FD653C0" w14:textId="77777777" w:rsidR="004D42F9" w:rsidRDefault="004D42F9">
            <w:pPr>
              <w:cnfStyle w:val="000000000000" w:firstRow="0" w:lastRow="0" w:firstColumn="0" w:lastColumn="0" w:oddVBand="0" w:evenVBand="0" w:oddHBand="0" w:evenHBand="0" w:firstRowFirstColumn="0" w:firstRowLastColumn="0" w:lastRowFirstColumn="0" w:lastRowLastColumn="0"/>
            </w:pPr>
            <w:r>
              <w:t>43 914</w:t>
            </w:r>
          </w:p>
        </w:tc>
        <w:tc>
          <w:tcPr>
            <w:tcW w:w="1134" w:type="dxa"/>
          </w:tcPr>
          <w:p w14:paraId="7C579F53" w14:textId="77777777" w:rsidR="004D42F9" w:rsidRDefault="004D42F9">
            <w:pPr>
              <w:cnfStyle w:val="000000000000" w:firstRow="0" w:lastRow="0" w:firstColumn="0" w:lastColumn="0" w:oddVBand="0" w:evenVBand="0" w:oddHBand="0" w:evenHBand="0" w:firstRowFirstColumn="0" w:firstRowLastColumn="0" w:lastRowFirstColumn="0" w:lastRowLastColumn="0"/>
            </w:pPr>
            <w:r>
              <w:t>(90)</w:t>
            </w:r>
          </w:p>
        </w:tc>
        <w:tc>
          <w:tcPr>
            <w:tcW w:w="851" w:type="dxa"/>
          </w:tcPr>
          <w:p w14:paraId="4888244B" w14:textId="77777777" w:rsidR="004D42F9" w:rsidRDefault="004D42F9">
            <w:pPr>
              <w:cnfStyle w:val="000000000000" w:firstRow="0" w:lastRow="0" w:firstColumn="0" w:lastColumn="0" w:oddVBand="0" w:evenVBand="0" w:oddHBand="0" w:evenHBand="0" w:firstRowFirstColumn="0" w:firstRowLastColumn="0" w:lastRowFirstColumn="0" w:lastRowLastColumn="0"/>
            </w:pPr>
            <w:r>
              <w:t>43 824</w:t>
            </w:r>
          </w:p>
        </w:tc>
        <w:tc>
          <w:tcPr>
            <w:tcW w:w="992" w:type="dxa"/>
          </w:tcPr>
          <w:p w14:paraId="29E535E0" w14:textId="77777777" w:rsidR="004D42F9" w:rsidRDefault="004D42F9">
            <w:pPr>
              <w:cnfStyle w:val="000000000000" w:firstRow="0" w:lastRow="0" w:firstColumn="0" w:lastColumn="0" w:oddVBand="0" w:evenVBand="0" w:oddHBand="0" w:evenHBand="0" w:firstRowFirstColumn="0" w:firstRowLastColumn="0" w:lastRowFirstColumn="0" w:lastRowLastColumn="0"/>
            </w:pPr>
            <w:r>
              <w:t>43 736</w:t>
            </w:r>
          </w:p>
        </w:tc>
        <w:tc>
          <w:tcPr>
            <w:tcW w:w="1134" w:type="dxa"/>
          </w:tcPr>
          <w:p w14:paraId="5950AA0A" w14:textId="77777777" w:rsidR="004D42F9" w:rsidRDefault="004D42F9">
            <w:pPr>
              <w:cnfStyle w:val="000000000000" w:firstRow="0" w:lastRow="0" w:firstColumn="0" w:lastColumn="0" w:oddVBand="0" w:evenVBand="0" w:oddHBand="0" w:evenHBand="0" w:firstRowFirstColumn="0" w:firstRowLastColumn="0" w:lastRowFirstColumn="0" w:lastRowLastColumn="0"/>
            </w:pPr>
            <w:r>
              <w:t>(73)</w:t>
            </w:r>
          </w:p>
        </w:tc>
        <w:tc>
          <w:tcPr>
            <w:tcW w:w="991" w:type="dxa"/>
          </w:tcPr>
          <w:p w14:paraId="06982F68" w14:textId="77777777" w:rsidR="004D42F9" w:rsidRDefault="004D42F9">
            <w:pPr>
              <w:cnfStyle w:val="000000000000" w:firstRow="0" w:lastRow="0" w:firstColumn="0" w:lastColumn="0" w:oddVBand="0" w:evenVBand="0" w:oddHBand="0" w:evenHBand="0" w:firstRowFirstColumn="0" w:firstRowLastColumn="0" w:lastRowFirstColumn="0" w:lastRowLastColumn="0"/>
            </w:pPr>
            <w:r>
              <w:t>43 663</w:t>
            </w:r>
          </w:p>
        </w:tc>
      </w:tr>
      <w:tr w:rsidR="004D42F9" w14:paraId="330ECD09" w14:textId="77777777">
        <w:tc>
          <w:tcPr>
            <w:cnfStyle w:val="001000000000" w:firstRow="0" w:lastRow="0" w:firstColumn="1" w:lastColumn="0" w:oddVBand="0" w:evenVBand="0" w:oddHBand="0" w:evenHBand="0" w:firstRowFirstColumn="0" w:firstRowLastColumn="0" w:lastRowFirstColumn="0" w:lastRowLastColumn="0"/>
            <w:tcW w:w="3686" w:type="dxa"/>
          </w:tcPr>
          <w:p w14:paraId="40FB7ACB" w14:textId="77777777" w:rsidR="004D42F9" w:rsidRDefault="004D42F9">
            <w:r>
              <w:t>Earthworks</w:t>
            </w:r>
          </w:p>
        </w:tc>
        <w:tc>
          <w:tcPr>
            <w:tcW w:w="850" w:type="dxa"/>
          </w:tcPr>
          <w:p w14:paraId="0AA2A2E7" w14:textId="77777777" w:rsidR="004D42F9" w:rsidRDefault="004D42F9">
            <w:pPr>
              <w:cnfStyle w:val="000000000000" w:firstRow="0" w:lastRow="0" w:firstColumn="0" w:lastColumn="0" w:oddVBand="0" w:evenVBand="0" w:oddHBand="0" w:evenHBand="0" w:firstRowFirstColumn="0" w:firstRowLastColumn="0" w:lastRowFirstColumn="0" w:lastRowLastColumn="0"/>
            </w:pPr>
            <w:r>
              <w:t>34 011</w:t>
            </w:r>
          </w:p>
        </w:tc>
        <w:tc>
          <w:tcPr>
            <w:tcW w:w="1134" w:type="dxa"/>
          </w:tcPr>
          <w:p w14:paraId="1C5033A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BD9C523" w14:textId="77777777" w:rsidR="004D42F9" w:rsidRDefault="004D42F9">
            <w:pPr>
              <w:cnfStyle w:val="000000000000" w:firstRow="0" w:lastRow="0" w:firstColumn="0" w:lastColumn="0" w:oddVBand="0" w:evenVBand="0" w:oddHBand="0" w:evenHBand="0" w:firstRowFirstColumn="0" w:firstRowLastColumn="0" w:lastRowFirstColumn="0" w:lastRowLastColumn="0"/>
            </w:pPr>
            <w:r>
              <w:t>34 011</w:t>
            </w:r>
          </w:p>
        </w:tc>
        <w:tc>
          <w:tcPr>
            <w:tcW w:w="992" w:type="dxa"/>
          </w:tcPr>
          <w:p w14:paraId="7C6CB025" w14:textId="77777777" w:rsidR="004D42F9" w:rsidRDefault="004D42F9">
            <w:pPr>
              <w:cnfStyle w:val="000000000000" w:firstRow="0" w:lastRow="0" w:firstColumn="0" w:lastColumn="0" w:oddVBand="0" w:evenVBand="0" w:oddHBand="0" w:evenHBand="0" w:firstRowFirstColumn="0" w:firstRowLastColumn="0" w:lastRowFirstColumn="0" w:lastRowLastColumn="0"/>
            </w:pPr>
            <w:r>
              <w:t>14 403</w:t>
            </w:r>
          </w:p>
        </w:tc>
        <w:tc>
          <w:tcPr>
            <w:tcW w:w="1134" w:type="dxa"/>
          </w:tcPr>
          <w:p w14:paraId="70AE72E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6F79E9E4" w14:textId="77777777" w:rsidR="004D42F9" w:rsidRDefault="004D42F9">
            <w:pPr>
              <w:cnfStyle w:val="000000000000" w:firstRow="0" w:lastRow="0" w:firstColumn="0" w:lastColumn="0" w:oddVBand="0" w:evenVBand="0" w:oddHBand="0" w:evenHBand="0" w:firstRowFirstColumn="0" w:firstRowLastColumn="0" w:lastRowFirstColumn="0" w:lastRowLastColumn="0"/>
            </w:pPr>
            <w:r>
              <w:t>14 403</w:t>
            </w:r>
          </w:p>
        </w:tc>
      </w:tr>
      <w:tr w:rsidR="004D42F9" w14:paraId="57D6F5D5" w14:textId="77777777">
        <w:tc>
          <w:tcPr>
            <w:cnfStyle w:val="001000000000" w:firstRow="0" w:lastRow="0" w:firstColumn="1" w:lastColumn="0" w:oddVBand="0" w:evenVBand="0" w:oddHBand="0" w:evenHBand="0" w:firstRowFirstColumn="0" w:firstRowLastColumn="0" w:lastRowFirstColumn="0" w:lastRowLastColumn="0"/>
            <w:tcW w:w="3686" w:type="dxa"/>
          </w:tcPr>
          <w:p w14:paraId="59DC99D3" w14:textId="77777777" w:rsidR="004D42F9" w:rsidRDefault="004D42F9">
            <w:r>
              <w:t>Cultural assets</w:t>
            </w:r>
          </w:p>
        </w:tc>
        <w:tc>
          <w:tcPr>
            <w:tcW w:w="850" w:type="dxa"/>
          </w:tcPr>
          <w:p w14:paraId="7F061F65" w14:textId="77777777" w:rsidR="004D42F9" w:rsidRDefault="004D42F9">
            <w:pPr>
              <w:cnfStyle w:val="000000000000" w:firstRow="0" w:lastRow="0" w:firstColumn="0" w:lastColumn="0" w:oddVBand="0" w:evenVBand="0" w:oddHBand="0" w:evenHBand="0" w:firstRowFirstColumn="0" w:firstRowLastColumn="0" w:lastRowFirstColumn="0" w:lastRowLastColumn="0"/>
            </w:pPr>
            <w:r>
              <w:t>7 565</w:t>
            </w:r>
          </w:p>
        </w:tc>
        <w:tc>
          <w:tcPr>
            <w:tcW w:w="1134" w:type="dxa"/>
          </w:tcPr>
          <w:p w14:paraId="28EF6D8A" w14:textId="77777777" w:rsidR="004D42F9" w:rsidRDefault="004D42F9">
            <w:pPr>
              <w:cnfStyle w:val="000000000000" w:firstRow="0" w:lastRow="0" w:firstColumn="0" w:lastColumn="0" w:oddVBand="0" w:evenVBand="0" w:oddHBand="0" w:evenHBand="0" w:firstRowFirstColumn="0" w:firstRowLastColumn="0" w:lastRowFirstColumn="0" w:lastRowLastColumn="0"/>
            </w:pPr>
            <w:r>
              <w:t>(24)</w:t>
            </w:r>
          </w:p>
        </w:tc>
        <w:tc>
          <w:tcPr>
            <w:tcW w:w="851" w:type="dxa"/>
          </w:tcPr>
          <w:p w14:paraId="044A06C0" w14:textId="77777777" w:rsidR="004D42F9" w:rsidRDefault="004D42F9">
            <w:pPr>
              <w:cnfStyle w:val="000000000000" w:firstRow="0" w:lastRow="0" w:firstColumn="0" w:lastColumn="0" w:oddVBand="0" w:evenVBand="0" w:oddHBand="0" w:evenHBand="0" w:firstRowFirstColumn="0" w:firstRowLastColumn="0" w:lastRowFirstColumn="0" w:lastRowLastColumn="0"/>
            </w:pPr>
            <w:r>
              <w:t>7 541</w:t>
            </w:r>
          </w:p>
        </w:tc>
        <w:tc>
          <w:tcPr>
            <w:tcW w:w="992" w:type="dxa"/>
          </w:tcPr>
          <w:p w14:paraId="26F1AF65" w14:textId="77777777" w:rsidR="004D42F9" w:rsidRDefault="004D42F9">
            <w:pPr>
              <w:cnfStyle w:val="000000000000" w:firstRow="0" w:lastRow="0" w:firstColumn="0" w:lastColumn="0" w:oddVBand="0" w:evenVBand="0" w:oddHBand="0" w:evenHBand="0" w:firstRowFirstColumn="0" w:firstRowLastColumn="0" w:lastRowFirstColumn="0" w:lastRowLastColumn="0"/>
            </w:pPr>
            <w:r>
              <w:t>7 469</w:t>
            </w:r>
          </w:p>
        </w:tc>
        <w:tc>
          <w:tcPr>
            <w:tcW w:w="1134" w:type="dxa"/>
          </w:tcPr>
          <w:p w14:paraId="20E27FA6" w14:textId="77777777" w:rsidR="004D42F9" w:rsidRDefault="004D42F9">
            <w:pPr>
              <w:cnfStyle w:val="000000000000" w:firstRow="0" w:lastRow="0" w:firstColumn="0" w:lastColumn="0" w:oddVBand="0" w:evenVBand="0" w:oddHBand="0" w:evenHBand="0" w:firstRowFirstColumn="0" w:firstRowLastColumn="0" w:lastRowFirstColumn="0" w:lastRowLastColumn="0"/>
            </w:pPr>
            <w:r>
              <w:t>(24)</w:t>
            </w:r>
          </w:p>
        </w:tc>
        <w:tc>
          <w:tcPr>
            <w:tcW w:w="991" w:type="dxa"/>
          </w:tcPr>
          <w:p w14:paraId="2C47C17F" w14:textId="77777777" w:rsidR="004D42F9" w:rsidRDefault="004D42F9">
            <w:pPr>
              <w:cnfStyle w:val="000000000000" w:firstRow="0" w:lastRow="0" w:firstColumn="0" w:lastColumn="0" w:oddVBand="0" w:evenVBand="0" w:oddHBand="0" w:evenHBand="0" w:firstRowFirstColumn="0" w:firstRowLastColumn="0" w:lastRowFirstColumn="0" w:lastRowLastColumn="0"/>
            </w:pPr>
            <w:r>
              <w:t>7 445</w:t>
            </w:r>
          </w:p>
        </w:tc>
      </w:tr>
      <w:tr w:rsidR="004D42F9" w14:paraId="18B5391E"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6CA1DE44" w14:textId="77777777" w:rsidR="004D42F9" w:rsidRDefault="004D42F9">
            <w:r>
              <w:t>Construction in progress</w:t>
            </w:r>
          </w:p>
        </w:tc>
        <w:tc>
          <w:tcPr>
            <w:tcW w:w="850" w:type="dxa"/>
            <w:tcBorders>
              <w:bottom w:val="single" w:sz="6" w:space="0" w:color="auto"/>
            </w:tcBorders>
          </w:tcPr>
          <w:p w14:paraId="18D8DA81" w14:textId="77777777" w:rsidR="004D42F9" w:rsidRDefault="004D42F9">
            <w:pPr>
              <w:cnfStyle w:val="000000000000" w:firstRow="0" w:lastRow="0" w:firstColumn="0" w:lastColumn="0" w:oddVBand="0" w:evenVBand="0" w:oddHBand="0" w:evenHBand="0" w:firstRowFirstColumn="0" w:firstRowLastColumn="0" w:lastRowFirstColumn="0" w:lastRowLastColumn="0"/>
            </w:pPr>
            <w:r>
              <w:t>76 901</w:t>
            </w:r>
          </w:p>
        </w:tc>
        <w:tc>
          <w:tcPr>
            <w:tcW w:w="1134" w:type="dxa"/>
            <w:tcBorders>
              <w:bottom w:val="single" w:sz="6" w:space="0" w:color="auto"/>
            </w:tcBorders>
          </w:tcPr>
          <w:p w14:paraId="52434DD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7B0D4BA6" w14:textId="77777777" w:rsidR="004D42F9" w:rsidRDefault="004D42F9">
            <w:pPr>
              <w:cnfStyle w:val="000000000000" w:firstRow="0" w:lastRow="0" w:firstColumn="0" w:lastColumn="0" w:oddVBand="0" w:evenVBand="0" w:oddHBand="0" w:evenHBand="0" w:firstRowFirstColumn="0" w:firstRowLastColumn="0" w:lastRowFirstColumn="0" w:lastRowLastColumn="0"/>
            </w:pPr>
            <w:r>
              <w:t>76 901</w:t>
            </w:r>
          </w:p>
        </w:tc>
        <w:tc>
          <w:tcPr>
            <w:tcW w:w="992" w:type="dxa"/>
            <w:tcBorders>
              <w:bottom w:val="single" w:sz="6" w:space="0" w:color="auto"/>
            </w:tcBorders>
          </w:tcPr>
          <w:p w14:paraId="481C21C1" w14:textId="77777777" w:rsidR="004D42F9" w:rsidRDefault="004D42F9">
            <w:pPr>
              <w:cnfStyle w:val="000000000000" w:firstRow="0" w:lastRow="0" w:firstColumn="0" w:lastColumn="0" w:oddVBand="0" w:evenVBand="0" w:oddHBand="0" w:evenHBand="0" w:firstRowFirstColumn="0" w:firstRowLastColumn="0" w:lastRowFirstColumn="0" w:lastRowLastColumn="0"/>
            </w:pPr>
            <w:r>
              <w:t>63 431</w:t>
            </w:r>
          </w:p>
        </w:tc>
        <w:tc>
          <w:tcPr>
            <w:tcW w:w="1134" w:type="dxa"/>
            <w:tcBorders>
              <w:bottom w:val="single" w:sz="6" w:space="0" w:color="auto"/>
            </w:tcBorders>
          </w:tcPr>
          <w:p w14:paraId="7A47CC1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Borders>
              <w:bottom w:val="single" w:sz="6" w:space="0" w:color="auto"/>
            </w:tcBorders>
          </w:tcPr>
          <w:p w14:paraId="2F6D8C89" w14:textId="77777777" w:rsidR="004D42F9" w:rsidRDefault="004D42F9">
            <w:pPr>
              <w:cnfStyle w:val="000000000000" w:firstRow="0" w:lastRow="0" w:firstColumn="0" w:lastColumn="0" w:oddVBand="0" w:evenVBand="0" w:oddHBand="0" w:evenHBand="0" w:firstRowFirstColumn="0" w:firstRowLastColumn="0" w:lastRowFirstColumn="0" w:lastRowLastColumn="0"/>
            </w:pPr>
            <w:r>
              <w:t>63 431</w:t>
            </w:r>
          </w:p>
        </w:tc>
      </w:tr>
      <w:tr w:rsidR="004D42F9" w14:paraId="45DE8A92"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7B5CE31A" w14:textId="77777777" w:rsidR="004D42F9" w:rsidRDefault="004D42F9">
            <w:r>
              <w:rPr>
                <w:b/>
              </w:rPr>
              <w:t>Total land, buildings, infrastructure, plant and equipment</w:t>
            </w:r>
          </w:p>
        </w:tc>
        <w:tc>
          <w:tcPr>
            <w:tcW w:w="850" w:type="dxa"/>
            <w:tcBorders>
              <w:top w:val="single" w:sz="6" w:space="0" w:color="auto"/>
              <w:bottom w:val="single" w:sz="12" w:space="0" w:color="auto"/>
            </w:tcBorders>
          </w:tcPr>
          <w:p w14:paraId="358146E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522 754</w:t>
            </w:r>
          </w:p>
        </w:tc>
        <w:tc>
          <w:tcPr>
            <w:tcW w:w="1134" w:type="dxa"/>
            <w:tcBorders>
              <w:top w:val="single" w:sz="6" w:space="0" w:color="auto"/>
              <w:bottom w:val="single" w:sz="12" w:space="0" w:color="auto"/>
            </w:tcBorders>
          </w:tcPr>
          <w:p w14:paraId="3B8A838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(21 034)</w:t>
            </w:r>
          </w:p>
        </w:tc>
        <w:tc>
          <w:tcPr>
            <w:tcW w:w="851" w:type="dxa"/>
            <w:tcBorders>
              <w:top w:val="single" w:sz="6" w:space="0" w:color="auto"/>
              <w:bottom w:val="single" w:sz="12" w:space="0" w:color="auto"/>
            </w:tcBorders>
          </w:tcPr>
          <w:p w14:paraId="4BE5C4C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501 720</w:t>
            </w:r>
          </w:p>
        </w:tc>
        <w:tc>
          <w:tcPr>
            <w:tcW w:w="992" w:type="dxa"/>
            <w:tcBorders>
              <w:top w:val="single" w:sz="6" w:space="0" w:color="auto"/>
              <w:bottom w:val="single" w:sz="12" w:space="0" w:color="auto"/>
            </w:tcBorders>
          </w:tcPr>
          <w:p w14:paraId="48BB49E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301 470</w:t>
            </w:r>
          </w:p>
        </w:tc>
        <w:tc>
          <w:tcPr>
            <w:tcW w:w="1134" w:type="dxa"/>
            <w:tcBorders>
              <w:top w:val="single" w:sz="6" w:space="0" w:color="auto"/>
              <w:bottom w:val="single" w:sz="12" w:space="0" w:color="auto"/>
            </w:tcBorders>
          </w:tcPr>
          <w:p w14:paraId="5410136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(13 226)</w:t>
            </w:r>
          </w:p>
        </w:tc>
        <w:tc>
          <w:tcPr>
            <w:tcW w:w="991" w:type="dxa"/>
            <w:tcBorders>
              <w:top w:val="single" w:sz="6" w:space="0" w:color="auto"/>
              <w:bottom w:val="single" w:sz="12" w:space="0" w:color="auto"/>
            </w:tcBorders>
          </w:tcPr>
          <w:p w14:paraId="07C5AF3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288 244</w:t>
            </w:r>
          </w:p>
        </w:tc>
      </w:tr>
    </w:tbl>
    <w:p w14:paraId="0576DD7B"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PPE_PY"/>
      </w:tblPr>
      <w:tblGrid>
        <w:gridCol w:w="3686"/>
        <w:gridCol w:w="850"/>
        <w:gridCol w:w="1134"/>
        <w:gridCol w:w="851"/>
        <w:gridCol w:w="992"/>
        <w:gridCol w:w="1134"/>
        <w:gridCol w:w="991"/>
      </w:tblGrid>
      <w:tr w:rsidR="002F56B2" w14:paraId="32BAB0B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3C1B7460" w14:textId="77777777" w:rsidR="004D42F9" w:rsidRDefault="004D42F9">
            <w:pPr>
              <w:keepNext/>
            </w:pPr>
            <w:r>
              <w:t>2024</w:t>
            </w:r>
          </w:p>
        </w:tc>
        <w:tc>
          <w:tcPr>
            <w:tcW w:w="850" w:type="dxa"/>
          </w:tcPr>
          <w:p w14:paraId="044C65A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01E4D59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42E3E45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3BBBC48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2D70827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1" w:type="dxa"/>
          </w:tcPr>
          <w:p w14:paraId="50499A8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4C10C03C" w14:textId="77777777">
        <w:tc>
          <w:tcPr>
            <w:cnfStyle w:val="001000000000" w:firstRow="0" w:lastRow="0" w:firstColumn="1" w:lastColumn="0" w:oddVBand="0" w:evenVBand="0" w:oddHBand="0" w:evenHBand="0" w:firstRowFirstColumn="0" w:firstRowLastColumn="0" w:lastRowFirstColumn="0" w:lastRowLastColumn="0"/>
            <w:tcW w:w="3686" w:type="dxa"/>
          </w:tcPr>
          <w:p w14:paraId="3F1B5898" w14:textId="77777777" w:rsidR="004D42F9" w:rsidRDefault="004D42F9">
            <w:r>
              <w:t>Buildings</w:t>
            </w:r>
          </w:p>
        </w:tc>
        <w:tc>
          <w:tcPr>
            <w:tcW w:w="850" w:type="dxa"/>
          </w:tcPr>
          <w:p w14:paraId="17228475" w14:textId="77777777" w:rsidR="004D42F9" w:rsidRDefault="004D42F9">
            <w:pPr>
              <w:cnfStyle w:val="000000000000" w:firstRow="0" w:lastRow="0" w:firstColumn="0" w:lastColumn="0" w:oddVBand="0" w:evenVBand="0" w:oddHBand="0" w:evenHBand="0" w:firstRowFirstColumn="0" w:firstRowLastColumn="0" w:lastRowFirstColumn="0" w:lastRowLastColumn="0"/>
            </w:pPr>
            <w:r>
              <w:t>93 451</w:t>
            </w:r>
          </w:p>
        </w:tc>
        <w:tc>
          <w:tcPr>
            <w:tcW w:w="1134" w:type="dxa"/>
          </w:tcPr>
          <w:p w14:paraId="224029B0" w14:textId="77777777" w:rsidR="004D42F9" w:rsidRDefault="004D42F9">
            <w:pPr>
              <w:cnfStyle w:val="000000000000" w:firstRow="0" w:lastRow="0" w:firstColumn="0" w:lastColumn="0" w:oddVBand="0" w:evenVBand="0" w:oddHBand="0" w:evenHBand="0" w:firstRowFirstColumn="0" w:firstRowLastColumn="0" w:lastRowFirstColumn="0" w:lastRowLastColumn="0"/>
            </w:pPr>
            <w:r>
              <w:t>(5 360)</w:t>
            </w:r>
          </w:p>
        </w:tc>
        <w:tc>
          <w:tcPr>
            <w:tcW w:w="851" w:type="dxa"/>
          </w:tcPr>
          <w:p w14:paraId="128C0CB9" w14:textId="77777777" w:rsidR="004D42F9" w:rsidRDefault="004D42F9">
            <w:pPr>
              <w:cnfStyle w:val="000000000000" w:firstRow="0" w:lastRow="0" w:firstColumn="0" w:lastColumn="0" w:oddVBand="0" w:evenVBand="0" w:oddHBand="0" w:evenHBand="0" w:firstRowFirstColumn="0" w:firstRowLastColumn="0" w:lastRowFirstColumn="0" w:lastRowLastColumn="0"/>
            </w:pPr>
            <w:r>
              <w:t>88 091</w:t>
            </w:r>
          </w:p>
        </w:tc>
        <w:tc>
          <w:tcPr>
            <w:tcW w:w="992" w:type="dxa"/>
          </w:tcPr>
          <w:p w14:paraId="21D0C922" w14:textId="77777777" w:rsidR="004D42F9" w:rsidRDefault="004D42F9">
            <w:pPr>
              <w:cnfStyle w:val="000000000000" w:firstRow="0" w:lastRow="0" w:firstColumn="0" w:lastColumn="0" w:oddVBand="0" w:evenVBand="0" w:oddHBand="0" w:evenHBand="0" w:firstRowFirstColumn="0" w:firstRowLastColumn="0" w:lastRowFirstColumn="0" w:lastRowLastColumn="0"/>
            </w:pPr>
            <w:r>
              <w:t>64 642</w:t>
            </w:r>
          </w:p>
        </w:tc>
        <w:tc>
          <w:tcPr>
            <w:tcW w:w="1134" w:type="dxa"/>
          </w:tcPr>
          <w:p w14:paraId="61C0F278" w14:textId="77777777" w:rsidR="004D42F9" w:rsidRDefault="004D42F9">
            <w:pPr>
              <w:cnfStyle w:val="000000000000" w:firstRow="0" w:lastRow="0" w:firstColumn="0" w:lastColumn="0" w:oddVBand="0" w:evenVBand="0" w:oddHBand="0" w:evenHBand="0" w:firstRowFirstColumn="0" w:firstRowLastColumn="0" w:lastRowFirstColumn="0" w:lastRowLastColumn="0"/>
            </w:pPr>
            <w:r>
              <w:t>(4 172)</w:t>
            </w:r>
          </w:p>
        </w:tc>
        <w:tc>
          <w:tcPr>
            <w:tcW w:w="991" w:type="dxa"/>
          </w:tcPr>
          <w:p w14:paraId="4222CC9F" w14:textId="77777777" w:rsidR="004D42F9" w:rsidRDefault="004D42F9">
            <w:pPr>
              <w:cnfStyle w:val="000000000000" w:firstRow="0" w:lastRow="0" w:firstColumn="0" w:lastColumn="0" w:oddVBand="0" w:evenVBand="0" w:oddHBand="0" w:evenHBand="0" w:firstRowFirstColumn="0" w:firstRowLastColumn="0" w:lastRowFirstColumn="0" w:lastRowLastColumn="0"/>
            </w:pPr>
            <w:r>
              <w:t>60 469</w:t>
            </w:r>
          </w:p>
        </w:tc>
      </w:tr>
      <w:tr w:rsidR="004D42F9" w14:paraId="45E1498C" w14:textId="77777777">
        <w:tc>
          <w:tcPr>
            <w:cnfStyle w:val="001000000000" w:firstRow="0" w:lastRow="0" w:firstColumn="1" w:lastColumn="0" w:oddVBand="0" w:evenVBand="0" w:oddHBand="0" w:evenHBand="0" w:firstRowFirstColumn="0" w:firstRowLastColumn="0" w:lastRowFirstColumn="0" w:lastRowLastColumn="0"/>
            <w:tcW w:w="3686" w:type="dxa"/>
          </w:tcPr>
          <w:p w14:paraId="39AB9AC9" w14:textId="77777777" w:rsidR="004D42F9" w:rsidRDefault="004D42F9">
            <w:r>
              <w:t>Land and national parks</w:t>
            </w:r>
          </w:p>
        </w:tc>
        <w:tc>
          <w:tcPr>
            <w:tcW w:w="850" w:type="dxa"/>
          </w:tcPr>
          <w:p w14:paraId="075DD475" w14:textId="77777777" w:rsidR="004D42F9" w:rsidRDefault="004D42F9">
            <w:pPr>
              <w:cnfStyle w:val="000000000000" w:firstRow="0" w:lastRow="0" w:firstColumn="0" w:lastColumn="0" w:oddVBand="0" w:evenVBand="0" w:oddHBand="0" w:evenHBand="0" w:firstRowFirstColumn="0" w:firstRowLastColumn="0" w:lastRowFirstColumn="0" w:lastRowLastColumn="0"/>
            </w:pPr>
            <w:r>
              <w:t>141 310</w:t>
            </w:r>
          </w:p>
        </w:tc>
        <w:tc>
          <w:tcPr>
            <w:tcW w:w="1134" w:type="dxa"/>
          </w:tcPr>
          <w:p w14:paraId="35AC524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EDCB24D" w14:textId="77777777" w:rsidR="004D42F9" w:rsidRDefault="004D42F9">
            <w:pPr>
              <w:cnfStyle w:val="000000000000" w:firstRow="0" w:lastRow="0" w:firstColumn="0" w:lastColumn="0" w:oddVBand="0" w:evenVBand="0" w:oddHBand="0" w:evenHBand="0" w:firstRowFirstColumn="0" w:firstRowLastColumn="0" w:lastRowFirstColumn="0" w:lastRowLastColumn="0"/>
            </w:pPr>
            <w:r>
              <w:t>141 310</w:t>
            </w:r>
          </w:p>
        </w:tc>
        <w:tc>
          <w:tcPr>
            <w:tcW w:w="992" w:type="dxa"/>
          </w:tcPr>
          <w:p w14:paraId="63B10545" w14:textId="77777777" w:rsidR="004D42F9" w:rsidRDefault="004D42F9">
            <w:pPr>
              <w:cnfStyle w:val="000000000000" w:firstRow="0" w:lastRow="0" w:firstColumn="0" w:lastColumn="0" w:oddVBand="0" w:evenVBand="0" w:oddHBand="0" w:evenHBand="0" w:firstRowFirstColumn="0" w:firstRowLastColumn="0" w:lastRowFirstColumn="0" w:lastRowLastColumn="0"/>
            </w:pPr>
            <w:r>
              <w:t>95 973</w:t>
            </w:r>
          </w:p>
        </w:tc>
        <w:tc>
          <w:tcPr>
            <w:tcW w:w="1134" w:type="dxa"/>
          </w:tcPr>
          <w:p w14:paraId="192404F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15DFCDA7" w14:textId="77777777" w:rsidR="004D42F9" w:rsidRDefault="004D42F9">
            <w:pPr>
              <w:cnfStyle w:val="000000000000" w:firstRow="0" w:lastRow="0" w:firstColumn="0" w:lastColumn="0" w:oddVBand="0" w:evenVBand="0" w:oddHBand="0" w:evenHBand="0" w:firstRowFirstColumn="0" w:firstRowLastColumn="0" w:lastRowFirstColumn="0" w:lastRowLastColumn="0"/>
            </w:pPr>
            <w:r>
              <w:t>95 973</w:t>
            </w:r>
          </w:p>
        </w:tc>
      </w:tr>
      <w:tr w:rsidR="004D42F9" w14:paraId="0976F624" w14:textId="77777777">
        <w:tc>
          <w:tcPr>
            <w:cnfStyle w:val="001000000000" w:firstRow="0" w:lastRow="0" w:firstColumn="1" w:lastColumn="0" w:oddVBand="0" w:evenVBand="0" w:oddHBand="0" w:evenHBand="0" w:firstRowFirstColumn="0" w:firstRowLastColumn="0" w:lastRowFirstColumn="0" w:lastRowLastColumn="0"/>
            <w:tcW w:w="3686" w:type="dxa"/>
          </w:tcPr>
          <w:p w14:paraId="6ECF5D71" w14:textId="77777777" w:rsidR="004D42F9" w:rsidRDefault="004D42F9">
            <w:r>
              <w:t>Infrastructure</w:t>
            </w:r>
            <w:r>
              <w:rPr>
                <w:vertAlign w:val="superscript"/>
              </w:rPr>
              <w:t xml:space="preserve"> </w:t>
            </w:r>
            <w:r w:rsidRPr="006A0D76">
              <w:rPr>
                <w:vertAlign w:val="superscript"/>
              </w:rPr>
              <w:t>(a)</w:t>
            </w:r>
          </w:p>
        </w:tc>
        <w:tc>
          <w:tcPr>
            <w:tcW w:w="850" w:type="dxa"/>
          </w:tcPr>
          <w:p w14:paraId="2440B33C" w14:textId="77777777" w:rsidR="004D42F9" w:rsidRDefault="004D42F9">
            <w:pPr>
              <w:cnfStyle w:val="000000000000" w:firstRow="0" w:lastRow="0" w:firstColumn="0" w:lastColumn="0" w:oddVBand="0" w:evenVBand="0" w:oddHBand="0" w:evenHBand="0" w:firstRowFirstColumn="0" w:firstRowLastColumn="0" w:lastRowFirstColumn="0" w:lastRowLastColumn="0"/>
            </w:pPr>
            <w:r>
              <w:t>76 954</w:t>
            </w:r>
          </w:p>
        </w:tc>
        <w:tc>
          <w:tcPr>
            <w:tcW w:w="1134" w:type="dxa"/>
          </w:tcPr>
          <w:p w14:paraId="6128CFF3" w14:textId="77777777" w:rsidR="004D42F9" w:rsidRDefault="004D42F9">
            <w:pPr>
              <w:cnfStyle w:val="000000000000" w:firstRow="0" w:lastRow="0" w:firstColumn="0" w:lastColumn="0" w:oddVBand="0" w:evenVBand="0" w:oddHBand="0" w:evenHBand="0" w:firstRowFirstColumn="0" w:firstRowLastColumn="0" w:lastRowFirstColumn="0" w:lastRowLastColumn="0"/>
            </w:pPr>
            <w:r>
              <w:t>(5 323)</w:t>
            </w:r>
          </w:p>
        </w:tc>
        <w:tc>
          <w:tcPr>
            <w:tcW w:w="851" w:type="dxa"/>
          </w:tcPr>
          <w:p w14:paraId="75BE7E3B" w14:textId="77777777" w:rsidR="004D42F9" w:rsidRDefault="004D42F9">
            <w:pPr>
              <w:cnfStyle w:val="000000000000" w:firstRow="0" w:lastRow="0" w:firstColumn="0" w:lastColumn="0" w:oddVBand="0" w:evenVBand="0" w:oddHBand="0" w:evenHBand="0" w:firstRowFirstColumn="0" w:firstRowLastColumn="0" w:lastRowFirstColumn="0" w:lastRowLastColumn="0"/>
            </w:pPr>
            <w:r>
              <w:t>71 631</w:t>
            </w:r>
          </w:p>
        </w:tc>
        <w:tc>
          <w:tcPr>
            <w:tcW w:w="992" w:type="dxa"/>
          </w:tcPr>
          <w:p w14:paraId="27FD9F49" w14:textId="77777777" w:rsidR="004D42F9" w:rsidRDefault="004D42F9">
            <w:pPr>
              <w:cnfStyle w:val="000000000000" w:firstRow="0" w:lastRow="0" w:firstColumn="0" w:lastColumn="0" w:oddVBand="0" w:evenVBand="0" w:oddHBand="0" w:evenHBand="0" w:firstRowFirstColumn="0" w:firstRowLastColumn="0" w:lastRowFirstColumn="0" w:lastRowLastColumn="0"/>
            </w:pPr>
            <w:r>
              <w:t>2 026</w:t>
            </w:r>
          </w:p>
        </w:tc>
        <w:tc>
          <w:tcPr>
            <w:tcW w:w="1134" w:type="dxa"/>
          </w:tcPr>
          <w:p w14:paraId="47D4851E" w14:textId="77777777" w:rsidR="004D42F9" w:rsidRDefault="004D42F9">
            <w:pPr>
              <w:cnfStyle w:val="000000000000" w:firstRow="0" w:lastRow="0" w:firstColumn="0" w:lastColumn="0" w:oddVBand="0" w:evenVBand="0" w:oddHBand="0" w:evenHBand="0" w:firstRowFirstColumn="0" w:firstRowLastColumn="0" w:lastRowFirstColumn="0" w:lastRowLastColumn="0"/>
            </w:pPr>
            <w:r>
              <w:t>(708)</w:t>
            </w:r>
          </w:p>
        </w:tc>
        <w:tc>
          <w:tcPr>
            <w:tcW w:w="991" w:type="dxa"/>
          </w:tcPr>
          <w:p w14:paraId="3F03A252" w14:textId="77777777" w:rsidR="004D42F9" w:rsidRDefault="004D42F9">
            <w:pPr>
              <w:cnfStyle w:val="000000000000" w:firstRow="0" w:lastRow="0" w:firstColumn="0" w:lastColumn="0" w:oddVBand="0" w:evenVBand="0" w:oddHBand="0" w:evenHBand="0" w:firstRowFirstColumn="0" w:firstRowLastColumn="0" w:lastRowFirstColumn="0" w:lastRowLastColumn="0"/>
            </w:pPr>
            <w:r>
              <w:t>1 318</w:t>
            </w:r>
          </w:p>
        </w:tc>
      </w:tr>
      <w:tr w:rsidR="004D42F9" w14:paraId="6F923AC3" w14:textId="77777777">
        <w:tc>
          <w:tcPr>
            <w:cnfStyle w:val="001000000000" w:firstRow="0" w:lastRow="0" w:firstColumn="1" w:lastColumn="0" w:oddVBand="0" w:evenVBand="0" w:oddHBand="0" w:evenHBand="0" w:firstRowFirstColumn="0" w:firstRowLastColumn="0" w:lastRowFirstColumn="0" w:lastRowLastColumn="0"/>
            <w:tcW w:w="3686" w:type="dxa"/>
          </w:tcPr>
          <w:p w14:paraId="33CD6818" w14:textId="77777777" w:rsidR="004D42F9" w:rsidRDefault="004D42F9">
            <w:r>
              <w:t>Plant, equipment and vehicles</w:t>
            </w:r>
          </w:p>
        </w:tc>
        <w:tc>
          <w:tcPr>
            <w:tcW w:w="850" w:type="dxa"/>
          </w:tcPr>
          <w:p w14:paraId="6A1F3037" w14:textId="77777777" w:rsidR="004D42F9" w:rsidRDefault="004D42F9">
            <w:pPr>
              <w:cnfStyle w:val="000000000000" w:firstRow="0" w:lastRow="0" w:firstColumn="0" w:lastColumn="0" w:oddVBand="0" w:evenVBand="0" w:oddHBand="0" w:evenHBand="0" w:firstRowFirstColumn="0" w:firstRowLastColumn="0" w:lastRowFirstColumn="0" w:lastRowLastColumn="0"/>
            </w:pPr>
            <w:r>
              <w:t>19 384</w:t>
            </w:r>
          </w:p>
        </w:tc>
        <w:tc>
          <w:tcPr>
            <w:tcW w:w="1134" w:type="dxa"/>
          </w:tcPr>
          <w:p w14:paraId="4989A378" w14:textId="77777777" w:rsidR="004D42F9" w:rsidRDefault="004D42F9">
            <w:pPr>
              <w:cnfStyle w:val="000000000000" w:firstRow="0" w:lastRow="0" w:firstColumn="0" w:lastColumn="0" w:oddVBand="0" w:evenVBand="0" w:oddHBand="0" w:evenHBand="0" w:firstRowFirstColumn="0" w:firstRowLastColumn="0" w:lastRowFirstColumn="0" w:lastRowLastColumn="0"/>
            </w:pPr>
            <w:r>
              <w:t>(8 118)</w:t>
            </w:r>
          </w:p>
        </w:tc>
        <w:tc>
          <w:tcPr>
            <w:tcW w:w="851" w:type="dxa"/>
          </w:tcPr>
          <w:p w14:paraId="4051053D" w14:textId="77777777" w:rsidR="004D42F9" w:rsidRDefault="004D42F9">
            <w:pPr>
              <w:cnfStyle w:val="000000000000" w:firstRow="0" w:lastRow="0" w:firstColumn="0" w:lastColumn="0" w:oddVBand="0" w:evenVBand="0" w:oddHBand="0" w:evenHBand="0" w:firstRowFirstColumn="0" w:firstRowLastColumn="0" w:lastRowFirstColumn="0" w:lastRowLastColumn="0"/>
            </w:pPr>
            <w:r>
              <w:t>11 267</w:t>
            </w:r>
          </w:p>
        </w:tc>
        <w:tc>
          <w:tcPr>
            <w:tcW w:w="992" w:type="dxa"/>
          </w:tcPr>
          <w:p w14:paraId="7F42DC68" w14:textId="77777777" w:rsidR="004D42F9" w:rsidRDefault="004D42F9">
            <w:pPr>
              <w:cnfStyle w:val="000000000000" w:firstRow="0" w:lastRow="0" w:firstColumn="0" w:lastColumn="0" w:oddVBand="0" w:evenVBand="0" w:oddHBand="0" w:evenHBand="0" w:firstRowFirstColumn="0" w:firstRowLastColumn="0" w:lastRowFirstColumn="0" w:lastRowLastColumn="0"/>
            </w:pPr>
            <w:r>
              <w:t>10 470</w:t>
            </w:r>
          </w:p>
        </w:tc>
        <w:tc>
          <w:tcPr>
            <w:tcW w:w="1134" w:type="dxa"/>
          </w:tcPr>
          <w:p w14:paraId="430E8D86" w14:textId="77777777" w:rsidR="004D42F9" w:rsidRDefault="004D42F9">
            <w:pPr>
              <w:cnfStyle w:val="000000000000" w:firstRow="0" w:lastRow="0" w:firstColumn="0" w:lastColumn="0" w:oddVBand="0" w:evenVBand="0" w:oddHBand="0" w:evenHBand="0" w:firstRowFirstColumn="0" w:firstRowLastColumn="0" w:lastRowFirstColumn="0" w:lastRowLastColumn="0"/>
            </w:pPr>
            <w:r>
              <w:t>(6 168)</w:t>
            </w:r>
          </w:p>
        </w:tc>
        <w:tc>
          <w:tcPr>
            <w:tcW w:w="991" w:type="dxa"/>
          </w:tcPr>
          <w:p w14:paraId="20581E61" w14:textId="77777777" w:rsidR="004D42F9" w:rsidRDefault="004D42F9">
            <w:pPr>
              <w:cnfStyle w:val="000000000000" w:firstRow="0" w:lastRow="0" w:firstColumn="0" w:lastColumn="0" w:oddVBand="0" w:evenVBand="0" w:oddHBand="0" w:evenHBand="0" w:firstRowFirstColumn="0" w:firstRowLastColumn="0" w:lastRowFirstColumn="0" w:lastRowLastColumn="0"/>
            </w:pPr>
            <w:r>
              <w:t>4 302</w:t>
            </w:r>
          </w:p>
        </w:tc>
      </w:tr>
      <w:tr w:rsidR="004D42F9" w14:paraId="66DDE334" w14:textId="77777777">
        <w:tc>
          <w:tcPr>
            <w:cnfStyle w:val="001000000000" w:firstRow="0" w:lastRow="0" w:firstColumn="1" w:lastColumn="0" w:oddVBand="0" w:evenVBand="0" w:oddHBand="0" w:evenHBand="0" w:firstRowFirstColumn="0" w:firstRowLastColumn="0" w:lastRowFirstColumn="0" w:lastRowLastColumn="0"/>
            <w:tcW w:w="3686" w:type="dxa"/>
          </w:tcPr>
          <w:p w14:paraId="57E54EA3" w14:textId="77777777" w:rsidR="004D42F9" w:rsidRDefault="004D42F9">
            <w:r>
              <w:t>Roads and road infrastructure</w:t>
            </w:r>
          </w:p>
        </w:tc>
        <w:tc>
          <w:tcPr>
            <w:tcW w:w="850" w:type="dxa"/>
          </w:tcPr>
          <w:p w14:paraId="1306B08A" w14:textId="77777777" w:rsidR="004D42F9" w:rsidRDefault="004D42F9">
            <w:pPr>
              <w:cnfStyle w:val="000000000000" w:firstRow="0" w:lastRow="0" w:firstColumn="0" w:lastColumn="0" w:oddVBand="0" w:evenVBand="0" w:oddHBand="0" w:evenHBand="0" w:firstRowFirstColumn="0" w:firstRowLastColumn="0" w:lastRowFirstColumn="0" w:lastRowLastColumn="0"/>
            </w:pPr>
            <w:r>
              <w:t>33 937</w:t>
            </w:r>
          </w:p>
        </w:tc>
        <w:tc>
          <w:tcPr>
            <w:tcW w:w="1134" w:type="dxa"/>
          </w:tcPr>
          <w:p w14:paraId="02AF522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(1 136)</w:t>
            </w:r>
          </w:p>
        </w:tc>
        <w:tc>
          <w:tcPr>
            <w:tcW w:w="851" w:type="dxa"/>
          </w:tcPr>
          <w:p w14:paraId="1AEEBE71" w14:textId="77777777" w:rsidR="004D42F9" w:rsidRDefault="004D42F9">
            <w:pPr>
              <w:cnfStyle w:val="000000000000" w:firstRow="0" w:lastRow="0" w:firstColumn="0" w:lastColumn="0" w:oddVBand="0" w:evenVBand="0" w:oddHBand="0" w:evenHBand="0" w:firstRowFirstColumn="0" w:firstRowLastColumn="0" w:lastRowFirstColumn="0" w:lastRowLastColumn="0"/>
            </w:pPr>
            <w:r>
              <w:t>32 801</w:t>
            </w:r>
          </w:p>
        </w:tc>
        <w:tc>
          <w:tcPr>
            <w:tcW w:w="992" w:type="dxa"/>
          </w:tcPr>
          <w:p w14:paraId="540CB198" w14:textId="77777777" w:rsidR="004D42F9" w:rsidRDefault="004D42F9">
            <w:pPr>
              <w:cnfStyle w:val="000000000000" w:firstRow="0" w:lastRow="0" w:firstColumn="0" w:lastColumn="0" w:oddVBand="0" w:evenVBand="0" w:oddHBand="0" w:evenHBand="0" w:firstRowFirstColumn="0" w:firstRowLastColumn="0" w:lastRowFirstColumn="0" w:lastRowLastColumn="0"/>
            </w:pPr>
            <w:r>
              <w:t>33 786</w:t>
            </w:r>
          </w:p>
        </w:tc>
        <w:tc>
          <w:tcPr>
            <w:tcW w:w="1134" w:type="dxa"/>
          </w:tcPr>
          <w:p w14:paraId="0605FC1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(1 126)</w:t>
            </w:r>
          </w:p>
        </w:tc>
        <w:tc>
          <w:tcPr>
            <w:tcW w:w="991" w:type="dxa"/>
          </w:tcPr>
          <w:p w14:paraId="2EA40EF0" w14:textId="77777777" w:rsidR="004D42F9" w:rsidRDefault="004D42F9">
            <w:pPr>
              <w:cnfStyle w:val="000000000000" w:firstRow="0" w:lastRow="0" w:firstColumn="0" w:lastColumn="0" w:oddVBand="0" w:evenVBand="0" w:oddHBand="0" w:evenHBand="0" w:firstRowFirstColumn="0" w:firstRowLastColumn="0" w:lastRowFirstColumn="0" w:lastRowLastColumn="0"/>
            </w:pPr>
            <w:r>
              <w:t>32 660</w:t>
            </w:r>
          </w:p>
        </w:tc>
      </w:tr>
      <w:tr w:rsidR="004D42F9" w14:paraId="3117E761" w14:textId="77777777">
        <w:tc>
          <w:tcPr>
            <w:cnfStyle w:val="001000000000" w:firstRow="0" w:lastRow="0" w:firstColumn="1" w:lastColumn="0" w:oddVBand="0" w:evenVBand="0" w:oddHBand="0" w:evenHBand="0" w:firstRowFirstColumn="0" w:firstRowLastColumn="0" w:lastRowFirstColumn="0" w:lastRowLastColumn="0"/>
            <w:tcW w:w="3686" w:type="dxa"/>
          </w:tcPr>
          <w:p w14:paraId="69622FCF" w14:textId="77777777" w:rsidR="004D42F9" w:rsidRDefault="004D42F9">
            <w:r>
              <w:t>Earthworks</w:t>
            </w:r>
            <w:r>
              <w:rPr>
                <w:vertAlign w:val="superscript"/>
              </w:rPr>
              <w:t xml:space="preserve"> </w:t>
            </w:r>
            <w:r w:rsidRPr="006A0D76">
              <w:rPr>
                <w:vertAlign w:val="superscript"/>
              </w:rPr>
              <w:t>(a)</w:t>
            </w:r>
          </w:p>
        </w:tc>
        <w:tc>
          <w:tcPr>
            <w:tcW w:w="850" w:type="dxa"/>
          </w:tcPr>
          <w:p w14:paraId="76D103F1" w14:textId="77777777" w:rsidR="004D42F9" w:rsidRDefault="004D42F9">
            <w:pPr>
              <w:cnfStyle w:val="000000000000" w:firstRow="0" w:lastRow="0" w:firstColumn="0" w:lastColumn="0" w:oddVBand="0" w:evenVBand="0" w:oddHBand="0" w:evenHBand="0" w:firstRowFirstColumn="0" w:firstRowLastColumn="0" w:lastRowFirstColumn="0" w:lastRowLastColumn="0"/>
            </w:pPr>
            <w:r>
              <w:t>19 346</w:t>
            </w:r>
          </w:p>
        </w:tc>
        <w:tc>
          <w:tcPr>
            <w:tcW w:w="1134" w:type="dxa"/>
          </w:tcPr>
          <w:p w14:paraId="4B913C6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DC6D4AC" w14:textId="77777777" w:rsidR="004D42F9" w:rsidRDefault="004D42F9">
            <w:pPr>
              <w:cnfStyle w:val="000000000000" w:firstRow="0" w:lastRow="0" w:firstColumn="0" w:lastColumn="0" w:oddVBand="0" w:evenVBand="0" w:oddHBand="0" w:evenHBand="0" w:firstRowFirstColumn="0" w:firstRowLastColumn="0" w:lastRowFirstColumn="0" w:lastRowLastColumn="0"/>
            </w:pPr>
            <w:r>
              <w:t>19 346</w:t>
            </w:r>
          </w:p>
        </w:tc>
        <w:tc>
          <w:tcPr>
            <w:tcW w:w="992" w:type="dxa"/>
          </w:tcPr>
          <w:p w14:paraId="6FD98620" w14:textId="77777777" w:rsidR="004D42F9" w:rsidRDefault="004D42F9">
            <w:pPr>
              <w:cnfStyle w:val="000000000000" w:firstRow="0" w:lastRow="0" w:firstColumn="0" w:lastColumn="0" w:oddVBand="0" w:evenVBand="0" w:oddHBand="0" w:evenHBand="0" w:firstRowFirstColumn="0" w:firstRowLastColumn="0" w:lastRowFirstColumn="0" w:lastRowLastColumn="0"/>
            </w:pPr>
            <w:r>
              <w:t>12 370</w:t>
            </w:r>
          </w:p>
        </w:tc>
        <w:tc>
          <w:tcPr>
            <w:tcW w:w="1134" w:type="dxa"/>
          </w:tcPr>
          <w:p w14:paraId="06FB69F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761C272D" w14:textId="77777777" w:rsidR="004D42F9" w:rsidRDefault="004D42F9">
            <w:pPr>
              <w:cnfStyle w:val="000000000000" w:firstRow="0" w:lastRow="0" w:firstColumn="0" w:lastColumn="0" w:oddVBand="0" w:evenVBand="0" w:oddHBand="0" w:evenHBand="0" w:firstRowFirstColumn="0" w:firstRowLastColumn="0" w:lastRowFirstColumn="0" w:lastRowLastColumn="0"/>
            </w:pPr>
            <w:r>
              <w:t>12 370</w:t>
            </w:r>
          </w:p>
        </w:tc>
      </w:tr>
      <w:tr w:rsidR="004D42F9" w14:paraId="248E75A0" w14:textId="77777777">
        <w:tc>
          <w:tcPr>
            <w:cnfStyle w:val="001000000000" w:firstRow="0" w:lastRow="0" w:firstColumn="1" w:lastColumn="0" w:oddVBand="0" w:evenVBand="0" w:oddHBand="0" w:evenHBand="0" w:firstRowFirstColumn="0" w:firstRowLastColumn="0" w:lastRowFirstColumn="0" w:lastRowLastColumn="0"/>
            <w:tcW w:w="3686" w:type="dxa"/>
          </w:tcPr>
          <w:p w14:paraId="7D143BCB" w14:textId="77777777" w:rsidR="004D42F9" w:rsidRDefault="004D42F9">
            <w:r>
              <w:t>Cultural assets</w:t>
            </w:r>
          </w:p>
        </w:tc>
        <w:tc>
          <w:tcPr>
            <w:tcW w:w="850" w:type="dxa"/>
          </w:tcPr>
          <w:p w14:paraId="0C46C67F" w14:textId="77777777" w:rsidR="004D42F9" w:rsidRDefault="004D42F9">
            <w:pPr>
              <w:cnfStyle w:val="000000000000" w:firstRow="0" w:lastRow="0" w:firstColumn="0" w:lastColumn="0" w:oddVBand="0" w:evenVBand="0" w:oddHBand="0" w:evenHBand="0" w:firstRowFirstColumn="0" w:firstRowLastColumn="0" w:lastRowFirstColumn="0" w:lastRowLastColumn="0"/>
            </w:pPr>
            <w:r>
              <w:t>7 038</w:t>
            </w:r>
          </w:p>
        </w:tc>
        <w:tc>
          <w:tcPr>
            <w:tcW w:w="1134" w:type="dxa"/>
          </w:tcPr>
          <w:p w14:paraId="1239B168" w14:textId="77777777" w:rsidR="004D42F9" w:rsidRDefault="004D42F9">
            <w:pPr>
              <w:cnfStyle w:val="000000000000" w:firstRow="0" w:lastRow="0" w:firstColumn="0" w:lastColumn="0" w:oddVBand="0" w:evenVBand="0" w:oddHBand="0" w:evenHBand="0" w:firstRowFirstColumn="0" w:firstRowLastColumn="0" w:lastRowFirstColumn="0" w:lastRowLastColumn="0"/>
            </w:pPr>
            <w:r>
              <w:t>(124)</w:t>
            </w:r>
          </w:p>
        </w:tc>
        <w:tc>
          <w:tcPr>
            <w:tcW w:w="851" w:type="dxa"/>
          </w:tcPr>
          <w:p w14:paraId="4A57B042" w14:textId="77777777" w:rsidR="004D42F9" w:rsidRDefault="004D42F9">
            <w:pPr>
              <w:cnfStyle w:val="000000000000" w:firstRow="0" w:lastRow="0" w:firstColumn="0" w:lastColumn="0" w:oddVBand="0" w:evenVBand="0" w:oddHBand="0" w:evenHBand="0" w:firstRowFirstColumn="0" w:firstRowLastColumn="0" w:lastRowFirstColumn="0" w:lastRowLastColumn="0"/>
            </w:pPr>
            <w:r>
              <w:t>6 914</w:t>
            </w:r>
          </w:p>
        </w:tc>
        <w:tc>
          <w:tcPr>
            <w:tcW w:w="992" w:type="dxa"/>
          </w:tcPr>
          <w:p w14:paraId="2111A6C6" w14:textId="77777777" w:rsidR="004D42F9" w:rsidRDefault="004D42F9">
            <w:pPr>
              <w:cnfStyle w:val="000000000000" w:firstRow="0" w:lastRow="0" w:firstColumn="0" w:lastColumn="0" w:oddVBand="0" w:evenVBand="0" w:oddHBand="0" w:evenHBand="0" w:firstRowFirstColumn="0" w:firstRowLastColumn="0" w:lastRowFirstColumn="0" w:lastRowLastColumn="0"/>
            </w:pPr>
            <w:r>
              <w:t>6 933</w:t>
            </w:r>
          </w:p>
        </w:tc>
        <w:tc>
          <w:tcPr>
            <w:tcW w:w="1134" w:type="dxa"/>
          </w:tcPr>
          <w:p w14:paraId="3D37C8C1" w14:textId="77777777" w:rsidR="004D42F9" w:rsidRDefault="004D42F9">
            <w:pPr>
              <w:cnfStyle w:val="000000000000" w:firstRow="0" w:lastRow="0" w:firstColumn="0" w:lastColumn="0" w:oddVBand="0" w:evenVBand="0" w:oddHBand="0" w:evenHBand="0" w:firstRowFirstColumn="0" w:firstRowLastColumn="0" w:lastRowFirstColumn="0" w:lastRowLastColumn="0"/>
            </w:pPr>
            <w:r>
              <w:t>(124)</w:t>
            </w:r>
          </w:p>
        </w:tc>
        <w:tc>
          <w:tcPr>
            <w:tcW w:w="991" w:type="dxa"/>
          </w:tcPr>
          <w:p w14:paraId="201D7140" w14:textId="77777777" w:rsidR="004D42F9" w:rsidRDefault="004D42F9">
            <w:pPr>
              <w:cnfStyle w:val="000000000000" w:firstRow="0" w:lastRow="0" w:firstColumn="0" w:lastColumn="0" w:oddVBand="0" w:evenVBand="0" w:oddHBand="0" w:evenHBand="0" w:firstRowFirstColumn="0" w:firstRowLastColumn="0" w:lastRowFirstColumn="0" w:lastRowLastColumn="0"/>
            </w:pPr>
            <w:r>
              <w:t>6 810</w:t>
            </w:r>
          </w:p>
        </w:tc>
      </w:tr>
      <w:tr w:rsidR="004D42F9" w14:paraId="0AA769E3"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084338A5" w14:textId="77777777" w:rsidR="004D42F9" w:rsidRDefault="004D42F9">
            <w:r>
              <w:t>Construction in progress</w:t>
            </w:r>
          </w:p>
        </w:tc>
        <w:tc>
          <w:tcPr>
            <w:tcW w:w="850" w:type="dxa"/>
            <w:tcBorders>
              <w:bottom w:val="single" w:sz="6" w:space="0" w:color="auto"/>
            </w:tcBorders>
          </w:tcPr>
          <w:p w14:paraId="15E0CA4A" w14:textId="77777777" w:rsidR="004D42F9" w:rsidRDefault="004D42F9">
            <w:pPr>
              <w:cnfStyle w:val="000000000000" w:firstRow="0" w:lastRow="0" w:firstColumn="0" w:lastColumn="0" w:oddVBand="0" w:evenVBand="0" w:oddHBand="0" w:evenHBand="0" w:firstRowFirstColumn="0" w:firstRowLastColumn="0" w:lastRowFirstColumn="0" w:lastRowLastColumn="0"/>
            </w:pPr>
            <w:r>
              <w:t>65 318</w:t>
            </w:r>
          </w:p>
        </w:tc>
        <w:tc>
          <w:tcPr>
            <w:tcW w:w="1134" w:type="dxa"/>
            <w:tcBorders>
              <w:bottom w:val="single" w:sz="6" w:space="0" w:color="auto"/>
            </w:tcBorders>
          </w:tcPr>
          <w:p w14:paraId="6BBD432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56C56FC7" w14:textId="77777777" w:rsidR="004D42F9" w:rsidRDefault="004D42F9">
            <w:pPr>
              <w:cnfStyle w:val="000000000000" w:firstRow="0" w:lastRow="0" w:firstColumn="0" w:lastColumn="0" w:oddVBand="0" w:evenVBand="0" w:oddHBand="0" w:evenHBand="0" w:firstRowFirstColumn="0" w:firstRowLastColumn="0" w:lastRowFirstColumn="0" w:lastRowLastColumn="0"/>
            </w:pPr>
            <w:r>
              <w:t>65 318</w:t>
            </w:r>
          </w:p>
        </w:tc>
        <w:tc>
          <w:tcPr>
            <w:tcW w:w="992" w:type="dxa"/>
            <w:tcBorders>
              <w:bottom w:val="single" w:sz="6" w:space="0" w:color="auto"/>
            </w:tcBorders>
          </w:tcPr>
          <w:p w14:paraId="6F5E0C04" w14:textId="77777777" w:rsidR="004D42F9" w:rsidRDefault="004D42F9">
            <w:pPr>
              <w:cnfStyle w:val="000000000000" w:firstRow="0" w:lastRow="0" w:firstColumn="0" w:lastColumn="0" w:oddVBand="0" w:evenVBand="0" w:oddHBand="0" w:evenHBand="0" w:firstRowFirstColumn="0" w:firstRowLastColumn="0" w:lastRowFirstColumn="0" w:lastRowLastColumn="0"/>
            </w:pPr>
            <w:r>
              <w:t>55 789</w:t>
            </w:r>
          </w:p>
        </w:tc>
        <w:tc>
          <w:tcPr>
            <w:tcW w:w="1134" w:type="dxa"/>
            <w:tcBorders>
              <w:bottom w:val="single" w:sz="6" w:space="0" w:color="auto"/>
            </w:tcBorders>
          </w:tcPr>
          <w:p w14:paraId="05FFF6C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1" w:type="dxa"/>
            <w:tcBorders>
              <w:bottom w:val="single" w:sz="6" w:space="0" w:color="auto"/>
            </w:tcBorders>
          </w:tcPr>
          <w:p w14:paraId="47AB1DEA" w14:textId="77777777" w:rsidR="004D42F9" w:rsidRDefault="004D42F9">
            <w:pPr>
              <w:cnfStyle w:val="000000000000" w:firstRow="0" w:lastRow="0" w:firstColumn="0" w:lastColumn="0" w:oddVBand="0" w:evenVBand="0" w:oddHBand="0" w:evenHBand="0" w:firstRowFirstColumn="0" w:firstRowLastColumn="0" w:lastRowFirstColumn="0" w:lastRowLastColumn="0"/>
            </w:pPr>
            <w:r>
              <w:t>55 789</w:t>
            </w:r>
          </w:p>
        </w:tc>
      </w:tr>
      <w:tr w:rsidR="004D42F9" w14:paraId="520200F2"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5395CEB4" w14:textId="77777777" w:rsidR="004D42F9" w:rsidRDefault="004D42F9">
            <w:r>
              <w:rPr>
                <w:b/>
              </w:rPr>
              <w:t>Total land, buildings, infrastructure, plant and equipment</w:t>
            </w:r>
          </w:p>
        </w:tc>
        <w:tc>
          <w:tcPr>
            <w:tcW w:w="850" w:type="dxa"/>
            <w:tcBorders>
              <w:top w:val="single" w:sz="6" w:space="0" w:color="auto"/>
              <w:bottom w:val="single" w:sz="12" w:space="0" w:color="auto"/>
            </w:tcBorders>
          </w:tcPr>
          <w:p w14:paraId="3527B3C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456 739</w:t>
            </w:r>
          </w:p>
        </w:tc>
        <w:tc>
          <w:tcPr>
            <w:tcW w:w="1134" w:type="dxa"/>
            <w:tcBorders>
              <w:top w:val="single" w:sz="6" w:space="0" w:color="auto"/>
              <w:bottom w:val="single" w:sz="12" w:space="0" w:color="auto"/>
            </w:tcBorders>
          </w:tcPr>
          <w:p w14:paraId="4F295BD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(20 061)</w:t>
            </w:r>
          </w:p>
        </w:tc>
        <w:tc>
          <w:tcPr>
            <w:tcW w:w="851" w:type="dxa"/>
            <w:tcBorders>
              <w:top w:val="single" w:sz="6" w:space="0" w:color="auto"/>
              <w:bottom w:val="single" w:sz="12" w:space="0" w:color="auto"/>
            </w:tcBorders>
          </w:tcPr>
          <w:p w14:paraId="00B64DC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436 678</w:t>
            </w:r>
          </w:p>
        </w:tc>
        <w:tc>
          <w:tcPr>
            <w:tcW w:w="992" w:type="dxa"/>
            <w:tcBorders>
              <w:top w:val="single" w:sz="6" w:space="0" w:color="auto"/>
              <w:bottom w:val="single" w:sz="12" w:space="0" w:color="auto"/>
            </w:tcBorders>
          </w:tcPr>
          <w:p w14:paraId="6CD2CE5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281 988</w:t>
            </w:r>
          </w:p>
        </w:tc>
        <w:tc>
          <w:tcPr>
            <w:tcW w:w="1134" w:type="dxa"/>
            <w:tcBorders>
              <w:top w:val="single" w:sz="6" w:space="0" w:color="auto"/>
              <w:bottom w:val="single" w:sz="12" w:space="0" w:color="auto"/>
            </w:tcBorders>
          </w:tcPr>
          <w:p w14:paraId="6E42D3E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(12 299)</w:t>
            </w:r>
          </w:p>
        </w:tc>
        <w:tc>
          <w:tcPr>
            <w:tcW w:w="991" w:type="dxa"/>
            <w:tcBorders>
              <w:top w:val="single" w:sz="6" w:space="0" w:color="auto"/>
              <w:bottom w:val="single" w:sz="12" w:space="0" w:color="auto"/>
            </w:tcBorders>
          </w:tcPr>
          <w:p w14:paraId="14C7D9F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269 690</w:t>
            </w:r>
          </w:p>
        </w:tc>
      </w:tr>
    </w:tbl>
    <w:p w14:paraId="31EB1570" w14:textId="77777777" w:rsidR="004D42F9" w:rsidRPr="006E46A3" w:rsidRDefault="004D42F9" w:rsidP="004D42F9">
      <w:pPr>
        <w:pStyle w:val="Note"/>
        <w:ind w:left="0" w:firstLine="0"/>
      </w:pPr>
      <w:r w:rsidRPr="002873DB">
        <w:t>Note:</w:t>
      </w:r>
    </w:p>
    <w:p w14:paraId="22A23524" w14:textId="1B8405F0" w:rsidR="004D42F9" w:rsidRDefault="004D42F9" w:rsidP="004D42F9">
      <w:pPr>
        <w:pStyle w:val="Note"/>
      </w:pPr>
      <w:r>
        <w:t>(a)</w:t>
      </w:r>
      <w:r>
        <w:tab/>
      </w:r>
      <w:r w:rsidRPr="000F5E88">
        <w:t>The 2023-24 comparative figures relating to VicTrack</w:t>
      </w:r>
      <w:r w:rsidR="00845934">
        <w:t>’</w:t>
      </w:r>
      <w:r w:rsidRPr="000F5E88">
        <w:t xml:space="preserve">s rail assets have been reclassified from infrastructure to earthworks </w:t>
      </w:r>
      <w:r>
        <w:t>to more accurately reflect the nature of the underlying assets</w:t>
      </w:r>
      <w:r w:rsidRPr="000F5E88">
        <w:t>.</w:t>
      </w:r>
    </w:p>
    <w:p w14:paraId="43DD7C8C" w14:textId="77777777" w:rsidR="004D42F9" w:rsidRDefault="004D42F9" w:rsidP="004D42F9"/>
    <w:p w14:paraId="22FFD1DD" w14:textId="77777777" w:rsidR="004D42F9" w:rsidRDefault="004D42F9" w:rsidP="004D42F9">
      <w:pPr>
        <w:keepLines w:val="0"/>
      </w:pPr>
      <w:r>
        <w:br w:type="page"/>
      </w:r>
    </w:p>
    <w:p w14:paraId="704661F0" w14:textId="77777777" w:rsidR="005625C7" w:rsidRDefault="005625C7" w:rsidP="004D42F9">
      <w:pPr>
        <w:sectPr w:rsidR="005625C7" w:rsidSect="004D42F9">
          <w:type w:val="continuous"/>
          <w:pgSz w:w="11906" w:h="16838" w:code="9"/>
          <w:pgMar w:top="1134" w:right="1134" w:bottom="1134" w:left="1134" w:header="624" w:footer="567" w:gutter="0"/>
          <w:cols w:space="708"/>
          <w:docGrid w:linePitch="360"/>
        </w:sectPr>
      </w:pPr>
    </w:p>
    <w:p w14:paraId="4B22DE4E" w14:textId="77777777" w:rsidR="004D42F9" w:rsidRDefault="004D42F9" w:rsidP="005625C7">
      <w:pPr>
        <w:spacing w:before="0"/>
      </w:pPr>
      <w:r>
        <w:lastRenderedPageBreak/>
        <w:t>The following tables are subsets of total land, buildings, infrastructure, plant and equipment by right-of-use (leased) assets and service concession assets.</w:t>
      </w:r>
    </w:p>
    <w:p w14:paraId="57282255" w14:textId="77777777" w:rsidR="005625C7" w:rsidRDefault="005625C7" w:rsidP="004D42F9">
      <w:pPr>
        <w:pStyle w:val="TableHeading"/>
        <w:sectPr w:rsidR="005625C7" w:rsidSect="005625C7">
          <w:headerReference w:type="even" r:id="rId80"/>
          <w:headerReference w:type="default" r:id="rId81"/>
          <w:type w:val="continuous"/>
          <w:pgSz w:w="11906" w:h="16838" w:code="9"/>
          <w:pgMar w:top="1134" w:right="1134" w:bottom="1134" w:left="1134" w:header="624" w:footer="567" w:gutter="0"/>
          <w:cols w:num="2" w:space="708"/>
          <w:docGrid w:linePitch="360"/>
        </w:sectPr>
      </w:pPr>
    </w:p>
    <w:p w14:paraId="13B73A12" w14:textId="77777777" w:rsidR="004D42F9" w:rsidRPr="00BC0C0C" w:rsidRDefault="004D42F9" w:rsidP="00BC0C0C"/>
    <w:p w14:paraId="773B6EF2" w14:textId="77777777" w:rsidR="004D42F9" w:rsidRDefault="004D42F9" w:rsidP="004D42F9">
      <w:pPr>
        <w:pStyle w:val="TableHeading"/>
      </w:pPr>
      <w:r>
        <w:t>Total right-of-use (leased) assets: Buildings, infrastructure, plant and equipment</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ROU_CY"/>
      </w:tblPr>
      <w:tblGrid>
        <w:gridCol w:w="4046"/>
        <w:gridCol w:w="774"/>
        <w:gridCol w:w="1134"/>
        <w:gridCol w:w="850"/>
        <w:gridCol w:w="878"/>
        <w:gridCol w:w="1118"/>
        <w:gridCol w:w="839"/>
      </w:tblGrid>
      <w:tr w:rsidR="004D42F9" w14:paraId="13EB843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6" w:type="dxa"/>
          </w:tcPr>
          <w:p w14:paraId="3E1C32C6" w14:textId="77777777" w:rsidR="004D42F9" w:rsidRDefault="004D42F9">
            <w:pPr>
              <w:keepNext/>
            </w:pPr>
          </w:p>
        </w:tc>
        <w:tc>
          <w:tcPr>
            <w:tcW w:w="2758" w:type="dxa"/>
            <w:gridSpan w:val="3"/>
          </w:tcPr>
          <w:p w14:paraId="5AD4AF51"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35" w:type="dxa"/>
            <w:gridSpan w:val="3"/>
          </w:tcPr>
          <w:p w14:paraId="2C56AB04"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2F56B2" w14:paraId="48C79BCE"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046" w:type="dxa"/>
          </w:tcPr>
          <w:p w14:paraId="4D3BB13B" w14:textId="77777777" w:rsidR="004D42F9" w:rsidRDefault="004D42F9">
            <w:pPr>
              <w:keepNext/>
            </w:pPr>
            <w:r>
              <w:t>2025</w:t>
            </w:r>
          </w:p>
        </w:tc>
        <w:tc>
          <w:tcPr>
            <w:tcW w:w="774" w:type="dxa"/>
          </w:tcPr>
          <w:p w14:paraId="060B055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4" w:type="dxa"/>
          </w:tcPr>
          <w:p w14:paraId="6FD7C8F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50" w:type="dxa"/>
          </w:tcPr>
          <w:p w14:paraId="4444C18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c>
          <w:tcPr>
            <w:tcW w:w="878" w:type="dxa"/>
          </w:tcPr>
          <w:p w14:paraId="1CC2561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18" w:type="dxa"/>
          </w:tcPr>
          <w:p w14:paraId="666E046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39" w:type="dxa"/>
          </w:tcPr>
          <w:p w14:paraId="25ABBEE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r>
      <w:tr w:rsidR="004D42F9" w14:paraId="53D8EA40" w14:textId="77777777">
        <w:tc>
          <w:tcPr>
            <w:cnfStyle w:val="001000000000" w:firstRow="0" w:lastRow="0" w:firstColumn="1" w:lastColumn="0" w:oddVBand="0" w:evenVBand="0" w:oddHBand="0" w:evenHBand="0" w:firstRowFirstColumn="0" w:firstRowLastColumn="0" w:lastRowFirstColumn="0" w:lastRowLastColumn="0"/>
            <w:tcW w:w="4046" w:type="dxa"/>
          </w:tcPr>
          <w:p w14:paraId="2CB0F94A" w14:textId="77777777" w:rsidR="004D42F9" w:rsidRDefault="004D42F9">
            <w:r>
              <w:t>Buildings</w:t>
            </w:r>
          </w:p>
        </w:tc>
        <w:tc>
          <w:tcPr>
            <w:tcW w:w="774" w:type="dxa"/>
          </w:tcPr>
          <w:p w14:paraId="1C58625A" w14:textId="77777777" w:rsidR="004D42F9" w:rsidRDefault="004D42F9">
            <w:pPr>
              <w:cnfStyle w:val="000000000000" w:firstRow="0" w:lastRow="0" w:firstColumn="0" w:lastColumn="0" w:oddVBand="0" w:evenVBand="0" w:oddHBand="0" w:evenHBand="0" w:firstRowFirstColumn="0" w:firstRowLastColumn="0" w:lastRowFirstColumn="0" w:lastRowLastColumn="0"/>
            </w:pPr>
            <w:r>
              <w:t>11 625</w:t>
            </w:r>
          </w:p>
        </w:tc>
        <w:tc>
          <w:tcPr>
            <w:tcW w:w="1134" w:type="dxa"/>
          </w:tcPr>
          <w:p w14:paraId="05C1E1B4" w14:textId="77777777" w:rsidR="004D42F9" w:rsidRDefault="004D42F9">
            <w:pPr>
              <w:cnfStyle w:val="000000000000" w:firstRow="0" w:lastRow="0" w:firstColumn="0" w:lastColumn="0" w:oddVBand="0" w:evenVBand="0" w:oddHBand="0" w:evenHBand="0" w:firstRowFirstColumn="0" w:firstRowLastColumn="0" w:lastRowFirstColumn="0" w:lastRowLastColumn="0"/>
            </w:pPr>
            <w:r>
              <w:t>(2 298)</w:t>
            </w:r>
          </w:p>
        </w:tc>
        <w:tc>
          <w:tcPr>
            <w:tcW w:w="850" w:type="dxa"/>
          </w:tcPr>
          <w:p w14:paraId="79FC630B" w14:textId="77777777" w:rsidR="004D42F9" w:rsidRDefault="004D42F9">
            <w:pPr>
              <w:cnfStyle w:val="000000000000" w:firstRow="0" w:lastRow="0" w:firstColumn="0" w:lastColumn="0" w:oddVBand="0" w:evenVBand="0" w:oddHBand="0" w:evenHBand="0" w:firstRowFirstColumn="0" w:firstRowLastColumn="0" w:lastRowFirstColumn="0" w:lastRowLastColumn="0"/>
            </w:pPr>
            <w:r>
              <w:t>9 327</w:t>
            </w:r>
          </w:p>
        </w:tc>
        <w:tc>
          <w:tcPr>
            <w:tcW w:w="878" w:type="dxa"/>
          </w:tcPr>
          <w:p w14:paraId="6270A716" w14:textId="77777777" w:rsidR="004D42F9" w:rsidRDefault="004D42F9">
            <w:pPr>
              <w:cnfStyle w:val="000000000000" w:firstRow="0" w:lastRow="0" w:firstColumn="0" w:lastColumn="0" w:oddVBand="0" w:evenVBand="0" w:oddHBand="0" w:evenHBand="0" w:firstRowFirstColumn="0" w:firstRowLastColumn="0" w:lastRowFirstColumn="0" w:lastRowLastColumn="0"/>
            </w:pPr>
            <w:r>
              <w:t>10 955</w:t>
            </w:r>
          </w:p>
        </w:tc>
        <w:tc>
          <w:tcPr>
            <w:tcW w:w="1118" w:type="dxa"/>
          </w:tcPr>
          <w:p w14:paraId="16C6EE35" w14:textId="77777777" w:rsidR="004D42F9" w:rsidRDefault="004D42F9">
            <w:pPr>
              <w:cnfStyle w:val="000000000000" w:firstRow="0" w:lastRow="0" w:firstColumn="0" w:lastColumn="0" w:oddVBand="0" w:evenVBand="0" w:oddHBand="0" w:evenHBand="0" w:firstRowFirstColumn="0" w:firstRowLastColumn="0" w:lastRowFirstColumn="0" w:lastRowLastColumn="0"/>
            </w:pPr>
            <w:r>
              <w:t>(1 957)</w:t>
            </w:r>
          </w:p>
        </w:tc>
        <w:tc>
          <w:tcPr>
            <w:tcW w:w="839" w:type="dxa"/>
          </w:tcPr>
          <w:p w14:paraId="68AD1A5A" w14:textId="77777777" w:rsidR="004D42F9" w:rsidRDefault="004D42F9">
            <w:pPr>
              <w:cnfStyle w:val="000000000000" w:firstRow="0" w:lastRow="0" w:firstColumn="0" w:lastColumn="0" w:oddVBand="0" w:evenVBand="0" w:oddHBand="0" w:evenHBand="0" w:firstRowFirstColumn="0" w:firstRowLastColumn="0" w:lastRowFirstColumn="0" w:lastRowLastColumn="0"/>
            </w:pPr>
            <w:r>
              <w:t>8 997</w:t>
            </w:r>
          </w:p>
        </w:tc>
      </w:tr>
      <w:tr w:rsidR="004D42F9" w14:paraId="34816B9C" w14:textId="77777777">
        <w:tc>
          <w:tcPr>
            <w:cnfStyle w:val="001000000000" w:firstRow="0" w:lastRow="0" w:firstColumn="1" w:lastColumn="0" w:oddVBand="0" w:evenVBand="0" w:oddHBand="0" w:evenHBand="0" w:firstRowFirstColumn="0" w:firstRowLastColumn="0" w:lastRowFirstColumn="0" w:lastRowLastColumn="0"/>
            <w:tcW w:w="4046" w:type="dxa"/>
          </w:tcPr>
          <w:p w14:paraId="439F873F" w14:textId="77777777" w:rsidR="004D42F9" w:rsidRDefault="004D42F9">
            <w:r>
              <w:t>Infrastructure</w:t>
            </w:r>
          </w:p>
        </w:tc>
        <w:tc>
          <w:tcPr>
            <w:tcW w:w="774" w:type="dxa"/>
          </w:tcPr>
          <w:p w14:paraId="5A14483D" w14:textId="77777777" w:rsidR="004D42F9" w:rsidRDefault="004D42F9">
            <w:pPr>
              <w:cnfStyle w:val="000000000000" w:firstRow="0" w:lastRow="0" w:firstColumn="0" w:lastColumn="0" w:oddVBand="0" w:evenVBand="0" w:oddHBand="0" w:evenHBand="0" w:firstRowFirstColumn="0" w:firstRowLastColumn="0" w:lastRowFirstColumn="0" w:lastRowLastColumn="0"/>
            </w:pPr>
            <w:r>
              <w:t>19</w:t>
            </w:r>
          </w:p>
        </w:tc>
        <w:tc>
          <w:tcPr>
            <w:tcW w:w="1134" w:type="dxa"/>
          </w:tcPr>
          <w:p w14:paraId="57242985"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2159B999" w14:textId="77777777" w:rsidR="004D42F9" w:rsidRDefault="004D42F9">
            <w:pPr>
              <w:cnfStyle w:val="000000000000" w:firstRow="0" w:lastRow="0" w:firstColumn="0" w:lastColumn="0" w:oddVBand="0" w:evenVBand="0" w:oddHBand="0" w:evenHBand="0" w:firstRowFirstColumn="0" w:firstRowLastColumn="0" w:lastRowFirstColumn="0" w:lastRowLastColumn="0"/>
            </w:pPr>
            <w:r>
              <w:t>11</w:t>
            </w:r>
          </w:p>
        </w:tc>
        <w:tc>
          <w:tcPr>
            <w:tcW w:w="878" w:type="dxa"/>
          </w:tcPr>
          <w:p w14:paraId="0A31D3BD"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118" w:type="dxa"/>
          </w:tcPr>
          <w:p w14:paraId="3494B322"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839" w:type="dxa"/>
          </w:tcPr>
          <w:p w14:paraId="47A8DF0A"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r>
      <w:tr w:rsidR="004D42F9" w14:paraId="305856A0" w14:textId="77777777">
        <w:tc>
          <w:tcPr>
            <w:cnfStyle w:val="001000000000" w:firstRow="0" w:lastRow="0" w:firstColumn="1" w:lastColumn="0" w:oddVBand="0" w:evenVBand="0" w:oddHBand="0" w:evenHBand="0" w:firstRowFirstColumn="0" w:firstRowLastColumn="0" w:lastRowFirstColumn="0" w:lastRowLastColumn="0"/>
            <w:tcW w:w="4046" w:type="dxa"/>
            <w:tcBorders>
              <w:bottom w:val="single" w:sz="6" w:space="0" w:color="auto"/>
            </w:tcBorders>
          </w:tcPr>
          <w:p w14:paraId="640A0581" w14:textId="77777777" w:rsidR="004D42F9" w:rsidRDefault="004D42F9">
            <w:r>
              <w:t>Plant, equipment and vehicles</w:t>
            </w:r>
          </w:p>
        </w:tc>
        <w:tc>
          <w:tcPr>
            <w:tcW w:w="774" w:type="dxa"/>
            <w:tcBorders>
              <w:bottom w:val="single" w:sz="6" w:space="0" w:color="auto"/>
            </w:tcBorders>
          </w:tcPr>
          <w:p w14:paraId="6F820ACA" w14:textId="77777777" w:rsidR="004D42F9" w:rsidRDefault="004D42F9">
            <w:pPr>
              <w:cnfStyle w:val="000000000000" w:firstRow="0" w:lastRow="0" w:firstColumn="0" w:lastColumn="0" w:oddVBand="0" w:evenVBand="0" w:oddHBand="0" w:evenHBand="0" w:firstRowFirstColumn="0" w:firstRowLastColumn="0" w:lastRowFirstColumn="0" w:lastRowLastColumn="0"/>
            </w:pPr>
            <w:r>
              <w:t>1 436</w:t>
            </w:r>
          </w:p>
        </w:tc>
        <w:tc>
          <w:tcPr>
            <w:tcW w:w="1134" w:type="dxa"/>
            <w:tcBorders>
              <w:bottom w:val="single" w:sz="6" w:space="0" w:color="auto"/>
            </w:tcBorders>
          </w:tcPr>
          <w:p w14:paraId="6AE4DAEC" w14:textId="77777777" w:rsidR="004D42F9" w:rsidRDefault="004D42F9">
            <w:pPr>
              <w:cnfStyle w:val="000000000000" w:firstRow="0" w:lastRow="0" w:firstColumn="0" w:lastColumn="0" w:oddVBand="0" w:evenVBand="0" w:oddHBand="0" w:evenHBand="0" w:firstRowFirstColumn="0" w:firstRowLastColumn="0" w:lastRowFirstColumn="0" w:lastRowLastColumn="0"/>
            </w:pPr>
            <w:r>
              <w:t>(732)</w:t>
            </w:r>
          </w:p>
        </w:tc>
        <w:tc>
          <w:tcPr>
            <w:tcW w:w="850" w:type="dxa"/>
            <w:tcBorders>
              <w:bottom w:val="single" w:sz="6" w:space="0" w:color="auto"/>
            </w:tcBorders>
          </w:tcPr>
          <w:p w14:paraId="68AF6D2B" w14:textId="77777777" w:rsidR="004D42F9" w:rsidRDefault="004D42F9">
            <w:pPr>
              <w:cnfStyle w:val="000000000000" w:firstRow="0" w:lastRow="0" w:firstColumn="0" w:lastColumn="0" w:oddVBand="0" w:evenVBand="0" w:oddHBand="0" w:evenHBand="0" w:firstRowFirstColumn="0" w:firstRowLastColumn="0" w:lastRowFirstColumn="0" w:lastRowLastColumn="0"/>
            </w:pPr>
            <w:r>
              <w:t>704</w:t>
            </w:r>
          </w:p>
        </w:tc>
        <w:tc>
          <w:tcPr>
            <w:tcW w:w="878" w:type="dxa"/>
            <w:tcBorders>
              <w:bottom w:val="single" w:sz="6" w:space="0" w:color="auto"/>
            </w:tcBorders>
          </w:tcPr>
          <w:p w14:paraId="2CFBF7F1" w14:textId="77777777" w:rsidR="004D42F9" w:rsidRDefault="004D42F9">
            <w:pPr>
              <w:cnfStyle w:val="000000000000" w:firstRow="0" w:lastRow="0" w:firstColumn="0" w:lastColumn="0" w:oddVBand="0" w:evenVBand="0" w:oddHBand="0" w:evenHBand="0" w:firstRowFirstColumn="0" w:firstRowLastColumn="0" w:lastRowFirstColumn="0" w:lastRowLastColumn="0"/>
            </w:pPr>
            <w:r>
              <w:t>1 155</w:t>
            </w:r>
          </w:p>
        </w:tc>
        <w:tc>
          <w:tcPr>
            <w:tcW w:w="1118" w:type="dxa"/>
            <w:tcBorders>
              <w:bottom w:val="single" w:sz="6" w:space="0" w:color="auto"/>
            </w:tcBorders>
          </w:tcPr>
          <w:p w14:paraId="5963B2EA" w14:textId="77777777" w:rsidR="004D42F9" w:rsidRDefault="004D42F9">
            <w:pPr>
              <w:cnfStyle w:val="000000000000" w:firstRow="0" w:lastRow="0" w:firstColumn="0" w:lastColumn="0" w:oddVBand="0" w:evenVBand="0" w:oddHBand="0" w:evenHBand="0" w:firstRowFirstColumn="0" w:firstRowLastColumn="0" w:lastRowFirstColumn="0" w:lastRowLastColumn="0"/>
            </w:pPr>
            <w:r>
              <w:t>(590)</w:t>
            </w:r>
          </w:p>
        </w:tc>
        <w:tc>
          <w:tcPr>
            <w:tcW w:w="839" w:type="dxa"/>
            <w:tcBorders>
              <w:bottom w:val="single" w:sz="6" w:space="0" w:color="auto"/>
            </w:tcBorders>
          </w:tcPr>
          <w:p w14:paraId="60D39718" w14:textId="77777777" w:rsidR="004D42F9" w:rsidRDefault="004D42F9">
            <w:pPr>
              <w:cnfStyle w:val="000000000000" w:firstRow="0" w:lastRow="0" w:firstColumn="0" w:lastColumn="0" w:oddVBand="0" w:evenVBand="0" w:oddHBand="0" w:evenHBand="0" w:firstRowFirstColumn="0" w:firstRowLastColumn="0" w:lastRowFirstColumn="0" w:lastRowLastColumn="0"/>
            </w:pPr>
            <w:r>
              <w:t>565</w:t>
            </w:r>
          </w:p>
        </w:tc>
      </w:tr>
      <w:tr w:rsidR="004D42F9" w14:paraId="22A3D0E6" w14:textId="77777777">
        <w:tc>
          <w:tcPr>
            <w:cnfStyle w:val="001000000000" w:firstRow="0" w:lastRow="0" w:firstColumn="1" w:lastColumn="0" w:oddVBand="0" w:evenVBand="0" w:oddHBand="0" w:evenHBand="0" w:firstRowFirstColumn="0" w:firstRowLastColumn="0" w:lastRowFirstColumn="0" w:lastRowLastColumn="0"/>
            <w:tcW w:w="4046" w:type="dxa"/>
            <w:tcBorders>
              <w:top w:val="single" w:sz="6" w:space="0" w:color="auto"/>
              <w:bottom w:val="single" w:sz="12" w:space="0" w:color="auto"/>
            </w:tcBorders>
          </w:tcPr>
          <w:p w14:paraId="480008F9" w14:textId="77777777" w:rsidR="004D42F9" w:rsidRDefault="004D42F9">
            <w:r>
              <w:rPr>
                <w:b/>
              </w:rPr>
              <w:t>Total right</w:t>
            </w:r>
            <w:r>
              <w:rPr>
                <w:b/>
              </w:rPr>
              <w:noBreakHyphen/>
              <w:t>of</w:t>
            </w:r>
            <w:r>
              <w:rPr>
                <w:b/>
              </w:rPr>
              <w:noBreakHyphen/>
              <w:t>use assets: land, buildings, infrastructure, plant and equipment</w:t>
            </w:r>
          </w:p>
        </w:tc>
        <w:tc>
          <w:tcPr>
            <w:tcW w:w="774" w:type="dxa"/>
            <w:tcBorders>
              <w:top w:val="single" w:sz="6" w:space="0" w:color="auto"/>
              <w:bottom w:val="single" w:sz="12" w:space="0" w:color="auto"/>
            </w:tcBorders>
          </w:tcPr>
          <w:p w14:paraId="446511E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13 081</w:t>
            </w:r>
          </w:p>
        </w:tc>
        <w:tc>
          <w:tcPr>
            <w:tcW w:w="1134" w:type="dxa"/>
            <w:tcBorders>
              <w:top w:val="single" w:sz="6" w:space="0" w:color="auto"/>
              <w:bottom w:val="single" w:sz="12" w:space="0" w:color="auto"/>
            </w:tcBorders>
          </w:tcPr>
          <w:p w14:paraId="746D5FE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(3 038)</w:t>
            </w:r>
          </w:p>
        </w:tc>
        <w:tc>
          <w:tcPr>
            <w:tcW w:w="850" w:type="dxa"/>
            <w:tcBorders>
              <w:top w:val="single" w:sz="6" w:space="0" w:color="auto"/>
              <w:bottom w:val="single" w:sz="12" w:space="0" w:color="auto"/>
            </w:tcBorders>
          </w:tcPr>
          <w:p w14:paraId="2305F51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10 042</w:t>
            </w:r>
          </w:p>
        </w:tc>
        <w:tc>
          <w:tcPr>
            <w:tcW w:w="878" w:type="dxa"/>
            <w:tcBorders>
              <w:top w:val="single" w:sz="6" w:space="0" w:color="auto"/>
              <w:bottom w:val="single" w:sz="12" w:space="0" w:color="auto"/>
            </w:tcBorders>
          </w:tcPr>
          <w:p w14:paraId="3698661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12 113</w:t>
            </w:r>
          </w:p>
        </w:tc>
        <w:tc>
          <w:tcPr>
            <w:tcW w:w="1118" w:type="dxa"/>
            <w:tcBorders>
              <w:top w:val="single" w:sz="6" w:space="0" w:color="auto"/>
              <w:bottom w:val="single" w:sz="12" w:space="0" w:color="auto"/>
            </w:tcBorders>
          </w:tcPr>
          <w:p w14:paraId="0F909DE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(2 549)</w:t>
            </w:r>
          </w:p>
        </w:tc>
        <w:tc>
          <w:tcPr>
            <w:tcW w:w="839" w:type="dxa"/>
            <w:tcBorders>
              <w:top w:val="single" w:sz="6" w:space="0" w:color="auto"/>
              <w:bottom w:val="single" w:sz="12" w:space="0" w:color="auto"/>
            </w:tcBorders>
          </w:tcPr>
          <w:p w14:paraId="3A0666D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9 564</w:t>
            </w:r>
          </w:p>
        </w:tc>
      </w:tr>
    </w:tbl>
    <w:p w14:paraId="0191C107" w14:textId="77777777" w:rsidR="004D42F9" w:rsidRDefault="004D42F9" w:rsidP="004D42F9"/>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ROU_PY"/>
      </w:tblPr>
      <w:tblGrid>
        <w:gridCol w:w="4046"/>
        <w:gridCol w:w="774"/>
        <w:gridCol w:w="1134"/>
        <w:gridCol w:w="850"/>
        <w:gridCol w:w="851"/>
        <w:gridCol w:w="1145"/>
        <w:gridCol w:w="839"/>
      </w:tblGrid>
      <w:tr w:rsidR="002F56B2" w14:paraId="406DF0F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6" w:type="dxa"/>
          </w:tcPr>
          <w:p w14:paraId="4FA6E93B" w14:textId="77777777" w:rsidR="004D42F9" w:rsidRDefault="004D42F9">
            <w:pPr>
              <w:keepNext/>
            </w:pPr>
            <w:r>
              <w:t>2024</w:t>
            </w:r>
          </w:p>
        </w:tc>
        <w:tc>
          <w:tcPr>
            <w:tcW w:w="774" w:type="dxa"/>
          </w:tcPr>
          <w:p w14:paraId="514E656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134" w:type="dxa"/>
          </w:tcPr>
          <w:p w14:paraId="47953E7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850" w:type="dxa"/>
          </w:tcPr>
          <w:p w14:paraId="438951F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851" w:type="dxa"/>
          </w:tcPr>
          <w:p w14:paraId="061A2D3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145" w:type="dxa"/>
          </w:tcPr>
          <w:p w14:paraId="3544C76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839" w:type="dxa"/>
          </w:tcPr>
          <w:p w14:paraId="2AA2BE5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0264CC17" w14:textId="77777777">
        <w:tc>
          <w:tcPr>
            <w:cnfStyle w:val="001000000000" w:firstRow="0" w:lastRow="0" w:firstColumn="1" w:lastColumn="0" w:oddVBand="0" w:evenVBand="0" w:oddHBand="0" w:evenHBand="0" w:firstRowFirstColumn="0" w:firstRowLastColumn="0" w:lastRowFirstColumn="0" w:lastRowLastColumn="0"/>
            <w:tcW w:w="4046" w:type="dxa"/>
          </w:tcPr>
          <w:p w14:paraId="54C2253F" w14:textId="77777777" w:rsidR="004D42F9" w:rsidRDefault="004D42F9">
            <w:r>
              <w:t>Buildings</w:t>
            </w:r>
          </w:p>
        </w:tc>
        <w:tc>
          <w:tcPr>
            <w:tcW w:w="774" w:type="dxa"/>
          </w:tcPr>
          <w:p w14:paraId="371BC2D8" w14:textId="77777777" w:rsidR="004D42F9" w:rsidRDefault="004D42F9">
            <w:pPr>
              <w:cnfStyle w:val="000000000000" w:firstRow="0" w:lastRow="0" w:firstColumn="0" w:lastColumn="0" w:oddVBand="0" w:evenVBand="0" w:oddHBand="0" w:evenHBand="0" w:firstRowFirstColumn="0" w:firstRowLastColumn="0" w:lastRowFirstColumn="0" w:lastRowLastColumn="0"/>
            </w:pPr>
            <w:r>
              <w:t>12 539</w:t>
            </w:r>
          </w:p>
        </w:tc>
        <w:tc>
          <w:tcPr>
            <w:tcW w:w="1134" w:type="dxa"/>
          </w:tcPr>
          <w:p w14:paraId="3F0EB3F5" w14:textId="77777777" w:rsidR="004D42F9" w:rsidRDefault="004D42F9">
            <w:pPr>
              <w:cnfStyle w:val="000000000000" w:firstRow="0" w:lastRow="0" w:firstColumn="0" w:lastColumn="0" w:oddVBand="0" w:evenVBand="0" w:oddHBand="0" w:evenHBand="0" w:firstRowFirstColumn="0" w:firstRowLastColumn="0" w:lastRowFirstColumn="0" w:lastRowLastColumn="0"/>
            </w:pPr>
            <w:r>
              <w:t>(2 528)</w:t>
            </w:r>
          </w:p>
        </w:tc>
        <w:tc>
          <w:tcPr>
            <w:tcW w:w="850" w:type="dxa"/>
          </w:tcPr>
          <w:p w14:paraId="321A8F87" w14:textId="77777777" w:rsidR="004D42F9" w:rsidRDefault="004D42F9">
            <w:pPr>
              <w:cnfStyle w:val="000000000000" w:firstRow="0" w:lastRow="0" w:firstColumn="0" w:lastColumn="0" w:oddVBand="0" w:evenVBand="0" w:oddHBand="0" w:evenHBand="0" w:firstRowFirstColumn="0" w:firstRowLastColumn="0" w:lastRowFirstColumn="0" w:lastRowLastColumn="0"/>
            </w:pPr>
            <w:r>
              <w:t>10 010</w:t>
            </w:r>
          </w:p>
        </w:tc>
        <w:tc>
          <w:tcPr>
            <w:tcW w:w="851" w:type="dxa"/>
          </w:tcPr>
          <w:p w14:paraId="4000F97F" w14:textId="77777777" w:rsidR="004D42F9" w:rsidRDefault="004D42F9">
            <w:pPr>
              <w:cnfStyle w:val="000000000000" w:firstRow="0" w:lastRow="0" w:firstColumn="0" w:lastColumn="0" w:oddVBand="0" w:evenVBand="0" w:oddHBand="0" w:evenHBand="0" w:firstRowFirstColumn="0" w:firstRowLastColumn="0" w:lastRowFirstColumn="0" w:lastRowLastColumn="0"/>
            </w:pPr>
            <w:r>
              <w:t>11 919</w:t>
            </w:r>
          </w:p>
        </w:tc>
        <w:tc>
          <w:tcPr>
            <w:tcW w:w="1145" w:type="dxa"/>
          </w:tcPr>
          <w:p w14:paraId="0070539C" w14:textId="77777777" w:rsidR="004D42F9" w:rsidRDefault="004D42F9">
            <w:pPr>
              <w:cnfStyle w:val="000000000000" w:firstRow="0" w:lastRow="0" w:firstColumn="0" w:lastColumn="0" w:oddVBand="0" w:evenVBand="0" w:oddHBand="0" w:evenHBand="0" w:firstRowFirstColumn="0" w:firstRowLastColumn="0" w:lastRowFirstColumn="0" w:lastRowLastColumn="0"/>
            </w:pPr>
            <w:r>
              <w:t>(2 237)</w:t>
            </w:r>
          </w:p>
        </w:tc>
        <w:tc>
          <w:tcPr>
            <w:tcW w:w="839" w:type="dxa"/>
          </w:tcPr>
          <w:p w14:paraId="70442C4F" w14:textId="77777777" w:rsidR="004D42F9" w:rsidRDefault="004D42F9">
            <w:pPr>
              <w:cnfStyle w:val="000000000000" w:firstRow="0" w:lastRow="0" w:firstColumn="0" w:lastColumn="0" w:oddVBand="0" w:evenVBand="0" w:oddHBand="0" w:evenHBand="0" w:firstRowFirstColumn="0" w:firstRowLastColumn="0" w:lastRowFirstColumn="0" w:lastRowLastColumn="0"/>
            </w:pPr>
            <w:r>
              <w:t>9 683</w:t>
            </w:r>
          </w:p>
        </w:tc>
      </w:tr>
      <w:tr w:rsidR="004D42F9" w14:paraId="6CBEC5D8" w14:textId="77777777">
        <w:tc>
          <w:tcPr>
            <w:cnfStyle w:val="001000000000" w:firstRow="0" w:lastRow="0" w:firstColumn="1" w:lastColumn="0" w:oddVBand="0" w:evenVBand="0" w:oddHBand="0" w:evenHBand="0" w:firstRowFirstColumn="0" w:firstRowLastColumn="0" w:lastRowFirstColumn="0" w:lastRowLastColumn="0"/>
            <w:tcW w:w="4046" w:type="dxa"/>
          </w:tcPr>
          <w:p w14:paraId="6FF630E5" w14:textId="77777777" w:rsidR="004D42F9" w:rsidRDefault="004D42F9">
            <w:r>
              <w:t>Infrastructure</w:t>
            </w:r>
          </w:p>
        </w:tc>
        <w:tc>
          <w:tcPr>
            <w:tcW w:w="774" w:type="dxa"/>
          </w:tcPr>
          <w:p w14:paraId="52BEB748"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c>
          <w:tcPr>
            <w:tcW w:w="1134" w:type="dxa"/>
          </w:tcPr>
          <w:p w14:paraId="798A19E6"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4210771A" w14:textId="77777777" w:rsidR="004D42F9" w:rsidRDefault="004D42F9">
            <w:pPr>
              <w:cnfStyle w:val="000000000000" w:firstRow="0" w:lastRow="0" w:firstColumn="0" w:lastColumn="0" w:oddVBand="0" w:evenVBand="0" w:oddHBand="0" w:evenHBand="0" w:firstRowFirstColumn="0" w:firstRowLastColumn="0" w:lastRowFirstColumn="0" w:lastRowLastColumn="0"/>
            </w:pPr>
            <w:r>
              <w:t>17</w:t>
            </w:r>
          </w:p>
        </w:tc>
        <w:tc>
          <w:tcPr>
            <w:tcW w:w="851" w:type="dxa"/>
          </w:tcPr>
          <w:p w14:paraId="0CB605AD"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145" w:type="dxa"/>
          </w:tcPr>
          <w:p w14:paraId="3E048089"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839" w:type="dxa"/>
          </w:tcPr>
          <w:p w14:paraId="4DC3D492"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r>
      <w:tr w:rsidR="004D42F9" w14:paraId="7B822642" w14:textId="77777777">
        <w:tc>
          <w:tcPr>
            <w:cnfStyle w:val="001000000000" w:firstRow="0" w:lastRow="0" w:firstColumn="1" w:lastColumn="0" w:oddVBand="0" w:evenVBand="0" w:oddHBand="0" w:evenHBand="0" w:firstRowFirstColumn="0" w:firstRowLastColumn="0" w:lastRowFirstColumn="0" w:lastRowLastColumn="0"/>
            <w:tcW w:w="4046" w:type="dxa"/>
            <w:tcBorders>
              <w:bottom w:val="single" w:sz="6" w:space="0" w:color="auto"/>
            </w:tcBorders>
          </w:tcPr>
          <w:p w14:paraId="6DB8E361" w14:textId="77777777" w:rsidR="004D42F9" w:rsidRDefault="004D42F9">
            <w:r>
              <w:t>Plant, equipment and vehicles</w:t>
            </w:r>
          </w:p>
        </w:tc>
        <w:tc>
          <w:tcPr>
            <w:tcW w:w="774" w:type="dxa"/>
            <w:tcBorders>
              <w:bottom w:val="single" w:sz="6" w:space="0" w:color="auto"/>
            </w:tcBorders>
          </w:tcPr>
          <w:p w14:paraId="68F80070" w14:textId="77777777" w:rsidR="004D42F9" w:rsidRDefault="004D42F9">
            <w:pPr>
              <w:cnfStyle w:val="000000000000" w:firstRow="0" w:lastRow="0" w:firstColumn="0" w:lastColumn="0" w:oddVBand="0" w:evenVBand="0" w:oddHBand="0" w:evenHBand="0" w:firstRowFirstColumn="0" w:firstRowLastColumn="0" w:lastRowFirstColumn="0" w:lastRowLastColumn="0"/>
            </w:pPr>
            <w:r>
              <w:t>1 432</w:t>
            </w:r>
          </w:p>
        </w:tc>
        <w:tc>
          <w:tcPr>
            <w:tcW w:w="1134" w:type="dxa"/>
            <w:tcBorders>
              <w:bottom w:val="single" w:sz="6" w:space="0" w:color="auto"/>
            </w:tcBorders>
          </w:tcPr>
          <w:p w14:paraId="0D35C0CD" w14:textId="77777777" w:rsidR="004D42F9" w:rsidRDefault="004D42F9">
            <w:pPr>
              <w:cnfStyle w:val="000000000000" w:firstRow="0" w:lastRow="0" w:firstColumn="0" w:lastColumn="0" w:oddVBand="0" w:evenVBand="0" w:oddHBand="0" w:evenHBand="0" w:firstRowFirstColumn="0" w:firstRowLastColumn="0" w:lastRowFirstColumn="0" w:lastRowLastColumn="0"/>
            </w:pPr>
            <w:r>
              <w:t>(650)</w:t>
            </w:r>
          </w:p>
        </w:tc>
        <w:tc>
          <w:tcPr>
            <w:tcW w:w="850" w:type="dxa"/>
            <w:tcBorders>
              <w:bottom w:val="single" w:sz="6" w:space="0" w:color="auto"/>
            </w:tcBorders>
          </w:tcPr>
          <w:p w14:paraId="62323277" w14:textId="77777777" w:rsidR="004D42F9" w:rsidRDefault="004D42F9">
            <w:pPr>
              <w:cnfStyle w:val="000000000000" w:firstRow="0" w:lastRow="0" w:firstColumn="0" w:lastColumn="0" w:oddVBand="0" w:evenVBand="0" w:oddHBand="0" w:evenHBand="0" w:firstRowFirstColumn="0" w:firstRowLastColumn="0" w:lastRowFirstColumn="0" w:lastRowLastColumn="0"/>
            </w:pPr>
            <w:r>
              <w:t>782</w:t>
            </w:r>
          </w:p>
        </w:tc>
        <w:tc>
          <w:tcPr>
            <w:tcW w:w="851" w:type="dxa"/>
            <w:tcBorders>
              <w:bottom w:val="single" w:sz="6" w:space="0" w:color="auto"/>
            </w:tcBorders>
          </w:tcPr>
          <w:p w14:paraId="3AC6EFB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1 175</w:t>
            </w:r>
          </w:p>
        </w:tc>
        <w:tc>
          <w:tcPr>
            <w:tcW w:w="1145" w:type="dxa"/>
            <w:tcBorders>
              <w:bottom w:val="single" w:sz="6" w:space="0" w:color="auto"/>
            </w:tcBorders>
          </w:tcPr>
          <w:p w14:paraId="7CE67227" w14:textId="77777777" w:rsidR="004D42F9" w:rsidRDefault="004D42F9">
            <w:pPr>
              <w:cnfStyle w:val="000000000000" w:firstRow="0" w:lastRow="0" w:firstColumn="0" w:lastColumn="0" w:oddVBand="0" w:evenVBand="0" w:oddHBand="0" w:evenHBand="0" w:firstRowFirstColumn="0" w:firstRowLastColumn="0" w:lastRowFirstColumn="0" w:lastRowLastColumn="0"/>
            </w:pPr>
            <w:r>
              <w:t>(532)</w:t>
            </w:r>
          </w:p>
        </w:tc>
        <w:tc>
          <w:tcPr>
            <w:tcW w:w="839" w:type="dxa"/>
            <w:tcBorders>
              <w:bottom w:val="single" w:sz="6" w:space="0" w:color="auto"/>
            </w:tcBorders>
          </w:tcPr>
          <w:p w14:paraId="2FB630FD" w14:textId="77777777" w:rsidR="004D42F9" w:rsidRDefault="004D42F9">
            <w:pPr>
              <w:cnfStyle w:val="000000000000" w:firstRow="0" w:lastRow="0" w:firstColumn="0" w:lastColumn="0" w:oddVBand="0" w:evenVBand="0" w:oddHBand="0" w:evenHBand="0" w:firstRowFirstColumn="0" w:firstRowLastColumn="0" w:lastRowFirstColumn="0" w:lastRowLastColumn="0"/>
            </w:pPr>
            <w:r>
              <w:t>643</w:t>
            </w:r>
          </w:p>
        </w:tc>
      </w:tr>
      <w:tr w:rsidR="004D42F9" w14:paraId="092F3D07" w14:textId="77777777">
        <w:tc>
          <w:tcPr>
            <w:cnfStyle w:val="001000000000" w:firstRow="0" w:lastRow="0" w:firstColumn="1" w:lastColumn="0" w:oddVBand="0" w:evenVBand="0" w:oddHBand="0" w:evenHBand="0" w:firstRowFirstColumn="0" w:firstRowLastColumn="0" w:lastRowFirstColumn="0" w:lastRowLastColumn="0"/>
            <w:tcW w:w="4046" w:type="dxa"/>
            <w:tcBorders>
              <w:top w:val="single" w:sz="6" w:space="0" w:color="auto"/>
              <w:bottom w:val="single" w:sz="12" w:space="0" w:color="auto"/>
            </w:tcBorders>
          </w:tcPr>
          <w:p w14:paraId="4B02B5B3" w14:textId="77777777" w:rsidR="004D42F9" w:rsidRDefault="004D42F9">
            <w:r>
              <w:rPr>
                <w:b/>
              </w:rPr>
              <w:t>Total right</w:t>
            </w:r>
            <w:r>
              <w:rPr>
                <w:b/>
              </w:rPr>
              <w:noBreakHyphen/>
              <w:t>of</w:t>
            </w:r>
            <w:r>
              <w:rPr>
                <w:b/>
              </w:rPr>
              <w:noBreakHyphen/>
              <w:t>use assets: land, buildings, infrastructure, plant and equipment</w:t>
            </w:r>
          </w:p>
        </w:tc>
        <w:tc>
          <w:tcPr>
            <w:tcW w:w="774" w:type="dxa"/>
            <w:tcBorders>
              <w:top w:val="single" w:sz="6" w:space="0" w:color="auto"/>
              <w:bottom w:val="single" w:sz="12" w:space="0" w:color="auto"/>
            </w:tcBorders>
          </w:tcPr>
          <w:p w14:paraId="42017A7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13 996</w:t>
            </w:r>
          </w:p>
        </w:tc>
        <w:tc>
          <w:tcPr>
            <w:tcW w:w="1134" w:type="dxa"/>
            <w:tcBorders>
              <w:top w:val="single" w:sz="6" w:space="0" w:color="auto"/>
              <w:bottom w:val="single" w:sz="12" w:space="0" w:color="auto"/>
            </w:tcBorders>
          </w:tcPr>
          <w:p w14:paraId="4DC3999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(3 187)</w:t>
            </w:r>
          </w:p>
        </w:tc>
        <w:tc>
          <w:tcPr>
            <w:tcW w:w="850" w:type="dxa"/>
            <w:tcBorders>
              <w:top w:val="single" w:sz="6" w:space="0" w:color="auto"/>
              <w:bottom w:val="single" w:sz="12" w:space="0" w:color="auto"/>
            </w:tcBorders>
          </w:tcPr>
          <w:p w14:paraId="63E833C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10 809</w:t>
            </w:r>
          </w:p>
        </w:tc>
        <w:tc>
          <w:tcPr>
            <w:tcW w:w="851" w:type="dxa"/>
            <w:tcBorders>
              <w:top w:val="single" w:sz="6" w:space="0" w:color="auto"/>
              <w:bottom w:val="single" w:sz="12" w:space="0" w:color="auto"/>
            </w:tcBorders>
          </w:tcPr>
          <w:p w14:paraId="5E18730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13 098</w:t>
            </w:r>
          </w:p>
        </w:tc>
        <w:tc>
          <w:tcPr>
            <w:tcW w:w="1145" w:type="dxa"/>
            <w:tcBorders>
              <w:top w:val="single" w:sz="6" w:space="0" w:color="auto"/>
              <w:bottom w:val="single" w:sz="12" w:space="0" w:color="auto"/>
            </w:tcBorders>
          </w:tcPr>
          <w:p w14:paraId="6B00A8E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(2 770)</w:t>
            </w:r>
          </w:p>
        </w:tc>
        <w:tc>
          <w:tcPr>
            <w:tcW w:w="839" w:type="dxa"/>
            <w:tcBorders>
              <w:top w:val="single" w:sz="6" w:space="0" w:color="auto"/>
              <w:bottom w:val="single" w:sz="12" w:space="0" w:color="auto"/>
            </w:tcBorders>
          </w:tcPr>
          <w:p w14:paraId="135D9BD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10 329</w:t>
            </w:r>
          </w:p>
        </w:tc>
      </w:tr>
    </w:tbl>
    <w:p w14:paraId="7444ED70" w14:textId="77777777" w:rsidR="004D42F9" w:rsidRDefault="004D42F9" w:rsidP="004D42F9"/>
    <w:p w14:paraId="1355CEDC" w14:textId="77777777" w:rsidR="004D42F9" w:rsidRDefault="004D42F9" w:rsidP="004D42F9">
      <w:pPr>
        <w:pStyle w:val="TableHeading"/>
      </w:pPr>
      <w:r>
        <w:t>Total service concession assets: Land, buildings, infrastructure, plant and equipment</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SCA_CY"/>
      </w:tblPr>
      <w:tblGrid>
        <w:gridCol w:w="4047"/>
        <w:gridCol w:w="773"/>
        <w:gridCol w:w="1134"/>
        <w:gridCol w:w="850"/>
        <w:gridCol w:w="851"/>
        <w:gridCol w:w="1134"/>
        <w:gridCol w:w="850"/>
      </w:tblGrid>
      <w:tr w:rsidR="004D42F9" w14:paraId="758B166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7" w:type="dxa"/>
          </w:tcPr>
          <w:p w14:paraId="5DED9A6C" w14:textId="77777777" w:rsidR="004D42F9" w:rsidRDefault="004D42F9">
            <w:pPr>
              <w:keepNext/>
            </w:pPr>
          </w:p>
        </w:tc>
        <w:tc>
          <w:tcPr>
            <w:tcW w:w="2757" w:type="dxa"/>
            <w:gridSpan w:val="3"/>
          </w:tcPr>
          <w:p w14:paraId="7F4A0C8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35" w:type="dxa"/>
            <w:gridSpan w:val="3"/>
          </w:tcPr>
          <w:p w14:paraId="56CF9B71"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2F56B2" w14:paraId="022C21A6"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4047" w:type="dxa"/>
          </w:tcPr>
          <w:p w14:paraId="73E6DA15" w14:textId="77777777" w:rsidR="004D42F9" w:rsidRDefault="004D42F9">
            <w:pPr>
              <w:keepNext/>
            </w:pPr>
            <w:r>
              <w:t>2025</w:t>
            </w:r>
          </w:p>
        </w:tc>
        <w:tc>
          <w:tcPr>
            <w:tcW w:w="773" w:type="dxa"/>
          </w:tcPr>
          <w:p w14:paraId="7A495D3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4" w:type="dxa"/>
          </w:tcPr>
          <w:p w14:paraId="6B8A4ED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50" w:type="dxa"/>
          </w:tcPr>
          <w:p w14:paraId="33FE6C3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c>
          <w:tcPr>
            <w:tcW w:w="851" w:type="dxa"/>
          </w:tcPr>
          <w:p w14:paraId="4289333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134" w:type="dxa"/>
          </w:tcPr>
          <w:p w14:paraId="247DE32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850" w:type="dxa"/>
          </w:tcPr>
          <w:p w14:paraId="0C7F13E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Carrying amount</w:t>
            </w:r>
          </w:p>
        </w:tc>
      </w:tr>
      <w:tr w:rsidR="004D42F9" w14:paraId="7F877B56" w14:textId="77777777">
        <w:tc>
          <w:tcPr>
            <w:cnfStyle w:val="001000000000" w:firstRow="0" w:lastRow="0" w:firstColumn="1" w:lastColumn="0" w:oddVBand="0" w:evenVBand="0" w:oddHBand="0" w:evenHBand="0" w:firstRowFirstColumn="0" w:firstRowLastColumn="0" w:lastRowFirstColumn="0" w:lastRowLastColumn="0"/>
            <w:tcW w:w="4047" w:type="dxa"/>
          </w:tcPr>
          <w:p w14:paraId="721399C5" w14:textId="77777777" w:rsidR="004D42F9" w:rsidRDefault="004D42F9">
            <w:r>
              <w:t>Buildings</w:t>
            </w:r>
          </w:p>
        </w:tc>
        <w:tc>
          <w:tcPr>
            <w:tcW w:w="773" w:type="dxa"/>
          </w:tcPr>
          <w:p w14:paraId="74FF0ACF" w14:textId="77777777" w:rsidR="004D42F9" w:rsidRDefault="004D42F9">
            <w:pPr>
              <w:cnfStyle w:val="000000000000" w:firstRow="0" w:lastRow="0" w:firstColumn="0" w:lastColumn="0" w:oddVBand="0" w:evenVBand="0" w:oddHBand="0" w:evenHBand="0" w:firstRowFirstColumn="0" w:firstRowLastColumn="0" w:lastRowFirstColumn="0" w:lastRowLastColumn="0"/>
            </w:pPr>
            <w:r>
              <w:t>2 782</w:t>
            </w:r>
          </w:p>
        </w:tc>
        <w:tc>
          <w:tcPr>
            <w:tcW w:w="1134" w:type="dxa"/>
          </w:tcPr>
          <w:p w14:paraId="774E9BDC" w14:textId="77777777" w:rsidR="004D42F9" w:rsidRDefault="004D42F9">
            <w:pPr>
              <w:cnfStyle w:val="000000000000" w:firstRow="0" w:lastRow="0" w:firstColumn="0" w:lastColumn="0" w:oddVBand="0" w:evenVBand="0" w:oddHBand="0" w:evenHBand="0" w:firstRowFirstColumn="0" w:firstRowLastColumn="0" w:lastRowFirstColumn="0" w:lastRowLastColumn="0"/>
            </w:pPr>
            <w:r>
              <w:t>(82)</w:t>
            </w:r>
          </w:p>
        </w:tc>
        <w:tc>
          <w:tcPr>
            <w:tcW w:w="850" w:type="dxa"/>
          </w:tcPr>
          <w:p w14:paraId="1DBE4015" w14:textId="77777777" w:rsidR="004D42F9" w:rsidRDefault="004D42F9">
            <w:pPr>
              <w:cnfStyle w:val="000000000000" w:firstRow="0" w:lastRow="0" w:firstColumn="0" w:lastColumn="0" w:oddVBand="0" w:evenVBand="0" w:oddHBand="0" w:evenHBand="0" w:firstRowFirstColumn="0" w:firstRowLastColumn="0" w:lastRowFirstColumn="0" w:lastRowLastColumn="0"/>
            </w:pPr>
            <w:r>
              <w:t>2 700</w:t>
            </w:r>
          </w:p>
        </w:tc>
        <w:tc>
          <w:tcPr>
            <w:tcW w:w="851" w:type="dxa"/>
          </w:tcPr>
          <w:p w14:paraId="26AD3488" w14:textId="77777777" w:rsidR="004D42F9" w:rsidRDefault="004D42F9">
            <w:pPr>
              <w:cnfStyle w:val="000000000000" w:firstRow="0" w:lastRow="0" w:firstColumn="0" w:lastColumn="0" w:oddVBand="0" w:evenVBand="0" w:oddHBand="0" w:evenHBand="0" w:firstRowFirstColumn="0" w:firstRowLastColumn="0" w:lastRowFirstColumn="0" w:lastRowLastColumn="0"/>
            </w:pPr>
            <w:r>
              <w:t>2 429</w:t>
            </w:r>
          </w:p>
        </w:tc>
        <w:tc>
          <w:tcPr>
            <w:tcW w:w="1134" w:type="dxa"/>
          </w:tcPr>
          <w:p w14:paraId="5DC50325" w14:textId="77777777" w:rsidR="004D42F9" w:rsidRDefault="004D42F9">
            <w:pPr>
              <w:cnfStyle w:val="000000000000" w:firstRow="0" w:lastRow="0" w:firstColumn="0" w:lastColumn="0" w:oddVBand="0" w:evenVBand="0" w:oddHBand="0" w:evenHBand="0" w:firstRowFirstColumn="0" w:firstRowLastColumn="0" w:lastRowFirstColumn="0" w:lastRowLastColumn="0"/>
            </w:pPr>
            <w:r>
              <w:t>(72)</w:t>
            </w:r>
          </w:p>
        </w:tc>
        <w:tc>
          <w:tcPr>
            <w:tcW w:w="850" w:type="dxa"/>
          </w:tcPr>
          <w:p w14:paraId="6A16960E" w14:textId="77777777" w:rsidR="004D42F9" w:rsidRDefault="004D42F9">
            <w:pPr>
              <w:cnfStyle w:val="000000000000" w:firstRow="0" w:lastRow="0" w:firstColumn="0" w:lastColumn="0" w:oddVBand="0" w:evenVBand="0" w:oddHBand="0" w:evenHBand="0" w:firstRowFirstColumn="0" w:firstRowLastColumn="0" w:lastRowFirstColumn="0" w:lastRowLastColumn="0"/>
            </w:pPr>
            <w:r>
              <w:t>2 358</w:t>
            </w:r>
          </w:p>
        </w:tc>
      </w:tr>
      <w:tr w:rsidR="004D42F9" w14:paraId="146B4788" w14:textId="77777777">
        <w:tc>
          <w:tcPr>
            <w:cnfStyle w:val="001000000000" w:firstRow="0" w:lastRow="0" w:firstColumn="1" w:lastColumn="0" w:oddVBand="0" w:evenVBand="0" w:oddHBand="0" w:evenHBand="0" w:firstRowFirstColumn="0" w:firstRowLastColumn="0" w:lastRowFirstColumn="0" w:lastRowLastColumn="0"/>
            <w:tcW w:w="4047" w:type="dxa"/>
          </w:tcPr>
          <w:p w14:paraId="0B9393CC" w14:textId="77777777" w:rsidR="004D42F9" w:rsidRDefault="004D42F9">
            <w:r>
              <w:t>Land and national parks</w:t>
            </w:r>
          </w:p>
        </w:tc>
        <w:tc>
          <w:tcPr>
            <w:tcW w:w="773" w:type="dxa"/>
          </w:tcPr>
          <w:p w14:paraId="3799AED5" w14:textId="77777777" w:rsidR="004D42F9" w:rsidRDefault="004D42F9">
            <w:pPr>
              <w:cnfStyle w:val="000000000000" w:firstRow="0" w:lastRow="0" w:firstColumn="0" w:lastColumn="0" w:oddVBand="0" w:evenVBand="0" w:oddHBand="0" w:evenHBand="0" w:firstRowFirstColumn="0" w:firstRowLastColumn="0" w:lastRowFirstColumn="0" w:lastRowLastColumn="0"/>
            </w:pPr>
            <w:r>
              <w:t>2 859</w:t>
            </w:r>
          </w:p>
        </w:tc>
        <w:tc>
          <w:tcPr>
            <w:tcW w:w="1134" w:type="dxa"/>
          </w:tcPr>
          <w:p w14:paraId="1DD5044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012355F" w14:textId="77777777" w:rsidR="004D42F9" w:rsidRDefault="004D42F9">
            <w:pPr>
              <w:cnfStyle w:val="000000000000" w:firstRow="0" w:lastRow="0" w:firstColumn="0" w:lastColumn="0" w:oddVBand="0" w:evenVBand="0" w:oddHBand="0" w:evenHBand="0" w:firstRowFirstColumn="0" w:firstRowLastColumn="0" w:lastRowFirstColumn="0" w:lastRowLastColumn="0"/>
            </w:pPr>
            <w:r>
              <w:t>2 859</w:t>
            </w:r>
          </w:p>
        </w:tc>
        <w:tc>
          <w:tcPr>
            <w:tcW w:w="851" w:type="dxa"/>
          </w:tcPr>
          <w:p w14:paraId="2596309D" w14:textId="77777777" w:rsidR="004D42F9" w:rsidRDefault="004D42F9">
            <w:pPr>
              <w:cnfStyle w:val="000000000000" w:firstRow="0" w:lastRow="0" w:firstColumn="0" w:lastColumn="0" w:oddVBand="0" w:evenVBand="0" w:oddHBand="0" w:evenHBand="0" w:firstRowFirstColumn="0" w:firstRowLastColumn="0" w:lastRowFirstColumn="0" w:lastRowLastColumn="0"/>
            </w:pPr>
            <w:r>
              <w:t>2 859</w:t>
            </w:r>
          </w:p>
        </w:tc>
        <w:tc>
          <w:tcPr>
            <w:tcW w:w="1134" w:type="dxa"/>
          </w:tcPr>
          <w:p w14:paraId="0DD3CC3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14EBB11" w14:textId="77777777" w:rsidR="004D42F9" w:rsidRDefault="004D42F9">
            <w:pPr>
              <w:cnfStyle w:val="000000000000" w:firstRow="0" w:lastRow="0" w:firstColumn="0" w:lastColumn="0" w:oddVBand="0" w:evenVBand="0" w:oddHBand="0" w:evenHBand="0" w:firstRowFirstColumn="0" w:firstRowLastColumn="0" w:lastRowFirstColumn="0" w:lastRowLastColumn="0"/>
            </w:pPr>
            <w:r>
              <w:t>2 859</w:t>
            </w:r>
          </w:p>
        </w:tc>
      </w:tr>
      <w:tr w:rsidR="004D42F9" w14:paraId="06BF4B3E" w14:textId="77777777">
        <w:tc>
          <w:tcPr>
            <w:cnfStyle w:val="001000000000" w:firstRow="0" w:lastRow="0" w:firstColumn="1" w:lastColumn="0" w:oddVBand="0" w:evenVBand="0" w:oddHBand="0" w:evenHBand="0" w:firstRowFirstColumn="0" w:firstRowLastColumn="0" w:lastRowFirstColumn="0" w:lastRowLastColumn="0"/>
            <w:tcW w:w="4047" w:type="dxa"/>
          </w:tcPr>
          <w:p w14:paraId="72A3E367" w14:textId="77777777" w:rsidR="004D42F9" w:rsidRDefault="004D42F9">
            <w:r>
              <w:t>Infrastructure</w:t>
            </w:r>
          </w:p>
        </w:tc>
        <w:tc>
          <w:tcPr>
            <w:tcW w:w="773" w:type="dxa"/>
          </w:tcPr>
          <w:p w14:paraId="1457CCB3" w14:textId="77777777" w:rsidR="004D42F9" w:rsidRDefault="004D42F9">
            <w:pPr>
              <w:cnfStyle w:val="000000000000" w:firstRow="0" w:lastRow="0" w:firstColumn="0" w:lastColumn="0" w:oddVBand="0" w:evenVBand="0" w:oddHBand="0" w:evenHBand="0" w:firstRowFirstColumn="0" w:firstRowLastColumn="0" w:lastRowFirstColumn="0" w:lastRowLastColumn="0"/>
            </w:pPr>
            <w:r>
              <w:t>6 893</w:t>
            </w:r>
          </w:p>
        </w:tc>
        <w:tc>
          <w:tcPr>
            <w:tcW w:w="1134" w:type="dxa"/>
          </w:tcPr>
          <w:p w14:paraId="0754A042" w14:textId="77777777" w:rsidR="004D42F9" w:rsidRDefault="004D42F9">
            <w:pPr>
              <w:cnfStyle w:val="000000000000" w:firstRow="0" w:lastRow="0" w:firstColumn="0" w:lastColumn="0" w:oddVBand="0" w:evenVBand="0" w:oddHBand="0" w:evenHBand="0" w:firstRowFirstColumn="0" w:firstRowLastColumn="0" w:lastRowFirstColumn="0" w:lastRowLastColumn="0"/>
            </w:pPr>
            <w:r>
              <w:t>(211)</w:t>
            </w:r>
          </w:p>
        </w:tc>
        <w:tc>
          <w:tcPr>
            <w:tcW w:w="850" w:type="dxa"/>
          </w:tcPr>
          <w:p w14:paraId="5494C46A" w14:textId="77777777" w:rsidR="004D42F9" w:rsidRDefault="004D42F9">
            <w:pPr>
              <w:cnfStyle w:val="000000000000" w:firstRow="0" w:lastRow="0" w:firstColumn="0" w:lastColumn="0" w:oddVBand="0" w:evenVBand="0" w:oddHBand="0" w:evenHBand="0" w:firstRowFirstColumn="0" w:firstRowLastColumn="0" w:lastRowFirstColumn="0" w:lastRowLastColumn="0"/>
            </w:pPr>
            <w:r>
              <w:t>6 682</w:t>
            </w:r>
          </w:p>
        </w:tc>
        <w:tc>
          <w:tcPr>
            <w:tcW w:w="851" w:type="dxa"/>
          </w:tcPr>
          <w:p w14:paraId="6A3FF870" w14:textId="77777777" w:rsidR="004D42F9" w:rsidRDefault="004D42F9">
            <w:pPr>
              <w:cnfStyle w:val="000000000000" w:firstRow="0" w:lastRow="0" w:firstColumn="0" w:lastColumn="0" w:oddVBand="0" w:evenVBand="0" w:oddHBand="0" w:evenHBand="0" w:firstRowFirstColumn="0" w:firstRowLastColumn="0" w:lastRowFirstColumn="0" w:lastRowLastColumn="0"/>
            </w:pPr>
            <w:r>
              <w:t>7</w:t>
            </w:r>
          </w:p>
        </w:tc>
        <w:tc>
          <w:tcPr>
            <w:tcW w:w="1134" w:type="dxa"/>
          </w:tcPr>
          <w:p w14:paraId="332ACA0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B95A3F3" w14:textId="77777777" w:rsidR="004D42F9" w:rsidRDefault="004D42F9">
            <w:pPr>
              <w:cnfStyle w:val="000000000000" w:firstRow="0" w:lastRow="0" w:firstColumn="0" w:lastColumn="0" w:oddVBand="0" w:evenVBand="0" w:oddHBand="0" w:evenHBand="0" w:firstRowFirstColumn="0" w:firstRowLastColumn="0" w:lastRowFirstColumn="0" w:lastRowLastColumn="0"/>
            </w:pPr>
            <w:r>
              <w:t>7</w:t>
            </w:r>
          </w:p>
        </w:tc>
      </w:tr>
      <w:tr w:rsidR="004D42F9" w14:paraId="6CB16F4A" w14:textId="77777777">
        <w:tc>
          <w:tcPr>
            <w:cnfStyle w:val="001000000000" w:firstRow="0" w:lastRow="0" w:firstColumn="1" w:lastColumn="0" w:oddVBand="0" w:evenVBand="0" w:oddHBand="0" w:evenHBand="0" w:firstRowFirstColumn="0" w:firstRowLastColumn="0" w:lastRowFirstColumn="0" w:lastRowLastColumn="0"/>
            <w:tcW w:w="4047" w:type="dxa"/>
          </w:tcPr>
          <w:p w14:paraId="73B63235" w14:textId="77777777" w:rsidR="004D42F9" w:rsidRDefault="004D42F9">
            <w:r>
              <w:t>Plant, equipment and vehicles</w:t>
            </w:r>
          </w:p>
        </w:tc>
        <w:tc>
          <w:tcPr>
            <w:tcW w:w="773" w:type="dxa"/>
          </w:tcPr>
          <w:p w14:paraId="2FB10D4C" w14:textId="77777777" w:rsidR="004D42F9" w:rsidRDefault="004D42F9">
            <w:pPr>
              <w:cnfStyle w:val="000000000000" w:firstRow="0" w:lastRow="0" w:firstColumn="0" w:lastColumn="0" w:oddVBand="0" w:evenVBand="0" w:oddHBand="0" w:evenHBand="0" w:firstRowFirstColumn="0" w:firstRowLastColumn="0" w:lastRowFirstColumn="0" w:lastRowLastColumn="0"/>
            </w:pPr>
            <w:r>
              <w:t>384</w:t>
            </w:r>
          </w:p>
        </w:tc>
        <w:tc>
          <w:tcPr>
            <w:tcW w:w="1134" w:type="dxa"/>
          </w:tcPr>
          <w:p w14:paraId="3657E1C5" w14:textId="77777777" w:rsidR="004D42F9" w:rsidRDefault="004D42F9">
            <w:pPr>
              <w:cnfStyle w:val="000000000000" w:firstRow="0" w:lastRow="0" w:firstColumn="0" w:lastColumn="0" w:oddVBand="0" w:evenVBand="0" w:oddHBand="0" w:evenHBand="0" w:firstRowFirstColumn="0" w:firstRowLastColumn="0" w:lastRowFirstColumn="0" w:lastRowLastColumn="0"/>
            </w:pPr>
            <w:r>
              <w:t>(27)</w:t>
            </w:r>
          </w:p>
        </w:tc>
        <w:tc>
          <w:tcPr>
            <w:tcW w:w="850" w:type="dxa"/>
          </w:tcPr>
          <w:p w14:paraId="647D0F24" w14:textId="77777777" w:rsidR="004D42F9" w:rsidRDefault="004D42F9">
            <w:pPr>
              <w:cnfStyle w:val="000000000000" w:firstRow="0" w:lastRow="0" w:firstColumn="0" w:lastColumn="0" w:oddVBand="0" w:evenVBand="0" w:oddHBand="0" w:evenHBand="0" w:firstRowFirstColumn="0" w:firstRowLastColumn="0" w:lastRowFirstColumn="0" w:lastRowLastColumn="0"/>
            </w:pPr>
            <w:r>
              <w:t>357</w:t>
            </w:r>
          </w:p>
        </w:tc>
        <w:tc>
          <w:tcPr>
            <w:tcW w:w="851" w:type="dxa"/>
          </w:tcPr>
          <w:p w14:paraId="2CBACA58" w14:textId="77777777" w:rsidR="004D42F9" w:rsidRDefault="004D42F9">
            <w:pPr>
              <w:cnfStyle w:val="000000000000" w:firstRow="0" w:lastRow="0" w:firstColumn="0" w:lastColumn="0" w:oddVBand="0" w:evenVBand="0" w:oddHBand="0" w:evenHBand="0" w:firstRowFirstColumn="0" w:firstRowLastColumn="0" w:lastRowFirstColumn="0" w:lastRowLastColumn="0"/>
            </w:pPr>
            <w:r>
              <w:t>384</w:t>
            </w:r>
          </w:p>
        </w:tc>
        <w:tc>
          <w:tcPr>
            <w:tcW w:w="1134" w:type="dxa"/>
          </w:tcPr>
          <w:p w14:paraId="14F16BE3" w14:textId="77777777" w:rsidR="004D42F9" w:rsidRDefault="004D42F9">
            <w:pPr>
              <w:cnfStyle w:val="000000000000" w:firstRow="0" w:lastRow="0" w:firstColumn="0" w:lastColumn="0" w:oddVBand="0" w:evenVBand="0" w:oddHBand="0" w:evenHBand="0" w:firstRowFirstColumn="0" w:firstRowLastColumn="0" w:lastRowFirstColumn="0" w:lastRowLastColumn="0"/>
            </w:pPr>
            <w:r>
              <w:t>(27)</w:t>
            </w:r>
          </w:p>
        </w:tc>
        <w:tc>
          <w:tcPr>
            <w:tcW w:w="850" w:type="dxa"/>
          </w:tcPr>
          <w:p w14:paraId="0CC495BF" w14:textId="77777777" w:rsidR="004D42F9" w:rsidRDefault="004D42F9">
            <w:pPr>
              <w:cnfStyle w:val="000000000000" w:firstRow="0" w:lastRow="0" w:firstColumn="0" w:lastColumn="0" w:oddVBand="0" w:evenVBand="0" w:oddHBand="0" w:evenHBand="0" w:firstRowFirstColumn="0" w:firstRowLastColumn="0" w:lastRowFirstColumn="0" w:lastRowLastColumn="0"/>
            </w:pPr>
            <w:r>
              <w:t>357</w:t>
            </w:r>
          </w:p>
        </w:tc>
      </w:tr>
      <w:tr w:rsidR="004D42F9" w14:paraId="03945BE3" w14:textId="77777777">
        <w:tc>
          <w:tcPr>
            <w:cnfStyle w:val="001000000000" w:firstRow="0" w:lastRow="0" w:firstColumn="1" w:lastColumn="0" w:oddVBand="0" w:evenVBand="0" w:oddHBand="0" w:evenHBand="0" w:firstRowFirstColumn="0" w:firstRowLastColumn="0" w:lastRowFirstColumn="0" w:lastRowLastColumn="0"/>
            <w:tcW w:w="4047" w:type="dxa"/>
          </w:tcPr>
          <w:p w14:paraId="6E075ED8" w14:textId="77777777" w:rsidR="004D42F9" w:rsidRDefault="004D42F9">
            <w:r>
              <w:t>Roads and road infrastructure</w:t>
            </w:r>
          </w:p>
        </w:tc>
        <w:tc>
          <w:tcPr>
            <w:tcW w:w="773" w:type="dxa"/>
          </w:tcPr>
          <w:p w14:paraId="2BCE7324"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8 546</w:t>
            </w:r>
          </w:p>
        </w:tc>
        <w:tc>
          <w:tcPr>
            <w:tcW w:w="1134" w:type="dxa"/>
          </w:tcPr>
          <w:p w14:paraId="2A23EA7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EE7C960"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8 546</w:t>
            </w:r>
          </w:p>
        </w:tc>
        <w:tc>
          <w:tcPr>
            <w:tcW w:w="851" w:type="dxa"/>
          </w:tcPr>
          <w:p w14:paraId="5D254D67"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8 546</w:t>
            </w:r>
          </w:p>
        </w:tc>
        <w:tc>
          <w:tcPr>
            <w:tcW w:w="1134" w:type="dxa"/>
          </w:tcPr>
          <w:p w14:paraId="7B1746F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70AC780" w14:textId="77777777" w:rsidR="004D42F9" w:rsidRDefault="004D42F9">
            <w:pPr>
              <w:cnfStyle w:val="000000000000" w:firstRow="0" w:lastRow="0" w:firstColumn="0" w:lastColumn="0" w:oddVBand="0" w:evenVBand="0" w:oddHBand="0" w:evenHBand="0" w:firstRowFirstColumn="0" w:firstRowLastColumn="0" w:lastRowFirstColumn="0" w:lastRowLastColumn="0"/>
            </w:pPr>
            <w:r>
              <w:t>8 546</w:t>
            </w:r>
          </w:p>
        </w:tc>
      </w:tr>
      <w:tr w:rsidR="004D42F9" w14:paraId="66EEAEF7" w14:textId="77777777">
        <w:tc>
          <w:tcPr>
            <w:cnfStyle w:val="001000000000" w:firstRow="0" w:lastRow="0" w:firstColumn="1" w:lastColumn="0" w:oddVBand="0" w:evenVBand="0" w:oddHBand="0" w:evenHBand="0" w:firstRowFirstColumn="0" w:firstRowLastColumn="0" w:lastRowFirstColumn="0" w:lastRowLastColumn="0"/>
            <w:tcW w:w="4047" w:type="dxa"/>
          </w:tcPr>
          <w:p w14:paraId="6D95B388" w14:textId="77777777" w:rsidR="004D42F9" w:rsidRDefault="004D42F9">
            <w:r>
              <w:t>Earthworks</w:t>
            </w:r>
          </w:p>
        </w:tc>
        <w:tc>
          <w:tcPr>
            <w:tcW w:w="773" w:type="dxa"/>
          </w:tcPr>
          <w:p w14:paraId="23155EB8" w14:textId="77777777" w:rsidR="004D42F9" w:rsidRDefault="004D42F9">
            <w:pPr>
              <w:cnfStyle w:val="000000000000" w:firstRow="0" w:lastRow="0" w:firstColumn="0" w:lastColumn="0" w:oddVBand="0" w:evenVBand="0" w:oddHBand="0" w:evenHBand="0" w:firstRowFirstColumn="0" w:firstRowLastColumn="0" w:lastRowFirstColumn="0" w:lastRowLastColumn="0"/>
            </w:pPr>
            <w:r>
              <w:t>913</w:t>
            </w:r>
          </w:p>
        </w:tc>
        <w:tc>
          <w:tcPr>
            <w:tcW w:w="1134" w:type="dxa"/>
          </w:tcPr>
          <w:p w14:paraId="05DF8B7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6BF721A9" w14:textId="77777777" w:rsidR="004D42F9" w:rsidRDefault="004D42F9">
            <w:pPr>
              <w:cnfStyle w:val="000000000000" w:firstRow="0" w:lastRow="0" w:firstColumn="0" w:lastColumn="0" w:oddVBand="0" w:evenVBand="0" w:oddHBand="0" w:evenHBand="0" w:firstRowFirstColumn="0" w:firstRowLastColumn="0" w:lastRowFirstColumn="0" w:lastRowLastColumn="0"/>
            </w:pPr>
            <w:r>
              <w:t>913</w:t>
            </w:r>
          </w:p>
        </w:tc>
        <w:tc>
          <w:tcPr>
            <w:tcW w:w="851" w:type="dxa"/>
          </w:tcPr>
          <w:p w14:paraId="02D335C7" w14:textId="77777777" w:rsidR="004D42F9" w:rsidRDefault="004D42F9">
            <w:pPr>
              <w:cnfStyle w:val="000000000000" w:firstRow="0" w:lastRow="0" w:firstColumn="0" w:lastColumn="0" w:oddVBand="0" w:evenVBand="0" w:oddHBand="0" w:evenHBand="0" w:firstRowFirstColumn="0" w:firstRowLastColumn="0" w:lastRowFirstColumn="0" w:lastRowLastColumn="0"/>
            </w:pPr>
            <w:r>
              <w:t>913</w:t>
            </w:r>
          </w:p>
        </w:tc>
        <w:tc>
          <w:tcPr>
            <w:tcW w:w="1134" w:type="dxa"/>
          </w:tcPr>
          <w:p w14:paraId="7BC2BDA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8F19504" w14:textId="77777777" w:rsidR="004D42F9" w:rsidRDefault="004D42F9">
            <w:pPr>
              <w:cnfStyle w:val="000000000000" w:firstRow="0" w:lastRow="0" w:firstColumn="0" w:lastColumn="0" w:oddVBand="0" w:evenVBand="0" w:oddHBand="0" w:evenHBand="0" w:firstRowFirstColumn="0" w:firstRowLastColumn="0" w:lastRowFirstColumn="0" w:lastRowLastColumn="0"/>
            </w:pPr>
            <w:r>
              <w:t>913</w:t>
            </w:r>
          </w:p>
        </w:tc>
      </w:tr>
      <w:tr w:rsidR="004D42F9" w14:paraId="5DECB2C2" w14:textId="77777777">
        <w:tc>
          <w:tcPr>
            <w:cnfStyle w:val="001000000000" w:firstRow="0" w:lastRow="0" w:firstColumn="1" w:lastColumn="0" w:oddVBand="0" w:evenVBand="0" w:oddHBand="0" w:evenHBand="0" w:firstRowFirstColumn="0" w:firstRowLastColumn="0" w:lastRowFirstColumn="0" w:lastRowLastColumn="0"/>
            <w:tcW w:w="4047" w:type="dxa"/>
            <w:tcBorders>
              <w:bottom w:val="single" w:sz="6" w:space="0" w:color="auto"/>
            </w:tcBorders>
          </w:tcPr>
          <w:p w14:paraId="6DBB24F3" w14:textId="77777777" w:rsidR="004D42F9" w:rsidRDefault="004D42F9">
            <w:r>
              <w:t>Construction in progress</w:t>
            </w:r>
          </w:p>
        </w:tc>
        <w:tc>
          <w:tcPr>
            <w:tcW w:w="773" w:type="dxa"/>
            <w:tcBorders>
              <w:bottom w:val="single" w:sz="6" w:space="0" w:color="auto"/>
            </w:tcBorders>
          </w:tcPr>
          <w:p w14:paraId="3F857BB5" w14:textId="77777777" w:rsidR="004D42F9" w:rsidRDefault="004D42F9">
            <w:pPr>
              <w:cnfStyle w:val="000000000000" w:firstRow="0" w:lastRow="0" w:firstColumn="0" w:lastColumn="0" w:oddVBand="0" w:evenVBand="0" w:oddHBand="0" w:evenHBand="0" w:firstRowFirstColumn="0" w:firstRowLastColumn="0" w:lastRowFirstColumn="0" w:lastRowLastColumn="0"/>
            </w:pPr>
            <w:r>
              <w:t>31 831</w:t>
            </w:r>
          </w:p>
        </w:tc>
        <w:tc>
          <w:tcPr>
            <w:tcW w:w="1134" w:type="dxa"/>
            <w:tcBorders>
              <w:bottom w:val="single" w:sz="6" w:space="0" w:color="auto"/>
            </w:tcBorders>
          </w:tcPr>
          <w:p w14:paraId="7EE7AB4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18A31C3D" w14:textId="77777777" w:rsidR="004D42F9" w:rsidRDefault="004D42F9">
            <w:pPr>
              <w:cnfStyle w:val="000000000000" w:firstRow="0" w:lastRow="0" w:firstColumn="0" w:lastColumn="0" w:oddVBand="0" w:evenVBand="0" w:oddHBand="0" w:evenHBand="0" w:firstRowFirstColumn="0" w:firstRowLastColumn="0" w:lastRowFirstColumn="0" w:lastRowLastColumn="0"/>
            </w:pPr>
            <w:r>
              <w:t>31 831</w:t>
            </w:r>
          </w:p>
        </w:tc>
        <w:tc>
          <w:tcPr>
            <w:tcW w:w="851" w:type="dxa"/>
            <w:tcBorders>
              <w:bottom w:val="single" w:sz="6" w:space="0" w:color="auto"/>
            </w:tcBorders>
          </w:tcPr>
          <w:p w14:paraId="447F086E" w14:textId="77777777" w:rsidR="004D42F9" w:rsidRDefault="004D42F9">
            <w:pPr>
              <w:cnfStyle w:val="000000000000" w:firstRow="0" w:lastRow="0" w:firstColumn="0" w:lastColumn="0" w:oddVBand="0" w:evenVBand="0" w:oddHBand="0" w:evenHBand="0" w:firstRowFirstColumn="0" w:firstRowLastColumn="0" w:lastRowFirstColumn="0" w:lastRowLastColumn="0"/>
            </w:pPr>
            <w:r>
              <w:t>23 775</w:t>
            </w:r>
          </w:p>
        </w:tc>
        <w:tc>
          <w:tcPr>
            <w:tcW w:w="1134" w:type="dxa"/>
            <w:tcBorders>
              <w:bottom w:val="single" w:sz="6" w:space="0" w:color="auto"/>
            </w:tcBorders>
          </w:tcPr>
          <w:p w14:paraId="58734D9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5A7537DB" w14:textId="77777777" w:rsidR="004D42F9" w:rsidRDefault="004D42F9">
            <w:pPr>
              <w:cnfStyle w:val="000000000000" w:firstRow="0" w:lastRow="0" w:firstColumn="0" w:lastColumn="0" w:oddVBand="0" w:evenVBand="0" w:oddHBand="0" w:evenHBand="0" w:firstRowFirstColumn="0" w:firstRowLastColumn="0" w:lastRowFirstColumn="0" w:lastRowLastColumn="0"/>
            </w:pPr>
            <w:r>
              <w:t>23 775</w:t>
            </w:r>
          </w:p>
        </w:tc>
      </w:tr>
      <w:tr w:rsidR="004D42F9" w14:paraId="081FC578" w14:textId="77777777">
        <w:tc>
          <w:tcPr>
            <w:cnfStyle w:val="001000000000" w:firstRow="0" w:lastRow="0" w:firstColumn="1" w:lastColumn="0" w:oddVBand="0" w:evenVBand="0" w:oddHBand="0" w:evenHBand="0" w:firstRowFirstColumn="0" w:firstRowLastColumn="0" w:lastRowFirstColumn="0" w:lastRowLastColumn="0"/>
            <w:tcW w:w="4047" w:type="dxa"/>
            <w:tcBorders>
              <w:top w:val="single" w:sz="6" w:space="0" w:color="auto"/>
              <w:bottom w:val="single" w:sz="12" w:space="0" w:color="auto"/>
            </w:tcBorders>
          </w:tcPr>
          <w:p w14:paraId="5C92B363" w14:textId="77777777" w:rsidR="004D42F9" w:rsidRDefault="004D42F9">
            <w:r>
              <w:rPr>
                <w:b/>
              </w:rPr>
              <w:t>Total service concession land, buildings, infrastructure, plant and equipment assets</w:t>
            </w:r>
          </w:p>
        </w:tc>
        <w:tc>
          <w:tcPr>
            <w:tcW w:w="773" w:type="dxa"/>
            <w:tcBorders>
              <w:top w:val="single" w:sz="6" w:space="0" w:color="auto"/>
              <w:bottom w:val="single" w:sz="12" w:space="0" w:color="auto"/>
            </w:tcBorders>
          </w:tcPr>
          <w:p w14:paraId="02F8C0E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54 208</w:t>
            </w:r>
          </w:p>
        </w:tc>
        <w:tc>
          <w:tcPr>
            <w:tcW w:w="1134" w:type="dxa"/>
            <w:tcBorders>
              <w:top w:val="single" w:sz="6" w:space="0" w:color="auto"/>
              <w:bottom w:val="single" w:sz="12" w:space="0" w:color="auto"/>
            </w:tcBorders>
          </w:tcPr>
          <w:p w14:paraId="1C0DDD0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(320)</w:t>
            </w:r>
          </w:p>
        </w:tc>
        <w:tc>
          <w:tcPr>
            <w:tcW w:w="850" w:type="dxa"/>
            <w:tcBorders>
              <w:top w:val="single" w:sz="6" w:space="0" w:color="auto"/>
              <w:bottom w:val="single" w:sz="12" w:space="0" w:color="auto"/>
            </w:tcBorders>
          </w:tcPr>
          <w:p w14:paraId="5AE601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53 888</w:t>
            </w:r>
          </w:p>
        </w:tc>
        <w:tc>
          <w:tcPr>
            <w:tcW w:w="851" w:type="dxa"/>
            <w:tcBorders>
              <w:top w:val="single" w:sz="6" w:space="0" w:color="auto"/>
              <w:bottom w:val="single" w:sz="12" w:space="0" w:color="auto"/>
            </w:tcBorders>
          </w:tcPr>
          <w:p w14:paraId="44E2200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38 913</w:t>
            </w:r>
          </w:p>
        </w:tc>
        <w:tc>
          <w:tcPr>
            <w:tcW w:w="1134" w:type="dxa"/>
            <w:tcBorders>
              <w:top w:val="single" w:sz="6" w:space="0" w:color="auto"/>
              <w:bottom w:val="single" w:sz="12" w:space="0" w:color="auto"/>
            </w:tcBorders>
          </w:tcPr>
          <w:p w14:paraId="31F279F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(99)</w:t>
            </w:r>
          </w:p>
        </w:tc>
        <w:tc>
          <w:tcPr>
            <w:tcW w:w="850" w:type="dxa"/>
            <w:tcBorders>
              <w:top w:val="single" w:sz="6" w:space="0" w:color="auto"/>
              <w:bottom w:val="single" w:sz="12" w:space="0" w:color="auto"/>
            </w:tcBorders>
          </w:tcPr>
          <w:p w14:paraId="3E3EBE8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38 815</w:t>
            </w:r>
          </w:p>
        </w:tc>
      </w:tr>
    </w:tbl>
    <w:p w14:paraId="45E73534" w14:textId="77777777" w:rsidR="004D42F9" w:rsidRDefault="004D42F9" w:rsidP="004D42F9"/>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SCA_PY"/>
      </w:tblPr>
      <w:tblGrid>
        <w:gridCol w:w="4047"/>
        <w:gridCol w:w="773"/>
        <w:gridCol w:w="1045"/>
        <w:gridCol w:w="798"/>
        <w:gridCol w:w="880"/>
        <w:gridCol w:w="1061"/>
        <w:gridCol w:w="1035"/>
      </w:tblGrid>
      <w:tr w:rsidR="002F56B2" w14:paraId="2A2D171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7" w:type="dxa"/>
          </w:tcPr>
          <w:p w14:paraId="51F0F6F6" w14:textId="77777777" w:rsidR="004D42F9" w:rsidRDefault="004D42F9">
            <w:pPr>
              <w:keepNext/>
            </w:pPr>
            <w:r>
              <w:t>2024</w:t>
            </w:r>
          </w:p>
        </w:tc>
        <w:tc>
          <w:tcPr>
            <w:tcW w:w="773" w:type="dxa"/>
          </w:tcPr>
          <w:p w14:paraId="243F2AD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45" w:type="dxa"/>
          </w:tcPr>
          <w:p w14:paraId="265C1E8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798" w:type="dxa"/>
          </w:tcPr>
          <w:p w14:paraId="370CDEE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880" w:type="dxa"/>
          </w:tcPr>
          <w:p w14:paraId="03CF983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61" w:type="dxa"/>
          </w:tcPr>
          <w:p w14:paraId="4E10139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35" w:type="dxa"/>
          </w:tcPr>
          <w:p w14:paraId="59CD0B0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12137B6D" w14:textId="77777777">
        <w:tc>
          <w:tcPr>
            <w:cnfStyle w:val="001000000000" w:firstRow="0" w:lastRow="0" w:firstColumn="1" w:lastColumn="0" w:oddVBand="0" w:evenVBand="0" w:oddHBand="0" w:evenHBand="0" w:firstRowFirstColumn="0" w:firstRowLastColumn="0" w:lastRowFirstColumn="0" w:lastRowLastColumn="0"/>
            <w:tcW w:w="4047" w:type="dxa"/>
          </w:tcPr>
          <w:p w14:paraId="1EDA7C88" w14:textId="77777777" w:rsidR="004D42F9" w:rsidRDefault="004D42F9">
            <w:r>
              <w:t>Buildings</w:t>
            </w:r>
          </w:p>
        </w:tc>
        <w:tc>
          <w:tcPr>
            <w:tcW w:w="773" w:type="dxa"/>
          </w:tcPr>
          <w:p w14:paraId="3EE83E54" w14:textId="77777777" w:rsidR="004D42F9" w:rsidRDefault="004D42F9">
            <w:pPr>
              <w:cnfStyle w:val="000000000000" w:firstRow="0" w:lastRow="0" w:firstColumn="0" w:lastColumn="0" w:oddVBand="0" w:evenVBand="0" w:oddHBand="0" w:evenHBand="0" w:firstRowFirstColumn="0" w:firstRowLastColumn="0" w:lastRowFirstColumn="0" w:lastRowLastColumn="0"/>
            </w:pPr>
            <w:r>
              <w:t>2 771</w:t>
            </w:r>
          </w:p>
        </w:tc>
        <w:tc>
          <w:tcPr>
            <w:tcW w:w="1045" w:type="dxa"/>
          </w:tcPr>
          <w:p w14:paraId="6EABFCF2"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798" w:type="dxa"/>
          </w:tcPr>
          <w:p w14:paraId="5713C759" w14:textId="77777777" w:rsidR="004D42F9" w:rsidRDefault="004D42F9">
            <w:pPr>
              <w:cnfStyle w:val="000000000000" w:firstRow="0" w:lastRow="0" w:firstColumn="0" w:lastColumn="0" w:oddVBand="0" w:evenVBand="0" w:oddHBand="0" w:evenHBand="0" w:firstRowFirstColumn="0" w:firstRowLastColumn="0" w:lastRowFirstColumn="0" w:lastRowLastColumn="0"/>
            </w:pPr>
            <w:r>
              <w:t>2 767</w:t>
            </w:r>
          </w:p>
        </w:tc>
        <w:tc>
          <w:tcPr>
            <w:tcW w:w="880" w:type="dxa"/>
          </w:tcPr>
          <w:p w14:paraId="2CD38FDA"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2 419</w:t>
            </w:r>
          </w:p>
        </w:tc>
        <w:tc>
          <w:tcPr>
            <w:tcW w:w="1061" w:type="dxa"/>
          </w:tcPr>
          <w:p w14:paraId="4B4274F6"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35" w:type="dxa"/>
          </w:tcPr>
          <w:p w14:paraId="4F8DE83E"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2 418</w:t>
            </w:r>
          </w:p>
        </w:tc>
      </w:tr>
      <w:tr w:rsidR="004D42F9" w14:paraId="3FFB9005" w14:textId="77777777">
        <w:tc>
          <w:tcPr>
            <w:cnfStyle w:val="001000000000" w:firstRow="0" w:lastRow="0" w:firstColumn="1" w:lastColumn="0" w:oddVBand="0" w:evenVBand="0" w:oddHBand="0" w:evenHBand="0" w:firstRowFirstColumn="0" w:firstRowLastColumn="0" w:lastRowFirstColumn="0" w:lastRowLastColumn="0"/>
            <w:tcW w:w="4047" w:type="dxa"/>
          </w:tcPr>
          <w:p w14:paraId="1072C377" w14:textId="77777777" w:rsidR="004D42F9" w:rsidRDefault="004D42F9">
            <w:r>
              <w:t>Land and national parks</w:t>
            </w:r>
          </w:p>
        </w:tc>
        <w:tc>
          <w:tcPr>
            <w:tcW w:w="773" w:type="dxa"/>
          </w:tcPr>
          <w:p w14:paraId="1DC16EEB" w14:textId="77777777" w:rsidR="004D42F9" w:rsidRDefault="004D42F9">
            <w:pPr>
              <w:cnfStyle w:val="000000000000" w:firstRow="0" w:lastRow="0" w:firstColumn="0" w:lastColumn="0" w:oddVBand="0" w:evenVBand="0" w:oddHBand="0" w:evenHBand="0" w:firstRowFirstColumn="0" w:firstRowLastColumn="0" w:lastRowFirstColumn="0" w:lastRowLastColumn="0"/>
            </w:pPr>
            <w:r>
              <w:t>3 381</w:t>
            </w:r>
          </w:p>
        </w:tc>
        <w:tc>
          <w:tcPr>
            <w:tcW w:w="1045" w:type="dxa"/>
          </w:tcPr>
          <w:p w14:paraId="20C8FA2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59324ACA" w14:textId="77777777" w:rsidR="004D42F9" w:rsidRDefault="004D42F9">
            <w:pPr>
              <w:cnfStyle w:val="000000000000" w:firstRow="0" w:lastRow="0" w:firstColumn="0" w:lastColumn="0" w:oddVBand="0" w:evenVBand="0" w:oddHBand="0" w:evenHBand="0" w:firstRowFirstColumn="0" w:firstRowLastColumn="0" w:lastRowFirstColumn="0" w:lastRowLastColumn="0"/>
            </w:pPr>
            <w:r>
              <w:t>3 381</w:t>
            </w:r>
          </w:p>
        </w:tc>
        <w:tc>
          <w:tcPr>
            <w:tcW w:w="880" w:type="dxa"/>
          </w:tcPr>
          <w:p w14:paraId="796C1B4B" w14:textId="77777777" w:rsidR="004D42F9" w:rsidRDefault="004D42F9">
            <w:pPr>
              <w:cnfStyle w:val="000000000000" w:firstRow="0" w:lastRow="0" w:firstColumn="0" w:lastColumn="0" w:oddVBand="0" w:evenVBand="0" w:oddHBand="0" w:evenHBand="0" w:firstRowFirstColumn="0" w:firstRowLastColumn="0" w:lastRowFirstColumn="0" w:lastRowLastColumn="0"/>
            </w:pPr>
            <w:r>
              <w:t>3 381</w:t>
            </w:r>
          </w:p>
        </w:tc>
        <w:tc>
          <w:tcPr>
            <w:tcW w:w="1061" w:type="dxa"/>
          </w:tcPr>
          <w:p w14:paraId="43600C6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56C789BA" w14:textId="77777777" w:rsidR="004D42F9" w:rsidRDefault="004D42F9">
            <w:pPr>
              <w:cnfStyle w:val="000000000000" w:firstRow="0" w:lastRow="0" w:firstColumn="0" w:lastColumn="0" w:oddVBand="0" w:evenVBand="0" w:oddHBand="0" w:evenHBand="0" w:firstRowFirstColumn="0" w:firstRowLastColumn="0" w:lastRowFirstColumn="0" w:lastRowLastColumn="0"/>
            </w:pPr>
            <w:r>
              <w:t>3 381</w:t>
            </w:r>
          </w:p>
        </w:tc>
      </w:tr>
      <w:tr w:rsidR="004D42F9" w14:paraId="52EC38D7" w14:textId="77777777">
        <w:tc>
          <w:tcPr>
            <w:cnfStyle w:val="001000000000" w:firstRow="0" w:lastRow="0" w:firstColumn="1" w:lastColumn="0" w:oddVBand="0" w:evenVBand="0" w:oddHBand="0" w:evenHBand="0" w:firstRowFirstColumn="0" w:firstRowLastColumn="0" w:lastRowFirstColumn="0" w:lastRowLastColumn="0"/>
            <w:tcW w:w="4047" w:type="dxa"/>
          </w:tcPr>
          <w:p w14:paraId="30D0D56D" w14:textId="77777777" w:rsidR="004D42F9" w:rsidRDefault="004D42F9">
            <w:r>
              <w:t>Infrastructure</w:t>
            </w:r>
          </w:p>
        </w:tc>
        <w:tc>
          <w:tcPr>
            <w:tcW w:w="773" w:type="dxa"/>
          </w:tcPr>
          <w:p w14:paraId="5698869F" w14:textId="77777777" w:rsidR="004D42F9" w:rsidRDefault="004D42F9">
            <w:pPr>
              <w:cnfStyle w:val="000000000000" w:firstRow="0" w:lastRow="0" w:firstColumn="0" w:lastColumn="0" w:oddVBand="0" w:evenVBand="0" w:oddHBand="0" w:evenHBand="0" w:firstRowFirstColumn="0" w:firstRowLastColumn="0" w:lastRowFirstColumn="0" w:lastRowLastColumn="0"/>
            </w:pPr>
            <w:r>
              <w:t>6 395</w:t>
            </w:r>
          </w:p>
        </w:tc>
        <w:tc>
          <w:tcPr>
            <w:tcW w:w="1045" w:type="dxa"/>
          </w:tcPr>
          <w:p w14:paraId="34715B4D" w14:textId="77777777" w:rsidR="004D42F9" w:rsidRDefault="004D42F9">
            <w:pPr>
              <w:cnfStyle w:val="000000000000" w:firstRow="0" w:lastRow="0" w:firstColumn="0" w:lastColumn="0" w:oddVBand="0" w:evenVBand="0" w:oddHBand="0" w:evenHBand="0" w:firstRowFirstColumn="0" w:firstRowLastColumn="0" w:lastRowFirstColumn="0" w:lastRowLastColumn="0"/>
            </w:pPr>
            <w:r>
              <w:t>(220)</w:t>
            </w:r>
          </w:p>
        </w:tc>
        <w:tc>
          <w:tcPr>
            <w:tcW w:w="798" w:type="dxa"/>
          </w:tcPr>
          <w:p w14:paraId="7BC87522" w14:textId="77777777" w:rsidR="004D42F9" w:rsidRDefault="004D42F9">
            <w:pPr>
              <w:cnfStyle w:val="000000000000" w:firstRow="0" w:lastRow="0" w:firstColumn="0" w:lastColumn="0" w:oddVBand="0" w:evenVBand="0" w:oddHBand="0" w:evenHBand="0" w:firstRowFirstColumn="0" w:firstRowLastColumn="0" w:lastRowFirstColumn="0" w:lastRowLastColumn="0"/>
            </w:pPr>
            <w:r>
              <w:t>6 175</w:t>
            </w:r>
          </w:p>
        </w:tc>
        <w:tc>
          <w:tcPr>
            <w:tcW w:w="880" w:type="dxa"/>
          </w:tcPr>
          <w:p w14:paraId="5442833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1" w:type="dxa"/>
          </w:tcPr>
          <w:p w14:paraId="16B114E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227A8FD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C7E996D" w14:textId="77777777">
        <w:tc>
          <w:tcPr>
            <w:cnfStyle w:val="001000000000" w:firstRow="0" w:lastRow="0" w:firstColumn="1" w:lastColumn="0" w:oddVBand="0" w:evenVBand="0" w:oddHBand="0" w:evenHBand="0" w:firstRowFirstColumn="0" w:firstRowLastColumn="0" w:lastRowFirstColumn="0" w:lastRowLastColumn="0"/>
            <w:tcW w:w="4047" w:type="dxa"/>
          </w:tcPr>
          <w:p w14:paraId="4B4D69DF" w14:textId="77777777" w:rsidR="004D42F9" w:rsidRDefault="004D42F9">
            <w:r>
              <w:t>Plant, equipment and vehicles</w:t>
            </w:r>
          </w:p>
        </w:tc>
        <w:tc>
          <w:tcPr>
            <w:tcW w:w="773" w:type="dxa"/>
          </w:tcPr>
          <w:p w14:paraId="73E35AB6" w14:textId="77777777" w:rsidR="004D42F9" w:rsidRDefault="004D42F9">
            <w:pPr>
              <w:cnfStyle w:val="000000000000" w:firstRow="0" w:lastRow="0" w:firstColumn="0" w:lastColumn="0" w:oddVBand="0" w:evenVBand="0" w:oddHBand="0" w:evenHBand="0" w:firstRowFirstColumn="0" w:firstRowLastColumn="0" w:lastRowFirstColumn="0" w:lastRowLastColumn="0"/>
            </w:pPr>
            <w:r>
              <w:t>422</w:t>
            </w:r>
          </w:p>
        </w:tc>
        <w:tc>
          <w:tcPr>
            <w:tcW w:w="1045" w:type="dxa"/>
          </w:tcPr>
          <w:p w14:paraId="741BFBFD" w14:textId="77777777" w:rsidR="004D42F9" w:rsidRDefault="004D42F9">
            <w:pPr>
              <w:cnfStyle w:val="000000000000" w:firstRow="0" w:lastRow="0" w:firstColumn="0" w:lastColumn="0" w:oddVBand="0" w:evenVBand="0" w:oddHBand="0" w:evenHBand="0" w:firstRowFirstColumn="0" w:firstRowLastColumn="0" w:lastRowFirstColumn="0" w:lastRowLastColumn="0"/>
            </w:pPr>
            <w:r>
              <w:t>(104)</w:t>
            </w:r>
          </w:p>
        </w:tc>
        <w:tc>
          <w:tcPr>
            <w:tcW w:w="798" w:type="dxa"/>
          </w:tcPr>
          <w:p w14:paraId="709F0D1F" w14:textId="77777777" w:rsidR="004D42F9" w:rsidRDefault="004D42F9">
            <w:pPr>
              <w:cnfStyle w:val="000000000000" w:firstRow="0" w:lastRow="0" w:firstColumn="0" w:lastColumn="0" w:oddVBand="0" w:evenVBand="0" w:oddHBand="0" w:evenHBand="0" w:firstRowFirstColumn="0" w:firstRowLastColumn="0" w:lastRowFirstColumn="0" w:lastRowLastColumn="0"/>
            </w:pPr>
            <w:r>
              <w:t>318</w:t>
            </w:r>
          </w:p>
        </w:tc>
        <w:tc>
          <w:tcPr>
            <w:tcW w:w="880" w:type="dxa"/>
          </w:tcPr>
          <w:p w14:paraId="20C753FA" w14:textId="77777777" w:rsidR="004D42F9" w:rsidRDefault="004D42F9">
            <w:pPr>
              <w:cnfStyle w:val="000000000000" w:firstRow="0" w:lastRow="0" w:firstColumn="0" w:lastColumn="0" w:oddVBand="0" w:evenVBand="0" w:oddHBand="0" w:evenHBand="0" w:firstRowFirstColumn="0" w:firstRowLastColumn="0" w:lastRowFirstColumn="0" w:lastRowLastColumn="0"/>
            </w:pPr>
            <w:r>
              <w:t>422</w:t>
            </w:r>
          </w:p>
        </w:tc>
        <w:tc>
          <w:tcPr>
            <w:tcW w:w="1061" w:type="dxa"/>
          </w:tcPr>
          <w:p w14:paraId="19ED5F16" w14:textId="77777777" w:rsidR="004D42F9" w:rsidRDefault="004D42F9">
            <w:pPr>
              <w:cnfStyle w:val="000000000000" w:firstRow="0" w:lastRow="0" w:firstColumn="0" w:lastColumn="0" w:oddVBand="0" w:evenVBand="0" w:oddHBand="0" w:evenHBand="0" w:firstRowFirstColumn="0" w:firstRowLastColumn="0" w:lastRowFirstColumn="0" w:lastRowLastColumn="0"/>
            </w:pPr>
            <w:r>
              <w:t>(104)</w:t>
            </w:r>
          </w:p>
        </w:tc>
        <w:tc>
          <w:tcPr>
            <w:tcW w:w="1035" w:type="dxa"/>
          </w:tcPr>
          <w:p w14:paraId="42658A7C" w14:textId="77777777" w:rsidR="004D42F9" w:rsidRDefault="004D42F9">
            <w:pPr>
              <w:cnfStyle w:val="000000000000" w:firstRow="0" w:lastRow="0" w:firstColumn="0" w:lastColumn="0" w:oddVBand="0" w:evenVBand="0" w:oddHBand="0" w:evenHBand="0" w:firstRowFirstColumn="0" w:firstRowLastColumn="0" w:lastRowFirstColumn="0" w:lastRowLastColumn="0"/>
            </w:pPr>
            <w:r>
              <w:t>318</w:t>
            </w:r>
          </w:p>
        </w:tc>
      </w:tr>
      <w:tr w:rsidR="004D42F9" w14:paraId="16714EC0" w14:textId="77777777">
        <w:tc>
          <w:tcPr>
            <w:cnfStyle w:val="001000000000" w:firstRow="0" w:lastRow="0" w:firstColumn="1" w:lastColumn="0" w:oddVBand="0" w:evenVBand="0" w:oddHBand="0" w:evenHBand="0" w:firstRowFirstColumn="0" w:firstRowLastColumn="0" w:lastRowFirstColumn="0" w:lastRowLastColumn="0"/>
            <w:tcW w:w="4047" w:type="dxa"/>
          </w:tcPr>
          <w:p w14:paraId="2FD0D765" w14:textId="77777777" w:rsidR="004D42F9" w:rsidRDefault="004D42F9">
            <w:r>
              <w:t>Roads and road infrastructure</w:t>
            </w:r>
          </w:p>
        </w:tc>
        <w:tc>
          <w:tcPr>
            <w:tcW w:w="773" w:type="dxa"/>
          </w:tcPr>
          <w:p w14:paraId="79E40DA3" w14:textId="77777777" w:rsidR="004D42F9" w:rsidRDefault="004D42F9">
            <w:pPr>
              <w:cnfStyle w:val="000000000000" w:firstRow="0" w:lastRow="0" w:firstColumn="0" w:lastColumn="0" w:oddVBand="0" w:evenVBand="0" w:oddHBand="0" w:evenHBand="0" w:firstRowFirstColumn="0" w:firstRowLastColumn="0" w:lastRowFirstColumn="0" w:lastRowLastColumn="0"/>
            </w:pPr>
            <w:r>
              <w:t>7 766</w:t>
            </w:r>
          </w:p>
        </w:tc>
        <w:tc>
          <w:tcPr>
            <w:tcW w:w="1045" w:type="dxa"/>
          </w:tcPr>
          <w:p w14:paraId="3CEC1F26"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c>
          <w:tcPr>
            <w:tcW w:w="798" w:type="dxa"/>
          </w:tcPr>
          <w:p w14:paraId="4973D53D" w14:textId="77777777" w:rsidR="004D42F9" w:rsidRDefault="004D42F9">
            <w:pPr>
              <w:cnfStyle w:val="000000000000" w:firstRow="0" w:lastRow="0" w:firstColumn="0" w:lastColumn="0" w:oddVBand="0" w:evenVBand="0" w:oddHBand="0" w:evenHBand="0" w:firstRowFirstColumn="0" w:firstRowLastColumn="0" w:lastRowFirstColumn="0" w:lastRowLastColumn="0"/>
            </w:pPr>
            <w:r>
              <w:t>7 534</w:t>
            </w:r>
          </w:p>
        </w:tc>
        <w:tc>
          <w:tcPr>
            <w:tcW w:w="880" w:type="dxa"/>
          </w:tcPr>
          <w:p w14:paraId="7BC8563B" w14:textId="77777777" w:rsidR="004D42F9" w:rsidRDefault="004D42F9">
            <w:pPr>
              <w:cnfStyle w:val="000000000000" w:firstRow="0" w:lastRow="0" w:firstColumn="0" w:lastColumn="0" w:oddVBand="0" w:evenVBand="0" w:oddHBand="0" w:evenHBand="0" w:firstRowFirstColumn="0" w:firstRowLastColumn="0" w:lastRowFirstColumn="0" w:lastRowLastColumn="0"/>
            </w:pPr>
            <w:r>
              <w:t>7 766</w:t>
            </w:r>
          </w:p>
        </w:tc>
        <w:tc>
          <w:tcPr>
            <w:tcW w:w="1061" w:type="dxa"/>
          </w:tcPr>
          <w:p w14:paraId="4FA103CD"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c>
          <w:tcPr>
            <w:tcW w:w="1035" w:type="dxa"/>
          </w:tcPr>
          <w:p w14:paraId="6F1BBEBD" w14:textId="77777777" w:rsidR="004D42F9" w:rsidRDefault="004D42F9">
            <w:pPr>
              <w:cnfStyle w:val="000000000000" w:firstRow="0" w:lastRow="0" w:firstColumn="0" w:lastColumn="0" w:oddVBand="0" w:evenVBand="0" w:oddHBand="0" w:evenHBand="0" w:firstRowFirstColumn="0" w:firstRowLastColumn="0" w:lastRowFirstColumn="0" w:lastRowLastColumn="0"/>
            </w:pPr>
            <w:r>
              <w:t>7 534</w:t>
            </w:r>
          </w:p>
        </w:tc>
      </w:tr>
      <w:tr w:rsidR="004D42F9" w14:paraId="7D25F0B4" w14:textId="77777777">
        <w:tc>
          <w:tcPr>
            <w:cnfStyle w:val="001000000000" w:firstRow="0" w:lastRow="0" w:firstColumn="1" w:lastColumn="0" w:oddVBand="0" w:evenVBand="0" w:oddHBand="0" w:evenHBand="0" w:firstRowFirstColumn="0" w:firstRowLastColumn="0" w:lastRowFirstColumn="0" w:lastRowLastColumn="0"/>
            <w:tcW w:w="4047" w:type="dxa"/>
          </w:tcPr>
          <w:p w14:paraId="13E6D96B" w14:textId="77777777" w:rsidR="004D42F9" w:rsidRDefault="004D42F9">
            <w:r>
              <w:t>Earthworks</w:t>
            </w:r>
          </w:p>
        </w:tc>
        <w:tc>
          <w:tcPr>
            <w:tcW w:w="773" w:type="dxa"/>
          </w:tcPr>
          <w:p w14:paraId="1A2FA428" w14:textId="77777777" w:rsidR="004D42F9" w:rsidRDefault="004D42F9">
            <w:pPr>
              <w:cnfStyle w:val="000000000000" w:firstRow="0" w:lastRow="0" w:firstColumn="0" w:lastColumn="0" w:oddVBand="0" w:evenVBand="0" w:oddHBand="0" w:evenHBand="0" w:firstRowFirstColumn="0" w:firstRowLastColumn="0" w:lastRowFirstColumn="0" w:lastRowLastColumn="0"/>
            </w:pPr>
            <w:r>
              <w:t>1 056</w:t>
            </w:r>
          </w:p>
        </w:tc>
        <w:tc>
          <w:tcPr>
            <w:tcW w:w="1045" w:type="dxa"/>
          </w:tcPr>
          <w:p w14:paraId="30B9548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98" w:type="dxa"/>
          </w:tcPr>
          <w:p w14:paraId="50ED334F" w14:textId="77777777" w:rsidR="004D42F9" w:rsidRDefault="004D42F9">
            <w:pPr>
              <w:cnfStyle w:val="000000000000" w:firstRow="0" w:lastRow="0" w:firstColumn="0" w:lastColumn="0" w:oddVBand="0" w:evenVBand="0" w:oddHBand="0" w:evenHBand="0" w:firstRowFirstColumn="0" w:firstRowLastColumn="0" w:lastRowFirstColumn="0" w:lastRowLastColumn="0"/>
            </w:pPr>
            <w:r>
              <w:t>1 056</w:t>
            </w:r>
          </w:p>
        </w:tc>
        <w:tc>
          <w:tcPr>
            <w:tcW w:w="880" w:type="dxa"/>
          </w:tcPr>
          <w:p w14:paraId="36D63D3C" w14:textId="77777777" w:rsidR="004D42F9" w:rsidRDefault="004D42F9">
            <w:pPr>
              <w:cnfStyle w:val="000000000000" w:firstRow="0" w:lastRow="0" w:firstColumn="0" w:lastColumn="0" w:oddVBand="0" w:evenVBand="0" w:oddHBand="0" w:evenHBand="0" w:firstRowFirstColumn="0" w:firstRowLastColumn="0" w:lastRowFirstColumn="0" w:lastRowLastColumn="0"/>
            </w:pPr>
            <w:r>
              <w:t>1 056</w:t>
            </w:r>
          </w:p>
        </w:tc>
        <w:tc>
          <w:tcPr>
            <w:tcW w:w="1061" w:type="dxa"/>
          </w:tcPr>
          <w:p w14:paraId="53F7F0F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35" w:type="dxa"/>
          </w:tcPr>
          <w:p w14:paraId="69E479EA" w14:textId="77777777" w:rsidR="004D42F9" w:rsidRDefault="004D42F9">
            <w:pPr>
              <w:cnfStyle w:val="000000000000" w:firstRow="0" w:lastRow="0" w:firstColumn="0" w:lastColumn="0" w:oddVBand="0" w:evenVBand="0" w:oddHBand="0" w:evenHBand="0" w:firstRowFirstColumn="0" w:firstRowLastColumn="0" w:lastRowFirstColumn="0" w:lastRowLastColumn="0"/>
            </w:pPr>
            <w:r>
              <w:t>1 056</w:t>
            </w:r>
          </w:p>
        </w:tc>
      </w:tr>
      <w:tr w:rsidR="004D42F9" w14:paraId="1933ACC5" w14:textId="77777777">
        <w:tc>
          <w:tcPr>
            <w:cnfStyle w:val="001000000000" w:firstRow="0" w:lastRow="0" w:firstColumn="1" w:lastColumn="0" w:oddVBand="0" w:evenVBand="0" w:oddHBand="0" w:evenHBand="0" w:firstRowFirstColumn="0" w:firstRowLastColumn="0" w:lastRowFirstColumn="0" w:lastRowLastColumn="0"/>
            <w:tcW w:w="4047" w:type="dxa"/>
            <w:tcBorders>
              <w:bottom w:val="single" w:sz="6" w:space="0" w:color="auto"/>
            </w:tcBorders>
          </w:tcPr>
          <w:p w14:paraId="33901C68" w14:textId="77777777" w:rsidR="004D42F9" w:rsidRDefault="004D42F9">
            <w:r>
              <w:t>Construction in progress</w:t>
            </w:r>
          </w:p>
        </w:tc>
        <w:tc>
          <w:tcPr>
            <w:tcW w:w="773" w:type="dxa"/>
            <w:tcBorders>
              <w:bottom w:val="single" w:sz="6" w:space="0" w:color="auto"/>
            </w:tcBorders>
          </w:tcPr>
          <w:p w14:paraId="3A9E94BA" w14:textId="77777777" w:rsidR="004D42F9" w:rsidRDefault="004D42F9">
            <w:pPr>
              <w:cnfStyle w:val="000000000000" w:firstRow="0" w:lastRow="0" w:firstColumn="0" w:lastColumn="0" w:oddVBand="0" w:evenVBand="0" w:oddHBand="0" w:evenHBand="0" w:firstRowFirstColumn="0" w:firstRowLastColumn="0" w:lastRowFirstColumn="0" w:lastRowLastColumn="0"/>
            </w:pPr>
            <w:r>
              <w:t>25 555</w:t>
            </w:r>
          </w:p>
        </w:tc>
        <w:tc>
          <w:tcPr>
            <w:tcW w:w="1045" w:type="dxa"/>
            <w:tcBorders>
              <w:bottom w:val="single" w:sz="6" w:space="0" w:color="auto"/>
            </w:tcBorders>
          </w:tcPr>
          <w:p w14:paraId="70BC805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98" w:type="dxa"/>
            <w:tcBorders>
              <w:bottom w:val="single" w:sz="6" w:space="0" w:color="auto"/>
            </w:tcBorders>
          </w:tcPr>
          <w:p w14:paraId="0A9411C7" w14:textId="77777777" w:rsidR="004D42F9" w:rsidRDefault="004D42F9">
            <w:pPr>
              <w:cnfStyle w:val="000000000000" w:firstRow="0" w:lastRow="0" w:firstColumn="0" w:lastColumn="0" w:oddVBand="0" w:evenVBand="0" w:oddHBand="0" w:evenHBand="0" w:firstRowFirstColumn="0" w:firstRowLastColumn="0" w:lastRowFirstColumn="0" w:lastRowLastColumn="0"/>
            </w:pPr>
            <w:r>
              <w:t>25 555</w:t>
            </w:r>
          </w:p>
        </w:tc>
        <w:tc>
          <w:tcPr>
            <w:tcW w:w="880" w:type="dxa"/>
            <w:tcBorders>
              <w:bottom w:val="single" w:sz="6" w:space="0" w:color="auto"/>
            </w:tcBorders>
          </w:tcPr>
          <w:p w14:paraId="6D7AAB20" w14:textId="77777777" w:rsidR="004D42F9" w:rsidRDefault="004D42F9">
            <w:pPr>
              <w:cnfStyle w:val="000000000000" w:firstRow="0" w:lastRow="0" w:firstColumn="0" w:lastColumn="0" w:oddVBand="0" w:evenVBand="0" w:oddHBand="0" w:evenHBand="0" w:firstRowFirstColumn="0" w:firstRowLastColumn="0" w:lastRowFirstColumn="0" w:lastRowLastColumn="0"/>
            </w:pPr>
            <w:r>
              <w:t>21 100</w:t>
            </w:r>
          </w:p>
        </w:tc>
        <w:tc>
          <w:tcPr>
            <w:tcW w:w="1061" w:type="dxa"/>
            <w:tcBorders>
              <w:bottom w:val="single" w:sz="6" w:space="0" w:color="auto"/>
            </w:tcBorders>
          </w:tcPr>
          <w:p w14:paraId="1603CE6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35" w:type="dxa"/>
            <w:tcBorders>
              <w:bottom w:val="single" w:sz="6" w:space="0" w:color="auto"/>
            </w:tcBorders>
          </w:tcPr>
          <w:p w14:paraId="2B1329B4" w14:textId="77777777" w:rsidR="004D42F9" w:rsidRDefault="004D42F9">
            <w:pPr>
              <w:cnfStyle w:val="000000000000" w:firstRow="0" w:lastRow="0" w:firstColumn="0" w:lastColumn="0" w:oddVBand="0" w:evenVBand="0" w:oddHBand="0" w:evenHBand="0" w:firstRowFirstColumn="0" w:firstRowLastColumn="0" w:lastRowFirstColumn="0" w:lastRowLastColumn="0"/>
            </w:pPr>
            <w:r>
              <w:t>21 100</w:t>
            </w:r>
          </w:p>
        </w:tc>
      </w:tr>
      <w:tr w:rsidR="004D42F9" w14:paraId="059D017D" w14:textId="77777777">
        <w:tc>
          <w:tcPr>
            <w:cnfStyle w:val="001000000000" w:firstRow="0" w:lastRow="0" w:firstColumn="1" w:lastColumn="0" w:oddVBand="0" w:evenVBand="0" w:oddHBand="0" w:evenHBand="0" w:firstRowFirstColumn="0" w:firstRowLastColumn="0" w:lastRowFirstColumn="0" w:lastRowLastColumn="0"/>
            <w:tcW w:w="4047" w:type="dxa"/>
            <w:tcBorders>
              <w:top w:val="single" w:sz="6" w:space="0" w:color="auto"/>
              <w:bottom w:val="single" w:sz="12" w:space="0" w:color="auto"/>
            </w:tcBorders>
          </w:tcPr>
          <w:p w14:paraId="6E77B4E4" w14:textId="77777777" w:rsidR="004D42F9" w:rsidRDefault="004D42F9">
            <w:r>
              <w:rPr>
                <w:b/>
              </w:rPr>
              <w:t>Total service concession land, buildings, infrastructure, plant and equipment assets</w:t>
            </w:r>
          </w:p>
        </w:tc>
        <w:tc>
          <w:tcPr>
            <w:tcW w:w="773" w:type="dxa"/>
            <w:tcBorders>
              <w:top w:val="single" w:sz="6" w:space="0" w:color="auto"/>
              <w:bottom w:val="single" w:sz="12" w:space="0" w:color="auto"/>
            </w:tcBorders>
          </w:tcPr>
          <w:p w14:paraId="016378E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47 347</w:t>
            </w:r>
          </w:p>
        </w:tc>
        <w:tc>
          <w:tcPr>
            <w:tcW w:w="1045" w:type="dxa"/>
            <w:tcBorders>
              <w:top w:val="single" w:sz="6" w:space="0" w:color="auto"/>
              <w:bottom w:val="single" w:sz="12" w:space="0" w:color="auto"/>
            </w:tcBorders>
          </w:tcPr>
          <w:p w14:paraId="6022FDB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(561)</w:t>
            </w:r>
          </w:p>
        </w:tc>
        <w:tc>
          <w:tcPr>
            <w:tcW w:w="798" w:type="dxa"/>
            <w:tcBorders>
              <w:top w:val="single" w:sz="6" w:space="0" w:color="auto"/>
              <w:bottom w:val="single" w:sz="12" w:space="0" w:color="auto"/>
            </w:tcBorders>
          </w:tcPr>
          <w:p w14:paraId="396CBC6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46 786</w:t>
            </w:r>
          </w:p>
        </w:tc>
        <w:tc>
          <w:tcPr>
            <w:tcW w:w="880" w:type="dxa"/>
            <w:tcBorders>
              <w:top w:val="single" w:sz="6" w:space="0" w:color="auto"/>
              <w:bottom w:val="single" w:sz="12" w:space="0" w:color="auto"/>
            </w:tcBorders>
          </w:tcPr>
          <w:p w14:paraId="1B84E66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36 144</w:t>
            </w:r>
          </w:p>
        </w:tc>
        <w:tc>
          <w:tcPr>
            <w:tcW w:w="1061" w:type="dxa"/>
            <w:tcBorders>
              <w:top w:val="single" w:sz="6" w:space="0" w:color="auto"/>
              <w:bottom w:val="single" w:sz="12" w:space="0" w:color="auto"/>
            </w:tcBorders>
          </w:tcPr>
          <w:p w14:paraId="5487EA9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(338)</w:t>
            </w:r>
          </w:p>
        </w:tc>
        <w:tc>
          <w:tcPr>
            <w:tcW w:w="1035" w:type="dxa"/>
            <w:tcBorders>
              <w:top w:val="single" w:sz="6" w:space="0" w:color="auto"/>
              <w:bottom w:val="single" w:sz="12" w:space="0" w:color="auto"/>
            </w:tcBorders>
          </w:tcPr>
          <w:p w14:paraId="7D3F6F4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35 806</w:t>
            </w:r>
          </w:p>
        </w:tc>
      </w:tr>
    </w:tbl>
    <w:p w14:paraId="734ED446" w14:textId="65301D7D" w:rsidR="004D42F9" w:rsidRDefault="004D42F9" w:rsidP="004D42F9">
      <w:pPr>
        <w:pStyle w:val="Note"/>
        <w:ind w:right="-143"/>
      </w:pPr>
    </w:p>
    <w:p w14:paraId="323286A7" w14:textId="77777777" w:rsidR="004D42F9" w:rsidRDefault="004D42F9" w:rsidP="004D42F9"/>
    <w:p w14:paraId="57648D02" w14:textId="77777777" w:rsidR="004D42F9" w:rsidRPr="00DD5871" w:rsidRDefault="004D42F9" w:rsidP="004D42F9">
      <w:pPr>
        <w:keepNext/>
        <w:pageBreakBefore/>
        <w:spacing w:before="240"/>
        <w:rPr>
          <w:rFonts w:asciiTheme="majorHAnsi" w:hAnsiTheme="majorHAnsi" w:cstheme="majorHAnsi"/>
          <w:b/>
          <w:sz w:val="27"/>
          <w:szCs w:val="27"/>
        </w:rPr>
      </w:pPr>
      <w:r w:rsidRPr="00DD5871">
        <w:rPr>
          <w:rFonts w:asciiTheme="majorHAnsi" w:hAnsiTheme="majorHAnsi" w:cstheme="majorHAnsi"/>
          <w:b/>
          <w:sz w:val="27"/>
          <w:szCs w:val="27"/>
        </w:rPr>
        <w:lastRenderedPageBreak/>
        <w:t>Recognition and measurement</w:t>
      </w:r>
    </w:p>
    <w:p w14:paraId="01E83435" w14:textId="77777777" w:rsidR="005625C7" w:rsidRDefault="005625C7" w:rsidP="004D42F9">
      <w:pPr>
        <w:pStyle w:val="Heading3"/>
        <w:sectPr w:rsidR="005625C7" w:rsidSect="004D42F9">
          <w:headerReference w:type="default" r:id="rId82"/>
          <w:type w:val="continuous"/>
          <w:pgSz w:w="11906" w:h="16838" w:code="9"/>
          <w:pgMar w:top="1134" w:right="1134" w:bottom="1134" w:left="1134" w:header="624" w:footer="567" w:gutter="0"/>
          <w:cols w:space="708"/>
          <w:docGrid w:linePitch="360"/>
        </w:sectPr>
      </w:pPr>
    </w:p>
    <w:p w14:paraId="4782657C" w14:textId="77777777" w:rsidR="004D42F9" w:rsidRDefault="004D42F9" w:rsidP="004D42F9">
      <w:pPr>
        <w:pStyle w:val="Heading3"/>
      </w:pPr>
      <w:r>
        <w:t>Initial recognition</w:t>
      </w:r>
    </w:p>
    <w:p w14:paraId="707C2521" w14:textId="77777777" w:rsidR="004D42F9" w:rsidRDefault="004D42F9" w:rsidP="004D42F9">
      <w:r>
        <w:t>All land, buildings, infrastructure, plant and equipment (herein referred to as non-financial physical assets) are measured initially at cost, except for service concession assets (SCA) which are initially measured at current replacement cost (CRC). Where an asset is acquired for no or nominal cost, the cost is its fair value at the date of acquisition.</w:t>
      </w:r>
    </w:p>
    <w:p w14:paraId="65A95015" w14:textId="77777777" w:rsidR="004D42F9" w:rsidRDefault="004D42F9" w:rsidP="004D42F9">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2B722174" w14:textId="77777777" w:rsidR="004D42F9" w:rsidRDefault="004D42F9" w:rsidP="004D42F9">
      <w:r>
        <w:t>Right-of-use assets are initially measured at cost, which comprises the initial amount of the lease liability adjusted for:</w:t>
      </w:r>
    </w:p>
    <w:p w14:paraId="547A213A" w14:textId="77777777" w:rsidR="004D42F9" w:rsidRPr="000429F5" w:rsidRDefault="004D42F9" w:rsidP="004D42F9">
      <w:pPr>
        <w:pStyle w:val="ListBullet"/>
        <w:keepLines/>
        <w:numPr>
          <w:ilvl w:val="0"/>
          <w:numId w:val="27"/>
        </w:numPr>
      </w:pPr>
      <w:r w:rsidRPr="000429F5">
        <w:t>any lease payments made at or before the commencement date</w:t>
      </w:r>
    </w:p>
    <w:p w14:paraId="6C598FD9" w14:textId="77777777" w:rsidR="004D42F9" w:rsidRPr="000429F5" w:rsidRDefault="004D42F9" w:rsidP="004D42F9">
      <w:pPr>
        <w:pStyle w:val="ListBullet"/>
        <w:keepLines/>
        <w:numPr>
          <w:ilvl w:val="0"/>
          <w:numId w:val="27"/>
        </w:numPr>
      </w:pPr>
      <w:r w:rsidRPr="000429F5">
        <w:t xml:space="preserve">any initial direct costs incurred </w:t>
      </w:r>
    </w:p>
    <w:p w14:paraId="42F0799C" w14:textId="77777777" w:rsidR="004D42F9" w:rsidRPr="000429F5" w:rsidRDefault="004D42F9" w:rsidP="004D42F9">
      <w:pPr>
        <w:pStyle w:val="ListBullet"/>
        <w:keepLines/>
        <w:numPr>
          <w:ilvl w:val="0"/>
          <w:numId w:val="27"/>
        </w:numPr>
      </w:pPr>
      <w:r w:rsidRPr="000429F5">
        <w:t>any estimate of costs to dismantle and remove the underlying asset or to restore the underlying asset or the site on which it is located, less any lease incentive received.</w:t>
      </w:r>
    </w:p>
    <w:p w14:paraId="1E76203A" w14:textId="036E8EAA" w:rsidR="004D42F9" w:rsidRDefault="004D42F9" w:rsidP="004D42F9">
      <w:r>
        <w:t xml:space="preserve">SCAs are initially recognised at CRC, calculated in accordance with the cost approach to fair value measurement under AASB 13 </w:t>
      </w:r>
      <w:r w:rsidRPr="00C16E76">
        <w:rPr>
          <w:i/>
          <w:iCs/>
        </w:rPr>
        <w:t>Fair Value Measurement</w:t>
      </w:r>
      <w:r>
        <w:t>. The CRC reflects the amount that would be required to currently replace the asset</w:t>
      </w:r>
      <w:r w:rsidR="00845934">
        <w:t>’</w:t>
      </w:r>
      <w:r>
        <w:t>s service capacity.</w:t>
      </w:r>
    </w:p>
    <w:p w14:paraId="34BF20A5" w14:textId="77777777" w:rsidR="004D42F9" w:rsidRDefault="004D42F9" w:rsidP="004D42F9">
      <w:r>
        <w:t>The CRC for the SCA includes the costs that are directly attributable to the design and construction of the SCA by the operator and includes:</w:t>
      </w:r>
    </w:p>
    <w:p w14:paraId="23543009" w14:textId="77777777" w:rsidR="004D42F9" w:rsidRPr="000429F5" w:rsidRDefault="004D42F9" w:rsidP="004D42F9">
      <w:pPr>
        <w:pStyle w:val="ListBullet"/>
        <w:keepLines/>
        <w:numPr>
          <w:ilvl w:val="0"/>
          <w:numId w:val="27"/>
        </w:numPr>
      </w:pPr>
      <w:r w:rsidRPr="000429F5">
        <w:t>the purchase price (including costs that the operator seeks to recover from the State)</w:t>
      </w:r>
    </w:p>
    <w:p w14:paraId="6FC397CB" w14:textId="77777777" w:rsidR="004D42F9" w:rsidRPr="000429F5" w:rsidRDefault="004D42F9" w:rsidP="004D42F9">
      <w:pPr>
        <w:pStyle w:val="ListBullet"/>
        <w:keepLines/>
        <w:numPr>
          <w:ilvl w:val="0"/>
          <w:numId w:val="27"/>
        </w:numPr>
      </w:pPr>
      <w:r w:rsidRPr="000429F5">
        <w:t>costs directly attributable to bringing the asset to its location or condition.</w:t>
      </w:r>
    </w:p>
    <w:p w14:paraId="3DA32E5F" w14:textId="77777777" w:rsidR="004D42F9" w:rsidRDefault="004D42F9" w:rsidP="004D42F9">
      <w:r>
        <w:t>The same principle applies to existing assets owned by the State and transferred to an SCA under a new or an existing service concession arrangement, with any difference between the CRC and the carrying value of the asset being accounted for as a revaluation.</w:t>
      </w:r>
    </w:p>
    <w:p w14:paraId="3836D472" w14:textId="648E80DA" w:rsidR="004D42F9" w:rsidRDefault="005625C7" w:rsidP="004D42F9">
      <w:pPr>
        <w:pStyle w:val="Heading3"/>
        <w:spacing w:before="180"/>
      </w:pPr>
      <w:r>
        <w:br w:type="column"/>
      </w:r>
      <w:r w:rsidR="004D42F9" w:rsidRPr="000429F5">
        <w:t>Subsequent</w:t>
      </w:r>
      <w:r w:rsidR="004D42F9">
        <w:t xml:space="preserve"> measurement</w:t>
      </w:r>
    </w:p>
    <w:p w14:paraId="2A80DC67" w14:textId="77777777" w:rsidR="004D42F9" w:rsidRDefault="004D42F9" w:rsidP="004D42F9">
      <w:r>
        <w:t xml:space="preserve">All non-financial physical assets are subsequently measured at fair value less accumulated depreciation and impairment. </w:t>
      </w:r>
    </w:p>
    <w:p w14:paraId="2C941DBB" w14:textId="77777777" w:rsidR="004D42F9" w:rsidRDefault="004D42F9" w:rsidP="004D42F9">
      <w:r>
        <w:t>Right-of-use assets are adjusted for certain remeasurements of the lease liabilities. Right-of-use assets arising from below market leases are recognised at cost instead of fair value (Note 5.6).</w:t>
      </w:r>
    </w:p>
    <w:p w14:paraId="49455F42" w14:textId="667EF85F" w:rsidR="004D42F9" w:rsidRDefault="004D42F9" w:rsidP="004D42F9">
      <w:r>
        <w:t>SCAs are measured at fair value with regard to the asset</w:t>
      </w:r>
      <w:r w:rsidR="00845934">
        <w:t>’</w:t>
      </w:r>
      <w:r>
        <w:t xml:space="preserve">s CRC. </w:t>
      </w:r>
    </w:p>
    <w:p w14:paraId="05643608" w14:textId="399911E0" w:rsidR="004D42F9" w:rsidRDefault="004D42F9" w:rsidP="004D42F9">
      <w:r>
        <w:t>Non-financial physical assets are measured at fair value with regard to the asset</w:t>
      </w:r>
      <w:r w:rsidR="00845934">
        <w:t>’</w:t>
      </w:r>
      <w:r>
        <w:t>s highest and best use after due consideration is made for any legal or physical restrictions imposed on the asset and public announcements or commitments made in relation to the intended use of the asset.</w:t>
      </w:r>
    </w:p>
    <w:p w14:paraId="70797638" w14:textId="77777777" w:rsidR="004D42F9" w:rsidRDefault="004D42F9" w:rsidP="004D42F9">
      <w:r>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7EB92DB6" w14:textId="77777777" w:rsidR="004D42F9" w:rsidRDefault="004D42F9" w:rsidP="004D42F9">
      <w:r w:rsidRPr="006403F1">
        <w:t xml:space="preserve">Refer to </w:t>
      </w:r>
      <w:r w:rsidRPr="00251DEB">
        <w:t>Note 6.5</w:t>
      </w:r>
      <w:r w:rsidRPr="006403F1">
        <w:t xml:space="preserve"> for</w:t>
      </w:r>
      <w:r>
        <w:t xml:space="preserve"> a summary of revaluation details.</w:t>
      </w:r>
    </w:p>
    <w:p w14:paraId="211BAA90" w14:textId="77777777" w:rsidR="004D42F9" w:rsidRDefault="004D42F9" w:rsidP="004D42F9">
      <w:pPr>
        <w:pStyle w:val="Heading3"/>
      </w:pPr>
      <w:r>
        <w:t>Assets under construction</w:t>
      </w:r>
    </w:p>
    <w:p w14:paraId="3D6B0B23" w14:textId="77777777" w:rsidR="004D42F9" w:rsidRDefault="004D42F9" w:rsidP="004D42F9">
      <w:r>
        <w:t xml:space="preserve">Assets under construction are measured at cost, except for service concessions assets. For service concession assets, the accumulation of costs incurred during the construction of SCAs results in a progressive build-up of the asset. A corresponding liability (either financial liability or grant of a right to the operator liability, refer to Note 5.7) is also progressively recognised. </w:t>
      </w:r>
    </w:p>
    <w:p w14:paraId="4E9719BA" w14:textId="77777777" w:rsidR="004D42F9" w:rsidRDefault="004D42F9" w:rsidP="004D42F9">
      <w:r>
        <w:t>The State applies the fair value proxy approach for the SCAs that are under construction. This approach captures the financing cost incurred during the construction of an SCA by the private sector, with an aim of achieving faithful representation of the CRC of SCA construction in progress balances.</w:t>
      </w:r>
    </w:p>
    <w:p w14:paraId="15C2D083" w14:textId="77777777" w:rsidR="004D42F9" w:rsidRDefault="004D42F9" w:rsidP="004D42F9">
      <w:r>
        <w:t xml:space="preserve">The financing cost to the State implied in the service concession arrangement contract during the construction of an SCA is used as a proxy of the financing cost incurred by the private sector constructing the asset. The cost is an indication of an increase in the fair value of the SCA construction in progress that is measured with the CRC method. The increment in the CRC of the SCA construction in progress is recorded as an increase in the asset revaluation surplus. </w:t>
      </w:r>
    </w:p>
    <w:p w14:paraId="6DC5E031" w14:textId="77777777" w:rsidR="004D42F9" w:rsidRDefault="004D42F9" w:rsidP="004D42F9">
      <w:pPr>
        <w:pStyle w:val="Heading3"/>
      </w:pPr>
      <w:r>
        <w:lastRenderedPageBreak/>
        <w:t xml:space="preserve">Impairment </w:t>
      </w:r>
    </w:p>
    <w:p w14:paraId="5B36B741" w14:textId="77777777" w:rsidR="004D42F9" w:rsidRDefault="004D42F9" w:rsidP="004D42F9">
      <w:r>
        <w:t xml:space="preserve">Intangible assets with indefinite useful lives (and intangible assets not yet available for use) are tested annually for impairment and whenever there is an indication that the asset may be impaired. </w:t>
      </w:r>
    </w:p>
    <w:p w14:paraId="5D211167" w14:textId="77777777" w:rsidR="004D42F9" w:rsidRDefault="004D42F9" w:rsidP="004D42F9">
      <w:r>
        <w:t>All other assets are assessed annually for indications of impairment, except for:</w:t>
      </w:r>
    </w:p>
    <w:p w14:paraId="58A57F9F" w14:textId="77777777" w:rsidR="004D42F9" w:rsidRPr="000429F5" w:rsidRDefault="004D42F9" w:rsidP="004D42F9">
      <w:pPr>
        <w:pStyle w:val="ListBullet"/>
        <w:keepLines/>
        <w:numPr>
          <w:ilvl w:val="0"/>
          <w:numId w:val="27"/>
        </w:numPr>
      </w:pPr>
      <w:r w:rsidRPr="000429F5">
        <w:t xml:space="preserve">inventories </w:t>
      </w:r>
    </w:p>
    <w:p w14:paraId="601DE37B" w14:textId="77777777" w:rsidR="004D42F9" w:rsidRPr="000429F5" w:rsidRDefault="004D42F9" w:rsidP="004D42F9">
      <w:pPr>
        <w:pStyle w:val="ListBullet"/>
        <w:keepLines/>
        <w:numPr>
          <w:ilvl w:val="0"/>
          <w:numId w:val="27"/>
        </w:numPr>
      </w:pPr>
      <w:r>
        <w:t>non-</w:t>
      </w:r>
      <w:r w:rsidRPr="000429F5">
        <w:t>financial physical assets held for sale</w:t>
      </w:r>
    </w:p>
    <w:p w14:paraId="75ACD506" w14:textId="77777777" w:rsidR="004D42F9" w:rsidRPr="000429F5" w:rsidRDefault="004D42F9" w:rsidP="004D42F9">
      <w:pPr>
        <w:pStyle w:val="ListBullet"/>
        <w:keepLines/>
        <w:numPr>
          <w:ilvl w:val="0"/>
          <w:numId w:val="27"/>
        </w:numPr>
      </w:pPr>
      <w:r w:rsidRPr="000429F5">
        <w:t xml:space="preserve">certain biological assets related to agricultural activity </w:t>
      </w:r>
    </w:p>
    <w:p w14:paraId="0275443D" w14:textId="77777777" w:rsidR="004D42F9" w:rsidRPr="000429F5" w:rsidRDefault="004D42F9" w:rsidP="004D42F9">
      <w:pPr>
        <w:pStyle w:val="ListBullet"/>
        <w:keepLines/>
        <w:numPr>
          <w:ilvl w:val="0"/>
          <w:numId w:val="27"/>
        </w:numPr>
      </w:pPr>
      <w:r w:rsidRPr="000429F5">
        <w:t>investment properties that are measured at fair value (refer to Note 4.2)</w:t>
      </w:r>
    </w:p>
    <w:p w14:paraId="67C791C7" w14:textId="77777777" w:rsidR="004D42F9" w:rsidRPr="000429F5" w:rsidRDefault="004D42F9" w:rsidP="004D42F9">
      <w:pPr>
        <w:pStyle w:val="ListBullet"/>
        <w:keepLines/>
        <w:numPr>
          <w:ilvl w:val="0"/>
          <w:numId w:val="27"/>
        </w:numPr>
      </w:pPr>
      <w:r w:rsidRPr="000429F5">
        <w:t>assets arising from construction contracts (refer to Note 4.1)</w:t>
      </w:r>
    </w:p>
    <w:p w14:paraId="6E307348" w14:textId="77777777" w:rsidR="004D42F9" w:rsidRPr="000429F5" w:rsidRDefault="004D42F9" w:rsidP="004D42F9">
      <w:pPr>
        <w:pStyle w:val="ListBullet"/>
        <w:keepLines/>
        <w:numPr>
          <w:ilvl w:val="0"/>
          <w:numId w:val="27"/>
        </w:numPr>
      </w:pPr>
      <w:r>
        <w:t>property, plant and equipment subject to regular revaluation (refer to Note 4.1.1).</w:t>
      </w:r>
    </w:p>
    <w:p w14:paraId="53C388E4" w14:textId="466A405A" w:rsidR="004D42F9" w:rsidRDefault="004D42F9" w:rsidP="004D42F9">
      <w:r>
        <w:t>If there is an indication of impairment, the assets concerned are tested as to whether their carrying value exceeds their recoverable amount. Where an asset</w:t>
      </w:r>
      <w:r w:rsidR="00845934">
        <w:t>’</w:t>
      </w:r>
      <w:r>
        <w:t>s carrying value exceeds its recoverable amount, the difference is written off as an other economic flow, except to the extent that the write down can be debited to an asset revaluation surplus amount applicable to that class of asset.</w:t>
      </w:r>
    </w:p>
    <w:p w14:paraId="5E16FC95" w14:textId="77777777" w:rsidR="005625C7" w:rsidRDefault="005625C7" w:rsidP="004D42F9">
      <w:r>
        <w:br w:type="column"/>
      </w:r>
    </w:p>
    <w:p w14:paraId="0F6776DC" w14:textId="42ED38AA" w:rsidR="004D42F9" w:rsidRDefault="004D42F9" w:rsidP="004D42F9">
      <w:r>
        <w:t>If there is an indication that there has been a change in the estimate of an asset</w:t>
      </w:r>
      <w:r w:rsidR="00845934">
        <w:t>’</w:t>
      </w:r>
      <w:r>
        <w:t>s recoverable amount since the last impairment loss was recognised, the carrying amount would be increased to its recoverable amount. This reversal of the impairment loss occurs only to the extent that the asset</w:t>
      </w:r>
      <w:r w:rsidR="00845934">
        <w:t>’</w:t>
      </w:r>
      <w:r>
        <w:t xml:space="preserve">s carrying amount does not exceed the carrying amount that would have been determined, net of depreciation or amortisation, if no impairment loss had been recognised in prior years. </w:t>
      </w:r>
    </w:p>
    <w:p w14:paraId="0F479C35" w14:textId="77777777" w:rsidR="004D42F9" w:rsidRDefault="004D42F9" w:rsidP="004D42F9">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current replacement cost and fair value less costs to sell. The recoverable amount for assets held primarily to generate net cash inflows are measured at the higher of the present value of future cash flows expected to be obtained from the asset and fair value less costs to sell.</w:t>
      </w:r>
    </w:p>
    <w:p w14:paraId="49405F44" w14:textId="77777777" w:rsidR="004D42F9" w:rsidRDefault="004D42F9" w:rsidP="004D42F9">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with the consequence that AASB 136 </w:t>
      </w:r>
      <w:r w:rsidRPr="002A7D6A">
        <w:rPr>
          <w:i/>
          <w:iCs/>
        </w:rPr>
        <w:t>Impairment of Assets</w:t>
      </w:r>
      <w:r>
        <w:t xml:space="preserve"> does not apply to such assets that are regularly revalued.</w:t>
      </w:r>
    </w:p>
    <w:p w14:paraId="44278908" w14:textId="77777777" w:rsidR="005625C7" w:rsidRDefault="005625C7" w:rsidP="004D42F9">
      <w:pPr>
        <w:sectPr w:rsidR="005625C7" w:rsidSect="005625C7">
          <w:type w:val="continuous"/>
          <w:pgSz w:w="11906" w:h="16838" w:code="9"/>
          <w:pgMar w:top="1134" w:right="1134" w:bottom="1134" w:left="1134" w:header="624" w:footer="567" w:gutter="0"/>
          <w:cols w:num="2" w:space="708"/>
          <w:docGrid w:linePitch="360"/>
        </w:sectPr>
      </w:pPr>
    </w:p>
    <w:p w14:paraId="45938E84" w14:textId="77777777" w:rsidR="004D42F9" w:rsidRDefault="004D42F9" w:rsidP="004D42F9"/>
    <w:p w14:paraId="48CF3D7D" w14:textId="77777777" w:rsidR="004D42F9" w:rsidRDefault="004D42F9" w:rsidP="004D42F9">
      <w:pPr>
        <w:pStyle w:val="Heading3"/>
      </w:pPr>
      <w:r>
        <w:t>4.1.2</w:t>
      </w:r>
      <w:r>
        <w:tab/>
        <w:t>Depreciation</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epreciation"/>
      </w:tblPr>
      <w:tblGrid>
        <w:gridCol w:w="6010"/>
        <w:gridCol w:w="907"/>
        <w:gridCol w:w="907"/>
        <w:gridCol w:w="907"/>
        <w:gridCol w:w="907"/>
      </w:tblGrid>
      <w:tr w:rsidR="004D42F9" w14:paraId="4F93787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176AE97" w14:textId="77777777" w:rsidR="004D42F9" w:rsidRDefault="004D42F9">
            <w:pPr>
              <w:keepNext/>
            </w:pPr>
          </w:p>
        </w:tc>
        <w:tc>
          <w:tcPr>
            <w:tcW w:w="1814" w:type="dxa"/>
            <w:gridSpan w:val="2"/>
          </w:tcPr>
          <w:p w14:paraId="5114A9F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0C8B9F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4C602A6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7818CD3" w14:textId="77777777" w:rsidR="004D42F9" w:rsidRDefault="004D42F9">
            <w:pPr>
              <w:keepNext/>
            </w:pPr>
          </w:p>
        </w:tc>
        <w:tc>
          <w:tcPr>
            <w:tcW w:w="907" w:type="dxa"/>
          </w:tcPr>
          <w:p w14:paraId="700476C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64EBC3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5975BB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AA6CF0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145A7641" w14:textId="77777777">
        <w:tc>
          <w:tcPr>
            <w:cnfStyle w:val="001000000000" w:firstRow="0" w:lastRow="0" w:firstColumn="1" w:lastColumn="0" w:oddVBand="0" w:evenVBand="0" w:oddHBand="0" w:evenHBand="0" w:firstRowFirstColumn="0" w:firstRowLastColumn="0" w:lastRowFirstColumn="0" w:lastRowLastColumn="0"/>
            <w:tcW w:w="6010" w:type="dxa"/>
          </w:tcPr>
          <w:p w14:paraId="2048D2B2" w14:textId="77777777" w:rsidR="004D42F9" w:rsidRDefault="004D42F9">
            <w:r>
              <w:t>Buildings</w:t>
            </w:r>
          </w:p>
        </w:tc>
        <w:tc>
          <w:tcPr>
            <w:tcW w:w="907" w:type="dxa"/>
          </w:tcPr>
          <w:p w14:paraId="24C7BF7F" w14:textId="77777777" w:rsidR="004D42F9" w:rsidRDefault="004D42F9">
            <w:pPr>
              <w:cnfStyle w:val="000000000000" w:firstRow="0" w:lastRow="0" w:firstColumn="0" w:lastColumn="0" w:oddVBand="0" w:evenVBand="0" w:oddHBand="0" w:evenHBand="0" w:firstRowFirstColumn="0" w:firstRowLastColumn="0" w:lastRowFirstColumn="0" w:lastRowLastColumn="0"/>
            </w:pPr>
            <w:r>
              <w:t>4 110</w:t>
            </w:r>
          </w:p>
        </w:tc>
        <w:tc>
          <w:tcPr>
            <w:tcW w:w="907" w:type="dxa"/>
          </w:tcPr>
          <w:p w14:paraId="1E0A33E5" w14:textId="77777777" w:rsidR="004D42F9" w:rsidRDefault="004D42F9">
            <w:pPr>
              <w:cnfStyle w:val="000000000000" w:firstRow="0" w:lastRow="0" w:firstColumn="0" w:lastColumn="0" w:oddVBand="0" w:evenVBand="0" w:oddHBand="0" w:evenHBand="0" w:firstRowFirstColumn="0" w:firstRowLastColumn="0" w:lastRowFirstColumn="0" w:lastRowLastColumn="0"/>
            </w:pPr>
            <w:r>
              <w:t>3 618</w:t>
            </w:r>
          </w:p>
        </w:tc>
        <w:tc>
          <w:tcPr>
            <w:tcW w:w="907" w:type="dxa"/>
          </w:tcPr>
          <w:p w14:paraId="087599FB" w14:textId="77777777" w:rsidR="004D42F9" w:rsidRDefault="004D42F9">
            <w:pPr>
              <w:cnfStyle w:val="000000000000" w:firstRow="0" w:lastRow="0" w:firstColumn="0" w:lastColumn="0" w:oddVBand="0" w:evenVBand="0" w:oddHBand="0" w:evenHBand="0" w:firstRowFirstColumn="0" w:firstRowLastColumn="0" w:lastRowFirstColumn="0" w:lastRowLastColumn="0"/>
            </w:pPr>
            <w:r>
              <w:t>3 147</w:t>
            </w:r>
          </w:p>
        </w:tc>
        <w:tc>
          <w:tcPr>
            <w:tcW w:w="907" w:type="dxa"/>
          </w:tcPr>
          <w:p w14:paraId="22A0F818" w14:textId="77777777" w:rsidR="004D42F9" w:rsidRDefault="004D42F9">
            <w:pPr>
              <w:cnfStyle w:val="000000000000" w:firstRow="0" w:lastRow="0" w:firstColumn="0" w:lastColumn="0" w:oddVBand="0" w:evenVBand="0" w:oddHBand="0" w:evenHBand="0" w:firstRowFirstColumn="0" w:firstRowLastColumn="0" w:lastRowFirstColumn="0" w:lastRowLastColumn="0"/>
            </w:pPr>
            <w:r>
              <w:t>2 708</w:t>
            </w:r>
          </w:p>
        </w:tc>
      </w:tr>
      <w:tr w:rsidR="004D42F9" w14:paraId="652AF6C2" w14:textId="77777777">
        <w:tc>
          <w:tcPr>
            <w:cnfStyle w:val="001000000000" w:firstRow="0" w:lastRow="0" w:firstColumn="1" w:lastColumn="0" w:oddVBand="0" w:evenVBand="0" w:oddHBand="0" w:evenHBand="0" w:firstRowFirstColumn="0" w:firstRowLastColumn="0" w:lastRowFirstColumn="0" w:lastRowLastColumn="0"/>
            <w:tcW w:w="6010" w:type="dxa"/>
          </w:tcPr>
          <w:p w14:paraId="6D7764AA" w14:textId="77777777" w:rsidR="004D42F9" w:rsidRDefault="004D42F9">
            <w:r>
              <w:t>Infrastructure</w:t>
            </w:r>
          </w:p>
        </w:tc>
        <w:tc>
          <w:tcPr>
            <w:tcW w:w="907" w:type="dxa"/>
          </w:tcPr>
          <w:p w14:paraId="185DD1C9" w14:textId="77777777" w:rsidR="004D42F9" w:rsidRDefault="004D42F9">
            <w:pPr>
              <w:cnfStyle w:val="000000000000" w:firstRow="0" w:lastRow="0" w:firstColumn="0" w:lastColumn="0" w:oddVBand="0" w:evenVBand="0" w:oddHBand="0" w:evenHBand="0" w:firstRowFirstColumn="0" w:firstRowLastColumn="0" w:lastRowFirstColumn="0" w:lastRowLastColumn="0"/>
            </w:pPr>
            <w:r>
              <w:t>2 099</w:t>
            </w:r>
          </w:p>
        </w:tc>
        <w:tc>
          <w:tcPr>
            <w:tcW w:w="907" w:type="dxa"/>
          </w:tcPr>
          <w:p w14:paraId="6245C197" w14:textId="77777777" w:rsidR="004D42F9" w:rsidRDefault="004D42F9">
            <w:pPr>
              <w:cnfStyle w:val="000000000000" w:firstRow="0" w:lastRow="0" w:firstColumn="0" w:lastColumn="0" w:oddVBand="0" w:evenVBand="0" w:oddHBand="0" w:evenHBand="0" w:firstRowFirstColumn="0" w:firstRowLastColumn="0" w:lastRowFirstColumn="0" w:lastRowLastColumn="0"/>
            </w:pPr>
            <w:r>
              <w:t>1 821</w:t>
            </w:r>
          </w:p>
        </w:tc>
        <w:tc>
          <w:tcPr>
            <w:tcW w:w="907" w:type="dxa"/>
          </w:tcPr>
          <w:p w14:paraId="2920B930" w14:textId="77777777" w:rsidR="004D42F9" w:rsidRDefault="004D42F9">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676D3F86" w14:textId="77777777" w:rsidR="004D42F9" w:rsidRDefault="004D42F9">
            <w:pPr>
              <w:cnfStyle w:val="000000000000" w:firstRow="0" w:lastRow="0" w:firstColumn="0" w:lastColumn="0" w:oddVBand="0" w:evenVBand="0" w:oddHBand="0" w:evenHBand="0" w:firstRowFirstColumn="0" w:firstRowLastColumn="0" w:lastRowFirstColumn="0" w:lastRowLastColumn="0"/>
            </w:pPr>
            <w:r>
              <w:t>55</w:t>
            </w:r>
          </w:p>
        </w:tc>
      </w:tr>
      <w:tr w:rsidR="004D42F9" w14:paraId="209F9B00" w14:textId="77777777">
        <w:tc>
          <w:tcPr>
            <w:cnfStyle w:val="001000000000" w:firstRow="0" w:lastRow="0" w:firstColumn="1" w:lastColumn="0" w:oddVBand="0" w:evenVBand="0" w:oddHBand="0" w:evenHBand="0" w:firstRowFirstColumn="0" w:firstRowLastColumn="0" w:lastRowFirstColumn="0" w:lastRowLastColumn="0"/>
            <w:tcW w:w="6010" w:type="dxa"/>
          </w:tcPr>
          <w:p w14:paraId="3C494CB7" w14:textId="77777777" w:rsidR="004D42F9" w:rsidRDefault="004D42F9">
            <w:r>
              <w:t>Plant, equipment and vehicles</w:t>
            </w:r>
          </w:p>
        </w:tc>
        <w:tc>
          <w:tcPr>
            <w:tcW w:w="907" w:type="dxa"/>
          </w:tcPr>
          <w:p w14:paraId="6310D2F5" w14:textId="77777777" w:rsidR="004D42F9" w:rsidRDefault="004D42F9">
            <w:pPr>
              <w:cnfStyle w:val="000000000000" w:firstRow="0" w:lastRow="0" w:firstColumn="0" w:lastColumn="0" w:oddVBand="0" w:evenVBand="0" w:oddHBand="0" w:evenHBand="0" w:firstRowFirstColumn="0" w:firstRowLastColumn="0" w:lastRowFirstColumn="0" w:lastRowLastColumn="0"/>
            </w:pPr>
            <w:r>
              <w:t>1 563</w:t>
            </w:r>
          </w:p>
        </w:tc>
        <w:tc>
          <w:tcPr>
            <w:tcW w:w="907" w:type="dxa"/>
          </w:tcPr>
          <w:p w14:paraId="1779EFFA" w14:textId="77777777" w:rsidR="004D42F9" w:rsidRDefault="004D42F9">
            <w:pPr>
              <w:cnfStyle w:val="000000000000" w:firstRow="0" w:lastRow="0" w:firstColumn="0" w:lastColumn="0" w:oddVBand="0" w:evenVBand="0" w:oddHBand="0" w:evenHBand="0" w:firstRowFirstColumn="0" w:firstRowLastColumn="0" w:lastRowFirstColumn="0" w:lastRowLastColumn="0"/>
            </w:pPr>
            <w:r>
              <w:t>1 381</w:t>
            </w:r>
          </w:p>
        </w:tc>
        <w:tc>
          <w:tcPr>
            <w:tcW w:w="907" w:type="dxa"/>
          </w:tcPr>
          <w:p w14:paraId="3BF7FDAC" w14:textId="77777777" w:rsidR="004D42F9" w:rsidRDefault="004D42F9">
            <w:pPr>
              <w:cnfStyle w:val="000000000000" w:firstRow="0" w:lastRow="0" w:firstColumn="0" w:lastColumn="0" w:oddVBand="0" w:evenVBand="0" w:oddHBand="0" w:evenHBand="0" w:firstRowFirstColumn="0" w:firstRowLastColumn="0" w:lastRowFirstColumn="0" w:lastRowLastColumn="0"/>
            </w:pPr>
            <w:r>
              <w:t>921</w:t>
            </w:r>
          </w:p>
        </w:tc>
        <w:tc>
          <w:tcPr>
            <w:tcW w:w="907" w:type="dxa"/>
          </w:tcPr>
          <w:p w14:paraId="33CB7DA3" w14:textId="77777777" w:rsidR="004D42F9" w:rsidRDefault="004D42F9">
            <w:pPr>
              <w:cnfStyle w:val="000000000000" w:firstRow="0" w:lastRow="0" w:firstColumn="0" w:lastColumn="0" w:oddVBand="0" w:evenVBand="0" w:oddHBand="0" w:evenHBand="0" w:firstRowFirstColumn="0" w:firstRowLastColumn="0" w:lastRowFirstColumn="0" w:lastRowLastColumn="0"/>
            </w:pPr>
            <w:r>
              <w:t>857</w:t>
            </w:r>
          </w:p>
        </w:tc>
      </w:tr>
      <w:tr w:rsidR="004D42F9" w14:paraId="0E3C181B" w14:textId="77777777">
        <w:tc>
          <w:tcPr>
            <w:cnfStyle w:val="001000000000" w:firstRow="0" w:lastRow="0" w:firstColumn="1" w:lastColumn="0" w:oddVBand="0" w:evenVBand="0" w:oddHBand="0" w:evenHBand="0" w:firstRowFirstColumn="0" w:firstRowLastColumn="0" w:lastRowFirstColumn="0" w:lastRowLastColumn="0"/>
            <w:tcW w:w="6010" w:type="dxa"/>
          </w:tcPr>
          <w:p w14:paraId="260A1F1A" w14:textId="77777777" w:rsidR="004D42F9" w:rsidRDefault="004D42F9">
            <w:r>
              <w:t>Roads and road infrastructure</w:t>
            </w:r>
          </w:p>
        </w:tc>
        <w:tc>
          <w:tcPr>
            <w:tcW w:w="907" w:type="dxa"/>
          </w:tcPr>
          <w:p w14:paraId="6D57E296" w14:textId="77777777" w:rsidR="004D42F9" w:rsidRDefault="004D42F9">
            <w:pPr>
              <w:cnfStyle w:val="000000000000" w:firstRow="0" w:lastRow="0" w:firstColumn="0" w:lastColumn="0" w:oddVBand="0" w:evenVBand="0" w:oddHBand="0" w:evenHBand="0" w:firstRowFirstColumn="0" w:firstRowLastColumn="0" w:lastRowFirstColumn="0" w:lastRowLastColumn="0"/>
            </w:pPr>
            <w:r>
              <w:t>1 133</w:t>
            </w:r>
          </w:p>
        </w:tc>
        <w:tc>
          <w:tcPr>
            <w:tcW w:w="907" w:type="dxa"/>
          </w:tcPr>
          <w:p w14:paraId="5F9C92E5"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1 129</w:t>
            </w:r>
          </w:p>
        </w:tc>
        <w:tc>
          <w:tcPr>
            <w:tcW w:w="907" w:type="dxa"/>
          </w:tcPr>
          <w:p w14:paraId="14BC4585"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1 128</w:t>
            </w:r>
          </w:p>
        </w:tc>
        <w:tc>
          <w:tcPr>
            <w:tcW w:w="907" w:type="dxa"/>
          </w:tcPr>
          <w:p w14:paraId="15C3A921"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1 124</w:t>
            </w:r>
          </w:p>
        </w:tc>
      </w:tr>
      <w:tr w:rsidR="004D42F9" w14:paraId="1CC459FB" w14:textId="77777777">
        <w:tc>
          <w:tcPr>
            <w:cnfStyle w:val="001000000000" w:firstRow="0" w:lastRow="0" w:firstColumn="1" w:lastColumn="0" w:oddVBand="0" w:evenVBand="0" w:oddHBand="0" w:evenHBand="0" w:firstRowFirstColumn="0" w:firstRowLastColumn="0" w:lastRowFirstColumn="0" w:lastRowLastColumn="0"/>
            <w:tcW w:w="6010" w:type="dxa"/>
          </w:tcPr>
          <w:p w14:paraId="3275715E" w14:textId="77777777" w:rsidR="004D42F9" w:rsidRDefault="004D42F9">
            <w:r>
              <w:t>Cultural assets</w:t>
            </w:r>
          </w:p>
        </w:tc>
        <w:tc>
          <w:tcPr>
            <w:tcW w:w="907" w:type="dxa"/>
          </w:tcPr>
          <w:p w14:paraId="5E8AE768"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11DC6CD5"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5047D802"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6F369A24"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r>
      <w:tr w:rsidR="004D42F9" w14:paraId="51A356BE"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3BCB240" w14:textId="77777777" w:rsidR="004D42F9" w:rsidRDefault="004D42F9">
            <w:r>
              <w:t>Intangible produced assets</w:t>
            </w:r>
          </w:p>
        </w:tc>
        <w:tc>
          <w:tcPr>
            <w:tcW w:w="907" w:type="dxa"/>
            <w:tcBorders>
              <w:bottom w:val="single" w:sz="6" w:space="0" w:color="auto"/>
            </w:tcBorders>
          </w:tcPr>
          <w:p w14:paraId="690F0056" w14:textId="77777777" w:rsidR="004D42F9" w:rsidRDefault="004D42F9">
            <w:pPr>
              <w:cnfStyle w:val="000000000000" w:firstRow="0" w:lastRow="0" w:firstColumn="0" w:lastColumn="0" w:oddVBand="0" w:evenVBand="0" w:oddHBand="0" w:evenHBand="0" w:firstRowFirstColumn="0" w:firstRowLastColumn="0" w:lastRowFirstColumn="0" w:lastRowLastColumn="0"/>
            </w:pPr>
            <w:r>
              <w:t>428</w:t>
            </w:r>
          </w:p>
        </w:tc>
        <w:tc>
          <w:tcPr>
            <w:tcW w:w="907" w:type="dxa"/>
            <w:tcBorders>
              <w:bottom w:val="single" w:sz="6" w:space="0" w:color="auto"/>
            </w:tcBorders>
          </w:tcPr>
          <w:p w14:paraId="7F8CE131" w14:textId="77777777" w:rsidR="004D42F9" w:rsidRDefault="004D42F9">
            <w:pPr>
              <w:cnfStyle w:val="000000000000" w:firstRow="0" w:lastRow="0" w:firstColumn="0" w:lastColumn="0" w:oddVBand="0" w:evenVBand="0" w:oddHBand="0" w:evenHBand="0" w:firstRowFirstColumn="0" w:firstRowLastColumn="0" w:lastRowFirstColumn="0" w:lastRowLastColumn="0"/>
            </w:pPr>
            <w:r>
              <w:t>315</w:t>
            </w:r>
          </w:p>
        </w:tc>
        <w:tc>
          <w:tcPr>
            <w:tcW w:w="907" w:type="dxa"/>
            <w:tcBorders>
              <w:bottom w:val="single" w:sz="6" w:space="0" w:color="auto"/>
            </w:tcBorders>
          </w:tcPr>
          <w:p w14:paraId="5AA821F7" w14:textId="77777777" w:rsidR="004D42F9" w:rsidRDefault="004D42F9">
            <w:pPr>
              <w:cnfStyle w:val="000000000000" w:firstRow="0" w:lastRow="0" w:firstColumn="0" w:lastColumn="0" w:oddVBand="0" w:evenVBand="0" w:oddHBand="0" w:evenHBand="0" w:firstRowFirstColumn="0" w:firstRowLastColumn="0" w:lastRowFirstColumn="0" w:lastRowLastColumn="0"/>
            </w:pPr>
            <w:r>
              <w:t>195</w:t>
            </w:r>
          </w:p>
        </w:tc>
        <w:tc>
          <w:tcPr>
            <w:tcW w:w="907" w:type="dxa"/>
            <w:tcBorders>
              <w:bottom w:val="single" w:sz="6" w:space="0" w:color="auto"/>
            </w:tcBorders>
          </w:tcPr>
          <w:p w14:paraId="7F2BE2A9" w14:textId="77777777" w:rsidR="004D42F9" w:rsidRDefault="004D42F9">
            <w:pPr>
              <w:cnfStyle w:val="000000000000" w:firstRow="0" w:lastRow="0" w:firstColumn="0" w:lastColumn="0" w:oddVBand="0" w:evenVBand="0" w:oddHBand="0" w:evenHBand="0" w:firstRowFirstColumn="0" w:firstRowLastColumn="0" w:lastRowFirstColumn="0" w:lastRowLastColumn="0"/>
            </w:pPr>
            <w:r>
              <w:t>209</w:t>
            </w:r>
          </w:p>
        </w:tc>
      </w:tr>
      <w:tr w:rsidR="004D42F9" w14:paraId="75D69F52"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2439FDA" w14:textId="77777777" w:rsidR="004D42F9" w:rsidRDefault="004D42F9">
            <w:r>
              <w:rPr>
                <w:b/>
              </w:rPr>
              <w:t>Total depreciation</w:t>
            </w:r>
          </w:p>
        </w:tc>
        <w:tc>
          <w:tcPr>
            <w:tcW w:w="907" w:type="dxa"/>
            <w:tcBorders>
              <w:top w:val="single" w:sz="6" w:space="0" w:color="auto"/>
              <w:bottom w:val="single" w:sz="12" w:space="0" w:color="auto"/>
            </w:tcBorders>
          </w:tcPr>
          <w:p w14:paraId="7758261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9 349</w:t>
            </w:r>
          </w:p>
        </w:tc>
        <w:tc>
          <w:tcPr>
            <w:tcW w:w="907" w:type="dxa"/>
            <w:tcBorders>
              <w:top w:val="single" w:sz="6" w:space="0" w:color="auto"/>
              <w:bottom w:val="single" w:sz="12" w:space="0" w:color="auto"/>
            </w:tcBorders>
          </w:tcPr>
          <w:p w14:paraId="0BBA2D8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8 279</w:t>
            </w:r>
          </w:p>
        </w:tc>
        <w:tc>
          <w:tcPr>
            <w:tcW w:w="907" w:type="dxa"/>
            <w:tcBorders>
              <w:top w:val="single" w:sz="6" w:space="0" w:color="auto"/>
              <w:bottom w:val="single" w:sz="12" w:space="0" w:color="auto"/>
            </w:tcBorders>
          </w:tcPr>
          <w:p w14:paraId="0071777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5 462</w:t>
            </w:r>
          </w:p>
        </w:tc>
        <w:tc>
          <w:tcPr>
            <w:tcW w:w="907" w:type="dxa"/>
            <w:tcBorders>
              <w:top w:val="single" w:sz="6" w:space="0" w:color="auto"/>
              <w:bottom w:val="single" w:sz="12" w:space="0" w:color="auto"/>
            </w:tcBorders>
          </w:tcPr>
          <w:p w14:paraId="1C01383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4 967</w:t>
            </w:r>
          </w:p>
        </w:tc>
      </w:tr>
    </w:tbl>
    <w:p w14:paraId="45AB1678" w14:textId="77777777" w:rsidR="004D42F9" w:rsidRDefault="004D42F9" w:rsidP="004D42F9"/>
    <w:p w14:paraId="4F89DD9F" w14:textId="77777777" w:rsidR="004D42F9" w:rsidRDefault="004D42F9" w:rsidP="004D42F9">
      <w:pPr>
        <w:pageBreakBefore/>
      </w:pPr>
      <w:r>
        <w:lastRenderedPageBreak/>
        <w:t>The following two tables are subsets of total depreciation expense.</w:t>
      </w:r>
    </w:p>
    <w:p w14:paraId="77080968" w14:textId="77777777" w:rsidR="004D42F9" w:rsidRDefault="004D42F9" w:rsidP="004D42F9">
      <w:pPr>
        <w:pStyle w:val="TableHeading"/>
      </w:pPr>
      <w:r>
        <w:t>Depreciation of right-of-use (leased)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epreciation_ROU"/>
      </w:tblPr>
      <w:tblGrid>
        <w:gridCol w:w="6010"/>
        <w:gridCol w:w="907"/>
        <w:gridCol w:w="907"/>
        <w:gridCol w:w="907"/>
        <w:gridCol w:w="907"/>
      </w:tblGrid>
      <w:tr w:rsidR="004D42F9" w14:paraId="00462BF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A5DC329" w14:textId="77777777" w:rsidR="004D42F9" w:rsidRDefault="004D42F9">
            <w:pPr>
              <w:keepNext/>
            </w:pPr>
          </w:p>
        </w:tc>
        <w:tc>
          <w:tcPr>
            <w:tcW w:w="1814" w:type="dxa"/>
            <w:gridSpan w:val="2"/>
          </w:tcPr>
          <w:p w14:paraId="4A14B06B"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6C0DF6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405CEF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F10434C" w14:textId="77777777" w:rsidR="004D42F9" w:rsidRDefault="004D42F9">
            <w:pPr>
              <w:keepNext/>
            </w:pPr>
          </w:p>
        </w:tc>
        <w:tc>
          <w:tcPr>
            <w:tcW w:w="907" w:type="dxa"/>
          </w:tcPr>
          <w:p w14:paraId="4DF27B6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A75CB0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3FAC1D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5EBC12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312E923C" w14:textId="77777777">
        <w:tc>
          <w:tcPr>
            <w:cnfStyle w:val="001000000000" w:firstRow="0" w:lastRow="0" w:firstColumn="1" w:lastColumn="0" w:oddVBand="0" w:evenVBand="0" w:oddHBand="0" w:evenHBand="0" w:firstRowFirstColumn="0" w:firstRowLastColumn="0" w:lastRowFirstColumn="0" w:lastRowLastColumn="0"/>
            <w:tcW w:w="6010" w:type="dxa"/>
          </w:tcPr>
          <w:p w14:paraId="48541391" w14:textId="77777777" w:rsidR="004D42F9" w:rsidRDefault="004D42F9">
            <w:r>
              <w:t>Buildings</w:t>
            </w:r>
          </w:p>
        </w:tc>
        <w:tc>
          <w:tcPr>
            <w:tcW w:w="907" w:type="dxa"/>
          </w:tcPr>
          <w:p w14:paraId="5C7F71EC" w14:textId="77777777" w:rsidR="004D42F9" w:rsidRDefault="004D42F9">
            <w:pPr>
              <w:cnfStyle w:val="000000000000" w:firstRow="0" w:lastRow="0" w:firstColumn="0" w:lastColumn="0" w:oddVBand="0" w:evenVBand="0" w:oddHBand="0" w:evenHBand="0" w:firstRowFirstColumn="0" w:firstRowLastColumn="0" w:lastRowFirstColumn="0" w:lastRowLastColumn="0"/>
            </w:pPr>
            <w:r>
              <w:t>759</w:t>
            </w:r>
          </w:p>
        </w:tc>
        <w:tc>
          <w:tcPr>
            <w:tcW w:w="907" w:type="dxa"/>
          </w:tcPr>
          <w:p w14:paraId="2042592E" w14:textId="77777777" w:rsidR="004D42F9" w:rsidRDefault="004D42F9">
            <w:pPr>
              <w:cnfStyle w:val="000000000000" w:firstRow="0" w:lastRow="0" w:firstColumn="0" w:lastColumn="0" w:oddVBand="0" w:evenVBand="0" w:oddHBand="0" w:evenHBand="0" w:firstRowFirstColumn="0" w:firstRowLastColumn="0" w:lastRowFirstColumn="0" w:lastRowLastColumn="0"/>
            </w:pPr>
            <w:r>
              <w:t>728</w:t>
            </w:r>
          </w:p>
        </w:tc>
        <w:tc>
          <w:tcPr>
            <w:tcW w:w="907" w:type="dxa"/>
          </w:tcPr>
          <w:p w14:paraId="2C640983" w14:textId="77777777" w:rsidR="004D42F9" w:rsidRDefault="004D42F9">
            <w:pPr>
              <w:cnfStyle w:val="000000000000" w:firstRow="0" w:lastRow="0" w:firstColumn="0" w:lastColumn="0" w:oddVBand="0" w:evenVBand="0" w:oddHBand="0" w:evenHBand="0" w:firstRowFirstColumn="0" w:firstRowLastColumn="0" w:lastRowFirstColumn="0" w:lastRowLastColumn="0"/>
            </w:pPr>
            <w:r>
              <w:t>698</w:t>
            </w:r>
          </w:p>
        </w:tc>
        <w:tc>
          <w:tcPr>
            <w:tcW w:w="907" w:type="dxa"/>
          </w:tcPr>
          <w:p w14:paraId="14CDAB3A" w14:textId="77777777" w:rsidR="004D42F9" w:rsidRDefault="004D42F9">
            <w:pPr>
              <w:cnfStyle w:val="000000000000" w:firstRow="0" w:lastRow="0" w:firstColumn="0" w:lastColumn="0" w:oddVBand="0" w:evenVBand="0" w:oddHBand="0" w:evenHBand="0" w:firstRowFirstColumn="0" w:firstRowLastColumn="0" w:lastRowFirstColumn="0" w:lastRowLastColumn="0"/>
            </w:pPr>
            <w:r>
              <w:t>669</w:t>
            </w:r>
          </w:p>
        </w:tc>
      </w:tr>
      <w:tr w:rsidR="004D42F9" w14:paraId="67DEBF30" w14:textId="77777777">
        <w:tc>
          <w:tcPr>
            <w:cnfStyle w:val="001000000000" w:firstRow="0" w:lastRow="0" w:firstColumn="1" w:lastColumn="0" w:oddVBand="0" w:evenVBand="0" w:oddHBand="0" w:evenHBand="0" w:firstRowFirstColumn="0" w:firstRowLastColumn="0" w:lastRowFirstColumn="0" w:lastRowLastColumn="0"/>
            <w:tcW w:w="6010" w:type="dxa"/>
          </w:tcPr>
          <w:p w14:paraId="62ACCA2E" w14:textId="77777777" w:rsidR="004D42F9" w:rsidRDefault="004D42F9">
            <w:r>
              <w:t>Infrastructure</w:t>
            </w:r>
          </w:p>
        </w:tc>
        <w:tc>
          <w:tcPr>
            <w:tcW w:w="907" w:type="dxa"/>
          </w:tcPr>
          <w:p w14:paraId="19D5445E"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5AC9514"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68DFEC5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79C746"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4A385967"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75990E4" w14:textId="77777777" w:rsidR="004D42F9" w:rsidRDefault="004D42F9">
            <w:r>
              <w:t>Plant, equipment and vehicles</w:t>
            </w:r>
          </w:p>
        </w:tc>
        <w:tc>
          <w:tcPr>
            <w:tcW w:w="907" w:type="dxa"/>
            <w:tcBorders>
              <w:bottom w:val="single" w:sz="6" w:space="0" w:color="auto"/>
            </w:tcBorders>
          </w:tcPr>
          <w:p w14:paraId="72186FB7" w14:textId="77777777" w:rsidR="004D42F9" w:rsidRDefault="004D42F9">
            <w:pPr>
              <w:cnfStyle w:val="000000000000" w:firstRow="0" w:lastRow="0" w:firstColumn="0" w:lastColumn="0" w:oddVBand="0" w:evenVBand="0" w:oddHBand="0" w:evenHBand="0" w:firstRowFirstColumn="0" w:firstRowLastColumn="0" w:lastRowFirstColumn="0" w:lastRowLastColumn="0"/>
            </w:pPr>
            <w:r>
              <w:t>158</w:t>
            </w:r>
          </w:p>
        </w:tc>
        <w:tc>
          <w:tcPr>
            <w:tcW w:w="907" w:type="dxa"/>
            <w:tcBorders>
              <w:bottom w:val="single" w:sz="6" w:space="0" w:color="auto"/>
            </w:tcBorders>
          </w:tcPr>
          <w:p w14:paraId="2E82A71C" w14:textId="77777777" w:rsidR="004D42F9" w:rsidRDefault="004D42F9">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6" w:space="0" w:color="auto"/>
            </w:tcBorders>
          </w:tcPr>
          <w:p w14:paraId="655198BD" w14:textId="77777777" w:rsidR="004D42F9" w:rsidRDefault="004D42F9">
            <w:pPr>
              <w:cnfStyle w:val="000000000000" w:firstRow="0" w:lastRow="0" w:firstColumn="0" w:lastColumn="0" w:oddVBand="0" w:evenVBand="0" w:oddHBand="0" w:evenHBand="0" w:firstRowFirstColumn="0" w:firstRowLastColumn="0" w:lastRowFirstColumn="0" w:lastRowLastColumn="0"/>
            </w:pPr>
            <w:r>
              <w:t>118</w:t>
            </w:r>
          </w:p>
        </w:tc>
        <w:tc>
          <w:tcPr>
            <w:tcW w:w="907" w:type="dxa"/>
            <w:tcBorders>
              <w:bottom w:val="single" w:sz="6" w:space="0" w:color="auto"/>
            </w:tcBorders>
          </w:tcPr>
          <w:p w14:paraId="065D7403" w14:textId="77777777" w:rsidR="004D42F9" w:rsidRDefault="004D42F9">
            <w:pPr>
              <w:cnfStyle w:val="000000000000" w:firstRow="0" w:lastRow="0" w:firstColumn="0" w:lastColumn="0" w:oddVBand="0" w:evenVBand="0" w:oddHBand="0" w:evenHBand="0" w:firstRowFirstColumn="0" w:firstRowLastColumn="0" w:lastRowFirstColumn="0" w:lastRowLastColumn="0"/>
            </w:pPr>
            <w:r>
              <w:t>113</w:t>
            </w:r>
          </w:p>
        </w:tc>
      </w:tr>
      <w:tr w:rsidR="004D42F9" w14:paraId="14DC7916"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ECA94BD" w14:textId="77777777" w:rsidR="004D42F9" w:rsidRDefault="004D42F9">
            <w:r>
              <w:rPr>
                <w:b/>
              </w:rPr>
              <w:t>Total depreciation of right</w:t>
            </w:r>
            <w:r>
              <w:rPr>
                <w:b/>
              </w:rPr>
              <w:noBreakHyphen/>
              <w:t>of</w:t>
            </w:r>
            <w:r>
              <w:rPr>
                <w:b/>
              </w:rPr>
              <w:noBreakHyphen/>
              <w:t>use assets</w:t>
            </w:r>
          </w:p>
        </w:tc>
        <w:tc>
          <w:tcPr>
            <w:tcW w:w="907" w:type="dxa"/>
            <w:tcBorders>
              <w:top w:val="single" w:sz="6" w:space="0" w:color="auto"/>
              <w:bottom w:val="single" w:sz="12" w:space="0" w:color="auto"/>
            </w:tcBorders>
          </w:tcPr>
          <w:p w14:paraId="6CB90C1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920</w:t>
            </w:r>
          </w:p>
        </w:tc>
        <w:tc>
          <w:tcPr>
            <w:tcW w:w="907" w:type="dxa"/>
            <w:tcBorders>
              <w:top w:val="single" w:sz="6" w:space="0" w:color="auto"/>
              <w:bottom w:val="single" w:sz="12" w:space="0" w:color="auto"/>
            </w:tcBorders>
          </w:tcPr>
          <w:p w14:paraId="121100A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885</w:t>
            </w:r>
          </w:p>
        </w:tc>
        <w:tc>
          <w:tcPr>
            <w:tcW w:w="907" w:type="dxa"/>
            <w:tcBorders>
              <w:top w:val="single" w:sz="6" w:space="0" w:color="auto"/>
              <w:bottom w:val="single" w:sz="12" w:space="0" w:color="auto"/>
            </w:tcBorders>
          </w:tcPr>
          <w:p w14:paraId="3152F91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817</w:t>
            </w:r>
          </w:p>
        </w:tc>
        <w:tc>
          <w:tcPr>
            <w:tcW w:w="907" w:type="dxa"/>
            <w:tcBorders>
              <w:top w:val="single" w:sz="6" w:space="0" w:color="auto"/>
              <w:bottom w:val="single" w:sz="12" w:space="0" w:color="auto"/>
            </w:tcBorders>
          </w:tcPr>
          <w:p w14:paraId="572A827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783</w:t>
            </w:r>
          </w:p>
        </w:tc>
      </w:tr>
    </w:tbl>
    <w:p w14:paraId="691DF0A5" w14:textId="77777777" w:rsidR="004D42F9" w:rsidRDefault="004D42F9" w:rsidP="004D42F9"/>
    <w:p w14:paraId="3CA5D7DD" w14:textId="77777777" w:rsidR="004D42F9" w:rsidRDefault="004D42F9" w:rsidP="004D42F9">
      <w:pPr>
        <w:pStyle w:val="TableHeading"/>
      </w:pPr>
      <w:r>
        <w:t>Depreciation of service concession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epreciation_SCA"/>
      </w:tblPr>
      <w:tblGrid>
        <w:gridCol w:w="6010"/>
        <w:gridCol w:w="907"/>
        <w:gridCol w:w="907"/>
        <w:gridCol w:w="907"/>
        <w:gridCol w:w="907"/>
      </w:tblGrid>
      <w:tr w:rsidR="004D42F9" w14:paraId="62D013D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156FEAB" w14:textId="77777777" w:rsidR="004D42F9" w:rsidRDefault="004D42F9">
            <w:pPr>
              <w:keepNext/>
            </w:pPr>
          </w:p>
        </w:tc>
        <w:tc>
          <w:tcPr>
            <w:tcW w:w="1814" w:type="dxa"/>
            <w:gridSpan w:val="2"/>
          </w:tcPr>
          <w:p w14:paraId="4174C79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81A44D9"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55FB7D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3972016" w14:textId="77777777" w:rsidR="004D42F9" w:rsidRDefault="004D42F9">
            <w:pPr>
              <w:keepNext/>
            </w:pPr>
          </w:p>
        </w:tc>
        <w:tc>
          <w:tcPr>
            <w:tcW w:w="907" w:type="dxa"/>
          </w:tcPr>
          <w:p w14:paraId="37B6D02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B5CFC3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944370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8FFBCD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8DFAFDC" w14:textId="77777777">
        <w:tc>
          <w:tcPr>
            <w:cnfStyle w:val="001000000000" w:firstRow="0" w:lastRow="0" w:firstColumn="1" w:lastColumn="0" w:oddVBand="0" w:evenVBand="0" w:oddHBand="0" w:evenHBand="0" w:firstRowFirstColumn="0" w:firstRowLastColumn="0" w:lastRowFirstColumn="0" w:lastRowLastColumn="0"/>
            <w:tcW w:w="6010" w:type="dxa"/>
          </w:tcPr>
          <w:p w14:paraId="2C06022D" w14:textId="77777777" w:rsidR="004D42F9" w:rsidRDefault="004D42F9">
            <w:r>
              <w:t>Buildings</w:t>
            </w:r>
          </w:p>
        </w:tc>
        <w:tc>
          <w:tcPr>
            <w:tcW w:w="907" w:type="dxa"/>
          </w:tcPr>
          <w:p w14:paraId="7D8E4F90" w14:textId="77777777" w:rsidR="004D42F9" w:rsidRDefault="004D42F9">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578F31A2" w14:textId="77777777" w:rsidR="004D42F9" w:rsidRDefault="004D42F9">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2B700A77" w14:textId="77777777" w:rsidR="004D42F9" w:rsidRDefault="004D42F9">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044E3F51" w14:textId="77777777" w:rsidR="004D42F9" w:rsidRDefault="004D42F9">
            <w:pPr>
              <w:cnfStyle w:val="000000000000" w:firstRow="0" w:lastRow="0" w:firstColumn="0" w:lastColumn="0" w:oddVBand="0" w:evenVBand="0" w:oddHBand="0" w:evenHBand="0" w:firstRowFirstColumn="0" w:firstRowLastColumn="0" w:lastRowFirstColumn="0" w:lastRowLastColumn="0"/>
            </w:pPr>
            <w:r>
              <w:t>73</w:t>
            </w:r>
          </w:p>
        </w:tc>
      </w:tr>
      <w:tr w:rsidR="004D42F9" w14:paraId="4CDE4B1C" w14:textId="77777777">
        <w:tc>
          <w:tcPr>
            <w:cnfStyle w:val="001000000000" w:firstRow="0" w:lastRow="0" w:firstColumn="1" w:lastColumn="0" w:oddVBand="0" w:evenVBand="0" w:oddHBand="0" w:evenHBand="0" w:firstRowFirstColumn="0" w:firstRowLastColumn="0" w:lastRowFirstColumn="0" w:lastRowLastColumn="0"/>
            <w:tcW w:w="6010" w:type="dxa"/>
          </w:tcPr>
          <w:p w14:paraId="486A75EB" w14:textId="77777777" w:rsidR="004D42F9" w:rsidRDefault="004D42F9">
            <w:r>
              <w:t>Infrastructure</w:t>
            </w:r>
          </w:p>
        </w:tc>
        <w:tc>
          <w:tcPr>
            <w:tcW w:w="907" w:type="dxa"/>
          </w:tcPr>
          <w:p w14:paraId="373AA0E6" w14:textId="77777777" w:rsidR="004D42F9" w:rsidRDefault="004D42F9">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5F3B59F1" w14:textId="77777777" w:rsidR="004D42F9" w:rsidRDefault="004D42F9">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02F649D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D7BAE6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5C7AA635" w14:textId="77777777">
        <w:tc>
          <w:tcPr>
            <w:cnfStyle w:val="001000000000" w:firstRow="0" w:lastRow="0" w:firstColumn="1" w:lastColumn="0" w:oddVBand="0" w:evenVBand="0" w:oddHBand="0" w:evenHBand="0" w:firstRowFirstColumn="0" w:firstRowLastColumn="0" w:lastRowFirstColumn="0" w:lastRowLastColumn="0"/>
            <w:tcW w:w="6010" w:type="dxa"/>
          </w:tcPr>
          <w:p w14:paraId="06F449AA" w14:textId="77777777" w:rsidR="004D42F9" w:rsidRDefault="004D42F9">
            <w:r>
              <w:t>Plant, equipment and vehicles</w:t>
            </w:r>
          </w:p>
        </w:tc>
        <w:tc>
          <w:tcPr>
            <w:tcW w:w="907" w:type="dxa"/>
          </w:tcPr>
          <w:p w14:paraId="64BAC616" w14:textId="77777777" w:rsidR="004D42F9" w:rsidRDefault="004D42F9">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6C4E3732" w14:textId="77777777" w:rsidR="004D42F9" w:rsidRDefault="004D42F9">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0FA86703" w14:textId="77777777" w:rsidR="004D42F9" w:rsidRDefault="004D42F9">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4A849CA8" w14:textId="77777777" w:rsidR="004D42F9" w:rsidRDefault="004D42F9">
            <w:pPr>
              <w:cnfStyle w:val="000000000000" w:firstRow="0" w:lastRow="0" w:firstColumn="0" w:lastColumn="0" w:oddVBand="0" w:evenVBand="0" w:oddHBand="0" w:evenHBand="0" w:firstRowFirstColumn="0" w:firstRowLastColumn="0" w:lastRowFirstColumn="0" w:lastRowLastColumn="0"/>
            </w:pPr>
            <w:r>
              <w:t>29</w:t>
            </w:r>
          </w:p>
        </w:tc>
      </w:tr>
      <w:tr w:rsidR="004D42F9" w14:paraId="464BD5EB" w14:textId="77777777">
        <w:tc>
          <w:tcPr>
            <w:cnfStyle w:val="001000000000" w:firstRow="0" w:lastRow="0" w:firstColumn="1" w:lastColumn="0" w:oddVBand="0" w:evenVBand="0" w:oddHBand="0" w:evenHBand="0" w:firstRowFirstColumn="0" w:firstRowLastColumn="0" w:lastRowFirstColumn="0" w:lastRowLastColumn="0"/>
            <w:tcW w:w="6010" w:type="dxa"/>
          </w:tcPr>
          <w:p w14:paraId="68471C8A" w14:textId="77777777" w:rsidR="004D42F9" w:rsidRDefault="004D42F9">
            <w:r>
              <w:t>Roads and road infrastructure</w:t>
            </w:r>
          </w:p>
        </w:tc>
        <w:tc>
          <w:tcPr>
            <w:tcW w:w="907" w:type="dxa"/>
          </w:tcPr>
          <w:p w14:paraId="0B1EB972" w14:textId="77777777" w:rsidR="004D42F9" w:rsidRDefault="004D42F9">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34BCFFB0"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51A9E265" w14:textId="77777777" w:rsidR="004D42F9" w:rsidRDefault="004D42F9">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7D5F2643" w14:textId="77777777" w:rsidR="004D42F9" w:rsidRDefault="004D42F9">
            <w:pPr>
              <w:cnfStyle w:val="000000000000" w:firstRow="0" w:lastRow="0" w:firstColumn="0" w:lastColumn="0" w:oddVBand="0" w:evenVBand="0" w:oddHBand="0" w:evenHBand="0" w:firstRowFirstColumn="0" w:firstRowLastColumn="0" w:lastRowFirstColumn="0" w:lastRowLastColumn="0"/>
            </w:pPr>
            <w:r>
              <w:t>232</w:t>
            </w:r>
          </w:p>
        </w:tc>
      </w:tr>
      <w:tr w:rsidR="004D42F9" w14:paraId="198CEF6B"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65A82B1" w14:textId="77777777" w:rsidR="004D42F9" w:rsidRDefault="004D42F9">
            <w:r>
              <w:t>Intangible produced assets</w:t>
            </w:r>
          </w:p>
        </w:tc>
        <w:tc>
          <w:tcPr>
            <w:tcW w:w="907" w:type="dxa"/>
            <w:tcBorders>
              <w:bottom w:val="single" w:sz="6" w:space="0" w:color="auto"/>
            </w:tcBorders>
          </w:tcPr>
          <w:p w14:paraId="3954B6D7"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1F71739"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7F429343"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38185BF7"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r>
      <w:tr w:rsidR="004D42F9" w14:paraId="2FBB4860"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EC9A9CC" w14:textId="77777777" w:rsidR="004D42F9" w:rsidRDefault="004D42F9">
            <w:r>
              <w:rPr>
                <w:b/>
              </w:rPr>
              <w:t>Total depreciation of service concession assets</w:t>
            </w:r>
          </w:p>
        </w:tc>
        <w:tc>
          <w:tcPr>
            <w:tcW w:w="907" w:type="dxa"/>
            <w:tcBorders>
              <w:top w:val="single" w:sz="6" w:space="0" w:color="auto"/>
              <w:bottom w:val="single" w:sz="12" w:space="0" w:color="auto"/>
            </w:tcBorders>
          </w:tcPr>
          <w:p w14:paraId="2983CD5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441</w:t>
            </w:r>
          </w:p>
        </w:tc>
        <w:tc>
          <w:tcPr>
            <w:tcW w:w="907" w:type="dxa"/>
            <w:tcBorders>
              <w:top w:val="single" w:sz="6" w:space="0" w:color="auto"/>
              <w:bottom w:val="single" w:sz="12" w:space="0" w:color="auto"/>
            </w:tcBorders>
          </w:tcPr>
          <w:p w14:paraId="4069D22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442</w:t>
            </w:r>
          </w:p>
        </w:tc>
        <w:tc>
          <w:tcPr>
            <w:tcW w:w="907" w:type="dxa"/>
            <w:tcBorders>
              <w:top w:val="single" w:sz="6" w:space="0" w:color="auto"/>
              <w:bottom w:val="single" w:sz="12" w:space="0" w:color="auto"/>
            </w:tcBorders>
          </w:tcPr>
          <w:p w14:paraId="36B027E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334</w:t>
            </w:r>
          </w:p>
        </w:tc>
        <w:tc>
          <w:tcPr>
            <w:tcW w:w="907" w:type="dxa"/>
            <w:tcBorders>
              <w:top w:val="single" w:sz="6" w:space="0" w:color="auto"/>
              <w:bottom w:val="single" w:sz="12" w:space="0" w:color="auto"/>
            </w:tcBorders>
          </w:tcPr>
          <w:p w14:paraId="1EF81E9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338</w:t>
            </w:r>
          </w:p>
        </w:tc>
      </w:tr>
    </w:tbl>
    <w:p w14:paraId="32E4D77E" w14:textId="77777777" w:rsidR="005625C7" w:rsidRDefault="005625C7" w:rsidP="004D42F9">
      <w:pPr>
        <w:sectPr w:rsidR="005625C7" w:rsidSect="004D42F9">
          <w:type w:val="continuous"/>
          <w:pgSz w:w="11906" w:h="16838" w:code="9"/>
          <w:pgMar w:top="1134" w:right="1134" w:bottom="1134" w:left="1134" w:header="624" w:footer="567" w:gutter="0"/>
          <w:cols w:space="708"/>
          <w:docGrid w:linePitch="360"/>
        </w:sectPr>
      </w:pPr>
    </w:p>
    <w:p w14:paraId="3ED44E76" w14:textId="1D8AEECF" w:rsidR="004D42F9" w:rsidRDefault="004D42F9" w:rsidP="004D42F9">
      <w:r>
        <w:t>All infrastructure assets, buildings, plant and equipment and other non-financial physical assets (excluding assets held for sale, land and investment properties) that have finite useful lives are depreciated. Depreciation begins when the asset is available for use, that is, when it is in the location and condition necessary for it to be capable of operating in the manner intended by management. It is generally calculated on a straight-line basis, at rates that allocate the asset</w:t>
      </w:r>
      <w:r w:rsidR="00845934">
        <w:t>’</w:t>
      </w:r>
      <w:r>
        <w:t xml:space="preserve">s value, less any estimated residual value, over its estimated useful life. </w:t>
      </w:r>
    </w:p>
    <w:p w14:paraId="71D2D88F" w14:textId="77777777" w:rsidR="004D42F9" w:rsidRDefault="004D42F9" w:rsidP="004D42F9">
      <w:r>
        <w:t xml:space="preserve">The estimated useful lives, residual values and depreciation method are reviewed at the end of each annual reporting period, and adjustments are made where appropriate. </w:t>
      </w:r>
    </w:p>
    <w:p w14:paraId="40CAE208" w14:textId="42CC2C18" w:rsidR="004D42F9" w:rsidRDefault="004D42F9" w:rsidP="004D42F9">
      <w:r>
        <w:t>Right-of-use assets are generally depreciated over the shorter of the asset</w:t>
      </w:r>
      <w:r w:rsidR="00845934">
        <w:t>’</w:t>
      </w:r>
      <w:r>
        <w:t>s useful life and the lease term. Where there is ownership of the underlying leased asset, or if the cost of the right-of-use asset reflects the exercise of a purchase option, the right</w:t>
      </w:r>
      <w:r w:rsidR="00CC7EC3">
        <w:noBreakHyphen/>
      </w:r>
      <w:r>
        <w:t>of-use asset is depreciated over its useful life.</w:t>
      </w:r>
    </w:p>
    <w:p w14:paraId="424E1EF4" w14:textId="77777777" w:rsidR="004D42F9" w:rsidRDefault="004D42F9" w:rsidP="004D42F9">
      <w:r>
        <w:t>Leasehold improvements are depreciated over the shorter of the lease term and useful lives.</w:t>
      </w:r>
    </w:p>
    <w:p w14:paraId="4A064C82" w14:textId="03974D92" w:rsidR="004D42F9" w:rsidRDefault="005625C7" w:rsidP="004D42F9">
      <w:pPr>
        <w:spacing w:after="120"/>
      </w:pPr>
      <w:r>
        <w:br w:type="column"/>
      </w:r>
      <w:r w:rsidR="004D42F9">
        <w:t>Typical estimated useful lives for the different asset classes for current and prior years are included in the table below:</w:t>
      </w:r>
    </w:p>
    <w:tbl>
      <w:tblPr>
        <w:tblStyle w:val="DTFTableText"/>
        <w:tblW w:w="4462" w:type="dxa"/>
        <w:tblLayout w:type="fixed"/>
        <w:tblLook w:val="0620" w:firstRow="1" w:lastRow="0" w:firstColumn="0" w:lastColumn="0" w:noHBand="1" w:noVBand="1"/>
      </w:tblPr>
      <w:tblGrid>
        <w:gridCol w:w="3203"/>
        <w:gridCol w:w="1259"/>
      </w:tblGrid>
      <w:tr w:rsidR="004D42F9" w:rsidRPr="007E2A58" w14:paraId="21C14B42" w14:textId="77777777">
        <w:trPr>
          <w:cnfStyle w:val="100000000000" w:firstRow="1" w:lastRow="0" w:firstColumn="0" w:lastColumn="0" w:oddVBand="0" w:evenVBand="0" w:oddHBand="0" w:evenHBand="0" w:firstRowFirstColumn="0" w:firstRowLastColumn="0" w:lastRowFirstColumn="0" w:lastRowLastColumn="0"/>
        </w:trPr>
        <w:tc>
          <w:tcPr>
            <w:tcW w:w="3203" w:type="dxa"/>
          </w:tcPr>
          <w:p w14:paraId="6EB1F735" w14:textId="77777777" w:rsidR="004D42F9" w:rsidRPr="007E2A58" w:rsidRDefault="004D42F9">
            <w:pPr>
              <w:spacing w:before="20" w:after="20"/>
              <w:rPr>
                <w:sz w:val="17"/>
                <w:szCs w:val="17"/>
              </w:rPr>
            </w:pPr>
            <w:r w:rsidRPr="007E2A58">
              <w:rPr>
                <w:sz w:val="17"/>
                <w:szCs w:val="17"/>
              </w:rPr>
              <w:t xml:space="preserve">Asset </w:t>
            </w:r>
          </w:p>
        </w:tc>
        <w:tc>
          <w:tcPr>
            <w:tcW w:w="1259" w:type="dxa"/>
          </w:tcPr>
          <w:p w14:paraId="3C65A03E" w14:textId="77777777" w:rsidR="004D42F9" w:rsidRPr="007E2A58" w:rsidRDefault="004D42F9">
            <w:pPr>
              <w:spacing w:before="20" w:after="20"/>
              <w:jc w:val="right"/>
              <w:rPr>
                <w:sz w:val="17"/>
                <w:szCs w:val="17"/>
              </w:rPr>
            </w:pPr>
            <w:r w:rsidRPr="007E2A58">
              <w:rPr>
                <w:sz w:val="17"/>
                <w:szCs w:val="17"/>
              </w:rPr>
              <w:t>Useful life</w:t>
            </w:r>
          </w:p>
        </w:tc>
      </w:tr>
      <w:tr w:rsidR="004D42F9" w:rsidRPr="007E2A58" w14:paraId="60700C12" w14:textId="77777777">
        <w:tc>
          <w:tcPr>
            <w:tcW w:w="3203" w:type="dxa"/>
          </w:tcPr>
          <w:p w14:paraId="0F70E990" w14:textId="77777777" w:rsidR="004D42F9" w:rsidRPr="007E2A58" w:rsidRDefault="004D42F9">
            <w:pPr>
              <w:spacing w:before="20" w:after="20"/>
              <w:ind w:left="170" w:hanging="170"/>
              <w:rPr>
                <w:sz w:val="17"/>
                <w:szCs w:val="17"/>
              </w:rPr>
            </w:pPr>
            <w:r w:rsidRPr="007E2A58">
              <w:rPr>
                <w:sz w:val="17"/>
                <w:szCs w:val="17"/>
              </w:rPr>
              <w:t>Buildings</w:t>
            </w:r>
          </w:p>
        </w:tc>
        <w:tc>
          <w:tcPr>
            <w:tcW w:w="1259" w:type="dxa"/>
          </w:tcPr>
          <w:p w14:paraId="79BCF0D5" w14:textId="77777777" w:rsidR="004D42F9" w:rsidRPr="007E2A58" w:rsidRDefault="004D42F9">
            <w:pPr>
              <w:spacing w:before="20" w:after="20"/>
              <w:jc w:val="right"/>
              <w:rPr>
                <w:sz w:val="17"/>
                <w:szCs w:val="17"/>
              </w:rPr>
            </w:pPr>
            <w:r w:rsidRPr="007E2A58">
              <w:rPr>
                <w:sz w:val="17"/>
                <w:szCs w:val="17"/>
              </w:rPr>
              <w:t>2 to 100 years</w:t>
            </w:r>
          </w:p>
        </w:tc>
      </w:tr>
      <w:tr w:rsidR="004D42F9" w:rsidRPr="007E2A58" w14:paraId="5B045389" w14:textId="77777777">
        <w:tc>
          <w:tcPr>
            <w:tcW w:w="3203" w:type="dxa"/>
          </w:tcPr>
          <w:p w14:paraId="458BEF92" w14:textId="77777777" w:rsidR="004D42F9" w:rsidRPr="007E2A58" w:rsidRDefault="004D42F9">
            <w:pPr>
              <w:spacing w:before="20" w:after="20"/>
              <w:ind w:left="170" w:hanging="170"/>
              <w:rPr>
                <w:sz w:val="17"/>
                <w:szCs w:val="17"/>
              </w:rPr>
            </w:pPr>
            <w:r w:rsidRPr="007E2A58">
              <w:rPr>
                <w:sz w:val="17"/>
                <w:szCs w:val="17"/>
              </w:rPr>
              <w:t xml:space="preserve">Leased assets </w:t>
            </w:r>
          </w:p>
        </w:tc>
        <w:tc>
          <w:tcPr>
            <w:tcW w:w="1259" w:type="dxa"/>
          </w:tcPr>
          <w:p w14:paraId="2472967F" w14:textId="77777777" w:rsidR="004D42F9" w:rsidRPr="007E2A58" w:rsidRDefault="004D42F9">
            <w:pPr>
              <w:spacing w:before="20" w:after="20"/>
              <w:jc w:val="right"/>
              <w:rPr>
                <w:sz w:val="17"/>
                <w:szCs w:val="17"/>
              </w:rPr>
            </w:pPr>
            <w:r w:rsidRPr="007E2A58">
              <w:rPr>
                <w:sz w:val="17"/>
                <w:szCs w:val="17"/>
              </w:rPr>
              <w:t>2 to 60 years</w:t>
            </w:r>
          </w:p>
        </w:tc>
      </w:tr>
      <w:tr w:rsidR="004D42F9" w:rsidRPr="007E2A58" w14:paraId="37D069D3" w14:textId="77777777">
        <w:tc>
          <w:tcPr>
            <w:tcW w:w="3203" w:type="dxa"/>
          </w:tcPr>
          <w:p w14:paraId="5005A0F6" w14:textId="77777777" w:rsidR="004D42F9" w:rsidRPr="007E2A58" w:rsidRDefault="004D42F9">
            <w:pPr>
              <w:spacing w:before="20" w:after="20"/>
              <w:ind w:left="170" w:hanging="170"/>
              <w:rPr>
                <w:sz w:val="17"/>
                <w:szCs w:val="17"/>
              </w:rPr>
            </w:pPr>
            <w:r w:rsidRPr="007E2A58">
              <w:rPr>
                <w:sz w:val="17"/>
                <w:szCs w:val="17"/>
              </w:rPr>
              <w:t>Infrastructure:</w:t>
            </w:r>
          </w:p>
        </w:tc>
        <w:tc>
          <w:tcPr>
            <w:tcW w:w="1259" w:type="dxa"/>
          </w:tcPr>
          <w:p w14:paraId="02FCD051" w14:textId="77777777" w:rsidR="004D42F9" w:rsidRPr="007E2A58" w:rsidRDefault="004D42F9">
            <w:pPr>
              <w:spacing w:before="20" w:after="20"/>
              <w:jc w:val="right"/>
              <w:rPr>
                <w:sz w:val="17"/>
                <w:szCs w:val="17"/>
              </w:rPr>
            </w:pPr>
          </w:p>
        </w:tc>
      </w:tr>
      <w:tr w:rsidR="004D42F9" w:rsidRPr="007E2A58" w14:paraId="661B6651" w14:textId="77777777">
        <w:tc>
          <w:tcPr>
            <w:tcW w:w="3203" w:type="dxa"/>
          </w:tcPr>
          <w:p w14:paraId="5178988C" w14:textId="64FCFB8C" w:rsidR="004D42F9" w:rsidRPr="007E2A58" w:rsidRDefault="004D42F9" w:rsidP="004D42F9">
            <w:pPr>
              <w:pStyle w:val="ListBullet"/>
              <w:keepLines/>
              <w:numPr>
                <w:ilvl w:val="0"/>
                <w:numId w:val="27"/>
              </w:numPr>
              <w:spacing w:before="20" w:after="20"/>
              <w:rPr>
                <w:sz w:val="17"/>
              </w:rPr>
            </w:pPr>
            <w:r w:rsidRPr="007E2A58">
              <w:rPr>
                <w:sz w:val="17"/>
              </w:rPr>
              <w:t xml:space="preserve">Water infrastructure – </w:t>
            </w:r>
            <w:r w:rsidR="00CC7EC3" w:rsidRPr="007E2A58">
              <w:rPr>
                <w:sz w:val="17"/>
              </w:rPr>
              <w:br/>
              <w:t xml:space="preserve">Storage </w:t>
            </w:r>
            <w:r w:rsidRPr="007E2A58">
              <w:rPr>
                <w:sz w:val="17"/>
              </w:rPr>
              <w:t>facilities</w:t>
            </w:r>
          </w:p>
        </w:tc>
        <w:tc>
          <w:tcPr>
            <w:tcW w:w="1259" w:type="dxa"/>
          </w:tcPr>
          <w:p w14:paraId="1A811BFD" w14:textId="77777777" w:rsidR="004D42F9" w:rsidRPr="007E2A58" w:rsidRDefault="004D42F9">
            <w:pPr>
              <w:spacing w:before="20" w:after="20"/>
              <w:jc w:val="right"/>
              <w:rPr>
                <w:sz w:val="17"/>
                <w:szCs w:val="17"/>
              </w:rPr>
            </w:pPr>
            <w:r w:rsidRPr="007E2A58">
              <w:rPr>
                <w:sz w:val="17"/>
                <w:szCs w:val="17"/>
              </w:rPr>
              <w:t>2 to 384 years</w:t>
            </w:r>
          </w:p>
        </w:tc>
      </w:tr>
      <w:tr w:rsidR="004D42F9" w:rsidRPr="007E2A58" w14:paraId="2FD7511C" w14:textId="77777777">
        <w:tc>
          <w:tcPr>
            <w:tcW w:w="3203" w:type="dxa"/>
          </w:tcPr>
          <w:p w14:paraId="44310E1D" w14:textId="262C16B5" w:rsidR="004D42F9" w:rsidRPr="007E2A58" w:rsidRDefault="004D42F9" w:rsidP="004D42F9">
            <w:pPr>
              <w:pStyle w:val="ListBullet"/>
              <w:keepLines/>
              <w:numPr>
                <w:ilvl w:val="0"/>
                <w:numId w:val="27"/>
              </w:numPr>
              <w:spacing w:before="20" w:after="20"/>
              <w:rPr>
                <w:sz w:val="17"/>
              </w:rPr>
            </w:pPr>
            <w:r w:rsidRPr="007E2A58">
              <w:rPr>
                <w:sz w:val="17"/>
              </w:rPr>
              <w:t xml:space="preserve">Water infrastructure – </w:t>
            </w:r>
            <w:r w:rsidR="00CC7EC3" w:rsidRPr="007E2A58">
              <w:rPr>
                <w:sz w:val="17"/>
              </w:rPr>
              <w:br/>
              <w:t>Other</w:t>
            </w:r>
          </w:p>
        </w:tc>
        <w:tc>
          <w:tcPr>
            <w:tcW w:w="1259" w:type="dxa"/>
          </w:tcPr>
          <w:p w14:paraId="28F73C76" w14:textId="77777777" w:rsidR="004D42F9" w:rsidRPr="007E2A58" w:rsidRDefault="004D42F9">
            <w:pPr>
              <w:spacing w:before="20" w:after="20"/>
              <w:jc w:val="right"/>
              <w:rPr>
                <w:sz w:val="17"/>
                <w:szCs w:val="17"/>
              </w:rPr>
            </w:pPr>
            <w:r w:rsidRPr="007E2A58">
              <w:rPr>
                <w:sz w:val="17"/>
                <w:szCs w:val="17"/>
              </w:rPr>
              <w:t>1 to 100 years</w:t>
            </w:r>
          </w:p>
        </w:tc>
      </w:tr>
      <w:tr w:rsidR="004D42F9" w:rsidRPr="007E2A58" w14:paraId="2E6F417B" w14:textId="77777777">
        <w:tc>
          <w:tcPr>
            <w:tcW w:w="3203" w:type="dxa"/>
          </w:tcPr>
          <w:p w14:paraId="724F7BA1" w14:textId="77777777" w:rsidR="004D42F9" w:rsidRPr="007E2A58" w:rsidRDefault="004D42F9" w:rsidP="004D42F9">
            <w:pPr>
              <w:pStyle w:val="ListBullet"/>
              <w:keepLines/>
              <w:numPr>
                <w:ilvl w:val="0"/>
                <w:numId w:val="27"/>
              </w:numPr>
              <w:spacing w:before="20" w:after="20"/>
              <w:rPr>
                <w:sz w:val="17"/>
              </w:rPr>
            </w:pPr>
            <w:r w:rsidRPr="007E2A58">
              <w:rPr>
                <w:sz w:val="17"/>
              </w:rPr>
              <w:t>Rail infrastructure</w:t>
            </w:r>
          </w:p>
        </w:tc>
        <w:tc>
          <w:tcPr>
            <w:tcW w:w="1259" w:type="dxa"/>
          </w:tcPr>
          <w:p w14:paraId="6E46D53C" w14:textId="77777777" w:rsidR="004D42F9" w:rsidRPr="007E2A58" w:rsidRDefault="004D42F9">
            <w:pPr>
              <w:spacing w:before="20" w:after="20"/>
              <w:jc w:val="right"/>
              <w:rPr>
                <w:sz w:val="17"/>
                <w:szCs w:val="17"/>
              </w:rPr>
            </w:pPr>
            <w:r w:rsidRPr="007E2A58">
              <w:rPr>
                <w:sz w:val="17"/>
                <w:szCs w:val="17"/>
              </w:rPr>
              <w:t>7 to 100 years</w:t>
            </w:r>
          </w:p>
        </w:tc>
      </w:tr>
      <w:tr w:rsidR="004D42F9" w:rsidRPr="007E2A58" w14:paraId="68651099" w14:textId="77777777">
        <w:tc>
          <w:tcPr>
            <w:tcW w:w="3203" w:type="dxa"/>
          </w:tcPr>
          <w:p w14:paraId="7D2FC7B3" w14:textId="77777777" w:rsidR="004D42F9" w:rsidRPr="007E2A58" w:rsidRDefault="004D42F9" w:rsidP="004D42F9">
            <w:pPr>
              <w:pStyle w:val="ListBullet"/>
              <w:keepLines/>
              <w:numPr>
                <w:ilvl w:val="0"/>
                <w:numId w:val="27"/>
              </w:numPr>
              <w:spacing w:before="20" w:after="20"/>
              <w:rPr>
                <w:sz w:val="17"/>
              </w:rPr>
            </w:pPr>
            <w:r w:rsidRPr="007E2A58">
              <w:rPr>
                <w:sz w:val="17"/>
              </w:rPr>
              <w:t>Other infrastructure</w:t>
            </w:r>
          </w:p>
        </w:tc>
        <w:tc>
          <w:tcPr>
            <w:tcW w:w="1259" w:type="dxa"/>
          </w:tcPr>
          <w:p w14:paraId="2D0D0AD3" w14:textId="77777777" w:rsidR="004D42F9" w:rsidRPr="007E2A58" w:rsidRDefault="004D42F9">
            <w:pPr>
              <w:spacing w:before="20" w:after="20"/>
              <w:jc w:val="right"/>
              <w:rPr>
                <w:sz w:val="17"/>
                <w:szCs w:val="17"/>
              </w:rPr>
            </w:pPr>
            <w:r w:rsidRPr="007E2A58">
              <w:rPr>
                <w:sz w:val="17"/>
                <w:szCs w:val="17"/>
              </w:rPr>
              <w:t>3 to 60 years</w:t>
            </w:r>
          </w:p>
        </w:tc>
      </w:tr>
      <w:tr w:rsidR="004D42F9" w:rsidRPr="007E2A58" w14:paraId="6759D54B" w14:textId="77777777">
        <w:tc>
          <w:tcPr>
            <w:tcW w:w="3203" w:type="dxa"/>
          </w:tcPr>
          <w:p w14:paraId="083AB685" w14:textId="77777777" w:rsidR="004D42F9" w:rsidRPr="007E2A58" w:rsidRDefault="004D42F9">
            <w:pPr>
              <w:spacing w:before="20" w:after="20"/>
              <w:ind w:left="170" w:hanging="170"/>
              <w:rPr>
                <w:sz w:val="17"/>
                <w:szCs w:val="17"/>
              </w:rPr>
            </w:pPr>
            <w:r w:rsidRPr="007E2A58">
              <w:rPr>
                <w:sz w:val="17"/>
                <w:szCs w:val="17"/>
              </w:rPr>
              <w:t xml:space="preserve">Plant, equipment and vehicle </w:t>
            </w:r>
            <w:r w:rsidRPr="007E2A58">
              <w:rPr>
                <w:sz w:val="17"/>
                <w:szCs w:val="17"/>
              </w:rPr>
              <w:br/>
              <w:t>(including leased assets)</w:t>
            </w:r>
          </w:p>
        </w:tc>
        <w:tc>
          <w:tcPr>
            <w:tcW w:w="1259" w:type="dxa"/>
          </w:tcPr>
          <w:p w14:paraId="4F78C63C" w14:textId="77777777" w:rsidR="004D42F9" w:rsidRPr="007E2A58" w:rsidRDefault="004D42F9">
            <w:pPr>
              <w:spacing w:before="20" w:after="20"/>
              <w:jc w:val="right"/>
              <w:rPr>
                <w:sz w:val="17"/>
                <w:szCs w:val="17"/>
              </w:rPr>
            </w:pPr>
            <w:r w:rsidRPr="007E2A58">
              <w:rPr>
                <w:sz w:val="17"/>
                <w:szCs w:val="17"/>
              </w:rPr>
              <w:t>1 to 80 years</w:t>
            </w:r>
          </w:p>
        </w:tc>
      </w:tr>
      <w:tr w:rsidR="004D42F9" w:rsidRPr="007E2A58" w14:paraId="37FBEA50" w14:textId="77777777">
        <w:tc>
          <w:tcPr>
            <w:tcW w:w="3203" w:type="dxa"/>
          </w:tcPr>
          <w:p w14:paraId="7C5894DB" w14:textId="77777777" w:rsidR="004D42F9" w:rsidRPr="007E2A58" w:rsidRDefault="004D42F9">
            <w:pPr>
              <w:spacing w:before="20" w:after="20"/>
              <w:ind w:left="170" w:hanging="170"/>
              <w:rPr>
                <w:sz w:val="17"/>
                <w:szCs w:val="17"/>
              </w:rPr>
            </w:pPr>
            <w:r w:rsidRPr="007E2A58">
              <w:rPr>
                <w:sz w:val="17"/>
                <w:szCs w:val="17"/>
              </w:rPr>
              <w:t xml:space="preserve">Road and road infrastructure </w:t>
            </w:r>
            <w:r w:rsidRPr="007E2A58">
              <w:rPr>
                <w:sz w:val="17"/>
                <w:szCs w:val="17"/>
              </w:rPr>
              <w:br/>
              <w:t>(including bridges)</w:t>
            </w:r>
          </w:p>
        </w:tc>
        <w:tc>
          <w:tcPr>
            <w:tcW w:w="1259" w:type="dxa"/>
          </w:tcPr>
          <w:p w14:paraId="6D538400" w14:textId="77777777" w:rsidR="004D42F9" w:rsidRPr="007E2A58" w:rsidRDefault="004D42F9">
            <w:pPr>
              <w:spacing w:before="20" w:after="20"/>
              <w:jc w:val="right"/>
              <w:rPr>
                <w:sz w:val="17"/>
                <w:szCs w:val="17"/>
              </w:rPr>
            </w:pPr>
            <w:r w:rsidRPr="007E2A58">
              <w:rPr>
                <w:sz w:val="17"/>
                <w:szCs w:val="17"/>
              </w:rPr>
              <w:t>60 to 90 years</w:t>
            </w:r>
          </w:p>
        </w:tc>
      </w:tr>
      <w:tr w:rsidR="004D42F9" w:rsidRPr="007E2A58" w14:paraId="36AAAFBE" w14:textId="77777777">
        <w:tc>
          <w:tcPr>
            <w:tcW w:w="3203" w:type="dxa"/>
          </w:tcPr>
          <w:p w14:paraId="5658D1B5" w14:textId="77777777" w:rsidR="004D42F9" w:rsidRPr="007E2A58" w:rsidRDefault="004D42F9">
            <w:pPr>
              <w:spacing w:before="20" w:after="20"/>
              <w:ind w:left="170" w:hanging="170"/>
              <w:rPr>
                <w:sz w:val="17"/>
                <w:szCs w:val="17"/>
              </w:rPr>
            </w:pPr>
            <w:r w:rsidRPr="007E2A58">
              <w:rPr>
                <w:sz w:val="17"/>
                <w:szCs w:val="17"/>
              </w:rPr>
              <w:t>Cultural assets (with finite useful lives)</w:t>
            </w:r>
          </w:p>
        </w:tc>
        <w:tc>
          <w:tcPr>
            <w:tcW w:w="1259" w:type="dxa"/>
          </w:tcPr>
          <w:p w14:paraId="2871F402" w14:textId="77777777" w:rsidR="004D42F9" w:rsidRPr="007E2A58" w:rsidRDefault="004D42F9">
            <w:pPr>
              <w:spacing w:before="20" w:after="20"/>
              <w:jc w:val="right"/>
              <w:rPr>
                <w:sz w:val="17"/>
                <w:szCs w:val="17"/>
              </w:rPr>
            </w:pPr>
            <w:r w:rsidRPr="007E2A58">
              <w:rPr>
                <w:sz w:val="17"/>
                <w:szCs w:val="17"/>
              </w:rPr>
              <w:t>20 to 120 years</w:t>
            </w:r>
          </w:p>
        </w:tc>
      </w:tr>
      <w:tr w:rsidR="004D42F9" w:rsidRPr="007E2A58" w14:paraId="7A8F4FD7" w14:textId="77777777">
        <w:tc>
          <w:tcPr>
            <w:tcW w:w="3203" w:type="dxa"/>
          </w:tcPr>
          <w:p w14:paraId="4D24DCA5" w14:textId="77777777" w:rsidR="004D42F9" w:rsidRPr="007E2A58" w:rsidRDefault="004D42F9">
            <w:pPr>
              <w:spacing w:before="20" w:after="20"/>
              <w:ind w:left="170" w:hanging="170"/>
              <w:rPr>
                <w:sz w:val="17"/>
                <w:szCs w:val="17"/>
              </w:rPr>
            </w:pPr>
            <w:r w:rsidRPr="007E2A58">
              <w:rPr>
                <w:sz w:val="17"/>
                <w:szCs w:val="17"/>
              </w:rPr>
              <w:t>Intangible produced assets</w:t>
            </w:r>
          </w:p>
        </w:tc>
        <w:tc>
          <w:tcPr>
            <w:tcW w:w="1259" w:type="dxa"/>
          </w:tcPr>
          <w:p w14:paraId="1A3190DE" w14:textId="77777777" w:rsidR="004D42F9" w:rsidRPr="007E2A58" w:rsidRDefault="004D42F9">
            <w:pPr>
              <w:spacing w:before="20" w:after="20"/>
              <w:jc w:val="right"/>
              <w:rPr>
                <w:sz w:val="17"/>
                <w:szCs w:val="17"/>
              </w:rPr>
            </w:pPr>
            <w:r w:rsidRPr="007E2A58">
              <w:rPr>
                <w:sz w:val="17"/>
                <w:szCs w:val="17"/>
              </w:rPr>
              <w:t>5 to 10 years</w:t>
            </w:r>
          </w:p>
        </w:tc>
      </w:tr>
      <w:tr w:rsidR="004D42F9" w:rsidRPr="007E2A58" w14:paraId="3940EA91" w14:textId="77777777">
        <w:tc>
          <w:tcPr>
            <w:tcW w:w="3203" w:type="dxa"/>
          </w:tcPr>
          <w:p w14:paraId="66F6D7F9" w14:textId="77777777" w:rsidR="004D42F9" w:rsidRPr="007E2A58" w:rsidRDefault="004D42F9">
            <w:pPr>
              <w:spacing w:before="20" w:after="20"/>
              <w:ind w:left="170" w:hanging="170"/>
              <w:rPr>
                <w:sz w:val="17"/>
                <w:szCs w:val="17"/>
              </w:rPr>
            </w:pPr>
            <w:r w:rsidRPr="007E2A58">
              <w:rPr>
                <w:sz w:val="17"/>
                <w:szCs w:val="17"/>
              </w:rPr>
              <w:t>Service concession assets:</w:t>
            </w:r>
          </w:p>
          <w:p w14:paraId="26C868D0" w14:textId="77777777" w:rsidR="004D42F9" w:rsidRPr="007E2A58" w:rsidRDefault="004D42F9" w:rsidP="004D42F9">
            <w:pPr>
              <w:pStyle w:val="ListBullet"/>
              <w:keepLines/>
              <w:numPr>
                <w:ilvl w:val="0"/>
                <w:numId w:val="27"/>
              </w:numPr>
              <w:spacing w:before="20" w:after="20"/>
              <w:rPr>
                <w:sz w:val="17"/>
              </w:rPr>
            </w:pPr>
            <w:r w:rsidRPr="007E2A58">
              <w:rPr>
                <w:sz w:val="17"/>
              </w:rPr>
              <w:t>roads and bridges</w:t>
            </w:r>
          </w:p>
          <w:p w14:paraId="7169C8FA" w14:textId="77777777" w:rsidR="004D42F9" w:rsidRPr="007E2A58" w:rsidRDefault="004D42F9" w:rsidP="004D42F9">
            <w:pPr>
              <w:pStyle w:val="ListBullet"/>
              <w:keepLines/>
              <w:numPr>
                <w:ilvl w:val="0"/>
                <w:numId w:val="27"/>
              </w:numPr>
              <w:spacing w:before="20" w:after="20"/>
              <w:rPr>
                <w:sz w:val="17"/>
              </w:rPr>
            </w:pPr>
            <w:r w:rsidRPr="007E2A58">
              <w:rPr>
                <w:sz w:val="17"/>
              </w:rPr>
              <w:t>other infrastructure</w:t>
            </w:r>
          </w:p>
          <w:p w14:paraId="025021B9" w14:textId="77777777" w:rsidR="004D42F9" w:rsidRPr="007E2A58" w:rsidRDefault="004D42F9" w:rsidP="004D42F9">
            <w:pPr>
              <w:pStyle w:val="ListBullet"/>
              <w:keepLines/>
              <w:numPr>
                <w:ilvl w:val="0"/>
                <w:numId w:val="27"/>
              </w:numPr>
              <w:spacing w:before="20" w:after="20"/>
              <w:rPr>
                <w:sz w:val="17"/>
              </w:rPr>
            </w:pPr>
            <w:r w:rsidRPr="007E2A58">
              <w:rPr>
                <w:sz w:val="17"/>
              </w:rPr>
              <w:t>buildings</w:t>
            </w:r>
          </w:p>
          <w:p w14:paraId="572A7645" w14:textId="77777777" w:rsidR="004D42F9" w:rsidRPr="007E2A58" w:rsidRDefault="004D42F9" w:rsidP="004D42F9">
            <w:pPr>
              <w:pStyle w:val="ListBullet"/>
              <w:keepLines/>
              <w:numPr>
                <w:ilvl w:val="0"/>
                <w:numId w:val="27"/>
              </w:numPr>
              <w:spacing w:before="20" w:after="20"/>
              <w:rPr>
                <w:sz w:val="17"/>
              </w:rPr>
            </w:pPr>
            <w:r w:rsidRPr="007E2A58">
              <w:rPr>
                <w:sz w:val="17"/>
              </w:rPr>
              <w:t>plant, equipment and vehicles</w:t>
            </w:r>
          </w:p>
        </w:tc>
        <w:tc>
          <w:tcPr>
            <w:tcW w:w="1259" w:type="dxa"/>
          </w:tcPr>
          <w:p w14:paraId="13081A86" w14:textId="77777777" w:rsidR="004D42F9" w:rsidRPr="007E2A58" w:rsidRDefault="004D42F9">
            <w:pPr>
              <w:spacing w:before="20" w:after="20"/>
              <w:jc w:val="right"/>
              <w:rPr>
                <w:sz w:val="17"/>
                <w:szCs w:val="17"/>
              </w:rPr>
            </w:pPr>
          </w:p>
          <w:p w14:paraId="38EE4EE9" w14:textId="77777777" w:rsidR="004D42F9" w:rsidRPr="007E2A58" w:rsidRDefault="004D42F9">
            <w:pPr>
              <w:spacing w:before="20" w:after="20"/>
              <w:jc w:val="right"/>
              <w:rPr>
                <w:sz w:val="17"/>
                <w:szCs w:val="17"/>
              </w:rPr>
            </w:pPr>
            <w:r w:rsidRPr="007E2A58">
              <w:rPr>
                <w:sz w:val="17"/>
                <w:szCs w:val="17"/>
              </w:rPr>
              <w:t>50 to 100 years</w:t>
            </w:r>
          </w:p>
          <w:p w14:paraId="29561E62" w14:textId="77777777" w:rsidR="004D42F9" w:rsidRPr="007E2A58" w:rsidRDefault="004D42F9">
            <w:pPr>
              <w:spacing w:before="20" w:after="20"/>
              <w:jc w:val="right"/>
              <w:rPr>
                <w:sz w:val="17"/>
                <w:szCs w:val="17"/>
              </w:rPr>
            </w:pPr>
            <w:r w:rsidRPr="007E2A58">
              <w:rPr>
                <w:sz w:val="17"/>
                <w:szCs w:val="17"/>
              </w:rPr>
              <w:t>5 to 100 years</w:t>
            </w:r>
          </w:p>
          <w:p w14:paraId="67D851FE" w14:textId="77777777" w:rsidR="004D42F9" w:rsidRPr="007E2A58" w:rsidRDefault="004D42F9">
            <w:pPr>
              <w:spacing w:before="20" w:after="20"/>
              <w:jc w:val="right"/>
              <w:rPr>
                <w:sz w:val="17"/>
                <w:szCs w:val="17"/>
              </w:rPr>
            </w:pPr>
            <w:r w:rsidRPr="007E2A58">
              <w:rPr>
                <w:sz w:val="17"/>
                <w:szCs w:val="17"/>
              </w:rPr>
              <w:t>2 to 85 years</w:t>
            </w:r>
          </w:p>
          <w:p w14:paraId="70CE668C" w14:textId="77777777" w:rsidR="004D42F9" w:rsidRPr="007E2A58" w:rsidRDefault="004D42F9">
            <w:pPr>
              <w:spacing w:before="20" w:after="20"/>
              <w:jc w:val="right"/>
              <w:rPr>
                <w:sz w:val="17"/>
                <w:szCs w:val="17"/>
              </w:rPr>
            </w:pPr>
            <w:r w:rsidRPr="007E2A58">
              <w:rPr>
                <w:sz w:val="17"/>
                <w:szCs w:val="17"/>
              </w:rPr>
              <w:t>2 to 20 years</w:t>
            </w:r>
          </w:p>
        </w:tc>
      </w:tr>
    </w:tbl>
    <w:p w14:paraId="0A739120" w14:textId="77777777" w:rsidR="004D42F9" w:rsidRDefault="004D42F9" w:rsidP="004D42F9">
      <w:pPr>
        <w:pStyle w:val="Heading3"/>
        <w:pageBreakBefore/>
      </w:pPr>
      <w:r>
        <w:lastRenderedPageBreak/>
        <w:t>Indefinite life assets</w:t>
      </w:r>
    </w:p>
    <w:p w14:paraId="0E9320F1" w14:textId="77777777" w:rsidR="004D42F9" w:rsidRDefault="004D42F9" w:rsidP="004D42F9">
      <w:r>
        <w:t>Land, earthworks, land under declared roads, public records,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 Intangible assets, including those recognised under SCAs, which have been determined to have an indefinite useful life are tested for impairment on an annual basis.</w:t>
      </w:r>
    </w:p>
    <w:p w14:paraId="3D636663" w14:textId="77777777" w:rsidR="004D42F9" w:rsidRPr="005C7605" w:rsidRDefault="004D42F9" w:rsidP="004D42F9">
      <w:pPr>
        <w:pStyle w:val="Heading3"/>
      </w:pPr>
      <w:r w:rsidRPr="005C7605">
        <w:t>Intangible assets</w:t>
      </w:r>
    </w:p>
    <w:p w14:paraId="295BBD95" w14:textId="7BC2B99F" w:rsidR="004D42F9" w:rsidRDefault="004D42F9" w:rsidP="004D42F9">
      <w:pPr>
        <w:ind w:right="-71"/>
      </w:pPr>
      <w:r>
        <w:t>Intangible produced assets with finite useful lives are depreciated as an expense from transactions on a systematic (typically straight-line) basis over the asset</w:t>
      </w:r>
      <w:r w:rsidR="00845934">
        <w:t>’</w:t>
      </w:r>
      <w:r>
        <w:t xml:space="preserve">s useful life. Depreciation begins when the asset is available for use, that is, when it is in the location and condition necessary for it to be capable of operating in the manner intended by management. </w:t>
      </w:r>
    </w:p>
    <w:p w14:paraId="3F84B9E5" w14:textId="77777777" w:rsidR="004D42F9" w:rsidRDefault="004D42F9" w:rsidP="004D42F9">
      <w:r>
        <w:t xml:space="preserve">All intangible assets are tested for impairment whenever there is an indication that the asset may be impaired. </w:t>
      </w:r>
    </w:p>
    <w:p w14:paraId="61DC6BF1" w14:textId="77777777" w:rsidR="004D42F9" w:rsidRDefault="004D42F9" w:rsidP="004D42F9">
      <w:pPr>
        <w:ind w:right="-213"/>
      </w:pPr>
      <w:r>
        <w:t>The consumption of intangible non-produced assets with finite useful lives is not classified as a transaction, but as amortisation and included in the net result as an other economic flow.</w:t>
      </w:r>
    </w:p>
    <w:p w14:paraId="6025F003" w14:textId="4060F1D4" w:rsidR="005625C7" w:rsidRDefault="004D42F9" w:rsidP="004D42F9">
      <w:r>
        <w:t>See Note 4.2 for further information on intangible assets.</w:t>
      </w:r>
    </w:p>
    <w:p w14:paraId="1E766DD9" w14:textId="77777777" w:rsidR="004D42F9" w:rsidRDefault="005625C7" w:rsidP="004D42F9">
      <w:r>
        <w:br w:type="column"/>
      </w:r>
    </w:p>
    <w:p w14:paraId="4E246E41" w14:textId="77777777" w:rsidR="005625C7" w:rsidRDefault="005625C7" w:rsidP="004D42F9"/>
    <w:p w14:paraId="102BBDD0" w14:textId="77777777" w:rsidR="005625C7" w:rsidRDefault="005625C7" w:rsidP="004D42F9">
      <w:pPr>
        <w:sectPr w:rsidR="005625C7" w:rsidSect="005625C7">
          <w:type w:val="continuous"/>
          <w:pgSz w:w="11906" w:h="16838" w:code="9"/>
          <w:pgMar w:top="1134" w:right="1134" w:bottom="1134" w:left="1134" w:header="624" w:footer="567" w:gutter="0"/>
          <w:cols w:num="2" w:space="708"/>
          <w:docGrid w:linePitch="360"/>
        </w:sectPr>
      </w:pPr>
    </w:p>
    <w:p w14:paraId="2A759FC6" w14:textId="77777777" w:rsidR="004D42F9" w:rsidRDefault="004D42F9" w:rsidP="004D42F9"/>
    <w:p w14:paraId="7D7F2BFE" w14:textId="77777777" w:rsidR="004D42F9" w:rsidRDefault="004D42F9" w:rsidP="004D42F9">
      <w:pPr>
        <w:keepLines w:val="0"/>
        <w:rPr>
          <w:rFonts w:asciiTheme="majorHAnsi" w:hAnsiTheme="majorHAnsi" w:cstheme="minorBidi"/>
          <w:b/>
          <w:iCs/>
          <w:sz w:val="20"/>
          <w:szCs w:val="18"/>
        </w:rPr>
      </w:pPr>
      <w:r>
        <w:br w:type="page"/>
      </w:r>
    </w:p>
    <w:p w14:paraId="12C7B0E7" w14:textId="77777777" w:rsidR="004D42F9" w:rsidRDefault="004D42F9" w:rsidP="004D42F9">
      <w:pPr>
        <w:pStyle w:val="TableHeading"/>
      </w:pPr>
      <w:r>
        <w:lastRenderedPageBreak/>
        <w:t xml:space="preserve">Reconciliation of movements in carrying values during the financial period </w:t>
      </w:r>
      <w:r w:rsidRPr="00B75012">
        <w:rPr>
          <w:vertAlign w:val="superscript"/>
        </w:rPr>
        <w:t>(a)</w:t>
      </w:r>
      <w:r>
        <w:rPr>
          <w:vertAlign w:val="superscript"/>
        </w:rPr>
        <w:t>(b)</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Recon_NFA_On-costs.xlsx|Table:Reconciliation_of_movements_in_carrying_values_SoV_CY"/>
      </w:tblPr>
      <w:tblGrid>
        <w:gridCol w:w="2694"/>
        <w:gridCol w:w="850"/>
        <w:gridCol w:w="1701"/>
        <w:gridCol w:w="1418"/>
        <w:gridCol w:w="992"/>
        <w:gridCol w:w="1076"/>
        <w:gridCol w:w="907"/>
      </w:tblGrid>
      <w:tr w:rsidR="002F56B2" w14:paraId="6CBE4F8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11DA4AB0" w14:textId="77777777" w:rsidR="004D42F9" w:rsidRDefault="004D42F9">
            <w:pPr>
              <w:keepNext/>
            </w:pPr>
            <w:r>
              <w:t>State of Victoria</w:t>
            </w:r>
          </w:p>
        </w:tc>
        <w:tc>
          <w:tcPr>
            <w:tcW w:w="850" w:type="dxa"/>
          </w:tcPr>
          <w:p w14:paraId="7E70015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701" w:type="dxa"/>
          </w:tcPr>
          <w:p w14:paraId="29EFC09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6DBD43C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10DE86C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43E57DC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5617DE7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2F56B2" w14:paraId="1FED07B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BFDAEC8" w14:textId="77777777" w:rsidR="004D42F9" w:rsidRDefault="004D42F9">
            <w:pPr>
              <w:keepNext/>
            </w:pPr>
            <w:r>
              <w:t>2025</w:t>
            </w:r>
          </w:p>
        </w:tc>
        <w:tc>
          <w:tcPr>
            <w:tcW w:w="850" w:type="dxa"/>
          </w:tcPr>
          <w:p w14:paraId="2E27061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Land and buildings</w:t>
            </w:r>
          </w:p>
        </w:tc>
        <w:tc>
          <w:tcPr>
            <w:tcW w:w="1701" w:type="dxa"/>
          </w:tcPr>
          <w:p w14:paraId="2A21C5F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1418" w:type="dxa"/>
          </w:tcPr>
          <w:p w14:paraId="6CB3BF1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992" w:type="dxa"/>
          </w:tcPr>
          <w:p w14:paraId="46B6979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Cultural assets</w:t>
            </w:r>
          </w:p>
        </w:tc>
        <w:tc>
          <w:tcPr>
            <w:tcW w:w="1076" w:type="dxa"/>
          </w:tcPr>
          <w:p w14:paraId="65E26B9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Construction in progress</w:t>
            </w:r>
          </w:p>
        </w:tc>
        <w:tc>
          <w:tcPr>
            <w:tcW w:w="907" w:type="dxa"/>
          </w:tcPr>
          <w:p w14:paraId="3A45B99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Total</w:t>
            </w:r>
          </w:p>
        </w:tc>
      </w:tr>
      <w:tr w:rsidR="004D42F9" w14:paraId="575E3CD7" w14:textId="77777777">
        <w:tc>
          <w:tcPr>
            <w:cnfStyle w:val="001000000000" w:firstRow="0" w:lastRow="0" w:firstColumn="1" w:lastColumn="0" w:oddVBand="0" w:evenVBand="0" w:oddHBand="0" w:evenHBand="0" w:firstRowFirstColumn="0" w:firstRowLastColumn="0" w:lastRowFirstColumn="0" w:lastRowLastColumn="0"/>
            <w:tcW w:w="2694" w:type="dxa"/>
          </w:tcPr>
          <w:p w14:paraId="634D7348" w14:textId="77777777" w:rsidR="004D42F9" w:rsidRDefault="004D42F9">
            <w:r>
              <w:rPr>
                <w:b/>
              </w:rPr>
              <w:t>Opening balance</w:t>
            </w:r>
          </w:p>
        </w:tc>
        <w:tc>
          <w:tcPr>
            <w:tcW w:w="850" w:type="dxa"/>
          </w:tcPr>
          <w:p w14:paraId="2D4C8AC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229 401</w:t>
            </w:r>
          </w:p>
        </w:tc>
        <w:tc>
          <w:tcPr>
            <w:tcW w:w="1701" w:type="dxa"/>
          </w:tcPr>
          <w:p w14:paraId="6C74537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82 898</w:t>
            </w:r>
          </w:p>
        </w:tc>
        <w:tc>
          <w:tcPr>
            <w:tcW w:w="1418" w:type="dxa"/>
          </w:tcPr>
          <w:p w14:paraId="45B333B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52 147</w:t>
            </w:r>
          </w:p>
        </w:tc>
        <w:tc>
          <w:tcPr>
            <w:tcW w:w="992" w:type="dxa"/>
          </w:tcPr>
          <w:p w14:paraId="06D460A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6 914</w:t>
            </w:r>
          </w:p>
        </w:tc>
        <w:tc>
          <w:tcPr>
            <w:tcW w:w="1076" w:type="dxa"/>
          </w:tcPr>
          <w:p w14:paraId="1C8BD63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65 318</w:t>
            </w:r>
          </w:p>
        </w:tc>
        <w:tc>
          <w:tcPr>
            <w:tcW w:w="907" w:type="dxa"/>
          </w:tcPr>
          <w:p w14:paraId="3BA5814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436 677</w:t>
            </w:r>
          </w:p>
        </w:tc>
      </w:tr>
      <w:tr w:rsidR="004D42F9" w14:paraId="1787EC40" w14:textId="77777777">
        <w:tc>
          <w:tcPr>
            <w:cnfStyle w:val="001000000000" w:firstRow="0" w:lastRow="0" w:firstColumn="1" w:lastColumn="0" w:oddVBand="0" w:evenVBand="0" w:oddHBand="0" w:evenHBand="0" w:firstRowFirstColumn="0" w:firstRowLastColumn="0" w:lastRowFirstColumn="0" w:lastRowLastColumn="0"/>
            <w:tcW w:w="2694" w:type="dxa"/>
          </w:tcPr>
          <w:p w14:paraId="5550E416" w14:textId="77777777" w:rsidR="004D42F9" w:rsidRDefault="004D42F9">
            <w:r>
              <w:t>Acquisitions of self</w:t>
            </w:r>
            <w:r>
              <w:noBreakHyphen/>
              <w:t xml:space="preserve">owned assets </w:t>
            </w:r>
            <w:r>
              <w:rPr>
                <w:vertAlign w:val="superscript"/>
              </w:rPr>
              <w:t>(c)</w:t>
            </w:r>
          </w:p>
        </w:tc>
        <w:tc>
          <w:tcPr>
            <w:tcW w:w="850" w:type="dxa"/>
          </w:tcPr>
          <w:p w14:paraId="1B4B13FC"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1 128</w:t>
            </w:r>
          </w:p>
        </w:tc>
        <w:tc>
          <w:tcPr>
            <w:tcW w:w="1701" w:type="dxa"/>
          </w:tcPr>
          <w:p w14:paraId="2A4A64EB" w14:textId="77777777" w:rsidR="004D42F9" w:rsidRDefault="004D42F9">
            <w:pPr>
              <w:cnfStyle w:val="000000000000" w:firstRow="0" w:lastRow="0" w:firstColumn="0" w:lastColumn="0" w:oddVBand="0" w:evenVBand="0" w:oddHBand="0" w:evenHBand="0" w:firstRowFirstColumn="0" w:firstRowLastColumn="0" w:lastRowFirstColumn="0" w:lastRowLastColumn="0"/>
            </w:pPr>
            <w:r>
              <w:t>1 390</w:t>
            </w:r>
          </w:p>
        </w:tc>
        <w:tc>
          <w:tcPr>
            <w:tcW w:w="1418" w:type="dxa"/>
          </w:tcPr>
          <w:p w14:paraId="030E51F5"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576ADB86" w14:textId="77777777" w:rsidR="004D42F9" w:rsidRDefault="004D42F9">
            <w:pPr>
              <w:cnfStyle w:val="000000000000" w:firstRow="0" w:lastRow="0" w:firstColumn="0" w:lastColumn="0" w:oddVBand="0" w:evenVBand="0" w:oddHBand="0" w:evenHBand="0" w:firstRowFirstColumn="0" w:firstRowLastColumn="0" w:lastRowFirstColumn="0" w:lastRowLastColumn="0"/>
            </w:pPr>
            <w:r>
              <w:t>66</w:t>
            </w:r>
          </w:p>
        </w:tc>
        <w:tc>
          <w:tcPr>
            <w:tcW w:w="1076" w:type="dxa"/>
          </w:tcPr>
          <w:p w14:paraId="39749460" w14:textId="77777777" w:rsidR="004D42F9" w:rsidRDefault="004D42F9">
            <w:pPr>
              <w:cnfStyle w:val="000000000000" w:firstRow="0" w:lastRow="0" w:firstColumn="0" w:lastColumn="0" w:oddVBand="0" w:evenVBand="0" w:oddHBand="0" w:evenHBand="0" w:firstRowFirstColumn="0" w:firstRowLastColumn="0" w:lastRowFirstColumn="0" w:lastRowLastColumn="0"/>
            </w:pPr>
            <w:r>
              <w:t>17 491</w:t>
            </w:r>
          </w:p>
        </w:tc>
        <w:tc>
          <w:tcPr>
            <w:tcW w:w="907" w:type="dxa"/>
          </w:tcPr>
          <w:p w14:paraId="486CF88C" w14:textId="77777777" w:rsidR="004D42F9" w:rsidRDefault="004D42F9">
            <w:pPr>
              <w:cnfStyle w:val="000000000000" w:firstRow="0" w:lastRow="0" w:firstColumn="0" w:lastColumn="0" w:oddVBand="0" w:evenVBand="0" w:oddHBand="0" w:evenHBand="0" w:firstRowFirstColumn="0" w:firstRowLastColumn="0" w:lastRowFirstColumn="0" w:lastRowLastColumn="0"/>
            </w:pPr>
            <w:r>
              <w:t>20 079</w:t>
            </w:r>
          </w:p>
        </w:tc>
      </w:tr>
      <w:tr w:rsidR="004D42F9" w14:paraId="4F4B4636" w14:textId="77777777">
        <w:tc>
          <w:tcPr>
            <w:cnfStyle w:val="001000000000" w:firstRow="0" w:lastRow="0" w:firstColumn="1" w:lastColumn="0" w:oddVBand="0" w:evenVBand="0" w:oddHBand="0" w:evenHBand="0" w:firstRowFirstColumn="0" w:firstRowLastColumn="0" w:lastRowFirstColumn="0" w:lastRowLastColumn="0"/>
            <w:tcW w:w="2694" w:type="dxa"/>
          </w:tcPr>
          <w:p w14:paraId="547F2179" w14:textId="77777777" w:rsidR="004D42F9" w:rsidRDefault="004D42F9">
            <w:r>
              <w:t>Additions of right</w:t>
            </w:r>
            <w:r>
              <w:noBreakHyphen/>
              <w:t>of</w:t>
            </w:r>
            <w:r>
              <w:noBreakHyphen/>
              <w:t>use assets</w:t>
            </w:r>
          </w:p>
        </w:tc>
        <w:tc>
          <w:tcPr>
            <w:tcW w:w="850" w:type="dxa"/>
          </w:tcPr>
          <w:p w14:paraId="2C341113" w14:textId="77777777" w:rsidR="004D42F9" w:rsidRDefault="004D42F9">
            <w:pPr>
              <w:cnfStyle w:val="000000000000" w:firstRow="0" w:lastRow="0" w:firstColumn="0" w:lastColumn="0" w:oddVBand="0" w:evenVBand="0" w:oddHBand="0" w:evenHBand="0" w:firstRowFirstColumn="0" w:firstRowLastColumn="0" w:lastRowFirstColumn="0" w:lastRowLastColumn="0"/>
            </w:pPr>
            <w:r>
              <w:t>244</w:t>
            </w:r>
          </w:p>
        </w:tc>
        <w:tc>
          <w:tcPr>
            <w:tcW w:w="1701" w:type="dxa"/>
          </w:tcPr>
          <w:p w14:paraId="647FD1E1" w14:textId="77777777" w:rsidR="004D42F9" w:rsidRDefault="004D42F9">
            <w:pPr>
              <w:cnfStyle w:val="000000000000" w:firstRow="0" w:lastRow="0" w:firstColumn="0" w:lastColumn="0" w:oddVBand="0" w:evenVBand="0" w:oddHBand="0" w:evenHBand="0" w:firstRowFirstColumn="0" w:firstRowLastColumn="0" w:lastRowFirstColumn="0" w:lastRowLastColumn="0"/>
            </w:pPr>
            <w:r>
              <w:t>247</w:t>
            </w:r>
          </w:p>
        </w:tc>
        <w:tc>
          <w:tcPr>
            <w:tcW w:w="1418" w:type="dxa"/>
          </w:tcPr>
          <w:p w14:paraId="16A385A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A49F94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2ED14CD"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C43C78C" w14:textId="77777777" w:rsidR="004D42F9" w:rsidRDefault="004D42F9">
            <w:pPr>
              <w:cnfStyle w:val="000000000000" w:firstRow="0" w:lastRow="0" w:firstColumn="0" w:lastColumn="0" w:oddVBand="0" w:evenVBand="0" w:oddHBand="0" w:evenHBand="0" w:firstRowFirstColumn="0" w:firstRowLastColumn="0" w:lastRowFirstColumn="0" w:lastRowLastColumn="0"/>
            </w:pPr>
            <w:r>
              <w:t>492</w:t>
            </w:r>
          </w:p>
        </w:tc>
      </w:tr>
      <w:tr w:rsidR="004D42F9" w14:paraId="18909939" w14:textId="77777777">
        <w:tc>
          <w:tcPr>
            <w:cnfStyle w:val="001000000000" w:firstRow="0" w:lastRow="0" w:firstColumn="1" w:lastColumn="0" w:oddVBand="0" w:evenVBand="0" w:oddHBand="0" w:evenHBand="0" w:firstRowFirstColumn="0" w:firstRowLastColumn="0" w:lastRowFirstColumn="0" w:lastRowLastColumn="0"/>
            <w:tcW w:w="2694" w:type="dxa"/>
          </w:tcPr>
          <w:p w14:paraId="15D1654E" w14:textId="77777777" w:rsidR="004D42F9" w:rsidRDefault="004D42F9">
            <w:r>
              <w:t>Additions of service concession arrangement assets</w:t>
            </w:r>
          </w:p>
        </w:tc>
        <w:tc>
          <w:tcPr>
            <w:tcW w:w="850" w:type="dxa"/>
          </w:tcPr>
          <w:p w14:paraId="1D28131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5712436" w14:textId="77777777" w:rsidR="004D42F9" w:rsidRDefault="004D42F9">
            <w:pPr>
              <w:cnfStyle w:val="000000000000" w:firstRow="0" w:lastRow="0" w:firstColumn="0" w:lastColumn="0" w:oddVBand="0" w:evenVBand="0" w:oddHBand="0" w:evenHBand="0" w:firstRowFirstColumn="0" w:firstRowLastColumn="0" w:lastRowFirstColumn="0" w:lastRowLastColumn="0"/>
            </w:pPr>
            <w:r>
              <w:t>72</w:t>
            </w:r>
          </w:p>
        </w:tc>
        <w:tc>
          <w:tcPr>
            <w:tcW w:w="1418" w:type="dxa"/>
          </w:tcPr>
          <w:p w14:paraId="0086F0B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3CCEF0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77F9A306" w14:textId="77777777" w:rsidR="004D42F9" w:rsidRDefault="004D42F9">
            <w:pPr>
              <w:cnfStyle w:val="000000000000" w:firstRow="0" w:lastRow="0" w:firstColumn="0" w:lastColumn="0" w:oddVBand="0" w:evenVBand="0" w:oddHBand="0" w:evenHBand="0" w:firstRowFirstColumn="0" w:firstRowLastColumn="0" w:lastRowFirstColumn="0" w:lastRowLastColumn="0"/>
            </w:pPr>
            <w:r>
              <w:t>5 722</w:t>
            </w:r>
          </w:p>
        </w:tc>
        <w:tc>
          <w:tcPr>
            <w:tcW w:w="907" w:type="dxa"/>
          </w:tcPr>
          <w:p w14:paraId="3EF0022F" w14:textId="77777777" w:rsidR="004D42F9" w:rsidRDefault="004D42F9">
            <w:pPr>
              <w:cnfStyle w:val="000000000000" w:firstRow="0" w:lastRow="0" w:firstColumn="0" w:lastColumn="0" w:oddVBand="0" w:evenVBand="0" w:oddHBand="0" w:evenHBand="0" w:firstRowFirstColumn="0" w:firstRowLastColumn="0" w:lastRowFirstColumn="0" w:lastRowLastColumn="0"/>
            </w:pPr>
            <w:r>
              <w:t>5 794</w:t>
            </w:r>
          </w:p>
        </w:tc>
      </w:tr>
      <w:tr w:rsidR="004D42F9" w14:paraId="09402FDD" w14:textId="77777777">
        <w:tc>
          <w:tcPr>
            <w:cnfStyle w:val="001000000000" w:firstRow="0" w:lastRow="0" w:firstColumn="1" w:lastColumn="0" w:oddVBand="0" w:evenVBand="0" w:oddHBand="0" w:evenHBand="0" w:firstRowFirstColumn="0" w:firstRowLastColumn="0" w:lastRowFirstColumn="0" w:lastRowLastColumn="0"/>
            <w:tcW w:w="2694" w:type="dxa"/>
          </w:tcPr>
          <w:p w14:paraId="7E52D281" w14:textId="77777777" w:rsidR="004D42F9" w:rsidRDefault="004D42F9">
            <w:r>
              <w:t>Transfer to completed assets</w:t>
            </w:r>
          </w:p>
        </w:tc>
        <w:tc>
          <w:tcPr>
            <w:tcW w:w="850" w:type="dxa"/>
          </w:tcPr>
          <w:p w14:paraId="4A62A4E9" w14:textId="77777777" w:rsidR="004D42F9" w:rsidRDefault="004D42F9">
            <w:pPr>
              <w:cnfStyle w:val="000000000000" w:firstRow="0" w:lastRow="0" w:firstColumn="0" w:lastColumn="0" w:oddVBand="0" w:evenVBand="0" w:oddHBand="0" w:evenHBand="0" w:firstRowFirstColumn="0" w:firstRowLastColumn="0" w:lastRowFirstColumn="0" w:lastRowLastColumn="0"/>
            </w:pPr>
            <w:r>
              <w:t>5 255</w:t>
            </w:r>
          </w:p>
        </w:tc>
        <w:tc>
          <w:tcPr>
            <w:tcW w:w="1701" w:type="dxa"/>
          </w:tcPr>
          <w:p w14:paraId="455D56D6" w14:textId="77777777" w:rsidR="004D42F9" w:rsidRDefault="004D42F9">
            <w:pPr>
              <w:cnfStyle w:val="000000000000" w:firstRow="0" w:lastRow="0" w:firstColumn="0" w:lastColumn="0" w:oddVBand="0" w:evenVBand="0" w:oddHBand="0" w:evenHBand="0" w:firstRowFirstColumn="0" w:firstRowLastColumn="0" w:lastRowFirstColumn="0" w:lastRowLastColumn="0"/>
            </w:pPr>
            <w:r>
              <w:t>4 408</w:t>
            </w:r>
          </w:p>
        </w:tc>
        <w:tc>
          <w:tcPr>
            <w:tcW w:w="1418" w:type="dxa"/>
          </w:tcPr>
          <w:p w14:paraId="28D92191" w14:textId="77777777" w:rsidR="004D42F9" w:rsidRDefault="004D42F9">
            <w:pPr>
              <w:cnfStyle w:val="000000000000" w:firstRow="0" w:lastRow="0" w:firstColumn="0" w:lastColumn="0" w:oddVBand="0" w:evenVBand="0" w:oddHBand="0" w:evenHBand="0" w:firstRowFirstColumn="0" w:firstRowLastColumn="0" w:lastRowFirstColumn="0" w:lastRowLastColumn="0"/>
            </w:pPr>
            <w:r>
              <w:t>2 561</w:t>
            </w:r>
          </w:p>
        </w:tc>
        <w:tc>
          <w:tcPr>
            <w:tcW w:w="992" w:type="dxa"/>
          </w:tcPr>
          <w:p w14:paraId="2CE978A4"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1076" w:type="dxa"/>
          </w:tcPr>
          <w:p w14:paraId="13C5F190" w14:textId="77777777" w:rsidR="004D42F9" w:rsidRDefault="004D42F9">
            <w:pPr>
              <w:cnfStyle w:val="000000000000" w:firstRow="0" w:lastRow="0" w:firstColumn="0" w:lastColumn="0" w:oddVBand="0" w:evenVBand="0" w:oddHBand="0" w:evenHBand="0" w:firstRowFirstColumn="0" w:firstRowLastColumn="0" w:lastRowFirstColumn="0" w:lastRowLastColumn="0"/>
            </w:pPr>
            <w:r>
              <w:t>(12 227)</w:t>
            </w:r>
          </w:p>
        </w:tc>
        <w:tc>
          <w:tcPr>
            <w:tcW w:w="907" w:type="dxa"/>
          </w:tcPr>
          <w:p w14:paraId="2BD0EDD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2B1A9F7B" w14:textId="77777777">
        <w:tc>
          <w:tcPr>
            <w:cnfStyle w:val="001000000000" w:firstRow="0" w:lastRow="0" w:firstColumn="1" w:lastColumn="0" w:oddVBand="0" w:evenVBand="0" w:oddHBand="0" w:evenHBand="0" w:firstRowFirstColumn="0" w:firstRowLastColumn="0" w:lastRowFirstColumn="0" w:lastRowLastColumn="0"/>
            <w:tcW w:w="2694" w:type="dxa"/>
          </w:tcPr>
          <w:p w14:paraId="7E78E8F4" w14:textId="77777777" w:rsidR="004D42F9" w:rsidRDefault="004D42F9">
            <w:r>
              <w:t>Reclassification</w:t>
            </w:r>
          </w:p>
        </w:tc>
        <w:tc>
          <w:tcPr>
            <w:tcW w:w="850" w:type="dxa"/>
          </w:tcPr>
          <w:p w14:paraId="7F8DD744" w14:textId="77777777" w:rsidR="004D42F9" w:rsidRDefault="004D42F9">
            <w:pPr>
              <w:cnfStyle w:val="000000000000" w:firstRow="0" w:lastRow="0" w:firstColumn="0" w:lastColumn="0" w:oddVBand="0" w:evenVBand="0" w:oddHBand="0" w:evenHBand="0" w:firstRowFirstColumn="0" w:firstRowLastColumn="0" w:lastRowFirstColumn="0" w:lastRowLastColumn="0"/>
            </w:pPr>
            <w:r>
              <w:t>(129)</w:t>
            </w:r>
          </w:p>
        </w:tc>
        <w:tc>
          <w:tcPr>
            <w:tcW w:w="1701" w:type="dxa"/>
          </w:tcPr>
          <w:p w14:paraId="7F884B01" w14:textId="77777777" w:rsidR="004D42F9" w:rsidRDefault="004D42F9">
            <w:pPr>
              <w:cnfStyle w:val="000000000000" w:firstRow="0" w:lastRow="0" w:firstColumn="0" w:lastColumn="0" w:oddVBand="0" w:evenVBand="0" w:oddHBand="0" w:evenHBand="0" w:firstRowFirstColumn="0" w:firstRowLastColumn="0" w:lastRowFirstColumn="0" w:lastRowLastColumn="0"/>
            </w:pPr>
            <w:r>
              <w:t>309</w:t>
            </w:r>
          </w:p>
        </w:tc>
        <w:tc>
          <w:tcPr>
            <w:tcW w:w="1418" w:type="dxa"/>
          </w:tcPr>
          <w:p w14:paraId="2AB25695"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92" w:type="dxa"/>
          </w:tcPr>
          <w:p w14:paraId="16B0574A" w14:textId="77777777" w:rsidR="004D42F9" w:rsidRDefault="004D42F9">
            <w:pPr>
              <w:cnfStyle w:val="000000000000" w:firstRow="0" w:lastRow="0" w:firstColumn="0" w:lastColumn="0" w:oddVBand="0" w:evenVBand="0" w:oddHBand="0" w:evenHBand="0" w:firstRowFirstColumn="0" w:firstRowLastColumn="0" w:lastRowFirstColumn="0" w:lastRowLastColumn="0"/>
            </w:pPr>
            <w:r>
              <w:t>(79)</w:t>
            </w:r>
          </w:p>
        </w:tc>
        <w:tc>
          <w:tcPr>
            <w:tcW w:w="1076" w:type="dxa"/>
          </w:tcPr>
          <w:p w14:paraId="06117E77" w14:textId="77777777" w:rsidR="004D42F9" w:rsidRDefault="004D42F9">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682D40C4" w14:textId="77777777" w:rsidR="004D42F9" w:rsidRDefault="004D42F9">
            <w:pPr>
              <w:cnfStyle w:val="000000000000" w:firstRow="0" w:lastRow="0" w:firstColumn="0" w:lastColumn="0" w:oddVBand="0" w:evenVBand="0" w:oddHBand="0" w:evenHBand="0" w:firstRowFirstColumn="0" w:firstRowLastColumn="0" w:lastRowFirstColumn="0" w:lastRowLastColumn="0"/>
            </w:pPr>
            <w:r>
              <w:t>(95)</w:t>
            </w:r>
          </w:p>
        </w:tc>
      </w:tr>
      <w:tr w:rsidR="004D42F9" w14:paraId="0A141486" w14:textId="77777777">
        <w:tc>
          <w:tcPr>
            <w:cnfStyle w:val="001000000000" w:firstRow="0" w:lastRow="0" w:firstColumn="1" w:lastColumn="0" w:oddVBand="0" w:evenVBand="0" w:oddHBand="0" w:evenHBand="0" w:firstRowFirstColumn="0" w:firstRowLastColumn="0" w:lastRowFirstColumn="0" w:lastRowLastColumn="0"/>
            <w:tcW w:w="2694" w:type="dxa"/>
          </w:tcPr>
          <w:p w14:paraId="37650A53" w14:textId="77777777" w:rsidR="004D42F9" w:rsidRDefault="004D42F9">
            <w:r>
              <w:t>Revaluation</w:t>
            </w:r>
            <w:r>
              <w:rPr>
                <w:vertAlign w:val="superscript"/>
              </w:rPr>
              <w:t xml:space="preserve"> </w:t>
            </w:r>
            <w:r w:rsidRPr="004538C2">
              <w:rPr>
                <w:vertAlign w:val="superscript"/>
              </w:rPr>
              <w:t>(d)</w:t>
            </w:r>
          </w:p>
        </w:tc>
        <w:tc>
          <w:tcPr>
            <w:tcW w:w="850" w:type="dxa"/>
          </w:tcPr>
          <w:p w14:paraId="3A49E76C" w14:textId="77777777" w:rsidR="004D42F9" w:rsidRDefault="004D42F9">
            <w:pPr>
              <w:cnfStyle w:val="000000000000" w:firstRow="0" w:lastRow="0" w:firstColumn="0" w:lastColumn="0" w:oddVBand="0" w:evenVBand="0" w:oddHBand="0" w:evenHBand="0" w:firstRowFirstColumn="0" w:firstRowLastColumn="0" w:lastRowFirstColumn="0" w:lastRowLastColumn="0"/>
            </w:pPr>
            <w:r>
              <w:t>3 490</w:t>
            </w:r>
          </w:p>
        </w:tc>
        <w:tc>
          <w:tcPr>
            <w:tcW w:w="1701" w:type="dxa"/>
          </w:tcPr>
          <w:p w14:paraId="403FE8D6" w14:textId="77777777" w:rsidR="004D42F9" w:rsidRDefault="004D42F9">
            <w:pPr>
              <w:cnfStyle w:val="000000000000" w:firstRow="0" w:lastRow="0" w:firstColumn="0" w:lastColumn="0" w:oddVBand="0" w:evenVBand="0" w:oddHBand="0" w:evenHBand="0" w:firstRowFirstColumn="0" w:firstRowLastColumn="0" w:lastRowFirstColumn="0" w:lastRowLastColumn="0"/>
            </w:pPr>
            <w:r>
              <w:t>18 891</w:t>
            </w:r>
          </w:p>
        </w:tc>
        <w:tc>
          <w:tcPr>
            <w:tcW w:w="1418" w:type="dxa"/>
          </w:tcPr>
          <w:p w14:paraId="6ED421F8" w14:textId="77777777" w:rsidR="004D42F9" w:rsidRDefault="004D42F9">
            <w:pPr>
              <w:cnfStyle w:val="000000000000" w:firstRow="0" w:lastRow="0" w:firstColumn="0" w:lastColumn="0" w:oddVBand="0" w:evenVBand="0" w:oddHBand="0" w:evenHBand="0" w:firstRowFirstColumn="0" w:firstRowLastColumn="0" w:lastRowFirstColumn="0" w:lastRowLastColumn="0"/>
            </w:pPr>
            <w:r>
              <w:t>24 254</w:t>
            </w:r>
          </w:p>
        </w:tc>
        <w:tc>
          <w:tcPr>
            <w:tcW w:w="992" w:type="dxa"/>
          </w:tcPr>
          <w:p w14:paraId="5B282B31" w14:textId="77777777" w:rsidR="004D42F9" w:rsidRDefault="004D42F9">
            <w:pPr>
              <w:cnfStyle w:val="000000000000" w:firstRow="0" w:lastRow="0" w:firstColumn="0" w:lastColumn="0" w:oddVBand="0" w:evenVBand="0" w:oddHBand="0" w:evenHBand="0" w:firstRowFirstColumn="0" w:firstRowLastColumn="0" w:lastRowFirstColumn="0" w:lastRowLastColumn="0"/>
            </w:pPr>
            <w:r>
              <w:t>650</w:t>
            </w:r>
          </w:p>
        </w:tc>
        <w:tc>
          <w:tcPr>
            <w:tcW w:w="1076" w:type="dxa"/>
          </w:tcPr>
          <w:p w14:paraId="2F0DD9A2" w14:textId="77777777" w:rsidR="004D42F9" w:rsidRDefault="004D42F9">
            <w:pPr>
              <w:cnfStyle w:val="000000000000" w:firstRow="0" w:lastRow="0" w:firstColumn="0" w:lastColumn="0" w:oddVBand="0" w:evenVBand="0" w:oddHBand="0" w:evenHBand="0" w:firstRowFirstColumn="0" w:firstRowLastColumn="0" w:lastRowFirstColumn="0" w:lastRowLastColumn="0"/>
            </w:pPr>
            <w:r>
              <w:t>643</w:t>
            </w:r>
          </w:p>
        </w:tc>
        <w:tc>
          <w:tcPr>
            <w:tcW w:w="907" w:type="dxa"/>
          </w:tcPr>
          <w:p w14:paraId="4162E5BB" w14:textId="77777777" w:rsidR="004D42F9" w:rsidRDefault="004D42F9">
            <w:pPr>
              <w:cnfStyle w:val="000000000000" w:firstRow="0" w:lastRow="0" w:firstColumn="0" w:lastColumn="0" w:oddVBand="0" w:evenVBand="0" w:oddHBand="0" w:evenHBand="0" w:firstRowFirstColumn="0" w:firstRowLastColumn="0" w:lastRowFirstColumn="0" w:lastRowLastColumn="0"/>
            </w:pPr>
            <w:r>
              <w:t>47 928</w:t>
            </w:r>
          </w:p>
        </w:tc>
      </w:tr>
      <w:tr w:rsidR="004D42F9" w14:paraId="545941C7" w14:textId="77777777">
        <w:tc>
          <w:tcPr>
            <w:cnfStyle w:val="001000000000" w:firstRow="0" w:lastRow="0" w:firstColumn="1" w:lastColumn="0" w:oddVBand="0" w:evenVBand="0" w:oddHBand="0" w:evenHBand="0" w:firstRowFirstColumn="0" w:firstRowLastColumn="0" w:lastRowFirstColumn="0" w:lastRowLastColumn="0"/>
            <w:tcW w:w="2694" w:type="dxa"/>
          </w:tcPr>
          <w:p w14:paraId="3F640723" w14:textId="77777777" w:rsidR="004D42F9" w:rsidRDefault="004D42F9">
            <w:r>
              <w:t>Disposals</w:t>
            </w:r>
          </w:p>
        </w:tc>
        <w:tc>
          <w:tcPr>
            <w:tcW w:w="850" w:type="dxa"/>
          </w:tcPr>
          <w:p w14:paraId="7B7294DD" w14:textId="77777777" w:rsidR="004D42F9" w:rsidRDefault="004D42F9">
            <w:pPr>
              <w:cnfStyle w:val="000000000000" w:firstRow="0" w:lastRow="0" w:firstColumn="0" w:lastColumn="0" w:oddVBand="0" w:evenVBand="0" w:oddHBand="0" w:evenHBand="0" w:firstRowFirstColumn="0" w:firstRowLastColumn="0" w:lastRowFirstColumn="0" w:lastRowLastColumn="0"/>
            </w:pPr>
            <w:r>
              <w:t>(221)</w:t>
            </w:r>
          </w:p>
        </w:tc>
        <w:tc>
          <w:tcPr>
            <w:tcW w:w="1701" w:type="dxa"/>
          </w:tcPr>
          <w:p w14:paraId="75C5E99A" w14:textId="77777777" w:rsidR="004D42F9" w:rsidRDefault="004D42F9">
            <w:pPr>
              <w:cnfStyle w:val="000000000000" w:firstRow="0" w:lastRow="0" w:firstColumn="0" w:lastColumn="0" w:oddVBand="0" w:evenVBand="0" w:oddHBand="0" w:evenHBand="0" w:firstRowFirstColumn="0" w:firstRowLastColumn="0" w:lastRowFirstColumn="0" w:lastRowLastColumn="0"/>
            </w:pPr>
            <w:r>
              <w:t>(193)</w:t>
            </w:r>
          </w:p>
        </w:tc>
        <w:tc>
          <w:tcPr>
            <w:tcW w:w="1418" w:type="dxa"/>
          </w:tcPr>
          <w:p w14:paraId="449FBAF2"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3ED3B57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5AE4C6F4" w14:textId="77777777" w:rsidR="004D42F9" w:rsidRDefault="004D42F9">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15B1781A" w14:textId="77777777" w:rsidR="004D42F9" w:rsidRDefault="004D42F9">
            <w:pPr>
              <w:cnfStyle w:val="000000000000" w:firstRow="0" w:lastRow="0" w:firstColumn="0" w:lastColumn="0" w:oddVBand="0" w:evenVBand="0" w:oddHBand="0" w:evenHBand="0" w:firstRowFirstColumn="0" w:firstRowLastColumn="0" w:lastRowFirstColumn="0" w:lastRowLastColumn="0"/>
            </w:pPr>
            <w:r>
              <w:t>(433)</w:t>
            </w:r>
          </w:p>
        </w:tc>
      </w:tr>
      <w:tr w:rsidR="004D42F9" w14:paraId="55D54ED1" w14:textId="77777777">
        <w:tc>
          <w:tcPr>
            <w:cnfStyle w:val="001000000000" w:firstRow="0" w:lastRow="0" w:firstColumn="1" w:lastColumn="0" w:oddVBand="0" w:evenVBand="0" w:oddHBand="0" w:evenHBand="0" w:firstRowFirstColumn="0" w:firstRowLastColumn="0" w:lastRowFirstColumn="0" w:lastRowLastColumn="0"/>
            <w:tcW w:w="2694" w:type="dxa"/>
          </w:tcPr>
          <w:p w14:paraId="7F3D624E" w14:textId="77777777" w:rsidR="004D42F9" w:rsidRDefault="004D42F9">
            <w:r>
              <w:t>Assets recognised for the first time</w:t>
            </w:r>
          </w:p>
        </w:tc>
        <w:tc>
          <w:tcPr>
            <w:tcW w:w="850" w:type="dxa"/>
          </w:tcPr>
          <w:p w14:paraId="70F14391" w14:textId="77777777" w:rsidR="004D42F9" w:rsidRDefault="004D42F9">
            <w:pPr>
              <w:cnfStyle w:val="000000000000" w:firstRow="0" w:lastRow="0" w:firstColumn="0" w:lastColumn="0" w:oddVBand="0" w:evenVBand="0" w:oddHBand="0" w:evenHBand="0" w:firstRowFirstColumn="0" w:firstRowLastColumn="0" w:lastRowFirstColumn="0" w:lastRowLastColumn="0"/>
            </w:pPr>
            <w:r>
              <w:t>94</w:t>
            </w:r>
          </w:p>
        </w:tc>
        <w:tc>
          <w:tcPr>
            <w:tcW w:w="1701" w:type="dxa"/>
          </w:tcPr>
          <w:p w14:paraId="72BA0DFB" w14:textId="77777777" w:rsidR="004D42F9" w:rsidRDefault="004D42F9">
            <w:pPr>
              <w:cnfStyle w:val="000000000000" w:firstRow="0" w:lastRow="0" w:firstColumn="0" w:lastColumn="0" w:oddVBand="0" w:evenVBand="0" w:oddHBand="0" w:evenHBand="0" w:firstRowFirstColumn="0" w:firstRowLastColumn="0" w:lastRowFirstColumn="0" w:lastRowLastColumn="0"/>
            </w:pPr>
            <w:r>
              <w:t>28</w:t>
            </w:r>
          </w:p>
        </w:tc>
        <w:tc>
          <w:tcPr>
            <w:tcW w:w="1418" w:type="dxa"/>
          </w:tcPr>
          <w:p w14:paraId="66B73D3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EB4112B"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1076" w:type="dxa"/>
          </w:tcPr>
          <w:p w14:paraId="7D035C35" w14:textId="77777777" w:rsidR="004D42F9" w:rsidRDefault="004D42F9">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04F5694C" w14:textId="77777777" w:rsidR="004D42F9" w:rsidRDefault="004D42F9">
            <w:pPr>
              <w:cnfStyle w:val="000000000000" w:firstRow="0" w:lastRow="0" w:firstColumn="0" w:lastColumn="0" w:oddVBand="0" w:evenVBand="0" w:oddHBand="0" w:evenHBand="0" w:firstRowFirstColumn="0" w:firstRowLastColumn="0" w:lastRowFirstColumn="0" w:lastRowLastColumn="0"/>
            </w:pPr>
            <w:r>
              <w:t>304</w:t>
            </w:r>
          </w:p>
        </w:tc>
      </w:tr>
      <w:tr w:rsidR="004D42F9" w14:paraId="749CCA9F" w14:textId="77777777">
        <w:tc>
          <w:tcPr>
            <w:cnfStyle w:val="001000000000" w:firstRow="0" w:lastRow="0" w:firstColumn="1" w:lastColumn="0" w:oddVBand="0" w:evenVBand="0" w:oddHBand="0" w:evenHBand="0" w:firstRowFirstColumn="0" w:firstRowLastColumn="0" w:lastRowFirstColumn="0" w:lastRowLastColumn="0"/>
            <w:tcW w:w="2694" w:type="dxa"/>
          </w:tcPr>
          <w:p w14:paraId="733D8954" w14:textId="77777777" w:rsidR="004D42F9" w:rsidRDefault="004D42F9">
            <w:r>
              <w:t>Impairment</w:t>
            </w:r>
          </w:p>
        </w:tc>
        <w:tc>
          <w:tcPr>
            <w:tcW w:w="850" w:type="dxa"/>
          </w:tcPr>
          <w:p w14:paraId="1ACA60D1" w14:textId="77777777" w:rsidR="004D42F9" w:rsidRDefault="004D42F9">
            <w:pPr>
              <w:cnfStyle w:val="000000000000" w:firstRow="0" w:lastRow="0" w:firstColumn="0" w:lastColumn="0" w:oddVBand="0" w:evenVBand="0" w:oddHBand="0" w:evenHBand="0" w:firstRowFirstColumn="0" w:firstRowLastColumn="0" w:lastRowFirstColumn="0" w:lastRowLastColumn="0"/>
            </w:pPr>
            <w:r>
              <w:t>(67)</w:t>
            </w:r>
          </w:p>
        </w:tc>
        <w:tc>
          <w:tcPr>
            <w:tcW w:w="1701" w:type="dxa"/>
          </w:tcPr>
          <w:p w14:paraId="60F0EACB" w14:textId="77777777" w:rsidR="004D42F9" w:rsidRDefault="004D42F9">
            <w:pPr>
              <w:cnfStyle w:val="000000000000" w:firstRow="0" w:lastRow="0" w:firstColumn="0" w:lastColumn="0" w:oddVBand="0" w:evenVBand="0" w:oddHBand="0" w:evenHBand="0" w:firstRowFirstColumn="0" w:firstRowLastColumn="0" w:lastRowFirstColumn="0" w:lastRowLastColumn="0"/>
            </w:pPr>
            <w:r>
              <w:t>(27)</w:t>
            </w:r>
          </w:p>
        </w:tc>
        <w:tc>
          <w:tcPr>
            <w:tcW w:w="1418" w:type="dxa"/>
          </w:tcPr>
          <w:p w14:paraId="156C68C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AFC7DD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4375BD36" w14:textId="77777777" w:rsidR="004D42F9" w:rsidRDefault="004D42F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16E89B5C" w14:textId="77777777" w:rsidR="004D42F9" w:rsidRDefault="004D42F9">
            <w:pPr>
              <w:cnfStyle w:val="000000000000" w:firstRow="0" w:lastRow="0" w:firstColumn="0" w:lastColumn="0" w:oddVBand="0" w:evenVBand="0" w:oddHBand="0" w:evenHBand="0" w:firstRowFirstColumn="0" w:firstRowLastColumn="0" w:lastRowFirstColumn="0" w:lastRowLastColumn="0"/>
            </w:pPr>
            <w:r>
              <w:t>(104)</w:t>
            </w:r>
          </w:p>
        </w:tc>
      </w:tr>
      <w:tr w:rsidR="004D42F9" w14:paraId="2A908DAA" w14:textId="77777777">
        <w:tc>
          <w:tcPr>
            <w:cnfStyle w:val="001000000000" w:firstRow="0" w:lastRow="0" w:firstColumn="1" w:lastColumn="0" w:oddVBand="0" w:evenVBand="0" w:oddHBand="0" w:evenHBand="0" w:firstRowFirstColumn="0" w:firstRowLastColumn="0" w:lastRowFirstColumn="0" w:lastRowLastColumn="0"/>
            <w:tcW w:w="2694" w:type="dxa"/>
            <w:tcBorders>
              <w:bottom w:val="single" w:sz="6" w:space="0" w:color="auto"/>
            </w:tcBorders>
          </w:tcPr>
          <w:p w14:paraId="3E162A6D" w14:textId="77777777" w:rsidR="004D42F9" w:rsidRDefault="004D42F9">
            <w:r>
              <w:t>Depreciation</w:t>
            </w:r>
          </w:p>
        </w:tc>
        <w:tc>
          <w:tcPr>
            <w:tcW w:w="850" w:type="dxa"/>
            <w:tcBorders>
              <w:bottom w:val="single" w:sz="6" w:space="0" w:color="auto"/>
            </w:tcBorders>
          </w:tcPr>
          <w:p w14:paraId="73666A64" w14:textId="77777777" w:rsidR="004D42F9" w:rsidRDefault="004D42F9">
            <w:pPr>
              <w:cnfStyle w:val="000000000000" w:firstRow="0" w:lastRow="0" w:firstColumn="0" w:lastColumn="0" w:oddVBand="0" w:evenVBand="0" w:oddHBand="0" w:evenHBand="0" w:firstRowFirstColumn="0" w:firstRowLastColumn="0" w:lastRowFirstColumn="0" w:lastRowLastColumn="0"/>
            </w:pPr>
            <w:r>
              <w:t>(4 110)</w:t>
            </w:r>
          </w:p>
        </w:tc>
        <w:tc>
          <w:tcPr>
            <w:tcW w:w="1701" w:type="dxa"/>
            <w:tcBorders>
              <w:bottom w:val="single" w:sz="6" w:space="0" w:color="auto"/>
            </w:tcBorders>
          </w:tcPr>
          <w:p w14:paraId="3B0C7384" w14:textId="77777777" w:rsidR="004D42F9" w:rsidRDefault="004D42F9">
            <w:pPr>
              <w:cnfStyle w:val="000000000000" w:firstRow="0" w:lastRow="0" w:firstColumn="0" w:lastColumn="0" w:oddVBand="0" w:evenVBand="0" w:oddHBand="0" w:evenHBand="0" w:firstRowFirstColumn="0" w:firstRowLastColumn="0" w:lastRowFirstColumn="0" w:lastRowLastColumn="0"/>
            </w:pPr>
            <w:r>
              <w:t>(3 662)</w:t>
            </w:r>
          </w:p>
        </w:tc>
        <w:tc>
          <w:tcPr>
            <w:tcW w:w="1418" w:type="dxa"/>
            <w:tcBorders>
              <w:bottom w:val="single" w:sz="6" w:space="0" w:color="auto"/>
            </w:tcBorders>
          </w:tcPr>
          <w:p w14:paraId="67B86C16" w14:textId="77777777" w:rsidR="004D42F9" w:rsidRDefault="004D42F9">
            <w:pPr>
              <w:cnfStyle w:val="000000000000" w:firstRow="0" w:lastRow="0" w:firstColumn="0" w:lastColumn="0" w:oddVBand="0" w:evenVBand="0" w:oddHBand="0" w:evenHBand="0" w:firstRowFirstColumn="0" w:firstRowLastColumn="0" w:lastRowFirstColumn="0" w:lastRowLastColumn="0"/>
            </w:pPr>
            <w:r>
              <w:t>(1 133)</w:t>
            </w:r>
          </w:p>
        </w:tc>
        <w:tc>
          <w:tcPr>
            <w:tcW w:w="992" w:type="dxa"/>
            <w:tcBorders>
              <w:bottom w:val="single" w:sz="6" w:space="0" w:color="auto"/>
            </w:tcBorders>
          </w:tcPr>
          <w:p w14:paraId="29177FBB"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1076" w:type="dxa"/>
            <w:tcBorders>
              <w:bottom w:val="single" w:sz="6" w:space="0" w:color="auto"/>
            </w:tcBorders>
          </w:tcPr>
          <w:p w14:paraId="058BE67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314A87C" w14:textId="77777777" w:rsidR="004D42F9" w:rsidRDefault="004D42F9">
            <w:pPr>
              <w:cnfStyle w:val="000000000000" w:firstRow="0" w:lastRow="0" w:firstColumn="0" w:lastColumn="0" w:oddVBand="0" w:evenVBand="0" w:oddHBand="0" w:evenHBand="0" w:firstRowFirstColumn="0" w:firstRowLastColumn="0" w:lastRowFirstColumn="0" w:lastRowLastColumn="0"/>
            </w:pPr>
            <w:r>
              <w:t>(8 921)</w:t>
            </w:r>
          </w:p>
        </w:tc>
      </w:tr>
      <w:tr w:rsidR="004D42F9" w14:paraId="33FDC782" w14:textId="77777777">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auto"/>
              <w:bottom w:val="single" w:sz="12" w:space="0" w:color="auto"/>
            </w:tcBorders>
          </w:tcPr>
          <w:p w14:paraId="06978CD3" w14:textId="77777777" w:rsidR="004D42F9" w:rsidRDefault="004D42F9">
            <w:r>
              <w:rPr>
                <w:b/>
              </w:rPr>
              <w:t>Closing balance</w:t>
            </w:r>
          </w:p>
        </w:tc>
        <w:tc>
          <w:tcPr>
            <w:tcW w:w="850" w:type="dxa"/>
            <w:tcBorders>
              <w:top w:val="single" w:sz="6" w:space="0" w:color="auto"/>
              <w:bottom w:val="single" w:sz="12" w:space="0" w:color="auto"/>
            </w:tcBorders>
          </w:tcPr>
          <w:p w14:paraId="7F023AD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235 083</w:t>
            </w:r>
          </w:p>
        </w:tc>
        <w:tc>
          <w:tcPr>
            <w:tcW w:w="1701" w:type="dxa"/>
            <w:tcBorders>
              <w:top w:val="single" w:sz="6" w:space="0" w:color="auto"/>
              <w:bottom w:val="single" w:sz="12" w:space="0" w:color="auto"/>
            </w:tcBorders>
          </w:tcPr>
          <w:p w14:paraId="139923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104 361</w:t>
            </w:r>
          </w:p>
        </w:tc>
        <w:tc>
          <w:tcPr>
            <w:tcW w:w="1418" w:type="dxa"/>
            <w:tcBorders>
              <w:top w:val="single" w:sz="6" w:space="0" w:color="auto"/>
              <w:bottom w:val="single" w:sz="12" w:space="0" w:color="auto"/>
            </w:tcBorders>
          </w:tcPr>
          <w:p w14:paraId="74FA733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77 834</w:t>
            </w:r>
          </w:p>
        </w:tc>
        <w:tc>
          <w:tcPr>
            <w:tcW w:w="992" w:type="dxa"/>
            <w:tcBorders>
              <w:top w:val="single" w:sz="6" w:space="0" w:color="auto"/>
              <w:bottom w:val="single" w:sz="12" w:space="0" w:color="auto"/>
            </w:tcBorders>
          </w:tcPr>
          <w:p w14:paraId="47222CB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7 541</w:t>
            </w:r>
          </w:p>
        </w:tc>
        <w:tc>
          <w:tcPr>
            <w:tcW w:w="1076" w:type="dxa"/>
            <w:tcBorders>
              <w:top w:val="single" w:sz="6" w:space="0" w:color="auto"/>
              <w:bottom w:val="single" w:sz="12" w:space="0" w:color="auto"/>
            </w:tcBorders>
          </w:tcPr>
          <w:p w14:paraId="051A438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76 901</w:t>
            </w:r>
          </w:p>
        </w:tc>
        <w:tc>
          <w:tcPr>
            <w:tcW w:w="907" w:type="dxa"/>
            <w:tcBorders>
              <w:top w:val="single" w:sz="6" w:space="0" w:color="auto"/>
              <w:bottom w:val="single" w:sz="12" w:space="0" w:color="auto"/>
            </w:tcBorders>
          </w:tcPr>
          <w:p w14:paraId="5B9D136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501 720</w:t>
            </w:r>
          </w:p>
        </w:tc>
      </w:tr>
    </w:tbl>
    <w:p w14:paraId="29DB9A73"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Prior_Year_NFA_RECO.xlsx|Table:Manual_reconciliation_of_movements_NFA_SoV_PY"/>
      </w:tblPr>
      <w:tblGrid>
        <w:gridCol w:w="2694"/>
        <w:gridCol w:w="850"/>
        <w:gridCol w:w="1701"/>
        <w:gridCol w:w="1418"/>
        <w:gridCol w:w="992"/>
        <w:gridCol w:w="1076"/>
        <w:gridCol w:w="907"/>
      </w:tblGrid>
      <w:tr w:rsidR="002F56B2" w14:paraId="21EA744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68C0E78B" w14:textId="77777777" w:rsidR="004D42F9" w:rsidRDefault="004D42F9">
            <w:pPr>
              <w:keepNext/>
            </w:pPr>
            <w:r>
              <w:t>2024</w:t>
            </w:r>
          </w:p>
        </w:tc>
        <w:tc>
          <w:tcPr>
            <w:tcW w:w="850" w:type="dxa"/>
          </w:tcPr>
          <w:p w14:paraId="4B7FC16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701" w:type="dxa"/>
          </w:tcPr>
          <w:p w14:paraId="7F2C24B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5B89BAE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DD406C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5A142E5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5341E49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4D82CDB3" w14:textId="77777777">
        <w:tc>
          <w:tcPr>
            <w:cnfStyle w:val="001000000000" w:firstRow="0" w:lastRow="0" w:firstColumn="1" w:lastColumn="0" w:oddVBand="0" w:evenVBand="0" w:oddHBand="0" w:evenHBand="0" w:firstRowFirstColumn="0" w:firstRowLastColumn="0" w:lastRowFirstColumn="0" w:lastRowLastColumn="0"/>
            <w:tcW w:w="2694" w:type="dxa"/>
          </w:tcPr>
          <w:p w14:paraId="3A7BAD52" w14:textId="77777777" w:rsidR="004D42F9" w:rsidRDefault="004D42F9">
            <w:r>
              <w:rPr>
                <w:b/>
              </w:rPr>
              <w:t>Opening balance</w:t>
            </w:r>
          </w:p>
        </w:tc>
        <w:tc>
          <w:tcPr>
            <w:tcW w:w="850" w:type="dxa"/>
          </w:tcPr>
          <w:p w14:paraId="35B5015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217 980</w:t>
            </w:r>
          </w:p>
        </w:tc>
        <w:tc>
          <w:tcPr>
            <w:tcW w:w="1701" w:type="dxa"/>
          </w:tcPr>
          <w:p w14:paraId="7C01960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86 769</w:t>
            </w:r>
          </w:p>
        </w:tc>
        <w:tc>
          <w:tcPr>
            <w:tcW w:w="1418" w:type="dxa"/>
          </w:tcPr>
          <w:p w14:paraId="63E4D36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45 227</w:t>
            </w:r>
          </w:p>
        </w:tc>
        <w:tc>
          <w:tcPr>
            <w:tcW w:w="992" w:type="dxa"/>
          </w:tcPr>
          <w:p w14:paraId="5C8EAF8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6 853</w:t>
            </w:r>
          </w:p>
        </w:tc>
        <w:tc>
          <w:tcPr>
            <w:tcW w:w="1076" w:type="dxa"/>
          </w:tcPr>
          <w:p w14:paraId="68F055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52 120</w:t>
            </w:r>
          </w:p>
        </w:tc>
        <w:tc>
          <w:tcPr>
            <w:tcW w:w="907" w:type="dxa"/>
          </w:tcPr>
          <w:p w14:paraId="6708892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408 948</w:t>
            </w:r>
          </w:p>
        </w:tc>
      </w:tr>
      <w:tr w:rsidR="004D42F9" w14:paraId="69544ACF" w14:textId="77777777">
        <w:tc>
          <w:tcPr>
            <w:cnfStyle w:val="001000000000" w:firstRow="0" w:lastRow="0" w:firstColumn="1" w:lastColumn="0" w:oddVBand="0" w:evenVBand="0" w:oddHBand="0" w:evenHBand="0" w:firstRowFirstColumn="0" w:firstRowLastColumn="0" w:lastRowFirstColumn="0" w:lastRowLastColumn="0"/>
            <w:tcW w:w="2694" w:type="dxa"/>
          </w:tcPr>
          <w:p w14:paraId="2E1A23C5" w14:textId="77777777" w:rsidR="004D42F9" w:rsidRDefault="004D42F9">
            <w:r>
              <w:t>Acquisitions of self</w:t>
            </w:r>
            <w:r>
              <w:noBreakHyphen/>
              <w:t xml:space="preserve">owned assets </w:t>
            </w:r>
            <w:r>
              <w:rPr>
                <w:vertAlign w:val="superscript"/>
              </w:rPr>
              <w:t>(c)</w:t>
            </w:r>
          </w:p>
        </w:tc>
        <w:tc>
          <w:tcPr>
            <w:tcW w:w="850" w:type="dxa"/>
          </w:tcPr>
          <w:p w14:paraId="3BDB0AF1" w14:textId="77777777" w:rsidR="004D42F9" w:rsidRDefault="004D42F9">
            <w:pPr>
              <w:cnfStyle w:val="000000000000" w:firstRow="0" w:lastRow="0" w:firstColumn="0" w:lastColumn="0" w:oddVBand="0" w:evenVBand="0" w:oddHBand="0" w:evenHBand="0" w:firstRowFirstColumn="0" w:firstRowLastColumn="0" w:lastRowFirstColumn="0" w:lastRowLastColumn="0"/>
            </w:pPr>
            <w:r>
              <w:t>2 194</w:t>
            </w:r>
          </w:p>
        </w:tc>
        <w:tc>
          <w:tcPr>
            <w:tcW w:w="1701" w:type="dxa"/>
          </w:tcPr>
          <w:p w14:paraId="5D3F993D" w14:textId="77777777" w:rsidR="004D42F9" w:rsidRDefault="004D42F9">
            <w:pPr>
              <w:cnfStyle w:val="000000000000" w:firstRow="0" w:lastRow="0" w:firstColumn="0" w:lastColumn="0" w:oddVBand="0" w:evenVBand="0" w:oddHBand="0" w:evenHBand="0" w:firstRowFirstColumn="0" w:firstRowLastColumn="0" w:lastRowFirstColumn="0" w:lastRowLastColumn="0"/>
            </w:pPr>
            <w:r>
              <w:t>2 024</w:t>
            </w:r>
          </w:p>
        </w:tc>
        <w:tc>
          <w:tcPr>
            <w:tcW w:w="1418" w:type="dxa"/>
          </w:tcPr>
          <w:p w14:paraId="6BE6A342"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92" w:type="dxa"/>
          </w:tcPr>
          <w:p w14:paraId="0A11FC9D" w14:textId="77777777" w:rsidR="004D42F9" w:rsidRDefault="004D42F9">
            <w:pPr>
              <w:cnfStyle w:val="000000000000" w:firstRow="0" w:lastRow="0" w:firstColumn="0" w:lastColumn="0" w:oddVBand="0" w:evenVBand="0" w:oddHBand="0" w:evenHBand="0" w:firstRowFirstColumn="0" w:firstRowLastColumn="0" w:lastRowFirstColumn="0" w:lastRowLastColumn="0"/>
            </w:pPr>
            <w:r>
              <w:t>36</w:t>
            </w:r>
          </w:p>
        </w:tc>
        <w:tc>
          <w:tcPr>
            <w:tcW w:w="1076" w:type="dxa"/>
          </w:tcPr>
          <w:p w14:paraId="6F14BA38" w14:textId="77777777" w:rsidR="004D42F9" w:rsidRDefault="004D42F9">
            <w:pPr>
              <w:cnfStyle w:val="000000000000" w:firstRow="0" w:lastRow="0" w:firstColumn="0" w:lastColumn="0" w:oddVBand="0" w:evenVBand="0" w:oddHBand="0" w:evenHBand="0" w:firstRowFirstColumn="0" w:firstRowLastColumn="0" w:lastRowFirstColumn="0" w:lastRowLastColumn="0"/>
            </w:pPr>
            <w:r>
              <w:t>15 816</w:t>
            </w:r>
          </w:p>
        </w:tc>
        <w:tc>
          <w:tcPr>
            <w:tcW w:w="907" w:type="dxa"/>
          </w:tcPr>
          <w:p w14:paraId="0938F67A" w14:textId="77777777" w:rsidR="004D42F9" w:rsidRDefault="004D42F9">
            <w:pPr>
              <w:cnfStyle w:val="000000000000" w:firstRow="0" w:lastRow="0" w:firstColumn="0" w:lastColumn="0" w:oddVBand="0" w:evenVBand="0" w:oddHBand="0" w:evenHBand="0" w:firstRowFirstColumn="0" w:firstRowLastColumn="0" w:lastRowFirstColumn="0" w:lastRowLastColumn="0"/>
            </w:pPr>
            <w:r>
              <w:t>20 074</w:t>
            </w:r>
          </w:p>
        </w:tc>
      </w:tr>
      <w:tr w:rsidR="004D42F9" w14:paraId="3B33D628" w14:textId="77777777">
        <w:tc>
          <w:tcPr>
            <w:cnfStyle w:val="001000000000" w:firstRow="0" w:lastRow="0" w:firstColumn="1" w:lastColumn="0" w:oddVBand="0" w:evenVBand="0" w:oddHBand="0" w:evenHBand="0" w:firstRowFirstColumn="0" w:firstRowLastColumn="0" w:lastRowFirstColumn="0" w:lastRowLastColumn="0"/>
            <w:tcW w:w="2694" w:type="dxa"/>
          </w:tcPr>
          <w:p w14:paraId="61C6D2A5" w14:textId="77777777" w:rsidR="004D42F9" w:rsidRDefault="004D42F9">
            <w:r>
              <w:t>Additions of right</w:t>
            </w:r>
            <w:r>
              <w:noBreakHyphen/>
              <w:t>of</w:t>
            </w:r>
            <w:r>
              <w:noBreakHyphen/>
              <w:t>use assets</w:t>
            </w:r>
          </w:p>
        </w:tc>
        <w:tc>
          <w:tcPr>
            <w:tcW w:w="850" w:type="dxa"/>
          </w:tcPr>
          <w:p w14:paraId="238BEFEA" w14:textId="77777777" w:rsidR="004D42F9" w:rsidRDefault="004D42F9">
            <w:pPr>
              <w:cnfStyle w:val="000000000000" w:firstRow="0" w:lastRow="0" w:firstColumn="0" w:lastColumn="0" w:oddVBand="0" w:evenVBand="0" w:oddHBand="0" w:evenHBand="0" w:firstRowFirstColumn="0" w:firstRowLastColumn="0" w:lastRowFirstColumn="0" w:lastRowLastColumn="0"/>
            </w:pPr>
            <w:r>
              <w:t>607</w:t>
            </w:r>
          </w:p>
        </w:tc>
        <w:tc>
          <w:tcPr>
            <w:tcW w:w="1701" w:type="dxa"/>
          </w:tcPr>
          <w:p w14:paraId="4A7FB408" w14:textId="77777777" w:rsidR="004D42F9" w:rsidRDefault="004D42F9">
            <w:pPr>
              <w:cnfStyle w:val="000000000000" w:firstRow="0" w:lastRow="0" w:firstColumn="0" w:lastColumn="0" w:oddVBand="0" w:evenVBand="0" w:oddHBand="0" w:evenHBand="0" w:firstRowFirstColumn="0" w:firstRowLastColumn="0" w:lastRowFirstColumn="0" w:lastRowLastColumn="0"/>
            </w:pPr>
            <w:r>
              <w:t>636</w:t>
            </w:r>
          </w:p>
        </w:tc>
        <w:tc>
          <w:tcPr>
            <w:tcW w:w="1418" w:type="dxa"/>
          </w:tcPr>
          <w:p w14:paraId="202A707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728A19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0CCB6E4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3526684" w14:textId="77777777" w:rsidR="004D42F9" w:rsidRDefault="004D42F9">
            <w:pPr>
              <w:cnfStyle w:val="000000000000" w:firstRow="0" w:lastRow="0" w:firstColumn="0" w:lastColumn="0" w:oddVBand="0" w:evenVBand="0" w:oddHBand="0" w:evenHBand="0" w:firstRowFirstColumn="0" w:firstRowLastColumn="0" w:lastRowFirstColumn="0" w:lastRowLastColumn="0"/>
            </w:pPr>
            <w:r>
              <w:t>1 243</w:t>
            </w:r>
          </w:p>
        </w:tc>
      </w:tr>
      <w:tr w:rsidR="004D42F9" w14:paraId="6B972A56" w14:textId="77777777">
        <w:tc>
          <w:tcPr>
            <w:cnfStyle w:val="001000000000" w:firstRow="0" w:lastRow="0" w:firstColumn="1" w:lastColumn="0" w:oddVBand="0" w:evenVBand="0" w:oddHBand="0" w:evenHBand="0" w:firstRowFirstColumn="0" w:firstRowLastColumn="0" w:lastRowFirstColumn="0" w:lastRowLastColumn="0"/>
            <w:tcW w:w="2694" w:type="dxa"/>
          </w:tcPr>
          <w:p w14:paraId="4EAB8E47" w14:textId="77777777" w:rsidR="004D42F9" w:rsidRDefault="004D42F9">
            <w:r>
              <w:t>Additions of service concession arrangement assets</w:t>
            </w:r>
          </w:p>
        </w:tc>
        <w:tc>
          <w:tcPr>
            <w:tcW w:w="850" w:type="dxa"/>
          </w:tcPr>
          <w:p w14:paraId="267E1A27"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701" w:type="dxa"/>
          </w:tcPr>
          <w:p w14:paraId="4EBE1445" w14:textId="77777777" w:rsidR="004D42F9" w:rsidRDefault="004D42F9">
            <w:pPr>
              <w:cnfStyle w:val="000000000000" w:firstRow="0" w:lastRow="0" w:firstColumn="0" w:lastColumn="0" w:oddVBand="0" w:evenVBand="0" w:oddHBand="0" w:evenHBand="0" w:firstRowFirstColumn="0" w:firstRowLastColumn="0" w:lastRowFirstColumn="0" w:lastRowLastColumn="0"/>
            </w:pPr>
            <w:r>
              <w:t>44</w:t>
            </w:r>
          </w:p>
        </w:tc>
        <w:tc>
          <w:tcPr>
            <w:tcW w:w="1418" w:type="dxa"/>
          </w:tcPr>
          <w:p w14:paraId="6D1C8D8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B6F6F6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7D11B521" w14:textId="77777777" w:rsidR="004D42F9" w:rsidRDefault="004D42F9">
            <w:pPr>
              <w:cnfStyle w:val="000000000000" w:firstRow="0" w:lastRow="0" w:firstColumn="0" w:lastColumn="0" w:oddVBand="0" w:evenVBand="0" w:oddHBand="0" w:evenHBand="0" w:firstRowFirstColumn="0" w:firstRowLastColumn="0" w:lastRowFirstColumn="0" w:lastRowLastColumn="0"/>
            </w:pPr>
            <w:r>
              <w:t>5 712</w:t>
            </w:r>
          </w:p>
        </w:tc>
        <w:tc>
          <w:tcPr>
            <w:tcW w:w="907" w:type="dxa"/>
          </w:tcPr>
          <w:p w14:paraId="2B5EB6CA" w14:textId="77777777" w:rsidR="004D42F9" w:rsidRDefault="004D42F9">
            <w:pPr>
              <w:cnfStyle w:val="000000000000" w:firstRow="0" w:lastRow="0" w:firstColumn="0" w:lastColumn="0" w:oddVBand="0" w:evenVBand="0" w:oddHBand="0" w:evenHBand="0" w:firstRowFirstColumn="0" w:firstRowLastColumn="0" w:lastRowFirstColumn="0" w:lastRowLastColumn="0"/>
            </w:pPr>
            <w:r>
              <w:t>5 792</w:t>
            </w:r>
          </w:p>
        </w:tc>
      </w:tr>
      <w:tr w:rsidR="004D42F9" w14:paraId="61A4F8BB" w14:textId="77777777">
        <w:tc>
          <w:tcPr>
            <w:cnfStyle w:val="001000000000" w:firstRow="0" w:lastRow="0" w:firstColumn="1" w:lastColumn="0" w:oddVBand="0" w:evenVBand="0" w:oddHBand="0" w:evenHBand="0" w:firstRowFirstColumn="0" w:firstRowLastColumn="0" w:lastRowFirstColumn="0" w:lastRowLastColumn="0"/>
            <w:tcW w:w="2694" w:type="dxa"/>
          </w:tcPr>
          <w:p w14:paraId="214025F9" w14:textId="77777777" w:rsidR="004D42F9" w:rsidRDefault="004D42F9">
            <w:r>
              <w:t>Transfer to completed assets</w:t>
            </w:r>
          </w:p>
        </w:tc>
        <w:tc>
          <w:tcPr>
            <w:tcW w:w="850" w:type="dxa"/>
          </w:tcPr>
          <w:p w14:paraId="34FD7755" w14:textId="77777777" w:rsidR="004D42F9" w:rsidRDefault="004D42F9">
            <w:pPr>
              <w:cnfStyle w:val="000000000000" w:firstRow="0" w:lastRow="0" w:firstColumn="0" w:lastColumn="0" w:oddVBand="0" w:evenVBand="0" w:oddHBand="0" w:evenHBand="0" w:firstRowFirstColumn="0" w:firstRowLastColumn="0" w:lastRowFirstColumn="0" w:lastRowLastColumn="0"/>
            </w:pPr>
            <w:r>
              <w:t>4 320</w:t>
            </w:r>
          </w:p>
        </w:tc>
        <w:tc>
          <w:tcPr>
            <w:tcW w:w="1701" w:type="dxa"/>
          </w:tcPr>
          <w:p w14:paraId="7AD7C25B" w14:textId="77777777" w:rsidR="004D42F9" w:rsidRDefault="004D42F9">
            <w:pPr>
              <w:cnfStyle w:val="000000000000" w:firstRow="0" w:lastRow="0" w:firstColumn="0" w:lastColumn="0" w:oddVBand="0" w:evenVBand="0" w:oddHBand="0" w:evenHBand="0" w:firstRowFirstColumn="0" w:firstRowLastColumn="0" w:lastRowFirstColumn="0" w:lastRowLastColumn="0"/>
            </w:pPr>
            <w:r>
              <w:t>3 018</w:t>
            </w:r>
          </w:p>
        </w:tc>
        <w:tc>
          <w:tcPr>
            <w:tcW w:w="1418" w:type="dxa"/>
          </w:tcPr>
          <w:p w14:paraId="42480C07"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1 141</w:t>
            </w:r>
          </w:p>
        </w:tc>
        <w:tc>
          <w:tcPr>
            <w:tcW w:w="992" w:type="dxa"/>
          </w:tcPr>
          <w:p w14:paraId="610242D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ECABA80" w14:textId="77777777" w:rsidR="004D42F9" w:rsidRDefault="004D42F9">
            <w:pPr>
              <w:cnfStyle w:val="000000000000" w:firstRow="0" w:lastRow="0" w:firstColumn="0" w:lastColumn="0" w:oddVBand="0" w:evenVBand="0" w:oddHBand="0" w:evenHBand="0" w:firstRowFirstColumn="0" w:firstRowLastColumn="0" w:lastRowFirstColumn="0" w:lastRowLastColumn="0"/>
            </w:pPr>
            <w:r>
              <w:t>(8 479)</w:t>
            </w:r>
          </w:p>
        </w:tc>
        <w:tc>
          <w:tcPr>
            <w:tcW w:w="907" w:type="dxa"/>
          </w:tcPr>
          <w:p w14:paraId="3261812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738399D2" w14:textId="77777777">
        <w:tc>
          <w:tcPr>
            <w:cnfStyle w:val="001000000000" w:firstRow="0" w:lastRow="0" w:firstColumn="1" w:lastColumn="0" w:oddVBand="0" w:evenVBand="0" w:oddHBand="0" w:evenHBand="0" w:firstRowFirstColumn="0" w:firstRowLastColumn="0" w:lastRowFirstColumn="0" w:lastRowLastColumn="0"/>
            <w:tcW w:w="2694" w:type="dxa"/>
          </w:tcPr>
          <w:p w14:paraId="10E6FAEC" w14:textId="77777777" w:rsidR="004D42F9" w:rsidRDefault="004D42F9">
            <w:r>
              <w:t>Reclassification</w:t>
            </w:r>
            <w:r>
              <w:rPr>
                <w:vertAlign w:val="superscript"/>
              </w:rPr>
              <w:t xml:space="preserve"> (e)</w:t>
            </w:r>
          </w:p>
        </w:tc>
        <w:tc>
          <w:tcPr>
            <w:tcW w:w="850" w:type="dxa"/>
          </w:tcPr>
          <w:p w14:paraId="0834F32C" w14:textId="77777777" w:rsidR="004D42F9" w:rsidRDefault="004D42F9">
            <w:pPr>
              <w:cnfStyle w:val="000000000000" w:firstRow="0" w:lastRow="0" w:firstColumn="0" w:lastColumn="0" w:oddVBand="0" w:evenVBand="0" w:oddHBand="0" w:evenHBand="0" w:firstRowFirstColumn="0" w:firstRowLastColumn="0" w:lastRowFirstColumn="0" w:lastRowLastColumn="0"/>
            </w:pPr>
            <w:r>
              <w:t>(103)</w:t>
            </w:r>
          </w:p>
        </w:tc>
        <w:tc>
          <w:tcPr>
            <w:tcW w:w="1701" w:type="dxa"/>
          </w:tcPr>
          <w:p w14:paraId="7261A4BD" w14:textId="77777777" w:rsidR="004D42F9" w:rsidRDefault="004D42F9">
            <w:pPr>
              <w:cnfStyle w:val="000000000000" w:firstRow="0" w:lastRow="0" w:firstColumn="0" w:lastColumn="0" w:oddVBand="0" w:evenVBand="0" w:oddHBand="0" w:evenHBand="0" w:firstRowFirstColumn="0" w:firstRowLastColumn="0" w:lastRowFirstColumn="0" w:lastRowLastColumn="0"/>
            </w:pPr>
            <w:r>
              <w:t>(6 908)</w:t>
            </w:r>
          </w:p>
        </w:tc>
        <w:tc>
          <w:tcPr>
            <w:tcW w:w="1418" w:type="dxa"/>
          </w:tcPr>
          <w:p w14:paraId="26F9EAFC" w14:textId="77777777" w:rsidR="004D42F9" w:rsidRDefault="004D42F9">
            <w:pPr>
              <w:cnfStyle w:val="000000000000" w:firstRow="0" w:lastRow="0" w:firstColumn="0" w:lastColumn="0" w:oddVBand="0" w:evenVBand="0" w:oddHBand="0" w:evenHBand="0" w:firstRowFirstColumn="0" w:firstRowLastColumn="0" w:lastRowFirstColumn="0" w:lastRowLastColumn="0"/>
            </w:pPr>
            <w:r>
              <w:t>6 907</w:t>
            </w:r>
          </w:p>
        </w:tc>
        <w:tc>
          <w:tcPr>
            <w:tcW w:w="992" w:type="dxa"/>
          </w:tcPr>
          <w:p w14:paraId="5CB896FE"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076" w:type="dxa"/>
          </w:tcPr>
          <w:p w14:paraId="3085791F" w14:textId="77777777" w:rsidR="004D42F9" w:rsidRDefault="004D42F9">
            <w:pPr>
              <w:cnfStyle w:val="000000000000" w:firstRow="0" w:lastRow="0" w:firstColumn="0" w:lastColumn="0" w:oddVBand="0" w:evenVBand="0" w:oddHBand="0" w:evenHBand="0" w:firstRowFirstColumn="0" w:firstRowLastColumn="0" w:lastRowFirstColumn="0" w:lastRowLastColumn="0"/>
            </w:pPr>
            <w:r>
              <w:t>(394)</w:t>
            </w:r>
          </w:p>
        </w:tc>
        <w:tc>
          <w:tcPr>
            <w:tcW w:w="907" w:type="dxa"/>
          </w:tcPr>
          <w:p w14:paraId="0B8474DB" w14:textId="77777777" w:rsidR="004D42F9" w:rsidRDefault="004D42F9">
            <w:pPr>
              <w:cnfStyle w:val="000000000000" w:firstRow="0" w:lastRow="0" w:firstColumn="0" w:lastColumn="0" w:oddVBand="0" w:evenVBand="0" w:oddHBand="0" w:evenHBand="0" w:firstRowFirstColumn="0" w:firstRowLastColumn="0" w:lastRowFirstColumn="0" w:lastRowLastColumn="0"/>
            </w:pPr>
            <w:r>
              <w:t>(495)</w:t>
            </w:r>
          </w:p>
        </w:tc>
      </w:tr>
      <w:tr w:rsidR="004D42F9" w14:paraId="2F033248" w14:textId="77777777">
        <w:tc>
          <w:tcPr>
            <w:cnfStyle w:val="001000000000" w:firstRow="0" w:lastRow="0" w:firstColumn="1" w:lastColumn="0" w:oddVBand="0" w:evenVBand="0" w:oddHBand="0" w:evenHBand="0" w:firstRowFirstColumn="0" w:firstRowLastColumn="0" w:lastRowFirstColumn="0" w:lastRowLastColumn="0"/>
            <w:tcW w:w="2694" w:type="dxa"/>
          </w:tcPr>
          <w:p w14:paraId="1AB10A32" w14:textId="77777777" w:rsidR="004D42F9" w:rsidRDefault="004D42F9">
            <w:r>
              <w:t>Revaluation</w:t>
            </w:r>
          </w:p>
        </w:tc>
        <w:tc>
          <w:tcPr>
            <w:tcW w:w="850" w:type="dxa"/>
          </w:tcPr>
          <w:p w14:paraId="14E0F237" w14:textId="77777777" w:rsidR="004D42F9" w:rsidRDefault="004D42F9">
            <w:pPr>
              <w:cnfStyle w:val="000000000000" w:firstRow="0" w:lastRow="0" w:firstColumn="0" w:lastColumn="0" w:oddVBand="0" w:evenVBand="0" w:oddHBand="0" w:evenHBand="0" w:firstRowFirstColumn="0" w:firstRowLastColumn="0" w:lastRowFirstColumn="0" w:lastRowLastColumn="0"/>
            </w:pPr>
            <w:r>
              <w:t>8 418</w:t>
            </w:r>
          </w:p>
        </w:tc>
        <w:tc>
          <w:tcPr>
            <w:tcW w:w="1701" w:type="dxa"/>
          </w:tcPr>
          <w:p w14:paraId="14B8D77D" w14:textId="77777777" w:rsidR="004D42F9" w:rsidRDefault="004D42F9">
            <w:pPr>
              <w:cnfStyle w:val="000000000000" w:firstRow="0" w:lastRow="0" w:firstColumn="0" w:lastColumn="0" w:oddVBand="0" w:evenVBand="0" w:oddHBand="0" w:evenHBand="0" w:firstRowFirstColumn="0" w:firstRowLastColumn="0" w:lastRowFirstColumn="0" w:lastRowLastColumn="0"/>
            </w:pPr>
            <w:r>
              <w:t>812</w:t>
            </w:r>
          </w:p>
        </w:tc>
        <w:tc>
          <w:tcPr>
            <w:tcW w:w="1418" w:type="dxa"/>
          </w:tcPr>
          <w:p w14:paraId="122F900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5B5508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57DF5223" w14:textId="77777777" w:rsidR="004D42F9" w:rsidRDefault="004D42F9">
            <w:pPr>
              <w:cnfStyle w:val="000000000000" w:firstRow="0" w:lastRow="0" w:firstColumn="0" w:lastColumn="0" w:oddVBand="0" w:evenVBand="0" w:oddHBand="0" w:evenHBand="0" w:firstRowFirstColumn="0" w:firstRowLastColumn="0" w:lastRowFirstColumn="0" w:lastRowLastColumn="0"/>
            </w:pPr>
            <w:r>
              <w:t>547</w:t>
            </w:r>
          </w:p>
        </w:tc>
        <w:tc>
          <w:tcPr>
            <w:tcW w:w="907" w:type="dxa"/>
          </w:tcPr>
          <w:p w14:paraId="2D5EF5A9" w14:textId="77777777" w:rsidR="004D42F9" w:rsidRDefault="004D42F9">
            <w:pPr>
              <w:cnfStyle w:val="000000000000" w:firstRow="0" w:lastRow="0" w:firstColumn="0" w:lastColumn="0" w:oddVBand="0" w:evenVBand="0" w:oddHBand="0" w:evenHBand="0" w:firstRowFirstColumn="0" w:firstRowLastColumn="0" w:lastRowFirstColumn="0" w:lastRowLastColumn="0"/>
            </w:pPr>
            <w:r>
              <w:t>9 777</w:t>
            </w:r>
          </w:p>
        </w:tc>
      </w:tr>
      <w:tr w:rsidR="004D42F9" w14:paraId="2881F13E" w14:textId="77777777">
        <w:tc>
          <w:tcPr>
            <w:cnfStyle w:val="001000000000" w:firstRow="0" w:lastRow="0" w:firstColumn="1" w:lastColumn="0" w:oddVBand="0" w:evenVBand="0" w:oddHBand="0" w:evenHBand="0" w:firstRowFirstColumn="0" w:firstRowLastColumn="0" w:lastRowFirstColumn="0" w:lastRowLastColumn="0"/>
            <w:tcW w:w="2694" w:type="dxa"/>
          </w:tcPr>
          <w:p w14:paraId="28ACBE7D" w14:textId="77777777" w:rsidR="004D42F9" w:rsidRDefault="004D42F9">
            <w:r>
              <w:t>Disposals</w:t>
            </w:r>
          </w:p>
        </w:tc>
        <w:tc>
          <w:tcPr>
            <w:tcW w:w="850" w:type="dxa"/>
          </w:tcPr>
          <w:p w14:paraId="06147C15" w14:textId="77777777" w:rsidR="004D42F9" w:rsidRDefault="004D42F9">
            <w:pPr>
              <w:cnfStyle w:val="000000000000" w:firstRow="0" w:lastRow="0" w:firstColumn="0" w:lastColumn="0" w:oddVBand="0" w:evenVBand="0" w:oddHBand="0" w:evenHBand="0" w:firstRowFirstColumn="0" w:firstRowLastColumn="0" w:lastRowFirstColumn="0" w:lastRowLastColumn="0"/>
            </w:pPr>
            <w:r>
              <w:t>(447)</w:t>
            </w:r>
          </w:p>
        </w:tc>
        <w:tc>
          <w:tcPr>
            <w:tcW w:w="1701" w:type="dxa"/>
          </w:tcPr>
          <w:p w14:paraId="5AE8EDB8" w14:textId="77777777" w:rsidR="004D42F9" w:rsidRDefault="004D42F9">
            <w:pPr>
              <w:cnfStyle w:val="000000000000" w:firstRow="0" w:lastRow="0" w:firstColumn="0" w:lastColumn="0" w:oddVBand="0" w:evenVBand="0" w:oddHBand="0" w:evenHBand="0" w:firstRowFirstColumn="0" w:firstRowLastColumn="0" w:lastRowFirstColumn="0" w:lastRowLastColumn="0"/>
            </w:pPr>
            <w:r>
              <w:t>(251)</w:t>
            </w:r>
          </w:p>
        </w:tc>
        <w:tc>
          <w:tcPr>
            <w:tcW w:w="1418" w:type="dxa"/>
          </w:tcPr>
          <w:p w14:paraId="34F49F9C"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279BEF8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43FD47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FC5F62D" w14:textId="77777777" w:rsidR="004D42F9" w:rsidRDefault="004D42F9">
            <w:pPr>
              <w:cnfStyle w:val="000000000000" w:firstRow="0" w:lastRow="0" w:firstColumn="0" w:lastColumn="0" w:oddVBand="0" w:evenVBand="0" w:oddHBand="0" w:evenHBand="0" w:firstRowFirstColumn="0" w:firstRowLastColumn="0" w:lastRowFirstColumn="0" w:lastRowLastColumn="0"/>
            </w:pPr>
            <w:r>
              <w:t>(700)</w:t>
            </w:r>
          </w:p>
        </w:tc>
      </w:tr>
      <w:tr w:rsidR="004D42F9" w14:paraId="31882A29" w14:textId="77777777">
        <w:tc>
          <w:tcPr>
            <w:cnfStyle w:val="001000000000" w:firstRow="0" w:lastRow="0" w:firstColumn="1" w:lastColumn="0" w:oddVBand="0" w:evenVBand="0" w:oddHBand="0" w:evenHBand="0" w:firstRowFirstColumn="0" w:firstRowLastColumn="0" w:lastRowFirstColumn="0" w:lastRowLastColumn="0"/>
            <w:tcW w:w="2694" w:type="dxa"/>
          </w:tcPr>
          <w:p w14:paraId="1C10A9A6" w14:textId="77777777" w:rsidR="004D42F9" w:rsidRDefault="004D42F9">
            <w:r>
              <w:t>Assets recognised for the first time</w:t>
            </w:r>
          </w:p>
        </w:tc>
        <w:tc>
          <w:tcPr>
            <w:tcW w:w="850" w:type="dxa"/>
          </w:tcPr>
          <w:p w14:paraId="4648FBC7" w14:textId="77777777" w:rsidR="004D42F9" w:rsidRDefault="004D42F9">
            <w:pPr>
              <w:cnfStyle w:val="000000000000" w:firstRow="0" w:lastRow="0" w:firstColumn="0" w:lastColumn="0" w:oddVBand="0" w:evenVBand="0" w:oddHBand="0" w:evenHBand="0" w:firstRowFirstColumn="0" w:firstRowLastColumn="0" w:lastRowFirstColumn="0" w:lastRowLastColumn="0"/>
            </w:pPr>
            <w:r>
              <w:t>83</w:t>
            </w:r>
          </w:p>
        </w:tc>
        <w:tc>
          <w:tcPr>
            <w:tcW w:w="1701" w:type="dxa"/>
          </w:tcPr>
          <w:p w14:paraId="78EFDD27"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1418" w:type="dxa"/>
          </w:tcPr>
          <w:p w14:paraId="2504158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8BADFB2"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076" w:type="dxa"/>
          </w:tcPr>
          <w:p w14:paraId="2424689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CE0450" w14:textId="77777777" w:rsidR="004D42F9" w:rsidRDefault="004D42F9">
            <w:pPr>
              <w:cnfStyle w:val="000000000000" w:firstRow="0" w:lastRow="0" w:firstColumn="0" w:lastColumn="0" w:oddVBand="0" w:evenVBand="0" w:oddHBand="0" w:evenHBand="0" w:firstRowFirstColumn="0" w:firstRowLastColumn="0" w:lastRowFirstColumn="0" w:lastRowLastColumn="0"/>
            </w:pPr>
            <w:r>
              <w:t>110</w:t>
            </w:r>
          </w:p>
        </w:tc>
      </w:tr>
      <w:tr w:rsidR="004D42F9" w14:paraId="79EBA8FA" w14:textId="77777777">
        <w:tc>
          <w:tcPr>
            <w:cnfStyle w:val="001000000000" w:firstRow="0" w:lastRow="0" w:firstColumn="1" w:lastColumn="0" w:oddVBand="0" w:evenVBand="0" w:oddHBand="0" w:evenHBand="0" w:firstRowFirstColumn="0" w:firstRowLastColumn="0" w:lastRowFirstColumn="0" w:lastRowLastColumn="0"/>
            <w:tcW w:w="2694" w:type="dxa"/>
          </w:tcPr>
          <w:p w14:paraId="4FC62A1B" w14:textId="77777777" w:rsidR="004D42F9" w:rsidRDefault="004D42F9">
            <w:r>
              <w:t>Impairment</w:t>
            </w:r>
          </w:p>
        </w:tc>
        <w:tc>
          <w:tcPr>
            <w:tcW w:w="850" w:type="dxa"/>
          </w:tcPr>
          <w:p w14:paraId="004A2508" w14:textId="77777777" w:rsidR="004D42F9" w:rsidRDefault="004D42F9">
            <w:pPr>
              <w:cnfStyle w:val="000000000000" w:firstRow="0" w:lastRow="0" w:firstColumn="0" w:lastColumn="0" w:oddVBand="0" w:evenVBand="0" w:oddHBand="0" w:evenHBand="0" w:firstRowFirstColumn="0" w:firstRowLastColumn="0" w:lastRowFirstColumn="0" w:lastRowLastColumn="0"/>
            </w:pPr>
            <w:r>
              <w:t>(68)</w:t>
            </w:r>
          </w:p>
        </w:tc>
        <w:tc>
          <w:tcPr>
            <w:tcW w:w="1701" w:type="dxa"/>
          </w:tcPr>
          <w:p w14:paraId="377B4181"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418" w:type="dxa"/>
          </w:tcPr>
          <w:p w14:paraId="0E8CC20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8FCC92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4BCEC7A"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7EC8D6F6" w14:textId="77777777" w:rsidR="004D42F9" w:rsidRDefault="004D42F9">
            <w:pPr>
              <w:cnfStyle w:val="000000000000" w:firstRow="0" w:lastRow="0" w:firstColumn="0" w:lastColumn="0" w:oddVBand="0" w:evenVBand="0" w:oddHBand="0" w:evenHBand="0" w:firstRowFirstColumn="0" w:firstRowLastColumn="0" w:lastRowFirstColumn="0" w:lastRowLastColumn="0"/>
            </w:pPr>
            <w:r>
              <w:t>(106)</w:t>
            </w:r>
          </w:p>
        </w:tc>
      </w:tr>
      <w:tr w:rsidR="004D42F9" w14:paraId="4465930F" w14:textId="77777777">
        <w:tc>
          <w:tcPr>
            <w:cnfStyle w:val="001000000000" w:firstRow="0" w:lastRow="0" w:firstColumn="1" w:lastColumn="0" w:oddVBand="0" w:evenVBand="0" w:oddHBand="0" w:evenHBand="0" w:firstRowFirstColumn="0" w:firstRowLastColumn="0" w:lastRowFirstColumn="0" w:lastRowLastColumn="0"/>
            <w:tcW w:w="2694" w:type="dxa"/>
            <w:tcBorders>
              <w:bottom w:val="single" w:sz="6" w:space="0" w:color="auto"/>
            </w:tcBorders>
          </w:tcPr>
          <w:p w14:paraId="60BE8AB6" w14:textId="77777777" w:rsidR="004D42F9" w:rsidRDefault="004D42F9">
            <w:r>
              <w:t>Depreciation</w:t>
            </w:r>
          </w:p>
        </w:tc>
        <w:tc>
          <w:tcPr>
            <w:tcW w:w="850" w:type="dxa"/>
            <w:tcBorders>
              <w:bottom w:val="single" w:sz="6" w:space="0" w:color="auto"/>
            </w:tcBorders>
          </w:tcPr>
          <w:p w14:paraId="08DC46C1" w14:textId="77777777" w:rsidR="004D42F9" w:rsidRDefault="004D42F9">
            <w:pPr>
              <w:cnfStyle w:val="000000000000" w:firstRow="0" w:lastRow="0" w:firstColumn="0" w:lastColumn="0" w:oddVBand="0" w:evenVBand="0" w:oddHBand="0" w:evenHBand="0" w:firstRowFirstColumn="0" w:firstRowLastColumn="0" w:lastRowFirstColumn="0" w:lastRowLastColumn="0"/>
            </w:pPr>
            <w:r>
              <w:t>(3 618)</w:t>
            </w:r>
          </w:p>
        </w:tc>
        <w:tc>
          <w:tcPr>
            <w:tcW w:w="1701" w:type="dxa"/>
            <w:tcBorders>
              <w:bottom w:val="single" w:sz="6" w:space="0" w:color="auto"/>
            </w:tcBorders>
          </w:tcPr>
          <w:p w14:paraId="05931D67" w14:textId="77777777" w:rsidR="004D42F9" w:rsidRDefault="004D42F9">
            <w:pPr>
              <w:cnfStyle w:val="000000000000" w:firstRow="0" w:lastRow="0" w:firstColumn="0" w:lastColumn="0" w:oddVBand="0" w:evenVBand="0" w:oddHBand="0" w:evenHBand="0" w:firstRowFirstColumn="0" w:firstRowLastColumn="0" w:lastRowFirstColumn="0" w:lastRowLastColumn="0"/>
            </w:pPr>
            <w:r>
              <w:t>(3 202)</w:t>
            </w:r>
          </w:p>
        </w:tc>
        <w:tc>
          <w:tcPr>
            <w:tcW w:w="1418" w:type="dxa"/>
            <w:tcBorders>
              <w:bottom w:val="single" w:sz="6" w:space="0" w:color="auto"/>
            </w:tcBorders>
          </w:tcPr>
          <w:p w14:paraId="77DBB03D"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(1 129)</w:t>
            </w:r>
          </w:p>
        </w:tc>
        <w:tc>
          <w:tcPr>
            <w:tcW w:w="992" w:type="dxa"/>
            <w:tcBorders>
              <w:bottom w:val="single" w:sz="6" w:space="0" w:color="auto"/>
            </w:tcBorders>
          </w:tcPr>
          <w:p w14:paraId="4204FA5D"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1076" w:type="dxa"/>
            <w:tcBorders>
              <w:bottom w:val="single" w:sz="6" w:space="0" w:color="auto"/>
            </w:tcBorders>
          </w:tcPr>
          <w:p w14:paraId="5405925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4CBAAD5" w14:textId="77777777" w:rsidR="004D42F9" w:rsidRDefault="004D42F9">
            <w:pPr>
              <w:cnfStyle w:val="000000000000" w:firstRow="0" w:lastRow="0" w:firstColumn="0" w:lastColumn="0" w:oddVBand="0" w:evenVBand="0" w:oddHBand="0" w:evenHBand="0" w:firstRowFirstColumn="0" w:firstRowLastColumn="0" w:lastRowFirstColumn="0" w:lastRowLastColumn="0"/>
            </w:pPr>
            <w:r>
              <w:t>(7 964)</w:t>
            </w:r>
          </w:p>
        </w:tc>
      </w:tr>
      <w:tr w:rsidR="004D42F9" w14:paraId="3AD98FB3" w14:textId="77777777">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auto"/>
              <w:bottom w:val="single" w:sz="12" w:space="0" w:color="auto"/>
            </w:tcBorders>
          </w:tcPr>
          <w:p w14:paraId="07C76CA9" w14:textId="77777777" w:rsidR="004D42F9" w:rsidRDefault="004D42F9">
            <w:r>
              <w:rPr>
                <w:b/>
              </w:rPr>
              <w:t>Closing balance</w:t>
            </w:r>
          </w:p>
        </w:tc>
        <w:tc>
          <w:tcPr>
            <w:tcW w:w="850" w:type="dxa"/>
            <w:tcBorders>
              <w:top w:val="single" w:sz="6" w:space="0" w:color="auto"/>
              <w:bottom w:val="single" w:sz="12" w:space="0" w:color="auto"/>
            </w:tcBorders>
          </w:tcPr>
          <w:p w14:paraId="08A04A7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229 401</w:t>
            </w:r>
          </w:p>
        </w:tc>
        <w:tc>
          <w:tcPr>
            <w:tcW w:w="1701" w:type="dxa"/>
            <w:tcBorders>
              <w:top w:val="single" w:sz="6" w:space="0" w:color="auto"/>
              <w:bottom w:val="single" w:sz="12" w:space="0" w:color="auto"/>
            </w:tcBorders>
          </w:tcPr>
          <w:p w14:paraId="085489A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82 898</w:t>
            </w:r>
          </w:p>
        </w:tc>
        <w:tc>
          <w:tcPr>
            <w:tcW w:w="1418" w:type="dxa"/>
            <w:tcBorders>
              <w:top w:val="single" w:sz="6" w:space="0" w:color="auto"/>
              <w:bottom w:val="single" w:sz="12" w:space="0" w:color="auto"/>
            </w:tcBorders>
          </w:tcPr>
          <w:p w14:paraId="2E3077E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52 147</w:t>
            </w:r>
          </w:p>
        </w:tc>
        <w:tc>
          <w:tcPr>
            <w:tcW w:w="992" w:type="dxa"/>
            <w:tcBorders>
              <w:top w:val="single" w:sz="6" w:space="0" w:color="auto"/>
              <w:bottom w:val="single" w:sz="12" w:space="0" w:color="auto"/>
            </w:tcBorders>
          </w:tcPr>
          <w:p w14:paraId="147566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6 914</w:t>
            </w:r>
          </w:p>
        </w:tc>
        <w:tc>
          <w:tcPr>
            <w:tcW w:w="1076" w:type="dxa"/>
            <w:tcBorders>
              <w:top w:val="single" w:sz="6" w:space="0" w:color="auto"/>
              <w:bottom w:val="single" w:sz="12" w:space="0" w:color="auto"/>
            </w:tcBorders>
          </w:tcPr>
          <w:p w14:paraId="76E7980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65 318</w:t>
            </w:r>
          </w:p>
        </w:tc>
        <w:tc>
          <w:tcPr>
            <w:tcW w:w="907" w:type="dxa"/>
            <w:tcBorders>
              <w:top w:val="single" w:sz="6" w:space="0" w:color="auto"/>
              <w:bottom w:val="single" w:sz="12" w:space="0" w:color="auto"/>
            </w:tcBorders>
          </w:tcPr>
          <w:p w14:paraId="2DC0070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436 678</w:t>
            </w:r>
          </w:p>
        </w:tc>
      </w:tr>
    </w:tbl>
    <w:p w14:paraId="476A93CE" w14:textId="77777777" w:rsidR="004D42F9" w:rsidRDefault="004D42F9" w:rsidP="004D42F9"/>
    <w:p w14:paraId="5EB50E24" w14:textId="77777777" w:rsidR="004D42F9" w:rsidRDefault="004D42F9" w:rsidP="004D42F9">
      <w:pPr>
        <w:keepLines w:val="0"/>
      </w:pPr>
      <w:r>
        <w:br w:type="page"/>
      </w:r>
    </w:p>
    <w:p w14:paraId="3EDB98BF" w14:textId="08123F96" w:rsidR="005625C7" w:rsidRDefault="005625C7" w:rsidP="005625C7">
      <w:pPr>
        <w:pStyle w:val="TableHeading"/>
      </w:pPr>
      <w:r>
        <w:lastRenderedPageBreak/>
        <w:t xml:space="preserve">Reconciliation of movements in carrying values during the financial period </w:t>
      </w:r>
      <w:r w:rsidRPr="005625C7">
        <w:rPr>
          <w:i/>
          <w:iCs w:val="0"/>
          <w:sz w:val="18"/>
          <w:szCs w:val="16"/>
        </w:rPr>
        <w:t>(continued)</w:t>
      </w:r>
      <w:r>
        <w:t xml:space="preserve"> </w:t>
      </w:r>
      <w:r w:rsidRPr="00B75012">
        <w:rPr>
          <w:vertAlign w:val="superscript"/>
        </w:rPr>
        <w:t>(a)</w:t>
      </w:r>
      <w:r>
        <w:rPr>
          <w:vertAlign w:val="superscript"/>
        </w:rPr>
        <w:t>(b)</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Recon_NFA_On-costs.xlsx|Table:Reconciliation_of_movements_in_carrying_values_GG_CY"/>
      </w:tblPr>
      <w:tblGrid>
        <w:gridCol w:w="2694"/>
        <w:gridCol w:w="850"/>
        <w:gridCol w:w="1701"/>
        <w:gridCol w:w="1418"/>
        <w:gridCol w:w="992"/>
        <w:gridCol w:w="1076"/>
        <w:gridCol w:w="907"/>
      </w:tblGrid>
      <w:tr w:rsidR="002F56B2" w14:paraId="01E89B8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62EC5FC8" w14:textId="77777777" w:rsidR="004D42F9" w:rsidRDefault="004D42F9">
            <w:pPr>
              <w:keepNext/>
            </w:pPr>
            <w:r>
              <w:t>General government sector</w:t>
            </w:r>
          </w:p>
        </w:tc>
        <w:tc>
          <w:tcPr>
            <w:tcW w:w="850" w:type="dxa"/>
          </w:tcPr>
          <w:p w14:paraId="21235A4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701" w:type="dxa"/>
          </w:tcPr>
          <w:p w14:paraId="644BB28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470CE99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556A2C0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65290BF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2BE199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2F56B2" w14:paraId="047510A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53A39CFA" w14:textId="77777777" w:rsidR="004D42F9" w:rsidRDefault="004D42F9">
            <w:pPr>
              <w:keepNext/>
            </w:pPr>
            <w:r>
              <w:t>2025</w:t>
            </w:r>
          </w:p>
        </w:tc>
        <w:tc>
          <w:tcPr>
            <w:tcW w:w="850" w:type="dxa"/>
          </w:tcPr>
          <w:p w14:paraId="46CA043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Land and buildings</w:t>
            </w:r>
          </w:p>
        </w:tc>
        <w:tc>
          <w:tcPr>
            <w:tcW w:w="1701" w:type="dxa"/>
          </w:tcPr>
          <w:p w14:paraId="4F111B0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1418" w:type="dxa"/>
          </w:tcPr>
          <w:p w14:paraId="5E45F1D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992" w:type="dxa"/>
          </w:tcPr>
          <w:p w14:paraId="3C5AD3D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Cultural assets</w:t>
            </w:r>
          </w:p>
        </w:tc>
        <w:tc>
          <w:tcPr>
            <w:tcW w:w="1076" w:type="dxa"/>
          </w:tcPr>
          <w:p w14:paraId="037CBA3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Construction in progress</w:t>
            </w:r>
          </w:p>
        </w:tc>
        <w:tc>
          <w:tcPr>
            <w:tcW w:w="907" w:type="dxa"/>
          </w:tcPr>
          <w:p w14:paraId="62FFA54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Total</w:t>
            </w:r>
          </w:p>
        </w:tc>
      </w:tr>
      <w:tr w:rsidR="004D42F9" w14:paraId="4D7BBF36" w14:textId="77777777">
        <w:tc>
          <w:tcPr>
            <w:cnfStyle w:val="001000000000" w:firstRow="0" w:lastRow="0" w:firstColumn="1" w:lastColumn="0" w:oddVBand="0" w:evenVBand="0" w:oddHBand="0" w:evenHBand="0" w:firstRowFirstColumn="0" w:firstRowLastColumn="0" w:lastRowFirstColumn="0" w:lastRowLastColumn="0"/>
            <w:tcW w:w="2694" w:type="dxa"/>
          </w:tcPr>
          <w:p w14:paraId="1A0BB6EC" w14:textId="77777777" w:rsidR="004D42F9" w:rsidRDefault="004D42F9">
            <w:r>
              <w:rPr>
                <w:b/>
              </w:rPr>
              <w:t>Opening balance</w:t>
            </w:r>
          </w:p>
        </w:tc>
        <w:tc>
          <w:tcPr>
            <w:tcW w:w="850" w:type="dxa"/>
          </w:tcPr>
          <w:p w14:paraId="4E754BA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156 443</w:t>
            </w:r>
          </w:p>
        </w:tc>
        <w:tc>
          <w:tcPr>
            <w:tcW w:w="1701" w:type="dxa"/>
          </w:tcPr>
          <w:p w14:paraId="04E54B2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5 620</w:t>
            </w:r>
          </w:p>
        </w:tc>
        <w:tc>
          <w:tcPr>
            <w:tcW w:w="1418" w:type="dxa"/>
          </w:tcPr>
          <w:p w14:paraId="6B80AAB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45 029</w:t>
            </w:r>
          </w:p>
        </w:tc>
        <w:tc>
          <w:tcPr>
            <w:tcW w:w="992" w:type="dxa"/>
          </w:tcPr>
          <w:p w14:paraId="422264B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6 810</w:t>
            </w:r>
          </w:p>
        </w:tc>
        <w:tc>
          <w:tcPr>
            <w:tcW w:w="1076" w:type="dxa"/>
          </w:tcPr>
          <w:p w14:paraId="3C7E440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55 789</w:t>
            </w:r>
          </w:p>
        </w:tc>
        <w:tc>
          <w:tcPr>
            <w:tcW w:w="907" w:type="dxa"/>
          </w:tcPr>
          <w:p w14:paraId="5303A27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269 690</w:t>
            </w:r>
          </w:p>
        </w:tc>
      </w:tr>
      <w:tr w:rsidR="004D42F9" w14:paraId="30ABE565" w14:textId="77777777">
        <w:tc>
          <w:tcPr>
            <w:cnfStyle w:val="001000000000" w:firstRow="0" w:lastRow="0" w:firstColumn="1" w:lastColumn="0" w:oddVBand="0" w:evenVBand="0" w:oddHBand="0" w:evenHBand="0" w:firstRowFirstColumn="0" w:firstRowLastColumn="0" w:lastRowFirstColumn="0" w:lastRowLastColumn="0"/>
            <w:tcW w:w="2694" w:type="dxa"/>
          </w:tcPr>
          <w:p w14:paraId="1F63659E" w14:textId="77777777" w:rsidR="004D42F9" w:rsidRDefault="004D42F9">
            <w:r>
              <w:t>Acquisitions of self</w:t>
            </w:r>
            <w:r>
              <w:noBreakHyphen/>
              <w:t xml:space="preserve">owned assets </w:t>
            </w:r>
            <w:r>
              <w:rPr>
                <w:vertAlign w:val="superscript"/>
              </w:rPr>
              <w:t>(c)</w:t>
            </w:r>
          </w:p>
        </w:tc>
        <w:tc>
          <w:tcPr>
            <w:tcW w:w="850" w:type="dxa"/>
          </w:tcPr>
          <w:p w14:paraId="433E208F" w14:textId="77777777" w:rsidR="004D42F9" w:rsidRDefault="004D42F9">
            <w:pPr>
              <w:cnfStyle w:val="000000000000" w:firstRow="0" w:lastRow="0" w:firstColumn="0" w:lastColumn="0" w:oddVBand="0" w:evenVBand="0" w:oddHBand="0" w:evenHBand="0" w:firstRowFirstColumn="0" w:firstRowLastColumn="0" w:lastRowFirstColumn="0" w:lastRowLastColumn="0"/>
            </w:pPr>
            <w:r>
              <w:t>1 016</w:t>
            </w:r>
          </w:p>
        </w:tc>
        <w:tc>
          <w:tcPr>
            <w:tcW w:w="1701" w:type="dxa"/>
          </w:tcPr>
          <w:p w14:paraId="4173F6B3" w14:textId="77777777" w:rsidR="004D42F9" w:rsidRDefault="004D42F9">
            <w:pPr>
              <w:cnfStyle w:val="000000000000" w:firstRow="0" w:lastRow="0" w:firstColumn="0" w:lastColumn="0" w:oddVBand="0" w:evenVBand="0" w:oddHBand="0" w:evenHBand="0" w:firstRowFirstColumn="0" w:firstRowLastColumn="0" w:lastRowFirstColumn="0" w:lastRowLastColumn="0"/>
            </w:pPr>
            <w:r>
              <w:t>651</w:t>
            </w:r>
          </w:p>
        </w:tc>
        <w:tc>
          <w:tcPr>
            <w:tcW w:w="1418" w:type="dxa"/>
          </w:tcPr>
          <w:p w14:paraId="18CC0852"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6667FCB7" w14:textId="77777777" w:rsidR="004D42F9" w:rsidRDefault="004D42F9">
            <w:pPr>
              <w:cnfStyle w:val="000000000000" w:firstRow="0" w:lastRow="0" w:firstColumn="0" w:lastColumn="0" w:oddVBand="0" w:evenVBand="0" w:oddHBand="0" w:evenHBand="0" w:firstRowFirstColumn="0" w:firstRowLastColumn="0" w:lastRowFirstColumn="0" w:lastRowLastColumn="0"/>
            </w:pPr>
            <w:r>
              <w:t>65</w:t>
            </w:r>
          </w:p>
        </w:tc>
        <w:tc>
          <w:tcPr>
            <w:tcW w:w="1076" w:type="dxa"/>
          </w:tcPr>
          <w:p w14:paraId="3E56EAE5" w14:textId="77777777" w:rsidR="004D42F9" w:rsidRDefault="004D42F9">
            <w:pPr>
              <w:cnfStyle w:val="000000000000" w:firstRow="0" w:lastRow="0" w:firstColumn="0" w:lastColumn="0" w:oddVBand="0" w:evenVBand="0" w:oddHBand="0" w:evenHBand="0" w:firstRowFirstColumn="0" w:firstRowLastColumn="0" w:lastRowFirstColumn="0" w:lastRowLastColumn="0"/>
            </w:pPr>
            <w:r>
              <w:t>13 848</w:t>
            </w:r>
          </w:p>
        </w:tc>
        <w:tc>
          <w:tcPr>
            <w:tcW w:w="907" w:type="dxa"/>
          </w:tcPr>
          <w:p w14:paraId="277E3B0B" w14:textId="77777777" w:rsidR="004D42F9" w:rsidRDefault="004D42F9">
            <w:pPr>
              <w:cnfStyle w:val="000000000000" w:firstRow="0" w:lastRow="0" w:firstColumn="0" w:lastColumn="0" w:oddVBand="0" w:evenVBand="0" w:oddHBand="0" w:evenHBand="0" w:firstRowFirstColumn="0" w:firstRowLastColumn="0" w:lastRowFirstColumn="0" w:lastRowLastColumn="0"/>
            </w:pPr>
            <w:r>
              <w:t>15 580</w:t>
            </w:r>
          </w:p>
        </w:tc>
      </w:tr>
      <w:tr w:rsidR="004D42F9" w14:paraId="105D6E7D" w14:textId="77777777">
        <w:tc>
          <w:tcPr>
            <w:cnfStyle w:val="001000000000" w:firstRow="0" w:lastRow="0" w:firstColumn="1" w:lastColumn="0" w:oddVBand="0" w:evenVBand="0" w:oddHBand="0" w:evenHBand="0" w:firstRowFirstColumn="0" w:firstRowLastColumn="0" w:lastRowFirstColumn="0" w:lastRowLastColumn="0"/>
            <w:tcW w:w="2694" w:type="dxa"/>
          </w:tcPr>
          <w:p w14:paraId="4D8C29B5" w14:textId="77777777" w:rsidR="004D42F9" w:rsidRDefault="004D42F9">
            <w:r>
              <w:t>Additions of right</w:t>
            </w:r>
            <w:r>
              <w:noBreakHyphen/>
              <w:t>of</w:t>
            </w:r>
            <w:r>
              <w:noBreakHyphen/>
              <w:t>use assets</w:t>
            </w:r>
          </w:p>
        </w:tc>
        <w:tc>
          <w:tcPr>
            <w:tcW w:w="850" w:type="dxa"/>
          </w:tcPr>
          <w:p w14:paraId="1528F2AD" w14:textId="77777777" w:rsidR="004D42F9" w:rsidRDefault="004D42F9">
            <w:pPr>
              <w:cnfStyle w:val="000000000000" w:firstRow="0" w:lastRow="0" w:firstColumn="0" w:lastColumn="0" w:oddVBand="0" w:evenVBand="0" w:oddHBand="0" w:evenHBand="0" w:firstRowFirstColumn="0" w:firstRowLastColumn="0" w:lastRowFirstColumn="0" w:lastRowLastColumn="0"/>
            </w:pPr>
            <w:r>
              <w:t>219</w:t>
            </w:r>
          </w:p>
        </w:tc>
        <w:tc>
          <w:tcPr>
            <w:tcW w:w="1701" w:type="dxa"/>
          </w:tcPr>
          <w:p w14:paraId="5EF29C3B" w14:textId="77777777" w:rsidR="004D42F9" w:rsidRDefault="004D42F9">
            <w:pPr>
              <w:cnfStyle w:val="000000000000" w:firstRow="0" w:lastRow="0" w:firstColumn="0" w:lastColumn="0" w:oddVBand="0" w:evenVBand="0" w:oddHBand="0" w:evenHBand="0" w:firstRowFirstColumn="0" w:firstRowLastColumn="0" w:lastRowFirstColumn="0" w:lastRowLastColumn="0"/>
            </w:pPr>
            <w:r>
              <w:t>224</w:t>
            </w:r>
          </w:p>
        </w:tc>
        <w:tc>
          <w:tcPr>
            <w:tcW w:w="1418" w:type="dxa"/>
          </w:tcPr>
          <w:p w14:paraId="1C6064E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90C4AE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7A2A7A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607B2A7" w14:textId="77777777" w:rsidR="004D42F9" w:rsidRDefault="004D42F9">
            <w:pPr>
              <w:cnfStyle w:val="000000000000" w:firstRow="0" w:lastRow="0" w:firstColumn="0" w:lastColumn="0" w:oddVBand="0" w:evenVBand="0" w:oddHBand="0" w:evenHBand="0" w:firstRowFirstColumn="0" w:firstRowLastColumn="0" w:lastRowFirstColumn="0" w:lastRowLastColumn="0"/>
            </w:pPr>
            <w:r>
              <w:t>443</w:t>
            </w:r>
          </w:p>
        </w:tc>
      </w:tr>
      <w:tr w:rsidR="004D42F9" w14:paraId="3B9D1AB4" w14:textId="77777777">
        <w:tc>
          <w:tcPr>
            <w:cnfStyle w:val="001000000000" w:firstRow="0" w:lastRow="0" w:firstColumn="1" w:lastColumn="0" w:oddVBand="0" w:evenVBand="0" w:oddHBand="0" w:evenHBand="0" w:firstRowFirstColumn="0" w:firstRowLastColumn="0" w:lastRowFirstColumn="0" w:lastRowLastColumn="0"/>
            <w:tcW w:w="2694" w:type="dxa"/>
          </w:tcPr>
          <w:p w14:paraId="6B645F44" w14:textId="77777777" w:rsidR="004D42F9" w:rsidRDefault="004D42F9">
            <w:r>
              <w:t>Additions of service concession arrangement assets</w:t>
            </w:r>
          </w:p>
        </w:tc>
        <w:tc>
          <w:tcPr>
            <w:tcW w:w="850" w:type="dxa"/>
          </w:tcPr>
          <w:p w14:paraId="04A793D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BDF5462" w14:textId="77777777" w:rsidR="004D42F9" w:rsidRDefault="004D42F9">
            <w:pPr>
              <w:cnfStyle w:val="000000000000" w:firstRow="0" w:lastRow="0" w:firstColumn="0" w:lastColumn="0" w:oddVBand="0" w:evenVBand="0" w:oddHBand="0" w:evenHBand="0" w:firstRowFirstColumn="0" w:firstRowLastColumn="0" w:lastRowFirstColumn="0" w:lastRowLastColumn="0"/>
            </w:pPr>
            <w:r>
              <w:t>66</w:t>
            </w:r>
          </w:p>
        </w:tc>
        <w:tc>
          <w:tcPr>
            <w:tcW w:w="1418" w:type="dxa"/>
          </w:tcPr>
          <w:p w14:paraId="31B4ECB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4E9523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0604C561" w14:textId="77777777" w:rsidR="004D42F9" w:rsidRDefault="004D42F9">
            <w:pPr>
              <w:cnfStyle w:val="000000000000" w:firstRow="0" w:lastRow="0" w:firstColumn="0" w:lastColumn="0" w:oddVBand="0" w:evenVBand="0" w:oddHBand="0" w:evenHBand="0" w:firstRowFirstColumn="0" w:firstRowLastColumn="0" w:lastRowFirstColumn="0" w:lastRowLastColumn="0"/>
            </w:pPr>
            <w:r>
              <w:t>2 139</w:t>
            </w:r>
          </w:p>
        </w:tc>
        <w:tc>
          <w:tcPr>
            <w:tcW w:w="907" w:type="dxa"/>
          </w:tcPr>
          <w:p w14:paraId="0014DE34" w14:textId="77777777" w:rsidR="004D42F9" w:rsidRDefault="004D42F9">
            <w:pPr>
              <w:cnfStyle w:val="000000000000" w:firstRow="0" w:lastRow="0" w:firstColumn="0" w:lastColumn="0" w:oddVBand="0" w:evenVBand="0" w:oddHBand="0" w:evenHBand="0" w:firstRowFirstColumn="0" w:firstRowLastColumn="0" w:lastRowFirstColumn="0" w:lastRowLastColumn="0"/>
            </w:pPr>
            <w:r>
              <w:t>2 205</w:t>
            </w:r>
          </w:p>
        </w:tc>
      </w:tr>
      <w:tr w:rsidR="004D42F9" w14:paraId="432CC3BC" w14:textId="77777777">
        <w:tc>
          <w:tcPr>
            <w:cnfStyle w:val="001000000000" w:firstRow="0" w:lastRow="0" w:firstColumn="1" w:lastColumn="0" w:oddVBand="0" w:evenVBand="0" w:oddHBand="0" w:evenHBand="0" w:firstRowFirstColumn="0" w:firstRowLastColumn="0" w:lastRowFirstColumn="0" w:lastRowLastColumn="0"/>
            <w:tcW w:w="2694" w:type="dxa"/>
          </w:tcPr>
          <w:p w14:paraId="15162C82" w14:textId="77777777" w:rsidR="004D42F9" w:rsidRDefault="004D42F9">
            <w:r>
              <w:t>Transfer to completed assets</w:t>
            </w:r>
          </w:p>
        </w:tc>
        <w:tc>
          <w:tcPr>
            <w:tcW w:w="850" w:type="dxa"/>
          </w:tcPr>
          <w:p w14:paraId="0EB6326C" w14:textId="77777777" w:rsidR="004D42F9" w:rsidRDefault="004D42F9">
            <w:pPr>
              <w:cnfStyle w:val="000000000000" w:firstRow="0" w:lastRow="0" w:firstColumn="0" w:lastColumn="0" w:oddVBand="0" w:evenVBand="0" w:oddHBand="0" w:evenHBand="0" w:firstRowFirstColumn="0" w:firstRowLastColumn="0" w:lastRowFirstColumn="0" w:lastRowLastColumn="0"/>
            </w:pPr>
            <w:r>
              <w:t>3 217</w:t>
            </w:r>
          </w:p>
        </w:tc>
        <w:tc>
          <w:tcPr>
            <w:tcW w:w="1701" w:type="dxa"/>
          </w:tcPr>
          <w:p w14:paraId="7EB91FBD" w14:textId="77777777" w:rsidR="004D42F9" w:rsidRDefault="004D42F9">
            <w:pPr>
              <w:cnfStyle w:val="000000000000" w:firstRow="0" w:lastRow="0" w:firstColumn="0" w:lastColumn="0" w:oddVBand="0" w:evenVBand="0" w:oddHBand="0" w:evenHBand="0" w:firstRowFirstColumn="0" w:firstRowLastColumn="0" w:lastRowFirstColumn="0" w:lastRowLastColumn="0"/>
            </w:pPr>
            <w:r>
              <w:t>402</w:t>
            </w:r>
          </w:p>
        </w:tc>
        <w:tc>
          <w:tcPr>
            <w:tcW w:w="1418" w:type="dxa"/>
          </w:tcPr>
          <w:p w14:paraId="1F0392F1" w14:textId="77777777" w:rsidR="004D42F9" w:rsidRDefault="004D42F9">
            <w:pPr>
              <w:cnfStyle w:val="000000000000" w:firstRow="0" w:lastRow="0" w:firstColumn="0" w:lastColumn="0" w:oddVBand="0" w:evenVBand="0" w:oddHBand="0" w:evenHBand="0" w:firstRowFirstColumn="0" w:firstRowLastColumn="0" w:lastRowFirstColumn="0" w:lastRowLastColumn="0"/>
            </w:pPr>
            <w:r>
              <w:t>2 059</w:t>
            </w:r>
          </w:p>
        </w:tc>
        <w:tc>
          <w:tcPr>
            <w:tcW w:w="992" w:type="dxa"/>
          </w:tcPr>
          <w:p w14:paraId="6728F600"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1076" w:type="dxa"/>
          </w:tcPr>
          <w:p w14:paraId="29723EA9" w14:textId="77777777" w:rsidR="004D42F9" w:rsidRDefault="004D42F9">
            <w:pPr>
              <w:cnfStyle w:val="000000000000" w:firstRow="0" w:lastRow="0" w:firstColumn="0" w:lastColumn="0" w:oddVBand="0" w:evenVBand="0" w:oddHBand="0" w:evenHBand="0" w:firstRowFirstColumn="0" w:firstRowLastColumn="0" w:lastRowFirstColumn="0" w:lastRowLastColumn="0"/>
            </w:pPr>
            <w:r>
              <w:t>(5 682)</w:t>
            </w:r>
          </w:p>
        </w:tc>
        <w:tc>
          <w:tcPr>
            <w:tcW w:w="907" w:type="dxa"/>
          </w:tcPr>
          <w:p w14:paraId="1EDA990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F65EAA8" w14:textId="77777777">
        <w:tc>
          <w:tcPr>
            <w:cnfStyle w:val="001000000000" w:firstRow="0" w:lastRow="0" w:firstColumn="1" w:lastColumn="0" w:oddVBand="0" w:evenVBand="0" w:oddHBand="0" w:evenHBand="0" w:firstRowFirstColumn="0" w:firstRowLastColumn="0" w:lastRowFirstColumn="0" w:lastRowLastColumn="0"/>
            <w:tcW w:w="2694" w:type="dxa"/>
          </w:tcPr>
          <w:p w14:paraId="275DCD41" w14:textId="77777777" w:rsidR="004D42F9" w:rsidRDefault="004D42F9">
            <w:r>
              <w:t>Reclassification</w:t>
            </w:r>
          </w:p>
        </w:tc>
        <w:tc>
          <w:tcPr>
            <w:tcW w:w="850" w:type="dxa"/>
          </w:tcPr>
          <w:p w14:paraId="5497F4CE" w14:textId="77777777" w:rsidR="004D42F9" w:rsidRDefault="004D42F9">
            <w:pPr>
              <w:cnfStyle w:val="000000000000" w:firstRow="0" w:lastRow="0" w:firstColumn="0" w:lastColumn="0" w:oddVBand="0" w:evenVBand="0" w:oddHBand="0" w:evenHBand="0" w:firstRowFirstColumn="0" w:firstRowLastColumn="0" w:lastRowFirstColumn="0" w:lastRowLastColumn="0"/>
            </w:pPr>
            <w:r>
              <w:t>363</w:t>
            </w:r>
          </w:p>
        </w:tc>
        <w:tc>
          <w:tcPr>
            <w:tcW w:w="1701" w:type="dxa"/>
          </w:tcPr>
          <w:p w14:paraId="64975388" w14:textId="77777777" w:rsidR="004D42F9" w:rsidRDefault="004D42F9">
            <w:pPr>
              <w:cnfStyle w:val="000000000000" w:firstRow="0" w:lastRow="0" w:firstColumn="0" w:lastColumn="0" w:oddVBand="0" w:evenVBand="0" w:oddHBand="0" w:evenHBand="0" w:firstRowFirstColumn="0" w:firstRowLastColumn="0" w:lastRowFirstColumn="0" w:lastRowLastColumn="0"/>
            </w:pPr>
            <w:r>
              <w:t>(73)</w:t>
            </w:r>
          </w:p>
        </w:tc>
        <w:tc>
          <w:tcPr>
            <w:tcW w:w="1418" w:type="dxa"/>
          </w:tcPr>
          <w:p w14:paraId="1C6C7A4D"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089C930C" w14:textId="77777777" w:rsidR="004D42F9" w:rsidRDefault="004D42F9">
            <w:pPr>
              <w:cnfStyle w:val="000000000000" w:firstRow="0" w:lastRow="0" w:firstColumn="0" w:lastColumn="0" w:oddVBand="0" w:evenVBand="0" w:oddHBand="0" w:evenHBand="0" w:firstRowFirstColumn="0" w:firstRowLastColumn="0" w:lastRowFirstColumn="0" w:lastRowLastColumn="0"/>
            </w:pPr>
            <w:r>
              <w:t>(69)</w:t>
            </w:r>
          </w:p>
        </w:tc>
        <w:tc>
          <w:tcPr>
            <w:tcW w:w="1076" w:type="dxa"/>
          </w:tcPr>
          <w:p w14:paraId="79C1FA3D" w14:textId="77777777" w:rsidR="004D42F9" w:rsidRDefault="004D42F9">
            <w:pPr>
              <w:cnfStyle w:val="000000000000" w:firstRow="0" w:lastRow="0" w:firstColumn="0" w:lastColumn="0" w:oddVBand="0" w:evenVBand="0" w:oddHBand="0" w:evenHBand="0" w:firstRowFirstColumn="0" w:firstRowLastColumn="0" w:lastRowFirstColumn="0" w:lastRowLastColumn="0"/>
            </w:pPr>
            <w:r>
              <w:t>(180)</w:t>
            </w:r>
          </w:p>
        </w:tc>
        <w:tc>
          <w:tcPr>
            <w:tcW w:w="907" w:type="dxa"/>
          </w:tcPr>
          <w:p w14:paraId="21A9EFEC"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r>
      <w:tr w:rsidR="004D42F9" w14:paraId="28F45D34" w14:textId="77777777">
        <w:tc>
          <w:tcPr>
            <w:cnfStyle w:val="001000000000" w:firstRow="0" w:lastRow="0" w:firstColumn="1" w:lastColumn="0" w:oddVBand="0" w:evenVBand="0" w:oddHBand="0" w:evenHBand="0" w:firstRowFirstColumn="0" w:firstRowLastColumn="0" w:lastRowFirstColumn="0" w:lastRowLastColumn="0"/>
            <w:tcW w:w="2694" w:type="dxa"/>
          </w:tcPr>
          <w:p w14:paraId="53E7F22B" w14:textId="77777777" w:rsidR="004D42F9" w:rsidRDefault="004D42F9">
            <w:r>
              <w:t>Revaluation</w:t>
            </w:r>
            <w:r>
              <w:rPr>
                <w:vertAlign w:val="superscript"/>
              </w:rPr>
              <w:t xml:space="preserve"> </w:t>
            </w:r>
            <w:r w:rsidRPr="004538C2">
              <w:rPr>
                <w:vertAlign w:val="superscript"/>
              </w:rPr>
              <w:t>(d)</w:t>
            </w:r>
          </w:p>
        </w:tc>
        <w:tc>
          <w:tcPr>
            <w:tcW w:w="850" w:type="dxa"/>
          </w:tcPr>
          <w:p w14:paraId="04422BE0" w14:textId="77777777" w:rsidR="004D42F9" w:rsidRDefault="004D42F9">
            <w:pPr>
              <w:cnfStyle w:val="000000000000" w:firstRow="0" w:lastRow="0" w:firstColumn="0" w:lastColumn="0" w:oddVBand="0" w:evenVBand="0" w:oddHBand="0" w:evenHBand="0" w:firstRowFirstColumn="0" w:firstRowLastColumn="0" w:lastRowFirstColumn="0" w:lastRowLastColumn="0"/>
            </w:pPr>
            <w:r>
              <w:t>(5 036)</w:t>
            </w:r>
          </w:p>
        </w:tc>
        <w:tc>
          <w:tcPr>
            <w:tcW w:w="1701" w:type="dxa"/>
          </w:tcPr>
          <w:p w14:paraId="7999D217" w14:textId="77777777" w:rsidR="004D42F9" w:rsidRDefault="004D42F9">
            <w:pPr>
              <w:cnfStyle w:val="000000000000" w:firstRow="0" w:lastRow="0" w:firstColumn="0" w:lastColumn="0" w:oddVBand="0" w:evenVBand="0" w:oddHBand="0" w:evenHBand="0" w:firstRowFirstColumn="0" w:firstRowLastColumn="0" w:lastRowFirstColumn="0" w:lastRowLastColumn="0"/>
            </w:pPr>
            <w:r>
              <w:t>455</w:t>
            </w:r>
          </w:p>
        </w:tc>
        <w:tc>
          <w:tcPr>
            <w:tcW w:w="1418" w:type="dxa"/>
          </w:tcPr>
          <w:p w14:paraId="1D1DB285" w14:textId="77777777" w:rsidR="004D42F9" w:rsidRDefault="004D42F9">
            <w:pPr>
              <w:cnfStyle w:val="000000000000" w:firstRow="0" w:lastRow="0" w:firstColumn="0" w:lastColumn="0" w:oddVBand="0" w:evenVBand="0" w:oddHBand="0" w:evenHBand="0" w:firstRowFirstColumn="0" w:firstRowLastColumn="0" w:lastRowFirstColumn="0" w:lastRowLastColumn="0"/>
            </w:pPr>
            <w:r>
              <w:t>12 107</w:t>
            </w:r>
          </w:p>
        </w:tc>
        <w:tc>
          <w:tcPr>
            <w:tcW w:w="992" w:type="dxa"/>
          </w:tcPr>
          <w:p w14:paraId="17565D07" w14:textId="77777777" w:rsidR="004D42F9" w:rsidRDefault="004D42F9">
            <w:pPr>
              <w:cnfStyle w:val="000000000000" w:firstRow="0" w:lastRow="0" w:firstColumn="0" w:lastColumn="0" w:oddVBand="0" w:evenVBand="0" w:oddHBand="0" w:evenHBand="0" w:firstRowFirstColumn="0" w:firstRowLastColumn="0" w:lastRowFirstColumn="0" w:lastRowLastColumn="0"/>
            </w:pPr>
            <w:r>
              <w:t>650</w:t>
            </w:r>
          </w:p>
        </w:tc>
        <w:tc>
          <w:tcPr>
            <w:tcW w:w="1076" w:type="dxa"/>
          </w:tcPr>
          <w:p w14:paraId="673B9EAC" w14:textId="77777777" w:rsidR="004D42F9" w:rsidRDefault="004D42F9">
            <w:pPr>
              <w:cnfStyle w:val="000000000000" w:firstRow="0" w:lastRow="0" w:firstColumn="0" w:lastColumn="0" w:oddVBand="0" w:evenVBand="0" w:oddHBand="0" w:evenHBand="0" w:firstRowFirstColumn="0" w:firstRowLastColumn="0" w:lastRowFirstColumn="0" w:lastRowLastColumn="0"/>
            </w:pPr>
            <w:r>
              <w:t>625</w:t>
            </w:r>
          </w:p>
        </w:tc>
        <w:tc>
          <w:tcPr>
            <w:tcW w:w="907" w:type="dxa"/>
          </w:tcPr>
          <w:p w14:paraId="7543111C" w14:textId="77777777" w:rsidR="004D42F9" w:rsidRDefault="004D42F9">
            <w:pPr>
              <w:cnfStyle w:val="000000000000" w:firstRow="0" w:lastRow="0" w:firstColumn="0" w:lastColumn="0" w:oddVBand="0" w:evenVBand="0" w:oddHBand="0" w:evenHBand="0" w:firstRowFirstColumn="0" w:firstRowLastColumn="0" w:lastRowFirstColumn="0" w:lastRowLastColumn="0"/>
            </w:pPr>
            <w:r>
              <w:t>8 801</w:t>
            </w:r>
          </w:p>
        </w:tc>
      </w:tr>
      <w:tr w:rsidR="004D42F9" w14:paraId="02CDE8E2" w14:textId="77777777">
        <w:tc>
          <w:tcPr>
            <w:cnfStyle w:val="001000000000" w:firstRow="0" w:lastRow="0" w:firstColumn="1" w:lastColumn="0" w:oddVBand="0" w:evenVBand="0" w:oddHBand="0" w:evenHBand="0" w:firstRowFirstColumn="0" w:firstRowLastColumn="0" w:lastRowFirstColumn="0" w:lastRowLastColumn="0"/>
            <w:tcW w:w="2694" w:type="dxa"/>
          </w:tcPr>
          <w:p w14:paraId="41A85B73" w14:textId="77777777" w:rsidR="004D42F9" w:rsidRDefault="004D42F9">
            <w:r>
              <w:t>Disposals</w:t>
            </w:r>
          </w:p>
        </w:tc>
        <w:tc>
          <w:tcPr>
            <w:tcW w:w="850" w:type="dxa"/>
          </w:tcPr>
          <w:p w14:paraId="72C91028" w14:textId="77777777" w:rsidR="004D42F9" w:rsidRDefault="004D42F9">
            <w:pPr>
              <w:cnfStyle w:val="000000000000" w:firstRow="0" w:lastRow="0" w:firstColumn="0" w:lastColumn="0" w:oddVBand="0" w:evenVBand="0" w:oddHBand="0" w:evenHBand="0" w:firstRowFirstColumn="0" w:firstRowLastColumn="0" w:lastRowFirstColumn="0" w:lastRowLastColumn="0"/>
            </w:pPr>
            <w:r>
              <w:t>(98)</w:t>
            </w:r>
          </w:p>
        </w:tc>
        <w:tc>
          <w:tcPr>
            <w:tcW w:w="1701" w:type="dxa"/>
          </w:tcPr>
          <w:p w14:paraId="267DD661" w14:textId="77777777" w:rsidR="004D42F9" w:rsidRDefault="004D42F9">
            <w:pPr>
              <w:cnfStyle w:val="000000000000" w:firstRow="0" w:lastRow="0" w:firstColumn="0" w:lastColumn="0" w:oddVBand="0" w:evenVBand="0" w:oddHBand="0" w:evenHBand="0" w:firstRowFirstColumn="0" w:firstRowLastColumn="0" w:lastRowFirstColumn="0" w:lastRowLastColumn="0"/>
            </w:pPr>
            <w:r>
              <w:t>(105)</w:t>
            </w:r>
          </w:p>
        </w:tc>
        <w:tc>
          <w:tcPr>
            <w:tcW w:w="1418" w:type="dxa"/>
          </w:tcPr>
          <w:p w14:paraId="449606DA"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4A91BB3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53C783D8"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2819DA06" w14:textId="77777777" w:rsidR="004D42F9" w:rsidRDefault="004D42F9">
            <w:pPr>
              <w:cnfStyle w:val="000000000000" w:firstRow="0" w:lastRow="0" w:firstColumn="0" w:lastColumn="0" w:oddVBand="0" w:evenVBand="0" w:oddHBand="0" w:evenHBand="0" w:firstRowFirstColumn="0" w:firstRowLastColumn="0" w:lastRowFirstColumn="0" w:lastRowLastColumn="0"/>
            </w:pPr>
            <w:r>
              <w:t>(208)</w:t>
            </w:r>
          </w:p>
        </w:tc>
      </w:tr>
      <w:tr w:rsidR="004D42F9" w14:paraId="6ADDEA82" w14:textId="77777777">
        <w:tc>
          <w:tcPr>
            <w:cnfStyle w:val="001000000000" w:firstRow="0" w:lastRow="0" w:firstColumn="1" w:lastColumn="0" w:oddVBand="0" w:evenVBand="0" w:oddHBand="0" w:evenHBand="0" w:firstRowFirstColumn="0" w:firstRowLastColumn="0" w:lastRowFirstColumn="0" w:lastRowLastColumn="0"/>
            <w:tcW w:w="2694" w:type="dxa"/>
          </w:tcPr>
          <w:p w14:paraId="306BCB44" w14:textId="77777777" w:rsidR="004D42F9" w:rsidRDefault="004D42F9">
            <w:r>
              <w:t>Assets recognised for the first time</w:t>
            </w:r>
          </w:p>
        </w:tc>
        <w:tc>
          <w:tcPr>
            <w:tcW w:w="850" w:type="dxa"/>
          </w:tcPr>
          <w:p w14:paraId="3261CD24" w14:textId="77777777" w:rsidR="004D42F9" w:rsidRDefault="004D42F9">
            <w:pPr>
              <w:cnfStyle w:val="000000000000" w:firstRow="0" w:lastRow="0" w:firstColumn="0" w:lastColumn="0" w:oddVBand="0" w:evenVBand="0" w:oddHBand="0" w:evenHBand="0" w:firstRowFirstColumn="0" w:firstRowLastColumn="0" w:lastRowFirstColumn="0" w:lastRowLastColumn="0"/>
            </w:pPr>
            <w:r>
              <w:t>82</w:t>
            </w:r>
          </w:p>
        </w:tc>
        <w:tc>
          <w:tcPr>
            <w:tcW w:w="1701" w:type="dxa"/>
          </w:tcPr>
          <w:p w14:paraId="6D07BBF6"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c>
          <w:tcPr>
            <w:tcW w:w="1418" w:type="dxa"/>
          </w:tcPr>
          <w:p w14:paraId="5CC2BD0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5DBC97B"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1076" w:type="dxa"/>
          </w:tcPr>
          <w:p w14:paraId="4BCD562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6E707B" w14:textId="77777777" w:rsidR="004D42F9" w:rsidRDefault="004D42F9">
            <w:pPr>
              <w:cnfStyle w:val="000000000000" w:firstRow="0" w:lastRow="0" w:firstColumn="0" w:lastColumn="0" w:oddVBand="0" w:evenVBand="0" w:oddHBand="0" w:evenHBand="0" w:firstRowFirstColumn="0" w:firstRowLastColumn="0" w:lastRowFirstColumn="0" w:lastRowLastColumn="0"/>
            </w:pPr>
            <w:r>
              <w:t>98</w:t>
            </w:r>
          </w:p>
        </w:tc>
      </w:tr>
      <w:tr w:rsidR="004D42F9" w14:paraId="3D2404CF" w14:textId="77777777">
        <w:tc>
          <w:tcPr>
            <w:cnfStyle w:val="001000000000" w:firstRow="0" w:lastRow="0" w:firstColumn="1" w:lastColumn="0" w:oddVBand="0" w:evenVBand="0" w:oddHBand="0" w:evenHBand="0" w:firstRowFirstColumn="0" w:firstRowLastColumn="0" w:lastRowFirstColumn="0" w:lastRowLastColumn="0"/>
            <w:tcW w:w="2694" w:type="dxa"/>
          </w:tcPr>
          <w:p w14:paraId="5E7A7689" w14:textId="77777777" w:rsidR="004D42F9" w:rsidRDefault="004D42F9">
            <w:r>
              <w:t>Assets transferred between government entities</w:t>
            </w:r>
            <w:r>
              <w:rPr>
                <w:vertAlign w:val="superscript"/>
              </w:rPr>
              <w:t xml:space="preserve"> (f)</w:t>
            </w:r>
          </w:p>
        </w:tc>
        <w:tc>
          <w:tcPr>
            <w:tcW w:w="850" w:type="dxa"/>
          </w:tcPr>
          <w:p w14:paraId="1B22429C" w14:textId="77777777" w:rsidR="004D42F9" w:rsidRDefault="004D42F9">
            <w:pPr>
              <w:cnfStyle w:val="000000000000" w:firstRow="0" w:lastRow="0" w:firstColumn="0" w:lastColumn="0" w:oddVBand="0" w:evenVBand="0" w:oddHBand="0" w:evenHBand="0" w:firstRowFirstColumn="0" w:firstRowLastColumn="0" w:lastRowFirstColumn="0" w:lastRowLastColumn="0"/>
            </w:pPr>
            <w:r>
              <w:t>32</w:t>
            </w:r>
          </w:p>
        </w:tc>
        <w:tc>
          <w:tcPr>
            <w:tcW w:w="1701" w:type="dxa"/>
          </w:tcPr>
          <w:p w14:paraId="0C62102D"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1418" w:type="dxa"/>
          </w:tcPr>
          <w:p w14:paraId="291335F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10AE1C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7983A7D0" w14:textId="77777777" w:rsidR="004D42F9" w:rsidRDefault="004D42F9">
            <w:pPr>
              <w:cnfStyle w:val="000000000000" w:firstRow="0" w:lastRow="0" w:firstColumn="0" w:lastColumn="0" w:oddVBand="0" w:evenVBand="0" w:oddHBand="0" w:evenHBand="0" w:firstRowFirstColumn="0" w:firstRowLastColumn="0" w:lastRowFirstColumn="0" w:lastRowLastColumn="0"/>
            </w:pPr>
            <w:r>
              <w:t>(3 106)</w:t>
            </w:r>
          </w:p>
        </w:tc>
        <w:tc>
          <w:tcPr>
            <w:tcW w:w="907" w:type="dxa"/>
          </w:tcPr>
          <w:p w14:paraId="4AC9DCAF" w14:textId="77777777" w:rsidR="004D42F9" w:rsidRDefault="004D42F9">
            <w:pPr>
              <w:cnfStyle w:val="000000000000" w:firstRow="0" w:lastRow="0" w:firstColumn="0" w:lastColumn="0" w:oddVBand="0" w:evenVBand="0" w:oddHBand="0" w:evenHBand="0" w:firstRowFirstColumn="0" w:firstRowLastColumn="0" w:lastRowFirstColumn="0" w:lastRowLastColumn="0"/>
            </w:pPr>
            <w:r>
              <w:t>(3 088)</w:t>
            </w:r>
          </w:p>
        </w:tc>
      </w:tr>
      <w:tr w:rsidR="004D42F9" w14:paraId="19B74B51" w14:textId="77777777">
        <w:tc>
          <w:tcPr>
            <w:cnfStyle w:val="001000000000" w:firstRow="0" w:lastRow="0" w:firstColumn="1" w:lastColumn="0" w:oddVBand="0" w:evenVBand="0" w:oddHBand="0" w:evenHBand="0" w:firstRowFirstColumn="0" w:firstRowLastColumn="0" w:lastRowFirstColumn="0" w:lastRowLastColumn="0"/>
            <w:tcW w:w="2694" w:type="dxa"/>
          </w:tcPr>
          <w:p w14:paraId="29D94DDF" w14:textId="77777777" w:rsidR="004D42F9" w:rsidRDefault="004D42F9">
            <w:r>
              <w:t>Impairment</w:t>
            </w:r>
          </w:p>
        </w:tc>
        <w:tc>
          <w:tcPr>
            <w:tcW w:w="850" w:type="dxa"/>
          </w:tcPr>
          <w:p w14:paraId="108D213B" w14:textId="77777777" w:rsidR="004D42F9" w:rsidRDefault="004D42F9">
            <w:pPr>
              <w:cnfStyle w:val="000000000000" w:firstRow="0" w:lastRow="0" w:firstColumn="0" w:lastColumn="0" w:oddVBand="0" w:evenVBand="0" w:oddHBand="0" w:evenHBand="0" w:firstRowFirstColumn="0" w:firstRowLastColumn="0" w:lastRowFirstColumn="0" w:lastRowLastColumn="0"/>
            </w:pPr>
            <w:r>
              <w:t>(45)</w:t>
            </w:r>
          </w:p>
        </w:tc>
        <w:tc>
          <w:tcPr>
            <w:tcW w:w="1701" w:type="dxa"/>
          </w:tcPr>
          <w:p w14:paraId="11409746"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418" w:type="dxa"/>
          </w:tcPr>
          <w:p w14:paraId="75F80CC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810136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BC524D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524394E" w14:textId="77777777" w:rsidR="004D42F9" w:rsidRDefault="004D42F9">
            <w:pPr>
              <w:cnfStyle w:val="000000000000" w:firstRow="0" w:lastRow="0" w:firstColumn="0" w:lastColumn="0" w:oddVBand="0" w:evenVBand="0" w:oddHBand="0" w:evenHBand="0" w:firstRowFirstColumn="0" w:firstRowLastColumn="0" w:lastRowFirstColumn="0" w:lastRowLastColumn="0"/>
            </w:pPr>
            <w:r>
              <w:t>(50)</w:t>
            </w:r>
          </w:p>
        </w:tc>
      </w:tr>
      <w:tr w:rsidR="004D42F9" w14:paraId="0C08C2D9" w14:textId="77777777">
        <w:tc>
          <w:tcPr>
            <w:cnfStyle w:val="001000000000" w:firstRow="0" w:lastRow="0" w:firstColumn="1" w:lastColumn="0" w:oddVBand="0" w:evenVBand="0" w:oddHBand="0" w:evenHBand="0" w:firstRowFirstColumn="0" w:firstRowLastColumn="0" w:lastRowFirstColumn="0" w:lastRowLastColumn="0"/>
            <w:tcW w:w="2694" w:type="dxa"/>
            <w:tcBorders>
              <w:bottom w:val="single" w:sz="6" w:space="0" w:color="auto"/>
            </w:tcBorders>
          </w:tcPr>
          <w:p w14:paraId="27D11E12" w14:textId="77777777" w:rsidR="004D42F9" w:rsidRDefault="004D42F9">
            <w:r>
              <w:t>Depreciation</w:t>
            </w:r>
          </w:p>
        </w:tc>
        <w:tc>
          <w:tcPr>
            <w:tcW w:w="850" w:type="dxa"/>
            <w:tcBorders>
              <w:bottom w:val="single" w:sz="6" w:space="0" w:color="auto"/>
            </w:tcBorders>
          </w:tcPr>
          <w:p w14:paraId="1C7B627F" w14:textId="77777777" w:rsidR="004D42F9" w:rsidRDefault="004D42F9">
            <w:pPr>
              <w:cnfStyle w:val="000000000000" w:firstRow="0" w:lastRow="0" w:firstColumn="0" w:lastColumn="0" w:oddVBand="0" w:evenVBand="0" w:oddHBand="0" w:evenHBand="0" w:firstRowFirstColumn="0" w:firstRowLastColumn="0" w:lastRowFirstColumn="0" w:lastRowLastColumn="0"/>
            </w:pPr>
            <w:r>
              <w:t>(3 147)</w:t>
            </w:r>
          </w:p>
        </w:tc>
        <w:tc>
          <w:tcPr>
            <w:tcW w:w="1701" w:type="dxa"/>
            <w:tcBorders>
              <w:bottom w:val="single" w:sz="6" w:space="0" w:color="auto"/>
            </w:tcBorders>
          </w:tcPr>
          <w:p w14:paraId="447E6054" w14:textId="77777777" w:rsidR="004D42F9" w:rsidRDefault="004D42F9">
            <w:pPr>
              <w:cnfStyle w:val="000000000000" w:firstRow="0" w:lastRow="0" w:firstColumn="0" w:lastColumn="0" w:oddVBand="0" w:evenVBand="0" w:oddHBand="0" w:evenHBand="0" w:firstRowFirstColumn="0" w:firstRowLastColumn="0" w:lastRowFirstColumn="0" w:lastRowLastColumn="0"/>
            </w:pPr>
            <w:r>
              <w:t>(976)</w:t>
            </w:r>
          </w:p>
        </w:tc>
        <w:tc>
          <w:tcPr>
            <w:tcW w:w="1418" w:type="dxa"/>
            <w:tcBorders>
              <w:bottom w:val="single" w:sz="6" w:space="0" w:color="auto"/>
            </w:tcBorders>
          </w:tcPr>
          <w:p w14:paraId="3F424737"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(1 128)</w:t>
            </w:r>
          </w:p>
        </w:tc>
        <w:tc>
          <w:tcPr>
            <w:tcW w:w="992" w:type="dxa"/>
            <w:tcBorders>
              <w:bottom w:val="single" w:sz="6" w:space="0" w:color="auto"/>
            </w:tcBorders>
          </w:tcPr>
          <w:p w14:paraId="6CB2D481"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1076" w:type="dxa"/>
            <w:tcBorders>
              <w:bottom w:val="single" w:sz="6" w:space="0" w:color="auto"/>
            </w:tcBorders>
          </w:tcPr>
          <w:p w14:paraId="238F5CA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DE2ACB7" w14:textId="77777777" w:rsidR="004D42F9" w:rsidRDefault="004D42F9">
            <w:pPr>
              <w:cnfStyle w:val="000000000000" w:firstRow="0" w:lastRow="0" w:firstColumn="0" w:lastColumn="0" w:oddVBand="0" w:evenVBand="0" w:oddHBand="0" w:evenHBand="0" w:firstRowFirstColumn="0" w:firstRowLastColumn="0" w:lastRowFirstColumn="0" w:lastRowLastColumn="0"/>
            </w:pPr>
            <w:r>
              <w:t>(5 267)</w:t>
            </w:r>
          </w:p>
        </w:tc>
      </w:tr>
      <w:tr w:rsidR="004D42F9" w14:paraId="48FF6F03" w14:textId="77777777">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auto"/>
              <w:bottom w:val="single" w:sz="12" w:space="0" w:color="auto"/>
            </w:tcBorders>
          </w:tcPr>
          <w:p w14:paraId="4727B48E" w14:textId="77777777" w:rsidR="004D42F9" w:rsidRDefault="004D42F9">
            <w:r>
              <w:rPr>
                <w:b/>
              </w:rPr>
              <w:t>Closing balance</w:t>
            </w:r>
          </w:p>
        </w:tc>
        <w:tc>
          <w:tcPr>
            <w:tcW w:w="850" w:type="dxa"/>
            <w:tcBorders>
              <w:top w:val="single" w:sz="6" w:space="0" w:color="auto"/>
              <w:bottom w:val="single" w:sz="12" w:space="0" w:color="auto"/>
            </w:tcBorders>
          </w:tcPr>
          <w:p w14:paraId="59468E7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153 045</w:t>
            </w:r>
          </w:p>
        </w:tc>
        <w:tc>
          <w:tcPr>
            <w:tcW w:w="1701" w:type="dxa"/>
            <w:tcBorders>
              <w:top w:val="single" w:sz="6" w:space="0" w:color="auto"/>
              <w:bottom w:val="single" w:sz="12" w:space="0" w:color="auto"/>
            </w:tcBorders>
          </w:tcPr>
          <w:p w14:paraId="02D548A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6 258</w:t>
            </w:r>
          </w:p>
        </w:tc>
        <w:tc>
          <w:tcPr>
            <w:tcW w:w="1418" w:type="dxa"/>
            <w:tcBorders>
              <w:top w:val="single" w:sz="6" w:space="0" w:color="auto"/>
              <w:bottom w:val="single" w:sz="12" w:space="0" w:color="auto"/>
            </w:tcBorders>
          </w:tcPr>
          <w:p w14:paraId="4B4FD5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58 065</w:t>
            </w:r>
          </w:p>
        </w:tc>
        <w:tc>
          <w:tcPr>
            <w:tcW w:w="992" w:type="dxa"/>
            <w:tcBorders>
              <w:top w:val="single" w:sz="6" w:space="0" w:color="auto"/>
              <w:bottom w:val="single" w:sz="12" w:space="0" w:color="auto"/>
            </w:tcBorders>
          </w:tcPr>
          <w:p w14:paraId="50B3E74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7 445</w:t>
            </w:r>
          </w:p>
        </w:tc>
        <w:tc>
          <w:tcPr>
            <w:tcW w:w="1076" w:type="dxa"/>
            <w:tcBorders>
              <w:top w:val="single" w:sz="6" w:space="0" w:color="auto"/>
              <w:bottom w:val="single" w:sz="12" w:space="0" w:color="auto"/>
            </w:tcBorders>
          </w:tcPr>
          <w:p w14:paraId="20BBFA5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63 431</w:t>
            </w:r>
          </w:p>
        </w:tc>
        <w:tc>
          <w:tcPr>
            <w:tcW w:w="907" w:type="dxa"/>
            <w:tcBorders>
              <w:top w:val="single" w:sz="6" w:space="0" w:color="auto"/>
              <w:bottom w:val="single" w:sz="12" w:space="0" w:color="auto"/>
            </w:tcBorders>
          </w:tcPr>
          <w:p w14:paraId="667F9EE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288 244</w:t>
            </w:r>
          </w:p>
        </w:tc>
      </w:tr>
    </w:tbl>
    <w:p w14:paraId="0A52AC4C"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Prior_Year_NFA_RECO.xlsx|Table:Manual_reconciliation_of_movements_NFA_GG_PY"/>
      </w:tblPr>
      <w:tblGrid>
        <w:gridCol w:w="2694"/>
        <w:gridCol w:w="850"/>
        <w:gridCol w:w="1701"/>
        <w:gridCol w:w="1418"/>
        <w:gridCol w:w="992"/>
        <w:gridCol w:w="1076"/>
        <w:gridCol w:w="907"/>
      </w:tblGrid>
      <w:tr w:rsidR="002F56B2" w14:paraId="49311D1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20A889CC" w14:textId="77777777" w:rsidR="004D42F9" w:rsidRDefault="004D42F9">
            <w:pPr>
              <w:keepNext/>
            </w:pPr>
            <w:r>
              <w:t>2024</w:t>
            </w:r>
          </w:p>
        </w:tc>
        <w:tc>
          <w:tcPr>
            <w:tcW w:w="850" w:type="dxa"/>
          </w:tcPr>
          <w:p w14:paraId="7CBB14B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701" w:type="dxa"/>
          </w:tcPr>
          <w:p w14:paraId="3015FCB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568C71F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64FCCBC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512249D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B78827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04FA65F7" w14:textId="77777777">
        <w:tc>
          <w:tcPr>
            <w:cnfStyle w:val="001000000000" w:firstRow="0" w:lastRow="0" w:firstColumn="1" w:lastColumn="0" w:oddVBand="0" w:evenVBand="0" w:oddHBand="0" w:evenHBand="0" w:firstRowFirstColumn="0" w:firstRowLastColumn="0" w:lastRowFirstColumn="0" w:lastRowLastColumn="0"/>
            <w:tcW w:w="2694" w:type="dxa"/>
          </w:tcPr>
          <w:p w14:paraId="7C36C93C" w14:textId="77777777" w:rsidR="004D42F9" w:rsidRDefault="004D42F9">
            <w:r>
              <w:rPr>
                <w:b/>
              </w:rPr>
              <w:t>Opening balance</w:t>
            </w:r>
          </w:p>
        </w:tc>
        <w:tc>
          <w:tcPr>
            <w:tcW w:w="850" w:type="dxa"/>
          </w:tcPr>
          <w:p w14:paraId="5CD2EB9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147 488</w:t>
            </w:r>
          </w:p>
        </w:tc>
        <w:tc>
          <w:tcPr>
            <w:tcW w:w="1701" w:type="dxa"/>
          </w:tcPr>
          <w:p w14:paraId="22A6111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5 248</w:t>
            </w:r>
          </w:p>
        </w:tc>
        <w:tc>
          <w:tcPr>
            <w:tcW w:w="1418" w:type="dxa"/>
          </w:tcPr>
          <w:p w14:paraId="57EAB9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45 088</w:t>
            </w:r>
          </w:p>
        </w:tc>
        <w:tc>
          <w:tcPr>
            <w:tcW w:w="992" w:type="dxa"/>
          </w:tcPr>
          <w:p w14:paraId="62E8F5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6 749</w:t>
            </w:r>
          </w:p>
        </w:tc>
        <w:tc>
          <w:tcPr>
            <w:tcW w:w="1076" w:type="dxa"/>
          </w:tcPr>
          <w:p w14:paraId="1E1496C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44 908</w:t>
            </w:r>
          </w:p>
        </w:tc>
        <w:tc>
          <w:tcPr>
            <w:tcW w:w="907" w:type="dxa"/>
          </w:tcPr>
          <w:p w14:paraId="16E9089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249 480</w:t>
            </w:r>
          </w:p>
        </w:tc>
      </w:tr>
      <w:tr w:rsidR="004D42F9" w14:paraId="0FEFF989" w14:textId="77777777">
        <w:tc>
          <w:tcPr>
            <w:cnfStyle w:val="001000000000" w:firstRow="0" w:lastRow="0" w:firstColumn="1" w:lastColumn="0" w:oddVBand="0" w:evenVBand="0" w:oddHBand="0" w:evenHBand="0" w:firstRowFirstColumn="0" w:firstRowLastColumn="0" w:lastRowFirstColumn="0" w:lastRowLastColumn="0"/>
            <w:tcW w:w="2694" w:type="dxa"/>
          </w:tcPr>
          <w:p w14:paraId="15266C8E" w14:textId="77777777" w:rsidR="004D42F9" w:rsidRDefault="004D42F9">
            <w:r>
              <w:t>Acquisitions of self</w:t>
            </w:r>
            <w:r>
              <w:noBreakHyphen/>
              <w:t xml:space="preserve">owned assets </w:t>
            </w:r>
            <w:r>
              <w:rPr>
                <w:vertAlign w:val="superscript"/>
              </w:rPr>
              <w:t>(c)</w:t>
            </w:r>
          </w:p>
        </w:tc>
        <w:tc>
          <w:tcPr>
            <w:tcW w:w="850" w:type="dxa"/>
          </w:tcPr>
          <w:p w14:paraId="7E1F436C" w14:textId="77777777" w:rsidR="004D42F9" w:rsidRDefault="004D42F9">
            <w:pPr>
              <w:cnfStyle w:val="000000000000" w:firstRow="0" w:lastRow="0" w:firstColumn="0" w:lastColumn="0" w:oddVBand="0" w:evenVBand="0" w:oddHBand="0" w:evenHBand="0" w:firstRowFirstColumn="0" w:firstRowLastColumn="0" w:lastRowFirstColumn="0" w:lastRowLastColumn="0"/>
            </w:pPr>
            <w:r>
              <w:t>1 645</w:t>
            </w:r>
          </w:p>
        </w:tc>
        <w:tc>
          <w:tcPr>
            <w:tcW w:w="1701" w:type="dxa"/>
          </w:tcPr>
          <w:p w14:paraId="106A7D26" w14:textId="77777777" w:rsidR="004D42F9" w:rsidRDefault="004D42F9">
            <w:pPr>
              <w:cnfStyle w:val="000000000000" w:firstRow="0" w:lastRow="0" w:firstColumn="0" w:lastColumn="0" w:oddVBand="0" w:evenVBand="0" w:oddHBand="0" w:evenHBand="0" w:firstRowFirstColumn="0" w:firstRowLastColumn="0" w:lastRowFirstColumn="0" w:lastRowLastColumn="0"/>
            </w:pPr>
            <w:r>
              <w:t>570</w:t>
            </w:r>
          </w:p>
        </w:tc>
        <w:tc>
          <w:tcPr>
            <w:tcW w:w="1418" w:type="dxa"/>
          </w:tcPr>
          <w:p w14:paraId="604FD878"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92" w:type="dxa"/>
          </w:tcPr>
          <w:p w14:paraId="7230603D" w14:textId="77777777" w:rsidR="004D42F9" w:rsidRDefault="004D42F9">
            <w:pPr>
              <w:cnfStyle w:val="000000000000" w:firstRow="0" w:lastRow="0" w:firstColumn="0" w:lastColumn="0" w:oddVBand="0" w:evenVBand="0" w:oddHBand="0" w:evenHBand="0" w:firstRowFirstColumn="0" w:firstRowLastColumn="0" w:lastRowFirstColumn="0" w:lastRowLastColumn="0"/>
            </w:pPr>
            <w:r>
              <w:t>36</w:t>
            </w:r>
          </w:p>
        </w:tc>
        <w:tc>
          <w:tcPr>
            <w:tcW w:w="1076" w:type="dxa"/>
          </w:tcPr>
          <w:p w14:paraId="44E8EC89" w14:textId="77777777" w:rsidR="004D42F9" w:rsidRDefault="004D42F9">
            <w:pPr>
              <w:cnfStyle w:val="000000000000" w:firstRow="0" w:lastRow="0" w:firstColumn="0" w:lastColumn="0" w:oddVBand="0" w:evenVBand="0" w:oddHBand="0" w:evenHBand="0" w:firstRowFirstColumn="0" w:firstRowLastColumn="0" w:lastRowFirstColumn="0" w:lastRowLastColumn="0"/>
            </w:pPr>
            <w:r>
              <w:t>13 884</w:t>
            </w:r>
          </w:p>
        </w:tc>
        <w:tc>
          <w:tcPr>
            <w:tcW w:w="907" w:type="dxa"/>
          </w:tcPr>
          <w:p w14:paraId="36C71EA9" w14:textId="77777777" w:rsidR="004D42F9" w:rsidRDefault="004D42F9">
            <w:pPr>
              <w:cnfStyle w:val="000000000000" w:firstRow="0" w:lastRow="0" w:firstColumn="0" w:lastColumn="0" w:oddVBand="0" w:evenVBand="0" w:oddHBand="0" w:evenHBand="0" w:firstRowFirstColumn="0" w:firstRowLastColumn="0" w:lastRowFirstColumn="0" w:lastRowLastColumn="0"/>
            </w:pPr>
            <w:r>
              <w:t>16 138</w:t>
            </w:r>
          </w:p>
        </w:tc>
      </w:tr>
      <w:tr w:rsidR="004D42F9" w14:paraId="41EC0265" w14:textId="77777777">
        <w:tc>
          <w:tcPr>
            <w:cnfStyle w:val="001000000000" w:firstRow="0" w:lastRow="0" w:firstColumn="1" w:lastColumn="0" w:oddVBand="0" w:evenVBand="0" w:oddHBand="0" w:evenHBand="0" w:firstRowFirstColumn="0" w:firstRowLastColumn="0" w:lastRowFirstColumn="0" w:lastRowLastColumn="0"/>
            <w:tcW w:w="2694" w:type="dxa"/>
          </w:tcPr>
          <w:p w14:paraId="0444C2D5" w14:textId="77777777" w:rsidR="004D42F9" w:rsidRDefault="004D42F9">
            <w:r>
              <w:t>Additions of right</w:t>
            </w:r>
            <w:r>
              <w:noBreakHyphen/>
              <w:t>of</w:t>
            </w:r>
            <w:r>
              <w:noBreakHyphen/>
              <w:t>use assets</w:t>
            </w:r>
          </w:p>
        </w:tc>
        <w:tc>
          <w:tcPr>
            <w:tcW w:w="850" w:type="dxa"/>
          </w:tcPr>
          <w:p w14:paraId="5CF3127C" w14:textId="77777777" w:rsidR="004D42F9" w:rsidRDefault="004D42F9">
            <w:pPr>
              <w:cnfStyle w:val="000000000000" w:firstRow="0" w:lastRow="0" w:firstColumn="0" w:lastColumn="0" w:oddVBand="0" w:evenVBand="0" w:oddHBand="0" w:evenHBand="0" w:firstRowFirstColumn="0" w:firstRowLastColumn="0" w:lastRowFirstColumn="0" w:lastRowLastColumn="0"/>
            </w:pPr>
            <w:r>
              <w:t>566</w:t>
            </w:r>
          </w:p>
        </w:tc>
        <w:tc>
          <w:tcPr>
            <w:tcW w:w="1701" w:type="dxa"/>
          </w:tcPr>
          <w:p w14:paraId="74190638" w14:textId="77777777" w:rsidR="004D42F9" w:rsidRDefault="004D42F9">
            <w:pPr>
              <w:cnfStyle w:val="000000000000" w:firstRow="0" w:lastRow="0" w:firstColumn="0" w:lastColumn="0" w:oddVBand="0" w:evenVBand="0" w:oddHBand="0" w:evenHBand="0" w:firstRowFirstColumn="0" w:firstRowLastColumn="0" w:lastRowFirstColumn="0" w:lastRowLastColumn="0"/>
            </w:pPr>
            <w:r>
              <w:t>580</w:t>
            </w:r>
          </w:p>
        </w:tc>
        <w:tc>
          <w:tcPr>
            <w:tcW w:w="1418" w:type="dxa"/>
          </w:tcPr>
          <w:p w14:paraId="7F10971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3A822EA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F44343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937492"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1 145</w:t>
            </w:r>
          </w:p>
        </w:tc>
      </w:tr>
      <w:tr w:rsidR="004D42F9" w14:paraId="421CBC65" w14:textId="77777777">
        <w:tc>
          <w:tcPr>
            <w:cnfStyle w:val="001000000000" w:firstRow="0" w:lastRow="0" w:firstColumn="1" w:lastColumn="0" w:oddVBand="0" w:evenVBand="0" w:oddHBand="0" w:evenHBand="0" w:firstRowFirstColumn="0" w:firstRowLastColumn="0" w:lastRowFirstColumn="0" w:lastRowLastColumn="0"/>
            <w:tcW w:w="2694" w:type="dxa"/>
          </w:tcPr>
          <w:p w14:paraId="1624B21D" w14:textId="77777777" w:rsidR="004D42F9" w:rsidRDefault="004D42F9">
            <w:r>
              <w:t>Additions of service concession arrangement assets</w:t>
            </w:r>
          </w:p>
        </w:tc>
        <w:tc>
          <w:tcPr>
            <w:tcW w:w="850" w:type="dxa"/>
          </w:tcPr>
          <w:p w14:paraId="18D1B8B6"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701" w:type="dxa"/>
          </w:tcPr>
          <w:p w14:paraId="40A7DE1B" w14:textId="77777777" w:rsidR="004D42F9" w:rsidRDefault="004D42F9">
            <w:pPr>
              <w:cnfStyle w:val="000000000000" w:firstRow="0" w:lastRow="0" w:firstColumn="0" w:lastColumn="0" w:oddVBand="0" w:evenVBand="0" w:oddHBand="0" w:evenHBand="0" w:firstRowFirstColumn="0" w:firstRowLastColumn="0" w:lastRowFirstColumn="0" w:lastRowLastColumn="0"/>
            </w:pPr>
            <w:r>
              <w:t>44</w:t>
            </w:r>
          </w:p>
        </w:tc>
        <w:tc>
          <w:tcPr>
            <w:tcW w:w="1418" w:type="dxa"/>
          </w:tcPr>
          <w:p w14:paraId="0300904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7AC68F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3C43656F" w14:textId="77777777" w:rsidR="004D42F9" w:rsidRDefault="004D42F9">
            <w:pPr>
              <w:cnfStyle w:val="000000000000" w:firstRow="0" w:lastRow="0" w:firstColumn="0" w:lastColumn="0" w:oddVBand="0" w:evenVBand="0" w:oddHBand="0" w:evenHBand="0" w:firstRowFirstColumn="0" w:firstRowLastColumn="0" w:lastRowFirstColumn="0" w:lastRowLastColumn="0"/>
            </w:pPr>
            <w:r>
              <w:t>3 509</w:t>
            </w:r>
          </w:p>
        </w:tc>
        <w:tc>
          <w:tcPr>
            <w:tcW w:w="907" w:type="dxa"/>
          </w:tcPr>
          <w:p w14:paraId="0097296C" w14:textId="77777777" w:rsidR="004D42F9" w:rsidRDefault="004D42F9">
            <w:pPr>
              <w:cnfStyle w:val="000000000000" w:firstRow="0" w:lastRow="0" w:firstColumn="0" w:lastColumn="0" w:oddVBand="0" w:evenVBand="0" w:oddHBand="0" w:evenHBand="0" w:firstRowFirstColumn="0" w:firstRowLastColumn="0" w:lastRowFirstColumn="0" w:lastRowLastColumn="0"/>
            </w:pPr>
            <w:r>
              <w:t>3 588</w:t>
            </w:r>
          </w:p>
        </w:tc>
      </w:tr>
      <w:tr w:rsidR="004D42F9" w14:paraId="6C232911" w14:textId="77777777">
        <w:tc>
          <w:tcPr>
            <w:cnfStyle w:val="001000000000" w:firstRow="0" w:lastRow="0" w:firstColumn="1" w:lastColumn="0" w:oddVBand="0" w:evenVBand="0" w:oddHBand="0" w:evenHBand="0" w:firstRowFirstColumn="0" w:firstRowLastColumn="0" w:lastRowFirstColumn="0" w:lastRowLastColumn="0"/>
            <w:tcW w:w="2694" w:type="dxa"/>
          </w:tcPr>
          <w:p w14:paraId="63745651" w14:textId="77777777" w:rsidR="004D42F9" w:rsidRDefault="004D42F9">
            <w:r>
              <w:t>Transfer to completed assets</w:t>
            </w:r>
          </w:p>
        </w:tc>
        <w:tc>
          <w:tcPr>
            <w:tcW w:w="850" w:type="dxa"/>
          </w:tcPr>
          <w:p w14:paraId="01204EC0" w14:textId="77777777" w:rsidR="004D42F9" w:rsidRDefault="004D42F9">
            <w:pPr>
              <w:cnfStyle w:val="000000000000" w:firstRow="0" w:lastRow="0" w:firstColumn="0" w:lastColumn="0" w:oddVBand="0" w:evenVBand="0" w:oddHBand="0" w:evenHBand="0" w:firstRowFirstColumn="0" w:firstRowLastColumn="0" w:lastRowFirstColumn="0" w:lastRowLastColumn="0"/>
            </w:pPr>
            <w:r>
              <w:t>2 669</w:t>
            </w:r>
          </w:p>
        </w:tc>
        <w:tc>
          <w:tcPr>
            <w:tcW w:w="1701" w:type="dxa"/>
          </w:tcPr>
          <w:p w14:paraId="4F79CFC0" w14:textId="77777777" w:rsidR="004D42F9" w:rsidRDefault="004D42F9">
            <w:pPr>
              <w:cnfStyle w:val="000000000000" w:firstRow="0" w:lastRow="0" w:firstColumn="0" w:lastColumn="0" w:oddVBand="0" w:evenVBand="0" w:oddHBand="0" w:evenHBand="0" w:firstRowFirstColumn="0" w:firstRowLastColumn="0" w:lastRowFirstColumn="0" w:lastRowLastColumn="0"/>
            </w:pPr>
            <w:r>
              <w:t>90</w:t>
            </w:r>
          </w:p>
        </w:tc>
        <w:tc>
          <w:tcPr>
            <w:tcW w:w="1418" w:type="dxa"/>
          </w:tcPr>
          <w:p w14:paraId="0F23D4D7"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1 141</w:t>
            </w:r>
          </w:p>
        </w:tc>
        <w:tc>
          <w:tcPr>
            <w:tcW w:w="992" w:type="dxa"/>
          </w:tcPr>
          <w:p w14:paraId="6CA9041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2B0F955E" w14:textId="77777777" w:rsidR="004D42F9" w:rsidRDefault="004D42F9">
            <w:pPr>
              <w:cnfStyle w:val="000000000000" w:firstRow="0" w:lastRow="0" w:firstColumn="0" w:lastColumn="0" w:oddVBand="0" w:evenVBand="0" w:oddHBand="0" w:evenHBand="0" w:firstRowFirstColumn="0" w:firstRowLastColumn="0" w:lastRowFirstColumn="0" w:lastRowLastColumn="0"/>
            </w:pPr>
            <w:r>
              <w:t>(3 901)</w:t>
            </w:r>
          </w:p>
        </w:tc>
        <w:tc>
          <w:tcPr>
            <w:tcW w:w="907" w:type="dxa"/>
          </w:tcPr>
          <w:p w14:paraId="0FE1FFE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5D4CC2E" w14:textId="77777777">
        <w:tc>
          <w:tcPr>
            <w:cnfStyle w:val="001000000000" w:firstRow="0" w:lastRow="0" w:firstColumn="1" w:lastColumn="0" w:oddVBand="0" w:evenVBand="0" w:oddHBand="0" w:evenHBand="0" w:firstRowFirstColumn="0" w:firstRowLastColumn="0" w:lastRowFirstColumn="0" w:lastRowLastColumn="0"/>
            <w:tcW w:w="2694" w:type="dxa"/>
          </w:tcPr>
          <w:p w14:paraId="1BEB5D73" w14:textId="77777777" w:rsidR="004D42F9" w:rsidRDefault="004D42F9">
            <w:r>
              <w:t>Reclassification</w:t>
            </w:r>
          </w:p>
        </w:tc>
        <w:tc>
          <w:tcPr>
            <w:tcW w:w="850" w:type="dxa"/>
          </w:tcPr>
          <w:p w14:paraId="2F6CCA63" w14:textId="77777777" w:rsidR="004D42F9" w:rsidRDefault="004D42F9">
            <w:pPr>
              <w:cnfStyle w:val="000000000000" w:firstRow="0" w:lastRow="0" w:firstColumn="0" w:lastColumn="0" w:oddVBand="0" w:evenVBand="0" w:oddHBand="0" w:evenHBand="0" w:firstRowFirstColumn="0" w:firstRowLastColumn="0" w:lastRowFirstColumn="0" w:lastRowLastColumn="0"/>
            </w:pPr>
            <w:r>
              <w:t>(112)</w:t>
            </w:r>
          </w:p>
        </w:tc>
        <w:tc>
          <w:tcPr>
            <w:tcW w:w="1701" w:type="dxa"/>
          </w:tcPr>
          <w:p w14:paraId="7B9D07FC" w14:textId="77777777" w:rsidR="004D42F9" w:rsidRDefault="004D42F9">
            <w:pPr>
              <w:cnfStyle w:val="000000000000" w:firstRow="0" w:lastRow="0" w:firstColumn="0" w:lastColumn="0" w:oddVBand="0" w:evenVBand="0" w:oddHBand="0" w:evenHBand="0" w:firstRowFirstColumn="0" w:firstRowLastColumn="0" w:lastRowFirstColumn="0" w:lastRowLastColumn="0"/>
            </w:pPr>
            <w:r>
              <w:t>(24)</w:t>
            </w:r>
          </w:p>
        </w:tc>
        <w:tc>
          <w:tcPr>
            <w:tcW w:w="1418" w:type="dxa"/>
          </w:tcPr>
          <w:p w14:paraId="52484E73"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3AF66E04"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076" w:type="dxa"/>
          </w:tcPr>
          <w:p w14:paraId="1AE759EF" w14:textId="77777777" w:rsidR="004D42F9" w:rsidRDefault="004D42F9">
            <w:pPr>
              <w:cnfStyle w:val="000000000000" w:firstRow="0" w:lastRow="0" w:firstColumn="0" w:lastColumn="0" w:oddVBand="0" w:evenVBand="0" w:oddHBand="0" w:evenHBand="0" w:firstRowFirstColumn="0" w:firstRowLastColumn="0" w:lastRowFirstColumn="0" w:lastRowLastColumn="0"/>
            </w:pPr>
            <w:r>
              <w:t>(384)</w:t>
            </w:r>
          </w:p>
        </w:tc>
        <w:tc>
          <w:tcPr>
            <w:tcW w:w="907" w:type="dxa"/>
          </w:tcPr>
          <w:p w14:paraId="3871EE6E" w14:textId="77777777" w:rsidR="004D42F9" w:rsidRDefault="004D42F9">
            <w:pPr>
              <w:cnfStyle w:val="000000000000" w:firstRow="0" w:lastRow="0" w:firstColumn="0" w:lastColumn="0" w:oddVBand="0" w:evenVBand="0" w:oddHBand="0" w:evenHBand="0" w:firstRowFirstColumn="0" w:firstRowLastColumn="0" w:lastRowFirstColumn="0" w:lastRowLastColumn="0"/>
            </w:pPr>
            <w:r>
              <w:t>(551)</w:t>
            </w:r>
          </w:p>
        </w:tc>
      </w:tr>
      <w:tr w:rsidR="004D42F9" w14:paraId="4BE96557" w14:textId="77777777">
        <w:tc>
          <w:tcPr>
            <w:cnfStyle w:val="001000000000" w:firstRow="0" w:lastRow="0" w:firstColumn="1" w:lastColumn="0" w:oddVBand="0" w:evenVBand="0" w:oddHBand="0" w:evenHBand="0" w:firstRowFirstColumn="0" w:firstRowLastColumn="0" w:lastRowFirstColumn="0" w:lastRowLastColumn="0"/>
            <w:tcW w:w="2694" w:type="dxa"/>
          </w:tcPr>
          <w:p w14:paraId="4FA9A87F" w14:textId="77777777" w:rsidR="004D42F9" w:rsidRDefault="004D42F9">
            <w:r>
              <w:t>Revaluation</w:t>
            </w:r>
          </w:p>
        </w:tc>
        <w:tc>
          <w:tcPr>
            <w:tcW w:w="850" w:type="dxa"/>
          </w:tcPr>
          <w:p w14:paraId="3AB1FB49" w14:textId="77777777" w:rsidR="004D42F9" w:rsidRDefault="004D42F9">
            <w:pPr>
              <w:cnfStyle w:val="000000000000" w:firstRow="0" w:lastRow="0" w:firstColumn="0" w:lastColumn="0" w:oddVBand="0" w:evenVBand="0" w:oddHBand="0" w:evenHBand="0" w:firstRowFirstColumn="0" w:firstRowLastColumn="0" w:lastRowFirstColumn="0" w:lastRowLastColumn="0"/>
            </w:pPr>
            <w:r>
              <w:t>6 991</w:t>
            </w:r>
          </w:p>
        </w:tc>
        <w:tc>
          <w:tcPr>
            <w:tcW w:w="1701" w:type="dxa"/>
          </w:tcPr>
          <w:p w14:paraId="5901EF9E" w14:textId="77777777" w:rsidR="004D42F9" w:rsidRDefault="004D42F9">
            <w:pPr>
              <w:cnfStyle w:val="000000000000" w:firstRow="0" w:lastRow="0" w:firstColumn="0" w:lastColumn="0" w:oddVBand="0" w:evenVBand="0" w:oddHBand="0" w:evenHBand="0" w:firstRowFirstColumn="0" w:firstRowLastColumn="0" w:lastRowFirstColumn="0" w:lastRowLastColumn="0"/>
            </w:pPr>
            <w:r>
              <w:t>135</w:t>
            </w:r>
          </w:p>
        </w:tc>
        <w:tc>
          <w:tcPr>
            <w:tcW w:w="1418" w:type="dxa"/>
          </w:tcPr>
          <w:p w14:paraId="3A5260E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55C7C5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481A400A" w14:textId="77777777" w:rsidR="004D42F9" w:rsidRDefault="004D42F9">
            <w:pPr>
              <w:cnfStyle w:val="000000000000" w:firstRow="0" w:lastRow="0" w:firstColumn="0" w:lastColumn="0" w:oddVBand="0" w:evenVBand="0" w:oddHBand="0" w:evenHBand="0" w:firstRowFirstColumn="0" w:firstRowLastColumn="0" w:lastRowFirstColumn="0" w:lastRowLastColumn="0"/>
            </w:pPr>
            <w:r>
              <w:t>538</w:t>
            </w:r>
          </w:p>
        </w:tc>
        <w:tc>
          <w:tcPr>
            <w:tcW w:w="907" w:type="dxa"/>
          </w:tcPr>
          <w:p w14:paraId="321788D7" w14:textId="77777777" w:rsidR="004D42F9" w:rsidRDefault="004D42F9">
            <w:pPr>
              <w:cnfStyle w:val="000000000000" w:firstRow="0" w:lastRow="0" w:firstColumn="0" w:lastColumn="0" w:oddVBand="0" w:evenVBand="0" w:oddHBand="0" w:evenHBand="0" w:firstRowFirstColumn="0" w:firstRowLastColumn="0" w:lastRowFirstColumn="0" w:lastRowLastColumn="0"/>
            </w:pPr>
            <w:r>
              <w:t>7 665</w:t>
            </w:r>
          </w:p>
        </w:tc>
      </w:tr>
      <w:tr w:rsidR="004D42F9" w14:paraId="321BCB38" w14:textId="77777777">
        <w:tc>
          <w:tcPr>
            <w:cnfStyle w:val="001000000000" w:firstRow="0" w:lastRow="0" w:firstColumn="1" w:lastColumn="0" w:oddVBand="0" w:evenVBand="0" w:oddHBand="0" w:evenHBand="0" w:firstRowFirstColumn="0" w:firstRowLastColumn="0" w:lastRowFirstColumn="0" w:lastRowLastColumn="0"/>
            <w:tcW w:w="2694" w:type="dxa"/>
          </w:tcPr>
          <w:p w14:paraId="53E18E26" w14:textId="77777777" w:rsidR="004D42F9" w:rsidRDefault="004D42F9">
            <w:r>
              <w:t>Disposals</w:t>
            </w:r>
          </w:p>
        </w:tc>
        <w:tc>
          <w:tcPr>
            <w:tcW w:w="850" w:type="dxa"/>
          </w:tcPr>
          <w:p w14:paraId="0F1735F4" w14:textId="77777777" w:rsidR="004D42F9" w:rsidRDefault="004D42F9">
            <w:pPr>
              <w:cnfStyle w:val="000000000000" w:firstRow="0" w:lastRow="0" w:firstColumn="0" w:lastColumn="0" w:oddVBand="0" w:evenVBand="0" w:oddHBand="0" w:evenHBand="0" w:firstRowFirstColumn="0" w:firstRowLastColumn="0" w:lastRowFirstColumn="0" w:lastRowLastColumn="0"/>
            </w:pPr>
            <w:r>
              <w:t>(147)</w:t>
            </w:r>
          </w:p>
        </w:tc>
        <w:tc>
          <w:tcPr>
            <w:tcW w:w="1701" w:type="dxa"/>
          </w:tcPr>
          <w:p w14:paraId="087D8592" w14:textId="77777777" w:rsidR="004D42F9" w:rsidRDefault="004D42F9">
            <w:pPr>
              <w:cnfStyle w:val="000000000000" w:firstRow="0" w:lastRow="0" w:firstColumn="0" w:lastColumn="0" w:oddVBand="0" w:evenVBand="0" w:oddHBand="0" w:evenHBand="0" w:firstRowFirstColumn="0" w:firstRowLastColumn="0" w:lastRowFirstColumn="0" w:lastRowLastColumn="0"/>
            </w:pPr>
            <w:r>
              <w:t>(122)</w:t>
            </w:r>
          </w:p>
        </w:tc>
        <w:tc>
          <w:tcPr>
            <w:tcW w:w="1418" w:type="dxa"/>
          </w:tcPr>
          <w:p w14:paraId="5279E0CB"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92" w:type="dxa"/>
          </w:tcPr>
          <w:p w14:paraId="28B1B2C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4424266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E21A68" w14:textId="77777777" w:rsidR="004D42F9" w:rsidRDefault="004D42F9">
            <w:pPr>
              <w:cnfStyle w:val="000000000000" w:firstRow="0" w:lastRow="0" w:firstColumn="0" w:lastColumn="0" w:oddVBand="0" w:evenVBand="0" w:oddHBand="0" w:evenHBand="0" w:firstRowFirstColumn="0" w:firstRowLastColumn="0" w:lastRowFirstColumn="0" w:lastRowLastColumn="0"/>
            </w:pPr>
            <w:r>
              <w:t>(271)</w:t>
            </w:r>
          </w:p>
        </w:tc>
      </w:tr>
      <w:tr w:rsidR="004D42F9" w14:paraId="33CB5B93" w14:textId="77777777">
        <w:tc>
          <w:tcPr>
            <w:cnfStyle w:val="001000000000" w:firstRow="0" w:lastRow="0" w:firstColumn="1" w:lastColumn="0" w:oddVBand="0" w:evenVBand="0" w:oddHBand="0" w:evenHBand="0" w:firstRowFirstColumn="0" w:firstRowLastColumn="0" w:lastRowFirstColumn="0" w:lastRowLastColumn="0"/>
            <w:tcW w:w="2694" w:type="dxa"/>
          </w:tcPr>
          <w:p w14:paraId="6F4FE919" w14:textId="77777777" w:rsidR="004D42F9" w:rsidRDefault="004D42F9">
            <w:r>
              <w:t>Assets recognised for the first time</w:t>
            </w:r>
          </w:p>
        </w:tc>
        <w:tc>
          <w:tcPr>
            <w:tcW w:w="850" w:type="dxa"/>
          </w:tcPr>
          <w:p w14:paraId="67AE6867" w14:textId="77777777" w:rsidR="004D42F9" w:rsidRDefault="004D42F9">
            <w:pPr>
              <w:cnfStyle w:val="000000000000" w:firstRow="0" w:lastRow="0" w:firstColumn="0" w:lastColumn="0" w:oddVBand="0" w:evenVBand="0" w:oddHBand="0" w:evenHBand="0" w:firstRowFirstColumn="0" w:firstRowLastColumn="0" w:lastRowFirstColumn="0" w:lastRowLastColumn="0"/>
            </w:pPr>
            <w:r>
              <w:t>64</w:t>
            </w:r>
          </w:p>
        </w:tc>
        <w:tc>
          <w:tcPr>
            <w:tcW w:w="1701" w:type="dxa"/>
          </w:tcPr>
          <w:p w14:paraId="28E82F3B"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c>
          <w:tcPr>
            <w:tcW w:w="1418" w:type="dxa"/>
          </w:tcPr>
          <w:p w14:paraId="6E68AEE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10B47F6"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1076" w:type="dxa"/>
          </w:tcPr>
          <w:p w14:paraId="68D4731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94F570D" w14:textId="77777777" w:rsidR="004D42F9" w:rsidRDefault="004D42F9">
            <w:pPr>
              <w:cnfStyle w:val="000000000000" w:firstRow="0" w:lastRow="0" w:firstColumn="0" w:lastColumn="0" w:oddVBand="0" w:evenVBand="0" w:oddHBand="0" w:evenHBand="0" w:firstRowFirstColumn="0" w:firstRowLastColumn="0" w:lastRowFirstColumn="0" w:lastRowLastColumn="0"/>
            </w:pPr>
            <w:r>
              <w:t>112</w:t>
            </w:r>
          </w:p>
        </w:tc>
      </w:tr>
      <w:tr w:rsidR="004D42F9" w14:paraId="5758C655" w14:textId="77777777">
        <w:tc>
          <w:tcPr>
            <w:cnfStyle w:val="001000000000" w:firstRow="0" w:lastRow="0" w:firstColumn="1" w:lastColumn="0" w:oddVBand="0" w:evenVBand="0" w:oddHBand="0" w:evenHBand="0" w:firstRowFirstColumn="0" w:firstRowLastColumn="0" w:lastRowFirstColumn="0" w:lastRowLastColumn="0"/>
            <w:tcW w:w="2694" w:type="dxa"/>
          </w:tcPr>
          <w:p w14:paraId="1B84E5AE" w14:textId="77777777" w:rsidR="004D42F9" w:rsidRDefault="004D42F9">
            <w:r>
              <w:t>Assets transferred between government entities</w:t>
            </w:r>
            <w:r>
              <w:rPr>
                <w:vertAlign w:val="superscript"/>
              </w:rPr>
              <w:t xml:space="preserve"> (f)</w:t>
            </w:r>
          </w:p>
        </w:tc>
        <w:tc>
          <w:tcPr>
            <w:tcW w:w="850" w:type="dxa"/>
          </w:tcPr>
          <w:p w14:paraId="546BFE6E" w14:textId="77777777" w:rsidR="004D42F9" w:rsidRDefault="004D42F9">
            <w:pPr>
              <w:cnfStyle w:val="000000000000" w:firstRow="0" w:lastRow="0" w:firstColumn="0" w:lastColumn="0" w:oddVBand="0" w:evenVBand="0" w:oddHBand="0" w:evenHBand="0" w:firstRowFirstColumn="0" w:firstRowLastColumn="0" w:lastRowFirstColumn="0" w:lastRowLastColumn="0"/>
            </w:pPr>
            <w:r>
              <w:t>15</w:t>
            </w:r>
          </w:p>
        </w:tc>
        <w:tc>
          <w:tcPr>
            <w:tcW w:w="1701" w:type="dxa"/>
          </w:tcPr>
          <w:p w14:paraId="4E0CA0F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55883038" w14:textId="77777777" w:rsidR="004D42F9" w:rsidRDefault="004D42F9">
            <w:pPr>
              <w:cnfStyle w:val="000000000000" w:firstRow="0" w:lastRow="0" w:firstColumn="0" w:lastColumn="0" w:oddVBand="0" w:evenVBand="0" w:oddHBand="0" w:evenHBand="0" w:firstRowFirstColumn="0" w:firstRowLastColumn="0" w:lastRowFirstColumn="0" w:lastRowLastColumn="0"/>
            </w:pPr>
            <w:r>
              <w:t>(42)</w:t>
            </w:r>
          </w:p>
        </w:tc>
        <w:tc>
          <w:tcPr>
            <w:tcW w:w="992" w:type="dxa"/>
          </w:tcPr>
          <w:p w14:paraId="64AEC44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1FAD0C99" w14:textId="77777777" w:rsidR="004D42F9" w:rsidRDefault="004D42F9">
            <w:pPr>
              <w:cnfStyle w:val="000000000000" w:firstRow="0" w:lastRow="0" w:firstColumn="0" w:lastColumn="0" w:oddVBand="0" w:evenVBand="0" w:oddHBand="0" w:evenHBand="0" w:firstRowFirstColumn="0" w:firstRowLastColumn="0" w:lastRowFirstColumn="0" w:lastRowLastColumn="0"/>
            </w:pPr>
            <w:r>
              <w:t>(2 764)</w:t>
            </w:r>
          </w:p>
        </w:tc>
        <w:tc>
          <w:tcPr>
            <w:tcW w:w="907" w:type="dxa"/>
          </w:tcPr>
          <w:p w14:paraId="4CC90885" w14:textId="77777777" w:rsidR="004D42F9" w:rsidRDefault="004D42F9">
            <w:pPr>
              <w:cnfStyle w:val="000000000000" w:firstRow="0" w:lastRow="0" w:firstColumn="0" w:lastColumn="0" w:oddVBand="0" w:evenVBand="0" w:oddHBand="0" w:evenHBand="0" w:firstRowFirstColumn="0" w:firstRowLastColumn="0" w:lastRowFirstColumn="0" w:lastRowLastColumn="0"/>
            </w:pPr>
            <w:r>
              <w:t>(2 790)</w:t>
            </w:r>
          </w:p>
        </w:tc>
      </w:tr>
      <w:tr w:rsidR="004D42F9" w14:paraId="72C7E1AE" w14:textId="77777777">
        <w:tc>
          <w:tcPr>
            <w:cnfStyle w:val="001000000000" w:firstRow="0" w:lastRow="0" w:firstColumn="1" w:lastColumn="0" w:oddVBand="0" w:evenVBand="0" w:oddHBand="0" w:evenHBand="0" w:firstRowFirstColumn="0" w:firstRowLastColumn="0" w:lastRowFirstColumn="0" w:lastRowLastColumn="0"/>
            <w:tcW w:w="2694" w:type="dxa"/>
          </w:tcPr>
          <w:p w14:paraId="03BD99ED" w14:textId="77777777" w:rsidR="004D42F9" w:rsidRDefault="004D42F9">
            <w:r>
              <w:t>Impairment</w:t>
            </w:r>
          </w:p>
        </w:tc>
        <w:tc>
          <w:tcPr>
            <w:tcW w:w="850" w:type="dxa"/>
          </w:tcPr>
          <w:p w14:paraId="1BC6D3EB" w14:textId="77777777" w:rsidR="004D42F9" w:rsidRDefault="004D42F9">
            <w:pPr>
              <w:cnfStyle w:val="000000000000" w:firstRow="0" w:lastRow="0" w:firstColumn="0" w:lastColumn="0" w:oddVBand="0" w:evenVBand="0" w:oddHBand="0" w:evenHBand="0" w:firstRowFirstColumn="0" w:firstRowLastColumn="0" w:lastRowFirstColumn="0" w:lastRowLastColumn="0"/>
            </w:pPr>
            <w:r>
              <w:t>(64)</w:t>
            </w:r>
          </w:p>
        </w:tc>
        <w:tc>
          <w:tcPr>
            <w:tcW w:w="1701" w:type="dxa"/>
          </w:tcPr>
          <w:p w14:paraId="35BCA867"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1418" w:type="dxa"/>
          </w:tcPr>
          <w:p w14:paraId="21953C9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541C65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Pr>
          <w:p w14:paraId="7762E9D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B2EA01" w14:textId="77777777" w:rsidR="004D42F9" w:rsidRDefault="004D42F9">
            <w:pPr>
              <w:cnfStyle w:val="000000000000" w:firstRow="0" w:lastRow="0" w:firstColumn="0" w:lastColumn="0" w:oddVBand="0" w:evenVBand="0" w:oddHBand="0" w:evenHBand="0" w:firstRowFirstColumn="0" w:firstRowLastColumn="0" w:lastRowFirstColumn="0" w:lastRowLastColumn="0"/>
            </w:pPr>
            <w:r>
              <w:t>(67)</w:t>
            </w:r>
          </w:p>
        </w:tc>
      </w:tr>
      <w:tr w:rsidR="004D42F9" w14:paraId="7145562E" w14:textId="77777777">
        <w:tc>
          <w:tcPr>
            <w:cnfStyle w:val="001000000000" w:firstRow="0" w:lastRow="0" w:firstColumn="1" w:lastColumn="0" w:oddVBand="0" w:evenVBand="0" w:oddHBand="0" w:evenHBand="0" w:firstRowFirstColumn="0" w:firstRowLastColumn="0" w:lastRowFirstColumn="0" w:lastRowLastColumn="0"/>
            <w:tcW w:w="2694" w:type="dxa"/>
            <w:tcBorders>
              <w:bottom w:val="single" w:sz="6" w:space="0" w:color="auto"/>
            </w:tcBorders>
          </w:tcPr>
          <w:p w14:paraId="7929CEB0" w14:textId="77777777" w:rsidR="004D42F9" w:rsidRDefault="004D42F9">
            <w:r>
              <w:t>Depreciation</w:t>
            </w:r>
          </w:p>
        </w:tc>
        <w:tc>
          <w:tcPr>
            <w:tcW w:w="850" w:type="dxa"/>
            <w:tcBorders>
              <w:bottom w:val="single" w:sz="6" w:space="0" w:color="auto"/>
            </w:tcBorders>
          </w:tcPr>
          <w:p w14:paraId="53EB2727" w14:textId="77777777" w:rsidR="004D42F9" w:rsidRDefault="004D42F9">
            <w:pPr>
              <w:cnfStyle w:val="000000000000" w:firstRow="0" w:lastRow="0" w:firstColumn="0" w:lastColumn="0" w:oddVBand="0" w:evenVBand="0" w:oddHBand="0" w:evenHBand="0" w:firstRowFirstColumn="0" w:firstRowLastColumn="0" w:lastRowFirstColumn="0" w:lastRowLastColumn="0"/>
            </w:pPr>
            <w:r>
              <w:t>(2 708)</w:t>
            </w:r>
          </w:p>
        </w:tc>
        <w:tc>
          <w:tcPr>
            <w:tcW w:w="1701" w:type="dxa"/>
            <w:tcBorders>
              <w:bottom w:val="single" w:sz="6" w:space="0" w:color="auto"/>
            </w:tcBorders>
          </w:tcPr>
          <w:p w14:paraId="7F49EEB0" w14:textId="77777777" w:rsidR="004D42F9" w:rsidRDefault="004D42F9">
            <w:pPr>
              <w:cnfStyle w:val="000000000000" w:firstRow="0" w:lastRow="0" w:firstColumn="0" w:lastColumn="0" w:oddVBand="0" w:evenVBand="0" w:oddHBand="0" w:evenHBand="0" w:firstRowFirstColumn="0" w:firstRowLastColumn="0" w:lastRowFirstColumn="0" w:lastRowLastColumn="0"/>
            </w:pPr>
            <w:r>
              <w:t>(912)</w:t>
            </w:r>
          </w:p>
        </w:tc>
        <w:tc>
          <w:tcPr>
            <w:tcW w:w="1418" w:type="dxa"/>
            <w:tcBorders>
              <w:bottom w:val="single" w:sz="6" w:space="0" w:color="auto"/>
            </w:tcBorders>
          </w:tcPr>
          <w:p w14:paraId="5256C8E0" w14:textId="77777777" w:rsidR="004D42F9" w:rsidRDefault="004D42F9">
            <w:pPr>
              <w:cnfStyle w:val="000000000000" w:firstRow="0" w:lastRow="0" w:firstColumn="0" w:lastColumn="0" w:oddVBand="0" w:evenVBand="0" w:oddHBand="0" w:evenHBand="0" w:firstRowFirstColumn="0" w:firstRowLastColumn="0" w:lastRowFirstColumn="0" w:lastRowLastColumn="0"/>
            </w:pPr>
            <w:r>
              <w:t>(1 124)</w:t>
            </w:r>
          </w:p>
        </w:tc>
        <w:tc>
          <w:tcPr>
            <w:tcW w:w="992" w:type="dxa"/>
            <w:tcBorders>
              <w:bottom w:val="single" w:sz="6" w:space="0" w:color="auto"/>
            </w:tcBorders>
          </w:tcPr>
          <w:p w14:paraId="66652BCA"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1076" w:type="dxa"/>
            <w:tcBorders>
              <w:bottom w:val="single" w:sz="6" w:space="0" w:color="auto"/>
            </w:tcBorders>
          </w:tcPr>
          <w:p w14:paraId="524DCC3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DA0EA33" w14:textId="77777777" w:rsidR="004D42F9" w:rsidRDefault="004D42F9">
            <w:pPr>
              <w:cnfStyle w:val="000000000000" w:firstRow="0" w:lastRow="0" w:firstColumn="0" w:lastColumn="0" w:oddVBand="0" w:evenVBand="0" w:oddHBand="0" w:evenHBand="0" w:firstRowFirstColumn="0" w:firstRowLastColumn="0" w:lastRowFirstColumn="0" w:lastRowLastColumn="0"/>
            </w:pPr>
            <w:r>
              <w:t>(4 758)</w:t>
            </w:r>
          </w:p>
        </w:tc>
      </w:tr>
      <w:tr w:rsidR="004D42F9" w14:paraId="38852F85" w14:textId="77777777">
        <w:tc>
          <w:tcPr>
            <w:cnfStyle w:val="001000000000" w:firstRow="0" w:lastRow="0" w:firstColumn="1" w:lastColumn="0" w:oddVBand="0" w:evenVBand="0" w:oddHBand="0" w:evenHBand="0" w:firstRowFirstColumn="0" w:firstRowLastColumn="0" w:lastRowFirstColumn="0" w:lastRowLastColumn="0"/>
            <w:tcW w:w="2694" w:type="dxa"/>
            <w:tcBorders>
              <w:top w:val="single" w:sz="6" w:space="0" w:color="auto"/>
              <w:bottom w:val="single" w:sz="12" w:space="0" w:color="auto"/>
            </w:tcBorders>
          </w:tcPr>
          <w:p w14:paraId="0C0810A2" w14:textId="77777777" w:rsidR="004D42F9" w:rsidRDefault="004D42F9">
            <w:r>
              <w:rPr>
                <w:b/>
              </w:rPr>
              <w:t>Closing balance</w:t>
            </w:r>
          </w:p>
        </w:tc>
        <w:tc>
          <w:tcPr>
            <w:tcW w:w="850" w:type="dxa"/>
            <w:tcBorders>
              <w:top w:val="single" w:sz="6" w:space="0" w:color="auto"/>
              <w:bottom w:val="single" w:sz="12" w:space="0" w:color="auto"/>
            </w:tcBorders>
          </w:tcPr>
          <w:p w14:paraId="2C72DC5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156 443</w:t>
            </w:r>
          </w:p>
        </w:tc>
        <w:tc>
          <w:tcPr>
            <w:tcW w:w="1701" w:type="dxa"/>
            <w:tcBorders>
              <w:top w:val="single" w:sz="6" w:space="0" w:color="auto"/>
              <w:bottom w:val="single" w:sz="12" w:space="0" w:color="auto"/>
            </w:tcBorders>
          </w:tcPr>
          <w:p w14:paraId="4D7AAB2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5 620</w:t>
            </w:r>
          </w:p>
        </w:tc>
        <w:tc>
          <w:tcPr>
            <w:tcW w:w="1418" w:type="dxa"/>
            <w:tcBorders>
              <w:top w:val="single" w:sz="6" w:space="0" w:color="auto"/>
              <w:bottom w:val="single" w:sz="12" w:space="0" w:color="auto"/>
            </w:tcBorders>
          </w:tcPr>
          <w:p w14:paraId="7604B2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45 029</w:t>
            </w:r>
          </w:p>
        </w:tc>
        <w:tc>
          <w:tcPr>
            <w:tcW w:w="992" w:type="dxa"/>
            <w:tcBorders>
              <w:top w:val="single" w:sz="6" w:space="0" w:color="auto"/>
              <w:bottom w:val="single" w:sz="12" w:space="0" w:color="auto"/>
            </w:tcBorders>
          </w:tcPr>
          <w:p w14:paraId="2D43FFE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6 810</w:t>
            </w:r>
          </w:p>
        </w:tc>
        <w:tc>
          <w:tcPr>
            <w:tcW w:w="1076" w:type="dxa"/>
            <w:tcBorders>
              <w:top w:val="single" w:sz="6" w:space="0" w:color="auto"/>
              <w:bottom w:val="single" w:sz="12" w:space="0" w:color="auto"/>
            </w:tcBorders>
          </w:tcPr>
          <w:p w14:paraId="24BD31D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55 789</w:t>
            </w:r>
          </w:p>
        </w:tc>
        <w:tc>
          <w:tcPr>
            <w:tcW w:w="907" w:type="dxa"/>
            <w:tcBorders>
              <w:top w:val="single" w:sz="6" w:space="0" w:color="auto"/>
              <w:bottom w:val="single" w:sz="12" w:space="0" w:color="auto"/>
            </w:tcBorders>
          </w:tcPr>
          <w:p w14:paraId="092DAE5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269 690</w:t>
            </w:r>
          </w:p>
        </w:tc>
      </w:tr>
    </w:tbl>
    <w:p w14:paraId="687CCFD7" w14:textId="77777777" w:rsidR="004D42F9" w:rsidRDefault="004D42F9" w:rsidP="004D42F9">
      <w:pPr>
        <w:pStyle w:val="Note"/>
      </w:pPr>
      <w:r>
        <w:t xml:space="preserve">Notes: </w:t>
      </w:r>
    </w:p>
    <w:p w14:paraId="173E52BC" w14:textId="77777777" w:rsidR="004D42F9" w:rsidRDefault="004D42F9" w:rsidP="004D42F9">
      <w:pPr>
        <w:pStyle w:val="Note"/>
      </w:pPr>
      <w:r>
        <w:t>(a)</w:t>
      </w:r>
      <w:r>
        <w:tab/>
        <w:t>The reconciliation of movements comprises land and buildings, infrastructure, plant, equipment, vehicles, roads, roads infrastructure and cultural assets, right-of-use assets, service concession assets, and excludes intangible assets, investment properties and other non</w:t>
      </w:r>
      <w:r>
        <w:noBreakHyphen/>
        <w:t>financial assets.</w:t>
      </w:r>
    </w:p>
    <w:p w14:paraId="4CF8B1CA" w14:textId="77777777" w:rsidR="004D42F9" w:rsidRDefault="004D42F9" w:rsidP="004D42F9">
      <w:pPr>
        <w:pStyle w:val="Note"/>
      </w:pPr>
      <w:r w:rsidRPr="00CB6202">
        <w:t>(b)</w:t>
      </w:r>
      <w:r w:rsidRPr="00CB6202">
        <w:tab/>
      </w:r>
      <w:r>
        <w:t>T</w:t>
      </w:r>
      <w:r w:rsidRPr="00B57310">
        <w:t xml:space="preserve">he 2023-24 comparatives figures have been restated to separately disclose construction in progress, which was previously </w:t>
      </w:r>
      <w:r>
        <w:t xml:space="preserve">disclosed under their </w:t>
      </w:r>
      <w:r w:rsidRPr="00B57310">
        <w:t>relevant asset class</w:t>
      </w:r>
      <w:r>
        <w:t>.</w:t>
      </w:r>
      <w:r w:rsidRPr="00B57310">
        <w:t xml:space="preserve"> </w:t>
      </w:r>
    </w:p>
    <w:p w14:paraId="7BC974C3" w14:textId="77777777" w:rsidR="004D42F9" w:rsidRDefault="004D42F9" w:rsidP="004D42F9">
      <w:pPr>
        <w:pStyle w:val="Note"/>
        <w:ind w:left="0" w:firstLine="0"/>
      </w:pPr>
      <w:r>
        <w:t>(c)</w:t>
      </w:r>
      <w:r>
        <w:tab/>
        <w:t xml:space="preserve">Represents additions of assets recognised under AASB 116 </w:t>
      </w:r>
      <w:r w:rsidRPr="00B75012">
        <w:rPr>
          <w:i w:val="0"/>
          <w:iCs/>
        </w:rPr>
        <w:t>Property, Plant and Equipment</w:t>
      </w:r>
      <w:r>
        <w:t>.</w:t>
      </w:r>
    </w:p>
    <w:p w14:paraId="7A9149A2" w14:textId="77777777" w:rsidR="004D42F9" w:rsidRDefault="004D42F9" w:rsidP="004D42F9">
      <w:pPr>
        <w:pStyle w:val="Note"/>
      </w:pPr>
      <w:r>
        <w:t>(d)</w:t>
      </w:r>
      <w:r>
        <w:tab/>
      </w:r>
      <w:r w:rsidRPr="00410B71">
        <w:t>Refer to Note 6.</w:t>
      </w:r>
      <w:r>
        <w:t>5</w:t>
      </w:r>
      <w:r w:rsidRPr="00410B71">
        <w:t xml:space="preserve"> for further details on </w:t>
      </w:r>
      <w:r>
        <w:t>the revaluation of non-financial physical assets.</w:t>
      </w:r>
    </w:p>
    <w:p w14:paraId="32C2C22A" w14:textId="63FB01DF" w:rsidR="004D42F9" w:rsidRDefault="004D42F9" w:rsidP="004D42F9">
      <w:pPr>
        <w:pStyle w:val="Note"/>
      </w:pPr>
      <w:r>
        <w:t>(e)</w:t>
      </w:r>
      <w:r>
        <w:tab/>
      </w:r>
      <w:r w:rsidRPr="000F5E88">
        <w:t>The 2023-24 comparative figures relating to VicTrack</w:t>
      </w:r>
      <w:r w:rsidR="00845934">
        <w:t>’</w:t>
      </w:r>
      <w:r w:rsidRPr="000F5E88">
        <w:t xml:space="preserve">s rail assets have been reclassified from infrastructure to earthworks </w:t>
      </w:r>
      <w:r>
        <w:t>to more accurately reflect the nature of the underlying assets</w:t>
      </w:r>
      <w:r w:rsidRPr="000F5E88">
        <w:t>.</w:t>
      </w:r>
    </w:p>
    <w:p w14:paraId="749F97E7" w14:textId="77777777" w:rsidR="004D42F9" w:rsidRDefault="004D42F9" w:rsidP="004D42F9">
      <w:pPr>
        <w:pStyle w:val="Note"/>
      </w:pPr>
      <w:r>
        <w:t>(f)</w:t>
      </w:r>
      <w:r>
        <w:tab/>
        <w:t>Represents the transfer of assets to/from the PNFC sector.</w:t>
      </w:r>
    </w:p>
    <w:p w14:paraId="2993602C" w14:textId="77777777" w:rsidR="004D42F9" w:rsidRDefault="004D42F9" w:rsidP="004D42F9"/>
    <w:p w14:paraId="15DD3727" w14:textId="77777777" w:rsidR="004D42F9" w:rsidRDefault="004D42F9" w:rsidP="004D42F9">
      <w:pPr>
        <w:keepLines w:val="0"/>
        <w:rPr>
          <w:rFonts w:asciiTheme="majorHAnsi" w:hAnsiTheme="majorHAnsi" w:cstheme="minorBidi"/>
          <w:b/>
          <w:iCs/>
          <w:sz w:val="20"/>
          <w:szCs w:val="18"/>
        </w:rPr>
      </w:pPr>
      <w:r>
        <w:br w:type="page"/>
      </w:r>
    </w:p>
    <w:p w14:paraId="3F1E17A3" w14:textId="77777777" w:rsidR="005625C7" w:rsidRDefault="005625C7" w:rsidP="004D42F9">
      <w:pPr>
        <w:sectPr w:rsidR="005625C7" w:rsidSect="004D42F9">
          <w:type w:val="continuous"/>
          <w:pgSz w:w="11906" w:h="16838" w:code="9"/>
          <w:pgMar w:top="1134" w:right="1134" w:bottom="1134" w:left="1134" w:header="624" w:footer="567" w:gutter="0"/>
          <w:cols w:space="708"/>
          <w:docGrid w:linePitch="360"/>
        </w:sectPr>
      </w:pPr>
    </w:p>
    <w:p w14:paraId="62998B5D" w14:textId="77777777" w:rsidR="004D42F9" w:rsidRDefault="004D42F9" w:rsidP="004D42F9">
      <w:r>
        <w:lastRenderedPageBreak/>
        <w:t>The following two tables are subsets of the total reconciliation of movements in carrying value.</w:t>
      </w:r>
    </w:p>
    <w:p w14:paraId="1A4BC756" w14:textId="77777777" w:rsidR="005625C7" w:rsidRDefault="005625C7" w:rsidP="004D42F9">
      <w:pPr>
        <w:pStyle w:val="TableHeading"/>
      </w:pPr>
    </w:p>
    <w:p w14:paraId="007DA043" w14:textId="77777777" w:rsidR="005625C7" w:rsidRPr="005625C7" w:rsidRDefault="005625C7" w:rsidP="005625C7">
      <w:pPr>
        <w:sectPr w:rsidR="005625C7" w:rsidRPr="005625C7" w:rsidSect="005625C7">
          <w:type w:val="continuous"/>
          <w:pgSz w:w="11906" w:h="16838" w:code="9"/>
          <w:pgMar w:top="1134" w:right="1134" w:bottom="1134" w:left="1134" w:header="624" w:footer="567" w:gutter="0"/>
          <w:cols w:num="2" w:space="708"/>
          <w:docGrid w:linePitch="360"/>
        </w:sectPr>
      </w:pPr>
    </w:p>
    <w:p w14:paraId="37845177" w14:textId="77777777" w:rsidR="004D42F9" w:rsidRDefault="004D42F9" w:rsidP="004D42F9">
      <w:pPr>
        <w:pStyle w:val="TableHeading"/>
      </w:pPr>
      <w:r>
        <w:t>Reconciliation of movements in carrying values of right-of-use assets during the financial period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ROU_SCA_RECO.xlsx|Table:Reconciliation_SoV_GG_ROU"/>
      </w:tblPr>
      <w:tblGrid>
        <w:gridCol w:w="6010"/>
        <w:gridCol w:w="907"/>
        <w:gridCol w:w="907"/>
        <w:gridCol w:w="907"/>
        <w:gridCol w:w="907"/>
      </w:tblGrid>
      <w:tr w:rsidR="004D42F9" w14:paraId="1EAF3ED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A362489" w14:textId="77777777" w:rsidR="004D42F9" w:rsidRDefault="004D42F9">
            <w:pPr>
              <w:keepNext/>
            </w:pPr>
          </w:p>
        </w:tc>
        <w:tc>
          <w:tcPr>
            <w:tcW w:w="1814" w:type="dxa"/>
            <w:gridSpan w:val="2"/>
          </w:tcPr>
          <w:p w14:paraId="3A248199"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58C9EA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437FFB3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40B8817" w14:textId="77777777" w:rsidR="004D42F9" w:rsidRDefault="004D42F9">
            <w:pPr>
              <w:keepNext/>
            </w:pPr>
          </w:p>
        </w:tc>
        <w:tc>
          <w:tcPr>
            <w:tcW w:w="907" w:type="dxa"/>
          </w:tcPr>
          <w:p w14:paraId="0970B21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36D377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4FF55D3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3050AE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8FAED53" w14:textId="77777777">
        <w:tc>
          <w:tcPr>
            <w:cnfStyle w:val="001000000000" w:firstRow="0" w:lastRow="0" w:firstColumn="1" w:lastColumn="0" w:oddVBand="0" w:evenVBand="0" w:oddHBand="0" w:evenHBand="0" w:firstRowFirstColumn="0" w:firstRowLastColumn="0" w:lastRowFirstColumn="0" w:lastRowLastColumn="0"/>
            <w:tcW w:w="6010" w:type="dxa"/>
          </w:tcPr>
          <w:p w14:paraId="1FD42DEA" w14:textId="77777777" w:rsidR="004D42F9" w:rsidRDefault="004D42F9">
            <w:r>
              <w:rPr>
                <w:b/>
              </w:rPr>
              <w:t>Opening balance</w:t>
            </w:r>
          </w:p>
        </w:tc>
        <w:tc>
          <w:tcPr>
            <w:tcW w:w="907" w:type="dxa"/>
          </w:tcPr>
          <w:p w14:paraId="29F23CC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10 809</w:t>
            </w:r>
          </w:p>
        </w:tc>
        <w:tc>
          <w:tcPr>
            <w:tcW w:w="907" w:type="dxa"/>
          </w:tcPr>
          <w:p w14:paraId="4D1379A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9 712</w:t>
            </w:r>
          </w:p>
        </w:tc>
        <w:tc>
          <w:tcPr>
            <w:tcW w:w="907" w:type="dxa"/>
          </w:tcPr>
          <w:p w14:paraId="7F2F258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10 329</w:t>
            </w:r>
          </w:p>
        </w:tc>
        <w:tc>
          <w:tcPr>
            <w:tcW w:w="907" w:type="dxa"/>
          </w:tcPr>
          <w:p w14:paraId="4EBFA3C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9 187</w:t>
            </w:r>
          </w:p>
        </w:tc>
      </w:tr>
      <w:tr w:rsidR="004D42F9" w14:paraId="008EEB94" w14:textId="77777777">
        <w:tc>
          <w:tcPr>
            <w:cnfStyle w:val="001000000000" w:firstRow="0" w:lastRow="0" w:firstColumn="1" w:lastColumn="0" w:oddVBand="0" w:evenVBand="0" w:oddHBand="0" w:evenHBand="0" w:firstRowFirstColumn="0" w:firstRowLastColumn="0" w:lastRowFirstColumn="0" w:lastRowLastColumn="0"/>
            <w:tcW w:w="6010" w:type="dxa"/>
          </w:tcPr>
          <w:p w14:paraId="3D6F4F70" w14:textId="77777777" w:rsidR="004D42F9" w:rsidRDefault="004D42F9">
            <w:r>
              <w:t>Additions of right</w:t>
            </w:r>
            <w:r>
              <w:noBreakHyphen/>
              <w:t>of</w:t>
            </w:r>
            <w:r>
              <w:noBreakHyphen/>
              <w:t>use assets</w:t>
            </w:r>
          </w:p>
        </w:tc>
        <w:tc>
          <w:tcPr>
            <w:tcW w:w="907" w:type="dxa"/>
          </w:tcPr>
          <w:p w14:paraId="72473DB2" w14:textId="77777777" w:rsidR="004D42F9" w:rsidRDefault="004D42F9">
            <w:pPr>
              <w:cnfStyle w:val="000000000000" w:firstRow="0" w:lastRow="0" w:firstColumn="0" w:lastColumn="0" w:oddVBand="0" w:evenVBand="0" w:oddHBand="0" w:evenHBand="0" w:firstRowFirstColumn="0" w:firstRowLastColumn="0" w:lastRowFirstColumn="0" w:lastRowLastColumn="0"/>
            </w:pPr>
            <w:r>
              <w:t>492</w:t>
            </w:r>
          </w:p>
        </w:tc>
        <w:tc>
          <w:tcPr>
            <w:tcW w:w="907" w:type="dxa"/>
          </w:tcPr>
          <w:p w14:paraId="3216D6D7" w14:textId="77777777" w:rsidR="004D42F9" w:rsidRDefault="004D42F9">
            <w:pPr>
              <w:cnfStyle w:val="000000000000" w:firstRow="0" w:lastRow="0" w:firstColumn="0" w:lastColumn="0" w:oddVBand="0" w:evenVBand="0" w:oddHBand="0" w:evenHBand="0" w:firstRowFirstColumn="0" w:firstRowLastColumn="0" w:lastRowFirstColumn="0" w:lastRowLastColumn="0"/>
            </w:pPr>
            <w:r>
              <w:t>1 243</w:t>
            </w:r>
          </w:p>
        </w:tc>
        <w:tc>
          <w:tcPr>
            <w:tcW w:w="907" w:type="dxa"/>
          </w:tcPr>
          <w:p w14:paraId="313CD5A4" w14:textId="77777777" w:rsidR="004D42F9" w:rsidRDefault="004D42F9">
            <w:pPr>
              <w:cnfStyle w:val="000000000000" w:firstRow="0" w:lastRow="0" w:firstColumn="0" w:lastColumn="0" w:oddVBand="0" w:evenVBand="0" w:oddHBand="0" w:evenHBand="0" w:firstRowFirstColumn="0" w:firstRowLastColumn="0" w:lastRowFirstColumn="0" w:lastRowLastColumn="0"/>
            </w:pPr>
            <w:r>
              <w:t>443</w:t>
            </w:r>
          </w:p>
        </w:tc>
        <w:tc>
          <w:tcPr>
            <w:tcW w:w="907" w:type="dxa"/>
          </w:tcPr>
          <w:p w14:paraId="05DCBEC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1 145</w:t>
            </w:r>
          </w:p>
        </w:tc>
      </w:tr>
      <w:tr w:rsidR="004D42F9" w14:paraId="7DF74774" w14:textId="77777777">
        <w:tc>
          <w:tcPr>
            <w:cnfStyle w:val="001000000000" w:firstRow="0" w:lastRow="0" w:firstColumn="1" w:lastColumn="0" w:oddVBand="0" w:evenVBand="0" w:oddHBand="0" w:evenHBand="0" w:firstRowFirstColumn="0" w:firstRowLastColumn="0" w:lastRowFirstColumn="0" w:lastRowLastColumn="0"/>
            <w:tcW w:w="6010" w:type="dxa"/>
          </w:tcPr>
          <w:p w14:paraId="05F02ABE" w14:textId="77777777" w:rsidR="004D42F9" w:rsidRDefault="004D42F9">
            <w:r>
              <w:t>Revaluation</w:t>
            </w:r>
          </w:p>
        </w:tc>
        <w:tc>
          <w:tcPr>
            <w:tcW w:w="907" w:type="dxa"/>
          </w:tcPr>
          <w:p w14:paraId="69A46150" w14:textId="77777777" w:rsidR="004D42F9" w:rsidRDefault="004D42F9">
            <w:pPr>
              <w:cnfStyle w:val="000000000000" w:firstRow="0" w:lastRow="0" w:firstColumn="0" w:lastColumn="0" w:oddVBand="0" w:evenVBand="0" w:oddHBand="0" w:evenHBand="0" w:firstRowFirstColumn="0" w:firstRowLastColumn="0" w:lastRowFirstColumn="0" w:lastRowLastColumn="0"/>
            </w:pPr>
            <w:r>
              <w:t>(339)</w:t>
            </w:r>
          </w:p>
        </w:tc>
        <w:tc>
          <w:tcPr>
            <w:tcW w:w="907" w:type="dxa"/>
          </w:tcPr>
          <w:p w14:paraId="6236186E" w14:textId="77777777" w:rsidR="004D42F9" w:rsidRDefault="004D42F9">
            <w:pPr>
              <w:cnfStyle w:val="000000000000" w:firstRow="0" w:lastRow="0" w:firstColumn="0" w:lastColumn="0" w:oddVBand="0" w:evenVBand="0" w:oddHBand="0" w:evenHBand="0" w:firstRowFirstColumn="0" w:firstRowLastColumn="0" w:lastRowFirstColumn="0" w:lastRowLastColumn="0"/>
            </w:pPr>
            <w:r>
              <w:t>739</w:t>
            </w:r>
          </w:p>
        </w:tc>
        <w:tc>
          <w:tcPr>
            <w:tcW w:w="907" w:type="dxa"/>
          </w:tcPr>
          <w:p w14:paraId="505410CC" w14:textId="77777777" w:rsidR="004D42F9" w:rsidRDefault="004D42F9">
            <w:pPr>
              <w:cnfStyle w:val="000000000000" w:firstRow="0" w:lastRow="0" w:firstColumn="0" w:lastColumn="0" w:oddVBand="0" w:evenVBand="0" w:oddHBand="0" w:evenHBand="0" w:firstRowFirstColumn="0" w:firstRowLastColumn="0" w:lastRowFirstColumn="0" w:lastRowLastColumn="0"/>
            </w:pPr>
            <w:r>
              <w:t>(391)</w:t>
            </w:r>
          </w:p>
        </w:tc>
        <w:tc>
          <w:tcPr>
            <w:tcW w:w="907" w:type="dxa"/>
          </w:tcPr>
          <w:p w14:paraId="44153DF9" w14:textId="77777777" w:rsidR="004D42F9" w:rsidRDefault="004D42F9">
            <w:pPr>
              <w:cnfStyle w:val="000000000000" w:firstRow="0" w:lastRow="0" w:firstColumn="0" w:lastColumn="0" w:oddVBand="0" w:evenVBand="0" w:oddHBand="0" w:evenHBand="0" w:firstRowFirstColumn="0" w:firstRowLastColumn="0" w:lastRowFirstColumn="0" w:lastRowLastColumn="0"/>
            </w:pPr>
            <w:r>
              <w:t>780</w:t>
            </w:r>
          </w:p>
        </w:tc>
      </w:tr>
      <w:tr w:rsidR="004D42F9" w14:paraId="4C555243"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27D30B8" w14:textId="77777777" w:rsidR="004D42F9" w:rsidRDefault="004D42F9">
            <w:r>
              <w:t>Depreciation</w:t>
            </w:r>
          </w:p>
        </w:tc>
        <w:tc>
          <w:tcPr>
            <w:tcW w:w="907" w:type="dxa"/>
            <w:tcBorders>
              <w:bottom w:val="single" w:sz="6" w:space="0" w:color="auto"/>
            </w:tcBorders>
          </w:tcPr>
          <w:p w14:paraId="67C2B4D2" w14:textId="77777777" w:rsidR="004D42F9" w:rsidRDefault="004D42F9">
            <w:pPr>
              <w:cnfStyle w:val="000000000000" w:firstRow="0" w:lastRow="0" w:firstColumn="0" w:lastColumn="0" w:oddVBand="0" w:evenVBand="0" w:oddHBand="0" w:evenHBand="0" w:firstRowFirstColumn="0" w:firstRowLastColumn="0" w:lastRowFirstColumn="0" w:lastRowLastColumn="0"/>
            </w:pPr>
            <w:r>
              <w:t>(920)</w:t>
            </w:r>
          </w:p>
        </w:tc>
        <w:tc>
          <w:tcPr>
            <w:tcW w:w="907" w:type="dxa"/>
            <w:tcBorders>
              <w:bottom w:val="single" w:sz="6" w:space="0" w:color="auto"/>
            </w:tcBorders>
          </w:tcPr>
          <w:p w14:paraId="339FBC0C" w14:textId="77777777" w:rsidR="004D42F9" w:rsidRDefault="004D42F9">
            <w:pPr>
              <w:cnfStyle w:val="000000000000" w:firstRow="0" w:lastRow="0" w:firstColumn="0" w:lastColumn="0" w:oddVBand="0" w:evenVBand="0" w:oddHBand="0" w:evenHBand="0" w:firstRowFirstColumn="0" w:firstRowLastColumn="0" w:lastRowFirstColumn="0" w:lastRowLastColumn="0"/>
            </w:pPr>
            <w:r>
              <w:t>(885)</w:t>
            </w:r>
          </w:p>
        </w:tc>
        <w:tc>
          <w:tcPr>
            <w:tcW w:w="907" w:type="dxa"/>
            <w:tcBorders>
              <w:bottom w:val="single" w:sz="6" w:space="0" w:color="auto"/>
            </w:tcBorders>
          </w:tcPr>
          <w:p w14:paraId="11FDF772" w14:textId="77777777" w:rsidR="004D42F9" w:rsidRDefault="004D42F9">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6" w:space="0" w:color="auto"/>
            </w:tcBorders>
          </w:tcPr>
          <w:p w14:paraId="570A9725" w14:textId="77777777" w:rsidR="004D42F9" w:rsidRDefault="004D42F9">
            <w:pPr>
              <w:cnfStyle w:val="000000000000" w:firstRow="0" w:lastRow="0" w:firstColumn="0" w:lastColumn="0" w:oddVBand="0" w:evenVBand="0" w:oddHBand="0" w:evenHBand="0" w:firstRowFirstColumn="0" w:firstRowLastColumn="0" w:lastRowFirstColumn="0" w:lastRowLastColumn="0"/>
            </w:pPr>
            <w:r>
              <w:t>(783)</w:t>
            </w:r>
          </w:p>
        </w:tc>
      </w:tr>
      <w:tr w:rsidR="004D42F9" w14:paraId="420C5F5B"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041BCCB" w14:textId="77777777" w:rsidR="004D42F9" w:rsidRDefault="004D42F9">
            <w:r>
              <w:rPr>
                <w:b/>
              </w:rPr>
              <w:t>Closing balance</w:t>
            </w:r>
          </w:p>
        </w:tc>
        <w:tc>
          <w:tcPr>
            <w:tcW w:w="907" w:type="dxa"/>
            <w:tcBorders>
              <w:top w:val="single" w:sz="6" w:space="0" w:color="auto"/>
              <w:bottom w:val="single" w:sz="12" w:space="0" w:color="auto"/>
            </w:tcBorders>
          </w:tcPr>
          <w:p w14:paraId="74F4732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10 042</w:t>
            </w:r>
          </w:p>
        </w:tc>
        <w:tc>
          <w:tcPr>
            <w:tcW w:w="907" w:type="dxa"/>
            <w:tcBorders>
              <w:top w:val="single" w:sz="6" w:space="0" w:color="auto"/>
              <w:bottom w:val="single" w:sz="12" w:space="0" w:color="auto"/>
            </w:tcBorders>
          </w:tcPr>
          <w:p w14:paraId="60F2EDA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10 809</w:t>
            </w:r>
          </w:p>
        </w:tc>
        <w:tc>
          <w:tcPr>
            <w:tcW w:w="907" w:type="dxa"/>
            <w:tcBorders>
              <w:top w:val="single" w:sz="6" w:space="0" w:color="auto"/>
              <w:bottom w:val="single" w:sz="12" w:space="0" w:color="auto"/>
            </w:tcBorders>
          </w:tcPr>
          <w:p w14:paraId="6294B86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9 564</w:t>
            </w:r>
          </w:p>
        </w:tc>
        <w:tc>
          <w:tcPr>
            <w:tcW w:w="907" w:type="dxa"/>
            <w:tcBorders>
              <w:top w:val="single" w:sz="6" w:space="0" w:color="auto"/>
              <w:bottom w:val="single" w:sz="12" w:space="0" w:color="auto"/>
            </w:tcBorders>
          </w:tcPr>
          <w:p w14:paraId="7E73F8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10 329</w:t>
            </w:r>
          </w:p>
        </w:tc>
      </w:tr>
    </w:tbl>
    <w:p w14:paraId="6FB2EFDC" w14:textId="77777777" w:rsidR="004D42F9" w:rsidRDefault="004D42F9" w:rsidP="004D42F9"/>
    <w:p w14:paraId="3EA8C7E7" w14:textId="77777777" w:rsidR="004D42F9" w:rsidRDefault="004D42F9" w:rsidP="004D42F9">
      <w:pPr>
        <w:pStyle w:val="TableHeading"/>
      </w:pPr>
      <w:r>
        <w:t xml:space="preserve">Reconciliation of movements in carrying values of service concession arrangement assets during </w:t>
      </w:r>
      <w:r>
        <w:br/>
        <w:t>the financial period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ROU_SCA_RECO.xlsx|Table:Reconciliation_SoV_GG_SCA"/>
      </w:tblPr>
      <w:tblGrid>
        <w:gridCol w:w="5991"/>
        <w:gridCol w:w="911"/>
        <w:gridCol w:w="912"/>
        <w:gridCol w:w="912"/>
        <w:gridCol w:w="912"/>
      </w:tblGrid>
      <w:tr w:rsidR="004D42F9" w14:paraId="08DD96B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6C09C1DB" w14:textId="77777777" w:rsidR="004D42F9" w:rsidRDefault="004D42F9">
            <w:pPr>
              <w:keepNext/>
            </w:pPr>
          </w:p>
        </w:tc>
        <w:tc>
          <w:tcPr>
            <w:tcW w:w="1823" w:type="dxa"/>
            <w:gridSpan w:val="2"/>
          </w:tcPr>
          <w:p w14:paraId="4D5EDFB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24" w:type="dxa"/>
            <w:gridSpan w:val="2"/>
          </w:tcPr>
          <w:p w14:paraId="4BB8BAA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442D618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91" w:type="dxa"/>
          </w:tcPr>
          <w:p w14:paraId="37EB186F" w14:textId="77777777" w:rsidR="004D42F9" w:rsidRDefault="004D42F9">
            <w:pPr>
              <w:keepNext/>
            </w:pPr>
          </w:p>
        </w:tc>
        <w:tc>
          <w:tcPr>
            <w:tcW w:w="911" w:type="dxa"/>
          </w:tcPr>
          <w:p w14:paraId="5115382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12" w:type="dxa"/>
          </w:tcPr>
          <w:p w14:paraId="36175A1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12" w:type="dxa"/>
          </w:tcPr>
          <w:p w14:paraId="38E7700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12" w:type="dxa"/>
          </w:tcPr>
          <w:p w14:paraId="21C2AB2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B6AFB63" w14:textId="77777777">
        <w:tc>
          <w:tcPr>
            <w:cnfStyle w:val="001000000000" w:firstRow="0" w:lastRow="0" w:firstColumn="1" w:lastColumn="0" w:oddVBand="0" w:evenVBand="0" w:oddHBand="0" w:evenHBand="0" w:firstRowFirstColumn="0" w:firstRowLastColumn="0" w:lastRowFirstColumn="0" w:lastRowLastColumn="0"/>
            <w:tcW w:w="5991" w:type="dxa"/>
          </w:tcPr>
          <w:p w14:paraId="1C03F1EE" w14:textId="77777777" w:rsidR="004D42F9" w:rsidRDefault="004D42F9">
            <w:r>
              <w:rPr>
                <w:b/>
              </w:rPr>
              <w:t>Opening balance</w:t>
            </w:r>
          </w:p>
        </w:tc>
        <w:tc>
          <w:tcPr>
            <w:tcW w:w="911" w:type="dxa"/>
          </w:tcPr>
          <w:p w14:paraId="5E65088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46 786</w:t>
            </w:r>
          </w:p>
        </w:tc>
        <w:tc>
          <w:tcPr>
            <w:tcW w:w="912" w:type="dxa"/>
          </w:tcPr>
          <w:p w14:paraId="650537C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41 587</w:t>
            </w:r>
          </w:p>
        </w:tc>
        <w:tc>
          <w:tcPr>
            <w:tcW w:w="912" w:type="dxa"/>
          </w:tcPr>
          <w:p w14:paraId="1439962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35 806</w:t>
            </w:r>
          </w:p>
        </w:tc>
        <w:tc>
          <w:tcPr>
            <w:tcW w:w="912" w:type="dxa"/>
          </w:tcPr>
          <w:p w14:paraId="004112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32 911</w:t>
            </w:r>
          </w:p>
        </w:tc>
      </w:tr>
      <w:tr w:rsidR="004D42F9" w14:paraId="626B135D" w14:textId="77777777">
        <w:tc>
          <w:tcPr>
            <w:cnfStyle w:val="001000000000" w:firstRow="0" w:lastRow="0" w:firstColumn="1" w:lastColumn="0" w:oddVBand="0" w:evenVBand="0" w:oddHBand="0" w:evenHBand="0" w:firstRowFirstColumn="0" w:firstRowLastColumn="0" w:lastRowFirstColumn="0" w:lastRowLastColumn="0"/>
            <w:tcW w:w="5991" w:type="dxa"/>
          </w:tcPr>
          <w:p w14:paraId="323AF13D" w14:textId="77777777" w:rsidR="004D42F9" w:rsidRDefault="004D42F9">
            <w:r>
              <w:t>Additions of service concession arrangement assets</w:t>
            </w:r>
          </w:p>
        </w:tc>
        <w:tc>
          <w:tcPr>
            <w:tcW w:w="911" w:type="dxa"/>
          </w:tcPr>
          <w:p w14:paraId="1A458515" w14:textId="77777777" w:rsidR="004D42F9" w:rsidRDefault="004D42F9">
            <w:pPr>
              <w:cnfStyle w:val="000000000000" w:firstRow="0" w:lastRow="0" w:firstColumn="0" w:lastColumn="0" w:oddVBand="0" w:evenVBand="0" w:oddHBand="0" w:evenHBand="0" w:firstRowFirstColumn="0" w:firstRowLastColumn="0" w:lastRowFirstColumn="0" w:lastRowLastColumn="0"/>
            </w:pPr>
            <w:r>
              <w:t>5 794</w:t>
            </w:r>
          </w:p>
        </w:tc>
        <w:tc>
          <w:tcPr>
            <w:tcW w:w="912" w:type="dxa"/>
          </w:tcPr>
          <w:p w14:paraId="780F3AE3" w14:textId="77777777" w:rsidR="004D42F9" w:rsidRDefault="004D42F9">
            <w:pPr>
              <w:cnfStyle w:val="000000000000" w:firstRow="0" w:lastRow="0" w:firstColumn="0" w:lastColumn="0" w:oddVBand="0" w:evenVBand="0" w:oddHBand="0" w:evenHBand="0" w:firstRowFirstColumn="0" w:firstRowLastColumn="0" w:lastRowFirstColumn="0" w:lastRowLastColumn="0"/>
            </w:pPr>
            <w:r>
              <w:t>5 792</w:t>
            </w:r>
          </w:p>
        </w:tc>
        <w:tc>
          <w:tcPr>
            <w:tcW w:w="912" w:type="dxa"/>
          </w:tcPr>
          <w:p w14:paraId="7B530282" w14:textId="77777777" w:rsidR="004D42F9" w:rsidRDefault="004D42F9">
            <w:pPr>
              <w:cnfStyle w:val="000000000000" w:firstRow="0" w:lastRow="0" w:firstColumn="0" w:lastColumn="0" w:oddVBand="0" w:evenVBand="0" w:oddHBand="0" w:evenHBand="0" w:firstRowFirstColumn="0" w:firstRowLastColumn="0" w:lastRowFirstColumn="0" w:lastRowLastColumn="0"/>
            </w:pPr>
            <w:r>
              <w:t>2 205</w:t>
            </w:r>
          </w:p>
        </w:tc>
        <w:tc>
          <w:tcPr>
            <w:tcW w:w="912" w:type="dxa"/>
          </w:tcPr>
          <w:p w14:paraId="3A9432BB" w14:textId="77777777" w:rsidR="004D42F9" w:rsidRDefault="004D42F9">
            <w:pPr>
              <w:cnfStyle w:val="000000000000" w:firstRow="0" w:lastRow="0" w:firstColumn="0" w:lastColumn="0" w:oddVBand="0" w:evenVBand="0" w:oddHBand="0" w:evenHBand="0" w:firstRowFirstColumn="0" w:firstRowLastColumn="0" w:lastRowFirstColumn="0" w:lastRowLastColumn="0"/>
            </w:pPr>
            <w:r>
              <w:t>3 588</w:t>
            </w:r>
          </w:p>
        </w:tc>
      </w:tr>
      <w:tr w:rsidR="004D42F9" w14:paraId="2675F05B" w14:textId="77777777">
        <w:tc>
          <w:tcPr>
            <w:cnfStyle w:val="001000000000" w:firstRow="0" w:lastRow="0" w:firstColumn="1" w:lastColumn="0" w:oddVBand="0" w:evenVBand="0" w:oddHBand="0" w:evenHBand="0" w:firstRowFirstColumn="0" w:firstRowLastColumn="0" w:lastRowFirstColumn="0" w:lastRowLastColumn="0"/>
            <w:tcW w:w="5991" w:type="dxa"/>
          </w:tcPr>
          <w:p w14:paraId="40D2B20C" w14:textId="77777777" w:rsidR="004D42F9" w:rsidRDefault="004D42F9">
            <w:r>
              <w:t>Revaluation</w:t>
            </w:r>
          </w:p>
        </w:tc>
        <w:tc>
          <w:tcPr>
            <w:tcW w:w="911" w:type="dxa"/>
          </w:tcPr>
          <w:p w14:paraId="6E055956" w14:textId="77777777" w:rsidR="004D42F9" w:rsidRDefault="004D42F9">
            <w:pPr>
              <w:cnfStyle w:val="000000000000" w:firstRow="0" w:lastRow="0" w:firstColumn="0" w:lastColumn="0" w:oddVBand="0" w:evenVBand="0" w:oddHBand="0" w:evenHBand="0" w:firstRowFirstColumn="0" w:firstRowLastColumn="0" w:lastRowFirstColumn="0" w:lastRowLastColumn="0"/>
            </w:pPr>
            <w:r>
              <w:t>1 749</w:t>
            </w:r>
          </w:p>
        </w:tc>
        <w:tc>
          <w:tcPr>
            <w:tcW w:w="912" w:type="dxa"/>
          </w:tcPr>
          <w:p w14:paraId="5E41366B" w14:textId="77777777" w:rsidR="004D42F9" w:rsidRDefault="004D42F9">
            <w:pPr>
              <w:cnfStyle w:val="000000000000" w:firstRow="0" w:lastRow="0" w:firstColumn="0" w:lastColumn="0" w:oddVBand="0" w:evenVBand="0" w:oddHBand="0" w:evenHBand="0" w:firstRowFirstColumn="0" w:firstRowLastColumn="0" w:lastRowFirstColumn="0" w:lastRowLastColumn="0"/>
            </w:pPr>
            <w:r>
              <w:t>(151)</w:t>
            </w:r>
          </w:p>
        </w:tc>
        <w:tc>
          <w:tcPr>
            <w:tcW w:w="912" w:type="dxa"/>
          </w:tcPr>
          <w:p w14:paraId="06D1A295" w14:textId="77777777" w:rsidR="004D42F9" w:rsidRDefault="004D42F9">
            <w:pPr>
              <w:cnfStyle w:val="000000000000" w:firstRow="0" w:lastRow="0" w:firstColumn="0" w:lastColumn="0" w:oddVBand="0" w:evenVBand="0" w:oddHBand="0" w:evenHBand="0" w:firstRowFirstColumn="0" w:firstRowLastColumn="0" w:lastRowFirstColumn="0" w:lastRowLastColumn="0"/>
            </w:pPr>
            <w:r>
              <w:t>1 731</w:t>
            </w:r>
          </w:p>
        </w:tc>
        <w:tc>
          <w:tcPr>
            <w:tcW w:w="912" w:type="dxa"/>
          </w:tcPr>
          <w:p w14:paraId="3356DD56" w14:textId="77777777" w:rsidR="004D42F9" w:rsidRDefault="004D42F9">
            <w:pPr>
              <w:cnfStyle w:val="000000000000" w:firstRow="0" w:lastRow="0" w:firstColumn="0" w:lastColumn="0" w:oddVBand="0" w:evenVBand="0" w:oddHBand="0" w:evenHBand="0" w:firstRowFirstColumn="0" w:firstRowLastColumn="0" w:lastRowFirstColumn="0" w:lastRowLastColumn="0"/>
            </w:pPr>
            <w:r>
              <w:t>(193)</w:t>
            </w:r>
          </w:p>
        </w:tc>
      </w:tr>
      <w:tr w:rsidR="004D42F9" w14:paraId="49B20381" w14:textId="77777777">
        <w:tc>
          <w:tcPr>
            <w:cnfStyle w:val="001000000000" w:firstRow="0" w:lastRow="0" w:firstColumn="1" w:lastColumn="0" w:oddVBand="0" w:evenVBand="0" w:oddHBand="0" w:evenHBand="0" w:firstRowFirstColumn="0" w:firstRowLastColumn="0" w:lastRowFirstColumn="0" w:lastRowLastColumn="0"/>
            <w:tcW w:w="5991" w:type="dxa"/>
          </w:tcPr>
          <w:p w14:paraId="15928ACF" w14:textId="77777777" w:rsidR="004D42F9" w:rsidRDefault="004D42F9">
            <w:r>
              <w:t>Assets transferred between Government entities</w:t>
            </w:r>
          </w:p>
        </w:tc>
        <w:tc>
          <w:tcPr>
            <w:tcW w:w="911" w:type="dxa"/>
          </w:tcPr>
          <w:p w14:paraId="31E3E01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0E17E73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460DBFD5" w14:textId="77777777" w:rsidR="004D42F9" w:rsidRDefault="004D42F9">
            <w:pPr>
              <w:cnfStyle w:val="000000000000" w:firstRow="0" w:lastRow="0" w:firstColumn="0" w:lastColumn="0" w:oddVBand="0" w:evenVBand="0" w:oddHBand="0" w:evenHBand="0" w:firstRowFirstColumn="0" w:firstRowLastColumn="0" w:lastRowFirstColumn="0" w:lastRowLastColumn="0"/>
            </w:pPr>
            <w:r>
              <w:t>(594)</w:t>
            </w:r>
          </w:p>
        </w:tc>
        <w:tc>
          <w:tcPr>
            <w:tcW w:w="912" w:type="dxa"/>
          </w:tcPr>
          <w:p w14:paraId="18853795" w14:textId="77777777" w:rsidR="004D42F9" w:rsidRDefault="004D42F9">
            <w:pPr>
              <w:cnfStyle w:val="000000000000" w:firstRow="0" w:lastRow="0" w:firstColumn="0" w:lastColumn="0" w:oddVBand="0" w:evenVBand="0" w:oddHBand="0" w:evenHBand="0" w:firstRowFirstColumn="0" w:firstRowLastColumn="0" w:lastRowFirstColumn="0" w:lastRowLastColumn="0"/>
            </w:pPr>
            <w:r>
              <w:t>(161)</w:t>
            </w:r>
          </w:p>
        </w:tc>
      </w:tr>
      <w:tr w:rsidR="004D42F9" w14:paraId="23D33B3D" w14:textId="77777777">
        <w:tc>
          <w:tcPr>
            <w:cnfStyle w:val="001000000000" w:firstRow="0" w:lastRow="0" w:firstColumn="1" w:lastColumn="0" w:oddVBand="0" w:evenVBand="0" w:oddHBand="0" w:evenHBand="0" w:firstRowFirstColumn="0" w:firstRowLastColumn="0" w:lastRowFirstColumn="0" w:lastRowLastColumn="0"/>
            <w:tcW w:w="5991" w:type="dxa"/>
            <w:tcBorders>
              <w:bottom w:val="single" w:sz="6" w:space="0" w:color="auto"/>
            </w:tcBorders>
          </w:tcPr>
          <w:p w14:paraId="4D3D446E" w14:textId="77777777" w:rsidR="004D42F9" w:rsidRDefault="004D42F9">
            <w:r>
              <w:t>Depreciation</w:t>
            </w:r>
          </w:p>
        </w:tc>
        <w:tc>
          <w:tcPr>
            <w:tcW w:w="911" w:type="dxa"/>
            <w:tcBorders>
              <w:bottom w:val="single" w:sz="6" w:space="0" w:color="auto"/>
            </w:tcBorders>
          </w:tcPr>
          <w:p w14:paraId="4276FE43" w14:textId="77777777" w:rsidR="004D42F9" w:rsidRDefault="004D42F9">
            <w:pPr>
              <w:cnfStyle w:val="000000000000" w:firstRow="0" w:lastRow="0" w:firstColumn="0" w:lastColumn="0" w:oddVBand="0" w:evenVBand="0" w:oddHBand="0" w:evenHBand="0" w:firstRowFirstColumn="0" w:firstRowLastColumn="0" w:lastRowFirstColumn="0" w:lastRowLastColumn="0"/>
            </w:pPr>
            <w:r>
              <w:t>(441)</w:t>
            </w:r>
          </w:p>
        </w:tc>
        <w:tc>
          <w:tcPr>
            <w:tcW w:w="912" w:type="dxa"/>
            <w:tcBorders>
              <w:bottom w:val="single" w:sz="6" w:space="0" w:color="auto"/>
            </w:tcBorders>
          </w:tcPr>
          <w:p w14:paraId="6A05230F" w14:textId="77777777" w:rsidR="004D42F9" w:rsidRDefault="004D42F9">
            <w:pPr>
              <w:cnfStyle w:val="000000000000" w:firstRow="0" w:lastRow="0" w:firstColumn="0" w:lastColumn="0" w:oddVBand="0" w:evenVBand="0" w:oddHBand="0" w:evenHBand="0" w:firstRowFirstColumn="0" w:firstRowLastColumn="0" w:lastRowFirstColumn="0" w:lastRowLastColumn="0"/>
            </w:pPr>
            <w:r>
              <w:t>(442)</w:t>
            </w:r>
          </w:p>
        </w:tc>
        <w:tc>
          <w:tcPr>
            <w:tcW w:w="912" w:type="dxa"/>
            <w:tcBorders>
              <w:bottom w:val="single" w:sz="6" w:space="0" w:color="auto"/>
            </w:tcBorders>
          </w:tcPr>
          <w:p w14:paraId="621EE4AB" w14:textId="77777777" w:rsidR="004D42F9" w:rsidRDefault="004D42F9">
            <w:pPr>
              <w:cnfStyle w:val="000000000000" w:firstRow="0" w:lastRow="0" w:firstColumn="0" w:lastColumn="0" w:oddVBand="0" w:evenVBand="0" w:oddHBand="0" w:evenHBand="0" w:firstRowFirstColumn="0" w:firstRowLastColumn="0" w:lastRowFirstColumn="0" w:lastRowLastColumn="0"/>
            </w:pPr>
            <w:r>
              <w:t>(334)</w:t>
            </w:r>
          </w:p>
        </w:tc>
        <w:tc>
          <w:tcPr>
            <w:tcW w:w="912" w:type="dxa"/>
            <w:tcBorders>
              <w:bottom w:val="single" w:sz="6" w:space="0" w:color="auto"/>
            </w:tcBorders>
          </w:tcPr>
          <w:p w14:paraId="56375561" w14:textId="77777777" w:rsidR="004D42F9" w:rsidRDefault="004D42F9">
            <w:pPr>
              <w:cnfStyle w:val="000000000000" w:firstRow="0" w:lastRow="0" w:firstColumn="0" w:lastColumn="0" w:oddVBand="0" w:evenVBand="0" w:oddHBand="0" w:evenHBand="0" w:firstRowFirstColumn="0" w:firstRowLastColumn="0" w:lastRowFirstColumn="0" w:lastRowLastColumn="0"/>
            </w:pPr>
            <w:r>
              <w:t>(338)</w:t>
            </w:r>
          </w:p>
        </w:tc>
      </w:tr>
      <w:tr w:rsidR="004D42F9" w14:paraId="68E4AC2C" w14:textId="77777777">
        <w:tc>
          <w:tcPr>
            <w:cnfStyle w:val="001000000000" w:firstRow="0" w:lastRow="0" w:firstColumn="1" w:lastColumn="0" w:oddVBand="0" w:evenVBand="0" w:oddHBand="0" w:evenHBand="0" w:firstRowFirstColumn="0" w:firstRowLastColumn="0" w:lastRowFirstColumn="0" w:lastRowLastColumn="0"/>
            <w:tcW w:w="5991" w:type="dxa"/>
            <w:tcBorders>
              <w:top w:val="single" w:sz="6" w:space="0" w:color="auto"/>
              <w:bottom w:val="single" w:sz="12" w:space="0" w:color="auto"/>
            </w:tcBorders>
          </w:tcPr>
          <w:p w14:paraId="79945432" w14:textId="77777777" w:rsidR="004D42F9" w:rsidRDefault="004D42F9">
            <w:r>
              <w:rPr>
                <w:b/>
              </w:rPr>
              <w:t>Closing balance</w:t>
            </w:r>
          </w:p>
        </w:tc>
        <w:tc>
          <w:tcPr>
            <w:tcW w:w="911" w:type="dxa"/>
            <w:tcBorders>
              <w:top w:val="single" w:sz="6" w:space="0" w:color="auto"/>
              <w:bottom w:val="single" w:sz="12" w:space="0" w:color="auto"/>
            </w:tcBorders>
          </w:tcPr>
          <w:p w14:paraId="4A6EF57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53 888</w:t>
            </w:r>
          </w:p>
        </w:tc>
        <w:tc>
          <w:tcPr>
            <w:tcW w:w="912" w:type="dxa"/>
            <w:tcBorders>
              <w:top w:val="single" w:sz="6" w:space="0" w:color="auto"/>
              <w:bottom w:val="single" w:sz="12" w:space="0" w:color="auto"/>
            </w:tcBorders>
          </w:tcPr>
          <w:p w14:paraId="1DCC382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46 786</w:t>
            </w:r>
          </w:p>
        </w:tc>
        <w:tc>
          <w:tcPr>
            <w:tcW w:w="912" w:type="dxa"/>
            <w:tcBorders>
              <w:top w:val="single" w:sz="6" w:space="0" w:color="auto"/>
              <w:bottom w:val="single" w:sz="12" w:space="0" w:color="auto"/>
            </w:tcBorders>
          </w:tcPr>
          <w:p w14:paraId="3E92895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38 815</w:t>
            </w:r>
          </w:p>
        </w:tc>
        <w:tc>
          <w:tcPr>
            <w:tcW w:w="912" w:type="dxa"/>
            <w:tcBorders>
              <w:top w:val="single" w:sz="6" w:space="0" w:color="auto"/>
              <w:bottom w:val="single" w:sz="12" w:space="0" w:color="auto"/>
            </w:tcBorders>
          </w:tcPr>
          <w:p w14:paraId="16AC3E7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35 806</w:t>
            </w:r>
          </w:p>
        </w:tc>
      </w:tr>
    </w:tbl>
    <w:p w14:paraId="27AE117E" w14:textId="77777777" w:rsidR="004D42F9" w:rsidRDefault="004D42F9" w:rsidP="004D42F9"/>
    <w:p w14:paraId="5280D149" w14:textId="77777777" w:rsidR="005625C7" w:rsidRDefault="005625C7" w:rsidP="004D42F9"/>
    <w:p w14:paraId="5BE1CBC4" w14:textId="77777777" w:rsidR="004D42F9" w:rsidRDefault="004D42F9" w:rsidP="004D42F9">
      <w:pPr>
        <w:pStyle w:val="Heading2"/>
      </w:pPr>
      <w:bookmarkStart w:id="88" w:name="_Toc209481736"/>
      <w:r>
        <w:t>4.2</w:t>
      </w:r>
      <w:r>
        <w:tab/>
        <w:t>Other non-financial assets</w:t>
      </w:r>
      <w:bookmarkEnd w:id="88"/>
      <w:r>
        <w:t xml:space="preserve"> </w:t>
      </w:r>
    </w:p>
    <w:p w14:paraId="0052F280"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Other_NFA"/>
      </w:tblPr>
      <w:tblGrid>
        <w:gridCol w:w="5977"/>
        <w:gridCol w:w="915"/>
        <w:gridCol w:w="915"/>
        <w:gridCol w:w="915"/>
        <w:gridCol w:w="916"/>
      </w:tblGrid>
      <w:tr w:rsidR="004D42F9" w14:paraId="6C6686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092DD93E" w14:textId="77777777" w:rsidR="004D42F9" w:rsidRDefault="004D42F9">
            <w:pPr>
              <w:keepNext/>
            </w:pPr>
          </w:p>
        </w:tc>
        <w:tc>
          <w:tcPr>
            <w:tcW w:w="1830" w:type="dxa"/>
            <w:gridSpan w:val="2"/>
          </w:tcPr>
          <w:p w14:paraId="3EF3D09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31" w:type="dxa"/>
            <w:gridSpan w:val="2"/>
          </w:tcPr>
          <w:p w14:paraId="2A968B3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7305B17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77" w:type="dxa"/>
          </w:tcPr>
          <w:p w14:paraId="3443DDEF" w14:textId="77777777" w:rsidR="004D42F9" w:rsidRDefault="004D42F9">
            <w:pPr>
              <w:keepNext/>
            </w:pPr>
          </w:p>
        </w:tc>
        <w:tc>
          <w:tcPr>
            <w:tcW w:w="915" w:type="dxa"/>
          </w:tcPr>
          <w:p w14:paraId="2AA5DB1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15" w:type="dxa"/>
          </w:tcPr>
          <w:p w14:paraId="37D2BCD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15" w:type="dxa"/>
          </w:tcPr>
          <w:p w14:paraId="2AA3B33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16" w:type="dxa"/>
          </w:tcPr>
          <w:p w14:paraId="651F0B6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7691E28" w14:textId="77777777">
        <w:tc>
          <w:tcPr>
            <w:cnfStyle w:val="001000000000" w:firstRow="0" w:lastRow="0" w:firstColumn="1" w:lastColumn="0" w:oddVBand="0" w:evenVBand="0" w:oddHBand="0" w:evenHBand="0" w:firstRowFirstColumn="0" w:firstRowLastColumn="0" w:lastRowFirstColumn="0" w:lastRowLastColumn="0"/>
            <w:tcW w:w="5977" w:type="dxa"/>
          </w:tcPr>
          <w:p w14:paraId="3C75A813" w14:textId="77777777" w:rsidR="004D42F9" w:rsidRDefault="004D42F9">
            <w:r>
              <w:t>Intangible produced assets</w:t>
            </w:r>
          </w:p>
        </w:tc>
        <w:tc>
          <w:tcPr>
            <w:tcW w:w="915" w:type="dxa"/>
          </w:tcPr>
          <w:p w14:paraId="08BDC157" w14:textId="77777777" w:rsidR="004D42F9" w:rsidRDefault="004D42F9">
            <w:pPr>
              <w:cnfStyle w:val="000000000000" w:firstRow="0" w:lastRow="0" w:firstColumn="0" w:lastColumn="0" w:oddVBand="0" w:evenVBand="0" w:oddHBand="0" w:evenHBand="0" w:firstRowFirstColumn="0" w:firstRowLastColumn="0" w:lastRowFirstColumn="0" w:lastRowLastColumn="0"/>
            </w:pPr>
            <w:r>
              <w:t>4 823</w:t>
            </w:r>
          </w:p>
        </w:tc>
        <w:tc>
          <w:tcPr>
            <w:tcW w:w="915" w:type="dxa"/>
          </w:tcPr>
          <w:p w14:paraId="72AED150" w14:textId="77777777" w:rsidR="004D42F9" w:rsidRDefault="004D42F9">
            <w:pPr>
              <w:cnfStyle w:val="000000000000" w:firstRow="0" w:lastRow="0" w:firstColumn="0" w:lastColumn="0" w:oddVBand="0" w:evenVBand="0" w:oddHBand="0" w:evenHBand="0" w:firstRowFirstColumn="0" w:firstRowLastColumn="0" w:lastRowFirstColumn="0" w:lastRowLastColumn="0"/>
            </w:pPr>
            <w:r>
              <w:t>4 499</w:t>
            </w:r>
          </w:p>
        </w:tc>
        <w:tc>
          <w:tcPr>
            <w:tcW w:w="915" w:type="dxa"/>
          </w:tcPr>
          <w:p w14:paraId="37A0D86F" w14:textId="77777777" w:rsidR="004D42F9" w:rsidRDefault="004D42F9">
            <w:pPr>
              <w:cnfStyle w:val="000000000000" w:firstRow="0" w:lastRow="0" w:firstColumn="0" w:lastColumn="0" w:oddVBand="0" w:evenVBand="0" w:oddHBand="0" w:evenHBand="0" w:firstRowFirstColumn="0" w:firstRowLastColumn="0" w:lastRowFirstColumn="0" w:lastRowLastColumn="0"/>
            </w:pPr>
            <w:r>
              <w:t>3 252</w:t>
            </w:r>
          </w:p>
        </w:tc>
        <w:tc>
          <w:tcPr>
            <w:tcW w:w="916" w:type="dxa"/>
          </w:tcPr>
          <w:p w14:paraId="309BE33B" w14:textId="77777777" w:rsidR="004D42F9" w:rsidRDefault="004D42F9">
            <w:pPr>
              <w:cnfStyle w:val="000000000000" w:firstRow="0" w:lastRow="0" w:firstColumn="0" w:lastColumn="0" w:oddVBand="0" w:evenVBand="0" w:oddHBand="0" w:evenHBand="0" w:firstRowFirstColumn="0" w:firstRowLastColumn="0" w:lastRowFirstColumn="0" w:lastRowLastColumn="0"/>
            </w:pPr>
            <w:r>
              <w:t>3 048</w:t>
            </w:r>
          </w:p>
        </w:tc>
      </w:tr>
      <w:tr w:rsidR="004D42F9" w14:paraId="7083EC1E" w14:textId="77777777">
        <w:tc>
          <w:tcPr>
            <w:cnfStyle w:val="001000000000" w:firstRow="0" w:lastRow="0" w:firstColumn="1" w:lastColumn="0" w:oddVBand="0" w:evenVBand="0" w:oddHBand="0" w:evenHBand="0" w:firstRowFirstColumn="0" w:firstRowLastColumn="0" w:lastRowFirstColumn="0" w:lastRowLastColumn="0"/>
            <w:tcW w:w="5977" w:type="dxa"/>
          </w:tcPr>
          <w:p w14:paraId="46B6C88F" w14:textId="77777777" w:rsidR="004D42F9" w:rsidRDefault="004D42F9">
            <w:r>
              <w:t>Accumulated depreciation</w:t>
            </w:r>
          </w:p>
        </w:tc>
        <w:tc>
          <w:tcPr>
            <w:tcW w:w="915" w:type="dxa"/>
          </w:tcPr>
          <w:p w14:paraId="6D390298" w14:textId="77777777" w:rsidR="004D42F9" w:rsidRDefault="004D42F9">
            <w:pPr>
              <w:cnfStyle w:val="000000000000" w:firstRow="0" w:lastRow="0" w:firstColumn="0" w:lastColumn="0" w:oddVBand="0" w:evenVBand="0" w:oddHBand="0" w:evenHBand="0" w:firstRowFirstColumn="0" w:firstRowLastColumn="0" w:lastRowFirstColumn="0" w:lastRowLastColumn="0"/>
            </w:pPr>
            <w:r>
              <w:t>(3 116)</w:t>
            </w:r>
          </w:p>
        </w:tc>
        <w:tc>
          <w:tcPr>
            <w:tcW w:w="915" w:type="dxa"/>
          </w:tcPr>
          <w:p w14:paraId="3F256998" w14:textId="77777777" w:rsidR="004D42F9" w:rsidRDefault="004D42F9">
            <w:pPr>
              <w:cnfStyle w:val="000000000000" w:firstRow="0" w:lastRow="0" w:firstColumn="0" w:lastColumn="0" w:oddVBand="0" w:evenVBand="0" w:oddHBand="0" w:evenHBand="0" w:firstRowFirstColumn="0" w:firstRowLastColumn="0" w:lastRowFirstColumn="0" w:lastRowLastColumn="0"/>
            </w:pPr>
            <w:r>
              <w:t>(2 793)</w:t>
            </w:r>
          </w:p>
        </w:tc>
        <w:tc>
          <w:tcPr>
            <w:tcW w:w="915" w:type="dxa"/>
          </w:tcPr>
          <w:p w14:paraId="1950C71C" w14:textId="77777777" w:rsidR="004D42F9" w:rsidRDefault="004D42F9">
            <w:pPr>
              <w:cnfStyle w:val="000000000000" w:firstRow="0" w:lastRow="0" w:firstColumn="0" w:lastColumn="0" w:oddVBand="0" w:evenVBand="0" w:oddHBand="0" w:evenHBand="0" w:firstRowFirstColumn="0" w:firstRowLastColumn="0" w:lastRowFirstColumn="0" w:lastRowLastColumn="0"/>
            </w:pPr>
            <w:r>
              <w:t>(1 877)</w:t>
            </w:r>
          </w:p>
        </w:tc>
        <w:tc>
          <w:tcPr>
            <w:tcW w:w="916" w:type="dxa"/>
          </w:tcPr>
          <w:p w14:paraId="4AF33D4F" w14:textId="77777777" w:rsidR="004D42F9" w:rsidRDefault="004D42F9">
            <w:pPr>
              <w:cnfStyle w:val="000000000000" w:firstRow="0" w:lastRow="0" w:firstColumn="0" w:lastColumn="0" w:oddVBand="0" w:evenVBand="0" w:oddHBand="0" w:evenHBand="0" w:firstRowFirstColumn="0" w:firstRowLastColumn="0" w:lastRowFirstColumn="0" w:lastRowLastColumn="0"/>
            </w:pPr>
            <w:r>
              <w:t>(1 725)</w:t>
            </w:r>
          </w:p>
        </w:tc>
      </w:tr>
      <w:tr w:rsidR="004D42F9" w14:paraId="0F81473C" w14:textId="77777777">
        <w:tc>
          <w:tcPr>
            <w:cnfStyle w:val="001000000000" w:firstRow="0" w:lastRow="0" w:firstColumn="1" w:lastColumn="0" w:oddVBand="0" w:evenVBand="0" w:oddHBand="0" w:evenHBand="0" w:firstRowFirstColumn="0" w:firstRowLastColumn="0" w:lastRowFirstColumn="0" w:lastRowLastColumn="0"/>
            <w:tcW w:w="5977" w:type="dxa"/>
          </w:tcPr>
          <w:p w14:paraId="100634BC" w14:textId="77777777" w:rsidR="004D42F9" w:rsidRDefault="004D42F9">
            <w:r>
              <w:t>Service concession assets – intangible produced</w:t>
            </w:r>
            <w:r>
              <w:rPr>
                <w:vertAlign w:val="superscript"/>
              </w:rPr>
              <w:t xml:space="preserve"> (a)</w:t>
            </w:r>
          </w:p>
        </w:tc>
        <w:tc>
          <w:tcPr>
            <w:tcW w:w="915" w:type="dxa"/>
          </w:tcPr>
          <w:p w14:paraId="5921D142" w14:textId="77777777" w:rsidR="004D42F9" w:rsidRDefault="004D42F9">
            <w:pPr>
              <w:cnfStyle w:val="000000000000" w:firstRow="0" w:lastRow="0" w:firstColumn="0" w:lastColumn="0" w:oddVBand="0" w:evenVBand="0" w:oddHBand="0" w:evenHBand="0" w:firstRowFirstColumn="0" w:firstRowLastColumn="0" w:lastRowFirstColumn="0" w:lastRowLastColumn="0"/>
            </w:pPr>
            <w:r>
              <w:t>3 877</w:t>
            </w:r>
          </w:p>
        </w:tc>
        <w:tc>
          <w:tcPr>
            <w:tcW w:w="915" w:type="dxa"/>
          </w:tcPr>
          <w:p w14:paraId="0165BD54" w14:textId="77777777" w:rsidR="004D42F9" w:rsidRDefault="004D42F9">
            <w:pPr>
              <w:cnfStyle w:val="000000000000" w:firstRow="0" w:lastRow="0" w:firstColumn="0" w:lastColumn="0" w:oddVBand="0" w:evenVBand="0" w:oddHBand="0" w:evenHBand="0" w:firstRowFirstColumn="0" w:firstRowLastColumn="0" w:lastRowFirstColumn="0" w:lastRowLastColumn="0"/>
            </w:pPr>
            <w:r>
              <w:t>3 540</w:t>
            </w:r>
          </w:p>
        </w:tc>
        <w:tc>
          <w:tcPr>
            <w:tcW w:w="915" w:type="dxa"/>
          </w:tcPr>
          <w:p w14:paraId="371CE5A8" w14:textId="77777777" w:rsidR="004D42F9" w:rsidRDefault="004D42F9">
            <w:pPr>
              <w:cnfStyle w:val="000000000000" w:firstRow="0" w:lastRow="0" w:firstColumn="0" w:lastColumn="0" w:oddVBand="0" w:evenVBand="0" w:oddHBand="0" w:evenHBand="0" w:firstRowFirstColumn="0" w:firstRowLastColumn="0" w:lastRowFirstColumn="0" w:lastRowLastColumn="0"/>
            </w:pPr>
            <w:r>
              <w:t>3 877</w:t>
            </w:r>
          </w:p>
        </w:tc>
        <w:tc>
          <w:tcPr>
            <w:tcW w:w="916" w:type="dxa"/>
          </w:tcPr>
          <w:p w14:paraId="6AA322F7" w14:textId="77777777" w:rsidR="004D42F9" w:rsidRDefault="004D42F9">
            <w:pPr>
              <w:cnfStyle w:val="000000000000" w:firstRow="0" w:lastRow="0" w:firstColumn="0" w:lastColumn="0" w:oddVBand="0" w:evenVBand="0" w:oddHBand="0" w:evenHBand="0" w:firstRowFirstColumn="0" w:firstRowLastColumn="0" w:lastRowFirstColumn="0" w:lastRowLastColumn="0"/>
            </w:pPr>
            <w:r>
              <w:t>3 540</w:t>
            </w:r>
          </w:p>
        </w:tc>
      </w:tr>
      <w:tr w:rsidR="004D42F9" w14:paraId="660155EE" w14:textId="77777777">
        <w:tc>
          <w:tcPr>
            <w:cnfStyle w:val="001000000000" w:firstRow="0" w:lastRow="0" w:firstColumn="1" w:lastColumn="0" w:oddVBand="0" w:evenVBand="0" w:oddHBand="0" w:evenHBand="0" w:firstRowFirstColumn="0" w:firstRowLastColumn="0" w:lastRowFirstColumn="0" w:lastRowLastColumn="0"/>
            <w:tcW w:w="5977" w:type="dxa"/>
          </w:tcPr>
          <w:p w14:paraId="6D9672AE" w14:textId="77777777" w:rsidR="004D42F9" w:rsidRDefault="004D42F9">
            <w:r>
              <w:t>Accumulated depreciation</w:t>
            </w:r>
          </w:p>
        </w:tc>
        <w:tc>
          <w:tcPr>
            <w:tcW w:w="915" w:type="dxa"/>
          </w:tcPr>
          <w:p w14:paraId="3FBA6BA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5" w:type="dxa"/>
          </w:tcPr>
          <w:p w14:paraId="6DC0DBFA"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915" w:type="dxa"/>
          </w:tcPr>
          <w:p w14:paraId="1AC3FEC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6" w:type="dxa"/>
          </w:tcPr>
          <w:p w14:paraId="6C11128B"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r>
      <w:tr w:rsidR="004D42F9" w14:paraId="66366B8A" w14:textId="77777777">
        <w:tc>
          <w:tcPr>
            <w:cnfStyle w:val="001000000000" w:firstRow="0" w:lastRow="0" w:firstColumn="1" w:lastColumn="0" w:oddVBand="0" w:evenVBand="0" w:oddHBand="0" w:evenHBand="0" w:firstRowFirstColumn="0" w:firstRowLastColumn="0" w:lastRowFirstColumn="0" w:lastRowLastColumn="0"/>
            <w:tcW w:w="5977" w:type="dxa"/>
          </w:tcPr>
          <w:p w14:paraId="5C4A79FB" w14:textId="77777777" w:rsidR="004D42F9" w:rsidRDefault="004D42F9">
            <w:r>
              <w:t>Intangible non</w:t>
            </w:r>
            <w:r>
              <w:noBreakHyphen/>
              <w:t>produced assets</w:t>
            </w:r>
          </w:p>
        </w:tc>
        <w:tc>
          <w:tcPr>
            <w:tcW w:w="915" w:type="dxa"/>
          </w:tcPr>
          <w:p w14:paraId="303668F4" w14:textId="77777777" w:rsidR="004D42F9" w:rsidRDefault="004D42F9">
            <w:pPr>
              <w:cnfStyle w:val="000000000000" w:firstRow="0" w:lastRow="0" w:firstColumn="0" w:lastColumn="0" w:oddVBand="0" w:evenVBand="0" w:oddHBand="0" w:evenHBand="0" w:firstRowFirstColumn="0" w:firstRowLastColumn="0" w:lastRowFirstColumn="0" w:lastRowLastColumn="0"/>
            </w:pPr>
            <w:r>
              <w:t>1 089</w:t>
            </w:r>
          </w:p>
        </w:tc>
        <w:tc>
          <w:tcPr>
            <w:tcW w:w="915" w:type="dxa"/>
          </w:tcPr>
          <w:p w14:paraId="32651928" w14:textId="77777777" w:rsidR="004D42F9" w:rsidRDefault="004D42F9">
            <w:pPr>
              <w:cnfStyle w:val="000000000000" w:firstRow="0" w:lastRow="0" w:firstColumn="0" w:lastColumn="0" w:oddVBand="0" w:evenVBand="0" w:oddHBand="0" w:evenHBand="0" w:firstRowFirstColumn="0" w:firstRowLastColumn="0" w:lastRowFirstColumn="0" w:lastRowLastColumn="0"/>
            </w:pPr>
            <w:r>
              <w:t>1 037</w:t>
            </w:r>
          </w:p>
        </w:tc>
        <w:tc>
          <w:tcPr>
            <w:tcW w:w="915" w:type="dxa"/>
          </w:tcPr>
          <w:p w14:paraId="6B82D611" w14:textId="77777777" w:rsidR="004D42F9" w:rsidRDefault="004D42F9">
            <w:pPr>
              <w:cnfStyle w:val="000000000000" w:firstRow="0" w:lastRow="0" w:firstColumn="0" w:lastColumn="0" w:oddVBand="0" w:evenVBand="0" w:oddHBand="0" w:evenHBand="0" w:firstRowFirstColumn="0" w:firstRowLastColumn="0" w:lastRowFirstColumn="0" w:lastRowLastColumn="0"/>
            </w:pPr>
            <w:r>
              <w:t>75</w:t>
            </w:r>
          </w:p>
        </w:tc>
        <w:tc>
          <w:tcPr>
            <w:tcW w:w="916" w:type="dxa"/>
          </w:tcPr>
          <w:p w14:paraId="155B2F68" w14:textId="77777777" w:rsidR="004D42F9" w:rsidRDefault="004D42F9">
            <w:pPr>
              <w:cnfStyle w:val="000000000000" w:firstRow="0" w:lastRow="0" w:firstColumn="0" w:lastColumn="0" w:oddVBand="0" w:evenVBand="0" w:oddHBand="0" w:evenHBand="0" w:firstRowFirstColumn="0" w:firstRowLastColumn="0" w:lastRowFirstColumn="0" w:lastRowLastColumn="0"/>
            </w:pPr>
            <w:r>
              <w:t>76</w:t>
            </w:r>
          </w:p>
        </w:tc>
      </w:tr>
      <w:tr w:rsidR="004D42F9" w14:paraId="6CEACA33" w14:textId="77777777">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50C88744" w14:textId="77777777" w:rsidR="004D42F9" w:rsidRDefault="004D42F9">
            <w:r>
              <w:t>Accumulated amortisation</w:t>
            </w:r>
          </w:p>
        </w:tc>
        <w:tc>
          <w:tcPr>
            <w:tcW w:w="915" w:type="dxa"/>
            <w:tcBorders>
              <w:bottom w:val="single" w:sz="6" w:space="0" w:color="auto"/>
            </w:tcBorders>
          </w:tcPr>
          <w:p w14:paraId="37FA1864" w14:textId="77777777" w:rsidR="004D42F9" w:rsidRDefault="004D42F9">
            <w:pPr>
              <w:cnfStyle w:val="000000000000" w:firstRow="0" w:lastRow="0" w:firstColumn="0" w:lastColumn="0" w:oddVBand="0" w:evenVBand="0" w:oddHBand="0" w:evenHBand="0" w:firstRowFirstColumn="0" w:firstRowLastColumn="0" w:lastRowFirstColumn="0" w:lastRowLastColumn="0"/>
            </w:pPr>
            <w:r>
              <w:t>(472)</w:t>
            </w:r>
          </w:p>
        </w:tc>
        <w:tc>
          <w:tcPr>
            <w:tcW w:w="915" w:type="dxa"/>
            <w:tcBorders>
              <w:bottom w:val="single" w:sz="6" w:space="0" w:color="auto"/>
            </w:tcBorders>
          </w:tcPr>
          <w:p w14:paraId="10868242" w14:textId="77777777" w:rsidR="004D42F9" w:rsidRDefault="004D42F9">
            <w:pPr>
              <w:cnfStyle w:val="000000000000" w:firstRow="0" w:lastRow="0" w:firstColumn="0" w:lastColumn="0" w:oddVBand="0" w:evenVBand="0" w:oddHBand="0" w:evenHBand="0" w:firstRowFirstColumn="0" w:firstRowLastColumn="0" w:lastRowFirstColumn="0" w:lastRowLastColumn="0"/>
            </w:pPr>
            <w:r>
              <w:t>(439)</w:t>
            </w:r>
          </w:p>
        </w:tc>
        <w:tc>
          <w:tcPr>
            <w:tcW w:w="915" w:type="dxa"/>
            <w:tcBorders>
              <w:bottom w:val="single" w:sz="6" w:space="0" w:color="auto"/>
            </w:tcBorders>
          </w:tcPr>
          <w:p w14:paraId="133FCDDC" w14:textId="77777777" w:rsidR="004D42F9" w:rsidRDefault="004D42F9">
            <w:pPr>
              <w:cnfStyle w:val="000000000000" w:firstRow="0" w:lastRow="0" w:firstColumn="0" w:lastColumn="0" w:oddVBand="0" w:evenVBand="0" w:oddHBand="0" w:evenHBand="0" w:firstRowFirstColumn="0" w:firstRowLastColumn="0" w:lastRowFirstColumn="0" w:lastRowLastColumn="0"/>
            </w:pPr>
            <w:r>
              <w:t>(68)</w:t>
            </w:r>
          </w:p>
        </w:tc>
        <w:tc>
          <w:tcPr>
            <w:tcW w:w="916" w:type="dxa"/>
            <w:tcBorders>
              <w:bottom w:val="single" w:sz="6" w:space="0" w:color="auto"/>
            </w:tcBorders>
          </w:tcPr>
          <w:p w14:paraId="11C92706" w14:textId="77777777" w:rsidR="004D42F9" w:rsidRDefault="004D42F9">
            <w:pPr>
              <w:cnfStyle w:val="000000000000" w:firstRow="0" w:lastRow="0" w:firstColumn="0" w:lastColumn="0" w:oddVBand="0" w:evenVBand="0" w:oddHBand="0" w:evenHBand="0" w:firstRowFirstColumn="0" w:firstRowLastColumn="0" w:lastRowFirstColumn="0" w:lastRowLastColumn="0"/>
            </w:pPr>
            <w:r>
              <w:t>(63)</w:t>
            </w:r>
          </w:p>
        </w:tc>
      </w:tr>
      <w:tr w:rsidR="004D42F9" w14:paraId="2DD04815" w14:textId="77777777">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tcBorders>
          </w:tcPr>
          <w:p w14:paraId="065BE923" w14:textId="77777777" w:rsidR="004D42F9" w:rsidRDefault="004D42F9">
            <w:r>
              <w:rPr>
                <w:b/>
              </w:rPr>
              <w:t>Total intangibles</w:t>
            </w:r>
          </w:p>
        </w:tc>
        <w:tc>
          <w:tcPr>
            <w:tcW w:w="915" w:type="dxa"/>
            <w:tcBorders>
              <w:top w:val="single" w:sz="6" w:space="0" w:color="auto"/>
            </w:tcBorders>
          </w:tcPr>
          <w:p w14:paraId="0F0B98B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6 202</w:t>
            </w:r>
          </w:p>
        </w:tc>
        <w:tc>
          <w:tcPr>
            <w:tcW w:w="915" w:type="dxa"/>
            <w:tcBorders>
              <w:top w:val="single" w:sz="6" w:space="0" w:color="auto"/>
            </w:tcBorders>
          </w:tcPr>
          <w:p w14:paraId="4AED81E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5 835</w:t>
            </w:r>
          </w:p>
        </w:tc>
        <w:tc>
          <w:tcPr>
            <w:tcW w:w="915" w:type="dxa"/>
            <w:tcBorders>
              <w:top w:val="single" w:sz="6" w:space="0" w:color="auto"/>
            </w:tcBorders>
          </w:tcPr>
          <w:p w14:paraId="149CB52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5 259</w:t>
            </w:r>
          </w:p>
        </w:tc>
        <w:tc>
          <w:tcPr>
            <w:tcW w:w="916" w:type="dxa"/>
            <w:tcBorders>
              <w:top w:val="single" w:sz="6" w:space="0" w:color="auto"/>
            </w:tcBorders>
          </w:tcPr>
          <w:p w14:paraId="5ADEBB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4 868</w:t>
            </w:r>
          </w:p>
        </w:tc>
      </w:tr>
      <w:tr w:rsidR="004D42F9" w14:paraId="6505A4ED" w14:textId="77777777">
        <w:tc>
          <w:tcPr>
            <w:cnfStyle w:val="001000000000" w:firstRow="0" w:lastRow="0" w:firstColumn="1" w:lastColumn="0" w:oddVBand="0" w:evenVBand="0" w:oddHBand="0" w:evenHBand="0" w:firstRowFirstColumn="0" w:firstRowLastColumn="0" w:lastRowFirstColumn="0" w:lastRowLastColumn="0"/>
            <w:tcW w:w="5977" w:type="dxa"/>
          </w:tcPr>
          <w:p w14:paraId="2A6A2380" w14:textId="77777777" w:rsidR="004D42F9" w:rsidRDefault="004D42F9">
            <w:r>
              <w:t>Investment properties</w:t>
            </w:r>
          </w:p>
        </w:tc>
        <w:tc>
          <w:tcPr>
            <w:tcW w:w="915" w:type="dxa"/>
          </w:tcPr>
          <w:p w14:paraId="44E09F1F" w14:textId="77777777" w:rsidR="004D42F9" w:rsidRDefault="004D42F9">
            <w:pPr>
              <w:cnfStyle w:val="000000000000" w:firstRow="0" w:lastRow="0" w:firstColumn="0" w:lastColumn="0" w:oddVBand="0" w:evenVBand="0" w:oddHBand="0" w:evenHBand="0" w:firstRowFirstColumn="0" w:firstRowLastColumn="0" w:lastRowFirstColumn="0" w:lastRowLastColumn="0"/>
            </w:pPr>
            <w:r>
              <w:t>299</w:t>
            </w:r>
          </w:p>
        </w:tc>
        <w:tc>
          <w:tcPr>
            <w:tcW w:w="915" w:type="dxa"/>
          </w:tcPr>
          <w:p w14:paraId="784535E2" w14:textId="77777777" w:rsidR="004D42F9" w:rsidRDefault="004D42F9">
            <w:pPr>
              <w:cnfStyle w:val="000000000000" w:firstRow="0" w:lastRow="0" w:firstColumn="0" w:lastColumn="0" w:oddVBand="0" w:evenVBand="0" w:oddHBand="0" w:evenHBand="0" w:firstRowFirstColumn="0" w:firstRowLastColumn="0" w:lastRowFirstColumn="0" w:lastRowLastColumn="0"/>
            </w:pPr>
            <w:r>
              <w:t>334</w:t>
            </w:r>
          </w:p>
        </w:tc>
        <w:tc>
          <w:tcPr>
            <w:tcW w:w="915" w:type="dxa"/>
          </w:tcPr>
          <w:p w14:paraId="12312633" w14:textId="77777777" w:rsidR="004D42F9" w:rsidRDefault="004D42F9">
            <w:pPr>
              <w:cnfStyle w:val="000000000000" w:firstRow="0" w:lastRow="0" w:firstColumn="0" w:lastColumn="0" w:oddVBand="0" w:evenVBand="0" w:oddHBand="0" w:evenHBand="0" w:firstRowFirstColumn="0" w:firstRowLastColumn="0" w:lastRowFirstColumn="0" w:lastRowLastColumn="0"/>
            </w:pPr>
            <w:r>
              <w:t>286</w:t>
            </w:r>
          </w:p>
        </w:tc>
        <w:tc>
          <w:tcPr>
            <w:tcW w:w="916" w:type="dxa"/>
          </w:tcPr>
          <w:p w14:paraId="02933930" w14:textId="77777777" w:rsidR="004D42F9" w:rsidRDefault="004D42F9">
            <w:pPr>
              <w:cnfStyle w:val="000000000000" w:firstRow="0" w:lastRow="0" w:firstColumn="0" w:lastColumn="0" w:oddVBand="0" w:evenVBand="0" w:oddHBand="0" w:evenHBand="0" w:firstRowFirstColumn="0" w:firstRowLastColumn="0" w:lastRowFirstColumn="0" w:lastRowLastColumn="0"/>
            </w:pPr>
            <w:r>
              <w:t>321</w:t>
            </w:r>
          </w:p>
        </w:tc>
      </w:tr>
      <w:tr w:rsidR="004D42F9" w14:paraId="24CEACF5" w14:textId="77777777">
        <w:tc>
          <w:tcPr>
            <w:cnfStyle w:val="001000000000" w:firstRow="0" w:lastRow="0" w:firstColumn="1" w:lastColumn="0" w:oddVBand="0" w:evenVBand="0" w:oddHBand="0" w:evenHBand="0" w:firstRowFirstColumn="0" w:firstRowLastColumn="0" w:lastRowFirstColumn="0" w:lastRowLastColumn="0"/>
            <w:tcW w:w="5977" w:type="dxa"/>
            <w:tcBorders>
              <w:bottom w:val="single" w:sz="6" w:space="0" w:color="auto"/>
            </w:tcBorders>
          </w:tcPr>
          <w:p w14:paraId="249504AC" w14:textId="77777777" w:rsidR="004D42F9" w:rsidRDefault="004D42F9">
            <w:r>
              <w:t>Other assets</w:t>
            </w:r>
          </w:p>
        </w:tc>
        <w:tc>
          <w:tcPr>
            <w:tcW w:w="915" w:type="dxa"/>
            <w:tcBorders>
              <w:bottom w:val="single" w:sz="6" w:space="0" w:color="auto"/>
            </w:tcBorders>
          </w:tcPr>
          <w:p w14:paraId="03E10C89" w14:textId="77777777" w:rsidR="004D42F9" w:rsidRDefault="004D42F9">
            <w:pPr>
              <w:cnfStyle w:val="000000000000" w:firstRow="0" w:lastRow="0" w:firstColumn="0" w:lastColumn="0" w:oddVBand="0" w:evenVBand="0" w:oddHBand="0" w:evenHBand="0" w:firstRowFirstColumn="0" w:firstRowLastColumn="0" w:lastRowFirstColumn="0" w:lastRowLastColumn="0"/>
            </w:pPr>
            <w:r>
              <w:t>1 514</w:t>
            </w:r>
          </w:p>
        </w:tc>
        <w:tc>
          <w:tcPr>
            <w:tcW w:w="915" w:type="dxa"/>
            <w:tcBorders>
              <w:bottom w:val="single" w:sz="6" w:space="0" w:color="auto"/>
            </w:tcBorders>
          </w:tcPr>
          <w:p w14:paraId="6BAA9346" w14:textId="77777777" w:rsidR="004D42F9" w:rsidRDefault="004D42F9">
            <w:pPr>
              <w:cnfStyle w:val="000000000000" w:firstRow="0" w:lastRow="0" w:firstColumn="0" w:lastColumn="0" w:oddVBand="0" w:evenVBand="0" w:oddHBand="0" w:evenHBand="0" w:firstRowFirstColumn="0" w:firstRowLastColumn="0" w:lastRowFirstColumn="0" w:lastRowLastColumn="0"/>
            </w:pPr>
            <w:r>
              <w:t>1 336</w:t>
            </w:r>
          </w:p>
        </w:tc>
        <w:tc>
          <w:tcPr>
            <w:tcW w:w="915" w:type="dxa"/>
            <w:tcBorders>
              <w:bottom w:val="single" w:sz="6" w:space="0" w:color="auto"/>
            </w:tcBorders>
          </w:tcPr>
          <w:p w14:paraId="09E0C46B" w14:textId="77777777" w:rsidR="004D42F9" w:rsidRDefault="004D42F9">
            <w:pPr>
              <w:cnfStyle w:val="000000000000" w:firstRow="0" w:lastRow="0" w:firstColumn="0" w:lastColumn="0" w:oddVBand="0" w:evenVBand="0" w:oddHBand="0" w:evenHBand="0" w:firstRowFirstColumn="0" w:firstRowLastColumn="0" w:lastRowFirstColumn="0" w:lastRowLastColumn="0"/>
            </w:pPr>
            <w:r>
              <w:t>1 361</w:t>
            </w:r>
          </w:p>
        </w:tc>
        <w:tc>
          <w:tcPr>
            <w:tcW w:w="916" w:type="dxa"/>
            <w:tcBorders>
              <w:bottom w:val="single" w:sz="6" w:space="0" w:color="auto"/>
            </w:tcBorders>
          </w:tcPr>
          <w:p w14:paraId="0EDBE436" w14:textId="77777777" w:rsidR="004D42F9" w:rsidRDefault="004D42F9">
            <w:pPr>
              <w:cnfStyle w:val="000000000000" w:firstRow="0" w:lastRow="0" w:firstColumn="0" w:lastColumn="0" w:oddVBand="0" w:evenVBand="0" w:oddHBand="0" w:evenHBand="0" w:firstRowFirstColumn="0" w:firstRowLastColumn="0" w:lastRowFirstColumn="0" w:lastRowLastColumn="0"/>
            </w:pPr>
            <w:r>
              <w:t>1 033</w:t>
            </w:r>
          </w:p>
        </w:tc>
      </w:tr>
      <w:tr w:rsidR="004D42F9" w14:paraId="5EBAEE2A" w14:textId="77777777">
        <w:tc>
          <w:tcPr>
            <w:cnfStyle w:val="001000000000" w:firstRow="0" w:lastRow="0" w:firstColumn="1" w:lastColumn="0" w:oddVBand="0" w:evenVBand="0" w:oddHBand="0" w:evenHBand="0" w:firstRowFirstColumn="0" w:firstRowLastColumn="0" w:lastRowFirstColumn="0" w:lastRowLastColumn="0"/>
            <w:tcW w:w="5977" w:type="dxa"/>
            <w:tcBorders>
              <w:top w:val="single" w:sz="6" w:space="0" w:color="auto"/>
              <w:bottom w:val="single" w:sz="12" w:space="0" w:color="auto"/>
            </w:tcBorders>
          </w:tcPr>
          <w:p w14:paraId="27CDF578" w14:textId="77777777" w:rsidR="004D42F9" w:rsidRDefault="004D42F9">
            <w:r>
              <w:rPr>
                <w:b/>
              </w:rPr>
              <w:t>Total other non</w:t>
            </w:r>
            <w:r>
              <w:rPr>
                <w:b/>
              </w:rPr>
              <w:noBreakHyphen/>
              <w:t>financial assets</w:t>
            </w:r>
          </w:p>
        </w:tc>
        <w:tc>
          <w:tcPr>
            <w:tcW w:w="915" w:type="dxa"/>
            <w:tcBorders>
              <w:top w:val="single" w:sz="6" w:space="0" w:color="auto"/>
              <w:bottom w:val="single" w:sz="12" w:space="0" w:color="auto"/>
            </w:tcBorders>
          </w:tcPr>
          <w:p w14:paraId="234EB47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8 015</w:t>
            </w:r>
          </w:p>
        </w:tc>
        <w:tc>
          <w:tcPr>
            <w:tcW w:w="915" w:type="dxa"/>
            <w:tcBorders>
              <w:top w:val="single" w:sz="6" w:space="0" w:color="auto"/>
              <w:bottom w:val="single" w:sz="12" w:space="0" w:color="auto"/>
            </w:tcBorders>
          </w:tcPr>
          <w:p w14:paraId="1D6F0C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7 505</w:t>
            </w:r>
          </w:p>
        </w:tc>
        <w:tc>
          <w:tcPr>
            <w:tcW w:w="915" w:type="dxa"/>
            <w:tcBorders>
              <w:top w:val="single" w:sz="6" w:space="0" w:color="auto"/>
              <w:bottom w:val="single" w:sz="12" w:space="0" w:color="auto"/>
            </w:tcBorders>
          </w:tcPr>
          <w:p w14:paraId="48427C8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6 906</w:t>
            </w:r>
          </w:p>
        </w:tc>
        <w:tc>
          <w:tcPr>
            <w:tcW w:w="916" w:type="dxa"/>
            <w:tcBorders>
              <w:top w:val="single" w:sz="6" w:space="0" w:color="auto"/>
              <w:bottom w:val="single" w:sz="12" w:space="0" w:color="auto"/>
            </w:tcBorders>
          </w:tcPr>
          <w:p w14:paraId="39B137E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6 222</w:t>
            </w:r>
          </w:p>
        </w:tc>
      </w:tr>
    </w:tbl>
    <w:p w14:paraId="444F9926" w14:textId="77777777" w:rsidR="004D42F9" w:rsidRDefault="004D42F9" w:rsidP="004D42F9">
      <w:pPr>
        <w:pStyle w:val="Note"/>
      </w:pPr>
      <w:r>
        <w:t xml:space="preserve">Note: </w:t>
      </w:r>
    </w:p>
    <w:p w14:paraId="3CB3231E" w14:textId="77777777" w:rsidR="004D42F9" w:rsidRDefault="004D42F9" w:rsidP="004D42F9">
      <w:pPr>
        <w:pStyle w:val="Note"/>
      </w:pPr>
      <w:r>
        <w:t>(a)</w:t>
      </w:r>
      <w:r>
        <w:tab/>
        <w:t xml:space="preserve">This includes the Registration and Licensing and the Land Titling and Registry databases. </w:t>
      </w:r>
    </w:p>
    <w:p w14:paraId="3F570759" w14:textId="77777777" w:rsidR="004D42F9" w:rsidRDefault="004D42F9" w:rsidP="004D42F9"/>
    <w:p w14:paraId="08C1A5D2" w14:textId="77777777" w:rsidR="004D42F9" w:rsidRDefault="004D42F9" w:rsidP="004D42F9">
      <w:pPr>
        <w:pStyle w:val="TableHeading"/>
        <w:pageBreakBefore/>
      </w:pPr>
      <w:r w:rsidRPr="008D2129">
        <w:lastRenderedPageBreak/>
        <w:t xml:space="preserve">Reconciliation of movement in intangibles, investment properties and biological assets </w:t>
      </w:r>
      <w:r w:rsidRPr="00852CDD">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Recon_NFA_On-costs.xlsx|Table:Reconciliation_of_movement_in_intangibles_investment_biological"/>
      </w:tblPr>
      <w:tblGrid>
        <w:gridCol w:w="6010"/>
        <w:gridCol w:w="907"/>
        <w:gridCol w:w="907"/>
        <w:gridCol w:w="907"/>
        <w:gridCol w:w="907"/>
      </w:tblGrid>
      <w:tr w:rsidR="004D42F9" w14:paraId="733D0D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8031D85" w14:textId="77777777" w:rsidR="004D42F9" w:rsidRDefault="004D42F9">
            <w:pPr>
              <w:keepNext/>
            </w:pPr>
          </w:p>
        </w:tc>
        <w:tc>
          <w:tcPr>
            <w:tcW w:w="1814" w:type="dxa"/>
            <w:gridSpan w:val="2"/>
          </w:tcPr>
          <w:p w14:paraId="7A901B94"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57EF9AD"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53130BE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83CF047" w14:textId="77777777" w:rsidR="004D42F9" w:rsidRDefault="004D42F9">
            <w:pPr>
              <w:keepNext/>
            </w:pPr>
          </w:p>
        </w:tc>
        <w:tc>
          <w:tcPr>
            <w:tcW w:w="907" w:type="dxa"/>
          </w:tcPr>
          <w:p w14:paraId="24DA8D9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F75A8D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FDC71D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709190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2D29078" w14:textId="77777777">
        <w:tc>
          <w:tcPr>
            <w:cnfStyle w:val="001000000000" w:firstRow="0" w:lastRow="0" w:firstColumn="1" w:lastColumn="0" w:oddVBand="0" w:evenVBand="0" w:oddHBand="0" w:evenHBand="0" w:firstRowFirstColumn="0" w:firstRowLastColumn="0" w:lastRowFirstColumn="0" w:lastRowLastColumn="0"/>
            <w:tcW w:w="6010" w:type="dxa"/>
          </w:tcPr>
          <w:p w14:paraId="1CBC39EB" w14:textId="77777777" w:rsidR="004D42F9" w:rsidRPr="00257655" w:rsidRDefault="004D42F9">
            <w:pPr>
              <w:rPr>
                <w:b/>
              </w:rPr>
            </w:pPr>
            <w:r w:rsidRPr="00257655">
              <w:rPr>
                <w:b/>
              </w:rPr>
              <w:t>Opening balance</w:t>
            </w:r>
            <w:r w:rsidRPr="00257655">
              <w:rPr>
                <w:b/>
                <w:vertAlign w:val="superscript"/>
              </w:rPr>
              <w:t xml:space="preserve"> (b)</w:t>
            </w:r>
          </w:p>
        </w:tc>
        <w:tc>
          <w:tcPr>
            <w:tcW w:w="907" w:type="dxa"/>
          </w:tcPr>
          <w:p w14:paraId="7C06AB28" w14:textId="77777777" w:rsidR="004D42F9" w:rsidRPr="00257655" w:rsidRDefault="004D42F9">
            <w:pPr>
              <w:cnfStyle w:val="000000000000" w:firstRow="0" w:lastRow="0" w:firstColumn="0" w:lastColumn="0" w:oddVBand="0" w:evenVBand="0" w:oddHBand="0" w:evenHBand="0" w:firstRowFirstColumn="0" w:firstRowLastColumn="0" w:lastRowFirstColumn="0" w:lastRowLastColumn="0"/>
              <w:rPr>
                <w:b/>
              </w:rPr>
            </w:pPr>
            <w:r w:rsidRPr="00257655">
              <w:rPr>
                <w:b/>
              </w:rPr>
              <w:t>6 185</w:t>
            </w:r>
          </w:p>
        </w:tc>
        <w:tc>
          <w:tcPr>
            <w:tcW w:w="907" w:type="dxa"/>
          </w:tcPr>
          <w:p w14:paraId="26E125FA" w14:textId="77777777" w:rsidR="004D42F9" w:rsidRPr="00257655" w:rsidRDefault="004D42F9">
            <w:pPr>
              <w:cnfStyle w:val="000000000000" w:firstRow="0" w:lastRow="0" w:firstColumn="0" w:lastColumn="0" w:oddVBand="0" w:evenVBand="0" w:oddHBand="0" w:evenHBand="0" w:firstRowFirstColumn="0" w:firstRowLastColumn="0" w:lastRowFirstColumn="0" w:lastRowLastColumn="0"/>
              <w:rPr>
                <w:b/>
              </w:rPr>
            </w:pPr>
            <w:r w:rsidRPr="00257655">
              <w:rPr>
                <w:b/>
              </w:rPr>
              <w:t>5 999</w:t>
            </w:r>
          </w:p>
        </w:tc>
        <w:tc>
          <w:tcPr>
            <w:tcW w:w="907" w:type="dxa"/>
          </w:tcPr>
          <w:p w14:paraId="267AB8D2" w14:textId="77777777" w:rsidR="004D42F9" w:rsidRPr="00257655" w:rsidRDefault="004D42F9">
            <w:pPr>
              <w:cnfStyle w:val="000000000000" w:firstRow="0" w:lastRow="0" w:firstColumn="0" w:lastColumn="0" w:oddVBand="0" w:evenVBand="0" w:oddHBand="0" w:evenHBand="0" w:firstRowFirstColumn="0" w:firstRowLastColumn="0" w:lastRowFirstColumn="0" w:lastRowLastColumn="0"/>
              <w:rPr>
                <w:b/>
              </w:rPr>
            </w:pPr>
            <w:r w:rsidRPr="00257655">
              <w:rPr>
                <w:b/>
              </w:rPr>
              <w:t>5 194</w:t>
            </w:r>
          </w:p>
        </w:tc>
        <w:tc>
          <w:tcPr>
            <w:tcW w:w="907" w:type="dxa"/>
          </w:tcPr>
          <w:p w14:paraId="4D111154" w14:textId="77777777" w:rsidR="004D42F9" w:rsidRPr="00257655" w:rsidRDefault="004D42F9">
            <w:pPr>
              <w:cnfStyle w:val="000000000000" w:firstRow="0" w:lastRow="0" w:firstColumn="0" w:lastColumn="0" w:oddVBand="0" w:evenVBand="0" w:oddHBand="0" w:evenHBand="0" w:firstRowFirstColumn="0" w:firstRowLastColumn="0" w:lastRowFirstColumn="0" w:lastRowLastColumn="0"/>
              <w:rPr>
                <w:b/>
              </w:rPr>
            </w:pPr>
            <w:r w:rsidRPr="00257655">
              <w:rPr>
                <w:b/>
              </w:rPr>
              <w:t>4 989</w:t>
            </w:r>
          </w:p>
        </w:tc>
      </w:tr>
      <w:tr w:rsidR="004D42F9" w14:paraId="03053801" w14:textId="77777777">
        <w:tc>
          <w:tcPr>
            <w:cnfStyle w:val="001000000000" w:firstRow="0" w:lastRow="0" w:firstColumn="1" w:lastColumn="0" w:oddVBand="0" w:evenVBand="0" w:oddHBand="0" w:evenHBand="0" w:firstRowFirstColumn="0" w:firstRowLastColumn="0" w:lastRowFirstColumn="0" w:lastRowLastColumn="0"/>
            <w:tcW w:w="6010" w:type="dxa"/>
          </w:tcPr>
          <w:p w14:paraId="02FD13FB" w14:textId="77777777" w:rsidR="004D42F9" w:rsidRDefault="004D42F9">
            <w:r>
              <w:t>Acquisitions of self</w:t>
            </w:r>
            <w:r>
              <w:noBreakHyphen/>
              <w:t>owned intangible produced assets</w:t>
            </w:r>
          </w:p>
        </w:tc>
        <w:tc>
          <w:tcPr>
            <w:tcW w:w="907" w:type="dxa"/>
          </w:tcPr>
          <w:p w14:paraId="41F42321" w14:textId="77777777" w:rsidR="004D42F9" w:rsidRDefault="004D42F9">
            <w:pPr>
              <w:cnfStyle w:val="000000000000" w:firstRow="0" w:lastRow="0" w:firstColumn="0" w:lastColumn="0" w:oddVBand="0" w:evenVBand="0" w:oddHBand="0" w:evenHBand="0" w:firstRowFirstColumn="0" w:firstRowLastColumn="0" w:lastRowFirstColumn="0" w:lastRowLastColumn="0"/>
            </w:pPr>
            <w:r>
              <w:t>484</w:t>
            </w:r>
          </w:p>
        </w:tc>
        <w:tc>
          <w:tcPr>
            <w:tcW w:w="907" w:type="dxa"/>
          </w:tcPr>
          <w:p w14:paraId="4DF48381" w14:textId="77777777" w:rsidR="004D42F9" w:rsidRDefault="004D42F9">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3865C687" w14:textId="77777777" w:rsidR="004D42F9" w:rsidRDefault="004D42F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337DFAA4" w14:textId="77777777" w:rsidR="004D42F9" w:rsidRDefault="004D42F9">
            <w:pPr>
              <w:cnfStyle w:val="000000000000" w:firstRow="0" w:lastRow="0" w:firstColumn="0" w:lastColumn="0" w:oddVBand="0" w:evenVBand="0" w:oddHBand="0" w:evenHBand="0" w:firstRowFirstColumn="0" w:firstRowLastColumn="0" w:lastRowFirstColumn="0" w:lastRowLastColumn="0"/>
            </w:pPr>
            <w:r>
              <w:t>303</w:t>
            </w:r>
          </w:p>
        </w:tc>
      </w:tr>
      <w:tr w:rsidR="004D42F9" w14:paraId="503E6452" w14:textId="77777777">
        <w:tc>
          <w:tcPr>
            <w:cnfStyle w:val="001000000000" w:firstRow="0" w:lastRow="0" w:firstColumn="1" w:lastColumn="0" w:oddVBand="0" w:evenVBand="0" w:oddHBand="0" w:evenHBand="0" w:firstRowFirstColumn="0" w:firstRowLastColumn="0" w:lastRowFirstColumn="0" w:lastRowLastColumn="0"/>
            <w:tcW w:w="6010" w:type="dxa"/>
          </w:tcPr>
          <w:p w14:paraId="7A422A58" w14:textId="77777777" w:rsidR="004D42F9" w:rsidRDefault="004D42F9">
            <w:r>
              <w:t>Additions of right</w:t>
            </w:r>
            <w:r>
              <w:noBreakHyphen/>
              <w:t>of</w:t>
            </w:r>
            <w:r>
              <w:noBreakHyphen/>
              <w:t>use assets</w:t>
            </w:r>
          </w:p>
        </w:tc>
        <w:tc>
          <w:tcPr>
            <w:tcW w:w="907" w:type="dxa"/>
          </w:tcPr>
          <w:p w14:paraId="575F63B6"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018123B3"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524330B1"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6AFC5A6"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78D1F34C" w14:textId="77777777">
        <w:tc>
          <w:tcPr>
            <w:cnfStyle w:val="001000000000" w:firstRow="0" w:lastRow="0" w:firstColumn="1" w:lastColumn="0" w:oddVBand="0" w:evenVBand="0" w:oddHBand="0" w:evenHBand="0" w:firstRowFirstColumn="0" w:firstRowLastColumn="0" w:lastRowFirstColumn="0" w:lastRowLastColumn="0"/>
            <w:tcW w:w="6010" w:type="dxa"/>
          </w:tcPr>
          <w:p w14:paraId="049B70BD" w14:textId="77777777" w:rsidR="004D42F9" w:rsidRDefault="004D42F9">
            <w:r>
              <w:t>Additions of service concession arrangement assets</w:t>
            </w:r>
          </w:p>
        </w:tc>
        <w:tc>
          <w:tcPr>
            <w:tcW w:w="907" w:type="dxa"/>
          </w:tcPr>
          <w:p w14:paraId="5A40B90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084959" w14:textId="77777777" w:rsidR="004D42F9" w:rsidRDefault="004D42F9">
            <w:pPr>
              <w:cnfStyle w:val="000000000000" w:firstRow="0" w:lastRow="0" w:firstColumn="0" w:lastColumn="0" w:oddVBand="0" w:evenVBand="0" w:oddHBand="0" w:evenHBand="0" w:firstRowFirstColumn="0" w:firstRowLastColumn="0" w:lastRowFirstColumn="0" w:lastRowLastColumn="0"/>
            </w:pPr>
            <w:r>
              <w:t>169</w:t>
            </w:r>
          </w:p>
        </w:tc>
        <w:tc>
          <w:tcPr>
            <w:tcW w:w="907" w:type="dxa"/>
          </w:tcPr>
          <w:p w14:paraId="58F2871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355A31" w14:textId="77777777" w:rsidR="004D42F9" w:rsidRDefault="004D42F9">
            <w:pPr>
              <w:cnfStyle w:val="000000000000" w:firstRow="0" w:lastRow="0" w:firstColumn="0" w:lastColumn="0" w:oddVBand="0" w:evenVBand="0" w:oddHBand="0" w:evenHBand="0" w:firstRowFirstColumn="0" w:firstRowLastColumn="0" w:lastRowFirstColumn="0" w:lastRowLastColumn="0"/>
            </w:pPr>
            <w:r>
              <w:t>169</w:t>
            </w:r>
          </w:p>
        </w:tc>
      </w:tr>
      <w:tr w:rsidR="004D42F9" w14:paraId="780D3AE9" w14:textId="77777777">
        <w:tc>
          <w:tcPr>
            <w:cnfStyle w:val="001000000000" w:firstRow="0" w:lastRow="0" w:firstColumn="1" w:lastColumn="0" w:oddVBand="0" w:evenVBand="0" w:oddHBand="0" w:evenHBand="0" w:firstRowFirstColumn="0" w:firstRowLastColumn="0" w:lastRowFirstColumn="0" w:lastRowLastColumn="0"/>
            <w:tcW w:w="6010" w:type="dxa"/>
          </w:tcPr>
          <w:p w14:paraId="296FA139" w14:textId="77777777" w:rsidR="004D42F9" w:rsidRDefault="004D42F9">
            <w:r>
              <w:t>Reclassification</w:t>
            </w:r>
          </w:p>
        </w:tc>
        <w:tc>
          <w:tcPr>
            <w:tcW w:w="907" w:type="dxa"/>
          </w:tcPr>
          <w:p w14:paraId="3A88CFDD" w14:textId="77777777" w:rsidR="004D42F9" w:rsidRDefault="004D42F9">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2D9B280E"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45C619A"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5719137B"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r>
      <w:tr w:rsidR="004D42F9" w14:paraId="35EB528D" w14:textId="77777777">
        <w:tc>
          <w:tcPr>
            <w:cnfStyle w:val="001000000000" w:firstRow="0" w:lastRow="0" w:firstColumn="1" w:lastColumn="0" w:oddVBand="0" w:evenVBand="0" w:oddHBand="0" w:evenHBand="0" w:firstRowFirstColumn="0" w:firstRowLastColumn="0" w:lastRowFirstColumn="0" w:lastRowLastColumn="0"/>
            <w:tcW w:w="6010" w:type="dxa"/>
          </w:tcPr>
          <w:p w14:paraId="2E99E5B2" w14:textId="77777777" w:rsidR="004D42F9" w:rsidRDefault="004D42F9">
            <w:r>
              <w:t>Revaluation</w:t>
            </w:r>
          </w:p>
        </w:tc>
        <w:tc>
          <w:tcPr>
            <w:tcW w:w="907" w:type="dxa"/>
          </w:tcPr>
          <w:p w14:paraId="610DAA9D" w14:textId="77777777" w:rsidR="004D42F9" w:rsidRDefault="004D42F9">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645737C7"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103B8F8" w14:textId="77777777" w:rsidR="004D42F9" w:rsidRDefault="004D42F9">
            <w:pPr>
              <w:cnfStyle w:val="000000000000" w:firstRow="0" w:lastRow="0" w:firstColumn="0" w:lastColumn="0" w:oddVBand="0" w:evenVBand="0" w:oddHBand="0" w:evenHBand="0" w:firstRowFirstColumn="0" w:firstRowLastColumn="0" w:lastRowFirstColumn="0" w:lastRowLastColumn="0"/>
            </w:pPr>
            <w:r>
              <w:t>262</w:t>
            </w:r>
          </w:p>
        </w:tc>
        <w:tc>
          <w:tcPr>
            <w:tcW w:w="907" w:type="dxa"/>
          </w:tcPr>
          <w:p w14:paraId="06DBB63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6B8BE724" w14:textId="77777777">
        <w:tc>
          <w:tcPr>
            <w:cnfStyle w:val="001000000000" w:firstRow="0" w:lastRow="0" w:firstColumn="1" w:lastColumn="0" w:oddVBand="0" w:evenVBand="0" w:oddHBand="0" w:evenHBand="0" w:firstRowFirstColumn="0" w:firstRowLastColumn="0" w:lastRowFirstColumn="0" w:lastRowLastColumn="0"/>
            <w:tcW w:w="6010" w:type="dxa"/>
          </w:tcPr>
          <w:p w14:paraId="1FCAAB07" w14:textId="77777777" w:rsidR="004D42F9" w:rsidRDefault="004D42F9">
            <w:r>
              <w:t>Disposals</w:t>
            </w:r>
          </w:p>
        </w:tc>
        <w:tc>
          <w:tcPr>
            <w:tcW w:w="907" w:type="dxa"/>
          </w:tcPr>
          <w:p w14:paraId="3D0FE563"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25DFE97F" w14:textId="77777777" w:rsidR="004D42F9" w:rsidRDefault="004D42F9">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1A0D8182"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132E1FF0" w14:textId="77777777" w:rsidR="004D42F9" w:rsidRDefault="004D42F9">
            <w:pPr>
              <w:cnfStyle w:val="000000000000" w:firstRow="0" w:lastRow="0" w:firstColumn="0" w:lastColumn="0" w:oddVBand="0" w:evenVBand="0" w:oddHBand="0" w:evenHBand="0" w:firstRowFirstColumn="0" w:firstRowLastColumn="0" w:lastRowFirstColumn="0" w:lastRowLastColumn="0"/>
            </w:pPr>
            <w:r>
              <w:t>(96)</w:t>
            </w:r>
          </w:p>
        </w:tc>
      </w:tr>
      <w:tr w:rsidR="004D42F9" w14:paraId="04CEF7BA" w14:textId="77777777">
        <w:tc>
          <w:tcPr>
            <w:cnfStyle w:val="001000000000" w:firstRow="0" w:lastRow="0" w:firstColumn="1" w:lastColumn="0" w:oddVBand="0" w:evenVBand="0" w:oddHBand="0" w:evenHBand="0" w:firstRowFirstColumn="0" w:firstRowLastColumn="0" w:lastRowFirstColumn="0" w:lastRowLastColumn="0"/>
            <w:tcW w:w="6010" w:type="dxa"/>
          </w:tcPr>
          <w:p w14:paraId="712F4FAE" w14:textId="77777777" w:rsidR="004D42F9" w:rsidRDefault="004D42F9">
            <w:r>
              <w:t>Assets recognised for the first time</w:t>
            </w:r>
          </w:p>
        </w:tc>
        <w:tc>
          <w:tcPr>
            <w:tcW w:w="907" w:type="dxa"/>
          </w:tcPr>
          <w:p w14:paraId="3F10ACF0" w14:textId="77777777" w:rsidR="004D42F9" w:rsidRDefault="004D42F9">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DC74E39"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6210D52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CDD0C5" w14:textId="77777777" w:rsidR="004D42F9" w:rsidRDefault="004D42F9">
            <w:pPr>
              <w:cnfStyle w:val="000000000000" w:firstRow="0" w:lastRow="0" w:firstColumn="0" w:lastColumn="0" w:oddVBand="0" w:evenVBand="0" w:oddHBand="0" w:evenHBand="0" w:firstRowFirstColumn="0" w:firstRowLastColumn="0" w:lastRowFirstColumn="0" w:lastRowLastColumn="0"/>
            </w:pPr>
            <w:r>
              <w:t>27</w:t>
            </w:r>
          </w:p>
        </w:tc>
      </w:tr>
      <w:tr w:rsidR="004D42F9" w14:paraId="65943A8B" w14:textId="77777777">
        <w:tc>
          <w:tcPr>
            <w:cnfStyle w:val="001000000000" w:firstRow="0" w:lastRow="0" w:firstColumn="1" w:lastColumn="0" w:oddVBand="0" w:evenVBand="0" w:oddHBand="0" w:evenHBand="0" w:firstRowFirstColumn="0" w:firstRowLastColumn="0" w:lastRowFirstColumn="0" w:lastRowLastColumn="0"/>
            <w:tcW w:w="6010" w:type="dxa"/>
          </w:tcPr>
          <w:p w14:paraId="13024C1A" w14:textId="77777777" w:rsidR="004D42F9" w:rsidRDefault="004D42F9">
            <w:r>
              <w:t>Impairment</w:t>
            </w:r>
          </w:p>
        </w:tc>
        <w:tc>
          <w:tcPr>
            <w:tcW w:w="907" w:type="dxa"/>
          </w:tcPr>
          <w:p w14:paraId="5A2E3764"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A0FEF24"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1055FC91"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DC6FAE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22055924"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296E368" w14:textId="77777777" w:rsidR="004D42F9" w:rsidRDefault="004D42F9">
            <w:r>
              <w:t xml:space="preserve">Amortisation and depreciation </w:t>
            </w:r>
            <w:r>
              <w:rPr>
                <w:vertAlign w:val="superscript"/>
              </w:rPr>
              <w:t>(c)</w:t>
            </w:r>
          </w:p>
        </w:tc>
        <w:tc>
          <w:tcPr>
            <w:tcW w:w="907" w:type="dxa"/>
            <w:tcBorders>
              <w:bottom w:val="single" w:sz="6" w:space="0" w:color="auto"/>
            </w:tcBorders>
          </w:tcPr>
          <w:p w14:paraId="719EB863" w14:textId="77777777" w:rsidR="004D42F9" w:rsidRDefault="004D42F9">
            <w:pPr>
              <w:cnfStyle w:val="000000000000" w:firstRow="0" w:lastRow="0" w:firstColumn="0" w:lastColumn="0" w:oddVBand="0" w:evenVBand="0" w:oddHBand="0" w:evenHBand="0" w:firstRowFirstColumn="0" w:firstRowLastColumn="0" w:lastRowFirstColumn="0" w:lastRowLastColumn="0"/>
            </w:pPr>
            <w:r>
              <w:t>(462)</w:t>
            </w:r>
          </w:p>
        </w:tc>
        <w:tc>
          <w:tcPr>
            <w:tcW w:w="907" w:type="dxa"/>
            <w:tcBorders>
              <w:bottom w:val="single" w:sz="6" w:space="0" w:color="auto"/>
            </w:tcBorders>
          </w:tcPr>
          <w:p w14:paraId="7114A33A" w14:textId="77777777" w:rsidR="004D42F9" w:rsidRDefault="004D42F9">
            <w:pPr>
              <w:cnfStyle w:val="000000000000" w:firstRow="0" w:lastRow="0" w:firstColumn="0" w:lastColumn="0" w:oddVBand="0" w:evenVBand="0" w:oddHBand="0" w:evenHBand="0" w:firstRowFirstColumn="0" w:firstRowLastColumn="0" w:lastRowFirstColumn="0" w:lastRowLastColumn="0"/>
            </w:pPr>
            <w:r>
              <w:t>(350)</w:t>
            </w:r>
          </w:p>
        </w:tc>
        <w:tc>
          <w:tcPr>
            <w:tcW w:w="907" w:type="dxa"/>
            <w:tcBorders>
              <w:bottom w:val="single" w:sz="6" w:space="0" w:color="auto"/>
            </w:tcBorders>
          </w:tcPr>
          <w:p w14:paraId="3FC6E32E" w14:textId="77777777" w:rsidR="004D42F9" w:rsidRDefault="004D42F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6" w:space="0" w:color="auto"/>
            </w:tcBorders>
          </w:tcPr>
          <w:p w14:paraId="4C061FF8" w14:textId="77777777" w:rsidR="004D42F9" w:rsidRDefault="004D42F9">
            <w:pPr>
              <w:cnfStyle w:val="000000000000" w:firstRow="0" w:lastRow="0" w:firstColumn="0" w:lastColumn="0" w:oddVBand="0" w:evenVBand="0" w:oddHBand="0" w:evenHBand="0" w:firstRowFirstColumn="0" w:firstRowLastColumn="0" w:lastRowFirstColumn="0" w:lastRowLastColumn="0"/>
            </w:pPr>
            <w:r>
              <w:t>(215)</w:t>
            </w:r>
          </w:p>
        </w:tc>
      </w:tr>
      <w:tr w:rsidR="004D42F9" w14:paraId="6ADC4ADC"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42399112" w14:textId="77777777" w:rsidR="004D42F9" w:rsidRDefault="004D42F9">
            <w:r>
              <w:rPr>
                <w:b/>
              </w:rPr>
              <w:t>Closing balance</w:t>
            </w:r>
          </w:p>
        </w:tc>
        <w:tc>
          <w:tcPr>
            <w:tcW w:w="907" w:type="dxa"/>
            <w:tcBorders>
              <w:top w:val="single" w:sz="6" w:space="0" w:color="auto"/>
              <w:bottom w:val="single" w:sz="12" w:space="0" w:color="auto"/>
            </w:tcBorders>
          </w:tcPr>
          <w:p w14:paraId="357F34F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6 515</w:t>
            </w:r>
          </w:p>
        </w:tc>
        <w:tc>
          <w:tcPr>
            <w:tcW w:w="907" w:type="dxa"/>
            <w:tcBorders>
              <w:top w:val="single" w:sz="6" w:space="0" w:color="auto"/>
              <w:bottom w:val="single" w:sz="12" w:space="0" w:color="auto"/>
            </w:tcBorders>
          </w:tcPr>
          <w:p w14:paraId="6C1F778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6 185</w:t>
            </w:r>
          </w:p>
        </w:tc>
        <w:tc>
          <w:tcPr>
            <w:tcW w:w="907" w:type="dxa"/>
            <w:tcBorders>
              <w:top w:val="single" w:sz="6" w:space="0" w:color="auto"/>
              <w:bottom w:val="single" w:sz="12" w:space="0" w:color="auto"/>
            </w:tcBorders>
          </w:tcPr>
          <w:p w14:paraId="0E39CF7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5 549</w:t>
            </w:r>
          </w:p>
        </w:tc>
        <w:tc>
          <w:tcPr>
            <w:tcW w:w="907" w:type="dxa"/>
            <w:tcBorders>
              <w:top w:val="single" w:sz="6" w:space="0" w:color="auto"/>
              <w:bottom w:val="single" w:sz="12" w:space="0" w:color="auto"/>
            </w:tcBorders>
          </w:tcPr>
          <w:p w14:paraId="5AD9A6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5 192</w:t>
            </w:r>
          </w:p>
        </w:tc>
      </w:tr>
    </w:tbl>
    <w:p w14:paraId="2030B81C" w14:textId="77777777" w:rsidR="004D42F9" w:rsidRDefault="004D42F9" w:rsidP="004D42F9">
      <w:pPr>
        <w:pStyle w:val="Note"/>
      </w:pPr>
      <w:r>
        <w:t>Notes:</w:t>
      </w:r>
    </w:p>
    <w:p w14:paraId="0813CA17" w14:textId="77777777" w:rsidR="004D42F9" w:rsidRDefault="004D42F9" w:rsidP="004D42F9">
      <w:pPr>
        <w:pStyle w:val="Note"/>
      </w:pPr>
      <w:r>
        <w:t>(a)</w:t>
      </w:r>
      <w:r>
        <w:tab/>
        <w:t>With the exception of biological assets, t</w:t>
      </w:r>
      <w:r w:rsidRPr="00F42907">
        <w:t>he reco</w:t>
      </w:r>
      <w:r>
        <w:t>nciliation</w:t>
      </w:r>
      <w:r w:rsidRPr="00F42907">
        <w:t xml:space="preserve"> </w:t>
      </w:r>
      <w:r>
        <w:t>does not include movements in other assets.</w:t>
      </w:r>
    </w:p>
    <w:p w14:paraId="7A3C8581" w14:textId="77777777" w:rsidR="004D42F9" w:rsidRDefault="004D42F9" w:rsidP="004D42F9">
      <w:pPr>
        <w:pStyle w:val="Note"/>
      </w:pPr>
      <w:r>
        <w:t>(b)</w:t>
      </w:r>
      <w:r>
        <w:tab/>
      </w:r>
      <w:r w:rsidRPr="00F678FE">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DA3717">
        <w:rPr>
          <w:i w:val="0"/>
        </w:rPr>
        <w:t>Sustainable Forests (Timber) Repeal Act 2024</w:t>
      </w:r>
      <w:r w:rsidRPr="00F678FE">
        <w:t>, effective from 1 July 2024. This has resulted in the 1 July 2024 opening balance not equalling the 30 June closing balance</w:t>
      </w:r>
      <w:r>
        <w:t xml:space="preserve"> in the general government sector</w:t>
      </w:r>
      <w:r w:rsidRPr="00F678FE">
        <w:t>.</w:t>
      </w:r>
    </w:p>
    <w:p w14:paraId="7EDAAC0E" w14:textId="77777777" w:rsidR="004D42F9" w:rsidRDefault="004D42F9" w:rsidP="004D42F9">
      <w:pPr>
        <w:pStyle w:val="Note"/>
      </w:pPr>
      <w:r>
        <w:t>(c)</w:t>
      </w:r>
      <w:r>
        <w:tab/>
        <w:t>For produced and non</w:t>
      </w:r>
      <w:r>
        <w:noBreakHyphen/>
        <w:t xml:space="preserve">produced intangible assets. </w:t>
      </w:r>
    </w:p>
    <w:p w14:paraId="2607A194" w14:textId="77777777" w:rsidR="004D42F9" w:rsidRDefault="004D42F9" w:rsidP="004D42F9">
      <w:pPr>
        <w:pStyle w:val="Note"/>
      </w:pPr>
    </w:p>
    <w:p w14:paraId="32E9C67F" w14:textId="77777777" w:rsidR="005625C7" w:rsidRDefault="005625C7" w:rsidP="004D42F9">
      <w:pPr>
        <w:ind w:right="-71"/>
        <w:rPr>
          <w:b/>
          <w:bCs/>
        </w:rPr>
        <w:sectPr w:rsidR="005625C7" w:rsidSect="004D42F9">
          <w:type w:val="continuous"/>
          <w:pgSz w:w="11906" w:h="16838" w:code="9"/>
          <w:pgMar w:top="1134" w:right="1134" w:bottom="1134" w:left="1134" w:header="624" w:footer="567" w:gutter="0"/>
          <w:cols w:space="708"/>
          <w:docGrid w:linePitch="360"/>
        </w:sectPr>
      </w:pPr>
    </w:p>
    <w:p w14:paraId="0DCE746C" w14:textId="77777777" w:rsidR="004D42F9" w:rsidRDefault="004D42F9" w:rsidP="004D42F9">
      <w:pPr>
        <w:ind w:right="-71"/>
      </w:pPr>
      <w:r w:rsidRPr="007F7641">
        <w:rPr>
          <w:b/>
          <w:bCs/>
        </w:rPr>
        <w:t>Purchased intangible assets</w:t>
      </w:r>
      <w:r>
        <w:t xml:space="preserve"> are initially recognised at cost. When the recognition criteria in AASB 138 </w:t>
      </w:r>
      <w:r w:rsidRPr="007F7641">
        <w:rPr>
          <w:i/>
          <w:iCs/>
        </w:rPr>
        <w:t>Intangible Assets</w:t>
      </w:r>
      <w:r>
        <w:t xml:space="preserve"> is met, internally generated intangible assets are recognised at cost. Subsequently, intangible assets (excluding SCA intangibles) with finite useful lives are carried at cost less accumulated amortisation or depreciation and accumulated impairment losses. Service concession intangible assets recognised by applying AASB 1059 are subsequently measured at fair value (current replacement cost).</w:t>
      </w:r>
    </w:p>
    <w:p w14:paraId="44551BEA" w14:textId="6CA2034A" w:rsidR="004D42F9" w:rsidRDefault="004D42F9" w:rsidP="004D42F9">
      <w:r>
        <w:t>Certain intangible assets have indefinite useful lives because the value does not diminish with use, and they can be used multiple times over an extended period with no foreseeable limit. As a result, a finite life cannot be determined. For these assets, subsequent measurement is at fair value estimated using such assets</w:t>
      </w:r>
      <w:r w:rsidR="00845934">
        <w:t>’</w:t>
      </w:r>
      <w:r>
        <w:t xml:space="preserve"> current replacement cost.</w:t>
      </w:r>
    </w:p>
    <w:p w14:paraId="101CC131" w14:textId="175C0316" w:rsidR="004D42F9" w:rsidRDefault="005625C7" w:rsidP="004D42F9">
      <w:r>
        <w:rPr>
          <w:b/>
          <w:bCs/>
        </w:rPr>
        <w:br w:type="column"/>
      </w:r>
      <w:r w:rsidR="004D42F9" w:rsidRPr="007F7641">
        <w:rPr>
          <w:b/>
          <w:bCs/>
        </w:rPr>
        <w:t>Other assets</w:t>
      </w:r>
      <w:r w:rsidR="004D42F9">
        <w:t xml:space="preserve"> primarily include prepayments, which represent payments in advance of receipt of goods or services or that part of expenditure made in one accounting period covering a term extending beyond that period.</w:t>
      </w:r>
    </w:p>
    <w:p w14:paraId="4D70BBF8" w14:textId="77777777" w:rsidR="005625C7" w:rsidRDefault="005625C7" w:rsidP="004D42F9">
      <w:pPr>
        <w:pStyle w:val="Heading2"/>
        <w:sectPr w:rsidR="005625C7" w:rsidSect="005625C7">
          <w:type w:val="continuous"/>
          <w:pgSz w:w="11906" w:h="16838" w:code="9"/>
          <w:pgMar w:top="1134" w:right="1134" w:bottom="1134" w:left="1134" w:header="624" w:footer="567" w:gutter="0"/>
          <w:cols w:num="2" w:space="708"/>
          <w:docGrid w:linePitch="360"/>
        </w:sectPr>
      </w:pPr>
    </w:p>
    <w:p w14:paraId="3A2C3ED5" w14:textId="77777777" w:rsidR="004D42F9" w:rsidRDefault="004D42F9" w:rsidP="005625C7">
      <w:pPr>
        <w:pStyle w:val="Heading2"/>
        <w:pageBreakBefore/>
        <w:spacing w:before="0"/>
      </w:pPr>
      <w:bookmarkStart w:id="89" w:name="_Toc209481737"/>
      <w:r>
        <w:lastRenderedPageBreak/>
        <w:t>4.3</w:t>
      </w:r>
      <w:r>
        <w:tab/>
        <w:t>Investments in PNFC and PFC sector entities</w:t>
      </w:r>
      <w:bookmarkEnd w:id="89"/>
    </w:p>
    <w:p w14:paraId="229FD97B" w14:textId="77777777" w:rsidR="00987D41" w:rsidRDefault="00987D41" w:rsidP="004D42F9">
      <w:pPr>
        <w:sectPr w:rsidR="00987D41" w:rsidSect="004D42F9">
          <w:type w:val="continuous"/>
          <w:pgSz w:w="11906" w:h="16838" w:code="9"/>
          <w:pgMar w:top="1134" w:right="1134" w:bottom="1134" w:left="1134" w:header="624" w:footer="567" w:gutter="0"/>
          <w:cols w:space="708"/>
          <w:docGrid w:linePitch="360"/>
        </w:sectPr>
      </w:pPr>
    </w:p>
    <w:p w14:paraId="4E73368A" w14:textId="77777777" w:rsidR="004D42F9" w:rsidRDefault="004D42F9" w:rsidP="004D42F9">
      <w:r>
        <w:t>The general government sector investments in PNFC and PFC sector entities are measured at net asset value. Where the carrying amount is less than zero (before consolidation), the amount is not included in the general government sector, but the net liabilities will be consolidated at the state level.</w:t>
      </w:r>
    </w:p>
    <w:p w14:paraId="350018B6" w14:textId="28ABEA81" w:rsidR="004D42F9" w:rsidRDefault="004D42F9" w:rsidP="004D42F9">
      <w:r>
        <w:t>The net gain/(loss) on equity investments in PNFC and PFC sector entities is measured at the proportional share of the carrying amount of net assets and represents the net gain or loss relating to the equity held by the general government sector in PNFC and PFC sector entities. It arises from a change in the carrying amount of net assets of the controlled entities. The net gain/(loss) is measured based on the proportional share of the subsidiary</w:t>
      </w:r>
      <w:r w:rsidR="00845934">
        <w:t>’</w:t>
      </w:r>
      <w:r>
        <w:t>s carrying amount of net assets before elimination of inter-sector balances.</w:t>
      </w:r>
    </w:p>
    <w:p w14:paraId="5FC0CA05" w14:textId="690B0222" w:rsidR="004D42F9" w:rsidRDefault="004D42F9" w:rsidP="004D42F9">
      <w:pPr>
        <w:pStyle w:val="TableHeading"/>
        <w:tabs>
          <w:tab w:val="clear" w:pos="9639"/>
          <w:tab w:val="right" w:pos="6096"/>
        </w:tabs>
      </w:pPr>
      <w:r>
        <w:t>Investments in PNFC and PFC sector entities</w:t>
      </w:r>
      <w:r w:rsidR="00987D41">
        <w:br/>
      </w:r>
      <w:r w:rsidR="00987D41">
        <w:tab/>
      </w:r>
      <w:r w:rsidR="00987D41">
        <w:tab/>
      </w:r>
      <w:r>
        <w:t xml:space="preserve">($ </w:t>
      </w:r>
      <w:r w:rsidRPr="005C5C70">
        <w:t>million</w:t>
      </w:r>
      <w:r>
        <w:t>)</w:t>
      </w:r>
    </w:p>
    <w:tbl>
      <w:tblPr>
        <w:tblStyle w:val="DTFTableNumeric"/>
        <w:tblW w:w="4536"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Investments_in_other_sectors|TableGroup:Investment in other sectors"/>
      </w:tblPr>
      <w:tblGrid>
        <w:gridCol w:w="2835"/>
        <w:gridCol w:w="851"/>
        <w:gridCol w:w="850"/>
      </w:tblGrid>
      <w:tr w:rsidR="005E614D" w14:paraId="685814C3"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57D716A6" w14:textId="77777777" w:rsidR="005E614D" w:rsidRDefault="005E614D">
            <w:pPr>
              <w:keepNext/>
            </w:pPr>
          </w:p>
        </w:tc>
        <w:tc>
          <w:tcPr>
            <w:tcW w:w="851" w:type="dxa"/>
          </w:tcPr>
          <w:p w14:paraId="718CB2D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850" w:type="dxa"/>
          </w:tcPr>
          <w:p w14:paraId="3DB51E4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r>
      <w:tr w:rsidR="005E614D" w14:paraId="2347A043" w14:textId="77777777">
        <w:tc>
          <w:tcPr>
            <w:cnfStyle w:val="001000000000" w:firstRow="0" w:lastRow="0" w:firstColumn="1" w:lastColumn="0" w:oddVBand="0" w:evenVBand="0" w:oddHBand="0" w:evenHBand="0" w:firstRowFirstColumn="0" w:firstRowLastColumn="0" w:lastRowFirstColumn="0" w:lastRowLastColumn="0"/>
            <w:tcW w:w="2835" w:type="dxa"/>
          </w:tcPr>
          <w:p w14:paraId="16215DCD" w14:textId="77777777" w:rsidR="005E614D" w:rsidRDefault="000C3A94">
            <w:r>
              <w:t>Balance of investment in PNFC and PFC sectors at beginning of period</w:t>
            </w:r>
            <w:r>
              <w:rPr>
                <w:vertAlign w:val="superscript"/>
              </w:rPr>
              <w:t xml:space="preserve"> (a)</w:t>
            </w:r>
          </w:p>
        </w:tc>
        <w:tc>
          <w:tcPr>
            <w:tcW w:w="851" w:type="dxa"/>
          </w:tcPr>
          <w:p w14:paraId="19183699" w14:textId="77777777" w:rsidR="005E614D" w:rsidRDefault="000C3A94">
            <w:pPr>
              <w:cnfStyle w:val="000000000000" w:firstRow="0" w:lastRow="0" w:firstColumn="0" w:lastColumn="0" w:oddVBand="0" w:evenVBand="0" w:oddHBand="0" w:evenHBand="0" w:firstRowFirstColumn="0" w:firstRowLastColumn="0" w:lastRowFirstColumn="0" w:lastRowLastColumn="0"/>
            </w:pPr>
            <w:r>
              <w:t>98 143</w:t>
            </w:r>
          </w:p>
        </w:tc>
        <w:tc>
          <w:tcPr>
            <w:tcW w:w="850" w:type="dxa"/>
          </w:tcPr>
          <w:p w14:paraId="50F35D1A" w14:textId="77777777" w:rsidR="005E614D" w:rsidRDefault="000C3A94">
            <w:pPr>
              <w:cnfStyle w:val="000000000000" w:firstRow="0" w:lastRow="0" w:firstColumn="0" w:lastColumn="0" w:oddVBand="0" w:evenVBand="0" w:oddHBand="0" w:evenHBand="0" w:firstRowFirstColumn="0" w:firstRowLastColumn="0" w:lastRowFirstColumn="0" w:lastRowLastColumn="0"/>
            </w:pPr>
            <w:r>
              <w:t>96 042</w:t>
            </w:r>
          </w:p>
        </w:tc>
      </w:tr>
      <w:tr w:rsidR="005E614D" w14:paraId="043D2761" w14:textId="77777777">
        <w:tc>
          <w:tcPr>
            <w:cnfStyle w:val="001000000000" w:firstRow="0" w:lastRow="0" w:firstColumn="1" w:lastColumn="0" w:oddVBand="0" w:evenVBand="0" w:oddHBand="0" w:evenHBand="0" w:firstRowFirstColumn="0" w:firstRowLastColumn="0" w:lastRowFirstColumn="0" w:lastRowLastColumn="0"/>
            <w:tcW w:w="2835" w:type="dxa"/>
          </w:tcPr>
          <w:p w14:paraId="0DDC00CF" w14:textId="77777777" w:rsidR="005E614D" w:rsidRDefault="000C3A94">
            <w:r>
              <w:t>Net contributions/(returns) to other sectors by owner</w:t>
            </w:r>
          </w:p>
        </w:tc>
        <w:tc>
          <w:tcPr>
            <w:tcW w:w="851" w:type="dxa"/>
          </w:tcPr>
          <w:p w14:paraId="4C17D034" w14:textId="77777777" w:rsidR="005E614D" w:rsidRDefault="000C3A94">
            <w:pPr>
              <w:cnfStyle w:val="000000000000" w:firstRow="0" w:lastRow="0" w:firstColumn="0" w:lastColumn="0" w:oddVBand="0" w:evenVBand="0" w:oddHBand="0" w:evenHBand="0" w:firstRowFirstColumn="0" w:firstRowLastColumn="0" w:lastRowFirstColumn="0" w:lastRowLastColumn="0"/>
            </w:pPr>
            <w:r>
              <w:t>6 844</w:t>
            </w:r>
          </w:p>
        </w:tc>
        <w:tc>
          <w:tcPr>
            <w:tcW w:w="850" w:type="dxa"/>
          </w:tcPr>
          <w:p w14:paraId="489B2DE9" w14:textId="77777777" w:rsidR="005E614D" w:rsidRDefault="000C3A94">
            <w:pPr>
              <w:cnfStyle w:val="000000000000" w:firstRow="0" w:lastRow="0" w:firstColumn="0" w:lastColumn="0" w:oddVBand="0" w:evenVBand="0" w:oddHBand="0" w:evenHBand="0" w:firstRowFirstColumn="0" w:firstRowLastColumn="0" w:lastRowFirstColumn="0" w:lastRowLastColumn="0"/>
            </w:pPr>
            <w:r>
              <w:t>4 001</w:t>
            </w:r>
          </w:p>
        </w:tc>
      </w:tr>
      <w:tr w:rsidR="005E614D" w14:paraId="258551A4" w14:textId="77777777" w:rsidTr="004A2065">
        <w:tc>
          <w:tcPr>
            <w:cnfStyle w:val="001000000000" w:firstRow="0" w:lastRow="0" w:firstColumn="1" w:lastColumn="0" w:oddVBand="0" w:evenVBand="0" w:oddHBand="0" w:evenHBand="0" w:firstRowFirstColumn="0" w:firstRowLastColumn="0" w:lastRowFirstColumn="0" w:lastRowLastColumn="0"/>
            <w:tcW w:w="2835" w:type="dxa"/>
            <w:tcBorders>
              <w:bottom w:val="single" w:sz="6" w:space="0" w:color="auto"/>
            </w:tcBorders>
          </w:tcPr>
          <w:p w14:paraId="391C5EA6" w14:textId="77777777" w:rsidR="005E614D" w:rsidRDefault="000C3A94">
            <w:r>
              <w:t>Revaluation gain/(loss) for period</w:t>
            </w:r>
            <w:r>
              <w:rPr>
                <w:vertAlign w:val="superscript"/>
              </w:rPr>
              <w:t xml:space="preserve"> (b)</w:t>
            </w:r>
          </w:p>
        </w:tc>
        <w:tc>
          <w:tcPr>
            <w:tcW w:w="851" w:type="dxa"/>
            <w:tcBorders>
              <w:bottom w:val="single" w:sz="6" w:space="0" w:color="auto"/>
            </w:tcBorders>
          </w:tcPr>
          <w:p w14:paraId="1067D8CE"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850" w:type="dxa"/>
            <w:tcBorders>
              <w:bottom w:val="single" w:sz="6" w:space="0" w:color="auto"/>
            </w:tcBorders>
          </w:tcPr>
          <w:p w14:paraId="7AF509C9" w14:textId="77777777" w:rsidR="005E614D" w:rsidRDefault="000C3A94">
            <w:pPr>
              <w:cnfStyle w:val="000000000000" w:firstRow="0" w:lastRow="0" w:firstColumn="0" w:lastColumn="0" w:oddVBand="0" w:evenVBand="0" w:oddHBand="0" w:evenHBand="0" w:firstRowFirstColumn="0" w:firstRowLastColumn="0" w:lastRowFirstColumn="0" w:lastRowLastColumn="0"/>
            </w:pPr>
            <w:r>
              <w:t>(1 864)</w:t>
            </w:r>
          </w:p>
        </w:tc>
      </w:tr>
      <w:tr w:rsidR="005E614D" w14:paraId="00A9BCEE" w14:textId="77777777" w:rsidTr="004A2065">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auto"/>
              <w:bottom w:val="single" w:sz="12" w:space="0" w:color="auto"/>
            </w:tcBorders>
          </w:tcPr>
          <w:p w14:paraId="0699D088" w14:textId="77777777" w:rsidR="005E614D" w:rsidRDefault="000C3A94">
            <w:r>
              <w:rPr>
                <w:b/>
              </w:rPr>
              <w:t>Total investments in PNFC and PFC sector entities</w:t>
            </w:r>
          </w:p>
        </w:tc>
        <w:tc>
          <w:tcPr>
            <w:tcW w:w="851" w:type="dxa"/>
            <w:tcBorders>
              <w:top w:val="single" w:sz="6" w:space="0" w:color="auto"/>
              <w:bottom w:val="single" w:sz="12" w:space="0" w:color="auto"/>
            </w:tcBorders>
          </w:tcPr>
          <w:p w14:paraId="55E19D9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96 401</w:t>
            </w:r>
          </w:p>
        </w:tc>
        <w:tc>
          <w:tcPr>
            <w:tcW w:w="850" w:type="dxa"/>
            <w:tcBorders>
              <w:top w:val="single" w:sz="6" w:space="0" w:color="auto"/>
              <w:bottom w:val="single" w:sz="12" w:space="0" w:color="auto"/>
            </w:tcBorders>
          </w:tcPr>
          <w:p w14:paraId="4B68705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98 178</w:t>
            </w:r>
          </w:p>
        </w:tc>
      </w:tr>
    </w:tbl>
    <w:p w14:paraId="5B17150B" w14:textId="77777777" w:rsidR="004D42F9" w:rsidRDefault="004D42F9" w:rsidP="004D42F9">
      <w:pPr>
        <w:pStyle w:val="Note"/>
      </w:pPr>
      <w:r>
        <w:t>Notes:</w:t>
      </w:r>
    </w:p>
    <w:p w14:paraId="1F8F3A3D" w14:textId="6A29C575" w:rsidR="004D42F9" w:rsidRDefault="004D42F9" w:rsidP="004D42F9">
      <w:pPr>
        <w:pStyle w:val="Note"/>
      </w:pPr>
      <w:r>
        <w:t>(a)</w:t>
      </w:r>
      <w:r>
        <w:tab/>
      </w:r>
      <w:r w:rsidRPr="00F678FE">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5F506A">
        <w:rPr>
          <w:i w:val="0"/>
        </w:rPr>
        <w:t>Sustainable Forests (Timber) Repeal Act 2024</w:t>
      </w:r>
      <w:r w:rsidRPr="00F678FE">
        <w:t>, effective from 1 July 2024. This has resulted in the 1 July 2024 opening balance not equalling the 30</w:t>
      </w:r>
      <w:r w:rsidR="007E2A58">
        <w:t> </w:t>
      </w:r>
      <w:r w:rsidRPr="00F678FE">
        <w:t>June closing balance.</w:t>
      </w:r>
    </w:p>
    <w:p w14:paraId="54B9F792" w14:textId="3710EA9A" w:rsidR="004D42F9" w:rsidRDefault="004D42F9" w:rsidP="004D42F9">
      <w:pPr>
        <w:pStyle w:val="Note"/>
      </w:pPr>
      <w:r>
        <w:t>(b)</w:t>
      </w:r>
      <w:r>
        <w:tab/>
      </w:r>
      <w:r w:rsidRPr="004A7E07">
        <w:t>Th</w:t>
      </w:r>
      <w:r>
        <w:t>e revaluation loss in 2025</w:t>
      </w:r>
      <w:r w:rsidRPr="004A7E07">
        <w:t xml:space="preserve"> was mainly due to</w:t>
      </w:r>
      <w:r>
        <w:t xml:space="preserve"> </w:t>
      </w:r>
      <w:r w:rsidR="00762FA4" w:rsidRPr="00BA61A9">
        <w:t>losses on the mark</w:t>
      </w:r>
      <w:r w:rsidR="005C65CA">
        <w:noBreakHyphen/>
      </w:r>
      <w:r w:rsidR="00762FA4" w:rsidRPr="00BA61A9">
        <w:t>to</w:t>
      </w:r>
      <w:r w:rsidR="005C65CA">
        <w:noBreakHyphen/>
      </w:r>
      <w:r w:rsidR="00762FA4" w:rsidRPr="00BA61A9">
        <w:t>market revaluation of TCV</w:t>
      </w:r>
      <w:r w:rsidR="00762FA4">
        <w:t>’</w:t>
      </w:r>
      <w:r w:rsidR="00762FA4" w:rsidRPr="00BA61A9">
        <w:t>s borrowings due to changes in discount rates</w:t>
      </w:r>
      <w:r w:rsidR="00762FA4">
        <w:t xml:space="preserve"> and</w:t>
      </w:r>
      <w:r>
        <w:t xml:space="preserve"> </w:t>
      </w:r>
      <w:r w:rsidRPr="00C622F1">
        <w:t xml:space="preserve">the </w:t>
      </w:r>
      <w:r w:rsidRPr="00A72C9B">
        <w:t>derecognition</w:t>
      </w:r>
      <w:r w:rsidRPr="00C622F1">
        <w:t xml:space="preserve"> of </w:t>
      </w:r>
      <w:r w:rsidRPr="00A72C9B">
        <w:t xml:space="preserve">the rail assets under AASB 16 </w:t>
      </w:r>
      <w:r w:rsidRPr="00B606D9">
        <w:t>Leases</w:t>
      </w:r>
      <w:r w:rsidRPr="00A72C9B">
        <w:t xml:space="preserve"> at nominal value, following a revaluation </w:t>
      </w:r>
      <w:r w:rsidRPr="00C622F1">
        <w:t xml:space="preserve">completed </w:t>
      </w:r>
      <w:r w:rsidRPr="00A72C9B">
        <w:t>in 2024-25</w:t>
      </w:r>
      <w:r w:rsidRPr="00BA61A9">
        <w:t>.</w:t>
      </w:r>
    </w:p>
    <w:p w14:paraId="6966FD3A" w14:textId="77777777" w:rsidR="00987D41" w:rsidRDefault="00987D41" w:rsidP="004D42F9">
      <w:pPr>
        <w:pStyle w:val="Note"/>
        <w:sectPr w:rsidR="00987D41" w:rsidSect="00987D41">
          <w:type w:val="continuous"/>
          <w:pgSz w:w="11906" w:h="16838" w:code="9"/>
          <w:pgMar w:top="1134" w:right="1134" w:bottom="1134" w:left="1134" w:header="624" w:footer="567" w:gutter="0"/>
          <w:cols w:num="2" w:space="708"/>
          <w:docGrid w:linePitch="360"/>
        </w:sectPr>
      </w:pPr>
    </w:p>
    <w:p w14:paraId="7D5B8BD4" w14:textId="77777777" w:rsidR="004D42F9" w:rsidRDefault="004D42F9" w:rsidP="004D42F9">
      <w:pPr>
        <w:pStyle w:val="Note"/>
      </w:pPr>
    </w:p>
    <w:p w14:paraId="3C104485" w14:textId="77777777" w:rsidR="004D42F9" w:rsidRDefault="004D42F9" w:rsidP="004D42F9">
      <w:pPr>
        <w:pStyle w:val="Heading2"/>
      </w:pPr>
      <w:bookmarkStart w:id="90" w:name="_Toc209481738"/>
      <w:r>
        <w:t>4.4</w:t>
      </w:r>
      <w:r>
        <w:tab/>
        <w:t>Investments in associates and joint arrangements</w:t>
      </w:r>
      <w:bookmarkEnd w:id="90"/>
    </w:p>
    <w:p w14:paraId="61FDF5D0"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57216992" w14:textId="77777777" w:rsidR="004D42F9" w:rsidRDefault="004D42F9" w:rsidP="004D42F9">
      <w:r>
        <w:t xml:space="preserve">Investments in certain entities are classified as either </w:t>
      </w:r>
      <w:r w:rsidRPr="00BC3DC8">
        <w:rPr>
          <w:b/>
        </w:rPr>
        <w:t>associates or joint arrangements</w:t>
      </w:r>
      <w:r>
        <w:t xml:space="preserve"> (joint ventures or joint operations). </w:t>
      </w:r>
    </w:p>
    <w:p w14:paraId="37DBFC47" w14:textId="77777777" w:rsidR="004D42F9" w:rsidRDefault="004D42F9" w:rsidP="004D42F9">
      <w:r>
        <w:t xml:space="preserve">The classification depends on the contractual rights and obligations of each investor, rather than the legal structure of the joint arrangement. Joint arrangements are contractual arrangements between the State (or a controlled entity) and one or more other parties to undertake an economic activity that is subject to joint control. </w:t>
      </w:r>
    </w:p>
    <w:p w14:paraId="0D69FB66" w14:textId="77777777" w:rsidR="004D42F9" w:rsidRDefault="004D42F9" w:rsidP="004D42F9">
      <w:r>
        <w:t>The investments accounted for using the equity method (associates and joint ventures) and joint operations are disclosed below.</w:t>
      </w:r>
    </w:p>
    <w:p w14:paraId="66CC1383" w14:textId="77777777" w:rsidR="00845934" w:rsidRDefault="00845934" w:rsidP="004D42F9">
      <w:pPr>
        <w:pStyle w:val="Heading3"/>
        <w:sectPr w:rsidR="00845934" w:rsidSect="00845934">
          <w:type w:val="continuous"/>
          <w:pgSz w:w="11906" w:h="16838" w:code="9"/>
          <w:pgMar w:top="1134" w:right="1134" w:bottom="1134" w:left="1134" w:header="624" w:footer="567" w:gutter="0"/>
          <w:cols w:num="2" w:space="708"/>
          <w:docGrid w:linePitch="360"/>
        </w:sectPr>
      </w:pPr>
    </w:p>
    <w:p w14:paraId="35DE3619" w14:textId="77777777" w:rsidR="004D42F9" w:rsidRDefault="004D42F9" w:rsidP="004D42F9">
      <w:pPr>
        <w:pStyle w:val="Heading3"/>
      </w:pPr>
      <w:r>
        <w:t>4.4.1</w:t>
      </w:r>
      <w:r>
        <w:tab/>
      </w:r>
      <w:r w:rsidRPr="00A11C34">
        <w:t>Investments</w:t>
      </w:r>
      <w:r>
        <w:t xml:space="preserve"> accounted for using the equity method</w:t>
      </w:r>
    </w:p>
    <w:p w14:paraId="5BDB42FC"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28CE1FD8" w14:textId="78269F34" w:rsidR="004D42F9" w:rsidRDefault="004D42F9" w:rsidP="004D42F9">
      <w:r w:rsidRPr="00820141">
        <w:t>Associates and joint ventures are accounted for using the equity method, after initially being recognised at cost in the consolidated balance sheet.</w:t>
      </w:r>
      <w:r>
        <w:t xml:space="preserve"> The equity method requires the State</w:t>
      </w:r>
      <w:r w:rsidR="00845934">
        <w:t>’</w:t>
      </w:r>
      <w:r>
        <w:t>s share of the post</w:t>
      </w:r>
      <w:r>
        <w:noBreakHyphen/>
        <w:t>acquisition profits or losses of these investments to be recognised in the net result as other economic flows. The share of post</w:t>
      </w:r>
      <w:r>
        <w:noBreakHyphen/>
        <w: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w:t>
      </w:r>
    </w:p>
    <w:p w14:paraId="1E38DA20" w14:textId="3E85752A" w:rsidR="00845934" w:rsidRPr="00D330A2" w:rsidRDefault="00A30637" w:rsidP="00845934">
      <w:pPr>
        <w:pStyle w:val="Heading4"/>
        <w:spacing w:before="120"/>
      </w:pPr>
      <w:r>
        <w:br w:type="column"/>
      </w:r>
      <w:r w:rsidR="00845934" w:rsidRPr="00D330A2">
        <w:t>Associates</w:t>
      </w:r>
    </w:p>
    <w:p w14:paraId="7268606A" w14:textId="77777777" w:rsidR="00845934" w:rsidRDefault="00845934" w:rsidP="00845934">
      <w:r>
        <w:t xml:space="preserve">Associates are those entities over which the State exercises significant influence, but no control or joint </w:t>
      </w:r>
      <w:r w:rsidRPr="00845934">
        <w:t>control</w:t>
      </w:r>
      <w:r>
        <w:t xml:space="preserve">. </w:t>
      </w:r>
    </w:p>
    <w:p w14:paraId="6FC974FB" w14:textId="77777777" w:rsidR="00845934" w:rsidRPr="003D56A9" w:rsidRDefault="00845934" w:rsidP="00845934">
      <w:pPr>
        <w:pStyle w:val="Heading4"/>
      </w:pPr>
      <w:r w:rsidRPr="003D56A9">
        <w:t>Joint ventures</w:t>
      </w:r>
    </w:p>
    <w:p w14:paraId="6599D314" w14:textId="77777777" w:rsidR="00845934" w:rsidRDefault="00845934" w:rsidP="00845934">
      <w:r>
        <w:t>Joint ventures are joint arrangements whereby the State, a subsidiary entity and one or more other external parties that have joint control of the arrangements have rights to the net assets of the arrangements. Joint control only exists when decisions about the relevant activity require the unanimous consent of the parties sharing control (the venturers).</w:t>
      </w:r>
    </w:p>
    <w:p w14:paraId="594392C3" w14:textId="77777777" w:rsidR="00845934" w:rsidRDefault="00845934" w:rsidP="00845934">
      <w:r w:rsidRPr="00BE4AAA">
        <w:t>The State has classified the following</w:t>
      </w:r>
      <w:r>
        <w:t xml:space="preserve"> three</w:t>
      </w:r>
      <w:r w:rsidRPr="00BE4AAA">
        <w:t xml:space="preserve"> arrangements as </w:t>
      </w:r>
      <w:r>
        <w:t xml:space="preserve">material </w:t>
      </w:r>
      <w:r w:rsidRPr="00BE4AAA">
        <w:t>joint</w:t>
      </w:r>
      <w:r>
        <w:t xml:space="preserve"> ventures</w:t>
      </w:r>
      <w:r w:rsidRPr="00BE4AAA">
        <w:t>, based on the rights and obligations of each investor to the arrangem</w:t>
      </w:r>
      <w:r>
        <w:t>ent</w:t>
      </w:r>
      <w:r w:rsidRPr="00BE4AAA">
        <w:t>.</w:t>
      </w:r>
    </w:p>
    <w:p w14:paraId="383AF5B8" w14:textId="77777777" w:rsidR="004D42F9" w:rsidRPr="00735A30" w:rsidRDefault="004D42F9" w:rsidP="00845934">
      <w:pPr>
        <w:pStyle w:val="Heading4"/>
        <w:pageBreakBefore/>
        <w:spacing w:before="120"/>
      </w:pPr>
      <w:r>
        <w:lastRenderedPageBreak/>
        <w:t xml:space="preserve">VicRoads Modernisation </w:t>
      </w:r>
    </w:p>
    <w:p w14:paraId="1C80F6CA" w14:textId="77777777" w:rsidR="00845934" w:rsidRDefault="00845934" w:rsidP="004D42F9">
      <w:pPr>
        <w:sectPr w:rsidR="00845934" w:rsidSect="00845934">
          <w:type w:val="continuous"/>
          <w:pgSz w:w="11906" w:h="16838" w:code="9"/>
          <w:pgMar w:top="1134" w:right="1134" w:bottom="1134" w:left="1134" w:header="624" w:footer="567" w:gutter="0"/>
          <w:cols w:num="2" w:space="709"/>
          <w:docGrid w:linePitch="360"/>
        </w:sectPr>
      </w:pPr>
    </w:p>
    <w:p w14:paraId="48F17673" w14:textId="4C769C5B" w:rsidR="004D42F9" w:rsidRDefault="004D42F9" w:rsidP="004D42F9">
      <w:r>
        <w:t>On 15 August 2022 the Government entered into a joint venture partnership with a consortium of Aware Super, Australian Retirement Trust and Macquarie Asset Management to operate VicRoads</w:t>
      </w:r>
      <w:r w:rsidR="00845934">
        <w:t>’</w:t>
      </w:r>
      <w:r>
        <w:t xml:space="preserve"> registration, licensing and custom plates functions. The VicRoads joint venture operates from various locations across the State of Victoria and has been structured as a 40-year concession. The State received upfront proceeds of $7.9 billion whilst also retaining a minority shareholding interest in the VicRoads joint venture corporate trustees. This minority interest has been accounted for as an investment using the equity method consistent with requirements of AASB 128 </w:t>
      </w:r>
      <w:r w:rsidRPr="00124493">
        <w:rPr>
          <w:i/>
          <w:iCs/>
        </w:rPr>
        <w:t>Investments in Associates and Joint Ventures</w:t>
      </w:r>
      <w:r>
        <w:t>.</w:t>
      </w:r>
    </w:p>
    <w:p w14:paraId="7259F51D" w14:textId="77777777" w:rsidR="004D42F9" w:rsidRPr="00820141" w:rsidRDefault="004D42F9" w:rsidP="004D42F9">
      <w:pPr>
        <w:rPr>
          <w:sz w:val="16"/>
          <w:szCs w:val="16"/>
          <w:lang w:val="en-US"/>
        </w:rPr>
      </w:pPr>
      <w:r>
        <w:t xml:space="preserve">Refer to Note 5.7.4 for the accounting treatment and disclosure on the upfront proceeds as a service concession arrangement. </w:t>
      </w:r>
    </w:p>
    <w:p w14:paraId="001D437D" w14:textId="27D06C21" w:rsidR="004D42F9" w:rsidRPr="005B01A7" w:rsidRDefault="00D90FEF" w:rsidP="00D90FEF">
      <w:pPr>
        <w:pStyle w:val="Heading5"/>
        <w:spacing w:before="120"/>
      </w:pPr>
      <w:r>
        <w:br w:type="column"/>
      </w:r>
      <w:r w:rsidR="004D42F9" w:rsidRPr="005B01A7">
        <w:t xml:space="preserve">Share of commitments in VicRoads Modernisation </w:t>
      </w:r>
    </w:p>
    <w:p w14:paraId="7DB2BFE3" w14:textId="77777777" w:rsidR="004D42F9" w:rsidRDefault="004D42F9" w:rsidP="004D42F9">
      <w:pPr>
        <w:pStyle w:val="Heading4"/>
        <w:rPr>
          <w:rFonts w:asciiTheme="minorHAnsi" w:eastAsiaTheme="minorHAnsi" w:hAnsiTheme="minorHAnsi" w:cs="Times New Roman"/>
          <w:i w:val="0"/>
          <w:iCs w:val="0"/>
          <w:szCs w:val="22"/>
        </w:rPr>
      </w:pPr>
      <w:r w:rsidRPr="003840BE">
        <w:rPr>
          <w:rFonts w:asciiTheme="minorHAnsi" w:eastAsiaTheme="minorHAnsi" w:hAnsiTheme="minorHAnsi" w:cs="Times New Roman"/>
          <w:i w:val="0"/>
          <w:iCs w:val="0"/>
          <w:szCs w:val="22"/>
        </w:rPr>
        <w:t>The State does not have any existing or any future obligations to make financial contributions or commitments to the joint venture in accordance with the contractual arrangements.</w:t>
      </w:r>
    </w:p>
    <w:p w14:paraId="1A885D4E" w14:textId="77777777" w:rsidR="00845934" w:rsidRDefault="00845934" w:rsidP="004D42F9">
      <w:pPr>
        <w:pStyle w:val="Heading4"/>
        <w:sectPr w:rsidR="00845934" w:rsidSect="00845934">
          <w:type w:val="continuous"/>
          <w:pgSz w:w="11906" w:h="16838" w:code="9"/>
          <w:pgMar w:top="1134" w:right="1134" w:bottom="1134" w:left="1134" w:header="624" w:footer="567" w:gutter="0"/>
          <w:cols w:num="2" w:space="708"/>
          <w:docGrid w:linePitch="360"/>
        </w:sectPr>
      </w:pPr>
    </w:p>
    <w:p w14:paraId="3236D88C" w14:textId="77777777" w:rsidR="00A30637" w:rsidRDefault="00A30637" w:rsidP="00845934">
      <w:pPr>
        <w:pStyle w:val="Heading4"/>
        <w:spacing w:before="240"/>
      </w:pPr>
    </w:p>
    <w:p w14:paraId="4D78717C" w14:textId="20ECA9B2" w:rsidR="004D42F9" w:rsidRPr="00735A30" w:rsidRDefault="004D42F9" w:rsidP="00845934">
      <w:pPr>
        <w:pStyle w:val="Heading4"/>
        <w:spacing w:before="240"/>
      </w:pPr>
      <w:r>
        <w:t xml:space="preserve">Marinus Link Pty Ltd </w:t>
      </w:r>
    </w:p>
    <w:p w14:paraId="3389B265"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20A67A3D" w14:textId="77777777" w:rsidR="004D42F9" w:rsidRDefault="004D42F9" w:rsidP="004D42F9">
      <w:r>
        <w:t xml:space="preserve">Marinus Link Pty Ltd (MLPL) is a company that is responsible for progressing the Marinus Link interconnector project. The project is a proposed undersea and underground electricity and telecommunications interconnector between North West Tasmania and the Latrobe Valley in Victoria that will enable the flow of more electricity in both directions into the National Electricity Market. </w:t>
      </w:r>
    </w:p>
    <w:p w14:paraId="2DAC47FC" w14:textId="600456EA" w:rsidR="004D42F9" w:rsidRDefault="004D42F9" w:rsidP="004D42F9">
      <w:r>
        <w:t>On 22 March 2024, MLPL was acquired by a shareholder group made up of the Commonwealth, Victorian and Tasmanian governments. The Victorian government</w:t>
      </w:r>
      <w:r w:rsidR="00845934">
        <w:t>’</w:t>
      </w:r>
      <w:r>
        <w:t xml:space="preserve">s ownership interest is 33.3 per cent as at the end of June 2025. </w:t>
      </w:r>
    </w:p>
    <w:p w14:paraId="01C11A94" w14:textId="77777777" w:rsidR="004D42F9" w:rsidRDefault="004D42F9" w:rsidP="004D42F9">
      <w:pPr>
        <w:pStyle w:val="Heading5"/>
      </w:pPr>
      <w:r w:rsidRPr="00913FEE" w:rsidDel="007D6B5C">
        <w:t xml:space="preserve">Share of </w:t>
      </w:r>
      <w:r>
        <w:t>commitments in Marinus Link Pty Ltd</w:t>
      </w:r>
    </w:p>
    <w:p w14:paraId="682545E7" w14:textId="77777777" w:rsidR="004D42F9" w:rsidRPr="000615FF" w:rsidRDefault="004D42F9" w:rsidP="004D42F9">
      <w:r>
        <w:t>The State does not have any share of the MLPL joint venture commitments, in accordance with the contractual arrangements.</w:t>
      </w:r>
    </w:p>
    <w:p w14:paraId="78F79A37" w14:textId="4EA18F42" w:rsidR="004D42F9" w:rsidRDefault="00713481" w:rsidP="00713481">
      <w:pPr>
        <w:pStyle w:val="Heading5"/>
        <w:spacing w:before="120"/>
        <w:rPr>
          <w:szCs w:val="20"/>
        </w:rPr>
      </w:pPr>
      <w:r>
        <w:br w:type="column"/>
      </w:r>
      <w:r w:rsidR="004D42F9" w:rsidRPr="00913FEE" w:rsidDel="007D6B5C">
        <w:t>Share of contingent assets and liabilities</w:t>
      </w:r>
      <w:r w:rsidR="004D42F9" w:rsidRPr="00913FEE">
        <w:rPr>
          <w:szCs w:val="20"/>
        </w:rPr>
        <w:t xml:space="preserve"> </w:t>
      </w:r>
    </w:p>
    <w:p w14:paraId="4DE42505" w14:textId="77777777" w:rsidR="004D42F9" w:rsidRPr="00713481" w:rsidRDefault="004D42F9" w:rsidP="00713481">
      <w:pPr>
        <w:rPr>
          <w:i/>
          <w:iCs/>
        </w:rPr>
      </w:pPr>
      <w:r w:rsidRPr="00713481">
        <w:rPr>
          <w:i/>
          <w:iCs/>
        </w:rPr>
        <w:t>Contingent assets</w:t>
      </w:r>
    </w:p>
    <w:p w14:paraId="446D002A" w14:textId="2810F8EC" w:rsidR="004D42F9" w:rsidRDefault="004D42F9" w:rsidP="004D42F9">
      <w:r w:rsidRPr="00BB18F3">
        <w:t>In April 2022, the Commonwealth committed $75</w:t>
      </w:r>
      <w:r w:rsidR="007E2A58">
        <w:t> </w:t>
      </w:r>
      <w:r w:rsidRPr="00BB18F3">
        <w:t>million in funding under the Federal Funding Agreement</w:t>
      </w:r>
      <w:r>
        <w:t xml:space="preserve"> </w:t>
      </w:r>
      <w:r w:rsidRPr="00BB18F3">
        <w:t>to progress Project Marinus to a Fina</w:t>
      </w:r>
      <w:r>
        <w:t>l</w:t>
      </w:r>
      <w:r w:rsidRPr="00BB18F3">
        <w:t xml:space="preserve"> Investment Decision, of which MLPL will receive $56.2</w:t>
      </w:r>
      <w:r>
        <w:t xml:space="preserve"> </w:t>
      </w:r>
      <w:r w:rsidRPr="00BB18F3">
        <w:t>m</w:t>
      </w:r>
      <w:r>
        <w:t>illion</w:t>
      </w:r>
      <w:r w:rsidRPr="00BB18F3">
        <w:t>. MLPL</w:t>
      </w:r>
      <w:r>
        <w:t xml:space="preserve"> </w:t>
      </w:r>
      <w:r w:rsidRPr="00BB18F3">
        <w:t>recognised $9.</w:t>
      </w:r>
      <w:r>
        <w:t xml:space="preserve">8 </w:t>
      </w:r>
      <w:r w:rsidRPr="00BB18F3">
        <w:t>m</w:t>
      </w:r>
      <w:r>
        <w:t>illion</w:t>
      </w:r>
      <w:r w:rsidRPr="00BB18F3">
        <w:t xml:space="preserve"> in 202</w:t>
      </w:r>
      <w:r>
        <w:t>5</w:t>
      </w:r>
      <w:r w:rsidRPr="00BB18F3">
        <w:t xml:space="preserve">, </w:t>
      </w:r>
      <w:r>
        <w:t>with</w:t>
      </w:r>
      <w:r w:rsidRPr="00BB18F3">
        <w:t xml:space="preserve"> the </w:t>
      </w:r>
      <w:r>
        <w:t>final</w:t>
      </w:r>
      <w:r w:rsidRPr="00BB18F3">
        <w:t xml:space="preserve"> remaining payment </w:t>
      </w:r>
      <w:r>
        <w:t>to</w:t>
      </w:r>
      <w:r w:rsidRPr="00BB18F3">
        <w:t xml:space="preserve"> be received </w:t>
      </w:r>
      <w:r>
        <w:t>in the</w:t>
      </w:r>
      <w:r w:rsidRPr="00BB18F3">
        <w:t xml:space="preserve"> next financial year</w:t>
      </w:r>
      <w:r>
        <w:t xml:space="preserve"> </w:t>
      </w:r>
      <w:r w:rsidRPr="00BB18F3">
        <w:t>contingent on the completion of agreed milestones.</w:t>
      </w:r>
    </w:p>
    <w:p w14:paraId="24AC32D0" w14:textId="77777777" w:rsidR="004D42F9" w:rsidRPr="00713481" w:rsidRDefault="004D42F9" w:rsidP="00713481">
      <w:pPr>
        <w:rPr>
          <w:i/>
          <w:iCs/>
        </w:rPr>
      </w:pPr>
      <w:r w:rsidRPr="00713481">
        <w:rPr>
          <w:i/>
          <w:iCs/>
        </w:rPr>
        <w:t>Contingent liabilities</w:t>
      </w:r>
    </w:p>
    <w:p w14:paraId="7D260A15" w14:textId="77777777" w:rsidR="004D42F9" w:rsidRPr="00BB18F3" w:rsidRDefault="004D42F9" w:rsidP="004D42F9">
      <w:r w:rsidRPr="00D5743D">
        <w:t xml:space="preserve">In 2019 Project Marinus received a grant from </w:t>
      </w:r>
      <w:r>
        <w:t>the</w:t>
      </w:r>
      <w:r w:rsidRPr="00D5743D">
        <w:t xml:space="preserve"> </w:t>
      </w:r>
      <w:r>
        <w:t>Australian Renewable Energy Agency</w:t>
      </w:r>
      <w:r w:rsidRPr="00D5743D">
        <w:t xml:space="preserve"> to support the project work on the feasibility study.</w:t>
      </w:r>
      <w:r>
        <w:t xml:space="preserve"> </w:t>
      </w:r>
      <w:r w:rsidRPr="00D5743D">
        <w:t>Upon operationalisation of MLPL on 1 December 2021</w:t>
      </w:r>
      <w:r>
        <w:t>,</w:t>
      </w:r>
      <w:r w:rsidRPr="00D5743D">
        <w:t xml:space="preserve"> the terms and conditions of this grant including</w:t>
      </w:r>
      <w:r>
        <w:t xml:space="preserve"> </w:t>
      </w:r>
      <w:r w:rsidRPr="00D5743D">
        <w:t>certain repayment conditions where the grant revenue of $10</w:t>
      </w:r>
      <w:r>
        <w:t xml:space="preserve"> </w:t>
      </w:r>
      <w:r w:rsidRPr="00D5743D">
        <w:t>m</w:t>
      </w:r>
      <w:r>
        <w:t>illion</w:t>
      </w:r>
      <w:r w:rsidRPr="00D5743D">
        <w:t xml:space="preserve"> received would be required to be</w:t>
      </w:r>
      <w:r>
        <w:t xml:space="preserve"> </w:t>
      </w:r>
      <w:r w:rsidRPr="00D5743D">
        <w:t xml:space="preserve">repaid were </w:t>
      </w:r>
      <w:r>
        <w:t xml:space="preserve">it </w:t>
      </w:r>
      <w:r w:rsidRPr="00D5743D">
        <w:t>novated to MLPL.</w:t>
      </w:r>
      <w:r>
        <w:t xml:space="preserve"> </w:t>
      </w:r>
      <w:r w:rsidRPr="00D5743D">
        <w:t>No other claims related to property loss, personal injury, contractual and other matters were outstanding</w:t>
      </w:r>
      <w:r>
        <w:t xml:space="preserve"> </w:t>
      </w:r>
      <w:r w:rsidRPr="00D5743D">
        <w:t>at the date of publication of these accounts.</w:t>
      </w:r>
    </w:p>
    <w:p w14:paraId="3E80E6ED" w14:textId="77777777" w:rsidR="00845934" w:rsidRDefault="00845934" w:rsidP="004D42F9">
      <w:pPr>
        <w:pStyle w:val="Heading4"/>
        <w:sectPr w:rsidR="00845934" w:rsidSect="00845934">
          <w:type w:val="continuous"/>
          <w:pgSz w:w="11906" w:h="16838" w:code="9"/>
          <w:pgMar w:top="1134" w:right="1134" w:bottom="1134" w:left="1134" w:header="624" w:footer="567" w:gutter="0"/>
          <w:cols w:num="2" w:space="708"/>
          <w:docGrid w:linePitch="360"/>
        </w:sectPr>
      </w:pPr>
    </w:p>
    <w:p w14:paraId="0796127A" w14:textId="77777777" w:rsidR="00845934" w:rsidRDefault="00845934">
      <w:pPr>
        <w:keepLines w:val="0"/>
        <w:rPr>
          <w:rFonts w:asciiTheme="majorHAnsi" w:eastAsiaTheme="majorEastAsia" w:hAnsiTheme="majorHAnsi" w:cstheme="majorBidi"/>
          <w:i/>
          <w:iCs/>
          <w:szCs w:val="24"/>
        </w:rPr>
      </w:pPr>
      <w:r>
        <w:br w:type="page"/>
      </w:r>
    </w:p>
    <w:p w14:paraId="375DD47F" w14:textId="1EB457B9" w:rsidR="004D42F9" w:rsidRPr="00735A30" w:rsidRDefault="004D42F9" w:rsidP="004D42F9">
      <w:pPr>
        <w:pStyle w:val="Heading4"/>
      </w:pPr>
      <w:r>
        <w:lastRenderedPageBreak/>
        <w:t>Melbourne Renewable Energy Hub (MREH project)</w:t>
      </w:r>
    </w:p>
    <w:p w14:paraId="5BE41B83"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7DA42AC1" w14:textId="77777777" w:rsidR="00845934" w:rsidRDefault="004D42F9" w:rsidP="004D42F9">
      <w:r>
        <w:t xml:space="preserve">In November 2023, SEC Victoria Pty Ltd (SEC) committed to invest $245 million in the Melbourne Renewable Energy Hub (MREH) project which comprises the development, construction and operation of Battery Energy Storage System (BESS) infrastructure assets. </w:t>
      </w:r>
    </w:p>
    <w:p w14:paraId="4D5A4C4F" w14:textId="77777777" w:rsidR="000A0DDD" w:rsidRDefault="000A0DDD" w:rsidP="000A0DDD">
      <w:r>
        <w:t>In this project the SEC, through its subsidiary SEC Infrastructure Pty Ltd, has a joint venture interest with the following entities:</w:t>
      </w:r>
      <w:r w:rsidRPr="00845934">
        <w:t xml:space="preserve"> </w:t>
      </w:r>
    </w:p>
    <w:p w14:paraId="1C2E5755" w14:textId="77777777" w:rsidR="000A0DDD" w:rsidRDefault="000A0DDD" w:rsidP="000A0DDD">
      <w:pPr>
        <w:pStyle w:val="TableHeading"/>
        <w:spacing w:before="0"/>
      </w:pPr>
      <w:r>
        <w:tab/>
      </w:r>
      <w:r>
        <w:tab/>
      </w:r>
      <w:r w:rsidRPr="000A0DDD">
        <w:rPr>
          <w:sz w:val="18"/>
          <w:szCs w:val="16"/>
        </w:rPr>
        <w:t>(per cent)</w:t>
      </w:r>
    </w:p>
    <w:tbl>
      <w:tblPr>
        <w:tblStyle w:val="DTFTableNumeric"/>
        <w:tblW w:w="4466" w:type="dxa"/>
        <w:tblLayout w:type="fixed"/>
        <w:tblLook w:val="06A0" w:firstRow="1" w:lastRow="0" w:firstColumn="1" w:lastColumn="0" w:noHBand="1" w:noVBand="1"/>
      </w:tblPr>
      <w:tblGrid>
        <w:gridCol w:w="2835"/>
        <w:gridCol w:w="861"/>
        <w:gridCol w:w="770"/>
      </w:tblGrid>
      <w:tr w:rsidR="000A0DDD" w14:paraId="43A5767F" w14:textId="77777777" w:rsidTr="000A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38D9092F" w14:textId="77777777" w:rsidR="000A0DDD" w:rsidRDefault="000A0DDD">
            <w:pPr>
              <w:keepNext/>
            </w:pPr>
            <w:r>
              <w:t>Name of the entity</w:t>
            </w:r>
          </w:p>
        </w:tc>
        <w:tc>
          <w:tcPr>
            <w:tcW w:w="861" w:type="dxa"/>
          </w:tcPr>
          <w:p w14:paraId="7942177A" w14:textId="77777777" w:rsidR="000A0DDD" w:rsidRDefault="000A0DDD">
            <w:pPr>
              <w:keepNext/>
              <w:cnfStyle w:val="100000000000" w:firstRow="1" w:lastRow="0" w:firstColumn="0" w:lastColumn="0" w:oddVBand="0" w:evenVBand="0" w:oddHBand="0" w:evenHBand="0" w:firstRowFirstColumn="0" w:firstRowLastColumn="0" w:lastRowFirstColumn="0" w:lastRowLastColumn="0"/>
            </w:pPr>
            <w:r>
              <w:t xml:space="preserve">Ownership </w:t>
            </w:r>
            <w:r>
              <w:br/>
              <w:t>interest</w:t>
            </w:r>
          </w:p>
        </w:tc>
        <w:tc>
          <w:tcPr>
            <w:tcW w:w="770" w:type="dxa"/>
          </w:tcPr>
          <w:p w14:paraId="778BA77E" w14:textId="77777777" w:rsidR="000A0DDD" w:rsidRDefault="000A0DDD">
            <w:pPr>
              <w:keepNext/>
              <w:cnfStyle w:val="100000000000" w:firstRow="1" w:lastRow="0" w:firstColumn="0" w:lastColumn="0" w:oddVBand="0" w:evenVBand="0" w:oddHBand="0" w:evenHBand="0" w:firstRowFirstColumn="0" w:firstRowLastColumn="0" w:lastRowFirstColumn="0" w:lastRowLastColumn="0"/>
            </w:pPr>
            <w:r>
              <w:t xml:space="preserve">Voting </w:t>
            </w:r>
            <w:r>
              <w:br/>
              <w:t>rights</w:t>
            </w:r>
          </w:p>
        </w:tc>
      </w:tr>
      <w:tr w:rsidR="000A0DDD" w14:paraId="4144EA4E" w14:textId="77777777" w:rsidTr="000A0DDD">
        <w:tc>
          <w:tcPr>
            <w:cnfStyle w:val="001000000000" w:firstRow="0" w:lastRow="0" w:firstColumn="1" w:lastColumn="0" w:oddVBand="0" w:evenVBand="0" w:oddHBand="0" w:evenHBand="0" w:firstRowFirstColumn="0" w:firstRowLastColumn="0" w:lastRowFirstColumn="0" w:lastRowLastColumn="0"/>
            <w:tcW w:w="2835" w:type="dxa"/>
          </w:tcPr>
          <w:p w14:paraId="3DBFCB5E" w14:textId="77777777" w:rsidR="000A0DDD" w:rsidRDefault="000A0DDD">
            <w:r w:rsidRPr="00154611">
              <w:t>Equis Energy (Australia) Projects (MREH A1 HoldCo) Pty Ltd</w:t>
            </w:r>
          </w:p>
        </w:tc>
        <w:tc>
          <w:tcPr>
            <w:tcW w:w="861" w:type="dxa"/>
          </w:tcPr>
          <w:p w14:paraId="01E997D7" w14:textId="77777777" w:rsidR="000A0DDD" w:rsidRPr="00154611" w:rsidRDefault="000A0DDD">
            <w:pPr>
              <w:cnfStyle w:val="000000000000" w:firstRow="0" w:lastRow="0" w:firstColumn="0" w:lastColumn="0" w:oddVBand="0" w:evenVBand="0" w:oddHBand="0" w:evenHBand="0" w:firstRowFirstColumn="0" w:firstRowLastColumn="0" w:lastRowFirstColumn="0" w:lastRowLastColumn="0"/>
            </w:pPr>
            <w:r>
              <w:t>30</w:t>
            </w:r>
          </w:p>
        </w:tc>
        <w:tc>
          <w:tcPr>
            <w:tcW w:w="770" w:type="dxa"/>
          </w:tcPr>
          <w:p w14:paraId="7972B98A" w14:textId="77777777" w:rsidR="000A0DDD" w:rsidRPr="00154611" w:rsidRDefault="000A0DDD">
            <w:pPr>
              <w:cnfStyle w:val="000000000000" w:firstRow="0" w:lastRow="0" w:firstColumn="0" w:lastColumn="0" w:oddVBand="0" w:evenVBand="0" w:oddHBand="0" w:evenHBand="0" w:firstRowFirstColumn="0" w:firstRowLastColumn="0" w:lastRowFirstColumn="0" w:lastRowLastColumn="0"/>
            </w:pPr>
            <w:r>
              <w:t>30</w:t>
            </w:r>
          </w:p>
        </w:tc>
      </w:tr>
      <w:tr w:rsidR="000A0DDD" w14:paraId="27083DAE" w14:textId="77777777" w:rsidTr="000A0DDD">
        <w:tc>
          <w:tcPr>
            <w:cnfStyle w:val="001000000000" w:firstRow="0" w:lastRow="0" w:firstColumn="1" w:lastColumn="0" w:oddVBand="0" w:evenVBand="0" w:oddHBand="0" w:evenHBand="0" w:firstRowFirstColumn="0" w:firstRowLastColumn="0" w:lastRowFirstColumn="0" w:lastRowLastColumn="0"/>
            <w:tcW w:w="2835" w:type="dxa"/>
          </w:tcPr>
          <w:p w14:paraId="0BDD96F8" w14:textId="77777777" w:rsidR="000A0DDD" w:rsidRDefault="000A0DDD">
            <w:r w:rsidRPr="00F70B4B">
              <w:t>Equis Energy (Australia) Projects (MREH A2 HoldCo) Pty Ltd</w:t>
            </w:r>
          </w:p>
        </w:tc>
        <w:tc>
          <w:tcPr>
            <w:tcW w:w="861" w:type="dxa"/>
          </w:tcPr>
          <w:p w14:paraId="4EF55965" w14:textId="77777777" w:rsidR="000A0DDD" w:rsidRDefault="000A0DDD">
            <w:pPr>
              <w:cnfStyle w:val="000000000000" w:firstRow="0" w:lastRow="0" w:firstColumn="0" w:lastColumn="0" w:oddVBand="0" w:evenVBand="0" w:oddHBand="0" w:evenHBand="0" w:firstRowFirstColumn="0" w:firstRowLastColumn="0" w:lastRowFirstColumn="0" w:lastRowLastColumn="0"/>
            </w:pPr>
            <w:r>
              <w:t>30</w:t>
            </w:r>
          </w:p>
        </w:tc>
        <w:tc>
          <w:tcPr>
            <w:tcW w:w="770" w:type="dxa"/>
          </w:tcPr>
          <w:p w14:paraId="35736576" w14:textId="77777777" w:rsidR="000A0DDD" w:rsidRDefault="000A0DDD">
            <w:pPr>
              <w:cnfStyle w:val="000000000000" w:firstRow="0" w:lastRow="0" w:firstColumn="0" w:lastColumn="0" w:oddVBand="0" w:evenVBand="0" w:oddHBand="0" w:evenHBand="0" w:firstRowFirstColumn="0" w:firstRowLastColumn="0" w:lastRowFirstColumn="0" w:lastRowLastColumn="0"/>
            </w:pPr>
            <w:r>
              <w:t>30</w:t>
            </w:r>
          </w:p>
        </w:tc>
      </w:tr>
      <w:tr w:rsidR="000A0DDD" w14:paraId="35AFEC07" w14:textId="77777777" w:rsidTr="000A0DDD">
        <w:tc>
          <w:tcPr>
            <w:cnfStyle w:val="001000000000" w:firstRow="0" w:lastRow="0" w:firstColumn="1" w:lastColumn="0" w:oddVBand="0" w:evenVBand="0" w:oddHBand="0" w:evenHBand="0" w:firstRowFirstColumn="0" w:firstRowLastColumn="0" w:lastRowFirstColumn="0" w:lastRowLastColumn="0"/>
            <w:tcW w:w="2835" w:type="dxa"/>
          </w:tcPr>
          <w:p w14:paraId="0232FF93" w14:textId="77777777" w:rsidR="000A0DDD" w:rsidRDefault="000A0DDD">
            <w:r w:rsidRPr="0086638C">
              <w:t>Equis Energy (Australia) Projects (MREH A3 HoldCo) Pty Ltd</w:t>
            </w:r>
          </w:p>
        </w:tc>
        <w:tc>
          <w:tcPr>
            <w:tcW w:w="861" w:type="dxa"/>
          </w:tcPr>
          <w:p w14:paraId="79836930" w14:textId="77777777" w:rsidR="000A0DDD" w:rsidRDefault="000A0DDD">
            <w:pPr>
              <w:cnfStyle w:val="000000000000" w:firstRow="0" w:lastRow="0" w:firstColumn="0" w:lastColumn="0" w:oddVBand="0" w:evenVBand="0" w:oddHBand="0" w:evenHBand="0" w:firstRowFirstColumn="0" w:firstRowLastColumn="0" w:lastRowFirstColumn="0" w:lastRowLastColumn="0"/>
            </w:pPr>
            <w:r>
              <w:t>47</w:t>
            </w:r>
          </w:p>
        </w:tc>
        <w:tc>
          <w:tcPr>
            <w:tcW w:w="770" w:type="dxa"/>
          </w:tcPr>
          <w:p w14:paraId="41675EE2" w14:textId="77777777" w:rsidR="000A0DDD" w:rsidRDefault="000A0DDD">
            <w:pPr>
              <w:cnfStyle w:val="000000000000" w:firstRow="0" w:lastRow="0" w:firstColumn="0" w:lastColumn="0" w:oddVBand="0" w:evenVBand="0" w:oddHBand="0" w:evenHBand="0" w:firstRowFirstColumn="0" w:firstRowLastColumn="0" w:lastRowFirstColumn="0" w:lastRowLastColumn="0"/>
            </w:pPr>
            <w:r>
              <w:t>49</w:t>
            </w:r>
          </w:p>
        </w:tc>
      </w:tr>
    </w:tbl>
    <w:p w14:paraId="38FE9FE9" w14:textId="77777777" w:rsidR="000A0DDD" w:rsidRPr="00845934" w:rsidRDefault="000A0DDD" w:rsidP="000A0DDD">
      <w:pPr>
        <w:pStyle w:val="TableHeading"/>
      </w:pPr>
      <w:r w:rsidRPr="00193EED">
        <w:rPr>
          <w:rFonts w:asciiTheme="minorHAnsi" w:hAnsiTheme="minorHAnsi" w:cs="Times New Roman"/>
          <w:b w:val="0"/>
          <w:iCs w:val="0"/>
          <w:sz w:val="22"/>
          <w:szCs w:val="22"/>
        </w:rPr>
        <w:t xml:space="preserve">The </w:t>
      </w:r>
      <w:r>
        <w:rPr>
          <w:rFonts w:asciiTheme="minorHAnsi" w:hAnsiTheme="minorHAnsi" w:cs="Times New Roman"/>
          <w:b w:val="0"/>
          <w:iCs w:val="0"/>
          <w:sz w:val="22"/>
          <w:szCs w:val="22"/>
        </w:rPr>
        <w:t>entities listed above are collectively referred to as</w:t>
      </w:r>
      <w:r w:rsidRPr="00EA6695">
        <w:t xml:space="preserve"> </w:t>
      </w:r>
      <w:r w:rsidRPr="00EA6695">
        <w:rPr>
          <w:rFonts w:asciiTheme="minorHAnsi" w:hAnsiTheme="minorHAnsi" w:cs="Times New Roman"/>
          <w:b w:val="0"/>
          <w:iCs w:val="0"/>
          <w:sz w:val="22"/>
          <w:szCs w:val="22"/>
        </w:rPr>
        <w:t>Equis Energy (Australia) Project</w:t>
      </w:r>
      <w:r>
        <w:rPr>
          <w:rFonts w:asciiTheme="minorHAnsi" w:hAnsiTheme="minorHAnsi" w:cs="Times New Roman"/>
          <w:b w:val="0"/>
          <w:iCs w:val="0"/>
          <w:sz w:val="22"/>
          <w:szCs w:val="22"/>
        </w:rPr>
        <w:t>.</w:t>
      </w:r>
    </w:p>
    <w:p w14:paraId="1A8A689B" w14:textId="77777777" w:rsidR="000A0DDD" w:rsidRPr="00913FEE" w:rsidRDefault="00845934" w:rsidP="000A0DDD">
      <w:pPr>
        <w:pStyle w:val="Heading5"/>
      </w:pPr>
      <w:r>
        <w:br w:type="column"/>
      </w:r>
      <w:r w:rsidR="000A0DDD" w:rsidRPr="00913FEE">
        <w:t xml:space="preserve">Share of commitments in Equis Energy (Australia) Projects </w:t>
      </w:r>
    </w:p>
    <w:p w14:paraId="4ADBC1D9" w14:textId="77777777" w:rsidR="000A0DDD" w:rsidRDefault="000A0DDD" w:rsidP="000A0DDD">
      <w:pPr>
        <w:spacing w:after="120"/>
      </w:pPr>
      <w:r>
        <w:t xml:space="preserve">The capital commitments of the joint venture are listed below. The State’s contributions to these commitments are covered by its committed cash calls, disclosed in </w:t>
      </w:r>
      <w:r w:rsidRPr="00F903E0">
        <w:t xml:space="preserve">Note </w:t>
      </w:r>
      <w:r w:rsidRPr="00251DEB">
        <w:t>5.8</w:t>
      </w:r>
      <w:r w:rsidRPr="00F903E0" w:rsidDel="00831065">
        <w:t>: Commitments</w:t>
      </w:r>
      <w:r>
        <w:t xml:space="preserve"> for future expenditure.</w:t>
      </w:r>
    </w:p>
    <w:p w14:paraId="3E39C3FA" w14:textId="58202F70" w:rsidR="000A0DDD" w:rsidRDefault="000A0DDD" w:rsidP="000A0DDD">
      <w:pPr>
        <w:pStyle w:val="TableHeading"/>
      </w:pPr>
      <w:r>
        <w:tab/>
      </w:r>
      <w:r>
        <w:tab/>
      </w:r>
      <w:r w:rsidRPr="000A0DDD">
        <w:rPr>
          <w:sz w:val="18"/>
          <w:szCs w:val="16"/>
        </w:rPr>
        <w:t>($ million)</w:t>
      </w:r>
    </w:p>
    <w:tbl>
      <w:tblPr>
        <w:tblStyle w:val="DTFTableNumeric"/>
        <w:tblW w:w="4522" w:type="dxa"/>
        <w:tblLayout w:type="fixed"/>
        <w:tblLook w:val="06A0" w:firstRow="1" w:lastRow="0" w:firstColumn="1" w:lastColumn="0" w:noHBand="1" w:noVBand="1"/>
        <w:tblDescription w:val="Type:DtfTable|Workbook:https://vicgov.sharepoint.com/sites/VG002733/Annual Financial Report/CRA Coordination/Financial Statements/Manual Reports/Investments in associates and joint operations/Link_JointVentures.xlsx|Table:Commitments"/>
      </w:tblPr>
      <w:tblGrid>
        <w:gridCol w:w="1512"/>
        <w:gridCol w:w="280"/>
        <w:gridCol w:w="221"/>
        <w:gridCol w:w="26"/>
        <w:gridCol w:w="476"/>
        <w:gridCol w:w="52"/>
        <w:gridCol w:w="450"/>
        <w:gridCol w:w="78"/>
        <w:gridCol w:w="423"/>
        <w:gridCol w:w="104"/>
        <w:gridCol w:w="398"/>
        <w:gridCol w:w="130"/>
        <w:gridCol w:w="372"/>
      </w:tblGrid>
      <w:tr w:rsidR="000A0DDD" w:rsidRPr="00D5514F" w14:paraId="27B84E35" w14:textId="77777777" w:rsidTr="000A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2" w:type="dxa"/>
          </w:tcPr>
          <w:p w14:paraId="79C47F30" w14:textId="77777777" w:rsidR="000A0DDD" w:rsidRPr="00D5514F" w:rsidRDefault="000A0DDD" w:rsidP="005D4DFF">
            <w:pPr>
              <w:keepNext/>
              <w:rPr>
                <w:szCs w:val="17"/>
              </w:rPr>
            </w:pPr>
          </w:p>
        </w:tc>
        <w:tc>
          <w:tcPr>
            <w:tcW w:w="1003" w:type="dxa"/>
            <w:gridSpan w:val="4"/>
          </w:tcPr>
          <w:p w14:paraId="02504CB4" w14:textId="77777777" w:rsidR="000A0DDD" w:rsidRPr="00D5514F" w:rsidRDefault="000A0DDD" w:rsidP="005D4DFF">
            <w:pPr>
              <w:keepNext/>
              <w:jc w:val="center"/>
              <w:cnfStyle w:val="100000000000" w:firstRow="1" w:lastRow="0" w:firstColumn="0" w:lastColumn="0" w:oddVBand="0" w:evenVBand="0" w:oddHBand="0" w:evenHBand="0" w:firstRowFirstColumn="0" w:firstRowLastColumn="0" w:lastRowFirstColumn="0" w:lastRowLastColumn="0"/>
              <w:rPr>
                <w:szCs w:val="17"/>
              </w:rPr>
            </w:pPr>
            <w:r w:rsidRPr="00D5514F">
              <w:rPr>
                <w:szCs w:val="17"/>
              </w:rPr>
              <w:t>MREH A1</w:t>
            </w:r>
          </w:p>
        </w:tc>
        <w:tc>
          <w:tcPr>
            <w:tcW w:w="1003" w:type="dxa"/>
            <w:gridSpan w:val="4"/>
          </w:tcPr>
          <w:p w14:paraId="5D9B3708" w14:textId="77777777" w:rsidR="000A0DDD" w:rsidRPr="00D5514F" w:rsidRDefault="000A0DDD" w:rsidP="005D4DFF">
            <w:pPr>
              <w:keepNext/>
              <w:jc w:val="center"/>
              <w:cnfStyle w:val="100000000000" w:firstRow="1" w:lastRow="0" w:firstColumn="0" w:lastColumn="0" w:oddVBand="0" w:evenVBand="0" w:oddHBand="0" w:evenHBand="0" w:firstRowFirstColumn="0" w:firstRowLastColumn="0" w:lastRowFirstColumn="0" w:lastRowLastColumn="0"/>
              <w:rPr>
                <w:szCs w:val="17"/>
              </w:rPr>
            </w:pPr>
            <w:r w:rsidRPr="00D5514F">
              <w:rPr>
                <w:szCs w:val="17"/>
              </w:rPr>
              <w:t>MREH A2</w:t>
            </w:r>
          </w:p>
        </w:tc>
        <w:tc>
          <w:tcPr>
            <w:tcW w:w="1004" w:type="dxa"/>
            <w:gridSpan w:val="4"/>
          </w:tcPr>
          <w:p w14:paraId="269B1D1B" w14:textId="77777777" w:rsidR="000A0DDD" w:rsidRPr="00D5514F" w:rsidRDefault="000A0DDD" w:rsidP="005D4DFF">
            <w:pPr>
              <w:keepNext/>
              <w:jc w:val="center"/>
              <w:cnfStyle w:val="100000000000" w:firstRow="1" w:lastRow="0" w:firstColumn="0" w:lastColumn="0" w:oddVBand="0" w:evenVBand="0" w:oddHBand="0" w:evenHBand="0" w:firstRowFirstColumn="0" w:firstRowLastColumn="0" w:lastRowFirstColumn="0" w:lastRowLastColumn="0"/>
              <w:rPr>
                <w:szCs w:val="17"/>
              </w:rPr>
            </w:pPr>
            <w:r w:rsidRPr="00D5514F">
              <w:rPr>
                <w:szCs w:val="17"/>
              </w:rPr>
              <w:t>MREH A3</w:t>
            </w:r>
          </w:p>
        </w:tc>
      </w:tr>
      <w:tr w:rsidR="000A0DDD" w:rsidRPr="00D5514F" w14:paraId="699D73AD" w14:textId="77777777" w:rsidTr="000A0D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2" w:type="dxa"/>
            <w:tcBorders>
              <w:bottom w:val="single" w:sz="6" w:space="0" w:color="auto"/>
            </w:tcBorders>
          </w:tcPr>
          <w:p w14:paraId="649CFFF9" w14:textId="77777777" w:rsidR="000A0DDD" w:rsidRPr="00D5514F" w:rsidRDefault="000A0DDD" w:rsidP="005D4DFF">
            <w:pPr>
              <w:keepNext/>
              <w:rPr>
                <w:szCs w:val="17"/>
              </w:rPr>
            </w:pPr>
          </w:p>
        </w:tc>
        <w:tc>
          <w:tcPr>
            <w:tcW w:w="501" w:type="dxa"/>
            <w:gridSpan w:val="2"/>
            <w:tcBorders>
              <w:bottom w:val="single" w:sz="6" w:space="0" w:color="auto"/>
            </w:tcBorders>
          </w:tcPr>
          <w:p w14:paraId="7614E08D"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2025</w:t>
            </w:r>
          </w:p>
        </w:tc>
        <w:tc>
          <w:tcPr>
            <w:tcW w:w="502" w:type="dxa"/>
            <w:gridSpan w:val="2"/>
            <w:tcBorders>
              <w:bottom w:val="single" w:sz="6" w:space="0" w:color="auto"/>
            </w:tcBorders>
          </w:tcPr>
          <w:p w14:paraId="19F76D0C"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2024</w:t>
            </w:r>
          </w:p>
        </w:tc>
        <w:tc>
          <w:tcPr>
            <w:tcW w:w="502" w:type="dxa"/>
            <w:gridSpan w:val="2"/>
            <w:tcBorders>
              <w:bottom w:val="single" w:sz="6" w:space="0" w:color="auto"/>
            </w:tcBorders>
          </w:tcPr>
          <w:p w14:paraId="441F2785"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2025</w:t>
            </w:r>
          </w:p>
        </w:tc>
        <w:tc>
          <w:tcPr>
            <w:tcW w:w="501" w:type="dxa"/>
            <w:gridSpan w:val="2"/>
            <w:tcBorders>
              <w:bottom w:val="single" w:sz="6" w:space="0" w:color="auto"/>
            </w:tcBorders>
          </w:tcPr>
          <w:p w14:paraId="7A3C0210"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2024</w:t>
            </w:r>
          </w:p>
        </w:tc>
        <w:tc>
          <w:tcPr>
            <w:tcW w:w="502" w:type="dxa"/>
            <w:gridSpan w:val="2"/>
            <w:tcBorders>
              <w:bottom w:val="single" w:sz="6" w:space="0" w:color="auto"/>
            </w:tcBorders>
          </w:tcPr>
          <w:p w14:paraId="6B281D77"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2025</w:t>
            </w:r>
          </w:p>
        </w:tc>
        <w:tc>
          <w:tcPr>
            <w:tcW w:w="502" w:type="dxa"/>
            <w:gridSpan w:val="2"/>
            <w:tcBorders>
              <w:bottom w:val="single" w:sz="6" w:space="0" w:color="auto"/>
            </w:tcBorders>
          </w:tcPr>
          <w:p w14:paraId="7CFF4F98" w14:textId="77777777" w:rsidR="000A0DDD" w:rsidRPr="00D5514F" w:rsidRDefault="000A0DDD" w:rsidP="005D4DFF">
            <w:pPr>
              <w:keepNext/>
              <w:cnfStyle w:val="100000000000" w:firstRow="1" w:lastRow="0" w:firstColumn="0" w:lastColumn="0" w:oddVBand="0" w:evenVBand="0" w:oddHBand="0" w:evenHBand="0" w:firstRowFirstColumn="0" w:firstRowLastColumn="0" w:lastRowFirstColumn="0" w:lastRowLastColumn="0"/>
              <w:rPr>
                <w:szCs w:val="17"/>
              </w:rPr>
            </w:pPr>
            <w:r w:rsidRPr="00D5514F">
              <w:rPr>
                <w:szCs w:val="17"/>
              </w:rPr>
              <w:t>2024</w:t>
            </w:r>
          </w:p>
        </w:tc>
      </w:tr>
      <w:tr w:rsidR="000A0DDD" w:rsidRPr="00D5514F" w14:paraId="1752C578" w14:textId="77777777" w:rsidTr="000A0DDD">
        <w:tc>
          <w:tcPr>
            <w:cnfStyle w:val="001000000000" w:firstRow="0" w:lastRow="0" w:firstColumn="1" w:lastColumn="0" w:oddVBand="0" w:evenVBand="0" w:oddHBand="0" w:evenHBand="0" w:firstRowFirstColumn="0" w:firstRowLastColumn="0" w:lastRowFirstColumn="0" w:lastRowLastColumn="0"/>
            <w:tcW w:w="1512" w:type="dxa"/>
            <w:tcBorders>
              <w:top w:val="single" w:sz="6" w:space="0" w:color="auto"/>
              <w:bottom w:val="nil"/>
            </w:tcBorders>
          </w:tcPr>
          <w:p w14:paraId="586B9E9F" w14:textId="00197623" w:rsidR="000A0DDD" w:rsidRPr="00D5514F" w:rsidRDefault="000A0DDD" w:rsidP="00785922">
            <w:pPr>
              <w:spacing w:after="0"/>
              <w:ind w:left="0" w:firstLine="0"/>
              <w:rPr>
                <w:bCs/>
                <w:szCs w:val="17"/>
              </w:rPr>
            </w:pPr>
            <w:r w:rsidRPr="00D5514F">
              <w:rPr>
                <w:bCs/>
                <w:szCs w:val="17"/>
              </w:rPr>
              <w:t>Commitment for</w:t>
            </w:r>
          </w:p>
        </w:tc>
        <w:tc>
          <w:tcPr>
            <w:tcW w:w="501" w:type="dxa"/>
            <w:gridSpan w:val="2"/>
            <w:tcBorders>
              <w:top w:val="single" w:sz="6" w:space="0" w:color="auto"/>
              <w:bottom w:val="nil"/>
            </w:tcBorders>
          </w:tcPr>
          <w:p w14:paraId="33B10D62"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39</w:t>
            </w:r>
          </w:p>
        </w:tc>
        <w:tc>
          <w:tcPr>
            <w:tcW w:w="502" w:type="dxa"/>
            <w:gridSpan w:val="2"/>
            <w:tcBorders>
              <w:top w:val="single" w:sz="6" w:space="0" w:color="auto"/>
              <w:bottom w:val="nil"/>
            </w:tcBorders>
          </w:tcPr>
          <w:p w14:paraId="2A5B375A"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130</w:t>
            </w:r>
          </w:p>
        </w:tc>
        <w:tc>
          <w:tcPr>
            <w:tcW w:w="502" w:type="dxa"/>
            <w:gridSpan w:val="2"/>
            <w:tcBorders>
              <w:top w:val="single" w:sz="6" w:space="0" w:color="auto"/>
              <w:bottom w:val="nil"/>
            </w:tcBorders>
          </w:tcPr>
          <w:p w14:paraId="08674DDE"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41</w:t>
            </w:r>
          </w:p>
        </w:tc>
        <w:tc>
          <w:tcPr>
            <w:tcW w:w="501" w:type="dxa"/>
            <w:gridSpan w:val="2"/>
            <w:tcBorders>
              <w:top w:val="single" w:sz="6" w:space="0" w:color="auto"/>
              <w:bottom w:val="nil"/>
            </w:tcBorders>
          </w:tcPr>
          <w:p w14:paraId="7E22ECC6"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184</w:t>
            </w:r>
          </w:p>
        </w:tc>
        <w:tc>
          <w:tcPr>
            <w:tcW w:w="502" w:type="dxa"/>
            <w:gridSpan w:val="2"/>
            <w:tcBorders>
              <w:top w:val="single" w:sz="6" w:space="0" w:color="auto"/>
              <w:bottom w:val="nil"/>
            </w:tcBorders>
          </w:tcPr>
          <w:p w14:paraId="1CE271CD"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78</w:t>
            </w:r>
          </w:p>
        </w:tc>
        <w:tc>
          <w:tcPr>
            <w:tcW w:w="502" w:type="dxa"/>
            <w:gridSpan w:val="2"/>
            <w:tcBorders>
              <w:top w:val="single" w:sz="6" w:space="0" w:color="auto"/>
              <w:bottom w:val="nil"/>
            </w:tcBorders>
          </w:tcPr>
          <w:p w14:paraId="36348157" w14:textId="77777777" w:rsidR="000A0DDD" w:rsidRPr="00D5514F" w:rsidRDefault="000A0DDD" w:rsidP="00785922">
            <w:pPr>
              <w:spacing w:after="0"/>
              <w:cnfStyle w:val="000000000000" w:firstRow="0" w:lastRow="0" w:firstColumn="0" w:lastColumn="0" w:oddVBand="0" w:evenVBand="0" w:oddHBand="0" w:evenHBand="0" w:firstRowFirstColumn="0" w:firstRowLastColumn="0" w:lastRowFirstColumn="0" w:lastRowLastColumn="0"/>
              <w:rPr>
                <w:bCs/>
                <w:szCs w:val="17"/>
              </w:rPr>
            </w:pPr>
            <w:r w:rsidRPr="00D5514F">
              <w:rPr>
                <w:bCs/>
                <w:szCs w:val="17"/>
              </w:rPr>
              <w:t>296</w:t>
            </w:r>
          </w:p>
        </w:tc>
      </w:tr>
      <w:tr w:rsidR="000A0DDD" w:rsidRPr="00D5514F" w14:paraId="06826C86" w14:textId="77777777" w:rsidTr="00D5514F">
        <w:tc>
          <w:tcPr>
            <w:cnfStyle w:val="001000000000" w:firstRow="0" w:lastRow="0" w:firstColumn="1" w:lastColumn="0" w:oddVBand="0" w:evenVBand="0" w:oddHBand="0" w:evenHBand="0" w:firstRowFirstColumn="0" w:firstRowLastColumn="0" w:lastRowFirstColumn="0" w:lastRowLastColumn="0"/>
            <w:tcW w:w="1792" w:type="dxa"/>
            <w:gridSpan w:val="2"/>
            <w:tcBorders>
              <w:top w:val="nil"/>
              <w:bottom w:val="single" w:sz="12" w:space="0" w:color="auto"/>
            </w:tcBorders>
          </w:tcPr>
          <w:p w14:paraId="77892767" w14:textId="7CCAB45A" w:rsidR="000A0DDD" w:rsidRPr="00D5514F" w:rsidRDefault="000A0DDD" w:rsidP="00785922">
            <w:pPr>
              <w:spacing w:before="0"/>
              <w:ind w:left="0" w:firstLine="0"/>
              <w:rPr>
                <w:bCs/>
                <w:szCs w:val="17"/>
              </w:rPr>
            </w:pPr>
            <w:r w:rsidRPr="00D5514F">
              <w:rPr>
                <w:bCs/>
                <w:szCs w:val="17"/>
              </w:rPr>
              <w:t>construction of battery energy storage system (BESS) infrastructure</w:t>
            </w:r>
          </w:p>
        </w:tc>
        <w:tc>
          <w:tcPr>
            <w:tcW w:w="247" w:type="dxa"/>
            <w:gridSpan w:val="2"/>
            <w:tcBorders>
              <w:top w:val="nil"/>
              <w:bottom w:val="single" w:sz="12" w:space="0" w:color="auto"/>
            </w:tcBorders>
          </w:tcPr>
          <w:p w14:paraId="63B98723"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c>
          <w:tcPr>
            <w:tcW w:w="528" w:type="dxa"/>
            <w:gridSpan w:val="2"/>
            <w:tcBorders>
              <w:top w:val="nil"/>
              <w:bottom w:val="single" w:sz="12" w:space="0" w:color="auto"/>
            </w:tcBorders>
          </w:tcPr>
          <w:p w14:paraId="5F823922"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c>
          <w:tcPr>
            <w:tcW w:w="528" w:type="dxa"/>
            <w:gridSpan w:val="2"/>
            <w:tcBorders>
              <w:top w:val="nil"/>
              <w:bottom w:val="single" w:sz="12" w:space="0" w:color="auto"/>
            </w:tcBorders>
          </w:tcPr>
          <w:p w14:paraId="21D6AB04"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c>
          <w:tcPr>
            <w:tcW w:w="527" w:type="dxa"/>
            <w:gridSpan w:val="2"/>
            <w:tcBorders>
              <w:top w:val="nil"/>
              <w:bottom w:val="single" w:sz="12" w:space="0" w:color="auto"/>
            </w:tcBorders>
          </w:tcPr>
          <w:p w14:paraId="436B6DE1"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c>
          <w:tcPr>
            <w:tcW w:w="528" w:type="dxa"/>
            <w:gridSpan w:val="2"/>
            <w:tcBorders>
              <w:top w:val="nil"/>
              <w:bottom w:val="single" w:sz="12" w:space="0" w:color="auto"/>
            </w:tcBorders>
          </w:tcPr>
          <w:p w14:paraId="0B6317C6"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c>
          <w:tcPr>
            <w:tcW w:w="372" w:type="dxa"/>
            <w:tcBorders>
              <w:top w:val="nil"/>
              <w:bottom w:val="single" w:sz="12" w:space="0" w:color="auto"/>
            </w:tcBorders>
          </w:tcPr>
          <w:p w14:paraId="7393C1E5" w14:textId="77777777" w:rsidR="000A0DDD" w:rsidRPr="00D5514F" w:rsidRDefault="000A0DDD" w:rsidP="00785922">
            <w:pPr>
              <w:spacing w:before="0"/>
              <w:cnfStyle w:val="000000000000" w:firstRow="0" w:lastRow="0" w:firstColumn="0" w:lastColumn="0" w:oddVBand="0" w:evenVBand="0" w:oddHBand="0" w:evenHBand="0" w:firstRowFirstColumn="0" w:firstRowLastColumn="0" w:lastRowFirstColumn="0" w:lastRowLastColumn="0"/>
              <w:rPr>
                <w:bCs/>
                <w:szCs w:val="17"/>
              </w:rPr>
            </w:pPr>
          </w:p>
        </w:tc>
      </w:tr>
    </w:tbl>
    <w:p w14:paraId="4A8533F0" w14:textId="6BA87CDE" w:rsidR="00845934" w:rsidRDefault="00845934" w:rsidP="000A0DDD"/>
    <w:p w14:paraId="77EDD2FF" w14:textId="77777777" w:rsidR="000A0DDD" w:rsidRPr="00845934" w:rsidRDefault="000A0DDD" w:rsidP="000A0DDD"/>
    <w:p w14:paraId="051176BA" w14:textId="77777777" w:rsidR="00845934" w:rsidRDefault="00845934" w:rsidP="004D42F9">
      <w:pPr>
        <w:pStyle w:val="TableHeading"/>
        <w:rPr>
          <w:rFonts w:asciiTheme="minorHAnsi" w:hAnsiTheme="minorHAnsi" w:cs="Times New Roman"/>
          <w:b w:val="0"/>
          <w:iCs w:val="0"/>
          <w:sz w:val="22"/>
          <w:szCs w:val="22"/>
        </w:rPr>
        <w:sectPr w:rsidR="00845934" w:rsidSect="00845934">
          <w:type w:val="continuous"/>
          <w:pgSz w:w="11906" w:h="16838" w:code="9"/>
          <w:pgMar w:top="1134" w:right="1134" w:bottom="1134" w:left="1134" w:header="624" w:footer="567" w:gutter="0"/>
          <w:cols w:num="2" w:space="709"/>
          <w:docGrid w:linePitch="360"/>
        </w:sectPr>
      </w:pPr>
    </w:p>
    <w:p w14:paraId="0A046F7A" w14:textId="77777777" w:rsidR="000A0DDD" w:rsidRPr="000A0DDD" w:rsidRDefault="000A0DDD" w:rsidP="000A0DDD">
      <w:pPr>
        <w:sectPr w:rsidR="000A0DDD" w:rsidRPr="000A0DDD" w:rsidSect="00845934">
          <w:type w:val="continuous"/>
          <w:pgSz w:w="11906" w:h="16838" w:code="9"/>
          <w:pgMar w:top="1134" w:right="1134" w:bottom="1134" w:left="1134" w:header="624" w:footer="567" w:gutter="0"/>
          <w:cols w:num="2" w:space="708"/>
          <w:docGrid w:linePitch="360"/>
        </w:sectPr>
      </w:pPr>
    </w:p>
    <w:p w14:paraId="7534886A" w14:textId="77777777" w:rsidR="00A30637" w:rsidRDefault="00A30637" w:rsidP="00845934"/>
    <w:p w14:paraId="18F60293" w14:textId="77777777" w:rsidR="007E2A58" w:rsidRPr="00845934" w:rsidRDefault="007E2A58" w:rsidP="00845934"/>
    <w:p w14:paraId="591D79E5" w14:textId="2A48DA75" w:rsidR="004D42F9" w:rsidRDefault="004D42F9" w:rsidP="004D42F9">
      <w:pPr>
        <w:pStyle w:val="TableHeading"/>
      </w:pPr>
      <w:r>
        <w:t xml:space="preserve">Movement in the </w:t>
      </w:r>
      <w:r w:rsidRPr="00AF4FF0">
        <w:t>State</w:t>
      </w:r>
      <w:r w:rsidR="00845934">
        <w:t>’</w:t>
      </w:r>
      <w:r w:rsidRPr="00AF4FF0">
        <w:t xml:space="preserve">s proportional share of the </w:t>
      </w:r>
      <w:r>
        <w:t xml:space="preserve">net assets of the </w:t>
      </w:r>
      <w:r w:rsidRPr="00AF4FF0">
        <w:t>joint venture</w:t>
      </w:r>
      <w:r w:rsidRPr="00AF4FF0">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Investments in associates and joint operations/Link_JointVentures.xlsx|Table:JV_movements_carryingamount"/>
      </w:tblPr>
      <w:tblGrid>
        <w:gridCol w:w="3686"/>
        <w:gridCol w:w="956"/>
        <w:gridCol w:w="957"/>
        <w:gridCol w:w="956"/>
        <w:gridCol w:w="957"/>
        <w:gridCol w:w="1063"/>
        <w:gridCol w:w="1063"/>
      </w:tblGrid>
      <w:tr w:rsidR="004D42F9" w14:paraId="7F2660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5ADA3EE6" w14:textId="77777777" w:rsidR="004D42F9" w:rsidRDefault="004D42F9">
            <w:pPr>
              <w:keepNext/>
            </w:pPr>
          </w:p>
        </w:tc>
        <w:tc>
          <w:tcPr>
            <w:tcW w:w="1913" w:type="dxa"/>
            <w:gridSpan w:val="2"/>
          </w:tcPr>
          <w:p w14:paraId="01ABEF4D" w14:textId="4EB6F08A"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VicRoads </w:t>
            </w:r>
            <w:r w:rsidR="00187697">
              <w:br/>
            </w:r>
            <w:r>
              <w:t>Modernisation</w:t>
            </w:r>
          </w:p>
        </w:tc>
        <w:tc>
          <w:tcPr>
            <w:tcW w:w="1913" w:type="dxa"/>
            <w:gridSpan w:val="2"/>
          </w:tcPr>
          <w:p w14:paraId="3C08061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Marinus Link Pty Ltd</w:t>
            </w:r>
          </w:p>
        </w:tc>
        <w:tc>
          <w:tcPr>
            <w:tcW w:w="2126" w:type="dxa"/>
            <w:gridSpan w:val="2"/>
          </w:tcPr>
          <w:p w14:paraId="1ADF2F4D"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Melbourne Renewable Energy Hub (MREH project)</w:t>
            </w:r>
          </w:p>
        </w:tc>
      </w:tr>
      <w:tr w:rsidR="002F56B2" w14:paraId="760BCF2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7E47A228" w14:textId="77777777" w:rsidR="004D42F9" w:rsidRDefault="004D42F9">
            <w:pPr>
              <w:keepNext/>
            </w:pPr>
          </w:p>
        </w:tc>
        <w:tc>
          <w:tcPr>
            <w:tcW w:w="956" w:type="dxa"/>
          </w:tcPr>
          <w:p w14:paraId="1D24E52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2B78A09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56" w:type="dxa"/>
          </w:tcPr>
          <w:p w14:paraId="4DB50E3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35EEC2D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1063" w:type="dxa"/>
          </w:tcPr>
          <w:p w14:paraId="23B4DBA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063" w:type="dxa"/>
          </w:tcPr>
          <w:p w14:paraId="6C5AE4E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17C00FCD" w14:textId="77777777">
        <w:tc>
          <w:tcPr>
            <w:cnfStyle w:val="001000000000" w:firstRow="0" w:lastRow="0" w:firstColumn="1" w:lastColumn="0" w:oddVBand="0" w:evenVBand="0" w:oddHBand="0" w:evenHBand="0" w:firstRowFirstColumn="0" w:firstRowLastColumn="0" w:lastRowFirstColumn="0" w:lastRowLastColumn="0"/>
            <w:tcW w:w="3686" w:type="dxa"/>
          </w:tcPr>
          <w:p w14:paraId="3E16DA38" w14:textId="77777777" w:rsidR="004D42F9" w:rsidRDefault="004D42F9">
            <w:r>
              <w:rPr>
                <w:b/>
              </w:rPr>
              <w:t>Opening balance</w:t>
            </w:r>
          </w:p>
        </w:tc>
        <w:tc>
          <w:tcPr>
            <w:tcW w:w="956" w:type="dxa"/>
          </w:tcPr>
          <w:p w14:paraId="0DBE621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1 079</w:t>
            </w:r>
          </w:p>
        </w:tc>
        <w:tc>
          <w:tcPr>
            <w:tcW w:w="957" w:type="dxa"/>
          </w:tcPr>
          <w:p w14:paraId="5BC6250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1 170</w:t>
            </w:r>
          </w:p>
        </w:tc>
        <w:tc>
          <w:tcPr>
            <w:tcW w:w="956" w:type="dxa"/>
          </w:tcPr>
          <w:p w14:paraId="5B88915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w:t>
            </w:r>
          </w:p>
        </w:tc>
        <w:tc>
          <w:tcPr>
            <w:tcW w:w="957" w:type="dxa"/>
          </w:tcPr>
          <w:p w14:paraId="213C3E6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c>
          <w:tcPr>
            <w:tcW w:w="1063" w:type="dxa"/>
          </w:tcPr>
          <w:p w14:paraId="1F32A4B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w:t>
            </w:r>
          </w:p>
        </w:tc>
        <w:tc>
          <w:tcPr>
            <w:tcW w:w="1063" w:type="dxa"/>
          </w:tcPr>
          <w:p w14:paraId="74E5321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w:t>
            </w:r>
          </w:p>
        </w:tc>
      </w:tr>
      <w:tr w:rsidR="004D42F9" w14:paraId="7820C4BE" w14:textId="77777777">
        <w:tc>
          <w:tcPr>
            <w:cnfStyle w:val="001000000000" w:firstRow="0" w:lastRow="0" w:firstColumn="1" w:lastColumn="0" w:oddVBand="0" w:evenVBand="0" w:oddHBand="0" w:evenHBand="0" w:firstRowFirstColumn="0" w:firstRowLastColumn="0" w:lastRowFirstColumn="0" w:lastRowLastColumn="0"/>
            <w:tcW w:w="3686" w:type="dxa"/>
          </w:tcPr>
          <w:p w14:paraId="3E2AE4CB" w14:textId="77777777" w:rsidR="004D42F9" w:rsidRDefault="004D42F9">
            <w:r>
              <w:t>Acquisition of minority interest in the joint venture</w:t>
            </w:r>
          </w:p>
        </w:tc>
        <w:tc>
          <w:tcPr>
            <w:tcW w:w="956" w:type="dxa"/>
          </w:tcPr>
          <w:p w14:paraId="0E9817D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Pr>
          <w:p w14:paraId="7BD8442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6" w:type="dxa"/>
          </w:tcPr>
          <w:p w14:paraId="32BADE2A" w14:textId="77777777" w:rsidR="004D42F9" w:rsidRDefault="004D42F9">
            <w:pPr>
              <w:cnfStyle w:val="000000000000" w:firstRow="0" w:lastRow="0" w:firstColumn="0" w:lastColumn="0" w:oddVBand="0" w:evenVBand="0" w:oddHBand="0" w:evenHBand="0" w:firstRowFirstColumn="0" w:firstRowLastColumn="0" w:lastRowFirstColumn="0" w:lastRowLastColumn="0"/>
            </w:pPr>
            <w:r>
              <w:t>78</w:t>
            </w:r>
          </w:p>
        </w:tc>
        <w:tc>
          <w:tcPr>
            <w:tcW w:w="957" w:type="dxa"/>
          </w:tcPr>
          <w:p w14:paraId="45E9B704" w14:textId="77777777" w:rsidR="004D42F9" w:rsidRDefault="004D42F9">
            <w:pPr>
              <w:cnfStyle w:val="000000000000" w:firstRow="0" w:lastRow="0" w:firstColumn="0" w:lastColumn="0" w:oddVBand="0" w:evenVBand="0" w:oddHBand="0" w:evenHBand="0" w:firstRowFirstColumn="0" w:firstRowLastColumn="0" w:lastRowFirstColumn="0" w:lastRowLastColumn="0"/>
            </w:pPr>
            <w:r>
              <w:t>56</w:t>
            </w:r>
          </w:p>
        </w:tc>
        <w:tc>
          <w:tcPr>
            <w:tcW w:w="1063" w:type="dxa"/>
          </w:tcPr>
          <w:p w14:paraId="321EF26A" w14:textId="77777777" w:rsidR="004D42F9" w:rsidRDefault="004D42F9">
            <w:pPr>
              <w:cnfStyle w:val="000000000000" w:firstRow="0" w:lastRow="0" w:firstColumn="0" w:lastColumn="0" w:oddVBand="0" w:evenVBand="0" w:oddHBand="0" w:evenHBand="0" w:firstRowFirstColumn="0" w:firstRowLastColumn="0" w:lastRowFirstColumn="0" w:lastRowLastColumn="0"/>
            </w:pPr>
            <w:r>
              <w:t>120</w:t>
            </w:r>
          </w:p>
        </w:tc>
        <w:tc>
          <w:tcPr>
            <w:tcW w:w="1063" w:type="dxa"/>
          </w:tcPr>
          <w:p w14:paraId="68469DCE" w14:textId="77777777" w:rsidR="004D42F9" w:rsidRDefault="004D42F9">
            <w:pPr>
              <w:cnfStyle w:val="000000000000" w:firstRow="0" w:lastRow="0" w:firstColumn="0" w:lastColumn="0" w:oddVBand="0" w:evenVBand="0" w:oddHBand="0" w:evenHBand="0" w:firstRowFirstColumn="0" w:firstRowLastColumn="0" w:lastRowFirstColumn="0" w:lastRowLastColumn="0"/>
            </w:pPr>
            <w:r>
              <w:t>73</w:t>
            </w:r>
          </w:p>
        </w:tc>
      </w:tr>
      <w:tr w:rsidR="004D42F9" w14:paraId="48291817" w14:textId="77777777">
        <w:tc>
          <w:tcPr>
            <w:cnfStyle w:val="001000000000" w:firstRow="0" w:lastRow="0" w:firstColumn="1" w:lastColumn="0" w:oddVBand="0" w:evenVBand="0" w:oddHBand="0" w:evenHBand="0" w:firstRowFirstColumn="0" w:firstRowLastColumn="0" w:lastRowFirstColumn="0" w:lastRowLastColumn="0"/>
            <w:tcW w:w="3686" w:type="dxa"/>
          </w:tcPr>
          <w:p w14:paraId="1C28B638" w14:textId="77777777" w:rsidR="004D42F9" w:rsidRDefault="004D42F9">
            <w:r>
              <w:t>Share of profit/(loss) after income tax</w:t>
            </w:r>
          </w:p>
        </w:tc>
        <w:tc>
          <w:tcPr>
            <w:tcW w:w="956" w:type="dxa"/>
          </w:tcPr>
          <w:p w14:paraId="60E34C4C" w14:textId="77777777" w:rsidR="004D42F9" w:rsidRDefault="004D42F9">
            <w:pPr>
              <w:cnfStyle w:val="000000000000" w:firstRow="0" w:lastRow="0" w:firstColumn="0" w:lastColumn="0" w:oddVBand="0" w:evenVBand="0" w:oddHBand="0" w:evenHBand="0" w:firstRowFirstColumn="0" w:firstRowLastColumn="0" w:lastRowFirstColumn="0" w:lastRowLastColumn="0"/>
            </w:pPr>
            <w:r>
              <w:t>(54)</w:t>
            </w:r>
          </w:p>
        </w:tc>
        <w:tc>
          <w:tcPr>
            <w:tcW w:w="957" w:type="dxa"/>
          </w:tcPr>
          <w:p w14:paraId="0AF2E42B" w14:textId="77777777" w:rsidR="004D42F9" w:rsidRDefault="004D42F9">
            <w:pPr>
              <w:cnfStyle w:val="000000000000" w:firstRow="0" w:lastRow="0" w:firstColumn="0" w:lastColumn="0" w:oddVBand="0" w:evenVBand="0" w:oddHBand="0" w:evenHBand="0" w:firstRowFirstColumn="0" w:firstRowLastColumn="0" w:lastRowFirstColumn="0" w:lastRowLastColumn="0"/>
            </w:pPr>
            <w:r>
              <w:t>(45)</w:t>
            </w:r>
          </w:p>
        </w:tc>
        <w:tc>
          <w:tcPr>
            <w:tcW w:w="956" w:type="dxa"/>
          </w:tcPr>
          <w:p w14:paraId="2327EFF5" w14:textId="77777777" w:rsidR="004D42F9" w:rsidRDefault="004D42F9">
            <w:pPr>
              <w:cnfStyle w:val="000000000000" w:firstRow="0" w:lastRow="0" w:firstColumn="0" w:lastColumn="0" w:oddVBand="0" w:evenVBand="0" w:oddHBand="0" w:evenHBand="0" w:firstRowFirstColumn="0" w:firstRowLastColumn="0" w:lastRowFirstColumn="0" w:lastRowLastColumn="0"/>
            </w:pPr>
            <w:r>
              <w:t>(10)</w:t>
            </w:r>
          </w:p>
        </w:tc>
        <w:tc>
          <w:tcPr>
            <w:tcW w:w="957" w:type="dxa"/>
          </w:tcPr>
          <w:p w14:paraId="4E2D5588"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3C371FD8" w14:textId="77777777" w:rsidR="004D42F9" w:rsidRDefault="004D42F9">
            <w:pPr>
              <w:cnfStyle w:val="000000000000" w:firstRow="0" w:lastRow="0" w:firstColumn="0" w:lastColumn="0" w:oddVBand="0" w:evenVBand="0" w:oddHBand="0" w:evenHBand="0" w:firstRowFirstColumn="0" w:firstRowLastColumn="0" w:lastRowFirstColumn="0" w:lastRowLastColumn="0"/>
            </w:pPr>
            <w:r>
              <w:t>(9)</w:t>
            </w:r>
          </w:p>
        </w:tc>
        <w:tc>
          <w:tcPr>
            <w:tcW w:w="1063" w:type="dxa"/>
          </w:tcPr>
          <w:p w14:paraId="29CD685A"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r>
      <w:tr w:rsidR="004D42F9" w14:paraId="4F7CA0E1" w14:textId="77777777">
        <w:tc>
          <w:tcPr>
            <w:cnfStyle w:val="001000000000" w:firstRow="0" w:lastRow="0" w:firstColumn="1" w:lastColumn="0" w:oddVBand="0" w:evenVBand="0" w:oddHBand="0" w:evenHBand="0" w:firstRowFirstColumn="0" w:firstRowLastColumn="0" w:lastRowFirstColumn="0" w:lastRowLastColumn="0"/>
            <w:tcW w:w="3686" w:type="dxa"/>
          </w:tcPr>
          <w:p w14:paraId="6B8E0A90" w14:textId="77777777" w:rsidR="004D42F9" w:rsidRDefault="004D42F9">
            <w:r>
              <w:t>Dividends received/receivable</w:t>
            </w:r>
          </w:p>
        </w:tc>
        <w:tc>
          <w:tcPr>
            <w:tcW w:w="956" w:type="dxa"/>
          </w:tcPr>
          <w:p w14:paraId="433818D8" w14:textId="77777777" w:rsidR="004D42F9" w:rsidRDefault="004D42F9">
            <w:pPr>
              <w:cnfStyle w:val="000000000000" w:firstRow="0" w:lastRow="0" w:firstColumn="0" w:lastColumn="0" w:oddVBand="0" w:evenVBand="0" w:oddHBand="0" w:evenHBand="0" w:firstRowFirstColumn="0" w:firstRowLastColumn="0" w:lastRowFirstColumn="0" w:lastRowLastColumn="0"/>
            </w:pPr>
            <w:r>
              <w:t>(32)</w:t>
            </w:r>
          </w:p>
        </w:tc>
        <w:tc>
          <w:tcPr>
            <w:tcW w:w="957" w:type="dxa"/>
          </w:tcPr>
          <w:p w14:paraId="5A1DEAE9" w14:textId="77777777" w:rsidR="004D42F9" w:rsidRDefault="004D42F9">
            <w:pPr>
              <w:cnfStyle w:val="000000000000" w:firstRow="0" w:lastRow="0" w:firstColumn="0" w:lastColumn="0" w:oddVBand="0" w:evenVBand="0" w:oddHBand="0" w:evenHBand="0" w:firstRowFirstColumn="0" w:firstRowLastColumn="0" w:lastRowFirstColumn="0" w:lastRowLastColumn="0"/>
            </w:pPr>
            <w:r>
              <w:t>(46)</w:t>
            </w:r>
          </w:p>
        </w:tc>
        <w:tc>
          <w:tcPr>
            <w:tcW w:w="956" w:type="dxa"/>
          </w:tcPr>
          <w:p w14:paraId="48C9E1A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Pr>
          <w:p w14:paraId="03E3C5C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Pr>
          <w:p w14:paraId="5427168B"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Pr>
          <w:p w14:paraId="7A98B59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0B2B15B0" w14:textId="77777777">
        <w:tc>
          <w:tcPr>
            <w:cnfStyle w:val="001000000000" w:firstRow="0" w:lastRow="0" w:firstColumn="1" w:lastColumn="0" w:oddVBand="0" w:evenVBand="0" w:oddHBand="0" w:evenHBand="0" w:firstRowFirstColumn="0" w:firstRowLastColumn="0" w:lastRowFirstColumn="0" w:lastRowLastColumn="0"/>
            <w:tcW w:w="3686" w:type="dxa"/>
          </w:tcPr>
          <w:p w14:paraId="7B34A4FC" w14:textId="18FA4F79" w:rsidR="004D42F9" w:rsidRDefault="004D42F9">
            <w:r>
              <w:t>Share of joint venture</w:t>
            </w:r>
            <w:r w:rsidR="00845934">
              <w:t>’</w:t>
            </w:r>
            <w:r>
              <w:t>s other comprehensive income</w:t>
            </w:r>
          </w:p>
        </w:tc>
        <w:tc>
          <w:tcPr>
            <w:tcW w:w="956" w:type="dxa"/>
          </w:tcPr>
          <w:p w14:paraId="2DAA622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Pr>
          <w:p w14:paraId="7C84C09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6" w:type="dxa"/>
          </w:tcPr>
          <w:p w14:paraId="0BDD712C" w14:textId="77777777" w:rsidR="004D42F9" w:rsidRDefault="004D42F9">
            <w:pPr>
              <w:cnfStyle w:val="000000000000" w:firstRow="0" w:lastRow="0" w:firstColumn="0" w:lastColumn="0" w:oddVBand="0" w:evenVBand="0" w:oddHBand="0" w:evenHBand="0" w:firstRowFirstColumn="0" w:firstRowLastColumn="0" w:lastRowFirstColumn="0" w:lastRowLastColumn="0"/>
            </w:pPr>
            <w:r>
              <w:t>19</w:t>
            </w:r>
          </w:p>
        </w:tc>
        <w:tc>
          <w:tcPr>
            <w:tcW w:w="957" w:type="dxa"/>
          </w:tcPr>
          <w:p w14:paraId="494B5277"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69A782E2"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5A550845"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r>
      <w:tr w:rsidR="004D42F9" w14:paraId="6EBAC345" w14:textId="77777777">
        <w:tc>
          <w:tcPr>
            <w:cnfStyle w:val="001000000000" w:firstRow="0" w:lastRow="0" w:firstColumn="1" w:lastColumn="0" w:oddVBand="0" w:evenVBand="0" w:oddHBand="0" w:evenHBand="0" w:firstRowFirstColumn="0" w:firstRowLastColumn="0" w:lastRowFirstColumn="0" w:lastRowLastColumn="0"/>
            <w:tcW w:w="3686" w:type="dxa"/>
          </w:tcPr>
          <w:p w14:paraId="0EEBB384" w14:textId="63AA11E8" w:rsidR="004D42F9" w:rsidRDefault="004D42F9">
            <w:r>
              <w:t>Impairment of the joint venturer</w:t>
            </w:r>
            <w:r w:rsidR="00845934">
              <w:t>’</w:t>
            </w:r>
            <w:r>
              <w:t>s interest</w:t>
            </w:r>
          </w:p>
        </w:tc>
        <w:tc>
          <w:tcPr>
            <w:tcW w:w="956" w:type="dxa"/>
          </w:tcPr>
          <w:p w14:paraId="035299B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Pr>
          <w:p w14:paraId="12E07F6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6" w:type="dxa"/>
          </w:tcPr>
          <w:p w14:paraId="4984CF3D"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57" w:type="dxa"/>
          </w:tcPr>
          <w:p w14:paraId="070F3DD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Pr>
          <w:p w14:paraId="6EC3288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Pr>
          <w:p w14:paraId="4FF7C12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26979EA"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0DE22BCD" w14:textId="77777777" w:rsidR="004D42F9" w:rsidRDefault="004D42F9">
            <w:r>
              <w:t>Disposals</w:t>
            </w:r>
          </w:p>
        </w:tc>
        <w:tc>
          <w:tcPr>
            <w:tcW w:w="956" w:type="dxa"/>
            <w:tcBorders>
              <w:bottom w:val="single" w:sz="6" w:space="0" w:color="auto"/>
            </w:tcBorders>
          </w:tcPr>
          <w:p w14:paraId="38B7032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6000EB6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1E53880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0596B54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Borders>
              <w:bottom w:val="single" w:sz="6" w:space="0" w:color="auto"/>
            </w:tcBorders>
          </w:tcPr>
          <w:p w14:paraId="01B485B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3" w:type="dxa"/>
            <w:tcBorders>
              <w:bottom w:val="single" w:sz="6" w:space="0" w:color="auto"/>
            </w:tcBorders>
          </w:tcPr>
          <w:p w14:paraId="057A5DB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9DA4FEB"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6376E754" w14:textId="77777777" w:rsidR="004D42F9" w:rsidRDefault="004D42F9">
            <w:r>
              <w:rPr>
                <w:b/>
              </w:rPr>
              <w:t>Closing balance</w:t>
            </w:r>
            <w:r>
              <w:rPr>
                <w:b/>
                <w:vertAlign w:val="superscript"/>
              </w:rPr>
              <w:t xml:space="preserve"> (a)</w:t>
            </w:r>
          </w:p>
        </w:tc>
        <w:tc>
          <w:tcPr>
            <w:tcW w:w="956" w:type="dxa"/>
            <w:tcBorders>
              <w:top w:val="single" w:sz="6" w:space="0" w:color="auto"/>
              <w:bottom w:val="single" w:sz="12" w:space="0" w:color="auto"/>
            </w:tcBorders>
          </w:tcPr>
          <w:p w14:paraId="6395708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993</w:t>
            </w:r>
          </w:p>
        </w:tc>
        <w:tc>
          <w:tcPr>
            <w:tcW w:w="957" w:type="dxa"/>
            <w:tcBorders>
              <w:top w:val="single" w:sz="6" w:space="0" w:color="auto"/>
              <w:bottom w:val="single" w:sz="12" w:space="0" w:color="auto"/>
            </w:tcBorders>
          </w:tcPr>
          <w:p w14:paraId="770BFF2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1 079</w:t>
            </w:r>
          </w:p>
        </w:tc>
        <w:tc>
          <w:tcPr>
            <w:tcW w:w="956" w:type="dxa"/>
            <w:tcBorders>
              <w:top w:val="single" w:sz="6" w:space="0" w:color="auto"/>
              <w:bottom w:val="single" w:sz="12" w:space="0" w:color="auto"/>
            </w:tcBorders>
          </w:tcPr>
          <w:p w14:paraId="224785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139</w:t>
            </w:r>
          </w:p>
        </w:tc>
        <w:tc>
          <w:tcPr>
            <w:tcW w:w="957" w:type="dxa"/>
            <w:tcBorders>
              <w:top w:val="single" w:sz="6" w:space="0" w:color="auto"/>
              <w:bottom w:val="single" w:sz="12" w:space="0" w:color="auto"/>
            </w:tcBorders>
          </w:tcPr>
          <w:p w14:paraId="2CD4C5C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w:t>
            </w:r>
          </w:p>
        </w:tc>
        <w:tc>
          <w:tcPr>
            <w:tcW w:w="1063" w:type="dxa"/>
            <w:tcBorders>
              <w:top w:val="single" w:sz="6" w:space="0" w:color="auto"/>
              <w:bottom w:val="single" w:sz="12" w:space="0" w:color="auto"/>
            </w:tcBorders>
          </w:tcPr>
          <w:p w14:paraId="79B3966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177</w:t>
            </w:r>
          </w:p>
        </w:tc>
        <w:tc>
          <w:tcPr>
            <w:tcW w:w="1063" w:type="dxa"/>
            <w:tcBorders>
              <w:top w:val="single" w:sz="6" w:space="0" w:color="auto"/>
              <w:bottom w:val="single" w:sz="12" w:space="0" w:color="auto"/>
            </w:tcBorders>
          </w:tcPr>
          <w:p w14:paraId="799E52C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w:t>
            </w:r>
          </w:p>
        </w:tc>
      </w:tr>
    </w:tbl>
    <w:p w14:paraId="5738CA0E" w14:textId="77777777" w:rsidR="004D42F9" w:rsidRPr="00D87CAE" w:rsidRDefault="004D42F9" w:rsidP="004D42F9">
      <w:pPr>
        <w:pStyle w:val="Note"/>
      </w:pPr>
      <w:r w:rsidRPr="00D76072">
        <w:t>Note:</w:t>
      </w:r>
    </w:p>
    <w:p w14:paraId="38AC5334" w14:textId="48E12A78" w:rsidR="004D42F9" w:rsidRDefault="004D42F9" w:rsidP="004D42F9">
      <w:pPr>
        <w:pStyle w:val="Note"/>
      </w:pPr>
      <w:r w:rsidRPr="00D76072">
        <w:t>(a)</w:t>
      </w:r>
      <w:r w:rsidRPr="00D76072">
        <w:tab/>
        <w:t>The State</w:t>
      </w:r>
      <w:r w:rsidR="00845934">
        <w:t>’</w:t>
      </w:r>
      <w:r w:rsidRPr="00D76072">
        <w:t xml:space="preserve">s share of the net assets of the </w:t>
      </w:r>
      <w:r>
        <w:t>VicRoads Modernisation</w:t>
      </w:r>
      <w:r w:rsidRPr="00D76072">
        <w:t xml:space="preserve"> joint venture has decreased due to </w:t>
      </w:r>
      <w:r>
        <w:t>dividends received by the State for its share in the joint venture. The decrease is also driven by</w:t>
      </w:r>
      <w:r w:rsidRPr="00D76072">
        <w:t xml:space="preserve"> the</w:t>
      </w:r>
      <w:r>
        <w:t xml:space="preserve"> State</w:t>
      </w:r>
      <w:r w:rsidR="00845934">
        <w:t>’</w:t>
      </w:r>
      <w:r>
        <w:t>s</w:t>
      </w:r>
      <w:r w:rsidRPr="00D76072">
        <w:t xml:space="preserve"> share of the loss after income tax. The joint venture made an accounting loss for the financial year </w:t>
      </w:r>
      <w:r>
        <w:t>largely as a result of</w:t>
      </w:r>
      <w:r w:rsidRPr="00D76072">
        <w:t xml:space="preserve"> depreciation </w:t>
      </w:r>
      <w:r>
        <w:t>and amortisation</w:t>
      </w:r>
      <w:r w:rsidRPr="00D76072">
        <w:t xml:space="preserve"> expense</w:t>
      </w:r>
      <w:r>
        <w:t>s</w:t>
      </w:r>
      <w:r w:rsidRPr="00D76072">
        <w:t xml:space="preserve">. </w:t>
      </w:r>
    </w:p>
    <w:p w14:paraId="4DC5DC9D" w14:textId="77777777" w:rsidR="00845934" w:rsidRDefault="00845934">
      <w:pPr>
        <w:keepLines w:val="0"/>
        <w:rPr>
          <w:rFonts w:asciiTheme="majorHAnsi" w:hAnsiTheme="majorHAnsi" w:cstheme="minorBidi"/>
          <w:b/>
          <w:iCs/>
          <w:sz w:val="20"/>
          <w:szCs w:val="18"/>
        </w:rPr>
      </w:pPr>
      <w:r>
        <w:br w:type="page"/>
      </w:r>
    </w:p>
    <w:p w14:paraId="4600BCBE" w14:textId="468DECE5" w:rsidR="004D42F9" w:rsidRDefault="004D42F9" w:rsidP="004D42F9">
      <w:pPr>
        <w:pStyle w:val="TableHeading"/>
      </w:pPr>
      <w:r w:rsidRPr="007E30F5">
        <w:lastRenderedPageBreak/>
        <w:t xml:space="preserve">Summarised </w:t>
      </w:r>
      <w:r>
        <w:t xml:space="preserve">financial </w:t>
      </w:r>
      <w:r w:rsidRPr="007E30F5">
        <w:t xml:space="preserve">information </w:t>
      </w:r>
      <w:r>
        <w:t>of joint ventures</w:t>
      </w:r>
      <w:r w:rsidRPr="007E30F5">
        <w:t xml:space="preserve"> accounted for using the equity method</w:t>
      </w:r>
      <w:r w:rsidRPr="007E30F5">
        <w:tab/>
        <w:t>($ million</w:t>
      </w:r>
      <w:r w:rsidRPr="000744CF">
        <w:t>)</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Investments in associates and joint operations/Link_JointVentures.xlsx|Table:JV_summarise_balancesheet"/>
      </w:tblPr>
      <w:tblGrid>
        <w:gridCol w:w="3752"/>
        <w:gridCol w:w="902"/>
        <w:gridCol w:w="959"/>
        <w:gridCol w:w="959"/>
        <w:gridCol w:w="959"/>
        <w:gridCol w:w="1200"/>
        <w:gridCol w:w="907"/>
      </w:tblGrid>
      <w:tr w:rsidR="004D42F9" w14:paraId="25EB9FE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2" w:type="dxa"/>
          </w:tcPr>
          <w:p w14:paraId="2555B079" w14:textId="77777777" w:rsidR="004D42F9" w:rsidRDefault="004D42F9">
            <w:pPr>
              <w:keepNext/>
            </w:pPr>
          </w:p>
        </w:tc>
        <w:tc>
          <w:tcPr>
            <w:tcW w:w="1861" w:type="dxa"/>
            <w:gridSpan w:val="2"/>
          </w:tcPr>
          <w:p w14:paraId="635FD79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VicRoads </w:t>
            </w:r>
            <w:r>
              <w:br/>
              <w:t>Modernisation</w:t>
            </w:r>
          </w:p>
        </w:tc>
        <w:tc>
          <w:tcPr>
            <w:tcW w:w="1918" w:type="dxa"/>
            <w:gridSpan w:val="2"/>
          </w:tcPr>
          <w:p w14:paraId="6EDDA5B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Marinus </w:t>
            </w:r>
            <w:r>
              <w:br/>
              <w:t>Link Pty Ltd</w:t>
            </w:r>
          </w:p>
        </w:tc>
        <w:tc>
          <w:tcPr>
            <w:tcW w:w="2107" w:type="dxa"/>
            <w:gridSpan w:val="2"/>
          </w:tcPr>
          <w:p w14:paraId="482A9D91"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Melbourne Renewable Energy Hub (MREH project)</w:t>
            </w:r>
          </w:p>
        </w:tc>
      </w:tr>
      <w:tr w:rsidR="00991200" w14:paraId="5EA0EDF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52" w:type="dxa"/>
          </w:tcPr>
          <w:p w14:paraId="5B629E7C" w14:textId="77777777" w:rsidR="004D42F9" w:rsidRDefault="004D42F9">
            <w:pPr>
              <w:keepNext/>
            </w:pPr>
            <w:r>
              <w:t>Summarised balance sheet as at 30 June</w:t>
            </w:r>
          </w:p>
        </w:tc>
        <w:tc>
          <w:tcPr>
            <w:tcW w:w="902" w:type="dxa"/>
          </w:tcPr>
          <w:p w14:paraId="7166EA0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9" w:type="dxa"/>
          </w:tcPr>
          <w:p w14:paraId="142C75A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59" w:type="dxa"/>
          </w:tcPr>
          <w:p w14:paraId="08AAEF4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59" w:type="dxa"/>
          </w:tcPr>
          <w:p w14:paraId="20AA153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1200" w:type="dxa"/>
          </w:tcPr>
          <w:p w14:paraId="37FCAF1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3D572C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466E92B" w14:textId="77777777">
        <w:tc>
          <w:tcPr>
            <w:cnfStyle w:val="001000000000" w:firstRow="0" w:lastRow="0" w:firstColumn="1" w:lastColumn="0" w:oddVBand="0" w:evenVBand="0" w:oddHBand="0" w:evenHBand="0" w:firstRowFirstColumn="0" w:firstRowLastColumn="0" w:lastRowFirstColumn="0" w:lastRowLastColumn="0"/>
            <w:tcW w:w="3752" w:type="dxa"/>
          </w:tcPr>
          <w:p w14:paraId="5ED62D6A" w14:textId="77777777" w:rsidR="004D42F9" w:rsidRDefault="004D42F9">
            <w:r>
              <w:rPr>
                <w:b/>
              </w:rPr>
              <w:t>Current assets</w:t>
            </w:r>
          </w:p>
        </w:tc>
        <w:tc>
          <w:tcPr>
            <w:tcW w:w="902" w:type="dxa"/>
          </w:tcPr>
          <w:p w14:paraId="5999320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6521B77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598870E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625F2BF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200" w:type="dxa"/>
          </w:tcPr>
          <w:p w14:paraId="7827C1A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283E2D9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505742B" w14:textId="77777777">
        <w:tc>
          <w:tcPr>
            <w:cnfStyle w:val="001000000000" w:firstRow="0" w:lastRow="0" w:firstColumn="1" w:lastColumn="0" w:oddVBand="0" w:evenVBand="0" w:oddHBand="0" w:evenHBand="0" w:firstRowFirstColumn="0" w:firstRowLastColumn="0" w:lastRowFirstColumn="0" w:lastRowLastColumn="0"/>
            <w:tcW w:w="3752" w:type="dxa"/>
          </w:tcPr>
          <w:p w14:paraId="2B0BFA21" w14:textId="77777777" w:rsidR="004D42F9" w:rsidRDefault="004D42F9">
            <w:r>
              <w:t>Cash and cash equivalents</w:t>
            </w:r>
          </w:p>
        </w:tc>
        <w:tc>
          <w:tcPr>
            <w:tcW w:w="902" w:type="dxa"/>
          </w:tcPr>
          <w:p w14:paraId="05877FDC" w14:textId="77777777" w:rsidR="004D42F9" w:rsidRDefault="004D42F9">
            <w:pPr>
              <w:cnfStyle w:val="000000000000" w:firstRow="0" w:lastRow="0" w:firstColumn="0" w:lastColumn="0" w:oddVBand="0" w:evenVBand="0" w:oddHBand="0" w:evenHBand="0" w:firstRowFirstColumn="0" w:firstRowLastColumn="0" w:lastRowFirstColumn="0" w:lastRowLastColumn="0"/>
            </w:pPr>
            <w:r>
              <w:t>60</w:t>
            </w:r>
          </w:p>
        </w:tc>
        <w:tc>
          <w:tcPr>
            <w:tcW w:w="959" w:type="dxa"/>
          </w:tcPr>
          <w:p w14:paraId="3A40D36B" w14:textId="77777777" w:rsidR="004D42F9" w:rsidRDefault="004D42F9">
            <w:pPr>
              <w:cnfStyle w:val="000000000000" w:firstRow="0" w:lastRow="0" w:firstColumn="0" w:lastColumn="0" w:oddVBand="0" w:evenVBand="0" w:oddHBand="0" w:evenHBand="0" w:firstRowFirstColumn="0" w:firstRowLastColumn="0" w:lastRowFirstColumn="0" w:lastRowLastColumn="0"/>
            </w:pPr>
            <w:r>
              <w:t>85</w:t>
            </w:r>
          </w:p>
        </w:tc>
        <w:tc>
          <w:tcPr>
            <w:tcW w:w="959" w:type="dxa"/>
          </w:tcPr>
          <w:p w14:paraId="63FB880F" w14:textId="77777777" w:rsidR="004D42F9" w:rsidRDefault="004D42F9">
            <w:pPr>
              <w:cnfStyle w:val="000000000000" w:firstRow="0" w:lastRow="0" w:firstColumn="0" w:lastColumn="0" w:oddVBand="0" w:evenVBand="0" w:oddHBand="0" w:evenHBand="0" w:firstRowFirstColumn="0" w:firstRowLastColumn="0" w:lastRowFirstColumn="0" w:lastRowLastColumn="0"/>
            </w:pPr>
            <w:r>
              <w:t>88</w:t>
            </w:r>
          </w:p>
        </w:tc>
        <w:tc>
          <w:tcPr>
            <w:tcW w:w="959" w:type="dxa"/>
          </w:tcPr>
          <w:p w14:paraId="439F9FA2" w14:textId="77777777" w:rsidR="004D42F9" w:rsidRDefault="004D42F9">
            <w:pPr>
              <w:cnfStyle w:val="000000000000" w:firstRow="0" w:lastRow="0" w:firstColumn="0" w:lastColumn="0" w:oddVBand="0" w:evenVBand="0" w:oddHBand="0" w:evenHBand="0" w:firstRowFirstColumn="0" w:firstRowLastColumn="0" w:lastRowFirstColumn="0" w:lastRowLastColumn="0"/>
            </w:pPr>
            <w:r>
              <w:t>83</w:t>
            </w:r>
          </w:p>
        </w:tc>
        <w:tc>
          <w:tcPr>
            <w:tcW w:w="1200" w:type="dxa"/>
          </w:tcPr>
          <w:p w14:paraId="5DBBF12D"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0E2037B3" w14:textId="77777777" w:rsidR="004D42F9" w:rsidRDefault="004D42F9">
            <w:pPr>
              <w:cnfStyle w:val="000000000000" w:firstRow="0" w:lastRow="0" w:firstColumn="0" w:lastColumn="0" w:oddVBand="0" w:evenVBand="0" w:oddHBand="0" w:evenHBand="0" w:firstRowFirstColumn="0" w:firstRowLastColumn="0" w:lastRowFirstColumn="0" w:lastRowLastColumn="0"/>
            </w:pPr>
            <w:r>
              <w:t>36</w:t>
            </w:r>
          </w:p>
        </w:tc>
      </w:tr>
      <w:tr w:rsidR="004D42F9" w14:paraId="700A2668" w14:textId="77777777">
        <w:tc>
          <w:tcPr>
            <w:cnfStyle w:val="001000000000" w:firstRow="0" w:lastRow="0" w:firstColumn="1" w:lastColumn="0" w:oddVBand="0" w:evenVBand="0" w:oddHBand="0" w:evenHBand="0" w:firstRowFirstColumn="0" w:firstRowLastColumn="0" w:lastRowFirstColumn="0" w:lastRowLastColumn="0"/>
            <w:tcW w:w="3752" w:type="dxa"/>
          </w:tcPr>
          <w:p w14:paraId="3D465A8E" w14:textId="77777777" w:rsidR="004D42F9" w:rsidRDefault="004D42F9">
            <w:r>
              <w:t>Other current assets (excluding cash)</w:t>
            </w:r>
          </w:p>
        </w:tc>
        <w:tc>
          <w:tcPr>
            <w:tcW w:w="902" w:type="dxa"/>
          </w:tcPr>
          <w:p w14:paraId="4F0CD79F" w14:textId="77777777" w:rsidR="004D42F9" w:rsidRDefault="004D42F9">
            <w:pPr>
              <w:cnfStyle w:val="000000000000" w:firstRow="0" w:lastRow="0" w:firstColumn="0" w:lastColumn="0" w:oddVBand="0" w:evenVBand="0" w:oddHBand="0" w:evenHBand="0" w:firstRowFirstColumn="0" w:firstRowLastColumn="0" w:lastRowFirstColumn="0" w:lastRowLastColumn="0"/>
            </w:pPr>
            <w:r>
              <w:t>63</w:t>
            </w:r>
          </w:p>
        </w:tc>
        <w:tc>
          <w:tcPr>
            <w:tcW w:w="959" w:type="dxa"/>
          </w:tcPr>
          <w:p w14:paraId="3AB8C707" w14:textId="77777777" w:rsidR="004D42F9" w:rsidRDefault="004D42F9">
            <w:pPr>
              <w:cnfStyle w:val="000000000000" w:firstRow="0" w:lastRow="0" w:firstColumn="0" w:lastColumn="0" w:oddVBand="0" w:evenVBand="0" w:oddHBand="0" w:evenHBand="0" w:firstRowFirstColumn="0" w:firstRowLastColumn="0" w:lastRowFirstColumn="0" w:lastRowLastColumn="0"/>
            </w:pPr>
            <w:r>
              <w:t>64</w:t>
            </w:r>
          </w:p>
        </w:tc>
        <w:tc>
          <w:tcPr>
            <w:tcW w:w="959" w:type="dxa"/>
          </w:tcPr>
          <w:p w14:paraId="5DB83055" w14:textId="77777777" w:rsidR="004D42F9" w:rsidRDefault="004D42F9">
            <w:pPr>
              <w:cnfStyle w:val="000000000000" w:firstRow="0" w:lastRow="0" w:firstColumn="0" w:lastColumn="0" w:oddVBand="0" w:evenVBand="0" w:oddHBand="0" w:evenHBand="0" w:firstRowFirstColumn="0" w:firstRowLastColumn="0" w:lastRowFirstColumn="0" w:lastRowLastColumn="0"/>
            </w:pPr>
            <w:r>
              <w:t>86</w:t>
            </w:r>
          </w:p>
        </w:tc>
        <w:tc>
          <w:tcPr>
            <w:tcW w:w="959" w:type="dxa"/>
          </w:tcPr>
          <w:p w14:paraId="7E231015"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200" w:type="dxa"/>
          </w:tcPr>
          <w:p w14:paraId="222CE25A"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2EF45FC0" w14:textId="77777777" w:rsidR="004D42F9" w:rsidRDefault="004D42F9">
            <w:pPr>
              <w:cnfStyle w:val="000000000000" w:firstRow="0" w:lastRow="0" w:firstColumn="0" w:lastColumn="0" w:oddVBand="0" w:evenVBand="0" w:oddHBand="0" w:evenHBand="0" w:firstRowFirstColumn="0" w:firstRowLastColumn="0" w:lastRowFirstColumn="0" w:lastRowLastColumn="0"/>
            </w:pPr>
            <w:r>
              <w:t>21</w:t>
            </w:r>
          </w:p>
        </w:tc>
      </w:tr>
      <w:tr w:rsidR="004D42F9" w14:paraId="0B33A37C" w14:textId="77777777">
        <w:tc>
          <w:tcPr>
            <w:cnfStyle w:val="001000000000" w:firstRow="0" w:lastRow="0" w:firstColumn="1" w:lastColumn="0" w:oddVBand="0" w:evenVBand="0" w:oddHBand="0" w:evenHBand="0" w:firstRowFirstColumn="0" w:firstRowLastColumn="0" w:lastRowFirstColumn="0" w:lastRowLastColumn="0"/>
            <w:tcW w:w="3752" w:type="dxa"/>
          </w:tcPr>
          <w:p w14:paraId="507065EE" w14:textId="77777777" w:rsidR="004D42F9" w:rsidRDefault="004D42F9">
            <w:r>
              <w:rPr>
                <w:b/>
              </w:rPr>
              <w:t>Total current assets</w:t>
            </w:r>
          </w:p>
        </w:tc>
        <w:tc>
          <w:tcPr>
            <w:tcW w:w="902" w:type="dxa"/>
          </w:tcPr>
          <w:p w14:paraId="030348E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123</w:t>
            </w:r>
          </w:p>
        </w:tc>
        <w:tc>
          <w:tcPr>
            <w:tcW w:w="959" w:type="dxa"/>
          </w:tcPr>
          <w:p w14:paraId="3011BAC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149</w:t>
            </w:r>
          </w:p>
        </w:tc>
        <w:tc>
          <w:tcPr>
            <w:tcW w:w="959" w:type="dxa"/>
          </w:tcPr>
          <w:p w14:paraId="33369EB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174</w:t>
            </w:r>
          </w:p>
        </w:tc>
        <w:tc>
          <w:tcPr>
            <w:tcW w:w="959" w:type="dxa"/>
          </w:tcPr>
          <w:p w14:paraId="51729A3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84</w:t>
            </w:r>
          </w:p>
        </w:tc>
        <w:tc>
          <w:tcPr>
            <w:tcW w:w="1200" w:type="dxa"/>
          </w:tcPr>
          <w:p w14:paraId="3493B08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52</w:t>
            </w:r>
          </w:p>
        </w:tc>
        <w:tc>
          <w:tcPr>
            <w:tcW w:w="907" w:type="dxa"/>
          </w:tcPr>
          <w:p w14:paraId="20E84F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57</w:t>
            </w:r>
          </w:p>
        </w:tc>
      </w:tr>
      <w:tr w:rsidR="004D42F9" w14:paraId="15868866" w14:textId="77777777">
        <w:tc>
          <w:tcPr>
            <w:cnfStyle w:val="001000000000" w:firstRow="0" w:lastRow="0" w:firstColumn="1" w:lastColumn="0" w:oddVBand="0" w:evenVBand="0" w:oddHBand="0" w:evenHBand="0" w:firstRowFirstColumn="0" w:firstRowLastColumn="0" w:lastRowFirstColumn="0" w:lastRowLastColumn="0"/>
            <w:tcW w:w="3752" w:type="dxa"/>
            <w:tcBorders>
              <w:bottom w:val="single" w:sz="6" w:space="0" w:color="auto"/>
            </w:tcBorders>
          </w:tcPr>
          <w:p w14:paraId="57138FDB" w14:textId="77777777" w:rsidR="004D42F9" w:rsidRDefault="004D42F9">
            <w:r>
              <w:rPr>
                <w:b/>
              </w:rPr>
              <w:t>Total Non</w:t>
            </w:r>
            <w:r>
              <w:rPr>
                <w:b/>
              </w:rPr>
              <w:noBreakHyphen/>
              <w:t>current assets</w:t>
            </w:r>
          </w:p>
        </w:tc>
        <w:tc>
          <w:tcPr>
            <w:tcW w:w="902" w:type="dxa"/>
            <w:tcBorders>
              <w:bottom w:val="single" w:sz="6" w:space="0" w:color="auto"/>
            </w:tcBorders>
          </w:tcPr>
          <w:p w14:paraId="2482AD2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8 689</w:t>
            </w:r>
          </w:p>
        </w:tc>
        <w:tc>
          <w:tcPr>
            <w:tcW w:w="959" w:type="dxa"/>
            <w:tcBorders>
              <w:bottom w:val="single" w:sz="6" w:space="0" w:color="auto"/>
            </w:tcBorders>
          </w:tcPr>
          <w:p w14:paraId="4439C74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8 925</w:t>
            </w:r>
          </w:p>
        </w:tc>
        <w:tc>
          <w:tcPr>
            <w:tcW w:w="959" w:type="dxa"/>
            <w:tcBorders>
              <w:bottom w:val="single" w:sz="6" w:space="0" w:color="auto"/>
            </w:tcBorders>
          </w:tcPr>
          <w:p w14:paraId="779DB56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293</w:t>
            </w:r>
          </w:p>
        </w:tc>
        <w:tc>
          <w:tcPr>
            <w:tcW w:w="959" w:type="dxa"/>
            <w:tcBorders>
              <w:bottom w:val="single" w:sz="6" w:space="0" w:color="auto"/>
            </w:tcBorders>
          </w:tcPr>
          <w:p w14:paraId="7845BB8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128</w:t>
            </w:r>
          </w:p>
        </w:tc>
        <w:tc>
          <w:tcPr>
            <w:tcW w:w="1200" w:type="dxa"/>
            <w:tcBorders>
              <w:bottom w:val="single" w:sz="6" w:space="0" w:color="auto"/>
            </w:tcBorders>
          </w:tcPr>
          <w:p w14:paraId="263865B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898</w:t>
            </w:r>
          </w:p>
        </w:tc>
        <w:tc>
          <w:tcPr>
            <w:tcW w:w="907" w:type="dxa"/>
            <w:tcBorders>
              <w:bottom w:val="single" w:sz="6" w:space="0" w:color="auto"/>
            </w:tcBorders>
          </w:tcPr>
          <w:p w14:paraId="5CA3DDF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373</w:t>
            </w:r>
          </w:p>
        </w:tc>
      </w:tr>
      <w:tr w:rsidR="004D42F9" w14:paraId="314C4708" w14:textId="77777777">
        <w:tc>
          <w:tcPr>
            <w:cnfStyle w:val="001000000000" w:firstRow="0" w:lastRow="0" w:firstColumn="1" w:lastColumn="0" w:oddVBand="0" w:evenVBand="0" w:oddHBand="0" w:evenHBand="0" w:firstRowFirstColumn="0" w:firstRowLastColumn="0" w:lastRowFirstColumn="0" w:lastRowLastColumn="0"/>
            <w:tcW w:w="3752" w:type="dxa"/>
            <w:tcBorders>
              <w:top w:val="single" w:sz="6" w:space="0" w:color="auto"/>
              <w:bottom w:val="single" w:sz="6" w:space="0" w:color="auto"/>
            </w:tcBorders>
          </w:tcPr>
          <w:p w14:paraId="652B71B7" w14:textId="77777777" w:rsidR="004D42F9" w:rsidRDefault="004D42F9">
            <w:r>
              <w:rPr>
                <w:b/>
              </w:rPr>
              <w:t>Total assets</w:t>
            </w:r>
          </w:p>
        </w:tc>
        <w:tc>
          <w:tcPr>
            <w:tcW w:w="902" w:type="dxa"/>
            <w:tcBorders>
              <w:top w:val="single" w:sz="6" w:space="0" w:color="auto"/>
              <w:bottom w:val="single" w:sz="6" w:space="0" w:color="auto"/>
            </w:tcBorders>
          </w:tcPr>
          <w:p w14:paraId="4EB6705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8 811</w:t>
            </w:r>
          </w:p>
        </w:tc>
        <w:tc>
          <w:tcPr>
            <w:tcW w:w="959" w:type="dxa"/>
            <w:tcBorders>
              <w:top w:val="single" w:sz="6" w:space="0" w:color="auto"/>
              <w:bottom w:val="single" w:sz="6" w:space="0" w:color="auto"/>
            </w:tcBorders>
          </w:tcPr>
          <w:p w14:paraId="47FFB06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9 074</w:t>
            </w:r>
          </w:p>
        </w:tc>
        <w:tc>
          <w:tcPr>
            <w:tcW w:w="959" w:type="dxa"/>
            <w:tcBorders>
              <w:top w:val="single" w:sz="6" w:space="0" w:color="auto"/>
              <w:bottom w:val="single" w:sz="6" w:space="0" w:color="auto"/>
            </w:tcBorders>
          </w:tcPr>
          <w:p w14:paraId="371F95F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467</w:t>
            </w:r>
          </w:p>
        </w:tc>
        <w:tc>
          <w:tcPr>
            <w:tcW w:w="959" w:type="dxa"/>
            <w:tcBorders>
              <w:top w:val="single" w:sz="6" w:space="0" w:color="auto"/>
              <w:bottom w:val="single" w:sz="6" w:space="0" w:color="auto"/>
            </w:tcBorders>
          </w:tcPr>
          <w:p w14:paraId="51C82AA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211</w:t>
            </w:r>
          </w:p>
        </w:tc>
        <w:tc>
          <w:tcPr>
            <w:tcW w:w="1200" w:type="dxa"/>
            <w:tcBorders>
              <w:top w:val="single" w:sz="6" w:space="0" w:color="auto"/>
              <w:bottom w:val="single" w:sz="6" w:space="0" w:color="auto"/>
            </w:tcBorders>
          </w:tcPr>
          <w:p w14:paraId="0719E67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950</w:t>
            </w:r>
          </w:p>
        </w:tc>
        <w:tc>
          <w:tcPr>
            <w:tcW w:w="907" w:type="dxa"/>
            <w:tcBorders>
              <w:top w:val="single" w:sz="6" w:space="0" w:color="auto"/>
              <w:bottom w:val="single" w:sz="6" w:space="0" w:color="auto"/>
            </w:tcBorders>
          </w:tcPr>
          <w:p w14:paraId="07AA74B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430</w:t>
            </w:r>
          </w:p>
        </w:tc>
      </w:tr>
      <w:tr w:rsidR="004D42F9" w14:paraId="0106EA18" w14:textId="77777777">
        <w:tc>
          <w:tcPr>
            <w:cnfStyle w:val="001000000000" w:firstRow="0" w:lastRow="0" w:firstColumn="1" w:lastColumn="0" w:oddVBand="0" w:evenVBand="0" w:oddHBand="0" w:evenHBand="0" w:firstRowFirstColumn="0" w:firstRowLastColumn="0" w:lastRowFirstColumn="0" w:lastRowLastColumn="0"/>
            <w:tcW w:w="3752" w:type="dxa"/>
            <w:tcBorders>
              <w:top w:val="single" w:sz="6" w:space="0" w:color="auto"/>
            </w:tcBorders>
          </w:tcPr>
          <w:p w14:paraId="564DBA5F" w14:textId="77777777" w:rsidR="004D42F9" w:rsidRDefault="004D42F9">
            <w:r>
              <w:rPr>
                <w:b/>
              </w:rPr>
              <w:t>Current liabilities</w:t>
            </w:r>
          </w:p>
        </w:tc>
        <w:tc>
          <w:tcPr>
            <w:tcW w:w="902" w:type="dxa"/>
            <w:tcBorders>
              <w:top w:val="single" w:sz="6" w:space="0" w:color="auto"/>
            </w:tcBorders>
          </w:tcPr>
          <w:p w14:paraId="7EF3BEC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Borders>
              <w:top w:val="single" w:sz="6" w:space="0" w:color="auto"/>
            </w:tcBorders>
          </w:tcPr>
          <w:p w14:paraId="67E9CFB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Borders>
              <w:top w:val="single" w:sz="6" w:space="0" w:color="auto"/>
            </w:tcBorders>
          </w:tcPr>
          <w:p w14:paraId="0FD1DAE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Borders>
              <w:top w:val="single" w:sz="6" w:space="0" w:color="auto"/>
            </w:tcBorders>
          </w:tcPr>
          <w:p w14:paraId="00C861D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200" w:type="dxa"/>
            <w:tcBorders>
              <w:top w:val="single" w:sz="6" w:space="0" w:color="auto"/>
            </w:tcBorders>
          </w:tcPr>
          <w:p w14:paraId="225EEB6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E795D8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4E1F8BE" w14:textId="77777777">
        <w:tc>
          <w:tcPr>
            <w:cnfStyle w:val="001000000000" w:firstRow="0" w:lastRow="0" w:firstColumn="1" w:lastColumn="0" w:oddVBand="0" w:evenVBand="0" w:oddHBand="0" w:evenHBand="0" w:firstRowFirstColumn="0" w:firstRowLastColumn="0" w:lastRowFirstColumn="0" w:lastRowLastColumn="0"/>
            <w:tcW w:w="3752" w:type="dxa"/>
          </w:tcPr>
          <w:p w14:paraId="014F39DB" w14:textId="77777777" w:rsidR="004D42F9" w:rsidRDefault="004D42F9">
            <w:r>
              <w:t>Financial liabilities (excluding payables, provisions)</w:t>
            </w:r>
          </w:p>
        </w:tc>
        <w:tc>
          <w:tcPr>
            <w:tcW w:w="902" w:type="dxa"/>
          </w:tcPr>
          <w:p w14:paraId="576B38F3"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59" w:type="dxa"/>
          </w:tcPr>
          <w:p w14:paraId="47749A51" w14:textId="77777777" w:rsidR="004D42F9" w:rsidRDefault="004D42F9">
            <w:pPr>
              <w:cnfStyle w:val="000000000000" w:firstRow="0" w:lastRow="0" w:firstColumn="0" w:lastColumn="0" w:oddVBand="0" w:evenVBand="0" w:oddHBand="0" w:evenHBand="0" w:firstRowFirstColumn="0" w:firstRowLastColumn="0" w:lastRowFirstColumn="0" w:lastRowLastColumn="0"/>
            </w:pPr>
            <w:r>
              <w:t>20</w:t>
            </w:r>
          </w:p>
        </w:tc>
        <w:tc>
          <w:tcPr>
            <w:tcW w:w="959" w:type="dxa"/>
          </w:tcPr>
          <w:p w14:paraId="5F50E8AB" w14:textId="77777777" w:rsidR="004D42F9" w:rsidRDefault="004D42F9">
            <w:pPr>
              <w:cnfStyle w:val="000000000000" w:firstRow="0" w:lastRow="0" w:firstColumn="0" w:lastColumn="0" w:oddVBand="0" w:evenVBand="0" w:oddHBand="0" w:evenHBand="0" w:firstRowFirstColumn="0" w:firstRowLastColumn="0" w:lastRowFirstColumn="0" w:lastRowLastColumn="0"/>
            </w:pPr>
            <w:r>
              <w:t>11</w:t>
            </w:r>
          </w:p>
        </w:tc>
        <w:tc>
          <w:tcPr>
            <w:tcW w:w="959" w:type="dxa"/>
          </w:tcPr>
          <w:p w14:paraId="3DFAE0C2"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1200" w:type="dxa"/>
          </w:tcPr>
          <w:p w14:paraId="5C8D36E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07F7616"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5DC30B4D" w14:textId="77777777">
        <w:tc>
          <w:tcPr>
            <w:cnfStyle w:val="001000000000" w:firstRow="0" w:lastRow="0" w:firstColumn="1" w:lastColumn="0" w:oddVBand="0" w:evenVBand="0" w:oddHBand="0" w:evenHBand="0" w:firstRowFirstColumn="0" w:firstRowLastColumn="0" w:lastRowFirstColumn="0" w:lastRowLastColumn="0"/>
            <w:tcW w:w="3752" w:type="dxa"/>
          </w:tcPr>
          <w:p w14:paraId="0C106732" w14:textId="77777777" w:rsidR="004D42F9" w:rsidRDefault="004D42F9">
            <w:r>
              <w:t>Other non</w:t>
            </w:r>
            <w:r>
              <w:noBreakHyphen/>
              <w:t>financial liabilities (including payables, provisions)</w:t>
            </w:r>
          </w:p>
        </w:tc>
        <w:tc>
          <w:tcPr>
            <w:tcW w:w="902" w:type="dxa"/>
          </w:tcPr>
          <w:p w14:paraId="6C53984B" w14:textId="77777777" w:rsidR="004D42F9" w:rsidRDefault="004D42F9">
            <w:pPr>
              <w:cnfStyle w:val="000000000000" w:firstRow="0" w:lastRow="0" w:firstColumn="0" w:lastColumn="0" w:oddVBand="0" w:evenVBand="0" w:oddHBand="0" w:evenHBand="0" w:firstRowFirstColumn="0" w:firstRowLastColumn="0" w:lastRowFirstColumn="0" w:lastRowLastColumn="0"/>
            </w:pPr>
            <w:r>
              <w:t>85</w:t>
            </w:r>
          </w:p>
        </w:tc>
        <w:tc>
          <w:tcPr>
            <w:tcW w:w="959" w:type="dxa"/>
          </w:tcPr>
          <w:p w14:paraId="5E0658C0" w14:textId="77777777" w:rsidR="004D42F9" w:rsidRDefault="004D42F9">
            <w:pPr>
              <w:cnfStyle w:val="000000000000" w:firstRow="0" w:lastRow="0" w:firstColumn="0" w:lastColumn="0" w:oddVBand="0" w:evenVBand="0" w:oddHBand="0" w:evenHBand="0" w:firstRowFirstColumn="0" w:firstRowLastColumn="0" w:lastRowFirstColumn="0" w:lastRowLastColumn="0"/>
            </w:pPr>
            <w:r>
              <w:t>139</w:t>
            </w:r>
          </w:p>
        </w:tc>
        <w:tc>
          <w:tcPr>
            <w:tcW w:w="959" w:type="dxa"/>
          </w:tcPr>
          <w:p w14:paraId="34879FFB"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59" w:type="dxa"/>
          </w:tcPr>
          <w:p w14:paraId="52113F0B"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1200" w:type="dxa"/>
          </w:tcPr>
          <w:p w14:paraId="7AAC612F" w14:textId="77777777" w:rsidR="004D42F9" w:rsidRDefault="004D42F9">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42194042" w14:textId="77777777" w:rsidR="004D42F9" w:rsidRDefault="004D42F9">
            <w:pPr>
              <w:cnfStyle w:val="000000000000" w:firstRow="0" w:lastRow="0" w:firstColumn="0" w:lastColumn="0" w:oddVBand="0" w:evenVBand="0" w:oddHBand="0" w:evenHBand="0" w:firstRowFirstColumn="0" w:firstRowLastColumn="0" w:lastRowFirstColumn="0" w:lastRowLastColumn="0"/>
            </w:pPr>
            <w:r>
              <w:t>80</w:t>
            </w:r>
          </w:p>
        </w:tc>
      </w:tr>
      <w:tr w:rsidR="004D42F9" w14:paraId="19CF507A" w14:textId="77777777">
        <w:tc>
          <w:tcPr>
            <w:cnfStyle w:val="001000000000" w:firstRow="0" w:lastRow="0" w:firstColumn="1" w:lastColumn="0" w:oddVBand="0" w:evenVBand="0" w:oddHBand="0" w:evenHBand="0" w:firstRowFirstColumn="0" w:firstRowLastColumn="0" w:lastRowFirstColumn="0" w:lastRowLastColumn="0"/>
            <w:tcW w:w="3752" w:type="dxa"/>
          </w:tcPr>
          <w:p w14:paraId="1E957552" w14:textId="77777777" w:rsidR="004D42F9" w:rsidRDefault="004D42F9">
            <w:r>
              <w:rPr>
                <w:b/>
              </w:rPr>
              <w:t>Total current liabilities</w:t>
            </w:r>
          </w:p>
        </w:tc>
        <w:tc>
          <w:tcPr>
            <w:tcW w:w="902" w:type="dxa"/>
          </w:tcPr>
          <w:p w14:paraId="66C2974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125</w:t>
            </w:r>
          </w:p>
        </w:tc>
        <w:tc>
          <w:tcPr>
            <w:tcW w:w="959" w:type="dxa"/>
          </w:tcPr>
          <w:p w14:paraId="5232DD2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158</w:t>
            </w:r>
          </w:p>
        </w:tc>
        <w:tc>
          <w:tcPr>
            <w:tcW w:w="959" w:type="dxa"/>
          </w:tcPr>
          <w:p w14:paraId="045C0BC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w:t>
            </w:r>
          </w:p>
        </w:tc>
        <w:tc>
          <w:tcPr>
            <w:tcW w:w="959" w:type="dxa"/>
          </w:tcPr>
          <w:p w14:paraId="5A3B76A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44</w:t>
            </w:r>
          </w:p>
        </w:tc>
        <w:tc>
          <w:tcPr>
            <w:tcW w:w="1200" w:type="dxa"/>
          </w:tcPr>
          <w:p w14:paraId="3643BD7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w:t>
            </w:r>
          </w:p>
        </w:tc>
        <w:tc>
          <w:tcPr>
            <w:tcW w:w="907" w:type="dxa"/>
          </w:tcPr>
          <w:p w14:paraId="5FC814B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81</w:t>
            </w:r>
          </w:p>
        </w:tc>
      </w:tr>
      <w:tr w:rsidR="004D42F9" w14:paraId="52A2F612" w14:textId="77777777">
        <w:tc>
          <w:tcPr>
            <w:cnfStyle w:val="001000000000" w:firstRow="0" w:lastRow="0" w:firstColumn="1" w:lastColumn="0" w:oddVBand="0" w:evenVBand="0" w:oddHBand="0" w:evenHBand="0" w:firstRowFirstColumn="0" w:firstRowLastColumn="0" w:lastRowFirstColumn="0" w:lastRowLastColumn="0"/>
            <w:tcW w:w="3752" w:type="dxa"/>
          </w:tcPr>
          <w:p w14:paraId="414F214D" w14:textId="77777777" w:rsidR="004D42F9" w:rsidRDefault="004D42F9">
            <w:r>
              <w:rPr>
                <w:b/>
              </w:rPr>
              <w:t>Non</w:t>
            </w:r>
            <w:r>
              <w:rPr>
                <w:b/>
              </w:rPr>
              <w:noBreakHyphen/>
              <w:t>current liabilities</w:t>
            </w:r>
          </w:p>
        </w:tc>
        <w:tc>
          <w:tcPr>
            <w:tcW w:w="902" w:type="dxa"/>
          </w:tcPr>
          <w:p w14:paraId="13BD5DA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62BF22A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59A1C0C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59" w:type="dxa"/>
          </w:tcPr>
          <w:p w14:paraId="2D6D772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200" w:type="dxa"/>
          </w:tcPr>
          <w:p w14:paraId="5B80B30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3605B7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91ED059" w14:textId="77777777">
        <w:tc>
          <w:tcPr>
            <w:cnfStyle w:val="001000000000" w:firstRow="0" w:lastRow="0" w:firstColumn="1" w:lastColumn="0" w:oddVBand="0" w:evenVBand="0" w:oddHBand="0" w:evenHBand="0" w:firstRowFirstColumn="0" w:firstRowLastColumn="0" w:lastRowFirstColumn="0" w:lastRowLastColumn="0"/>
            <w:tcW w:w="3752" w:type="dxa"/>
          </w:tcPr>
          <w:p w14:paraId="50C6EFC6" w14:textId="77777777" w:rsidR="004D42F9" w:rsidRDefault="004D42F9">
            <w:r>
              <w:t>Financial liabilities (excluding payables, provisions)</w:t>
            </w:r>
          </w:p>
        </w:tc>
        <w:tc>
          <w:tcPr>
            <w:tcW w:w="902" w:type="dxa"/>
          </w:tcPr>
          <w:p w14:paraId="7AE95398" w14:textId="77777777" w:rsidR="004D42F9" w:rsidRDefault="004D42F9">
            <w:pPr>
              <w:cnfStyle w:val="000000000000" w:firstRow="0" w:lastRow="0" w:firstColumn="0" w:lastColumn="0" w:oddVBand="0" w:evenVBand="0" w:oddHBand="0" w:evenHBand="0" w:firstRowFirstColumn="0" w:firstRowLastColumn="0" w:lastRowFirstColumn="0" w:lastRowLastColumn="0"/>
            </w:pPr>
            <w:r>
              <w:t>3 454</w:t>
            </w:r>
          </w:p>
        </w:tc>
        <w:tc>
          <w:tcPr>
            <w:tcW w:w="959" w:type="dxa"/>
          </w:tcPr>
          <w:p w14:paraId="6438F829" w14:textId="77777777" w:rsidR="004D42F9" w:rsidRDefault="004D42F9">
            <w:pPr>
              <w:cnfStyle w:val="000000000000" w:firstRow="0" w:lastRow="0" w:firstColumn="0" w:lastColumn="0" w:oddVBand="0" w:evenVBand="0" w:oddHBand="0" w:evenHBand="0" w:firstRowFirstColumn="0" w:firstRowLastColumn="0" w:lastRowFirstColumn="0" w:lastRowLastColumn="0"/>
            </w:pPr>
            <w:r>
              <w:t>3 217</w:t>
            </w:r>
          </w:p>
        </w:tc>
        <w:tc>
          <w:tcPr>
            <w:tcW w:w="959" w:type="dxa"/>
          </w:tcPr>
          <w:p w14:paraId="7895262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0CE62155"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c>
          <w:tcPr>
            <w:tcW w:w="1200" w:type="dxa"/>
          </w:tcPr>
          <w:p w14:paraId="739967F5" w14:textId="77777777" w:rsidR="004D42F9" w:rsidRDefault="004D42F9">
            <w:pPr>
              <w:cnfStyle w:val="000000000000" w:firstRow="0" w:lastRow="0" w:firstColumn="0" w:lastColumn="0" w:oddVBand="0" w:evenVBand="0" w:oddHBand="0" w:evenHBand="0" w:firstRowFirstColumn="0" w:firstRowLastColumn="0" w:lastRowFirstColumn="0" w:lastRowLastColumn="0"/>
            </w:pPr>
            <w:r>
              <w:t>81</w:t>
            </w:r>
          </w:p>
        </w:tc>
        <w:tc>
          <w:tcPr>
            <w:tcW w:w="907" w:type="dxa"/>
          </w:tcPr>
          <w:p w14:paraId="5F36170A" w14:textId="77777777" w:rsidR="004D42F9" w:rsidRDefault="004D42F9">
            <w:pPr>
              <w:cnfStyle w:val="000000000000" w:firstRow="0" w:lastRow="0" w:firstColumn="0" w:lastColumn="0" w:oddVBand="0" w:evenVBand="0" w:oddHBand="0" w:evenHBand="0" w:firstRowFirstColumn="0" w:firstRowLastColumn="0" w:lastRowFirstColumn="0" w:lastRowLastColumn="0"/>
            </w:pPr>
            <w:r>
              <w:t>50</w:t>
            </w:r>
          </w:p>
        </w:tc>
      </w:tr>
      <w:tr w:rsidR="004D42F9" w14:paraId="57158C38" w14:textId="77777777">
        <w:tc>
          <w:tcPr>
            <w:cnfStyle w:val="001000000000" w:firstRow="0" w:lastRow="0" w:firstColumn="1" w:lastColumn="0" w:oddVBand="0" w:evenVBand="0" w:oddHBand="0" w:evenHBand="0" w:firstRowFirstColumn="0" w:firstRowLastColumn="0" w:lastRowFirstColumn="0" w:lastRowLastColumn="0"/>
            <w:tcW w:w="3752" w:type="dxa"/>
          </w:tcPr>
          <w:p w14:paraId="6E2BA784" w14:textId="77777777" w:rsidR="004D42F9" w:rsidRDefault="004D42F9">
            <w:r>
              <w:t>Other non</w:t>
            </w:r>
            <w:r>
              <w:noBreakHyphen/>
              <w:t>financial liabilities (including payables, provisions)</w:t>
            </w:r>
          </w:p>
        </w:tc>
        <w:tc>
          <w:tcPr>
            <w:tcW w:w="902" w:type="dxa"/>
          </w:tcPr>
          <w:p w14:paraId="1BC67435"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959" w:type="dxa"/>
          </w:tcPr>
          <w:p w14:paraId="2764D578"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c>
          <w:tcPr>
            <w:tcW w:w="959" w:type="dxa"/>
          </w:tcPr>
          <w:p w14:paraId="625E299E" w14:textId="77777777" w:rsidR="004D42F9" w:rsidRDefault="004D42F9">
            <w:pPr>
              <w:cnfStyle w:val="000000000000" w:firstRow="0" w:lastRow="0" w:firstColumn="0" w:lastColumn="0" w:oddVBand="0" w:evenVBand="0" w:oddHBand="0" w:evenHBand="0" w:firstRowFirstColumn="0" w:firstRowLastColumn="0" w:lastRowFirstColumn="0" w:lastRowLastColumn="0"/>
            </w:pPr>
            <w:r>
              <w:t>24</w:t>
            </w:r>
          </w:p>
        </w:tc>
        <w:tc>
          <w:tcPr>
            <w:tcW w:w="959" w:type="dxa"/>
          </w:tcPr>
          <w:p w14:paraId="516F881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200" w:type="dxa"/>
          </w:tcPr>
          <w:p w14:paraId="3EC581B9" w14:textId="77777777" w:rsidR="004D42F9" w:rsidRDefault="004D42F9">
            <w:pPr>
              <w:cnfStyle w:val="000000000000" w:firstRow="0" w:lastRow="0" w:firstColumn="0" w:lastColumn="0" w:oddVBand="0" w:evenVBand="0" w:oddHBand="0" w:evenHBand="0" w:firstRowFirstColumn="0" w:firstRowLastColumn="0" w:lastRowFirstColumn="0" w:lastRowLastColumn="0"/>
            </w:pPr>
            <w:r>
              <w:t>308</w:t>
            </w:r>
          </w:p>
        </w:tc>
        <w:tc>
          <w:tcPr>
            <w:tcW w:w="907" w:type="dxa"/>
          </w:tcPr>
          <w:p w14:paraId="3A0E7119" w14:textId="77777777" w:rsidR="004D42F9" w:rsidRDefault="004D42F9">
            <w:pPr>
              <w:cnfStyle w:val="000000000000" w:firstRow="0" w:lastRow="0" w:firstColumn="0" w:lastColumn="0" w:oddVBand="0" w:evenVBand="0" w:oddHBand="0" w:evenHBand="0" w:firstRowFirstColumn="0" w:firstRowLastColumn="0" w:lastRowFirstColumn="0" w:lastRowLastColumn="0"/>
            </w:pPr>
            <w:r>
              <w:t>97</w:t>
            </w:r>
          </w:p>
        </w:tc>
      </w:tr>
      <w:tr w:rsidR="004D42F9" w14:paraId="2607DF01" w14:textId="77777777">
        <w:tc>
          <w:tcPr>
            <w:cnfStyle w:val="001000000000" w:firstRow="0" w:lastRow="0" w:firstColumn="1" w:lastColumn="0" w:oddVBand="0" w:evenVBand="0" w:oddHBand="0" w:evenHBand="0" w:firstRowFirstColumn="0" w:firstRowLastColumn="0" w:lastRowFirstColumn="0" w:lastRowLastColumn="0"/>
            <w:tcW w:w="3752" w:type="dxa"/>
            <w:tcBorders>
              <w:bottom w:val="single" w:sz="6" w:space="0" w:color="auto"/>
            </w:tcBorders>
          </w:tcPr>
          <w:p w14:paraId="70B12CC3" w14:textId="77777777" w:rsidR="004D42F9" w:rsidRDefault="004D42F9">
            <w:r>
              <w:rPr>
                <w:b/>
              </w:rPr>
              <w:t>Total non</w:t>
            </w:r>
            <w:r>
              <w:rPr>
                <w:b/>
              </w:rPr>
              <w:noBreakHyphen/>
              <w:t>current liabilities</w:t>
            </w:r>
          </w:p>
        </w:tc>
        <w:tc>
          <w:tcPr>
            <w:tcW w:w="902" w:type="dxa"/>
            <w:tcBorders>
              <w:bottom w:val="single" w:sz="6" w:space="0" w:color="auto"/>
            </w:tcBorders>
          </w:tcPr>
          <w:p w14:paraId="580F2EA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3 462</w:t>
            </w:r>
          </w:p>
        </w:tc>
        <w:tc>
          <w:tcPr>
            <w:tcW w:w="959" w:type="dxa"/>
            <w:tcBorders>
              <w:bottom w:val="single" w:sz="6" w:space="0" w:color="auto"/>
            </w:tcBorders>
          </w:tcPr>
          <w:p w14:paraId="597E63C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3 238</w:t>
            </w:r>
          </w:p>
        </w:tc>
        <w:tc>
          <w:tcPr>
            <w:tcW w:w="959" w:type="dxa"/>
            <w:tcBorders>
              <w:bottom w:val="single" w:sz="6" w:space="0" w:color="auto"/>
            </w:tcBorders>
          </w:tcPr>
          <w:p w14:paraId="60C7E88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24</w:t>
            </w:r>
          </w:p>
        </w:tc>
        <w:tc>
          <w:tcPr>
            <w:tcW w:w="959" w:type="dxa"/>
            <w:tcBorders>
              <w:bottom w:val="single" w:sz="6" w:space="0" w:color="auto"/>
            </w:tcBorders>
          </w:tcPr>
          <w:p w14:paraId="70310F5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13</w:t>
            </w:r>
          </w:p>
        </w:tc>
        <w:tc>
          <w:tcPr>
            <w:tcW w:w="1200" w:type="dxa"/>
            <w:tcBorders>
              <w:bottom w:val="single" w:sz="6" w:space="0" w:color="auto"/>
            </w:tcBorders>
          </w:tcPr>
          <w:p w14:paraId="252727B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389</w:t>
            </w:r>
          </w:p>
        </w:tc>
        <w:tc>
          <w:tcPr>
            <w:tcW w:w="907" w:type="dxa"/>
            <w:tcBorders>
              <w:bottom w:val="single" w:sz="6" w:space="0" w:color="auto"/>
            </w:tcBorders>
          </w:tcPr>
          <w:p w14:paraId="6A2B9BE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148</w:t>
            </w:r>
          </w:p>
        </w:tc>
      </w:tr>
      <w:tr w:rsidR="004D42F9" w14:paraId="1D898601" w14:textId="77777777">
        <w:tc>
          <w:tcPr>
            <w:cnfStyle w:val="001000000000" w:firstRow="0" w:lastRow="0" w:firstColumn="1" w:lastColumn="0" w:oddVBand="0" w:evenVBand="0" w:oddHBand="0" w:evenHBand="0" w:firstRowFirstColumn="0" w:firstRowLastColumn="0" w:lastRowFirstColumn="0" w:lastRowLastColumn="0"/>
            <w:tcW w:w="3752" w:type="dxa"/>
            <w:tcBorders>
              <w:top w:val="single" w:sz="6" w:space="0" w:color="auto"/>
              <w:bottom w:val="single" w:sz="6" w:space="0" w:color="auto"/>
            </w:tcBorders>
          </w:tcPr>
          <w:p w14:paraId="17030228" w14:textId="77777777" w:rsidR="004D42F9" w:rsidRDefault="004D42F9">
            <w:r>
              <w:rPr>
                <w:b/>
              </w:rPr>
              <w:t>Total liabilities</w:t>
            </w:r>
          </w:p>
        </w:tc>
        <w:tc>
          <w:tcPr>
            <w:tcW w:w="902" w:type="dxa"/>
            <w:tcBorders>
              <w:top w:val="single" w:sz="6" w:space="0" w:color="auto"/>
              <w:bottom w:val="single" w:sz="6" w:space="0" w:color="auto"/>
            </w:tcBorders>
          </w:tcPr>
          <w:p w14:paraId="697675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3 586</w:t>
            </w:r>
          </w:p>
        </w:tc>
        <w:tc>
          <w:tcPr>
            <w:tcW w:w="959" w:type="dxa"/>
            <w:tcBorders>
              <w:top w:val="single" w:sz="6" w:space="0" w:color="auto"/>
              <w:bottom w:val="single" w:sz="6" w:space="0" w:color="auto"/>
            </w:tcBorders>
          </w:tcPr>
          <w:p w14:paraId="0081AA3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3 397</w:t>
            </w:r>
          </w:p>
        </w:tc>
        <w:tc>
          <w:tcPr>
            <w:tcW w:w="959" w:type="dxa"/>
            <w:tcBorders>
              <w:top w:val="single" w:sz="6" w:space="0" w:color="auto"/>
              <w:bottom w:val="single" w:sz="6" w:space="0" w:color="auto"/>
            </w:tcBorders>
          </w:tcPr>
          <w:p w14:paraId="096C88C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50</w:t>
            </w:r>
          </w:p>
        </w:tc>
        <w:tc>
          <w:tcPr>
            <w:tcW w:w="959" w:type="dxa"/>
            <w:tcBorders>
              <w:top w:val="single" w:sz="6" w:space="0" w:color="auto"/>
              <w:bottom w:val="single" w:sz="6" w:space="0" w:color="auto"/>
            </w:tcBorders>
          </w:tcPr>
          <w:p w14:paraId="23C810F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57</w:t>
            </w:r>
          </w:p>
        </w:tc>
        <w:tc>
          <w:tcPr>
            <w:tcW w:w="1200" w:type="dxa"/>
            <w:tcBorders>
              <w:top w:val="single" w:sz="6" w:space="0" w:color="auto"/>
              <w:bottom w:val="single" w:sz="6" w:space="0" w:color="auto"/>
            </w:tcBorders>
          </w:tcPr>
          <w:p w14:paraId="4D407EF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415</w:t>
            </w:r>
          </w:p>
        </w:tc>
        <w:tc>
          <w:tcPr>
            <w:tcW w:w="907" w:type="dxa"/>
            <w:tcBorders>
              <w:top w:val="single" w:sz="6" w:space="0" w:color="auto"/>
              <w:bottom w:val="single" w:sz="6" w:space="0" w:color="auto"/>
            </w:tcBorders>
          </w:tcPr>
          <w:p w14:paraId="3E5352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229</w:t>
            </w:r>
          </w:p>
        </w:tc>
      </w:tr>
      <w:tr w:rsidR="004D42F9" w14:paraId="60649C5B" w14:textId="77777777">
        <w:tc>
          <w:tcPr>
            <w:cnfStyle w:val="001000000000" w:firstRow="0" w:lastRow="0" w:firstColumn="1" w:lastColumn="0" w:oddVBand="0" w:evenVBand="0" w:oddHBand="0" w:evenHBand="0" w:firstRowFirstColumn="0" w:firstRowLastColumn="0" w:lastRowFirstColumn="0" w:lastRowLastColumn="0"/>
            <w:tcW w:w="3752" w:type="dxa"/>
            <w:tcBorders>
              <w:top w:val="single" w:sz="6" w:space="0" w:color="auto"/>
              <w:bottom w:val="single" w:sz="12" w:space="0" w:color="auto"/>
            </w:tcBorders>
          </w:tcPr>
          <w:p w14:paraId="3FE69E05" w14:textId="77777777" w:rsidR="004D42F9" w:rsidRDefault="004D42F9">
            <w:r>
              <w:rPr>
                <w:b/>
              </w:rPr>
              <w:t>Net assets</w:t>
            </w:r>
          </w:p>
        </w:tc>
        <w:tc>
          <w:tcPr>
            <w:tcW w:w="902" w:type="dxa"/>
            <w:tcBorders>
              <w:top w:val="single" w:sz="6" w:space="0" w:color="auto"/>
              <w:bottom w:val="single" w:sz="12" w:space="0" w:color="auto"/>
            </w:tcBorders>
          </w:tcPr>
          <w:p w14:paraId="0D48EE8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5 225</w:t>
            </w:r>
          </w:p>
        </w:tc>
        <w:tc>
          <w:tcPr>
            <w:tcW w:w="959" w:type="dxa"/>
            <w:tcBorders>
              <w:top w:val="single" w:sz="6" w:space="0" w:color="auto"/>
              <w:bottom w:val="single" w:sz="12" w:space="0" w:color="auto"/>
            </w:tcBorders>
          </w:tcPr>
          <w:p w14:paraId="41F25F5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5 677</w:t>
            </w:r>
          </w:p>
        </w:tc>
        <w:tc>
          <w:tcPr>
            <w:tcW w:w="959" w:type="dxa"/>
            <w:tcBorders>
              <w:top w:val="single" w:sz="6" w:space="0" w:color="auto"/>
              <w:bottom w:val="single" w:sz="12" w:space="0" w:color="auto"/>
            </w:tcBorders>
          </w:tcPr>
          <w:p w14:paraId="0A3F96D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417</w:t>
            </w:r>
          </w:p>
        </w:tc>
        <w:tc>
          <w:tcPr>
            <w:tcW w:w="959" w:type="dxa"/>
            <w:tcBorders>
              <w:top w:val="single" w:sz="6" w:space="0" w:color="auto"/>
              <w:bottom w:val="single" w:sz="12" w:space="0" w:color="auto"/>
            </w:tcBorders>
          </w:tcPr>
          <w:p w14:paraId="4489BB7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155</w:t>
            </w:r>
          </w:p>
        </w:tc>
        <w:tc>
          <w:tcPr>
            <w:tcW w:w="1200" w:type="dxa"/>
            <w:tcBorders>
              <w:top w:val="single" w:sz="6" w:space="0" w:color="auto"/>
              <w:bottom w:val="single" w:sz="12" w:space="0" w:color="auto"/>
            </w:tcBorders>
          </w:tcPr>
          <w:p w14:paraId="72E8F75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535</w:t>
            </w:r>
          </w:p>
        </w:tc>
        <w:tc>
          <w:tcPr>
            <w:tcW w:w="907" w:type="dxa"/>
            <w:tcBorders>
              <w:top w:val="single" w:sz="6" w:space="0" w:color="auto"/>
              <w:bottom w:val="single" w:sz="12" w:space="0" w:color="auto"/>
            </w:tcBorders>
          </w:tcPr>
          <w:p w14:paraId="6E6629F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201</w:t>
            </w:r>
          </w:p>
        </w:tc>
      </w:tr>
    </w:tbl>
    <w:p w14:paraId="0ECF2EBF"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Investments in associates and joint operations/Link_JointVentures.xlsx|Table:JV_summarised_os"/>
      </w:tblPr>
      <w:tblGrid>
        <w:gridCol w:w="3686"/>
        <w:gridCol w:w="921"/>
        <w:gridCol w:w="922"/>
        <w:gridCol w:w="992"/>
        <w:gridCol w:w="992"/>
        <w:gridCol w:w="1062"/>
        <w:gridCol w:w="1063"/>
      </w:tblGrid>
      <w:tr w:rsidR="004D42F9" w14:paraId="76AA33A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vMerge w:val="restart"/>
          </w:tcPr>
          <w:p w14:paraId="3D410724" w14:textId="77777777" w:rsidR="004D42F9" w:rsidRDefault="004D42F9" w:rsidP="007E2A58">
            <w:pPr>
              <w:keepNext/>
              <w:ind w:left="0" w:firstLine="0"/>
            </w:pPr>
            <w:r>
              <w:t xml:space="preserve">Summarised operating statement for the </w:t>
            </w:r>
            <w:r>
              <w:br/>
              <w:t>financial year ended 30 June</w:t>
            </w:r>
          </w:p>
        </w:tc>
        <w:tc>
          <w:tcPr>
            <w:tcW w:w="1843" w:type="dxa"/>
            <w:gridSpan w:val="2"/>
          </w:tcPr>
          <w:p w14:paraId="02BBBAF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VicRoads </w:t>
            </w:r>
            <w:r>
              <w:br/>
              <w:t>Modernisation</w:t>
            </w:r>
          </w:p>
        </w:tc>
        <w:tc>
          <w:tcPr>
            <w:tcW w:w="1984" w:type="dxa"/>
            <w:gridSpan w:val="2"/>
          </w:tcPr>
          <w:p w14:paraId="76FF27E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Marinus </w:t>
            </w:r>
            <w:r>
              <w:br/>
              <w:t>Link Pty Ltd</w:t>
            </w:r>
          </w:p>
        </w:tc>
        <w:tc>
          <w:tcPr>
            <w:tcW w:w="2125" w:type="dxa"/>
            <w:gridSpan w:val="2"/>
          </w:tcPr>
          <w:p w14:paraId="35AADB4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Melbourne Renewable Energy Hub (MREH project)</w:t>
            </w:r>
          </w:p>
        </w:tc>
      </w:tr>
      <w:tr w:rsidR="002B1B5E" w14:paraId="0EDEF32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vMerge/>
            <w:tcBorders>
              <w:bottom w:val="single" w:sz="6" w:space="0" w:color="auto"/>
            </w:tcBorders>
          </w:tcPr>
          <w:p w14:paraId="7A8BEB0C" w14:textId="77777777" w:rsidR="004D42F9" w:rsidRDefault="004D42F9">
            <w:pPr>
              <w:keepNext/>
            </w:pPr>
          </w:p>
        </w:tc>
        <w:tc>
          <w:tcPr>
            <w:tcW w:w="921" w:type="dxa"/>
            <w:tcBorders>
              <w:bottom w:val="single" w:sz="6" w:space="0" w:color="auto"/>
            </w:tcBorders>
          </w:tcPr>
          <w:p w14:paraId="64C52ED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2" w:type="dxa"/>
            <w:tcBorders>
              <w:bottom w:val="single" w:sz="6" w:space="0" w:color="auto"/>
            </w:tcBorders>
          </w:tcPr>
          <w:p w14:paraId="7BA37F5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Borders>
              <w:bottom w:val="single" w:sz="6" w:space="0" w:color="auto"/>
            </w:tcBorders>
          </w:tcPr>
          <w:p w14:paraId="4A5A23F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Borders>
              <w:bottom w:val="single" w:sz="6" w:space="0" w:color="auto"/>
            </w:tcBorders>
          </w:tcPr>
          <w:p w14:paraId="7F23C85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1062" w:type="dxa"/>
            <w:tcBorders>
              <w:bottom w:val="single" w:sz="6" w:space="0" w:color="auto"/>
            </w:tcBorders>
          </w:tcPr>
          <w:p w14:paraId="1ACAE37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1063" w:type="dxa"/>
            <w:tcBorders>
              <w:bottom w:val="single" w:sz="6" w:space="0" w:color="auto"/>
            </w:tcBorders>
          </w:tcPr>
          <w:p w14:paraId="7484347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520AD896"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1A232BA9" w14:textId="77777777" w:rsidR="004D42F9" w:rsidRDefault="004D42F9">
            <w:r>
              <w:rPr>
                <w:b/>
              </w:rPr>
              <w:t>Revenue and income from transactions</w:t>
            </w:r>
          </w:p>
        </w:tc>
        <w:tc>
          <w:tcPr>
            <w:tcW w:w="921" w:type="dxa"/>
            <w:tcBorders>
              <w:top w:val="single" w:sz="6" w:space="0" w:color="auto"/>
            </w:tcBorders>
          </w:tcPr>
          <w:p w14:paraId="524EBBF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2" w:type="dxa"/>
            <w:tcBorders>
              <w:top w:val="single" w:sz="6" w:space="0" w:color="auto"/>
            </w:tcBorders>
          </w:tcPr>
          <w:p w14:paraId="318E278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58F71B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5B0A1CC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062" w:type="dxa"/>
            <w:tcBorders>
              <w:top w:val="single" w:sz="6" w:space="0" w:color="auto"/>
            </w:tcBorders>
          </w:tcPr>
          <w:p w14:paraId="2DFEA09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063" w:type="dxa"/>
            <w:tcBorders>
              <w:top w:val="single" w:sz="6" w:space="0" w:color="auto"/>
            </w:tcBorders>
          </w:tcPr>
          <w:p w14:paraId="1C6461D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BE1AC3C" w14:textId="77777777">
        <w:tc>
          <w:tcPr>
            <w:cnfStyle w:val="001000000000" w:firstRow="0" w:lastRow="0" w:firstColumn="1" w:lastColumn="0" w:oddVBand="0" w:evenVBand="0" w:oddHBand="0" w:evenHBand="0" w:firstRowFirstColumn="0" w:firstRowLastColumn="0" w:lastRowFirstColumn="0" w:lastRowLastColumn="0"/>
            <w:tcW w:w="3686" w:type="dxa"/>
          </w:tcPr>
          <w:p w14:paraId="0523DE05" w14:textId="77777777" w:rsidR="004D42F9" w:rsidRDefault="004D42F9">
            <w:r>
              <w:t>Revenue</w:t>
            </w:r>
          </w:p>
        </w:tc>
        <w:tc>
          <w:tcPr>
            <w:tcW w:w="921" w:type="dxa"/>
          </w:tcPr>
          <w:p w14:paraId="4C090C08" w14:textId="77777777" w:rsidR="004D42F9" w:rsidRDefault="004D42F9">
            <w:pPr>
              <w:cnfStyle w:val="000000000000" w:firstRow="0" w:lastRow="0" w:firstColumn="0" w:lastColumn="0" w:oddVBand="0" w:evenVBand="0" w:oddHBand="0" w:evenHBand="0" w:firstRowFirstColumn="0" w:firstRowLastColumn="0" w:lastRowFirstColumn="0" w:lastRowLastColumn="0"/>
            </w:pPr>
            <w:r>
              <w:t>494</w:t>
            </w:r>
          </w:p>
        </w:tc>
        <w:tc>
          <w:tcPr>
            <w:tcW w:w="922" w:type="dxa"/>
          </w:tcPr>
          <w:p w14:paraId="121F5AD0" w14:textId="77777777" w:rsidR="004D42F9" w:rsidRDefault="004D42F9">
            <w:pPr>
              <w:cnfStyle w:val="000000000000" w:firstRow="0" w:lastRow="0" w:firstColumn="0" w:lastColumn="0" w:oddVBand="0" w:evenVBand="0" w:oddHBand="0" w:evenHBand="0" w:firstRowFirstColumn="0" w:firstRowLastColumn="0" w:lastRowFirstColumn="0" w:lastRowLastColumn="0"/>
            </w:pPr>
            <w:r>
              <w:t>498</w:t>
            </w:r>
          </w:p>
        </w:tc>
        <w:tc>
          <w:tcPr>
            <w:tcW w:w="992" w:type="dxa"/>
          </w:tcPr>
          <w:p w14:paraId="57EB911D"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92" w:type="dxa"/>
          </w:tcPr>
          <w:p w14:paraId="032ADE2E"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62" w:type="dxa"/>
          </w:tcPr>
          <w:p w14:paraId="1E9A399E" w14:textId="77777777" w:rsidR="004D42F9" w:rsidRDefault="004D42F9">
            <w:pPr>
              <w:cnfStyle w:val="000000000000" w:firstRow="0" w:lastRow="0" w:firstColumn="0" w:lastColumn="0" w:oddVBand="0" w:evenVBand="0" w:oddHBand="0" w:evenHBand="0" w:firstRowFirstColumn="0" w:firstRowLastColumn="0" w:lastRowFirstColumn="0" w:lastRowLastColumn="0"/>
            </w:pPr>
            <w:r>
              <w:t>20</w:t>
            </w:r>
          </w:p>
        </w:tc>
        <w:tc>
          <w:tcPr>
            <w:tcW w:w="1063" w:type="dxa"/>
          </w:tcPr>
          <w:p w14:paraId="1DA13101" w14:textId="77777777" w:rsidR="004D42F9" w:rsidRDefault="004D42F9">
            <w:pPr>
              <w:cnfStyle w:val="000000000000" w:firstRow="0" w:lastRow="0" w:firstColumn="0" w:lastColumn="0" w:oddVBand="0" w:evenVBand="0" w:oddHBand="0" w:evenHBand="0" w:firstRowFirstColumn="0" w:firstRowLastColumn="0" w:lastRowFirstColumn="0" w:lastRowLastColumn="0"/>
            </w:pPr>
            <w:r>
              <w:t>10</w:t>
            </w:r>
          </w:p>
        </w:tc>
      </w:tr>
      <w:tr w:rsidR="004D42F9" w14:paraId="6F99BB15"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2B994E78" w14:textId="77777777" w:rsidR="004D42F9" w:rsidRDefault="004D42F9">
            <w:r>
              <w:t>Interest income</w:t>
            </w:r>
          </w:p>
        </w:tc>
        <w:tc>
          <w:tcPr>
            <w:tcW w:w="921" w:type="dxa"/>
            <w:tcBorders>
              <w:bottom w:val="single" w:sz="6" w:space="0" w:color="auto"/>
            </w:tcBorders>
          </w:tcPr>
          <w:p w14:paraId="33640ED0"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22" w:type="dxa"/>
            <w:tcBorders>
              <w:bottom w:val="single" w:sz="6" w:space="0" w:color="auto"/>
            </w:tcBorders>
          </w:tcPr>
          <w:p w14:paraId="20990467"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992" w:type="dxa"/>
            <w:tcBorders>
              <w:bottom w:val="single" w:sz="6" w:space="0" w:color="auto"/>
            </w:tcBorders>
          </w:tcPr>
          <w:p w14:paraId="294A97CB"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92" w:type="dxa"/>
            <w:tcBorders>
              <w:bottom w:val="single" w:sz="6" w:space="0" w:color="auto"/>
            </w:tcBorders>
          </w:tcPr>
          <w:p w14:paraId="2DAE1F5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2" w:type="dxa"/>
            <w:tcBorders>
              <w:bottom w:val="single" w:sz="6" w:space="0" w:color="auto"/>
            </w:tcBorders>
          </w:tcPr>
          <w:p w14:paraId="0BF40E5E"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1063" w:type="dxa"/>
            <w:tcBorders>
              <w:bottom w:val="single" w:sz="6" w:space="0" w:color="auto"/>
            </w:tcBorders>
          </w:tcPr>
          <w:p w14:paraId="2CD7D882"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2ACD3F39"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77AAF5E2" w14:textId="77777777" w:rsidR="004D42F9" w:rsidRDefault="004D42F9">
            <w:r>
              <w:rPr>
                <w:b/>
              </w:rPr>
              <w:t>Total revenue and income from transactions</w:t>
            </w:r>
          </w:p>
        </w:tc>
        <w:tc>
          <w:tcPr>
            <w:tcW w:w="921" w:type="dxa"/>
            <w:tcBorders>
              <w:top w:val="single" w:sz="6" w:space="0" w:color="auto"/>
            </w:tcBorders>
          </w:tcPr>
          <w:p w14:paraId="74A7D69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498</w:t>
            </w:r>
          </w:p>
        </w:tc>
        <w:tc>
          <w:tcPr>
            <w:tcW w:w="922" w:type="dxa"/>
            <w:tcBorders>
              <w:top w:val="single" w:sz="6" w:space="0" w:color="auto"/>
            </w:tcBorders>
          </w:tcPr>
          <w:p w14:paraId="65E1141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503</w:t>
            </w:r>
          </w:p>
        </w:tc>
        <w:tc>
          <w:tcPr>
            <w:tcW w:w="992" w:type="dxa"/>
            <w:tcBorders>
              <w:top w:val="single" w:sz="6" w:space="0" w:color="auto"/>
            </w:tcBorders>
          </w:tcPr>
          <w:p w14:paraId="06CC5BC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w:t>
            </w:r>
          </w:p>
        </w:tc>
        <w:tc>
          <w:tcPr>
            <w:tcW w:w="992" w:type="dxa"/>
            <w:tcBorders>
              <w:top w:val="single" w:sz="6" w:space="0" w:color="auto"/>
            </w:tcBorders>
          </w:tcPr>
          <w:p w14:paraId="68E87A5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w:t>
            </w:r>
          </w:p>
        </w:tc>
        <w:tc>
          <w:tcPr>
            <w:tcW w:w="1062" w:type="dxa"/>
            <w:tcBorders>
              <w:top w:val="single" w:sz="6" w:space="0" w:color="auto"/>
            </w:tcBorders>
          </w:tcPr>
          <w:p w14:paraId="39AB22A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w:t>
            </w:r>
          </w:p>
        </w:tc>
        <w:tc>
          <w:tcPr>
            <w:tcW w:w="1063" w:type="dxa"/>
            <w:tcBorders>
              <w:top w:val="single" w:sz="6" w:space="0" w:color="auto"/>
            </w:tcBorders>
          </w:tcPr>
          <w:p w14:paraId="755DCEA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w:t>
            </w:r>
          </w:p>
        </w:tc>
      </w:tr>
      <w:tr w:rsidR="004D42F9" w14:paraId="65F4DAF6" w14:textId="77777777">
        <w:tc>
          <w:tcPr>
            <w:cnfStyle w:val="001000000000" w:firstRow="0" w:lastRow="0" w:firstColumn="1" w:lastColumn="0" w:oddVBand="0" w:evenVBand="0" w:oddHBand="0" w:evenHBand="0" w:firstRowFirstColumn="0" w:firstRowLastColumn="0" w:lastRowFirstColumn="0" w:lastRowLastColumn="0"/>
            <w:tcW w:w="3686" w:type="dxa"/>
          </w:tcPr>
          <w:p w14:paraId="1EFF38DD" w14:textId="77777777" w:rsidR="004D42F9" w:rsidRDefault="004D42F9">
            <w:r>
              <w:rPr>
                <w:b/>
              </w:rPr>
              <w:t>Expenses from transactions</w:t>
            </w:r>
          </w:p>
        </w:tc>
        <w:tc>
          <w:tcPr>
            <w:tcW w:w="921" w:type="dxa"/>
          </w:tcPr>
          <w:p w14:paraId="403530E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2" w:type="dxa"/>
          </w:tcPr>
          <w:p w14:paraId="53A1033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92" w:type="dxa"/>
          </w:tcPr>
          <w:p w14:paraId="6305999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92" w:type="dxa"/>
          </w:tcPr>
          <w:p w14:paraId="68E227A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062" w:type="dxa"/>
          </w:tcPr>
          <w:p w14:paraId="4718C7F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1063" w:type="dxa"/>
          </w:tcPr>
          <w:p w14:paraId="1CBBA6A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07AB990" w14:textId="77777777">
        <w:tc>
          <w:tcPr>
            <w:cnfStyle w:val="001000000000" w:firstRow="0" w:lastRow="0" w:firstColumn="1" w:lastColumn="0" w:oddVBand="0" w:evenVBand="0" w:oddHBand="0" w:evenHBand="0" w:firstRowFirstColumn="0" w:firstRowLastColumn="0" w:lastRowFirstColumn="0" w:lastRowLastColumn="0"/>
            <w:tcW w:w="3686" w:type="dxa"/>
          </w:tcPr>
          <w:p w14:paraId="7D80F318" w14:textId="77777777" w:rsidR="004D42F9" w:rsidRDefault="004D42F9">
            <w:r>
              <w:t>Depreciation</w:t>
            </w:r>
          </w:p>
        </w:tc>
        <w:tc>
          <w:tcPr>
            <w:tcW w:w="921" w:type="dxa"/>
          </w:tcPr>
          <w:p w14:paraId="56FAD6DB" w14:textId="77777777" w:rsidR="004D42F9" w:rsidRDefault="004D42F9">
            <w:pPr>
              <w:cnfStyle w:val="000000000000" w:firstRow="0" w:lastRow="0" w:firstColumn="0" w:lastColumn="0" w:oddVBand="0" w:evenVBand="0" w:oddHBand="0" w:evenHBand="0" w:firstRowFirstColumn="0" w:firstRowLastColumn="0" w:lastRowFirstColumn="0" w:lastRowLastColumn="0"/>
            </w:pPr>
            <w:r>
              <w:t>(244)</w:t>
            </w:r>
          </w:p>
        </w:tc>
        <w:tc>
          <w:tcPr>
            <w:tcW w:w="922" w:type="dxa"/>
          </w:tcPr>
          <w:p w14:paraId="70116234" w14:textId="77777777" w:rsidR="004D42F9" w:rsidRDefault="004D42F9">
            <w:pPr>
              <w:cnfStyle w:val="000000000000" w:firstRow="0" w:lastRow="0" w:firstColumn="0" w:lastColumn="0" w:oddVBand="0" w:evenVBand="0" w:oddHBand="0" w:evenHBand="0" w:firstRowFirstColumn="0" w:firstRowLastColumn="0" w:lastRowFirstColumn="0" w:lastRowLastColumn="0"/>
            </w:pPr>
            <w:r>
              <w:t>(244)</w:t>
            </w:r>
          </w:p>
        </w:tc>
        <w:tc>
          <w:tcPr>
            <w:tcW w:w="992" w:type="dxa"/>
          </w:tcPr>
          <w:p w14:paraId="65F14C24"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7502E69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2" w:type="dxa"/>
          </w:tcPr>
          <w:p w14:paraId="0B55A6DF"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1063" w:type="dxa"/>
          </w:tcPr>
          <w:p w14:paraId="6FEF757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3FB6B8AF" w14:textId="77777777">
        <w:tc>
          <w:tcPr>
            <w:cnfStyle w:val="001000000000" w:firstRow="0" w:lastRow="0" w:firstColumn="1" w:lastColumn="0" w:oddVBand="0" w:evenVBand="0" w:oddHBand="0" w:evenHBand="0" w:firstRowFirstColumn="0" w:firstRowLastColumn="0" w:lastRowFirstColumn="0" w:lastRowLastColumn="0"/>
            <w:tcW w:w="3686" w:type="dxa"/>
          </w:tcPr>
          <w:p w14:paraId="0F2DA70D" w14:textId="77777777" w:rsidR="004D42F9" w:rsidRDefault="004D42F9">
            <w:r>
              <w:t>Interest expense</w:t>
            </w:r>
          </w:p>
        </w:tc>
        <w:tc>
          <w:tcPr>
            <w:tcW w:w="921" w:type="dxa"/>
          </w:tcPr>
          <w:p w14:paraId="656E5A1D" w14:textId="77777777" w:rsidR="004D42F9" w:rsidRDefault="004D42F9">
            <w:pPr>
              <w:cnfStyle w:val="000000000000" w:firstRow="0" w:lastRow="0" w:firstColumn="0" w:lastColumn="0" w:oddVBand="0" w:evenVBand="0" w:oddHBand="0" w:evenHBand="0" w:firstRowFirstColumn="0" w:firstRowLastColumn="0" w:lastRowFirstColumn="0" w:lastRowLastColumn="0"/>
            </w:pPr>
            <w:r>
              <w:t>(185)</w:t>
            </w:r>
          </w:p>
        </w:tc>
        <w:tc>
          <w:tcPr>
            <w:tcW w:w="922" w:type="dxa"/>
          </w:tcPr>
          <w:p w14:paraId="5583F3CF" w14:textId="77777777" w:rsidR="004D42F9" w:rsidRDefault="004D42F9">
            <w:pPr>
              <w:cnfStyle w:val="000000000000" w:firstRow="0" w:lastRow="0" w:firstColumn="0" w:lastColumn="0" w:oddVBand="0" w:evenVBand="0" w:oddHBand="0" w:evenHBand="0" w:firstRowFirstColumn="0" w:firstRowLastColumn="0" w:lastRowFirstColumn="0" w:lastRowLastColumn="0"/>
            </w:pPr>
            <w:r>
              <w:t>(166)</w:t>
            </w:r>
          </w:p>
        </w:tc>
        <w:tc>
          <w:tcPr>
            <w:tcW w:w="992" w:type="dxa"/>
          </w:tcPr>
          <w:p w14:paraId="422D2DE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5A46F1B9"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2" w:type="dxa"/>
          </w:tcPr>
          <w:p w14:paraId="6EB43B3E"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1063" w:type="dxa"/>
          </w:tcPr>
          <w:p w14:paraId="1351AF1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157D9D87"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FD7D54F" w14:textId="77777777" w:rsidR="004D42F9" w:rsidRDefault="004D42F9">
            <w:r>
              <w:t>Other expenses</w:t>
            </w:r>
          </w:p>
        </w:tc>
        <w:tc>
          <w:tcPr>
            <w:tcW w:w="921" w:type="dxa"/>
            <w:tcBorders>
              <w:bottom w:val="single" w:sz="6" w:space="0" w:color="auto"/>
            </w:tcBorders>
          </w:tcPr>
          <w:p w14:paraId="761F1954" w14:textId="77777777" w:rsidR="004D42F9" w:rsidRDefault="004D42F9">
            <w:pPr>
              <w:cnfStyle w:val="000000000000" w:firstRow="0" w:lastRow="0" w:firstColumn="0" w:lastColumn="0" w:oddVBand="0" w:evenVBand="0" w:oddHBand="0" w:evenHBand="0" w:firstRowFirstColumn="0" w:firstRowLastColumn="0" w:lastRowFirstColumn="0" w:lastRowLastColumn="0"/>
            </w:pPr>
            <w:r>
              <w:t>(319)</w:t>
            </w:r>
          </w:p>
        </w:tc>
        <w:tc>
          <w:tcPr>
            <w:tcW w:w="922" w:type="dxa"/>
            <w:tcBorders>
              <w:bottom w:val="single" w:sz="6" w:space="0" w:color="auto"/>
            </w:tcBorders>
          </w:tcPr>
          <w:p w14:paraId="221B9F5B" w14:textId="77777777" w:rsidR="004D42F9" w:rsidRDefault="004D42F9">
            <w:pPr>
              <w:cnfStyle w:val="000000000000" w:firstRow="0" w:lastRow="0" w:firstColumn="0" w:lastColumn="0" w:oddVBand="0" w:evenVBand="0" w:oddHBand="0" w:evenHBand="0" w:firstRowFirstColumn="0" w:firstRowLastColumn="0" w:lastRowFirstColumn="0" w:lastRowLastColumn="0"/>
            </w:pPr>
            <w:r>
              <w:t>(328)</w:t>
            </w:r>
          </w:p>
        </w:tc>
        <w:tc>
          <w:tcPr>
            <w:tcW w:w="992" w:type="dxa"/>
            <w:tcBorders>
              <w:bottom w:val="single" w:sz="6" w:space="0" w:color="auto"/>
            </w:tcBorders>
          </w:tcPr>
          <w:p w14:paraId="18BD3902" w14:textId="77777777" w:rsidR="004D42F9" w:rsidRDefault="004D42F9">
            <w:pPr>
              <w:cnfStyle w:val="000000000000" w:firstRow="0" w:lastRow="0" w:firstColumn="0" w:lastColumn="0" w:oddVBand="0" w:evenVBand="0" w:oddHBand="0" w:evenHBand="0" w:firstRowFirstColumn="0" w:firstRowLastColumn="0" w:lastRowFirstColumn="0" w:lastRowLastColumn="0"/>
            </w:pPr>
            <w:r>
              <w:t>(38)</w:t>
            </w:r>
          </w:p>
        </w:tc>
        <w:tc>
          <w:tcPr>
            <w:tcW w:w="992" w:type="dxa"/>
            <w:tcBorders>
              <w:bottom w:val="single" w:sz="6" w:space="0" w:color="auto"/>
            </w:tcBorders>
          </w:tcPr>
          <w:p w14:paraId="2E40B820"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1062" w:type="dxa"/>
            <w:tcBorders>
              <w:bottom w:val="single" w:sz="6" w:space="0" w:color="auto"/>
            </w:tcBorders>
          </w:tcPr>
          <w:p w14:paraId="03E47886" w14:textId="77777777" w:rsidR="004D42F9" w:rsidRDefault="004D42F9">
            <w:pPr>
              <w:cnfStyle w:val="000000000000" w:firstRow="0" w:lastRow="0" w:firstColumn="0" w:lastColumn="0" w:oddVBand="0" w:evenVBand="0" w:oddHBand="0" w:evenHBand="0" w:firstRowFirstColumn="0" w:firstRowLastColumn="0" w:lastRowFirstColumn="0" w:lastRowLastColumn="0"/>
            </w:pPr>
            <w:r>
              <w:t>(25)</w:t>
            </w:r>
          </w:p>
        </w:tc>
        <w:tc>
          <w:tcPr>
            <w:tcW w:w="1063" w:type="dxa"/>
            <w:tcBorders>
              <w:bottom w:val="single" w:sz="6" w:space="0" w:color="auto"/>
            </w:tcBorders>
          </w:tcPr>
          <w:p w14:paraId="6EF0586F" w14:textId="77777777" w:rsidR="004D42F9" w:rsidRDefault="004D42F9">
            <w:pPr>
              <w:cnfStyle w:val="000000000000" w:firstRow="0" w:lastRow="0" w:firstColumn="0" w:lastColumn="0" w:oddVBand="0" w:evenVBand="0" w:oddHBand="0" w:evenHBand="0" w:firstRowFirstColumn="0" w:firstRowLastColumn="0" w:lastRowFirstColumn="0" w:lastRowLastColumn="0"/>
            </w:pPr>
            <w:r>
              <w:t>(13)</w:t>
            </w:r>
          </w:p>
        </w:tc>
      </w:tr>
      <w:tr w:rsidR="004D42F9" w14:paraId="0633DA0F"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0F10F99F" w14:textId="77777777" w:rsidR="004D42F9" w:rsidRDefault="004D42F9">
            <w:r>
              <w:rPr>
                <w:b/>
              </w:rPr>
              <w:t>Total expenses from transactions</w:t>
            </w:r>
          </w:p>
        </w:tc>
        <w:tc>
          <w:tcPr>
            <w:tcW w:w="921" w:type="dxa"/>
            <w:tcBorders>
              <w:top w:val="single" w:sz="6" w:space="0" w:color="auto"/>
              <w:bottom w:val="single" w:sz="6" w:space="0" w:color="auto"/>
            </w:tcBorders>
          </w:tcPr>
          <w:p w14:paraId="1944F75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(748)</w:t>
            </w:r>
          </w:p>
        </w:tc>
        <w:tc>
          <w:tcPr>
            <w:tcW w:w="922" w:type="dxa"/>
            <w:tcBorders>
              <w:top w:val="single" w:sz="6" w:space="0" w:color="auto"/>
              <w:bottom w:val="single" w:sz="6" w:space="0" w:color="auto"/>
            </w:tcBorders>
          </w:tcPr>
          <w:p w14:paraId="05D2AA3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(738)</w:t>
            </w:r>
          </w:p>
        </w:tc>
        <w:tc>
          <w:tcPr>
            <w:tcW w:w="992" w:type="dxa"/>
            <w:tcBorders>
              <w:top w:val="single" w:sz="6" w:space="0" w:color="auto"/>
              <w:bottom w:val="single" w:sz="6" w:space="0" w:color="auto"/>
            </w:tcBorders>
          </w:tcPr>
          <w:p w14:paraId="7DD9BED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(39)</w:t>
            </w:r>
          </w:p>
        </w:tc>
        <w:tc>
          <w:tcPr>
            <w:tcW w:w="992" w:type="dxa"/>
            <w:tcBorders>
              <w:top w:val="single" w:sz="6" w:space="0" w:color="auto"/>
              <w:bottom w:val="single" w:sz="6" w:space="0" w:color="auto"/>
            </w:tcBorders>
          </w:tcPr>
          <w:p w14:paraId="257C739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w:t>
            </w:r>
          </w:p>
        </w:tc>
        <w:tc>
          <w:tcPr>
            <w:tcW w:w="1062" w:type="dxa"/>
            <w:tcBorders>
              <w:top w:val="single" w:sz="6" w:space="0" w:color="auto"/>
              <w:bottom w:val="single" w:sz="6" w:space="0" w:color="auto"/>
            </w:tcBorders>
          </w:tcPr>
          <w:p w14:paraId="326C189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w:t>
            </w:r>
          </w:p>
        </w:tc>
        <w:tc>
          <w:tcPr>
            <w:tcW w:w="1063" w:type="dxa"/>
            <w:tcBorders>
              <w:top w:val="single" w:sz="6" w:space="0" w:color="auto"/>
              <w:bottom w:val="single" w:sz="6" w:space="0" w:color="auto"/>
            </w:tcBorders>
          </w:tcPr>
          <w:p w14:paraId="77F8286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w:t>
            </w:r>
          </w:p>
        </w:tc>
      </w:tr>
      <w:tr w:rsidR="004D42F9" w14:paraId="169EDCC1"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6" w:space="0" w:color="auto"/>
            </w:tcBorders>
          </w:tcPr>
          <w:p w14:paraId="0E4119B0" w14:textId="77777777" w:rsidR="004D42F9" w:rsidRDefault="004D42F9">
            <w:r>
              <w:rPr>
                <w:b/>
              </w:rPr>
              <w:t>Net result from transactions</w:t>
            </w:r>
          </w:p>
        </w:tc>
        <w:tc>
          <w:tcPr>
            <w:tcW w:w="921" w:type="dxa"/>
            <w:tcBorders>
              <w:top w:val="single" w:sz="6" w:space="0" w:color="auto"/>
              <w:bottom w:val="single" w:sz="6" w:space="0" w:color="auto"/>
            </w:tcBorders>
          </w:tcPr>
          <w:p w14:paraId="72833D2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(250)</w:t>
            </w:r>
          </w:p>
        </w:tc>
        <w:tc>
          <w:tcPr>
            <w:tcW w:w="922" w:type="dxa"/>
            <w:tcBorders>
              <w:top w:val="single" w:sz="6" w:space="0" w:color="auto"/>
              <w:bottom w:val="single" w:sz="6" w:space="0" w:color="auto"/>
            </w:tcBorders>
          </w:tcPr>
          <w:p w14:paraId="2FCE785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(235)</w:t>
            </w:r>
          </w:p>
        </w:tc>
        <w:tc>
          <w:tcPr>
            <w:tcW w:w="992" w:type="dxa"/>
            <w:tcBorders>
              <w:top w:val="single" w:sz="6" w:space="0" w:color="auto"/>
              <w:bottom w:val="single" w:sz="6" w:space="0" w:color="auto"/>
            </w:tcBorders>
          </w:tcPr>
          <w:p w14:paraId="1EEC1DE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w:t>
            </w:r>
          </w:p>
        </w:tc>
        <w:tc>
          <w:tcPr>
            <w:tcW w:w="992" w:type="dxa"/>
            <w:tcBorders>
              <w:top w:val="single" w:sz="6" w:space="0" w:color="auto"/>
              <w:bottom w:val="single" w:sz="6" w:space="0" w:color="auto"/>
            </w:tcBorders>
          </w:tcPr>
          <w:p w14:paraId="63437DB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w:t>
            </w:r>
          </w:p>
        </w:tc>
        <w:tc>
          <w:tcPr>
            <w:tcW w:w="1062" w:type="dxa"/>
            <w:tcBorders>
              <w:top w:val="single" w:sz="6" w:space="0" w:color="auto"/>
              <w:bottom w:val="single" w:sz="6" w:space="0" w:color="auto"/>
            </w:tcBorders>
          </w:tcPr>
          <w:p w14:paraId="2F3A665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w:t>
            </w:r>
          </w:p>
        </w:tc>
        <w:tc>
          <w:tcPr>
            <w:tcW w:w="1063" w:type="dxa"/>
            <w:tcBorders>
              <w:top w:val="single" w:sz="6" w:space="0" w:color="auto"/>
              <w:bottom w:val="single" w:sz="6" w:space="0" w:color="auto"/>
            </w:tcBorders>
          </w:tcPr>
          <w:p w14:paraId="6E74EC6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w:t>
            </w:r>
          </w:p>
        </w:tc>
      </w:tr>
      <w:tr w:rsidR="004D42F9" w14:paraId="4C831269"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tcBorders>
          </w:tcPr>
          <w:p w14:paraId="678792C8" w14:textId="5659FE47" w:rsidR="004D42F9" w:rsidRDefault="004D42F9">
            <w:r>
              <w:t xml:space="preserve">Other economic flows – </w:t>
            </w:r>
            <w:r w:rsidR="007E2A58">
              <w:t xml:space="preserve">Included </w:t>
            </w:r>
            <w:r>
              <w:t>in net result</w:t>
            </w:r>
          </w:p>
        </w:tc>
        <w:tc>
          <w:tcPr>
            <w:tcW w:w="921" w:type="dxa"/>
            <w:tcBorders>
              <w:top w:val="single" w:sz="6" w:space="0" w:color="auto"/>
            </w:tcBorders>
          </w:tcPr>
          <w:p w14:paraId="5716E51C"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22" w:type="dxa"/>
            <w:tcBorders>
              <w:top w:val="single" w:sz="6" w:space="0" w:color="auto"/>
            </w:tcBorders>
          </w:tcPr>
          <w:p w14:paraId="246056F0" w14:textId="77777777" w:rsidR="004D42F9" w:rsidRDefault="004D42F9">
            <w:pPr>
              <w:cnfStyle w:val="000000000000" w:firstRow="0" w:lastRow="0" w:firstColumn="0" w:lastColumn="0" w:oddVBand="0" w:evenVBand="0" w:oddHBand="0" w:evenHBand="0" w:firstRowFirstColumn="0" w:firstRowLastColumn="0" w:lastRowFirstColumn="0" w:lastRowLastColumn="0"/>
            </w:pPr>
            <w:r>
              <w:t>(7)</w:t>
            </w:r>
          </w:p>
        </w:tc>
        <w:tc>
          <w:tcPr>
            <w:tcW w:w="992" w:type="dxa"/>
            <w:tcBorders>
              <w:top w:val="single" w:sz="6" w:space="0" w:color="auto"/>
            </w:tcBorders>
          </w:tcPr>
          <w:p w14:paraId="1EF4010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6" w:space="0" w:color="auto"/>
            </w:tcBorders>
          </w:tcPr>
          <w:p w14:paraId="11D7C96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2" w:type="dxa"/>
            <w:tcBorders>
              <w:top w:val="single" w:sz="6" w:space="0" w:color="auto"/>
            </w:tcBorders>
          </w:tcPr>
          <w:p w14:paraId="1E562AD1" w14:textId="77777777" w:rsidR="004D42F9" w:rsidRDefault="004D42F9">
            <w:pPr>
              <w:cnfStyle w:val="000000000000" w:firstRow="0" w:lastRow="0" w:firstColumn="0" w:lastColumn="0" w:oddVBand="0" w:evenVBand="0" w:oddHBand="0" w:evenHBand="0" w:firstRowFirstColumn="0" w:firstRowLastColumn="0" w:lastRowFirstColumn="0" w:lastRowLastColumn="0"/>
            </w:pPr>
            <w:r>
              <w:t>(32)</w:t>
            </w:r>
          </w:p>
        </w:tc>
        <w:tc>
          <w:tcPr>
            <w:tcW w:w="1063" w:type="dxa"/>
            <w:tcBorders>
              <w:top w:val="single" w:sz="6" w:space="0" w:color="auto"/>
            </w:tcBorders>
          </w:tcPr>
          <w:p w14:paraId="6AB568D1" w14:textId="77777777" w:rsidR="004D42F9" w:rsidRDefault="004D42F9">
            <w:pPr>
              <w:cnfStyle w:val="000000000000" w:firstRow="0" w:lastRow="0" w:firstColumn="0" w:lastColumn="0" w:oddVBand="0" w:evenVBand="0" w:oddHBand="0" w:evenHBand="0" w:firstRowFirstColumn="0" w:firstRowLastColumn="0" w:lastRowFirstColumn="0" w:lastRowLastColumn="0"/>
            </w:pPr>
            <w:r>
              <w:t>(15)</w:t>
            </w:r>
          </w:p>
        </w:tc>
      </w:tr>
      <w:tr w:rsidR="004D42F9" w14:paraId="36BA299F" w14:textId="77777777">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5B6622FB" w14:textId="77777777" w:rsidR="004D42F9" w:rsidRDefault="004D42F9">
            <w:r>
              <w:rPr>
                <w:b/>
              </w:rPr>
              <w:t>Net result from continuing operation</w:t>
            </w:r>
          </w:p>
        </w:tc>
        <w:tc>
          <w:tcPr>
            <w:tcW w:w="921" w:type="dxa"/>
            <w:tcBorders>
              <w:bottom w:val="single" w:sz="6" w:space="0" w:color="auto"/>
            </w:tcBorders>
          </w:tcPr>
          <w:p w14:paraId="7858D30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(290)</w:t>
            </w:r>
          </w:p>
        </w:tc>
        <w:tc>
          <w:tcPr>
            <w:tcW w:w="922" w:type="dxa"/>
            <w:tcBorders>
              <w:bottom w:val="single" w:sz="6" w:space="0" w:color="auto"/>
            </w:tcBorders>
          </w:tcPr>
          <w:p w14:paraId="02A5415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(242)</w:t>
            </w:r>
          </w:p>
        </w:tc>
        <w:tc>
          <w:tcPr>
            <w:tcW w:w="992" w:type="dxa"/>
            <w:tcBorders>
              <w:bottom w:val="single" w:sz="6" w:space="0" w:color="auto"/>
            </w:tcBorders>
          </w:tcPr>
          <w:p w14:paraId="18C943B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w:t>
            </w:r>
          </w:p>
        </w:tc>
        <w:tc>
          <w:tcPr>
            <w:tcW w:w="992" w:type="dxa"/>
            <w:tcBorders>
              <w:bottom w:val="single" w:sz="6" w:space="0" w:color="auto"/>
            </w:tcBorders>
          </w:tcPr>
          <w:p w14:paraId="7C37561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w:t>
            </w:r>
          </w:p>
        </w:tc>
        <w:tc>
          <w:tcPr>
            <w:tcW w:w="1062" w:type="dxa"/>
            <w:tcBorders>
              <w:bottom w:val="single" w:sz="6" w:space="0" w:color="auto"/>
            </w:tcBorders>
          </w:tcPr>
          <w:p w14:paraId="71ED967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(37)</w:t>
            </w:r>
          </w:p>
        </w:tc>
        <w:tc>
          <w:tcPr>
            <w:tcW w:w="1063" w:type="dxa"/>
            <w:tcBorders>
              <w:bottom w:val="single" w:sz="6" w:space="0" w:color="auto"/>
            </w:tcBorders>
          </w:tcPr>
          <w:p w14:paraId="42B1B6A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w:t>
            </w:r>
          </w:p>
        </w:tc>
      </w:tr>
      <w:tr w:rsidR="004D42F9" w14:paraId="10F1ED1E"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EDB8EA2" w14:textId="77777777" w:rsidR="004D42F9" w:rsidRDefault="004D42F9">
            <w:r>
              <w:rPr>
                <w:b/>
              </w:rPr>
              <w:t>Net result before tax</w:t>
            </w:r>
          </w:p>
        </w:tc>
        <w:tc>
          <w:tcPr>
            <w:tcW w:w="921" w:type="dxa"/>
            <w:tcBorders>
              <w:top w:val="single" w:sz="6" w:space="0" w:color="auto"/>
              <w:bottom w:val="single" w:sz="12" w:space="0" w:color="auto"/>
            </w:tcBorders>
          </w:tcPr>
          <w:p w14:paraId="67FB967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(290)</w:t>
            </w:r>
          </w:p>
        </w:tc>
        <w:tc>
          <w:tcPr>
            <w:tcW w:w="922" w:type="dxa"/>
            <w:tcBorders>
              <w:top w:val="single" w:sz="6" w:space="0" w:color="auto"/>
              <w:bottom w:val="single" w:sz="12" w:space="0" w:color="auto"/>
            </w:tcBorders>
          </w:tcPr>
          <w:p w14:paraId="39C86D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(242)</w:t>
            </w:r>
          </w:p>
        </w:tc>
        <w:tc>
          <w:tcPr>
            <w:tcW w:w="992" w:type="dxa"/>
            <w:tcBorders>
              <w:top w:val="single" w:sz="6" w:space="0" w:color="auto"/>
              <w:bottom w:val="single" w:sz="12" w:space="0" w:color="auto"/>
            </w:tcBorders>
          </w:tcPr>
          <w:p w14:paraId="5920CDD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(32)</w:t>
            </w:r>
          </w:p>
        </w:tc>
        <w:tc>
          <w:tcPr>
            <w:tcW w:w="992" w:type="dxa"/>
            <w:tcBorders>
              <w:top w:val="single" w:sz="6" w:space="0" w:color="auto"/>
              <w:bottom w:val="single" w:sz="12" w:space="0" w:color="auto"/>
            </w:tcBorders>
          </w:tcPr>
          <w:p w14:paraId="5A865DD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w:t>
            </w:r>
          </w:p>
        </w:tc>
        <w:tc>
          <w:tcPr>
            <w:tcW w:w="1062" w:type="dxa"/>
            <w:tcBorders>
              <w:top w:val="single" w:sz="6" w:space="0" w:color="auto"/>
              <w:bottom w:val="single" w:sz="12" w:space="0" w:color="auto"/>
            </w:tcBorders>
          </w:tcPr>
          <w:p w14:paraId="6FCBEB8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(37)</w:t>
            </w:r>
          </w:p>
        </w:tc>
        <w:tc>
          <w:tcPr>
            <w:tcW w:w="1063" w:type="dxa"/>
            <w:tcBorders>
              <w:top w:val="single" w:sz="6" w:space="0" w:color="auto"/>
              <w:bottom w:val="single" w:sz="12" w:space="0" w:color="auto"/>
            </w:tcBorders>
          </w:tcPr>
          <w:p w14:paraId="7D17B11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w:t>
            </w:r>
          </w:p>
        </w:tc>
      </w:tr>
      <w:tr w:rsidR="004D42F9" w14:paraId="211D575D"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bottom w:val="single" w:sz="6" w:space="0" w:color="auto"/>
            </w:tcBorders>
          </w:tcPr>
          <w:p w14:paraId="2C225411" w14:textId="77777777" w:rsidR="004D42F9" w:rsidRDefault="004D42F9">
            <w:r>
              <w:t>Income tax credit</w:t>
            </w:r>
          </w:p>
        </w:tc>
        <w:tc>
          <w:tcPr>
            <w:tcW w:w="921" w:type="dxa"/>
            <w:tcBorders>
              <w:top w:val="single" w:sz="0" w:space="0" w:color="auto"/>
              <w:bottom w:val="single" w:sz="6" w:space="0" w:color="auto"/>
            </w:tcBorders>
          </w:tcPr>
          <w:p w14:paraId="3BFFE48C" w14:textId="77777777" w:rsidR="004D42F9" w:rsidRDefault="004D42F9">
            <w:pPr>
              <w:cnfStyle w:val="000000000000" w:firstRow="0" w:lastRow="0" w:firstColumn="0" w:lastColumn="0" w:oddVBand="0" w:evenVBand="0" w:oddHBand="0" w:evenHBand="0" w:firstRowFirstColumn="0" w:firstRowLastColumn="0" w:lastRowFirstColumn="0" w:lastRowLastColumn="0"/>
            </w:pPr>
            <w:r>
              <w:t>6</w:t>
            </w:r>
          </w:p>
        </w:tc>
        <w:tc>
          <w:tcPr>
            <w:tcW w:w="922" w:type="dxa"/>
            <w:tcBorders>
              <w:top w:val="single" w:sz="0" w:space="0" w:color="auto"/>
              <w:bottom w:val="single" w:sz="6" w:space="0" w:color="auto"/>
            </w:tcBorders>
          </w:tcPr>
          <w:p w14:paraId="62EF9690"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92" w:type="dxa"/>
            <w:tcBorders>
              <w:top w:val="single" w:sz="0" w:space="0" w:color="auto"/>
              <w:bottom w:val="single" w:sz="6" w:space="0" w:color="auto"/>
            </w:tcBorders>
          </w:tcPr>
          <w:p w14:paraId="1C700C00"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92" w:type="dxa"/>
            <w:tcBorders>
              <w:top w:val="single" w:sz="0" w:space="0" w:color="auto"/>
              <w:bottom w:val="single" w:sz="6" w:space="0" w:color="auto"/>
            </w:tcBorders>
          </w:tcPr>
          <w:p w14:paraId="11890EE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62" w:type="dxa"/>
            <w:tcBorders>
              <w:top w:val="single" w:sz="0" w:space="0" w:color="auto"/>
              <w:bottom w:val="single" w:sz="6" w:space="0" w:color="auto"/>
            </w:tcBorders>
          </w:tcPr>
          <w:p w14:paraId="520C8E07" w14:textId="77777777" w:rsidR="004D42F9" w:rsidRDefault="004D42F9">
            <w:pPr>
              <w:cnfStyle w:val="000000000000" w:firstRow="0" w:lastRow="0" w:firstColumn="0" w:lastColumn="0" w:oddVBand="0" w:evenVBand="0" w:oddHBand="0" w:evenHBand="0" w:firstRowFirstColumn="0" w:firstRowLastColumn="0" w:lastRowFirstColumn="0" w:lastRowLastColumn="0"/>
            </w:pPr>
            <w:r>
              <w:t>8</w:t>
            </w:r>
          </w:p>
        </w:tc>
        <w:tc>
          <w:tcPr>
            <w:tcW w:w="1063" w:type="dxa"/>
            <w:tcBorders>
              <w:top w:val="single" w:sz="0" w:space="0" w:color="auto"/>
              <w:bottom w:val="single" w:sz="6" w:space="0" w:color="auto"/>
            </w:tcBorders>
          </w:tcPr>
          <w:p w14:paraId="46B1768A"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32CD50A1"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7DAD4C58" w14:textId="77777777" w:rsidR="004D42F9" w:rsidRDefault="004D42F9">
            <w:r>
              <w:rPr>
                <w:b/>
              </w:rPr>
              <w:t>Net result</w:t>
            </w:r>
          </w:p>
        </w:tc>
        <w:tc>
          <w:tcPr>
            <w:tcW w:w="921" w:type="dxa"/>
            <w:tcBorders>
              <w:top w:val="single" w:sz="6" w:space="0" w:color="auto"/>
              <w:bottom w:val="single" w:sz="12" w:space="0" w:color="auto"/>
            </w:tcBorders>
          </w:tcPr>
          <w:p w14:paraId="7C56C9B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(283)</w:t>
            </w:r>
          </w:p>
        </w:tc>
        <w:tc>
          <w:tcPr>
            <w:tcW w:w="922" w:type="dxa"/>
            <w:tcBorders>
              <w:top w:val="single" w:sz="6" w:space="0" w:color="auto"/>
              <w:bottom w:val="single" w:sz="12" w:space="0" w:color="auto"/>
            </w:tcBorders>
          </w:tcPr>
          <w:p w14:paraId="2884AA1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(238)</w:t>
            </w:r>
          </w:p>
        </w:tc>
        <w:tc>
          <w:tcPr>
            <w:tcW w:w="992" w:type="dxa"/>
            <w:tcBorders>
              <w:top w:val="single" w:sz="6" w:space="0" w:color="auto"/>
              <w:bottom w:val="single" w:sz="12" w:space="0" w:color="auto"/>
            </w:tcBorders>
          </w:tcPr>
          <w:p w14:paraId="047D70D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(31)</w:t>
            </w:r>
          </w:p>
        </w:tc>
        <w:tc>
          <w:tcPr>
            <w:tcW w:w="992" w:type="dxa"/>
            <w:tcBorders>
              <w:top w:val="single" w:sz="6" w:space="0" w:color="auto"/>
              <w:bottom w:val="single" w:sz="12" w:space="0" w:color="auto"/>
            </w:tcBorders>
          </w:tcPr>
          <w:p w14:paraId="5B5EF56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w:t>
            </w:r>
          </w:p>
        </w:tc>
        <w:tc>
          <w:tcPr>
            <w:tcW w:w="1062" w:type="dxa"/>
            <w:tcBorders>
              <w:top w:val="single" w:sz="6" w:space="0" w:color="auto"/>
              <w:bottom w:val="single" w:sz="12" w:space="0" w:color="auto"/>
            </w:tcBorders>
          </w:tcPr>
          <w:p w14:paraId="64F9F9B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(29)</w:t>
            </w:r>
          </w:p>
        </w:tc>
        <w:tc>
          <w:tcPr>
            <w:tcW w:w="1063" w:type="dxa"/>
            <w:tcBorders>
              <w:top w:val="single" w:sz="6" w:space="0" w:color="auto"/>
              <w:bottom w:val="single" w:sz="12" w:space="0" w:color="auto"/>
            </w:tcBorders>
          </w:tcPr>
          <w:p w14:paraId="64EEA8C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w:t>
            </w:r>
          </w:p>
        </w:tc>
      </w:tr>
      <w:tr w:rsidR="004D42F9" w14:paraId="50A1BA4F"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0" w:space="0" w:color="auto"/>
              <w:bottom w:val="single" w:sz="6" w:space="0" w:color="auto"/>
            </w:tcBorders>
          </w:tcPr>
          <w:p w14:paraId="099AF9C6" w14:textId="30D3F3B8" w:rsidR="004D42F9" w:rsidRDefault="004D42F9">
            <w:r>
              <w:t xml:space="preserve">Other economic flows – </w:t>
            </w:r>
            <w:r w:rsidR="007E2A58">
              <w:t xml:space="preserve">Other </w:t>
            </w:r>
            <w:r>
              <w:t>comprehensive income</w:t>
            </w:r>
          </w:p>
        </w:tc>
        <w:tc>
          <w:tcPr>
            <w:tcW w:w="921" w:type="dxa"/>
            <w:tcBorders>
              <w:top w:val="single" w:sz="0" w:space="0" w:color="auto"/>
              <w:bottom w:val="single" w:sz="6" w:space="0" w:color="auto"/>
            </w:tcBorders>
          </w:tcPr>
          <w:p w14:paraId="196CC6C5"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2" w:type="dxa"/>
            <w:tcBorders>
              <w:top w:val="single" w:sz="0" w:space="0" w:color="auto"/>
              <w:bottom w:val="single" w:sz="6" w:space="0" w:color="auto"/>
            </w:tcBorders>
          </w:tcPr>
          <w:p w14:paraId="7D1242F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92" w:type="dxa"/>
            <w:tcBorders>
              <w:top w:val="single" w:sz="0" w:space="0" w:color="auto"/>
              <w:bottom w:val="single" w:sz="6" w:space="0" w:color="auto"/>
            </w:tcBorders>
          </w:tcPr>
          <w:p w14:paraId="40A0D26E" w14:textId="77777777" w:rsidR="004D42F9" w:rsidRDefault="004D42F9">
            <w:pPr>
              <w:cnfStyle w:val="000000000000" w:firstRow="0" w:lastRow="0" w:firstColumn="0" w:lastColumn="0" w:oddVBand="0" w:evenVBand="0" w:oddHBand="0" w:evenHBand="0" w:firstRowFirstColumn="0" w:firstRowLastColumn="0" w:lastRowFirstColumn="0" w:lastRowLastColumn="0"/>
            </w:pPr>
            <w:r>
              <w:t>57</w:t>
            </w:r>
          </w:p>
        </w:tc>
        <w:tc>
          <w:tcPr>
            <w:tcW w:w="992" w:type="dxa"/>
            <w:tcBorders>
              <w:top w:val="single" w:sz="0" w:space="0" w:color="auto"/>
              <w:bottom w:val="single" w:sz="6" w:space="0" w:color="auto"/>
            </w:tcBorders>
          </w:tcPr>
          <w:p w14:paraId="74B59CCD"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1062" w:type="dxa"/>
            <w:tcBorders>
              <w:top w:val="single" w:sz="0" w:space="0" w:color="auto"/>
              <w:bottom w:val="single" w:sz="6" w:space="0" w:color="auto"/>
            </w:tcBorders>
          </w:tcPr>
          <w:p w14:paraId="764D5251"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1063" w:type="dxa"/>
            <w:tcBorders>
              <w:top w:val="single" w:sz="0" w:space="0" w:color="auto"/>
              <w:bottom w:val="single" w:sz="6" w:space="0" w:color="auto"/>
            </w:tcBorders>
          </w:tcPr>
          <w:p w14:paraId="0F5BD25C" w14:textId="77777777" w:rsidR="004D42F9" w:rsidRDefault="004D42F9">
            <w:pPr>
              <w:cnfStyle w:val="000000000000" w:firstRow="0" w:lastRow="0" w:firstColumn="0" w:lastColumn="0" w:oddVBand="0" w:evenVBand="0" w:oddHBand="0" w:evenHBand="0" w:firstRowFirstColumn="0" w:firstRowLastColumn="0" w:lastRowFirstColumn="0" w:lastRowLastColumn="0"/>
            </w:pPr>
            <w:r>
              <w:t>(6)</w:t>
            </w:r>
          </w:p>
        </w:tc>
      </w:tr>
      <w:tr w:rsidR="004D42F9" w14:paraId="269A1D0A" w14:textId="77777777">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67754CF4" w14:textId="77777777" w:rsidR="004D42F9" w:rsidRDefault="004D42F9">
            <w:r>
              <w:rPr>
                <w:b/>
              </w:rPr>
              <w:t>Total comprehensive income</w:t>
            </w:r>
          </w:p>
        </w:tc>
        <w:tc>
          <w:tcPr>
            <w:tcW w:w="921" w:type="dxa"/>
            <w:tcBorders>
              <w:top w:val="single" w:sz="6" w:space="0" w:color="auto"/>
              <w:bottom w:val="single" w:sz="12" w:space="0" w:color="auto"/>
            </w:tcBorders>
          </w:tcPr>
          <w:p w14:paraId="1A1607D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(283)</w:t>
            </w:r>
          </w:p>
        </w:tc>
        <w:tc>
          <w:tcPr>
            <w:tcW w:w="922" w:type="dxa"/>
            <w:tcBorders>
              <w:top w:val="single" w:sz="6" w:space="0" w:color="auto"/>
              <w:bottom w:val="single" w:sz="12" w:space="0" w:color="auto"/>
            </w:tcBorders>
          </w:tcPr>
          <w:p w14:paraId="5A372C0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(238)</w:t>
            </w:r>
          </w:p>
        </w:tc>
        <w:tc>
          <w:tcPr>
            <w:tcW w:w="992" w:type="dxa"/>
            <w:tcBorders>
              <w:top w:val="single" w:sz="6" w:space="0" w:color="auto"/>
              <w:bottom w:val="single" w:sz="12" w:space="0" w:color="auto"/>
            </w:tcBorders>
          </w:tcPr>
          <w:p w14:paraId="11A0E47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w:t>
            </w:r>
          </w:p>
        </w:tc>
        <w:tc>
          <w:tcPr>
            <w:tcW w:w="992" w:type="dxa"/>
            <w:tcBorders>
              <w:top w:val="single" w:sz="6" w:space="0" w:color="auto"/>
              <w:bottom w:val="single" w:sz="12" w:space="0" w:color="auto"/>
            </w:tcBorders>
          </w:tcPr>
          <w:p w14:paraId="646A17A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w:t>
            </w:r>
          </w:p>
        </w:tc>
        <w:tc>
          <w:tcPr>
            <w:tcW w:w="1062" w:type="dxa"/>
            <w:tcBorders>
              <w:top w:val="single" w:sz="6" w:space="0" w:color="auto"/>
              <w:bottom w:val="single" w:sz="12" w:space="0" w:color="auto"/>
            </w:tcBorders>
          </w:tcPr>
          <w:p w14:paraId="551A3AC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(25)</w:t>
            </w:r>
          </w:p>
        </w:tc>
        <w:tc>
          <w:tcPr>
            <w:tcW w:w="1063" w:type="dxa"/>
            <w:tcBorders>
              <w:top w:val="single" w:sz="6" w:space="0" w:color="auto"/>
              <w:bottom w:val="single" w:sz="12" w:space="0" w:color="auto"/>
            </w:tcBorders>
          </w:tcPr>
          <w:p w14:paraId="6A4CFD3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w:t>
            </w:r>
          </w:p>
        </w:tc>
      </w:tr>
    </w:tbl>
    <w:p w14:paraId="0158D31E" w14:textId="77777777" w:rsidR="004D42F9" w:rsidRDefault="004D42F9" w:rsidP="004D42F9"/>
    <w:p w14:paraId="0557742D" w14:textId="77777777" w:rsidR="00A30637" w:rsidRDefault="00A30637">
      <w:pPr>
        <w:keepLines w:val="0"/>
        <w:rPr>
          <w:rFonts w:asciiTheme="majorHAnsi" w:eastAsiaTheme="majorEastAsia" w:hAnsiTheme="majorHAnsi" w:cstheme="majorBidi"/>
          <w:b/>
          <w:sz w:val="23"/>
          <w:szCs w:val="24"/>
        </w:rPr>
      </w:pPr>
      <w:r>
        <w:br w:type="page"/>
      </w:r>
    </w:p>
    <w:p w14:paraId="47A7C824" w14:textId="7B624E01" w:rsidR="004D42F9" w:rsidRDefault="004D42F9" w:rsidP="004D42F9">
      <w:pPr>
        <w:pStyle w:val="Heading3"/>
        <w:ind w:left="0" w:firstLine="0"/>
      </w:pPr>
      <w:r>
        <w:lastRenderedPageBreak/>
        <w:t>4.4.2</w:t>
      </w:r>
      <w:r>
        <w:tab/>
        <w:t>Joint operations</w:t>
      </w:r>
    </w:p>
    <w:p w14:paraId="58420728" w14:textId="77777777" w:rsidR="00845934" w:rsidRDefault="00845934" w:rsidP="004D42F9">
      <w:pPr>
        <w:keepNext/>
        <w:sectPr w:rsidR="00845934" w:rsidSect="004D42F9">
          <w:type w:val="continuous"/>
          <w:pgSz w:w="11906" w:h="16838" w:code="9"/>
          <w:pgMar w:top="1134" w:right="1134" w:bottom="1134" w:left="1134" w:header="624" w:footer="567" w:gutter="0"/>
          <w:cols w:space="708"/>
          <w:docGrid w:linePitch="360"/>
        </w:sectPr>
      </w:pPr>
    </w:p>
    <w:p w14:paraId="0AB5E74C" w14:textId="77777777" w:rsidR="004D42F9" w:rsidRDefault="004D42F9" w:rsidP="004D42F9">
      <w:pPr>
        <w:keepNext/>
      </w:pPr>
      <w:r>
        <w:t>The State has classified the following arrangements as joint operations, based on the rights and obligations of each investor to the arrangement.</w:t>
      </w:r>
    </w:p>
    <w:p w14:paraId="7F7701DB" w14:textId="77777777" w:rsidR="004D42F9" w:rsidRDefault="004D42F9" w:rsidP="004D42F9">
      <w:r>
        <w:t xml:space="preserve">For these arrangements, the State recognises in its financial statements: </w:t>
      </w:r>
    </w:p>
    <w:p w14:paraId="138F380E" w14:textId="77777777" w:rsidR="004D42F9" w:rsidRPr="00992EF4" w:rsidRDefault="004D42F9" w:rsidP="004D42F9">
      <w:pPr>
        <w:pStyle w:val="ListBullet"/>
        <w:keepLines/>
        <w:numPr>
          <w:ilvl w:val="0"/>
          <w:numId w:val="27"/>
        </w:numPr>
      </w:pPr>
      <w:r w:rsidRPr="00992EF4">
        <w:t xml:space="preserve">its direct right to the assets, liabilities, revenues and expenses </w:t>
      </w:r>
    </w:p>
    <w:p w14:paraId="78196757" w14:textId="4B471388" w:rsidR="00845934" w:rsidRDefault="004D42F9">
      <w:pPr>
        <w:pStyle w:val="ListBullet"/>
        <w:keepLines/>
        <w:numPr>
          <w:ilvl w:val="0"/>
          <w:numId w:val="27"/>
        </w:numPr>
        <w:sectPr w:rsidR="00845934" w:rsidSect="00845934">
          <w:type w:val="continuous"/>
          <w:pgSz w:w="11906" w:h="16838" w:code="9"/>
          <w:pgMar w:top="1134" w:right="1134" w:bottom="1134" w:left="1134" w:header="624" w:footer="567" w:gutter="0"/>
          <w:cols w:num="2" w:space="708"/>
          <w:docGrid w:linePitch="360"/>
        </w:sectPr>
      </w:pPr>
      <w:r w:rsidRPr="00992EF4">
        <w:t>its share of any jointly held or incurred assets, liabilities, revenues and expenses.</w:t>
      </w:r>
      <w:r w:rsidR="00A30637">
        <w:br w:type="column"/>
      </w:r>
    </w:p>
    <w:p w14:paraId="0361654C" w14:textId="77777777" w:rsidR="004D42F9" w:rsidRDefault="004D42F9" w:rsidP="00A30637">
      <w:pPr>
        <w:pStyle w:val="Heading4"/>
        <w:spacing w:before="360" w:after="0"/>
      </w:pPr>
      <w:r>
        <w:t>Royal Melbourne Showgrounds</w:t>
      </w:r>
    </w:p>
    <w:p w14:paraId="5D9A1E58"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4A77C098" w14:textId="53AF4F83" w:rsidR="004D42F9" w:rsidRDefault="004D42F9" w:rsidP="004D42F9">
      <w:r>
        <w:t>The State entered into a joint venture agreement with the Royal Agricultural Society of Victoria (RASV) in 2003 to redevelop the Royal Melbourne Showgrounds. The State of Victoria</w:t>
      </w:r>
      <w:r w:rsidR="00845934">
        <w:t>’</w:t>
      </w:r>
      <w:r>
        <w:t xml:space="preserve">s interest in the unincorporated joint venture at 30 June 2025 was </w:t>
      </w:r>
      <w:r w:rsidRPr="0003625F">
        <w:t>50 per cent</w:t>
      </w:r>
      <w:r>
        <w:t xml:space="preserve"> (50 per cent in 2024), and is recognised as a joint operation for accounting purposes. </w:t>
      </w:r>
    </w:p>
    <w:p w14:paraId="6F245298" w14:textId="5D8B336B" w:rsidR="004D42F9" w:rsidRDefault="004D42F9" w:rsidP="004D42F9">
      <w:r>
        <w:t>Under the agreement, the State has agreed to support certain obligations of RASV that may arise out of the joint operation. In accordance with the terms set out in the State</w:t>
      </w:r>
      <w:r w:rsidR="00845934">
        <w:t>’</w:t>
      </w:r>
      <w:r>
        <w:t>s commitment to RASV, the State will pay (in the form of a loan), the amount requested by RASV. If any outstanding loan amount remains unpaid at the date 25 years after the operation term has commenced, RASV will be obliged to satisfy and discharge any outstanding loan amount. This may take the form of a transfer to the State of the whole of the RASV participating interest in the joint operation.</w:t>
      </w:r>
    </w:p>
    <w:p w14:paraId="5F818714" w14:textId="77777777" w:rsidR="004D42F9" w:rsidRDefault="004D42F9" w:rsidP="004D42F9">
      <w:r w:rsidRPr="00CA59A8">
        <w:t>In May 2020, RASV advised the State that it is unable to meet its share of the quarterly service payments (QSPs) under the Development and Operations Agreement with PPP Solutions (Showgrounds) Nominee Pty Ltd. Accordingly, the State has recognised a financial guarantee liability amounting to $</w:t>
      </w:r>
      <w:r w:rsidRPr="0003625F">
        <w:t>61.1 million in relation</w:t>
      </w:r>
      <w:r w:rsidRPr="00CA59A8">
        <w:t xml:space="preserve"> to this obligation. As at 30 June </w:t>
      </w:r>
      <w:r>
        <w:t>2025</w:t>
      </w:r>
      <w:r w:rsidRPr="00CA59A8">
        <w:t>, the balance of this liability was $</w:t>
      </w:r>
      <w:r>
        <w:t>29.8</w:t>
      </w:r>
      <w:r w:rsidRPr="0003625F">
        <w:t> million</w:t>
      </w:r>
      <w:r w:rsidRPr="00CA59A8">
        <w:t>.</w:t>
      </w:r>
      <w:r>
        <w:t xml:space="preserve"> </w:t>
      </w:r>
    </w:p>
    <w:p w14:paraId="0727FFD5" w14:textId="06B0686A" w:rsidR="004D42F9" w:rsidRDefault="004D42F9" w:rsidP="004D42F9">
      <w:r>
        <w:t>Since June 2020, the State has provided RASV with a loan to fulfill its obligation to pay RASV</w:t>
      </w:r>
      <w:r w:rsidR="00845934">
        <w:t>’</w:t>
      </w:r>
      <w:r>
        <w:t>s proportion of QSPs to the concessionaire.</w:t>
      </w:r>
    </w:p>
    <w:p w14:paraId="7C8B0A4B" w14:textId="77777777" w:rsidR="00845934" w:rsidRDefault="00845934" w:rsidP="004D42F9">
      <w:pPr>
        <w:pStyle w:val="Heading4"/>
        <w:sectPr w:rsidR="00845934" w:rsidSect="00845934">
          <w:type w:val="continuous"/>
          <w:pgSz w:w="11906" w:h="16838" w:code="9"/>
          <w:pgMar w:top="1134" w:right="1134" w:bottom="1134" w:left="1134" w:header="624" w:footer="567" w:gutter="0"/>
          <w:cols w:num="2" w:space="708"/>
          <w:docGrid w:linePitch="360"/>
        </w:sectPr>
      </w:pPr>
      <w:bookmarkStart w:id="91" w:name="_Hlk143084621"/>
    </w:p>
    <w:p w14:paraId="248E41A2" w14:textId="77777777" w:rsidR="004D42F9" w:rsidRDefault="004D42F9" w:rsidP="00A30637">
      <w:pPr>
        <w:pStyle w:val="Heading4"/>
        <w:spacing w:before="360" w:after="0"/>
      </w:pPr>
      <w:r>
        <w:t>AgriBio Project</w:t>
      </w:r>
    </w:p>
    <w:p w14:paraId="3131B4EC" w14:textId="77777777" w:rsidR="00845934" w:rsidRDefault="00845934" w:rsidP="004D42F9">
      <w:pPr>
        <w:sectPr w:rsidR="00845934" w:rsidSect="004D42F9">
          <w:type w:val="continuous"/>
          <w:pgSz w:w="11906" w:h="16838" w:code="9"/>
          <w:pgMar w:top="1134" w:right="1134" w:bottom="1134" w:left="1134" w:header="624" w:footer="567" w:gutter="0"/>
          <w:cols w:space="708"/>
          <w:docGrid w:linePitch="360"/>
        </w:sectPr>
      </w:pPr>
    </w:p>
    <w:p w14:paraId="0078A09F" w14:textId="4AC25E46" w:rsidR="004D42F9" w:rsidRDefault="004D42F9" w:rsidP="004D42F9">
      <w:r>
        <w:t>In April 2008, the State entered into a joint venture agreement with La Trobe University to establish a world</w:t>
      </w:r>
      <w:r>
        <w:noBreakHyphen/>
        <w:t>class research facility on the university</w:t>
      </w:r>
      <w:r w:rsidR="00845934">
        <w:t>’</w:t>
      </w:r>
      <w:r>
        <w:t xml:space="preserve">s campus in Bundoora. </w:t>
      </w:r>
    </w:p>
    <w:p w14:paraId="2EB6B327" w14:textId="401B539B" w:rsidR="004D42F9" w:rsidRDefault="004D42F9" w:rsidP="004D42F9">
      <w:pPr>
        <w:ind w:right="-125"/>
      </w:pPr>
      <w:r>
        <w:t>The State of Victoria</w:t>
      </w:r>
      <w:r w:rsidR="00845934">
        <w:t>’</w:t>
      </w:r>
      <w:r>
        <w:t xml:space="preserve">s interest in the unincorporated joint venture at 30 June 2025 was </w:t>
      </w:r>
      <w:r w:rsidRPr="0003625F">
        <w:t>75 per cent</w:t>
      </w:r>
      <w:r>
        <w:t xml:space="preserve"> (75 per cent in 2024).</w:t>
      </w:r>
      <w:bookmarkEnd w:id="91"/>
    </w:p>
    <w:p w14:paraId="5AF68458" w14:textId="77777777" w:rsidR="00845934" w:rsidRDefault="00845934" w:rsidP="004D42F9">
      <w:pPr>
        <w:pStyle w:val="Heading4"/>
        <w:sectPr w:rsidR="00845934" w:rsidSect="00845934">
          <w:type w:val="continuous"/>
          <w:pgSz w:w="11906" w:h="16838" w:code="9"/>
          <w:pgMar w:top="1134" w:right="1134" w:bottom="1134" w:left="1134" w:header="624" w:footer="567" w:gutter="0"/>
          <w:cols w:num="2" w:space="708"/>
          <w:docGrid w:linePitch="360"/>
        </w:sectPr>
      </w:pPr>
    </w:p>
    <w:p w14:paraId="3203AC46" w14:textId="77777777" w:rsidR="004D42F9" w:rsidRDefault="004D42F9" w:rsidP="00A30637">
      <w:pPr>
        <w:pStyle w:val="Heading4"/>
        <w:spacing w:before="360" w:after="0"/>
      </w:pPr>
      <w:r>
        <w:t>Murray-Darling Basin Authority</w:t>
      </w:r>
    </w:p>
    <w:p w14:paraId="12FEEB1A" w14:textId="77777777" w:rsidR="00845934" w:rsidRDefault="00845934" w:rsidP="004D42F9">
      <w:pPr>
        <w:ind w:right="-213"/>
        <w:sectPr w:rsidR="00845934" w:rsidSect="004D42F9">
          <w:type w:val="continuous"/>
          <w:pgSz w:w="11906" w:h="16838" w:code="9"/>
          <w:pgMar w:top="1134" w:right="1134" w:bottom="1134" w:left="1134" w:header="624" w:footer="567" w:gutter="0"/>
          <w:cols w:space="708"/>
          <w:docGrid w:linePitch="360"/>
        </w:sectPr>
      </w:pPr>
    </w:p>
    <w:p w14:paraId="51F4B4E2" w14:textId="77777777" w:rsidR="004D42F9" w:rsidRDefault="004D42F9" w:rsidP="004D42F9">
      <w:pPr>
        <w:ind w:right="-213"/>
      </w:pPr>
      <w:r>
        <w:t>The Commonwealth and the basin states – New South Wales, Victoria, Queensland, South Australia and the Australian Capital Territory – entered into the intergovernmental agreement for the Murray</w:t>
      </w:r>
      <w:r>
        <w:noBreakHyphen/>
        <w:t xml:space="preserve">Darling Basin Reform. Under the </w:t>
      </w:r>
      <w:r w:rsidRPr="005B6670">
        <w:rPr>
          <w:i/>
        </w:rPr>
        <w:t>Water Act 2007</w:t>
      </w:r>
      <w:r>
        <w:t xml:space="preserve"> (Cth), the Murray-Darling Basin Authority (MDBA) was established by the Commonwealth on 3 July 2008, and the participants have a joint interest in the infrastructure assets and water rights.</w:t>
      </w:r>
    </w:p>
    <w:p w14:paraId="33CC342E" w14:textId="77777777" w:rsidR="004D42F9" w:rsidRDefault="004D42F9" w:rsidP="004D42F9">
      <w:r>
        <w:t>The MDBA undertakes activities that support the sustainable and integrated management of the water resources of the Murray-Darling Basin in a way that best meets the social, economic and environmental needs of the Basin and its communities.</w:t>
      </w:r>
    </w:p>
    <w:p w14:paraId="3BFAA46C" w14:textId="77777777" w:rsidR="004D42F9" w:rsidRDefault="004D42F9" w:rsidP="004D42F9">
      <w:r>
        <w:t xml:space="preserve">The share in the individually controlled assets was transferred at transition in the original proportions of the share of the entity held by the individual jurisdictions as follows: </w:t>
      </w:r>
    </w:p>
    <w:p w14:paraId="1982A9AA" w14:textId="77777777" w:rsidR="004D42F9" w:rsidRPr="00875CD3" w:rsidRDefault="004D42F9" w:rsidP="004D42F9">
      <w:pPr>
        <w:pStyle w:val="ListBullet"/>
        <w:keepLines/>
        <w:numPr>
          <w:ilvl w:val="0"/>
          <w:numId w:val="27"/>
        </w:numPr>
      </w:pPr>
      <w:r w:rsidRPr="00875CD3">
        <w:t>New South Wales: 26.7 per cent</w:t>
      </w:r>
    </w:p>
    <w:p w14:paraId="44B39DD9" w14:textId="77777777" w:rsidR="004D42F9" w:rsidRPr="00875CD3" w:rsidRDefault="004D42F9" w:rsidP="004D42F9">
      <w:pPr>
        <w:pStyle w:val="ListBullet"/>
        <w:keepLines/>
        <w:numPr>
          <w:ilvl w:val="0"/>
          <w:numId w:val="27"/>
        </w:numPr>
      </w:pPr>
      <w:r w:rsidRPr="00875CD3">
        <w:t>South Australia: 26.7 per cent</w:t>
      </w:r>
    </w:p>
    <w:p w14:paraId="39BB656D" w14:textId="77777777" w:rsidR="004D42F9" w:rsidRPr="00875CD3" w:rsidRDefault="004D42F9" w:rsidP="004D42F9">
      <w:pPr>
        <w:pStyle w:val="ListBullet"/>
        <w:keepLines/>
        <w:numPr>
          <w:ilvl w:val="0"/>
          <w:numId w:val="27"/>
        </w:numPr>
      </w:pPr>
      <w:r w:rsidRPr="00875CD3">
        <w:t>Victoria: 26.7 per cent</w:t>
      </w:r>
    </w:p>
    <w:p w14:paraId="652EC709" w14:textId="77777777" w:rsidR="004D42F9" w:rsidRPr="00875CD3" w:rsidRDefault="004D42F9" w:rsidP="004D42F9">
      <w:pPr>
        <w:pStyle w:val="ListBullet"/>
        <w:keepLines/>
        <w:numPr>
          <w:ilvl w:val="0"/>
          <w:numId w:val="27"/>
        </w:numPr>
      </w:pPr>
      <w:r w:rsidRPr="00875CD3">
        <w:t>the Commonwealth Government: 20 per cent.</w:t>
      </w:r>
    </w:p>
    <w:p w14:paraId="4E968633" w14:textId="77777777" w:rsidR="004D42F9" w:rsidRPr="00875CD3" w:rsidRDefault="004D42F9" w:rsidP="004D42F9">
      <w:r>
        <w:t>There has been no change in the share of ownership since the prior year.</w:t>
      </w:r>
    </w:p>
    <w:bookmarkEnd w:id="87"/>
    <w:p w14:paraId="6413791C" w14:textId="77777777" w:rsidR="00845934" w:rsidRDefault="00845934" w:rsidP="004D42F9"/>
    <w:p w14:paraId="588DF9B8" w14:textId="77777777" w:rsidR="00A30637" w:rsidRDefault="00A30637" w:rsidP="004D42F9">
      <w:pPr>
        <w:sectPr w:rsidR="00A30637" w:rsidSect="00845934">
          <w:type w:val="continuous"/>
          <w:pgSz w:w="11906" w:h="16838" w:code="9"/>
          <w:pgMar w:top="1134" w:right="1134" w:bottom="1134" w:left="1134" w:header="624" w:footer="567" w:gutter="0"/>
          <w:cols w:num="2" w:space="708"/>
          <w:docGrid w:linePitch="360"/>
        </w:sectPr>
      </w:pPr>
    </w:p>
    <w:p w14:paraId="134C4348" w14:textId="77777777" w:rsidR="004D42F9" w:rsidRDefault="004D42F9" w:rsidP="004D42F9">
      <w:pPr>
        <w:pStyle w:val="Heading1"/>
      </w:pPr>
      <w:bookmarkStart w:id="92" w:name="_Toc203394900"/>
      <w:bookmarkStart w:id="93" w:name="_Toc209474781"/>
      <w:r>
        <w:lastRenderedPageBreak/>
        <w:t>5.</w:t>
      </w:r>
      <w:r>
        <w:tab/>
        <w:t>Financing state operations</w:t>
      </w:r>
      <w:bookmarkEnd w:id="92"/>
      <w:bookmarkEnd w:id="93"/>
    </w:p>
    <w:p w14:paraId="7B743809" w14:textId="77777777" w:rsidR="00A30637" w:rsidRDefault="00A30637" w:rsidP="004D42F9">
      <w:pPr>
        <w:pStyle w:val="Heading3"/>
        <w:sectPr w:rsidR="00A30637" w:rsidSect="004F2221">
          <w:headerReference w:type="even" r:id="rId83"/>
          <w:type w:val="continuous"/>
          <w:pgSz w:w="11906" w:h="16838" w:code="9"/>
          <w:pgMar w:top="1134" w:right="1134" w:bottom="1134" w:left="1134" w:header="624" w:footer="567" w:gutter="0"/>
          <w:cols w:space="708"/>
          <w:titlePg/>
          <w:docGrid w:linePitch="360"/>
        </w:sectPr>
      </w:pPr>
    </w:p>
    <w:p w14:paraId="6FBDE8B6" w14:textId="77777777" w:rsidR="004D42F9" w:rsidRDefault="004D42F9" w:rsidP="004D42F9">
      <w:pPr>
        <w:pStyle w:val="Heading3"/>
      </w:pPr>
      <w:r>
        <w:t>Introduction</w:t>
      </w:r>
    </w:p>
    <w:p w14:paraId="639579DD" w14:textId="77777777" w:rsidR="004D42F9" w:rsidRDefault="004D42F9" w:rsidP="004D42F9">
      <w:r>
        <w:t>State operations are financed through a variety of means, including surplus cash flows from operating activities, asset sales, advances and borrowings.</w:t>
      </w:r>
    </w:p>
    <w:p w14:paraId="7870F4EA" w14:textId="3971D51F" w:rsidR="004D42F9" w:rsidRDefault="004D42F9" w:rsidP="004D42F9">
      <w:r>
        <w:t>This section presents the financing of the State and general government sector</w:t>
      </w:r>
      <w:r w:rsidR="00845934">
        <w:t>’</w:t>
      </w:r>
      <w:r>
        <w:t>s operations, including material commitments, leases and service concession arrangements recorded by the State.</w:t>
      </w:r>
    </w:p>
    <w:p w14:paraId="2070A8D9" w14:textId="5F3E6F4E" w:rsidR="004D42F9" w:rsidRDefault="00A30637" w:rsidP="004D42F9">
      <w:pPr>
        <w:pStyle w:val="Heading3"/>
      </w:pPr>
      <w:r>
        <w:br w:type="column"/>
      </w:r>
      <w:r w:rsidR="004D42F9">
        <w:t>Structure</w:t>
      </w:r>
    </w:p>
    <w:p w14:paraId="572866DC" w14:textId="1D430338" w:rsidR="00BC0C0C" w:rsidRDefault="004D42F9">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Section5 \t "Heading 2,9" </w:instrText>
      </w:r>
      <w:r>
        <w:rPr>
          <w:color w:val="2B579A"/>
          <w:shd w:val="clear" w:color="auto" w:fill="E6E6E6"/>
        </w:rPr>
        <w:fldChar w:fldCharType="separate"/>
      </w:r>
      <w:hyperlink w:anchor="_Toc209481758" w:history="1">
        <w:r w:rsidR="00BC0C0C" w:rsidRPr="0059229E">
          <w:rPr>
            <w:rStyle w:val="Hyperlink"/>
            <w:noProof/>
          </w:rPr>
          <w:t>5.1</w:t>
        </w:r>
        <w:r w:rsidR="00BC0C0C">
          <w:rPr>
            <w:rFonts w:eastAsiaTheme="minorEastAsia"/>
            <w:noProof/>
            <w:kern w:val="2"/>
            <w:sz w:val="24"/>
            <w:szCs w:val="24"/>
            <w:lang w:eastAsia="en-AU"/>
            <w14:ligatures w14:val="standardContextual"/>
          </w:rPr>
          <w:tab/>
        </w:r>
        <w:r w:rsidR="00BC0C0C" w:rsidRPr="0059229E">
          <w:rPr>
            <w:rStyle w:val="Hyperlink"/>
            <w:noProof/>
          </w:rPr>
          <w:t>Borrowings</w:t>
        </w:r>
        <w:r w:rsidR="00BC0C0C">
          <w:rPr>
            <w:noProof/>
            <w:webHidden/>
          </w:rPr>
          <w:tab/>
        </w:r>
        <w:r w:rsidR="00BC0C0C">
          <w:rPr>
            <w:noProof/>
            <w:webHidden/>
          </w:rPr>
          <w:fldChar w:fldCharType="begin"/>
        </w:r>
        <w:r w:rsidR="00BC0C0C">
          <w:rPr>
            <w:noProof/>
            <w:webHidden/>
          </w:rPr>
          <w:instrText xml:space="preserve"> PAGEREF _Toc209481758 \h </w:instrText>
        </w:r>
        <w:r w:rsidR="00BC0C0C">
          <w:rPr>
            <w:noProof/>
            <w:webHidden/>
          </w:rPr>
        </w:r>
        <w:r w:rsidR="00BC0C0C">
          <w:rPr>
            <w:noProof/>
            <w:webHidden/>
          </w:rPr>
          <w:fldChar w:fldCharType="separate"/>
        </w:r>
        <w:r w:rsidR="00727C5B">
          <w:rPr>
            <w:noProof/>
            <w:webHidden/>
          </w:rPr>
          <w:t>85</w:t>
        </w:r>
        <w:r w:rsidR="00BC0C0C">
          <w:rPr>
            <w:noProof/>
            <w:webHidden/>
          </w:rPr>
          <w:fldChar w:fldCharType="end"/>
        </w:r>
      </w:hyperlink>
    </w:p>
    <w:p w14:paraId="43FEF471" w14:textId="46FC52F5" w:rsidR="00BC0C0C" w:rsidRDefault="00BC0C0C">
      <w:pPr>
        <w:pStyle w:val="TOC9"/>
        <w:rPr>
          <w:rFonts w:eastAsiaTheme="minorEastAsia"/>
          <w:noProof/>
          <w:kern w:val="2"/>
          <w:sz w:val="24"/>
          <w:szCs w:val="24"/>
          <w:lang w:eastAsia="en-AU"/>
          <w14:ligatures w14:val="standardContextual"/>
        </w:rPr>
      </w:pPr>
      <w:hyperlink w:anchor="_Toc209481759" w:history="1">
        <w:r w:rsidRPr="0059229E">
          <w:rPr>
            <w:rStyle w:val="Hyperlink"/>
            <w:noProof/>
          </w:rPr>
          <w:t>5.2</w:t>
        </w:r>
        <w:r>
          <w:rPr>
            <w:rFonts w:eastAsiaTheme="minorEastAsia"/>
            <w:noProof/>
            <w:kern w:val="2"/>
            <w:sz w:val="24"/>
            <w:szCs w:val="24"/>
            <w:lang w:eastAsia="en-AU"/>
            <w14:ligatures w14:val="standardContextual"/>
          </w:rPr>
          <w:tab/>
        </w:r>
        <w:r w:rsidRPr="0059229E">
          <w:rPr>
            <w:rStyle w:val="Hyperlink"/>
            <w:noProof/>
          </w:rPr>
          <w:t>Interest expense</w:t>
        </w:r>
        <w:r>
          <w:rPr>
            <w:noProof/>
            <w:webHidden/>
          </w:rPr>
          <w:tab/>
        </w:r>
        <w:r>
          <w:rPr>
            <w:noProof/>
            <w:webHidden/>
          </w:rPr>
          <w:fldChar w:fldCharType="begin"/>
        </w:r>
        <w:r>
          <w:rPr>
            <w:noProof/>
            <w:webHidden/>
          </w:rPr>
          <w:instrText xml:space="preserve"> PAGEREF _Toc209481759 \h </w:instrText>
        </w:r>
        <w:r>
          <w:rPr>
            <w:noProof/>
            <w:webHidden/>
          </w:rPr>
        </w:r>
        <w:r>
          <w:rPr>
            <w:noProof/>
            <w:webHidden/>
          </w:rPr>
          <w:fldChar w:fldCharType="separate"/>
        </w:r>
        <w:r w:rsidR="00727C5B">
          <w:rPr>
            <w:noProof/>
            <w:webHidden/>
          </w:rPr>
          <w:t>86</w:t>
        </w:r>
        <w:r>
          <w:rPr>
            <w:noProof/>
            <w:webHidden/>
          </w:rPr>
          <w:fldChar w:fldCharType="end"/>
        </w:r>
      </w:hyperlink>
    </w:p>
    <w:p w14:paraId="26F469D2" w14:textId="07F03C45" w:rsidR="00BC0C0C" w:rsidRDefault="00BC0C0C">
      <w:pPr>
        <w:pStyle w:val="TOC9"/>
        <w:rPr>
          <w:rFonts w:eastAsiaTheme="minorEastAsia"/>
          <w:noProof/>
          <w:kern w:val="2"/>
          <w:sz w:val="24"/>
          <w:szCs w:val="24"/>
          <w:lang w:eastAsia="en-AU"/>
          <w14:ligatures w14:val="standardContextual"/>
        </w:rPr>
      </w:pPr>
      <w:hyperlink w:anchor="_Toc209481760" w:history="1">
        <w:r w:rsidRPr="0059229E">
          <w:rPr>
            <w:rStyle w:val="Hyperlink"/>
            <w:noProof/>
          </w:rPr>
          <w:t>5.3</w:t>
        </w:r>
        <w:r>
          <w:rPr>
            <w:rFonts w:eastAsiaTheme="minorEastAsia"/>
            <w:noProof/>
            <w:kern w:val="2"/>
            <w:sz w:val="24"/>
            <w:szCs w:val="24"/>
            <w:lang w:eastAsia="en-AU"/>
            <w14:ligatures w14:val="standardContextual"/>
          </w:rPr>
          <w:tab/>
        </w:r>
        <w:r w:rsidRPr="0059229E">
          <w:rPr>
            <w:rStyle w:val="Hyperlink"/>
            <w:noProof/>
          </w:rPr>
          <w:t>Deposits held and advances received</w:t>
        </w:r>
        <w:r>
          <w:rPr>
            <w:noProof/>
            <w:webHidden/>
          </w:rPr>
          <w:tab/>
        </w:r>
        <w:r>
          <w:rPr>
            <w:noProof/>
            <w:webHidden/>
          </w:rPr>
          <w:fldChar w:fldCharType="begin"/>
        </w:r>
        <w:r>
          <w:rPr>
            <w:noProof/>
            <w:webHidden/>
          </w:rPr>
          <w:instrText xml:space="preserve"> PAGEREF _Toc209481760 \h </w:instrText>
        </w:r>
        <w:r>
          <w:rPr>
            <w:noProof/>
            <w:webHidden/>
          </w:rPr>
        </w:r>
        <w:r>
          <w:rPr>
            <w:noProof/>
            <w:webHidden/>
          </w:rPr>
          <w:fldChar w:fldCharType="separate"/>
        </w:r>
        <w:r w:rsidR="00727C5B">
          <w:rPr>
            <w:noProof/>
            <w:webHidden/>
          </w:rPr>
          <w:t>86</w:t>
        </w:r>
        <w:r>
          <w:rPr>
            <w:noProof/>
            <w:webHidden/>
          </w:rPr>
          <w:fldChar w:fldCharType="end"/>
        </w:r>
      </w:hyperlink>
    </w:p>
    <w:p w14:paraId="098C5DCE" w14:textId="381B78DC" w:rsidR="00BC0C0C" w:rsidRDefault="00BC0C0C">
      <w:pPr>
        <w:pStyle w:val="TOC9"/>
        <w:rPr>
          <w:rFonts w:eastAsiaTheme="minorEastAsia"/>
          <w:noProof/>
          <w:kern w:val="2"/>
          <w:sz w:val="24"/>
          <w:szCs w:val="24"/>
          <w:lang w:eastAsia="en-AU"/>
          <w14:ligatures w14:val="standardContextual"/>
        </w:rPr>
      </w:pPr>
      <w:hyperlink w:anchor="_Toc209481761" w:history="1">
        <w:r w:rsidRPr="0059229E">
          <w:rPr>
            <w:rStyle w:val="Hyperlink"/>
            <w:noProof/>
          </w:rPr>
          <w:t>5.4</w:t>
        </w:r>
        <w:r>
          <w:rPr>
            <w:rFonts w:eastAsiaTheme="minorEastAsia"/>
            <w:noProof/>
            <w:kern w:val="2"/>
            <w:sz w:val="24"/>
            <w:szCs w:val="24"/>
            <w:lang w:eastAsia="en-AU"/>
            <w14:ligatures w14:val="standardContextual"/>
          </w:rPr>
          <w:tab/>
        </w:r>
        <w:r w:rsidRPr="0059229E">
          <w:rPr>
            <w:rStyle w:val="Hyperlink"/>
            <w:noProof/>
          </w:rPr>
          <w:t>Cash flow information and balances</w:t>
        </w:r>
        <w:r>
          <w:rPr>
            <w:noProof/>
            <w:webHidden/>
          </w:rPr>
          <w:tab/>
        </w:r>
        <w:r>
          <w:rPr>
            <w:noProof/>
            <w:webHidden/>
          </w:rPr>
          <w:fldChar w:fldCharType="begin"/>
        </w:r>
        <w:r>
          <w:rPr>
            <w:noProof/>
            <w:webHidden/>
          </w:rPr>
          <w:instrText xml:space="preserve"> PAGEREF _Toc209481761 \h </w:instrText>
        </w:r>
        <w:r>
          <w:rPr>
            <w:noProof/>
            <w:webHidden/>
          </w:rPr>
        </w:r>
        <w:r>
          <w:rPr>
            <w:noProof/>
            <w:webHidden/>
          </w:rPr>
          <w:fldChar w:fldCharType="separate"/>
        </w:r>
        <w:r w:rsidR="00727C5B">
          <w:rPr>
            <w:noProof/>
            <w:webHidden/>
          </w:rPr>
          <w:t>87</w:t>
        </w:r>
        <w:r>
          <w:rPr>
            <w:noProof/>
            <w:webHidden/>
          </w:rPr>
          <w:fldChar w:fldCharType="end"/>
        </w:r>
      </w:hyperlink>
    </w:p>
    <w:p w14:paraId="68F76A5F" w14:textId="2600E3E0" w:rsidR="00BC0C0C" w:rsidRDefault="00BC0C0C">
      <w:pPr>
        <w:pStyle w:val="TOC9"/>
        <w:rPr>
          <w:rFonts w:eastAsiaTheme="minorEastAsia"/>
          <w:noProof/>
          <w:kern w:val="2"/>
          <w:sz w:val="24"/>
          <w:szCs w:val="24"/>
          <w:lang w:eastAsia="en-AU"/>
          <w14:ligatures w14:val="standardContextual"/>
        </w:rPr>
      </w:pPr>
      <w:hyperlink w:anchor="_Toc209481762" w:history="1">
        <w:r w:rsidRPr="0059229E">
          <w:rPr>
            <w:rStyle w:val="Hyperlink"/>
            <w:noProof/>
          </w:rPr>
          <w:t>5.5</w:t>
        </w:r>
        <w:r>
          <w:rPr>
            <w:rFonts w:eastAsiaTheme="minorEastAsia"/>
            <w:noProof/>
            <w:kern w:val="2"/>
            <w:sz w:val="24"/>
            <w:szCs w:val="24"/>
            <w:lang w:eastAsia="en-AU"/>
            <w14:ligatures w14:val="standardContextual"/>
          </w:rPr>
          <w:tab/>
        </w:r>
        <w:r w:rsidRPr="0059229E">
          <w:rPr>
            <w:rStyle w:val="Hyperlink"/>
            <w:noProof/>
          </w:rPr>
          <w:t>Advances paid and investments, loans and placements</w:t>
        </w:r>
        <w:r>
          <w:rPr>
            <w:noProof/>
            <w:webHidden/>
          </w:rPr>
          <w:tab/>
        </w:r>
        <w:r>
          <w:rPr>
            <w:noProof/>
            <w:webHidden/>
          </w:rPr>
          <w:fldChar w:fldCharType="begin"/>
        </w:r>
        <w:r>
          <w:rPr>
            <w:noProof/>
            <w:webHidden/>
          </w:rPr>
          <w:instrText xml:space="preserve"> PAGEREF _Toc209481762 \h </w:instrText>
        </w:r>
        <w:r>
          <w:rPr>
            <w:noProof/>
            <w:webHidden/>
          </w:rPr>
        </w:r>
        <w:r>
          <w:rPr>
            <w:noProof/>
            <w:webHidden/>
          </w:rPr>
          <w:fldChar w:fldCharType="separate"/>
        </w:r>
        <w:r w:rsidR="00727C5B">
          <w:rPr>
            <w:noProof/>
            <w:webHidden/>
          </w:rPr>
          <w:t>89</w:t>
        </w:r>
        <w:r>
          <w:rPr>
            <w:noProof/>
            <w:webHidden/>
          </w:rPr>
          <w:fldChar w:fldCharType="end"/>
        </w:r>
      </w:hyperlink>
    </w:p>
    <w:p w14:paraId="76B8A3BD" w14:textId="3634D6A9" w:rsidR="00BC0C0C" w:rsidRDefault="00BC0C0C">
      <w:pPr>
        <w:pStyle w:val="TOC9"/>
        <w:rPr>
          <w:rFonts w:eastAsiaTheme="minorEastAsia"/>
          <w:noProof/>
          <w:kern w:val="2"/>
          <w:sz w:val="24"/>
          <w:szCs w:val="24"/>
          <w:lang w:eastAsia="en-AU"/>
          <w14:ligatures w14:val="standardContextual"/>
        </w:rPr>
      </w:pPr>
      <w:hyperlink w:anchor="_Toc209481763" w:history="1">
        <w:r w:rsidRPr="0059229E">
          <w:rPr>
            <w:rStyle w:val="Hyperlink"/>
            <w:noProof/>
          </w:rPr>
          <w:t>5.6</w:t>
        </w:r>
        <w:r>
          <w:rPr>
            <w:rFonts w:eastAsiaTheme="minorEastAsia"/>
            <w:noProof/>
            <w:kern w:val="2"/>
            <w:sz w:val="24"/>
            <w:szCs w:val="24"/>
            <w:lang w:eastAsia="en-AU"/>
            <w14:ligatures w14:val="standardContextual"/>
          </w:rPr>
          <w:tab/>
        </w:r>
        <w:r w:rsidRPr="0059229E">
          <w:rPr>
            <w:rStyle w:val="Hyperlink"/>
            <w:noProof/>
          </w:rPr>
          <w:t>Leases</w:t>
        </w:r>
        <w:r>
          <w:rPr>
            <w:noProof/>
            <w:webHidden/>
          </w:rPr>
          <w:tab/>
        </w:r>
        <w:r>
          <w:rPr>
            <w:noProof/>
            <w:webHidden/>
          </w:rPr>
          <w:fldChar w:fldCharType="begin"/>
        </w:r>
        <w:r>
          <w:rPr>
            <w:noProof/>
            <w:webHidden/>
          </w:rPr>
          <w:instrText xml:space="preserve"> PAGEREF _Toc209481763 \h </w:instrText>
        </w:r>
        <w:r>
          <w:rPr>
            <w:noProof/>
            <w:webHidden/>
          </w:rPr>
        </w:r>
        <w:r>
          <w:rPr>
            <w:noProof/>
            <w:webHidden/>
          </w:rPr>
          <w:fldChar w:fldCharType="separate"/>
        </w:r>
        <w:r w:rsidR="00727C5B">
          <w:rPr>
            <w:noProof/>
            <w:webHidden/>
          </w:rPr>
          <w:t>90</w:t>
        </w:r>
        <w:r>
          <w:rPr>
            <w:noProof/>
            <w:webHidden/>
          </w:rPr>
          <w:fldChar w:fldCharType="end"/>
        </w:r>
      </w:hyperlink>
    </w:p>
    <w:p w14:paraId="246E72B6" w14:textId="5A7E981C" w:rsidR="00BC0C0C" w:rsidRDefault="00BC0C0C">
      <w:pPr>
        <w:pStyle w:val="TOC9"/>
        <w:rPr>
          <w:rFonts w:eastAsiaTheme="minorEastAsia"/>
          <w:noProof/>
          <w:kern w:val="2"/>
          <w:sz w:val="24"/>
          <w:szCs w:val="24"/>
          <w:lang w:eastAsia="en-AU"/>
          <w14:ligatures w14:val="standardContextual"/>
        </w:rPr>
      </w:pPr>
      <w:hyperlink w:anchor="_Toc209481764" w:history="1">
        <w:r w:rsidRPr="0059229E">
          <w:rPr>
            <w:rStyle w:val="Hyperlink"/>
            <w:noProof/>
          </w:rPr>
          <w:t>5.7</w:t>
        </w:r>
        <w:r>
          <w:rPr>
            <w:rFonts w:eastAsiaTheme="minorEastAsia"/>
            <w:noProof/>
            <w:kern w:val="2"/>
            <w:sz w:val="24"/>
            <w:szCs w:val="24"/>
            <w:lang w:eastAsia="en-AU"/>
            <w14:ligatures w14:val="standardContextual"/>
          </w:rPr>
          <w:tab/>
        </w:r>
        <w:r w:rsidRPr="0059229E">
          <w:rPr>
            <w:rStyle w:val="Hyperlink"/>
            <w:noProof/>
          </w:rPr>
          <w:t>Service concession arrangements (SCA)</w:t>
        </w:r>
        <w:r>
          <w:rPr>
            <w:noProof/>
            <w:webHidden/>
          </w:rPr>
          <w:tab/>
        </w:r>
        <w:r>
          <w:rPr>
            <w:noProof/>
            <w:webHidden/>
          </w:rPr>
          <w:fldChar w:fldCharType="begin"/>
        </w:r>
        <w:r>
          <w:rPr>
            <w:noProof/>
            <w:webHidden/>
          </w:rPr>
          <w:instrText xml:space="preserve"> PAGEREF _Toc209481764 \h </w:instrText>
        </w:r>
        <w:r>
          <w:rPr>
            <w:noProof/>
            <w:webHidden/>
          </w:rPr>
        </w:r>
        <w:r>
          <w:rPr>
            <w:noProof/>
            <w:webHidden/>
          </w:rPr>
          <w:fldChar w:fldCharType="separate"/>
        </w:r>
        <w:r w:rsidR="00727C5B">
          <w:rPr>
            <w:noProof/>
            <w:webHidden/>
          </w:rPr>
          <w:t>93</w:t>
        </w:r>
        <w:r>
          <w:rPr>
            <w:noProof/>
            <w:webHidden/>
          </w:rPr>
          <w:fldChar w:fldCharType="end"/>
        </w:r>
      </w:hyperlink>
    </w:p>
    <w:p w14:paraId="3496B2BF" w14:textId="66F6D27B" w:rsidR="00A30637" w:rsidRDefault="00BC0C0C" w:rsidP="00A30637">
      <w:pPr>
        <w:pStyle w:val="TOC9"/>
        <w:rPr>
          <w:color w:val="2B579A"/>
          <w:shd w:val="clear" w:color="auto" w:fill="E6E6E6"/>
        </w:rPr>
        <w:sectPr w:rsidR="00A30637" w:rsidSect="00A30637">
          <w:type w:val="continuous"/>
          <w:pgSz w:w="11906" w:h="16838" w:code="9"/>
          <w:pgMar w:top="1134" w:right="1134" w:bottom="1134" w:left="1134" w:header="624" w:footer="567" w:gutter="0"/>
          <w:cols w:num="2" w:space="708"/>
          <w:docGrid w:linePitch="360"/>
        </w:sectPr>
      </w:pPr>
      <w:hyperlink w:anchor="_Toc209481767" w:history="1">
        <w:r w:rsidRPr="0059229E">
          <w:rPr>
            <w:rStyle w:val="Hyperlink"/>
            <w:noProof/>
          </w:rPr>
          <w:t>5.8</w:t>
        </w:r>
        <w:r>
          <w:rPr>
            <w:rFonts w:eastAsiaTheme="minorEastAsia"/>
            <w:noProof/>
            <w:kern w:val="2"/>
            <w:sz w:val="24"/>
            <w:szCs w:val="24"/>
            <w:lang w:eastAsia="en-AU"/>
            <w14:ligatures w14:val="standardContextual"/>
          </w:rPr>
          <w:tab/>
        </w:r>
        <w:r w:rsidRPr="0059229E">
          <w:rPr>
            <w:rStyle w:val="Hyperlink"/>
            <w:noProof/>
          </w:rPr>
          <w:t>Commitments for future expenditure</w:t>
        </w:r>
        <w:r>
          <w:rPr>
            <w:noProof/>
            <w:webHidden/>
          </w:rPr>
          <w:tab/>
        </w:r>
        <w:r>
          <w:rPr>
            <w:noProof/>
            <w:webHidden/>
          </w:rPr>
          <w:fldChar w:fldCharType="begin"/>
        </w:r>
        <w:r>
          <w:rPr>
            <w:noProof/>
            <w:webHidden/>
          </w:rPr>
          <w:instrText xml:space="preserve"> PAGEREF _Toc209481767 \h </w:instrText>
        </w:r>
        <w:r>
          <w:rPr>
            <w:noProof/>
            <w:webHidden/>
          </w:rPr>
        </w:r>
        <w:r>
          <w:rPr>
            <w:noProof/>
            <w:webHidden/>
          </w:rPr>
          <w:fldChar w:fldCharType="separate"/>
        </w:r>
        <w:r w:rsidR="00727C5B">
          <w:rPr>
            <w:noProof/>
            <w:webHidden/>
          </w:rPr>
          <w:t>104</w:t>
        </w:r>
        <w:r>
          <w:rPr>
            <w:noProof/>
            <w:webHidden/>
          </w:rPr>
          <w:fldChar w:fldCharType="end"/>
        </w:r>
      </w:hyperlink>
      <w:r w:rsidR="004D42F9">
        <w:rPr>
          <w:color w:val="2B579A"/>
          <w:shd w:val="clear" w:color="auto" w:fill="E6E6E6"/>
        </w:rPr>
        <w:fldChar w:fldCharType="end"/>
      </w:r>
    </w:p>
    <w:p w14:paraId="6327BB53" w14:textId="7940D993" w:rsidR="004D42F9" w:rsidRDefault="004D42F9" w:rsidP="004D42F9">
      <w:pPr>
        <w:pStyle w:val="Heading2"/>
        <w:spacing w:before="0"/>
        <w:ind w:left="0" w:firstLine="0"/>
      </w:pPr>
      <w:bookmarkStart w:id="94" w:name="_Toc176184655"/>
      <w:bookmarkStart w:id="95" w:name="_Toc209481758"/>
      <w:bookmarkStart w:id="96" w:name="Section5"/>
      <w:r>
        <w:t>5.1</w:t>
      </w:r>
      <w:r>
        <w:tab/>
        <w:t>Borrowings</w:t>
      </w:r>
      <w:bookmarkEnd w:id="94"/>
      <w:bookmarkEnd w:id="95"/>
    </w:p>
    <w:p w14:paraId="064A5D8F" w14:textId="77777777" w:rsidR="004D42F9" w:rsidRDefault="004D42F9" w:rsidP="004D42F9">
      <w:pPr>
        <w:pStyle w:val="TableHeading"/>
        <w:spacing w:before="0"/>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Borrowings"/>
      </w:tblPr>
      <w:tblGrid>
        <w:gridCol w:w="5954"/>
        <w:gridCol w:w="921"/>
        <w:gridCol w:w="921"/>
        <w:gridCol w:w="921"/>
        <w:gridCol w:w="921"/>
      </w:tblGrid>
      <w:tr w:rsidR="004D42F9" w14:paraId="3138740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DF3FAD5" w14:textId="77777777" w:rsidR="004D42F9" w:rsidRDefault="004D42F9">
            <w:pPr>
              <w:keepNext/>
            </w:pPr>
          </w:p>
        </w:tc>
        <w:tc>
          <w:tcPr>
            <w:tcW w:w="1842" w:type="dxa"/>
            <w:gridSpan w:val="2"/>
          </w:tcPr>
          <w:p w14:paraId="43EAACF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1CF9AB9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52EF1CF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5DC73463" w14:textId="77777777" w:rsidR="004D42F9" w:rsidRDefault="004D42F9">
            <w:pPr>
              <w:keepNext/>
            </w:pPr>
          </w:p>
        </w:tc>
        <w:tc>
          <w:tcPr>
            <w:tcW w:w="921" w:type="dxa"/>
          </w:tcPr>
          <w:p w14:paraId="3E3194A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0F1FB61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4E993C6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67AF80D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1CA4766" w14:textId="77777777">
        <w:tc>
          <w:tcPr>
            <w:cnfStyle w:val="001000000000" w:firstRow="0" w:lastRow="0" w:firstColumn="1" w:lastColumn="0" w:oddVBand="0" w:evenVBand="0" w:oddHBand="0" w:evenHBand="0" w:firstRowFirstColumn="0" w:firstRowLastColumn="0" w:lastRowFirstColumn="0" w:lastRowLastColumn="0"/>
            <w:tcW w:w="5954" w:type="dxa"/>
          </w:tcPr>
          <w:p w14:paraId="3A35F2B0" w14:textId="77777777" w:rsidR="004D42F9" w:rsidRDefault="004D42F9">
            <w:r>
              <w:rPr>
                <w:b/>
              </w:rPr>
              <w:t>Current borrowings</w:t>
            </w:r>
          </w:p>
        </w:tc>
        <w:tc>
          <w:tcPr>
            <w:tcW w:w="921" w:type="dxa"/>
          </w:tcPr>
          <w:p w14:paraId="42AC191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5F4A4D7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408A68C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18E1997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22F38E79" w14:textId="77777777">
        <w:tc>
          <w:tcPr>
            <w:cnfStyle w:val="001000000000" w:firstRow="0" w:lastRow="0" w:firstColumn="1" w:lastColumn="0" w:oddVBand="0" w:evenVBand="0" w:oddHBand="0" w:evenHBand="0" w:firstRowFirstColumn="0" w:firstRowLastColumn="0" w:lastRowFirstColumn="0" w:lastRowLastColumn="0"/>
            <w:tcW w:w="5954" w:type="dxa"/>
          </w:tcPr>
          <w:p w14:paraId="6821D89D" w14:textId="77777777" w:rsidR="004D42F9" w:rsidRDefault="004D42F9">
            <w:r>
              <w:t>Domestic borrowings</w:t>
            </w:r>
          </w:p>
        </w:tc>
        <w:tc>
          <w:tcPr>
            <w:tcW w:w="921" w:type="dxa"/>
          </w:tcPr>
          <w:p w14:paraId="757FE097" w14:textId="77777777" w:rsidR="004D42F9" w:rsidRDefault="004D42F9">
            <w:pPr>
              <w:cnfStyle w:val="000000000000" w:firstRow="0" w:lastRow="0" w:firstColumn="0" w:lastColumn="0" w:oddVBand="0" w:evenVBand="0" w:oddHBand="0" w:evenHBand="0" w:firstRowFirstColumn="0" w:firstRowLastColumn="0" w:lastRowFirstColumn="0" w:lastRowLastColumn="0"/>
            </w:pPr>
            <w:r>
              <w:t>19 684</w:t>
            </w:r>
          </w:p>
        </w:tc>
        <w:tc>
          <w:tcPr>
            <w:tcW w:w="921" w:type="dxa"/>
          </w:tcPr>
          <w:p w14:paraId="45D7EDBA" w14:textId="77777777" w:rsidR="004D42F9" w:rsidRDefault="004D42F9">
            <w:pPr>
              <w:cnfStyle w:val="000000000000" w:firstRow="0" w:lastRow="0" w:firstColumn="0" w:lastColumn="0" w:oddVBand="0" w:evenVBand="0" w:oddHBand="0" w:evenHBand="0" w:firstRowFirstColumn="0" w:firstRowLastColumn="0" w:lastRowFirstColumn="0" w:lastRowLastColumn="0"/>
            </w:pPr>
            <w:r>
              <w:t>22 660</w:t>
            </w:r>
          </w:p>
        </w:tc>
        <w:tc>
          <w:tcPr>
            <w:tcW w:w="921" w:type="dxa"/>
          </w:tcPr>
          <w:p w14:paraId="07C7CF91" w14:textId="77777777" w:rsidR="004D42F9" w:rsidRDefault="004D42F9">
            <w:pPr>
              <w:cnfStyle w:val="000000000000" w:firstRow="0" w:lastRow="0" w:firstColumn="0" w:lastColumn="0" w:oddVBand="0" w:evenVBand="0" w:oddHBand="0" w:evenHBand="0" w:firstRowFirstColumn="0" w:firstRowLastColumn="0" w:lastRowFirstColumn="0" w:lastRowLastColumn="0"/>
            </w:pPr>
            <w:r>
              <w:t>20 115</w:t>
            </w:r>
          </w:p>
        </w:tc>
        <w:tc>
          <w:tcPr>
            <w:tcW w:w="921" w:type="dxa"/>
          </w:tcPr>
          <w:p w14:paraId="17729CBC" w14:textId="77777777" w:rsidR="004D42F9" w:rsidRDefault="004D42F9">
            <w:pPr>
              <w:cnfStyle w:val="000000000000" w:firstRow="0" w:lastRow="0" w:firstColumn="0" w:lastColumn="0" w:oddVBand="0" w:evenVBand="0" w:oddHBand="0" w:evenHBand="0" w:firstRowFirstColumn="0" w:firstRowLastColumn="0" w:lastRowFirstColumn="0" w:lastRowLastColumn="0"/>
            </w:pPr>
            <w:r>
              <w:t>19 538</w:t>
            </w:r>
          </w:p>
        </w:tc>
      </w:tr>
      <w:tr w:rsidR="004D42F9" w14:paraId="2F41E459" w14:textId="77777777">
        <w:tc>
          <w:tcPr>
            <w:cnfStyle w:val="001000000000" w:firstRow="0" w:lastRow="0" w:firstColumn="1" w:lastColumn="0" w:oddVBand="0" w:evenVBand="0" w:oddHBand="0" w:evenHBand="0" w:firstRowFirstColumn="0" w:firstRowLastColumn="0" w:lastRowFirstColumn="0" w:lastRowLastColumn="0"/>
            <w:tcW w:w="5954" w:type="dxa"/>
          </w:tcPr>
          <w:p w14:paraId="74AD77F1" w14:textId="77777777" w:rsidR="004D42F9" w:rsidRDefault="004D42F9">
            <w:r>
              <w:t>Foreign currency borrowings</w:t>
            </w:r>
          </w:p>
        </w:tc>
        <w:tc>
          <w:tcPr>
            <w:tcW w:w="921" w:type="dxa"/>
          </w:tcPr>
          <w:p w14:paraId="3DDF5D66" w14:textId="77777777" w:rsidR="004D42F9" w:rsidRDefault="004D42F9">
            <w:pPr>
              <w:cnfStyle w:val="000000000000" w:firstRow="0" w:lastRow="0" w:firstColumn="0" w:lastColumn="0" w:oddVBand="0" w:evenVBand="0" w:oddHBand="0" w:evenHBand="0" w:firstRowFirstColumn="0" w:firstRowLastColumn="0" w:lastRowFirstColumn="0" w:lastRowLastColumn="0"/>
            </w:pPr>
            <w:r>
              <w:t>229</w:t>
            </w:r>
          </w:p>
        </w:tc>
        <w:tc>
          <w:tcPr>
            <w:tcW w:w="921" w:type="dxa"/>
          </w:tcPr>
          <w:p w14:paraId="3D0EEDD8" w14:textId="77777777" w:rsidR="004D42F9" w:rsidRDefault="004D42F9">
            <w:pPr>
              <w:cnfStyle w:val="000000000000" w:firstRow="0" w:lastRow="0" w:firstColumn="0" w:lastColumn="0" w:oddVBand="0" w:evenVBand="0" w:oddHBand="0" w:evenHBand="0" w:firstRowFirstColumn="0" w:firstRowLastColumn="0" w:lastRowFirstColumn="0" w:lastRowLastColumn="0"/>
            </w:pPr>
            <w:r>
              <w:t>222</w:t>
            </w:r>
          </w:p>
        </w:tc>
        <w:tc>
          <w:tcPr>
            <w:tcW w:w="921" w:type="dxa"/>
          </w:tcPr>
          <w:p w14:paraId="00C73E8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76B595D4"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17E57F73" w14:textId="77777777">
        <w:tc>
          <w:tcPr>
            <w:cnfStyle w:val="001000000000" w:firstRow="0" w:lastRow="0" w:firstColumn="1" w:lastColumn="0" w:oddVBand="0" w:evenVBand="0" w:oddHBand="0" w:evenHBand="0" w:firstRowFirstColumn="0" w:firstRowLastColumn="0" w:lastRowFirstColumn="0" w:lastRowLastColumn="0"/>
            <w:tcW w:w="5954" w:type="dxa"/>
          </w:tcPr>
          <w:p w14:paraId="0DE1F2CB" w14:textId="77777777" w:rsidR="004D42F9" w:rsidRDefault="004D42F9">
            <w:r>
              <w:t>Lease liabilities</w:t>
            </w:r>
          </w:p>
        </w:tc>
        <w:tc>
          <w:tcPr>
            <w:tcW w:w="921" w:type="dxa"/>
          </w:tcPr>
          <w:p w14:paraId="302BFBA9" w14:textId="77777777" w:rsidR="004D42F9" w:rsidRDefault="004D42F9">
            <w:pPr>
              <w:cnfStyle w:val="000000000000" w:firstRow="0" w:lastRow="0" w:firstColumn="0" w:lastColumn="0" w:oddVBand="0" w:evenVBand="0" w:oddHBand="0" w:evenHBand="0" w:firstRowFirstColumn="0" w:firstRowLastColumn="0" w:lastRowFirstColumn="0" w:lastRowLastColumn="0"/>
            </w:pPr>
            <w:r>
              <w:t>808</w:t>
            </w:r>
          </w:p>
        </w:tc>
        <w:tc>
          <w:tcPr>
            <w:tcW w:w="921" w:type="dxa"/>
          </w:tcPr>
          <w:p w14:paraId="226258CA" w14:textId="77777777" w:rsidR="004D42F9" w:rsidRDefault="004D42F9">
            <w:pPr>
              <w:cnfStyle w:val="000000000000" w:firstRow="0" w:lastRow="0" w:firstColumn="0" w:lastColumn="0" w:oddVBand="0" w:evenVBand="0" w:oddHBand="0" w:evenHBand="0" w:firstRowFirstColumn="0" w:firstRowLastColumn="0" w:lastRowFirstColumn="0" w:lastRowLastColumn="0"/>
            </w:pPr>
            <w:r>
              <w:t>790</w:t>
            </w:r>
          </w:p>
        </w:tc>
        <w:tc>
          <w:tcPr>
            <w:tcW w:w="921" w:type="dxa"/>
          </w:tcPr>
          <w:p w14:paraId="31F5016B" w14:textId="77777777" w:rsidR="004D42F9" w:rsidRDefault="004D42F9">
            <w:pPr>
              <w:cnfStyle w:val="000000000000" w:firstRow="0" w:lastRow="0" w:firstColumn="0" w:lastColumn="0" w:oddVBand="0" w:evenVBand="0" w:oddHBand="0" w:evenHBand="0" w:firstRowFirstColumn="0" w:firstRowLastColumn="0" w:lastRowFirstColumn="0" w:lastRowLastColumn="0"/>
            </w:pPr>
            <w:r>
              <w:t>717</w:t>
            </w:r>
          </w:p>
        </w:tc>
        <w:tc>
          <w:tcPr>
            <w:tcW w:w="921" w:type="dxa"/>
          </w:tcPr>
          <w:p w14:paraId="1F443D04" w14:textId="77777777" w:rsidR="004D42F9" w:rsidRDefault="004D42F9">
            <w:pPr>
              <w:cnfStyle w:val="000000000000" w:firstRow="0" w:lastRow="0" w:firstColumn="0" w:lastColumn="0" w:oddVBand="0" w:evenVBand="0" w:oddHBand="0" w:evenHBand="0" w:firstRowFirstColumn="0" w:firstRowLastColumn="0" w:lastRowFirstColumn="0" w:lastRowLastColumn="0"/>
            </w:pPr>
            <w:r>
              <w:t>710</w:t>
            </w:r>
          </w:p>
        </w:tc>
      </w:tr>
      <w:tr w:rsidR="004D42F9" w14:paraId="6CFE401A" w14:textId="77777777">
        <w:tc>
          <w:tcPr>
            <w:cnfStyle w:val="001000000000" w:firstRow="0" w:lastRow="0" w:firstColumn="1" w:lastColumn="0" w:oddVBand="0" w:evenVBand="0" w:oddHBand="0" w:evenHBand="0" w:firstRowFirstColumn="0" w:firstRowLastColumn="0" w:lastRowFirstColumn="0" w:lastRowLastColumn="0"/>
            <w:tcW w:w="5954" w:type="dxa"/>
          </w:tcPr>
          <w:p w14:paraId="5A570CB5" w14:textId="77777777" w:rsidR="004D42F9" w:rsidRDefault="004D42F9">
            <w:r>
              <w:t>Service concession arrangement liabilities</w:t>
            </w:r>
          </w:p>
        </w:tc>
        <w:tc>
          <w:tcPr>
            <w:tcW w:w="921" w:type="dxa"/>
          </w:tcPr>
          <w:p w14:paraId="588F62DB" w14:textId="77777777" w:rsidR="004D42F9" w:rsidRDefault="004D42F9">
            <w:pPr>
              <w:cnfStyle w:val="000000000000" w:firstRow="0" w:lastRow="0" w:firstColumn="0" w:lastColumn="0" w:oddVBand="0" w:evenVBand="0" w:oddHBand="0" w:evenHBand="0" w:firstRowFirstColumn="0" w:firstRowLastColumn="0" w:lastRowFirstColumn="0" w:lastRowLastColumn="0"/>
            </w:pPr>
            <w:r>
              <w:t>567</w:t>
            </w:r>
          </w:p>
        </w:tc>
        <w:tc>
          <w:tcPr>
            <w:tcW w:w="921" w:type="dxa"/>
          </w:tcPr>
          <w:p w14:paraId="0FD04301" w14:textId="77777777" w:rsidR="004D42F9" w:rsidRDefault="004D42F9">
            <w:pPr>
              <w:cnfStyle w:val="000000000000" w:firstRow="0" w:lastRow="0" w:firstColumn="0" w:lastColumn="0" w:oddVBand="0" w:evenVBand="0" w:oddHBand="0" w:evenHBand="0" w:firstRowFirstColumn="0" w:firstRowLastColumn="0" w:lastRowFirstColumn="0" w:lastRowLastColumn="0"/>
            </w:pPr>
            <w:r>
              <w:t>1 839</w:t>
            </w:r>
          </w:p>
        </w:tc>
        <w:tc>
          <w:tcPr>
            <w:tcW w:w="921" w:type="dxa"/>
          </w:tcPr>
          <w:p w14:paraId="43A72FDD" w14:textId="77777777" w:rsidR="004D42F9" w:rsidRDefault="004D42F9">
            <w:pPr>
              <w:cnfStyle w:val="000000000000" w:firstRow="0" w:lastRow="0" w:firstColumn="0" w:lastColumn="0" w:oddVBand="0" w:evenVBand="0" w:oddHBand="0" w:evenHBand="0" w:firstRowFirstColumn="0" w:firstRowLastColumn="0" w:lastRowFirstColumn="0" w:lastRowLastColumn="0"/>
            </w:pPr>
            <w:r>
              <w:t>552</w:t>
            </w:r>
          </w:p>
        </w:tc>
        <w:tc>
          <w:tcPr>
            <w:tcW w:w="921" w:type="dxa"/>
          </w:tcPr>
          <w:p w14:paraId="7FE41B74" w14:textId="77777777" w:rsidR="004D42F9" w:rsidRDefault="004D42F9">
            <w:pPr>
              <w:cnfStyle w:val="000000000000" w:firstRow="0" w:lastRow="0" w:firstColumn="0" w:lastColumn="0" w:oddVBand="0" w:evenVBand="0" w:oddHBand="0" w:evenHBand="0" w:firstRowFirstColumn="0" w:firstRowLastColumn="0" w:lastRowFirstColumn="0" w:lastRowLastColumn="0"/>
            </w:pPr>
            <w:r>
              <w:t>650</w:t>
            </w:r>
          </w:p>
        </w:tc>
      </w:tr>
      <w:tr w:rsidR="004D42F9" w14:paraId="4AA0C9BB"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0EE1529" w14:textId="77777777" w:rsidR="004D42F9" w:rsidRDefault="004D42F9">
            <w:r>
              <w:t>Derivative financial instruments</w:t>
            </w:r>
          </w:p>
        </w:tc>
        <w:tc>
          <w:tcPr>
            <w:tcW w:w="921" w:type="dxa"/>
            <w:tcBorders>
              <w:bottom w:val="single" w:sz="6" w:space="0" w:color="auto"/>
            </w:tcBorders>
          </w:tcPr>
          <w:p w14:paraId="78AEBF80" w14:textId="77777777" w:rsidR="004D42F9" w:rsidRDefault="004D42F9">
            <w:pPr>
              <w:cnfStyle w:val="000000000000" w:firstRow="0" w:lastRow="0" w:firstColumn="0" w:lastColumn="0" w:oddVBand="0" w:evenVBand="0" w:oddHBand="0" w:evenHBand="0" w:firstRowFirstColumn="0" w:firstRowLastColumn="0" w:lastRowFirstColumn="0" w:lastRowLastColumn="0"/>
            </w:pPr>
            <w:r>
              <w:t>158</w:t>
            </w:r>
          </w:p>
        </w:tc>
        <w:tc>
          <w:tcPr>
            <w:tcW w:w="921" w:type="dxa"/>
            <w:tcBorders>
              <w:bottom w:val="single" w:sz="6" w:space="0" w:color="auto"/>
            </w:tcBorders>
          </w:tcPr>
          <w:p w14:paraId="62F58A35" w14:textId="77777777" w:rsidR="004D42F9" w:rsidRDefault="004D42F9">
            <w:pPr>
              <w:cnfStyle w:val="000000000000" w:firstRow="0" w:lastRow="0" w:firstColumn="0" w:lastColumn="0" w:oddVBand="0" w:evenVBand="0" w:oddHBand="0" w:evenHBand="0" w:firstRowFirstColumn="0" w:firstRowLastColumn="0" w:lastRowFirstColumn="0" w:lastRowLastColumn="0"/>
            </w:pPr>
            <w:r>
              <w:t>110</w:t>
            </w:r>
          </w:p>
        </w:tc>
        <w:tc>
          <w:tcPr>
            <w:tcW w:w="921" w:type="dxa"/>
            <w:tcBorders>
              <w:bottom w:val="single" w:sz="6" w:space="0" w:color="auto"/>
            </w:tcBorders>
          </w:tcPr>
          <w:p w14:paraId="00C40513"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21" w:type="dxa"/>
            <w:tcBorders>
              <w:bottom w:val="single" w:sz="6" w:space="0" w:color="auto"/>
            </w:tcBorders>
          </w:tcPr>
          <w:p w14:paraId="7B035A01" w14:textId="77777777" w:rsidR="004D42F9" w:rsidRDefault="004D42F9">
            <w:pPr>
              <w:cnfStyle w:val="000000000000" w:firstRow="0" w:lastRow="0" w:firstColumn="0" w:lastColumn="0" w:oddVBand="0" w:evenVBand="0" w:oddHBand="0" w:evenHBand="0" w:firstRowFirstColumn="0" w:firstRowLastColumn="0" w:lastRowFirstColumn="0" w:lastRowLastColumn="0"/>
            </w:pPr>
            <w:r>
              <w:t>46</w:t>
            </w:r>
          </w:p>
        </w:tc>
      </w:tr>
      <w:tr w:rsidR="004D42F9" w14:paraId="58B0E252"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1567E992" w14:textId="77777777" w:rsidR="004D42F9" w:rsidRDefault="004D42F9">
            <w:r>
              <w:rPr>
                <w:b/>
              </w:rPr>
              <w:t>Total current borrowings</w:t>
            </w:r>
          </w:p>
        </w:tc>
        <w:tc>
          <w:tcPr>
            <w:tcW w:w="921" w:type="dxa"/>
            <w:tcBorders>
              <w:top w:val="single" w:sz="6" w:space="0" w:color="auto"/>
            </w:tcBorders>
          </w:tcPr>
          <w:p w14:paraId="4E78495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21 446</w:t>
            </w:r>
          </w:p>
        </w:tc>
        <w:tc>
          <w:tcPr>
            <w:tcW w:w="921" w:type="dxa"/>
            <w:tcBorders>
              <w:top w:val="single" w:sz="6" w:space="0" w:color="auto"/>
            </w:tcBorders>
          </w:tcPr>
          <w:p w14:paraId="77A1D35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25 621</w:t>
            </w:r>
          </w:p>
        </w:tc>
        <w:tc>
          <w:tcPr>
            <w:tcW w:w="921" w:type="dxa"/>
            <w:tcBorders>
              <w:top w:val="single" w:sz="6" w:space="0" w:color="auto"/>
            </w:tcBorders>
          </w:tcPr>
          <w:p w14:paraId="1635707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21 385</w:t>
            </w:r>
          </w:p>
        </w:tc>
        <w:tc>
          <w:tcPr>
            <w:tcW w:w="921" w:type="dxa"/>
            <w:tcBorders>
              <w:top w:val="single" w:sz="6" w:space="0" w:color="auto"/>
            </w:tcBorders>
          </w:tcPr>
          <w:p w14:paraId="1B2795F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20 944</w:t>
            </w:r>
          </w:p>
        </w:tc>
      </w:tr>
      <w:tr w:rsidR="004D42F9" w14:paraId="7C3D8A45" w14:textId="77777777">
        <w:tc>
          <w:tcPr>
            <w:cnfStyle w:val="001000000000" w:firstRow="0" w:lastRow="0" w:firstColumn="1" w:lastColumn="0" w:oddVBand="0" w:evenVBand="0" w:oddHBand="0" w:evenHBand="0" w:firstRowFirstColumn="0" w:firstRowLastColumn="0" w:lastRowFirstColumn="0" w:lastRowLastColumn="0"/>
            <w:tcW w:w="5954" w:type="dxa"/>
          </w:tcPr>
          <w:p w14:paraId="14E74978" w14:textId="77777777" w:rsidR="004D42F9" w:rsidRDefault="004D42F9">
            <w:r>
              <w:rPr>
                <w:b/>
              </w:rPr>
              <w:t>Non</w:t>
            </w:r>
            <w:r>
              <w:rPr>
                <w:b/>
              </w:rPr>
              <w:noBreakHyphen/>
              <w:t>current borrowings</w:t>
            </w:r>
          </w:p>
        </w:tc>
        <w:tc>
          <w:tcPr>
            <w:tcW w:w="921" w:type="dxa"/>
          </w:tcPr>
          <w:p w14:paraId="07FA46B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2778280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47A3B7C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6ECE527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1F2261F" w14:textId="77777777">
        <w:tc>
          <w:tcPr>
            <w:cnfStyle w:val="001000000000" w:firstRow="0" w:lastRow="0" w:firstColumn="1" w:lastColumn="0" w:oddVBand="0" w:evenVBand="0" w:oddHBand="0" w:evenHBand="0" w:firstRowFirstColumn="0" w:firstRowLastColumn="0" w:lastRowFirstColumn="0" w:lastRowLastColumn="0"/>
            <w:tcW w:w="5954" w:type="dxa"/>
          </w:tcPr>
          <w:p w14:paraId="5FEE755F" w14:textId="77777777" w:rsidR="004D42F9" w:rsidRDefault="004D42F9">
            <w:r>
              <w:t>Domestic borrowings</w:t>
            </w:r>
          </w:p>
        </w:tc>
        <w:tc>
          <w:tcPr>
            <w:tcW w:w="921" w:type="dxa"/>
          </w:tcPr>
          <w:p w14:paraId="5A19A489" w14:textId="77777777" w:rsidR="004D42F9" w:rsidRDefault="004D42F9">
            <w:pPr>
              <w:cnfStyle w:val="000000000000" w:firstRow="0" w:lastRow="0" w:firstColumn="0" w:lastColumn="0" w:oddVBand="0" w:evenVBand="0" w:oddHBand="0" w:evenHBand="0" w:firstRowFirstColumn="0" w:firstRowLastColumn="0" w:lastRowFirstColumn="0" w:lastRowLastColumn="0"/>
            </w:pPr>
            <w:r>
              <w:t>182 593</w:t>
            </w:r>
          </w:p>
        </w:tc>
        <w:tc>
          <w:tcPr>
            <w:tcW w:w="921" w:type="dxa"/>
          </w:tcPr>
          <w:p w14:paraId="24CA129C" w14:textId="77777777" w:rsidR="004D42F9" w:rsidRDefault="004D42F9">
            <w:pPr>
              <w:cnfStyle w:val="000000000000" w:firstRow="0" w:lastRow="0" w:firstColumn="0" w:lastColumn="0" w:oddVBand="0" w:evenVBand="0" w:oddHBand="0" w:evenHBand="0" w:firstRowFirstColumn="0" w:firstRowLastColumn="0" w:lastRowFirstColumn="0" w:lastRowLastColumn="0"/>
            </w:pPr>
            <w:r>
              <w:t>152 887</w:t>
            </w:r>
          </w:p>
        </w:tc>
        <w:tc>
          <w:tcPr>
            <w:tcW w:w="921" w:type="dxa"/>
          </w:tcPr>
          <w:p w14:paraId="7738A14B" w14:textId="77777777" w:rsidR="004D42F9" w:rsidRDefault="004D42F9">
            <w:pPr>
              <w:cnfStyle w:val="000000000000" w:firstRow="0" w:lastRow="0" w:firstColumn="0" w:lastColumn="0" w:oddVBand="0" w:evenVBand="0" w:oddHBand="0" w:evenHBand="0" w:firstRowFirstColumn="0" w:firstRowLastColumn="0" w:lastRowFirstColumn="0" w:lastRowLastColumn="0"/>
            </w:pPr>
            <w:r>
              <w:t>152 611</w:t>
            </w:r>
          </w:p>
        </w:tc>
        <w:tc>
          <w:tcPr>
            <w:tcW w:w="921" w:type="dxa"/>
          </w:tcPr>
          <w:p w14:paraId="5290A40B" w14:textId="77777777" w:rsidR="004D42F9" w:rsidRDefault="004D42F9">
            <w:pPr>
              <w:cnfStyle w:val="000000000000" w:firstRow="0" w:lastRow="0" w:firstColumn="0" w:lastColumn="0" w:oddVBand="0" w:evenVBand="0" w:oddHBand="0" w:evenHBand="0" w:firstRowFirstColumn="0" w:firstRowLastColumn="0" w:lastRowFirstColumn="0" w:lastRowLastColumn="0"/>
            </w:pPr>
            <w:r>
              <w:t>133 956</w:t>
            </w:r>
          </w:p>
        </w:tc>
      </w:tr>
      <w:tr w:rsidR="004D42F9" w14:paraId="4289FDFB" w14:textId="77777777">
        <w:tc>
          <w:tcPr>
            <w:cnfStyle w:val="001000000000" w:firstRow="0" w:lastRow="0" w:firstColumn="1" w:lastColumn="0" w:oddVBand="0" w:evenVBand="0" w:oddHBand="0" w:evenHBand="0" w:firstRowFirstColumn="0" w:firstRowLastColumn="0" w:lastRowFirstColumn="0" w:lastRowLastColumn="0"/>
            <w:tcW w:w="5954" w:type="dxa"/>
          </w:tcPr>
          <w:p w14:paraId="11AD2ADD" w14:textId="77777777" w:rsidR="004D42F9" w:rsidRDefault="004D42F9">
            <w:r>
              <w:t>Foreign currency borrowings</w:t>
            </w:r>
          </w:p>
        </w:tc>
        <w:tc>
          <w:tcPr>
            <w:tcW w:w="921" w:type="dxa"/>
          </w:tcPr>
          <w:p w14:paraId="3B520B38" w14:textId="77777777" w:rsidR="004D42F9" w:rsidRDefault="004D42F9">
            <w:pPr>
              <w:cnfStyle w:val="000000000000" w:firstRow="0" w:lastRow="0" w:firstColumn="0" w:lastColumn="0" w:oddVBand="0" w:evenVBand="0" w:oddHBand="0" w:evenHBand="0" w:firstRowFirstColumn="0" w:firstRowLastColumn="0" w:lastRowFirstColumn="0" w:lastRowLastColumn="0"/>
            </w:pPr>
            <w:r>
              <w:t>2 590</w:t>
            </w:r>
          </w:p>
        </w:tc>
        <w:tc>
          <w:tcPr>
            <w:tcW w:w="921" w:type="dxa"/>
          </w:tcPr>
          <w:p w14:paraId="55854041" w14:textId="77777777" w:rsidR="004D42F9" w:rsidRDefault="004D42F9">
            <w:pPr>
              <w:cnfStyle w:val="000000000000" w:firstRow="0" w:lastRow="0" w:firstColumn="0" w:lastColumn="0" w:oddVBand="0" w:evenVBand="0" w:oddHBand="0" w:evenHBand="0" w:firstRowFirstColumn="0" w:firstRowLastColumn="0" w:lastRowFirstColumn="0" w:lastRowLastColumn="0"/>
            </w:pPr>
            <w:r>
              <w:t>670</w:t>
            </w:r>
          </w:p>
        </w:tc>
        <w:tc>
          <w:tcPr>
            <w:tcW w:w="921" w:type="dxa"/>
          </w:tcPr>
          <w:p w14:paraId="73FEE07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Pr>
          <w:p w14:paraId="13F53F4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3C235C6D" w14:textId="77777777">
        <w:tc>
          <w:tcPr>
            <w:cnfStyle w:val="001000000000" w:firstRow="0" w:lastRow="0" w:firstColumn="1" w:lastColumn="0" w:oddVBand="0" w:evenVBand="0" w:oddHBand="0" w:evenHBand="0" w:firstRowFirstColumn="0" w:firstRowLastColumn="0" w:lastRowFirstColumn="0" w:lastRowLastColumn="0"/>
            <w:tcW w:w="5954" w:type="dxa"/>
          </w:tcPr>
          <w:p w14:paraId="42E168F0" w14:textId="77777777" w:rsidR="004D42F9" w:rsidRDefault="004D42F9">
            <w:r>
              <w:t>Lease liabilities</w:t>
            </w:r>
          </w:p>
        </w:tc>
        <w:tc>
          <w:tcPr>
            <w:tcW w:w="921" w:type="dxa"/>
          </w:tcPr>
          <w:p w14:paraId="5C83A876" w14:textId="77777777" w:rsidR="004D42F9" w:rsidRDefault="004D42F9">
            <w:pPr>
              <w:cnfStyle w:val="000000000000" w:firstRow="0" w:lastRow="0" w:firstColumn="0" w:lastColumn="0" w:oddVBand="0" w:evenVBand="0" w:oddHBand="0" w:evenHBand="0" w:firstRowFirstColumn="0" w:firstRowLastColumn="0" w:lastRowFirstColumn="0" w:lastRowLastColumn="0"/>
            </w:pPr>
            <w:r>
              <w:t>7 304</w:t>
            </w:r>
          </w:p>
        </w:tc>
        <w:tc>
          <w:tcPr>
            <w:tcW w:w="921" w:type="dxa"/>
          </w:tcPr>
          <w:p w14:paraId="41E29893" w14:textId="77777777" w:rsidR="004D42F9" w:rsidRDefault="004D42F9">
            <w:pPr>
              <w:cnfStyle w:val="000000000000" w:firstRow="0" w:lastRow="0" w:firstColumn="0" w:lastColumn="0" w:oddVBand="0" w:evenVBand="0" w:oddHBand="0" w:evenHBand="0" w:firstRowFirstColumn="0" w:firstRowLastColumn="0" w:lastRowFirstColumn="0" w:lastRowLastColumn="0"/>
            </w:pPr>
            <w:r>
              <w:t>7 838</w:t>
            </w:r>
          </w:p>
        </w:tc>
        <w:tc>
          <w:tcPr>
            <w:tcW w:w="921" w:type="dxa"/>
          </w:tcPr>
          <w:p w14:paraId="2D0413D9" w14:textId="77777777" w:rsidR="004D42F9" w:rsidRDefault="004D42F9">
            <w:pPr>
              <w:cnfStyle w:val="000000000000" w:firstRow="0" w:lastRow="0" w:firstColumn="0" w:lastColumn="0" w:oddVBand="0" w:evenVBand="0" w:oddHBand="0" w:evenHBand="0" w:firstRowFirstColumn="0" w:firstRowLastColumn="0" w:lastRowFirstColumn="0" w:lastRowLastColumn="0"/>
            </w:pPr>
            <w:r>
              <w:t>6 816</w:t>
            </w:r>
          </w:p>
        </w:tc>
        <w:tc>
          <w:tcPr>
            <w:tcW w:w="921" w:type="dxa"/>
          </w:tcPr>
          <w:p w14:paraId="107A3A83" w14:textId="77777777" w:rsidR="004D42F9" w:rsidRDefault="004D42F9">
            <w:pPr>
              <w:cnfStyle w:val="000000000000" w:firstRow="0" w:lastRow="0" w:firstColumn="0" w:lastColumn="0" w:oddVBand="0" w:evenVBand="0" w:oddHBand="0" w:evenHBand="0" w:firstRowFirstColumn="0" w:firstRowLastColumn="0" w:lastRowFirstColumn="0" w:lastRowLastColumn="0"/>
            </w:pPr>
            <w:r>
              <w:t>7 330</w:t>
            </w:r>
          </w:p>
        </w:tc>
      </w:tr>
      <w:tr w:rsidR="004D42F9" w14:paraId="215852FA" w14:textId="77777777">
        <w:tc>
          <w:tcPr>
            <w:cnfStyle w:val="001000000000" w:firstRow="0" w:lastRow="0" w:firstColumn="1" w:lastColumn="0" w:oddVBand="0" w:evenVBand="0" w:oddHBand="0" w:evenHBand="0" w:firstRowFirstColumn="0" w:firstRowLastColumn="0" w:lastRowFirstColumn="0" w:lastRowLastColumn="0"/>
            <w:tcW w:w="5954" w:type="dxa"/>
          </w:tcPr>
          <w:p w14:paraId="339D9B37" w14:textId="77777777" w:rsidR="004D42F9" w:rsidRDefault="004D42F9">
            <w:r>
              <w:t>Service concession arrangement liabilities</w:t>
            </w:r>
          </w:p>
        </w:tc>
        <w:tc>
          <w:tcPr>
            <w:tcW w:w="921" w:type="dxa"/>
          </w:tcPr>
          <w:p w14:paraId="405849BF" w14:textId="77777777" w:rsidR="004D42F9" w:rsidRDefault="004D42F9">
            <w:pPr>
              <w:cnfStyle w:val="000000000000" w:firstRow="0" w:lastRow="0" w:firstColumn="0" w:lastColumn="0" w:oddVBand="0" w:evenVBand="0" w:oddHBand="0" w:evenHBand="0" w:firstRowFirstColumn="0" w:firstRowLastColumn="0" w:lastRowFirstColumn="0" w:lastRowLastColumn="0"/>
            </w:pPr>
            <w:r>
              <w:t>8 446</w:t>
            </w:r>
          </w:p>
        </w:tc>
        <w:tc>
          <w:tcPr>
            <w:tcW w:w="921" w:type="dxa"/>
          </w:tcPr>
          <w:p w14:paraId="16120A24" w14:textId="77777777" w:rsidR="004D42F9" w:rsidRDefault="004D42F9">
            <w:pPr>
              <w:cnfStyle w:val="000000000000" w:firstRow="0" w:lastRow="0" w:firstColumn="0" w:lastColumn="0" w:oddVBand="0" w:evenVBand="0" w:oddHBand="0" w:evenHBand="0" w:firstRowFirstColumn="0" w:firstRowLastColumn="0" w:lastRowFirstColumn="0" w:lastRowLastColumn="0"/>
            </w:pPr>
            <w:r>
              <w:t>5 637</w:t>
            </w:r>
          </w:p>
        </w:tc>
        <w:tc>
          <w:tcPr>
            <w:tcW w:w="921" w:type="dxa"/>
          </w:tcPr>
          <w:p w14:paraId="4D1BD42E" w14:textId="77777777" w:rsidR="004D42F9" w:rsidRDefault="004D42F9">
            <w:pPr>
              <w:cnfStyle w:val="000000000000" w:firstRow="0" w:lastRow="0" w:firstColumn="0" w:lastColumn="0" w:oddVBand="0" w:evenVBand="0" w:oddHBand="0" w:evenHBand="0" w:firstRowFirstColumn="0" w:firstRowLastColumn="0" w:lastRowFirstColumn="0" w:lastRowLastColumn="0"/>
            </w:pPr>
            <w:r>
              <w:t>5 224</w:t>
            </w:r>
          </w:p>
        </w:tc>
        <w:tc>
          <w:tcPr>
            <w:tcW w:w="921" w:type="dxa"/>
          </w:tcPr>
          <w:p w14:paraId="3FA7BF07" w14:textId="77777777" w:rsidR="004D42F9" w:rsidRDefault="004D42F9">
            <w:pPr>
              <w:cnfStyle w:val="000000000000" w:firstRow="0" w:lastRow="0" w:firstColumn="0" w:lastColumn="0" w:oddVBand="0" w:evenVBand="0" w:oddHBand="0" w:evenHBand="0" w:firstRowFirstColumn="0" w:firstRowLastColumn="0" w:lastRowFirstColumn="0" w:lastRowLastColumn="0"/>
            </w:pPr>
            <w:r>
              <w:t>4 856</w:t>
            </w:r>
          </w:p>
        </w:tc>
      </w:tr>
      <w:tr w:rsidR="004D42F9" w14:paraId="6B5BE696"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473F5B8" w14:textId="77777777" w:rsidR="004D42F9" w:rsidRDefault="004D42F9">
            <w:r>
              <w:t>Derivative financial instruments</w:t>
            </w:r>
          </w:p>
        </w:tc>
        <w:tc>
          <w:tcPr>
            <w:tcW w:w="921" w:type="dxa"/>
            <w:tcBorders>
              <w:bottom w:val="single" w:sz="6" w:space="0" w:color="auto"/>
            </w:tcBorders>
          </w:tcPr>
          <w:p w14:paraId="7FA676D2" w14:textId="77777777" w:rsidR="004D42F9" w:rsidRDefault="004D42F9">
            <w:pPr>
              <w:cnfStyle w:val="000000000000" w:firstRow="0" w:lastRow="0" w:firstColumn="0" w:lastColumn="0" w:oddVBand="0" w:evenVBand="0" w:oddHBand="0" w:evenHBand="0" w:firstRowFirstColumn="0" w:firstRowLastColumn="0" w:lastRowFirstColumn="0" w:lastRowLastColumn="0"/>
            </w:pPr>
            <w:r>
              <w:t>1 030</w:t>
            </w:r>
          </w:p>
        </w:tc>
        <w:tc>
          <w:tcPr>
            <w:tcW w:w="921" w:type="dxa"/>
            <w:tcBorders>
              <w:bottom w:val="single" w:sz="6" w:space="0" w:color="auto"/>
            </w:tcBorders>
          </w:tcPr>
          <w:p w14:paraId="30295478" w14:textId="77777777" w:rsidR="004D42F9" w:rsidRDefault="004D42F9">
            <w:pPr>
              <w:cnfStyle w:val="000000000000" w:firstRow="0" w:lastRow="0" w:firstColumn="0" w:lastColumn="0" w:oddVBand="0" w:evenVBand="0" w:oddHBand="0" w:evenHBand="0" w:firstRowFirstColumn="0" w:firstRowLastColumn="0" w:lastRowFirstColumn="0" w:lastRowLastColumn="0"/>
            </w:pPr>
            <w:r>
              <w:t>1 058</w:t>
            </w:r>
          </w:p>
        </w:tc>
        <w:tc>
          <w:tcPr>
            <w:tcW w:w="921" w:type="dxa"/>
            <w:tcBorders>
              <w:bottom w:val="single" w:sz="6" w:space="0" w:color="auto"/>
            </w:tcBorders>
          </w:tcPr>
          <w:p w14:paraId="3C9A54F0" w14:textId="77777777" w:rsidR="004D42F9" w:rsidRDefault="004D42F9">
            <w:pPr>
              <w:cnfStyle w:val="000000000000" w:firstRow="0" w:lastRow="0" w:firstColumn="0" w:lastColumn="0" w:oddVBand="0" w:evenVBand="0" w:oddHBand="0" w:evenHBand="0" w:firstRowFirstColumn="0" w:firstRowLastColumn="0" w:lastRowFirstColumn="0" w:lastRowLastColumn="0"/>
            </w:pPr>
            <w:r>
              <w:t>222</w:t>
            </w:r>
          </w:p>
        </w:tc>
        <w:tc>
          <w:tcPr>
            <w:tcW w:w="921" w:type="dxa"/>
            <w:tcBorders>
              <w:bottom w:val="single" w:sz="6" w:space="0" w:color="auto"/>
            </w:tcBorders>
          </w:tcPr>
          <w:p w14:paraId="07B950C2" w14:textId="77777777" w:rsidR="004D42F9" w:rsidRDefault="004D42F9">
            <w:pPr>
              <w:cnfStyle w:val="000000000000" w:firstRow="0" w:lastRow="0" w:firstColumn="0" w:lastColumn="0" w:oddVBand="0" w:evenVBand="0" w:oddHBand="0" w:evenHBand="0" w:firstRowFirstColumn="0" w:firstRowLastColumn="0" w:lastRowFirstColumn="0" w:lastRowLastColumn="0"/>
            </w:pPr>
            <w:r>
              <w:t>223</w:t>
            </w:r>
          </w:p>
        </w:tc>
      </w:tr>
      <w:tr w:rsidR="004D42F9" w14:paraId="75F0A324"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3FA9E69A" w14:textId="77777777" w:rsidR="004D42F9" w:rsidRDefault="004D42F9">
            <w:r>
              <w:rPr>
                <w:b/>
              </w:rPr>
              <w:t>Total non</w:t>
            </w:r>
            <w:r>
              <w:rPr>
                <w:b/>
              </w:rPr>
              <w:noBreakHyphen/>
              <w:t>current borrowings</w:t>
            </w:r>
          </w:p>
        </w:tc>
        <w:tc>
          <w:tcPr>
            <w:tcW w:w="921" w:type="dxa"/>
            <w:tcBorders>
              <w:top w:val="single" w:sz="6" w:space="0" w:color="auto"/>
              <w:bottom w:val="single" w:sz="6" w:space="0" w:color="auto"/>
            </w:tcBorders>
          </w:tcPr>
          <w:p w14:paraId="7400812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201 962</w:t>
            </w:r>
          </w:p>
        </w:tc>
        <w:tc>
          <w:tcPr>
            <w:tcW w:w="921" w:type="dxa"/>
            <w:tcBorders>
              <w:top w:val="single" w:sz="6" w:space="0" w:color="auto"/>
              <w:bottom w:val="single" w:sz="6" w:space="0" w:color="auto"/>
            </w:tcBorders>
          </w:tcPr>
          <w:p w14:paraId="5268966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168 091</w:t>
            </w:r>
          </w:p>
        </w:tc>
        <w:tc>
          <w:tcPr>
            <w:tcW w:w="921" w:type="dxa"/>
            <w:tcBorders>
              <w:top w:val="single" w:sz="6" w:space="0" w:color="auto"/>
              <w:bottom w:val="single" w:sz="6" w:space="0" w:color="auto"/>
            </w:tcBorders>
          </w:tcPr>
          <w:p w14:paraId="115DEAF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164 874</w:t>
            </w:r>
          </w:p>
        </w:tc>
        <w:tc>
          <w:tcPr>
            <w:tcW w:w="921" w:type="dxa"/>
            <w:tcBorders>
              <w:top w:val="single" w:sz="6" w:space="0" w:color="auto"/>
              <w:bottom w:val="single" w:sz="6" w:space="0" w:color="auto"/>
            </w:tcBorders>
          </w:tcPr>
          <w:p w14:paraId="5B0BFCD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146 365</w:t>
            </w:r>
          </w:p>
        </w:tc>
      </w:tr>
      <w:tr w:rsidR="004D42F9" w14:paraId="4BD8AF51"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2BAF9BC2" w14:textId="77777777" w:rsidR="004D42F9" w:rsidRDefault="004D42F9">
            <w:r>
              <w:rPr>
                <w:b/>
              </w:rPr>
              <w:t>Total borrowings</w:t>
            </w:r>
          </w:p>
        </w:tc>
        <w:tc>
          <w:tcPr>
            <w:tcW w:w="921" w:type="dxa"/>
            <w:tcBorders>
              <w:top w:val="single" w:sz="6" w:space="0" w:color="auto"/>
              <w:bottom w:val="single" w:sz="12" w:space="0" w:color="auto"/>
            </w:tcBorders>
          </w:tcPr>
          <w:p w14:paraId="0AF728B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223 408</w:t>
            </w:r>
          </w:p>
        </w:tc>
        <w:tc>
          <w:tcPr>
            <w:tcW w:w="921" w:type="dxa"/>
            <w:tcBorders>
              <w:top w:val="single" w:sz="6" w:space="0" w:color="auto"/>
              <w:bottom w:val="single" w:sz="12" w:space="0" w:color="auto"/>
            </w:tcBorders>
          </w:tcPr>
          <w:p w14:paraId="46E2842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193 712</w:t>
            </w:r>
          </w:p>
        </w:tc>
        <w:tc>
          <w:tcPr>
            <w:tcW w:w="921" w:type="dxa"/>
            <w:tcBorders>
              <w:top w:val="single" w:sz="6" w:space="0" w:color="auto"/>
              <w:bottom w:val="single" w:sz="12" w:space="0" w:color="auto"/>
            </w:tcBorders>
          </w:tcPr>
          <w:p w14:paraId="7AF5579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186 259</w:t>
            </w:r>
          </w:p>
        </w:tc>
        <w:tc>
          <w:tcPr>
            <w:tcW w:w="921" w:type="dxa"/>
            <w:tcBorders>
              <w:top w:val="single" w:sz="6" w:space="0" w:color="auto"/>
              <w:bottom w:val="single" w:sz="12" w:space="0" w:color="auto"/>
            </w:tcBorders>
          </w:tcPr>
          <w:p w14:paraId="312DF9E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167 309</w:t>
            </w:r>
          </w:p>
        </w:tc>
      </w:tr>
    </w:tbl>
    <w:p w14:paraId="52CA8A32" w14:textId="77777777" w:rsidR="004D42F9" w:rsidRDefault="004D42F9" w:rsidP="00A30637">
      <w:pPr>
        <w:spacing w:before="0"/>
      </w:pPr>
    </w:p>
    <w:p w14:paraId="47E7DF3A" w14:textId="77777777" w:rsidR="00A30637" w:rsidRDefault="00A30637" w:rsidP="00A30637">
      <w:pPr>
        <w:spacing w:before="0"/>
        <w:rPr>
          <w:b/>
          <w:bCs/>
        </w:rPr>
        <w:sectPr w:rsidR="00A30637" w:rsidSect="004D42F9">
          <w:type w:val="continuous"/>
          <w:pgSz w:w="11906" w:h="16838" w:code="9"/>
          <w:pgMar w:top="1134" w:right="1134" w:bottom="1134" w:left="1134" w:header="624" w:footer="567" w:gutter="0"/>
          <w:cols w:space="708"/>
          <w:docGrid w:linePitch="360"/>
        </w:sectPr>
      </w:pPr>
    </w:p>
    <w:p w14:paraId="3F247CDA" w14:textId="77777777" w:rsidR="004D42F9" w:rsidRDefault="004D42F9" w:rsidP="004D42F9">
      <w:pPr>
        <w:spacing w:before="60"/>
      </w:pPr>
      <w:r w:rsidRPr="0022332C">
        <w:rPr>
          <w:b/>
          <w:bCs/>
        </w:rPr>
        <w:t>Borrowings</w:t>
      </w:r>
      <w:r>
        <w:t xml:space="preserve"> refer to interest-bearing liabilities mainly raised from domestic borrowings through TCV, lease liabilities, service concession arrangement liabilities and other interest-bearing arrangements.</w:t>
      </w:r>
    </w:p>
    <w:p w14:paraId="75D6851E" w14:textId="77777777" w:rsidR="004D42F9" w:rsidRDefault="004D42F9" w:rsidP="004D42F9">
      <w:pPr>
        <w:spacing w:before="60"/>
      </w:pPr>
      <w:r>
        <w:t>Borrowings exclude liabilities raised from other government entities, which are classified as deposits held and advances received.</w:t>
      </w:r>
    </w:p>
    <w:p w14:paraId="41BDCC81" w14:textId="77777777" w:rsidR="004D42F9" w:rsidRDefault="004D42F9" w:rsidP="004D42F9">
      <w:pPr>
        <w:spacing w:before="60"/>
      </w:pPr>
      <w:r>
        <w:t xml:space="preserve">All borrowings, except for lease liabilities, are classified as financial instruments (Note 6.1). All borrowings are initially recognised on the settlement date at the fair value of the consideration received less directly attributable transaction costs. </w:t>
      </w:r>
    </w:p>
    <w:p w14:paraId="295B4D67" w14:textId="77777777" w:rsidR="004D42F9" w:rsidRDefault="004D42F9" w:rsidP="004D42F9">
      <w:pPr>
        <w:spacing w:before="60"/>
      </w:pPr>
      <w:r>
        <w:t xml:space="preserve">The measurement basis subsequent to initial recognition depends on whether the State has categorised its borrowings as either financial liabilities measured at fair value through profit or loss, or financial liabilities at amortised cost. </w:t>
      </w:r>
    </w:p>
    <w:p w14:paraId="2EB52868" w14:textId="77777777" w:rsidR="004D42F9" w:rsidRDefault="004D42F9" w:rsidP="004D42F9">
      <w:pPr>
        <w:spacing w:before="60"/>
      </w:pPr>
      <w:r>
        <w:t>The classification depends on the nature and purpose of the borrowings. The State determines the classification of its borrowings at initial recognition.</w:t>
      </w:r>
    </w:p>
    <w:p w14:paraId="76DBFC43" w14:textId="16212287" w:rsidR="004D42F9" w:rsidRDefault="004D42F9" w:rsidP="004D42F9">
      <w:pPr>
        <w:spacing w:before="60"/>
      </w:pPr>
      <w:r>
        <w:t>The State</w:t>
      </w:r>
      <w:r w:rsidR="00845934">
        <w:t>’</w:t>
      </w:r>
      <w:r>
        <w:t>s domestic borrowings are measured at fair value through profit or loss on the basis that the financial liabilities are managed on a fair value basis in accordance with documented risk strategies.</w:t>
      </w:r>
    </w:p>
    <w:p w14:paraId="7069986A" w14:textId="77777777" w:rsidR="004D42F9" w:rsidRDefault="004D42F9" w:rsidP="004D42F9">
      <w:pPr>
        <w:spacing w:before="60"/>
      </w:pPr>
      <w:r>
        <w:t>General government domestic borrowings, which are with TCV, are measured at amortised cost.</w:t>
      </w:r>
    </w:p>
    <w:p w14:paraId="1E0900F0" w14:textId="77777777" w:rsidR="004D42F9" w:rsidRDefault="004D42F9" w:rsidP="004D42F9">
      <w:pPr>
        <w:spacing w:before="60"/>
      </w:pPr>
      <w:r w:rsidRPr="0022332C">
        <w:rPr>
          <w:b/>
          <w:bCs/>
        </w:rPr>
        <w:t>Derivative financial instruments</w:t>
      </w:r>
      <w:r>
        <w:t xml:space="preserve"> are recognised at fair value. They are initially recognised at fair value on the date on which a derivative contract is entered into. </w:t>
      </w:r>
    </w:p>
    <w:p w14:paraId="256B939B" w14:textId="77777777" w:rsidR="00A30637" w:rsidRDefault="004D42F9" w:rsidP="004D42F9">
      <w:pPr>
        <w:spacing w:before="60"/>
        <w:sectPr w:rsidR="00A30637" w:rsidSect="00A30637">
          <w:type w:val="continuous"/>
          <w:pgSz w:w="11906" w:h="16838" w:code="9"/>
          <w:pgMar w:top="1134" w:right="1134" w:bottom="1134" w:left="1134" w:header="624" w:footer="567" w:gutter="0"/>
          <w:cols w:num="2" w:space="708"/>
          <w:docGrid w:linePitch="360"/>
        </w:sectPr>
      </w:pPr>
      <w:r>
        <w:t>Any gains or losses arising from changes in the fair value of derivatives after initial recognition are recognised in the consolidated comprehensive operating statement as an other economic flow included in the net result.</w:t>
      </w:r>
    </w:p>
    <w:p w14:paraId="70E17941" w14:textId="77777777" w:rsidR="004D42F9" w:rsidRDefault="004D42F9" w:rsidP="00A30637">
      <w:pPr>
        <w:pStyle w:val="Heading2"/>
        <w:spacing w:before="0"/>
      </w:pPr>
      <w:bookmarkStart w:id="97" w:name="_Toc209481759"/>
      <w:r>
        <w:lastRenderedPageBreak/>
        <w:t>5.2</w:t>
      </w:r>
      <w:r>
        <w:tab/>
        <w:t>Interest expense</w:t>
      </w:r>
      <w:bookmarkEnd w:id="97"/>
      <w:r>
        <w:t xml:space="preserve"> </w:t>
      </w:r>
    </w:p>
    <w:p w14:paraId="14F5954C" w14:textId="77777777" w:rsidR="004D42F9" w:rsidRDefault="004D42F9" w:rsidP="004D42F9">
      <w:pPr>
        <w:pStyle w:val="TableHeading"/>
        <w:spacing w:before="0"/>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Interest_expense"/>
      </w:tblPr>
      <w:tblGrid>
        <w:gridCol w:w="5954"/>
        <w:gridCol w:w="921"/>
        <w:gridCol w:w="921"/>
        <w:gridCol w:w="921"/>
        <w:gridCol w:w="921"/>
      </w:tblGrid>
      <w:tr w:rsidR="004D42F9" w14:paraId="423E3B3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C6D40A1" w14:textId="77777777" w:rsidR="004D42F9" w:rsidRDefault="004D42F9">
            <w:pPr>
              <w:keepNext/>
            </w:pPr>
          </w:p>
        </w:tc>
        <w:tc>
          <w:tcPr>
            <w:tcW w:w="1842" w:type="dxa"/>
            <w:gridSpan w:val="2"/>
          </w:tcPr>
          <w:p w14:paraId="765526EB"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3BC2FBAF"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B2795C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872BA98" w14:textId="77777777" w:rsidR="004D42F9" w:rsidRDefault="004D42F9">
            <w:pPr>
              <w:keepNext/>
            </w:pPr>
          </w:p>
        </w:tc>
        <w:tc>
          <w:tcPr>
            <w:tcW w:w="921" w:type="dxa"/>
          </w:tcPr>
          <w:p w14:paraId="146D3E9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3E07443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37D069D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5178321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03B003F0" w14:textId="77777777">
        <w:tc>
          <w:tcPr>
            <w:cnfStyle w:val="001000000000" w:firstRow="0" w:lastRow="0" w:firstColumn="1" w:lastColumn="0" w:oddVBand="0" w:evenVBand="0" w:oddHBand="0" w:evenHBand="0" w:firstRowFirstColumn="0" w:firstRowLastColumn="0" w:lastRowFirstColumn="0" w:lastRowLastColumn="0"/>
            <w:tcW w:w="5954" w:type="dxa"/>
          </w:tcPr>
          <w:p w14:paraId="08A97D7D" w14:textId="77777777" w:rsidR="004D42F9" w:rsidRDefault="004D42F9">
            <w:r>
              <w:t>Interest on interest bearing liabilities and deposits</w:t>
            </w:r>
          </w:p>
        </w:tc>
        <w:tc>
          <w:tcPr>
            <w:tcW w:w="921" w:type="dxa"/>
          </w:tcPr>
          <w:p w14:paraId="693FCC7F" w14:textId="77777777" w:rsidR="004D42F9" w:rsidRDefault="004D42F9">
            <w:pPr>
              <w:cnfStyle w:val="000000000000" w:firstRow="0" w:lastRow="0" w:firstColumn="0" w:lastColumn="0" w:oddVBand="0" w:evenVBand="0" w:oddHBand="0" w:evenHBand="0" w:firstRowFirstColumn="0" w:firstRowLastColumn="0" w:lastRowFirstColumn="0" w:lastRowLastColumn="0"/>
            </w:pPr>
            <w:r>
              <w:t>6 288</w:t>
            </w:r>
          </w:p>
        </w:tc>
        <w:tc>
          <w:tcPr>
            <w:tcW w:w="921" w:type="dxa"/>
          </w:tcPr>
          <w:p w14:paraId="4F9504CB" w14:textId="77777777" w:rsidR="004D42F9" w:rsidRDefault="004D42F9">
            <w:pPr>
              <w:cnfStyle w:val="000000000000" w:firstRow="0" w:lastRow="0" w:firstColumn="0" w:lastColumn="0" w:oddVBand="0" w:evenVBand="0" w:oddHBand="0" w:evenHBand="0" w:firstRowFirstColumn="0" w:firstRowLastColumn="0" w:lastRowFirstColumn="0" w:lastRowLastColumn="0"/>
            </w:pPr>
            <w:r>
              <w:t>5 374</w:t>
            </w:r>
          </w:p>
        </w:tc>
        <w:tc>
          <w:tcPr>
            <w:tcW w:w="921" w:type="dxa"/>
          </w:tcPr>
          <w:p w14:paraId="22E5C5BA" w14:textId="77777777" w:rsidR="004D42F9" w:rsidRDefault="004D42F9">
            <w:pPr>
              <w:cnfStyle w:val="000000000000" w:firstRow="0" w:lastRow="0" w:firstColumn="0" w:lastColumn="0" w:oddVBand="0" w:evenVBand="0" w:oddHBand="0" w:evenHBand="0" w:firstRowFirstColumn="0" w:firstRowLastColumn="0" w:lastRowFirstColumn="0" w:lastRowLastColumn="0"/>
            </w:pPr>
            <w:r>
              <w:t>5 957</w:t>
            </w:r>
          </w:p>
        </w:tc>
        <w:tc>
          <w:tcPr>
            <w:tcW w:w="921" w:type="dxa"/>
          </w:tcPr>
          <w:p w14:paraId="63DF2C36" w14:textId="77777777" w:rsidR="004D42F9" w:rsidRDefault="004D42F9">
            <w:pPr>
              <w:cnfStyle w:val="000000000000" w:firstRow="0" w:lastRow="0" w:firstColumn="0" w:lastColumn="0" w:oddVBand="0" w:evenVBand="0" w:oddHBand="0" w:evenHBand="0" w:firstRowFirstColumn="0" w:firstRowLastColumn="0" w:lastRowFirstColumn="0" w:lastRowLastColumn="0"/>
            </w:pPr>
            <w:r>
              <w:t>4 804</w:t>
            </w:r>
          </w:p>
        </w:tc>
      </w:tr>
      <w:tr w:rsidR="004D42F9" w14:paraId="4F0D56E1" w14:textId="77777777">
        <w:tc>
          <w:tcPr>
            <w:cnfStyle w:val="001000000000" w:firstRow="0" w:lastRow="0" w:firstColumn="1" w:lastColumn="0" w:oddVBand="0" w:evenVBand="0" w:oddHBand="0" w:evenHBand="0" w:firstRowFirstColumn="0" w:firstRowLastColumn="0" w:lastRowFirstColumn="0" w:lastRowLastColumn="0"/>
            <w:tcW w:w="5954" w:type="dxa"/>
          </w:tcPr>
          <w:p w14:paraId="1293CC62" w14:textId="77777777" w:rsidR="004D42F9" w:rsidRDefault="004D42F9">
            <w:r>
              <w:t>Interest on lease liabilities</w:t>
            </w:r>
          </w:p>
        </w:tc>
        <w:tc>
          <w:tcPr>
            <w:tcW w:w="921" w:type="dxa"/>
          </w:tcPr>
          <w:p w14:paraId="4B1475F0" w14:textId="77777777" w:rsidR="004D42F9" w:rsidRDefault="004D42F9">
            <w:pPr>
              <w:cnfStyle w:val="000000000000" w:firstRow="0" w:lastRow="0" w:firstColumn="0" w:lastColumn="0" w:oddVBand="0" w:evenVBand="0" w:oddHBand="0" w:evenHBand="0" w:firstRowFirstColumn="0" w:firstRowLastColumn="0" w:lastRowFirstColumn="0" w:lastRowLastColumn="0"/>
            </w:pPr>
            <w:r>
              <w:t>416</w:t>
            </w:r>
          </w:p>
        </w:tc>
        <w:tc>
          <w:tcPr>
            <w:tcW w:w="921" w:type="dxa"/>
          </w:tcPr>
          <w:p w14:paraId="6AFD43B7" w14:textId="77777777" w:rsidR="004D42F9" w:rsidRDefault="004D42F9">
            <w:pPr>
              <w:cnfStyle w:val="000000000000" w:firstRow="0" w:lastRow="0" w:firstColumn="0" w:lastColumn="0" w:oddVBand="0" w:evenVBand="0" w:oddHBand="0" w:evenHBand="0" w:firstRowFirstColumn="0" w:firstRowLastColumn="0" w:lastRowFirstColumn="0" w:lastRowLastColumn="0"/>
            </w:pPr>
            <w:r>
              <w:t>423</w:t>
            </w:r>
          </w:p>
        </w:tc>
        <w:tc>
          <w:tcPr>
            <w:tcW w:w="921" w:type="dxa"/>
          </w:tcPr>
          <w:p w14:paraId="111BA0EB" w14:textId="77777777" w:rsidR="004D42F9" w:rsidRDefault="004D42F9">
            <w:pPr>
              <w:cnfStyle w:val="000000000000" w:firstRow="0" w:lastRow="0" w:firstColumn="0" w:lastColumn="0" w:oddVBand="0" w:evenVBand="0" w:oddHBand="0" w:evenHBand="0" w:firstRowFirstColumn="0" w:firstRowLastColumn="0" w:lastRowFirstColumn="0" w:lastRowLastColumn="0"/>
            </w:pPr>
            <w:r>
              <w:t>399</w:t>
            </w:r>
          </w:p>
        </w:tc>
        <w:tc>
          <w:tcPr>
            <w:tcW w:w="921" w:type="dxa"/>
          </w:tcPr>
          <w:p w14:paraId="6BF91E53" w14:textId="77777777" w:rsidR="004D42F9" w:rsidRDefault="004D42F9">
            <w:pPr>
              <w:cnfStyle w:val="000000000000" w:firstRow="0" w:lastRow="0" w:firstColumn="0" w:lastColumn="0" w:oddVBand="0" w:evenVBand="0" w:oddHBand="0" w:evenHBand="0" w:firstRowFirstColumn="0" w:firstRowLastColumn="0" w:lastRowFirstColumn="0" w:lastRowLastColumn="0"/>
            </w:pPr>
            <w:r>
              <w:t>407</w:t>
            </w:r>
          </w:p>
        </w:tc>
      </w:tr>
      <w:tr w:rsidR="004D42F9" w14:paraId="783597EA" w14:textId="77777777">
        <w:tc>
          <w:tcPr>
            <w:cnfStyle w:val="001000000000" w:firstRow="0" w:lastRow="0" w:firstColumn="1" w:lastColumn="0" w:oddVBand="0" w:evenVBand="0" w:oddHBand="0" w:evenHBand="0" w:firstRowFirstColumn="0" w:firstRowLastColumn="0" w:lastRowFirstColumn="0" w:lastRowLastColumn="0"/>
            <w:tcW w:w="5954" w:type="dxa"/>
          </w:tcPr>
          <w:p w14:paraId="4DCAD1F9" w14:textId="77777777" w:rsidR="004D42F9" w:rsidRDefault="004D42F9">
            <w:r>
              <w:t>Interest on service concessions</w:t>
            </w:r>
          </w:p>
        </w:tc>
        <w:tc>
          <w:tcPr>
            <w:tcW w:w="921" w:type="dxa"/>
          </w:tcPr>
          <w:p w14:paraId="78E62E4C" w14:textId="77777777" w:rsidR="004D42F9" w:rsidRDefault="004D42F9">
            <w:pPr>
              <w:cnfStyle w:val="000000000000" w:firstRow="0" w:lastRow="0" w:firstColumn="0" w:lastColumn="0" w:oddVBand="0" w:evenVBand="0" w:oddHBand="0" w:evenHBand="0" w:firstRowFirstColumn="0" w:firstRowLastColumn="0" w:lastRowFirstColumn="0" w:lastRowLastColumn="0"/>
            </w:pPr>
            <w:r>
              <w:t>390</w:t>
            </w:r>
          </w:p>
        </w:tc>
        <w:tc>
          <w:tcPr>
            <w:tcW w:w="921" w:type="dxa"/>
          </w:tcPr>
          <w:p w14:paraId="318B0894" w14:textId="77777777" w:rsidR="004D42F9" w:rsidRDefault="004D42F9">
            <w:pPr>
              <w:cnfStyle w:val="000000000000" w:firstRow="0" w:lastRow="0" w:firstColumn="0" w:lastColumn="0" w:oddVBand="0" w:evenVBand="0" w:oddHBand="0" w:evenHBand="0" w:firstRowFirstColumn="0" w:firstRowLastColumn="0" w:lastRowFirstColumn="0" w:lastRowLastColumn="0"/>
            </w:pPr>
            <w:r>
              <w:t>388</w:t>
            </w:r>
          </w:p>
        </w:tc>
        <w:tc>
          <w:tcPr>
            <w:tcW w:w="921" w:type="dxa"/>
          </w:tcPr>
          <w:p w14:paraId="3DD4F00E" w14:textId="77777777" w:rsidR="004D42F9" w:rsidRDefault="004D42F9">
            <w:pPr>
              <w:cnfStyle w:val="000000000000" w:firstRow="0" w:lastRow="0" w:firstColumn="0" w:lastColumn="0" w:oddVBand="0" w:evenVBand="0" w:oddHBand="0" w:evenHBand="0" w:firstRowFirstColumn="0" w:firstRowLastColumn="0" w:lastRowFirstColumn="0" w:lastRowLastColumn="0"/>
            </w:pPr>
            <w:r>
              <w:t>374</w:t>
            </w:r>
          </w:p>
        </w:tc>
        <w:tc>
          <w:tcPr>
            <w:tcW w:w="921" w:type="dxa"/>
          </w:tcPr>
          <w:p w14:paraId="2D0A1E35" w14:textId="77777777" w:rsidR="004D42F9" w:rsidRDefault="004D42F9">
            <w:pPr>
              <w:cnfStyle w:val="000000000000" w:firstRow="0" w:lastRow="0" w:firstColumn="0" w:lastColumn="0" w:oddVBand="0" w:evenVBand="0" w:oddHBand="0" w:evenHBand="0" w:firstRowFirstColumn="0" w:firstRowLastColumn="0" w:lastRowFirstColumn="0" w:lastRowLastColumn="0"/>
            </w:pPr>
            <w:r>
              <w:t>375</w:t>
            </w:r>
          </w:p>
        </w:tc>
      </w:tr>
      <w:tr w:rsidR="004D42F9" w14:paraId="2C724E6E"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B11E2D8" w14:textId="77777777" w:rsidR="004D42F9" w:rsidRDefault="004D42F9">
            <w:r>
              <w:t>Discount interest on payables</w:t>
            </w:r>
          </w:p>
        </w:tc>
        <w:tc>
          <w:tcPr>
            <w:tcW w:w="921" w:type="dxa"/>
            <w:tcBorders>
              <w:bottom w:val="single" w:sz="6" w:space="0" w:color="auto"/>
            </w:tcBorders>
          </w:tcPr>
          <w:p w14:paraId="3838559B" w14:textId="77777777" w:rsidR="004D42F9" w:rsidRDefault="004D42F9">
            <w:pPr>
              <w:cnfStyle w:val="000000000000" w:firstRow="0" w:lastRow="0" w:firstColumn="0" w:lastColumn="0" w:oddVBand="0" w:evenVBand="0" w:oddHBand="0" w:evenHBand="0" w:firstRowFirstColumn="0" w:firstRowLastColumn="0" w:lastRowFirstColumn="0" w:lastRowLastColumn="0"/>
            </w:pPr>
            <w:r>
              <w:t>1 035</w:t>
            </w:r>
          </w:p>
        </w:tc>
        <w:tc>
          <w:tcPr>
            <w:tcW w:w="921" w:type="dxa"/>
            <w:tcBorders>
              <w:bottom w:val="single" w:sz="6" w:space="0" w:color="auto"/>
            </w:tcBorders>
          </w:tcPr>
          <w:p w14:paraId="6438ECAE" w14:textId="77777777" w:rsidR="004D42F9" w:rsidRDefault="004D42F9">
            <w:pPr>
              <w:cnfStyle w:val="000000000000" w:firstRow="0" w:lastRow="0" w:firstColumn="0" w:lastColumn="0" w:oddVBand="0" w:evenVBand="0" w:oddHBand="0" w:evenHBand="0" w:firstRowFirstColumn="0" w:firstRowLastColumn="0" w:lastRowFirstColumn="0" w:lastRowLastColumn="0"/>
            </w:pPr>
            <w:r>
              <w:t>536</w:t>
            </w:r>
          </w:p>
        </w:tc>
        <w:tc>
          <w:tcPr>
            <w:tcW w:w="921" w:type="dxa"/>
            <w:tcBorders>
              <w:bottom w:val="single" w:sz="6" w:space="0" w:color="auto"/>
            </w:tcBorders>
          </w:tcPr>
          <w:p w14:paraId="76DCB316" w14:textId="77777777" w:rsidR="004D42F9" w:rsidRDefault="004D42F9">
            <w:pPr>
              <w:cnfStyle w:val="000000000000" w:firstRow="0" w:lastRow="0" w:firstColumn="0" w:lastColumn="0" w:oddVBand="0" w:evenVBand="0" w:oddHBand="0" w:evenHBand="0" w:firstRowFirstColumn="0" w:firstRowLastColumn="0" w:lastRowFirstColumn="0" w:lastRowLastColumn="0"/>
            </w:pPr>
            <w:r>
              <w:t>44</w:t>
            </w:r>
          </w:p>
        </w:tc>
        <w:tc>
          <w:tcPr>
            <w:tcW w:w="921" w:type="dxa"/>
            <w:tcBorders>
              <w:bottom w:val="single" w:sz="6" w:space="0" w:color="auto"/>
            </w:tcBorders>
          </w:tcPr>
          <w:p w14:paraId="0BCF5811" w14:textId="77777777" w:rsidR="004D42F9" w:rsidRDefault="004D42F9">
            <w:pPr>
              <w:cnfStyle w:val="000000000000" w:firstRow="0" w:lastRow="0" w:firstColumn="0" w:lastColumn="0" w:oddVBand="0" w:evenVBand="0" w:oddHBand="0" w:evenHBand="0" w:firstRowFirstColumn="0" w:firstRowLastColumn="0" w:lastRowFirstColumn="0" w:lastRowLastColumn="0"/>
            </w:pPr>
            <w:r>
              <w:t>52</w:t>
            </w:r>
          </w:p>
        </w:tc>
      </w:tr>
      <w:tr w:rsidR="004D42F9" w14:paraId="76995682"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3837AC07" w14:textId="77777777" w:rsidR="004D42F9" w:rsidRDefault="004D42F9">
            <w:r>
              <w:rPr>
                <w:b/>
              </w:rPr>
              <w:t>Total interest expense</w:t>
            </w:r>
          </w:p>
        </w:tc>
        <w:tc>
          <w:tcPr>
            <w:tcW w:w="921" w:type="dxa"/>
            <w:tcBorders>
              <w:top w:val="single" w:sz="6" w:space="0" w:color="auto"/>
              <w:bottom w:val="single" w:sz="12" w:space="0" w:color="auto"/>
            </w:tcBorders>
          </w:tcPr>
          <w:p w14:paraId="4ACF48C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8 130</w:t>
            </w:r>
          </w:p>
        </w:tc>
        <w:tc>
          <w:tcPr>
            <w:tcW w:w="921" w:type="dxa"/>
            <w:tcBorders>
              <w:top w:val="single" w:sz="6" w:space="0" w:color="auto"/>
              <w:bottom w:val="single" w:sz="12" w:space="0" w:color="auto"/>
            </w:tcBorders>
          </w:tcPr>
          <w:p w14:paraId="0D27078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6 722</w:t>
            </w:r>
          </w:p>
        </w:tc>
        <w:tc>
          <w:tcPr>
            <w:tcW w:w="921" w:type="dxa"/>
            <w:tcBorders>
              <w:top w:val="single" w:sz="6" w:space="0" w:color="auto"/>
              <w:bottom w:val="single" w:sz="12" w:space="0" w:color="auto"/>
            </w:tcBorders>
          </w:tcPr>
          <w:p w14:paraId="2D57AF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6 774</w:t>
            </w:r>
          </w:p>
        </w:tc>
        <w:tc>
          <w:tcPr>
            <w:tcW w:w="921" w:type="dxa"/>
            <w:tcBorders>
              <w:top w:val="single" w:sz="6" w:space="0" w:color="auto"/>
              <w:bottom w:val="single" w:sz="12" w:space="0" w:color="auto"/>
            </w:tcBorders>
          </w:tcPr>
          <w:p w14:paraId="17E9922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5 639</w:t>
            </w:r>
          </w:p>
        </w:tc>
      </w:tr>
    </w:tbl>
    <w:p w14:paraId="73989FBA" w14:textId="77777777" w:rsidR="004D42F9" w:rsidRDefault="004D42F9" w:rsidP="004D42F9"/>
    <w:p w14:paraId="4E0725D6" w14:textId="77777777" w:rsidR="00A30637" w:rsidRDefault="00A30637" w:rsidP="004D42F9">
      <w:pPr>
        <w:sectPr w:rsidR="00A30637" w:rsidSect="004D42F9">
          <w:headerReference w:type="even" r:id="rId84"/>
          <w:headerReference w:type="default" r:id="rId85"/>
          <w:type w:val="continuous"/>
          <w:pgSz w:w="11906" w:h="16838" w:code="9"/>
          <w:pgMar w:top="1134" w:right="1134" w:bottom="1134" w:left="1134" w:header="624" w:footer="567" w:gutter="0"/>
          <w:cols w:space="708"/>
          <w:docGrid w:linePitch="360"/>
        </w:sectPr>
      </w:pPr>
    </w:p>
    <w:p w14:paraId="41348EFE" w14:textId="77777777" w:rsidR="004D42F9" w:rsidRDefault="004D42F9" w:rsidP="004D42F9">
      <w:r>
        <w:t>Interest expense represents costs incurred in relation to borrowings. It includes interest on advances, loans, overdrafts, bonds and bills, deposits, interest components of lease repayments, service concession financial liabilities and the amortisation of discounts or premiums in relation to borrowings.</w:t>
      </w:r>
    </w:p>
    <w:p w14:paraId="185E79D2" w14:textId="77777777" w:rsidR="004D42F9" w:rsidRDefault="004D42F9" w:rsidP="004D42F9">
      <w:r>
        <w:t xml:space="preserve">The State recognises borrowing costs immediately as an expense, even where they are directly attributable to the acquisition, construction or production of a qualifying asset. </w:t>
      </w:r>
    </w:p>
    <w:p w14:paraId="03437337" w14:textId="77777777" w:rsidR="00A30637" w:rsidRDefault="00A30637" w:rsidP="004D42F9">
      <w:pPr>
        <w:pStyle w:val="Heading2"/>
        <w:sectPr w:rsidR="00A30637" w:rsidSect="00A30637">
          <w:type w:val="continuous"/>
          <w:pgSz w:w="11906" w:h="16838" w:code="9"/>
          <w:pgMar w:top="1134" w:right="1134" w:bottom="1134" w:left="1134" w:header="624" w:footer="567" w:gutter="0"/>
          <w:cols w:num="2" w:space="708"/>
          <w:docGrid w:linePitch="360"/>
        </w:sectPr>
      </w:pPr>
    </w:p>
    <w:p w14:paraId="7B743511" w14:textId="77777777" w:rsidR="004D42F9" w:rsidRDefault="004D42F9" w:rsidP="004D42F9">
      <w:pPr>
        <w:pStyle w:val="Heading2"/>
      </w:pPr>
      <w:bookmarkStart w:id="98" w:name="_Toc209481760"/>
      <w:r>
        <w:t>5.3</w:t>
      </w:r>
      <w:r>
        <w:tab/>
        <w:t>Deposits held and advances received</w:t>
      </w:r>
      <w:bookmarkEnd w:id="98"/>
    </w:p>
    <w:p w14:paraId="44100120" w14:textId="77777777" w:rsidR="00A30637" w:rsidRDefault="00A30637" w:rsidP="004D42F9">
      <w:pPr>
        <w:sectPr w:rsidR="00A30637" w:rsidSect="004D42F9">
          <w:type w:val="continuous"/>
          <w:pgSz w:w="11906" w:h="16838" w:code="9"/>
          <w:pgMar w:top="1134" w:right="1134" w:bottom="1134" w:left="1134" w:header="624" w:footer="567" w:gutter="0"/>
          <w:cols w:space="708"/>
          <w:docGrid w:linePitch="360"/>
        </w:sectPr>
      </w:pPr>
    </w:p>
    <w:p w14:paraId="3424CDD4" w14:textId="77777777" w:rsidR="004D42F9" w:rsidRDefault="004D42F9" w:rsidP="004D42F9">
      <w:r>
        <w:t>Deposits held include deposits, security deposits, and trust fund balances held on behalf of public or private sector bodies. Advances received include loans and other repayable funds from public sector bodies for policy purposes.</w:t>
      </w:r>
    </w:p>
    <w:p w14:paraId="02F91337" w14:textId="77777777" w:rsidR="004D42F9" w:rsidRDefault="004D42F9" w:rsidP="004D42F9">
      <w:r>
        <w:t>Deposits held and advances received are categorised as financial liabilities at amortised cost.</w:t>
      </w:r>
    </w:p>
    <w:p w14:paraId="3507FFB1" w14:textId="77777777" w:rsidR="00A30637" w:rsidRDefault="00A30637" w:rsidP="004D42F9">
      <w:pPr>
        <w:pStyle w:val="Heading2"/>
        <w:sectPr w:rsidR="00A30637" w:rsidSect="00A30637">
          <w:type w:val="continuous"/>
          <w:pgSz w:w="11906" w:h="16838" w:code="9"/>
          <w:pgMar w:top="1134" w:right="1134" w:bottom="1134" w:left="1134" w:header="624" w:footer="567" w:gutter="0"/>
          <w:cols w:num="2" w:space="708"/>
          <w:docGrid w:linePitch="360"/>
        </w:sectPr>
      </w:pPr>
      <w:bookmarkStart w:id="99" w:name="_Toc176184659"/>
    </w:p>
    <w:p w14:paraId="08ABE013" w14:textId="77777777" w:rsidR="00A30637" w:rsidRDefault="00A30637">
      <w:pPr>
        <w:keepLines w:val="0"/>
        <w:rPr>
          <w:rFonts w:asciiTheme="majorHAnsi" w:eastAsiaTheme="majorEastAsia" w:hAnsiTheme="majorHAnsi" w:cstheme="majorBidi"/>
          <w:b/>
          <w:sz w:val="27"/>
          <w:szCs w:val="26"/>
        </w:rPr>
      </w:pPr>
      <w:r>
        <w:br w:type="page"/>
      </w:r>
    </w:p>
    <w:p w14:paraId="2862C640" w14:textId="614E01E7" w:rsidR="004D42F9" w:rsidRDefault="004D42F9" w:rsidP="00A30637">
      <w:pPr>
        <w:pStyle w:val="Heading2"/>
        <w:spacing w:before="0"/>
      </w:pPr>
      <w:bookmarkStart w:id="100" w:name="_Toc209481761"/>
      <w:r>
        <w:lastRenderedPageBreak/>
        <w:t>5.4</w:t>
      </w:r>
      <w:r>
        <w:tab/>
        <w:t>Cash flow information and balances</w:t>
      </w:r>
      <w:bookmarkEnd w:id="99"/>
      <w:bookmarkEnd w:id="100"/>
    </w:p>
    <w:p w14:paraId="44AFF5A2" w14:textId="77777777" w:rsidR="00A30637" w:rsidRDefault="00A30637" w:rsidP="004D42F9">
      <w:pPr>
        <w:sectPr w:rsidR="00A30637" w:rsidSect="004D42F9">
          <w:headerReference w:type="even" r:id="rId86"/>
          <w:type w:val="continuous"/>
          <w:pgSz w:w="11906" w:h="16838" w:code="9"/>
          <w:pgMar w:top="1134" w:right="1134" w:bottom="1134" w:left="1134" w:header="624" w:footer="567" w:gutter="0"/>
          <w:cols w:space="708"/>
          <w:docGrid w:linePitch="360"/>
        </w:sectPr>
      </w:pPr>
    </w:p>
    <w:p w14:paraId="705C519A" w14:textId="77777777" w:rsidR="004D42F9" w:rsidRDefault="004D42F9" w:rsidP="004D42F9">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that are readily convertible to known amounts of cash and are subject to an insignificant risk of changes in value. </w:t>
      </w:r>
    </w:p>
    <w:p w14:paraId="20B37550" w14:textId="77777777" w:rsidR="004D42F9" w:rsidRDefault="004D42F9" w:rsidP="004D42F9">
      <w:r>
        <w:t>For cash flow statement presentation purposes, cash and cash equivalents include bank overdrafts, which are included as current borrowings on the balance sheet.</w:t>
      </w:r>
    </w:p>
    <w:p w14:paraId="48F44B76" w14:textId="77777777" w:rsidR="00A30637" w:rsidRDefault="00A30637" w:rsidP="004D42F9">
      <w:pPr>
        <w:pStyle w:val="TableHeading"/>
        <w:spacing w:before="240"/>
      </w:pPr>
    </w:p>
    <w:p w14:paraId="2D6F3027" w14:textId="77777777" w:rsidR="00A30637" w:rsidRPr="00A30637" w:rsidRDefault="00A30637" w:rsidP="00A30637">
      <w:pPr>
        <w:sectPr w:rsidR="00A30637" w:rsidRPr="00A30637" w:rsidSect="00A30637">
          <w:type w:val="continuous"/>
          <w:pgSz w:w="11906" w:h="16838" w:code="9"/>
          <w:pgMar w:top="1134" w:right="1134" w:bottom="1134" w:left="1134" w:header="624" w:footer="567" w:gutter="0"/>
          <w:cols w:num="2" w:space="708"/>
          <w:docGrid w:linePitch="360"/>
        </w:sectPr>
      </w:pPr>
    </w:p>
    <w:p w14:paraId="1FA834FD" w14:textId="5EFFDBA3" w:rsidR="004D42F9" w:rsidRDefault="004D42F9" w:rsidP="004D42F9">
      <w:pPr>
        <w:pStyle w:val="TableHeading"/>
        <w:spacing w:before="240"/>
      </w:pPr>
      <w:r>
        <w:t>Reconciliation of cash and cash equivalents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Recon_Cash"/>
      </w:tblPr>
      <w:tblGrid>
        <w:gridCol w:w="5954"/>
        <w:gridCol w:w="921"/>
        <w:gridCol w:w="921"/>
        <w:gridCol w:w="921"/>
        <w:gridCol w:w="921"/>
      </w:tblGrid>
      <w:tr w:rsidR="004D42F9" w14:paraId="3BB9F95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130586DC" w14:textId="77777777" w:rsidR="004D42F9" w:rsidRDefault="004D42F9">
            <w:pPr>
              <w:keepNext/>
            </w:pPr>
          </w:p>
        </w:tc>
        <w:tc>
          <w:tcPr>
            <w:tcW w:w="1842" w:type="dxa"/>
            <w:gridSpan w:val="2"/>
          </w:tcPr>
          <w:p w14:paraId="56135B32"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42" w:type="dxa"/>
            <w:gridSpan w:val="2"/>
          </w:tcPr>
          <w:p w14:paraId="3F9E6CA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1ACF98B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89F2F75" w14:textId="77777777" w:rsidR="004D42F9" w:rsidRDefault="004D42F9">
            <w:pPr>
              <w:keepNext/>
            </w:pPr>
          </w:p>
        </w:tc>
        <w:tc>
          <w:tcPr>
            <w:tcW w:w="921" w:type="dxa"/>
          </w:tcPr>
          <w:p w14:paraId="3DEC85D4"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35D6E631"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1049A6E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749532E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42C8B430" w14:textId="77777777">
        <w:tc>
          <w:tcPr>
            <w:cnfStyle w:val="001000000000" w:firstRow="0" w:lastRow="0" w:firstColumn="1" w:lastColumn="0" w:oddVBand="0" w:evenVBand="0" w:oddHBand="0" w:evenHBand="0" w:firstRowFirstColumn="0" w:firstRowLastColumn="0" w:lastRowFirstColumn="0" w:lastRowLastColumn="0"/>
            <w:tcW w:w="5954" w:type="dxa"/>
          </w:tcPr>
          <w:p w14:paraId="2922B6F8" w14:textId="77777777" w:rsidR="004D42F9" w:rsidRDefault="004D42F9">
            <w:r>
              <w:t>Cash</w:t>
            </w:r>
          </w:p>
        </w:tc>
        <w:tc>
          <w:tcPr>
            <w:tcW w:w="921" w:type="dxa"/>
          </w:tcPr>
          <w:p w14:paraId="33D1FFB1" w14:textId="77777777" w:rsidR="004D42F9" w:rsidRDefault="004D42F9">
            <w:pPr>
              <w:cnfStyle w:val="000000000000" w:firstRow="0" w:lastRow="0" w:firstColumn="0" w:lastColumn="0" w:oddVBand="0" w:evenVBand="0" w:oddHBand="0" w:evenHBand="0" w:firstRowFirstColumn="0" w:firstRowLastColumn="0" w:lastRowFirstColumn="0" w:lastRowLastColumn="0"/>
            </w:pPr>
            <w:r>
              <w:t>4 434</w:t>
            </w:r>
          </w:p>
        </w:tc>
        <w:tc>
          <w:tcPr>
            <w:tcW w:w="921" w:type="dxa"/>
          </w:tcPr>
          <w:p w14:paraId="1A4AFA9A" w14:textId="77777777" w:rsidR="004D42F9" w:rsidRDefault="004D42F9">
            <w:pPr>
              <w:cnfStyle w:val="000000000000" w:firstRow="0" w:lastRow="0" w:firstColumn="0" w:lastColumn="0" w:oddVBand="0" w:evenVBand="0" w:oddHBand="0" w:evenHBand="0" w:firstRowFirstColumn="0" w:firstRowLastColumn="0" w:lastRowFirstColumn="0" w:lastRowLastColumn="0"/>
            </w:pPr>
            <w:r>
              <w:t>6 593</w:t>
            </w:r>
          </w:p>
        </w:tc>
        <w:tc>
          <w:tcPr>
            <w:tcW w:w="921" w:type="dxa"/>
          </w:tcPr>
          <w:p w14:paraId="497C9C7E" w14:textId="77777777" w:rsidR="004D42F9" w:rsidRDefault="004D42F9">
            <w:pPr>
              <w:cnfStyle w:val="000000000000" w:firstRow="0" w:lastRow="0" w:firstColumn="0" w:lastColumn="0" w:oddVBand="0" w:evenVBand="0" w:oddHBand="0" w:evenHBand="0" w:firstRowFirstColumn="0" w:firstRowLastColumn="0" w:lastRowFirstColumn="0" w:lastRowLastColumn="0"/>
            </w:pPr>
            <w:r>
              <w:t>4 078</w:t>
            </w:r>
          </w:p>
        </w:tc>
        <w:tc>
          <w:tcPr>
            <w:tcW w:w="921" w:type="dxa"/>
          </w:tcPr>
          <w:p w14:paraId="4C8C709A" w14:textId="77777777" w:rsidR="004D42F9" w:rsidRDefault="004D42F9">
            <w:pPr>
              <w:cnfStyle w:val="000000000000" w:firstRow="0" w:lastRow="0" w:firstColumn="0" w:lastColumn="0" w:oddVBand="0" w:evenVBand="0" w:oddHBand="0" w:evenHBand="0" w:firstRowFirstColumn="0" w:firstRowLastColumn="0" w:lastRowFirstColumn="0" w:lastRowLastColumn="0"/>
            </w:pPr>
            <w:r>
              <w:t>6 096</w:t>
            </w:r>
          </w:p>
        </w:tc>
      </w:tr>
      <w:tr w:rsidR="004D42F9" w14:paraId="18472F0F"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8B57306" w14:textId="77777777" w:rsidR="004D42F9" w:rsidRDefault="004D42F9">
            <w:r>
              <w:t>Deposits at call</w:t>
            </w:r>
          </w:p>
        </w:tc>
        <w:tc>
          <w:tcPr>
            <w:tcW w:w="921" w:type="dxa"/>
            <w:tcBorders>
              <w:bottom w:val="single" w:sz="6" w:space="0" w:color="auto"/>
            </w:tcBorders>
          </w:tcPr>
          <w:p w14:paraId="540A81FF" w14:textId="77777777" w:rsidR="004D42F9" w:rsidRDefault="004D42F9">
            <w:pPr>
              <w:cnfStyle w:val="000000000000" w:firstRow="0" w:lastRow="0" w:firstColumn="0" w:lastColumn="0" w:oddVBand="0" w:evenVBand="0" w:oddHBand="0" w:evenHBand="0" w:firstRowFirstColumn="0" w:firstRowLastColumn="0" w:lastRowFirstColumn="0" w:lastRowLastColumn="0"/>
            </w:pPr>
            <w:r>
              <w:t>16 017</w:t>
            </w:r>
          </w:p>
        </w:tc>
        <w:tc>
          <w:tcPr>
            <w:tcW w:w="921" w:type="dxa"/>
            <w:tcBorders>
              <w:bottom w:val="single" w:sz="6" w:space="0" w:color="auto"/>
            </w:tcBorders>
          </w:tcPr>
          <w:p w14:paraId="322A0527" w14:textId="77777777" w:rsidR="004D42F9" w:rsidRDefault="004D42F9">
            <w:pPr>
              <w:cnfStyle w:val="000000000000" w:firstRow="0" w:lastRow="0" w:firstColumn="0" w:lastColumn="0" w:oddVBand="0" w:evenVBand="0" w:oddHBand="0" w:evenHBand="0" w:firstRowFirstColumn="0" w:firstRowLastColumn="0" w:lastRowFirstColumn="0" w:lastRowLastColumn="0"/>
            </w:pPr>
            <w:r>
              <w:t>13 002</w:t>
            </w:r>
          </w:p>
        </w:tc>
        <w:tc>
          <w:tcPr>
            <w:tcW w:w="921" w:type="dxa"/>
            <w:tcBorders>
              <w:bottom w:val="single" w:sz="6" w:space="0" w:color="auto"/>
            </w:tcBorders>
          </w:tcPr>
          <w:p w14:paraId="11148A21" w14:textId="77777777" w:rsidR="004D42F9" w:rsidRDefault="004D42F9">
            <w:pPr>
              <w:cnfStyle w:val="000000000000" w:firstRow="0" w:lastRow="0" w:firstColumn="0" w:lastColumn="0" w:oddVBand="0" w:evenVBand="0" w:oddHBand="0" w:evenHBand="0" w:firstRowFirstColumn="0" w:firstRowLastColumn="0" w:lastRowFirstColumn="0" w:lastRowLastColumn="0"/>
            </w:pPr>
            <w:r>
              <w:t>8 722</w:t>
            </w:r>
          </w:p>
        </w:tc>
        <w:tc>
          <w:tcPr>
            <w:tcW w:w="921" w:type="dxa"/>
            <w:tcBorders>
              <w:bottom w:val="single" w:sz="6" w:space="0" w:color="auto"/>
            </w:tcBorders>
          </w:tcPr>
          <w:p w14:paraId="5C03C91C" w14:textId="77777777" w:rsidR="004D42F9" w:rsidRDefault="004D42F9">
            <w:pPr>
              <w:cnfStyle w:val="000000000000" w:firstRow="0" w:lastRow="0" w:firstColumn="0" w:lastColumn="0" w:oddVBand="0" w:evenVBand="0" w:oddHBand="0" w:evenHBand="0" w:firstRowFirstColumn="0" w:firstRowLastColumn="0" w:lastRowFirstColumn="0" w:lastRowLastColumn="0"/>
            </w:pPr>
            <w:r>
              <w:t>8 209</w:t>
            </w:r>
          </w:p>
        </w:tc>
      </w:tr>
      <w:tr w:rsidR="004D42F9" w14:paraId="553EBFE1"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DE51DE6" w14:textId="77777777" w:rsidR="004D42F9" w:rsidRDefault="004D42F9">
            <w:r>
              <w:rPr>
                <w:b/>
              </w:rPr>
              <w:t>Cash and cash equivalents</w:t>
            </w:r>
          </w:p>
        </w:tc>
        <w:tc>
          <w:tcPr>
            <w:tcW w:w="921" w:type="dxa"/>
            <w:tcBorders>
              <w:top w:val="single" w:sz="6" w:space="0" w:color="auto"/>
            </w:tcBorders>
          </w:tcPr>
          <w:p w14:paraId="59B8FD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20 450</w:t>
            </w:r>
          </w:p>
        </w:tc>
        <w:tc>
          <w:tcPr>
            <w:tcW w:w="921" w:type="dxa"/>
            <w:tcBorders>
              <w:top w:val="single" w:sz="6" w:space="0" w:color="auto"/>
            </w:tcBorders>
          </w:tcPr>
          <w:p w14:paraId="28DD8A1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19 595</w:t>
            </w:r>
          </w:p>
        </w:tc>
        <w:tc>
          <w:tcPr>
            <w:tcW w:w="921" w:type="dxa"/>
            <w:tcBorders>
              <w:top w:val="single" w:sz="6" w:space="0" w:color="auto"/>
            </w:tcBorders>
          </w:tcPr>
          <w:p w14:paraId="560881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12 800</w:t>
            </w:r>
          </w:p>
        </w:tc>
        <w:tc>
          <w:tcPr>
            <w:tcW w:w="921" w:type="dxa"/>
            <w:tcBorders>
              <w:top w:val="single" w:sz="6" w:space="0" w:color="auto"/>
            </w:tcBorders>
          </w:tcPr>
          <w:p w14:paraId="1F6A8A0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14 306</w:t>
            </w:r>
          </w:p>
        </w:tc>
      </w:tr>
      <w:tr w:rsidR="004D42F9" w14:paraId="4A1DB415"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3540C8D" w14:textId="77777777" w:rsidR="004D42F9" w:rsidRDefault="004D42F9">
            <w:r>
              <w:t>Bank overdraft</w:t>
            </w:r>
          </w:p>
        </w:tc>
        <w:tc>
          <w:tcPr>
            <w:tcW w:w="921" w:type="dxa"/>
            <w:tcBorders>
              <w:bottom w:val="single" w:sz="6" w:space="0" w:color="auto"/>
            </w:tcBorders>
          </w:tcPr>
          <w:p w14:paraId="2A727A0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04C13618"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0344E36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21" w:type="dxa"/>
            <w:tcBorders>
              <w:bottom w:val="single" w:sz="6" w:space="0" w:color="auto"/>
            </w:tcBorders>
          </w:tcPr>
          <w:p w14:paraId="04D3BD9C"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7CBE019E"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7092731E" w14:textId="77777777" w:rsidR="004D42F9" w:rsidRDefault="004D42F9">
            <w:r>
              <w:rPr>
                <w:b/>
              </w:rPr>
              <w:t>Balances as per cash flow statement</w:t>
            </w:r>
          </w:p>
        </w:tc>
        <w:tc>
          <w:tcPr>
            <w:tcW w:w="921" w:type="dxa"/>
            <w:tcBorders>
              <w:top w:val="single" w:sz="6" w:space="0" w:color="auto"/>
              <w:bottom w:val="single" w:sz="12" w:space="0" w:color="auto"/>
            </w:tcBorders>
          </w:tcPr>
          <w:p w14:paraId="3D572D3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20 450</w:t>
            </w:r>
          </w:p>
        </w:tc>
        <w:tc>
          <w:tcPr>
            <w:tcW w:w="921" w:type="dxa"/>
            <w:tcBorders>
              <w:top w:val="single" w:sz="6" w:space="0" w:color="auto"/>
              <w:bottom w:val="single" w:sz="12" w:space="0" w:color="auto"/>
            </w:tcBorders>
          </w:tcPr>
          <w:p w14:paraId="546ED02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19 595</w:t>
            </w:r>
          </w:p>
        </w:tc>
        <w:tc>
          <w:tcPr>
            <w:tcW w:w="921" w:type="dxa"/>
            <w:tcBorders>
              <w:top w:val="single" w:sz="6" w:space="0" w:color="auto"/>
              <w:bottom w:val="single" w:sz="12" w:space="0" w:color="auto"/>
            </w:tcBorders>
          </w:tcPr>
          <w:p w14:paraId="3A33557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12 800</w:t>
            </w:r>
          </w:p>
        </w:tc>
        <w:tc>
          <w:tcPr>
            <w:tcW w:w="921" w:type="dxa"/>
            <w:tcBorders>
              <w:top w:val="single" w:sz="6" w:space="0" w:color="auto"/>
              <w:bottom w:val="single" w:sz="12" w:space="0" w:color="auto"/>
            </w:tcBorders>
          </w:tcPr>
          <w:p w14:paraId="5E6250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14 306</w:t>
            </w:r>
          </w:p>
        </w:tc>
      </w:tr>
    </w:tbl>
    <w:p w14:paraId="5F4D107C" w14:textId="77777777" w:rsidR="004D42F9" w:rsidRPr="00A30637" w:rsidRDefault="004D42F9" w:rsidP="00A30637"/>
    <w:p w14:paraId="2A7E5118" w14:textId="77777777" w:rsidR="004D42F9" w:rsidRPr="00AF1A41" w:rsidRDefault="004D42F9" w:rsidP="004D42F9">
      <w:pPr>
        <w:pStyle w:val="TableHeading"/>
      </w:pPr>
      <w:r>
        <w:t>Reconciliation of net result to net cash flows from operating activities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Recon_net_result_to_net_cash_flows_from_operating_activities"/>
      </w:tblPr>
      <w:tblGrid>
        <w:gridCol w:w="6006"/>
        <w:gridCol w:w="906"/>
        <w:gridCol w:w="912"/>
        <w:gridCol w:w="907"/>
        <w:gridCol w:w="907"/>
      </w:tblGrid>
      <w:tr w:rsidR="004D42F9" w14:paraId="7D3F69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4AF9DCB6" w14:textId="77777777" w:rsidR="004D42F9" w:rsidRDefault="004D42F9">
            <w:pPr>
              <w:keepNext/>
            </w:pPr>
          </w:p>
        </w:tc>
        <w:tc>
          <w:tcPr>
            <w:tcW w:w="1818" w:type="dxa"/>
            <w:gridSpan w:val="2"/>
          </w:tcPr>
          <w:p w14:paraId="6E950788"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64EEF4E"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40F7B" w14:paraId="79F87A5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6" w:type="dxa"/>
          </w:tcPr>
          <w:p w14:paraId="04C9434C" w14:textId="77777777" w:rsidR="004D42F9" w:rsidRDefault="004D42F9">
            <w:pPr>
              <w:keepNext/>
            </w:pPr>
          </w:p>
        </w:tc>
        <w:tc>
          <w:tcPr>
            <w:tcW w:w="906" w:type="dxa"/>
          </w:tcPr>
          <w:p w14:paraId="38276BFD"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12" w:type="dxa"/>
          </w:tcPr>
          <w:p w14:paraId="5B66974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09C6A53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4BCCC5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0991FA15" w14:textId="77777777">
        <w:tc>
          <w:tcPr>
            <w:cnfStyle w:val="001000000000" w:firstRow="0" w:lastRow="0" w:firstColumn="1" w:lastColumn="0" w:oddVBand="0" w:evenVBand="0" w:oddHBand="0" w:evenHBand="0" w:firstRowFirstColumn="0" w:firstRowLastColumn="0" w:lastRowFirstColumn="0" w:lastRowLastColumn="0"/>
            <w:tcW w:w="6006" w:type="dxa"/>
          </w:tcPr>
          <w:p w14:paraId="4C79B5FE" w14:textId="77777777" w:rsidR="004D42F9" w:rsidRDefault="004D42F9">
            <w:r>
              <w:rPr>
                <w:b/>
              </w:rPr>
              <w:t>Net result</w:t>
            </w:r>
          </w:p>
        </w:tc>
        <w:tc>
          <w:tcPr>
            <w:tcW w:w="906" w:type="dxa"/>
          </w:tcPr>
          <w:p w14:paraId="7447A4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(7 696)</w:t>
            </w:r>
          </w:p>
        </w:tc>
        <w:tc>
          <w:tcPr>
            <w:tcW w:w="912" w:type="dxa"/>
          </w:tcPr>
          <w:p w14:paraId="7B73D51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(5 540)</w:t>
            </w:r>
          </w:p>
        </w:tc>
        <w:tc>
          <w:tcPr>
            <w:tcW w:w="907" w:type="dxa"/>
          </w:tcPr>
          <w:p w14:paraId="25C341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(2 030)</w:t>
            </w:r>
          </w:p>
        </w:tc>
        <w:tc>
          <w:tcPr>
            <w:tcW w:w="907" w:type="dxa"/>
          </w:tcPr>
          <w:p w14:paraId="4EC2285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(4 493)</w:t>
            </w:r>
          </w:p>
        </w:tc>
      </w:tr>
      <w:tr w:rsidR="004D42F9" w14:paraId="4F027CAF" w14:textId="77777777">
        <w:tc>
          <w:tcPr>
            <w:cnfStyle w:val="001000000000" w:firstRow="0" w:lastRow="0" w:firstColumn="1" w:lastColumn="0" w:oddVBand="0" w:evenVBand="0" w:oddHBand="0" w:evenHBand="0" w:firstRowFirstColumn="0" w:firstRowLastColumn="0" w:lastRowFirstColumn="0" w:lastRowLastColumn="0"/>
            <w:tcW w:w="6006" w:type="dxa"/>
          </w:tcPr>
          <w:p w14:paraId="4033A9C2" w14:textId="77777777" w:rsidR="004D42F9" w:rsidRDefault="004D42F9">
            <w:r>
              <w:rPr>
                <w:b/>
              </w:rPr>
              <w:t>Non</w:t>
            </w:r>
            <w:r>
              <w:rPr>
                <w:b/>
              </w:rPr>
              <w:noBreakHyphen/>
              <w:t>cash movements</w:t>
            </w:r>
          </w:p>
        </w:tc>
        <w:tc>
          <w:tcPr>
            <w:tcW w:w="906" w:type="dxa"/>
          </w:tcPr>
          <w:p w14:paraId="19043ED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12" w:type="dxa"/>
          </w:tcPr>
          <w:p w14:paraId="52EA620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4C0077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55EBB819"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1525A78C" w14:textId="77777777">
        <w:tc>
          <w:tcPr>
            <w:cnfStyle w:val="001000000000" w:firstRow="0" w:lastRow="0" w:firstColumn="1" w:lastColumn="0" w:oddVBand="0" w:evenVBand="0" w:oddHBand="0" w:evenHBand="0" w:firstRowFirstColumn="0" w:firstRowLastColumn="0" w:lastRowFirstColumn="0" w:lastRowLastColumn="0"/>
            <w:tcW w:w="6006" w:type="dxa"/>
          </w:tcPr>
          <w:p w14:paraId="2D762B1A" w14:textId="77777777" w:rsidR="004D42F9" w:rsidRDefault="004D42F9">
            <w:r>
              <w:t>Bad/doubtful debts</w:t>
            </w:r>
          </w:p>
        </w:tc>
        <w:tc>
          <w:tcPr>
            <w:tcW w:w="906" w:type="dxa"/>
          </w:tcPr>
          <w:p w14:paraId="29606302"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71C3000B"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0E5884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0AAD7CC"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0CEA930F" w14:textId="77777777">
        <w:tc>
          <w:tcPr>
            <w:cnfStyle w:val="001000000000" w:firstRow="0" w:lastRow="0" w:firstColumn="1" w:lastColumn="0" w:oddVBand="0" w:evenVBand="0" w:oddHBand="0" w:evenHBand="0" w:firstRowFirstColumn="0" w:firstRowLastColumn="0" w:lastRowFirstColumn="0" w:lastRowLastColumn="0"/>
            <w:tcW w:w="6006" w:type="dxa"/>
          </w:tcPr>
          <w:p w14:paraId="609951B1" w14:textId="77777777" w:rsidR="004D42F9" w:rsidRDefault="004D42F9">
            <w:r>
              <w:t>Revenue related to economic service concession arrangements</w:t>
            </w:r>
          </w:p>
        </w:tc>
        <w:tc>
          <w:tcPr>
            <w:tcW w:w="906" w:type="dxa"/>
          </w:tcPr>
          <w:p w14:paraId="74DFD71A" w14:textId="77777777" w:rsidR="004D42F9" w:rsidRDefault="004D42F9">
            <w:pPr>
              <w:cnfStyle w:val="000000000000" w:firstRow="0" w:lastRow="0" w:firstColumn="0" w:lastColumn="0" w:oddVBand="0" w:evenVBand="0" w:oddHBand="0" w:evenHBand="0" w:firstRowFirstColumn="0" w:firstRowLastColumn="0" w:lastRowFirstColumn="0" w:lastRowLastColumn="0"/>
            </w:pPr>
            <w:r>
              <w:t>(505)</w:t>
            </w:r>
          </w:p>
        </w:tc>
        <w:tc>
          <w:tcPr>
            <w:tcW w:w="912" w:type="dxa"/>
          </w:tcPr>
          <w:p w14:paraId="4A4BFE8D" w14:textId="77777777" w:rsidR="004D42F9" w:rsidRDefault="004D42F9">
            <w:pPr>
              <w:cnfStyle w:val="000000000000" w:firstRow="0" w:lastRow="0" w:firstColumn="0" w:lastColumn="0" w:oddVBand="0" w:evenVBand="0" w:oddHBand="0" w:evenHBand="0" w:firstRowFirstColumn="0" w:firstRowLastColumn="0" w:lastRowFirstColumn="0" w:lastRowLastColumn="0"/>
            </w:pPr>
            <w:r>
              <w:t>(517)</w:t>
            </w:r>
          </w:p>
        </w:tc>
        <w:tc>
          <w:tcPr>
            <w:tcW w:w="907" w:type="dxa"/>
          </w:tcPr>
          <w:p w14:paraId="607135AC" w14:textId="77777777" w:rsidR="004D42F9" w:rsidRDefault="004D42F9">
            <w:pPr>
              <w:cnfStyle w:val="000000000000" w:firstRow="0" w:lastRow="0" w:firstColumn="0" w:lastColumn="0" w:oddVBand="0" w:evenVBand="0" w:oddHBand="0" w:evenHBand="0" w:firstRowFirstColumn="0" w:firstRowLastColumn="0" w:lastRowFirstColumn="0" w:lastRowLastColumn="0"/>
            </w:pPr>
            <w:r>
              <w:t>(503)</w:t>
            </w:r>
          </w:p>
        </w:tc>
        <w:tc>
          <w:tcPr>
            <w:tcW w:w="907" w:type="dxa"/>
          </w:tcPr>
          <w:p w14:paraId="7224E824" w14:textId="77777777" w:rsidR="004D42F9" w:rsidRDefault="004D42F9">
            <w:pPr>
              <w:cnfStyle w:val="000000000000" w:firstRow="0" w:lastRow="0" w:firstColumn="0" w:lastColumn="0" w:oddVBand="0" w:evenVBand="0" w:oddHBand="0" w:evenHBand="0" w:firstRowFirstColumn="0" w:firstRowLastColumn="0" w:lastRowFirstColumn="0" w:lastRowLastColumn="0"/>
            </w:pPr>
            <w:r>
              <w:t>(516)</w:t>
            </w:r>
          </w:p>
        </w:tc>
      </w:tr>
      <w:tr w:rsidR="004D42F9" w14:paraId="03F80121" w14:textId="77777777">
        <w:tc>
          <w:tcPr>
            <w:cnfStyle w:val="001000000000" w:firstRow="0" w:lastRow="0" w:firstColumn="1" w:lastColumn="0" w:oddVBand="0" w:evenVBand="0" w:oddHBand="0" w:evenHBand="0" w:firstRowFirstColumn="0" w:firstRowLastColumn="0" w:lastRowFirstColumn="0" w:lastRowLastColumn="0"/>
            <w:tcW w:w="6006" w:type="dxa"/>
          </w:tcPr>
          <w:p w14:paraId="1E18622B" w14:textId="77777777" w:rsidR="004D42F9" w:rsidRDefault="004D42F9">
            <w:r>
              <w:t>Depreciation and amortisation</w:t>
            </w:r>
          </w:p>
        </w:tc>
        <w:tc>
          <w:tcPr>
            <w:tcW w:w="906" w:type="dxa"/>
          </w:tcPr>
          <w:p w14:paraId="287ADC8C" w14:textId="77777777" w:rsidR="004D42F9" w:rsidRDefault="004D42F9">
            <w:pPr>
              <w:cnfStyle w:val="000000000000" w:firstRow="0" w:lastRow="0" w:firstColumn="0" w:lastColumn="0" w:oddVBand="0" w:evenVBand="0" w:oddHBand="0" w:evenHBand="0" w:firstRowFirstColumn="0" w:firstRowLastColumn="0" w:lastRowFirstColumn="0" w:lastRowLastColumn="0"/>
            </w:pPr>
            <w:r>
              <w:t>9 383</w:t>
            </w:r>
          </w:p>
        </w:tc>
        <w:tc>
          <w:tcPr>
            <w:tcW w:w="912" w:type="dxa"/>
          </w:tcPr>
          <w:p w14:paraId="0C6BA0EF" w14:textId="77777777" w:rsidR="004D42F9" w:rsidRDefault="004D42F9">
            <w:pPr>
              <w:cnfStyle w:val="000000000000" w:firstRow="0" w:lastRow="0" w:firstColumn="0" w:lastColumn="0" w:oddVBand="0" w:evenVBand="0" w:oddHBand="0" w:evenHBand="0" w:firstRowFirstColumn="0" w:firstRowLastColumn="0" w:lastRowFirstColumn="0" w:lastRowLastColumn="0"/>
            </w:pPr>
            <w:r>
              <w:t>8 314</w:t>
            </w:r>
          </w:p>
        </w:tc>
        <w:tc>
          <w:tcPr>
            <w:tcW w:w="907" w:type="dxa"/>
          </w:tcPr>
          <w:p w14:paraId="18099B89" w14:textId="77777777" w:rsidR="004D42F9" w:rsidRDefault="004D42F9">
            <w:pPr>
              <w:cnfStyle w:val="000000000000" w:firstRow="0" w:lastRow="0" w:firstColumn="0" w:lastColumn="0" w:oddVBand="0" w:evenVBand="0" w:oddHBand="0" w:evenHBand="0" w:firstRowFirstColumn="0" w:firstRowLastColumn="0" w:lastRowFirstColumn="0" w:lastRowLastColumn="0"/>
            </w:pPr>
            <w:r>
              <w:t>5 467</w:t>
            </w:r>
          </w:p>
        </w:tc>
        <w:tc>
          <w:tcPr>
            <w:tcW w:w="907" w:type="dxa"/>
          </w:tcPr>
          <w:p w14:paraId="43A09EC7" w14:textId="77777777" w:rsidR="004D42F9" w:rsidRDefault="004D42F9">
            <w:pPr>
              <w:cnfStyle w:val="000000000000" w:firstRow="0" w:lastRow="0" w:firstColumn="0" w:lastColumn="0" w:oddVBand="0" w:evenVBand="0" w:oddHBand="0" w:evenHBand="0" w:firstRowFirstColumn="0" w:firstRowLastColumn="0" w:lastRowFirstColumn="0" w:lastRowLastColumn="0"/>
            </w:pPr>
            <w:r>
              <w:t>4 973</w:t>
            </w:r>
          </w:p>
        </w:tc>
      </w:tr>
      <w:tr w:rsidR="004D42F9" w14:paraId="017E82CE" w14:textId="77777777">
        <w:tc>
          <w:tcPr>
            <w:cnfStyle w:val="001000000000" w:firstRow="0" w:lastRow="0" w:firstColumn="1" w:lastColumn="0" w:oddVBand="0" w:evenVBand="0" w:oddHBand="0" w:evenHBand="0" w:firstRowFirstColumn="0" w:firstRowLastColumn="0" w:lastRowFirstColumn="0" w:lastRowLastColumn="0"/>
            <w:tcW w:w="6006" w:type="dxa"/>
          </w:tcPr>
          <w:p w14:paraId="5C4FF161" w14:textId="77777777" w:rsidR="004D42F9" w:rsidRDefault="004D42F9">
            <w:r>
              <w:t>Revaluation of investments</w:t>
            </w:r>
          </w:p>
        </w:tc>
        <w:tc>
          <w:tcPr>
            <w:tcW w:w="906" w:type="dxa"/>
          </w:tcPr>
          <w:p w14:paraId="01EBFE65" w14:textId="77777777" w:rsidR="004D42F9" w:rsidRDefault="004D42F9">
            <w:pPr>
              <w:cnfStyle w:val="000000000000" w:firstRow="0" w:lastRow="0" w:firstColumn="0" w:lastColumn="0" w:oddVBand="0" w:evenVBand="0" w:oddHBand="0" w:evenHBand="0" w:firstRowFirstColumn="0" w:firstRowLastColumn="0" w:lastRowFirstColumn="0" w:lastRowLastColumn="0"/>
            </w:pPr>
            <w:r>
              <w:t>(2 543)</w:t>
            </w:r>
          </w:p>
        </w:tc>
        <w:tc>
          <w:tcPr>
            <w:tcW w:w="912" w:type="dxa"/>
          </w:tcPr>
          <w:p w14:paraId="558B083C" w14:textId="77777777" w:rsidR="004D42F9" w:rsidRDefault="004D42F9">
            <w:pPr>
              <w:cnfStyle w:val="000000000000" w:firstRow="0" w:lastRow="0" w:firstColumn="0" w:lastColumn="0" w:oddVBand="0" w:evenVBand="0" w:oddHBand="0" w:evenHBand="0" w:firstRowFirstColumn="0" w:firstRowLastColumn="0" w:lastRowFirstColumn="0" w:lastRowLastColumn="0"/>
            </w:pPr>
            <w:r>
              <w:t>(2 787)</w:t>
            </w:r>
          </w:p>
        </w:tc>
        <w:tc>
          <w:tcPr>
            <w:tcW w:w="907" w:type="dxa"/>
          </w:tcPr>
          <w:p w14:paraId="51C7D1B2" w14:textId="77777777" w:rsidR="004D42F9" w:rsidRDefault="004D42F9">
            <w:pPr>
              <w:cnfStyle w:val="000000000000" w:firstRow="0" w:lastRow="0" w:firstColumn="0" w:lastColumn="0" w:oddVBand="0" w:evenVBand="0" w:oddHBand="0" w:evenHBand="0" w:firstRowFirstColumn="0" w:firstRowLastColumn="0" w:lastRowFirstColumn="0" w:lastRowLastColumn="0"/>
            </w:pPr>
            <w:r>
              <w:t>(673)</w:t>
            </w:r>
          </w:p>
        </w:tc>
        <w:tc>
          <w:tcPr>
            <w:tcW w:w="907" w:type="dxa"/>
          </w:tcPr>
          <w:p w14:paraId="79C479B8" w14:textId="77777777" w:rsidR="004D42F9" w:rsidRDefault="004D42F9">
            <w:pPr>
              <w:cnfStyle w:val="000000000000" w:firstRow="0" w:lastRow="0" w:firstColumn="0" w:lastColumn="0" w:oddVBand="0" w:evenVBand="0" w:oddHBand="0" w:evenHBand="0" w:firstRowFirstColumn="0" w:firstRowLastColumn="0" w:lastRowFirstColumn="0" w:lastRowLastColumn="0"/>
            </w:pPr>
            <w:r>
              <w:t>(512)</w:t>
            </w:r>
          </w:p>
        </w:tc>
      </w:tr>
      <w:tr w:rsidR="004D42F9" w14:paraId="7E0B60E7" w14:textId="77777777">
        <w:tc>
          <w:tcPr>
            <w:cnfStyle w:val="001000000000" w:firstRow="0" w:lastRow="0" w:firstColumn="1" w:lastColumn="0" w:oddVBand="0" w:evenVBand="0" w:oddHBand="0" w:evenHBand="0" w:firstRowFirstColumn="0" w:firstRowLastColumn="0" w:lastRowFirstColumn="0" w:lastRowLastColumn="0"/>
            <w:tcW w:w="6006" w:type="dxa"/>
          </w:tcPr>
          <w:p w14:paraId="6D6CCF28" w14:textId="77777777" w:rsidR="004D42F9" w:rsidRDefault="004D42F9">
            <w:r>
              <w:t>Assets (received)/provided free of charge</w:t>
            </w:r>
          </w:p>
        </w:tc>
        <w:tc>
          <w:tcPr>
            <w:tcW w:w="906" w:type="dxa"/>
          </w:tcPr>
          <w:p w14:paraId="025425D3" w14:textId="77777777" w:rsidR="004D42F9" w:rsidRDefault="004D42F9">
            <w:pPr>
              <w:cnfStyle w:val="000000000000" w:firstRow="0" w:lastRow="0" w:firstColumn="0" w:lastColumn="0" w:oddVBand="0" w:evenVBand="0" w:oddHBand="0" w:evenHBand="0" w:firstRowFirstColumn="0" w:firstRowLastColumn="0" w:lastRowFirstColumn="0" w:lastRowLastColumn="0"/>
            </w:pPr>
            <w:r>
              <w:t>(1 012)</w:t>
            </w:r>
          </w:p>
        </w:tc>
        <w:tc>
          <w:tcPr>
            <w:tcW w:w="912" w:type="dxa"/>
          </w:tcPr>
          <w:p w14:paraId="713BCB11" w14:textId="77777777" w:rsidR="004D42F9" w:rsidRDefault="004D42F9">
            <w:pPr>
              <w:cnfStyle w:val="000000000000" w:firstRow="0" w:lastRow="0" w:firstColumn="0" w:lastColumn="0" w:oddVBand="0" w:evenVBand="0" w:oddHBand="0" w:evenHBand="0" w:firstRowFirstColumn="0" w:firstRowLastColumn="0" w:lastRowFirstColumn="0" w:lastRowLastColumn="0"/>
            </w:pPr>
            <w:r>
              <w:t>(1 154)</w:t>
            </w:r>
          </w:p>
        </w:tc>
        <w:tc>
          <w:tcPr>
            <w:tcW w:w="907" w:type="dxa"/>
          </w:tcPr>
          <w:p w14:paraId="1DEA4CF5" w14:textId="77777777" w:rsidR="004D42F9" w:rsidRDefault="004D42F9">
            <w:pPr>
              <w:cnfStyle w:val="000000000000" w:firstRow="0" w:lastRow="0" w:firstColumn="0" w:lastColumn="0" w:oddVBand="0" w:evenVBand="0" w:oddHBand="0" w:evenHBand="0" w:firstRowFirstColumn="0" w:firstRowLastColumn="0" w:lastRowFirstColumn="0" w:lastRowLastColumn="0"/>
            </w:pPr>
            <w:r>
              <w:t>(586)</w:t>
            </w:r>
          </w:p>
        </w:tc>
        <w:tc>
          <w:tcPr>
            <w:tcW w:w="907" w:type="dxa"/>
          </w:tcPr>
          <w:p w14:paraId="40970E46" w14:textId="77777777" w:rsidR="004D42F9" w:rsidRDefault="004D42F9">
            <w:pPr>
              <w:cnfStyle w:val="000000000000" w:firstRow="0" w:lastRow="0" w:firstColumn="0" w:lastColumn="0" w:oddVBand="0" w:evenVBand="0" w:oddHBand="0" w:evenHBand="0" w:firstRowFirstColumn="0" w:firstRowLastColumn="0" w:lastRowFirstColumn="0" w:lastRowLastColumn="0"/>
            </w:pPr>
            <w:r>
              <w:t>(732)</w:t>
            </w:r>
          </w:p>
        </w:tc>
      </w:tr>
      <w:tr w:rsidR="004D42F9" w14:paraId="36D2C1DE" w14:textId="77777777">
        <w:tc>
          <w:tcPr>
            <w:cnfStyle w:val="001000000000" w:firstRow="0" w:lastRow="0" w:firstColumn="1" w:lastColumn="0" w:oddVBand="0" w:evenVBand="0" w:oddHBand="0" w:evenHBand="0" w:firstRowFirstColumn="0" w:firstRowLastColumn="0" w:lastRowFirstColumn="0" w:lastRowLastColumn="0"/>
            <w:tcW w:w="6006" w:type="dxa"/>
          </w:tcPr>
          <w:p w14:paraId="15917714" w14:textId="77777777" w:rsidR="004D42F9" w:rsidRDefault="004D42F9">
            <w:r>
              <w:t>Assets not previously/no longer recognised</w:t>
            </w:r>
          </w:p>
        </w:tc>
        <w:tc>
          <w:tcPr>
            <w:tcW w:w="906" w:type="dxa"/>
          </w:tcPr>
          <w:p w14:paraId="0892092B"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12" w:type="dxa"/>
          </w:tcPr>
          <w:p w14:paraId="6576745C"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0C5AE10A"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577FA87"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r>
      <w:tr w:rsidR="004D42F9" w14:paraId="47EF3BF2" w14:textId="77777777">
        <w:tc>
          <w:tcPr>
            <w:cnfStyle w:val="001000000000" w:firstRow="0" w:lastRow="0" w:firstColumn="1" w:lastColumn="0" w:oddVBand="0" w:evenVBand="0" w:oddHBand="0" w:evenHBand="0" w:firstRowFirstColumn="0" w:firstRowLastColumn="0" w:lastRowFirstColumn="0" w:lastRowLastColumn="0"/>
            <w:tcW w:w="6006" w:type="dxa"/>
          </w:tcPr>
          <w:p w14:paraId="4E643DA9" w14:textId="77777777" w:rsidR="004D42F9" w:rsidRDefault="004D42F9">
            <w:r>
              <w:t>Revaluation of assets</w:t>
            </w:r>
          </w:p>
        </w:tc>
        <w:tc>
          <w:tcPr>
            <w:tcW w:w="906" w:type="dxa"/>
          </w:tcPr>
          <w:p w14:paraId="769E5854" w14:textId="77777777" w:rsidR="004D42F9" w:rsidRDefault="004D42F9">
            <w:pPr>
              <w:cnfStyle w:val="000000000000" w:firstRow="0" w:lastRow="0" w:firstColumn="0" w:lastColumn="0" w:oddVBand="0" w:evenVBand="0" w:oddHBand="0" w:evenHBand="0" w:firstRowFirstColumn="0" w:firstRowLastColumn="0" w:lastRowFirstColumn="0" w:lastRowLastColumn="0"/>
            </w:pPr>
            <w:r>
              <w:t>377</w:t>
            </w:r>
          </w:p>
        </w:tc>
        <w:tc>
          <w:tcPr>
            <w:tcW w:w="912" w:type="dxa"/>
          </w:tcPr>
          <w:p w14:paraId="33AF89D9" w14:textId="77777777" w:rsidR="004D42F9" w:rsidRDefault="004D42F9">
            <w:pPr>
              <w:cnfStyle w:val="000000000000" w:firstRow="0" w:lastRow="0" w:firstColumn="0" w:lastColumn="0" w:oddVBand="0" w:evenVBand="0" w:oddHBand="0" w:evenHBand="0" w:firstRowFirstColumn="0" w:firstRowLastColumn="0" w:lastRowFirstColumn="0" w:lastRowLastColumn="0"/>
            </w:pPr>
            <w:r>
              <w:t>362</w:t>
            </w:r>
          </w:p>
        </w:tc>
        <w:tc>
          <w:tcPr>
            <w:tcW w:w="907" w:type="dxa"/>
          </w:tcPr>
          <w:p w14:paraId="70482312" w14:textId="77777777" w:rsidR="004D42F9" w:rsidRDefault="004D42F9">
            <w:pPr>
              <w:cnfStyle w:val="000000000000" w:firstRow="0" w:lastRow="0" w:firstColumn="0" w:lastColumn="0" w:oddVBand="0" w:evenVBand="0" w:oddHBand="0" w:evenHBand="0" w:firstRowFirstColumn="0" w:firstRowLastColumn="0" w:lastRowFirstColumn="0" w:lastRowLastColumn="0"/>
            </w:pPr>
            <w:r>
              <w:t>483</w:t>
            </w:r>
          </w:p>
        </w:tc>
        <w:tc>
          <w:tcPr>
            <w:tcW w:w="907" w:type="dxa"/>
          </w:tcPr>
          <w:p w14:paraId="1A765032" w14:textId="77777777" w:rsidR="004D42F9" w:rsidRDefault="004D42F9">
            <w:pPr>
              <w:cnfStyle w:val="000000000000" w:firstRow="0" w:lastRow="0" w:firstColumn="0" w:lastColumn="0" w:oddVBand="0" w:evenVBand="0" w:oddHBand="0" w:evenHBand="0" w:firstRowFirstColumn="0" w:firstRowLastColumn="0" w:lastRowFirstColumn="0" w:lastRowLastColumn="0"/>
            </w:pPr>
            <w:r>
              <w:t>306</w:t>
            </w:r>
          </w:p>
        </w:tc>
      </w:tr>
      <w:tr w:rsidR="004D42F9" w14:paraId="57938564" w14:textId="77777777">
        <w:tc>
          <w:tcPr>
            <w:cnfStyle w:val="001000000000" w:firstRow="0" w:lastRow="0" w:firstColumn="1" w:lastColumn="0" w:oddVBand="0" w:evenVBand="0" w:oddHBand="0" w:evenHBand="0" w:firstRowFirstColumn="0" w:firstRowLastColumn="0" w:lastRowFirstColumn="0" w:lastRowLastColumn="0"/>
            <w:tcW w:w="6006" w:type="dxa"/>
          </w:tcPr>
          <w:p w14:paraId="3FDB8C14" w14:textId="77777777" w:rsidR="004D42F9" w:rsidRDefault="004D42F9">
            <w:r>
              <w:t>Discount/premium on other financial assets/borrowings</w:t>
            </w:r>
          </w:p>
        </w:tc>
        <w:tc>
          <w:tcPr>
            <w:tcW w:w="906" w:type="dxa"/>
          </w:tcPr>
          <w:p w14:paraId="6499BAF2" w14:textId="77777777" w:rsidR="004D42F9" w:rsidRDefault="004D42F9">
            <w:pPr>
              <w:cnfStyle w:val="000000000000" w:firstRow="0" w:lastRow="0" w:firstColumn="0" w:lastColumn="0" w:oddVBand="0" w:evenVBand="0" w:oddHBand="0" w:evenHBand="0" w:firstRowFirstColumn="0" w:firstRowLastColumn="0" w:lastRowFirstColumn="0" w:lastRowLastColumn="0"/>
            </w:pPr>
            <w:r>
              <w:t>584</w:t>
            </w:r>
          </w:p>
        </w:tc>
        <w:tc>
          <w:tcPr>
            <w:tcW w:w="912" w:type="dxa"/>
          </w:tcPr>
          <w:p w14:paraId="78A5D464" w14:textId="77777777" w:rsidR="004D42F9" w:rsidRDefault="004D42F9">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0CD1F18C" w14:textId="77777777" w:rsidR="004D42F9" w:rsidRDefault="004D42F9">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6D2C4D04"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r>
      <w:tr w:rsidR="004D42F9" w14:paraId="2AD9C150" w14:textId="77777777">
        <w:tc>
          <w:tcPr>
            <w:cnfStyle w:val="001000000000" w:firstRow="0" w:lastRow="0" w:firstColumn="1" w:lastColumn="0" w:oddVBand="0" w:evenVBand="0" w:oddHBand="0" w:evenHBand="0" w:firstRowFirstColumn="0" w:firstRowLastColumn="0" w:lastRowFirstColumn="0" w:lastRowLastColumn="0"/>
            <w:tcW w:w="6006" w:type="dxa"/>
          </w:tcPr>
          <w:p w14:paraId="51713FBE" w14:textId="77777777" w:rsidR="004D42F9" w:rsidRDefault="004D42F9">
            <w:r>
              <w:t>Foreign currency dealings</w:t>
            </w:r>
          </w:p>
        </w:tc>
        <w:tc>
          <w:tcPr>
            <w:tcW w:w="906" w:type="dxa"/>
          </w:tcPr>
          <w:p w14:paraId="00A743E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2BE3B8C6"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A3459F2"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56B9256"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r>
      <w:tr w:rsidR="004D42F9" w14:paraId="7183BD67" w14:textId="77777777">
        <w:tc>
          <w:tcPr>
            <w:cnfStyle w:val="001000000000" w:firstRow="0" w:lastRow="0" w:firstColumn="1" w:lastColumn="0" w:oddVBand="0" w:evenVBand="0" w:oddHBand="0" w:evenHBand="0" w:firstRowFirstColumn="0" w:firstRowLastColumn="0" w:lastRowFirstColumn="0" w:lastRowLastColumn="0"/>
            <w:tcW w:w="6006" w:type="dxa"/>
          </w:tcPr>
          <w:p w14:paraId="7ED9EC41" w14:textId="77777777" w:rsidR="004D42F9" w:rsidRDefault="004D42F9">
            <w:r>
              <w:t>Unrealised (gains)/losses on borrowings</w:t>
            </w:r>
          </w:p>
        </w:tc>
        <w:tc>
          <w:tcPr>
            <w:tcW w:w="906" w:type="dxa"/>
          </w:tcPr>
          <w:p w14:paraId="094983C9" w14:textId="77777777" w:rsidR="004D42F9" w:rsidRDefault="004D42F9">
            <w:pPr>
              <w:cnfStyle w:val="000000000000" w:firstRow="0" w:lastRow="0" w:firstColumn="0" w:lastColumn="0" w:oddVBand="0" w:evenVBand="0" w:oddHBand="0" w:evenHBand="0" w:firstRowFirstColumn="0" w:firstRowLastColumn="0" w:lastRowFirstColumn="0" w:lastRowLastColumn="0"/>
            </w:pPr>
            <w:r>
              <w:t>5 629</w:t>
            </w:r>
          </w:p>
        </w:tc>
        <w:tc>
          <w:tcPr>
            <w:tcW w:w="912" w:type="dxa"/>
          </w:tcPr>
          <w:p w14:paraId="64516765" w14:textId="77777777" w:rsidR="004D42F9" w:rsidRDefault="004D42F9">
            <w:pPr>
              <w:cnfStyle w:val="000000000000" w:firstRow="0" w:lastRow="0" w:firstColumn="0" w:lastColumn="0" w:oddVBand="0" w:evenVBand="0" w:oddHBand="0" w:evenHBand="0" w:firstRowFirstColumn="0" w:firstRowLastColumn="0" w:lastRowFirstColumn="0" w:lastRowLastColumn="0"/>
            </w:pPr>
            <w:r>
              <w:t>700</w:t>
            </w:r>
          </w:p>
        </w:tc>
        <w:tc>
          <w:tcPr>
            <w:tcW w:w="907" w:type="dxa"/>
          </w:tcPr>
          <w:p w14:paraId="21F8826F" w14:textId="77777777" w:rsidR="004D42F9" w:rsidRDefault="004D42F9">
            <w:pPr>
              <w:cnfStyle w:val="000000000000" w:firstRow="0" w:lastRow="0" w:firstColumn="0" w:lastColumn="0" w:oddVBand="0" w:evenVBand="0" w:oddHBand="0" w:evenHBand="0" w:firstRowFirstColumn="0" w:firstRowLastColumn="0" w:lastRowFirstColumn="0" w:lastRowLastColumn="0"/>
            </w:pPr>
            <w:r>
              <w:t>(498)</w:t>
            </w:r>
          </w:p>
        </w:tc>
        <w:tc>
          <w:tcPr>
            <w:tcW w:w="907" w:type="dxa"/>
          </w:tcPr>
          <w:p w14:paraId="55B08FA6" w14:textId="77777777" w:rsidR="004D42F9" w:rsidRDefault="004D42F9">
            <w:pPr>
              <w:cnfStyle w:val="000000000000" w:firstRow="0" w:lastRow="0" w:firstColumn="0" w:lastColumn="0" w:oddVBand="0" w:evenVBand="0" w:oddHBand="0" w:evenHBand="0" w:firstRowFirstColumn="0" w:firstRowLastColumn="0" w:lastRowFirstColumn="0" w:lastRowLastColumn="0"/>
            </w:pPr>
            <w:r>
              <w:t>74</w:t>
            </w:r>
          </w:p>
        </w:tc>
      </w:tr>
      <w:tr w:rsidR="004D42F9" w14:paraId="09CDB9C0" w14:textId="77777777">
        <w:tc>
          <w:tcPr>
            <w:cnfStyle w:val="001000000000" w:firstRow="0" w:lastRow="0" w:firstColumn="1" w:lastColumn="0" w:oddVBand="0" w:evenVBand="0" w:oddHBand="0" w:evenHBand="0" w:firstRowFirstColumn="0" w:firstRowLastColumn="0" w:lastRowFirstColumn="0" w:lastRowLastColumn="0"/>
            <w:tcW w:w="6006" w:type="dxa"/>
          </w:tcPr>
          <w:p w14:paraId="6605FA0C" w14:textId="77777777" w:rsidR="004D42F9" w:rsidRDefault="004D42F9">
            <w:r>
              <w:t>Discounting of assets and liabilities</w:t>
            </w:r>
          </w:p>
        </w:tc>
        <w:tc>
          <w:tcPr>
            <w:tcW w:w="906" w:type="dxa"/>
          </w:tcPr>
          <w:p w14:paraId="0E56924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12" w:type="dxa"/>
          </w:tcPr>
          <w:p w14:paraId="2A366132"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33B85D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D8B7329"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r>
      <w:tr w:rsidR="004D42F9" w14:paraId="41EA3B3F" w14:textId="77777777">
        <w:tc>
          <w:tcPr>
            <w:cnfStyle w:val="001000000000" w:firstRow="0" w:lastRow="0" w:firstColumn="1" w:lastColumn="0" w:oddVBand="0" w:evenVBand="0" w:oddHBand="0" w:evenHBand="0" w:firstRowFirstColumn="0" w:firstRowLastColumn="0" w:lastRowFirstColumn="0" w:lastRowLastColumn="0"/>
            <w:tcW w:w="6006" w:type="dxa"/>
          </w:tcPr>
          <w:p w14:paraId="345BBAAA" w14:textId="77777777" w:rsidR="004D42F9" w:rsidRDefault="004D42F9">
            <w:r>
              <w:rPr>
                <w:b/>
              </w:rPr>
              <w:t>Movements included in investing and financing activities</w:t>
            </w:r>
          </w:p>
        </w:tc>
        <w:tc>
          <w:tcPr>
            <w:tcW w:w="906" w:type="dxa"/>
          </w:tcPr>
          <w:p w14:paraId="3E14E34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12" w:type="dxa"/>
          </w:tcPr>
          <w:p w14:paraId="425FD44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15EF46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2D2894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73677E55" w14:textId="77777777">
        <w:tc>
          <w:tcPr>
            <w:cnfStyle w:val="001000000000" w:firstRow="0" w:lastRow="0" w:firstColumn="1" w:lastColumn="0" w:oddVBand="0" w:evenVBand="0" w:oddHBand="0" w:evenHBand="0" w:firstRowFirstColumn="0" w:firstRowLastColumn="0" w:lastRowFirstColumn="0" w:lastRowLastColumn="0"/>
            <w:tcW w:w="6006" w:type="dxa"/>
          </w:tcPr>
          <w:p w14:paraId="51EFA56B" w14:textId="77777777" w:rsidR="004D42F9" w:rsidRDefault="004D42F9">
            <w:r>
              <w:t>Net gain/loss from sale of investments</w:t>
            </w:r>
          </w:p>
        </w:tc>
        <w:tc>
          <w:tcPr>
            <w:tcW w:w="906" w:type="dxa"/>
          </w:tcPr>
          <w:p w14:paraId="71A9E949" w14:textId="77777777" w:rsidR="004D42F9" w:rsidRDefault="004D42F9">
            <w:pPr>
              <w:cnfStyle w:val="000000000000" w:firstRow="0" w:lastRow="0" w:firstColumn="0" w:lastColumn="0" w:oddVBand="0" w:evenVBand="0" w:oddHBand="0" w:evenHBand="0" w:firstRowFirstColumn="0" w:firstRowLastColumn="0" w:lastRowFirstColumn="0" w:lastRowLastColumn="0"/>
            </w:pPr>
            <w:r>
              <w:t>(643)</w:t>
            </w:r>
          </w:p>
        </w:tc>
        <w:tc>
          <w:tcPr>
            <w:tcW w:w="912" w:type="dxa"/>
          </w:tcPr>
          <w:p w14:paraId="1E67998C" w14:textId="77777777" w:rsidR="004D42F9" w:rsidRDefault="004D42F9">
            <w:pPr>
              <w:cnfStyle w:val="000000000000" w:firstRow="0" w:lastRow="0" w:firstColumn="0" w:lastColumn="0" w:oddVBand="0" w:evenVBand="0" w:oddHBand="0" w:evenHBand="0" w:firstRowFirstColumn="0" w:firstRowLastColumn="0" w:lastRowFirstColumn="0" w:lastRowLastColumn="0"/>
            </w:pPr>
            <w:r>
              <w:t>379</w:t>
            </w:r>
          </w:p>
        </w:tc>
        <w:tc>
          <w:tcPr>
            <w:tcW w:w="907" w:type="dxa"/>
          </w:tcPr>
          <w:p w14:paraId="077A4570" w14:textId="77777777" w:rsidR="004D42F9" w:rsidRDefault="004D42F9">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78C6884A" w14:textId="77777777" w:rsidR="004D42F9" w:rsidRDefault="004D42F9">
            <w:pPr>
              <w:cnfStyle w:val="000000000000" w:firstRow="0" w:lastRow="0" w:firstColumn="0" w:lastColumn="0" w:oddVBand="0" w:evenVBand="0" w:oddHBand="0" w:evenHBand="0" w:firstRowFirstColumn="0" w:firstRowLastColumn="0" w:lastRowFirstColumn="0" w:lastRowLastColumn="0"/>
            </w:pPr>
            <w:r>
              <w:t>34</w:t>
            </w:r>
          </w:p>
        </w:tc>
      </w:tr>
      <w:tr w:rsidR="004D42F9" w14:paraId="16D5EA21" w14:textId="77777777">
        <w:tc>
          <w:tcPr>
            <w:cnfStyle w:val="001000000000" w:firstRow="0" w:lastRow="0" w:firstColumn="1" w:lastColumn="0" w:oddVBand="0" w:evenVBand="0" w:oddHBand="0" w:evenHBand="0" w:firstRowFirstColumn="0" w:firstRowLastColumn="0" w:lastRowFirstColumn="0" w:lastRowLastColumn="0"/>
            <w:tcW w:w="6006" w:type="dxa"/>
          </w:tcPr>
          <w:p w14:paraId="64668208" w14:textId="77777777" w:rsidR="004D42F9" w:rsidRDefault="004D42F9">
            <w:r>
              <w:t>Net gain/loss from sale of non</w:t>
            </w:r>
            <w:r>
              <w:noBreakHyphen/>
              <w:t>financial assets</w:t>
            </w:r>
          </w:p>
        </w:tc>
        <w:tc>
          <w:tcPr>
            <w:tcW w:w="906" w:type="dxa"/>
          </w:tcPr>
          <w:p w14:paraId="4B975030"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12" w:type="dxa"/>
          </w:tcPr>
          <w:p w14:paraId="06EC0EC4" w14:textId="77777777" w:rsidR="004D42F9" w:rsidRDefault="004D42F9">
            <w:pP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28FF3A10"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2634EE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D3DA710" w14:textId="77777777">
        <w:tc>
          <w:tcPr>
            <w:cnfStyle w:val="001000000000" w:firstRow="0" w:lastRow="0" w:firstColumn="1" w:lastColumn="0" w:oddVBand="0" w:evenVBand="0" w:oddHBand="0" w:evenHBand="0" w:firstRowFirstColumn="0" w:firstRowLastColumn="0" w:lastRowFirstColumn="0" w:lastRowLastColumn="0"/>
            <w:tcW w:w="6006" w:type="dxa"/>
          </w:tcPr>
          <w:p w14:paraId="2783A60B" w14:textId="77777777" w:rsidR="004D42F9" w:rsidRDefault="004D42F9">
            <w:r>
              <w:t>Realised gains/losses on borrowings</w:t>
            </w:r>
          </w:p>
        </w:tc>
        <w:tc>
          <w:tcPr>
            <w:tcW w:w="906" w:type="dxa"/>
          </w:tcPr>
          <w:p w14:paraId="0085B45D" w14:textId="77777777" w:rsidR="004D42F9" w:rsidRDefault="004D42F9">
            <w:pPr>
              <w:cnfStyle w:val="000000000000" w:firstRow="0" w:lastRow="0" w:firstColumn="0" w:lastColumn="0" w:oddVBand="0" w:evenVBand="0" w:oddHBand="0" w:evenHBand="0" w:firstRowFirstColumn="0" w:firstRowLastColumn="0" w:lastRowFirstColumn="0" w:lastRowLastColumn="0"/>
            </w:pPr>
            <w:r>
              <w:t>(457)</w:t>
            </w:r>
          </w:p>
        </w:tc>
        <w:tc>
          <w:tcPr>
            <w:tcW w:w="912" w:type="dxa"/>
          </w:tcPr>
          <w:p w14:paraId="24650863" w14:textId="77777777" w:rsidR="004D42F9" w:rsidRDefault="004D42F9">
            <w:pPr>
              <w:cnfStyle w:val="000000000000" w:firstRow="0" w:lastRow="0" w:firstColumn="0" w:lastColumn="0" w:oddVBand="0" w:evenVBand="0" w:oddHBand="0" w:evenHBand="0" w:firstRowFirstColumn="0" w:firstRowLastColumn="0" w:lastRowFirstColumn="0" w:lastRowLastColumn="0"/>
            </w:pPr>
            <w:r>
              <w:t>(624)</w:t>
            </w:r>
          </w:p>
        </w:tc>
        <w:tc>
          <w:tcPr>
            <w:tcW w:w="907" w:type="dxa"/>
          </w:tcPr>
          <w:p w14:paraId="52FF8512" w14:textId="77777777" w:rsidR="004D42F9" w:rsidRDefault="004D42F9">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2FA0F758" w14:textId="77777777" w:rsidR="004D42F9" w:rsidRDefault="004D42F9">
            <w:pPr>
              <w:cnfStyle w:val="000000000000" w:firstRow="0" w:lastRow="0" w:firstColumn="0" w:lastColumn="0" w:oddVBand="0" w:evenVBand="0" w:oddHBand="0" w:evenHBand="0" w:firstRowFirstColumn="0" w:firstRowLastColumn="0" w:lastRowFirstColumn="0" w:lastRowLastColumn="0"/>
            </w:pPr>
            <w:r>
              <w:t>89</w:t>
            </w:r>
          </w:p>
        </w:tc>
      </w:tr>
      <w:tr w:rsidR="004D42F9" w14:paraId="2966DD09" w14:textId="77777777">
        <w:tc>
          <w:tcPr>
            <w:cnfStyle w:val="001000000000" w:firstRow="0" w:lastRow="0" w:firstColumn="1" w:lastColumn="0" w:oddVBand="0" w:evenVBand="0" w:oddHBand="0" w:evenHBand="0" w:firstRowFirstColumn="0" w:firstRowLastColumn="0" w:lastRowFirstColumn="0" w:lastRowLastColumn="0"/>
            <w:tcW w:w="6006" w:type="dxa"/>
          </w:tcPr>
          <w:p w14:paraId="513EDE36" w14:textId="77777777" w:rsidR="004D42F9" w:rsidRDefault="004D42F9">
            <w:r>
              <w:rPr>
                <w:b/>
              </w:rPr>
              <w:t>Movements in assets and liabilities</w:t>
            </w:r>
          </w:p>
        </w:tc>
        <w:tc>
          <w:tcPr>
            <w:tcW w:w="906" w:type="dxa"/>
          </w:tcPr>
          <w:p w14:paraId="73DFAFC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12" w:type="dxa"/>
          </w:tcPr>
          <w:p w14:paraId="67686B2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2BE3474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9324AA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D215D9F" w14:textId="77777777">
        <w:tc>
          <w:tcPr>
            <w:cnfStyle w:val="001000000000" w:firstRow="0" w:lastRow="0" w:firstColumn="1" w:lastColumn="0" w:oddVBand="0" w:evenVBand="0" w:oddHBand="0" w:evenHBand="0" w:firstRowFirstColumn="0" w:firstRowLastColumn="0" w:lastRowFirstColumn="0" w:lastRowLastColumn="0"/>
            <w:tcW w:w="6006" w:type="dxa"/>
          </w:tcPr>
          <w:p w14:paraId="6A3A591D" w14:textId="77777777" w:rsidR="004D42F9" w:rsidRDefault="004D42F9">
            <w:r>
              <w:t>Increase/(decrease) in allowance for impairment losses</w:t>
            </w:r>
          </w:p>
        </w:tc>
        <w:tc>
          <w:tcPr>
            <w:tcW w:w="906" w:type="dxa"/>
          </w:tcPr>
          <w:p w14:paraId="5B79AC3D" w14:textId="77777777" w:rsidR="004D42F9" w:rsidRDefault="004D42F9">
            <w:pPr>
              <w:cnfStyle w:val="000000000000" w:firstRow="0" w:lastRow="0" w:firstColumn="0" w:lastColumn="0" w:oddVBand="0" w:evenVBand="0" w:oddHBand="0" w:evenHBand="0" w:firstRowFirstColumn="0" w:firstRowLastColumn="0" w:lastRowFirstColumn="0" w:lastRowLastColumn="0"/>
            </w:pPr>
            <w:r>
              <w:t>(23)</w:t>
            </w:r>
          </w:p>
        </w:tc>
        <w:tc>
          <w:tcPr>
            <w:tcW w:w="912" w:type="dxa"/>
          </w:tcPr>
          <w:p w14:paraId="65D17FEB" w14:textId="77777777" w:rsidR="004D42F9" w:rsidRDefault="004D42F9">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31253975" w14:textId="77777777" w:rsidR="004D42F9" w:rsidRDefault="004D42F9">
            <w:pPr>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7C1A043C" w14:textId="77777777" w:rsidR="004D42F9" w:rsidRDefault="004D42F9">
            <w:pPr>
              <w:cnfStyle w:val="000000000000" w:firstRow="0" w:lastRow="0" w:firstColumn="0" w:lastColumn="0" w:oddVBand="0" w:evenVBand="0" w:oddHBand="0" w:evenHBand="0" w:firstRowFirstColumn="0" w:firstRowLastColumn="0" w:lastRowFirstColumn="0" w:lastRowLastColumn="0"/>
            </w:pPr>
            <w:r>
              <w:t>74</w:t>
            </w:r>
          </w:p>
        </w:tc>
      </w:tr>
      <w:tr w:rsidR="004D42F9" w14:paraId="5D114323" w14:textId="77777777">
        <w:tc>
          <w:tcPr>
            <w:cnfStyle w:val="001000000000" w:firstRow="0" w:lastRow="0" w:firstColumn="1" w:lastColumn="0" w:oddVBand="0" w:evenVBand="0" w:oddHBand="0" w:evenHBand="0" w:firstRowFirstColumn="0" w:firstRowLastColumn="0" w:lastRowFirstColumn="0" w:lastRowLastColumn="0"/>
            <w:tcW w:w="6006" w:type="dxa"/>
          </w:tcPr>
          <w:p w14:paraId="54115EEC" w14:textId="77777777" w:rsidR="004D42F9" w:rsidRDefault="004D42F9">
            <w:r>
              <w:t>Increase/(decrease) in payables and contract liabilities</w:t>
            </w:r>
          </w:p>
        </w:tc>
        <w:tc>
          <w:tcPr>
            <w:tcW w:w="906" w:type="dxa"/>
          </w:tcPr>
          <w:p w14:paraId="39736C7C" w14:textId="77777777" w:rsidR="004D42F9" w:rsidRDefault="004D42F9">
            <w:pPr>
              <w:cnfStyle w:val="000000000000" w:firstRow="0" w:lastRow="0" w:firstColumn="0" w:lastColumn="0" w:oddVBand="0" w:evenVBand="0" w:oddHBand="0" w:evenHBand="0" w:firstRowFirstColumn="0" w:firstRowLastColumn="0" w:lastRowFirstColumn="0" w:lastRowLastColumn="0"/>
            </w:pPr>
            <w:r>
              <w:t>(898)</w:t>
            </w:r>
          </w:p>
        </w:tc>
        <w:tc>
          <w:tcPr>
            <w:tcW w:w="912" w:type="dxa"/>
          </w:tcPr>
          <w:p w14:paraId="1C15A857" w14:textId="77777777" w:rsidR="004D42F9" w:rsidRDefault="004D42F9">
            <w:pPr>
              <w:cnfStyle w:val="000000000000" w:firstRow="0" w:lastRow="0" w:firstColumn="0" w:lastColumn="0" w:oddVBand="0" w:evenVBand="0" w:oddHBand="0" w:evenHBand="0" w:firstRowFirstColumn="0" w:firstRowLastColumn="0" w:lastRowFirstColumn="0" w:lastRowLastColumn="0"/>
            </w:pPr>
            <w:r>
              <w:t>1 923</w:t>
            </w:r>
          </w:p>
        </w:tc>
        <w:tc>
          <w:tcPr>
            <w:tcW w:w="907" w:type="dxa"/>
          </w:tcPr>
          <w:p w14:paraId="05E7DC8A" w14:textId="77777777" w:rsidR="004D42F9" w:rsidRDefault="004D42F9">
            <w:pPr>
              <w:cnfStyle w:val="000000000000" w:firstRow="0" w:lastRow="0" w:firstColumn="0" w:lastColumn="0" w:oddVBand="0" w:evenVBand="0" w:oddHBand="0" w:evenHBand="0" w:firstRowFirstColumn="0" w:firstRowLastColumn="0" w:lastRowFirstColumn="0" w:lastRowLastColumn="0"/>
            </w:pPr>
            <w:r>
              <w:t>(1 028)</w:t>
            </w:r>
          </w:p>
        </w:tc>
        <w:tc>
          <w:tcPr>
            <w:tcW w:w="907" w:type="dxa"/>
          </w:tcPr>
          <w:p w14:paraId="2B043FD3" w14:textId="77777777" w:rsidR="004D42F9" w:rsidRDefault="004D42F9">
            <w:pPr>
              <w:cnfStyle w:val="000000000000" w:firstRow="0" w:lastRow="0" w:firstColumn="0" w:lastColumn="0" w:oddVBand="0" w:evenVBand="0" w:oddHBand="0" w:evenHBand="0" w:firstRowFirstColumn="0" w:firstRowLastColumn="0" w:lastRowFirstColumn="0" w:lastRowLastColumn="0"/>
            </w:pPr>
            <w:r>
              <w:t>1 632</w:t>
            </w:r>
          </w:p>
        </w:tc>
      </w:tr>
      <w:tr w:rsidR="004D42F9" w14:paraId="7A3FCF3D" w14:textId="77777777">
        <w:tc>
          <w:tcPr>
            <w:cnfStyle w:val="001000000000" w:firstRow="0" w:lastRow="0" w:firstColumn="1" w:lastColumn="0" w:oddVBand="0" w:evenVBand="0" w:oddHBand="0" w:evenHBand="0" w:firstRowFirstColumn="0" w:firstRowLastColumn="0" w:lastRowFirstColumn="0" w:lastRowLastColumn="0"/>
            <w:tcW w:w="6006" w:type="dxa"/>
          </w:tcPr>
          <w:p w14:paraId="7A498C79" w14:textId="77777777" w:rsidR="004D42F9" w:rsidRDefault="004D42F9">
            <w:r>
              <w:t>Increase/(decrease) in other liabilities</w:t>
            </w:r>
          </w:p>
        </w:tc>
        <w:tc>
          <w:tcPr>
            <w:tcW w:w="906" w:type="dxa"/>
          </w:tcPr>
          <w:p w14:paraId="729EFA56" w14:textId="77777777" w:rsidR="004D42F9" w:rsidRDefault="004D42F9">
            <w:pPr>
              <w:cnfStyle w:val="000000000000" w:firstRow="0" w:lastRow="0" w:firstColumn="0" w:lastColumn="0" w:oddVBand="0" w:evenVBand="0" w:oddHBand="0" w:evenHBand="0" w:firstRowFirstColumn="0" w:firstRowLastColumn="0" w:lastRowFirstColumn="0" w:lastRowLastColumn="0"/>
            </w:pPr>
            <w:r>
              <w:t>39</w:t>
            </w:r>
          </w:p>
        </w:tc>
        <w:tc>
          <w:tcPr>
            <w:tcW w:w="912" w:type="dxa"/>
          </w:tcPr>
          <w:p w14:paraId="57F6A329"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2BDE47B8"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09721FEF" w14:textId="77777777" w:rsidR="004D42F9" w:rsidRDefault="004D42F9">
            <w:pPr>
              <w:cnfStyle w:val="000000000000" w:firstRow="0" w:lastRow="0" w:firstColumn="0" w:lastColumn="0" w:oddVBand="0" w:evenVBand="0" w:oddHBand="0" w:evenHBand="0" w:firstRowFirstColumn="0" w:firstRowLastColumn="0" w:lastRowFirstColumn="0" w:lastRowLastColumn="0"/>
            </w:pPr>
            <w:r>
              <w:t>(51)</w:t>
            </w:r>
          </w:p>
        </w:tc>
      </w:tr>
      <w:tr w:rsidR="004D42F9" w14:paraId="4EE0EF57" w14:textId="77777777">
        <w:tc>
          <w:tcPr>
            <w:cnfStyle w:val="001000000000" w:firstRow="0" w:lastRow="0" w:firstColumn="1" w:lastColumn="0" w:oddVBand="0" w:evenVBand="0" w:oddHBand="0" w:evenHBand="0" w:firstRowFirstColumn="0" w:firstRowLastColumn="0" w:lastRowFirstColumn="0" w:lastRowLastColumn="0"/>
            <w:tcW w:w="6006" w:type="dxa"/>
          </w:tcPr>
          <w:p w14:paraId="7CFE58EF" w14:textId="77777777" w:rsidR="004D42F9" w:rsidRDefault="004D42F9">
            <w:r>
              <w:t>Increase/(decrease) in employee benefits</w:t>
            </w:r>
          </w:p>
        </w:tc>
        <w:tc>
          <w:tcPr>
            <w:tcW w:w="906" w:type="dxa"/>
          </w:tcPr>
          <w:p w14:paraId="44A6B9BE"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1 002</w:t>
            </w:r>
          </w:p>
        </w:tc>
        <w:tc>
          <w:tcPr>
            <w:tcW w:w="912" w:type="dxa"/>
          </w:tcPr>
          <w:p w14:paraId="4B307DAC" w14:textId="77777777" w:rsidR="004D42F9" w:rsidRDefault="004D42F9">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1E520C8C" w14:textId="77777777" w:rsidR="004D42F9" w:rsidRDefault="004D42F9">
            <w:pPr>
              <w:cnfStyle w:val="000000000000" w:firstRow="0" w:lastRow="0" w:firstColumn="0" w:lastColumn="0" w:oddVBand="0" w:evenVBand="0" w:oddHBand="0" w:evenHBand="0" w:firstRowFirstColumn="0" w:firstRowLastColumn="0" w:lastRowFirstColumn="0" w:lastRowLastColumn="0"/>
            </w:pPr>
            <w:r>
              <w:t>948</w:t>
            </w:r>
          </w:p>
        </w:tc>
        <w:tc>
          <w:tcPr>
            <w:tcW w:w="907" w:type="dxa"/>
          </w:tcPr>
          <w:p w14:paraId="4CB82143" w14:textId="77777777" w:rsidR="004D42F9" w:rsidRDefault="004D42F9">
            <w:pPr>
              <w:cnfStyle w:val="000000000000" w:firstRow="0" w:lastRow="0" w:firstColumn="0" w:lastColumn="0" w:oddVBand="0" w:evenVBand="0" w:oddHBand="0" w:evenHBand="0" w:firstRowFirstColumn="0" w:firstRowLastColumn="0" w:lastRowFirstColumn="0" w:lastRowLastColumn="0"/>
            </w:pPr>
            <w:r>
              <w:t>870</w:t>
            </w:r>
          </w:p>
        </w:tc>
      </w:tr>
      <w:tr w:rsidR="004D42F9" w14:paraId="19F64302" w14:textId="77777777">
        <w:tc>
          <w:tcPr>
            <w:cnfStyle w:val="001000000000" w:firstRow="0" w:lastRow="0" w:firstColumn="1" w:lastColumn="0" w:oddVBand="0" w:evenVBand="0" w:oddHBand="0" w:evenHBand="0" w:firstRowFirstColumn="0" w:firstRowLastColumn="0" w:lastRowFirstColumn="0" w:lastRowLastColumn="0"/>
            <w:tcW w:w="6006" w:type="dxa"/>
          </w:tcPr>
          <w:p w14:paraId="264ABAF1" w14:textId="77777777" w:rsidR="004D42F9" w:rsidRDefault="004D42F9">
            <w:r>
              <w:t>Increase/(decrease) in superannuation</w:t>
            </w:r>
          </w:p>
        </w:tc>
        <w:tc>
          <w:tcPr>
            <w:tcW w:w="906" w:type="dxa"/>
          </w:tcPr>
          <w:p w14:paraId="1BF27D54" w14:textId="77777777" w:rsidR="004D42F9" w:rsidRDefault="004D42F9">
            <w:pPr>
              <w:cnfStyle w:val="000000000000" w:firstRow="0" w:lastRow="0" w:firstColumn="0" w:lastColumn="0" w:oddVBand="0" w:evenVBand="0" w:oddHBand="0" w:evenHBand="0" w:firstRowFirstColumn="0" w:firstRowLastColumn="0" w:lastRowFirstColumn="0" w:lastRowLastColumn="0"/>
            </w:pPr>
            <w:r>
              <w:t>853</w:t>
            </w:r>
          </w:p>
        </w:tc>
        <w:tc>
          <w:tcPr>
            <w:tcW w:w="912" w:type="dxa"/>
          </w:tcPr>
          <w:p w14:paraId="40BEC7D2" w14:textId="77777777" w:rsidR="004D42F9" w:rsidRDefault="004D42F9">
            <w:pPr>
              <w:cnfStyle w:val="000000000000" w:firstRow="0" w:lastRow="0" w:firstColumn="0" w:lastColumn="0" w:oddVBand="0" w:evenVBand="0" w:oddHBand="0" w:evenHBand="0" w:firstRowFirstColumn="0" w:firstRowLastColumn="0" w:lastRowFirstColumn="0" w:lastRowLastColumn="0"/>
            </w:pPr>
            <w:r>
              <w:t>990</w:t>
            </w:r>
          </w:p>
        </w:tc>
        <w:tc>
          <w:tcPr>
            <w:tcW w:w="907" w:type="dxa"/>
          </w:tcPr>
          <w:p w14:paraId="7204A7FD" w14:textId="77777777" w:rsidR="004D42F9" w:rsidRDefault="004D42F9">
            <w:pPr>
              <w:cnfStyle w:val="000000000000" w:firstRow="0" w:lastRow="0" w:firstColumn="0" w:lastColumn="0" w:oddVBand="0" w:evenVBand="0" w:oddHBand="0" w:evenHBand="0" w:firstRowFirstColumn="0" w:firstRowLastColumn="0" w:lastRowFirstColumn="0" w:lastRowLastColumn="0"/>
            </w:pPr>
            <w:r>
              <w:t>844</w:t>
            </w:r>
          </w:p>
        </w:tc>
        <w:tc>
          <w:tcPr>
            <w:tcW w:w="907" w:type="dxa"/>
          </w:tcPr>
          <w:p w14:paraId="37AD99E9" w14:textId="77777777" w:rsidR="004D42F9" w:rsidRDefault="004D42F9">
            <w:pPr>
              <w:cnfStyle w:val="000000000000" w:firstRow="0" w:lastRow="0" w:firstColumn="0" w:lastColumn="0" w:oddVBand="0" w:evenVBand="0" w:oddHBand="0" w:evenHBand="0" w:firstRowFirstColumn="0" w:firstRowLastColumn="0" w:lastRowFirstColumn="0" w:lastRowLastColumn="0"/>
            </w:pPr>
            <w:r>
              <w:t>983</w:t>
            </w:r>
          </w:p>
        </w:tc>
      </w:tr>
      <w:tr w:rsidR="004D42F9" w14:paraId="6EB16E05" w14:textId="77777777">
        <w:tc>
          <w:tcPr>
            <w:cnfStyle w:val="001000000000" w:firstRow="0" w:lastRow="0" w:firstColumn="1" w:lastColumn="0" w:oddVBand="0" w:evenVBand="0" w:oddHBand="0" w:evenHBand="0" w:firstRowFirstColumn="0" w:firstRowLastColumn="0" w:lastRowFirstColumn="0" w:lastRowLastColumn="0"/>
            <w:tcW w:w="6006" w:type="dxa"/>
          </w:tcPr>
          <w:p w14:paraId="17756285" w14:textId="77777777" w:rsidR="004D42F9" w:rsidRDefault="004D42F9">
            <w:r>
              <w:t>Increase/(decrease) in other provisions</w:t>
            </w:r>
          </w:p>
        </w:tc>
        <w:tc>
          <w:tcPr>
            <w:tcW w:w="906" w:type="dxa"/>
          </w:tcPr>
          <w:p w14:paraId="0D51440A" w14:textId="77777777" w:rsidR="004D42F9" w:rsidRDefault="004D42F9">
            <w:pPr>
              <w:cnfStyle w:val="000000000000" w:firstRow="0" w:lastRow="0" w:firstColumn="0" w:lastColumn="0" w:oddVBand="0" w:evenVBand="0" w:oddHBand="0" w:evenHBand="0" w:firstRowFirstColumn="0" w:firstRowLastColumn="0" w:lastRowFirstColumn="0" w:lastRowLastColumn="0"/>
            </w:pPr>
            <w:r>
              <w:t>4 073</w:t>
            </w:r>
          </w:p>
        </w:tc>
        <w:tc>
          <w:tcPr>
            <w:tcW w:w="912" w:type="dxa"/>
          </w:tcPr>
          <w:p w14:paraId="01ABDE32" w14:textId="77777777" w:rsidR="004D42F9" w:rsidRDefault="004D42F9">
            <w:pPr>
              <w:cnfStyle w:val="000000000000" w:firstRow="0" w:lastRow="0" w:firstColumn="0" w:lastColumn="0" w:oddVBand="0" w:evenVBand="0" w:oddHBand="0" w:evenHBand="0" w:firstRowFirstColumn="0" w:firstRowLastColumn="0" w:lastRowFirstColumn="0" w:lastRowLastColumn="0"/>
            </w:pPr>
            <w:r>
              <w:t>3 592</w:t>
            </w:r>
          </w:p>
        </w:tc>
        <w:tc>
          <w:tcPr>
            <w:tcW w:w="907" w:type="dxa"/>
          </w:tcPr>
          <w:p w14:paraId="3977DE3C" w14:textId="77777777" w:rsidR="004D42F9" w:rsidRDefault="004D42F9">
            <w:pPr>
              <w:cnfStyle w:val="000000000000" w:firstRow="0" w:lastRow="0" w:firstColumn="0" w:lastColumn="0" w:oddVBand="0" w:evenVBand="0" w:oddHBand="0" w:evenHBand="0" w:firstRowFirstColumn="0" w:firstRowLastColumn="0" w:lastRowFirstColumn="0" w:lastRowLastColumn="0"/>
            </w:pPr>
            <w:r>
              <w:t>497</w:t>
            </w:r>
          </w:p>
        </w:tc>
        <w:tc>
          <w:tcPr>
            <w:tcW w:w="907" w:type="dxa"/>
          </w:tcPr>
          <w:p w14:paraId="469574DF" w14:textId="77777777" w:rsidR="004D42F9" w:rsidRDefault="004D42F9">
            <w:pPr>
              <w:cnfStyle w:val="000000000000" w:firstRow="0" w:lastRow="0" w:firstColumn="0" w:lastColumn="0" w:oddVBand="0" w:evenVBand="0" w:oddHBand="0" w:evenHBand="0" w:firstRowFirstColumn="0" w:firstRowLastColumn="0" w:lastRowFirstColumn="0" w:lastRowLastColumn="0"/>
            </w:pPr>
            <w:r>
              <w:t>250</w:t>
            </w:r>
          </w:p>
        </w:tc>
      </w:tr>
      <w:tr w:rsidR="004D42F9" w14:paraId="615EDB57" w14:textId="77777777">
        <w:tc>
          <w:tcPr>
            <w:cnfStyle w:val="001000000000" w:firstRow="0" w:lastRow="0" w:firstColumn="1" w:lastColumn="0" w:oddVBand="0" w:evenVBand="0" w:oddHBand="0" w:evenHBand="0" w:firstRowFirstColumn="0" w:firstRowLastColumn="0" w:lastRowFirstColumn="0" w:lastRowLastColumn="0"/>
            <w:tcW w:w="6006" w:type="dxa"/>
          </w:tcPr>
          <w:p w14:paraId="27D69BF2" w14:textId="77777777" w:rsidR="004D42F9" w:rsidRDefault="004D42F9">
            <w:r>
              <w:t>(Increase)/decrease in receivables and contract assets</w:t>
            </w:r>
          </w:p>
        </w:tc>
        <w:tc>
          <w:tcPr>
            <w:tcW w:w="906" w:type="dxa"/>
          </w:tcPr>
          <w:p w14:paraId="6F295C91" w14:textId="77777777" w:rsidR="004D42F9" w:rsidRDefault="004D42F9">
            <w:pPr>
              <w:cnfStyle w:val="000000000000" w:firstRow="0" w:lastRow="0" w:firstColumn="0" w:lastColumn="0" w:oddVBand="0" w:evenVBand="0" w:oddHBand="0" w:evenHBand="0" w:firstRowFirstColumn="0" w:firstRowLastColumn="0" w:lastRowFirstColumn="0" w:lastRowLastColumn="0"/>
            </w:pPr>
            <w:r>
              <w:t>(49)</w:t>
            </w:r>
          </w:p>
        </w:tc>
        <w:tc>
          <w:tcPr>
            <w:tcW w:w="912" w:type="dxa"/>
          </w:tcPr>
          <w:p w14:paraId="20D115B9" w14:textId="77777777" w:rsidR="004D42F9" w:rsidRDefault="004D42F9">
            <w:pPr>
              <w:cnfStyle w:val="000000000000" w:firstRow="0" w:lastRow="0" w:firstColumn="0" w:lastColumn="0" w:oddVBand="0" w:evenVBand="0" w:oddHBand="0" w:evenHBand="0" w:firstRowFirstColumn="0" w:firstRowLastColumn="0" w:lastRowFirstColumn="0" w:lastRowLastColumn="0"/>
            </w:pPr>
            <w:r>
              <w:t>(1 656)</w:t>
            </w:r>
          </w:p>
        </w:tc>
        <w:tc>
          <w:tcPr>
            <w:tcW w:w="907" w:type="dxa"/>
          </w:tcPr>
          <w:p w14:paraId="103B152E" w14:textId="77777777" w:rsidR="004D42F9" w:rsidRDefault="004D42F9">
            <w:pPr>
              <w:cnfStyle w:val="000000000000" w:firstRow="0" w:lastRow="0" w:firstColumn="0" w:lastColumn="0" w:oddVBand="0" w:evenVBand="0" w:oddHBand="0" w:evenHBand="0" w:firstRowFirstColumn="0" w:firstRowLastColumn="0" w:lastRowFirstColumn="0" w:lastRowLastColumn="0"/>
            </w:pPr>
            <w:r>
              <w:t>319</w:t>
            </w:r>
          </w:p>
        </w:tc>
        <w:tc>
          <w:tcPr>
            <w:tcW w:w="907" w:type="dxa"/>
          </w:tcPr>
          <w:p w14:paraId="45A83750" w14:textId="77777777" w:rsidR="004D42F9" w:rsidRDefault="004D42F9">
            <w:pPr>
              <w:cnfStyle w:val="000000000000" w:firstRow="0" w:lastRow="0" w:firstColumn="0" w:lastColumn="0" w:oddVBand="0" w:evenVBand="0" w:oddHBand="0" w:evenHBand="0" w:firstRowFirstColumn="0" w:firstRowLastColumn="0" w:lastRowFirstColumn="0" w:lastRowLastColumn="0"/>
            </w:pPr>
            <w:r>
              <w:t>(612)</w:t>
            </w:r>
          </w:p>
        </w:tc>
      </w:tr>
      <w:tr w:rsidR="004D42F9" w14:paraId="6DDACB43" w14:textId="77777777">
        <w:tc>
          <w:tcPr>
            <w:cnfStyle w:val="001000000000" w:firstRow="0" w:lastRow="0" w:firstColumn="1" w:lastColumn="0" w:oddVBand="0" w:evenVBand="0" w:oddHBand="0" w:evenHBand="0" w:firstRowFirstColumn="0" w:firstRowLastColumn="0" w:lastRowFirstColumn="0" w:lastRowLastColumn="0"/>
            <w:tcW w:w="6006" w:type="dxa"/>
            <w:tcBorders>
              <w:bottom w:val="single" w:sz="6" w:space="0" w:color="auto"/>
            </w:tcBorders>
          </w:tcPr>
          <w:p w14:paraId="0F118C4C" w14:textId="77777777" w:rsidR="004D42F9" w:rsidRDefault="004D42F9">
            <w:r>
              <w:t>(Increase)/decrease in other non</w:t>
            </w:r>
            <w:r>
              <w:noBreakHyphen/>
              <w:t>financial assets</w:t>
            </w:r>
          </w:p>
        </w:tc>
        <w:tc>
          <w:tcPr>
            <w:tcW w:w="906" w:type="dxa"/>
            <w:tcBorders>
              <w:bottom w:val="single" w:sz="6" w:space="0" w:color="auto"/>
            </w:tcBorders>
          </w:tcPr>
          <w:p w14:paraId="2F400478" w14:textId="77777777" w:rsidR="004D42F9" w:rsidRDefault="004D42F9">
            <w:pPr>
              <w:cnfStyle w:val="000000000000" w:firstRow="0" w:lastRow="0" w:firstColumn="0" w:lastColumn="0" w:oddVBand="0" w:evenVBand="0" w:oddHBand="0" w:evenHBand="0" w:firstRowFirstColumn="0" w:firstRowLastColumn="0" w:lastRowFirstColumn="0" w:lastRowLastColumn="0"/>
            </w:pPr>
            <w:r>
              <w:t>204</w:t>
            </w:r>
          </w:p>
        </w:tc>
        <w:tc>
          <w:tcPr>
            <w:tcW w:w="912" w:type="dxa"/>
            <w:tcBorders>
              <w:bottom w:val="single" w:sz="6" w:space="0" w:color="auto"/>
            </w:tcBorders>
          </w:tcPr>
          <w:p w14:paraId="45F846A9" w14:textId="77777777" w:rsidR="004D42F9" w:rsidRDefault="004D42F9">
            <w:pPr>
              <w:cnfStyle w:val="000000000000" w:firstRow="0" w:lastRow="0" w:firstColumn="0" w:lastColumn="0" w:oddVBand="0" w:evenVBand="0" w:oddHBand="0" w:evenHBand="0" w:firstRowFirstColumn="0" w:firstRowLastColumn="0" w:lastRowFirstColumn="0" w:lastRowLastColumn="0"/>
            </w:pPr>
            <w:r>
              <w:t>14</w:t>
            </w:r>
          </w:p>
        </w:tc>
        <w:tc>
          <w:tcPr>
            <w:tcW w:w="907" w:type="dxa"/>
            <w:tcBorders>
              <w:bottom w:val="single" w:sz="6" w:space="0" w:color="auto"/>
            </w:tcBorders>
          </w:tcPr>
          <w:p w14:paraId="60BB9DC8" w14:textId="77777777" w:rsidR="004D42F9" w:rsidRDefault="004D42F9">
            <w:pPr>
              <w:cnfStyle w:val="000000000000" w:firstRow="0" w:lastRow="0" w:firstColumn="0" w:lastColumn="0" w:oddVBand="0" w:evenVBand="0" w:oddHBand="0" w:evenHBand="0" w:firstRowFirstColumn="0" w:firstRowLastColumn="0" w:lastRowFirstColumn="0" w:lastRowLastColumn="0"/>
            </w:pPr>
            <w:r>
              <w:t>147</w:t>
            </w:r>
          </w:p>
        </w:tc>
        <w:tc>
          <w:tcPr>
            <w:tcW w:w="907" w:type="dxa"/>
            <w:tcBorders>
              <w:bottom w:val="single" w:sz="6" w:space="0" w:color="auto"/>
            </w:tcBorders>
          </w:tcPr>
          <w:p w14:paraId="18A0DA13" w14:textId="77777777" w:rsidR="004D42F9" w:rsidRDefault="004D42F9">
            <w:pPr>
              <w:cnfStyle w:val="000000000000" w:firstRow="0" w:lastRow="0" w:firstColumn="0" w:lastColumn="0" w:oddVBand="0" w:evenVBand="0" w:oddHBand="0" w:evenHBand="0" w:firstRowFirstColumn="0" w:firstRowLastColumn="0" w:lastRowFirstColumn="0" w:lastRowLastColumn="0"/>
            </w:pPr>
            <w:r>
              <w:t>272</w:t>
            </w:r>
          </w:p>
        </w:tc>
      </w:tr>
      <w:tr w:rsidR="004D42F9" w14:paraId="17C2893A" w14:textId="77777777">
        <w:tc>
          <w:tcPr>
            <w:cnfStyle w:val="001000000000" w:firstRow="0" w:lastRow="0" w:firstColumn="1" w:lastColumn="0" w:oddVBand="0" w:evenVBand="0" w:oddHBand="0" w:evenHBand="0" w:firstRowFirstColumn="0" w:firstRowLastColumn="0" w:lastRowFirstColumn="0" w:lastRowLastColumn="0"/>
            <w:tcW w:w="6006" w:type="dxa"/>
            <w:tcBorders>
              <w:top w:val="single" w:sz="6" w:space="0" w:color="auto"/>
              <w:bottom w:val="single" w:sz="12" w:space="0" w:color="auto"/>
            </w:tcBorders>
          </w:tcPr>
          <w:p w14:paraId="7DB4CAAA" w14:textId="77777777" w:rsidR="004D42F9" w:rsidRDefault="004D42F9">
            <w:r>
              <w:rPr>
                <w:b/>
              </w:rPr>
              <w:t>Net cash flows from operating activities</w:t>
            </w:r>
          </w:p>
        </w:tc>
        <w:tc>
          <w:tcPr>
            <w:tcW w:w="906" w:type="dxa"/>
            <w:tcBorders>
              <w:top w:val="single" w:sz="6" w:space="0" w:color="auto"/>
              <w:bottom w:val="single" w:sz="12" w:space="0" w:color="auto"/>
            </w:tcBorders>
          </w:tcPr>
          <w:p w14:paraId="1BCFC96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8 324</w:t>
            </w:r>
          </w:p>
        </w:tc>
        <w:tc>
          <w:tcPr>
            <w:tcW w:w="912" w:type="dxa"/>
            <w:tcBorders>
              <w:top w:val="single" w:sz="6" w:space="0" w:color="auto"/>
              <w:bottom w:val="single" w:sz="12" w:space="0" w:color="auto"/>
            </w:tcBorders>
          </w:tcPr>
          <w:p w14:paraId="0D6D5E3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5 249</w:t>
            </w:r>
          </w:p>
        </w:tc>
        <w:tc>
          <w:tcPr>
            <w:tcW w:w="907" w:type="dxa"/>
            <w:tcBorders>
              <w:top w:val="single" w:sz="6" w:space="0" w:color="auto"/>
              <w:bottom w:val="single" w:sz="12" w:space="0" w:color="auto"/>
            </w:tcBorders>
          </w:tcPr>
          <w:p w14:paraId="37C32A0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3 233</w:t>
            </w:r>
          </w:p>
        </w:tc>
        <w:tc>
          <w:tcPr>
            <w:tcW w:w="907" w:type="dxa"/>
            <w:tcBorders>
              <w:top w:val="single" w:sz="6" w:space="0" w:color="auto"/>
              <w:bottom w:val="single" w:sz="12" w:space="0" w:color="auto"/>
            </w:tcBorders>
          </w:tcPr>
          <w:p w14:paraId="552F6F0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2 623</w:t>
            </w:r>
          </w:p>
        </w:tc>
      </w:tr>
    </w:tbl>
    <w:p w14:paraId="1D174652" w14:textId="77777777" w:rsidR="004D42F9" w:rsidRDefault="004D42F9" w:rsidP="004D42F9">
      <w:pPr>
        <w:pStyle w:val="TableHeading"/>
        <w:pageBreakBefore/>
      </w:pPr>
      <w:r>
        <w:lastRenderedPageBreak/>
        <w:t>Changes in liabilities arising from financing activities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Reconciliation of Liabilities arising from Financing Activities/Link_AFR_Reco_Liab_from_FIN_Activities.xlsx|Table:Changes_in_liabilities_FinAct_SoV_CY"/>
      </w:tblPr>
      <w:tblGrid>
        <w:gridCol w:w="3402"/>
        <w:gridCol w:w="993"/>
        <w:gridCol w:w="992"/>
        <w:gridCol w:w="2268"/>
        <w:gridCol w:w="1076"/>
        <w:gridCol w:w="907"/>
      </w:tblGrid>
      <w:tr w:rsidR="00991200" w14:paraId="2C2C2C5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20F17FDF" w14:textId="77777777" w:rsidR="004D42F9" w:rsidRDefault="004D42F9">
            <w:pPr>
              <w:keepNext/>
              <w:spacing w:after="60"/>
            </w:pPr>
            <w:r>
              <w:t>State of Victoria</w:t>
            </w:r>
          </w:p>
        </w:tc>
        <w:tc>
          <w:tcPr>
            <w:tcW w:w="993" w:type="dxa"/>
          </w:tcPr>
          <w:p w14:paraId="6BC35DCF"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992" w:type="dxa"/>
          </w:tcPr>
          <w:p w14:paraId="40F2B932"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2268" w:type="dxa"/>
          </w:tcPr>
          <w:p w14:paraId="3AB79BB1"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1076" w:type="dxa"/>
          </w:tcPr>
          <w:p w14:paraId="30DC97B0"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907" w:type="dxa"/>
          </w:tcPr>
          <w:p w14:paraId="19B4123B"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r>
      <w:tr w:rsidR="00991200" w14:paraId="1FAF185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35AEB7D7" w14:textId="77777777" w:rsidR="004D42F9" w:rsidRDefault="004D42F9">
            <w:pPr>
              <w:keepNext/>
              <w:spacing w:after="60"/>
            </w:pPr>
            <w:r>
              <w:t>2025</w:t>
            </w:r>
          </w:p>
        </w:tc>
        <w:tc>
          <w:tcPr>
            <w:tcW w:w="993" w:type="dxa"/>
          </w:tcPr>
          <w:p w14:paraId="0ACF7499"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Opening balance</w:t>
            </w:r>
          </w:p>
        </w:tc>
        <w:tc>
          <w:tcPr>
            <w:tcW w:w="992" w:type="dxa"/>
          </w:tcPr>
          <w:p w14:paraId="53B8BB9E"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Cash flows</w:t>
            </w:r>
          </w:p>
        </w:tc>
        <w:tc>
          <w:tcPr>
            <w:tcW w:w="2268" w:type="dxa"/>
          </w:tcPr>
          <w:p w14:paraId="7102726A"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1076" w:type="dxa"/>
          </w:tcPr>
          <w:p w14:paraId="05EC3A6E"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Fair value changes</w:t>
            </w:r>
          </w:p>
        </w:tc>
        <w:tc>
          <w:tcPr>
            <w:tcW w:w="907" w:type="dxa"/>
          </w:tcPr>
          <w:p w14:paraId="528A536B"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Closing balance</w:t>
            </w:r>
          </w:p>
        </w:tc>
      </w:tr>
      <w:tr w:rsidR="004D42F9" w14:paraId="253BDB58" w14:textId="77777777">
        <w:tc>
          <w:tcPr>
            <w:cnfStyle w:val="001000000000" w:firstRow="0" w:lastRow="0" w:firstColumn="1" w:lastColumn="0" w:oddVBand="0" w:evenVBand="0" w:oddHBand="0" w:evenHBand="0" w:firstRowFirstColumn="0" w:firstRowLastColumn="0" w:lastRowFirstColumn="0" w:lastRowLastColumn="0"/>
            <w:tcW w:w="3402" w:type="dxa"/>
          </w:tcPr>
          <w:p w14:paraId="1B44E393" w14:textId="77777777" w:rsidR="004D42F9" w:rsidRDefault="004D42F9">
            <w:pPr>
              <w:spacing w:after="60"/>
            </w:pPr>
            <w:r>
              <w:t>Borrowings and derivative instruments</w:t>
            </w:r>
            <w:r>
              <w:rPr>
                <w:vertAlign w:val="superscript"/>
              </w:rPr>
              <w:t xml:space="preserve"> (b)</w:t>
            </w:r>
          </w:p>
        </w:tc>
        <w:tc>
          <w:tcPr>
            <w:tcW w:w="993" w:type="dxa"/>
          </w:tcPr>
          <w:p w14:paraId="3CDB3374"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177 503</w:t>
            </w:r>
          </w:p>
        </w:tc>
        <w:tc>
          <w:tcPr>
            <w:tcW w:w="992" w:type="dxa"/>
          </w:tcPr>
          <w:p w14:paraId="4051B3B2"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20 591</w:t>
            </w:r>
          </w:p>
        </w:tc>
        <w:tc>
          <w:tcPr>
            <w:tcW w:w="2268" w:type="dxa"/>
          </w:tcPr>
          <w:p w14:paraId="1967833E"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1 169</w:t>
            </w:r>
          </w:p>
        </w:tc>
        <w:tc>
          <w:tcPr>
            <w:tcW w:w="1076" w:type="dxa"/>
          </w:tcPr>
          <w:p w14:paraId="33229141"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6 799</w:t>
            </w:r>
          </w:p>
        </w:tc>
        <w:tc>
          <w:tcPr>
            <w:tcW w:w="907" w:type="dxa"/>
          </w:tcPr>
          <w:p w14:paraId="502B3923"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206 063</w:t>
            </w:r>
          </w:p>
        </w:tc>
      </w:tr>
      <w:tr w:rsidR="004D42F9" w14:paraId="548B25E8" w14:textId="77777777">
        <w:tc>
          <w:tcPr>
            <w:cnfStyle w:val="001000000000" w:firstRow="0" w:lastRow="0" w:firstColumn="1" w:lastColumn="0" w:oddVBand="0" w:evenVBand="0" w:oddHBand="0" w:evenHBand="0" w:firstRowFirstColumn="0" w:firstRowLastColumn="0" w:lastRowFirstColumn="0" w:lastRowLastColumn="0"/>
            <w:tcW w:w="3402" w:type="dxa"/>
          </w:tcPr>
          <w:p w14:paraId="045A7A77" w14:textId="77777777" w:rsidR="004D42F9" w:rsidRDefault="004D42F9">
            <w:pPr>
              <w:spacing w:after="60"/>
            </w:pPr>
            <w:r>
              <w:t>Lease liabilities</w:t>
            </w:r>
          </w:p>
        </w:tc>
        <w:tc>
          <w:tcPr>
            <w:tcW w:w="993" w:type="dxa"/>
          </w:tcPr>
          <w:p w14:paraId="1E18E340"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8 628</w:t>
            </w:r>
          </w:p>
        </w:tc>
        <w:tc>
          <w:tcPr>
            <w:tcW w:w="992" w:type="dxa"/>
          </w:tcPr>
          <w:p w14:paraId="3BD2D4AF"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(757)</w:t>
            </w:r>
          </w:p>
        </w:tc>
        <w:tc>
          <w:tcPr>
            <w:tcW w:w="2268" w:type="dxa"/>
          </w:tcPr>
          <w:p w14:paraId="22360D8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242</w:t>
            </w:r>
          </w:p>
        </w:tc>
        <w:tc>
          <w:tcPr>
            <w:tcW w:w="1076" w:type="dxa"/>
          </w:tcPr>
          <w:p w14:paraId="0EB1A041"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4F5D9788"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8 112</w:t>
            </w:r>
          </w:p>
        </w:tc>
      </w:tr>
      <w:tr w:rsidR="004D42F9" w14:paraId="40C44D3E" w14:textId="77777777">
        <w:tc>
          <w:tcPr>
            <w:cnfStyle w:val="001000000000" w:firstRow="0" w:lastRow="0" w:firstColumn="1" w:lastColumn="0" w:oddVBand="0" w:evenVBand="0" w:oddHBand="0" w:evenHBand="0" w:firstRowFirstColumn="0" w:firstRowLastColumn="0" w:lastRowFirstColumn="0" w:lastRowLastColumn="0"/>
            <w:tcW w:w="3402" w:type="dxa"/>
          </w:tcPr>
          <w:p w14:paraId="793A0587" w14:textId="77777777" w:rsidR="004D42F9" w:rsidRDefault="004D42F9">
            <w:pPr>
              <w:spacing w:after="60"/>
            </w:pPr>
            <w:r>
              <w:t>Service concession arrangements liabilities</w:t>
            </w:r>
          </w:p>
        </w:tc>
        <w:tc>
          <w:tcPr>
            <w:tcW w:w="993" w:type="dxa"/>
          </w:tcPr>
          <w:p w14:paraId="41F2FA7D"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7 476</w:t>
            </w:r>
          </w:p>
        </w:tc>
        <w:tc>
          <w:tcPr>
            <w:tcW w:w="992" w:type="dxa"/>
          </w:tcPr>
          <w:p w14:paraId="21805D5C"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(768)</w:t>
            </w:r>
          </w:p>
        </w:tc>
        <w:tc>
          <w:tcPr>
            <w:tcW w:w="2268" w:type="dxa"/>
          </w:tcPr>
          <w:p w14:paraId="548A64FE"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2 305</w:t>
            </w:r>
          </w:p>
        </w:tc>
        <w:tc>
          <w:tcPr>
            <w:tcW w:w="1076" w:type="dxa"/>
          </w:tcPr>
          <w:p w14:paraId="5C51448E"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34BFE51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9 013</w:t>
            </w:r>
          </w:p>
        </w:tc>
      </w:tr>
      <w:tr w:rsidR="004D42F9" w14:paraId="40865177"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45D40B9B" w14:textId="77777777" w:rsidR="004D42F9" w:rsidRDefault="004D42F9">
            <w:pPr>
              <w:spacing w:after="60"/>
            </w:pPr>
            <w:r>
              <w:t>Advances and deposits received</w:t>
            </w:r>
          </w:p>
        </w:tc>
        <w:tc>
          <w:tcPr>
            <w:tcW w:w="993" w:type="dxa"/>
            <w:tcBorders>
              <w:bottom w:val="single" w:sz="12" w:space="0" w:color="auto"/>
            </w:tcBorders>
          </w:tcPr>
          <w:p w14:paraId="72CE091B"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1 938</w:t>
            </w:r>
          </w:p>
        </w:tc>
        <w:tc>
          <w:tcPr>
            <w:tcW w:w="992" w:type="dxa"/>
            <w:tcBorders>
              <w:bottom w:val="single" w:sz="12" w:space="0" w:color="auto"/>
            </w:tcBorders>
          </w:tcPr>
          <w:p w14:paraId="65403BCE"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111</w:t>
            </w:r>
          </w:p>
        </w:tc>
        <w:tc>
          <w:tcPr>
            <w:tcW w:w="2268" w:type="dxa"/>
            <w:tcBorders>
              <w:bottom w:val="single" w:sz="12" w:space="0" w:color="auto"/>
            </w:tcBorders>
          </w:tcPr>
          <w:p w14:paraId="6C43365C"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6989502B"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3D57F6D"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2 049</w:t>
            </w:r>
          </w:p>
        </w:tc>
      </w:tr>
    </w:tbl>
    <w:p w14:paraId="7BF0060A"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Reconciliation of Liabilities arising from Financing Activities/Link_AFR_Reco_Liab_from_FIN_Activities.xlsx|Table:Changes_in_liabilities_FinAct_SoV_PY"/>
      </w:tblPr>
      <w:tblGrid>
        <w:gridCol w:w="3402"/>
        <w:gridCol w:w="993"/>
        <w:gridCol w:w="992"/>
        <w:gridCol w:w="2268"/>
        <w:gridCol w:w="1076"/>
        <w:gridCol w:w="907"/>
      </w:tblGrid>
      <w:tr w:rsidR="00991200" w14:paraId="544B719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4224963C" w14:textId="77777777" w:rsidR="004D42F9" w:rsidRDefault="004D42F9">
            <w:pPr>
              <w:keepNext/>
            </w:pPr>
            <w:r>
              <w:t>2024</w:t>
            </w:r>
          </w:p>
        </w:tc>
        <w:tc>
          <w:tcPr>
            <w:tcW w:w="993" w:type="dxa"/>
          </w:tcPr>
          <w:p w14:paraId="10A4452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08FDBC5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092F20E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700E532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099B89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33339F38" w14:textId="77777777">
        <w:tc>
          <w:tcPr>
            <w:cnfStyle w:val="001000000000" w:firstRow="0" w:lastRow="0" w:firstColumn="1" w:lastColumn="0" w:oddVBand="0" w:evenVBand="0" w:oddHBand="0" w:evenHBand="0" w:firstRowFirstColumn="0" w:firstRowLastColumn="0" w:lastRowFirstColumn="0" w:lastRowLastColumn="0"/>
            <w:tcW w:w="3402" w:type="dxa"/>
          </w:tcPr>
          <w:p w14:paraId="6D509320" w14:textId="77777777" w:rsidR="004D42F9" w:rsidRDefault="004D42F9">
            <w:r>
              <w:t>Borrowings and derivative instruments</w:t>
            </w:r>
            <w:r>
              <w:rPr>
                <w:vertAlign w:val="superscript"/>
              </w:rPr>
              <w:t xml:space="preserve"> (b)</w:t>
            </w:r>
          </w:p>
        </w:tc>
        <w:tc>
          <w:tcPr>
            <w:tcW w:w="993" w:type="dxa"/>
          </w:tcPr>
          <w:p w14:paraId="47292F75" w14:textId="77777777" w:rsidR="004D42F9" w:rsidRDefault="004D42F9">
            <w:pPr>
              <w:cnfStyle w:val="000000000000" w:firstRow="0" w:lastRow="0" w:firstColumn="0" w:lastColumn="0" w:oddVBand="0" w:evenVBand="0" w:oddHBand="0" w:evenHBand="0" w:firstRowFirstColumn="0" w:firstRowLastColumn="0" w:lastRowFirstColumn="0" w:lastRowLastColumn="0"/>
            </w:pPr>
            <w:r>
              <w:t>147 492</w:t>
            </w:r>
          </w:p>
        </w:tc>
        <w:tc>
          <w:tcPr>
            <w:tcW w:w="992" w:type="dxa"/>
          </w:tcPr>
          <w:p w14:paraId="120E66A9" w14:textId="77777777" w:rsidR="004D42F9" w:rsidRDefault="004D42F9">
            <w:pPr>
              <w:cnfStyle w:val="000000000000" w:firstRow="0" w:lastRow="0" w:firstColumn="0" w:lastColumn="0" w:oddVBand="0" w:evenVBand="0" w:oddHBand="0" w:evenHBand="0" w:firstRowFirstColumn="0" w:firstRowLastColumn="0" w:lastRowFirstColumn="0" w:lastRowLastColumn="0"/>
            </w:pPr>
            <w:r>
              <w:t>28 409</w:t>
            </w:r>
          </w:p>
        </w:tc>
        <w:tc>
          <w:tcPr>
            <w:tcW w:w="2268" w:type="dxa"/>
          </w:tcPr>
          <w:p w14:paraId="4D851BFD" w14:textId="77777777" w:rsidR="004D42F9" w:rsidRDefault="004D42F9">
            <w:pPr>
              <w:cnfStyle w:val="000000000000" w:firstRow="0" w:lastRow="0" w:firstColumn="0" w:lastColumn="0" w:oddVBand="0" w:evenVBand="0" w:oddHBand="0" w:evenHBand="0" w:firstRowFirstColumn="0" w:firstRowLastColumn="0" w:lastRowFirstColumn="0" w:lastRowLastColumn="0"/>
            </w:pPr>
            <w:r>
              <w:t>1 045</w:t>
            </w:r>
          </w:p>
        </w:tc>
        <w:tc>
          <w:tcPr>
            <w:tcW w:w="1076" w:type="dxa"/>
          </w:tcPr>
          <w:p w14:paraId="068F9467" w14:textId="77777777" w:rsidR="004D42F9" w:rsidRDefault="004D42F9">
            <w:pPr>
              <w:cnfStyle w:val="000000000000" w:firstRow="0" w:lastRow="0" w:firstColumn="0" w:lastColumn="0" w:oddVBand="0" w:evenVBand="0" w:oddHBand="0" w:evenHBand="0" w:firstRowFirstColumn="0" w:firstRowLastColumn="0" w:lastRowFirstColumn="0" w:lastRowLastColumn="0"/>
            </w:pPr>
            <w:r>
              <w:t>557</w:t>
            </w:r>
          </w:p>
        </w:tc>
        <w:tc>
          <w:tcPr>
            <w:tcW w:w="907" w:type="dxa"/>
          </w:tcPr>
          <w:p w14:paraId="4D3CDE94" w14:textId="77777777" w:rsidR="004D42F9" w:rsidRDefault="004D42F9">
            <w:pPr>
              <w:cnfStyle w:val="000000000000" w:firstRow="0" w:lastRow="0" w:firstColumn="0" w:lastColumn="0" w:oddVBand="0" w:evenVBand="0" w:oddHBand="0" w:evenHBand="0" w:firstRowFirstColumn="0" w:firstRowLastColumn="0" w:lastRowFirstColumn="0" w:lastRowLastColumn="0"/>
            </w:pPr>
            <w:r>
              <w:t>177 503</w:t>
            </w:r>
          </w:p>
        </w:tc>
      </w:tr>
      <w:tr w:rsidR="004D42F9" w14:paraId="547E8EE2" w14:textId="77777777">
        <w:tc>
          <w:tcPr>
            <w:cnfStyle w:val="001000000000" w:firstRow="0" w:lastRow="0" w:firstColumn="1" w:lastColumn="0" w:oddVBand="0" w:evenVBand="0" w:oddHBand="0" w:evenHBand="0" w:firstRowFirstColumn="0" w:firstRowLastColumn="0" w:lastRowFirstColumn="0" w:lastRowLastColumn="0"/>
            <w:tcW w:w="3402" w:type="dxa"/>
          </w:tcPr>
          <w:p w14:paraId="5E6FFDCF" w14:textId="77777777" w:rsidR="004D42F9" w:rsidRDefault="004D42F9">
            <w:r>
              <w:t>Lease liabilities</w:t>
            </w:r>
          </w:p>
        </w:tc>
        <w:tc>
          <w:tcPr>
            <w:tcW w:w="993" w:type="dxa"/>
          </w:tcPr>
          <w:p w14:paraId="0968DF92" w14:textId="77777777" w:rsidR="004D42F9" w:rsidRDefault="004D42F9">
            <w:pPr>
              <w:cnfStyle w:val="000000000000" w:firstRow="0" w:lastRow="0" w:firstColumn="0" w:lastColumn="0" w:oddVBand="0" w:evenVBand="0" w:oddHBand="0" w:evenHBand="0" w:firstRowFirstColumn="0" w:firstRowLastColumn="0" w:lastRowFirstColumn="0" w:lastRowLastColumn="0"/>
            </w:pPr>
            <w:r>
              <w:t>8 515</w:t>
            </w:r>
          </w:p>
        </w:tc>
        <w:tc>
          <w:tcPr>
            <w:tcW w:w="992" w:type="dxa"/>
          </w:tcPr>
          <w:p w14:paraId="175590B3" w14:textId="77777777" w:rsidR="004D42F9" w:rsidRDefault="004D42F9">
            <w:pPr>
              <w:cnfStyle w:val="000000000000" w:firstRow="0" w:lastRow="0" w:firstColumn="0" w:lastColumn="0" w:oddVBand="0" w:evenVBand="0" w:oddHBand="0" w:evenHBand="0" w:firstRowFirstColumn="0" w:firstRowLastColumn="0" w:lastRowFirstColumn="0" w:lastRowLastColumn="0"/>
            </w:pPr>
            <w:r>
              <w:t>(719)</w:t>
            </w:r>
          </w:p>
        </w:tc>
        <w:tc>
          <w:tcPr>
            <w:tcW w:w="2268" w:type="dxa"/>
          </w:tcPr>
          <w:p w14:paraId="489CE065" w14:textId="77777777" w:rsidR="004D42F9" w:rsidRDefault="004D42F9">
            <w:pPr>
              <w:cnfStyle w:val="000000000000" w:firstRow="0" w:lastRow="0" w:firstColumn="0" w:lastColumn="0" w:oddVBand="0" w:evenVBand="0" w:oddHBand="0" w:evenHBand="0" w:firstRowFirstColumn="0" w:firstRowLastColumn="0" w:lastRowFirstColumn="0" w:lastRowLastColumn="0"/>
            </w:pPr>
            <w:r>
              <w:t>832</w:t>
            </w:r>
          </w:p>
        </w:tc>
        <w:tc>
          <w:tcPr>
            <w:tcW w:w="1076" w:type="dxa"/>
          </w:tcPr>
          <w:p w14:paraId="4559537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E3CEBB" w14:textId="77777777" w:rsidR="004D42F9" w:rsidRDefault="004D42F9">
            <w:pPr>
              <w:cnfStyle w:val="000000000000" w:firstRow="0" w:lastRow="0" w:firstColumn="0" w:lastColumn="0" w:oddVBand="0" w:evenVBand="0" w:oddHBand="0" w:evenHBand="0" w:firstRowFirstColumn="0" w:firstRowLastColumn="0" w:lastRowFirstColumn="0" w:lastRowLastColumn="0"/>
            </w:pPr>
            <w:r>
              <w:t>8 628</w:t>
            </w:r>
          </w:p>
        </w:tc>
      </w:tr>
      <w:tr w:rsidR="004D42F9" w14:paraId="4EA59D8F" w14:textId="77777777">
        <w:tc>
          <w:tcPr>
            <w:cnfStyle w:val="001000000000" w:firstRow="0" w:lastRow="0" w:firstColumn="1" w:lastColumn="0" w:oddVBand="0" w:evenVBand="0" w:oddHBand="0" w:evenHBand="0" w:firstRowFirstColumn="0" w:firstRowLastColumn="0" w:lastRowFirstColumn="0" w:lastRowLastColumn="0"/>
            <w:tcW w:w="3402" w:type="dxa"/>
          </w:tcPr>
          <w:p w14:paraId="163C61B9" w14:textId="77777777" w:rsidR="004D42F9" w:rsidRDefault="004D42F9">
            <w:r>
              <w:t>Service concession arrangements liabilities</w:t>
            </w:r>
          </w:p>
        </w:tc>
        <w:tc>
          <w:tcPr>
            <w:tcW w:w="993" w:type="dxa"/>
          </w:tcPr>
          <w:p w14:paraId="257DC615" w14:textId="77777777" w:rsidR="004D42F9" w:rsidRDefault="004D42F9">
            <w:pPr>
              <w:cnfStyle w:val="000000000000" w:firstRow="0" w:lastRow="0" w:firstColumn="0" w:lastColumn="0" w:oddVBand="0" w:evenVBand="0" w:oddHBand="0" w:evenHBand="0" w:firstRowFirstColumn="0" w:firstRowLastColumn="0" w:lastRowFirstColumn="0" w:lastRowLastColumn="0"/>
            </w:pPr>
            <w:r>
              <w:t>8 222</w:t>
            </w:r>
          </w:p>
        </w:tc>
        <w:tc>
          <w:tcPr>
            <w:tcW w:w="992" w:type="dxa"/>
          </w:tcPr>
          <w:p w14:paraId="6524DF3B" w14:textId="77777777" w:rsidR="004D42F9" w:rsidRDefault="004D42F9">
            <w:pPr>
              <w:cnfStyle w:val="000000000000" w:firstRow="0" w:lastRow="0" w:firstColumn="0" w:lastColumn="0" w:oddVBand="0" w:evenVBand="0" w:oddHBand="0" w:evenHBand="0" w:firstRowFirstColumn="0" w:firstRowLastColumn="0" w:lastRowFirstColumn="0" w:lastRowLastColumn="0"/>
            </w:pPr>
            <w:r>
              <w:t>(2 227)</w:t>
            </w:r>
          </w:p>
        </w:tc>
        <w:tc>
          <w:tcPr>
            <w:tcW w:w="2268" w:type="dxa"/>
          </w:tcPr>
          <w:p w14:paraId="5294BED6" w14:textId="77777777" w:rsidR="004D42F9" w:rsidRDefault="004D42F9">
            <w:pPr>
              <w:cnfStyle w:val="000000000000" w:firstRow="0" w:lastRow="0" w:firstColumn="0" w:lastColumn="0" w:oddVBand="0" w:evenVBand="0" w:oddHBand="0" w:evenHBand="0" w:firstRowFirstColumn="0" w:firstRowLastColumn="0" w:lastRowFirstColumn="0" w:lastRowLastColumn="0"/>
            </w:pPr>
            <w:r>
              <w:t>1 481</w:t>
            </w:r>
          </w:p>
        </w:tc>
        <w:tc>
          <w:tcPr>
            <w:tcW w:w="1076" w:type="dxa"/>
          </w:tcPr>
          <w:p w14:paraId="2F6A00D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B0186C" w14:textId="77777777" w:rsidR="004D42F9" w:rsidRDefault="004D42F9">
            <w:pPr>
              <w:cnfStyle w:val="000000000000" w:firstRow="0" w:lastRow="0" w:firstColumn="0" w:lastColumn="0" w:oddVBand="0" w:evenVBand="0" w:oddHBand="0" w:evenHBand="0" w:firstRowFirstColumn="0" w:firstRowLastColumn="0" w:lastRowFirstColumn="0" w:lastRowLastColumn="0"/>
            </w:pPr>
            <w:r>
              <w:t>7 476</w:t>
            </w:r>
          </w:p>
        </w:tc>
      </w:tr>
      <w:tr w:rsidR="004D42F9" w14:paraId="0D97B36B"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429A44E0" w14:textId="77777777" w:rsidR="004D42F9" w:rsidRDefault="004D42F9">
            <w:r>
              <w:t>Advances and deposits received</w:t>
            </w:r>
          </w:p>
        </w:tc>
        <w:tc>
          <w:tcPr>
            <w:tcW w:w="993" w:type="dxa"/>
            <w:tcBorders>
              <w:bottom w:val="single" w:sz="12" w:space="0" w:color="auto"/>
            </w:tcBorders>
          </w:tcPr>
          <w:p w14:paraId="33511B9E" w14:textId="77777777" w:rsidR="004D42F9" w:rsidRDefault="004D42F9">
            <w:pPr>
              <w:cnfStyle w:val="000000000000" w:firstRow="0" w:lastRow="0" w:firstColumn="0" w:lastColumn="0" w:oddVBand="0" w:evenVBand="0" w:oddHBand="0" w:evenHBand="0" w:firstRowFirstColumn="0" w:firstRowLastColumn="0" w:lastRowFirstColumn="0" w:lastRowLastColumn="0"/>
            </w:pPr>
            <w:r>
              <w:t>1 777</w:t>
            </w:r>
          </w:p>
        </w:tc>
        <w:tc>
          <w:tcPr>
            <w:tcW w:w="992" w:type="dxa"/>
            <w:tcBorders>
              <w:bottom w:val="single" w:sz="12" w:space="0" w:color="auto"/>
            </w:tcBorders>
          </w:tcPr>
          <w:p w14:paraId="499D58DC" w14:textId="77777777" w:rsidR="004D42F9" w:rsidRDefault="004D42F9">
            <w:pPr>
              <w:cnfStyle w:val="000000000000" w:firstRow="0" w:lastRow="0" w:firstColumn="0" w:lastColumn="0" w:oddVBand="0" w:evenVBand="0" w:oddHBand="0" w:evenHBand="0" w:firstRowFirstColumn="0" w:firstRowLastColumn="0" w:lastRowFirstColumn="0" w:lastRowLastColumn="0"/>
            </w:pPr>
            <w:r>
              <w:t>161</w:t>
            </w:r>
          </w:p>
        </w:tc>
        <w:tc>
          <w:tcPr>
            <w:tcW w:w="2268" w:type="dxa"/>
            <w:tcBorders>
              <w:bottom w:val="single" w:sz="12" w:space="0" w:color="auto"/>
            </w:tcBorders>
          </w:tcPr>
          <w:p w14:paraId="3466CF4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672BC5F1"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55589E4" w14:textId="77777777" w:rsidR="004D42F9" w:rsidRDefault="004D42F9">
            <w:pPr>
              <w:cnfStyle w:val="000000000000" w:firstRow="0" w:lastRow="0" w:firstColumn="0" w:lastColumn="0" w:oddVBand="0" w:evenVBand="0" w:oddHBand="0" w:evenHBand="0" w:firstRowFirstColumn="0" w:firstRowLastColumn="0" w:lastRowFirstColumn="0" w:lastRowLastColumn="0"/>
            </w:pPr>
            <w:r>
              <w:t>1 938</w:t>
            </w:r>
          </w:p>
        </w:tc>
      </w:tr>
    </w:tbl>
    <w:p w14:paraId="0FCABD35" w14:textId="77777777" w:rsidR="004D42F9" w:rsidRDefault="004D42F9" w:rsidP="004D42F9"/>
    <w:p w14:paraId="1B68F59D" w14:textId="77777777" w:rsidR="00A30637" w:rsidRDefault="00A30637"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Reconciliation of Liabilities arising from Financing Activities/Link_AFR_Reco_Liab_from_FIN_Activities.xlsx|Table:Changes_in_liabilities_FinAct_GG_CY"/>
      </w:tblPr>
      <w:tblGrid>
        <w:gridCol w:w="3402"/>
        <w:gridCol w:w="993"/>
        <w:gridCol w:w="992"/>
        <w:gridCol w:w="2268"/>
        <w:gridCol w:w="1076"/>
        <w:gridCol w:w="907"/>
      </w:tblGrid>
      <w:tr w:rsidR="00991200" w14:paraId="20F61E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FC9499B" w14:textId="77777777" w:rsidR="004D42F9" w:rsidRDefault="004D42F9">
            <w:pPr>
              <w:keepNext/>
              <w:spacing w:after="60"/>
            </w:pPr>
            <w:r>
              <w:t>General government sector</w:t>
            </w:r>
          </w:p>
        </w:tc>
        <w:tc>
          <w:tcPr>
            <w:tcW w:w="993" w:type="dxa"/>
          </w:tcPr>
          <w:p w14:paraId="1819B7B9"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992" w:type="dxa"/>
          </w:tcPr>
          <w:p w14:paraId="2DA9E3CA"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2268" w:type="dxa"/>
          </w:tcPr>
          <w:p w14:paraId="69947CF8"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Non</w:t>
            </w:r>
            <w:r>
              <w:noBreakHyphen/>
              <w:t>cash changes</w:t>
            </w:r>
          </w:p>
        </w:tc>
        <w:tc>
          <w:tcPr>
            <w:tcW w:w="1076" w:type="dxa"/>
          </w:tcPr>
          <w:p w14:paraId="008B25F7"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c>
          <w:tcPr>
            <w:tcW w:w="907" w:type="dxa"/>
          </w:tcPr>
          <w:p w14:paraId="753C2F79"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p>
        </w:tc>
      </w:tr>
      <w:tr w:rsidR="00991200" w14:paraId="6758E33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CF86A7F" w14:textId="77777777" w:rsidR="004D42F9" w:rsidRDefault="004D42F9">
            <w:pPr>
              <w:keepNext/>
              <w:spacing w:after="60"/>
            </w:pPr>
            <w:r>
              <w:t>2025</w:t>
            </w:r>
          </w:p>
        </w:tc>
        <w:tc>
          <w:tcPr>
            <w:tcW w:w="993" w:type="dxa"/>
          </w:tcPr>
          <w:p w14:paraId="011A5C43"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Opening balance</w:t>
            </w:r>
          </w:p>
        </w:tc>
        <w:tc>
          <w:tcPr>
            <w:tcW w:w="992" w:type="dxa"/>
          </w:tcPr>
          <w:p w14:paraId="6B522CCF"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Cash flows</w:t>
            </w:r>
          </w:p>
        </w:tc>
        <w:tc>
          <w:tcPr>
            <w:tcW w:w="2268" w:type="dxa"/>
          </w:tcPr>
          <w:p w14:paraId="4A8E036D"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Liabilities resulting from the acquisition of new assets</w:t>
            </w:r>
            <w:r>
              <w:rPr>
                <w:vertAlign w:val="superscript"/>
              </w:rPr>
              <w:t xml:space="preserve"> (a)</w:t>
            </w:r>
          </w:p>
        </w:tc>
        <w:tc>
          <w:tcPr>
            <w:tcW w:w="1076" w:type="dxa"/>
          </w:tcPr>
          <w:p w14:paraId="45264623"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Fair value changes</w:t>
            </w:r>
          </w:p>
        </w:tc>
        <w:tc>
          <w:tcPr>
            <w:tcW w:w="907" w:type="dxa"/>
          </w:tcPr>
          <w:p w14:paraId="685D88E0" w14:textId="77777777" w:rsidR="004D42F9" w:rsidRDefault="004D42F9">
            <w:pPr>
              <w:keepNext/>
              <w:spacing w:after="60"/>
              <w:cnfStyle w:val="100000000000" w:firstRow="1" w:lastRow="0" w:firstColumn="0" w:lastColumn="0" w:oddVBand="0" w:evenVBand="0" w:oddHBand="0" w:evenHBand="0" w:firstRowFirstColumn="0" w:firstRowLastColumn="0" w:lastRowFirstColumn="0" w:lastRowLastColumn="0"/>
            </w:pPr>
            <w:r>
              <w:t>Closing balance</w:t>
            </w:r>
          </w:p>
        </w:tc>
      </w:tr>
      <w:tr w:rsidR="004D42F9" w14:paraId="67020776" w14:textId="77777777">
        <w:tc>
          <w:tcPr>
            <w:cnfStyle w:val="001000000000" w:firstRow="0" w:lastRow="0" w:firstColumn="1" w:lastColumn="0" w:oddVBand="0" w:evenVBand="0" w:oddHBand="0" w:evenHBand="0" w:firstRowFirstColumn="0" w:firstRowLastColumn="0" w:lastRowFirstColumn="0" w:lastRowLastColumn="0"/>
            <w:tcW w:w="3402" w:type="dxa"/>
          </w:tcPr>
          <w:p w14:paraId="5812DAFA" w14:textId="77777777" w:rsidR="004D42F9" w:rsidRDefault="004D42F9">
            <w:pPr>
              <w:spacing w:after="60"/>
            </w:pPr>
            <w:r>
              <w:t>Borrowings and derivative instruments</w:t>
            </w:r>
          </w:p>
        </w:tc>
        <w:tc>
          <w:tcPr>
            <w:tcW w:w="993" w:type="dxa"/>
          </w:tcPr>
          <w:p w14:paraId="666782A8"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153 763</w:t>
            </w:r>
          </w:p>
        </w:tc>
        <w:tc>
          <w:tcPr>
            <w:tcW w:w="992" w:type="dxa"/>
          </w:tcPr>
          <w:p w14:paraId="2C0C5F11"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18 003</w:t>
            </w:r>
          </w:p>
        </w:tc>
        <w:tc>
          <w:tcPr>
            <w:tcW w:w="2268" w:type="dxa"/>
          </w:tcPr>
          <w:p w14:paraId="71A7E890"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1 169</w:t>
            </w:r>
          </w:p>
        </w:tc>
        <w:tc>
          <w:tcPr>
            <w:tcW w:w="1076" w:type="dxa"/>
          </w:tcPr>
          <w:p w14:paraId="5191D0E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14</w:t>
            </w:r>
          </w:p>
        </w:tc>
        <w:tc>
          <w:tcPr>
            <w:tcW w:w="907" w:type="dxa"/>
          </w:tcPr>
          <w:p w14:paraId="6207F9AB"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172 949</w:t>
            </w:r>
          </w:p>
        </w:tc>
      </w:tr>
      <w:tr w:rsidR="004D42F9" w14:paraId="27DC9371" w14:textId="77777777">
        <w:tc>
          <w:tcPr>
            <w:cnfStyle w:val="001000000000" w:firstRow="0" w:lastRow="0" w:firstColumn="1" w:lastColumn="0" w:oddVBand="0" w:evenVBand="0" w:oddHBand="0" w:evenHBand="0" w:firstRowFirstColumn="0" w:firstRowLastColumn="0" w:lastRowFirstColumn="0" w:lastRowLastColumn="0"/>
            <w:tcW w:w="3402" w:type="dxa"/>
          </w:tcPr>
          <w:p w14:paraId="53E51AC0" w14:textId="77777777" w:rsidR="004D42F9" w:rsidRDefault="004D42F9">
            <w:pPr>
              <w:spacing w:after="60"/>
            </w:pPr>
            <w:r>
              <w:t>Lease liabilities</w:t>
            </w:r>
          </w:p>
        </w:tc>
        <w:tc>
          <w:tcPr>
            <w:tcW w:w="993" w:type="dxa"/>
          </w:tcPr>
          <w:p w14:paraId="17400C4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8 040</w:t>
            </w:r>
          </w:p>
        </w:tc>
        <w:tc>
          <w:tcPr>
            <w:tcW w:w="992" w:type="dxa"/>
          </w:tcPr>
          <w:p w14:paraId="0F2388B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(730)</w:t>
            </w:r>
          </w:p>
        </w:tc>
        <w:tc>
          <w:tcPr>
            <w:tcW w:w="2268" w:type="dxa"/>
          </w:tcPr>
          <w:p w14:paraId="61407932"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224</w:t>
            </w:r>
          </w:p>
        </w:tc>
        <w:tc>
          <w:tcPr>
            <w:tcW w:w="1076" w:type="dxa"/>
          </w:tcPr>
          <w:p w14:paraId="01764D28"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327AB0C7"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7 534</w:t>
            </w:r>
          </w:p>
        </w:tc>
      </w:tr>
      <w:tr w:rsidR="004D42F9" w14:paraId="035EC283" w14:textId="77777777">
        <w:tc>
          <w:tcPr>
            <w:cnfStyle w:val="001000000000" w:firstRow="0" w:lastRow="0" w:firstColumn="1" w:lastColumn="0" w:oddVBand="0" w:evenVBand="0" w:oddHBand="0" w:evenHBand="0" w:firstRowFirstColumn="0" w:firstRowLastColumn="0" w:lastRowFirstColumn="0" w:lastRowLastColumn="0"/>
            <w:tcW w:w="3402" w:type="dxa"/>
          </w:tcPr>
          <w:p w14:paraId="54113087" w14:textId="77777777" w:rsidR="004D42F9" w:rsidRDefault="004D42F9">
            <w:pPr>
              <w:spacing w:after="60"/>
            </w:pPr>
            <w:r>
              <w:t>Service concession arrangements liabilities</w:t>
            </w:r>
          </w:p>
        </w:tc>
        <w:tc>
          <w:tcPr>
            <w:tcW w:w="993" w:type="dxa"/>
          </w:tcPr>
          <w:p w14:paraId="327F7E67"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5 506</w:t>
            </w:r>
          </w:p>
        </w:tc>
        <w:tc>
          <w:tcPr>
            <w:tcW w:w="992" w:type="dxa"/>
          </w:tcPr>
          <w:p w14:paraId="6020FEFF"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(750)</w:t>
            </w:r>
          </w:p>
        </w:tc>
        <w:tc>
          <w:tcPr>
            <w:tcW w:w="2268" w:type="dxa"/>
          </w:tcPr>
          <w:p w14:paraId="6CE364B6"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1 020</w:t>
            </w:r>
          </w:p>
        </w:tc>
        <w:tc>
          <w:tcPr>
            <w:tcW w:w="1076" w:type="dxa"/>
          </w:tcPr>
          <w:p w14:paraId="6A9B7F6B"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6A741BE3"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5 776</w:t>
            </w:r>
          </w:p>
        </w:tc>
      </w:tr>
      <w:tr w:rsidR="004D42F9" w14:paraId="7AF61856"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6558D668" w14:textId="77777777" w:rsidR="004D42F9" w:rsidRDefault="004D42F9">
            <w:pPr>
              <w:spacing w:after="60"/>
            </w:pPr>
            <w:r>
              <w:t>Advances and deposits received</w:t>
            </w:r>
          </w:p>
        </w:tc>
        <w:tc>
          <w:tcPr>
            <w:tcW w:w="993" w:type="dxa"/>
            <w:tcBorders>
              <w:bottom w:val="single" w:sz="12" w:space="0" w:color="auto"/>
            </w:tcBorders>
          </w:tcPr>
          <w:p w14:paraId="1C26442D"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1 525</w:t>
            </w:r>
          </w:p>
        </w:tc>
        <w:tc>
          <w:tcPr>
            <w:tcW w:w="992" w:type="dxa"/>
            <w:tcBorders>
              <w:bottom w:val="single" w:sz="12" w:space="0" w:color="auto"/>
            </w:tcBorders>
          </w:tcPr>
          <w:p w14:paraId="03123783"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70</w:t>
            </w:r>
          </w:p>
        </w:tc>
        <w:tc>
          <w:tcPr>
            <w:tcW w:w="2268" w:type="dxa"/>
            <w:tcBorders>
              <w:bottom w:val="single" w:sz="12" w:space="0" w:color="auto"/>
            </w:tcBorders>
          </w:tcPr>
          <w:p w14:paraId="6CE842CD"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2557A4BE"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57D794" w14:textId="77777777" w:rsidR="004D42F9" w:rsidRDefault="004D42F9">
            <w:pPr>
              <w:spacing w:after="60"/>
              <w:cnfStyle w:val="000000000000" w:firstRow="0" w:lastRow="0" w:firstColumn="0" w:lastColumn="0" w:oddVBand="0" w:evenVBand="0" w:oddHBand="0" w:evenHBand="0" w:firstRowFirstColumn="0" w:firstRowLastColumn="0" w:lastRowFirstColumn="0" w:lastRowLastColumn="0"/>
            </w:pPr>
            <w:r>
              <w:t>1 595</w:t>
            </w:r>
          </w:p>
        </w:tc>
      </w:tr>
    </w:tbl>
    <w:p w14:paraId="4E1097B3" w14:textId="77777777" w:rsidR="004D42F9" w:rsidRDefault="004D42F9" w:rsidP="004D42F9"/>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Reconciliation of Liabilities arising from Financing Activities/Link_AFR_Reco_Liab_from_FIN_Activities.xlsx|Table:Changes_in_liabilities_FinAct_GG_PY"/>
      </w:tblPr>
      <w:tblGrid>
        <w:gridCol w:w="3402"/>
        <w:gridCol w:w="993"/>
        <w:gridCol w:w="992"/>
        <w:gridCol w:w="2268"/>
        <w:gridCol w:w="1076"/>
        <w:gridCol w:w="907"/>
      </w:tblGrid>
      <w:tr w:rsidR="00991200" w14:paraId="2E4A15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D987CA0" w14:textId="77777777" w:rsidR="004D42F9" w:rsidRDefault="004D42F9">
            <w:pPr>
              <w:keepNext/>
            </w:pPr>
            <w:r>
              <w:t>2024</w:t>
            </w:r>
          </w:p>
        </w:tc>
        <w:tc>
          <w:tcPr>
            <w:tcW w:w="993" w:type="dxa"/>
          </w:tcPr>
          <w:p w14:paraId="0DF1F4B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1646149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2268" w:type="dxa"/>
          </w:tcPr>
          <w:p w14:paraId="1990548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1076" w:type="dxa"/>
          </w:tcPr>
          <w:p w14:paraId="51075B9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251919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41208562" w14:textId="77777777">
        <w:tc>
          <w:tcPr>
            <w:cnfStyle w:val="001000000000" w:firstRow="0" w:lastRow="0" w:firstColumn="1" w:lastColumn="0" w:oddVBand="0" w:evenVBand="0" w:oddHBand="0" w:evenHBand="0" w:firstRowFirstColumn="0" w:firstRowLastColumn="0" w:lastRowFirstColumn="0" w:lastRowLastColumn="0"/>
            <w:tcW w:w="3402" w:type="dxa"/>
          </w:tcPr>
          <w:p w14:paraId="6B318226" w14:textId="77777777" w:rsidR="004D42F9" w:rsidRDefault="004D42F9">
            <w:r>
              <w:t>Borrowings and derivative instruments</w:t>
            </w:r>
          </w:p>
        </w:tc>
        <w:tc>
          <w:tcPr>
            <w:tcW w:w="993" w:type="dxa"/>
          </w:tcPr>
          <w:p w14:paraId="655AE15D" w14:textId="77777777" w:rsidR="004D42F9" w:rsidRDefault="004D42F9">
            <w:pPr>
              <w:cnfStyle w:val="000000000000" w:firstRow="0" w:lastRow="0" w:firstColumn="0" w:lastColumn="0" w:oddVBand="0" w:evenVBand="0" w:oddHBand="0" w:evenHBand="0" w:firstRowFirstColumn="0" w:firstRowLastColumn="0" w:lastRowFirstColumn="0" w:lastRowLastColumn="0"/>
            </w:pPr>
            <w:r>
              <w:t>127 804</w:t>
            </w:r>
          </w:p>
        </w:tc>
        <w:tc>
          <w:tcPr>
            <w:tcW w:w="992" w:type="dxa"/>
          </w:tcPr>
          <w:p w14:paraId="6A84ACD6" w14:textId="77777777" w:rsidR="004D42F9" w:rsidRDefault="004D42F9">
            <w:pPr>
              <w:cnfStyle w:val="000000000000" w:firstRow="0" w:lastRow="0" w:firstColumn="0" w:lastColumn="0" w:oddVBand="0" w:evenVBand="0" w:oddHBand="0" w:evenHBand="0" w:firstRowFirstColumn="0" w:firstRowLastColumn="0" w:lastRowFirstColumn="0" w:lastRowLastColumn="0"/>
            </w:pPr>
            <w:r>
              <w:t>24 792</w:t>
            </w:r>
          </w:p>
        </w:tc>
        <w:tc>
          <w:tcPr>
            <w:tcW w:w="2268" w:type="dxa"/>
          </w:tcPr>
          <w:p w14:paraId="7EE777D6" w14:textId="77777777" w:rsidR="004D42F9" w:rsidRDefault="004D42F9">
            <w:pPr>
              <w:cnfStyle w:val="000000000000" w:firstRow="0" w:lastRow="0" w:firstColumn="0" w:lastColumn="0" w:oddVBand="0" w:evenVBand="0" w:oddHBand="0" w:evenHBand="0" w:firstRowFirstColumn="0" w:firstRowLastColumn="0" w:lastRowFirstColumn="0" w:lastRowLastColumn="0"/>
            </w:pPr>
            <w:r>
              <w:t>1 045</w:t>
            </w:r>
          </w:p>
        </w:tc>
        <w:tc>
          <w:tcPr>
            <w:tcW w:w="1076" w:type="dxa"/>
          </w:tcPr>
          <w:p w14:paraId="10ED54BE" w14:textId="77777777" w:rsidR="004D42F9" w:rsidRDefault="004D42F9">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7BD8A435" w14:textId="77777777" w:rsidR="004D42F9" w:rsidRDefault="004D42F9">
            <w:pPr>
              <w:cnfStyle w:val="000000000000" w:firstRow="0" w:lastRow="0" w:firstColumn="0" w:lastColumn="0" w:oddVBand="0" w:evenVBand="0" w:oddHBand="0" w:evenHBand="0" w:firstRowFirstColumn="0" w:firstRowLastColumn="0" w:lastRowFirstColumn="0" w:lastRowLastColumn="0"/>
            </w:pPr>
            <w:r>
              <w:t>153 763</w:t>
            </w:r>
          </w:p>
        </w:tc>
      </w:tr>
      <w:tr w:rsidR="004D42F9" w14:paraId="5D640E63" w14:textId="77777777">
        <w:tc>
          <w:tcPr>
            <w:cnfStyle w:val="001000000000" w:firstRow="0" w:lastRow="0" w:firstColumn="1" w:lastColumn="0" w:oddVBand="0" w:evenVBand="0" w:oddHBand="0" w:evenHBand="0" w:firstRowFirstColumn="0" w:firstRowLastColumn="0" w:lastRowFirstColumn="0" w:lastRowLastColumn="0"/>
            <w:tcW w:w="3402" w:type="dxa"/>
          </w:tcPr>
          <w:p w14:paraId="17A9CB75" w14:textId="77777777" w:rsidR="004D42F9" w:rsidRDefault="004D42F9">
            <w:r>
              <w:t>Lease liabilities</w:t>
            </w:r>
          </w:p>
        </w:tc>
        <w:tc>
          <w:tcPr>
            <w:tcW w:w="993" w:type="dxa"/>
          </w:tcPr>
          <w:p w14:paraId="67EF0C96" w14:textId="77777777" w:rsidR="004D42F9" w:rsidRDefault="004D42F9">
            <w:pPr>
              <w:cnfStyle w:val="000000000000" w:firstRow="0" w:lastRow="0" w:firstColumn="0" w:lastColumn="0" w:oddVBand="0" w:evenVBand="0" w:oddHBand="0" w:evenHBand="0" w:firstRowFirstColumn="0" w:firstRowLastColumn="0" w:lastRowFirstColumn="0" w:lastRowLastColumn="0"/>
            </w:pPr>
            <w:r>
              <w:t>7 927</w:t>
            </w:r>
          </w:p>
        </w:tc>
        <w:tc>
          <w:tcPr>
            <w:tcW w:w="992" w:type="dxa"/>
          </w:tcPr>
          <w:p w14:paraId="58C2C276" w14:textId="77777777" w:rsidR="004D42F9" w:rsidRDefault="004D42F9">
            <w:pPr>
              <w:cnfStyle w:val="000000000000" w:firstRow="0" w:lastRow="0" w:firstColumn="0" w:lastColumn="0" w:oddVBand="0" w:evenVBand="0" w:oddHBand="0" w:evenHBand="0" w:firstRowFirstColumn="0" w:firstRowLastColumn="0" w:lastRowFirstColumn="0" w:lastRowLastColumn="0"/>
            </w:pPr>
            <w:r>
              <w:t>(702)</w:t>
            </w:r>
          </w:p>
        </w:tc>
        <w:tc>
          <w:tcPr>
            <w:tcW w:w="2268" w:type="dxa"/>
          </w:tcPr>
          <w:p w14:paraId="42AB1F41" w14:textId="77777777" w:rsidR="004D42F9" w:rsidRDefault="004D42F9">
            <w:pPr>
              <w:cnfStyle w:val="000000000000" w:firstRow="0" w:lastRow="0" w:firstColumn="0" w:lastColumn="0" w:oddVBand="0" w:evenVBand="0" w:oddHBand="0" w:evenHBand="0" w:firstRowFirstColumn="0" w:firstRowLastColumn="0" w:lastRowFirstColumn="0" w:lastRowLastColumn="0"/>
            </w:pPr>
            <w:r>
              <w:t>815</w:t>
            </w:r>
          </w:p>
        </w:tc>
        <w:tc>
          <w:tcPr>
            <w:tcW w:w="1076" w:type="dxa"/>
          </w:tcPr>
          <w:p w14:paraId="39DADA2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BEFE655" w14:textId="77777777" w:rsidR="004D42F9" w:rsidRDefault="004D42F9">
            <w:pPr>
              <w:cnfStyle w:val="000000000000" w:firstRow="0" w:lastRow="0" w:firstColumn="0" w:lastColumn="0" w:oddVBand="0" w:evenVBand="0" w:oddHBand="0" w:evenHBand="0" w:firstRowFirstColumn="0" w:firstRowLastColumn="0" w:lastRowFirstColumn="0" w:lastRowLastColumn="0"/>
            </w:pPr>
            <w:r>
              <w:t>8 040</w:t>
            </w:r>
          </w:p>
        </w:tc>
      </w:tr>
      <w:tr w:rsidR="004D42F9" w14:paraId="4C83174E" w14:textId="77777777">
        <w:tc>
          <w:tcPr>
            <w:cnfStyle w:val="001000000000" w:firstRow="0" w:lastRow="0" w:firstColumn="1" w:lastColumn="0" w:oddVBand="0" w:evenVBand="0" w:oddHBand="0" w:evenHBand="0" w:firstRowFirstColumn="0" w:firstRowLastColumn="0" w:lastRowFirstColumn="0" w:lastRowLastColumn="0"/>
            <w:tcW w:w="3402" w:type="dxa"/>
          </w:tcPr>
          <w:p w14:paraId="6288DF0E" w14:textId="77777777" w:rsidR="004D42F9" w:rsidRDefault="004D42F9">
            <w:r>
              <w:t>Service concession arrangements liabilities</w:t>
            </w:r>
          </w:p>
        </w:tc>
        <w:tc>
          <w:tcPr>
            <w:tcW w:w="993" w:type="dxa"/>
          </w:tcPr>
          <w:p w14:paraId="37E1F5ED" w14:textId="77777777" w:rsidR="004D42F9" w:rsidRDefault="004D42F9">
            <w:pPr>
              <w:cnfStyle w:val="000000000000" w:firstRow="0" w:lastRow="0" w:firstColumn="0" w:lastColumn="0" w:oddVBand="0" w:evenVBand="0" w:oddHBand="0" w:evenHBand="0" w:firstRowFirstColumn="0" w:firstRowLastColumn="0" w:lastRowFirstColumn="0" w:lastRowLastColumn="0"/>
            </w:pPr>
            <w:r>
              <w:t>6 557</w:t>
            </w:r>
          </w:p>
        </w:tc>
        <w:tc>
          <w:tcPr>
            <w:tcW w:w="992" w:type="dxa"/>
          </w:tcPr>
          <w:p w14:paraId="72A456C4" w14:textId="77777777" w:rsidR="004D42F9" w:rsidRDefault="004D42F9">
            <w:pPr>
              <w:cnfStyle w:val="000000000000" w:firstRow="0" w:lastRow="0" w:firstColumn="0" w:lastColumn="0" w:oddVBand="0" w:evenVBand="0" w:oddHBand="0" w:evenHBand="0" w:firstRowFirstColumn="0" w:firstRowLastColumn="0" w:lastRowFirstColumn="0" w:lastRowLastColumn="0"/>
            </w:pPr>
            <w:r>
              <w:t>(2 079)</w:t>
            </w:r>
          </w:p>
        </w:tc>
        <w:tc>
          <w:tcPr>
            <w:tcW w:w="2268" w:type="dxa"/>
          </w:tcPr>
          <w:p w14:paraId="25A19CF5" w14:textId="77777777" w:rsidR="004D42F9" w:rsidRDefault="004D42F9">
            <w:pPr>
              <w:cnfStyle w:val="000000000000" w:firstRow="0" w:lastRow="0" w:firstColumn="0" w:lastColumn="0" w:oddVBand="0" w:evenVBand="0" w:oddHBand="0" w:evenHBand="0" w:firstRowFirstColumn="0" w:firstRowLastColumn="0" w:lastRowFirstColumn="0" w:lastRowLastColumn="0"/>
            </w:pPr>
            <w:r>
              <w:t>1 028</w:t>
            </w:r>
          </w:p>
        </w:tc>
        <w:tc>
          <w:tcPr>
            <w:tcW w:w="1076" w:type="dxa"/>
          </w:tcPr>
          <w:p w14:paraId="440F314E"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E3500F" w14:textId="77777777" w:rsidR="004D42F9" w:rsidRDefault="004D42F9">
            <w:pPr>
              <w:cnfStyle w:val="000000000000" w:firstRow="0" w:lastRow="0" w:firstColumn="0" w:lastColumn="0" w:oddVBand="0" w:evenVBand="0" w:oddHBand="0" w:evenHBand="0" w:firstRowFirstColumn="0" w:firstRowLastColumn="0" w:lastRowFirstColumn="0" w:lastRowLastColumn="0"/>
            </w:pPr>
            <w:r>
              <w:t>5 506</w:t>
            </w:r>
          </w:p>
        </w:tc>
      </w:tr>
      <w:tr w:rsidR="004D42F9" w14:paraId="3ABE4902" w14:textId="77777777">
        <w:tc>
          <w:tcPr>
            <w:cnfStyle w:val="001000000000" w:firstRow="0" w:lastRow="0" w:firstColumn="1" w:lastColumn="0" w:oddVBand="0" w:evenVBand="0" w:oddHBand="0" w:evenHBand="0" w:firstRowFirstColumn="0" w:firstRowLastColumn="0" w:lastRowFirstColumn="0" w:lastRowLastColumn="0"/>
            <w:tcW w:w="3402" w:type="dxa"/>
            <w:tcBorders>
              <w:bottom w:val="single" w:sz="12" w:space="0" w:color="auto"/>
            </w:tcBorders>
          </w:tcPr>
          <w:p w14:paraId="5C21EC97" w14:textId="77777777" w:rsidR="004D42F9" w:rsidRDefault="004D42F9">
            <w:r>
              <w:t>Advances and deposits received</w:t>
            </w:r>
          </w:p>
        </w:tc>
        <w:tc>
          <w:tcPr>
            <w:tcW w:w="993" w:type="dxa"/>
            <w:tcBorders>
              <w:bottom w:val="single" w:sz="12" w:space="0" w:color="auto"/>
            </w:tcBorders>
          </w:tcPr>
          <w:p w14:paraId="1C7E5438" w14:textId="77777777" w:rsidR="004D42F9" w:rsidRDefault="004D42F9">
            <w:pPr>
              <w:cnfStyle w:val="000000000000" w:firstRow="0" w:lastRow="0" w:firstColumn="0" w:lastColumn="0" w:oddVBand="0" w:evenVBand="0" w:oddHBand="0" w:evenHBand="0" w:firstRowFirstColumn="0" w:firstRowLastColumn="0" w:lastRowFirstColumn="0" w:lastRowLastColumn="0"/>
            </w:pPr>
            <w:r>
              <w:t>1 615</w:t>
            </w:r>
          </w:p>
        </w:tc>
        <w:tc>
          <w:tcPr>
            <w:tcW w:w="992" w:type="dxa"/>
            <w:tcBorders>
              <w:bottom w:val="single" w:sz="12" w:space="0" w:color="auto"/>
            </w:tcBorders>
          </w:tcPr>
          <w:p w14:paraId="3571A962" w14:textId="77777777" w:rsidR="004D42F9" w:rsidRDefault="004D42F9">
            <w:pPr>
              <w:cnfStyle w:val="000000000000" w:firstRow="0" w:lastRow="0" w:firstColumn="0" w:lastColumn="0" w:oddVBand="0" w:evenVBand="0" w:oddHBand="0" w:evenHBand="0" w:firstRowFirstColumn="0" w:firstRowLastColumn="0" w:lastRowFirstColumn="0" w:lastRowLastColumn="0"/>
            </w:pPr>
            <w:r>
              <w:t>(90)</w:t>
            </w:r>
          </w:p>
        </w:tc>
        <w:tc>
          <w:tcPr>
            <w:tcW w:w="2268" w:type="dxa"/>
            <w:tcBorders>
              <w:bottom w:val="single" w:sz="12" w:space="0" w:color="auto"/>
            </w:tcBorders>
          </w:tcPr>
          <w:p w14:paraId="647BE18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1076" w:type="dxa"/>
            <w:tcBorders>
              <w:bottom w:val="single" w:sz="12" w:space="0" w:color="auto"/>
            </w:tcBorders>
          </w:tcPr>
          <w:p w14:paraId="7F88CCF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E2C0B67" w14:textId="77777777" w:rsidR="004D42F9" w:rsidRDefault="004D42F9">
            <w:pPr>
              <w:cnfStyle w:val="000000000000" w:firstRow="0" w:lastRow="0" w:firstColumn="0" w:lastColumn="0" w:oddVBand="0" w:evenVBand="0" w:oddHBand="0" w:evenHBand="0" w:firstRowFirstColumn="0" w:firstRowLastColumn="0" w:lastRowFirstColumn="0" w:lastRowLastColumn="0"/>
            </w:pPr>
            <w:r>
              <w:t>1 525</w:t>
            </w:r>
          </w:p>
        </w:tc>
      </w:tr>
    </w:tbl>
    <w:p w14:paraId="31039C5B" w14:textId="77777777" w:rsidR="004D42F9" w:rsidRDefault="004D42F9" w:rsidP="004D42F9">
      <w:pPr>
        <w:pStyle w:val="Note"/>
      </w:pPr>
      <w:r>
        <w:t>Notes:</w:t>
      </w:r>
    </w:p>
    <w:p w14:paraId="72922599" w14:textId="77777777" w:rsidR="004D42F9" w:rsidRPr="009636E5" w:rsidRDefault="004D42F9" w:rsidP="004D42F9">
      <w:pPr>
        <w:pStyle w:val="Note"/>
      </w:pPr>
      <w:r w:rsidRPr="009636E5">
        <w:t>(a)</w:t>
      </w:r>
      <w:r w:rsidRPr="009636E5">
        <w:tab/>
        <w:t>Mainly comprising liabilities resulting from the recognition of new right of use assets under lease arrangements, and service concession arrangements, including from public private partnerships.</w:t>
      </w:r>
    </w:p>
    <w:p w14:paraId="6BB956EA" w14:textId="2135AEA5" w:rsidR="004D42F9" w:rsidRPr="009636E5" w:rsidRDefault="004D42F9" w:rsidP="004D42F9">
      <w:pPr>
        <w:pStyle w:val="Note"/>
      </w:pPr>
      <w:r w:rsidRPr="009636E5">
        <w:t>(b)</w:t>
      </w:r>
      <w:r w:rsidRPr="009636E5">
        <w:tab/>
        <w:t>The borrowings and derivative instruments line item excludes derivative financial instruments related to the State</w:t>
      </w:r>
      <w:r w:rsidR="00845934">
        <w:t>’</w:t>
      </w:r>
      <w:r w:rsidRPr="009636E5">
        <w:t>s insurance agency</w:t>
      </w:r>
      <w:r w:rsidR="00845934">
        <w:t>’</w:t>
      </w:r>
      <w:r w:rsidRPr="009636E5">
        <w:t>s portfolio of managed investments, as these are classified as investing activities. Consequently, the opening and closing balances in this line do not reconcile with the balance sheet and associated notes.</w:t>
      </w:r>
    </w:p>
    <w:p w14:paraId="4048446C" w14:textId="77777777" w:rsidR="004D42F9" w:rsidRDefault="004D42F9" w:rsidP="004D42F9">
      <w:pPr>
        <w:pStyle w:val="Note"/>
      </w:pPr>
    </w:p>
    <w:p w14:paraId="2F75AEFD" w14:textId="77777777" w:rsidR="004D42F9" w:rsidRDefault="004D42F9" w:rsidP="004D42F9"/>
    <w:p w14:paraId="50C6EBE3" w14:textId="77777777" w:rsidR="004D42F9" w:rsidRDefault="004D42F9" w:rsidP="004D42F9">
      <w:pPr>
        <w:keepLines w:val="0"/>
        <w:rPr>
          <w:rFonts w:asciiTheme="majorHAnsi" w:eastAsiaTheme="majorEastAsia" w:hAnsiTheme="majorHAnsi" w:cstheme="majorBidi"/>
          <w:b/>
          <w:sz w:val="27"/>
          <w:szCs w:val="26"/>
        </w:rPr>
      </w:pPr>
      <w:bookmarkStart w:id="101" w:name="_Toc176184660"/>
      <w:r>
        <w:br w:type="page"/>
      </w:r>
    </w:p>
    <w:p w14:paraId="7A544458" w14:textId="77777777" w:rsidR="004D42F9" w:rsidRDefault="004D42F9" w:rsidP="004D42F9">
      <w:pPr>
        <w:pStyle w:val="Heading2"/>
        <w:spacing w:before="0"/>
      </w:pPr>
      <w:bookmarkStart w:id="102" w:name="_Toc209481762"/>
      <w:r>
        <w:lastRenderedPageBreak/>
        <w:t>5.5</w:t>
      </w:r>
      <w:r>
        <w:tab/>
        <w:t>Advances paid and investments, loans and placements</w:t>
      </w:r>
      <w:bookmarkEnd w:id="101"/>
      <w:bookmarkEnd w:id="102"/>
    </w:p>
    <w:p w14:paraId="0DCEDEDB" w14:textId="77777777" w:rsidR="004D42F9" w:rsidRDefault="004D42F9" w:rsidP="004D42F9">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Advances"/>
      </w:tblPr>
      <w:tblGrid>
        <w:gridCol w:w="6010"/>
        <w:gridCol w:w="907"/>
        <w:gridCol w:w="907"/>
        <w:gridCol w:w="907"/>
        <w:gridCol w:w="907"/>
      </w:tblGrid>
      <w:tr w:rsidR="004D42F9" w14:paraId="08EE8F8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44826D6" w14:textId="77777777" w:rsidR="004D42F9" w:rsidRDefault="004D42F9">
            <w:pPr>
              <w:keepNext/>
            </w:pPr>
          </w:p>
        </w:tc>
        <w:tc>
          <w:tcPr>
            <w:tcW w:w="1814" w:type="dxa"/>
            <w:gridSpan w:val="2"/>
          </w:tcPr>
          <w:p w14:paraId="6F06D12E"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393D20F"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3B71F88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303D354" w14:textId="77777777" w:rsidR="004D42F9" w:rsidRDefault="004D42F9">
            <w:pPr>
              <w:keepNext/>
            </w:pPr>
          </w:p>
        </w:tc>
        <w:tc>
          <w:tcPr>
            <w:tcW w:w="907" w:type="dxa"/>
          </w:tcPr>
          <w:p w14:paraId="04CF0F5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68C3D92"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D22D00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B9342A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71510C80" w14:textId="77777777">
        <w:tc>
          <w:tcPr>
            <w:cnfStyle w:val="001000000000" w:firstRow="0" w:lastRow="0" w:firstColumn="1" w:lastColumn="0" w:oddVBand="0" w:evenVBand="0" w:oddHBand="0" w:evenHBand="0" w:firstRowFirstColumn="0" w:firstRowLastColumn="0" w:lastRowFirstColumn="0" w:lastRowLastColumn="0"/>
            <w:tcW w:w="6010" w:type="dxa"/>
          </w:tcPr>
          <w:p w14:paraId="1E577144" w14:textId="77777777" w:rsidR="004D42F9" w:rsidRDefault="004D42F9">
            <w:r>
              <w:rPr>
                <w:b/>
              </w:rPr>
              <w:t>Current advances paid and investments, loans and placements</w:t>
            </w:r>
          </w:p>
        </w:tc>
        <w:tc>
          <w:tcPr>
            <w:tcW w:w="907" w:type="dxa"/>
          </w:tcPr>
          <w:p w14:paraId="1BA0EF9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814E61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24CC304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8654D3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B4F6B18" w14:textId="77777777">
        <w:tc>
          <w:tcPr>
            <w:cnfStyle w:val="001000000000" w:firstRow="0" w:lastRow="0" w:firstColumn="1" w:lastColumn="0" w:oddVBand="0" w:evenVBand="0" w:oddHBand="0" w:evenHBand="0" w:firstRowFirstColumn="0" w:firstRowLastColumn="0" w:lastRowFirstColumn="0" w:lastRowLastColumn="0"/>
            <w:tcW w:w="6010" w:type="dxa"/>
          </w:tcPr>
          <w:p w14:paraId="4D59878E" w14:textId="77777777" w:rsidR="004D42F9" w:rsidRDefault="004D42F9">
            <w:r>
              <w:t>Loans and advances paid</w:t>
            </w:r>
          </w:p>
        </w:tc>
        <w:tc>
          <w:tcPr>
            <w:tcW w:w="907" w:type="dxa"/>
          </w:tcPr>
          <w:p w14:paraId="7EB23291" w14:textId="77777777" w:rsidR="004D42F9" w:rsidRDefault="004D42F9">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154AD8AB" w14:textId="77777777" w:rsidR="004D42F9" w:rsidRDefault="004D42F9">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7366D27D" w14:textId="77777777" w:rsidR="004D42F9" w:rsidRDefault="004D42F9">
            <w:pPr>
              <w:cnfStyle w:val="000000000000" w:firstRow="0" w:lastRow="0" w:firstColumn="0" w:lastColumn="0" w:oddVBand="0" w:evenVBand="0" w:oddHBand="0" w:evenHBand="0" w:firstRowFirstColumn="0" w:firstRowLastColumn="0" w:lastRowFirstColumn="0" w:lastRowLastColumn="0"/>
            </w:pPr>
            <w:r>
              <w:t>236</w:t>
            </w:r>
          </w:p>
        </w:tc>
        <w:tc>
          <w:tcPr>
            <w:tcW w:w="907" w:type="dxa"/>
          </w:tcPr>
          <w:p w14:paraId="4AA5F25B" w14:textId="77777777" w:rsidR="004D42F9" w:rsidRDefault="004D42F9">
            <w:pPr>
              <w:cnfStyle w:val="000000000000" w:firstRow="0" w:lastRow="0" w:firstColumn="0" w:lastColumn="0" w:oddVBand="0" w:evenVBand="0" w:oddHBand="0" w:evenHBand="0" w:firstRowFirstColumn="0" w:firstRowLastColumn="0" w:lastRowFirstColumn="0" w:lastRowLastColumn="0"/>
            </w:pPr>
            <w:r>
              <w:t>341</w:t>
            </w:r>
          </w:p>
        </w:tc>
      </w:tr>
      <w:tr w:rsidR="004D42F9" w14:paraId="4439DD4D" w14:textId="77777777">
        <w:tc>
          <w:tcPr>
            <w:cnfStyle w:val="001000000000" w:firstRow="0" w:lastRow="0" w:firstColumn="1" w:lastColumn="0" w:oddVBand="0" w:evenVBand="0" w:oddHBand="0" w:evenHBand="0" w:firstRowFirstColumn="0" w:firstRowLastColumn="0" w:lastRowFirstColumn="0" w:lastRowLastColumn="0"/>
            <w:tcW w:w="6010" w:type="dxa"/>
          </w:tcPr>
          <w:p w14:paraId="10CC4FFD" w14:textId="77777777" w:rsidR="004D42F9" w:rsidRDefault="004D42F9">
            <w:r>
              <w:t>Equities and managed investment schemes</w:t>
            </w:r>
          </w:p>
        </w:tc>
        <w:tc>
          <w:tcPr>
            <w:tcW w:w="907" w:type="dxa"/>
          </w:tcPr>
          <w:p w14:paraId="09254F57" w14:textId="77777777" w:rsidR="004D42F9" w:rsidRDefault="004D42F9">
            <w:pPr>
              <w:cnfStyle w:val="000000000000" w:firstRow="0" w:lastRow="0" w:firstColumn="0" w:lastColumn="0" w:oddVBand="0" w:evenVBand="0" w:oddHBand="0" w:evenHBand="0" w:firstRowFirstColumn="0" w:firstRowLastColumn="0" w:lastRowFirstColumn="0" w:lastRowLastColumn="0"/>
            </w:pPr>
            <w:r>
              <w:t>4 554</w:t>
            </w:r>
          </w:p>
        </w:tc>
        <w:tc>
          <w:tcPr>
            <w:tcW w:w="907" w:type="dxa"/>
          </w:tcPr>
          <w:p w14:paraId="77617972" w14:textId="77777777" w:rsidR="004D42F9" w:rsidRDefault="004D42F9">
            <w:pPr>
              <w:cnfStyle w:val="000000000000" w:firstRow="0" w:lastRow="0" w:firstColumn="0" w:lastColumn="0" w:oddVBand="0" w:evenVBand="0" w:oddHBand="0" w:evenHBand="0" w:firstRowFirstColumn="0" w:firstRowLastColumn="0" w:lastRowFirstColumn="0" w:lastRowLastColumn="0"/>
            </w:pPr>
            <w:r>
              <w:t>4 055</w:t>
            </w:r>
          </w:p>
        </w:tc>
        <w:tc>
          <w:tcPr>
            <w:tcW w:w="907" w:type="dxa"/>
          </w:tcPr>
          <w:p w14:paraId="717CF722" w14:textId="77777777" w:rsidR="004D42F9" w:rsidRDefault="004D42F9">
            <w:pPr>
              <w:cnfStyle w:val="000000000000" w:firstRow="0" w:lastRow="0" w:firstColumn="0" w:lastColumn="0" w:oddVBand="0" w:evenVBand="0" w:oddHBand="0" w:evenHBand="0" w:firstRowFirstColumn="0" w:firstRowLastColumn="0" w:lastRowFirstColumn="0" w:lastRowLastColumn="0"/>
            </w:pPr>
            <w:r>
              <w:t>849</w:t>
            </w:r>
          </w:p>
        </w:tc>
        <w:tc>
          <w:tcPr>
            <w:tcW w:w="907" w:type="dxa"/>
          </w:tcPr>
          <w:p w14:paraId="6221C2C5" w14:textId="77777777" w:rsidR="004D42F9" w:rsidRDefault="004D42F9">
            <w:pPr>
              <w:cnfStyle w:val="000000000000" w:firstRow="0" w:lastRow="0" w:firstColumn="0" w:lastColumn="0" w:oddVBand="0" w:evenVBand="0" w:oddHBand="0" w:evenHBand="0" w:firstRowFirstColumn="0" w:firstRowLastColumn="0" w:lastRowFirstColumn="0" w:lastRowLastColumn="0"/>
            </w:pPr>
            <w:r>
              <w:t>836</w:t>
            </w:r>
          </w:p>
        </w:tc>
      </w:tr>
      <w:tr w:rsidR="004D42F9" w14:paraId="2CA91BA3" w14:textId="77777777">
        <w:tc>
          <w:tcPr>
            <w:cnfStyle w:val="001000000000" w:firstRow="0" w:lastRow="0" w:firstColumn="1" w:lastColumn="0" w:oddVBand="0" w:evenVBand="0" w:oddHBand="0" w:evenHBand="0" w:firstRowFirstColumn="0" w:firstRowLastColumn="0" w:lastRowFirstColumn="0" w:lastRowLastColumn="0"/>
            <w:tcW w:w="6010" w:type="dxa"/>
          </w:tcPr>
          <w:p w14:paraId="7AEBB5BA" w14:textId="77777777" w:rsidR="004D42F9" w:rsidRDefault="004D42F9">
            <w:r>
              <w:t>Australian dollar term deposits</w:t>
            </w:r>
          </w:p>
        </w:tc>
        <w:tc>
          <w:tcPr>
            <w:tcW w:w="907" w:type="dxa"/>
          </w:tcPr>
          <w:p w14:paraId="3FA789D8" w14:textId="77777777" w:rsidR="004D42F9" w:rsidRDefault="004D42F9">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19600541" w14:textId="77777777" w:rsidR="004D42F9" w:rsidRDefault="004D42F9">
            <w:pPr>
              <w:cnfStyle w:val="000000000000" w:firstRow="0" w:lastRow="0" w:firstColumn="0" w:lastColumn="0" w:oddVBand="0" w:evenVBand="0" w:oddHBand="0" w:evenHBand="0" w:firstRowFirstColumn="0" w:firstRowLastColumn="0" w:lastRowFirstColumn="0" w:lastRowLastColumn="0"/>
            </w:pPr>
            <w:r>
              <w:t>354</w:t>
            </w:r>
          </w:p>
        </w:tc>
        <w:tc>
          <w:tcPr>
            <w:tcW w:w="907" w:type="dxa"/>
          </w:tcPr>
          <w:p w14:paraId="13B643AA" w14:textId="77777777" w:rsidR="004D42F9" w:rsidRDefault="004D42F9">
            <w:pPr>
              <w:cnfStyle w:val="000000000000" w:firstRow="0" w:lastRow="0" w:firstColumn="0" w:lastColumn="0" w:oddVBand="0" w:evenVBand="0" w:oddHBand="0" w:evenHBand="0" w:firstRowFirstColumn="0" w:firstRowLastColumn="0" w:lastRowFirstColumn="0" w:lastRowLastColumn="0"/>
            </w:pPr>
            <w:r>
              <w:t>247</w:t>
            </w:r>
          </w:p>
        </w:tc>
        <w:tc>
          <w:tcPr>
            <w:tcW w:w="907" w:type="dxa"/>
          </w:tcPr>
          <w:p w14:paraId="524E9B50" w14:textId="77777777" w:rsidR="004D42F9" w:rsidRDefault="004D42F9">
            <w:pPr>
              <w:cnfStyle w:val="000000000000" w:firstRow="0" w:lastRow="0" w:firstColumn="0" w:lastColumn="0" w:oddVBand="0" w:evenVBand="0" w:oddHBand="0" w:evenHBand="0" w:firstRowFirstColumn="0" w:firstRowLastColumn="0" w:lastRowFirstColumn="0" w:lastRowLastColumn="0"/>
            </w:pPr>
            <w:r>
              <w:t>330</w:t>
            </w:r>
          </w:p>
        </w:tc>
      </w:tr>
      <w:tr w:rsidR="004D42F9" w14:paraId="5E0B96B8" w14:textId="77777777">
        <w:tc>
          <w:tcPr>
            <w:cnfStyle w:val="001000000000" w:firstRow="0" w:lastRow="0" w:firstColumn="1" w:lastColumn="0" w:oddVBand="0" w:evenVBand="0" w:oddHBand="0" w:evenHBand="0" w:firstRowFirstColumn="0" w:firstRowLastColumn="0" w:lastRowFirstColumn="0" w:lastRowLastColumn="0"/>
            <w:tcW w:w="6010" w:type="dxa"/>
          </w:tcPr>
          <w:p w14:paraId="6E96124E" w14:textId="77777777" w:rsidR="004D42F9" w:rsidRDefault="004D42F9">
            <w:r>
              <w:t>Debt securities</w:t>
            </w:r>
          </w:p>
        </w:tc>
        <w:tc>
          <w:tcPr>
            <w:tcW w:w="907" w:type="dxa"/>
          </w:tcPr>
          <w:p w14:paraId="0E492F3A" w14:textId="77777777" w:rsidR="004D42F9" w:rsidRDefault="004D42F9">
            <w:pPr>
              <w:cnfStyle w:val="000000000000" w:firstRow="0" w:lastRow="0" w:firstColumn="0" w:lastColumn="0" w:oddVBand="0" w:evenVBand="0" w:oddHBand="0" w:evenHBand="0" w:firstRowFirstColumn="0" w:firstRowLastColumn="0" w:lastRowFirstColumn="0" w:lastRowLastColumn="0"/>
            </w:pPr>
            <w:r>
              <w:t>14 103</w:t>
            </w:r>
          </w:p>
        </w:tc>
        <w:tc>
          <w:tcPr>
            <w:tcW w:w="907" w:type="dxa"/>
          </w:tcPr>
          <w:p w14:paraId="28A58556" w14:textId="77777777" w:rsidR="004D42F9" w:rsidRDefault="004D42F9">
            <w:pPr>
              <w:cnfStyle w:val="000000000000" w:firstRow="0" w:lastRow="0" w:firstColumn="0" w:lastColumn="0" w:oddVBand="0" w:evenVBand="0" w:oddHBand="0" w:evenHBand="0" w:firstRowFirstColumn="0" w:firstRowLastColumn="0" w:lastRowFirstColumn="0" w:lastRowLastColumn="0"/>
            </w:pPr>
            <w:r>
              <w:t>12 391</w:t>
            </w:r>
          </w:p>
        </w:tc>
        <w:tc>
          <w:tcPr>
            <w:tcW w:w="907" w:type="dxa"/>
          </w:tcPr>
          <w:p w14:paraId="70F8EFBC" w14:textId="77777777" w:rsidR="004D42F9" w:rsidRDefault="004D42F9">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911E1AE"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r>
      <w:tr w:rsidR="004D42F9" w14:paraId="0244DBF2"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DA1E7C2" w14:textId="77777777" w:rsidR="004D42F9" w:rsidRDefault="004D42F9">
            <w:r>
              <w:t>Derivative financial instruments</w:t>
            </w:r>
          </w:p>
        </w:tc>
        <w:tc>
          <w:tcPr>
            <w:tcW w:w="907" w:type="dxa"/>
            <w:tcBorders>
              <w:bottom w:val="single" w:sz="6" w:space="0" w:color="auto"/>
            </w:tcBorders>
          </w:tcPr>
          <w:p w14:paraId="4744F24A" w14:textId="77777777" w:rsidR="004D42F9" w:rsidRDefault="004D42F9">
            <w:pPr>
              <w:cnfStyle w:val="000000000000" w:firstRow="0" w:lastRow="0" w:firstColumn="0" w:lastColumn="0" w:oddVBand="0" w:evenVBand="0" w:oddHBand="0" w:evenHBand="0" w:firstRowFirstColumn="0" w:firstRowLastColumn="0" w:lastRowFirstColumn="0" w:lastRowLastColumn="0"/>
            </w:pPr>
            <w:r>
              <w:t>773</w:t>
            </w:r>
          </w:p>
        </w:tc>
        <w:tc>
          <w:tcPr>
            <w:tcW w:w="907" w:type="dxa"/>
            <w:tcBorders>
              <w:bottom w:val="single" w:sz="6" w:space="0" w:color="auto"/>
            </w:tcBorders>
          </w:tcPr>
          <w:p w14:paraId="3B0FE19E" w14:textId="77777777" w:rsidR="004D42F9" w:rsidRDefault="004D42F9">
            <w:pPr>
              <w:cnfStyle w:val="000000000000" w:firstRow="0" w:lastRow="0" w:firstColumn="0" w:lastColumn="0" w:oddVBand="0" w:evenVBand="0" w:oddHBand="0" w:evenHBand="0" w:firstRowFirstColumn="0" w:firstRowLastColumn="0" w:lastRowFirstColumn="0" w:lastRowLastColumn="0"/>
            </w:pPr>
            <w:r>
              <w:t>276</w:t>
            </w:r>
          </w:p>
        </w:tc>
        <w:tc>
          <w:tcPr>
            <w:tcW w:w="907" w:type="dxa"/>
            <w:tcBorders>
              <w:bottom w:val="single" w:sz="6" w:space="0" w:color="auto"/>
            </w:tcBorders>
          </w:tcPr>
          <w:p w14:paraId="6B4F30FB" w14:textId="77777777" w:rsidR="004D42F9" w:rsidRDefault="004D42F9">
            <w:pPr>
              <w:cnfStyle w:val="000000000000" w:firstRow="0" w:lastRow="0" w:firstColumn="0" w:lastColumn="0" w:oddVBand="0" w:evenVBand="0" w:oddHBand="0" w:evenHBand="0" w:firstRowFirstColumn="0" w:firstRowLastColumn="0" w:lastRowFirstColumn="0" w:lastRowLastColumn="0"/>
            </w:pPr>
            <w:r>
              <w:t>525</w:t>
            </w:r>
          </w:p>
        </w:tc>
        <w:tc>
          <w:tcPr>
            <w:tcW w:w="907" w:type="dxa"/>
            <w:tcBorders>
              <w:bottom w:val="single" w:sz="6" w:space="0" w:color="auto"/>
            </w:tcBorders>
          </w:tcPr>
          <w:p w14:paraId="5816EB11" w14:textId="77777777" w:rsidR="004D42F9" w:rsidRDefault="004D42F9">
            <w:pPr>
              <w:cnfStyle w:val="000000000000" w:firstRow="0" w:lastRow="0" w:firstColumn="0" w:lastColumn="0" w:oddVBand="0" w:evenVBand="0" w:oddHBand="0" w:evenHBand="0" w:firstRowFirstColumn="0" w:firstRowLastColumn="0" w:lastRowFirstColumn="0" w:lastRowLastColumn="0"/>
            </w:pPr>
            <w:r>
              <w:t>63</w:t>
            </w:r>
          </w:p>
        </w:tc>
      </w:tr>
      <w:tr w:rsidR="004D42F9" w14:paraId="63036326"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6B6948E" w14:textId="77777777" w:rsidR="004D42F9" w:rsidRDefault="004D42F9">
            <w:r>
              <w:rPr>
                <w:b/>
              </w:rPr>
              <w:t>Total current advances paid and investments, loans and placements</w:t>
            </w:r>
          </w:p>
        </w:tc>
        <w:tc>
          <w:tcPr>
            <w:tcW w:w="907" w:type="dxa"/>
            <w:tcBorders>
              <w:top w:val="single" w:sz="6" w:space="0" w:color="auto"/>
            </w:tcBorders>
          </w:tcPr>
          <w:p w14:paraId="456DC38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19 853</w:t>
            </w:r>
          </w:p>
        </w:tc>
        <w:tc>
          <w:tcPr>
            <w:tcW w:w="907" w:type="dxa"/>
            <w:tcBorders>
              <w:top w:val="single" w:sz="6" w:space="0" w:color="auto"/>
            </w:tcBorders>
          </w:tcPr>
          <w:p w14:paraId="1EF429B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17 380</w:t>
            </w:r>
          </w:p>
        </w:tc>
        <w:tc>
          <w:tcPr>
            <w:tcW w:w="907" w:type="dxa"/>
            <w:tcBorders>
              <w:top w:val="single" w:sz="6" w:space="0" w:color="auto"/>
            </w:tcBorders>
          </w:tcPr>
          <w:p w14:paraId="17F1AA2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1 860</w:t>
            </w:r>
          </w:p>
        </w:tc>
        <w:tc>
          <w:tcPr>
            <w:tcW w:w="907" w:type="dxa"/>
            <w:tcBorders>
              <w:top w:val="single" w:sz="6" w:space="0" w:color="auto"/>
            </w:tcBorders>
          </w:tcPr>
          <w:p w14:paraId="2D1A3F8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1 575</w:t>
            </w:r>
          </w:p>
        </w:tc>
      </w:tr>
      <w:tr w:rsidR="004D42F9" w14:paraId="1521EAB9" w14:textId="77777777">
        <w:tc>
          <w:tcPr>
            <w:cnfStyle w:val="001000000000" w:firstRow="0" w:lastRow="0" w:firstColumn="1" w:lastColumn="0" w:oddVBand="0" w:evenVBand="0" w:oddHBand="0" w:evenHBand="0" w:firstRowFirstColumn="0" w:firstRowLastColumn="0" w:lastRowFirstColumn="0" w:lastRowLastColumn="0"/>
            <w:tcW w:w="6010" w:type="dxa"/>
          </w:tcPr>
          <w:p w14:paraId="13FF8B7D" w14:textId="77777777" w:rsidR="004D42F9" w:rsidRDefault="004D42F9">
            <w:r>
              <w:rPr>
                <w:b/>
              </w:rPr>
              <w:t>Non</w:t>
            </w:r>
            <w:r>
              <w:rPr>
                <w:b/>
              </w:rPr>
              <w:noBreakHyphen/>
              <w:t>current advances paid and investments, loans and placements</w:t>
            </w:r>
          </w:p>
        </w:tc>
        <w:tc>
          <w:tcPr>
            <w:tcW w:w="907" w:type="dxa"/>
          </w:tcPr>
          <w:p w14:paraId="4D96F65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375C08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4767A8C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6EC19FF2"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4CB9FA3" w14:textId="77777777">
        <w:tc>
          <w:tcPr>
            <w:cnfStyle w:val="001000000000" w:firstRow="0" w:lastRow="0" w:firstColumn="1" w:lastColumn="0" w:oddVBand="0" w:evenVBand="0" w:oddHBand="0" w:evenHBand="0" w:firstRowFirstColumn="0" w:firstRowLastColumn="0" w:lastRowFirstColumn="0" w:lastRowLastColumn="0"/>
            <w:tcW w:w="6010" w:type="dxa"/>
          </w:tcPr>
          <w:p w14:paraId="51366C96" w14:textId="77777777" w:rsidR="004D42F9" w:rsidRDefault="004D42F9">
            <w:r>
              <w:t>Loans and advances paid</w:t>
            </w:r>
          </w:p>
        </w:tc>
        <w:tc>
          <w:tcPr>
            <w:tcW w:w="907" w:type="dxa"/>
          </w:tcPr>
          <w:p w14:paraId="2FF084DE" w14:textId="77777777" w:rsidR="004D42F9" w:rsidRDefault="004D42F9">
            <w:pPr>
              <w:cnfStyle w:val="000000000000" w:firstRow="0" w:lastRow="0" w:firstColumn="0" w:lastColumn="0" w:oddVBand="0" w:evenVBand="0" w:oddHBand="0" w:evenHBand="0" w:firstRowFirstColumn="0" w:firstRowLastColumn="0" w:lastRowFirstColumn="0" w:lastRowLastColumn="0"/>
            </w:pPr>
            <w:r>
              <w:t>247</w:t>
            </w:r>
          </w:p>
        </w:tc>
        <w:tc>
          <w:tcPr>
            <w:tcW w:w="907" w:type="dxa"/>
          </w:tcPr>
          <w:p w14:paraId="39261257" w14:textId="77777777" w:rsidR="004D42F9" w:rsidRDefault="004D42F9">
            <w:pPr>
              <w:cnfStyle w:val="000000000000" w:firstRow="0" w:lastRow="0" w:firstColumn="0" w:lastColumn="0" w:oddVBand="0" w:evenVBand="0" w:oddHBand="0" w:evenHBand="0" w:firstRowFirstColumn="0" w:firstRowLastColumn="0" w:lastRowFirstColumn="0" w:lastRowLastColumn="0"/>
            </w:pPr>
            <w:r>
              <w:t>217</w:t>
            </w:r>
          </w:p>
        </w:tc>
        <w:tc>
          <w:tcPr>
            <w:tcW w:w="907" w:type="dxa"/>
          </w:tcPr>
          <w:p w14:paraId="049A5758" w14:textId="77777777" w:rsidR="004D42F9" w:rsidRDefault="004D42F9">
            <w:pPr>
              <w:cnfStyle w:val="000000000000" w:firstRow="0" w:lastRow="0" w:firstColumn="0" w:lastColumn="0" w:oddVBand="0" w:evenVBand="0" w:oddHBand="0" w:evenHBand="0" w:firstRowFirstColumn="0" w:firstRowLastColumn="0" w:lastRowFirstColumn="0" w:lastRowLastColumn="0"/>
            </w:pPr>
            <w:r>
              <w:t>6 170</w:t>
            </w:r>
          </w:p>
        </w:tc>
        <w:tc>
          <w:tcPr>
            <w:tcW w:w="907" w:type="dxa"/>
          </w:tcPr>
          <w:p w14:paraId="3015863D" w14:textId="77777777" w:rsidR="004D42F9" w:rsidRDefault="004D42F9">
            <w:pPr>
              <w:cnfStyle w:val="000000000000" w:firstRow="0" w:lastRow="0" w:firstColumn="0" w:lastColumn="0" w:oddVBand="0" w:evenVBand="0" w:oddHBand="0" w:evenHBand="0" w:firstRowFirstColumn="0" w:firstRowLastColumn="0" w:lastRowFirstColumn="0" w:lastRowLastColumn="0"/>
            </w:pPr>
            <w:r>
              <w:t>6 080</w:t>
            </w:r>
          </w:p>
        </w:tc>
      </w:tr>
      <w:tr w:rsidR="004D42F9" w14:paraId="55604498" w14:textId="77777777">
        <w:tc>
          <w:tcPr>
            <w:cnfStyle w:val="001000000000" w:firstRow="0" w:lastRow="0" w:firstColumn="1" w:lastColumn="0" w:oddVBand="0" w:evenVBand="0" w:oddHBand="0" w:evenHBand="0" w:firstRowFirstColumn="0" w:firstRowLastColumn="0" w:lastRowFirstColumn="0" w:lastRowLastColumn="0"/>
            <w:tcW w:w="6010" w:type="dxa"/>
          </w:tcPr>
          <w:p w14:paraId="52B80303" w14:textId="77777777" w:rsidR="004D42F9" w:rsidRDefault="004D42F9">
            <w:r>
              <w:t>Equities and managed investment schemes</w:t>
            </w:r>
          </w:p>
        </w:tc>
        <w:tc>
          <w:tcPr>
            <w:tcW w:w="907" w:type="dxa"/>
          </w:tcPr>
          <w:p w14:paraId="785858E9" w14:textId="77777777" w:rsidR="004D42F9" w:rsidRDefault="004D42F9">
            <w:pPr>
              <w:cnfStyle w:val="000000000000" w:firstRow="0" w:lastRow="0" w:firstColumn="0" w:lastColumn="0" w:oddVBand="0" w:evenVBand="0" w:oddHBand="0" w:evenHBand="0" w:firstRowFirstColumn="0" w:firstRowLastColumn="0" w:lastRowFirstColumn="0" w:lastRowLastColumn="0"/>
            </w:pPr>
            <w:r>
              <w:t>62 696</w:t>
            </w:r>
          </w:p>
        </w:tc>
        <w:tc>
          <w:tcPr>
            <w:tcW w:w="907" w:type="dxa"/>
          </w:tcPr>
          <w:p w14:paraId="7057E624" w14:textId="77777777" w:rsidR="004D42F9" w:rsidRDefault="004D42F9">
            <w:pPr>
              <w:cnfStyle w:val="000000000000" w:firstRow="0" w:lastRow="0" w:firstColumn="0" w:lastColumn="0" w:oddVBand="0" w:evenVBand="0" w:oddHBand="0" w:evenHBand="0" w:firstRowFirstColumn="0" w:firstRowLastColumn="0" w:lastRowFirstColumn="0" w:lastRowLastColumn="0"/>
            </w:pPr>
            <w:r>
              <w:t>56 508</w:t>
            </w:r>
          </w:p>
        </w:tc>
        <w:tc>
          <w:tcPr>
            <w:tcW w:w="907" w:type="dxa"/>
          </w:tcPr>
          <w:p w14:paraId="7724EAE3" w14:textId="77777777" w:rsidR="004D42F9" w:rsidRDefault="004D42F9">
            <w:pPr>
              <w:cnfStyle w:val="000000000000" w:firstRow="0" w:lastRow="0" w:firstColumn="0" w:lastColumn="0" w:oddVBand="0" w:evenVBand="0" w:oddHBand="0" w:evenHBand="0" w:firstRowFirstColumn="0" w:firstRowLastColumn="0" w:lastRowFirstColumn="0" w:lastRowLastColumn="0"/>
            </w:pPr>
            <w:r>
              <w:t>16 131</w:t>
            </w:r>
          </w:p>
        </w:tc>
        <w:tc>
          <w:tcPr>
            <w:tcW w:w="907" w:type="dxa"/>
          </w:tcPr>
          <w:p w14:paraId="5E53F163" w14:textId="77777777" w:rsidR="004D42F9" w:rsidRDefault="004D42F9">
            <w:pPr>
              <w:cnfStyle w:val="000000000000" w:firstRow="0" w:lastRow="0" w:firstColumn="0" w:lastColumn="0" w:oddVBand="0" w:evenVBand="0" w:oddHBand="0" w:evenHBand="0" w:firstRowFirstColumn="0" w:firstRowLastColumn="0" w:lastRowFirstColumn="0" w:lastRowLastColumn="0"/>
            </w:pPr>
            <w:r>
              <w:t>13 599</w:t>
            </w:r>
          </w:p>
        </w:tc>
      </w:tr>
      <w:tr w:rsidR="004D42F9" w14:paraId="7314686C" w14:textId="77777777">
        <w:tc>
          <w:tcPr>
            <w:cnfStyle w:val="001000000000" w:firstRow="0" w:lastRow="0" w:firstColumn="1" w:lastColumn="0" w:oddVBand="0" w:evenVBand="0" w:oddHBand="0" w:evenHBand="0" w:firstRowFirstColumn="0" w:firstRowLastColumn="0" w:lastRowFirstColumn="0" w:lastRowLastColumn="0"/>
            <w:tcW w:w="6010" w:type="dxa"/>
          </w:tcPr>
          <w:p w14:paraId="69346F0E" w14:textId="77777777" w:rsidR="004D42F9" w:rsidRDefault="004D42F9">
            <w:r>
              <w:t>Australian dollar term deposits</w:t>
            </w:r>
          </w:p>
        </w:tc>
        <w:tc>
          <w:tcPr>
            <w:tcW w:w="907" w:type="dxa"/>
          </w:tcPr>
          <w:p w14:paraId="1B95653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D59F0B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E745342"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1FAAB5FD" w14:textId="77777777" w:rsidR="004D42F9" w:rsidRDefault="004D42F9">
            <w:pPr>
              <w:cnfStyle w:val="000000000000" w:firstRow="0" w:lastRow="0" w:firstColumn="0" w:lastColumn="0" w:oddVBand="0" w:evenVBand="0" w:oddHBand="0" w:evenHBand="0" w:firstRowFirstColumn="0" w:firstRowLastColumn="0" w:lastRowFirstColumn="0" w:lastRowLastColumn="0"/>
            </w:pPr>
            <w:r>
              <w:t>3</w:t>
            </w:r>
          </w:p>
        </w:tc>
      </w:tr>
      <w:tr w:rsidR="004D42F9" w14:paraId="531894D0" w14:textId="77777777">
        <w:tc>
          <w:tcPr>
            <w:cnfStyle w:val="001000000000" w:firstRow="0" w:lastRow="0" w:firstColumn="1" w:lastColumn="0" w:oddVBand="0" w:evenVBand="0" w:oddHBand="0" w:evenHBand="0" w:firstRowFirstColumn="0" w:firstRowLastColumn="0" w:lastRowFirstColumn="0" w:lastRowLastColumn="0"/>
            <w:tcW w:w="6010" w:type="dxa"/>
          </w:tcPr>
          <w:p w14:paraId="70F6FC4E" w14:textId="77777777" w:rsidR="004D42F9" w:rsidRDefault="004D42F9">
            <w:r>
              <w:t>Debt securities</w:t>
            </w:r>
          </w:p>
        </w:tc>
        <w:tc>
          <w:tcPr>
            <w:tcW w:w="907" w:type="dxa"/>
          </w:tcPr>
          <w:p w14:paraId="4E3A2CF4" w14:textId="77777777" w:rsidR="004D42F9" w:rsidRDefault="004D42F9">
            <w:pPr>
              <w:cnfStyle w:val="000000000000" w:firstRow="0" w:lastRow="0" w:firstColumn="0" w:lastColumn="0" w:oddVBand="0" w:evenVBand="0" w:oddHBand="0" w:evenHBand="0" w:firstRowFirstColumn="0" w:firstRowLastColumn="0" w:lastRowFirstColumn="0" w:lastRowLastColumn="0"/>
            </w:pPr>
            <w:r>
              <w:t>7 373</w:t>
            </w:r>
          </w:p>
        </w:tc>
        <w:tc>
          <w:tcPr>
            <w:tcW w:w="907" w:type="dxa"/>
          </w:tcPr>
          <w:p w14:paraId="28DB66C8" w14:textId="77777777" w:rsidR="004D42F9" w:rsidRDefault="004D42F9">
            <w:pPr>
              <w:cnfStyle w:val="000000000000" w:firstRow="0" w:lastRow="0" w:firstColumn="0" w:lastColumn="0" w:oddVBand="0" w:evenVBand="0" w:oddHBand="0" w:evenHBand="0" w:firstRowFirstColumn="0" w:firstRowLastColumn="0" w:lastRowFirstColumn="0" w:lastRowLastColumn="0"/>
            </w:pPr>
            <w:r>
              <w:t>7 151</w:t>
            </w:r>
          </w:p>
        </w:tc>
        <w:tc>
          <w:tcPr>
            <w:tcW w:w="907" w:type="dxa"/>
          </w:tcPr>
          <w:p w14:paraId="0402CDD8" w14:textId="77777777" w:rsidR="004D42F9" w:rsidRDefault="004D42F9">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7A9F7A02" w14:textId="77777777" w:rsidR="004D42F9" w:rsidRDefault="004D42F9">
            <w:pPr>
              <w:cnfStyle w:val="000000000000" w:firstRow="0" w:lastRow="0" w:firstColumn="0" w:lastColumn="0" w:oddVBand="0" w:evenVBand="0" w:oddHBand="0" w:evenHBand="0" w:firstRowFirstColumn="0" w:firstRowLastColumn="0" w:lastRowFirstColumn="0" w:lastRowLastColumn="0"/>
            </w:pPr>
            <w:r>
              <w:t>22</w:t>
            </w:r>
          </w:p>
        </w:tc>
      </w:tr>
      <w:tr w:rsidR="004D42F9" w14:paraId="22A9390B"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111D397" w14:textId="77777777" w:rsidR="004D42F9" w:rsidRDefault="004D42F9">
            <w:r>
              <w:t>Derivative financial instruments</w:t>
            </w:r>
          </w:p>
        </w:tc>
        <w:tc>
          <w:tcPr>
            <w:tcW w:w="907" w:type="dxa"/>
            <w:tcBorders>
              <w:bottom w:val="single" w:sz="6" w:space="0" w:color="auto"/>
            </w:tcBorders>
          </w:tcPr>
          <w:p w14:paraId="53EF3480" w14:textId="77777777" w:rsidR="004D42F9" w:rsidRDefault="004D42F9">
            <w:pPr>
              <w:cnfStyle w:val="000000000000" w:firstRow="0" w:lastRow="0" w:firstColumn="0" w:lastColumn="0" w:oddVBand="0" w:evenVBand="0" w:oddHBand="0" w:evenHBand="0" w:firstRowFirstColumn="0" w:firstRowLastColumn="0" w:lastRowFirstColumn="0" w:lastRowLastColumn="0"/>
            </w:pPr>
            <w:r>
              <w:t>387</w:t>
            </w:r>
          </w:p>
        </w:tc>
        <w:tc>
          <w:tcPr>
            <w:tcW w:w="907" w:type="dxa"/>
            <w:tcBorders>
              <w:bottom w:val="single" w:sz="6" w:space="0" w:color="auto"/>
            </w:tcBorders>
          </w:tcPr>
          <w:p w14:paraId="1ABDFB07" w14:textId="77777777" w:rsidR="004D42F9" w:rsidRDefault="004D42F9">
            <w:pPr>
              <w:cnfStyle w:val="000000000000" w:firstRow="0" w:lastRow="0" w:firstColumn="0" w:lastColumn="0" w:oddVBand="0" w:evenVBand="0" w:oddHBand="0" w:evenHBand="0" w:firstRowFirstColumn="0" w:firstRowLastColumn="0" w:lastRowFirstColumn="0" w:lastRowLastColumn="0"/>
            </w:pPr>
            <w:r>
              <w:t>318</w:t>
            </w:r>
          </w:p>
        </w:tc>
        <w:tc>
          <w:tcPr>
            <w:tcW w:w="907" w:type="dxa"/>
            <w:tcBorders>
              <w:bottom w:val="single" w:sz="6" w:space="0" w:color="auto"/>
            </w:tcBorders>
          </w:tcPr>
          <w:p w14:paraId="0553FDEF" w14:textId="77777777" w:rsidR="004D42F9" w:rsidRDefault="004D42F9">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02416AC2" w14:textId="77777777" w:rsidR="004D42F9" w:rsidRDefault="004D42F9">
            <w:pPr>
              <w:cnfStyle w:val="000000000000" w:firstRow="0" w:lastRow="0" w:firstColumn="0" w:lastColumn="0" w:oddVBand="0" w:evenVBand="0" w:oddHBand="0" w:evenHBand="0" w:firstRowFirstColumn="0" w:firstRowLastColumn="0" w:lastRowFirstColumn="0" w:lastRowLastColumn="0"/>
            </w:pPr>
            <w:r>
              <w:t>9</w:t>
            </w:r>
          </w:p>
        </w:tc>
      </w:tr>
      <w:tr w:rsidR="004D42F9" w14:paraId="30591691"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50FE270D" w14:textId="77777777" w:rsidR="004D42F9" w:rsidRDefault="004D42F9">
            <w:r>
              <w:rPr>
                <w:b/>
              </w:rPr>
              <w:t>Total non</w:t>
            </w:r>
            <w:r>
              <w:rPr>
                <w:b/>
              </w:rPr>
              <w:noBreakHyphen/>
              <w:t>current advances paid and investments, loans and placements</w:t>
            </w:r>
          </w:p>
        </w:tc>
        <w:tc>
          <w:tcPr>
            <w:tcW w:w="907" w:type="dxa"/>
            <w:tcBorders>
              <w:top w:val="single" w:sz="6" w:space="0" w:color="auto"/>
              <w:bottom w:val="single" w:sz="6" w:space="0" w:color="auto"/>
            </w:tcBorders>
          </w:tcPr>
          <w:p w14:paraId="412CF6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70 703</w:t>
            </w:r>
          </w:p>
        </w:tc>
        <w:tc>
          <w:tcPr>
            <w:tcW w:w="907" w:type="dxa"/>
            <w:tcBorders>
              <w:top w:val="single" w:sz="6" w:space="0" w:color="auto"/>
              <w:bottom w:val="single" w:sz="6" w:space="0" w:color="auto"/>
            </w:tcBorders>
          </w:tcPr>
          <w:p w14:paraId="74EE634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64 195</w:t>
            </w:r>
          </w:p>
        </w:tc>
        <w:tc>
          <w:tcPr>
            <w:tcW w:w="907" w:type="dxa"/>
            <w:tcBorders>
              <w:top w:val="single" w:sz="6" w:space="0" w:color="auto"/>
              <w:bottom w:val="single" w:sz="6" w:space="0" w:color="auto"/>
            </w:tcBorders>
          </w:tcPr>
          <w:p w14:paraId="7864CAE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22 327</w:t>
            </w:r>
          </w:p>
        </w:tc>
        <w:tc>
          <w:tcPr>
            <w:tcW w:w="907" w:type="dxa"/>
            <w:tcBorders>
              <w:top w:val="single" w:sz="6" w:space="0" w:color="auto"/>
              <w:bottom w:val="single" w:sz="6" w:space="0" w:color="auto"/>
            </w:tcBorders>
          </w:tcPr>
          <w:p w14:paraId="4DC8EDD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19 713</w:t>
            </w:r>
          </w:p>
        </w:tc>
      </w:tr>
      <w:tr w:rsidR="004D42F9" w14:paraId="391AB004"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4C37AC3" w14:textId="77777777" w:rsidR="004D42F9" w:rsidRDefault="004D42F9">
            <w:r>
              <w:rPr>
                <w:b/>
              </w:rPr>
              <w:t>Total advances paid and investments, loans and placements</w:t>
            </w:r>
          </w:p>
        </w:tc>
        <w:tc>
          <w:tcPr>
            <w:tcW w:w="907" w:type="dxa"/>
            <w:tcBorders>
              <w:top w:val="single" w:sz="6" w:space="0" w:color="auto"/>
              <w:bottom w:val="single" w:sz="12" w:space="0" w:color="auto"/>
            </w:tcBorders>
          </w:tcPr>
          <w:p w14:paraId="3A496C9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90 556</w:t>
            </w:r>
          </w:p>
        </w:tc>
        <w:tc>
          <w:tcPr>
            <w:tcW w:w="907" w:type="dxa"/>
            <w:tcBorders>
              <w:top w:val="single" w:sz="6" w:space="0" w:color="auto"/>
              <w:bottom w:val="single" w:sz="12" w:space="0" w:color="auto"/>
            </w:tcBorders>
          </w:tcPr>
          <w:p w14:paraId="2DD8EB2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81 575</w:t>
            </w:r>
          </w:p>
        </w:tc>
        <w:tc>
          <w:tcPr>
            <w:tcW w:w="907" w:type="dxa"/>
            <w:tcBorders>
              <w:top w:val="single" w:sz="6" w:space="0" w:color="auto"/>
              <w:bottom w:val="single" w:sz="12" w:space="0" w:color="auto"/>
            </w:tcBorders>
          </w:tcPr>
          <w:p w14:paraId="75C2E7E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24 187</w:t>
            </w:r>
          </w:p>
        </w:tc>
        <w:tc>
          <w:tcPr>
            <w:tcW w:w="907" w:type="dxa"/>
            <w:tcBorders>
              <w:top w:val="single" w:sz="6" w:space="0" w:color="auto"/>
              <w:bottom w:val="single" w:sz="12" w:space="0" w:color="auto"/>
            </w:tcBorders>
          </w:tcPr>
          <w:p w14:paraId="5147587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21 287</w:t>
            </w:r>
          </w:p>
        </w:tc>
      </w:tr>
      <w:tr w:rsidR="004D42F9" w14:paraId="4A0B1B2A"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0" w:space="0" w:color="auto"/>
            </w:tcBorders>
          </w:tcPr>
          <w:p w14:paraId="4FDF65EA" w14:textId="77777777" w:rsidR="004D42F9" w:rsidRDefault="004D42F9">
            <w:r>
              <w:rPr>
                <w:b/>
              </w:rPr>
              <w:t>Represented by:</w:t>
            </w:r>
          </w:p>
        </w:tc>
        <w:tc>
          <w:tcPr>
            <w:tcW w:w="907" w:type="dxa"/>
            <w:tcBorders>
              <w:top w:val="single" w:sz="0" w:space="0" w:color="auto"/>
            </w:tcBorders>
          </w:tcPr>
          <w:p w14:paraId="4855A16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81D5BF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95CBB2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584FDD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75EEC4B" w14:textId="77777777">
        <w:tc>
          <w:tcPr>
            <w:cnfStyle w:val="001000000000" w:firstRow="0" w:lastRow="0" w:firstColumn="1" w:lastColumn="0" w:oddVBand="0" w:evenVBand="0" w:oddHBand="0" w:evenHBand="0" w:firstRowFirstColumn="0" w:firstRowLastColumn="0" w:lastRowFirstColumn="0" w:lastRowLastColumn="0"/>
            <w:tcW w:w="6010" w:type="dxa"/>
          </w:tcPr>
          <w:p w14:paraId="271DEFFA" w14:textId="77777777" w:rsidR="004D42F9" w:rsidRDefault="004D42F9">
            <w:r>
              <w:t>Advances paid</w:t>
            </w:r>
          </w:p>
        </w:tc>
        <w:tc>
          <w:tcPr>
            <w:tcW w:w="907" w:type="dxa"/>
          </w:tcPr>
          <w:p w14:paraId="428C1BDE" w14:textId="77777777" w:rsidR="004D42F9" w:rsidRDefault="004D42F9">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1415E985" w14:textId="77777777" w:rsidR="004D42F9" w:rsidRDefault="004D42F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27AC4CF0" w14:textId="77777777" w:rsidR="004D42F9" w:rsidRDefault="004D42F9">
            <w:pPr>
              <w:cnfStyle w:val="000000000000" w:firstRow="0" w:lastRow="0" w:firstColumn="0" w:lastColumn="0" w:oddVBand="0" w:evenVBand="0" w:oddHBand="0" w:evenHBand="0" w:firstRowFirstColumn="0" w:firstRowLastColumn="0" w:lastRowFirstColumn="0" w:lastRowLastColumn="0"/>
            </w:pPr>
            <w:r>
              <w:t>6 407</w:t>
            </w:r>
          </w:p>
        </w:tc>
        <w:tc>
          <w:tcPr>
            <w:tcW w:w="907" w:type="dxa"/>
          </w:tcPr>
          <w:p w14:paraId="181060D1" w14:textId="77777777" w:rsidR="004D42F9" w:rsidRDefault="004D42F9">
            <w:pPr>
              <w:cnfStyle w:val="000000000000" w:firstRow="0" w:lastRow="0" w:firstColumn="0" w:lastColumn="0" w:oddVBand="0" w:evenVBand="0" w:oddHBand="0" w:evenHBand="0" w:firstRowFirstColumn="0" w:firstRowLastColumn="0" w:lastRowFirstColumn="0" w:lastRowLastColumn="0"/>
            </w:pPr>
            <w:r>
              <w:t>6 421</w:t>
            </w:r>
          </w:p>
        </w:tc>
      </w:tr>
      <w:tr w:rsidR="004D42F9" w14:paraId="3C760D76"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1F9BE632" w14:textId="77777777" w:rsidR="004D42F9" w:rsidRDefault="004D42F9">
            <w:r>
              <w:t>Investments, loans and placements</w:t>
            </w:r>
          </w:p>
        </w:tc>
        <w:tc>
          <w:tcPr>
            <w:tcW w:w="907" w:type="dxa"/>
            <w:tcBorders>
              <w:bottom w:val="single" w:sz="12" w:space="0" w:color="auto"/>
            </w:tcBorders>
          </w:tcPr>
          <w:p w14:paraId="3ADAC3B0" w14:textId="77777777" w:rsidR="004D42F9" w:rsidRDefault="004D42F9">
            <w:pPr>
              <w:cnfStyle w:val="000000000000" w:firstRow="0" w:lastRow="0" w:firstColumn="0" w:lastColumn="0" w:oddVBand="0" w:evenVBand="0" w:oddHBand="0" w:evenHBand="0" w:firstRowFirstColumn="0" w:firstRowLastColumn="0" w:lastRowFirstColumn="0" w:lastRowLastColumn="0"/>
            </w:pPr>
            <w:r>
              <w:t>90 144</w:t>
            </w:r>
          </w:p>
        </w:tc>
        <w:tc>
          <w:tcPr>
            <w:tcW w:w="907" w:type="dxa"/>
            <w:tcBorders>
              <w:bottom w:val="single" w:sz="12" w:space="0" w:color="auto"/>
            </w:tcBorders>
          </w:tcPr>
          <w:p w14:paraId="75920143" w14:textId="77777777" w:rsidR="004D42F9" w:rsidRDefault="004D42F9">
            <w:pPr>
              <w:cnfStyle w:val="000000000000" w:firstRow="0" w:lastRow="0" w:firstColumn="0" w:lastColumn="0" w:oddVBand="0" w:evenVBand="0" w:oddHBand="0" w:evenHBand="0" w:firstRowFirstColumn="0" w:firstRowLastColumn="0" w:lastRowFirstColumn="0" w:lastRowLastColumn="0"/>
            </w:pPr>
            <w:r>
              <w:t>81 054</w:t>
            </w:r>
          </w:p>
        </w:tc>
        <w:tc>
          <w:tcPr>
            <w:tcW w:w="907" w:type="dxa"/>
            <w:tcBorders>
              <w:bottom w:val="single" w:sz="12" w:space="0" w:color="auto"/>
            </w:tcBorders>
          </w:tcPr>
          <w:p w14:paraId="7D476EBB" w14:textId="77777777" w:rsidR="004D42F9" w:rsidRDefault="004D42F9">
            <w:pPr>
              <w:cnfStyle w:val="000000000000" w:firstRow="0" w:lastRow="0" w:firstColumn="0" w:lastColumn="0" w:oddVBand="0" w:evenVBand="0" w:oddHBand="0" w:evenHBand="0" w:firstRowFirstColumn="0" w:firstRowLastColumn="0" w:lastRowFirstColumn="0" w:lastRowLastColumn="0"/>
            </w:pPr>
            <w:r>
              <w:t>17 781</w:t>
            </w:r>
          </w:p>
        </w:tc>
        <w:tc>
          <w:tcPr>
            <w:tcW w:w="907" w:type="dxa"/>
            <w:tcBorders>
              <w:bottom w:val="single" w:sz="12" w:space="0" w:color="auto"/>
            </w:tcBorders>
          </w:tcPr>
          <w:p w14:paraId="387004D4" w14:textId="77777777" w:rsidR="004D42F9" w:rsidRDefault="004D42F9">
            <w:pPr>
              <w:cnfStyle w:val="000000000000" w:firstRow="0" w:lastRow="0" w:firstColumn="0" w:lastColumn="0" w:oddVBand="0" w:evenVBand="0" w:oddHBand="0" w:evenHBand="0" w:firstRowFirstColumn="0" w:firstRowLastColumn="0" w:lastRowFirstColumn="0" w:lastRowLastColumn="0"/>
            </w:pPr>
            <w:r>
              <w:t>14 866</w:t>
            </w:r>
          </w:p>
        </w:tc>
      </w:tr>
    </w:tbl>
    <w:p w14:paraId="17EF368B" w14:textId="77777777" w:rsidR="004D42F9" w:rsidRDefault="004D42F9" w:rsidP="004D42F9"/>
    <w:p w14:paraId="24A34554" w14:textId="77777777" w:rsidR="00A30637" w:rsidRDefault="00A30637" w:rsidP="004D42F9">
      <w:pPr>
        <w:spacing w:before="240"/>
        <w:sectPr w:rsidR="00A30637" w:rsidSect="004D42F9">
          <w:type w:val="continuous"/>
          <w:pgSz w:w="11906" w:h="16838" w:code="9"/>
          <w:pgMar w:top="1134" w:right="1134" w:bottom="1134" w:left="1134" w:header="624" w:footer="567" w:gutter="0"/>
          <w:cols w:space="708"/>
          <w:docGrid w:linePitch="360"/>
        </w:sectPr>
      </w:pPr>
    </w:p>
    <w:p w14:paraId="4F0C41B2" w14:textId="77777777" w:rsidR="004D42F9" w:rsidRDefault="004D42F9" w:rsidP="004D42F9">
      <w:pPr>
        <w:spacing w:before="240"/>
      </w:pPr>
      <w:r>
        <w:t xml:space="preserve">The items in the table above are financial instruments (Note 6.1) that have been classified into financial instrument categories, depending on the purpose for which the investments were acquired. The State determines the classification of its investments at initial recognition. </w:t>
      </w:r>
    </w:p>
    <w:p w14:paraId="24412348" w14:textId="77777777" w:rsidR="004D42F9" w:rsidRDefault="004D42F9" w:rsidP="004D42F9">
      <w:r>
        <w:t xml:space="preserve">Any dividend or interest earned on these financial assets is recognised in the consolidated comprehensive operating statement as a revenue or income transaction. </w:t>
      </w:r>
    </w:p>
    <w:p w14:paraId="71F33DEC" w14:textId="0C2E952B" w:rsidR="004D42F9" w:rsidRDefault="004D42F9" w:rsidP="004D42F9">
      <w:pPr>
        <w:spacing w:before="240"/>
      </w:pPr>
      <w:r w:rsidRPr="007D0A1D">
        <w:rPr>
          <w:b/>
          <w:bCs/>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w:t>
      </w:r>
      <w:r w:rsidR="00845934">
        <w:t>’</w:t>
      </w:r>
      <w:r>
        <w:t>s position.</w:t>
      </w:r>
    </w:p>
    <w:p w14:paraId="26A77152" w14:textId="77777777" w:rsidR="00A30637" w:rsidRDefault="00A30637" w:rsidP="004D42F9">
      <w:pPr>
        <w:sectPr w:rsidR="00A30637" w:rsidSect="00A30637">
          <w:type w:val="continuous"/>
          <w:pgSz w:w="11906" w:h="16838" w:code="9"/>
          <w:pgMar w:top="1134" w:right="1134" w:bottom="1134" w:left="1134" w:header="624" w:footer="567" w:gutter="0"/>
          <w:cols w:num="2" w:space="708"/>
          <w:docGrid w:linePitch="360"/>
        </w:sectPr>
      </w:pPr>
    </w:p>
    <w:p w14:paraId="1B9B6C7D" w14:textId="77777777" w:rsidR="004D42F9" w:rsidRDefault="004D42F9" w:rsidP="004D42F9"/>
    <w:p w14:paraId="379271B7" w14:textId="77777777" w:rsidR="00A30637" w:rsidRDefault="00A30637">
      <w:pPr>
        <w:keepLines w:val="0"/>
        <w:rPr>
          <w:rFonts w:asciiTheme="majorHAnsi" w:eastAsiaTheme="majorEastAsia" w:hAnsiTheme="majorHAnsi" w:cstheme="majorBidi"/>
          <w:b/>
          <w:sz w:val="27"/>
          <w:szCs w:val="26"/>
        </w:rPr>
      </w:pPr>
      <w:r>
        <w:br w:type="page"/>
      </w:r>
    </w:p>
    <w:p w14:paraId="349DC4AA" w14:textId="45B122D7" w:rsidR="004D42F9" w:rsidRDefault="004D42F9" w:rsidP="007E2A58">
      <w:pPr>
        <w:pStyle w:val="Heading2"/>
        <w:spacing w:before="0"/>
      </w:pPr>
      <w:bookmarkStart w:id="103" w:name="_Toc209481763"/>
      <w:r>
        <w:lastRenderedPageBreak/>
        <w:t>5.6</w:t>
      </w:r>
      <w:r>
        <w:tab/>
        <w:t>Leases</w:t>
      </w:r>
      <w:bookmarkEnd w:id="103"/>
      <w:r>
        <w:t xml:space="preserve"> </w:t>
      </w:r>
    </w:p>
    <w:p w14:paraId="2C86485C" w14:textId="77777777" w:rsidR="00A30637" w:rsidRDefault="00A30637" w:rsidP="004D42F9">
      <w:pPr>
        <w:pStyle w:val="Heading3"/>
        <w:ind w:left="0" w:firstLine="0"/>
        <w:sectPr w:rsidR="00A30637" w:rsidSect="004D42F9">
          <w:type w:val="continuous"/>
          <w:pgSz w:w="11906" w:h="16838" w:code="9"/>
          <w:pgMar w:top="1134" w:right="1134" w:bottom="1134" w:left="1134" w:header="624" w:footer="567" w:gutter="0"/>
          <w:cols w:space="708"/>
          <w:docGrid w:linePitch="360"/>
        </w:sectPr>
      </w:pPr>
    </w:p>
    <w:p w14:paraId="238E6BA7" w14:textId="77777777" w:rsidR="004D42F9" w:rsidRDefault="004D42F9" w:rsidP="004D42F9">
      <w:pPr>
        <w:pStyle w:val="Heading3"/>
        <w:ind w:left="0" w:firstLine="0"/>
      </w:pPr>
      <w:r>
        <w:t xml:space="preserve">Recognition and measurement of leases as a lessee </w:t>
      </w:r>
    </w:p>
    <w:p w14:paraId="29C49A7E" w14:textId="77777777" w:rsidR="004D42F9" w:rsidRDefault="004D42F9" w:rsidP="004D42F9">
      <w:r>
        <w:t xml:space="preserve">For contracts entered into, the State considers whether a contract is, or contains, a lease. A lease is defined as a contract, or part of a contract, that conveys the right to use an asset (the underlying asset) for a period of time in exchange for consideration. </w:t>
      </w:r>
    </w:p>
    <w:p w14:paraId="7667AFC8" w14:textId="77777777" w:rsidR="004D42F9" w:rsidRDefault="004D42F9" w:rsidP="004D42F9">
      <w:r>
        <w:t xml:space="preserve">To apply this definition, the State assesses whether the contract meets three key criteria: </w:t>
      </w:r>
    </w:p>
    <w:p w14:paraId="02CF8DF6" w14:textId="5E794987" w:rsidR="004D42F9" w:rsidRDefault="006B38D8" w:rsidP="004D42F9">
      <w:pPr>
        <w:pStyle w:val="ListBullet"/>
        <w:keepLines/>
        <w:numPr>
          <w:ilvl w:val="0"/>
          <w:numId w:val="27"/>
        </w:numPr>
      </w:pPr>
      <w:r>
        <w:t>w</w:t>
      </w:r>
      <w:r w:rsidR="004D42F9">
        <w:t>hether the contract contains an identified asset, which is either explicitly identified in the contract or implicitly specified by being identified at the time the asset is made available to the State and for which the supplier does not have substantive substitution rights</w:t>
      </w:r>
    </w:p>
    <w:p w14:paraId="6F85C50C" w14:textId="1957E78A" w:rsidR="004D42F9" w:rsidRDefault="002E5EFD" w:rsidP="004D42F9">
      <w:pPr>
        <w:pStyle w:val="ListBullet"/>
        <w:keepLines/>
        <w:numPr>
          <w:ilvl w:val="0"/>
          <w:numId w:val="27"/>
        </w:numPr>
      </w:pPr>
      <w:r>
        <w:t>w</w:t>
      </w:r>
      <w:r w:rsidR="004D42F9">
        <w:t>hether the State has the right to obtain substantially all of the economic benefits from use of the identified asset throughout the period of use and has the right to direct the use of the identified asset throughout the period of use</w:t>
      </w:r>
    </w:p>
    <w:p w14:paraId="79E53D6B" w14:textId="0EEF11B6" w:rsidR="004D42F9" w:rsidRDefault="002E5EFD" w:rsidP="004D42F9">
      <w:pPr>
        <w:pStyle w:val="ListBullet"/>
        <w:keepLines/>
        <w:numPr>
          <w:ilvl w:val="0"/>
          <w:numId w:val="27"/>
        </w:numPr>
      </w:pPr>
      <w:r>
        <w:t>w</w:t>
      </w:r>
      <w:r w:rsidR="004D42F9">
        <w:t>hether the State has the right to make decisions in respect of how and for what purpose the asset is used throughout the period of use.</w:t>
      </w:r>
    </w:p>
    <w:p w14:paraId="6A721D8A" w14:textId="77777777" w:rsidR="004D42F9" w:rsidRDefault="004D42F9" w:rsidP="004D42F9">
      <w:pPr>
        <w:pStyle w:val="Heading4"/>
      </w:pPr>
      <w:r>
        <w:t>Separation of lease and non-lease components</w:t>
      </w:r>
    </w:p>
    <w:p w14:paraId="36E43816" w14:textId="77777777" w:rsidR="004D42F9" w:rsidRDefault="004D42F9" w:rsidP="004D42F9">
      <w:r>
        <w:t xml:space="preserve">At inception or on reassessment of a contract that contains a lease component, the State separates out and accounts separately for non-lease components within a lease contract, and excludes these amounts when determining the lease liability and right-of-use asset amounts. </w:t>
      </w:r>
    </w:p>
    <w:p w14:paraId="6C486E9E" w14:textId="08214AA2" w:rsidR="004D42F9" w:rsidRDefault="00A30637" w:rsidP="004D42F9">
      <w:pPr>
        <w:pStyle w:val="Heading4"/>
      </w:pPr>
      <w:r>
        <w:br w:type="column"/>
      </w:r>
      <w:r w:rsidR="004D42F9">
        <w:t>Lease liability – Initial measurement</w:t>
      </w:r>
    </w:p>
    <w:p w14:paraId="31C8A04E" w14:textId="68113F03" w:rsidR="004D42F9" w:rsidRDefault="004D42F9" w:rsidP="004D42F9">
      <w:r>
        <w:t>The lease liability is initially measured at the present value of the lease payments unpaid at the commencement date, discounted using the interest rate implicit in the lease if that rate is readily determinable or the State</w:t>
      </w:r>
      <w:r w:rsidR="00845934">
        <w:t>’</w:t>
      </w:r>
      <w:r>
        <w:t xml:space="preserve">s incremental borrowing rate. </w:t>
      </w:r>
    </w:p>
    <w:p w14:paraId="78BAA261" w14:textId="77777777" w:rsidR="004D42F9" w:rsidRDefault="004D42F9" w:rsidP="004D42F9">
      <w:r>
        <w:t>Lease payments included in the measurement of the lease liability comprise the following:</w:t>
      </w:r>
    </w:p>
    <w:p w14:paraId="2AF45F79" w14:textId="328A3E53" w:rsidR="004D42F9" w:rsidRPr="00875CD3" w:rsidRDefault="00A36FEC" w:rsidP="004D42F9">
      <w:pPr>
        <w:pStyle w:val="ListBullet"/>
        <w:keepLines/>
        <w:numPr>
          <w:ilvl w:val="0"/>
          <w:numId w:val="27"/>
        </w:numPr>
      </w:pPr>
      <w:r>
        <w:t>f</w:t>
      </w:r>
      <w:r w:rsidR="004D42F9" w:rsidRPr="00875CD3">
        <w:t>ixed payments (including in-substance fixed payments)</w:t>
      </w:r>
    </w:p>
    <w:p w14:paraId="7BFF5EB9" w14:textId="33165122" w:rsidR="004D42F9" w:rsidRPr="00875CD3" w:rsidRDefault="00A36FEC" w:rsidP="004D42F9">
      <w:pPr>
        <w:pStyle w:val="ListBullet"/>
        <w:keepLines/>
        <w:numPr>
          <w:ilvl w:val="0"/>
          <w:numId w:val="27"/>
        </w:numPr>
      </w:pPr>
      <w:r>
        <w:t>v</w:t>
      </w:r>
      <w:r w:rsidR="004D42F9" w:rsidRPr="00875CD3">
        <w:t>ariable payments based on an index or rate, initially measured using the index or rate as at the commencement date</w:t>
      </w:r>
    </w:p>
    <w:p w14:paraId="0EE1E123" w14:textId="1B6B1F6E" w:rsidR="004D42F9" w:rsidRPr="00875CD3" w:rsidRDefault="00A36FEC" w:rsidP="004D42F9">
      <w:pPr>
        <w:pStyle w:val="ListBullet"/>
        <w:keepLines/>
        <w:numPr>
          <w:ilvl w:val="0"/>
          <w:numId w:val="27"/>
        </w:numPr>
      </w:pPr>
      <w:r>
        <w:t>a</w:t>
      </w:r>
      <w:r w:rsidR="004D42F9" w:rsidRPr="00875CD3">
        <w:t>mounts expected to be payable under a residual value guarantee</w:t>
      </w:r>
    </w:p>
    <w:p w14:paraId="0A86ADFF" w14:textId="097BEFAC" w:rsidR="004D42F9" w:rsidRPr="00875CD3" w:rsidRDefault="00A36FEC" w:rsidP="004D42F9">
      <w:pPr>
        <w:pStyle w:val="ListBullet"/>
        <w:keepLines/>
        <w:numPr>
          <w:ilvl w:val="0"/>
          <w:numId w:val="27"/>
        </w:numPr>
      </w:pPr>
      <w:r>
        <w:t>p</w:t>
      </w:r>
      <w:r w:rsidR="004D42F9" w:rsidRPr="00875CD3">
        <w:t>ayments arising from purchase and termination options reasonably certain to be exercised.</w:t>
      </w:r>
    </w:p>
    <w:p w14:paraId="6BCDBE8A" w14:textId="40BA3E25" w:rsidR="004D42F9" w:rsidRDefault="004D42F9" w:rsidP="004D42F9">
      <w:pPr>
        <w:pStyle w:val="Heading4"/>
      </w:pPr>
      <w:r>
        <w:t xml:space="preserve">Lease liability – </w:t>
      </w:r>
      <w:r w:rsidR="003B6E05">
        <w:t>S</w:t>
      </w:r>
      <w:r>
        <w:t>ubsequent measurement</w:t>
      </w:r>
    </w:p>
    <w:p w14:paraId="4F13A918" w14:textId="77777777" w:rsidR="004D42F9" w:rsidRDefault="004D42F9" w:rsidP="004D42F9">
      <w:r>
        <w:t>Subsequent to initial measurement, the liability is reduced for payments made and increased for interest. It is remeasured to reflect any reassessment or modification, or if there are changes in in</w:t>
      </w:r>
      <w:r>
        <w:noBreakHyphen/>
        <w:t xml:space="preserve">substance fixed payments. </w:t>
      </w:r>
    </w:p>
    <w:p w14:paraId="404AEC63" w14:textId="77777777" w:rsidR="004D42F9" w:rsidRDefault="004D42F9" w:rsidP="004D42F9">
      <w:pPr>
        <w:ind w:right="112"/>
      </w:pPr>
      <w:r>
        <w:t xml:space="preserve">When the lease liability is remeasured, the corresponding adjustment is reflected in the right of use asset, or comprehensive operating statement if the right of use asset is already reduced to zero. </w:t>
      </w:r>
    </w:p>
    <w:p w14:paraId="155B76AC" w14:textId="77777777" w:rsidR="004D42F9" w:rsidRDefault="004D42F9" w:rsidP="004D42F9">
      <w:pPr>
        <w:pStyle w:val="Heading4"/>
      </w:pPr>
      <w:r>
        <w:t>Short-term leases and leases of low-value assets</w:t>
      </w:r>
    </w:p>
    <w:p w14:paraId="70E45CC1" w14:textId="5B8581AE" w:rsidR="004D42F9" w:rsidRDefault="004D42F9" w:rsidP="004D42F9">
      <w:r>
        <w:t>The State has elected to use the practical expedients available in AASB 16 to account for short-term leases (leases less than 12 months) and leases of low</w:t>
      </w:r>
      <w:r>
        <w:noBreakHyphen/>
        <w:t>value assets (leases where the underlying asset</w:t>
      </w:r>
      <w:r w:rsidR="00845934">
        <w:t>’</w:t>
      </w:r>
      <w:r>
        <w:t xml:space="preserve">s fair value, when new, regardless of the age of the asset being leased, is no more than $10 000). Instead of recognising a right-of-use asset and lease liability, the payments in relation to these are recognised as an expense on a straight-line basis over the lease term. Short-term and low value leases are recognised </w:t>
      </w:r>
      <w:r w:rsidRPr="00575431">
        <w:t xml:space="preserve">within </w:t>
      </w:r>
      <w:r w:rsidRPr="00251DEB">
        <w:t>Note 3.5</w:t>
      </w:r>
      <w:r>
        <w:t xml:space="preserve"> Other operating expenses.</w:t>
      </w:r>
    </w:p>
    <w:p w14:paraId="1EC886F1" w14:textId="77777777" w:rsidR="00A30637" w:rsidRDefault="00A30637">
      <w:pPr>
        <w:keepLines w:val="0"/>
        <w:rPr>
          <w:rFonts w:asciiTheme="majorHAnsi" w:eastAsiaTheme="majorEastAsia" w:hAnsiTheme="majorHAnsi" w:cstheme="majorBidi"/>
          <w:b/>
          <w:sz w:val="23"/>
          <w:szCs w:val="24"/>
        </w:rPr>
      </w:pPr>
      <w:r>
        <w:br w:type="page"/>
      </w:r>
    </w:p>
    <w:p w14:paraId="03C741C4" w14:textId="0038D178" w:rsidR="004D42F9" w:rsidRDefault="004D42F9" w:rsidP="007E2A58">
      <w:pPr>
        <w:pStyle w:val="Heading3"/>
        <w:spacing w:before="0"/>
      </w:pPr>
      <w:r>
        <w:lastRenderedPageBreak/>
        <w:t>State</w:t>
      </w:r>
      <w:r w:rsidR="00845934">
        <w:t>’</w:t>
      </w:r>
      <w:r>
        <w:t>s leasing activities</w:t>
      </w:r>
    </w:p>
    <w:p w14:paraId="0E32B42E" w14:textId="3CF1EB17" w:rsidR="004D42F9" w:rsidRDefault="004D42F9" w:rsidP="004D42F9">
      <w:r>
        <w:t>Information on the State</w:t>
      </w:r>
      <w:r w:rsidR="00845934">
        <w:t>’</w:t>
      </w:r>
      <w:r>
        <w:t xml:space="preserve">s leasing activities is presented below. </w:t>
      </w:r>
    </w:p>
    <w:p w14:paraId="4A36F01F" w14:textId="77777777" w:rsidR="004D42F9" w:rsidRDefault="004D42F9" w:rsidP="00A30637">
      <w:pPr>
        <w:pStyle w:val="Heading4"/>
        <w:spacing w:before="60"/>
        <w:rPr>
          <w:szCs w:val="21"/>
        </w:rPr>
      </w:pPr>
      <w:r>
        <w:rPr>
          <w:szCs w:val="21"/>
        </w:rPr>
        <w:t>Public Private Partnerships (PPPs) classified as leases</w:t>
      </w:r>
    </w:p>
    <w:p w14:paraId="38A6C3EE" w14:textId="2636BDA3" w:rsidR="004D42F9" w:rsidRDefault="004D42F9" w:rsidP="004D42F9">
      <w:pPr>
        <w:spacing w:before="80"/>
      </w:pPr>
      <w:r>
        <w:t>The State has a number of PPP arrangements which are classified as leases under AASB 16. Under these arrangements, the capital component of the payment that relates to the State</w:t>
      </w:r>
      <w:r w:rsidR="00845934">
        <w:t>’</w:t>
      </w:r>
      <w:r>
        <w:t>s right to use assets are accounted for as lease liabilities. In addition, over the lease period, the State pays for ongoing operation and maintenance costs which is recognised as a commitment and disclosed as lease commitments below.</w:t>
      </w:r>
    </w:p>
    <w:p w14:paraId="70B76629" w14:textId="77777777" w:rsidR="004D42F9" w:rsidRPr="00E7428F" w:rsidRDefault="004D42F9" w:rsidP="00A30637">
      <w:pPr>
        <w:pStyle w:val="Heading4"/>
        <w:spacing w:before="60"/>
        <w:rPr>
          <w:szCs w:val="21"/>
        </w:rPr>
      </w:pPr>
      <w:r w:rsidRPr="00E7428F">
        <w:rPr>
          <w:szCs w:val="21"/>
        </w:rPr>
        <w:t>Office accommodation leases</w:t>
      </w:r>
    </w:p>
    <w:p w14:paraId="46D737E4" w14:textId="77777777" w:rsidR="004D42F9" w:rsidRDefault="004D42F9" w:rsidP="004D42F9">
      <w:pPr>
        <w:spacing w:before="80"/>
      </w:pPr>
      <w:r>
        <w:t xml:space="preserve">The State has a number of office accommodation leases which are leased by entities throughout the general government, PNFC and PFC sectors. The majority of these leases, in magnitude and number, are within the general government sector. </w:t>
      </w:r>
    </w:p>
    <w:p w14:paraId="49880F8D" w14:textId="1613ECDA" w:rsidR="004D42F9" w:rsidRDefault="004D42F9" w:rsidP="004D42F9">
      <w:pPr>
        <w:spacing w:before="80"/>
      </w:pPr>
      <w:r>
        <w:t>The Accommodation, Carpool and Library Services group within the Department of Government Services holds a number of office accommodation leases, which are occupied by agencies in the general government sector and managed through a service arrangement. The lease contracts</w:t>
      </w:r>
      <w:r w:rsidR="00845934">
        <w:t>’</w:t>
      </w:r>
      <w:r>
        <w:t xml:space="preserve"> terms vary depending on market availability and the Government</w:t>
      </w:r>
      <w:r w:rsidR="00845934">
        <w:t>’</w:t>
      </w:r>
      <w:r>
        <w:t>s location and tenure requirements, with a range of terms from five years to 30 years with options to renew after that date in general. Property leases for government office accommodation are recognised as right of use assets with a corresponding lease liability under AASB 16.</w:t>
      </w:r>
    </w:p>
    <w:p w14:paraId="03C97961" w14:textId="77777777" w:rsidR="004D42F9" w:rsidRDefault="004D42F9" w:rsidP="00A30637">
      <w:pPr>
        <w:pStyle w:val="Heading4"/>
        <w:spacing w:before="60"/>
      </w:pPr>
      <w:r>
        <w:t>Health sector</w:t>
      </w:r>
    </w:p>
    <w:p w14:paraId="634239F4" w14:textId="5828B490" w:rsidR="004D42F9" w:rsidRDefault="004D42F9" w:rsidP="007E2A58">
      <w:pPr>
        <w:spacing w:before="80"/>
        <w:ind w:right="-71"/>
      </w:pPr>
      <w:r>
        <w:t>Health services lease various land and buildings such as consulting suites, warehouses, carer support units, treatment areas such as dialysis suites, staff accommodation (generally for medical staff on rotation), offices, opportunity shops, ambulance stations and related facilities. They also lease a range of medical and non-medical equipment, IT</w:t>
      </w:r>
      <w:r w:rsidR="007E2A58">
        <w:t> </w:t>
      </w:r>
      <w:r>
        <w:t>equipment, network infrastructure, motor vehicles and aircraft for transport services. Most lease contracts are for periods between one and 10</w:t>
      </w:r>
      <w:r w:rsidR="007E2A58">
        <w:t> </w:t>
      </w:r>
      <w:r>
        <w:t xml:space="preserve">years with options to renew for various lease terms, although some health services have contracts of up to 40 years. Health services also have in </w:t>
      </w:r>
      <w:r w:rsidDel="008248E1">
        <w:t>place</w:t>
      </w:r>
      <w:r>
        <w:t xml:space="preserve"> short-term rental agreements that can be terminated with limited notice (often one month). </w:t>
      </w:r>
    </w:p>
    <w:p w14:paraId="7EB63CEC" w14:textId="77777777" w:rsidR="004D42F9" w:rsidRDefault="004D42F9" w:rsidP="00A30637">
      <w:pPr>
        <w:pStyle w:val="Heading4"/>
        <w:spacing w:before="60"/>
      </w:pPr>
      <w:r>
        <w:t>Emergency management</w:t>
      </w:r>
    </w:p>
    <w:p w14:paraId="304C3088" w14:textId="1D2B7EC9" w:rsidR="004D42F9" w:rsidRDefault="004D42F9" w:rsidP="004D42F9">
      <w:pPr>
        <w:spacing w:before="80"/>
      </w:pPr>
      <w:r>
        <w:t xml:space="preserve">The State has entered into leases for airport hangars </w:t>
      </w:r>
      <w:r w:rsidRPr="00A72CB1">
        <w:t>and emergency management systems</w:t>
      </w:r>
      <w:r>
        <w:t>. These assets are leased to assist the State in delivering its fire and emergency management outputs. The</w:t>
      </w:r>
      <w:r w:rsidR="00A30637">
        <w:t xml:space="preserve"> </w:t>
      </w:r>
      <w:r>
        <w:t>assets are leased for a period between one and three years.</w:t>
      </w:r>
    </w:p>
    <w:p w14:paraId="75EEA28D" w14:textId="77777777" w:rsidR="004D42F9" w:rsidRDefault="004D42F9" w:rsidP="004D42F9">
      <w:pPr>
        <w:pStyle w:val="Heading4"/>
        <w:spacing w:before="120"/>
      </w:pPr>
      <w:r>
        <w:t>Community safety</w:t>
      </w:r>
    </w:p>
    <w:p w14:paraId="5EDEF08F" w14:textId="77777777" w:rsidR="004D42F9" w:rsidRDefault="004D42F9" w:rsidP="004D42F9">
      <w:pPr>
        <w:spacing w:before="80"/>
      </w:pPr>
      <w:r>
        <w:t>The State has entered into leases for a combination of rotary and winged aircrafts for its Victoria Police operational needs. These aircraft are leased for a period of up to 10 years.</w:t>
      </w:r>
    </w:p>
    <w:p w14:paraId="29BF892C" w14:textId="77777777" w:rsidR="004D42F9" w:rsidRDefault="004D42F9" w:rsidP="004D42F9">
      <w:pPr>
        <w:pStyle w:val="Heading4"/>
        <w:spacing w:before="120"/>
      </w:pPr>
      <w:r>
        <w:t>Buses</w:t>
      </w:r>
    </w:p>
    <w:p w14:paraId="33FE340D" w14:textId="77777777" w:rsidR="004D42F9" w:rsidRDefault="004D42F9" w:rsidP="004D42F9">
      <w:pPr>
        <w:spacing w:before="80"/>
      </w:pPr>
      <w:r>
        <w:t>The State has entered into leases relating to buses with a lease term of the same duration as the franchise term of seven years with an option to extend for a further three years.</w:t>
      </w:r>
    </w:p>
    <w:p w14:paraId="3A1FB31C" w14:textId="77777777" w:rsidR="004D42F9" w:rsidRDefault="004D42F9" w:rsidP="004D42F9">
      <w:pPr>
        <w:pStyle w:val="Heading4"/>
        <w:spacing w:before="120"/>
      </w:pPr>
      <w:r>
        <w:t>Leases at significantly below-market terms and conditions</w:t>
      </w:r>
    </w:p>
    <w:p w14:paraId="6D271196" w14:textId="77777777" w:rsidR="004D42F9" w:rsidRDefault="004D42F9" w:rsidP="004D42F9">
      <w:pPr>
        <w:spacing w:before="80"/>
      </w:pPr>
      <w:r>
        <w:t xml:space="preserve">The State elected to measure right-of-use assets arising from leases that are significantly below market terms and conditions at cost as per the temporary relief given to not-for-profit entities by AASB 2018-8 </w:t>
      </w:r>
      <w:r w:rsidRPr="00E7428F">
        <w:rPr>
          <w:i/>
          <w:iCs/>
        </w:rPr>
        <w:t>Amendments to Australian Accounting Standards – Right of Use Assets of Not-for-Profit Entities</w:t>
      </w:r>
      <w:r>
        <w:t>.</w:t>
      </w:r>
    </w:p>
    <w:p w14:paraId="0EDA8E39" w14:textId="77777777" w:rsidR="004D42F9" w:rsidRDefault="004D42F9" w:rsidP="004D42F9">
      <w:pPr>
        <w:spacing w:before="80"/>
      </w:pPr>
      <w:r>
        <w:t>These right-of-use assets are depreciated on a straight-line basis over the shorter of the lease term and the estimated useful lives of the assets.</w:t>
      </w:r>
    </w:p>
    <w:p w14:paraId="718ED561" w14:textId="77777777" w:rsidR="004D42F9" w:rsidRDefault="004D42F9" w:rsidP="004D42F9">
      <w:pPr>
        <w:pStyle w:val="Heading4"/>
        <w:spacing w:before="120"/>
      </w:pPr>
      <w:r>
        <w:t>Transport Leases between the general government sector (Department of Transport and Planning) and the public non</w:t>
      </w:r>
      <w:r>
        <w:noBreakHyphen/>
        <w:t>financial corporations sector (Victorian Rail Track)</w:t>
      </w:r>
    </w:p>
    <w:p w14:paraId="0F9CDEAE" w14:textId="595B7D47" w:rsidR="004D42F9" w:rsidRDefault="004D42F9" w:rsidP="004D42F9">
      <w:pPr>
        <w:spacing w:before="80"/>
        <w:ind w:right="-171"/>
      </w:pPr>
      <w:r>
        <w:t>Victorian Rail Track (VicTrack), a PNFC, is the custodial owner of the State</w:t>
      </w:r>
      <w:r w:rsidR="00845934">
        <w:t>’</w:t>
      </w:r>
      <w:r>
        <w:t xml:space="preserve">s transport-related land, infrastructure, rolling stock and associated assets, which the State, through the Department of Transport and Planning (DTP), a general government sector entity, is highly dependent on to provide Victorians with a public transport system. DTP leases metropolitan, regional and interstate train and tram assets from VicTrack at nominal cost in order to provide public transport services in Victoria. </w:t>
      </w:r>
    </w:p>
    <w:p w14:paraId="1017772E" w14:textId="77777777" w:rsidR="004D42F9" w:rsidRDefault="004D42F9" w:rsidP="004D42F9">
      <w:pPr>
        <w:spacing w:before="80"/>
      </w:pPr>
      <w:r>
        <w:t xml:space="preserve">VicTrack provides access to its leased assets to assist the State in furthering its objectives. </w:t>
      </w:r>
    </w:p>
    <w:p w14:paraId="6F43DB80" w14:textId="77777777" w:rsidR="004D42F9" w:rsidRDefault="004D42F9" w:rsidP="004D42F9">
      <w:pPr>
        <w:spacing w:before="80"/>
      </w:pPr>
      <w:r>
        <w:t xml:space="preserve">The general government sector has classified the leases entered into with VicTrack as leases that are significantly below market terms and conditions, and principally enable the State to further its objectives and the right-of-use asset value in the general government sector is recorded at cost (a nominal amount). </w:t>
      </w:r>
    </w:p>
    <w:p w14:paraId="1948BBC2" w14:textId="77777777" w:rsidR="004D42F9" w:rsidRDefault="004D42F9" w:rsidP="004D42F9">
      <w:pPr>
        <w:spacing w:before="80"/>
      </w:pPr>
      <w:r>
        <w:t>These underlying assets subject to the leases are recognised at fair value, at a consolidated whole of government level, after eliminating the inter-sector leases.</w:t>
      </w:r>
    </w:p>
    <w:p w14:paraId="1657B781" w14:textId="77777777" w:rsidR="004D42F9" w:rsidRDefault="004D42F9" w:rsidP="004D42F9">
      <w:pPr>
        <w:pStyle w:val="Heading4"/>
      </w:pPr>
      <w:r>
        <w:lastRenderedPageBreak/>
        <w:t>Presentation of right-of-use assets and lease liabilities</w:t>
      </w:r>
    </w:p>
    <w:p w14:paraId="3E2781EA" w14:textId="77777777" w:rsidR="004D42F9" w:rsidRDefault="004D42F9" w:rsidP="004D42F9">
      <w:r>
        <w:t xml:space="preserve">The State presents right-of-use assets as property, plant and equipment unless they meet the definition of investment property, in which case they are disclosed as investment property on the balance sheet. Lease liabilities are presented as borrowings on the balance sheet. </w:t>
      </w:r>
    </w:p>
    <w:p w14:paraId="3692AC3E" w14:textId="77777777" w:rsidR="00A30637" w:rsidRDefault="00A30637" w:rsidP="004D42F9">
      <w:pPr>
        <w:sectPr w:rsidR="00A30637" w:rsidSect="00A30637">
          <w:type w:val="continuous"/>
          <w:pgSz w:w="11906" w:h="16838" w:code="9"/>
          <w:pgMar w:top="1134" w:right="1134" w:bottom="1134" w:left="1134" w:header="624" w:footer="567" w:gutter="0"/>
          <w:cols w:num="2" w:space="708"/>
          <w:docGrid w:linePitch="360"/>
        </w:sectPr>
      </w:pPr>
    </w:p>
    <w:p w14:paraId="50810B42" w14:textId="4300D180" w:rsidR="004D42F9" w:rsidRDefault="004D42F9" w:rsidP="004D42F9">
      <w:pPr>
        <w:keepLines w:val="0"/>
        <w:rPr>
          <w:rFonts w:asciiTheme="majorHAnsi" w:hAnsiTheme="majorHAnsi" w:cstheme="minorBidi"/>
          <w:b/>
          <w:iCs/>
          <w:sz w:val="20"/>
          <w:szCs w:val="18"/>
        </w:rPr>
      </w:pPr>
    </w:p>
    <w:p w14:paraId="0199D073" w14:textId="77777777" w:rsidR="004D42F9" w:rsidRPr="00B90414" w:rsidRDefault="004D42F9" w:rsidP="004D42F9">
      <w:pPr>
        <w:pStyle w:val="TableHeading"/>
      </w:pPr>
      <w:r w:rsidRPr="00B90414">
        <w:t xml:space="preserve">Lease commitments </w:t>
      </w:r>
      <w:r w:rsidRPr="00B90414">
        <w:rPr>
          <w:vertAlign w:val="superscript"/>
        </w:rPr>
        <w:t>(a)(b)</w:t>
      </w:r>
      <w:r>
        <w:rPr>
          <w:vertAlign w:val="superscript"/>
        </w:rPr>
        <w:t>(c</w:t>
      </w:r>
      <w:r w:rsidRPr="00B90414">
        <w:rPr>
          <w:vertAlign w:val="superscript"/>
        </w:rPr>
        <w:t>)</w:t>
      </w:r>
      <w:r w:rsidRPr="00B90414">
        <w:tab/>
        <w:t>($ million)</w:t>
      </w:r>
    </w:p>
    <w:tbl>
      <w:tblPr>
        <w:tblStyle w:val="DTFTableNumeric"/>
        <w:tblW w:w="5001" w:type="pct"/>
        <w:tblLayout w:type="fixed"/>
        <w:tblLook w:val="06A0" w:firstRow="1" w:lastRow="0" w:firstColumn="1" w:lastColumn="0" w:noHBand="1" w:noVBand="1"/>
        <w:tblDescription w:val="Type:DtfTable|Workbook:https://vicgov.sharepoint.com/sites/VG002733/Annual Financial Report/CRA Coordination/Financial Statements/Manual Reports/Commitments/Link_Commitments.xlsx|Table:Leases"/>
      </w:tblPr>
      <w:tblGrid>
        <w:gridCol w:w="6012"/>
        <w:gridCol w:w="907"/>
        <w:gridCol w:w="907"/>
        <w:gridCol w:w="907"/>
        <w:gridCol w:w="907"/>
      </w:tblGrid>
      <w:tr w:rsidR="004D42F9" w14:paraId="460E544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04DE8DB8" w14:textId="77777777" w:rsidR="004D42F9" w:rsidRDefault="004D42F9">
            <w:pPr>
              <w:keepNext/>
            </w:pPr>
          </w:p>
        </w:tc>
        <w:tc>
          <w:tcPr>
            <w:tcW w:w="3628" w:type="dxa"/>
            <w:gridSpan w:val="4"/>
          </w:tcPr>
          <w:p w14:paraId="68EF795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4D42F9" w14:paraId="726B122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2EC5052F" w14:textId="77777777" w:rsidR="004D42F9" w:rsidRDefault="004D42F9">
            <w:pPr>
              <w:keepNext/>
            </w:pPr>
          </w:p>
        </w:tc>
        <w:tc>
          <w:tcPr>
            <w:tcW w:w="1814" w:type="dxa"/>
            <w:gridSpan w:val="2"/>
          </w:tcPr>
          <w:p w14:paraId="5764B58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2025</w:t>
            </w:r>
          </w:p>
        </w:tc>
        <w:tc>
          <w:tcPr>
            <w:tcW w:w="1814" w:type="dxa"/>
            <w:gridSpan w:val="2"/>
          </w:tcPr>
          <w:p w14:paraId="4D95445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2024</w:t>
            </w:r>
          </w:p>
        </w:tc>
      </w:tr>
      <w:tr w:rsidR="004D42F9" w14:paraId="5B95CAC0" w14:textId="7777777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6012" w:type="dxa"/>
          </w:tcPr>
          <w:p w14:paraId="10A40829" w14:textId="77777777" w:rsidR="004D42F9" w:rsidRDefault="004D42F9">
            <w:pPr>
              <w:keepNext/>
            </w:pPr>
          </w:p>
        </w:tc>
        <w:tc>
          <w:tcPr>
            <w:tcW w:w="907" w:type="dxa"/>
          </w:tcPr>
          <w:p w14:paraId="7FD9C3F7"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03FC7F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9E7955E"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459FEEF"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p>
        </w:tc>
      </w:tr>
      <w:tr w:rsidR="004D42F9" w14:paraId="2A4FDAB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2" w:type="dxa"/>
          </w:tcPr>
          <w:p w14:paraId="1C8FFCDF" w14:textId="77777777" w:rsidR="004D42F9" w:rsidRDefault="004D42F9">
            <w:pPr>
              <w:keepNext/>
            </w:pPr>
          </w:p>
        </w:tc>
        <w:tc>
          <w:tcPr>
            <w:tcW w:w="907" w:type="dxa"/>
          </w:tcPr>
          <w:p w14:paraId="5AE4B7A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Present value</w:t>
            </w:r>
          </w:p>
        </w:tc>
        <w:tc>
          <w:tcPr>
            <w:tcW w:w="907" w:type="dxa"/>
          </w:tcPr>
          <w:p w14:paraId="1367385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Nominal value</w:t>
            </w:r>
          </w:p>
        </w:tc>
        <w:tc>
          <w:tcPr>
            <w:tcW w:w="907" w:type="dxa"/>
          </w:tcPr>
          <w:p w14:paraId="79E87EC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Present value</w:t>
            </w:r>
          </w:p>
        </w:tc>
        <w:tc>
          <w:tcPr>
            <w:tcW w:w="907" w:type="dxa"/>
          </w:tcPr>
          <w:p w14:paraId="67545BBA"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Nominal value</w:t>
            </w:r>
          </w:p>
        </w:tc>
      </w:tr>
      <w:tr w:rsidR="004D42F9" w14:paraId="3AC71030" w14:textId="77777777">
        <w:tc>
          <w:tcPr>
            <w:cnfStyle w:val="001000000000" w:firstRow="0" w:lastRow="0" w:firstColumn="1" w:lastColumn="0" w:oddVBand="0" w:evenVBand="0" w:oddHBand="0" w:evenHBand="0" w:firstRowFirstColumn="0" w:firstRowLastColumn="0" w:lastRowFirstColumn="0" w:lastRowLastColumn="0"/>
            <w:tcW w:w="6012" w:type="dxa"/>
          </w:tcPr>
          <w:p w14:paraId="54859643" w14:textId="77777777" w:rsidR="004D42F9" w:rsidRDefault="004D42F9">
            <w:r>
              <w:rPr>
                <w:b/>
              </w:rPr>
              <w:t>Commissioned leases</w:t>
            </w:r>
          </w:p>
        </w:tc>
        <w:tc>
          <w:tcPr>
            <w:tcW w:w="907" w:type="dxa"/>
          </w:tcPr>
          <w:p w14:paraId="23E259A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D959F20"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006717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23B5F6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174D9B8" w14:textId="77777777">
        <w:tc>
          <w:tcPr>
            <w:cnfStyle w:val="001000000000" w:firstRow="0" w:lastRow="0" w:firstColumn="1" w:lastColumn="0" w:oddVBand="0" w:evenVBand="0" w:oddHBand="0" w:evenHBand="0" w:firstRowFirstColumn="0" w:firstRowLastColumn="0" w:lastRowFirstColumn="0" w:lastRowLastColumn="0"/>
            <w:tcW w:w="6012" w:type="dxa"/>
          </w:tcPr>
          <w:p w14:paraId="01C4D643" w14:textId="77777777" w:rsidR="004D42F9" w:rsidRDefault="004D42F9">
            <w:r>
              <w:t>AgriBio Project</w:t>
            </w:r>
          </w:p>
        </w:tc>
        <w:tc>
          <w:tcPr>
            <w:tcW w:w="907" w:type="dxa"/>
          </w:tcPr>
          <w:p w14:paraId="775C8421" w14:textId="77777777" w:rsidR="004D42F9" w:rsidRDefault="004D42F9">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3345E43F" w14:textId="77777777" w:rsidR="004D42F9" w:rsidRDefault="004D42F9">
            <w:pPr>
              <w:cnfStyle w:val="000000000000" w:firstRow="0" w:lastRow="0" w:firstColumn="0" w:lastColumn="0" w:oddVBand="0" w:evenVBand="0" w:oddHBand="0" w:evenHBand="0" w:firstRowFirstColumn="0" w:firstRowLastColumn="0" w:lastRowFirstColumn="0" w:lastRowLastColumn="0"/>
            </w:pPr>
            <w:r>
              <w:t>213</w:t>
            </w:r>
          </w:p>
        </w:tc>
        <w:tc>
          <w:tcPr>
            <w:tcW w:w="907" w:type="dxa"/>
          </w:tcPr>
          <w:p w14:paraId="1B5211D7" w14:textId="77777777" w:rsidR="004D42F9" w:rsidRDefault="004D42F9">
            <w:pPr>
              <w:cnfStyle w:val="000000000000" w:firstRow="0" w:lastRow="0" w:firstColumn="0" w:lastColumn="0" w:oddVBand="0" w:evenVBand="0" w:oddHBand="0" w:evenHBand="0" w:firstRowFirstColumn="0" w:firstRowLastColumn="0" w:lastRowFirstColumn="0" w:lastRowLastColumn="0"/>
            </w:pPr>
            <w:r>
              <w:t>132</w:t>
            </w:r>
          </w:p>
        </w:tc>
        <w:tc>
          <w:tcPr>
            <w:tcW w:w="907" w:type="dxa"/>
          </w:tcPr>
          <w:p w14:paraId="36832D7D" w14:textId="77777777" w:rsidR="004D42F9" w:rsidRDefault="004D42F9">
            <w:pPr>
              <w:cnfStyle w:val="000000000000" w:firstRow="0" w:lastRow="0" w:firstColumn="0" w:lastColumn="0" w:oddVBand="0" w:evenVBand="0" w:oddHBand="0" w:evenHBand="0" w:firstRowFirstColumn="0" w:firstRowLastColumn="0" w:lastRowFirstColumn="0" w:lastRowLastColumn="0"/>
            </w:pPr>
            <w:r>
              <w:t>224</w:t>
            </w:r>
          </w:p>
        </w:tc>
      </w:tr>
      <w:tr w:rsidR="004D42F9" w14:paraId="3CDF820C" w14:textId="77777777">
        <w:tc>
          <w:tcPr>
            <w:cnfStyle w:val="001000000000" w:firstRow="0" w:lastRow="0" w:firstColumn="1" w:lastColumn="0" w:oddVBand="0" w:evenVBand="0" w:oddHBand="0" w:evenHBand="0" w:firstRowFirstColumn="0" w:firstRowLastColumn="0" w:lastRowFirstColumn="0" w:lastRowLastColumn="0"/>
            <w:tcW w:w="6012" w:type="dxa"/>
          </w:tcPr>
          <w:p w14:paraId="5AD1425B" w14:textId="77777777" w:rsidR="004D42F9" w:rsidRDefault="004D42F9">
            <w:r>
              <w:t>Bendigo Hospital</w:t>
            </w:r>
          </w:p>
        </w:tc>
        <w:tc>
          <w:tcPr>
            <w:tcW w:w="907" w:type="dxa"/>
          </w:tcPr>
          <w:p w14:paraId="28EB8715" w14:textId="77777777" w:rsidR="004D42F9" w:rsidRDefault="004D42F9">
            <w:pPr>
              <w:cnfStyle w:val="000000000000" w:firstRow="0" w:lastRow="0" w:firstColumn="0" w:lastColumn="0" w:oddVBand="0" w:evenVBand="0" w:oddHBand="0" w:evenHBand="0" w:firstRowFirstColumn="0" w:firstRowLastColumn="0" w:lastRowFirstColumn="0" w:lastRowLastColumn="0"/>
            </w:pPr>
            <w:r>
              <w:t>724</w:t>
            </w:r>
          </w:p>
        </w:tc>
        <w:tc>
          <w:tcPr>
            <w:tcW w:w="907" w:type="dxa"/>
          </w:tcPr>
          <w:p w14:paraId="6EAA0B4A" w14:textId="77777777" w:rsidR="004D42F9" w:rsidRDefault="004D42F9">
            <w:pPr>
              <w:cnfStyle w:val="000000000000" w:firstRow="0" w:lastRow="0" w:firstColumn="0" w:lastColumn="0" w:oddVBand="0" w:evenVBand="0" w:oddHBand="0" w:evenHBand="0" w:firstRowFirstColumn="0" w:firstRowLastColumn="0" w:lastRowFirstColumn="0" w:lastRowLastColumn="0"/>
            </w:pPr>
            <w:r>
              <w:t>1 385</w:t>
            </w:r>
          </w:p>
        </w:tc>
        <w:tc>
          <w:tcPr>
            <w:tcW w:w="907" w:type="dxa"/>
          </w:tcPr>
          <w:p w14:paraId="0C800DD9" w14:textId="77777777" w:rsidR="004D42F9" w:rsidRDefault="004D42F9">
            <w:pPr>
              <w:cnfStyle w:val="000000000000" w:firstRow="0" w:lastRow="0" w:firstColumn="0" w:lastColumn="0" w:oddVBand="0" w:evenVBand="0" w:oddHBand="0" w:evenHBand="0" w:firstRowFirstColumn="0" w:firstRowLastColumn="0" w:lastRowFirstColumn="0" w:lastRowLastColumn="0"/>
            </w:pPr>
            <w:r>
              <w:t>746</w:t>
            </w:r>
          </w:p>
        </w:tc>
        <w:tc>
          <w:tcPr>
            <w:tcW w:w="907" w:type="dxa"/>
          </w:tcPr>
          <w:p w14:paraId="279FE9F7" w14:textId="77777777" w:rsidR="004D42F9" w:rsidRDefault="004D42F9">
            <w:pPr>
              <w:cnfStyle w:val="000000000000" w:firstRow="0" w:lastRow="0" w:firstColumn="0" w:lastColumn="0" w:oddVBand="0" w:evenVBand="0" w:oddHBand="0" w:evenHBand="0" w:firstRowFirstColumn="0" w:firstRowLastColumn="0" w:lastRowFirstColumn="0" w:lastRowLastColumn="0"/>
            </w:pPr>
            <w:r>
              <w:t>1 470</w:t>
            </w:r>
          </w:p>
        </w:tc>
      </w:tr>
      <w:tr w:rsidR="004D42F9" w14:paraId="0806276D" w14:textId="77777777">
        <w:tc>
          <w:tcPr>
            <w:cnfStyle w:val="001000000000" w:firstRow="0" w:lastRow="0" w:firstColumn="1" w:lastColumn="0" w:oddVBand="0" w:evenVBand="0" w:oddHBand="0" w:evenHBand="0" w:firstRowFirstColumn="0" w:firstRowLastColumn="0" w:lastRowFirstColumn="0" w:lastRowLastColumn="0"/>
            <w:tcW w:w="6012" w:type="dxa"/>
          </w:tcPr>
          <w:p w14:paraId="658CCD9D" w14:textId="77777777" w:rsidR="004D42F9" w:rsidRDefault="004D42F9">
            <w:r>
              <w:t>Casey Hospital</w:t>
            </w:r>
          </w:p>
        </w:tc>
        <w:tc>
          <w:tcPr>
            <w:tcW w:w="907" w:type="dxa"/>
          </w:tcPr>
          <w:p w14:paraId="65B8F645" w14:textId="77777777" w:rsidR="004D42F9" w:rsidRDefault="004D42F9">
            <w:pPr>
              <w:cnfStyle w:val="000000000000" w:firstRow="0" w:lastRow="0" w:firstColumn="0" w:lastColumn="0" w:oddVBand="0" w:evenVBand="0" w:oddHBand="0" w:evenHBand="0" w:firstRowFirstColumn="0" w:firstRowLastColumn="0" w:lastRowFirstColumn="0" w:lastRowLastColumn="0"/>
            </w:pPr>
            <w:r>
              <w:t>89</w:t>
            </w:r>
          </w:p>
        </w:tc>
        <w:tc>
          <w:tcPr>
            <w:tcW w:w="907" w:type="dxa"/>
          </w:tcPr>
          <w:p w14:paraId="03CCA709" w14:textId="77777777" w:rsidR="004D42F9" w:rsidRDefault="004D42F9">
            <w:pPr>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5D30C24F" w14:textId="77777777" w:rsidR="004D42F9" w:rsidRDefault="004D42F9">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329B39D3" w14:textId="77777777" w:rsidR="004D42F9" w:rsidRDefault="004D42F9">
            <w:pPr>
              <w:cnfStyle w:val="000000000000" w:firstRow="0" w:lastRow="0" w:firstColumn="0" w:lastColumn="0" w:oddVBand="0" w:evenVBand="0" w:oddHBand="0" w:evenHBand="0" w:firstRowFirstColumn="0" w:firstRowLastColumn="0" w:lastRowFirstColumn="0" w:lastRowLastColumn="0"/>
            </w:pPr>
            <w:r>
              <w:t>94</w:t>
            </w:r>
          </w:p>
        </w:tc>
      </w:tr>
      <w:tr w:rsidR="004D42F9" w14:paraId="12490D0B" w14:textId="77777777">
        <w:tc>
          <w:tcPr>
            <w:cnfStyle w:val="001000000000" w:firstRow="0" w:lastRow="0" w:firstColumn="1" w:lastColumn="0" w:oddVBand="0" w:evenVBand="0" w:oddHBand="0" w:evenHBand="0" w:firstRowFirstColumn="0" w:firstRowLastColumn="0" w:lastRowFirstColumn="0" w:lastRowLastColumn="0"/>
            <w:tcW w:w="6012" w:type="dxa"/>
          </w:tcPr>
          <w:p w14:paraId="6F2336EB" w14:textId="77777777" w:rsidR="004D42F9" w:rsidRDefault="004D42F9">
            <w:r>
              <w:t>Melbourne Convention Centre</w:t>
            </w:r>
          </w:p>
        </w:tc>
        <w:tc>
          <w:tcPr>
            <w:tcW w:w="907" w:type="dxa"/>
          </w:tcPr>
          <w:p w14:paraId="34FEC9A9" w14:textId="77777777" w:rsidR="004D42F9" w:rsidRDefault="004D42F9">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2D8B2EA3" w14:textId="77777777" w:rsidR="004D42F9" w:rsidRDefault="004D42F9">
            <w:pPr>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4F88FFAD" w14:textId="77777777" w:rsidR="004D42F9" w:rsidRDefault="004D42F9">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55C56F3B" w14:textId="77777777" w:rsidR="004D42F9" w:rsidRDefault="004D42F9">
            <w:pPr>
              <w:cnfStyle w:val="000000000000" w:firstRow="0" w:lastRow="0" w:firstColumn="0" w:lastColumn="0" w:oddVBand="0" w:evenVBand="0" w:oddHBand="0" w:evenHBand="0" w:firstRowFirstColumn="0" w:firstRowLastColumn="0" w:lastRowFirstColumn="0" w:lastRowLastColumn="0"/>
            </w:pPr>
            <w:r>
              <w:t>299</w:t>
            </w:r>
          </w:p>
        </w:tc>
      </w:tr>
      <w:tr w:rsidR="004D42F9" w14:paraId="09472528" w14:textId="77777777">
        <w:tc>
          <w:tcPr>
            <w:cnfStyle w:val="001000000000" w:firstRow="0" w:lastRow="0" w:firstColumn="1" w:lastColumn="0" w:oddVBand="0" w:evenVBand="0" w:oddHBand="0" w:evenHBand="0" w:firstRowFirstColumn="0" w:firstRowLastColumn="0" w:lastRowFirstColumn="0" w:lastRowLastColumn="0"/>
            <w:tcW w:w="6012" w:type="dxa"/>
          </w:tcPr>
          <w:p w14:paraId="178613F9" w14:textId="77777777" w:rsidR="004D42F9" w:rsidRDefault="004D42F9">
            <w:r>
              <w:t>New Schools Public Private Partnership</w:t>
            </w:r>
          </w:p>
        </w:tc>
        <w:tc>
          <w:tcPr>
            <w:tcW w:w="907" w:type="dxa"/>
          </w:tcPr>
          <w:p w14:paraId="0DB8FB0C" w14:textId="77777777" w:rsidR="004D42F9" w:rsidRDefault="004D42F9">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0C83A8B2" w14:textId="77777777" w:rsidR="004D42F9" w:rsidRDefault="004D42F9">
            <w:pPr>
              <w:cnfStyle w:val="000000000000" w:firstRow="0" w:lastRow="0" w:firstColumn="0" w:lastColumn="0" w:oddVBand="0" w:evenVBand="0" w:oddHBand="0" w:evenHBand="0" w:firstRowFirstColumn="0" w:firstRowLastColumn="0" w:lastRowFirstColumn="0" w:lastRowLastColumn="0"/>
            </w:pPr>
            <w:r>
              <w:t>387</w:t>
            </w:r>
          </w:p>
        </w:tc>
        <w:tc>
          <w:tcPr>
            <w:tcW w:w="907" w:type="dxa"/>
          </w:tcPr>
          <w:p w14:paraId="31EB6405" w14:textId="77777777" w:rsidR="004D42F9" w:rsidRDefault="004D42F9">
            <w:pPr>
              <w:cnfStyle w:val="000000000000" w:firstRow="0" w:lastRow="0" w:firstColumn="0" w:lastColumn="0" w:oddVBand="0" w:evenVBand="0" w:oddHBand="0" w:evenHBand="0" w:firstRowFirstColumn="0" w:firstRowLastColumn="0" w:lastRowFirstColumn="0" w:lastRowLastColumn="0"/>
            </w:pPr>
            <w:r>
              <w:t>216</w:t>
            </w:r>
          </w:p>
        </w:tc>
        <w:tc>
          <w:tcPr>
            <w:tcW w:w="907" w:type="dxa"/>
          </w:tcPr>
          <w:p w14:paraId="2E68E5DD" w14:textId="77777777" w:rsidR="004D42F9" w:rsidRDefault="004D42F9">
            <w:pPr>
              <w:cnfStyle w:val="000000000000" w:firstRow="0" w:lastRow="0" w:firstColumn="0" w:lastColumn="0" w:oddVBand="0" w:evenVBand="0" w:oddHBand="0" w:evenHBand="0" w:firstRowFirstColumn="0" w:firstRowLastColumn="0" w:lastRowFirstColumn="0" w:lastRowLastColumn="0"/>
            </w:pPr>
            <w:r>
              <w:t>352</w:t>
            </w:r>
          </w:p>
        </w:tc>
      </w:tr>
      <w:tr w:rsidR="004D42F9" w14:paraId="4784442F" w14:textId="77777777">
        <w:tc>
          <w:tcPr>
            <w:cnfStyle w:val="001000000000" w:firstRow="0" w:lastRow="0" w:firstColumn="1" w:lastColumn="0" w:oddVBand="0" w:evenVBand="0" w:oddHBand="0" w:evenHBand="0" w:firstRowFirstColumn="0" w:firstRowLastColumn="0" w:lastRowFirstColumn="0" w:lastRowLastColumn="0"/>
            <w:tcW w:w="6012" w:type="dxa"/>
          </w:tcPr>
          <w:p w14:paraId="09692928" w14:textId="77777777" w:rsidR="004D42F9" w:rsidRDefault="004D42F9">
            <w:r>
              <w:t>Partnerships Victoria in Schools</w:t>
            </w:r>
          </w:p>
        </w:tc>
        <w:tc>
          <w:tcPr>
            <w:tcW w:w="907" w:type="dxa"/>
          </w:tcPr>
          <w:p w14:paraId="225C8ACC" w14:textId="77777777" w:rsidR="004D42F9" w:rsidRDefault="004D42F9">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53456E7A" w14:textId="77777777" w:rsidR="004D42F9" w:rsidRDefault="004D42F9">
            <w:pPr>
              <w:cnfStyle w:val="000000000000" w:firstRow="0" w:lastRow="0" w:firstColumn="0" w:lastColumn="0" w:oddVBand="0" w:evenVBand="0" w:oddHBand="0" w:evenHBand="0" w:firstRowFirstColumn="0" w:firstRowLastColumn="0" w:lastRowFirstColumn="0" w:lastRowLastColumn="0"/>
            </w:pPr>
            <w:r>
              <w:t>233</w:t>
            </w:r>
          </w:p>
        </w:tc>
        <w:tc>
          <w:tcPr>
            <w:tcW w:w="907" w:type="dxa"/>
          </w:tcPr>
          <w:p w14:paraId="29AC2B45" w14:textId="77777777" w:rsidR="004D42F9" w:rsidRDefault="004D42F9">
            <w:pPr>
              <w:cnfStyle w:val="000000000000" w:firstRow="0" w:lastRow="0" w:firstColumn="0" w:lastColumn="0" w:oddVBand="0" w:evenVBand="0" w:oddHBand="0" w:evenHBand="0" w:firstRowFirstColumn="0" w:firstRowLastColumn="0" w:lastRowFirstColumn="0" w:lastRowLastColumn="0"/>
            </w:pPr>
            <w:r>
              <w:t>158</w:t>
            </w:r>
          </w:p>
        </w:tc>
        <w:tc>
          <w:tcPr>
            <w:tcW w:w="907" w:type="dxa"/>
          </w:tcPr>
          <w:p w14:paraId="4D04AD96" w14:textId="77777777" w:rsidR="004D42F9" w:rsidRDefault="004D42F9">
            <w:pPr>
              <w:cnfStyle w:val="000000000000" w:firstRow="0" w:lastRow="0" w:firstColumn="0" w:lastColumn="0" w:oddVBand="0" w:evenVBand="0" w:oddHBand="0" w:evenHBand="0" w:firstRowFirstColumn="0" w:firstRowLastColumn="0" w:lastRowFirstColumn="0" w:lastRowLastColumn="0"/>
            </w:pPr>
            <w:r>
              <w:t>252</w:t>
            </w:r>
          </w:p>
        </w:tc>
      </w:tr>
      <w:tr w:rsidR="004D42F9" w14:paraId="67B8DE8B" w14:textId="77777777">
        <w:tc>
          <w:tcPr>
            <w:cnfStyle w:val="001000000000" w:firstRow="0" w:lastRow="0" w:firstColumn="1" w:lastColumn="0" w:oddVBand="0" w:evenVBand="0" w:oddHBand="0" w:evenHBand="0" w:firstRowFirstColumn="0" w:firstRowLastColumn="0" w:lastRowFirstColumn="0" w:lastRowLastColumn="0"/>
            <w:tcW w:w="6012" w:type="dxa"/>
          </w:tcPr>
          <w:p w14:paraId="3838A01B" w14:textId="77777777" w:rsidR="004D42F9" w:rsidRDefault="004D42F9">
            <w:r>
              <w:t>Prisons</w:t>
            </w:r>
            <w:r>
              <w:rPr>
                <w:vertAlign w:val="superscript"/>
              </w:rPr>
              <w:t xml:space="preserve"> (d)</w:t>
            </w:r>
          </w:p>
        </w:tc>
        <w:tc>
          <w:tcPr>
            <w:tcW w:w="907" w:type="dxa"/>
          </w:tcPr>
          <w:p w14:paraId="6F630E43" w14:textId="77777777" w:rsidR="004D42F9" w:rsidRDefault="004D42F9">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4627141B" w14:textId="77777777" w:rsidR="004D42F9" w:rsidRDefault="004D42F9">
            <w:pPr>
              <w:cnfStyle w:val="000000000000" w:firstRow="0" w:lastRow="0" w:firstColumn="0" w:lastColumn="0" w:oddVBand="0" w:evenVBand="0" w:oddHBand="0" w:evenHBand="0" w:firstRowFirstColumn="0" w:firstRowLastColumn="0" w:lastRowFirstColumn="0" w:lastRowLastColumn="0"/>
            </w:pPr>
            <w:r>
              <w:t>151</w:t>
            </w:r>
          </w:p>
        </w:tc>
        <w:tc>
          <w:tcPr>
            <w:tcW w:w="907" w:type="dxa"/>
          </w:tcPr>
          <w:p w14:paraId="643B1BB6" w14:textId="77777777" w:rsidR="004D42F9" w:rsidRDefault="004D42F9">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4AA2EF08" w14:textId="77777777" w:rsidR="004D42F9" w:rsidRDefault="004D42F9">
            <w:pPr>
              <w:cnfStyle w:val="000000000000" w:firstRow="0" w:lastRow="0" w:firstColumn="0" w:lastColumn="0" w:oddVBand="0" w:evenVBand="0" w:oddHBand="0" w:evenHBand="0" w:firstRowFirstColumn="0" w:firstRowLastColumn="0" w:lastRowFirstColumn="0" w:lastRowLastColumn="0"/>
            </w:pPr>
            <w:r>
              <w:t>181</w:t>
            </w:r>
          </w:p>
        </w:tc>
      </w:tr>
      <w:tr w:rsidR="004D42F9" w14:paraId="439DEF4C" w14:textId="77777777">
        <w:tc>
          <w:tcPr>
            <w:cnfStyle w:val="001000000000" w:firstRow="0" w:lastRow="0" w:firstColumn="1" w:lastColumn="0" w:oddVBand="0" w:evenVBand="0" w:oddHBand="0" w:evenHBand="0" w:firstRowFirstColumn="0" w:firstRowLastColumn="0" w:lastRowFirstColumn="0" w:lastRowLastColumn="0"/>
            <w:tcW w:w="6012" w:type="dxa"/>
          </w:tcPr>
          <w:p w14:paraId="3A3E7621" w14:textId="6A72D751" w:rsidR="004D42F9" w:rsidRDefault="004D42F9">
            <w:r>
              <w:t>Royal Children</w:t>
            </w:r>
            <w:r w:rsidR="00845934">
              <w:t>’</w:t>
            </w:r>
            <w:r>
              <w:t>s Hospital</w:t>
            </w:r>
          </w:p>
        </w:tc>
        <w:tc>
          <w:tcPr>
            <w:tcW w:w="907" w:type="dxa"/>
          </w:tcPr>
          <w:p w14:paraId="09469E97" w14:textId="77777777" w:rsidR="004D42F9" w:rsidRDefault="004D42F9">
            <w:pPr>
              <w:cnfStyle w:val="000000000000" w:firstRow="0" w:lastRow="0" w:firstColumn="0" w:lastColumn="0" w:oddVBand="0" w:evenVBand="0" w:oddHBand="0" w:evenHBand="0" w:firstRowFirstColumn="0" w:firstRowLastColumn="0" w:lastRowFirstColumn="0" w:lastRowLastColumn="0"/>
            </w:pPr>
            <w:r>
              <w:t>880</w:t>
            </w:r>
          </w:p>
        </w:tc>
        <w:tc>
          <w:tcPr>
            <w:tcW w:w="907" w:type="dxa"/>
          </w:tcPr>
          <w:p w14:paraId="753ECF15" w14:textId="77777777" w:rsidR="004D42F9" w:rsidRDefault="004D42F9">
            <w:pPr>
              <w:cnfStyle w:val="000000000000" w:firstRow="0" w:lastRow="0" w:firstColumn="0" w:lastColumn="0" w:oddVBand="0" w:evenVBand="0" w:oddHBand="0" w:evenHBand="0" w:firstRowFirstColumn="0" w:firstRowLastColumn="0" w:lastRowFirstColumn="0" w:lastRowLastColumn="0"/>
            </w:pPr>
            <w:r>
              <w:t>1 419</w:t>
            </w:r>
          </w:p>
        </w:tc>
        <w:tc>
          <w:tcPr>
            <w:tcW w:w="907" w:type="dxa"/>
          </w:tcPr>
          <w:p w14:paraId="059B5CBB" w14:textId="77777777" w:rsidR="004D42F9" w:rsidRDefault="004D42F9">
            <w:pPr>
              <w:cnfStyle w:val="000000000000" w:firstRow="0" w:lastRow="0" w:firstColumn="0" w:lastColumn="0" w:oddVBand="0" w:evenVBand="0" w:oddHBand="0" w:evenHBand="0" w:firstRowFirstColumn="0" w:firstRowLastColumn="0" w:lastRowFirstColumn="0" w:lastRowLastColumn="0"/>
            </w:pPr>
            <w:r>
              <w:t>910</w:t>
            </w:r>
          </w:p>
        </w:tc>
        <w:tc>
          <w:tcPr>
            <w:tcW w:w="907" w:type="dxa"/>
          </w:tcPr>
          <w:p w14:paraId="34412E67" w14:textId="77777777" w:rsidR="004D42F9" w:rsidRDefault="004D42F9">
            <w:pPr>
              <w:cnfStyle w:val="000000000000" w:firstRow="0" w:lastRow="0" w:firstColumn="0" w:lastColumn="0" w:oddVBand="0" w:evenVBand="0" w:oddHBand="0" w:evenHBand="0" w:firstRowFirstColumn="0" w:firstRowLastColumn="0" w:lastRowFirstColumn="0" w:lastRowLastColumn="0"/>
            </w:pPr>
            <w:r>
              <w:t>1 523</w:t>
            </w:r>
          </w:p>
        </w:tc>
      </w:tr>
      <w:tr w:rsidR="004D42F9" w14:paraId="72ACB4CA" w14:textId="77777777">
        <w:tc>
          <w:tcPr>
            <w:cnfStyle w:val="001000000000" w:firstRow="0" w:lastRow="0" w:firstColumn="1" w:lastColumn="0" w:oddVBand="0" w:evenVBand="0" w:oddHBand="0" w:evenHBand="0" w:firstRowFirstColumn="0" w:firstRowLastColumn="0" w:lastRowFirstColumn="0" w:lastRowLastColumn="0"/>
            <w:tcW w:w="6012" w:type="dxa"/>
          </w:tcPr>
          <w:p w14:paraId="1CF21433" w14:textId="77777777" w:rsidR="004D42F9" w:rsidRDefault="004D42F9">
            <w:r>
              <w:t>Royal Melbourne Showgrounds</w:t>
            </w:r>
          </w:p>
        </w:tc>
        <w:tc>
          <w:tcPr>
            <w:tcW w:w="907" w:type="dxa"/>
          </w:tcPr>
          <w:p w14:paraId="0DFD96FC" w14:textId="77777777" w:rsidR="004D42F9" w:rsidRDefault="004D42F9">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4960CB3" w14:textId="77777777" w:rsidR="004D42F9" w:rsidRDefault="004D42F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1B720FFD" w14:textId="77777777" w:rsidR="004D42F9" w:rsidRDefault="004D42F9">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01DC120A" w14:textId="77777777" w:rsidR="004D42F9" w:rsidRDefault="004D42F9">
            <w:pPr>
              <w:cnfStyle w:val="000000000000" w:firstRow="0" w:lastRow="0" w:firstColumn="0" w:lastColumn="0" w:oddVBand="0" w:evenVBand="0" w:oddHBand="0" w:evenHBand="0" w:firstRowFirstColumn="0" w:firstRowLastColumn="0" w:lastRowFirstColumn="0" w:lastRowLastColumn="0"/>
            </w:pPr>
            <w:r>
              <w:t>23</w:t>
            </w:r>
          </w:p>
        </w:tc>
      </w:tr>
      <w:tr w:rsidR="004D42F9" w14:paraId="5CC73544" w14:textId="77777777">
        <w:tc>
          <w:tcPr>
            <w:cnfStyle w:val="001000000000" w:firstRow="0" w:lastRow="0" w:firstColumn="1" w:lastColumn="0" w:oddVBand="0" w:evenVBand="0" w:oddHBand="0" w:evenHBand="0" w:firstRowFirstColumn="0" w:firstRowLastColumn="0" w:lastRowFirstColumn="0" w:lastRowLastColumn="0"/>
            <w:tcW w:w="6012" w:type="dxa"/>
          </w:tcPr>
          <w:p w14:paraId="66A09B33" w14:textId="7319A6C5" w:rsidR="004D42F9" w:rsidRDefault="004D42F9">
            <w:r>
              <w:t>Royal Women</w:t>
            </w:r>
            <w:r w:rsidR="00845934">
              <w:t>’</w:t>
            </w:r>
            <w:r>
              <w:t>s Hospital</w:t>
            </w:r>
          </w:p>
        </w:tc>
        <w:tc>
          <w:tcPr>
            <w:tcW w:w="907" w:type="dxa"/>
          </w:tcPr>
          <w:p w14:paraId="3A6EE100" w14:textId="77777777" w:rsidR="004D42F9" w:rsidRDefault="004D42F9">
            <w:pPr>
              <w:cnfStyle w:val="000000000000" w:firstRow="0" w:lastRow="0" w:firstColumn="0" w:lastColumn="0" w:oddVBand="0" w:evenVBand="0" w:oddHBand="0" w:evenHBand="0" w:firstRowFirstColumn="0" w:firstRowLastColumn="0" w:lastRowFirstColumn="0" w:lastRowLastColumn="0"/>
            </w:pPr>
            <w:r>
              <w:t>219</w:t>
            </w:r>
          </w:p>
        </w:tc>
        <w:tc>
          <w:tcPr>
            <w:tcW w:w="907" w:type="dxa"/>
          </w:tcPr>
          <w:p w14:paraId="4ABA7EF0" w14:textId="77777777" w:rsidR="004D42F9" w:rsidRDefault="004D42F9">
            <w:pPr>
              <w:cnfStyle w:val="000000000000" w:firstRow="0" w:lastRow="0" w:firstColumn="0" w:lastColumn="0" w:oddVBand="0" w:evenVBand="0" w:oddHBand="0" w:evenHBand="0" w:firstRowFirstColumn="0" w:firstRowLastColumn="0" w:lastRowFirstColumn="0" w:lastRowLastColumn="0"/>
            </w:pPr>
            <w:r>
              <w:t>298</w:t>
            </w:r>
          </w:p>
        </w:tc>
        <w:tc>
          <w:tcPr>
            <w:tcW w:w="907" w:type="dxa"/>
          </w:tcPr>
          <w:p w14:paraId="6FA49108" w14:textId="77777777" w:rsidR="004D42F9" w:rsidRDefault="004D42F9">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175CC390" w14:textId="77777777" w:rsidR="004D42F9" w:rsidRDefault="004D42F9">
            <w:pPr>
              <w:cnfStyle w:val="000000000000" w:firstRow="0" w:lastRow="0" w:firstColumn="0" w:lastColumn="0" w:oddVBand="0" w:evenVBand="0" w:oddHBand="0" w:evenHBand="0" w:firstRowFirstColumn="0" w:firstRowLastColumn="0" w:lastRowFirstColumn="0" w:lastRowLastColumn="0"/>
            </w:pPr>
            <w:r>
              <w:t>323</w:t>
            </w:r>
          </w:p>
        </w:tc>
      </w:tr>
      <w:tr w:rsidR="004D42F9" w14:paraId="378F3841" w14:textId="77777777">
        <w:tc>
          <w:tcPr>
            <w:cnfStyle w:val="001000000000" w:firstRow="0" w:lastRow="0" w:firstColumn="1" w:lastColumn="0" w:oddVBand="0" w:evenVBand="0" w:oddHBand="0" w:evenHBand="0" w:firstRowFirstColumn="0" w:firstRowLastColumn="0" w:lastRowFirstColumn="0" w:lastRowLastColumn="0"/>
            <w:tcW w:w="6012" w:type="dxa"/>
          </w:tcPr>
          <w:p w14:paraId="61535641" w14:textId="77777777" w:rsidR="004D42F9" w:rsidRDefault="004D42F9">
            <w:r>
              <w:t>Service Delivery of Mobile Network</w:t>
            </w:r>
            <w:r>
              <w:rPr>
                <w:vertAlign w:val="superscript"/>
              </w:rPr>
              <w:t xml:space="preserve"> (e)</w:t>
            </w:r>
          </w:p>
        </w:tc>
        <w:tc>
          <w:tcPr>
            <w:tcW w:w="907" w:type="dxa"/>
          </w:tcPr>
          <w:p w14:paraId="5520F2AC" w14:textId="77777777" w:rsidR="004D42F9" w:rsidRDefault="004D42F9">
            <w:pPr>
              <w:cnfStyle w:val="000000000000" w:firstRow="0" w:lastRow="0" w:firstColumn="0" w:lastColumn="0" w:oddVBand="0" w:evenVBand="0" w:oddHBand="0" w:evenHBand="0" w:firstRowFirstColumn="0" w:firstRowLastColumn="0" w:lastRowFirstColumn="0" w:lastRowLastColumn="0"/>
            </w:pPr>
            <w:r>
              <w:t>524</w:t>
            </w:r>
          </w:p>
        </w:tc>
        <w:tc>
          <w:tcPr>
            <w:tcW w:w="907" w:type="dxa"/>
          </w:tcPr>
          <w:p w14:paraId="6C0AA25F" w14:textId="77777777" w:rsidR="004D42F9" w:rsidRDefault="004D42F9">
            <w:pPr>
              <w:cnfStyle w:val="000000000000" w:firstRow="0" w:lastRow="0" w:firstColumn="0" w:lastColumn="0" w:oddVBand="0" w:evenVBand="0" w:oddHBand="0" w:evenHBand="0" w:firstRowFirstColumn="0" w:firstRowLastColumn="0" w:lastRowFirstColumn="0" w:lastRowLastColumn="0"/>
            </w:pPr>
            <w:r>
              <w:t>631</w:t>
            </w:r>
          </w:p>
        </w:tc>
        <w:tc>
          <w:tcPr>
            <w:tcW w:w="907" w:type="dxa"/>
          </w:tcPr>
          <w:p w14:paraId="6F041A4F" w14:textId="77777777" w:rsidR="004D42F9" w:rsidRDefault="004D42F9">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0B723606" w14:textId="77777777" w:rsidR="004D42F9" w:rsidRDefault="004D42F9">
            <w:pPr>
              <w:cnfStyle w:val="000000000000" w:firstRow="0" w:lastRow="0" w:firstColumn="0" w:lastColumn="0" w:oddVBand="0" w:evenVBand="0" w:oddHBand="0" w:evenHBand="0" w:firstRowFirstColumn="0" w:firstRowLastColumn="0" w:lastRowFirstColumn="0" w:lastRowLastColumn="0"/>
            </w:pPr>
            <w:r>
              <w:t>252</w:t>
            </w:r>
          </w:p>
        </w:tc>
      </w:tr>
      <w:tr w:rsidR="004D42F9" w14:paraId="18F5F8E4" w14:textId="77777777">
        <w:tc>
          <w:tcPr>
            <w:cnfStyle w:val="001000000000" w:firstRow="0" w:lastRow="0" w:firstColumn="1" w:lastColumn="0" w:oddVBand="0" w:evenVBand="0" w:oddHBand="0" w:evenHBand="0" w:firstRowFirstColumn="0" w:firstRowLastColumn="0" w:lastRowFirstColumn="0" w:lastRowLastColumn="0"/>
            <w:tcW w:w="6012" w:type="dxa"/>
          </w:tcPr>
          <w:p w14:paraId="0C6DF8AC" w14:textId="77777777" w:rsidR="004D42F9" w:rsidRDefault="004D42F9">
            <w:r>
              <w:t>Victorian Comprehensive Cancer Centre (VCCC)</w:t>
            </w:r>
          </w:p>
        </w:tc>
        <w:tc>
          <w:tcPr>
            <w:tcW w:w="907" w:type="dxa"/>
          </w:tcPr>
          <w:p w14:paraId="71E996E7" w14:textId="77777777" w:rsidR="004D42F9" w:rsidRDefault="004D42F9">
            <w:pPr>
              <w:cnfStyle w:val="000000000000" w:firstRow="0" w:lastRow="0" w:firstColumn="0" w:lastColumn="0" w:oddVBand="0" w:evenVBand="0" w:oddHBand="0" w:evenHBand="0" w:firstRowFirstColumn="0" w:firstRowLastColumn="0" w:lastRowFirstColumn="0" w:lastRowLastColumn="0"/>
            </w:pPr>
            <w:r>
              <w:t>482</w:t>
            </w:r>
          </w:p>
        </w:tc>
        <w:tc>
          <w:tcPr>
            <w:tcW w:w="907" w:type="dxa"/>
          </w:tcPr>
          <w:p w14:paraId="294F1381" w14:textId="77777777" w:rsidR="004D42F9" w:rsidRDefault="004D42F9">
            <w:pPr>
              <w:cnfStyle w:val="000000000000" w:firstRow="0" w:lastRow="0" w:firstColumn="0" w:lastColumn="0" w:oddVBand="0" w:evenVBand="0" w:oddHBand="0" w:evenHBand="0" w:firstRowFirstColumn="0" w:firstRowLastColumn="0" w:lastRowFirstColumn="0" w:lastRowLastColumn="0"/>
            </w:pPr>
            <w:r>
              <w:t>935</w:t>
            </w:r>
          </w:p>
        </w:tc>
        <w:tc>
          <w:tcPr>
            <w:tcW w:w="907" w:type="dxa"/>
          </w:tcPr>
          <w:p w14:paraId="59AC11CE" w14:textId="77777777" w:rsidR="004D42F9" w:rsidRDefault="004D42F9">
            <w:pPr>
              <w:cnfStyle w:val="000000000000" w:firstRow="0" w:lastRow="0" w:firstColumn="0" w:lastColumn="0" w:oddVBand="0" w:evenVBand="0" w:oddHBand="0" w:evenHBand="0" w:firstRowFirstColumn="0" w:firstRowLastColumn="0" w:lastRowFirstColumn="0" w:lastRowLastColumn="0"/>
            </w:pPr>
            <w:r>
              <w:t>477</w:t>
            </w:r>
          </w:p>
        </w:tc>
        <w:tc>
          <w:tcPr>
            <w:tcW w:w="907" w:type="dxa"/>
          </w:tcPr>
          <w:p w14:paraId="3933F2CA" w14:textId="77777777" w:rsidR="004D42F9" w:rsidRDefault="004D42F9">
            <w:pPr>
              <w:cnfStyle w:val="000000000000" w:firstRow="0" w:lastRow="0" w:firstColumn="0" w:lastColumn="0" w:oddVBand="0" w:evenVBand="0" w:oddHBand="0" w:evenHBand="0" w:firstRowFirstColumn="0" w:firstRowLastColumn="0" w:lastRowFirstColumn="0" w:lastRowLastColumn="0"/>
            </w:pPr>
            <w:r>
              <w:t>957</w:t>
            </w:r>
          </w:p>
        </w:tc>
      </w:tr>
      <w:tr w:rsidR="004D42F9" w14:paraId="6A49A8AD" w14:textId="77777777">
        <w:tc>
          <w:tcPr>
            <w:cnfStyle w:val="001000000000" w:firstRow="0" w:lastRow="0" w:firstColumn="1" w:lastColumn="0" w:oddVBand="0" w:evenVBand="0" w:oddHBand="0" w:evenHBand="0" w:firstRowFirstColumn="0" w:firstRowLastColumn="0" w:lastRowFirstColumn="0" w:lastRowLastColumn="0"/>
            <w:tcW w:w="6012" w:type="dxa"/>
          </w:tcPr>
          <w:p w14:paraId="2F59FD93" w14:textId="77777777" w:rsidR="004D42F9" w:rsidRDefault="004D42F9">
            <w:r>
              <w:rPr>
                <w:b/>
              </w:rPr>
              <w:t>Uncommissioned Leases</w:t>
            </w:r>
          </w:p>
        </w:tc>
        <w:tc>
          <w:tcPr>
            <w:tcW w:w="907" w:type="dxa"/>
          </w:tcPr>
          <w:p w14:paraId="2A61B37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012EA58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75905EC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07" w:type="dxa"/>
          </w:tcPr>
          <w:p w14:paraId="3E91612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5296D21E" w14:textId="77777777">
        <w:tc>
          <w:tcPr>
            <w:cnfStyle w:val="001000000000" w:firstRow="0" w:lastRow="0" w:firstColumn="1" w:lastColumn="0" w:oddVBand="0" w:evenVBand="0" w:oddHBand="0" w:evenHBand="0" w:firstRowFirstColumn="0" w:firstRowLastColumn="0" w:lastRowFirstColumn="0" w:lastRowLastColumn="0"/>
            <w:tcW w:w="6012" w:type="dxa"/>
            <w:tcBorders>
              <w:bottom w:val="single" w:sz="6" w:space="0" w:color="auto"/>
            </w:tcBorders>
          </w:tcPr>
          <w:p w14:paraId="26D8F0EE" w14:textId="77777777" w:rsidR="004D42F9" w:rsidRDefault="004D42F9">
            <w:r>
              <w:t>Melbourne Renewable Energy Hub (MREH)</w:t>
            </w:r>
            <w:r>
              <w:rPr>
                <w:vertAlign w:val="superscript"/>
              </w:rPr>
              <w:t xml:space="preserve"> (f)</w:t>
            </w:r>
          </w:p>
        </w:tc>
        <w:tc>
          <w:tcPr>
            <w:tcW w:w="907" w:type="dxa"/>
            <w:tcBorders>
              <w:bottom w:val="single" w:sz="6" w:space="0" w:color="auto"/>
            </w:tcBorders>
          </w:tcPr>
          <w:p w14:paraId="6B9FAC81" w14:textId="77777777" w:rsidR="004D42F9" w:rsidRDefault="004D42F9">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67A9CD18" w14:textId="77777777" w:rsidR="004D42F9" w:rsidRDefault="004D42F9">
            <w:pPr>
              <w:cnfStyle w:val="000000000000" w:firstRow="0" w:lastRow="0" w:firstColumn="0" w:lastColumn="0" w:oddVBand="0" w:evenVBand="0" w:oddHBand="0" w:evenHBand="0" w:firstRowFirstColumn="0" w:firstRowLastColumn="0" w:lastRowFirstColumn="0" w:lastRowLastColumn="0"/>
            </w:pPr>
            <w:r>
              <w:t>1 152</w:t>
            </w:r>
          </w:p>
        </w:tc>
        <w:tc>
          <w:tcPr>
            <w:tcW w:w="907" w:type="dxa"/>
            <w:tcBorders>
              <w:bottom w:val="single" w:sz="6" w:space="0" w:color="auto"/>
            </w:tcBorders>
          </w:tcPr>
          <w:p w14:paraId="782DF1D9" w14:textId="77777777" w:rsidR="004D42F9" w:rsidRDefault="004D42F9">
            <w:pPr>
              <w:cnfStyle w:val="000000000000" w:firstRow="0" w:lastRow="0" w:firstColumn="0" w:lastColumn="0" w:oddVBand="0" w:evenVBand="0" w:oddHBand="0" w:evenHBand="0" w:firstRowFirstColumn="0" w:firstRowLastColumn="0" w:lastRowFirstColumn="0" w:lastRowLastColumn="0"/>
            </w:pPr>
            <w:r>
              <w:t>478</w:t>
            </w:r>
          </w:p>
        </w:tc>
        <w:tc>
          <w:tcPr>
            <w:tcW w:w="907" w:type="dxa"/>
            <w:tcBorders>
              <w:bottom w:val="single" w:sz="6" w:space="0" w:color="auto"/>
            </w:tcBorders>
          </w:tcPr>
          <w:p w14:paraId="15A413C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1 152</w:t>
            </w:r>
          </w:p>
        </w:tc>
      </w:tr>
      <w:tr w:rsidR="004D42F9" w14:paraId="6F54C8F6" w14:textId="77777777">
        <w:tc>
          <w:tcPr>
            <w:cnfStyle w:val="001000000000" w:firstRow="0" w:lastRow="0" w:firstColumn="1" w:lastColumn="0" w:oddVBand="0" w:evenVBand="0" w:oddHBand="0" w:evenHBand="0" w:firstRowFirstColumn="0" w:firstRowLastColumn="0" w:lastRowFirstColumn="0" w:lastRowLastColumn="0"/>
            <w:tcW w:w="6012" w:type="dxa"/>
            <w:tcBorders>
              <w:top w:val="single" w:sz="6" w:space="0" w:color="auto"/>
              <w:bottom w:val="single" w:sz="12" w:space="0" w:color="auto"/>
            </w:tcBorders>
          </w:tcPr>
          <w:p w14:paraId="7F079E2A" w14:textId="77777777" w:rsidR="004D42F9" w:rsidRDefault="004D42F9">
            <w:r>
              <w:rPr>
                <w:b/>
              </w:rPr>
              <w:t>Total commitments for leases</w:t>
            </w:r>
          </w:p>
        </w:tc>
        <w:tc>
          <w:tcPr>
            <w:tcW w:w="907" w:type="dxa"/>
            <w:tcBorders>
              <w:top w:val="single" w:sz="6" w:space="0" w:color="auto"/>
              <w:bottom w:val="single" w:sz="12" w:space="0" w:color="auto"/>
            </w:tcBorders>
          </w:tcPr>
          <w:p w14:paraId="624BA63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4 260</w:t>
            </w:r>
          </w:p>
        </w:tc>
        <w:tc>
          <w:tcPr>
            <w:tcW w:w="907" w:type="dxa"/>
            <w:tcBorders>
              <w:top w:val="single" w:sz="6" w:space="0" w:color="auto"/>
              <w:bottom w:val="single" w:sz="12" w:space="0" w:color="auto"/>
            </w:tcBorders>
          </w:tcPr>
          <w:p w14:paraId="0B34A10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7 201</w:t>
            </w:r>
          </w:p>
        </w:tc>
        <w:tc>
          <w:tcPr>
            <w:tcW w:w="907" w:type="dxa"/>
            <w:tcBorders>
              <w:top w:val="single" w:sz="6" w:space="0" w:color="auto"/>
              <w:bottom w:val="single" w:sz="12" w:space="0" w:color="auto"/>
            </w:tcBorders>
          </w:tcPr>
          <w:p w14:paraId="7D11D4C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4 037</w:t>
            </w:r>
          </w:p>
        </w:tc>
        <w:tc>
          <w:tcPr>
            <w:tcW w:w="907" w:type="dxa"/>
            <w:tcBorders>
              <w:top w:val="single" w:sz="6" w:space="0" w:color="auto"/>
              <w:bottom w:val="single" w:sz="12" w:space="0" w:color="auto"/>
            </w:tcBorders>
          </w:tcPr>
          <w:p w14:paraId="301D4E6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7 101</w:t>
            </w:r>
          </w:p>
        </w:tc>
      </w:tr>
    </w:tbl>
    <w:p w14:paraId="22AE6A86" w14:textId="77777777" w:rsidR="004D42F9" w:rsidRPr="00B90414" w:rsidRDefault="004D42F9" w:rsidP="004D42F9">
      <w:pPr>
        <w:pStyle w:val="Note"/>
        <w:ind w:left="0" w:firstLine="0"/>
      </w:pPr>
      <w:r w:rsidRPr="00B90414">
        <w:t>Notes:</w:t>
      </w:r>
    </w:p>
    <w:p w14:paraId="1839528D" w14:textId="77777777" w:rsidR="004D42F9" w:rsidRDefault="004D42F9" w:rsidP="004D42F9">
      <w:pPr>
        <w:pStyle w:val="Note"/>
      </w:pPr>
      <w:r w:rsidRPr="00B90414">
        <w:t>(a)</w:t>
      </w:r>
      <w:r w:rsidRPr="00B90414">
        <w:tab/>
      </w:r>
      <w:r>
        <w:t xml:space="preserve">The figures in this table are for the consolidated State of Victoria only, as all leases are recorded in the general government sector with the </w:t>
      </w:r>
      <w:r w:rsidRPr="00125FB1">
        <w:t>exception of the Melbourne</w:t>
      </w:r>
      <w:r>
        <w:t> </w:t>
      </w:r>
      <w:r w:rsidRPr="00125FB1">
        <w:t>Renewable Energy Hub which is recognised in the public non-financial corporations sector.</w:t>
      </w:r>
    </w:p>
    <w:p w14:paraId="6A20A3B7" w14:textId="77777777" w:rsidR="004D42F9" w:rsidRPr="00B90414" w:rsidRDefault="004D42F9" w:rsidP="004D42F9">
      <w:pPr>
        <w:pStyle w:val="Note"/>
      </w:pPr>
      <w:r>
        <w:t>(b</w:t>
      </w:r>
      <w:r w:rsidRPr="00B90414">
        <w:t>)</w:t>
      </w:r>
      <w:r w:rsidRPr="00B90414">
        <w:tab/>
        <w:t xml:space="preserve">The liability associated with commissioned </w:t>
      </w:r>
      <w:r>
        <w:t>leases</w:t>
      </w:r>
      <w:r w:rsidRPr="00B90414">
        <w:t xml:space="preserve"> are recognised on the balance sheet and are not disclosed as a </w:t>
      </w:r>
      <w:r>
        <w:t xml:space="preserve">lease </w:t>
      </w:r>
      <w:r w:rsidRPr="00B90414">
        <w:t>commitment.</w:t>
      </w:r>
    </w:p>
    <w:p w14:paraId="0135A20A" w14:textId="77777777" w:rsidR="004D42F9" w:rsidRPr="00B90414" w:rsidRDefault="004D42F9" w:rsidP="004D42F9">
      <w:pPr>
        <w:pStyle w:val="Note"/>
      </w:pPr>
      <w:r w:rsidRPr="00B90414">
        <w:t>(</w:t>
      </w:r>
      <w:r>
        <w:t>c</w:t>
      </w:r>
      <w:r w:rsidRPr="00B90414">
        <w:t>)</w:t>
      </w:r>
      <w:r w:rsidRPr="00B90414">
        <w:tab/>
        <w:t>The</w:t>
      </w:r>
      <w:r w:rsidRPr="00B90414">
        <w:rPr>
          <w:color w:val="FF0000"/>
        </w:rPr>
        <w:t xml:space="preserve"> </w:t>
      </w:r>
      <w:r w:rsidRPr="00B90414">
        <w:t xml:space="preserve">present value of </w:t>
      </w:r>
      <w:r>
        <w:t>lease</w:t>
      </w:r>
      <w:r w:rsidRPr="00B90414">
        <w:t xml:space="preserve"> commitments has been discounted to 30 June of the respective financial years.</w:t>
      </w:r>
    </w:p>
    <w:p w14:paraId="01960518" w14:textId="77777777" w:rsidR="004D42F9" w:rsidRPr="00B90414" w:rsidRDefault="004D42F9" w:rsidP="004D42F9">
      <w:pPr>
        <w:pStyle w:val="Note"/>
      </w:pPr>
      <w:r>
        <w:t>(d)</w:t>
      </w:r>
      <w:r>
        <w:tab/>
        <w:t>Prisons include the Metropolitan Remand Centre and Marngoneet Correctional Centre.</w:t>
      </w:r>
    </w:p>
    <w:p w14:paraId="734E2AAE" w14:textId="77777777" w:rsidR="004D42F9" w:rsidRPr="00B90414" w:rsidRDefault="004D42F9" w:rsidP="004D42F9">
      <w:pPr>
        <w:pStyle w:val="Note"/>
      </w:pPr>
      <w:r>
        <w:t>(e)    P</w:t>
      </w:r>
      <w:r w:rsidRPr="006A6FD4">
        <w:t>reviously classified</w:t>
      </w:r>
      <w:r>
        <w:t xml:space="preserve"> under Emergency Telecommunication Networks</w:t>
      </w:r>
      <w:r w:rsidRPr="006A6FD4">
        <w:t xml:space="preserve"> as an Other Commitment in Note 5.8 in 2023-24.</w:t>
      </w:r>
    </w:p>
    <w:p w14:paraId="18C84D0F" w14:textId="77777777" w:rsidR="004D42F9" w:rsidRPr="00B90414" w:rsidRDefault="004D42F9" w:rsidP="004D42F9">
      <w:pPr>
        <w:pStyle w:val="Note"/>
      </w:pPr>
      <w:r>
        <w:t xml:space="preserve">(f)    </w:t>
      </w:r>
      <w:r w:rsidRPr="00AB592C">
        <w:t xml:space="preserve">As part of the </w:t>
      </w:r>
      <w:r>
        <w:t xml:space="preserve">uncommissioned </w:t>
      </w:r>
      <w:r w:rsidRPr="00AB592C">
        <w:t xml:space="preserve">MREH </w:t>
      </w:r>
      <w:r>
        <w:t>commitment</w:t>
      </w:r>
      <w:r w:rsidRPr="00AB592C">
        <w:t xml:space="preserve">, a lease was contracted by SEC as one of the investors in Equis Group for the rights to operate the A3 Battery. </w:t>
      </w:r>
    </w:p>
    <w:p w14:paraId="5740FCB5" w14:textId="77777777" w:rsidR="004D42F9" w:rsidRDefault="004D42F9" w:rsidP="004D42F9">
      <w:pPr>
        <w:pStyle w:val="Note"/>
        <w:jc w:val="both"/>
      </w:pPr>
    </w:p>
    <w:p w14:paraId="732B97CC" w14:textId="77777777" w:rsidR="004D42F9" w:rsidRDefault="004D42F9" w:rsidP="004D42F9">
      <w:pPr>
        <w:keepLines w:val="0"/>
        <w:rPr>
          <w:rFonts w:asciiTheme="majorHAnsi" w:eastAsiaTheme="majorEastAsia" w:hAnsiTheme="majorHAnsi" w:cstheme="majorBidi"/>
          <w:b/>
          <w:sz w:val="27"/>
          <w:szCs w:val="26"/>
        </w:rPr>
      </w:pPr>
      <w:r>
        <w:br w:type="page"/>
      </w:r>
    </w:p>
    <w:p w14:paraId="6A6B6A76" w14:textId="77777777" w:rsidR="004D42F9" w:rsidRDefault="004D42F9" w:rsidP="004D42F9">
      <w:pPr>
        <w:pStyle w:val="Heading2"/>
      </w:pPr>
      <w:bookmarkStart w:id="104" w:name="_Toc209481764"/>
      <w:r>
        <w:lastRenderedPageBreak/>
        <w:t>5.7</w:t>
      </w:r>
      <w:r>
        <w:tab/>
        <w:t>Service concession arrangements (SCA)</w:t>
      </w:r>
      <w:bookmarkEnd w:id="104"/>
    </w:p>
    <w:p w14:paraId="1172006E" w14:textId="77777777" w:rsidR="00A30637" w:rsidRDefault="00A30637" w:rsidP="004D42F9">
      <w:pPr>
        <w:sectPr w:rsidR="00A30637" w:rsidSect="004D42F9">
          <w:type w:val="continuous"/>
          <w:pgSz w:w="11906" w:h="16838" w:code="9"/>
          <w:pgMar w:top="1134" w:right="1134" w:bottom="1134" w:left="1134" w:header="624" w:footer="567" w:gutter="0"/>
          <w:cols w:space="708"/>
          <w:docGrid w:linePitch="360"/>
        </w:sectPr>
      </w:pPr>
    </w:p>
    <w:p w14:paraId="35E02CB9" w14:textId="77777777" w:rsidR="004D42F9" w:rsidRDefault="004D42F9" w:rsidP="004D42F9">
      <w:r>
        <w:t xml:space="preserve">AASB 1059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are not within the scope of AASB 1059 and are accounted for as either leases (refer to Note 5.6) or assets being constructed by the State (refer to Note 5.8) and conversely, certain arrangements that are not PPPs (such as certain external service arrangements) could be captured within the scope of AASB 1059. </w:t>
      </w:r>
    </w:p>
    <w:p w14:paraId="742098B5" w14:textId="77777777" w:rsidR="004D42F9" w:rsidRDefault="004D42F9" w:rsidP="004D42F9">
      <w:r>
        <w:t>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of a right to the operator liability) or a combination of both.</w:t>
      </w:r>
    </w:p>
    <w:p w14:paraId="218F605A" w14:textId="77777777" w:rsidR="004D42F9" w:rsidRDefault="004D42F9" w:rsidP="004D42F9">
      <w:r>
        <w:t>The nature of the liability and subsequent accounting depends on the consideration exchanged in the arrangement between the State and the operator.</w:t>
      </w:r>
    </w:p>
    <w:p w14:paraId="14701545" w14:textId="77777777" w:rsidR="004D42F9" w:rsidRDefault="004D42F9" w:rsidP="004D42F9">
      <w:r>
        <w:t xml:space="preserve">A </w:t>
      </w:r>
      <w:r w:rsidRPr="00F8312A">
        <w:rPr>
          <w:b/>
          <w:bCs/>
        </w:rPr>
        <w:t>financial liability</w:t>
      </w:r>
      <w:r>
        <w:t xml:space="preserve"> is recognised where the State has a contractual obligation to pay the operator under the service concession arrangement for the provision of service concession assets and/or services. It is recognised as a borrowing (Note 5.1). The liability is increased by interest charges (Note 5.2), based on the interest rate implicit in the arrangement. The liability is reduced by any payments made by the State to the operator as required by the contract.</w:t>
      </w:r>
    </w:p>
    <w:p w14:paraId="2AECB0DD" w14:textId="77777777" w:rsidR="004D42F9" w:rsidRDefault="004D42F9" w:rsidP="004D42F9">
      <w:r>
        <w:t xml:space="preserve">These payments take the form of state contributions and other periodic payments (referred to as service payments). The state contributions are usually made during the construction phase of the asset. Service payments include both capital and service elements. </w:t>
      </w:r>
    </w:p>
    <w:p w14:paraId="5549DBFC" w14:textId="77777777" w:rsidR="004D42F9" w:rsidRDefault="004D42F9" w:rsidP="004D42F9">
      <w:r>
        <w:t>The capital elements are associated with the design, construction, and financing of the service concession asset. The service elements included within the service payments compensate the operator for delivery of services such as ongoing operation, maintenance, replacement, and other costs. The service payments may be impacted by key performance indicators (KPIs) not being met and are generally quarterly (QSP), monthly (MSP) or other periodic intervals.</w:t>
      </w:r>
    </w:p>
    <w:p w14:paraId="0D893A40" w14:textId="4AEE6C4B" w:rsidR="004D42F9" w:rsidRDefault="00A30637" w:rsidP="004D42F9">
      <w:r>
        <w:br w:type="column"/>
      </w:r>
      <w:r w:rsidR="004D42F9">
        <w:t xml:space="preserve">A </w:t>
      </w:r>
      <w:r w:rsidR="004D42F9" w:rsidRPr="00F8312A">
        <w:rPr>
          <w:b/>
          <w:bCs/>
        </w:rPr>
        <w:t>grant of a right to the operator (GORTO)</w:t>
      </w:r>
      <w:r w:rsidR="004D42F9">
        <w:t xml:space="preserve"> liability is recognised where the State does not have a contractual obligation to pay cash or another financial asset under the SCA but instead grants the right to the operator to earn revenue from the public use of the asset (Note 2.8). It represents unearned revenue and is progressively reduced over the period of the concession (Note 2.6). </w:t>
      </w:r>
    </w:p>
    <w:p w14:paraId="648C6BB6" w14:textId="77777777" w:rsidR="004D42F9" w:rsidRDefault="004D42F9" w:rsidP="004D42F9">
      <w:r>
        <w:t>Financial liabilities and GORTO liabilities are initially recognised at the same amount as the service concession asset, adjusted by the amount of any other consideration from the State to the operator, or from the operator to the State.</w:t>
      </w:r>
    </w:p>
    <w:p w14:paraId="7A0D0360" w14:textId="77777777" w:rsidR="004D42F9" w:rsidRDefault="004D42F9" w:rsidP="004D42F9">
      <w:r>
        <w:t>An exception to this principle occurs when an existing asset of the grantor is reclassified as a result of becoming part of an SCA. When this occurs, the asset is revalued to current replacement cost with a corresponding adjustment to the asset revaluation surplus. A liability is not recognised unless additional consideration is provided by the operator. If the assets included in an SCA are upgraded or expanded, the State recognises a corresponding liability (either financial or GORTO) for the amounts the State is liable for on the upgrade/ expansion work.</w:t>
      </w:r>
    </w:p>
    <w:p w14:paraId="6047670B" w14:textId="72C6D5D4" w:rsidR="004D42F9" w:rsidRDefault="004D42F9" w:rsidP="004D42F9">
      <w:r>
        <w:t>After initial recognition, service concession assets are measured by applying the revaluation model for the State</w:t>
      </w:r>
      <w:r w:rsidR="00845934">
        <w:t>’</w:t>
      </w:r>
      <w:r>
        <w:t xml:space="preserve">s property, plant and equipment (Note 4.1) and intangible assets (Note 4.2). </w:t>
      </w:r>
      <w:r w:rsidRPr="00883875">
        <w:t>For service concession assets that are under construction the State applies the fair value proxy approach (Note</w:t>
      </w:r>
      <w:r>
        <w:t> </w:t>
      </w:r>
      <w:r w:rsidRPr="00883875">
        <w:t>4.1.1) to achieve faithful representation of construction in progress balances.</w:t>
      </w:r>
    </w:p>
    <w:p w14:paraId="5D874923" w14:textId="77777777" w:rsidR="00A30637" w:rsidRDefault="00A30637" w:rsidP="004D42F9">
      <w:pPr>
        <w:sectPr w:rsidR="00A30637" w:rsidSect="00A30637">
          <w:type w:val="continuous"/>
          <w:pgSz w:w="11906" w:h="16838" w:code="9"/>
          <w:pgMar w:top="1134" w:right="1134" w:bottom="1134" w:left="1134" w:header="624" w:footer="567" w:gutter="0"/>
          <w:cols w:num="2" w:space="708"/>
          <w:docGrid w:linePitch="360"/>
        </w:sectPr>
      </w:pPr>
    </w:p>
    <w:p w14:paraId="2E4903DD" w14:textId="77777777" w:rsidR="004D42F9" w:rsidRDefault="004D42F9" w:rsidP="004D42F9"/>
    <w:p w14:paraId="4225FA38" w14:textId="77777777" w:rsidR="004D42F9" w:rsidRDefault="004D42F9" w:rsidP="004D42F9">
      <w:pPr>
        <w:sectPr w:rsidR="004D42F9" w:rsidSect="004D42F9">
          <w:type w:val="continuous"/>
          <w:pgSz w:w="11906" w:h="16838" w:code="9"/>
          <w:pgMar w:top="1134" w:right="1134" w:bottom="1134" w:left="1134" w:header="624" w:footer="567" w:gutter="0"/>
          <w:cols w:space="708"/>
          <w:docGrid w:linePitch="360"/>
        </w:sectPr>
      </w:pPr>
    </w:p>
    <w:p w14:paraId="45FD1461" w14:textId="77777777" w:rsidR="004D42F9" w:rsidRDefault="004D42F9" w:rsidP="00A30637">
      <w:pPr>
        <w:spacing w:before="0"/>
      </w:pPr>
      <w:r>
        <w:lastRenderedPageBreak/>
        <w:t xml:space="preserve">The following material SCAs existed at 30 June 2025. Unless noted in the arrangement specific disclosures below, no material changes have </w:t>
      </w:r>
      <w:r w:rsidRPr="006A4810">
        <w:t>occurred</w:t>
      </w:r>
      <w:r>
        <w:t xml:space="preserve"> during the year.</w:t>
      </w:r>
    </w:p>
    <w:p w14:paraId="44F1B48A" w14:textId="77777777" w:rsidR="00A30637" w:rsidRDefault="00A30637" w:rsidP="004D42F9">
      <w:pPr>
        <w:pStyle w:val="TableHeading"/>
      </w:pPr>
    </w:p>
    <w:p w14:paraId="37BD6239" w14:textId="77777777" w:rsidR="00A30637" w:rsidRPr="00A30637" w:rsidRDefault="00A30637" w:rsidP="00A30637">
      <w:pPr>
        <w:sectPr w:rsidR="00A30637" w:rsidRPr="00A30637" w:rsidSect="00A30637">
          <w:headerReference w:type="even" r:id="rId87"/>
          <w:headerReference w:type="default" r:id="rId88"/>
          <w:footerReference w:type="even" r:id="rId89"/>
          <w:footerReference w:type="default" r:id="rId90"/>
          <w:pgSz w:w="16838" w:h="11906" w:orient="landscape" w:code="9"/>
          <w:pgMar w:top="1134" w:right="1134" w:bottom="1134" w:left="1134" w:header="624" w:footer="567" w:gutter="0"/>
          <w:cols w:num="2" w:space="708"/>
          <w:docGrid w:linePitch="360"/>
        </w:sectPr>
      </w:pPr>
    </w:p>
    <w:p w14:paraId="1903A582" w14:textId="77777777" w:rsidR="004D42F9" w:rsidRDefault="004D42F9" w:rsidP="004D42F9">
      <w:pPr>
        <w:pStyle w:val="TableHeading"/>
      </w:pPr>
      <w:r w:rsidRPr="00FB6AA9">
        <w:t>Service concession arrangements</w:t>
      </w:r>
      <w:r>
        <w:tab/>
      </w:r>
      <w:r>
        <w:tab/>
        <w:t>($ million)</w:t>
      </w:r>
    </w:p>
    <w:tbl>
      <w:tblPr>
        <w:tblStyle w:val="DTFTableNumeric"/>
        <w:tblW w:w="14572" w:type="dxa"/>
        <w:tblLayout w:type="fixed"/>
        <w:tblLook w:val="06A0" w:firstRow="1" w:lastRow="0" w:firstColumn="1" w:lastColumn="0" w:noHBand="1" w:noVBand="1"/>
        <w:tblDescription w:val="Type:DtfTable|Workbook:https://vicgov.sharepoint.com/sites/VG002733/Annual Financial Report/CRA Coordination/Financial Statements/Manual Reports/SCA/Link_AFR_SCA (Streamlined).xlsx|Table:Service_concession_arrangements"/>
      </w:tblPr>
      <w:tblGrid>
        <w:gridCol w:w="2430"/>
        <w:gridCol w:w="732"/>
        <w:gridCol w:w="1318"/>
        <w:gridCol w:w="1157"/>
        <w:gridCol w:w="1601"/>
        <w:gridCol w:w="1870"/>
        <w:gridCol w:w="735"/>
        <w:gridCol w:w="1169"/>
        <w:gridCol w:w="1141"/>
        <w:gridCol w:w="1277"/>
        <w:gridCol w:w="1142"/>
      </w:tblGrid>
      <w:tr w:rsidR="009132A6" w14:paraId="2BBD91E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0" w:type="dxa"/>
          </w:tcPr>
          <w:p w14:paraId="3BF11EA7" w14:textId="77777777" w:rsidR="004D42F9" w:rsidRDefault="004D42F9">
            <w:pPr>
              <w:keepNext/>
            </w:pPr>
            <w:r>
              <w:rPr>
                <w:sz w:val="15"/>
              </w:rPr>
              <w:t>SCA arrangement</w:t>
            </w:r>
            <w:r>
              <w:rPr>
                <w:sz w:val="15"/>
                <w:vertAlign w:val="superscript"/>
              </w:rPr>
              <w:t xml:space="preserve"> (a)</w:t>
            </w:r>
          </w:p>
        </w:tc>
        <w:tc>
          <w:tcPr>
            <w:tcW w:w="732" w:type="dxa"/>
          </w:tcPr>
          <w:p w14:paraId="2C31CFE0"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rPr>
                <w:sz w:val="15"/>
              </w:rPr>
              <w:t>Note</w:t>
            </w:r>
          </w:p>
        </w:tc>
        <w:tc>
          <w:tcPr>
            <w:tcW w:w="1318" w:type="dxa"/>
          </w:tcPr>
          <w:p w14:paraId="0E008ABC" w14:textId="77777777" w:rsidR="004D42F9" w:rsidRDefault="004D42F9">
            <w:pPr>
              <w:keepNext/>
              <w:jc w:val="left"/>
              <w:cnfStyle w:val="100000000000" w:firstRow="1" w:lastRow="0" w:firstColumn="0" w:lastColumn="0" w:oddVBand="0" w:evenVBand="0" w:oddHBand="0" w:evenHBand="0" w:firstRowFirstColumn="0" w:firstRowLastColumn="0" w:lastRowFirstColumn="0" w:lastRowLastColumn="0"/>
            </w:pPr>
            <w:r>
              <w:rPr>
                <w:sz w:val="15"/>
              </w:rPr>
              <w:t>Classification of arrangement</w:t>
            </w:r>
          </w:p>
        </w:tc>
        <w:tc>
          <w:tcPr>
            <w:tcW w:w="1157" w:type="dxa"/>
          </w:tcPr>
          <w:p w14:paraId="45D71747" w14:textId="77777777" w:rsidR="004D42F9" w:rsidRDefault="004D42F9">
            <w:pPr>
              <w:keepNext/>
              <w:jc w:val="left"/>
              <w:cnfStyle w:val="100000000000" w:firstRow="1" w:lastRow="0" w:firstColumn="0" w:lastColumn="0" w:oddVBand="0" w:evenVBand="0" w:oddHBand="0" w:evenHBand="0" w:firstRowFirstColumn="0" w:firstRowLastColumn="0" w:lastRowFirstColumn="0" w:lastRowLastColumn="0"/>
            </w:pPr>
            <w:r>
              <w:rPr>
                <w:sz w:val="15"/>
              </w:rPr>
              <w:t>Arrangement status</w:t>
            </w:r>
          </w:p>
        </w:tc>
        <w:tc>
          <w:tcPr>
            <w:tcW w:w="1601" w:type="dxa"/>
          </w:tcPr>
          <w:p w14:paraId="67A4D57C" w14:textId="77777777" w:rsidR="004D42F9" w:rsidRDefault="004D42F9">
            <w:pPr>
              <w:keepNext/>
              <w:jc w:val="left"/>
              <w:cnfStyle w:val="100000000000" w:firstRow="1" w:lastRow="0" w:firstColumn="0" w:lastColumn="0" w:oddVBand="0" w:evenVBand="0" w:oddHBand="0" w:evenHBand="0" w:firstRowFirstColumn="0" w:firstRowLastColumn="0" w:lastRowFirstColumn="0" w:lastRowLastColumn="0"/>
            </w:pPr>
            <w:r>
              <w:rPr>
                <w:sz w:val="15"/>
              </w:rPr>
              <w:t>Managed by</w:t>
            </w:r>
          </w:p>
        </w:tc>
        <w:tc>
          <w:tcPr>
            <w:tcW w:w="1870" w:type="dxa"/>
          </w:tcPr>
          <w:p w14:paraId="399ED5F5" w14:textId="77777777" w:rsidR="004D42F9" w:rsidRDefault="004D42F9">
            <w:pPr>
              <w:keepNext/>
              <w:jc w:val="left"/>
              <w:cnfStyle w:val="100000000000" w:firstRow="1" w:lastRow="0" w:firstColumn="0" w:lastColumn="0" w:oddVBand="0" w:evenVBand="0" w:oddHBand="0" w:evenHBand="0" w:firstRowFirstColumn="0" w:firstRowLastColumn="0" w:lastRowFirstColumn="0" w:lastRowLastColumn="0"/>
            </w:pPr>
            <w:r>
              <w:rPr>
                <w:sz w:val="15"/>
              </w:rPr>
              <w:t>Periodic payments in operations phase</w:t>
            </w:r>
          </w:p>
        </w:tc>
        <w:tc>
          <w:tcPr>
            <w:tcW w:w="735" w:type="dxa"/>
          </w:tcPr>
          <w:p w14:paraId="1D82DEAA"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rPr>
                <w:sz w:val="15"/>
              </w:rPr>
              <w:t>Payments impacted by KPI</w:t>
            </w:r>
          </w:p>
        </w:tc>
        <w:tc>
          <w:tcPr>
            <w:tcW w:w="1169" w:type="dxa"/>
          </w:tcPr>
          <w:p w14:paraId="40A4DE40"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rPr>
                <w:sz w:val="15"/>
              </w:rPr>
              <w:t>Carrying amount of liability as at 30 June 2025</w:t>
            </w:r>
          </w:p>
        </w:tc>
        <w:tc>
          <w:tcPr>
            <w:tcW w:w="1141" w:type="dxa"/>
          </w:tcPr>
          <w:p w14:paraId="0FEF037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rPr>
                <w:sz w:val="15"/>
              </w:rPr>
              <w:t xml:space="preserve">Carrying amount of asset as at </w:t>
            </w:r>
            <w:r>
              <w:rPr>
                <w:sz w:val="15"/>
              </w:rPr>
              <w:br/>
              <w:t>30 June 2025</w:t>
            </w:r>
          </w:p>
        </w:tc>
        <w:tc>
          <w:tcPr>
            <w:tcW w:w="1277" w:type="dxa"/>
          </w:tcPr>
          <w:p w14:paraId="5F6480E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rPr>
                <w:sz w:val="15"/>
              </w:rPr>
              <w:t xml:space="preserve">Carrying amount of liability as at </w:t>
            </w:r>
            <w:r>
              <w:rPr>
                <w:sz w:val="15"/>
              </w:rPr>
              <w:br/>
              <w:t>30 June 2024</w:t>
            </w:r>
          </w:p>
        </w:tc>
        <w:tc>
          <w:tcPr>
            <w:tcW w:w="1142" w:type="dxa"/>
          </w:tcPr>
          <w:p w14:paraId="2DB24995"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rPr>
                <w:sz w:val="15"/>
              </w:rPr>
              <w:t xml:space="preserve">Carrying amount of asset as at </w:t>
            </w:r>
            <w:r>
              <w:rPr>
                <w:sz w:val="15"/>
              </w:rPr>
              <w:br/>
              <w:t>30 June 2024</w:t>
            </w:r>
          </w:p>
        </w:tc>
      </w:tr>
      <w:tr w:rsidR="004D42F9" w14:paraId="31AB42A4" w14:textId="77777777">
        <w:tc>
          <w:tcPr>
            <w:cnfStyle w:val="001000000000" w:firstRow="0" w:lastRow="0" w:firstColumn="1" w:lastColumn="0" w:oddVBand="0" w:evenVBand="0" w:oddHBand="0" w:evenHBand="0" w:firstRowFirstColumn="0" w:firstRowLastColumn="0" w:lastRowFirstColumn="0" w:lastRowLastColumn="0"/>
            <w:tcW w:w="2430" w:type="dxa"/>
          </w:tcPr>
          <w:p w14:paraId="2293FECD" w14:textId="77777777" w:rsidR="004D42F9" w:rsidRDefault="004D42F9">
            <w:r>
              <w:rPr>
                <w:sz w:val="15"/>
              </w:rPr>
              <w:t>CityLink</w:t>
            </w:r>
          </w:p>
        </w:tc>
        <w:tc>
          <w:tcPr>
            <w:tcW w:w="732" w:type="dxa"/>
          </w:tcPr>
          <w:p w14:paraId="22A2BFD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w:t>
            </w:r>
          </w:p>
        </w:tc>
        <w:tc>
          <w:tcPr>
            <w:tcW w:w="1318" w:type="dxa"/>
          </w:tcPr>
          <w:p w14:paraId="58A55106"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157" w:type="dxa"/>
          </w:tcPr>
          <w:p w14:paraId="5922317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0FCF82DC"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26DBFE5A"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None – User pays operator</w:t>
            </w:r>
          </w:p>
        </w:tc>
        <w:tc>
          <w:tcPr>
            <w:tcW w:w="735" w:type="dxa"/>
          </w:tcPr>
          <w:p w14:paraId="60B980A9"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169" w:type="dxa"/>
          </w:tcPr>
          <w:p w14:paraId="4789B58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1 674</w:t>
            </w:r>
          </w:p>
        </w:tc>
        <w:tc>
          <w:tcPr>
            <w:tcW w:w="1141" w:type="dxa"/>
          </w:tcPr>
          <w:p w14:paraId="0906BA1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4 718</w:t>
            </w:r>
          </w:p>
        </w:tc>
        <w:tc>
          <w:tcPr>
            <w:tcW w:w="1277" w:type="dxa"/>
          </w:tcPr>
          <w:p w14:paraId="621EC6D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1 767</w:t>
            </w:r>
          </w:p>
        </w:tc>
        <w:tc>
          <w:tcPr>
            <w:tcW w:w="1142" w:type="dxa"/>
          </w:tcPr>
          <w:p w14:paraId="51BF444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4 967</w:t>
            </w:r>
          </w:p>
        </w:tc>
      </w:tr>
      <w:tr w:rsidR="004D42F9" w14:paraId="59B50DD5" w14:textId="77777777">
        <w:tc>
          <w:tcPr>
            <w:cnfStyle w:val="001000000000" w:firstRow="0" w:lastRow="0" w:firstColumn="1" w:lastColumn="0" w:oddVBand="0" w:evenVBand="0" w:oddHBand="0" w:evenHBand="0" w:firstRowFirstColumn="0" w:firstRowLastColumn="0" w:lastRowFirstColumn="0" w:lastRowLastColumn="0"/>
            <w:tcW w:w="2430" w:type="dxa"/>
          </w:tcPr>
          <w:p w14:paraId="1228682B" w14:textId="77777777" w:rsidR="004D42F9" w:rsidRDefault="004D42F9">
            <w:r>
              <w:rPr>
                <w:sz w:val="15"/>
              </w:rPr>
              <w:t>EastLink</w:t>
            </w:r>
          </w:p>
        </w:tc>
        <w:tc>
          <w:tcPr>
            <w:tcW w:w="732" w:type="dxa"/>
          </w:tcPr>
          <w:p w14:paraId="3331044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5.7.2</w:t>
            </w:r>
          </w:p>
        </w:tc>
        <w:tc>
          <w:tcPr>
            <w:tcW w:w="1318" w:type="dxa"/>
          </w:tcPr>
          <w:p w14:paraId="7A7CE1CA"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157" w:type="dxa"/>
          </w:tcPr>
          <w:p w14:paraId="23EEFAB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221533E5"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2274A3DF"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None – User pays operator</w:t>
            </w:r>
          </w:p>
        </w:tc>
        <w:tc>
          <w:tcPr>
            <w:tcW w:w="735" w:type="dxa"/>
          </w:tcPr>
          <w:p w14:paraId="6FBF670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169" w:type="dxa"/>
          </w:tcPr>
          <w:p w14:paraId="1CE00FD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1 776</w:t>
            </w:r>
          </w:p>
        </w:tc>
        <w:tc>
          <w:tcPr>
            <w:tcW w:w="1141" w:type="dxa"/>
          </w:tcPr>
          <w:p w14:paraId="5ACBBF6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4 057</w:t>
            </w:r>
          </w:p>
        </w:tc>
        <w:tc>
          <w:tcPr>
            <w:tcW w:w="1277" w:type="dxa"/>
          </w:tcPr>
          <w:p w14:paraId="557BDE7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1 873</w:t>
            </w:r>
          </w:p>
        </w:tc>
        <w:tc>
          <w:tcPr>
            <w:tcW w:w="1142" w:type="dxa"/>
          </w:tcPr>
          <w:p w14:paraId="0C13411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3 962</w:t>
            </w:r>
          </w:p>
        </w:tc>
      </w:tr>
      <w:tr w:rsidR="004D42F9" w14:paraId="1CFF68F8" w14:textId="77777777">
        <w:tc>
          <w:tcPr>
            <w:cnfStyle w:val="001000000000" w:firstRow="0" w:lastRow="0" w:firstColumn="1" w:lastColumn="0" w:oddVBand="0" w:evenVBand="0" w:oddHBand="0" w:evenHBand="0" w:firstRowFirstColumn="0" w:firstRowLastColumn="0" w:lastRowFirstColumn="0" w:lastRowLastColumn="0"/>
            <w:tcW w:w="2430" w:type="dxa"/>
          </w:tcPr>
          <w:p w14:paraId="11E09599" w14:textId="77777777" w:rsidR="004D42F9" w:rsidRDefault="004D42F9">
            <w:r>
              <w:rPr>
                <w:sz w:val="15"/>
              </w:rPr>
              <w:t>Land Use Victoria</w:t>
            </w:r>
          </w:p>
        </w:tc>
        <w:tc>
          <w:tcPr>
            <w:tcW w:w="732" w:type="dxa"/>
          </w:tcPr>
          <w:p w14:paraId="6FD7D3AA"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5.7.3</w:t>
            </w:r>
          </w:p>
        </w:tc>
        <w:tc>
          <w:tcPr>
            <w:tcW w:w="1318" w:type="dxa"/>
          </w:tcPr>
          <w:p w14:paraId="45E00CB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157" w:type="dxa"/>
          </w:tcPr>
          <w:p w14:paraId="3F55320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426D3D6A"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73D9E38C"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08FB5C1D"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169" w:type="dxa"/>
          </w:tcPr>
          <w:p w14:paraId="2E09678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2 375</w:t>
            </w:r>
          </w:p>
        </w:tc>
        <w:tc>
          <w:tcPr>
            <w:tcW w:w="1141" w:type="dxa"/>
          </w:tcPr>
          <w:p w14:paraId="39D5793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588</w:t>
            </w:r>
          </w:p>
        </w:tc>
        <w:tc>
          <w:tcPr>
            <w:tcW w:w="1277" w:type="dxa"/>
          </w:tcPr>
          <w:p w14:paraId="4D97FE4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2 446</w:t>
            </w:r>
          </w:p>
        </w:tc>
        <w:tc>
          <w:tcPr>
            <w:tcW w:w="1142" w:type="dxa"/>
          </w:tcPr>
          <w:p w14:paraId="5B02FF0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563</w:t>
            </w:r>
          </w:p>
        </w:tc>
      </w:tr>
      <w:tr w:rsidR="004D42F9" w14:paraId="1311C4DA" w14:textId="77777777">
        <w:tc>
          <w:tcPr>
            <w:cnfStyle w:val="001000000000" w:firstRow="0" w:lastRow="0" w:firstColumn="1" w:lastColumn="0" w:oddVBand="0" w:evenVBand="0" w:oddHBand="0" w:evenHBand="0" w:firstRowFirstColumn="0" w:firstRowLastColumn="0" w:lastRowFirstColumn="0" w:lastRowLastColumn="0"/>
            <w:tcW w:w="2430" w:type="dxa"/>
          </w:tcPr>
          <w:p w14:paraId="0D6AC45E" w14:textId="77777777" w:rsidR="004D42F9" w:rsidRDefault="004D42F9">
            <w:r>
              <w:rPr>
                <w:sz w:val="15"/>
              </w:rPr>
              <w:t>VicRoads modernisation</w:t>
            </w:r>
          </w:p>
        </w:tc>
        <w:tc>
          <w:tcPr>
            <w:tcW w:w="732" w:type="dxa"/>
          </w:tcPr>
          <w:p w14:paraId="53FC0E8F"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5.7.4</w:t>
            </w:r>
          </w:p>
        </w:tc>
        <w:tc>
          <w:tcPr>
            <w:tcW w:w="1318" w:type="dxa"/>
          </w:tcPr>
          <w:p w14:paraId="07C75793"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GORTO</w:t>
            </w:r>
          </w:p>
        </w:tc>
        <w:tc>
          <w:tcPr>
            <w:tcW w:w="1157" w:type="dxa"/>
          </w:tcPr>
          <w:p w14:paraId="05774AC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4C7CFD8D"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7217DFB7"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18EE52FD"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169" w:type="dxa"/>
          </w:tcPr>
          <w:p w14:paraId="09F26FC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8 204</w:t>
            </w:r>
          </w:p>
        </w:tc>
        <w:tc>
          <w:tcPr>
            <w:tcW w:w="1141" w:type="dxa"/>
          </w:tcPr>
          <w:p w14:paraId="34B7042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3 092</w:t>
            </w:r>
          </w:p>
        </w:tc>
        <w:tc>
          <w:tcPr>
            <w:tcW w:w="1277" w:type="dxa"/>
          </w:tcPr>
          <w:p w14:paraId="6C27245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8 425</w:t>
            </w:r>
          </w:p>
        </w:tc>
        <w:tc>
          <w:tcPr>
            <w:tcW w:w="1142" w:type="dxa"/>
          </w:tcPr>
          <w:p w14:paraId="34AAAF3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2 858</w:t>
            </w:r>
          </w:p>
        </w:tc>
      </w:tr>
      <w:tr w:rsidR="004D42F9" w14:paraId="1ED6B7E0" w14:textId="77777777">
        <w:tc>
          <w:tcPr>
            <w:cnfStyle w:val="001000000000" w:firstRow="0" w:lastRow="0" w:firstColumn="1" w:lastColumn="0" w:oddVBand="0" w:evenVBand="0" w:oddHBand="0" w:evenHBand="0" w:firstRowFirstColumn="0" w:firstRowLastColumn="0" w:lastRowFirstColumn="0" w:lastRowLastColumn="0"/>
            <w:tcW w:w="2430" w:type="dxa"/>
          </w:tcPr>
          <w:p w14:paraId="2BB9A52E" w14:textId="77777777" w:rsidR="004D42F9" w:rsidRDefault="004D42F9">
            <w:r>
              <w:rPr>
                <w:sz w:val="15"/>
              </w:rPr>
              <w:t>Desalination Plant</w:t>
            </w:r>
          </w:p>
        </w:tc>
        <w:tc>
          <w:tcPr>
            <w:tcW w:w="732" w:type="dxa"/>
          </w:tcPr>
          <w:p w14:paraId="0C02A23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5.7.5</w:t>
            </w:r>
          </w:p>
        </w:tc>
        <w:tc>
          <w:tcPr>
            <w:tcW w:w="1318" w:type="dxa"/>
          </w:tcPr>
          <w:p w14:paraId="5C15DCEA"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4DC8DB0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2D880D43"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DEECA</w:t>
            </w:r>
          </w:p>
        </w:tc>
        <w:tc>
          <w:tcPr>
            <w:tcW w:w="1870" w:type="dxa"/>
          </w:tcPr>
          <w:p w14:paraId="57719C21"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Water service payments</w:t>
            </w:r>
          </w:p>
        </w:tc>
        <w:tc>
          <w:tcPr>
            <w:tcW w:w="735" w:type="dxa"/>
          </w:tcPr>
          <w:p w14:paraId="3C7F813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028C218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3 057</w:t>
            </w:r>
          </w:p>
        </w:tc>
        <w:tc>
          <w:tcPr>
            <w:tcW w:w="1141" w:type="dxa"/>
          </w:tcPr>
          <w:p w14:paraId="54EEDAA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4 394</w:t>
            </w:r>
          </w:p>
        </w:tc>
        <w:tc>
          <w:tcPr>
            <w:tcW w:w="1277" w:type="dxa"/>
          </w:tcPr>
          <w:p w14:paraId="6A475C1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3 114</w:t>
            </w:r>
          </w:p>
        </w:tc>
        <w:tc>
          <w:tcPr>
            <w:tcW w:w="1142" w:type="dxa"/>
          </w:tcPr>
          <w:p w14:paraId="4EA4AEE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4 484</w:t>
            </w:r>
          </w:p>
        </w:tc>
      </w:tr>
      <w:tr w:rsidR="004D42F9" w14:paraId="49F68C24" w14:textId="77777777">
        <w:tc>
          <w:tcPr>
            <w:cnfStyle w:val="001000000000" w:firstRow="0" w:lastRow="0" w:firstColumn="1" w:lastColumn="0" w:oddVBand="0" w:evenVBand="0" w:oddHBand="0" w:evenHBand="0" w:firstRowFirstColumn="0" w:firstRowLastColumn="0" w:lastRowFirstColumn="0" w:lastRowLastColumn="0"/>
            <w:tcW w:w="2430" w:type="dxa"/>
          </w:tcPr>
          <w:p w14:paraId="2E58CBB1" w14:textId="77777777" w:rsidR="004D42F9" w:rsidRDefault="004D42F9">
            <w:r>
              <w:rPr>
                <w:sz w:val="15"/>
              </w:rPr>
              <w:t>Fulham Correctional Centre Contract Extension</w:t>
            </w:r>
          </w:p>
        </w:tc>
        <w:tc>
          <w:tcPr>
            <w:tcW w:w="732" w:type="dxa"/>
          </w:tcPr>
          <w:p w14:paraId="1F8B0B7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5.7.6</w:t>
            </w:r>
          </w:p>
        </w:tc>
        <w:tc>
          <w:tcPr>
            <w:tcW w:w="1318" w:type="dxa"/>
          </w:tcPr>
          <w:p w14:paraId="34427BC4"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7592CAE4"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1B7E91FA"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870" w:type="dxa"/>
          </w:tcPr>
          <w:p w14:paraId="61B2F51E"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29725CD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235F540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1" w:type="dxa"/>
          </w:tcPr>
          <w:p w14:paraId="1B2780C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193</w:t>
            </w:r>
          </w:p>
        </w:tc>
        <w:tc>
          <w:tcPr>
            <w:tcW w:w="1277" w:type="dxa"/>
          </w:tcPr>
          <w:p w14:paraId="55847C9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2" w:type="dxa"/>
          </w:tcPr>
          <w:p w14:paraId="56AD1B2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198</w:t>
            </w:r>
          </w:p>
        </w:tc>
      </w:tr>
      <w:tr w:rsidR="004D42F9" w14:paraId="04F51262" w14:textId="77777777">
        <w:tc>
          <w:tcPr>
            <w:cnfStyle w:val="001000000000" w:firstRow="0" w:lastRow="0" w:firstColumn="1" w:lastColumn="0" w:oddVBand="0" w:evenVBand="0" w:oddHBand="0" w:evenHBand="0" w:firstRowFirstColumn="0" w:firstRowLastColumn="0" w:lastRowFirstColumn="0" w:lastRowLastColumn="0"/>
            <w:tcW w:w="2430" w:type="dxa"/>
          </w:tcPr>
          <w:p w14:paraId="126B220A" w14:textId="77777777" w:rsidR="004D42F9" w:rsidRDefault="004D42F9">
            <w:r>
              <w:rPr>
                <w:sz w:val="15"/>
              </w:rPr>
              <w:t>Metropolitan Bus Contracts</w:t>
            </w:r>
          </w:p>
        </w:tc>
        <w:tc>
          <w:tcPr>
            <w:tcW w:w="732" w:type="dxa"/>
          </w:tcPr>
          <w:p w14:paraId="33058EC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5.7.7</w:t>
            </w:r>
          </w:p>
        </w:tc>
        <w:tc>
          <w:tcPr>
            <w:tcW w:w="1318" w:type="dxa"/>
          </w:tcPr>
          <w:p w14:paraId="774279FF"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4C4F1D74"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1229C1B0"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66F8288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593851C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60A5639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129</w:t>
            </w:r>
          </w:p>
        </w:tc>
        <w:tc>
          <w:tcPr>
            <w:tcW w:w="1141" w:type="dxa"/>
          </w:tcPr>
          <w:p w14:paraId="43EA186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354</w:t>
            </w:r>
          </w:p>
        </w:tc>
        <w:tc>
          <w:tcPr>
            <w:tcW w:w="1277" w:type="dxa"/>
          </w:tcPr>
          <w:p w14:paraId="06B6257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135</w:t>
            </w:r>
          </w:p>
        </w:tc>
        <w:tc>
          <w:tcPr>
            <w:tcW w:w="1142" w:type="dxa"/>
          </w:tcPr>
          <w:p w14:paraId="14C92DF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297</w:t>
            </w:r>
          </w:p>
        </w:tc>
      </w:tr>
      <w:tr w:rsidR="004D42F9" w14:paraId="6A4E3833" w14:textId="77777777">
        <w:tc>
          <w:tcPr>
            <w:cnfStyle w:val="001000000000" w:firstRow="0" w:lastRow="0" w:firstColumn="1" w:lastColumn="0" w:oddVBand="0" w:evenVBand="0" w:oddHBand="0" w:evenHBand="0" w:firstRowFirstColumn="0" w:firstRowLastColumn="0" w:lastRowFirstColumn="0" w:lastRowLastColumn="0"/>
            <w:tcW w:w="2430" w:type="dxa"/>
          </w:tcPr>
          <w:p w14:paraId="48CEEF2D" w14:textId="77777777" w:rsidR="004D42F9" w:rsidRDefault="004D42F9">
            <w:r>
              <w:rPr>
                <w:sz w:val="15"/>
              </w:rPr>
              <w:t>Peninsula Link</w:t>
            </w:r>
          </w:p>
        </w:tc>
        <w:tc>
          <w:tcPr>
            <w:tcW w:w="732" w:type="dxa"/>
          </w:tcPr>
          <w:p w14:paraId="45BA665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5.7.8</w:t>
            </w:r>
          </w:p>
        </w:tc>
        <w:tc>
          <w:tcPr>
            <w:tcW w:w="1318" w:type="dxa"/>
          </w:tcPr>
          <w:p w14:paraId="1AF40A85"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1F4442AC"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18BE765C"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5DCF71E6"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7A517385"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21C9B5E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549</w:t>
            </w:r>
          </w:p>
        </w:tc>
        <w:tc>
          <w:tcPr>
            <w:tcW w:w="1141" w:type="dxa"/>
          </w:tcPr>
          <w:p w14:paraId="5253E05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1 215</w:t>
            </w:r>
          </w:p>
        </w:tc>
        <w:tc>
          <w:tcPr>
            <w:tcW w:w="1277" w:type="dxa"/>
          </w:tcPr>
          <w:p w14:paraId="76D254C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575</w:t>
            </w:r>
          </w:p>
        </w:tc>
        <w:tc>
          <w:tcPr>
            <w:tcW w:w="1142" w:type="dxa"/>
          </w:tcPr>
          <w:p w14:paraId="7E0A403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954</w:t>
            </w:r>
          </w:p>
        </w:tc>
      </w:tr>
      <w:tr w:rsidR="004D42F9" w14:paraId="51659224" w14:textId="77777777">
        <w:tc>
          <w:tcPr>
            <w:cnfStyle w:val="001000000000" w:firstRow="0" w:lastRow="0" w:firstColumn="1" w:lastColumn="0" w:oddVBand="0" w:evenVBand="0" w:oddHBand="0" w:evenHBand="0" w:firstRowFirstColumn="0" w:firstRowLastColumn="0" w:lastRowFirstColumn="0" w:lastRowLastColumn="0"/>
            <w:tcW w:w="2430" w:type="dxa"/>
          </w:tcPr>
          <w:p w14:paraId="55CEDB9C" w14:textId="77777777" w:rsidR="004D42F9" w:rsidRDefault="004D42F9">
            <w:r>
              <w:rPr>
                <w:sz w:val="15"/>
              </w:rPr>
              <w:t>Port Phillip Prison Contract Extension</w:t>
            </w:r>
          </w:p>
        </w:tc>
        <w:tc>
          <w:tcPr>
            <w:tcW w:w="732" w:type="dxa"/>
          </w:tcPr>
          <w:p w14:paraId="7BCBDCC4"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5.7.9</w:t>
            </w:r>
          </w:p>
        </w:tc>
        <w:tc>
          <w:tcPr>
            <w:tcW w:w="1318" w:type="dxa"/>
          </w:tcPr>
          <w:p w14:paraId="56E13706"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1908C9B5"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012EE725"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870" w:type="dxa"/>
          </w:tcPr>
          <w:p w14:paraId="7F66275E"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0D01327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01F8F0A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1" w:type="dxa"/>
          </w:tcPr>
          <w:p w14:paraId="4634AA6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227</w:t>
            </w:r>
          </w:p>
        </w:tc>
        <w:tc>
          <w:tcPr>
            <w:tcW w:w="1277" w:type="dxa"/>
          </w:tcPr>
          <w:p w14:paraId="6D792D2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2" w:type="dxa"/>
          </w:tcPr>
          <w:p w14:paraId="5CC6CAF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234</w:t>
            </w:r>
          </w:p>
        </w:tc>
      </w:tr>
      <w:tr w:rsidR="004D42F9" w14:paraId="6EAECB40" w14:textId="77777777">
        <w:tc>
          <w:tcPr>
            <w:cnfStyle w:val="001000000000" w:firstRow="0" w:lastRow="0" w:firstColumn="1" w:lastColumn="0" w:oddVBand="0" w:evenVBand="0" w:oddHBand="0" w:evenHBand="0" w:firstRowFirstColumn="0" w:firstRowLastColumn="0" w:lastRowFirstColumn="0" w:lastRowLastColumn="0"/>
            <w:tcW w:w="2430" w:type="dxa"/>
          </w:tcPr>
          <w:p w14:paraId="40A44732" w14:textId="77777777" w:rsidR="004D42F9" w:rsidRDefault="004D42F9">
            <w:r>
              <w:rPr>
                <w:sz w:val="15"/>
              </w:rPr>
              <w:t>Ravenhall Correction Centre</w:t>
            </w:r>
          </w:p>
        </w:tc>
        <w:tc>
          <w:tcPr>
            <w:tcW w:w="732" w:type="dxa"/>
          </w:tcPr>
          <w:p w14:paraId="794C1404"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5.7.10</w:t>
            </w:r>
          </w:p>
        </w:tc>
        <w:tc>
          <w:tcPr>
            <w:tcW w:w="1318" w:type="dxa"/>
          </w:tcPr>
          <w:p w14:paraId="76A8C8E6"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44300BA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023CC9E3"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DJCS</w:t>
            </w:r>
          </w:p>
        </w:tc>
        <w:tc>
          <w:tcPr>
            <w:tcW w:w="1870" w:type="dxa"/>
          </w:tcPr>
          <w:p w14:paraId="7119BB5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0335DDF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44903A6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471</w:t>
            </w:r>
          </w:p>
        </w:tc>
        <w:tc>
          <w:tcPr>
            <w:tcW w:w="1141" w:type="dxa"/>
          </w:tcPr>
          <w:p w14:paraId="6C1D185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675</w:t>
            </w:r>
          </w:p>
        </w:tc>
        <w:tc>
          <w:tcPr>
            <w:tcW w:w="1277" w:type="dxa"/>
          </w:tcPr>
          <w:p w14:paraId="333BEF2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483</w:t>
            </w:r>
          </w:p>
        </w:tc>
        <w:tc>
          <w:tcPr>
            <w:tcW w:w="1142" w:type="dxa"/>
          </w:tcPr>
          <w:p w14:paraId="1D5205A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694</w:t>
            </w:r>
          </w:p>
        </w:tc>
      </w:tr>
      <w:tr w:rsidR="004D42F9" w14:paraId="4A8F9FF1" w14:textId="77777777">
        <w:tc>
          <w:tcPr>
            <w:cnfStyle w:val="001000000000" w:firstRow="0" w:lastRow="0" w:firstColumn="1" w:lastColumn="0" w:oddVBand="0" w:evenVBand="0" w:oddHBand="0" w:evenHBand="0" w:firstRowFirstColumn="0" w:firstRowLastColumn="0" w:lastRowFirstColumn="0" w:lastRowLastColumn="0"/>
            <w:tcW w:w="2430" w:type="dxa"/>
          </w:tcPr>
          <w:p w14:paraId="42B84751" w14:textId="77777777" w:rsidR="004D42F9" w:rsidRDefault="004D42F9">
            <w:r>
              <w:rPr>
                <w:sz w:val="15"/>
              </w:rPr>
              <w:t>Southern Cross Station</w:t>
            </w:r>
          </w:p>
        </w:tc>
        <w:tc>
          <w:tcPr>
            <w:tcW w:w="732" w:type="dxa"/>
          </w:tcPr>
          <w:p w14:paraId="3294CC0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5.7.11</w:t>
            </w:r>
          </w:p>
        </w:tc>
        <w:tc>
          <w:tcPr>
            <w:tcW w:w="1318" w:type="dxa"/>
          </w:tcPr>
          <w:p w14:paraId="116363E9"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2CFCACC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747DEF10"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1E493AAA"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7A5C5D5A"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44763E7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313</w:t>
            </w:r>
          </w:p>
        </w:tc>
        <w:tc>
          <w:tcPr>
            <w:tcW w:w="1141" w:type="dxa"/>
          </w:tcPr>
          <w:p w14:paraId="0747C70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490</w:t>
            </w:r>
          </w:p>
        </w:tc>
        <w:tc>
          <w:tcPr>
            <w:tcW w:w="1277" w:type="dxa"/>
          </w:tcPr>
          <w:p w14:paraId="67AB494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327</w:t>
            </w:r>
          </w:p>
        </w:tc>
        <w:tc>
          <w:tcPr>
            <w:tcW w:w="1142" w:type="dxa"/>
          </w:tcPr>
          <w:p w14:paraId="3127450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492</w:t>
            </w:r>
          </w:p>
        </w:tc>
      </w:tr>
      <w:tr w:rsidR="004D42F9" w14:paraId="7CF3418E" w14:textId="77777777">
        <w:tc>
          <w:tcPr>
            <w:cnfStyle w:val="001000000000" w:firstRow="0" w:lastRow="0" w:firstColumn="1" w:lastColumn="0" w:oddVBand="0" w:evenVBand="0" w:oddHBand="0" w:evenHBand="0" w:firstRowFirstColumn="0" w:firstRowLastColumn="0" w:lastRowFirstColumn="0" w:lastRowLastColumn="0"/>
            <w:tcW w:w="2430" w:type="dxa"/>
          </w:tcPr>
          <w:p w14:paraId="02F7B333" w14:textId="77777777" w:rsidR="004D42F9" w:rsidRDefault="004D42F9">
            <w:r>
              <w:rPr>
                <w:sz w:val="15"/>
              </w:rPr>
              <w:t>Western Roads Upgrade</w:t>
            </w:r>
          </w:p>
        </w:tc>
        <w:tc>
          <w:tcPr>
            <w:tcW w:w="732" w:type="dxa"/>
          </w:tcPr>
          <w:p w14:paraId="73A26C6A"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5.7.12</w:t>
            </w:r>
          </w:p>
        </w:tc>
        <w:tc>
          <w:tcPr>
            <w:tcW w:w="1318" w:type="dxa"/>
          </w:tcPr>
          <w:p w14:paraId="392603E4"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0270031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1E336B37"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35A4D90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1025B27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113B399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430</w:t>
            </w:r>
          </w:p>
        </w:tc>
        <w:tc>
          <w:tcPr>
            <w:tcW w:w="1141" w:type="dxa"/>
          </w:tcPr>
          <w:p w14:paraId="281C69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1 752</w:t>
            </w:r>
          </w:p>
        </w:tc>
        <w:tc>
          <w:tcPr>
            <w:tcW w:w="1277" w:type="dxa"/>
          </w:tcPr>
          <w:p w14:paraId="6505A78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446</w:t>
            </w:r>
          </w:p>
        </w:tc>
        <w:tc>
          <w:tcPr>
            <w:tcW w:w="1142" w:type="dxa"/>
          </w:tcPr>
          <w:p w14:paraId="24F8EEF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1 528</w:t>
            </w:r>
          </w:p>
        </w:tc>
      </w:tr>
      <w:tr w:rsidR="004D42F9" w14:paraId="4EFC3CC6" w14:textId="77777777">
        <w:tc>
          <w:tcPr>
            <w:cnfStyle w:val="001000000000" w:firstRow="0" w:lastRow="0" w:firstColumn="1" w:lastColumn="0" w:oddVBand="0" w:evenVBand="0" w:oddHBand="0" w:evenHBand="0" w:firstRowFirstColumn="0" w:firstRowLastColumn="0" w:lastRowFirstColumn="0" w:lastRowLastColumn="0"/>
            <w:tcW w:w="2430" w:type="dxa"/>
          </w:tcPr>
          <w:p w14:paraId="1B26D2A8" w14:textId="77777777" w:rsidR="004D42F9" w:rsidRDefault="004D42F9">
            <w:r>
              <w:rPr>
                <w:sz w:val="15"/>
              </w:rPr>
              <w:t>High Capacity Metro Trains (HCMT) Project</w:t>
            </w:r>
          </w:p>
        </w:tc>
        <w:tc>
          <w:tcPr>
            <w:tcW w:w="732" w:type="dxa"/>
          </w:tcPr>
          <w:p w14:paraId="3B6C4A6D"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5.7.13</w:t>
            </w:r>
          </w:p>
        </w:tc>
        <w:tc>
          <w:tcPr>
            <w:tcW w:w="1318" w:type="dxa"/>
          </w:tcPr>
          <w:p w14:paraId="447017CE"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1B4E1C5F"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1EA31685"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71A3B405"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303E1D8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59FE90B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1 291</w:t>
            </w:r>
          </w:p>
        </w:tc>
        <w:tc>
          <w:tcPr>
            <w:tcW w:w="1141" w:type="dxa"/>
          </w:tcPr>
          <w:p w14:paraId="1603895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2 192</w:t>
            </w:r>
          </w:p>
        </w:tc>
        <w:tc>
          <w:tcPr>
            <w:tcW w:w="1277" w:type="dxa"/>
          </w:tcPr>
          <w:p w14:paraId="20B7960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1 257</w:t>
            </w:r>
          </w:p>
        </w:tc>
        <w:tc>
          <w:tcPr>
            <w:tcW w:w="1142" w:type="dxa"/>
          </w:tcPr>
          <w:p w14:paraId="3E0488A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1 567</w:t>
            </w:r>
          </w:p>
        </w:tc>
      </w:tr>
      <w:tr w:rsidR="004D42F9" w14:paraId="67EA385A" w14:textId="77777777">
        <w:tc>
          <w:tcPr>
            <w:cnfStyle w:val="001000000000" w:firstRow="0" w:lastRow="0" w:firstColumn="1" w:lastColumn="0" w:oddVBand="0" w:evenVBand="0" w:oddHBand="0" w:evenHBand="0" w:firstRowFirstColumn="0" w:firstRowLastColumn="0" w:lastRowFirstColumn="0" w:lastRowLastColumn="0"/>
            <w:tcW w:w="2430" w:type="dxa"/>
          </w:tcPr>
          <w:p w14:paraId="3DB44F4C" w14:textId="77777777" w:rsidR="004D42F9" w:rsidRDefault="004D42F9">
            <w:r>
              <w:rPr>
                <w:sz w:val="15"/>
              </w:rPr>
              <w:t>Metro Tunnel Project – Tunnel and Stations</w:t>
            </w:r>
          </w:p>
        </w:tc>
        <w:tc>
          <w:tcPr>
            <w:tcW w:w="732" w:type="dxa"/>
          </w:tcPr>
          <w:p w14:paraId="4952E88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5.7.14</w:t>
            </w:r>
          </w:p>
        </w:tc>
        <w:tc>
          <w:tcPr>
            <w:tcW w:w="1318" w:type="dxa"/>
          </w:tcPr>
          <w:p w14:paraId="0CAE8B29"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1F1D65C2"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45D5905A"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2D0FB479"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4E8B4F63"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5171631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2 592</w:t>
            </w:r>
          </w:p>
        </w:tc>
        <w:tc>
          <w:tcPr>
            <w:tcW w:w="1141" w:type="dxa"/>
          </w:tcPr>
          <w:p w14:paraId="05F3C9F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12 263</w:t>
            </w:r>
          </w:p>
        </w:tc>
        <w:tc>
          <w:tcPr>
            <w:tcW w:w="1277" w:type="dxa"/>
          </w:tcPr>
          <w:p w14:paraId="7498DE2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2 282</w:t>
            </w:r>
          </w:p>
        </w:tc>
        <w:tc>
          <w:tcPr>
            <w:tcW w:w="1142" w:type="dxa"/>
          </w:tcPr>
          <w:p w14:paraId="27905A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10 788</w:t>
            </w:r>
          </w:p>
        </w:tc>
      </w:tr>
      <w:tr w:rsidR="004D42F9" w14:paraId="110D31C8" w14:textId="77777777">
        <w:tc>
          <w:tcPr>
            <w:cnfStyle w:val="001000000000" w:firstRow="0" w:lastRow="0" w:firstColumn="1" w:lastColumn="0" w:oddVBand="0" w:evenVBand="0" w:oddHBand="0" w:evenHBand="0" w:firstRowFirstColumn="0" w:firstRowLastColumn="0" w:lastRowFirstColumn="0" w:lastRowLastColumn="0"/>
            <w:tcW w:w="2430" w:type="dxa"/>
          </w:tcPr>
          <w:p w14:paraId="1F80C158" w14:textId="77777777" w:rsidR="004D42F9" w:rsidRDefault="004D42F9">
            <w:r>
              <w:rPr>
                <w:sz w:val="15"/>
              </w:rPr>
              <w:t>Metropolitan Zero Emission Buses</w:t>
            </w:r>
            <w:r>
              <w:rPr>
                <w:sz w:val="15"/>
                <w:vertAlign w:val="superscript"/>
              </w:rPr>
              <w:t xml:space="preserve"> (b)</w:t>
            </w:r>
          </w:p>
        </w:tc>
        <w:tc>
          <w:tcPr>
            <w:tcW w:w="732" w:type="dxa"/>
          </w:tcPr>
          <w:p w14:paraId="29860EFB"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5.7.15</w:t>
            </w:r>
          </w:p>
        </w:tc>
        <w:tc>
          <w:tcPr>
            <w:tcW w:w="1318" w:type="dxa"/>
          </w:tcPr>
          <w:p w14:paraId="16F98E0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7EC94F2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0BEF152B"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6E0BBF8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53BE8A2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4FC6254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1" w:type="dxa"/>
          </w:tcPr>
          <w:p w14:paraId="7F90CFF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277" w:type="dxa"/>
          </w:tcPr>
          <w:p w14:paraId="7187E36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2" w:type="dxa"/>
          </w:tcPr>
          <w:p w14:paraId="052C56D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r>
      <w:tr w:rsidR="004D42F9" w14:paraId="32F0C525" w14:textId="77777777">
        <w:tc>
          <w:tcPr>
            <w:cnfStyle w:val="001000000000" w:firstRow="0" w:lastRow="0" w:firstColumn="1" w:lastColumn="0" w:oddVBand="0" w:evenVBand="0" w:oddHBand="0" w:evenHBand="0" w:firstRowFirstColumn="0" w:firstRowLastColumn="0" w:lastRowFirstColumn="0" w:lastRowLastColumn="0"/>
            <w:tcW w:w="2430" w:type="dxa"/>
          </w:tcPr>
          <w:p w14:paraId="423B82CC" w14:textId="77777777" w:rsidR="004D42F9" w:rsidRDefault="004D42F9">
            <w:r>
              <w:rPr>
                <w:sz w:val="15"/>
              </w:rPr>
              <w:t>North East Link – Primary Package (Tunnels)</w:t>
            </w:r>
          </w:p>
        </w:tc>
        <w:tc>
          <w:tcPr>
            <w:tcW w:w="732" w:type="dxa"/>
          </w:tcPr>
          <w:p w14:paraId="0015AE5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5.7.16</w:t>
            </w:r>
          </w:p>
        </w:tc>
        <w:tc>
          <w:tcPr>
            <w:tcW w:w="1318" w:type="dxa"/>
          </w:tcPr>
          <w:p w14:paraId="5ACE1E77"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Financial Liability</w:t>
            </w:r>
          </w:p>
        </w:tc>
        <w:tc>
          <w:tcPr>
            <w:tcW w:w="1157" w:type="dxa"/>
          </w:tcPr>
          <w:p w14:paraId="3073936C"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5CEB75B1"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State Tolling Corporation with Major Roads Projects Victoria.</w:t>
            </w:r>
          </w:p>
        </w:tc>
        <w:tc>
          <w:tcPr>
            <w:tcW w:w="1870" w:type="dxa"/>
          </w:tcPr>
          <w:p w14:paraId="500EF0E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683B9897"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5159C32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2 642</w:t>
            </w:r>
          </w:p>
        </w:tc>
        <w:tc>
          <w:tcPr>
            <w:tcW w:w="1141" w:type="dxa"/>
          </w:tcPr>
          <w:p w14:paraId="7BA18BE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7 657</w:t>
            </w:r>
          </w:p>
        </w:tc>
        <w:tc>
          <w:tcPr>
            <w:tcW w:w="1277" w:type="dxa"/>
          </w:tcPr>
          <w:p w14:paraId="7F80449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1 596</w:t>
            </w:r>
          </w:p>
        </w:tc>
        <w:tc>
          <w:tcPr>
            <w:tcW w:w="1142" w:type="dxa"/>
          </w:tcPr>
          <w:p w14:paraId="76D3B5C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4 364</w:t>
            </w:r>
          </w:p>
        </w:tc>
      </w:tr>
      <w:tr w:rsidR="004D42F9" w14:paraId="56E48C27" w14:textId="77777777">
        <w:tc>
          <w:tcPr>
            <w:cnfStyle w:val="001000000000" w:firstRow="0" w:lastRow="0" w:firstColumn="1" w:lastColumn="0" w:oddVBand="0" w:evenVBand="0" w:oddHBand="0" w:evenHBand="0" w:firstRowFirstColumn="0" w:firstRowLastColumn="0" w:lastRowFirstColumn="0" w:lastRowLastColumn="0"/>
            <w:tcW w:w="2430" w:type="dxa"/>
          </w:tcPr>
          <w:p w14:paraId="59C7E50C" w14:textId="77777777" w:rsidR="004D42F9" w:rsidRDefault="004D42F9">
            <w:r>
              <w:rPr>
                <w:sz w:val="15"/>
              </w:rPr>
              <w:t>Homes Victoria Ground Lease Model Project 1 (Phase 1 and 2)</w:t>
            </w:r>
            <w:r>
              <w:rPr>
                <w:sz w:val="15"/>
                <w:vertAlign w:val="superscript"/>
              </w:rPr>
              <w:t xml:space="preserve"> (c)</w:t>
            </w:r>
          </w:p>
        </w:tc>
        <w:tc>
          <w:tcPr>
            <w:tcW w:w="732" w:type="dxa"/>
          </w:tcPr>
          <w:p w14:paraId="64AAD792"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5.7.17</w:t>
            </w:r>
          </w:p>
        </w:tc>
        <w:tc>
          <w:tcPr>
            <w:tcW w:w="1318" w:type="dxa"/>
          </w:tcPr>
          <w:p w14:paraId="091CF08E"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157" w:type="dxa"/>
          </w:tcPr>
          <w:p w14:paraId="36453C5F"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1929D89D"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Homes Victoria</w:t>
            </w:r>
          </w:p>
        </w:tc>
        <w:tc>
          <w:tcPr>
            <w:tcW w:w="1870" w:type="dxa"/>
          </w:tcPr>
          <w:p w14:paraId="7567B92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 and User pays Operator</w:t>
            </w:r>
          </w:p>
        </w:tc>
        <w:tc>
          <w:tcPr>
            <w:tcW w:w="735" w:type="dxa"/>
          </w:tcPr>
          <w:p w14:paraId="2737F1C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28423D1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332</w:t>
            </w:r>
          </w:p>
        </w:tc>
        <w:tc>
          <w:tcPr>
            <w:tcW w:w="1141" w:type="dxa"/>
          </w:tcPr>
          <w:p w14:paraId="102DD21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427</w:t>
            </w:r>
          </w:p>
        </w:tc>
        <w:tc>
          <w:tcPr>
            <w:tcW w:w="1277" w:type="dxa"/>
          </w:tcPr>
          <w:p w14:paraId="48E10A6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306</w:t>
            </w:r>
          </w:p>
        </w:tc>
        <w:tc>
          <w:tcPr>
            <w:tcW w:w="1142" w:type="dxa"/>
          </w:tcPr>
          <w:p w14:paraId="7C57FF2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370</w:t>
            </w:r>
          </w:p>
        </w:tc>
      </w:tr>
      <w:tr w:rsidR="004D42F9" w14:paraId="5A1D66DE" w14:textId="77777777">
        <w:tc>
          <w:tcPr>
            <w:cnfStyle w:val="001000000000" w:firstRow="0" w:lastRow="0" w:firstColumn="1" w:lastColumn="0" w:oddVBand="0" w:evenVBand="0" w:oddHBand="0" w:evenHBand="0" w:firstRowFirstColumn="0" w:firstRowLastColumn="0" w:lastRowFirstColumn="0" w:lastRowLastColumn="0"/>
            <w:tcW w:w="2430" w:type="dxa"/>
          </w:tcPr>
          <w:p w14:paraId="18E1A04B" w14:textId="77777777" w:rsidR="004D42F9" w:rsidRDefault="004D42F9">
            <w:r>
              <w:rPr>
                <w:sz w:val="15"/>
              </w:rPr>
              <w:t>Homes Victoria Ground Lease Model Project 2</w:t>
            </w:r>
          </w:p>
        </w:tc>
        <w:tc>
          <w:tcPr>
            <w:tcW w:w="732" w:type="dxa"/>
          </w:tcPr>
          <w:p w14:paraId="22CF14D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5.7.18</w:t>
            </w:r>
          </w:p>
        </w:tc>
        <w:tc>
          <w:tcPr>
            <w:tcW w:w="1318" w:type="dxa"/>
          </w:tcPr>
          <w:p w14:paraId="7D5F73C3"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157" w:type="dxa"/>
          </w:tcPr>
          <w:p w14:paraId="51E9031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7329525D"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Homes Victoria</w:t>
            </w:r>
          </w:p>
        </w:tc>
        <w:tc>
          <w:tcPr>
            <w:tcW w:w="1870" w:type="dxa"/>
          </w:tcPr>
          <w:p w14:paraId="1349AA0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QSPs</w:t>
            </w:r>
          </w:p>
        </w:tc>
        <w:tc>
          <w:tcPr>
            <w:tcW w:w="735" w:type="dxa"/>
          </w:tcPr>
          <w:p w14:paraId="0C0CAC48"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5D3A028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315</w:t>
            </w:r>
          </w:p>
        </w:tc>
        <w:tc>
          <w:tcPr>
            <w:tcW w:w="1141" w:type="dxa"/>
          </w:tcPr>
          <w:p w14:paraId="15809E23"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315</w:t>
            </w:r>
          </w:p>
        </w:tc>
        <w:tc>
          <w:tcPr>
            <w:tcW w:w="1277" w:type="dxa"/>
          </w:tcPr>
          <w:p w14:paraId="023F601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70</w:t>
            </w:r>
          </w:p>
        </w:tc>
        <w:tc>
          <w:tcPr>
            <w:tcW w:w="1142" w:type="dxa"/>
          </w:tcPr>
          <w:p w14:paraId="5454F3E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70</w:t>
            </w:r>
          </w:p>
        </w:tc>
      </w:tr>
      <w:tr w:rsidR="004D42F9" w14:paraId="40BF61C4" w14:textId="77777777">
        <w:tc>
          <w:tcPr>
            <w:cnfStyle w:val="001000000000" w:firstRow="0" w:lastRow="0" w:firstColumn="1" w:lastColumn="0" w:oddVBand="0" w:evenVBand="0" w:oddHBand="0" w:evenHBand="0" w:firstRowFirstColumn="0" w:firstRowLastColumn="0" w:lastRowFirstColumn="0" w:lastRowLastColumn="0"/>
            <w:tcW w:w="2430" w:type="dxa"/>
          </w:tcPr>
          <w:p w14:paraId="350038DA" w14:textId="77777777" w:rsidR="004D42F9" w:rsidRDefault="004D42F9">
            <w:r>
              <w:rPr>
                <w:sz w:val="15"/>
              </w:rPr>
              <w:t>West Gate Tunnel</w:t>
            </w:r>
          </w:p>
        </w:tc>
        <w:tc>
          <w:tcPr>
            <w:tcW w:w="732" w:type="dxa"/>
          </w:tcPr>
          <w:p w14:paraId="6491D3BE"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5.7.19</w:t>
            </w:r>
          </w:p>
        </w:tc>
        <w:tc>
          <w:tcPr>
            <w:tcW w:w="1318" w:type="dxa"/>
          </w:tcPr>
          <w:p w14:paraId="497503FA"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Hybrid (Financial Liability/GORTO)</w:t>
            </w:r>
          </w:p>
        </w:tc>
        <w:tc>
          <w:tcPr>
            <w:tcW w:w="1157" w:type="dxa"/>
          </w:tcPr>
          <w:p w14:paraId="29267380"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Construction in Progress</w:t>
            </w:r>
          </w:p>
        </w:tc>
        <w:tc>
          <w:tcPr>
            <w:tcW w:w="1601" w:type="dxa"/>
          </w:tcPr>
          <w:p w14:paraId="4329BBA2"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3310104B"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None – User pays operator</w:t>
            </w:r>
          </w:p>
        </w:tc>
        <w:tc>
          <w:tcPr>
            <w:tcW w:w="735" w:type="dxa"/>
          </w:tcPr>
          <w:p w14:paraId="0A4DC9F1"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No</w:t>
            </w:r>
          </w:p>
        </w:tc>
        <w:tc>
          <w:tcPr>
            <w:tcW w:w="1169" w:type="dxa"/>
          </w:tcPr>
          <w:p w14:paraId="6548DAF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6 096</w:t>
            </w:r>
          </w:p>
        </w:tc>
        <w:tc>
          <w:tcPr>
            <w:tcW w:w="1141" w:type="dxa"/>
          </w:tcPr>
          <w:p w14:paraId="370553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11 320</w:t>
            </w:r>
          </w:p>
        </w:tc>
        <w:tc>
          <w:tcPr>
            <w:tcW w:w="1277" w:type="dxa"/>
          </w:tcPr>
          <w:p w14:paraId="6268102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5 578</w:t>
            </w:r>
          </w:p>
        </w:tc>
        <w:tc>
          <w:tcPr>
            <w:tcW w:w="1142" w:type="dxa"/>
          </w:tcPr>
          <w:p w14:paraId="4D408F1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10 179</w:t>
            </w:r>
          </w:p>
        </w:tc>
      </w:tr>
      <w:tr w:rsidR="004D42F9" w14:paraId="38B613B7" w14:textId="77777777">
        <w:tc>
          <w:tcPr>
            <w:cnfStyle w:val="001000000000" w:firstRow="0" w:lastRow="0" w:firstColumn="1" w:lastColumn="0" w:oddVBand="0" w:evenVBand="0" w:oddHBand="0" w:evenHBand="0" w:firstRowFirstColumn="0" w:firstRowLastColumn="0" w:lastRowFirstColumn="0" w:lastRowLastColumn="0"/>
            <w:tcW w:w="2430" w:type="dxa"/>
          </w:tcPr>
          <w:p w14:paraId="09167D50" w14:textId="77777777" w:rsidR="004D42F9" w:rsidRDefault="004D42F9">
            <w:r>
              <w:rPr>
                <w:sz w:val="15"/>
              </w:rPr>
              <w:t>Metropolitan Tram Service</w:t>
            </w:r>
          </w:p>
        </w:tc>
        <w:tc>
          <w:tcPr>
            <w:tcW w:w="732" w:type="dxa"/>
          </w:tcPr>
          <w:p w14:paraId="3ED2292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5.7.20</w:t>
            </w:r>
          </w:p>
        </w:tc>
        <w:tc>
          <w:tcPr>
            <w:tcW w:w="1318" w:type="dxa"/>
          </w:tcPr>
          <w:p w14:paraId="1F8079E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Service Contract</w:t>
            </w:r>
          </w:p>
        </w:tc>
        <w:tc>
          <w:tcPr>
            <w:tcW w:w="1157" w:type="dxa"/>
          </w:tcPr>
          <w:p w14:paraId="1ED1857C"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66FAB578"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3B10AB1D"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09814E4E"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40A5C6D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1" w:type="dxa"/>
          </w:tcPr>
          <w:p w14:paraId="32CA5BB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30</w:t>
            </w:r>
          </w:p>
        </w:tc>
        <w:tc>
          <w:tcPr>
            <w:tcW w:w="1277" w:type="dxa"/>
          </w:tcPr>
          <w:p w14:paraId="182DFA2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2" w:type="dxa"/>
          </w:tcPr>
          <w:p w14:paraId="36E2DFF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r>
      <w:tr w:rsidR="004D42F9" w14:paraId="6A98DACD" w14:textId="77777777">
        <w:tc>
          <w:tcPr>
            <w:cnfStyle w:val="001000000000" w:firstRow="0" w:lastRow="0" w:firstColumn="1" w:lastColumn="0" w:oddVBand="0" w:evenVBand="0" w:oddHBand="0" w:evenHBand="0" w:firstRowFirstColumn="0" w:firstRowLastColumn="0" w:lastRowFirstColumn="0" w:lastRowLastColumn="0"/>
            <w:tcW w:w="2430" w:type="dxa"/>
          </w:tcPr>
          <w:p w14:paraId="3C1F344A" w14:textId="77777777" w:rsidR="004D42F9" w:rsidRDefault="004D42F9">
            <w:r>
              <w:rPr>
                <w:sz w:val="15"/>
              </w:rPr>
              <w:t>Public Transport Ticketing Service</w:t>
            </w:r>
          </w:p>
        </w:tc>
        <w:tc>
          <w:tcPr>
            <w:tcW w:w="732" w:type="dxa"/>
          </w:tcPr>
          <w:p w14:paraId="1425C870"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5.7.21</w:t>
            </w:r>
          </w:p>
        </w:tc>
        <w:tc>
          <w:tcPr>
            <w:tcW w:w="1318" w:type="dxa"/>
          </w:tcPr>
          <w:p w14:paraId="08872418"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Service Contract</w:t>
            </w:r>
          </w:p>
        </w:tc>
        <w:tc>
          <w:tcPr>
            <w:tcW w:w="1157" w:type="dxa"/>
          </w:tcPr>
          <w:p w14:paraId="4380510F"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Operational</w:t>
            </w:r>
          </w:p>
        </w:tc>
        <w:tc>
          <w:tcPr>
            <w:tcW w:w="1601" w:type="dxa"/>
          </w:tcPr>
          <w:p w14:paraId="2CB289F6" w14:textId="77777777" w:rsidR="004D42F9" w:rsidRDefault="004D42F9">
            <w:pPr>
              <w:jc w:val="left"/>
              <w:cnfStyle w:val="000000000000" w:firstRow="0" w:lastRow="0" w:firstColumn="0" w:lastColumn="0" w:oddVBand="0" w:evenVBand="0" w:oddHBand="0" w:evenHBand="0" w:firstRowFirstColumn="0" w:firstRowLastColumn="0" w:lastRowFirstColumn="0" w:lastRowLastColumn="0"/>
            </w:pPr>
            <w:r>
              <w:rPr>
                <w:sz w:val="15"/>
              </w:rPr>
              <w:t>DTP</w:t>
            </w:r>
          </w:p>
        </w:tc>
        <w:tc>
          <w:tcPr>
            <w:tcW w:w="1870" w:type="dxa"/>
          </w:tcPr>
          <w:p w14:paraId="58637037" w14:textId="77777777" w:rsidR="004D42F9" w:rsidRDefault="004D42F9">
            <w:pPr>
              <w:ind w:left="170" w:hanging="170"/>
              <w:jc w:val="left"/>
              <w:cnfStyle w:val="000000000000" w:firstRow="0" w:lastRow="0" w:firstColumn="0" w:lastColumn="0" w:oddVBand="0" w:evenVBand="0" w:oddHBand="0" w:evenHBand="0" w:firstRowFirstColumn="0" w:firstRowLastColumn="0" w:lastRowFirstColumn="0" w:lastRowLastColumn="0"/>
            </w:pPr>
            <w:r>
              <w:rPr>
                <w:sz w:val="15"/>
              </w:rPr>
              <w:t>MSPs</w:t>
            </w:r>
          </w:p>
        </w:tc>
        <w:tc>
          <w:tcPr>
            <w:tcW w:w="735" w:type="dxa"/>
          </w:tcPr>
          <w:p w14:paraId="79D4E39D" w14:textId="77777777" w:rsidR="004D42F9" w:rsidRDefault="004D42F9">
            <w:pPr>
              <w:jc w:val="center"/>
              <w:cnfStyle w:val="000000000000" w:firstRow="0" w:lastRow="0" w:firstColumn="0" w:lastColumn="0" w:oddVBand="0" w:evenVBand="0" w:oddHBand="0" w:evenHBand="0" w:firstRowFirstColumn="0" w:firstRowLastColumn="0" w:lastRowFirstColumn="0" w:lastRowLastColumn="0"/>
            </w:pPr>
            <w:r>
              <w:rPr>
                <w:sz w:val="15"/>
              </w:rPr>
              <w:t>Yes</w:t>
            </w:r>
          </w:p>
        </w:tc>
        <w:tc>
          <w:tcPr>
            <w:tcW w:w="1169" w:type="dxa"/>
          </w:tcPr>
          <w:p w14:paraId="772D04F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1" w:type="dxa"/>
          </w:tcPr>
          <w:p w14:paraId="1524F04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197</w:t>
            </w:r>
          </w:p>
        </w:tc>
        <w:tc>
          <w:tcPr>
            <w:tcW w:w="1277" w:type="dxa"/>
          </w:tcPr>
          <w:p w14:paraId="45224DE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w:t>
            </w:r>
          </w:p>
        </w:tc>
        <w:tc>
          <w:tcPr>
            <w:tcW w:w="1142" w:type="dxa"/>
          </w:tcPr>
          <w:p w14:paraId="501256C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sz w:val="15"/>
              </w:rPr>
              <w:t>111</w:t>
            </w:r>
          </w:p>
        </w:tc>
      </w:tr>
    </w:tbl>
    <w:p w14:paraId="050ECCA2" w14:textId="77777777" w:rsidR="004D42F9" w:rsidRPr="00B90414" w:rsidRDefault="004D42F9" w:rsidP="004D42F9">
      <w:pPr>
        <w:pStyle w:val="Note"/>
        <w:ind w:left="0" w:firstLine="0"/>
      </w:pPr>
      <w:r w:rsidRPr="00B90414">
        <w:t>Notes:</w:t>
      </w:r>
    </w:p>
    <w:p w14:paraId="23CD1462" w14:textId="76B4E195" w:rsidR="004D42F9" w:rsidRDefault="00306756" w:rsidP="00306756">
      <w:pPr>
        <w:pStyle w:val="Note"/>
      </w:pPr>
      <w:r>
        <w:t>(a)</w:t>
      </w:r>
      <w:r>
        <w:tab/>
      </w:r>
      <w:r w:rsidR="004D42F9" w:rsidRPr="000D0372">
        <w:t xml:space="preserve">This note presents consolidated State of Victoria service concession arrangements. All of these arrangements are held in the general government sector with the exception of the North East Link – Primary package (Tunnels) and the Homes Victoria Ground Lease Model Project 1 </w:t>
      </w:r>
      <w:r w:rsidR="004D42F9">
        <w:t>(Phase 1 and 2) and</w:t>
      </w:r>
      <w:r w:rsidR="004D42F9" w:rsidRPr="00875D56">
        <w:t xml:space="preserve"> </w:t>
      </w:r>
      <w:r w:rsidR="004D42F9">
        <w:t>Homes Victoria Ground Lease Model Project 2</w:t>
      </w:r>
      <w:r w:rsidR="004D42F9" w:rsidRPr="000D0372">
        <w:t xml:space="preserve"> which are recognised in the </w:t>
      </w:r>
      <w:r w:rsidR="004D42F9">
        <w:t>public non-financial corporations</w:t>
      </w:r>
      <w:r w:rsidR="004D42F9" w:rsidRPr="000D0372">
        <w:t xml:space="preserve"> sector</w:t>
      </w:r>
      <w:r w:rsidR="004D42F9">
        <w:t>.</w:t>
      </w:r>
    </w:p>
    <w:p w14:paraId="0D93A98E" w14:textId="1C625771" w:rsidR="004D42F9" w:rsidRDefault="00306756" w:rsidP="00306756">
      <w:pPr>
        <w:pStyle w:val="Note"/>
      </w:pPr>
      <w:r>
        <w:t>(b)</w:t>
      </w:r>
      <w:r>
        <w:tab/>
      </w:r>
      <w:r w:rsidR="004D42F9" w:rsidRPr="006D2EF7">
        <w:t xml:space="preserve">In September 2024, the State through DTP, entered into contracts with </w:t>
      </w:r>
      <w:r w:rsidR="004D42F9" w:rsidRPr="00F02C3C">
        <w:t>Kinetic (Melbourne) Pty Ltd, CDC Victoria and Dysons</w:t>
      </w:r>
      <w:r w:rsidR="004D42F9" w:rsidRPr="006D2EF7">
        <w:t xml:space="preserve"> for the provision of zero emission battery electric buses. The contract commences on 1 July 2025 for a term of 10 years.</w:t>
      </w:r>
    </w:p>
    <w:p w14:paraId="74DC57AB" w14:textId="77777777" w:rsidR="004D42F9" w:rsidRDefault="004D42F9" w:rsidP="004D42F9">
      <w:pPr>
        <w:pStyle w:val="Note"/>
      </w:pPr>
      <w:r>
        <w:t>(c)</w:t>
      </w:r>
      <w:r>
        <w:tab/>
      </w:r>
      <w:r w:rsidRPr="00232B3F">
        <w:rPr>
          <w:iCs/>
        </w:rPr>
        <w:t>Th</w:t>
      </w:r>
      <w:r>
        <w:rPr>
          <w:iCs/>
        </w:rPr>
        <w:t>e</w:t>
      </w:r>
      <w:r w:rsidRPr="00232B3F">
        <w:t xml:space="preserve"> </w:t>
      </w:r>
      <w:r w:rsidRPr="00232B3F">
        <w:rPr>
          <w:iCs/>
        </w:rPr>
        <w:t xml:space="preserve">Homes Victoria Ground Lease Model Project 1 phase 1 refers to social housing dwellings at Brighton, Flemington and Prahran built under a commissioned Hybrid (Financial Liability/GORTO) arrangement. Phase 2 is under construction and refers to a modification to the arrangement to construct additional social </w:t>
      </w:r>
      <w:r>
        <w:rPr>
          <w:iCs/>
        </w:rPr>
        <w:t>and affordable</w:t>
      </w:r>
      <w:r w:rsidRPr="00232B3F">
        <w:rPr>
          <w:iCs/>
        </w:rPr>
        <w:t xml:space="preserve"> housing dwellings at Flemington under a GORTO Liability model.</w:t>
      </w:r>
      <w:r>
        <w:rPr>
          <w:iCs/>
        </w:rPr>
        <w:t xml:space="preserve"> </w:t>
      </w:r>
    </w:p>
    <w:p w14:paraId="4E6E2188" w14:textId="77777777" w:rsidR="004D42F9" w:rsidRDefault="004D42F9" w:rsidP="004D42F9">
      <w:pPr>
        <w:pStyle w:val="Note"/>
      </w:pPr>
    </w:p>
    <w:p w14:paraId="441C25F8" w14:textId="77777777" w:rsidR="004D42F9" w:rsidRDefault="004D42F9" w:rsidP="004D42F9">
      <w:pPr>
        <w:pStyle w:val="Note"/>
        <w:sectPr w:rsidR="004D42F9" w:rsidSect="00A30637">
          <w:type w:val="continuous"/>
          <w:pgSz w:w="16838" w:h="11906" w:orient="landscape" w:code="9"/>
          <w:pgMar w:top="1134" w:right="1134" w:bottom="1134" w:left="1134" w:header="624" w:footer="567" w:gutter="0"/>
          <w:cols w:space="708"/>
          <w:docGrid w:linePitch="360"/>
        </w:sectPr>
      </w:pPr>
    </w:p>
    <w:p w14:paraId="06E975D6" w14:textId="77777777" w:rsidR="004D42F9" w:rsidRDefault="004D42F9" w:rsidP="00A30637">
      <w:pPr>
        <w:pStyle w:val="Heading2"/>
        <w:spacing w:before="0"/>
      </w:pPr>
      <w:bookmarkStart w:id="105" w:name="_Toc209481765"/>
      <w:r w:rsidRPr="00614590">
        <w:lastRenderedPageBreak/>
        <w:t>Details relevant to all arrangements</w:t>
      </w:r>
      <w:bookmarkEnd w:id="105"/>
    </w:p>
    <w:p w14:paraId="56902284" w14:textId="77777777" w:rsidR="006E04C6" w:rsidRDefault="006E04C6" w:rsidP="004D42F9">
      <w:pPr>
        <w:sectPr w:rsidR="006E04C6" w:rsidSect="004D42F9">
          <w:headerReference w:type="even" r:id="rId91"/>
          <w:headerReference w:type="default" r:id="rId92"/>
          <w:footerReference w:type="even" r:id="rId93"/>
          <w:footerReference w:type="default" r:id="rId94"/>
          <w:pgSz w:w="11906" w:h="16838" w:code="9"/>
          <w:pgMar w:top="1134" w:right="1134" w:bottom="1134" w:left="1134" w:header="624" w:footer="567" w:gutter="0"/>
          <w:cols w:space="708"/>
          <w:docGrid w:linePitch="360"/>
        </w:sectPr>
      </w:pPr>
    </w:p>
    <w:p w14:paraId="455A44F2" w14:textId="77777777" w:rsidR="004D42F9" w:rsidRDefault="004D42F9" w:rsidP="004D42F9">
      <w:r>
        <w:t>Unless specified differently in the arrangement specific details section below, all of the below information is relevant to all arrangements.</w:t>
      </w:r>
    </w:p>
    <w:p w14:paraId="3313C637" w14:textId="77777777" w:rsidR="004D42F9" w:rsidRDefault="004D42F9" w:rsidP="004D42F9">
      <w:r>
        <w:t xml:space="preserve">The State has entered into an arrangement with the operator which gives the operator the right to provide public services to users for a specified period (concession period). </w:t>
      </w:r>
    </w:p>
    <w:p w14:paraId="18A7FEB4" w14:textId="77777777" w:rsidR="004D42F9" w:rsidRDefault="004D42F9" w:rsidP="004D42F9">
      <w:r>
        <w:t xml:space="preserve">The operator, based on the terms and conditions specified in the agreement, is: </w:t>
      </w:r>
    </w:p>
    <w:p w14:paraId="7FE3073E" w14:textId="77777777" w:rsidR="004D42F9" w:rsidRPr="00875CD3" w:rsidRDefault="004D42F9" w:rsidP="004D42F9">
      <w:pPr>
        <w:pStyle w:val="ListBullet"/>
        <w:keepLines/>
        <w:numPr>
          <w:ilvl w:val="0"/>
          <w:numId w:val="27"/>
        </w:numPr>
      </w:pPr>
      <w:r w:rsidRPr="00875CD3">
        <w:t>responsible for the design, construction, financing, operation and maintenance and replacement of the relevant asset(s) during the concession period</w:t>
      </w:r>
    </w:p>
    <w:p w14:paraId="4399DD25" w14:textId="77777777" w:rsidR="004D42F9" w:rsidRPr="00875CD3" w:rsidRDefault="004D42F9" w:rsidP="004D42F9">
      <w:pPr>
        <w:pStyle w:val="ListBullet"/>
        <w:keepLines/>
        <w:numPr>
          <w:ilvl w:val="0"/>
          <w:numId w:val="27"/>
        </w:numPr>
      </w:pPr>
      <w:r w:rsidRPr="00875CD3">
        <w:t xml:space="preserve">subject to key performance indicators (KPIs) and/or annual works programs that ensure a level of public service delivery for users. The operator has the opportunity to rectify any performance issues where relevant. </w:t>
      </w:r>
    </w:p>
    <w:p w14:paraId="00C5A598" w14:textId="77777777" w:rsidR="004D42F9" w:rsidRDefault="004D42F9" w:rsidP="007E2A58">
      <w:pPr>
        <w:spacing w:before="180"/>
      </w:pPr>
      <w:r>
        <w:t xml:space="preserve">The operator has access to the asset to perform the required services and manages at least some of those services under its own discretion. </w:t>
      </w:r>
    </w:p>
    <w:p w14:paraId="396E60D5" w14:textId="77777777" w:rsidR="004D42F9" w:rsidRDefault="004D42F9" w:rsidP="004D42F9">
      <w:r>
        <w:t xml:space="preserve">The State has control over what services the operator provides with the asset over the concession period, whom to provide them to and at what price. It is responsible for monitoring that contractual obligations are met, and will intervene as required to ensure safety for users of the asset as appropriate and to protect public interest. </w:t>
      </w:r>
    </w:p>
    <w:p w14:paraId="5A859017" w14:textId="77777777" w:rsidR="004D42F9" w:rsidRDefault="004D42F9" w:rsidP="004D42F9">
      <w:r>
        <w:t xml:space="preserve">At the end of the concession period, the rights and obligations provided to the operator during the concession period cease, and the service concession asset(s) will be returned to the State. </w:t>
      </w:r>
    </w:p>
    <w:p w14:paraId="50F596F3" w14:textId="77777777" w:rsidR="004D42F9" w:rsidRDefault="004D42F9" w:rsidP="004D42F9">
      <w:r>
        <w:t>The agreements do not include options for renewal and may be subject to termination.</w:t>
      </w:r>
    </w:p>
    <w:p w14:paraId="72890096" w14:textId="77777777" w:rsidR="006E04C6" w:rsidRDefault="006E04C6" w:rsidP="00A30637">
      <w:pPr>
        <w:pStyle w:val="Heading2"/>
        <w:sectPr w:rsidR="006E04C6" w:rsidSect="006E04C6">
          <w:type w:val="continuous"/>
          <w:pgSz w:w="11906" w:h="16838" w:code="9"/>
          <w:pgMar w:top="1134" w:right="1134" w:bottom="1134" w:left="1134" w:header="624" w:footer="567" w:gutter="0"/>
          <w:cols w:num="2" w:space="708"/>
          <w:docGrid w:linePitch="360"/>
        </w:sectPr>
      </w:pPr>
    </w:p>
    <w:p w14:paraId="78ACC4E3" w14:textId="77777777" w:rsidR="004D42F9" w:rsidRPr="00614590" w:rsidRDefault="004D42F9" w:rsidP="00A30637">
      <w:pPr>
        <w:pStyle w:val="Heading2"/>
      </w:pPr>
      <w:bookmarkStart w:id="106" w:name="_Toc209481766"/>
      <w:r w:rsidRPr="00614590">
        <w:t>Arrangement specific details</w:t>
      </w:r>
      <w:bookmarkEnd w:id="106"/>
      <w:r>
        <w:t xml:space="preserve"> </w:t>
      </w:r>
    </w:p>
    <w:p w14:paraId="170A25CA" w14:textId="77777777" w:rsidR="004D42F9" w:rsidRDefault="004D42F9" w:rsidP="004D42F9">
      <w:pPr>
        <w:pStyle w:val="Heading3"/>
      </w:pPr>
      <w:r>
        <w:t>5.7.1</w:t>
      </w:r>
      <w:r>
        <w:tab/>
        <w:t>CityLink</w:t>
      </w:r>
    </w:p>
    <w:p w14:paraId="54B0D74A" w14:textId="77777777" w:rsidR="006E04C6" w:rsidRDefault="006E04C6" w:rsidP="004D42F9">
      <w:pPr>
        <w:rPr>
          <w:b/>
          <w:bCs/>
        </w:rPr>
        <w:sectPr w:rsidR="006E04C6" w:rsidSect="006E04C6">
          <w:type w:val="continuous"/>
          <w:pgSz w:w="11906" w:h="16838" w:code="9"/>
          <w:pgMar w:top="1134" w:right="1134" w:bottom="1134" w:left="1134" w:header="624" w:footer="567" w:gutter="0"/>
          <w:cols w:space="708"/>
          <w:docGrid w:linePitch="360"/>
        </w:sectPr>
      </w:pPr>
    </w:p>
    <w:p w14:paraId="7B586A74" w14:textId="77777777" w:rsidR="004D42F9" w:rsidRDefault="004D42F9" w:rsidP="004D42F9">
      <w:r w:rsidRPr="00171071">
        <w:rPr>
          <w:b/>
          <w:bCs/>
        </w:rPr>
        <w:t>Operator</w:t>
      </w:r>
      <w:r>
        <w:t>: CityLink Melbourne Limited (CML), Transurban Infrastructure Management Limited (TIML)</w:t>
      </w:r>
    </w:p>
    <w:p w14:paraId="09F8ED90" w14:textId="77777777" w:rsidR="004D42F9" w:rsidRDefault="004D42F9" w:rsidP="004D42F9">
      <w:r w:rsidRPr="005B3CB2">
        <w:rPr>
          <w:b/>
          <w:bCs/>
        </w:rPr>
        <w:t>Concession period</w:t>
      </w:r>
      <w:r>
        <w:t>: 45 years</w:t>
      </w:r>
    </w:p>
    <w:p w14:paraId="2DBE65E3" w14:textId="77777777" w:rsidR="004D42F9" w:rsidRDefault="004D42F9" w:rsidP="004D42F9">
      <w:r>
        <w:t xml:space="preserve">The State and CML entered into the Melbourne City Link Concession Deed in October 1995. </w:t>
      </w:r>
    </w:p>
    <w:p w14:paraId="7C576E42" w14:textId="77777777" w:rsidR="004D42F9" w:rsidRDefault="004D42F9" w:rsidP="004D42F9">
      <w:r>
        <w:t xml:space="preserve">The Concession Deed requires CML to pay to the State specified concession fees at specified intervals during the concession period. </w:t>
      </w:r>
    </w:p>
    <w:p w14:paraId="412DCE0A" w14:textId="77777777" w:rsidR="004D42F9" w:rsidRDefault="004D42F9" w:rsidP="004D42F9">
      <w:r>
        <w:t>In accordance with the Concession Deed, CML has exercised an option to meet its obligations to pay concession fees by way of issuing concession notes. These notes are non</w:t>
      </w:r>
      <w:r>
        <w:noBreakHyphen/>
        <w:t xml:space="preserve">interest bearing promissory notes payable by CML at the end of the concession period, or earlier in the event of CML achieving certain profitability levels and cash flows. </w:t>
      </w:r>
    </w:p>
    <w:p w14:paraId="15463D69" w14:textId="77777777" w:rsidR="004D42F9" w:rsidRDefault="004D42F9" w:rsidP="004D42F9">
      <w:r>
        <w:t>Between June 2005 and June 2010, the State entered into arrangements with CML and TIML whereby the State received upfront payments in exchange for assigning the right to all existing and future concession notes to TIML.</w:t>
      </w:r>
    </w:p>
    <w:p w14:paraId="42AEAE93" w14:textId="77777777" w:rsidR="004D42F9" w:rsidRDefault="004D42F9" w:rsidP="004D42F9">
      <w:pPr>
        <w:ind w:right="70"/>
      </w:pPr>
      <w:r>
        <w:t xml:space="preserve">The value of concession notes due to be received by the State in accordance with the Concession Deed has been disclosed at the present value of concession notes to be issued in future periods by CML. The present value of the concession notes is disclosed as part of the GORTO liability. </w:t>
      </w:r>
    </w:p>
    <w:p w14:paraId="426C178B" w14:textId="77777777" w:rsidR="004D42F9" w:rsidRDefault="004D42F9" w:rsidP="004D42F9">
      <w:r>
        <w:t>The concession period to operate the CityLink road network was extended to January 2045 as a result of the partial funding of the West Gate Tunnel Project.</w:t>
      </w:r>
    </w:p>
    <w:p w14:paraId="47CFF6AE" w14:textId="77777777" w:rsidR="004D42F9" w:rsidRDefault="004D42F9" w:rsidP="004D42F9">
      <w:r>
        <w:t>The Concession Deed provides for CML to lease certain land and road infrastructure from the State during the concession period.</w:t>
      </w:r>
    </w:p>
    <w:p w14:paraId="10373A1F" w14:textId="77777777" w:rsidR="004D42F9" w:rsidRDefault="004D42F9" w:rsidP="004D42F9">
      <w:r>
        <w:t>Under the terms of the Concession Deed, there are certain provisions under which the State could be entitled to share in the financial success of the CityLink project including:</w:t>
      </w:r>
    </w:p>
    <w:p w14:paraId="31BD60A0" w14:textId="77777777" w:rsidR="004D42F9" w:rsidRDefault="004D42F9" w:rsidP="004D42F9">
      <w:pPr>
        <w:pStyle w:val="ListBullet"/>
        <w:keepLines/>
        <w:numPr>
          <w:ilvl w:val="0"/>
          <w:numId w:val="27"/>
        </w:numPr>
      </w:pPr>
      <w:r>
        <w:t>additional concession fees where the CML revenue and equity return exceed the benchmarks set out in the original Base Case Financial Model</w:t>
      </w:r>
    </w:p>
    <w:p w14:paraId="493097CA" w14:textId="77777777" w:rsidR="004D42F9" w:rsidRDefault="004D42F9" w:rsidP="004D42F9">
      <w:pPr>
        <w:pStyle w:val="ListBullet"/>
        <w:keepLines/>
        <w:numPr>
          <w:ilvl w:val="0"/>
          <w:numId w:val="27"/>
        </w:numPr>
      </w:pPr>
      <w:r>
        <w:t>variable lease rental expected to commence in 2035</w:t>
      </w:r>
    </w:p>
    <w:p w14:paraId="683C0D07" w14:textId="77777777" w:rsidR="004D42F9" w:rsidRDefault="004D42F9" w:rsidP="004D42F9">
      <w:pPr>
        <w:pStyle w:val="ListBullet"/>
        <w:keepLines/>
        <w:numPr>
          <w:ilvl w:val="0"/>
          <w:numId w:val="27"/>
        </w:numPr>
      </w:pPr>
      <w:r>
        <w:t>early end to concession period if specified equity return threshold is reached</w:t>
      </w:r>
    </w:p>
    <w:p w14:paraId="62CCADEB" w14:textId="77777777" w:rsidR="004D42F9" w:rsidRDefault="004D42F9" w:rsidP="004D42F9">
      <w:pPr>
        <w:pStyle w:val="ListBullet"/>
        <w:keepLines/>
        <w:numPr>
          <w:ilvl w:val="0"/>
          <w:numId w:val="27"/>
        </w:numPr>
      </w:pPr>
      <w:r>
        <w:t>share of revenue based on compensable enhancements events which result in additional revenue for CityLink.</w:t>
      </w:r>
    </w:p>
    <w:p w14:paraId="6138EB2F" w14:textId="77777777" w:rsidR="004D42F9" w:rsidRDefault="004D42F9" w:rsidP="004D42F9">
      <w:r>
        <w:t xml:space="preserve">To date, none of the above events have occurred. </w:t>
      </w:r>
    </w:p>
    <w:p w14:paraId="1F4007D4"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5FA3499B" w14:textId="77777777" w:rsidR="004D42F9" w:rsidRDefault="004D42F9" w:rsidP="00D047FC">
      <w:pPr>
        <w:pStyle w:val="Heading3"/>
        <w:pageBreakBefore/>
        <w:spacing w:before="0"/>
      </w:pPr>
      <w:r>
        <w:lastRenderedPageBreak/>
        <w:t>5.7.2</w:t>
      </w:r>
      <w:r>
        <w:tab/>
        <w:t>EastLink</w:t>
      </w:r>
    </w:p>
    <w:p w14:paraId="7E817E07" w14:textId="77777777" w:rsidR="006E04C6" w:rsidRDefault="006E04C6" w:rsidP="004D42F9">
      <w:pPr>
        <w:rPr>
          <w:b/>
          <w:bCs/>
        </w:rPr>
        <w:sectPr w:rsidR="006E04C6" w:rsidSect="006E04C6">
          <w:type w:val="continuous"/>
          <w:pgSz w:w="11906" w:h="16838" w:code="9"/>
          <w:pgMar w:top="1134" w:right="1134" w:bottom="1134" w:left="1134" w:header="624" w:footer="567" w:gutter="0"/>
          <w:cols w:space="708"/>
          <w:docGrid w:linePitch="360"/>
        </w:sectPr>
      </w:pPr>
    </w:p>
    <w:p w14:paraId="164BAFDB" w14:textId="77777777" w:rsidR="004D42F9" w:rsidRDefault="004D42F9" w:rsidP="004D42F9">
      <w:r w:rsidRPr="00582B93">
        <w:rPr>
          <w:b/>
          <w:bCs/>
        </w:rPr>
        <w:t>Operator</w:t>
      </w:r>
      <w:r>
        <w:t>: Connect East Pty Ltd (ConnectEast)</w:t>
      </w:r>
    </w:p>
    <w:p w14:paraId="70A6114A" w14:textId="77777777" w:rsidR="004D42F9" w:rsidRDefault="004D42F9" w:rsidP="004D42F9">
      <w:r w:rsidRPr="00582B93">
        <w:rPr>
          <w:b/>
          <w:bCs/>
        </w:rPr>
        <w:t>Concession</w:t>
      </w:r>
      <w:r>
        <w:t xml:space="preserve"> </w:t>
      </w:r>
      <w:r w:rsidRPr="00582B93">
        <w:rPr>
          <w:b/>
          <w:bCs/>
        </w:rPr>
        <w:t>period</w:t>
      </w:r>
      <w:r>
        <w:t>: 35 years</w:t>
      </w:r>
    </w:p>
    <w:p w14:paraId="2DF22E95" w14:textId="77777777" w:rsidR="004D42F9" w:rsidRDefault="004D42F9" w:rsidP="004D42F9">
      <w:r>
        <w:t>The State and the operator entered into the EastLink Concession Deed in October 2004.</w:t>
      </w:r>
    </w:p>
    <w:p w14:paraId="3EF1D6C8" w14:textId="77777777" w:rsidR="004D42F9" w:rsidRDefault="004D42F9" w:rsidP="004D42F9">
      <w:r>
        <w:t xml:space="preserve">EastLink opened to traffic in June 2008. ConnectEast has a right to operate the EastLink road network for the duration of the concession period which is due to expire on 30 November 2043. </w:t>
      </w:r>
    </w:p>
    <w:p w14:paraId="5EC98986" w14:textId="77777777" w:rsidR="004D42F9" w:rsidRDefault="004D42F9" w:rsidP="004D42F9">
      <w:r>
        <w:t xml:space="preserve">The Concession Deed provides for ConnectEast to lease certain land and road infrastructure from the State during the concession period. These assets will be returned to the State at the end of the concession period. </w:t>
      </w:r>
    </w:p>
    <w:p w14:paraId="74ADD5D5" w14:textId="77777777" w:rsidR="004D42F9" w:rsidRDefault="004D42F9" w:rsidP="004D42F9">
      <w:r>
        <w:t xml:space="preserve">The EastLink Concession Deed contains compensable enhancement provisions that enable the State to claim 50 per cent of any additional revenue derived by ConnectEast Pty Ltd as a result of certain events that particularly benefit EastLink, including changes to the adjoining road network. </w:t>
      </w:r>
    </w:p>
    <w:p w14:paraId="4BF14BC2" w14:textId="77777777" w:rsidR="004D42F9" w:rsidRDefault="004D42F9" w:rsidP="004D42F9">
      <w:r>
        <w:t xml:space="preserve">On 2 January 2014, the State lodged a compensable enhancement claim arising as a result of opening the Peninsula Link road network. This claim remains outstanding. Refer to Note 6.2 for further details on this claim. </w:t>
      </w:r>
    </w:p>
    <w:p w14:paraId="48CCC57C"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02F4233A" w14:textId="77777777" w:rsidR="004D42F9" w:rsidRPr="001A6106" w:rsidRDefault="004D42F9" w:rsidP="00A117A5">
      <w:pPr>
        <w:pStyle w:val="Heading3"/>
        <w:spacing w:before="800"/>
      </w:pPr>
      <w:r>
        <w:t>5.7.3</w:t>
      </w:r>
      <w:r>
        <w:tab/>
      </w:r>
      <w:r w:rsidRPr="001A6106">
        <w:t>Land Use Victoria</w:t>
      </w:r>
    </w:p>
    <w:p w14:paraId="45AE73C8" w14:textId="77777777" w:rsidR="006E04C6" w:rsidRDefault="006E04C6" w:rsidP="00A117A5">
      <w:pPr>
        <w:spacing w:before="800"/>
        <w:rPr>
          <w:b/>
        </w:rPr>
        <w:sectPr w:rsidR="006E04C6" w:rsidSect="006E04C6">
          <w:type w:val="continuous"/>
          <w:pgSz w:w="11906" w:h="16838" w:code="9"/>
          <w:pgMar w:top="1134" w:right="1134" w:bottom="1134" w:left="1134" w:header="624" w:footer="567" w:gutter="0"/>
          <w:cols w:space="708"/>
          <w:docGrid w:linePitch="360"/>
        </w:sectPr>
      </w:pPr>
    </w:p>
    <w:p w14:paraId="6AF82210" w14:textId="77777777" w:rsidR="004D42F9" w:rsidRPr="001A6106" w:rsidRDefault="004D42F9" w:rsidP="004D42F9">
      <w:r w:rsidRPr="001A6106">
        <w:rPr>
          <w:b/>
        </w:rPr>
        <w:t>Operator</w:t>
      </w:r>
      <w:r w:rsidRPr="001A6106">
        <w:t>: Secure Electronic Registries Victoria (SERV)</w:t>
      </w:r>
    </w:p>
    <w:p w14:paraId="4C3FB048" w14:textId="77777777" w:rsidR="004D42F9" w:rsidRPr="001A6106" w:rsidRDefault="004D42F9" w:rsidP="004D42F9">
      <w:r w:rsidRPr="001A6106">
        <w:rPr>
          <w:b/>
        </w:rPr>
        <w:t>Concession period</w:t>
      </w:r>
      <w:r w:rsidRPr="001A6106">
        <w:t>: 40 years</w:t>
      </w:r>
    </w:p>
    <w:p w14:paraId="425A9D49" w14:textId="77777777" w:rsidR="004D42F9" w:rsidRPr="001A6106" w:rsidRDefault="004D42F9" w:rsidP="004D42F9">
      <w:r w:rsidRPr="001A6106">
        <w:t>The Victorian Land Registry Services (VLRS), now known as Secure Electronic Registries Victoria (SERV), commenced in September 2018 (Stage 1) and is responsible for part of Registration, Landata and Systems Branches of Land Use Victoria for a term of 40 years. The services, such as processing title searches, registrations, inquiries and modifications/changes to land registry titles have continued to be delivered to the public and stakeholders, customers and clients in a seamless manner ensuring service delivery requirements are maintained and key performance indicators are met.</w:t>
      </w:r>
    </w:p>
    <w:p w14:paraId="2950DF46" w14:textId="77777777" w:rsidR="004D42F9" w:rsidRPr="001A6106" w:rsidRDefault="004D42F9" w:rsidP="004D42F9">
      <w:r w:rsidRPr="001A6106">
        <w:t xml:space="preserve">The second stage of the transition of services to SERV was in November 2019. The Registrar of Titles has remained with the State and has retained all statutory obligations and powers. The Registrar of Titles is responsible for preserving the integrity and security of the land register and enforcing service standards. The State will continue to own the land registry data and provide the State Guarantee of title. </w:t>
      </w:r>
    </w:p>
    <w:p w14:paraId="1E924D89" w14:textId="77777777" w:rsidR="004D42F9" w:rsidRPr="001A6106" w:rsidRDefault="004D42F9" w:rsidP="004D42F9">
      <w:r w:rsidRPr="001A6106">
        <w:t>The arrangement provides SERV with access to the State Material Licence, which includes all State Data, Operating Manual, State Software, and the rights to provide operator and non</w:t>
      </w:r>
      <w:r w:rsidRPr="001A6106">
        <w:noBreakHyphen/>
        <w:t>statutory services (e.g. certain Title and LANDATA</w:t>
      </w:r>
      <w:r>
        <w:t>®</w:t>
      </w:r>
      <w:r w:rsidRPr="001A6106">
        <w:t xml:space="preserve"> Search Products and Property Certificates).</w:t>
      </w:r>
    </w:p>
    <w:p w14:paraId="6DB530B9" w14:textId="77777777" w:rsidR="004D42F9" w:rsidRPr="001A6106" w:rsidRDefault="004D42F9" w:rsidP="004D42F9">
      <w:r w:rsidRPr="001A6106">
        <w:t>The Operating Concession Deed (OCD) required SERV to pay a concession licence fee to the State of $2.8 billion in September</w:t>
      </w:r>
      <w:r>
        <w:t> </w:t>
      </w:r>
      <w:r w:rsidRPr="001A6106">
        <w:t>2018. The upfront consideration received from the SERV is recognised as a grant of a right to the operator (GORTO) liability and recognised as revenue proportionally over the service period of 40</w:t>
      </w:r>
      <w:r>
        <w:t> </w:t>
      </w:r>
      <w:r w:rsidRPr="001A6106">
        <w:t>years.</w:t>
      </w:r>
    </w:p>
    <w:p w14:paraId="5B1B0CA3" w14:textId="77777777" w:rsidR="004D42F9" w:rsidRDefault="004D42F9" w:rsidP="004D42F9">
      <w:r w:rsidRPr="00D74C51">
        <w:t>The State has recognised intangible assets for the Land Registry Services (LRS) software (the Victorian Online Titles System) and the Titling and Registry database (database)</w:t>
      </w:r>
      <w:r>
        <w:t>.</w:t>
      </w:r>
      <w:r w:rsidRPr="00D74C51">
        <w:t xml:space="preserve"> Refer to Note 4.2 for details of the fair value measurement of the service concession intangible assets. Subsequent to the initial recognition, both intangible assets are carried under the revaluation model in line with AASB 138.</w:t>
      </w:r>
    </w:p>
    <w:p w14:paraId="509C98A9"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37C0A48E" w14:textId="77777777" w:rsidR="004D42F9" w:rsidRPr="001C6D73" w:rsidRDefault="004D42F9" w:rsidP="00D047FC">
      <w:pPr>
        <w:pStyle w:val="Heading3"/>
        <w:pageBreakBefore/>
        <w:spacing w:before="0"/>
      </w:pPr>
      <w:r>
        <w:lastRenderedPageBreak/>
        <w:t xml:space="preserve">5.7.4 </w:t>
      </w:r>
      <w:r>
        <w:tab/>
      </w:r>
      <w:r w:rsidRPr="001C6D73">
        <w:t>Vic</w:t>
      </w:r>
      <w:r>
        <w:t>R</w:t>
      </w:r>
      <w:r w:rsidRPr="001C6D73">
        <w:t>oads Modernisat</w:t>
      </w:r>
      <w:r>
        <w:t>i</w:t>
      </w:r>
      <w:r w:rsidRPr="001C6D73">
        <w:t>on</w:t>
      </w:r>
    </w:p>
    <w:p w14:paraId="2A763A5B" w14:textId="77777777" w:rsidR="006E04C6" w:rsidRDefault="006E04C6" w:rsidP="004D42F9">
      <w:pPr>
        <w:keepNext/>
        <w:rPr>
          <w:b/>
        </w:rPr>
        <w:sectPr w:rsidR="006E04C6" w:rsidSect="006E04C6">
          <w:type w:val="continuous"/>
          <w:pgSz w:w="11906" w:h="16838" w:code="9"/>
          <w:pgMar w:top="1134" w:right="1134" w:bottom="1134" w:left="1134" w:header="624" w:footer="567" w:gutter="0"/>
          <w:cols w:space="708"/>
          <w:docGrid w:linePitch="360"/>
        </w:sectPr>
      </w:pPr>
    </w:p>
    <w:p w14:paraId="74759F2B" w14:textId="3FC17F3C" w:rsidR="004D42F9" w:rsidRDefault="004D42F9" w:rsidP="004D42F9">
      <w:pPr>
        <w:keepNext/>
        <w:rPr>
          <w:bCs/>
        </w:rPr>
      </w:pPr>
      <w:r w:rsidRPr="006F6655">
        <w:rPr>
          <w:b/>
        </w:rPr>
        <w:t xml:space="preserve">Operator: </w:t>
      </w:r>
      <w:r w:rsidRPr="006F6655">
        <w:rPr>
          <w:bCs/>
        </w:rPr>
        <w:t xml:space="preserve">Aware Super, Australian Retirement Trust and Macquarie Asset Management (the </w:t>
      </w:r>
      <w:r w:rsidR="00845934">
        <w:rPr>
          <w:bCs/>
        </w:rPr>
        <w:t>‘</w:t>
      </w:r>
      <w:r w:rsidRPr="006F6655">
        <w:rPr>
          <w:bCs/>
        </w:rPr>
        <w:t>Consortium</w:t>
      </w:r>
      <w:r w:rsidR="00845934">
        <w:rPr>
          <w:bCs/>
        </w:rPr>
        <w:t>’</w:t>
      </w:r>
      <w:r w:rsidRPr="006F6655">
        <w:rPr>
          <w:bCs/>
        </w:rPr>
        <w:t>).</w:t>
      </w:r>
    </w:p>
    <w:p w14:paraId="5F682EAD" w14:textId="77777777" w:rsidR="004D42F9" w:rsidRPr="001A6106" w:rsidRDefault="004D42F9" w:rsidP="004D42F9">
      <w:pPr>
        <w:keepNext/>
      </w:pPr>
      <w:r w:rsidRPr="001A6106">
        <w:rPr>
          <w:b/>
        </w:rPr>
        <w:t>Concession period</w:t>
      </w:r>
      <w:r w:rsidRPr="001A6106">
        <w:t>: 40 years</w:t>
      </w:r>
    </w:p>
    <w:p w14:paraId="3AD39F01" w14:textId="592FC216" w:rsidR="004D42F9" w:rsidRPr="001C6D73" w:rsidRDefault="004D42F9" w:rsidP="004D42F9">
      <w:pPr>
        <w:ind w:right="70"/>
      </w:pPr>
      <w:r w:rsidRPr="001C6D73">
        <w:t>On 15 August 2022, the State and the Consortium entered into a joint venture to operate the Registration and Licensing (R&amp;L) and Custom Plates functions of VicRoads. The joint venture will modernise a number of VicRoads services through increased investment to make them more user</w:t>
      </w:r>
      <w:r>
        <w:noBreakHyphen/>
      </w:r>
      <w:r w:rsidRPr="001C6D73">
        <w:t>friendly for motorists.</w:t>
      </w:r>
      <w:r>
        <w:t xml:space="preserve"> Refer to Note 4.4.1 for the accounting treatment and disclosure of the State</w:t>
      </w:r>
      <w:r w:rsidR="00845934">
        <w:t>’</w:t>
      </w:r>
      <w:r>
        <w:t>s interest in the joint venture.</w:t>
      </w:r>
    </w:p>
    <w:p w14:paraId="6387C260" w14:textId="77777777" w:rsidR="004D42F9" w:rsidRPr="001C6D73" w:rsidRDefault="004D42F9" w:rsidP="004D42F9">
      <w:r w:rsidRPr="001C6D73">
        <w:t>The State maintain</w:t>
      </w:r>
      <w:r>
        <w:t>s</w:t>
      </w:r>
      <w:r w:rsidRPr="001C6D73">
        <w:t xml:space="preserve"> responsibility for key regulatory and policy functions, retaining ownership and regulation of data, and continuing to fully control motorists pricing, privacy, road access and safety.</w:t>
      </w:r>
    </w:p>
    <w:p w14:paraId="6A38D4FC" w14:textId="5DD9ADAF" w:rsidR="004D42F9" w:rsidRDefault="004D42F9" w:rsidP="004D42F9">
      <w:r w:rsidRPr="004352DB">
        <w:t>The consideration provided by the Consortium to the State in return for granting the concession comprise</w:t>
      </w:r>
      <w:r>
        <w:t>d</w:t>
      </w:r>
      <w:r w:rsidRPr="004352DB">
        <w:t xml:space="preserve"> upfront proceeds of $7.9 billion in cash and a </w:t>
      </w:r>
      <w:r>
        <w:t>minority</w:t>
      </w:r>
      <w:r w:rsidRPr="004352DB">
        <w:t xml:space="preserve"> </w:t>
      </w:r>
      <w:r>
        <w:t>shareholding</w:t>
      </w:r>
      <w:r w:rsidRPr="004352DB">
        <w:t xml:space="preserve"> interest in the joint venture</w:t>
      </w:r>
      <w:r>
        <w:t>.</w:t>
      </w:r>
      <w:r w:rsidRPr="004352DB">
        <w:t xml:space="preserve"> $</w:t>
      </w:r>
      <w:r>
        <w:t>275 m</w:t>
      </w:r>
      <w:r w:rsidRPr="004352DB">
        <w:t>illion of the consideration was recognised upfront as licence revenue for the joint venture</w:t>
      </w:r>
      <w:r w:rsidR="00845934">
        <w:t>’</w:t>
      </w:r>
      <w:r w:rsidRPr="004352DB">
        <w:t>s right to deliver specific administrative and cash collection services. The remainder of the consideration was recognised as a grant of a right to the operator liability and will be recognised as revenue proportionally over the 40-year concession period.</w:t>
      </w:r>
    </w:p>
    <w:p w14:paraId="214FA7E8" w14:textId="77777777" w:rsidR="004D42F9" w:rsidRPr="001506FB" w:rsidRDefault="004D42F9" w:rsidP="004D42F9">
      <w:pPr>
        <w:rPr>
          <w:b/>
        </w:rPr>
      </w:pPr>
      <w:r w:rsidRPr="001C6D73">
        <w:t xml:space="preserve">The State </w:t>
      </w:r>
      <w:r>
        <w:t>has</w:t>
      </w:r>
      <w:r w:rsidRPr="001C6D73">
        <w:t xml:space="preserve"> recognised intangible assets for the VicRoads R&amp;L database</w:t>
      </w:r>
      <w:r>
        <w:t>.</w:t>
      </w:r>
      <w:r w:rsidRPr="00253CF8">
        <w:t xml:space="preserve"> Refer</w:t>
      </w:r>
      <w:r w:rsidRPr="001C6D73">
        <w:t xml:space="preserve"> to </w:t>
      </w:r>
      <w:r w:rsidRPr="00D74C51">
        <w:t xml:space="preserve">Note 4.2 for details of the fair value measurement of the service concession intangible assets. Subsequent to the initial recognition, </w:t>
      </w:r>
      <w:r>
        <w:t>the</w:t>
      </w:r>
      <w:r w:rsidRPr="00D74C51">
        <w:t xml:space="preserve"> intangible asset</w:t>
      </w:r>
      <w:r>
        <w:t xml:space="preserve"> is</w:t>
      </w:r>
      <w:r w:rsidRPr="00D74C51">
        <w:t xml:space="preserve"> carried under the revaluation model in line with AASB 138.</w:t>
      </w:r>
    </w:p>
    <w:p w14:paraId="14A96CBC"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07E93964" w14:textId="77777777" w:rsidR="004D42F9" w:rsidRDefault="004D42F9" w:rsidP="00A117A5">
      <w:pPr>
        <w:pStyle w:val="Heading3"/>
        <w:spacing w:before="800"/>
      </w:pPr>
      <w:r>
        <w:t>5.7.5</w:t>
      </w:r>
      <w:r>
        <w:tab/>
        <w:t>Desalination Plant</w:t>
      </w:r>
    </w:p>
    <w:p w14:paraId="1372FA9A" w14:textId="77777777" w:rsidR="006E04C6" w:rsidRDefault="006E04C6" w:rsidP="00A117A5">
      <w:pPr>
        <w:spacing w:before="800"/>
        <w:rPr>
          <w:b/>
          <w:bCs/>
        </w:rPr>
        <w:sectPr w:rsidR="006E04C6" w:rsidSect="006E04C6">
          <w:type w:val="continuous"/>
          <w:pgSz w:w="11906" w:h="16838" w:code="9"/>
          <w:pgMar w:top="1134" w:right="1134" w:bottom="1134" w:left="1134" w:header="624" w:footer="567" w:gutter="0"/>
          <w:cols w:space="708"/>
          <w:docGrid w:linePitch="360"/>
        </w:sectPr>
      </w:pPr>
    </w:p>
    <w:p w14:paraId="194B5718" w14:textId="77777777" w:rsidR="004D42F9" w:rsidRDefault="004D42F9" w:rsidP="004D42F9">
      <w:r w:rsidRPr="00582B93">
        <w:rPr>
          <w:b/>
          <w:bCs/>
        </w:rPr>
        <w:t>Operator</w:t>
      </w:r>
      <w:r>
        <w:t xml:space="preserve">: AquaSure Pty Ltd (AquaSure) </w:t>
      </w:r>
    </w:p>
    <w:p w14:paraId="7A58FC2C" w14:textId="77777777" w:rsidR="004D42F9" w:rsidRDefault="004D42F9" w:rsidP="004D42F9">
      <w:r w:rsidRPr="00582B93">
        <w:rPr>
          <w:b/>
          <w:bCs/>
        </w:rPr>
        <w:t>Concession period</w:t>
      </w:r>
      <w:r>
        <w:t>: 30 years</w:t>
      </w:r>
    </w:p>
    <w:p w14:paraId="42CF16A0" w14:textId="77777777" w:rsidR="004D42F9" w:rsidRDefault="004D42F9" w:rsidP="004D42F9">
      <w:r>
        <w:t>The State and AquaSure entered into the public private partnership on 30 July 2009.</w:t>
      </w:r>
    </w:p>
    <w:p w14:paraId="1DA3CEAB" w14:textId="77777777" w:rsidR="004D42F9" w:rsidRDefault="004D42F9" w:rsidP="004D42F9">
      <w:r>
        <w:t>The Victorian Desalination Project (VDP) was initiated to design, build, finance and operate a desalination plant, transfer pipeline and 220 kilovolt underground power cable capable of supplying 150 </w:t>
      </w:r>
      <w:r w:rsidRPr="0034580C">
        <w:t>gigalitres</w:t>
      </w:r>
      <w:r>
        <w:t xml:space="preserve"> of water per annum into the Melbourne network.</w:t>
      </w:r>
    </w:p>
    <w:p w14:paraId="303C4818" w14:textId="77777777" w:rsidR="004D42F9" w:rsidRDefault="004D42F9" w:rsidP="004D42F9">
      <w:r>
        <w:t xml:space="preserve">Under the arrangement, the State has an obligation to make water security payments provided the plant is maintained to the appropriate standard. </w:t>
      </w:r>
    </w:p>
    <w:p w14:paraId="13A68F9F" w14:textId="77777777" w:rsidR="004D42F9" w:rsidRDefault="004D42F9" w:rsidP="004D42F9">
      <w:r>
        <w:t xml:space="preserve">The State will also make water usage payments for any water that is ordered and delivered to the required standard. Water can be ordered annually for flexible amounts from 0 to 150 </w:t>
      </w:r>
      <w:r w:rsidRPr="0034580C">
        <w:t>gigalitres</w:t>
      </w:r>
      <w:r>
        <w:t xml:space="preserve"> (in set increments). </w:t>
      </w:r>
    </w:p>
    <w:p w14:paraId="77E08480" w14:textId="77777777" w:rsidR="004D42F9" w:rsidRDefault="004D42F9" w:rsidP="004D42F9">
      <w:r>
        <w:t xml:space="preserve">A Statement of Obligations (SoO) was issued to the Melbourne Water Corporation under section 4I of the </w:t>
      </w:r>
      <w:r w:rsidRPr="00F173A4">
        <w:rPr>
          <w:i/>
          <w:iCs/>
        </w:rPr>
        <w:t>Water Industry Act 1994</w:t>
      </w:r>
      <w:r>
        <w:t xml:space="preserve"> that required Melbourne Water Corporation to pay all monies as required by the State under the project deed with AquaSure.</w:t>
      </w:r>
    </w:p>
    <w:p w14:paraId="7B48161C" w14:textId="77777777" w:rsidR="004D42F9" w:rsidRDefault="004D42F9" w:rsidP="004D42F9">
      <w:r>
        <w:t xml:space="preserve">The arrangement was codified through the Water Interface Agreement (WIA) between the State (DEECA) and the Melbourne Water Corporation. DEECA does not control any receipt arising from this arrangement and is required to pay the amounts from the Melbourne Water Corporation into the Consolidated Fund. </w:t>
      </w:r>
    </w:p>
    <w:p w14:paraId="17853ADE" w14:textId="77777777" w:rsidR="004D42F9" w:rsidRDefault="004D42F9" w:rsidP="004D42F9">
      <w:r>
        <w:t xml:space="preserve">The State has assessed the agreements between AquaSure, DEECA (on behalf of the State) and Melbourne Water Corporation and concluded that the agreements are connected and should form one single commercial arrangement. Under the combined agreement, Melbourne Water Corporation is considered the ultimate grantor. </w:t>
      </w:r>
    </w:p>
    <w:p w14:paraId="6D301284" w14:textId="77777777" w:rsidR="004D42F9" w:rsidRDefault="004D42F9" w:rsidP="004D42F9">
      <w:r>
        <w:t>DEECA, on behalf of the State, administers the arrangement and recognises contractual liability on the capital portion of WSPs to AquaSure and contractual receivable from Melbourne Water Corporation determined in the WIA as financial instruments under AASB 9 (Refer to Note 6.1).</w:t>
      </w:r>
    </w:p>
    <w:p w14:paraId="684330CF" w14:textId="2B947F96" w:rsidR="004D42F9" w:rsidRDefault="004D42F9" w:rsidP="004D42F9">
      <w:pPr>
        <w:spacing w:before="80"/>
      </w:pPr>
      <w:r w:rsidRPr="00080F3F">
        <w:t>As at 30 June 202</w:t>
      </w:r>
      <w:r>
        <w:t>5,</w:t>
      </w:r>
      <w:r w:rsidRPr="00080F3F">
        <w:t xml:space="preserve"> AquaSure had produced 0</w:t>
      </w:r>
      <w:r>
        <w:t> gigalitres</w:t>
      </w:r>
      <w:r w:rsidRPr="00080F3F">
        <w:t xml:space="preserve"> for the 202</w:t>
      </w:r>
      <w:r>
        <w:t>4</w:t>
      </w:r>
      <w:r w:rsidRPr="00080F3F">
        <w:t>-2</w:t>
      </w:r>
      <w:r>
        <w:t>5</w:t>
      </w:r>
      <w:r w:rsidRPr="00080F3F">
        <w:t xml:space="preserve"> supply period. On </w:t>
      </w:r>
      <w:r>
        <w:t>4 </w:t>
      </w:r>
      <w:r w:rsidRPr="00080F3F">
        <w:t>April 202</w:t>
      </w:r>
      <w:r>
        <w:t>5,</w:t>
      </w:r>
      <w:r w:rsidRPr="00080F3F">
        <w:t xml:space="preserve"> the Minister for Water announced the 202</w:t>
      </w:r>
      <w:r>
        <w:t>5</w:t>
      </w:r>
      <w:r w:rsidRPr="00080F3F">
        <w:t>-2</w:t>
      </w:r>
      <w:r>
        <w:t>6</w:t>
      </w:r>
      <w:r w:rsidRPr="00080F3F">
        <w:t xml:space="preserve"> Supply Notice with a Required Annual Water Volume for </w:t>
      </w:r>
      <w:r>
        <w:t>50</w:t>
      </w:r>
      <w:r w:rsidRPr="00080F3F">
        <w:t xml:space="preserve"> </w:t>
      </w:r>
      <w:r>
        <w:t>gigalitres</w:t>
      </w:r>
      <w:r w:rsidRPr="00080F3F">
        <w:t xml:space="preserve"> in 202</w:t>
      </w:r>
      <w:r>
        <w:t>5</w:t>
      </w:r>
      <w:r w:rsidRPr="00080F3F">
        <w:t>-2</w:t>
      </w:r>
      <w:r>
        <w:t>6</w:t>
      </w:r>
      <w:r w:rsidRPr="00080F3F">
        <w:t xml:space="preserve"> and non</w:t>
      </w:r>
      <w:r>
        <w:noBreakHyphen/>
      </w:r>
      <w:r w:rsidRPr="00080F3F">
        <w:t xml:space="preserve">binding forecasts of </w:t>
      </w:r>
      <w:r>
        <w:t>75</w:t>
      </w:r>
      <w:r w:rsidRPr="00080F3F">
        <w:t xml:space="preserve"> </w:t>
      </w:r>
      <w:r>
        <w:t>gigalitres</w:t>
      </w:r>
      <w:r w:rsidRPr="00080F3F">
        <w:t xml:space="preserve"> for 202</w:t>
      </w:r>
      <w:r>
        <w:t>6</w:t>
      </w:r>
      <w:r w:rsidRPr="00080F3F">
        <w:t>-2</w:t>
      </w:r>
      <w:r>
        <w:t>7</w:t>
      </w:r>
      <w:r w:rsidRPr="00080F3F">
        <w:t xml:space="preserve"> and </w:t>
      </w:r>
      <w:r>
        <w:t>50 gigalitres</w:t>
      </w:r>
      <w:r w:rsidRPr="00080F3F">
        <w:t xml:space="preserve"> for 202</w:t>
      </w:r>
      <w:r>
        <w:t>7</w:t>
      </w:r>
      <w:r w:rsidRPr="00080F3F">
        <w:t>-2</w:t>
      </w:r>
      <w:r>
        <w:t>8</w:t>
      </w:r>
      <w:r w:rsidRPr="00080F3F">
        <w:t>.</w:t>
      </w:r>
    </w:p>
    <w:p w14:paraId="3D049646" w14:textId="77777777" w:rsidR="006E04C6" w:rsidRDefault="006E04C6" w:rsidP="004D42F9">
      <w:pPr>
        <w:pStyle w:val="Heading3"/>
        <w:spacing w:before="120"/>
        <w:sectPr w:rsidR="006E04C6" w:rsidSect="006E04C6">
          <w:type w:val="continuous"/>
          <w:pgSz w:w="11906" w:h="16838" w:code="9"/>
          <w:pgMar w:top="1134" w:right="1134" w:bottom="1134" w:left="1134" w:header="624" w:footer="567" w:gutter="0"/>
          <w:cols w:num="2" w:space="708"/>
          <w:docGrid w:linePitch="360"/>
        </w:sectPr>
      </w:pPr>
    </w:p>
    <w:p w14:paraId="74B473E6" w14:textId="77777777" w:rsidR="004D42F9" w:rsidRPr="00274CEB" w:rsidRDefault="004D42F9" w:rsidP="00D047FC">
      <w:pPr>
        <w:pStyle w:val="Heading3"/>
        <w:pageBreakBefore/>
        <w:spacing w:before="0"/>
      </w:pPr>
      <w:r>
        <w:lastRenderedPageBreak/>
        <w:t>5.7.6</w:t>
      </w:r>
      <w:r>
        <w:tab/>
        <w:t>Fulham Correctional Centre</w:t>
      </w:r>
      <w:r w:rsidRPr="00E2495F">
        <w:t xml:space="preserve"> Contract Extension</w:t>
      </w:r>
    </w:p>
    <w:p w14:paraId="7C30BDCE" w14:textId="77777777" w:rsidR="006E04C6" w:rsidRDefault="006E04C6" w:rsidP="006E04C6">
      <w:pPr>
        <w:keepNext/>
        <w:spacing w:before="320"/>
        <w:rPr>
          <w:b/>
        </w:rPr>
        <w:sectPr w:rsidR="006E04C6" w:rsidSect="006E04C6">
          <w:type w:val="continuous"/>
          <w:pgSz w:w="11906" w:h="16838" w:code="9"/>
          <w:pgMar w:top="1134" w:right="1134" w:bottom="1134" w:left="1134" w:header="624" w:footer="567" w:gutter="0"/>
          <w:cols w:space="708"/>
          <w:docGrid w:linePitch="360"/>
        </w:sectPr>
      </w:pPr>
    </w:p>
    <w:p w14:paraId="49CF44AD" w14:textId="77777777" w:rsidR="004D42F9" w:rsidRPr="00F71612" w:rsidRDefault="004D42F9" w:rsidP="004D42F9">
      <w:pPr>
        <w:keepNext/>
      </w:pPr>
      <w:r w:rsidRPr="00F71612">
        <w:rPr>
          <w:b/>
        </w:rPr>
        <w:t>Operator</w:t>
      </w:r>
      <w:r w:rsidRPr="00F71612">
        <w:t>: Australasian Correctional Investment Limited (ACI)</w:t>
      </w:r>
    </w:p>
    <w:p w14:paraId="2F8A8015" w14:textId="77777777" w:rsidR="004D42F9" w:rsidRPr="00F71612" w:rsidRDefault="004D42F9" w:rsidP="004D42F9">
      <w:pPr>
        <w:keepNext/>
      </w:pPr>
      <w:r w:rsidRPr="00F71612">
        <w:rPr>
          <w:b/>
        </w:rPr>
        <w:t>Concession period</w:t>
      </w:r>
      <w:r w:rsidRPr="00F71612">
        <w:t>: 38 years</w:t>
      </w:r>
    </w:p>
    <w:p w14:paraId="480D4ADE" w14:textId="77777777" w:rsidR="00D047FC" w:rsidRDefault="004D42F9" w:rsidP="004D42F9">
      <w:pPr>
        <w:spacing w:before="80"/>
      </w:pPr>
      <w:r w:rsidRPr="00F71612">
        <w:t xml:space="preserve">In October 1995, the State entered into a public private partnership arrangement with the operator. The construction of the prison was completed in 1997 and the operational phase under the original contract was due to end in 2017. </w:t>
      </w:r>
    </w:p>
    <w:p w14:paraId="6F607A4C" w14:textId="271ABE8F" w:rsidR="004D42F9" w:rsidRDefault="004D42F9" w:rsidP="00754552">
      <w:r w:rsidRPr="00F71612">
        <w:t>However, a contract extension was entered into in April 2015, with the terms of the contract extension coming into effect in July 2016. The contract extension has an initial term of 11 years and subject to ACI</w:t>
      </w:r>
      <w:r w:rsidR="00845934">
        <w:t>’</w:t>
      </w:r>
      <w:r w:rsidRPr="00F71612">
        <w:t>s performance, a further term of 8.3 years that would end in October 2035</w:t>
      </w:r>
      <w:r w:rsidRPr="00BF1EB0">
        <w:t>.</w:t>
      </w:r>
    </w:p>
    <w:p w14:paraId="74EE8D81" w14:textId="77777777" w:rsidR="006E04C6" w:rsidRDefault="006E04C6" w:rsidP="004D42F9">
      <w:pPr>
        <w:pStyle w:val="Heading3"/>
        <w:spacing w:before="120"/>
        <w:sectPr w:rsidR="006E04C6" w:rsidSect="006E04C6">
          <w:type w:val="continuous"/>
          <w:pgSz w:w="11906" w:h="16838" w:code="9"/>
          <w:pgMar w:top="1134" w:right="1134" w:bottom="1134" w:left="1134" w:header="624" w:footer="567" w:gutter="0"/>
          <w:cols w:num="2" w:space="708"/>
          <w:docGrid w:linePitch="360"/>
        </w:sectPr>
      </w:pPr>
    </w:p>
    <w:p w14:paraId="63409930" w14:textId="77777777" w:rsidR="004D42F9" w:rsidRDefault="004D42F9" w:rsidP="00A117A5">
      <w:pPr>
        <w:pStyle w:val="Heading3"/>
        <w:spacing w:before="800"/>
      </w:pPr>
      <w:r>
        <w:t>5.7.7</w:t>
      </w:r>
      <w:r w:rsidRPr="00F818B7">
        <w:t xml:space="preserve"> </w:t>
      </w:r>
      <w:r>
        <w:tab/>
      </w:r>
      <w:r w:rsidRPr="006C7842">
        <w:t>Metropolitan Bus Contracts</w:t>
      </w:r>
    </w:p>
    <w:p w14:paraId="619F0C87" w14:textId="77777777" w:rsidR="006E04C6" w:rsidRDefault="006E04C6" w:rsidP="00A117A5">
      <w:pPr>
        <w:spacing w:before="800"/>
        <w:rPr>
          <w:b/>
        </w:rPr>
        <w:sectPr w:rsidR="006E04C6" w:rsidSect="006E04C6">
          <w:type w:val="continuous"/>
          <w:pgSz w:w="11906" w:h="16838" w:code="9"/>
          <w:pgMar w:top="1134" w:right="1134" w:bottom="1134" w:left="1134" w:header="624" w:footer="567" w:gutter="0"/>
          <w:cols w:space="708"/>
          <w:docGrid w:linePitch="360"/>
        </w:sectPr>
      </w:pPr>
    </w:p>
    <w:p w14:paraId="4041AFB6" w14:textId="77777777" w:rsidR="004D42F9" w:rsidRPr="00A203D7" w:rsidRDefault="004D42F9" w:rsidP="004D42F9">
      <w:pPr>
        <w:spacing w:before="80"/>
      </w:pPr>
      <w:r w:rsidRPr="006C7842">
        <w:rPr>
          <w:b/>
        </w:rPr>
        <w:t>Operator</w:t>
      </w:r>
      <w:r w:rsidRPr="006C7842">
        <w:t>: Cranbourne Transit</w:t>
      </w:r>
      <w:r w:rsidRPr="00A203D7">
        <w:t>, Donric Group, Kinetic (Melbourne) Pty Ltd, Sita Bus</w:t>
      </w:r>
      <w:r>
        <w:t xml:space="preserve"> L</w:t>
      </w:r>
      <w:r w:rsidRPr="00A203D7">
        <w:t>ines and Ventura Bus Lines.</w:t>
      </w:r>
    </w:p>
    <w:p w14:paraId="32FEBAD3" w14:textId="77777777" w:rsidR="004D42F9" w:rsidRPr="00A203D7" w:rsidRDefault="004D42F9" w:rsidP="004D42F9">
      <w:pPr>
        <w:spacing w:before="80"/>
      </w:pPr>
      <w:r w:rsidRPr="00A203D7">
        <w:rPr>
          <w:b/>
        </w:rPr>
        <w:t>Concession period</w:t>
      </w:r>
      <w:r w:rsidRPr="00A203D7">
        <w:t xml:space="preserve">: </w:t>
      </w:r>
    </w:p>
    <w:p w14:paraId="71520518" w14:textId="77777777" w:rsidR="004D42F9" w:rsidRPr="00A203D7" w:rsidRDefault="004D42F9" w:rsidP="004D42F9">
      <w:pPr>
        <w:pStyle w:val="ListBullet"/>
        <w:keepLines/>
        <w:numPr>
          <w:ilvl w:val="0"/>
          <w:numId w:val="27"/>
        </w:numPr>
      </w:pPr>
      <w:r w:rsidRPr="00A203D7">
        <w:t>Kinetic bus contract – Seven years with 29</w:t>
      </w:r>
      <w:r>
        <w:noBreakHyphen/>
      </w:r>
      <w:r w:rsidRPr="00A203D7">
        <w:t>month extension subject to satisfying flexible performance measures</w:t>
      </w:r>
    </w:p>
    <w:p w14:paraId="729A5EC1" w14:textId="77777777" w:rsidR="004D42F9" w:rsidRPr="00A203D7" w:rsidRDefault="004D42F9" w:rsidP="004D42F9">
      <w:pPr>
        <w:pStyle w:val="ListBullet"/>
        <w:keepLines/>
        <w:numPr>
          <w:ilvl w:val="0"/>
          <w:numId w:val="27"/>
        </w:numPr>
      </w:pPr>
      <w:r w:rsidRPr="00A203D7">
        <w:t>Other contracts – Eight years with two</w:t>
      </w:r>
      <w:r>
        <w:t>-</w:t>
      </w:r>
      <w:r w:rsidRPr="00A203D7">
        <w:t>year extensions subject to satisfying flexible performance measures.</w:t>
      </w:r>
    </w:p>
    <w:p w14:paraId="273207D4" w14:textId="77777777" w:rsidR="004D42F9" w:rsidRPr="00A203D7" w:rsidRDefault="004D42F9" w:rsidP="004D42F9">
      <w:pPr>
        <w:spacing w:before="80"/>
      </w:pPr>
      <w:r w:rsidRPr="00A203D7">
        <w:t>In June and July 2018,</w:t>
      </w:r>
      <w:r>
        <w:t xml:space="preserve"> </w:t>
      </w:r>
      <w:r w:rsidRPr="00A203D7">
        <w:t xml:space="preserve">Metropolitan Bus Service Contracts </w:t>
      </w:r>
      <w:r>
        <w:t>(excluding</w:t>
      </w:r>
      <w:r w:rsidRPr="00A203D7">
        <w:t xml:space="preserve"> </w:t>
      </w:r>
      <w:r>
        <w:t>Kinetic)</w:t>
      </w:r>
      <w:r w:rsidRPr="00A203D7">
        <w:t xml:space="preserve"> were signed with the operators of the metropolitan buses. </w:t>
      </w:r>
    </w:p>
    <w:p w14:paraId="45631147" w14:textId="77777777" w:rsidR="004D42F9" w:rsidRPr="00A203D7" w:rsidRDefault="004D42F9" w:rsidP="004D42F9">
      <w:pPr>
        <w:spacing w:before="80"/>
      </w:pPr>
      <w:r w:rsidRPr="00A203D7">
        <w:t>Contracts with Cranbourne Transit, Donric Group, Sita Bus</w:t>
      </w:r>
      <w:r>
        <w:t xml:space="preserve"> L</w:t>
      </w:r>
      <w:r w:rsidRPr="00A203D7">
        <w:t xml:space="preserve">ines and Ventura Bus Lines will expire in 2026. In addition to the current bus fleet managed by the Operators, new buses introduced from 2025 under these Metropolitan contracts will be electric buses under the Zero Emission Bus initiative. </w:t>
      </w:r>
    </w:p>
    <w:p w14:paraId="049AB2A7" w14:textId="77777777" w:rsidR="004D42F9" w:rsidRPr="00A203D7" w:rsidRDefault="004D42F9" w:rsidP="004D42F9">
      <w:pPr>
        <w:spacing w:before="80"/>
      </w:pPr>
      <w:r w:rsidRPr="00A203D7">
        <w:t xml:space="preserve">Kinetic Pty Ltd, which operates SkyBus and runs local bus routes across Australia has been awarded the contract for the Metropolitan Bus Franchise from 31 January 2022. In addition to the </w:t>
      </w:r>
      <w:r>
        <w:t>existing</w:t>
      </w:r>
      <w:r w:rsidRPr="00A203D7">
        <w:t xml:space="preserve"> bus fleet </w:t>
      </w:r>
      <w:r>
        <w:t>that was</w:t>
      </w:r>
      <w:r w:rsidRPr="00A203D7">
        <w:t xml:space="preserve"> operated by Transdev (previous operator), Kinetic </w:t>
      </w:r>
      <w:r>
        <w:t xml:space="preserve">is progressively </w:t>
      </w:r>
      <w:r w:rsidRPr="00A203D7">
        <w:t>introduc</w:t>
      </w:r>
      <w:r>
        <w:t>ing</w:t>
      </w:r>
      <w:r w:rsidRPr="00A203D7">
        <w:t xml:space="preserve"> 36 </w:t>
      </w:r>
      <w:r>
        <w:t>new</w:t>
      </w:r>
      <w:r w:rsidRPr="00A203D7">
        <w:t xml:space="preserve"> fully electric buses to the network</w:t>
      </w:r>
      <w:r>
        <w:t>.</w:t>
      </w:r>
    </w:p>
    <w:p w14:paraId="3DC46CB0" w14:textId="08E08CEB" w:rsidR="004D42F9" w:rsidRDefault="004D42F9" w:rsidP="004D42F9">
      <w:pPr>
        <w:spacing w:before="80"/>
      </w:pPr>
      <w:r w:rsidRPr="00A203D7">
        <w:t>The State</w:t>
      </w:r>
      <w:r w:rsidR="00845934">
        <w:t>’</w:t>
      </w:r>
      <w:r w:rsidRPr="00A203D7">
        <w:t>s control over the asset lies in its unconditional right to acquire the assets at market value at the end of the concession period.</w:t>
      </w:r>
    </w:p>
    <w:p w14:paraId="2DB07B13"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338A625F" w14:textId="77777777" w:rsidR="004D42F9" w:rsidRPr="00F1027D" w:rsidRDefault="004D42F9" w:rsidP="00A117A5">
      <w:pPr>
        <w:pStyle w:val="Heading3"/>
        <w:spacing w:before="640"/>
      </w:pPr>
      <w:r>
        <w:t>5.7.8</w:t>
      </w:r>
      <w:r>
        <w:tab/>
      </w:r>
      <w:r w:rsidRPr="00F1027D">
        <w:t>Peninsula Link</w:t>
      </w:r>
    </w:p>
    <w:p w14:paraId="4E89F995" w14:textId="77777777" w:rsidR="006E04C6" w:rsidRDefault="006E04C6" w:rsidP="00A117A5">
      <w:pPr>
        <w:keepNext/>
        <w:spacing w:before="640"/>
        <w:rPr>
          <w:b/>
        </w:rPr>
        <w:sectPr w:rsidR="006E04C6" w:rsidSect="006E04C6">
          <w:type w:val="continuous"/>
          <w:pgSz w:w="11906" w:h="16838" w:code="9"/>
          <w:pgMar w:top="1134" w:right="1134" w:bottom="1134" w:left="1134" w:header="624" w:footer="567" w:gutter="0"/>
          <w:cols w:space="708"/>
          <w:docGrid w:linePitch="360"/>
        </w:sectPr>
      </w:pPr>
    </w:p>
    <w:p w14:paraId="5EECA675" w14:textId="77777777" w:rsidR="004D42F9" w:rsidRPr="00F1027D" w:rsidRDefault="004D42F9" w:rsidP="004D42F9">
      <w:pPr>
        <w:keepNext/>
      </w:pPr>
      <w:r w:rsidRPr="00F1027D">
        <w:rPr>
          <w:b/>
        </w:rPr>
        <w:t>Operator</w:t>
      </w:r>
      <w:r w:rsidRPr="00F1027D">
        <w:t>: Southern Way Pty Ltd (Southern Way)</w:t>
      </w:r>
    </w:p>
    <w:p w14:paraId="37BACF70" w14:textId="77777777" w:rsidR="004D42F9" w:rsidRPr="00F1027D" w:rsidRDefault="004D42F9" w:rsidP="004D42F9">
      <w:pPr>
        <w:keepNext/>
      </w:pPr>
      <w:r w:rsidRPr="00F1027D">
        <w:rPr>
          <w:b/>
        </w:rPr>
        <w:t>Concession period</w:t>
      </w:r>
      <w:r w:rsidRPr="00F1027D">
        <w:t>: 25 years</w:t>
      </w:r>
    </w:p>
    <w:p w14:paraId="14B4DBF9" w14:textId="77777777" w:rsidR="004D42F9" w:rsidRPr="00F1027D" w:rsidRDefault="004D42F9" w:rsidP="004D42F9">
      <w:r w:rsidRPr="00F1027D">
        <w:t xml:space="preserve">The State entered into a Peninsula Link Project Deed with Southern Way on 20 January 2010. </w:t>
      </w:r>
    </w:p>
    <w:p w14:paraId="7967A297" w14:textId="77777777" w:rsidR="004D42F9" w:rsidRDefault="004D42F9" w:rsidP="004D42F9">
      <w:r w:rsidRPr="00F1027D">
        <w:t>The concession period will end in January 2038. The State compensates Southern Way for delivery of ongoing maintenance services through QSP payments, which are subject to KPI linked abatement.</w:t>
      </w:r>
    </w:p>
    <w:p w14:paraId="1E38A332"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17D57178" w14:textId="77777777" w:rsidR="004D42F9" w:rsidRPr="00274CEB" w:rsidRDefault="004D42F9" w:rsidP="00A117A5">
      <w:pPr>
        <w:pStyle w:val="Heading3"/>
        <w:spacing w:before="800"/>
      </w:pPr>
      <w:r>
        <w:t>5.7.9</w:t>
      </w:r>
      <w:r>
        <w:tab/>
      </w:r>
      <w:r w:rsidRPr="00E2495F">
        <w:t>Port Philip Prison Contract Extension</w:t>
      </w:r>
    </w:p>
    <w:p w14:paraId="053BBD52" w14:textId="77777777" w:rsidR="006E04C6" w:rsidRDefault="006E04C6" w:rsidP="00A117A5">
      <w:pPr>
        <w:keepNext/>
        <w:spacing w:before="800"/>
        <w:rPr>
          <w:b/>
        </w:rPr>
        <w:sectPr w:rsidR="006E04C6" w:rsidSect="006E04C6">
          <w:type w:val="continuous"/>
          <w:pgSz w:w="11906" w:h="16838" w:code="9"/>
          <w:pgMar w:top="1134" w:right="1134" w:bottom="1134" w:left="1134" w:header="624" w:footer="567" w:gutter="0"/>
          <w:cols w:space="708"/>
          <w:docGrid w:linePitch="360"/>
        </w:sectPr>
      </w:pPr>
    </w:p>
    <w:p w14:paraId="726ED0BF" w14:textId="77777777" w:rsidR="004D42F9" w:rsidRPr="00E2495F" w:rsidRDefault="004D42F9" w:rsidP="004D42F9">
      <w:pPr>
        <w:keepNext/>
      </w:pPr>
      <w:r w:rsidRPr="00E2495F">
        <w:rPr>
          <w:b/>
        </w:rPr>
        <w:t>Operator</w:t>
      </w:r>
      <w:r w:rsidRPr="00E2495F">
        <w:t>: G4S Correctional Services (Australia) Pty</w:t>
      </w:r>
      <w:r>
        <w:t> </w:t>
      </w:r>
      <w:r w:rsidRPr="00E2495F">
        <w:t>Ltd (G4S)</w:t>
      </w:r>
    </w:p>
    <w:p w14:paraId="204B2C85" w14:textId="77777777" w:rsidR="004D42F9" w:rsidRPr="00E2495F" w:rsidRDefault="004D42F9" w:rsidP="004D42F9">
      <w:pPr>
        <w:keepNext/>
      </w:pPr>
      <w:r w:rsidRPr="00E2495F">
        <w:rPr>
          <w:b/>
        </w:rPr>
        <w:t>Concession period</w:t>
      </w:r>
      <w:r w:rsidRPr="00E2495F">
        <w:t xml:space="preserve">: </w:t>
      </w:r>
      <w:r>
        <w:t>3</w:t>
      </w:r>
      <w:r w:rsidRPr="00E2495F">
        <w:t>0 years</w:t>
      </w:r>
    </w:p>
    <w:p w14:paraId="7EF7AAFA" w14:textId="77777777" w:rsidR="004D42F9" w:rsidRPr="00E2495F" w:rsidRDefault="004D42F9" w:rsidP="004D42F9">
      <w:r w:rsidRPr="00E2495F">
        <w:t xml:space="preserve">In July 1996, the State entered into a public private partnership arrangement with the operator. The construction of the prison was completed in 1997 and the operational phase under the original contract was due to end in 2017. </w:t>
      </w:r>
    </w:p>
    <w:p w14:paraId="7E672FA7" w14:textId="77777777" w:rsidR="004D42F9" w:rsidRDefault="004D42F9" w:rsidP="004D42F9">
      <w:r>
        <w:t>A</w:t>
      </w:r>
      <w:r w:rsidRPr="00E2495F">
        <w:t> contract extension was entered</w:t>
      </w:r>
      <w:r>
        <w:t xml:space="preserve"> into</w:t>
      </w:r>
      <w:r w:rsidRPr="00E2495F">
        <w:t xml:space="preserve"> in December 2015, with the terms of the contract extension coming into effect in 2017. The contract extension was also novated in September 2017. The </w:t>
      </w:r>
      <w:r>
        <w:t>contract</w:t>
      </w:r>
      <w:r w:rsidRPr="00E2495F">
        <w:t xml:space="preserve"> will</w:t>
      </w:r>
      <w:r>
        <w:t xml:space="preserve"> now</w:t>
      </w:r>
      <w:r w:rsidRPr="00E2495F">
        <w:t xml:space="preserve"> end in December 2025</w:t>
      </w:r>
      <w:r>
        <w:t>.</w:t>
      </w:r>
    </w:p>
    <w:p w14:paraId="5FDAB2ED"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579C1D2A" w14:textId="77777777" w:rsidR="004D42F9" w:rsidRPr="00F71612" w:rsidRDefault="004D42F9" w:rsidP="00D047FC">
      <w:pPr>
        <w:pStyle w:val="Heading3"/>
        <w:pageBreakBefore/>
        <w:spacing w:before="0"/>
      </w:pPr>
      <w:r>
        <w:lastRenderedPageBreak/>
        <w:t>5.7.10</w:t>
      </w:r>
      <w:r>
        <w:tab/>
      </w:r>
      <w:r w:rsidRPr="00F71612">
        <w:t>Ravenhall Correction Centre</w:t>
      </w:r>
    </w:p>
    <w:p w14:paraId="3E9BFD26" w14:textId="77777777" w:rsidR="006E04C6" w:rsidRDefault="006E04C6" w:rsidP="006E04C6">
      <w:pPr>
        <w:spacing w:before="480"/>
        <w:rPr>
          <w:b/>
        </w:rPr>
        <w:sectPr w:rsidR="006E04C6" w:rsidSect="006E04C6">
          <w:type w:val="continuous"/>
          <w:pgSz w:w="11906" w:h="16838" w:code="9"/>
          <w:pgMar w:top="1134" w:right="1134" w:bottom="1134" w:left="1134" w:header="624" w:footer="567" w:gutter="0"/>
          <w:cols w:space="708"/>
          <w:docGrid w:linePitch="360"/>
        </w:sectPr>
      </w:pPr>
    </w:p>
    <w:p w14:paraId="1B17CC12" w14:textId="77777777" w:rsidR="004D42F9" w:rsidRPr="00F71612" w:rsidRDefault="004D42F9" w:rsidP="004D42F9">
      <w:r w:rsidRPr="00F71612">
        <w:rPr>
          <w:b/>
        </w:rPr>
        <w:t>Operator</w:t>
      </w:r>
      <w:r w:rsidRPr="00F71612">
        <w:t>: GEO Consortium</w:t>
      </w:r>
    </w:p>
    <w:p w14:paraId="7AFC9305" w14:textId="77777777" w:rsidR="004D42F9" w:rsidRPr="00F71612" w:rsidRDefault="004D42F9" w:rsidP="004D42F9">
      <w:r w:rsidRPr="00F71612">
        <w:rPr>
          <w:b/>
        </w:rPr>
        <w:t>Concession period</w:t>
      </w:r>
      <w:r w:rsidRPr="00F71612">
        <w:t>: 25 years</w:t>
      </w:r>
    </w:p>
    <w:p w14:paraId="417EBB36" w14:textId="77777777" w:rsidR="006E04C6" w:rsidRDefault="004D42F9" w:rsidP="004D42F9">
      <w:r w:rsidRPr="00F71612">
        <w:t xml:space="preserve">In September 2014, the State entered into a public private partnership with the operator. </w:t>
      </w:r>
    </w:p>
    <w:p w14:paraId="46A127C5" w14:textId="3A0DE108" w:rsidR="004D42F9" w:rsidRDefault="004D42F9" w:rsidP="004D42F9">
      <w:r w:rsidRPr="00F71612">
        <w:t>The construction of the prison was completed in November 2017 and the operational phase is due to expire in 2042</w:t>
      </w:r>
      <w:r w:rsidRPr="00BF1EB0">
        <w:t>.</w:t>
      </w:r>
    </w:p>
    <w:p w14:paraId="014B5EFE"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2F7F7B45" w14:textId="77777777" w:rsidR="004D42F9" w:rsidRDefault="004D42F9" w:rsidP="00A117A5">
      <w:pPr>
        <w:pStyle w:val="Heading3"/>
        <w:spacing w:before="800"/>
      </w:pPr>
      <w:r>
        <w:t>5.7.11</w:t>
      </w:r>
      <w:r>
        <w:tab/>
        <w:t>Southern Cross Station</w:t>
      </w:r>
    </w:p>
    <w:p w14:paraId="53A9DF25" w14:textId="77777777" w:rsidR="006E04C6" w:rsidRDefault="006E04C6" w:rsidP="00A117A5">
      <w:pPr>
        <w:spacing w:before="800"/>
        <w:rPr>
          <w:b/>
          <w:bCs/>
        </w:rPr>
        <w:sectPr w:rsidR="006E04C6" w:rsidSect="006E04C6">
          <w:type w:val="continuous"/>
          <w:pgSz w:w="11906" w:h="16838" w:code="9"/>
          <w:pgMar w:top="1134" w:right="1134" w:bottom="1134" w:left="1134" w:header="624" w:footer="567" w:gutter="0"/>
          <w:cols w:space="708"/>
          <w:docGrid w:linePitch="360"/>
        </w:sectPr>
      </w:pPr>
    </w:p>
    <w:p w14:paraId="48A8E394" w14:textId="77777777" w:rsidR="004D42F9" w:rsidRDefault="004D42F9" w:rsidP="004D42F9">
      <w:r w:rsidRPr="00582B93">
        <w:rPr>
          <w:b/>
          <w:bCs/>
        </w:rPr>
        <w:t>Operator</w:t>
      </w:r>
      <w:r>
        <w:t>: Civic Nexus Pty Ltd (CNPL)</w:t>
      </w:r>
    </w:p>
    <w:p w14:paraId="122F729F" w14:textId="77777777" w:rsidR="004D42F9" w:rsidRDefault="004D42F9" w:rsidP="004D42F9">
      <w:r w:rsidRPr="00582B93">
        <w:rPr>
          <w:b/>
          <w:bCs/>
        </w:rPr>
        <w:t>Concession period</w:t>
      </w:r>
      <w:r>
        <w:t>: 30 years</w:t>
      </w:r>
    </w:p>
    <w:p w14:paraId="414CE6AC" w14:textId="77777777" w:rsidR="004D42F9" w:rsidRDefault="004D42F9" w:rsidP="004D42F9">
      <w:r>
        <w:t>In July 2002, the State entered into a Service and Development Agreement (SDA) with the operator for the redevelopment of Southern Cross Station. The agreement ends in June 2036.</w:t>
      </w:r>
    </w:p>
    <w:p w14:paraId="3E3A3511" w14:textId="77777777" w:rsidR="004D42F9" w:rsidRDefault="004D42F9" w:rsidP="004D42F9">
      <w:r>
        <w:t xml:space="preserve">Construction commenced in September 2002 and completed in August 2006. </w:t>
      </w:r>
    </w:p>
    <w:p w14:paraId="5A12AC2F" w14:textId="4B4C0363" w:rsidR="004D42F9" w:rsidRDefault="004D42F9" w:rsidP="004D42F9">
      <w:r>
        <w:t>The State</w:t>
      </w:r>
      <w:r w:rsidR="00845934">
        <w:t>’</w:t>
      </w:r>
      <w:r>
        <w:t>s QSP payments to the operator for the delivery of operating and maintenance services are subject to abatement in accordance with the terms and conditions of the SDA.</w:t>
      </w:r>
      <w:r>
        <w:tab/>
      </w:r>
    </w:p>
    <w:p w14:paraId="36E25EB1"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19646D34" w14:textId="77777777" w:rsidR="004D42F9" w:rsidRPr="00FE2BA8" w:rsidRDefault="004D42F9" w:rsidP="00A117A5">
      <w:pPr>
        <w:pStyle w:val="Heading3"/>
        <w:spacing w:before="800"/>
      </w:pPr>
      <w:r>
        <w:t>5.7.12</w:t>
      </w:r>
      <w:r>
        <w:tab/>
      </w:r>
      <w:r w:rsidRPr="00FE2BA8">
        <w:t>Western Roads Upgrade</w:t>
      </w:r>
    </w:p>
    <w:p w14:paraId="6759EBB6" w14:textId="77777777" w:rsidR="006E04C6" w:rsidRDefault="006E04C6" w:rsidP="00A117A5">
      <w:pPr>
        <w:spacing w:before="800"/>
        <w:rPr>
          <w:b/>
        </w:rPr>
        <w:sectPr w:rsidR="006E04C6" w:rsidSect="006E04C6">
          <w:type w:val="continuous"/>
          <w:pgSz w:w="11906" w:h="16838" w:code="9"/>
          <w:pgMar w:top="1134" w:right="1134" w:bottom="1134" w:left="1134" w:header="624" w:footer="567" w:gutter="0"/>
          <w:cols w:space="708"/>
          <w:docGrid w:linePitch="360"/>
        </w:sectPr>
      </w:pPr>
    </w:p>
    <w:p w14:paraId="3CBE2D79" w14:textId="77777777" w:rsidR="004D42F9" w:rsidRPr="00FE2BA8" w:rsidRDefault="004D42F9" w:rsidP="004D42F9">
      <w:pPr>
        <w:spacing w:before="80"/>
      </w:pPr>
      <w:r w:rsidRPr="00FE2BA8">
        <w:rPr>
          <w:b/>
        </w:rPr>
        <w:t>Operator</w:t>
      </w:r>
      <w:r w:rsidRPr="00FE2BA8">
        <w:t>: Netflow OSARS (Western) Partnership (Netflow)</w:t>
      </w:r>
    </w:p>
    <w:p w14:paraId="66E33CAB" w14:textId="77777777" w:rsidR="004D42F9" w:rsidRPr="00FE2BA8" w:rsidRDefault="004D42F9" w:rsidP="004D42F9">
      <w:pPr>
        <w:spacing w:before="80"/>
      </w:pPr>
      <w:r w:rsidRPr="00FE2BA8">
        <w:rPr>
          <w:b/>
        </w:rPr>
        <w:t>Concession period</w:t>
      </w:r>
      <w:r w:rsidRPr="00FE2BA8">
        <w:t>: 20 years</w:t>
      </w:r>
    </w:p>
    <w:p w14:paraId="369B516D" w14:textId="77777777" w:rsidR="004D42F9" w:rsidRPr="00FE2BA8" w:rsidRDefault="004D42F9" w:rsidP="004D42F9">
      <w:pPr>
        <w:spacing w:before="80"/>
      </w:pPr>
      <w:r w:rsidRPr="00FE2BA8">
        <w:t>In December 2017, the State signed the Western Roads Upgrade contract with Netflow.</w:t>
      </w:r>
    </w:p>
    <w:p w14:paraId="7F8F8C40" w14:textId="77777777" w:rsidR="004D42F9" w:rsidRDefault="004D42F9" w:rsidP="004D42F9">
      <w:pPr>
        <w:autoSpaceDE w:val="0"/>
        <w:autoSpaceDN w:val="0"/>
        <w:rPr>
          <w:rFonts w:ascii="Garamond" w:hAnsi="Garamond"/>
        </w:rPr>
      </w:pPr>
      <w:r w:rsidRPr="00FE2BA8">
        <w:rPr>
          <w:rFonts w:ascii="Garamond" w:hAnsi="Garamond"/>
        </w:rPr>
        <w:t>The agreement includes eight road projects and 37 road rehabilitation projects. The project achieved commercial acceptance in September 2021.</w:t>
      </w:r>
    </w:p>
    <w:p w14:paraId="7FB48360"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4104624B" w14:textId="77777777" w:rsidR="004D42F9" w:rsidRPr="00181109" w:rsidRDefault="004D42F9" w:rsidP="00A117A5">
      <w:pPr>
        <w:pStyle w:val="Heading3"/>
        <w:spacing w:before="800"/>
      </w:pPr>
      <w:r>
        <w:t>5.7.13</w:t>
      </w:r>
      <w:r>
        <w:tab/>
      </w:r>
      <w:r w:rsidRPr="00181109">
        <w:t>High Capacity Metro Trains</w:t>
      </w:r>
      <w:r>
        <w:t xml:space="preserve"> (HCMT) Project</w:t>
      </w:r>
    </w:p>
    <w:p w14:paraId="0A4B6F4F" w14:textId="77777777" w:rsidR="006E04C6" w:rsidRDefault="006E04C6" w:rsidP="00A117A5">
      <w:pPr>
        <w:spacing w:before="800"/>
        <w:rPr>
          <w:b/>
          <w:bCs/>
        </w:rPr>
        <w:sectPr w:rsidR="006E04C6" w:rsidSect="006E04C6">
          <w:type w:val="continuous"/>
          <w:pgSz w:w="11906" w:h="16838" w:code="9"/>
          <w:pgMar w:top="1134" w:right="1134" w:bottom="1134" w:left="1134" w:header="624" w:footer="567" w:gutter="0"/>
          <w:cols w:space="708"/>
          <w:docGrid w:linePitch="360"/>
        </w:sectPr>
      </w:pPr>
    </w:p>
    <w:p w14:paraId="603BB894" w14:textId="77777777" w:rsidR="004D42F9" w:rsidRDefault="004D42F9" w:rsidP="004D42F9">
      <w:r w:rsidRPr="00647B9D">
        <w:rPr>
          <w:b/>
          <w:bCs/>
        </w:rPr>
        <w:t>Operator</w:t>
      </w:r>
      <w:r>
        <w:t>: Evolution Rail Consortium (Evolution Rail)</w:t>
      </w:r>
    </w:p>
    <w:p w14:paraId="6E24DDBB" w14:textId="77777777" w:rsidR="004D42F9" w:rsidRDefault="004D42F9" w:rsidP="004D42F9">
      <w:r w:rsidRPr="00647B9D">
        <w:rPr>
          <w:b/>
          <w:bCs/>
        </w:rPr>
        <w:t>Concession period</w:t>
      </w:r>
      <w:r>
        <w:t>: 30 years</w:t>
      </w:r>
    </w:p>
    <w:p w14:paraId="175B3237" w14:textId="77777777" w:rsidR="004D42F9" w:rsidRDefault="004D42F9" w:rsidP="004D42F9">
      <w:r w:rsidRPr="004B3C0C">
        <w:t>In November 2016, the State entered into a project agreement with Evolution Rail.</w:t>
      </w:r>
    </w:p>
    <w:p w14:paraId="20A23562" w14:textId="601443A2" w:rsidR="004D42F9" w:rsidRDefault="004D42F9" w:rsidP="004D42F9">
      <w:r w:rsidRPr="004B3C0C">
        <w:t>Under the contract, the operator will design, build, commission and finance a fleet of 65 high capacity trains, a depot at Pakenham East (including a train maintenance facility (TMF) and a stabling yard), a</w:t>
      </w:r>
      <w:r w:rsidR="00754552">
        <w:t> </w:t>
      </w:r>
      <w:r w:rsidRPr="004B3C0C">
        <w:t>light service facility (LSF) at Calder Park and two simulators.</w:t>
      </w:r>
    </w:p>
    <w:p w14:paraId="09E6BC6F" w14:textId="5C95950A" w:rsidR="004D42F9" w:rsidRPr="004B3C0C" w:rsidRDefault="00754552" w:rsidP="004D42F9">
      <w:r>
        <w:br w:type="column"/>
      </w:r>
      <w:r w:rsidR="004D42F9" w:rsidRPr="004B3C0C">
        <w:t>The stabling yard was returned to the State in July 2020 for on-going maintenance, while Evolution Rail will be responsible for the maintenance of other constructed assets for a period of 30 years, until 2053.</w:t>
      </w:r>
    </w:p>
    <w:p w14:paraId="73D79AE7" w14:textId="77777777" w:rsidR="004D42F9" w:rsidRDefault="004D42F9" w:rsidP="004D42F9">
      <w:r w:rsidRPr="004B3C0C">
        <w:t>The State is contracted to make PSP payments (represents pro-rata payments to Project Co during the phased delivery of the HCMTs) commencing on 28 Feb 2021, which is the date the 5th HCMT entered service, until commencement of the QSP at commission of the project.</w:t>
      </w:r>
    </w:p>
    <w:p w14:paraId="315E930B" w14:textId="77777777" w:rsidR="004D42F9" w:rsidRDefault="004D42F9" w:rsidP="004D42F9">
      <w:r w:rsidRPr="004B3C0C">
        <w:t xml:space="preserve">In October 2021, the State purchased </w:t>
      </w:r>
      <w:r>
        <w:t>five</w:t>
      </w:r>
      <w:r w:rsidRPr="004B3C0C">
        <w:t xml:space="preserve"> additional train sets and contracted Evolution Rail to maintain them.</w:t>
      </w:r>
    </w:p>
    <w:p w14:paraId="0AF9EDBD"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143BE20B" w14:textId="77777777" w:rsidR="004D42F9" w:rsidRDefault="004D42F9" w:rsidP="00D047FC">
      <w:pPr>
        <w:pStyle w:val="Heading3"/>
        <w:pageBreakBefore/>
        <w:spacing w:before="0"/>
      </w:pPr>
      <w:r>
        <w:lastRenderedPageBreak/>
        <w:t>5.7.</w:t>
      </w:r>
      <w:r w:rsidRPr="00710AD9">
        <w:t>14</w:t>
      </w:r>
      <w:r>
        <w:tab/>
        <w:t>Metro Tunnel Project – Tunnel and Stations</w:t>
      </w:r>
    </w:p>
    <w:p w14:paraId="46F885FE" w14:textId="77777777" w:rsidR="006E04C6" w:rsidRDefault="006E04C6" w:rsidP="006E04C6">
      <w:pPr>
        <w:spacing w:before="320"/>
        <w:rPr>
          <w:b/>
          <w:bCs/>
        </w:rPr>
        <w:sectPr w:rsidR="006E04C6" w:rsidSect="006E04C6">
          <w:type w:val="continuous"/>
          <w:pgSz w:w="11906" w:h="16838" w:code="9"/>
          <w:pgMar w:top="1134" w:right="1134" w:bottom="1134" w:left="1134" w:header="624" w:footer="567" w:gutter="0"/>
          <w:cols w:space="708"/>
          <w:docGrid w:linePitch="360"/>
        </w:sectPr>
      </w:pPr>
    </w:p>
    <w:p w14:paraId="585B79B1" w14:textId="77777777" w:rsidR="004D42F9" w:rsidRDefault="004D42F9" w:rsidP="004D42F9">
      <w:r w:rsidRPr="00647B9D">
        <w:rPr>
          <w:b/>
          <w:bCs/>
        </w:rPr>
        <w:t>Operator</w:t>
      </w:r>
      <w:r>
        <w:t>: Cross Yarra Partnership (CYP)</w:t>
      </w:r>
    </w:p>
    <w:p w14:paraId="48584FE5" w14:textId="77777777" w:rsidR="004D42F9" w:rsidRDefault="004D42F9" w:rsidP="004D42F9">
      <w:r w:rsidRPr="00647B9D">
        <w:rPr>
          <w:b/>
          <w:bCs/>
        </w:rPr>
        <w:t>Concession period</w:t>
      </w:r>
      <w:r>
        <w:t>: 25 years</w:t>
      </w:r>
    </w:p>
    <w:p w14:paraId="7EFDE0CD" w14:textId="77777777" w:rsidR="004D42F9" w:rsidRDefault="004D42F9" w:rsidP="004D42F9">
      <w:r>
        <w:t xml:space="preserve">In December 2017, the State entered into an agreement with CYP to deliver the Metro Tunnel – Tunnel and Stations. </w:t>
      </w:r>
    </w:p>
    <w:p w14:paraId="6CA605CA" w14:textId="77777777" w:rsidR="004D42F9" w:rsidRDefault="004D42F9" w:rsidP="004D42F9">
      <w:r>
        <w:t>Assets to be constructed includes twin nine</w:t>
      </w:r>
      <w:r>
        <w:noBreakHyphen/>
        <w:t>kilometre tunnels under the Central Business District, five underground stations, station fit-out, mechanical and electrical systems and certain commercial opportunities at the new stations. CYP will be responsible for providing maintenance and other services until 2048.</w:t>
      </w:r>
    </w:p>
    <w:p w14:paraId="3839172F" w14:textId="77777777" w:rsidR="004D42F9" w:rsidRDefault="004D42F9" w:rsidP="004D42F9">
      <w:r>
        <w:t>CYP will be provided with a lease to operate some commercial tenancies within the constructed asset through the concession period.</w:t>
      </w:r>
    </w:p>
    <w:p w14:paraId="013B4935" w14:textId="77777777" w:rsidR="004D42F9" w:rsidRDefault="004D42F9" w:rsidP="004D42F9">
      <w:r>
        <w:t>T</w:t>
      </w:r>
      <w:r w:rsidRPr="00E1695A">
        <w:t>he project is under construction and due for completion in 2025</w:t>
      </w:r>
      <w:r>
        <w:t>.</w:t>
      </w:r>
    </w:p>
    <w:p w14:paraId="5A7435A4" w14:textId="0991149E" w:rsidR="004D42F9" w:rsidRDefault="004D42F9" w:rsidP="004D42F9">
      <w:r w:rsidRPr="00463496">
        <w:t xml:space="preserve">On 25 September 2024, formalised amending deeds were executed to resolve contract matters that have arisen during delivery. The additional costs are </w:t>
      </w:r>
      <w:r>
        <w:t>shared between</w:t>
      </w:r>
      <w:r w:rsidRPr="00463496">
        <w:t xml:space="preserve"> CYP and the State. The financial impact of the State</w:t>
      </w:r>
      <w:r w:rsidR="00845934">
        <w:t>’</w:t>
      </w:r>
      <w:r w:rsidRPr="00463496">
        <w:t>s contribution to the settlement is $745 million.</w:t>
      </w:r>
    </w:p>
    <w:p w14:paraId="47392AC7" w14:textId="77777777" w:rsidR="006E04C6" w:rsidRDefault="006E04C6" w:rsidP="004D42F9">
      <w:pPr>
        <w:keepLines w:val="0"/>
        <w:sectPr w:rsidR="006E04C6" w:rsidSect="006E04C6">
          <w:type w:val="continuous"/>
          <w:pgSz w:w="11906" w:h="16838" w:code="9"/>
          <w:pgMar w:top="1134" w:right="1134" w:bottom="1134" w:left="1134" w:header="624" w:footer="567" w:gutter="0"/>
          <w:cols w:num="2" w:space="708"/>
          <w:docGrid w:linePitch="360"/>
        </w:sectPr>
      </w:pPr>
    </w:p>
    <w:p w14:paraId="65192FC7" w14:textId="77777777" w:rsidR="004D42F9" w:rsidRDefault="004D42F9" w:rsidP="00D047FC">
      <w:pPr>
        <w:pStyle w:val="Heading3"/>
        <w:spacing w:before="480"/>
      </w:pPr>
      <w:r>
        <w:t>5.7.15</w:t>
      </w:r>
      <w:r>
        <w:tab/>
        <w:t>Metropolitan Zero Emission Buses</w:t>
      </w:r>
    </w:p>
    <w:p w14:paraId="26A86B24" w14:textId="77777777" w:rsidR="006E04C6" w:rsidRDefault="006E04C6" w:rsidP="006E04C6">
      <w:pPr>
        <w:spacing w:before="320"/>
        <w:rPr>
          <w:b/>
          <w:bCs/>
        </w:rPr>
        <w:sectPr w:rsidR="006E04C6" w:rsidSect="006E04C6">
          <w:type w:val="continuous"/>
          <w:pgSz w:w="11906" w:h="16838" w:code="9"/>
          <w:pgMar w:top="1134" w:right="1134" w:bottom="1134" w:left="1134" w:header="624" w:footer="567" w:gutter="0"/>
          <w:cols w:space="708"/>
          <w:docGrid w:linePitch="360"/>
        </w:sectPr>
      </w:pPr>
    </w:p>
    <w:p w14:paraId="124AC0B5" w14:textId="77777777" w:rsidR="004D42F9" w:rsidRDefault="004D42F9" w:rsidP="004D42F9">
      <w:r w:rsidRPr="0078711B">
        <w:rPr>
          <w:b/>
          <w:bCs/>
        </w:rPr>
        <w:t>Operator</w:t>
      </w:r>
      <w:r>
        <w:t xml:space="preserve">: </w:t>
      </w:r>
      <w:r w:rsidRPr="003737E5">
        <w:t>Kinetic (Melbourne) Pty Ltd, CDC Victoria and Dysons</w:t>
      </w:r>
    </w:p>
    <w:p w14:paraId="58CFAA4E" w14:textId="77777777" w:rsidR="004D42F9" w:rsidRDefault="004D42F9" w:rsidP="004D42F9">
      <w:r w:rsidRPr="0078711B">
        <w:rPr>
          <w:b/>
        </w:rPr>
        <w:t>Concession period</w:t>
      </w:r>
      <w:r>
        <w:t>: 10 years</w:t>
      </w:r>
    </w:p>
    <w:p w14:paraId="31C56846" w14:textId="77777777" w:rsidR="004D42F9" w:rsidRDefault="004D42F9" w:rsidP="004D42F9">
      <w:r w:rsidRPr="003737E5">
        <w:t xml:space="preserve">In September 2024, new Metropolitan Zero Emission Bus Service Franchise (MZF) </w:t>
      </w:r>
      <w:r>
        <w:t>c</w:t>
      </w:r>
      <w:r w:rsidRPr="003737E5">
        <w:t>ontracts were signed with the operators.</w:t>
      </w:r>
      <w:r>
        <w:t xml:space="preserve"> </w:t>
      </w:r>
    </w:p>
    <w:p w14:paraId="735E4497" w14:textId="77777777" w:rsidR="00D047FC" w:rsidRDefault="004D42F9" w:rsidP="004D42F9">
      <w:r w:rsidRPr="005A4712">
        <w:t xml:space="preserve">The MZF contracts formally commenced on 1 July 2025 and will expire in 2035. As part of the Zero Emissions Bus Initiative, operators will progressively introduce up to 600 battery electric buses to the network, replacing existing diesel buses over the contract term. </w:t>
      </w:r>
    </w:p>
    <w:p w14:paraId="7D3E1B85" w14:textId="535B5F27" w:rsidR="004D42F9" w:rsidRDefault="004D42F9" w:rsidP="004D42F9">
      <w:r w:rsidRPr="005A4712">
        <w:t>Due to the transitional nature of the MZF contracts, some diesel buses will continue to be used up to their retirement, while the shift to zero emission buses is gradually undertaken over the life of the contracts.</w:t>
      </w:r>
      <w:r>
        <w:t xml:space="preserve"> </w:t>
      </w:r>
    </w:p>
    <w:p w14:paraId="52B2B234" w14:textId="6851F70B" w:rsidR="004D42F9" w:rsidRPr="0008168D" w:rsidRDefault="004D42F9" w:rsidP="004D42F9">
      <w:r w:rsidRPr="005A4712">
        <w:t>The State</w:t>
      </w:r>
      <w:r w:rsidR="00845934">
        <w:t>’</w:t>
      </w:r>
      <w:r w:rsidRPr="005A4712">
        <w:t>s control over the asset lies in its unconditional right to acquire the assets at market value at the end of the concession period.</w:t>
      </w:r>
    </w:p>
    <w:p w14:paraId="26230C9C"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2C6B5C85" w14:textId="77777777" w:rsidR="004D42F9" w:rsidRDefault="004D42F9" w:rsidP="00D047FC">
      <w:pPr>
        <w:pStyle w:val="Heading3"/>
        <w:spacing w:before="480"/>
      </w:pPr>
      <w:r>
        <w:t>5.7.16</w:t>
      </w:r>
      <w:r>
        <w:tab/>
        <w:t>North East Link – Primary Package (Tunnels)</w:t>
      </w:r>
    </w:p>
    <w:p w14:paraId="224ADC2D" w14:textId="77777777" w:rsidR="006E04C6" w:rsidRDefault="006E04C6" w:rsidP="006E04C6">
      <w:pPr>
        <w:spacing w:before="320"/>
        <w:rPr>
          <w:b/>
          <w:bCs/>
        </w:rPr>
        <w:sectPr w:rsidR="006E04C6" w:rsidSect="006E04C6">
          <w:type w:val="continuous"/>
          <w:pgSz w:w="11906" w:h="16838" w:code="9"/>
          <w:pgMar w:top="1134" w:right="1134" w:bottom="1134" w:left="1134" w:header="624" w:footer="567" w:gutter="0"/>
          <w:cols w:space="708"/>
          <w:docGrid w:linePitch="360"/>
        </w:sectPr>
      </w:pPr>
    </w:p>
    <w:p w14:paraId="2DC915D0" w14:textId="77777777" w:rsidR="004D42F9" w:rsidRDefault="004D42F9" w:rsidP="004D42F9">
      <w:r w:rsidRPr="0078711B">
        <w:rPr>
          <w:b/>
          <w:bCs/>
        </w:rPr>
        <w:t>Operator</w:t>
      </w:r>
      <w:r>
        <w:t>: Spark Consortium</w:t>
      </w:r>
    </w:p>
    <w:p w14:paraId="16568895" w14:textId="77777777" w:rsidR="004D42F9" w:rsidRDefault="004D42F9" w:rsidP="004D42F9">
      <w:r w:rsidRPr="0078711B">
        <w:rPr>
          <w:b/>
        </w:rPr>
        <w:t>Concession period</w:t>
      </w:r>
      <w:r>
        <w:t>: 25 years</w:t>
      </w:r>
    </w:p>
    <w:p w14:paraId="10C28291" w14:textId="77777777" w:rsidR="004D42F9" w:rsidRDefault="004D42F9" w:rsidP="004D42F9">
      <w:r>
        <w:t>In October 2021, the State and the North East Link State Tolling Corporation contracted with the Spark consortium to deliver the Primary Package (Tunnels) of the North East Link.</w:t>
      </w:r>
    </w:p>
    <w:p w14:paraId="11179E44" w14:textId="77777777" w:rsidR="004D42F9" w:rsidRDefault="004D42F9" w:rsidP="004D42F9">
      <w:r>
        <w:t xml:space="preserve">The $11.1 billion Primary Package (Tunnels) is being delivered as an availability PPP with an Incentivised Target Cost regime that applies in respect of costs incurred during the design and construction phase of the project. </w:t>
      </w:r>
    </w:p>
    <w:p w14:paraId="521F42E9" w14:textId="77777777" w:rsidR="004D42F9" w:rsidRDefault="004D42F9" w:rsidP="004D42F9">
      <w:r>
        <w:t>The project is expected to reach commercial acceptance in December 2028.</w:t>
      </w:r>
    </w:p>
    <w:p w14:paraId="1456C4EE" w14:textId="77777777" w:rsidR="004D42F9" w:rsidRDefault="004D42F9" w:rsidP="004D42F9">
      <w:r>
        <w:t xml:space="preserve">The Primary Package (Tunnels) scope includes: </w:t>
      </w:r>
    </w:p>
    <w:p w14:paraId="5FCDA198" w14:textId="77777777" w:rsidR="004D42F9" w:rsidRPr="00875CD3" w:rsidRDefault="004D42F9" w:rsidP="004D42F9">
      <w:pPr>
        <w:pStyle w:val="ListBullet"/>
        <w:keepLines/>
        <w:numPr>
          <w:ilvl w:val="0"/>
          <w:numId w:val="27"/>
        </w:numPr>
      </w:pPr>
      <w:r w:rsidRPr="00875CD3">
        <w:t>twin, three-lane tunnels</w:t>
      </w:r>
    </w:p>
    <w:p w14:paraId="6EBD3AD4" w14:textId="77777777" w:rsidR="004D42F9" w:rsidRPr="00875CD3" w:rsidRDefault="004D42F9" w:rsidP="004D42F9">
      <w:pPr>
        <w:pStyle w:val="ListBullet"/>
        <w:keepLines/>
        <w:numPr>
          <w:ilvl w:val="0"/>
          <w:numId w:val="27"/>
        </w:numPr>
      </w:pPr>
      <w:r w:rsidRPr="00875CD3">
        <w:t>split interchange at Lower Plenty Road and Manningham Road</w:t>
      </w:r>
    </w:p>
    <w:p w14:paraId="6C86C575" w14:textId="77777777" w:rsidR="004D42F9" w:rsidRPr="00875CD3" w:rsidRDefault="004D42F9" w:rsidP="004D42F9">
      <w:pPr>
        <w:pStyle w:val="ListBullet"/>
        <w:keepLines/>
        <w:numPr>
          <w:ilvl w:val="0"/>
          <w:numId w:val="27"/>
        </w:numPr>
      </w:pPr>
      <w:r w:rsidRPr="00875CD3">
        <w:t>an upgrade on the existing interchange south of Bulleen Road to accommodate the tunnel on ramp, a new interchange west of Thompsons Road to service the new Bulleen Park &amp; Ride and accommodate the tunnel off- and on-ramps</w:t>
      </w:r>
    </w:p>
    <w:p w14:paraId="09520FD2" w14:textId="77777777" w:rsidR="004D42F9" w:rsidRPr="00875CD3" w:rsidRDefault="004D42F9" w:rsidP="004D42F9">
      <w:pPr>
        <w:pStyle w:val="ListBullet"/>
        <w:keepLines/>
        <w:numPr>
          <w:ilvl w:val="0"/>
          <w:numId w:val="27"/>
        </w:numPr>
      </w:pPr>
      <w:r w:rsidRPr="00875CD3">
        <w:t>new and upgraded green land bridges, development of extensive shared user paths and walking and cycling infrastructure to form a new North East Trail network</w:t>
      </w:r>
    </w:p>
    <w:p w14:paraId="2C359793" w14:textId="77777777" w:rsidR="004D42F9" w:rsidRPr="00875CD3" w:rsidRDefault="004D42F9" w:rsidP="004D42F9">
      <w:pPr>
        <w:pStyle w:val="ListBullet"/>
        <w:keepLines/>
        <w:numPr>
          <w:ilvl w:val="0"/>
          <w:numId w:val="27"/>
        </w:numPr>
      </w:pPr>
      <w:r w:rsidRPr="00875CD3">
        <w:t xml:space="preserve">high-quality outcomes in open space, noise walls design and maximising tree canopy replacement. </w:t>
      </w:r>
    </w:p>
    <w:p w14:paraId="1F04A34B" w14:textId="77777777" w:rsidR="004D42F9" w:rsidRDefault="004D42F9" w:rsidP="004D42F9">
      <w:r>
        <w:t>The other remaining project elements of the North East Link will be delivered under separate packages.</w:t>
      </w:r>
    </w:p>
    <w:p w14:paraId="0FF93344" w14:textId="77777777" w:rsidR="004D42F9" w:rsidRPr="009458CE" w:rsidRDefault="004D42F9" w:rsidP="004D42F9">
      <w:r>
        <w:t xml:space="preserve">The new link will be tolled, with the State retaining toll revenues, while the Eastern Freeway and the M80 Ring Road will remain toll free. A state-owned corporation, the State Tolling Corporation, has been established to collect tolls for the North East Link with toll revenue going towards the cost of building and maintaining the project. </w:t>
      </w:r>
    </w:p>
    <w:p w14:paraId="2CED8084" w14:textId="77777777" w:rsidR="006E04C6" w:rsidRDefault="006E04C6" w:rsidP="004D42F9">
      <w:pPr>
        <w:keepLines w:val="0"/>
        <w:sectPr w:rsidR="006E04C6" w:rsidSect="006E04C6">
          <w:type w:val="continuous"/>
          <w:pgSz w:w="11906" w:h="16838" w:code="9"/>
          <w:pgMar w:top="1134" w:right="1134" w:bottom="1134" w:left="1134" w:header="624" w:footer="567" w:gutter="0"/>
          <w:cols w:num="2" w:space="708"/>
          <w:docGrid w:linePitch="360"/>
        </w:sectPr>
      </w:pPr>
    </w:p>
    <w:p w14:paraId="692B054A" w14:textId="77777777" w:rsidR="004D42F9" w:rsidRPr="00F71612" w:rsidRDefault="004D42F9" w:rsidP="00D047FC">
      <w:pPr>
        <w:pStyle w:val="Heading3"/>
        <w:spacing w:before="0"/>
      </w:pPr>
      <w:r>
        <w:lastRenderedPageBreak/>
        <w:t>5.7.17</w:t>
      </w:r>
      <w:r>
        <w:tab/>
      </w:r>
      <w:r w:rsidRPr="00F71612">
        <w:t>Homes Victoria Ground Lease Model Project 1 (Phase 1 and 2)</w:t>
      </w:r>
    </w:p>
    <w:p w14:paraId="0F62A6E7" w14:textId="77777777" w:rsidR="006E04C6" w:rsidRDefault="006E04C6" w:rsidP="006E04C6">
      <w:pPr>
        <w:keepNext/>
        <w:spacing w:before="320"/>
        <w:rPr>
          <w:b/>
        </w:rPr>
        <w:sectPr w:rsidR="006E04C6" w:rsidSect="006E04C6">
          <w:type w:val="continuous"/>
          <w:pgSz w:w="11906" w:h="16838" w:code="9"/>
          <w:pgMar w:top="1134" w:right="1134" w:bottom="1134" w:left="1134" w:header="624" w:footer="567" w:gutter="0"/>
          <w:cols w:space="708"/>
          <w:docGrid w:linePitch="360"/>
        </w:sectPr>
      </w:pPr>
    </w:p>
    <w:p w14:paraId="3276C971" w14:textId="77777777" w:rsidR="004D42F9" w:rsidRPr="00F71612" w:rsidRDefault="004D42F9" w:rsidP="004D42F9">
      <w:pPr>
        <w:keepNext/>
        <w:rPr>
          <w:b/>
        </w:rPr>
      </w:pPr>
      <w:r w:rsidRPr="00F71612">
        <w:rPr>
          <w:b/>
        </w:rPr>
        <w:t xml:space="preserve">Operator: </w:t>
      </w:r>
      <w:r w:rsidRPr="00F71612">
        <w:t>Building Communities (Vic) Ltd</w:t>
      </w:r>
    </w:p>
    <w:p w14:paraId="121ABA90" w14:textId="77777777" w:rsidR="004D42F9" w:rsidRPr="00F71612" w:rsidRDefault="004D42F9" w:rsidP="004D42F9">
      <w:pPr>
        <w:keepNext/>
      </w:pPr>
      <w:r w:rsidRPr="00F71612">
        <w:rPr>
          <w:b/>
        </w:rPr>
        <w:t xml:space="preserve">Concession period: </w:t>
      </w:r>
      <w:r w:rsidRPr="00F71612">
        <w:t>40 years</w:t>
      </w:r>
    </w:p>
    <w:p w14:paraId="2673D6DE" w14:textId="7983C7CE" w:rsidR="004D42F9" w:rsidRPr="00F71612" w:rsidRDefault="004D42F9" w:rsidP="004D42F9">
      <w:r w:rsidRPr="00F71612">
        <w:t xml:space="preserve">In June 2021, Homes Victoria achieved financial close on </w:t>
      </w:r>
      <w:r>
        <w:t xml:space="preserve">phase 1 of </w:t>
      </w:r>
      <w:r w:rsidRPr="00F71612">
        <w:t>a housing arrangement whereby it appointed the Building Communities consortium to finance, design, construct, maintain and operate 619</w:t>
      </w:r>
      <w:r>
        <w:t> </w:t>
      </w:r>
      <w:r w:rsidRPr="00F71612">
        <w:t>brand new social housing dwellings, 11</w:t>
      </w:r>
      <w:r>
        <w:t>2 </w:t>
      </w:r>
      <w:r w:rsidRPr="00F71612">
        <w:t>affordable homes</w:t>
      </w:r>
      <w:r>
        <w:t xml:space="preserve"> and</w:t>
      </w:r>
      <w:r w:rsidRPr="00F71612">
        <w:t xml:space="preserve"> 3</w:t>
      </w:r>
      <w:r>
        <w:t>53</w:t>
      </w:r>
      <w:r w:rsidRPr="00F71612">
        <w:t xml:space="preserve"> </w:t>
      </w:r>
      <w:r>
        <w:t>private</w:t>
      </w:r>
      <w:r w:rsidRPr="00F71612">
        <w:t xml:space="preserve"> rental </w:t>
      </w:r>
      <w:r>
        <w:t>dwellings including</w:t>
      </w:r>
      <w:r w:rsidRPr="00F71612">
        <w:t xml:space="preserve"> Specialist Disability Accommodation dwellings, at existing housing sites at Brighton, Flemington and Prahran</w:t>
      </w:r>
      <w:r>
        <w:t xml:space="preserve">. In December 2023, a modification to </w:t>
      </w:r>
      <w:r w:rsidRPr="008A2A96">
        <w:t>phase</w:t>
      </w:r>
      <w:r>
        <w:t> </w:t>
      </w:r>
      <w:r w:rsidRPr="008A2A96">
        <w:t>1</w:t>
      </w:r>
      <w:r>
        <w:t xml:space="preserve"> was entered into to increase the achievable level of care in the developments</w:t>
      </w:r>
      <w:r w:rsidR="009A2175">
        <w:t>;</w:t>
      </w:r>
      <w:r>
        <w:t xml:space="preserve"> to achieve this</w:t>
      </w:r>
      <w:r w:rsidR="00414AFC">
        <w:t>,</w:t>
      </w:r>
      <w:r>
        <w:t xml:space="preserve"> 52 one</w:t>
      </w:r>
      <w:r>
        <w:noBreakHyphen/>
        <w:t>bedroom dwellings were changed to 26 two-bedroom dwellings.</w:t>
      </w:r>
    </w:p>
    <w:p w14:paraId="4506D119" w14:textId="77777777" w:rsidR="004D42F9" w:rsidRPr="00F71612" w:rsidRDefault="004D42F9" w:rsidP="004D42F9">
      <w:r w:rsidRPr="00F71612">
        <w:t>In August 2023, a modification to the Ground Lease Model 1 (GLM1) Project Deed occurred, whereby Homes Victoria appointed the Building Communities consortium to finance, design, construct, maintain and operate</w:t>
      </w:r>
      <w:r>
        <w:t xml:space="preserve"> phase 2 of the housing arrangement. Included in this modification is</w:t>
      </w:r>
      <w:r w:rsidRPr="00F71612">
        <w:t xml:space="preserve"> an additional 50</w:t>
      </w:r>
      <w:r>
        <w:t> </w:t>
      </w:r>
      <w:r w:rsidRPr="00F71612">
        <w:t>new social housing dwellings, 221</w:t>
      </w:r>
      <w:r>
        <w:t> </w:t>
      </w:r>
      <w:r w:rsidRPr="00F71612">
        <w:t>affordable rental homes and 15</w:t>
      </w:r>
      <w:r>
        <w:t> </w:t>
      </w:r>
      <w:r w:rsidRPr="00F71612">
        <w:t>Specialist Disability Accommodation dwellings, at</w:t>
      </w:r>
      <w:r>
        <w:t> </w:t>
      </w:r>
      <w:r w:rsidRPr="00F71612">
        <w:t>the Holland Court Flemington housing site</w:t>
      </w:r>
      <w:r>
        <w:t>.</w:t>
      </w:r>
      <w:r w:rsidRPr="00F71612">
        <w:t xml:space="preserve"> </w:t>
      </w:r>
    </w:p>
    <w:p w14:paraId="31908CBE" w14:textId="749A1693" w:rsidR="004D42F9" w:rsidRDefault="004D42F9" w:rsidP="004D42F9">
      <w:r w:rsidRPr="00F71612">
        <w:t>The sites are being delivered under a Ground Lease Model on a fully financed, build-to-rent basis under the Partnerships Victoria framework</w:t>
      </w:r>
      <w:r w:rsidRPr="00432B6C">
        <w:t>.</w:t>
      </w:r>
      <w:r>
        <w:t xml:space="preserve"> Under this model, Homes Victoria grant</w:t>
      </w:r>
      <w:r w:rsidR="00375C8B">
        <w:t>s</w:t>
      </w:r>
      <w:r>
        <w:t xml:space="preserve"> </w:t>
      </w:r>
      <w:r w:rsidR="00AC46F9">
        <w:t>the</w:t>
      </w:r>
      <w:r>
        <w:t xml:space="preserve"> Building Communities consortium a right to operate, manage and maintain the dwellings under a ground lease arrangement over a 40-year operating term. </w:t>
      </w:r>
      <w:r w:rsidRPr="00432B6C">
        <w:t>Homes Victoria is contracted to make quarterly service payments for the 40-year operating term</w:t>
      </w:r>
      <w:r>
        <w:t xml:space="preserve"> of phase 1</w:t>
      </w:r>
      <w:r w:rsidRPr="00432B6C">
        <w:t>, which will include both a capital and a life</w:t>
      </w:r>
      <w:r>
        <w:t xml:space="preserve"> </w:t>
      </w:r>
      <w:r w:rsidRPr="00432B6C">
        <w:t>cycle component.</w:t>
      </w:r>
      <w:r w:rsidRPr="00F71612">
        <w:t xml:space="preserve"> </w:t>
      </w:r>
    </w:p>
    <w:p w14:paraId="117414A4" w14:textId="77777777" w:rsidR="004D42F9" w:rsidRPr="00F71612" w:rsidRDefault="004D42F9" w:rsidP="004D42F9">
      <w:r w:rsidRPr="00F71612">
        <w:t xml:space="preserve">Construction of the assets for phase 1 commenced in 2021 and Commercial Acceptance for the last site of the Development Phase was achieved in early 2024. </w:t>
      </w:r>
      <w:r>
        <w:t xml:space="preserve">Enabling works and remediation </w:t>
      </w:r>
      <w:r w:rsidRPr="00524BBA">
        <w:t xml:space="preserve">works </w:t>
      </w:r>
      <w:r w:rsidRPr="00F71612">
        <w:t>for phase 2 commence</w:t>
      </w:r>
      <w:r>
        <w:t>d</w:t>
      </w:r>
      <w:r w:rsidRPr="00F71612">
        <w:t xml:space="preserve"> in </w:t>
      </w:r>
      <w:r>
        <w:t>mid-</w:t>
      </w:r>
      <w:r w:rsidRPr="00F71612">
        <w:t xml:space="preserve">2024 and </w:t>
      </w:r>
      <w:r>
        <w:t>construction of the assets is progressing.</w:t>
      </w:r>
      <w:r w:rsidRPr="00F71612">
        <w:t xml:space="preserve"> Commercial Acceptance is expected to be achieved by late 2026.</w:t>
      </w:r>
    </w:p>
    <w:p w14:paraId="2D489339" w14:textId="77777777" w:rsidR="004D42F9" w:rsidRDefault="004D42F9" w:rsidP="004D42F9">
      <w:r w:rsidRPr="00F71612">
        <w:t>While operating the dwellings, Building Communities will perform the following functions: asset management, community engagement, maintenance and life</w:t>
      </w:r>
      <w:r>
        <w:t xml:space="preserve"> </w:t>
      </w:r>
      <w:r w:rsidRPr="00F71612">
        <w:t>cycle replacement, tenancy management and residential lease management</w:t>
      </w:r>
      <w:r w:rsidRPr="00BF1EB0">
        <w:t>.</w:t>
      </w:r>
    </w:p>
    <w:p w14:paraId="56A99341"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5444BBA9" w14:textId="77777777" w:rsidR="004D42F9" w:rsidRPr="009522E7" w:rsidRDefault="004D42F9" w:rsidP="00A117A5">
      <w:pPr>
        <w:pStyle w:val="Heading3"/>
        <w:spacing w:before="800"/>
      </w:pPr>
      <w:r>
        <w:t>5.7.18</w:t>
      </w:r>
      <w:r>
        <w:tab/>
      </w:r>
      <w:r w:rsidRPr="009522E7">
        <w:t xml:space="preserve">Homes Victoria Ground Lease Model Project 2 </w:t>
      </w:r>
    </w:p>
    <w:p w14:paraId="54625AAA" w14:textId="77777777" w:rsidR="006E04C6" w:rsidRDefault="006E04C6" w:rsidP="00A117A5">
      <w:pPr>
        <w:spacing w:before="800"/>
        <w:rPr>
          <w:b/>
          <w:bCs/>
        </w:rPr>
        <w:sectPr w:rsidR="006E04C6" w:rsidSect="006E04C6">
          <w:type w:val="continuous"/>
          <w:pgSz w:w="11906" w:h="16838" w:code="9"/>
          <w:pgMar w:top="1134" w:right="1134" w:bottom="1134" w:left="1134" w:header="624" w:footer="567" w:gutter="0"/>
          <w:cols w:space="708"/>
          <w:docGrid w:linePitch="360"/>
        </w:sectPr>
      </w:pPr>
    </w:p>
    <w:p w14:paraId="6BE026F2" w14:textId="77777777" w:rsidR="004D42F9" w:rsidRPr="005C1CAB" w:rsidRDefault="004D42F9" w:rsidP="004D42F9">
      <w:pPr>
        <w:rPr>
          <w:b/>
          <w:bCs/>
        </w:rPr>
      </w:pPr>
      <w:r w:rsidRPr="00582B93">
        <w:rPr>
          <w:b/>
          <w:bCs/>
        </w:rPr>
        <w:t>Operator</w:t>
      </w:r>
      <w:r w:rsidRPr="005C1CAB">
        <w:rPr>
          <w:b/>
          <w:bCs/>
        </w:rPr>
        <w:t xml:space="preserve">: </w:t>
      </w:r>
      <w:r w:rsidRPr="009522E7">
        <w:t>Building Even Better Communities Limited</w:t>
      </w:r>
    </w:p>
    <w:p w14:paraId="114308FA" w14:textId="77777777" w:rsidR="004D42F9" w:rsidRPr="005C1CAB" w:rsidRDefault="004D42F9" w:rsidP="004D42F9">
      <w:pPr>
        <w:rPr>
          <w:b/>
          <w:bCs/>
        </w:rPr>
      </w:pPr>
      <w:r w:rsidRPr="005C1CAB">
        <w:rPr>
          <w:b/>
          <w:bCs/>
        </w:rPr>
        <w:t xml:space="preserve">Concession period: </w:t>
      </w:r>
      <w:r w:rsidRPr="00F4324E">
        <w:t>40 years</w:t>
      </w:r>
    </w:p>
    <w:p w14:paraId="53BC2A6C" w14:textId="77777777" w:rsidR="004D42F9" w:rsidRDefault="004D42F9" w:rsidP="004D42F9">
      <w:pPr>
        <w:ind w:right="-71"/>
      </w:pPr>
      <w:r w:rsidRPr="00432B6C">
        <w:t>In November 2023, Homes Victoria achieved financial close on a housing arrangement whereby it appointed the Building Even Better Communities consortium to finance, design, construct, maintain and operate 659 brand new social housing dwellings, 182 affordable rental homes, 473 market rental homes and 56 Specialist Disability Accommodation dwellings, at existing housing sites at Simmons Street South Yarra, Essex Street Prahran, Bluff Road Hampton East and Barak</w:t>
      </w:r>
      <w:r>
        <w:noBreakHyphen/>
      </w:r>
      <w:r w:rsidRPr="00432B6C">
        <w:t xml:space="preserve">Beacon Port Melbourne. </w:t>
      </w:r>
    </w:p>
    <w:p w14:paraId="27A2AEDB" w14:textId="08C828BE" w:rsidR="00D047FC" w:rsidRDefault="004D42F9" w:rsidP="004D42F9">
      <w:r w:rsidRPr="00432B6C">
        <w:t>The four sites are being delivered under a Ground Lease Model on a fully financed, build-to-rent basis under the Partnerships Victoria framework.</w:t>
      </w:r>
      <w:r>
        <w:t xml:space="preserve"> Under this model, Homes Victoria grant</w:t>
      </w:r>
      <w:r w:rsidR="00375C8B">
        <w:t>s</w:t>
      </w:r>
      <w:r>
        <w:t xml:space="preserve"> </w:t>
      </w:r>
      <w:r w:rsidR="00E9388A">
        <w:t>the</w:t>
      </w:r>
      <w:r>
        <w:t xml:space="preserve"> Building Communities consortium a right to operate, manage and maintain the dwellings under a ground lease arrangement over a 40-year operating term. </w:t>
      </w:r>
    </w:p>
    <w:p w14:paraId="74B455A3" w14:textId="027A4481" w:rsidR="004D42F9" w:rsidRDefault="004D42F9" w:rsidP="004D42F9">
      <w:r w:rsidRPr="00432B6C">
        <w:t>Homes Victoria is contracted to make quarterly service payments for the 40-year operating term, which will include both a capital and a life</w:t>
      </w:r>
      <w:r>
        <w:t xml:space="preserve"> </w:t>
      </w:r>
      <w:r w:rsidRPr="00432B6C">
        <w:t>cycle component.</w:t>
      </w:r>
    </w:p>
    <w:p w14:paraId="45463757" w14:textId="77777777" w:rsidR="004D42F9" w:rsidRDefault="004D42F9" w:rsidP="004D42F9">
      <w:r w:rsidRPr="00432B6C">
        <w:t>Construction of the assets commence</w:t>
      </w:r>
      <w:r>
        <w:t>d</w:t>
      </w:r>
      <w:r w:rsidRPr="00432B6C">
        <w:t xml:space="preserve"> in late 2024 and Commercial Acceptance for the last site of the Development Phase is expected to be achieved by late 2026. </w:t>
      </w:r>
    </w:p>
    <w:p w14:paraId="31C5D874" w14:textId="77777777" w:rsidR="004D42F9" w:rsidRDefault="004D42F9" w:rsidP="004D42F9">
      <w:r w:rsidRPr="00432B6C">
        <w:t>While operating the dwellings, Building Even Better Communities will perform the following functions: asset management, community engagement, maintenance and lifecycle replacement, tenancy management and residential lease management</w:t>
      </w:r>
      <w:r>
        <w:t>.</w:t>
      </w:r>
    </w:p>
    <w:p w14:paraId="5C3D1016"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0E0D976F" w14:textId="77777777" w:rsidR="004D42F9" w:rsidRDefault="004D42F9" w:rsidP="00D047FC">
      <w:pPr>
        <w:pStyle w:val="Heading3"/>
        <w:pageBreakBefore/>
        <w:spacing w:before="0"/>
      </w:pPr>
      <w:r>
        <w:lastRenderedPageBreak/>
        <w:t>5.7.19</w:t>
      </w:r>
      <w:r>
        <w:tab/>
        <w:t>West Gate Tunnel</w:t>
      </w:r>
    </w:p>
    <w:p w14:paraId="50E1168D" w14:textId="77777777" w:rsidR="006E04C6" w:rsidRDefault="006E04C6" w:rsidP="006E04C6">
      <w:pPr>
        <w:keepNext/>
        <w:spacing w:before="320"/>
        <w:rPr>
          <w:b/>
          <w:bCs/>
        </w:rPr>
        <w:sectPr w:rsidR="006E04C6" w:rsidSect="006E04C6">
          <w:type w:val="continuous"/>
          <w:pgSz w:w="11906" w:h="16838" w:code="9"/>
          <w:pgMar w:top="1134" w:right="1134" w:bottom="1134" w:left="1134" w:header="624" w:footer="567" w:gutter="0"/>
          <w:cols w:space="708"/>
          <w:docGrid w:linePitch="360"/>
        </w:sectPr>
      </w:pPr>
    </w:p>
    <w:p w14:paraId="3A774721" w14:textId="77777777" w:rsidR="004D42F9" w:rsidRDefault="004D42F9" w:rsidP="004D42F9">
      <w:pPr>
        <w:keepNext/>
      </w:pPr>
      <w:r w:rsidRPr="00582B93">
        <w:rPr>
          <w:b/>
          <w:bCs/>
        </w:rPr>
        <w:t>Operator</w:t>
      </w:r>
      <w:r>
        <w:t>: Transurban Limited (Transurban)</w:t>
      </w:r>
    </w:p>
    <w:p w14:paraId="0CF0939C" w14:textId="77777777" w:rsidR="004D42F9" w:rsidRDefault="004D42F9" w:rsidP="004D42F9">
      <w:pPr>
        <w:keepNext/>
      </w:pPr>
      <w:r w:rsidRPr="00582B93">
        <w:rPr>
          <w:b/>
          <w:bCs/>
        </w:rPr>
        <w:t>Concession period</w:t>
      </w:r>
      <w:r>
        <w:t>: 28 years</w:t>
      </w:r>
    </w:p>
    <w:p w14:paraId="045B7A41" w14:textId="77777777" w:rsidR="004D42F9" w:rsidRDefault="004D42F9" w:rsidP="004D42F9">
      <w:pPr>
        <w:keepNext/>
      </w:pPr>
      <w:r>
        <w:t xml:space="preserve">In December 2017, the State entered into a PPP contract with Transurban to deliver the West Gate Tunnel Project. </w:t>
      </w:r>
    </w:p>
    <w:p w14:paraId="34F3A200" w14:textId="77777777" w:rsidR="006E04C6" w:rsidRDefault="004D42F9" w:rsidP="004D42F9">
      <w:r>
        <w:t xml:space="preserve">The project will be funded through a combination of state contribution, tolls imposed on users of the </w:t>
      </w:r>
    </w:p>
    <w:p w14:paraId="446DB407" w14:textId="0A3F2ED0" w:rsidR="004D42F9" w:rsidRDefault="004D42F9" w:rsidP="004D42F9">
      <w:r>
        <w:t>West Gate Tunnel (until 2045), adjustments to various CityLink tolls during the remaining term of Transurban</w:t>
      </w:r>
      <w:r w:rsidR="00845934">
        <w:t>’</w:t>
      </w:r>
      <w:r>
        <w:t>s existing CityLink Concession (to 2035), and a 10-year extension of the CityLink Concession (from 2035 to 2045).</w:t>
      </w:r>
    </w:p>
    <w:p w14:paraId="3FA05506" w14:textId="77777777" w:rsidR="004D42F9" w:rsidRDefault="004D42F9" w:rsidP="004D42F9">
      <w:r>
        <w:t>The project is under construction and due for completion in 2025.</w:t>
      </w:r>
    </w:p>
    <w:p w14:paraId="662AF9F5"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04EA90EA" w14:textId="77777777" w:rsidR="004D42F9" w:rsidRPr="00C72A32" w:rsidRDefault="004D42F9" w:rsidP="00A117A5">
      <w:pPr>
        <w:pStyle w:val="Heading3"/>
        <w:spacing w:before="800"/>
      </w:pPr>
      <w:r>
        <w:t>5.7.20</w:t>
      </w:r>
      <w:r>
        <w:tab/>
      </w:r>
      <w:r w:rsidRPr="00C72A32">
        <w:t>Metropolitan Tram Services</w:t>
      </w:r>
    </w:p>
    <w:p w14:paraId="3FB76BB2" w14:textId="77777777" w:rsidR="006E04C6" w:rsidRDefault="006E04C6" w:rsidP="00A117A5">
      <w:pPr>
        <w:spacing w:before="800"/>
        <w:rPr>
          <w:b/>
        </w:rPr>
        <w:sectPr w:rsidR="006E04C6" w:rsidSect="006E04C6">
          <w:type w:val="continuous"/>
          <w:pgSz w:w="11906" w:h="16838" w:code="9"/>
          <w:pgMar w:top="1134" w:right="1134" w:bottom="1134" w:left="1134" w:header="624" w:footer="567" w:gutter="0"/>
          <w:cols w:space="708"/>
          <w:docGrid w:linePitch="360"/>
        </w:sectPr>
      </w:pPr>
    </w:p>
    <w:p w14:paraId="35C60A4B" w14:textId="77777777" w:rsidR="004D42F9" w:rsidRPr="00C72A32" w:rsidRDefault="004D42F9" w:rsidP="004D42F9">
      <w:r w:rsidRPr="00C72A32">
        <w:rPr>
          <w:b/>
        </w:rPr>
        <w:t>Operator:</w:t>
      </w:r>
      <w:r w:rsidRPr="00C72A32">
        <w:t xml:space="preserve"> Yarra Journey Makers (YJM)</w:t>
      </w:r>
    </w:p>
    <w:p w14:paraId="0985BC50" w14:textId="77777777" w:rsidR="004D42F9" w:rsidRPr="00C72A32" w:rsidRDefault="004D42F9" w:rsidP="004D42F9">
      <w:r w:rsidRPr="00C72A32">
        <w:rPr>
          <w:b/>
        </w:rPr>
        <w:t>Concession period:</w:t>
      </w:r>
      <w:r w:rsidRPr="00C72A32">
        <w:t xml:space="preserve"> 9 years </w:t>
      </w:r>
      <w:r>
        <w:t>with</w:t>
      </w:r>
      <w:r w:rsidRPr="00C72A32">
        <w:t xml:space="preserve"> option to extend</w:t>
      </w:r>
    </w:p>
    <w:p w14:paraId="6A95ED1A" w14:textId="77777777" w:rsidR="004D42F9" w:rsidRPr="00C72A32" w:rsidRDefault="004D42F9" w:rsidP="004D42F9">
      <w:r w:rsidRPr="00C72A32">
        <w:t xml:space="preserve">In June 2024, the </w:t>
      </w:r>
      <w:r>
        <w:t>S</w:t>
      </w:r>
      <w:r w:rsidRPr="00C72A32">
        <w:t xml:space="preserve">tate entered into an agreement with YJM to provide </w:t>
      </w:r>
      <w:r>
        <w:t>m</w:t>
      </w:r>
      <w:r w:rsidRPr="00C72A32">
        <w:t xml:space="preserve">etropolitan </w:t>
      </w:r>
      <w:r>
        <w:t>t</w:t>
      </w:r>
      <w:r w:rsidRPr="00C72A32">
        <w:t>ram services to public transport users for a</w:t>
      </w:r>
      <w:r>
        <w:t>n initial</w:t>
      </w:r>
      <w:r w:rsidRPr="00C72A32">
        <w:t xml:space="preserve"> period of </w:t>
      </w:r>
      <w:r>
        <w:t>nine</w:t>
      </w:r>
      <w:r w:rsidRPr="00C72A32">
        <w:t xml:space="preserve"> years commencing on 1 December 2024.</w:t>
      </w:r>
    </w:p>
    <w:p w14:paraId="14B5E673" w14:textId="77777777" w:rsidR="004D42F9" w:rsidRDefault="004D42F9" w:rsidP="004D42F9">
      <w:r w:rsidRPr="00C72A32">
        <w:t xml:space="preserve">YJM </w:t>
      </w:r>
      <w:r>
        <w:t>is operating</w:t>
      </w:r>
      <w:r w:rsidRPr="00C72A32">
        <w:t xml:space="preserve"> </w:t>
      </w:r>
      <w:r>
        <w:t>the m</w:t>
      </w:r>
      <w:r w:rsidRPr="00C72A32">
        <w:t xml:space="preserve">etropolitan tram network on behalf of the State. The State will make monthly service payments to YJM for managing and operating the </w:t>
      </w:r>
      <w:r>
        <w:t>m</w:t>
      </w:r>
      <w:r w:rsidRPr="00C72A32">
        <w:t>etropolitan tram network.</w:t>
      </w:r>
    </w:p>
    <w:p w14:paraId="7AAB5CA9" w14:textId="77777777" w:rsidR="006E04C6" w:rsidRDefault="006E04C6" w:rsidP="004D42F9">
      <w:pPr>
        <w:pStyle w:val="Heading3"/>
        <w:sectPr w:rsidR="006E04C6" w:rsidSect="006E04C6">
          <w:type w:val="continuous"/>
          <w:pgSz w:w="11906" w:h="16838" w:code="9"/>
          <w:pgMar w:top="1134" w:right="1134" w:bottom="1134" w:left="1134" w:header="624" w:footer="567" w:gutter="0"/>
          <w:cols w:num="2" w:space="708"/>
          <w:docGrid w:linePitch="360"/>
        </w:sectPr>
      </w:pPr>
    </w:p>
    <w:p w14:paraId="215681C0" w14:textId="77777777" w:rsidR="004D42F9" w:rsidRPr="00FE2BA8" w:rsidRDefault="004D42F9" w:rsidP="00A117A5">
      <w:pPr>
        <w:pStyle w:val="Heading3"/>
        <w:spacing w:before="800"/>
      </w:pPr>
      <w:r>
        <w:t>5.7.21</w:t>
      </w:r>
      <w:r>
        <w:tab/>
      </w:r>
      <w:r w:rsidRPr="00FE2BA8">
        <w:t>Public Transport Ticketing Service</w:t>
      </w:r>
    </w:p>
    <w:p w14:paraId="2C1ED279" w14:textId="77777777" w:rsidR="006E04C6" w:rsidRDefault="006E04C6" w:rsidP="00A117A5">
      <w:pPr>
        <w:spacing w:before="800"/>
        <w:rPr>
          <w:b/>
        </w:rPr>
        <w:sectPr w:rsidR="006E04C6" w:rsidSect="006E04C6">
          <w:type w:val="continuous"/>
          <w:pgSz w:w="11906" w:h="16838" w:code="9"/>
          <w:pgMar w:top="1134" w:right="1134" w:bottom="1134" w:left="1134" w:header="624" w:footer="567" w:gutter="0"/>
          <w:cols w:space="708"/>
          <w:docGrid w:linePitch="360"/>
        </w:sectPr>
      </w:pPr>
    </w:p>
    <w:p w14:paraId="0EBC7087" w14:textId="77777777" w:rsidR="004D42F9" w:rsidRPr="00FE2BA8" w:rsidRDefault="004D42F9" w:rsidP="004D42F9">
      <w:r w:rsidRPr="00FE2BA8">
        <w:rPr>
          <w:b/>
        </w:rPr>
        <w:t>Operator:</w:t>
      </w:r>
      <w:r w:rsidRPr="00FE2BA8">
        <w:t xml:space="preserve"> Conduent Victoria Ticketing System Pty</w:t>
      </w:r>
      <w:r>
        <w:t> </w:t>
      </w:r>
      <w:r w:rsidRPr="00FE2BA8">
        <w:t>Ltd (Conduent)</w:t>
      </w:r>
    </w:p>
    <w:p w14:paraId="6E35B359" w14:textId="77777777" w:rsidR="004D42F9" w:rsidRPr="00FE2BA8" w:rsidRDefault="004D42F9" w:rsidP="004D42F9">
      <w:r w:rsidRPr="00FE2BA8">
        <w:rPr>
          <w:b/>
        </w:rPr>
        <w:t>Concession period:</w:t>
      </w:r>
      <w:r w:rsidRPr="00FE2BA8">
        <w:t xml:space="preserve"> 1</w:t>
      </w:r>
      <w:r>
        <w:t>0</w:t>
      </w:r>
      <w:r w:rsidRPr="00FE2BA8">
        <w:t xml:space="preserve"> years </w:t>
      </w:r>
      <w:r>
        <w:t xml:space="preserve">with options to extend to </w:t>
      </w:r>
      <w:r w:rsidRPr="00FE2BA8">
        <w:t>15 years</w:t>
      </w:r>
    </w:p>
    <w:p w14:paraId="1D2E420A" w14:textId="77777777" w:rsidR="004D42F9" w:rsidRPr="00FE2BA8" w:rsidRDefault="004D42F9" w:rsidP="004D42F9">
      <w:r w:rsidRPr="00FE2BA8">
        <w:t xml:space="preserve">In May 2023, the </w:t>
      </w:r>
      <w:r>
        <w:t>S</w:t>
      </w:r>
      <w:r w:rsidRPr="00FE2BA8">
        <w:t xml:space="preserve">tate entered into an agreement with Conduent to provide public transport ticketing services to public transport users for a period of </w:t>
      </w:r>
      <w:r>
        <w:t>up to</w:t>
      </w:r>
      <w:r w:rsidRPr="00FE2BA8">
        <w:t xml:space="preserve"> 15</w:t>
      </w:r>
      <w:r>
        <w:t> </w:t>
      </w:r>
      <w:r w:rsidRPr="00FE2BA8">
        <w:t>years commencing on 1 December 2023.</w:t>
      </w:r>
    </w:p>
    <w:p w14:paraId="12A831E8" w14:textId="77777777" w:rsidR="004D42F9" w:rsidRDefault="004D42F9" w:rsidP="004D42F9">
      <w:r>
        <w:t>Conduent will continue to deliver the existing myki system, while testing and progressively rolling out new features, including tap-and-go payment options and Account-based ticketing. The State will make milestone payments to Conduent for system upgrades as well as monthly service payments for managing and operating the ticketing system.</w:t>
      </w:r>
    </w:p>
    <w:p w14:paraId="357D2F9E" w14:textId="77777777" w:rsidR="006E04C6" w:rsidRDefault="006E04C6" w:rsidP="004D42F9">
      <w:pPr>
        <w:keepNext/>
        <w:spacing w:before="240"/>
        <w:rPr>
          <w:rFonts w:asciiTheme="majorHAnsi" w:hAnsiTheme="majorHAnsi"/>
          <w:b/>
          <w:sz w:val="27"/>
        </w:rPr>
        <w:sectPr w:rsidR="006E04C6" w:rsidSect="006E04C6">
          <w:type w:val="continuous"/>
          <w:pgSz w:w="11906" w:h="16838" w:code="9"/>
          <w:pgMar w:top="1134" w:right="1134" w:bottom="1134" w:left="1134" w:header="624" w:footer="567" w:gutter="0"/>
          <w:cols w:num="2" w:space="708"/>
          <w:docGrid w:linePitch="360"/>
        </w:sectPr>
      </w:pPr>
    </w:p>
    <w:p w14:paraId="598F5491" w14:textId="77777777" w:rsidR="004D42F9" w:rsidRPr="0087748F" w:rsidRDefault="004D42F9" w:rsidP="00D047FC">
      <w:pPr>
        <w:keepNext/>
        <w:spacing w:before="960"/>
        <w:rPr>
          <w:rFonts w:asciiTheme="majorHAnsi" w:hAnsiTheme="majorHAnsi"/>
          <w:b/>
          <w:sz w:val="27"/>
        </w:rPr>
      </w:pPr>
      <w:r w:rsidRPr="0087748F">
        <w:rPr>
          <w:rFonts w:asciiTheme="majorHAnsi" w:hAnsiTheme="majorHAnsi"/>
          <w:b/>
          <w:sz w:val="27"/>
        </w:rPr>
        <w:t xml:space="preserve">SCA Commitments </w:t>
      </w:r>
    </w:p>
    <w:p w14:paraId="199DF326" w14:textId="15DC6F9C" w:rsidR="006E04C6" w:rsidRDefault="006E04C6" w:rsidP="004D42F9">
      <w:r>
        <w:t xml:space="preserve">The SCA commitments table below comprises </w:t>
      </w:r>
      <w:r w:rsidR="00754552">
        <w:br/>
      </w:r>
      <w:r>
        <w:t>of the following:</w:t>
      </w:r>
    </w:p>
    <w:p w14:paraId="7E709D9B" w14:textId="77777777" w:rsidR="006E04C6" w:rsidRDefault="006E04C6" w:rsidP="004D42F9">
      <w:pPr>
        <w:sectPr w:rsidR="006E04C6" w:rsidSect="006E04C6">
          <w:type w:val="continuous"/>
          <w:pgSz w:w="11906" w:h="16838" w:code="9"/>
          <w:pgMar w:top="1134" w:right="1134" w:bottom="1134" w:left="1134" w:header="624" w:footer="567" w:gutter="0"/>
          <w:cols w:space="708"/>
          <w:docGrid w:linePitch="360"/>
        </w:sectPr>
      </w:pPr>
    </w:p>
    <w:p w14:paraId="67DC0A1F" w14:textId="20D91862" w:rsidR="004D42F9" w:rsidRPr="00875CD3" w:rsidRDefault="004D42F9" w:rsidP="006E04C6">
      <w:pPr>
        <w:pStyle w:val="ListBullet"/>
      </w:pPr>
      <w:r>
        <w:t>C</w:t>
      </w:r>
      <w:r w:rsidRPr="00875CD3">
        <w:t>ommissioned SCAs, only the operating and maintenance commitments of the SCA arrangement are included in the commitments amounts, as the capital component (i.e. the construction of the underlying asset) is recorded as a liability on the State</w:t>
      </w:r>
      <w:r w:rsidR="00845934">
        <w:t>’</w:t>
      </w:r>
      <w:r w:rsidRPr="00875CD3">
        <w:t>s balance sheet</w:t>
      </w:r>
    </w:p>
    <w:p w14:paraId="7F7D3E2B" w14:textId="02D2EFCB" w:rsidR="006E04C6" w:rsidRDefault="006E04C6" w:rsidP="006E04C6">
      <w:pPr>
        <w:pStyle w:val="ListBullet"/>
        <w:spacing w:before="120"/>
      </w:pPr>
      <w:r>
        <w:br w:type="column"/>
      </w:r>
      <w:r w:rsidR="004D42F9" w:rsidRPr="006E04C6">
        <w:t>Uncommissioned</w:t>
      </w:r>
      <w:r w:rsidR="004D42F9" w:rsidRPr="00875CD3">
        <w:t xml:space="preserve"> SCAs, the commitments include the capital component not yet recognised on the balance sheet (i.e. the amount relating to the asset which hasn</w:t>
      </w:r>
      <w:r w:rsidR="00845934">
        <w:t>’</w:t>
      </w:r>
      <w:r w:rsidR="004D42F9" w:rsidRPr="00875CD3">
        <w:t>t been constructed as yet), the State</w:t>
      </w:r>
      <w:r w:rsidR="00845934">
        <w:t>’</w:t>
      </w:r>
      <w:r w:rsidR="004D42F9" w:rsidRPr="00875CD3">
        <w:t xml:space="preserve">s future capital contributions as well as the operating and maintenance commitments for the SCA contract. </w:t>
      </w:r>
    </w:p>
    <w:p w14:paraId="3A1C1FB1" w14:textId="77777777" w:rsidR="006E04C6" w:rsidRDefault="006E04C6" w:rsidP="004D42F9">
      <w:pPr>
        <w:sectPr w:rsidR="006E04C6" w:rsidSect="006E04C6">
          <w:type w:val="continuous"/>
          <w:pgSz w:w="11906" w:h="16838" w:code="9"/>
          <w:pgMar w:top="1134" w:right="1134" w:bottom="1134" w:left="1134" w:header="624" w:footer="567" w:gutter="0"/>
          <w:cols w:num="2" w:space="708"/>
          <w:docGrid w:linePitch="360"/>
        </w:sectPr>
      </w:pPr>
    </w:p>
    <w:p w14:paraId="15987F87" w14:textId="33FB9229" w:rsidR="004D42F9" w:rsidRDefault="004D42F9" w:rsidP="004D42F9">
      <w:bookmarkStart w:id="107" w:name="_Toc176184662"/>
    </w:p>
    <w:p w14:paraId="166120E2" w14:textId="77777777" w:rsidR="004D42F9" w:rsidRDefault="004D42F9" w:rsidP="004D42F9">
      <w:pPr>
        <w:sectPr w:rsidR="004D42F9" w:rsidSect="006E04C6">
          <w:type w:val="continuous"/>
          <w:pgSz w:w="11906" w:h="16838" w:code="9"/>
          <w:pgMar w:top="1134" w:right="1134" w:bottom="1134" w:left="1134" w:header="624" w:footer="567" w:gutter="0"/>
          <w:cols w:space="708"/>
          <w:docGrid w:linePitch="360"/>
        </w:sectPr>
      </w:pPr>
    </w:p>
    <w:p w14:paraId="2737327A" w14:textId="77777777" w:rsidR="004D42F9" w:rsidRDefault="004D42F9" w:rsidP="004D42F9">
      <w:pPr>
        <w:pStyle w:val="TableHeading"/>
        <w:spacing w:before="0"/>
      </w:pPr>
      <w:r w:rsidRPr="00B90414">
        <w:lastRenderedPageBreak/>
        <w:t xml:space="preserve">Service Concession Arrangements – Commitments </w:t>
      </w:r>
      <w:r w:rsidRPr="00B90414">
        <w:rPr>
          <w:vertAlign w:val="superscript"/>
        </w:rPr>
        <w:t>(a)(b)(</w:t>
      </w:r>
      <w:r>
        <w:rPr>
          <w:vertAlign w:val="superscript"/>
        </w:rPr>
        <w:t>c</w:t>
      </w:r>
      <w:r w:rsidRPr="00B90414">
        <w:rPr>
          <w:vertAlign w:val="superscript"/>
        </w:rPr>
        <w:t>)</w:t>
      </w:r>
      <w:r>
        <w:rPr>
          <w:vertAlign w:val="superscript"/>
        </w:rPr>
        <w:t>(d</w:t>
      </w:r>
      <w:r w:rsidRPr="00B90414">
        <w:rPr>
          <w:vertAlign w:val="superscript"/>
        </w:rPr>
        <w:t>)</w:t>
      </w:r>
      <w:r>
        <w:rPr>
          <w:vertAlign w:val="superscript"/>
        </w:rPr>
        <w:tab/>
      </w:r>
      <w:r>
        <w:rPr>
          <w:vertAlign w:val="superscript"/>
        </w:rPr>
        <w:tab/>
      </w:r>
      <w:r w:rsidRPr="00803C40">
        <w:t>($ million)</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CRA Coordination/Financial Statements/Manual Reports/Commitments/Link_Commitments.xlsx|Table:SCA_Commitments"/>
      </w:tblPr>
      <w:tblGrid>
        <w:gridCol w:w="4962"/>
        <w:gridCol w:w="1275"/>
        <w:gridCol w:w="851"/>
        <w:gridCol w:w="1134"/>
        <w:gridCol w:w="992"/>
        <w:gridCol w:w="992"/>
        <w:gridCol w:w="142"/>
        <w:gridCol w:w="851"/>
        <w:gridCol w:w="1134"/>
        <w:gridCol w:w="1134"/>
        <w:gridCol w:w="1104"/>
      </w:tblGrid>
      <w:tr w:rsidR="00940F7B" w:rsidRPr="00570C7E" w14:paraId="4F5C218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0B984AE4" w14:textId="77777777" w:rsidR="004D42F9" w:rsidRPr="00570C7E" w:rsidRDefault="004D42F9">
            <w:pPr>
              <w:keepNext/>
              <w:rPr>
                <w:sz w:val="15"/>
                <w:szCs w:val="15"/>
              </w:rPr>
            </w:pPr>
          </w:p>
        </w:tc>
        <w:tc>
          <w:tcPr>
            <w:tcW w:w="1275" w:type="dxa"/>
          </w:tcPr>
          <w:p w14:paraId="6C7DB4C3" w14:textId="77777777" w:rsidR="004D42F9" w:rsidRPr="00570C7E" w:rsidRDefault="004D42F9">
            <w:pPr>
              <w:keepNext/>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3969" w:type="dxa"/>
            <w:gridSpan w:val="4"/>
          </w:tcPr>
          <w:p w14:paraId="2D8C95ED" w14:textId="77777777" w:rsidR="004D42F9" w:rsidRPr="00570C7E" w:rsidRDefault="004D42F9">
            <w:pPr>
              <w:keepNext/>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rPr>
              <w:t>2025</w:t>
            </w:r>
          </w:p>
        </w:tc>
        <w:tc>
          <w:tcPr>
            <w:tcW w:w="142" w:type="dxa"/>
          </w:tcPr>
          <w:p w14:paraId="05606CF5" w14:textId="77777777" w:rsidR="004D42F9" w:rsidRPr="00570C7E" w:rsidRDefault="004D42F9">
            <w:pPr>
              <w:keepNext/>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4223" w:type="dxa"/>
            <w:gridSpan w:val="4"/>
          </w:tcPr>
          <w:p w14:paraId="5F40ADE5" w14:textId="77777777" w:rsidR="004D42F9" w:rsidRPr="00570C7E" w:rsidRDefault="004D42F9">
            <w:pPr>
              <w:keepNext/>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rPr>
              <w:t>2024</w:t>
            </w:r>
          </w:p>
        </w:tc>
      </w:tr>
      <w:tr w:rsidR="009132A6" w:rsidRPr="00570C7E" w14:paraId="526367A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1C8005A0" w14:textId="77777777" w:rsidR="004D42F9" w:rsidRPr="00570C7E" w:rsidRDefault="004D42F9">
            <w:pPr>
              <w:keepNext/>
              <w:rPr>
                <w:sz w:val="15"/>
                <w:szCs w:val="15"/>
              </w:rPr>
            </w:pPr>
          </w:p>
        </w:tc>
        <w:tc>
          <w:tcPr>
            <w:tcW w:w="1275" w:type="dxa"/>
          </w:tcPr>
          <w:p w14:paraId="76649813" w14:textId="77777777" w:rsidR="004D42F9" w:rsidRPr="00570C7E" w:rsidRDefault="004D42F9">
            <w:pPr>
              <w:keepNext/>
              <w:jc w:val="center"/>
              <w:cnfStyle w:val="100000000000" w:firstRow="1" w:lastRow="0" w:firstColumn="0" w:lastColumn="0" w:oddVBand="0" w:evenVBand="0" w:oddHBand="0" w:evenHBand="0" w:firstRowFirstColumn="0" w:firstRowLastColumn="0" w:lastRowFirstColumn="0" w:lastRowLastColumn="0"/>
              <w:rPr>
                <w:sz w:val="15"/>
                <w:szCs w:val="15"/>
              </w:rPr>
            </w:pPr>
          </w:p>
        </w:tc>
        <w:tc>
          <w:tcPr>
            <w:tcW w:w="851" w:type="dxa"/>
            <w:tcBorders>
              <w:top w:val="single" w:sz="6" w:space="0" w:color="FFFFFF" w:themeColor="background1"/>
            </w:tcBorders>
          </w:tcPr>
          <w:p w14:paraId="0C2AFFA6"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Liability</w:t>
            </w:r>
          </w:p>
        </w:tc>
        <w:tc>
          <w:tcPr>
            <w:tcW w:w="1134" w:type="dxa"/>
            <w:tcBorders>
              <w:top w:val="single" w:sz="6" w:space="0" w:color="FFFFFF" w:themeColor="background1"/>
            </w:tcBorders>
          </w:tcPr>
          <w:p w14:paraId="689E48C3"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Capital contribution</w:t>
            </w:r>
            <w:r w:rsidRPr="00570C7E">
              <w:rPr>
                <w:sz w:val="15"/>
                <w:szCs w:val="15"/>
                <w:vertAlign w:val="superscript"/>
              </w:rPr>
              <w:t xml:space="preserve"> (e)</w:t>
            </w:r>
          </w:p>
        </w:tc>
        <w:tc>
          <w:tcPr>
            <w:tcW w:w="992" w:type="dxa"/>
            <w:tcBorders>
              <w:top w:val="single" w:sz="6" w:space="0" w:color="FFFFFF" w:themeColor="background1"/>
            </w:tcBorders>
          </w:tcPr>
          <w:p w14:paraId="1B5A494B"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Other commitments</w:t>
            </w:r>
          </w:p>
        </w:tc>
        <w:tc>
          <w:tcPr>
            <w:tcW w:w="992" w:type="dxa"/>
            <w:tcBorders>
              <w:top w:val="single" w:sz="6" w:space="0" w:color="FFFFFF" w:themeColor="background1"/>
            </w:tcBorders>
          </w:tcPr>
          <w:p w14:paraId="71BA7DA9"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Total commitments</w:t>
            </w:r>
          </w:p>
        </w:tc>
        <w:tc>
          <w:tcPr>
            <w:tcW w:w="142" w:type="dxa"/>
          </w:tcPr>
          <w:p w14:paraId="1A73BE2C"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1" w:type="dxa"/>
            <w:tcBorders>
              <w:top w:val="single" w:sz="6" w:space="0" w:color="FFFFFF" w:themeColor="background1"/>
            </w:tcBorders>
          </w:tcPr>
          <w:p w14:paraId="65536889"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Liability</w:t>
            </w:r>
          </w:p>
        </w:tc>
        <w:tc>
          <w:tcPr>
            <w:tcW w:w="1134" w:type="dxa"/>
            <w:tcBorders>
              <w:top w:val="single" w:sz="6" w:space="0" w:color="FFFFFF" w:themeColor="background1"/>
            </w:tcBorders>
          </w:tcPr>
          <w:p w14:paraId="4BDE45B5"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Capital contribution</w:t>
            </w:r>
            <w:r w:rsidRPr="00570C7E">
              <w:rPr>
                <w:sz w:val="15"/>
                <w:szCs w:val="15"/>
                <w:vertAlign w:val="superscript"/>
              </w:rPr>
              <w:t xml:space="preserve"> (e)</w:t>
            </w:r>
          </w:p>
        </w:tc>
        <w:tc>
          <w:tcPr>
            <w:tcW w:w="1134" w:type="dxa"/>
            <w:tcBorders>
              <w:top w:val="single" w:sz="6" w:space="0" w:color="FFFFFF" w:themeColor="background1"/>
            </w:tcBorders>
          </w:tcPr>
          <w:p w14:paraId="292506D9"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Other commitments</w:t>
            </w:r>
          </w:p>
        </w:tc>
        <w:tc>
          <w:tcPr>
            <w:tcW w:w="1104" w:type="dxa"/>
            <w:tcBorders>
              <w:top w:val="single" w:sz="6" w:space="0" w:color="FFFFFF" w:themeColor="background1"/>
            </w:tcBorders>
          </w:tcPr>
          <w:p w14:paraId="0C84815C" w14:textId="77777777" w:rsidR="004D42F9" w:rsidRPr="00570C7E" w:rsidRDefault="004D42F9">
            <w:pPr>
              <w:keepNext/>
              <w:cnfStyle w:val="100000000000" w:firstRow="1" w:lastRow="0" w:firstColumn="0" w:lastColumn="0" w:oddVBand="0" w:evenVBand="0" w:oddHBand="0" w:evenHBand="0" w:firstRowFirstColumn="0" w:firstRowLastColumn="0" w:lastRowFirstColumn="0" w:lastRowLastColumn="0"/>
              <w:rPr>
                <w:sz w:val="15"/>
                <w:szCs w:val="15"/>
              </w:rPr>
            </w:pPr>
            <w:r w:rsidRPr="00570C7E">
              <w:rPr>
                <w:sz w:val="15"/>
                <w:szCs w:val="15"/>
              </w:rPr>
              <w:t>Total commitments</w:t>
            </w:r>
          </w:p>
        </w:tc>
      </w:tr>
      <w:tr w:rsidR="009132A6" w:rsidRPr="00570C7E" w14:paraId="7FF191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4A8D866E" w14:textId="77777777" w:rsidR="004D42F9" w:rsidRPr="00570C7E" w:rsidRDefault="004D42F9">
            <w:pPr>
              <w:keepNext/>
              <w:spacing w:before="120"/>
              <w:rPr>
                <w:sz w:val="15"/>
                <w:szCs w:val="15"/>
              </w:rPr>
            </w:pPr>
          </w:p>
        </w:tc>
        <w:tc>
          <w:tcPr>
            <w:tcW w:w="1275" w:type="dxa"/>
          </w:tcPr>
          <w:p w14:paraId="326B0C58" w14:textId="77777777" w:rsidR="004D42F9" w:rsidRPr="00570C7E" w:rsidRDefault="004D42F9">
            <w:pPr>
              <w:keepNext/>
              <w:spacing w:before="12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rPr>
              <w:t>Note</w:t>
            </w:r>
          </w:p>
        </w:tc>
        <w:tc>
          <w:tcPr>
            <w:tcW w:w="851" w:type="dxa"/>
          </w:tcPr>
          <w:p w14:paraId="4FC55267"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Discounted value</w:t>
            </w:r>
            <w:r>
              <w:rPr>
                <w:sz w:val="15"/>
                <w:vertAlign w:val="superscript"/>
              </w:rPr>
              <w:t xml:space="preserve"> (f)</w:t>
            </w:r>
          </w:p>
        </w:tc>
        <w:tc>
          <w:tcPr>
            <w:tcW w:w="1134" w:type="dxa"/>
          </w:tcPr>
          <w:p w14:paraId="5FF7095D"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p>
        </w:tc>
        <w:tc>
          <w:tcPr>
            <w:tcW w:w="992" w:type="dxa"/>
          </w:tcPr>
          <w:p w14:paraId="232F2DB9"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Present</w:t>
            </w:r>
            <w:r w:rsidRPr="00570C7E">
              <w:rPr>
                <w:sz w:val="15"/>
                <w:szCs w:val="15"/>
              </w:rPr>
              <w:br/>
            </w:r>
            <w:r>
              <w:rPr>
                <w:sz w:val="15"/>
              </w:rPr>
              <w:t>value</w:t>
            </w:r>
          </w:p>
        </w:tc>
        <w:tc>
          <w:tcPr>
            <w:tcW w:w="992" w:type="dxa"/>
          </w:tcPr>
          <w:p w14:paraId="63F9CC20"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Nominal</w:t>
            </w:r>
            <w:r w:rsidRPr="00570C7E">
              <w:rPr>
                <w:sz w:val="15"/>
                <w:szCs w:val="15"/>
              </w:rPr>
              <w:br/>
            </w:r>
            <w:r>
              <w:rPr>
                <w:sz w:val="15"/>
              </w:rPr>
              <w:t>value</w:t>
            </w:r>
          </w:p>
        </w:tc>
        <w:tc>
          <w:tcPr>
            <w:tcW w:w="142" w:type="dxa"/>
          </w:tcPr>
          <w:p w14:paraId="0118D121"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p>
        </w:tc>
        <w:tc>
          <w:tcPr>
            <w:tcW w:w="851" w:type="dxa"/>
          </w:tcPr>
          <w:p w14:paraId="301B88E0"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Discounted value</w:t>
            </w:r>
            <w:r>
              <w:rPr>
                <w:sz w:val="15"/>
                <w:vertAlign w:val="superscript"/>
              </w:rPr>
              <w:t xml:space="preserve"> (f)</w:t>
            </w:r>
          </w:p>
        </w:tc>
        <w:tc>
          <w:tcPr>
            <w:tcW w:w="1134" w:type="dxa"/>
          </w:tcPr>
          <w:p w14:paraId="2B5EC175"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p>
        </w:tc>
        <w:tc>
          <w:tcPr>
            <w:tcW w:w="1134" w:type="dxa"/>
          </w:tcPr>
          <w:p w14:paraId="6D3080CD"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Present</w:t>
            </w:r>
            <w:r w:rsidRPr="00570C7E">
              <w:rPr>
                <w:sz w:val="15"/>
                <w:szCs w:val="15"/>
              </w:rPr>
              <w:br/>
            </w:r>
            <w:r>
              <w:rPr>
                <w:sz w:val="15"/>
              </w:rPr>
              <w:t>value</w:t>
            </w:r>
          </w:p>
        </w:tc>
        <w:tc>
          <w:tcPr>
            <w:tcW w:w="1104" w:type="dxa"/>
          </w:tcPr>
          <w:p w14:paraId="78CA321E" w14:textId="77777777" w:rsidR="004D42F9" w:rsidRPr="00570C7E" w:rsidRDefault="004D42F9">
            <w:pPr>
              <w:keepNext/>
              <w:spacing w:before="120"/>
              <w:cnfStyle w:val="100000000000" w:firstRow="1" w:lastRow="0" w:firstColumn="0" w:lastColumn="0" w:oddVBand="0" w:evenVBand="0" w:oddHBand="0" w:evenHBand="0" w:firstRowFirstColumn="0" w:firstRowLastColumn="0" w:lastRowFirstColumn="0" w:lastRowLastColumn="0"/>
              <w:rPr>
                <w:sz w:val="15"/>
                <w:szCs w:val="15"/>
              </w:rPr>
            </w:pPr>
            <w:r>
              <w:rPr>
                <w:sz w:val="15"/>
              </w:rPr>
              <w:t>Nominal</w:t>
            </w:r>
            <w:r w:rsidRPr="00570C7E">
              <w:rPr>
                <w:sz w:val="15"/>
                <w:szCs w:val="15"/>
              </w:rPr>
              <w:br/>
            </w:r>
            <w:r>
              <w:rPr>
                <w:sz w:val="15"/>
              </w:rPr>
              <w:t>value</w:t>
            </w:r>
          </w:p>
        </w:tc>
      </w:tr>
      <w:tr w:rsidR="004D42F9" w:rsidRPr="00570C7E" w14:paraId="54EEDF21" w14:textId="77777777">
        <w:tc>
          <w:tcPr>
            <w:cnfStyle w:val="001000000000" w:firstRow="0" w:lastRow="0" w:firstColumn="1" w:lastColumn="0" w:oddVBand="0" w:evenVBand="0" w:oddHBand="0" w:evenHBand="0" w:firstRowFirstColumn="0" w:firstRowLastColumn="0" w:lastRowFirstColumn="0" w:lastRowLastColumn="0"/>
            <w:tcW w:w="4962" w:type="dxa"/>
          </w:tcPr>
          <w:p w14:paraId="71760448" w14:textId="77777777" w:rsidR="004D42F9" w:rsidRPr="00570C7E" w:rsidRDefault="004D42F9">
            <w:pPr>
              <w:rPr>
                <w:sz w:val="15"/>
                <w:szCs w:val="15"/>
              </w:rPr>
            </w:pPr>
            <w:r>
              <w:rPr>
                <w:b/>
                <w:sz w:val="15"/>
              </w:rPr>
              <w:t>Financial liability model – Commissioned</w:t>
            </w:r>
          </w:p>
        </w:tc>
        <w:tc>
          <w:tcPr>
            <w:tcW w:w="1275" w:type="dxa"/>
          </w:tcPr>
          <w:p w14:paraId="578F2A20"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2A50041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5AB9A08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1E4F268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5D86666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Borders>
              <w:bottom w:val="nil"/>
            </w:tcBorders>
          </w:tcPr>
          <w:p w14:paraId="081286C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49CA786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777B0DD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46CFEBC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3195A53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3DC136E7" w14:textId="77777777">
        <w:tc>
          <w:tcPr>
            <w:cnfStyle w:val="001000000000" w:firstRow="0" w:lastRow="0" w:firstColumn="1" w:lastColumn="0" w:oddVBand="0" w:evenVBand="0" w:oddHBand="0" w:evenHBand="0" w:firstRowFirstColumn="0" w:firstRowLastColumn="0" w:lastRowFirstColumn="0" w:lastRowLastColumn="0"/>
            <w:tcW w:w="4962" w:type="dxa"/>
          </w:tcPr>
          <w:p w14:paraId="6AF2D3C5" w14:textId="77777777" w:rsidR="004D42F9" w:rsidRPr="00570C7E" w:rsidRDefault="004D42F9">
            <w:pPr>
              <w:rPr>
                <w:sz w:val="15"/>
                <w:szCs w:val="15"/>
              </w:rPr>
            </w:pPr>
            <w:r>
              <w:rPr>
                <w:sz w:val="15"/>
              </w:rPr>
              <w:t>Desalination Plant</w:t>
            </w:r>
          </w:p>
        </w:tc>
        <w:tc>
          <w:tcPr>
            <w:tcW w:w="1275" w:type="dxa"/>
          </w:tcPr>
          <w:p w14:paraId="00B32428"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5.7.5</w:t>
            </w:r>
          </w:p>
        </w:tc>
        <w:tc>
          <w:tcPr>
            <w:tcW w:w="851" w:type="dxa"/>
          </w:tcPr>
          <w:p w14:paraId="737EC21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60E9931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7BBE07A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1 709</w:t>
            </w:r>
          </w:p>
        </w:tc>
        <w:tc>
          <w:tcPr>
            <w:tcW w:w="992" w:type="dxa"/>
          </w:tcPr>
          <w:p w14:paraId="44390B2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3 399</w:t>
            </w:r>
          </w:p>
        </w:tc>
        <w:tc>
          <w:tcPr>
            <w:tcW w:w="142" w:type="dxa"/>
            <w:tcBorders>
              <w:bottom w:val="nil"/>
            </w:tcBorders>
          </w:tcPr>
          <w:p w14:paraId="5B6EB87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41A724B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437590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1A5EC99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1 670</w:t>
            </w:r>
          </w:p>
        </w:tc>
        <w:tc>
          <w:tcPr>
            <w:tcW w:w="1104" w:type="dxa"/>
          </w:tcPr>
          <w:p w14:paraId="416794B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3 515</w:t>
            </w:r>
          </w:p>
        </w:tc>
      </w:tr>
      <w:tr w:rsidR="004D42F9" w:rsidRPr="00570C7E" w14:paraId="72DE67FA" w14:textId="77777777">
        <w:tc>
          <w:tcPr>
            <w:cnfStyle w:val="001000000000" w:firstRow="0" w:lastRow="0" w:firstColumn="1" w:lastColumn="0" w:oddVBand="0" w:evenVBand="0" w:oddHBand="0" w:evenHBand="0" w:firstRowFirstColumn="0" w:firstRowLastColumn="0" w:lastRowFirstColumn="0" w:lastRowLastColumn="0"/>
            <w:tcW w:w="4962" w:type="dxa"/>
          </w:tcPr>
          <w:p w14:paraId="38641083" w14:textId="77777777" w:rsidR="004D42F9" w:rsidRPr="00570C7E" w:rsidRDefault="004D42F9">
            <w:pPr>
              <w:rPr>
                <w:sz w:val="15"/>
                <w:szCs w:val="15"/>
              </w:rPr>
            </w:pPr>
            <w:r>
              <w:rPr>
                <w:sz w:val="15"/>
              </w:rPr>
              <w:t>Metropolitan Bus Contracts</w:t>
            </w:r>
            <w:r>
              <w:rPr>
                <w:sz w:val="15"/>
                <w:vertAlign w:val="superscript"/>
              </w:rPr>
              <w:t xml:space="preserve"> </w:t>
            </w:r>
          </w:p>
        </w:tc>
        <w:tc>
          <w:tcPr>
            <w:tcW w:w="1275" w:type="dxa"/>
          </w:tcPr>
          <w:p w14:paraId="71DA4E33"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5.7.7</w:t>
            </w:r>
          </w:p>
        </w:tc>
        <w:tc>
          <w:tcPr>
            <w:tcW w:w="851" w:type="dxa"/>
          </w:tcPr>
          <w:p w14:paraId="5EF6E7D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1294A4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68131C1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2 023</w:t>
            </w:r>
          </w:p>
        </w:tc>
        <w:tc>
          <w:tcPr>
            <w:tcW w:w="992" w:type="dxa"/>
          </w:tcPr>
          <w:p w14:paraId="402AB00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2 194</w:t>
            </w:r>
          </w:p>
        </w:tc>
        <w:tc>
          <w:tcPr>
            <w:tcW w:w="142" w:type="dxa"/>
            <w:tcBorders>
              <w:bottom w:val="nil"/>
            </w:tcBorders>
          </w:tcPr>
          <w:p w14:paraId="40B08D9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5034631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04C9907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3B8FB4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2 453</w:t>
            </w:r>
          </w:p>
        </w:tc>
        <w:tc>
          <w:tcPr>
            <w:tcW w:w="1104" w:type="dxa"/>
          </w:tcPr>
          <w:p w14:paraId="2A8CB3E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2 769</w:t>
            </w:r>
          </w:p>
        </w:tc>
      </w:tr>
      <w:tr w:rsidR="004D42F9" w:rsidRPr="00570C7E" w14:paraId="509B6741" w14:textId="77777777">
        <w:tc>
          <w:tcPr>
            <w:cnfStyle w:val="001000000000" w:firstRow="0" w:lastRow="0" w:firstColumn="1" w:lastColumn="0" w:oddVBand="0" w:evenVBand="0" w:oddHBand="0" w:evenHBand="0" w:firstRowFirstColumn="0" w:firstRowLastColumn="0" w:lastRowFirstColumn="0" w:lastRowLastColumn="0"/>
            <w:tcW w:w="4962" w:type="dxa"/>
          </w:tcPr>
          <w:p w14:paraId="5947D176" w14:textId="77777777" w:rsidR="004D42F9" w:rsidRPr="00570C7E" w:rsidRDefault="004D42F9">
            <w:pPr>
              <w:rPr>
                <w:sz w:val="15"/>
                <w:szCs w:val="15"/>
              </w:rPr>
            </w:pPr>
            <w:r>
              <w:rPr>
                <w:sz w:val="15"/>
              </w:rPr>
              <w:t>Peninsula Link</w:t>
            </w:r>
          </w:p>
        </w:tc>
        <w:tc>
          <w:tcPr>
            <w:tcW w:w="1275" w:type="dxa"/>
          </w:tcPr>
          <w:p w14:paraId="333B8E95"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5.7.8</w:t>
            </w:r>
          </w:p>
        </w:tc>
        <w:tc>
          <w:tcPr>
            <w:tcW w:w="851" w:type="dxa"/>
          </w:tcPr>
          <w:p w14:paraId="0ED9C77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53C6ECB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1172F37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223</w:t>
            </w:r>
          </w:p>
        </w:tc>
        <w:tc>
          <w:tcPr>
            <w:tcW w:w="992" w:type="dxa"/>
          </w:tcPr>
          <w:p w14:paraId="01F288F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302</w:t>
            </w:r>
          </w:p>
        </w:tc>
        <w:tc>
          <w:tcPr>
            <w:tcW w:w="142" w:type="dxa"/>
            <w:tcBorders>
              <w:bottom w:val="nil"/>
            </w:tcBorders>
          </w:tcPr>
          <w:p w14:paraId="507D9E8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7E36CA3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16F809B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49A008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217</w:t>
            </w:r>
          </w:p>
        </w:tc>
        <w:tc>
          <w:tcPr>
            <w:tcW w:w="1104" w:type="dxa"/>
          </w:tcPr>
          <w:p w14:paraId="6312503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296</w:t>
            </w:r>
          </w:p>
        </w:tc>
      </w:tr>
      <w:tr w:rsidR="004D42F9" w:rsidRPr="00570C7E" w14:paraId="16F32CAF" w14:textId="77777777">
        <w:tc>
          <w:tcPr>
            <w:cnfStyle w:val="001000000000" w:firstRow="0" w:lastRow="0" w:firstColumn="1" w:lastColumn="0" w:oddVBand="0" w:evenVBand="0" w:oddHBand="0" w:evenHBand="0" w:firstRowFirstColumn="0" w:firstRowLastColumn="0" w:lastRowFirstColumn="0" w:lastRowLastColumn="0"/>
            <w:tcW w:w="4962" w:type="dxa"/>
          </w:tcPr>
          <w:p w14:paraId="74D50153" w14:textId="77777777" w:rsidR="004D42F9" w:rsidRPr="00570C7E" w:rsidRDefault="004D42F9">
            <w:pPr>
              <w:rPr>
                <w:sz w:val="15"/>
                <w:szCs w:val="15"/>
              </w:rPr>
            </w:pPr>
            <w:r>
              <w:rPr>
                <w:sz w:val="15"/>
              </w:rPr>
              <w:t xml:space="preserve">Prisons </w:t>
            </w:r>
            <w:r>
              <w:rPr>
                <w:sz w:val="15"/>
                <w:vertAlign w:val="superscript"/>
              </w:rPr>
              <w:t>(g)</w:t>
            </w:r>
          </w:p>
        </w:tc>
        <w:tc>
          <w:tcPr>
            <w:tcW w:w="1275" w:type="dxa"/>
          </w:tcPr>
          <w:p w14:paraId="2AA0CFC1"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5.7.6, 5.7.9, 5.7.10</w:t>
            </w:r>
          </w:p>
        </w:tc>
        <w:tc>
          <w:tcPr>
            <w:tcW w:w="851" w:type="dxa"/>
          </w:tcPr>
          <w:p w14:paraId="764EE9A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C6714B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2991C6E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3 154</w:t>
            </w:r>
          </w:p>
        </w:tc>
        <w:tc>
          <w:tcPr>
            <w:tcW w:w="992" w:type="dxa"/>
          </w:tcPr>
          <w:p w14:paraId="58888EB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5 033</w:t>
            </w:r>
          </w:p>
        </w:tc>
        <w:tc>
          <w:tcPr>
            <w:tcW w:w="142" w:type="dxa"/>
            <w:tcBorders>
              <w:bottom w:val="nil"/>
            </w:tcBorders>
          </w:tcPr>
          <w:p w14:paraId="09D8EE6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623EEE6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234C274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3B8C9EE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3 362</w:t>
            </w:r>
          </w:p>
        </w:tc>
        <w:tc>
          <w:tcPr>
            <w:tcW w:w="1104" w:type="dxa"/>
          </w:tcPr>
          <w:p w14:paraId="1CB9976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5 426</w:t>
            </w:r>
          </w:p>
        </w:tc>
      </w:tr>
      <w:tr w:rsidR="004D42F9" w:rsidRPr="00570C7E" w14:paraId="48359CEB" w14:textId="77777777">
        <w:tc>
          <w:tcPr>
            <w:cnfStyle w:val="001000000000" w:firstRow="0" w:lastRow="0" w:firstColumn="1" w:lastColumn="0" w:oddVBand="0" w:evenVBand="0" w:oddHBand="0" w:evenHBand="0" w:firstRowFirstColumn="0" w:firstRowLastColumn="0" w:lastRowFirstColumn="0" w:lastRowLastColumn="0"/>
            <w:tcW w:w="4962" w:type="dxa"/>
          </w:tcPr>
          <w:p w14:paraId="0A05E143" w14:textId="77777777" w:rsidR="004D42F9" w:rsidRPr="00570C7E" w:rsidRDefault="004D42F9">
            <w:pPr>
              <w:rPr>
                <w:sz w:val="15"/>
                <w:szCs w:val="15"/>
              </w:rPr>
            </w:pPr>
            <w:r>
              <w:rPr>
                <w:sz w:val="15"/>
              </w:rPr>
              <w:t>Southern Cross Station</w:t>
            </w:r>
          </w:p>
        </w:tc>
        <w:tc>
          <w:tcPr>
            <w:tcW w:w="1275" w:type="dxa"/>
          </w:tcPr>
          <w:p w14:paraId="1E9F76D9"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5.7.11</w:t>
            </w:r>
          </w:p>
        </w:tc>
        <w:tc>
          <w:tcPr>
            <w:tcW w:w="851" w:type="dxa"/>
          </w:tcPr>
          <w:p w14:paraId="669F1C7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01135BC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5EB44EE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370</w:t>
            </w:r>
          </w:p>
        </w:tc>
        <w:tc>
          <w:tcPr>
            <w:tcW w:w="992" w:type="dxa"/>
          </w:tcPr>
          <w:p w14:paraId="464513C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460</w:t>
            </w:r>
          </w:p>
        </w:tc>
        <w:tc>
          <w:tcPr>
            <w:tcW w:w="142" w:type="dxa"/>
            <w:tcBorders>
              <w:bottom w:val="nil"/>
            </w:tcBorders>
          </w:tcPr>
          <w:p w14:paraId="631455E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1E30DAA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53423BE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2F00B59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376</w:t>
            </w:r>
          </w:p>
        </w:tc>
        <w:tc>
          <w:tcPr>
            <w:tcW w:w="1104" w:type="dxa"/>
          </w:tcPr>
          <w:p w14:paraId="4943C6F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484</w:t>
            </w:r>
          </w:p>
        </w:tc>
      </w:tr>
      <w:tr w:rsidR="004D42F9" w:rsidRPr="00570C7E" w14:paraId="0DD0B2A2" w14:textId="77777777">
        <w:tc>
          <w:tcPr>
            <w:cnfStyle w:val="001000000000" w:firstRow="0" w:lastRow="0" w:firstColumn="1" w:lastColumn="0" w:oddVBand="0" w:evenVBand="0" w:oddHBand="0" w:evenHBand="0" w:firstRowFirstColumn="0" w:firstRowLastColumn="0" w:lastRowFirstColumn="0" w:lastRowLastColumn="0"/>
            <w:tcW w:w="4962" w:type="dxa"/>
          </w:tcPr>
          <w:p w14:paraId="4BD1C860" w14:textId="77777777" w:rsidR="004D42F9" w:rsidRPr="00570C7E" w:rsidRDefault="004D42F9">
            <w:pPr>
              <w:rPr>
                <w:sz w:val="15"/>
                <w:szCs w:val="15"/>
              </w:rPr>
            </w:pPr>
            <w:r>
              <w:rPr>
                <w:sz w:val="15"/>
              </w:rPr>
              <w:t xml:space="preserve">Water Infrastructure </w:t>
            </w:r>
            <w:r>
              <w:rPr>
                <w:sz w:val="15"/>
                <w:vertAlign w:val="superscript"/>
              </w:rPr>
              <w:t>(h)(i)</w:t>
            </w:r>
          </w:p>
        </w:tc>
        <w:tc>
          <w:tcPr>
            <w:tcW w:w="1275" w:type="dxa"/>
          </w:tcPr>
          <w:p w14:paraId="4A00DF05"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1E789BF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1404CBD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170DDBC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83</w:t>
            </w:r>
          </w:p>
        </w:tc>
        <w:tc>
          <w:tcPr>
            <w:tcW w:w="992" w:type="dxa"/>
          </w:tcPr>
          <w:p w14:paraId="09B4B90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111</w:t>
            </w:r>
          </w:p>
        </w:tc>
        <w:tc>
          <w:tcPr>
            <w:tcW w:w="142" w:type="dxa"/>
            <w:tcBorders>
              <w:bottom w:val="nil"/>
            </w:tcBorders>
          </w:tcPr>
          <w:p w14:paraId="752C398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3CA8026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1470135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2AA2AAC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83</w:t>
            </w:r>
          </w:p>
        </w:tc>
        <w:tc>
          <w:tcPr>
            <w:tcW w:w="1104" w:type="dxa"/>
          </w:tcPr>
          <w:p w14:paraId="3D7D5FC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115</w:t>
            </w:r>
          </w:p>
        </w:tc>
      </w:tr>
      <w:tr w:rsidR="004D42F9" w:rsidRPr="00570C7E" w14:paraId="61EB2D7F" w14:textId="77777777">
        <w:tc>
          <w:tcPr>
            <w:cnfStyle w:val="001000000000" w:firstRow="0" w:lastRow="0" w:firstColumn="1" w:lastColumn="0" w:oddVBand="0" w:evenVBand="0" w:oddHBand="0" w:evenHBand="0" w:firstRowFirstColumn="0" w:firstRowLastColumn="0" w:lastRowFirstColumn="0" w:lastRowLastColumn="0"/>
            <w:tcW w:w="4962" w:type="dxa"/>
          </w:tcPr>
          <w:p w14:paraId="1A61BA0F" w14:textId="77777777" w:rsidR="004D42F9" w:rsidRPr="00570C7E" w:rsidRDefault="004D42F9">
            <w:pPr>
              <w:rPr>
                <w:sz w:val="15"/>
                <w:szCs w:val="15"/>
              </w:rPr>
            </w:pPr>
            <w:r>
              <w:rPr>
                <w:sz w:val="15"/>
              </w:rPr>
              <w:t>Western Roads Upgrade</w:t>
            </w:r>
          </w:p>
        </w:tc>
        <w:tc>
          <w:tcPr>
            <w:tcW w:w="1275" w:type="dxa"/>
          </w:tcPr>
          <w:p w14:paraId="322B96AF"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5.7.12</w:t>
            </w:r>
          </w:p>
        </w:tc>
        <w:tc>
          <w:tcPr>
            <w:tcW w:w="851" w:type="dxa"/>
          </w:tcPr>
          <w:p w14:paraId="4D408B1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025EC0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09DD3C4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494</w:t>
            </w:r>
          </w:p>
        </w:tc>
        <w:tc>
          <w:tcPr>
            <w:tcW w:w="992" w:type="dxa"/>
          </w:tcPr>
          <w:p w14:paraId="075E91A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687</w:t>
            </w:r>
          </w:p>
        </w:tc>
        <w:tc>
          <w:tcPr>
            <w:tcW w:w="142" w:type="dxa"/>
            <w:tcBorders>
              <w:bottom w:val="nil"/>
            </w:tcBorders>
          </w:tcPr>
          <w:p w14:paraId="5206013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4B6A77F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E8A4E9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2AF7139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527</w:t>
            </w:r>
          </w:p>
        </w:tc>
        <w:tc>
          <w:tcPr>
            <w:tcW w:w="1104" w:type="dxa"/>
          </w:tcPr>
          <w:p w14:paraId="63B6411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762</w:t>
            </w:r>
          </w:p>
        </w:tc>
      </w:tr>
      <w:tr w:rsidR="004D42F9" w:rsidRPr="00570C7E" w14:paraId="6C5133C1" w14:textId="77777777">
        <w:tc>
          <w:tcPr>
            <w:cnfStyle w:val="001000000000" w:firstRow="0" w:lastRow="0" w:firstColumn="1" w:lastColumn="0" w:oddVBand="0" w:evenVBand="0" w:oddHBand="0" w:evenHBand="0" w:firstRowFirstColumn="0" w:firstRowLastColumn="0" w:lastRowFirstColumn="0" w:lastRowLastColumn="0"/>
            <w:tcW w:w="4962" w:type="dxa"/>
          </w:tcPr>
          <w:p w14:paraId="163D58CD" w14:textId="77777777" w:rsidR="004D42F9" w:rsidRPr="00570C7E" w:rsidRDefault="004D42F9">
            <w:pPr>
              <w:rPr>
                <w:sz w:val="15"/>
                <w:szCs w:val="15"/>
              </w:rPr>
            </w:pPr>
            <w:r>
              <w:rPr>
                <w:b/>
                <w:sz w:val="15"/>
              </w:rPr>
              <w:t xml:space="preserve">Financial liability model </w:t>
            </w:r>
            <w:r>
              <w:rPr>
                <w:b/>
                <w:sz w:val="15"/>
              </w:rPr>
              <w:noBreakHyphen/>
              <w:t xml:space="preserve"> Uncommissioned </w:t>
            </w:r>
            <w:r>
              <w:rPr>
                <w:b/>
                <w:sz w:val="15"/>
                <w:vertAlign w:val="superscript"/>
              </w:rPr>
              <w:t>(j)</w:t>
            </w:r>
          </w:p>
        </w:tc>
        <w:tc>
          <w:tcPr>
            <w:tcW w:w="1275" w:type="dxa"/>
          </w:tcPr>
          <w:p w14:paraId="4A846705"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54710DA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1025633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055ADFA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0A432B3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Borders>
              <w:bottom w:val="nil"/>
            </w:tcBorders>
          </w:tcPr>
          <w:p w14:paraId="4DDDA82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4B88014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3BA70F3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12FE75F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470029D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03FAF92F" w14:textId="77777777">
        <w:tc>
          <w:tcPr>
            <w:cnfStyle w:val="001000000000" w:firstRow="0" w:lastRow="0" w:firstColumn="1" w:lastColumn="0" w:oddVBand="0" w:evenVBand="0" w:oddHBand="0" w:evenHBand="0" w:firstRowFirstColumn="0" w:firstRowLastColumn="0" w:lastRowFirstColumn="0" w:lastRowLastColumn="0"/>
            <w:tcW w:w="4962" w:type="dxa"/>
          </w:tcPr>
          <w:p w14:paraId="023B647C" w14:textId="77777777" w:rsidR="004D42F9" w:rsidRPr="00570C7E" w:rsidRDefault="004D42F9">
            <w:pPr>
              <w:rPr>
                <w:sz w:val="15"/>
                <w:szCs w:val="15"/>
              </w:rPr>
            </w:pPr>
            <w:r>
              <w:rPr>
                <w:sz w:val="15"/>
              </w:rPr>
              <w:t xml:space="preserve">High Capacity Metro Trains </w:t>
            </w:r>
            <w:r>
              <w:rPr>
                <w:sz w:val="15"/>
                <w:vertAlign w:val="superscript"/>
              </w:rPr>
              <w:t>(k)</w:t>
            </w:r>
          </w:p>
        </w:tc>
        <w:tc>
          <w:tcPr>
            <w:tcW w:w="1275" w:type="dxa"/>
          </w:tcPr>
          <w:p w14:paraId="3B8A95C8"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5.7.13</w:t>
            </w:r>
          </w:p>
        </w:tc>
        <w:tc>
          <w:tcPr>
            <w:tcW w:w="851" w:type="dxa"/>
          </w:tcPr>
          <w:p w14:paraId="4EA0DDF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1 307</w:t>
            </w:r>
          </w:p>
        </w:tc>
        <w:tc>
          <w:tcPr>
            <w:tcW w:w="1134" w:type="dxa"/>
          </w:tcPr>
          <w:p w14:paraId="0C713CE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7</w:t>
            </w:r>
          </w:p>
        </w:tc>
        <w:tc>
          <w:tcPr>
            <w:tcW w:w="992" w:type="dxa"/>
          </w:tcPr>
          <w:p w14:paraId="6F3B404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1 461</w:t>
            </w:r>
          </w:p>
        </w:tc>
        <w:tc>
          <w:tcPr>
            <w:tcW w:w="992" w:type="dxa"/>
          </w:tcPr>
          <w:p w14:paraId="4F1D475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4 357</w:t>
            </w:r>
          </w:p>
        </w:tc>
        <w:tc>
          <w:tcPr>
            <w:tcW w:w="142" w:type="dxa"/>
            <w:tcBorders>
              <w:bottom w:val="nil"/>
            </w:tcBorders>
          </w:tcPr>
          <w:p w14:paraId="3145EDB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62BDE9B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1 261</w:t>
            </w:r>
          </w:p>
        </w:tc>
        <w:tc>
          <w:tcPr>
            <w:tcW w:w="1134" w:type="dxa"/>
          </w:tcPr>
          <w:p w14:paraId="2ABBCF9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50</w:t>
            </w:r>
          </w:p>
        </w:tc>
        <w:tc>
          <w:tcPr>
            <w:tcW w:w="1134" w:type="dxa"/>
          </w:tcPr>
          <w:p w14:paraId="0217EA5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1 412</w:t>
            </w:r>
          </w:p>
        </w:tc>
        <w:tc>
          <w:tcPr>
            <w:tcW w:w="1104" w:type="dxa"/>
          </w:tcPr>
          <w:p w14:paraId="6A84CEB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4 492</w:t>
            </w:r>
          </w:p>
        </w:tc>
      </w:tr>
      <w:tr w:rsidR="004D42F9" w:rsidRPr="00570C7E" w14:paraId="5CA56107" w14:textId="77777777">
        <w:tc>
          <w:tcPr>
            <w:cnfStyle w:val="001000000000" w:firstRow="0" w:lastRow="0" w:firstColumn="1" w:lastColumn="0" w:oddVBand="0" w:evenVBand="0" w:oddHBand="0" w:evenHBand="0" w:firstRowFirstColumn="0" w:firstRowLastColumn="0" w:lastRowFirstColumn="0" w:lastRowLastColumn="0"/>
            <w:tcW w:w="4962" w:type="dxa"/>
          </w:tcPr>
          <w:p w14:paraId="4E363B1E" w14:textId="77777777" w:rsidR="004D42F9" w:rsidRPr="00570C7E" w:rsidRDefault="004D42F9">
            <w:pPr>
              <w:rPr>
                <w:sz w:val="15"/>
                <w:szCs w:val="15"/>
              </w:rPr>
            </w:pPr>
            <w:r>
              <w:rPr>
                <w:sz w:val="15"/>
              </w:rPr>
              <w:t xml:space="preserve">Metro Tunnel Project </w:t>
            </w:r>
            <w:r>
              <w:rPr>
                <w:sz w:val="15"/>
              </w:rPr>
              <w:noBreakHyphen/>
              <w:t xml:space="preserve"> Tunnel and Stations </w:t>
            </w:r>
            <w:r>
              <w:rPr>
                <w:sz w:val="15"/>
                <w:vertAlign w:val="superscript"/>
              </w:rPr>
              <w:t>(k)</w:t>
            </w:r>
          </w:p>
        </w:tc>
        <w:tc>
          <w:tcPr>
            <w:tcW w:w="1275" w:type="dxa"/>
          </w:tcPr>
          <w:p w14:paraId="1186CCD6"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5.7.14</w:t>
            </w:r>
          </w:p>
        </w:tc>
        <w:tc>
          <w:tcPr>
            <w:tcW w:w="851" w:type="dxa"/>
          </w:tcPr>
          <w:p w14:paraId="7B6CE68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2 499</w:t>
            </w:r>
          </w:p>
        </w:tc>
        <w:tc>
          <w:tcPr>
            <w:tcW w:w="1134" w:type="dxa"/>
          </w:tcPr>
          <w:p w14:paraId="1BD509D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343</w:t>
            </w:r>
          </w:p>
        </w:tc>
        <w:tc>
          <w:tcPr>
            <w:tcW w:w="992" w:type="dxa"/>
          </w:tcPr>
          <w:p w14:paraId="56E7182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923</w:t>
            </w:r>
          </w:p>
        </w:tc>
        <w:tc>
          <w:tcPr>
            <w:tcW w:w="992" w:type="dxa"/>
          </w:tcPr>
          <w:p w14:paraId="7A967FF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2 809</w:t>
            </w:r>
          </w:p>
        </w:tc>
        <w:tc>
          <w:tcPr>
            <w:tcW w:w="142" w:type="dxa"/>
            <w:tcBorders>
              <w:bottom w:val="nil"/>
            </w:tcBorders>
          </w:tcPr>
          <w:p w14:paraId="7AB7DA8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7A46747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2 346</w:t>
            </w:r>
          </w:p>
        </w:tc>
        <w:tc>
          <w:tcPr>
            <w:tcW w:w="1134" w:type="dxa"/>
          </w:tcPr>
          <w:p w14:paraId="7BEF88F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343</w:t>
            </w:r>
          </w:p>
        </w:tc>
        <w:tc>
          <w:tcPr>
            <w:tcW w:w="1134" w:type="dxa"/>
          </w:tcPr>
          <w:p w14:paraId="2F67714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869</w:t>
            </w:r>
          </w:p>
        </w:tc>
        <w:tc>
          <w:tcPr>
            <w:tcW w:w="1104" w:type="dxa"/>
          </w:tcPr>
          <w:p w14:paraId="2E71BE7C" w14:textId="444AA02A" w:rsidR="004D42F9" w:rsidRPr="00570C7E" w:rsidRDefault="00690B6A">
            <w:pPr>
              <w:cnfStyle w:val="000000000000" w:firstRow="0" w:lastRow="0" w:firstColumn="0" w:lastColumn="0" w:oddVBand="0" w:evenVBand="0" w:oddHBand="0" w:evenHBand="0" w:firstRowFirstColumn="0" w:firstRowLastColumn="0" w:lastRowFirstColumn="0" w:lastRowLastColumn="0"/>
              <w:rPr>
                <w:sz w:val="15"/>
                <w:szCs w:val="15"/>
              </w:rPr>
            </w:pPr>
            <w:r>
              <w:rPr>
                <w:sz w:val="15"/>
              </w:rPr>
              <w:t>3 284</w:t>
            </w:r>
          </w:p>
        </w:tc>
      </w:tr>
      <w:tr w:rsidR="004D42F9" w:rsidRPr="00570C7E" w14:paraId="7BE90853" w14:textId="77777777">
        <w:tc>
          <w:tcPr>
            <w:cnfStyle w:val="001000000000" w:firstRow="0" w:lastRow="0" w:firstColumn="1" w:lastColumn="0" w:oddVBand="0" w:evenVBand="0" w:oddHBand="0" w:evenHBand="0" w:firstRowFirstColumn="0" w:firstRowLastColumn="0" w:lastRowFirstColumn="0" w:lastRowLastColumn="0"/>
            <w:tcW w:w="4962" w:type="dxa"/>
          </w:tcPr>
          <w:p w14:paraId="4F883C68" w14:textId="77777777" w:rsidR="004D42F9" w:rsidRPr="00570C7E" w:rsidRDefault="004D42F9">
            <w:pPr>
              <w:rPr>
                <w:sz w:val="15"/>
                <w:szCs w:val="15"/>
              </w:rPr>
            </w:pPr>
            <w:r>
              <w:rPr>
                <w:sz w:val="15"/>
              </w:rPr>
              <w:t>Metropolitan Zero Emissions Buses</w:t>
            </w:r>
          </w:p>
        </w:tc>
        <w:tc>
          <w:tcPr>
            <w:tcW w:w="1275" w:type="dxa"/>
          </w:tcPr>
          <w:p w14:paraId="38824D14"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5.7.15</w:t>
            </w:r>
          </w:p>
        </w:tc>
        <w:tc>
          <w:tcPr>
            <w:tcW w:w="851" w:type="dxa"/>
          </w:tcPr>
          <w:p w14:paraId="79D3D64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ED1203D"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100</w:t>
            </w:r>
          </w:p>
        </w:tc>
        <w:tc>
          <w:tcPr>
            <w:tcW w:w="992" w:type="dxa"/>
          </w:tcPr>
          <w:p w14:paraId="47CE9D1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2 520</w:t>
            </w:r>
          </w:p>
        </w:tc>
        <w:tc>
          <w:tcPr>
            <w:tcW w:w="992" w:type="dxa"/>
          </w:tcPr>
          <w:p w14:paraId="5C6DB93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3 199</w:t>
            </w:r>
          </w:p>
        </w:tc>
        <w:tc>
          <w:tcPr>
            <w:tcW w:w="142" w:type="dxa"/>
            <w:tcBorders>
              <w:bottom w:val="nil"/>
            </w:tcBorders>
          </w:tcPr>
          <w:p w14:paraId="7867A42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3B128F2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520B344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12E1182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04" w:type="dxa"/>
          </w:tcPr>
          <w:p w14:paraId="6067746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r>
      <w:tr w:rsidR="004D42F9" w:rsidRPr="00570C7E" w14:paraId="3BCD118C" w14:textId="77777777">
        <w:tc>
          <w:tcPr>
            <w:cnfStyle w:val="001000000000" w:firstRow="0" w:lastRow="0" w:firstColumn="1" w:lastColumn="0" w:oddVBand="0" w:evenVBand="0" w:oddHBand="0" w:evenHBand="0" w:firstRowFirstColumn="0" w:firstRowLastColumn="0" w:lastRowFirstColumn="0" w:lastRowLastColumn="0"/>
            <w:tcW w:w="4962" w:type="dxa"/>
          </w:tcPr>
          <w:p w14:paraId="35F15CDA" w14:textId="77777777" w:rsidR="004D42F9" w:rsidRPr="00570C7E" w:rsidRDefault="004D42F9">
            <w:pPr>
              <w:rPr>
                <w:sz w:val="15"/>
                <w:szCs w:val="15"/>
              </w:rPr>
            </w:pPr>
            <w:r>
              <w:rPr>
                <w:sz w:val="15"/>
              </w:rPr>
              <w:t>North East Link – Primary Package (Tunnels)</w:t>
            </w:r>
          </w:p>
        </w:tc>
        <w:tc>
          <w:tcPr>
            <w:tcW w:w="1275" w:type="dxa"/>
          </w:tcPr>
          <w:p w14:paraId="0783E50D"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5.7.16</w:t>
            </w:r>
          </w:p>
        </w:tc>
        <w:tc>
          <w:tcPr>
            <w:tcW w:w="851" w:type="dxa"/>
          </w:tcPr>
          <w:p w14:paraId="69F6CCA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3 143</w:t>
            </w:r>
          </w:p>
        </w:tc>
        <w:tc>
          <w:tcPr>
            <w:tcW w:w="1134" w:type="dxa"/>
          </w:tcPr>
          <w:p w14:paraId="3C15436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3 035</w:t>
            </w:r>
          </w:p>
        </w:tc>
        <w:tc>
          <w:tcPr>
            <w:tcW w:w="992" w:type="dxa"/>
          </w:tcPr>
          <w:p w14:paraId="16C8D85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1 138</w:t>
            </w:r>
          </w:p>
        </w:tc>
        <w:tc>
          <w:tcPr>
            <w:tcW w:w="992" w:type="dxa"/>
          </w:tcPr>
          <w:p w14:paraId="32201B0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12 415</w:t>
            </w:r>
          </w:p>
        </w:tc>
        <w:tc>
          <w:tcPr>
            <w:tcW w:w="142" w:type="dxa"/>
            <w:tcBorders>
              <w:bottom w:val="nil"/>
            </w:tcBorders>
          </w:tcPr>
          <w:p w14:paraId="14B8E54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1441C96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3 901</w:t>
            </w:r>
          </w:p>
        </w:tc>
        <w:tc>
          <w:tcPr>
            <w:tcW w:w="1134" w:type="dxa"/>
          </w:tcPr>
          <w:p w14:paraId="3AD8A67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5 327</w:t>
            </w:r>
          </w:p>
        </w:tc>
        <w:tc>
          <w:tcPr>
            <w:tcW w:w="1134" w:type="dxa"/>
          </w:tcPr>
          <w:p w14:paraId="2476536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1 083</w:t>
            </w:r>
          </w:p>
        </w:tc>
        <w:tc>
          <w:tcPr>
            <w:tcW w:w="1104" w:type="dxa"/>
          </w:tcPr>
          <w:p w14:paraId="6A6B920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16 254</w:t>
            </w:r>
          </w:p>
        </w:tc>
      </w:tr>
      <w:tr w:rsidR="004D42F9" w:rsidRPr="00570C7E" w14:paraId="76B3EC3E" w14:textId="77777777">
        <w:tc>
          <w:tcPr>
            <w:cnfStyle w:val="001000000000" w:firstRow="0" w:lastRow="0" w:firstColumn="1" w:lastColumn="0" w:oddVBand="0" w:evenVBand="0" w:oddHBand="0" w:evenHBand="0" w:firstRowFirstColumn="0" w:firstRowLastColumn="0" w:lastRowFirstColumn="0" w:lastRowLastColumn="0"/>
            <w:tcW w:w="4962" w:type="dxa"/>
          </w:tcPr>
          <w:p w14:paraId="4526F1E3" w14:textId="77777777" w:rsidR="004D42F9" w:rsidRPr="00570C7E" w:rsidRDefault="004D42F9">
            <w:pPr>
              <w:rPr>
                <w:sz w:val="15"/>
                <w:szCs w:val="15"/>
              </w:rPr>
            </w:pPr>
            <w:r>
              <w:rPr>
                <w:b/>
                <w:sz w:val="15"/>
              </w:rPr>
              <w:t>Hybrid model (GORTO and financial liability models) – Commissioned</w:t>
            </w:r>
          </w:p>
        </w:tc>
        <w:tc>
          <w:tcPr>
            <w:tcW w:w="1275" w:type="dxa"/>
          </w:tcPr>
          <w:p w14:paraId="021A7CFE"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4D39C27D"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3BE7015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282A4AF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798B4EC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Borders>
              <w:bottom w:val="nil"/>
            </w:tcBorders>
          </w:tcPr>
          <w:p w14:paraId="70593E9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2AC235A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77909CE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01DF6EC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73AAB37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5205ED9B" w14:textId="77777777">
        <w:tc>
          <w:tcPr>
            <w:cnfStyle w:val="001000000000" w:firstRow="0" w:lastRow="0" w:firstColumn="1" w:lastColumn="0" w:oddVBand="0" w:evenVBand="0" w:oddHBand="0" w:evenHBand="0" w:firstRowFirstColumn="0" w:firstRowLastColumn="0" w:lastRowFirstColumn="0" w:lastRowLastColumn="0"/>
            <w:tcW w:w="4962" w:type="dxa"/>
          </w:tcPr>
          <w:p w14:paraId="6F7AFBC9" w14:textId="77777777" w:rsidR="004D42F9" w:rsidRPr="00570C7E" w:rsidRDefault="004D42F9">
            <w:pPr>
              <w:rPr>
                <w:sz w:val="15"/>
                <w:szCs w:val="15"/>
              </w:rPr>
            </w:pPr>
            <w:r>
              <w:rPr>
                <w:sz w:val="15"/>
              </w:rPr>
              <w:t xml:space="preserve">Homes Victoria Ground Lease Model Project 1 (Phase 1) </w:t>
            </w:r>
            <w:r>
              <w:rPr>
                <w:sz w:val="15"/>
                <w:vertAlign w:val="superscript"/>
              </w:rPr>
              <w:t>(k)(l)</w:t>
            </w:r>
          </w:p>
        </w:tc>
        <w:tc>
          <w:tcPr>
            <w:tcW w:w="1275" w:type="dxa"/>
          </w:tcPr>
          <w:p w14:paraId="5C1A3233"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5.7.17</w:t>
            </w:r>
          </w:p>
        </w:tc>
        <w:tc>
          <w:tcPr>
            <w:tcW w:w="851" w:type="dxa"/>
          </w:tcPr>
          <w:p w14:paraId="7404A2D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70E7396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719188C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46</w:t>
            </w:r>
          </w:p>
        </w:tc>
        <w:tc>
          <w:tcPr>
            <w:tcW w:w="992" w:type="dxa"/>
          </w:tcPr>
          <w:p w14:paraId="7738C68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142</w:t>
            </w:r>
          </w:p>
        </w:tc>
        <w:tc>
          <w:tcPr>
            <w:tcW w:w="142" w:type="dxa"/>
            <w:tcBorders>
              <w:bottom w:val="nil"/>
            </w:tcBorders>
          </w:tcPr>
          <w:p w14:paraId="5824341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7FEECEC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077FE7F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50F2946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44</w:t>
            </w:r>
          </w:p>
        </w:tc>
        <w:tc>
          <w:tcPr>
            <w:tcW w:w="1104" w:type="dxa"/>
          </w:tcPr>
          <w:p w14:paraId="0534B4B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142</w:t>
            </w:r>
          </w:p>
        </w:tc>
      </w:tr>
      <w:tr w:rsidR="004D42F9" w:rsidRPr="00570C7E" w14:paraId="0548F4D7" w14:textId="77777777">
        <w:tc>
          <w:tcPr>
            <w:cnfStyle w:val="001000000000" w:firstRow="0" w:lastRow="0" w:firstColumn="1" w:lastColumn="0" w:oddVBand="0" w:evenVBand="0" w:oddHBand="0" w:evenHBand="0" w:firstRowFirstColumn="0" w:firstRowLastColumn="0" w:lastRowFirstColumn="0" w:lastRowLastColumn="0"/>
            <w:tcW w:w="4962" w:type="dxa"/>
          </w:tcPr>
          <w:p w14:paraId="48792953" w14:textId="77777777" w:rsidR="004D42F9" w:rsidRPr="00570C7E" w:rsidRDefault="004D42F9">
            <w:pPr>
              <w:rPr>
                <w:sz w:val="15"/>
                <w:szCs w:val="15"/>
              </w:rPr>
            </w:pPr>
            <w:r>
              <w:rPr>
                <w:b/>
                <w:sz w:val="15"/>
              </w:rPr>
              <w:t xml:space="preserve">Hybrid model (GORTO and financial liability models) </w:t>
            </w:r>
            <w:r>
              <w:rPr>
                <w:b/>
                <w:sz w:val="15"/>
              </w:rPr>
              <w:noBreakHyphen/>
              <w:t xml:space="preserve"> Uncommissioned </w:t>
            </w:r>
            <w:r>
              <w:rPr>
                <w:b/>
                <w:sz w:val="15"/>
                <w:vertAlign w:val="superscript"/>
              </w:rPr>
              <w:t>(j)</w:t>
            </w:r>
          </w:p>
        </w:tc>
        <w:tc>
          <w:tcPr>
            <w:tcW w:w="1275" w:type="dxa"/>
          </w:tcPr>
          <w:p w14:paraId="6B334312"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28A0F54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41EED32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02274CA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38B428BD"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Borders>
              <w:bottom w:val="nil"/>
            </w:tcBorders>
          </w:tcPr>
          <w:p w14:paraId="728BA97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72F1EE2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464B6FE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5710708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2CBA61D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4B690A41" w14:textId="77777777">
        <w:tc>
          <w:tcPr>
            <w:cnfStyle w:val="001000000000" w:firstRow="0" w:lastRow="0" w:firstColumn="1" w:lastColumn="0" w:oddVBand="0" w:evenVBand="0" w:oddHBand="0" w:evenHBand="0" w:firstRowFirstColumn="0" w:firstRowLastColumn="0" w:lastRowFirstColumn="0" w:lastRowLastColumn="0"/>
            <w:tcW w:w="4962" w:type="dxa"/>
          </w:tcPr>
          <w:p w14:paraId="5AE58D42" w14:textId="77777777" w:rsidR="004D42F9" w:rsidRPr="00570C7E" w:rsidRDefault="004D42F9">
            <w:pPr>
              <w:rPr>
                <w:sz w:val="15"/>
                <w:szCs w:val="15"/>
              </w:rPr>
            </w:pPr>
            <w:r>
              <w:rPr>
                <w:sz w:val="15"/>
              </w:rPr>
              <w:t xml:space="preserve">Homes Victoria Ground Lease Model Project 2 </w:t>
            </w:r>
            <w:r>
              <w:rPr>
                <w:sz w:val="15"/>
                <w:vertAlign w:val="superscript"/>
              </w:rPr>
              <w:t>(k)</w:t>
            </w:r>
          </w:p>
        </w:tc>
        <w:tc>
          <w:tcPr>
            <w:tcW w:w="1275" w:type="dxa"/>
          </w:tcPr>
          <w:p w14:paraId="3368FCD0"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5.7.18</w:t>
            </w:r>
          </w:p>
        </w:tc>
        <w:tc>
          <w:tcPr>
            <w:tcW w:w="851" w:type="dxa"/>
          </w:tcPr>
          <w:p w14:paraId="5DB7774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538</w:t>
            </w:r>
          </w:p>
        </w:tc>
        <w:tc>
          <w:tcPr>
            <w:tcW w:w="1134" w:type="dxa"/>
          </w:tcPr>
          <w:p w14:paraId="6266BB3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1A2965E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50</w:t>
            </w:r>
          </w:p>
        </w:tc>
        <w:tc>
          <w:tcPr>
            <w:tcW w:w="992" w:type="dxa"/>
          </w:tcPr>
          <w:p w14:paraId="413733D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1 715</w:t>
            </w:r>
          </w:p>
        </w:tc>
        <w:tc>
          <w:tcPr>
            <w:tcW w:w="142" w:type="dxa"/>
            <w:tcBorders>
              <w:top w:val="nil"/>
            </w:tcBorders>
          </w:tcPr>
          <w:p w14:paraId="7DCCD90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36ADFF0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538</w:t>
            </w:r>
          </w:p>
        </w:tc>
        <w:tc>
          <w:tcPr>
            <w:tcW w:w="1134" w:type="dxa"/>
          </w:tcPr>
          <w:p w14:paraId="4C1CF57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180</w:t>
            </w:r>
          </w:p>
        </w:tc>
        <w:tc>
          <w:tcPr>
            <w:tcW w:w="1134" w:type="dxa"/>
          </w:tcPr>
          <w:p w14:paraId="0E02059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50</w:t>
            </w:r>
          </w:p>
        </w:tc>
        <w:tc>
          <w:tcPr>
            <w:tcW w:w="1104" w:type="dxa"/>
          </w:tcPr>
          <w:p w14:paraId="7E9C40A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1 895</w:t>
            </w:r>
          </w:p>
        </w:tc>
      </w:tr>
      <w:tr w:rsidR="004D42F9" w:rsidRPr="00570C7E" w14:paraId="32E77DA0" w14:textId="77777777">
        <w:tc>
          <w:tcPr>
            <w:cnfStyle w:val="001000000000" w:firstRow="0" w:lastRow="0" w:firstColumn="1" w:lastColumn="0" w:oddVBand="0" w:evenVBand="0" w:oddHBand="0" w:evenHBand="0" w:firstRowFirstColumn="0" w:firstRowLastColumn="0" w:lastRowFirstColumn="0" w:lastRowLastColumn="0"/>
            <w:tcW w:w="4962" w:type="dxa"/>
          </w:tcPr>
          <w:p w14:paraId="17BB3376" w14:textId="77777777" w:rsidR="004D42F9" w:rsidRPr="00570C7E" w:rsidRDefault="004D42F9">
            <w:pPr>
              <w:rPr>
                <w:sz w:val="15"/>
                <w:szCs w:val="15"/>
              </w:rPr>
            </w:pPr>
            <w:r>
              <w:rPr>
                <w:sz w:val="15"/>
              </w:rPr>
              <w:t>West Gate Tunnel</w:t>
            </w:r>
          </w:p>
        </w:tc>
        <w:tc>
          <w:tcPr>
            <w:tcW w:w="1275" w:type="dxa"/>
          </w:tcPr>
          <w:p w14:paraId="03B1F32A"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5.7.19</w:t>
            </w:r>
          </w:p>
        </w:tc>
        <w:tc>
          <w:tcPr>
            <w:tcW w:w="851" w:type="dxa"/>
          </w:tcPr>
          <w:p w14:paraId="5CCA35B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547AEAA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36</w:t>
            </w:r>
          </w:p>
        </w:tc>
        <w:tc>
          <w:tcPr>
            <w:tcW w:w="992" w:type="dxa"/>
          </w:tcPr>
          <w:p w14:paraId="0A8894E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34C46CE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36</w:t>
            </w:r>
          </w:p>
        </w:tc>
        <w:tc>
          <w:tcPr>
            <w:tcW w:w="142" w:type="dxa"/>
          </w:tcPr>
          <w:p w14:paraId="6E91D83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6C20A61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3B8FF68D"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265</w:t>
            </w:r>
          </w:p>
        </w:tc>
        <w:tc>
          <w:tcPr>
            <w:tcW w:w="1134" w:type="dxa"/>
          </w:tcPr>
          <w:p w14:paraId="1CF25C5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04" w:type="dxa"/>
          </w:tcPr>
          <w:p w14:paraId="18CE06C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265</w:t>
            </w:r>
          </w:p>
        </w:tc>
      </w:tr>
      <w:tr w:rsidR="004D42F9" w:rsidRPr="00570C7E" w14:paraId="6D6D3A25" w14:textId="77777777">
        <w:tc>
          <w:tcPr>
            <w:cnfStyle w:val="001000000000" w:firstRow="0" w:lastRow="0" w:firstColumn="1" w:lastColumn="0" w:oddVBand="0" w:evenVBand="0" w:oddHBand="0" w:evenHBand="0" w:firstRowFirstColumn="0" w:firstRowLastColumn="0" w:lastRowFirstColumn="0" w:lastRowLastColumn="0"/>
            <w:tcW w:w="4962" w:type="dxa"/>
          </w:tcPr>
          <w:p w14:paraId="75CB41D5" w14:textId="77777777" w:rsidR="004D42F9" w:rsidRPr="00570C7E" w:rsidRDefault="004D42F9">
            <w:pPr>
              <w:rPr>
                <w:sz w:val="15"/>
                <w:szCs w:val="15"/>
              </w:rPr>
            </w:pPr>
            <w:r>
              <w:rPr>
                <w:b/>
                <w:sz w:val="15"/>
              </w:rPr>
              <w:t xml:space="preserve">Service Contracts </w:t>
            </w:r>
            <w:r>
              <w:rPr>
                <w:b/>
                <w:sz w:val="15"/>
              </w:rPr>
              <w:noBreakHyphen/>
              <w:t xml:space="preserve"> Commissioned </w:t>
            </w:r>
            <w:r>
              <w:rPr>
                <w:b/>
                <w:sz w:val="15"/>
                <w:vertAlign w:val="superscript"/>
              </w:rPr>
              <w:t>(m)</w:t>
            </w:r>
          </w:p>
        </w:tc>
        <w:tc>
          <w:tcPr>
            <w:tcW w:w="1275" w:type="dxa"/>
          </w:tcPr>
          <w:p w14:paraId="11A97900"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2D93A8C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14BEA17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70458E3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376E16C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Pr>
          <w:p w14:paraId="156D4DC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1D4D919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43D69CC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1B49591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67EC405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1C29FCB3" w14:textId="77777777">
        <w:tc>
          <w:tcPr>
            <w:cnfStyle w:val="001000000000" w:firstRow="0" w:lastRow="0" w:firstColumn="1" w:lastColumn="0" w:oddVBand="0" w:evenVBand="0" w:oddHBand="0" w:evenHBand="0" w:firstRowFirstColumn="0" w:firstRowLastColumn="0" w:lastRowFirstColumn="0" w:lastRowLastColumn="0"/>
            <w:tcW w:w="4962" w:type="dxa"/>
          </w:tcPr>
          <w:p w14:paraId="125C96E7" w14:textId="77777777" w:rsidR="004D42F9" w:rsidRPr="00570C7E" w:rsidRDefault="004D42F9">
            <w:pPr>
              <w:rPr>
                <w:sz w:val="15"/>
                <w:szCs w:val="15"/>
              </w:rPr>
            </w:pPr>
            <w:r>
              <w:rPr>
                <w:sz w:val="15"/>
              </w:rPr>
              <w:t>Metropolitan Tram Service</w:t>
            </w:r>
          </w:p>
        </w:tc>
        <w:tc>
          <w:tcPr>
            <w:tcW w:w="1275" w:type="dxa"/>
          </w:tcPr>
          <w:p w14:paraId="0515E055"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5.7.20</w:t>
            </w:r>
          </w:p>
        </w:tc>
        <w:tc>
          <w:tcPr>
            <w:tcW w:w="851" w:type="dxa"/>
          </w:tcPr>
          <w:p w14:paraId="334BCA2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7D966F7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992" w:type="dxa"/>
          </w:tcPr>
          <w:p w14:paraId="0F3EFE6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5 915</w:t>
            </w:r>
          </w:p>
        </w:tc>
        <w:tc>
          <w:tcPr>
            <w:tcW w:w="992" w:type="dxa"/>
          </w:tcPr>
          <w:p w14:paraId="7EB264B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7 045</w:t>
            </w:r>
          </w:p>
        </w:tc>
        <w:tc>
          <w:tcPr>
            <w:tcW w:w="142" w:type="dxa"/>
          </w:tcPr>
          <w:p w14:paraId="1CCDF21C"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23CDCFF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29AF647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Pr>
          <w:p w14:paraId="48ADCBC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6 086</w:t>
            </w:r>
          </w:p>
        </w:tc>
        <w:tc>
          <w:tcPr>
            <w:tcW w:w="1104" w:type="dxa"/>
          </w:tcPr>
          <w:p w14:paraId="4E6F3AA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7 499</w:t>
            </w:r>
          </w:p>
        </w:tc>
      </w:tr>
      <w:tr w:rsidR="004D42F9" w:rsidRPr="00570C7E" w14:paraId="53B47DA1" w14:textId="77777777">
        <w:tc>
          <w:tcPr>
            <w:cnfStyle w:val="001000000000" w:firstRow="0" w:lastRow="0" w:firstColumn="1" w:lastColumn="0" w:oddVBand="0" w:evenVBand="0" w:oddHBand="0" w:evenHBand="0" w:firstRowFirstColumn="0" w:firstRowLastColumn="0" w:lastRowFirstColumn="0" w:lastRowLastColumn="0"/>
            <w:tcW w:w="4962" w:type="dxa"/>
          </w:tcPr>
          <w:p w14:paraId="11D02550" w14:textId="77777777" w:rsidR="004D42F9" w:rsidRPr="00570C7E" w:rsidRDefault="004D42F9">
            <w:pPr>
              <w:rPr>
                <w:sz w:val="15"/>
                <w:szCs w:val="15"/>
              </w:rPr>
            </w:pPr>
            <w:r>
              <w:rPr>
                <w:b/>
                <w:sz w:val="15"/>
              </w:rPr>
              <w:t xml:space="preserve">Service Contracts </w:t>
            </w:r>
            <w:r>
              <w:rPr>
                <w:b/>
                <w:sz w:val="15"/>
              </w:rPr>
              <w:noBreakHyphen/>
              <w:t xml:space="preserve"> Uncommissioned </w:t>
            </w:r>
            <w:r>
              <w:rPr>
                <w:b/>
                <w:sz w:val="15"/>
                <w:vertAlign w:val="superscript"/>
              </w:rPr>
              <w:t>(j)(m)</w:t>
            </w:r>
          </w:p>
        </w:tc>
        <w:tc>
          <w:tcPr>
            <w:tcW w:w="1275" w:type="dxa"/>
          </w:tcPr>
          <w:p w14:paraId="79343012"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622523B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45D80304"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0AF87AA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992" w:type="dxa"/>
          </w:tcPr>
          <w:p w14:paraId="79856BF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42" w:type="dxa"/>
          </w:tcPr>
          <w:p w14:paraId="0E8B0D9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Pr>
          <w:p w14:paraId="07960CB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22718EC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34" w:type="dxa"/>
          </w:tcPr>
          <w:p w14:paraId="798070FD"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1104" w:type="dxa"/>
          </w:tcPr>
          <w:p w14:paraId="4F7B994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r>
      <w:tr w:rsidR="004D42F9" w:rsidRPr="00570C7E" w14:paraId="4A433C18" w14:textId="77777777">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4E4469D8" w14:textId="77777777" w:rsidR="004D42F9" w:rsidRPr="00570C7E" w:rsidRDefault="004D42F9">
            <w:pPr>
              <w:rPr>
                <w:sz w:val="15"/>
                <w:szCs w:val="15"/>
              </w:rPr>
            </w:pPr>
            <w:r>
              <w:rPr>
                <w:sz w:val="15"/>
              </w:rPr>
              <w:t>Public Transport Ticketing Service</w:t>
            </w:r>
          </w:p>
        </w:tc>
        <w:tc>
          <w:tcPr>
            <w:tcW w:w="1275" w:type="dxa"/>
            <w:tcBorders>
              <w:bottom w:val="single" w:sz="6" w:space="0" w:color="auto"/>
            </w:tcBorders>
          </w:tcPr>
          <w:p w14:paraId="319D73F0" w14:textId="77777777" w:rsidR="004D42F9" w:rsidRPr="00570C7E" w:rsidRDefault="004D42F9">
            <w:pPr>
              <w:jc w:val="center"/>
              <w:cnfStyle w:val="000000000000" w:firstRow="0" w:lastRow="0" w:firstColumn="0" w:lastColumn="0" w:oddVBand="0" w:evenVBand="0" w:oddHBand="0" w:evenHBand="0" w:firstRowFirstColumn="0" w:firstRowLastColumn="0" w:lastRowFirstColumn="0" w:lastRowLastColumn="0"/>
              <w:rPr>
                <w:sz w:val="15"/>
                <w:szCs w:val="15"/>
              </w:rPr>
            </w:pPr>
            <w:r>
              <w:rPr>
                <w:sz w:val="15"/>
              </w:rPr>
              <w:t>5.7.21</w:t>
            </w:r>
          </w:p>
        </w:tc>
        <w:tc>
          <w:tcPr>
            <w:tcW w:w="851" w:type="dxa"/>
            <w:tcBorders>
              <w:bottom w:val="single" w:sz="6" w:space="0" w:color="auto"/>
            </w:tcBorders>
          </w:tcPr>
          <w:p w14:paraId="00758A5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Borders>
              <w:bottom w:val="single" w:sz="6" w:space="0" w:color="auto"/>
            </w:tcBorders>
          </w:tcPr>
          <w:p w14:paraId="38480DE2"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323</w:t>
            </w:r>
          </w:p>
        </w:tc>
        <w:tc>
          <w:tcPr>
            <w:tcW w:w="992" w:type="dxa"/>
            <w:tcBorders>
              <w:bottom w:val="single" w:sz="6" w:space="0" w:color="auto"/>
            </w:tcBorders>
          </w:tcPr>
          <w:p w14:paraId="3F496361"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1 023</w:t>
            </w:r>
          </w:p>
        </w:tc>
        <w:tc>
          <w:tcPr>
            <w:tcW w:w="992" w:type="dxa"/>
            <w:tcBorders>
              <w:bottom w:val="single" w:sz="6" w:space="0" w:color="auto"/>
            </w:tcBorders>
          </w:tcPr>
          <w:p w14:paraId="7D76621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1 700</w:t>
            </w:r>
          </w:p>
        </w:tc>
        <w:tc>
          <w:tcPr>
            <w:tcW w:w="142" w:type="dxa"/>
            <w:tcBorders>
              <w:bottom w:val="single" w:sz="6" w:space="0" w:color="auto"/>
            </w:tcBorders>
          </w:tcPr>
          <w:p w14:paraId="419E151A"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Borders>
              <w:bottom w:val="single" w:sz="6" w:space="0" w:color="auto"/>
            </w:tcBorders>
          </w:tcPr>
          <w:p w14:paraId="689C4CF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w:t>
            </w:r>
          </w:p>
        </w:tc>
        <w:tc>
          <w:tcPr>
            <w:tcW w:w="1134" w:type="dxa"/>
            <w:tcBorders>
              <w:bottom w:val="single" w:sz="6" w:space="0" w:color="auto"/>
            </w:tcBorders>
          </w:tcPr>
          <w:p w14:paraId="4F41038F"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315</w:t>
            </w:r>
          </w:p>
        </w:tc>
        <w:tc>
          <w:tcPr>
            <w:tcW w:w="1134" w:type="dxa"/>
            <w:tcBorders>
              <w:bottom w:val="single" w:sz="6" w:space="0" w:color="auto"/>
            </w:tcBorders>
          </w:tcPr>
          <w:p w14:paraId="0C32536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1 027</w:t>
            </w:r>
          </w:p>
        </w:tc>
        <w:tc>
          <w:tcPr>
            <w:tcW w:w="1104" w:type="dxa"/>
            <w:tcBorders>
              <w:bottom w:val="single" w:sz="6" w:space="0" w:color="auto"/>
            </w:tcBorders>
          </w:tcPr>
          <w:p w14:paraId="01B650B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sz w:val="15"/>
              </w:rPr>
              <w:t>1 774</w:t>
            </w:r>
          </w:p>
        </w:tc>
      </w:tr>
      <w:tr w:rsidR="004D42F9" w:rsidRPr="00570C7E" w14:paraId="1AD1FEDC" w14:textId="77777777">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106546BB" w14:textId="77777777" w:rsidR="004D42F9" w:rsidRPr="00570C7E" w:rsidRDefault="004D42F9">
            <w:pPr>
              <w:rPr>
                <w:sz w:val="15"/>
                <w:szCs w:val="15"/>
              </w:rPr>
            </w:pPr>
            <w:r>
              <w:rPr>
                <w:b/>
                <w:sz w:val="15"/>
              </w:rPr>
              <w:t xml:space="preserve">Total commitments for service concession arrangements </w:t>
            </w:r>
            <w:r>
              <w:rPr>
                <w:b/>
                <w:sz w:val="15"/>
                <w:vertAlign w:val="superscript"/>
              </w:rPr>
              <w:t>(k)</w:t>
            </w:r>
          </w:p>
        </w:tc>
        <w:tc>
          <w:tcPr>
            <w:tcW w:w="1275" w:type="dxa"/>
            <w:tcBorders>
              <w:top w:val="single" w:sz="6" w:space="0" w:color="auto"/>
              <w:bottom w:val="single" w:sz="12" w:space="0" w:color="auto"/>
            </w:tcBorders>
          </w:tcPr>
          <w:p w14:paraId="18572E88"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p>
        </w:tc>
        <w:tc>
          <w:tcPr>
            <w:tcW w:w="851" w:type="dxa"/>
            <w:tcBorders>
              <w:top w:val="single" w:sz="6" w:space="0" w:color="auto"/>
              <w:bottom w:val="single" w:sz="12" w:space="0" w:color="auto"/>
            </w:tcBorders>
          </w:tcPr>
          <w:p w14:paraId="63A0CC87"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7 487</w:t>
            </w:r>
          </w:p>
        </w:tc>
        <w:tc>
          <w:tcPr>
            <w:tcW w:w="1134" w:type="dxa"/>
            <w:tcBorders>
              <w:top w:val="single" w:sz="6" w:space="0" w:color="auto"/>
              <w:bottom w:val="single" w:sz="12" w:space="0" w:color="auto"/>
            </w:tcBorders>
          </w:tcPr>
          <w:p w14:paraId="2AD34EEE"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3 843</w:t>
            </w:r>
          </w:p>
        </w:tc>
        <w:tc>
          <w:tcPr>
            <w:tcW w:w="992" w:type="dxa"/>
            <w:tcBorders>
              <w:top w:val="single" w:sz="6" w:space="0" w:color="auto"/>
              <w:bottom w:val="single" w:sz="12" w:space="0" w:color="auto"/>
            </w:tcBorders>
          </w:tcPr>
          <w:p w14:paraId="0787CBEB"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21 132</w:t>
            </w:r>
          </w:p>
        </w:tc>
        <w:tc>
          <w:tcPr>
            <w:tcW w:w="992" w:type="dxa"/>
            <w:tcBorders>
              <w:top w:val="single" w:sz="6" w:space="0" w:color="auto"/>
              <w:bottom w:val="single" w:sz="12" w:space="0" w:color="auto"/>
            </w:tcBorders>
          </w:tcPr>
          <w:p w14:paraId="7FA6A679"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45 605</w:t>
            </w:r>
          </w:p>
        </w:tc>
        <w:tc>
          <w:tcPr>
            <w:tcW w:w="142" w:type="dxa"/>
            <w:tcBorders>
              <w:top w:val="single" w:sz="6" w:space="0" w:color="auto"/>
              <w:bottom w:val="single" w:sz="12" w:space="0" w:color="auto"/>
            </w:tcBorders>
          </w:tcPr>
          <w:p w14:paraId="374D6153"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b/>
                <w:sz w:val="15"/>
                <w:szCs w:val="15"/>
              </w:rPr>
            </w:pPr>
          </w:p>
        </w:tc>
        <w:tc>
          <w:tcPr>
            <w:tcW w:w="851" w:type="dxa"/>
            <w:tcBorders>
              <w:top w:val="single" w:sz="6" w:space="0" w:color="auto"/>
              <w:bottom w:val="single" w:sz="12" w:space="0" w:color="auto"/>
            </w:tcBorders>
          </w:tcPr>
          <w:p w14:paraId="2E9B8040"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8 046</w:t>
            </w:r>
          </w:p>
        </w:tc>
        <w:tc>
          <w:tcPr>
            <w:tcW w:w="1134" w:type="dxa"/>
            <w:tcBorders>
              <w:top w:val="single" w:sz="6" w:space="0" w:color="auto"/>
              <w:bottom w:val="single" w:sz="12" w:space="0" w:color="auto"/>
            </w:tcBorders>
          </w:tcPr>
          <w:p w14:paraId="1E93DB96"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6 480</w:t>
            </w:r>
          </w:p>
        </w:tc>
        <w:tc>
          <w:tcPr>
            <w:tcW w:w="1134" w:type="dxa"/>
            <w:tcBorders>
              <w:top w:val="single" w:sz="6" w:space="0" w:color="auto"/>
              <w:bottom w:val="single" w:sz="12" w:space="0" w:color="auto"/>
            </w:tcBorders>
          </w:tcPr>
          <w:p w14:paraId="295BD625" w14:textId="7777777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19 257</w:t>
            </w:r>
          </w:p>
        </w:tc>
        <w:tc>
          <w:tcPr>
            <w:tcW w:w="1104" w:type="dxa"/>
            <w:tcBorders>
              <w:top w:val="single" w:sz="6" w:space="0" w:color="auto"/>
              <w:bottom w:val="single" w:sz="12" w:space="0" w:color="auto"/>
            </w:tcBorders>
          </w:tcPr>
          <w:p w14:paraId="43331C50" w14:textId="051078C7" w:rsidR="004D42F9" w:rsidRPr="00570C7E" w:rsidRDefault="004D42F9">
            <w:pPr>
              <w:cnfStyle w:val="000000000000" w:firstRow="0" w:lastRow="0" w:firstColumn="0" w:lastColumn="0" w:oddVBand="0" w:evenVBand="0" w:oddHBand="0" w:evenHBand="0" w:firstRowFirstColumn="0" w:firstRowLastColumn="0" w:lastRowFirstColumn="0" w:lastRowLastColumn="0"/>
              <w:rPr>
                <w:sz w:val="15"/>
                <w:szCs w:val="15"/>
              </w:rPr>
            </w:pPr>
            <w:r>
              <w:rPr>
                <w:b/>
                <w:sz w:val="15"/>
              </w:rPr>
              <w:t>4</w:t>
            </w:r>
            <w:r w:rsidR="00690B6A">
              <w:rPr>
                <w:b/>
                <w:sz w:val="15"/>
              </w:rPr>
              <w:t>8</w:t>
            </w:r>
            <w:r>
              <w:rPr>
                <w:b/>
                <w:sz w:val="15"/>
              </w:rPr>
              <w:t xml:space="preserve"> </w:t>
            </w:r>
            <w:r w:rsidR="00690B6A">
              <w:rPr>
                <w:b/>
                <w:sz w:val="15"/>
              </w:rPr>
              <w:t>972</w:t>
            </w:r>
          </w:p>
        </w:tc>
      </w:tr>
    </w:tbl>
    <w:p w14:paraId="052AF094" w14:textId="77777777" w:rsidR="004D42F9" w:rsidRPr="00B90414" w:rsidRDefault="004D42F9" w:rsidP="004D42F9">
      <w:pPr>
        <w:pStyle w:val="Note"/>
      </w:pPr>
      <w:r w:rsidRPr="00B90414">
        <w:t>Notes:</w:t>
      </w:r>
    </w:p>
    <w:p w14:paraId="5B5C0926" w14:textId="77777777" w:rsidR="004D42F9" w:rsidRPr="000B7290" w:rsidRDefault="004D42F9" w:rsidP="004D42F9">
      <w:pPr>
        <w:pStyle w:val="Note"/>
        <w:rPr>
          <w:szCs w:val="14"/>
        </w:rPr>
      </w:pPr>
      <w:r w:rsidRPr="000B7290">
        <w:rPr>
          <w:szCs w:val="14"/>
        </w:rPr>
        <w:t>(a)</w:t>
      </w:r>
      <w:r w:rsidRPr="000B7290">
        <w:rPr>
          <w:szCs w:val="14"/>
        </w:rPr>
        <w:tab/>
        <w:t>This note presents consolidated State of Victoria service concession arrangements. All of these arrangements are held in the general government sector with the exception of Water Infrastructure, North East Link – Primary package (Tunnels) and the Homes Victoria Ground Lease Model Project 1 and 2 which are recognised in the public non-financial corporations sector.</w:t>
      </w:r>
    </w:p>
    <w:p w14:paraId="74D7D729" w14:textId="77777777" w:rsidR="004D42F9" w:rsidRPr="000B7290" w:rsidRDefault="004D42F9" w:rsidP="004D42F9">
      <w:pPr>
        <w:pStyle w:val="Note"/>
        <w:rPr>
          <w:szCs w:val="14"/>
        </w:rPr>
      </w:pPr>
      <w:r w:rsidRPr="000B7290">
        <w:rPr>
          <w:szCs w:val="14"/>
        </w:rPr>
        <w:t>(b)</w:t>
      </w:r>
      <w:r w:rsidRPr="000B7290">
        <w:rPr>
          <w:szCs w:val="14"/>
        </w:rPr>
        <w:tab/>
        <w:t>The liability associated with commissioned service concession arrangements are recognised on the balance sheet and are not disclosed as a commitment.</w:t>
      </w:r>
    </w:p>
    <w:p w14:paraId="1766305D" w14:textId="77777777" w:rsidR="004D42F9" w:rsidRPr="000B7290" w:rsidRDefault="004D42F9" w:rsidP="004D42F9">
      <w:pPr>
        <w:pStyle w:val="Note"/>
        <w:rPr>
          <w:szCs w:val="14"/>
        </w:rPr>
      </w:pPr>
      <w:r w:rsidRPr="000B7290">
        <w:rPr>
          <w:szCs w:val="14"/>
        </w:rPr>
        <w:t>(c)</w:t>
      </w:r>
      <w:r w:rsidRPr="000B7290">
        <w:rPr>
          <w:szCs w:val="14"/>
        </w:rPr>
        <w:tab/>
        <w:t>The present value of other commitments has been discounted to 30 June of the respective financial years.</w:t>
      </w:r>
    </w:p>
    <w:p w14:paraId="465A2BFD" w14:textId="77777777" w:rsidR="004D42F9" w:rsidRPr="000B7290" w:rsidRDefault="004D42F9" w:rsidP="004D42F9">
      <w:pPr>
        <w:pStyle w:val="Note"/>
        <w:rPr>
          <w:szCs w:val="14"/>
        </w:rPr>
      </w:pPr>
      <w:r w:rsidRPr="000B7290">
        <w:rPr>
          <w:szCs w:val="14"/>
        </w:rPr>
        <w:t>(d)</w:t>
      </w:r>
      <w:r w:rsidRPr="000B7290">
        <w:rPr>
          <w:szCs w:val="14"/>
        </w:rPr>
        <w:tab/>
        <w:t>The liability value has been discounted to the expected date of commissioning.</w:t>
      </w:r>
    </w:p>
    <w:p w14:paraId="0C565856" w14:textId="2364376E" w:rsidR="004D42F9" w:rsidRPr="000B7290" w:rsidRDefault="004D42F9" w:rsidP="004D42F9">
      <w:pPr>
        <w:pStyle w:val="Note"/>
        <w:rPr>
          <w:szCs w:val="14"/>
        </w:rPr>
      </w:pPr>
      <w:r w:rsidRPr="000B7290">
        <w:rPr>
          <w:szCs w:val="14"/>
        </w:rPr>
        <w:t>(e)</w:t>
      </w:r>
      <w:r w:rsidRPr="000B7290">
        <w:rPr>
          <w:szCs w:val="14"/>
        </w:rPr>
        <w:tab/>
        <w:t>The capital contribution is measured at nominal value and represents the State</w:t>
      </w:r>
      <w:r w:rsidR="00845934">
        <w:rPr>
          <w:szCs w:val="14"/>
        </w:rPr>
        <w:t>’</w:t>
      </w:r>
      <w:r w:rsidRPr="000B7290">
        <w:rPr>
          <w:szCs w:val="14"/>
        </w:rPr>
        <w:t>s total unpaid capital contribution for the uncommissioned service concession arrangement</w:t>
      </w:r>
      <w:r>
        <w:rPr>
          <w:szCs w:val="14"/>
        </w:rPr>
        <w:t>s</w:t>
      </w:r>
      <w:r w:rsidRPr="000B7290">
        <w:rPr>
          <w:szCs w:val="14"/>
        </w:rPr>
        <w:t>.</w:t>
      </w:r>
    </w:p>
    <w:p w14:paraId="6787A365" w14:textId="77777777" w:rsidR="004D42F9" w:rsidRPr="000B7290" w:rsidRDefault="004D42F9" w:rsidP="004D42F9">
      <w:pPr>
        <w:pStyle w:val="Note"/>
        <w:rPr>
          <w:szCs w:val="14"/>
        </w:rPr>
      </w:pPr>
      <w:r w:rsidRPr="000B7290">
        <w:rPr>
          <w:szCs w:val="14"/>
        </w:rPr>
        <w:t>(f)</w:t>
      </w:r>
      <w:r w:rsidRPr="000B7290">
        <w:rPr>
          <w:szCs w:val="14"/>
        </w:rPr>
        <w:tab/>
        <w:t>The liability payments include the committed future liabilities yet to be recognised on the balance sheet.</w:t>
      </w:r>
      <w:r>
        <w:rPr>
          <w:szCs w:val="14"/>
        </w:rPr>
        <w:t xml:space="preserve"> </w:t>
      </w:r>
    </w:p>
    <w:p w14:paraId="599456D2" w14:textId="77777777" w:rsidR="004D42F9" w:rsidRPr="000B7290" w:rsidRDefault="004D42F9" w:rsidP="004D42F9">
      <w:pPr>
        <w:pStyle w:val="Note"/>
        <w:rPr>
          <w:szCs w:val="14"/>
        </w:rPr>
      </w:pPr>
      <w:r w:rsidRPr="000B7290">
        <w:rPr>
          <w:szCs w:val="14"/>
        </w:rPr>
        <w:t>(g)</w:t>
      </w:r>
      <w:r w:rsidRPr="000B7290">
        <w:rPr>
          <w:szCs w:val="14"/>
        </w:rPr>
        <w:tab/>
        <w:t>Prisons includes Fulham Correctional Centre, Port Phillip Prison and Ravenhall Correctional Centre.</w:t>
      </w:r>
    </w:p>
    <w:p w14:paraId="2AD39D2B" w14:textId="77777777" w:rsidR="004D42F9" w:rsidRPr="000B7290" w:rsidRDefault="004D42F9" w:rsidP="004D42F9">
      <w:pPr>
        <w:pStyle w:val="Note"/>
        <w:rPr>
          <w:szCs w:val="14"/>
        </w:rPr>
      </w:pPr>
      <w:r w:rsidRPr="000B7290">
        <w:rPr>
          <w:szCs w:val="14"/>
        </w:rPr>
        <w:t>(h)</w:t>
      </w:r>
      <w:r w:rsidRPr="000B7290">
        <w:rPr>
          <w:szCs w:val="14"/>
        </w:rPr>
        <w:tab/>
        <w:t xml:space="preserve">Water Infrastructure includes Barwon Region Water Corporation, Central Highlands Region Water Corporation and Coliban Region Water Corporation. </w:t>
      </w:r>
    </w:p>
    <w:p w14:paraId="13413D29" w14:textId="77777777" w:rsidR="004D42F9" w:rsidRPr="000B7290" w:rsidRDefault="004D42F9" w:rsidP="004D42F9">
      <w:pPr>
        <w:pStyle w:val="Note"/>
        <w:rPr>
          <w:szCs w:val="14"/>
        </w:rPr>
      </w:pPr>
      <w:r w:rsidRPr="000B7290">
        <w:rPr>
          <w:szCs w:val="14"/>
        </w:rPr>
        <w:t>(i)</w:t>
      </w:r>
      <w:r w:rsidRPr="000B7290">
        <w:rPr>
          <w:szCs w:val="14"/>
        </w:rPr>
        <w:tab/>
        <w:t>Water infrastructure in this table does not reference note 5.</w:t>
      </w:r>
      <w:r>
        <w:rPr>
          <w:szCs w:val="14"/>
        </w:rPr>
        <w:t>7</w:t>
      </w:r>
      <w:r w:rsidRPr="000B7290">
        <w:rPr>
          <w:szCs w:val="14"/>
        </w:rPr>
        <w:t xml:space="preserve"> as the information contained is not material to that table.</w:t>
      </w:r>
    </w:p>
    <w:p w14:paraId="48D40CC2" w14:textId="6A81DB3C" w:rsidR="004D42F9" w:rsidRPr="000B7290" w:rsidRDefault="004D42F9" w:rsidP="004D42F9">
      <w:pPr>
        <w:pStyle w:val="Note"/>
        <w:rPr>
          <w:szCs w:val="14"/>
        </w:rPr>
      </w:pPr>
      <w:r>
        <w:rPr>
          <w:szCs w:val="14"/>
        </w:rPr>
        <w:t xml:space="preserve">(j) </w:t>
      </w:r>
      <w:r>
        <w:rPr>
          <w:szCs w:val="14"/>
        </w:rPr>
        <w:tab/>
      </w:r>
      <w:r w:rsidRPr="000B7290">
        <w:rPr>
          <w:szCs w:val="14"/>
        </w:rPr>
        <w:t>For uncommissioned SCAs, the commitments include the capital component not yet recognised on the balance sheet (i.e. the amount relating to the asset which hasn</w:t>
      </w:r>
      <w:r w:rsidR="00845934">
        <w:rPr>
          <w:szCs w:val="14"/>
        </w:rPr>
        <w:t>’</w:t>
      </w:r>
      <w:r w:rsidRPr="000B7290">
        <w:rPr>
          <w:szCs w:val="14"/>
        </w:rPr>
        <w:t>t been constructed as yet), the State</w:t>
      </w:r>
      <w:r w:rsidR="00845934">
        <w:rPr>
          <w:szCs w:val="14"/>
        </w:rPr>
        <w:t>’</w:t>
      </w:r>
      <w:r w:rsidRPr="000B7290">
        <w:rPr>
          <w:szCs w:val="14"/>
        </w:rPr>
        <w:t>s future capital contributions as well as the operating and maintenance commitments.</w:t>
      </w:r>
    </w:p>
    <w:p w14:paraId="09FA5788" w14:textId="77777777" w:rsidR="004D42F9" w:rsidRPr="000B7290" w:rsidRDefault="004D42F9" w:rsidP="004D42F9">
      <w:pPr>
        <w:pStyle w:val="Note"/>
        <w:rPr>
          <w:szCs w:val="14"/>
        </w:rPr>
      </w:pPr>
      <w:r w:rsidRPr="000B7290">
        <w:rPr>
          <w:szCs w:val="14"/>
        </w:rPr>
        <w:t>(</w:t>
      </w:r>
      <w:r>
        <w:rPr>
          <w:szCs w:val="14"/>
        </w:rPr>
        <w:t>k</w:t>
      </w:r>
      <w:r w:rsidRPr="000B7290">
        <w:rPr>
          <w:szCs w:val="14"/>
        </w:rPr>
        <w:t>)</w:t>
      </w:r>
      <w:r w:rsidRPr="000B7290">
        <w:rPr>
          <w:szCs w:val="14"/>
        </w:rPr>
        <w:tab/>
      </w:r>
      <w:r w:rsidRPr="004903F2">
        <w:rPr>
          <w:szCs w:val="14"/>
        </w:rPr>
        <w:t>The 202</w:t>
      </w:r>
      <w:r>
        <w:rPr>
          <w:szCs w:val="14"/>
        </w:rPr>
        <w:t>3</w:t>
      </w:r>
      <w:r w:rsidRPr="004903F2">
        <w:rPr>
          <w:szCs w:val="14"/>
        </w:rPr>
        <w:t>-2</w:t>
      </w:r>
      <w:r>
        <w:rPr>
          <w:szCs w:val="14"/>
        </w:rPr>
        <w:t>4</w:t>
      </w:r>
      <w:r w:rsidRPr="004903F2">
        <w:rPr>
          <w:szCs w:val="14"/>
        </w:rPr>
        <w:t xml:space="preserve"> comparative figures have been restated to reflect more current information</w:t>
      </w:r>
      <w:r>
        <w:rPr>
          <w:szCs w:val="14"/>
        </w:rPr>
        <w:t>.</w:t>
      </w:r>
    </w:p>
    <w:p w14:paraId="63FCA2D8" w14:textId="77777777" w:rsidR="004D42F9" w:rsidRPr="000B7290" w:rsidRDefault="004D42F9" w:rsidP="004D42F9">
      <w:pPr>
        <w:pStyle w:val="Note"/>
        <w:rPr>
          <w:szCs w:val="14"/>
        </w:rPr>
      </w:pPr>
      <w:r w:rsidRPr="000B7290">
        <w:rPr>
          <w:szCs w:val="14"/>
        </w:rPr>
        <w:t>(</w:t>
      </w:r>
      <w:r>
        <w:rPr>
          <w:szCs w:val="14"/>
        </w:rPr>
        <w:t>l</w:t>
      </w:r>
      <w:r w:rsidRPr="000B7290">
        <w:rPr>
          <w:szCs w:val="14"/>
        </w:rPr>
        <w:t>)</w:t>
      </w:r>
      <w:r w:rsidRPr="000B7290">
        <w:rPr>
          <w:szCs w:val="14"/>
        </w:rPr>
        <w:tab/>
        <w:t>The Homes Victoria Ground Lease Model Project 1 phase 1 refers to social housing dwellings at Brighton, Flemington and Prahran built under a commissioned Hybrid (Financial Liability/GORTO) arrangement.</w:t>
      </w:r>
    </w:p>
    <w:p w14:paraId="6E001946" w14:textId="77777777" w:rsidR="004D42F9" w:rsidRDefault="004D42F9" w:rsidP="004D42F9">
      <w:pPr>
        <w:pStyle w:val="Note"/>
        <w:rPr>
          <w:sz w:val="12"/>
          <w:szCs w:val="12"/>
        </w:rPr>
      </w:pPr>
      <w:r w:rsidRPr="000B7290">
        <w:rPr>
          <w:szCs w:val="14"/>
        </w:rPr>
        <w:t>(m)</w:t>
      </w:r>
      <w:r w:rsidRPr="000B7290">
        <w:rPr>
          <w:szCs w:val="14"/>
        </w:rPr>
        <w:tab/>
        <w:t>Service contracts in this table refer to SCAs that do not meet the definition of Financial Liability, GORTO or Hybrid arrangement models.</w:t>
      </w:r>
    </w:p>
    <w:p w14:paraId="14D68659" w14:textId="77777777" w:rsidR="004D42F9" w:rsidRDefault="004D42F9" w:rsidP="004D42F9">
      <w:pPr>
        <w:pStyle w:val="Note"/>
        <w:ind w:left="0" w:firstLine="0"/>
        <w:rPr>
          <w:sz w:val="12"/>
          <w:szCs w:val="12"/>
        </w:rPr>
      </w:pPr>
    </w:p>
    <w:p w14:paraId="04ECB7D0" w14:textId="77777777" w:rsidR="004D42F9" w:rsidRPr="00591287" w:rsidRDefault="004D42F9" w:rsidP="004D42F9">
      <w:pPr>
        <w:pStyle w:val="Note"/>
        <w:ind w:left="0" w:firstLine="0"/>
        <w:rPr>
          <w:sz w:val="12"/>
          <w:szCs w:val="12"/>
        </w:rPr>
        <w:sectPr w:rsidR="004D42F9" w:rsidRPr="00591287" w:rsidSect="004D42F9">
          <w:headerReference w:type="even" r:id="rId95"/>
          <w:headerReference w:type="default" r:id="rId96"/>
          <w:footerReference w:type="even" r:id="rId97"/>
          <w:footerReference w:type="default" r:id="rId98"/>
          <w:pgSz w:w="16839" w:h="11907" w:orient="landscape" w:code="9"/>
          <w:pgMar w:top="1134" w:right="1134" w:bottom="1134" w:left="1134" w:header="624" w:footer="567" w:gutter="0"/>
          <w:cols w:sep="1" w:space="567"/>
          <w:docGrid w:linePitch="360"/>
        </w:sectPr>
      </w:pPr>
    </w:p>
    <w:p w14:paraId="085451E0" w14:textId="77777777" w:rsidR="004D42F9" w:rsidRDefault="004D42F9" w:rsidP="004D42F9">
      <w:pPr>
        <w:pStyle w:val="Heading2"/>
        <w:spacing w:before="0"/>
      </w:pPr>
      <w:bookmarkStart w:id="108" w:name="_Toc209481767"/>
      <w:r>
        <w:lastRenderedPageBreak/>
        <w:t>5.8</w:t>
      </w:r>
      <w:r>
        <w:tab/>
        <w:t>Commitments for future expenditure</w:t>
      </w:r>
      <w:bookmarkEnd w:id="107"/>
      <w:bookmarkEnd w:id="108"/>
    </w:p>
    <w:p w14:paraId="6A8B740A" w14:textId="77777777" w:rsidR="00ED5429" w:rsidRDefault="00ED5429" w:rsidP="004D42F9">
      <w:pPr>
        <w:sectPr w:rsidR="00ED5429" w:rsidSect="009D33A8">
          <w:headerReference w:type="even" r:id="rId99"/>
          <w:headerReference w:type="default" r:id="rId100"/>
          <w:footerReference w:type="even" r:id="rId101"/>
          <w:footerReference w:type="default" r:id="rId102"/>
          <w:pgSz w:w="11906" w:h="16838" w:code="9"/>
          <w:pgMar w:top="1134" w:right="1134" w:bottom="1134" w:left="1134" w:header="624" w:footer="567" w:gutter="0"/>
          <w:cols w:space="708"/>
          <w:docGrid w:linePitch="360"/>
        </w:sectPr>
      </w:pPr>
    </w:p>
    <w:p w14:paraId="25D5B167" w14:textId="77777777" w:rsidR="004D42F9" w:rsidRDefault="004D42F9" w:rsidP="004D42F9">
      <w:r>
        <w:t>Commitments for future expenditure include operating and capital commitments arising from contracts. Commitments recognised under SCA arrangements are not included in this section. Please refer to Note 5.7 for further detail on these.</w:t>
      </w:r>
    </w:p>
    <w:p w14:paraId="12038AA5" w14:textId="77777777" w:rsidR="004D42F9" w:rsidRDefault="004D42F9" w:rsidP="004D42F9">
      <w:r>
        <w:t xml:space="preserve">These commitments are disclosed at their nominal value and are inclusive of the GST payable. </w:t>
      </w:r>
    </w:p>
    <w:p w14:paraId="2CEAA7B2" w14:textId="77777777" w:rsidR="004D42F9" w:rsidRDefault="004D42F9" w:rsidP="004D42F9">
      <w:r>
        <w:t xml:space="preserve">These future expenditures cease to be disclosed as commitments once the related liabilities are recognised in the consolidated balance sheet. </w:t>
      </w:r>
    </w:p>
    <w:p w14:paraId="02EF8558" w14:textId="77777777" w:rsidR="00ED5429" w:rsidRDefault="00ED5429" w:rsidP="004D42F9">
      <w:pPr>
        <w:pStyle w:val="TableHeading"/>
        <w:sectPr w:rsidR="00ED5429" w:rsidSect="00ED5429">
          <w:type w:val="continuous"/>
          <w:pgSz w:w="11906" w:h="16838" w:code="9"/>
          <w:pgMar w:top="1134" w:right="1134" w:bottom="1134" w:left="1134" w:header="624" w:footer="567" w:gutter="0"/>
          <w:cols w:num="2" w:space="708"/>
          <w:docGrid w:linePitch="360"/>
        </w:sectPr>
      </w:pPr>
    </w:p>
    <w:p w14:paraId="362A4E97" w14:textId="77777777" w:rsidR="00ED5429" w:rsidRDefault="00ED5429" w:rsidP="004D42F9">
      <w:pPr>
        <w:pStyle w:val="TableHeading"/>
      </w:pPr>
    </w:p>
    <w:p w14:paraId="413023A4" w14:textId="3DE931DA" w:rsidR="004D42F9" w:rsidRDefault="004D42F9" w:rsidP="004D42F9">
      <w:pPr>
        <w:pStyle w:val="TableHeading"/>
      </w:pPr>
      <w:r>
        <w:t xml:space="preserve">Commitments for future expenditure </w:t>
      </w:r>
      <w:r w:rsidRPr="007D0A1D">
        <w:rPr>
          <w:vertAlign w:val="superscript"/>
        </w:rPr>
        <w:t>(a)</w:t>
      </w:r>
      <w:r>
        <w:tab/>
        <w:t>($ million)</w:t>
      </w:r>
    </w:p>
    <w:tbl>
      <w:tblPr>
        <w:tblStyle w:val="DTFTableNumeric"/>
        <w:tblW w:w="9498" w:type="dxa"/>
        <w:tblLayout w:type="fixed"/>
        <w:tblLook w:val="06A0" w:firstRow="1" w:lastRow="0" w:firstColumn="1" w:lastColumn="0" w:noHBand="1" w:noVBand="1"/>
        <w:tblDescription w:val="Type:DtfTable|Workbook:https://vicgov.sharepoint.com/sites/VG002733/Annual Financial Report/CRA Coordination/Financial Statements/Manual Reports/Commitments/Link_Commitments.xlsx|Table:Future_Commitments"/>
      </w:tblPr>
      <w:tblGrid>
        <w:gridCol w:w="5954"/>
        <w:gridCol w:w="921"/>
        <w:gridCol w:w="921"/>
        <w:gridCol w:w="921"/>
        <w:gridCol w:w="781"/>
      </w:tblGrid>
      <w:tr w:rsidR="004D42F9" w14:paraId="7AFBFCB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ED42B75" w14:textId="77777777" w:rsidR="004D42F9" w:rsidRDefault="004D42F9">
            <w:pPr>
              <w:keepNext/>
            </w:pPr>
          </w:p>
        </w:tc>
        <w:tc>
          <w:tcPr>
            <w:tcW w:w="1842" w:type="dxa"/>
            <w:gridSpan w:val="2"/>
          </w:tcPr>
          <w:p w14:paraId="5C942263"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702" w:type="dxa"/>
            <w:gridSpan w:val="2"/>
          </w:tcPr>
          <w:p w14:paraId="39F8059C"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268290F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301C2BBD" w14:textId="77777777" w:rsidR="004D42F9" w:rsidRDefault="004D42F9">
            <w:pPr>
              <w:keepNext/>
            </w:pPr>
            <w:r>
              <w:t>Nominal values</w:t>
            </w:r>
          </w:p>
        </w:tc>
        <w:tc>
          <w:tcPr>
            <w:tcW w:w="921" w:type="dxa"/>
          </w:tcPr>
          <w:p w14:paraId="43C6D158"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21" w:type="dxa"/>
          </w:tcPr>
          <w:p w14:paraId="3D59F51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21" w:type="dxa"/>
          </w:tcPr>
          <w:p w14:paraId="3F1C17D9"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781" w:type="dxa"/>
          </w:tcPr>
          <w:p w14:paraId="33CBA4EB"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2548B118" w14:textId="77777777">
        <w:tc>
          <w:tcPr>
            <w:cnfStyle w:val="001000000000" w:firstRow="0" w:lastRow="0" w:firstColumn="1" w:lastColumn="0" w:oddVBand="0" w:evenVBand="0" w:oddHBand="0" w:evenHBand="0" w:firstRowFirstColumn="0" w:firstRowLastColumn="0" w:lastRowFirstColumn="0" w:lastRowLastColumn="0"/>
            <w:tcW w:w="5954" w:type="dxa"/>
          </w:tcPr>
          <w:p w14:paraId="7A00BD34" w14:textId="77777777" w:rsidR="004D42F9" w:rsidRDefault="004D42F9">
            <w:r>
              <w:rPr>
                <w:b/>
              </w:rPr>
              <w:t>Capital expenditure commitments</w:t>
            </w:r>
          </w:p>
        </w:tc>
        <w:tc>
          <w:tcPr>
            <w:tcW w:w="921" w:type="dxa"/>
          </w:tcPr>
          <w:p w14:paraId="096773C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60D20EFB"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7595A40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781" w:type="dxa"/>
          </w:tcPr>
          <w:p w14:paraId="08C26927"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6F4297E" w14:textId="77777777">
        <w:tc>
          <w:tcPr>
            <w:cnfStyle w:val="001000000000" w:firstRow="0" w:lastRow="0" w:firstColumn="1" w:lastColumn="0" w:oddVBand="0" w:evenVBand="0" w:oddHBand="0" w:evenHBand="0" w:firstRowFirstColumn="0" w:firstRowLastColumn="0" w:lastRowFirstColumn="0" w:lastRowLastColumn="0"/>
            <w:tcW w:w="5954" w:type="dxa"/>
          </w:tcPr>
          <w:p w14:paraId="70BEBAD6" w14:textId="77777777" w:rsidR="004D42F9" w:rsidRDefault="004D42F9">
            <w:r>
              <w:t>Land and buildings</w:t>
            </w:r>
            <w:r>
              <w:rPr>
                <w:vertAlign w:val="superscript"/>
              </w:rPr>
              <w:t xml:space="preserve"> (b)(c)</w:t>
            </w:r>
          </w:p>
        </w:tc>
        <w:tc>
          <w:tcPr>
            <w:tcW w:w="921" w:type="dxa"/>
          </w:tcPr>
          <w:p w14:paraId="60128AC4" w14:textId="77777777" w:rsidR="004D42F9" w:rsidRDefault="004D42F9">
            <w:pPr>
              <w:cnfStyle w:val="000000000000" w:firstRow="0" w:lastRow="0" w:firstColumn="0" w:lastColumn="0" w:oddVBand="0" w:evenVBand="0" w:oddHBand="0" w:evenHBand="0" w:firstRowFirstColumn="0" w:firstRowLastColumn="0" w:lastRowFirstColumn="0" w:lastRowLastColumn="0"/>
            </w:pPr>
            <w:r>
              <w:t>7 965</w:t>
            </w:r>
          </w:p>
        </w:tc>
        <w:tc>
          <w:tcPr>
            <w:tcW w:w="921" w:type="dxa"/>
          </w:tcPr>
          <w:p w14:paraId="4262781D" w14:textId="77777777" w:rsidR="004D42F9" w:rsidRDefault="004D42F9">
            <w:pPr>
              <w:cnfStyle w:val="000000000000" w:firstRow="0" w:lastRow="0" w:firstColumn="0" w:lastColumn="0" w:oddVBand="0" w:evenVBand="0" w:oddHBand="0" w:evenHBand="0" w:firstRowFirstColumn="0" w:firstRowLastColumn="0" w:lastRowFirstColumn="0" w:lastRowLastColumn="0"/>
            </w:pPr>
            <w:r>
              <w:t>7 523</w:t>
            </w:r>
          </w:p>
        </w:tc>
        <w:tc>
          <w:tcPr>
            <w:tcW w:w="921" w:type="dxa"/>
          </w:tcPr>
          <w:p w14:paraId="56A6D47D" w14:textId="77777777" w:rsidR="004D42F9" w:rsidRDefault="004D42F9">
            <w:pPr>
              <w:cnfStyle w:val="000000000000" w:firstRow="0" w:lastRow="0" w:firstColumn="0" w:lastColumn="0" w:oddVBand="0" w:evenVBand="0" w:oddHBand="0" w:evenHBand="0" w:firstRowFirstColumn="0" w:firstRowLastColumn="0" w:lastRowFirstColumn="0" w:lastRowLastColumn="0"/>
            </w:pPr>
            <w:r>
              <w:t>7 621</w:t>
            </w:r>
          </w:p>
        </w:tc>
        <w:tc>
          <w:tcPr>
            <w:tcW w:w="781" w:type="dxa"/>
          </w:tcPr>
          <w:p w14:paraId="5932A516" w14:textId="77777777" w:rsidR="004D42F9" w:rsidRDefault="004D42F9">
            <w:pPr>
              <w:cnfStyle w:val="000000000000" w:firstRow="0" w:lastRow="0" w:firstColumn="0" w:lastColumn="0" w:oddVBand="0" w:evenVBand="0" w:oddHBand="0" w:evenHBand="0" w:firstRowFirstColumn="0" w:firstRowLastColumn="0" w:lastRowFirstColumn="0" w:lastRowLastColumn="0"/>
            </w:pPr>
            <w:r>
              <w:t>7 258</w:t>
            </w:r>
          </w:p>
        </w:tc>
      </w:tr>
      <w:tr w:rsidR="004D42F9" w14:paraId="6A54A365" w14:textId="77777777">
        <w:tc>
          <w:tcPr>
            <w:cnfStyle w:val="001000000000" w:firstRow="0" w:lastRow="0" w:firstColumn="1" w:lastColumn="0" w:oddVBand="0" w:evenVBand="0" w:oddHBand="0" w:evenHBand="0" w:firstRowFirstColumn="0" w:firstRowLastColumn="0" w:lastRowFirstColumn="0" w:lastRowLastColumn="0"/>
            <w:tcW w:w="5954" w:type="dxa"/>
          </w:tcPr>
          <w:p w14:paraId="5FE87AD9" w14:textId="77777777" w:rsidR="004D42F9" w:rsidRDefault="004D42F9">
            <w:r>
              <w:t>Plant, equipment and vehicles</w:t>
            </w:r>
          </w:p>
        </w:tc>
        <w:tc>
          <w:tcPr>
            <w:tcW w:w="921" w:type="dxa"/>
          </w:tcPr>
          <w:p w14:paraId="74BDB9E2" w14:textId="77777777" w:rsidR="004D42F9" w:rsidRDefault="004D42F9">
            <w:pPr>
              <w:cnfStyle w:val="000000000000" w:firstRow="0" w:lastRow="0" w:firstColumn="0" w:lastColumn="0" w:oddVBand="0" w:evenVBand="0" w:oddHBand="0" w:evenHBand="0" w:firstRowFirstColumn="0" w:firstRowLastColumn="0" w:lastRowFirstColumn="0" w:lastRowLastColumn="0"/>
            </w:pPr>
            <w:r>
              <w:t>701</w:t>
            </w:r>
          </w:p>
        </w:tc>
        <w:tc>
          <w:tcPr>
            <w:tcW w:w="921" w:type="dxa"/>
          </w:tcPr>
          <w:p w14:paraId="2D911840" w14:textId="77777777" w:rsidR="004D42F9" w:rsidRDefault="004D42F9">
            <w:pPr>
              <w:cnfStyle w:val="000000000000" w:firstRow="0" w:lastRow="0" w:firstColumn="0" w:lastColumn="0" w:oddVBand="0" w:evenVBand="0" w:oddHBand="0" w:evenHBand="0" w:firstRowFirstColumn="0" w:firstRowLastColumn="0" w:lastRowFirstColumn="0" w:lastRowLastColumn="0"/>
            </w:pPr>
            <w:r>
              <w:t>438</w:t>
            </w:r>
          </w:p>
        </w:tc>
        <w:tc>
          <w:tcPr>
            <w:tcW w:w="921" w:type="dxa"/>
          </w:tcPr>
          <w:p w14:paraId="325C208C" w14:textId="77777777" w:rsidR="004D42F9" w:rsidRDefault="004D42F9">
            <w:pPr>
              <w:cnfStyle w:val="000000000000" w:firstRow="0" w:lastRow="0" w:firstColumn="0" w:lastColumn="0" w:oddVBand="0" w:evenVBand="0" w:oddHBand="0" w:evenHBand="0" w:firstRowFirstColumn="0" w:firstRowLastColumn="0" w:lastRowFirstColumn="0" w:lastRowLastColumn="0"/>
            </w:pPr>
            <w:r>
              <w:t>455</w:t>
            </w:r>
          </w:p>
        </w:tc>
        <w:tc>
          <w:tcPr>
            <w:tcW w:w="781" w:type="dxa"/>
          </w:tcPr>
          <w:p w14:paraId="135977C6" w14:textId="77777777" w:rsidR="004D42F9" w:rsidRDefault="004D42F9">
            <w:pPr>
              <w:cnfStyle w:val="000000000000" w:firstRow="0" w:lastRow="0" w:firstColumn="0" w:lastColumn="0" w:oddVBand="0" w:evenVBand="0" w:oddHBand="0" w:evenHBand="0" w:firstRowFirstColumn="0" w:firstRowLastColumn="0" w:lastRowFirstColumn="0" w:lastRowLastColumn="0"/>
            </w:pPr>
            <w:r>
              <w:t>381</w:t>
            </w:r>
          </w:p>
        </w:tc>
      </w:tr>
      <w:tr w:rsidR="004D42F9" w14:paraId="154CAEF1" w14:textId="77777777">
        <w:tc>
          <w:tcPr>
            <w:cnfStyle w:val="001000000000" w:firstRow="0" w:lastRow="0" w:firstColumn="1" w:lastColumn="0" w:oddVBand="0" w:evenVBand="0" w:oddHBand="0" w:evenHBand="0" w:firstRowFirstColumn="0" w:firstRowLastColumn="0" w:lastRowFirstColumn="0" w:lastRowLastColumn="0"/>
            <w:tcW w:w="5954" w:type="dxa"/>
          </w:tcPr>
          <w:p w14:paraId="4C0D49EF" w14:textId="77777777" w:rsidR="004D42F9" w:rsidRDefault="004D42F9">
            <w:r>
              <w:t>Infrastructure</w:t>
            </w:r>
          </w:p>
        </w:tc>
        <w:tc>
          <w:tcPr>
            <w:tcW w:w="921" w:type="dxa"/>
          </w:tcPr>
          <w:p w14:paraId="34DA3369" w14:textId="77777777" w:rsidR="004D42F9" w:rsidRDefault="004D42F9">
            <w:pPr>
              <w:cnfStyle w:val="000000000000" w:firstRow="0" w:lastRow="0" w:firstColumn="0" w:lastColumn="0" w:oddVBand="0" w:evenVBand="0" w:oddHBand="0" w:evenHBand="0" w:firstRowFirstColumn="0" w:firstRowLastColumn="0" w:lastRowFirstColumn="0" w:lastRowLastColumn="0"/>
            </w:pPr>
            <w:r>
              <w:t>13 605</w:t>
            </w:r>
          </w:p>
        </w:tc>
        <w:tc>
          <w:tcPr>
            <w:tcW w:w="921" w:type="dxa"/>
          </w:tcPr>
          <w:p w14:paraId="31F317F7" w14:textId="77777777" w:rsidR="004D42F9" w:rsidRDefault="004D42F9">
            <w:pPr>
              <w:cnfStyle w:val="000000000000" w:firstRow="0" w:lastRow="0" w:firstColumn="0" w:lastColumn="0" w:oddVBand="0" w:evenVBand="0" w:oddHBand="0" w:evenHBand="0" w:firstRowFirstColumn="0" w:firstRowLastColumn="0" w:lastRowFirstColumn="0" w:lastRowLastColumn="0"/>
            </w:pPr>
            <w:r>
              <w:t>12 819</w:t>
            </w:r>
          </w:p>
        </w:tc>
        <w:tc>
          <w:tcPr>
            <w:tcW w:w="921" w:type="dxa"/>
          </w:tcPr>
          <w:p w14:paraId="55EB29E2" w14:textId="77777777" w:rsidR="004D42F9" w:rsidRDefault="004D42F9">
            <w:pPr>
              <w:cnfStyle w:val="000000000000" w:firstRow="0" w:lastRow="0" w:firstColumn="0" w:lastColumn="0" w:oddVBand="0" w:evenVBand="0" w:oddHBand="0" w:evenHBand="0" w:firstRowFirstColumn="0" w:firstRowLastColumn="0" w:lastRowFirstColumn="0" w:lastRowLastColumn="0"/>
            </w:pPr>
            <w:r>
              <w:t>11 179</w:t>
            </w:r>
          </w:p>
        </w:tc>
        <w:tc>
          <w:tcPr>
            <w:tcW w:w="781" w:type="dxa"/>
          </w:tcPr>
          <w:p w14:paraId="39B2A40F" w14:textId="77777777" w:rsidR="004D42F9" w:rsidRDefault="004D42F9">
            <w:pPr>
              <w:cnfStyle w:val="000000000000" w:firstRow="0" w:lastRow="0" w:firstColumn="0" w:lastColumn="0" w:oddVBand="0" w:evenVBand="0" w:oddHBand="0" w:evenHBand="0" w:firstRowFirstColumn="0" w:firstRowLastColumn="0" w:lastRowFirstColumn="0" w:lastRowLastColumn="0"/>
            </w:pPr>
            <w:r>
              <w:t>10 503</w:t>
            </w:r>
          </w:p>
        </w:tc>
      </w:tr>
      <w:tr w:rsidR="004D42F9" w14:paraId="205697DF" w14:textId="77777777">
        <w:tc>
          <w:tcPr>
            <w:cnfStyle w:val="001000000000" w:firstRow="0" w:lastRow="0" w:firstColumn="1" w:lastColumn="0" w:oddVBand="0" w:evenVBand="0" w:oddHBand="0" w:evenHBand="0" w:firstRowFirstColumn="0" w:firstRowLastColumn="0" w:lastRowFirstColumn="0" w:lastRowLastColumn="0"/>
            <w:tcW w:w="5954" w:type="dxa"/>
          </w:tcPr>
          <w:p w14:paraId="39DFFEB6" w14:textId="77777777" w:rsidR="004D42F9" w:rsidRDefault="004D42F9">
            <w:r>
              <w:t>Road networks and earthworks</w:t>
            </w:r>
          </w:p>
        </w:tc>
        <w:tc>
          <w:tcPr>
            <w:tcW w:w="921" w:type="dxa"/>
          </w:tcPr>
          <w:p w14:paraId="613B5791" w14:textId="77777777" w:rsidR="004D42F9" w:rsidRDefault="004D42F9">
            <w:pPr>
              <w:cnfStyle w:val="000000000000" w:firstRow="0" w:lastRow="0" w:firstColumn="0" w:lastColumn="0" w:oddVBand="0" w:evenVBand="0" w:oddHBand="0" w:evenHBand="0" w:firstRowFirstColumn="0" w:firstRowLastColumn="0" w:lastRowFirstColumn="0" w:lastRowLastColumn="0"/>
            </w:pPr>
            <w:r>
              <w:t>7 813</w:t>
            </w:r>
          </w:p>
        </w:tc>
        <w:tc>
          <w:tcPr>
            <w:tcW w:w="921" w:type="dxa"/>
          </w:tcPr>
          <w:p w14:paraId="3C9B5282" w14:textId="77777777" w:rsidR="004D42F9" w:rsidRDefault="004D42F9">
            <w:pPr>
              <w:cnfStyle w:val="000000000000" w:firstRow="0" w:lastRow="0" w:firstColumn="0" w:lastColumn="0" w:oddVBand="0" w:evenVBand="0" w:oddHBand="0" w:evenHBand="0" w:firstRowFirstColumn="0" w:firstRowLastColumn="0" w:lastRowFirstColumn="0" w:lastRowLastColumn="0"/>
            </w:pPr>
            <w:r>
              <w:t>7 578</w:t>
            </w:r>
          </w:p>
        </w:tc>
        <w:tc>
          <w:tcPr>
            <w:tcW w:w="921" w:type="dxa"/>
          </w:tcPr>
          <w:p w14:paraId="2DB9103B" w14:textId="77777777" w:rsidR="004D42F9" w:rsidRDefault="004D42F9">
            <w:pPr>
              <w:cnfStyle w:val="000000000000" w:firstRow="0" w:lastRow="0" w:firstColumn="0" w:lastColumn="0" w:oddVBand="0" w:evenVBand="0" w:oddHBand="0" w:evenHBand="0" w:firstRowFirstColumn="0" w:firstRowLastColumn="0" w:lastRowFirstColumn="0" w:lastRowLastColumn="0"/>
            </w:pPr>
            <w:r>
              <w:t>7 814</w:t>
            </w:r>
          </w:p>
        </w:tc>
        <w:tc>
          <w:tcPr>
            <w:tcW w:w="781" w:type="dxa"/>
          </w:tcPr>
          <w:p w14:paraId="2FB07A75" w14:textId="77777777" w:rsidR="004D42F9" w:rsidRDefault="004D42F9">
            <w:pPr>
              <w:cnfStyle w:val="000000000000" w:firstRow="0" w:lastRow="0" w:firstColumn="0" w:lastColumn="0" w:oddVBand="0" w:evenVBand="0" w:oddHBand="0" w:evenHBand="0" w:firstRowFirstColumn="0" w:firstRowLastColumn="0" w:lastRowFirstColumn="0" w:lastRowLastColumn="0"/>
            </w:pPr>
            <w:r>
              <w:t>7 576</w:t>
            </w:r>
          </w:p>
        </w:tc>
      </w:tr>
      <w:tr w:rsidR="004D42F9" w14:paraId="65BCEA25"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50D16C9" w14:textId="77777777" w:rsidR="004D42F9" w:rsidRDefault="004D42F9">
            <w:r>
              <w:t xml:space="preserve">Other </w:t>
            </w:r>
            <w:r>
              <w:rPr>
                <w:vertAlign w:val="superscript"/>
              </w:rPr>
              <w:t>(c)</w:t>
            </w:r>
          </w:p>
        </w:tc>
        <w:tc>
          <w:tcPr>
            <w:tcW w:w="921" w:type="dxa"/>
            <w:tcBorders>
              <w:bottom w:val="single" w:sz="6" w:space="0" w:color="auto"/>
            </w:tcBorders>
          </w:tcPr>
          <w:p w14:paraId="522FEF84" w14:textId="77777777" w:rsidR="004D42F9" w:rsidRDefault="004D42F9">
            <w:pPr>
              <w:cnfStyle w:val="000000000000" w:firstRow="0" w:lastRow="0" w:firstColumn="0" w:lastColumn="0" w:oddVBand="0" w:evenVBand="0" w:oddHBand="0" w:evenHBand="0" w:firstRowFirstColumn="0" w:firstRowLastColumn="0" w:lastRowFirstColumn="0" w:lastRowLastColumn="0"/>
            </w:pPr>
            <w:r>
              <w:t>457</w:t>
            </w:r>
          </w:p>
        </w:tc>
        <w:tc>
          <w:tcPr>
            <w:tcW w:w="921" w:type="dxa"/>
            <w:tcBorders>
              <w:bottom w:val="single" w:sz="6" w:space="0" w:color="auto"/>
            </w:tcBorders>
          </w:tcPr>
          <w:p w14:paraId="14047445" w14:textId="77777777" w:rsidR="004D42F9" w:rsidRDefault="004D42F9">
            <w:pPr>
              <w:cnfStyle w:val="000000000000" w:firstRow="0" w:lastRow="0" w:firstColumn="0" w:lastColumn="0" w:oddVBand="0" w:evenVBand="0" w:oddHBand="0" w:evenHBand="0" w:firstRowFirstColumn="0" w:firstRowLastColumn="0" w:lastRowFirstColumn="0" w:lastRowLastColumn="0"/>
            </w:pPr>
            <w:r>
              <w:t>475</w:t>
            </w:r>
          </w:p>
        </w:tc>
        <w:tc>
          <w:tcPr>
            <w:tcW w:w="921" w:type="dxa"/>
            <w:tcBorders>
              <w:bottom w:val="single" w:sz="6" w:space="0" w:color="auto"/>
            </w:tcBorders>
          </w:tcPr>
          <w:p w14:paraId="09ED4254" w14:textId="77777777" w:rsidR="004D42F9" w:rsidRDefault="004D42F9">
            <w:pPr>
              <w:cnfStyle w:val="000000000000" w:firstRow="0" w:lastRow="0" w:firstColumn="0" w:lastColumn="0" w:oddVBand="0" w:evenVBand="0" w:oddHBand="0" w:evenHBand="0" w:firstRowFirstColumn="0" w:firstRowLastColumn="0" w:lastRowFirstColumn="0" w:lastRowLastColumn="0"/>
            </w:pPr>
            <w:r>
              <w:t>295</w:t>
            </w:r>
          </w:p>
        </w:tc>
        <w:tc>
          <w:tcPr>
            <w:tcW w:w="781" w:type="dxa"/>
            <w:tcBorders>
              <w:bottom w:val="single" w:sz="6" w:space="0" w:color="auto"/>
            </w:tcBorders>
          </w:tcPr>
          <w:p w14:paraId="6E163A06" w14:textId="77777777" w:rsidR="004D42F9" w:rsidRDefault="004D42F9">
            <w:pPr>
              <w:cnfStyle w:val="000000000000" w:firstRow="0" w:lastRow="0" w:firstColumn="0" w:lastColumn="0" w:oddVBand="0" w:evenVBand="0" w:oddHBand="0" w:evenHBand="0" w:firstRowFirstColumn="0" w:firstRowLastColumn="0" w:lastRowFirstColumn="0" w:lastRowLastColumn="0"/>
            </w:pPr>
            <w:r>
              <w:t>421</w:t>
            </w:r>
          </w:p>
        </w:tc>
      </w:tr>
      <w:tr w:rsidR="004D42F9" w14:paraId="37008F60"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1B6F71EC" w14:textId="77777777" w:rsidR="004D42F9" w:rsidRDefault="004D42F9">
            <w:r>
              <w:rPr>
                <w:b/>
              </w:rPr>
              <w:t xml:space="preserve">Total capital expenditure commitments </w:t>
            </w:r>
            <w:r>
              <w:rPr>
                <w:b/>
                <w:vertAlign w:val="superscript"/>
              </w:rPr>
              <w:t>(c)</w:t>
            </w:r>
          </w:p>
        </w:tc>
        <w:tc>
          <w:tcPr>
            <w:tcW w:w="921" w:type="dxa"/>
            <w:tcBorders>
              <w:top w:val="single" w:sz="6" w:space="0" w:color="auto"/>
              <w:bottom w:val="single" w:sz="6" w:space="0" w:color="auto"/>
            </w:tcBorders>
          </w:tcPr>
          <w:p w14:paraId="1D72347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30 541</w:t>
            </w:r>
          </w:p>
        </w:tc>
        <w:tc>
          <w:tcPr>
            <w:tcW w:w="921" w:type="dxa"/>
            <w:tcBorders>
              <w:top w:val="single" w:sz="6" w:space="0" w:color="auto"/>
              <w:bottom w:val="single" w:sz="6" w:space="0" w:color="auto"/>
            </w:tcBorders>
          </w:tcPr>
          <w:p w14:paraId="415388E1"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28 833</w:t>
            </w:r>
          </w:p>
        </w:tc>
        <w:tc>
          <w:tcPr>
            <w:tcW w:w="921" w:type="dxa"/>
            <w:tcBorders>
              <w:top w:val="single" w:sz="6" w:space="0" w:color="auto"/>
              <w:bottom w:val="single" w:sz="6" w:space="0" w:color="auto"/>
            </w:tcBorders>
          </w:tcPr>
          <w:p w14:paraId="3CB6FCCD"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27 364</w:t>
            </w:r>
          </w:p>
        </w:tc>
        <w:tc>
          <w:tcPr>
            <w:tcW w:w="781" w:type="dxa"/>
            <w:tcBorders>
              <w:top w:val="single" w:sz="6" w:space="0" w:color="auto"/>
              <w:bottom w:val="single" w:sz="6" w:space="0" w:color="auto"/>
            </w:tcBorders>
          </w:tcPr>
          <w:p w14:paraId="530D0EE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26 139</w:t>
            </w:r>
          </w:p>
        </w:tc>
      </w:tr>
      <w:tr w:rsidR="004D42F9" w14:paraId="47C133C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2B893436" w14:textId="77777777" w:rsidR="004D42F9" w:rsidRDefault="004D42F9"/>
        </w:tc>
        <w:tc>
          <w:tcPr>
            <w:tcW w:w="921" w:type="dxa"/>
            <w:tcBorders>
              <w:top w:val="single" w:sz="6" w:space="0" w:color="auto"/>
            </w:tcBorders>
          </w:tcPr>
          <w:p w14:paraId="49A4C96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51CEEFF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0AD9EE5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65995E3D"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109ECD6" w14:textId="77777777">
        <w:tc>
          <w:tcPr>
            <w:cnfStyle w:val="001000000000" w:firstRow="0" w:lastRow="0" w:firstColumn="1" w:lastColumn="0" w:oddVBand="0" w:evenVBand="0" w:oddHBand="0" w:evenHBand="0" w:firstRowFirstColumn="0" w:firstRowLastColumn="0" w:lastRowFirstColumn="0" w:lastRowLastColumn="0"/>
            <w:tcW w:w="5954" w:type="dxa"/>
          </w:tcPr>
          <w:p w14:paraId="59ED6A62" w14:textId="77777777" w:rsidR="004D42F9" w:rsidRDefault="004D42F9">
            <w:r>
              <w:rPr>
                <w:b/>
              </w:rPr>
              <w:t>Service and lease commitments not included in the lease liability</w:t>
            </w:r>
          </w:p>
        </w:tc>
        <w:tc>
          <w:tcPr>
            <w:tcW w:w="921" w:type="dxa"/>
          </w:tcPr>
          <w:p w14:paraId="041717C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04F90A6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6110358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781" w:type="dxa"/>
          </w:tcPr>
          <w:p w14:paraId="45E36E4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40239D33" w14:textId="77777777">
        <w:tc>
          <w:tcPr>
            <w:cnfStyle w:val="001000000000" w:firstRow="0" w:lastRow="0" w:firstColumn="1" w:lastColumn="0" w:oddVBand="0" w:evenVBand="0" w:oddHBand="0" w:evenHBand="0" w:firstRowFirstColumn="0" w:firstRowLastColumn="0" w:lastRowFirstColumn="0" w:lastRowLastColumn="0"/>
            <w:tcW w:w="5954" w:type="dxa"/>
          </w:tcPr>
          <w:p w14:paraId="34CFA82F" w14:textId="77777777" w:rsidR="004D42F9" w:rsidRDefault="004D42F9">
            <w:r>
              <w:t>Rail services</w:t>
            </w:r>
          </w:p>
        </w:tc>
        <w:tc>
          <w:tcPr>
            <w:tcW w:w="921" w:type="dxa"/>
          </w:tcPr>
          <w:p w14:paraId="1D73CFC5" w14:textId="77777777" w:rsidR="004D42F9" w:rsidRDefault="004D42F9">
            <w:pPr>
              <w:cnfStyle w:val="000000000000" w:firstRow="0" w:lastRow="0" w:firstColumn="0" w:lastColumn="0" w:oddVBand="0" w:evenVBand="0" w:oddHBand="0" w:evenHBand="0" w:firstRowFirstColumn="0" w:firstRowLastColumn="0" w:lastRowFirstColumn="0" w:lastRowLastColumn="0"/>
            </w:pPr>
            <w:r>
              <w:t>3 782</w:t>
            </w:r>
          </w:p>
        </w:tc>
        <w:tc>
          <w:tcPr>
            <w:tcW w:w="921" w:type="dxa"/>
          </w:tcPr>
          <w:p w14:paraId="7EF670FC" w14:textId="77777777" w:rsidR="004D42F9" w:rsidRDefault="004D42F9">
            <w:pPr>
              <w:cnfStyle w:val="000000000000" w:firstRow="0" w:lastRow="0" w:firstColumn="0" w:lastColumn="0" w:oddVBand="0" w:evenVBand="0" w:oddHBand="0" w:evenHBand="0" w:firstRowFirstColumn="0" w:firstRowLastColumn="0" w:lastRowFirstColumn="0" w:lastRowLastColumn="0"/>
            </w:pPr>
            <w:r>
              <w:t>5 438</w:t>
            </w:r>
          </w:p>
        </w:tc>
        <w:tc>
          <w:tcPr>
            <w:tcW w:w="921" w:type="dxa"/>
          </w:tcPr>
          <w:p w14:paraId="4F596B22" w14:textId="77777777" w:rsidR="004D42F9" w:rsidRDefault="004D42F9">
            <w:pPr>
              <w:cnfStyle w:val="000000000000" w:firstRow="0" w:lastRow="0" w:firstColumn="0" w:lastColumn="0" w:oddVBand="0" w:evenVBand="0" w:oddHBand="0" w:evenHBand="0" w:firstRowFirstColumn="0" w:firstRowLastColumn="0" w:lastRowFirstColumn="0" w:lastRowLastColumn="0"/>
            </w:pPr>
            <w:r>
              <w:t>7 896</w:t>
            </w:r>
          </w:p>
        </w:tc>
        <w:tc>
          <w:tcPr>
            <w:tcW w:w="781" w:type="dxa"/>
          </w:tcPr>
          <w:p w14:paraId="346FCD4C" w14:textId="77777777" w:rsidR="004D42F9" w:rsidRDefault="004D42F9">
            <w:pPr>
              <w:cnfStyle w:val="000000000000" w:firstRow="0" w:lastRow="0" w:firstColumn="0" w:lastColumn="0" w:oddVBand="0" w:evenVBand="0" w:oddHBand="0" w:evenHBand="0" w:firstRowFirstColumn="0" w:firstRowLastColumn="0" w:lastRowFirstColumn="0" w:lastRowLastColumn="0"/>
            </w:pPr>
            <w:r>
              <w:t>6 339</w:t>
            </w:r>
          </w:p>
        </w:tc>
      </w:tr>
      <w:tr w:rsidR="004D42F9" w14:paraId="5AFB557F" w14:textId="77777777">
        <w:tc>
          <w:tcPr>
            <w:cnfStyle w:val="001000000000" w:firstRow="0" w:lastRow="0" w:firstColumn="1" w:lastColumn="0" w:oddVBand="0" w:evenVBand="0" w:oddHBand="0" w:evenHBand="0" w:firstRowFirstColumn="0" w:firstRowLastColumn="0" w:lastRowFirstColumn="0" w:lastRowLastColumn="0"/>
            <w:tcW w:w="5954" w:type="dxa"/>
          </w:tcPr>
          <w:p w14:paraId="31527709" w14:textId="77777777" w:rsidR="004D42F9" w:rsidRDefault="004D42F9">
            <w:r>
              <w:t>Bus services</w:t>
            </w:r>
          </w:p>
        </w:tc>
        <w:tc>
          <w:tcPr>
            <w:tcW w:w="921" w:type="dxa"/>
          </w:tcPr>
          <w:p w14:paraId="43AD4F03" w14:textId="77777777" w:rsidR="004D42F9" w:rsidRDefault="004D42F9">
            <w:pPr>
              <w:cnfStyle w:val="000000000000" w:firstRow="0" w:lastRow="0" w:firstColumn="0" w:lastColumn="0" w:oddVBand="0" w:evenVBand="0" w:oddHBand="0" w:evenHBand="0" w:firstRowFirstColumn="0" w:firstRowLastColumn="0" w:lastRowFirstColumn="0" w:lastRowLastColumn="0"/>
            </w:pPr>
            <w:r>
              <w:t>3 333</w:t>
            </w:r>
          </w:p>
        </w:tc>
        <w:tc>
          <w:tcPr>
            <w:tcW w:w="921" w:type="dxa"/>
          </w:tcPr>
          <w:p w14:paraId="6ABD0F83" w14:textId="77777777" w:rsidR="004D42F9" w:rsidRDefault="004D42F9">
            <w:pPr>
              <w:cnfStyle w:val="000000000000" w:firstRow="0" w:lastRow="0" w:firstColumn="0" w:lastColumn="0" w:oddVBand="0" w:evenVBand="0" w:oddHBand="0" w:evenHBand="0" w:firstRowFirstColumn="0" w:firstRowLastColumn="0" w:lastRowFirstColumn="0" w:lastRowLastColumn="0"/>
            </w:pPr>
            <w:r>
              <w:t>4 188</w:t>
            </w:r>
          </w:p>
        </w:tc>
        <w:tc>
          <w:tcPr>
            <w:tcW w:w="921" w:type="dxa"/>
          </w:tcPr>
          <w:p w14:paraId="7209043B" w14:textId="77777777" w:rsidR="004D42F9" w:rsidRDefault="004D42F9">
            <w:pPr>
              <w:cnfStyle w:val="000000000000" w:firstRow="0" w:lastRow="0" w:firstColumn="0" w:lastColumn="0" w:oddVBand="0" w:evenVBand="0" w:oddHBand="0" w:evenHBand="0" w:firstRowFirstColumn="0" w:firstRowLastColumn="0" w:lastRowFirstColumn="0" w:lastRowLastColumn="0"/>
            </w:pPr>
            <w:r>
              <w:t>2 925</w:t>
            </w:r>
          </w:p>
        </w:tc>
        <w:tc>
          <w:tcPr>
            <w:tcW w:w="781" w:type="dxa"/>
          </w:tcPr>
          <w:p w14:paraId="5EF43DFF" w14:textId="77777777" w:rsidR="004D42F9" w:rsidRDefault="004D42F9">
            <w:pPr>
              <w:cnfStyle w:val="000000000000" w:firstRow="0" w:lastRow="0" w:firstColumn="0" w:lastColumn="0" w:oddVBand="0" w:evenVBand="0" w:oddHBand="0" w:evenHBand="0" w:firstRowFirstColumn="0" w:firstRowLastColumn="0" w:lastRowFirstColumn="0" w:lastRowLastColumn="0"/>
            </w:pPr>
            <w:r>
              <w:t>3 728</w:t>
            </w:r>
          </w:p>
        </w:tc>
      </w:tr>
      <w:tr w:rsidR="004D42F9" w14:paraId="150DCF22"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70BDE9F" w14:textId="77777777" w:rsidR="004D42F9" w:rsidRDefault="004D42F9">
            <w:r>
              <w:t xml:space="preserve">Other </w:t>
            </w:r>
            <w:r>
              <w:rPr>
                <w:vertAlign w:val="superscript"/>
              </w:rPr>
              <w:t>(c)</w:t>
            </w:r>
          </w:p>
        </w:tc>
        <w:tc>
          <w:tcPr>
            <w:tcW w:w="921" w:type="dxa"/>
            <w:tcBorders>
              <w:bottom w:val="single" w:sz="6" w:space="0" w:color="auto"/>
            </w:tcBorders>
          </w:tcPr>
          <w:p w14:paraId="1D6872C6" w14:textId="77777777" w:rsidR="004D42F9" w:rsidRDefault="004D42F9">
            <w:pPr>
              <w:cnfStyle w:val="000000000000" w:firstRow="0" w:lastRow="0" w:firstColumn="0" w:lastColumn="0" w:oddVBand="0" w:evenVBand="0" w:oddHBand="0" w:evenHBand="0" w:firstRowFirstColumn="0" w:firstRowLastColumn="0" w:lastRowFirstColumn="0" w:lastRowLastColumn="0"/>
            </w:pPr>
            <w:r>
              <w:t>576</w:t>
            </w:r>
          </w:p>
        </w:tc>
        <w:tc>
          <w:tcPr>
            <w:tcW w:w="921" w:type="dxa"/>
            <w:tcBorders>
              <w:bottom w:val="single" w:sz="6" w:space="0" w:color="auto"/>
            </w:tcBorders>
          </w:tcPr>
          <w:p w14:paraId="4B07D6E4" w14:textId="77777777" w:rsidR="004D42F9" w:rsidRDefault="004D42F9">
            <w:pPr>
              <w:cnfStyle w:val="000000000000" w:firstRow="0" w:lastRow="0" w:firstColumn="0" w:lastColumn="0" w:oddVBand="0" w:evenVBand="0" w:oddHBand="0" w:evenHBand="0" w:firstRowFirstColumn="0" w:firstRowLastColumn="0" w:lastRowFirstColumn="0" w:lastRowLastColumn="0"/>
            </w:pPr>
            <w:r>
              <w:t>464</w:t>
            </w:r>
          </w:p>
        </w:tc>
        <w:tc>
          <w:tcPr>
            <w:tcW w:w="921" w:type="dxa"/>
            <w:tcBorders>
              <w:bottom w:val="single" w:sz="6" w:space="0" w:color="auto"/>
            </w:tcBorders>
          </w:tcPr>
          <w:p w14:paraId="06CBD52E" w14:textId="77777777" w:rsidR="004D42F9" w:rsidRDefault="004D42F9">
            <w:pPr>
              <w:cnfStyle w:val="000000000000" w:firstRow="0" w:lastRow="0" w:firstColumn="0" w:lastColumn="0" w:oddVBand="0" w:evenVBand="0" w:oddHBand="0" w:evenHBand="0" w:firstRowFirstColumn="0" w:firstRowLastColumn="0" w:lastRowFirstColumn="0" w:lastRowLastColumn="0"/>
            </w:pPr>
            <w:r>
              <w:t>580</w:t>
            </w:r>
          </w:p>
        </w:tc>
        <w:tc>
          <w:tcPr>
            <w:tcW w:w="781" w:type="dxa"/>
            <w:tcBorders>
              <w:bottom w:val="single" w:sz="6" w:space="0" w:color="auto"/>
            </w:tcBorders>
          </w:tcPr>
          <w:p w14:paraId="54BDEBD9" w14:textId="77777777" w:rsidR="004D42F9" w:rsidRDefault="004D42F9">
            <w:pPr>
              <w:cnfStyle w:val="000000000000" w:firstRow="0" w:lastRow="0" w:firstColumn="0" w:lastColumn="0" w:oddVBand="0" w:evenVBand="0" w:oddHBand="0" w:evenHBand="0" w:firstRowFirstColumn="0" w:firstRowLastColumn="0" w:lastRowFirstColumn="0" w:lastRowLastColumn="0"/>
            </w:pPr>
            <w:r>
              <w:t>465</w:t>
            </w:r>
          </w:p>
        </w:tc>
      </w:tr>
      <w:tr w:rsidR="004D42F9" w14:paraId="04853209"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4DD00306" w14:textId="77777777" w:rsidR="004D42F9" w:rsidRDefault="004D42F9">
            <w:r>
              <w:rPr>
                <w:b/>
              </w:rPr>
              <w:t>Total service and new short</w:t>
            </w:r>
            <w:r>
              <w:rPr>
                <w:b/>
              </w:rPr>
              <w:noBreakHyphen/>
              <w:t xml:space="preserve">term lease commitments </w:t>
            </w:r>
            <w:r>
              <w:rPr>
                <w:b/>
                <w:vertAlign w:val="superscript"/>
              </w:rPr>
              <w:t>(c)</w:t>
            </w:r>
          </w:p>
        </w:tc>
        <w:tc>
          <w:tcPr>
            <w:tcW w:w="921" w:type="dxa"/>
            <w:tcBorders>
              <w:top w:val="single" w:sz="6" w:space="0" w:color="auto"/>
              <w:bottom w:val="single" w:sz="6" w:space="0" w:color="auto"/>
            </w:tcBorders>
          </w:tcPr>
          <w:p w14:paraId="4010D57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7 691</w:t>
            </w:r>
          </w:p>
        </w:tc>
        <w:tc>
          <w:tcPr>
            <w:tcW w:w="921" w:type="dxa"/>
            <w:tcBorders>
              <w:top w:val="single" w:sz="6" w:space="0" w:color="auto"/>
              <w:bottom w:val="single" w:sz="6" w:space="0" w:color="auto"/>
            </w:tcBorders>
          </w:tcPr>
          <w:p w14:paraId="60D94F3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10 091</w:t>
            </w:r>
          </w:p>
        </w:tc>
        <w:tc>
          <w:tcPr>
            <w:tcW w:w="921" w:type="dxa"/>
            <w:tcBorders>
              <w:top w:val="single" w:sz="6" w:space="0" w:color="auto"/>
              <w:bottom w:val="single" w:sz="6" w:space="0" w:color="auto"/>
            </w:tcBorders>
          </w:tcPr>
          <w:p w14:paraId="0BC0611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11 401</w:t>
            </w:r>
          </w:p>
        </w:tc>
        <w:tc>
          <w:tcPr>
            <w:tcW w:w="781" w:type="dxa"/>
            <w:tcBorders>
              <w:top w:val="single" w:sz="6" w:space="0" w:color="auto"/>
              <w:bottom w:val="single" w:sz="6" w:space="0" w:color="auto"/>
            </w:tcBorders>
          </w:tcPr>
          <w:p w14:paraId="6E59C27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10 532</w:t>
            </w:r>
          </w:p>
        </w:tc>
      </w:tr>
      <w:tr w:rsidR="004D42F9" w14:paraId="37337392"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04DD33C1" w14:textId="77777777" w:rsidR="004D42F9" w:rsidRDefault="004D42F9"/>
        </w:tc>
        <w:tc>
          <w:tcPr>
            <w:tcW w:w="921" w:type="dxa"/>
            <w:tcBorders>
              <w:top w:val="single" w:sz="6" w:space="0" w:color="auto"/>
            </w:tcBorders>
          </w:tcPr>
          <w:p w14:paraId="3517143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5170003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Borders>
              <w:top w:val="single" w:sz="6" w:space="0" w:color="auto"/>
            </w:tcBorders>
          </w:tcPr>
          <w:p w14:paraId="50C4FD38"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781" w:type="dxa"/>
            <w:tcBorders>
              <w:top w:val="single" w:sz="6" w:space="0" w:color="auto"/>
            </w:tcBorders>
          </w:tcPr>
          <w:p w14:paraId="303332D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734D0501" w14:textId="77777777">
        <w:tc>
          <w:tcPr>
            <w:cnfStyle w:val="001000000000" w:firstRow="0" w:lastRow="0" w:firstColumn="1" w:lastColumn="0" w:oddVBand="0" w:evenVBand="0" w:oddHBand="0" w:evenHBand="0" w:firstRowFirstColumn="0" w:firstRowLastColumn="0" w:lastRowFirstColumn="0" w:lastRowLastColumn="0"/>
            <w:tcW w:w="5954" w:type="dxa"/>
          </w:tcPr>
          <w:p w14:paraId="4BE58AB8" w14:textId="77777777" w:rsidR="004D42F9" w:rsidRDefault="004D42F9">
            <w:r>
              <w:rPr>
                <w:b/>
              </w:rPr>
              <w:t>Other commitments</w:t>
            </w:r>
          </w:p>
        </w:tc>
        <w:tc>
          <w:tcPr>
            <w:tcW w:w="921" w:type="dxa"/>
          </w:tcPr>
          <w:p w14:paraId="40079726"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7E3E72A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21" w:type="dxa"/>
          </w:tcPr>
          <w:p w14:paraId="3CC084E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781" w:type="dxa"/>
          </w:tcPr>
          <w:p w14:paraId="40B8241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CF39FE6" w14:textId="77777777">
        <w:tc>
          <w:tcPr>
            <w:cnfStyle w:val="001000000000" w:firstRow="0" w:lastRow="0" w:firstColumn="1" w:lastColumn="0" w:oddVBand="0" w:evenVBand="0" w:oddHBand="0" w:evenHBand="0" w:firstRowFirstColumn="0" w:firstRowLastColumn="0" w:lastRowFirstColumn="0" w:lastRowLastColumn="0"/>
            <w:tcW w:w="5954" w:type="dxa"/>
          </w:tcPr>
          <w:p w14:paraId="6CC5ED39" w14:textId="77777777" w:rsidR="004D42F9" w:rsidRDefault="004D42F9">
            <w:r>
              <w:t>Capital investment commitments</w:t>
            </w:r>
          </w:p>
        </w:tc>
        <w:tc>
          <w:tcPr>
            <w:tcW w:w="921" w:type="dxa"/>
          </w:tcPr>
          <w:p w14:paraId="002A9946" w14:textId="77777777" w:rsidR="004D42F9" w:rsidRDefault="004D42F9">
            <w:pPr>
              <w:cnfStyle w:val="000000000000" w:firstRow="0" w:lastRow="0" w:firstColumn="0" w:lastColumn="0" w:oddVBand="0" w:evenVBand="0" w:oddHBand="0" w:evenHBand="0" w:firstRowFirstColumn="0" w:firstRowLastColumn="0" w:lastRowFirstColumn="0" w:lastRowLastColumn="0"/>
            </w:pPr>
            <w:r>
              <w:t>419</w:t>
            </w:r>
          </w:p>
        </w:tc>
        <w:tc>
          <w:tcPr>
            <w:tcW w:w="921" w:type="dxa"/>
          </w:tcPr>
          <w:p w14:paraId="7D46C5C1" w14:textId="77777777" w:rsidR="004D42F9" w:rsidRDefault="004D42F9">
            <w:pPr>
              <w:cnfStyle w:val="000000000000" w:firstRow="0" w:lastRow="0" w:firstColumn="0" w:lastColumn="0" w:oddVBand="0" w:evenVBand="0" w:oddHBand="0" w:evenHBand="0" w:firstRowFirstColumn="0" w:firstRowLastColumn="0" w:lastRowFirstColumn="0" w:lastRowLastColumn="0"/>
            </w:pPr>
            <w:r>
              <w:t>225</w:t>
            </w:r>
          </w:p>
        </w:tc>
        <w:tc>
          <w:tcPr>
            <w:tcW w:w="921" w:type="dxa"/>
          </w:tcPr>
          <w:p w14:paraId="1F1D6737"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460D72A3"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7A30CF3D" w14:textId="77777777">
        <w:tc>
          <w:tcPr>
            <w:cnfStyle w:val="001000000000" w:firstRow="0" w:lastRow="0" w:firstColumn="1" w:lastColumn="0" w:oddVBand="0" w:evenVBand="0" w:oddHBand="0" w:evenHBand="0" w:firstRowFirstColumn="0" w:firstRowLastColumn="0" w:lastRowFirstColumn="0" w:lastRowLastColumn="0"/>
            <w:tcW w:w="5954" w:type="dxa"/>
          </w:tcPr>
          <w:p w14:paraId="7949F55F" w14:textId="77777777" w:rsidR="004D42F9" w:rsidRDefault="004D42F9">
            <w:r>
              <w:t>Cladding Safety Victoria</w:t>
            </w:r>
          </w:p>
        </w:tc>
        <w:tc>
          <w:tcPr>
            <w:tcW w:w="921" w:type="dxa"/>
          </w:tcPr>
          <w:p w14:paraId="25572DE8"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921" w:type="dxa"/>
          </w:tcPr>
          <w:p w14:paraId="1C88E271" w14:textId="77777777" w:rsidR="004D42F9" w:rsidRDefault="004D42F9">
            <w:pPr>
              <w:cnfStyle w:val="000000000000" w:firstRow="0" w:lastRow="0" w:firstColumn="0" w:lastColumn="0" w:oddVBand="0" w:evenVBand="0" w:oddHBand="0" w:evenHBand="0" w:firstRowFirstColumn="0" w:firstRowLastColumn="0" w:lastRowFirstColumn="0" w:lastRowLastColumn="0"/>
            </w:pPr>
            <w:r>
              <w:t>51</w:t>
            </w:r>
          </w:p>
        </w:tc>
        <w:tc>
          <w:tcPr>
            <w:tcW w:w="921" w:type="dxa"/>
          </w:tcPr>
          <w:p w14:paraId="4A63D5A1" w14:textId="77777777" w:rsidR="004D42F9" w:rsidRDefault="004D42F9">
            <w:pPr>
              <w:cnfStyle w:val="000000000000" w:firstRow="0" w:lastRow="0" w:firstColumn="0" w:lastColumn="0" w:oddVBand="0" w:evenVBand="0" w:oddHBand="0" w:evenHBand="0" w:firstRowFirstColumn="0" w:firstRowLastColumn="0" w:lastRowFirstColumn="0" w:lastRowLastColumn="0"/>
            </w:pPr>
            <w:r>
              <w:t>35</w:t>
            </w:r>
          </w:p>
        </w:tc>
        <w:tc>
          <w:tcPr>
            <w:tcW w:w="781" w:type="dxa"/>
          </w:tcPr>
          <w:p w14:paraId="73074D63" w14:textId="77777777" w:rsidR="004D42F9" w:rsidRDefault="004D42F9">
            <w:pPr>
              <w:cnfStyle w:val="000000000000" w:firstRow="0" w:lastRow="0" w:firstColumn="0" w:lastColumn="0" w:oddVBand="0" w:evenVBand="0" w:oddHBand="0" w:evenHBand="0" w:firstRowFirstColumn="0" w:firstRowLastColumn="0" w:lastRowFirstColumn="0" w:lastRowLastColumn="0"/>
            </w:pPr>
            <w:r>
              <w:t>51</w:t>
            </w:r>
          </w:p>
        </w:tc>
      </w:tr>
      <w:tr w:rsidR="004D42F9" w14:paraId="29F6CAF8" w14:textId="77777777">
        <w:tc>
          <w:tcPr>
            <w:cnfStyle w:val="001000000000" w:firstRow="0" w:lastRow="0" w:firstColumn="1" w:lastColumn="0" w:oddVBand="0" w:evenVBand="0" w:oddHBand="0" w:evenHBand="0" w:firstRowFirstColumn="0" w:firstRowLastColumn="0" w:lastRowFirstColumn="0" w:lastRowLastColumn="0"/>
            <w:tcW w:w="5954" w:type="dxa"/>
          </w:tcPr>
          <w:p w14:paraId="3D8B562A" w14:textId="77777777" w:rsidR="004D42F9" w:rsidRDefault="004D42F9">
            <w:r>
              <w:t xml:space="preserve">Commercial contracts </w:t>
            </w:r>
            <w:r>
              <w:rPr>
                <w:vertAlign w:val="superscript"/>
              </w:rPr>
              <w:t>(c)</w:t>
            </w:r>
          </w:p>
        </w:tc>
        <w:tc>
          <w:tcPr>
            <w:tcW w:w="921" w:type="dxa"/>
          </w:tcPr>
          <w:p w14:paraId="25755E9A" w14:textId="77777777" w:rsidR="004D42F9" w:rsidRDefault="004D42F9">
            <w:pPr>
              <w:cnfStyle w:val="000000000000" w:firstRow="0" w:lastRow="0" w:firstColumn="0" w:lastColumn="0" w:oddVBand="0" w:evenVBand="0" w:oddHBand="0" w:evenHBand="0" w:firstRowFirstColumn="0" w:firstRowLastColumn="0" w:lastRowFirstColumn="0" w:lastRowLastColumn="0"/>
            </w:pPr>
            <w:r>
              <w:t>4 462</w:t>
            </w:r>
          </w:p>
        </w:tc>
        <w:tc>
          <w:tcPr>
            <w:tcW w:w="921" w:type="dxa"/>
          </w:tcPr>
          <w:p w14:paraId="22BB0F84" w14:textId="77777777" w:rsidR="004D42F9" w:rsidRDefault="004D42F9">
            <w:pPr>
              <w:cnfStyle w:val="000000000000" w:firstRow="0" w:lastRow="0" w:firstColumn="0" w:lastColumn="0" w:oddVBand="0" w:evenVBand="0" w:oddHBand="0" w:evenHBand="0" w:firstRowFirstColumn="0" w:firstRowLastColumn="0" w:lastRowFirstColumn="0" w:lastRowLastColumn="0"/>
            </w:pPr>
            <w:r>
              <w:t>3 918</w:t>
            </w:r>
          </w:p>
        </w:tc>
        <w:tc>
          <w:tcPr>
            <w:tcW w:w="921" w:type="dxa"/>
          </w:tcPr>
          <w:p w14:paraId="7D4EFF0F" w14:textId="77777777" w:rsidR="004D42F9" w:rsidRDefault="004D42F9">
            <w:pPr>
              <w:cnfStyle w:val="000000000000" w:firstRow="0" w:lastRow="0" w:firstColumn="0" w:lastColumn="0" w:oddVBand="0" w:evenVBand="0" w:oddHBand="0" w:evenHBand="0" w:firstRowFirstColumn="0" w:firstRowLastColumn="0" w:lastRowFirstColumn="0" w:lastRowLastColumn="0"/>
            </w:pPr>
            <w:r>
              <w:t>3 961</w:t>
            </w:r>
          </w:p>
        </w:tc>
        <w:tc>
          <w:tcPr>
            <w:tcW w:w="781" w:type="dxa"/>
          </w:tcPr>
          <w:p w14:paraId="5A9BE6EC" w14:textId="77777777" w:rsidR="004D42F9" w:rsidRDefault="004D42F9">
            <w:pPr>
              <w:cnfStyle w:val="000000000000" w:firstRow="0" w:lastRow="0" w:firstColumn="0" w:lastColumn="0" w:oddVBand="0" w:evenVBand="0" w:oddHBand="0" w:evenHBand="0" w:firstRowFirstColumn="0" w:firstRowLastColumn="0" w:lastRowFirstColumn="0" w:lastRowLastColumn="0"/>
            </w:pPr>
            <w:r>
              <w:t>3 205</w:t>
            </w:r>
          </w:p>
        </w:tc>
      </w:tr>
      <w:tr w:rsidR="004D42F9" w14:paraId="2FF51EED" w14:textId="77777777">
        <w:tc>
          <w:tcPr>
            <w:cnfStyle w:val="001000000000" w:firstRow="0" w:lastRow="0" w:firstColumn="1" w:lastColumn="0" w:oddVBand="0" w:evenVBand="0" w:oddHBand="0" w:evenHBand="0" w:firstRowFirstColumn="0" w:firstRowLastColumn="0" w:lastRowFirstColumn="0" w:lastRowLastColumn="0"/>
            <w:tcW w:w="5954" w:type="dxa"/>
          </w:tcPr>
          <w:p w14:paraId="7BD560C2" w14:textId="77777777" w:rsidR="004D42F9" w:rsidRDefault="004D42F9">
            <w:r>
              <w:t>Emergency Alert System</w:t>
            </w:r>
          </w:p>
        </w:tc>
        <w:tc>
          <w:tcPr>
            <w:tcW w:w="921" w:type="dxa"/>
          </w:tcPr>
          <w:p w14:paraId="43EDFC6B" w14:textId="77777777" w:rsidR="004D42F9" w:rsidRDefault="004D42F9">
            <w:pPr>
              <w:cnfStyle w:val="000000000000" w:firstRow="0" w:lastRow="0" w:firstColumn="0" w:lastColumn="0" w:oddVBand="0" w:evenVBand="0" w:oddHBand="0" w:evenHBand="0" w:firstRowFirstColumn="0" w:firstRowLastColumn="0" w:lastRowFirstColumn="0" w:lastRowLastColumn="0"/>
            </w:pPr>
            <w:r>
              <w:t>9</w:t>
            </w:r>
          </w:p>
        </w:tc>
        <w:tc>
          <w:tcPr>
            <w:tcW w:w="921" w:type="dxa"/>
          </w:tcPr>
          <w:p w14:paraId="1BF97E26" w14:textId="77777777" w:rsidR="004D42F9" w:rsidRDefault="004D42F9">
            <w:pPr>
              <w:cnfStyle w:val="000000000000" w:firstRow="0" w:lastRow="0" w:firstColumn="0" w:lastColumn="0" w:oddVBand="0" w:evenVBand="0" w:oddHBand="0" w:evenHBand="0" w:firstRowFirstColumn="0" w:firstRowLastColumn="0" w:lastRowFirstColumn="0" w:lastRowLastColumn="0"/>
            </w:pPr>
            <w:r>
              <w:t>51</w:t>
            </w:r>
          </w:p>
        </w:tc>
        <w:tc>
          <w:tcPr>
            <w:tcW w:w="921" w:type="dxa"/>
          </w:tcPr>
          <w:p w14:paraId="4D693326" w14:textId="77777777" w:rsidR="004D42F9" w:rsidRDefault="004D42F9">
            <w:pPr>
              <w:cnfStyle w:val="000000000000" w:firstRow="0" w:lastRow="0" w:firstColumn="0" w:lastColumn="0" w:oddVBand="0" w:evenVBand="0" w:oddHBand="0" w:evenHBand="0" w:firstRowFirstColumn="0" w:firstRowLastColumn="0" w:lastRowFirstColumn="0" w:lastRowLastColumn="0"/>
            </w:pPr>
            <w:r>
              <w:t>9</w:t>
            </w:r>
          </w:p>
        </w:tc>
        <w:tc>
          <w:tcPr>
            <w:tcW w:w="781" w:type="dxa"/>
          </w:tcPr>
          <w:p w14:paraId="57DC0D3F" w14:textId="77777777" w:rsidR="004D42F9" w:rsidRDefault="004D42F9">
            <w:pPr>
              <w:cnfStyle w:val="000000000000" w:firstRow="0" w:lastRow="0" w:firstColumn="0" w:lastColumn="0" w:oddVBand="0" w:evenVBand="0" w:oddHBand="0" w:evenHBand="0" w:firstRowFirstColumn="0" w:firstRowLastColumn="0" w:lastRowFirstColumn="0" w:lastRowLastColumn="0"/>
            </w:pPr>
            <w:r>
              <w:t>51</w:t>
            </w:r>
          </w:p>
        </w:tc>
      </w:tr>
      <w:tr w:rsidR="004D42F9" w14:paraId="1BD5FD7B" w14:textId="77777777">
        <w:tc>
          <w:tcPr>
            <w:cnfStyle w:val="001000000000" w:firstRow="0" w:lastRow="0" w:firstColumn="1" w:lastColumn="0" w:oddVBand="0" w:evenVBand="0" w:oddHBand="0" w:evenHBand="0" w:firstRowFirstColumn="0" w:firstRowLastColumn="0" w:lastRowFirstColumn="0" w:lastRowLastColumn="0"/>
            <w:tcW w:w="5954" w:type="dxa"/>
          </w:tcPr>
          <w:p w14:paraId="69B0394B" w14:textId="77777777" w:rsidR="004D42F9" w:rsidRDefault="004D42F9">
            <w:r>
              <w:t xml:space="preserve">Emergency Telecommunication Networks </w:t>
            </w:r>
            <w:r>
              <w:rPr>
                <w:vertAlign w:val="superscript"/>
              </w:rPr>
              <w:t>(d)</w:t>
            </w:r>
          </w:p>
        </w:tc>
        <w:tc>
          <w:tcPr>
            <w:tcW w:w="921" w:type="dxa"/>
          </w:tcPr>
          <w:p w14:paraId="2892F23A" w14:textId="77777777" w:rsidR="004D42F9" w:rsidRDefault="004D42F9">
            <w:pPr>
              <w:cnfStyle w:val="000000000000" w:firstRow="0" w:lastRow="0" w:firstColumn="0" w:lastColumn="0" w:oddVBand="0" w:evenVBand="0" w:oddHBand="0" w:evenHBand="0" w:firstRowFirstColumn="0" w:firstRowLastColumn="0" w:lastRowFirstColumn="0" w:lastRowLastColumn="0"/>
            </w:pPr>
            <w:r>
              <w:t>771</w:t>
            </w:r>
          </w:p>
        </w:tc>
        <w:tc>
          <w:tcPr>
            <w:tcW w:w="921" w:type="dxa"/>
          </w:tcPr>
          <w:p w14:paraId="286357D7" w14:textId="77777777" w:rsidR="004D42F9" w:rsidRDefault="004D42F9">
            <w:pPr>
              <w:cnfStyle w:val="000000000000" w:firstRow="0" w:lastRow="0" w:firstColumn="0" w:lastColumn="0" w:oddVBand="0" w:evenVBand="0" w:oddHBand="0" w:evenHBand="0" w:firstRowFirstColumn="0" w:firstRowLastColumn="0" w:lastRowFirstColumn="0" w:lastRowLastColumn="0"/>
            </w:pPr>
            <w:r>
              <w:t>200</w:t>
            </w:r>
          </w:p>
        </w:tc>
        <w:tc>
          <w:tcPr>
            <w:tcW w:w="921" w:type="dxa"/>
          </w:tcPr>
          <w:p w14:paraId="062D9280" w14:textId="77777777" w:rsidR="004D42F9" w:rsidRDefault="004D42F9">
            <w:pPr>
              <w:cnfStyle w:val="000000000000" w:firstRow="0" w:lastRow="0" w:firstColumn="0" w:lastColumn="0" w:oddVBand="0" w:evenVBand="0" w:oddHBand="0" w:evenHBand="0" w:firstRowFirstColumn="0" w:firstRowLastColumn="0" w:lastRowFirstColumn="0" w:lastRowLastColumn="0"/>
            </w:pPr>
            <w:r>
              <w:t>771</w:t>
            </w:r>
          </w:p>
        </w:tc>
        <w:tc>
          <w:tcPr>
            <w:tcW w:w="781" w:type="dxa"/>
          </w:tcPr>
          <w:p w14:paraId="1D59DF3E" w14:textId="77777777" w:rsidR="004D42F9" w:rsidRDefault="004D42F9">
            <w:pPr>
              <w:cnfStyle w:val="000000000000" w:firstRow="0" w:lastRow="0" w:firstColumn="0" w:lastColumn="0" w:oddVBand="0" w:evenVBand="0" w:oddHBand="0" w:evenHBand="0" w:firstRowFirstColumn="0" w:firstRowLastColumn="0" w:lastRowFirstColumn="0" w:lastRowLastColumn="0"/>
            </w:pPr>
            <w:r>
              <w:t>200</w:t>
            </w:r>
          </w:p>
        </w:tc>
      </w:tr>
      <w:tr w:rsidR="004D42F9" w14:paraId="37527A64" w14:textId="77777777">
        <w:tc>
          <w:tcPr>
            <w:cnfStyle w:val="001000000000" w:firstRow="0" w:lastRow="0" w:firstColumn="1" w:lastColumn="0" w:oddVBand="0" w:evenVBand="0" w:oddHBand="0" w:evenHBand="0" w:firstRowFirstColumn="0" w:firstRowLastColumn="0" w:lastRowFirstColumn="0" w:lastRowLastColumn="0"/>
            <w:tcW w:w="5954" w:type="dxa"/>
          </w:tcPr>
          <w:p w14:paraId="7B6A14BF" w14:textId="77777777" w:rsidR="004D42F9" w:rsidRDefault="004D42F9">
            <w:r>
              <w:t xml:space="preserve">Grant program commitments </w:t>
            </w:r>
            <w:r>
              <w:rPr>
                <w:vertAlign w:val="superscript"/>
              </w:rPr>
              <w:t>(c)</w:t>
            </w:r>
          </w:p>
        </w:tc>
        <w:tc>
          <w:tcPr>
            <w:tcW w:w="921" w:type="dxa"/>
          </w:tcPr>
          <w:p w14:paraId="2FAAE504" w14:textId="77777777" w:rsidR="004D42F9" w:rsidRDefault="004D42F9">
            <w:pPr>
              <w:cnfStyle w:val="000000000000" w:firstRow="0" w:lastRow="0" w:firstColumn="0" w:lastColumn="0" w:oddVBand="0" w:evenVBand="0" w:oddHBand="0" w:evenHBand="0" w:firstRowFirstColumn="0" w:firstRowLastColumn="0" w:lastRowFirstColumn="0" w:lastRowLastColumn="0"/>
            </w:pPr>
            <w:r>
              <w:t>3 744</w:t>
            </w:r>
          </w:p>
        </w:tc>
        <w:tc>
          <w:tcPr>
            <w:tcW w:w="921" w:type="dxa"/>
          </w:tcPr>
          <w:p w14:paraId="4A208738" w14:textId="77777777" w:rsidR="004D42F9" w:rsidRDefault="004D42F9">
            <w:pPr>
              <w:cnfStyle w:val="000000000000" w:firstRow="0" w:lastRow="0" w:firstColumn="0" w:lastColumn="0" w:oddVBand="0" w:evenVBand="0" w:oddHBand="0" w:evenHBand="0" w:firstRowFirstColumn="0" w:firstRowLastColumn="0" w:lastRowFirstColumn="0" w:lastRowLastColumn="0"/>
            </w:pPr>
            <w:r>
              <w:t>3 006</w:t>
            </w:r>
          </w:p>
        </w:tc>
        <w:tc>
          <w:tcPr>
            <w:tcW w:w="921" w:type="dxa"/>
          </w:tcPr>
          <w:p w14:paraId="5CF05518" w14:textId="77777777" w:rsidR="004D42F9" w:rsidRDefault="004D42F9">
            <w:pPr>
              <w:cnfStyle w:val="000000000000" w:firstRow="0" w:lastRow="0" w:firstColumn="0" w:lastColumn="0" w:oddVBand="0" w:evenVBand="0" w:oddHBand="0" w:evenHBand="0" w:firstRowFirstColumn="0" w:firstRowLastColumn="0" w:lastRowFirstColumn="0" w:lastRowLastColumn="0"/>
            </w:pPr>
            <w:r>
              <w:t>4 108</w:t>
            </w:r>
          </w:p>
        </w:tc>
        <w:tc>
          <w:tcPr>
            <w:tcW w:w="781" w:type="dxa"/>
          </w:tcPr>
          <w:p w14:paraId="0AFD6D30" w14:textId="77777777" w:rsidR="004D42F9" w:rsidRDefault="004D42F9">
            <w:pPr>
              <w:cnfStyle w:val="000000000000" w:firstRow="0" w:lastRow="0" w:firstColumn="0" w:lastColumn="0" w:oddVBand="0" w:evenVBand="0" w:oddHBand="0" w:evenHBand="0" w:firstRowFirstColumn="0" w:firstRowLastColumn="0" w:lastRowFirstColumn="0" w:lastRowLastColumn="0"/>
            </w:pPr>
            <w:r>
              <w:t>3 442</w:t>
            </w:r>
          </w:p>
        </w:tc>
      </w:tr>
      <w:tr w:rsidR="004D42F9" w14:paraId="57D14E23" w14:textId="77777777">
        <w:tc>
          <w:tcPr>
            <w:cnfStyle w:val="001000000000" w:firstRow="0" w:lastRow="0" w:firstColumn="1" w:lastColumn="0" w:oddVBand="0" w:evenVBand="0" w:oddHBand="0" w:evenHBand="0" w:firstRowFirstColumn="0" w:firstRowLastColumn="0" w:lastRowFirstColumn="0" w:lastRowLastColumn="0"/>
            <w:tcW w:w="5954" w:type="dxa"/>
          </w:tcPr>
          <w:p w14:paraId="722E31C1" w14:textId="77777777" w:rsidR="004D42F9" w:rsidRDefault="004D42F9">
            <w:r>
              <w:t xml:space="preserve">Information technology </w:t>
            </w:r>
            <w:r>
              <w:rPr>
                <w:vertAlign w:val="superscript"/>
              </w:rPr>
              <w:t>(c)</w:t>
            </w:r>
          </w:p>
        </w:tc>
        <w:tc>
          <w:tcPr>
            <w:tcW w:w="921" w:type="dxa"/>
          </w:tcPr>
          <w:p w14:paraId="7137BABD" w14:textId="77777777" w:rsidR="004D42F9" w:rsidRDefault="004D42F9">
            <w:pPr>
              <w:cnfStyle w:val="000000000000" w:firstRow="0" w:lastRow="0" w:firstColumn="0" w:lastColumn="0" w:oddVBand="0" w:evenVBand="0" w:oddHBand="0" w:evenHBand="0" w:firstRowFirstColumn="0" w:firstRowLastColumn="0" w:lastRowFirstColumn="0" w:lastRowLastColumn="0"/>
            </w:pPr>
            <w:r>
              <w:t>1 007</w:t>
            </w:r>
          </w:p>
        </w:tc>
        <w:tc>
          <w:tcPr>
            <w:tcW w:w="921" w:type="dxa"/>
          </w:tcPr>
          <w:p w14:paraId="0203C7CB" w14:textId="77777777" w:rsidR="004D42F9" w:rsidRDefault="004D42F9">
            <w:pPr>
              <w:cnfStyle w:val="000000000000" w:firstRow="0" w:lastRow="0" w:firstColumn="0" w:lastColumn="0" w:oddVBand="0" w:evenVBand="0" w:oddHBand="0" w:evenHBand="0" w:firstRowFirstColumn="0" w:firstRowLastColumn="0" w:lastRowFirstColumn="0" w:lastRowLastColumn="0"/>
            </w:pPr>
            <w:r>
              <w:t>1 069</w:t>
            </w:r>
          </w:p>
        </w:tc>
        <w:tc>
          <w:tcPr>
            <w:tcW w:w="921" w:type="dxa"/>
          </w:tcPr>
          <w:p w14:paraId="66147635" w14:textId="77777777" w:rsidR="004D42F9" w:rsidRDefault="004D42F9">
            <w:pPr>
              <w:cnfStyle w:val="000000000000" w:firstRow="0" w:lastRow="0" w:firstColumn="0" w:lastColumn="0" w:oddVBand="0" w:evenVBand="0" w:oddHBand="0" w:evenHBand="0" w:firstRowFirstColumn="0" w:firstRowLastColumn="0" w:lastRowFirstColumn="0" w:lastRowLastColumn="0"/>
            </w:pPr>
            <w:r>
              <w:t>806</w:t>
            </w:r>
          </w:p>
        </w:tc>
        <w:tc>
          <w:tcPr>
            <w:tcW w:w="781" w:type="dxa"/>
          </w:tcPr>
          <w:p w14:paraId="3A07C9B1" w14:textId="77777777" w:rsidR="004D42F9" w:rsidRDefault="004D42F9">
            <w:pPr>
              <w:cnfStyle w:val="000000000000" w:firstRow="0" w:lastRow="0" w:firstColumn="0" w:lastColumn="0" w:oddVBand="0" w:evenVBand="0" w:oddHBand="0" w:evenHBand="0" w:firstRowFirstColumn="0" w:firstRowLastColumn="0" w:lastRowFirstColumn="0" w:lastRowLastColumn="0"/>
            </w:pPr>
            <w:r>
              <w:t>857</w:t>
            </w:r>
          </w:p>
        </w:tc>
      </w:tr>
      <w:tr w:rsidR="004D42F9" w14:paraId="0344B959" w14:textId="77777777">
        <w:tc>
          <w:tcPr>
            <w:cnfStyle w:val="001000000000" w:firstRow="0" w:lastRow="0" w:firstColumn="1" w:lastColumn="0" w:oddVBand="0" w:evenVBand="0" w:oddHBand="0" w:evenHBand="0" w:firstRowFirstColumn="0" w:firstRowLastColumn="0" w:lastRowFirstColumn="0" w:lastRowLastColumn="0"/>
            <w:tcW w:w="5954" w:type="dxa"/>
          </w:tcPr>
          <w:p w14:paraId="13AF6F75" w14:textId="77777777" w:rsidR="004D42F9" w:rsidRDefault="004D42F9">
            <w:r>
              <w:t xml:space="preserve">Melbourne renewable energy hub (MREH) </w:t>
            </w:r>
            <w:r>
              <w:rPr>
                <w:vertAlign w:val="superscript"/>
              </w:rPr>
              <w:t>(e)</w:t>
            </w:r>
          </w:p>
        </w:tc>
        <w:tc>
          <w:tcPr>
            <w:tcW w:w="921" w:type="dxa"/>
          </w:tcPr>
          <w:p w14:paraId="4C538DB5" w14:textId="77777777" w:rsidR="004D42F9" w:rsidRDefault="004D42F9">
            <w:pPr>
              <w:cnfStyle w:val="000000000000" w:firstRow="0" w:lastRow="0" w:firstColumn="0" w:lastColumn="0" w:oddVBand="0" w:evenVBand="0" w:oddHBand="0" w:evenHBand="0" w:firstRowFirstColumn="0" w:firstRowLastColumn="0" w:lastRowFirstColumn="0" w:lastRowLastColumn="0"/>
            </w:pPr>
            <w:r>
              <w:t>52</w:t>
            </w:r>
          </w:p>
        </w:tc>
        <w:tc>
          <w:tcPr>
            <w:tcW w:w="921" w:type="dxa"/>
          </w:tcPr>
          <w:p w14:paraId="3C70270E" w14:textId="77777777" w:rsidR="004D42F9" w:rsidRDefault="004D42F9">
            <w:pPr>
              <w:cnfStyle w:val="000000000000" w:firstRow="0" w:lastRow="0" w:firstColumn="0" w:lastColumn="0" w:oddVBand="0" w:evenVBand="0" w:oddHBand="0" w:evenHBand="0" w:firstRowFirstColumn="0" w:firstRowLastColumn="0" w:lastRowFirstColumn="0" w:lastRowLastColumn="0"/>
            </w:pPr>
            <w:r>
              <w:t>172</w:t>
            </w:r>
          </w:p>
        </w:tc>
        <w:tc>
          <w:tcPr>
            <w:tcW w:w="921" w:type="dxa"/>
          </w:tcPr>
          <w:p w14:paraId="359716C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0052CB0F"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6899377C" w14:textId="77777777">
        <w:tc>
          <w:tcPr>
            <w:cnfStyle w:val="001000000000" w:firstRow="0" w:lastRow="0" w:firstColumn="1" w:lastColumn="0" w:oddVBand="0" w:evenVBand="0" w:oddHBand="0" w:evenHBand="0" w:firstRowFirstColumn="0" w:firstRowLastColumn="0" w:lastRowFirstColumn="0" w:lastRowLastColumn="0"/>
            <w:tcW w:w="5954" w:type="dxa"/>
          </w:tcPr>
          <w:p w14:paraId="7E8735F7" w14:textId="77777777" w:rsidR="004D42F9" w:rsidRDefault="004D42F9">
            <w:r>
              <w:t>Outsourcing of services</w:t>
            </w:r>
          </w:p>
        </w:tc>
        <w:tc>
          <w:tcPr>
            <w:tcW w:w="921" w:type="dxa"/>
          </w:tcPr>
          <w:p w14:paraId="242E3A82" w14:textId="77777777" w:rsidR="004D42F9" w:rsidRDefault="004D42F9">
            <w:pPr>
              <w:cnfStyle w:val="000000000000" w:firstRow="0" w:lastRow="0" w:firstColumn="0" w:lastColumn="0" w:oddVBand="0" w:evenVBand="0" w:oddHBand="0" w:evenHBand="0" w:firstRowFirstColumn="0" w:firstRowLastColumn="0" w:lastRowFirstColumn="0" w:lastRowLastColumn="0"/>
            </w:pPr>
            <w:r>
              <w:t>2 131</w:t>
            </w:r>
          </w:p>
        </w:tc>
        <w:tc>
          <w:tcPr>
            <w:tcW w:w="921" w:type="dxa"/>
          </w:tcPr>
          <w:p w14:paraId="1C875589" w14:textId="77777777" w:rsidR="004D42F9" w:rsidRDefault="004D42F9">
            <w:pPr>
              <w:cnfStyle w:val="000000000000" w:firstRow="0" w:lastRow="0" w:firstColumn="0" w:lastColumn="0" w:oddVBand="0" w:evenVBand="0" w:oddHBand="0" w:evenHBand="0" w:firstRowFirstColumn="0" w:firstRowLastColumn="0" w:lastRowFirstColumn="0" w:lastRowLastColumn="0"/>
            </w:pPr>
            <w:r>
              <w:t>2 385</w:t>
            </w:r>
          </w:p>
        </w:tc>
        <w:tc>
          <w:tcPr>
            <w:tcW w:w="921" w:type="dxa"/>
          </w:tcPr>
          <w:p w14:paraId="0EE9271D" w14:textId="77777777" w:rsidR="004D42F9" w:rsidRDefault="004D42F9">
            <w:pPr>
              <w:cnfStyle w:val="000000000000" w:firstRow="0" w:lastRow="0" w:firstColumn="0" w:lastColumn="0" w:oddVBand="0" w:evenVBand="0" w:oddHBand="0" w:evenHBand="0" w:firstRowFirstColumn="0" w:firstRowLastColumn="0" w:lastRowFirstColumn="0" w:lastRowLastColumn="0"/>
            </w:pPr>
            <w:r>
              <w:t>223</w:t>
            </w:r>
          </w:p>
        </w:tc>
        <w:tc>
          <w:tcPr>
            <w:tcW w:w="781" w:type="dxa"/>
          </w:tcPr>
          <w:p w14:paraId="218E3BCF" w14:textId="77777777" w:rsidR="004D42F9" w:rsidRDefault="004D42F9">
            <w:pPr>
              <w:cnfStyle w:val="000000000000" w:firstRow="0" w:lastRow="0" w:firstColumn="0" w:lastColumn="0" w:oddVBand="0" w:evenVBand="0" w:oddHBand="0" w:evenHBand="0" w:firstRowFirstColumn="0" w:firstRowLastColumn="0" w:lastRowFirstColumn="0" w:lastRowLastColumn="0"/>
            </w:pPr>
            <w:r>
              <w:t>203</w:t>
            </w:r>
          </w:p>
        </w:tc>
      </w:tr>
      <w:tr w:rsidR="004D42F9" w14:paraId="3DFFD8BB" w14:textId="77777777">
        <w:tc>
          <w:tcPr>
            <w:cnfStyle w:val="001000000000" w:firstRow="0" w:lastRow="0" w:firstColumn="1" w:lastColumn="0" w:oddVBand="0" w:evenVBand="0" w:oddHBand="0" w:evenHBand="0" w:firstRowFirstColumn="0" w:firstRowLastColumn="0" w:lastRowFirstColumn="0" w:lastRowLastColumn="0"/>
            <w:tcW w:w="5954" w:type="dxa"/>
          </w:tcPr>
          <w:p w14:paraId="58F26E3B" w14:textId="77777777" w:rsidR="004D42F9" w:rsidRDefault="004D42F9">
            <w:r>
              <w:t>Policing services</w:t>
            </w:r>
          </w:p>
        </w:tc>
        <w:tc>
          <w:tcPr>
            <w:tcW w:w="921" w:type="dxa"/>
          </w:tcPr>
          <w:p w14:paraId="677BB3A2" w14:textId="77777777" w:rsidR="004D42F9" w:rsidRDefault="004D42F9">
            <w:pPr>
              <w:cnfStyle w:val="000000000000" w:firstRow="0" w:lastRow="0" w:firstColumn="0" w:lastColumn="0" w:oddVBand="0" w:evenVBand="0" w:oddHBand="0" w:evenHBand="0" w:firstRowFirstColumn="0" w:firstRowLastColumn="0" w:lastRowFirstColumn="0" w:lastRowLastColumn="0"/>
            </w:pPr>
            <w:r>
              <w:t>48</w:t>
            </w:r>
          </w:p>
        </w:tc>
        <w:tc>
          <w:tcPr>
            <w:tcW w:w="921" w:type="dxa"/>
          </w:tcPr>
          <w:p w14:paraId="0FA744C4"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c>
          <w:tcPr>
            <w:tcW w:w="921" w:type="dxa"/>
          </w:tcPr>
          <w:p w14:paraId="1F05D0CC" w14:textId="77777777" w:rsidR="004D42F9" w:rsidRDefault="004D42F9">
            <w:pPr>
              <w:cnfStyle w:val="000000000000" w:firstRow="0" w:lastRow="0" w:firstColumn="0" w:lastColumn="0" w:oddVBand="0" w:evenVBand="0" w:oddHBand="0" w:evenHBand="0" w:firstRowFirstColumn="0" w:firstRowLastColumn="0" w:lastRowFirstColumn="0" w:lastRowLastColumn="0"/>
            </w:pPr>
            <w:r>
              <w:t>48</w:t>
            </w:r>
          </w:p>
        </w:tc>
        <w:tc>
          <w:tcPr>
            <w:tcW w:w="781" w:type="dxa"/>
          </w:tcPr>
          <w:p w14:paraId="3D27E16D" w14:textId="77777777" w:rsidR="004D42F9" w:rsidRDefault="004D42F9">
            <w:pPr>
              <w:cnfStyle w:val="000000000000" w:firstRow="0" w:lastRow="0" w:firstColumn="0" w:lastColumn="0" w:oddVBand="0" w:evenVBand="0" w:oddHBand="0" w:evenHBand="0" w:firstRowFirstColumn="0" w:firstRowLastColumn="0" w:lastRowFirstColumn="0" w:lastRowLastColumn="0"/>
            </w:pPr>
            <w:r>
              <w:t>58</w:t>
            </w:r>
          </w:p>
        </w:tc>
      </w:tr>
      <w:tr w:rsidR="004D42F9" w14:paraId="4DCAB68F" w14:textId="77777777">
        <w:tc>
          <w:tcPr>
            <w:cnfStyle w:val="001000000000" w:firstRow="0" w:lastRow="0" w:firstColumn="1" w:lastColumn="0" w:oddVBand="0" w:evenVBand="0" w:oddHBand="0" w:evenHBand="0" w:firstRowFirstColumn="0" w:firstRowLastColumn="0" w:lastRowFirstColumn="0" w:lastRowLastColumn="0"/>
            <w:tcW w:w="5954" w:type="dxa"/>
          </w:tcPr>
          <w:p w14:paraId="1B2A5860" w14:textId="77777777" w:rsidR="004D42F9" w:rsidRDefault="004D42F9">
            <w:r>
              <w:t>PPP operating commitments</w:t>
            </w:r>
            <w:r>
              <w:rPr>
                <w:vertAlign w:val="superscript"/>
              </w:rPr>
              <w:t xml:space="preserve"> (f)(g)</w:t>
            </w:r>
          </w:p>
        </w:tc>
        <w:tc>
          <w:tcPr>
            <w:tcW w:w="921" w:type="dxa"/>
          </w:tcPr>
          <w:p w14:paraId="428D1791" w14:textId="77777777" w:rsidR="004D42F9" w:rsidRDefault="004D42F9">
            <w:pPr>
              <w:cnfStyle w:val="000000000000" w:firstRow="0" w:lastRow="0" w:firstColumn="0" w:lastColumn="0" w:oddVBand="0" w:evenVBand="0" w:oddHBand="0" w:evenHBand="0" w:firstRowFirstColumn="0" w:firstRowLastColumn="0" w:lastRowFirstColumn="0" w:lastRowLastColumn="0"/>
            </w:pPr>
            <w:r>
              <w:t>9 153</w:t>
            </w:r>
          </w:p>
        </w:tc>
        <w:tc>
          <w:tcPr>
            <w:tcW w:w="921" w:type="dxa"/>
          </w:tcPr>
          <w:p w14:paraId="39CDF476" w14:textId="77777777" w:rsidR="004D42F9" w:rsidRDefault="004D42F9">
            <w:pPr>
              <w:cnfStyle w:val="000000000000" w:firstRow="0" w:lastRow="0" w:firstColumn="0" w:lastColumn="0" w:oddVBand="0" w:evenVBand="0" w:oddHBand="0" w:evenHBand="0" w:firstRowFirstColumn="0" w:firstRowLastColumn="0" w:lastRowFirstColumn="0" w:lastRowLastColumn="0"/>
            </w:pPr>
            <w:r>
              <w:t>6 642</w:t>
            </w:r>
          </w:p>
        </w:tc>
        <w:tc>
          <w:tcPr>
            <w:tcW w:w="921" w:type="dxa"/>
          </w:tcPr>
          <w:p w14:paraId="2D282417" w14:textId="77777777" w:rsidR="004D42F9" w:rsidRDefault="004D42F9">
            <w:pPr>
              <w:cnfStyle w:val="000000000000" w:firstRow="0" w:lastRow="0" w:firstColumn="0" w:lastColumn="0" w:oddVBand="0" w:evenVBand="0" w:oddHBand="0" w:evenHBand="0" w:firstRowFirstColumn="0" w:firstRowLastColumn="0" w:lastRowFirstColumn="0" w:lastRowLastColumn="0"/>
            </w:pPr>
            <w:r>
              <w:t>9 153</w:t>
            </w:r>
          </w:p>
        </w:tc>
        <w:tc>
          <w:tcPr>
            <w:tcW w:w="781" w:type="dxa"/>
          </w:tcPr>
          <w:p w14:paraId="77FD5C4C" w14:textId="77777777" w:rsidR="004D42F9" w:rsidRDefault="004D42F9">
            <w:pPr>
              <w:cnfStyle w:val="000000000000" w:firstRow="0" w:lastRow="0" w:firstColumn="0" w:lastColumn="0" w:oddVBand="0" w:evenVBand="0" w:oddHBand="0" w:evenHBand="0" w:firstRowFirstColumn="0" w:firstRowLastColumn="0" w:lastRowFirstColumn="0" w:lastRowLastColumn="0"/>
            </w:pPr>
            <w:r>
              <w:t>6 642</w:t>
            </w:r>
          </w:p>
        </w:tc>
      </w:tr>
      <w:tr w:rsidR="004D42F9" w14:paraId="559E85CC" w14:textId="77777777">
        <w:tc>
          <w:tcPr>
            <w:cnfStyle w:val="001000000000" w:firstRow="0" w:lastRow="0" w:firstColumn="1" w:lastColumn="0" w:oddVBand="0" w:evenVBand="0" w:oddHBand="0" w:evenHBand="0" w:firstRowFirstColumn="0" w:firstRowLastColumn="0" w:lastRowFirstColumn="0" w:lastRowLastColumn="0"/>
            <w:tcW w:w="5954" w:type="dxa"/>
          </w:tcPr>
          <w:p w14:paraId="74CA7BF7" w14:textId="77777777" w:rsidR="004D42F9" w:rsidRDefault="004D42F9">
            <w:r>
              <w:t xml:space="preserve">Provision of Health Services </w:t>
            </w:r>
            <w:r>
              <w:rPr>
                <w:vertAlign w:val="superscript"/>
              </w:rPr>
              <w:t>(c)</w:t>
            </w:r>
          </w:p>
        </w:tc>
        <w:tc>
          <w:tcPr>
            <w:tcW w:w="921" w:type="dxa"/>
          </w:tcPr>
          <w:p w14:paraId="1702A1C7" w14:textId="77777777" w:rsidR="004D42F9" w:rsidRDefault="004D42F9">
            <w:pPr>
              <w:cnfStyle w:val="000000000000" w:firstRow="0" w:lastRow="0" w:firstColumn="0" w:lastColumn="0" w:oddVBand="0" w:evenVBand="0" w:oddHBand="0" w:evenHBand="0" w:firstRowFirstColumn="0" w:firstRowLastColumn="0" w:lastRowFirstColumn="0" w:lastRowLastColumn="0"/>
            </w:pPr>
            <w:r>
              <w:t>2 777</w:t>
            </w:r>
          </w:p>
        </w:tc>
        <w:tc>
          <w:tcPr>
            <w:tcW w:w="921" w:type="dxa"/>
          </w:tcPr>
          <w:p w14:paraId="5B050A43" w14:textId="77777777" w:rsidR="004D42F9" w:rsidRDefault="004D42F9">
            <w:pPr>
              <w:cnfStyle w:val="000000000000" w:firstRow="0" w:lastRow="0" w:firstColumn="0" w:lastColumn="0" w:oddVBand="0" w:evenVBand="0" w:oddHBand="0" w:evenHBand="0" w:firstRowFirstColumn="0" w:firstRowLastColumn="0" w:lastRowFirstColumn="0" w:lastRowLastColumn="0"/>
            </w:pPr>
            <w:r>
              <w:t>2 409</w:t>
            </w:r>
          </w:p>
        </w:tc>
        <w:tc>
          <w:tcPr>
            <w:tcW w:w="921" w:type="dxa"/>
          </w:tcPr>
          <w:p w14:paraId="6B67844E" w14:textId="77777777" w:rsidR="004D42F9" w:rsidRDefault="004D42F9">
            <w:pPr>
              <w:cnfStyle w:val="000000000000" w:firstRow="0" w:lastRow="0" w:firstColumn="0" w:lastColumn="0" w:oddVBand="0" w:evenVBand="0" w:oddHBand="0" w:evenHBand="0" w:firstRowFirstColumn="0" w:firstRowLastColumn="0" w:lastRowFirstColumn="0" w:lastRowLastColumn="0"/>
            </w:pPr>
            <w:r>
              <w:t>2 777</w:t>
            </w:r>
          </w:p>
        </w:tc>
        <w:tc>
          <w:tcPr>
            <w:tcW w:w="781" w:type="dxa"/>
          </w:tcPr>
          <w:p w14:paraId="7D4B879D" w14:textId="77777777" w:rsidR="004D42F9" w:rsidRDefault="004D42F9">
            <w:pPr>
              <w:cnfStyle w:val="000000000000" w:firstRow="0" w:lastRow="0" w:firstColumn="0" w:lastColumn="0" w:oddVBand="0" w:evenVBand="0" w:oddHBand="0" w:evenHBand="0" w:firstRowFirstColumn="0" w:firstRowLastColumn="0" w:lastRowFirstColumn="0" w:lastRowLastColumn="0"/>
            </w:pPr>
            <w:r>
              <w:t>2 412</w:t>
            </w:r>
          </w:p>
        </w:tc>
      </w:tr>
      <w:tr w:rsidR="004D42F9" w14:paraId="5C09F35C" w14:textId="77777777">
        <w:tc>
          <w:tcPr>
            <w:cnfStyle w:val="001000000000" w:firstRow="0" w:lastRow="0" w:firstColumn="1" w:lastColumn="0" w:oddVBand="0" w:evenVBand="0" w:oddHBand="0" w:evenHBand="0" w:firstRowFirstColumn="0" w:firstRowLastColumn="0" w:lastRowFirstColumn="0" w:lastRowLastColumn="0"/>
            <w:tcW w:w="5954" w:type="dxa"/>
          </w:tcPr>
          <w:p w14:paraId="3D7FD560" w14:textId="77777777" w:rsidR="004D42F9" w:rsidRDefault="004D42F9">
            <w:r>
              <w:t>Social Housing</w:t>
            </w:r>
          </w:p>
        </w:tc>
        <w:tc>
          <w:tcPr>
            <w:tcW w:w="921" w:type="dxa"/>
          </w:tcPr>
          <w:p w14:paraId="6C299DC9" w14:textId="77777777" w:rsidR="004D42F9" w:rsidRDefault="004D42F9">
            <w:pPr>
              <w:cnfStyle w:val="000000000000" w:firstRow="0" w:lastRow="0" w:firstColumn="0" w:lastColumn="0" w:oddVBand="0" w:evenVBand="0" w:oddHBand="0" w:evenHBand="0" w:firstRowFirstColumn="0" w:firstRowLastColumn="0" w:lastRowFirstColumn="0" w:lastRowLastColumn="0"/>
            </w:pPr>
            <w:r>
              <w:t>1 359</w:t>
            </w:r>
          </w:p>
        </w:tc>
        <w:tc>
          <w:tcPr>
            <w:tcW w:w="921" w:type="dxa"/>
          </w:tcPr>
          <w:p w14:paraId="13972707" w14:textId="77777777" w:rsidR="004D42F9" w:rsidRDefault="004D42F9">
            <w:pPr>
              <w:cnfStyle w:val="000000000000" w:firstRow="0" w:lastRow="0" w:firstColumn="0" w:lastColumn="0" w:oddVBand="0" w:evenVBand="0" w:oddHBand="0" w:evenHBand="0" w:firstRowFirstColumn="0" w:firstRowLastColumn="0" w:lastRowFirstColumn="0" w:lastRowLastColumn="0"/>
            </w:pPr>
            <w:r>
              <w:t>770</w:t>
            </w:r>
          </w:p>
        </w:tc>
        <w:tc>
          <w:tcPr>
            <w:tcW w:w="921" w:type="dxa"/>
          </w:tcPr>
          <w:p w14:paraId="28C0E68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0B587840"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6FA1EEB2" w14:textId="77777777">
        <w:tc>
          <w:tcPr>
            <w:cnfStyle w:val="001000000000" w:firstRow="0" w:lastRow="0" w:firstColumn="1" w:lastColumn="0" w:oddVBand="0" w:evenVBand="0" w:oddHBand="0" w:evenHBand="0" w:firstRowFirstColumn="0" w:firstRowLastColumn="0" w:lastRowFirstColumn="0" w:lastRowLastColumn="0"/>
            <w:tcW w:w="5954" w:type="dxa"/>
          </w:tcPr>
          <w:p w14:paraId="04C9EE89" w14:textId="77777777" w:rsidR="004D42F9" w:rsidRDefault="004D42F9">
            <w:r>
              <w:t>Traffic camera services (Traffic camera office)</w:t>
            </w:r>
          </w:p>
        </w:tc>
        <w:tc>
          <w:tcPr>
            <w:tcW w:w="921" w:type="dxa"/>
          </w:tcPr>
          <w:p w14:paraId="51D0B6A4" w14:textId="77777777" w:rsidR="004D42F9" w:rsidRDefault="004D42F9">
            <w:pPr>
              <w:cnfStyle w:val="000000000000" w:firstRow="0" w:lastRow="0" w:firstColumn="0" w:lastColumn="0" w:oddVBand="0" w:evenVBand="0" w:oddHBand="0" w:evenHBand="0" w:firstRowFirstColumn="0" w:firstRowLastColumn="0" w:lastRowFirstColumn="0" w:lastRowLastColumn="0"/>
            </w:pPr>
            <w:r>
              <w:t>297</w:t>
            </w:r>
          </w:p>
        </w:tc>
        <w:tc>
          <w:tcPr>
            <w:tcW w:w="921" w:type="dxa"/>
          </w:tcPr>
          <w:p w14:paraId="4EFB863F" w14:textId="77777777" w:rsidR="004D42F9" w:rsidRDefault="004D42F9">
            <w:pPr>
              <w:cnfStyle w:val="000000000000" w:firstRow="0" w:lastRow="0" w:firstColumn="0" w:lastColumn="0" w:oddVBand="0" w:evenVBand="0" w:oddHBand="0" w:evenHBand="0" w:firstRowFirstColumn="0" w:firstRowLastColumn="0" w:lastRowFirstColumn="0" w:lastRowLastColumn="0"/>
            </w:pPr>
            <w:r>
              <w:t>141</w:t>
            </w:r>
          </w:p>
        </w:tc>
        <w:tc>
          <w:tcPr>
            <w:tcW w:w="921" w:type="dxa"/>
          </w:tcPr>
          <w:p w14:paraId="225A0278" w14:textId="77777777" w:rsidR="004D42F9" w:rsidRDefault="004D42F9">
            <w:pPr>
              <w:cnfStyle w:val="000000000000" w:firstRow="0" w:lastRow="0" w:firstColumn="0" w:lastColumn="0" w:oddVBand="0" w:evenVBand="0" w:oddHBand="0" w:evenHBand="0" w:firstRowFirstColumn="0" w:firstRowLastColumn="0" w:lastRowFirstColumn="0" w:lastRowLastColumn="0"/>
            </w:pPr>
            <w:r>
              <w:t>297</w:t>
            </w:r>
          </w:p>
        </w:tc>
        <w:tc>
          <w:tcPr>
            <w:tcW w:w="781" w:type="dxa"/>
          </w:tcPr>
          <w:p w14:paraId="721D786D" w14:textId="77777777" w:rsidR="004D42F9" w:rsidRDefault="004D42F9">
            <w:pPr>
              <w:cnfStyle w:val="000000000000" w:firstRow="0" w:lastRow="0" w:firstColumn="0" w:lastColumn="0" w:oddVBand="0" w:evenVBand="0" w:oddHBand="0" w:evenHBand="0" w:firstRowFirstColumn="0" w:firstRowLastColumn="0" w:lastRowFirstColumn="0" w:lastRowLastColumn="0"/>
            </w:pPr>
            <w:r>
              <w:t>142</w:t>
            </w:r>
          </w:p>
        </w:tc>
      </w:tr>
      <w:tr w:rsidR="004D42F9" w14:paraId="1F5AED65" w14:textId="77777777">
        <w:tc>
          <w:tcPr>
            <w:cnfStyle w:val="001000000000" w:firstRow="0" w:lastRow="0" w:firstColumn="1" w:lastColumn="0" w:oddVBand="0" w:evenVBand="0" w:oddHBand="0" w:evenHBand="0" w:firstRowFirstColumn="0" w:firstRowLastColumn="0" w:lastRowFirstColumn="0" w:lastRowLastColumn="0"/>
            <w:tcW w:w="5954" w:type="dxa"/>
          </w:tcPr>
          <w:p w14:paraId="324F21AB" w14:textId="77777777" w:rsidR="004D42F9" w:rsidRDefault="004D42F9">
            <w:r>
              <w:t>Transport Accident Commission funded medical research</w:t>
            </w:r>
          </w:p>
        </w:tc>
        <w:tc>
          <w:tcPr>
            <w:tcW w:w="921" w:type="dxa"/>
          </w:tcPr>
          <w:p w14:paraId="20CB7277" w14:textId="77777777" w:rsidR="004D42F9" w:rsidRDefault="004D42F9">
            <w:pPr>
              <w:cnfStyle w:val="000000000000" w:firstRow="0" w:lastRow="0" w:firstColumn="0" w:lastColumn="0" w:oddVBand="0" w:evenVBand="0" w:oddHBand="0" w:evenHBand="0" w:firstRowFirstColumn="0" w:firstRowLastColumn="0" w:lastRowFirstColumn="0" w:lastRowLastColumn="0"/>
            </w:pPr>
            <w:r>
              <w:t>5</w:t>
            </w:r>
          </w:p>
        </w:tc>
        <w:tc>
          <w:tcPr>
            <w:tcW w:w="921" w:type="dxa"/>
          </w:tcPr>
          <w:p w14:paraId="37F314CD" w14:textId="77777777" w:rsidR="004D42F9" w:rsidRDefault="004D42F9">
            <w:pPr>
              <w:cnfStyle w:val="000000000000" w:firstRow="0" w:lastRow="0" w:firstColumn="0" w:lastColumn="0" w:oddVBand="0" w:evenVBand="0" w:oddHBand="0" w:evenHBand="0" w:firstRowFirstColumn="0" w:firstRowLastColumn="0" w:lastRowFirstColumn="0" w:lastRowLastColumn="0"/>
            </w:pPr>
            <w:r>
              <w:t>4</w:t>
            </w:r>
          </w:p>
        </w:tc>
        <w:tc>
          <w:tcPr>
            <w:tcW w:w="921" w:type="dxa"/>
          </w:tcPr>
          <w:p w14:paraId="0371C096"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c>
          <w:tcPr>
            <w:tcW w:w="781" w:type="dxa"/>
          </w:tcPr>
          <w:p w14:paraId="3DF5F23D" w14:textId="77777777" w:rsidR="004D42F9" w:rsidRDefault="004D42F9">
            <w:pPr>
              <w:cnfStyle w:val="000000000000" w:firstRow="0" w:lastRow="0" w:firstColumn="0" w:lastColumn="0" w:oddVBand="0" w:evenVBand="0" w:oddHBand="0" w:evenHBand="0" w:firstRowFirstColumn="0" w:firstRowLastColumn="0" w:lastRowFirstColumn="0" w:lastRowLastColumn="0"/>
            </w:pPr>
            <w:r>
              <w:t>..</w:t>
            </w:r>
          </w:p>
        </w:tc>
      </w:tr>
      <w:tr w:rsidR="004D42F9" w14:paraId="41560B92" w14:textId="7777777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E52105B" w14:textId="77777777" w:rsidR="004D42F9" w:rsidRDefault="004D42F9">
            <w:r>
              <w:t>Other</w:t>
            </w:r>
            <w:r>
              <w:rPr>
                <w:vertAlign w:val="superscript"/>
              </w:rPr>
              <w:t xml:space="preserve"> (g)</w:t>
            </w:r>
          </w:p>
        </w:tc>
        <w:tc>
          <w:tcPr>
            <w:tcW w:w="921" w:type="dxa"/>
            <w:tcBorders>
              <w:bottom w:val="single" w:sz="6" w:space="0" w:color="auto"/>
            </w:tcBorders>
          </w:tcPr>
          <w:p w14:paraId="2D4A7D01" w14:textId="77777777" w:rsidR="004D42F9" w:rsidRDefault="004D42F9">
            <w:pPr>
              <w:cnfStyle w:val="000000000000" w:firstRow="0" w:lastRow="0" w:firstColumn="0" w:lastColumn="0" w:oddVBand="0" w:evenVBand="0" w:oddHBand="0" w:evenHBand="0" w:firstRowFirstColumn="0" w:firstRowLastColumn="0" w:lastRowFirstColumn="0" w:lastRowLastColumn="0"/>
            </w:pPr>
            <w:r>
              <w:t>1 437</w:t>
            </w:r>
          </w:p>
        </w:tc>
        <w:tc>
          <w:tcPr>
            <w:tcW w:w="921" w:type="dxa"/>
            <w:tcBorders>
              <w:bottom w:val="single" w:sz="6" w:space="0" w:color="auto"/>
            </w:tcBorders>
          </w:tcPr>
          <w:p w14:paraId="1DAA5247" w14:textId="77777777" w:rsidR="004D42F9" w:rsidRDefault="004D42F9">
            <w:pPr>
              <w:cnfStyle w:val="000000000000" w:firstRow="0" w:lastRow="0" w:firstColumn="0" w:lastColumn="0" w:oddVBand="0" w:evenVBand="0" w:oddHBand="0" w:evenHBand="0" w:firstRowFirstColumn="0" w:firstRowLastColumn="0" w:lastRowFirstColumn="0" w:lastRowLastColumn="0"/>
            </w:pPr>
            <w:r>
              <w:t>1 726</w:t>
            </w:r>
          </w:p>
        </w:tc>
        <w:tc>
          <w:tcPr>
            <w:tcW w:w="921" w:type="dxa"/>
            <w:tcBorders>
              <w:bottom w:val="single" w:sz="6" w:space="0" w:color="auto"/>
            </w:tcBorders>
          </w:tcPr>
          <w:p w14:paraId="2A232923" w14:textId="77777777" w:rsidR="004D42F9" w:rsidRDefault="004D42F9">
            <w:pPr>
              <w:cnfStyle w:val="000000000000" w:firstRow="0" w:lastRow="0" w:firstColumn="0" w:lastColumn="0" w:oddVBand="0" w:evenVBand="0" w:oddHBand="0" w:evenHBand="0" w:firstRowFirstColumn="0" w:firstRowLastColumn="0" w:lastRowFirstColumn="0" w:lastRowLastColumn="0"/>
            </w:pPr>
            <w:r>
              <w:t>1 192</w:t>
            </w:r>
          </w:p>
        </w:tc>
        <w:tc>
          <w:tcPr>
            <w:tcW w:w="781" w:type="dxa"/>
            <w:tcBorders>
              <w:bottom w:val="single" w:sz="6" w:space="0" w:color="auto"/>
            </w:tcBorders>
          </w:tcPr>
          <w:p w14:paraId="21EDF829" w14:textId="77777777" w:rsidR="004D42F9" w:rsidRDefault="004D42F9">
            <w:pPr>
              <w:cnfStyle w:val="000000000000" w:firstRow="0" w:lastRow="0" w:firstColumn="0" w:lastColumn="0" w:oddVBand="0" w:evenVBand="0" w:oddHBand="0" w:evenHBand="0" w:firstRowFirstColumn="0" w:firstRowLastColumn="0" w:lastRowFirstColumn="0" w:lastRowLastColumn="0"/>
            </w:pPr>
            <w:r>
              <w:t>1 433</w:t>
            </w:r>
          </w:p>
        </w:tc>
      </w:tr>
      <w:tr w:rsidR="004D42F9" w14:paraId="7C4C37F4"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1D06AF3E" w14:textId="77777777" w:rsidR="004D42F9" w:rsidRDefault="004D42F9">
            <w:r>
              <w:rPr>
                <w:b/>
              </w:rPr>
              <w:t xml:space="preserve">Total other commitments </w:t>
            </w:r>
            <w:r w:rsidRPr="009E2EAE">
              <w:rPr>
                <w:b/>
                <w:bCs/>
                <w:vertAlign w:val="superscript"/>
              </w:rPr>
              <w:t>(c)</w:t>
            </w:r>
          </w:p>
        </w:tc>
        <w:tc>
          <w:tcPr>
            <w:tcW w:w="921" w:type="dxa"/>
            <w:tcBorders>
              <w:top w:val="single" w:sz="6" w:space="0" w:color="auto"/>
              <w:bottom w:val="single" w:sz="6" w:space="0" w:color="auto"/>
            </w:tcBorders>
          </w:tcPr>
          <w:p w14:paraId="247D90C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27 706</w:t>
            </w:r>
          </w:p>
        </w:tc>
        <w:tc>
          <w:tcPr>
            <w:tcW w:w="921" w:type="dxa"/>
            <w:tcBorders>
              <w:top w:val="single" w:sz="6" w:space="0" w:color="auto"/>
              <w:bottom w:val="single" w:sz="6" w:space="0" w:color="auto"/>
            </w:tcBorders>
          </w:tcPr>
          <w:p w14:paraId="0027DF10"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22 826</w:t>
            </w:r>
          </w:p>
        </w:tc>
        <w:tc>
          <w:tcPr>
            <w:tcW w:w="921" w:type="dxa"/>
            <w:tcBorders>
              <w:top w:val="single" w:sz="6" w:space="0" w:color="auto"/>
              <w:bottom w:val="single" w:sz="6" w:space="0" w:color="auto"/>
            </w:tcBorders>
          </w:tcPr>
          <w:p w14:paraId="14A5283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23 380</w:t>
            </w:r>
          </w:p>
        </w:tc>
        <w:tc>
          <w:tcPr>
            <w:tcW w:w="781" w:type="dxa"/>
            <w:tcBorders>
              <w:top w:val="single" w:sz="6" w:space="0" w:color="auto"/>
              <w:bottom w:val="single" w:sz="6" w:space="0" w:color="auto"/>
            </w:tcBorders>
          </w:tcPr>
          <w:p w14:paraId="1F041FFF"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18 696</w:t>
            </w:r>
          </w:p>
        </w:tc>
      </w:tr>
      <w:tr w:rsidR="004D42F9" w14:paraId="2A11372A" w14:textId="7777777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130B9882" w14:textId="77777777" w:rsidR="004D42F9" w:rsidRDefault="004D42F9">
            <w:r>
              <w:rPr>
                <w:b/>
              </w:rPr>
              <w:t xml:space="preserve">Total commitments </w:t>
            </w:r>
            <w:r>
              <w:rPr>
                <w:b/>
                <w:vertAlign w:val="superscript"/>
              </w:rPr>
              <w:t>(c)</w:t>
            </w:r>
          </w:p>
        </w:tc>
        <w:tc>
          <w:tcPr>
            <w:tcW w:w="921" w:type="dxa"/>
            <w:tcBorders>
              <w:top w:val="single" w:sz="6" w:space="0" w:color="auto"/>
              <w:bottom w:val="single" w:sz="12" w:space="0" w:color="auto"/>
            </w:tcBorders>
          </w:tcPr>
          <w:p w14:paraId="3EE6794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65 938</w:t>
            </w:r>
          </w:p>
        </w:tc>
        <w:tc>
          <w:tcPr>
            <w:tcW w:w="921" w:type="dxa"/>
            <w:tcBorders>
              <w:top w:val="single" w:sz="6" w:space="0" w:color="auto"/>
              <w:bottom w:val="single" w:sz="12" w:space="0" w:color="auto"/>
            </w:tcBorders>
          </w:tcPr>
          <w:p w14:paraId="2AC7B8F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61 749</w:t>
            </w:r>
          </w:p>
        </w:tc>
        <w:tc>
          <w:tcPr>
            <w:tcW w:w="921" w:type="dxa"/>
            <w:tcBorders>
              <w:top w:val="single" w:sz="6" w:space="0" w:color="auto"/>
              <w:bottom w:val="single" w:sz="12" w:space="0" w:color="auto"/>
            </w:tcBorders>
          </w:tcPr>
          <w:p w14:paraId="4B10A91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62 146</w:t>
            </w:r>
          </w:p>
        </w:tc>
        <w:tc>
          <w:tcPr>
            <w:tcW w:w="781" w:type="dxa"/>
            <w:tcBorders>
              <w:top w:val="single" w:sz="6" w:space="0" w:color="auto"/>
              <w:bottom w:val="single" w:sz="12" w:space="0" w:color="auto"/>
            </w:tcBorders>
          </w:tcPr>
          <w:p w14:paraId="59338F6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55 368</w:t>
            </w:r>
          </w:p>
        </w:tc>
      </w:tr>
    </w:tbl>
    <w:p w14:paraId="717E0A71" w14:textId="77777777" w:rsidR="004D42F9" w:rsidRPr="002256BB" w:rsidRDefault="004D42F9" w:rsidP="004D42F9">
      <w:pPr>
        <w:pStyle w:val="Note"/>
      </w:pPr>
      <w:bookmarkStart w:id="109" w:name="_Hlk174025900"/>
      <w:r w:rsidRPr="002256BB">
        <w:t>Notes:</w:t>
      </w:r>
    </w:p>
    <w:p w14:paraId="0B637622" w14:textId="77777777" w:rsidR="004D42F9" w:rsidRPr="00BE70A3" w:rsidRDefault="004D42F9" w:rsidP="004D42F9">
      <w:pPr>
        <w:pStyle w:val="Note"/>
        <w:rPr>
          <w:szCs w:val="14"/>
        </w:rPr>
      </w:pPr>
      <w:r w:rsidRPr="00BE70A3">
        <w:rPr>
          <w:szCs w:val="14"/>
        </w:rPr>
        <w:t>(a)</w:t>
      </w:r>
      <w:r w:rsidRPr="00BE70A3">
        <w:rPr>
          <w:szCs w:val="14"/>
        </w:rPr>
        <w:tab/>
        <w:t>The figures presented are inclusive of GST.</w:t>
      </w:r>
    </w:p>
    <w:p w14:paraId="01B7AB2E" w14:textId="77777777" w:rsidR="004D42F9" w:rsidRDefault="004D42F9" w:rsidP="004D42F9">
      <w:pPr>
        <w:pStyle w:val="Note"/>
        <w:rPr>
          <w:szCs w:val="14"/>
        </w:rPr>
      </w:pPr>
      <w:r w:rsidRPr="00BE70A3">
        <w:rPr>
          <w:szCs w:val="14"/>
        </w:rPr>
        <w:t>(</w:t>
      </w:r>
      <w:r>
        <w:rPr>
          <w:szCs w:val="14"/>
        </w:rPr>
        <w:t>b</w:t>
      </w:r>
      <w:r w:rsidRPr="00BE70A3">
        <w:rPr>
          <w:szCs w:val="14"/>
        </w:rPr>
        <w:t>)</w:t>
      </w:r>
      <w:r w:rsidRPr="00BE70A3">
        <w:rPr>
          <w:szCs w:val="14"/>
        </w:rPr>
        <w:tab/>
      </w:r>
      <w:r w:rsidRPr="00C02ABE">
        <w:rPr>
          <w:szCs w:val="14"/>
        </w:rPr>
        <w:t>This line item includes the expected future liabilities yet to be recognised on the balance sheet for PPP commitments recognised under AASB 116. A breakdown of the liabilities by project is provided in the following table.</w:t>
      </w:r>
    </w:p>
    <w:bookmarkEnd w:id="109"/>
    <w:p w14:paraId="7E2EB95B" w14:textId="77777777" w:rsidR="004D42F9" w:rsidRPr="00BE70A3" w:rsidRDefault="004D42F9" w:rsidP="004D42F9">
      <w:pPr>
        <w:pStyle w:val="Note"/>
        <w:rPr>
          <w:szCs w:val="14"/>
        </w:rPr>
      </w:pPr>
      <w:r w:rsidRPr="00BE70A3">
        <w:rPr>
          <w:szCs w:val="14"/>
        </w:rPr>
        <w:t>(</w:t>
      </w:r>
      <w:r>
        <w:rPr>
          <w:szCs w:val="14"/>
        </w:rPr>
        <w:t>c</w:t>
      </w:r>
      <w:r w:rsidRPr="00BE70A3">
        <w:rPr>
          <w:szCs w:val="14"/>
        </w:rPr>
        <w:t>)</w:t>
      </w:r>
      <w:r w:rsidRPr="00BE70A3">
        <w:rPr>
          <w:szCs w:val="14"/>
        </w:rPr>
        <w:tab/>
      </w:r>
      <w:r w:rsidRPr="00B17C01">
        <w:rPr>
          <w:szCs w:val="14"/>
        </w:rPr>
        <w:t>The 202</w:t>
      </w:r>
      <w:r>
        <w:rPr>
          <w:szCs w:val="14"/>
        </w:rPr>
        <w:t>3-24</w:t>
      </w:r>
      <w:r w:rsidRPr="00B17C01">
        <w:rPr>
          <w:szCs w:val="14"/>
        </w:rPr>
        <w:t xml:space="preserve"> comparative figures have been </w:t>
      </w:r>
      <w:r>
        <w:rPr>
          <w:szCs w:val="14"/>
        </w:rPr>
        <w:t xml:space="preserve">reclassified and </w:t>
      </w:r>
      <w:r w:rsidRPr="00B17C01">
        <w:rPr>
          <w:szCs w:val="14"/>
        </w:rPr>
        <w:t xml:space="preserve">restated to </w:t>
      </w:r>
      <w:r>
        <w:rPr>
          <w:szCs w:val="14"/>
        </w:rPr>
        <w:t xml:space="preserve">more accurately </w:t>
      </w:r>
      <w:r w:rsidRPr="00B17C01">
        <w:rPr>
          <w:szCs w:val="14"/>
        </w:rPr>
        <w:t xml:space="preserve">reflect </w:t>
      </w:r>
      <w:r>
        <w:rPr>
          <w:szCs w:val="14"/>
        </w:rPr>
        <w:t>the nature of the commitments.</w:t>
      </w:r>
    </w:p>
    <w:p w14:paraId="6189DA5C" w14:textId="41DBFF5E" w:rsidR="004D42F9" w:rsidRPr="00BE70A3" w:rsidRDefault="004D42F9" w:rsidP="004D42F9">
      <w:pPr>
        <w:pStyle w:val="Note"/>
        <w:rPr>
          <w:szCs w:val="14"/>
        </w:rPr>
      </w:pPr>
      <w:r>
        <w:rPr>
          <w:szCs w:val="14"/>
        </w:rPr>
        <w:t>(d)</w:t>
      </w:r>
      <w:r w:rsidR="0004261B">
        <w:rPr>
          <w:szCs w:val="14"/>
        </w:rPr>
        <w:tab/>
      </w:r>
      <w:r w:rsidRPr="00A34E13">
        <w:rPr>
          <w:szCs w:val="14"/>
        </w:rPr>
        <w:t xml:space="preserve">The 2024 figures have been restated to reflect the reclassification of </w:t>
      </w:r>
      <w:r>
        <w:rPr>
          <w:szCs w:val="14"/>
        </w:rPr>
        <w:t>Service Delivery of M</w:t>
      </w:r>
      <w:r w:rsidRPr="00A34E13">
        <w:rPr>
          <w:szCs w:val="14"/>
        </w:rPr>
        <w:t xml:space="preserve">obile </w:t>
      </w:r>
      <w:r>
        <w:rPr>
          <w:szCs w:val="14"/>
        </w:rPr>
        <w:t>N</w:t>
      </w:r>
      <w:r w:rsidRPr="00A34E13">
        <w:rPr>
          <w:szCs w:val="14"/>
        </w:rPr>
        <w:t>etwork commitments to Lease Commitments</w:t>
      </w:r>
      <w:r>
        <w:rPr>
          <w:szCs w:val="14"/>
        </w:rPr>
        <w:t xml:space="preserve"> </w:t>
      </w:r>
      <w:r w:rsidRPr="00A34E13">
        <w:rPr>
          <w:szCs w:val="14"/>
        </w:rPr>
        <w:t>in Note 5.6.</w:t>
      </w:r>
    </w:p>
    <w:p w14:paraId="008AE766" w14:textId="0BF4EF23" w:rsidR="004D42F9" w:rsidRDefault="004D42F9" w:rsidP="004D42F9">
      <w:pPr>
        <w:pStyle w:val="Note"/>
        <w:rPr>
          <w:szCs w:val="14"/>
        </w:rPr>
      </w:pPr>
      <w:r>
        <w:rPr>
          <w:szCs w:val="14"/>
        </w:rPr>
        <w:t xml:space="preserve">(e) </w:t>
      </w:r>
      <w:r w:rsidR="0004261B">
        <w:rPr>
          <w:szCs w:val="14"/>
        </w:rPr>
        <w:tab/>
      </w:r>
      <w:r w:rsidRPr="00BE70A3">
        <w:rPr>
          <w:szCs w:val="14"/>
        </w:rPr>
        <w:t>Melbourne renewable energy hub (MREH) in this table represents State Electricity Commission</w:t>
      </w:r>
      <w:r w:rsidR="00845934">
        <w:rPr>
          <w:szCs w:val="14"/>
        </w:rPr>
        <w:t>’</w:t>
      </w:r>
      <w:r w:rsidRPr="00BE70A3">
        <w:rPr>
          <w:szCs w:val="14"/>
        </w:rPr>
        <w:t>s remaining commitment for the 600-megawatt MREH in partnership with Equis Development Pty Ltd.</w:t>
      </w:r>
    </w:p>
    <w:p w14:paraId="6BDBDDB6" w14:textId="6FDA8D51" w:rsidR="004D42F9" w:rsidRPr="00BE70A3" w:rsidRDefault="004D42F9" w:rsidP="004D42F9">
      <w:pPr>
        <w:pStyle w:val="Note"/>
        <w:rPr>
          <w:szCs w:val="14"/>
        </w:rPr>
      </w:pPr>
      <w:r>
        <w:rPr>
          <w:szCs w:val="14"/>
        </w:rPr>
        <w:t xml:space="preserve">(f) </w:t>
      </w:r>
      <w:r w:rsidR="0004261B">
        <w:rPr>
          <w:szCs w:val="14"/>
        </w:rPr>
        <w:tab/>
      </w:r>
      <w:r w:rsidRPr="00B42DBD">
        <w:rPr>
          <w:szCs w:val="14"/>
        </w:rPr>
        <w:t>This line item includes the operating component of PPP commitments recognised under AASB 116. A breakdown of these operating PPP commitments by project is provided in the following table.</w:t>
      </w:r>
    </w:p>
    <w:p w14:paraId="6CD58F05" w14:textId="62846662" w:rsidR="004D42F9" w:rsidRPr="00BE70A3" w:rsidRDefault="004D42F9" w:rsidP="004D42F9">
      <w:pPr>
        <w:pStyle w:val="Note"/>
        <w:rPr>
          <w:szCs w:val="14"/>
        </w:rPr>
      </w:pPr>
      <w:r>
        <w:rPr>
          <w:szCs w:val="14"/>
        </w:rPr>
        <w:t>(g)</w:t>
      </w:r>
      <w:r w:rsidR="0004261B">
        <w:rPr>
          <w:szCs w:val="14"/>
        </w:rPr>
        <w:tab/>
      </w:r>
      <w:r>
        <w:rPr>
          <w:szCs w:val="14"/>
        </w:rPr>
        <w:t xml:space="preserve">The 2023-24 comparatives have been reclassified from other to PPP operating commitments line item reflecting the separate identification of PPP operating commitments under AASB 116 </w:t>
      </w:r>
      <w:r w:rsidRPr="00D2365C">
        <w:rPr>
          <w:szCs w:val="14"/>
        </w:rPr>
        <w:t>in this table.</w:t>
      </w:r>
    </w:p>
    <w:p w14:paraId="57DC9A97" w14:textId="77777777" w:rsidR="004D42F9" w:rsidRPr="00BE70A3" w:rsidRDefault="004D42F9" w:rsidP="004D42F9">
      <w:pPr>
        <w:pStyle w:val="Note"/>
        <w:rPr>
          <w:szCs w:val="14"/>
        </w:rPr>
      </w:pPr>
    </w:p>
    <w:p w14:paraId="452382B9" w14:textId="77777777" w:rsidR="004D42F9" w:rsidRPr="00B90414" w:rsidRDefault="004D42F9" w:rsidP="004D42F9">
      <w:pPr>
        <w:pStyle w:val="TableHeading"/>
        <w:pageBreakBefore/>
      </w:pPr>
      <w:r w:rsidRPr="00B90414">
        <w:lastRenderedPageBreak/>
        <w:t>P</w:t>
      </w:r>
      <w:r>
        <w:t>PE</w:t>
      </w:r>
      <w:r w:rsidRPr="00B90414">
        <w:t xml:space="preserve"> commitments</w:t>
      </w:r>
      <w:r w:rsidRPr="00B90414">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mmitments/Link_Commitments.xlsx|Table:PPE_Commitments"/>
      </w:tblPr>
      <w:tblGrid>
        <w:gridCol w:w="2954"/>
        <w:gridCol w:w="1022"/>
        <w:gridCol w:w="1092"/>
        <w:gridCol w:w="1231"/>
        <w:gridCol w:w="134"/>
        <w:gridCol w:w="874"/>
        <w:gridCol w:w="1078"/>
        <w:gridCol w:w="1253"/>
      </w:tblGrid>
      <w:tr w:rsidR="00991200" w:rsidRPr="008527DB" w14:paraId="09B06E0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4" w:type="dxa"/>
          </w:tcPr>
          <w:p w14:paraId="7E5AD450" w14:textId="77777777" w:rsidR="004D42F9" w:rsidRPr="008527DB" w:rsidRDefault="004D42F9">
            <w:pPr>
              <w:keepNext/>
              <w:rPr>
                <w:sz w:val="16"/>
                <w:szCs w:val="16"/>
              </w:rPr>
            </w:pPr>
            <w:r w:rsidRPr="008527DB">
              <w:rPr>
                <w:sz w:val="16"/>
                <w:szCs w:val="16"/>
              </w:rPr>
              <w:t>State of Victoria</w:t>
            </w:r>
            <w:r w:rsidRPr="008527DB">
              <w:rPr>
                <w:sz w:val="16"/>
                <w:szCs w:val="16"/>
                <w:vertAlign w:val="superscript"/>
              </w:rPr>
              <w:t xml:space="preserve"> (a)</w:t>
            </w:r>
          </w:p>
        </w:tc>
        <w:tc>
          <w:tcPr>
            <w:tcW w:w="3345" w:type="dxa"/>
            <w:gridSpan w:val="3"/>
            <w:tcBorders>
              <w:bottom w:val="single" w:sz="6" w:space="0" w:color="FFFFFF" w:themeColor="background1"/>
            </w:tcBorders>
          </w:tcPr>
          <w:p w14:paraId="7D8FEA7C" w14:textId="77777777" w:rsidR="004D42F9" w:rsidRPr="008527DB"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2025</w:t>
            </w:r>
          </w:p>
        </w:tc>
        <w:tc>
          <w:tcPr>
            <w:tcW w:w="134" w:type="dxa"/>
          </w:tcPr>
          <w:p w14:paraId="152386C5"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3205" w:type="dxa"/>
            <w:gridSpan w:val="3"/>
            <w:tcBorders>
              <w:bottom w:val="single" w:sz="6" w:space="0" w:color="FFFFFF" w:themeColor="background1"/>
            </w:tcBorders>
          </w:tcPr>
          <w:p w14:paraId="0EF5E074" w14:textId="77777777" w:rsidR="004D42F9" w:rsidRPr="008527DB" w:rsidRDefault="004D42F9">
            <w:pPr>
              <w:keepNext/>
              <w:jc w:val="center"/>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2024</w:t>
            </w:r>
          </w:p>
        </w:tc>
      </w:tr>
      <w:tr w:rsidR="002B1B5E" w:rsidRPr="008527DB" w14:paraId="6581494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4" w:type="dxa"/>
          </w:tcPr>
          <w:p w14:paraId="507AAD22" w14:textId="77777777" w:rsidR="004D42F9" w:rsidRPr="008527DB" w:rsidRDefault="004D42F9">
            <w:pPr>
              <w:keepNext/>
              <w:rPr>
                <w:sz w:val="16"/>
                <w:szCs w:val="16"/>
              </w:rPr>
            </w:pPr>
          </w:p>
        </w:tc>
        <w:tc>
          <w:tcPr>
            <w:tcW w:w="1022" w:type="dxa"/>
          </w:tcPr>
          <w:p w14:paraId="0D50C4FA"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Liability</w:t>
            </w:r>
            <w:r w:rsidRPr="008527DB">
              <w:rPr>
                <w:sz w:val="16"/>
                <w:szCs w:val="16"/>
                <w:vertAlign w:val="superscript"/>
              </w:rPr>
              <w:t xml:space="preserve"> (b)</w:t>
            </w:r>
          </w:p>
        </w:tc>
        <w:tc>
          <w:tcPr>
            <w:tcW w:w="1092" w:type="dxa"/>
          </w:tcPr>
          <w:p w14:paraId="6EA15334"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Other commitments</w:t>
            </w:r>
          </w:p>
        </w:tc>
        <w:tc>
          <w:tcPr>
            <w:tcW w:w="1231" w:type="dxa"/>
          </w:tcPr>
          <w:p w14:paraId="3E01EE6C"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Total commitments</w:t>
            </w:r>
            <w:r w:rsidRPr="008527DB">
              <w:rPr>
                <w:sz w:val="16"/>
                <w:szCs w:val="16"/>
                <w:vertAlign w:val="superscript"/>
              </w:rPr>
              <w:t xml:space="preserve"> (</w:t>
            </w:r>
            <w:r>
              <w:rPr>
                <w:sz w:val="16"/>
                <w:szCs w:val="16"/>
                <w:vertAlign w:val="superscript"/>
              </w:rPr>
              <w:t>c</w:t>
            </w:r>
            <w:r w:rsidRPr="008527DB">
              <w:rPr>
                <w:sz w:val="16"/>
                <w:szCs w:val="16"/>
                <w:vertAlign w:val="superscript"/>
              </w:rPr>
              <w:t>)</w:t>
            </w:r>
          </w:p>
        </w:tc>
        <w:tc>
          <w:tcPr>
            <w:tcW w:w="134" w:type="dxa"/>
          </w:tcPr>
          <w:p w14:paraId="6B247AE0"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p>
        </w:tc>
        <w:tc>
          <w:tcPr>
            <w:tcW w:w="874" w:type="dxa"/>
          </w:tcPr>
          <w:p w14:paraId="718AD4D0"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Liability</w:t>
            </w:r>
            <w:r w:rsidRPr="008527DB">
              <w:rPr>
                <w:sz w:val="16"/>
                <w:szCs w:val="16"/>
                <w:vertAlign w:val="superscript"/>
              </w:rPr>
              <w:t xml:space="preserve"> (b)</w:t>
            </w:r>
          </w:p>
        </w:tc>
        <w:tc>
          <w:tcPr>
            <w:tcW w:w="1078" w:type="dxa"/>
          </w:tcPr>
          <w:p w14:paraId="76133010"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Other commitments</w:t>
            </w:r>
          </w:p>
        </w:tc>
        <w:tc>
          <w:tcPr>
            <w:tcW w:w="1253" w:type="dxa"/>
          </w:tcPr>
          <w:p w14:paraId="5927C36E" w14:textId="77777777" w:rsidR="004D42F9" w:rsidRPr="008527DB" w:rsidRDefault="004D42F9">
            <w:pPr>
              <w:keepNext/>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Total commitments</w:t>
            </w:r>
            <w:r w:rsidRPr="008527DB">
              <w:rPr>
                <w:sz w:val="16"/>
                <w:szCs w:val="16"/>
                <w:vertAlign w:val="superscript"/>
              </w:rPr>
              <w:t xml:space="preserve"> (</w:t>
            </w:r>
            <w:r>
              <w:rPr>
                <w:sz w:val="16"/>
                <w:szCs w:val="16"/>
                <w:vertAlign w:val="superscript"/>
              </w:rPr>
              <w:t>c</w:t>
            </w:r>
            <w:r w:rsidRPr="008527DB">
              <w:rPr>
                <w:sz w:val="16"/>
                <w:szCs w:val="16"/>
                <w:vertAlign w:val="superscript"/>
              </w:rPr>
              <w:t>)</w:t>
            </w:r>
          </w:p>
        </w:tc>
      </w:tr>
      <w:tr w:rsidR="002B1B5E" w:rsidRPr="008527DB" w14:paraId="569D716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54" w:type="dxa"/>
          </w:tcPr>
          <w:p w14:paraId="2BE4D501" w14:textId="77777777" w:rsidR="004D42F9" w:rsidRPr="008527DB" w:rsidRDefault="004D42F9">
            <w:pPr>
              <w:keepNext/>
              <w:spacing w:before="120"/>
              <w:rPr>
                <w:sz w:val="16"/>
                <w:szCs w:val="16"/>
              </w:rPr>
            </w:pPr>
          </w:p>
        </w:tc>
        <w:tc>
          <w:tcPr>
            <w:tcW w:w="1022" w:type="dxa"/>
          </w:tcPr>
          <w:p w14:paraId="04CC4149"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Discounted value</w:t>
            </w:r>
            <w:r w:rsidRPr="008527DB">
              <w:rPr>
                <w:sz w:val="16"/>
                <w:szCs w:val="16"/>
                <w:vertAlign w:val="superscript"/>
              </w:rPr>
              <w:t xml:space="preserve"> (</w:t>
            </w:r>
            <w:r>
              <w:rPr>
                <w:sz w:val="16"/>
                <w:szCs w:val="16"/>
                <w:vertAlign w:val="superscript"/>
              </w:rPr>
              <w:t>d</w:t>
            </w:r>
            <w:r w:rsidRPr="008527DB">
              <w:rPr>
                <w:sz w:val="16"/>
                <w:szCs w:val="16"/>
                <w:vertAlign w:val="superscript"/>
              </w:rPr>
              <w:t>)</w:t>
            </w:r>
          </w:p>
        </w:tc>
        <w:tc>
          <w:tcPr>
            <w:tcW w:w="1092" w:type="dxa"/>
          </w:tcPr>
          <w:p w14:paraId="2AF150A8"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Present</w:t>
            </w:r>
            <w:r w:rsidRPr="008527DB">
              <w:rPr>
                <w:sz w:val="16"/>
                <w:szCs w:val="16"/>
              </w:rPr>
              <w:br/>
              <w:t>value</w:t>
            </w:r>
          </w:p>
        </w:tc>
        <w:tc>
          <w:tcPr>
            <w:tcW w:w="1231" w:type="dxa"/>
          </w:tcPr>
          <w:p w14:paraId="06B00D49"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Nominal</w:t>
            </w:r>
            <w:r w:rsidRPr="008527DB">
              <w:rPr>
                <w:sz w:val="16"/>
                <w:szCs w:val="16"/>
              </w:rPr>
              <w:br/>
              <w:t>value</w:t>
            </w:r>
          </w:p>
        </w:tc>
        <w:tc>
          <w:tcPr>
            <w:tcW w:w="134" w:type="dxa"/>
          </w:tcPr>
          <w:p w14:paraId="2AFA4B3D"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p>
        </w:tc>
        <w:tc>
          <w:tcPr>
            <w:tcW w:w="874" w:type="dxa"/>
          </w:tcPr>
          <w:p w14:paraId="5F2532F5"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Discounted value</w:t>
            </w:r>
            <w:r w:rsidRPr="008527DB">
              <w:rPr>
                <w:sz w:val="16"/>
                <w:szCs w:val="16"/>
                <w:vertAlign w:val="superscript"/>
              </w:rPr>
              <w:t xml:space="preserve"> (</w:t>
            </w:r>
            <w:r>
              <w:rPr>
                <w:sz w:val="16"/>
                <w:szCs w:val="16"/>
                <w:vertAlign w:val="superscript"/>
              </w:rPr>
              <w:t>d</w:t>
            </w:r>
            <w:r w:rsidRPr="008527DB">
              <w:rPr>
                <w:sz w:val="16"/>
                <w:szCs w:val="16"/>
                <w:vertAlign w:val="superscript"/>
              </w:rPr>
              <w:t>)</w:t>
            </w:r>
          </w:p>
        </w:tc>
        <w:tc>
          <w:tcPr>
            <w:tcW w:w="1078" w:type="dxa"/>
          </w:tcPr>
          <w:p w14:paraId="3120CC01"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Present</w:t>
            </w:r>
            <w:r w:rsidRPr="008527DB">
              <w:rPr>
                <w:sz w:val="16"/>
                <w:szCs w:val="16"/>
              </w:rPr>
              <w:br/>
              <w:t>value</w:t>
            </w:r>
          </w:p>
        </w:tc>
        <w:tc>
          <w:tcPr>
            <w:tcW w:w="1253" w:type="dxa"/>
          </w:tcPr>
          <w:p w14:paraId="523F0486" w14:textId="77777777" w:rsidR="004D42F9" w:rsidRPr="008527DB" w:rsidRDefault="004D42F9">
            <w:pPr>
              <w:keepNext/>
              <w:spacing w:before="120"/>
              <w:cnfStyle w:val="100000000000" w:firstRow="1" w:lastRow="0" w:firstColumn="0" w:lastColumn="0" w:oddVBand="0" w:evenVBand="0" w:oddHBand="0" w:evenHBand="0" w:firstRowFirstColumn="0" w:firstRowLastColumn="0" w:lastRowFirstColumn="0" w:lastRowLastColumn="0"/>
              <w:rPr>
                <w:sz w:val="16"/>
                <w:szCs w:val="16"/>
              </w:rPr>
            </w:pPr>
            <w:r w:rsidRPr="008527DB">
              <w:rPr>
                <w:sz w:val="16"/>
                <w:szCs w:val="16"/>
              </w:rPr>
              <w:t>Nominal</w:t>
            </w:r>
            <w:r w:rsidRPr="008527DB">
              <w:rPr>
                <w:sz w:val="16"/>
                <w:szCs w:val="16"/>
              </w:rPr>
              <w:br/>
              <w:t>value</w:t>
            </w:r>
          </w:p>
        </w:tc>
      </w:tr>
      <w:tr w:rsidR="004D42F9" w:rsidRPr="008527DB" w14:paraId="150B08F7" w14:textId="77777777">
        <w:tc>
          <w:tcPr>
            <w:cnfStyle w:val="001000000000" w:firstRow="0" w:lastRow="0" w:firstColumn="1" w:lastColumn="0" w:oddVBand="0" w:evenVBand="0" w:oddHBand="0" w:evenHBand="0" w:firstRowFirstColumn="0" w:firstRowLastColumn="0" w:lastRowFirstColumn="0" w:lastRowLastColumn="0"/>
            <w:tcW w:w="2954" w:type="dxa"/>
          </w:tcPr>
          <w:p w14:paraId="71156040" w14:textId="77777777" w:rsidR="004D42F9" w:rsidRPr="008527DB" w:rsidRDefault="004D42F9">
            <w:pPr>
              <w:rPr>
                <w:sz w:val="16"/>
                <w:szCs w:val="16"/>
              </w:rPr>
            </w:pPr>
            <w:r w:rsidRPr="008527DB">
              <w:rPr>
                <w:b/>
                <w:sz w:val="16"/>
                <w:szCs w:val="16"/>
              </w:rPr>
              <w:t>Commissioned PPE commitments</w:t>
            </w:r>
          </w:p>
        </w:tc>
        <w:tc>
          <w:tcPr>
            <w:tcW w:w="1022" w:type="dxa"/>
          </w:tcPr>
          <w:p w14:paraId="5C1A688A"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092" w:type="dxa"/>
          </w:tcPr>
          <w:p w14:paraId="7C29688C"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231" w:type="dxa"/>
          </w:tcPr>
          <w:p w14:paraId="5B9CAAB5"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244DD8AB"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597DD5B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078" w:type="dxa"/>
          </w:tcPr>
          <w:p w14:paraId="4B7C8CCB"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253" w:type="dxa"/>
          </w:tcPr>
          <w:p w14:paraId="0432343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r>
      <w:tr w:rsidR="004D42F9" w:rsidRPr="008527DB" w14:paraId="70A935A4" w14:textId="77777777">
        <w:tc>
          <w:tcPr>
            <w:cnfStyle w:val="001000000000" w:firstRow="0" w:lastRow="0" w:firstColumn="1" w:lastColumn="0" w:oddVBand="0" w:evenVBand="0" w:oddHBand="0" w:evenHBand="0" w:firstRowFirstColumn="0" w:firstRowLastColumn="0" w:lastRowFirstColumn="0" w:lastRowLastColumn="0"/>
            <w:tcW w:w="2954" w:type="dxa"/>
          </w:tcPr>
          <w:p w14:paraId="6363A86C" w14:textId="77777777" w:rsidR="004D42F9" w:rsidRPr="008527DB" w:rsidRDefault="004D42F9">
            <w:pPr>
              <w:rPr>
                <w:sz w:val="16"/>
                <w:szCs w:val="16"/>
              </w:rPr>
            </w:pPr>
            <w:r w:rsidRPr="008527DB">
              <w:rPr>
                <w:sz w:val="16"/>
                <w:szCs w:val="16"/>
              </w:rPr>
              <w:t>Hopkins Correctional Centre</w:t>
            </w:r>
          </w:p>
        </w:tc>
        <w:tc>
          <w:tcPr>
            <w:tcW w:w="1022" w:type="dxa"/>
          </w:tcPr>
          <w:p w14:paraId="0141160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w:t>
            </w:r>
          </w:p>
        </w:tc>
        <w:tc>
          <w:tcPr>
            <w:tcW w:w="1092" w:type="dxa"/>
          </w:tcPr>
          <w:p w14:paraId="38F68F0A"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219</w:t>
            </w:r>
          </w:p>
        </w:tc>
        <w:tc>
          <w:tcPr>
            <w:tcW w:w="1231" w:type="dxa"/>
          </w:tcPr>
          <w:p w14:paraId="65DA4893"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355</w:t>
            </w:r>
          </w:p>
        </w:tc>
        <w:tc>
          <w:tcPr>
            <w:tcW w:w="134" w:type="dxa"/>
          </w:tcPr>
          <w:p w14:paraId="021F21D2"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7F6136C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w:t>
            </w:r>
          </w:p>
        </w:tc>
        <w:tc>
          <w:tcPr>
            <w:tcW w:w="1078" w:type="dxa"/>
          </w:tcPr>
          <w:p w14:paraId="4F7F40B1"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225</w:t>
            </w:r>
          </w:p>
        </w:tc>
        <w:tc>
          <w:tcPr>
            <w:tcW w:w="1253" w:type="dxa"/>
          </w:tcPr>
          <w:p w14:paraId="5FE1B352"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378</w:t>
            </w:r>
          </w:p>
        </w:tc>
      </w:tr>
      <w:tr w:rsidR="004D42F9" w:rsidRPr="008527DB" w14:paraId="2AF8D419" w14:textId="77777777">
        <w:tc>
          <w:tcPr>
            <w:cnfStyle w:val="001000000000" w:firstRow="0" w:lastRow="0" w:firstColumn="1" w:lastColumn="0" w:oddVBand="0" w:evenVBand="0" w:oddHBand="0" w:evenHBand="0" w:firstRowFirstColumn="0" w:firstRowLastColumn="0" w:lastRowFirstColumn="0" w:lastRowLastColumn="0"/>
            <w:tcW w:w="2954" w:type="dxa"/>
          </w:tcPr>
          <w:p w14:paraId="267BC127" w14:textId="77777777" w:rsidR="004D42F9" w:rsidRPr="008527DB" w:rsidRDefault="004D42F9">
            <w:pPr>
              <w:rPr>
                <w:sz w:val="16"/>
                <w:szCs w:val="16"/>
              </w:rPr>
            </w:pPr>
            <w:r w:rsidRPr="008527DB">
              <w:rPr>
                <w:b/>
                <w:sz w:val="16"/>
                <w:szCs w:val="16"/>
              </w:rPr>
              <w:t>Uncommissioned PPE commitments</w:t>
            </w:r>
          </w:p>
        </w:tc>
        <w:tc>
          <w:tcPr>
            <w:tcW w:w="1022" w:type="dxa"/>
          </w:tcPr>
          <w:p w14:paraId="74ADB049"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092" w:type="dxa"/>
          </w:tcPr>
          <w:p w14:paraId="4650C66C"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231" w:type="dxa"/>
          </w:tcPr>
          <w:p w14:paraId="23D8F84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34" w:type="dxa"/>
          </w:tcPr>
          <w:p w14:paraId="55B96381"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442B300B"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078" w:type="dxa"/>
          </w:tcPr>
          <w:p w14:paraId="47DEEA37"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1253" w:type="dxa"/>
          </w:tcPr>
          <w:p w14:paraId="4DCC201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r>
      <w:tr w:rsidR="004D42F9" w:rsidRPr="008527DB" w14:paraId="51656CA2" w14:textId="77777777">
        <w:tc>
          <w:tcPr>
            <w:cnfStyle w:val="001000000000" w:firstRow="0" w:lastRow="0" w:firstColumn="1" w:lastColumn="0" w:oddVBand="0" w:evenVBand="0" w:oddHBand="0" w:evenHBand="0" w:firstRowFirstColumn="0" w:firstRowLastColumn="0" w:lastRowFirstColumn="0" w:lastRowLastColumn="0"/>
            <w:tcW w:w="2954" w:type="dxa"/>
          </w:tcPr>
          <w:p w14:paraId="26ED9B93" w14:textId="77777777" w:rsidR="004D42F9" w:rsidRPr="008527DB" w:rsidRDefault="004D42F9">
            <w:pPr>
              <w:rPr>
                <w:sz w:val="16"/>
                <w:szCs w:val="16"/>
              </w:rPr>
            </w:pPr>
            <w:r w:rsidRPr="008527DB">
              <w:rPr>
                <w:sz w:val="16"/>
                <w:szCs w:val="16"/>
              </w:rPr>
              <w:t>Frankston Hospital Redevelopment</w:t>
            </w:r>
          </w:p>
        </w:tc>
        <w:tc>
          <w:tcPr>
            <w:tcW w:w="1022" w:type="dxa"/>
          </w:tcPr>
          <w:p w14:paraId="04761DB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113</w:t>
            </w:r>
          </w:p>
        </w:tc>
        <w:tc>
          <w:tcPr>
            <w:tcW w:w="1092" w:type="dxa"/>
          </w:tcPr>
          <w:p w14:paraId="425F8C24"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1 123</w:t>
            </w:r>
          </w:p>
        </w:tc>
        <w:tc>
          <w:tcPr>
            <w:tcW w:w="1231" w:type="dxa"/>
          </w:tcPr>
          <w:p w14:paraId="6690088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2 922</w:t>
            </w:r>
          </w:p>
        </w:tc>
        <w:tc>
          <w:tcPr>
            <w:tcW w:w="134" w:type="dxa"/>
          </w:tcPr>
          <w:p w14:paraId="3EA53ABA"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63CAD72C"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627</w:t>
            </w:r>
          </w:p>
        </w:tc>
        <w:tc>
          <w:tcPr>
            <w:tcW w:w="1078" w:type="dxa"/>
          </w:tcPr>
          <w:p w14:paraId="77AD9882"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1 058</w:t>
            </w:r>
          </w:p>
        </w:tc>
        <w:tc>
          <w:tcPr>
            <w:tcW w:w="1253" w:type="dxa"/>
          </w:tcPr>
          <w:p w14:paraId="59C0B82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4 018</w:t>
            </w:r>
          </w:p>
        </w:tc>
      </w:tr>
      <w:tr w:rsidR="004D42F9" w:rsidRPr="008527DB" w14:paraId="2FA8CD4B" w14:textId="77777777">
        <w:tc>
          <w:tcPr>
            <w:cnfStyle w:val="001000000000" w:firstRow="0" w:lastRow="0" w:firstColumn="1" w:lastColumn="0" w:oddVBand="0" w:evenVBand="0" w:oddHBand="0" w:evenHBand="0" w:firstRowFirstColumn="0" w:firstRowLastColumn="0" w:lastRowFirstColumn="0" w:lastRowLastColumn="0"/>
            <w:tcW w:w="2954" w:type="dxa"/>
          </w:tcPr>
          <w:p w14:paraId="3B057318" w14:textId="77777777" w:rsidR="004D42F9" w:rsidRPr="008527DB" w:rsidRDefault="004D42F9">
            <w:pPr>
              <w:rPr>
                <w:sz w:val="16"/>
                <w:szCs w:val="16"/>
              </w:rPr>
            </w:pPr>
            <w:r w:rsidRPr="008527DB">
              <w:rPr>
                <w:sz w:val="16"/>
                <w:szCs w:val="16"/>
              </w:rPr>
              <w:t>New Melton Hospital</w:t>
            </w:r>
          </w:p>
        </w:tc>
        <w:tc>
          <w:tcPr>
            <w:tcW w:w="1022" w:type="dxa"/>
          </w:tcPr>
          <w:p w14:paraId="5B1D3D4E"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1 052</w:t>
            </w:r>
          </w:p>
        </w:tc>
        <w:tc>
          <w:tcPr>
            <w:tcW w:w="1092" w:type="dxa"/>
          </w:tcPr>
          <w:p w14:paraId="0BC5AE29"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592</w:t>
            </w:r>
          </w:p>
        </w:tc>
        <w:tc>
          <w:tcPr>
            <w:tcW w:w="1231" w:type="dxa"/>
          </w:tcPr>
          <w:p w14:paraId="39B6FFA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5 342</w:t>
            </w:r>
          </w:p>
        </w:tc>
        <w:tc>
          <w:tcPr>
            <w:tcW w:w="134" w:type="dxa"/>
          </w:tcPr>
          <w:p w14:paraId="3C7BBD88"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7222E5E4"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w:t>
            </w:r>
          </w:p>
        </w:tc>
        <w:tc>
          <w:tcPr>
            <w:tcW w:w="1078" w:type="dxa"/>
          </w:tcPr>
          <w:p w14:paraId="3FDA53B7"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w:t>
            </w:r>
          </w:p>
        </w:tc>
        <w:tc>
          <w:tcPr>
            <w:tcW w:w="1253" w:type="dxa"/>
          </w:tcPr>
          <w:p w14:paraId="35CA5EE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w:t>
            </w:r>
          </w:p>
        </w:tc>
      </w:tr>
      <w:tr w:rsidR="004D42F9" w:rsidRPr="008527DB" w14:paraId="5DF0B6BB" w14:textId="77777777">
        <w:tc>
          <w:tcPr>
            <w:cnfStyle w:val="001000000000" w:firstRow="0" w:lastRow="0" w:firstColumn="1" w:lastColumn="0" w:oddVBand="0" w:evenVBand="0" w:oddHBand="0" w:evenHBand="0" w:firstRowFirstColumn="0" w:firstRowLastColumn="0" w:lastRowFirstColumn="0" w:lastRowLastColumn="0"/>
            <w:tcW w:w="2954" w:type="dxa"/>
          </w:tcPr>
          <w:p w14:paraId="79D8813F" w14:textId="77777777" w:rsidR="004D42F9" w:rsidRPr="008527DB" w:rsidRDefault="004D42F9">
            <w:pPr>
              <w:rPr>
                <w:sz w:val="16"/>
                <w:szCs w:val="16"/>
              </w:rPr>
            </w:pPr>
            <w:r w:rsidRPr="008527DB">
              <w:rPr>
                <w:sz w:val="16"/>
                <w:szCs w:val="16"/>
              </w:rPr>
              <w:t>Nyaal Banyul Geelong Convention and Event Centre</w:t>
            </w:r>
          </w:p>
        </w:tc>
        <w:tc>
          <w:tcPr>
            <w:tcW w:w="1022" w:type="dxa"/>
          </w:tcPr>
          <w:p w14:paraId="01E3474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450</w:t>
            </w:r>
          </w:p>
        </w:tc>
        <w:tc>
          <w:tcPr>
            <w:tcW w:w="1092" w:type="dxa"/>
          </w:tcPr>
          <w:p w14:paraId="073205C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236</w:t>
            </w:r>
          </w:p>
        </w:tc>
        <w:tc>
          <w:tcPr>
            <w:tcW w:w="1231" w:type="dxa"/>
          </w:tcPr>
          <w:p w14:paraId="251533E3"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1 379</w:t>
            </w:r>
          </w:p>
        </w:tc>
        <w:tc>
          <w:tcPr>
            <w:tcW w:w="134" w:type="dxa"/>
          </w:tcPr>
          <w:p w14:paraId="39744E98"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Pr>
          <w:p w14:paraId="3DF7DE38"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450</w:t>
            </w:r>
          </w:p>
        </w:tc>
        <w:tc>
          <w:tcPr>
            <w:tcW w:w="1078" w:type="dxa"/>
          </w:tcPr>
          <w:p w14:paraId="6914E6F4"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229</w:t>
            </w:r>
          </w:p>
        </w:tc>
        <w:tc>
          <w:tcPr>
            <w:tcW w:w="1253" w:type="dxa"/>
          </w:tcPr>
          <w:p w14:paraId="61ED0BF6"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1 379</w:t>
            </w:r>
          </w:p>
        </w:tc>
      </w:tr>
      <w:tr w:rsidR="004D42F9" w:rsidRPr="008527DB" w14:paraId="4A220A9F" w14:textId="77777777">
        <w:tc>
          <w:tcPr>
            <w:cnfStyle w:val="001000000000" w:firstRow="0" w:lastRow="0" w:firstColumn="1" w:lastColumn="0" w:oddVBand="0" w:evenVBand="0" w:oddHBand="0" w:evenHBand="0" w:firstRowFirstColumn="0" w:firstRowLastColumn="0" w:lastRowFirstColumn="0" w:lastRowLastColumn="0"/>
            <w:tcW w:w="2954" w:type="dxa"/>
            <w:tcBorders>
              <w:bottom w:val="single" w:sz="6" w:space="0" w:color="auto"/>
            </w:tcBorders>
          </w:tcPr>
          <w:p w14:paraId="769F0004" w14:textId="77777777" w:rsidR="004D42F9" w:rsidRPr="008527DB" w:rsidRDefault="004D42F9">
            <w:pPr>
              <w:rPr>
                <w:sz w:val="16"/>
                <w:szCs w:val="16"/>
              </w:rPr>
            </w:pPr>
            <w:r w:rsidRPr="008527DB">
              <w:rPr>
                <w:sz w:val="16"/>
                <w:szCs w:val="16"/>
              </w:rPr>
              <w:t>New Footscray Hospital</w:t>
            </w:r>
          </w:p>
        </w:tc>
        <w:tc>
          <w:tcPr>
            <w:tcW w:w="1022" w:type="dxa"/>
            <w:tcBorders>
              <w:bottom w:val="single" w:sz="6" w:space="0" w:color="auto"/>
            </w:tcBorders>
          </w:tcPr>
          <w:p w14:paraId="4CD0A2B9"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64</w:t>
            </w:r>
          </w:p>
        </w:tc>
        <w:tc>
          <w:tcPr>
            <w:tcW w:w="1092" w:type="dxa"/>
            <w:tcBorders>
              <w:bottom w:val="single" w:sz="6" w:space="0" w:color="auto"/>
            </w:tcBorders>
          </w:tcPr>
          <w:p w14:paraId="7AFF640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1 175</w:t>
            </w:r>
          </w:p>
        </w:tc>
        <w:tc>
          <w:tcPr>
            <w:tcW w:w="1231" w:type="dxa"/>
            <w:tcBorders>
              <w:bottom w:val="single" w:sz="6" w:space="0" w:color="auto"/>
            </w:tcBorders>
          </w:tcPr>
          <w:p w14:paraId="32AE468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3 514</w:t>
            </w:r>
          </w:p>
        </w:tc>
        <w:tc>
          <w:tcPr>
            <w:tcW w:w="134" w:type="dxa"/>
            <w:tcBorders>
              <w:bottom w:val="single" w:sz="6" w:space="0" w:color="auto"/>
            </w:tcBorders>
          </w:tcPr>
          <w:p w14:paraId="62D56490"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p>
        </w:tc>
        <w:tc>
          <w:tcPr>
            <w:tcW w:w="874" w:type="dxa"/>
            <w:tcBorders>
              <w:bottom w:val="single" w:sz="6" w:space="0" w:color="auto"/>
            </w:tcBorders>
          </w:tcPr>
          <w:p w14:paraId="2F7FE43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505</w:t>
            </w:r>
          </w:p>
        </w:tc>
        <w:tc>
          <w:tcPr>
            <w:tcW w:w="1078" w:type="dxa"/>
            <w:tcBorders>
              <w:bottom w:val="single" w:sz="6" w:space="0" w:color="auto"/>
            </w:tcBorders>
          </w:tcPr>
          <w:p w14:paraId="586408FF"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1 054</w:t>
            </w:r>
          </w:p>
        </w:tc>
        <w:tc>
          <w:tcPr>
            <w:tcW w:w="1253" w:type="dxa"/>
            <w:tcBorders>
              <w:bottom w:val="single" w:sz="6" w:space="0" w:color="auto"/>
            </w:tcBorders>
          </w:tcPr>
          <w:p w14:paraId="10B9FCC0"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sz w:val="16"/>
                <w:szCs w:val="16"/>
              </w:rPr>
              <w:t>4 255</w:t>
            </w:r>
          </w:p>
        </w:tc>
      </w:tr>
      <w:tr w:rsidR="004D42F9" w:rsidRPr="008527DB" w14:paraId="38A4D44D" w14:textId="77777777">
        <w:tc>
          <w:tcPr>
            <w:cnfStyle w:val="001000000000" w:firstRow="0" w:lastRow="0" w:firstColumn="1" w:lastColumn="0" w:oddVBand="0" w:evenVBand="0" w:oddHBand="0" w:evenHBand="0" w:firstRowFirstColumn="0" w:firstRowLastColumn="0" w:lastRowFirstColumn="0" w:lastRowLastColumn="0"/>
            <w:tcW w:w="2954" w:type="dxa"/>
            <w:tcBorders>
              <w:top w:val="single" w:sz="6" w:space="0" w:color="auto"/>
              <w:bottom w:val="single" w:sz="12" w:space="0" w:color="auto"/>
            </w:tcBorders>
          </w:tcPr>
          <w:p w14:paraId="16FE4A6F" w14:textId="77777777" w:rsidR="004D42F9" w:rsidRPr="008527DB" w:rsidRDefault="004D42F9">
            <w:pPr>
              <w:rPr>
                <w:sz w:val="16"/>
                <w:szCs w:val="16"/>
              </w:rPr>
            </w:pPr>
            <w:r w:rsidRPr="008527DB">
              <w:rPr>
                <w:b/>
                <w:sz w:val="16"/>
                <w:szCs w:val="16"/>
              </w:rPr>
              <w:t>Total PPE commitments</w:t>
            </w:r>
          </w:p>
        </w:tc>
        <w:tc>
          <w:tcPr>
            <w:tcW w:w="1022" w:type="dxa"/>
            <w:tcBorders>
              <w:top w:val="single" w:sz="6" w:space="0" w:color="auto"/>
              <w:bottom w:val="single" w:sz="12" w:space="0" w:color="auto"/>
            </w:tcBorders>
          </w:tcPr>
          <w:p w14:paraId="347A418B"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1 678</w:t>
            </w:r>
          </w:p>
        </w:tc>
        <w:tc>
          <w:tcPr>
            <w:tcW w:w="1092" w:type="dxa"/>
            <w:tcBorders>
              <w:top w:val="single" w:sz="6" w:space="0" w:color="auto"/>
              <w:bottom w:val="single" w:sz="12" w:space="0" w:color="auto"/>
            </w:tcBorders>
          </w:tcPr>
          <w:p w14:paraId="51313455"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3 345</w:t>
            </w:r>
          </w:p>
        </w:tc>
        <w:tc>
          <w:tcPr>
            <w:tcW w:w="1231" w:type="dxa"/>
            <w:tcBorders>
              <w:top w:val="single" w:sz="6" w:space="0" w:color="auto"/>
              <w:bottom w:val="single" w:sz="12" w:space="0" w:color="auto"/>
            </w:tcBorders>
          </w:tcPr>
          <w:p w14:paraId="67B17B9D"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13 512</w:t>
            </w:r>
          </w:p>
        </w:tc>
        <w:tc>
          <w:tcPr>
            <w:tcW w:w="134" w:type="dxa"/>
            <w:tcBorders>
              <w:top w:val="single" w:sz="6" w:space="0" w:color="auto"/>
              <w:bottom w:val="single" w:sz="12" w:space="0" w:color="auto"/>
            </w:tcBorders>
          </w:tcPr>
          <w:p w14:paraId="1EE034F7"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b/>
                <w:sz w:val="16"/>
                <w:szCs w:val="16"/>
              </w:rPr>
            </w:pPr>
          </w:p>
        </w:tc>
        <w:tc>
          <w:tcPr>
            <w:tcW w:w="874" w:type="dxa"/>
            <w:tcBorders>
              <w:top w:val="single" w:sz="6" w:space="0" w:color="auto"/>
              <w:bottom w:val="single" w:sz="12" w:space="0" w:color="auto"/>
            </w:tcBorders>
          </w:tcPr>
          <w:p w14:paraId="1A5CB608"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1 581</w:t>
            </w:r>
          </w:p>
        </w:tc>
        <w:tc>
          <w:tcPr>
            <w:tcW w:w="1078" w:type="dxa"/>
            <w:tcBorders>
              <w:top w:val="single" w:sz="6" w:space="0" w:color="auto"/>
              <w:bottom w:val="single" w:sz="12" w:space="0" w:color="auto"/>
            </w:tcBorders>
          </w:tcPr>
          <w:p w14:paraId="71C023A0"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2 566</w:t>
            </w:r>
          </w:p>
        </w:tc>
        <w:tc>
          <w:tcPr>
            <w:tcW w:w="1253" w:type="dxa"/>
            <w:tcBorders>
              <w:top w:val="single" w:sz="6" w:space="0" w:color="auto"/>
              <w:bottom w:val="single" w:sz="12" w:space="0" w:color="auto"/>
            </w:tcBorders>
          </w:tcPr>
          <w:p w14:paraId="73239F57" w14:textId="77777777" w:rsidR="004D42F9" w:rsidRPr="008527DB" w:rsidRDefault="004D42F9">
            <w:pPr>
              <w:cnfStyle w:val="000000000000" w:firstRow="0" w:lastRow="0" w:firstColumn="0" w:lastColumn="0" w:oddVBand="0" w:evenVBand="0" w:oddHBand="0" w:evenHBand="0" w:firstRowFirstColumn="0" w:firstRowLastColumn="0" w:lastRowFirstColumn="0" w:lastRowLastColumn="0"/>
              <w:rPr>
                <w:sz w:val="16"/>
                <w:szCs w:val="16"/>
              </w:rPr>
            </w:pPr>
            <w:r w:rsidRPr="008527DB">
              <w:rPr>
                <w:b/>
                <w:sz w:val="16"/>
                <w:szCs w:val="16"/>
              </w:rPr>
              <w:t>10 030</w:t>
            </w:r>
          </w:p>
        </w:tc>
      </w:tr>
    </w:tbl>
    <w:p w14:paraId="26716604" w14:textId="77777777" w:rsidR="004D42F9" w:rsidRPr="00B90414" w:rsidRDefault="004D42F9" w:rsidP="004D42F9">
      <w:pPr>
        <w:pStyle w:val="Note"/>
        <w:ind w:left="0" w:firstLine="0"/>
      </w:pPr>
      <w:r w:rsidRPr="00B90414">
        <w:t>Notes:</w:t>
      </w:r>
    </w:p>
    <w:p w14:paraId="67636B56" w14:textId="77777777" w:rsidR="004D42F9" w:rsidRPr="00B90414" w:rsidRDefault="004D42F9" w:rsidP="004D42F9">
      <w:pPr>
        <w:pStyle w:val="Note"/>
      </w:pPr>
      <w:r w:rsidRPr="00B90414">
        <w:t>(a</w:t>
      </w:r>
      <w:r>
        <w:t>)</w:t>
      </w:r>
      <w:r>
        <w:tab/>
        <w:t>The figures in this table are for the consolidated State of Victoria only, as all PPE commitments are recorded in the general government sector.</w:t>
      </w:r>
    </w:p>
    <w:p w14:paraId="6C19B1CF" w14:textId="77777777" w:rsidR="004D42F9" w:rsidRPr="00B90414" w:rsidRDefault="004D42F9" w:rsidP="004D42F9">
      <w:pPr>
        <w:pStyle w:val="Note"/>
      </w:pPr>
      <w:r w:rsidRPr="00B90414">
        <w:t>(</w:t>
      </w:r>
      <w:r>
        <w:t>b</w:t>
      </w:r>
      <w:r w:rsidRPr="00B90414">
        <w:t>)</w:t>
      </w:r>
      <w:r>
        <w:tab/>
      </w:r>
      <w:r w:rsidRPr="00B90414">
        <w:t xml:space="preserve">The liability payments include the </w:t>
      </w:r>
      <w:r>
        <w:t>committed</w:t>
      </w:r>
      <w:r w:rsidRPr="00B90414">
        <w:t xml:space="preserve"> future liabilities yet to be recognised on the balance sheet.</w:t>
      </w:r>
    </w:p>
    <w:p w14:paraId="30C73DCC" w14:textId="25652D6F" w:rsidR="004D42F9" w:rsidRDefault="004D42F9" w:rsidP="004D42F9">
      <w:pPr>
        <w:pStyle w:val="Note"/>
      </w:pPr>
      <w:r w:rsidRPr="00B90414">
        <w:t>(</w:t>
      </w:r>
      <w:r>
        <w:t>c</w:t>
      </w:r>
      <w:r w:rsidRPr="00B90414">
        <w:t>)</w:t>
      </w:r>
      <w:r w:rsidRPr="00B90414">
        <w:tab/>
      </w:r>
      <w:r w:rsidRPr="009F618C">
        <w:t>The total commitments nominal value includes the nominal value of the State</w:t>
      </w:r>
      <w:r w:rsidR="00845934">
        <w:t>’</w:t>
      </w:r>
      <w:r w:rsidRPr="009F618C">
        <w:t>s expected future liabilities yet to be recognised on the balance sheet and the nominal value of the State</w:t>
      </w:r>
      <w:r w:rsidR="00845934">
        <w:t>’</w:t>
      </w:r>
      <w:r w:rsidRPr="009F618C">
        <w:t xml:space="preserve">s operating commitments. The New Footscray </w:t>
      </w:r>
      <w:r>
        <w:t>H</w:t>
      </w:r>
      <w:r w:rsidRPr="009F618C">
        <w:t xml:space="preserve">ospital </w:t>
      </w:r>
      <w:r>
        <w:t>and New Melton Hospital</w:t>
      </w:r>
      <w:r w:rsidRPr="009F618C">
        <w:t xml:space="preserve"> total commitments nominal value also include</w:t>
      </w:r>
      <w:r w:rsidR="00F65A73">
        <w:t>s</w:t>
      </w:r>
      <w:r w:rsidRPr="009F618C">
        <w:t xml:space="preserve"> the State</w:t>
      </w:r>
      <w:r w:rsidR="00845934">
        <w:t>’</w:t>
      </w:r>
      <w:r w:rsidRPr="009F618C">
        <w:t xml:space="preserve">s unpaid capital contribution </w:t>
      </w:r>
      <w:r>
        <w:t>not yet recognised on the balance sheet.</w:t>
      </w:r>
    </w:p>
    <w:p w14:paraId="669A8EA7" w14:textId="77777777" w:rsidR="004D42F9" w:rsidRPr="00B90414" w:rsidRDefault="004D42F9" w:rsidP="004D42F9">
      <w:pPr>
        <w:pStyle w:val="Note"/>
      </w:pPr>
      <w:r w:rsidRPr="00B90414">
        <w:t>(</w:t>
      </w:r>
      <w:r>
        <w:t>d</w:t>
      </w:r>
      <w:r w:rsidRPr="00B90414">
        <w:t>)</w:t>
      </w:r>
      <w:r w:rsidRPr="00B90414">
        <w:tab/>
        <w:t xml:space="preserve">The liability </w:t>
      </w:r>
      <w:r>
        <w:t>value</w:t>
      </w:r>
      <w:r w:rsidRPr="00B90414">
        <w:t xml:space="preserve"> has been discounted to the expected date of commissioning and the present value of other commitments has been discounted to 30 June of the respective financial years. </w:t>
      </w:r>
    </w:p>
    <w:p w14:paraId="525F8AD0" w14:textId="77777777" w:rsidR="004D42F9" w:rsidRPr="00BE70A3" w:rsidRDefault="004D42F9" w:rsidP="004D42F9"/>
    <w:p w14:paraId="365D27DA" w14:textId="77777777" w:rsidR="004D42F9" w:rsidRDefault="004D42F9" w:rsidP="004D42F9">
      <w:pPr>
        <w:pStyle w:val="TableHeading"/>
      </w:pPr>
      <w:r>
        <w:t xml:space="preserve">Ageing analysis of commitments </w:t>
      </w:r>
      <w:r w:rsidRPr="007D0A1D">
        <w:rPr>
          <w:vertAlign w:val="superscript"/>
        </w:rPr>
        <w:t>(a)</w:t>
      </w:r>
      <w:r>
        <w:rPr>
          <w:vertAlign w:val="superscript"/>
        </w:rPr>
        <w:t>(b)</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Manual Reports/Commitments/Link_Commitments.xlsx|Table:Commitments_maturity"/>
      </w:tblPr>
      <w:tblGrid>
        <w:gridCol w:w="5883"/>
        <w:gridCol w:w="939"/>
        <w:gridCol w:w="939"/>
        <w:gridCol w:w="939"/>
        <w:gridCol w:w="939"/>
      </w:tblGrid>
      <w:tr w:rsidR="004D42F9" w14:paraId="6D60F70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2ECEAB51" w14:textId="77777777" w:rsidR="004D42F9" w:rsidRDefault="004D42F9">
            <w:pPr>
              <w:keepNext/>
            </w:pPr>
          </w:p>
        </w:tc>
        <w:tc>
          <w:tcPr>
            <w:tcW w:w="1878" w:type="dxa"/>
            <w:gridSpan w:val="2"/>
          </w:tcPr>
          <w:p w14:paraId="498F0317"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78" w:type="dxa"/>
            <w:gridSpan w:val="2"/>
          </w:tcPr>
          <w:p w14:paraId="0E7659D5" w14:textId="77777777" w:rsidR="004D42F9" w:rsidRDefault="004D42F9">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4D42F9" w14:paraId="069B4F2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3" w:type="dxa"/>
          </w:tcPr>
          <w:p w14:paraId="3BF0A4CD" w14:textId="77777777" w:rsidR="004D42F9" w:rsidRDefault="004D42F9">
            <w:pPr>
              <w:keepNext/>
            </w:pPr>
            <w:r>
              <w:t>Nominal values</w:t>
            </w:r>
          </w:p>
        </w:tc>
        <w:tc>
          <w:tcPr>
            <w:tcW w:w="939" w:type="dxa"/>
          </w:tcPr>
          <w:p w14:paraId="19EF123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39" w:type="dxa"/>
          </w:tcPr>
          <w:p w14:paraId="039B3F66"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c>
          <w:tcPr>
            <w:tcW w:w="939" w:type="dxa"/>
          </w:tcPr>
          <w:p w14:paraId="75DBD6FC"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2025</w:t>
            </w:r>
          </w:p>
        </w:tc>
        <w:tc>
          <w:tcPr>
            <w:tcW w:w="939" w:type="dxa"/>
          </w:tcPr>
          <w:p w14:paraId="0DD384D3" w14:textId="77777777" w:rsidR="004D42F9" w:rsidRDefault="004D42F9">
            <w:pPr>
              <w:keepNext/>
              <w:cnfStyle w:val="100000000000" w:firstRow="1" w:lastRow="0" w:firstColumn="0" w:lastColumn="0" w:oddVBand="0" w:evenVBand="0" w:oddHBand="0" w:evenHBand="0" w:firstRowFirstColumn="0" w:firstRowLastColumn="0" w:lastRowFirstColumn="0" w:lastRowLastColumn="0"/>
            </w:pPr>
            <w:r>
              <w:t>2024</w:t>
            </w:r>
          </w:p>
        </w:tc>
      </w:tr>
      <w:tr w:rsidR="004D42F9" w14:paraId="66D6C400" w14:textId="77777777">
        <w:tc>
          <w:tcPr>
            <w:cnfStyle w:val="001000000000" w:firstRow="0" w:lastRow="0" w:firstColumn="1" w:lastColumn="0" w:oddVBand="0" w:evenVBand="0" w:oddHBand="0" w:evenHBand="0" w:firstRowFirstColumn="0" w:firstRowLastColumn="0" w:lastRowFirstColumn="0" w:lastRowLastColumn="0"/>
            <w:tcW w:w="5883" w:type="dxa"/>
          </w:tcPr>
          <w:p w14:paraId="0F372225" w14:textId="77777777" w:rsidR="004D42F9" w:rsidRDefault="004D42F9">
            <w:r>
              <w:rPr>
                <w:b/>
              </w:rPr>
              <w:t>Capital expenditure commitments payable</w:t>
            </w:r>
          </w:p>
        </w:tc>
        <w:tc>
          <w:tcPr>
            <w:tcW w:w="939" w:type="dxa"/>
          </w:tcPr>
          <w:p w14:paraId="51259CAA"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2AF7FA9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0654CAE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7DF97A5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0E2BB971" w14:textId="77777777">
        <w:tc>
          <w:tcPr>
            <w:cnfStyle w:val="001000000000" w:firstRow="0" w:lastRow="0" w:firstColumn="1" w:lastColumn="0" w:oddVBand="0" w:evenVBand="0" w:oddHBand="0" w:evenHBand="0" w:firstRowFirstColumn="0" w:firstRowLastColumn="0" w:lastRowFirstColumn="0" w:lastRowLastColumn="0"/>
            <w:tcW w:w="5883" w:type="dxa"/>
          </w:tcPr>
          <w:p w14:paraId="582A2BF6" w14:textId="77777777" w:rsidR="004D42F9" w:rsidRDefault="004D42F9">
            <w:r>
              <w:t>Less than 1 year</w:t>
            </w:r>
          </w:p>
        </w:tc>
        <w:tc>
          <w:tcPr>
            <w:tcW w:w="939" w:type="dxa"/>
          </w:tcPr>
          <w:p w14:paraId="64E54EC9" w14:textId="77777777" w:rsidR="004D42F9" w:rsidRDefault="004D42F9">
            <w:pPr>
              <w:cnfStyle w:val="000000000000" w:firstRow="0" w:lastRow="0" w:firstColumn="0" w:lastColumn="0" w:oddVBand="0" w:evenVBand="0" w:oddHBand="0" w:evenHBand="0" w:firstRowFirstColumn="0" w:firstRowLastColumn="0" w:lastRowFirstColumn="0" w:lastRowLastColumn="0"/>
            </w:pPr>
            <w:r>
              <w:t>13 433</w:t>
            </w:r>
          </w:p>
        </w:tc>
        <w:tc>
          <w:tcPr>
            <w:tcW w:w="939" w:type="dxa"/>
          </w:tcPr>
          <w:p w14:paraId="4C0C6DBB" w14:textId="77777777" w:rsidR="004D42F9" w:rsidRDefault="004D42F9">
            <w:pPr>
              <w:cnfStyle w:val="000000000000" w:firstRow="0" w:lastRow="0" w:firstColumn="0" w:lastColumn="0" w:oddVBand="0" w:evenVBand="0" w:oddHBand="0" w:evenHBand="0" w:firstRowFirstColumn="0" w:firstRowLastColumn="0" w:lastRowFirstColumn="0" w:lastRowLastColumn="0"/>
            </w:pPr>
            <w:r>
              <w:t>11 389</w:t>
            </w:r>
          </w:p>
        </w:tc>
        <w:tc>
          <w:tcPr>
            <w:tcW w:w="939" w:type="dxa"/>
          </w:tcPr>
          <w:p w14:paraId="13DA6A51" w14:textId="77777777" w:rsidR="004D42F9" w:rsidRDefault="004D42F9">
            <w:pPr>
              <w:cnfStyle w:val="000000000000" w:firstRow="0" w:lastRow="0" w:firstColumn="0" w:lastColumn="0" w:oddVBand="0" w:evenVBand="0" w:oddHBand="0" w:evenHBand="0" w:firstRowFirstColumn="0" w:firstRowLastColumn="0" w:lastRowFirstColumn="0" w:lastRowLastColumn="0"/>
            </w:pPr>
            <w:r>
              <w:t>11 634</w:t>
            </w:r>
          </w:p>
        </w:tc>
        <w:tc>
          <w:tcPr>
            <w:tcW w:w="939" w:type="dxa"/>
          </w:tcPr>
          <w:p w14:paraId="3D2D4E90" w14:textId="77777777" w:rsidR="004D42F9" w:rsidRDefault="004D42F9">
            <w:pPr>
              <w:cnfStyle w:val="000000000000" w:firstRow="0" w:lastRow="0" w:firstColumn="0" w:lastColumn="0" w:oddVBand="0" w:evenVBand="0" w:oddHBand="0" w:evenHBand="0" w:firstRowFirstColumn="0" w:firstRowLastColumn="0" w:lastRowFirstColumn="0" w:lastRowLastColumn="0"/>
            </w:pPr>
            <w:r>
              <w:t>9 973</w:t>
            </w:r>
          </w:p>
        </w:tc>
      </w:tr>
      <w:tr w:rsidR="004D42F9" w14:paraId="592489F7" w14:textId="77777777">
        <w:tc>
          <w:tcPr>
            <w:cnfStyle w:val="001000000000" w:firstRow="0" w:lastRow="0" w:firstColumn="1" w:lastColumn="0" w:oddVBand="0" w:evenVBand="0" w:oddHBand="0" w:evenHBand="0" w:firstRowFirstColumn="0" w:firstRowLastColumn="0" w:lastRowFirstColumn="0" w:lastRowLastColumn="0"/>
            <w:tcW w:w="5883" w:type="dxa"/>
          </w:tcPr>
          <w:p w14:paraId="3E75D055" w14:textId="77777777" w:rsidR="004D42F9" w:rsidRDefault="004D42F9">
            <w:r>
              <w:t>1 year but less than 5 years</w:t>
            </w:r>
          </w:p>
        </w:tc>
        <w:tc>
          <w:tcPr>
            <w:tcW w:w="939" w:type="dxa"/>
          </w:tcPr>
          <w:p w14:paraId="48C63421" w14:textId="77777777" w:rsidR="004D42F9" w:rsidRDefault="004D42F9">
            <w:pPr>
              <w:cnfStyle w:val="000000000000" w:firstRow="0" w:lastRow="0" w:firstColumn="0" w:lastColumn="0" w:oddVBand="0" w:evenVBand="0" w:oddHBand="0" w:evenHBand="0" w:firstRowFirstColumn="0" w:firstRowLastColumn="0" w:lastRowFirstColumn="0" w:lastRowLastColumn="0"/>
            </w:pPr>
            <w:r>
              <w:t>12 922</w:t>
            </w:r>
          </w:p>
        </w:tc>
        <w:tc>
          <w:tcPr>
            <w:tcW w:w="939" w:type="dxa"/>
          </w:tcPr>
          <w:p w14:paraId="76CABB5D" w14:textId="77777777" w:rsidR="004D42F9" w:rsidRDefault="004D42F9">
            <w:pPr>
              <w:cnfStyle w:val="000000000000" w:firstRow="0" w:lastRow="0" w:firstColumn="0" w:lastColumn="0" w:oddVBand="0" w:evenVBand="0" w:oddHBand="0" w:evenHBand="0" w:firstRowFirstColumn="0" w:firstRowLastColumn="0" w:lastRowFirstColumn="0" w:lastRowLastColumn="0"/>
            </w:pPr>
            <w:r>
              <w:t>13 949</w:t>
            </w:r>
          </w:p>
        </w:tc>
        <w:tc>
          <w:tcPr>
            <w:tcW w:w="939" w:type="dxa"/>
          </w:tcPr>
          <w:p w14:paraId="5A82D5C5" w14:textId="77777777" w:rsidR="004D42F9" w:rsidRDefault="004D42F9">
            <w:pPr>
              <w:cnfStyle w:val="000000000000" w:firstRow="0" w:lastRow="0" w:firstColumn="0" w:lastColumn="0" w:oddVBand="0" w:evenVBand="0" w:oddHBand="0" w:evenHBand="0" w:firstRowFirstColumn="0" w:firstRowLastColumn="0" w:lastRowFirstColumn="0" w:lastRowLastColumn="0"/>
            </w:pPr>
            <w:r>
              <w:t>11 755</w:t>
            </w:r>
          </w:p>
        </w:tc>
        <w:tc>
          <w:tcPr>
            <w:tcW w:w="939" w:type="dxa"/>
          </w:tcPr>
          <w:p w14:paraId="684FD17D" w14:textId="77777777" w:rsidR="004D42F9" w:rsidRDefault="004D42F9">
            <w:pPr>
              <w:cnfStyle w:val="000000000000" w:firstRow="0" w:lastRow="0" w:firstColumn="0" w:lastColumn="0" w:oddVBand="0" w:evenVBand="0" w:oddHBand="0" w:evenHBand="0" w:firstRowFirstColumn="0" w:firstRowLastColumn="0" w:lastRowFirstColumn="0" w:lastRowLastColumn="0"/>
            </w:pPr>
            <w:r>
              <w:t>12 922</w:t>
            </w:r>
          </w:p>
        </w:tc>
      </w:tr>
      <w:tr w:rsidR="004D42F9" w14:paraId="3AD11068" w14:textId="77777777">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69CDB599" w14:textId="77777777" w:rsidR="004D42F9" w:rsidRDefault="004D42F9">
            <w:r>
              <w:t>5 years or more</w:t>
            </w:r>
          </w:p>
        </w:tc>
        <w:tc>
          <w:tcPr>
            <w:tcW w:w="939" w:type="dxa"/>
            <w:tcBorders>
              <w:bottom w:val="single" w:sz="6" w:space="0" w:color="auto"/>
            </w:tcBorders>
          </w:tcPr>
          <w:p w14:paraId="13BCABDD" w14:textId="77777777" w:rsidR="004D42F9" w:rsidRDefault="004D42F9">
            <w:pPr>
              <w:cnfStyle w:val="000000000000" w:firstRow="0" w:lastRow="0" w:firstColumn="0" w:lastColumn="0" w:oddVBand="0" w:evenVBand="0" w:oddHBand="0" w:evenHBand="0" w:firstRowFirstColumn="0" w:firstRowLastColumn="0" w:lastRowFirstColumn="0" w:lastRowLastColumn="0"/>
            </w:pPr>
            <w:r>
              <w:t>4 186</w:t>
            </w:r>
          </w:p>
        </w:tc>
        <w:tc>
          <w:tcPr>
            <w:tcW w:w="939" w:type="dxa"/>
            <w:tcBorders>
              <w:bottom w:val="single" w:sz="6" w:space="0" w:color="auto"/>
            </w:tcBorders>
          </w:tcPr>
          <w:p w14:paraId="481A0BBC" w14:textId="77777777" w:rsidR="004D42F9" w:rsidRDefault="004D42F9">
            <w:pPr>
              <w:cnfStyle w:val="000000000000" w:firstRow="0" w:lastRow="0" w:firstColumn="0" w:lastColumn="0" w:oddVBand="0" w:evenVBand="0" w:oddHBand="0" w:evenHBand="0" w:firstRowFirstColumn="0" w:firstRowLastColumn="0" w:lastRowFirstColumn="0" w:lastRowLastColumn="0"/>
            </w:pPr>
            <w:r>
              <w:t>3 495</w:t>
            </w:r>
          </w:p>
        </w:tc>
        <w:tc>
          <w:tcPr>
            <w:tcW w:w="939" w:type="dxa"/>
            <w:tcBorders>
              <w:bottom w:val="single" w:sz="6" w:space="0" w:color="auto"/>
            </w:tcBorders>
          </w:tcPr>
          <w:p w14:paraId="2A410BF5" w14:textId="77777777" w:rsidR="004D42F9" w:rsidRDefault="004D42F9">
            <w:pPr>
              <w:cnfStyle w:val="000000000000" w:firstRow="0" w:lastRow="0" w:firstColumn="0" w:lastColumn="0" w:oddVBand="0" w:evenVBand="0" w:oddHBand="0" w:evenHBand="0" w:firstRowFirstColumn="0" w:firstRowLastColumn="0" w:lastRowFirstColumn="0" w:lastRowLastColumn="0"/>
            </w:pPr>
            <w:r>
              <w:t>3 975</w:t>
            </w:r>
          </w:p>
        </w:tc>
        <w:tc>
          <w:tcPr>
            <w:tcW w:w="939" w:type="dxa"/>
            <w:tcBorders>
              <w:bottom w:val="single" w:sz="6" w:space="0" w:color="auto"/>
            </w:tcBorders>
          </w:tcPr>
          <w:p w14:paraId="1C74759F" w14:textId="77777777" w:rsidR="004D42F9" w:rsidRDefault="004D42F9">
            <w:pPr>
              <w:cnfStyle w:val="000000000000" w:firstRow="0" w:lastRow="0" w:firstColumn="0" w:lastColumn="0" w:oddVBand="0" w:evenVBand="0" w:oddHBand="0" w:evenHBand="0" w:firstRowFirstColumn="0" w:firstRowLastColumn="0" w:lastRowFirstColumn="0" w:lastRowLastColumn="0"/>
            </w:pPr>
            <w:r>
              <w:t>3 244</w:t>
            </w:r>
          </w:p>
        </w:tc>
      </w:tr>
      <w:tr w:rsidR="004D42F9" w14:paraId="2BAC4579" w14:textId="77777777">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016F2FBD" w14:textId="77777777" w:rsidR="004D42F9" w:rsidRDefault="004D42F9">
            <w:r>
              <w:rPr>
                <w:b/>
              </w:rPr>
              <w:t>Total capital expenditure commitments</w:t>
            </w:r>
          </w:p>
        </w:tc>
        <w:tc>
          <w:tcPr>
            <w:tcW w:w="939" w:type="dxa"/>
            <w:tcBorders>
              <w:top w:val="single" w:sz="6" w:space="0" w:color="auto"/>
            </w:tcBorders>
          </w:tcPr>
          <w:p w14:paraId="218723DA"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30 541</w:t>
            </w:r>
          </w:p>
        </w:tc>
        <w:tc>
          <w:tcPr>
            <w:tcW w:w="939" w:type="dxa"/>
            <w:tcBorders>
              <w:top w:val="single" w:sz="6" w:space="0" w:color="auto"/>
            </w:tcBorders>
          </w:tcPr>
          <w:p w14:paraId="587732E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28 833</w:t>
            </w:r>
          </w:p>
        </w:tc>
        <w:tc>
          <w:tcPr>
            <w:tcW w:w="939" w:type="dxa"/>
            <w:tcBorders>
              <w:top w:val="single" w:sz="6" w:space="0" w:color="auto"/>
            </w:tcBorders>
          </w:tcPr>
          <w:p w14:paraId="6FE85238"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27 364</w:t>
            </w:r>
          </w:p>
        </w:tc>
        <w:tc>
          <w:tcPr>
            <w:tcW w:w="939" w:type="dxa"/>
            <w:tcBorders>
              <w:top w:val="single" w:sz="6" w:space="0" w:color="auto"/>
            </w:tcBorders>
          </w:tcPr>
          <w:p w14:paraId="3EA71A64"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26 139</w:t>
            </w:r>
          </w:p>
        </w:tc>
      </w:tr>
      <w:tr w:rsidR="004D42F9" w14:paraId="5DB4FEE2" w14:textId="77777777">
        <w:tc>
          <w:tcPr>
            <w:cnfStyle w:val="001000000000" w:firstRow="0" w:lastRow="0" w:firstColumn="1" w:lastColumn="0" w:oddVBand="0" w:evenVBand="0" w:oddHBand="0" w:evenHBand="0" w:firstRowFirstColumn="0" w:firstRowLastColumn="0" w:lastRowFirstColumn="0" w:lastRowLastColumn="0"/>
            <w:tcW w:w="5883" w:type="dxa"/>
          </w:tcPr>
          <w:p w14:paraId="0AF1EFF4" w14:textId="77777777" w:rsidR="004D42F9" w:rsidRDefault="004D42F9">
            <w:r>
              <w:rPr>
                <w:b/>
              </w:rPr>
              <w:t>Service and lease commitments not included in the lease liability</w:t>
            </w:r>
          </w:p>
        </w:tc>
        <w:tc>
          <w:tcPr>
            <w:tcW w:w="939" w:type="dxa"/>
          </w:tcPr>
          <w:p w14:paraId="7E8F119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51A1F524"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4D463D85"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1AB2F02F"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6F3D85AF" w14:textId="77777777">
        <w:tc>
          <w:tcPr>
            <w:cnfStyle w:val="001000000000" w:firstRow="0" w:lastRow="0" w:firstColumn="1" w:lastColumn="0" w:oddVBand="0" w:evenVBand="0" w:oddHBand="0" w:evenHBand="0" w:firstRowFirstColumn="0" w:firstRowLastColumn="0" w:lastRowFirstColumn="0" w:lastRowLastColumn="0"/>
            <w:tcW w:w="5883" w:type="dxa"/>
          </w:tcPr>
          <w:p w14:paraId="03A30CB5" w14:textId="77777777" w:rsidR="004D42F9" w:rsidRDefault="004D42F9">
            <w:r>
              <w:t>Less than 1 year</w:t>
            </w:r>
          </w:p>
        </w:tc>
        <w:tc>
          <w:tcPr>
            <w:tcW w:w="939" w:type="dxa"/>
          </w:tcPr>
          <w:p w14:paraId="212B1EBF" w14:textId="77777777" w:rsidR="004D42F9" w:rsidRDefault="004D42F9">
            <w:pPr>
              <w:cnfStyle w:val="000000000000" w:firstRow="0" w:lastRow="0" w:firstColumn="0" w:lastColumn="0" w:oddVBand="0" w:evenVBand="0" w:oddHBand="0" w:evenHBand="0" w:firstRowFirstColumn="0" w:firstRowLastColumn="0" w:lastRowFirstColumn="0" w:lastRowLastColumn="0"/>
            </w:pPr>
            <w:r>
              <w:t>2 175</w:t>
            </w:r>
          </w:p>
        </w:tc>
        <w:tc>
          <w:tcPr>
            <w:tcW w:w="939" w:type="dxa"/>
          </w:tcPr>
          <w:p w14:paraId="0E47588F" w14:textId="77777777" w:rsidR="004D42F9" w:rsidRDefault="004D42F9">
            <w:pPr>
              <w:cnfStyle w:val="000000000000" w:firstRow="0" w:lastRow="0" w:firstColumn="0" w:lastColumn="0" w:oddVBand="0" w:evenVBand="0" w:oddHBand="0" w:evenHBand="0" w:firstRowFirstColumn="0" w:firstRowLastColumn="0" w:lastRowFirstColumn="0" w:lastRowLastColumn="0"/>
            </w:pPr>
            <w:r>
              <w:t>2 572</w:t>
            </w:r>
          </w:p>
        </w:tc>
        <w:tc>
          <w:tcPr>
            <w:tcW w:w="939" w:type="dxa"/>
          </w:tcPr>
          <w:p w14:paraId="621D3140" w14:textId="77777777" w:rsidR="004D42F9" w:rsidRDefault="004D42F9">
            <w:pPr>
              <w:cnfStyle w:val="000000000000" w:firstRow="0" w:lastRow="0" w:firstColumn="0" w:lastColumn="0" w:oddVBand="0" w:evenVBand="0" w:oddHBand="0" w:evenHBand="0" w:firstRowFirstColumn="0" w:firstRowLastColumn="0" w:lastRowFirstColumn="0" w:lastRowLastColumn="0"/>
            </w:pPr>
            <w:r>
              <w:t>2 918</w:t>
            </w:r>
          </w:p>
        </w:tc>
        <w:tc>
          <w:tcPr>
            <w:tcW w:w="939" w:type="dxa"/>
          </w:tcPr>
          <w:p w14:paraId="14F75326" w14:textId="77777777" w:rsidR="004D42F9" w:rsidRDefault="004D42F9">
            <w:pPr>
              <w:cnfStyle w:val="000000000000" w:firstRow="0" w:lastRow="0" w:firstColumn="0" w:lastColumn="0" w:oddVBand="0" w:evenVBand="0" w:oddHBand="0" w:evenHBand="0" w:firstRowFirstColumn="0" w:firstRowLastColumn="0" w:lastRowFirstColumn="0" w:lastRowLastColumn="0"/>
            </w:pPr>
            <w:r>
              <w:t>3 421</w:t>
            </w:r>
          </w:p>
        </w:tc>
      </w:tr>
      <w:tr w:rsidR="004D42F9" w14:paraId="0A5ABC4C" w14:textId="77777777">
        <w:tc>
          <w:tcPr>
            <w:cnfStyle w:val="001000000000" w:firstRow="0" w:lastRow="0" w:firstColumn="1" w:lastColumn="0" w:oddVBand="0" w:evenVBand="0" w:oddHBand="0" w:evenHBand="0" w:firstRowFirstColumn="0" w:firstRowLastColumn="0" w:lastRowFirstColumn="0" w:lastRowLastColumn="0"/>
            <w:tcW w:w="5883" w:type="dxa"/>
          </w:tcPr>
          <w:p w14:paraId="263E8336" w14:textId="77777777" w:rsidR="004D42F9" w:rsidRDefault="004D42F9">
            <w:r>
              <w:t>1 year but less than 5 years</w:t>
            </w:r>
          </w:p>
        </w:tc>
        <w:tc>
          <w:tcPr>
            <w:tcW w:w="939" w:type="dxa"/>
          </w:tcPr>
          <w:p w14:paraId="473C732D" w14:textId="77777777" w:rsidR="004D42F9" w:rsidRDefault="004D42F9">
            <w:pPr>
              <w:cnfStyle w:val="000000000000" w:firstRow="0" w:lastRow="0" w:firstColumn="0" w:lastColumn="0" w:oddVBand="0" w:evenVBand="0" w:oddHBand="0" w:evenHBand="0" w:firstRowFirstColumn="0" w:firstRowLastColumn="0" w:lastRowFirstColumn="0" w:lastRowLastColumn="0"/>
            </w:pPr>
            <w:r>
              <w:t>4 505</w:t>
            </w:r>
          </w:p>
        </w:tc>
        <w:tc>
          <w:tcPr>
            <w:tcW w:w="939" w:type="dxa"/>
          </w:tcPr>
          <w:p w14:paraId="751B66E7" w14:textId="77777777" w:rsidR="004D42F9" w:rsidRDefault="004D42F9">
            <w:pPr>
              <w:cnfStyle w:val="000000000000" w:firstRow="0" w:lastRow="0" w:firstColumn="0" w:lastColumn="0" w:oddVBand="0" w:evenVBand="0" w:oddHBand="0" w:evenHBand="0" w:firstRowFirstColumn="0" w:firstRowLastColumn="0" w:lastRowFirstColumn="0" w:lastRowLastColumn="0"/>
            </w:pPr>
            <w:r>
              <w:t>6 096</w:t>
            </w:r>
          </w:p>
        </w:tc>
        <w:tc>
          <w:tcPr>
            <w:tcW w:w="939" w:type="dxa"/>
          </w:tcPr>
          <w:p w14:paraId="374798CA" w14:textId="77777777" w:rsidR="004D42F9" w:rsidRDefault="004D42F9">
            <w:pPr>
              <w:cnfStyle w:val="000000000000" w:firstRow="0" w:lastRow="0" w:firstColumn="0" w:lastColumn="0" w:oddVBand="0" w:evenVBand="0" w:oddHBand="0" w:evenHBand="0" w:firstRowFirstColumn="0" w:firstRowLastColumn="0" w:lastRowFirstColumn="0" w:lastRowLastColumn="0"/>
            </w:pPr>
            <w:r>
              <w:t>7 598</w:t>
            </w:r>
          </w:p>
        </w:tc>
        <w:tc>
          <w:tcPr>
            <w:tcW w:w="939" w:type="dxa"/>
          </w:tcPr>
          <w:p w14:paraId="50BD5460" w14:textId="77777777" w:rsidR="004D42F9" w:rsidRDefault="004D42F9">
            <w:pPr>
              <w:cnfStyle w:val="000000000000" w:firstRow="0" w:lastRow="0" w:firstColumn="0" w:lastColumn="0" w:oddVBand="0" w:evenVBand="0" w:oddHBand="0" w:evenHBand="0" w:firstRowFirstColumn="0" w:firstRowLastColumn="0" w:lastRowFirstColumn="0" w:lastRowLastColumn="0"/>
            </w:pPr>
            <w:r>
              <w:t>5 872</w:t>
            </w:r>
          </w:p>
        </w:tc>
      </w:tr>
      <w:tr w:rsidR="004D42F9" w14:paraId="008F4102" w14:textId="77777777">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55F665C8" w14:textId="77777777" w:rsidR="004D42F9" w:rsidRDefault="004D42F9">
            <w:r>
              <w:t>5 years or more</w:t>
            </w:r>
          </w:p>
        </w:tc>
        <w:tc>
          <w:tcPr>
            <w:tcW w:w="939" w:type="dxa"/>
            <w:tcBorders>
              <w:bottom w:val="single" w:sz="6" w:space="0" w:color="auto"/>
            </w:tcBorders>
          </w:tcPr>
          <w:p w14:paraId="68AB9002" w14:textId="77777777" w:rsidR="004D42F9" w:rsidRDefault="004D42F9">
            <w:pPr>
              <w:cnfStyle w:val="000000000000" w:firstRow="0" w:lastRow="0" w:firstColumn="0" w:lastColumn="0" w:oddVBand="0" w:evenVBand="0" w:oddHBand="0" w:evenHBand="0" w:firstRowFirstColumn="0" w:firstRowLastColumn="0" w:lastRowFirstColumn="0" w:lastRowLastColumn="0"/>
            </w:pPr>
            <w:r>
              <w:t>1 010</w:t>
            </w:r>
          </w:p>
        </w:tc>
        <w:tc>
          <w:tcPr>
            <w:tcW w:w="939" w:type="dxa"/>
            <w:tcBorders>
              <w:bottom w:val="single" w:sz="6" w:space="0" w:color="auto"/>
            </w:tcBorders>
          </w:tcPr>
          <w:p w14:paraId="18C07B37" w14:textId="77777777" w:rsidR="004D42F9" w:rsidRDefault="004D42F9">
            <w:pPr>
              <w:cnfStyle w:val="000000000000" w:firstRow="0" w:lastRow="0" w:firstColumn="0" w:lastColumn="0" w:oddVBand="0" w:evenVBand="0" w:oddHBand="0" w:evenHBand="0" w:firstRowFirstColumn="0" w:firstRowLastColumn="0" w:lastRowFirstColumn="0" w:lastRowLastColumn="0"/>
            </w:pPr>
            <w:r>
              <w:t>1 423</w:t>
            </w:r>
          </w:p>
        </w:tc>
        <w:tc>
          <w:tcPr>
            <w:tcW w:w="939" w:type="dxa"/>
            <w:tcBorders>
              <w:bottom w:val="single" w:sz="6" w:space="0" w:color="auto"/>
            </w:tcBorders>
          </w:tcPr>
          <w:p w14:paraId="2B43A255" w14:textId="77777777" w:rsidR="004D42F9" w:rsidRDefault="004D42F9">
            <w:pPr>
              <w:cnfStyle w:val="000000000000" w:firstRow="0" w:lastRow="0" w:firstColumn="0" w:lastColumn="0" w:oddVBand="0" w:evenVBand="0" w:oddHBand="0" w:evenHBand="0" w:firstRowFirstColumn="0" w:firstRowLastColumn="0" w:lastRowFirstColumn="0" w:lastRowLastColumn="0"/>
            </w:pPr>
            <w:r>
              <w:t>886</w:t>
            </w:r>
          </w:p>
        </w:tc>
        <w:tc>
          <w:tcPr>
            <w:tcW w:w="939" w:type="dxa"/>
            <w:tcBorders>
              <w:bottom w:val="single" w:sz="6" w:space="0" w:color="auto"/>
            </w:tcBorders>
          </w:tcPr>
          <w:p w14:paraId="5CB756F1" w14:textId="77777777" w:rsidR="004D42F9" w:rsidRDefault="004D42F9">
            <w:pPr>
              <w:cnfStyle w:val="000000000000" w:firstRow="0" w:lastRow="0" w:firstColumn="0" w:lastColumn="0" w:oddVBand="0" w:evenVBand="0" w:oddHBand="0" w:evenHBand="0" w:firstRowFirstColumn="0" w:firstRowLastColumn="0" w:lastRowFirstColumn="0" w:lastRowLastColumn="0"/>
            </w:pPr>
            <w:r>
              <w:t>1 239</w:t>
            </w:r>
          </w:p>
        </w:tc>
      </w:tr>
      <w:tr w:rsidR="004D42F9" w14:paraId="41F85E16" w14:textId="77777777">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tcBorders>
          </w:tcPr>
          <w:p w14:paraId="12BD9AF5" w14:textId="77777777" w:rsidR="004D42F9" w:rsidRDefault="004D42F9">
            <w:r>
              <w:rPr>
                <w:b/>
              </w:rPr>
              <w:t>Total service and new short</w:t>
            </w:r>
            <w:r>
              <w:rPr>
                <w:b/>
              </w:rPr>
              <w:noBreakHyphen/>
              <w:t>term lease commitments</w:t>
            </w:r>
          </w:p>
        </w:tc>
        <w:tc>
          <w:tcPr>
            <w:tcW w:w="939" w:type="dxa"/>
            <w:tcBorders>
              <w:top w:val="single" w:sz="6" w:space="0" w:color="auto"/>
            </w:tcBorders>
          </w:tcPr>
          <w:p w14:paraId="0EEE697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7 691</w:t>
            </w:r>
          </w:p>
        </w:tc>
        <w:tc>
          <w:tcPr>
            <w:tcW w:w="939" w:type="dxa"/>
            <w:tcBorders>
              <w:top w:val="single" w:sz="6" w:space="0" w:color="auto"/>
            </w:tcBorders>
          </w:tcPr>
          <w:p w14:paraId="6B50017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10 091</w:t>
            </w:r>
          </w:p>
        </w:tc>
        <w:tc>
          <w:tcPr>
            <w:tcW w:w="939" w:type="dxa"/>
            <w:tcBorders>
              <w:top w:val="single" w:sz="6" w:space="0" w:color="auto"/>
            </w:tcBorders>
          </w:tcPr>
          <w:p w14:paraId="7755C3AE"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11 401</w:t>
            </w:r>
          </w:p>
        </w:tc>
        <w:tc>
          <w:tcPr>
            <w:tcW w:w="939" w:type="dxa"/>
            <w:tcBorders>
              <w:top w:val="single" w:sz="6" w:space="0" w:color="auto"/>
            </w:tcBorders>
          </w:tcPr>
          <w:p w14:paraId="3040D356"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10 532</w:t>
            </w:r>
          </w:p>
        </w:tc>
      </w:tr>
      <w:tr w:rsidR="004D42F9" w14:paraId="361F2225" w14:textId="77777777">
        <w:tc>
          <w:tcPr>
            <w:cnfStyle w:val="001000000000" w:firstRow="0" w:lastRow="0" w:firstColumn="1" w:lastColumn="0" w:oddVBand="0" w:evenVBand="0" w:oddHBand="0" w:evenHBand="0" w:firstRowFirstColumn="0" w:firstRowLastColumn="0" w:lastRowFirstColumn="0" w:lastRowLastColumn="0"/>
            <w:tcW w:w="5883" w:type="dxa"/>
          </w:tcPr>
          <w:p w14:paraId="703E55A5" w14:textId="77777777" w:rsidR="004D42F9" w:rsidRDefault="004D42F9">
            <w:r>
              <w:rPr>
                <w:b/>
              </w:rPr>
              <w:t>Other commitments payable</w:t>
            </w:r>
          </w:p>
        </w:tc>
        <w:tc>
          <w:tcPr>
            <w:tcW w:w="939" w:type="dxa"/>
          </w:tcPr>
          <w:p w14:paraId="22688B1C"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1FAD87DE"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5F420931"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c>
          <w:tcPr>
            <w:tcW w:w="939" w:type="dxa"/>
          </w:tcPr>
          <w:p w14:paraId="036789D3" w14:textId="77777777" w:rsidR="004D42F9" w:rsidRDefault="004D42F9">
            <w:pPr>
              <w:cnfStyle w:val="000000000000" w:firstRow="0" w:lastRow="0" w:firstColumn="0" w:lastColumn="0" w:oddVBand="0" w:evenVBand="0" w:oddHBand="0" w:evenHBand="0" w:firstRowFirstColumn="0" w:firstRowLastColumn="0" w:lastRowFirstColumn="0" w:lastRowLastColumn="0"/>
            </w:pPr>
          </w:p>
        </w:tc>
      </w:tr>
      <w:tr w:rsidR="004D42F9" w14:paraId="366FAD53" w14:textId="77777777">
        <w:tc>
          <w:tcPr>
            <w:cnfStyle w:val="001000000000" w:firstRow="0" w:lastRow="0" w:firstColumn="1" w:lastColumn="0" w:oddVBand="0" w:evenVBand="0" w:oddHBand="0" w:evenHBand="0" w:firstRowFirstColumn="0" w:firstRowLastColumn="0" w:lastRowFirstColumn="0" w:lastRowLastColumn="0"/>
            <w:tcW w:w="5883" w:type="dxa"/>
          </w:tcPr>
          <w:p w14:paraId="636DABA6" w14:textId="77777777" w:rsidR="004D42F9" w:rsidRDefault="004D42F9">
            <w:r>
              <w:t>Less than 1 year</w:t>
            </w:r>
            <w:r>
              <w:rPr>
                <w:vertAlign w:val="superscript"/>
              </w:rPr>
              <w:t xml:space="preserve"> </w:t>
            </w:r>
            <w:r w:rsidDel="00E25FA4">
              <w:rPr>
                <w:vertAlign w:val="superscript"/>
              </w:rPr>
              <w:t>(</w:t>
            </w:r>
            <w:r>
              <w:rPr>
                <w:vertAlign w:val="superscript"/>
              </w:rPr>
              <w:t>c)</w:t>
            </w:r>
          </w:p>
        </w:tc>
        <w:tc>
          <w:tcPr>
            <w:tcW w:w="939" w:type="dxa"/>
          </w:tcPr>
          <w:p w14:paraId="015EE0B7" w14:textId="77777777" w:rsidR="004D42F9" w:rsidRDefault="004D42F9">
            <w:pPr>
              <w:cnfStyle w:val="000000000000" w:firstRow="0" w:lastRow="0" w:firstColumn="0" w:lastColumn="0" w:oddVBand="0" w:evenVBand="0" w:oddHBand="0" w:evenHBand="0" w:firstRowFirstColumn="0" w:firstRowLastColumn="0" w:lastRowFirstColumn="0" w:lastRowLastColumn="0"/>
            </w:pPr>
            <w:r>
              <w:t>8 486</w:t>
            </w:r>
          </w:p>
        </w:tc>
        <w:tc>
          <w:tcPr>
            <w:tcW w:w="939" w:type="dxa"/>
          </w:tcPr>
          <w:p w14:paraId="2FDF850D" w14:textId="77777777" w:rsidR="004D42F9" w:rsidRDefault="004D42F9">
            <w:pPr>
              <w:cnfStyle w:val="000000000000" w:firstRow="0" w:lastRow="0" w:firstColumn="0" w:lastColumn="0" w:oddVBand="0" w:evenVBand="0" w:oddHBand="0" w:evenHBand="0" w:firstRowFirstColumn="0" w:firstRowLastColumn="0" w:lastRowFirstColumn="0" w:lastRowLastColumn="0"/>
            </w:pPr>
            <w:r>
              <w:t>7 554</w:t>
            </w:r>
          </w:p>
        </w:tc>
        <w:tc>
          <w:tcPr>
            <w:tcW w:w="939" w:type="dxa"/>
          </w:tcPr>
          <w:p w14:paraId="2D0022E2" w14:textId="77777777" w:rsidR="004D42F9" w:rsidRDefault="004D42F9">
            <w:pPr>
              <w:cnfStyle w:val="000000000000" w:firstRow="0" w:lastRow="0" w:firstColumn="0" w:lastColumn="0" w:oddVBand="0" w:evenVBand="0" w:oddHBand="0" w:evenHBand="0" w:firstRowFirstColumn="0" w:firstRowLastColumn="0" w:lastRowFirstColumn="0" w:lastRowLastColumn="0"/>
            </w:pPr>
            <w:r>
              <w:t>6 856</w:t>
            </w:r>
          </w:p>
        </w:tc>
        <w:tc>
          <w:tcPr>
            <w:tcW w:w="939" w:type="dxa"/>
          </w:tcPr>
          <w:p w14:paraId="7947114D" w14:textId="77777777" w:rsidR="004D42F9" w:rsidRDefault="004D42F9">
            <w:pPr>
              <w:cnfStyle w:val="000000000000" w:firstRow="0" w:lastRow="0" w:firstColumn="0" w:lastColumn="0" w:oddVBand="0" w:evenVBand="0" w:oddHBand="0" w:evenHBand="0" w:firstRowFirstColumn="0" w:firstRowLastColumn="0" w:lastRowFirstColumn="0" w:lastRowLastColumn="0"/>
            </w:pPr>
            <w:r>
              <w:t>6 110</w:t>
            </w:r>
          </w:p>
        </w:tc>
      </w:tr>
      <w:tr w:rsidR="004D42F9" w14:paraId="214252AD" w14:textId="77777777">
        <w:tc>
          <w:tcPr>
            <w:cnfStyle w:val="001000000000" w:firstRow="0" w:lastRow="0" w:firstColumn="1" w:lastColumn="0" w:oddVBand="0" w:evenVBand="0" w:oddHBand="0" w:evenHBand="0" w:firstRowFirstColumn="0" w:firstRowLastColumn="0" w:lastRowFirstColumn="0" w:lastRowLastColumn="0"/>
            <w:tcW w:w="5883" w:type="dxa"/>
          </w:tcPr>
          <w:p w14:paraId="75590C0F" w14:textId="77777777" w:rsidR="004D42F9" w:rsidRDefault="004D42F9">
            <w:r>
              <w:t>1 year but less than 5 years</w:t>
            </w:r>
            <w:r>
              <w:rPr>
                <w:vertAlign w:val="superscript"/>
              </w:rPr>
              <w:t xml:space="preserve"> </w:t>
            </w:r>
            <w:r w:rsidDel="00E25FA4">
              <w:rPr>
                <w:vertAlign w:val="superscript"/>
              </w:rPr>
              <w:t>(</w:t>
            </w:r>
            <w:r>
              <w:rPr>
                <w:vertAlign w:val="superscript"/>
              </w:rPr>
              <w:t>c)</w:t>
            </w:r>
          </w:p>
        </w:tc>
        <w:tc>
          <w:tcPr>
            <w:tcW w:w="939" w:type="dxa"/>
          </w:tcPr>
          <w:p w14:paraId="7430A384" w14:textId="77777777" w:rsidR="004D42F9" w:rsidRDefault="004D42F9">
            <w:pPr>
              <w:cnfStyle w:val="000000000000" w:firstRow="0" w:lastRow="0" w:firstColumn="0" w:lastColumn="0" w:oddVBand="0" w:evenVBand="0" w:oddHBand="0" w:evenHBand="0" w:firstRowFirstColumn="0" w:firstRowLastColumn="0" w:lastRowFirstColumn="0" w:lastRowLastColumn="0"/>
            </w:pPr>
            <w:r>
              <w:t>8 556</w:t>
            </w:r>
          </w:p>
        </w:tc>
        <w:tc>
          <w:tcPr>
            <w:tcW w:w="939" w:type="dxa"/>
          </w:tcPr>
          <w:p w14:paraId="08FDF9C4" w14:textId="77777777" w:rsidR="004D42F9" w:rsidRDefault="004D42F9">
            <w:pPr>
              <w:cnfStyle w:val="000000000000" w:firstRow="0" w:lastRow="0" w:firstColumn="0" w:lastColumn="0" w:oddVBand="0" w:evenVBand="0" w:oddHBand="0" w:evenHBand="0" w:firstRowFirstColumn="0" w:firstRowLastColumn="0" w:lastRowFirstColumn="0" w:lastRowLastColumn="0"/>
            </w:pPr>
            <w:r>
              <w:t>7 184</w:t>
            </w:r>
          </w:p>
        </w:tc>
        <w:tc>
          <w:tcPr>
            <w:tcW w:w="939" w:type="dxa"/>
          </w:tcPr>
          <w:p w14:paraId="12637C98" w14:textId="77777777" w:rsidR="004D42F9" w:rsidRDefault="004D42F9">
            <w:pPr>
              <w:cnfStyle w:val="000000000000" w:firstRow="0" w:lastRow="0" w:firstColumn="0" w:lastColumn="0" w:oddVBand="0" w:evenVBand="0" w:oddHBand="0" w:evenHBand="0" w:firstRowFirstColumn="0" w:firstRowLastColumn="0" w:lastRowFirstColumn="0" w:lastRowLastColumn="0"/>
            </w:pPr>
            <w:r>
              <w:t>6 973</w:t>
            </w:r>
          </w:p>
        </w:tc>
        <w:tc>
          <w:tcPr>
            <w:tcW w:w="939" w:type="dxa"/>
          </w:tcPr>
          <w:p w14:paraId="0DAF8307" w14:textId="77777777" w:rsidR="004D42F9" w:rsidRDefault="004D42F9">
            <w:pPr>
              <w:cnfStyle w:val="000000000000" w:firstRow="0" w:lastRow="0" w:firstColumn="0" w:lastColumn="0" w:oddVBand="0" w:evenVBand="0" w:oddHBand="0" w:evenHBand="0" w:firstRowFirstColumn="0" w:firstRowLastColumn="0" w:lastRowFirstColumn="0" w:lastRowLastColumn="0"/>
            </w:pPr>
            <w:r>
              <w:t>5 810</w:t>
            </w:r>
          </w:p>
        </w:tc>
      </w:tr>
      <w:tr w:rsidR="004D42F9" w14:paraId="7D73E28E" w14:textId="77777777">
        <w:tc>
          <w:tcPr>
            <w:cnfStyle w:val="001000000000" w:firstRow="0" w:lastRow="0" w:firstColumn="1" w:lastColumn="0" w:oddVBand="0" w:evenVBand="0" w:oddHBand="0" w:evenHBand="0" w:firstRowFirstColumn="0" w:firstRowLastColumn="0" w:lastRowFirstColumn="0" w:lastRowLastColumn="0"/>
            <w:tcW w:w="5883" w:type="dxa"/>
            <w:tcBorders>
              <w:bottom w:val="single" w:sz="6" w:space="0" w:color="auto"/>
            </w:tcBorders>
          </w:tcPr>
          <w:p w14:paraId="086A73FE" w14:textId="77777777" w:rsidR="004D42F9" w:rsidRDefault="004D42F9">
            <w:r>
              <w:t>5 years or more</w:t>
            </w:r>
            <w:r>
              <w:rPr>
                <w:vertAlign w:val="superscript"/>
              </w:rPr>
              <w:t xml:space="preserve"> </w:t>
            </w:r>
          </w:p>
        </w:tc>
        <w:tc>
          <w:tcPr>
            <w:tcW w:w="939" w:type="dxa"/>
            <w:tcBorders>
              <w:bottom w:val="single" w:sz="6" w:space="0" w:color="auto"/>
            </w:tcBorders>
          </w:tcPr>
          <w:p w14:paraId="76F09323" w14:textId="77777777" w:rsidR="004D42F9" w:rsidRDefault="004D42F9">
            <w:pPr>
              <w:cnfStyle w:val="000000000000" w:firstRow="0" w:lastRow="0" w:firstColumn="0" w:lastColumn="0" w:oddVBand="0" w:evenVBand="0" w:oddHBand="0" w:evenHBand="0" w:firstRowFirstColumn="0" w:firstRowLastColumn="0" w:lastRowFirstColumn="0" w:lastRowLastColumn="0"/>
            </w:pPr>
            <w:r>
              <w:t>10 663</w:t>
            </w:r>
          </w:p>
        </w:tc>
        <w:tc>
          <w:tcPr>
            <w:tcW w:w="939" w:type="dxa"/>
            <w:tcBorders>
              <w:bottom w:val="single" w:sz="6" w:space="0" w:color="auto"/>
            </w:tcBorders>
          </w:tcPr>
          <w:p w14:paraId="0649AAF1" w14:textId="77777777" w:rsidR="004D42F9" w:rsidRDefault="004D42F9">
            <w:pPr>
              <w:cnfStyle w:val="000000000000" w:firstRow="0" w:lastRow="0" w:firstColumn="0" w:lastColumn="0" w:oddVBand="0" w:evenVBand="0" w:oddHBand="0" w:evenHBand="0" w:firstRowFirstColumn="0" w:firstRowLastColumn="0" w:lastRowFirstColumn="0" w:lastRowLastColumn="0"/>
            </w:pPr>
            <w:r>
              <w:t>8 087</w:t>
            </w:r>
          </w:p>
        </w:tc>
        <w:tc>
          <w:tcPr>
            <w:tcW w:w="939" w:type="dxa"/>
            <w:tcBorders>
              <w:bottom w:val="single" w:sz="6" w:space="0" w:color="auto"/>
            </w:tcBorders>
          </w:tcPr>
          <w:p w14:paraId="532F9187" w14:textId="77777777" w:rsidR="004D42F9" w:rsidRDefault="004D42F9">
            <w:pPr>
              <w:cnfStyle w:val="000000000000" w:firstRow="0" w:lastRow="0" w:firstColumn="0" w:lastColumn="0" w:oddVBand="0" w:evenVBand="0" w:oddHBand="0" w:evenHBand="0" w:firstRowFirstColumn="0" w:firstRowLastColumn="0" w:lastRowFirstColumn="0" w:lastRowLastColumn="0"/>
            </w:pPr>
            <w:r>
              <w:t>9 551</w:t>
            </w:r>
          </w:p>
        </w:tc>
        <w:tc>
          <w:tcPr>
            <w:tcW w:w="939" w:type="dxa"/>
            <w:tcBorders>
              <w:bottom w:val="single" w:sz="6" w:space="0" w:color="auto"/>
            </w:tcBorders>
          </w:tcPr>
          <w:p w14:paraId="62EEC7CD" w14:textId="77777777" w:rsidR="004D42F9" w:rsidRDefault="004D42F9">
            <w:pPr>
              <w:cnfStyle w:val="000000000000" w:firstRow="0" w:lastRow="0" w:firstColumn="0" w:lastColumn="0" w:oddVBand="0" w:evenVBand="0" w:oddHBand="0" w:evenHBand="0" w:firstRowFirstColumn="0" w:firstRowLastColumn="0" w:lastRowFirstColumn="0" w:lastRowLastColumn="0"/>
            </w:pPr>
            <w:r>
              <w:t>6 777</w:t>
            </w:r>
          </w:p>
        </w:tc>
      </w:tr>
      <w:tr w:rsidR="004D42F9" w14:paraId="72312FDE" w14:textId="77777777">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6" w:space="0" w:color="auto"/>
            </w:tcBorders>
          </w:tcPr>
          <w:p w14:paraId="61C74EAE" w14:textId="77777777" w:rsidR="004D42F9" w:rsidRDefault="004D42F9">
            <w:r>
              <w:rPr>
                <w:b/>
              </w:rPr>
              <w:t>Total other commitments</w:t>
            </w:r>
            <w:r>
              <w:rPr>
                <w:b/>
                <w:vertAlign w:val="superscript"/>
              </w:rPr>
              <w:t xml:space="preserve"> </w:t>
            </w:r>
            <w:r w:rsidRPr="006D5113" w:rsidDel="00E25FA4">
              <w:rPr>
                <w:b/>
                <w:bCs/>
                <w:vertAlign w:val="superscript"/>
              </w:rPr>
              <w:t>(</w:t>
            </w:r>
            <w:r>
              <w:rPr>
                <w:b/>
                <w:vertAlign w:val="superscript"/>
              </w:rPr>
              <w:t>c</w:t>
            </w:r>
            <w:r w:rsidRPr="006D5113">
              <w:rPr>
                <w:b/>
                <w:bCs/>
                <w:vertAlign w:val="superscript"/>
              </w:rPr>
              <w:t>)</w:t>
            </w:r>
          </w:p>
        </w:tc>
        <w:tc>
          <w:tcPr>
            <w:tcW w:w="939" w:type="dxa"/>
            <w:tcBorders>
              <w:top w:val="single" w:sz="6" w:space="0" w:color="auto"/>
              <w:bottom w:val="single" w:sz="6" w:space="0" w:color="auto"/>
            </w:tcBorders>
          </w:tcPr>
          <w:p w14:paraId="36225509"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27 706</w:t>
            </w:r>
          </w:p>
        </w:tc>
        <w:tc>
          <w:tcPr>
            <w:tcW w:w="939" w:type="dxa"/>
            <w:tcBorders>
              <w:top w:val="single" w:sz="6" w:space="0" w:color="auto"/>
              <w:bottom w:val="single" w:sz="6" w:space="0" w:color="auto"/>
            </w:tcBorders>
          </w:tcPr>
          <w:p w14:paraId="5E24FC5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22 826</w:t>
            </w:r>
          </w:p>
        </w:tc>
        <w:tc>
          <w:tcPr>
            <w:tcW w:w="939" w:type="dxa"/>
            <w:tcBorders>
              <w:top w:val="single" w:sz="6" w:space="0" w:color="auto"/>
              <w:bottom w:val="single" w:sz="6" w:space="0" w:color="auto"/>
            </w:tcBorders>
          </w:tcPr>
          <w:p w14:paraId="4BF210D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23 380</w:t>
            </w:r>
          </w:p>
        </w:tc>
        <w:tc>
          <w:tcPr>
            <w:tcW w:w="939" w:type="dxa"/>
            <w:tcBorders>
              <w:top w:val="single" w:sz="6" w:space="0" w:color="auto"/>
              <w:bottom w:val="single" w:sz="6" w:space="0" w:color="auto"/>
            </w:tcBorders>
          </w:tcPr>
          <w:p w14:paraId="207CE385"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18 696</w:t>
            </w:r>
          </w:p>
        </w:tc>
      </w:tr>
      <w:tr w:rsidR="004D42F9" w14:paraId="7E734261" w14:textId="77777777">
        <w:tc>
          <w:tcPr>
            <w:cnfStyle w:val="001000000000" w:firstRow="0" w:lastRow="0" w:firstColumn="1" w:lastColumn="0" w:oddVBand="0" w:evenVBand="0" w:oddHBand="0" w:evenHBand="0" w:firstRowFirstColumn="0" w:firstRowLastColumn="0" w:lastRowFirstColumn="0" w:lastRowLastColumn="0"/>
            <w:tcW w:w="5883" w:type="dxa"/>
            <w:tcBorders>
              <w:top w:val="single" w:sz="6" w:space="0" w:color="auto"/>
              <w:bottom w:val="single" w:sz="12" w:space="0" w:color="auto"/>
            </w:tcBorders>
          </w:tcPr>
          <w:p w14:paraId="64064D95" w14:textId="77777777" w:rsidR="004D42F9" w:rsidRDefault="004D42F9">
            <w:r>
              <w:rPr>
                <w:b/>
              </w:rPr>
              <w:t>Total commitments</w:t>
            </w:r>
            <w:r>
              <w:rPr>
                <w:b/>
                <w:vertAlign w:val="superscript"/>
              </w:rPr>
              <w:t xml:space="preserve"> </w:t>
            </w:r>
            <w:r w:rsidDel="00E25FA4">
              <w:rPr>
                <w:b/>
                <w:vertAlign w:val="superscript"/>
              </w:rPr>
              <w:t>(</w:t>
            </w:r>
            <w:r>
              <w:rPr>
                <w:b/>
                <w:vertAlign w:val="superscript"/>
              </w:rPr>
              <w:t>c)</w:t>
            </w:r>
          </w:p>
        </w:tc>
        <w:tc>
          <w:tcPr>
            <w:tcW w:w="939" w:type="dxa"/>
            <w:tcBorders>
              <w:top w:val="single" w:sz="6" w:space="0" w:color="auto"/>
              <w:bottom w:val="single" w:sz="12" w:space="0" w:color="auto"/>
            </w:tcBorders>
          </w:tcPr>
          <w:p w14:paraId="60DB49BC"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65 938</w:t>
            </w:r>
          </w:p>
        </w:tc>
        <w:tc>
          <w:tcPr>
            <w:tcW w:w="939" w:type="dxa"/>
            <w:tcBorders>
              <w:top w:val="single" w:sz="6" w:space="0" w:color="auto"/>
              <w:bottom w:val="single" w:sz="12" w:space="0" w:color="auto"/>
            </w:tcBorders>
          </w:tcPr>
          <w:p w14:paraId="57A88DC2"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61 749</w:t>
            </w:r>
          </w:p>
        </w:tc>
        <w:tc>
          <w:tcPr>
            <w:tcW w:w="939" w:type="dxa"/>
            <w:tcBorders>
              <w:top w:val="single" w:sz="6" w:space="0" w:color="auto"/>
              <w:bottom w:val="single" w:sz="12" w:space="0" w:color="auto"/>
            </w:tcBorders>
          </w:tcPr>
          <w:p w14:paraId="78532ADB"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62 146</w:t>
            </w:r>
          </w:p>
        </w:tc>
        <w:tc>
          <w:tcPr>
            <w:tcW w:w="939" w:type="dxa"/>
            <w:tcBorders>
              <w:top w:val="single" w:sz="6" w:space="0" w:color="auto"/>
              <w:bottom w:val="single" w:sz="12" w:space="0" w:color="auto"/>
            </w:tcBorders>
          </w:tcPr>
          <w:p w14:paraId="29A01C87" w14:textId="77777777" w:rsidR="004D42F9" w:rsidRDefault="004D42F9">
            <w:pPr>
              <w:cnfStyle w:val="000000000000" w:firstRow="0" w:lastRow="0" w:firstColumn="0" w:lastColumn="0" w:oddVBand="0" w:evenVBand="0" w:oddHBand="0" w:evenHBand="0" w:firstRowFirstColumn="0" w:firstRowLastColumn="0" w:lastRowFirstColumn="0" w:lastRowLastColumn="0"/>
            </w:pPr>
            <w:r>
              <w:rPr>
                <w:b/>
              </w:rPr>
              <w:t>55 368</w:t>
            </w:r>
          </w:p>
        </w:tc>
      </w:tr>
    </w:tbl>
    <w:p w14:paraId="26C66D30" w14:textId="77777777" w:rsidR="004D42F9" w:rsidRDefault="004D42F9" w:rsidP="004D42F9">
      <w:pPr>
        <w:pStyle w:val="Note"/>
      </w:pPr>
      <w:r>
        <w:t>Notes:</w:t>
      </w:r>
    </w:p>
    <w:p w14:paraId="25579E49" w14:textId="77777777" w:rsidR="004D42F9" w:rsidRDefault="004D42F9" w:rsidP="004D42F9">
      <w:pPr>
        <w:pStyle w:val="Note"/>
      </w:pPr>
      <w:r>
        <w:t>(a)</w:t>
      </w:r>
      <w:r>
        <w:tab/>
        <w:t>The figures presented are inclusive of GST.</w:t>
      </w:r>
    </w:p>
    <w:p w14:paraId="2D6013D0" w14:textId="77777777" w:rsidR="004D42F9" w:rsidRDefault="004D42F9" w:rsidP="004D42F9">
      <w:pPr>
        <w:pStyle w:val="Note"/>
      </w:pPr>
      <w:r>
        <w:t>(b)</w:t>
      </w:r>
      <w:r>
        <w:tab/>
      </w:r>
      <w:r w:rsidRPr="004F5B56">
        <w:t>The 202</w:t>
      </w:r>
      <w:r>
        <w:t>4</w:t>
      </w:r>
      <w:r w:rsidRPr="004F5B56">
        <w:t xml:space="preserve"> comparative figures for total commitments have been restated </w:t>
      </w:r>
      <w:r>
        <w:t>and reclassified between maturity categories to more accurately</w:t>
      </w:r>
      <w:r w:rsidRPr="004F5B56">
        <w:t xml:space="preserve"> reflect </w:t>
      </w:r>
      <w:r>
        <w:t>the ageing of commitments.</w:t>
      </w:r>
    </w:p>
    <w:p w14:paraId="59E4DC5E" w14:textId="77777777" w:rsidR="004D42F9" w:rsidRDefault="004D42F9" w:rsidP="004D42F9">
      <w:pPr>
        <w:pStyle w:val="Note"/>
      </w:pPr>
      <w:r>
        <w:t>(c)</w:t>
      </w:r>
      <w:r>
        <w:tab/>
      </w:r>
      <w:r w:rsidRPr="00F77716">
        <w:t>The 202</w:t>
      </w:r>
      <w:r>
        <w:t>4</w:t>
      </w:r>
      <w:r w:rsidRPr="00F77716">
        <w:t xml:space="preserve"> payable figures for other commitments payable has been restated to reflect the reclassification of</w:t>
      </w:r>
      <w:r>
        <w:t xml:space="preserve"> </w:t>
      </w:r>
      <w:r>
        <w:rPr>
          <w:szCs w:val="14"/>
        </w:rPr>
        <w:t>Service Delivery of M</w:t>
      </w:r>
      <w:r w:rsidRPr="00A34E13">
        <w:rPr>
          <w:szCs w:val="14"/>
        </w:rPr>
        <w:t xml:space="preserve">obile </w:t>
      </w:r>
      <w:r>
        <w:rPr>
          <w:szCs w:val="14"/>
        </w:rPr>
        <w:t>N</w:t>
      </w:r>
      <w:r w:rsidRPr="00A34E13">
        <w:rPr>
          <w:szCs w:val="14"/>
        </w:rPr>
        <w:t xml:space="preserve">etwork </w:t>
      </w:r>
      <w:r>
        <w:t>commitments Networks</w:t>
      </w:r>
      <w:r w:rsidRPr="00F77716">
        <w:t xml:space="preserve"> to </w:t>
      </w:r>
      <w:r>
        <w:t>Lease</w:t>
      </w:r>
      <w:r w:rsidRPr="00F77716">
        <w:t xml:space="preserve"> Commitments in Note 5.</w:t>
      </w:r>
      <w:r>
        <w:t>6</w:t>
      </w:r>
      <w:r w:rsidRPr="00F77716">
        <w:t>.</w:t>
      </w:r>
    </w:p>
    <w:p w14:paraId="3BE6D8C4" w14:textId="77777777" w:rsidR="004D42F9" w:rsidRPr="00B90414" w:rsidRDefault="004D42F9" w:rsidP="004D42F9">
      <w:pPr>
        <w:pStyle w:val="Note"/>
      </w:pPr>
    </w:p>
    <w:bookmarkEnd w:id="96"/>
    <w:p w14:paraId="404E1B9F" w14:textId="0482015E" w:rsidR="00F0202A" w:rsidRDefault="00F0202A">
      <w:pPr>
        <w:keepLines w:val="0"/>
      </w:pPr>
      <w:r>
        <w:br w:type="page"/>
      </w:r>
    </w:p>
    <w:p w14:paraId="5661C7E6" w14:textId="77777777" w:rsidR="009D33A8" w:rsidRDefault="009D33A8" w:rsidP="009D33A8">
      <w:pPr>
        <w:pStyle w:val="Heading1"/>
      </w:pPr>
      <w:bookmarkStart w:id="110" w:name="_Toc203395027"/>
      <w:bookmarkStart w:id="111" w:name="_Toc209474782"/>
      <w:r>
        <w:lastRenderedPageBreak/>
        <w:t>6.</w:t>
      </w:r>
      <w:r>
        <w:tab/>
        <w:t>Risks, contingencies and valuation judgements</w:t>
      </w:r>
      <w:bookmarkEnd w:id="110"/>
      <w:bookmarkEnd w:id="111"/>
      <w:r>
        <w:t xml:space="preserve"> </w:t>
      </w:r>
    </w:p>
    <w:p w14:paraId="02B353F8" w14:textId="77777777" w:rsidR="00ED5429" w:rsidRDefault="00ED5429" w:rsidP="009D33A8">
      <w:pPr>
        <w:pStyle w:val="Heading3"/>
        <w:sectPr w:rsidR="00ED5429" w:rsidSect="004F2221">
          <w:headerReference w:type="even" r:id="rId103"/>
          <w:headerReference w:type="default" r:id="rId104"/>
          <w:type w:val="continuous"/>
          <w:pgSz w:w="11906" w:h="16838" w:code="9"/>
          <w:pgMar w:top="1134" w:right="1134" w:bottom="1134" w:left="1134" w:header="624" w:footer="567" w:gutter="0"/>
          <w:cols w:space="708"/>
          <w:titlePg/>
          <w:docGrid w:linePitch="360"/>
        </w:sectPr>
      </w:pPr>
    </w:p>
    <w:p w14:paraId="003EB127" w14:textId="77777777" w:rsidR="009D33A8" w:rsidRDefault="009D33A8" w:rsidP="009D33A8">
      <w:pPr>
        <w:pStyle w:val="Heading3"/>
      </w:pPr>
      <w:r>
        <w:t xml:space="preserve">Introduction </w:t>
      </w:r>
    </w:p>
    <w:p w14:paraId="001EDC8B" w14:textId="77777777" w:rsidR="009D33A8" w:rsidRDefault="009D33A8" w:rsidP="009D33A8">
      <w:r>
        <w:t xml:space="preserve">The State is exposed to risks from both its activities and outside factors. In addition, it is often necessary to make judgements and estimates associated with recognition and measurement of items in the financial statements. </w:t>
      </w:r>
    </w:p>
    <w:p w14:paraId="3AFF7CE4" w14:textId="70629804" w:rsidR="009D33A8" w:rsidRDefault="009D33A8" w:rsidP="009D33A8">
      <w:r>
        <w:t>This section presents information on financial instruments, contingent assets and liabilities, and fair value determinations on the State</w:t>
      </w:r>
      <w:r w:rsidR="00845934">
        <w:t>’</w:t>
      </w:r>
      <w:r>
        <w:t>s assets and liabilities.</w:t>
      </w:r>
    </w:p>
    <w:p w14:paraId="7667081C" w14:textId="77777777" w:rsidR="009D33A8" w:rsidRDefault="009D33A8" w:rsidP="009D33A8">
      <w:pPr>
        <w:pStyle w:val="Heading3"/>
      </w:pPr>
      <w:r>
        <w:t>Structure</w:t>
      </w:r>
    </w:p>
    <w:p w14:paraId="57E03507" w14:textId="5A1CA3AD" w:rsidR="00BC0C0C" w:rsidRDefault="009D33A8">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w:instrText>
      </w:r>
      <w:r w:rsidR="00BC0C0C">
        <w:instrText>6</w:instrText>
      </w:r>
      <w:r>
        <w:instrText xml:space="preserve"> \t "Heading 2,9" </w:instrText>
      </w:r>
      <w:r>
        <w:rPr>
          <w:color w:val="2B579A"/>
          <w:shd w:val="clear" w:color="auto" w:fill="E6E6E6"/>
        </w:rPr>
        <w:fldChar w:fldCharType="separate"/>
      </w:r>
      <w:hyperlink w:anchor="_Toc209481814" w:history="1">
        <w:r w:rsidR="00BC0C0C" w:rsidRPr="00D0174C">
          <w:rPr>
            <w:rStyle w:val="Hyperlink"/>
            <w:noProof/>
          </w:rPr>
          <w:t>6.1</w:t>
        </w:r>
        <w:r w:rsidR="00BC0C0C">
          <w:rPr>
            <w:rFonts w:eastAsiaTheme="minorEastAsia"/>
            <w:noProof/>
            <w:kern w:val="2"/>
            <w:sz w:val="24"/>
            <w:szCs w:val="24"/>
            <w:lang w:eastAsia="en-AU"/>
            <w14:ligatures w14:val="standardContextual"/>
          </w:rPr>
          <w:tab/>
        </w:r>
        <w:r w:rsidR="00BC0C0C" w:rsidRPr="00D0174C">
          <w:rPr>
            <w:rStyle w:val="Hyperlink"/>
            <w:noProof/>
          </w:rPr>
          <w:t>Financial instruments</w:t>
        </w:r>
        <w:r w:rsidR="00BC0C0C">
          <w:rPr>
            <w:noProof/>
            <w:webHidden/>
          </w:rPr>
          <w:tab/>
        </w:r>
        <w:r w:rsidR="00BC0C0C">
          <w:rPr>
            <w:noProof/>
            <w:webHidden/>
          </w:rPr>
          <w:fldChar w:fldCharType="begin"/>
        </w:r>
        <w:r w:rsidR="00BC0C0C">
          <w:rPr>
            <w:noProof/>
            <w:webHidden/>
          </w:rPr>
          <w:instrText xml:space="preserve"> PAGEREF _Toc209481814 \h </w:instrText>
        </w:r>
        <w:r w:rsidR="00BC0C0C">
          <w:rPr>
            <w:noProof/>
            <w:webHidden/>
          </w:rPr>
        </w:r>
        <w:r w:rsidR="00BC0C0C">
          <w:rPr>
            <w:noProof/>
            <w:webHidden/>
          </w:rPr>
          <w:fldChar w:fldCharType="separate"/>
        </w:r>
        <w:r w:rsidR="00727C5B">
          <w:rPr>
            <w:noProof/>
            <w:webHidden/>
          </w:rPr>
          <w:t>106</w:t>
        </w:r>
        <w:r w:rsidR="00BC0C0C">
          <w:rPr>
            <w:noProof/>
            <w:webHidden/>
          </w:rPr>
          <w:fldChar w:fldCharType="end"/>
        </w:r>
      </w:hyperlink>
    </w:p>
    <w:p w14:paraId="4F5F37B7" w14:textId="3E1A7C17" w:rsidR="00BC0C0C" w:rsidRDefault="00BC0C0C">
      <w:pPr>
        <w:pStyle w:val="TOC9"/>
        <w:rPr>
          <w:rFonts w:eastAsiaTheme="minorEastAsia"/>
          <w:noProof/>
          <w:kern w:val="2"/>
          <w:sz w:val="24"/>
          <w:szCs w:val="24"/>
          <w:lang w:eastAsia="en-AU"/>
          <w14:ligatures w14:val="standardContextual"/>
        </w:rPr>
      </w:pPr>
      <w:hyperlink w:anchor="_Toc209481815" w:history="1">
        <w:r w:rsidRPr="00D0174C">
          <w:rPr>
            <w:rStyle w:val="Hyperlink"/>
            <w:noProof/>
          </w:rPr>
          <w:t>6.2</w:t>
        </w:r>
        <w:r>
          <w:rPr>
            <w:rFonts w:eastAsiaTheme="minorEastAsia"/>
            <w:noProof/>
            <w:kern w:val="2"/>
            <w:sz w:val="24"/>
            <w:szCs w:val="24"/>
            <w:lang w:eastAsia="en-AU"/>
            <w14:ligatures w14:val="standardContextual"/>
          </w:rPr>
          <w:tab/>
        </w:r>
        <w:r w:rsidRPr="00D0174C">
          <w:rPr>
            <w:rStyle w:val="Hyperlink"/>
            <w:noProof/>
          </w:rPr>
          <w:t>Contingent assets and contingent liabilities</w:t>
        </w:r>
        <w:r>
          <w:rPr>
            <w:noProof/>
            <w:webHidden/>
          </w:rPr>
          <w:tab/>
        </w:r>
        <w:r>
          <w:rPr>
            <w:noProof/>
            <w:webHidden/>
          </w:rPr>
          <w:fldChar w:fldCharType="begin"/>
        </w:r>
        <w:r>
          <w:rPr>
            <w:noProof/>
            <w:webHidden/>
          </w:rPr>
          <w:instrText xml:space="preserve"> PAGEREF _Toc209481815 \h </w:instrText>
        </w:r>
        <w:r>
          <w:rPr>
            <w:noProof/>
            <w:webHidden/>
          </w:rPr>
        </w:r>
        <w:r>
          <w:rPr>
            <w:noProof/>
            <w:webHidden/>
          </w:rPr>
          <w:fldChar w:fldCharType="separate"/>
        </w:r>
        <w:r w:rsidR="00727C5B">
          <w:rPr>
            <w:noProof/>
            <w:webHidden/>
          </w:rPr>
          <w:t>120</w:t>
        </w:r>
        <w:r>
          <w:rPr>
            <w:noProof/>
            <w:webHidden/>
          </w:rPr>
          <w:fldChar w:fldCharType="end"/>
        </w:r>
      </w:hyperlink>
    </w:p>
    <w:p w14:paraId="12E95015" w14:textId="2D889FE4" w:rsidR="00BC0C0C" w:rsidRDefault="00BC0C0C">
      <w:pPr>
        <w:pStyle w:val="TOC9"/>
        <w:rPr>
          <w:rFonts w:eastAsiaTheme="minorEastAsia"/>
          <w:noProof/>
          <w:kern w:val="2"/>
          <w:sz w:val="24"/>
          <w:szCs w:val="24"/>
          <w:lang w:eastAsia="en-AU"/>
          <w14:ligatures w14:val="standardContextual"/>
        </w:rPr>
      </w:pPr>
      <w:hyperlink w:anchor="_Toc209481816" w:history="1">
        <w:r w:rsidRPr="00D0174C">
          <w:rPr>
            <w:rStyle w:val="Hyperlink"/>
            <w:noProof/>
          </w:rPr>
          <w:t>6.3</w:t>
        </w:r>
        <w:r>
          <w:rPr>
            <w:rFonts w:eastAsiaTheme="minorEastAsia"/>
            <w:noProof/>
            <w:kern w:val="2"/>
            <w:sz w:val="24"/>
            <w:szCs w:val="24"/>
            <w:lang w:eastAsia="en-AU"/>
            <w14:ligatures w14:val="standardContextual"/>
          </w:rPr>
          <w:tab/>
        </w:r>
        <w:r w:rsidRPr="00D0174C">
          <w:rPr>
            <w:rStyle w:val="Hyperlink"/>
            <w:noProof/>
          </w:rPr>
          <w:t>Fair value determination</w:t>
        </w:r>
        <w:r>
          <w:rPr>
            <w:noProof/>
            <w:webHidden/>
          </w:rPr>
          <w:tab/>
        </w:r>
        <w:r>
          <w:rPr>
            <w:noProof/>
            <w:webHidden/>
          </w:rPr>
          <w:fldChar w:fldCharType="begin"/>
        </w:r>
        <w:r>
          <w:rPr>
            <w:noProof/>
            <w:webHidden/>
          </w:rPr>
          <w:instrText xml:space="preserve"> PAGEREF _Toc209481816 \h </w:instrText>
        </w:r>
        <w:r>
          <w:rPr>
            <w:noProof/>
            <w:webHidden/>
          </w:rPr>
        </w:r>
        <w:r>
          <w:rPr>
            <w:noProof/>
            <w:webHidden/>
          </w:rPr>
          <w:fldChar w:fldCharType="separate"/>
        </w:r>
        <w:r w:rsidR="00727C5B">
          <w:rPr>
            <w:noProof/>
            <w:webHidden/>
          </w:rPr>
          <w:t>125</w:t>
        </w:r>
        <w:r>
          <w:rPr>
            <w:noProof/>
            <w:webHidden/>
          </w:rPr>
          <w:fldChar w:fldCharType="end"/>
        </w:r>
      </w:hyperlink>
    </w:p>
    <w:p w14:paraId="1BB1FEFC" w14:textId="344CBEDD" w:rsidR="00BC0C0C" w:rsidRDefault="00BC0C0C">
      <w:pPr>
        <w:pStyle w:val="TOC9"/>
        <w:rPr>
          <w:rFonts w:eastAsiaTheme="minorEastAsia"/>
          <w:noProof/>
          <w:kern w:val="2"/>
          <w:sz w:val="24"/>
          <w:szCs w:val="24"/>
          <w:lang w:eastAsia="en-AU"/>
          <w14:ligatures w14:val="standardContextual"/>
        </w:rPr>
      </w:pPr>
      <w:hyperlink w:anchor="_Toc209481817" w:history="1">
        <w:r w:rsidRPr="00D0174C">
          <w:rPr>
            <w:rStyle w:val="Hyperlink"/>
            <w:noProof/>
          </w:rPr>
          <w:t>6.4</w:t>
        </w:r>
        <w:r>
          <w:rPr>
            <w:rFonts w:eastAsiaTheme="minorEastAsia"/>
            <w:noProof/>
            <w:kern w:val="2"/>
            <w:sz w:val="24"/>
            <w:szCs w:val="24"/>
            <w:lang w:eastAsia="en-AU"/>
            <w14:ligatures w14:val="standardContextual"/>
          </w:rPr>
          <w:tab/>
        </w:r>
        <w:r w:rsidRPr="00D0174C">
          <w:rPr>
            <w:rStyle w:val="Hyperlink"/>
            <w:noProof/>
          </w:rPr>
          <w:t xml:space="preserve">Fair value determination of financial assets </w:t>
        </w:r>
        <w:r>
          <w:rPr>
            <w:rStyle w:val="Hyperlink"/>
            <w:noProof/>
          </w:rPr>
          <w:br/>
        </w:r>
        <w:r w:rsidRPr="00D0174C">
          <w:rPr>
            <w:rStyle w:val="Hyperlink"/>
            <w:noProof/>
          </w:rPr>
          <w:t>and liabilities</w:t>
        </w:r>
        <w:r>
          <w:rPr>
            <w:noProof/>
            <w:webHidden/>
          </w:rPr>
          <w:tab/>
        </w:r>
        <w:r>
          <w:rPr>
            <w:noProof/>
            <w:webHidden/>
          </w:rPr>
          <w:fldChar w:fldCharType="begin"/>
        </w:r>
        <w:r>
          <w:rPr>
            <w:noProof/>
            <w:webHidden/>
          </w:rPr>
          <w:instrText xml:space="preserve"> PAGEREF _Toc209481817 \h </w:instrText>
        </w:r>
        <w:r>
          <w:rPr>
            <w:noProof/>
            <w:webHidden/>
          </w:rPr>
        </w:r>
        <w:r>
          <w:rPr>
            <w:noProof/>
            <w:webHidden/>
          </w:rPr>
          <w:fldChar w:fldCharType="separate"/>
        </w:r>
        <w:r w:rsidR="00727C5B">
          <w:rPr>
            <w:noProof/>
            <w:webHidden/>
          </w:rPr>
          <w:t>126</w:t>
        </w:r>
        <w:r>
          <w:rPr>
            <w:noProof/>
            <w:webHidden/>
          </w:rPr>
          <w:fldChar w:fldCharType="end"/>
        </w:r>
      </w:hyperlink>
    </w:p>
    <w:p w14:paraId="34A9003A" w14:textId="46727670" w:rsidR="00ED5429" w:rsidRDefault="00BC0C0C" w:rsidP="00BC0C0C">
      <w:pPr>
        <w:pStyle w:val="TOC9"/>
        <w:rPr>
          <w:color w:val="2B579A"/>
          <w:shd w:val="clear" w:color="auto" w:fill="E6E6E6"/>
        </w:rPr>
        <w:sectPr w:rsidR="00ED5429" w:rsidSect="00ED5429">
          <w:type w:val="continuous"/>
          <w:pgSz w:w="11906" w:h="16838" w:code="9"/>
          <w:pgMar w:top="1134" w:right="1134" w:bottom="1134" w:left="1134" w:header="624" w:footer="567" w:gutter="0"/>
          <w:cols w:num="2" w:space="708"/>
          <w:docGrid w:linePitch="360"/>
        </w:sectPr>
      </w:pPr>
      <w:hyperlink w:anchor="_Toc209481818" w:history="1">
        <w:r w:rsidRPr="00D0174C">
          <w:rPr>
            <w:rStyle w:val="Hyperlink"/>
            <w:noProof/>
          </w:rPr>
          <w:t>6.5</w:t>
        </w:r>
        <w:r>
          <w:rPr>
            <w:rFonts w:eastAsiaTheme="minorEastAsia"/>
            <w:noProof/>
            <w:kern w:val="2"/>
            <w:sz w:val="24"/>
            <w:szCs w:val="24"/>
            <w:lang w:eastAsia="en-AU"/>
            <w14:ligatures w14:val="standardContextual"/>
          </w:rPr>
          <w:tab/>
        </w:r>
        <w:r w:rsidRPr="00D0174C">
          <w:rPr>
            <w:rStyle w:val="Hyperlink"/>
            <w:noProof/>
          </w:rPr>
          <w:t>Fair value determination of non</w:t>
        </w:r>
        <w:r w:rsidRPr="00D0174C">
          <w:rPr>
            <w:rStyle w:val="Hyperlink"/>
            <w:noProof/>
          </w:rPr>
          <w:noBreakHyphen/>
          <w:t xml:space="preserve">financial </w:t>
        </w:r>
        <w:r>
          <w:rPr>
            <w:rStyle w:val="Hyperlink"/>
            <w:noProof/>
          </w:rPr>
          <w:br/>
        </w:r>
        <w:r w:rsidRPr="00D0174C">
          <w:rPr>
            <w:rStyle w:val="Hyperlink"/>
            <w:noProof/>
          </w:rPr>
          <w:t>assets</w:t>
        </w:r>
        <w:r>
          <w:rPr>
            <w:noProof/>
            <w:webHidden/>
          </w:rPr>
          <w:tab/>
        </w:r>
        <w:r>
          <w:rPr>
            <w:noProof/>
            <w:webHidden/>
          </w:rPr>
          <w:fldChar w:fldCharType="begin"/>
        </w:r>
        <w:r>
          <w:rPr>
            <w:noProof/>
            <w:webHidden/>
          </w:rPr>
          <w:instrText xml:space="preserve"> PAGEREF _Toc209481818 \h </w:instrText>
        </w:r>
        <w:r>
          <w:rPr>
            <w:noProof/>
            <w:webHidden/>
          </w:rPr>
        </w:r>
        <w:r>
          <w:rPr>
            <w:noProof/>
            <w:webHidden/>
          </w:rPr>
          <w:fldChar w:fldCharType="separate"/>
        </w:r>
        <w:r w:rsidR="00727C5B">
          <w:rPr>
            <w:noProof/>
            <w:webHidden/>
          </w:rPr>
          <w:t>129</w:t>
        </w:r>
        <w:r>
          <w:rPr>
            <w:noProof/>
            <w:webHidden/>
          </w:rPr>
          <w:fldChar w:fldCharType="end"/>
        </w:r>
      </w:hyperlink>
      <w:r w:rsidR="009D33A8">
        <w:rPr>
          <w:color w:val="2B579A"/>
          <w:shd w:val="clear" w:color="auto" w:fill="E6E6E6"/>
        </w:rPr>
        <w:fldChar w:fldCharType="end"/>
      </w:r>
    </w:p>
    <w:p w14:paraId="0224B461" w14:textId="77777777" w:rsidR="009D33A8" w:rsidRDefault="009D33A8" w:rsidP="009D33A8"/>
    <w:p w14:paraId="5528A31C" w14:textId="77777777" w:rsidR="009D33A8" w:rsidRDefault="009D33A8" w:rsidP="009D33A8">
      <w:pPr>
        <w:pStyle w:val="Heading2"/>
      </w:pPr>
      <w:bookmarkStart w:id="112" w:name="_Toc209481814"/>
      <w:bookmarkStart w:id="113" w:name="Section6"/>
      <w:r>
        <w:t>6.1</w:t>
      </w:r>
      <w:r>
        <w:tab/>
        <w:t>Financial instruments</w:t>
      </w:r>
      <w:bookmarkEnd w:id="112"/>
    </w:p>
    <w:p w14:paraId="13065A05" w14:textId="77777777" w:rsidR="009D33A8" w:rsidRDefault="009D33A8" w:rsidP="009D33A8">
      <w:pPr>
        <w:pStyle w:val="Heading3"/>
      </w:pPr>
      <w:r>
        <w:t>Introduction</w:t>
      </w:r>
    </w:p>
    <w:p w14:paraId="77C56DD7" w14:textId="77777777" w:rsidR="00ED5429" w:rsidRDefault="00ED5429" w:rsidP="009D33A8">
      <w:pPr>
        <w:sectPr w:rsidR="00ED5429" w:rsidSect="00ED5429">
          <w:type w:val="continuous"/>
          <w:pgSz w:w="11906" w:h="16838" w:code="9"/>
          <w:pgMar w:top="1134" w:right="1134" w:bottom="1134" w:left="1134" w:header="624" w:footer="567" w:gutter="0"/>
          <w:cols w:space="708"/>
          <w:docGrid w:linePitch="360"/>
        </w:sectPr>
      </w:pPr>
    </w:p>
    <w:p w14:paraId="75B82B0F" w14:textId="60CD4A0A" w:rsidR="009D33A8" w:rsidRDefault="009D33A8" w:rsidP="009D33A8">
      <w:r>
        <w:t>Financial instruments arise out of contractual agreements that give rise to a financial asset of one entity and a financial liability or equity instrument of another entity. Due to the nature of the State</w:t>
      </w:r>
      <w:r w:rsidR="00845934">
        <w:t>’</w:t>
      </w:r>
      <w:r>
        <w:t xml:space="preserve">s activities, certain assets and liabilities arise under statute rather than a contract (for example, taxes, fines and penalties). Such assets and liabilities (statutory receivables and payables) are initially recognised and measured in the same manner as financial instruments, even though they are not financial instruments. The disclosure requirements associated with financial instruments therefore do not apply. </w:t>
      </w:r>
    </w:p>
    <w:p w14:paraId="3558D5F6" w14:textId="77777777" w:rsidR="009D33A8" w:rsidRDefault="009D33A8" w:rsidP="009D33A8">
      <w:r>
        <w:t>The main purposes for the State to hold financial instruments are:</w:t>
      </w:r>
    </w:p>
    <w:p w14:paraId="2C150D6B" w14:textId="77777777" w:rsidR="009D33A8" w:rsidRPr="001B7F16" w:rsidRDefault="009D33A8" w:rsidP="009D33A8">
      <w:pPr>
        <w:pStyle w:val="ListBullet"/>
        <w:keepLines/>
        <w:numPr>
          <w:ilvl w:val="0"/>
          <w:numId w:val="27"/>
        </w:numPr>
        <w:ind w:left="357" w:hanging="357"/>
      </w:pPr>
      <w:r w:rsidRPr="001B7F16">
        <w:t>for liquidity management purposes</w:t>
      </w:r>
    </w:p>
    <w:p w14:paraId="3EB08D8D" w14:textId="77777777" w:rsidR="009D33A8" w:rsidRPr="001B7F16" w:rsidRDefault="009D33A8" w:rsidP="009D33A8">
      <w:pPr>
        <w:pStyle w:val="ListBullet"/>
        <w:keepLines/>
        <w:numPr>
          <w:ilvl w:val="0"/>
          <w:numId w:val="27"/>
        </w:numPr>
        <w:ind w:left="357" w:hanging="357"/>
      </w:pPr>
      <w:r w:rsidRPr="001B7F16">
        <w:t>to manage financial risk</w:t>
      </w:r>
    </w:p>
    <w:p w14:paraId="16331F3C" w14:textId="591FAE53" w:rsidR="009D33A8" w:rsidRPr="001B7F16" w:rsidRDefault="009D33A8" w:rsidP="009D33A8">
      <w:pPr>
        <w:pStyle w:val="ListBullet"/>
        <w:keepLines/>
        <w:numPr>
          <w:ilvl w:val="0"/>
          <w:numId w:val="27"/>
        </w:numPr>
        <w:ind w:left="357" w:hanging="357"/>
      </w:pPr>
      <w:r w:rsidRPr="001B7F16">
        <w:t>to fund the State</w:t>
      </w:r>
      <w:r w:rsidR="00845934">
        <w:t>’</w:t>
      </w:r>
      <w:r w:rsidRPr="001B7F16">
        <w:t>s capital expenditure program</w:t>
      </w:r>
    </w:p>
    <w:p w14:paraId="4241FF70" w14:textId="77777777" w:rsidR="009D33A8" w:rsidRPr="001B7F16" w:rsidRDefault="009D33A8" w:rsidP="009D33A8">
      <w:pPr>
        <w:pStyle w:val="ListBullet"/>
        <w:keepLines/>
        <w:numPr>
          <w:ilvl w:val="0"/>
          <w:numId w:val="27"/>
        </w:numPr>
        <w:ind w:left="357" w:hanging="357"/>
      </w:pPr>
      <w:r w:rsidRPr="001B7F16">
        <w:t>to meet long-term insurance and superannuation liabilities.</w:t>
      </w:r>
    </w:p>
    <w:p w14:paraId="6C13D7D3" w14:textId="77777777" w:rsidR="00ED5429" w:rsidRDefault="00ED5429" w:rsidP="009D33A8">
      <w:pPr>
        <w:sectPr w:rsidR="00ED5429" w:rsidSect="00ED5429">
          <w:type w:val="continuous"/>
          <w:pgSz w:w="11906" w:h="16838" w:code="9"/>
          <w:pgMar w:top="1134" w:right="1134" w:bottom="1134" w:left="1134" w:header="624" w:footer="567" w:gutter="0"/>
          <w:cols w:num="2" w:space="708"/>
          <w:docGrid w:linePitch="360"/>
        </w:sectPr>
      </w:pPr>
    </w:p>
    <w:p w14:paraId="78F13FD4" w14:textId="77777777" w:rsidR="009D33A8" w:rsidRDefault="009D33A8" w:rsidP="009D33A8"/>
    <w:p w14:paraId="5A2AA78B" w14:textId="77777777" w:rsidR="009D33A8" w:rsidRDefault="009D33A8" w:rsidP="009D33A8">
      <w:pPr>
        <w:pStyle w:val="TableHeading"/>
        <w:pageBreakBefore/>
      </w:pPr>
      <w:r>
        <w:lastRenderedPageBreak/>
        <w:t>Categories of financial instruments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ategories_Fin_Instruments"/>
      </w:tblPr>
      <w:tblGrid>
        <w:gridCol w:w="7371"/>
        <w:gridCol w:w="1134"/>
        <w:gridCol w:w="1133"/>
      </w:tblGrid>
      <w:tr w:rsidR="009D33A8" w14:paraId="14C73A8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316A5F55" w14:textId="77777777" w:rsidR="009D33A8" w:rsidRDefault="009D33A8">
            <w:pPr>
              <w:keepNext/>
            </w:pPr>
            <w:r>
              <w:t>2025</w:t>
            </w:r>
          </w:p>
        </w:tc>
        <w:tc>
          <w:tcPr>
            <w:tcW w:w="1134" w:type="dxa"/>
            <w:tcBorders>
              <w:top w:val="single" w:sz="6" w:space="0" w:color="auto"/>
            </w:tcBorders>
          </w:tcPr>
          <w:p w14:paraId="58D7FF9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133" w:type="dxa"/>
            <w:tcBorders>
              <w:top w:val="single" w:sz="6" w:space="0" w:color="auto"/>
            </w:tcBorders>
          </w:tcPr>
          <w:p w14:paraId="717446A6"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1F211550" w14:textId="77777777">
        <w:tc>
          <w:tcPr>
            <w:cnfStyle w:val="001000000000" w:firstRow="0" w:lastRow="0" w:firstColumn="1" w:lastColumn="0" w:oddVBand="0" w:evenVBand="0" w:oddHBand="0" w:evenHBand="0" w:firstRowFirstColumn="0" w:firstRowLastColumn="0" w:lastRowFirstColumn="0" w:lastRowLastColumn="0"/>
            <w:tcW w:w="7371" w:type="dxa"/>
          </w:tcPr>
          <w:p w14:paraId="3A1C256E" w14:textId="77777777" w:rsidR="009D33A8" w:rsidRDefault="009D33A8">
            <w:r>
              <w:rPr>
                <w:b/>
              </w:rPr>
              <w:t>Financial assets</w:t>
            </w:r>
          </w:p>
        </w:tc>
        <w:tc>
          <w:tcPr>
            <w:tcW w:w="1134" w:type="dxa"/>
          </w:tcPr>
          <w:p w14:paraId="64D4BA2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3" w:type="dxa"/>
          </w:tcPr>
          <w:p w14:paraId="4FF5AE0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9EF2829" w14:textId="77777777">
        <w:tc>
          <w:tcPr>
            <w:cnfStyle w:val="001000000000" w:firstRow="0" w:lastRow="0" w:firstColumn="1" w:lastColumn="0" w:oddVBand="0" w:evenVBand="0" w:oddHBand="0" w:evenHBand="0" w:firstRowFirstColumn="0" w:firstRowLastColumn="0" w:lastRowFirstColumn="0" w:lastRowLastColumn="0"/>
            <w:tcW w:w="7371" w:type="dxa"/>
          </w:tcPr>
          <w:p w14:paraId="533B5356" w14:textId="77777777" w:rsidR="009D33A8" w:rsidRDefault="009D33A8">
            <w:r>
              <w:t>Cash and deposits</w:t>
            </w:r>
          </w:p>
        </w:tc>
        <w:tc>
          <w:tcPr>
            <w:tcW w:w="1134" w:type="dxa"/>
          </w:tcPr>
          <w:p w14:paraId="25F8E9B4" w14:textId="77777777" w:rsidR="009D33A8" w:rsidRDefault="009D33A8">
            <w:pPr>
              <w:cnfStyle w:val="000000000000" w:firstRow="0" w:lastRow="0" w:firstColumn="0" w:lastColumn="0" w:oddVBand="0" w:evenVBand="0" w:oddHBand="0" w:evenHBand="0" w:firstRowFirstColumn="0" w:firstRowLastColumn="0" w:lastRowFirstColumn="0" w:lastRowLastColumn="0"/>
            </w:pPr>
            <w:r>
              <w:t>20 450</w:t>
            </w:r>
          </w:p>
        </w:tc>
        <w:tc>
          <w:tcPr>
            <w:tcW w:w="1133" w:type="dxa"/>
          </w:tcPr>
          <w:p w14:paraId="592A619A" w14:textId="77777777" w:rsidR="009D33A8" w:rsidRDefault="009D33A8">
            <w:pPr>
              <w:cnfStyle w:val="000000000000" w:firstRow="0" w:lastRow="0" w:firstColumn="0" w:lastColumn="0" w:oddVBand="0" w:evenVBand="0" w:oddHBand="0" w:evenHBand="0" w:firstRowFirstColumn="0" w:firstRowLastColumn="0" w:lastRowFirstColumn="0" w:lastRowLastColumn="0"/>
            </w:pPr>
            <w:r>
              <w:t>12 800</w:t>
            </w:r>
          </w:p>
        </w:tc>
      </w:tr>
      <w:tr w:rsidR="009D33A8" w14:paraId="6475699F" w14:textId="77777777">
        <w:tc>
          <w:tcPr>
            <w:cnfStyle w:val="001000000000" w:firstRow="0" w:lastRow="0" w:firstColumn="1" w:lastColumn="0" w:oddVBand="0" w:evenVBand="0" w:oddHBand="0" w:evenHBand="0" w:firstRowFirstColumn="0" w:firstRowLastColumn="0" w:lastRowFirstColumn="0" w:lastRowLastColumn="0"/>
            <w:tcW w:w="7371" w:type="dxa"/>
          </w:tcPr>
          <w:p w14:paraId="76E49737" w14:textId="77777777" w:rsidR="009D33A8" w:rsidRDefault="009D33A8">
            <w:r>
              <w:t>Financial assets designated at fair value through profit or loss</w:t>
            </w:r>
          </w:p>
        </w:tc>
        <w:tc>
          <w:tcPr>
            <w:tcW w:w="1134" w:type="dxa"/>
          </w:tcPr>
          <w:p w14:paraId="3A8A0F85" w14:textId="77777777" w:rsidR="009D33A8" w:rsidRDefault="009D33A8">
            <w:pPr>
              <w:cnfStyle w:val="000000000000" w:firstRow="0" w:lastRow="0" w:firstColumn="0" w:lastColumn="0" w:oddVBand="0" w:evenVBand="0" w:oddHBand="0" w:evenHBand="0" w:firstRowFirstColumn="0" w:firstRowLastColumn="0" w:lastRowFirstColumn="0" w:lastRowLastColumn="0"/>
            </w:pPr>
            <w:r>
              <w:t>87 841</w:t>
            </w:r>
          </w:p>
        </w:tc>
        <w:tc>
          <w:tcPr>
            <w:tcW w:w="1133" w:type="dxa"/>
          </w:tcPr>
          <w:p w14:paraId="5D822294" w14:textId="77777777" w:rsidR="009D33A8" w:rsidRDefault="009D33A8">
            <w:pPr>
              <w:cnfStyle w:val="000000000000" w:firstRow="0" w:lastRow="0" w:firstColumn="0" w:lastColumn="0" w:oddVBand="0" w:evenVBand="0" w:oddHBand="0" w:evenHBand="0" w:firstRowFirstColumn="0" w:firstRowLastColumn="0" w:lastRowFirstColumn="0" w:lastRowLastColumn="0"/>
            </w:pPr>
            <w:r>
              <w:t>16 242</w:t>
            </w:r>
          </w:p>
        </w:tc>
      </w:tr>
      <w:tr w:rsidR="009D33A8" w14:paraId="2C885FBA" w14:textId="77777777">
        <w:tc>
          <w:tcPr>
            <w:cnfStyle w:val="001000000000" w:firstRow="0" w:lastRow="0" w:firstColumn="1" w:lastColumn="0" w:oddVBand="0" w:evenVBand="0" w:oddHBand="0" w:evenHBand="0" w:firstRowFirstColumn="0" w:firstRowLastColumn="0" w:lastRowFirstColumn="0" w:lastRowLastColumn="0"/>
            <w:tcW w:w="7371" w:type="dxa"/>
          </w:tcPr>
          <w:p w14:paraId="0761DB25" w14:textId="77777777" w:rsidR="009D33A8" w:rsidRDefault="009D33A8">
            <w:r>
              <w:t>Financial assets mandatorily measured at fair value through profit or loss</w:t>
            </w:r>
          </w:p>
        </w:tc>
        <w:tc>
          <w:tcPr>
            <w:tcW w:w="1134" w:type="dxa"/>
          </w:tcPr>
          <w:p w14:paraId="5020E0E0" w14:textId="77777777" w:rsidR="009D33A8" w:rsidRDefault="009D33A8">
            <w:pPr>
              <w:cnfStyle w:val="000000000000" w:firstRow="0" w:lastRow="0" w:firstColumn="0" w:lastColumn="0" w:oddVBand="0" w:evenVBand="0" w:oddHBand="0" w:evenHBand="0" w:firstRowFirstColumn="0" w:firstRowLastColumn="0" w:lastRowFirstColumn="0" w:lastRowLastColumn="0"/>
            </w:pPr>
            <w:r>
              <w:t>854</w:t>
            </w:r>
          </w:p>
        </w:tc>
        <w:tc>
          <w:tcPr>
            <w:tcW w:w="1133" w:type="dxa"/>
          </w:tcPr>
          <w:p w14:paraId="185FC154" w14:textId="77777777" w:rsidR="009D33A8" w:rsidRDefault="009D33A8">
            <w:pPr>
              <w:cnfStyle w:val="000000000000" w:firstRow="0" w:lastRow="0" w:firstColumn="0" w:lastColumn="0" w:oddVBand="0" w:evenVBand="0" w:oddHBand="0" w:evenHBand="0" w:firstRowFirstColumn="0" w:firstRowLastColumn="0" w:lastRowFirstColumn="0" w:lastRowLastColumn="0"/>
            </w:pPr>
            <w:r>
              <w:t>526</w:t>
            </w:r>
          </w:p>
        </w:tc>
      </w:tr>
      <w:tr w:rsidR="009D33A8" w14:paraId="08EEFB47" w14:textId="77777777">
        <w:tc>
          <w:tcPr>
            <w:cnfStyle w:val="001000000000" w:firstRow="0" w:lastRow="0" w:firstColumn="1" w:lastColumn="0" w:oddVBand="0" w:evenVBand="0" w:oddHBand="0" w:evenHBand="0" w:firstRowFirstColumn="0" w:firstRowLastColumn="0" w:lastRowFirstColumn="0" w:lastRowLastColumn="0"/>
            <w:tcW w:w="7371" w:type="dxa"/>
          </w:tcPr>
          <w:p w14:paraId="06CD1C7E" w14:textId="77777777" w:rsidR="009D33A8" w:rsidRDefault="009D33A8">
            <w:r>
              <w:t>Financial assets at amortised cost</w:t>
            </w:r>
          </w:p>
        </w:tc>
        <w:tc>
          <w:tcPr>
            <w:tcW w:w="1134" w:type="dxa"/>
          </w:tcPr>
          <w:p w14:paraId="05CAD0EA" w14:textId="77777777" w:rsidR="009D33A8" w:rsidRDefault="009D33A8">
            <w:pPr>
              <w:cnfStyle w:val="000000000000" w:firstRow="0" w:lastRow="0" w:firstColumn="0" w:lastColumn="0" w:oddVBand="0" w:evenVBand="0" w:oddHBand="0" w:evenHBand="0" w:firstRowFirstColumn="0" w:firstRowLastColumn="0" w:lastRowFirstColumn="0" w:lastRowLastColumn="0"/>
            </w:pPr>
            <w:r>
              <w:t>6 298</w:t>
            </w:r>
          </w:p>
        </w:tc>
        <w:tc>
          <w:tcPr>
            <w:tcW w:w="1133" w:type="dxa"/>
          </w:tcPr>
          <w:p w14:paraId="50BD4AE4" w14:textId="77777777" w:rsidR="009D33A8" w:rsidRDefault="009D33A8">
            <w:pPr>
              <w:cnfStyle w:val="000000000000" w:firstRow="0" w:lastRow="0" w:firstColumn="0" w:lastColumn="0" w:oddVBand="0" w:evenVBand="0" w:oddHBand="0" w:evenHBand="0" w:firstRowFirstColumn="0" w:firstRowLastColumn="0" w:lastRowFirstColumn="0" w:lastRowLastColumn="0"/>
            </w:pPr>
            <w:r>
              <w:t>9 929</w:t>
            </w:r>
          </w:p>
        </w:tc>
      </w:tr>
      <w:tr w:rsidR="009D33A8" w14:paraId="5BD4C7C7" w14:textId="77777777">
        <w:tc>
          <w:tcPr>
            <w:cnfStyle w:val="001000000000" w:firstRow="0" w:lastRow="0" w:firstColumn="1" w:lastColumn="0" w:oddVBand="0" w:evenVBand="0" w:oddHBand="0" w:evenHBand="0" w:firstRowFirstColumn="0" w:firstRowLastColumn="0" w:lastRowFirstColumn="0" w:lastRowLastColumn="0"/>
            <w:tcW w:w="7371" w:type="dxa"/>
          </w:tcPr>
          <w:p w14:paraId="532A7C3A" w14:textId="77777777" w:rsidR="009D33A8" w:rsidRDefault="009D33A8">
            <w:r>
              <w:t>Financial assets measured at fair value through other comprehensive income</w:t>
            </w:r>
          </w:p>
        </w:tc>
        <w:tc>
          <w:tcPr>
            <w:tcW w:w="1134" w:type="dxa"/>
          </w:tcPr>
          <w:p w14:paraId="1FECA812"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1133" w:type="dxa"/>
          </w:tcPr>
          <w:p w14:paraId="54F87CB3"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r>
      <w:tr w:rsidR="009D33A8" w14:paraId="3127F872"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0D00F496" w14:textId="77777777" w:rsidR="009D33A8" w:rsidRDefault="009D33A8">
            <w:r>
              <w:t>Investment in equity instrument designated at fair value through other comprehensive income</w:t>
            </w:r>
          </w:p>
        </w:tc>
        <w:tc>
          <w:tcPr>
            <w:tcW w:w="1134" w:type="dxa"/>
            <w:tcBorders>
              <w:bottom w:val="single" w:sz="6" w:space="0" w:color="auto"/>
            </w:tcBorders>
          </w:tcPr>
          <w:p w14:paraId="78B3E96B" w14:textId="77777777" w:rsidR="009D33A8" w:rsidRDefault="009D33A8">
            <w:pPr>
              <w:cnfStyle w:val="000000000000" w:firstRow="0" w:lastRow="0" w:firstColumn="0" w:lastColumn="0" w:oddVBand="0" w:evenVBand="0" w:oddHBand="0" w:evenHBand="0" w:firstRowFirstColumn="0" w:firstRowLastColumn="0" w:lastRowFirstColumn="0" w:lastRowLastColumn="0"/>
            </w:pPr>
            <w:r>
              <w:t>731</w:t>
            </w:r>
          </w:p>
        </w:tc>
        <w:tc>
          <w:tcPr>
            <w:tcW w:w="1133" w:type="dxa"/>
            <w:tcBorders>
              <w:bottom w:val="single" w:sz="6" w:space="0" w:color="auto"/>
            </w:tcBorders>
          </w:tcPr>
          <w:p w14:paraId="290EA04A" w14:textId="77777777" w:rsidR="009D33A8" w:rsidRDefault="009D33A8">
            <w:pPr>
              <w:cnfStyle w:val="000000000000" w:firstRow="0" w:lastRow="0" w:firstColumn="0" w:lastColumn="0" w:oddVBand="0" w:evenVBand="0" w:oddHBand="0" w:evenHBand="0" w:firstRowFirstColumn="0" w:firstRowLastColumn="0" w:lastRowFirstColumn="0" w:lastRowLastColumn="0"/>
            </w:pPr>
            <w:r>
              <w:t>731</w:t>
            </w:r>
          </w:p>
        </w:tc>
      </w:tr>
      <w:tr w:rsidR="009D33A8" w14:paraId="48D3D12E"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657304C7" w14:textId="77777777" w:rsidR="009D33A8" w:rsidRDefault="009D33A8">
            <w:r>
              <w:rPr>
                <w:b/>
              </w:rPr>
              <w:t xml:space="preserve">Total financial assets </w:t>
            </w:r>
            <w:r>
              <w:rPr>
                <w:b/>
                <w:vertAlign w:val="superscript"/>
              </w:rPr>
              <w:t>(a)</w:t>
            </w:r>
          </w:p>
        </w:tc>
        <w:tc>
          <w:tcPr>
            <w:tcW w:w="1134" w:type="dxa"/>
            <w:tcBorders>
              <w:top w:val="single" w:sz="6" w:space="0" w:color="auto"/>
              <w:bottom w:val="single" w:sz="6" w:space="0" w:color="auto"/>
            </w:tcBorders>
          </w:tcPr>
          <w:p w14:paraId="088B3E8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116 192</w:t>
            </w:r>
          </w:p>
        </w:tc>
        <w:tc>
          <w:tcPr>
            <w:tcW w:w="1133" w:type="dxa"/>
            <w:tcBorders>
              <w:top w:val="single" w:sz="6" w:space="0" w:color="auto"/>
              <w:bottom w:val="single" w:sz="6" w:space="0" w:color="auto"/>
            </w:tcBorders>
          </w:tcPr>
          <w:p w14:paraId="60EB958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40 246</w:t>
            </w:r>
          </w:p>
        </w:tc>
      </w:tr>
      <w:tr w:rsidR="009D33A8" w14:paraId="081795BE"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010C9E97" w14:textId="77777777" w:rsidR="009D33A8" w:rsidRDefault="009D33A8">
            <w:r>
              <w:rPr>
                <w:b/>
              </w:rPr>
              <w:t>Financial liabilities</w:t>
            </w:r>
          </w:p>
        </w:tc>
        <w:tc>
          <w:tcPr>
            <w:tcW w:w="1134" w:type="dxa"/>
            <w:tcBorders>
              <w:top w:val="single" w:sz="6" w:space="0" w:color="auto"/>
            </w:tcBorders>
          </w:tcPr>
          <w:p w14:paraId="5C2CC84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3D0BC87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0F39EBB" w14:textId="77777777">
        <w:tc>
          <w:tcPr>
            <w:cnfStyle w:val="001000000000" w:firstRow="0" w:lastRow="0" w:firstColumn="1" w:lastColumn="0" w:oddVBand="0" w:evenVBand="0" w:oddHBand="0" w:evenHBand="0" w:firstRowFirstColumn="0" w:firstRowLastColumn="0" w:lastRowFirstColumn="0" w:lastRowLastColumn="0"/>
            <w:tcW w:w="7371" w:type="dxa"/>
          </w:tcPr>
          <w:p w14:paraId="0BD85931" w14:textId="77777777" w:rsidR="009D33A8" w:rsidRDefault="009D33A8">
            <w:r>
              <w:t>Financial liabilities designated at fair value through profit and loss</w:t>
            </w:r>
          </w:p>
        </w:tc>
        <w:tc>
          <w:tcPr>
            <w:tcW w:w="1134" w:type="dxa"/>
          </w:tcPr>
          <w:p w14:paraId="05E26500" w14:textId="77777777" w:rsidR="009D33A8" w:rsidRDefault="009D33A8">
            <w:pPr>
              <w:cnfStyle w:val="000000000000" w:firstRow="0" w:lastRow="0" w:firstColumn="0" w:lastColumn="0" w:oddVBand="0" w:evenVBand="0" w:oddHBand="0" w:evenHBand="0" w:firstRowFirstColumn="0" w:firstRowLastColumn="0" w:lastRowFirstColumn="0" w:lastRowLastColumn="0"/>
            </w:pPr>
            <w:r>
              <w:t>187 446</w:t>
            </w:r>
          </w:p>
        </w:tc>
        <w:tc>
          <w:tcPr>
            <w:tcW w:w="1133" w:type="dxa"/>
          </w:tcPr>
          <w:p w14:paraId="59496D51"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r>
      <w:tr w:rsidR="009D33A8" w14:paraId="7E6CD2F2" w14:textId="77777777">
        <w:tc>
          <w:tcPr>
            <w:cnfStyle w:val="001000000000" w:firstRow="0" w:lastRow="0" w:firstColumn="1" w:lastColumn="0" w:oddVBand="0" w:evenVBand="0" w:oddHBand="0" w:evenHBand="0" w:firstRowFirstColumn="0" w:firstRowLastColumn="0" w:lastRowFirstColumn="0" w:lastRowLastColumn="0"/>
            <w:tcW w:w="7371" w:type="dxa"/>
          </w:tcPr>
          <w:p w14:paraId="4D1D51C3" w14:textId="77777777" w:rsidR="009D33A8" w:rsidRDefault="009D33A8">
            <w:r>
              <w:t>Financial liabilities mandatorily measured at fair value through profit or loss</w:t>
            </w:r>
          </w:p>
        </w:tc>
        <w:tc>
          <w:tcPr>
            <w:tcW w:w="1134" w:type="dxa"/>
          </w:tcPr>
          <w:p w14:paraId="78D679FB" w14:textId="77777777" w:rsidR="009D33A8" w:rsidRDefault="009D33A8">
            <w:pPr>
              <w:cnfStyle w:val="000000000000" w:firstRow="0" w:lastRow="0" w:firstColumn="0" w:lastColumn="0" w:oddVBand="0" w:evenVBand="0" w:oddHBand="0" w:evenHBand="0" w:firstRowFirstColumn="0" w:firstRowLastColumn="0" w:lastRowFirstColumn="0" w:lastRowLastColumn="0"/>
            </w:pPr>
            <w:r>
              <w:t>965</w:t>
            </w:r>
          </w:p>
        </w:tc>
        <w:tc>
          <w:tcPr>
            <w:tcW w:w="1133" w:type="dxa"/>
          </w:tcPr>
          <w:p w14:paraId="571291B6" w14:textId="77777777" w:rsidR="009D33A8" w:rsidRDefault="009D33A8">
            <w:pPr>
              <w:cnfStyle w:val="000000000000" w:firstRow="0" w:lastRow="0" w:firstColumn="0" w:lastColumn="0" w:oddVBand="0" w:evenVBand="0" w:oddHBand="0" w:evenHBand="0" w:firstRowFirstColumn="0" w:firstRowLastColumn="0" w:lastRowFirstColumn="0" w:lastRowLastColumn="0"/>
            </w:pPr>
            <w:r>
              <w:t>220</w:t>
            </w:r>
          </w:p>
        </w:tc>
      </w:tr>
      <w:tr w:rsidR="009D33A8" w14:paraId="1D8E5705"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2FE59A55" w14:textId="77777777" w:rsidR="009D33A8" w:rsidRDefault="009D33A8">
            <w:r>
              <w:t>Financial liabilities at amortised cost</w:t>
            </w:r>
          </w:p>
        </w:tc>
        <w:tc>
          <w:tcPr>
            <w:tcW w:w="1134" w:type="dxa"/>
            <w:tcBorders>
              <w:bottom w:val="single" w:sz="6" w:space="0" w:color="auto"/>
            </w:tcBorders>
          </w:tcPr>
          <w:p w14:paraId="165E71A5" w14:textId="77777777" w:rsidR="009D33A8" w:rsidRDefault="009D33A8">
            <w:pPr>
              <w:cnfStyle w:val="000000000000" w:firstRow="0" w:lastRow="0" w:firstColumn="0" w:lastColumn="0" w:oddVBand="0" w:evenVBand="0" w:oddHBand="0" w:evenHBand="0" w:firstRowFirstColumn="0" w:firstRowLastColumn="0" w:lastRowFirstColumn="0" w:lastRowLastColumn="0"/>
            </w:pPr>
            <w:r>
              <w:t>46 386</w:t>
            </w:r>
          </w:p>
        </w:tc>
        <w:tc>
          <w:tcPr>
            <w:tcW w:w="1133" w:type="dxa"/>
            <w:tcBorders>
              <w:bottom w:val="single" w:sz="6" w:space="0" w:color="auto"/>
            </w:tcBorders>
          </w:tcPr>
          <w:p w14:paraId="403A7459" w14:textId="77777777" w:rsidR="009D33A8" w:rsidRDefault="009D33A8">
            <w:pPr>
              <w:cnfStyle w:val="000000000000" w:firstRow="0" w:lastRow="0" w:firstColumn="0" w:lastColumn="0" w:oddVBand="0" w:evenVBand="0" w:oddHBand="0" w:evenHBand="0" w:firstRowFirstColumn="0" w:firstRowLastColumn="0" w:lastRowFirstColumn="0" w:lastRowLastColumn="0"/>
            </w:pPr>
            <w:r>
              <w:t>194 118</w:t>
            </w:r>
          </w:p>
        </w:tc>
      </w:tr>
      <w:tr w:rsidR="009D33A8" w14:paraId="3CC79283"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78AD28BD" w14:textId="77777777" w:rsidR="009D33A8" w:rsidRDefault="009D33A8">
            <w:r>
              <w:rPr>
                <w:b/>
              </w:rPr>
              <w:t xml:space="preserve">Total financial liabilities </w:t>
            </w:r>
            <w:r>
              <w:rPr>
                <w:b/>
                <w:vertAlign w:val="superscript"/>
              </w:rPr>
              <w:t xml:space="preserve">(b) </w:t>
            </w:r>
          </w:p>
        </w:tc>
        <w:tc>
          <w:tcPr>
            <w:tcW w:w="1134" w:type="dxa"/>
            <w:tcBorders>
              <w:top w:val="single" w:sz="6" w:space="0" w:color="auto"/>
              <w:bottom w:val="single" w:sz="12" w:space="0" w:color="auto"/>
            </w:tcBorders>
          </w:tcPr>
          <w:p w14:paraId="2600D74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234 796</w:t>
            </w:r>
          </w:p>
        </w:tc>
        <w:tc>
          <w:tcPr>
            <w:tcW w:w="1133" w:type="dxa"/>
            <w:tcBorders>
              <w:top w:val="single" w:sz="6" w:space="0" w:color="auto"/>
              <w:bottom w:val="single" w:sz="12" w:space="0" w:color="auto"/>
            </w:tcBorders>
          </w:tcPr>
          <w:p w14:paraId="094F283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194 342</w:t>
            </w:r>
          </w:p>
        </w:tc>
      </w:tr>
    </w:tbl>
    <w:p w14:paraId="4F4C8A13"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ategories_Fin_Instruments_PY"/>
      </w:tblPr>
      <w:tblGrid>
        <w:gridCol w:w="7371"/>
        <w:gridCol w:w="1134"/>
        <w:gridCol w:w="1133"/>
      </w:tblGrid>
      <w:tr w:rsidR="009D33A8" w14:paraId="7730A8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4659D69D" w14:textId="77777777" w:rsidR="009D33A8" w:rsidRDefault="009D33A8">
            <w:pPr>
              <w:keepNext/>
            </w:pPr>
            <w:r>
              <w:t>2024</w:t>
            </w:r>
          </w:p>
        </w:tc>
        <w:tc>
          <w:tcPr>
            <w:tcW w:w="1134" w:type="dxa"/>
            <w:tcBorders>
              <w:top w:val="single" w:sz="6" w:space="0" w:color="auto"/>
            </w:tcBorders>
          </w:tcPr>
          <w:p w14:paraId="7F8B2B7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190F335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634BA896" w14:textId="77777777">
        <w:tc>
          <w:tcPr>
            <w:cnfStyle w:val="001000000000" w:firstRow="0" w:lastRow="0" w:firstColumn="1" w:lastColumn="0" w:oddVBand="0" w:evenVBand="0" w:oddHBand="0" w:evenHBand="0" w:firstRowFirstColumn="0" w:firstRowLastColumn="0" w:lastRowFirstColumn="0" w:lastRowLastColumn="0"/>
            <w:tcW w:w="7371" w:type="dxa"/>
          </w:tcPr>
          <w:p w14:paraId="20BE37C9" w14:textId="77777777" w:rsidR="009D33A8" w:rsidRDefault="009D33A8">
            <w:r>
              <w:rPr>
                <w:b/>
              </w:rPr>
              <w:t>Financial assets</w:t>
            </w:r>
          </w:p>
        </w:tc>
        <w:tc>
          <w:tcPr>
            <w:tcW w:w="1134" w:type="dxa"/>
          </w:tcPr>
          <w:p w14:paraId="3C6ECD7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3" w:type="dxa"/>
          </w:tcPr>
          <w:p w14:paraId="01CE52D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F084615" w14:textId="77777777">
        <w:tc>
          <w:tcPr>
            <w:cnfStyle w:val="001000000000" w:firstRow="0" w:lastRow="0" w:firstColumn="1" w:lastColumn="0" w:oddVBand="0" w:evenVBand="0" w:oddHBand="0" w:evenHBand="0" w:firstRowFirstColumn="0" w:firstRowLastColumn="0" w:lastRowFirstColumn="0" w:lastRowLastColumn="0"/>
            <w:tcW w:w="7371" w:type="dxa"/>
          </w:tcPr>
          <w:p w14:paraId="688F7715" w14:textId="77777777" w:rsidR="009D33A8" w:rsidRDefault="009D33A8">
            <w:r>
              <w:t>Cash and deposits</w:t>
            </w:r>
          </w:p>
        </w:tc>
        <w:tc>
          <w:tcPr>
            <w:tcW w:w="1134" w:type="dxa"/>
          </w:tcPr>
          <w:p w14:paraId="62D84362" w14:textId="77777777" w:rsidR="009D33A8" w:rsidRDefault="009D33A8">
            <w:pPr>
              <w:cnfStyle w:val="000000000000" w:firstRow="0" w:lastRow="0" w:firstColumn="0" w:lastColumn="0" w:oddVBand="0" w:evenVBand="0" w:oddHBand="0" w:evenHBand="0" w:firstRowFirstColumn="0" w:firstRowLastColumn="0" w:lastRowFirstColumn="0" w:lastRowLastColumn="0"/>
            </w:pPr>
            <w:r>
              <w:t>19 595</w:t>
            </w:r>
          </w:p>
        </w:tc>
        <w:tc>
          <w:tcPr>
            <w:tcW w:w="1133" w:type="dxa"/>
          </w:tcPr>
          <w:p w14:paraId="1D9DEFE1" w14:textId="77777777" w:rsidR="009D33A8" w:rsidRDefault="009D33A8">
            <w:pPr>
              <w:cnfStyle w:val="000000000000" w:firstRow="0" w:lastRow="0" w:firstColumn="0" w:lastColumn="0" w:oddVBand="0" w:evenVBand="0" w:oddHBand="0" w:evenHBand="0" w:firstRowFirstColumn="0" w:firstRowLastColumn="0" w:lastRowFirstColumn="0" w:lastRowLastColumn="0"/>
            </w:pPr>
            <w:r>
              <w:t>14 306</w:t>
            </w:r>
          </w:p>
        </w:tc>
      </w:tr>
      <w:tr w:rsidR="009D33A8" w14:paraId="396F9058" w14:textId="77777777">
        <w:tc>
          <w:tcPr>
            <w:cnfStyle w:val="001000000000" w:firstRow="0" w:lastRow="0" w:firstColumn="1" w:lastColumn="0" w:oddVBand="0" w:evenVBand="0" w:oddHBand="0" w:evenHBand="0" w:firstRowFirstColumn="0" w:firstRowLastColumn="0" w:lastRowFirstColumn="0" w:lastRowLastColumn="0"/>
            <w:tcW w:w="7371" w:type="dxa"/>
          </w:tcPr>
          <w:p w14:paraId="0B756814" w14:textId="77777777" w:rsidR="009D33A8" w:rsidRDefault="009D33A8">
            <w:r>
              <w:t>Financial assets designated at fair value through profit or loss</w:t>
            </w:r>
          </w:p>
        </w:tc>
        <w:tc>
          <w:tcPr>
            <w:tcW w:w="1134" w:type="dxa"/>
          </w:tcPr>
          <w:p w14:paraId="32266F94" w14:textId="77777777" w:rsidR="009D33A8" w:rsidRDefault="009D33A8">
            <w:pPr>
              <w:cnfStyle w:val="000000000000" w:firstRow="0" w:lastRow="0" w:firstColumn="0" w:lastColumn="0" w:oddVBand="0" w:evenVBand="0" w:oddHBand="0" w:evenHBand="0" w:firstRowFirstColumn="0" w:firstRowLastColumn="0" w:lastRowFirstColumn="0" w:lastRowLastColumn="0"/>
            </w:pPr>
            <w:r>
              <w:t>78 753</w:t>
            </w:r>
          </w:p>
        </w:tc>
        <w:tc>
          <w:tcPr>
            <w:tcW w:w="1133" w:type="dxa"/>
          </w:tcPr>
          <w:p w14:paraId="07934FF8" w14:textId="77777777" w:rsidR="009D33A8" w:rsidRDefault="009D33A8">
            <w:pPr>
              <w:cnfStyle w:val="000000000000" w:firstRow="0" w:lastRow="0" w:firstColumn="0" w:lastColumn="0" w:oddVBand="0" w:evenVBand="0" w:oddHBand="0" w:evenHBand="0" w:firstRowFirstColumn="0" w:firstRowLastColumn="0" w:lastRowFirstColumn="0" w:lastRowLastColumn="0"/>
            </w:pPr>
            <w:r>
              <w:t>13 226</w:t>
            </w:r>
          </w:p>
        </w:tc>
      </w:tr>
      <w:tr w:rsidR="009D33A8" w14:paraId="5EF18DC9" w14:textId="77777777">
        <w:tc>
          <w:tcPr>
            <w:cnfStyle w:val="001000000000" w:firstRow="0" w:lastRow="0" w:firstColumn="1" w:lastColumn="0" w:oddVBand="0" w:evenVBand="0" w:oddHBand="0" w:evenHBand="0" w:firstRowFirstColumn="0" w:firstRowLastColumn="0" w:lastRowFirstColumn="0" w:lastRowLastColumn="0"/>
            <w:tcW w:w="7371" w:type="dxa"/>
          </w:tcPr>
          <w:p w14:paraId="0801631A" w14:textId="77777777" w:rsidR="009D33A8" w:rsidRDefault="009D33A8">
            <w:r>
              <w:t>Financial asset mandatorily measured at fair value through profit or loss</w:t>
            </w:r>
          </w:p>
        </w:tc>
        <w:tc>
          <w:tcPr>
            <w:tcW w:w="1134" w:type="dxa"/>
          </w:tcPr>
          <w:p w14:paraId="38439BD6" w14:textId="77777777" w:rsidR="009D33A8" w:rsidRDefault="009D33A8">
            <w:pPr>
              <w:cnfStyle w:val="000000000000" w:firstRow="0" w:lastRow="0" w:firstColumn="0" w:lastColumn="0" w:oddVBand="0" w:evenVBand="0" w:oddHBand="0" w:evenHBand="0" w:firstRowFirstColumn="0" w:firstRowLastColumn="0" w:lastRowFirstColumn="0" w:lastRowLastColumn="0"/>
            </w:pPr>
            <w:r>
              <w:t>310</w:t>
            </w:r>
          </w:p>
        </w:tc>
        <w:tc>
          <w:tcPr>
            <w:tcW w:w="1133" w:type="dxa"/>
          </w:tcPr>
          <w:p w14:paraId="14BE2DD9" w14:textId="77777777" w:rsidR="009D33A8" w:rsidRDefault="009D33A8">
            <w:pPr>
              <w:cnfStyle w:val="000000000000" w:firstRow="0" w:lastRow="0" w:firstColumn="0" w:lastColumn="0" w:oddVBand="0" w:evenVBand="0" w:oddHBand="0" w:evenHBand="0" w:firstRowFirstColumn="0" w:firstRowLastColumn="0" w:lastRowFirstColumn="0" w:lastRowLastColumn="0"/>
            </w:pPr>
            <w:r>
              <w:t>72</w:t>
            </w:r>
          </w:p>
        </w:tc>
      </w:tr>
      <w:tr w:rsidR="009D33A8" w14:paraId="56E0EEAB" w14:textId="77777777">
        <w:tc>
          <w:tcPr>
            <w:cnfStyle w:val="001000000000" w:firstRow="0" w:lastRow="0" w:firstColumn="1" w:lastColumn="0" w:oddVBand="0" w:evenVBand="0" w:oddHBand="0" w:evenHBand="0" w:firstRowFirstColumn="0" w:firstRowLastColumn="0" w:lastRowFirstColumn="0" w:lastRowLastColumn="0"/>
            <w:tcW w:w="7371" w:type="dxa"/>
          </w:tcPr>
          <w:p w14:paraId="73D93B72" w14:textId="77777777" w:rsidR="009D33A8" w:rsidRDefault="009D33A8">
            <w:r>
              <w:t>Financial assets at amortised cost</w:t>
            </w:r>
          </w:p>
        </w:tc>
        <w:tc>
          <w:tcPr>
            <w:tcW w:w="1134" w:type="dxa"/>
          </w:tcPr>
          <w:p w14:paraId="6FCA860A" w14:textId="77777777" w:rsidR="009D33A8" w:rsidRDefault="009D33A8">
            <w:pPr>
              <w:cnfStyle w:val="000000000000" w:firstRow="0" w:lastRow="0" w:firstColumn="0" w:lastColumn="0" w:oddVBand="0" w:evenVBand="0" w:oddHBand="0" w:evenHBand="0" w:firstRowFirstColumn="0" w:firstRowLastColumn="0" w:lastRowFirstColumn="0" w:lastRowLastColumn="0"/>
            </w:pPr>
            <w:r>
              <w:t>5 996</w:t>
            </w:r>
          </w:p>
        </w:tc>
        <w:tc>
          <w:tcPr>
            <w:tcW w:w="1133" w:type="dxa"/>
          </w:tcPr>
          <w:p w14:paraId="478510C3" w14:textId="77777777" w:rsidR="009D33A8" w:rsidRDefault="009D33A8">
            <w:pPr>
              <w:cnfStyle w:val="000000000000" w:firstRow="0" w:lastRow="0" w:firstColumn="0" w:lastColumn="0" w:oddVBand="0" w:evenVBand="0" w:oddHBand="0" w:evenHBand="0" w:firstRowFirstColumn="0" w:firstRowLastColumn="0" w:lastRowFirstColumn="0" w:lastRowLastColumn="0"/>
            </w:pPr>
            <w:r>
              <w:t>9 751</w:t>
            </w:r>
          </w:p>
        </w:tc>
      </w:tr>
      <w:tr w:rsidR="009D33A8" w14:paraId="2A67FBCB" w14:textId="77777777">
        <w:tc>
          <w:tcPr>
            <w:cnfStyle w:val="001000000000" w:firstRow="0" w:lastRow="0" w:firstColumn="1" w:lastColumn="0" w:oddVBand="0" w:evenVBand="0" w:oddHBand="0" w:evenHBand="0" w:firstRowFirstColumn="0" w:firstRowLastColumn="0" w:lastRowFirstColumn="0" w:lastRowLastColumn="0"/>
            <w:tcW w:w="7371" w:type="dxa"/>
          </w:tcPr>
          <w:p w14:paraId="0E30EA32" w14:textId="77777777" w:rsidR="009D33A8" w:rsidRDefault="009D33A8">
            <w:r>
              <w:t>Financial assets measured at fair value through other comprehensive income</w:t>
            </w:r>
          </w:p>
        </w:tc>
        <w:tc>
          <w:tcPr>
            <w:tcW w:w="1134" w:type="dxa"/>
          </w:tcPr>
          <w:p w14:paraId="05952C00"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1133" w:type="dxa"/>
          </w:tcPr>
          <w:p w14:paraId="46C5B971"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r>
      <w:tr w:rsidR="009D33A8" w14:paraId="6B4CA360"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7233691E" w14:textId="77777777" w:rsidR="009D33A8" w:rsidRDefault="009D33A8">
            <w:r>
              <w:t>Investment in equity instrument designated at fair value through other comprehensive income</w:t>
            </w:r>
          </w:p>
        </w:tc>
        <w:tc>
          <w:tcPr>
            <w:tcW w:w="1134" w:type="dxa"/>
            <w:tcBorders>
              <w:bottom w:val="single" w:sz="6" w:space="0" w:color="auto"/>
            </w:tcBorders>
          </w:tcPr>
          <w:p w14:paraId="3954A3F4" w14:textId="77777777" w:rsidR="009D33A8" w:rsidRDefault="009D33A8">
            <w:pPr>
              <w:cnfStyle w:val="000000000000" w:firstRow="0" w:lastRow="0" w:firstColumn="0" w:lastColumn="0" w:oddVBand="0" w:evenVBand="0" w:oddHBand="0" w:evenHBand="0" w:firstRowFirstColumn="0" w:firstRowLastColumn="0" w:lastRowFirstColumn="0" w:lastRowLastColumn="0"/>
            </w:pPr>
            <w:r>
              <w:t>1 198</w:t>
            </w:r>
          </w:p>
        </w:tc>
        <w:tc>
          <w:tcPr>
            <w:tcW w:w="1133" w:type="dxa"/>
            <w:tcBorders>
              <w:bottom w:val="single" w:sz="6" w:space="0" w:color="auto"/>
            </w:tcBorders>
          </w:tcPr>
          <w:p w14:paraId="7F228B72" w14:textId="77777777" w:rsidR="009D33A8" w:rsidRDefault="009D33A8">
            <w:pPr>
              <w:cnfStyle w:val="000000000000" w:firstRow="0" w:lastRow="0" w:firstColumn="0" w:lastColumn="0" w:oddVBand="0" w:evenVBand="0" w:oddHBand="0" w:evenHBand="0" w:firstRowFirstColumn="0" w:firstRowLastColumn="0" w:lastRowFirstColumn="0" w:lastRowLastColumn="0"/>
            </w:pPr>
            <w:r>
              <w:t>1 198</w:t>
            </w:r>
          </w:p>
        </w:tc>
      </w:tr>
      <w:tr w:rsidR="009D33A8" w14:paraId="44743B38"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6" w:space="0" w:color="auto"/>
            </w:tcBorders>
          </w:tcPr>
          <w:p w14:paraId="76248997" w14:textId="77777777" w:rsidR="009D33A8" w:rsidRDefault="009D33A8">
            <w:r>
              <w:rPr>
                <w:b/>
              </w:rPr>
              <w:t xml:space="preserve">Total financial assets </w:t>
            </w:r>
            <w:r>
              <w:rPr>
                <w:b/>
                <w:vertAlign w:val="superscript"/>
              </w:rPr>
              <w:t>(a)</w:t>
            </w:r>
          </w:p>
        </w:tc>
        <w:tc>
          <w:tcPr>
            <w:tcW w:w="1134" w:type="dxa"/>
            <w:tcBorders>
              <w:top w:val="single" w:sz="6" w:space="0" w:color="auto"/>
              <w:bottom w:val="single" w:sz="6" w:space="0" w:color="auto"/>
            </w:tcBorders>
          </w:tcPr>
          <w:p w14:paraId="72BF5F7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105 868</w:t>
            </w:r>
          </w:p>
        </w:tc>
        <w:tc>
          <w:tcPr>
            <w:tcW w:w="1133" w:type="dxa"/>
            <w:tcBorders>
              <w:top w:val="single" w:sz="6" w:space="0" w:color="auto"/>
              <w:bottom w:val="single" w:sz="6" w:space="0" w:color="auto"/>
            </w:tcBorders>
          </w:tcPr>
          <w:p w14:paraId="32BE2A9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38 570</w:t>
            </w:r>
          </w:p>
        </w:tc>
      </w:tr>
      <w:tr w:rsidR="009D33A8" w14:paraId="5D203C64"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tcBorders>
          </w:tcPr>
          <w:p w14:paraId="3A10A9D0" w14:textId="77777777" w:rsidR="009D33A8" w:rsidRDefault="009D33A8">
            <w:r>
              <w:rPr>
                <w:b/>
              </w:rPr>
              <w:t>Financial liabilities</w:t>
            </w:r>
          </w:p>
        </w:tc>
        <w:tc>
          <w:tcPr>
            <w:tcW w:w="1134" w:type="dxa"/>
            <w:tcBorders>
              <w:top w:val="single" w:sz="6" w:space="0" w:color="auto"/>
            </w:tcBorders>
          </w:tcPr>
          <w:p w14:paraId="2C4F5B9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7B789CB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2CACDED" w14:textId="77777777">
        <w:tc>
          <w:tcPr>
            <w:cnfStyle w:val="001000000000" w:firstRow="0" w:lastRow="0" w:firstColumn="1" w:lastColumn="0" w:oddVBand="0" w:evenVBand="0" w:oddHBand="0" w:evenHBand="0" w:firstRowFirstColumn="0" w:firstRowLastColumn="0" w:lastRowFirstColumn="0" w:lastRowLastColumn="0"/>
            <w:tcW w:w="7371" w:type="dxa"/>
          </w:tcPr>
          <w:p w14:paraId="38B9BF8A" w14:textId="77777777" w:rsidR="009D33A8" w:rsidRDefault="009D33A8">
            <w:r>
              <w:t>Financial liabilities designated at fair value through profit and loss</w:t>
            </w:r>
          </w:p>
        </w:tc>
        <w:tc>
          <w:tcPr>
            <w:tcW w:w="1134" w:type="dxa"/>
          </w:tcPr>
          <w:p w14:paraId="48F5EA99" w14:textId="77777777" w:rsidR="009D33A8" w:rsidRDefault="009D33A8">
            <w:pPr>
              <w:cnfStyle w:val="000000000000" w:firstRow="0" w:lastRow="0" w:firstColumn="0" w:lastColumn="0" w:oddVBand="0" w:evenVBand="0" w:oddHBand="0" w:evenHBand="0" w:firstRowFirstColumn="0" w:firstRowLastColumn="0" w:lastRowFirstColumn="0" w:lastRowLastColumn="0"/>
            </w:pPr>
            <w:r>
              <w:t>159 707</w:t>
            </w:r>
          </w:p>
        </w:tc>
        <w:tc>
          <w:tcPr>
            <w:tcW w:w="1133" w:type="dxa"/>
          </w:tcPr>
          <w:p w14:paraId="1D35C4C7"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32B689CA" w14:textId="77777777">
        <w:tc>
          <w:tcPr>
            <w:cnfStyle w:val="001000000000" w:firstRow="0" w:lastRow="0" w:firstColumn="1" w:lastColumn="0" w:oddVBand="0" w:evenVBand="0" w:oddHBand="0" w:evenHBand="0" w:firstRowFirstColumn="0" w:firstRowLastColumn="0" w:lastRowFirstColumn="0" w:lastRowLastColumn="0"/>
            <w:tcW w:w="7371" w:type="dxa"/>
          </w:tcPr>
          <w:p w14:paraId="294AC974" w14:textId="77777777" w:rsidR="009D33A8" w:rsidRDefault="009D33A8">
            <w:r>
              <w:t>Financial liabilities mandatorily measured at fair value through profit or loss</w:t>
            </w:r>
          </w:p>
        </w:tc>
        <w:tc>
          <w:tcPr>
            <w:tcW w:w="1134" w:type="dxa"/>
          </w:tcPr>
          <w:p w14:paraId="351F1E24" w14:textId="77777777" w:rsidR="009D33A8" w:rsidRDefault="009D33A8">
            <w:pPr>
              <w:cnfStyle w:val="000000000000" w:firstRow="0" w:lastRow="0" w:firstColumn="0" w:lastColumn="0" w:oddVBand="0" w:evenVBand="0" w:oddHBand="0" w:evenHBand="0" w:firstRowFirstColumn="0" w:firstRowLastColumn="0" w:lastRowFirstColumn="0" w:lastRowLastColumn="0"/>
            </w:pPr>
            <w:r>
              <w:t>1 061</w:t>
            </w:r>
          </w:p>
        </w:tc>
        <w:tc>
          <w:tcPr>
            <w:tcW w:w="1133" w:type="dxa"/>
          </w:tcPr>
          <w:p w14:paraId="05D40AFF" w14:textId="77777777" w:rsidR="009D33A8" w:rsidRDefault="009D33A8">
            <w:pPr>
              <w:cnfStyle w:val="000000000000" w:firstRow="0" w:lastRow="0" w:firstColumn="0" w:lastColumn="0" w:oddVBand="0" w:evenVBand="0" w:oddHBand="0" w:evenHBand="0" w:firstRowFirstColumn="0" w:firstRowLastColumn="0" w:lastRowFirstColumn="0" w:lastRowLastColumn="0"/>
            </w:pPr>
            <w:r>
              <w:t>266</w:t>
            </w:r>
          </w:p>
        </w:tc>
      </w:tr>
      <w:tr w:rsidR="009D33A8" w14:paraId="766248EF" w14:textId="77777777">
        <w:tc>
          <w:tcPr>
            <w:cnfStyle w:val="001000000000" w:firstRow="0" w:lastRow="0" w:firstColumn="1" w:lastColumn="0" w:oddVBand="0" w:evenVBand="0" w:oddHBand="0" w:evenHBand="0" w:firstRowFirstColumn="0" w:firstRowLastColumn="0" w:lastRowFirstColumn="0" w:lastRowLastColumn="0"/>
            <w:tcW w:w="7371" w:type="dxa"/>
            <w:tcBorders>
              <w:bottom w:val="single" w:sz="6" w:space="0" w:color="auto"/>
            </w:tcBorders>
          </w:tcPr>
          <w:p w14:paraId="1FD0EA38" w14:textId="77777777" w:rsidR="009D33A8" w:rsidRDefault="009D33A8">
            <w:r>
              <w:t>Financial liabilities at amortised cost</w:t>
            </w:r>
          </w:p>
        </w:tc>
        <w:tc>
          <w:tcPr>
            <w:tcW w:w="1134" w:type="dxa"/>
            <w:tcBorders>
              <w:bottom w:val="single" w:sz="6" w:space="0" w:color="auto"/>
            </w:tcBorders>
          </w:tcPr>
          <w:p w14:paraId="2CB62609" w14:textId="77777777" w:rsidR="009D33A8" w:rsidRDefault="009D33A8">
            <w:pPr>
              <w:cnfStyle w:val="000000000000" w:firstRow="0" w:lastRow="0" w:firstColumn="0" w:lastColumn="0" w:oddVBand="0" w:evenVBand="0" w:oddHBand="0" w:evenHBand="0" w:firstRowFirstColumn="0" w:firstRowLastColumn="0" w:lastRowFirstColumn="0" w:lastRowLastColumn="0"/>
            </w:pPr>
            <w:r>
              <w:t>45 220</w:t>
            </w:r>
          </w:p>
        </w:tc>
        <w:tc>
          <w:tcPr>
            <w:tcW w:w="1133" w:type="dxa"/>
            <w:tcBorders>
              <w:bottom w:val="single" w:sz="6" w:space="0" w:color="auto"/>
            </w:tcBorders>
          </w:tcPr>
          <w:p w14:paraId="62DDE9E1" w14:textId="77777777" w:rsidR="009D33A8" w:rsidRDefault="009D33A8">
            <w:pPr>
              <w:cnfStyle w:val="000000000000" w:firstRow="0" w:lastRow="0" w:firstColumn="0" w:lastColumn="0" w:oddVBand="0" w:evenVBand="0" w:oddHBand="0" w:evenHBand="0" w:firstRowFirstColumn="0" w:firstRowLastColumn="0" w:lastRowFirstColumn="0" w:lastRowLastColumn="0"/>
            </w:pPr>
            <w:r>
              <w:t>176 242</w:t>
            </w:r>
          </w:p>
        </w:tc>
      </w:tr>
      <w:tr w:rsidR="009D33A8" w14:paraId="0D2CF0F9" w14:textId="77777777">
        <w:tc>
          <w:tcPr>
            <w:cnfStyle w:val="001000000000" w:firstRow="0" w:lastRow="0" w:firstColumn="1" w:lastColumn="0" w:oddVBand="0" w:evenVBand="0" w:oddHBand="0" w:evenHBand="0" w:firstRowFirstColumn="0" w:firstRowLastColumn="0" w:lastRowFirstColumn="0" w:lastRowLastColumn="0"/>
            <w:tcW w:w="7371" w:type="dxa"/>
            <w:tcBorders>
              <w:top w:val="single" w:sz="6" w:space="0" w:color="auto"/>
              <w:bottom w:val="single" w:sz="12" w:space="0" w:color="auto"/>
            </w:tcBorders>
          </w:tcPr>
          <w:p w14:paraId="3394DDC1" w14:textId="77777777" w:rsidR="009D33A8" w:rsidRDefault="009D33A8">
            <w:r>
              <w:rPr>
                <w:b/>
              </w:rPr>
              <w:t xml:space="preserve">Total financial liabilities </w:t>
            </w:r>
            <w:r>
              <w:rPr>
                <w:b/>
                <w:vertAlign w:val="superscript"/>
              </w:rPr>
              <w:t>(b)</w:t>
            </w:r>
          </w:p>
        </w:tc>
        <w:tc>
          <w:tcPr>
            <w:tcW w:w="1134" w:type="dxa"/>
            <w:tcBorders>
              <w:top w:val="single" w:sz="6" w:space="0" w:color="auto"/>
              <w:bottom w:val="single" w:sz="12" w:space="0" w:color="auto"/>
            </w:tcBorders>
          </w:tcPr>
          <w:p w14:paraId="710C025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205 987</w:t>
            </w:r>
          </w:p>
        </w:tc>
        <w:tc>
          <w:tcPr>
            <w:tcW w:w="1133" w:type="dxa"/>
            <w:tcBorders>
              <w:top w:val="single" w:sz="6" w:space="0" w:color="auto"/>
              <w:bottom w:val="single" w:sz="12" w:space="0" w:color="auto"/>
            </w:tcBorders>
          </w:tcPr>
          <w:p w14:paraId="74C38E0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176 508</w:t>
            </w:r>
          </w:p>
        </w:tc>
      </w:tr>
    </w:tbl>
    <w:p w14:paraId="1025441F" w14:textId="77777777" w:rsidR="009D33A8" w:rsidRDefault="009D33A8" w:rsidP="009D33A8">
      <w:pPr>
        <w:pStyle w:val="Note"/>
      </w:pPr>
      <w:r>
        <w:t>Notes:</w:t>
      </w:r>
    </w:p>
    <w:p w14:paraId="00B30D91" w14:textId="157AE857" w:rsidR="009D33A8" w:rsidRPr="00D8667D" w:rsidRDefault="009D33A8" w:rsidP="009D33A8">
      <w:pPr>
        <w:pStyle w:val="Note"/>
      </w:pPr>
      <w:r w:rsidRPr="00D8667D">
        <w:t>(a)</w:t>
      </w:r>
      <w:r w:rsidRPr="00D8667D">
        <w:tab/>
        <w:t xml:space="preserve">The </w:t>
      </w:r>
      <w:r w:rsidRPr="00F0276C">
        <w:t>State</w:t>
      </w:r>
      <w:r w:rsidR="00845934">
        <w:t>’</w:t>
      </w:r>
      <w:r w:rsidRPr="00F0276C">
        <w:t>s</w:t>
      </w:r>
      <w:r w:rsidRPr="00D8667D">
        <w:t xml:space="preserve"> total financial assets exclude statutory receivables, contract assets and other receivables of $</w:t>
      </w:r>
      <w:r>
        <w:t>9 242</w:t>
      </w:r>
      <w:r w:rsidRPr="00D8667D">
        <w:t xml:space="preserve"> million ($</w:t>
      </w:r>
      <w:r>
        <w:t>9</w:t>
      </w:r>
      <w:r w:rsidRPr="00D8667D">
        <w:t xml:space="preserve"> </w:t>
      </w:r>
      <w:r>
        <w:t>431</w:t>
      </w:r>
      <w:r w:rsidRPr="00D8667D">
        <w:t xml:space="preserve"> million in 202</w:t>
      </w:r>
      <w:r>
        <w:t>4</w:t>
      </w:r>
      <w:r w:rsidRPr="00D8667D">
        <w:t xml:space="preserve">) while the general </w:t>
      </w:r>
      <w:r w:rsidRPr="00F0276C">
        <w:t>government</w:t>
      </w:r>
      <w:r w:rsidR="00845934">
        <w:t>’</w:t>
      </w:r>
      <w:r w:rsidRPr="00F0276C">
        <w:t>s</w:t>
      </w:r>
      <w:r w:rsidRPr="00D8667D">
        <w:t xml:space="preserve"> total financial assets exclude statutory receivables and contract assets of $</w:t>
      </w:r>
      <w:r>
        <w:t>6 945</w:t>
      </w:r>
      <w:r w:rsidRPr="00D8667D">
        <w:t xml:space="preserve"> million ($</w:t>
      </w:r>
      <w:r>
        <w:t>7</w:t>
      </w:r>
      <w:r w:rsidRPr="00D8667D">
        <w:t xml:space="preserve"> </w:t>
      </w:r>
      <w:r>
        <w:t>185</w:t>
      </w:r>
      <w:r w:rsidRPr="00D8667D">
        <w:t xml:space="preserve"> million in 202</w:t>
      </w:r>
      <w:r>
        <w:t>4</w:t>
      </w:r>
      <w:r w:rsidRPr="00D8667D">
        <w:t>).</w:t>
      </w:r>
    </w:p>
    <w:p w14:paraId="701C1EE8" w14:textId="4FBCEDAD" w:rsidR="009D33A8" w:rsidRPr="00D8667D" w:rsidRDefault="009D33A8" w:rsidP="009D33A8">
      <w:pPr>
        <w:pStyle w:val="Note"/>
      </w:pPr>
      <w:r>
        <w:t>(b)</w:t>
      </w:r>
      <w:r>
        <w:tab/>
      </w:r>
      <w:r w:rsidRPr="00EC54D3">
        <w:t>The State</w:t>
      </w:r>
      <w:r w:rsidR="00845934">
        <w:t>’</w:t>
      </w:r>
      <w:r w:rsidRPr="00EC54D3">
        <w:t>s total financial liabilities exclude statutory taxes payable, contract liabilities, grant of right to operate liability</w:t>
      </w:r>
      <w:r>
        <w:t>, unearned income</w:t>
      </w:r>
      <w:r w:rsidRPr="00EC54D3">
        <w:t xml:space="preserve"> and advance premiums of $</w:t>
      </w:r>
      <w:r>
        <w:t>32 905</w:t>
      </w:r>
      <w:r w:rsidRPr="00EC54D3">
        <w:t xml:space="preserve"> million ($32 </w:t>
      </w:r>
      <w:r>
        <w:t>762</w:t>
      </w:r>
      <w:r w:rsidRPr="00EC54D3">
        <w:t xml:space="preserve"> million in 202</w:t>
      </w:r>
      <w:r>
        <w:t>4</w:t>
      </w:r>
      <w:r w:rsidRPr="00EC54D3">
        <w:t>) while the general government</w:t>
      </w:r>
      <w:r w:rsidR="00845934">
        <w:t>’</w:t>
      </w:r>
      <w:r w:rsidRPr="00EC54D3">
        <w:t>s total financial liabilities exclude statutory taxes payable, contract liabilities, grant of right to operate liability, and unearned income of $</w:t>
      </w:r>
      <w:r>
        <w:t>22 540</w:t>
      </w:r>
      <w:r w:rsidRPr="00EC54D3">
        <w:t xml:space="preserve"> million ($22 </w:t>
      </w:r>
      <w:r>
        <w:t>478</w:t>
      </w:r>
      <w:r w:rsidRPr="00EC54D3">
        <w:t xml:space="preserve"> million in 202</w:t>
      </w:r>
      <w:r>
        <w:t>4</w:t>
      </w:r>
      <w:r w:rsidRPr="00EC54D3">
        <w:t>).</w:t>
      </w:r>
    </w:p>
    <w:p w14:paraId="01DAA312" w14:textId="77777777" w:rsidR="009D33A8" w:rsidRDefault="009D33A8" w:rsidP="009D33A8"/>
    <w:p w14:paraId="3BAEA110" w14:textId="77777777" w:rsidR="009D33A8" w:rsidRDefault="009D33A8" w:rsidP="009D33A8">
      <w:pPr>
        <w:pStyle w:val="Heading3"/>
      </w:pPr>
      <w:r>
        <w:t>Categories of financial instruments</w:t>
      </w:r>
    </w:p>
    <w:p w14:paraId="5AC587B5" w14:textId="77777777" w:rsidR="00ED5429" w:rsidRDefault="00ED5429" w:rsidP="009D33A8">
      <w:pPr>
        <w:rPr>
          <w:b/>
          <w:bCs/>
        </w:rPr>
        <w:sectPr w:rsidR="00ED5429" w:rsidSect="00ED5429">
          <w:headerReference w:type="even" r:id="rId105"/>
          <w:headerReference w:type="default" r:id="rId106"/>
          <w:type w:val="continuous"/>
          <w:pgSz w:w="11906" w:h="16838" w:code="9"/>
          <w:pgMar w:top="1134" w:right="1134" w:bottom="1134" w:left="1134" w:header="624" w:footer="567" w:gutter="0"/>
          <w:cols w:space="708"/>
          <w:docGrid w:linePitch="360"/>
        </w:sectPr>
      </w:pPr>
    </w:p>
    <w:p w14:paraId="3565AD25" w14:textId="77777777" w:rsidR="009D33A8" w:rsidRDefault="009D33A8" w:rsidP="009D33A8">
      <w:r w:rsidRPr="00BF0FED">
        <w:rPr>
          <w:b/>
          <w:bCs/>
        </w:rPr>
        <w:t>Financial assets at amortised cost</w:t>
      </w:r>
      <w:r>
        <w:t xml:space="preserve"> are classified within this category if both of the following criteria are met and the assets are not designated as fair value through profit or loss:</w:t>
      </w:r>
    </w:p>
    <w:p w14:paraId="18B0361E" w14:textId="77777777" w:rsidR="009D33A8" w:rsidRPr="001B7F16" w:rsidRDefault="009D33A8" w:rsidP="009D33A8">
      <w:pPr>
        <w:pStyle w:val="ListBullet"/>
        <w:keepLines/>
        <w:numPr>
          <w:ilvl w:val="0"/>
          <w:numId w:val="27"/>
        </w:numPr>
        <w:ind w:left="357" w:hanging="357"/>
      </w:pPr>
      <w:r w:rsidRPr="001B7F16">
        <w:t>the assets are held within a business model whose objective is to hold financial assets in order to collect the contractual cash flows</w:t>
      </w:r>
    </w:p>
    <w:p w14:paraId="3B18CFED" w14:textId="77777777" w:rsidR="009D33A8" w:rsidRPr="001B7F16" w:rsidRDefault="009D33A8" w:rsidP="009D33A8">
      <w:pPr>
        <w:pStyle w:val="ListBullet"/>
        <w:keepLines/>
        <w:numPr>
          <w:ilvl w:val="0"/>
          <w:numId w:val="27"/>
        </w:numPr>
        <w:ind w:left="357" w:hanging="357"/>
      </w:pPr>
      <w:r w:rsidRPr="001B7F16">
        <w:t>the contractual terms of the financial asset give rise on specified dates to cash flows that are solely payments of principal and interest on the principal amount outstanding.</w:t>
      </w:r>
    </w:p>
    <w:p w14:paraId="34E54CEA" w14:textId="77777777" w:rsidR="009D33A8" w:rsidRDefault="009D33A8" w:rsidP="00ED5429">
      <w:pPr>
        <w:spacing w:before="180"/>
      </w:pPr>
      <w:r>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50208CE7" w14:textId="77777777" w:rsidR="009D33A8" w:rsidRDefault="009D33A8" w:rsidP="009D33A8"/>
    <w:p w14:paraId="0BCA6C43" w14:textId="77777777" w:rsidR="009D33A8" w:rsidRPr="003E4A17" w:rsidRDefault="009D33A8" w:rsidP="003E4A17">
      <w:pPr>
        <w:keepNext/>
        <w:rPr>
          <w:b/>
          <w:bCs/>
        </w:rPr>
      </w:pPr>
      <w:r w:rsidRPr="003E4A17">
        <w:rPr>
          <w:b/>
          <w:bCs/>
        </w:rPr>
        <w:lastRenderedPageBreak/>
        <w:t xml:space="preserve">Financial assets measured at fair value through other comprehensive income </w:t>
      </w:r>
    </w:p>
    <w:p w14:paraId="6FA800DB" w14:textId="77777777" w:rsidR="009D33A8" w:rsidRDefault="009D33A8" w:rsidP="009D33A8">
      <w:pPr>
        <w:keepNext/>
      </w:pPr>
      <w:r>
        <w:t>Debt instruments are measured at fair value through other comprehensive income as an irrevocable designation choice if both of the following criteria are met and the assets are not designated as fair value through profit or loss:</w:t>
      </w:r>
    </w:p>
    <w:p w14:paraId="1B35CC72" w14:textId="77777777" w:rsidR="009D33A8" w:rsidRPr="001B7F16" w:rsidRDefault="009D33A8" w:rsidP="009D33A8">
      <w:pPr>
        <w:pStyle w:val="ListBullet"/>
        <w:keepLines/>
        <w:numPr>
          <w:ilvl w:val="0"/>
          <w:numId w:val="27"/>
        </w:numPr>
        <w:ind w:left="357" w:hanging="357"/>
      </w:pPr>
      <w:r w:rsidRPr="001B7F16">
        <w:t>the assets are held within a business model whose objective is achieved by both collecting contractual cash flows and selling the financial assets</w:t>
      </w:r>
    </w:p>
    <w:p w14:paraId="79F0E0B1" w14:textId="77777777" w:rsidR="009D33A8" w:rsidRPr="001B7F16" w:rsidRDefault="009D33A8" w:rsidP="009D33A8">
      <w:pPr>
        <w:pStyle w:val="ListBullet"/>
        <w:keepLines/>
        <w:numPr>
          <w:ilvl w:val="0"/>
          <w:numId w:val="27"/>
        </w:numPr>
        <w:ind w:left="357" w:hanging="357"/>
      </w:pPr>
      <w:r w:rsidRPr="001B7F16">
        <w:t xml:space="preserve">the contractual terms of the financial asset give rise on specified dates to cash flows that are solely payments of principal and interest on the principal amount outstanding. </w:t>
      </w:r>
    </w:p>
    <w:p w14:paraId="28E8D7BE" w14:textId="77777777" w:rsidR="009D33A8" w:rsidRDefault="009D33A8" w:rsidP="009D33A8">
      <w:r>
        <w:t>Equity investments are measured at fair value through other comprehensive income if the assets are not held for trading and the State has irrevocably elected at initial recognition to recognise these equity investments in this category.</w:t>
      </w:r>
    </w:p>
    <w:p w14:paraId="07A96E2A" w14:textId="77777777" w:rsidR="009D33A8" w:rsidRDefault="009D33A8" w:rsidP="009D33A8">
      <w:r>
        <w:t>Such assets are initially recognised at fair value. Subsequent to initial recognition, they are measured at fair value with gains and losses arising from changes in fair value, recognised in other economic flows – other comprehensive income.</w:t>
      </w:r>
    </w:p>
    <w:p w14:paraId="09F40871" w14:textId="77777777" w:rsidR="009D33A8" w:rsidRDefault="009D33A8" w:rsidP="009D33A8">
      <w:r>
        <w:t xml:space="preserve">Upon disposal of these equity instruments, any related balance in fair value reserve is reclassified to accumulated surplus. </w:t>
      </w:r>
    </w:p>
    <w:p w14:paraId="71F49FF4" w14:textId="77777777" w:rsidR="009D33A8" w:rsidRPr="003E4A17" w:rsidRDefault="009D33A8" w:rsidP="003E4A17">
      <w:pPr>
        <w:rPr>
          <w:b/>
          <w:bCs/>
        </w:rPr>
      </w:pPr>
      <w:r w:rsidRPr="003E4A17">
        <w:rPr>
          <w:b/>
          <w:bCs/>
        </w:rPr>
        <w:t>Financial assets at fair value through profit or loss</w:t>
      </w:r>
    </w:p>
    <w:p w14:paraId="50A949BA" w14:textId="77777777" w:rsidR="009D33A8" w:rsidRDefault="009D33A8" w:rsidP="009D33A8">
      <w:r>
        <w:t>At initial recognition, an irrevocable designation at fair value through profit or loss is allowed subject to certain criteria. Financial instruments may be designated at fair value through profit or loss, if doing so eliminates or significantly reduces a measurement or recognition inconsistency that would otherwise arise from measuring assets or recognising the gains and losses on them on different bases.</w:t>
      </w:r>
    </w:p>
    <w:p w14:paraId="1915D671" w14:textId="75D0713C" w:rsidR="00B47868" w:rsidRDefault="009D33A8" w:rsidP="009D33A8">
      <w:r>
        <w:t>Financial instruments at fair value through the profit or loss are initially measured at fair value and attributable transaction costs are expensed as incurred. Subsequently, any changes in fair value are recognised in the net result as other economic flows unless the changes in fair value relate to changes in the State</w:t>
      </w:r>
      <w:r w:rsidR="00845934">
        <w:t>’</w:t>
      </w:r>
      <w:r>
        <w:t xml:space="preserve">s own credit risk. </w:t>
      </w:r>
    </w:p>
    <w:p w14:paraId="097E489A" w14:textId="1887495B" w:rsidR="009D33A8" w:rsidRDefault="009D33A8" w:rsidP="009D33A8">
      <w:r>
        <w:t>In this case, the portion of the change attributable to changes in the State</w:t>
      </w:r>
      <w:r w:rsidR="00845934">
        <w:t>’</w:t>
      </w:r>
      <w:r>
        <w:t>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4CB4023A" w14:textId="77777777" w:rsidR="009D33A8" w:rsidRDefault="009D33A8" w:rsidP="009D33A8">
      <w:r>
        <w:t xml:space="preserve">Financial assets and liabilities at fair value through net result are categorised as such at trade date, or if they are classified as held for trading or designated as such upon initial recognition. Financial instrument assets are designated at fair value through the net result on the basis that the financial assets form part of a group of financial assets that are managed based on their fair values and have their performance evaluated in accordance with documented risk management and investment strategies. </w:t>
      </w:r>
    </w:p>
    <w:p w14:paraId="30C65372" w14:textId="77777777" w:rsidR="009D33A8" w:rsidRDefault="009D33A8" w:rsidP="009D33A8">
      <w:r w:rsidRPr="00091D2C">
        <w:rPr>
          <w:b/>
          <w:bCs/>
        </w:rPr>
        <w:t>Financial liabilities at amortised cost</w:t>
      </w:r>
      <w:r>
        <w:t xml:space="preserve"> are initially recognised on the date they are originated. They are initially measured at fair value less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interest-bearing liability, using the effective interest rate method (refer to Note 5.1).</w:t>
      </w:r>
    </w:p>
    <w:p w14:paraId="437C173A" w14:textId="5E1053F4" w:rsidR="009D33A8" w:rsidRDefault="009D33A8" w:rsidP="009D33A8">
      <w:pPr>
        <w:ind w:right="-71"/>
      </w:pPr>
      <w:r>
        <w:t>Financial instrument liabilities measured at amortised cost include all of the State</w:t>
      </w:r>
      <w:r w:rsidR="00845934">
        <w:t>’</w:t>
      </w:r>
      <w:r>
        <w:t>s payables, deposits held and advances received, and interest-bearing arrangements other than those designated at fair value through profit or loss.</w:t>
      </w:r>
    </w:p>
    <w:p w14:paraId="66F4173F" w14:textId="77777777" w:rsidR="00ED5429" w:rsidRDefault="009D33A8" w:rsidP="009D33A8">
      <w:pPr>
        <w:sectPr w:rsidR="00ED5429" w:rsidSect="00ED5429">
          <w:headerReference w:type="default" r:id="rId107"/>
          <w:type w:val="continuous"/>
          <w:pgSz w:w="11906" w:h="16838" w:code="9"/>
          <w:pgMar w:top="1134" w:right="1134" w:bottom="1134" w:left="1134" w:header="624" w:footer="567" w:gutter="0"/>
          <w:cols w:num="2" w:space="708"/>
          <w:docGrid w:linePitch="360"/>
        </w:sectPr>
      </w:pPr>
      <w:r w:rsidRPr="00091D2C">
        <w:rPr>
          <w:b/>
          <w:bCs/>
        </w:rPr>
        <w:t>Derivative financial instruments</w:t>
      </w:r>
      <w:r>
        <w:t xml:space="preserve">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0A93EB9C" w14:textId="77777777" w:rsidR="009D33A8" w:rsidRDefault="009D33A8" w:rsidP="009D33A8"/>
    <w:p w14:paraId="67C2637C" w14:textId="77777777" w:rsidR="009D33A8" w:rsidRDefault="009D33A8" w:rsidP="009D33A8"/>
    <w:p w14:paraId="32519021" w14:textId="77777777" w:rsidR="00ED5429" w:rsidRDefault="00ED5429" w:rsidP="009D33A8">
      <w:pPr>
        <w:pStyle w:val="Heading3"/>
        <w:pageBreakBefore/>
        <w:sectPr w:rsidR="00ED5429" w:rsidSect="00ED5429">
          <w:type w:val="continuous"/>
          <w:pgSz w:w="11906" w:h="16838" w:code="9"/>
          <w:pgMar w:top="1134" w:right="1134" w:bottom="1134" w:left="1134" w:header="624" w:footer="567" w:gutter="0"/>
          <w:cols w:space="708"/>
          <w:docGrid w:linePitch="360"/>
        </w:sectPr>
      </w:pPr>
    </w:p>
    <w:p w14:paraId="276F8582" w14:textId="77777777" w:rsidR="009D33A8" w:rsidRDefault="009D33A8" w:rsidP="00ED5429">
      <w:pPr>
        <w:pStyle w:val="Heading3"/>
        <w:pageBreakBefore/>
        <w:spacing w:before="0"/>
      </w:pPr>
      <w:r>
        <w:lastRenderedPageBreak/>
        <w:t>Derecognition of financial assets and liabilities</w:t>
      </w:r>
    </w:p>
    <w:p w14:paraId="7C61908F" w14:textId="77777777" w:rsidR="009D33A8" w:rsidRDefault="009D33A8" w:rsidP="009D33A8">
      <w:r>
        <w:t xml:space="preserve">A financial asset (or, where applicable, a part of a financial asset or part of a group of similar financial assets) is derecognised in any of the following instances: </w:t>
      </w:r>
    </w:p>
    <w:p w14:paraId="45F3B0F7" w14:textId="77777777" w:rsidR="009D33A8" w:rsidRPr="001B7F16" w:rsidRDefault="009D33A8" w:rsidP="009D33A8">
      <w:pPr>
        <w:pStyle w:val="ListBullet"/>
        <w:keepLines/>
        <w:numPr>
          <w:ilvl w:val="0"/>
          <w:numId w:val="27"/>
        </w:numPr>
        <w:ind w:left="357" w:hanging="357"/>
      </w:pPr>
      <w:r w:rsidRPr="001B7F16">
        <w:t>the rights to receive cash flows from the asset have expired</w:t>
      </w:r>
    </w:p>
    <w:p w14:paraId="30D8C6AD" w14:textId="77777777" w:rsidR="009D33A8" w:rsidRPr="001B7F16" w:rsidRDefault="009D33A8" w:rsidP="009D33A8">
      <w:pPr>
        <w:pStyle w:val="ListBullet"/>
        <w:keepLines/>
        <w:numPr>
          <w:ilvl w:val="0"/>
          <w:numId w:val="27"/>
        </w:numPr>
        <w:ind w:left="357" w:hanging="357"/>
      </w:pPr>
      <w:r w:rsidRPr="001B7F16">
        <w:t>the State retains the right to receive cash flows from the asset, but has assumed an obligation to pay them in full without material delay to a third party under a pass-through arrangement</w:t>
      </w:r>
    </w:p>
    <w:p w14:paraId="074AB79D" w14:textId="77777777" w:rsidR="009D33A8" w:rsidRPr="001B7F16" w:rsidRDefault="009D33A8" w:rsidP="009D33A8">
      <w:pPr>
        <w:pStyle w:val="ListBullet"/>
        <w:keepLines/>
        <w:numPr>
          <w:ilvl w:val="0"/>
          <w:numId w:val="27"/>
        </w:numPr>
        <w:ind w:left="357" w:hanging="357"/>
      </w:pPr>
      <w:r w:rsidRPr="001B7F16">
        <w:t>the State has transferred its rights to receive cash flows from the asset and either:</w:t>
      </w:r>
    </w:p>
    <w:p w14:paraId="5872B091" w14:textId="77777777" w:rsidR="009D33A8" w:rsidRPr="001B7F16" w:rsidRDefault="009D33A8" w:rsidP="009D33A8">
      <w:pPr>
        <w:pStyle w:val="ListBullet2"/>
        <w:numPr>
          <w:ilvl w:val="1"/>
          <w:numId w:val="25"/>
        </w:numPr>
        <w:tabs>
          <w:tab w:val="num" w:pos="643"/>
        </w:tabs>
      </w:pPr>
      <w:r w:rsidRPr="001B7F16">
        <w:t>has transferred substantially all the risks and rewards of the asset</w:t>
      </w:r>
    </w:p>
    <w:p w14:paraId="42EC7CCC" w14:textId="77777777" w:rsidR="009D33A8" w:rsidRPr="001B7F16" w:rsidRDefault="009D33A8" w:rsidP="009D33A8">
      <w:pPr>
        <w:pStyle w:val="ListBullet2"/>
        <w:numPr>
          <w:ilvl w:val="1"/>
          <w:numId w:val="25"/>
        </w:numPr>
        <w:tabs>
          <w:tab w:val="num" w:pos="643"/>
        </w:tabs>
      </w:pPr>
      <w:r w:rsidRPr="001B7F16">
        <w:t>has neither transferred nor retained substantially all the risks and rewards of the asset but has transferred control of the asset.</w:t>
      </w:r>
    </w:p>
    <w:p w14:paraId="057C7AF3" w14:textId="26AD6FF2" w:rsidR="009D33A8" w:rsidRDefault="009D33A8" w:rsidP="009D33A8">
      <w:r>
        <w:t>Where the State has retained substantially all the risks and rewards and not transferred control, the asset is recognised to the extent of the State</w:t>
      </w:r>
      <w:r w:rsidR="00845934">
        <w:t>’</w:t>
      </w:r>
      <w:r>
        <w:t>s continuing involvement in the asset.</w:t>
      </w:r>
    </w:p>
    <w:p w14:paraId="138571C7" w14:textId="77777777" w:rsidR="009D33A8" w:rsidRDefault="009D33A8" w:rsidP="009D33A8">
      <w:r>
        <w:t>Upon disposal of debt instruments measured at fair value to other comprehensive income, any related balance in the fair value reserve is reclassified to profit or loss.</w:t>
      </w:r>
    </w:p>
    <w:p w14:paraId="016AAD4C" w14:textId="77777777" w:rsidR="009D33A8" w:rsidRDefault="009D33A8" w:rsidP="009D33A8">
      <w:r>
        <w:t xml:space="preserve">A financial liability is derecognised when the obligation under the liability is discharged, cancelled or expires. </w:t>
      </w:r>
    </w:p>
    <w:p w14:paraId="7486F374" w14:textId="77777777" w:rsidR="009D33A8" w:rsidRDefault="009D33A8" w:rsidP="009D33A8">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another economic flow in the consolidated comprehensive operating statement.</w:t>
      </w:r>
    </w:p>
    <w:p w14:paraId="7836A7D8" w14:textId="34F798FC" w:rsidR="009D33A8" w:rsidRPr="000C59A8" w:rsidRDefault="00ED5429" w:rsidP="009D33A8">
      <w:pPr>
        <w:pStyle w:val="Heading3"/>
      </w:pPr>
      <w:r>
        <w:br w:type="column"/>
      </w:r>
      <w:r w:rsidR="009D33A8" w:rsidRPr="000C59A8">
        <w:t>Reclassification of financial instruments</w:t>
      </w:r>
    </w:p>
    <w:p w14:paraId="63D1F4D7" w14:textId="7B77E6F2" w:rsidR="009D33A8" w:rsidRDefault="009D33A8" w:rsidP="009D33A8">
      <w:r>
        <w:t>Subsequent to initial recognition, reclassification of financial liabilities is not permitted. Financial assets are required to be reclassified between fair value through the net result, fair value through other comprehensive income and amortised cost when and only when the State</w:t>
      </w:r>
      <w:r w:rsidR="00845934">
        <w:t>’</w:t>
      </w:r>
      <w:r>
        <w:t xml:space="preserve">s business model for managing its financial assets has changed such that its previous classification would no longer apply. </w:t>
      </w:r>
    </w:p>
    <w:p w14:paraId="08AAC130" w14:textId="77777777" w:rsidR="009D33A8" w:rsidRDefault="009D33A8" w:rsidP="009D33A8">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the net result. </w:t>
      </w:r>
    </w:p>
    <w:p w14:paraId="19C20331" w14:textId="77777777" w:rsidR="009D33A8" w:rsidRDefault="009D33A8" w:rsidP="009D33A8">
      <w:pPr>
        <w:pStyle w:val="Heading3"/>
      </w:pPr>
      <w:r>
        <w:t>Impairment of financial assets</w:t>
      </w:r>
    </w:p>
    <w:p w14:paraId="43011D7B" w14:textId="58F2BDD2" w:rsidR="009D33A8" w:rsidRDefault="009D33A8" w:rsidP="009D33A8">
      <w:r>
        <w:t>The State records the allowance for impairment for the relevant financial instruments consistent with the expected credit loss approach required by AASB 9. Subject to AASB 9, impairment assessments include the State</w:t>
      </w:r>
      <w:r w:rsidR="00845934">
        <w:t>’</w:t>
      </w:r>
      <w:r>
        <w:t xml:space="preserve">s contractual receivables, statutory receivables and its investment in debt instruments. </w:t>
      </w:r>
    </w:p>
    <w:p w14:paraId="1CD4D7BE" w14:textId="77777777" w:rsidR="009D33A8" w:rsidRDefault="009D33A8" w:rsidP="009D33A8">
      <w:r>
        <w:t>All financial instrument assets, except those measured at fair value through profit or loss, are subject to review at each reporting date.</w:t>
      </w:r>
    </w:p>
    <w:p w14:paraId="2C65689E" w14:textId="1FB2F8ED" w:rsidR="009D33A8" w:rsidRDefault="009D33A8" w:rsidP="009D33A8">
      <w:r>
        <w:t>Recognition of a loss allowance for expected credit losses on a financial asset is required. Under the general approach, if the credit risk for a financial asset has increased significantly, then the loss allowance is measured at an amount equal to the lifetime expected credit losses. If the credit risk has not increased significantly, then the loss allowance is measured at an amount equal to 12 months</w:t>
      </w:r>
      <w:r w:rsidR="00845934">
        <w:t>’</w:t>
      </w:r>
      <w:r>
        <w:t xml:space="preserve"> expected credit losses. Under the simplified approach that has been applied to trade receivables, and statutory receivables the measurement of their loss allowance is at an amount equal to lifetime expected credit losses. </w:t>
      </w:r>
    </w:p>
    <w:p w14:paraId="496B5202" w14:textId="77777777" w:rsidR="009D33A8" w:rsidRDefault="009D33A8" w:rsidP="009D33A8"/>
    <w:p w14:paraId="3536040C" w14:textId="77777777" w:rsidR="009D33A8" w:rsidRPr="00146303" w:rsidRDefault="009D33A8" w:rsidP="009D33A8">
      <w:pPr>
        <w:pStyle w:val="Heading3"/>
        <w:pageBreakBefore/>
        <w:spacing w:before="0"/>
      </w:pPr>
      <w:r w:rsidRPr="00146303">
        <w:lastRenderedPageBreak/>
        <w:t>Financial risk management</w:t>
      </w:r>
      <w:r>
        <w:t xml:space="preserve"> </w:t>
      </w:r>
    </w:p>
    <w:p w14:paraId="74461AB8" w14:textId="77777777" w:rsidR="009D33A8" w:rsidRDefault="009D33A8" w:rsidP="009D33A8">
      <w:r>
        <w:t>The State is exposed to a number of financial risks, including:</w:t>
      </w:r>
    </w:p>
    <w:p w14:paraId="407C074B" w14:textId="77777777" w:rsidR="009D33A8" w:rsidRDefault="009D33A8" w:rsidP="009D33A8">
      <w:r w:rsidRPr="00A526E0">
        <w:rPr>
          <w:noProof/>
          <w:color w:val="2B579A"/>
          <w:lang w:eastAsia="en-AU"/>
        </w:rPr>
        <w:drawing>
          <wp:inline distT="0" distB="0" distL="0" distR="0" wp14:anchorId="1D5C8FE4" wp14:editId="0308EB02">
            <wp:extent cx="2835275" cy="1843482"/>
            <wp:effectExtent l="0" t="0" r="2222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7130AB39" w14:textId="33F42378" w:rsidR="009D33A8" w:rsidRDefault="009D33A8" w:rsidP="009D33A8">
      <w:r>
        <w:t>As a whole, the State</w:t>
      </w:r>
      <w:r w:rsidR="00845934">
        <w:t>’</w:t>
      </w:r>
      <w:r>
        <w:t>s financial risk management program seeks to manage these risks and the associated volatility on its financial performance.</w:t>
      </w:r>
    </w:p>
    <w:p w14:paraId="7325A7E2" w14:textId="04932B53" w:rsidR="009D33A8" w:rsidRDefault="009D33A8" w:rsidP="009D33A8">
      <w:r>
        <w:t>Responsible and prudent financial risk management is carried out individually by the State</w:t>
      </w:r>
      <w:r w:rsidR="00845934">
        <w:t>’</w:t>
      </w:r>
      <w:r>
        <w:t>s entities, in accordance with the State</w:t>
      </w:r>
      <w:r w:rsidR="00845934">
        <w:t>’</w:t>
      </w:r>
      <w:r>
        <w:t>s risk management framework, developed by the Department of Treasury and Finance (DTF) and established by the Treasurer. The State</w:t>
      </w:r>
      <w:r w:rsidR="00845934">
        <w:t>’</w:t>
      </w:r>
      <w:r>
        <w:t>s risk management framework comprises the following key components:</w:t>
      </w:r>
    </w:p>
    <w:p w14:paraId="06A684D0" w14:textId="71708A4E" w:rsidR="009D33A8" w:rsidRPr="006039E3" w:rsidRDefault="009D33A8" w:rsidP="009D33A8">
      <w:pPr>
        <w:pStyle w:val="ListBullet"/>
        <w:keepLines/>
        <w:numPr>
          <w:ilvl w:val="0"/>
          <w:numId w:val="27"/>
        </w:numPr>
        <w:ind w:left="357" w:hanging="357"/>
      </w:pPr>
      <w:r w:rsidRPr="006039E3">
        <w:t>The Treasurer is responsible for approving and establishing the prudential framework containing policies and guidelines on financial risk management</w:t>
      </w:r>
      <w:r w:rsidR="00A2262B">
        <w:t>.</w:t>
      </w:r>
    </w:p>
    <w:p w14:paraId="3D41CED8" w14:textId="0576D46A" w:rsidR="009D33A8" w:rsidRPr="006039E3" w:rsidRDefault="009D33A8" w:rsidP="009D33A8">
      <w:pPr>
        <w:pStyle w:val="ListBullet"/>
        <w:keepLines/>
        <w:numPr>
          <w:ilvl w:val="0"/>
          <w:numId w:val="27"/>
        </w:numPr>
        <w:ind w:left="357" w:hanging="357"/>
      </w:pPr>
      <w:r w:rsidRPr="006039E3">
        <w:t>The Senior Executive Group of DTF is responsible for advising the Government on the management of the State</w:t>
      </w:r>
      <w:r w:rsidR="00845934">
        <w:t>’</w:t>
      </w:r>
      <w:r w:rsidRPr="006039E3">
        <w:t>s financial risks</w:t>
      </w:r>
      <w:r w:rsidR="00A2262B">
        <w:t>.</w:t>
      </w:r>
    </w:p>
    <w:p w14:paraId="20A8FF8D" w14:textId="3ABFA692" w:rsidR="009D33A8" w:rsidRPr="006039E3" w:rsidRDefault="009D33A8" w:rsidP="009D33A8">
      <w:pPr>
        <w:pStyle w:val="ListBullet"/>
        <w:keepLines/>
        <w:numPr>
          <w:ilvl w:val="0"/>
          <w:numId w:val="27"/>
        </w:numPr>
        <w:ind w:left="357" w:hanging="357"/>
      </w:pPr>
      <w:r w:rsidRPr="006039E3">
        <w:t>DTF</w:t>
      </w:r>
      <w:r w:rsidR="00845934">
        <w:t>’</w:t>
      </w:r>
      <w:r w:rsidRPr="006039E3">
        <w:t>s Financial Assets and Liabilities</w:t>
      </w:r>
      <w:r>
        <w:t xml:space="preserve"> and Workplace Safety</w:t>
      </w:r>
      <w:r w:rsidRPr="006039E3">
        <w:t xml:space="preserve"> Group provides oversight of the State</w:t>
      </w:r>
      <w:r w:rsidR="00845934">
        <w:t>’</w:t>
      </w:r>
      <w:r w:rsidRPr="006039E3">
        <w:t>s key financial balance sheet and financial market risks. These risks relate to the State</w:t>
      </w:r>
      <w:r w:rsidR="00845934">
        <w:t>’</w:t>
      </w:r>
      <w:r w:rsidRPr="006039E3">
        <w:t>s investments, borrowings, superannuation and insurance claims liabilities, as well as exposures to interest rate, foreign exchange and commodity price volatility and liquidity position</w:t>
      </w:r>
      <w:r w:rsidR="00A2262B">
        <w:t>.</w:t>
      </w:r>
    </w:p>
    <w:p w14:paraId="0E6077DA" w14:textId="11ABEC27" w:rsidR="009D33A8" w:rsidRPr="006039E3" w:rsidRDefault="009D33A8" w:rsidP="009D33A8">
      <w:pPr>
        <w:pStyle w:val="ListBullet"/>
        <w:keepLines/>
        <w:numPr>
          <w:ilvl w:val="0"/>
          <w:numId w:val="27"/>
        </w:numPr>
        <w:ind w:left="357" w:hanging="357"/>
      </w:pPr>
      <w:r w:rsidRPr="006039E3">
        <w:t>DTF administers the State</w:t>
      </w:r>
      <w:r w:rsidR="00845934">
        <w:t>’</w:t>
      </w:r>
      <w:r w:rsidRPr="006039E3">
        <w:t>s Central Banking System (CBS). The CBS is a DTF cash management initiative that allows the State to reduce its external borrowings, resulting in interest savings. Savings are achieved through a bank account pooling arrangement of department and agency accounts, utilising surplus funds to reduce the State</w:t>
      </w:r>
      <w:r w:rsidR="00845934">
        <w:t>’</w:t>
      </w:r>
      <w:r w:rsidRPr="006039E3">
        <w:t>s funding requirements.</w:t>
      </w:r>
    </w:p>
    <w:p w14:paraId="78822139" w14:textId="33418D61" w:rsidR="00ED5429" w:rsidRPr="00ED5429" w:rsidRDefault="00ED5429" w:rsidP="00ED5429">
      <w:r>
        <w:br w:type="column"/>
      </w:r>
    </w:p>
    <w:p w14:paraId="25E29F71" w14:textId="0041BE42" w:rsidR="009D33A8" w:rsidRPr="006039E3" w:rsidRDefault="009D33A8" w:rsidP="00ED5429">
      <w:pPr>
        <w:pStyle w:val="ListBullet"/>
        <w:keepLines/>
        <w:numPr>
          <w:ilvl w:val="0"/>
          <w:numId w:val="27"/>
        </w:numPr>
        <w:spacing w:before="120"/>
        <w:ind w:left="357" w:hanging="357"/>
      </w:pPr>
      <w:r w:rsidRPr="006039E3">
        <w:t>TCV is the State</w:t>
      </w:r>
      <w:r w:rsidR="00845934">
        <w:t>’</w:t>
      </w:r>
      <w:r w:rsidRPr="006039E3">
        <w:t>s central borrowing authority and financing advisor. An independent prudential supervisor is appointed by the Treasurer to monitor TCV</w:t>
      </w:r>
      <w:r w:rsidR="00845934">
        <w:t>’</w:t>
      </w:r>
      <w:r w:rsidRPr="006039E3">
        <w:t>s compliance with its prudential framework</w:t>
      </w:r>
      <w:r w:rsidR="00B4102B">
        <w:t>.</w:t>
      </w:r>
    </w:p>
    <w:p w14:paraId="020B8334" w14:textId="752C9D26" w:rsidR="009D33A8" w:rsidRPr="006039E3" w:rsidRDefault="009D33A8" w:rsidP="009D33A8">
      <w:pPr>
        <w:pStyle w:val="ListBullet"/>
        <w:keepLines/>
        <w:numPr>
          <w:ilvl w:val="0"/>
          <w:numId w:val="27"/>
        </w:numPr>
        <w:ind w:left="357" w:hanging="357"/>
      </w:pPr>
      <w:r w:rsidRPr="006039E3">
        <w:t>VFMC acts as the State</w:t>
      </w:r>
      <w:r w:rsidR="00845934">
        <w:t>’</w:t>
      </w:r>
      <w:r w:rsidRPr="006039E3">
        <w:t>s central investment fund manager providing expertise in developing investment strategy and providing funds management services in accordance with each entity</w:t>
      </w:r>
      <w:r w:rsidR="00845934">
        <w:t>’</w:t>
      </w:r>
      <w:r w:rsidRPr="006039E3">
        <w:t xml:space="preserve">s investment objectives. </w:t>
      </w:r>
      <w:r>
        <w:t>DTF</w:t>
      </w:r>
      <w:r w:rsidRPr="006039E3">
        <w:t xml:space="preserve"> monitor</w:t>
      </w:r>
      <w:r>
        <w:t>s</w:t>
      </w:r>
      <w:r w:rsidRPr="006039E3">
        <w:t xml:space="preserve"> VFMC</w:t>
      </w:r>
      <w:r w:rsidR="00845934">
        <w:t>’</w:t>
      </w:r>
      <w:r w:rsidRPr="006039E3">
        <w:t>s compliance with its prudential framework</w:t>
      </w:r>
      <w:r w:rsidR="00B4102B">
        <w:t>.</w:t>
      </w:r>
    </w:p>
    <w:p w14:paraId="0EB50A81" w14:textId="7D7CE392" w:rsidR="009D33A8" w:rsidRPr="006039E3" w:rsidRDefault="009D33A8" w:rsidP="009D33A8">
      <w:pPr>
        <w:pStyle w:val="ListBullet"/>
        <w:keepLines/>
        <w:numPr>
          <w:ilvl w:val="0"/>
          <w:numId w:val="27"/>
        </w:numPr>
        <w:ind w:left="357" w:hanging="357"/>
      </w:pPr>
      <w:r w:rsidRPr="006039E3">
        <w:t>The State</w:t>
      </w:r>
      <w:r w:rsidR="00845934">
        <w:t>’</w:t>
      </w:r>
      <w:r w:rsidRPr="006039E3">
        <w:t xml:space="preserve">s entities are responsible for setting their own financial risk policy and objectives in accordance with the Standing Directions 2018 (Standing Directions) under the </w:t>
      </w:r>
      <w:r w:rsidRPr="006039E3">
        <w:rPr>
          <w:i/>
          <w:iCs/>
        </w:rPr>
        <w:t>Financial Management Act 1994</w:t>
      </w:r>
      <w:r w:rsidRPr="006039E3">
        <w:t>. All entities are responsible for the day-to-day operational management of their financial instruments and associated risks in accordance with the Standing Directions.</w:t>
      </w:r>
    </w:p>
    <w:p w14:paraId="5260BB93" w14:textId="3D6821DA" w:rsidR="009D33A8" w:rsidRDefault="009D33A8" w:rsidP="009D33A8">
      <w:pPr>
        <w:keepNext/>
      </w:pPr>
      <w:r>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rsidR="00845934">
        <w:t>’</w:t>
      </w:r>
      <w:r>
        <w:t>s entities is responsible for advising its board, the responsible Minister, DTF and, for Portfolio Agencies, the Accountable Officer of their Portfolio Department of any material compliance deficiency, and of planned and completed remedial actions, as soon as practicable.</w:t>
      </w:r>
    </w:p>
    <w:p w14:paraId="6408D689" w14:textId="17373CC4" w:rsidR="009D33A8" w:rsidRDefault="009D33A8" w:rsidP="009D33A8">
      <w:pPr>
        <w:keepNext/>
      </w:pPr>
      <w:r>
        <w:t>A number of the State</w:t>
      </w:r>
      <w:r w:rsidR="00845934">
        <w:t>’</w:t>
      </w:r>
      <w:r>
        <w:t>s entities enter into derivative financial instruments in accordance with the Treasurer</w:t>
      </w:r>
      <w:r w:rsidR="00845934">
        <w:t>’</w:t>
      </w:r>
      <w:r>
        <w:t>s prudential and financial management framework, in order to manage their exposure to movements in interest rates, foreign currency exchange rates and commodity-related exposures.</w:t>
      </w:r>
    </w:p>
    <w:p w14:paraId="421B2155" w14:textId="7E4CA4CD" w:rsidR="009D33A8" w:rsidRDefault="009D33A8" w:rsidP="009D33A8">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w:t>
      </w:r>
      <w:r w:rsidR="00845934">
        <w:t>’</w:t>
      </w:r>
      <w:r>
        <w:t>s financial position.</w:t>
      </w:r>
    </w:p>
    <w:p w14:paraId="482928D5" w14:textId="77777777" w:rsidR="00ED5429" w:rsidRDefault="00ED5429">
      <w:pPr>
        <w:keepLines w:val="0"/>
        <w:rPr>
          <w:rFonts w:asciiTheme="majorHAnsi" w:eastAsiaTheme="majorEastAsia" w:hAnsiTheme="majorHAnsi" w:cstheme="majorBidi"/>
          <w:b/>
          <w:sz w:val="23"/>
          <w:szCs w:val="24"/>
        </w:rPr>
      </w:pPr>
      <w:r>
        <w:br w:type="page"/>
      </w:r>
    </w:p>
    <w:p w14:paraId="25DA925F" w14:textId="15F737EC" w:rsidR="009D33A8" w:rsidRDefault="009D33A8" w:rsidP="009D33A8">
      <w:pPr>
        <w:pStyle w:val="Heading3"/>
      </w:pPr>
      <w:r>
        <w:lastRenderedPageBreak/>
        <w:t>6.1.1</w:t>
      </w:r>
      <w:r>
        <w:tab/>
        <w:t xml:space="preserve">Interest rate risk </w:t>
      </w:r>
    </w:p>
    <w:p w14:paraId="4D2E0DD8" w14:textId="77777777" w:rsidR="009D33A8" w:rsidRDefault="009D33A8" w:rsidP="009D33A8">
      <w:r>
        <w:t>The State is exposed to interest rate risk through borrowings and investments in interest-bearing financial assets, such as deposits and debt securities. Interest rate risk could be in the form of fair value risk or cash flow risk.</w:t>
      </w:r>
    </w:p>
    <w:p w14:paraId="7AD5EE4F" w14:textId="77777777" w:rsidR="009D33A8" w:rsidRDefault="009D33A8" w:rsidP="009D33A8">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w:t>
      </w:r>
    </w:p>
    <w:p w14:paraId="7C243A8A" w14:textId="12403E88" w:rsidR="009D33A8" w:rsidRDefault="009D33A8" w:rsidP="009D33A8">
      <w:r>
        <w:t>Cash flow interest rate risk is the risk that the future cash flows of a financial instrument will fluctuate because of changes in market interest rates. Only a small portion of the State</w:t>
      </w:r>
      <w:r w:rsidR="00845934">
        <w:t>’</w:t>
      </w:r>
      <w:r>
        <w:t>s financial instruments are exposed to cash flow interest rate risk and these arise from financial assets and financial liabilities with floating interest rates, which are measured at amortised cost.</w:t>
      </w:r>
    </w:p>
    <w:p w14:paraId="7B4B38CD" w14:textId="11F866ED" w:rsidR="00ED5429" w:rsidRDefault="00B47868">
      <w:pPr>
        <w:keepLines w:val="0"/>
      </w:pPr>
      <w:r>
        <w:br w:type="column"/>
      </w:r>
    </w:p>
    <w:p w14:paraId="0690F629" w14:textId="77777777" w:rsidR="00ED5429" w:rsidRDefault="00ED5429" w:rsidP="009D33A8"/>
    <w:p w14:paraId="7524E42A" w14:textId="77777777" w:rsidR="00ED5429" w:rsidRDefault="00ED5429" w:rsidP="009D33A8"/>
    <w:p w14:paraId="7E130F76" w14:textId="0FCF0C42" w:rsidR="00ED5429" w:rsidRDefault="00ED5429" w:rsidP="009D33A8">
      <w:pPr>
        <w:sectPr w:rsidR="00ED5429" w:rsidSect="00ED5429">
          <w:type w:val="continuous"/>
          <w:pgSz w:w="11906" w:h="16838" w:code="9"/>
          <w:pgMar w:top="1134" w:right="1134" w:bottom="1134" w:left="1134" w:header="624" w:footer="567" w:gutter="0"/>
          <w:cols w:num="2" w:space="708"/>
          <w:docGrid w:linePitch="360"/>
        </w:sectPr>
      </w:pPr>
    </w:p>
    <w:p w14:paraId="7CC0F85D" w14:textId="77777777" w:rsidR="001348F7" w:rsidRDefault="001348F7">
      <w:pPr>
        <w:keepLines w:val="0"/>
      </w:pPr>
      <w:r>
        <w:br w:type="page"/>
      </w:r>
    </w:p>
    <w:p w14:paraId="12050644" w14:textId="77777777" w:rsidR="001348F7" w:rsidRDefault="001348F7" w:rsidP="00ED5429">
      <w:pPr>
        <w:sectPr w:rsidR="001348F7" w:rsidSect="00ED5429">
          <w:type w:val="continuous"/>
          <w:pgSz w:w="11906" w:h="16838" w:code="9"/>
          <w:pgMar w:top="1134" w:right="1134" w:bottom="1134" w:left="1134" w:header="624" w:footer="567" w:gutter="0"/>
          <w:cols w:space="708"/>
          <w:docGrid w:linePitch="360"/>
        </w:sectPr>
      </w:pPr>
    </w:p>
    <w:p w14:paraId="78D7D385" w14:textId="6979B27B" w:rsidR="00ED5429" w:rsidRDefault="00ED5429" w:rsidP="00ED5429">
      <w:r>
        <w:lastRenderedPageBreak/>
        <w:t>The interest rate exposure table provides details of the carrying amounts of financial assets and liabilities that expose the State to either interest rate fair value risk or interest rate cash flow risk.</w:t>
      </w:r>
    </w:p>
    <w:p w14:paraId="65CE298E" w14:textId="77777777" w:rsidR="001348F7" w:rsidRDefault="001348F7" w:rsidP="001348F7">
      <w:pPr>
        <w:pStyle w:val="TableHeading"/>
        <w:sectPr w:rsidR="001348F7" w:rsidSect="001348F7">
          <w:type w:val="continuous"/>
          <w:pgSz w:w="11906" w:h="16838" w:code="9"/>
          <w:pgMar w:top="1134" w:right="1134" w:bottom="1134" w:left="1134" w:header="624" w:footer="567" w:gutter="0"/>
          <w:cols w:num="2" w:space="708"/>
          <w:docGrid w:linePitch="360"/>
        </w:sectPr>
      </w:pPr>
    </w:p>
    <w:p w14:paraId="26EB3ECD" w14:textId="77777777" w:rsidR="001348F7" w:rsidRDefault="001348F7" w:rsidP="001348F7">
      <w:pPr>
        <w:pStyle w:val="TableHeading"/>
      </w:pPr>
    </w:p>
    <w:p w14:paraId="09E32617" w14:textId="38621C7A" w:rsidR="009D33A8" w:rsidRDefault="009D33A8" w:rsidP="001348F7">
      <w:pPr>
        <w:pStyle w:val="TableHeading"/>
      </w:pPr>
      <w:r>
        <w:t xml:space="preserve">Interest rate exposure as at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Interest_rate_exposure_CY"/>
      </w:tblPr>
      <w:tblGrid>
        <w:gridCol w:w="2382"/>
        <w:gridCol w:w="907"/>
        <w:gridCol w:w="907"/>
        <w:gridCol w:w="1040"/>
        <w:gridCol w:w="774"/>
        <w:gridCol w:w="907"/>
        <w:gridCol w:w="907"/>
        <w:gridCol w:w="1023"/>
        <w:gridCol w:w="791"/>
      </w:tblGrid>
      <w:tr w:rsidR="009D33A8" w14:paraId="1E4DAAD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6A38F554" w14:textId="77777777" w:rsidR="009D33A8" w:rsidRDefault="009D33A8">
            <w:pPr>
              <w:keepNext/>
              <w:spacing w:after="60"/>
            </w:pPr>
          </w:p>
        </w:tc>
        <w:tc>
          <w:tcPr>
            <w:tcW w:w="3628" w:type="dxa"/>
            <w:gridSpan w:val="4"/>
          </w:tcPr>
          <w:p w14:paraId="26288177" w14:textId="77777777" w:rsidR="009D33A8" w:rsidRDefault="009D33A8">
            <w:pPr>
              <w:keepNext/>
              <w:spacing w:after="60"/>
              <w:jc w:val="center"/>
              <w:cnfStyle w:val="100000000000" w:firstRow="1" w:lastRow="0" w:firstColumn="0" w:lastColumn="0" w:oddVBand="0" w:evenVBand="0" w:oddHBand="0" w:evenHBand="0" w:firstRowFirstColumn="0" w:firstRowLastColumn="0" w:lastRowFirstColumn="0" w:lastRowLastColumn="0"/>
            </w:pPr>
            <w:r>
              <w:t xml:space="preserve"> State of Victoria</w:t>
            </w:r>
          </w:p>
        </w:tc>
        <w:tc>
          <w:tcPr>
            <w:tcW w:w="3628" w:type="dxa"/>
            <w:gridSpan w:val="4"/>
          </w:tcPr>
          <w:p w14:paraId="7AFB85EC" w14:textId="77777777" w:rsidR="009D33A8" w:rsidRDefault="009D33A8">
            <w:pPr>
              <w:keepNext/>
              <w:spacing w:after="60"/>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2B1B5E" w14:paraId="051A7C1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249EE5F9" w14:textId="77777777" w:rsidR="009D33A8" w:rsidRDefault="009D33A8">
            <w:pPr>
              <w:keepNext/>
              <w:spacing w:after="60"/>
            </w:pPr>
            <w:r>
              <w:t>2025</w:t>
            </w:r>
          </w:p>
        </w:tc>
        <w:tc>
          <w:tcPr>
            <w:tcW w:w="907" w:type="dxa"/>
          </w:tcPr>
          <w:p w14:paraId="7EE95752"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Floating rate</w:t>
            </w:r>
          </w:p>
        </w:tc>
        <w:tc>
          <w:tcPr>
            <w:tcW w:w="907" w:type="dxa"/>
          </w:tcPr>
          <w:p w14:paraId="58C7EB22"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Fixed rate</w:t>
            </w:r>
          </w:p>
        </w:tc>
        <w:tc>
          <w:tcPr>
            <w:tcW w:w="1040" w:type="dxa"/>
          </w:tcPr>
          <w:p w14:paraId="08946B6B"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774" w:type="dxa"/>
          </w:tcPr>
          <w:p w14:paraId="40E9A935"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Total</w:t>
            </w:r>
          </w:p>
        </w:tc>
        <w:tc>
          <w:tcPr>
            <w:tcW w:w="907" w:type="dxa"/>
          </w:tcPr>
          <w:p w14:paraId="5F0D3F14"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Floating rate</w:t>
            </w:r>
          </w:p>
        </w:tc>
        <w:tc>
          <w:tcPr>
            <w:tcW w:w="907" w:type="dxa"/>
          </w:tcPr>
          <w:p w14:paraId="1A39C087"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Fixed rate</w:t>
            </w:r>
          </w:p>
        </w:tc>
        <w:tc>
          <w:tcPr>
            <w:tcW w:w="1023" w:type="dxa"/>
          </w:tcPr>
          <w:p w14:paraId="349BC1DA"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Non</w:t>
            </w:r>
            <w:r>
              <w:noBreakHyphen/>
              <w:t>interest bearing</w:t>
            </w:r>
          </w:p>
        </w:tc>
        <w:tc>
          <w:tcPr>
            <w:tcW w:w="791" w:type="dxa"/>
          </w:tcPr>
          <w:p w14:paraId="5668949F" w14:textId="77777777" w:rsidR="009D33A8" w:rsidRDefault="009D33A8">
            <w:pPr>
              <w:keepNext/>
              <w:spacing w:after="60"/>
              <w:cnfStyle w:val="100000000000" w:firstRow="1" w:lastRow="0" w:firstColumn="0" w:lastColumn="0" w:oddVBand="0" w:evenVBand="0" w:oddHBand="0" w:evenHBand="0" w:firstRowFirstColumn="0" w:firstRowLastColumn="0" w:lastRowFirstColumn="0" w:lastRowLastColumn="0"/>
            </w:pPr>
            <w:r>
              <w:t>Total</w:t>
            </w:r>
          </w:p>
        </w:tc>
      </w:tr>
      <w:tr w:rsidR="009D33A8" w14:paraId="18697C8C" w14:textId="77777777">
        <w:tc>
          <w:tcPr>
            <w:cnfStyle w:val="001000000000" w:firstRow="0" w:lastRow="0" w:firstColumn="1" w:lastColumn="0" w:oddVBand="0" w:evenVBand="0" w:oddHBand="0" w:evenHBand="0" w:firstRowFirstColumn="0" w:firstRowLastColumn="0" w:lastRowFirstColumn="0" w:lastRowLastColumn="0"/>
            <w:tcW w:w="2382" w:type="dxa"/>
          </w:tcPr>
          <w:p w14:paraId="64176082" w14:textId="77777777" w:rsidR="009D33A8" w:rsidRDefault="009D33A8">
            <w:pPr>
              <w:spacing w:after="60"/>
            </w:pPr>
            <w:r>
              <w:rPr>
                <w:b/>
              </w:rPr>
              <w:t>Financial assets</w:t>
            </w:r>
          </w:p>
        </w:tc>
        <w:tc>
          <w:tcPr>
            <w:tcW w:w="907" w:type="dxa"/>
          </w:tcPr>
          <w:p w14:paraId="6FDE597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Pr>
          <w:p w14:paraId="401B9FF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1040" w:type="dxa"/>
          </w:tcPr>
          <w:p w14:paraId="7ED5CB15"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774" w:type="dxa"/>
          </w:tcPr>
          <w:p w14:paraId="6ADCCF7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Pr>
          <w:p w14:paraId="3410560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Pr>
          <w:p w14:paraId="71C2561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1023" w:type="dxa"/>
          </w:tcPr>
          <w:p w14:paraId="476D85A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791" w:type="dxa"/>
          </w:tcPr>
          <w:p w14:paraId="4FAC19E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r>
      <w:tr w:rsidR="009D33A8" w14:paraId="7576CCD5" w14:textId="77777777">
        <w:tc>
          <w:tcPr>
            <w:cnfStyle w:val="001000000000" w:firstRow="0" w:lastRow="0" w:firstColumn="1" w:lastColumn="0" w:oddVBand="0" w:evenVBand="0" w:oddHBand="0" w:evenHBand="0" w:firstRowFirstColumn="0" w:firstRowLastColumn="0" w:lastRowFirstColumn="0" w:lastRowLastColumn="0"/>
            <w:tcW w:w="2382" w:type="dxa"/>
          </w:tcPr>
          <w:p w14:paraId="21DBB5FE" w14:textId="77777777" w:rsidR="009D33A8" w:rsidRDefault="009D33A8">
            <w:pPr>
              <w:spacing w:after="60"/>
            </w:pPr>
            <w:r>
              <w:t>Cash and deposits</w:t>
            </w:r>
          </w:p>
        </w:tc>
        <w:tc>
          <w:tcPr>
            <w:tcW w:w="907" w:type="dxa"/>
          </w:tcPr>
          <w:p w14:paraId="04E18E6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20 185</w:t>
            </w:r>
          </w:p>
        </w:tc>
        <w:tc>
          <w:tcPr>
            <w:tcW w:w="907" w:type="dxa"/>
          </w:tcPr>
          <w:p w14:paraId="5C215AB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78</w:t>
            </w:r>
          </w:p>
        </w:tc>
        <w:tc>
          <w:tcPr>
            <w:tcW w:w="1040" w:type="dxa"/>
          </w:tcPr>
          <w:p w14:paraId="06A2E38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188</w:t>
            </w:r>
          </w:p>
        </w:tc>
        <w:tc>
          <w:tcPr>
            <w:tcW w:w="774" w:type="dxa"/>
          </w:tcPr>
          <w:p w14:paraId="31FF3D8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20 450</w:t>
            </w:r>
          </w:p>
        </w:tc>
        <w:tc>
          <w:tcPr>
            <w:tcW w:w="907" w:type="dxa"/>
          </w:tcPr>
          <w:p w14:paraId="27E7760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12 626</w:t>
            </w:r>
          </w:p>
        </w:tc>
        <w:tc>
          <w:tcPr>
            <w:tcW w:w="907" w:type="dxa"/>
          </w:tcPr>
          <w:p w14:paraId="75A891A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44</w:t>
            </w:r>
          </w:p>
        </w:tc>
        <w:tc>
          <w:tcPr>
            <w:tcW w:w="1023" w:type="dxa"/>
          </w:tcPr>
          <w:p w14:paraId="5EE9D2E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130</w:t>
            </w:r>
          </w:p>
        </w:tc>
        <w:tc>
          <w:tcPr>
            <w:tcW w:w="791" w:type="dxa"/>
          </w:tcPr>
          <w:p w14:paraId="4B4D746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12 800</w:t>
            </w:r>
          </w:p>
        </w:tc>
      </w:tr>
      <w:tr w:rsidR="009D33A8" w14:paraId="7CD88775" w14:textId="77777777">
        <w:tc>
          <w:tcPr>
            <w:cnfStyle w:val="001000000000" w:firstRow="0" w:lastRow="0" w:firstColumn="1" w:lastColumn="0" w:oddVBand="0" w:evenVBand="0" w:oddHBand="0" w:evenHBand="0" w:firstRowFirstColumn="0" w:firstRowLastColumn="0" w:lastRowFirstColumn="0" w:lastRowLastColumn="0"/>
            <w:tcW w:w="2382" w:type="dxa"/>
          </w:tcPr>
          <w:p w14:paraId="699D0388" w14:textId="77777777" w:rsidR="009D33A8" w:rsidRDefault="009D33A8">
            <w:pPr>
              <w:spacing w:after="60"/>
            </w:pPr>
            <w:r>
              <w:t>Receivables</w:t>
            </w:r>
          </w:p>
        </w:tc>
        <w:tc>
          <w:tcPr>
            <w:tcW w:w="907" w:type="dxa"/>
          </w:tcPr>
          <w:p w14:paraId="479D77D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7F0C0BA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w:t>
            </w:r>
          </w:p>
        </w:tc>
        <w:tc>
          <w:tcPr>
            <w:tcW w:w="1040" w:type="dxa"/>
          </w:tcPr>
          <w:p w14:paraId="0C27487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4 980</w:t>
            </w:r>
          </w:p>
        </w:tc>
        <w:tc>
          <w:tcPr>
            <w:tcW w:w="774" w:type="dxa"/>
          </w:tcPr>
          <w:p w14:paraId="5A1354B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5 185</w:t>
            </w:r>
          </w:p>
        </w:tc>
        <w:tc>
          <w:tcPr>
            <w:tcW w:w="907" w:type="dxa"/>
          </w:tcPr>
          <w:p w14:paraId="32A5003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107</w:t>
            </w:r>
          </w:p>
        </w:tc>
        <w:tc>
          <w:tcPr>
            <w:tcW w:w="907" w:type="dxa"/>
          </w:tcPr>
          <w:p w14:paraId="7F06FA4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w:t>
            </w:r>
          </w:p>
        </w:tc>
        <w:tc>
          <w:tcPr>
            <w:tcW w:w="1023" w:type="dxa"/>
          </w:tcPr>
          <w:p w14:paraId="49BB5E2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3 150</w:t>
            </w:r>
          </w:p>
        </w:tc>
        <w:tc>
          <w:tcPr>
            <w:tcW w:w="791" w:type="dxa"/>
          </w:tcPr>
          <w:p w14:paraId="34174C57"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3 258</w:t>
            </w:r>
          </w:p>
        </w:tc>
      </w:tr>
      <w:tr w:rsidR="009D33A8" w14:paraId="36EBE00D" w14:textId="77777777">
        <w:tc>
          <w:tcPr>
            <w:cnfStyle w:val="001000000000" w:firstRow="0" w:lastRow="0" w:firstColumn="1" w:lastColumn="0" w:oddVBand="0" w:evenVBand="0" w:oddHBand="0" w:evenHBand="0" w:firstRowFirstColumn="0" w:firstRowLastColumn="0" w:lastRowFirstColumn="0" w:lastRowLastColumn="0"/>
            <w:tcW w:w="2382" w:type="dxa"/>
          </w:tcPr>
          <w:p w14:paraId="19D19C40" w14:textId="77777777" w:rsidR="009D33A8" w:rsidRDefault="009D33A8">
            <w:pPr>
              <w:spacing w:after="60"/>
            </w:pPr>
            <w:r>
              <w:t>Advances paid</w:t>
            </w:r>
          </w:p>
        </w:tc>
        <w:tc>
          <w:tcPr>
            <w:tcW w:w="907" w:type="dxa"/>
          </w:tcPr>
          <w:p w14:paraId="196409C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64</w:t>
            </w:r>
          </w:p>
        </w:tc>
        <w:tc>
          <w:tcPr>
            <w:tcW w:w="907" w:type="dxa"/>
          </w:tcPr>
          <w:p w14:paraId="2DD72E65"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156</w:t>
            </w:r>
          </w:p>
        </w:tc>
        <w:tc>
          <w:tcPr>
            <w:tcW w:w="1040" w:type="dxa"/>
          </w:tcPr>
          <w:p w14:paraId="331BA72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191</w:t>
            </w:r>
          </w:p>
        </w:tc>
        <w:tc>
          <w:tcPr>
            <w:tcW w:w="774" w:type="dxa"/>
          </w:tcPr>
          <w:p w14:paraId="46E7F0B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4B0B424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18</w:t>
            </w:r>
          </w:p>
        </w:tc>
        <w:tc>
          <w:tcPr>
            <w:tcW w:w="907" w:type="dxa"/>
          </w:tcPr>
          <w:p w14:paraId="09FA597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6 227</w:t>
            </w:r>
          </w:p>
        </w:tc>
        <w:tc>
          <w:tcPr>
            <w:tcW w:w="1023" w:type="dxa"/>
          </w:tcPr>
          <w:p w14:paraId="6445E7A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161</w:t>
            </w:r>
          </w:p>
        </w:tc>
        <w:tc>
          <w:tcPr>
            <w:tcW w:w="791" w:type="dxa"/>
          </w:tcPr>
          <w:p w14:paraId="68D4632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6 407</w:t>
            </w:r>
          </w:p>
        </w:tc>
      </w:tr>
      <w:tr w:rsidR="009D33A8" w14:paraId="72014476" w14:textId="77777777">
        <w:tc>
          <w:tcPr>
            <w:cnfStyle w:val="001000000000" w:firstRow="0" w:lastRow="0" w:firstColumn="1" w:lastColumn="0" w:oddVBand="0" w:evenVBand="0" w:oddHBand="0" w:evenHBand="0" w:firstRowFirstColumn="0" w:firstRowLastColumn="0" w:lastRowFirstColumn="0" w:lastRowLastColumn="0"/>
            <w:tcW w:w="2382" w:type="dxa"/>
          </w:tcPr>
          <w:p w14:paraId="11FF1E41" w14:textId="77777777" w:rsidR="009D33A8" w:rsidRDefault="009D33A8">
            <w:pPr>
              <w:spacing w:after="60"/>
            </w:pPr>
            <w:r>
              <w:t>Term deposits</w:t>
            </w:r>
          </w:p>
        </w:tc>
        <w:tc>
          <w:tcPr>
            <w:tcW w:w="907" w:type="dxa"/>
          </w:tcPr>
          <w:p w14:paraId="03385AB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12</w:t>
            </w:r>
          </w:p>
        </w:tc>
        <w:tc>
          <w:tcPr>
            <w:tcW w:w="907" w:type="dxa"/>
          </w:tcPr>
          <w:p w14:paraId="23FBD8D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246</w:t>
            </w:r>
          </w:p>
        </w:tc>
        <w:tc>
          <w:tcPr>
            <w:tcW w:w="1040" w:type="dxa"/>
          </w:tcPr>
          <w:p w14:paraId="0FB9C3B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74" w:type="dxa"/>
          </w:tcPr>
          <w:p w14:paraId="649507C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4458837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w:t>
            </w:r>
          </w:p>
        </w:tc>
        <w:tc>
          <w:tcPr>
            <w:tcW w:w="907" w:type="dxa"/>
          </w:tcPr>
          <w:p w14:paraId="12B9013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244</w:t>
            </w:r>
          </w:p>
        </w:tc>
        <w:tc>
          <w:tcPr>
            <w:tcW w:w="1023" w:type="dxa"/>
          </w:tcPr>
          <w:p w14:paraId="5E716F27"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91" w:type="dxa"/>
          </w:tcPr>
          <w:p w14:paraId="40C21DE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250</w:t>
            </w:r>
          </w:p>
        </w:tc>
      </w:tr>
      <w:tr w:rsidR="009D33A8" w14:paraId="3FACD115" w14:textId="77777777">
        <w:tc>
          <w:tcPr>
            <w:cnfStyle w:val="001000000000" w:firstRow="0" w:lastRow="0" w:firstColumn="1" w:lastColumn="0" w:oddVBand="0" w:evenVBand="0" w:oddHBand="0" w:evenHBand="0" w:firstRowFirstColumn="0" w:firstRowLastColumn="0" w:lastRowFirstColumn="0" w:lastRowLastColumn="0"/>
            <w:tcW w:w="2382" w:type="dxa"/>
          </w:tcPr>
          <w:p w14:paraId="35AC4925" w14:textId="77777777" w:rsidR="009D33A8" w:rsidRDefault="009D33A8">
            <w:pPr>
              <w:spacing w:after="60"/>
            </w:pPr>
            <w:r>
              <w:t>Derivative financial instruments</w:t>
            </w:r>
          </w:p>
        </w:tc>
        <w:tc>
          <w:tcPr>
            <w:tcW w:w="907" w:type="dxa"/>
          </w:tcPr>
          <w:p w14:paraId="2D7EE80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789861B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236</w:t>
            </w:r>
          </w:p>
        </w:tc>
        <w:tc>
          <w:tcPr>
            <w:tcW w:w="1040" w:type="dxa"/>
          </w:tcPr>
          <w:p w14:paraId="08E93EB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924</w:t>
            </w:r>
          </w:p>
        </w:tc>
        <w:tc>
          <w:tcPr>
            <w:tcW w:w="774" w:type="dxa"/>
          </w:tcPr>
          <w:p w14:paraId="7716A8F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1 160</w:t>
            </w:r>
          </w:p>
        </w:tc>
        <w:tc>
          <w:tcPr>
            <w:tcW w:w="907" w:type="dxa"/>
          </w:tcPr>
          <w:p w14:paraId="3B5E2E48"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27224C8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1023" w:type="dxa"/>
          </w:tcPr>
          <w:p w14:paraId="69DDF49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526</w:t>
            </w:r>
          </w:p>
        </w:tc>
        <w:tc>
          <w:tcPr>
            <w:tcW w:w="791" w:type="dxa"/>
          </w:tcPr>
          <w:p w14:paraId="02FD04C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526</w:t>
            </w:r>
          </w:p>
        </w:tc>
      </w:tr>
      <w:tr w:rsidR="009D33A8" w14:paraId="6A63425C" w14:textId="77777777">
        <w:tc>
          <w:tcPr>
            <w:cnfStyle w:val="001000000000" w:firstRow="0" w:lastRow="0" w:firstColumn="1" w:lastColumn="0" w:oddVBand="0" w:evenVBand="0" w:oddHBand="0" w:evenHBand="0" w:firstRowFirstColumn="0" w:firstRowLastColumn="0" w:lastRowFirstColumn="0" w:lastRowLastColumn="0"/>
            <w:tcW w:w="2382" w:type="dxa"/>
          </w:tcPr>
          <w:p w14:paraId="63DDF276" w14:textId="77777777" w:rsidR="009D33A8" w:rsidRDefault="009D33A8">
            <w:pPr>
              <w:spacing w:after="60"/>
            </w:pPr>
            <w:r>
              <w:t>Equities and managed investment schemes</w:t>
            </w:r>
          </w:p>
        </w:tc>
        <w:tc>
          <w:tcPr>
            <w:tcW w:w="907" w:type="dxa"/>
          </w:tcPr>
          <w:p w14:paraId="54AB95E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716</w:t>
            </w:r>
          </w:p>
        </w:tc>
        <w:tc>
          <w:tcPr>
            <w:tcW w:w="907" w:type="dxa"/>
          </w:tcPr>
          <w:p w14:paraId="55A35EA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w:t>
            </w:r>
          </w:p>
        </w:tc>
        <w:tc>
          <w:tcPr>
            <w:tcW w:w="1040" w:type="dxa"/>
          </w:tcPr>
          <w:p w14:paraId="7772A69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66 528</w:t>
            </w:r>
          </w:p>
        </w:tc>
        <w:tc>
          <w:tcPr>
            <w:tcW w:w="774" w:type="dxa"/>
          </w:tcPr>
          <w:p w14:paraId="046E207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67 250</w:t>
            </w:r>
          </w:p>
        </w:tc>
        <w:tc>
          <w:tcPr>
            <w:tcW w:w="907" w:type="dxa"/>
          </w:tcPr>
          <w:p w14:paraId="0FDF2F0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670</w:t>
            </w:r>
          </w:p>
        </w:tc>
        <w:tc>
          <w:tcPr>
            <w:tcW w:w="907" w:type="dxa"/>
          </w:tcPr>
          <w:p w14:paraId="001CA858"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w:t>
            </w:r>
          </w:p>
        </w:tc>
        <w:tc>
          <w:tcPr>
            <w:tcW w:w="1023" w:type="dxa"/>
          </w:tcPr>
          <w:p w14:paraId="6672E84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16 304</w:t>
            </w:r>
          </w:p>
        </w:tc>
        <w:tc>
          <w:tcPr>
            <w:tcW w:w="791" w:type="dxa"/>
          </w:tcPr>
          <w:p w14:paraId="61468B8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16 980</w:t>
            </w:r>
          </w:p>
        </w:tc>
      </w:tr>
      <w:tr w:rsidR="009D33A8" w14:paraId="0CF77ECD" w14:textId="77777777">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7CF5A37A" w14:textId="77777777" w:rsidR="009D33A8" w:rsidRDefault="009D33A8">
            <w:pPr>
              <w:spacing w:after="60"/>
            </w:pPr>
            <w:r>
              <w:t>Debt securities</w:t>
            </w:r>
          </w:p>
        </w:tc>
        <w:tc>
          <w:tcPr>
            <w:tcW w:w="907" w:type="dxa"/>
            <w:tcBorders>
              <w:bottom w:val="single" w:sz="6" w:space="0" w:color="auto"/>
            </w:tcBorders>
          </w:tcPr>
          <w:p w14:paraId="768D7A4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1 111</w:t>
            </w:r>
          </w:p>
        </w:tc>
        <w:tc>
          <w:tcPr>
            <w:tcW w:w="907" w:type="dxa"/>
            <w:tcBorders>
              <w:bottom w:val="single" w:sz="6" w:space="0" w:color="auto"/>
            </w:tcBorders>
          </w:tcPr>
          <w:p w14:paraId="2C98D27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20 362</w:t>
            </w:r>
          </w:p>
        </w:tc>
        <w:tc>
          <w:tcPr>
            <w:tcW w:w="1040" w:type="dxa"/>
            <w:tcBorders>
              <w:bottom w:val="single" w:sz="6" w:space="0" w:color="auto"/>
            </w:tcBorders>
          </w:tcPr>
          <w:p w14:paraId="7DCF86A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w:t>
            </w:r>
          </w:p>
        </w:tc>
        <w:tc>
          <w:tcPr>
            <w:tcW w:w="774" w:type="dxa"/>
            <w:tcBorders>
              <w:bottom w:val="single" w:sz="6" w:space="0" w:color="auto"/>
            </w:tcBorders>
          </w:tcPr>
          <w:p w14:paraId="1D6EC4C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21 476</w:t>
            </w:r>
          </w:p>
        </w:tc>
        <w:tc>
          <w:tcPr>
            <w:tcW w:w="907" w:type="dxa"/>
            <w:tcBorders>
              <w:bottom w:val="single" w:sz="6" w:space="0" w:color="auto"/>
            </w:tcBorders>
          </w:tcPr>
          <w:p w14:paraId="3D802B5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790C482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8</w:t>
            </w:r>
          </w:p>
        </w:tc>
        <w:tc>
          <w:tcPr>
            <w:tcW w:w="1023" w:type="dxa"/>
            <w:tcBorders>
              <w:bottom w:val="single" w:sz="6" w:space="0" w:color="auto"/>
            </w:tcBorders>
          </w:tcPr>
          <w:p w14:paraId="6739EBC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91" w:type="dxa"/>
            <w:tcBorders>
              <w:bottom w:val="single" w:sz="6" w:space="0" w:color="auto"/>
            </w:tcBorders>
          </w:tcPr>
          <w:p w14:paraId="3417B7E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25</w:t>
            </w:r>
          </w:p>
        </w:tc>
      </w:tr>
      <w:tr w:rsidR="009D33A8" w14:paraId="196BD2E3" w14:textId="77777777">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6" w:space="0" w:color="auto"/>
            </w:tcBorders>
          </w:tcPr>
          <w:p w14:paraId="0DC83C71" w14:textId="77777777" w:rsidR="009D33A8" w:rsidRDefault="009D33A8">
            <w:pPr>
              <w:spacing w:after="60"/>
            </w:pPr>
            <w:r>
              <w:rPr>
                <w:b/>
              </w:rPr>
              <w:t>Total financial assets</w:t>
            </w:r>
          </w:p>
        </w:tc>
        <w:tc>
          <w:tcPr>
            <w:tcW w:w="907" w:type="dxa"/>
            <w:tcBorders>
              <w:top w:val="single" w:sz="6" w:space="0" w:color="auto"/>
              <w:bottom w:val="single" w:sz="6" w:space="0" w:color="auto"/>
            </w:tcBorders>
          </w:tcPr>
          <w:p w14:paraId="55C376D8"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22 286</w:t>
            </w:r>
          </w:p>
        </w:tc>
        <w:tc>
          <w:tcPr>
            <w:tcW w:w="907" w:type="dxa"/>
            <w:tcBorders>
              <w:top w:val="single" w:sz="6" w:space="0" w:color="auto"/>
              <w:bottom w:val="single" w:sz="6" w:space="0" w:color="auto"/>
            </w:tcBorders>
          </w:tcPr>
          <w:p w14:paraId="46B3145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21 092</w:t>
            </w:r>
          </w:p>
        </w:tc>
        <w:tc>
          <w:tcPr>
            <w:tcW w:w="1040" w:type="dxa"/>
            <w:tcBorders>
              <w:top w:val="single" w:sz="6" w:space="0" w:color="auto"/>
              <w:bottom w:val="single" w:sz="6" w:space="0" w:color="auto"/>
            </w:tcBorders>
          </w:tcPr>
          <w:p w14:paraId="5F20E9B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72 814</w:t>
            </w:r>
          </w:p>
        </w:tc>
        <w:tc>
          <w:tcPr>
            <w:tcW w:w="774" w:type="dxa"/>
            <w:tcBorders>
              <w:top w:val="single" w:sz="6" w:space="0" w:color="auto"/>
              <w:bottom w:val="single" w:sz="6" w:space="0" w:color="auto"/>
            </w:tcBorders>
          </w:tcPr>
          <w:p w14:paraId="0CB3A2B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116 192</w:t>
            </w:r>
          </w:p>
        </w:tc>
        <w:tc>
          <w:tcPr>
            <w:tcW w:w="907" w:type="dxa"/>
            <w:tcBorders>
              <w:top w:val="single" w:sz="6" w:space="0" w:color="auto"/>
              <w:bottom w:val="single" w:sz="6" w:space="0" w:color="auto"/>
            </w:tcBorders>
          </w:tcPr>
          <w:p w14:paraId="62773DD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13 445</w:t>
            </w:r>
          </w:p>
        </w:tc>
        <w:tc>
          <w:tcPr>
            <w:tcW w:w="907" w:type="dxa"/>
            <w:tcBorders>
              <w:top w:val="single" w:sz="6" w:space="0" w:color="auto"/>
              <w:bottom w:val="single" w:sz="6" w:space="0" w:color="auto"/>
            </w:tcBorders>
          </w:tcPr>
          <w:p w14:paraId="138D6E9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6 530</w:t>
            </w:r>
          </w:p>
        </w:tc>
        <w:tc>
          <w:tcPr>
            <w:tcW w:w="1023" w:type="dxa"/>
            <w:tcBorders>
              <w:top w:val="single" w:sz="6" w:space="0" w:color="auto"/>
              <w:bottom w:val="single" w:sz="6" w:space="0" w:color="auto"/>
            </w:tcBorders>
          </w:tcPr>
          <w:p w14:paraId="33D8D49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20 271</w:t>
            </w:r>
          </w:p>
        </w:tc>
        <w:tc>
          <w:tcPr>
            <w:tcW w:w="791" w:type="dxa"/>
            <w:tcBorders>
              <w:top w:val="single" w:sz="6" w:space="0" w:color="auto"/>
              <w:bottom w:val="single" w:sz="6" w:space="0" w:color="auto"/>
            </w:tcBorders>
          </w:tcPr>
          <w:p w14:paraId="205FE1F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40 246</w:t>
            </w:r>
          </w:p>
        </w:tc>
      </w:tr>
      <w:tr w:rsidR="009D33A8" w14:paraId="700DB559" w14:textId="77777777">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tcBorders>
          </w:tcPr>
          <w:p w14:paraId="58861D5D" w14:textId="77777777" w:rsidR="009D33A8" w:rsidRDefault="009D33A8">
            <w:pPr>
              <w:spacing w:after="60"/>
            </w:pPr>
            <w:r>
              <w:rPr>
                <w:b/>
              </w:rPr>
              <w:t>Financial liabilities</w:t>
            </w:r>
          </w:p>
        </w:tc>
        <w:tc>
          <w:tcPr>
            <w:tcW w:w="907" w:type="dxa"/>
            <w:tcBorders>
              <w:top w:val="single" w:sz="6" w:space="0" w:color="auto"/>
            </w:tcBorders>
          </w:tcPr>
          <w:p w14:paraId="2C215CE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F56415"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1040" w:type="dxa"/>
            <w:tcBorders>
              <w:top w:val="single" w:sz="6" w:space="0" w:color="auto"/>
            </w:tcBorders>
          </w:tcPr>
          <w:p w14:paraId="5F0D3785"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774" w:type="dxa"/>
            <w:tcBorders>
              <w:top w:val="single" w:sz="6" w:space="0" w:color="auto"/>
            </w:tcBorders>
          </w:tcPr>
          <w:p w14:paraId="1917C48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FDA64E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85CC15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1023" w:type="dxa"/>
            <w:tcBorders>
              <w:top w:val="single" w:sz="6" w:space="0" w:color="auto"/>
            </w:tcBorders>
          </w:tcPr>
          <w:p w14:paraId="5970EF08"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c>
          <w:tcPr>
            <w:tcW w:w="791" w:type="dxa"/>
            <w:tcBorders>
              <w:top w:val="single" w:sz="6" w:space="0" w:color="auto"/>
            </w:tcBorders>
          </w:tcPr>
          <w:p w14:paraId="5C8EDEF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p>
        </w:tc>
      </w:tr>
      <w:tr w:rsidR="009D33A8" w14:paraId="5F873619" w14:textId="77777777">
        <w:tc>
          <w:tcPr>
            <w:cnfStyle w:val="001000000000" w:firstRow="0" w:lastRow="0" w:firstColumn="1" w:lastColumn="0" w:oddVBand="0" w:evenVBand="0" w:oddHBand="0" w:evenHBand="0" w:firstRowFirstColumn="0" w:firstRowLastColumn="0" w:lastRowFirstColumn="0" w:lastRowLastColumn="0"/>
            <w:tcW w:w="2382" w:type="dxa"/>
          </w:tcPr>
          <w:p w14:paraId="58F319EE" w14:textId="77777777" w:rsidR="009D33A8" w:rsidRDefault="009D33A8">
            <w:pPr>
              <w:spacing w:after="60"/>
            </w:pPr>
            <w:r>
              <w:t>Payables, deposits held and advances received</w:t>
            </w:r>
          </w:p>
        </w:tc>
        <w:tc>
          <w:tcPr>
            <w:tcW w:w="907" w:type="dxa"/>
          </w:tcPr>
          <w:p w14:paraId="0136B06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2A1948D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84</w:t>
            </w:r>
          </w:p>
        </w:tc>
        <w:tc>
          <w:tcPr>
            <w:tcW w:w="1040" w:type="dxa"/>
          </w:tcPr>
          <w:p w14:paraId="270B29A8"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10 861</w:t>
            </w:r>
          </w:p>
        </w:tc>
        <w:tc>
          <w:tcPr>
            <w:tcW w:w="774" w:type="dxa"/>
          </w:tcPr>
          <w:p w14:paraId="7249EC0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11 388</w:t>
            </w:r>
          </w:p>
        </w:tc>
        <w:tc>
          <w:tcPr>
            <w:tcW w:w="907" w:type="dxa"/>
          </w:tcPr>
          <w:p w14:paraId="18F1CB5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163</w:t>
            </w:r>
          </w:p>
        </w:tc>
        <w:tc>
          <w:tcPr>
            <w:tcW w:w="907" w:type="dxa"/>
          </w:tcPr>
          <w:p w14:paraId="0F136AC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302</w:t>
            </w:r>
          </w:p>
        </w:tc>
        <w:tc>
          <w:tcPr>
            <w:tcW w:w="1023" w:type="dxa"/>
          </w:tcPr>
          <w:p w14:paraId="76F5274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7 617</w:t>
            </w:r>
          </w:p>
        </w:tc>
        <w:tc>
          <w:tcPr>
            <w:tcW w:w="791" w:type="dxa"/>
          </w:tcPr>
          <w:p w14:paraId="35F0520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8 083</w:t>
            </w:r>
          </w:p>
        </w:tc>
      </w:tr>
      <w:tr w:rsidR="009D33A8" w14:paraId="38931EE1" w14:textId="77777777">
        <w:tc>
          <w:tcPr>
            <w:cnfStyle w:val="001000000000" w:firstRow="0" w:lastRow="0" w:firstColumn="1" w:lastColumn="0" w:oddVBand="0" w:evenVBand="0" w:oddHBand="0" w:evenHBand="0" w:firstRowFirstColumn="0" w:firstRowLastColumn="0" w:lastRowFirstColumn="0" w:lastRowLastColumn="0"/>
            <w:tcW w:w="2382" w:type="dxa"/>
          </w:tcPr>
          <w:p w14:paraId="61334455" w14:textId="77777777" w:rsidR="009D33A8" w:rsidRDefault="009D33A8">
            <w:pPr>
              <w:spacing w:after="60"/>
            </w:pPr>
            <w:r>
              <w:t>Derivative financial instruments</w:t>
            </w:r>
          </w:p>
        </w:tc>
        <w:tc>
          <w:tcPr>
            <w:tcW w:w="907" w:type="dxa"/>
          </w:tcPr>
          <w:p w14:paraId="06D1564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27E6F29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944</w:t>
            </w:r>
          </w:p>
        </w:tc>
        <w:tc>
          <w:tcPr>
            <w:tcW w:w="1040" w:type="dxa"/>
          </w:tcPr>
          <w:p w14:paraId="61F5C28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244</w:t>
            </w:r>
          </w:p>
        </w:tc>
        <w:tc>
          <w:tcPr>
            <w:tcW w:w="774" w:type="dxa"/>
          </w:tcPr>
          <w:p w14:paraId="2C33B06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1 187</w:t>
            </w:r>
          </w:p>
        </w:tc>
        <w:tc>
          <w:tcPr>
            <w:tcW w:w="907" w:type="dxa"/>
          </w:tcPr>
          <w:p w14:paraId="5603E5B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Pr>
          <w:p w14:paraId="6E9180F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220</w:t>
            </w:r>
          </w:p>
        </w:tc>
        <w:tc>
          <w:tcPr>
            <w:tcW w:w="1023" w:type="dxa"/>
          </w:tcPr>
          <w:p w14:paraId="5F0C6C0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3</w:t>
            </w:r>
          </w:p>
        </w:tc>
        <w:tc>
          <w:tcPr>
            <w:tcW w:w="791" w:type="dxa"/>
          </w:tcPr>
          <w:p w14:paraId="7A981CB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223</w:t>
            </w:r>
          </w:p>
        </w:tc>
      </w:tr>
      <w:tr w:rsidR="009D33A8" w14:paraId="2779323A" w14:textId="77777777">
        <w:tc>
          <w:tcPr>
            <w:cnfStyle w:val="001000000000" w:firstRow="0" w:lastRow="0" w:firstColumn="1" w:lastColumn="0" w:oddVBand="0" w:evenVBand="0" w:oddHBand="0" w:evenHBand="0" w:firstRowFirstColumn="0" w:firstRowLastColumn="0" w:lastRowFirstColumn="0" w:lastRowLastColumn="0"/>
            <w:tcW w:w="2382" w:type="dxa"/>
          </w:tcPr>
          <w:p w14:paraId="7F147BC5" w14:textId="77777777" w:rsidR="009D33A8" w:rsidRDefault="009D33A8">
            <w:pPr>
              <w:spacing w:after="60"/>
            </w:pPr>
            <w:r>
              <w:t>Interest</w:t>
            </w:r>
            <w:r>
              <w:noBreakHyphen/>
              <w:t>bearing liabilities</w:t>
            </w:r>
          </w:p>
        </w:tc>
        <w:tc>
          <w:tcPr>
            <w:tcW w:w="907" w:type="dxa"/>
          </w:tcPr>
          <w:p w14:paraId="4FDD333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16 742</w:t>
            </w:r>
          </w:p>
        </w:tc>
        <w:tc>
          <w:tcPr>
            <w:tcW w:w="907" w:type="dxa"/>
          </w:tcPr>
          <w:p w14:paraId="7401DE1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188 354</w:t>
            </w:r>
          </w:p>
        </w:tc>
        <w:tc>
          <w:tcPr>
            <w:tcW w:w="1040" w:type="dxa"/>
          </w:tcPr>
          <w:p w14:paraId="06B27C97"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74" w:type="dxa"/>
          </w:tcPr>
          <w:p w14:paraId="08626B20"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205 096</w:t>
            </w:r>
          </w:p>
        </w:tc>
        <w:tc>
          <w:tcPr>
            <w:tcW w:w="907" w:type="dxa"/>
          </w:tcPr>
          <w:p w14:paraId="42B45BE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15 609</w:t>
            </w:r>
          </w:p>
        </w:tc>
        <w:tc>
          <w:tcPr>
            <w:tcW w:w="907" w:type="dxa"/>
          </w:tcPr>
          <w:p w14:paraId="1C3780D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157 118</w:t>
            </w:r>
          </w:p>
        </w:tc>
        <w:tc>
          <w:tcPr>
            <w:tcW w:w="1023" w:type="dxa"/>
          </w:tcPr>
          <w:p w14:paraId="1857A276"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91" w:type="dxa"/>
          </w:tcPr>
          <w:p w14:paraId="75004C3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172 726</w:t>
            </w:r>
          </w:p>
        </w:tc>
      </w:tr>
      <w:tr w:rsidR="009D33A8" w14:paraId="33BBDE21" w14:textId="77777777">
        <w:tc>
          <w:tcPr>
            <w:cnfStyle w:val="001000000000" w:firstRow="0" w:lastRow="0" w:firstColumn="1" w:lastColumn="0" w:oddVBand="0" w:evenVBand="0" w:oddHBand="0" w:evenHBand="0" w:firstRowFirstColumn="0" w:firstRowLastColumn="0" w:lastRowFirstColumn="0" w:lastRowLastColumn="0"/>
            <w:tcW w:w="2382" w:type="dxa"/>
          </w:tcPr>
          <w:p w14:paraId="6F8896EF" w14:textId="77777777" w:rsidR="009D33A8" w:rsidRDefault="009D33A8">
            <w:pPr>
              <w:spacing w:after="60"/>
            </w:pPr>
            <w:r>
              <w:t>Lease liabilities</w:t>
            </w:r>
          </w:p>
        </w:tc>
        <w:tc>
          <w:tcPr>
            <w:tcW w:w="907" w:type="dxa"/>
          </w:tcPr>
          <w:p w14:paraId="6613540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563</w:t>
            </w:r>
          </w:p>
        </w:tc>
        <w:tc>
          <w:tcPr>
            <w:tcW w:w="907" w:type="dxa"/>
          </w:tcPr>
          <w:p w14:paraId="0E8C28B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7 402</w:t>
            </w:r>
          </w:p>
        </w:tc>
        <w:tc>
          <w:tcPr>
            <w:tcW w:w="1040" w:type="dxa"/>
          </w:tcPr>
          <w:p w14:paraId="32023AC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147</w:t>
            </w:r>
          </w:p>
        </w:tc>
        <w:tc>
          <w:tcPr>
            <w:tcW w:w="774" w:type="dxa"/>
          </w:tcPr>
          <w:p w14:paraId="1A96101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8 112</w:t>
            </w:r>
          </w:p>
        </w:tc>
        <w:tc>
          <w:tcPr>
            <w:tcW w:w="907" w:type="dxa"/>
          </w:tcPr>
          <w:p w14:paraId="09F4A28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519</w:t>
            </w:r>
          </w:p>
        </w:tc>
        <w:tc>
          <w:tcPr>
            <w:tcW w:w="907" w:type="dxa"/>
          </w:tcPr>
          <w:p w14:paraId="090C73F5"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6 977</w:t>
            </w:r>
          </w:p>
        </w:tc>
        <w:tc>
          <w:tcPr>
            <w:tcW w:w="1023" w:type="dxa"/>
          </w:tcPr>
          <w:p w14:paraId="3DC94017"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38</w:t>
            </w:r>
          </w:p>
        </w:tc>
        <w:tc>
          <w:tcPr>
            <w:tcW w:w="791" w:type="dxa"/>
          </w:tcPr>
          <w:p w14:paraId="6CAC9422"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7 534</w:t>
            </w:r>
          </w:p>
        </w:tc>
      </w:tr>
      <w:tr w:rsidR="009D33A8" w14:paraId="1491D836" w14:textId="77777777">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4945628B" w14:textId="77777777" w:rsidR="009D33A8" w:rsidRDefault="009D33A8">
            <w:pPr>
              <w:spacing w:after="60"/>
            </w:pPr>
            <w:r>
              <w:t>Service concession arrangement liabilities</w:t>
            </w:r>
          </w:p>
        </w:tc>
        <w:tc>
          <w:tcPr>
            <w:tcW w:w="907" w:type="dxa"/>
            <w:tcBorders>
              <w:bottom w:val="single" w:sz="6" w:space="0" w:color="auto"/>
            </w:tcBorders>
          </w:tcPr>
          <w:p w14:paraId="05E23E13"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3740EA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9 013</w:t>
            </w:r>
          </w:p>
        </w:tc>
        <w:tc>
          <w:tcPr>
            <w:tcW w:w="1040" w:type="dxa"/>
            <w:tcBorders>
              <w:bottom w:val="single" w:sz="6" w:space="0" w:color="auto"/>
            </w:tcBorders>
          </w:tcPr>
          <w:p w14:paraId="26622B6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74" w:type="dxa"/>
            <w:tcBorders>
              <w:bottom w:val="single" w:sz="6" w:space="0" w:color="auto"/>
            </w:tcBorders>
          </w:tcPr>
          <w:p w14:paraId="1F26E98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9 013</w:t>
            </w:r>
          </w:p>
        </w:tc>
        <w:tc>
          <w:tcPr>
            <w:tcW w:w="907" w:type="dxa"/>
            <w:tcBorders>
              <w:bottom w:val="single" w:sz="6" w:space="0" w:color="auto"/>
            </w:tcBorders>
          </w:tcPr>
          <w:p w14:paraId="32D8B55C"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EB24671"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5 776</w:t>
            </w:r>
          </w:p>
        </w:tc>
        <w:tc>
          <w:tcPr>
            <w:tcW w:w="1023" w:type="dxa"/>
            <w:tcBorders>
              <w:bottom w:val="single" w:sz="6" w:space="0" w:color="auto"/>
            </w:tcBorders>
          </w:tcPr>
          <w:p w14:paraId="5845237B"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w:t>
            </w:r>
          </w:p>
        </w:tc>
        <w:tc>
          <w:tcPr>
            <w:tcW w:w="791" w:type="dxa"/>
            <w:tcBorders>
              <w:bottom w:val="single" w:sz="6" w:space="0" w:color="auto"/>
            </w:tcBorders>
          </w:tcPr>
          <w:p w14:paraId="6F6F1BF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t>5 776</w:t>
            </w:r>
          </w:p>
        </w:tc>
      </w:tr>
      <w:tr w:rsidR="009D33A8" w14:paraId="05920B20" w14:textId="77777777">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3A2049B0" w14:textId="77777777" w:rsidR="009D33A8" w:rsidRDefault="009D33A8">
            <w:pPr>
              <w:spacing w:after="60"/>
            </w:pPr>
            <w:r>
              <w:rPr>
                <w:b/>
              </w:rPr>
              <w:t>Total financial liabilities</w:t>
            </w:r>
          </w:p>
        </w:tc>
        <w:tc>
          <w:tcPr>
            <w:tcW w:w="907" w:type="dxa"/>
            <w:tcBorders>
              <w:top w:val="single" w:sz="6" w:space="0" w:color="auto"/>
              <w:bottom w:val="single" w:sz="12" w:space="0" w:color="auto"/>
            </w:tcBorders>
          </w:tcPr>
          <w:p w14:paraId="03B7B60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17 749</w:t>
            </w:r>
          </w:p>
        </w:tc>
        <w:tc>
          <w:tcPr>
            <w:tcW w:w="907" w:type="dxa"/>
            <w:tcBorders>
              <w:top w:val="single" w:sz="6" w:space="0" w:color="auto"/>
              <w:bottom w:val="single" w:sz="12" w:space="0" w:color="auto"/>
            </w:tcBorders>
          </w:tcPr>
          <w:p w14:paraId="39CE591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205 796</w:t>
            </w:r>
          </w:p>
        </w:tc>
        <w:tc>
          <w:tcPr>
            <w:tcW w:w="1040" w:type="dxa"/>
            <w:tcBorders>
              <w:top w:val="single" w:sz="6" w:space="0" w:color="auto"/>
              <w:bottom w:val="single" w:sz="12" w:space="0" w:color="auto"/>
            </w:tcBorders>
          </w:tcPr>
          <w:p w14:paraId="3C3CDCEA"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11 251</w:t>
            </w:r>
          </w:p>
        </w:tc>
        <w:tc>
          <w:tcPr>
            <w:tcW w:w="774" w:type="dxa"/>
            <w:tcBorders>
              <w:top w:val="single" w:sz="6" w:space="0" w:color="auto"/>
              <w:bottom w:val="single" w:sz="12" w:space="0" w:color="auto"/>
            </w:tcBorders>
          </w:tcPr>
          <w:p w14:paraId="05F3C5C4"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234 796</w:t>
            </w:r>
          </w:p>
        </w:tc>
        <w:tc>
          <w:tcPr>
            <w:tcW w:w="907" w:type="dxa"/>
            <w:tcBorders>
              <w:top w:val="single" w:sz="6" w:space="0" w:color="auto"/>
              <w:bottom w:val="single" w:sz="12" w:space="0" w:color="auto"/>
            </w:tcBorders>
          </w:tcPr>
          <w:p w14:paraId="73F6B1FD"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16 291</w:t>
            </w:r>
          </w:p>
        </w:tc>
        <w:tc>
          <w:tcPr>
            <w:tcW w:w="907" w:type="dxa"/>
            <w:tcBorders>
              <w:top w:val="single" w:sz="6" w:space="0" w:color="auto"/>
              <w:bottom w:val="single" w:sz="12" w:space="0" w:color="auto"/>
            </w:tcBorders>
          </w:tcPr>
          <w:p w14:paraId="5A17232E"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170 394</w:t>
            </w:r>
          </w:p>
        </w:tc>
        <w:tc>
          <w:tcPr>
            <w:tcW w:w="1023" w:type="dxa"/>
            <w:tcBorders>
              <w:top w:val="single" w:sz="6" w:space="0" w:color="auto"/>
              <w:bottom w:val="single" w:sz="12" w:space="0" w:color="auto"/>
            </w:tcBorders>
          </w:tcPr>
          <w:p w14:paraId="44AD87AF"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7 658</w:t>
            </w:r>
          </w:p>
        </w:tc>
        <w:tc>
          <w:tcPr>
            <w:tcW w:w="791" w:type="dxa"/>
            <w:tcBorders>
              <w:top w:val="single" w:sz="6" w:space="0" w:color="auto"/>
              <w:bottom w:val="single" w:sz="12" w:space="0" w:color="auto"/>
            </w:tcBorders>
          </w:tcPr>
          <w:p w14:paraId="503B1499" w14:textId="77777777" w:rsidR="009D33A8" w:rsidRDefault="009D33A8">
            <w:pPr>
              <w:spacing w:after="60"/>
              <w:cnfStyle w:val="000000000000" w:firstRow="0" w:lastRow="0" w:firstColumn="0" w:lastColumn="0" w:oddVBand="0" w:evenVBand="0" w:oddHBand="0" w:evenHBand="0" w:firstRowFirstColumn="0" w:firstRowLastColumn="0" w:lastRowFirstColumn="0" w:lastRowLastColumn="0"/>
            </w:pPr>
            <w:r>
              <w:rPr>
                <w:b/>
              </w:rPr>
              <w:t>194 342</w:t>
            </w:r>
          </w:p>
        </w:tc>
      </w:tr>
    </w:tbl>
    <w:p w14:paraId="4EC1806C" w14:textId="77777777" w:rsidR="009D33A8" w:rsidRDefault="009D33A8" w:rsidP="009D33A8">
      <w:pPr>
        <w:spacing w:before="0"/>
      </w:pPr>
    </w:p>
    <w:tbl>
      <w:tblPr>
        <w:tblStyle w:val="DTFTableNumeric"/>
        <w:tblW w:w="5000" w:type="pct"/>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Interest_rate_exposure_PY"/>
      </w:tblPr>
      <w:tblGrid>
        <w:gridCol w:w="2422"/>
        <w:gridCol w:w="902"/>
        <w:gridCol w:w="902"/>
        <w:gridCol w:w="996"/>
        <w:gridCol w:w="808"/>
        <w:gridCol w:w="902"/>
        <w:gridCol w:w="902"/>
        <w:gridCol w:w="999"/>
        <w:gridCol w:w="805"/>
      </w:tblGrid>
      <w:tr w:rsidR="002B1B5E" w14:paraId="07BB890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tcPr>
          <w:p w14:paraId="7068991B" w14:textId="77777777" w:rsidR="009D33A8" w:rsidRDefault="009D33A8">
            <w:pPr>
              <w:keepNext/>
              <w:spacing w:after="0"/>
            </w:pPr>
            <w:r>
              <w:t>2024</w:t>
            </w:r>
          </w:p>
        </w:tc>
        <w:tc>
          <w:tcPr>
            <w:tcW w:w="902" w:type="dxa"/>
          </w:tcPr>
          <w:p w14:paraId="77C693E5"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02" w:type="dxa"/>
          </w:tcPr>
          <w:p w14:paraId="1824B865"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6" w:type="dxa"/>
          </w:tcPr>
          <w:p w14:paraId="53C2CC70"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08" w:type="dxa"/>
          </w:tcPr>
          <w:p w14:paraId="7329C50B"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02" w:type="dxa"/>
          </w:tcPr>
          <w:p w14:paraId="24792777"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02" w:type="dxa"/>
          </w:tcPr>
          <w:p w14:paraId="56EBCC6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9" w:type="dxa"/>
          </w:tcPr>
          <w:p w14:paraId="2F0E8DC0"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05" w:type="dxa"/>
          </w:tcPr>
          <w:p w14:paraId="5C60C6E8"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D33A8" w14:paraId="338C751D" w14:textId="77777777">
        <w:tc>
          <w:tcPr>
            <w:cnfStyle w:val="001000000000" w:firstRow="0" w:lastRow="0" w:firstColumn="1" w:lastColumn="0" w:oddVBand="0" w:evenVBand="0" w:oddHBand="0" w:evenHBand="0" w:firstRowFirstColumn="0" w:firstRowLastColumn="0" w:lastRowFirstColumn="0" w:lastRowLastColumn="0"/>
            <w:tcW w:w="2422" w:type="dxa"/>
          </w:tcPr>
          <w:p w14:paraId="4085783C" w14:textId="77777777" w:rsidR="009D33A8" w:rsidRDefault="009D33A8">
            <w:pPr>
              <w:spacing w:after="0"/>
            </w:pPr>
            <w:r>
              <w:rPr>
                <w:b/>
              </w:rPr>
              <w:t>Financial assets</w:t>
            </w:r>
          </w:p>
        </w:tc>
        <w:tc>
          <w:tcPr>
            <w:tcW w:w="902" w:type="dxa"/>
          </w:tcPr>
          <w:p w14:paraId="5B627EB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Pr>
          <w:p w14:paraId="6CA357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6" w:type="dxa"/>
          </w:tcPr>
          <w:p w14:paraId="516FAEE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808" w:type="dxa"/>
          </w:tcPr>
          <w:p w14:paraId="4494BAB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Pr>
          <w:p w14:paraId="18CAE0A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Pr>
          <w:p w14:paraId="3A1A5EE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9" w:type="dxa"/>
          </w:tcPr>
          <w:p w14:paraId="20B6DE9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805" w:type="dxa"/>
          </w:tcPr>
          <w:p w14:paraId="2287171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FDACE68" w14:textId="77777777">
        <w:tc>
          <w:tcPr>
            <w:cnfStyle w:val="001000000000" w:firstRow="0" w:lastRow="0" w:firstColumn="1" w:lastColumn="0" w:oddVBand="0" w:evenVBand="0" w:oddHBand="0" w:evenHBand="0" w:firstRowFirstColumn="0" w:firstRowLastColumn="0" w:lastRowFirstColumn="0" w:lastRowLastColumn="0"/>
            <w:tcW w:w="2422" w:type="dxa"/>
          </w:tcPr>
          <w:p w14:paraId="2E75AB22" w14:textId="77777777" w:rsidR="009D33A8" w:rsidRDefault="009D33A8">
            <w:pPr>
              <w:spacing w:after="0"/>
            </w:pPr>
            <w:r>
              <w:t>Cash and deposits</w:t>
            </w:r>
          </w:p>
        </w:tc>
        <w:tc>
          <w:tcPr>
            <w:tcW w:w="902" w:type="dxa"/>
          </w:tcPr>
          <w:p w14:paraId="733309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19 251</w:t>
            </w:r>
          </w:p>
        </w:tc>
        <w:tc>
          <w:tcPr>
            <w:tcW w:w="902" w:type="dxa"/>
          </w:tcPr>
          <w:p w14:paraId="080AC3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81</w:t>
            </w:r>
          </w:p>
        </w:tc>
        <w:tc>
          <w:tcPr>
            <w:tcW w:w="996" w:type="dxa"/>
          </w:tcPr>
          <w:p w14:paraId="1FF2463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263</w:t>
            </w:r>
          </w:p>
        </w:tc>
        <w:tc>
          <w:tcPr>
            <w:tcW w:w="808" w:type="dxa"/>
          </w:tcPr>
          <w:p w14:paraId="2C7DB55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19 595</w:t>
            </w:r>
          </w:p>
        </w:tc>
        <w:tc>
          <w:tcPr>
            <w:tcW w:w="902" w:type="dxa"/>
          </w:tcPr>
          <w:p w14:paraId="6DA32F0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14 022</w:t>
            </w:r>
          </w:p>
        </w:tc>
        <w:tc>
          <w:tcPr>
            <w:tcW w:w="902" w:type="dxa"/>
          </w:tcPr>
          <w:p w14:paraId="28514BD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75</w:t>
            </w:r>
          </w:p>
        </w:tc>
        <w:tc>
          <w:tcPr>
            <w:tcW w:w="999" w:type="dxa"/>
          </w:tcPr>
          <w:p w14:paraId="51D70E1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209</w:t>
            </w:r>
          </w:p>
        </w:tc>
        <w:tc>
          <w:tcPr>
            <w:tcW w:w="805" w:type="dxa"/>
          </w:tcPr>
          <w:p w14:paraId="424518F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14 306</w:t>
            </w:r>
          </w:p>
        </w:tc>
      </w:tr>
      <w:tr w:rsidR="009D33A8" w14:paraId="1EA15A4E" w14:textId="77777777">
        <w:tc>
          <w:tcPr>
            <w:cnfStyle w:val="001000000000" w:firstRow="0" w:lastRow="0" w:firstColumn="1" w:lastColumn="0" w:oddVBand="0" w:evenVBand="0" w:oddHBand="0" w:evenHBand="0" w:firstRowFirstColumn="0" w:firstRowLastColumn="0" w:lastRowFirstColumn="0" w:lastRowLastColumn="0"/>
            <w:tcW w:w="2422" w:type="dxa"/>
          </w:tcPr>
          <w:p w14:paraId="382D6B76" w14:textId="77777777" w:rsidR="009D33A8" w:rsidRDefault="009D33A8">
            <w:pPr>
              <w:spacing w:after="0"/>
            </w:pPr>
            <w:r>
              <w:t>Receivables</w:t>
            </w:r>
          </w:p>
        </w:tc>
        <w:tc>
          <w:tcPr>
            <w:tcW w:w="902" w:type="dxa"/>
          </w:tcPr>
          <w:p w14:paraId="4180552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138</w:t>
            </w:r>
          </w:p>
        </w:tc>
        <w:tc>
          <w:tcPr>
            <w:tcW w:w="902" w:type="dxa"/>
          </w:tcPr>
          <w:p w14:paraId="734E7C7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w:t>
            </w:r>
          </w:p>
        </w:tc>
        <w:tc>
          <w:tcPr>
            <w:tcW w:w="996" w:type="dxa"/>
          </w:tcPr>
          <w:p w14:paraId="250B061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4 555</w:t>
            </w:r>
          </w:p>
        </w:tc>
        <w:tc>
          <w:tcPr>
            <w:tcW w:w="808" w:type="dxa"/>
          </w:tcPr>
          <w:p w14:paraId="32F5F7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4 698</w:t>
            </w:r>
          </w:p>
        </w:tc>
        <w:tc>
          <w:tcPr>
            <w:tcW w:w="902" w:type="dxa"/>
          </w:tcPr>
          <w:p w14:paraId="213508D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59</w:t>
            </w:r>
          </w:p>
        </w:tc>
        <w:tc>
          <w:tcPr>
            <w:tcW w:w="902" w:type="dxa"/>
          </w:tcPr>
          <w:p w14:paraId="0AA07CA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w:t>
            </w:r>
          </w:p>
        </w:tc>
        <w:tc>
          <w:tcPr>
            <w:tcW w:w="999" w:type="dxa"/>
          </w:tcPr>
          <w:p w14:paraId="49DB62D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2 917</w:t>
            </w:r>
          </w:p>
        </w:tc>
        <w:tc>
          <w:tcPr>
            <w:tcW w:w="805" w:type="dxa"/>
          </w:tcPr>
          <w:p w14:paraId="006ADCB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2 977</w:t>
            </w:r>
          </w:p>
        </w:tc>
      </w:tr>
      <w:tr w:rsidR="009D33A8" w14:paraId="381CC00F" w14:textId="77777777">
        <w:tc>
          <w:tcPr>
            <w:cnfStyle w:val="001000000000" w:firstRow="0" w:lastRow="0" w:firstColumn="1" w:lastColumn="0" w:oddVBand="0" w:evenVBand="0" w:oddHBand="0" w:evenHBand="0" w:firstRowFirstColumn="0" w:firstRowLastColumn="0" w:lastRowFirstColumn="0" w:lastRowLastColumn="0"/>
            <w:tcW w:w="2422" w:type="dxa"/>
          </w:tcPr>
          <w:p w14:paraId="2F121A4F" w14:textId="77777777" w:rsidR="009D33A8" w:rsidRDefault="009D33A8">
            <w:pPr>
              <w:spacing w:after="0"/>
            </w:pPr>
            <w:r>
              <w:t>Advances paid</w:t>
            </w:r>
          </w:p>
        </w:tc>
        <w:tc>
          <w:tcPr>
            <w:tcW w:w="902" w:type="dxa"/>
          </w:tcPr>
          <w:p w14:paraId="648821F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w:t>
            </w:r>
          </w:p>
        </w:tc>
        <w:tc>
          <w:tcPr>
            <w:tcW w:w="902" w:type="dxa"/>
          </w:tcPr>
          <w:p w14:paraId="558C4AC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76</w:t>
            </w:r>
          </w:p>
        </w:tc>
        <w:tc>
          <w:tcPr>
            <w:tcW w:w="996" w:type="dxa"/>
          </w:tcPr>
          <w:p w14:paraId="021D731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445</w:t>
            </w:r>
          </w:p>
        </w:tc>
        <w:tc>
          <w:tcPr>
            <w:tcW w:w="808" w:type="dxa"/>
          </w:tcPr>
          <w:p w14:paraId="3ED4CEB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521</w:t>
            </w:r>
          </w:p>
        </w:tc>
        <w:tc>
          <w:tcPr>
            <w:tcW w:w="902" w:type="dxa"/>
          </w:tcPr>
          <w:p w14:paraId="050AED0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Pr>
          <w:p w14:paraId="0F3490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6 009</w:t>
            </w:r>
          </w:p>
        </w:tc>
        <w:tc>
          <w:tcPr>
            <w:tcW w:w="999" w:type="dxa"/>
          </w:tcPr>
          <w:p w14:paraId="6E87CA8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413</w:t>
            </w:r>
          </w:p>
        </w:tc>
        <w:tc>
          <w:tcPr>
            <w:tcW w:w="805" w:type="dxa"/>
          </w:tcPr>
          <w:p w14:paraId="6A7225B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6 421</w:t>
            </w:r>
          </w:p>
        </w:tc>
      </w:tr>
      <w:tr w:rsidR="009D33A8" w14:paraId="3A9EF934" w14:textId="77777777">
        <w:tc>
          <w:tcPr>
            <w:cnfStyle w:val="001000000000" w:firstRow="0" w:lastRow="0" w:firstColumn="1" w:lastColumn="0" w:oddVBand="0" w:evenVBand="0" w:oddHBand="0" w:evenHBand="0" w:firstRowFirstColumn="0" w:firstRowLastColumn="0" w:lastRowFirstColumn="0" w:lastRowLastColumn="0"/>
            <w:tcW w:w="2422" w:type="dxa"/>
          </w:tcPr>
          <w:p w14:paraId="4200C13D" w14:textId="77777777" w:rsidR="009D33A8" w:rsidRDefault="009D33A8">
            <w:pPr>
              <w:spacing w:after="0"/>
            </w:pPr>
            <w:r>
              <w:t>Term deposits</w:t>
            </w:r>
          </w:p>
        </w:tc>
        <w:tc>
          <w:tcPr>
            <w:tcW w:w="902" w:type="dxa"/>
          </w:tcPr>
          <w:p w14:paraId="320207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w:t>
            </w:r>
          </w:p>
        </w:tc>
        <w:tc>
          <w:tcPr>
            <w:tcW w:w="902" w:type="dxa"/>
          </w:tcPr>
          <w:p w14:paraId="12D6031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339</w:t>
            </w:r>
          </w:p>
        </w:tc>
        <w:tc>
          <w:tcPr>
            <w:tcW w:w="996" w:type="dxa"/>
          </w:tcPr>
          <w:p w14:paraId="3740B8F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8" w:type="dxa"/>
          </w:tcPr>
          <w:p w14:paraId="49046CA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354</w:t>
            </w:r>
          </w:p>
        </w:tc>
        <w:tc>
          <w:tcPr>
            <w:tcW w:w="902" w:type="dxa"/>
          </w:tcPr>
          <w:p w14:paraId="49C9918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w:t>
            </w:r>
          </w:p>
        </w:tc>
        <w:tc>
          <w:tcPr>
            <w:tcW w:w="902" w:type="dxa"/>
          </w:tcPr>
          <w:p w14:paraId="54E16E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326</w:t>
            </w:r>
          </w:p>
        </w:tc>
        <w:tc>
          <w:tcPr>
            <w:tcW w:w="999" w:type="dxa"/>
          </w:tcPr>
          <w:p w14:paraId="6768022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Pr>
          <w:p w14:paraId="1C27B6D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332</w:t>
            </w:r>
          </w:p>
        </w:tc>
      </w:tr>
      <w:tr w:rsidR="009D33A8" w14:paraId="1C873684" w14:textId="77777777">
        <w:tc>
          <w:tcPr>
            <w:cnfStyle w:val="001000000000" w:firstRow="0" w:lastRow="0" w:firstColumn="1" w:lastColumn="0" w:oddVBand="0" w:evenVBand="0" w:oddHBand="0" w:evenHBand="0" w:firstRowFirstColumn="0" w:firstRowLastColumn="0" w:lastRowFirstColumn="0" w:lastRowLastColumn="0"/>
            <w:tcW w:w="2422" w:type="dxa"/>
          </w:tcPr>
          <w:p w14:paraId="7FCB0D37" w14:textId="77777777" w:rsidR="009D33A8" w:rsidRDefault="009D33A8">
            <w:pPr>
              <w:spacing w:after="0"/>
            </w:pPr>
            <w:r>
              <w:t>Derivative financial instruments</w:t>
            </w:r>
          </w:p>
        </w:tc>
        <w:tc>
          <w:tcPr>
            <w:tcW w:w="902" w:type="dxa"/>
          </w:tcPr>
          <w:p w14:paraId="2BC6E23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Pr>
          <w:p w14:paraId="07E0BC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219</w:t>
            </w:r>
          </w:p>
        </w:tc>
        <w:tc>
          <w:tcPr>
            <w:tcW w:w="996" w:type="dxa"/>
          </w:tcPr>
          <w:p w14:paraId="539A624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375</w:t>
            </w:r>
          </w:p>
        </w:tc>
        <w:tc>
          <w:tcPr>
            <w:tcW w:w="808" w:type="dxa"/>
          </w:tcPr>
          <w:p w14:paraId="64B878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594</w:t>
            </w:r>
          </w:p>
        </w:tc>
        <w:tc>
          <w:tcPr>
            <w:tcW w:w="902" w:type="dxa"/>
          </w:tcPr>
          <w:p w14:paraId="13F8C5F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Pr>
          <w:p w14:paraId="49CEF91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w:t>
            </w:r>
          </w:p>
        </w:tc>
        <w:tc>
          <w:tcPr>
            <w:tcW w:w="999" w:type="dxa"/>
          </w:tcPr>
          <w:p w14:paraId="2436737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65</w:t>
            </w:r>
          </w:p>
        </w:tc>
        <w:tc>
          <w:tcPr>
            <w:tcW w:w="805" w:type="dxa"/>
          </w:tcPr>
          <w:p w14:paraId="57F992F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72</w:t>
            </w:r>
          </w:p>
        </w:tc>
      </w:tr>
      <w:tr w:rsidR="009D33A8" w14:paraId="053393F9" w14:textId="77777777">
        <w:tc>
          <w:tcPr>
            <w:cnfStyle w:val="001000000000" w:firstRow="0" w:lastRow="0" w:firstColumn="1" w:lastColumn="0" w:oddVBand="0" w:evenVBand="0" w:oddHBand="0" w:evenHBand="0" w:firstRowFirstColumn="0" w:firstRowLastColumn="0" w:lastRowFirstColumn="0" w:lastRowLastColumn="0"/>
            <w:tcW w:w="2422" w:type="dxa"/>
          </w:tcPr>
          <w:p w14:paraId="0A432F50" w14:textId="77777777" w:rsidR="009D33A8" w:rsidRDefault="009D33A8">
            <w:pPr>
              <w:spacing w:after="0"/>
            </w:pPr>
            <w:r>
              <w:t>Equities and managed investment schemes</w:t>
            </w:r>
          </w:p>
        </w:tc>
        <w:tc>
          <w:tcPr>
            <w:tcW w:w="902" w:type="dxa"/>
          </w:tcPr>
          <w:p w14:paraId="4E7ABC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615</w:t>
            </w:r>
          </w:p>
        </w:tc>
        <w:tc>
          <w:tcPr>
            <w:tcW w:w="902" w:type="dxa"/>
          </w:tcPr>
          <w:p w14:paraId="55AC82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w:t>
            </w:r>
          </w:p>
        </w:tc>
        <w:tc>
          <w:tcPr>
            <w:tcW w:w="996" w:type="dxa"/>
          </w:tcPr>
          <w:p w14:paraId="561025F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59 943</w:t>
            </w:r>
          </w:p>
        </w:tc>
        <w:tc>
          <w:tcPr>
            <w:tcW w:w="808" w:type="dxa"/>
          </w:tcPr>
          <w:p w14:paraId="448CFB4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60 563</w:t>
            </w:r>
          </w:p>
        </w:tc>
        <w:tc>
          <w:tcPr>
            <w:tcW w:w="902" w:type="dxa"/>
          </w:tcPr>
          <w:p w14:paraId="6F8F98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554</w:t>
            </w:r>
          </w:p>
        </w:tc>
        <w:tc>
          <w:tcPr>
            <w:tcW w:w="902" w:type="dxa"/>
          </w:tcPr>
          <w:p w14:paraId="72DB111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w:t>
            </w:r>
          </w:p>
        </w:tc>
        <w:tc>
          <w:tcPr>
            <w:tcW w:w="999" w:type="dxa"/>
          </w:tcPr>
          <w:p w14:paraId="592B730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13 877</w:t>
            </w:r>
          </w:p>
        </w:tc>
        <w:tc>
          <w:tcPr>
            <w:tcW w:w="805" w:type="dxa"/>
          </w:tcPr>
          <w:p w14:paraId="72E98F8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14 436</w:t>
            </w:r>
          </w:p>
        </w:tc>
      </w:tr>
      <w:tr w:rsidR="009D33A8" w14:paraId="3B5B301B" w14:textId="77777777">
        <w:tc>
          <w:tcPr>
            <w:cnfStyle w:val="001000000000" w:firstRow="0" w:lastRow="0" w:firstColumn="1" w:lastColumn="0" w:oddVBand="0" w:evenVBand="0" w:oddHBand="0" w:evenHBand="0" w:firstRowFirstColumn="0" w:firstRowLastColumn="0" w:lastRowFirstColumn="0" w:lastRowLastColumn="0"/>
            <w:tcW w:w="2422" w:type="dxa"/>
            <w:tcBorders>
              <w:bottom w:val="single" w:sz="6" w:space="0" w:color="auto"/>
            </w:tcBorders>
          </w:tcPr>
          <w:p w14:paraId="26C062D8" w14:textId="77777777" w:rsidR="009D33A8" w:rsidRDefault="009D33A8">
            <w:pPr>
              <w:spacing w:after="0"/>
            </w:pPr>
            <w:r>
              <w:t>Debt securities</w:t>
            </w:r>
          </w:p>
        </w:tc>
        <w:tc>
          <w:tcPr>
            <w:tcW w:w="902" w:type="dxa"/>
            <w:tcBorders>
              <w:bottom w:val="single" w:sz="6" w:space="0" w:color="auto"/>
            </w:tcBorders>
          </w:tcPr>
          <w:p w14:paraId="3D9CB27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1 197</w:t>
            </w:r>
          </w:p>
        </w:tc>
        <w:tc>
          <w:tcPr>
            <w:tcW w:w="902" w:type="dxa"/>
            <w:tcBorders>
              <w:bottom w:val="single" w:sz="6" w:space="0" w:color="auto"/>
            </w:tcBorders>
          </w:tcPr>
          <w:p w14:paraId="3F77495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18 338</w:t>
            </w:r>
          </w:p>
        </w:tc>
        <w:tc>
          <w:tcPr>
            <w:tcW w:w="996" w:type="dxa"/>
            <w:tcBorders>
              <w:bottom w:val="single" w:sz="6" w:space="0" w:color="auto"/>
            </w:tcBorders>
          </w:tcPr>
          <w:p w14:paraId="5E45345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w:t>
            </w:r>
          </w:p>
        </w:tc>
        <w:tc>
          <w:tcPr>
            <w:tcW w:w="808" w:type="dxa"/>
            <w:tcBorders>
              <w:bottom w:val="single" w:sz="6" w:space="0" w:color="auto"/>
            </w:tcBorders>
          </w:tcPr>
          <w:p w14:paraId="1FF6E8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19 543</w:t>
            </w:r>
          </w:p>
        </w:tc>
        <w:tc>
          <w:tcPr>
            <w:tcW w:w="902" w:type="dxa"/>
            <w:tcBorders>
              <w:bottom w:val="single" w:sz="6" w:space="0" w:color="auto"/>
            </w:tcBorders>
          </w:tcPr>
          <w:p w14:paraId="5E543E5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w:t>
            </w:r>
          </w:p>
        </w:tc>
        <w:tc>
          <w:tcPr>
            <w:tcW w:w="902" w:type="dxa"/>
            <w:tcBorders>
              <w:bottom w:val="single" w:sz="6" w:space="0" w:color="auto"/>
            </w:tcBorders>
          </w:tcPr>
          <w:p w14:paraId="60E998E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9" w:type="dxa"/>
            <w:tcBorders>
              <w:bottom w:val="single" w:sz="6" w:space="0" w:color="auto"/>
            </w:tcBorders>
          </w:tcPr>
          <w:p w14:paraId="7C9BC0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w:t>
            </w:r>
          </w:p>
        </w:tc>
        <w:tc>
          <w:tcPr>
            <w:tcW w:w="805" w:type="dxa"/>
            <w:tcBorders>
              <w:bottom w:val="single" w:sz="6" w:space="0" w:color="auto"/>
            </w:tcBorders>
          </w:tcPr>
          <w:p w14:paraId="7E2DBA9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26</w:t>
            </w:r>
          </w:p>
        </w:tc>
      </w:tr>
      <w:tr w:rsidR="009D33A8" w14:paraId="327DB03D" w14:textId="77777777">
        <w:tc>
          <w:tcPr>
            <w:cnfStyle w:val="001000000000" w:firstRow="0" w:lastRow="0" w:firstColumn="1" w:lastColumn="0" w:oddVBand="0" w:evenVBand="0" w:oddHBand="0" w:evenHBand="0" w:firstRowFirstColumn="0" w:firstRowLastColumn="0" w:lastRowFirstColumn="0" w:lastRowLastColumn="0"/>
            <w:tcW w:w="2422" w:type="dxa"/>
            <w:tcBorders>
              <w:top w:val="single" w:sz="6" w:space="0" w:color="auto"/>
              <w:bottom w:val="single" w:sz="6" w:space="0" w:color="auto"/>
            </w:tcBorders>
          </w:tcPr>
          <w:p w14:paraId="34515726" w14:textId="77777777" w:rsidR="009D33A8" w:rsidRDefault="009D33A8">
            <w:pPr>
              <w:spacing w:after="0"/>
            </w:pPr>
            <w:r>
              <w:rPr>
                <w:b/>
              </w:rPr>
              <w:t>Total financial assets</w:t>
            </w:r>
          </w:p>
        </w:tc>
        <w:tc>
          <w:tcPr>
            <w:tcW w:w="902" w:type="dxa"/>
            <w:tcBorders>
              <w:top w:val="single" w:sz="6" w:space="0" w:color="auto"/>
              <w:bottom w:val="single" w:sz="6" w:space="0" w:color="auto"/>
            </w:tcBorders>
          </w:tcPr>
          <w:p w14:paraId="2F89106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21 217</w:t>
            </w:r>
          </w:p>
        </w:tc>
        <w:tc>
          <w:tcPr>
            <w:tcW w:w="902" w:type="dxa"/>
            <w:tcBorders>
              <w:top w:val="single" w:sz="6" w:space="0" w:color="auto"/>
              <w:bottom w:val="single" w:sz="6" w:space="0" w:color="auto"/>
            </w:tcBorders>
          </w:tcPr>
          <w:p w14:paraId="3846A00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19 064</w:t>
            </w:r>
          </w:p>
        </w:tc>
        <w:tc>
          <w:tcPr>
            <w:tcW w:w="996" w:type="dxa"/>
            <w:tcBorders>
              <w:top w:val="single" w:sz="6" w:space="0" w:color="auto"/>
              <w:bottom w:val="single" w:sz="6" w:space="0" w:color="auto"/>
            </w:tcBorders>
          </w:tcPr>
          <w:p w14:paraId="0875DBE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65 588</w:t>
            </w:r>
          </w:p>
        </w:tc>
        <w:tc>
          <w:tcPr>
            <w:tcW w:w="808" w:type="dxa"/>
            <w:tcBorders>
              <w:top w:val="single" w:sz="6" w:space="0" w:color="auto"/>
              <w:bottom w:val="single" w:sz="6" w:space="0" w:color="auto"/>
            </w:tcBorders>
          </w:tcPr>
          <w:p w14:paraId="2C81D8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105 868</w:t>
            </w:r>
          </w:p>
        </w:tc>
        <w:tc>
          <w:tcPr>
            <w:tcW w:w="902" w:type="dxa"/>
            <w:tcBorders>
              <w:top w:val="single" w:sz="6" w:space="0" w:color="auto"/>
              <w:bottom w:val="single" w:sz="6" w:space="0" w:color="auto"/>
            </w:tcBorders>
          </w:tcPr>
          <w:p w14:paraId="0C5F61D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14 658</w:t>
            </w:r>
          </w:p>
        </w:tc>
        <w:tc>
          <w:tcPr>
            <w:tcW w:w="902" w:type="dxa"/>
            <w:tcBorders>
              <w:top w:val="single" w:sz="6" w:space="0" w:color="auto"/>
              <w:bottom w:val="single" w:sz="6" w:space="0" w:color="auto"/>
            </w:tcBorders>
          </w:tcPr>
          <w:p w14:paraId="4238488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6 424</w:t>
            </w:r>
          </w:p>
        </w:tc>
        <w:tc>
          <w:tcPr>
            <w:tcW w:w="999" w:type="dxa"/>
            <w:tcBorders>
              <w:top w:val="single" w:sz="6" w:space="0" w:color="auto"/>
              <w:bottom w:val="single" w:sz="6" w:space="0" w:color="auto"/>
            </w:tcBorders>
          </w:tcPr>
          <w:p w14:paraId="0443F07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17 488</w:t>
            </w:r>
          </w:p>
        </w:tc>
        <w:tc>
          <w:tcPr>
            <w:tcW w:w="805" w:type="dxa"/>
            <w:tcBorders>
              <w:top w:val="single" w:sz="6" w:space="0" w:color="auto"/>
              <w:bottom w:val="single" w:sz="6" w:space="0" w:color="auto"/>
            </w:tcBorders>
          </w:tcPr>
          <w:p w14:paraId="3D6DA5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38 570</w:t>
            </w:r>
          </w:p>
        </w:tc>
      </w:tr>
      <w:tr w:rsidR="009D33A8" w14:paraId="6FBA6C80" w14:textId="77777777">
        <w:tc>
          <w:tcPr>
            <w:cnfStyle w:val="001000000000" w:firstRow="0" w:lastRow="0" w:firstColumn="1" w:lastColumn="0" w:oddVBand="0" w:evenVBand="0" w:oddHBand="0" w:evenHBand="0" w:firstRowFirstColumn="0" w:firstRowLastColumn="0" w:lastRowFirstColumn="0" w:lastRowLastColumn="0"/>
            <w:tcW w:w="2422" w:type="dxa"/>
            <w:tcBorders>
              <w:top w:val="single" w:sz="6" w:space="0" w:color="auto"/>
            </w:tcBorders>
          </w:tcPr>
          <w:p w14:paraId="1ADEF20C" w14:textId="77777777" w:rsidR="009D33A8" w:rsidRDefault="009D33A8">
            <w:pPr>
              <w:spacing w:after="0"/>
            </w:pPr>
            <w:r>
              <w:rPr>
                <w:b/>
              </w:rPr>
              <w:t>Financial liabilities</w:t>
            </w:r>
          </w:p>
        </w:tc>
        <w:tc>
          <w:tcPr>
            <w:tcW w:w="902" w:type="dxa"/>
            <w:tcBorders>
              <w:top w:val="single" w:sz="6" w:space="0" w:color="auto"/>
            </w:tcBorders>
          </w:tcPr>
          <w:p w14:paraId="75F880A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Borders>
              <w:top w:val="single" w:sz="6" w:space="0" w:color="auto"/>
            </w:tcBorders>
          </w:tcPr>
          <w:p w14:paraId="596DC0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6" w:type="dxa"/>
            <w:tcBorders>
              <w:top w:val="single" w:sz="6" w:space="0" w:color="auto"/>
            </w:tcBorders>
          </w:tcPr>
          <w:p w14:paraId="6290CC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808" w:type="dxa"/>
            <w:tcBorders>
              <w:top w:val="single" w:sz="6" w:space="0" w:color="auto"/>
            </w:tcBorders>
          </w:tcPr>
          <w:p w14:paraId="6806EA7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Borders>
              <w:top w:val="single" w:sz="6" w:space="0" w:color="auto"/>
            </w:tcBorders>
          </w:tcPr>
          <w:p w14:paraId="6C5ED1D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02" w:type="dxa"/>
            <w:tcBorders>
              <w:top w:val="single" w:sz="6" w:space="0" w:color="auto"/>
            </w:tcBorders>
          </w:tcPr>
          <w:p w14:paraId="0CA51EC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9" w:type="dxa"/>
            <w:tcBorders>
              <w:top w:val="single" w:sz="6" w:space="0" w:color="auto"/>
            </w:tcBorders>
          </w:tcPr>
          <w:p w14:paraId="359B04A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805" w:type="dxa"/>
            <w:tcBorders>
              <w:top w:val="single" w:sz="6" w:space="0" w:color="auto"/>
            </w:tcBorders>
          </w:tcPr>
          <w:p w14:paraId="170D2E6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4025DE11" w14:textId="77777777">
        <w:tc>
          <w:tcPr>
            <w:cnfStyle w:val="001000000000" w:firstRow="0" w:lastRow="0" w:firstColumn="1" w:lastColumn="0" w:oddVBand="0" w:evenVBand="0" w:oddHBand="0" w:evenHBand="0" w:firstRowFirstColumn="0" w:firstRowLastColumn="0" w:lastRowFirstColumn="0" w:lastRowLastColumn="0"/>
            <w:tcW w:w="2422" w:type="dxa"/>
          </w:tcPr>
          <w:p w14:paraId="5DE15C17" w14:textId="77777777" w:rsidR="009D33A8" w:rsidRDefault="009D33A8">
            <w:pPr>
              <w:spacing w:after="0"/>
            </w:pPr>
            <w:r>
              <w:t>Payables, deposits held and advances received</w:t>
            </w:r>
          </w:p>
        </w:tc>
        <w:tc>
          <w:tcPr>
            <w:tcW w:w="902" w:type="dxa"/>
          </w:tcPr>
          <w:p w14:paraId="2996C6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579</w:t>
            </w:r>
          </w:p>
        </w:tc>
        <w:tc>
          <w:tcPr>
            <w:tcW w:w="902" w:type="dxa"/>
          </w:tcPr>
          <w:p w14:paraId="18418F8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w:t>
            </w:r>
          </w:p>
        </w:tc>
        <w:tc>
          <w:tcPr>
            <w:tcW w:w="996" w:type="dxa"/>
          </w:tcPr>
          <w:p w14:paraId="262BD9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11 672</w:t>
            </w:r>
          </w:p>
        </w:tc>
        <w:tc>
          <w:tcPr>
            <w:tcW w:w="808" w:type="dxa"/>
          </w:tcPr>
          <w:p w14:paraId="7B46CAB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12 275</w:t>
            </w:r>
          </w:p>
        </w:tc>
        <w:tc>
          <w:tcPr>
            <w:tcW w:w="902" w:type="dxa"/>
          </w:tcPr>
          <w:p w14:paraId="65DAF6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304</w:t>
            </w:r>
          </w:p>
        </w:tc>
        <w:tc>
          <w:tcPr>
            <w:tcW w:w="902" w:type="dxa"/>
          </w:tcPr>
          <w:p w14:paraId="1C3E55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184</w:t>
            </w:r>
          </w:p>
        </w:tc>
        <w:tc>
          <w:tcPr>
            <w:tcW w:w="999" w:type="dxa"/>
          </w:tcPr>
          <w:p w14:paraId="1E6DA20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8 711</w:t>
            </w:r>
          </w:p>
        </w:tc>
        <w:tc>
          <w:tcPr>
            <w:tcW w:w="805" w:type="dxa"/>
          </w:tcPr>
          <w:p w14:paraId="6EEE1EF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9 199</w:t>
            </w:r>
          </w:p>
        </w:tc>
      </w:tr>
      <w:tr w:rsidR="009D33A8" w14:paraId="7417C64F" w14:textId="77777777">
        <w:tc>
          <w:tcPr>
            <w:cnfStyle w:val="001000000000" w:firstRow="0" w:lastRow="0" w:firstColumn="1" w:lastColumn="0" w:oddVBand="0" w:evenVBand="0" w:oddHBand="0" w:evenHBand="0" w:firstRowFirstColumn="0" w:firstRowLastColumn="0" w:lastRowFirstColumn="0" w:lastRowLastColumn="0"/>
            <w:tcW w:w="2422" w:type="dxa"/>
          </w:tcPr>
          <w:p w14:paraId="07C4F5D7" w14:textId="77777777" w:rsidR="009D33A8" w:rsidRDefault="009D33A8">
            <w:pPr>
              <w:spacing w:after="0"/>
            </w:pPr>
            <w:r>
              <w:t>Derivative financial instruments</w:t>
            </w:r>
          </w:p>
        </w:tc>
        <w:tc>
          <w:tcPr>
            <w:tcW w:w="902" w:type="dxa"/>
          </w:tcPr>
          <w:p w14:paraId="2A17ED6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Pr>
          <w:p w14:paraId="72FB80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833</w:t>
            </w:r>
          </w:p>
        </w:tc>
        <w:tc>
          <w:tcPr>
            <w:tcW w:w="996" w:type="dxa"/>
          </w:tcPr>
          <w:p w14:paraId="3578DBA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335</w:t>
            </w:r>
          </w:p>
        </w:tc>
        <w:tc>
          <w:tcPr>
            <w:tcW w:w="808" w:type="dxa"/>
          </w:tcPr>
          <w:p w14:paraId="788FB4B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1 168</w:t>
            </w:r>
          </w:p>
        </w:tc>
        <w:tc>
          <w:tcPr>
            <w:tcW w:w="902" w:type="dxa"/>
          </w:tcPr>
          <w:p w14:paraId="3C15A8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Pr>
          <w:p w14:paraId="25EA47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9" w:type="dxa"/>
          </w:tcPr>
          <w:p w14:paraId="27B5343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269</w:t>
            </w:r>
          </w:p>
        </w:tc>
        <w:tc>
          <w:tcPr>
            <w:tcW w:w="805" w:type="dxa"/>
          </w:tcPr>
          <w:p w14:paraId="6DA1D29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269</w:t>
            </w:r>
          </w:p>
        </w:tc>
      </w:tr>
      <w:tr w:rsidR="009D33A8" w14:paraId="1C254793" w14:textId="77777777">
        <w:tc>
          <w:tcPr>
            <w:cnfStyle w:val="001000000000" w:firstRow="0" w:lastRow="0" w:firstColumn="1" w:lastColumn="0" w:oddVBand="0" w:evenVBand="0" w:oddHBand="0" w:evenHBand="0" w:firstRowFirstColumn="0" w:firstRowLastColumn="0" w:lastRowFirstColumn="0" w:lastRowLastColumn="0"/>
            <w:tcW w:w="2422" w:type="dxa"/>
          </w:tcPr>
          <w:p w14:paraId="4F1FC966" w14:textId="77777777" w:rsidR="009D33A8" w:rsidRDefault="009D33A8">
            <w:pPr>
              <w:spacing w:after="0"/>
            </w:pPr>
            <w:r>
              <w:t>Interest</w:t>
            </w:r>
            <w:r>
              <w:noBreakHyphen/>
              <w:t>bearing liabilities</w:t>
            </w:r>
          </w:p>
        </w:tc>
        <w:tc>
          <w:tcPr>
            <w:tcW w:w="902" w:type="dxa"/>
          </w:tcPr>
          <w:p w14:paraId="117E1BE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17 388</w:t>
            </w:r>
          </w:p>
        </w:tc>
        <w:tc>
          <w:tcPr>
            <w:tcW w:w="902" w:type="dxa"/>
          </w:tcPr>
          <w:p w14:paraId="2E0162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159 052</w:t>
            </w:r>
          </w:p>
        </w:tc>
        <w:tc>
          <w:tcPr>
            <w:tcW w:w="996" w:type="dxa"/>
          </w:tcPr>
          <w:p w14:paraId="062EC2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8" w:type="dxa"/>
          </w:tcPr>
          <w:p w14:paraId="4ADBCA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176 440</w:t>
            </w:r>
          </w:p>
        </w:tc>
        <w:tc>
          <w:tcPr>
            <w:tcW w:w="902" w:type="dxa"/>
          </w:tcPr>
          <w:p w14:paraId="6CF9689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17 090</w:t>
            </w:r>
          </w:p>
        </w:tc>
        <w:tc>
          <w:tcPr>
            <w:tcW w:w="902" w:type="dxa"/>
          </w:tcPr>
          <w:p w14:paraId="372F3EF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136 404</w:t>
            </w:r>
          </w:p>
        </w:tc>
        <w:tc>
          <w:tcPr>
            <w:tcW w:w="999" w:type="dxa"/>
          </w:tcPr>
          <w:p w14:paraId="2A8FE50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Pr>
          <w:p w14:paraId="6D52CA3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153 494</w:t>
            </w:r>
          </w:p>
        </w:tc>
      </w:tr>
      <w:tr w:rsidR="009D33A8" w14:paraId="31FB0545" w14:textId="77777777">
        <w:tc>
          <w:tcPr>
            <w:cnfStyle w:val="001000000000" w:firstRow="0" w:lastRow="0" w:firstColumn="1" w:lastColumn="0" w:oddVBand="0" w:evenVBand="0" w:oddHBand="0" w:evenHBand="0" w:firstRowFirstColumn="0" w:firstRowLastColumn="0" w:lastRowFirstColumn="0" w:lastRowLastColumn="0"/>
            <w:tcW w:w="2422" w:type="dxa"/>
          </w:tcPr>
          <w:p w14:paraId="5D379BE8" w14:textId="77777777" w:rsidR="009D33A8" w:rsidRDefault="009D33A8">
            <w:pPr>
              <w:spacing w:after="0"/>
            </w:pPr>
            <w:r>
              <w:t>Lease liabilities</w:t>
            </w:r>
          </w:p>
        </w:tc>
        <w:tc>
          <w:tcPr>
            <w:tcW w:w="902" w:type="dxa"/>
          </w:tcPr>
          <w:p w14:paraId="3964F46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591</w:t>
            </w:r>
          </w:p>
        </w:tc>
        <w:tc>
          <w:tcPr>
            <w:tcW w:w="902" w:type="dxa"/>
          </w:tcPr>
          <w:p w14:paraId="7100636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7 869</w:t>
            </w:r>
          </w:p>
        </w:tc>
        <w:tc>
          <w:tcPr>
            <w:tcW w:w="996" w:type="dxa"/>
          </w:tcPr>
          <w:p w14:paraId="36F1BC9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168</w:t>
            </w:r>
          </w:p>
        </w:tc>
        <w:tc>
          <w:tcPr>
            <w:tcW w:w="808" w:type="dxa"/>
          </w:tcPr>
          <w:p w14:paraId="72DD790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8 628</w:t>
            </w:r>
          </w:p>
        </w:tc>
        <w:tc>
          <w:tcPr>
            <w:tcW w:w="902" w:type="dxa"/>
          </w:tcPr>
          <w:p w14:paraId="3578B88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558</w:t>
            </w:r>
          </w:p>
        </w:tc>
        <w:tc>
          <w:tcPr>
            <w:tcW w:w="902" w:type="dxa"/>
          </w:tcPr>
          <w:p w14:paraId="734C6C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7 429</w:t>
            </w:r>
          </w:p>
        </w:tc>
        <w:tc>
          <w:tcPr>
            <w:tcW w:w="999" w:type="dxa"/>
          </w:tcPr>
          <w:p w14:paraId="55ED8F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52</w:t>
            </w:r>
          </w:p>
        </w:tc>
        <w:tc>
          <w:tcPr>
            <w:tcW w:w="805" w:type="dxa"/>
          </w:tcPr>
          <w:p w14:paraId="15A33A2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8 040</w:t>
            </w:r>
          </w:p>
        </w:tc>
      </w:tr>
      <w:tr w:rsidR="009D33A8" w14:paraId="01B5D3E7" w14:textId="77777777">
        <w:tc>
          <w:tcPr>
            <w:cnfStyle w:val="001000000000" w:firstRow="0" w:lastRow="0" w:firstColumn="1" w:lastColumn="0" w:oddVBand="0" w:evenVBand="0" w:oddHBand="0" w:evenHBand="0" w:firstRowFirstColumn="0" w:firstRowLastColumn="0" w:lastRowFirstColumn="0" w:lastRowLastColumn="0"/>
            <w:tcW w:w="2422" w:type="dxa"/>
            <w:tcBorders>
              <w:bottom w:val="single" w:sz="6" w:space="0" w:color="auto"/>
            </w:tcBorders>
          </w:tcPr>
          <w:p w14:paraId="060601C2" w14:textId="77777777" w:rsidR="009D33A8" w:rsidRDefault="009D33A8">
            <w:pPr>
              <w:spacing w:after="0"/>
            </w:pPr>
            <w:r>
              <w:t>Service concession arrangement liabilities</w:t>
            </w:r>
          </w:p>
        </w:tc>
        <w:tc>
          <w:tcPr>
            <w:tcW w:w="902" w:type="dxa"/>
            <w:tcBorders>
              <w:bottom w:val="single" w:sz="6" w:space="0" w:color="auto"/>
            </w:tcBorders>
          </w:tcPr>
          <w:p w14:paraId="2F7E333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Borders>
              <w:bottom w:val="single" w:sz="6" w:space="0" w:color="auto"/>
            </w:tcBorders>
          </w:tcPr>
          <w:p w14:paraId="177F804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7 476</w:t>
            </w:r>
          </w:p>
        </w:tc>
        <w:tc>
          <w:tcPr>
            <w:tcW w:w="996" w:type="dxa"/>
            <w:tcBorders>
              <w:bottom w:val="single" w:sz="6" w:space="0" w:color="auto"/>
            </w:tcBorders>
          </w:tcPr>
          <w:p w14:paraId="1167E4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8" w:type="dxa"/>
            <w:tcBorders>
              <w:bottom w:val="single" w:sz="6" w:space="0" w:color="auto"/>
            </w:tcBorders>
          </w:tcPr>
          <w:p w14:paraId="59BE86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7 476</w:t>
            </w:r>
          </w:p>
        </w:tc>
        <w:tc>
          <w:tcPr>
            <w:tcW w:w="902" w:type="dxa"/>
            <w:tcBorders>
              <w:bottom w:val="single" w:sz="6" w:space="0" w:color="auto"/>
            </w:tcBorders>
          </w:tcPr>
          <w:p w14:paraId="7D3592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02" w:type="dxa"/>
            <w:tcBorders>
              <w:bottom w:val="single" w:sz="6" w:space="0" w:color="auto"/>
            </w:tcBorders>
          </w:tcPr>
          <w:p w14:paraId="0B54379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5 506</w:t>
            </w:r>
          </w:p>
        </w:tc>
        <w:tc>
          <w:tcPr>
            <w:tcW w:w="999" w:type="dxa"/>
            <w:tcBorders>
              <w:bottom w:val="single" w:sz="6" w:space="0" w:color="auto"/>
            </w:tcBorders>
          </w:tcPr>
          <w:p w14:paraId="38E593A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805" w:type="dxa"/>
            <w:tcBorders>
              <w:bottom w:val="single" w:sz="6" w:space="0" w:color="auto"/>
            </w:tcBorders>
          </w:tcPr>
          <w:p w14:paraId="5A5ECB9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5 506</w:t>
            </w:r>
          </w:p>
        </w:tc>
      </w:tr>
      <w:tr w:rsidR="009D33A8" w14:paraId="011FCD91" w14:textId="77777777">
        <w:tc>
          <w:tcPr>
            <w:cnfStyle w:val="001000000000" w:firstRow="0" w:lastRow="0" w:firstColumn="1" w:lastColumn="0" w:oddVBand="0" w:evenVBand="0" w:oddHBand="0" w:evenHBand="0" w:firstRowFirstColumn="0" w:firstRowLastColumn="0" w:lastRowFirstColumn="0" w:lastRowLastColumn="0"/>
            <w:tcW w:w="2422" w:type="dxa"/>
            <w:tcBorders>
              <w:top w:val="single" w:sz="6" w:space="0" w:color="auto"/>
              <w:bottom w:val="single" w:sz="12" w:space="0" w:color="auto"/>
            </w:tcBorders>
          </w:tcPr>
          <w:p w14:paraId="378EE92F" w14:textId="77777777" w:rsidR="009D33A8" w:rsidRDefault="009D33A8">
            <w:pPr>
              <w:spacing w:after="0"/>
            </w:pPr>
            <w:r>
              <w:rPr>
                <w:b/>
              </w:rPr>
              <w:t>Total financial liabilities</w:t>
            </w:r>
          </w:p>
        </w:tc>
        <w:tc>
          <w:tcPr>
            <w:tcW w:w="902" w:type="dxa"/>
            <w:tcBorders>
              <w:top w:val="single" w:sz="6" w:space="0" w:color="auto"/>
              <w:bottom w:val="single" w:sz="12" w:space="0" w:color="auto"/>
            </w:tcBorders>
          </w:tcPr>
          <w:p w14:paraId="009486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18 558</w:t>
            </w:r>
          </w:p>
        </w:tc>
        <w:tc>
          <w:tcPr>
            <w:tcW w:w="902" w:type="dxa"/>
            <w:tcBorders>
              <w:top w:val="single" w:sz="6" w:space="0" w:color="auto"/>
              <w:bottom w:val="single" w:sz="12" w:space="0" w:color="auto"/>
            </w:tcBorders>
          </w:tcPr>
          <w:p w14:paraId="5CFD445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175 254</w:t>
            </w:r>
          </w:p>
        </w:tc>
        <w:tc>
          <w:tcPr>
            <w:tcW w:w="996" w:type="dxa"/>
            <w:tcBorders>
              <w:top w:val="single" w:sz="6" w:space="0" w:color="auto"/>
              <w:bottom w:val="single" w:sz="12" w:space="0" w:color="auto"/>
            </w:tcBorders>
          </w:tcPr>
          <w:p w14:paraId="7B34DCB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12 175</w:t>
            </w:r>
          </w:p>
        </w:tc>
        <w:tc>
          <w:tcPr>
            <w:tcW w:w="808" w:type="dxa"/>
            <w:tcBorders>
              <w:top w:val="single" w:sz="6" w:space="0" w:color="auto"/>
              <w:bottom w:val="single" w:sz="12" w:space="0" w:color="auto"/>
            </w:tcBorders>
          </w:tcPr>
          <w:p w14:paraId="3603FC2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205 987</w:t>
            </w:r>
          </w:p>
        </w:tc>
        <w:tc>
          <w:tcPr>
            <w:tcW w:w="902" w:type="dxa"/>
            <w:tcBorders>
              <w:top w:val="single" w:sz="6" w:space="0" w:color="auto"/>
              <w:bottom w:val="single" w:sz="12" w:space="0" w:color="auto"/>
            </w:tcBorders>
          </w:tcPr>
          <w:p w14:paraId="51ED02F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17 953</w:t>
            </w:r>
          </w:p>
        </w:tc>
        <w:tc>
          <w:tcPr>
            <w:tcW w:w="902" w:type="dxa"/>
            <w:tcBorders>
              <w:top w:val="single" w:sz="6" w:space="0" w:color="auto"/>
              <w:bottom w:val="single" w:sz="12" w:space="0" w:color="auto"/>
            </w:tcBorders>
          </w:tcPr>
          <w:p w14:paraId="0C978A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149 523</w:t>
            </w:r>
          </w:p>
        </w:tc>
        <w:tc>
          <w:tcPr>
            <w:tcW w:w="999" w:type="dxa"/>
            <w:tcBorders>
              <w:top w:val="single" w:sz="6" w:space="0" w:color="auto"/>
              <w:bottom w:val="single" w:sz="12" w:space="0" w:color="auto"/>
            </w:tcBorders>
          </w:tcPr>
          <w:p w14:paraId="2CA1C4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9 032</w:t>
            </w:r>
          </w:p>
        </w:tc>
        <w:tc>
          <w:tcPr>
            <w:tcW w:w="805" w:type="dxa"/>
            <w:tcBorders>
              <w:top w:val="single" w:sz="6" w:space="0" w:color="auto"/>
              <w:bottom w:val="single" w:sz="12" w:space="0" w:color="auto"/>
            </w:tcBorders>
          </w:tcPr>
          <w:p w14:paraId="550021D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176 508</w:t>
            </w:r>
          </w:p>
        </w:tc>
      </w:tr>
    </w:tbl>
    <w:p w14:paraId="3C1DE295" w14:textId="77777777" w:rsidR="009D33A8" w:rsidRDefault="009D33A8" w:rsidP="009D33A8">
      <w:pPr>
        <w:pStyle w:val="Note"/>
        <w:ind w:left="0" w:firstLine="0"/>
      </w:pPr>
    </w:p>
    <w:p w14:paraId="618A3CBA" w14:textId="77777777" w:rsidR="009D33A8" w:rsidRDefault="009D33A8" w:rsidP="009D33A8"/>
    <w:p w14:paraId="6C7D647A" w14:textId="77777777" w:rsidR="001348F7" w:rsidRDefault="001348F7">
      <w:pPr>
        <w:keepLines w:val="0"/>
        <w:rPr>
          <w:rFonts w:asciiTheme="majorHAnsi" w:eastAsiaTheme="majorEastAsia" w:hAnsiTheme="majorHAnsi" w:cstheme="majorBidi"/>
          <w:i/>
          <w:iCs/>
          <w:szCs w:val="24"/>
        </w:rPr>
      </w:pPr>
      <w:r>
        <w:br w:type="page"/>
      </w:r>
    </w:p>
    <w:p w14:paraId="2C0C3A37" w14:textId="77777777" w:rsidR="001348F7" w:rsidRDefault="001348F7" w:rsidP="009D33A8">
      <w:pPr>
        <w:pStyle w:val="Heading4"/>
        <w:spacing w:before="0"/>
        <w:sectPr w:rsidR="001348F7" w:rsidSect="00ED5429">
          <w:type w:val="continuous"/>
          <w:pgSz w:w="11906" w:h="16838" w:code="9"/>
          <w:pgMar w:top="1134" w:right="1134" w:bottom="1134" w:left="1134" w:header="624" w:footer="567" w:gutter="0"/>
          <w:cols w:space="708"/>
          <w:docGrid w:linePitch="360"/>
        </w:sectPr>
      </w:pPr>
    </w:p>
    <w:p w14:paraId="0F48A5A2" w14:textId="29D50714" w:rsidR="009D33A8" w:rsidRPr="000C6AC2" w:rsidRDefault="009D33A8" w:rsidP="009D33A8">
      <w:pPr>
        <w:pStyle w:val="Heading4"/>
        <w:spacing w:before="0"/>
        <w:rPr>
          <w:i w:val="0"/>
          <w:iCs w:val="0"/>
        </w:rPr>
      </w:pPr>
      <w:r>
        <w:lastRenderedPageBreak/>
        <w:t xml:space="preserve">Interest rate risk management </w:t>
      </w:r>
    </w:p>
    <w:p w14:paraId="7106E734" w14:textId="65362CB1" w:rsidR="009D33A8" w:rsidRDefault="009D33A8" w:rsidP="009D33A8">
      <w:pPr>
        <w:spacing w:before="80"/>
      </w:pPr>
      <w:r>
        <w:t>The State</w:t>
      </w:r>
      <w:r w:rsidR="00845934">
        <w:t>’</w:t>
      </w:r>
      <w:r>
        <w:t>s policy for managing interest rate risk on borrowings is to achieve relative certainty of the cash interest cost impact on the net result from transactions on the operating statement, while seeking to minimise the net borrowing cost within portfolio risk management guidelines. Generally, this is achieved by undertaking fixed rate borrowings across a range of maturity profiles.</w:t>
      </w:r>
    </w:p>
    <w:p w14:paraId="30E0AE4D" w14:textId="77777777" w:rsidR="009D33A8" w:rsidRDefault="009D33A8" w:rsidP="009D33A8">
      <w:pPr>
        <w:spacing w:before="80"/>
        <w:ind w:right="-213"/>
      </w:pPr>
      <w:r>
        <w:t>Derivative instruments, such as interest rate swaps and futures contracts, are used to either change the interest rate between fixed and floating rates of interest or between different floating rates of interest.</w:t>
      </w:r>
    </w:p>
    <w:p w14:paraId="368B95EB" w14:textId="23B0E9FC" w:rsidR="009D33A8" w:rsidRPr="006039E3" w:rsidRDefault="009D33A8" w:rsidP="009D33A8">
      <w:r w:rsidRPr="002C092E">
        <w:t>At 30 June 2025, approximately 85 per cent (88 per cent in 2024) of the State</w:t>
      </w:r>
      <w:r w:rsidR="00845934">
        <w:t>’</w:t>
      </w:r>
      <w:r w:rsidRPr="002C092E">
        <w:t>s domestic borrowings are at fixed rates of interest. There has been no material change in the State</w:t>
      </w:r>
      <w:r w:rsidR="00845934">
        <w:t>’</w:t>
      </w:r>
      <w:r w:rsidRPr="002C092E">
        <w:t>s exposure to interest rate risk or the manner in which it manages and measures the risk from the previous reporting period.</w:t>
      </w:r>
      <w:r w:rsidRPr="006039E3">
        <w:t xml:space="preserve"> </w:t>
      </w:r>
    </w:p>
    <w:p w14:paraId="240318F6" w14:textId="77777777" w:rsidR="009D33A8" w:rsidRDefault="009D33A8" w:rsidP="009D33A8">
      <w:pPr>
        <w:pStyle w:val="Heading4"/>
      </w:pPr>
      <w:r>
        <w:t>Interest rate sensitivity analysis on total borrowings</w:t>
      </w:r>
    </w:p>
    <w:p w14:paraId="25E15EE0" w14:textId="77777777" w:rsidR="009D33A8" w:rsidRDefault="009D33A8" w:rsidP="009D33A8">
      <w:pPr>
        <w:spacing w:before="80"/>
      </w:pPr>
      <w:r>
        <w:t>The State has analysed the possible effects of changes in interest rates on the total reported value of borrowings and the operating statement using the following assumptions:</w:t>
      </w:r>
    </w:p>
    <w:p w14:paraId="5201721E" w14:textId="77777777" w:rsidR="009D33A8" w:rsidRPr="006039E3" w:rsidRDefault="009D33A8" w:rsidP="009D33A8">
      <w:pPr>
        <w:pStyle w:val="ListBullet"/>
        <w:keepLines/>
        <w:numPr>
          <w:ilvl w:val="0"/>
          <w:numId w:val="27"/>
        </w:numPr>
        <w:ind w:left="357" w:right="-113" w:hanging="357"/>
      </w:pPr>
      <w:r w:rsidRPr="006039E3">
        <w:t>The impact of a movement in interest rates on the market value of total State borrowings for both derivative and non</w:t>
      </w:r>
      <w:r>
        <w:t>-</w:t>
      </w:r>
      <w:r w:rsidRPr="006039E3">
        <w:t>derivative instruments at the reporting date, and the stipulated change occurs at the beginning of the financial year and is held constant throughout the reporting period.</w:t>
      </w:r>
    </w:p>
    <w:p w14:paraId="1C83D253" w14:textId="73CABA68" w:rsidR="009D33A8" w:rsidRPr="006039E3" w:rsidRDefault="009D33A8" w:rsidP="009D33A8">
      <w:pPr>
        <w:pStyle w:val="ListBullet"/>
        <w:keepLines/>
        <w:numPr>
          <w:ilvl w:val="0"/>
          <w:numId w:val="27"/>
        </w:numPr>
        <w:ind w:left="357" w:hanging="357"/>
      </w:pPr>
      <w:r w:rsidRPr="006039E3">
        <w:t xml:space="preserve">An increase or decrease of </w:t>
      </w:r>
      <w:r w:rsidRPr="0041635B">
        <w:t>50 basis points</w:t>
      </w:r>
      <w:r w:rsidRPr="006039E3">
        <w:t xml:space="preserve"> (50 basis points in </w:t>
      </w:r>
      <w:r>
        <w:t>2024</w:t>
      </w:r>
      <w:r w:rsidRPr="006039E3">
        <w:t>). Based on historic movements, and in particular, management</w:t>
      </w:r>
      <w:r w:rsidR="00845934">
        <w:t>’</w:t>
      </w:r>
      <w:r w:rsidRPr="006039E3">
        <w:t xml:space="preserve">s knowledge and experience of the recent volatility in global financial markets, the State has assessed that a movement of this magnitude is reasonably possible. </w:t>
      </w:r>
    </w:p>
    <w:p w14:paraId="08288370" w14:textId="77777777" w:rsidR="009D33A8" w:rsidRPr="006039E3" w:rsidRDefault="009D33A8" w:rsidP="009D33A8">
      <w:pPr>
        <w:pStyle w:val="ListBullet"/>
        <w:keepLines/>
        <w:numPr>
          <w:ilvl w:val="0"/>
          <w:numId w:val="27"/>
        </w:numPr>
        <w:ind w:left="357" w:hanging="357"/>
      </w:pPr>
      <w:r w:rsidRPr="006039E3">
        <w:t>No change in interest risk management as a result of changes in interest rates.</w:t>
      </w:r>
    </w:p>
    <w:p w14:paraId="15470587" w14:textId="77777777" w:rsidR="009D33A8" w:rsidRDefault="009D33A8" w:rsidP="009D33A8">
      <w:pPr>
        <w:spacing w:before="80"/>
      </w:pPr>
      <w:r w:rsidRPr="002C092E">
        <w:t>With all other variables held constant, the impact of a 50 basis point increase or decrease on market value of total net borrowings of the State is a $4.7 billion increase/$4.9 billion decrease (30 June 2024 $3.9 billion increase/$4.1 billion decrease of a 50 basis point impact). This potential impact, if it were to eventuate, would be recorded as unrealised, and is recognised in the operating statement as other economic flows and impacts the net result.</w:t>
      </w:r>
    </w:p>
    <w:p w14:paraId="60ABDB77" w14:textId="77777777" w:rsidR="009D33A8" w:rsidRDefault="009D33A8" w:rsidP="009D33A8">
      <w:pPr>
        <w:spacing w:before="80"/>
      </w:pPr>
      <w:r>
        <w:t xml:space="preserve">The sensitivity to interest rates is mainly attributable to the revaluation of fixed interest rate borrowings at fair value, but this does not impact on the net result from transactions. </w:t>
      </w:r>
    </w:p>
    <w:p w14:paraId="3C0F52C0" w14:textId="77777777" w:rsidR="009D33A8" w:rsidRDefault="009D33A8" w:rsidP="009D33A8">
      <w:pPr>
        <w:pStyle w:val="Heading3"/>
      </w:pPr>
      <w:r>
        <w:t>6.1.2</w:t>
      </w:r>
      <w:r>
        <w:tab/>
        <w:t xml:space="preserve">Foreign currency risk </w:t>
      </w:r>
    </w:p>
    <w:p w14:paraId="32E66685" w14:textId="77777777" w:rsidR="009D33A8" w:rsidRDefault="009D33A8" w:rsidP="009D33A8">
      <w:pPr>
        <w:spacing w:before="80"/>
      </w:pPr>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end of the reporting period. Non-monetary assets carried at fair value that are denominated in foreign currencies are translated to the functional currency at the rates prevailing at the date the fair value was determined. </w:t>
      </w:r>
    </w:p>
    <w:p w14:paraId="4BF7BCD4" w14:textId="77777777" w:rsidR="009D33A8" w:rsidRDefault="009D33A8" w:rsidP="009D33A8">
      <w:pPr>
        <w:spacing w:before="80"/>
      </w:pPr>
      <w:r>
        <w:t>Foreign currency translation differences are recognised in other economic flows in the consolidated comprehensive operating statement, and accumulated in a separate component of equity in the period in which they arise.</w:t>
      </w:r>
    </w:p>
    <w:p w14:paraId="7A13F9E9" w14:textId="77777777" w:rsidR="009D33A8" w:rsidRDefault="009D33A8" w:rsidP="009D33A8">
      <w:pPr>
        <w:spacing w:before="80"/>
      </w:pPr>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Pound sterling and the New Zealand dollar.</w:t>
      </w:r>
    </w:p>
    <w:p w14:paraId="6B676B3C" w14:textId="0F0856AC" w:rsidR="009D33A8" w:rsidRDefault="009D33A8" w:rsidP="009D33A8">
      <w:pPr>
        <w:spacing w:before="80"/>
      </w:pPr>
      <w:r w:rsidRPr="002C092E">
        <w:t>The carrying amount of the State</w:t>
      </w:r>
      <w:r w:rsidR="00845934">
        <w:t>’</w:t>
      </w:r>
      <w:r w:rsidRPr="002C092E">
        <w:t>s foreign currency denominated monetary assets and monetary liabilities at the reporting date is $8.1 billion ($6.4 billion in 2024) of equities and managed investment schemes and $2.8 billion ($893 million in 2024) of foreign currency borrowings.</w:t>
      </w:r>
    </w:p>
    <w:p w14:paraId="7989C5EB" w14:textId="4D635206" w:rsidR="009D33A8" w:rsidRDefault="009D33A8" w:rsidP="00B47868">
      <w:pPr>
        <w:spacing w:before="80"/>
        <w:ind w:right="-213"/>
      </w:pPr>
      <w:r>
        <w:t>When managing foreign currency, VFMC, the State</w:t>
      </w:r>
      <w:r w:rsidR="00845934">
        <w:t>’</w:t>
      </w:r>
      <w:r>
        <w:t>s fund manager, determines an optimal foreign currency exposure range at the total portfolio level in accordance with the investment risk management plan approved by the Treasurer. In the implementation of this approach, international equities, and a portion of international debt investments, are unhedged, while other investments denominated in foreign currency, such as infrastructure and hedge funds, are hedged back to Australian dollars. In certain circumstances, in accordance with VFMC</w:t>
      </w:r>
      <w:r w:rsidR="00845934">
        <w:t>’</w:t>
      </w:r>
      <w:r>
        <w:t>s governance frameworks, VFMC may deviate from this approach with the aim of improving expected risk-adjusted portfolio outcomes.</w:t>
      </w:r>
    </w:p>
    <w:p w14:paraId="357AC295" w14:textId="7DCB0DD7" w:rsidR="009D33A8" w:rsidRDefault="009D33A8" w:rsidP="009D33A8">
      <w:pPr>
        <w:spacing w:before="80"/>
      </w:pPr>
      <w:r>
        <w:t>TCV is the State</w:t>
      </w:r>
      <w:r w:rsidR="00845934">
        <w:t>’</w:t>
      </w:r>
      <w:r>
        <w:t>s central borrowing authority and part of its funding program consists of foreign currency borrowings. The State</w:t>
      </w:r>
      <w:r w:rsidR="00845934">
        <w:t>’</w:t>
      </w:r>
      <w:r>
        <w:t>s policy is to hedge any material foreign currency exposures arising from borrowings. TCV uses foreign exchange options, and spot and forward foreign exchange rate contracts, to manage offshore borrowings.</w:t>
      </w:r>
    </w:p>
    <w:p w14:paraId="41878B7F" w14:textId="126323DC" w:rsidR="009D33A8" w:rsidRDefault="009D33A8" w:rsidP="009D33A8">
      <w:pPr>
        <w:spacing w:before="80"/>
      </w:pPr>
      <w:r>
        <w:t>There has been no material change in the State</w:t>
      </w:r>
      <w:r w:rsidR="00845934">
        <w:t>’</w:t>
      </w:r>
      <w:r>
        <w:t>s exposure to foreign currency risk, or the manner in which it manages and measures this risk, since the previous reporting period.</w:t>
      </w:r>
    </w:p>
    <w:p w14:paraId="07FF57EA" w14:textId="77777777" w:rsidR="009D33A8" w:rsidRDefault="009D33A8" w:rsidP="009D33A8">
      <w:pPr>
        <w:pStyle w:val="Heading4"/>
      </w:pPr>
      <w:r>
        <w:lastRenderedPageBreak/>
        <w:t>Foreign currency sensitivity analysis</w:t>
      </w:r>
    </w:p>
    <w:p w14:paraId="69DC5823" w14:textId="77777777" w:rsidR="009D33A8" w:rsidRDefault="009D33A8" w:rsidP="009D33A8">
      <w:pPr>
        <w:keepNext/>
      </w:pPr>
      <w:r>
        <w:t>The State has analysed the possible effects that changes in exchange rates against the Australian dollar may have on its financial position and result based on:</w:t>
      </w:r>
    </w:p>
    <w:p w14:paraId="452E3665" w14:textId="77777777" w:rsidR="009D33A8" w:rsidRPr="006039E3" w:rsidRDefault="009D33A8" w:rsidP="009D33A8">
      <w:pPr>
        <w:pStyle w:val="ListBullet"/>
        <w:keepLines/>
        <w:numPr>
          <w:ilvl w:val="0"/>
          <w:numId w:val="27"/>
        </w:numPr>
        <w:ind w:left="357" w:hanging="357"/>
      </w:pPr>
      <w:r w:rsidRPr="006039E3">
        <w:t>exposures to the pool of foreign currencies for both</w:t>
      </w:r>
      <w:r>
        <w:t xml:space="preserve"> </w:t>
      </w:r>
      <w:r w:rsidRPr="006039E3">
        <w:t xml:space="preserve">derivative and </w:t>
      </w:r>
      <w:r>
        <w:t>non-derivative</w:t>
      </w:r>
      <w:r w:rsidRPr="006039E3">
        <w:t xml:space="preserve"> instruments at the reporting date</w:t>
      </w:r>
    </w:p>
    <w:p w14:paraId="18E987F3" w14:textId="02FE8F7C" w:rsidR="009D33A8" w:rsidRPr="006039E3" w:rsidRDefault="009D33A8" w:rsidP="009D33A8">
      <w:pPr>
        <w:pStyle w:val="ListBullet"/>
        <w:keepLines/>
        <w:numPr>
          <w:ilvl w:val="0"/>
          <w:numId w:val="27"/>
        </w:numPr>
        <w:ind w:left="357" w:hanging="357"/>
      </w:pPr>
      <w:r w:rsidRPr="006039E3">
        <w:t>historic movements, future expectations and management</w:t>
      </w:r>
      <w:r w:rsidR="00845934">
        <w:t>’</w:t>
      </w:r>
      <w:r w:rsidRPr="006039E3">
        <w:t>s knowledge and experience of the foreign currency markets</w:t>
      </w:r>
    </w:p>
    <w:p w14:paraId="52114526" w14:textId="77777777" w:rsidR="009D33A8" w:rsidRPr="006039E3" w:rsidRDefault="009D33A8" w:rsidP="009D33A8">
      <w:pPr>
        <w:pStyle w:val="ListBullet"/>
        <w:keepLines/>
        <w:numPr>
          <w:ilvl w:val="0"/>
          <w:numId w:val="27"/>
        </w:numPr>
        <w:ind w:left="357" w:hanging="357"/>
      </w:pPr>
      <w:r w:rsidRPr="006039E3">
        <w:t>the stipulated change taking place at the beginning of the financial year and then held constant throughout the reporting period</w:t>
      </w:r>
    </w:p>
    <w:p w14:paraId="7B96B4C4" w14:textId="77777777" w:rsidR="009D33A8" w:rsidRPr="006039E3" w:rsidRDefault="009D33A8" w:rsidP="009D33A8">
      <w:pPr>
        <w:pStyle w:val="ListBullet"/>
        <w:keepLines/>
        <w:numPr>
          <w:ilvl w:val="0"/>
          <w:numId w:val="27"/>
        </w:numPr>
        <w:ind w:left="357" w:hanging="357"/>
      </w:pPr>
      <w:r w:rsidRPr="006039E3">
        <w:t>no change in foreign exchange risk management and associated hedging as a result of changes in foreign exchange rates.</w:t>
      </w:r>
    </w:p>
    <w:p w14:paraId="5FA1CDF8" w14:textId="77777777" w:rsidR="009D33A8" w:rsidRPr="002C092E" w:rsidRDefault="009D33A8" w:rsidP="009D33A8">
      <w:r w:rsidRPr="002C092E">
        <w:t>On this basis, the State has assessed that it may be exposed to a 15 per cent increase or decrease in exchange rates against the Australian dollar (15 per cent in 2024).</w:t>
      </w:r>
    </w:p>
    <w:p w14:paraId="5D678C37" w14:textId="77777777" w:rsidR="009D33A8" w:rsidRDefault="009D33A8" w:rsidP="009D33A8">
      <w:r w:rsidRPr="002C092E">
        <w:t>With all other variables held constant, the impact of a 15 per cent increase or decrease in exchange rates at 30 June 2025 is a $837 million increase/ $1.1 billion decrease ($1.9 billion increase/ $2.1 billion decrease in 2024) on economic flows and net assets. There is no direct impact on the net result from transactions.</w:t>
      </w:r>
    </w:p>
    <w:p w14:paraId="687B141D" w14:textId="77777777" w:rsidR="009D33A8" w:rsidRDefault="009D33A8" w:rsidP="009D33A8">
      <w:pPr>
        <w:pStyle w:val="Heading3"/>
      </w:pPr>
      <w:r>
        <w:t>6.1.3</w:t>
      </w:r>
      <w:r>
        <w:tab/>
        <w:t xml:space="preserve">Equity price risk </w:t>
      </w:r>
    </w:p>
    <w:p w14:paraId="54BF7938" w14:textId="14EA205E" w:rsidR="009D33A8" w:rsidRDefault="009D33A8" w:rsidP="009D33A8">
      <w:r>
        <w:t>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w:t>
      </w:r>
      <w:r w:rsidR="00845934">
        <w:t>’</w:t>
      </w:r>
      <w:r>
        <w:t xml:space="preserve">s liabilities. The State limits its equity price risk by diversifying its investment portfolio. This is determined by VFMC, as reflected in the investment risk management plans approved by the Treasurer, and in accordance with the </w:t>
      </w:r>
      <w:r w:rsidRPr="00146303">
        <w:rPr>
          <w:i/>
          <w:iCs/>
        </w:rPr>
        <w:t xml:space="preserve">Borrowing and Investments Powers Act 1987 </w:t>
      </w:r>
      <w:r>
        <w:t>and the prudential supervisory policies and framework of the State.</w:t>
      </w:r>
    </w:p>
    <w:p w14:paraId="509A4DA2" w14:textId="13962BE3" w:rsidR="009D33A8" w:rsidRDefault="009D33A8" w:rsidP="009D33A8">
      <w:r>
        <w:t>There has been no material change in the State</w:t>
      </w:r>
      <w:r w:rsidR="00845934">
        <w:t>’</w:t>
      </w:r>
      <w:r>
        <w:t>s exposure to equity price risk or the manner in which it manages and measures the risk since the previous reporting period.</w:t>
      </w:r>
    </w:p>
    <w:p w14:paraId="4AA11618" w14:textId="77777777" w:rsidR="009D33A8" w:rsidRDefault="009D33A8" w:rsidP="009D33A8">
      <w:pPr>
        <w:pStyle w:val="Heading4"/>
      </w:pPr>
      <w:r>
        <w:t>Equity price sensitivity analysis</w:t>
      </w:r>
    </w:p>
    <w:p w14:paraId="20D9732F" w14:textId="77777777" w:rsidR="009D33A8" w:rsidRDefault="009D33A8" w:rsidP="009D33A8">
      <w:pPr>
        <w:keepNext/>
      </w:pPr>
      <w:r>
        <w:t>The State has analysed the possible effects that changes in equity prices may have on its financial position and result based on:</w:t>
      </w:r>
    </w:p>
    <w:p w14:paraId="51248B18" w14:textId="77777777" w:rsidR="009D33A8" w:rsidRDefault="009D33A8" w:rsidP="009D33A8">
      <w:pPr>
        <w:pStyle w:val="ListBullet"/>
        <w:keepLines/>
        <w:numPr>
          <w:ilvl w:val="0"/>
          <w:numId w:val="27"/>
        </w:numPr>
        <w:ind w:left="357" w:hanging="357"/>
      </w:pPr>
      <w:r>
        <w:t>exposures to equity securities for both derivative and nonderivative instruments at the reporting date</w:t>
      </w:r>
    </w:p>
    <w:p w14:paraId="01F8FA54" w14:textId="3D70336E" w:rsidR="009D33A8" w:rsidRDefault="009D33A8" w:rsidP="009D33A8">
      <w:pPr>
        <w:pStyle w:val="ListBullet"/>
        <w:keepLines/>
        <w:numPr>
          <w:ilvl w:val="0"/>
          <w:numId w:val="27"/>
        </w:numPr>
        <w:ind w:left="357" w:hanging="357"/>
      </w:pPr>
      <w:r>
        <w:t>historic movements, future expectations and management</w:t>
      </w:r>
      <w:r w:rsidR="00845934">
        <w:t>’</w:t>
      </w:r>
      <w:r>
        <w:t>s knowledge and experience of the volatility of the equity markets</w:t>
      </w:r>
    </w:p>
    <w:p w14:paraId="47A81D7D" w14:textId="77777777" w:rsidR="009D33A8" w:rsidRDefault="009D33A8" w:rsidP="009D33A8">
      <w:pPr>
        <w:pStyle w:val="ListBullet"/>
        <w:keepLines/>
        <w:numPr>
          <w:ilvl w:val="0"/>
          <w:numId w:val="27"/>
        </w:numPr>
        <w:ind w:left="357" w:hanging="357"/>
      </w:pPr>
      <w:r>
        <w:t>the stipulated change taking place at the beginning of the financial year and then held constant throughout the reporting period</w:t>
      </w:r>
    </w:p>
    <w:p w14:paraId="17802E5D" w14:textId="77777777" w:rsidR="009D33A8" w:rsidRDefault="009D33A8" w:rsidP="009D33A8">
      <w:pPr>
        <w:pStyle w:val="ListBullet"/>
        <w:keepLines/>
        <w:numPr>
          <w:ilvl w:val="0"/>
          <w:numId w:val="27"/>
        </w:numPr>
        <w:ind w:left="357" w:hanging="357"/>
      </w:pPr>
      <w:r>
        <w:t>no change in investment strategy/risk management as a result of the changes in equity prices.</w:t>
      </w:r>
    </w:p>
    <w:p w14:paraId="2B7F6A1F" w14:textId="77777777" w:rsidR="009D33A8" w:rsidRPr="002C092E" w:rsidRDefault="009D33A8" w:rsidP="009D33A8">
      <w:r w:rsidRPr="002C092E">
        <w:t>On this basis, the State has assessed that it may be exposed to a 15 per cent increase or decrease in equity prices (increase or decrease of 15 per cent in 2024).</w:t>
      </w:r>
    </w:p>
    <w:p w14:paraId="5216F3EA" w14:textId="77777777" w:rsidR="009D33A8" w:rsidRDefault="009D33A8" w:rsidP="009D33A8">
      <w:r w:rsidRPr="002C092E">
        <w:t xml:space="preserve">With all other variables held constant, a 15 per cent increase or decrease in listed equities prices at 30 June 2025 is expected to result in a $12.2 million increase/$12.2 million decrease ($1.3 million increase/$1.3 million decrease in 2024) in other economic flows and net assets. </w:t>
      </w:r>
      <w:bookmarkStart w:id="114" w:name="_Hlk146025890"/>
      <w:r w:rsidRPr="002C092E">
        <w:t>On the same basis, a 15 per cent increase or decrease in unlisted equity prices is expected to result in a $</w:t>
      </w:r>
      <w:r>
        <w:t>6.</w:t>
      </w:r>
      <w:r w:rsidRPr="002C092E">
        <w:t>5 billion increase/$</w:t>
      </w:r>
      <w:r>
        <w:t>6.</w:t>
      </w:r>
      <w:r w:rsidRPr="002C092E">
        <w:t>5 billion decrease ($4.6 billion increase/$4.6 billion decrease in 2024) in other economic flows and net assets. There is no direct impact on the net result from transactions.</w:t>
      </w:r>
    </w:p>
    <w:bookmarkEnd w:id="114"/>
    <w:p w14:paraId="55982AE1" w14:textId="77777777" w:rsidR="009D33A8" w:rsidRDefault="009D33A8" w:rsidP="009D33A8">
      <w:pPr>
        <w:pStyle w:val="Heading3"/>
      </w:pPr>
      <w:r>
        <w:t>6.1.4</w:t>
      </w:r>
      <w:r>
        <w:tab/>
        <w:t xml:space="preserve">Credit risk </w:t>
      </w:r>
    </w:p>
    <w:p w14:paraId="49B1CF88" w14:textId="7C5DDF30" w:rsidR="009D33A8" w:rsidRDefault="009D33A8" w:rsidP="009D33A8">
      <w:r>
        <w:t>Credit risk refers to the possibility that a borrower will default on its financial obligations as and when they fall due. The State</w:t>
      </w:r>
      <w:r w:rsidR="00845934">
        <w:t>’</w:t>
      </w:r>
      <w:r>
        <w:t>s exposure to credit risk mainly arises through its investments in fixed interest instruments and contractual loans and receivables. Most of the State</w:t>
      </w:r>
      <w:r w:rsidR="00845934">
        <w:t>’</w:t>
      </w:r>
      <w:r>
        <w:t xml:space="preserve">s investments and derivatives are centrally managed by TCV and the VFMC. In accordance with the </w:t>
      </w:r>
      <w:r w:rsidRPr="005B6670">
        <w:rPr>
          <w:i/>
        </w:rPr>
        <w:t>Borrowings and Investment Powers Act 1987</w:t>
      </w:r>
      <w:r>
        <w:t xml:space="preserve"> and the prudential supervisory policies and framework of the State, limits are set both in terms of the quality and amount of credit exposure. </w:t>
      </w:r>
    </w:p>
    <w:p w14:paraId="45736D6C" w14:textId="77777777" w:rsidR="009D33A8" w:rsidRDefault="009D33A8" w:rsidP="009D33A8">
      <w:r>
        <w:t>The State has a material credit risk exposure resulting from the level of investments and derivative transactions with the four major Australian banks, which is managed with reference to established credit quality and exposure policies.</w:t>
      </w:r>
    </w:p>
    <w:p w14:paraId="783999FA" w14:textId="46405C14" w:rsidR="009D33A8" w:rsidRDefault="009D33A8" w:rsidP="009D33A8">
      <w:r>
        <w:lastRenderedPageBreak/>
        <w:t>In relation to each class of recognised financial asset, the State</w:t>
      </w:r>
      <w:r w:rsidR="00845934">
        <w:t>’</w:t>
      </w:r>
      <w:r>
        <w:t>s maximum exposure to credit risk, without taking account of the value of any collateral obtained at the reporting date, is the carrying amount of those assets as recognised in the balance sheet.</w:t>
      </w:r>
    </w:p>
    <w:p w14:paraId="54D5128A" w14:textId="1C237B79" w:rsidR="009D33A8" w:rsidRDefault="009D33A8" w:rsidP="009D33A8">
      <w:r>
        <w:t>There has been no material change to the State</w:t>
      </w:r>
      <w:r w:rsidR="00845934">
        <w:t>’</w:t>
      </w:r>
      <w:r>
        <w:t xml:space="preserve">s credit risk profile in 2024-25. </w:t>
      </w:r>
    </w:p>
    <w:p w14:paraId="4FA9011E" w14:textId="77777777" w:rsidR="007A630A" w:rsidRDefault="007A630A" w:rsidP="009D33A8">
      <w:r>
        <w:t>The following tables provide information on the credit quality of the State’s financial assets.</w:t>
      </w:r>
    </w:p>
    <w:p w14:paraId="1465004B" w14:textId="77777777" w:rsidR="007A630A" w:rsidRDefault="007A630A" w:rsidP="009D33A8"/>
    <w:p w14:paraId="4D781158" w14:textId="219CB8A9" w:rsidR="007A630A" w:rsidRDefault="007A630A" w:rsidP="009D33A8">
      <w:r>
        <w:br w:type="column"/>
      </w:r>
    </w:p>
    <w:p w14:paraId="6C2211FD" w14:textId="0C84699D" w:rsidR="001348F7" w:rsidRDefault="001348F7" w:rsidP="009D33A8">
      <w:pPr>
        <w:sectPr w:rsidR="001348F7" w:rsidSect="001348F7">
          <w:type w:val="continuous"/>
          <w:pgSz w:w="11906" w:h="16838" w:code="9"/>
          <w:pgMar w:top="1134" w:right="1134" w:bottom="1134" w:left="1134" w:header="624" w:footer="567" w:gutter="0"/>
          <w:cols w:num="2" w:space="708"/>
          <w:docGrid w:linePitch="360"/>
        </w:sectPr>
      </w:pPr>
    </w:p>
    <w:tbl>
      <w:tblPr>
        <w:tblStyle w:val="DTFTableText"/>
        <w:tblW w:w="4962" w:type="dxa"/>
        <w:tblLook w:val="0620" w:firstRow="1" w:lastRow="0" w:firstColumn="0" w:lastColumn="0" w:noHBand="1" w:noVBand="1"/>
      </w:tblPr>
      <w:tblGrid>
        <w:gridCol w:w="2835"/>
        <w:gridCol w:w="2127"/>
      </w:tblGrid>
      <w:tr w:rsidR="001348F7" w:rsidRPr="00F42EBF" w14:paraId="51180262" w14:textId="77777777">
        <w:trPr>
          <w:cnfStyle w:val="100000000000" w:firstRow="1" w:lastRow="0" w:firstColumn="0" w:lastColumn="0" w:oddVBand="0" w:evenVBand="0" w:oddHBand="0" w:evenHBand="0" w:firstRowFirstColumn="0" w:firstRowLastColumn="0" w:lastRowFirstColumn="0" w:lastRowLastColumn="0"/>
          <w:trHeight w:val="300"/>
        </w:trPr>
        <w:tc>
          <w:tcPr>
            <w:tcW w:w="2835" w:type="dxa"/>
            <w:noWrap/>
            <w:hideMark/>
          </w:tcPr>
          <w:p w14:paraId="52786863" w14:textId="77777777" w:rsidR="001348F7" w:rsidRPr="00682E34" w:rsidRDefault="001348F7">
            <w:pPr>
              <w:rPr>
                <w:sz w:val="17"/>
              </w:rPr>
            </w:pPr>
            <w:r w:rsidRPr="00682E34">
              <w:rPr>
                <w:sz w:val="17"/>
              </w:rPr>
              <w:t>Credit quality grade</w:t>
            </w:r>
          </w:p>
        </w:tc>
        <w:tc>
          <w:tcPr>
            <w:tcW w:w="2127" w:type="dxa"/>
            <w:noWrap/>
            <w:hideMark/>
          </w:tcPr>
          <w:p w14:paraId="70498FA1" w14:textId="77777777" w:rsidR="001348F7" w:rsidRPr="00682E34" w:rsidRDefault="001348F7">
            <w:pPr>
              <w:rPr>
                <w:sz w:val="17"/>
              </w:rPr>
            </w:pPr>
            <w:r w:rsidRPr="00682E34">
              <w:rPr>
                <w:sz w:val="17"/>
              </w:rPr>
              <w:t>S&amp;P Rating equivalent</w:t>
            </w:r>
          </w:p>
        </w:tc>
      </w:tr>
      <w:tr w:rsidR="001348F7" w:rsidRPr="00F42EBF" w14:paraId="480E8738" w14:textId="77777777">
        <w:trPr>
          <w:trHeight w:val="300"/>
        </w:trPr>
        <w:tc>
          <w:tcPr>
            <w:tcW w:w="2835" w:type="dxa"/>
            <w:noWrap/>
            <w:hideMark/>
          </w:tcPr>
          <w:p w14:paraId="21203CD9" w14:textId="77777777" w:rsidR="001348F7" w:rsidRPr="00682E34" w:rsidRDefault="001348F7">
            <w:pPr>
              <w:rPr>
                <w:sz w:val="17"/>
              </w:rPr>
            </w:pPr>
            <w:r w:rsidRPr="00682E34">
              <w:rPr>
                <w:sz w:val="17"/>
              </w:rPr>
              <w:t xml:space="preserve">Extremely/Very strong </w:t>
            </w:r>
          </w:p>
        </w:tc>
        <w:tc>
          <w:tcPr>
            <w:tcW w:w="2127" w:type="dxa"/>
            <w:noWrap/>
            <w:hideMark/>
          </w:tcPr>
          <w:p w14:paraId="6CCB231A" w14:textId="77777777" w:rsidR="001348F7" w:rsidRPr="00682E34" w:rsidRDefault="001348F7">
            <w:pPr>
              <w:rPr>
                <w:sz w:val="17"/>
              </w:rPr>
            </w:pPr>
            <w:r w:rsidRPr="00682E34">
              <w:rPr>
                <w:sz w:val="17"/>
              </w:rPr>
              <w:t>AAA, AA+, AA, AA-, A+</w:t>
            </w:r>
          </w:p>
        </w:tc>
      </w:tr>
      <w:tr w:rsidR="001348F7" w:rsidRPr="00F42EBF" w14:paraId="4CAECABE" w14:textId="77777777" w:rsidTr="00B47868">
        <w:trPr>
          <w:trHeight w:val="300"/>
        </w:trPr>
        <w:tc>
          <w:tcPr>
            <w:tcW w:w="2835" w:type="dxa"/>
            <w:tcBorders>
              <w:bottom w:val="nil"/>
            </w:tcBorders>
            <w:noWrap/>
            <w:hideMark/>
          </w:tcPr>
          <w:p w14:paraId="70664309" w14:textId="77777777" w:rsidR="001348F7" w:rsidRPr="00682E34" w:rsidRDefault="001348F7">
            <w:pPr>
              <w:rPr>
                <w:sz w:val="17"/>
              </w:rPr>
            </w:pPr>
            <w:r w:rsidRPr="00682E34">
              <w:rPr>
                <w:sz w:val="17"/>
              </w:rPr>
              <w:t>Strong/Adequate</w:t>
            </w:r>
          </w:p>
        </w:tc>
        <w:tc>
          <w:tcPr>
            <w:tcW w:w="2127" w:type="dxa"/>
            <w:tcBorders>
              <w:bottom w:val="nil"/>
            </w:tcBorders>
            <w:noWrap/>
            <w:hideMark/>
          </w:tcPr>
          <w:p w14:paraId="1E26AC5A" w14:textId="77777777" w:rsidR="001348F7" w:rsidRPr="00682E34" w:rsidRDefault="001348F7">
            <w:pPr>
              <w:rPr>
                <w:sz w:val="17"/>
              </w:rPr>
            </w:pPr>
            <w:r w:rsidRPr="00682E34">
              <w:rPr>
                <w:sz w:val="17"/>
              </w:rPr>
              <w:t>A, A-, BBB+, BBB, BBB-</w:t>
            </w:r>
          </w:p>
        </w:tc>
      </w:tr>
      <w:tr w:rsidR="001348F7" w:rsidRPr="00F42EBF" w14:paraId="05FCCB31" w14:textId="77777777" w:rsidTr="00B47868">
        <w:trPr>
          <w:trHeight w:val="300"/>
        </w:trPr>
        <w:tc>
          <w:tcPr>
            <w:tcW w:w="2835" w:type="dxa"/>
            <w:tcBorders>
              <w:bottom w:val="single" w:sz="12" w:space="0" w:color="auto"/>
            </w:tcBorders>
            <w:noWrap/>
            <w:hideMark/>
          </w:tcPr>
          <w:p w14:paraId="68A4B0E4" w14:textId="77777777" w:rsidR="001348F7" w:rsidRPr="00682E34" w:rsidRDefault="001348F7">
            <w:pPr>
              <w:rPr>
                <w:sz w:val="17"/>
              </w:rPr>
            </w:pPr>
            <w:r w:rsidRPr="00682E34">
              <w:rPr>
                <w:sz w:val="17"/>
              </w:rPr>
              <w:t>Other (Not rated)</w:t>
            </w:r>
          </w:p>
        </w:tc>
        <w:tc>
          <w:tcPr>
            <w:tcW w:w="2127" w:type="dxa"/>
            <w:tcBorders>
              <w:bottom w:val="single" w:sz="12" w:space="0" w:color="auto"/>
            </w:tcBorders>
            <w:noWrap/>
            <w:hideMark/>
          </w:tcPr>
          <w:p w14:paraId="1122FAD0" w14:textId="77777777" w:rsidR="001348F7" w:rsidRPr="00682E34" w:rsidRDefault="001348F7">
            <w:pPr>
              <w:rPr>
                <w:sz w:val="17"/>
              </w:rPr>
            </w:pPr>
            <w:r w:rsidRPr="00682E34">
              <w:rPr>
                <w:sz w:val="17"/>
              </w:rPr>
              <w:t>Not rated</w:t>
            </w:r>
          </w:p>
        </w:tc>
      </w:tr>
    </w:tbl>
    <w:p w14:paraId="3AF487B8" w14:textId="77777777" w:rsidR="001348F7" w:rsidRPr="001348F7" w:rsidRDefault="001348F7" w:rsidP="001348F7"/>
    <w:p w14:paraId="17FD7136" w14:textId="77777777" w:rsidR="009D33A8" w:rsidRDefault="009D33A8" w:rsidP="009D33A8">
      <w:pPr>
        <w:pStyle w:val="TableHeading"/>
      </w:pPr>
      <w:r>
        <w:t>Credit quality of financial assets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redit_quality_SoV"/>
      </w:tblPr>
      <w:tblGrid>
        <w:gridCol w:w="4395"/>
        <w:gridCol w:w="2170"/>
        <w:gridCol w:w="1372"/>
        <w:gridCol w:w="924"/>
        <w:gridCol w:w="777"/>
      </w:tblGrid>
      <w:tr w:rsidR="00940F7B" w14:paraId="3284EAA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70ECD984" w14:textId="77777777" w:rsidR="009D33A8" w:rsidRDefault="009D33A8">
            <w:pPr>
              <w:keepNext/>
            </w:pPr>
            <w:r>
              <w:t>State of Victoria</w:t>
            </w:r>
          </w:p>
        </w:tc>
        <w:tc>
          <w:tcPr>
            <w:tcW w:w="2170" w:type="dxa"/>
          </w:tcPr>
          <w:p w14:paraId="49617FE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372" w:type="dxa"/>
          </w:tcPr>
          <w:p w14:paraId="3C75CBB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24" w:type="dxa"/>
          </w:tcPr>
          <w:p w14:paraId="0E1507CC"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777" w:type="dxa"/>
          </w:tcPr>
          <w:p w14:paraId="57D8C83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40F7B" w14:paraId="5F82563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302ABCE5" w14:textId="77777777" w:rsidR="009D33A8" w:rsidRDefault="009D33A8">
            <w:pPr>
              <w:keepNext/>
            </w:pPr>
            <w:r>
              <w:t>2025</w:t>
            </w:r>
          </w:p>
        </w:tc>
        <w:tc>
          <w:tcPr>
            <w:tcW w:w="2170" w:type="dxa"/>
          </w:tcPr>
          <w:p w14:paraId="729D67D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Extremely/Very Strong </w:t>
            </w:r>
            <w:r>
              <w:br/>
              <w:t>(AAA to A+)</w:t>
            </w:r>
          </w:p>
        </w:tc>
        <w:tc>
          <w:tcPr>
            <w:tcW w:w="1372" w:type="dxa"/>
          </w:tcPr>
          <w:p w14:paraId="1BA4B9D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Strong/Adequate</w:t>
            </w:r>
            <w:r>
              <w:br/>
              <w:t>(A to BBB</w:t>
            </w:r>
            <w:r>
              <w:noBreakHyphen/>
              <w:t>)</w:t>
            </w:r>
          </w:p>
        </w:tc>
        <w:tc>
          <w:tcPr>
            <w:tcW w:w="924" w:type="dxa"/>
          </w:tcPr>
          <w:p w14:paraId="1979F26E"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Other/</w:t>
            </w:r>
            <w:r>
              <w:br/>
              <w:t>Not rated</w:t>
            </w:r>
          </w:p>
        </w:tc>
        <w:tc>
          <w:tcPr>
            <w:tcW w:w="777" w:type="dxa"/>
          </w:tcPr>
          <w:p w14:paraId="76561576"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Total</w:t>
            </w:r>
          </w:p>
        </w:tc>
      </w:tr>
      <w:tr w:rsidR="009D33A8" w14:paraId="47EDA11A" w14:textId="77777777">
        <w:tc>
          <w:tcPr>
            <w:cnfStyle w:val="001000000000" w:firstRow="0" w:lastRow="0" w:firstColumn="1" w:lastColumn="0" w:oddVBand="0" w:evenVBand="0" w:oddHBand="0" w:evenHBand="0" w:firstRowFirstColumn="0" w:firstRowLastColumn="0" w:lastRowFirstColumn="0" w:lastRowLastColumn="0"/>
            <w:tcW w:w="4395" w:type="dxa"/>
          </w:tcPr>
          <w:p w14:paraId="5ABCC0EF" w14:textId="77777777" w:rsidR="009D33A8" w:rsidRDefault="009D33A8">
            <w:r>
              <w:rPr>
                <w:b/>
              </w:rPr>
              <w:t>Financial assets with loss allowance measured at 12 month expected credit loss</w:t>
            </w:r>
          </w:p>
        </w:tc>
        <w:tc>
          <w:tcPr>
            <w:tcW w:w="2170" w:type="dxa"/>
          </w:tcPr>
          <w:p w14:paraId="16426F7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0DBAC52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512A475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5E002DE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DA0EF26" w14:textId="77777777">
        <w:tc>
          <w:tcPr>
            <w:cnfStyle w:val="001000000000" w:firstRow="0" w:lastRow="0" w:firstColumn="1" w:lastColumn="0" w:oddVBand="0" w:evenVBand="0" w:oddHBand="0" w:evenHBand="0" w:firstRowFirstColumn="0" w:firstRowLastColumn="0" w:lastRowFirstColumn="0" w:lastRowLastColumn="0"/>
            <w:tcW w:w="4395" w:type="dxa"/>
          </w:tcPr>
          <w:p w14:paraId="024A4667" w14:textId="77777777" w:rsidR="009D33A8" w:rsidRDefault="009D33A8">
            <w:r>
              <w:t>Cash and deposits</w:t>
            </w:r>
          </w:p>
        </w:tc>
        <w:tc>
          <w:tcPr>
            <w:tcW w:w="2170" w:type="dxa"/>
          </w:tcPr>
          <w:p w14:paraId="767B9CBB" w14:textId="77777777" w:rsidR="009D33A8" w:rsidRDefault="009D33A8">
            <w:pPr>
              <w:cnfStyle w:val="000000000000" w:firstRow="0" w:lastRow="0" w:firstColumn="0" w:lastColumn="0" w:oddVBand="0" w:evenVBand="0" w:oddHBand="0" w:evenHBand="0" w:firstRowFirstColumn="0" w:firstRowLastColumn="0" w:lastRowFirstColumn="0" w:lastRowLastColumn="0"/>
            </w:pPr>
            <w:r>
              <w:t>10 289</w:t>
            </w:r>
          </w:p>
        </w:tc>
        <w:tc>
          <w:tcPr>
            <w:tcW w:w="1372" w:type="dxa"/>
          </w:tcPr>
          <w:p w14:paraId="7F389E6E" w14:textId="77777777" w:rsidR="009D33A8" w:rsidRDefault="009D33A8">
            <w:pPr>
              <w:cnfStyle w:val="000000000000" w:firstRow="0" w:lastRow="0" w:firstColumn="0" w:lastColumn="0" w:oddVBand="0" w:evenVBand="0" w:oddHBand="0" w:evenHBand="0" w:firstRowFirstColumn="0" w:firstRowLastColumn="0" w:lastRowFirstColumn="0" w:lastRowLastColumn="0"/>
            </w:pPr>
            <w:r>
              <w:t>2 762</w:t>
            </w:r>
          </w:p>
        </w:tc>
        <w:tc>
          <w:tcPr>
            <w:tcW w:w="924" w:type="dxa"/>
          </w:tcPr>
          <w:p w14:paraId="3A22D37A" w14:textId="77777777" w:rsidR="009D33A8" w:rsidRDefault="009D33A8">
            <w:pPr>
              <w:cnfStyle w:val="000000000000" w:firstRow="0" w:lastRow="0" w:firstColumn="0" w:lastColumn="0" w:oddVBand="0" w:evenVBand="0" w:oddHBand="0" w:evenHBand="0" w:firstRowFirstColumn="0" w:firstRowLastColumn="0" w:lastRowFirstColumn="0" w:lastRowLastColumn="0"/>
            </w:pPr>
            <w:r>
              <w:t>1 521</w:t>
            </w:r>
          </w:p>
        </w:tc>
        <w:tc>
          <w:tcPr>
            <w:tcW w:w="777" w:type="dxa"/>
          </w:tcPr>
          <w:p w14:paraId="6517D05A" w14:textId="77777777" w:rsidR="009D33A8" w:rsidRDefault="009D33A8">
            <w:pPr>
              <w:cnfStyle w:val="000000000000" w:firstRow="0" w:lastRow="0" w:firstColumn="0" w:lastColumn="0" w:oddVBand="0" w:evenVBand="0" w:oddHBand="0" w:evenHBand="0" w:firstRowFirstColumn="0" w:firstRowLastColumn="0" w:lastRowFirstColumn="0" w:lastRowLastColumn="0"/>
            </w:pPr>
            <w:r>
              <w:t>14 571</w:t>
            </w:r>
          </w:p>
        </w:tc>
      </w:tr>
      <w:tr w:rsidR="009D33A8" w14:paraId="05C929D3" w14:textId="77777777">
        <w:tc>
          <w:tcPr>
            <w:cnfStyle w:val="001000000000" w:firstRow="0" w:lastRow="0" w:firstColumn="1" w:lastColumn="0" w:oddVBand="0" w:evenVBand="0" w:oddHBand="0" w:evenHBand="0" w:firstRowFirstColumn="0" w:firstRowLastColumn="0" w:lastRowFirstColumn="0" w:lastRowLastColumn="0"/>
            <w:tcW w:w="4395" w:type="dxa"/>
          </w:tcPr>
          <w:p w14:paraId="02037893" w14:textId="77777777" w:rsidR="009D33A8" w:rsidRDefault="009D33A8">
            <w:r>
              <w:t>Advances paid</w:t>
            </w:r>
          </w:p>
        </w:tc>
        <w:tc>
          <w:tcPr>
            <w:tcW w:w="2170" w:type="dxa"/>
          </w:tcPr>
          <w:p w14:paraId="5A3544D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489FCB99"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c>
          <w:tcPr>
            <w:tcW w:w="924" w:type="dxa"/>
          </w:tcPr>
          <w:p w14:paraId="355279FC" w14:textId="77777777" w:rsidR="009D33A8" w:rsidRDefault="009D33A8">
            <w:pPr>
              <w:cnfStyle w:val="000000000000" w:firstRow="0" w:lastRow="0" w:firstColumn="0" w:lastColumn="0" w:oddVBand="0" w:evenVBand="0" w:oddHBand="0" w:evenHBand="0" w:firstRowFirstColumn="0" w:firstRowLastColumn="0" w:lastRowFirstColumn="0" w:lastRowLastColumn="0"/>
            </w:pPr>
            <w:r>
              <w:t>107</w:t>
            </w:r>
          </w:p>
        </w:tc>
        <w:tc>
          <w:tcPr>
            <w:tcW w:w="777" w:type="dxa"/>
          </w:tcPr>
          <w:p w14:paraId="381E8460" w14:textId="77777777" w:rsidR="009D33A8" w:rsidRDefault="009D33A8">
            <w:pPr>
              <w:cnfStyle w:val="000000000000" w:firstRow="0" w:lastRow="0" w:firstColumn="0" w:lastColumn="0" w:oddVBand="0" w:evenVBand="0" w:oddHBand="0" w:evenHBand="0" w:firstRowFirstColumn="0" w:firstRowLastColumn="0" w:lastRowFirstColumn="0" w:lastRowLastColumn="0"/>
            </w:pPr>
            <w:r>
              <w:t>146</w:t>
            </w:r>
          </w:p>
        </w:tc>
      </w:tr>
      <w:tr w:rsidR="009D33A8" w14:paraId="1BAB6BE9" w14:textId="77777777">
        <w:tc>
          <w:tcPr>
            <w:cnfStyle w:val="001000000000" w:firstRow="0" w:lastRow="0" w:firstColumn="1" w:lastColumn="0" w:oddVBand="0" w:evenVBand="0" w:oddHBand="0" w:evenHBand="0" w:firstRowFirstColumn="0" w:firstRowLastColumn="0" w:lastRowFirstColumn="0" w:lastRowLastColumn="0"/>
            <w:tcW w:w="4395" w:type="dxa"/>
          </w:tcPr>
          <w:p w14:paraId="11563A0E" w14:textId="77777777" w:rsidR="009D33A8" w:rsidRDefault="009D33A8">
            <w:r>
              <w:t>Term deposits</w:t>
            </w:r>
          </w:p>
        </w:tc>
        <w:tc>
          <w:tcPr>
            <w:tcW w:w="2170" w:type="dxa"/>
          </w:tcPr>
          <w:p w14:paraId="33FDD99E"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1372" w:type="dxa"/>
          </w:tcPr>
          <w:p w14:paraId="2C925485" w14:textId="77777777" w:rsidR="009D33A8" w:rsidRDefault="009D33A8">
            <w:pPr>
              <w:cnfStyle w:val="000000000000" w:firstRow="0" w:lastRow="0" w:firstColumn="0" w:lastColumn="0" w:oddVBand="0" w:evenVBand="0" w:oddHBand="0" w:evenHBand="0" w:firstRowFirstColumn="0" w:firstRowLastColumn="0" w:lastRowFirstColumn="0" w:lastRowLastColumn="0"/>
            </w:pPr>
            <w:r>
              <w:t>28</w:t>
            </w:r>
          </w:p>
        </w:tc>
        <w:tc>
          <w:tcPr>
            <w:tcW w:w="924" w:type="dxa"/>
          </w:tcPr>
          <w:p w14:paraId="04C14F28"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c>
          <w:tcPr>
            <w:tcW w:w="777" w:type="dxa"/>
          </w:tcPr>
          <w:p w14:paraId="07066709" w14:textId="77777777" w:rsidR="009D33A8" w:rsidRDefault="009D33A8">
            <w:pPr>
              <w:cnfStyle w:val="000000000000" w:firstRow="0" w:lastRow="0" w:firstColumn="0" w:lastColumn="0" w:oddVBand="0" w:evenVBand="0" w:oddHBand="0" w:evenHBand="0" w:firstRowFirstColumn="0" w:firstRowLastColumn="0" w:lastRowFirstColumn="0" w:lastRowLastColumn="0"/>
            </w:pPr>
            <w:r>
              <w:t>35</w:t>
            </w:r>
          </w:p>
        </w:tc>
      </w:tr>
      <w:tr w:rsidR="009D33A8" w14:paraId="244C315E" w14:textId="77777777">
        <w:tc>
          <w:tcPr>
            <w:cnfStyle w:val="001000000000" w:firstRow="0" w:lastRow="0" w:firstColumn="1" w:lastColumn="0" w:oddVBand="0" w:evenVBand="0" w:oddHBand="0" w:evenHBand="0" w:firstRowFirstColumn="0" w:firstRowLastColumn="0" w:lastRowFirstColumn="0" w:lastRowLastColumn="0"/>
            <w:tcW w:w="4395" w:type="dxa"/>
          </w:tcPr>
          <w:p w14:paraId="1A57807F" w14:textId="77777777" w:rsidR="009D33A8" w:rsidRDefault="009D33A8">
            <w:r>
              <w:t>Debt securities</w:t>
            </w:r>
          </w:p>
        </w:tc>
        <w:tc>
          <w:tcPr>
            <w:tcW w:w="2170" w:type="dxa"/>
          </w:tcPr>
          <w:p w14:paraId="29E93A1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73674A4A" w14:textId="77777777" w:rsidR="009D33A8" w:rsidRDefault="009D33A8">
            <w:pPr>
              <w:cnfStyle w:val="000000000000" w:firstRow="0" w:lastRow="0" w:firstColumn="0" w:lastColumn="0" w:oddVBand="0" w:evenVBand="0" w:oddHBand="0" w:evenHBand="0" w:firstRowFirstColumn="0" w:firstRowLastColumn="0" w:lastRowFirstColumn="0" w:lastRowLastColumn="0"/>
            </w:pPr>
            <w:r>
              <w:t>25</w:t>
            </w:r>
          </w:p>
        </w:tc>
        <w:tc>
          <w:tcPr>
            <w:tcW w:w="924" w:type="dxa"/>
          </w:tcPr>
          <w:p w14:paraId="5C99FE5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1ABEC9B0" w14:textId="77777777" w:rsidR="009D33A8" w:rsidRDefault="009D33A8">
            <w:pPr>
              <w:cnfStyle w:val="000000000000" w:firstRow="0" w:lastRow="0" w:firstColumn="0" w:lastColumn="0" w:oddVBand="0" w:evenVBand="0" w:oddHBand="0" w:evenHBand="0" w:firstRowFirstColumn="0" w:firstRowLastColumn="0" w:lastRowFirstColumn="0" w:lastRowLastColumn="0"/>
            </w:pPr>
            <w:r>
              <w:t>25</w:t>
            </w:r>
          </w:p>
        </w:tc>
      </w:tr>
      <w:tr w:rsidR="009D33A8" w14:paraId="4C277E08" w14:textId="77777777">
        <w:tc>
          <w:tcPr>
            <w:cnfStyle w:val="001000000000" w:firstRow="0" w:lastRow="0" w:firstColumn="1" w:lastColumn="0" w:oddVBand="0" w:evenVBand="0" w:oddHBand="0" w:evenHBand="0" w:firstRowFirstColumn="0" w:firstRowLastColumn="0" w:lastRowFirstColumn="0" w:lastRowLastColumn="0"/>
            <w:tcW w:w="4395" w:type="dxa"/>
          </w:tcPr>
          <w:p w14:paraId="1A0EA11E" w14:textId="77777777" w:rsidR="009D33A8" w:rsidRDefault="009D33A8">
            <w:r>
              <w:rPr>
                <w:b/>
              </w:rPr>
              <w:t>Financial assets with loss allowance measured at lifetime credit loss (not credit impaired)</w:t>
            </w:r>
          </w:p>
        </w:tc>
        <w:tc>
          <w:tcPr>
            <w:tcW w:w="2170" w:type="dxa"/>
          </w:tcPr>
          <w:p w14:paraId="3E47B7B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605ED93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31BF091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08CD6EF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220C5AC9" w14:textId="77777777">
        <w:tc>
          <w:tcPr>
            <w:cnfStyle w:val="001000000000" w:firstRow="0" w:lastRow="0" w:firstColumn="1" w:lastColumn="0" w:oddVBand="0" w:evenVBand="0" w:oddHBand="0" w:evenHBand="0" w:firstRowFirstColumn="0" w:firstRowLastColumn="0" w:lastRowFirstColumn="0" w:lastRowLastColumn="0"/>
            <w:tcW w:w="4395" w:type="dxa"/>
          </w:tcPr>
          <w:p w14:paraId="221AD37F" w14:textId="77777777" w:rsidR="009D33A8" w:rsidRDefault="009D33A8">
            <w:r>
              <w:t>Cash and deposits</w:t>
            </w:r>
          </w:p>
        </w:tc>
        <w:tc>
          <w:tcPr>
            <w:tcW w:w="2170" w:type="dxa"/>
          </w:tcPr>
          <w:p w14:paraId="7A3079C3" w14:textId="77777777" w:rsidR="009D33A8" w:rsidRDefault="009D33A8">
            <w:pPr>
              <w:cnfStyle w:val="000000000000" w:firstRow="0" w:lastRow="0" w:firstColumn="0" w:lastColumn="0" w:oddVBand="0" w:evenVBand="0" w:oddHBand="0" w:evenHBand="0" w:firstRowFirstColumn="0" w:firstRowLastColumn="0" w:lastRowFirstColumn="0" w:lastRowLastColumn="0"/>
            </w:pPr>
            <w:r>
              <w:t>4 422</w:t>
            </w:r>
          </w:p>
        </w:tc>
        <w:tc>
          <w:tcPr>
            <w:tcW w:w="1372" w:type="dxa"/>
          </w:tcPr>
          <w:p w14:paraId="30BC2ABF" w14:textId="77777777" w:rsidR="009D33A8" w:rsidRDefault="009D33A8">
            <w:pPr>
              <w:cnfStyle w:val="000000000000" w:firstRow="0" w:lastRow="0" w:firstColumn="0" w:lastColumn="0" w:oddVBand="0" w:evenVBand="0" w:oddHBand="0" w:evenHBand="0" w:firstRowFirstColumn="0" w:firstRowLastColumn="0" w:lastRowFirstColumn="0" w:lastRowLastColumn="0"/>
            </w:pPr>
            <w:r>
              <w:t>1 437</w:t>
            </w:r>
          </w:p>
        </w:tc>
        <w:tc>
          <w:tcPr>
            <w:tcW w:w="924" w:type="dxa"/>
          </w:tcPr>
          <w:p w14:paraId="3DC0B36F" w14:textId="77777777" w:rsidR="009D33A8" w:rsidRDefault="009D33A8">
            <w:pPr>
              <w:cnfStyle w:val="000000000000" w:firstRow="0" w:lastRow="0" w:firstColumn="0" w:lastColumn="0" w:oddVBand="0" w:evenVBand="0" w:oddHBand="0" w:evenHBand="0" w:firstRowFirstColumn="0" w:firstRowLastColumn="0" w:lastRowFirstColumn="0" w:lastRowLastColumn="0"/>
            </w:pPr>
            <w:r>
              <w:t>20</w:t>
            </w:r>
          </w:p>
        </w:tc>
        <w:tc>
          <w:tcPr>
            <w:tcW w:w="777" w:type="dxa"/>
          </w:tcPr>
          <w:p w14:paraId="24B07F32" w14:textId="77777777" w:rsidR="009D33A8" w:rsidRDefault="009D33A8">
            <w:pPr>
              <w:cnfStyle w:val="000000000000" w:firstRow="0" w:lastRow="0" w:firstColumn="0" w:lastColumn="0" w:oddVBand="0" w:evenVBand="0" w:oddHBand="0" w:evenHBand="0" w:firstRowFirstColumn="0" w:firstRowLastColumn="0" w:lastRowFirstColumn="0" w:lastRowLastColumn="0"/>
            </w:pPr>
            <w:r>
              <w:t>5 879</w:t>
            </w:r>
          </w:p>
        </w:tc>
      </w:tr>
      <w:tr w:rsidR="009D33A8" w14:paraId="19A618EE" w14:textId="77777777">
        <w:tc>
          <w:tcPr>
            <w:cnfStyle w:val="001000000000" w:firstRow="0" w:lastRow="0" w:firstColumn="1" w:lastColumn="0" w:oddVBand="0" w:evenVBand="0" w:oddHBand="0" w:evenHBand="0" w:firstRowFirstColumn="0" w:firstRowLastColumn="0" w:lastRowFirstColumn="0" w:lastRowLastColumn="0"/>
            <w:tcW w:w="4395" w:type="dxa"/>
          </w:tcPr>
          <w:p w14:paraId="4F039EA5" w14:textId="77777777" w:rsidR="009D33A8" w:rsidRDefault="009D33A8">
            <w:r>
              <w:t>Receivables applying the simplified approach for impairment</w:t>
            </w:r>
          </w:p>
        </w:tc>
        <w:tc>
          <w:tcPr>
            <w:tcW w:w="2170" w:type="dxa"/>
          </w:tcPr>
          <w:p w14:paraId="58EA00AC" w14:textId="77777777" w:rsidR="009D33A8" w:rsidRDefault="009D33A8">
            <w:pPr>
              <w:cnfStyle w:val="000000000000" w:firstRow="0" w:lastRow="0" w:firstColumn="0" w:lastColumn="0" w:oddVBand="0" w:evenVBand="0" w:oddHBand="0" w:evenHBand="0" w:firstRowFirstColumn="0" w:firstRowLastColumn="0" w:lastRowFirstColumn="0" w:lastRowLastColumn="0"/>
            </w:pPr>
            <w:r>
              <w:t>1 709</w:t>
            </w:r>
          </w:p>
        </w:tc>
        <w:tc>
          <w:tcPr>
            <w:tcW w:w="1372" w:type="dxa"/>
          </w:tcPr>
          <w:p w14:paraId="2428B36F" w14:textId="77777777" w:rsidR="009D33A8" w:rsidRDefault="009D33A8">
            <w:pPr>
              <w:cnfStyle w:val="000000000000" w:firstRow="0" w:lastRow="0" w:firstColumn="0" w:lastColumn="0" w:oddVBand="0" w:evenVBand="0" w:oddHBand="0" w:evenHBand="0" w:firstRowFirstColumn="0" w:firstRowLastColumn="0" w:lastRowFirstColumn="0" w:lastRowLastColumn="0"/>
            </w:pPr>
            <w:r>
              <w:t>163</w:t>
            </w:r>
          </w:p>
        </w:tc>
        <w:tc>
          <w:tcPr>
            <w:tcW w:w="924" w:type="dxa"/>
          </w:tcPr>
          <w:p w14:paraId="487860D9" w14:textId="77777777" w:rsidR="009D33A8" w:rsidRDefault="009D33A8">
            <w:pPr>
              <w:cnfStyle w:val="000000000000" w:firstRow="0" w:lastRow="0" w:firstColumn="0" w:lastColumn="0" w:oddVBand="0" w:evenVBand="0" w:oddHBand="0" w:evenHBand="0" w:firstRowFirstColumn="0" w:firstRowLastColumn="0" w:lastRowFirstColumn="0" w:lastRowLastColumn="0"/>
            </w:pPr>
            <w:r>
              <w:t>3 567</w:t>
            </w:r>
          </w:p>
        </w:tc>
        <w:tc>
          <w:tcPr>
            <w:tcW w:w="777" w:type="dxa"/>
          </w:tcPr>
          <w:p w14:paraId="4D282F29" w14:textId="77777777" w:rsidR="009D33A8" w:rsidRDefault="009D33A8">
            <w:pPr>
              <w:cnfStyle w:val="000000000000" w:firstRow="0" w:lastRow="0" w:firstColumn="0" w:lastColumn="0" w:oddVBand="0" w:evenVBand="0" w:oddHBand="0" w:evenHBand="0" w:firstRowFirstColumn="0" w:firstRowLastColumn="0" w:lastRowFirstColumn="0" w:lastRowLastColumn="0"/>
            </w:pPr>
            <w:r>
              <w:t>5 440</w:t>
            </w:r>
          </w:p>
        </w:tc>
      </w:tr>
      <w:tr w:rsidR="009D33A8" w14:paraId="49E7926F" w14:textId="77777777">
        <w:tc>
          <w:tcPr>
            <w:cnfStyle w:val="001000000000" w:firstRow="0" w:lastRow="0" w:firstColumn="1" w:lastColumn="0" w:oddVBand="0" w:evenVBand="0" w:oddHBand="0" w:evenHBand="0" w:firstRowFirstColumn="0" w:firstRowLastColumn="0" w:lastRowFirstColumn="0" w:lastRowLastColumn="0"/>
            <w:tcW w:w="4395" w:type="dxa"/>
          </w:tcPr>
          <w:p w14:paraId="14171E8E" w14:textId="77777777" w:rsidR="009D33A8" w:rsidRDefault="009D33A8">
            <w:r>
              <w:t>Term deposits</w:t>
            </w:r>
          </w:p>
        </w:tc>
        <w:tc>
          <w:tcPr>
            <w:tcW w:w="2170" w:type="dxa"/>
          </w:tcPr>
          <w:p w14:paraId="55FBFAFC" w14:textId="77777777" w:rsidR="009D33A8" w:rsidRDefault="009D33A8">
            <w:pPr>
              <w:cnfStyle w:val="000000000000" w:firstRow="0" w:lastRow="0" w:firstColumn="0" w:lastColumn="0" w:oddVBand="0" w:evenVBand="0" w:oddHBand="0" w:evenHBand="0" w:firstRowFirstColumn="0" w:firstRowLastColumn="0" w:lastRowFirstColumn="0" w:lastRowLastColumn="0"/>
            </w:pPr>
            <w:r>
              <w:t>145</w:t>
            </w:r>
          </w:p>
        </w:tc>
        <w:tc>
          <w:tcPr>
            <w:tcW w:w="1372" w:type="dxa"/>
          </w:tcPr>
          <w:p w14:paraId="3ED887BD" w14:textId="77777777" w:rsidR="009D33A8" w:rsidRDefault="009D33A8">
            <w:pPr>
              <w:cnfStyle w:val="000000000000" w:firstRow="0" w:lastRow="0" w:firstColumn="0" w:lastColumn="0" w:oddVBand="0" w:evenVBand="0" w:oddHBand="0" w:evenHBand="0" w:firstRowFirstColumn="0" w:firstRowLastColumn="0" w:lastRowFirstColumn="0" w:lastRowLastColumn="0"/>
            </w:pPr>
            <w:r>
              <w:t>71</w:t>
            </w:r>
          </w:p>
        </w:tc>
        <w:tc>
          <w:tcPr>
            <w:tcW w:w="924" w:type="dxa"/>
          </w:tcPr>
          <w:p w14:paraId="13DC309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01418713" w14:textId="77777777" w:rsidR="009D33A8" w:rsidRDefault="009D33A8">
            <w:pPr>
              <w:cnfStyle w:val="000000000000" w:firstRow="0" w:lastRow="0" w:firstColumn="0" w:lastColumn="0" w:oddVBand="0" w:evenVBand="0" w:oddHBand="0" w:evenHBand="0" w:firstRowFirstColumn="0" w:firstRowLastColumn="0" w:lastRowFirstColumn="0" w:lastRowLastColumn="0"/>
            </w:pPr>
            <w:r>
              <w:t>216</w:t>
            </w:r>
          </w:p>
        </w:tc>
      </w:tr>
      <w:tr w:rsidR="009D33A8" w14:paraId="3A9BCDF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53E97E72" w14:textId="77777777" w:rsidR="009D33A8" w:rsidRDefault="009D33A8">
            <w:r>
              <w:rPr>
                <w:b/>
              </w:rPr>
              <w:t>Total financial assets</w:t>
            </w:r>
          </w:p>
        </w:tc>
        <w:tc>
          <w:tcPr>
            <w:tcW w:w="2170" w:type="dxa"/>
            <w:tcBorders>
              <w:top w:val="single" w:sz="6" w:space="0" w:color="auto"/>
              <w:bottom w:val="single" w:sz="12" w:space="0" w:color="auto"/>
            </w:tcBorders>
          </w:tcPr>
          <w:p w14:paraId="3FA4C3B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16 568</w:t>
            </w:r>
          </w:p>
        </w:tc>
        <w:tc>
          <w:tcPr>
            <w:tcW w:w="1372" w:type="dxa"/>
            <w:tcBorders>
              <w:top w:val="single" w:sz="6" w:space="0" w:color="auto"/>
              <w:bottom w:val="single" w:sz="12" w:space="0" w:color="auto"/>
            </w:tcBorders>
          </w:tcPr>
          <w:p w14:paraId="2EF5175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4 525</w:t>
            </w:r>
          </w:p>
        </w:tc>
        <w:tc>
          <w:tcPr>
            <w:tcW w:w="924" w:type="dxa"/>
            <w:tcBorders>
              <w:top w:val="single" w:sz="6" w:space="0" w:color="auto"/>
              <w:bottom w:val="single" w:sz="12" w:space="0" w:color="auto"/>
            </w:tcBorders>
          </w:tcPr>
          <w:p w14:paraId="0B8CAEC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5 219</w:t>
            </w:r>
          </w:p>
        </w:tc>
        <w:tc>
          <w:tcPr>
            <w:tcW w:w="777" w:type="dxa"/>
            <w:tcBorders>
              <w:top w:val="single" w:sz="6" w:space="0" w:color="auto"/>
              <w:bottom w:val="single" w:sz="12" w:space="0" w:color="auto"/>
            </w:tcBorders>
          </w:tcPr>
          <w:p w14:paraId="2F1B050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26 312</w:t>
            </w:r>
          </w:p>
        </w:tc>
      </w:tr>
    </w:tbl>
    <w:p w14:paraId="0639EF21"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redit_quality_SoV_PY"/>
      </w:tblPr>
      <w:tblGrid>
        <w:gridCol w:w="4395"/>
        <w:gridCol w:w="2170"/>
        <w:gridCol w:w="1372"/>
        <w:gridCol w:w="924"/>
        <w:gridCol w:w="777"/>
      </w:tblGrid>
      <w:tr w:rsidR="00940F7B" w14:paraId="13F1A72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77976966" w14:textId="77777777" w:rsidR="009D33A8" w:rsidRDefault="009D33A8">
            <w:pPr>
              <w:keepNext/>
            </w:pPr>
            <w:r>
              <w:t>2024</w:t>
            </w:r>
            <w:r>
              <w:rPr>
                <w:vertAlign w:val="superscript"/>
              </w:rPr>
              <w:t xml:space="preserve"> (a)</w:t>
            </w:r>
          </w:p>
        </w:tc>
        <w:tc>
          <w:tcPr>
            <w:tcW w:w="2170" w:type="dxa"/>
          </w:tcPr>
          <w:p w14:paraId="06B378E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372" w:type="dxa"/>
          </w:tcPr>
          <w:p w14:paraId="2E31D95C"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24" w:type="dxa"/>
          </w:tcPr>
          <w:p w14:paraId="496C750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777" w:type="dxa"/>
          </w:tcPr>
          <w:p w14:paraId="60D2D99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417B2E27" w14:textId="77777777">
        <w:tc>
          <w:tcPr>
            <w:cnfStyle w:val="001000000000" w:firstRow="0" w:lastRow="0" w:firstColumn="1" w:lastColumn="0" w:oddVBand="0" w:evenVBand="0" w:oddHBand="0" w:evenHBand="0" w:firstRowFirstColumn="0" w:firstRowLastColumn="0" w:lastRowFirstColumn="0" w:lastRowLastColumn="0"/>
            <w:tcW w:w="4395" w:type="dxa"/>
          </w:tcPr>
          <w:p w14:paraId="31B27CF3" w14:textId="77777777" w:rsidR="009D33A8" w:rsidRDefault="009D33A8">
            <w:r>
              <w:rPr>
                <w:b/>
              </w:rPr>
              <w:t>Financial assets with loss allowance measured at 12 month expected credit loss</w:t>
            </w:r>
          </w:p>
        </w:tc>
        <w:tc>
          <w:tcPr>
            <w:tcW w:w="2170" w:type="dxa"/>
          </w:tcPr>
          <w:p w14:paraId="2770442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18F2754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28896BE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3AFE1BB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29790029" w14:textId="77777777">
        <w:tc>
          <w:tcPr>
            <w:cnfStyle w:val="001000000000" w:firstRow="0" w:lastRow="0" w:firstColumn="1" w:lastColumn="0" w:oddVBand="0" w:evenVBand="0" w:oddHBand="0" w:evenHBand="0" w:firstRowFirstColumn="0" w:firstRowLastColumn="0" w:lastRowFirstColumn="0" w:lastRowLastColumn="0"/>
            <w:tcW w:w="4395" w:type="dxa"/>
          </w:tcPr>
          <w:p w14:paraId="2DA657C0" w14:textId="77777777" w:rsidR="009D33A8" w:rsidRDefault="009D33A8">
            <w:r>
              <w:t>Cash and deposits</w:t>
            </w:r>
          </w:p>
        </w:tc>
        <w:tc>
          <w:tcPr>
            <w:tcW w:w="2170" w:type="dxa"/>
          </w:tcPr>
          <w:p w14:paraId="61812276" w14:textId="77777777" w:rsidR="009D33A8" w:rsidRDefault="009D33A8">
            <w:pPr>
              <w:cnfStyle w:val="000000000000" w:firstRow="0" w:lastRow="0" w:firstColumn="0" w:lastColumn="0" w:oddVBand="0" w:evenVBand="0" w:oddHBand="0" w:evenHBand="0" w:firstRowFirstColumn="0" w:firstRowLastColumn="0" w:lastRowFirstColumn="0" w:lastRowLastColumn="0"/>
            </w:pPr>
            <w:r>
              <w:t>8 620</w:t>
            </w:r>
          </w:p>
        </w:tc>
        <w:tc>
          <w:tcPr>
            <w:tcW w:w="1372" w:type="dxa"/>
          </w:tcPr>
          <w:p w14:paraId="3213EE2C" w14:textId="77777777" w:rsidR="009D33A8" w:rsidRDefault="009D33A8">
            <w:pPr>
              <w:cnfStyle w:val="000000000000" w:firstRow="0" w:lastRow="0" w:firstColumn="0" w:lastColumn="0" w:oddVBand="0" w:evenVBand="0" w:oddHBand="0" w:evenHBand="0" w:firstRowFirstColumn="0" w:firstRowLastColumn="0" w:lastRowFirstColumn="0" w:lastRowLastColumn="0"/>
            </w:pPr>
            <w:r>
              <w:t>3 982</w:t>
            </w:r>
          </w:p>
        </w:tc>
        <w:tc>
          <w:tcPr>
            <w:tcW w:w="924" w:type="dxa"/>
          </w:tcPr>
          <w:p w14:paraId="41A4D7A4" w14:textId="77777777" w:rsidR="009D33A8" w:rsidRDefault="009D33A8">
            <w:pPr>
              <w:cnfStyle w:val="000000000000" w:firstRow="0" w:lastRow="0" w:firstColumn="0" w:lastColumn="0" w:oddVBand="0" w:evenVBand="0" w:oddHBand="0" w:evenHBand="0" w:firstRowFirstColumn="0" w:firstRowLastColumn="0" w:lastRowFirstColumn="0" w:lastRowLastColumn="0"/>
            </w:pPr>
            <w:r>
              <w:t>796</w:t>
            </w:r>
          </w:p>
        </w:tc>
        <w:tc>
          <w:tcPr>
            <w:tcW w:w="777" w:type="dxa"/>
          </w:tcPr>
          <w:p w14:paraId="6BF17742" w14:textId="77777777" w:rsidR="009D33A8" w:rsidRDefault="009D33A8">
            <w:pPr>
              <w:cnfStyle w:val="000000000000" w:firstRow="0" w:lastRow="0" w:firstColumn="0" w:lastColumn="0" w:oddVBand="0" w:evenVBand="0" w:oddHBand="0" w:evenHBand="0" w:firstRowFirstColumn="0" w:firstRowLastColumn="0" w:lastRowFirstColumn="0" w:lastRowLastColumn="0"/>
            </w:pPr>
            <w:r>
              <w:t>13 398</w:t>
            </w:r>
          </w:p>
        </w:tc>
      </w:tr>
      <w:tr w:rsidR="009D33A8" w14:paraId="39B9F6B3" w14:textId="77777777">
        <w:tc>
          <w:tcPr>
            <w:cnfStyle w:val="001000000000" w:firstRow="0" w:lastRow="0" w:firstColumn="1" w:lastColumn="0" w:oddVBand="0" w:evenVBand="0" w:oddHBand="0" w:evenHBand="0" w:firstRowFirstColumn="0" w:firstRowLastColumn="0" w:lastRowFirstColumn="0" w:lastRowLastColumn="0"/>
            <w:tcW w:w="4395" w:type="dxa"/>
          </w:tcPr>
          <w:p w14:paraId="2207EF00" w14:textId="77777777" w:rsidR="009D33A8" w:rsidRDefault="009D33A8">
            <w:r>
              <w:t>Advances paid</w:t>
            </w:r>
          </w:p>
        </w:tc>
        <w:tc>
          <w:tcPr>
            <w:tcW w:w="2170" w:type="dxa"/>
          </w:tcPr>
          <w:p w14:paraId="25689F2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39AD7D72" w14:textId="77777777" w:rsidR="009D33A8" w:rsidRDefault="009D33A8">
            <w:pPr>
              <w:cnfStyle w:val="000000000000" w:firstRow="0" w:lastRow="0" w:firstColumn="0" w:lastColumn="0" w:oddVBand="0" w:evenVBand="0" w:oddHBand="0" w:evenHBand="0" w:firstRowFirstColumn="0" w:firstRowLastColumn="0" w:lastRowFirstColumn="0" w:lastRowLastColumn="0"/>
            </w:pPr>
            <w:r>
              <w:t>187</w:t>
            </w:r>
          </w:p>
        </w:tc>
        <w:tc>
          <w:tcPr>
            <w:tcW w:w="924" w:type="dxa"/>
          </w:tcPr>
          <w:p w14:paraId="4FB24AB1" w14:textId="77777777" w:rsidR="009D33A8" w:rsidRDefault="009D33A8">
            <w:pPr>
              <w:cnfStyle w:val="000000000000" w:firstRow="0" w:lastRow="0" w:firstColumn="0" w:lastColumn="0" w:oddVBand="0" w:evenVBand="0" w:oddHBand="0" w:evenHBand="0" w:firstRowFirstColumn="0" w:firstRowLastColumn="0" w:lastRowFirstColumn="0" w:lastRowLastColumn="0"/>
            </w:pPr>
            <w:r>
              <w:t>96</w:t>
            </w:r>
          </w:p>
        </w:tc>
        <w:tc>
          <w:tcPr>
            <w:tcW w:w="777" w:type="dxa"/>
          </w:tcPr>
          <w:p w14:paraId="05E83EB2" w14:textId="77777777" w:rsidR="009D33A8" w:rsidRDefault="009D33A8">
            <w:pPr>
              <w:cnfStyle w:val="000000000000" w:firstRow="0" w:lastRow="0" w:firstColumn="0" w:lastColumn="0" w:oddVBand="0" w:evenVBand="0" w:oddHBand="0" w:evenHBand="0" w:firstRowFirstColumn="0" w:firstRowLastColumn="0" w:lastRowFirstColumn="0" w:lastRowLastColumn="0"/>
            </w:pPr>
            <w:r>
              <w:t>283</w:t>
            </w:r>
          </w:p>
        </w:tc>
      </w:tr>
      <w:tr w:rsidR="009D33A8" w14:paraId="5B95A3F8" w14:textId="77777777">
        <w:tc>
          <w:tcPr>
            <w:cnfStyle w:val="001000000000" w:firstRow="0" w:lastRow="0" w:firstColumn="1" w:lastColumn="0" w:oddVBand="0" w:evenVBand="0" w:oddHBand="0" w:evenHBand="0" w:firstRowFirstColumn="0" w:firstRowLastColumn="0" w:lastRowFirstColumn="0" w:lastRowLastColumn="0"/>
            <w:tcW w:w="4395" w:type="dxa"/>
          </w:tcPr>
          <w:p w14:paraId="2E3A082C" w14:textId="77777777" w:rsidR="009D33A8" w:rsidRDefault="009D33A8">
            <w:r>
              <w:t>Term deposits</w:t>
            </w:r>
          </w:p>
        </w:tc>
        <w:tc>
          <w:tcPr>
            <w:tcW w:w="2170" w:type="dxa"/>
          </w:tcPr>
          <w:p w14:paraId="03583CFB"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1372" w:type="dxa"/>
          </w:tcPr>
          <w:p w14:paraId="6B28171D" w14:textId="77777777" w:rsidR="009D33A8" w:rsidRDefault="009D33A8">
            <w:pPr>
              <w:cnfStyle w:val="000000000000" w:firstRow="0" w:lastRow="0" w:firstColumn="0" w:lastColumn="0" w:oddVBand="0" w:evenVBand="0" w:oddHBand="0" w:evenHBand="0" w:firstRowFirstColumn="0" w:firstRowLastColumn="0" w:lastRowFirstColumn="0" w:lastRowLastColumn="0"/>
            </w:pPr>
            <w:r>
              <w:t>27</w:t>
            </w:r>
          </w:p>
        </w:tc>
        <w:tc>
          <w:tcPr>
            <w:tcW w:w="924" w:type="dxa"/>
          </w:tcPr>
          <w:p w14:paraId="7C0B9AA2" w14:textId="77777777" w:rsidR="009D33A8" w:rsidRDefault="009D33A8">
            <w:pPr>
              <w:cnfStyle w:val="000000000000" w:firstRow="0" w:lastRow="0" w:firstColumn="0" w:lastColumn="0" w:oddVBand="0" w:evenVBand="0" w:oddHBand="0" w:evenHBand="0" w:firstRowFirstColumn="0" w:firstRowLastColumn="0" w:lastRowFirstColumn="0" w:lastRowLastColumn="0"/>
            </w:pPr>
            <w:r>
              <w:t>12</w:t>
            </w:r>
          </w:p>
        </w:tc>
        <w:tc>
          <w:tcPr>
            <w:tcW w:w="777" w:type="dxa"/>
          </w:tcPr>
          <w:p w14:paraId="643836A7" w14:textId="77777777" w:rsidR="009D33A8" w:rsidRDefault="009D33A8">
            <w:pPr>
              <w:cnfStyle w:val="000000000000" w:firstRow="0" w:lastRow="0" w:firstColumn="0" w:lastColumn="0" w:oddVBand="0" w:evenVBand="0" w:oddHBand="0" w:evenHBand="0" w:firstRowFirstColumn="0" w:firstRowLastColumn="0" w:lastRowFirstColumn="0" w:lastRowLastColumn="0"/>
            </w:pPr>
            <w:r>
              <w:t>42</w:t>
            </w:r>
          </w:p>
        </w:tc>
      </w:tr>
      <w:tr w:rsidR="009D33A8" w14:paraId="4A47502B" w14:textId="77777777">
        <w:tc>
          <w:tcPr>
            <w:cnfStyle w:val="001000000000" w:firstRow="0" w:lastRow="0" w:firstColumn="1" w:lastColumn="0" w:oddVBand="0" w:evenVBand="0" w:oddHBand="0" w:evenHBand="0" w:firstRowFirstColumn="0" w:firstRowLastColumn="0" w:lastRowFirstColumn="0" w:lastRowLastColumn="0"/>
            <w:tcW w:w="4395" w:type="dxa"/>
          </w:tcPr>
          <w:p w14:paraId="16C0523D" w14:textId="218490D6" w:rsidR="009D33A8" w:rsidRDefault="009D33A8">
            <w:r>
              <w:t>Debt securities</w:t>
            </w:r>
          </w:p>
        </w:tc>
        <w:tc>
          <w:tcPr>
            <w:tcW w:w="2170" w:type="dxa"/>
          </w:tcPr>
          <w:p w14:paraId="6B1FAC4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3920E986" w14:textId="77777777" w:rsidR="009D33A8" w:rsidRDefault="009D33A8">
            <w:pPr>
              <w:cnfStyle w:val="000000000000" w:firstRow="0" w:lastRow="0" w:firstColumn="0" w:lastColumn="0" w:oddVBand="0" w:evenVBand="0" w:oddHBand="0" w:evenHBand="0" w:firstRowFirstColumn="0" w:firstRowLastColumn="0" w:lastRowFirstColumn="0" w:lastRowLastColumn="0"/>
            </w:pPr>
            <w:r>
              <w:t>24</w:t>
            </w:r>
          </w:p>
        </w:tc>
        <w:tc>
          <w:tcPr>
            <w:tcW w:w="924" w:type="dxa"/>
          </w:tcPr>
          <w:p w14:paraId="3EAB8954"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777" w:type="dxa"/>
          </w:tcPr>
          <w:p w14:paraId="55C03893"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r>
      <w:tr w:rsidR="009D33A8" w14:paraId="6BDD624A" w14:textId="77777777">
        <w:tc>
          <w:tcPr>
            <w:cnfStyle w:val="001000000000" w:firstRow="0" w:lastRow="0" w:firstColumn="1" w:lastColumn="0" w:oddVBand="0" w:evenVBand="0" w:oddHBand="0" w:evenHBand="0" w:firstRowFirstColumn="0" w:firstRowLastColumn="0" w:lastRowFirstColumn="0" w:lastRowLastColumn="0"/>
            <w:tcW w:w="4395" w:type="dxa"/>
          </w:tcPr>
          <w:p w14:paraId="2CDB69A0" w14:textId="77777777" w:rsidR="009D33A8" w:rsidRDefault="009D33A8">
            <w:r>
              <w:rPr>
                <w:b/>
              </w:rPr>
              <w:t>Financial assets with loss allowance measured at lifetime credit loss (not credit impaired)</w:t>
            </w:r>
          </w:p>
        </w:tc>
        <w:tc>
          <w:tcPr>
            <w:tcW w:w="2170" w:type="dxa"/>
          </w:tcPr>
          <w:p w14:paraId="786FD71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759BA7D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6F836B6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1FBB349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D019DC8" w14:textId="77777777">
        <w:tc>
          <w:tcPr>
            <w:cnfStyle w:val="001000000000" w:firstRow="0" w:lastRow="0" w:firstColumn="1" w:lastColumn="0" w:oddVBand="0" w:evenVBand="0" w:oddHBand="0" w:evenHBand="0" w:firstRowFirstColumn="0" w:firstRowLastColumn="0" w:lastRowFirstColumn="0" w:lastRowLastColumn="0"/>
            <w:tcW w:w="4395" w:type="dxa"/>
          </w:tcPr>
          <w:p w14:paraId="27109E21" w14:textId="77777777" w:rsidR="009D33A8" w:rsidRDefault="009D33A8">
            <w:r>
              <w:t>Cash and deposits</w:t>
            </w:r>
          </w:p>
        </w:tc>
        <w:tc>
          <w:tcPr>
            <w:tcW w:w="2170" w:type="dxa"/>
          </w:tcPr>
          <w:p w14:paraId="438F2B89" w14:textId="77777777" w:rsidR="009D33A8" w:rsidRDefault="009D33A8">
            <w:pPr>
              <w:cnfStyle w:val="000000000000" w:firstRow="0" w:lastRow="0" w:firstColumn="0" w:lastColumn="0" w:oddVBand="0" w:evenVBand="0" w:oddHBand="0" w:evenHBand="0" w:firstRowFirstColumn="0" w:firstRowLastColumn="0" w:lastRowFirstColumn="0" w:lastRowLastColumn="0"/>
            </w:pPr>
            <w:r>
              <w:t>4 856</w:t>
            </w:r>
          </w:p>
        </w:tc>
        <w:tc>
          <w:tcPr>
            <w:tcW w:w="1372" w:type="dxa"/>
          </w:tcPr>
          <w:p w14:paraId="6685EE8C" w14:textId="77777777" w:rsidR="009D33A8" w:rsidRDefault="009D33A8">
            <w:pPr>
              <w:cnfStyle w:val="000000000000" w:firstRow="0" w:lastRow="0" w:firstColumn="0" w:lastColumn="0" w:oddVBand="0" w:evenVBand="0" w:oddHBand="0" w:evenHBand="0" w:firstRowFirstColumn="0" w:firstRowLastColumn="0" w:lastRowFirstColumn="0" w:lastRowLastColumn="0"/>
            </w:pPr>
            <w:r>
              <w:t>1 318</w:t>
            </w:r>
          </w:p>
        </w:tc>
        <w:tc>
          <w:tcPr>
            <w:tcW w:w="924" w:type="dxa"/>
          </w:tcPr>
          <w:p w14:paraId="3B1D7183" w14:textId="77777777" w:rsidR="009D33A8" w:rsidRDefault="009D33A8">
            <w:pPr>
              <w:cnfStyle w:val="000000000000" w:firstRow="0" w:lastRow="0" w:firstColumn="0" w:lastColumn="0" w:oddVBand="0" w:evenVBand="0" w:oddHBand="0" w:evenHBand="0" w:firstRowFirstColumn="0" w:firstRowLastColumn="0" w:lastRowFirstColumn="0" w:lastRowLastColumn="0"/>
            </w:pPr>
            <w:r>
              <w:t>23</w:t>
            </w:r>
          </w:p>
        </w:tc>
        <w:tc>
          <w:tcPr>
            <w:tcW w:w="777" w:type="dxa"/>
          </w:tcPr>
          <w:p w14:paraId="739883B5" w14:textId="77777777" w:rsidR="009D33A8" w:rsidRDefault="009D33A8">
            <w:pPr>
              <w:cnfStyle w:val="000000000000" w:firstRow="0" w:lastRow="0" w:firstColumn="0" w:lastColumn="0" w:oddVBand="0" w:evenVBand="0" w:oddHBand="0" w:evenHBand="0" w:firstRowFirstColumn="0" w:firstRowLastColumn="0" w:lastRowFirstColumn="0" w:lastRowLastColumn="0"/>
            </w:pPr>
            <w:r>
              <w:t>6 196</w:t>
            </w:r>
          </w:p>
        </w:tc>
      </w:tr>
      <w:tr w:rsidR="009D33A8" w14:paraId="4A89019D" w14:textId="77777777">
        <w:tc>
          <w:tcPr>
            <w:cnfStyle w:val="001000000000" w:firstRow="0" w:lastRow="0" w:firstColumn="1" w:lastColumn="0" w:oddVBand="0" w:evenVBand="0" w:oddHBand="0" w:evenHBand="0" w:firstRowFirstColumn="0" w:firstRowLastColumn="0" w:lastRowFirstColumn="0" w:lastRowLastColumn="0"/>
            <w:tcW w:w="4395" w:type="dxa"/>
          </w:tcPr>
          <w:p w14:paraId="020ED235" w14:textId="77777777" w:rsidR="009D33A8" w:rsidRDefault="009D33A8">
            <w:r>
              <w:t>Receivables applying the simplified approach for impairment</w:t>
            </w:r>
          </w:p>
        </w:tc>
        <w:tc>
          <w:tcPr>
            <w:tcW w:w="2170" w:type="dxa"/>
          </w:tcPr>
          <w:p w14:paraId="0DA2F8D9" w14:textId="77777777" w:rsidR="009D33A8" w:rsidRDefault="009D33A8">
            <w:pPr>
              <w:cnfStyle w:val="000000000000" w:firstRow="0" w:lastRow="0" w:firstColumn="0" w:lastColumn="0" w:oddVBand="0" w:evenVBand="0" w:oddHBand="0" w:evenHBand="0" w:firstRowFirstColumn="0" w:firstRowLastColumn="0" w:lastRowFirstColumn="0" w:lastRowLastColumn="0"/>
            </w:pPr>
            <w:r>
              <w:t>1 228</w:t>
            </w:r>
          </w:p>
        </w:tc>
        <w:tc>
          <w:tcPr>
            <w:tcW w:w="1372" w:type="dxa"/>
          </w:tcPr>
          <w:p w14:paraId="40315C26" w14:textId="77777777" w:rsidR="009D33A8" w:rsidRDefault="009D33A8">
            <w:pPr>
              <w:cnfStyle w:val="000000000000" w:firstRow="0" w:lastRow="0" w:firstColumn="0" w:lastColumn="0" w:oddVBand="0" w:evenVBand="0" w:oddHBand="0" w:evenHBand="0" w:firstRowFirstColumn="0" w:firstRowLastColumn="0" w:lastRowFirstColumn="0" w:lastRowLastColumn="0"/>
            </w:pPr>
            <w:r>
              <w:t>221</w:t>
            </w:r>
          </w:p>
        </w:tc>
        <w:tc>
          <w:tcPr>
            <w:tcW w:w="924" w:type="dxa"/>
          </w:tcPr>
          <w:p w14:paraId="40A8FAF1" w14:textId="77777777" w:rsidR="009D33A8" w:rsidRDefault="009D33A8">
            <w:pPr>
              <w:cnfStyle w:val="000000000000" w:firstRow="0" w:lastRow="0" w:firstColumn="0" w:lastColumn="0" w:oddVBand="0" w:evenVBand="0" w:oddHBand="0" w:evenHBand="0" w:firstRowFirstColumn="0" w:firstRowLastColumn="0" w:lastRowFirstColumn="0" w:lastRowLastColumn="0"/>
            </w:pPr>
            <w:r>
              <w:t>3 480</w:t>
            </w:r>
          </w:p>
        </w:tc>
        <w:tc>
          <w:tcPr>
            <w:tcW w:w="777" w:type="dxa"/>
          </w:tcPr>
          <w:p w14:paraId="2DAFC0ED" w14:textId="77777777" w:rsidR="009D33A8" w:rsidRDefault="009D33A8">
            <w:pPr>
              <w:cnfStyle w:val="000000000000" w:firstRow="0" w:lastRow="0" w:firstColumn="0" w:lastColumn="0" w:oddVBand="0" w:evenVBand="0" w:oddHBand="0" w:evenHBand="0" w:firstRowFirstColumn="0" w:firstRowLastColumn="0" w:lastRowFirstColumn="0" w:lastRowLastColumn="0"/>
            </w:pPr>
            <w:r>
              <w:t>4 929</w:t>
            </w:r>
          </w:p>
        </w:tc>
      </w:tr>
      <w:tr w:rsidR="009D33A8" w14:paraId="6C991A2B" w14:textId="77777777">
        <w:tc>
          <w:tcPr>
            <w:cnfStyle w:val="001000000000" w:firstRow="0" w:lastRow="0" w:firstColumn="1" w:lastColumn="0" w:oddVBand="0" w:evenVBand="0" w:oddHBand="0" w:evenHBand="0" w:firstRowFirstColumn="0" w:firstRowLastColumn="0" w:lastRowFirstColumn="0" w:lastRowLastColumn="0"/>
            <w:tcW w:w="4395" w:type="dxa"/>
          </w:tcPr>
          <w:p w14:paraId="050FC2C0" w14:textId="75B52699" w:rsidR="009D33A8" w:rsidRDefault="009D33A8">
            <w:r>
              <w:t>Term deposits</w:t>
            </w:r>
          </w:p>
        </w:tc>
        <w:tc>
          <w:tcPr>
            <w:tcW w:w="2170" w:type="dxa"/>
          </w:tcPr>
          <w:p w14:paraId="48AEE3A4" w14:textId="77777777" w:rsidR="009D33A8" w:rsidRDefault="009D33A8">
            <w:pPr>
              <w:cnfStyle w:val="000000000000" w:firstRow="0" w:lastRow="0" w:firstColumn="0" w:lastColumn="0" w:oddVBand="0" w:evenVBand="0" w:oddHBand="0" w:evenHBand="0" w:firstRowFirstColumn="0" w:firstRowLastColumn="0" w:lastRowFirstColumn="0" w:lastRowLastColumn="0"/>
            </w:pPr>
            <w:r>
              <w:t>233</w:t>
            </w:r>
          </w:p>
        </w:tc>
        <w:tc>
          <w:tcPr>
            <w:tcW w:w="1372" w:type="dxa"/>
          </w:tcPr>
          <w:p w14:paraId="785FE4A4" w14:textId="77777777" w:rsidR="009D33A8" w:rsidRDefault="009D33A8">
            <w:pPr>
              <w:cnfStyle w:val="000000000000" w:firstRow="0" w:lastRow="0" w:firstColumn="0" w:lastColumn="0" w:oddVBand="0" w:evenVBand="0" w:oddHBand="0" w:evenHBand="0" w:firstRowFirstColumn="0" w:firstRowLastColumn="0" w:lastRowFirstColumn="0" w:lastRowLastColumn="0"/>
            </w:pPr>
            <w:r>
              <w:t>67</w:t>
            </w:r>
          </w:p>
        </w:tc>
        <w:tc>
          <w:tcPr>
            <w:tcW w:w="924" w:type="dxa"/>
          </w:tcPr>
          <w:p w14:paraId="11D34E2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26A21A1" w14:textId="77777777" w:rsidR="009D33A8" w:rsidRDefault="009D33A8">
            <w:pPr>
              <w:cnfStyle w:val="000000000000" w:firstRow="0" w:lastRow="0" w:firstColumn="0" w:lastColumn="0" w:oddVBand="0" w:evenVBand="0" w:oddHBand="0" w:evenHBand="0" w:firstRowFirstColumn="0" w:firstRowLastColumn="0" w:lastRowFirstColumn="0" w:lastRowLastColumn="0"/>
            </w:pPr>
            <w:r>
              <w:t>301</w:t>
            </w:r>
          </w:p>
        </w:tc>
      </w:tr>
      <w:tr w:rsidR="009D33A8" w14:paraId="191FC6F1"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488DC70D" w14:textId="77777777" w:rsidR="009D33A8" w:rsidRDefault="009D33A8">
            <w:r>
              <w:rPr>
                <w:b/>
              </w:rPr>
              <w:t>Total financial assets</w:t>
            </w:r>
          </w:p>
        </w:tc>
        <w:tc>
          <w:tcPr>
            <w:tcW w:w="2170" w:type="dxa"/>
            <w:tcBorders>
              <w:top w:val="single" w:sz="6" w:space="0" w:color="auto"/>
              <w:bottom w:val="single" w:sz="12" w:space="0" w:color="auto"/>
            </w:tcBorders>
          </w:tcPr>
          <w:p w14:paraId="021A191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14 940</w:t>
            </w:r>
          </w:p>
        </w:tc>
        <w:tc>
          <w:tcPr>
            <w:tcW w:w="1372" w:type="dxa"/>
            <w:tcBorders>
              <w:top w:val="single" w:sz="6" w:space="0" w:color="auto"/>
              <w:bottom w:val="single" w:sz="12" w:space="0" w:color="auto"/>
            </w:tcBorders>
          </w:tcPr>
          <w:p w14:paraId="3E403E6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5 827</w:t>
            </w:r>
          </w:p>
        </w:tc>
        <w:tc>
          <w:tcPr>
            <w:tcW w:w="924" w:type="dxa"/>
            <w:tcBorders>
              <w:top w:val="single" w:sz="6" w:space="0" w:color="auto"/>
              <w:bottom w:val="single" w:sz="12" w:space="0" w:color="auto"/>
            </w:tcBorders>
          </w:tcPr>
          <w:p w14:paraId="41A6A2C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4 409</w:t>
            </w:r>
          </w:p>
        </w:tc>
        <w:tc>
          <w:tcPr>
            <w:tcW w:w="777" w:type="dxa"/>
            <w:tcBorders>
              <w:top w:val="single" w:sz="6" w:space="0" w:color="auto"/>
              <w:bottom w:val="single" w:sz="12" w:space="0" w:color="auto"/>
            </w:tcBorders>
          </w:tcPr>
          <w:p w14:paraId="30BE8C7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25 176</w:t>
            </w:r>
          </w:p>
        </w:tc>
      </w:tr>
    </w:tbl>
    <w:p w14:paraId="731FBBE0" w14:textId="77777777" w:rsidR="009D33A8" w:rsidRDefault="009D33A8" w:rsidP="009D33A8">
      <w:pPr>
        <w:pStyle w:val="Note"/>
      </w:pPr>
      <w:r>
        <w:t>Note:</w:t>
      </w:r>
    </w:p>
    <w:p w14:paraId="237786A6" w14:textId="77777777" w:rsidR="009D33A8" w:rsidRPr="00F130E8" w:rsidRDefault="009D33A8" w:rsidP="009D33A8">
      <w:pPr>
        <w:pStyle w:val="Note"/>
        <w:rPr>
          <w:iCs/>
        </w:rPr>
      </w:pPr>
      <w:r>
        <w:rPr>
          <w:iCs/>
        </w:rPr>
        <w:t xml:space="preserve">(a)  </w:t>
      </w:r>
      <w:r w:rsidRPr="00F130E8">
        <w:rPr>
          <w:iCs/>
        </w:rPr>
        <w:t xml:space="preserve">This table has been restated to more </w:t>
      </w:r>
      <w:r>
        <w:rPr>
          <w:iCs/>
        </w:rPr>
        <w:t>accurately</w:t>
      </w:r>
      <w:r w:rsidRPr="00F130E8">
        <w:rPr>
          <w:iCs/>
        </w:rPr>
        <w:t xml:space="preserve"> reflect the credit quality ratings as set by S&amp;P rating equivalent. </w:t>
      </w:r>
    </w:p>
    <w:p w14:paraId="3B7554F6" w14:textId="77777777" w:rsidR="009D33A8" w:rsidRDefault="009D33A8" w:rsidP="009D33A8">
      <w:pPr>
        <w:pStyle w:val="TableHeading"/>
        <w:pageBreakBefore/>
      </w:pPr>
      <w:r w:rsidRPr="00BF6A95">
        <w:lastRenderedPageBreak/>
        <w:t xml:space="preserve">Credit quality of financial assets </w:t>
      </w:r>
      <w:r w:rsidRPr="00707AEA">
        <w:rPr>
          <w:i/>
        </w:rPr>
        <w:t>(continued)</w:t>
      </w:r>
      <w:r>
        <w:tab/>
      </w:r>
      <w:r w:rsidRPr="00BF6A95">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redit_quality_GG"/>
      </w:tblPr>
      <w:tblGrid>
        <w:gridCol w:w="4395"/>
        <w:gridCol w:w="2170"/>
        <w:gridCol w:w="1372"/>
        <w:gridCol w:w="924"/>
        <w:gridCol w:w="778"/>
      </w:tblGrid>
      <w:tr w:rsidR="00991200" w14:paraId="6163FC3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1F494639" w14:textId="77777777" w:rsidR="009D33A8" w:rsidRDefault="009D33A8">
            <w:pPr>
              <w:keepNext/>
            </w:pPr>
            <w:r>
              <w:t>General government sector</w:t>
            </w:r>
          </w:p>
        </w:tc>
        <w:tc>
          <w:tcPr>
            <w:tcW w:w="2170" w:type="dxa"/>
            <w:tcBorders>
              <w:bottom w:val="single" w:sz="6" w:space="0" w:color="auto"/>
            </w:tcBorders>
          </w:tcPr>
          <w:p w14:paraId="5917BEE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372" w:type="dxa"/>
            <w:tcBorders>
              <w:bottom w:val="single" w:sz="6" w:space="0" w:color="auto"/>
            </w:tcBorders>
          </w:tcPr>
          <w:p w14:paraId="7F03F86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24" w:type="dxa"/>
            <w:tcBorders>
              <w:bottom w:val="single" w:sz="6" w:space="0" w:color="auto"/>
            </w:tcBorders>
          </w:tcPr>
          <w:p w14:paraId="565DD971"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p>
        </w:tc>
        <w:tc>
          <w:tcPr>
            <w:tcW w:w="778" w:type="dxa"/>
            <w:tcBorders>
              <w:bottom w:val="single" w:sz="6" w:space="0" w:color="auto"/>
            </w:tcBorders>
          </w:tcPr>
          <w:p w14:paraId="696BA348"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p>
        </w:tc>
      </w:tr>
      <w:tr w:rsidR="00991200" w14:paraId="47E61F9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53CEA104" w14:textId="77777777" w:rsidR="009D33A8" w:rsidRDefault="009D33A8">
            <w:pPr>
              <w:keepNext/>
            </w:pPr>
            <w:r>
              <w:t>2025</w:t>
            </w:r>
          </w:p>
        </w:tc>
        <w:tc>
          <w:tcPr>
            <w:tcW w:w="2170" w:type="dxa"/>
            <w:tcBorders>
              <w:top w:val="single" w:sz="6" w:space="0" w:color="auto"/>
              <w:bottom w:val="single" w:sz="6" w:space="0" w:color="auto"/>
            </w:tcBorders>
          </w:tcPr>
          <w:p w14:paraId="3903FFA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Extremely/Very Strong </w:t>
            </w:r>
            <w:r>
              <w:br/>
              <w:t>(AAA to A+)</w:t>
            </w:r>
          </w:p>
        </w:tc>
        <w:tc>
          <w:tcPr>
            <w:tcW w:w="1372" w:type="dxa"/>
            <w:tcBorders>
              <w:top w:val="single" w:sz="6" w:space="0" w:color="auto"/>
              <w:bottom w:val="single" w:sz="6" w:space="0" w:color="auto"/>
            </w:tcBorders>
          </w:tcPr>
          <w:p w14:paraId="6973846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Strong/Adequate</w:t>
            </w:r>
            <w:r>
              <w:br/>
              <w:t>(A to BBB</w:t>
            </w:r>
            <w:r>
              <w:noBreakHyphen/>
              <w:t>)</w:t>
            </w:r>
          </w:p>
        </w:tc>
        <w:tc>
          <w:tcPr>
            <w:tcW w:w="924" w:type="dxa"/>
            <w:tcBorders>
              <w:top w:val="single" w:sz="6" w:space="0" w:color="auto"/>
              <w:bottom w:val="single" w:sz="6" w:space="0" w:color="auto"/>
            </w:tcBorders>
          </w:tcPr>
          <w:p w14:paraId="0FAB625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Other/</w:t>
            </w:r>
            <w:r>
              <w:br/>
              <w:t>Not rated</w:t>
            </w:r>
          </w:p>
        </w:tc>
        <w:tc>
          <w:tcPr>
            <w:tcW w:w="778" w:type="dxa"/>
            <w:tcBorders>
              <w:top w:val="single" w:sz="6" w:space="0" w:color="auto"/>
              <w:bottom w:val="single" w:sz="6" w:space="0" w:color="auto"/>
            </w:tcBorders>
          </w:tcPr>
          <w:p w14:paraId="3CE8BEA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Total</w:t>
            </w:r>
          </w:p>
        </w:tc>
      </w:tr>
      <w:tr w:rsidR="009D33A8" w14:paraId="29FE67DD"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62561242" w14:textId="77777777" w:rsidR="009D33A8" w:rsidRDefault="009D33A8">
            <w:r>
              <w:rPr>
                <w:b/>
              </w:rPr>
              <w:t>Financial assets</w:t>
            </w:r>
          </w:p>
        </w:tc>
        <w:tc>
          <w:tcPr>
            <w:tcW w:w="2170" w:type="dxa"/>
            <w:tcBorders>
              <w:top w:val="single" w:sz="6" w:space="0" w:color="auto"/>
            </w:tcBorders>
          </w:tcPr>
          <w:p w14:paraId="1B074F3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Borders>
              <w:top w:val="single" w:sz="6" w:space="0" w:color="auto"/>
            </w:tcBorders>
          </w:tcPr>
          <w:p w14:paraId="027781C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Borders>
              <w:top w:val="single" w:sz="6" w:space="0" w:color="auto"/>
            </w:tcBorders>
          </w:tcPr>
          <w:p w14:paraId="3DBB302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8" w:type="dxa"/>
            <w:tcBorders>
              <w:top w:val="single" w:sz="6" w:space="0" w:color="auto"/>
            </w:tcBorders>
          </w:tcPr>
          <w:p w14:paraId="5132EEC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62DD15F" w14:textId="77777777">
        <w:tc>
          <w:tcPr>
            <w:cnfStyle w:val="001000000000" w:firstRow="0" w:lastRow="0" w:firstColumn="1" w:lastColumn="0" w:oddVBand="0" w:evenVBand="0" w:oddHBand="0" w:evenHBand="0" w:firstRowFirstColumn="0" w:firstRowLastColumn="0" w:lastRowFirstColumn="0" w:lastRowLastColumn="0"/>
            <w:tcW w:w="4395" w:type="dxa"/>
          </w:tcPr>
          <w:p w14:paraId="1FE34588" w14:textId="77777777" w:rsidR="009D33A8" w:rsidRDefault="009D33A8">
            <w:r>
              <w:rPr>
                <w:b/>
              </w:rPr>
              <w:t>Financial assets with loss allowance measured at 12 month expected credit loss</w:t>
            </w:r>
          </w:p>
        </w:tc>
        <w:tc>
          <w:tcPr>
            <w:tcW w:w="2170" w:type="dxa"/>
          </w:tcPr>
          <w:p w14:paraId="6CEF276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2DC69E3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37AF6B4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8" w:type="dxa"/>
          </w:tcPr>
          <w:p w14:paraId="5FB38CC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89C1A40" w14:textId="77777777">
        <w:tc>
          <w:tcPr>
            <w:cnfStyle w:val="001000000000" w:firstRow="0" w:lastRow="0" w:firstColumn="1" w:lastColumn="0" w:oddVBand="0" w:evenVBand="0" w:oddHBand="0" w:evenHBand="0" w:firstRowFirstColumn="0" w:firstRowLastColumn="0" w:lastRowFirstColumn="0" w:lastRowLastColumn="0"/>
            <w:tcW w:w="4395" w:type="dxa"/>
          </w:tcPr>
          <w:p w14:paraId="26C5D9C4" w14:textId="77777777" w:rsidR="009D33A8" w:rsidRDefault="009D33A8">
            <w:r>
              <w:t>Cash and deposits</w:t>
            </w:r>
          </w:p>
        </w:tc>
        <w:tc>
          <w:tcPr>
            <w:tcW w:w="2170" w:type="dxa"/>
          </w:tcPr>
          <w:p w14:paraId="0F400D25" w14:textId="77777777" w:rsidR="009D33A8" w:rsidRDefault="009D33A8">
            <w:pPr>
              <w:cnfStyle w:val="000000000000" w:firstRow="0" w:lastRow="0" w:firstColumn="0" w:lastColumn="0" w:oddVBand="0" w:evenVBand="0" w:oddHBand="0" w:evenHBand="0" w:firstRowFirstColumn="0" w:firstRowLastColumn="0" w:lastRowFirstColumn="0" w:lastRowLastColumn="0"/>
            </w:pPr>
            <w:r>
              <w:t>7 785</w:t>
            </w:r>
          </w:p>
        </w:tc>
        <w:tc>
          <w:tcPr>
            <w:tcW w:w="1372" w:type="dxa"/>
          </w:tcPr>
          <w:p w14:paraId="27450F39" w14:textId="77777777" w:rsidR="009D33A8" w:rsidRDefault="009D33A8">
            <w:pPr>
              <w:cnfStyle w:val="000000000000" w:firstRow="0" w:lastRow="0" w:firstColumn="0" w:lastColumn="0" w:oddVBand="0" w:evenVBand="0" w:oddHBand="0" w:evenHBand="0" w:firstRowFirstColumn="0" w:firstRowLastColumn="0" w:lastRowFirstColumn="0" w:lastRowLastColumn="0"/>
            </w:pPr>
            <w:r>
              <w:t>2 163</w:t>
            </w:r>
          </w:p>
        </w:tc>
        <w:tc>
          <w:tcPr>
            <w:tcW w:w="924" w:type="dxa"/>
          </w:tcPr>
          <w:p w14:paraId="1F65BBD3" w14:textId="77777777" w:rsidR="009D33A8" w:rsidRDefault="009D33A8">
            <w:pPr>
              <w:cnfStyle w:val="000000000000" w:firstRow="0" w:lastRow="0" w:firstColumn="0" w:lastColumn="0" w:oddVBand="0" w:evenVBand="0" w:oddHBand="0" w:evenHBand="0" w:firstRowFirstColumn="0" w:firstRowLastColumn="0" w:lastRowFirstColumn="0" w:lastRowLastColumn="0"/>
            </w:pPr>
            <w:r>
              <w:t>320</w:t>
            </w:r>
          </w:p>
        </w:tc>
        <w:tc>
          <w:tcPr>
            <w:tcW w:w="778" w:type="dxa"/>
          </w:tcPr>
          <w:p w14:paraId="1CE35762" w14:textId="77777777" w:rsidR="009D33A8" w:rsidRDefault="009D33A8">
            <w:pPr>
              <w:cnfStyle w:val="000000000000" w:firstRow="0" w:lastRow="0" w:firstColumn="0" w:lastColumn="0" w:oddVBand="0" w:evenVBand="0" w:oddHBand="0" w:evenHBand="0" w:firstRowFirstColumn="0" w:firstRowLastColumn="0" w:lastRowFirstColumn="0" w:lastRowLastColumn="0"/>
            </w:pPr>
            <w:r>
              <w:t>10 268</w:t>
            </w:r>
          </w:p>
        </w:tc>
      </w:tr>
      <w:tr w:rsidR="009D33A8" w14:paraId="39F00C5E" w14:textId="77777777">
        <w:tc>
          <w:tcPr>
            <w:cnfStyle w:val="001000000000" w:firstRow="0" w:lastRow="0" w:firstColumn="1" w:lastColumn="0" w:oddVBand="0" w:evenVBand="0" w:oddHBand="0" w:evenHBand="0" w:firstRowFirstColumn="0" w:firstRowLastColumn="0" w:lastRowFirstColumn="0" w:lastRowLastColumn="0"/>
            <w:tcW w:w="4395" w:type="dxa"/>
          </w:tcPr>
          <w:p w14:paraId="77A7E64F" w14:textId="77777777" w:rsidR="009D33A8" w:rsidRDefault="009D33A8">
            <w:r>
              <w:t>Advances paid</w:t>
            </w:r>
          </w:p>
        </w:tc>
        <w:tc>
          <w:tcPr>
            <w:tcW w:w="2170" w:type="dxa"/>
          </w:tcPr>
          <w:p w14:paraId="7F3B5576" w14:textId="77777777" w:rsidR="009D33A8" w:rsidRDefault="009D33A8">
            <w:pPr>
              <w:cnfStyle w:val="000000000000" w:firstRow="0" w:lastRow="0" w:firstColumn="0" w:lastColumn="0" w:oddVBand="0" w:evenVBand="0" w:oddHBand="0" w:evenHBand="0" w:firstRowFirstColumn="0" w:firstRowLastColumn="0" w:lastRowFirstColumn="0" w:lastRowLastColumn="0"/>
            </w:pPr>
            <w:r>
              <w:t>6 077</w:t>
            </w:r>
          </w:p>
        </w:tc>
        <w:tc>
          <w:tcPr>
            <w:tcW w:w="1372" w:type="dxa"/>
          </w:tcPr>
          <w:p w14:paraId="224A9E4F"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c>
          <w:tcPr>
            <w:tcW w:w="924" w:type="dxa"/>
          </w:tcPr>
          <w:p w14:paraId="23A7FBB7" w14:textId="77777777" w:rsidR="009D33A8" w:rsidRDefault="009D33A8">
            <w:pPr>
              <w:cnfStyle w:val="000000000000" w:firstRow="0" w:lastRow="0" w:firstColumn="0" w:lastColumn="0" w:oddVBand="0" w:evenVBand="0" w:oddHBand="0" w:evenHBand="0" w:firstRowFirstColumn="0" w:firstRowLastColumn="0" w:lastRowFirstColumn="0" w:lastRowLastColumn="0"/>
            </w:pPr>
            <w:r>
              <w:t>100</w:t>
            </w:r>
          </w:p>
        </w:tc>
        <w:tc>
          <w:tcPr>
            <w:tcW w:w="778" w:type="dxa"/>
          </w:tcPr>
          <w:p w14:paraId="7E706C1A" w14:textId="77777777" w:rsidR="009D33A8" w:rsidRDefault="009D33A8">
            <w:pPr>
              <w:cnfStyle w:val="000000000000" w:firstRow="0" w:lastRow="0" w:firstColumn="0" w:lastColumn="0" w:oddVBand="0" w:evenVBand="0" w:oddHBand="0" w:evenHBand="0" w:firstRowFirstColumn="0" w:firstRowLastColumn="0" w:lastRowFirstColumn="0" w:lastRowLastColumn="0"/>
            </w:pPr>
            <w:r>
              <w:t>6 216</w:t>
            </w:r>
          </w:p>
        </w:tc>
      </w:tr>
      <w:tr w:rsidR="009D33A8" w14:paraId="703C487F" w14:textId="77777777">
        <w:tc>
          <w:tcPr>
            <w:cnfStyle w:val="001000000000" w:firstRow="0" w:lastRow="0" w:firstColumn="1" w:lastColumn="0" w:oddVBand="0" w:evenVBand="0" w:oddHBand="0" w:evenHBand="0" w:firstRowFirstColumn="0" w:firstRowLastColumn="0" w:lastRowFirstColumn="0" w:lastRowLastColumn="0"/>
            <w:tcW w:w="4395" w:type="dxa"/>
          </w:tcPr>
          <w:p w14:paraId="491753C8" w14:textId="77777777" w:rsidR="009D33A8" w:rsidRDefault="009D33A8">
            <w:r>
              <w:t>Term deposits</w:t>
            </w:r>
          </w:p>
        </w:tc>
        <w:tc>
          <w:tcPr>
            <w:tcW w:w="2170" w:type="dxa"/>
          </w:tcPr>
          <w:p w14:paraId="1EF5ED22"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1372" w:type="dxa"/>
          </w:tcPr>
          <w:p w14:paraId="5B970425"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c>
          <w:tcPr>
            <w:tcW w:w="924" w:type="dxa"/>
          </w:tcPr>
          <w:p w14:paraId="4B86F4A1"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c>
          <w:tcPr>
            <w:tcW w:w="778" w:type="dxa"/>
          </w:tcPr>
          <w:p w14:paraId="1363A1A1" w14:textId="77777777" w:rsidR="009D33A8" w:rsidRDefault="009D33A8">
            <w:pPr>
              <w:cnfStyle w:val="000000000000" w:firstRow="0" w:lastRow="0" w:firstColumn="0" w:lastColumn="0" w:oddVBand="0" w:evenVBand="0" w:oddHBand="0" w:evenHBand="0" w:firstRowFirstColumn="0" w:firstRowLastColumn="0" w:lastRowFirstColumn="0" w:lastRowLastColumn="0"/>
            </w:pPr>
            <w:r>
              <w:t>34</w:t>
            </w:r>
          </w:p>
        </w:tc>
      </w:tr>
      <w:tr w:rsidR="009D33A8" w14:paraId="3A4AB1BF" w14:textId="77777777">
        <w:tc>
          <w:tcPr>
            <w:cnfStyle w:val="001000000000" w:firstRow="0" w:lastRow="0" w:firstColumn="1" w:lastColumn="0" w:oddVBand="0" w:evenVBand="0" w:oddHBand="0" w:evenHBand="0" w:firstRowFirstColumn="0" w:firstRowLastColumn="0" w:lastRowFirstColumn="0" w:lastRowLastColumn="0"/>
            <w:tcW w:w="4395" w:type="dxa"/>
          </w:tcPr>
          <w:p w14:paraId="53B61404" w14:textId="77777777" w:rsidR="009D33A8" w:rsidRDefault="009D33A8">
            <w:r>
              <w:t>Debt securities</w:t>
            </w:r>
          </w:p>
        </w:tc>
        <w:tc>
          <w:tcPr>
            <w:tcW w:w="2170" w:type="dxa"/>
          </w:tcPr>
          <w:p w14:paraId="0B2ABC3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72" w:type="dxa"/>
          </w:tcPr>
          <w:p w14:paraId="01844163" w14:textId="77777777" w:rsidR="009D33A8" w:rsidRDefault="009D33A8">
            <w:pPr>
              <w:cnfStyle w:val="000000000000" w:firstRow="0" w:lastRow="0" w:firstColumn="0" w:lastColumn="0" w:oddVBand="0" w:evenVBand="0" w:oddHBand="0" w:evenHBand="0" w:firstRowFirstColumn="0" w:firstRowLastColumn="0" w:lastRowFirstColumn="0" w:lastRowLastColumn="0"/>
            </w:pPr>
            <w:r>
              <w:t>25</w:t>
            </w:r>
          </w:p>
        </w:tc>
        <w:tc>
          <w:tcPr>
            <w:tcW w:w="924" w:type="dxa"/>
          </w:tcPr>
          <w:p w14:paraId="49CD228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8" w:type="dxa"/>
          </w:tcPr>
          <w:p w14:paraId="5DB31572" w14:textId="77777777" w:rsidR="009D33A8" w:rsidRDefault="009D33A8">
            <w:pPr>
              <w:cnfStyle w:val="000000000000" w:firstRow="0" w:lastRow="0" w:firstColumn="0" w:lastColumn="0" w:oddVBand="0" w:evenVBand="0" w:oddHBand="0" w:evenHBand="0" w:firstRowFirstColumn="0" w:firstRowLastColumn="0" w:lastRowFirstColumn="0" w:lastRowLastColumn="0"/>
            </w:pPr>
            <w:r>
              <w:t>25</w:t>
            </w:r>
          </w:p>
        </w:tc>
      </w:tr>
      <w:tr w:rsidR="009D33A8" w14:paraId="19563361" w14:textId="77777777">
        <w:tc>
          <w:tcPr>
            <w:cnfStyle w:val="001000000000" w:firstRow="0" w:lastRow="0" w:firstColumn="1" w:lastColumn="0" w:oddVBand="0" w:evenVBand="0" w:oddHBand="0" w:evenHBand="0" w:firstRowFirstColumn="0" w:firstRowLastColumn="0" w:lastRowFirstColumn="0" w:lastRowLastColumn="0"/>
            <w:tcW w:w="4395" w:type="dxa"/>
          </w:tcPr>
          <w:p w14:paraId="5E91C57A" w14:textId="77777777" w:rsidR="009D33A8" w:rsidRDefault="009D33A8">
            <w:r>
              <w:rPr>
                <w:b/>
              </w:rPr>
              <w:t>Financial assets with loss allowance measured at lifetime credit loss (not credit impaired)</w:t>
            </w:r>
          </w:p>
        </w:tc>
        <w:tc>
          <w:tcPr>
            <w:tcW w:w="2170" w:type="dxa"/>
          </w:tcPr>
          <w:p w14:paraId="1951B20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72" w:type="dxa"/>
          </w:tcPr>
          <w:p w14:paraId="6E27DF8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0AB648B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8" w:type="dxa"/>
          </w:tcPr>
          <w:p w14:paraId="0E10108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5B09426" w14:textId="77777777">
        <w:tc>
          <w:tcPr>
            <w:cnfStyle w:val="001000000000" w:firstRow="0" w:lastRow="0" w:firstColumn="1" w:lastColumn="0" w:oddVBand="0" w:evenVBand="0" w:oddHBand="0" w:evenHBand="0" w:firstRowFirstColumn="0" w:firstRowLastColumn="0" w:lastRowFirstColumn="0" w:lastRowLastColumn="0"/>
            <w:tcW w:w="4395" w:type="dxa"/>
          </w:tcPr>
          <w:p w14:paraId="1AFDD626" w14:textId="77777777" w:rsidR="009D33A8" w:rsidRDefault="009D33A8">
            <w:r>
              <w:t>Cash and deposits</w:t>
            </w:r>
          </w:p>
        </w:tc>
        <w:tc>
          <w:tcPr>
            <w:tcW w:w="2170" w:type="dxa"/>
          </w:tcPr>
          <w:p w14:paraId="170D3557" w14:textId="77777777" w:rsidR="009D33A8" w:rsidRDefault="009D33A8">
            <w:pPr>
              <w:cnfStyle w:val="000000000000" w:firstRow="0" w:lastRow="0" w:firstColumn="0" w:lastColumn="0" w:oddVBand="0" w:evenVBand="0" w:oddHBand="0" w:evenHBand="0" w:firstRowFirstColumn="0" w:firstRowLastColumn="0" w:lastRowFirstColumn="0" w:lastRowLastColumn="0"/>
            </w:pPr>
            <w:r>
              <w:t>2 467</w:t>
            </w:r>
          </w:p>
        </w:tc>
        <w:tc>
          <w:tcPr>
            <w:tcW w:w="1372" w:type="dxa"/>
          </w:tcPr>
          <w:p w14:paraId="70C413A8" w14:textId="77777777" w:rsidR="009D33A8" w:rsidRDefault="009D33A8">
            <w:pPr>
              <w:cnfStyle w:val="000000000000" w:firstRow="0" w:lastRow="0" w:firstColumn="0" w:lastColumn="0" w:oddVBand="0" w:evenVBand="0" w:oddHBand="0" w:evenHBand="0" w:firstRowFirstColumn="0" w:firstRowLastColumn="0" w:lastRowFirstColumn="0" w:lastRowLastColumn="0"/>
            </w:pPr>
            <w:r>
              <w:t>48</w:t>
            </w:r>
          </w:p>
        </w:tc>
        <w:tc>
          <w:tcPr>
            <w:tcW w:w="924" w:type="dxa"/>
          </w:tcPr>
          <w:p w14:paraId="2D33180E"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778" w:type="dxa"/>
          </w:tcPr>
          <w:p w14:paraId="1C2EAD07" w14:textId="77777777" w:rsidR="009D33A8" w:rsidRDefault="009D33A8">
            <w:pPr>
              <w:cnfStyle w:val="000000000000" w:firstRow="0" w:lastRow="0" w:firstColumn="0" w:lastColumn="0" w:oddVBand="0" w:evenVBand="0" w:oddHBand="0" w:evenHBand="0" w:firstRowFirstColumn="0" w:firstRowLastColumn="0" w:lastRowFirstColumn="0" w:lastRowLastColumn="0"/>
            </w:pPr>
            <w:r>
              <w:t>2 532</w:t>
            </w:r>
          </w:p>
        </w:tc>
      </w:tr>
      <w:tr w:rsidR="009D33A8" w14:paraId="31BA3FC5" w14:textId="77777777">
        <w:tc>
          <w:tcPr>
            <w:cnfStyle w:val="001000000000" w:firstRow="0" w:lastRow="0" w:firstColumn="1" w:lastColumn="0" w:oddVBand="0" w:evenVBand="0" w:oddHBand="0" w:evenHBand="0" w:firstRowFirstColumn="0" w:firstRowLastColumn="0" w:lastRowFirstColumn="0" w:lastRowLastColumn="0"/>
            <w:tcW w:w="4395" w:type="dxa"/>
          </w:tcPr>
          <w:p w14:paraId="22304EE6" w14:textId="77777777" w:rsidR="009D33A8" w:rsidRDefault="009D33A8">
            <w:r>
              <w:t>Receivables applying the simplified approach for impairment</w:t>
            </w:r>
          </w:p>
        </w:tc>
        <w:tc>
          <w:tcPr>
            <w:tcW w:w="2170" w:type="dxa"/>
          </w:tcPr>
          <w:p w14:paraId="324F7FE8" w14:textId="77777777" w:rsidR="009D33A8" w:rsidRDefault="009D33A8">
            <w:pPr>
              <w:cnfStyle w:val="000000000000" w:firstRow="0" w:lastRow="0" w:firstColumn="0" w:lastColumn="0" w:oddVBand="0" w:evenVBand="0" w:oddHBand="0" w:evenHBand="0" w:firstRowFirstColumn="0" w:firstRowLastColumn="0" w:lastRowFirstColumn="0" w:lastRowLastColumn="0"/>
            </w:pPr>
            <w:r>
              <w:t>1 133</w:t>
            </w:r>
          </w:p>
        </w:tc>
        <w:tc>
          <w:tcPr>
            <w:tcW w:w="1372" w:type="dxa"/>
          </w:tcPr>
          <w:p w14:paraId="2EEAC385" w14:textId="77777777" w:rsidR="009D33A8" w:rsidRDefault="009D33A8">
            <w:pPr>
              <w:cnfStyle w:val="000000000000" w:firstRow="0" w:lastRow="0" w:firstColumn="0" w:lastColumn="0" w:oddVBand="0" w:evenVBand="0" w:oddHBand="0" w:evenHBand="0" w:firstRowFirstColumn="0" w:firstRowLastColumn="0" w:lastRowFirstColumn="0" w:lastRowLastColumn="0"/>
            </w:pPr>
            <w:r>
              <w:t>6</w:t>
            </w:r>
          </w:p>
        </w:tc>
        <w:tc>
          <w:tcPr>
            <w:tcW w:w="924" w:type="dxa"/>
          </w:tcPr>
          <w:p w14:paraId="7F5B8FCB" w14:textId="77777777" w:rsidR="009D33A8" w:rsidRDefault="009D33A8">
            <w:pPr>
              <w:cnfStyle w:val="000000000000" w:firstRow="0" w:lastRow="0" w:firstColumn="0" w:lastColumn="0" w:oddVBand="0" w:evenVBand="0" w:oddHBand="0" w:evenHBand="0" w:firstRowFirstColumn="0" w:firstRowLastColumn="0" w:lastRowFirstColumn="0" w:lastRowLastColumn="0"/>
            </w:pPr>
            <w:r>
              <w:t>2 303</w:t>
            </w:r>
          </w:p>
        </w:tc>
        <w:tc>
          <w:tcPr>
            <w:tcW w:w="778" w:type="dxa"/>
          </w:tcPr>
          <w:p w14:paraId="76A84DB6" w14:textId="77777777" w:rsidR="009D33A8" w:rsidRDefault="009D33A8">
            <w:pPr>
              <w:cnfStyle w:val="000000000000" w:firstRow="0" w:lastRow="0" w:firstColumn="0" w:lastColumn="0" w:oddVBand="0" w:evenVBand="0" w:oddHBand="0" w:evenHBand="0" w:firstRowFirstColumn="0" w:firstRowLastColumn="0" w:lastRowFirstColumn="0" w:lastRowLastColumn="0"/>
            </w:pPr>
            <w:r>
              <w:t>3 442</w:t>
            </w:r>
          </w:p>
        </w:tc>
      </w:tr>
      <w:tr w:rsidR="009D33A8" w14:paraId="42F29B16" w14:textId="77777777">
        <w:tc>
          <w:tcPr>
            <w:cnfStyle w:val="001000000000" w:firstRow="0" w:lastRow="0" w:firstColumn="1" w:lastColumn="0" w:oddVBand="0" w:evenVBand="0" w:oddHBand="0" w:evenHBand="0" w:firstRowFirstColumn="0" w:firstRowLastColumn="0" w:lastRowFirstColumn="0" w:lastRowLastColumn="0"/>
            <w:tcW w:w="4395" w:type="dxa"/>
          </w:tcPr>
          <w:p w14:paraId="512D3DC2" w14:textId="77777777" w:rsidR="009D33A8" w:rsidRDefault="009D33A8">
            <w:r>
              <w:t>Term deposits</w:t>
            </w:r>
          </w:p>
        </w:tc>
        <w:tc>
          <w:tcPr>
            <w:tcW w:w="2170" w:type="dxa"/>
          </w:tcPr>
          <w:p w14:paraId="4FA72978" w14:textId="77777777" w:rsidR="009D33A8" w:rsidRDefault="009D33A8">
            <w:pPr>
              <w:cnfStyle w:val="000000000000" w:firstRow="0" w:lastRow="0" w:firstColumn="0" w:lastColumn="0" w:oddVBand="0" w:evenVBand="0" w:oddHBand="0" w:evenHBand="0" w:firstRowFirstColumn="0" w:firstRowLastColumn="0" w:lastRowFirstColumn="0" w:lastRowLastColumn="0"/>
            </w:pPr>
            <w:r>
              <w:t>145</w:t>
            </w:r>
          </w:p>
        </w:tc>
        <w:tc>
          <w:tcPr>
            <w:tcW w:w="1372" w:type="dxa"/>
          </w:tcPr>
          <w:p w14:paraId="5AEED34F" w14:textId="77777777" w:rsidR="009D33A8" w:rsidRDefault="009D33A8">
            <w:pPr>
              <w:cnfStyle w:val="000000000000" w:firstRow="0" w:lastRow="0" w:firstColumn="0" w:lastColumn="0" w:oddVBand="0" w:evenVBand="0" w:oddHBand="0" w:evenHBand="0" w:firstRowFirstColumn="0" w:firstRowLastColumn="0" w:lastRowFirstColumn="0" w:lastRowLastColumn="0"/>
            </w:pPr>
            <w:r>
              <w:t>71</w:t>
            </w:r>
          </w:p>
        </w:tc>
        <w:tc>
          <w:tcPr>
            <w:tcW w:w="924" w:type="dxa"/>
          </w:tcPr>
          <w:p w14:paraId="172D5B1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8" w:type="dxa"/>
          </w:tcPr>
          <w:p w14:paraId="420B34BA" w14:textId="77777777" w:rsidR="009D33A8" w:rsidRDefault="009D33A8">
            <w:pPr>
              <w:cnfStyle w:val="000000000000" w:firstRow="0" w:lastRow="0" w:firstColumn="0" w:lastColumn="0" w:oddVBand="0" w:evenVBand="0" w:oddHBand="0" w:evenHBand="0" w:firstRowFirstColumn="0" w:firstRowLastColumn="0" w:lastRowFirstColumn="0" w:lastRowLastColumn="0"/>
            </w:pPr>
            <w:r>
              <w:t>216</w:t>
            </w:r>
          </w:p>
        </w:tc>
      </w:tr>
      <w:tr w:rsidR="009D33A8" w14:paraId="6811D2DB"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70347AD3" w14:textId="77777777" w:rsidR="009D33A8" w:rsidRDefault="009D33A8">
            <w:r>
              <w:rPr>
                <w:b/>
              </w:rPr>
              <w:t>Total financial assets</w:t>
            </w:r>
          </w:p>
        </w:tc>
        <w:tc>
          <w:tcPr>
            <w:tcW w:w="2170" w:type="dxa"/>
            <w:tcBorders>
              <w:top w:val="single" w:sz="6" w:space="0" w:color="auto"/>
              <w:bottom w:val="single" w:sz="12" w:space="0" w:color="auto"/>
            </w:tcBorders>
          </w:tcPr>
          <w:p w14:paraId="2858D6B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17 612</w:t>
            </w:r>
          </w:p>
        </w:tc>
        <w:tc>
          <w:tcPr>
            <w:tcW w:w="1372" w:type="dxa"/>
            <w:tcBorders>
              <w:top w:val="single" w:sz="6" w:space="0" w:color="auto"/>
              <w:bottom w:val="single" w:sz="12" w:space="0" w:color="auto"/>
            </w:tcBorders>
          </w:tcPr>
          <w:p w14:paraId="7331A08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2 377</w:t>
            </w:r>
          </w:p>
        </w:tc>
        <w:tc>
          <w:tcPr>
            <w:tcW w:w="924" w:type="dxa"/>
            <w:tcBorders>
              <w:top w:val="single" w:sz="6" w:space="0" w:color="auto"/>
              <w:bottom w:val="single" w:sz="12" w:space="0" w:color="auto"/>
            </w:tcBorders>
          </w:tcPr>
          <w:p w14:paraId="51E7BBB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2 744</w:t>
            </w:r>
          </w:p>
        </w:tc>
        <w:tc>
          <w:tcPr>
            <w:tcW w:w="778" w:type="dxa"/>
            <w:tcBorders>
              <w:top w:val="single" w:sz="6" w:space="0" w:color="auto"/>
              <w:bottom w:val="single" w:sz="12" w:space="0" w:color="auto"/>
            </w:tcBorders>
          </w:tcPr>
          <w:p w14:paraId="4219850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22 733</w:t>
            </w:r>
          </w:p>
        </w:tc>
      </w:tr>
    </w:tbl>
    <w:p w14:paraId="0ED30FED"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Credit_quality_GG_PY"/>
      </w:tblPr>
      <w:tblGrid>
        <w:gridCol w:w="4395"/>
        <w:gridCol w:w="2184"/>
        <w:gridCol w:w="1358"/>
        <w:gridCol w:w="924"/>
        <w:gridCol w:w="777"/>
      </w:tblGrid>
      <w:tr w:rsidR="00991200" w14:paraId="7E7F95E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5216ADF2" w14:textId="77777777" w:rsidR="009D33A8" w:rsidRDefault="009D33A8">
            <w:pPr>
              <w:keepNext/>
            </w:pPr>
            <w:r>
              <w:t>2024</w:t>
            </w:r>
            <w:r>
              <w:rPr>
                <w:vertAlign w:val="superscript"/>
              </w:rPr>
              <w:t xml:space="preserve"> (a)</w:t>
            </w:r>
          </w:p>
        </w:tc>
        <w:tc>
          <w:tcPr>
            <w:tcW w:w="2184" w:type="dxa"/>
            <w:tcBorders>
              <w:top w:val="single" w:sz="6" w:space="0" w:color="auto"/>
            </w:tcBorders>
          </w:tcPr>
          <w:p w14:paraId="4B1BF54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358" w:type="dxa"/>
            <w:tcBorders>
              <w:top w:val="single" w:sz="6" w:space="0" w:color="auto"/>
            </w:tcBorders>
          </w:tcPr>
          <w:p w14:paraId="0A9C9E6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24" w:type="dxa"/>
            <w:tcBorders>
              <w:top w:val="single" w:sz="6" w:space="0" w:color="auto"/>
            </w:tcBorders>
          </w:tcPr>
          <w:p w14:paraId="3574819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777" w:type="dxa"/>
            <w:tcBorders>
              <w:top w:val="single" w:sz="6" w:space="0" w:color="auto"/>
            </w:tcBorders>
          </w:tcPr>
          <w:p w14:paraId="519C915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3077BDD1" w14:textId="77777777">
        <w:tc>
          <w:tcPr>
            <w:cnfStyle w:val="001000000000" w:firstRow="0" w:lastRow="0" w:firstColumn="1" w:lastColumn="0" w:oddVBand="0" w:evenVBand="0" w:oddHBand="0" w:evenHBand="0" w:firstRowFirstColumn="0" w:firstRowLastColumn="0" w:lastRowFirstColumn="0" w:lastRowLastColumn="0"/>
            <w:tcW w:w="4395" w:type="dxa"/>
          </w:tcPr>
          <w:p w14:paraId="7FA5E78C" w14:textId="77777777" w:rsidR="009D33A8" w:rsidRDefault="009D33A8">
            <w:r>
              <w:rPr>
                <w:b/>
              </w:rPr>
              <w:t>Financial assets</w:t>
            </w:r>
          </w:p>
        </w:tc>
        <w:tc>
          <w:tcPr>
            <w:tcW w:w="2184" w:type="dxa"/>
          </w:tcPr>
          <w:p w14:paraId="1AB0EE2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58" w:type="dxa"/>
          </w:tcPr>
          <w:p w14:paraId="10AD379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603A8B7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410679B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65773AFB" w14:textId="77777777">
        <w:tc>
          <w:tcPr>
            <w:cnfStyle w:val="001000000000" w:firstRow="0" w:lastRow="0" w:firstColumn="1" w:lastColumn="0" w:oddVBand="0" w:evenVBand="0" w:oddHBand="0" w:evenHBand="0" w:firstRowFirstColumn="0" w:firstRowLastColumn="0" w:lastRowFirstColumn="0" w:lastRowLastColumn="0"/>
            <w:tcW w:w="4395" w:type="dxa"/>
          </w:tcPr>
          <w:p w14:paraId="7CB9C314" w14:textId="77777777" w:rsidR="009D33A8" w:rsidRDefault="009D33A8">
            <w:r>
              <w:rPr>
                <w:b/>
              </w:rPr>
              <w:t>Financial assets with loss allowance measured at 12 month expected credit loss</w:t>
            </w:r>
          </w:p>
        </w:tc>
        <w:tc>
          <w:tcPr>
            <w:tcW w:w="2184" w:type="dxa"/>
          </w:tcPr>
          <w:p w14:paraId="7D7DD36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58" w:type="dxa"/>
          </w:tcPr>
          <w:p w14:paraId="5F23B0B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773F536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536F074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618E7DC" w14:textId="77777777">
        <w:tc>
          <w:tcPr>
            <w:cnfStyle w:val="001000000000" w:firstRow="0" w:lastRow="0" w:firstColumn="1" w:lastColumn="0" w:oddVBand="0" w:evenVBand="0" w:oddHBand="0" w:evenHBand="0" w:firstRowFirstColumn="0" w:firstRowLastColumn="0" w:lastRowFirstColumn="0" w:lastRowLastColumn="0"/>
            <w:tcW w:w="4395" w:type="dxa"/>
          </w:tcPr>
          <w:p w14:paraId="2A1EA99E" w14:textId="77777777" w:rsidR="009D33A8" w:rsidRDefault="009D33A8">
            <w:r>
              <w:t>Cash and deposits</w:t>
            </w:r>
          </w:p>
        </w:tc>
        <w:tc>
          <w:tcPr>
            <w:tcW w:w="2184" w:type="dxa"/>
          </w:tcPr>
          <w:p w14:paraId="755DE498" w14:textId="77777777" w:rsidR="009D33A8" w:rsidRDefault="009D33A8">
            <w:pPr>
              <w:cnfStyle w:val="000000000000" w:firstRow="0" w:lastRow="0" w:firstColumn="0" w:lastColumn="0" w:oddVBand="0" w:evenVBand="0" w:oddHBand="0" w:evenHBand="0" w:firstRowFirstColumn="0" w:firstRowLastColumn="0" w:lastRowFirstColumn="0" w:lastRowLastColumn="0"/>
            </w:pPr>
            <w:r>
              <w:t>6 917</w:t>
            </w:r>
          </w:p>
        </w:tc>
        <w:tc>
          <w:tcPr>
            <w:tcW w:w="1358" w:type="dxa"/>
          </w:tcPr>
          <w:p w14:paraId="2E177F06" w14:textId="77777777" w:rsidR="009D33A8" w:rsidRDefault="009D33A8">
            <w:pPr>
              <w:cnfStyle w:val="000000000000" w:firstRow="0" w:lastRow="0" w:firstColumn="0" w:lastColumn="0" w:oddVBand="0" w:evenVBand="0" w:oddHBand="0" w:evenHBand="0" w:firstRowFirstColumn="0" w:firstRowLastColumn="0" w:lastRowFirstColumn="0" w:lastRowLastColumn="0"/>
            </w:pPr>
            <w:r>
              <w:t>3 042</w:t>
            </w:r>
          </w:p>
        </w:tc>
        <w:tc>
          <w:tcPr>
            <w:tcW w:w="924" w:type="dxa"/>
          </w:tcPr>
          <w:p w14:paraId="5670E0EB" w14:textId="77777777" w:rsidR="009D33A8" w:rsidRDefault="009D33A8">
            <w:pPr>
              <w:cnfStyle w:val="000000000000" w:firstRow="0" w:lastRow="0" w:firstColumn="0" w:lastColumn="0" w:oddVBand="0" w:evenVBand="0" w:oddHBand="0" w:evenHBand="0" w:firstRowFirstColumn="0" w:firstRowLastColumn="0" w:lastRowFirstColumn="0" w:lastRowLastColumn="0"/>
            </w:pPr>
            <w:r>
              <w:t>179</w:t>
            </w:r>
          </w:p>
        </w:tc>
        <w:tc>
          <w:tcPr>
            <w:tcW w:w="777" w:type="dxa"/>
          </w:tcPr>
          <w:p w14:paraId="43718C1C" w14:textId="77777777" w:rsidR="009D33A8" w:rsidRDefault="009D33A8">
            <w:pPr>
              <w:cnfStyle w:val="000000000000" w:firstRow="0" w:lastRow="0" w:firstColumn="0" w:lastColumn="0" w:oddVBand="0" w:evenVBand="0" w:oddHBand="0" w:evenHBand="0" w:firstRowFirstColumn="0" w:firstRowLastColumn="0" w:lastRowFirstColumn="0" w:lastRowLastColumn="0"/>
            </w:pPr>
            <w:r>
              <w:t>10 138</w:t>
            </w:r>
          </w:p>
        </w:tc>
      </w:tr>
      <w:tr w:rsidR="009D33A8" w14:paraId="682C8019" w14:textId="77777777">
        <w:tc>
          <w:tcPr>
            <w:cnfStyle w:val="001000000000" w:firstRow="0" w:lastRow="0" w:firstColumn="1" w:lastColumn="0" w:oddVBand="0" w:evenVBand="0" w:oddHBand="0" w:evenHBand="0" w:firstRowFirstColumn="0" w:firstRowLastColumn="0" w:lastRowFirstColumn="0" w:lastRowLastColumn="0"/>
            <w:tcW w:w="4395" w:type="dxa"/>
          </w:tcPr>
          <w:p w14:paraId="3483CD05" w14:textId="77777777" w:rsidR="009D33A8" w:rsidRDefault="009D33A8">
            <w:r>
              <w:t>Advances paid</w:t>
            </w:r>
          </w:p>
        </w:tc>
        <w:tc>
          <w:tcPr>
            <w:tcW w:w="2184" w:type="dxa"/>
          </w:tcPr>
          <w:p w14:paraId="3F5D1A73" w14:textId="77777777" w:rsidR="009D33A8" w:rsidRDefault="009D33A8">
            <w:pPr>
              <w:cnfStyle w:val="000000000000" w:firstRow="0" w:lastRow="0" w:firstColumn="0" w:lastColumn="0" w:oddVBand="0" w:evenVBand="0" w:oddHBand="0" w:evenHBand="0" w:firstRowFirstColumn="0" w:firstRowLastColumn="0" w:lastRowFirstColumn="0" w:lastRowLastColumn="0"/>
            </w:pPr>
            <w:r>
              <w:t>5 941</w:t>
            </w:r>
          </w:p>
        </w:tc>
        <w:tc>
          <w:tcPr>
            <w:tcW w:w="1358" w:type="dxa"/>
          </w:tcPr>
          <w:p w14:paraId="71CC7B40" w14:textId="77777777" w:rsidR="009D33A8" w:rsidRDefault="009D33A8">
            <w:pPr>
              <w:cnfStyle w:val="000000000000" w:firstRow="0" w:lastRow="0" w:firstColumn="0" w:lastColumn="0" w:oddVBand="0" w:evenVBand="0" w:oddHBand="0" w:evenHBand="0" w:firstRowFirstColumn="0" w:firstRowLastColumn="0" w:lastRowFirstColumn="0" w:lastRowLastColumn="0"/>
            </w:pPr>
            <w:r>
              <w:t>180</w:t>
            </w:r>
          </w:p>
        </w:tc>
        <w:tc>
          <w:tcPr>
            <w:tcW w:w="924" w:type="dxa"/>
          </w:tcPr>
          <w:p w14:paraId="4CA13F69" w14:textId="77777777" w:rsidR="009D33A8" w:rsidRDefault="009D33A8">
            <w:pPr>
              <w:cnfStyle w:val="000000000000" w:firstRow="0" w:lastRow="0" w:firstColumn="0" w:lastColumn="0" w:oddVBand="0" w:evenVBand="0" w:oddHBand="0" w:evenHBand="0" w:firstRowFirstColumn="0" w:firstRowLastColumn="0" w:lastRowFirstColumn="0" w:lastRowLastColumn="0"/>
            </w:pPr>
            <w:r>
              <w:t>96</w:t>
            </w:r>
          </w:p>
        </w:tc>
        <w:tc>
          <w:tcPr>
            <w:tcW w:w="777" w:type="dxa"/>
          </w:tcPr>
          <w:p w14:paraId="610A6E0B" w14:textId="77777777" w:rsidR="009D33A8" w:rsidRDefault="009D33A8">
            <w:pPr>
              <w:cnfStyle w:val="000000000000" w:firstRow="0" w:lastRow="0" w:firstColumn="0" w:lastColumn="0" w:oddVBand="0" w:evenVBand="0" w:oddHBand="0" w:evenHBand="0" w:firstRowFirstColumn="0" w:firstRowLastColumn="0" w:lastRowFirstColumn="0" w:lastRowLastColumn="0"/>
            </w:pPr>
            <w:r>
              <w:t>6 217</w:t>
            </w:r>
          </w:p>
        </w:tc>
      </w:tr>
      <w:tr w:rsidR="009D33A8" w14:paraId="16313F4F" w14:textId="77777777">
        <w:tc>
          <w:tcPr>
            <w:cnfStyle w:val="001000000000" w:firstRow="0" w:lastRow="0" w:firstColumn="1" w:lastColumn="0" w:oddVBand="0" w:evenVBand="0" w:oddHBand="0" w:evenHBand="0" w:firstRowFirstColumn="0" w:firstRowLastColumn="0" w:lastRowFirstColumn="0" w:lastRowLastColumn="0"/>
            <w:tcW w:w="4395" w:type="dxa"/>
          </w:tcPr>
          <w:p w14:paraId="0E3B32B3" w14:textId="77777777" w:rsidR="009D33A8" w:rsidRDefault="009D33A8">
            <w:r>
              <w:t>Term deposits</w:t>
            </w:r>
          </w:p>
        </w:tc>
        <w:tc>
          <w:tcPr>
            <w:tcW w:w="2184" w:type="dxa"/>
          </w:tcPr>
          <w:p w14:paraId="1014BAEC"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1358" w:type="dxa"/>
          </w:tcPr>
          <w:p w14:paraId="0653A490" w14:textId="77777777" w:rsidR="009D33A8" w:rsidRDefault="009D33A8">
            <w:pPr>
              <w:cnfStyle w:val="000000000000" w:firstRow="0" w:lastRow="0" w:firstColumn="0" w:lastColumn="0" w:oddVBand="0" w:evenVBand="0" w:oddHBand="0" w:evenHBand="0" w:firstRowFirstColumn="0" w:firstRowLastColumn="0" w:lastRowFirstColumn="0" w:lastRowLastColumn="0"/>
            </w:pPr>
            <w:r>
              <w:t>25</w:t>
            </w:r>
          </w:p>
        </w:tc>
        <w:tc>
          <w:tcPr>
            <w:tcW w:w="924" w:type="dxa"/>
          </w:tcPr>
          <w:p w14:paraId="51DCDDF6"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777" w:type="dxa"/>
          </w:tcPr>
          <w:p w14:paraId="213C024E" w14:textId="77777777" w:rsidR="009D33A8" w:rsidRDefault="009D33A8">
            <w:pPr>
              <w:cnfStyle w:val="000000000000" w:firstRow="0" w:lastRow="0" w:firstColumn="0" w:lastColumn="0" w:oddVBand="0" w:evenVBand="0" w:oddHBand="0" w:evenHBand="0" w:firstRowFirstColumn="0" w:firstRowLastColumn="0" w:lastRowFirstColumn="0" w:lastRowLastColumn="0"/>
            </w:pPr>
            <w:r>
              <w:t>32</w:t>
            </w:r>
          </w:p>
        </w:tc>
      </w:tr>
      <w:tr w:rsidR="009D33A8" w14:paraId="65237699" w14:textId="77777777">
        <w:tc>
          <w:tcPr>
            <w:cnfStyle w:val="001000000000" w:firstRow="0" w:lastRow="0" w:firstColumn="1" w:lastColumn="0" w:oddVBand="0" w:evenVBand="0" w:oddHBand="0" w:evenHBand="0" w:firstRowFirstColumn="0" w:firstRowLastColumn="0" w:lastRowFirstColumn="0" w:lastRowLastColumn="0"/>
            <w:tcW w:w="4395" w:type="dxa"/>
          </w:tcPr>
          <w:p w14:paraId="7A566C6C" w14:textId="77777777" w:rsidR="009D33A8" w:rsidRDefault="009D33A8">
            <w:r>
              <w:t>Debt securities</w:t>
            </w:r>
          </w:p>
        </w:tc>
        <w:tc>
          <w:tcPr>
            <w:tcW w:w="2184" w:type="dxa"/>
          </w:tcPr>
          <w:p w14:paraId="608A6A5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358" w:type="dxa"/>
          </w:tcPr>
          <w:p w14:paraId="391D5B4D" w14:textId="77777777" w:rsidR="009D33A8" w:rsidRDefault="009D33A8">
            <w:pPr>
              <w:cnfStyle w:val="000000000000" w:firstRow="0" w:lastRow="0" w:firstColumn="0" w:lastColumn="0" w:oddVBand="0" w:evenVBand="0" w:oddHBand="0" w:evenHBand="0" w:firstRowFirstColumn="0" w:firstRowLastColumn="0" w:lastRowFirstColumn="0" w:lastRowLastColumn="0"/>
            </w:pPr>
            <w:r>
              <w:t>24</w:t>
            </w:r>
          </w:p>
        </w:tc>
        <w:tc>
          <w:tcPr>
            <w:tcW w:w="924" w:type="dxa"/>
          </w:tcPr>
          <w:p w14:paraId="36446374"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777" w:type="dxa"/>
          </w:tcPr>
          <w:p w14:paraId="78A821BE"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r>
      <w:tr w:rsidR="009D33A8" w14:paraId="5628DE92" w14:textId="77777777">
        <w:tc>
          <w:tcPr>
            <w:cnfStyle w:val="001000000000" w:firstRow="0" w:lastRow="0" w:firstColumn="1" w:lastColumn="0" w:oddVBand="0" w:evenVBand="0" w:oddHBand="0" w:evenHBand="0" w:firstRowFirstColumn="0" w:firstRowLastColumn="0" w:lastRowFirstColumn="0" w:lastRowLastColumn="0"/>
            <w:tcW w:w="4395" w:type="dxa"/>
          </w:tcPr>
          <w:p w14:paraId="1C89C019" w14:textId="77777777" w:rsidR="009D33A8" w:rsidRDefault="009D33A8">
            <w:r>
              <w:rPr>
                <w:b/>
              </w:rPr>
              <w:t>Financial assets with loss allowance measured at lifetime credit loss (not credit impaired)</w:t>
            </w:r>
          </w:p>
        </w:tc>
        <w:tc>
          <w:tcPr>
            <w:tcW w:w="2184" w:type="dxa"/>
          </w:tcPr>
          <w:p w14:paraId="6B9B43D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358" w:type="dxa"/>
          </w:tcPr>
          <w:p w14:paraId="3E876BB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4" w:type="dxa"/>
          </w:tcPr>
          <w:p w14:paraId="6C3D5EF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77" w:type="dxa"/>
          </w:tcPr>
          <w:p w14:paraId="09712F1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92F4AE9" w14:textId="77777777">
        <w:tc>
          <w:tcPr>
            <w:cnfStyle w:val="001000000000" w:firstRow="0" w:lastRow="0" w:firstColumn="1" w:lastColumn="0" w:oddVBand="0" w:evenVBand="0" w:oddHBand="0" w:evenHBand="0" w:firstRowFirstColumn="0" w:firstRowLastColumn="0" w:lastRowFirstColumn="0" w:lastRowLastColumn="0"/>
            <w:tcW w:w="4395" w:type="dxa"/>
          </w:tcPr>
          <w:p w14:paraId="78EF76FB" w14:textId="77777777" w:rsidR="009D33A8" w:rsidRDefault="009D33A8">
            <w:r>
              <w:t>Cash and deposits</w:t>
            </w:r>
          </w:p>
        </w:tc>
        <w:tc>
          <w:tcPr>
            <w:tcW w:w="2184" w:type="dxa"/>
          </w:tcPr>
          <w:p w14:paraId="15B46343" w14:textId="77777777" w:rsidR="009D33A8" w:rsidRDefault="009D33A8">
            <w:pPr>
              <w:cnfStyle w:val="000000000000" w:firstRow="0" w:lastRow="0" w:firstColumn="0" w:lastColumn="0" w:oddVBand="0" w:evenVBand="0" w:oddHBand="0" w:evenHBand="0" w:firstRowFirstColumn="0" w:firstRowLastColumn="0" w:lastRowFirstColumn="0" w:lastRowLastColumn="0"/>
            </w:pPr>
            <w:r>
              <w:t>3 999</w:t>
            </w:r>
          </w:p>
        </w:tc>
        <w:tc>
          <w:tcPr>
            <w:tcW w:w="1358" w:type="dxa"/>
          </w:tcPr>
          <w:p w14:paraId="4450C05B" w14:textId="77777777" w:rsidR="009D33A8" w:rsidRDefault="009D33A8">
            <w:pPr>
              <w:cnfStyle w:val="000000000000" w:firstRow="0" w:lastRow="0" w:firstColumn="0" w:lastColumn="0" w:oddVBand="0" w:evenVBand="0" w:oddHBand="0" w:evenHBand="0" w:firstRowFirstColumn="0" w:firstRowLastColumn="0" w:lastRowFirstColumn="0" w:lastRowLastColumn="0"/>
            </w:pPr>
            <w:r>
              <w:t>152</w:t>
            </w:r>
          </w:p>
        </w:tc>
        <w:tc>
          <w:tcPr>
            <w:tcW w:w="924" w:type="dxa"/>
          </w:tcPr>
          <w:p w14:paraId="68F033AE" w14:textId="77777777" w:rsidR="009D33A8" w:rsidRDefault="009D33A8">
            <w:pPr>
              <w:cnfStyle w:val="000000000000" w:firstRow="0" w:lastRow="0" w:firstColumn="0" w:lastColumn="0" w:oddVBand="0" w:evenVBand="0" w:oddHBand="0" w:evenHBand="0" w:firstRowFirstColumn="0" w:firstRowLastColumn="0" w:lastRowFirstColumn="0" w:lastRowLastColumn="0"/>
            </w:pPr>
            <w:r>
              <w:t>16</w:t>
            </w:r>
          </w:p>
        </w:tc>
        <w:tc>
          <w:tcPr>
            <w:tcW w:w="777" w:type="dxa"/>
          </w:tcPr>
          <w:p w14:paraId="61FB8522" w14:textId="77777777" w:rsidR="009D33A8" w:rsidRDefault="009D33A8">
            <w:pPr>
              <w:cnfStyle w:val="000000000000" w:firstRow="0" w:lastRow="0" w:firstColumn="0" w:lastColumn="0" w:oddVBand="0" w:evenVBand="0" w:oddHBand="0" w:evenHBand="0" w:firstRowFirstColumn="0" w:firstRowLastColumn="0" w:lastRowFirstColumn="0" w:lastRowLastColumn="0"/>
            </w:pPr>
            <w:r>
              <w:t>4 167</w:t>
            </w:r>
          </w:p>
        </w:tc>
      </w:tr>
      <w:tr w:rsidR="009D33A8" w14:paraId="71DC77AE" w14:textId="77777777">
        <w:tc>
          <w:tcPr>
            <w:cnfStyle w:val="001000000000" w:firstRow="0" w:lastRow="0" w:firstColumn="1" w:lastColumn="0" w:oddVBand="0" w:evenVBand="0" w:oddHBand="0" w:evenHBand="0" w:firstRowFirstColumn="0" w:firstRowLastColumn="0" w:lastRowFirstColumn="0" w:lastRowLastColumn="0"/>
            <w:tcW w:w="4395" w:type="dxa"/>
          </w:tcPr>
          <w:p w14:paraId="76599326" w14:textId="77777777" w:rsidR="009D33A8" w:rsidRDefault="009D33A8">
            <w:r>
              <w:t>Receivables applying the simplified approach for impairment</w:t>
            </w:r>
          </w:p>
        </w:tc>
        <w:tc>
          <w:tcPr>
            <w:tcW w:w="2184" w:type="dxa"/>
          </w:tcPr>
          <w:p w14:paraId="656F1615" w14:textId="77777777" w:rsidR="009D33A8" w:rsidRDefault="009D33A8">
            <w:pPr>
              <w:cnfStyle w:val="000000000000" w:firstRow="0" w:lastRow="0" w:firstColumn="0" w:lastColumn="0" w:oddVBand="0" w:evenVBand="0" w:oddHBand="0" w:evenHBand="0" w:firstRowFirstColumn="0" w:firstRowLastColumn="0" w:lastRowFirstColumn="0" w:lastRowLastColumn="0"/>
            </w:pPr>
            <w:r>
              <w:t>933</w:t>
            </w:r>
          </w:p>
        </w:tc>
        <w:tc>
          <w:tcPr>
            <w:tcW w:w="1358" w:type="dxa"/>
          </w:tcPr>
          <w:p w14:paraId="71AF1870"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c>
          <w:tcPr>
            <w:tcW w:w="924" w:type="dxa"/>
          </w:tcPr>
          <w:p w14:paraId="654987B5" w14:textId="77777777" w:rsidR="009D33A8" w:rsidRDefault="009D33A8">
            <w:pPr>
              <w:cnfStyle w:val="000000000000" w:firstRow="0" w:lastRow="0" w:firstColumn="0" w:lastColumn="0" w:oddVBand="0" w:evenVBand="0" w:oddHBand="0" w:evenHBand="0" w:firstRowFirstColumn="0" w:firstRowLastColumn="0" w:lastRowFirstColumn="0" w:lastRowLastColumn="0"/>
            </w:pPr>
            <w:r>
              <w:t>2 201</w:t>
            </w:r>
          </w:p>
        </w:tc>
        <w:tc>
          <w:tcPr>
            <w:tcW w:w="777" w:type="dxa"/>
          </w:tcPr>
          <w:p w14:paraId="50E810E1" w14:textId="77777777" w:rsidR="009D33A8" w:rsidRDefault="009D33A8">
            <w:pPr>
              <w:cnfStyle w:val="000000000000" w:firstRow="0" w:lastRow="0" w:firstColumn="0" w:lastColumn="0" w:oddVBand="0" w:evenVBand="0" w:oddHBand="0" w:evenHBand="0" w:firstRowFirstColumn="0" w:firstRowLastColumn="0" w:lastRowFirstColumn="0" w:lastRowLastColumn="0"/>
            </w:pPr>
            <w:r>
              <w:t>3 173</w:t>
            </w:r>
          </w:p>
        </w:tc>
      </w:tr>
      <w:tr w:rsidR="009D33A8" w14:paraId="570F14A2" w14:textId="77777777">
        <w:tc>
          <w:tcPr>
            <w:cnfStyle w:val="001000000000" w:firstRow="0" w:lastRow="0" w:firstColumn="1" w:lastColumn="0" w:oddVBand="0" w:evenVBand="0" w:oddHBand="0" w:evenHBand="0" w:firstRowFirstColumn="0" w:firstRowLastColumn="0" w:lastRowFirstColumn="0" w:lastRowLastColumn="0"/>
            <w:tcW w:w="4395" w:type="dxa"/>
          </w:tcPr>
          <w:p w14:paraId="31E8364A" w14:textId="77777777" w:rsidR="009D33A8" w:rsidRDefault="009D33A8">
            <w:r>
              <w:t>Advances paid</w:t>
            </w:r>
          </w:p>
        </w:tc>
        <w:tc>
          <w:tcPr>
            <w:tcW w:w="2184" w:type="dxa"/>
          </w:tcPr>
          <w:p w14:paraId="347773E6"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1358" w:type="dxa"/>
          </w:tcPr>
          <w:p w14:paraId="65A60F2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24" w:type="dxa"/>
          </w:tcPr>
          <w:p w14:paraId="2EA11C4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75C6649F"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r>
      <w:tr w:rsidR="009D33A8" w14:paraId="519645E3" w14:textId="77777777">
        <w:tc>
          <w:tcPr>
            <w:cnfStyle w:val="001000000000" w:firstRow="0" w:lastRow="0" w:firstColumn="1" w:lastColumn="0" w:oddVBand="0" w:evenVBand="0" w:oddHBand="0" w:evenHBand="0" w:firstRowFirstColumn="0" w:firstRowLastColumn="0" w:lastRowFirstColumn="0" w:lastRowLastColumn="0"/>
            <w:tcW w:w="4395" w:type="dxa"/>
          </w:tcPr>
          <w:p w14:paraId="789761D7" w14:textId="77777777" w:rsidR="009D33A8" w:rsidRDefault="009D33A8">
            <w:r>
              <w:t>Term deposits</w:t>
            </w:r>
          </w:p>
        </w:tc>
        <w:tc>
          <w:tcPr>
            <w:tcW w:w="2184" w:type="dxa"/>
          </w:tcPr>
          <w:p w14:paraId="629170E3" w14:textId="77777777" w:rsidR="009D33A8" w:rsidRDefault="009D33A8">
            <w:pPr>
              <w:cnfStyle w:val="000000000000" w:firstRow="0" w:lastRow="0" w:firstColumn="0" w:lastColumn="0" w:oddVBand="0" w:evenVBand="0" w:oddHBand="0" w:evenHBand="0" w:firstRowFirstColumn="0" w:firstRowLastColumn="0" w:lastRowFirstColumn="0" w:lastRowLastColumn="0"/>
            </w:pPr>
            <w:r>
              <w:t>233</w:t>
            </w:r>
          </w:p>
        </w:tc>
        <w:tc>
          <w:tcPr>
            <w:tcW w:w="1358" w:type="dxa"/>
          </w:tcPr>
          <w:p w14:paraId="00A49101" w14:textId="77777777" w:rsidR="009D33A8" w:rsidRDefault="009D33A8">
            <w:pPr>
              <w:cnfStyle w:val="000000000000" w:firstRow="0" w:lastRow="0" w:firstColumn="0" w:lastColumn="0" w:oddVBand="0" w:evenVBand="0" w:oddHBand="0" w:evenHBand="0" w:firstRowFirstColumn="0" w:firstRowLastColumn="0" w:lastRowFirstColumn="0" w:lastRowLastColumn="0"/>
            </w:pPr>
            <w:r>
              <w:t>67</w:t>
            </w:r>
          </w:p>
        </w:tc>
        <w:tc>
          <w:tcPr>
            <w:tcW w:w="924" w:type="dxa"/>
          </w:tcPr>
          <w:p w14:paraId="445B935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77" w:type="dxa"/>
          </w:tcPr>
          <w:p w14:paraId="0830C22F" w14:textId="77777777" w:rsidR="009D33A8" w:rsidRDefault="009D33A8">
            <w:pPr>
              <w:cnfStyle w:val="000000000000" w:firstRow="0" w:lastRow="0" w:firstColumn="0" w:lastColumn="0" w:oddVBand="0" w:evenVBand="0" w:oddHBand="0" w:evenHBand="0" w:firstRowFirstColumn="0" w:firstRowLastColumn="0" w:lastRowFirstColumn="0" w:lastRowLastColumn="0"/>
            </w:pPr>
            <w:r>
              <w:t>301</w:t>
            </w:r>
          </w:p>
        </w:tc>
      </w:tr>
      <w:tr w:rsidR="009D33A8" w14:paraId="5FAC8D4A"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0D03F3E1" w14:textId="77777777" w:rsidR="009D33A8" w:rsidRDefault="009D33A8">
            <w:r>
              <w:rPr>
                <w:b/>
              </w:rPr>
              <w:t>Total financial assets</w:t>
            </w:r>
          </w:p>
        </w:tc>
        <w:tc>
          <w:tcPr>
            <w:tcW w:w="2184" w:type="dxa"/>
            <w:tcBorders>
              <w:top w:val="single" w:sz="6" w:space="0" w:color="auto"/>
              <w:bottom w:val="single" w:sz="12" w:space="0" w:color="auto"/>
            </w:tcBorders>
          </w:tcPr>
          <w:p w14:paraId="6BAFAD1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18 031</w:t>
            </w:r>
          </w:p>
        </w:tc>
        <w:tc>
          <w:tcPr>
            <w:tcW w:w="1358" w:type="dxa"/>
            <w:tcBorders>
              <w:top w:val="single" w:sz="6" w:space="0" w:color="auto"/>
              <w:bottom w:val="single" w:sz="12" w:space="0" w:color="auto"/>
            </w:tcBorders>
          </w:tcPr>
          <w:p w14:paraId="4D91427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3 529</w:t>
            </w:r>
          </w:p>
        </w:tc>
        <w:tc>
          <w:tcPr>
            <w:tcW w:w="924" w:type="dxa"/>
            <w:tcBorders>
              <w:top w:val="single" w:sz="6" w:space="0" w:color="auto"/>
              <w:bottom w:val="single" w:sz="12" w:space="0" w:color="auto"/>
            </w:tcBorders>
          </w:tcPr>
          <w:p w14:paraId="58AEF4A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2 497</w:t>
            </w:r>
          </w:p>
        </w:tc>
        <w:tc>
          <w:tcPr>
            <w:tcW w:w="777" w:type="dxa"/>
            <w:tcBorders>
              <w:top w:val="single" w:sz="6" w:space="0" w:color="auto"/>
              <w:bottom w:val="single" w:sz="12" w:space="0" w:color="auto"/>
            </w:tcBorders>
          </w:tcPr>
          <w:p w14:paraId="4AEC20A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24 057</w:t>
            </w:r>
          </w:p>
        </w:tc>
      </w:tr>
    </w:tbl>
    <w:p w14:paraId="79B530B0" w14:textId="77777777" w:rsidR="009D33A8" w:rsidRDefault="009D33A8" w:rsidP="009D33A8">
      <w:pPr>
        <w:pStyle w:val="Note"/>
      </w:pPr>
      <w:r>
        <w:t>Note:</w:t>
      </w:r>
    </w:p>
    <w:p w14:paraId="3719C3DA" w14:textId="77777777" w:rsidR="009D33A8" w:rsidRPr="00F130E8" w:rsidRDefault="009D33A8" w:rsidP="009D33A8">
      <w:pPr>
        <w:pStyle w:val="Note"/>
        <w:rPr>
          <w:iCs/>
        </w:rPr>
      </w:pPr>
      <w:r>
        <w:rPr>
          <w:iCs/>
        </w:rPr>
        <w:t xml:space="preserve">(a) </w:t>
      </w:r>
      <w:r>
        <w:rPr>
          <w:iCs/>
        </w:rPr>
        <w:tab/>
      </w:r>
      <w:r w:rsidRPr="00F130E8">
        <w:rPr>
          <w:iCs/>
        </w:rPr>
        <w:t xml:space="preserve">This table has been restated to more </w:t>
      </w:r>
      <w:r>
        <w:rPr>
          <w:iCs/>
        </w:rPr>
        <w:t>accurately</w:t>
      </w:r>
      <w:r w:rsidRPr="00F130E8">
        <w:rPr>
          <w:iCs/>
        </w:rPr>
        <w:t xml:space="preserve"> reflect the credit quality ratings as set by S&amp;P rating equivalent. </w:t>
      </w:r>
    </w:p>
    <w:p w14:paraId="727B5C08" w14:textId="77777777" w:rsidR="009D33A8" w:rsidRDefault="009D33A8" w:rsidP="009D33A8"/>
    <w:p w14:paraId="018696F2" w14:textId="77777777" w:rsidR="009D33A8" w:rsidRDefault="009D33A8" w:rsidP="009D33A8">
      <w:pPr>
        <w:keepLines w:val="0"/>
        <w:rPr>
          <w:rFonts w:asciiTheme="majorHAnsi" w:eastAsiaTheme="majorEastAsia" w:hAnsiTheme="majorHAnsi" w:cstheme="majorBidi"/>
          <w:b/>
          <w:sz w:val="23"/>
          <w:szCs w:val="24"/>
        </w:rPr>
      </w:pPr>
      <w:r>
        <w:br w:type="page"/>
      </w:r>
    </w:p>
    <w:p w14:paraId="23597518" w14:textId="77777777" w:rsidR="009D33A8" w:rsidRDefault="009D33A8" w:rsidP="009D33A8">
      <w:pPr>
        <w:pStyle w:val="Heading3"/>
      </w:pPr>
      <w:r>
        <w:lastRenderedPageBreak/>
        <w:t>6.1.5</w:t>
      </w:r>
      <w:r>
        <w:tab/>
        <w:t>Other matters</w:t>
      </w:r>
    </w:p>
    <w:p w14:paraId="59184DE3" w14:textId="77777777" w:rsidR="0097456B" w:rsidRDefault="0097456B" w:rsidP="009D33A8">
      <w:pPr>
        <w:pStyle w:val="Heading4"/>
        <w:sectPr w:rsidR="0097456B" w:rsidSect="00ED5429">
          <w:type w:val="continuous"/>
          <w:pgSz w:w="11906" w:h="16838" w:code="9"/>
          <w:pgMar w:top="1134" w:right="1134" w:bottom="1134" w:left="1134" w:header="624" w:footer="567" w:gutter="0"/>
          <w:cols w:space="708"/>
          <w:docGrid w:linePitch="360"/>
        </w:sectPr>
      </w:pPr>
    </w:p>
    <w:p w14:paraId="39EDCF85" w14:textId="77777777" w:rsidR="009D33A8" w:rsidRDefault="009D33A8" w:rsidP="009D33A8">
      <w:pPr>
        <w:pStyle w:val="Heading4"/>
      </w:pPr>
      <w:r>
        <w:t>Net gain or loss by category of financial instruments</w:t>
      </w:r>
    </w:p>
    <w:p w14:paraId="733EF053" w14:textId="77777777" w:rsidR="009D33A8" w:rsidRDefault="009D33A8" w:rsidP="009D33A8">
      <w:r>
        <w:t>The net gains or losses on financial assets and liabilities held at 30 June 2025 are determined as follows:</w:t>
      </w:r>
    </w:p>
    <w:p w14:paraId="5096A1ED" w14:textId="77777777" w:rsidR="009D33A8" w:rsidRPr="006039E3" w:rsidRDefault="009D33A8" w:rsidP="009D33A8">
      <w:pPr>
        <w:pStyle w:val="ListBullet"/>
        <w:keepLines/>
        <w:numPr>
          <w:ilvl w:val="0"/>
          <w:numId w:val="27"/>
        </w:numPr>
        <w:ind w:left="357" w:hanging="357"/>
      </w:pPr>
      <w:r w:rsidRPr="006039E3">
        <w:t>For financial assets at amortised cost the net gain or loss is calculated by taking the interest revenue, plus or minus foreign exchange gains or losses arising from revaluation of the financial assets, and minus any impairment recognised in the net result.</w:t>
      </w:r>
    </w:p>
    <w:p w14:paraId="3DCEF204" w14:textId="77777777" w:rsidR="009D33A8" w:rsidRPr="006039E3" w:rsidRDefault="009D33A8" w:rsidP="009D33A8">
      <w:pPr>
        <w:pStyle w:val="ListBullet"/>
        <w:keepLines/>
        <w:numPr>
          <w:ilvl w:val="0"/>
          <w:numId w:val="27"/>
        </w:numPr>
        <w:spacing w:before="180"/>
        <w:ind w:left="357" w:hanging="357"/>
      </w:pPr>
      <w:r w:rsidRPr="006039E3">
        <w:t>For financial liabilities measured at amortised cost, the net gain or loss is calculated by taking the interest expense, plus or minus foreign exchange gains or losses arising from the revaluation of financial liabilities measured at amortised cost.</w:t>
      </w:r>
    </w:p>
    <w:p w14:paraId="47275307" w14:textId="77777777" w:rsidR="009D33A8" w:rsidRPr="006039E3" w:rsidRDefault="009D33A8" w:rsidP="009D33A8">
      <w:pPr>
        <w:pStyle w:val="ListBullet"/>
        <w:keepLines/>
        <w:numPr>
          <w:ilvl w:val="0"/>
          <w:numId w:val="27"/>
        </w:numPr>
        <w:ind w:left="357" w:hanging="357"/>
      </w:pPr>
      <w:r w:rsidRPr="006039E3">
        <w:t xml:space="preserve">For financial assets and liabilities that are designated at fair value through profit or loss, the net gain or loss is calculated by taking the movement in the fair value of the financial asset or liability.  </w:t>
      </w:r>
    </w:p>
    <w:p w14:paraId="1470DF06" w14:textId="77777777" w:rsidR="0097456B" w:rsidRDefault="0097456B" w:rsidP="009D33A8">
      <w:pPr>
        <w:pStyle w:val="TableHeading"/>
        <w:sectPr w:rsidR="0097456B" w:rsidSect="0097456B">
          <w:type w:val="continuous"/>
          <w:pgSz w:w="11906" w:h="16838" w:code="9"/>
          <w:pgMar w:top="1134" w:right="1134" w:bottom="1134" w:left="1134" w:header="624" w:footer="567" w:gutter="0"/>
          <w:cols w:num="2" w:space="708"/>
          <w:docGrid w:linePitch="360"/>
        </w:sectPr>
      </w:pPr>
    </w:p>
    <w:p w14:paraId="62A6BEC5" w14:textId="77777777" w:rsidR="0097456B" w:rsidRDefault="0097456B" w:rsidP="009D33A8">
      <w:pPr>
        <w:pStyle w:val="TableHeading"/>
      </w:pPr>
    </w:p>
    <w:p w14:paraId="4AA909A3" w14:textId="6E197B94" w:rsidR="009D33A8" w:rsidRDefault="009D33A8" w:rsidP="009D33A8">
      <w:pPr>
        <w:pStyle w:val="TableHeading"/>
      </w:pPr>
      <w:r>
        <w:t>Net gain or loss by category of financial instruments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Gain_Loss_Fin_Instruments"/>
      </w:tblPr>
      <w:tblGrid>
        <w:gridCol w:w="7513"/>
        <w:gridCol w:w="851"/>
        <w:gridCol w:w="1274"/>
      </w:tblGrid>
      <w:tr w:rsidR="009D33A8" w14:paraId="5A90994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51E380BD" w14:textId="77777777" w:rsidR="009D33A8" w:rsidRDefault="009D33A8">
            <w:pPr>
              <w:keepNext/>
            </w:pPr>
            <w:r>
              <w:t>2025</w:t>
            </w:r>
          </w:p>
        </w:tc>
        <w:tc>
          <w:tcPr>
            <w:tcW w:w="851" w:type="dxa"/>
          </w:tcPr>
          <w:p w14:paraId="1FCEBA4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State of Victoria</w:t>
            </w:r>
          </w:p>
        </w:tc>
        <w:tc>
          <w:tcPr>
            <w:tcW w:w="1274" w:type="dxa"/>
          </w:tcPr>
          <w:p w14:paraId="58CD646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4896DD09" w14:textId="77777777">
        <w:tc>
          <w:tcPr>
            <w:cnfStyle w:val="001000000000" w:firstRow="0" w:lastRow="0" w:firstColumn="1" w:lastColumn="0" w:oddVBand="0" w:evenVBand="0" w:oddHBand="0" w:evenHBand="0" w:firstRowFirstColumn="0" w:firstRowLastColumn="0" w:lastRowFirstColumn="0" w:lastRowLastColumn="0"/>
            <w:tcW w:w="7513" w:type="dxa"/>
          </w:tcPr>
          <w:p w14:paraId="78543F68" w14:textId="77777777" w:rsidR="009D33A8" w:rsidRDefault="009D33A8">
            <w:r>
              <w:rPr>
                <w:b/>
              </w:rPr>
              <w:t>Financial assets</w:t>
            </w:r>
          </w:p>
        </w:tc>
        <w:tc>
          <w:tcPr>
            <w:tcW w:w="851" w:type="dxa"/>
          </w:tcPr>
          <w:p w14:paraId="53116F1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4" w:type="dxa"/>
          </w:tcPr>
          <w:p w14:paraId="5EDFBE5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773C75F" w14:textId="77777777">
        <w:tc>
          <w:tcPr>
            <w:cnfStyle w:val="001000000000" w:firstRow="0" w:lastRow="0" w:firstColumn="1" w:lastColumn="0" w:oddVBand="0" w:evenVBand="0" w:oddHBand="0" w:evenHBand="0" w:firstRowFirstColumn="0" w:firstRowLastColumn="0" w:lastRowFirstColumn="0" w:lastRowLastColumn="0"/>
            <w:tcW w:w="7513" w:type="dxa"/>
          </w:tcPr>
          <w:p w14:paraId="5EAA87A5" w14:textId="77777777" w:rsidR="009D33A8" w:rsidRDefault="009D33A8">
            <w:r>
              <w:t>Cash and deposits</w:t>
            </w:r>
          </w:p>
        </w:tc>
        <w:tc>
          <w:tcPr>
            <w:tcW w:w="851" w:type="dxa"/>
          </w:tcPr>
          <w:p w14:paraId="4F22BBED"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1274" w:type="dxa"/>
          </w:tcPr>
          <w:p w14:paraId="02905E06" w14:textId="77777777" w:rsidR="009D33A8" w:rsidRDefault="009D33A8">
            <w:pPr>
              <w:cnfStyle w:val="000000000000" w:firstRow="0" w:lastRow="0" w:firstColumn="0" w:lastColumn="0" w:oddVBand="0" w:evenVBand="0" w:oddHBand="0" w:evenHBand="0" w:firstRowFirstColumn="0" w:firstRowLastColumn="0" w:lastRowFirstColumn="0" w:lastRowLastColumn="0"/>
            </w:pPr>
            <w:r>
              <w:t>(9)</w:t>
            </w:r>
          </w:p>
        </w:tc>
      </w:tr>
      <w:tr w:rsidR="009D33A8" w14:paraId="2A18024C" w14:textId="77777777">
        <w:tc>
          <w:tcPr>
            <w:cnfStyle w:val="001000000000" w:firstRow="0" w:lastRow="0" w:firstColumn="1" w:lastColumn="0" w:oddVBand="0" w:evenVBand="0" w:oddHBand="0" w:evenHBand="0" w:firstRowFirstColumn="0" w:firstRowLastColumn="0" w:lastRowFirstColumn="0" w:lastRowLastColumn="0"/>
            <w:tcW w:w="7513" w:type="dxa"/>
          </w:tcPr>
          <w:p w14:paraId="2FB47463" w14:textId="77777777" w:rsidR="009D33A8" w:rsidRDefault="009D33A8">
            <w:r>
              <w:t>Financial assets designated at fair value through profit or loss</w:t>
            </w:r>
          </w:p>
        </w:tc>
        <w:tc>
          <w:tcPr>
            <w:tcW w:w="851" w:type="dxa"/>
          </w:tcPr>
          <w:p w14:paraId="38E1C186" w14:textId="77777777" w:rsidR="009D33A8" w:rsidRDefault="009D33A8">
            <w:pPr>
              <w:cnfStyle w:val="000000000000" w:firstRow="0" w:lastRow="0" w:firstColumn="0" w:lastColumn="0" w:oddVBand="0" w:evenVBand="0" w:oddHBand="0" w:evenHBand="0" w:firstRowFirstColumn="0" w:firstRowLastColumn="0" w:lastRowFirstColumn="0" w:lastRowLastColumn="0"/>
            </w:pPr>
            <w:r>
              <w:t>1 525</w:t>
            </w:r>
          </w:p>
        </w:tc>
        <w:tc>
          <w:tcPr>
            <w:tcW w:w="1274" w:type="dxa"/>
          </w:tcPr>
          <w:p w14:paraId="47C9F710" w14:textId="77777777" w:rsidR="009D33A8" w:rsidRDefault="009D33A8">
            <w:pPr>
              <w:cnfStyle w:val="000000000000" w:firstRow="0" w:lastRow="0" w:firstColumn="0" w:lastColumn="0" w:oddVBand="0" w:evenVBand="0" w:oddHBand="0" w:evenHBand="0" w:firstRowFirstColumn="0" w:firstRowLastColumn="0" w:lastRowFirstColumn="0" w:lastRowLastColumn="0"/>
            </w:pPr>
            <w:r>
              <w:t>655</w:t>
            </w:r>
          </w:p>
        </w:tc>
      </w:tr>
      <w:tr w:rsidR="009D33A8" w14:paraId="1839D18C" w14:textId="77777777">
        <w:tc>
          <w:tcPr>
            <w:cnfStyle w:val="001000000000" w:firstRow="0" w:lastRow="0" w:firstColumn="1" w:lastColumn="0" w:oddVBand="0" w:evenVBand="0" w:oddHBand="0" w:evenHBand="0" w:firstRowFirstColumn="0" w:firstRowLastColumn="0" w:lastRowFirstColumn="0" w:lastRowLastColumn="0"/>
            <w:tcW w:w="7513" w:type="dxa"/>
          </w:tcPr>
          <w:p w14:paraId="761CDD25" w14:textId="77777777" w:rsidR="009D33A8" w:rsidRDefault="009D33A8">
            <w:r>
              <w:t>Financial assets mandatorily measured at fair value through profit or loss</w:t>
            </w:r>
          </w:p>
        </w:tc>
        <w:tc>
          <w:tcPr>
            <w:tcW w:w="851" w:type="dxa"/>
          </w:tcPr>
          <w:p w14:paraId="4C5CD5D8" w14:textId="77777777" w:rsidR="009D33A8" w:rsidRDefault="009D33A8">
            <w:pPr>
              <w:cnfStyle w:val="000000000000" w:firstRow="0" w:lastRow="0" w:firstColumn="0" w:lastColumn="0" w:oddVBand="0" w:evenVBand="0" w:oddHBand="0" w:evenHBand="0" w:firstRowFirstColumn="0" w:firstRowLastColumn="0" w:lastRowFirstColumn="0" w:lastRowLastColumn="0"/>
            </w:pPr>
            <w:r>
              <w:t>1 549</w:t>
            </w:r>
          </w:p>
        </w:tc>
        <w:tc>
          <w:tcPr>
            <w:tcW w:w="1274" w:type="dxa"/>
          </w:tcPr>
          <w:p w14:paraId="20848D9F" w14:textId="77777777" w:rsidR="009D33A8" w:rsidRDefault="009D33A8">
            <w:pPr>
              <w:cnfStyle w:val="000000000000" w:firstRow="0" w:lastRow="0" w:firstColumn="0" w:lastColumn="0" w:oddVBand="0" w:evenVBand="0" w:oddHBand="0" w:evenHBand="0" w:firstRowFirstColumn="0" w:firstRowLastColumn="0" w:lastRowFirstColumn="0" w:lastRowLastColumn="0"/>
            </w:pPr>
            <w:r>
              <w:t>587</w:t>
            </w:r>
          </w:p>
        </w:tc>
      </w:tr>
      <w:tr w:rsidR="009D33A8" w14:paraId="7D1521BC" w14:textId="77777777">
        <w:tc>
          <w:tcPr>
            <w:cnfStyle w:val="001000000000" w:firstRow="0" w:lastRow="0" w:firstColumn="1" w:lastColumn="0" w:oddVBand="0" w:evenVBand="0" w:oddHBand="0" w:evenHBand="0" w:firstRowFirstColumn="0" w:firstRowLastColumn="0" w:lastRowFirstColumn="0" w:lastRowLastColumn="0"/>
            <w:tcW w:w="7513" w:type="dxa"/>
          </w:tcPr>
          <w:p w14:paraId="7D28B7F4" w14:textId="77777777" w:rsidR="009D33A8" w:rsidRDefault="009D33A8">
            <w:r>
              <w:t>Financial assets at amortised cost</w:t>
            </w:r>
          </w:p>
        </w:tc>
        <w:tc>
          <w:tcPr>
            <w:tcW w:w="851" w:type="dxa"/>
          </w:tcPr>
          <w:p w14:paraId="1E261284" w14:textId="77777777" w:rsidR="009D33A8" w:rsidRDefault="009D33A8">
            <w:pPr>
              <w:cnfStyle w:val="000000000000" w:firstRow="0" w:lastRow="0" w:firstColumn="0" w:lastColumn="0" w:oddVBand="0" w:evenVBand="0" w:oddHBand="0" w:evenHBand="0" w:firstRowFirstColumn="0" w:firstRowLastColumn="0" w:lastRowFirstColumn="0" w:lastRowLastColumn="0"/>
            </w:pPr>
            <w:r>
              <w:t>(63)</w:t>
            </w:r>
          </w:p>
        </w:tc>
        <w:tc>
          <w:tcPr>
            <w:tcW w:w="1274" w:type="dxa"/>
          </w:tcPr>
          <w:p w14:paraId="35A103A2"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r>
      <w:tr w:rsidR="009D33A8" w14:paraId="06DEE7FB" w14:textId="77777777">
        <w:tc>
          <w:tcPr>
            <w:cnfStyle w:val="001000000000" w:firstRow="0" w:lastRow="0" w:firstColumn="1" w:lastColumn="0" w:oddVBand="0" w:evenVBand="0" w:oddHBand="0" w:evenHBand="0" w:firstRowFirstColumn="0" w:firstRowLastColumn="0" w:lastRowFirstColumn="0" w:lastRowLastColumn="0"/>
            <w:tcW w:w="7513" w:type="dxa"/>
          </w:tcPr>
          <w:p w14:paraId="2EBC18DE" w14:textId="77777777" w:rsidR="009D33A8" w:rsidRDefault="009D33A8">
            <w:r>
              <w:t>Financial assets measured at fair value through other comprehensive income</w:t>
            </w:r>
          </w:p>
        </w:tc>
        <w:tc>
          <w:tcPr>
            <w:tcW w:w="851" w:type="dxa"/>
          </w:tcPr>
          <w:p w14:paraId="0112C1F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274" w:type="dxa"/>
          </w:tcPr>
          <w:p w14:paraId="47A7AE8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C46CF27"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307647F3" w14:textId="77777777" w:rsidR="009D33A8" w:rsidRDefault="009D33A8">
            <w:r>
              <w:rPr>
                <w:b/>
              </w:rPr>
              <w:t>Total financial assets</w:t>
            </w:r>
          </w:p>
        </w:tc>
        <w:tc>
          <w:tcPr>
            <w:tcW w:w="851" w:type="dxa"/>
            <w:tcBorders>
              <w:top w:val="single" w:sz="6" w:space="0" w:color="auto"/>
              <w:bottom w:val="single" w:sz="6" w:space="0" w:color="auto"/>
            </w:tcBorders>
          </w:tcPr>
          <w:p w14:paraId="44B2FED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2 995</w:t>
            </w:r>
          </w:p>
        </w:tc>
        <w:tc>
          <w:tcPr>
            <w:tcW w:w="1274" w:type="dxa"/>
            <w:tcBorders>
              <w:top w:val="single" w:sz="6" w:space="0" w:color="auto"/>
              <w:bottom w:val="single" w:sz="6" w:space="0" w:color="auto"/>
            </w:tcBorders>
          </w:tcPr>
          <w:p w14:paraId="21E7FFA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1 207</w:t>
            </w:r>
          </w:p>
        </w:tc>
      </w:tr>
      <w:tr w:rsidR="009D33A8" w14:paraId="4B9700A8"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2385FB30" w14:textId="77777777" w:rsidR="009D33A8" w:rsidRDefault="009D33A8">
            <w:r>
              <w:rPr>
                <w:b/>
              </w:rPr>
              <w:t>Financial liabilities</w:t>
            </w:r>
          </w:p>
        </w:tc>
        <w:tc>
          <w:tcPr>
            <w:tcW w:w="851" w:type="dxa"/>
            <w:tcBorders>
              <w:top w:val="single" w:sz="6" w:space="0" w:color="auto"/>
            </w:tcBorders>
          </w:tcPr>
          <w:p w14:paraId="6602291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4" w:type="dxa"/>
            <w:tcBorders>
              <w:top w:val="single" w:sz="6" w:space="0" w:color="auto"/>
            </w:tcBorders>
          </w:tcPr>
          <w:p w14:paraId="7BF0451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2BD45A0" w14:textId="77777777">
        <w:tc>
          <w:tcPr>
            <w:cnfStyle w:val="001000000000" w:firstRow="0" w:lastRow="0" w:firstColumn="1" w:lastColumn="0" w:oddVBand="0" w:evenVBand="0" w:oddHBand="0" w:evenHBand="0" w:firstRowFirstColumn="0" w:firstRowLastColumn="0" w:lastRowFirstColumn="0" w:lastRowLastColumn="0"/>
            <w:tcW w:w="7513" w:type="dxa"/>
          </w:tcPr>
          <w:p w14:paraId="7B01188D" w14:textId="77777777" w:rsidR="009D33A8" w:rsidRDefault="009D33A8">
            <w:r>
              <w:t>Financial liabilities designated at fair value through profit and loss</w:t>
            </w:r>
          </w:p>
        </w:tc>
        <w:tc>
          <w:tcPr>
            <w:tcW w:w="851" w:type="dxa"/>
          </w:tcPr>
          <w:p w14:paraId="7417CC29" w14:textId="77777777" w:rsidR="009D33A8" w:rsidRDefault="009D33A8">
            <w:pPr>
              <w:cnfStyle w:val="000000000000" w:firstRow="0" w:lastRow="0" w:firstColumn="0" w:lastColumn="0" w:oddVBand="0" w:evenVBand="0" w:oddHBand="0" w:evenHBand="0" w:firstRowFirstColumn="0" w:firstRowLastColumn="0" w:lastRowFirstColumn="0" w:lastRowLastColumn="0"/>
            </w:pPr>
            <w:r>
              <w:t>(5 831)</w:t>
            </w:r>
          </w:p>
        </w:tc>
        <w:tc>
          <w:tcPr>
            <w:tcW w:w="1274" w:type="dxa"/>
          </w:tcPr>
          <w:p w14:paraId="5000334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328555BC" w14:textId="77777777">
        <w:tc>
          <w:tcPr>
            <w:cnfStyle w:val="001000000000" w:firstRow="0" w:lastRow="0" w:firstColumn="1" w:lastColumn="0" w:oddVBand="0" w:evenVBand="0" w:oddHBand="0" w:evenHBand="0" w:firstRowFirstColumn="0" w:firstRowLastColumn="0" w:lastRowFirstColumn="0" w:lastRowLastColumn="0"/>
            <w:tcW w:w="7513" w:type="dxa"/>
          </w:tcPr>
          <w:p w14:paraId="2224E27E" w14:textId="77777777" w:rsidR="009D33A8" w:rsidRDefault="009D33A8">
            <w:r>
              <w:t>Financial liabilities mandatorily measured at fair value through profit or loss</w:t>
            </w:r>
          </w:p>
        </w:tc>
        <w:tc>
          <w:tcPr>
            <w:tcW w:w="851" w:type="dxa"/>
          </w:tcPr>
          <w:p w14:paraId="7C11CDAB" w14:textId="77777777" w:rsidR="009D33A8" w:rsidRDefault="009D33A8">
            <w:pPr>
              <w:cnfStyle w:val="000000000000" w:firstRow="0" w:lastRow="0" w:firstColumn="0" w:lastColumn="0" w:oddVBand="0" w:evenVBand="0" w:oddHBand="0" w:evenHBand="0" w:firstRowFirstColumn="0" w:firstRowLastColumn="0" w:lastRowFirstColumn="0" w:lastRowLastColumn="0"/>
            </w:pPr>
            <w:r>
              <w:t>241</w:t>
            </w:r>
          </w:p>
        </w:tc>
        <w:tc>
          <w:tcPr>
            <w:tcW w:w="1274" w:type="dxa"/>
          </w:tcPr>
          <w:p w14:paraId="520C076A"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6719E434" w14:textId="77777777">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4036DA2C" w14:textId="77777777" w:rsidR="009D33A8" w:rsidRDefault="009D33A8">
            <w:r>
              <w:t>Financial liabilities at amortised cost</w:t>
            </w:r>
          </w:p>
        </w:tc>
        <w:tc>
          <w:tcPr>
            <w:tcW w:w="851" w:type="dxa"/>
            <w:tcBorders>
              <w:bottom w:val="single" w:sz="6" w:space="0" w:color="auto"/>
            </w:tcBorders>
          </w:tcPr>
          <w:p w14:paraId="135CB1C3" w14:textId="77777777" w:rsidR="009D33A8" w:rsidRDefault="009D33A8">
            <w:pPr>
              <w:cnfStyle w:val="000000000000" w:firstRow="0" w:lastRow="0" w:firstColumn="0" w:lastColumn="0" w:oddVBand="0" w:evenVBand="0" w:oddHBand="0" w:evenHBand="0" w:firstRowFirstColumn="0" w:firstRowLastColumn="0" w:lastRowFirstColumn="0" w:lastRowLastColumn="0"/>
            </w:pPr>
            <w:r>
              <w:t>42</w:t>
            </w:r>
          </w:p>
        </w:tc>
        <w:tc>
          <w:tcPr>
            <w:tcW w:w="1274" w:type="dxa"/>
            <w:tcBorders>
              <w:bottom w:val="single" w:sz="6" w:space="0" w:color="auto"/>
            </w:tcBorders>
          </w:tcPr>
          <w:p w14:paraId="661C4F44" w14:textId="77777777" w:rsidR="009D33A8" w:rsidRDefault="009D33A8">
            <w:pPr>
              <w:cnfStyle w:val="000000000000" w:firstRow="0" w:lastRow="0" w:firstColumn="0" w:lastColumn="0" w:oddVBand="0" w:evenVBand="0" w:oddHBand="0" w:evenHBand="0" w:firstRowFirstColumn="0" w:firstRowLastColumn="0" w:lastRowFirstColumn="0" w:lastRowLastColumn="0"/>
            </w:pPr>
            <w:r>
              <w:t>42</w:t>
            </w:r>
          </w:p>
        </w:tc>
      </w:tr>
      <w:tr w:rsidR="009D33A8" w14:paraId="02AD1496"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67548C6F" w14:textId="77777777" w:rsidR="009D33A8" w:rsidRDefault="009D33A8">
            <w:r>
              <w:rPr>
                <w:b/>
              </w:rPr>
              <w:t>Total financial liabilities</w:t>
            </w:r>
          </w:p>
        </w:tc>
        <w:tc>
          <w:tcPr>
            <w:tcW w:w="851" w:type="dxa"/>
            <w:tcBorders>
              <w:top w:val="single" w:sz="6" w:space="0" w:color="auto"/>
              <w:bottom w:val="single" w:sz="12" w:space="0" w:color="auto"/>
            </w:tcBorders>
          </w:tcPr>
          <w:p w14:paraId="319C6D9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(5 548)</w:t>
            </w:r>
          </w:p>
        </w:tc>
        <w:tc>
          <w:tcPr>
            <w:tcW w:w="1274" w:type="dxa"/>
            <w:tcBorders>
              <w:top w:val="single" w:sz="6" w:space="0" w:color="auto"/>
              <w:bottom w:val="single" w:sz="12" w:space="0" w:color="auto"/>
            </w:tcBorders>
          </w:tcPr>
          <w:p w14:paraId="59252FF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40</w:t>
            </w:r>
          </w:p>
        </w:tc>
      </w:tr>
    </w:tbl>
    <w:p w14:paraId="44FB5E69"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Gain_Loss_Fin_Instruments_PY"/>
      </w:tblPr>
      <w:tblGrid>
        <w:gridCol w:w="7513"/>
        <w:gridCol w:w="851"/>
        <w:gridCol w:w="1274"/>
      </w:tblGrid>
      <w:tr w:rsidR="009D33A8" w14:paraId="13EF6B2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7A61CA85" w14:textId="77777777" w:rsidR="009D33A8" w:rsidRDefault="009D33A8">
            <w:pPr>
              <w:keepNext/>
            </w:pPr>
            <w:r>
              <w:t>2024</w:t>
            </w:r>
          </w:p>
        </w:tc>
        <w:tc>
          <w:tcPr>
            <w:tcW w:w="851" w:type="dxa"/>
          </w:tcPr>
          <w:p w14:paraId="14A34223" w14:textId="182A71A8"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274" w:type="dxa"/>
          </w:tcPr>
          <w:p w14:paraId="562CE8E5" w14:textId="31F17BE3"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2B211A7C" w14:textId="77777777">
        <w:tc>
          <w:tcPr>
            <w:cnfStyle w:val="001000000000" w:firstRow="0" w:lastRow="0" w:firstColumn="1" w:lastColumn="0" w:oddVBand="0" w:evenVBand="0" w:oddHBand="0" w:evenHBand="0" w:firstRowFirstColumn="0" w:firstRowLastColumn="0" w:lastRowFirstColumn="0" w:lastRowLastColumn="0"/>
            <w:tcW w:w="7513" w:type="dxa"/>
          </w:tcPr>
          <w:p w14:paraId="62EEF928" w14:textId="77777777" w:rsidR="009D33A8" w:rsidRDefault="009D33A8">
            <w:r>
              <w:rPr>
                <w:b/>
              </w:rPr>
              <w:t>Financial assets</w:t>
            </w:r>
          </w:p>
        </w:tc>
        <w:tc>
          <w:tcPr>
            <w:tcW w:w="851" w:type="dxa"/>
          </w:tcPr>
          <w:p w14:paraId="04D957A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4" w:type="dxa"/>
          </w:tcPr>
          <w:p w14:paraId="2103D57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85E9BAE" w14:textId="77777777">
        <w:tc>
          <w:tcPr>
            <w:cnfStyle w:val="001000000000" w:firstRow="0" w:lastRow="0" w:firstColumn="1" w:lastColumn="0" w:oddVBand="0" w:evenVBand="0" w:oddHBand="0" w:evenHBand="0" w:firstRowFirstColumn="0" w:firstRowLastColumn="0" w:lastRowFirstColumn="0" w:lastRowLastColumn="0"/>
            <w:tcW w:w="7513" w:type="dxa"/>
          </w:tcPr>
          <w:p w14:paraId="3001E23C" w14:textId="77777777" w:rsidR="009D33A8" w:rsidRDefault="009D33A8">
            <w:r>
              <w:t>Cash and deposits</w:t>
            </w:r>
          </w:p>
        </w:tc>
        <w:tc>
          <w:tcPr>
            <w:tcW w:w="851" w:type="dxa"/>
          </w:tcPr>
          <w:p w14:paraId="5350F3CF" w14:textId="77777777" w:rsidR="009D33A8" w:rsidRDefault="009D33A8">
            <w:pPr>
              <w:cnfStyle w:val="000000000000" w:firstRow="0" w:lastRow="0" w:firstColumn="0" w:lastColumn="0" w:oddVBand="0" w:evenVBand="0" w:oddHBand="0" w:evenHBand="0" w:firstRowFirstColumn="0" w:firstRowLastColumn="0" w:lastRowFirstColumn="0" w:lastRowLastColumn="0"/>
            </w:pPr>
            <w:r>
              <w:t>(14)</w:t>
            </w:r>
          </w:p>
        </w:tc>
        <w:tc>
          <w:tcPr>
            <w:tcW w:w="1274" w:type="dxa"/>
          </w:tcPr>
          <w:p w14:paraId="63A62822" w14:textId="77777777" w:rsidR="009D33A8" w:rsidRDefault="009D33A8">
            <w:pPr>
              <w:cnfStyle w:val="000000000000" w:firstRow="0" w:lastRow="0" w:firstColumn="0" w:lastColumn="0" w:oddVBand="0" w:evenVBand="0" w:oddHBand="0" w:evenHBand="0" w:firstRowFirstColumn="0" w:firstRowLastColumn="0" w:lastRowFirstColumn="0" w:lastRowLastColumn="0"/>
            </w:pPr>
            <w:r>
              <w:t>(9)</w:t>
            </w:r>
          </w:p>
        </w:tc>
      </w:tr>
      <w:tr w:rsidR="009D33A8" w14:paraId="605E3F88" w14:textId="77777777">
        <w:tc>
          <w:tcPr>
            <w:cnfStyle w:val="001000000000" w:firstRow="0" w:lastRow="0" w:firstColumn="1" w:lastColumn="0" w:oddVBand="0" w:evenVBand="0" w:oddHBand="0" w:evenHBand="0" w:firstRowFirstColumn="0" w:firstRowLastColumn="0" w:lastRowFirstColumn="0" w:lastRowLastColumn="0"/>
            <w:tcW w:w="7513" w:type="dxa"/>
          </w:tcPr>
          <w:p w14:paraId="608761AA" w14:textId="77777777" w:rsidR="009D33A8" w:rsidRDefault="009D33A8">
            <w:r>
              <w:t>Financial assets designated at fair value through profit or loss</w:t>
            </w:r>
          </w:p>
        </w:tc>
        <w:tc>
          <w:tcPr>
            <w:tcW w:w="851" w:type="dxa"/>
          </w:tcPr>
          <w:p w14:paraId="44BA8F8C" w14:textId="77777777" w:rsidR="009D33A8" w:rsidRDefault="009D33A8">
            <w:pPr>
              <w:cnfStyle w:val="000000000000" w:firstRow="0" w:lastRow="0" w:firstColumn="0" w:lastColumn="0" w:oddVBand="0" w:evenVBand="0" w:oddHBand="0" w:evenHBand="0" w:firstRowFirstColumn="0" w:firstRowLastColumn="0" w:lastRowFirstColumn="0" w:lastRowLastColumn="0"/>
            </w:pPr>
            <w:r>
              <w:t>1 069</w:t>
            </w:r>
          </w:p>
        </w:tc>
        <w:tc>
          <w:tcPr>
            <w:tcW w:w="1274" w:type="dxa"/>
          </w:tcPr>
          <w:p w14:paraId="4421D111" w14:textId="77777777" w:rsidR="009D33A8" w:rsidRDefault="009D33A8">
            <w:pPr>
              <w:cnfStyle w:val="000000000000" w:firstRow="0" w:lastRow="0" w:firstColumn="0" w:lastColumn="0" w:oddVBand="0" w:evenVBand="0" w:oddHBand="0" w:evenHBand="0" w:firstRowFirstColumn="0" w:firstRowLastColumn="0" w:lastRowFirstColumn="0" w:lastRowLastColumn="0"/>
            </w:pPr>
            <w:r>
              <w:t>402</w:t>
            </w:r>
          </w:p>
        </w:tc>
      </w:tr>
      <w:tr w:rsidR="009D33A8" w14:paraId="47E1F506" w14:textId="77777777">
        <w:tc>
          <w:tcPr>
            <w:cnfStyle w:val="001000000000" w:firstRow="0" w:lastRow="0" w:firstColumn="1" w:lastColumn="0" w:oddVBand="0" w:evenVBand="0" w:oddHBand="0" w:evenHBand="0" w:firstRowFirstColumn="0" w:firstRowLastColumn="0" w:lastRowFirstColumn="0" w:lastRowLastColumn="0"/>
            <w:tcW w:w="7513" w:type="dxa"/>
          </w:tcPr>
          <w:p w14:paraId="1AB833C1" w14:textId="77777777" w:rsidR="009D33A8" w:rsidRDefault="009D33A8">
            <w:r>
              <w:t>Financial assets mandatorily measured at fair value through profit or loss</w:t>
            </w:r>
          </w:p>
        </w:tc>
        <w:tc>
          <w:tcPr>
            <w:tcW w:w="851" w:type="dxa"/>
          </w:tcPr>
          <w:p w14:paraId="27A62372" w14:textId="77777777" w:rsidR="009D33A8" w:rsidRDefault="009D33A8">
            <w:pPr>
              <w:cnfStyle w:val="000000000000" w:firstRow="0" w:lastRow="0" w:firstColumn="0" w:lastColumn="0" w:oddVBand="0" w:evenVBand="0" w:oddHBand="0" w:evenHBand="0" w:firstRowFirstColumn="0" w:firstRowLastColumn="0" w:lastRowFirstColumn="0" w:lastRowLastColumn="0"/>
            </w:pPr>
            <w:r>
              <w:t>998</w:t>
            </w:r>
          </w:p>
        </w:tc>
        <w:tc>
          <w:tcPr>
            <w:tcW w:w="1274" w:type="dxa"/>
          </w:tcPr>
          <w:p w14:paraId="2BAA85F6" w14:textId="77777777" w:rsidR="009D33A8" w:rsidRDefault="009D33A8">
            <w:pPr>
              <w:cnfStyle w:val="000000000000" w:firstRow="0" w:lastRow="0" w:firstColumn="0" w:lastColumn="0" w:oddVBand="0" w:evenVBand="0" w:oddHBand="0" w:evenHBand="0" w:firstRowFirstColumn="0" w:firstRowLastColumn="0" w:lastRowFirstColumn="0" w:lastRowLastColumn="0"/>
            </w:pPr>
            <w:r>
              <w:t>98</w:t>
            </w:r>
          </w:p>
        </w:tc>
      </w:tr>
      <w:tr w:rsidR="009D33A8" w14:paraId="3972F681" w14:textId="77777777">
        <w:tc>
          <w:tcPr>
            <w:cnfStyle w:val="001000000000" w:firstRow="0" w:lastRow="0" w:firstColumn="1" w:lastColumn="0" w:oddVBand="0" w:evenVBand="0" w:oddHBand="0" w:evenHBand="0" w:firstRowFirstColumn="0" w:firstRowLastColumn="0" w:lastRowFirstColumn="0" w:lastRowLastColumn="0"/>
            <w:tcW w:w="7513" w:type="dxa"/>
          </w:tcPr>
          <w:p w14:paraId="4281CC09" w14:textId="77777777" w:rsidR="009D33A8" w:rsidRDefault="009D33A8">
            <w:r>
              <w:t>Financial assets at amortised cost</w:t>
            </w:r>
          </w:p>
        </w:tc>
        <w:tc>
          <w:tcPr>
            <w:tcW w:w="851" w:type="dxa"/>
          </w:tcPr>
          <w:p w14:paraId="087D3B7B" w14:textId="77777777" w:rsidR="009D33A8" w:rsidRDefault="009D33A8">
            <w:pPr>
              <w:cnfStyle w:val="000000000000" w:firstRow="0" w:lastRow="0" w:firstColumn="0" w:lastColumn="0" w:oddVBand="0" w:evenVBand="0" w:oddHBand="0" w:evenHBand="0" w:firstRowFirstColumn="0" w:firstRowLastColumn="0" w:lastRowFirstColumn="0" w:lastRowLastColumn="0"/>
            </w:pPr>
            <w:r>
              <w:t>(50)</w:t>
            </w:r>
          </w:p>
        </w:tc>
        <w:tc>
          <w:tcPr>
            <w:tcW w:w="1274" w:type="dxa"/>
          </w:tcPr>
          <w:p w14:paraId="475F98BA" w14:textId="77777777" w:rsidR="009D33A8" w:rsidRDefault="009D33A8">
            <w:pPr>
              <w:cnfStyle w:val="000000000000" w:firstRow="0" w:lastRow="0" w:firstColumn="0" w:lastColumn="0" w:oddVBand="0" w:evenVBand="0" w:oddHBand="0" w:evenHBand="0" w:firstRowFirstColumn="0" w:firstRowLastColumn="0" w:lastRowFirstColumn="0" w:lastRowLastColumn="0"/>
            </w:pPr>
            <w:r>
              <w:t>(23)</w:t>
            </w:r>
          </w:p>
        </w:tc>
      </w:tr>
      <w:tr w:rsidR="009D33A8" w14:paraId="42A5D983" w14:textId="77777777">
        <w:tc>
          <w:tcPr>
            <w:cnfStyle w:val="001000000000" w:firstRow="0" w:lastRow="0" w:firstColumn="1" w:lastColumn="0" w:oddVBand="0" w:evenVBand="0" w:oddHBand="0" w:evenHBand="0" w:firstRowFirstColumn="0" w:firstRowLastColumn="0" w:lastRowFirstColumn="0" w:lastRowLastColumn="0"/>
            <w:tcW w:w="7513" w:type="dxa"/>
          </w:tcPr>
          <w:p w14:paraId="0A679207" w14:textId="77777777" w:rsidR="009D33A8" w:rsidRDefault="009D33A8">
            <w:r>
              <w:t>Financial assets measured at fair value through other comprehensive income</w:t>
            </w:r>
          </w:p>
        </w:tc>
        <w:tc>
          <w:tcPr>
            <w:tcW w:w="851" w:type="dxa"/>
          </w:tcPr>
          <w:p w14:paraId="4259BDE1"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1274" w:type="dxa"/>
          </w:tcPr>
          <w:p w14:paraId="07D64871"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r>
      <w:tr w:rsidR="009D33A8" w14:paraId="283619A9"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6F9654D9" w14:textId="77777777" w:rsidR="009D33A8" w:rsidRDefault="009D33A8">
            <w:r>
              <w:rPr>
                <w:b/>
              </w:rPr>
              <w:t>Total financial assets</w:t>
            </w:r>
          </w:p>
        </w:tc>
        <w:tc>
          <w:tcPr>
            <w:tcW w:w="851" w:type="dxa"/>
            <w:tcBorders>
              <w:top w:val="single" w:sz="6" w:space="0" w:color="auto"/>
              <w:bottom w:val="single" w:sz="6" w:space="0" w:color="auto"/>
            </w:tcBorders>
          </w:tcPr>
          <w:p w14:paraId="7541F60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2 005</w:t>
            </w:r>
          </w:p>
        </w:tc>
        <w:tc>
          <w:tcPr>
            <w:tcW w:w="1274" w:type="dxa"/>
            <w:tcBorders>
              <w:top w:val="single" w:sz="6" w:space="0" w:color="auto"/>
              <w:bottom w:val="single" w:sz="6" w:space="0" w:color="auto"/>
            </w:tcBorders>
          </w:tcPr>
          <w:p w14:paraId="7E8750D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470</w:t>
            </w:r>
          </w:p>
        </w:tc>
      </w:tr>
      <w:tr w:rsidR="009D33A8" w14:paraId="5806FD5F"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3E83271C" w14:textId="77777777" w:rsidR="009D33A8" w:rsidRDefault="009D33A8">
            <w:r>
              <w:rPr>
                <w:b/>
              </w:rPr>
              <w:t>Financial liabilities</w:t>
            </w:r>
          </w:p>
        </w:tc>
        <w:tc>
          <w:tcPr>
            <w:tcW w:w="851" w:type="dxa"/>
            <w:tcBorders>
              <w:top w:val="single" w:sz="6" w:space="0" w:color="auto"/>
            </w:tcBorders>
          </w:tcPr>
          <w:p w14:paraId="4880384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4" w:type="dxa"/>
            <w:tcBorders>
              <w:top w:val="single" w:sz="6" w:space="0" w:color="auto"/>
            </w:tcBorders>
          </w:tcPr>
          <w:p w14:paraId="79FC1D8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8933A93" w14:textId="77777777">
        <w:tc>
          <w:tcPr>
            <w:cnfStyle w:val="001000000000" w:firstRow="0" w:lastRow="0" w:firstColumn="1" w:lastColumn="0" w:oddVBand="0" w:evenVBand="0" w:oddHBand="0" w:evenHBand="0" w:firstRowFirstColumn="0" w:firstRowLastColumn="0" w:lastRowFirstColumn="0" w:lastRowLastColumn="0"/>
            <w:tcW w:w="7513" w:type="dxa"/>
          </w:tcPr>
          <w:p w14:paraId="1F32FA42" w14:textId="77777777" w:rsidR="009D33A8" w:rsidRDefault="009D33A8">
            <w:r>
              <w:t>Financial liabilities designated at fair value through profit and loss</w:t>
            </w:r>
          </w:p>
        </w:tc>
        <w:tc>
          <w:tcPr>
            <w:tcW w:w="851" w:type="dxa"/>
          </w:tcPr>
          <w:p w14:paraId="01B77A2A" w14:textId="77777777" w:rsidR="009D33A8" w:rsidRDefault="009D33A8">
            <w:pPr>
              <w:cnfStyle w:val="000000000000" w:firstRow="0" w:lastRow="0" w:firstColumn="0" w:lastColumn="0" w:oddVBand="0" w:evenVBand="0" w:oddHBand="0" w:evenHBand="0" w:firstRowFirstColumn="0" w:firstRowLastColumn="0" w:lastRowFirstColumn="0" w:lastRowLastColumn="0"/>
            </w:pPr>
            <w:r>
              <w:t>64</w:t>
            </w:r>
          </w:p>
        </w:tc>
        <w:tc>
          <w:tcPr>
            <w:tcW w:w="1274" w:type="dxa"/>
          </w:tcPr>
          <w:p w14:paraId="76D65BF8" w14:textId="77777777" w:rsidR="009D33A8" w:rsidRDefault="009D33A8">
            <w:pPr>
              <w:cnfStyle w:val="000000000000" w:firstRow="0" w:lastRow="0" w:firstColumn="0" w:lastColumn="0" w:oddVBand="0" w:evenVBand="0" w:oddHBand="0" w:evenHBand="0" w:firstRowFirstColumn="0" w:firstRowLastColumn="0" w:lastRowFirstColumn="0" w:lastRowLastColumn="0"/>
            </w:pPr>
            <w:r>
              <w:t>(46)</w:t>
            </w:r>
          </w:p>
        </w:tc>
      </w:tr>
      <w:tr w:rsidR="009D33A8" w14:paraId="44927578" w14:textId="77777777">
        <w:tc>
          <w:tcPr>
            <w:cnfStyle w:val="001000000000" w:firstRow="0" w:lastRow="0" w:firstColumn="1" w:lastColumn="0" w:oddVBand="0" w:evenVBand="0" w:oddHBand="0" w:evenHBand="0" w:firstRowFirstColumn="0" w:firstRowLastColumn="0" w:lastRowFirstColumn="0" w:lastRowLastColumn="0"/>
            <w:tcW w:w="7513" w:type="dxa"/>
          </w:tcPr>
          <w:p w14:paraId="633ADF29" w14:textId="77777777" w:rsidR="009D33A8" w:rsidRDefault="009D33A8">
            <w:r>
              <w:t>Financial liabilities mandatorily measured at fair value through profit or loss</w:t>
            </w:r>
          </w:p>
        </w:tc>
        <w:tc>
          <w:tcPr>
            <w:tcW w:w="851" w:type="dxa"/>
          </w:tcPr>
          <w:p w14:paraId="649005DA" w14:textId="77777777" w:rsidR="009D33A8" w:rsidRDefault="009D33A8">
            <w:pPr>
              <w:cnfStyle w:val="000000000000" w:firstRow="0" w:lastRow="0" w:firstColumn="0" w:lastColumn="0" w:oddVBand="0" w:evenVBand="0" w:oddHBand="0" w:evenHBand="0" w:firstRowFirstColumn="0" w:firstRowLastColumn="0" w:lastRowFirstColumn="0" w:lastRowLastColumn="0"/>
            </w:pPr>
            <w:r>
              <w:t>(51)</w:t>
            </w:r>
          </w:p>
        </w:tc>
        <w:tc>
          <w:tcPr>
            <w:tcW w:w="1274" w:type="dxa"/>
          </w:tcPr>
          <w:p w14:paraId="043D73DC" w14:textId="77777777" w:rsidR="009D33A8" w:rsidRDefault="009D33A8">
            <w:pPr>
              <w:cnfStyle w:val="000000000000" w:firstRow="0" w:lastRow="0" w:firstColumn="0" w:lastColumn="0" w:oddVBand="0" w:evenVBand="0" w:oddHBand="0" w:evenHBand="0" w:firstRowFirstColumn="0" w:firstRowLastColumn="0" w:lastRowFirstColumn="0" w:lastRowLastColumn="0"/>
            </w:pPr>
            <w:r>
              <w:t>(30)</w:t>
            </w:r>
          </w:p>
        </w:tc>
      </w:tr>
      <w:tr w:rsidR="009D33A8" w14:paraId="276D3C1A" w14:textId="77777777">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41B15F6D" w14:textId="77777777" w:rsidR="009D33A8" w:rsidRDefault="009D33A8">
            <w:r>
              <w:t>Financial liabilities at amortised cost</w:t>
            </w:r>
          </w:p>
        </w:tc>
        <w:tc>
          <w:tcPr>
            <w:tcW w:w="851" w:type="dxa"/>
            <w:tcBorders>
              <w:bottom w:val="single" w:sz="6" w:space="0" w:color="auto"/>
            </w:tcBorders>
          </w:tcPr>
          <w:p w14:paraId="4CA6A27A" w14:textId="77777777" w:rsidR="009D33A8" w:rsidRDefault="009D33A8">
            <w:pPr>
              <w:cnfStyle w:val="000000000000" w:firstRow="0" w:lastRow="0" w:firstColumn="0" w:lastColumn="0" w:oddVBand="0" w:evenVBand="0" w:oddHBand="0" w:evenHBand="0" w:firstRowFirstColumn="0" w:firstRowLastColumn="0" w:lastRowFirstColumn="0" w:lastRowLastColumn="0"/>
            </w:pPr>
            <w:r>
              <w:t>89</w:t>
            </w:r>
          </w:p>
        </w:tc>
        <w:tc>
          <w:tcPr>
            <w:tcW w:w="1274" w:type="dxa"/>
            <w:tcBorders>
              <w:bottom w:val="single" w:sz="6" w:space="0" w:color="auto"/>
            </w:tcBorders>
          </w:tcPr>
          <w:p w14:paraId="2FB3FFE8" w14:textId="77777777" w:rsidR="009D33A8" w:rsidRDefault="009D33A8">
            <w:pPr>
              <w:cnfStyle w:val="000000000000" w:firstRow="0" w:lastRow="0" w:firstColumn="0" w:lastColumn="0" w:oddVBand="0" w:evenVBand="0" w:oddHBand="0" w:evenHBand="0" w:firstRowFirstColumn="0" w:firstRowLastColumn="0" w:lastRowFirstColumn="0" w:lastRowLastColumn="0"/>
            </w:pPr>
            <w:r>
              <w:t>89</w:t>
            </w:r>
          </w:p>
        </w:tc>
      </w:tr>
      <w:tr w:rsidR="009D33A8" w14:paraId="25019449" w14:textId="77777777">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24A77C9A" w14:textId="77777777" w:rsidR="009D33A8" w:rsidRDefault="009D33A8">
            <w:r>
              <w:rPr>
                <w:b/>
              </w:rPr>
              <w:t>Total financial liabilities</w:t>
            </w:r>
          </w:p>
        </w:tc>
        <w:tc>
          <w:tcPr>
            <w:tcW w:w="851" w:type="dxa"/>
            <w:tcBorders>
              <w:top w:val="single" w:sz="6" w:space="0" w:color="auto"/>
              <w:bottom w:val="single" w:sz="12" w:space="0" w:color="auto"/>
            </w:tcBorders>
          </w:tcPr>
          <w:p w14:paraId="4863DA8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102</w:t>
            </w:r>
          </w:p>
        </w:tc>
        <w:tc>
          <w:tcPr>
            <w:tcW w:w="1274" w:type="dxa"/>
            <w:tcBorders>
              <w:top w:val="single" w:sz="6" w:space="0" w:color="auto"/>
              <w:bottom w:val="single" w:sz="12" w:space="0" w:color="auto"/>
            </w:tcBorders>
          </w:tcPr>
          <w:p w14:paraId="39C3BB9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14</w:t>
            </w:r>
          </w:p>
        </w:tc>
      </w:tr>
    </w:tbl>
    <w:p w14:paraId="48A27FF9" w14:textId="77777777" w:rsidR="009D33A8" w:rsidRPr="00E636D5" w:rsidRDefault="009D33A8" w:rsidP="009D33A8"/>
    <w:p w14:paraId="1D1449ED" w14:textId="77777777" w:rsidR="009D33A8" w:rsidRDefault="009D33A8" w:rsidP="009D33A8">
      <w:pPr>
        <w:keepLines w:val="0"/>
        <w:rPr>
          <w:rFonts w:asciiTheme="majorHAnsi" w:hAnsiTheme="majorHAnsi" w:cstheme="minorBidi"/>
          <w:b/>
          <w:iCs/>
          <w:sz w:val="20"/>
          <w:szCs w:val="18"/>
        </w:rPr>
      </w:pPr>
      <w:r>
        <w:br w:type="page"/>
      </w:r>
    </w:p>
    <w:p w14:paraId="2E64D41A" w14:textId="77777777" w:rsidR="009D33A8" w:rsidRDefault="009D33A8" w:rsidP="009D33A8">
      <w:pPr>
        <w:pStyle w:val="TableHeading"/>
      </w:pPr>
      <w:r w:rsidRPr="00B0110E">
        <w:lastRenderedPageBreak/>
        <w:t xml:space="preserve">Breakdown of interest </w:t>
      </w:r>
      <w:r>
        <w:t>income</w:t>
      </w:r>
      <w:r w:rsidRPr="00B0110E">
        <w:t xml:space="preserve"> </w:t>
      </w:r>
      <w:r w:rsidRPr="00B0110E">
        <w:rPr>
          <w:vertAlign w:val="superscript"/>
        </w:rPr>
        <w:t>(a)</w:t>
      </w:r>
      <w:r w:rsidRPr="00B0110E">
        <w:tab/>
      </w:r>
      <w:bookmarkStart w:id="115" w:name="_Hlk139915421"/>
      <w:r w:rsidRPr="00B0110E">
        <w:t>($ million)</w:t>
      </w:r>
      <w:bookmarkEnd w:id="115"/>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Breakdown_interest_Rev"/>
      </w:tblPr>
      <w:tblGrid>
        <w:gridCol w:w="6010"/>
        <w:gridCol w:w="907"/>
        <w:gridCol w:w="907"/>
        <w:gridCol w:w="907"/>
        <w:gridCol w:w="907"/>
      </w:tblGrid>
      <w:tr w:rsidR="009D33A8" w14:paraId="4D9C718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D29BC77" w14:textId="77777777" w:rsidR="009D33A8" w:rsidRDefault="009D33A8">
            <w:pPr>
              <w:keepNext/>
            </w:pPr>
          </w:p>
        </w:tc>
        <w:tc>
          <w:tcPr>
            <w:tcW w:w="1814" w:type="dxa"/>
            <w:gridSpan w:val="2"/>
          </w:tcPr>
          <w:p w14:paraId="753004F5"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4E3B2237"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6A5BC52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5BBD77B" w14:textId="77777777" w:rsidR="009D33A8" w:rsidRDefault="009D33A8">
            <w:pPr>
              <w:keepNext/>
            </w:pPr>
          </w:p>
        </w:tc>
        <w:tc>
          <w:tcPr>
            <w:tcW w:w="907" w:type="dxa"/>
          </w:tcPr>
          <w:p w14:paraId="12464D3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E0C43E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27955BA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7EA80C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6BC792D6" w14:textId="77777777">
        <w:tc>
          <w:tcPr>
            <w:cnfStyle w:val="001000000000" w:firstRow="0" w:lastRow="0" w:firstColumn="1" w:lastColumn="0" w:oddVBand="0" w:evenVBand="0" w:oddHBand="0" w:evenHBand="0" w:firstRowFirstColumn="0" w:firstRowLastColumn="0" w:lastRowFirstColumn="0" w:lastRowLastColumn="0"/>
            <w:tcW w:w="6010" w:type="dxa"/>
          </w:tcPr>
          <w:p w14:paraId="5DA69DF0" w14:textId="77777777" w:rsidR="009D33A8" w:rsidRDefault="009D33A8">
            <w:r>
              <w:t>Interest income from financial assets not at fair value through profit or loss</w:t>
            </w:r>
          </w:p>
        </w:tc>
        <w:tc>
          <w:tcPr>
            <w:tcW w:w="907" w:type="dxa"/>
          </w:tcPr>
          <w:p w14:paraId="5C05F24D" w14:textId="77777777" w:rsidR="009D33A8" w:rsidRDefault="009D33A8">
            <w:pPr>
              <w:cnfStyle w:val="000000000000" w:firstRow="0" w:lastRow="0" w:firstColumn="0" w:lastColumn="0" w:oddVBand="0" w:evenVBand="0" w:oddHBand="0" w:evenHBand="0" w:firstRowFirstColumn="0" w:firstRowLastColumn="0" w:lastRowFirstColumn="0" w:lastRowLastColumn="0"/>
            </w:pPr>
            <w:r>
              <w:t>1 020</w:t>
            </w:r>
          </w:p>
        </w:tc>
        <w:tc>
          <w:tcPr>
            <w:tcW w:w="907" w:type="dxa"/>
          </w:tcPr>
          <w:p w14:paraId="6B2D6650" w14:textId="77777777" w:rsidR="009D33A8" w:rsidRDefault="009D33A8">
            <w:pPr>
              <w:cnfStyle w:val="000000000000" w:firstRow="0" w:lastRow="0" w:firstColumn="0" w:lastColumn="0" w:oddVBand="0" w:evenVBand="0" w:oddHBand="0" w:evenHBand="0" w:firstRowFirstColumn="0" w:firstRowLastColumn="0" w:lastRowFirstColumn="0" w:lastRowLastColumn="0"/>
            </w:pPr>
            <w:r>
              <w:t>1 154</w:t>
            </w:r>
          </w:p>
        </w:tc>
        <w:tc>
          <w:tcPr>
            <w:tcW w:w="907" w:type="dxa"/>
          </w:tcPr>
          <w:p w14:paraId="47BAEBF2" w14:textId="77777777" w:rsidR="009D33A8" w:rsidRDefault="009D33A8">
            <w:pPr>
              <w:cnfStyle w:val="000000000000" w:firstRow="0" w:lastRow="0" w:firstColumn="0" w:lastColumn="0" w:oddVBand="0" w:evenVBand="0" w:oddHBand="0" w:evenHBand="0" w:firstRowFirstColumn="0" w:firstRowLastColumn="0" w:lastRowFirstColumn="0" w:lastRowLastColumn="0"/>
            </w:pPr>
            <w:r>
              <w:t>1 485</w:t>
            </w:r>
          </w:p>
        </w:tc>
        <w:tc>
          <w:tcPr>
            <w:tcW w:w="907" w:type="dxa"/>
          </w:tcPr>
          <w:p w14:paraId="68FA7782" w14:textId="77777777" w:rsidR="009D33A8" w:rsidRDefault="009D33A8">
            <w:pPr>
              <w:cnfStyle w:val="000000000000" w:firstRow="0" w:lastRow="0" w:firstColumn="0" w:lastColumn="0" w:oddVBand="0" w:evenVBand="0" w:oddHBand="0" w:evenHBand="0" w:firstRowFirstColumn="0" w:firstRowLastColumn="0" w:lastRowFirstColumn="0" w:lastRowLastColumn="0"/>
            </w:pPr>
            <w:r>
              <w:t>1 590</w:t>
            </w:r>
          </w:p>
        </w:tc>
      </w:tr>
      <w:tr w:rsidR="009D33A8" w14:paraId="0CD386FE" w14:textId="77777777">
        <w:tc>
          <w:tcPr>
            <w:cnfStyle w:val="001000000000" w:firstRow="0" w:lastRow="0" w:firstColumn="1" w:lastColumn="0" w:oddVBand="0" w:evenVBand="0" w:oddHBand="0" w:evenHBand="0" w:firstRowFirstColumn="0" w:firstRowLastColumn="0" w:lastRowFirstColumn="0" w:lastRowLastColumn="0"/>
            <w:tcW w:w="6010" w:type="dxa"/>
          </w:tcPr>
          <w:p w14:paraId="62590910" w14:textId="77777777" w:rsidR="009D33A8" w:rsidRDefault="009D33A8">
            <w:r>
              <w:t>Interest income from financial assets at fair value through profit or loss</w:t>
            </w:r>
          </w:p>
        </w:tc>
        <w:tc>
          <w:tcPr>
            <w:tcW w:w="907" w:type="dxa"/>
          </w:tcPr>
          <w:p w14:paraId="0CBD8541" w14:textId="77777777" w:rsidR="009D33A8" w:rsidRDefault="009D33A8">
            <w:pPr>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5DADCB4E" w14:textId="77777777" w:rsidR="009D33A8" w:rsidRDefault="009D33A8">
            <w:pPr>
              <w:cnfStyle w:val="000000000000" w:firstRow="0" w:lastRow="0" w:firstColumn="0" w:lastColumn="0" w:oddVBand="0" w:evenVBand="0" w:oddHBand="0" w:evenHBand="0" w:firstRowFirstColumn="0" w:firstRowLastColumn="0" w:lastRowFirstColumn="0" w:lastRowLastColumn="0"/>
            </w:pPr>
            <w:r>
              <w:t>841</w:t>
            </w:r>
          </w:p>
        </w:tc>
        <w:tc>
          <w:tcPr>
            <w:tcW w:w="907" w:type="dxa"/>
          </w:tcPr>
          <w:p w14:paraId="6F5D4E1E" w14:textId="77777777" w:rsidR="009D33A8" w:rsidRDefault="009D33A8">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698ACC7B" w14:textId="77777777" w:rsidR="009D33A8" w:rsidRDefault="009D33A8">
            <w:pPr>
              <w:cnfStyle w:val="000000000000" w:firstRow="0" w:lastRow="0" w:firstColumn="0" w:lastColumn="0" w:oddVBand="0" w:evenVBand="0" w:oddHBand="0" w:evenHBand="0" w:firstRowFirstColumn="0" w:firstRowLastColumn="0" w:lastRowFirstColumn="0" w:lastRowLastColumn="0"/>
            </w:pPr>
            <w:r>
              <w:t>166</w:t>
            </w:r>
          </w:p>
        </w:tc>
      </w:tr>
      <w:tr w:rsidR="009D33A8" w14:paraId="590C0088"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9EE7EDD" w14:textId="77777777" w:rsidR="009D33A8" w:rsidRDefault="009D33A8">
            <w:r>
              <w:rPr>
                <w:b/>
              </w:rPr>
              <w:t>Total</w:t>
            </w:r>
          </w:p>
        </w:tc>
        <w:tc>
          <w:tcPr>
            <w:tcW w:w="907" w:type="dxa"/>
            <w:tcBorders>
              <w:top w:val="single" w:sz="6" w:space="0" w:color="auto"/>
              <w:bottom w:val="single" w:sz="12" w:space="0" w:color="auto"/>
            </w:tcBorders>
          </w:tcPr>
          <w:p w14:paraId="3D85ADC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1 811</w:t>
            </w:r>
          </w:p>
        </w:tc>
        <w:tc>
          <w:tcPr>
            <w:tcW w:w="907" w:type="dxa"/>
            <w:tcBorders>
              <w:top w:val="single" w:sz="6" w:space="0" w:color="auto"/>
              <w:bottom w:val="single" w:sz="12" w:space="0" w:color="auto"/>
            </w:tcBorders>
          </w:tcPr>
          <w:p w14:paraId="4C68FF7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1 996</w:t>
            </w:r>
          </w:p>
        </w:tc>
        <w:tc>
          <w:tcPr>
            <w:tcW w:w="907" w:type="dxa"/>
            <w:tcBorders>
              <w:top w:val="single" w:sz="6" w:space="0" w:color="auto"/>
              <w:bottom w:val="single" w:sz="12" w:space="0" w:color="auto"/>
            </w:tcBorders>
          </w:tcPr>
          <w:p w14:paraId="731E47D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1 538</w:t>
            </w:r>
          </w:p>
        </w:tc>
        <w:tc>
          <w:tcPr>
            <w:tcW w:w="907" w:type="dxa"/>
            <w:tcBorders>
              <w:top w:val="single" w:sz="6" w:space="0" w:color="auto"/>
              <w:bottom w:val="single" w:sz="12" w:space="0" w:color="auto"/>
            </w:tcBorders>
          </w:tcPr>
          <w:p w14:paraId="6BB6A60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1 756</w:t>
            </w:r>
          </w:p>
        </w:tc>
      </w:tr>
    </w:tbl>
    <w:p w14:paraId="3C7D3ED8" w14:textId="77777777" w:rsidR="009D33A8" w:rsidRDefault="009D33A8" w:rsidP="009D33A8">
      <w:pPr>
        <w:pStyle w:val="Note"/>
      </w:pPr>
      <w:r>
        <w:t>Note:</w:t>
      </w:r>
    </w:p>
    <w:p w14:paraId="2BE0AB5A" w14:textId="77777777" w:rsidR="009D33A8" w:rsidRDefault="009D33A8" w:rsidP="009D33A8">
      <w:pPr>
        <w:pStyle w:val="Note"/>
      </w:pPr>
      <w:r>
        <w:t>(a)</w:t>
      </w:r>
      <w:r>
        <w:tab/>
        <w:t>These items include amounts that relate to discount interest on financial assets. Therefore, figures in this table cannot be reconciled to the primary financial statements.</w:t>
      </w:r>
    </w:p>
    <w:p w14:paraId="651A6F17" w14:textId="77777777" w:rsidR="009D33A8" w:rsidRDefault="009D33A8" w:rsidP="009D33A8"/>
    <w:p w14:paraId="4224A590" w14:textId="77777777" w:rsidR="009D33A8" w:rsidRDefault="009D33A8" w:rsidP="009D33A8">
      <w:pPr>
        <w:pStyle w:val="TableHeading"/>
      </w:pPr>
      <w:r>
        <w:t xml:space="preserve">Breakdown of interest and fee expense items </w:t>
      </w:r>
      <w:r w:rsidRPr="001D0EFB">
        <w:rPr>
          <w:vertAlign w:val="superscript"/>
        </w:rPr>
        <w:t>(a)</w:t>
      </w:r>
      <w:r w:rsidRPr="001D0EFB">
        <w:t xml:space="preserve"> </w:t>
      </w:r>
      <w:r>
        <w:tab/>
      </w:r>
      <w:r w:rsidRPr="001D0EF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Breakdown_Interest_Fee_Expense"/>
      </w:tblPr>
      <w:tblGrid>
        <w:gridCol w:w="6010"/>
        <w:gridCol w:w="907"/>
        <w:gridCol w:w="907"/>
        <w:gridCol w:w="907"/>
        <w:gridCol w:w="907"/>
      </w:tblGrid>
      <w:tr w:rsidR="009D33A8" w14:paraId="3EEEE6E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2F067D9" w14:textId="77777777" w:rsidR="009D33A8" w:rsidRDefault="009D33A8">
            <w:pPr>
              <w:keepNext/>
            </w:pPr>
          </w:p>
        </w:tc>
        <w:tc>
          <w:tcPr>
            <w:tcW w:w="1814" w:type="dxa"/>
            <w:gridSpan w:val="2"/>
          </w:tcPr>
          <w:p w14:paraId="2BCC9DD7"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814" w:type="dxa"/>
            <w:gridSpan w:val="2"/>
          </w:tcPr>
          <w:p w14:paraId="63D008CF"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0F1A3A4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E1C4557" w14:textId="77777777" w:rsidR="009D33A8" w:rsidRDefault="009D33A8">
            <w:pPr>
              <w:keepNext/>
            </w:pPr>
          </w:p>
        </w:tc>
        <w:tc>
          <w:tcPr>
            <w:tcW w:w="907" w:type="dxa"/>
          </w:tcPr>
          <w:p w14:paraId="4D9D014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B46152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AA51F6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BB3784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4D587100" w14:textId="77777777">
        <w:tc>
          <w:tcPr>
            <w:cnfStyle w:val="001000000000" w:firstRow="0" w:lastRow="0" w:firstColumn="1" w:lastColumn="0" w:oddVBand="0" w:evenVBand="0" w:oddHBand="0" w:evenHBand="0" w:firstRowFirstColumn="0" w:firstRowLastColumn="0" w:lastRowFirstColumn="0" w:lastRowLastColumn="0"/>
            <w:tcW w:w="6010" w:type="dxa"/>
          </w:tcPr>
          <w:p w14:paraId="7C3A5A48" w14:textId="77777777" w:rsidR="009D33A8" w:rsidRDefault="009D33A8">
            <w:r>
              <w:t>Interest expense from financial liabilities not at fair value through profit or loss</w:t>
            </w:r>
          </w:p>
        </w:tc>
        <w:tc>
          <w:tcPr>
            <w:tcW w:w="907" w:type="dxa"/>
          </w:tcPr>
          <w:p w14:paraId="65A6679A" w14:textId="77777777" w:rsidR="009D33A8" w:rsidRDefault="009D33A8">
            <w:pPr>
              <w:cnfStyle w:val="000000000000" w:firstRow="0" w:lastRow="0" w:firstColumn="0" w:lastColumn="0" w:oddVBand="0" w:evenVBand="0" w:oddHBand="0" w:evenHBand="0" w:firstRowFirstColumn="0" w:firstRowLastColumn="0" w:lastRowFirstColumn="0" w:lastRowLastColumn="0"/>
            </w:pPr>
            <w:r>
              <w:t>1 482</w:t>
            </w:r>
          </w:p>
        </w:tc>
        <w:tc>
          <w:tcPr>
            <w:tcW w:w="907" w:type="dxa"/>
          </w:tcPr>
          <w:p w14:paraId="3BE16B11" w14:textId="77777777" w:rsidR="009D33A8" w:rsidRDefault="009D33A8">
            <w:pPr>
              <w:cnfStyle w:val="000000000000" w:firstRow="0" w:lastRow="0" w:firstColumn="0" w:lastColumn="0" w:oddVBand="0" w:evenVBand="0" w:oddHBand="0" w:evenHBand="0" w:firstRowFirstColumn="0" w:firstRowLastColumn="0" w:lastRowFirstColumn="0" w:lastRowLastColumn="0"/>
            </w:pPr>
            <w:r>
              <w:t>1 536</w:t>
            </w:r>
          </w:p>
        </w:tc>
        <w:tc>
          <w:tcPr>
            <w:tcW w:w="907" w:type="dxa"/>
          </w:tcPr>
          <w:p w14:paraId="51D54923" w14:textId="77777777" w:rsidR="009D33A8" w:rsidRDefault="009D33A8">
            <w:pPr>
              <w:cnfStyle w:val="000000000000" w:firstRow="0" w:lastRow="0" w:firstColumn="0" w:lastColumn="0" w:oddVBand="0" w:evenVBand="0" w:oddHBand="0" w:evenHBand="0" w:firstRowFirstColumn="0" w:firstRowLastColumn="0" w:lastRowFirstColumn="0" w:lastRowLastColumn="0"/>
            </w:pPr>
            <w:r>
              <w:t>6 730</w:t>
            </w:r>
          </w:p>
        </w:tc>
        <w:tc>
          <w:tcPr>
            <w:tcW w:w="907" w:type="dxa"/>
          </w:tcPr>
          <w:p w14:paraId="7E639502" w14:textId="77777777" w:rsidR="009D33A8" w:rsidRDefault="009D33A8">
            <w:pPr>
              <w:cnfStyle w:val="000000000000" w:firstRow="0" w:lastRow="0" w:firstColumn="0" w:lastColumn="0" w:oddVBand="0" w:evenVBand="0" w:oddHBand="0" w:evenHBand="0" w:firstRowFirstColumn="0" w:firstRowLastColumn="0" w:lastRowFirstColumn="0" w:lastRowLastColumn="0"/>
            </w:pPr>
            <w:r>
              <w:t>5 586</w:t>
            </w:r>
          </w:p>
        </w:tc>
      </w:tr>
      <w:tr w:rsidR="009D33A8" w14:paraId="0DBFEAE6" w14:textId="77777777">
        <w:tc>
          <w:tcPr>
            <w:cnfStyle w:val="001000000000" w:firstRow="0" w:lastRow="0" w:firstColumn="1" w:lastColumn="0" w:oddVBand="0" w:evenVBand="0" w:oddHBand="0" w:evenHBand="0" w:firstRowFirstColumn="0" w:firstRowLastColumn="0" w:lastRowFirstColumn="0" w:lastRowLastColumn="0"/>
            <w:tcW w:w="6010" w:type="dxa"/>
          </w:tcPr>
          <w:p w14:paraId="54F3EFD4" w14:textId="77777777" w:rsidR="009D33A8" w:rsidRDefault="009D33A8">
            <w:r>
              <w:t>Interest expense from financial liabilities at fair value through profit or loss</w:t>
            </w:r>
          </w:p>
        </w:tc>
        <w:tc>
          <w:tcPr>
            <w:tcW w:w="907" w:type="dxa"/>
          </w:tcPr>
          <w:p w14:paraId="2D448842" w14:textId="77777777" w:rsidR="009D33A8" w:rsidRDefault="009D33A8">
            <w:pPr>
              <w:cnfStyle w:val="000000000000" w:firstRow="0" w:lastRow="0" w:firstColumn="0" w:lastColumn="0" w:oddVBand="0" w:evenVBand="0" w:oddHBand="0" w:evenHBand="0" w:firstRowFirstColumn="0" w:firstRowLastColumn="0" w:lastRowFirstColumn="0" w:lastRowLastColumn="0"/>
            </w:pPr>
            <w:r>
              <w:t>6 943</w:t>
            </w:r>
          </w:p>
        </w:tc>
        <w:tc>
          <w:tcPr>
            <w:tcW w:w="907" w:type="dxa"/>
          </w:tcPr>
          <w:p w14:paraId="392C2990" w14:textId="77777777" w:rsidR="009D33A8" w:rsidRDefault="009D33A8">
            <w:pPr>
              <w:cnfStyle w:val="000000000000" w:firstRow="0" w:lastRow="0" w:firstColumn="0" w:lastColumn="0" w:oddVBand="0" w:evenVBand="0" w:oddHBand="0" w:evenHBand="0" w:firstRowFirstColumn="0" w:firstRowLastColumn="0" w:lastRowFirstColumn="0" w:lastRowLastColumn="0"/>
            </w:pPr>
            <w:r>
              <w:t>5 435</w:t>
            </w:r>
          </w:p>
        </w:tc>
        <w:tc>
          <w:tcPr>
            <w:tcW w:w="907" w:type="dxa"/>
          </w:tcPr>
          <w:p w14:paraId="6E434E21"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7193982"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50DE93A7" w14:textId="77777777">
        <w:tc>
          <w:tcPr>
            <w:cnfStyle w:val="001000000000" w:firstRow="0" w:lastRow="0" w:firstColumn="1" w:lastColumn="0" w:oddVBand="0" w:evenVBand="0" w:oddHBand="0" w:evenHBand="0" w:firstRowFirstColumn="0" w:firstRowLastColumn="0" w:lastRowFirstColumn="0" w:lastRowLastColumn="0"/>
            <w:tcW w:w="6010" w:type="dxa"/>
          </w:tcPr>
          <w:p w14:paraId="16A335A6" w14:textId="77777777" w:rsidR="009D33A8" w:rsidRDefault="009D33A8">
            <w:r>
              <w:t>Fee expenses from financial liabilities not at fair value through profit or loss</w:t>
            </w:r>
          </w:p>
        </w:tc>
        <w:tc>
          <w:tcPr>
            <w:tcW w:w="907" w:type="dxa"/>
          </w:tcPr>
          <w:p w14:paraId="0E4DEEB5" w14:textId="77777777" w:rsidR="009D33A8" w:rsidRDefault="009D33A8">
            <w:pPr>
              <w:cnfStyle w:val="000000000000" w:firstRow="0" w:lastRow="0" w:firstColumn="0" w:lastColumn="0" w:oddVBand="0" w:evenVBand="0" w:oddHBand="0" w:evenHBand="0" w:firstRowFirstColumn="0" w:firstRowLastColumn="0" w:lastRowFirstColumn="0" w:lastRowLastColumn="0"/>
            </w:pPr>
            <w:r>
              <w:t>49</w:t>
            </w:r>
          </w:p>
        </w:tc>
        <w:tc>
          <w:tcPr>
            <w:tcW w:w="907" w:type="dxa"/>
          </w:tcPr>
          <w:p w14:paraId="5ECB6194" w14:textId="77777777" w:rsidR="009D33A8" w:rsidRDefault="009D33A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3B6B6413" w14:textId="77777777" w:rsidR="009D33A8" w:rsidRDefault="009D33A8">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21EB09AA" w14:textId="77777777" w:rsidR="009D33A8" w:rsidRDefault="009D33A8">
            <w:pPr>
              <w:cnfStyle w:val="000000000000" w:firstRow="0" w:lastRow="0" w:firstColumn="0" w:lastColumn="0" w:oddVBand="0" w:evenVBand="0" w:oddHBand="0" w:evenHBand="0" w:firstRowFirstColumn="0" w:firstRowLastColumn="0" w:lastRowFirstColumn="0" w:lastRowLastColumn="0"/>
            </w:pPr>
            <w:r>
              <w:t>49</w:t>
            </w:r>
          </w:p>
        </w:tc>
      </w:tr>
      <w:tr w:rsidR="009D33A8" w14:paraId="65AFB4FE"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5D33FCB" w14:textId="77777777" w:rsidR="009D33A8" w:rsidRDefault="009D33A8">
            <w:r>
              <w:t>Fee expenses from financial liabilities at fair value through profit or loss</w:t>
            </w:r>
          </w:p>
        </w:tc>
        <w:tc>
          <w:tcPr>
            <w:tcW w:w="907" w:type="dxa"/>
            <w:tcBorders>
              <w:bottom w:val="single" w:sz="6" w:space="0" w:color="auto"/>
            </w:tcBorders>
          </w:tcPr>
          <w:p w14:paraId="14430539" w14:textId="77777777" w:rsidR="009D33A8" w:rsidRDefault="009D33A8">
            <w:pPr>
              <w:cnfStyle w:val="000000000000" w:firstRow="0" w:lastRow="0" w:firstColumn="0" w:lastColumn="0" w:oddVBand="0" w:evenVBand="0" w:oddHBand="0" w:evenHBand="0" w:firstRowFirstColumn="0" w:firstRowLastColumn="0" w:lastRowFirstColumn="0" w:lastRowLastColumn="0"/>
            </w:pPr>
            <w:r>
              <w:t>495</w:t>
            </w:r>
          </w:p>
        </w:tc>
        <w:tc>
          <w:tcPr>
            <w:tcW w:w="907" w:type="dxa"/>
            <w:tcBorders>
              <w:bottom w:val="single" w:sz="6" w:space="0" w:color="auto"/>
            </w:tcBorders>
          </w:tcPr>
          <w:p w14:paraId="6A2C1134" w14:textId="77777777" w:rsidR="009D33A8" w:rsidRDefault="009D33A8">
            <w:pPr>
              <w:cnfStyle w:val="000000000000" w:firstRow="0" w:lastRow="0" w:firstColumn="0" w:lastColumn="0" w:oddVBand="0" w:evenVBand="0" w:oddHBand="0" w:evenHBand="0" w:firstRowFirstColumn="0" w:firstRowLastColumn="0" w:lastRowFirstColumn="0" w:lastRowLastColumn="0"/>
            </w:pPr>
            <w:r>
              <w:t>638</w:t>
            </w:r>
          </w:p>
        </w:tc>
        <w:tc>
          <w:tcPr>
            <w:tcW w:w="907" w:type="dxa"/>
            <w:tcBorders>
              <w:bottom w:val="single" w:sz="6" w:space="0" w:color="auto"/>
            </w:tcBorders>
          </w:tcPr>
          <w:p w14:paraId="379CEC41"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1A2056D4" w14:textId="77777777" w:rsidR="009D33A8" w:rsidRDefault="009D33A8">
            <w:pPr>
              <w:cnfStyle w:val="000000000000" w:firstRow="0" w:lastRow="0" w:firstColumn="0" w:lastColumn="0" w:oddVBand="0" w:evenVBand="0" w:oddHBand="0" w:evenHBand="0" w:firstRowFirstColumn="0" w:firstRowLastColumn="0" w:lastRowFirstColumn="0" w:lastRowLastColumn="0"/>
            </w:pPr>
            <w:r>
              <w:t>12</w:t>
            </w:r>
          </w:p>
        </w:tc>
      </w:tr>
      <w:tr w:rsidR="009D33A8" w14:paraId="78193775"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20BF5409" w14:textId="77777777" w:rsidR="009D33A8" w:rsidRDefault="009D33A8">
            <w:r>
              <w:rPr>
                <w:b/>
              </w:rPr>
              <w:t>Total</w:t>
            </w:r>
          </w:p>
        </w:tc>
        <w:tc>
          <w:tcPr>
            <w:tcW w:w="907" w:type="dxa"/>
            <w:tcBorders>
              <w:top w:val="single" w:sz="6" w:space="0" w:color="auto"/>
              <w:bottom w:val="single" w:sz="12" w:space="0" w:color="auto"/>
            </w:tcBorders>
          </w:tcPr>
          <w:p w14:paraId="670795F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8 968</w:t>
            </w:r>
          </w:p>
        </w:tc>
        <w:tc>
          <w:tcPr>
            <w:tcW w:w="907" w:type="dxa"/>
            <w:tcBorders>
              <w:top w:val="single" w:sz="6" w:space="0" w:color="auto"/>
              <w:bottom w:val="single" w:sz="12" w:space="0" w:color="auto"/>
            </w:tcBorders>
          </w:tcPr>
          <w:p w14:paraId="2911F80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7 657</w:t>
            </w:r>
          </w:p>
        </w:tc>
        <w:tc>
          <w:tcPr>
            <w:tcW w:w="907" w:type="dxa"/>
            <w:tcBorders>
              <w:top w:val="single" w:sz="6" w:space="0" w:color="auto"/>
              <w:bottom w:val="single" w:sz="12" w:space="0" w:color="auto"/>
            </w:tcBorders>
          </w:tcPr>
          <w:p w14:paraId="31642A3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Borders>
              <w:top w:val="single" w:sz="6" w:space="0" w:color="auto"/>
              <w:bottom w:val="single" w:sz="12" w:space="0" w:color="auto"/>
            </w:tcBorders>
          </w:tcPr>
          <w:p w14:paraId="6AB3358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5 648</w:t>
            </w:r>
          </w:p>
        </w:tc>
      </w:tr>
    </w:tbl>
    <w:p w14:paraId="7A718547" w14:textId="77777777" w:rsidR="009D33A8" w:rsidRDefault="009D33A8" w:rsidP="009D33A8">
      <w:pPr>
        <w:pStyle w:val="Note"/>
        <w:ind w:left="0" w:firstLine="0"/>
      </w:pPr>
      <w:r>
        <w:t>Note:</w:t>
      </w:r>
    </w:p>
    <w:p w14:paraId="7012E5B5" w14:textId="77777777" w:rsidR="009D33A8" w:rsidRDefault="009D33A8" w:rsidP="009D33A8">
      <w:pPr>
        <w:pStyle w:val="Note"/>
      </w:pPr>
      <w:r>
        <w:t>(a)</w:t>
      </w:r>
      <w:r>
        <w:tab/>
        <w:t>These items do not include amounts that relate to discount interest on financial liabilities. Therefore, figures in this table cannot be reconciled to the primary financial statements.</w:t>
      </w:r>
    </w:p>
    <w:p w14:paraId="5CCD4AB9" w14:textId="77777777" w:rsidR="0097456B" w:rsidRDefault="0097456B" w:rsidP="009D33A8">
      <w:pPr>
        <w:pStyle w:val="Heading3"/>
      </w:pPr>
    </w:p>
    <w:p w14:paraId="2F570ABB" w14:textId="77777777" w:rsidR="0097456B" w:rsidRDefault="0097456B" w:rsidP="00BE4AE0">
      <w:pPr>
        <w:sectPr w:rsidR="0097456B" w:rsidSect="00ED5429">
          <w:type w:val="continuous"/>
          <w:pgSz w:w="11906" w:h="16838" w:code="9"/>
          <w:pgMar w:top="1134" w:right="1134" w:bottom="1134" w:left="1134" w:header="624" w:footer="567" w:gutter="0"/>
          <w:cols w:space="708"/>
          <w:docGrid w:linePitch="360"/>
        </w:sectPr>
      </w:pPr>
    </w:p>
    <w:p w14:paraId="200346C5" w14:textId="77777777" w:rsidR="009D33A8" w:rsidRDefault="009D33A8" w:rsidP="009D33A8">
      <w:pPr>
        <w:pStyle w:val="Heading3"/>
      </w:pPr>
      <w:r>
        <w:t>6.1.6</w:t>
      </w:r>
      <w:r>
        <w:tab/>
        <w:t>Liquidity risk</w:t>
      </w:r>
    </w:p>
    <w:p w14:paraId="38BEAA57" w14:textId="77777777" w:rsidR="009D33A8" w:rsidRDefault="009D33A8" w:rsidP="009D33A8">
      <w:r>
        <w:t xml:space="preserve">Liquidity risk arises from being unable to meet financial obligations as they fall due. The State is exposed to liquidity risk mainly through the maturity of its external borrowings raised by TCV and the requirement to fund cash deficits. </w:t>
      </w:r>
    </w:p>
    <w:p w14:paraId="05999CFB" w14:textId="68D95943" w:rsidR="009D33A8" w:rsidRDefault="009D33A8" w:rsidP="009D33A8">
      <w:r>
        <w:t>The State</w:t>
      </w:r>
      <w:r w:rsidR="00845934">
        <w:t>’</w:t>
      </w:r>
      <w:r>
        <w:t>s central treasury agency, TCV, is responsible for ensuring that the State</w:t>
      </w:r>
      <w:r w:rsidR="00845934">
        <w:t>’</w:t>
      </w:r>
      <w:r>
        <w:t>s liquidity requirements can be met at all times. DTF and TCV have a liquidity policy to assist the Government to manage the whole of Victorian government liquidity risk.</w:t>
      </w:r>
    </w:p>
    <w:p w14:paraId="712806B2" w14:textId="77777777" w:rsidR="009D33A8" w:rsidRDefault="009D33A8" w:rsidP="009D33A8">
      <w:r>
        <w:t>The liquidity management policy has three main components as follows.</w:t>
      </w:r>
    </w:p>
    <w:p w14:paraId="2795DFBD" w14:textId="77777777" w:rsidR="009D33A8" w:rsidRDefault="009D33A8" w:rsidP="009D33A8">
      <w:pPr>
        <w:pStyle w:val="Heading4"/>
      </w:pPr>
      <w:r>
        <w:t>Short-term liquidity management and control</w:t>
      </w:r>
    </w:p>
    <w:p w14:paraId="3BB51FEA" w14:textId="09AF3ED8" w:rsidR="009D33A8" w:rsidRDefault="009D33A8" w:rsidP="009D33A8">
      <w:r>
        <w:t>The policy requires daily measurement of the whole of Victorian government liquidity ratio, which measures TCV</w:t>
      </w:r>
      <w:r w:rsidR="00845934">
        <w:t>’</w:t>
      </w:r>
      <w:r>
        <w:t>s liquid assets (after discounting to reflect potential loss of value in the event of a quick sale), versus 12 months of debt refinancing and interest obligations as well as six months of new borrowing requirements.</w:t>
      </w:r>
    </w:p>
    <w:p w14:paraId="076BAC9E" w14:textId="5EE1D26A" w:rsidR="0097456B" w:rsidRDefault="009D33A8" w:rsidP="0097456B">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20D552F5" w14:textId="77777777" w:rsidR="00BD6734" w:rsidRDefault="00BD6734" w:rsidP="00BD6734">
      <w:pPr>
        <w:pStyle w:val="Heading3"/>
      </w:pPr>
    </w:p>
    <w:p w14:paraId="52724F1D" w14:textId="48C9CB31" w:rsidR="009D33A8" w:rsidRPr="005C0BF0" w:rsidRDefault="009D33A8" w:rsidP="00BD6734">
      <w:r w:rsidRPr="002C092E">
        <w:t xml:space="preserve">As at </w:t>
      </w:r>
      <w:r w:rsidRPr="0097456B">
        <w:t>30</w:t>
      </w:r>
      <w:r w:rsidRPr="002C092E">
        <w:t xml:space="preserve"> June 2025, the whole of Victorian government liquidity ratio was 111 per cent against a minimum target liquidity ratio of 100 per cent.</w:t>
      </w:r>
      <w:r w:rsidRPr="00E659D8">
        <w:t xml:space="preserve"> The level of liquidity at 30 June 202</w:t>
      </w:r>
      <w:r>
        <w:t>5</w:t>
      </w:r>
      <w:r w:rsidRPr="00E659D8">
        <w:t xml:space="preserve"> was due in part to TCV accessing financial markets to pre</w:t>
      </w:r>
      <w:r>
        <w:noBreakHyphen/>
      </w:r>
      <w:r w:rsidRPr="00E659D8">
        <w:t>position itself ahead of the forecast borrowing requirements. Also the investment of these additional funds in liquid assets is in advance of the timing of expenditure and this has contributed to the current liquidity ratio.</w:t>
      </w:r>
    </w:p>
    <w:p w14:paraId="0651FEEE" w14:textId="77777777" w:rsidR="009D33A8" w:rsidRDefault="009D33A8" w:rsidP="009D33A8">
      <w:pPr>
        <w:pStyle w:val="Heading4"/>
      </w:pPr>
      <w:r>
        <w:t>Long-term liquidity management monitoring</w:t>
      </w:r>
    </w:p>
    <w:p w14:paraId="12AD9973" w14:textId="65FB8D09" w:rsidR="009D33A8" w:rsidRDefault="009D33A8" w:rsidP="009D33A8">
      <w:r>
        <w:t>The State</w:t>
      </w:r>
      <w:r w:rsidR="00845934">
        <w:t>’</w:t>
      </w:r>
      <w:r>
        <w:t>s policy on long-term management of liquidity primarily focuses on the diversification of funding sources and debt maturities.</w:t>
      </w:r>
    </w:p>
    <w:p w14:paraId="28E491F7" w14:textId="77777777" w:rsidR="009D33A8" w:rsidRDefault="009D33A8" w:rsidP="009D33A8">
      <w:pPr>
        <w:pStyle w:val="Heading4"/>
      </w:pPr>
      <w:r>
        <w:t>Managing a liquidity crisis</w:t>
      </w:r>
    </w:p>
    <w:p w14:paraId="63C08B9E" w14:textId="77777777" w:rsidR="009D33A8" w:rsidRDefault="009D33A8" w:rsidP="009D33A8">
      <w:r>
        <w:t>In the event of a liquidity crisis, the State has liquidity crisis management plans in place to manage liquidity conditions. The liquidity crisis management plans are a set of protocols established to respond to specific conditions during a crisis.</w:t>
      </w:r>
    </w:p>
    <w:p w14:paraId="6CB912E6" w14:textId="77777777" w:rsidR="009D33A8" w:rsidRDefault="009D33A8" w:rsidP="009D33A8">
      <w:pPr>
        <w:pStyle w:val="Heading3"/>
        <w:pageBreakBefore/>
      </w:pPr>
      <w:r>
        <w:lastRenderedPageBreak/>
        <w:t>Maturity analysis of financial liabilities</w:t>
      </w:r>
    </w:p>
    <w:p w14:paraId="1316EDFB" w14:textId="165AD8A1" w:rsidR="009D33A8" w:rsidRDefault="009D33A8" w:rsidP="009D33A8">
      <w:r>
        <w:t>Disclosed are details of the State</w:t>
      </w:r>
      <w:r w:rsidR="00845934">
        <w:t>’</w:t>
      </w:r>
      <w:r>
        <w:t>s maturity analysis for its domestic borrowings, lease liabilities and service concession arrangement liabilities. The maturity analysis for the remainder of the State</w:t>
      </w:r>
      <w:r w:rsidR="00845934">
        <w:t>’</w:t>
      </w:r>
      <w:r>
        <w:t xml:space="preserve">s financial liabilities are immaterial to the financial report. </w:t>
      </w:r>
    </w:p>
    <w:p w14:paraId="39437376" w14:textId="77777777" w:rsidR="0097456B" w:rsidRDefault="0097456B" w:rsidP="009D33A8">
      <w:pPr>
        <w:sectPr w:rsidR="0097456B" w:rsidSect="0097456B">
          <w:type w:val="continuous"/>
          <w:pgSz w:w="11906" w:h="16838" w:code="9"/>
          <w:pgMar w:top="1134" w:right="1134" w:bottom="1134" w:left="1134" w:header="624" w:footer="567" w:gutter="0"/>
          <w:cols w:num="2" w:space="708"/>
          <w:docGrid w:linePitch="360"/>
        </w:sectPr>
      </w:pPr>
    </w:p>
    <w:p w14:paraId="71B4635D" w14:textId="77777777" w:rsidR="009D33A8" w:rsidRDefault="009D33A8" w:rsidP="009D33A8"/>
    <w:p w14:paraId="3054D4EE" w14:textId="77777777" w:rsidR="009D33A8" w:rsidRDefault="009D33A8" w:rsidP="009D33A8">
      <w:pPr>
        <w:pStyle w:val="TableHeading"/>
      </w:pPr>
      <w:r>
        <w:t>Domestic borrowings</w:t>
      </w:r>
      <w:r>
        <w:tab/>
      </w:r>
      <w:r w:rsidRPr="001D0E2F">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Domestic_Borrowings"/>
      </w:tblPr>
      <w:tblGrid>
        <w:gridCol w:w="5670"/>
        <w:gridCol w:w="992"/>
        <w:gridCol w:w="992"/>
        <w:gridCol w:w="992"/>
        <w:gridCol w:w="992"/>
      </w:tblGrid>
      <w:tr w:rsidR="009D33A8" w14:paraId="1DE28EC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417988E6" w14:textId="77777777" w:rsidR="009D33A8" w:rsidRDefault="009D33A8">
            <w:pPr>
              <w:keepNext/>
            </w:pPr>
          </w:p>
        </w:tc>
        <w:tc>
          <w:tcPr>
            <w:tcW w:w="1984" w:type="dxa"/>
            <w:gridSpan w:val="2"/>
          </w:tcPr>
          <w:p w14:paraId="6E85C29B"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84" w:type="dxa"/>
            <w:gridSpan w:val="2"/>
          </w:tcPr>
          <w:p w14:paraId="1C87B975"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2365BE3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178D2B63" w14:textId="77777777" w:rsidR="009D33A8" w:rsidRDefault="009D33A8">
            <w:pPr>
              <w:keepNext/>
            </w:pPr>
          </w:p>
        </w:tc>
        <w:tc>
          <w:tcPr>
            <w:tcW w:w="992" w:type="dxa"/>
          </w:tcPr>
          <w:p w14:paraId="1DC6316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5763393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14965D7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678CE62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5579BCCA" w14:textId="77777777">
        <w:tc>
          <w:tcPr>
            <w:cnfStyle w:val="001000000000" w:firstRow="0" w:lastRow="0" w:firstColumn="1" w:lastColumn="0" w:oddVBand="0" w:evenVBand="0" w:oddHBand="0" w:evenHBand="0" w:firstRowFirstColumn="0" w:firstRowLastColumn="0" w:lastRowFirstColumn="0" w:lastRowLastColumn="0"/>
            <w:tcW w:w="5670" w:type="dxa"/>
          </w:tcPr>
          <w:p w14:paraId="113FBE65" w14:textId="77777777" w:rsidR="009D33A8" w:rsidRDefault="009D33A8">
            <w:r>
              <w:t>Carrying amount</w:t>
            </w:r>
          </w:p>
        </w:tc>
        <w:tc>
          <w:tcPr>
            <w:tcW w:w="992" w:type="dxa"/>
          </w:tcPr>
          <w:p w14:paraId="5577DDD1" w14:textId="77777777" w:rsidR="009D33A8" w:rsidRDefault="009D33A8">
            <w:pPr>
              <w:cnfStyle w:val="000000000000" w:firstRow="0" w:lastRow="0" w:firstColumn="0" w:lastColumn="0" w:oddVBand="0" w:evenVBand="0" w:oddHBand="0" w:evenHBand="0" w:firstRowFirstColumn="0" w:firstRowLastColumn="0" w:lastRowFirstColumn="0" w:lastRowLastColumn="0"/>
            </w:pPr>
            <w:r>
              <w:t>202 277</w:t>
            </w:r>
          </w:p>
        </w:tc>
        <w:tc>
          <w:tcPr>
            <w:tcW w:w="992" w:type="dxa"/>
          </w:tcPr>
          <w:p w14:paraId="72856C72" w14:textId="77777777" w:rsidR="009D33A8" w:rsidRDefault="009D33A8">
            <w:pPr>
              <w:cnfStyle w:val="000000000000" w:firstRow="0" w:lastRow="0" w:firstColumn="0" w:lastColumn="0" w:oddVBand="0" w:evenVBand="0" w:oddHBand="0" w:evenHBand="0" w:firstRowFirstColumn="0" w:firstRowLastColumn="0" w:lastRowFirstColumn="0" w:lastRowLastColumn="0"/>
            </w:pPr>
            <w:r>
              <w:t>175 547</w:t>
            </w:r>
          </w:p>
        </w:tc>
        <w:tc>
          <w:tcPr>
            <w:tcW w:w="992" w:type="dxa"/>
          </w:tcPr>
          <w:p w14:paraId="039E433C" w14:textId="77777777" w:rsidR="009D33A8" w:rsidRDefault="009D33A8">
            <w:pPr>
              <w:cnfStyle w:val="000000000000" w:firstRow="0" w:lastRow="0" w:firstColumn="0" w:lastColumn="0" w:oddVBand="0" w:evenVBand="0" w:oddHBand="0" w:evenHBand="0" w:firstRowFirstColumn="0" w:firstRowLastColumn="0" w:lastRowFirstColumn="0" w:lastRowLastColumn="0"/>
            </w:pPr>
            <w:r>
              <w:t>172 726</w:t>
            </w:r>
          </w:p>
        </w:tc>
        <w:tc>
          <w:tcPr>
            <w:tcW w:w="992" w:type="dxa"/>
          </w:tcPr>
          <w:p w14:paraId="698604F9" w14:textId="77777777" w:rsidR="009D33A8" w:rsidRDefault="009D33A8">
            <w:pPr>
              <w:cnfStyle w:val="000000000000" w:firstRow="0" w:lastRow="0" w:firstColumn="0" w:lastColumn="0" w:oddVBand="0" w:evenVBand="0" w:oddHBand="0" w:evenHBand="0" w:firstRowFirstColumn="0" w:firstRowLastColumn="0" w:lastRowFirstColumn="0" w:lastRowLastColumn="0"/>
            </w:pPr>
            <w:r>
              <w:t>153 494</w:t>
            </w:r>
          </w:p>
        </w:tc>
      </w:tr>
      <w:tr w:rsidR="009D33A8" w14:paraId="50CABC9B" w14:textId="77777777">
        <w:tc>
          <w:tcPr>
            <w:cnfStyle w:val="001000000000" w:firstRow="0" w:lastRow="0" w:firstColumn="1" w:lastColumn="0" w:oddVBand="0" w:evenVBand="0" w:oddHBand="0" w:evenHBand="0" w:firstRowFirstColumn="0" w:firstRowLastColumn="0" w:lastRowFirstColumn="0" w:lastRowLastColumn="0"/>
            <w:tcW w:w="5670" w:type="dxa"/>
          </w:tcPr>
          <w:p w14:paraId="3A4C86A5" w14:textId="77777777" w:rsidR="009D33A8" w:rsidRDefault="009D33A8">
            <w:r>
              <w:t xml:space="preserve">Nominal amount </w:t>
            </w:r>
            <w:r>
              <w:rPr>
                <w:vertAlign w:val="superscript"/>
              </w:rPr>
              <w:t>(a)</w:t>
            </w:r>
          </w:p>
        </w:tc>
        <w:tc>
          <w:tcPr>
            <w:tcW w:w="992" w:type="dxa"/>
          </w:tcPr>
          <w:p w14:paraId="24D64C0C" w14:textId="77777777" w:rsidR="009D33A8" w:rsidRDefault="009D33A8">
            <w:pPr>
              <w:cnfStyle w:val="000000000000" w:firstRow="0" w:lastRow="0" w:firstColumn="0" w:lastColumn="0" w:oddVBand="0" w:evenVBand="0" w:oddHBand="0" w:evenHBand="0" w:firstRowFirstColumn="0" w:firstRowLastColumn="0" w:lastRowFirstColumn="0" w:lastRowLastColumn="0"/>
            </w:pPr>
            <w:r>
              <w:t>267 136</w:t>
            </w:r>
          </w:p>
        </w:tc>
        <w:tc>
          <w:tcPr>
            <w:tcW w:w="992" w:type="dxa"/>
          </w:tcPr>
          <w:p w14:paraId="4C30359C" w14:textId="77777777" w:rsidR="009D33A8" w:rsidRDefault="009D33A8">
            <w:pPr>
              <w:cnfStyle w:val="000000000000" w:firstRow="0" w:lastRow="0" w:firstColumn="0" w:lastColumn="0" w:oddVBand="0" w:evenVBand="0" w:oddHBand="0" w:evenHBand="0" w:firstRowFirstColumn="0" w:firstRowLastColumn="0" w:lastRowFirstColumn="0" w:lastRowLastColumn="0"/>
            </w:pPr>
            <w:r>
              <w:t>236 326</w:t>
            </w:r>
          </w:p>
        </w:tc>
        <w:tc>
          <w:tcPr>
            <w:tcW w:w="992" w:type="dxa"/>
          </w:tcPr>
          <w:p w14:paraId="708585EC" w14:textId="77777777" w:rsidR="009D33A8" w:rsidRDefault="009D33A8">
            <w:pPr>
              <w:cnfStyle w:val="000000000000" w:firstRow="0" w:lastRow="0" w:firstColumn="0" w:lastColumn="0" w:oddVBand="0" w:evenVBand="0" w:oddHBand="0" w:evenHBand="0" w:firstRowFirstColumn="0" w:firstRowLastColumn="0" w:lastRowFirstColumn="0" w:lastRowLastColumn="0"/>
            </w:pPr>
            <w:r>
              <w:t>178 070</w:t>
            </w:r>
          </w:p>
        </w:tc>
        <w:tc>
          <w:tcPr>
            <w:tcW w:w="992" w:type="dxa"/>
          </w:tcPr>
          <w:p w14:paraId="4D6FB049" w14:textId="77777777" w:rsidR="009D33A8" w:rsidRDefault="009D33A8">
            <w:pPr>
              <w:cnfStyle w:val="000000000000" w:firstRow="0" w:lastRow="0" w:firstColumn="0" w:lastColumn="0" w:oddVBand="0" w:evenVBand="0" w:oddHBand="0" w:evenHBand="0" w:firstRowFirstColumn="0" w:firstRowLastColumn="0" w:lastRowFirstColumn="0" w:lastRowLastColumn="0"/>
            </w:pPr>
            <w:r>
              <w:t>158 165</w:t>
            </w:r>
          </w:p>
        </w:tc>
      </w:tr>
      <w:tr w:rsidR="009D33A8" w14:paraId="55447FDD" w14:textId="77777777">
        <w:tc>
          <w:tcPr>
            <w:cnfStyle w:val="001000000000" w:firstRow="0" w:lastRow="0" w:firstColumn="1" w:lastColumn="0" w:oddVBand="0" w:evenVBand="0" w:oddHBand="0" w:evenHBand="0" w:firstRowFirstColumn="0" w:firstRowLastColumn="0" w:lastRowFirstColumn="0" w:lastRowLastColumn="0"/>
            <w:tcW w:w="5670" w:type="dxa"/>
          </w:tcPr>
          <w:p w14:paraId="0CB26938" w14:textId="77777777" w:rsidR="009D33A8" w:rsidRDefault="009D33A8">
            <w:r>
              <w:rPr>
                <w:b/>
              </w:rPr>
              <w:t>Contractual maturity</w:t>
            </w:r>
          </w:p>
        </w:tc>
        <w:tc>
          <w:tcPr>
            <w:tcW w:w="992" w:type="dxa"/>
          </w:tcPr>
          <w:p w14:paraId="337B33D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Pr>
          <w:p w14:paraId="1880257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Pr>
          <w:p w14:paraId="072AB4E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Pr>
          <w:p w14:paraId="0C69E36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F8BBA2D" w14:textId="77777777">
        <w:tc>
          <w:tcPr>
            <w:cnfStyle w:val="001000000000" w:firstRow="0" w:lastRow="0" w:firstColumn="1" w:lastColumn="0" w:oddVBand="0" w:evenVBand="0" w:oddHBand="0" w:evenHBand="0" w:firstRowFirstColumn="0" w:firstRowLastColumn="0" w:lastRowFirstColumn="0" w:lastRowLastColumn="0"/>
            <w:tcW w:w="5670" w:type="dxa"/>
          </w:tcPr>
          <w:p w14:paraId="3FEA1EA5" w14:textId="2FA869F2" w:rsidR="009D33A8" w:rsidRDefault="009D33A8">
            <w:r>
              <w:t xml:space="preserve">   0 to 3 months</w:t>
            </w:r>
          </w:p>
        </w:tc>
        <w:tc>
          <w:tcPr>
            <w:tcW w:w="992" w:type="dxa"/>
          </w:tcPr>
          <w:p w14:paraId="13A68639" w14:textId="77777777" w:rsidR="009D33A8" w:rsidRDefault="009D33A8">
            <w:pPr>
              <w:cnfStyle w:val="000000000000" w:firstRow="0" w:lastRow="0" w:firstColumn="0" w:lastColumn="0" w:oddVBand="0" w:evenVBand="0" w:oddHBand="0" w:evenHBand="0" w:firstRowFirstColumn="0" w:firstRowLastColumn="0" w:lastRowFirstColumn="0" w:lastRowLastColumn="0"/>
            </w:pPr>
            <w:r>
              <w:t>13 031</w:t>
            </w:r>
          </w:p>
        </w:tc>
        <w:tc>
          <w:tcPr>
            <w:tcW w:w="992" w:type="dxa"/>
          </w:tcPr>
          <w:p w14:paraId="7677E9DB" w14:textId="77777777" w:rsidR="009D33A8" w:rsidRDefault="009D33A8">
            <w:pPr>
              <w:cnfStyle w:val="000000000000" w:firstRow="0" w:lastRow="0" w:firstColumn="0" w:lastColumn="0" w:oddVBand="0" w:evenVBand="0" w:oddHBand="0" w:evenHBand="0" w:firstRowFirstColumn="0" w:firstRowLastColumn="0" w:lastRowFirstColumn="0" w:lastRowLastColumn="0"/>
            </w:pPr>
            <w:r>
              <w:t>13 537</w:t>
            </w:r>
          </w:p>
        </w:tc>
        <w:tc>
          <w:tcPr>
            <w:tcW w:w="992" w:type="dxa"/>
          </w:tcPr>
          <w:p w14:paraId="71537CC1" w14:textId="77777777" w:rsidR="009D33A8" w:rsidRDefault="009D33A8">
            <w:pPr>
              <w:cnfStyle w:val="000000000000" w:firstRow="0" w:lastRow="0" w:firstColumn="0" w:lastColumn="0" w:oddVBand="0" w:evenVBand="0" w:oddHBand="0" w:evenHBand="0" w:firstRowFirstColumn="0" w:firstRowLastColumn="0" w:lastRowFirstColumn="0" w:lastRowLastColumn="0"/>
            </w:pPr>
            <w:r>
              <w:t>15 429</w:t>
            </w:r>
          </w:p>
        </w:tc>
        <w:tc>
          <w:tcPr>
            <w:tcW w:w="992" w:type="dxa"/>
          </w:tcPr>
          <w:p w14:paraId="2AE5DE3E" w14:textId="77777777" w:rsidR="009D33A8" w:rsidRDefault="009D33A8">
            <w:pPr>
              <w:cnfStyle w:val="000000000000" w:firstRow="0" w:lastRow="0" w:firstColumn="0" w:lastColumn="0" w:oddVBand="0" w:evenVBand="0" w:oddHBand="0" w:evenHBand="0" w:firstRowFirstColumn="0" w:firstRowLastColumn="0" w:lastRowFirstColumn="0" w:lastRowLastColumn="0"/>
            </w:pPr>
            <w:r>
              <w:t>13 398</w:t>
            </w:r>
          </w:p>
        </w:tc>
      </w:tr>
      <w:tr w:rsidR="009D33A8" w14:paraId="69B719D5" w14:textId="77777777">
        <w:tc>
          <w:tcPr>
            <w:cnfStyle w:val="001000000000" w:firstRow="0" w:lastRow="0" w:firstColumn="1" w:lastColumn="0" w:oddVBand="0" w:evenVBand="0" w:oddHBand="0" w:evenHBand="0" w:firstRowFirstColumn="0" w:firstRowLastColumn="0" w:lastRowFirstColumn="0" w:lastRowLastColumn="0"/>
            <w:tcW w:w="5670" w:type="dxa"/>
          </w:tcPr>
          <w:p w14:paraId="3E723F64" w14:textId="5BF25019" w:rsidR="009D33A8" w:rsidRDefault="009D33A8" w:rsidP="0097456B">
            <w:pPr>
              <w:ind w:left="0" w:firstLine="0"/>
            </w:pPr>
            <w:r>
              <w:t xml:space="preserve">   3 months to 1 year</w:t>
            </w:r>
          </w:p>
        </w:tc>
        <w:tc>
          <w:tcPr>
            <w:tcW w:w="992" w:type="dxa"/>
          </w:tcPr>
          <w:p w14:paraId="3FF6C083" w14:textId="77777777" w:rsidR="009D33A8" w:rsidRDefault="009D33A8">
            <w:pPr>
              <w:cnfStyle w:val="000000000000" w:firstRow="0" w:lastRow="0" w:firstColumn="0" w:lastColumn="0" w:oddVBand="0" w:evenVBand="0" w:oddHBand="0" w:evenHBand="0" w:firstRowFirstColumn="0" w:firstRowLastColumn="0" w:lastRowFirstColumn="0" w:lastRowLastColumn="0"/>
            </w:pPr>
            <w:r>
              <w:t>12 422</w:t>
            </w:r>
          </w:p>
        </w:tc>
        <w:tc>
          <w:tcPr>
            <w:tcW w:w="992" w:type="dxa"/>
          </w:tcPr>
          <w:p w14:paraId="78442B9E" w14:textId="77777777" w:rsidR="009D33A8" w:rsidRDefault="009D33A8">
            <w:pPr>
              <w:cnfStyle w:val="000000000000" w:firstRow="0" w:lastRow="0" w:firstColumn="0" w:lastColumn="0" w:oddVBand="0" w:evenVBand="0" w:oddHBand="0" w:evenHBand="0" w:firstRowFirstColumn="0" w:firstRowLastColumn="0" w:lastRowFirstColumn="0" w:lastRowLastColumn="0"/>
            </w:pPr>
            <w:r>
              <w:t>13 923</w:t>
            </w:r>
          </w:p>
        </w:tc>
        <w:tc>
          <w:tcPr>
            <w:tcW w:w="992" w:type="dxa"/>
          </w:tcPr>
          <w:p w14:paraId="6A4A37EB" w14:textId="77777777" w:rsidR="009D33A8" w:rsidRDefault="009D33A8">
            <w:pPr>
              <w:cnfStyle w:val="000000000000" w:firstRow="0" w:lastRow="0" w:firstColumn="0" w:lastColumn="0" w:oddVBand="0" w:evenVBand="0" w:oddHBand="0" w:evenHBand="0" w:firstRowFirstColumn="0" w:firstRowLastColumn="0" w:lastRowFirstColumn="0" w:lastRowLastColumn="0"/>
            </w:pPr>
            <w:r>
              <w:t>5 220</w:t>
            </w:r>
          </w:p>
        </w:tc>
        <w:tc>
          <w:tcPr>
            <w:tcW w:w="992" w:type="dxa"/>
          </w:tcPr>
          <w:p w14:paraId="3C502563" w14:textId="77777777" w:rsidR="009D33A8" w:rsidRDefault="009D33A8">
            <w:pPr>
              <w:cnfStyle w:val="000000000000" w:firstRow="0" w:lastRow="0" w:firstColumn="0" w:lastColumn="0" w:oddVBand="0" w:evenVBand="0" w:oddHBand="0" w:evenHBand="0" w:firstRowFirstColumn="0" w:firstRowLastColumn="0" w:lastRowFirstColumn="0" w:lastRowLastColumn="0"/>
            </w:pPr>
            <w:r>
              <w:t>6 188</w:t>
            </w:r>
          </w:p>
        </w:tc>
      </w:tr>
      <w:tr w:rsidR="009D33A8" w14:paraId="342217C3" w14:textId="77777777">
        <w:tc>
          <w:tcPr>
            <w:cnfStyle w:val="001000000000" w:firstRow="0" w:lastRow="0" w:firstColumn="1" w:lastColumn="0" w:oddVBand="0" w:evenVBand="0" w:oddHBand="0" w:evenHBand="0" w:firstRowFirstColumn="0" w:firstRowLastColumn="0" w:lastRowFirstColumn="0" w:lastRowLastColumn="0"/>
            <w:tcW w:w="5670" w:type="dxa"/>
          </w:tcPr>
          <w:p w14:paraId="3066FC89" w14:textId="79F7B01C" w:rsidR="009D33A8" w:rsidRDefault="009D33A8">
            <w:r>
              <w:t xml:space="preserve">   1 to 2 years</w:t>
            </w:r>
          </w:p>
        </w:tc>
        <w:tc>
          <w:tcPr>
            <w:tcW w:w="992" w:type="dxa"/>
          </w:tcPr>
          <w:p w14:paraId="79F2ECC8" w14:textId="77777777" w:rsidR="009D33A8" w:rsidRDefault="009D33A8">
            <w:pPr>
              <w:cnfStyle w:val="000000000000" w:firstRow="0" w:lastRow="0" w:firstColumn="0" w:lastColumn="0" w:oddVBand="0" w:evenVBand="0" w:oddHBand="0" w:evenHBand="0" w:firstRowFirstColumn="0" w:firstRowLastColumn="0" w:lastRowFirstColumn="0" w:lastRowLastColumn="0"/>
            </w:pPr>
            <w:r>
              <w:t>18 998</w:t>
            </w:r>
          </w:p>
        </w:tc>
        <w:tc>
          <w:tcPr>
            <w:tcW w:w="992" w:type="dxa"/>
          </w:tcPr>
          <w:p w14:paraId="7772ACC3" w14:textId="77777777" w:rsidR="009D33A8" w:rsidRDefault="009D33A8">
            <w:pPr>
              <w:cnfStyle w:val="000000000000" w:firstRow="0" w:lastRow="0" w:firstColumn="0" w:lastColumn="0" w:oddVBand="0" w:evenVBand="0" w:oddHBand="0" w:evenHBand="0" w:firstRowFirstColumn="0" w:firstRowLastColumn="0" w:lastRowFirstColumn="0" w:lastRowLastColumn="0"/>
            </w:pPr>
            <w:r>
              <w:t>13 990</w:t>
            </w:r>
          </w:p>
        </w:tc>
        <w:tc>
          <w:tcPr>
            <w:tcW w:w="992" w:type="dxa"/>
          </w:tcPr>
          <w:p w14:paraId="055ABBA4" w14:textId="77777777" w:rsidR="009D33A8" w:rsidRDefault="009D33A8">
            <w:pPr>
              <w:cnfStyle w:val="000000000000" w:firstRow="0" w:lastRow="0" w:firstColumn="0" w:lastColumn="0" w:oddVBand="0" w:evenVBand="0" w:oddHBand="0" w:evenHBand="0" w:firstRowFirstColumn="0" w:firstRowLastColumn="0" w:lastRowFirstColumn="0" w:lastRowLastColumn="0"/>
            </w:pPr>
            <w:r>
              <w:t>11 660</w:t>
            </w:r>
          </w:p>
        </w:tc>
        <w:tc>
          <w:tcPr>
            <w:tcW w:w="992" w:type="dxa"/>
          </w:tcPr>
          <w:p w14:paraId="04DD2D5E" w14:textId="77777777" w:rsidR="009D33A8" w:rsidRDefault="009D33A8">
            <w:pPr>
              <w:cnfStyle w:val="000000000000" w:firstRow="0" w:lastRow="0" w:firstColumn="0" w:lastColumn="0" w:oddVBand="0" w:evenVBand="0" w:oddHBand="0" w:evenHBand="0" w:firstRowFirstColumn="0" w:firstRowLastColumn="0" w:lastRowFirstColumn="0" w:lastRowLastColumn="0"/>
            </w:pPr>
            <w:r>
              <w:t>8 706</w:t>
            </w:r>
          </w:p>
        </w:tc>
      </w:tr>
      <w:tr w:rsidR="009D33A8" w14:paraId="33EFFD5E" w14:textId="77777777">
        <w:tc>
          <w:tcPr>
            <w:cnfStyle w:val="001000000000" w:firstRow="0" w:lastRow="0" w:firstColumn="1" w:lastColumn="0" w:oddVBand="0" w:evenVBand="0" w:oddHBand="0" w:evenHBand="0" w:firstRowFirstColumn="0" w:firstRowLastColumn="0" w:lastRowFirstColumn="0" w:lastRowLastColumn="0"/>
            <w:tcW w:w="5670" w:type="dxa"/>
          </w:tcPr>
          <w:p w14:paraId="1AF6588D" w14:textId="2E2C2AFE" w:rsidR="009D33A8" w:rsidRDefault="009D33A8">
            <w:r>
              <w:t xml:space="preserve">   2 to 5 years</w:t>
            </w:r>
          </w:p>
        </w:tc>
        <w:tc>
          <w:tcPr>
            <w:tcW w:w="992" w:type="dxa"/>
          </w:tcPr>
          <w:p w14:paraId="77AFE259" w14:textId="77777777" w:rsidR="009D33A8" w:rsidRDefault="009D33A8">
            <w:pPr>
              <w:cnfStyle w:val="000000000000" w:firstRow="0" w:lastRow="0" w:firstColumn="0" w:lastColumn="0" w:oddVBand="0" w:evenVBand="0" w:oddHBand="0" w:evenHBand="0" w:firstRowFirstColumn="0" w:firstRowLastColumn="0" w:lastRowFirstColumn="0" w:lastRowLastColumn="0"/>
            </w:pPr>
            <w:r>
              <w:t>70 598</w:t>
            </w:r>
          </w:p>
        </w:tc>
        <w:tc>
          <w:tcPr>
            <w:tcW w:w="992" w:type="dxa"/>
          </w:tcPr>
          <w:p w14:paraId="318B7B53" w14:textId="77777777" w:rsidR="009D33A8" w:rsidRDefault="009D33A8">
            <w:pPr>
              <w:cnfStyle w:val="000000000000" w:firstRow="0" w:lastRow="0" w:firstColumn="0" w:lastColumn="0" w:oddVBand="0" w:evenVBand="0" w:oddHBand="0" w:evenHBand="0" w:firstRowFirstColumn="0" w:firstRowLastColumn="0" w:lastRowFirstColumn="0" w:lastRowLastColumn="0"/>
            </w:pPr>
            <w:r>
              <w:t>59 618</w:t>
            </w:r>
          </w:p>
        </w:tc>
        <w:tc>
          <w:tcPr>
            <w:tcW w:w="992" w:type="dxa"/>
          </w:tcPr>
          <w:p w14:paraId="4F06F6E5" w14:textId="77777777" w:rsidR="009D33A8" w:rsidRDefault="009D33A8">
            <w:pPr>
              <w:cnfStyle w:val="000000000000" w:firstRow="0" w:lastRow="0" w:firstColumn="0" w:lastColumn="0" w:oddVBand="0" w:evenVBand="0" w:oddHBand="0" w:evenHBand="0" w:firstRowFirstColumn="0" w:firstRowLastColumn="0" w:lastRowFirstColumn="0" w:lastRowLastColumn="0"/>
            </w:pPr>
            <w:r>
              <w:t>41 713</w:t>
            </w:r>
          </w:p>
        </w:tc>
        <w:tc>
          <w:tcPr>
            <w:tcW w:w="992" w:type="dxa"/>
          </w:tcPr>
          <w:p w14:paraId="593A7D91" w14:textId="77777777" w:rsidR="009D33A8" w:rsidRDefault="009D33A8">
            <w:pPr>
              <w:cnfStyle w:val="000000000000" w:firstRow="0" w:lastRow="0" w:firstColumn="0" w:lastColumn="0" w:oddVBand="0" w:evenVBand="0" w:oddHBand="0" w:evenHBand="0" w:firstRowFirstColumn="0" w:firstRowLastColumn="0" w:lastRowFirstColumn="0" w:lastRowLastColumn="0"/>
            </w:pPr>
            <w:r>
              <w:t>37 210</w:t>
            </w:r>
          </w:p>
        </w:tc>
      </w:tr>
      <w:tr w:rsidR="009D33A8" w14:paraId="2BAB69B3" w14:textId="77777777">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D7C2E3" w14:textId="6F7A1FD2" w:rsidR="009D33A8" w:rsidRDefault="009D33A8">
            <w:r>
              <w:t xml:space="preserve">   5 years or more</w:t>
            </w:r>
          </w:p>
        </w:tc>
        <w:tc>
          <w:tcPr>
            <w:tcW w:w="992" w:type="dxa"/>
            <w:tcBorders>
              <w:bottom w:val="single" w:sz="12" w:space="0" w:color="auto"/>
            </w:tcBorders>
          </w:tcPr>
          <w:p w14:paraId="285C39BC" w14:textId="77777777" w:rsidR="009D33A8" w:rsidRDefault="009D33A8">
            <w:pPr>
              <w:cnfStyle w:val="000000000000" w:firstRow="0" w:lastRow="0" w:firstColumn="0" w:lastColumn="0" w:oddVBand="0" w:evenVBand="0" w:oddHBand="0" w:evenHBand="0" w:firstRowFirstColumn="0" w:firstRowLastColumn="0" w:lastRowFirstColumn="0" w:lastRowLastColumn="0"/>
            </w:pPr>
            <w:r>
              <w:t>152 087</w:t>
            </w:r>
          </w:p>
        </w:tc>
        <w:tc>
          <w:tcPr>
            <w:tcW w:w="992" w:type="dxa"/>
            <w:tcBorders>
              <w:bottom w:val="single" w:sz="12" w:space="0" w:color="auto"/>
            </w:tcBorders>
          </w:tcPr>
          <w:p w14:paraId="751FAEC5" w14:textId="77777777" w:rsidR="009D33A8" w:rsidRDefault="009D33A8">
            <w:pPr>
              <w:cnfStyle w:val="000000000000" w:firstRow="0" w:lastRow="0" w:firstColumn="0" w:lastColumn="0" w:oddVBand="0" w:evenVBand="0" w:oddHBand="0" w:evenHBand="0" w:firstRowFirstColumn="0" w:firstRowLastColumn="0" w:lastRowFirstColumn="0" w:lastRowLastColumn="0"/>
            </w:pPr>
            <w:r>
              <w:t>135 258</w:t>
            </w:r>
          </w:p>
        </w:tc>
        <w:tc>
          <w:tcPr>
            <w:tcW w:w="992" w:type="dxa"/>
            <w:tcBorders>
              <w:bottom w:val="single" w:sz="12" w:space="0" w:color="auto"/>
            </w:tcBorders>
          </w:tcPr>
          <w:p w14:paraId="5B80B4B9" w14:textId="77777777" w:rsidR="009D33A8" w:rsidRDefault="009D33A8">
            <w:pPr>
              <w:cnfStyle w:val="000000000000" w:firstRow="0" w:lastRow="0" w:firstColumn="0" w:lastColumn="0" w:oddVBand="0" w:evenVBand="0" w:oddHBand="0" w:evenHBand="0" w:firstRowFirstColumn="0" w:firstRowLastColumn="0" w:lastRowFirstColumn="0" w:lastRowLastColumn="0"/>
            </w:pPr>
            <w:r>
              <w:t>104 049</w:t>
            </w:r>
          </w:p>
        </w:tc>
        <w:tc>
          <w:tcPr>
            <w:tcW w:w="992" w:type="dxa"/>
            <w:tcBorders>
              <w:bottom w:val="single" w:sz="12" w:space="0" w:color="auto"/>
            </w:tcBorders>
          </w:tcPr>
          <w:p w14:paraId="73A21278" w14:textId="77777777" w:rsidR="009D33A8" w:rsidRDefault="009D33A8">
            <w:pPr>
              <w:cnfStyle w:val="000000000000" w:firstRow="0" w:lastRow="0" w:firstColumn="0" w:lastColumn="0" w:oddVBand="0" w:evenVBand="0" w:oddHBand="0" w:evenHBand="0" w:firstRowFirstColumn="0" w:firstRowLastColumn="0" w:lastRowFirstColumn="0" w:lastRowLastColumn="0"/>
            </w:pPr>
            <w:r>
              <w:t>92 664</w:t>
            </w:r>
          </w:p>
        </w:tc>
      </w:tr>
    </w:tbl>
    <w:p w14:paraId="6A02C547" w14:textId="77777777" w:rsidR="009D33A8" w:rsidRPr="00EA2893" w:rsidRDefault="009D33A8" w:rsidP="009D33A8">
      <w:pPr>
        <w:pStyle w:val="Note"/>
      </w:pPr>
      <w:r w:rsidRPr="00EA2893">
        <w:t>Note:</w:t>
      </w:r>
    </w:p>
    <w:p w14:paraId="0757190D" w14:textId="77777777" w:rsidR="009D33A8" w:rsidRPr="00EA2893" w:rsidRDefault="009D33A8" w:rsidP="009D33A8">
      <w:pPr>
        <w:pStyle w:val="Note"/>
      </w:pPr>
      <w:r w:rsidRPr="00EA2893">
        <w:t>(a)</w:t>
      </w:r>
      <w:r w:rsidRPr="00EA2893">
        <w:tab/>
        <w:t>Represents undiscounted nominal amount.</w:t>
      </w:r>
    </w:p>
    <w:p w14:paraId="3368BC8C" w14:textId="77777777" w:rsidR="009D33A8" w:rsidRDefault="009D33A8" w:rsidP="009D33A8"/>
    <w:p w14:paraId="541622DF" w14:textId="77777777" w:rsidR="009D33A8" w:rsidRDefault="009D33A8" w:rsidP="009D33A8">
      <w:pPr>
        <w:pStyle w:val="TableHeading"/>
      </w:pPr>
      <w:r w:rsidRPr="00BA0693">
        <w:t xml:space="preserve">Lease liabilities payable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Lease_liabilities_payable"/>
      </w:tblPr>
      <w:tblGrid>
        <w:gridCol w:w="5670"/>
        <w:gridCol w:w="992"/>
        <w:gridCol w:w="992"/>
        <w:gridCol w:w="992"/>
        <w:gridCol w:w="992"/>
      </w:tblGrid>
      <w:tr w:rsidR="009D33A8" w14:paraId="25AB2B4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7044A0F2" w14:textId="77777777" w:rsidR="009D33A8" w:rsidRDefault="009D33A8">
            <w:pPr>
              <w:keepNext/>
            </w:pPr>
          </w:p>
        </w:tc>
        <w:tc>
          <w:tcPr>
            <w:tcW w:w="1984" w:type="dxa"/>
            <w:gridSpan w:val="2"/>
            <w:tcBorders>
              <w:top w:val="single" w:sz="6" w:space="0" w:color="auto"/>
            </w:tcBorders>
          </w:tcPr>
          <w:p w14:paraId="13DF5F40"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7B55CD1F"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400C12F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32A816F0" w14:textId="77777777" w:rsidR="009D33A8" w:rsidRDefault="009D33A8">
            <w:pPr>
              <w:keepNext/>
            </w:pPr>
          </w:p>
        </w:tc>
        <w:tc>
          <w:tcPr>
            <w:tcW w:w="992" w:type="dxa"/>
          </w:tcPr>
          <w:p w14:paraId="7584CE5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02ED326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60B28B6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3C9BCCC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5F390DDE" w14:textId="77777777">
        <w:tc>
          <w:tcPr>
            <w:cnfStyle w:val="001000000000" w:firstRow="0" w:lastRow="0" w:firstColumn="1" w:lastColumn="0" w:oddVBand="0" w:evenVBand="0" w:oddHBand="0" w:evenHBand="0" w:firstRowFirstColumn="0" w:firstRowLastColumn="0" w:lastRowFirstColumn="0" w:lastRowLastColumn="0"/>
            <w:tcW w:w="5670" w:type="dxa"/>
          </w:tcPr>
          <w:p w14:paraId="2A4130D4" w14:textId="77777777" w:rsidR="009D33A8" w:rsidRDefault="009D33A8">
            <w:r>
              <w:t>Less than 1 year</w:t>
            </w:r>
          </w:p>
        </w:tc>
        <w:tc>
          <w:tcPr>
            <w:tcW w:w="992" w:type="dxa"/>
          </w:tcPr>
          <w:p w14:paraId="21FB0258" w14:textId="77777777" w:rsidR="009D33A8" w:rsidRDefault="009D33A8">
            <w:pPr>
              <w:cnfStyle w:val="000000000000" w:firstRow="0" w:lastRow="0" w:firstColumn="0" w:lastColumn="0" w:oddVBand="0" w:evenVBand="0" w:oddHBand="0" w:evenHBand="0" w:firstRowFirstColumn="0" w:firstRowLastColumn="0" w:lastRowFirstColumn="0" w:lastRowLastColumn="0"/>
            </w:pPr>
            <w:r>
              <w:t>1 138</w:t>
            </w:r>
          </w:p>
        </w:tc>
        <w:tc>
          <w:tcPr>
            <w:tcW w:w="992" w:type="dxa"/>
          </w:tcPr>
          <w:p w14:paraId="3595AED4" w14:textId="77777777" w:rsidR="009D33A8" w:rsidRDefault="009D33A8">
            <w:pPr>
              <w:cnfStyle w:val="000000000000" w:firstRow="0" w:lastRow="0" w:firstColumn="0" w:lastColumn="0" w:oddVBand="0" w:evenVBand="0" w:oddHBand="0" w:evenHBand="0" w:firstRowFirstColumn="0" w:firstRowLastColumn="0" w:lastRowFirstColumn="0" w:lastRowLastColumn="0"/>
            </w:pPr>
            <w:r>
              <w:t>1 098</w:t>
            </w:r>
          </w:p>
        </w:tc>
        <w:tc>
          <w:tcPr>
            <w:tcW w:w="992" w:type="dxa"/>
          </w:tcPr>
          <w:p w14:paraId="4A60D215" w14:textId="77777777" w:rsidR="009D33A8" w:rsidRDefault="009D33A8">
            <w:pPr>
              <w:cnfStyle w:val="000000000000" w:firstRow="0" w:lastRow="0" w:firstColumn="0" w:lastColumn="0" w:oddVBand="0" w:evenVBand="0" w:oddHBand="0" w:evenHBand="0" w:firstRowFirstColumn="0" w:firstRowLastColumn="0" w:lastRowFirstColumn="0" w:lastRowLastColumn="0"/>
            </w:pPr>
            <w:r>
              <w:t>1 021</w:t>
            </w:r>
          </w:p>
        </w:tc>
        <w:tc>
          <w:tcPr>
            <w:tcW w:w="992" w:type="dxa"/>
          </w:tcPr>
          <w:p w14:paraId="7F684C03" w14:textId="77777777" w:rsidR="009D33A8" w:rsidRDefault="009D33A8">
            <w:pPr>
              <w:cnfStyle w:val="000000000000" w:firstRow="0" w:lastRow="0" w:firstColumn="0" w:lastColumn="0" w:oddVBand="0" w:evenVBand="0" w:oddHBand="0" w:evenHBand="0" w:firstRowFirstColumn="0" w:firstRowLastColumn="0" w:lastRowFirstColumn="0" w:lastRowLastColumn="0"/>
            </w:pPr>
            <w:r>
              <w:t>1 006</w:t>
            </w:r>
          </w:p>
        </w:tc>
      </w:tr>
      <w:tr w:rsidR="009D33A8" w14:paraId="683F33B5" w14:textId="77777777">
        <w:tc>
          <w:tcPr>
            <w:cnfStyle w:val="001000000000" w:firstRow="0" w:lastRow="0" w:firstColumn="1" w:lastColumn="0" w:oddVBand="0" w:evenVBand="0" w:oddHBand="0" w:evenHBand="0" w:firstRowFirstColumn="0" w:firstRowLastColumn="0" w:lastRowFirstColumn="0" w:lastRowLastColumn="0"/>
            <w:tcW w:w="5670" w:type="dxa"/>
          </w:tcPr>
          <w:p w14:paraId="2AD5E460" w14:textId="77777777" w:rsidR="009D33A8" w:rsidRDefault="009D33A8">
            <w:r>
              <w:t>1 year but less than 5 years</w:t>
            </w:r>
          </w:p>
        </w:tc>
        <w:tc>
          <w:tcPr>
            <w:tcW w:w="992" w:type="dxa"/>
          </w:tcPr>
          <w:p w14:paraId="6AA711D6" w14:textId="77777777" w:rsidR="009D33A8" w:rsidRDefault="009D33A8">
            <w:pPr>
              <w:cnfStyle w:val="000000000000" w:firstRow="0" w:lastRow="0" w:firstColumn="0" w:lastColumn="0" w:oddVBand="0" w:evenVBand="0" w:oddHBand="0" w:evenHBand="0" w:firstRowFirstColumn="0" w:firstRowLastColumn="0" w:lastRowFirstColumn="0" w:lastRowLastColumn="0"/>
            </w:pPr>
            <w:r>
              <w:t>6 608</w:t>
            </w:r>
          </w:p>
        </w:tc>
        <w:tc>
          <w:tcPr>
            <w:tcW w:w="992" w:type="dxa"/>
          </w:tcPr>
          <w:p w14:paraId="26642C37" w14:textId="77777777" w:rsidR="009D33A8" w:rsidRDefault="009D33A8">
            <w:pPr>
              <w:cnfStyle w:val="000000000000" w:firstRow="0" w:lastRow="0" w:firstColumn="0" w:lastColumn="0" w:oddVBand="0" w:evenVBand="0" w:oddHBand="0" w:evenHBand="0" w:firstRowFirstColumn="0" w:firstRowLastColumn="0" w:lastRowFirstColumn="0" w:lastRowLastColumn="0"/>
            </w:pPr>
            <w:r>
              <w:t>6 452</w:t>
            </w:r>
          </w:p>
        </w:tc>
        <w:tc>
          <w:tcPr>
            <w:tcW w:w="992" w:type="dxa"/>
          </w:tcPr>
          <w:p w14:paraId="6C00FBEA" w14:textId="77777777" w:rsidR="009D33A8" w:rsidRDefault="009D33A8">
            <w:pPr>
              <w:cnfStyle w:val="000000000000" w:firstRow="0" w:lastRow="0" w:firstColumn="0" w:lastColumn="0" w:oddVBand="0" w:evenVBand="0" w:oddHBand="0" w:evenHBand="0" w:firstRowFirstColumn="0" w:firstRowLastColumn="0" w:lastRowFirstColumn="0" w:lastRowLastColumn="0"/>
            </w:pPr>
            <w:r>
              <w:t>6 344</w:t>
            </w:r>
          </w:p>
        </w:tc>
        <w:tc>
          <w:tcPr>
            <w:tcW w:w="992" w:type="dxa"/>
          </w:tcPr>
          <w:p w14:paraId="7CCD3A36" w14:textId="77777777" w:rsidR="009D33A8" w:rsidRDefault="009D33A8">
            <w:pPr>
              <w:cnfStyle w:val="000000000000" w:firstRow="0" w:lastRow="0" w:firstColumn="0" w:lastColumn="0" w:oddVBand="0" w:evenVBand="0" w:oddHBand="0" w:evenHBand="0" w:firstRowFirstColumn="0" w:firstRowLastColumn="0" w:lastRowFirstColumn="0" w:lastRowLastColumn="0"/>
            </w:pPr>
            <w:r>
              <w:t>6 164</w:t>
            </w:r>
          </w:p>
        </w:tc>
      </w:tr>
      <w:tr w:rsidR="009D33A8" w14:paraId="6B727EF0" w14:textId="77777777">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5BAF9DF7" w14:textId="77777777" w:rsidR="009D33A8" w:rsidRDefault="009D33A8">
            <w:r>
              <w:t>5 years or more</w:t>
            </w:r>
          </w:p>
        </w:tc>
        <w:tc>
          <w:tcPr>
            <w:tcW w:w="992" w:type="dxa"/>
            <w:tcBorders>
              <w:bottom w:val="single" w:sz="6" w:space="0" w:color="auto"/>
            </w:tcBorders>
          </w:tcPr>
          <w:p w14:paraId="7B4BE631" w14:textId="77777777" w:rsidR="009D33A8" w:rsidRDefault="009D33A8">
            <w:pPr>
              <w:cnfStyle w:val="000000000000" w:firstRow="0" w:lastRow="0" w:firstColumn="0" w:lastColumn="0" w:oddVBand="0" w:evenVBand="0" w:oddHBand="0" w:evenHBand="0" w:firstRowFirstColumn="0" w:firstRowLastColumn="0" w:lastRowFirstColumn="0" w:lastRowLastColumn="0"/>
            </w:pPr>
            <w:r>
              <w:t>2 657</w:t>
            </w:r>
          </w:p>
        </w:tc>
        <w:tc>
          <w:tcPr>
            <w:tcW w:w="992" w:type="dxa"/>
            <w:tcBorders>
              <w:bottom w:val="single" w:sz="6" w:space="0" w:color="auto"/>
            </w:tcBorders>
          </w:tcPr>
          <w:p w14:paraId="29CAE15C" w14:textId="77777777" w:rsidR="009D33A8" w:rsidRDefault="009D33A8">
            <w:pPr>
              <w:cnfStyle w:val="000000000000" w:firstRow="0" w:lastRow="0" w:firstColumn="0" w:lastColumn="0" w:oddVBand="0" w:evenVBand="0" w:oddHBand="0" w:evenHBand="0" w:firstRowFirstColumn="0" w:firstRowLastColumn="0" w:lastRowFirstColumn="0" w:lastRowLastColumn="0"/>
            </w:pPr>
            <w:r>
              <w:t>3 561</w:t>
            </w:r>
          </w:p>
        </w:tc>
        <w:tc>
          <w:tcPr>
            <w:tcW w:w="992" w:type="dxa"/>
            <w:tcBorders>
              <w:bottom w:val="single" w:sz="6" w:space="0" w:color="auto"/>
            </w:tcBorders>
          </w:tcPr>
          <w:p w14:paraId="67344E20" w14:textId="77777777" w:rsidR="009D33A8" w:rsidRDefault="009D33A8">
            <w:pPr>
              <w:cnfStyle w:val="000000000000" w:firstRow="0" w:lastRow="0" w:firstColumn="0" w:lastColumn="0" w:oddVBand="0" w:evenVBand="0" w:oddHBand="0" w:evenHBand="0" w:firstRowFirstColumn="0" w:firstRowLastColumn="0" w:lastRowFirstColumn="0" w:lastRowLastColumn="0"/>
            </w:pPr>
            <w:r>
              <w:t>2 409</w:t>
            </w:r>
          </w:p>
        </w:tc>
        <w:tc>
          <w:tcPr>
            <w:tcW w:w="992" w:type="dxa"/>
            <w:tcBorders>
              <w:bottom w:val="single" w:sz="6" w:space="0" w:color="auto"/>
            </w:tcBorders>
          </w:tcPr>
          <w:p w14:paraId="5CA61B4F" w14:textId="77777777" w:rsidR="009D33A8" w:rsidRDefault="009D33A8">
            <w:pPr>
              <w:cnfStyle w:val="000000000000" w:firstRow="0" w:lastRow="0" w:firstColumn="0" w:lastColumn="0" w:oddVBand="0" w:evenVBand="0" w:oddHBand="0" w:evenHBand="0" w:firstRowFirstColumn="0" w:firstRowLastColumn="0" w:lastRowFirstColumn="0" w:lastRowLastColumn="0"/>
            </w:pPr>
            <w:r>
              <w:t>3 334</w:t>
            </w:r>
          </w:p>
        </w:tc>
      </w:tr>
      <w:tr w:rsidR="009D33A8" w14:paraId="20EF4A3A" w14:textId="77777777">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227CA3D7" w14:textId="77777777" w:rsidR="009D33A8" w:rsidRDefault="009D33A8">
            <w:r>
              <w:rPr>
                <w:b/>
              </w:rPr>
              <w:t>Minimum lease payments</w:t>
            </w:r>
          </w:p>
        </w:tc>
        <w:tc>
          <w:tcPr>
            <w:tcW w:w="992" w:type="dxa"/>
            <w:tcBorders>
              <w:top w:val="single" w:sz="6" w:space="0" w:color="auto"/>
            </w:tcBorders>
          </w:tcPr>
          <w:p w14:paraId="22A6434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10 402</w:t>
            </w:r>
          </w:p>
        </w:tc>
        <w:tc>
          <w:tcPr>
            <w:tcW w:w="992" w:type="dxa"/>
            <w:tcBorders>
              <w:top w:val="single" w:sz="6" w:space="0" w:color="auto"/>
            </w:tcBorders>
          </w:tcPr>
          <w:p w14:paraId="5F6EC7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11 111</w:t>
            </w:r>
          </w:p>
        </w:tc>
        <w:tc>
          <w:tcPr>
            <w:tcW w:w="992" w:type="dxa"/>
            <w:tcBorders>
              <w:top w:val="single" w:sz="6" w:space="0" w:color="auto"/>
            </w:tcBorders>
          </w:tcPr>
          <w:p w14:paraId="37E50D3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9 774</w:t>
            </w:r>
          </w:p>
        </w:tc>
        <w:tc>
          <w:tcPr>
            <w:tcW w:w="992" w:type="dxa"/>
            <w:tcBorders>
              <w:top w:val="single" w:sz="6" w:space="0" w:color="auto"/>
            </w:tcBorders>
          </w:tcPr>
          <w:p w14:paraId="6937E8E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10 504</w:t>
            </w:r>
          </w:p>
        </w:tc>
      </w:tr>
      <w:tr w:rsidR="009D33A8" w14:paraId="14895F93" w14:textId="77777777">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6FF5828" w14:textId="77777777" w:rsidR="009D33A8" w:rsidRDefault="009D33A8">
            <w:r>
              <w:t>Future finance charges</w:t>
            </w:r>
          </w:p>
        </w:tc>
        <w:tc>
          <w:tcPr>
            <w:tcW w:w="992" w:type="dxa"/>
            <w:tcBorders>
              <w:bottom w:val="single" w:sz="6" w:space="0" w:color="auto"/>
            </w:tcBorders>
          </w:tcPr>
          <w:p w14:paraId="5CE5BC23" w14:textId="77777777" w:rsidR="009D33A8" w:rsidRDefault="009D33A8">
            <w:pPr>
              <w:cnfStyle w:val="000000000000" w:firstRow="0" w:lastRow="0" w:firstColumn="0" w:lastColumn="0" w:oddVBand="0" w:evenVBand="0" w:oddHBand="0" w:evenHBand="0" w:firstRowFirstColumn="0" w:firstRowLastColumn="0" w:lastRowFirstColumn="0" w:lastRowLastColumn="0"/>
            </w:pPr>
            <w:r>
              <w:t>2 290</w:t>
            </w:r>
          </w:p>
        </w:tc>
        <w:tc>
          <w:tcPr>
            <w:tcW w:w="992" w:type="dxa"/>
            <w:tcBorders>
              <w:bottom w:val="single" w:sz="6" w:space="0" w:color="auto"/>
            </w:tcBorders>
          </w:tcPr>
          <w:p w14:paraId="746F8119" w14:textId="77777777" w:rsidR="009D33A8" w:rsidRDefault="009D33A8">
            <w:pPr>
              <w:cnfStyle w:val="000000000000" w:firstRow="0" w:lastRow="0" w:firstColumn="0" w:lastColumn="0" w:oddVBand="0" w:evenVBand="0" w:oddHBand="0" w:evenHBand="0" w:firstRowFirstColumn="0" w:firstRowLastColumn="0" w:lastRowFirstColumn="0" w:lastRowLastColumn="0"/>
            </w:pPr>
            <w:r>
              <w:t>2 484</w:t>
            </w:r>
          </w:p>
        </w:tc>
        <w:tc>
          <w:tcPr>
            <w:tcW w:w="992" w:type="dxa"/>
            <w:tcBorders>
              <w:bottom w:val="single" w:sz="6" w:space="0" w:color="auto"/>
            </w:tcBorders>
          </w:tcPr>
          <w:p w14:paraId="74B89BFB" w14:textId="77777777" w:rsidR="009D33A8" w:rsidRDefault="009D33A8">
            <w:pPr>
              <w:cnfStyle w:val="000000000000" w:firstRow="0" w:lastRow="0" w:firstColumn="0" w:lastColumn="0" w:oddVBand="0" w:evenVBand="0" w:oddHBand="0" w:evenHBand="0" w:firstRowFirstColumn="0" w:firstRowLastColumn="0" w:lastRowFirstColumn="0" w:lastRowLastColumn="0"/>
            </w:pPr>
            <w:r>
              <w:t>2 240</w:t>
            </w:r>
          </w:p>
        </w:tc>
        <w:tc>
          <w:tcPr>
            <w:tcW w:w="992" w:type="dxa"/>
            <w:tcBorders>
              <w:bottom w:val="single" w:sz="6" w:space="0" w:color="auto"/>
            </w:tcBorders>
          </w:tcPr>
          <w:p w14:paraId="6944EEC8" w14:textId="77777777" w:rsidR="009D33A8" w:rsidRDefault="009D33A8">
            <w:pPr>
              <w:cnfStyle w:val="000000000000" w:firstRow="0" w:lastRow="0" w:firstColumn="0" w:lastColumn="0" w:oddVBand="0" w:evenVBand="0" w:oddHBand="0" w:evenHBand="0" w:firstRowFirstColumn="0" w:firstRowLastColumn="0" w:lastRowFirstColumn="0" w:lastRowLastColumn="0"/>
            </w:pPr>
            <w:r>
              <w:t>2 464</w:t>
            </w:r>
          </w:p>
        </w:tc>
      </w:tr>
      <w:tr w:rsidR="009D33A8" w14:paraId="2E60CC6D" w14:textId="77777777">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752459F9" w14:textId="77777777" w:rsidR="009D33A8" w:rsidRDefault="009D33A8">
            <w:r>
              <w:rPr>
                <w:b/>
              </w:rPr>
              <w:t>Total lease liabilities</w:t>
            </w:r>
          </w:p>
        </w:tc>
        <w:tc>
          <w:tcPr>
            <w:tcW w:w="992" w:type="dxa"/>
            <w:tcBorders>
              <w:top w:val="single" w:sz="6" w:space="0" w:color="auto"/>
              <w:bottom w:val="single" w:sz="12" w:space="0" w:color="auto"/>
            </w:tcBorders>
          </w:tcPr>
          <w:p w14:paraId="0E9CA1E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8 112</w:t>
            </w:r>
          </w:p>
        </w:tc>
        <w:tc>
          <w:tcPr>
            <w:tcW w:w="992" w:type="dxa"/>
            <w:tcBorders>
              <w:top w:val="single" w:sz="6" w:space="0" w:color="auto"/>
              <w:bottom w:val="single" w:sz="12" w:space="0" w:color="auto"/>
            </w:tcBorders>
          </w:tcPr>
          <w:p w14:paraId="29FC5C9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8 628</w:t>
            </w:r>
          </w:p>
        </w:tc>
        <w:tc>
          <w:tcPr>
            <w:tcW w:w="992" w:type="dxa"/>
            <w:tcBorders>
              <w:top w:val="single" w:sz="6" w:space="0" w:color="auto"/>
              <w:bottom w:val="single" w:sz="12" w:space="0" w:color="auto"/>
            </w:tcBorders>
          </w:tcPr>
          <w:p w14:paraId="517994E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7 534</w:t>
            </w:r>
          </w:p>
        </w:tc>
        <w:tc>
          <w:tcPr>
            <w:tcW w:w="992" w:type="dxa"/>
            <w:tcBorders>
              <w:top w:val="single" w:sz="6" w:space="0" w:color="auto"/>
              <w:bottom w:val="single" w:sz="12" w:space="0" w:color="auto"/>
            </w:tcBorders>
          </w:tcPr>
          <w:p w14:paraId="40523FA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8 040</w:t>
            </w:r>
          </w:p>
        </w:tc>
      </w:tr>
    </w:tbl>
    <w:p w14:paraId="528F3482" w14:textId="77777777" w:rsidR="009D33A8" w:rsidRDefault="009D33A8" w:rsidP="009D33A8"/>
    <w:p w14:paraId="5ADE40EF" w14:textId="77777777" w:rsidR="009D33A8" w:rsidRDefault="009D33A8" w:rsidP="009D33A8">
      <w:pPr>
        <w:pStyle w:val="TableHeading"/>
      </w:pPr>
      <w:r w:rsidRPr="00BA0693">
        <w:t>Service concession arrangement liabilities payable</w:t>
      </w:r>
      <w:r>
        <w:t xml:space="preserve"> </w:t>
      </w:r>
      <w:r w:rsidRPr="00BA0693">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Service_concession_arrangement_liabilities"/>
      </w:tblPr>
      <w:tblGrid>
        <w:gridCol w:w="5670"/>
        <w:gridCol w:w="992"/>
        <w:gridCol w:w="992"/>
        <w:gridCol w:w="992"/>
        <w:gridCol w:w="992"/>
      </w:tblGrid>
      <w:tr w:rsidR="009D33A8" w14:paraId="334F125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1B6DE545" w14:textId="77777777" w:rsidR="009D33A8" w:rsidRDefault="009D33A8">
            <w:pPr>
              <w:keepNext/>
            </w:pPr>
          </w:p>
        </w:tc>
        <w:tc>
          <w:tcPr>
            <w:tcW w:w="1984" w:type="dxa"/>
            <w:gridSpan w:val="2"/>
            <w:tcBorders>
              <w:top w:val="single" w:sz="6" w:space="0" w:color="auto"/>
            </w:tcBorders>
          </w:tcPr>
          <w:p w14:paraId="620156BD"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br/>
              <w:t>State of Victoria</w:t>
            </w:r>
          </w:p>
        </w:tc>
        <w:tc>
          <w:tcPr>
            <w:tcW w:w="1984" w:type="dxa"/>
            <w:gridSpan w:val="2"/>
            <w:tcBorders>
              <w:top w:val="single" w:sz="6" w:space="0" w:color="auto"/>
            </w:tcBorders>
          </w:tcPr>
          <w:p w14:paraId="68698638"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9D33A8" w14:paraId="35B9B7A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7B7EB6EA" w14:textId="77777777" w:rsidR="009D33A8" w:rsidRDefault="009D33A8">
            <w:pPr>
              <w:keepNext/>
            </w:pPr>
          </w:p>
        </w:tc>
        <w:tc>
          <w:tcPr>
            <w:tcW w:w="992" w:type="dxa"/>
          </w:tcPr>
          <w:p w14:paraId="473C3B2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6CB507E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77FC00A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19B0FBD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0902E4EB" w14:textId="77777777">
        <w:tc>
          <w:tcPr>
            <w:cnfStyle w:val="001000000000" w:firstRow="0" w:lastRow="0" w:firstColumn="1" w:lastColumn="0" w:oddVBand="0" w:evenVBand="0" w:oddHBand="0" w:evenHBand="0" w:firstRowFirstColumn="0" w:firstRowLastColumn="0" w:lastRowFirstColumn="0" w:lastRowLastColumn="0"/>
            <w:tcW w:w="5670" w:type="dxa"/>
          </w:tcPr>
          <w:p w14:paraId="30C84283" w14:textId="77777777" w:rsidR="009D33A8" w:rsidRDefault="009D33A8">
            <w:r>
              <w:t>Less than 1 year</w:t>
            </w:r>
          </w:p>
        </w:tc>
        <w:tc>
          <w:tcPr>
            <w:tcW w:w="992" w:type="dxa"/>
          </w:tcPr>
          <w:p w14:paraId="0DAC6D31" w14:textId="77777777" w:rsidR="009D33A8" w:rsidRDefault="009D33A8">
            <w:pPr>
              <w:cnfStyle w:val="000000000000" w:firstRow="0" w:lastRow="0" w:firstColumn="0" w:lastColumn="0" w:oddVBand="0" w:evenVBand="0" w:oddHBand="0" w:evenHBand="0" w:firstRowFirstColumn="0" w:firstRowLastColumn="0" w:lastRowFirstColumn="0" w:lastRowLastColumn="0"/>
            </w:pPr>
            <w:r>
              <w:t>1 545</w:t>
            </w:r>
          </w:p>
        </w:tc>
        <w:tc>
          <w:tcPr>
            <w:tcW w:w="992" w:type="dxa"/>
          </w:tcPr>
          <w:p w14:paraId="2AE59CDC" w14:textId="77777777" w:rsidR="009D33A8" w:rsidRDefault="009D33A8">
            <w:pPr>
              <w:cnfStyle w:val="000000000000" w:firstRow="0" w:lastRow="0" w:firstColumn="0" w:lastColumn="0" w:oddVBand="0" w:evenVBand="0" w:oddHBand="0" w:evenHBand="0" w:firstRowFirstColumn="0" w:firstRowLastColumn="0" w:lastRowFirstColumn="0" w:lastRowLastColumn="0"/>
            </w:pPr>
            <w:r>
              <w:t>936</w:t>
            </w:r>
          </w:p>
        </w:tc>
        <w:tc>
          <w:tcPr>
            <w:tcW w:w="992" w:type="dxa"/>
          </w:tcPr>
          <w:p w14:paraId="45BF7645" w14:textId="77777777" w:rsidR="009D33A8" w:rsidRDefault="009D33A8">
            <w:pPr>
              <w:cnfStyle w:val="000000000000" w:firstRow="0" w:lastRow="0" w:firstColumn="0" w:lastColumn="0" w:oddVBand="0" w:evenVBand="0" w:oddHBand="0" w:evenHBand="0" w:firstRowFirstColumn="0" w:firstRowLastColumn="0" w:lastRowFirstColumn="0" w:lastRowLastColumn="0"/>
            </w:pPr>
            <w:r>
              <w:t>924</w:t>
            </w:r>
          </w:p>
        </w:tc>
        <w:tc>
          <w:tcPr>
            <w:tcW w:w="992" w:type="dxa"/>
          </w:tcPr>
          <w:p w14:paraId="5D290071" w14:textId="77777777" w:rsidR="009D33A8" w:rsidRDefault="009D33A8">
            <w:pPr>
              <w:cnfStyle w:val="000000000000" w:firstRow="0" w:lastRow="0" w:firstColumn="0" w:lastColumn="0" w:oddVBand="0" w:evenVBand="0" w:oddHBand="0" w:evenHBand="0" w:firstRowFirstColumn="0" w:firstRowLastColumn="0" w:lastRowFirstColumn="0" w:lastRowLastColumn="0"/>
            </w:pPr>
            <w:r>
              <w:t>883</w:t>
            </w:r>
          </w:p>
        </w:tc>
      </w:tr>
      <w:tr w:rsidR="009D33A8" w14:paraId="2F16A048" w14:textId="77777777">
        <w:tc>
          <w:tcPr>
            <w:cnfStyle w:val="001000000000" w:firstRow="0" w:lastRow="0" w:firstColumn="1" w:lastColumn="0" w:oddVBand="0" w:evenVBand="0" w:oddHBand="0" w:evenHBand="0" w:firstRowFirstColumn="0" w:firstRowLastColumn="0" w:lastRowFirstColumn="0" w:lastRowLastColumn="0"/>
            <w:tcW w:w="5670" w:type="dxa"/>
          </w:tcPr>
          <w:p w14:paraId="4F14B422" w14:textId="77777777" w:rsidR="009D33A8" w:rsidRDefault="009D33A8">
            <w:r>
              <w:t>1 year but less than 5 years</w:t>
            </w:r>
          </w:p>
        </w:tc>
        <w:tc>
          <w:tcPr>
            <w:tcW w:w="992" w:type="dxa"/>
          </w:tcPr>
          <w:p w14:paraId="684F4EFF" w14:textId="77777777" w:rsidR="009D33A8" w:rsidRDefault="009D33A8">
            <w:pPr>
              <w:cnfStyle w:val="000000000000" w:firstRow="0" w:lastRow="0" w:firstColumn="0" w:lastColumn="0" w:oddVBand="0" w:evenVBand="0" w:oddHBand="0" w:evenHBand="0" w:firstRowFirstColumn="0" w:firstRowLastColumn="0" w:lastRowFirstColumn="0" w:lastRowLastColumn="0"/>
            </w:pPr>
            <w:r>
              <w:t>3 648</w:t>
            </w:r>
          </w:p>
        </w:tc>
        <w:tc>
          <w:tcPr>
            <w:tcW w:w="992" w:type="dxa"/>
          </w:tcPr>
          <w:p w14:paraId="459673E3" w14:textId="77777777" w:rsidR="009D33A8" w:rsidRDefault="009D33A8">
            <w:pPr>
              <w:cnfStyle w:val="000000000000" w:firstRow="0" w:lastRow="0" w:firstColumn="0" w:lastColumn="0" w:oddVBand="0" w:evenVBand="0" w:oddHBand="0" w:evenHBand="0" w:firstRowFirstColumn="0" w:firstRowLastColumn="0" w:lastRowFirstColumn="0" w:lastRowLastColumn="0"/>
            </w:pPr>
            <w:r>
              <w:t>3 108</w:t>
            </w:r>
          </w:p>
        </w:tc>
        <w:tc>
          <w:tcPr>
            <w:tcW w:w="992" w:type="dxa"/>
          </w:tcPr>
          <w:p w14:paraId="37E8B0D8" w14:textId="77777777" w:rsidR="009D33A8" w:rsidRDefault="009D33A8">
            <w:pPr>
              <w:cnfStyle w:val="000000000000" w:firstRow="0" w:lastRow="0" w:firstColumn="0" w:lastColumn="0" w:oddVBand="0" w:evenVBand="0" w:oddHBand="0" w:evenHBand="0" w:firstRowFirstColumn="0" w:firstRowLastColumn="0" w:lastRowFirstColumn="0" w:lastRowLastColumn="0"/>
            </w:pPr>
            <w:r>
              <w:t>3 012</w:t>
            </w:r>
          </w:p>
        </w:tc>
        <w:tc>
          <w:tcPr>
            <w:tcW w:w="992" w:type="dxa"/>
          </w:tcPr>
          <w:p w14:paraId="74D51F17" w14:textId="77777777" w:rsidR="009D33A8" w:rsidRDefault="009D33A8">
            <w:pPr>
              <w:cnfStyle w:val="000000000000" w:firstRow="0" w:lastRow="0" w:firstColumn="0" w:lastColumn="0" w:oddVBand="0" w:evenVBand="0" w:oddHBand="0" w:evenHBand="0" w:firstRowFirstColumn="0" w:firstRowLastColumn="0" w:lastRowFirstColumn="0" w:lastRowLastColumn="0"/>
            </w:pPr>
            <w:r>
              <w:t>3 048</w:t>
            </w:r>
          </w:p>
        </w:tc>
      </w:tr>
      <w:tr w:rsidR="009D33A8" w14:paraId="2B817425" w14:textId="77777777">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20FA56D" w14:textId="77777777" w:rsidR="009D33A8" w:rsidRDefault="009D33A8">
            <w:r>
              <w:t>5 years or more</w:t>
            </w:r>
          </w:p>
        </w:tc>
        <w:tc>
          <w:tcPr>
            <w:tcW w:w="992" w:type="dxa"/>
            <w:tcBorders>
              <w:bottom w:val="single" w:sz="6" w:space="0" w:color="auto"/>
            </w:tcBorders>
          </w:tcPr>
          <w:p w14:paraId="7D4A1412" w14:textId="77777777" w:rsidR="009D33A8" w:rsidRDefault="009D33A8">
            <w:pPr>
              <w:cnfStyle w:val="000000000000" w:firstRow="0" w:lastRow="0" w:firstColumn="0" w:lastColumn="0" w:oddVBand="0" w:evenVBand="0" w:oddHBand="0" w:evenHBand="0" w:firstRowFirstColumn="0" w:firstRowLastColumn="0" w:lastRowFirstColumn="0" w:lastRowLastColumn="0"/>
            </w:pPr>
            <w:r>
              <w:t>8 795</w:t>
            </w:r>
          </w:p>
        </w:tc>
        <w:tc>
          <w:tcPr>
            <w:tcW w:w="992" w:type="dxa"/>
            <w:tcBorders>
              <w:bottom w:val="single" w:sz="6" w:space="0" w:color="auto"/>
            </w:tcBorders>
          </w:tcPr>
          <w:p w14:paraId="1DF0EFB3" w14:textId="77777777" w:rsidR="009D33A8" w:rsidRDefault="009D33A8">
            <w:pPr>
              <w:cnfStyle w:val="000000000000" w:firstRow="0" w:lastRow="0" w:firstColumn="0" w:lastColumn="0" w:oddVBand="0" w:evenVBand="0" w:oddHBand="0" w:evenHBand="0" w:firstRowFirstColumn="0" w:firstRowLastColumn="0" w:lastRowFirstColumn="0" w:lastRowLastColumn="0"/>
            </w:pPr>
            <w:r>
              <w:t>8 032</w:t>
            </w:r>
          </w:p>
        </w:tc>
        <w:tc>
          <w:tcPr>
            <w:tcW w:w="992" w:type="dxa"/>
            <w:tcBorders>
              <w:bottom w:val="single" w:sz="6" w:space="0" w:color="auto"/>
            </w:tcBorders>
          </w:tcPr>
          <w:p w14:paraId="3F2874ED" w14:textId="77777777" w:rsidR="009D33A8" w:rsidRDefault="009D33A8">
            <w:pPr>
              <w:cnfStyle w:val="000000000000" w:firstRow="0" w:lastRow="0" w:firstColumn="0" w:lastColumn="0" w:oddVBand="0" w:evenVBand="0" w:oddHBand="0" w:evenHBand="0" w:firstRowFirstColumn="0" w:firstRowLastColumn="0" w:lastRowFirstColumn="0" w:lastRowLastColumn="0"/>
            </w:pPr>
            <w:r>
              <w:t>5 406</w:t>
            </w:r>
          </w:p>
        </w:tc>
        <w:tc>
          <w:tcPr>
            <w:tcW w:w="992" w:type="dxa"/>
            <w:tcBorders>
              <w:bottom w:val="single" w:sz="6" w:space="0" w:color="auto"/>
            </w:tcBorders>
          </w:tcPr>
          <w:p w14:paraId="0E1A8C35" w14:textId="77777777" w:rsidR="009D33A8" w:rsidRDefault="009D33A8">
            <w:pPr>
              <w:cnfStyle w:val="000000000000" w:firstRow="0" w:lastRow="0" w:firstColumn="0" w:lastColumn="0" w:oddVBand="0" w:evenVBand="0" w:oddHBand="0" w:evenHBand="0" w:firstRowFirstColumn="0" w:firstRowLastColumn="0" w:lastRowFirstColumn="0" w:lastRowLastColumn="0"/>
            </w:pPr>
            <w:r>
              <w:t>5 761</w:t>
            </w:r>
          </w:p>
        </w:tc>
      </w:tr>
      <w:tr w:rsidR="009D33A8" w14:paraId="4399708F" w14:textId="77777777">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20516D56" w14:textId="77777777" w:rsidR="009D33A8" w:rsidRDefault="009D33A8">
            <w:r>
              <w:rPr>
                <w:b/>
              </w:rPr>
              <w:t>Minimum liability payments</w:t>
            </w:r>
          </w:p>
        </w:tc>
        <w:tc>
          <w:tcPr>
            <w:tcW w:w="992" w:type="dxa"/>
            <w:tcBorders>
              <w:top w:val="single" w:sz="6" w:space="0" w:color="auto"/>
            </w:tcBorders>
          </w:tcPr>
          <w:p w14:paraId="6EDC311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13 988</w:t>
            </w:r>
          </w:p>
        </w:tc>
        <w:tc>
          <w:tcPr>
            <w:tcW w:w="992" w:type="dxa"/>
            <w:tcBorders>
              <w:top w:val="single" w:sz="6" w:space="0" w:color="auto"/>
            </w:tcBorders>
          </w:tcPr>
          <w:p w14:paraId="1053353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12 077</w:t>
            </w:r>
          </w:p>
        </w:tc>
        <w:tc>
          <w:tcPr>
            <w:tcW w:w="992" w:type="dxa"/>
            <w:tcBorders>
              <w:top w:val="single" w:sz="6" w:space="0" w:color="auto"/>
            </w:tcBorders>
          </w:tcPr>
          <w:p w14:paraId="632C4E5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9 342</w:t>
            </w:r>
          </w:p>
        </w:tc>
        <w:tc>
          <w:tcPr>
            <w:tcW w:w="992" w:type="dxa"/>
            <w:tcBorders>
              <w:top w:val="single" w:sz="6" w:space="0" w:color="auto"/>
            </w:tcBorders>
          </w:tcPr>
          <w:p w14:paraId="35C78DD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9 692</w:t>
            </w:r>
          </w:p>
        </w:tc>
      </w:tr>
      <w:tr w:rsidR="009D33A8" w14:paraId="66B06161" w14:textId="77777777">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707FF6A9" w14:textId="77777777" w:rsidR="009D33A8" w:rsidRDefault="009D33A8">
            <w:r>
              <w:t>Future finance charges</w:t>
            </w:r>
          </w:p>
        </w:tc>
        <w:tc>
          <w:tcPr>
            <w:tcW w:w="992" w:type="dxa"/>
            <w:tcBorders>
              <w:bottom w:val="single" w:sz="6" w:space="0" w:color="auto"/>
            </w:tcBorders>
          </w:tcPr>
          <w:p w14:paraId="7826B3FE" w14:textId="77777777" w:rsidR="009D33A8" w:rsidRDefault="009D33A8">
            <w:pPr>
              <w:cnfStyle w:val="000000000000" w:firstRow="0" w:lastRow="0" w:firstColumn="0" w:lastColumn="0" w:oddVBand="0" w:evenVBand="0" w:oddHBand="0" w:evenHBand="0" w:firstRowFirstColumn="0" w:firstRowLastColumn="0" w:lastRowFirstColumn="0" w:lastRowLastColumn="0"/>
            </w:pPr>
            <w:r>
              <w:t>4 976</w:t>
            </w:r>
          </w:p>
        </w:tc>
        <w:tc>
          <w:tcPr>
            <w:tcW w:w="992" w:type="dxa"/>
            <w:tcBorders>
              <w:bottom w:val="single" w:sz="6" w:space="0" w:color="auto"/>
            </w:tcBorders>
          </w:tcPr>
          <w:p w14:paraId="7FD40830" w14:textId="77777777" w:rsidR="009D33A8" w:rsidRDefault="009D33A8">
            <w:pPr>
              <w:cnfStyle w:val="000000000000" w:firstRow="0" w:lastRow="0" w:firstColumn="0" w:lastColumn="0" w:oddVBand="0" w:evenVBand="0" w:oddHBand="0" w:evenHBand="0" w:firstRowFirstColumn="0" w:firstRowLastColumn="0" w:lastRowFirstColumn="0" w:lastRowLastColumn="0"/>
            </w:pPr>
            <w:r>
              <w:t>4 600</w:t>
            </w:r>
          </w:p>
        </w:tc>
        <w:tc>
          <w:tcPr>
            <w:tcW w:w="992" w:type="dxa"/>
            <w:tcBorders>
              <w:bottom w:val="single" w:sz="6" w:space="0" w:color="auto"/>
            </w:tcBorders>
          </w:tcPr>
          <w:p w14:paraId="044B0F74" w14:textId="77777777" w:rsidR="009D33A8" w:rsidRDefault="009D33A8">
            <w:pPr>
              <w:cnfStyle w:val="000000000000" w:firstRow="0" w:lastRow="0" w:firstColumn="0" w:lastColumn="0" w:oddVBand="0" w:evenVBand="0" w:oddHBand="0" w:evenHBand="0" w:firstRowFirstColumn="0" w:firstRowLastColumn="0" w:lastRowFirstColumn="0" w:lastRowLastColumn="0"/>
            </w:pPr>
            <w:r>
              <w:t>3 566</w:t>
            </w:r>
          </w:p>
        </w:tc>
        <w:tc>
          <w:tcPr>
            <w:tcW w:w="992" w:type="dxa"/>
            <w:tcBorders>
              <w:bottom w:val="single" w:sz="6" w:space="0" w:color="auto"/>
            </w:tcBorders>
          </w:tcPr>
          <w:p w14:paraId="4E9C8BEA" w14:textId="77777777" w:rsidR="009D33A8" w:rsidRDefault="009D33A8">
            <w:pPr>
              <w:cnfStyle w:val="000000000000" w:firstRow="0" w:lastRow="0" w:firstColumn="0" w:lastColumn="0" w:oddVBand="0" w:evenVBand="0" w:oddHBand="0" w:evenHBand="0" w:firstRowFirstColumn="0" w:firstRowLastColumn="0" w:lastRowFirstColumn="0" w:lastRowLastColumn="0"/>
            </w:pPr>
            <w:r>
              <w:t>4 186</w:t>
            </w:r>
          </w:p>
        </w:tc>
      </w:tr>
      <w:tr w:rsidR="009D33A8" w14:paraId="1EA1DCFC" w14:textId="77777777">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1794AA1F" w14:textId="77777777" w:rsidR="009D33A8" w:rsidRDefault="009D33A8">
            <w:r>
              <w:rPr>
                <w:b/>
              </w:rPr>
              <w:t>Total service concession arrangement liabilities</w:t>
            </w:r>
          </w:p>
        </w:tc>
        <w:tc>
          <w:tcPr>
            <w:tcW w:w="992" w:type="dxa"/>
            <w:tcBorders>
              <w:top w:val="single" w:sz="6" w:space="0" w:color="auto"/>
              <w:bottom w:val="single" w:sz="12" w:space="0" w:color="auto"/>
            </w:tcBorders>
          </w:tcPr>
          <w:p w14:paraId="3D4F1F9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9 013</w:t>
            </w:r>
          </w:p>
        </w:tc>
        <w:tc>
          <w:tcPr>
            <w:tcW w:w="992" w:type="dxa"/>
            <w:tcBorders>
              <w:top w:val="single" w:sz="6" w:space="0" w:color="auto"/>
              <w:bottom w:val="single" w:sz="12" w:space="0" w:color="auto"/>
            </w:tcBorders>
          </w:tcPr>
          <w:p w14:paraId="1F7C6DE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7 476</w:t>
            </w:r>
          </w:p>
        </w:tc>
        <w:tc>
          <w:tcPr>
            <w:tcW w:w="992" w:type="dxa"/>
            <w:tcBorders>
              <w:top w:val="single" w:sz="6" w:space="0" w:color="auto"/>
              <w:bottom w:val="single" w:sz="12" w:space="0" w:color="auto"/>
            </w:tcBorders>
          </w:tcPr>
          <w:p w14:paraId="0391F72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5 776</w:t>
            </w:r>
          </w:p>
        </w:tc>
        <w:tc>
          <w:tcPr>
            <w:tcW w:w="992" w:type="dxa"/>
            <w:tcBorders>
              <w:top w:val="single" w:sz="6" w:space="0" w:color="auto"/>
              <w:bottom w:val="single" w:sz="12" w:space="0" w:color="auto"/>
            </w:tcBorders>
          </w:tcPr>
          <w:p w14:paraId="11C3C67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5 506</w:t>
            </w:r>
          </w:p>
        </w:tc>
      </w:tr>
    </w:tbl>
    <w:p w14:paraId="42A77EE5" w14:textId="77777777" w:rsidR="009D33A8" w:rsidRDefault="009D33A8" w:rsidP="009D33A8"/>
    <w:p w14:paraId="2EBBFEBE" w14:textId="77777777" w:rsidR="009D33A8" w:rsidRDefault="009D33A8" w:rsidP="009D33A8">
      <w:pPr>
        <w:keepLines w:val="0"/>
        <w:rPr>
          <w:rFonts w:asciiTheme="majorHAnsi" w:eastAsiaTheme="majorEastAsia" w:hAnsiTheme="majorHAnsi" w:cstheme="majorBidi"/>
          <w:b/>
          <w:sz w:val="27"/>
          <w:szCs w:val="26"/>
        </w:rPr>
      </w:pPr>
      <w:r>
        <w:br w:type="page"/>
      </w:r>
    </w:p>
    <w:p w14:paraId="7D2899E8" w14:textId="77777777" w:rsidR="009D33A8" w:rsidRDefault="009D33A8" w:rsidP="009D33A8">
      <w:pPr>
        <w:pStyle w:val="Heading2"/>
      </w:pPr>
      <w:bookmarkStart w:id="116" w:name="_Toc209481815"/>
      <w:r>
        <w:lastRenderedPageBreak/>
        <w:t>6.2</w:t>
      </w:r>
      <w:r>
        <w:tab/>
        <w:t>Contingent assets and contingent liabilities</w:t>
      </w:r>
      <w:bookmarkEnd w:id="116"/>
    </w:p>
    <w:p w14:paraId="47A7DB9A" w14:textId="77777777" w:rsidR="0097456B" w:rsidRDefault="0097456B" w:rsidP="009D33A8">
      <w:pPr>
        <w:sectPr w:rsidR="0097456B" w:rsidSect="00ED5429">
          <w:type w:val="continuous"/>
          <w:pgSz w:w="11906" w:h="16838" w:code="9"/>
          <w:pgMar w:top="1134" w:right="1134" w:bottom="1134" w:left="1134" w:header="624" w:footer="567" w:gutter="0"/>
          <w:cols w:space="708"/>
          <w:docGrid w:linePitch="360"/>
        </w:sectPr>
      </w:pPr>
    </w:p>
    <w:p w14:paraId="19A56626" w14:textId="77777777" w:rsidR="009D33A8" w:rsidRDefault="009D33A8" w:rsidP="009D33A8">
      <w:r>
        <w:t>Contingent assets and contingent liabilities are not recognised in the balance sheet but are disclosed and, if quantifiable, are measured at nominal value.</w:t>
      </w:r>
    </w:p>
    <w:p w14:paraId="794C85DC" w14:textId="77777777" w:rsidR="009D33A8" w:rsidRDefault="009D33A8" w:rsidP="009D33A8">
      <w:r>
        <w:t>Contingent assets and liabilities are presented inclusive of GST receivable or payable respectively.</w:t>
      </w:r>
    </w:p>
    <w:p w14:paraId="7BAA6D8C" w14:textId="77777777" w:rsidR="009D33A8" w:rsidRDefault="00DF0E81" w:rsidP="009D33A8">
      <w:r>
        <w:br w:type="column"/>
      </w:r>
    </w:p>
    <w:p w14:paraId="0DA07C7D" w14:textId="77777777" w:rsidR="0097456B" w:rsidRDefault="0097456B" w:rsidP="009D33A8">
      <w:pPr>
        <w:pStyle w:val="TableHeading"/>
        <w:spacing w:before="240"/>
        <w:ind w:right="-170"/>
        <w:sectPr w:rsidR="0097456B" w:rsidSect="0097456B">
          <w:type w:val="continuous"/>
          <w:pgSz w:w="11906" w:h="16838" w:code="9"/>
          <w:pgMar w:top="1134" w:right="1134" w:bottom="1134" w:left="1134" w:header="624" w:footer="567" w:gutter="0"/>
          <w:cols w:num="2" w:space="708"/>
          <w:docGrid w:linePitch="360"/>
        </w:sectPr>
      </w:pPr>
    </w:p>
    <w:p w14:paraId="75B6C7A5" w14:textId="77777777" w:rsidR="00DF0E81" w:rsidRDefault="00DF0E81" w:rsidP="00DF0E81">
      <w:pPr>
        <w:pStyle w:val="Heading3"/>
        <w:spacing w:before="120"/>
      </w:pPr>
      <w:r>
        <w:t xml:space="preserve">Contingent assets </w:t>
      </w:r>
    </w:p>
    <w:p w14:paraId="00160273" w14:textId="77777777" w:rsidR="00DF0E81" w:rsidRDefault="00DF0E81" w:rsidP="00DF0E81">
      <w:r w:rsidRPr="006B5973">
        <w:t>Contingent assets are possible assets that arise from</w:t>
      </w:r>
      <w:r>
        <w:t xml:space="preserve"> past events, whose existence will be confirmed only by the occurrence or non</w:t>
      </w:r>
      <w:r>
        <w:noBreakHyphen/>
        <w:t>occurrence of one or more uncertain future events not wholly within the control of the entity.</w:t>
      </w:r>
    </w:p>
    <w:p w14:paraId="4B286B6A" w14:textId="63BB6B82" w:rsidR="0097456B" w:rsidRDefault="00DF0E81" w:rsidP="008059E5">
      <w:pPr>
        <w:ind w:right="96"/>
      </w:pPr>
      <w:r>
        <w:t>These are classified as either quantifiable, where the potential economic benefit is known, or non</w:t>
      </w:r>
      <w:r w:rsidR="008059E5">
        <w:noBreakHyphen/>
      </w:r>
      <w:r>
        <w:t>quantifiable.</w:t>
      </w:r>
    </w:p>
    <w:p w14:paraId="79FC8741" w14:textId="423AA61B" w:rsidR="0097456B" w:rsidRDefault="0097456B" w:rsidP="0097456B">
      <w:r>
        <w:t xml:space="preserve">The table below contains quantifiable </w:t>
      </w:r>
      <w:r w:rsidRPr="0097456B">
        <w:t>contingent</w:t>
      </w:r>
      <w:r>
        <w:t xml:space="preserve"> assets as at 30 June 2025.</w:t>
      </w:r>
    </w:p>
    <w:p w14:paraId="1A64FFDE" w14:textId="0E980B77" w:rsidR="009D33A8" w:rsidRDefault="009D33A8" w:rsidP="0097456B">
      <w:pPr>
        <w:pStyle w:val="TableHeading"/>
      </w:pPr>
      <w:r>
        <w:t xml:space="preserve">Quantifiable contingent assets </w:t>
      </w:r>
      <w:r w:rsidRPr="00650452">
        <w:rPr>
          <w:vertAlign w:val="superscript"/>
        </w:rPr>
        <w:t>(a)</w:t>
      </w:r>
      <w:r>
        <w:tab/>
        <w:t>($ million)</w:t>
      </w:r>
    </w:p>
    <w:tbl>
      <w:tblPr>
        <w:tblStyle w:val="DTFTableNumeric"/>
        <w:tblW w:w="4820" w:type="dxa"/>
        <w:tblLayout w:type="fixed"/>
        <w:tblLook w:val="06A0" w:firstRow="1" w:lastRow="0" w:firstColumn="1" w:lastColumn="0" w:noHBand="1" w:noVBand="1"/>
        <w:tblDescription w:val="Type:DtfTable|Workbook:https://vicgov.sharepoint.com/sites/VG002733/Annual Financial Report/CRA Coordination/Financial Statements/Manual Reports/Contingent Assets Contingent Liabilities (CACL)/Link_AFR_CACL.xlsx|Table:Quantifiable_contingent_assets"/>
      </w:tblPr>
      <w:tblGrid>
        <w:gridCol w:w="2410"/>
        <w:gridCol w:w="602"/>
        <w:gridCol w:w="603"/>
        <w:gridCol w:w="602"/>
        <w:gridCol w:w="603"/>
      </w:tblGrid>
      <w:tr w:rsidR="009D33A8" w14:paraId="120ACE95" w14:textId="77777777" w:rsidTr="00B478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2FB89F52" w14:textId="77777777" w:rsidR="009D33A8" w:rsidRDefault="009D33A8">
            <w:pPr>
              <w:keepNext/>
            </w:pPr>
          </w:p>
        </w:tc>
        <w:tc>
          <w:tcPr>
            <w:tcW w:w="1205" w:type="dxa"/>
            <w:gridSpan w:val="2"/>
          </w:tcPr>
          <w:p w14:paraId="58C4E50E" w14:textId="64253E5C"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State of </w:t>
            </w:r>
            <w:r w:rsidR="00DF0E81">
              <w:br/>
            </w:r>
            <w:r>
              <w:t>Victoria</w:t>
            </w:r>
          </w:p>
        </w:tc>
        <w:tc>
          <w:tcPr>
            <w:tcW w:w="1205" w:type="dxa"/>
            <w:gridSpan w:val="2"/>
          </w:tcPr>
          <w:p w14:paraId="149422E1"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40F7B" w14:paraId="15444639" w14:textId="77777777" w:rsidTr="00B478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43A3F07D" w14:textId="77777777" w:rsidR="009D33A8" w:rsidRDefault="009D33A8">
            <w:pPr>
              <w:keepNext/>
            </w:pPr>
          </w:p>
        </w:tc>
        <w:tc>
          <w:tcPr>
            <w:tcW w:w="602" w:type="dxa"/>
          </w:tcPr>
          <w:p w14:paraId="034DB46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603" w:type="dxa"/>
          </w:tcPr>
          <w:p w14:paraId="570E370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602" w:type="dxa"/>
          </w:tcPr>
          <w:p w14:paraId="57619AB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603" w:type="dxa"/>
          </w:tcPr>
          <w:p w14:paraId="5679AF3B" w14:textId="77777777" w:rsidR="009D33A8" w:rsidRDefault="009D33A8" w:rsidP="00B4786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6905B10F" w14:textId="77777777" w:rsidTr="00B47868">
        <w:tc>
          <w:tcPr>
            <w:cnfStyle w:val="001000000000" w:firstRow="0" w:lastRow="0" w:firstColumn="1" w:lastColumn="0" w:oddVBand="0" w:evenVBand="0" w:oddHBand="0" w:evenHBand="0" w:firstRowFirstColumn="0" w:firstRowLastColumn="0" w:lastRowFirstColumn="0" w:lastRowLastColumn="0"/>
            <w:tcW w:w="2410" w:type="dxa"/>
          </w:tcPr>
          <w:p w14:paraId="7746BFBC" w14:textId="77777777" w:rsidR="009D33A8" w:rsidRDefault="009D33A8">
            <w:r>
              <w:t>Guarantees, indemnities and warranties</w:t>
            </w:r>
          </w:p>
        </w:tc>
        <w:tc>
          <w:tcPr>
            <w:tcW w:w="602" w:type="dxa"/>
          </w:tcPr>
          <w:p w14:paraId="703696FD" w14:textId="77777777" w:rsidR="009D33A8" w:rsidRDefault="009D33A8">
            <w:pPr>
              <w:cnfStyle w:val="000000000000" w:firstRow="0" w:lastRow="0" w:firstColumn="0" w:lastColumn="0" w:oddVBand="0" w:evenVBand="0" w:oddHBand="0" w:evenHBand="0" w:firstRowFirstColumn="0" w:firstRowLastColumn="0" w:lastRowFirstColumn="0" w:lastRowLastColumn="0"/>
            </w:pPr>
            <w:r>
              <w:t>201</w:t>
            </w:r>
          </w:p>
        </w:tc>
        <w:tc>
          <w:tcPr>
            <w:tcW w:w="603" w:type="dxa"/>
          </w:tcPr>
          <w:p w14:paraId="794B6650" w14:textId="77777777" w:rsidR="009D33A8" w:rsidRDefault="009D33A8">
            <w:pPr>
              <w:cnfStyle w:val="000000000000" w:firstRow="0" w:lastRow="0" w:firstColumn="0" w:lastColumn="0" w:oddVBand="0" w:evenVBand="0" w:oddHBand="0" w:evenHBand="0" w:firstRowFirstColumn="0" w:firstRowLastColumn="0" w:lastRowFirstColumn="0" w:lastRowLastColumn="0"/>
            </w:pPr>
            <w:r>
              <w:t>205</w:t>
            </w:r>
          </w:p>
        </w:tc>
        <w:tc>
          <w:tcPr>
            <w:tcW w:w="602" w:type="dxa"/>
          </w:tcPr>
          <w:p w14:paraId="5CA0F562" w14:textId="77777777" w:rsidR="009D33A8" w:rsidRDefault="009D33A8">
            <w:pPr>
              <w:cnfStyle w:val="000000000000" w:firstRow="0" w:lastRow="0" w:firstColumn="0" w:lastColumn="0" w:oddVBand="0" w:evenVBand="0" w:oddHBand="0" w:evenHBand="0" w:firstRowFirstColumn="0" w:firstRowLastColumn="0" w:lastRowFirstColumn="0" w:lastRowLastColumn="0"/>
            </w:pPr>
            <w:r>
              <w:t>62</w:t>
            </w:r>
          </w:p>
        </w:tc>
        <w:tc>
          <w:tcPr>
            <w:tcW w:w="603" w:type="dxa"/>
          </w:tcPr>
          <w:p w14:paraId="25F2A737" w14:textId="77777777" w:rsidR="009D33A8" w:rsidRDefault="009D33A8">
            <w:pPr>
              <w:cnfStyle w:val="000000000000" w:firstRow="0" w:lastRow="0" w:firstColumn="0" w:lastColumn="0" w:oddVBand="0" w:evenVBand="0" w:oddHBand="0" w:evenHBand="0" w:firstRowFirstColumn="0" w:firstRowLastColumn="0" w:lastRowFirstColumn="0" w:lastRowLastColumn="0"/>
            </w:pPr>
            <w:r>
              <w:t>48</w:t>
            </w:r>
          </w:p>
        </w:tc>
      </w:tr>
      <w:tr w:rsidR="009D33A8" w14:paraId="3891CA39" w14:textId="77777777" w:rsidTr="00B47868">
        <w:tc>
          <w:tcPr>
            <w:cnfStyle w:val="001000000000" w:firstRow="0" w:lastRow="0" w:firstColumn="1" w:lastColumn="0" w:oddVBand="0" w:evenVBand="0" w:oddHBand="0" w:evenHBand="0" w:firstRowFirstColumn="0" w:firstRowLastColumn="0" w:lastRowFirstColumn="0" w:lastRowLastColumn="0"/>
            <w:tcW w:w="2410" w:type="dxa"/>
          </w:tcPr>
          <w:p w14:paraId="1A66829D" w14:textId="77777777" w:rsidR="009D33A8" w:rsidRDefault="009D33A8">
            <w:r>
              <w:t>Legal proceedings and disputes</w:t>
            </w:r>
          </w:p>
        </w:tc>
        <w:tc>
          <w:tcPr>
            <w:tcW w:w="602" w:type="dxa"/>
          </w:tcPr>
          <w:p w14:paraId="69AD85AB"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c>
          <w:tcPr>
            <w:tcW w:w="603" w:type="dxa"/>
          </w:tcPr>
          <w:p w14:paraId="40EDD9A5" w14:textId="77777777" w:rsidR="009D33A8" w:rsidRDefault="009D33A8">
            <w:pPr>
              <w:cnfStyle w:val="000000000000" w:firstRow="0" w:lastRow="0" w:firstColumn="0" w:lastColumn="0" w:oddVBand="0" w:evenVBand="0" w:oddHBand="0" w:evenHBand="0" w:firstRowFirstColumn="0" w:firstRowLastColumn="0" w:lastRowFirstColumn="0" w:lastRowLastColumn="0"/>
            </w:pPr>
            <w:r>
              <w:t>21</w:t>
            </w:r>
          </w:p>
        </w:tc>
        <w:tc>
          <w:tcPr>
            <w:tcW w:w="602" w:type="dxa"/>
          </w:tcPr>
          <w:p w14:paraId="7FC377B0" w14:textId="77777777" w:rsidR="009D33A8" w:rsidRDefault="009D33A8">
            <w:pPr>
              <w:cnfStyle w:val="000000000000" w:firstRow="0" w:lastRow="0" w:firstColumn="0" w:lastColumn="0" w:oddVBand="0" w:evenVBand="0" w:oddHBand="0" w:evenHBand="0" w:firstRowFirstColumn="0" w:firstRowLastColumn="0" w:lastRowFirstColumn="0" w:lastRowLastColumn="0"/>
            </w:pPr>
            <w:r>
              <w:t>24</w:t>
            </w:r>
          </w:p>
        </w:tc>
        <w:tc>
          <w:tcPr>
            <w:tcW w:w="603" w:type="dxa"/>
          </w:tcPr>
          <w:p w14:paraId="08D39899" w14:textId="77777777" w:rsidR="009D33A8" w:rsidRDefault="009D33A8">
            <w:pPr>
              <w:cnfStyle w:val="000000000000" w:firstRow="0" w:lastRow="0" w:firstColumn="0" w:lastColumn="0" w:oddVBand="0" w:evenVBand="0" w:oddHBand="0" w:evenHBand="0" w:firstRowFirstColumn="0" w:firstRowLastColumn="0" w:lastRowFirstColumn="0" w:lastRowLastColumn="0"/>
            </w:pPr>
            <w:r>
              <w:t>19</w:t>
            </w:r>
          </w:p>
        </w:tc>
      </w:tr>
      <w:tr w:rsidR="009D33A8" w14:paraId="392EAC13" w14:textId="77777777" w:rsidTr="00B47868">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tcBorders>
          </w:tcPr>
          <w:p w14:paraId="4C07BFBA" w14:textId="77777777" w:rsidR="009D33A8" w:rsidRDefault="009D33A8">
            <w:r>
              <w:t>Other</w:t>
            </w:r>
            <w:r>
              <w:rPr>
                <w:vertAlign w:val="superscript"/>
              </w:rPr>
              <w:t xml:space="preserve"> (b)</w:t>
            </w:r>
          </w:p>
        </w:tc>
        <w:tc>
          <w:tcPr>
            <w:tcW w:w="602" w:type="dxa"/>
            <w:tcBorders>
              <w:bottom w:val="single" w:sz="6" w:space="0" w:color="auto"/>
            </w:tcBorders>
          </w:tcPr>
          <w:p w14:paraId="6053264C" w14:textId="77777777" w:rsidR="009D33A8" w:rsidRDefault="009D33A8">
            <w:pPr>
              <w:cnfStyle w:val="000000000000" w:firstRow="0" w:lastRow="0" w:firstColumn="0" w:lastColumn="0" w:oddVBand="0" w:evenVBand="0" w:oddHBand="0" w:evenHBand="0" w:firstRowFirstColumn="0" w:firstRowLastColumn="0" w:lastRowFirstColumn="0" w:lastRowLastColumn="0"/>
            </w:pPr>
            <w:r>
              <w:t>372</w:t>
            </w:r>
          </w:p>
        </w:tc>
        <w:tc>
          <w:tcPr>
            <w:tcW w:w="603" w:type="dxa"/>
            <w:tcBorders>
              <w:bottom w:val="single" w:sz="6" w:space="0" w:color="auto"/>
            </w:tcBorders>
          </w:tcPr>
          <w:p w14:paraId="70F128BE" w14:textId="77777777" w:rsidR="009D33A8" w:rsidRDefault="009D33A8">
            <w:pPr>
              <w:cnfStyle w:val="000000000000" w:firstRow="0" w:lastRow="0" w:firstColumn="0" w:lastColumn="0" w:oddVBand="0" w:evenVBand="0" w:oddHBand="0" w:evenHBand="0" w:firstRowFirstColumn="0" w:firstRowLastColumn="0" w:lastRowFirstColumn="0" w:lastRowLastColumn="0"/>
            </w:pPr>
            <w:r>
              <w:t>425</w:t>
            </w:r>
          </w:p>
        </w:tc>
        <w:tc>
          <w:tcPr>
            <w:tcW w:w="602" w:type="dxa"/>
            <w:tcBorders>
              <w:bottom w:val="single" w:sz="6" w:space="0" w:color="auto"/>
            </w:tcBorders>
          </w:tcPr>
          <w:p w14:paraId="6EB4F9E1" w14:textId="77777777" w:rsidR="009D33A8" w:rsidRDefault="009D33A8">
            <w:pPr>
              <w:cnfStyle w:val="000000000000" w:firstRow="0" w:lastRow="0" w:firstColumn="0" w:lastColumn="0" w:oddVBand="0" w:evenVBand="0" w:oddHBand="0" w:evenHBand="0" w:firstRowFirstColumn="0" w:firstRowLastColumn="0" w:lastRowFirstColumn="0" w:lastRowLastColumn="0"/>
            </w:pPr>
            <w:r>
              <w:t>76</w:t>
            </w:r>
          </w:p>
        </w:tc>
        <w:tc>
          <w:tcPr>
            <w:tcW w:w="603" w:type="dxa"/>
            <w:tcBorders>
              <w:bottom w:val="single" w:sz="6" w:space="0" w:color="auto"/>
            </w:tcBorders>
          </w:tcPr>
          <w:p w14:paraId="2FE32C7E" w14:textId="77777777" w:rsidR="009D33A8" w:rsidRDefault="009D33A8">
            <w:pPr>
              <w:cnfStyle w:val="000000000000" w:firstRow="0" w:lastRow="0" w:firstColumn="0" w:lastColumn="0" w:oddVBand="0" w:evenVBand="0" w:oddHBand="0" w:evenHBand="0" w:firstRowFirstColumn="0" w:firstRowLastColumn="0" w:lastRowFirstColumn="0" w:lastRowLastColumn="0"/>
            </w:pPr>
            <w:r>
              <w:t>73</w:t>
            </w:r>
          </w:p>
        </w:tc>
      </w:tr>
      <w:tr w:rsidR="009D33A8" w14:paraId="0934C294" w14:textId="77777777" w:rsidTr="00B47868">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auto"/>
              <w:bottom w:val="single" w:sz="12" w:space="0" w:color="auto"/>
            </w:tcBorders>
          </w:tcPr>
          <w:p w14:paraId="4E8C279F" w14:textId="77777777" w:rsidR="009D33A8" w:rsidRDefault="009D33A8">
            <w:r>
              <w:rPr>
                <w:b/>
              </w:rPr>
              <w:t>Total contingent assets</w:t>
            </w:r>
          </w:p>
        </w:tc>
        <w:tc>
          <w:tcPr>
            <w:tcW w:w="602" w:type="dxa"/>
            <w:tcBorders>
              <w:top w:val="single" w:sz="6" w:space="0" w:color="auto"/>
              <w:bottom w:val="single" w:sz="12" w:space="0" w:color="auto"/>
            </w:tcBorders>
          </w:tcPr>
          <w:p w14:paraId="71D8ECF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599</w:t>
            </w:r>
          </w:p>
        </w:tc>
        <w:tc>
          <w:tcPr>
            <w:tcW w:w="603" w:type="dxa"/>
            <w:tcBorders>
              <w:top w:val="single" w:sz="6" w:space="0" w:color="auto"/>
              <w:bottom w:val="single" w:sz="12" w:space="0" w:color="auto"/>
            </w:tcBorders>
          </w:tcPr>
          <w:p w14:paraId="2A083A7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651</w:t>
            </w:r>
          </w:p>
        </w:tc>
        <w:tc>
          <w:tcPr>
            <w:tcW w:w="602" w:type="dxa"/>
            <w:tcBorders>
              <w:top w:val="single" w:sz="6" w:space="0" w:color="auto"/>
              <w:bottom w:val="single" w:sz="12" w:space="0" w:color="auto"/>
            </w:tcBorders>
          </w:tcPr>
          <w:p w14:paraId="18B6D23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162</w:t>
            </w:r>
          </w:p>
        </w:tc>
        <w:tc>
          <w:tcPr>
            <w:tcW w:w="603" w:type="dxa"/>
            <w:tcBorders>
              <w:top w:val="single" w:sz="6" w:space="0" w:color="auto"/>
              <w:bottom w:val="single" w:sz="12" w:space="0" w:color="auto"/>
            </w:tcBorders>
          </w:tcPr>
          <w:p w14:paraId="38AABD8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140</w:t>
            </w:r>
          </w:p>
        </w:tc>
      </w:tr>
    </w:tbl>
    <w:p w14:paraId="48194A88" w14:textId="77777777" w:rsidR="009D33A8" w:rsidRDefault="009D33A8" w:rsidP="009D33A8">
      <w:pPr>
        <w:pStyle w:val="Note"/>
        <w:ind w:left="0" w:firstLine="0"/>
      </w:pPr>
      <w:r>
        <w:t>Notes:</w:t>
      </w:r>
    </w:p>
    <w:p w14:paraId="0D4D280A" w14:textId="77777777" w:rsidR="009D33A8" w:rsidRDefault="009D33A8" w:rsidP="009D33A8">
      <w:pPr>
        <w:pStyle w:val="Note"/>
      </w:pPr>
      <w:r>
        <w:t>(a)</w:t>
      </w:r>
      <w:r>
        <w:tab/>
        <w:t>Figures reflect contingent assets that arise from outside of government.</w:t>
      </w:r>
    </w:p>
    <w:p w14:paraId="6405B8EF" w14:textId="383F76EB" w:rsidR="009D33A8" w:rsidRDefault="009D33A8" w:rsidP="009D33A8">
      <w:pPr>
        <w:pStyle w:val="Note"/>
      </w:pPr>
      <w:r w:rsidRPr="00A21613">
        <w:t>(b)</w:t>
      </w:r>
      <w:r w:rsidRPr="00A21613">
        <w:tab/>
        <w:t>As at 30 June 202</w:t>
      </w:r>
      <w:r>
        <w:t>5</w:t>
      </w:r>
      <w:r w:rsidRPr="00A21613">
        <w:t>, the majority of contingent assets held by the State relate to developer contributions of water and sewerage infrastructure whereby control is transferred to the State</w:t>
      </w:r>
      <w:r w:rsidR="00845934">
        <w:t>’</w:t>
      </w:r>
      <w:r w:rsidRPr="00A21613">
        <w:t>s water entities upon completion of various development projects.</w:t>
      </w:r>
    </w:p>
    <w:p w14:paraId="16C4D14B" w14:textId="77777777" w:rsidR="00B47868" w:rsidRDefault="00B47868" w:rsidP="009D33A8">
      <w:pPr>
        <w:pStyle w:val="Heading4"/>
        <w:rPr>
          <w:b/>
          <w:i w:val="0"/>
          <w:sz w:val="23"/>
        </w:rPr>
      </w:pPr>
    </w:p>
    <w:p w14:paraId="41622307" w14:textId="5F03258F" w:rsidR="009D33A8" w:rsidRDefault="009D33A8" w:rsidP="009D33A8">
      <w:pPr>
        <w:pStyle w:val="Heading4"/>
        <w:rPr>
          <w:b/>
          <w:i w:val="0"/>
          <w:iCs w:val="0"/>
          <w:sz w:val="23"/>
        </w:rPr>
      </w:pPr>
      <w:r w:rsidRPr="00442C85">
        <w:rPr>
          <w:b/>
          <w:i w:val="0"/>
          <w:sz w:val="23"/>
        </w:rPr>
        <w:t xml:space="preserve">Non-quantifiable contingent </w:t>
      </w:r>
      <w:r w:rsidRPr="00442C85">
        <w:rPr>
          <w:b/>
          <w:i w:val="0"/>
          <w:iCs w:val="0"/>
          <w:sz w:val="23"/>
        </w:rPr>
        <w:t>assets</w:t>
      </w:r>
    </w:p>
    <w:p w14:paraId="6CE6AD44" w14:textId="77777777" w:rsidR="009D33A8" w:rsidRDefault="009D33A8" w:rsidP="009D33A8">
      <w:pPr>
        <w:pStyle w:val="Heading4"/>
      </w:pPr>
      <w:r w:rsidRPr="00442C85">
        <w:t>Peninsula</w:t>
      </w:r>
      <w:r>
        <w:t xml:space="preserve"> Link compensable enhancement claim</w:t>
      </w:r>
    </w:p>
    <w:p w14:paraId="6891EEDB" w14:textId="77777777" w:rsidR="009D33A8" w:rsidRDefault="009D33A8" w:rsidP="009D33A8">
      <w:r>
        <w:t>The EastLink Concession Deed contains compensable enhancement provisions that enable the State to claim 50 per cent of any additional revenue derived by ConnectEast Pty Ltd (ConnectEast) as a result of certain events that particularly benefit EastLink, including changes to the adjoining road network.</w:t>
      </w:r>
    </w:p>
    <w:p w14:paraId="418529CA" w14:textId="77777777" w:rsidR="009D33A8" w:rsidRDefault="009D33A8" w:rsidP="009D33A8">
      <w:pPr>
        <w:spacing w:before="200"/>
      </w:pPr>
      <w:r>
        <w:t>On 2 January 2014, the State lodged a compensable enhancement claim as a result of opening Peninsula Link. The claim remains outstanding.</w:t>
      </w:r>
    </w:p>
    <w:p w14:paraId="2CA1093E" w14:textId="6DE4834B" w:rsidR="009D33A8" w:rsidRPr="0029765D" w:rsidRDefault="00DF0E81" w:rsidP="009D33A8">
      <w:pPr>
        <w:pStyle w:val="Heading3"/>
        <w:spacing w:before="120"/>
        <w:rPr>
          <w:rStyle w:val="Heading3Char"/>
          <w:b/>
        </w:rPr>
      </w:pPr>
      <w:r>
        <w:rPr>
          <w:rStyle w:val="Heading3Char"/>
          <w:b/>
        </w:rPr>
        <w:br w:type="column"/>
      </w:r>
      <w:r w:rsidR="009D33A8" w:rsidRPr="0029765D">
        <w:rPr>
          <w:rStyle w:val="Heading3Char"/>
          <w:b/>
        </w:rPr>
        <w:t>Contingent liabilities</w:t>
      </w:r>
    </w:p>
    <w:p w14:paraId="38EC67B7" w14:textId="77777777" w:rsidR="009D33A8" w:rsidRDefault="009D33A8" w:rsidP="009D33A8">
      <w:r>
        <w:t>Contingent liabilities are either:</w:t>
      </w:r>
    </w:p>
    <w:p w14:paraId="6053A94D" w14:textId="77777777" w:rsidR="009D33A8" w:rsidRPr="00412CDC" w:rsidRDefault="009D33A8" w:rsidP="009D33A8">
      <w:pPr>
        <w:pStyle w:val="ListBullet"/>
        <w:keepLines/>
        <w:numPr>
          <w:ilvl w:val="0"/>
          <w:numId w:val="27"/>
        </w:numPr>
        <w:ind w:left="357" w:hanging="357"/>
      </w:pPr>
      <w:r w:rsidRPr="00412CDC">
        <w:t>possible obligations that arise from past events, whose existence will be confirmed only by the occurrence or non-occurrence of one or more uncertain future events not wholly within the control of the entity</w:t>
      </w:r>
    </w:p>
    <w:p w14:paraId="0492D64D" w14:textId="77777777" w:rsidR="009D33A8" w:rsidRPr="00412CDC" w:rsidRDefault="009D33A8" w:rsidP="009D33A8">
      <w:pPr>
        <w:pStyle w:val="ListBullet"/>
        <w:keepLines/>
        <w:numPr>
          <w:ilvl w:val="0"/>
          <w:numId w:val="27"/>
        </w:numPr>
        <w:ind w:left="357" w:hanging="357"/>
      </w:pPr>
      <w:r w:rsidRPr="00412CDC">
        <w:t>present obligations that arise from past events but are not recognised because of either of the following:</w:t>
      </w:r>
    </w:p>
    <w:p w14:paraId="10340DF5" w14:textId="77777777" w:rsidR="009D33A8" w:rsidRPr="00412CDC" w:rsidRDefault="009D33A8" w:rsidP="009D33A8">
      <w:pPr>
        <w:pStyle w:val="ListBullet2"/>
        <w:numPr>
          <w:ilvl w:val="1"/>
          <w:numId w:val="25"/>
        </w:numPr>
        <w:tabs>
          <w:tab w:val="num" w:pos="643"/>
        </w:tabs>
      </w:pPr>
      <w:r>
        <w:t>i</w:t>
      </w:r>
      <w:r w:rsidRPr="00412CDC">
        <w:t xml:space="preserve">t is not probable that an outflow of resources embodying economic benefits will be required to settle the obligations </w:t>
      </w:r>
    </w:p>
    <w:p w14:paraId="38083C82" w14:textId="77777777" w:rsidR="009D33A8" w:rsidRPr="00412CDC" w:rsidRDefault="009D33A8" w:rsidP="009D33A8">
      <w:pPr>
        <w:pStyle w:val="ListBullet2"/>
        <w:numPr>
          <w:ilvl w:val="1"/>
          <w:numId w:val="25"/>
        </w:numPr>
        <w:tabs>
          <w:tab w:val="num" w:pos="643"/>
        </w:tabs>
      </w:pPr>
      <w:r>
        <w:t>t</w:t>
      </w:r>
      <w:r w:rsidRPr="00412CDC">
        <w:t>he amount of the obligations cannot be measured with sufficient reliability.</w:t>
      </w:r>
    </w:p>
    <w:p w14:paraId="2F060C29" w14:textId="77777777" w:rsidR="009D33A8" w:rsidRDefault="009D33A8" w:rsidP="009D33A8">
      <w:r>
        <w:t>Contingent liabilities are also classified as either quantifiable or non-quantifiable.</w:t>
      </w:r>
    </w:p>
    <w:p w14:paraId="72DA098D" w14:textId="577E4A45" w:rsidR="00DF0E81" w:rsidRDefault="00DF0E81" w:rsidP="00DF0E81">
      <w:r>
        <w:t xml:space="preserve">The table below contains quantifiable contingent </w:t>
      </w:r>
      <w:r w:rsidRPr="00DF0E81">
        <w:t>liabilities</w:t>
      </w:r>
      <w:r>
        <w:t xml:space="preserve"> as at 30 June 2025.</w:t>
      </w:r>
      <w:r w:rsidRPr="00650452">
        <w:t xml:space="preserve"> </w:t>
      </w:r>
    </w:p>
    <w:p w14:paraId="7FF8C05B" w14:textId="77777777" w:rsidR="009D33A8" w:rsidRDefault="009D33A8" w:rsidP="009D33A8">
      <w:pPr>
        <w:pStyle w:val="TableHeading"/>
        <w:spacing w:before="240"/>
        <w:ind w:right="-170"/>
      </w:pPr>
      <w:r>
        <w:t>Quantifiable contingent liabilities</w:t>
      </w:r>
      <w:r>
        <w:tab/>
        <w:t>($ million)</w:t>
      </w:r>
    </w:p>
    <w:tbl>
      <w:tblPr>
        <w:tblStyle w:val="DTFTableNumeric"/>
        <w:tblW w:w="4961" w:type="dxa"/>
        <w:tblLayout w:type="fixed"/>
        <w:tblLook w:val="06A0" w:firstRow="1" w:lastRow="0" w:firstColumn="1" w:lastColumn="0" w:noHBand="1" w:noVBand="1"/>
        <w:tblDescription w:val="Type:DtfTable|Workbook:https://vicgov.sharepoint.com/sites/VG002733/Annual Financial Report/CRA Coordination/Financial Statements/Manual Reports/Contingent Assets Contingent Liabilities (CACL)/Link_AFR_CACL.xlsx|Table:Quantifiable_contingent_liabilities"/>
      </w:tblPr>
      <w:tblGrid>
        <w:gridCol w:w="2410"/>
        <w:gridCol w:w="637"/>
        <w:gridCol w:w="638"/>
        <w:gridCol w:w="638"/>
        <w:gridCol w:w="638"/>
      </w:tblGrid>
      <w:tr w:rsidR="009D33A8" w14:paraId="0D0FAD42" w14:textId="77777777" w:rsidTr="00DF0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04F86CA2" w14:textId="77777777" w:rsidR="009D33A8" w:rsidRDefault="009D33A8">
            <w:pPr>
              <w:keepNext/>
            </w:pPr>
          </w:p>
        </w:tc>
        <w:tc>
          <w:tcPr>
            <w:tcW w:w="1275" w:type="dxa"/>
            <w:gridSpan w:val="2"/>
          </w:tcPr>
          <w:p w14:paraId="496C22D8"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276" w:type="dxa"/>
            <w:gridSpan w:val="2"/>
          </w:tcPr>
          <w:p w14:paraId="5481A7D0"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D33A8" w14:paraId="39CA6BD1" w14:textId="77777777" w:rsidTr="00DF0E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2D767686" w14:textId="77777777" w:rsidR="009D33A8" w:rsidRDefault="009D33A8">
            <w:pPr>
              <w:keepNext/>
            </w:pPr>
          </w:p>
        </w:tc>
        <w:tc>
          <w:tcPr>
            <w:tcW w:w="637" w:type="dxa"/>
          </w:tcPr>
          <w:p w14:paraId="34ADB95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638" w:type="dxa"/>
          </w:tcPr>
          <w:p w14:paraId="07ABFD1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638" w:type="dxa"/>
          </w:tcPr>
          <w:p w14:paraId="6C196E4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638" w:type="dxa"/>
          </w:tcPr>
          <w:p w14:paraId="26A8EE4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3FAD6AD1" w14:textId="77777777" w:rsidTr="00DF0E81">
        <w:tc>
          <w:tcPr>
            <w:cnfStyle w:val="001000000000" w:firstRow="0" w:lastRow="0" w:firstColumn="1" w:lastColumn="0" w:oddVBand="0" w:evenVBand="0" w:oddHBand="0" w:evenHBand="0" w:firstRowFirstColumn="0" w:firstRowLastColumn="0" w:lastRowFirstColumn="0" w:lastRowLastColumn="0"/>
            <w:tcW w:w="2410" w:type="dxa"/>
          </w:tcPr>
          <w:p w14:paraId="25971016" w14:textId="77777777" w:rsidR="009D33A8" w:rsidRDefault="009D33A8">
            <w:r>
              <w:t>Guarantees, indemnities and warranties</w:t>
            </w:r>
            <w:r>
              <w:rPr>
                <w:vertAlign w:val="superscript"/>
              </w:rPr>
              <w:t xml:space="preserve"> (a)</w:t>
            </w:r>
          </w:p>
        </w:tc>
        <w:tc>
          <w:tcPr>
            <w:tcW w:w="637" w:type="dxa"/>
          </w:tcPr>
          <w:p w14:paraId="2F50E9B2" w14:textId="77777777" w:rsidR="009D33A8" w:rsidRDefault="009D33A8">
            <w:pPr>
              <w:cnfStyle w:val="000000000000" w:firstRow="0" w:lastRow="0" w:firstColumn="0" w:lastColumn="0" w:oddVBand="0" w:evenVBand="0" w:oddHBand="0" w:evenHBand="0" w:firstRowFirstColumn="0" w:firstRowLastColumn="0" w:lastRowFirstColumn="0" w:lastRowLastColumn="0"/>
            </w:pPr>
            <w:r>
              <w:t>845</w:t>
            </w:r>
          </w:p>
        </w:tc>
        <w:tc>
          <w:tcPr>
            <w:tcW w:w="638" w:type="dxa"/>
          </w:tcPr>
          <w:p w14:paraId="4E221300" w14:textId="77777777" w:rsidR="009D33A8" w:rsidRDefault="009D33A8">
            <w:pPr>
              <w:cnfStyle w:val="000000000000" w:firstRow="0" w:lastRow="0" w:firstColumn="0" w:lastColumn="0" w:oddVBand="0" w:evenVBand="0" w:oddHBand="0" w:evenHBand="0" w:firstRowFirstColumn="0" w:firstRowLastColumn="0" w:lastRowFirstColumn="0" w:lastRowLastColumn="0"/>
            </w:pPr>
            <w:r>
              <w:t>2 304</w:t>
            </w:r>
          </w:p>
        </w:tc>
        <w:tc>
          <w:tcPr>
            <w:tcW w:w="638" w:type="dxa"/>
          </w:tcPr>
          <w:p w14:paraId="0C3FCFD4" w14:textId="77777777" w:rsidR="009D33A8" w:rsidRDefault="009D33A8">
            <w:pPr>
              <w:cnfStyle w:val="000000000000" w:firstRow="0" w:lastRow="0" w:firstColumn="0" w:lastColumn="0" w:oddVBand="0" w:evenVBand="0" w:oddHBand="0" w:evenHBand="0" w:firstRowFirstColumn="0" w:firstRowLastColumn="0" w:lastRowFirstColumn="0" w:lastRowLastColumn="0"/>
            </w:pPr>
            <w:r>
              <w:t>822</w:t>
            </w:r>
          </w:p>
        </w:tc>
        <w:tc>
          <w:tcPr>
            <w:tcW w:w="638" w:type="dxa"/>
          </w:tcPr>
          <w:p w14:paraId="0714AFEA" w14:textId="77777777" w:rsidR="009D33A8" w:rsidRDefault="009D33A8">
            <w:pPr>
              <w:cnfStyle w:val="000000000000" w:firstRow="0" w:lastRow="0" w:firstColumn="0" w:lastColumn="0" w:oddVBand="0" w:evenVBand="0" w:oddHBand="0" w:evenHBand="0" w:firstRowFirstColumn="0" w:firstRowLastColumn="0" w:lastRowFirstColumn="0" w:lastRowLastColumn="0"/>
            </w:pPr>
            <w:r>
              <w:t>2 280</w:t>
            </w:r>
          </w:p>
        </w:tc>
      </w:tr>
      <w:tr w:rsidR="009D33A8" w14:paraId="0C774B69" w14:textId="77777777" w:rsidTr="00DF0E81">
        <w:tc>
          <w:tcPr>
            <w:cnfStyle w:val="001000000000" w:firstRow="0" w:lastRow="0" w:firstColumn="1" w:lastColumn="0" w:oddVBand="0" w:evenVBand="0" w:oddHBand="0" w:evenHBand="0" w:firstRowFirstColumn="0" w:firstRowLastColumn="0" w:lastRowFirstColumn="0" w:lastRowLastColumn="0"/>
            <w:tcW w:w="2410" w:type="dxa"/>
          </w:tcPr>
          <w:p w14:paraId="7AE7A059" w14:textId="77777777" w:rsidR="009D33A8" w:rsidRDefault="009D33A8">
            <w:r>
              <w:t>Legal proceedings and disputes</w:t>
            </w:r>
          </w:p>
        </w:tc>
        <w:tc>
          <w:tcPr>
            <w:tcW w:w="637" w:type="dxa"/>
          </w:tcPr>
          <w:p w14:paraId="22FF8107" w14:textId="77777777" w:rsidR="009D33A8" w:rsidRDefault="009D33A8">
            <w:pPr>
              <w:cnfStyle w:val="000000000000" w:firstRow="0" w:lastRow="0" w:firstColumn="0" w:lastColumn="0" w:oddVBand="0" w:evenVBand="0" w:oddHBand="0" w:evenHBand="0" w:firstRowFirstColumn="0" w:firstRowLastColumn="0" w:lastRowFirstColumn="0" w:lastRowLastColumn="0"/>
            </w:pPr>
            <w:r>
              <w:t>571</w:t>
            </w:r>
          </w:p>
        </w:tc>
        <w:tc>
          <w:tcPr>
            <w:tcW w:w="638" w:type="dxa"/>
          </w:tcPr>
          <w:p w14:paraId="3F05A569" w14:textId="77777777" w:rsidR="009D33A8" w:rsidRDefault="009D33A8">
            <w:pPr>
              <w:cnfStyle w:val="000000000000" w:firstRow="0" w:lastRow="0" w:firstColumn="0" w:lastColumn="0" w:oddVBand="0" w:evenVBand="0" w:oddHBand="0" w:evenHBand="0" w:firstRowFirstColumn="0" w:firstRowLastColumn="0" w:lastRowFirstColumn="0" w:lastRowLastColumn="0"/>
            </w:pPr>
            <w:r>
              <w:t>465</w:t>
            </w:r>
          </w:p>
        </w:tc>
        <w:tc>
          <w:tcPr>
            <w:tcW w:w="638" w:type="dxa"/>
          </w:tcPr>
          <w:p w14:paraId="56A78C01" w14:textId="77777777" w:rsidR="009D33A8" w:rsidRDefault="009D33A8">
            <w:pPr>
              <w:cnfStyle w:val="000000000000" w:firstRow="0" w:lastRow="0" w:firstColumn="0" w:lastColumn="0" w:oddVBand="0" w:evenVBand="0" w:oddHBand="0" w:evenHBand="0" w:firstRowFirstColumn="0" w:firstRowLastColumn="0" w:lastRowFirstColumn="0" w:lastRowLastColumn="0"/>
            </w:pPr>
            <w:r>
              <w:t>525</w:t>
            </w:r>
          </w:p>
        </w:tc>
        <w:tc>
          <w:tcPr>
            <w:tcW w:w="638" w:type="dxa"/>
          </w:tcPr>
          <w:p w14:paraId="74B2DA8D" w14:textId="77777777" w:rsidR="009D33A8" w:rsidRDefault="009D33A8">
            <w:pPr>
              <w:cnfStyle w:val="000000000000" w:firstRow="0" w:lastRow="0" w:firstColumn="0" w:lastColumn="0" w:oddVBand="0" w:evenVBand="0" w:oddHBand="0" w:evenHBand="0" w:firstRowFirstColumn="0" w:firstRowLastColumn="0" w:lastRowFirstColumn="0" w:lastRowLastColumn="0"/>
            </w:pPr>
            <w:r>
              <w:t>423</w:t>
            </w:r>
          </w:p>
        </w:tc>
      </w:tr>
      <w:tr w:rsidR="009D33A8" w14:paraId="1B4B3571" w14:textId="77777777" w:rsidTr="00DF0E81">
        <w:tc>
          <w:tcPr>
            <w:cnfStyle w:val="001000000000" w:firstRow="0" w:lastRow="0" w:firstColumn="1" w:lastColumn="0" w:oddVBand="0" w:evenVBand="0" w:oddHBand="0" w:evenHBand="0" w:firstRowFirstColumn="0" w:firstRowLastColumn="0" w:lastRowFirstColumn="0" w:lastRowLastColumn="0"/>
            <w:tcW w:w="2410" w:type="dxa"/>
          </w:tcPr>
          <w:p w14:paraId="5794BC1B" w14:textId="77777777" w:rsidR="009D33A8" w:rsidRDefault="009D33A8">
            <w:r>
              <w:t>Other</w:t>
            </w:r>
          </w:p>
        </w:tc>
        <w:tc>
          <w:tcPr>
            <w:tcW w:w="637" w:type="dxa"/>
          </w:tcPr>
          <w:p w14:paraId="00014429" w14:textId="77777777" w:rsidR="009D33A8" w:rsidRDefault="009D33A8">
            <w:pPr>
              <w:cnfStyle w:val="000000000000" w:firstRow="0" w:lastRow="0" w:firstColumn="0" w:lastColumn="0" w:oddVBand="0" w:evenVBand="0" w:oddHBand="0" w:evenHBand="0" w:firstRowFirstColumn="0" w:firstRowLastColumn="0" w:lastRowFirstColumn="0" w:lastRowLastColumn="0"/>
            </w:pPr>
            <w:r>
              <w:t>594</w:t>
            </w:r>
          </w:p>
        </w:tc>
        <w:tc>
          <w:tcPr>
            <w:tcW w:w="638" w:type="dxa"/>
          </w:tcPr>
          <w:p w14:paraId="4BA07F08" w14:textId="77777777" w:rsidR="009D33A8" w:rsidRDefault="009D33A8">
            <w:pPr>
              <w:cnfStyle w:val="000000000000" w:firstRow="0" w:lastRow="0" w:firstColumn="0" w:lastColumn="0" w:oddVBand="0" w:evenVBand="0" w:oddHBand="0" w:evenHBand="0" w:firstRowFirstColumn="0" w:firstRowLastColumn="0" w:lastRowFirstColumn="0" w:lastRowLastColumn="0"/>
            </w:pPr>
            <w:r>
              <w:t>551</w:t>
            </w:r>
          </w:p>
        </w:tc>
        <w:tc>
          <w:tcPr>
            <w:tcW w:w="638" w:type="dxa"/>
          </w:tcPr>
          <w:p w14:paraId="67364134" w14:textId="77777777" w:rsidR="009D33A8" w:rsidRDefault="009D33A8">
            <w:pPr>
              <w:cnfStyle w:val="000000000000" w:firstRow="0" w:lastRow="0" w:firstColumn="0" w:lastColumn="0" w:oddVBand="0" w:evenVBand="0" w:oddHBand="0" w:evenHBand="0" w:firstRowFirstColumn="0" w:firstRowLastColumn="0" w:lastRowFirstColumn="0" w:lastRowLastColumn="0"/>
            </w:pPr>
            <w:r>
              <w:t>453</w:t>
            </w:r>
          </w:p>
        </w:tc>
        <w:tc>
          <w:tcPr>
            <w:tcW w:w="638" w:type="dxa"/>
          </w:tcPr>
          <w:p w14:paraId="277053CA" w14:textId="77777777" w:rsidR="009D33A8" w:rsidRDefault="009D33A8">
            <w:pPr>
              <w:cnfStyle w:val="000000000000" w:firstRow="0" w:lastRow="0" w:firstColumn="0" w:lastColumn="0" w:oddVBand="0" w:evenVBand="0" w:oddHBand="0" w:evenHBand="0" w:firstRowFirstColumn="0" w:firstRowLastColumn="0" w:lastRowFirstColumn="0" w:lastRowLastColumn="0"/>
            </w:pPr>
            <w:r>
              <w:t>394</w:t>
            </w:r>
          </w:p>
        </w:tc>
      </w:tr>
      <w:tr w:rsidR="009D33A8" w14:paraId="34B01137" w14:textId="77777777" w:rsidTr="00DF0E81">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tcBorders>
          </w:tcPr>
          <w:p w14:paraId="2F4DE759" w14:textId="77777777" w:rsidR="009D33A8" w:rsidRDefault="009D33A8">
            <w:r>
              <w:t>Non</w:t>
            </w:r>
            <w:r>
              <w:noBreakHyphen/>
              <w:t>general government debt</w:t>
            </w:r>
            <w:r>
              <w:rPr>
                <w:vertAlign w:val="superscript"/>
              </w:rPr>
              <w:t xml:space="preserve"> (b)</w:t>
            </w:r>
          </w:p>
        </w:tc>
        <w:tc>
          <w:tcPr>
            <w:tcW w:w="637" w:type="dxa"/>
            <w:tcBorders>
              <w:bottom w:val="single" w:sz="6" w:space="0" w:color="auto"/>
            </w:tcBorders>
          </w:tcPr>
          <w:p w14:paraId="5AB11D1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638" w:type="dxa"/>
            <w:tcBorders>
              <w:bottom w:val="single" w:sz="6" w:space="0" w:color="auto"/>
            </w:tcBorders>
          </w:tcPr>
          <w:p w14:paraId="57B6F54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638" w:type="dxa"/>
            <w:tcBorders>
              <w:bottom w:val="single" w:sz="6" w:space="0" w:color="auto"/>
            </w:tcBorders>
          </w:tcPr>
          <w:p w14:paraId="20ED1F95" w14:textId="77777777" w:rsidR="009D33A8" w:rsidRDefault="009D33A8">
            <w:pPr>
              <w:cnfStyle w:val="000000000000" w:firstRow="0" w:lastRow="0" w:firstColumn="0" w:lastColumn="0" w:oddVBand="0" w:evenVBand="0" w:oddHBand="0" w:evenHBand="0" w:firstRowFirstColumn="0" w:firstRowLastColumn="0" w:lastRowFirstColumn="0" w:lastRowLastColumn="0"/>
            </w:pPr>
            <w:r>
              <w:t>19 259</w:t>
            </w:r>
          </w:p>
        </w:tc>
        <w:tc>
          <w:tcPr>
            <w:tcW w:w="638" w:type="dxa"/>
            <w:tcBorders>
              <w:bottom w:val="single" w:sz="6" w:space="0" w:color="auto"/>
            </w:tcBorders>
          </w:tcPr>
          <w:p w14:paraId="43E148BB" w14:textId="77777777" w:rsidR="009D33A8" w:rsidRDefault="009D33A8">
            <w:pPr>
              <w:cnfStyle w:val="000000000000" w:firstRow="0" w:lastRow="0" w:firstColumn="0" w:lastColumn="0" w:oddVBand="0" w:evenVBand="0" w:oddHBand="0" w:evenHBand="0" w:firstRowFirstColumn="0" w:firstRowLastColumn="0" w:lastRowFirstColumn="0" w:lastRowLastColumn="0"/>
            </w:pPr>
            <w:r>
              <w:t>16 671</w:t>
            </w:r>
          </w:p>
        </w:tc>
      </w:tr>
      <w:tr w:rsidR="009D33A8" w14:paraId="3D693E0B" w14:textId="77777777" w:rsidTr="00DF0E81">
        <w:tc>
          <w:tcPr>
            <w:cnfStyle w:val="001000000000" w:firstRow="0" w:lastRow="0" w:firstColumn="1" w:lastColumn="0" w:oddVBand="0" w:evenVBand="0" w:oddHBand="0" w:evenHBand="0" w:firstRowFirstColumn="0" w:firstRowLastColumn="0" w:lastRowFirstColumn="0" w:lastRowLastColumn="0"/>
            <w:tcW w:w="2410" w:type="dxa"/>
            <w:tcBorders>
              <w:top w:val="single" w:sz="6" w:space="0" w:color="auto"/>
              <w:bottom w:val="single" w:sz="12" w:space="0" w:color="auto"/>
            </w:tcBorders>
          </w:tcPr>
          <w:p w14:paraId="6191384E" w14:textId="77777777" w:rsidR="009D33A8" w:rsidRDefault="009D33A8">
            <w:r>
              <w:rPr>
                <w:b/>
              </w:rPr>
              <w:t>Total contingent liabilities</w:t>
            </w:r>
          </w:p>
        </w:tc>
        <w:tc>
          <w:tcPr>
            <w:tcW w:w="637" w:type="dxa"/>
            <w:tcBorders>
              <w:top w:val="single" w:sz="6" w:space="0" w:color="auto"/>
              <w:bottom w:val="single" w:sz="12" w:space="0" w:color="auto"/>
            </w:tcBorders>
          </w:tcPr>
          <w:p w14:paraId="1B29F39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2 009</w:t>
            </w:r>
          </w:p>
        </w:tc>
        <w:tc>
          <w:tcPr>
            <w:tcW w:w="638" w:type="dxa"/>
            <w:tcBorders>
              <w:top w:val="single" w:sz="6" w:space="0" w:color="auto"/>
              <w:bottom w:val="single" w:sz="12" w:space="0" w:color="auto"/>
            </w:tcBorders>
          </w:tcPr>
          <w:p w14:paraId="33718C0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3 320</w:t>
            </w:r>
          </w:p>
        </w:tc>
        <w:tc>
          <w:tcPr>
            <w:tcW w:w="638" w:type="dxa"/>
            <w:tcBorders>
              <w:top w:val="single" w:sz="6" w:space="0" w:color="auto"/>
              <w:bottom w:val="single" w:sz="12" w:space="0" w:color="auto"/>
            </w:tcBorders>
          </w:tcPr>
          <w:p w14:paraId="261551D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21 060</w:t>
            </w:r>
          </w:p>
        </w:tc>
        <w:tc>
          <w:tcPr>
            <w:tcW w:w="638" w:type="dxa"/>
            <w:tcBorders>
              <w:top w:val="single" w:sz="6" w:space="0" w:color="auto"/>
              <w:bottom w:val="single" w:sz="12" w:space="0" w:color="auto"/>
            </w:tcBorders>
          </w:tcPr>
          <w:p w14:paraId="1AF17D8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19 768</w:t>
            </w:r>
          </w:p>
        </w:tc>
      </w:tr>
    </w:tbl>
    <w:p w14:paraId="097E06F6" w14:textId="77777777" w:rsidR="009D33A8" w:rsidRDefault="009D33A8" w:rsidP="009D33A8">
      <w:pPr>
        <w:pStyle w:val="Note"/>
        <w:ind w:left="0" w:firstLine="0"/>
      </w:pPr>
      <w:r>
        <w:t>Notes:</w:t>
      </w:r>
    </w:p>
    <w:p w14:paraId="42DDD279" w14:textId="7819CB8F" w:rsidR="009D33A8" w:rsidRDefault="009D33A8" w:rsidP="009D33A8">
      <w:pPr>
        <w:pStyle w:val="Note"/>
        <w:rPr>
          <w:iCs/>
        </w:rPr>
      </w:pPr>
      <w:r w:rsidRPr="005D2463" w:rsidDel="00CF603F">
        <w:t>(a)</w:t>
      </w:r>
      <w:r w:rsidRPr="005D2463" w:rsidDel="00CF603F">
        <w:tab/>
      </w:r>
      <w:r w:rsidRPr="005D2463">
        <w:t>A number of guarantees have been classified as contractual guarantees and therefore recognised at their fair value on the balance sheet from 30</w:t>
      </w:r>
      <w:r w:rsidR="009E5E5A">
        <w:t> </w:t>
      </w:r>
      <w:r w:rsidRPr="005D2463">
        <w:t xml:space="preserve">June 2025, rather than as quantifiable contingent liabilities, consistent with the requirements of AASB 9 </w:t>
      </w:r>
      <w:r w:rsidRPr="00EA16D1">
        <w:rPr>
          <w:i w:val="0"/>
          <w:iCs/>
        </w:rPr>
        <w:t>Financial Instruments</w:t>
      </w:r>
      <w:r w:rsidRPr="005D2463">
        <w:t>.</w:t>
      </w:r>
    </w:p>
    <w:p w14:paraId="52E05442" w14:textId="77777777" w:rsidR="009D33A8" w:rsidRDefault="009D33A8" w:rsidP="009D33A8">
      <w:pPr>
        <w:pStyle w:val="Note"/>
      </w:pPr>
      <w:r w:rsidRPr="006C6264">
        <w:t>(</w:t>
      </w:r>
      <w:r>
        <w:t>b</w:t>
      </w:r>
      <w:r w:rsidRPr="006C6264">
        <w:t>)</w:t>
      </w:r>
      <w:r w:rsidRPr="006C6264">
        <w:tab/>
        <w:t xml:space="preserve">Mainly represents the </w:t>
      </w:r>
      <w:r>
        <w:t xml:space="preserve">statutory </w:t>
      </w:r>
      <w:r w:rsidRPr="006C6264">
        <w:t>guarantee of borrowings provided by the Treasurer for the public sector borrowings portfolio.</w:t>
      </w:r>
    </w:p>
    <w:p w14:paraId="030D3BD3" w14:textId="77777777" w:rsidR="009D33A8" w:rsidRDefault="009D33A8" w:rsidP="009D33A8"/>
    <w:p w14:paraId="11BB4C31" w14:textId="77777777" w:rsidR="00DF0E81" w:rsidRDefault="00DF0E81" w:rsidP="009D33A8">
      <w:pPr>
        <w:pStyle w:val="Heading3"/>
        <w:sectPr w:rsidR="00DF0E81" w:rsidSect="00DF0E81">
          <w:type w:val="continuous"/>
          <w:pgSz w:w="11906" w:h="16838" w:code="9"/>
          <w:pgMar w:top="1134" w:right="1134" w:bottom="1134" w:left="1134" w:header="624" w:footer="567" w:gutter="0"/>
          <w:cols w:num="2" w:space="709"/>
          <w:docGrid w:linePitch="360"/>
        </w:sectPr>
      </w:pPr>
    </w:p>
    <w:p w14:paraId="441B7401" w14:textId="77777777" w:rsidR="00DF0E81" w:rsidRDefault="00DF0E81">
      <w:pPr>
        <w:keepLines w:val="0"/>
        <w:rPr>
          <w:rFonts w:asciiTheme="majorHAnsi" w:eastAsiaTheme="majorEastAsia" w:hAnsiTheme="majorHAnsi" w:cstheme="majorBidi"/>
          <w:b/>
          <w:sz w:val="23"/>
          <w:szCs w:val="24"/>
        </w:rPr>
      </w:pPr>
      <w:r>
        <w:br w:type="page"/>
      </w:r>
    </w:p>
    <w:p w14:paraId="2DBCCAF2" w14:textId="5BBEDC6F" w:rsidR="009D33A8" w:rsidRPr="009979B4" w:rsidRDefault="009D33A8" w:rsidP="009D33A8">
      <w:pPr>
        <w:pStyle w:val="Heading3"/>
        <w:rPr>
          <w:color w:val="2B579A"/>
          <w:highlight w:val="yellow"/>
          <w:shd w:val="clear" w:color="auto" w:fill="E6E6E6"/>
        </w:rPr>
      </w:pPr>
      <w:r>
        <w:lastRenderedPageBreak/>
        <w:t xml:space="preserve">Non-quantifiable contingent liabilities </w:t>
      </w:r>
    </w:p>
    <w:p w14:paraId="3EC26FB9" w14:textId="42DE1D56" w:rsidR="009D33A8" w:rsidRDefault="009D33A8" w:rsidP="009D33A8">
      <w:r>
        <w:t>A number of potential obligations are non</w:t>
      </w:r>
      <w:r w:rsidR="008059E5">
        <w:noBreakHyphen/>
      </w:r>
      <w:r>
        <w:t>quantifiable at this time arising from:</w:t>
      </w:r>
    </w:p>
    <w:p w14:paraId="4444D377" w14:textId="77777777" w:rsidR="009D33A8" w:rsidRPr="00412CDC" w:rsidRDefault="009D33A8" w:rsidP="009D33A8">
      <w:pPr>
        <w:pStyle w:val="ListBullet"/>
        <w:keepLines/>
        <w:numPr>
          <w:ilvl w:val="0"/>
          <w:numId w:val="27"/>
        </w:numPr>
        <w:ind w:left="357" w:hanging="357"/>
      </w:pPr>
      <w:r w:rsidRPr="00412CDC">
        <w:t>indemnities relating to transactions, including financial arrangements and consultancy services, as well as for directors and administrators</w:t>
      </w:r>
    </w:p>
    <w:p w14:paraId="1F714C1B" w14:textId="77777777" w:rsidR="009D33A8" w:rsidRPr="00412CDC" w:rsidRDefault="009D33A8" w:rsidP="009D33A8">
      <w:pPr>
        <w:pStyle w:val="ListBullet"/>
        <w:keepLines/>
        <w:numPr>
          <w:ilvl w:val="0"/>
          <w:numId w:val="27"/>
        </w:numPr>
        <w:ind w:left="357" w:hanging="357"/>
      </w:pPr>
      <w:r w:rsidRPr="00412CDC">
        <w:t>performance guarantees, warranties, letters of comfort and the like</w:t>
      </w:r>
    </w:p>
    <w:p w14:paraId="58817369" w14:textId="77777777" w:rsidR="009D33A8" w:rsidRPr="00412CDC" w:rsidRDefault="009D33A8" w:rsidP="009D33A8">
      <w:pPr>
        <w:pStyle w:val="ListBullet"/>
        <w:keepLines/>
        <w:numPr>
          <w:ilvl w:val="0"/>
          <w:numId w:val="27"/>
        </w:numPr>
        <w:ind w:left="357" w:hanging="357"/>
      </w:pPr>
      <w:r w:rsidRPr="00412CDC">
        <w:t>deeds in respect of certain obligations</w:t>
      </w:r>
    </w:p>
    <w:p w14:paraId="7935678C" w14:textId="77777777" w:rsidR="009D33A8" w:rsidRPr="00412CDC" w:rsidRDefault="009D33A8" w:rsidP="009D33A8">
      <w:pPr>
        <w:pStyle w:val="ListBullet"/>
        <w:keepLines/>
        <w:numPr>
          <w:ilvl w:val="0"/>
          <w:numId w:val="27"/>
        </w:numPr>
        <w:ind w:left="357" w:hanging="357"/>
      </w:pPr>
      <w:r w:rsidRPr="00412CDC">
        <w:t>unclaimed monies, which may be subject to future claims by the general public against the State.</w:t>
      </w:r>
    </w:p>
    <w:p w14:paraId="10D24EFD" w14:textId="77777777" w:rsidR="009D33A8" w:rsidRDefault="009D33A8" w:rsidP="009D33A8">
      <w:r>
        <w:t>An overview of the more significant non</w:t>
      </w:r>
      <w:r>
        <w:noBreakHyphen/>
        <w:t>quantifiable liabilities follows.</w:t>
      </w:r>
    </w:p>
    <w:p w14:paraId="6F2CED64" w14:textId="77777777" w:rsidR="009D33A8" w:rsidRDefault="009D33A8" w:rsidP="009D33A8">
      <w:pPr>
        <w:pStyle w:val="Heading4"/>
      </w:pPr>
      <w:r>
        <w:t>Compulsory property acquisitions</w:t>
      </w:r>
    </w:p>
    <w:p w14:paraId="299BF8FC" w14:textId="77777777" w:rsidR="009D33A8" w:rsidRDefault="009D33A8" w:rsidP="009D33A8">
      <w:r>
        <w:t xml:space="preserve">The State has compulsorily acquired a number of properties (residential and commercial) through the </w:t>
      </w:r>
      <w:r w:rsidRPr="005B6670">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5FABA580" w14:textId="77777777" w:rsidR="009D33A8" w:rsidRDefault="009D33A8" w:rsidP="009D33A8">
      <w:pPr>
        <w:pStyle w:val="Heading4"/>
      </w:pPr>
      <w:bookmarkStart w:id="117" w:name="_Hlk176793107"/>
      <w:r>
        <w:t>COVID</w:t>
      </w:r>
      <w:r>
        <w:noBreakHyphen/>
        <w:t xml:space="preserve">19 class action – Victorian businesses </w:t>
      </w:r>
    </w:p>
    <w:bookmarkEnd w:id="117"/>
    <w:p w14:paraId="56F9040D" w14:textId="291D1DA8" w:rsidR="009D33A8" w:rsidRDefault="009D33A8" w:rsidP="009D33A8">
      <w:r>
        <w:t>A class action has been filed in the Supreme Court of Victoria against the State of Victoria, the former Ministers for Health and Jobs, and the former Secretaries of the Department of Health and Human Services and the Department of Jobs, Precincts and Regions relating to economic losses suffered by Victorian businesses under Stage 3 and 4 public health restrictions. The </w:t>
      </w:r>
      <w:r w:rsidRPr="00142241">
        <w:t xml:space="preserve">Victorian Managed Insurance Authority </w:t>
      </w:r>
      <w:r>
        <w:t>(VMIA) has been notified of this proceeding and it is intended that VMIA</w:t>
      </w:r>
      <w:r w:rsidR="00845934">
        <w:t>’</w:t>
      </w:r>
      <w:r>
        <w:t xml:space="preserve">s Combined Liability Policy will respond. </w:t>
      </w:r>
    </w:p>
    <w:p w14:paraId="2A1D5DC9" w14:textId="77777777" w:rsidR="009D33A8" w:rsidRDefault="009D33A8" w:rsidP="009D33A8">
      <w:r>
        <w:t>At this stage it is impractical to quantify the financial effects of this contingent liability.</w:t>
      </w:r>
    </w:p>
    <w:p w14:paraId="43A3B38C" w14:textId="6FCE9488" w:rsidR="009D33A8" w:rsidRDefault="00DF0E81" w:rsidP="009D33A8">
      <w:pPr>
        <w:pStyle w:val="Heading4"/>
      </w:pPr>
      <w:r>
        <w:br w:type="column"/>
      </w:r>
      <w:r w:rsidR="009D33A8">
        <w:t>Department of Education</w:t>
      </w:r>
    </w:p>
    <w:p w14:paraId="7A2BDF4B" w14:textId="77777777" w:rsidR="009D33A8" w:rsidRDefault="009D33A8" w:rsidP="009D33A8">
      <w:pPr>
        <w:keepNext/>
      </w:pPr>
      <w:r>
        <w:t>The Department of Education has a number of non</w:t>
      </w:r>
      <w:r>
        <w:noBreakHyphen/>
        <w:t>quantifiable contingent liabilities, arising from indemnities provided by it, as follows:</w:t>
      </w:r>
    </w:p>
    <w:p w14:paraId="00222D7F" w14:textId="77777777" w:rsidR="009D33A8" w:rsidRPr="00412CDC" w:rsidRDefault="009D33A8" w:rsidP="009D33A8">
      <w:pPr>
        <w:pStyle w:val="ListBullet"/>
        <w:keepLines/>
        <w:numPr>
          <w:ilvl w:val="0"/>
          <w:numId w:val="27"/>
        </w:numPr>
        <w:ind w:left="357" w:hanging="357"/>
      </w:pPr>
      <w:r w:rsidRPr="00412CDC">
        <w:t xml:space="preserve">Volunteer </w:t>
      </w:r>
      <w:r w:rsidRPr="00A913E3">
        <w:t>school</w:t>
      </w:r>
      <w:r w:rsidRPr="00412CDC">
        <w:t xml:space="preserve"> workers and volunteer student workers: the </w:t>
      </w:r>
      <w:r w:rsidRPr="00412CDC">
        <w:rPr>
          <w:i/>
          <w:iCs/>
        </w:rPr>
        <w:t>Education and Training Reform Act</w:t>
      </w:r>
      <w:r>
        <w:rPr>
          <w:i/>
          <w:iCs/>
        </w:rPr>
        <w:t> </w:t>
      </w:r>
      <w:r w:rsidRPr="00412CDC">
        <w:rPr>
          <w:i/>
          <w:iCs/>
        </w:rPr>
        <w:t>2006</w:t>
      </w:r>
      <w:r w:rsidRPr="00412CDC">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3A380E52" w14:textId="77777777" w:rsidR="009D33A8" w:rsidRPr="00412CDC" w:rsidRDefault="009D33A8" w:rsidP="009D33A8">
      <w:pPr>
        <w:pStyle w:val="ListBullet"/>
        <w:keepLines/>
        <w:numPr>
          <w:ilvl w:val="0"/>
          <w:numId w:val="27"/>
        </w:numPr>
        <w:ind w:left="357" w:hanging="357"/>
      </w:pPr>
      <w:r w:rsidRPr="00412CDC">
        <w:t>Teaching service and public service employees: if a Department employee is named as a defendant in a civil proceeding (for example, personal injury, discrimination or employment claim), any costs and damages will generally be paid by the Department provided the employee was not under the influence of illicit drugs or alcohol or engaging in a criminal offence and the behaviour was not outrageous and was related to their employment.</w:t>
      </w:r>
    </w:p>
    <w:p w14:paraId="138A2793" w14:textId="77777777" w:rsidR="009D33A8" w:rsidRPr="00412CDC" w:rsidRDefault="009D33A8" w:rsidP="009D33A8">
      <w:pPr>
        <w:pStyle w:val="ListBullet"/>
        <w:keepLines/>
        <w:numPr>
          <w:ilvl w:val="0"/>
          <w:numId w:val="27"/>
        </w:numPr>
        <w:ind w:left="357" w:hanging="357"/>
      </w:pPr>
      <w:r w:rsidRPr="00412CDC">
        <w:t xml:space="preserve">Board members: the </w:t>
      </w:r>
      <w:r w:rsidRPr="00412CDC">
        <w:rPr>
          <w:i/>
          <w:iCs/>
        </w:rPr>
        <w:t>Education and Training Reform Act 2006</w:t>
      </w:r>
      <w:r w:rsidRPr="00412CDC">
        <w:t xml:space="preserve"> requires the State to indemnify a member of a Merit Protection Board or a Disciplinary Appeals Board for anything done or omitted to be done in good faith in the exercise of a power or the discharge of their statutory duties.</w:t>
      </w:r>
    </w:p>
    <w:p w14:paraId="361CF4B7" w14:textId="04724358" w:rsidR="009D33A8" w:rsidRPr="00412CDC" w:rsidRDefault="009D33A8" w:rsidP="009D33A8">
      <w:pPr>
        <w:pStyle w:val="ListBullet"/>
        <w:keepLines/>
        <w:numPr>
          <w:ilvl w:val="0"/>
          <w:numId w:val="27"/>
        </w:numPr>
        <w:ind w:left="357" w:hanging="357"/>
      </w:pPr>
      <w:r w:rsidRPr="00412CDC">
        <w:t xml:space="preserve">School councils: the </w:t>
      </w:r>
      <w:r w:rsidRPr="00412CDC">
        <w:rPr>
          <w:i/>
          <w:iCs/>
        </w:rPr>
        <w:t>Education and Training Reform Act 2006</w:t>
      </w:r>
      <w:r w:rsidRPr="00412CDC">
        <w:t xml:space="preserve"> requires the Department to indemnify individual members of school councils for any legal liability, whether in contract, negligence or defamation, if they acted in good faith and in the exercise of their powers or functions. The Department may decide to indemnify school councils (which are separate entities to the Department) in claims of common law negligence, employment disputes and other civil claims, for the cost of settlement and/or legal representation. The Department will take into account the impact of payment upon the school</w:t>
      </w:r>
      <w:r w:rsidR="00845934">
        <w:t>’</w:t>
      </w:r>
      <w:r w:rsidRPr="00412CDC">
        <w:t xml:space="preserve">s educational program and any insurance cover for the school council, and will likely indemnify if the Department is satisfied that: </w:t>
      </w:r>
    </w:p>
    <w:p w14:paraId="0FE4E0CF" w14:textId="77777777" w:rsidR="009D33A8" w:rsidRPr="0075626B" w:rsidRDefault="009D33A8" w:rsidP="009D33A8">
      <w:pPr>
        <w:pStyle w:val="ListBullet2"/>
        <w:numPr>
          <w:ilvl w:val="1"/>
          <w:numId w:val="25"/>
        </w:numPr>
        <w:tabs>
          <w:tab w:val="num" w:pos="643"/>
        </w:tabs>
      </w:pPr>
      <w:r w:rsidRPr="0075626B">
        <w:t>the school council acted in good faith and according to issued guidelines and directions</w:t>
      </w:r>
    </w:p>
    <w:p w14:paraId="5A910DE2" w14:textId="77777777" w:rsidR="009D33A8" w:rsidRPr="0075626B" w:rsidRDefault="009D33A8" w:rsidP="009D33A8">
      <w:pPr>
        <w:pStyle w:val="ListBullet2"/>
        <w:numPr>
          <w:ilvl w:val="1"/>
          <w:numId w:val="25"/>
        </w:numPr>
        <w:tabs>
          <w:tab w:val="num" w:pos="643"/>
        </w:tabs>
      </w:pPr>
      <w:r w:rsidRPr="0075626B">
        <w:t>the school council has insufficient funds to pay the claim.</w:t>
      </w:r>
    </w:p>
    <w:p w14:paraId="1F29F126" w14:textId="77777777" w:rsidR="00DF0E81" w:rsidRDefault="00DF0E81">
      <w:pPr>
        <w:keepLines w:val="0"/>
        <w:rPr>
          <w:rFonts w:asciiTheme="majorHAnsi" w:eastAsiaTheme="majorEastAsia" w:hAnsiTheme="majorHAnsi" w:cstheme="majorBidi"/>
          <w:i/>
          <w:iCs/>
          <w:szCs w:val="24"/>
        </w:rPr>
      </w:pPr>
      <w:r>
        <w:rPr>
          <w:rFonts w:asciiTheme="majorHAnsi" w:eastAsiaTheme="majorEastAsia" w:hAnsiTheme="majorHAnsi" w:cstheme="majorBidi"/>
          <w:i/>
          <w:iCs/>
          <w:szCs w:val="24"/>
        </w:rPr>
        <w:br w:type="page"/>
      </w:r>
    </w:p>
    <w:p w14:paraId="09CE8925" w14:textId="1FA1D202" w:rsidR="009D33A8" w:rsidRPr="00200985" w:rsidRDefault="009D33A8" w:rsidP="009D33A8">
      <w:pPr>
        <w:rPr>
          <w:rFonts w:asciiTheme="majorHAnsi" w:eastAsiaTheme="majorEastAsia" w:hAnsiTheme="majorHAnsi" w:cstheme="majorBidi"/>
          <w:i/>
          <w:szCs w:val="24"/>
        </w:rPr>
      </w:pPr>
      <w:r>
        <w:rPr>
          <w:rFonts w:asciiTheme="majorHAnsi" w:eastAsiaTheme="majorEastAsia" w:hAnsiTheme="majorHAnsi" w:cstheme="majorBidi"/>
          <w:i/>
          <w:iCs/>
          <w:szCs w:val="24"/>
        </w:rPr>
        <w:lastRenderedPageBreak/>
        <w:t xml:space="preserve">Historical </w:t>
      </w:r>
      <w:r w:rsidR="00EA3CC8" w:rsidRPr="00200985">
        <w:rPr>
          <w:rFonts w:asciiTheme="majorHAnsi" w:eastAsiaTheme="majorEastAsia" w:hAnsiTheme="majorHAnsi" w:cstheme="majorBidi"/>
          <w:i/>
          <w:iCs/>
          <w:szCs w:val="24"/>
        </w:rPr>
        <w:t xml:space="preserve">child </w:t>
      </w:r>
      <w:r w:rsidRPr="00200985">
        <w:rPr>
          <w:rFonts w:asciiTheme="majorHAnsi" w:eastAsiaTheme="majorEastAsia" w:hAnsiTheme="majorHAnsi" w:cstheme="majorBidi"/>
          <w:i/>
          <w:iCs/>
          <w:szCs w:val="24"/>
        </w:rPr>
        <w:t>sexual abuse claims</w:t>
      </w:r>
      <w:r w:rsidR="00C44992">
        <w:rPr>
          <w:rFonts w:asciiTheme="majorHAnsi" w:eastAsiaTheme="majorEastAsia" w:hAnsiTheme="majorHAnsi" w:cstheme="majorBidi"/>
          <w:i/>
          <w:iCs/>
          <w:szCs w:val="24"/>
        </w:rPr>
        <w:t xml:space="preserve"> under</w:t>
      </w:r>
      <w:r w:rsidR="00AA5897">
        <w:rPr>
          <w:rFonts w:asciiTheme="majorHAnsi" w:eastAsiaTheme="majorEastAsia" w:hAnsiTheme="majorHAnsi" w:cstheme="majorBidi"/>
          <w:i/>
          <w:iCs/>
          <w:szCs w:val="24"/>
        </w:rPr>
        <w:t xml:space="preserve"> the</w:t>
      </w:r>
      <w:r w:rsidR="00C44992">
        <w:rPr>
          <w:rFonts w:asciiTheme="majorHAnsi" w:eastAsiaTheme="majorEastAsia" w:hAnsiTheme="majorHAnsi" w:cstheme="majorBidi"/>
          <w:i/>
          <w:iCs/>
          <w:szCs w:val="24"/>
        </w:rPr>
        <w:t xml:space="preserve"> Financial Assistance Scheme</w:t>
      </w:r>
    </w:p>
    <w:p w14:paraId="53701573" w14:textId="5935386B" w:rsidR="009D33A8" w:rsidRDefault="009D33A8" w:rsidP="009D33A8">
      <w:pPr>
        <w:rPr>
          <w:rFonts w:cstheme="minorBidi"/>
        </w:rPr>
      </w:pPr>
      <w:r w:rsidRPr="00516B47">
        <w:rPr>
          <w:rFonts w:cstheme="minorBidi"/>
        </w:rPr>
        <w:t xml:space="preserve">The historical nature of child sexual abuse </w:t>
      </w:r>
      <w:r w:rsidR="00C44992">
        <w:rPr>
          <w:rFonts w:cstheme="minorBidi"/>
        </w:rPr>
        <w:t xml:space="preserve">(CSA) </w:t>
      </w:r>
      <w:r w:rsidRPr="00516B47">
        <w:rPr>
          <w:rFonts w:cstheme="minorBidi"/>
        </w:rPr>
        <w:t xml:space="preserve">claims </w:t>
      </w:r>
      <w:r w:rsidR="00742DFE">
        <w:rPr>
          <w:rFonts w:cstheme="minorBidi"/>
        </w:rPr>
        <w:t xml:space="preserve">under </w:t>
      </w:r>
      <w:r w:rsidR="00FF195C">
        <w:rPr>
          <w:rFonts w:cstheme="minorBidi"/>
        </w:rPr>
        <w:t>the</w:t>
      </w:r>
      <w:r w:rsidR="00AA5897">
        <w:rPr>
          <w:rFonts w:cstheme="minorBidi"/>
        </w:rPr>
        <w:t xml:space="preserve"> </w:t>
      </w:r>
      <w:r w:rsidR="00742DFE">
        <w:rPr>
          <w:rFonts w:cstheme="minorBidi"/>
        </w:rPr>
        <w:t xml:space="preserve">Financial Assistance Scheme (FAS) </w:t>
      </w:r>
      <w:r w:rsidRPr="00516B47">
        <w:rPr>
          <w:rFonts w:cstheme="minorBidi"/>
        </w:rPr>
        <w:t xml:space="preserve">results in high uncertainty in the number of potential claimants, the timing of disclosures and the financial impact of individual claims. </w:t>
      </w:r>
    </w:p>
    <w:p w14:paraId="0DF3C1C9" w14:textId="77777777" w:rsidR="009D33A8" w:rsidRPr="005B5F7A" w:rsidRDefault="009D33A8" w:rsidP="009D33A8">
      <w:pPr>
        <w:rPr>
          <w:rFonts w:cstheme="minorBidi"/>
        </w:rPr>
      </w:pPr>
      <w:r w:rsidRPr="00516B47">
        <w:rPr>
          <w:rFonts w:cstheme="minorBidi"/>
        </w:rPr>
        <w:t>Factors such</w:t>
      </w:r>
      <w:r>
        <w:rPr>
          <w:rFonts w:cstheme="minorBidi"/>
        </w:rPr>
        <w:t xml:space="preserve"> as </w:t>
      </w:r>
      <w:r w:rsidRPr="005B5F7A">
        <w:rPr>
          <w:rFonts w:cstheme="minorBidi"/>
        </w:rPr>
        <w:t>a lack of specific information about the number of eligible survivors</w:t>
      </w:r>
      <w:r>
        <w:rPr>
          <w:rFonts w:cstheme="minorBidi"/>
        </w:rPr>
        <w:t xml:space="preserve">, </w:t>
      </w:r>
      <w:r w:rsidRPr="005B5F7A">
        <w:rPr>
          <w:rFonts w:cstheme="minorBidi"/>
        </w:rPr>
        <w:t>variability in claim amounts</w:t>
      </w:r>
      <w:r>
        <w:rPr>
          <w:rFonts w:cstheme="minorBidi"/>
        </w:rPr>
        <w:t xml:space="preserve">, </w:t>
      </w:r>
      <w:r w:rsidRPr="005B5F7A">
        <w:rPr>
          <w:rFonts w:cstheme="minorBidi"/>
        </w:rPr>
        <w:t xml:space="preserve">and the potential for future claims arising from historical abuse prevents a reliable estimate of any future financial liability that may arise. </w:t>
      </w:r>
    </w:p>
    <w:p w14:paraId="5B5DE9CD" w14:textId="77777777" w:rsidR="009D33A8" w:rsidRDefault="009D33A8" w:rsidP="009D33A8">
      <w:pPr>
        <w:rPr>
          <w:rFonts w:cstheme="minorBidi"/>
        </w:rPr>
      </w:pPr>
      <w:r w:rsidRPr="00332E49">
        <w:rPr>
          <w:rFonts w:cstheme="minorBidi"/>
        </w:rPr>
        <w:t>The provision included in the financial statements is estimated in accordance with AASB</w:t>
      </w:r>
      <w:r>
        <w:rPr>
          <w:rFonts w:cstheme="minorBidi"/>
        </w:rPr>
        <w:t xml:space="preserve"> </w:t>
      </w:r>
      <w:r w:rsidRPr="00332E49">
        <w:rPr>
          <w:rFonts w:cstheme="minorBidi"/>
        </w:rPr>
        <w:t xml:space="preserve">137 </w:t>
      </w:r>
      <w:r w:rsidRPr="00E71533">
        <w:rPr>
          <w:rFonts w:cstheme="minorBidi"/>
          <w:i/>
        </w:rPr>
        <w:t>Provisions</w:t>
      </w:r>
      <w:r w:rsidRPr="00332E49">
        <w:rPr>
          <w:rFonts w:cstheme="minorBidi"/>
        </w:rPr>
        <w:t xml:space="preserve">, </w:t>
      </w:r>
      <w:r w:rsidRPr="00B00BC7">
        <w:rPr>
          <w:rFonts w:cstheme="minorBidi"/>
          <w:i/>
        </w:rPr>
        <w:t>Contingent Liabilities and Contingent Assets</w:t>
      </w:r>
      <w:r w:rsidRPr="00332E49">
        <w:rPr>
          <w:rFonts w:cstheme="minorBidi"/>
        </w:rPr>
        <w:t xml:space="preserve"> based on available data and assumes no changes to the behaviour of the scheme (including legal or regulatory changes). The impact of potential future changes is not considered to be within scope of the provision under AASB</w:t>
      </w:r>
      <w:r>
        <w:rPr>
          <w:rFonts w:cstheme="minorBidi"/>
        </w:rPr>
        <w:t xml:space="preserve"> </w:t>
      </w:r>
      <w:r w:rsidRPr="00332E49">
        <w:rPr>
          <w:rFonts w:cstheme="minorBidi"/>
        </w:rPr>
        <w:t xml:space="preserve">137 nor able to be estimated reliably with available information. </w:t>
      </w:r>
    </w:p>
    <w:p w14:paraId="3CDF36A3" w14:textId="0AC20C97" w:rsidR="009D33A8" w:rsidRDefault="009D33A8" w:rsidP="009D33A8">
      <w:r w:rsidRPr="00332E49">
        <w:rPr>
          <w:rFonts w:cstheme="minorBidi"/>
        </w:rPr>
        <w:t xml:space="preserve">The </w:t>
      </w:r>
      <w:r>
        <w:rPr>
          <w:rFonts w:cstheme="minorBidi"/>
        </w:rPr>
        <w:t>State</w:t>
      </w:r>
      <w:r w:rsidRPr="00332E49">
        <w:rPr>
          <w:rFonts w:cstheme="minorBidi"/>
        </w:rPr>
        <w:t xml:space="preserve"> continues to monitor developments in claims and related legal or regulatory changes that may impact its financial position. Any future financial obligation will be assessed for recognition in the financial statements when it becomes probable and can be measured reliably</w:t>
      </w:r>
      <w:r>
        <w:rPr>
          <w:rFonts w:cstheme="minorBidi"/>
        </w:rPr>
        <w:t>.</w:t>
      </w:r>
      <w:r w:rsidR="004B5AFA">
        <w:rPr>
          <w:rFonts w:cstheme="minorBidi"/>
        </w:rPr>
        <w:t xml:space="preserve"> </w:t>
      </w:r>
      <w:r w:rsidR="004B5AFA">
        <w:rPr>
          <w:rFonts w:cstheme="minorBidi"/>
        </w:rPr>
        <w:br/>
        <w:t xml:space="preserve">This non-quantifiable contingent liability only relates to the </w:t>
      </w:r>
      <w:r w:rsidR="00535651">
        <w:rPr>
          <w:rFonts w:cstheme="minorBidi"/>
        </w:rPr>
        <w:t>CSA component under FAS and does not apply to any other components.</w:t>
      </w:r>
    </w:p>
    <w:p w14:paraId="5A3FEAE6" w14:textId="2336A423" w:rsidR="009D33A8" w:rsidRDefault="009D33A8" w:rsidP="009D33A8">
      <w:pPr>
        <w:pStyle w:val="Heading4"/>
      </w:pPr>
      <w:r>
        <w:t>Firefighters</w:t>
      </w:r>
      <w:r w:rsidR="00845934">
        <w:t>’</w:t>
      </w:r>
      <w:r>
        <w:t xml:space="preserve"> Presumptive Rights Compensation and Fire Services Legislation Amendment (Reform) Act 2019</w:t>
      </w:r>
    </w:p>
    <w:p w14:paraId="612351AB" w14:textId="76DE30AC" w:rsidR="009D33A8" w:rsidRDefault="009D33A8" w:rsidP="009D33A8">
      <w:pPr>
        <w:spacing w:before="80"/>
      </w:pPr>
      <w:r>
        <w:t xml:space="preserve">The </w:t>
      </w:r>
      <w:r w:rsidRPr="001520D9">
        <w:rPr>
          <w:i/>
          <w:iCs/>
        </w:rPr>
        <w:t>Firefighters</w:t>
      </w:r>
      <w:r w:rsidR="00845934">
        <w:rPr>
          <w:i/>
          <w:iCs/>
        </w:rPr>
        <w:t>’</w:t>
      </w:r>
      <w:r w:rsidRPr="001520D9">
        <w:rPr>
          <w:i/>
          <w:iCs/>
        </w:rPr>
        <w:t xml:space="preserve"> Presumptive Rights Compensation and Fire Services Legislation Amendment (Reform) Act 2019</w:t>
      </w:r>
      <w:r>
        <w:t xml:space="preserve"> (the Act) was assented on 2 July 2019.</w:t>
      </w:r>
    </w:p>
    <w:p w14:paraId="2300FE57" w14:textId="66263663" w:rsidR="009D33A8" w:rsidRDefault="009D33A8" w:rsidP="009D33A8">
      <w:pPr>
        <w:spacing w:before="80"/>
      </w:pPr>
      <w:r>
        <w:t>Part 2 of the Act, which came into operation on 3 July 2019, provides for the establishment and operation of the Firefighters</w:t>
      </w:r>
      <w:r w:rsidR="00845934">
        <w:t>’</w:t>
      </w:r>
      <w:r>
        <w:t xml:space="preserve"> Presumptive Rights Compensation scheme for both career and volunteer firefighters. At the time of the preparation of this report, it is impractical to quantify any possible contingent liabilities for the State arising from the scheme.</w:t>
      </w:r>
    </w:p>
    <w:p w14:paraId="782A14B0" w14:textId="6AED6E5B" w:rsidR="009D33A8" w:rsidRDefault="009D33A8" w:rsidP="009D33A8">
      <w:pPr>
        <w:pStyle w:val="Heading4"/>
      </w:pPr>
      <w:r>
        <w:t>Fiskville independent investigation and closure of training college</w:t>
      </w:r>
    </w:p>
    <w:p w14:paraId="01688FEA" w14:textId="77777777" w:rsidR="009D33A8" w:rsidRDefault="009D33A8" w:rsidP="009D33A8">
      <w:pPr>
        <w:spacing w:before="80"/>
      </w:pPr>
      <w:r>
        <w:t>On 26</w:t>
      </w:r>
      <w:r w:rsidRPr="00B51A04">
        <w:t xml:space="preserve"> </w:t>
      </w:r>
      <w:r>
        <w:t>March 2015, the Government announced the permanent closure of Fiskville</w:t>
      </w:r>
      <w:r w:rsidRPr="00B51A04">
        <w:t xml:space="preserve"> Training College (Fiskville).</w:t>
      </w:r>
      <w:r>
        <w:t xml:space="preserve"> Fiskville and Victorian Emergency Management Training Centre training grounds owned by the </w:t>
      </w:r>
      <w:r w:rsidRPr="00D1424A">
        <w:t>Country Fire Authority (</w:t>
      </w:r>
      <w:r>
        <w:t>CFA</w:t>
      </w:r>
      <w:r w:rsidRPr="00D1424A">
        <w:t>)</w:t>
      </w:r>
      <w:r>
        <w:t xml:space="preserve"> at Penshurst, Bangholme, West Sale, Wangaratta, Huntly, and Longerenong have been the subject of notices issued by the Environment Protection Authority Victoria (EPA).</w:t>
      </w:r>
    </w:p>
    <w:p w14:paraId="2365ADBF" w14:textId="77777777" w:rsidR="009D33A8" w:rsidRDefault="009D33A8" w:rsidP="009D33A8">
      <w:pPr>
        <w:spacing w:before="80"/>
      </w:pPr>
      <w:r w:rsidRPr="00CA136D">
        <w:t>The CFA has a number of contingent liabilities arising from the closure of Fiskville and the notices issued by the EPA. These relate to any further notices that may be issued by the EPA, any regulatory infringements that may be imposed by the EPA, compensation that may be sought</w:t>
      </w:r>
      <w:r>
        <w:t>,</w:t>
      </w:r>
      <w:r w:rsidRPr="00CA136D">
        <w:t xml:space="preserve"> and any legal claims that may be made. </w:t>
      </w:r>
    </w:p>
    <w:p w14:paraId="0EC73289" w14:textId="77777777" w:rsidR="009D33A8" w:rsidRDefault="009D33A8" w:rsidP="009D33A8">
      <w:pPr>
        <w:spacing w:before="80"/>
      </w:pPr>
      <w:r>
        <w:t>At this stage it is impractical to quantify the financial effects of these contingent liabilities.</w:t>
      </w:r>
    </w:p>
    <w:p w14:paraId="0AEA6EF4" w14:textId="77777777" w:rsidR="009D33A8" w:rsidRPr="002C092E" w:rsidRDefault="009D33A8" w:rsidP="009D33A8">
      <w:pPr>
        <w:pStyle w:val="Heading4"/>
      </w:pPr>
      <w:bookmarkStart w:id="118" w:name="_Hlk206156355"/>
      <w:r w:rsidRPr="002C092E">
        <w:t>Foreign Purchaser Additional Duty and Absentee Owner Land Tax Surcharge class action</w:t>
      </w:r>
    </w:p>
    <w:p w14:paraId="5EAF32CF" w14:textId="77777777" w:rsidR="009D33A8" w:rsidRPr="002C092E" w:rsidRDefault="009D33A8" w:rsidP="009D33A8">
      <w:pPr>
        <w:pStyle w:val="Heading4"/>
        <w:rPr>
          <w:rFonts w:asciiTheme="minorHAnsi" w:eastAsiaTheme="minorHAnsi" w:hAnsiTheme="minorHAnsi" w:cs="Times New Roman"/>
          <w:i w:val="0"/>
          <w:szCs w:val="22"/>
        </w:rPr>
      </w:pPr>
      <w:r w:rsidRPr="002C092E">
        <w:rPr>
          <w:rFonts w:asciiTheme="minorHAnsi" w:eastAsiaTheme="minorHAnsi" w:hAnsiTheme="minorHAnsi" w:cs="Times New Roman"/>
          <w:i w:val="0"/>
          <w:szCs w:val="22"/>
        </w:rPr>
        <w:t xml:space="preserve">A class action has been filed in the Federal Court against the State of Victoria and the Commissioner for State Revenue which challenges the imposition of Foreign Purchaser Additional Duty under the </w:t>
      </w:r>
      <w:r w:rsidRPr="002C092E">
        <w:rPr>
          <w:rFonts w:asciiTheme="minorHAnsi" w:eastAsiaTheme="minorHAnsi" w:hAnsiTheme="minorHAnsi" w:cs="Times New Roman"/>
          <w:szCs w:val="22"/>
        </w:rPr>
        <w:t>Duties Act 2000 (Vic)</w:t>
      </w:r>
      <w:r w:rsidRPr="002C092E">
        <w:rPr>
          <w:rFonts w:asciiTheme="minorHAnsi" w:eastAsiaTheme="minorHAnsi" w:hAnsiTheme="minorHAnsi" w:cs="Times New Roman"/>
          <w:i w:val="0"/>
          <w:szCs w:val="22"/>
        </w:rPr>
        <w:t xml:space="preserve">, and Absentee Owner Land Tax Surcharge under the </w:t>
      </w:r>
      <w:r w:rsidRPr="002C092E">
        <w:rPr>
          <w:rFonts w:asciiTheme="minorHAnsi" w:eastAsiaTheme="minorHAnsi" w:hAnsiTheme="minorHAnsi" w:cs="Times New Roman"/>
          <w:szCs w:val="22"/>
        </w:rPr>
        <w:t>Land Tax Act 2005 (Vic)</w:t>
      </w:r>
      <w:r w:rsidRPr="002C092E">
        <w:rPr>
          <w:rFonts w:asciiTheme="minorHAnsi" w:eastAsiaTheme="minorHAnsi" w:hAnsiTheme="minorHAnsi" w:cs="Times New Roman"/>
          <w:i w:val="0"/>
          <w:szCs w:val="22"/>
        </w:rPr>
        <w:t xml:space="preserve">. </w:t>
      </w:r>
      <w:r w:rsidRPr="002C092E">
        <w:rPr>
          <w:rFonts w:asciiTheme="minorHAnsi" w:eastAsiaTheme="minorHAnsi" w:hAnsiTheme="minorHAnsi" w:cs="Times New Roman"/>
          <w:i w:val="0"/>
          <w:szCs w:val="22"/>
          <w:lang w:val="en-US"/>
        </w:rPr>
        <w:t xml:space="preserve">The representative proceeding was brought by two applicants on their own behalf and on behalf of an open class of group members. </w:t>
      </w:r>
      <w:r w:rsidRPr="002C092E">
        <w:rPr>
          <w:rFonts w:asciiTheme="minorHAnsi" w:eastAsiaTheme="minorHAnsi" w:hAnsiTheme="minorHAnsi" w:cs="Times New Roman"/>
          <w:i w:val="0"/>
          <w:szCs w:val="22"/>
        </w:rPr>
        <w:t xml:space="preserve">The applicants </w:t>
      </w:r>
      <w:r w:rsidRPr="002C092E">
        <w:rPr>
          <w:rFonts w:asciiTheme="minorHAnsi" w:eastAsiaTheme="minorHAnsi" w:hAnsiTheme="minorHAnsi" w:cs="Times New Roman"/>
          <w:i w:val="0"/>
          <w:szCs w:val="22"/>
          <w:lang w:val="en-US"/>
        </w:rPr>
        <w:t xml:space="preserve">claim that the relevant statutory provisions are constitutionally invalid on the basis of their inconsistency with International Tax Agreements </w:t>
      </w:r>
      <w:r w:rsidRPr="002C092E">
        <w:rPr>
          <w:rFonts w:asciiTheme="minorHAnsi" w:eastAsiaTheme="minorHAnsi" w:hAnsiTheme="minorHAnsi" w:cs="Times New Roman"/>
          <w:i w:val="0"/>
          <w:szCs w:val="22"/>
        </w:rPr>
        <w:t xml:space="preserve">given effect to by the </w:t>
      </w:r>
      <w:r w:rsidRPr="002C092E">
        <w:rPr>
          <w:rFonts w:asciiTheme="minorHAnsi" w:eastAsiaTheme="minorHAnsi" w:hAnsiTheme="minorHAnsi" w:cs="Times New Roman"/>
          <w:szCs w:val="22"/>
        </w:rPr>
        <w:t>International Tax Agreements Act 1953 (Cth)</w:t>
      </w:r>
      <w:r w:rsidRPr="002C092E">
        <w:rPr>
          <w:rFonts w:asciiTheme="minorHAnsi" w:eastAsiaTheme="minorHAnsi" w:hAnsiTheme="minorHAnsi" w:cs="Times New Roman"/>
          <w:i w:val="0"/>
          <w:szCs w:val="22"/>
          <w:lang w:val="en-US"/>
        </w:rPr>
        <w:t xml:space="preserve">. </w:t>
      </w:r>
      <w:r w:rsidRPr="002C092E">
        <w:rPr>
          <w:rFonts w:asciiTheme="minorHAnsi" w:eastAsiaTheme="minorHAnsi" w:hAnsiTheme="minorHAnsi" w:cs="Times New Roman"/>
          <w:i w:val="0"/>
          <w:szCs w:val="22"/>
        </w:rPr>
        <w:t xml:space="preserve">The constitutional issues raised by this proceeding are the subject of related High Court proceedings. </w:t>
      </w:r>
    </w:p>
    <w:p w14:paraId="023D1F2F" w14:textId="77777777" w:rsidR="009D33A8" w:rsidRPr="003F4F53" w:rsidRDefault="009D33A8" w:rsidP="009D33A8">
      <w:pPr>
        <w:pStyle w:val="Heading4"/>
        <w:rPr>
          <w:rFonts w:asciiTheme="minorHAnsi" w:eastAsiaTheme="minorHAnsi" w:hAnsiTheme="minorHAnsi" w:cs="Times New Roman"/>
          <w:i w:val="0"/>
          <w:iCs w:val="0"/>
          <w:color w:val="0070C0"/>
          <w:szCs w:val="22"/>
        </w:rPr>
      </w:pPr>
      <w:r w:rsidRPr="002C092E">
        <w:rPr>
          <w:rFonts w:asciiTheme="minorHAnsi" w:eastAsiaTheme="minorHAnsi" w:hAnsiTheme="minorHAnsi" w:cs="Times New Roman"/>
          <w:i w:val="0"/>
          <w:szCs w:val="22"/>
        </w:rPr>
        <w:t>At this stage it is not possible to quantify the financial effects of this contingent liability</w:t>
      </w:r>
      <w:bookmarkEnd w:id="118"/>
      <w:r w:rsidRPr="002C092E">
        <w:rPr>
          <w:rFonts w:asciiTheme="minorHAnsi" w:eastAsiaTheme="minorHAnsi" w:hAnsiTheme="minorHAnsi" w:cs="Times New Roman"/>
          <w:i w:val="0"/>
          <w:szCs w:val="22"/>
        </w:rPr>
        <w:t>.</w:t>
      </w:r>
    </w:p>
    <w:p w14:paraId="7DE2001F" w14:textId="77777777" w:rsidR="009D33A8" w:rsidRDefault="009D33A8" w:rsidP="009D33A8">
      <w:pPr>
        <w:pStyle w:val="Heading4"/>
      </w:pPr>
      <w:r>
        <w:t>Land remediation – environmental concerns</w:t>
      </w:r>
    </w:p>
    <w:p w14:paraId="622BB25A" w14:textId="490090BC" w:rsidR="009D33A8" w:rsidRDefault="009D33A8" w:rsidP="009D33A8">
      <w:r>
        <w:t>In addition to properties for which remediation costs have been provided in the State</w:t>
      </w:r>
      <w:r w:rsidR="00845934">
        <w:t>’</w:t>
      </w:r>
      <w:r>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w:t>
      </w:r>
    </w:p>
    <w:p w14:paraId="416618A9" w14:textId="77777777" w:rsidR="009D33A8" w:rsidRDefault="009D33A8" w:rsidP="009D33A8">
      <w:pPr>
        <w:pStyle w:val="Heading4"/>
      </w:pPr>
      <w:r>
        <w:lastRenderedPageBreak/>
        <w:t>Native Title</w:t>
      </w:r>
    </w:p>
    <w:p w14:paraId="04CCEFCD" w14:textId="77777777" w:rsidR="009D33A8" w:rsidRDefault="009D33A8" w:rsidP="009D33A8">
      <w:r>
        <w:t xml:space="preserve">A number of claims have been filed in the Federal Court under the Commonwealth </w:t>
      </w:r>
      <w:r w:rsidRPr="003D462C">
        <w:rPr>
          <w:i/>
          <w:iCs/>
        </w:rPr>
        <w:t>Native Title Act 1993</w:t>
      </w:r>
      <w:r>
        <w:t xml:space="preserve"> that affect Victoria. It is not feasible at this time to quantify any future liability.</w:t>
      </w:r>
    </w:p>
    <w:p w14:paraId="45184E3C" w14:textId="77777777" w:rsidR="009D33A8" w:rsidRDefault="009D33A8" w:rsidP="009D33A8">
      <w:pPr>
        <w:pStyle w:val="Heading4"/>
      </w:pPr>
      <w:bookmarkStart w:id="119" w:name="_Hlk145575713"/>
      <w:r>
        <w:t>Per-fluoroalkyl and poly-fluoroalkyl substances (known as PFAS)</w:t>
      </w:r>
    </w:p>
    <w:p w14:paraId="507E2791" w14:textId="77777777" w:rsidR="009D33A8" w:rsidRPr="000E40D9" w:rsidRDefault="009D33A8" w:rsidP="009D33A8">
      <w:pPr>
        <w:autoSpaceDE w:val="0"/>
        <w:autoSpaceDN w:val="0"/>
        <w:adjustRightInd w:val="0"/>
      </w:pPr>
      <w:r w:rsidRPr="000E40D9">
        <w:t xml:space="preserve">Fire Rescue Victoria and the Country Fire Authority (State Fire Services) has determined that there </w:t>
      </w:r>
      <w:r>
        <w:t>has been</w:t>
      </w:r>
      <w:r w:rsidRPr="000E40D9">
        <w:t xml:space="preserve"> per</w:t>
      </w:r>
      <w:r>
        <w:noBreakHyphen/>
      </w:r>
      <w:r w:rsidRPr="000E40D9">
        <w:t xml:space="preserve">fluoroalkyl and poly-fluoroalkyl substances </w:t>
      </w:r>
      <w:r>
        <w:t>(PFAS)</w:t>
      </w:r>
      <w:r w:rsidRPr="000E40D9">
        <w:t xml:space="preserve"> contamination at specific State Fire Service properties and adjoining surroundings</w:t>
      </w:r>
      <w:r>
        <w:t xml:space="preserve"> due to some firefighting foams historically containing PFAS</w:t>
      </w:r>
      <w:r w:rsidRPr="000E40D9">
        <w:t xml:space="preserve">. The State Fire Services continue to test for exposure </w:t>
      </w:r>
      <w:r>
        <w:t xml:space="preserve">and to decontaminate </w:t>
      </w:r>
      <w:r w:rsidRPr="000E40D9">
        <w:t xml:space="preserve">across all sites and locations. Due to the ongoing complexities of each site and adjoining surroundings together with the multiple stages of testing required to establish the </w:t>
      </w:r>
      <w:r>
        <w:t>level</w:t>
      </w:r>
      <w:r w:rsidRPr="000E40D9">
        <w:t xml:space="preserve"> of </w:t>
      </w:r>
      <w:r>
        <w:t>exposure</w:t>
      </w:r>
      <w:r w:rsidRPr="000E40D9">
        <w:t xml:space="preserve">, the State Fire Services are unable to estimate an underlying value for this liability. This is likely to include any remediation works </w:t>
      </w:r>
      <w:r w:rsidRPr="00D1424A">
        <w:t>that</w:t>
      </w:r>
      <w:r w:rsidRPr="000E40D9">
        <w:t xml:space="preserve"> may be required to meet environmental and people health and safety obligations across all of the sites while this testing continues and a complete program of works </w:t>
      </w:r>
      <w:r w:rsidRPr="00D1424A">
        <w:t xml:space="preserve">is undertaken </w:t>
      </w:r>
      <w:r w:rsidRPr="000E40D9">
        <w:t>to remediate related risks.</w:t>
      </w:r>
    </w:p>
    <w:bookmarkEnd w:id="119"/>
    <w:p w14:paraId="12C0C25D" w14:textId="77777777" w:rsidR="009D33A8" w:rsidRDefault="009D33A8" w:rsidP="009D33A8">
      <w:pPr>
        <w:pStyle w:val="Heading4"/>
      </w:pPr>
      <w:r>
        <w:t>Planning scheme compensation</w:t>
      </w:r>
    </w:p>
    <w:p w14:paraId="07ED37B7" w14:textId="77777777" w:rsidR="009D33A8" w:rsidRDefault="009D33A8" w:rsidP="009D33A8">
      <w:r>
        <w:t xml:space="preserve">Under section 98 of the </w:t>
      </w:r>
      <w:r w:rsidRPr="005B6670">
        <w:rPr>
          <w:i/>
        </w:rPr>
        <w:t>Planning and Environment Act 1987</w:t>
      </w:r>
      <w:r>
        <w:t xml:space="preserve">, the owner or occupier of any land may claim compensation from the planning authority for financial loss suffered as the natural, direct and reasonable consequence of the land being reserved, or declared as reserved for a public purpose under a planning scheme. </w:t>
      </w:r>
    </w:p>
    <w:p w14:paraId="327F175C" w14:textId="77777777" w:rsidR="009D33A8" w:rsidRDefault="009D33A8" w:rsidP="009D33A8">
      <w:r>
        <w:t>The future liability depends on a number of factors and cannot be reliably quantified.</w:t>
      </w:r>
    </w:p>
    <w:p w14:paraId="50B000E2" w14:textId="77777777" w:rsidR="009D33A8" w:rsidRDefault="009D33A8" w:rsidP="009D33A8">
      <w:pPr>
        <w:pStyle w:val="Heading4"/>
      </w:pPr>
      <w:r>
        <w:t>Public acquisition overlays for the future development of rail and road infrastructure</w:t>
      </w:r>
    </w:p>
    <w:p w14:paraId="0B1EBD7D" w14:textId="77777777" w:rsidR="009D33A8" w:rsidRDefault="009D33A8" w:rsidP="009D33A8">
      <w:r>
        <w:t xml:space="preserve">Public acquisition overlays are in place to reserve certain areas of land for future development of rail and road infrastructure. Under section 98 of the </w:t>
      </w:r>
      <w:r w:rsidRPr="005B6670">
        <w:rPr>
          <w:i/>
        </w:rPr>
        <w:t>Planning and Environment Act 1987</w:t>
      </w:r>
      <w:r>
        <w:t>, the State has a legislative responsibility to compensate eligible land and property owners who face either:</w:t>
      </w:r>
    </w:p>
    <w:p w14:paraId="355820A7" w14:textId="77777777" w:rsidR="009D33A8" w:rsidRPr="0075626B" w:rsidRDefault="009D33A8" w:rsidP="009D33A8">
      <w:pPr>
        <w:pStyle w:val="ListBullet"/>
        <w:keepLines/>
        <w:numPr>
          <w:ilvl w:val="0"/>
          <w:numId w:val="27"/>
        </w:numPr>
        <w:ind w:left="357" w:hanging="357"/>
      </w:pPr>
      <w:r w:rsidRPr="0075626B">
        <w:t>loss on sale – an eligible landowner is entitled to compensation for the incremental loss on sale when a property affected by a public acquisition overlay is sold for less than its market value</w:t>
      </w:r>
    </w:p>
    <w:p w14:paraId="10E98202" w14:textId="77777777" w:rsidR="009D33A8" w:rsidRPr="0075626B" w:rsidRDefault="009D33A8" w:rsidP="009D33A8">
      <w:pPr>
        <w:pStyle w:val="ListBullet"/>
        <w:keepLines/>
        <w:numPr>
          <w:ilvl w:val="0"/>
          <w:numId w:val="27"/>
        </w:numPr>
        <w:ind w:left="357" w:hanging="357"/>
      </w:pPr>
      <w:r w:rsidRPr="0075626B">
        <w:t>financial loss – the entitlement to financial loss compensation is triggered when a development permit is refused because the property is required for a public purpose.</w:t>
      </w:r>
    </w:p>
    <w:p w14:paraId="692D4A4F" w14:textId="77777777" w:rsidR="009D33A8" w:rsidRDefault="009D33A8" w:rsidP="009D33A8">
      <w:r>
        <w:t xml:space="preserve">Compensation and purchase claims occur as a result of claims by landowners. The future liability depends on factors, including the number of claims received and the prevailing value of land at the time the claim is made. As a result, the liability cannot be reliably quantified. </w:t>
      </w:r>
    </w:p>
    <w:p w14:paraId="0988B2C3" w14:textId="450149CC" w:rsidR="009D33A8" w:rsidRDefault="009D33A8" w:rsidP="009D33A8">
      <w:pPr>
        <w:pStyle w:val="Heading4"/>
      </w:pPr>
      <w:r>
        <w:t xml:space="preserve">Potential </w:t>
      </w:r>
      <w:r w:rsidR="00615EAB">
        <w:t>i</w:t>
      </w:r>
      <w:r>
        <w:t xml:space="preserve">nsurance </w:t>
      </w:r>
      <w:r w:rsidR="00615EAB">
        <w:t>c</w:t>
      </w:r>
      <w:r>
        <w:t>laims</w:t>
      </w:r>
    </w:p>
    <w:p w14:paraId="5C3E9231" w14:textId="77777777" w:rsidR="009D33A8" w:rsidRDefault="009D33A8" w:rsidP="009D33A8">
      <w:pPr>
        <w:keepNext/>
      </w:pPr>
      <w:r>
        <w:t xml:space="preserve">The State via the Victorian Managed Insurance Authority (VMIA) has a claims administration agreement to manage its insurance arrangements, including those related to self-insured historical abuse claims that are civil in nature. </w:t>
      </w:r>
    </w:p>
    <w:p w14:paraId="677B5A35" w14:textId="79B52E3C" w:rsidR="009D33A8" w:rsidRDefault="009D33A8" w:rsidP="009D33A8">
      <w:r>
        <w:t>The State has been served with self-insured historical abuse claims. The amount provided for historical abuse claims is based on assessed claims lodged on the basis that these represent present obligations in line with the requirements of AASB</w:t>
      </w:r>
      <w:r w:rsidR="00D2150A">
        <w:t> </w:t>
      </w:r>
      <w:r>
        <w:t xml:space="preserve">137. </w:t>
      </w:r>
    </w:p>
    <w:p w14:paraId="02409F7D" w14:textId="77777777" w:rsidR="009D33A8" w:rsidRPr="00CD6838" w:rsidRDefault="009D33A8" w:rsidP="00D2150A">
      <w:pPr>
        <w:ind w:right="496"/>
      </w:pPr>
      <w:r>
        <w:t xml:space="preserve">Possible future civil abuse claims may or may not be received by future claimants and these possible liabilities can be confirmed by claims being made and subsequent assessment. Given these circumstances, it is impractical to accurately quantify the full financial effects of these potential </w:t>
      </w:r>
      <w:r w:rsidRPr="00D2150A">
        <w:t>future</w:t>
      </w:r>
      <w:r>
        <w:t xml:space="preserve"> claims. </w:t>
      </w:r>
    </w:p>
    <w:p w14:paraId="04333809" w14:textId="77777777" w:rsidR="009D33A8" w:rsidRDefault="009D33A8" w:rsidP="009D33A8">
      <w:pPr>
        <w:pStyle w:val="Heading4"/>
      </w:pPr>
      <w:bookmarkStart w:id="120" w:name="_Hlk174356939"/>
      <w:r>
        <w:t>Public transport rail partnership agreements</w:t>
      </w:r>
    </w:p>
    <w:p w14:paraId="3BF95889" w14:textId="77777777" w:rsidR="009D33A8" w:rsidRDefault="009D33A8" w:rsidP="009D33A8">
      <w:r>
        <w:t>The Department of Transport and Planning (DTP) is party to contractual arrangements from 30 November 2017, with franchisees to operate across the State:</w:t>
      </w:r>
    </w:p>
    <w:p w14:paraId="67C65121" w14:textId="77777777" w:rsidR="009D33A8" w:rsidRPr="006371DF" w:rsidRDefault="009D33A8" w:rsidP="009D33A8">
      <w:pPr>
        <w:pStyle w:val="ListBullet"/>
        <w:keepLines/>
        <w:numPr>
          <w:ilvl w:val="0"/>
          <w:numId w:val="27"/>
        </w:numPr>
        <w:ind w:left="357" w:hanging="357"/>
      </w:pPr>
      <w:r w:rsidRPr="006371DF">
        <w:t xml:space="preserve">metropolitan tram services with Yarra Journey Makers from 1 December 2024 until </w:t>
      </w:r>
      <w:r>
        <w:t>4 </w:t>
      </w:r>
      <w:r w:rsidRPr="006371DF">
        <w:t>December 2033</w:t>
      </w:r>
    </w:p>
    <w:p w14:paraId="3E2359F2" w14:textId="77777777" w:rsidR="009D33A8" w:rsidRPr="006371DF" w:rsidRDefault="009D33A8" w:rsidP="009D33A8">
      <w:pPr>
        <w:pStyle w:val="ListBullet"/>
        <w:keepLines/>
        <w:numPr>
          <w:ilvl w:val="0"/>
          <w:numId w:val="27"/>
        </w:numPr>
        <w:ind w:left="357" w:hanging="357"/>
      </w:pPr>
      <w:r w:rsidRPr="006371DF">
        <w:t>metropolitan train services with Metro Trains Melbourne from 30 November 2017 until 28</w:t>
      </w:r>
      <w:r>
        <w:t> </w:t>
      </w:r>
      <w:r w:rsidRPr="006371DF">
        <w:t>November 2027.</w:t>
      </w:r>
    </w:p>
    <w:p w14:paraId="6D3E7586" w14:textId="77777777" w:rsidR="009D33A8" w:rsidRDefault="009D33A8" w:rsidP="009D33A8">
      <w:r>
        <w:t>The major contingent liabilities arising in the event of early termination or expiry of the contracts are:</w:t>
      </w:r>
    </w:p>
    <w:p w14:paraId="102F8301" w14:textId="77777777" w:rsidR="009D33A8" w:rsidRPr="0075626B" w:rsidRDefault="009D33A8" w:rsidP="009D33A8">
      <w:pPr>
        <w:pStyle w:val="ListBullet"/>
        <w:keepLines/>
        <w:numPr>
          <w:ilvl w:val="0"/>
          <w:numId w:val="27"/>
        </w:numPr>
        <w:ind w:left="357" w:hanging="357"/>
      </w:pPr>
      <w:r w:rsidRPr="0075626B">
        <w:t>partnership assets – to maintain continuity of services, at early termination or expiry of the franchise contract, assets will revert to DTP or a successor. In the case of some assets, a reversion back to DTP would entail those assets being purchased</w:t>
      </w:r>
    </w:p>
    <w:p w14:paraId="09C17171" w14:textId="77777777" w:rsidR="009D33A8" w:rsidRPr="0075626B" w:rsidRDefault="009D33A8" w:rsidP="009D33A8">
      <w:pPr>
        <w:pStyle w:val="ListBullet"/>
        <w:keepLines/>
        <w:numPr>
          <w:ilvl w:val="0"/>
          <w:numId w:val="27"/>
        </w:numPr>
        <w:ind w:left="357" w:hanging="357"/>
      </w:pPr>
      <w:r w:rsidRPr="0075626B">
        <w:t xml:space="preserve">unfunded superannuation – at the early termination or expiry of the contract, DTP will assume any unfunded superannuation amounts (apart from contributions the operator is required to pay over the contract term) to the extent that the State becomes the successor operator. </w:t>
      </w:r>
    </w:p>
    <w:bookmarkEnd w:id="120"/>
    <w:p w14:paraId="5D29B8BE" w14:textId="77777777" w:rsidR="009D33A8" w:rsidRDefault="009D33A8" w:rsidP="009D33A8">
      <w:pPr>
        <w:pStyle w:val="Heading4"/>
      </w:pPr>
      <w:r>
        <w:lastRenderedPageBreak/>
        <w:t>Royal Commission into the Management of Police Informants</w:t>
      </w:r>
    </w:p>
    <w:p w14:paraId="24A12FCF" w14:textId="77777777" w:rsidR="009D33A8" w:rsidRDefault="009D33A8" w:rsidP="009D33A8">
      <w:r>
        <w:t>Since the conclusion of the Royal Commission into the Management of Police Informants (RCMPI), the State of Victoria (Victoria Police) has been served with a number of civil claims. These civil claims and a number of Court of Appeal criminal matters as well as ongoing disclosure work by Victoria Police will likely dictate whether further claims are received.</w:t>
      </w:r>
    </w:p>
    <w:p w14:paraId="56B3E96C" w14:textId="77777777" w:rsidR="009D33A8" w:rsidRDefault="009D33A8" w:rsidP="009D33A8">
      <w:r>
        <w:t>Given those circumstances, it is not possible to reliably quantify any contingent liabilities relating to potential matters arising from the conduct explored by the RCMPI.</w:t>
      </w:r>
    </w:p>
    <w:p w14:paraId="4F0EAA2D" w14:textId="77777777" w:rsidR="009D33A8" w:rsidRDefault="009D33A8" w:rsidP="009D33A8">
      <w:pPr>
        <w:pStyle w:val="Heading4"/>
      </w:pPr>
      <w:r>
        <w:t>Royal Melbourne Showgrounds redevelopment</w:t>
      </w:r>
    </w:p>
    <w:p w14:paraId="00A3674E" w14:textId="77777777" w:rsidR="009D33A8" w:rsidRDefault="009D33A8" w:rsidP="009D33A8">
      <w:r>
        <w:t>The State has entered into an agreement with the Royal Agricultural Society of Victoria (RASV) pursuant to which the State agrees to support certain payment obligations of RASV that may arise under the Non-Core Development Agreement subject to the RASV complying with certain obligations as set out in that Deed.</w:t>
      </w:r>
    </w:p>
    <w:p w14:paraId="17BEBE7B" w14:textId="77777777" w:rsidR="009D33A8" w:rsidRPr="00D1424A" w:rsidRDefault="009D33A8" w:rsidP="009D33A8">
      <w:r w:rsidRPr="00D1424A">
        <w:t>The possible liability depends on a number of future events and cannot be reliably and readily quantified.</w:t>
      </w:r>
    </w:p>
    <w:p w14:paraId="0B9E2F6F" w14:textId="33B7E937" w:rsidR="009D33A8" w:rsidRDefault="009D33A8" w:rsidP="009D33A8">
      <w:pPr>
        <w:pStyle w:val="Heading4"/>
        <w:spacing w:before="140"/>
      </w:pPr>
      <w:r>
        <w:t>Victorian Managed Insurance Authority – insurance cover</w:t>
      </w:r>
    </w:p>
    <w:p w14:paraId="4E8E5D86" w14:textId="77777777" w:rsidR="009D33A8" w:rsidRDefault="009D33A8" w:rsidP="009D33A8">
      <w:pPr>
        <w:ind w:right="-213"/>
      </w:pPr>
      <w:r>
        <w:t xml:space="preserve">The VMIA was established in 1996 as an insurer for state government departments, participating bodies as defined under the </w:t>
      </w:r>
      <w:r w:rsidRPr="005B6670">
        <w:rPr>
          <w:i/>
        </w:rPr>
        <w:t>Victorian Managed Insurance Authority Act 1996</w:t>
      </w:r>
      <w:r>
        <w:t xml:space="preserve"> and other entities as declared by the Minister. </w:t>
      </w:r>
      <w:r w:rsidRPr="00550FFC">
        <w:t>VMIA insures its clients for property, public and products liability, professional indemnity, medical indemnity, contract works and a range of other liabilities. VMIA also provided domestic building insurance to Victorian residential builders from March 2010 to July 2025 when this function transferred to the Building and Plumbing Commission.</w:t>
      </w:r>
    </w:p>
    <w:p w14:paraId="46A6B59C" w14:textId="77777777" w:rsidR="009D33A8" w:rsidRDefault="009D33A8" w:rsidP="009D33A8">
      <w:r>
        <w:t xml:space="preserve">The VMIA reinsures in the private market based on the likelihood and impact of events as well as the cost and availability of such cover. The risk of losses above what the VMIA reinsures in the private market is borne by the State. </w:t>
      </w:r>
    </w:p>
    <w:p w14:paraId="0491EE41" w14:textId="77777777" w:rsidR="009D33A8" w:rsidRDefault="009D33A8" w:rsidP="009D33A8">
      <w:r>
        <w:t>The State, under separate deeds of indemnity, has agreed to reimburse the VMIA:</w:t>
      </w:r>
    </w:p>
    <w:p w14:paraId="6D6DD926" w14:textId="77777777" w:rsidR="009D33A8" w:rsidRPr="0075626B" w:rsidRDefault="009D33A8" w:rsidP="009D33A8">
      <w:pPr>
        <w:pStyle w:val="ListBullet"/>
        <w:keepLines/>
        <w:numPr>
          <w:ilvl w:val="0"/>
          <w:numId w:val="27"/>
        </w:numPr>
        <w:ind w:left="357" w:hanging="357"/>
      </w:pPr>
      <w:r w:rsidRPr="0075626B">
        <w:t>if the costs of public sector medical indemnity claims for a policy year exceed the initial estimate, on which the risk premium was based by more than 20 per cent</w:t>
      </w:r>
    </w:p>
    <w:p w14:paraId="2A308715" w14:textId="77777777" w:rsidR="009D33A8" w:rsidRPr="0075626B" w:rsidRDefault="009D33A8" w:rsidP="009D33A8">
      <w:pPr>
        <w:pStyle w:val="ListBullet"/>
        <w:keepLines/>
        <w:numPr>
          <w:ilvl w:val="0"/>
          <w:numId w:val="27"/>
        </w:numPr>
        <w:ind w:left="357" w:hanging="357"/>
      </w:pPr>
      <w:r w:rsidRPr="0075626B">
        <w:t>for losses above a certain limit that the VMIA may incur due to changes in the availability of reinsurance.</w:t>
      </w:r>
    </w:p>
    <w:p w14:paraId="22BB0945" w14:textId="0FE04453" w:rsidR="009D33A8" w:rsidRDefault="00601B06" w:rsidP="009D33A8">
      <w:pPr>
        <w:pStyle w:val="Heading4"/>
        <w:spacing w:before="140"/>
      </w:pPr>
      <w:r>
        <w:br w:type="column"/>
      </w:r>
      <w:r w:rsidR="009D33A8">
        <w:t>Yallourn Power Station safety net</w:t>
      </w:r>
    </w:p>
    <w:p w14:paraId="7C5F7155" w14:textId="77777777" w:rsidR="009D33A8" w:rsidRDefault="009D33A8" w:rsidP="009D33A8">
      <w:r>
        <w:t xml:space="preserve">The Government has reached an agreement with EnergyAustralia (EA) to ensure an orderly transition as EA implements the closure of the Yallourn Power Station in June 2028. </w:t>
      </w:r>
    </w:p>
    <w:p w14:paraId="748BBED7" w14:textId="77777777" w:rsidR="009D33A8" w:rsidRDefault="009D33A8" w:rsidP="009D33A8">
      <w:r>
        <w:t xml:space="preserve">The agreement includes, should it be needed, a safety net to avoid an unplanned exit of Yallourn. </w:t>
      </w:r>
    </w:p>
    <w:p w14:paraId="30252CC7" w14:textId="77777777" w:rsidR="009D33A8" w:rsidRDefault="009D33A8" w:rsidP="009D33A8">
      <w:r>
        <w:t>As part of this safety net, under certain scenarios, the State agrees to provide partial support to EA in the event of exceptional costs incurred in the operation of the Yallourn Power Station.</w:t>
      </w:r>
    </w:p>
    <w:p w14:paraId="1D338CB6" w14:textId="7CEFAA8B" w:rsidR="009D33A8" w:rsidRDefault="009D33A8" w:rsidP="009D33A8">
      <w:r>
        <w:t>This support will help to ensure Yallourn</w:t>
      </w:r>
      <w:r w:rsidR="00845934">
        <w:t>’</w:t>
      </w:r>
      <w:r>
        <w:t>s workers and Victoria</w:t>
      </w:r>
      <w:r w:rsidR="00845934">
        <w:t>’</w:t>
      </w:r>
      <w:r>
        <w:t>s energy system have sufficient time to plan for the plant</w:t>
      </w:r>
      <w:r w:rsidR="00845934">
        <w:t>’</w:t>
      </w:r>
      <w:r>
        <w:t xml:space="preserve">s closure. The possible liability depends on a number of future events and cannot be reliably and readily quantified. </w:t>
      </w:r>
    </w:p>
    <w:p w14:paraId="5966B4EA" w14:textId="77777777" w:rsidR="00DF0E81" w:rsidRDefault="00DF0E81" w:rsidP="009D33A8">
      <w:pPr>
        <w:pStyle w:val="Heading2"/>
        <w:sectPr w:rsidR="00DF0E81" w:rsidSect="00DF0E81">
          <w:type w:val="continuous"/>
          <w:pgSz w:w="11906" w:h="16838" w:code="9"/>
          <w:pgMar w:top="1134" w:right="1134" w:bottom="1134" w:left="1134" w:header="624" w:footer="567" w:gutter="0"/>
          <w:cols w:num="2" w:space="708"/>
          <w:docGrid w:linePitch="360"/>
        </w:sectPr>
      </w:pPr>
    </w:p>
    <w:p w14:paraId="5DA9E15B" w14:textId="317AB4CE" w:rsidR="009D33A8" w:rsidRDefault="009D33A8" w:rsidP="00BB3A63">
      <w:pPr>
        <w:pStyle w:val="Heading2"/>
        <w:spacing w:before="0"/>
      </w:pPr>
      <w:bookmarkStart w:id="121" w:name="_Toc209481816"/>
      <w:r>
        <w:lastRenderedPageBreak/>
        <w:t>6.3</w:t>
      </w:r>
      <w:r>
        <w:tab/>
        <w:t>Fair value determination</w:t>
      </w:r>
      <w:bookmarkEnd w:id="121"/>
    </w:p>
    <w:p w14:paraId="2FD99575" w14:textId="77777777" w:rsidR="00DF0E81" w:rsidRDefault="00DF0E81" w:rsidP="009D33A8">
      <w:pPr>
        <w:sectPr w:rsidR="00DF0E81" w:rsidSect="00ED5429">
          <w:type w:val="continuous"/>
          <w:pgSz w:w="11906" w:h="16838" w:code="9"/>
          <w:pgMar w:top="1134" w:right="1134" w:bottom="1134" w:left="1134" w:header="624" w:footer="567" w:gutter="0"/>
          <w:cols w:space="708"/>
          <w:docGrid w:linePitch="360"/>
        </w:sectPr>
      </w:pPr>
    </w:p>
    <w:p w14:paraId="59374596" w14:textId="77777777" w:rsidR="009D33A8" w:rsidRDefault="009D33A8" w:rsidP="009D33A8">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38756A0D" w14:textId="77777777" w:rsidR="009D33A8" w:rsidRDefault="009D33A8" w:rsidP="009D33A8">
      <w:r>
        <w:t>Fair values are determined for the following assets and liabilities:</w:t>
      </w:r>
    </w:p>
    <w:p w14:paraId="0B725768" w14:textId="452B5FB9" w:rsidR="009D33A8" w:rsidRPr="0075626B" w:rsidRDefault="00E4198F" w:rsidP="009D33A8">
      <w:pPr>
        <w:pStyle w:val="ListBullet"/>
        <w:keepLines/>
        <w:numPr>
          <w:ilvl w:val="0"/>
          <w:numId w:val="27"/>
        </w:numPr>
        <w:ind w:left="357" w:hanging="357"/>
      </w:pPr>
      <w:r>
        <w:t>f</w:t>
      </w:r>
      <w:r w:rsidR="009D33A8" w:rsidRPr="0075626B">
        <w:t>inancial assets and liabilities at fair value</w:t>
      </w:r>
    </w:p>
    <w:p w14:paraId="3C8FECB9" w14:textId="332AC367" w:rsidR="009D33A8" w:rsidRPr="0075626B" w:rsidRDefault="00E4198F" w:rsidP="009D33A8">
      <w:pPr>
        <w:pStyle w:val="ListBullet"/>
        <w:keepLines/>
        <w:numPr>
          <w:ilvl w:val="0"/>
          <w:numId w:val="27"/>
        </w:numPr>
        <w:ind w:left="357" w:hanging="357"/>
      </w:pPr>
      <w:r>
        <w:t>l</w:t>
      </w:r>
      <w:r w:rsidR="009D33A8" w:rsidRPr="0075626B">
        <w:t>and, buildings, infrastructure, plant and equipment (including service concession and right-of-use assets)</w:t>
      </w:r>
      <w:r w:rsidR="009D33A8">
        <w:t xml:space="preserve"> </w:t>
      </w:r>
    </w:p>
    <w:p w14:paraId="78795B08" w14:textId="63612E46" w:rsidR="009D33A8" w:rsidRPr="0075626B" w:rsidRDefault="00E4198F" w:rsidP="009D33A8">
      <w:pPr>
        <w:pStyle w:val="ListBullet"/>
        <w:keepLines/>
        <w:numPr>
          <w:ilvl w:val="0"/>
          <w:numId w:val="27"/>
        </w:numPr>
        <w:ind w:left="357" w:hanging="357"/>
      </w:pPr>
      <w:r>
        <w:t>i</w:t>
      </w:r>
      <w:r w:rsidR="009D33A8" w:rsidRPr="0075626B">
        <w:t>nvestment properties</w:t>
      </w:r>
      <w:r w:rsidR="009D33A8">
        <w:t>.</w:t>
      </w:r>
    </w:p>
    <w:p w14:paraId="62A63C56" w14:textId="77777777" w:rsidR="009D33A8" w:rsidRDefault="009D33A8" w:rsidP="009D33A8">
      <w:r>
        <w:t xml:space="preserve">In addition, the fair values of other assets and liabilities are determined for disclosure purposes (financial assets and liabilities carried at amortised cost). </w:t>
      </w:r>
    </w:p>
    <w:p w14:paraId="1E65A7F4" w14:textId="77777777" w:rsidR="009D33A8" w:rsidRDefault="009D33A8" w:rsidP="009D33A8">
      <w:r>
        <w:t>The State determines the policies and procedures for determining fair values for both financial and non</w:t>
      </w:r>
      <w:r>
        <w:noBreakHyphen/>
        <w:t xml:space="preserve">financial assets and liabilities as required. </w:t>
      </w:r>
    </w:p>
    <w:p w14:paraId="3CE90705" w14:textId="77777777" w:rsidR="009D33A8" w:rsidRDefault="009D33A8" w:rsidP="009D33A8">
      <w:r>
        <w:t>For the purpose of fair value disclosures, the State has determined classes of assets and liabilities on the basis of the nature, characteristics and risks of the asset or liability.</w:t>
      </w:r>
    </w:p>
    <w:p w14:paraId="52BF1A51" w14:textId="77777777" w:rsidR="009D33A8" w:rsidRDefault="009D33A8" w:rsidP="009D33A8">
      <w:pPr>
        <w:pStyle w:val="Heading3"/>
      </w:pPr>
      <w:r>
        <w:t>Fair value hierarchy</w:t>
      </w:r>
    </w:p>
    <w:p w14:paraId="0861648E" w14:textId="6775D24F" w:rsidR="009D33A8" w:rsidRDefault="009D33A8" w:rsidP="009D33A8">
      <w:r>
        <w:t>A number of inputs are used in determining fair value. To increase consistency and comparability in the financial statements, these inputs are categorised into three levels, also known as the fair value hierarchy. The levels are as follows:</w:t>
      </w:r>
    </w:p>
    <w:p w14:paraId="1B5B47DF" w14:textId="77777777" w:rsidR="009D33A8" w:rsidRPr="0075626B" w:rsidRDefault="009D33A8" w:rsidP="009D33A8">
      <w:pPr>
        <w:pStyle w:val="ListBullet"/>
        <w:keepLines/>
        <w:numPr>
          <w:ilvl w:val="0"/>
          <w:numId w:val="27"/>
        </w:numPr>
        <w:ind w:left="357" w:hanging="357"/>
      </w:pPr>
      <w:r w:rsidRPr="0075626B">
        <w:t>Level 1 – quoted (unadjusted) market prices in active markets for identical assets or liabilities</w:t>
      </w:r>
    </w:p>
    <w:p w14:paraId="17E0F6E7" w14:textId="77777777" w:rsidR="009D33A8" w:rsidRPr="0075626B" w:rsidRDefault="009D33A8" w:rsidP="009D33A8">
      <w:pPr>
        <w:pStyle w:val="ListBullet"/>
        <w:keepLines/>
        <w:numPr>
          <w:ilvl w:val="0"/>
          <w:numId w:val="27"/>
        </w:numPr>
        <w:ind w:left="357" w:hanging="357"/>
      </w:pPr>
      <w:r w:rsidRPr="0075626B">
        <w:t>Level 2 – valuation techniques for which the lowest level input that is significant to the fair value measurement is directly or indirectly observable</w:t>
      </w:r>
    </w:p>
    <w:p w14:paraId="2C6CBAEF" w14:textId="77777777" w:rsidR="009D33A8" w:rsidRPr="0075626B" w:rsidRDefault="009D33A8" w:rsidP="009D33A8">
      <w:pPr>
        <w:pStyle w:val="ListBullet"/>
        <w:keepLines/>
        <w:numPr>
          <w:ilvl w:val="0"/>
          <w:numId w:val="27"/>
        </w:numPr>
        <w:ind w:left="357" w:hanging="357"/>
      </w:pPr>
      <w:r w:rsidRPr="0075626B">
        <w:t>Level 3 – valuation techniques for which the lowest level input that is significant to the fair value measurement is unobservable.</w:t>
      </w:r>
    </w:p>
    <w:p w14:paraId="624C3372" w14:textId="77777777" w:rsidR="009D33A8" w:rsidRDefault="009D33A8" w:rsidP="009D33A8">
      <w:r>
        <w:t>The State determines whether transfers have occurred between levels in the hierarchy by reassessing categorisation (based on the lowest level input that is significant to the fair value measurement as a whole) at the end of each reporting period.</w:t>
      </w:r>
    </w:p>
    <w:p w14:paraId="205E8757" w14:textId="2E12173D" w:rsidR="009D33A8" w:rsidRDefault="00811E13" w:rsidP="00811E13">
      <w:pPr>
        <w:pStyle w:val="Heading3"/>
        <w:spacing w:before="120"/>
      </w:pPr>
      <w:r>
        <w:br w:type="column"/>
      </w:r>
      <w:r w:rsidR="009D33A8">
        <w:t>Fair value disclosure</w:t>
      </w:r>
    </w:p>
    <w:p w14:paraId="657ACFCC" w14:textId="77777777" w:rsidR="009D33A8" w:rsidRDefault="009D33A8" w:rsidP="009D33A8">
      <w:pPr>
        <w:keepNext/>
      </w:pPr>
      <w:r>
        <w:t>For those assets and liabilities for which fair value determination is applied, the following disclosures are provided:</w:t>
      </w:r>
    </w:p>
    <w:p w14:paraId="3382B1FB" w14:textId="66921D5C" w:rsidR="009D33A8" w:rsidRPr="0075626B" w:rsidRDefault="00CA090C" w:rsidP="009D33A8">
      <w:pPr>
        <w:pStyle w:val="ListBullet"/>
        <w:keepLines/>
        <w:numPr>
          <w:ilvl w:val="0"/>
          <w:numId w:val="27"/>
        </w:numPr>
        <w:ind w:left="357" w:hanging="357"/>
      </w:pPr>
      <w:r>
        <w:t>c</w:t>
      </w:r>
      <w:r w:rsidR="009D33A8" w:rsidRPr="0075626B">
        <w:t>arrying amount and the fair value (which would be the same for those assets measured at fair value)</w:t>
      </w:r>
    </w:p>
    <w:p w14:paraId="37F2C11A" w14:textId="77C0C257" w:rsidR="009D33A8" w:rsidRPr="0075626B" w:rsidRDefault="00CA090C" w:rsidP="009D33A8">
      <w:pPr>
        <w:pStyle w:val="ListBullet"/>
        <w:keepLines/>
        <w:numPr>
          <w:ilvl w:val="0"/>
          <w:numId w:val="27"/>
        </w:numPr>
        <w:ind w:left="357" w:hanging="357"/>
      </w:pPr>
      <w:r>
        <w:t>w</w:t>
      </w:r>
      <w:r w:rsidR="009D33A8" w:rsidRPr="0075626B">
        <w:t>hich level of the fair value hierarchy was used to determine the fair value</w:t>
      </w:r>
    </w:p>
    <w:p w14:paraId="76E6D0E4" w14:textId="6122750E" w:rsidR="009D33A8" w:rsidRPr="0075626B" w:rsidRDefault="00CA090C" w:rsidP="009D33A8">
      <w:pPr>
        <w:pStyle w:val="ListBullet"/>
        <w:keepLines/>
        <w:numPr>
          <w:ilvl w:val="0"/>
          <w:numId w:val="27"/>
        </w:numPr>
        <w:ind w:left="357" w:hanging="357"/>
      </w:pPr>
      <w:r>
        <w:t>i</w:t>
      </w:r>
      <w:r w:rsidR="009D33A8" w:rsidRPr="0075626B">
        <w:t>n respect of those assets and liabilities subject to fair value determination using Level 3 inputs:</w:t>
      </w:r>
    </w:p>
    <w:p w14:paraId="0FE8C1DA" w14:textId="77777777" w:rsidR="009D33A8" w:rsidRPr="0075626B" w:rsidRDefault="009D33A8" w:rsidP="009D33A8">
      <w:pPr>
        <w:pStyle w:val="ListBullet2"/>
        <w:numPr>
          <w:ilvl w:val="1"/>
          <w:numId w:val="25"/>
        </w:numPr>
        <w:tabs>
          <w:tab w:val="num" w:pos="643"/>
        </w:tabs>
      </w:pPr>
      <w:r w:rsidRPr="0075626B">
        <w:t>a reconciliation of the movements in fair values from the beginning of the year to the end</w:t>
      </w:r>
    </w:p>
    <w:p w14:paraId="6F6187F5" w14:textId="77777777" w:rsidR="009D33A8" w:rsidRPr="0075626B" w:rsidRDefault="009D33A8" w:rsidP="009D33A8">
      <w:pPr>
        <w:pStyle w:val="ListBullet2"/>
        <w:numPr>
          <w:ilvl w:val="1"/>
          <w:numId w:val="25"/>
        </w:numPr>
        <w:tabs>
          <w:tab w:val="num" w:pos="643"/>
        </w:tabs>
      </w:pPr>
      <w:r w:rsidRPr="0075626B">
        <w:t>details of significant unobservable inputs used in the fair value determination.</w:t>
      </w:r>
    </w:p>
    <w:p w14:paraId="0BA9B1F3" w14:textId="77777777" w:rsidR="009D33A8" w:rsidRDefault="009D33A8" w:rsidP="009D33A8">
      <w:r>
        <w:t>This section is divided between financial instruments and non</w:t>
      </w:r>
      <w:r>
        <w:noBreakHyphen/>
        <w:t>financial physical assets.</w:t>
      </w:r>
    </w:p>
    <w:p w14:paraId="49477601" w14:textId="77777777" w:rsidR="00DF0E81" w:rsidRDefault="00DF0E81" w:rsidP="009D33A8">
      <w:pPr>
        <w:pStyle w:val="Heading2"/>
        <w:spacing w:before="0"/>
        <w:sectPr w:rsidR="00DF0E81" w:rsidSect="00DF0E81">
          <w:type w:val="continuous"/>
          <w:pgSz w:w="11906" w:h="16838" w:code="9"/>
          <w:pgMar w:top="1134" w:right="1134" w:bottom="1134" w:left="1134" w:header="624" w:footer="567" w:gutter="0"/>
          <w:cols w:num="2" w:space="708"/>
          <w:docGrid w:linePitch="360"/>
        </w:sectPr>
      </w:pPr>
    </w:p>
    <w:p w14:paraId="758F7F02" w14:textId="77777777" w:rsidR="00811E13" w:rsidRDefault="00811E13">
      <w:pPr>
        <w:keepLines w:val="0"/>
        <w:rPr>
          <w:rFonts w:asciiTheme="majorHAnsi" w:eastAsiaTheme="majorEastAsia" w:hAnsiTheme="majorHAnsi" w:cstheme="majorBidi"/>
          <w:b/>
          <w:sz w:val="27"/>
          <w:szCs w:val="26"/>
        </w:rPr>
      </w:pPr>
      <w:r>
        <w:br w:type="page"/>
      </w:r>
    </w:p>
    <w:p w14:paraId="081C7925" w14:textId="04380E76" w:rsidR="009D33A8" w:rsidRDefault="009D33A8" w:rsidP="00DF0E81">
      <w:pPr>
        <w:pStyle w:val="Heading2"/>
      </w:pPr>
      <w:bookmarkStart w:id="122" w:name="_Toc209481817"/>
      <w:r>
        <w:lastRenderedPageBreak/>
        <w:t>6.4</w:t>
      </w:r>
      <w:r>
        <w:tab/>
        <w:t xml:space="preserve">Fair </w:t>
      </w:r>
      <w:r w:rsidRPr="00DF0E81">
        <w:t>value</w:t>
      </w:r>
      <w:r>
        <w:t xml:space="preserve"> determination of financial assets and liabilities</w:t>
      </w:r>
      <w:bookmarkEnd w:id="122"/>
    </w:p>
    <w:p w14:paraId="476026F4" w14:textId="77777777" w:rsidR="009D33A8" w:rsidRDefault="009D33A8" w:rsidP="009D33A8">
      <w:pPr>
        <w:pStyle w:val="Heading3"/>
      </w:pPr>
      <w:r>
        <w:t xml:space="preserve">How fair values are determined </w:t>
      </w:r>
    </w:p>
    <w:p w14:paraId="29A8F094" w14:textId="77777777" w:rsidR="00DF0E81" w:rsidRDefault="00DF0E81" w:rsidP="009D33A8">
      <w:pPr>
        <w:keepNext/>
        <w:sectPr w:rsidR="00DF0E81" w:rsidSect="00ED5429">
          <w:type w:val="continuous"/>
          <w:pgSz w:w="11906" w:h="16838" w:code="9"/>
          <w:pgMar w:top="1134" w:right="1134" w:bottom="1134" w:left="1134" w:header="624" w:footer="567" w:gutter="0"/>
          <w:cols w:space="708"/>
          <w:docGrid w:linePitch="360"/>
        </w:sectPr>
      </w:pPr>
    </w:p>
    <w:p w14:paraId="4EC3466A" w14:textId="5A39471E" w:rsidR="009D33A8" w:rsidRDefault="009D33A8" w:rsidP="009D33A8">
      <w:pPr>
        <w:keepNext/>
      </w:pPr>
      <w:r>
        <w:t>The fair values of the State</w:t>
      </w:r>
      <w:r w:rsidR="00845934">
        <w:t>’</w:t>
      </w:r>
      <w:r>
        <w:t>s financial assets and liabilities are determined as follows:</w:t>
      </w:r>
    </w:p>
    <w:p w14:paraId="3471404D" w14:textId="77777777" w:rsidR="009D33A8" w:rsidRPr="00E32C4C" w:rsidRDefault="009D33A8" w:rsidP="009D33A8">
      <w:pPr>
        <w:pStyle w:val="ListBullet"/>
        <w:keepLines/>
        <w:numPr>
          <w:ilvl w:val="0"/>
          <w:numId w:val="27"/>
        </w:numPr>
        <w:ind w:left="357" w:hanging="357"/>
      </w:pPr>
      <w:r w:rsidRPr="00CF0389">
        <w:rPr>
          <w:b/>
        </w:rPr>
        <w:t>Level 1</w:t>
      </w:r>
      <w:r w:rsidRPr="00E32C4C">
        <w:t xml:space="preserve"> – the fair value of financial instruments with standard terms and conditions traded in an active liquid market are determined with reference to quoted market prices</w:t>
      </w:r>
    </w:p>
    <w:p w14:paraId="77BCA41C" w14:textId="77777777" w:rsidR="009D33A8" w:rsidRDefault="009D33A8" w:rsidP="009D33A8">
      <w:pPr>
        <w:pStyle w:val="ListBullet"/>
        <w:keepLines/>
        <w:numPr>
          <w:ilvl w:val="0"/>
          <w:numId w:val="27"/>
        </w:numPr>
        <w:ind w:left="357" w:hanging="357"/>
      </w:pPr>
      <w:r w:rsidRPr="00CF0389">
        <w:rPr>
          <w:b/>
        </w:rPr>
        <w:t>Level 2</w:t>
      </w:r>
      <w:r w:rsidRPr="00E32C4C">
        <w:t xml:space="preserve"> – the fair value of other financial assets and financial liabilities (excluding derivative instruments) are determined in accordance with generally accepted pricing models based on discounted cash flow analysis, using prices from observable current market transactions</w:t>
      </w:r>
    </w:p>
    <w:p w14:paraId="729CA8E8" w14:textId="77777777" w:rsidR="00DF0E81" w:rsidRPr="00DF0E81" w:rsidRDefault="00DF0E81" w:rsidP="00DF0E81">
      <w:pPr>
        <w:spacing w:before="440"/>
      </w:pPr>
    </w:p>
    <w:p w14:paraId="1AF0B3B8" w14:textId="323D3EBD" w:rsidR="009D33A8" w:rsidRPr="00E32C4C" w:rsidRDefault="009D33A8" w:rsidP="009D33A8">
      <w:pPr>
        <w:pStyle w:val="ListBullet"/>
        <w:keepLines/>
        <w:numPr>
          <w:ilvl w:val="0"/>
          <w:numId w:val="27"/>
        </w:numPr>
        <w:ind w:left="357" w:hanging="357"/>
      </w:pPr>
      <w:r w:rsidRPr="00CF0389">
        <w:rPr>
          <w:b/>
        </w:rPr>
        <w:t>Level 3</w:t>
      </w:r>
      <w:r w:rsidRPr="00E32C4C">
        <w:t xml:space="preserve"> – the fair value of derivative instruments, such as interest rate futures contracts for difference, are calculated using quoted </w:t>
      </w:r>
      <w:r w:rsidRPr="006C0C9D">
        <w:t>prices</w:t>
      </w:r>
      <w:r w:rsidRPr="00E32C4C">
        <w:t>. Where such prices are not available, use is made of discounted cash flow analysis using the applicable yield curve for the duration of the instrument for non</w:t>
      </w:r>
      <w:r w:rsidRPr="00E32C4C">
        <w:noBreakHyphen/>
        <w:t>optional derivatives, and option pricing models for optional derivatives.</w:t>
      </w:r>
    </w:p>
    <w:p w14:paraId="512219C8" w14:textId="77777777" w:rsidR="00DF0E81" w:rsidRDefault="00DF0E81" w:rsidP="009D33A8">
      <w:pPr>
        <w:sectPr w:rsidR="00DF0E81" w:rsidSect="00DF0E81">
          <w:type w:val="continuous"/>
          <w:pgSz w:w="11906" w:h="16838" w:code="9"/>
          <w:pgMar w:top="1134" w:right="1134" w:bottom="1134" w:left="1134" w:header="624" w:footer="567" w:gutter="0"/>
          <w:cols w:num="2" w:space="708"/>
          <w:docGrid w:linePitch="360"/>
        </w:sectPr>
      </w:pPr>
    </w:p>
    <w:p w14:paraId="1F2B62E7" w14:textId="77777777" w:rsidR="009D33A8" w:rsidRDefault="009D33A8" w:rsidP="009D33A8"/>
    <w:p w14:paraId="5E7DEF37" w14:textId="77777777" w:rsidR="009D33A8" w:rsidRDefault="009D33A8" w:rsidP="009D33A8">
      <w:pPr>
        <w:pStyle w:val="TableHeading"/>
      </w:pPr>
      <w:r>
        <w:t xml:space="preserve">Fair value of financial instruments measured at amortised cost </w:t>
      </w:r>
      <w:r>
        <w:rPr>
          <w:vertAlign w:val="superscript"/>
        </w:rPr>
        <w:t>(a)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_AmortisedCost_SoV"/>
      </w:tblPr>
      <w:tblGrid>
        <w:gridCol w:w="6010"/>
        <w:gridCol w:w="907"/>
        <w:gridCol w:w="907"/>
        <w:gridCol w:w="907"/>
        <w:gridCol w:w="907"/>
      </w:tblGrid>
      <w:tr w:rsidR="009D33A8" w14:paraId="580206F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204EECC5" w14:textId="77777777" w:rsidR="009D33A8" w:rsidRDefault="009D33A8">
            <w:pPr>
              <w:keepNext/>
            </w:pPr>
          </w:p>
        </w:tc>
        <w:tc>
          <w:tcPr>
            <w:tcW w:w="1814" w:type="dxa"/>
            <w:gridSpan w:val="2"/>
            <w:tcBorders>
              <w:top w:val="single" w:sz="6" w:space="0" w:color="auto"/>
            </w:tcBorders>
          </w:tcPr>
          <w:p w14:paraId="0EDE089A"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2025</w:t>
            </w:r>
          </w:p>
        </w:tc>
        <w:tc>
          <w:tcPr>
            <w:tcW w:w="1814" w:type="dxa"/>
            <w:gridSpan w:val="2"/>
            <w:tcBorders>
              <w:top w:val="single" w:sz="6" w:space="0" w:color="auto"/>
            </w:tcBorders>
          </w:tcPr>
          <w:p w14:paraId="76FCB6E9"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2024</w:t>
            </w:r>
          </w:p>
        </w:tc>
      </w:tr>
      <w:tr w:rsidR="00991200" w14:paraId="7F2B6FA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0D261E3" w14:textId="77777777" w:rsidR="009D33A8" w:rsidRDefault="009D33A8">
            <w:pPr>
              <w:keepNext/>
            </w:pPr>
            <w:r>
              <w:t>State of Victoria</w:t>
            </w:r>
          </w:p>
        </w:tc>
        <w:tc>
          <w:tcPr>
            <w:tcW w:w="907" w:type="dxa"/>
            <w:tcBorders>
              <w:bottom w:val="single" w:sz="6" w:space="0" w:color="auto"/>
            </w:tcBorders>
          </w:tcPr>
          <w:p w14:paraId="02021CB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2614EE8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Fair</w:t>
            </w:r>
            <w:r>
              <w:br/>
              <w:t>value</w:t>
            </w:r>
          </w:p>
        </w:tc>
        <w:tc>
          <w:tcPr>
            <w:tcW w:w="907" w:type="dxa"/>
            <w:tcBorders>
              <w:bottom w:val="single" w:sz="6" w:space="0" w:color="auto"/>
            </w:tcBorders>
          </w:tcPr>
          <w:p w14:paraId="0C106F0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w:t>
            </w:r>
            <w:r>
              <w:br/>
              <w:t>amount</w:t>
            </w:r>
          </w:p>
        </w:tc>
        <w:tc>
          <w:tcPr>
            <w:tcW w:w="907" w:type="dxa"/>
            <w:tcBorders>
              <w:bottom w:val="single" w:sz="6" w:space="0" w:color="auto"/>
            </w:tcBorders>
          </w:tcPr>
          <w:p w14:paraId="6D80BEF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Fair</w:t>
            </w:r>
            <w:r>
              <w:br/>
              <w:t>value</w:t>
            </w:r>
          </w:p>
        </w:tc>
      </w:tr>
      <w:tr w:rsidR="009D33A8" w14:paraId="66D114FC"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406877F2" w14:textId="77777777" w:rsidR="009D33A8" w:rsidRDefault="009D33A8">
            <w:r>
              <w:rPr>
                <w:b/>
              </w:rPr>
              <w:t>Financial assets</w:t>
            </w:r>
          </w:p>
        </w:tc>
        <w:tc>
          <w:tcPr>
            <w:tcW w:w="907" w:type="dxa"/>
            <w:tcBorders>
              <w:top w:val="single" w:sz="6" w:space="0" w:color="auto"/>
            </w:tcBorders>
          </w:tcPr>
          <w:p w14:paraId="02CE63F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2DEE26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B9FC50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B55D4C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8D5D3D7" w14:textId="77777777">
        <w:tc>
          <w:tcPr>
            <w:cnfStyle w:val="001000000000" w:firstRow="0" w:lastRow="0" w:firstColumn="1" w:lastColumn="0" w:oddVBand="0" w:evenVBand="0" w:oddHBand="0" w:evenHBand="0" w:firstRowFirstColumn="0" w:firstRowLastColumn="0" w:lastRowFirstColumn="0" w:lastRowLastColumn="0"/>
            <w:tcW w:w="6010" w:type="dxa"/>
          </w:tcPr>
          <w:p w14:paraId="7E1EEBF3" w14:textId="77777777" w:rsidR="009D33A8" w:rsidRDefault="009D33A8">
            <w:r>
              <w:t>Term deposits</w:t>
            </w:r>
          </w:p>
        </w:tc>
        <w:tc>
          <w:tcPr>
            <w:tcW w:w="907" w:type="dxa"/>
          </w:tcPr>
          <w:p w14:paraId="034EB268" w14:textId="77777777" w:rsidR="009D33A8" w:rsidRDefault="009D33A8">
            <w:pPr>
              <w:cnfStyle w:val="000000000000" w:firstRow="0" w:lastRow="0" w:firstColumn="0" w:lastColumn="0" w:oddVBand="0" w:evenVBand="0" w:oddHBand="0" w:evenHBand="0" w:firstRowFirstColumn="0" w:firstRowLastColumn="0" w:lastRowFirstColumn="0" w:lastRowLastColumn="0"/>
            </w:pPr>
            <w:r>
              <w:t>251</w:t>
            </w:r>
          </w:p>
        </w:tc>
        <w:tc>
          <w:tcPr>
            <w:tcW w:w="907" w:type="dxa"/>
          </w:tcPr>
          <w:p w14:paraId="7D1EED42" w14:textId="77777777" w:rsidR="009D33A8" w:rsidRDefault="009D33A8">
            <w:pPr>
              <w:cnfStyle w:val="000000000000" w:firstRow="0" w:lastRow="0" w:firstColumn="0" w:lastColumn="0" w:oddVBand="0" w:evenVBand="0" w:oddHBand="0" w:evenHBand="0" w:firstRowFirstColumn="0" w:firstRowLastColumn="0" w:lastRowFirstColumn="0" w:lastRowLastColumn="0"/>
            </w:pPr>
            <w:r>
              <w:t>251</w:t>
            </w:r>
          </w:p>
        </w:tc>
        <w:tc>
          <w:tcPr>
            <w:tcW w:w="907" w:type="dxa"/>
          </w:tcPr>
          <w:p w14:paraId="26810700" w14:textId="77777777" w:rsidR="009D33A8" w:rsidRDefault="009D33A8">
            <w:pPr>
              <w:cnfStyle w:val="000000000000" w:firstRow="0" w:lastRow="0" w:firstColumn="0" w:lastColumn="0" w:oddVBand="0" w:evenVBand="0" w:oddHBand="0" w:evenHBand="0" w:firstRowFirstColumn="0" w:firstRowLastColumn="0" w:lastRowFirstColumn="0" w:lastRowLastColumn="0"/>
            </w:pPr>
            <w:r>
              <w:t>343</w:t>
            </w:r>
          </w:p>
        </w:tc>
        <w:tc>
          <w:tcPr>
            <w:tcW w:w="907" w:type="dxa"/>
          </w:tcPr>
          <w:p w14:paraId="3EF64585" w14:textId="77777777" w:rsidR="009D33A8" w:rsidRDefault="009D33A8">
            <w:pPr>
              <w:cnfStyle w:val="000000000000" w:firstRow="0" w:lastRow="0" w:firstColumn="0" w:lastColumn="0" w:oddVBand="0" w:evenVBand="0" w:oddHBand="0" w:evenHBand="0" w:firstRowFirstColumn="0" w:firstRowLastColumn="0" w:lastRowFirstColumn="0" w:lastRowLastColumn="0"/>
            </w:pPr>
            <w:r>
              <w:t>341</w:t>
            </w:r>
          </w:p>
        </w:tc>
      </w:tr>
      <w:tr w:rsidR="009D33A8" w14:paraId="582C722F" w14:textId="77777777">
        <w:tc>
          <w:tcPr>
            <w:cnfStyle w:val="001000000000" w:firstRow="0" w:lastRow="0" w:firstColumn="1" w:lastColumn="0" w:oddVBand="0" w:evenVBand="0" w:oddHBand="0" w:evenHBand="0" w:firstRowFirstColumn="0" w:firstRowLastColumn="0" w:lastRowFirstColumn="0" w:lastRowLastColumn="0"/>
            <w:tcW w:w="6010" w:type="dxa"/>
          </w:tcPr>
          <w:p w14:paraId="0E2C8E63" w14:textId="77777777" w:rsidR="009D33A8" w:rsidRDefault="009D33A8">
            <w:r>
              <w:t>Advances paid</w:t>
            </w:r>
          </w:p>
        </w:tc>
        <w:tc>
          <w:tcPr>
            <w:tcW w:w="907" w:type="dxa"/>
          </w:tcPr>
          <w:p w14:paraId="5E5F370B" w14:textId="77777777" w:rsidR="009D33A8" w:rsidRDefault="009D33A8">
            <w:pPr>
              <w:cnfStyle w:val="000000000000" w:firstRow="0" w:lastRow="0" w:firstColumn="0" w:lastColumn="0" w:oddVBand="0" w:evenVBand="0" w:oddHBand="0" w:evenHBand="0" w:firstRowFirstColumn="0" w:firstRowLastColumn="0" w:lastRowFirstColumn="0" w:lastRowLastColumn="0"/>
            </w:pPr>
            <w:r>
              <w:t>404</w:t>
            </w:r>
          </w:p>
        </w:tc>
        <w:tc>
          <w:tcPr>
            <w:tcW w:w="907" w:type="dxa"/>
          </w:tcPr>
          <w:p w14:paraId="05CF7AFD" w14:textId="77777777" w:rsidR="009D33A8" w:rsidRDefault="009D33A8">
            <w:pPr>
              <w:cnfStyle w:val="000000000000" w:firstRow="0" w:lastRow="0" w:firstColumn="0" w:lastColumn="0" w:oddVBand="0" w:evenVBand="0" w:oddHBand="0" w:evenHBand="0" w:firstRowFirstColumn="0" w:firstRowLastColumn="0" w:lastRowFirstColumn="0" w:lastRowLastColumn="0"/>
            </w:pPr>
            <w:r>
              <w:t>405</w:t>
            </w:r>
          </w:p>
        </w:tc>
        <w:tc>
          <w:tcPr>
            <w:tcW w:w="907" w:type="dxa"/>
          </w:tcPr>
          <w:p w14:paraId="03ADF529" w14:textId="77777777" w:rsidR="009D33A8" w:rsidRDefault="009D33A8">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A2D0AE" w14:textId="77777777" w:rsidR="009D33A8" w:rsidRDefault="009D33A8">
            <w:pPr>
              <w:cnfStyle w:val="000000000000" w:firstRow="0" w:lastRow="0" w:firstColumn="0" w:lastColumn="0" w:oddVBand="0" w:evenVBand="0" w:oddHBand="0" w:evenHBand="0" w:firstRowFirstColumn="0" w:firstRowLastColumn="0" w:lastRowFirstColumn="0" w:lastRowLastColumn="0"/>
            </w:pPr>
            <w:r>
              <w:t>516</w:t>
            </w:r>
          </w:p>
        </w:tc>
      </w:tr>
      <w:tr w:rsidR="009D33A8" w14:paraId="0C7F3445" w14:textId="77777777">
        <w:tc>
          <w:tcPr>
            <w:cnfStyle w:val="001000000000" w:firstRow="0" w:lastRow="0" w:firstColumn="1" w:lastColumn="0" w:oddVBand="0" w:evenVBand="0" w:oddHBand="0" w:evenHBand="0" w:firstRowFirstColumn="0" w:firstRowLastColumn="0" w:lastRowFirstColumn="0" w:lastRowLastColumn="0"/>
            <w:tcW w:w="6010" w:type="dxa"/>
          </w:tcPr>
          <w:p w14:paraId="3C256026" w14:textId="77777777" w:rsidR="009D33A8" w:rsidRDefault="009D33A8">
            <w:r>
              <w:t>Equities and managed investment schemes</w:t>
            </w:r>
          </w:p>
        </w:tc>
        <w:tc>
          <w:tcPr>
            <w:tcW w:w="907" w:type="dxa"/>
          </w:tcPr>
          <w:p w14:paraId="00E65AF0" w14:textId="77777777" w:rsidR="009D33A8" w:rsidRDefault="009D33A8">
            <w:pPr>
              <w:cnfStyle w:val="000000000000" w:firstRow="0" w:lastRow="0" w:firstColumn="0" w:lastColumn="0" w:oddVBand="0" w:evenVBand="0" w:oddHBand="0" w:evenHBand="0" w:firstRowFirstColumn="0" w:firstRowLastColumn="0" w:lastRowFirstColumn="0" w:lastRowLastColumn="0"/>
            </w:pPr>
            <w:r>
              <w:t>450</w:t>
            </w:r>
          </w:p>
        </w:tc>
        <w:tc>
          <w:tcPr>
            <w:tcW w:w="907" w:type="dxa"/>
          </w:tcPr>
          <w:p w14:paraId="203B6775" w14:textId="77777777" w:rsidR="009D33A8" w:rsidRDefault="009D33A8">
            <w:pPr>
              <w:cnfStyle w:val="000000000000" w:firstRow="0" w:lastRow="0" w:firstColumn="0" w:lastColumn="0" w:oddVBand="0" w:evenVBand="0" w:oddHBand="0" w:evenHBand="0" w:firstRowFirstColumn="0" w:firstRowLastColumn="0" w:lastRowFirstColumn="0" w:lastRowLastColumn="0"/>
            </w:pPr>
            <w:r>
              <w:t>459</w:t>
            </w:r>
          </w:p>
        </w:tc>
        <w:tc>
          <w:tcPr>
            <w:tcW w:w="907" w:type="dxa"/>
          </w:tcPr>
          <w:p w14:paraId="21FCA4CF" w14:textId="77777777" w:rsidR="009D33A8" w:rsidRDefault="009D33A8">
            <w:pPr>
              <w:cnfStyle w:val="000000000000" w:firstRow="0" w:lastRow="0" w:firstColumn="0" w:lastColumn="0" w:oddVBand="0" w:evenVBand="0" w:oddHBand="0" w:evenHBand="0" w:firstRowFirstColumn="0" w:firstRowLastColumn="0" w:lastRowFirstColumn="0" w:lastRowLastColumn="0"/>
            </w:pPr>
            <w:r>
              <w:t>432</w:t>
            </w:r>
          </w:p>
        </w:tc>
        <w:tc>
          <w:tcPr>
            <w:tcW w:w="907" w:type="dxa"/>
          </w:tcPr>
          <w:p w14:paraId="744B6C1B" w14:textId="77777777" w:rsidR="009D33A8" w:rsidRDefault="009D33A8">
            <w:pPr>
              <w:cnfStyle w:val="000000000000" w:firstRow="0" w:lastRow="0" w:firstColumn="0" w:lastColumn="0" w:oddVBand="0" w:evenVBand="0" w:oddHBand="0" w:evenHBand="0" w:firstRowFirstColumn="0" w:firstRowLastColumn="0" w:lastRowFirstColumn="0" w:lastRowLastColumn="0"/>
            </w:pPr>
            <w:r>
              <w:t>432</w:t>
            </w:r>
          </w:p>
        </w:tc>
      </w:tr>
      <w:tr w:rsidR="009D33A8" w14:paraId="10A9D94C" w14:textId="77777777">
        <w:tc>
          <w:tcPr>
            <w:cnfStyle w:val="001000000000" w:firstRow="0" w:lastRow="0" w:firstColumn="1" w:lastColumn="0" w:oddVBand="0" w:evenVBand="0" w:oddHBand="0" w:evenHBand="0" w:firstRowFirstColumn="0" w:firstRowLastColumn="0" w:lastRowFirstColumn="0" w:lastRowLastColumn="0"/>
            <w:tcW w:w="6010" w:type="dxa"/>
          </w:tcPr>
          <w:p w14:paraId="0704FEE1" w14:textId="77777777" w:rsidR="009D33A8" w:rsidRDefault="009D33A8">
            <w:r>
              <w:t>Debt securities</w:t>
            </w:r>
          </w:p>
        </w:tc>
        <w:tc>
          <w:tcPr>
            <w:tcW w:w="907" w:type="dxa"/>
          </w:tcPr>
          <w:p w14:paraId="65B2BFF9"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57BA32E"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32FC885"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1B2C619F"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r>
      <w:tr w:rsidR="009D33A8" w14:paraId="6550AD9A"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F01E57D" w14:textId="77777777" w:rsidR="009D33A8" w:rsidRDefault="009D33A8">
            <w:r>
              <w:t>Non</w:t>
            </w:r>
            <w:r>
              <w:noBreakHyphen/>
              <w:t>current receivables</w:t>
            </w:r>
          </w:p>
        </w:tc>
        <w:tc>
          <w:tcPr>
            <w:tcW w:w="907" w:type="dxa"/>
            <w:tcBorders>
              <w:bottom w:val="single" w:sz="6" w:space="0" w:color="auto"/>
            </w:tcBorders>
          </w:tcPr>
          <w:p w14:paraId="66CDE50B" w14:textId="77777777" w:rsidR="009D33A8" w:rsidRDefault="009D33A8">
            <w:pPr>
              <w:cnfStyle w:val="000000000000" w:firstRow="0" w:lastRow="0" w:firstColumn="0" w:lastColumn="0" w:oddVBand="0" w:evenVBand="0" w:oddHBand="0" w:evenHBand="0" w:firstRowFirstColumn="0" w:firstRowLastColumn="0" w:lastRowFirstColumn="0" w:lastRowLastColumn="0"/>
            </w:pPr>
            <w:r>
              <w:t>893</w:t>
            </w:r>
          </w:p>
        </w:tc>
        <w:tc>
          <w:tcPr>
            <w:tcW w:w="907" w:type="dxa"/>
            <w:tcBorders>
              <w:bottom w:val="single" w:sz="6" w:space="0" w:color="auto"/>
            </w:tcBorders>
          </w:tcPr>
          <w:p w14:paraId="03D8C1C6" w14:textId="77777777" w:rsidR="009D33A8" w:rsidRDefault="009D33A8">
            <w:pPr>
              <w:cnfStyle w:val="000000000000" w:firstRow="0" w:lastRow="0" w:firstColumn="0" w:lastColumn="0" w:oddVBand="0" w:evenVBand="0" w:oddHBand="0" w:evenHBand="0" w:firstRowFirstColumn="0" w:firstRowLastColumn="0" w:lastRowFirstColumn="0" w:lastRowLastColumn="0"/>
            </w:pPr>
            <w:r>
              <w:t>852</w:t>
            </w:r>
          </w:p>
        </w:tc>
        <w:tc>
          <w:tcPr>
            <w:tcW w:w="907" w:type="dxa"/>
            <w:tcBorders>
              <w:bottom w:val="single" w:sz="6" w:space="0" w:color="auto"/>
            </w:tcBorders>
          </w:tcPr>
          <w:p w14:paraId="2D8E7630" w14:textId="77777777" w:rsidR="009D33A8" w:rsidRDefault="009D33A8">
            <w:pPr>
              <w:cnfStyle w:val="000000000000" w:firstRow="0" w:lastRow="0" w:firstColumn="0" w:lastColumn="0" w:oddVBand="0" w:evenVBand="0" w:oddHBand="0" w:evenHBand="0" w:firstRowFirstColumn="0" w:firstRowLastColumn="0" w:lastRowFirstColumn="0" w:lastRowLastColumn="0"/>
            </w:pPr>
            <w:r>
              <w:t>625</w:t>
            </w:r>
          </w:p>
        </w:tc>
        <w:tc>
          <w:tcPr>
            <w:tcW w:w="907" w:type="dxa"/>
            <w:tcBorders>
              <w:bottom w:val="single" w:sz="6" w:space="0" w:color="auto"/>
            </w:tcBorders>
          </w:tcPr>
          <w:p w14:paraId="4D58DE30" w14:textId="77777777" w:rsidR="009D33A8" w:rsidRDefault="009D33A8">
            <w:pPr>
              <w:cnfStyle w:val="000000000000" w:firstRow="0" w:lastRow="0" w:firstColumn="0" w:lastColumn="0" w:oddVBand="0" w:evenVBand="0" w:oddHBand="0" w:evenHBand="0" w:firstRowFirstColumn="0" w:firstRowLastColumn="0" w:lastRowFirstColumn="0" w:lastRowLastColumn="0"/>
            </w:pPr>
            <w:r>
              <w:t>627</w:t>
            </w:r>
          </w:p>
        </w:tc>
      </w:tr>
      <w:tr w:rsidR="009D33A8" w14:paraId="41617CDF"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320E8CD" w14:textId="77777777" w:rsidR="009D33A8" w:rsidRDefault="009D33A8">
            <w:r>
              <w:rPr>
                <w:b/>
              </w:rPr>
              <w:t xml:space="preserve">Total financial assets </w:t>
            </w:r>
            <w:r>
              <w:rPr>
                <w:b/>
                <w:vertAlign w:val="superscript"/>
              </w:rPr>
              <w:t>(b)</w:t>
            </w:r>
          </w:p>
        </w:tc>
        <w:tc>
          <w:tcPr>
            <w:tcW w:w="907" w:type="dxa"/>
            <w:tcBorders>
              <w:top w:val="single" w:sz="6" w:space="0" w:color="auto"/>
              <w:bottom w:val="single" w:sz="6" w:space="0" w:color="auto"/>
            </w:tcBorders>
          </w:tcPr>
          <w:p w14:paraId="008FE3F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2 005</w:t>
            </w:r>
          </w:p>
        </w:tc>
        <w:tc>
          <w:tcPr>
            <w:tcW w:w="907" w:type="dxa"/>
            <w:tcBorders>
              <w:top w:val="single" w:sz="6" w:space="0" w:color="auto"/>
              <w:bottom w:val="single" w:sz="6" w:space="0" w:color="auto"/>
            </w:tcBorders>
          </w:tcPr>
          <w:p w14:paraId="2B29D00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1 976</w:t>
            </w:r>
          </w:p>
        </w:tc>
        <w:tc>
          <w:tcPr>
            <w:tcW w:w="907" w:type="dxa"/>
            <w:tcBorders>
              <w:top w:val="single" w:sz="6" w:space="0" w:color="auto"/>
              <w:bottom w:val="single" w:sz="6" w:space="0" w:color="auto"/>
            </w:tcBorders>
          </w:tcPr>
          <w:p w14:paraId="7E1F619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1 922</w:t>
            </w:r>
          </w:p>
        </w:tc>
        <w:tc>
          <w:tcPr>
            <w:tcW w:w="907" w:type="dxa"/>
            <w:tcBorders>
              <w:top w:val="single" w:sz="6" w:space="0" w:color="auto"/>
              <w:bottom w:val="single" w:sz="6" w:space="0" w:color="auto"/>
            </w:tcBorders>
          </w:tcPr>
          <w:p w14:paraId="14EF74D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1 924</w:t>
            </w:r>
          </w:p>
        </w:tc>
      </w:tr>
      <w:tr w:rsidR="009D33A8" w14:paraId="2EC2EF5F"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54005605" w14:textId="77777777" w:rsidR="009D33A8" w:rsidRDefault="009D33A8">
            <w:r>
              <w:rPr>
                <w:b/>
              </w:rPr>
              <w:t>Financial liabilities</w:t>
            </w:r>
          </w:p>
        </w:tc>
        <w:tc>
          <w:tcPr>
            <w:tcW w:w="907" w:type="dxa"/>
            <w:tcBorders>
              <w:top w:val="single" w:sz="6" w:space="0" w:color="auto"/>
            </w:tcBorders>
          </w:tcPr>
          <w:p w14:paraId="2BF0E3F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365847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898BDD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B8132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FC53BC0" w14:textId="77777777">
        <w:tc>
          <w:tcPr>
            <w:cnfStyle w:val="001000000000" w:firstRow="0" w:lastRow="0" w:firstColumn="1" w:lastColumn="0" w:oddVBand="0" w:evenVBand="0" w:oddHBand="0" w:evenHBand="0" w:firstRowFirstColumn="0" w:firstRowLastColumn="0" w:lastRowFirstColumn="0" w:lastRowLastColumn="0"/>
            <w:tcW w:w="6010" w:type="dxa"/>
          </w:tcPr>
          <w:p w14:paraId="0765D832" w14:textId="77777777" w:rsidR="009D33A8" w:rsidRDefault="009D33A8">
            <w:r>
              <w:t>Payables, deposits held and advances received</w:t>
            </w:r>
          </w:p>
        </w:tc>
        <w:tc>
          <w:tcPr>
            <w:tcW w:w="907" w:type="dxa"/>
          </w:tcPr>
          <w:p w14:paraId="6923B0FB" w14:textId="77777777" w:rsidR="009D33A8" w:rsidRDefault="009D33A8">
            <w:pPr>
              <w:cnfStyle w:val="000000000000" w:firstRow="0" w:lastRow="0" w:firstColumn="0" w:lastColumn="0" w:oddVBand="0" w:evenVBand="0" w:oddHBand="0" w:evenHBand="0" w:firstRowFirstColumn="0" w:firstRowLastColumn="0" w:lastRowFirstColumn="0" w:lastRowLastColumn="0"/>
            </w:pPr>
            <w:r>
              <w:t>8 917</w:t>
            </w:r>
          </w:p>
        </w:tc>
        <w:tc>
          <w:tcPr>
            <w:tcW w:w="907" w:type="dxa"/>
          </w:tcPr>
          <w:p w14:paraId="19497D94" w14:textId="77777777" w:rsidR="009D33A8" w:rsidRDefault="009D33A8">
            <w:pPr>
              <w:cnfStyle w:val="000000000000" w:firstRow="0" w:lastRow="0" w:firstColumn="0" w:lastColumn="0" w:oddVBand="0" w:evenVBand="0" w:oddHBand="0" w:evenHBand="0" w:firstRowFirstColumn="0" w:firstRowLastColumn="0" w:lastRowFirstColumn="0" w:lastRowLastColumn="0"/>
            </w:pPr>
            <w:r>
              <w:t>9 022</w:t>
            </w:r>
          </w:p>
        </w:tc>
        <w:tc>
          <w:tcPr>
            <w:tcW w:w="907" w:type="dxa"/>
          </w:tcPr>
          <w:p w14:paraId="33635BED" w14:textId="77777777" w:rsidR="009D33A8" w:rsidRDefault="009D33A8">
            <w:pPr>
              <w:cnfStyle w:val="000000000000" w:firstRow="0" w:lastRow="0" w:firstColumn="0" w:lastColumn="0" w:oddVBand="0" w:evenVBand="0" w:oddHBand="0" w:evenHBand="0" w:firstRowFirstColumn="0" w:firstRowLastColumn="0" w:lastRowFirstColumn="0" w:lastRowLastColumn="0"/>
            </w:pPr>
            <w:r>
              <w:t>9 740</w:t>
            </w:r>
          </w:p>
        </w:tc>
        <w:tc>
          <w:tcPr>
            <w:tcW w:w="907" w:type="dxa"/>
          </w:tcPr>
          <w:p w14:paraId="05CA5FAE" w14:textId="77777777" w:rsidR="009D33A8" w:rsidRDefault="009D33A8">
            <w:pPr>
              <w:cnfStyle w:val="000000000000" w:firstRow="0" w:lastRow="0" w:firstColumn="0" w:lastColumn="0" w:oddVBand="0" w:evenVBand="0" w:oddHBand="0" w:evenHBand="0" w:firstRowFirstColumn="0" w:firstRowLastColumn="0" w:lastRowFirstColumn="0" w:lastRowLastColumn="0"/>
            </w:pPr>
            <w:r>
              <w:t>9 210</w:t>
            </w:r>
          </w:p>
        </w:tc>
      </w:tr>
      <w:tr w:rsidR="009D33A8" w14:paraId="4D529DB4" w14:textId="77777777">
        <w:tc>
          <w:tcPr>
            <w:cnfStyle w:val="001000000000" w:firstRow="0" w:lastRow="0" w:firstColumn="1" w:lastColumn="0" w:oddVBand="0" w:evenVBand="0" w:oddHBand="0" w:evenHBand="0" w:firstRowFirstColumn="0" w:firstRowLastColumn="0" w:lastRowFirstColumn="0" w:lastRowLastColumn="0"/>
            <w:tcW w:w="6010" w:type="dxa"/>
          </w:tcPr>
          <w:p w14:paraId="0C920EAB" w14:textId="77777777" w:rsidR="009D33A8" w:rsidRDefault="009D33A8">
            <w:r>
              <w:t>Domestic borrowings</w:t>
            </w:r>
          </w:p>
        </w:tc>
        <w:tc>
          <w:tcPr>
            <w:tcW w:w="907" w:type="dxa"/>
          </w:tcPr>
          <w:p w14:paraId="5A496866" w14:textId="77777777" w:rsidR="009D33A8" w:rsidRDefault="009D33A8">
            <w:pPr>
              <w:cnfStyle w:val="000000000000" w:firstRow="0" w:lastRow="0" w:firstColumn="0" w:lastColumn="0" w:oddVBand="0" w:evenVBand="0" w:oddHBand="0" w:evenHBand="0" w:firstRowFirstColumn="0" w:firstRowLastColumn="0" w:lastRowFirstColumn="0" w:lastRowLastColumn="0"/>
            </w:pPr>
            <w:r>
              <w:t>18 050</w:t>
            </w:r>
          </w:p>
        </w:tc>
        <w:tc>
          <w:tcPr>
            <w:tcW w:w="907" w:type="dxa"/>
          </w:tcPr>
          <w:p w14:paraId="4D36E653" w14:textId="77777777" w:rsidR="009D33A8" w:rsidRDefault="009D33A8">
            <w:pPr>
              <w:cnfStyle w:val="000000000000" w:firstRow="0" w:lastRow="0" w:firstColumn="0" w:lastColumn="0" w:oddVBand="0" w:evenVBand="0" w:oddHBand="0" w:evenHBand="0" w:firstRowFirstColumn="0" w:firstRowLastColumn="0" w:lastRowFirstColumn="0" w:lastRowLastColumn="0"/>
            </w:pPr>
            <w:r>
              <w:t>18 878</w:t>
            </w:r>
          </w:p>
        </w:tc>
        <w:tc>
          <w:tcPr>
            <w:tcW w:w="907" w:type="dxa"/>
          </w:tcPr>
          <w:p w14:paraId="4E2ECCC0" w14:textId="77777777" w:rsidR="009D33A8" w:rsidRDefault="009D33A8">
            <w:pPr>
              <w:cnfStyle w:val="000000000000" w:firstRow="0" w:lastRow="0" w:firstColumn="0" w:lastColumn="0" w:oddVBand="0" w:evenVBand="0" w:oddHBand="0" w:evenHBand="0" w:firstRowFirstColumn="0" w:firstRowLastColumn="0" w:lastRowFirstColumn="0" w:lastRowLastColumn="0"/>
            </w:pPr>
            <w:r>
              <w:t>16 993</w:t>
            </w:r>
          </w:p>
        </w:tc>
        <w:tc>
          <w:tcPr>
            <w:tcW w:w="907" w:type="dxa"/>
          </w:tcPr>
          <w:p w14:paraId="7471D057" w14:textId="77777777" w:rsidR="009D33A8" w:rsidRDefault="009D33A8">
            <w:pPr>
              <w:cnfStyle w:val="000000000000" w:firstRow="0" w:lastRow="0" w:firstColumn="0" w:lastColumn="0" w:oddVBand="0" w:evenVBand="0" w:oddHBand="0" w:evenHBand="0" w:firstRowFirstColumn="0" w:firstRowLastColumn="0" w:lastRowFirstColumn="0" w:lastRowLastColumn="0"/>
            </w:pPr>
            <w:r>
              <w:t>19 086</w:t>
            </w:r>
          </w:p>
        </w:tc>
      </w:tr>
      <w:tr w:rsidR="009D33A8" w14:paraId="01A2E88D"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578E538" w14:textId="77777777" w:rsidR="009D33A8" w:rsidRDefault="009D33A8">
            <w:r>
              <w:t>Service concession arrangement liabilities</w:t>
            </w:r>
          </w:p>
        </w:tc>
        <w:tc>
          <w:tcPr>
            <w:tcW w:w="907" w:type="dxa"/>
            <w:tcBorders>
              <w:bottom w:val="single" w:sz="6" w:space="0" w:color="auto"/>
            </w:tcBorders>
          </w:tcPr>
          <w:p w14:paraId="39FE8596" w14:textId="77777777" w:rsidR="009D33A8" w:rsidRDefault="009D33A8">
            <w:pPr>
              <w:cnfStyle w:val="000000000000" w:firstRow="0" w:lastRow="0" w:firstColumn="0" w:lastColumn="0" w:oddVBand="0" w:evenVBand="0" w:oddHBand="0" w:evenHBand="0" w:firstRowFirstColumn="0" w:firstRowLastColumn="0" w:lastRowFirstColumn="0" w:lastRowLastColumn="0"/>
            </w:pPr>
            <w:r>
              <w:t>9 013</w:t>
            </w:r>
          </w:p>
        </w:tc>
        <w:tc>
          <w:tcPr>
            <w:tcW w:w="907" w:type="dxa"/>
            <w:tcBorders>
              <w:bottom w:val="single" w:sz="6" w:space="0" w:color="auto"/>
            </w:tcBorders>
          </w:tcPr>
          <w:p w14:paraId="7457A93A" w14:textId="77777777" w:rsidR="009D33A8" w:rsidRDefault="009D33A8">
            <w:pPr>
              <w:cnfStyle w:val="000000000000" w:firstRow="0" w:lastRow="0" w:firstColumn="0" w:lastColumn="0" w:oddVBand="0" w:evenVBand="0" w:oddHBand="0" w:evenHBand="0" w:firstRowFirstColumn="0" w:firstRowLastColumn="0" w:lastRowFirstColumn="0" w:lastRowLastColumn="0"/>
            </w:pPr>
            <w:r>
              <w:t>9 013</w:t>
            </w:r>
          </w:p>
        </w:tc>
        <w:tc>
          <w:tcPr>
            <w:tcW w:w="907" w:type="dxa"/>
            <w:tcBorders>
              <w:bottom w:val="single" w:sz="6" w:space="0" w:color="auto"/>
            </w:tcBorders>
          </w:tcPr>
          <w:p w14:paraId="6203F8D3" w14:textId="77777777" w:rsidR="009D33A8" w:rsidRDefault="009D33A8">
            <w:pPr>
              <w:cnfStyle w:val="000000000000" w:firstRow="0" w:lastRow="0" w:firstColumn="0" w:lastColumn="0" w:oddVBand="0" w:evenVBand="0" w:oddHBand="0" w:evenHBand="0" w:firstRowFirstColumn="0" w:firstRowLastColumn="0" w:lastRowFirstColumn="0" w:lastRowLastColumn="0"/>
            </w:pPr>
            <w:r>
              <w:t>7 476</w:t>
            </w:r>
          </w:p>
        </w:tc>
        <w:tc>
          <w:tcPr>
            <w:tcW w:w="907" w:type="dxa"/>
            <w:tcBorders>
              <w:bottom w:val="single" w:sz="6" w:space="0" w:color="auto"/>
            </w:tcBorders>
          </w:tcPr>
          <w:p w14:paraId="4D6DA013" w14:textId="77777777" w:rsidR="009D33A8" w:rsidRDefault="009D33A8">
            <w:pPr>
              <w:cnfStyle w:val="000000000000" w:firstRow="0" w:lastRow="0" w:firstColumn="0" w:lastColumn="0" w:oddVBand="0" w:evenVBand="0" w:oddHBand="0" w:evenHBand="0" w:firstRowFirstColumn="0" w:firstRowLastColumn="0" w:lastRowFirstColumn="0" w:lastRowLastColumn="0"/>
            </w:pPr>
            <w:r>
              <w:t>7 476</w:t>
            </w:r>
          </w:p>
        </w:tc>
      </w:tr>
      <w:tr w:rsidR="009D33A8" w14:paraId="65DF38A4"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61C00F0F" w14:textId="77777777" w:rsidR="009D33A8" w:rsidRDefault="009D33A8">
            <w:r>
              <w:rPr>
                <w:b/>
              </w:rPr>
              <w:t xml:space="preserve">Total financial liabilities </w:t>
            </w:r>
            <w:r>
              <w:rPr>
                <w:b/>
                <w:vertAlign w:val="superscript"/>
              </w:rPr>
              <w:t xml:space="preserve">(c) </w:t>
            </w:r>
          </w:p>
        </w:tc>
        <w:tc>
          <w:tcPr>
            <w:tcW w:w="907" w:type="dxa"/>
            <w:tcBorders>
              <w:top w:val="single" w:sz="6" w:space="0" w:color="auto"/>
              <w:bottom w:val="single" w:sz="12" w:space="0" w:color="auto"/>
            </w:tcBorders>
          </w:tcPr>
          <w:p w14:paraId="200EA83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35 980</w:t>
            </w:r>
          </w:p>
        </w:tc>
        <w:tc>
          <w:tcPr>
            <w:tcW w:w="907" w:type="dxa"/>
            <w:tcBorders>
              <w:top w:val="single" w:sz="6" w:space="0" w:color="auto"/>
              <w:bottom w:val="single" w:sz="12" w:space="0" w:color="auto"/>
            </w:tcBorders>
          </w:tcPr>
          <w:p w14:paraId="6D58FFC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36 913</w:t>
            </w:r>
          </w:p>
        </w:tc>
        <w:tc>
          <w:tcPr>
            <w:tcW w:w="907" w:type="dxa"/>
            <w:tcBorders>
              <w:top w:val="single" w:sz="6" w:space="0" w:color="auto"/>
              <w:bottom w:val="single" w:sz="12" w:space="0" w:color="auto"/>
            </w:tcBorders>
          </w:tcPr>
          <w:p w14:paraId="0A596A6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34 209</w:t>
            </w:r>
          </w:p>
        </w:tc>
        <w:tc>
          <w:tcPr>
            <w:tcW w:w="907" w:type="dxa"/>
            <w:tcBorders>
              <w:top w:val="single" w:sz="6" w:space="0" w:color="auto"/>
              <w:bottom w:val="single" w:sz="12" w:space="0" w:color="auto"/>
            </w:tcBorders>
          </w:tcPr>
          <w:p w14:paraId="2353EE0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35 772</w:t>
            </w:r>
          </w:p>
        </w:tc>
      </w:tr>
    </w:tbl>
    <w:p w14:paraId="3F8CCAF6"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_AmortisedCost_GG"/>
      </w:tblPr>
      <w:tblGrid>
        <w:gridCol w:w="6010"/>
        <w:gridCol w:w="907"/>
        <w:gridCol w:w="907"/>
        <w:gridCol w:w="907"/>
        <w:gridCol w:w="907"/>
      </w:tblGrid>
      <w:tr w:rsidR="00991200" w14:paraId="061C9F0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75321FA" w14:textId="77777777" w:rsidR="009D33A8" w:rsidRDefault="009D33A8">
            <w:pPr>
              <w:keepNext/>
            </w:pPr>
            <w:r>
              <w:t>General government sector</w:t>
            </w:r>
          </w:p>
        </w:tc>
        <w:tc>
          <w:tcPr>
            <w:tcW w:w="907" w:type="dxa"/>
            <w:tcBorders>
              <w:bottom w:val="single" w:sz="6" w:space="0" w:color="auto"/>
            </w:tcBorders>
          </w:tcPr>
          <w:p w14:paraId="6B4B28C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D68DDB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B0DC98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AF863E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14C9CD0A"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130EC0A5" w14:textId="77777777" w:rsidR="009D33A8" w:rsidRDefault="009D33A8">
            <w:r>
              <w:rPr>
                <w:b/>
              </w:rPr>
              <w:t>Financial assets</w:t>
            </w:r>
          </w:p>
        </w:tc>
        <w:tc>
          <w:tcPr>
            <w:tcW w:w="907" w:type="dxa"/>
            <w:tcBorders>
              <w:top w:val="single" w:sz="6" w:space="0" w:color="auto"/>
            </w:tcBorders>
          </w:tcPr>
          <w:p w14:paraId="3801244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ED9835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98FBE3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A817DF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94B11FA" w14:textId="77777777">
        <w:tc>
          <w:tcPr>
            <w:cnfStyle w:val="001000000000" w:firstRow="0" w:lastRow="0" w:firstColumn="1" w:lastColumn="0" w:oddVBand="0" w:evenVBand="0" w:oddHBand="0" w:evenHBand="0" w:firstRowFirstColumn="0" w:firstRowLastColumn="0" w:lastRowFirstColumn="0" w:lastRowLastColumn="0"/>
            <w:tcW w:w="6010" w:type="dxa"/>
          </w:tcPr>
          <w:p w14:paraId="1CCBB27B" w14:textId="77777777" w:rsidR="009D33A8" w:rsidRDefault="009D33A8">
            <w:r>
              <w:t>Term deposits</w:t>
            </w:r>
          </w:p>
        </w:tc>
        <w:tc>
          <w:tcPr>
            <w:tcW w:w="907" w:type="dxa"/>
          </w:tcPr>
          <w:p w14:paraId="4D8AD4DA" w14:textId="77777777" w:rsidR="009D33A8" w:rsidRDefault="009D33A8">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62148390" w14:textId="77777777" w:rsidR="009D33A8" w:rsidRDefault="009D33A8">
            <w:pPr>
              <w:cnfStyle w:val="000000000000" w:firstRow="0" w:lastRow="0" w:firstColumn="0" w:lastColumn="0" w:oddVBand="0" w:evenVBand="0" w:oddHBand="0" w:evenHBand="0" w:firstRowFirstColumn="0" w:firstRowLastColumn="0" w:lastRowFirstColumn="0" w:lastRowLastColumn="0"/>
            </w:pPr>
            <w:r>
              <w:t>251</w:t>
            </w:r>
          </w:p>
        </w:tc>
        <w:tc>
          <w:tcPr>
            <w:tcW w:w="907" w:type="dxa"/>
          </w:tcPr>
          <w:p w14:paraId="48081962" w14:textId="77777777" w:rsidR="009D33A8" w:rsidRDefault="009D33A8">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79C297EB" w14:textId="77777777" w:rsidR="009D33A8" w:rsidRDefault="009D33A8">
            <w:pPr>
              <w:cnfStyle w:val="000000000000" w:firstRow="0" w:lastRow="0" w:firstColumn="0" w:lastColumn="0" w:oddVBand="0" w:evenVBand="0" w:oddHBand="0" w:evenHBand="0" w:firstRowFirstColumn="0" w:firstRowLastColumn="0" w:lastRowFirstColumn="0" w:lastRowLastColumn="0"/>
            </w:pPr>
            <w:r>
              <w:t>331</w:t>
            </w:r>
          </w:p>
        </w:tc>
      </w:tr>
      <w:tr w:rsidR="009D33A8" w14:paraId="7D5E8A45" w14:textId="77777777">
        <w:tc>
          <w:tcPr>
            <w:cnfStyle w:val="001000000000" w:firstRow="0" w:lastRow="0" w:firstColumn="1" w:lastColumn="0" w:oddVBand="0" w:evenVBand="0" w:oddHBand="0" w:evenHBand="0" w:firstRowFirstColumn="0" w:firstRowLastColumn="0" w:lastRowFirstColumn="0" w:lastRowLastColumn="0"/>
            <w:tcW w:w="6010" w:type="dxa"/>
          </w:tcPr>
          <w:p w14:paraId="0FFD6430" w14:textId="77777777" w:rsidR="009D33A8" w:rsidRDefault="009D33A8">
            <w:r>
              <w:t>Advances paid</w:t>
            </w:r>
          </w:p>
        </w:tc>
        <w:tc>
          <w:tcPr>
            <w:tcW w:w="907" w:type="dxa"/>
          </w:tcPr>
          <w:p w14:paraId="06F93A0A" w14:textId="77777777" w:rsidR="009D33A8" w:rsidRDefault="009D33A8">
            <w:pPr>
              <w:cnfStyle w:val="000000000000" w:firstRow="0" w:lastRow="0" w:firstColumn="0" w:lastColumn="0" w:oddVBand="0" w:evenVBand="0" w:oddHBand="0" w:evenHBand="0" w:firstRowFirstColumn="0" w:firstRowLastColumn="0" w:lastRowFirstColumn="0" w:lastRowLastColumn="0"/>
            </w:pPr>
            <w:r>
              <w:t>6 400</w:t>
            </w:r>
          </w:p>
        </w:tc>
        <w:tc>
          <w:tcPr>
            <w:tcW w:w="907" w:type="dxa"/>
          </w:tcPr>
          <w:p w14:paraId="223458BE" w14:textId="77777777" w:rsidR="009D33A8" w:rsidRDefault="009D33A8">
            <w:pPr>
              <w:cnfStyle w:val="000000000000" w:firstRow="0" w:lastRow="0" w:firstColumn="0" w:lastColumn="0" w:oddVBand="0" w:evenVBand="0" w:oddHBand="0" w:evenHBand="0" w:firstRowFirstColumn="0" w:firstRowLastColumn="0" w:lastRowFirstColumn="0" w:lastRowLastColumn="0"/>
            </w:pPr>
            <w:r>
              <w:t>7 310</w:t>
            </w:r>
          </w:p>
        </w:tc>
        <w:tc>
          <w:tcPr>
            <w:tcW w:w="907" w:type="dxa"/>
          </w:tcPr>
          <w:p w14:paraId="4D3D32F6" w14:textId="77777777" w:rsidR="009D33A8" w:rsidRDefault="009D33A8">
            <w:pPr>
              <w:cnfStyle w:val="000000000000" w:firstRow="0" w:lastRow="0" w:firstColumn="0" w:lastColumn="0" w:oddVBand="0" w:evenVBand="0" w:oddHBand="0" w:evenHBand="0" w:firstRowFirstColumn="0" w:firstRowLastColumn="0" w:lastRowFirstColumn="0" w:lastRowLastColumn="0"/>
            </w:pPr>
            <w:r>
              <w:t>6 416</w:t>
            </w:r>
          </w:p>
        </w:tc>
        <w:tc>
          <w:tcPr>
            <w:tcW w:w="907" w:type="dxa"/>
          </w:tcPr>
          <w:p w14:paraId="3FD8DB36" w14:textId="77777777" w:rsidR="009D33A8" w:rsidRDefault="009D33A8">
            <w:pPr>
              <w:cnfStyle w:val="000000000000" w:firstRow="0" w:lastRow="0" w:firstColumn="0" w:lastColumn="0" w:oddVBand="0" w:evenVBand="0" w:oddHBand="0" w:evenHBand="0" w:firstRowFirstColumn="0" w:firstRowLastColumn="0" w:lastRowFirstColumn="0" w:lastRowLastColumn="0"/>
            </w:pPr>
            <w:r>
              <w:t>7 539</w:t>
            </w:r>
          </w:p>
        </w:tc>
      </w:tr>
      <w:tr w:rsidR="009D33A8" w14:paraId="2D74CF47" w14:textId="77777777">
        <w:tc>
          <w:tcPr>
            <w:cnfStyle w:val="001000000000" w:firstRow="0" w:lastRow="0" w:firstColumn="1" w:lastColumn="0" w:oddVBand="0" w:evenVBand="0" w:oddHBand="0" w:evenHBand="0" w:firstRowFirstColumn="0" w:firstRowLastColumn="0" w:lastRowFirstColumn="0" w:lastRowLastColumn="0"/>
            <w:tcW w:w="6010" w:type="dxa"/>
          </w:tcPr>
          <w:p w14:paraId="2EEB693C" w14:textId="77777777" w:rsidR="009D33A8" w:rsidRDefault="009D33A8">
            <w:r>
              <w:t>Equities and managed investment schemes</w:t>
            </w:r>
          </w:p>
        </w:tc>
        <w:tc>
          <w:tcPr>
            <w:tcW w:w="907" w:type="dxa"/>
          </w:tcPr>
          <w:p w14:paraId="1830F97E" w14:textId="77777777" w:rsidR="009D33A8" w:rsidRDefault="009D33A8">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29E01052" w14:textId="77777777" w:rsidR="009D33A8" w:rsidRDefault="009D33A8">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13DEE073"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68555A44"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r>
      <w:tr w:rsidR="009D33A8" w14:paraId="633158A3" w14:textId="77777777">
        <w:tc>
          <w:tcPr>
            <w:cnfStyle w:val="001000000000" w:firstRow="0" w:lastRow="0" w:firstColumn="1" w:lastColumn="0" w:oddVBand="0" w:evenVBand="0" w:oddHBand="0" w:evenHBand="0" w:firstRowFirstColumn="0" w:firstRowLastColumn="0" w:lastRowFirstColumn="0" w:lastRowLastColumn="0"/>
            <w:tcW w:w="6010" w:type="dxa"/>
          </w:tcPr>
          <w:p w14:paraId="754091D5" w14:textId="77777777" w:rsidR="009D33A8" w:rsidRDefault="009D33A8">
            <w:r>
              <w:t>Debt securities</w:t>
            </w:r>
          </w:p>
        </w:tc>
        <w:tc>
          <w:tcPr>
            <w:tcW w:w="907" w:type="dxa"/>
          </w:tcPr>
          <w:p w14:paraId="49279DAD"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FD8D516"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C735B4D"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40825630"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r>
      <w:tr w:rsidR="009D33A8" w14:paraId="118CCA24"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7223FF3" w14:textId="77777777" w:rsidR="009D33A8" w:rsidRDefault="009D33A8">
            <w:r>
              <w:t>Non</w:t>
            </w:r>
            <w:r>
              <w:noBreakHyphen/>
              <w:t>current receivables</w:t>
            </w:r>
          </w:p>
        </w:tc>
        <w:tc>
          <w:tcPr>
            <w:tcW w:w="907" w:type="dxa"/>
            <w:tcBorders>
              <w:bottom w:val="single" w:sz="6" w:space="0" w:color="auto"/>
            </w:tcBorders>
          </w:tcPr>
          <w:p w14:paraId="77FC4C34" w14:textId="77777777" w:rsidR="009D33A8" w:rsidRDefault="009D33A8">
            <w:pPr>
              <w:cnfStyle w:val="000000000000" w:firstRow="0" w:lastRow="0" w:firstColumn="0" w:lastColumn="0" w:oddVBand="0" w:evenVBand="0" w:oddHBand="0" w:evenHBand="0" w:firstRowFirstColumn="0" w:firstRowLastColumn="0" w:lastRowFirstColumn="0" w:lastRowLastColumn="0"/>
            </w:pPr>
            <w:r>
              <w:t>871</w:t>
            </w:r>
          </w:p>
        </w:tc>
        <w:tc>
          <w:tcPr>
            <w:tcW w:w="907" w:type="dxa"/>
            <w:tcBorders>
              <w:bottom w:val="single" w:sz="6" w:space="0" w:color="auto"/>
            </w:tcBorders>
          </w:tcPr>
          <w:p w14:paraId="25045BB5" w14:textId="77777777" w:rsidR="009D33A8" w:rsidRDefault="009D33A8">
            <w:pPr>
              <w:cnfStyle w:val="000000000000" w:firstRow="0" w:lastRow="0" w:firstColumn="0" w:lastColumn="0" w:oddVBand="0" w:evenVBand="0" w:oddHBand="0" w:evenHBand="0" w:firstRowFirstColumn="0" w:firstRowLastColumn="0" w:lastRowFirstColumn="0" w:lastRowLastColumn="0"/>
            </w:pPr>
            <w:r>
              <w:t>871</w:t>
            </w:r>
          </w:p>
        </w:tc>
        <w:tc>
          <w:tcPr>
            <w:tcW w:w="907" w:type="dxa"/>
            <w:tcBorders>
              <w:bottom w:val="single" w:sz="6" w:space="0" w:color="auto"/>
            </w:tcBorders>
          </w:tcPr>
          <w:p w14:paraId="333EE920" w14:textId="77777777" w:rsidR="009D33A8" w:rsidRDefault="009D33A8">
            <w:pPr>
              <w:cnfStyle w:val="000000000000" w:firstRow="0" w:lastRow="0" w:firstColumn="0" w:lastColumn="0" w:oddVBand="0" w:evenVBand="0" w:oddHBand="0" w:evenHBand="0" w:firstRowFirstColumn="0" w:firstRowLastColumn="0" w:lastRowFirstColumn="0" w:lastRowLastColumn="0"/>
            </w:pPr>
            <w:r>
              <w:t>604</w:t>
            </w:r>
          </w:p>
        </w:tc>
        <w:tc>
          <w:tcPr>
            <w:tcW w:w="907" w:type="dxa"/>
            <w:tcBorders>
              <w:bottom w:val="single" w:sz="6" w:space="0" w:color="auto"/>
            </w:tcBorders>
          </w:tcPr>
          <w:p w14:paraId="0F823736" w14:textId="77777777" w:rsidR="009D33A8" w:rsidRDefault="009D33A8">
            <w:pPr>
              <w:cnfStyle w:val="000000000000" w:firstRow="0" w:lastRow="0" w:firstColumn="0" w:lastColumn="0" w:oddVBand="0" w:evenVBand="0" w:oddHBand="0" w:evenHBand="0" w:firstRowFirstColumn="0" w:firstRowLastColumn="0" w:lastRowFirstColumn="0" w:lastRowLastColumn="0"/>
            </w:pPr>
            <w:r>
              <w:t>604</w:t>
            </w:r>
          </w:p>
        </w:tc>
      </w:tr>
      <w:tr w:rsidR="009D33A8" w14:paraId="445E68EE"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6" w:space="0" w:color="auto"/>
            </w:tcBorders>
          </w:tcPr>
          <w:p w14:paraId="61339168" w14:textId="77777777" w:rsidR="009D33A8" w:rsidRDefault="009D33A8">
            <w:r>
              <w:rPr>
                <w:b/>
              </w:rPr>
              <w:t xml:space="preserve">Total financial assets </w:t>
            </w:r>
            <w:r>
              <w:rPr>
                <w:b/>
                <w:vertAlign w:val="superscript"/>
              </w:rPr>
              <w:t>(b)</w:t>
            </w:r>
          </w:p>
        </w:tc>
        <w:tc>
          <w:tcPr>
            <w:tcW w:w="907" w:type="dxa"/>
            <w:tcBorders>
              <w:top w:val="single" w:sz="6" w:space="0" w:color="auto"/>
              <w:bottom w:val="single" w:sz="6" w:space="0" w:color="auto"/>
            </w:tcBorders>
          </w:tcPr>
          <w:p w14:paraId="125E23D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7 542</w:t>
            </w:r>
          </w:p>
        </w:tc>
        <w:tc>
          <w:tcPr>
            <w:tcW w:w="907" w:type="dxa"/>
            <w:tcBorders>
              <w:top w:val="single" w:sz="6" w:space="0" w:color="auto"/>
              <w:bottom w:val="single" w:sz="6" w:space="0" w:color="auto"/>
            </w:tcBorders>
          </w:tcPr>
          <w:p w14:paraId="4090C50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8 461</w:t>
            </w:r>
          </w:p>
        </w:tc>
        <w:tc>
          <w:tcPr>
            <w:tcW w:w="907" w:type="dxa"/>
            <w:tcBorders>
              <w:top w:val="single" w:sz="6" w:space="0" w:color="auto"/>
              <w:bottom w:val="single" w:sz="6" w:space="0" w:color="auto"/>
            </w:tcBorders>
          </w:tcPr>
          <w:p w14:paraId="0CE31E3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7 378</w:t>
            </w:r>
          </w:p>
        </w:tc>
        <w:tc>
          <w:tcPr>
            <w:tcW w:w="907" w:type="dxa"/>
            <w:tcBorders>
              <w:top w:val="single" w:sz="6" w:space="0" w:color="auto"/>
              <w:bottom w:val="single" w:sz="6" w:space="0" w:color="auto"/>
            </w:tcBorders>
          </w:tcPr>
          <w:p w14:paraId="000B162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8 500</w:t>
            </w:r>
          </w:p>
        </w:tc>
      </w:tr>
      <w:tr w:rsidR="009D33A8" w14:paraId="4EB6C300"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tcBorders>
          </w:tcPr>
          <w:p w14:paraId="74EC4F38" w14:textId="77777777" w:rsidR="009D33A8" w:rsidRDefault="009D33A8">
            <w:r>
              <w:rPr>
                <w:b/>
              </w:rPr>
              <w:t>Financial liabilities</w:t>
            </w:r>
          </w:p>
        </w:tc>
        <w:tc>
          <w:tcPr>
            <w:tcW w:w="907" w:type="dxa"/>
            <w:tcBorders>
              <w:top w:val="single" w:sz="6" w:space="0" w:color="auto"/>
            </w:tcBorders>
          </w:tcPr>
          <w:p w14:paraId="28A8203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4E9989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09040F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919D2B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E2EF873" w14:textId="77777777">
        <w:tc>
          <w:tcPr>
            <w:cnfStyle w:val="001000000000" w:firstRow="0" w:lastRow="0" w:firstColumn="1" w:lastColumn="0" w:oddVBand="0" w:evenVBand="0" w:oddHBand="0" w:evenHBand="0" w:firstRowFirstColumn="0" w:firstRowLastColumn="0" w:lastRowFirstColumn="0" w:lastRowLastColumn="0"/>
            <w:tcW w:w="6010" w:type="dxa"/>
          </w:tcPr>
          <w:p w14:paraId="5463BA21" w14:textId="77777777" w:rsidR="009D33A8" w:rsidRDefault="009D33A8">
            <w:r>
              <w:t>Payables, deposits held and advances received</w:t>
            </w:r>
          </w:p>
        </w:tc>
        <w:tc>
          <w:tcPr>
            <w:tcW w:w="907" w:type="dxa"/>
          </w:tcPr>
          <w:p w14:paraId="10E869BE" w14:textId="77777777" w:rsidR="009D33A8" w:rsidRDefault="009D33A8">
            <w:pPr>
              <w:cnfStyle w:val="000000000000" w:firstRow="0" w:lastRow="0" w:firstColumn="0" w:lastColumn="0" w:oddVBand="0" w:evenVBand="0" w:oddHBand="0" w:evenHBand="0" w:firstRowFirstColumn="0" w:firstRowLastColumn="0" w:lastRowFirstColumn="0" w:lastRowLastColumn="0"/>
            </w:pPr>
            <w:r>
              <w:t>6 810</w:t>
            </w:r>
          </w:p>
        </w:tc>
        <w:tc>
          <w:tcPr>
            <w:tcW w:w="907" w:type="dxa"/>
          </w:tcPr>
          <w:p w14:paraId="3F2D6B20" w14:textId="77777777" w:rsidR="009D33A8" w:rsidRDefault="009D33A8">
            <w:pPr>
              <w:cnfStyle w:val="000000000000" w:firstRow="0" w:lastRow="0" w:firstColumn="0" w:lastColumn="0" w:oddVBand="0" w:evenVBand="0" w:oddHBand="0" w:evenHBand="0" w:firstRowFirstColumn="0" w:firstRowLastColumn="0" w:lastRowFirstColumn="0" w:lastRowLastColumn="0"/>
            </w:pPr>
            <w:r>
              <w:t>6 929</w:t>
            </w:r>
          </w:p>
        </w:tc>
        <w:tc>
          <w:tcPr>
            <w:tcW w:w="907" w:type="dxa"/>
          </w:tcPr>
          <w:p w14:paraId="4C7380F1" w14:textId="77777777" w:rsidR="009D33A8" w:rsidRDefault="009D33A8">
            <w:pPr>
              <w:cnfStyle w:val="000000000000" w:firstRow="0" w:lastRow="0" w:firstColumn="0" w:lastColumn="0" w:oddVBand="0" w:evenVBand="0" w:oddHBand="0" w:evenHBand="0" w:firstRowFirstColumn="0" w:firstRowLastColumn="0" w:lastRowFirstColumn="0" w:lastRowLastColumn="0"/>
            </w:pPr>
            <w:r>
              <w:t>7 813</w:t>
            </w:r>
          </w:p>
        </w:tc>
        <w:tc>
          <w:tcPr>
            <w:tcW w:w="907" w:type="dxa"/>
          </w:tcPr>
          <w:p w14:paraId="062680FC" w14:textId="77777777" w:rsidR="009D33A8" w:rsidRDefault="009D33A8">
            <w:pPr>
              <w:cnfStyle w:val="000000000000" w:firstRow="0" w:lastRow="0" w:firstColumn="0" w:lastColumn="0" w:oddVBand="0" w:evenVBand="0" w:oddHBand="0" w:evenHBand="0" w:firstRowFirstColumn="0" w:firstRowLastColumn="0" w:lastRowFirstColumn="0" w:lastRowLastColumn="0"/>
            </w:pPr>
            <w:r>
              <w:t>7 169</w:t>
            </w:r>
          </w:p>
        </w:tc>
      </w:tr>
      <w:tr w:rsidR="009D33A8" w14:paraId="77CC0A81" w14:textId="77777777">
        <w:tc>
          <w:tcPr>
            <w:cnfStyle w:val="001000000000" w:firstRow="0" w:lastRow="0" w:firstColumn="1" w:lastColumn="0" w:oddVBand="0" w:evenVBand="0" w:oddHBand="0" w:evenHBand="0" w:firstRowFirstColumn="0" w:firstRowLastColumn="0" w:lastRowFirstColumn="0" w:lastRowLastColumn="0"/>
            <w:tcW w:w="6010" w:type="dxa"/>
          </w:tcPr>
          <w:p w14:paraId="3AFE1065" w14:textId="77777777" w:rsidR="009D33A8" w:rsidRDefault="009D33A8">
            <w:r>
              <w:t>Domestic borrowings</w:t>
            </w:r>
          </w:p>
        </w:tc>
        <w:tc>
          <w:tcPr>
            <w:tcW w:w="907" w:type="dxa"/>
          </w:tcPr>
          <w:p w14:paraId="3FC7CA82" w14:textId="77777777" w:rsidR="009D33A8" w:rsidRDefault="009D33A8">
            <w:pPr>
              <w:cnfStyle w:val="000000000000" w:firstRow="0" w:lastRow="0" w:firstColumn="0" w:lastColumn="0" w:oddVBand="0" w:evenVBand="0" w:oddHBand="0" w:evenHBand="0" w:firstRowFirstColumn="0" w:firstRowLastColumn="0" w:lastRowFirstColumn="0" w:lastRowLastColumn="0"/>
            </w:pPr>
            <w:r>
              <w:t>172 817</w:t>
            </w:r>
          </w:p>
        </w:tc>
        <w:tc>
          <w:tcPr>
            <w:tcW w:w="907" w:type="dxa"/>
          </w:tcPr>
          <w:p w14:paraId="6EB0B291" w14:textId="77777777" w:rsidR="009D33A8" w:rsidRDefault="009D33A8">
            <w:pPr>
              <w:cnfStyle w:val="000000000000" w:firstRow="0" w:lastRow="0" w:firstColumn="0" w:lastColumn="0" w:oddVBand="0" w:evenVBand="0" w:oddHBand="0" w:evenHBand="0" w:firstRowFirstColumn="0" w:firstRowLastColumn="0" w:lastRowFirstColumn="0" w:lastRowLastColumn="0"/>
            </w:pPr>
            <w:r>
              <w:t>173 646</w:t>
            </w:r>
          </w:p>
        </w:tc>
        <w:tc>
          <w:tcPr>
            <w:tcW w:w="907" w:type="dxa"/>
          </w:tcPr>
          <w:p w14:paraId="0BBF609C" w14:textId="77777777" w:rsidR="009D33A8" w:rsidRDefault="009D33A8">
            <w:pPr>
              <w:cnfStyle w:val="000000000000" w:firstRow="0" w:lastRow="0" w:firstColumn="0" w:lastColumn="0" w:oddVBand="0" w:evenVBand="0" w:oddHBand="0" w:evenHBand="0" w:firstRowFirstColumn="0" w:firstRowLastColumn="0" w:lastRowFirstColumn="0" w:lastRowLastColumn="0"/>
            </w:pPr>
            <w:r>
              <w:t>153 436</w:t>
            </w:r>
          </w:p>
        </w:tc>
        <w:tc>
          <w:tcPr>
            <w:tcW w:w="907" w:type="dxa"/>
          </w:tcPr>
          <w:p w14:paraId="47EA04EE" w14:textId="77777777" w:rsidR="009D33A8" w:rsidRDefault="009D33A8">
            <w:pPr>
              <w:cnfStyle w:val="000000000000" w:firstRow="0" w:lastRow="0" w:firstColumn="0" w:lastColumn="0" w:oddVBand="0" w:evenVBand="0" w:oddHBand="0" w:evenHBand="0" w:firstRowFirstColumn="0" w:firstRowLastColumn="0" w:lastRowFirstColumn="0" w:lastRowLastColumn="0"/>
            </w:pPr>
            <w:r>
              <w:t>144 218</w:t>
            </w:r>
          </w:p>
        </w:tc>
      </w:tr>
      <w:tr w:rsidR="009D33A8" w14:paraId="4FD3F48A"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9BBF437" w14:textId="77777777" w:rsidR="009D33A8" w:rsidRDefault="009D33A8">
            <w:r>
              <w:t>Service concession arrangement liabilities</w:t>
            </w:r>
          </w:p>
        </w:tc>
        <w:tc>
          <w:tcPr>
            <w:tcW w:w="907" w:type="dxa"/>
            <w:tcBorders>
              <w:bottom w:val="single" w:sz="6" w:space="0" w:color="auto"/>
            </w:tcBorders>
          </w:tcPr>
          <w:p w14:paraId="6A94DDD6" w14:textId="77777777" w:rsidR="009D33A8" w:rsidRDefault="009D33A8">
            <w:pPr>
              <w:cnfStyle w:val="000000000000" w:firstRow="0" w:lastRow="0" w:firstColumn="0" w:lastColumn="0" w:oddVBand="0" w:evenVBand="0" w:oddHBand="0" w:evenHBand="0" w:firstRowFirstColumn="0" w:firstRowLastColumn="0" w:lastRowFirstColumn="0" w:lastRowLastColumn="0"/>
            </w:pPr>
            <w:r>
              <w:t>5 776</w:t>
            </w:r>
          </w:p>
        </w:tc>
        <w:tc>
          <w:tcPr>
            <w:tcW w:w="907" w:type="dxa"/>
            <w:tcBorders>
              <w:bottom w:val="single" w:sz="6" w:space="0" w:color="auto"/>
            </w:tcBorders>
          </w:tcPr>
          <w:p w14:paraId="6C0F3E3F" w14:textId="77777777" w:rsidR="009D33A8" w:rsidRDefault="009D33A8">
            <w:pPr>
              <w:cnfStyle w:val="000000000000" w:firstRow="0" w:lastRow="0" w:firstColumn="0" w:lastColumn="0" w:oddVBand="0" w:evenVBand="0" w:oddHBand="0" w:evenHBand="0" w:firstRowFirstColumn="0" w:firstRowLastColumn="0" w:lastRowFirstColumn="0" w:lastRowLastColumn="0"/>
            </w:pPr>
            <w:r>
              <w:t>5 776</w:t>
            </w:r>
          </w:p>
        </w:tc>
        <w:tc>
          <w:tcPr>
            <w:tcW w:w="907" w:type="dxa"/>
            <w:tcBorders>
              <w:bottom w:val="single" w:sz="6" w:space="0" w:color="auto"/>
            </w:tcBorders>
          </w:tcPr>
          <w:p w14:paraId="1FD3D91F" w14:textId="77777777" w:rsidR="009D33A8" w:rsidRDefault="009D33A8">
            <w:pPr>
              <w:cnfStyle w:val="000000000000" w:firstRow="0" w:lastRow="0" w:firstColumn="0" w:lastColumn="0" w:oddVBand="0" w:evenVBand="0" w:oddHBand="0" w:evenHBand="0" w:firstRowFirstColumn="0" w:firstRowLastColumn="0" w:lastRowFirstColumn="0" w:lastRowLastColumn="0"/>
            </w:pPr>
            <w:r>
              <w:t>5 506</w:t>
            </w:r>
          </w:p>
        </w:tc>
        <w:tc>
          <w:tcPr>
            <w:tcW w:w="907" w:type="dxa"/>
            <w:tcBorders>
              <w:bottom w:val="single" w:sz="6" w:space="0" w:color="auto"/>
            </w:tcBorders>
          </w:tcPr>
          <w:p w14:paraId="1D3D32D6" w14:textId="77777777" w:rsidR="009D33A8" w:rsidRDefault="009D33A8">
            <w:pPr>
              <w:cnfStyle w:val="000000000000" w:firstRow="0" w:lastRow="0" w:firstColumn="0" w:lastColumn="0" w:oddVBand="0" w:evenVBand="0" w:oddHBand="0" w:evenHBand="0" w:firstRowFirstColumn="0" w:firstRowLastColumn="0" w:lastRowFirstColumn="0" w:lastRowLastColumn="0"/>
            </w:pPr>
            <w:r>
              <w:t>5 506</w:t>
            </w:r>
          </w:p>
        </w:tc>
      </w:tr>
      <w:tr w:rsidR="009D33A8" w14:paraId="34BC2FAF"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11591FD6" w14:textId="77777777" w:rsidR="009D33A8" w:rsidRDefault="009D33A8">
            <w:r>
              <w:rPr>
                <w:b/>
              </w:rPr>
              <w:t xml:space="preserve">Total financial liabilities </w:t>
            </w:r>
            <w:r>
              <w:rPr>
                <w:b/>
                <w:vertAlign w:val="superscript"/>
              </w:rPr>
              <w:t xml:space="preserve">(c) </w:t>
            </w:r>
          </w:p>
        </w:tc>
        <w:tc>
          <w:tcPr>
            <w:tcW w:w="907" w:type="dxa"/>
            <w:tcBorders>
              <w:top w:val="single" w:sz="6" w:space="0" w:color="auto"/>
              <w:bottom w:val="single" w:sz="12" w:space="0" w:color="auto"/>
            </w:tcBorders>
          </w:tcPr>
          <w:p w14:paraId="2327161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185 403</w:t>
            </w:r>
          </w:p>
        </w:tc>
        <w:tc>
          <w:tcPr>
            <w:tcW w:w="907" w:type="dxa"/>
            <w:tcBorders>
              <w:top w:val="single" w:sz="6" w:space="0" w:color="auto"/>
              <w:bottom w:val="single" w:sz="12" w:space="0" w:color="auto"/>
            </w:tcBorders>
          </w:tcPr>
          <w:p w14:paraId="2D86E61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186 350</w:t>
            </w:r>
          </w:p>
        </w:tc>
        <w:tc>
          <w:tcPr>
            <w:tcW w:w="907" w:type="dxa"/>
            <w:tcBorders>
              <w:top w:val="single" w:sz="6" w:space="0" w:color="auto"/>
              <w:bottom w:val="single" w:sz="12" w:space="0" w:color="auto"/>
            </w:tcBorders>
          </w:tcPr>
          <w:p w14:paraId="2B35DE9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166 755</w:t>
            </w:r>
          </w:p>
        </w:tc>
        <w:tc>
          <w:tcPr>
            <w:tcW w:w="907" w:type="dxa"/>
            <w:tcBorders>
              <w:top w:val="single" w:sz="6" w:space="0" w:color="auto"/>
              <w:bottom w:val="single" w:sz="12" w:space="0" w:color="auto"/>
            </w:tcBorders>
          </w:tcPr>
          <w:p w14:paraId="4CAA1A3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156 892</w:t>
            </w:r>
          </w:p>
        </w:tc>
      </w:tr>
    </w:tbl>
    <w:p w14:paraId="327E0A8B" w14:textId="77777777" w:rsidR="009D33A8" w:rsidRDefault="009D33A8" w:rsidP="009D33A8">
      <w:pPr>
        <w:pStyle w:val="Note"/>
      </w:pPr>
      <w:r>
        <w:t>Notes:</w:t>
      </w:r>
    </w:p>
    <w:p w14:paraId="2867324A" w14:textId="5025FB8B" w:rsidR="009D33A8" w:rsidRDefault="009D33A8" w:rsidP="009D33A8">
      <w:pPr>
        <w:pStyle w:val="Note"/>
      </w:pPr>
      <w:r>
        <w:t>(a)</w:t>
      </w:r>
      <w:r>
        <w:tab/>
      </w:r>
      <w:r w:rsidRPr="00095397">
        <w:rPr>
          <w:iCs/>
        </w:rPr>
        <w:t>Additional information on the State</w:t>
      </w:r>
      <w:r w:rsidR="00845934">
        <w:rPr>
          <w:iCs/>
        </w:rPr>
        <w:t>’</w:t>
      </w:r>
      <w:r w:rsidRPr="00095397">
        <w:rPr>
          <w:iCs/>
        </w:rPr>
        <w:t>s fair value of financial assets and liabilities measured at amortised cost for both the 2025 and 2024 financial years has been provided to align with the State</w:t>
      </w:r>
      <w:r w:rsidR="00845934">
        <w:rPr>
          <w:iCs/>
        </w:rPr>
        <w:t>’</w:t>
      </w:r>
      <w:r w:rsidRPr="00095397">
        <w:rPr>
          <w:iCs/>
        </w:rPr>
        <w:t>s financial instruments measured at fair value tables on the next page</w:t>
      </w:r>
      <w:r w:rsidRPr="00211549">
        <w:t>.</w:t>
      </w:r>
    </w:p>
    <w:p w14:paraId="1A0118C7" w14:textId="77777777" w:rsidR="009D33A8" w:rsidRDefault="009D33A8" w:rsidP="009D33A8">
      <w:pPr>
        <w:pStyle w:val="Note"/>
      </w:pPr>
      <w:r>
        <w:t>(</w:t>
      </w:r>
      <w:r w:rsidDel="00881BEC">
        <w:t>b</w:t>
      </w:r>
      <w:r>
        <w:t>)</w:t>
      </w:r>
      <w:r>
        <w:tab/>
        <w:t xml:space="preserve">Total financial assets excludes current receivables held at amortised cost, consistent with the requirements of AASB 7 </w:t>
      </w:r>
      <w:r w:rsidRPr="00DE4CCA">
        <w:rPr>
          <w:i w:val="0"/>
          <w:iCs/>
        </w:rPr>
        <w:t>Financial Instruments: Disclosure</w:t>
      </w:r>
      <w:r>
        <w:t xml:space="preserve">. </w:t>
      </w:r>
      <w:r w:rsidRPr="00211549">
        <w:t xml:space="preserve">Therefore, figures in this table cannot be reconciled to the financial assets at amortised cost in table </w:t>
      </w:r>
      <w:r>
        <w:t>6</w:t>
      </w:r>
      <w:r w:rsidRPr="00211549">
        <w:t>.1 Categories of Financial Instruments.</w:t>
      </w:r>
    </w:p>
    <w:p w14:paraId="3720403E" w14:textId="77777777" w:rsidR="009D33A8" w:rsidRDefault="009D33A8" w:rsidP="009D33A8">
      <w:pPr>
        <w:pStyle w:val="Note"/>
      </w:pPr>
      <w:r>
        <w:t>(</w:t>
      </w:r>
      <w:r w:rsidDel="00881BEC">
        <w:t>c</w:t>
      </w:r>
      <w:r>
        <w:t>)</w:t>
      </w:r>
      <w:r>
        <w:tab/>
        <w:t xml:space="preserve">Total financial liabilities excludes current payables and lease liabilities held at amortised cost, consistent with the requirements of AASB 7 </w:t>
      </w:r>
      <w:r w:rsidRPr="00DE4CCA">
        <w:rPr>
          <w:i w:val="0"/>
          <w:iCs/>
        </w:rPr>
        <w:t>Financial Instruments: Disclosure</w:t>
      </w:r>
      <w:r>
        <w:t xml:space="preserve">. </w:t>
      </w:r>
      <w:r w:rsidRPr="00B47F2C">
        <w:t xml:space="preserve">Therefore, figures in this table cannot be reconciled to the financial liabilities at amortised cost in table </w:t>
      </w:r>
      <w:r>
        <w:t>6</w:t>
      </w:r>
      <w:r w:rsidRPr="00B47F2C">
        <w:t>.1 Categories of Financial Instruments.</w:t>
      </w:r>
    </w:p>
    <w:p w14:paraId="6B4D5BF8" w14:textId="77777777" w:rsidR="009D33A8" w:rsidRDefault="009D33A8" w:rsidP="009D33A8">
      <w:pPr>
        <w:pStyle w:val="Note"/>
      </w:pPr>
    </w:p>
    <w:p w14:paraId="11CE23F2" w14:textId="77777777" w:rsidR="009D33A8" w:rsidRDefault="009D33A8" w:rsidP="009D33A8">
      <w:pPr>
        <w:rPr>
          <w:rFonts w:asciiTheme="majorHAnsi" w:hAnsiTheme="majorHAnsi"/>
          <w:b/>
          <w:sz w:val="20"/>
          <w:szCs w:val="20"/>
        </w:rPr>
      </w:pPr>
    </w:p>
    <w:p w14:paraId="2C45AF4A" w14:textId="77777777" w:rsidR="009D33A8" w:rsidRDefault="009D33A8" w:rsidP="009D33A8">
      <w:pPr>
        <w:pStyle w:val="TableHeading"/>
      </w:pPr>
      <w:r w:rsidRPr="00CE2AE2">
        <w:lastRenderedPageBreak/>
        <w:t>Financial assets and lia</w:t>
      </w:r>
      <w:r>
        <w:t>bilities measured at fair value</w:t>
      </w:r>
      <w:r w:rsidRPr="00CE2AE2">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r_at_fair_value_SoV_CY"/>
      </w:tblPr>
      <w:tblGrid>
        <w:gridCol w:w="5529"/>
        <w:gridCol w:w="1133"/>
        <w:gridCol w:w="992"/>
        <w:gridCol w:w="992"/>
        <w:gridCol w:w="992"/>
      </w:tblGrid>
      <w:tr w:rsidR="009D33A8" w14:paraId="7C6C02C3"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0F68980B" w14:textId="77777777" w:rsidR="009D33A8" w:rsidRDefault="009D33A8">
            <w:pPr>
              <w:keepNext/>
              <w:ind w:left="0" w:firstLine="0"/>
              <w:rPr>
                <w:i w:val="0"/>
              </w:rPr>
            </w:pPr>
            <w:r>
              <w:t>State of Victoria</w:t>
            </w:r>
          </w:p>
          <w:p w14:paraId="08628274" w14:textId="77777777" w:rsidR="00DF0E81" w:rsidRPr="00C770DD" w:rsidRDefault="00DF0E81">
            <w:pPr>
              <w:keepNext/>
              <w:ind w:left="0" w:firstLine="0"/>
              <w:rPr>
                <w:i w:val="0"/>
              </w:rPr>
            </w:pPr>
          </w:p>
        </w:tc>
        <w:tc>
          <w:tcPr>
            <w:tcW w:w="1133" w:type="dxa"/>
          </w:tcPr>
          <w:p w14:paraId="4633441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6" w:type="dxa"/>
            <w:gridSpan w:val="3"/>
          </w:tcPr>
          <w:p w14:paraId="37C785FD"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p>
        </w:tc>
      </w:tr>
      <w:tr w:rsidR="00991200" w14:paraId="14CA98A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56B2FA76" w14:textId="77777777" w:rsidR="009D33A8" w:rsidRDefault="009D33A8">
            <w:pPr>
              <w:keepNext/>
            </w:pPr>
            <w:r>
              <w:t>2025</w:t>
            </w:r>
          </w:p>
        </w:tc>
        <w:tc>
          <w:tcPr>
            <w:tcW w:w="1133" w:type="dxa"/>
            <w:tcBorders>
              <w:bottom w:val="single" w:sz="6" w:space="0" w:color="auto"/>
            </w:tcBorders>
          </w:tcPr>
          <w:p w14:paraId="2B3F520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30 June</w:t>
            </w:r>
          </w:p>
        </w:tc>
        <w:tc>
          <w:tcPr>
            <w:tcW w:w="992" w:type="dxa"/>
            <w:tcBorders>
              <w:bottom w:val="single" w:sz="6" w:space="0" w:color="auto"/>
            </w:tcBorders>
          </w:tcPr>
          <w:p w14:paraId="373A326E"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992" w:type="dxa"/>
            <w:tcBorders>
              <w:bottom w:val="single" w:sz="6" w:space="0" w:color="auto"/>
            </w:tcBorders>
          </w:tcPr>
          <w:p w14:paraId="4EAD6AA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992" w:type="dxa"/>
            <w:tcBorders>
              <w:bottom w:val="single" w:sz="6" w:space="0" w:color="auto"/>
            </w:tcBorders>
          </w:tcPr>
          <w:p w14:paraId="6DE2119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r>
      <w:tr w:rsidR="009D33A8" w14:paraId="6E99A629"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3B4F8980" w14:textId="77777777" w:rsidR="009D33A8" w:rsidRDefault="009D33A8">
            <w:r>
              <w:rPr>
                <w:b/>
              </w:rPr>
              <w:t>Financial assets</w:t>
            </w:r>
          </w:p>
        </w:tc>
        <w:tc>
          <w:tcPr>
            <w:tcW w:w="1133" w:type="dxa"/>
            <w:tcBorders>
              <w:top w:val="single" w:sz="6" w:space="0" w:color="auto"/>
            </w:tcBorders>
          </w:tcPr>
          <w:p w14:paraId="755AC1D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35CC881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028CB7F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B7B272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062E006" w14:textId="77777777">
        <w:tc>
          <w:tcPr>
            <w:cnfStyle w:val="001000000000" w:firstRow="0" w:lastRow="0" w:firstColumn="1" w:lastColumn="0" w:oddVBand="0" w:evenVBand="0" w:oddHBand="0" w:evenHBand="0" w:firstRowFirstColumn="0" w:firstRowLastColumn="0" w:lastRowFirstColumn="0" w:lastRowLastColumn="0"/>
            <w:tcW w:w="5529" w:type="dxa"/>
          </w:tcPr>
          <w:p w14:paraId="17885D12" w14:textId="77777777" w:rsidR="009D33A8" w:rsidRDefault="009D33A8">
            <w:r>
              <w:t>Cash</w:t>
            </w:r>
          </w:p>
        </w:tc>
        <w:tc>
          <w:tcPr>
            <w:tcW w:w="1133" w:type="dxa"/>
          </w:tcPr>
          <w:p w14:paraId="65673DD9" w14:textId="77777777" w:rsidR="009D33A8" w:rsidRDefault="009D33A8">
            <w:pPr>
              <w:cnfStyle w:val="000000000000" w:firstRow="0" w:lastRow="0" w:firstColumn="0" w:lastColumn="0" w:oddVBand="0" w:evenVBand="0" w:oddHBand="0" w:evenHBand="0" w:firstRowFirstColumn="0" w:firstRowLastColumn="0" w:lastRowFirstColumn="0" w:lastRowLastColumn="0"/>
            </w:pPr>
            <w:r>
              <w:t>20 450</w:t>
            </w:r>
          </w:p>
        </w:tc>
        <w:tc>
          <w:tcPr>
            <w:tcW w:w="992" w:type="dxa"/>
          </w:tcPr>
          <w:p w14:paraId="44BCA485" w14:textId="77777777" w:rsidR="009D33A8" w:rsidRDefault="009D33A8">
            <w:pPr>
              <w:cnfStyle w:val="000000000000" w:firstRow="0" w:lastRow="0" w:firstColumn="0" w:lastColumn="0" w:oddVBand="0" w:evenVBand="0" w:oddHBand="0" w:evenHBand="0" w:firstRowFirstColumn="0" w:firstRowLastColumn="0" w:lastRowFirstColumn="0" w:lastRowLastColumn="0"/>
            </w:pPr>
            <w:r>
              <w:t>20 450</w:t>
            </w:r>
          </w:p>
        </w:tc>
        <w:tc>
          <w:tcPr>
            <w:tcW w:w="992" w:type="dxa"/>
          </w:tcPr>
          <w:p w14:paraId="1400515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6B3E4ED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61379AD" w14:textId="77777777">
        <w:tc>
          <w:tcPr>
            <w:cnfStyle w:val="001000000000" w:firstRow="0" w:lastRow="0" w:firstColumn="1" w:lastColumn="0" w:oddVBand="0" w:evenVBand="0" w:oddHBand="0" w:evenHBand="0" w:firstRowFirstColumn="0" w:firstRowLastColumn="0" w:lastRowFirstColumn="0" w:lastRowLastColumn="0"/>
            <w:tcW w:w="5529" w:type="dxa"/>
          </w:tcPr>
          <w:p w14:paraId="7C392B41" w14:textId="77777777" w:rsidR="009D33A8" w:rsidRDefault="009D33A8">
            <w:r>
              <w:t>Derivative financial instruments</w:t>
            </w:r>
          </w:p>
        </w:tc>
        <w:tc>
          <w:tcPr>
            <w:tcW w:w="1133" w:type="dxa"/>
          </w:tcPr>
          <w:p w14:paraId="383D5E17" w14:textId="77777777" w:rsidR="009D33A8" w:rsidRDefault="009D33A8">
            <w:pPr>
              <w:cnfStyle w:val="000000000000" w:firstRow="0" w:lastRow="0" w:firstColumn="0" w:lastColumn="0" w:oddVBand="0" w:evenVBand="0" w:oddHBand="0" w:evenHBand="0" w:firstRowFirstColumn="0" w:firstRowLastColumn="0" w:lastRowFirstColumn="0" w:lastRowLastColumn="0"/>
            </w:pPr>
            <w:r>
              <w:t>1 160</w:t>
            </w:r>
          </w:p>
        </w:tc>
        <w:tc>
          <w:tcPr>
            <w:tcW w:w="992" w:type="dxa"/>
          </w:tcPr>
          <w:p w14:paraId="254F6D67" w14:textId="77777777" w:rsidR="009D33A8" w:rsidRDefault="009D33A8">
            <w:pPr>
              <w:cnfStyle w:val="000000000000" w:firstRow="0" w:lastRow="0" w:firstColumn="0" w:lastColumn="0" w:oddVBand="0" w:evenVBand="0" w:oddHBand="0" w:evenHBand="0" w:firstRowFirstColumn="0" w:firstRowLastColumn="0" w:lastRowFirstColumn="0" w:lastRowLastColumn="0"/>
            </w:pPr>
            <w:r>
              <w:t>12</w:t>
            </w:r>
          </w:p>
        </w:tc>
        <w:tc>
          <w:tcPr>
            <w:tcW w:w="992" w:type="dxa"/>
          </w:tcPr>
          <w:p w14:paraId="7324C21C" w14:textId="77777777" w:rsidR="009D33A8" w:rsidRDefault="009D33A8">
            <w:pPr>
              <w:cnfStyle w:val="000000000000" w:firstRow="0" w:lastRow="0" w:firstColumn="0" w:lastColumn="0" w:oddVBand="0" w:evenVBand="0" w:oddHBand="0" w:evenHBand="0" w:firstRowFirstColumn="0" w:firstRowLastColumn="0" w:lastRowFirstColumn="0" w:lastRowLastColumn="0"/>
            </w:pPr>
            <w:r>
              <w:t>578</w:t>
            </w:r>
          </w:p>
        </w:tc>
        <w:tc>
          <w:tcPr>
            <w:tcW w:w="992" w:type="dxa"/>
          </w:tcPr>
          <w:p w14:paraId="6437A721" w14:textId="77777777" w:rsidR="009D33A8" w:rsidRDefault="009D33A8">
            <w:pPr>
              <w:cnfStyle w:val="000000000000" w:firstRow="0" w:lastRow="0" w:firstColumn="0" w:lastColumn="0" w:oddVBand="0" w:evenVBand="0" w:oddHBand="0" w:evenHBand="0" w:firstRowFirstColumn="0" w:firstRowLastColumn="0" w:lastRowFirstColumn="0" w:lastRowLastColumn="0"/>
            </w:pPr>
            <w:r>
              <w:t>570</w:t>
            </w:r>
          </w:p>
        </w:tc>
      </w:tr>
      <w:tr w:rsidR="009D33A8" w14:paraId="48CAB905" w14:textId="77777777">
        <w:tc>
          <w:tcPr>
            <w:cnfStyle w:val="001000000000" w:firstRow="0" w:lastRow="0" w:firstColumn="1" w:lastColumn="0" w:oddVBand="0" w:evenVBand="0" w:oddHBand="0" w:evenHBand="0" w:firstRowFirstColumn="0" w:firstRowLastColumn="0" w:lastRowFirstColumn="0" w:lastRowLastColumn="0"/>
            <w:tcW w:w="5529" w:type="dxa"/>
          </w:tcPr>
          <w:p w14:paraId="742FAFC5" w14:textId="77777777" w:rsidR="009D33A8" w:rsidRDefault="009D33A8">
            <w:r>
              <w:t>Term deposits</w:t>
            </w:r>
          </w:p>
        </w:tc>
        <w:tc>
          <w:tcPr>
            <w:tcW w:w="1133" w:type="dxa"/>
          </w:tcPr>
          <w:p w14:paraId="6477152C"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4774158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4B6A75AB"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4E30FF9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0328ED1" w14:textId="77777777">
        <w:tc>
          <w:tcPr>
            <w:cnfStyle w:val="001000000000" w:firstRow="0" w:lastRow="0" w:firstColumn="1" w:lastColumn="0" w:oddVBand="0" w:evenVBand="0" w:oddHBand="0" w:evenHBand="0" w:firstRowFirstColumn="0" w:firstRowLastColumn="0" w:lastRowFirstColumn="0" w:lastRowLastColumn="0"/>
            <w:tcW w:w="5529" w:type="dxa"/>
          </w:tcPr>
          <w:p w14:paraId="2428DB3F" w14:textId="77777777" w:rsidR="009D33A8" w:rsidRDefault="009D33A8">
            <w:r>
              <w:t>Advances paid</w:t>
            </w:r>
          </w:p>
        </w:tc>
        <w:tc>
          <w:tcPr>
            <w:tcW w:w="1133" w:type="dxa"/>
          </w:tcPr>
          <w:p w14:paraId="4E6FBEFA"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992" w:type="dxa"/>
          </w:tcPr>
          <w:p w14:paraId="2FFE546A" w14:textId="77777777" w:rsidR="009D33A8" w:rsidRDefault="009D33A8">
            <w:pPr>
              <w:cnfStyle w:val="000000000000" w:firstRow="0" w:lastRow="0" w:firstColumn="0" w:lastColumn="0" w:oddVBand="0" w:evenVBand="0" w:oddHBand="0" w:evenHBand="0" w:firstRowFirstColumn="0" w:firstRowLastColumn="0" w:lastRowFirstColumn="0" w:lastRowLastColumn="0"/>
            </w:pPr>
            <w:r>
              <w:t>7</w:t>
            </w:r>
          </w:p>
        </w:tc>
        <w:tc>
          <w:tcPr>
            <w:tcW w:w="992" w:type="dxa"/>
          </w:tcPr>
          <w:p w14:paraId="4AF926F2"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992" w:type="dxa"/>
          </w:tcPr>
          <w:p w14:paraId="5357F3D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CA4DE4D" w14:textId="77777777">
        <w:tc>
          <w:tcPr>
            <w:cnfStyle w:val="001000000000" w:firstRow="0" w:lastRow="0" w:firstColumn="1" w:lastColumn="0" w:oddVBand="0" w:evenVBand="0" w:oddHBand="0" w:evenHBand="0" w:firstRowFirstColumn="0" w:firstRowLastColumn="0" w:lastRowFirstColumn="0" w:lastRowLastColumn="0"/>
            <w:tcW w:w="5529" w:type="dxa"/>
          </w:tcPr>
          <w:p w14:paraId="5E9DD099" w14:textId="77777777" w:rsidR="009D33A8" w:rsidRDefault="009D33A8">
            <w:r>
              <w:t>Equities and managed investment schemes</w:t>
            </w:r>
          </w:p>
        </w:tc>
        <w:tc>
          <w:tcPr>
            <w:tcW w:w="1133" w:type="dxa"/>
          </w:tcPr>
          <w:p w14:paraId="67587457" w14:textId="77777777" w:rsidR="009D33A8" w:rsidRDefault="009D33A8">
            <w:pPr>
              <w:cnfStyle w:val="000000000000" w:firstRow="0" w:lastRow="0" w:firstColumn="0" w:lastColumn="0" w:oddVBand="0" w:evenVBand="0" w:oddHBand="0" w:evenHBand="0" w:firstRowFirstColumn="0" w:firstRowLastColumn="0" w:lastRowFirstColumn="0" w:lastRowLastColumn="0"/>
            </w:pPr>
            <w:r>
              <w:t>66 800</w:t>
            </w:r>
          </w:p>
        </w:tc>
        <w:tc>
          <w:tcPr>
            <w:tcW w:w="992" w:type="dxa"/>
          </w:tcPr>
          <w:p w14:paraId="477429FC" w14:textId="77777777" w:rsidR="009D33A8" w:rsidRDefault="009D33A8">
            <w:pPr>
              <w:cnfStyle w:val="000000000000" w:firstRow="0" w:lastRow="0" w:firstColumn="0" w:lastColumn="0" w:oddVBand="0" w:evenVBand="0" w:oddHBand="0" w:evenHBand="0" w:firstRowFirstColumn="0" w:firstRowLastColumn="0" w:lastRowFirstColumn="0" w:lastRowLastColumn="0"/>
            </w:pPr>
            <w:r>
              <w:t>4 240</w:t>
            </w:r>
          </w:p>
        </w:tc>
        <w:tc>
          <w:tcPr>
            <w:tcW w:w="992" w:type="dxa"/>
          </w:tcPr>
          <w:p w14:paraId="4E7B9677" w14:textId="77777777" w:rsidR="009D33A8" w:rsidRDefault="009D33A8">
            <w:pPr>
              <w:cnfStyle w:val="000000000000" w:firstRow="0" w:lastRow="0" w:firstColumn="0" w:lastColumn="0" w:oddVBand="0" w:evenVBand="0" w:oddHBand="0" w:evenHBand="0" w:firstRowFirstColumn="0" w:firstRowLastColumn="0" w:lastRowFirstColumn="0" w:lastRowLastColumn="0"/>
            </w:pPr>
            <w:r>
              <w:t>43 922</w:t>
            </w:r>
          </w:p>
        </w:tc>
        <w:tc>
          <w:tcPr>
            <w:tcW w:w="992" w:type="dxa"/>
          </w:tcPr>
          <w:p w14:paraId="76483EF9" w14:textId="77777777" w:rsidR="009D33A8" w:rsidRDefault="009D33A8">
            <w:pPr>
              <w:cnfStyle w:val="000000000000" w:firstRow="0" w:lastRow="0" w:firstColumn="0" w:lastColumn="0" w:oddVBand="0" w:evenVBand="0" w:oddHBand="0" w:evenHBand="0" w:firstRowFirstColumn="0" w:firstRowLastColumn="0" w:lastRowFirstColumn="0" w:lastRowLastColumn="0"/>
            </w:pPr>
            <w:r>
              <w:t>18 638</w:t>
            </w:r>
          </w:p>
        </w:tc>
      </w:tr>
      <w:tr w:rsidR="009D33A8" w14:paraId="1ACD216A" w14:textId="77777777">
        <w:tc>
          <w:tcPr>
            <w:cnfStyle w:val="001000000000" w:firstRow="0" w:lastRow="0" w:firstColumn="1" w:lastColumn="0" w:oddVBand="0" w:evenVBand="0" w:oddHBand="0" w:evenHBand="0" w:firstRowFirstColumn="0" w:firstRowLastColumn="0" w:lastRowFirstColumn="0" w:lastRowLastColumn="0"/>
            <w:tcW w:w="5529" w:type="dxa"/>
          </w:tcPr>
          <w:p w14:paraId="6BF115F3" w14:textId="77777777" w:rsidR="009D33A8" w:rsidRDefault="009D33A8">
            <w:r>
              <w:t>Debt securities at fair value</w:t>
            </w:r>
          </w:p>
        </w:tc>
        <w:tc>
          <w:tcPr>
            <w:tcW w:w="1133" w:type="dxa"/>
          </w:tcPr>
          <w:p w14:paraId="1AE3ED49" w14:textId="77777777" w:rsidR="009D33A8" w:rsidRDefault="009D33A8">
            <w:pPr>
              <w:cnfStyle w:val="000000000000" w:firstRow="0" w:lastRow="0" w:firstColumn="0" w:lastColumn="0" w:oddVBand="0" w:evenVBand="0" w:oddHBand="0" w:evenHBand="0" w:firstRowFirstColumn="0" w:firstRowLastColumn="0" w:lastRowFirstColumn="0" w:lastRowLastColumn="0"/>
            </w:pPr>
            <w:r>
              <w:t>21 468</w:t>
            </w:r>
          </w:p>
        </w:tc>
        <w:tc>
          <w:tcPr>
            <w:tcW w:w="992" w:type="dxa"/>
          </w:tcPr>
          <w:p w14:paraId="3512D37A" w14:textId="77777777" w:rsidR="009D33A8" w:rsidRDefault="009D33A8">
            <w:pPr>
              <w:cnfStyle w:val="000000000000" w:firstRow="0" w:lastRow="0" w:firstColumn="0" w:lastColumn="0" w:oddVBand="0" w:evenVBand="0" w:oddHBand="0" w:evenHBand="0" w:firstRowFirstColumn="0" w:firstRowLastColumn="0" w:lastRowFirstColumn="0" w:lastRowLastColumn="0"/>
            </w:pPr>
            <w:r>
              <w:t>5 921</w:t>
            </w:r>
          </w:p>
        </w:tc>
        <w:tc>
          <w:tcPr>
            <w:tcW w:w="992" w:type="dxa"/>
          </w:tcPr>
          <w:p w14:paraId="2E47AD83" w14:textId="77777777" w:rsidR="009D33A8" w:rsidRDefault="009D33A8">
            <w:pPr>
              <w:cnfStyle w:val="000000000000" w:firstRow="0" w:lastRow="0" w:firstColumn="0" w:lastColumn="0" w:oddVBand="0" w:evenVBand="0" w:oddHBand="0" w:evenHBand="0" w:firstRowFirstColumn="0" w:firstRowLastColumn="0" w:lastRowFirstColumn="0" w:lastRowLastColumn="0"/>
            </w:pPr>
            <w:r>
              <w:t>15 479</w:t>
            </w:r>
          </w:p>
        </w:tc>
        <w:tc>
          <w:tcPr>
            <w:tcW w:w="992" w:type="dxa"/>
          </w:tcPr>
          <w:p w14:paraId="0ED84B4A" w14:textId="77777777" w:rsidR="009D33A8" w:rsidRDefault="009D33A8">
            <w:pPr>
              <w:cnfStyle w:val="000000000000" w:firstRow="0" w:lastRow="0" w:firstColumn="0" w:lastColumn="0" w:oddVBand="0" w:evenVBand="0" w:oddHBand="0" w:evenHBand="0" w:firstRowFirstColumn="0" w:firstRowLastColumn="0" w:lastRowFirstColumn="0" w:lastRowLastColumn="0"/>
            </w:pPr>
            <w:r>
              <w:t>69</w:t>
            </w:r>
          </w:p>
        </w:tc>
      </w:tr>
      <w:tr w:rsidR="009D33A8" w14:paraId="6344A3CF"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4A879694" w14:textId="77777777" w:rsidR="009D33A8" w:rsidRDefault="009D33A8">
            <w:r>
              <w:rPr>
                <w:b/>
              </w:rPr>
              <w:t>Total financial assets</w:t>
            </w:r>
          </w:p>
        </w:tc>
        <w:tc>
          <w:tcPr>
            <w:tcW w:w="1133" w:type="dxa"/>
            <w:tcBorders>
              <w:top w:val="single" w:sz="6" w:space="0" w:color="auto"/>
              <w:bottom w:val="single" w:sz="6" w:space="0" w:color="auto"/>
            </w:tcBorders>
          </w:tcPr>
          <w:p w14:paraId="4EA8990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109 894</w:t>
            </w:r>
          </w:p>
        </w:tc>
        <w:tc>
          <w:tcPr>
            <w:tcW w:w="992" w:type="dxa"/>
            <w:tcBorders>
              <w:top w:val="single" w:sz="6" w:space="0" w:color="auto"/>
              <w:bottom w:val="single" w:sz="6" w:space="0" w:color="auto"/>
            </w:tcBorders>
          </w:tcPr>
          <w:p w14:paraId="3502DB7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30 631</w:t>
            </w:r>
          </w:p>
        </w:tc>
        <w:tc>
          <w:tcPr>
            <w:tcW w:w="992" w:type="dxa"/>
            <w:tcBorders>
              <w:top w:val="single" w:sz="6" w:space="0" w:color="auto"/>
              <w:bottom w:val="single" w:sz="6" w:space="0" w:color="auto"/>
            </w:tcBorders>
          </w:tcPr>
          <w:p w14:paraId="49AB044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59 986</w:t>
            </w:r>
          </w:p>
        </w:tc>
        <w:tc>
          <w:tcPr>
            <w:tcW w:w="992" w:type="dxa"/>
            <w:tcBorders>
              <w:top w:val="single" w:sz="6" w:space="0" w:color="auto"/>
              <w:bottom w:val="single" w:sz="6" w:space="0" w:color="auto"/>
            </w:tcBorders>
          </w:tcPr>
          <w:p w14:paraId="40CF142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19 277</w:t>
            </w:r>
          </w:p>
        </w:tc>
      </w:tr>
      <w:tr w:rsidR="009D33A8" w14:paraId="608F4513"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5B4D2A44" w14:textId="77777777" w:rsidR="009D33A8" w:rsidRDefault="009D33A8">
            <w:r>
              <w:rPr>
                <w:b/>
              </w:rPr>
              <w:t>Financial liabilities</w:t>
            </w:r>
          </w:p>
        </w:tc>
        <w:tc>
          <w:tcPr>
            <w:tcW w:w="1133" w:type="dxa"/>
            <w:tcBorders>
              <w:top w:val="single" w:sz="6" w:space="0" w:color="auto"/>
            </w:tcBorders>
          </w:tcPr>
          <w:p w14:paraId="3A5B6C6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059EB3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74A1108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6204787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7EB348E" w14:textId="77777777">
        <w:tc>
          <w:tcPr>
            <w:cnfStyle w:val="001000000000" w:firstRow="0" w:lastRow="0" w:firstColumn="1" w:lastColumn="0" w:oddVBand="0" w:evenVBand="0" w:oddHBand="0" w:evenHBand="0" w:firstRowFirstColumn="0" w:firstRowLastColumn="0" w:lastRowFirstColumn="0" w:lastRowLastColumn="0"/>
            <w:tcW w:w="5529" w:type="dxa"/>
          </w:tcPr>
          <w:p w14:paraId="7359D8CB" w14:textId="77777777" w:rsidR="009D33A8" w:rsidRDefault="009D33A8">
            <w:r>
              <w:t>Domestic borrowings</w:t>
            </w:r>
          </w:p>
        </w:tc>
        <w:tc>
          <w:tcPr>
            <w:tcW w:w="1133" w:type="dxa"/>
          </w:tcPr>
          <w:p w14:paraId="58DEDD5B" w14:textId="77777777" w:rsidR="009D33A8" w:rsidRDefault="009D33A8">
            <w:pPr>
              <w:cnfStyle w:val="000000000000" w:firstRow="0" w:lastRow="0" w:firstColumn="0" w:lastColumn="0" w:oddVBand="0" w:evenVBand="0" w:oddHBand="0" w:evenHBand="0" w:firstRowFirstColumn="0" w:firstRowLastColumn="0" w:lastRowFirstColumn="0" w:lastRowLastColumn="0"/>
            </w:pPr>
            <w:r>
              <w:t>184 227</w:t>
            </w:r>
          </w:p>
        </w:tc>
        <w:tc>
          <w:tcPr>
            <w:tcW w:w="992" w:type="dxa"/>
          </w:tcPr>
          <w:p w14:paraId="78DEBE67" w14:textId="77777777" w:rsidR="009D33A8" w:rsidRDefault="009D33A8">
            <w:pPr>
              <w:cnfStyle w:val="000000000000" w:firstRow="0" w:lastRow="0" w:firstColumn="0" w:lastColumn="0" w:oddVBand="0" w:evenVBand="0" w:oddHBand="0" w:evenHBand="0" w:firstRowFirstColumn="0" w:firstRowLastColumn="0" w:lastRowFirstColumn="0" w:lastRowLastColumn="0"/>
            </w:pPr>
            <w:r>
              <w:t>162 431</w:t>
            </w:r>
          </w:p>
        </w:tc>
        <w:tc>
          <w:tcPr>
            <w:tcW w:w="992" w:type="dxa"/>
          </w:tcPr>
          <w:p w14:paraId="143B672A" w14:textId="77777777" w:rsidR="009D33A8" w:rsidRDefault="009D33A8">
            <w:pPr>
              <w:cnfStyle w:val="000000000000" w:firstRow="0" w:lastRow="0" w:firstColumn="0" w:lastColumn="0" w:oddVBand="0" w:evenVBand="0" w:oddHBand="0" w:evenHBand="0" w:firstRowFirstColumn="0" w:firstRowLastColumn="0" w:lastRowFirstColumn="0" w:lastRowLastColumn="0"/>
            </w:pPr>
            <w:r>
              <w:t>21 796</w:t>
            </w:r>
          </w:p>
        </w:tc>
        <w:tc>
          <w:tcPr>
            <w:tcW w:w="992" w:type="dxa"/>
          </w:tcPr>
          <w:p w14:paraId="45F15F8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300B0049" w14:textId="77777777">
        <w:tc>
          <w:tcPr>
            <w:cnfStyle w:val="001000000000" w:firstRow="0" w:lastRow="0" w:firstColumn="1" w:lastColumn="0" w:oddVBand="0" w:evenVBand="0" w:oddHBand="0" w:evenHBand="0" w:firstRowFirstColumn="0" w:firstRowLastColumn="0" w:lastRowFirstColumn="0" w:lastRowLastColumn="0"/>
            <w:tcW w:w="5529" w:type="dxa"/>
          </w:tcPr>
          <w:p w14:paraId="754C1C5A" w14:textId="77777777" w:rsidR="009D33A8" w:rsidRDefault="009D33A8">
            <w:r>
              <w:t>Foreign currency borrowings</w:t>
            </w:r>
          </w:p>
        </w:tc>
        <w:tc>
          <w:tcPr>
            <w:tcW w:w="1133" w:type="dxa"/>
          </w:tcPr>
          <w:p w14:paraId="03E890B3" w14:textId="77777777" w:rsidR="009D33A8" w:rsidRDefault="009D33A8">
            <w:pPr>
              <w:cnfStyle w:val="000000000000" w:firstRow="0" w:lastRow="0" w:firstColumn="0" w:lastColumn="0" w:oddVBand="0" w:evenVBand="0" w:oddHBand="0" w:evenHBand="0" w:firstRowFirstColumn="0" w:firstRowLastColumn="0" w:lastRowFirstColumn="0" w:lastRowLastColumn="0"/>
            </w:pPr>
            <w:r>
              <w:t>2 819</w:t>
            </w:r>
          </w:p>
        </w:tc>
        <w:tc>
          <w:tcPr>
            <w:tcW w:w="992" w:type="dxa"/>
          </w:tcPr>
          <w:p w14:paraId="0C03DB0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AF55CC7" w14:textId="77777777" w:rsidR="009D33A8" w:rsidRDefault="009D33A8">
            <w:pPr>
              <w:cnfStyle w:val="000000000000" w:firstRow="0" w:lastRow="0" w:firstColumn="0" w:lastColumn="0" w:oddVBand="0" w:evenVBand="0" w:oddHBand="0" w:evenHBand="0" w:firstRowFirstColumn="0" w:firstRowLastColumn="0" w:lastRowFirstColumn="0" w:lastRowLastColumn="0"/>
            </w:pPr>
            <w:r>
              <w:t>2 819</w:t>
            </w:r>
          </w:p>
        </w:tc>
        <w:tc>
          <w:tcPr>
            <w:tcW w:w="992" w:type="dxa"/>
          </w:tcPr>
          <w:p w14:paraId="01F5069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F0BDC78" w14:textId="77777777">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3116CF28" w14:textId="77777777" w:rsidR="009D33A8" w:rsidRDefault="009D33A8">
            <w:r>
              <w:t>Derivative financial instruments</w:t>
            </w:r>
          </w:p>
        </w:tc>
        <w:tc>
          <w:tcPr>
            <w:tcW w:w="1133" w:type="dxa"/>
            <w:tcBorders>
              <w:bottom w:val="single" w:sz="6" w:space="0" w:color="auto"/>
            </w:tcBorders>
          </w:tcPr>
          <w:p w14:paraId="53160BD2" w14:textId="77777777" w:rsidR="009D33A8" w:rsidRDefault="009D33A8">
            <w:pPr>
              <w:cnfStyle w:val="000000000000" w:firstRow="0" w:lastRow="0" w:firstColumn="0" w:lastColumn="0" w:oddVBand="0" w:evenVBand="0" w:oddHBand="0" w:evenHBand="0" w:firstRowFirstColumn="0" w:firstRowLastColumn="0" w:lastRowFirstColumn="0" w:lastRowLastColumn="0"/>
            </w:pPr>
            <w:r>
              <w:t>1 184</w:t>
            </w:r>
          </w:p>
        </w:tc>
        <w:tc>
          <w:tcPr>
            <w:tcW w:w="992" w:type="dxa"/>
            <w:tcBorders>
              <w:bottom w:val="single" w:sz="6" w:space="0" w:color="auto"/>
            </w:tcBorders>
          </w:tcPr>
          <w:p w14:paraId="0FD04C69"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c>
          <w:tcPr>
            <w:tcW w:w="992" w:type="dxa"/>
            <w:tcBorders>
              <w:bottom w:val="single" w:sz="6" w:space="0" w:color="auto"/>
            </w:tcBorders>
          </w:tcPr>
          <w:p w14:paraId="451018CF" w14:textId="77777777" w:rsidR="009D33A8" w:rsidRDefault="009D33A8">
            <w:pPr>
              <w:cnfStyle w:val="000000000000" w:firstRow="0" w:lastRow="0" w:firstColumn="0" w:lastColumn="0" w:oddVBand="0" w:evenVBand="0" w:oddHBand="0" w:evenHBand="0" w:firstRowFirstColumn="0" w:firstRowLastColumn="0" w:lastRowFirstColumn="0" w:lastRowLastColumn="0"/>
            </w:pPr>
            <w:r>
              <w:t>964</w:t>
            </w:r>
          </w:p>
        </w:tc>
        <w:tc>
          <w:tcPr>
            <w:tcW w:w="992" w:type="dxa"/>
            <w:tcBorders>
              <w:bottom w:val="single" w:sz="6" w:space="0" w:color="auto"/>
            </w:tcBorders>
          </w:tcPr>
          <w:p w14:paraId="15948DAD" w14:textId="77777777" w:rsidR="009D33A8" w:rsidRDefault="009D33A8">
            <w:pPr>
              <w:cnfStyle w:val="000000000000" w:firstRow="0" w:lastRow="0" w:firstColumn="0" w:lastColumn="0" w:oddVBand="0" w:evenVBand="0" w:oddHBand="0" w:evenHBand="0" w:firstRowFirstColumn="0" w:firstRowLastColumn="0" w:lastRowFirstColumn="0" w:lastRowLastColumn="0"/>
            </w:pPr>
            <w:r>
              <w:t>217</w:t>
            </w:r>
          </w:p>
        </w:tc>
      </w:tr>
      <w:tr w:rsidR="009D33A8" w14:paraId="721537D6"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0515D165" w14:textId="77777777" w:rsidR="009D33A8" w:rsidRDefault="009D33A8">
            <w:r>
              <w:rPr>
                <w:b/>
              </w:rPr>
              <w:t>Total financial liabilities</w:t>
            </w:r>
          </w:p>
        </w:tc>
        <w:tc>
          <w:tcPr>
            <w:tcW w:w="1133" w:type="dxa"/>
            <w:tcBorders>
              <w:top w:val="single" w:sz="6" w:space="0" w:color="auto"/>
              <w:bottom w:val="single" w:sz="12" w:space="0" w:color="auto"/>
            </w:tcBorders>
          </w:tcPr>
          <w:p w14:paraId="310ED57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188 230</w:t>
            </w:r>
          </w:p>
        </w:tc>
        <w:tc>
          <w:tcPr>
            <w:tcW w:w="992" w:type="dxa"/>
            <w:tcBorders>
              <w:top w:val="single" w:sz="6" w:space="0" w:color="auto"/>
              <w:bottom w:val="single" w:sz="12" w:space="0" w:color="auto"/>
            </w:tcBorders>
          </w:tcPr>
          <w:p w14:paraId="211F7AB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162 434</w:t>
            </w:r>
          </w:p>
        </w:tc>
        <w:tc>
          <w:tcPr>
            <w:tcW w:w="992" w:type="dxa"/>
            <w:tcBorders>
              <w:top w:val="single" w:sz="6" w:space="0" w:color="auto"/>
              <w:bottom w:val="single" w:sz="12" w:space="0" w:color="auto"/>
            </w:tcBorders>
          </w:tcPr>
          <w:p w14:paraId="4FB475F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25 579</w:t>
            </w:r>
          </w:p>
        </w:tc>
        <w:tc>
          <w:tcPr>
            <w:tcW w:w="992" w:type="dxa"/>
            <w:tcBorders>
              <w:top w:val="single" w:sz="6" w:space="0" w:color="auto"/>
              <w:bottom w:val="single" w:sz="12" w:space="0" w:color="auto"/>
            </w:tcBorders>
          </w:tcPr>
          <w:p w14:paraId="591E14E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217</w:t>
            </w:r>
          </w:p>
        </w:tc>
      </w:tr>
    </w:tbl>
    <w:p w14:paraId="330BFCFC"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r_at_fair_value_SoV_PY"/>
      </w:tblPr>
      <w:tblGrid>
        <w:gridCol w:w="5529"/>
        <w:gridCol w:w="1134"/>
        <w:gridCol w:w="991"/>
        <w:gridCol w:w="992"/>
        <w:gridCol w:w="992"/>
      </w:tblGrid>
      <w:tr w:rsidR="00940F7B" w14:paraId="21A69B3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DF52D48" w14:textId="77777777" w:rsidR="009D33A8" w:rsidRDefault="009D33A8">
            <w:pPr>
              <w:keepNext/>
              <w:spacing w:after="0"/>
            </w:pPr>
            <w:r>
              <w:t>2024</w:t>
            </w:r>
          </w:p>
        </w:tc>
        <w:tc>
          <w:tcPr>
            <w:tcW w:w="1134" w:type="dxa"/>
          </w:tcPr>
          <w:p w14:paraId="71D705E9"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610AA51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706B6CE4"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643D605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D33A8" w14:paraId="2F7B7B37" w14:textId="77777777">
        <w:tc>
          <w:tcPr>
            <w:cnfStyle w:val="001000000000" w:firstRow="0" w:lastRow="0" w:firstColumn="1" w:lastColumn="0" w:oddVBand="0" w:evenVBand="0" w:oddHBand="0" w:evenHBand="0" w:firstRowFirstColumn="0" w:firstRowLastColumn="0" w:lastRowFirstColumn="0" w:lastRowLastColumn="0"/>
            <w:tcW w:w="5529" w:type="dxa"/>
          </w:tcPr>
          <w:p w14:paraId="0F9E49A1" w14:textId="77777777" w:rsidR="009D33A8" w:rsidRDefault="009D33A8">
            <w:pPr>
              <w:spacing w:after="0"/>
            </w:pPr>
            <w:r>
              <w:rPr>
                <w:b/>
              </w:rPr>
              <w:t>Financial assets</w:t>
            </w:r>
          </w:p>
        </w:tc>
        <w:tc>
          <w:tcPr>
            <w:tcW w:w="1134" w:type="dxa"/>
          </w:tcPr>
          <w:p w14:paraId="467B707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089764C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3302A37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0746501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53506913" w14:textId="77777777">
        <w:tc>
          <w:tcPr>
            <w:cnfStyle w:val="001000000000" w:firstRow="0" w:lastRow="0" w:firstColumn="1" w:lastColumn="0" w:oddVBand="0" w:evenVBand="0" w:oddHBand="0" w:evenHBand="0" w:firstRowFirstColumn="0" w:firstRowLastColumn="0" w:lastRowFirstColumn="0" w:lastRowLastColumn="0"/>
            <w:tcW w:w="5529" w:type="dxa"/>
          </w:tcPr>
          <w:p w14:paraId="2F32C64C" w14:textId="77777777" w:rsidR="009D33A8" w:rsidRDefault="009D33A8">
            <w:pPr>
              <w:spacing w:after="0"/>
            </w:pPr>
            <w:r>
              <w:t>Cash</w:t>
            </w:r>
          </w:p>
        </w:tc>
        <w:tc>
          <w:tcPr>
            <w:tcW w:w="1134" w:type="dxa"/>
          </w:tcPr>
          <w:p w14:paraId="49EE18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19 595</w:t>
            </w:r>
          </w:p>
        </w:tc>
        <w:tc>
          <w:tcPr>
            <w:tcW w:w="991" w:type="dxa"/>
          </w:tcPr>
          <w:p w14:paraId="4E3CCC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19 595</w:t>
            </w:r>
          </w:p>
        </w:tc>
        <w:tc>
          <w:tcPr>
            <w:tcW w:w="992" w:type="dxa"/>
          </w:tcPr>
          <w:p w14:paraId="0D7EFC4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5BA13A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4A1B0C7B" w14:textId="77777777">
        <w:tc>
          <w:tcPr>
            <w:cnfStyle w:val="001000000000" w:firstRow="0" w:lastRow="0" w:firstColumn="1" w:lastColumn="0" w:oddVBand="0" w:evenVBand="0" w:oddHBand="0" w:evenHBand="0" w:firstRowFirstColumn="0" w:firstRowLastColumn="0" w:lastRowFirstColumn="0" w:lastRowLastColumn="0"/>
            <w:tcW w:w="5529" w:type="dxa"/>
          </w:tcPr>
          <w:p w14:paraId="4EDBD1AC" w14:textId="77777777" w:rsidR="009D33A8" w:rsidRDefault="009D33A8">
            <w:pPr>
              <w:spacing w:after="0"/>
            </w:pPr>
            <w:r>
              <w:t>Derivative financial instruments</w:t>
            </w:r>
          </w:p>
        </w:tc>
        <w:tc>
          <w:tcPr>
            <w:tcW w:w="1134" w:type="dxa"/>
          </w:tcPr>
          <w:p w14:paraId="6207902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594</w:t>
            </w:r>
          </w:p>
        </w:tc>
        <w:tc>
          <w:tcPr>
            <w:tcW w:w="991" w:type="dxa"/>
          </w:tcPr>
          <w:p w14:paraId="5732B5E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29</w:t>
            </w:r>
          </w:p>
        </w:tc>
        <w:tc>
          <w:tcPr>
            <w:tcW w:w="992" w:type="dxa"/>
          </w:tcPr>
          <w:p w14:paraId="4F7981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488</w:t>
            </w:r>
          </w:p>
        </w:tc>
        <w:tc>
          <w:tcPr>
            <w:tcW w:w="992" w:type="dxa"/>
          </w:tcPr>
          <w:p w14:paraId="0378BD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77</w:t>
            </w:r>
          </w:p>
        </w:tc>
      </w:tr>
      <w:tr w:rsidR="009D33A8" w14:paraId="4CC9411D" w14:textId="77777777">
        <w:tc>
          <w:tcPr>
            <w:cnfStyle w:val="001000000000" w:firstRow="0" w:lastRow="0" w:firstColumn="1" w:lastColumn="0" w:oddVBand="0" w:evenVBand="0" w:oddHBand="0" w:evenHBand="0" w:firstRowFirstColumn="0" w:firstRowLastColumn="0" w:lastRowFirstColumn="0" w:lastRowLastColumn="0"/>
            <w:tcW w:w="5529" w:type="dxa"/>
          </w:tcPr>
          <w:p w14:paraId="0ABAAD4B" w14:textId="77777777" w:rsidR="009D33A8" w:rsidRDefault="009D33A8">
            <w:pPr>
              <w:spacing w:after="0"/>
            </w:pPr>
            <w:r>
              <w:t>Term deposits</w:t>
            </w:r>
          </w:p>
        </w:tc>
        <w:tc>
          <w:tcPr>
            <w:tcW w:w="1134" w:type="dxa"/>
          </w:tcPr>
          <w:p w14:paraId="3696CB3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w:t>
            </w:r>
          </w:p>
        </w:tc>
        <w:tc>
          <w:tcPr>
            <w:tcW w:w="991" w:type="dxa"/>
          </w:tcPr>
          <w:p w14:paraId="51FF0D4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40ADC9F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w:t>
            </w:r>
          </w:p>
        </w:tc>
        <w:tc>
          <w:tcPr>
            <w:tcW w:w="992" w:type="dxa"/>
          </w:tcPr>
          <w:p w14:paraId="6628F84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76D196FC" w14:textId="77777777">
        <w:tc>
          <w:tcPr>
            <w:cnfStyle w:val="001000000000" w:firstRow="0" w:lastRow="0" w:firstColumn="1" w:lastColumn="0" w:oddVBand="0" w:evenVBand="0" w:oddHBand="0" w:evenHBand="0" w:firstRowFirstColumn="0" w:firstRowLastColumn="0" w:lastRowFirstColumn="0" w:lastRowLastColumn="0"/>
            <w:tcW w:w="5529" w:type="dxa"/>
          </w:tcPr>
          <w:p w14:paraId="5FD3CB67" w14:textId="77777777" w:rsidR="009D33A8" w:rsidRDefault="009D33A8">
            <w:pPr>
              <w:spacing w:after="0"/>
            </w:pPr>
            <w:r>
              <w:t>Advances paid</w:t>
            </w:r>
          </w:p>
        </w:tc>
        <w:tc>
          <w:tcPr>
            <w:tcW w:w="1134" w:type="dxa"/>
          </w:tcPr>
          <w:p w14:paraId="5B2F0E6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w:t>
            </w:r>
          </w:p>
        </w:tc>
        <w:tc>
          <w:tcPr>
            <w:tcW w:w="991" w:type="dxa"/>
          </w:tcPr>
          <w:p w14:paraId="374853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6CA6AD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w:t>
            </w:r>
          </w:p>
        </w:tc>
        <w:tc>
          <w:tcPr>
            <w:tcW w:w="992" w:type="dxa"/>
          </w:tcPr>
          <w:p w14:paraId="5163A58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6B5ED93D" w14:textId="77777777">
        <w:tc>
          <w:tcPr>
            <w:cnfStyle w:val="001000000000" w:firstRow="0" w:lastRow="0" w:firstColumn="1" w:lastColumn="0" w:oddVBand="0" w:evenVBand="0" w:oddHBand="0" w:evenHBand="0" w:firstRowFirstColumn="0" w:firstRowLastColumn="0" w:lastRowFirstColumn="0" w:lastRowLastColumn="0"/>
            <w:tcW w:w="5529" w:type="dxa"/>
          </w:tcPr>
          <w:p w14:paraId="619A402D" w14:textId="77777777" w:rsidR="009D33A8" w:rsidRDefault="009D33A8">
            <w:pPr>
              <w:spacing w:after="0"/>
            </w:pPr>
            <w:r>
              <w:t>Equities and managed investment schemes</w:t>
            </w:r>
          </w:p>
        </w:tc>
        <w:tc>
          <w:tcPr>
            <w:tcW w:w="1134" w:type="dxa"/>
          </w:tcPr>
          <w:p w14:paraId="759CD74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60 131</w:t>
            </w:r>
          </w:p>
        </w:tc>
        <w:tc>
          <w:tcPr>
            <w:tcW w:w="991" w:type="dxa"/>
          </w:tcPr>
          <w:p w14:paraId="1CFBFCA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3 123</w:t>
            </w:r>
          </w:p>
        </w:tc>
        <w:tc>
          <w:tcPr>
            <w:tcW w:w="992" w:type="dxa"/>
          </w:tcPr>
          <w:p w14:paraId="0A18C40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41 798</w:t>
            </w:r>
          </w:p>
        </w:tc>
        <w:tc>
          <w:tcPr>
            <w:tcW w:w="992" w:type="dxa"/>
          </w:tcPr>
          <w:p w14:paraId="7324F1D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15 211</w:t>
            </w:r>
          </w:p>
        </w:tc>
      </w:tr>
      <w:tr w:rsidR="009D33A8" w14:paraId="51064078" w14:textId="77777777">
        <w:tc>
          <w:tcPr>
            <w:cnfStyle w:val="001000000000" w:firstRow="0" w:lastRow="0" w:firstColumn="1" w:lastColumn="0" w:oddVBand="0" w:evenVBand="0" w:oddHBand="0" w:evenHBand="0" w:firstRowFirstColumn="0" w:firstRowLastColumn="0" w:lastRowFirstColumn="0" w:lastRowLastColumn="0"/>
            <w:tcW w:w="5529" w:type="dxa"/>
          </w:tcPr>
          <w:p w14:paraId="30C0D70C" w14:textId="77777777" w:rsidR="009D33A8" w:rsidRDefault="009D33A8">
            <w:pPr>
              <w:spacing w:after="0"/>
            </w:pPr>
            <w:r>
              <w:t>Debt securities at fair value</w:t>
            </w:r>
          </w:p>
        </w:tc>
        <w:tc>
          <w:tcPr>
            <w:tcW w:w="1134" w:type="dxa"/>
          </w:tcPr>
          <w:p w14:paraId="7106B1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19 534</w:t>
            </w:r>
          </w:p>
        </w:tc>
        <w:tc>
          <w:tcPr>
            <w:tcW w:w="991" w:type="dxa"/>
          </w:tcPr>
          <w:p w14:paraId="28DE6DD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5 397</w:t>
            </w:r>
          </w:p>
        </w:tc>
        <w:tc>
          <w:tcPr>
            <w:tcW w:w="992" w:type="dxa"/>
          </w:tcPr>
          <w:p w14:paraId="7828AF7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14 022</w:t>
            </w:r>
          </w:p>
        </w:tc>
        <w:tc>
          <w:tcPr>
            <w:tcW w:w="992" w:type="dxa"/>
          </w:tcPr>
          <w:p w14:paraId="4BDF4FD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115</w:t>
            </w:r>
          </w:p>
        </w:tc>
      </w:tr>
      <w:tr w:rsidR="009D33A8" w14:paraId="3B382301"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77E42E3B" w14:textId="77777777" w:rsidR="009D33A8" w:rsidRDefault="009D33A8">
            <w:pPr>
              <w:spacing w:after="0"/>
            </w:pPr>
            <w:r>
              <w:rPr>
                <w:b/>
              </w:rPr>
              <w:t>Total financial assets</w:t>
            </w:r>
          </w:p>
        </w:tc>
        <w:tc>
          <w:tcPr>
            <w:tcW w:w="1134" w:type="dxa"/>
            <w:tcBorders>
              <w:top w:val="single" w:sz="6" w:space="0" w:color="auto"/>
              <w:bottom w:val="single" w:sz="6" w:space="0" w:color="auto"/>
            </w:tcBorders>
          </w:tcPr>
          <w:p w14:paraId="07CE8A3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99 873</w:t>
            </w:r>
          </w:p>
        </w:tc>
        <w:tc>
          <w:tcPr>
            <w:tcW w:w="991" w:type="dxa"/>
            <w:tcBorders>
              <w:top w:val="single" w:sz="6" w:space="0" w:color="auto"/>
              <w:bottom w:val="single" w:sz="6" w:space="0" w:color="auto"/>
            </w:tcBorders>
          </w:tcPr>
          <w:p w14:paraId="19983DE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28 150</w:t>
            </w:r>
          </w:p>
        </w:tc>
        <w:tc>
          <w:tcPr>
            <w:tcW w:w="992" w:type="dxa"/>
            <w:tcBorders>
              <w:top w:val="single" w:sz="6" w:space="0" w:color="auto"/>
              <w:bottom w:val="single" w:sz="6" w:space="0" w:color="auto"/>
            </w:tcBorders>
          </w:tcPr>
          <w:p w14:paraId="008BF1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56 320</w:t>
            </w:r>
          </w:p>
        </w:tc>
        <w:tc>
          <w:tcPr>
            <w:tcW w:w="992" w:type="dxa"/>
            <w:tcBorders>
              <w:top w:val="single" w:sz="6" w:space="0" w:color="auto"/>
              <w:bottom w:val="single" w:sz="6" w:space="0" w:color="auto"/>
            </w:tcBorders>
          </w:tcPr>
          <w:p w14:paraId="13C6585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15 403</w:t>
            </w:r>
          </w:p>
        </w:tc>
      </w:tr>
      <w:tr w:rsidR="009D33A8" w14:paraId="43D873C8"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73A3A614" w14:textId="77777777" w:rsidR="009D33A8" w:rsidRDefault="009D33A8">
            <w:pPr>
              <w:spacing w:after="0"/>
            </w:pPr>
            <w:r>
              <w:rPr>
                <w:b/>
              </w:rPr>
              <w:t>Financial liabilities</w:t>
            </w:r>
          </w:p>
        </w:tc>
        <w:tc>
          <w:tcPr>
            <w:tcW w:w="1134" w:type="dxa"/>
            <w:tcBorders>
              <w:top w:val="single" w:sz="6" w:space="0" w:color="auto"/>
            </w:tcBorders>
          </w:tcPr>
          <w:p w14:paraId="6827452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4594B4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74E20E3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1F48B87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265F0167" w14:textId="77777777">
        <w:tc>
          <w:tcPr>
            <w:cnfStyle w:val="001000000000" w:firstRow="0" w:lastRow="0" w:firstColumn="1" w:lastColumn="0" w:oddVBand="0" w:evenVBand="0" w:oddHBand="0" w:evenHBand="0" w:firstRowFirstColumn="0" w:firstRowLastColumn="0" w:lastRowFirstColumn="0" w:lastRowLastColumn="0"/>
            <w:tcW w:w="5529" w:type="dxa"/>
          </w:tcPr>
          <w:p w14:paraId="61DEAA5A" w14:textId="77777777" w:rsidR="009D33A8" w:rsidRDefault="009D33A8">
            <w:pPr>
              <w:spacing w:after="0"/>
            </w:pPr>
            <w:r>
              <w:t>Domestic borrowings</w:t>
            </w:r>
          </w:p>
        </w:tc>
        <w:tc>
          <w:tcPr>
            <w:tcW w:w="1134" w:type="dxa"/>
          </w:tcPr>
          <w:p w14:paraId="363A31B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158 554</w:t>
            </w:r>
          </w:p>
        </w:tc>
        <w:tc>
          <w:tcPr>
            <w:tcW w:w="991" w:type="dxa"/>
          </w:tcPr>
          <w:p w14:paraId="7191E5F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134 498</w:t>
            </w:r>
          </w:p>
        </w:tc>
        <w:tc>
          <w:tcPr>
            <w:tcW w:w="992" w:type="dxa"/>
          </w:tcPr>
          <w:p w14:paraId="0530F0B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24 056</w:t>
            </w:r>
          </w:p>
        </w:tc>
        <w:tc>
          <w:tcPr>
            <w:tcW w:w="992" w:type="dxa"/>
          </w:tcPr>
          <w:p w14:paraId="418F02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7E8DE516" w14:textId="77777777">
        <w:tc>
          <w:tcPr>
            <w:cnfStyle w:val="001000000000" w:firstRow="0" w:lastRow="0" w:firstColumn="1" w:lastColumn="0" w:oddVBand="0" w:evenVBand="0" w:oddHBand="0" w:evenHBand="0" w:firstRowFirstColumn="0" w:firstRowLastColumn="0" w:lastRowFirstColumn="0" w:lastRowLastColumn="0"/>
            <w:tcW w:w="5529" w:type="dxa"/>
          </w:tcPr>
          <w:p w14:paraId="25C5824B" w14:textId="77777777" w:rsidR="009D33A8" w:rsidRDefault="009D33A8">
            <w:pPr>
              <w:spacing w:after="0"/>
            </w:pPr>
            <w:r>
              <w:t>Foreign currency borrowings</w:t>
            </w:r>
          </w:p>
        </w:tc>
        <w:tc>
          <w:tcPr>
            <w:tcW w:w="1134" w:type="dxa"/>
          </w:tcPr>
          <w:p w14:paraId="252441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893</w:t>
            </w:r>
          </w:p>
        </w:tc>
        <w:tc>
          <w:tcPr>
            <w:tcW w:w="991" w:type="dxa"/>
          </w:tcPr>
          <w:p w14:paraId="7AFA45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6E3CA9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893</w:t>
            </w:r>
          </w:p>
        </w:tc>
        <w:tc>
          <w:tcPr>
            <w:tcW w:w="992" w:type="dxa"/>
          </w:tcPr>
          <w:p w14:paraId="2841C77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14C8977F" w14:textId="77777777">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249A7A6D" w14:textId="77777777" w:rsidR="009D33A8" w:rsidRDefault="009D33A8">
            <w:pPr>
              <w:spacing w:after="0"/>
            </w:pPr>
            <w:r>
              <w:t>Derivative financial instruments</w:t>
            </w:r>
          </w:p>
        </w:tc>
        <w:tc>
          <w:tcPr>
            <w:tcW w:w="1134" w:type="dxa"/>
            <w:tcBorders>
              <w:bottom w:val="single" w:sz="6" w:space="0" w:color="auto"/>
            </w:tcBorders>
          </w:tcPr>
          <w:p w14:paraId="55575D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1 165</w:t>
            </w:r>
          </w:p>
        </w:tc>
        <w:tc>
          <w:tcPr>
            <w:tcW w:w="991" w:type="dxa"/>
            <w:tcBorders>
              <w:bottom w:val="single" w:sz="6" w:space="0" w:color="auto"/>
            </w:tcBorders>
          </w:tcPr>
          <w:p w14:paraId="13B534E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w:t>
            </w:r>
          </w:p>
        </w:tc>
        <w:tc>
          <w:tcPr>
            <w:tcW w:w="992" w:type="dxa"/>
            <w:tcBorders>
              <w:bottom w:val="single" w:sz="6" w:space="0" w:color="auto"/>
            </w:tcBorders>
          </w:tcPr>
          <w:p w14:paraId="29BBF9D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935</w:t>
            </w:r>
          </w:p>
        </w:tc>
        <w:tc>
          <w:tcPr>
            <w:tcW w:w="992" w:type="dxa"/>
            <w:tcBorders>
              <w:bottom w:val="single" w:sz="6" w:space="0" w:color="auto"/>
            </w:tcBorders>
          </w:tcPr>
          <w:p w14:paraId="2B6D224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222</w:t>
            </w:r>
          </w:p>
        </w:tc>
      </w:tr>
      <w:tr w:rsidR="009D33A8" w14:paraId="77B7830D"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6E68A239" w14:textId="77777777" w:rsidR="009D33A8" w:rsidRDefault="009D33A8">
            <w:pPr>
              <w:spacing w:after="0"/>
            </w:pPr>
            <w:r>
              <w:rPr>
                <w:b/>
              </w:rPr>
              <w:t>Total financial liabilities</w:t>
            </w:r>
          </w:p>
        </w:tc>
        <w:tc>
          <w:tcPr>
            <w:tcW w:w="1134" w:type="dxa"/>
            <w:tcBorders>
              <w:top w:val="single" w:sz="6" w:space="0" w:color="auto"/>
              <w:bottom w:val="single" w:sz="12" w:space="0" w:color="auto"/>
            </w:tcBorders>
          </w:tcPr>
          <w:p w14:paraId="3F2462A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160 612</w:t>
            </w:r>
          </w:p>
        </w:tc>
        <w:tc>
          <w:tcPr>
            <w:tcW w:w="991" w:type="dxa"/>
            <w:tcBorders>
              <w:top w:val="single" w:sz="6" w:space="0" w:color="auto"/>
              <w:bottom w:val="single" w:sz="12" w:space="0" w:color="auto"/>
            </w:tcBorders>
          </w:tcPr>
          <w:p w14:paraId="71E9D44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134 506</w:t>
            </w:r>
          </w:p>
        </w:tc>
        <w:tc>
          <w:tcPr>
            <w:tcW w:w="992" w:type="dxa"/>
            <w:tcBorders>
              <w:top w:val="single" w:sz="6" w:space="0" w:color="auto"/>
              <w:bottom w:val="single" w:sz="12" w:space="0" w:color="auto"/>
            </w:tcBorders>
          </w:tcPr>
          <w:p w14:paraId="328143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25 883</w:t>
            </w:r>
          </w:p>
        </w:tc>
        <w:tc>
          <w:tcPr>
            <w:tcW w:w="992" w:type="dxa"/>
            <w:tcBorders>
              <w:top w:val="single" w:sz="6" w:space="0" w:color="auto"/>
              <w:bottom w:val="single" w:sz="12" w:space="0" w:color="auto"/>
            </w:tcBorders>
          </w:tcPr>
          <w:p w14:paraId="24193FF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222</w:t>
            </w:r>
          </w:p>
        </w:tc>
      </w:tr>
    </w:tbl>
    <w:p w14:paraId="562B7CE3"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r_at_fair_value_GG_CY"/>
      </w:tblPr>
      <w:tblGrid>
        <w:gridCol w:w="5529"/>
        <w:gridCol w:w="1134"/>
        <w:gridCol w:w="920"/>
        <w:gridCol w:w="1027"/>
        <w:gridCol w:w="1028"/>
      </w:tblGrid>
      <w:tr w:rsidR="009D33A8" w14:paraId="6C78322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AC5B669" w14:textId="77777777" w:rsidR="009D33A8" w:rsidRDefault="009D33A8">
            <w:pPr>
              <w:keepNext/>
              <w:rPr>
                <w:i w:val="0"/>
                <w:vertAlign w:val="superscript"/>
              </w:rPr>
            </w:pPr>
            <w:r>
              <w:t>General government sector</w:t>
            </w:r>
            <w:r>
              <w:rPr>
                <w:vertAlign w:val="superscript"/>
              </w:rPr>
              <w:t xml:space="preserve"> (a)</w:t>
            </w:r>
          </w:p>
          <w:p w14:paraId="5D62F158" w14:textId="77777777" w:rsidR="00DF0E81" w:rsidRDefault="00DF0E81">
            <w:pPr>
              <w:keepNext/>
            </w:pPr>
          </w:p>
        </w:tc>
        <w:tc>
          <w:tcPr>
            <w:tcW w:w="1134" w:type="dxa"/>
          </w:tcPr>
          <w:p w14:paraId="37D1B7D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2975" w:type="dxa"/>
            <w:gridSpan w:val="3"/>
          </w:tcPr>
          <w:p w14:paraId="0386FBD8"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 Fair value measurement at</w:t>
            </w:r>
            <w:r>
              <w:br/>
              <w:t>end of reporting period using:</w:t>
            </w:r>
          </w:p>
        </w:tc>
      </w:tr>
      <w:tr w:rsidR="00991200" w14:paraId="5DB8F8D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5A2A0F10" w14:textId="77777777" w:rsidR="009D33A8" w:rsidRDefault="009D33A8">
            <w:pPr>
              <w:keepNext/>
            </w:pPr>
            <w:r>
              <w:t>2025</w:t>
            </w:r>
          </w:p>
        </w:tc>
        <w:tc>
          <w:tcPr>
            <w:tcW w:w="1134" w:type="dxa"/>
            <w:tcBorders>
              <w:bottom w:val="single" w:sz="6" w:space="0" w:color="auto"/>
            </w:tcBorders>
          </w:tcPr>
          <w:p w14:paraId="1A90B88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30 June</w:t>
            </w:r>
          </w:p>
        </w:tc>
        <w:tc>
          <w:tcPr>
            <w:tcW w:w="920" w:type="dxa"/>
            <w:tcBorders>
              <w:bottom w:val="single" w:sz="6" w:space="0" w:color="auto"/>
            </w:tcBorders>
          </w:tcPr>
          <w:p w14:paraId="3D02B84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1027" w:type="dxa"/>
            <w:tcBorders>
              <w:bottom w:val="single" w:sz="6" w:space="0" w:color="auto"/>
            </w:tcBorders>
          </w:tcPr>
          <w:p w14:paraId="2C63607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1028" w:type="dxa"/>
            <w:tcBorders>
              <w:bottom w:val="single" w:sz="6" w:space="0" w:color="auto"/>
            </w:tcBorders>
          </w:tcPr>
          <w:p w14:paraId="7B78A0A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r>
      <w:tr w:rsidR="009D33A8" w14:paraId="49C477CB"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1C2E6064" w14:textId="77777777" w:rsidR="009D33A8" w:rsidRDefault="009D33A8">
            <w:r>
              <w:rPr>
                <w:b/>
              </w:rPr>
              <w:t>Financial assets</w:t>
            </w:r>
          </w:p>
        </w:tc>
        <w:tc>
          <w:tcPr>
            <w:tcW w:w="1134" w:type="dxa"/>
            <w:tcBorders>
              <w:top w:val="single" w:sz="6" w:space="0" w:color="auto"/>
            </w:tcBorders>
          </w:tcPr>
          <w:p w14:paraId="3A34967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20" w:type="dxa"/>
            <w:tcBorders>
              <w:top w:val="single" w:sz="6" w:space="0" w:color="auto"/>
            </w:tcBorders>
          </w:tcPr>
          <w:p w14:paraId="0E7D780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7E715BE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5DDEDCA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60F18207" w14:textId="77777777">
        <w:tc>
          <w:tcPr>
            <w:cnfStyle w:val="001000000000" w:firstRow="0" w:lastRow="0" w:firstColumn="1" w:lastColumn="0" w:oddVBand="0" w:evenVBand="0" w:oddHBand="0" w:evenHBand="0" w:firstRowFirstColumn="0" w:firstRowLastColumn="0" w:lastRowFirstColumn="0" w:lastRowLastColumn="0"/>
            <w:tcW w:w="5529" w:type="dxa"/>
          </w:tcPr>
          <w:p w14:paraId="11348143" w14:textId="77777777" w:rsidR="009D33A8" w:rsidRDefault="009D33A8">
            <w:r>
              <w:t>Cash</w:t>
            </w:r>
          </w:p>
        </w:tc>
        <w:tc>
          <w:tcPr>
            <w:tcW w:w="1134" w:type="dxa"/>
          </w:tcPr>
          <w:p w14:paraId="264FAB01" w14:textId="77777777" w:rsidR="009D33A8" w:rsidRDefault="009D33A8">
            <w:pPr>
              <w:cnfStyle w:val="000000000000" w:firstRow="0" w:lastRow="0" w:firstColumn="0" w:lastColumn="0" w:oddVBand="0" w:evenVBand="0" w:oddHBand="0" w:evenHBand="0" w:firstRowFirstColumn="0" w:firstRowLastColumn="0" w:lastRowFirstColumn="0" w:lastRowLastColumn="0"/>
            </w:pPr>
            <w:r>
              <w:t>12 800</w:t>
            </w:r>
          </w:p>
        </w:tc>
        <w:tc>
          <w:tcPr>
            <w:tcW w:w="920" w:type="dxa"/>
          </w:tcPr>
          <w:p w14:paraId="595FF9A9" w14:textId="77777777" w:rsidR="009D33A8" w:rsidRDefault="009D33A8">
            <w:pPr>
              <w:cnfStyle w:val="000000000000" w:firstRow="0" w:lastRow="0" w:firstColumn="0" w:lastColumn="0" w:oddVBand="0" w:evenVBand="0" w:oddHBand="0" w:evenHBand="0" w:firstRowFirstColumn="0" w:firstRowLastColumn="0" w:lastRowFirstColumn="0" w:lastRowLastColumn="0"/>
            </w:pPr>
            <w:r>
              <w:t>12 800</w:t>
            </w:r>
          </w:p>
        </w:tc>
        <w:tc>
          <w:tcPr>
            <w:tcW w:w="1027" w:type="dxa"/>
          </w:tcPr>
          <w:p w14:paraId="51F9C05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555357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055F3AF" w14:textId="77777777">
        <w:tc>
          <w:tcPr>
            <w:cnfStyle w:val="001000000000" w:firstRow="0" w:lastRow="0" w:firstColumn="1" w:lastColumn="0" w:oddVBand="0" w:evenVBand="0" w:oddHBand="0" w:evenHBand="0" w:firstRowFirstColumn="0" w:firstRowLastColumn="0" w:lastRowFirstColumn="0" w:lastRowLastColumn="0"/>
            <w:tcW w:w="5529" w:type="dxa"/>
          </w:tcPr>
          <w:p w14:paraId="2C16385C" w14:textId="77777777" w:rsidR="009D33A8" w:rsidRDefault="009D33A8">
            <w:r>
              <w:t>Derivative financial instruments</w:t>
            </w:r>
          </w:p>
        </w:tc>
        <w:tc>
          <w:tcPr>
            <w:tcW w:w="1134" w:type="dxa"/>
          </w:tcPr>
          <w:p w14:paraId="6B7CF7E3" w14:textId="77777777" w:rsidR="009D33A8" w:rsidRDefault="009D33A8">
            <w:pPr>
              <w:cnfStyle w:val="000000000000" w:firstRow="0" w:lastRow="0" w:firstColumn="0" w:lastColumn="0" w:oddVBand="0" w:evenVBand="0" w:oddHBand="0" w:evenHBand="0" w:firstRowFirstColumn="0" w:firstRowLastColumn="0" w:lastRowFirstColumn="0" w:lastRowLastColumn="0"/>
            </w:pPr>
            <w:r>
              <w:t>526</w:t>
            </w:r>
          </w:p>
        </w:tc>
        <w:tc>
          <w:tcPr>
            <w:tcW w:w="920" w:type="dxa"/>
          </w:tcPr>
          <w:p w14:paraId="343EB0D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6412AE7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BBC42A8" w14:textId="77777777" w:rsidR="009D33A8" w:rsidRDefault="009D33A8">
            <w:pPr>
              <w:cnfStyle w:val="000000000000" w:firstRow="0" w:lastRow="0" w:firstColumn="0" w:lastColumn="0" w:oddVBand="0" w:evenVBand="0" w:oddHBand="0" w:evenHBand="0" w:firstRowFirstColumn="0" w:firstRowLastColumn="0" w:lastRowFirstColumn="0" w:lastRowLastColumn="0"/>
            </w:pPr>
            <w:r>
              <w:t>526</w:t>
            </w:r>
          </w:p>
        </w:tc>
      </w:tr>
      <w:tr w:rsidR="009D33A8" w14:paraId="5E8532D6" w14:textId="77777777">
        <w:tc>
          <w:tcPr>
            <w:cnfStyle w:val="001000000000" w:firstRow="0" w:lastRow="0" w:firstColumn="1" w:lastColumn="0" w:oddVBand="0" w:evenVBand="0" w:oddHBand="0" w:evenHBand="0" w:firstRowFirstColumn="0" w:firstRowLastColumn="0" w:lastRowFirstColumn="0" w:lastRowLastColumn="0"/>
            <w:tcW w:w="5529" w:type="dxa"/>
          </w:tcPr>
          <w:p w14:paraId="3C725372" w14:textId="77777777" w:rsidR="009D33A8" w:rsidRDefault="009D33A8">
            <w:r>
              <w:t>Advances paid</w:t>
            </w:r>
          </w:p>
        </w:tc>
        <w:tc>
          <w:tcPr>
            <w:tcW w:w="1134" w:type="dxa"/>
          </w:tcPr>
          <w:p w14:paraId="08F81236" w14:textId="77777777" w:rsidR="009D33A8" w:rsidRDefault="009D33A8">
            <w:pPr>
              <w:cnfStyle w:val="000000000000" w:firstRow="0" w:lastRow="0" w:firstColumn="0" w:lastColumn="0" w:oddVBand="0" w:evenVBand="0" w:oddHBand="0" w:evenHBand="0" w:firstRowFirstColumn="0" w:firstRowLastColumn="0" w:lastRowFirstColumn="0" w:lastRowLastColumn="0"/>
            </w:pPr>
            <w:r>
              <w:t>7</w:t>
            </w:r>
          </w:p>
        </w:tc>
        <w:tc>
          <w:tcPr>
            <w:tcW w:w="920" w:type="dxa"/>
          </w:tcPr>
          <w:p w14:paraId="2FDF5445" w14:textId="77777777" w:rsidR="009D33A8" w:rsidRDefault="009D33A8">
            <w:pPr>
              <w:cnfStyle w:val="000000000000" w:firstRow="0" w:lastRow="0" w:firstColumn="0" w:lastColumn="0" w:oddVBand="0" w:evenVBand="0" w:oddHBand="0" w:evenHBand="0" w:firstRowFirstColumn="0" w:firstRowLastColumn="0" w:lastRowFirstColumn="0" w:lastRowLastColumn="0"/>
            </w:pPr>
            <w:r>
              <w:t>7</w:t>
            </w:r>
          </w:p>
        </w:tc>
        <w:tc>
          <w:tcPr>
            <w:tcW w:w="1027" w:type="dxa"/>
          </w:tcPr>
          <w:p w14:paraId="25B0ACD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5E287E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047582A" w14:textId="77777777">
        <w:tc>
          <w:tcPr>
            <w:cnfStyle w:val="001000000000" w:firstRow="0" w:lastRow="0" w:firstColumn="1" w:lastColumn="0" w:oddVBand="0" w:evenVBand="0" w:oddHBand="0" w:evenHBand="0" w:firstRowFirstColumn="0" w:firstRowLastColumn="0" w:lastRowFirstColumn="0" w:lastRowLastColumn="0"/>
            <w:tcW w:w="5529" w:type="dxa"/>
          </w:tcPr>
          <w:p w14:paraId="36FC2E3C" w14:textId="77777777" w:rsidR="009D33A8" w:rsidRDefault="009D33A8">
            <w:r>
              <w:t>Equities and managed investment schemes</w:t>
            </w:r>
          </w:p>
        </w:tc>
        <w:tc>
          <w:tcPr>
            <w:tcW w:w="1134" w:type="dxa"/>
          </w:tcPr>
          <w:p w14:paraId="03867C42" w14:textId="77777777" w:rsidR="009D33A8" w:rsidRDefault="009D33A8">
            <w:pPr>
              <w:cnfStyle w:val="000000000000" w:firstRow="0" w:lastRow="0" w:firstColumn="0" w:lastColumn="0" w:oddVBand="0" w:evenVBand="0" w:oddHBand="0" w:evenHBand="0" w:firstRowFirstColumn="0" w:firstRowLastColumn="0" w:lastRowFirstColumn="0" w:lastRowLastColumn="0"/>
            </w:pPr>
            <w:r>
              <w:t>16 967</w:t>
            </w:r>
          </w:p>
        </w:tc>
        <w:tc>
          <w:tcPr>
            <w:tcW w:w="920" w:type="dxa"/>
          </w:tcPr>
          <w:p w14:paraId="595995E4" w14:textId="77777777" w:rsidR="009D33A8" w:rsidRDefault="009D33A8">
            <w:pPr>
              <w:cnfStyle w:val="000000000000" w:firstRow="0" w:lastRow="0" w:firstColumn="0" w:lastColumn="0" w:oddVBand="0" w:evenVBand="0" w:oddHBand="0" w:evenHBand="0" w:firstRowFirstColumn="0" w:firstRowLastColumn="0" w:lastRowFirstColumn="0" w:lastRowLastColumn="0"/>
            </w:pPr>
            <w:r>
              <w:t>941</w:t>
            </w:r>
          </w:p>
        </w:tc>
        <w:tc>
          <w:tcPr>
            <w:tcW w:w="1027" w:type="dxa"/>
          </w:tcPr>
          <w:p w14:paraId="5CD82238" w14:textId="77777777" w:rsidR="009D33A8" w:rsidRDefault="009D33A8">
            <w:pPr>
              <w:cnfStyle w:val="000000000000" w:firstRow="0" w:lastRow="0" w:firstColumn="0" w:lastColumn="0" w:oddVBand="0" w:evenVBand="0" w:oddHBand="0" w:evenHBand="0" w:firstRowFirstColumn="0" w:firstRowLastColumn="0" w:lastRowFirstColumn="0" w:lastRowLastColumn="0"/>
            </w:pPr>
            <w:r>
              <w:t>15 987</w:t>
            </w:r>
          </w:p>
        </w:tc>
        <w:tc>
          <w:tcPr>
            <w:tcW w:w="1028" w:type="dxa"/>
          </w:tcPr>
          <w:p w14:paraId="6AA5A8BD"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r>
      <w:tr w:rsidR="009D33A8" w14:paraId="2F127149" w14:textId="77777777">
        <w:tc>
          <w:tcPr>
            <w:cnfStyle w:val="001000000000" w:firstRow="0" w:lastRow="0" w:firstColumn="1" w:lastColumn="0" w:oddVBand="0" w:evenVBand="0" w:oddHBand="0" w:evenHBand="0" w:firstRowFirstColumn="0" w:firstRowLastColumn="0" w:lastRowFirstColumn="0" w:lastRowLastColumn="0"/>
            <w:tcW w:w="5529" w:type="dxa"/>
          </w:tcPr>
          <w:p w14:paraId="7C0E269C" w14:textId="77777777" w:rsidR="009D33A8" w:rsidRDefault="009D33A8">
            <w:r>
              <w:t>Debt securities at fair value</w:t>
            </w:r>
          </w:p>
        </w:tc>
        <w:tc>
          <w:tcPr>
            <w:tcW w:w="1134" w:type="dxa"/>
          </w:tcPr>
          <w:p w14:paraId="45EC297B"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920" w:type="dxa"/>
          </w:tcPr>
          <w:p w14:paraId="10002270"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1027" w:type="dxa"/>
          </w:tcPr>
          <w:p w14:paraId="7035D27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BD9014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BCCF91A"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7190C05A" w14:textId="77777777" w:rsidR="009D33A8" w:rsidRDefault="009D33A8">
            <w:r>
              <w:rPr>
                <w:b/>
              </w:rPr>
              <w:t>Total financial assets</w:t>
            </w:r>
          </w:p>
        </w:tc>
        <w:tc>
          <w:tcPr>
            <w:tcW w:w="1134" w:type="dxa"/>
            <w:tcBorders>
              <w:top w:val="single" w:sz="6" w:space="0" w:color="auto"/>
              <w:bottom w:val="single" w:sz="12" w:space="0" w:color="auto"/>
            </w:tcBorders>
          </w:tcPr>
          <w:p w14:paraId="59303DC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30 316</w:t>
            </w:r>
          </w:p>
        </w:tc>
        <w:tc>
          <w:tcPr>
            <w:tcW w:w="920" w:type="dxa"/>
            <w:tcBorders>
              <w:top w:val="single" w:sz="6" w:space="0" w:color="auto"/>
              <w:bottom w:val="single" w:sz="12" w:space="0" w:color="auto"/>
            </w:tcBorders>
          </w:tcPr>
          <w:p w14:paraId="2ABF93C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13 765</w:t>
            </w:r>
          </w:p>
        </w:tc>
        <w:tc>
          <w:tcPr>
            <w:tcW w:w="1027" w:type="dxa"/>
            <w:tcBorders>
              <w:top w:val="single" w:sz="6" w:space="0" w:color="auto"/>
              <w:bottom w:val="single" w:sz="12" w:space="0" w:color="auto"/>
            </w:tcBorders>
          </w:tcPr>
          <w:p w14:paraId="1294020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15 987</w:t>
            </w:r>
          </w:p>
        </w:tc>
        <w:tc>
          <w:tcPr>
            <w:tcW w:w="1028" w:type="dxa"/>
            <w:tcBorders>
              <w:top w:val="single" w:sz="6" w:space="0" w:color="auto"/>
              <w:bottom w:val="single" w:sz="12" w:space="0" w:color="auto"/>
            </w:tcBorders>
          </w:tcPr>
          <w:p w14:paraId="531E48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565</w:t>
            </w:r>
          </w:p>
        </w:tc>
      </w:tr>
    </w:tbl>
    <w:p w14:paraId="117D382F"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Fin_Instr_at_fair_value_GG_PY"/>
      </w:tblPr>
      <w:tblGrid>
        <w:gridCol w:w="5529"/>
        <w:gridCol w:w="1134"/>
        <w:gridCol w:w="991"/>
        <w:gridCol w:w="992"/>
        <w:gridCol w:w="992"/>
      </w:tblGrid>
      <w:tr w:rsidR="00940F7B" w14:paraId="71AC7B6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0BE11F78" w14:textId="77777777" w:rsidR="009D33A8" w:rsidRDefault="009D33A8">
            <w:pPr>
              <w:keepNext/>
              <w:spacing w:after="0"/>
            </w:pPr>
            <w:r>
              <w:t>2024</w:t>
            </w:r>
          </w:p>
        </w:tc>
        <w:tc>
          <w:tcPr>
            <w:tcW w:w="1134" w:type="dxa"/>
          </w:tcPr>
          <w:p w14:paraId="5681018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1" w:type="dxa"/>
          </w:tcPr>
          <w:p w14:paraId="2E23939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25E11C7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480E8FB9"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D33A8" w14:paraId="0087C7B5" w14:textId="77777777">
        <w:tc>
          <w:tcPr>
            <w:cnfStyle w:val="001000000000" w:firstRow="0" w:lastRow="0" w:firstColumn="1" w:lastColumn="0" w:oddVBand="0" w:evenVBand="0" w:oddHBand="0" w:evenHBand="0" w:firstRowFirstColumn="0" w:firstRowLastColumn="0" w:lastRowFirstColumn="0" w:lastRowLastColumn="0"/>
            <w:tcW w:w="5529" w:type="dxa"/>
          </w:tcPr>
          <w:p w14:paraId="01071E66" w14:textId="77777777" w:rsidR="009D33A8" w:rsidRDefault="009D33A8">
            <w:pPr>
              <w:spacing w:after="0"/>
            </w:pPr>
            <w:r>
              <w:rPr>
                <w:b/>
              </w:rPr>
              <w:t>Financial assets</w:t>
            </w:r>
          </w:p>
        </w:tc>
        <w:tc>
          <w:tcPr>
            <w:tcW w:w="1134" w:type="dxa"/>
          </w:tcPr>
          <w:p w14:paraId="0925EBD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1" w:type="dxa"/>
          </w:tcPr>
          <w:p w14:paraId="0ED4BD0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126527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992" w:type="dxa"/>
          </w:tcPr>
          <w:p w14:paraId="4DACFD8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09A6B072" w14:textId="77777777">
        <w:tc>
          <w:tcPr>
            <w:cnfStyle w:val="001000000000" w:firstRow="0" w:lastRow="0" w:firstColumn="1" w:lastColumn="0" w:oddVBand="0" w:evenVBand="0" w:oddHBand="0" w:evenHBand="0" w:firstRowFirstColumn="0" w:firstRowLastColumn="0" w:lastRowFirstColumn="0" w:lastRowLastColumn="0"/>
            <w:tcW w:w="5529" w:type="dxa"/>
          </w:tcPr>
          <w:p w14:paraId="74050C78" w14:textId="77777777" w:rsidR="009D33A8" w:rsidRDefault="009D33A8">
            <w:pPr>
              <w:spacing w:after="0"/>
            </w:pPr>
            <w:r>
              <w:t>Cash</w:t>
            </w:r>
          </w:p>
        </w:tc>
        <w:tc>
          <w:tcPr>
            <w:tcW w:w="1134" w:type="dxa"/>
          </w:tcPr>
          <w:p w14:paraId="00BC4D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14 306</w:t>
            </w:r>
          </w:p>
        </w:tc>
        <w:tc>
          <w:tcPr>
            <w:tcW w:w="991" w:type="dxa"/>
          </w:tcPr>
          <w:p w14:paraId="52FFDB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14 306</w:t>
            </w:r>
          </w:p>
        </w:tc>
        <w:tc>
          <w:tcPr>
            <w:tcW w:w="992" w:type="dxa"/>
          </w:tcPr>
          <w:p w14:paraId="3C9D36A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6467F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3C52C485" w14:textId="77777777">
        <w:tc>
          <w:tcPr>
            <w:cnfStyle w:val="001000000000" w:firstRow="0" w:lastRow="0" w:firstColumn="1" w:lastColumn="0" w:oddVBand="0" w:evenVBand="0" w:oddHBand="0" w:evenHBand="0" w:firstRowFirstColumn="0" w:firstRowLastColumn="0" w:lastRowFirstColumn="0" w:lastRowLastColumn="0"/>
            <w:tcW w:w="5529" w:type="dxa"/>
          </w:tcPr>
          <w:p w14:paraId="5ACBB6F1" w14:textId="77777777" w:rsidR="009D33A8" w:rsidRDefault="009D33A8">
            <w:pPr>
              <w:spacing w:after="0"/>
            </w:pPr>
            <w:r>
              <w:t>Derivative financial instruments</w:t>
            </w:r>
          </w:p>
        </w:tc>
        <w:tc>
          <w:tcPr>
            <w:tcW w:w="1134" w:type="dxa"/>
          </w:tcPr>
          <w:p w14:paraId="543617D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72</w:t>
            </w:r>
          </w:p>
        </w:tc>
        <w:tc>
          <w:tcPr>
            <w:tcW w:w="991" w:type="dxa"/>
          </w:tcPr>
          <w:p w14:paraId="3A3E4AB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w:t>
            </w:r>
          </w:p>
        </w:tc>
        <w:tc>
          <w:tcPr>
            <w:tcW w:w="992" w:type="dxa"/>
          </w:tcPr>
          <w:p w14:paraId="02C5D2C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7A341D3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63</w:t>
            </w:r>
          </w:p>
        </w:tc>
      </w:tr>
      <w:tr w:rsidR="009D33A8" w14:paraId="15270C3F" w14:textId="77777777">
        <w:tc>
          <w:tcPr>
            <w:cnfStyle w:val="001000000000" w:firstRow="0" w:lastRow="0" w:firstColumn="1" w:lastColumn="0" w:oddVBand="0" w:evenVBand="0" w:oddHBand="0" w:evenHBand="0" w:firstRowFirstColumn="0" w:firstRowLastColumn="0" w:lastRowFirstColumn="0" w:lastRowLastColumn="0"/>
            <w:tcW w:w="5529" w:type="dxa"/>
          </w:tcPr>
          <w:p w14:paraId="4E49E993" w14:textId="77777777" w:rsidR="009D33A8" w:rsidRDefault="009D33A8">
            <w:pPr>
              <w:spacing w:after="0"/>
            </w:pPr>
            <w:r>
              <w:t>Advances paid</w:t>
            </w:r>
          </w:p>
        </w:tc>
        <w:tc>
          <w:tcPr>
            <w:tcW w:w="1134" w:type="dxa"/>
          </w:tcPr>
          <w:p w14:paraId="04927C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w:t>
            </w:r>
          </w:p>
        </w:tc>
        <w:tc>
          <w:tcPr>
            <w:tcW w:w="991" w:type="dxa"/>
          </w:tcPr>
          <w:p w14:paraId="02B67B6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w:t>
            </w:r>
          </w:p>
        </w:tc>
        <w:tc>
          <w:tcPr>
            <w:tcW w:w="992" w:type="dxa"/>
          </w:tcPr>
          <w:p w14:paraId="2DA8B61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C5E9FD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153145BE" w14:textId="77777777">
        <w:tc>
          <w:tcPr>
            <w:cnfStyle w:val="001000000000" w:firstRow="0" w:lastRow="0" w:firstColumn="1" w:lastColumn="0" w:oddVBand="0" w:evenVBand="0" w:oddHBand="0" w:evenHBand="0" w:firstRowFirstColumn="0" w:firstRowLastColumn="0" w:lastRowFirstColumn="0" w:lastRowLastColumn="0"/>
            <w:tcW w:w="5529" w:type="dxa"/>
          </w:tcPr>
          <w:p w14:paraId="160D7A25" w14:textId="77777777" w:rsidR="009D33A8" w:rsidRDefault="009D33A8">
            <w:pPr>
              <w:spacing w:after="0"/>
            </w:pPr>
            <w:r>
              <w:t>Equities and managed investment schemes</w:t>
            </w:r>
          </w:p>
        </w:tc>
        <w:tc>
          <w:tcPr>
            <w:tcW w:w="1134" w:type="dxa"/>
          </w:tcPr>
          <w:p w14:paraId="1E13AC3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14 418</w:t>
            </w:r>
          </w:p>
        </w:tc>
        <w:tc>
          <w:tcPr>
            <w:tcW w:w="991" w:type="dxa"/>
          </w:tcPr>
          <w:p w14:paraId="73C1A9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302</w:t>
            </w:r>
          </w:p>
        </w:tc>
        <w:tc>
          <w:tcPr>
            <w:tcW w:w="992" w:type="dxa"/>
          </w:tcPr>
          <w:p w14:paraId="67A2649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14 116</w:t>
            </w:r>
          </w:p>
        </w:tc>
        <w:tc>
          <w:tcPr>
            <w:tcW w:w="992" w:type="dxa"/>
          </w:tcPr>
          <w:p w14:paraId="5BF9B2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55D30762" w14:textId="77777777">
        <w:tc>
          <w:tcPr>
            <w:cnfStyle w:val="001000000000" w:firstRow="0" w:lastRow="0" w:firstColumn="1" w:lastColumn="0" w:oddVBand="0" w:evenVBand="0" w:oddHBand="0" w:evenHBand="0" w:firstRowFirstColumn="0" w:firstRowLastColumn="0" w:lastRowFirstColumn="0" w:lastRowLastColumn="0"/>
            <w:tcW w:w="5529" w:type="dxa"/>
          </w:tcPr>
          <w:p w14:paraId="1E4D3E67" w14:textId="77777777" w:rsidR="009D33A8" w:rsidRDefault="009D33A8">
            <w:pPr>
              <w:spacing w:after="0"/>
            </w:pPr>
            <w:r>
              <w:t>Debt securities at fair value</w:t>
            </w:r>
          </w:p>
        </w:tc>
        <w:tc>
          <w:tcPr>
            <w:tcW w:w="1134" w:type="dxa"/>
          </w:tcPr>
          <w:p w14:paraId="145FA7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w:t>
            </w:r>
          </w:p>
        </w:tc>
        <w:tc>
          <w:tcPr>
            <w:tcW w:w="991" w:type="dxa"/>
          </w:tcPr>
          <w:p w14:paraId="34AE4D1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w:t>
            </w:r>
          </w:p>
        </w:tc>
        <w:tc>
          <w:tcPr>
            <w:tcW w:w="992" w:type="dxa"/>
          </w:tcPr>
          <w:p w14:paraId="1DCF318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992" w:type="dxa"/>
          </w:tcPr>
          <w:p w14:paraId="30AC1C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5406708C" w14:textId="77777777">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1BCF0B9A" w14:textId="77777777" w:rsidR="009D33A8" w:rsidRDefault="009D33A8">
            <w:pPr>
              <w:spacing w:after="0"/>
            </w:pPr>
            <w:r>
              <w:rPr>
                <w:b/>
              </w:rPr>
              <w:t>Total financial assets</w:t>
            </w:r>
          </w:p>
        </w:tc>
        <w:tc>
          <w:tcPr>
            <w:tcW w:w="1134" w:type="dxa"/>
            <w:tcBorders>
              <w:top w:val="single" w:sz="6" w:space="0" w:color="auto"/>
              <w:bottom w:val="single" w:sz="12" w:space="0" w:color="auto"/>
            </w:tcBorders>
          </w:tcPr>
          <w:p w14:paraId="70FCD3F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28 819</w:t>
            </w:r>
          </w:p>
        </w:tc>
        <w:tc>
          <w:tcPr>
            <w:tcW w:w="991" w:type="dxa"/>
            <w:tcBorders>
              <w:top w:val="single" w:sz="6" w:space="0" w:color="auto"/>
              <w:bottom w:val="single" w:sz="12" w:space="0" w:color="auto"/>
            </w:tcBorders>
          </w:tcPr>
          <w:p w14:paraId="2E5D378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14 640</w:t>
            </w:r>
          </w:p>
        </w:tc>
        <w:tc>
          <w:tcPr>
            <w:tcW w:w="992" w:type="dxa"/>
            <w:tcBorders>
              <w:top w:val="single" w:sz="6" w:space="0" w:color="auto"/>
              <w:bottom w:val="single" w:sz="12" w:space="0" w:color="auto"/>
            </w:tcBorders>
          </w:tcPr>
          <w:p w14:paraId="4926F1F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14 116</w:t>
            </w:r>
          </w:p>
        </w:tc>
        <w:tc>
          <w:tcPr>
            <w:tcW w:w="992" w:type="dxa"/>
            <w:tcBorders>
              <w:top w:val="single" w:sz="6" w:space="0" w:color="auto"/>
              <w:bottom w:val="single" w:sz="12" w:space="0" w:color="auto"/>
            </w:tcBorders>
          </w:tcPr>
          <w:p w14:paraId="761D104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63</w:t>
            </w:r>
          </w:p>
        </w:tc>
      </w:tr>
    </w:tbl>
    <w:p w14:paraId="16189556" w14:textId="77777777" w:rsidR="009D33A8" w:rsidRPr="00542BB7" w:rsidRDefault="009D33A8" w:rsidP="009D33A8">
      <w:pPr>
        <w:pStyle w:val="Note"/>
        <w:rPr>
          <w:b/>
          <w:bCs/>
          <w:lang w:val="en-US"/>
        </w:rPr>
      </w:pPr>
      <w:r>
        <w:t>Note:</w:t>
      </w:r>
    </w:p>
    <w:p w14:paraId="4825BBFD" w14:textId="362ADCCF" w:rsidR="009D33A8" w:rsidRDefault="009D33A8" w:rsidP="009D33A8">
      <w:pPr>
        <w:pStyle w:val="Note"/>
      </w:pPr>
      <w:r>
        <w:t>(a)</w:t>
      </w:r>
      <w:r>
        <w:tab/>
        <w:t>The general government sector</w:t>
      </w:r>
      <w:r w:rsidR="00845934">
        <w:t>’</w:t>
      </w:r>
      <w:r>
        <w:t>s financial liabilities are primarily measured at amortised cost. Any financial liabilities measured at fair value are immaterial and therefore not disclosed in the above table for financial assets and liabilities measured at fair value, in accordance with Australian Accounting Standards.</w:t>
      </w:r>
    </w:p>
    <w:p w14:paraId="6AA9B824" w14:textId="77777777" w:rsidR="009D33A8" w:rsidRDefault="009D33A8" w:rsidP="009D33A8">
      <w:pPr>
        <w:pStyle w:val="Note"/>
      </w:pPr>
    </w:p>
    <w:p w14:paraId="0C0A381D" w14:textId="77777777" w:rsidR="009D33A8" w:rsidRDefault="009D33A8" w:rsidP="009D33A8">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inancial Instruments/Link_Financial_Instruments.xlsx|Table:FV_Reco_Level_3_assets"/>
      </w:tblPr>
      <w:tblGrid>
        <w:gridCol w:w="4253"/>
        <w:gridCol w:w="850"/>
        <w:gridCol w:w="851"/>
        <w:gridCol w:w="992"/>
        <w:gridCol w:w="992"/>
        <w:gridCol w:w="850"/>
        <w:gridCol w:w="850"/>
      </w:tblGrid>
      <w:tr w:rsidR="009D33A8" w14:paraId="7337881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7F176DC0" w14:textId="77777777" w:rsidR="009D33A8" w:rsidRDefault="009D33A8">
            <w:pPr>
              <w:keepNext/>
            </w:pPr>
          </w:p>
        </w:tc>
        <w:tc>
          <w:tcPr>
            <w:tcW w:w="1701" w:type="dxa"/>
            <w:gridSpan w:val="2"/>
          </w:tcPr>
          <w:p w14:paraId="40DA47F3"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Derivative financial instrument assets</w:t>
            </w:r>
          </w:p>
        </w:tc>
        <w:tc>
          <w:tcPr>
            <w:tcW w:w="1984" w:type="dxa"/>
            <w:gridSpan w:val="2"/>
          </w:tcPr>
          <w:p w14:paraId="11071005"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Equities and managed investment schemes</w:t>
            </w:r>
          </w:p>
        </w:tc>
        <w:tc>
          <w:tcPr>
            <w:tcW w:w="1700" w:type="dxa"/>
            <w:gridSpan w:val="2"/>
          </w:tcPr>
          <w:p w14:paraId="56FE4204"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Debt securities </w:t>
            </w:r>
            <w:r>
              <w:br/>
              <w:t>at fair value</w:t>
            </w:r>
          </w:p>
        </w:tc>
      </w:tr>
      <w:tr w:rsidR="00991200" w14:paraId="5B5BD2F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346DB99F" w14:textId="77777777" w:rsidR="009D33A8" w:rsidRDefault="009D33A8">
            <w:pPr>
              <w:keepNext/>
            </w:pPr>
            <w:r>
              <w:t>State of Victoria</w:t>
            </w:r>
          </w:p>
        </w:tc>
        <w:tc>
          <w:tcPr>
            <w:tcW w:w="850" w:type="dxa"/>
          </w:tcPr>
          <w:p w14:paraId="7076D09E"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851" w:type="dxa"/>
          </w:tcPr>
          <w:p w14:paraId="192E1EA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195AE42E"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4EF087A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850" w:type="dxa"/>
          </w:tcPr>
          <w:p w14:paraId="7C922FA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850" w:type="dxa"/>
          </w:tcPr>
          <w:p w14:paraId="0F3ABC7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7CE89CA1" w14:textId="77777777">
        <w:tc>
          <w:tcPr>
            <w:cnfStyle w:val="001000000000" w:firstRow="0" w:lastRow="0" w:firstColumn="1" w:lastColumn="0" w:oddVBand="0" w:evenVBand="0" w:oddHBand="0" w:evenHBand="0" w:firstRowFirstColumn="0" w:firstRowLastColumn="0" w:lastRowFirstColumn="0" w:lastRowLastColumn="0"/>
            <w:tcW w:w="4253" w:type="dxa"/>
            <w:tcBorders>
              <w:top w:val="nil"/>
            </w:tcBorders>
          </w:tcPr>
          <w:p w14:paraId="6CB8B24E" w14:textId="77777777" w:rsidR="009D33A8" w:rsidRDefault="009D33A8">
            <w:r>
              <w:rPr>
                <w:b/>
              </w:rPr>
              <w:t>Opening balance</w:t>
            </w:r>
          </w:p>
        </w:tc>
        <w:tc>
          <w:tcPr>
            <w:tcW w:w="850" w:type="dxa"/>
            <w:tcBorders>
              <w:top w:val="nil"/>
            </w:tcBorders>
          </w:tcPr>
          <w:p w14:paraId="049D481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77</w:t>
            </w:r>
          </w:p>
        </w:tc>
        <w:tc>
          <w:tcPr>
            <w:tcW w:w="851" w:type="dxa"/>
            <w:tcBorders>
              <w:top w:val="nil"/>
            </w:tcBorders>
          </w:tcPr>
          <w:p w14:paraId="20E411B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127</w:t>
            </w:r>
          </w:p>
        </w:tc>
        <w:tc>
          <w:tcPr>
            <w:tcW w:w="992" w:type="dxa"/>
            <w:tcBorders>
              <w:top w:val="nil"/>
            </w:tcBorders>
          </w:tcPr>
          <w:p w14:paraId="6887A3F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15 211</w:t>
            </w:r>
          </w:p>
        </w:tc>
        <w:tc>
          <w:tcPr>
            <w:tcW w:w="992" w:type="dxa"/>
            <w:tcBorders>
              <w:top w:val="nil"/>
            </w:tcBorders>
          </w:tcPr>
          <w:p w14:paraId="36AB284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14 677</w:t>
            </w:r>
          </w:p>
        </w:tc>
        <w:tc>
          <w:tcPr>
            <w:tcW w:w="850" w:type="dxa"/>
            <w:tcBorders>
              <w:top w:val="nil"/>
            </w:tcBorders>
          </w:tcPr>
          <w:p w14:paraId="5F361AC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115</w:t>
            </w:r>
          </w:p>
        </w:tc>
        <w:tc>
          <w:tcPr>
            <w:tcW w:w="850" w:type="dxa"/>
            <w:tcBorders>
              <w:top w:val="nil"/>
            </w:tcBorders>
          </w:tcPr>
          <w:p w14:paraId="39AEAB2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40</w:t>
            </w:r>
          </w:p>
        </w:tc>
      </w:tr>
      <w:tr w:rsidR="009D33A8" w14:paraId="2B17E254" w14:textId="77777777">
        <w:tc>
          <w:tcPr>
            <w:cnfStyle w:val="001000000000" w:firstRow="0" w:lastRow="0" w:firstColumn="1" w:lastColumn="0" w:oddVBand="0" w:evenVBand="0" w:oddHBand="0" w:evenHBand="0" w:firstRowFirstColumn="0" w:firstRowLastColumn="0" w:lastRowFirstColumn="0" w:lastRowLastColumn="0"/>
            <w:tcW w:w="4253" w:type="dxa"/>
          </w:tcPr>
          <w:p w14:paraId="02CDC5CD" w14:textId="77777777" w:rsidR="009D33A8" w:rsidRDefault="009D33A8">
            <w:r>
              <w:t>Total gains and losses recognised in:</w:t>
            </w:r>
          </w:p>
        </w:tc>
        <w:tc>
          <w:tcPr>
            <w:tcW w:w="850" w:type="dxa"/>
          </w:tcPr>
          <w:p w14:paraId="2B29FFF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054CC2C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Pr>
          <w:p w14:paraId="6CD9314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2" w:type="dxa"/>
          </w:tcPr>
          <w:p w14:paraId="634504C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69D4395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0DA9185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2F6E404" w14:textId="77777777">
        <w:tc>
          <w:tcPr>
            <w:cnfStyle w:val="001000000000" w:firstRow="0" w:lastRow="0" w:firstColumn="1" w:lastColumn="0" w:oddVBand="0" w:evenVBand="0" w:oddHBand="0" w:evenHBand="0" w:firstRowFirstColumn="0" w:firstRowLastColumn="0" w:lastRowFirstColumn="0" w:lastRowLastColumn="0"/>
            <w:tcW w:w="4253" w:type="dxa"/>
          </w:tcPr>
          <w:p w14:paraId="4E527BBE" w14:textId="77777777" w:rsidR="009D33A8" w:rsidRDefault="009D33A8">
            <w:r>
              <w:t xml:space="preserve">   Net result</w:t>
            </w:r>
          </w:p>
        </w:tc>
        <w:tc>
          <w:tcPr>
            <w:tcW w:w="850" w:type="dxa"/>
          </w:tcPr>
          <w:p w14:paraId="4D620FF3" w14:textId="77777777" w:rsidR="009D33A8" w:rsidRDefault="009D33A8">
            <w:pPr>
              <w:cnfStyle w:val="000000000000" w:firstRow="0" w:lastRow="0" w:firstColumn="0" w:lastColumn="0" w:oddVBand="0" w:evenVBand="0" w:oddHBand="0" w:evenHBand="0" w:firstRowFirstColumn="0" w:firstRowLastColumn="0" w:lastRowFirstColumn="0" w:lastRowLastColumn="0"/>
            </w:pPr>
            <w:r>
              <w:t>545</w:t>
            </w:r>
          </w:p>
        </w:tc>
        <w:tc>
          <w:tcPr>
            <w:tcW w:w="851" w:type="dxa"/>
          </w:tcPr>
          <w:p w14:paraId="460AB4A5" w14:textId="77777777" w:rsidR="009D33A8" w:rsidRDefault="009D33A8">
            <w:pPr>
              <w:cnfStyle w:val="000000000000" w:firstRow="0" w:lastRow="0" w:firstColumn="0" w:lastColumn="0" w:oddVBand="0" w:evenVBand="0" w:oddHBand="0" w:evenHBand="0" w:firstRowFirstColumn="0" w:firstRowLastColumn="0" w:lastRowFirstColumn="0" w:lastRowLastColumn="0"/>
            </w:pPr>
            <w:r>
              <w:t>(15)</w:t>
            </w:r>
          </w:p>
        </w:tc>
        <w:tc>
          <w:tcPr>
            <w:tcW w:w="992" w:type="dxa"/>
          </w:tcPr>
          <w:p w14:paraId="23C0EFD7" w14:textId="77777777" w:rsidR="009D33A8" w:rsidRDefault="009D33A8">
            <w:pPr>
              <w:cnfStyle w:val="000000000000" w:firstRow="0" w:lastRow="0" w:firstColumn="0" w:lastColumn="0" w:oddVBand="0" w:evenVBand="0" w:oddHBand="0" w:evenHBand="0" w:firstRowFirstColumn="0" w:firstRowLastColumn="0" w:lastRowFirstColumn="0" w:lastRowLastColumn="0"/>
            </w:pPr>
            <w:r>
              <w:t>318</w:t>
            </w:r>
          </w:p>
        </w:tc>
        <w:tc>
          <w:tcPr>
            <w:tcW w:w="992" w:type="dxa"/>
          </w:tcPr>
          <w:p w14:paraId="3BBDD30A" w14:textId="77777777" w:rsidR="009D33A8" w:rsidRDefault="009D33A8">
            <w:pPr>
              <w:cnfStyle w:val="000000000000" w:firstRow="0" w:lastRow="0" w:firstColumn="0" w:lastColumn="0" w:oddVBand="0" w:evenVBand="0" w:oddHBand="0" w:evenHBand="0" w:firstRowFirstColumn="0" w:firstRowLastColumn="0" w:lastRowFirstColumn="0" w:lastRowLastColumn="0"/>
            </w:pPr>
            <w:r>
              <w:t>(140)</w:t>
            </w:r>
          </w:p>
        </w:tc>
        <w:tc>
          <w:tcPr>
            <w:tcW w:w="850" w:type="dxa"/>
          </w:tcPr>
          <w:p w14:paraId="7C55E87E"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06C51D04"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75C1C0F7" w14:textId="77777777">
        <w:tc>
          <w:tcPr>
            <w:cnfStyle w:val="001000000000" w:firstRow="0" w:lastRow="0" w:firstColumn="1" w:lastColumn="0" w:oddVBand="0" w:evenVBand="0" w:oddHBand="0" w:evenHBand="0" w:firstRowFirstColumn="0" w:firstRowLastColumn="0" w:lastRowFirstColumn="0" w:lastRowLastColumn="0"/>
            <w:tcW w:w="4253" w:type="dxa"/>
          </w:tcPr>
          <w:p w14:paraId="649644D1" w14:textId="77777777" w:rsidR="009D33A8" w:rsidRDefault="009D33A8">
            <w:r>
              <w:t xml:space="preserve">   Other comprehensive income</w:t>
            </w:r>
          </w:p>
        </w:tc>
        <w:tc>
          <w:tcPr>
            <w:tcW w:w="850" w:type="dxa"/>
          </w:tcPr>
          <w:p w14:paraId="73DAFE2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3563F5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0EC9E161" w14:textId="77777777" w:rsidR="009D33A8" w:rsidRDefault="009D33A8">
            <w:pPr>
              <w:cnfStyle w:val="000000000000" w:firstRow="0" w:lastRow="0" w:firstColumn="0" w:lastColumn="0" w:oddVBand="0" w:evenVBand="0" w:oddHBand="0" w:evenHBand="0" w:firstRowFirstColumn="0" w:firstRowLastColumn="0" w:lastRowFirstColumn="0" w:lastRowLastColumn="0"/>
            </w:pPr>
            <w:r>
              <w:t>151</w:t>
            </w:r>
          </w:p>
        </w:tc>
        <w:tc>
          <w:tcPr>
            <w:tcW w:w="992" w:type="dxa"/>
          </w:tcPr>
          <w:p w14:paraId="71D7ECC0" w14:textId="77777777" w:rsidR="009D33A8" w:rsidRDefault="009D33A8">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03A2698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8B7298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6412688A" w14:textId="77777777">
        <w:tc>
          <w:tcPr>
            <w:cnfStyle w:val="001000000000" w:firstRow="0" w:lastRow="0" w:firstColumn="1" w:lastColumn="0" w:oddVBand="0" w:evenVBand="0" w:oddHBand="0" w:evenHBand="0" w:firstRowFirstColumn="0" w:firstRowLastColumn="0" w:lastRowFirstColumn="0" w:lastRowLastColumn="0"/>
            <w:tcW w:w="4253" w:type="dxa"/>
          </w:tcPr>
          <w:p w14:paraId="2514AD28" w14:textId="77777777" w:rsidR="009D33A8" w:rsidRDefault="009D33A8">
            <w:r>
              <w:t xml:space="preserve">   Purchases</w:t>
            </w:r>
          </w:p>
        </w:tc>
        <w:tc>
          <w:tcPr>
            <w:tcW w:w="850" w:type="dxa"/>
          </w:tcPr>
          <w:p w14:paraId="2543A0E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2E7FF7A3" w14:textId="77777777" w:rsidR="009D33A8" w:rsidRDefault="009D33A8">
            <w:pP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7E4BF384" w14:textId="77777777" w:rsidR="009D33A8" w:rsidRDefault="009D33A8">
            <w:pPr>
              <w:cnfStyle w:val="000000000000" w:firstRow="0" w:lastRow="0" w:firstColumn="0" w:lastColumn="0" w:oddVBand="0" w:evenVBand="0" w:oddHBand="0" w:evenHBand="0" w:firstRowFirstColumn="0" w:firstRowLastColumn="0" w:lastRowFirstColumn="0" w:lastRowLastColumn="0"/>
            </w:pPr>
            <w:r>
              <w:t>2 436</w:t>
            </w:r>
          </w:p>
        </w:tc>
        <w:tc>
          <w:tcPr>
            <w:tcW w:w="992" w:type="dxa"/>
          </w:tcPr>
          <w:p w14:paraId="42C9FDD9" w14:textId="77777777" w:rsidR="009D33A8" w:rsidRDefault="009D33A8">
            <w:pPr>
              <w:cnfStyle w:val="000000000000" w:firstRow="0" w:lastRow="0" w:firstColumn="0" w:lastColumn="0" w:oddVBand="0" w:evenVBand="0" w:oddHBand="0" w:evenHBand="0" w:firstRowFirstColumn="0" w:firstRowLastColumn="0" w:lastRowFirstColumn="0" w:lastRowLastColumn="0"/>
            </w:pPr>
            <w:r>
              <w:t>2 138</w:t>
            </w:r>
          </w:p>
        </w:tc>
        <w:tc>
          <w:tcPr>
            <w:tcW w:w="850" w:type="dxa"/>
          </w:tcPr>
          <w:p w14:paraId="5A1C4113" w14:textId="77777777" w:rsidR="009D33A8" w:rsidRDefault="009D33A8">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08F96E8A" w14:textId="77777777" w:rsidR="009D33A8" w:rsidRDefault="009D33A8">
            <w:pPr>
              <w:cnfStyle w:val="000000000000" w:firstRow="0" w:lastRow="0" w:firstColumn="0" w:lastColumn="0" w:oddVBand="0" w:evenVBand="0" w:oddHBand="0" w:evenHBand="0" w:firstRowFirstColumn="0" w:firstRowLastColumn="0" w:lastRowFirstColumn="0" w:lastRowLastColumn="0"/>
            </w:pPr>
            <w:r>
              <w:t>77</w:t>
            </w:r>
          </w:p>
        </w:tc>
      </w:tr>
      <w:tr w:rsidR="009D33A8" w14:paraId="32BE5BD8" w14:textId="77777777">
        <w:tc>
          <w:tcPr>
            <w:cnfStyle w:val="001000000000" w:firstRow="0" w:lastRow="0" w:firstColumn="1" w:lastColumn="0" w:oddVBand="0" w:evenVBand="0" w:oddHBand="0" w:evenHBand="0" w:firstRowFirstColumn="0" w:firstRowLastColumn="0" w:lastRowFirstColumn="0" w:lastRowLastColumn="0"/>
            <w:tcW w:w="4253" w:type="dxa"/>
          </w:tcPr>
          <w:p w14:paraId="3141701E" w14:textId="77777777" w:rsidR="009D33A8" w:rsidRDefault="009D33A8">
            <w:r>
              <w:t xml:space="preserve">   Sales</w:t>
            </w:r>
          </w:p>
        </w:tc>
        <w:tc>
          <w:tcPr>
            <w:tcW w:w="850" w:type="dxa"/>
          </w:tcPr>
          <w:p w14:paraId="3676FDA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DED9F7A"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992" w:type="dxa"/>
          </w:tcPr>
          <w:p w14:paraId="700BBA73" w14:textId="77777777" w:rsidR="009D33A8" w:rsidRDefault="009D33A8">
            <w:pPr>
              <w:cnfStyle w:val="000000000000" w:firstRow="0" w:lastRow="0" w:firstColumn="0" w:lastColumn="0" w:oddVBand="0" w:evenVBand="0" w:oddHBand="0" w:evenHBand="0" w:firstRowFirstColumn="0" w:firstRowLastColumn="0" w:lastRowFirstColumn="0" w:lastRowLastColumn="0"/>
            </w:pPr>
            <w:r>
              <w:t>(971)</w:t>
            </w:r>
          </w:p>
        </w:tc>
        <w:tc>
          <w:tcPr>
            <w:tcW w:w="992" w:type="dxa"/>
          </w:tcPr>
          <w:p w14:paraId="0CFCB149" w14:textId="77777777" w:rsidR="009D33A8" w:rsidRDefault="009D33A8">
            <w:pPr>
              <w:cnfStyle w:val="000000000000" w:firstRow="0" w:lastRow="0" w:firstColumn="0" w:lastColumn="0" w:oddVBand="0" w:evenVBand="0" w:oddHBand="0" w:evenHBand="0" w:firstRowFirstColumn="0" w:firstRowLastColumn="0" w:lastRowFirstColumn="0" w:lastRowLastColumn="0"/>
            </w:pPr>
            <w:r>
              <w:t>(1 478)</w:t>
            </w:r>
          </w:p>
        </w:tc>
        <w:tc>
          <w:tcPr>
            <w:tcW w:w="850" w:type="dxa"/>
          </w:tcPr>
          <w:p w14:paraId="5529F963" w14:textId="77777777" w:rsidR="009D33A8" w:rsidRDefault="009D33A8">
            <w:pPr>
              <w:cnfStyle w:val="000000000000" w:firstRow="0" w:lastRow="0" w:firstColumn="0" w:lastColumn="0" w:oddVBand="0" w:evenVBand="0" w:oddHBand="0" w:evenHBand="0" w:firstRowFirstColumn="0" w:firstRowLastColumn="0" w:lastRowFirstColumn="0" w:lastRowLastColumn="0"/>
            </w:pPr>
            <w:r>
              <w:t>(55)</w:t>
            </w:r>
          </w:p>
        </w:tc>
        <w:tc>
          <w:tcPr>
            <w:tcW w:w="850" w:type="dxa"/>
          </w:tcPr>
          <w:p w14:paraId="465129D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2EBCAFB9" w14:textId="77777777">
        <w:tc>
          <w:tcPr>
            <w:cnfStyle w:val="001000000000" w:firstRow="0" w:lastRow="0" w:firstColumn="1" w:lastColumn="0" w:oddVBand="0" w:evenVBand="0" w:oddHBand="0" w:evenHBand="0" w:firstRowFirstColumn="0" w:firstRowLastColumn="0" w:lastRowFirstColumn="0" w:lastRowLastColumn="0"/>
            <w:tcW w:w="4253" w:type="dxa"/>
          </w:tcPr>
          <w:p w14:paraId="4BD63F4A" w14:textId="77777777" w:rsidR="009D33A8" w:rsidRDefault="009D33A8">
            <w:r>
              <w:t xml:space="preserve">   Settlements</w:t>
            </w:r>
          </w:p>
        </w:tc>
        <w:tc>
          <w:tcPr>
            <w:tcW w:w="850" w:type="dxa"/>
          </w:tcPr>
          <w:p w14:paraId="7546E135" w14:textId="77777777" w:rsidR="009D33A8" w:rsidRDefault="009D33A8">
            <w:pPr>
              <w:cnfStyle w:val="000000000000" w:firstRow="0" w:lastRow="0" w:firstColumn="0" w:lastColumn="0" w:oddVBand="0" w:evenVBand="0" w:oddHBand="0" w:evenHBand="0" w:firstRowFirstColumn="0" w:firstRowLastColumn="0" w:lastRowFirstColumn="0" w:lastRowLastColumn="0"/>
            </w:pPr>
            <w:r>
              <w:t>(52)</w:t>
            </w:r>
          </w:p>
        </w:tc>
        <w:tc>
          <w:tcPr>
            <w:tcW w:w="851" w:type="dxa"/>
          </w:tcPr>
          <w:p w14:paraId="3B3A9A9A" w14:textId="77777777" w:rsidR="009D33A8" w:rsidRDefault="009D33A8">
            <w:pPr>
              <w:cnfStyle w:val="000000000000" w:firstRow="0" w:lastRow="0" w:firstColumn="0" w:lastColumn="0" w:oddVBand="0" w:evenVBand="0" w:oddHBand="0" w:evenHBand="0" w:firstRowFirstColumn="0" w:firstRowLastColumn="0" w:lastRowFirstColumn="0" w:lastRowLastColumn="0"/>
            </w:pPr>
            <w:r>
              <w:t>(61)</w:t>
            </w:r>
          </w:p>
        </w:tc>
        <w:tc>
          <w:tcPr>
            <w:tcW w:w="992" w:type="dxa"/>
          </w:tcPr>
          <w:p w14:paraId="5249D29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75210A7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F9AD9F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2A77EE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CEC9DEE" w14:textId="77777777">
        <w:tc>
          <w:tcPr>
            <w:cnfStyle w:val="001000000000" w:firstRow="0" w:lastRow="0" w:firstColumn="1" w:lastColumn="0" w:oddVBand="0" w:evenVBand="0" w:oddHBand="0" w:evenHBand="0" w:firstRowFirstColumn="0" w:firstRowLastColumn="0" w:lastRowFirstColumn="0" w:lastRowLastColumn="0"/>
            <w:tcW w:w="4253" w:type="dxa"/>
          </w:tcPr>
          <w:p w14:paraId="17AE2872" w14:textId="77777777" w:rsidR="009D33A8" w:rsidRDefault="009D33A8">
            <w:r>
              <w:t xml:space="preserve">   Transfers from other levels</w:t>
            </w:r>
          </w:p>
        </w:tc>
        <w:tc>
          <w:tcPr>
            <w:tcW w:w="850" w:type="dxa"/>
          </w:tcPr>
          <w:p w14:paraId="0F5267E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76884C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2FBB6053" w14:textId="77777777" w:rsidR="009D33A8" w:rsidRDefault="009D33A8">
            <w:pPr>
              <w:cnfStyle w:val="000000000000" w:firstRow="0" w:lastRow="0" w:firstColumn="0" w:lastColumn="0" w:oddVBand="0" w:evenVBand="0" w:oddHBand="0" w:evenHBand="0" w:firstRowFirstColumn="0" w:firstRowLastColumn="0" w:lastRowFirstColumn="0" w:lastRowLastColumn="0"/>
            </w:pPr>
            <w:r>
              <w:t>1 493</w:t>
            </w:r>
          </w:p>
        </w:tc>
        <w:tc>
          <w:tcPr>
            <w:tcW w:w="992" w:type="dxa"/>
          </w:tcPr>
          <w:p w14:paraId="426B1E4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22765B1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3192845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4CCBEB2" w14:textId="77777777">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7C738B80" w14:textId="77777777" w:rsidR="009D33A8" w:rsidRDefault="009D33A8">
            <w:r>
              <w:t xml:space="preserve">   Transfers out of Level 3</w:t>
            </w:r>
          </w:p>
        </w:tc>
        <w:tc>
          <w:tcPr>
            <w:tcW w:w="850" w:type="dxa"/>
            <w:tcBorders>
              <w:bottom w:val="single" w:sz="6" w:space="0" w:color="auto"/>
            </w:tcBorders>
          </w:tcPr>
          <w:p w14:paraId="77BB97B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72B96A1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4E28610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7E20286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32BBF5B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6FCDCA0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03923C7E" w14:textId="77777777">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7DBC7D37" w14:textId="77777777" w:rsidR="009D33A8" w:rsidRDefault="009D33A8">
            <w:r>
              <w:rPr>
                <w:b/>
              </w:rPr>
              <w:t>Closing balance</w:t>
            </w:r>
          </w:p>
        </w:tc>
        <w:tc>
          <w:tcPr>
            <w:tcW w:w="850" w:type="dxa"/>
            <w:tcBorders>
              <w:top w:val="single" w:sz="6" w:space="0" w:color="auto"/>
              <w:bottom w:val="single" w:sz="12" w:space="0" w:color="auto"/>
            </w:tcBorders>
          </w:tcPr>
          <w:p w14:paraId="431C9CE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570</w:t>
            </w:r>
          </w:p>
        </w:tc>
        <w:tc>
          <w:tcPr>
            <w:tcW w:w="851" w:type="dxa"/>
            <w:tcBorders>
              <w:top w:val="single" w:sz="6" w:space="0" w:color="auto"/>
              <w:bottom w:val="single" w:sz="12" w:space="0" w:color="auto"/>
            </w:tcBorders>
          </w:tcPr>
          <w:p w14:paraId="3BBCB99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77</w:t>
            </w:r>
          </w:p>
        </w:tc>
        <w:tc>
          <w:tcPr>
            <w:tcW w:w="992" w:type="dxa"/>
            <w:tcBorders>
              <w:top w:val="single" w:sz="6" w:space="0" w:color="auto"/>
              <w:bottom w:val="single" w:sz="12" w:space="0" w:color="auto"/>
            </w:tcBorders>
          </w:tcPr>
          <w:p w14:paraId="5229987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18 638</w:t>
            </w:r>
          </w:p>
        </w:tc>
        <w:tc>
          <w:tcPr>
            <w:tcW w:w="992" w:type="dxa"/>
            <w:tcBorders>
              <w:top w:val="single" w:sz="6" w:space="0" w:color="auto"/>
              <w:bottom w:val="single" w:sz="12" w:space="0" w:color="auto"/>
            </w:tcBorders>
          </w:tcPr>
          <w:p w14:paraId="20CC1F8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15 211</w:t>
            </w:r>
          </w:p>
        </w:tc>
        <w:tc>
          <w:tcPr>
            <w:tcW w:w="850" w:type="dxa"/>
            <w:tcBorders>
              <w:top w:val="single" w:sz="6" w:space="0" w:color="auto"/>
              <w:bottom w:val="single" w:sz="12" w:space="0" w:color="auto"/>
            </w:tcBorders>
          </w:tcPr>
          <w:p w14:paraId="51E213E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69</w:t>
            </w:r>
          </w:p>
        </w:tc>
        <w:tc>
          <w:tcPr>
            <w:tcW w:w="850" w:type="dxa"/>
            <w:tcBorders>
              <w:top w:val="single" w:sz="6" w:space="0" w:color="auto"/>
              <w:bottom w:val="single" w:sz="12" w:space="0" w:color="auto"/>
            </w:tcBorders>
          </w:tcPr>
          <w:p w14:paraId="6923201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115</w:t>
            </w:r>
          </w:p>
        </w:tc>
      </w:tr>
    </w:tbl>
    <w:p w14:paraId="1C275B1C" w14:textId="77777777" w:rsidR="009D33A8" w:rsidRDefault="009D33A8" w:rsidP="009D33A8">
      <w:pPr>
        <w:pStyle w:val="Note"/>
      </w:pPr>
      <w:r>
        <w:t>Note:</w:t>
      </w:r>
    </w:p>
    <w:p w14:paraId="2CDEF087" w14:textId="4A39F230" w:rsidR="009D33A8" w:rsidRDefault="009D33A8" w:rsidP="009D33A8">
      <w:pPr>
        <w:pStyle w:val="Note"/>
      </w:pPr>
      <w:r>
        <w:t>(a)</w:t>
      </w:r>
      <w:r>
        <w:tab/>
        <w:t>Reconciliation of Level 3 fair value movements is only disclosed for the whole of state as they are only material for the State</w:t>
      </w:r>
      <w:r w:rsidR="00845934">
        <w:t>’</w:t>
      </w:r>
      <w:r>
        <w:t>s insurance agencies in the public financial corporations sector.</w:t>
      </w:r>
    </w:p>
    <w:p w14:paraId="7FBE3D16" w14:textId="77777777" w:rsidR="009D33A8" w:rsidRDefault="009D33A8" w:rsidP="009D33A8">
      <w:pPr>
        <w:pStyle w:val="Heading3"/>
        <w:ind w:left="0" w:firstLine="0"/>
      </w:pPr>
      <w:r>
        <w:t xml:space="preserve">Description of Level 3 valuation techniques used </w:t>
      </w:r>
      <w:r>
        <w:br/>
        <w:t>and key inputs to valuation</w:t>
      </w:r>
    </w:p>
    <w:p w14:paraId="0DB55080" w14:textId="77777777" w:rsidR="00811E13" w:rsidRDefault="00811E13" w:rsidP="009D33A8">
      <w:pPr>
        <w:sectPr w:rsidR="00811E13" w:rsidSect="00ED5429">
          <w:type w:val="continuous"/>
          <w:pgSz w:w="11906" w:h="16838" w:code="9"/>
          <w:pgMar w:top="1134" w:right="1134" w:bottom="1134" w:left="1134" w:header="624" w:footer="567" w:gutter="0"/>
          <w:cols w:space="708"/>
          <w:docGrid w:linePitch="360"/>
        </w:sectPr>
      </w:pPr>
    </w:p>
    <w:p w14:paraId="403A7139" w14:textId="2FD7CBC7" w:rsidR="009D33A8" w:rsidRDefault="009D33A8" w:rsidP="009D33A8">
      <w:r>
        <w:t>The majority of the State</w:t>
      </w:r>
      <w:r w:rsidR="00845934">
        <w:t>’</w:t>
      </w:r>
      <w:r>
        <w:t>s Level 3 financial assets relate to either investment funds/trusts managed by VFMC on behalf of the State</w:t>
      </w:r>
      <w:r w:rsidR="00845934">
        <w:t>’</w:t>
      </w:r>
      <w:r>
        <w:t>s insurance agencies or derivative financial instruments in the general government sector. Approximately one third of the funds under management by VFMC are directly managed internally while two</w:t>
      </w:r>
      <w:r>
        <w:noBreakHyphen/>
        <w:t>thirds are managed externally by fund managers selected by VFMC.</w:t>
      </w:r>
    </w:p>
    <w:p w14:paraId="1D1677D8" w14:textId="77777777" w:rsidR="009D33A8" w:rsidRDefault="009D33A8" w:rsidP="009D33A8">
      <w:r>
        <w:t>The disclosure below provides details of the inputs and assumptions used in the valuation models for various asset classes. The State is not privy to the detailed inputs and assumptions used by external fund managers to value the underlying investment assets and is not in a position to provide a sensitivity analysis.</w:t>
      </w:r>
    </w:p>
    <w:p w14:paraId="02004EAC" w14:textId="77777777" w:rsidR="009D33A8" w:rsidRDefault="009D33A8" w:rsidP="009D33A8">
      <w:r>
        <w:t>The unlisted investment fund/trust assets include the following asset classes: infrastructure, non</w:t>
      </w:r>
      <w:r>
        <w:noBreakHyphen/>
        <w:t>traditional strategies, property and private equities.</w:t>
      </w:r>
    </w:p>
    <w:p w14:paraId="60D6CE9C" w14:textId="77777777" w:rsidR="009D33A8" w:rsidRDefault="009D33A8" w:rsidP="009D33A8">
      <w:pPr>
        <w:pStyle w:val="Heading4"/>
      </w:pPr>
      <w:r>
        <w:t>Infrastructure</w:t>
      </w:r>
    </w:p>
    <w:p w14:paraId="2BC1245F" w14:textId="77777777" w:rsidR="009D33A8" w:rsidRDefault="009D33A8" w:rsidP="009D33A8">
      <w:r>
        <w:t>Infrastructure investments comprise both domestic and international exposures to transport, social, energy and other infrastructure assets through unlisted funds and trusts. The valuations of unlisted infrastructure investments are primarily based on the discounted cash flow methodology. Key inputs and assumptions, which are subject to estimation uncertainty, include the risk-free discount rate, risk premium, asset utilisation rates, capital and operating expenditures forecasts, other estimated future cash flows dependent on the longer-term general economic forecasts, and the forecast performance of applicable underlying assets.</w:t>
      </w:r>
    </w:p>
    <w:p w14:paraId="2B9D17FF" w14:textId="77777777" w:rsidR="009D33A8" w:rsidRDefault="009D33A8" w:rsidP="009D33A8">
      <w:pPr>
        <w:pStyle w:val="Heading4"/>
        <w:spacing w:before="120"/>
      </w:pPr>
      <w:r>
        <w:t>Non-traditional strategies</w:t>
      </w:r>
    </w:p>
    <w:p w14:paraId="44AE500D" w14:textId="77777777" w:rsidR="009D33A8" w:rsidRDefault="009D33A8" w:rsidP="009D33A8">
      <w:r>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6E41E853" w14:textId="77777777" w:rsidR="009D33A8" w:rsidRDefault="009D33A8" w:rsidP="009D33A8">
      <w:r>
        <w:t xml:space="preserve">The valuation of hedge fund 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the future-risk-free rate, estimated future cash flows, identification of appropriate comparable assets, future economic and regulatory conditions, and life expectancy estimates and mortality probabilities </w:t>
      </w:r>
    </w:p>
    <w:p w14:paraId="717A9DAD" w14:textId="77777777" w:rsidR="009D33A8" w:rsidRDefault="009D33A8" w:rsidP="009D33A8">
      <w:pPr>
        <w:pStyle w:val="Heading4"/>
      </w:pPr>
      <w:r>
        <w:lastRenderedPageBreak/>
        <w:t>Property investments</w:t>
      </w:r>
    </w:p>
    <w:p w14:paraId="07FFFAD9" w14:textId="77777777" w:rsidR="009D33A8" w:rsidRDefault="009D33A8" w:rsidP="009D33A8">
      <w:pPr>
        <w:keepNext/>
        <w:spacing w:before="80"/>
      </w:pPr>
      <w:r>
        <w:t>Property investments comprise externally managed unlisted property trusts with exposure to the domestic and international commercial, industrial, retail and development property market.</w:t>
      </w:r>
    </w:p>
    <w:p w14:paraId="02471A32" w14:textId="77777777" w:rsidR="009D33A8" w:rsidRDefault="009D33A8" w:rsidP="009D33A8">
      <w:pPr>
        <w:spacing w:before="80"/>
      </w:pPr>
      <w:r>
        <w:t>The valuations of unlisted property investments are primarily based on discounted cash flow, capitalisation and direct comparison methodologies. The assumptions, which may be subject to estimation uncertainty, include the</w:t>
      </w:r>
      <w:r w:rsidRPr="00DF3C14">
        <w:t xml:space="preserve"> </w:t>
      </w:r>
      <w:r>
        <w:t>identification of appropriate comparators, estimated future profits and cash flows, risk-free rate, risk premium, and future economic and regulatory conditions.</w:t>
      </w:r>
    </w:p>
    <w:p w14:paraId="7CC4AEF3" w14:textId="77777777" w:rsidR="009D33A8" w:rsidRDefault="009D33A8" w:rsidP="009D33A8">
      <w:pPr>
        <w:pStyle w:val="Heading4"/>
        <w:spacing w:before="120"/>
      </w:pPr>
      <w:r>
        <w:t>Private equities</w:t>
      </w:r>
    </w:p>
    <w:p w14:paraId="2078A8BA" w14:textId="21E6F160" w:rsidR="009D33A8" w:rsidRDefault="009D33A8" w:rsidP="009D33A8">
      <w:pPr>
        <w:spacing w:before="80"/>
      </w:pPr>
      <w:r>
        <w:t>VFMC</w:t>
      </w:r>
      <w:r w:rsidR="00845934">
        <w:t>’</w:t>
      </w:r>
      <w:r>
        <w:t xml:space="preserve">s holdings of private equity investments are small and being phased out. Private equity investments are valued primarily on multiples of earnings, discounted cash flow, market equivalents and other accepted methodologies. Key inputs and assumptions, which are subject to estimation uncertainty, include the </w:t>
      </w:r>
      <w:r w:rsidRPr="004E4167">
        <w:t>identification of appropriate compara</w:t>
      </w:r>
      <w:r>
        <w:t>tors, estimated future profits and cash flows, the risk-free discount rate, the risk premium, and future economic and regulatory conditions.</w:t>
      </w:r>
    </w:p>
    <w:p w14:paraId="4FEDA922" w14:textId="77777777" w:rsidR="009D33A8" w:rsidRDefault="009D33A8" w:rsidP="009D33A8">
      <w:pPr>
        <w:pStyle w:val="Heading4"/>
        <w:spacing w:before="120"/>
      </w:pPr>
      <w:r>
        <w:t>Derivative financial instruments</w:t>
      </w:r>
    </w:p>
    <w:p w14:paraId="6B7E54B7" w14:textId="77777777" w:rsidR="009D33A8" w:rsidRDefault="009D33A8" w:rsidP="009D33A8">
      <w:pPr>
        <w:spacing w:before="80"/>
      </w:pPr>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6884E8BD" w14:textId="695B2400" w:rsidR="009D33A8" w:rsidRDefault="009D33A8" w:rsidP="00476623">
      <w:pPr>
        <w:spacing w:before="80"/>
        <w:ind w:right="-71"/>
      </w:pPr>
      <w:r>
        <w:t>In the absence of an active market, the fair value of derivative contracts for difference and the LGCs receivable are valued using unobservable inputs such as future wholesale electricity price forecasts provided by external advisors, comparable risk-free rates of zero coupon government bonds and LGC price forecasts. In addition, assumptions are applied to forecast the renewable energy generation volumes over the life of the instrument. Adjustments are made to the valuations when necessary to recognise differences in the instrument</w:t>
      </w:r>
      <w:r w:rsidR="00845934">
        <w:t>’</w:t>
      </w:r>
      <w:r>
        <w:t>s terms. To the extent that the significant inputs are unobservable, the State categorises these investments as Level 3.</w:t>
      </w:r>
    </w:p>
    <w:p w14:paraId="6B92FD30" w14:textId="77777777" w:rsidR="00811E13" w:rsidRDefault="009D33A8" w:rsidP="009D33A8">
      <w:pPr>
        <w:spacing w:before="80"/>
      </w:pPr>
      <w:r>
        <w:t xml:space="preserve">The fair value of derivative financial instruments is based on the discounted cash flow technique. The selection of variables requires significant judgement. As such, there is a range of reasonably possible assumptions in estimating the fair value of derivatives. </w:t>
      </w:r>
    </w:p>
    <w:p w14:paraId="4DE18907" w14:textId="26F04BA7" w:rsidR="009D33A8" w:rsidRDefault="009D33A8" w:rsidP="009D33A8">
      <w:pPr>
        <w:spacing w:before="80"/>
      </w:pPr>
      <w:r>
        <w:t>Significant inputs in applying this technique include wholesale electricity price forecasts, LGC price forecasts, credit value adjustments, growth rates applied for cash flows and discount rates used.</w:t>
      </w:r>
    </w:p>
    <w:p w14:paraId="6052C0BC" w14:textId="77777777" w:rsidR="009D33A8" w:rsidRPr="00713521" w:rsidRDefault="009D33A8" w:rsidP="009D33A8">
      <w:pPr>
        <w:pStyle w:val="Heading5"/>
      </w:pPr>
      <w:r w:rsidRPr="00713521">
        <w:t xml:space="preserve">Change in accounting estimate </w:t>
      </w:r>
    </w:p>
    <w:p w14:paraId="61B8DB6A" w14:textId="77777777" w:rsidR="009D33A8" w:rsidRDefault="009D33A8" w:rsidP="009D33A8">
      <w:pPr>
        <w:spacing w:before="80"/>
      </w:pPr>
      <w:r>
        <w:t>To appropriately reflect a change in market circumstances arising from the novation of the agreements to the SEC Victoria, DEECA has changed some of the inputs used in the valuation model.</w:t>
      </w:r>
    </w:p>
    <w:p w14:paraId="0BC659A9" w14:textId="77777777" w:rsidR="009D33A8" w:rsidRDefault="009D33A8" w:rsidP="009D33A8">
      <w:pPr>
        <w:spacing w:before="80"/>
      </w:pPr>
      <w:r>
        <w:t>Due to the complex nature of modelling future electricity prices and the interrelationship of the inputs on each other, it is impractical to quantify the effect of the change in the overall valuation outcome. It is noted the valuation is highly sensitive to changes in these inputs.</w:t>
      </w:r>
    </w:p>
    <w:p w14:paraId="536A6E4D" w14:textId="77777777" w:rsidR="009D33A8" w:rsidRDefault="009D33A8" w:rsidP="009D33A8">
      <w:pPr>
        <w:pStyle w:val="Heading2"/>
      </w:pPr>
      <w:bookmarkStart w:id="123" w:name="_Toc209481818"/>
      <w:r>
        <w:t>6.5</w:t>
      </w:r>
      <w:r>
        <w:tab/>
        <w:t>Fair value determination of non</w:t>
      </w:r>
      <w:r>
        <w:noBreakHyphen/>
        <w:t>financial assets</w:t>
      </w:r>
      <w:bookmarkEnd w:id="123"/>
    </w:p>
    <w:p w14:paraId="35166BDF" w14:textId="77777777" w:rsidR="009D33A8" w:rsidRDefault="009D33A8" w:rsidP="009D33A8">
      <w:pPr>
        <w:pStyle w:val="Heading3"/>
      </w:pPr>
      <w:r>
        <w:t>Revaluations of non</w:t>
      </w:r>
      <w:r>
        <w:noBreakHyphen/>
        <w:t>financial physical assets</w:t>
      </w:r>
    </w:p>
    <w:p w14:paraId="262595DE" w14:textId="77777777" w:rsidR="00811E13" w:rsidRDefault="009D33A8" w:rsidP="009D33A8">
      <w:pPr>
        <w:ind w:right="-43"/>
      </w:pPr>
      <w:r>
        <w:t>Non-financial physical assets are revalued on a cyclical basis in accordance with the Financial Reporting Directions (FRDs) issued by the Minister for Finance. An independent valuation undertaken by the Valuer</w:t>
      </w:r>
      <w:r>
        <w:noBreakHyphen/>
        <w:t xml:space="preserve">General Victoria (VGV) normally occurs every five </w:t>
      </w:r>
      <w:r w:rsidRPr="006949BF">
        <w:t>years, based upon the asset</w:t>
      </w:r>
      <w:r w:rsidR="00845934">
        <w:t>’</w:t>
      </w:r>
      <w:r w:rsidRPr="006949BF">
        <w:t xml:space="preserve">s classification of the functions of government framework. This led to assets within the </w:t>
      </w:r>
      <w:r>
        <w:t xml:space="preserve">transport </w:t>
      </w:r>
      <w:r w:rsidRPr="002C092E">
        <w:t>function group</w:t>
      </w:r>
      <w:r w:rsidRPr="006949BF">
        <w:t xml:space="preserve"> being formally revalued in 2024-25. </w:t>
      </w:r>
      <w:r w:rsidRPr="00B63766">
        <w:t xml:space="preserve">The valuation resulted in a large increase in the fair value of earthworks, rail and roads infrastructure, roads and rolling stock assets. </w:t>
      </w:r>
    </w:p>
    <w:p w14:paraId="38351311" w14:textId="2FE7A8FA" w:rsidR="009D33A8" w:rsidRPr="00B63766" w:rsidRDefault="009D33A8" w:rsidP="009D33A8">
      <w:pPr>
        <w:ind w:right="-43"/>
      </w:pPr>
      <w:r w:rsidRPr="00B63766">
        <w:t>The major increases in the valuation of these assets were due to:</w:t>
      </w:r>
    </w:p>
    <w:p w14:paraId="672950D6" w14:textId="6B3A4799" w:rsidR="009D33A8" w:rsidRDefault="00C97D5C" w:rsidP="00811E13">
      <w:pPr>
        <w:pStyle w:val="ListParagraph"/>
        <w:numPr>
          <w:ilvl w:val="0"/>
          <w:numId w:val="35"/>
        </w:numPr>
        <w:spacing w:before="60"/>
        <w:ind w:left="357" w:right="-45"/>
      </w:pPr>
      <w:r>
        <w:t>s</w:t>
      </w:r>
      <w:r w:rsidR="009D33A8">
        <w:t>ignificant inflationary increases since the prior revaluation, including both in labour and raw material costs</w:t>
      </w:r>
    </w:p>
    <w:p w14:paraId="370EFD88" w14:textId="79906B6C" w:rsidR="009D33A8" w:rsidRDefault="00C97D5C" w:rsidP="00811E13">
      <w:pPr>
        <w:pStyle w:val="ListParagraph"/>
        <w:numPr>
          <w:ilvl w:val="0"/>
          <w:numId w:val="35"/>
        </w:numPr>
        <w:spacing w:before="60"/>
        <w:ind w:left="357" w:right="-45"/>
      </w:pPr>
      <w:r>
        <w:t>i</w:t>
      </w:r>
      <w:r w:rsidR="009D33A8">
        <w:t>mprovement in underlying asset data which improved the revaluation of assets</w:t>
      </w:r>
    </w:p>
    <w:p w14:paraId="55211170" w14:textId="2FD8533A" w:rsidR="009D33A8" w:rsidRDefault="00C97D5C" w:rsidP="00811E13">
      <w:pPr>
        <w:pStyle w:val="ListParagraph"/>
        <w:numPr>
          <w:ilvl w:val="0"/>
          <w:numId w:val="35"/>
        </w:numPr>
        <w:spacing w:before="60"/>
        <w:ind w:left="357" w:right="-45"/>
      </w:pPr>
      <w:r>
        <w:t>a</w:t>
      </w:r>
      <w:r w:rsidR="009D33A8" w:rsidRPr="00B63766">
        <w:t>mendments to AASB 13 which permitted the inclusion of demolition, disruption (such as replacement buses) and restoration costs within the valuation of the current replacement cost</w:t>
      </w:r>
      <w:r w:rsidR="009D33A8">
        <w:t>.</w:t>
      </w:r>
      <w:r w:rsidR="009D33A8" w:rsidRPr="006D59B9">
        <w:t xml:space="preserve"> These amendments were applied for the first time this financial year.</w:t>
      </w:r>
    </w:p>
    <w:p w14:paraId="70A6D704" w14:textId="77777777" w:rsidR="009D33A8" w:rsidRDefault="009D33A8" w:rsidP="00C97D5C">
      <w:pPr>
        <w:pStyle w:val="ListParagraph"/>
        <w:spacing w:before="60"/>
        <w:ind w:right="-45"/>
      </w:pPr>
      <w:r>
        <w:t xml:space="preserve">The valuation also resulted in a decrease in the fair value of land under declared roads, primarily due to changes in zoning and the broader economic environment. </w:t>
      </w:r>
    </w:p>
    <w:p w14:paraId="4B93B2C8" w14:textId="77777777" w:rsidR="009D33A8" w:rsidRDefault="009D33A8" w:rsidP="009D33A8">
      <w:pPr>
        <w:ind w:right="-43"/>
      </w:pPr>
      <w:r>
        <w:t xml:space="preserve">A </w:t>
      </w:r>
      <w:r w:rsidRPr="006949BF">
        <w:t>revaluation may occur more</w:t>
      </w:r>
      <w:r>
        <w:t xml:space="preserve"> frequently if fair value assessments indicate material changes in values. Independent valuers are generally used to conduct these scheduled revaluations.</w:t>
      </w:r>
    </w:p>
    <w:p w14:paraId="7C3E8615" w14:textId="77777777" w:rsidR="009D33A8" w:rsidRDefault="009D33A8" w:rsidP="009D33A8">
      <w:r>
        <w:t>Certain infrastructure assets are revalued using specialised advisors. Any interim revaluations are determined in accordance with the requirements of the FRDs.</w:t>
      </w:r>
    </w:p>
    <w:p w14:paraId="05AAD542" w14:textId="05C36F17" w:rsidR="009D33A8" w:rsidRDefault="009D33A8" w:rsidP="00476623">
      <w:pPr>
        <w:ind w:right="-213"/>
        <w:rPr>
          <w:rFonts w:ascii="Garamond" w:eastAsia="Garamond" w:hAnsi="Garamond" w:cs="Garamond"/>
        </w:rPr>
      </w:pPr>
      <w:r>
        <w:lastRenderedPageBreak/>
        <w:t xml:space="preserve">Under FRD 103 </w:t>
      </w:r>
      <w:r w:rsidRPr="00A43638">
        <w:rPr>
          <w:i/>
          <w:iCs/>
        </w:rPr>
        <w:t>Non-financial physical assets</w:t>
      </w:r>
      <w:r>
        <w:t>, where the cumulative impact of relevant indicators is less than 40 per </w:t>
      </w:r>
      <w:r w:rsidRPr="003B0EFC">
        <w:t xml:space="preserve">cent but greater than 10 per cent of the carrying value of an asset class, managerial revaluations are performed. </w:t>
      </w:r>
      <w:r>
        <w:rPr>
          <w:rFonts w:ascii="Garamond" w:eastAsia="Garamond" w:hAnsi="Garamond" w:cs="Garamond"/>
          <w:color w:val="000000" w:themeColor="text1"/>
        </w:rPr>
        <w:t>The</w:t>
      </w:r>
      <w:r w:rsidRPr="27FC62CA">
        <w:rPr>
          <w:rFonts w:ascii="Garamond" w:eastAsia="Garamond" w:hAnsi="Garamond" w:cs="Garamond"/>
          <w:color w:val="000000" w:themeColor="text1"/>
        </w:rPr>
        <w:t xml:space="preserve"> State applies </w:t>
      </w:r>
      <w:r w:rsidRPr="002D7B7A">
        <w:rPr>
          <w:rFonts w:ascii="Garamond" w:eastAsia="Garamond" w:hAnsi="Garamond" w:cs="Garamond"/>
          <w:color w:val="000000" w:themeColor="text1"/>
        </w:rPr>
        <w:t xml:space="preserve">the </w:t>
      </w:r>
      <w:r w:rsidRPr="27FC62CA">
        <w:rPr>
          <w:rFonts w:ascii="Garamond" w:eastAsia="Garamond" w:hAnsi="Garamond" w:cs="Garamond"/>
          <w:color w:val="000000" w:themeColor="text1"/>
        </w:rPr>
        <w:t>Appendix F of AASB 13</w:t>
      </w:r>
      <w:r w:rsidRPr="002D7B7A">
        <w:rPr>
          <w:rFonts w:ascii="Garamond" w:eastAsia="Garamond" w:hAnsi="Garamond" w:cs="Garamond"/>
          <w:color w:val="000000" w:themeColor="text1"/>
        </w:rPr>
        <w:t xml:space="preserve">, which clarifies the application of AASB 13 in the context </w:t>
      </w:r>
      <w:r>
        <w:rPr>
          <w:rFonts w:ascii="Garamond" w:eastAsia="Garamond" w:hAnsi="Garamond" w:cs="Garamond"/>
          <w:color w:val="000000" w:themeColor="text1"/>
        </w:rPr>
        <w:t>of</w:t>
      </w:r>
      <w:r w:rsidRPr="002D7B7A">
        <w:rPr>
          <w:rFonts w:ascii="Garamond" w:eastAsia="Garamond" w:hAnsi="Garamond" w:cs="Garamond"/>
          <w:color w:val="000000" w:themeColor="text1"/>
        </w:rPr>
        <w:t xml:space="preserve"> not-for-profit public sector entities</w:t>
      </w:r>
      <w:r w:rsidRPr="27FC62CA">
        <w:rPr>
          <w:rFonts w:ascii="Garamond" w:eastAsia="Garamond" w:hAnsi="Garamond" w:cs="Garamond"/>
          <w:color w:val="000000" w:themeColor="text1"/>
        </w:rPr>
        <w:t xml:space="preserve"> prospectively as part of the next scheduled formal or interim asset valuations (whichever is earlier) at 30</w:t>
      </w:r>
      <w:r w:rsidR="00476623">
        <w:rPr>
          <w:rFonts w:ascii="Garamond" w:eastAsia="Garamond" w:hAnsi="Garamond" w:cs="Garamond"/>
          <w:color w:val="000000" w:themeColor="text1"/>
        </w:rPr>
        <w:t> </w:t>
      </w:r>
      <w:r w:rsidRPr="27FC62CA">
        <w:rPr>
          <w:rFonts w:ascii="Garamond" w:eastAsia="Garamond" w:hAnsi="Garamond" w:cs="Garamond"/>
          <w:color w:val="000000" w:themeColor="text1"/>
        </w:rPr>
        <w:t>June 2025 through to 30 June 2029.</w:t>
      </w:r>
      <w:r w:rsidRPr="002D7B7A">
        <w:rPr>
          <w:rFonts w:ascii="Garamond" w:eastAsia="Garamond" w:hAnsi="Garamond" w:cs="Garamond"/>
          <w:color w:val="000000" w:themeColor="text1"/>
        </w:rPr>
        <w:t xml:space="preserve">   </w:t>
      </w:r>
    </w:p>
    <w:p w14:paraId="05C401BF" w14:textId="0472B531" w:rsidR="009D33A8" w:rsidRDefault="009D33A8" w:rsidP="009D33A8">
      <w:r w:rsidRPr="002873DB">
        <w:t xml:space="preserve">During the period, managerial revaluations led to revaluations being recorded across the State, </w:t>
      </w:r>
      <w:r w:rsidRPr="00B63766">
        <w:t>with the majority recorded in the recreation, culture and religion and environmental protection function groups</w:t>
      </w:r>
      <w:r w:rsidRPr="003B0EFC">
        <w:t xml:space="preserve">. </w:t>
      </w:r>
      <w:r>
        <w:t>These revaluations were undertaken using land and building indices as determined by the VGV and consider facts and circumstances as at the point of calculation, in addition to internal expertise and judgements. Specialised asset revaluations also take into consideration the assets</w:t>
      </w:r>
      <w:r w:rsidR="00845934">
        <w:t>’</w:t>
      </w:r>
      <w:r>
        <w:t xml:space="preserve"> highest and best use (HBU), which must consider the use of the assets that is physically possible, legally permissible and financially feasible.</w:t>
      </w:r>
    </w:p>
    <w:p w14:paraId="4B83BBC7" w14:textId="77777777" w:rsidR="009D33A8" w:rsidRDefault="009D33A8" w:rsidP="009D33A8">
      <w:r w:rsidRPr="00B63766">
        <w:t>Due to the high level of valuation uncertainty inherent within any Level 3 revaluation, which has been heightened due to high inflation, elevated interest rates and more recent market volatilities, current values may change over a relatively short period of time.</w:t>
      </w:r>
    </w:p>
    <w:p w14:paraId="17C78E66" w14:textId="22709FF4" w:rsidR="009D33A8" w:rsidRDefault="009D33A8" w:rsidP="009D33A8">
      <w:r>
        <w:t>Revaluation increases or decreases arise from differences between an asset</w:t>
      </w:r>
      <w:r w:rsidR="00845934">
        <w:t>’</w:t>
      </w:r>
      <w:r>
        <w:t>s carrying value and fair value.</w:t>
      </w:r>
    </w:p>
    <w:p w14:paraId="5DAE8F02" w14:textId="77777777" w:rsidR="009D33A8" w:rsidRDefault="009D33A8" w:rsidP="009D33A8">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0CB12329" w14:textId="77777777" w:rsidR="009D33A8" w:rsidRDefault="009D33A8" w:rsidP="009D33A8">
      <w:r>
        <w:t>Net revaluation decreases are recognised in other economic flows – other comprehensive income to the extent that a credit balance exists in the asset revaluation surplus in respect of the same class of non</w:t>
      </w:r>
      <w:r>
        <w:noBreakHyphen/>
        <w:t>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029E90CC" w14:textId="77777777" w:rsidR="009D33A8" w:rsidRDefault="009D33A8" w:rsidP="009D33A8">
      <w:r>
        <w:t>Revaluation increases and decreases relating to individual assets within a class of non</w:t>
      </w:r>
      <w:r>
        <w:noBreakHyphen/>
        <w:t xml:space="preserve">financial asset are offset against one another within that class but are not offset in respect of assets in different classes. </w:t>
      </w:r>
    </w:p>
    <w:p w14:paraId="18259EBB" w14:textId="77777777" w:rsidR="009D33A8" w:rsidRDefault="009D33A8" w:rsidP="009D33A8">
      <w:r>
        <w:t xml:space="preserve">The fair value of </w:t>
      </w:r>
      <w:r w:rsidRPr="00883B6E">
        <w:rPr>
          <w:b/>
          <w:bCs/>
        </w:rPr>
        <w:t>cultural assets</w:t>
      </w:r>
      <w:r>
        <w:t xml:space="preserve"> and collections, </w:t>
      </w:r>
      <w:r w:rsidRPr="00883B6E">
        <w:rPr>
          <w:b/>
          <w:bCs/>
        </w:rPr>
        <w:t>heritage assets</w:t>
      </w:r>
      <w:r>
        <w:t xml:space="preserve"> and other non</w:t>
      </w:r>
      <w:r>
        <w:noBreakHyphen/>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76471D63" w14:textId="1CFB9A48" w:rsidR="009D33A8" w:rsidRDefault="009D33A8" w:rsidP="009D33A8">
      <w:r w:rsidRPr="00883B6E">
        <w:rPr>
          <w:b/>
          <w:bCs/>
        </w:rPr>
        <w:t>Road network assets</w:t>
      </w:r>
      <w:r>
        <w:t xml:space="preserve"> (including earthworks of the declared road networks) are measured at fair value, determined by reference to the asset</w:t>
      </w:r>
      <w:r w:rsidR="00845934">
        <w:t>’</w:t>
      </w:r>
      <w:r>
        <w:t xml:space="preserve">s current replacement cost. </w:t>
      </w:r>
    </w:p>
    <w:p w14:paraId="213F4B50" w14:textId="77777777" w:rsidR="009D33A8" w:rsidRDefault="009D33A8" w:rsidP="009D33A8">
      <w:r w:rsidRPr="00883B6E">
        <w:rPr>
          <w:b/>
        </w:rPr>
        <w:t>Land</w:t>
      </w:r>
      <w:r>
        <w:t xml:space="preserve"> under declared roads acquired on or after 1 July 2008 is measured initially at the 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143908B8" w14:textId="56FAF136" w:rsidR="009D33A8" w:rsidRDefault="009D33A8" w:rsidP="009D33A8">
      <w:r w:rsidRPr="00883B6E">
        <w:rPr>
          <w:b/>
          <w:bCs/>
        </w:rPr>
        <w:t>Infrastructure assets</w:t>
      </w:r>
      <w:r>
        <w:t xml:space="preserve"> of water, rail and port authorities within the public non</w:t>
      </w:r>
      <w:r>
        <w:noBreakHyphen/>
        <w:t>financial corporation sector are measured at fair value. The fair value of infrastructure and plant, equipment and vehicles, is normally determined by reference to the asset</w:t>
      </w:r>
      <w:r w:rsidR="00845934">
        <w:t>’</w:t>
      </w:r>
      <w:r>
        <w:t>s current replacement cost, or where the infrastructure is held by a for-profit entity, the fair value may be derived from estimates of the present value of future cash flows.</w:t>
      </w:r>
    </w:p>
    <w:p w14:paraId="6B102759" w14:textId="77777777" w:rsidR="009D33A8" w:rsidRDefault="009D33A8" w:rsidP="009D33A8">
      <w:r>
        <w:t xml:space="preserve">Note 4.1.1 describes the recognition and measurement of land, buildings, infrastructure, plant and equipment. </w:t>
      </w:r>
    </w:p>
    <w:p w14:paraId="65C27D7C" w14:textId="77777777" w:rsidR="009D33A8" w:rsidRDefault="009D33A8" w:rsidP="009D33A8"/>
    <w:p w14:paraId="35ABF0E9" w14:textId="77777777" w:rsidR="00811E13" w:rsidRDefault="00811E13" w:rsidP="009D33A8">
      <w:pPr>
        <w:sectPr w:rsidR="00811E13" w:rsidSect="00811E13">
          <w:type w:val="continuous"/>
          <w:pgSz w:w="11906" w:h="16838" w:code="9"/>
          <w:pgMar w:top="1134" w:right="1134" w:bottom="1134" w:left="1134" w:header="624" w:footer="567" w:gutter="0"/>
          <w:cols w:num="2" w:space="708"/>
          <w:docGrid w:linePitch="360"/>
        </w:sectPr>
      </w:pPr>
    </w:p>
    <w:p w14:paraId="34454A38" w14:textId="77777777" w:rsidR="009D33A8" w:rsidRDefault="009D33A8" w:rsidP="00BB3A63">
      <w:pPr>
        <w:pStyle w:val="Heading3"/>
        <w:spacing w:before="0"/>
      </w:pPr>
      <w:r>
        <w:lastRenderedPageBreak/>
        <w:t>6.5.1</w:t>
      </w:r>
      <w:r>
        <w:tab/>
        <w:t xml:space="preserve">Land, buildings, infrastructure, plant and equipment </w:t>
      </w:r>
    </w:p>
    <w:p w14:paraId="613D10D2" w14:textId="77777777" w:rsidR="009D33A8" w:rsidRDefault="009D33A8" w:rsidP="009D33A8">
      <w:pPr>
        <w:pStyle w:val="TableHeading"/>
      </w:pPr>
      <w:r>
        <w:t>Carrying amounts, fair values and fair value hierarchy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Carry_amount_fair_value_hierarchy_SoV"/>
      </w:tblPr>
      <w:tblGrid>
        <w:gridCol w:w="2382"/>
        <w:gridCol w:w="907"/>
        <w:gridCol w:w="907"/>
        <w:gridCol w:w="907"/>
        <w:gridCol w:w="907"/>
        <w:gridCol w:w="907"/>
        <w:gridCol w:w="907"/>
        <w:gridCol w:w="907"/>
        <w:gridCol w:w="907"/>
      </w:tblGrid>
      <w:tr w:rsidR="00940F7B" w14:paraId="6004E71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7EBB3741" w14:textId="77777777" w:rsidR="009D33A8" w:rsidRDefault="009D33A8">
            <w:pPr>
              <w:keepNext/>
            </w:pPr>
          </w:p>
        </w:tc>
        <w:tc>
          <w:tcPr>
            <w:tcW w:w="907" w:type="dxa"/>
          </w:tcPr>
          <w:p w14:paraId="6F43B93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14245AF4"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Fair value measurement at the end of the 2025 reporting period using:</w:t>
            </w:r>
          </w:p>
        </w:tc>
        <w:tc>
          <w:tcPr>
            <w:tcW w:w="907" w:type="dxa"/>
          </w:tcPr>
          <w:p w14:paraId="51C2078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1BA69092"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Fair value measurement at the end of the 2024 reporting period using:</w:t>
            </w:r>
          </w:p>
        </w:tc>
      </w:tr>
      <w:tr w:rsidR="002B1B5E" w14:paraId="15A2697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3721293B" w14:textId="77777777" w:rsidR="009D33A8" w:rsidRDefault="009D33A8">
            <w:pPr>
              <w:keepNext/>
            </w:pPr>
            <w:r>
              <w:t>State of Victoria</w:t>
            </w:r>
          </w:p>
        </w:tc>
        <w:tc>
          <w:tcPr>
            <w:tcW w:w="907" w:type="dxa"/>
          </w:tcPr>
          <w:p w14:paraId="0E377CC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1BB791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1020950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4D01560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474E356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1E6317E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5A995D0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48919F8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r>
      <w:tr w:rsidR="009D33A8" w14:paraId="1ED8E78B" w14:textId="77777777">
        <w:tc>
          <w:tcPr>
            <w:cnfStyle w:val="001000000000" w:firstRow="0" w:lastRow="0" w:firstColumn="1" w:lastColumn="0" w:oddVBand="0" w:evenVBand="0" w:oddHBand="0" w:evenHBand="0" w:firstRowFirstColumn="0" w:firstRowLastColumn="0" w:lastRowFirstColumn="0" w:lastRowLastColumn="0"/>
            <w:tcW w:w="2382" w:type="dxa"/>
          </w:tcPr>
          <w:p w14:paraId="12B4EF7F" w14:textId="77777777" w:rsidR="009D33A8" w:rsidRDefault="009D33A8">
            <w:r>
              <w:rPr>
                <w:b/>
              </w:rPr>
              <w:t>Buildings</w:t>
            </w:r>
          </w:p>
        </w:tc>
        <w:tc>
          <w:tcPr>
            <w:tcW w:w="907" w:type="dxa"/>
          </w:tcPr>
          <w:p w14:paraId="425498E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97 635</w:t>
            </w:r>
          </w:p>
        </w:tc>
        <w:tc>
          <w:tcPr>
            <w:tcW w:w="907" w:type="dxa"/>
          </w:tcPr>
          <w:p w14:paraId="4279BCF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3541A2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15 815</w:t>
            </w:r>
          </w:p>
        </w:tc>
        <w:tc>
          <w:tcPr>
            <w:tcW w:w="907" w:type="dxa"/>
          </w:tcPr>
          <w:p w14:paraId="5C7C987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81 820</w:t>
            </w:r>
          </w:p>
        </w:tc>
        <w:tc>
          <w:tcPr>
            <w:tcW w:w="907" w:type="dxa"/>
          </w:tcPr>
          <w:p w14:paraId="32F1296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88 200</w:t>
            </w:r>
          </w:p>
        </w:tc>
        <w:tc>
          <w:tcPr>
            <w:tcW w:w="907" w:type="dxa"/>
          </w:tcPr>
          <w:p w14:paraId="68CF168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BA05AB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15 712</w:t>
            </w:r>
          </w:p>
        </w:tc>
        <w:tc>
          <w:tcPr>
            <w:tcW w:w="907" w:type="dxa"/>
          </w:tcPr>
          <w:p w14:paraId="01C5DDC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72 488</w:t>
            </w:r>
          </w:p>
        </w:tc>
      </w:tr>
      <w:tr w:rsidR="009D33A8" w14:paraId="2CC9B9A5" w14:textId="77777777">
        <w:tc>
          <w:tcPr>
            <w:cnfStyle w:val="001000000000" w:firstRow="0" w:lastRow="0" w:firstColumn="1" w:lastColumn="0" w:oddVBand="0" w:evenVBand="0" w:oddHBand="0" w:evenHBand="0" w:firstRowFirstColumn="0" w:firstRowLastColumn="0" w:lastRowFirstColumn="0" w:lastRowLastColumn="0"/>
            <w:tcW w:w="2382" w:type="dxa"/>
          </w:tcPr>
          <w:p w14:paraId="02377C58" w14:textId="77777777" w:rsidR="009D33A8" w:rsidRDefault="009D33A8">
            <w:r>
              <w:rPr>
                <w:b/>
              </w:rPr>
              <w:t>Land and national parks</w:t>
            </w:r>
          </w:p>
        </w:tc>
        <w:tc>
          <w:tcPr>
            <w:tcW w:w="907" w:type="dxa"/>
          </w:tcPr>
          <w:p w14:paraId="25A9F2F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137 886</w:t>
            </w:r>
          </w:p>
        </w:tc>
        <w:tc>
          <w:tcPr>
            <w:tcW w:w="907" w:type="dxa"/>
          </w:tcPr>
          <w:p w14:paraId="03DAD40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D043F3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29 152</w:t>
            </w:r>
          </w:p>
        </w:tc>
        <w:tc>
          <w:tcPr>
            <w:tcW w:w="907" w:type="dxa"/>
          </w:tcPr>
          <w:p w14:paraId="26FB2AA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108 734</w:t>
            </w:r>
          </w:p>
        </w:tc>
        <w:tc>
          <w:tcPr>
            <w:tcW w:w="907" w:type="dxa"/>
          </w:tcPr>
          <w:p w14:paraId="0CA02FB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141 310</w:t>
            </w:r>
          </w:p>
        </w:tc>
        <w:tc>
          <w:tcPr>
            <w:tcW w:w="907" w:type="dxa"/>
          </w:tcPr>
          <w:p w14:paraId="7852902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2706BB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28 258</w:t>
            </w:r>
          </w:p>
        </w:tc>
        <w:tc>
          <w:tcPr>
            <w:tcW w:w="907" w:type="dxa"/>
          </w:tcPr>
          <w:p w14:paraId="7DE09BE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113 052</w:t>
            </w:r>
          </w:p>
        </w:tc>
      </w:tr>
      <w:tr w:rsidR="009D33A8" w14:paraId="1B0B447D" w14:textId="77777777">
        <w:tc>
          <w:tcPr>
            <w:cnfStyle w:val="001000000000" w:firstRow="0" w:lastRow="0" w:firstColumn="1" w:lastColumn="0" w:oddVBand="0" w:evenVBand="0" w:oddHBand="0" w:evenHBand="0" w:firstRowFirstColumn="0" w:firstRowLastColumn="0" w:lastRowFirstColumn="0" w:lastRowLastColumn="0"/>
            <w:tcW w:w="2382" w:type="dxa"/>
          </w:tcPr>
          <w:p w14:paraId="51E3C8C8" w14:textId="77777777" w:rsidR="009D33A8" w:rsidRDefault="009D33A8">
            <w:r>
              <w:rPr>
                <w:b/>
              </w:rPr>
              <w:t>Plant, equipment, vehicles and infrastructure systems</w:t>
            </w:r>
          </w:p>
        </w:tc>
        <w:tc>
          <w:tcPr>
            <w:tcW w:w="907" w:type="dxa"/>
          </w:tcPr>
          <w:p w14:paraId="2A9A725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114 505</w:t>
            </w:r>
          </w:p>
        </w:tc>
        <w:tc>
          <w:tcPr>
            <w:tcW w:w="907" w:type="dxa"/>
          </w:tcPr>
          <w:p w14:paraId="0220D9E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154678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371</w:t>
            </w:r>
          </w:p>
        </w:tc>
        <w:tc>
          <w:tcPr>
            <w:tcW w:w="907" w:type="dxa"/>
          </w:tcPr>
          <w:p w14:paraId="5E13B1F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114 134</w:t>
            </w:r>
          </w:p>
        </w:tc>
        <w:tc>
          <w:tcPr>
            <w:tcW w:w="907" w:type="dxa"/>
          </w:tcPr>
          <w:p w14:paraId="349FCD2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92 139</w:t>
            </w:r>
          </w:p>
        </w:tc>
        <w:tc>
          <w:tcPr>
            <w:tcW w:w="907" w:type="dxa"/>
          </w:tcPr>
          <w:p w14:paraId="718E9C1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7065A4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340</w:t>
            </w:r>
          </w:p>
        </w:tc>
        <w:tc>
          <w:tcPr>
            <w:tcW w:w="907" w:type="dxa"/>
          </w:tcPr>
          <w:p w14:paraId="19C0F88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91 799</w:t>
            </w:r>
          </w:p>
        </w:tc>
      </w:tr>
      <w:tr w:rsidR="009D33A8" w14:paraId="0031BE78" w14:textId="77777777">
        <w:tc>
          <w:tcPr>
            <w:cnfStyle w:val="001000000000" w:firstRow="0" w:lastRow="0" w:firstColumn="1" w:lastColumn="0" w:oddVBand="0" w:evenVBand="0" w:oddHBand="0" w:evenHBand="0" w:firstRowFirstColumn="0" w:firstRowLastColumn="0" w:lastRowFirstColumn="0" w:lastRowLastColumn="0"/>
            <w:tcW w:w="2382" w:type="dxa"/>
          </w:tcPr>
          <w:p w14:paraId="1A4F230A" w14:textId="77777777" w:rsidR="009D33A8" w:rsidRDefault="009D33A8">
            <w:r>
              <w:t>Infrastructure systems</w:t>
            </w:r>
            <w:r>
              <w:rPr>
                <w:vertAlign w:val="superscript"/>
              </w:rPr>
              <w:t xml:space="preserve"> (a)</w:t>
            </w:r>
          </w:p>
        </w:tc>
        <w:tc>
          <w:tcPr>
            <w:tcW w:w="907" w:type="dxa"/>
          </w:tcPr>
          <w:p w14:paraId="68FFEFE0" w14:textId="77777777" w:rsidR="009D33A8" w:rsidRDefault="009D33A8">
            <w:pPr>
              <w:cnfStyle w:val="000000000000" w:firstRow="0" w:lastRow="0" w:firstColumn="0" w:lastColumn="0" w:oddVBand="0" w:evenVBand="0" w:oddHBand="0" w:evenHBand="0" w:firstRowFirstColumn="0" w:firstRowLastColumn="0" w:lastRowFirstColumn="0" w:lastRowLastColumn="0"/>
            </w:pPr>
            <w:r>
              <w:t>96 637</w:t>
            </w:r>
          </w:p>
        </w:tc>
        <w:tc>
          <w:tcPr>
            <w:tcW w:w="907" w:type="dxa"/>
          </w:tcPr>
          <w:p w14:paraId="3DA25BE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ABE271" w14:textId="77777777" w:rsidR="009D33A8" w:rsidRDefault="009D33A8">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151ACDC3" w14:textId="77777777" w:rsidR="009D33A8" w:rsidRDefault="009D33A8">
            <w:pPr>
              <w:cnfStyle w:val="000000000000" w:firstRow="0" w:lastRow="0" w:firstColumn="0" w:lastColumn="0" w:oddVBand="0" w:evenVBand="0" w:oddHBand="0" w:evenHBand="0" w:firstRowFirstColumn="0" w:firstRowLastColumn="0" w:lastRowFirstColumn="0" w:lastRowLastColumn="0"/>
            </w:pPr>
            <w:r>
              <w:t>96 619</w:t>
            </w:r>
          </w:p>
        </w:tc>
        <w:tc>
          <w:tcPr>
            <w:tcW w:w="907" w:type="dxa"/>
          </w:tcPr>
          <w:p w14:paraId="40547AF8" w14:textId="77777777" w:rsidR="009D33A8" w:rsidRDefault="009D33A8">
            <w:pPr>
              <w:cnfStyle w:val="000000000000" w:firstRow="0" w:lastRow="0" w:firstColumn="0" w:lastColumn="0" w:oddVBand="0" w:evenVBand="0" w:oddHBand="0" w:evenHBand="0" w:firstRowFirstColumn="0" w:firstRowLastColumn="0" w:lastRowFirstColumn="0" w:lastRowLastColumn="0"/>
            </w:pPr>
            <w:r>
              <w:t>79 555</w:t>
            </w:r>
          </w:p>
        </w:tc>
        <w:tc>
          <w:tcPr>
            <w:tcW w:w="907" w:type="dxa"/>
          </w:tcPr>
          <w:p w14:paraId="03FE60B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0D170DF" w14:textId="77777777" w:rsidR="009D33A8" w:rsidRDefault="009D33A8">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0DE408C9" w14:textId="77777777" w:rsidR="009D33A8" w:rsidRDefault="009D33A8">
            <w:pPr>
              <w:cnfStyle w:val="000000000000" w:firstRow="0" w:lastRow="0" w:firstColumn="0" w:lastColumn="0" w:oddVBand="0" w:evenVBand="0" w:oddHBand="0" w:evenHBand="0" w:firstRowFirstColumn="0" w:firstRowLastColumn="0" w:lastRowFirstColumn="0" w:lastRowLastColumn="0"/>
            </w:pPr>
            <w:r>
              <w:t>79 537</w:t>
            </w:r>
          </w:p>
        </w:tc>
      </w:tr>
      <w:tr w:rsidR="009D33A8" w14:paraId="3EDBB94C" w14:textId="77777777">
        <w:tc>
          <w:tcPr>
            <w:cnfStyle w:val="001000000000" w:firstRow="0" w:lastRow="0" w:firstColumn="1" w:lastColumn="0" w:oddVBand="0" w:evenVBand="0" w:oddHBand="0" w:evenHBand="0" w:firstRowFirstColumn="0" w:firstRowLastColumn="0" w:lastRowFirstColumn="0" w:lastRowLastColumn="0"/>
            <w:tcW w:w="2382" w:type="dxa"/>
          </w:tcPr>
          <w:p w14:paraId="0F64C4F5" w14:textId="77777777" w:rsidR="009D33A8" w:rsidRDefault="009D33A8">
            <w:r>
              <w:t xml:space="preserve">   Rolling stock</w:t>
            </w:r>
          </w:p>
        </w:tc>
        <w:tc>
          <w:tcPr>
            <w:tcW w:w="907" w:type="dxa"/>
          </w:tcPr>
          <w:p w14:paraId="27E4A9CC" w14:textId="77777777" w:rsidR="009D33A8" w:rsidRDefault="009D33A8">
            <w:pPr>
              <w:cnfStyle w:val="000000000000" w:firstRow="0" w:lastRow="0" w:firstColumn="0" w:lastColumn="0" w:oddVBand="0" w:evenVBand="0" w:oddHBand="0" w:evenHBand="0" w:firstRowFirstColumn="0" w:firstRowLastColumn="0" w:lastRowFirstColumn="0" w:lastRowLastColumn="0"/>
            </w:pPr>
            <w:r>
              <w:t>7 751</w:t>
            </w:r>
          </w:p>
        </w:tc>
        <w:tc>
          <w:tcPr>
            <w:tcW w:w="907" w:type="dxa"/>
          </w:tcPr>
          <w:p w14:paraId="0A52C13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CA6F2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174320" w14:textId="77777777" w:rsidR="009D33A8" w:rsidRDefault="009D33A8">
            <w:pPr>
              <w:cnfStyle w:val="000000000000" w:firstRow="0" w:lastRow="0" w:firstColumn="0" w:lastColumn="0" w:oddVBand="0" w:evenVBand="0" w:oddHBand="0" w:evenHBand="0" w:firstRowFirstColumn="0" w:firstRowLastColumn="0" w:lastRowFirstColumn="0" w:lastRowLastColumn="0"/>
            </w:pPr>
            <w:r>
              <w:t>7 751</w:t>
            </w:r>
          </w:p>
        </w:tc>
        <w:tc>
          <w:tcPr>
            <w:tcW w:w="907" w:type="dxa"/>
          </w:tcPr>
          <w:p w14:paraId="1F76E431" w14:textId="77777777" w:rsidR="009D33A8" w:rsidRDefault="009D33A8">
            <w:pPr>
              <w:cnfStyle w:val="000000000000" w:firstRow="0" w:lastRow="0" w:firstColumn="0" w:lastColumn="0" w:oddVBand="0" w:evenVBand="0" w:oddHBand="0" w:evenHBand="0" w:firstRowFirstColumn="0" w:firstRowLastColumn="0" w:lastRowFirstColumn="0" w:lastRowLastColumn="0"/>
            </w:pPr>
            <w:r>
              <w:t>5 477</w:t>
            </w:r>
          </w:p>
        </w:tc>
        <w:tc>
          <w:tcPr>
            <w:tcW w:w="907" w:type="dxa"/>
          </w:tcPr>
          <w:p w14:paraId="2F1CDCC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14F9CB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3CA03A" w14:textId="77777777" w:rsidR="009D33A8" w:rsidRDefault="009D33A8">
            <w:pPr>
              <w:cnfStyle w:val="000000000000" w:firstRow="0" w:lastRow="0" w:firstColumn="0" w:lastColumn="0" w:oddVBand="0" w:evenVBand="0" w:oddHBand="0" w:evenHBand="0" w:firstRowFirstColumn="0" w:firstRowLastColumn="0" w:lastRowFirstColumn="0" w:lastRowLastColumn="0"/>
            </w:pPr>
            <w:r>
              <w:t>5 477</w:t>
            </w:r>
          </w:p>
        </w:tc>
      </w:tr>
      <w:tr w:rsidR="009D33A8" w14:paraId="10226CA3" w14:textId="77777777">
        <w:tc>
          <w:tcPr>
            <w:cnfStyle w:val="001000000000" w:firstRow="0" w:lastRow="0" w:firstColumn="1" w:lastColumn="0" w:oddVBand="0" w:evenVBand="0" w:oddHBand="0" w:evenHBand="0" w:firstRowFirstColumn="0" w:firstRowLastColumn="0" w:lastRowFirstColumn="0" w:lastRowLastColumn="0"/>
            <w:tcW w:w="2382" w:type="dxa"/>
          </w:tcPr>
          <w:p w14:paraId="0E6070F4" w14:textId="77777777" w:rsidR="009D33A8" w:rsidRDefault="009D33A8">
            <w:r>
              <w:t xml:space="preserve">   Plant, equipment and vehicles</w:t>
            </w:r>
          </w:p>
        </w:tc>
        <w:tc>
          <w:tcPr>
            <w:tcW w:w="907" w:type="dxa"/>
          </w:tcPr>
          <w:p w14:paraId="24D9FA0A" w14:textId="77777777" w:rsidR="009D33A8" w:rsidRDefault="009D33A8">
            <w:pPr>
              <w:cnfStyle w:val="000000000000" w:firstRow="0" w:lastRow="0" w:firstColumn="0" w:lastColumn="0" w:oddVBand="0" w:evenVBand="0" w:oddHBand="0" w:evenHBand="0" w:firstRowFirstColumn="0" w:firstRowLastColumn="0" w:lastRowFirstColumn="0" w:lastRowLastColumn="0"/>
            </w:pPr>
            <w:r>
              <w:t>10 118</w:t>
            </w:r>
          </w:p>
        </w:tc>
        <w:tc>
          <w:tcPr>
            <w:tcW w:w="907" w:type="dxa"/>
          </w:tcPr>
          <w:p w14:paraId="595A0A5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4C0BCA" w14:textId="77777777" w:rsidR="009D33A8" w:rsidRDefault="009D33A8">
            <w:pPr>
              <w:cnfStyle w:val="000000000000" w:firstRow="0" w:lastRow="0" w:firstColumn="0" w:lastColumn="0" w:oddVBand="0" w:evenVBand="0" w:oddHBand="0" w:evenHBand="0" w:firstRowFirstColumn="0" w:firstRowLastColumn="0" w:lastRowFirstColumn="0" w:lastRowLastColumn="0"/>
            </w:pPr>
            <w:r>
              <w:t>353</w:t>
            </w:r>
          </w:p>
        </w:tc>
        <w:tc>
          <w:tcPr>
            <w:tcW w:w="907" w:type="dxa"/>
          </w:tcPr>
          <w:p w14:paraId="766D3034" w14:textId="77777777" w:rsidR="009D33A8" w:rsidRDefault="009D33A8">
            <w:pPr>
              <w:cnfStyle w:val="000000000000" w:firstRow="0" w:lastRow="0" w:firstColumn="0" w:lastColumn="0" w:oddVBand="0" w:evenVBand="0" w:oddHBand="0" w:evenHBand="0" w:firstRowFirstColumn="0" w:firstRowLastColumn="0" w:lastRowFirstColumn="0" w:lastRowLastColumn="0"/>
            </w:pPr>
            <w:r>
              <w:t>9 765</w:t>
            </w:r>
          </w:p>
        </w:tc>
        <w:tc>
          <w:tcPr>
            <w:tcW w:w="907" w:type="dxa"/>
          </w:tcPr>
          <w:p w14:paraId="55DF236A" w14:textId="77777777" w:rsidR="009D33A8" w:rsidRDefault="009D33A8">
            <w:pPr>
              <w:cnfStyle w:val="000000000000" w:firstRow="0" w:lastRow="0" w:firstColumn="0" w:lastColumn="0" w:oddVBand="0" w:evenVBand="0" w:oddHBand="0" w:evenHBand="0" w:firstRowFirstColumn="0" w:firstRowLastColumn="0" w:lastRowFirstColumn="0" w:lastRowLastColumn="0"/>
            </w:pPr>
            <w:r>
              <w:t>7 107</w:t>
            </w:r>
          </w:p>
        </w:tc>
        <w:tc>
          <w:tcPr>
            <w:tcW w:w="907" w:type="dxa"/>
          </w:tcPr>
          <w:p w14:paraId="6C5E825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BAD525" w14:textId="77777777" w:rsidR="009D33A8" w:rsidRDefault="009D33A8">
            <w:pPr>
              <w:cnfStyle w:val="000000000000" w:firstRow="0" w:lastRow="0" w:firstColumn="0" w:lastColumn="0" w:oddVBand="0" w:evenVBand="0" w:oddHBand="0" w:evenHBand="0" w:firstRowFirstColumn="0" w:firstRowLastColumn="0" w:lastRowFirstColumn="0" w:lastRowLastColumn="0"/>
            </w:pPr>
            <w:r>
              <w:t>321</w:t>
            </w:r>
          </w:p>
        </w:tc>
        <w:tc>
          <w:tcPr>
            <w:tcW w:w="907" w:type="dxa"/>
          </w:tcPr>
          <w:p w14:paraId="1A8F8D0A" w14:textId="77777777" w:rsidR="009D33A8" w:rsidRDefault="009D33A8">
            <w:pPr>
              <w:cnfStyle w:val="000000000000" w:firstRow="0" w:lastRow="0" w:firstColumn="0" w:lastColumn="0" w:oddVBand="0" w:evenVBand="0" w:oddHBand="0" w:evenHBand="0" w:firstRowFirstColumn="0" w:firstRowLastColumn="0" w:lastRowFirstColumn="0" w:lastRowLastColumn="0"/>
            </w:pPr>
            <w:r>
              <w:t>6 786</w:t>
            </w:r>
          </w:p>
        </w:tc>
      </w:tr>
      <w:tr w:rsidR="009D33A8" w14:paraId="204995EB" w14:textId="77777777">
        <w:tc>
          <w:tcPr>
            <w:cnfStyle w:val="001000000000" w:firstRow="0" w:lastRow="0" w:firstColumn="1" w:lastColumn="0" w:oddVBand="0" w:evenVBand="0" w:oddHBand="0" w:evenHBand="0" w:firstRowFirstColumn="0" w:firstRowLastColumn="0" w:lastRowFirstColumn="0" w:lastRowLastColumn="0"/>
            <w:tcW w:w="2382" w:type="dxa"/>
          </w:tcPr>
          <w:p w14:paraId="13AE6A71" w14:textId="77777777" w:rsidR="009D33A8" w:rsidRDefault="009D33A8">
            <w:r>
              <w:rPr>
                <w:b/>
              </w:rPr>
              <w:t>Roads, road infrastructure and earthworks</w:t>
            </w:r>
            <w:r>
              <w:rPr>
                <w:b/>
                <w:vertAlign w:val="superscript"/>
              </w:rPr>
              <w:t xml:space="preserve"> (a)</w:t>
            </w:r>
          </w:p>
        </w:tc>
        <w:tc>
          <w:tcPr>
            <w:tcW w:w="907" w:type="dxa"/>
          </w:tcPr>
          <w:p w14:paraId="25363C3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96 811</w:t>
            </w:r>
          </w:p>
        </w:tc>
        <w:tc>
          <w:tcPr>
            <w:tcW w:w="907" w:type="dxa"/>
          </w:tcPr>
          <w:p w14:paraId="2CB1E7C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015D04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FE392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96 811</w:t>
            </w:r>
          </w:p>
        </w:tc>
        <w:tc>
          <w:tcPr>
            <w:tcW w:w="907" w:type="dxa"/>
          </w:tcPr>
          <w:p w14:paraId="7874B63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66 690</w:t>
            </w:r>
          </w:p>
        </w:tc>
        <w:tc>
          <w:tcPr>
            <w:tcW w:w="907" w:type="dxa"/>
          </w:tcPr>
          <w:p w14:paraId="308011C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C380F5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DB1279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66 690</w:t>
            </w:r>
          </w:p>
        </w:tc>
      </w:tr>
      <w:tr w:rsidR="009D33A8" w14:paraId="61A47B1E" w14:textId="77777777">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420910B8" w14:textId="77777777" w:rsidR="009D33A8" w:rsidRDefault="009D33A8">
            <w:r>
              <w:rPr>
                <w:b/>
              </w:rPr>
              <w:t>Cultural assets</w:t>
            </w:r>
          </w:p>
        </w:tc>
        <w:tc>
          <w:tcPr>
            <w:tcW w:w="907" w:type="dxa"/>
            <w:tcBorders>
              <w:bottom w:val="single" w:sz="6" w:space="0" w:color="auto"/>
            </w:tcBorders>
          </w:tcPr>
          <w:p w14:paraId="70D32D1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7 541</w:t>
            </w:r>
          </w:p>
        </w:tc>
        <w:tc>
          <w:tcPr>
            <w:tcW w:w="907" w:type="dxa"/>
            <w:tcBorders>
              <w:bottom w:val="single" w:sz="6" w:space="0" w:color="auto"/>
            </w:tcBorders>
          </w:tcPr>
          <w:p w14:paraId="7075F22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77D75C2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2 612</w:t>
            </w:r>
          </w:p>
        </w:tc>
        <w:tc>
          <w:tcPr>
            <w:tcW w:w="907" w:type="dxa"/>
            <w:tcBorders>
              <w:bottom w:val="single" w:sz="6" w:space="0" w:color="auto"/>
            </w:tcBorders>
          </w:tcPr>
          <w:p w14:paraId="1BF7B8A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4 929</w:t>
            </w:r>
          </w:p>
        </w:tc>
        <w:tc>
          <w:tcPr>
            <w:tcW w:w="907" w:type="dxa"/>
            <w:tcBorders>
              <w:bottom w:val="single" w:sz="6" w:space="0" w:color="auto"/>
            </w:tcBorders>
          </w:tcPr>
          <w:p w14:paraId="0973F98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6 914</w:t>
            </w:r>
          </w:p>
        </w:tc>
        <w:tc>
          <w:tcPr>
            <w:tcW w:w="907" w:type="dxa"/>
            <w:tcBorders>
              <w:bottom w:val="single" w:sz="6" w:space="0" w:color="auto"/>
            </w:tcBorders>
          </w:tcPr>
          <w:p w14:paraId="413934A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4AA56E0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2 540</w:t>
            </w:r>
          </w:p>
        </w:tc>
        <w:tc>
          <w:tcPr>
            <w:tcW w:w="907" w:type="dxa"/>
            <w:tcBorders>
              <w:bottom w:val="single" w:sz="6" w:space="0" w:color="auto"/>
            </w:tcBorders>
          </w:tcPr>
          <w:p w14:paraId="477B562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4 374</w:t>
            </w:r>
          </w:p>
        </w:tc>
      </w:tr>
      <w:tr w:rsidR="009D33A8" w14:paraId="46F91B40" w14:textId="77777777">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7E141825" w14:textId="77777777" w:rsidR="009D33A8" w:rsidRDefault="009D33A8">
            <w:r>
              <w:rPr>
                <w:b/>
              </w:rPr>
              <w:t>Total land, buildings, infrastructure, plant and equipment</w:t>
            </w:r>
            <w:r>
              <w:rPr>
                <w:b/>
                <w:vertAlign w:val="superscript"/>
              </w:rPr>
              <w:t xml:space="preserve"> (b)</w:t>
            </w:r>
          </w:p>
        </w:tc>
        <w:tc>
          <w:tcPr>
            <w:tcW w:w="907" w:type="dxa"/>
            <w:tcBorders>
              <w:top w:val="single" w:sz="6" w:space="0" w:color="auto"/>
              <w:bottom w:val="single" w:sz="12" w:space="0" w:color="auto"/>
            </w:tcBorders>
          </w:tcPr>
          <w:p w14:paraId="63EF330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454 379</w:t>
            </w:r>
          </w:p>
        </w:tc>
        <w:tc>
          <w:tcPr>
            <w:tcW w:w="907" w:type="dxa"/>
            <w:tcBorders>
              <w:top w:val="single" w:sz="6" w:space="0" w:color="auto"/>
              <w:bottom w:val="single" w:sz="12" w:space="0" w:color="auto"/>
            </w:tcBorders>
          </w:tcPr>
          <w:p w14:paraId="6A84BF6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01AF869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47 950</w:t>
            </w:r>
          </w:p>
        </w:tc>
        <w:tc>
          <w:tcPr>
            <w:tcW w:w="907" w:type="dxa"/>
            <w:tcBorders>
              <w:top w:val="single" w:sz="6" w:space="0" w:color="auto"/>
              <w:bottom w:val="single" w:sz="12" w:space="0" w:color="auto"/>
            </w:tcBorders>
          </w:tcPr>
          <w:p w14:paraId="45CA52B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406 429</w:t>
            </w:r>
          </w:p>
        </w:tc>
        <w:tc>
          <w:tcPr>
            <w:tcW w:w="907" w:type="dxa"/>
            <w:tcBorders>
              <w:top w:val="single" w:sz="6" w:space="0" w:color="auto"/>
              <w:bottom w:val="single" w:sz="12" w:space="0" w:color="auto"/>
            </w:tcBorders>
          </w:tcPr>
          <w:p w14:paraId="7DD377B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395 253</w:t>
            </w:r>
          </w:p>
        </w:tc>
        <w:tc>
          <w:tcPr>
            <w:tcW w:w="907" w:type="dxa"/>
            <w:tcBorders>
              <w:top w:val="single" w:sz="6" w:space="0" w:color="auto"/>
              <w:bottom w:val="single" w:sz="12" w:space="0" w:color="auto"/>
            </w:tcBorders>
          </w:tcPr>
          <w:p w14:paraId="34A3A9E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05B9CC4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46 850</w:t>
            </w:r>
          </w:p>
        </w:tc>
        <w:tc>
          <w:tcPr>
            <w:tcW w:w="907" w:type="dxa"/>
            <w:tcBorders>
              <w:top w:val="single" w:sz="6" w:space="0" w:color="auto"/>
              <w:bottom w:val="single" w:sz="12" w:space="0" w:color="auto"/>
            </w:tcBorders>
          </w:tcPr>
          <w:p w14:paraId="43DE6C9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348 404</w:t>
            </w:r>
          </w:p>
        </w:tc>
      </w:tr>
    </w:tbl>
    <w:p w14:paraId="5D972EC7" w14:textId="77777777" w:rsidR="009D33A8" w:rsidRPr="007B2242" w:rsidRDefault="009D33A8" w:rsidP="009D33A8">
      <w:pPr>
        <w:pStyle w:val="Note"/>
      </w:pPr>
      <w:r w:rsidRPr="002873DB">
        <w:t>Note</w:t>
      </w:r>
      <w:r>
        <w:t>s</w:t>
      </w:r>
      <w:r w:rsidRPr="002873DB">
        <w:t>:</w:t>
      </w:r>
    </w:p>
    <w:p w14:paraId="0BEA81E8" w14:textId="6F95F095" w:rsidR="009D33A8" w:rsidRDefault="009D33A8" w:rsidP="009D33A8">
      <w:pPr>
        <w:pStyle w:val="Note"/>
      </w:pPr>
      <w:r>
        <w:t>(a)</w:t>
      </w:r>
      <w:r>
        <w:tab/>
      </w:r>
      <w:r w:rsidRPr="000F5E88">
        <w:t>The 2023-24 comparative figures relating to VicTrack</w:t>
      </w:r>
      <w:r w:rsidR="00845934">
        <w:t>’</w:t>
      </w:r>
      <w:r w:rsidRPr="000F5E88">
        <w:t xml:space="preserve">s rail assets have been reclassified from infrastructure to earthworks </w:t>
      </w:r>
      <w:r>
        <w:t>to more accurately reflect the nature of the underlying assets</w:t>
      </w:r>
      <w:r w:rsidRPr="000F5E88">
        <w:t>.</w:t>
      </w:r>
    </w:p>
    <w:p w14:paraId="3E864D31" w14:textId="11372653" w:rsidR="009D33A8" w:rsidRDefault="009D33A8" w:rsidP="009D33A8">
      <w:pPr>
        <w:pStyle w:val="Note"/>
      </w:pPr>
      <w:r w:rsidRPr="002873DB">
        <w:t>(</w:t>
      </w:r>
      <w:r>
        <w:t>b</w:t>
      </w:r>
      <w:r w:rsidRPr="002873DB">
        <w:t>)</w:t>
      </w:r>
      <w:r w:rsidRPr="002873DB">
        <w:tab/>
        <w:t>The State</w:t>
      </w:r>
      <w:r w:rsidR="00845934">
        <w:t>’</w:t>
      </w:r>
      <w:r w:rsidRPr="002873DB">
        <w:t>s total land, building, infrastructure, plant and equipment in this table excludes most construction in progress assets, which are valued at cost. Construction in progress assets arising from service concession arrangements are measured at fair value and included in this disclosure. The total of excluded assets is $</w:t>
      </w:r>
      <w:r>
        <w:t>45.1</w:t>
      </w:r>
      <w:r w:rsidRPr="002873DB">
        <w:t> billion (202</w:t>
      </w:r>
      <w:r>
        <w:t>4</w:t>
      </w:r>
      <w:r w:rsidRPr="002873DB">
        <w:t>: $3</w:t>
      </w:r>
      <w:r>
        <w:t>9</w:t>
      </w:r>
      <w:r w:rsidRPr="002873DB">
        <w:t>.</w:t>
      </w:r>
      <w:r>
        <w:t>8</w:t>
      </w:r>
      <w:r w:rsidRPr="002873DB">
        <w:t> billion).</w:t>
      </w:r>
    </w:p>
    <w:p w14:paraId="414C1536" w14:textId="77777777" w:rsidR="009D33A8" w:rsidRPr="003245A9" w:rsidRDefault="009D33A8" w:rsidP="009D33A8">
      <w:pPr>
        <w:pStyle w:val="Note"/>
      </w:pPr>
    </w:p>
    <w:p w14:paraId="1ED68C3D"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Carry_amount_fair_value_hierarchy_GG"/>
      </w:tblPr>
      <w:tblGrid>
        <w:gridCol w:w="2382"/>
        <w:gridCol w:w="907"/>
        <w:gridCol w:w="907"/>
        <w:gridCol w:w="907"/>
        <w:gridCol w:w="907"/>
        <w:gridCol w:w="907"/>
        <w:gridCol w:w="907"/>
        <w:gridCol w:w="907"/>
        <w:gridCol w:w="907"/>
      </w:tblGrid>
      <w:tr w:rsidR="00940F7B" w14:paraId="70D518E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27CECEE9" w14:textId="77777777" w:rsidR="009D33A8" w:rsidRDefault="009D33A8">
            <w:pPr>
              <w:keepNext/>
            </w:pPr>
          </w:p>
        </w:tc>
        <w:tc>
          <w:tcPr>
            <w:tcW w:w="907" w:type="dxa"/>
          </w:tcPr>
          <w:p w14:paraId="43E496D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337A7F0F"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Fair value measurement at the end of the 2025 reporting period using:</w:t>
            </w:r>
          </w:p>
        </w:tc>
        <w:tc>
          <w:tcPr>
            <w:tcW w:w="907" w:type="dxa"/>
          </w:tcPr>
          <w:p w14:paraId="7D691F96"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Carrying amount</w:t>
            </w:r>
          </w:p>
        </w:tc>
        <w:tc>
          <w:tcPr>
            <w:tcW w:w="2721" w:type="dxa"/>
            <w:gridSpan w:val="3"/>
          </w:tcPr>
          <w:p w14:paraId="44EDC616"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Fair value measurement at the end of the 2024 reporting period using:</w:t>
            </w:r>
          </w:p>
        </w:tc>
      </w:tr>
      <w:tr w:rsidR="002B1B5E" w14:paraId="69ABEEE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2" w:type="dxa"/>
          </w:tcPr>
          <w:p w14:paraId="3A2A1B42" w14:textId="77777777" w:rsidR="009D33A8" w:rsidRDefault="009D33A8">
            <w:pPr>
              <w:keepNext/>
            </w:pPr>
            <w:r>
              <w:t>General government sector</w:t>
            </w:r>
          </w:p>
        </w:tc>
        <w:tc>
          <w:tcPr>
            <w:tcW w:w="907" w:type="dxa"/>
          </w:tcPr>
          <w:p w14:paraId="7C6480D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6AF144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75AA3B9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1EBDE2FC"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c>
          <w:tcPr>
            <w:tcW w:w="907" w:type="dxa"/>
          </w:tcPr>
          <w:p w14:paraId="75B9953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B9E5D9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1</w:t>
            </w:r>
          </w:p>
        </w:tc>
        <w:tc>
          <w:tcPr>
            <w:tcW w:w="907" w:type="dxa"/>
          </w:tcPr>
          <w:p w14:paraId="357A029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2</w:t>
            </w:r>
          </w:p>
        </w:tc>
        <w:tc>
          <w:tcPr>
            <w:tcW w:w="907" w:type="dxa"/>
          </w:tcPr>
          <w:p w14:paraId="24C30BE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Level 3</w:t>
            </w:r>
          </w:p>
        </w:tc>
      </w:tr>
      <w:tr w:rsidR="009D33A8" w14:paraId="7BA4CE45" w14:textId="77777777">
        <w:tc>
          <w:tcPr>
            <w:cnfStyle w:val="001000000000" w:firstRow="0" w:lastRow="0" w:firstColumn="1" w:lastColumn="0" w:oddVBand="0" w:evenVBand="0" w:oddHBand="0" w:evenHBand="0" w:firstRowFirstColumn="0" w:firstRowLastColumn="0" w:lastRowFirstColumn="0" w:lastRowLastColumn="0"/>
            <w:tcW w:w="2382" w:type="dxa"/>
          </w:tcPr>
          <w:p w14:paraId="03F94C9F" w14:textId="77777777" w:rsidR="009D33A8" w:rsidRDefault="009D33A8">
            <w:r>
              <w:rPr>
                <w:b/>
              </w:rPr>
              <w:t>Buildings</w:t>
            </w:r>
          </w:p>
        </w:tc>
        <w:tc>
          <w:tcPr>
            <w:tcW w:w="907" w:type="dxa"/>
          </w:tcPr>
          <w:p w14:paraId="0DFD196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61 725</w:t>
            </w:r>
          </w:p>
        </w:tc>
        <w:tc>
          <w:tcPr>
            <w:tcW w:w="907" w:type="dxa"/>
          </w:tcPr>
          <w:p w14:paraId="41C51DC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214111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2 515</w:t>
            </w:r>
          </w:p>
        </w:tc>
        <w:tc>
          <w:tcPr>
            <w:tcW w:w="907" w:type="dxa"/>
          </w:tcPr>
          <w:p w14:paraId="16E0893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59 210</w:t>
            </w:r>
          </w:p>
        </w:tc>
        <w:tc>
          <w:tcPr>
            <w:tcW w:w="907" w:type="dxa"/>
          </w:tcPr>
          <w:p w14:paraId="3EFD692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60 487</w:t>
            </w:r>
          </w:p>
        </w:tc>
        <w:tc>
          <w:tcPr>
            <w:tcW w:w="907" w:type="dxa"/>
          </w:tcPr>
          <w:p w14:paraId="1AB823B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53FB4F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2 783</w:t>
            </w:r>
          </w:p>
        </w:tc>
        <w:tc>
          <w:tcPr>
            <w:tcW w:w="907" w:type="dxa"/>
          </w:tcPr>
          <w:p w14:paraId="180E677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57 704</w:t>
            </w:r>
          </w:p>
        </w:tc>
      </w:tr>
      <w:tr w:rsidR="009D33A8" w14:paraId="5930D0B6" w14:textId="77777777">
        <w:tc>
          <w:tcPr>
            <w:cnfStyle w:val="001000000000" w:firstRow="0" w:lastRow="0" w:firstColumn="1" w:lastColumn="0" w:oddVBand="0" w:evenVBand="0" w:oddHBand="0" w:evenHBand="0" w:firstRowFirstColumn="0" w:firstRowLastColumn="0" w:lastRowFirstColumn="0" w:lastRowLastColumn="0"/>
            <w:tcW w:w="2382" w:type="dxa"/>
          </w:tcPr>
          <w:p w14:paraId="7C8A1F2E" w14:textId="77777777" w:rsidR="009D33A8" w:rsidRDefault="009D33A8">
            <w:r>
              <w:rPr>
                <w:b/>
              </w:rPr>
              <w:t>Land and national parks</w:t>
            </w:r>
          </w:p>
        </w:tc>
        <w:tc>
          <w:tcPr>
            <w:tcW w:w="907" w:type="dxa"/>
          </w:tcPr>
          <w:p w14:paraId="59DB1A2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91 359</w:t>
            </w:r>
          </w:p>
        </w:tc>
        <w:tc>
          <w:tcPr>
            <w:tcW w:w="907" w:type="dxa"/>
          </w:tcPr>
          <w:p w14:paraId="4586258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65B699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5 215</w:t>
            </w:r>
          </w:p>
        </w:tc>
        <w:tc>
          <w:tcPr>
            <w:tcW w:w="907" w:type="dxa"/>
          </w:tcPr>
          <w:p w14:paraId="3BEE97C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86 144</w:t>
            </w:r>
          </w:p>
        </w:tc>
        <w:tc>
          <w:tcPr>
            <w:tcW w:w="907" w:type="dxa"/>
          </w:tcPr>
          <w:p w14:paraId="4B408F0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95 973</w:t>
            </w:r>
          </w:p>
        </w:tc>
        <w:tc>
          <w:tcPr>
            <w:tcW w:w="907" w:type="dxa"/>
          </w:tcPr>
          <w:p w14:paraId="06BC813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8B6349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4 427</w:t>
            </w:r>
          </w:p>
        </w:tc>
        <w:tc>
          <w:tcPr>
            <w:tcW w:w="907" w:type="dxa"/>
          </w:tcPr>
          <w:p w14:paraId="510C1FE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91 546</w:t>
            </w:r>
          </w:p>
        </w:tc>
      </w:tr>
      <w:tr w:rsidR="009D33A8" w14:paraId="1021531A" w14:textId="77777777">
        <w:tc>
          <w:tcPr>
            <w:cnfStyle w:val="001000000000" w:firstRow="0" w:lastRow="0" w:firstColumn="1" w:lastColumn="0" w:oddVBand="0" w:evenVBand="0" w:oddHBand="0" w:evenHBand="0" w:firstRowFirstColumn="0" w:firstRowLastColumn="0" w:lastRowFirstColumn="0" w:lastRowLastColumn="0"/>
            <w:tcW w:w="2382" w:type="dxa"/>
          </w:tcPr>
          <w:p w14:paraId="40C3B042" w14:textId="77777777" w:rsidR="009D33A8" w:rsidRDefault="009D33A8">
            <w:r>
              <w:rPr>
                <w:b/>
              </w:rPr>
              <w:t>Plant, equipment, vehicles and infrastructure systems</w:t>
            </w:r>
          </w:p>
        </w:tc>
        <w:tc>
          <w:tcPr>
            <w:tcW w:w="907" w:type="dxa"/>
          </w:tcPr>
          <w:p w14:paraId="2E4D9B2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18 428</w:t>
            </w:r>
          </w:p>
        </w:tc>
        <w:tc>
          <w:tcPr>
            <w:tcW w:w="907" w:type="dxa"/>
          </w:tcPr>
          <w:p w14:paraId="72463CC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B97543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212</w:t>
            </w:r>
          </w:p>
        </w:tc>
        <w:tc>
          <w:tcPr>
            <w:tcW w:w="907" w:type="dxa"/>
          </w:tcPr>
          <w:p w14:paraId="4785E63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18 216</w:t>
            </w:r>
          </w:p>
        </w:tc>
        <w:tc>
          <w:tcPr>
            <w:tcW w:w="907" w:type="dxa"/>
          </w:tcPr>
          <w:p w14:paraId="76DCD27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16 299</w:t>
            </w:r>
          </w:p>
        </w:tc>
        <w:tc>
          <w:tcPr>
            <w:tcW w:w="907" w:type="dxa"/>
          </w:tcPr>
          <w:p w14:paraId="108247C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108EB4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179</w:t>
            </w:r>
          </w:p>
        </w:tc>
        <w:tc>
          <w:tcPr>
            <w:tcW w:w="907" w:type="dxa"/>
          </w:tcPr>
          <w:p w14:paraId="7E369C9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16 120</w:t>
            </w:r>
          </w:p>
        </w:tc>
      </w:tr>
      <w:tr w:rsidR="009D33A8" w14:paraId="40C47CDE" w14:textId="77777777">
        <w:tc>
          <w:tcPr>
            <w:cnfStyle w:val="001000000000" w:firstRow="0" w:lastRow="0" w:firstColumn="1" w:lastColumn="0" w:oddVBand="0" w:evenVBand="0" w:oddHBand="0" w:evenHBand="0" w:firstRowFirstColumn="0" w:firstRowLastColumn="0" w:lastRowFirstColumn="0" w:lastRowLastColumn="0"/>
            <w:tcW w:w="2382" w:type="dxa"/>
          </w:tcPr>
          <w:p w14:paraId="697DB9A0" w14:textId="77777777" w:rsidR="009D33A8" w:rsidRDefault="009D33A8">
            <w:r>
              <w:t xml:space="preserve">   Infrastructure systems</w:t>
            </w:r>
          </w:p>
        </w:tc>
        <w:tc>
          <w:tcPr>
            <w:tcW w:w="907" w:type="dxa"/>
          </w:tcPr>
          <w:p w14:paraId="17471D46" w14:textId="77777777" w:rsidR="009D33A8" w:rsidRDefault="009D33A8">
            <w:pPr>
              <w:cnfStyle w:val="000000000000" w:firstRow="0" w:lastRow="0" w:firstColumn="0" w:lastColumn="0" w:oddVBand="0" w:evenVBand="0" w:oddHBand="0" w:evenHBand="0" w:firstRowFirstColumn="0" w:firstRowLastColumn="0" w:lastRowFirstColumn="0" w:lastRowLastColumn="0"/>
            </w:pPr>
            <w:r>
              <w:t>14 054</w:t>
            </w:r>
          </w:p>
        </w:tc>
        <w:tc>
          <w:tcPr>
            <w:tcW w:w="907" w:type="dxa"/>
          </w:tcPr>
          <w:p w14:paraId="1E3ABA5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0C0A2D"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EEF4760" w14:textId="77777777" w:rsidR="009D33A8" w:rsidRDefault="009D33A8">
            <w:pPr>
              <w:cnfStyle w:val="000000000000" w:firstRow="0" w:lastRow="0" w:firstColumn="0" w:lastColumn="0" w:oddVBand="0" w:evenVBand="0" w:oddHBand="0" w:evenHBand="0" w:firstRowFirstColumn="0" w:firstRowLastColumn="0" w:lastRowFirstColumn="0" w:lastRowLastColumn="0"/>
            </w:pPr>
            <w:r>
              <w:t>14 054</w:t>
            </w:r>
          </w:p>
        </w:tc>
        <w:tc>
          <w:tcPr>
            <w:tcW w:w="907" w:type="dxa"/>
          </w:tcPr>
          <w:p w14:paraId="7C91FE58" w14:textId="77777777" w:rsidR="009D33A8" w:rsidRDefault="009D33A8">
            <w:pPr>
              <w:cnfStyle w:val="000000000000" w:firstRow="0" w:lastRow="0" w:firstColumn="0" w:lastColumn="0" w:oddVBand="0" w:evenVBand="0" w:oddHBand="0" w:evenHBand="0" w:firstRowFirstColumn="0" w:firstRowLastColumn="0" w:lastRowFirstColumn="0" w:lastRowLastColumn="0"/>
            </w:pPr>
            <w:r>
              <w:t>12 106</w:t>
            </w:r>
          </w:p>
        </w:tc>
        <w:tc>
          <w:tcPr>
            <w:tcW w:w="907" w:type="dxa"/>
          </w:tcPr>
          <w:p w14:paraId="07D7795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056024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EA310B3" w14:textId="77777777" w:rsidR="009D33A8" w:rsidRDefault="009D33A8">
            <w:pPr>
              <w:cnfStyle w:val="000000000000" w:firstRow="0" w:lastRow="0" w:firstColumn="0" w:lastColumn="0" w:oddVBand="0" w:evenVBand="0" w:oddHBand="0" w:evenHBand="0" w:firstRowFirstColumn="0" w:firstRowLastColumn="0" w:lastRowFirstColumn="0" w:lastRowLastColumn="0"/>
            </w:pPr>
            <w:r>
              <w:t>12 106</w:t>
            </w:r>
          </w:p>
        </w:tc>
      </w:tr>
      <w:tr w:rsidR="009D33A8" w14:paraId="7C3DE8AF" w14:textId="77777777">
        <w:tc>
          <w:tcPr>
            <w:cnfStyle w:val="001000000000" w:firstRow="0" w:lastRow="0" w:firstColumn="1" w:lastColumn="0" w:oddVBand="0" w:evenVBand="0" w:oddHBand="0" w:evenHBand="0" w:firstRowFirstColumn="0" w:firstRowLastColumn="0" w:lastRowFirstColumn="0" w:lastRowLastColumn="0"/>
            <w:tcW w:w="2382" w:type="dxa"/>
          </w:tcPr>
          <w:p w14:paraId="4CF72252" w14:textId="77777777" w:rsidR="009D33A8" w:rsidRDefault="009D33A8">
            <w:r>
              <w:t xml:space="preserve">   Plant, equipment and vehicles</w:t>
            </w:r>
          </w:p>
        </w:tc>
        <w:tc>
          <w:tcPr>
            <w:tcW w:w="907" w:type="dxa"/>
          </w:tcPr>
          <w:p w14:paraId="3FEC7D2E" w14:textId="77777777" w:rsidR="009D33A8" w:rsidRDefault="009D33A8">
            <w:pPr>
              <w:cnfStyle w:val="000000000000" w:firstRow="0" w:lastRow="0" w:firstColumn="0" w:lastColumn="0" w:oddVBand="0" w:evenVBand="0" w:oddHBand="0" w:evenHBand="0" w:firstRowFirstColumn="0" w:firstRowLastColumn="0" w:lastRowFirstColumn="0" w:lastRowLastColumn="0"/>
            </w:pPr>
            <w:r>
              <w:t>4 374</w:t>
            </w:r>
          </w:p>
        </w:tc>
        <w:tc>
          <w:tcPr>
            <w:tcW w:w="907" w:type="dxa"/>
          </w:tcPr>
          <w:p w14:paraId="6E8B1BE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BB91F0" w14:textId="77777777" w:rsidR="009D33A8" w:rsidRDefault="009D33A8">
            <w:pPr>
              <w:cnfStyle w:val="000000000000" w:firstRow="0" w:lastRow="0" w:firstColumn="0" w:lastColumn="0" w:oddVBand="0" w:evenVBand="0" w:oddHBand="0" w:evenHBand="0" w:firstRowFirstColumn="0" w:firstRowLastColumn="0" w:lastRowFirstColumn="0" w:lastRowLastColumn="0"/>
            </w:pPr>
            <w:r>
              <w:t>212</w:t>
            </w:r>
          </w:p>
        </w:tc>
        <w:tc>
          <w:tcPr>
            <w:tcW w:w="907" w:type="dxa"/>
          </w:tcPr>
          <w:p w14:paraId="5BDA969A" w14:textId="77777777" w:rsidR="009D33A8" w:rsidRDefault="009D33A8">
            <w:pPr>
              <w:cnfStyle w:val="000000000000" w:firstRow="0" w:lastRow="0" w:firstColumn="0" w:lastColumn="0" w:oddVBand="0" w:evenVBand="0" w:oddHBand="0" w:evenHBand="0" w:firstRowFirstColumn="0" w:firstRowLastColumn="0" w:lastRowFirstColumn="0" w:lastRowLastColumn="0"/>
            </w:pPr>
            <w:r>
              <w:t>4 162</w:t>
            </w:r>
          </w:p>
        </w:tc>
        <w:tc>
          <w:tcPr>
            <w:tcW w:w="907" w:type="dxa"/>
          </w:tcPr>
          <w:p w14:paraId="6BD079CB" w14:textId="77777777" w:rsidR="009D33A8" w:rsidRDefault="009D33A8">
            <w:pPr>
              <w:cnfStyle w:val="000000000000" w:firstRow="0" w:lastRow="0" w:firstColumn="0" w:lastColumn="0" w:oddVBand="0" w:evenVBand="0" w:oddHBand="0" w:evenHBand="0" w:firstRowFirstColumn="0" w:firstRowLastColumn="0" w:lastRowFirstColumn="0" w:lastRowLastColumn="0"/>
            </w:pPr>
            <w:r>
              <w:t>4 192</w:t>
            </w:r>
          </w:p>
        </w:tc>
        <w:tc>
          <w:tcPr>
            <w:tcW w:w="907" w:type="dxa"/>
          </w:tcPr>
          <w:p w14:paraId="37DD578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172EC52" w14:textId="77777777" w:rsidR="009D33A8" w:rsidRDefault="009D33A8">
            <w:pPr>
              <w:cnfStyle w:val="000000000000" w:firstRow="0" w:lastRow="0" w:firstColumn="0" w:lastColumn="0" w:oddVBand="0" w:evenVBand="0" w:oddHBand="0" w:evenHBand="0" w:firstRowFirstColumn="0" w:firstRowLastColumn="0" w:lastRowFirstColumn="0" w:lastRowLastColumn="0"/>
            </w:pPr>
            <w:r>
              <w:t>178</w:t>
            </w:r>
          </w:p>
        </w:tc>
        <w:tc>
          <w:tcPr>
            <w:tcW w:w="907" w:type="dxa"/>
          </w:tcPr>
          <w:p w14:paraId="70E0D450" w14:textId="77777777" w:rsidR="009D33A8" w:rsidRDefault="009D33A8">
            <w:pPr>
              <w:cnfStyle w:val="000000000000" w:firstRow="0" w:lastRow="0" w:firstColumn="0" w:lastColumn="0" w:oddVBand="0" w:evenVBand="0" w:oddHBand="0" w:evenHBand="0" w:firstRowFirstColumn="0" w:firstRowLastColumn="0" w:lastRowFirstColumn="0" w:lastRowLastColumn="0"/>
            </w:pPr>
            <w:r>
              <w:t>4 014</w:t>
            </w:r>
          </w:p>
        </w:tc>
      </w:tr>
      <w:tr w:rsidR="009D33A8" w14:paraId="5723B0E8" w14:textId="77777777">
        <w:tc>
          <w:tcPr>
            <w:cnfStyle w:val="001000000000" w:firstRow="0" w:lastRow="0" w:firstColumn="1" w:lastColumn="0" w:oddVBand="0" w:evenVBand="0" w:oddHBand="0" w:evenHBand="0" w:firstRowFirstColumn="0" w:firstRowLastColumn="0" w:lastRowFirstColumn="0" w:lastRowLastColumn="0"/>
            <w:tcW w:w="2382" w:type="dxa"/>
          </w:tcPr>
          <w:p w14:paraId="6E1489DE" w14:textId="77777777" w:rsidR="009D33A8" w:rsidRDefault="009D33A8">
            <w:r>
              <w:rPr>
                <w:b/>
              </w:rPr>
              <w:t>Roads, road infrastructure and earthworks</w:t>
            </w:r>
          </w:p>
        </w:tc>
        <w:tc>
          <w:tcPr>
            <w:tcW w:w="907" w:type="dxa"/>
          </w:tcPr>
          <w:p w14:paraId="24F9F31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69 385</w:t>
            </w:r>
          </w:p>
        </w:tc>
        <w:tc>
          <w:tcPr>
            <w:tcW w:w="907" w:type="dxa"/>
          </w:tcPr>
          <w:p w14:paraId="23EEE94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F775C2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116E91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69 385</w:t>
            </w:r>
          </w:p>
        </w:tc>
        <w:tc>
          <w:tcPr>
            <w:tcW w:w="907" w:type="dxa"/>
          </w:tcPr>
          <w:p w14:paraId="26F99FB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55 208</w:t>
            </w:r>
          </w:p>
        </w:tc>
        <w:tc>
          <w:tcPr>
            <w:tcW w:w="907" w:type="dxa"/>
          </w:tcPr>
          <w:p w14:paraId="51708FA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6643327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3AF4A9D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55 208</w:t>
            </w:r>
          </w:p>
        </w:tc>
      </w:tr>
      <w:tr w:rsidR="009D33A8" w14:paraId="1E0FDEDD" w14:textId="77777777">
        <w:tc>
          <w:tcPr>
            <w:cnfStyle w:val="001000000000" w:firstRow="0" w:lastRow="0" w:firstColumn="1" w:lastColumn="0" w:oddVBand="0" w:evenVBand="0" w:oddHBand="0" w:evenHBand="0" w:firstRowFirstColumn="0" w:firstRowLastColumn="0" w:lastRowFirstColumn="0" w:lastRowLastColumn="0"/>
            <w:tcW w:w="2382" w:type="dxa"/>
            <w:tcBorders>
              <w:bottom w:val="single" w:sz="6" w:space="0" w:color="auto"/>
            </w:tcBorders>
          </w:tcPr>
          <w:p w14:paraId="0F46A966" w14:textId="77777777" w:rsidR="009D33A8" w:rsidRDefault="009D33A8">
            <w:r>
              <w:rPr>
                <w:b/>
              </w:rPr>
              <w:t>Cultural assets</w:t>
            </w:r>
          </w:p>
        </w:tc>
        <w:tc>
          <w:tcPr>
            <w:tcW w:w="907" w:type="dxa"/>
            <w:tcBorders>
              <w:bottom w:val="single" w:sz="6" w:space="0" w:color="auto"/>
            </w:tcBorders>
          </w:tcPr>
          <w:p w14:paraId="24DD5DD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7 445</w:t>
            </w:r>
          </w:p>
        </w:tc>
        <w:tc>
          <w:tcPr>
            <w:tcW w:w="907" w:type="dxa"/>
            <w:tcBorders>
              <w:bottom w:val="single" w:sz="6" w:space="0" w:color="auto"/>
            </w:tcBorders>
          </w:tcPr>
          <w:p w14:paraId="5B6696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09A5440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2 530</w:t>
            </w:r>
          </w:p>
        </w:tc>
        <w:tc>
          <w:tcPr>
            <w:tcW w:w="907" w:type="dxa"/>
            <w:tcBorders>
              <w:bottom w:val="single" w:sz="6" w:space="0" w:color="auto"/>
            </w:tcBorders>
          </w:tcPr>
          <w:p w14:paraId="242F095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4 915</w:t>
            </w:r>
          </w:p>
        </w:tc>
        <w:tc>
          <w:tcPr>
            <w:tcW w:w="907" w:type="dxa"/>
            <w:tcBorders>
              <w:bottom w:val="single" w:sz="6" w:space="0" w:color="auto"/>
            </w:tcBorders>
          </w:tcPr>
          <w:p w14:paraId="3B856DA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6 810</w:t>
            </w:r>
          </w:p>
        </w:tc>
        <w:tc>
          <w:tcPr>
            <w:tcW w:w="907" w:type="dxa"/>
            <w:tcBorders>
              <w:bottom w:val="single" w:sz="6" w:space="0" w:color="auto"/>
            </w:tcBorders>
          </w:tcPr>
          <w:p w14:paraId="08CC518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bottom w:val="single" w:sz="6" w:space="0" w:color="auto"/>
            </w:tcBorders>
          </w:tcPr>
          <w:p w14:paraId="215F46F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2 461</w:t>
            </w:r>
          </w:p>
        </w:tc>
        <w:tc>
          <w:tcPr>
            <w:tcW w:w="907" w:type="dxa"/>
            <w:tcBorders>
              <w:bottom w:val="single" w:sz="6" w:space="0" w:color="auto"/>
            </w:tcBorders>
          </w:tcPr>
          <w:p w14:paraId="5F320C5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4 349</w:t>
            </w:r>
          </w:p>
        </w:tc>
      </w:tr>
      <w:tr w:rsidR="009D33A8" w14:paraId="65AB5DAD" w14:textId="77777777">
        <w:tc>
          <w:tcPr>
            <w:cnfStyle w:val="001000000000" w:firstRow="0" w:lastRow="0" w:firstColumn="1" w:lastColumn="0" w:oddVBand="0" w:evenVBand="0" w:oddHBand="0" w:evenHBand="0" w:firstRowFirstColumn="0" w:firstRowLastColumn="0" w:lastRowFirstColumn="0" w:lastRowLastColumn="0"/>
            <w:tcW w:w="2382" w:type="dxa"/>
            <w:tcBorders>
              <w:top w:val="single" w:sz="6" w:space="0" w:color="auto"/>
              <w:bottom w:val="single" w:sz="12" w:space="0" w:color="auto"/>
            </w:tcBorders>
          </w:tcPr>
          <w:p w14:paraId="61E590C9" w14:textId="77777777" w:rsidR="009D33A8" w:rsidRDefault="009D33A8">
            <w:r>
              <w:rPr>
                <w:b/>
              </w:rPr>
              <w:t>Total land, buildings, infrastructure, plant and equipment</w:t>
            </w:r>
            <w:r>
              <w:rPr>
                <w:b/>
                <w:vertAlign w:val="superscript"/>
              </w:rPr>
              <w:t xml:space="preserve"> (a)</w:t>
            </w:r>
          </w:p>
        </w:tc>
        <w:tc>
          <w:tcPr>
            <w:tcW w:w="907" w:type="dxa"/>
            <w:tcBorders>
              <w:top w:val="single" w:sz="6" w:space="0" w:color="auto"/>
              <w:bottom w:val="single" w:sz="12" w:space="0" w:color="auto"/>
            </w:tcBorders>
          </w:tcPr>
          <w:p w14:paraId="3EF05A5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248 343</w:t>
            </w:r>
          </w:p>
        </w:tc>
        <w:tc>
          <w:tcPr>
            <w:tcW w:w="907" w:type="dxa"/>
            <w:tcBorders>
              <w:top w:val="single" w:sz="6" w:space="0" w:color="auto"/>
              <w:bottom w:val="single" w:sz="12" w:space="0" w:color="auto"/>
            </w:tcBorders>
          </w:tcPr>
          <w:p w14:paraId="25C5B37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2C828E2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10 472</w:t>
            </w:r>
          </w:p>
        </w:tc>
        <w:tc>
          <w:tcPr>
            <w:tcW w:w="907" w:type="dxa"/>
            <w:tcBorders>
              <w:top w:val="single" w:sz="6" w:space="0" w:color="auto"/>
              <w:bottom w:val="single" w:sz="12" w:space="0" w:color="auto"/>
            </w:tcBorders>
          </w:tcPr>
          <w:p w14:paraId="2793872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237 870</w:t>
            </w:r>
          </w:p>
        </w:tc>
        <w:tc>
          <w:tcPr>
            <w:tcW w:w="907" w:type="dxa"/>
            <w:tcBorders>
              <w:top w:val="single" w:sz="6" w:space="0" w:color="auto"/>
              <w:bottom w:val="single" w:sz="12" w:space="0" w:color="auto"/>
            </w:tcBorders>
          </w:tcPr>
          <w:p w14:paraId="61B4534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234 776</w:t>
            </w:r>
          </w:p>
        </w:tc>
        <w:tc>
          <w:tcPr>
            <w:tcW w:w="907" w:type="dxa"/>
            <w:tcBorders>
              <w:top w:val="single" w:sz="6" w:space="0" w:color="auto"/>
              <w:bottom w:val="single" w:sz="12" w:space="0" w:color="auto"/>
            </w:tcBorders>
          </w:tcPr>
          <w:p w14:paraId="5DEBDDE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3CABC9B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9 849</w:t>
            </w:r>
          </w:p>
        </w:tc>
        <w:tc>
          <w:tcPr>
            <w:tcW w:w="907" w:type="dxa"/>
            <w:tcBorders>
              <w:top w:val="single" w:sz="6" w:space="0" w:color="auto"/>
              <w:bottom w:val="single" w:sz="12" w:space="0" w:color="auto"/>
            </w:tcBorders>
          </w:tcPr>
          <w:p w14:paraId="25666E8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224 927</w:t>
            </w:r>
          </w:p>
        </w:tc>
      </w:tr>
    </w:tbl>
    <w:p w14:paraId="7A35A2DD" w14:textId="77777777" w:rsidR="009D33A8" w:rsidRPr="006E46A3" w:rsidRDefault="009D33A8" w:rsidP="009D33A8">
      <w:pPr>
        <w:pStyle w:val="Note"/>
      </w:pPr>
      <w:r w:rsidRPr="002873DB">
        <w:t>Note:</w:t>
      </w:r>
    </w:p>
    <w:p w14:paraId="76B60380" w14:textId="36CA98E3" w:rsidR="009D33A8" w:rsidRPr="006E46A3" w:rsidRDefault="009D33A8" w:rsidP="009D33A8">
      <w:pPr>
        <w:pStyle w:val="Note"/>
      </w:pPr>
      <w:r w:rsidRPr="002873DB">
        <w:t>(</w:t>
      </w:r>
      <w:r>
        <w:t>a</w:t>
      </w:r>
      <w:r w:rsidRPr="002873DB">
        <w:t>)</w:t>
      </w:r>
      <w:r w:rsidRPr="002873DB">
        <w:tab/>
        <w:t>The general government</w:t>
      </w:r>
      <w:r w:rsidR="00845934">
        <w:t>’</w:t>
      </w:r>
      <w:r w:rsidRPr="002873DB">
        <w:t>s sector</w:t>
      </w:r>
      <w:r w:rsidR="00845934">
        <w:t>’</w:t>
      </w:r>
      <w:r w:rsidRPr="002873DB">
        <w:t>s total land, building, infrastructure, plant and equipment in this table excludes most construction in progress assets, which are valued at cost. Construction in progress assets arising from service concession arrangements are measured at fair value and included in this disclosure. The total of excluded assets is $</w:t>
      </w:r>
      <w:r>
        <w:t>39.7</w:t>
      </w:r>
      <w:r w:rsidRPr="002873DB">
        <w:t> billion (202</w:t>
      </w:r>
      <w:r>
        <w:t>4</w:t>
      </w:r>
      <w:r w:rsidRPr="002873DB">
        <w:t>: $</w:t>
      </w:r>
      <w:r>
        <w:t>34.7</w:t>
      </w:r>
      <w:r w:rsidRPr="002873DB">
        <w:t> billion).</w:t>
      </w:r>
      <w:r w:rsidRPr="006E46A3">
        <w:t xml:space="preserve"> </w:t>
      </w:r>
    </w:p>
    <w:p w14:paraId="3FB13239" w14:textId="77777777" w:rsidR="009D33A8" w:rsidRDefault="009D33A8" w:rsidP="009D33A8">
      <w:pPr>
        <w:pStyle w:val="Note"/>
      </w:pPr>
    </w:p>
    <w:p w14:paraId="0BE07DC4" w14:textId="77777777" w:rsidR="009D33A8" w:rsidRPr="006E46A3" w:rsidRDefault="009D33A8" w:rsidP="009D33A8">
      <w:pPr>
        <w:pStyle w:val="Note"/>
      </w:pPr>
    </w:p>
    <w:p w14:paraId="3E457F80" w14:textId="77777777" w:rsidR="009D33A8" w:rsidRDefault="009D33A8" w:rsidP="009D33A8"/>
    <w:p w14:paraId="0B392D4A" w14:textId="77777777" w:rsidR="009D33A8" w:rsidRDefault="009D33A8" w:rsidP="009D33A8">
      <w:pPr>
        <w:sectPr w:rsidR="009D33A8" w:rsidSect="00ED5429">
          <w:type w:val="continuous"/>
          <w:pgSz w:w="11906" w:h="16838" w:code="9"/>
          <w:pgMar w:top="1134" w:right="1134" w:bottom="1134" w:left="1134" w:header="624" w:footer="567" w:gutter="0"/>
          <w:cols w:space="708"/>
          <w:docGrid w:linePitch="360"/>
        </w:sectPr>
      </w:pPr>
    </w:p>
    <w:p w14:paraId="2B8B36EB" w14:textId="77777777" w:rsidR="009D33A8" w:rsidRDefault="009D33A8" w:rsidP="009D33A8">
      <w:pPr>
        <w:pStyle w:val="TableHeading"/>
        <w:spacing w:before="0"/>
      </w:pPr>
      <w:r w:rsidRPr="003F0F11">
        <w:lastRenderedPageBreak/>
        <w:t>Reconciliation of Level 3 fair value movements</w:t>
      </w:r>
      <w:r>
        <w:t xml:space="preserve"> </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Reconciliation_of_level_3_fair_value_movements_SoV_CY"/>
      </w:tblPr>
      <w:tblGrid>
        <w:gridCol w:w="3828"/>
        <w:gridCol w:w="850"/>
        <w:gridCol w:w="1089"/>
        <w:gridCol w:w="896"/>
        <w:gridCol w:w="1275"/>
        <w:gridCol w:w="993"/>
        <w:gridCol w:w="992"/>
        <w:gridCol w:w="1402"/>
        <w:gridCol w:w="1291"/>
        <w:gridCol w:w="1158"/>
        <w:gridCol w:w="827"/>
      </w:tblGrid>
      <w:tr w:rsidR="009132A6" w14:paraId="6F7C535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6C69058" w14:textId="77777777" w:rsidR="009D33A8" w:rsidRDefault="009D33A8">
            <w:pPr>
              <w:keepNext/>
              <w:spacing w:after="0"/>
            </w:pPr>
            <w:r>
              <w:rPr>
                <w:sz w:val="16"/>
              </w:rPr>
              <w:t>State of Victoria</w:t>
            </w:r>
          </w:p>
        </w:tc>
        <w:tc>
          <w:tcPr>
            <w:tcW w:w="850" w:type="dxa"/>
          </w:tcPr>
          <w:p w14:paraId="5A9C319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089" w:type="dxa"/>
          </w:tcPr>
          <w:p w14:paraId="3526915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96" w:type="dxa"/>
          </w:tcPr>
          <w:p w14:paraId="23A1C41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275" w:type="dxa"/>
          </w:tcPr>
          <w:p w14:paraId="0FED77C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3" w:type="dxa"/>
          </w:tcPr>
          <w:p w14:paraId="2418248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2" w:type="dxa"/>
          </w:tcPr>
          <w:p w14:paraId="4D3EC4E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402" w:type="dxa"/>
          </w:tcPr>
          <w:p w14:paraId="7C13EA8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291" w:type="dxa"/>
          </w:tcPr>
          <w:p w14:paraId="2318B0A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158" w:type="dxa"/>
          </w:tcPr>
          <w:p w14:paraId="053EDE4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27" w:type="dxa"/>
          </w:tcPr>
          <w:p w14:paraId="57E10B5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132A6" w14:paraId="198D72E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0F95B81A" w14:textId="77777777" w:rsidR="009D33A8" w:rsidRDefault="009D33A8">
            <w:pPr>
              <w:keepNext/>
              <w:spacing w:after="0"/>
            </w:pPr>
            <w:r>
              <w:rPr>
                <w:sz w:val="16"/>
              </w:rPr>
              <w:t>2025</w:t>
            </w:r>
          </w:p>
        </w:tc>
        <w:tc>
          <w:tcPr>
            <w:tcW w:w="850" w:type="dxa"/>
            <w:tcBorders>
              <w:bottom w:val="single" w:sz="6" w:space="0" w:color="auto"/>
            </w:tcBorders>
          </w:tcPr>
          <w:p w14:paraId="7DC47736"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1089" w:type="dxa"/>
            <w:tcBorders>
              <w:bottom w:val="single" w:sz="6" w:space="0" w:color="auto"/>
            </w:tcBorders>
          </w:tcPr>
          <w:p w14:paraId="751E548A"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896" w:type="dxa"/>
            <w:tcBorders>
              <w:bottom w:val="single" w:sz="6" w:space="0" w:color="auto"/>
            </w:tcBorders>
          </w:tcPr>
          <w:p w14:paraId="279E312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Impairment</w:t>
            </w:r>
          </w:p>
        </w:tc>
        <w:tc>
          <w:tcPr>
            <w:tcW w:w="1275" w:type="dxa"/>
            <w:tcBorders>
              <w:bottom w:val="single" w:sz="6" w:space="0" w:color="auto"/>
            </w:tcBorders>
          </w:tcPr>
          <w:p w14:paraId="7ACFE10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Assets recognised for the first time</w:t>
            </w:r>
          </w:p>
        </w:tc>
        <w:tc>
          <w:tcPr>
            <w:tcW w:w="993" w:type="dxa"/>
            <w:tcBorders>
              <w:bottom w:val="single" w:sz="6" w:space="0" w:color="auto"/>
            </w:tcBorders>
          </w:tcPr>
          <w:p w14:paraId="13F9D205"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Revaluation</w:t>
            </w:r>
          </w:p>
        </w:tc>
        <w:tc>
          <w:tcPr>
            <w:tcW w:w="992" w:type="dxa"/>
            <w:tcBorders>
              <w:bottom w:val="single" w:sz="6" w:space="0" w:color="auto"/>
            </w:tcBorders>
          </w:tcPr>
          <w:p w14:paraId="71FACE1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402" w:type="dxa"/>
            <w:tcBorders>
              <w:bottom w:val="single" w:sz="6" w:space="0" w:color="auto"/>
            </w:tcBorders>
          </w:tcPr>
          <w:p w14:paraId="3DC09AF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1291" w:type="dxa"/>
            <w:tcBorders>
              <w:bottom w:val="single" w:sz="6" w:space="0" w:color="auto"/>
            </w:tcBorders>
          </w:tcPr>
          <w:p w14:paraId="2105336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158" w:type="dxa"/>
            <w:tcBorders>
              <w:bottom w:val="single" w:sz="6" w:space="0" w:color="auto"/>
            </w:tcBorders>
          </w:tcPr>
          <w:p w14:paraId="5F927339"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827" w:type="dxa"/>
            <w:tcBorders>
              <w:bottom w:val="single" w:sz="6" w:space="0" w:color="auto"/>
            </w:tcBorders>
          </w:tcPr>
          <w:p w14:paraId="105B4C5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9D33A8" w14:paraId="0DA23C7A"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627D45E8" w14:textId="77777777" w:rsidR="009D33A8" w:rsidRDefault="009D33A8">
            <w:pPr>
              <w:spacing w:after="0"/>
            </w:pPr>
            <w:r>
              <w:rPr>
                <w:b/>
                <w:sz w:val="16"/>
              </w:rPr>
              <w:t>Buildings</w:t>
            </w:r>
          </w:p>
        </w:tc>
        <w:tc>
          <w:tcPr>
            <w:tcW w:w="850" w:type="dxa"/>
            <w:tcBorders>
              <w:top w:val="single" w:sz="6" w:space="0" w:color="auto"/>
            </w:tcBorders>
          </w:tcPr>
          <w:p w14:paraId="7AEFAE2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72 488</w:t>
            </w:r>
          </w:p>
        </w:tc>
        <w:tc>
          <w:tcPr>
            <w:tcW w:w="1089" w:type="dxa"/>
            <w:tcBorders>
              <w:top w:val="single" w:sz="6" w:space="0" w:color="auto"/>
            </w:tcBorders>
          </w:tcPr>
          <w:p w14:paraId="57F8AB9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(3 201)</w:t>
            </w:r>
          </w:p>
        </w:tc>
        <w:tc>
          <w:tcPr>
            <w:tcW w:w="896" w:type="dxa"/>
            <w:tcBorders>
              <w:top w:val="single" w:sz="6" w:space="0" w:color="auto"/>
            </w:tcBorders>
          </w:tcPr>
          <w:p w14:paraId="79DC8EB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(48)</w:t>
            </w:r>
          </w:p>
        </w:tc>
        <w:tc>
          <w:tcPr>
            <w:tcW w:w="1275" w:type="dxa"/>
            <w:tcBorders>
              <w:top w:val="single" w:sz="6" w:space="0" w:color="auto"/>
            </w:tcBorders>
          </w:tcPr>
          <w:p w14:paraId="1D5BAC7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45</w:t>
            </w:r>
          </w:p>
        </w:tc>
        <w:tc>
          <w:tcPr>
            <w:tcW w:w="993" w:type="dxa"/>
            <w:tcBorders>
              <w:top w:val="single" w:sz="6" w:space="0" w:color="auto"/>
            </w:tcBorders>
          </w:tcPr>
          <w:p w14:paraId="60F33A1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7 739</w:t>
            </w:r>
          </w:p>
        </w:tc>
        <w:tc>
          <w:tcPr>
            <w:tcW w:w="992" w:type="dxa"/>
            <w:tcBorders>
              <w:top w:val="single" w:sz="6" w:space="0" w:color="auto"/>
            </w:tcBorders>
          </w:tcPr>
          <w:p w14:paraId="6E08C31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2 862</w:t>
            </w:r>
          </w:p>
        </w:tc>
        <w:tc>
          <w:tcPr>
            <w:tcW w:w="1402" w:type="dxa"/>
            <w:tcBorders>
              <w:top w:val="single" w:sz="6" w:space="0" w:color="auto"/>
            </w:tcBorders>
          </w:tcPr>
          <w:p w14:paraId="613267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1 886</w:t>
            </w:r>
          </w:p>
        </w:tc>
        <w:tc>
          <w:tcPr>
            <w:tcW w:w="1291" w:type="dxa"/>
            <w:tcBorders>
              <w:top w:val="single" w:sz="6" w:space="0" w:color="auto"/>
            </w:tcBorders>
          </w:tcPr>
          <w:p w14:paraId="65BE96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62</w:t>
            </w:r>
          </w:p>
        </w:tc>
        <w:tc>
          <w:tcPr>
            <w:tcW w:w="1158" w:type="dxa"/>
            <w:tcBorders>
              <w:top w:val="single" w:sz="6" w:space="0" w:color="auto"/>
            </w:tcBorders>
          </w:tcPr>
          <w:p w14:paraId="5BB1039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827" w:type="dxa"/>
            <w:tcBorders>
              <w:top w:val="single" w:sz="6" w:space="0" w:color="auto"/>
            </w:tcBorders>
          </w:tcPr>
          <w:p w14:paraId="30E2F37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81 820</w:t>
            </w:r>
          </w:p>
        </w:tc>
      </w:tr>
      <w:tr w:rsidR="009D33A8" w14:paraId="677727D6" w14:textId="77777777">
        <w:tc>
          <w:tcPr>
            <w:cnfStyle w:val="001000000000" w:firstRow="0" w:lastRow="0" w:firstColumn="1" w:lastColumn="0" w:oddVBand="0" w:evenVBand="0" w:oddHBand="0" w:evenHBand="0" w:firstRowFirstColumn="0" w:firstRowLastColumn="0" w:lastRowFirstColumn="0" w:lastRowLastColumn="0"/>
            <w:tcW w:w="3828" w:type="dxa"/>
          </w:tcPr>
          <w:p w14:paraId="23F6C28E" w14:textId="77777777" w:rsidR="009D33A8" w:rsidRDefault="009D33A8">
            <w:pPr>
              <w:spacing w:after="0"/>
            </w:pPr>
            <w:r>
              <w:rPr>
                <w:b/>
                <w:sz w:val="16"/>
              </w:rPr>
              <w:t>Land and national parks</w:t>
            </w:r>
          </w:p>
        </w:tc>
        <w:tc>
          <w:tcPr>
            <w:tcW w:w="850" w:type="dxa"/>
          </w:tcPr>
          <w:p w14:paraId="4C9277D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113 052</w:t>
            </w:r>
          </w:p>
        </w:tc>
        <w:tc>
          <w:tcPr>
            <w:tcW w:w="1089" w:type="dxa"/>
          </w:tcPr>
          <w:p w14:paraId="2A0C13B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896" w:type="dxa"/>
          </w:tcPr>
          <w:p w14:paraId="2C5C946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(41)</w:t>
            </w:r>
          </w:p>
        </w:tc>
        <w:tc>
          <w:tcPr>
            <w:tcW w:w="1275" w:type="dxa"/>
          </w:tcPr>
          <w:p w14:paraId="76B59C6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83</w:t>
            </w:r>
          </w:p>
        </w:tc>
        <w:tc>
          <w:tcPr>
            <w:tcW w:w="993" w:type="dxa"/>
          </w:tcPr>
          <w:p w14:paraId="303E716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(4 327)</w:t>
            </w:r>
          </w:p>
        </w:tc>
        <w:tc>
          <w:tcPr>
            <w:tcW w:w="992" w:type="dxa"/>
          </w:tcPr>
          <w:p w14:paraId="6691C05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265</w:t>
            </w:r>
          </w:p>
        </w:tc>
        <w:tc>
          <w:tcPr>
            <w:tcW w:w="1402" w:type="dxa"/>
          </w:tcPr>
          <w:p w14:paraId="008D3C8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69</w:t>
            </w:r>
          </w:p>
        </w:tc>
        <w:tc>
          <w:tcPr>
            <w:tcW w:w="1291" w:type="dxa"/>
          </w:tcPr>
          <w:p w14:paraId="4557B5E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(740)</w:t>
            </w:r>
          </w:p>
        </w:tc>
        <w:tc>
          <w:tcPr>
            <w:tcW w:w="1158" w:type="dxa"/>
          </w:tcPr>
          <w:p w14:paraId="50E91A0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375</w:t>
            </w:r>
          </w:p>
        </w:tc>
        <w:tc>
          <w:tcPr>
            <w:tcW w:w="827" w:type="dxa"/>
          </w:tcPr>
          <w:p w14:paraId="1997968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108 734</w:t>
            </w:r>
          </w:p>
        </w:tc>
      </w:tr>
      <w:tr w:rsidR="009D33A8" w14:paraId="70B56D71" w14:textId="77777777">
        <w:tc>
          <w:tcPr>
            <w:cnfStyle w:val="001000000000" w:firstRow="0" w:lastRow="0" w:firstColumn="1" w:lastColumn="0" w:oddVBand="0" w:evenVBand="0" w:oddHBand="0" w:evenHBand="0" w:firstRowFirstColumn="0" w:firstRowLastColumn="0" w:lastRowFirstColumn="0" w:lastRowLastColumn="0"/>
            <w:tcW w:w="3828" w:type="dxa"/>
          </w:tcPr>
          <w:p w14:paraId="614038AC" w14:textId="77777777" w:rsidR="009D33A8" w:rsidRDefault="009D33A8">
            <w:pPr>
              <w:spacing w:after="0"/>
            </w:pPr>
            <w:r>
              <w:rPr>
                <w:b/>
                <w:sz w:val="16"/>
              </w:rPr>
              <w:t>Plant, equipment, vehicles and infrastructure systems</w:t>
            </w:r>
          </w:p>
        </w:tc>
        <w:tc>
          <w:tcPr>
            <w:tcW w:w="850" w:type="dxa"/>
          </w:tcPr>
          <w:p w14:paraId="77CB08F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91 799</w:t>
            </w:r>
          </w:p>
        </w:tc>
        <w:tc>
          <w:tcPr>
            <w:tcW w:w="1089" w:type="dxa"/>
          </w:tcPr>
          <w:p w14:paraId="43237D1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(3 530)</w:t>
            </w:r>
          </w:p>
        </w:tc>
        <w:tc>
          <w:tcPr>
            <w:tcW w:w="896" w:type="dxa"/>
          </w:tcPr>
          <w:p w14:paraId="4383A0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(146)</w:t>
            </w:r>
          </w:p>
        </w:tc>
        <w:tc>
          <w:tcPr>
            <w:tcW w:w="1275" w:type="dxa"/>
          </w:tcPr>
          <w:p w14:paraId="2BBB7A3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82</w:t>
            </w:r>
          </w:p>
        </w:tc>
        <w:tc>
          <w:tcPr>
            <w:tcW w:w="993" w:type="dxa"/>
          </w:tcPr>
          <w:p w14:paraId="524D33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18 705</w:t>
            </w:r>
          </w:p>
        </w:tc>
        <w:tc>
          <w:tcPr>
            <w:tcW w:w="992" w:type="dxa"/>
          </w:tcPr>
          <w:p w14:paraId="76B8D3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2 948</w:t>
            </w:r>
          </w:p>
        </w:tc>
        <w:tc>
          <w:tcPr>
            <w:tcW w:w="1402" w:type="dxa"/>
          </w:tcPr>
          <w:p w14:paraId="2B865AA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4 218</w:t>
            </w:r>
          </w:p>
        </w:tc>
        <w:tc>
          <w:tcPr>
            <w:tcW w:w="1291" w:type="dxa"/>
          </w:tcPr>
          <w:p w14:paraId="5C501E3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158" w:type="dxa"/>
          </w:tcPr>
          <w:p w14:paraId="08A41F9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56</w:t>
            </w:r>
          </w:p>
        </w:tc>
        <w:tc>
          <w:tcPr>
            <w:tcW w:w="827" w:type="dxa"/>
          </w:tcPr>
          <w:p w14:paraId="1B5D98A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114 134</w:t>
            </w:r>
          </w:p>
        </w:tc>
      </w:tr>
      <w:tr w:rsidR="009D33A8" w14:paraId="36EDF1BA" w14:textId="77777777">
        <w:tc>
          <w:tcPr>
            <w:cnfStyle w:val="001000000000" w:firstRow="0" w:lastRow="0" w:firstColumn="1" w:lastColumn="0" w:oddVBand="0" w:evenVBand="0" w:oddHBand="0" w:evenHBand="0" w:firstRowFirstColumn="0" w:firstRowLastColumn="0" w:lastRowFirstColumn="0" w:lastRowLastColumn="0"/>
            <w:tcW w:w="3828" w:type="dxa"/>
          </w:tcPr>
          <w:p w14:paraId="7B348C25" w14:textId="77777777" w:rsidR="009D33A8" w:rsidRDefault="009D33A8">
            <w:pPr>
              <w:spacing w:after="0"/>
            </w:pPr>
            <w:r>
              <w:rPr>
                <w:sz w:val="16"/>
              </w:rPr>
              <w:t xml:space="preserve">   Infrastructure systems</w:t>
            </w:r>
          </w:p>
        </w:tc>
        <w:tc>
          <w:tcPr>
            <w:tcW w:w="850" w:type="dxa"/>
          </w:tcPr>
          <w:p w14:paraId="29F170A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79 537</w:t>
            </w:r>
          </w:p>
        </w:tc>
        <w:tc>
          <w:tcPr>
            <w:tcW w:w="1089" w:type="dxa"/>
          </w:tcPr>
          <w:p w14:paraId="2E7AE7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(2 018)</w:t>
            </w:r>
          </w:p>
        </w:tc>
        <w:tc>
          <w:tcPr>
            <w:tcW w:w="896" w:type="dxa"/>
          </w:tcPr>
          <w:p w14:paraId="3C03412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(146)</w:t>
            </w:r>
          </w:p>
        </w:tc>
        <w:tc>
          <w:tcPr>
            <w:tcW w:w="1275" w:type="dxa"/>
          </w:tcPr>
          <w:p w14:paraId="63E82C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48</w:t>
            </w:r>
          </w:p>
        </w:tc>
        <w:tc>
          <w:tcPr>
            <w:tcW w:w="993" w:type="dxa"/>
          </w:tcPr>
          <w:p w14:paraId="5CEE93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14 188</w:t>
            </w:r>
          </w:p>
        </w:tc>
        <w:tc>
          <w:tcPr>
            <w:tcW w:w="992" w:type="dxa"/>
          </w:tcPr>
          <w:p w14:paraId="47AC48E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2 093</w:t>
            </w:r>
          </w:p>
        </w:tc>
        <w:tc>
          <w:tcPr>
            <w:tcW w:w="1402" w:type="dxa"/>
          </w:tcPr>
          <w:p w14:paraId="37758CC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3 352</w:t>
            </w:r>
          </w:p>
        </w:tc>
        <w:tc>
          <w:tcPr>
            <w:tcW w:w="1291" w:type="dxa"/>
          </w:tcPr>
          <w:p w14:paraId="33A767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526</w:t>
            </w:r>
          </w:p>
        </w:tc>
        <w:tc>
          <w:tcPr>
            <w:tcW w:w="1158" w:type="dxa"/>
          </w:tcPr>
          <w:p w14:paraId="38488FD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(960)</w:t>
            </w:r>
          </w:p>
        </w:tc>
        <w:tc>
          <w:tcPr>
            <w:tcW w:w="827" w:type="dxa"/>
          </w:tcPr>
          <w:p w14:paraId="52C3A71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96 619</w:t>
            </w:r>
          </w:p>
        </w:tc>
      </w:tr>
      <w:tr w:rsidR="009D33A8" w14:paraId="10877D34" w14:textId="77777777">
        <w:tc>
          <w:tcPr>
            <w:cnfStyle w:val="001000000000" w:firstRow="0" w:lastRow="0" w:firstColumn="1" w:lastColumn="0" w:oddVBand="0" w:evenVBand="0" w:oddHBand="0" w:evenHBand="0" w:firstRowFirstColumn="0" w:firstRowLastColumn="0" w:lastRowFirstColumn="0" w:lastRowLastColumn="0"/>
            <w:tcW w:w="3828" w:type="dxa"/>
          </w:tcPr>
          <w:p w14:paraId="615F3446" w14:textId="77777777" w:rsidR="009D33A8" w:rsidRDefault="009D33A8">
            <w:pPr>
              <w:spacing w:after="0"/>
            </w:pPr>
            <w:r>
              <w:rPr>
                <w:sz w:val="16"/>
              </w:rPr>
              <w:t xml:space="preserve">   Rolling stock</w:t>
            </w:r>
          </w:p>
        </w:tc>
        <w:tc>
          <w:tcPr>
            <w:tcW w:w="850" w:type="dxa"/>
          </w:tcPr>
          <w:p w14:paraId="1C655B1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5 477</w:t>
            </w:r>
          </w:p>
        </w:tc>
        <w:tc>
          <w:tcPr>
            <w:tcW w:w="1089" w:type="dxa"/>
          </w:tcPr>
          <w:p w14:paraId="776540C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(256)</w:t>
            </w:r>
          </w:p>
        </w:tc>
        <w:tc>
          <w:tcPr>
            <w:tcW w:w="896" w:type="dxa"/>
          </w:tcPr>
          <w:p w14:paraId="0272D29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0A05724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3" w:type="dxa"/>
          </w:tcPr>
          <w:p w14:paraId="0DFDC0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2 190</w:t>
            </w:r>
          </w:p>
        </w:tc>
        <w:tc>
          <w:tcPr>
            <w:tcW w:w="992" w:type="dxa"/>
          </w:tcPr>
          <w:p w14:paraId="5AD27DE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1402" w:type="dxa"/>
          </w:tcPr>
          <w:p w14:paraId="5834A05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348</w:t>
            </w:r>
          </w:p>
        </w:tc>
        <w:tc>
          <w:tcPr>
            <w:tcW w:w="1291" w:type="dxa"/>
          </w:tcPr>
          <w:p w14:paraId="75F8A34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58" w:type="dxa"/>
          </w:tcPr>
          <w:p w14:paraId="5E9C4A3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827" w:type="dxa"/>
          </w:tcPr>
          <w:p w14:paraId="2CD8B43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7 751</w:t>
            </w:r>
          </w:p>
        </w:tc>
      </w:tr>
      <w:tr w:rsidR="009D33A8" w14:paraId="1EE2635E" w14:textId="77777777">
        <w:tc>
          <w:tcPr>
            <w:cnfStyle w:val="001000000000" w:firstRow="0" w:lastRow="0" w:firstColumn="1" w:lastColumn="0" w:oddVBand="0" w:evenVBand="0" w:oddHBand="0" w:evenHBand="0" w:firstRowFirstColumn="0" w:firstRowLastColumn="0" w:lastRowFirstColumn="0" w:lastRowLastColumn="0"/>
            <w:tcW w:w="3828" w:type="dxa"/>
          </w:tcPr>
          <w:p w14:paraId="38DADCBA" w14:textId="77777777" w:rsidR="009D33A8" w:rsidRDefault="009D33A8">
            <w:pPr>
              <w:spacing w:after="0"/>
            </w:pPr>
            <w:r>
              <w:rPr>
                <w:sz w:val="16"/>
              </w:rPr>
              <w:t xml:space="preserve">   Plant, equipment and vehicles</w:t>
            </w:r>
          </w:p>
        </w:tc>
        <w:tc>
          <w:tcPr>
            <w:tcW w:w="850" w:type="dxa"/>
          </w:tcPr>
          <w:p w14:paraId="3F52A52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6 786</w:t>
            </w:r>
          </w:p>
        </w:tc>
        <w:tc>
          <w:tcPr>
            <w:tcW w:w="1089" w:type="dxa"/>
          </w:tcPr>
          <w:p w14:paraId="6097DF3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(1 256)</w:t>
            </w:r>
          </w:p>
        </w:tc>
        <w:tc>
          <w:tcPr>
            <w:tcW w:w="896" w:type="dxa"/>
          </w:tcPr>
          <w:p w14:paraId="3D5AB3A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5" w:type="dxa"/>
          </w:tcPr>
          <w:p w14:paraId="5BAA8E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35</w:t>
            </w:r>
          </w:p>
        </w:tc>
        <w:tc>
          <w:tcPr>
            <w:tcW w:w="993" w:type="dxa"/>
          </w:tcPr>
          <w:p w14:paraId="391812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2 326</w:t>
            </w:r>
          </w:p>
        </w:tc>
        <w:tc>
          <w:tcPr>
            <w:tcW w:w="992" w:type="dxa"/>
          </w:tcPr>
          <w:p w14:paraId="6B836A7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863</w:t>
            </w:r>
          </w:p>
        </w:tc>
        <w:tc>
          <w:tcPr>
            <w:tcW w:w="1402" w:type="dxa"/>
          </w:tcPr>
          <w:p w14:paraId="2B993F0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519</w:t>
            </w:r>
          </w:p>
        </w:tc>
        <w:tc>
          <w:tcPr>
            <w:tcW w:w="1291" w:type="dxa"/>
          </w:tcPr>
          <w:p w14:paraId="31141F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(524)</w:t>
            </w:r>
          </w:p>
        </w:tc>
        <w:tc>
          <w:tcPr>
            <w:tcW w:w="1158" w:type="dxa"/>
          </w:tcPr>
          <w:p w14:paraId="6C0571C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1 016</w:t>
            </w:r>
          </w:p>
        </w:tc>
        <w:tc>
          <w:tcPr>
            <w:tcW w:w="827" w:type="dxa"/>
          </w:tcPr>
          <w:p w14:paraId="27EBDF4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9 765</w:t>
            </w:r>
          </w:p>
        </w:tc>
      </w:tr>
      <w:tr w:rsidR="009D33A8" w14:paraId="3F3286BB" w14:textId="77777777">
        <w:tc>
          <w:tcPr>
            <w:cnfStyle w:val="001000000000" w:firstRow="0" w:lastRow="0" w:firstColumn="1" w:lastColumn="0" w:oddVBand="0" w:evenVBand="0" w:oddHBand="0" w:evenHBand="0" w:firstRowFirstColumn="0" w:firstRowLastColumn="0" w:lastRowFirstColumn="0" w:lastRowLastColumn="0"/>
            <w:tcW w:w="3828" w:type="dxa"/>
          </w:tcPr>
          <w:p w14:paraId="6E0AD12E" w14:textId="77777777" w:rsidR="009D33A8" w:rsidRDefault="009D33A8">
            <w:pPr>
              <w:spacing w:after="0"/>
            </w:pPr>
            <w:r>
              <w:rPr>
                <w:b/>
                <w:sz w:val="16"/>
              </w:rPr>
              <w:t>Roads, road infrastructure and earthworks</w:t>
            </w:r>
          </w:p>
        </w:tc>
        <w:tc>
          <w:tcPr>
            <w:tcW w:w="850" w:type="dxa"/>
          </w:tcPr>
          <w:p w14:paraId="3007CF3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66 690</w:t>
            </w:r>
          </w:p>
        </w:tc>
        <w:tc>
          <w:tcPr>
            <w:tcW w:w="1089" w:type="dxa"/>
          </w:tcPr>
          <w:p w14:paraId="36A5546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(1 133)</w:t>
            </w:r>
          </w:p>
        </w:tc>
        <w:tc>
          <w:tcPr>
            <w:tcW w:w="896" w:type="dxa"/>
          </w:tcPr>
          <w:p w14:paraId="7FA41B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75" w:type="dxa"/>
          </w:tcPr>
          <w:p w14:paraId="55BC47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93" w:type="dxa"/>
          </w:tcPr>
          <w:p w14:paraId="3319DB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24 653</w:t>
            </w:r>
          </w:p>
        </w:tc>
        <w:tc>
          <w:tcPr>
            <w:tcW w:w="992" w:type="dxa"/>
          </w:tcPr>
          <w:p w14:paraId="020F714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742</w:t>
            </w:r>
          </w:p>
        </w:tc>
        <w:tc>
          <w:tcPr>
            <w:tcW w:w="1402" w:type="dxa"/>
          </w:tcPr>
          <w:p w14:paraId="25784F5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5 872</w:t>
            </w:r>
          </w:p>
        </w:tc>
        <w:tc>
          <w:tcPr>
            <w:tcW w:w="1291" w:type="dxa"/>
          </w:tcPr>
          <w:p w14:paraId="13885A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(26)</w:t>
            </w:r>
          </w:p>
        </w:tc>
        <w:tc>
          <w:tcPr>
            <w:tcW w:w="1158" w:type="dxa"/>
          </w:tcPr>
          <w:p w14:paraId="710D832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827" w:type="dxa"/>
          </w:tcPr>
          <w:p w14:paraId="2E6DA3D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96 811</w:t>
            </w:r>
          </w:p>
        </w:tc>
      </w:tr>
      <w:tr w:rsidR="009D33A8" w14:paraId="321415A0" w14:textId="77777777">
        <w:tc>
          <w:tcPr>
            <w:cnfStyle w:val="001000000000" w:firstRow="0" w:lastRow="0" w:firstColumn="1" w:lastColumn="0" w:oddVBand="0" w:evenVBand="0" w:oddHBand="0" w:evenHBand="0" w:firstRowFirstColumn="0" w:firstRowLastColumn="0" w:lastRowFirstColumn="0" w:lastRowLastColumn="0"/>
            <w:tcW w:w="3828" w:type="dxa"/>
            <w:tcBorders>
              <w:bottom w:val="single" w:sz="6" w:space="0" w:color="auto"/>
            </w:tcBorders>
          </w:tcPr>
          <w:p w14:paraId="10678CCD" w14:textId="77777777" w:rsidR="009D33A8" w:rsidRDefault="009D33A8">
            <w:pPr>
              <w:spacing w:after="0"/>
            </w:pPr>
            <w:r>
              <w:rPr>
                <w:b/>
                <w:sz w:val="16"/>
              </w:rPr>
              <w:t>Cultural assets</w:t>
            </w:r>
          </w:p>
        </w:tc>
        <w:tc>
          <w:tcPr>
            <w:tcW w:w="850" w:type="dxa"/>
            <w:tcBorders>
              <w:bottom w:val="single" w:sz="6" w:space="0" w:color="auto"/>
            </w:tcBorders>
          </w:tcPr>
          <w:p w14:paraId="6F9158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4 374</w:t>
            </w:r>
          </w:p>
        </w:tc>
        <w:tc>
          <w:tcPr>
            <w:tcW w:w="1089" w:type="dxa"/>
            <w:tcBorders>
              <w:bottom w:val="single" w:sz="6" w:space="0" w:color="auto"/>
            </w:tcBorders>
          </w:tcPr>
          <w:p w14:paraId="35F4AA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896" w:type="dxa"/>
            <w:tcBorders>
              <w:bottom w:val="single" w:sz="6" w:space="0" w:color="auto"/>
            </w:tcBorders>
          </w:tcPr>
          <w:p w14:paraId="06479DD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75" w:type="dxa"/>
            <w:tcBorders>
              <w:bottom w:val="single" w:sz="6" w:space="0" w:color="auto"/>
            </w:tcBorders>
          </w:tcPr>
          <w:p w14:paraId="047EC78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993" w:type="dxa"/>
            <w:tcBorders>
              <w:bottom w:val="single" w:sz="6" w:space="0" w:color="auto"/>
            </w:tcBorders>
          </w:tcPr>
          <w:p w14:paraId="0EBA378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650</w:t>
            </w:r>
          </w:p>
        </w:tc>
        <w:tc>
          <w:tcPr>
            <w:tcW w:w="992" w:type="dxa"/>
            <w:tcBorders>
              <w:bottom w:val="single" w:sz="6" w:space="0" w:color="auto"/>
            </w:tcBorders>
          </w:tcPr>
          <w:p w14:paraId="18F0FE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64</w:t>
            </w:r>
          </w:p>
        </w:tc>
        <w:tc>
          <w:tcPr>
            <w:tcW w:w="1402" w:type="dxa"/>
            <w:tcBorders>
              <w:bottom w:val="single" w:sz="6" w:space="0" w:color="auto"/>
            </w:tcBorders>
          </w:tcPr>
          <w:p w14:paraId="706320A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291" w:type="dxa"/>
            <w:tcBorders>
              <w:bottom w:val="single" w:sz="6" w:space="0" w:color="auto"/>
            </w:tcBorders>
          </w:tcPr>
          <w:p w14:paraId="25E852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(84)</w:t>
            </w:r>
          </w:p>
        </w:tc>
        <w:tc>
          <w:tcPr>
            <w:tcW w:w="1158" w:type="dxa"/>
            <w:tcBorders>
              <w:bottom w:val="single" w:sz="6" w:space="0" w:color="auto"/>
            </w:tcBorders>
          </w:tcPr>
          <w:p w14:paraId="5CB4BC5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(66)</w:t>
            </w:r>
          </w:p>
        </w:tc>
        <w:tc>
          <w:tcPr>
            <w:tcW w:w="827" w:type="dxa"/>
            <w:tcBorders>
              <w:bottom w:val="single" w:sz="6" w:space="0" w:color="auto"/>
            </w:tcBorders>
          </w:tcPr>
          <w:p w14:paraId="1CA99DB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4 929</w:t>
            </w:r>
          </w:p>
        </w:tc>
      </w:tr>
      <w:tr w:rsidR="009D33A8" w14:paraId="381F65E1" w14:textId="77777777">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478E720B" w14:textId="77777777" w:rsidR="009D33A8" w:rsidRDefault="009D33A8">
            <w:pPr>
              <w:spacing w:after="0"/>
            </w:pPr>
            <w:r>
              <w:rPr>
                <w:b/>
                <w:sz w:val="16"/>
              </w:rPr>
              <w:t>Total</w:t>
            </w:r>
          </w:p>
        </w:tc>
        <w:tc>
          <w:tcPr>
            <w:tcW w:w="850" w:type="dxa"/>
            <w:tcBorders>
              <w:top w:val="single" w:sz="6" w:space="0" w:color="auto"/>
              <w:bottom w:val="single" w:sz="12" w:space="0" w:color="auto"/>
            </w:tcBorders>
          </w:tcPr>
          <w:p w14:paraId="3EB9DE7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348 404</w:t>
            </w:r>
          </w:p>
        </w:tc>
        <w:tc>
          <w:tcPr>
            <w:tcW w:w="1089" w:type="dxa"/>
            <w:tcBorders>
              <w:top w:val="single" w:sz="6" w:space="0" w:color="auto"/>
              <w:bottom w:val="single" w:sz="12" w:space="0" w:color="auto"/>
            </w:tcBorders>
          </w:tcPr>
          <w:p w14:paraId="7B979C1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(7 881)</w:t>
            </w:r>
          </w:p>
        </w:tc>
        <w:tc>
          <w:tcPr>
            <w:tcW w:w="896" w:type="dxa"/>
            <w:tcBorders>
              <w:top w:val="single" w:sz="6" w:space="0" w:color="auto"/>
              <w:bottom w:val="single" w:sz="12" w:space="0" w:color="auto"/>
            </w:tcBorders>
          </w:tcPr>
          <w:p w14:paraId="024B44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(235)</w:t>
            </w:r>
          </w:p>
        </w:tc>
        <w:tc>
          <w:tcPr>
            <w:tcW w:w="1275" w:type="dxa"/>
            <w:tcBorders>
              <w:top w:val="single" w:sz="6" w:space="0" w:color="auto"/>
              <w:bottom w:val="single" w:sz="12" w:space="0" w:color="auto"/>
            </w:tcBorders>
          </w:tcPr>
          <w:p w14:paraId="1C905E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212</w:t>
            </w:r>
          </w:p>
        </w:tc>
        <w:tc>
          <w:tcPr>
            <w:tcW w:w="993" w:type="dxa"/>
            <w:tcBorders>
              <w:top w:val="single" w:sz="6" w:space="0" w:color="auto"/>
              <w:bottom w:val="single" w:sz="12" w:space="0" w:color="auto"/>
            </w:tcBorders>
          </w:tcPr>
          <w:p w14:paraId="6974503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47 420</w:t>
            </w:r>
          </w:p>
        </w:tc>
        <w:tc>
          <w:tcPr>
            <w:tcW w:w="992" w:type="dxa"/>
            <w:tcBorders>
              <w:top w:val="single" w:sz="6" w:space="0" w:color="auto"/>
              <w:bottom w:val="single" w:sz="12" w:space="0" w:color="auto"/>
            </w:tcBorders>
          </w:tcPr>
          <w:p w14:paraId="2E355F3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6 881</w:t>
            </w:r>
          </w:p>
        </w:tc>
        <w:tc>
          <w:tcPr>
            <w:tcW w:w="1402" w:type="dxa"/>
            <w:tcBorders>
              <w:top w:val="single" w:sz="6" w:space="0" w:color="auto"/>
              <w:bottom w:val="single" w:sz="12" w:space="0" w:color="auto"/>
            </w:tcBorders>
          </w:tcPr>
          <w:p w14:paraId="50936F2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12 048</w:t>
            </w:r>
          </w:p>
        </w:tc>
        <w:tc>
          <w:tcPr>
            <w:tcW w:w="1291" w:type="dxa"/>
            <w:tcBorders>
              <w:top w:val="single" w:sz="6" w:space="0" w:color="auto"/>
              <w:bottom w:val="single" w:sz="12" w:space="0" w:color="auto"/>
            </w:tcBorders>
          </w:tcPr>
          <w:p w14:paraId="431C8D7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(787)</w:t>
            </w:r>
          </w:p>
        </w:tc>
        <w:tc>
          <w:tcPr>
            <w:tcW w:w="1158" w:type="dxa"/>
            <w:tcBorders>
              <w:top w:val="single" w:sz="6" w:space="0" w:color="auto"/>
              <w:bottom w:val="single" w:sz="12" w:space="0" w:color="auto"/>
            </w:tcBorders>
          </w:tcPr>
          <w:p w14:paraId="396B63E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366</w:t>
            </w:r>
          </w:p>
        </w:tc>
        <w:tc>
          <w:tcPr>
            <w:tcW w:w="827" w:type="dxa"/>
            <w:tcBorders>
              <w:top w:val="single" w:sz="6" w:space="0" w:color="auto"/>
              <w:bottom w:val="single" w:sz="12" w:space="0" w:color="auto"/>
            </w:tcBorders>
          </w:tcPr>
          <w:p w14:paraId="67E4305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406 429</w:t>
            </w:r>
          </w:p>
        </w:tc>
      </w:tr>
    </w:tbl>
    <w:p w14:paraId="27942E46" w14:textId="77777777" w:rsidR="009D33A8" w:rsidRPr="009A5852" w:rsidRDefault="009D33A8" w:rsidP="009D33A8">
      <w:pPr>
        <w:rPr>
          <w:sz w:val="14"/>
          <w:szCs w:val="14"/>
        </w:rPr>
      </w:pPr>
    </w:p>
    <w:tbl>
      <w:tblPr>
        <w:tblStyle w:val="DTFTableNumeric"/>
        <w:tblW w:w="14601"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Reconciliation_of_level_3_fair_value_movements_SoV_PY"/>
      </w:tblPr>
      <w:tblGrid>
        <w:gridCol w:w="3836"/>
        <w:gridCol w:w="842"/>
        <w:gridCol w:w="1089"/>
        <w:gridCol w:w="886"/>
        <w:gridCol w:w="1285"/>
        <w:gridCol w:w="986"/>
        <w:gridCol w:w="999"/>
        <w:gridCol w:w="1402"/>
        <w:gridCol w:w="1287"/>
        <w:gridCol w:w="1162"/>
        <w:gridCol w:w="827"/>
      </w:tblGrid>
      <w:tr w:rsidR="009132A6" w14:paraId="41CF9F9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6" w:type="dxa"/>
          </w:tcPr>
          <w:p w14:paraId="7ABFFC7B" w14:textId="77777777" w:rsidR="009D33A8" w:rsidRDefault="009D33A8">
            <w:pPr>
              <w:keepNext/>
              <w:spacing w:after="0"/>
            </w:pPr>
            <w:r>
              <w:rPr>
                <w:sz w:val="16"/>
              </w:rPr>
              <w:t>2024</w:t>
            </w:r>
          </w:p>
        </w:tc>
        <w:tc>
          <w:tcPr>
            <w:tcW w:w="842" w:type="dxa"/>
          </w:tcPr>
          <w:p w14:paraId="3245FEB5"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089" w:type="dxa"/>
          </w:tcPr>
          <w:p w14:paraId="424941B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86" w:type="dxa"/>
          </w:tcPr>
          <w:p w14:paraId="0F69F846"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285" w:type="dxa"/>
          </w:tcPr>
          <w:p w14:paraId="6F664827"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86" w:type="dxa"/>
          </w:tcPr>
          <w:p w14:paraId="41EAFF3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9" w:type="dxa"/>
          </w:tcPr>
          <w:p w14:paraId="6F4EF01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402" w:type="dxa"/>
          </w:tcPr>
          <w:p w14:paraId="425EC61B"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287" w:type="dxa"/>
          </w:tcPr>
          <w:p w14:paraId="48E2C290"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162" w:type="dxa"/>
          </w:tcPr>
          <w:p w14:paraId="3E4EF677"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27" w:type="dxa"/>
          </w:tcPr>
          <w:p w14:paraId="7651F92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D33A8" w14:paraId="5BACB1A8" w14:textId="77777777">
        <w:tc>
          <w:tcPr>
            <w:cnfStyle w:val="001000000000" w:firstRow="0" w:lastRow="0" w:firstColumn="1" w:lastColumn="0" w:oddVBand="0" w:evenVBand="0" w:oddHBand="0" w:evenHBand="0" w:firstRowFirstColumn="0" w:firstRowLastColumn="0" w:lastRowFirstColumn="0" w:lastRowLastColumn="0"/>
            <w:tcW w:w="3836" w:type="dxa"/>
          </w:tcPr>
          <w:p w14:paraId="552B1317" w14:textId="77777777" w:rsidR="009D33A8" w:rsidRDefault="009D33A8">
            <w:pPr>
              <w:spacing w:after="0"/>
            </w:pPr>
            <w:r>
              <w:rPr>
                <w:b/>
                <w:sz w:val="16"/>
              </w:rPr>
              <w:t>Buildings</w:t>
            </w:r>
          </w:p>
        </w:tc>
        <w:tc>
          <w:tcPr>
            <w:tcW w:w="842" w:type="dxa"/>
          </w:tcPr>
          <w:p w14:paraId="7088370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63 508</w:t>
            </w:r>
          </w:p>
        </w:tc>
        <w:tc>
          <w:tcPr>
            <w:tcW w:w="1089" w:type="dxa"/>
          </w:tcPr>
          <w:p w14:paraId="34B3703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(2 690)</w:t>
            </w:r>
          </w:p>
        </w:tc>
        <w:tc>
          <w:tcPr>
            <w:tcW w:w="886" w:type="dxa"/>
          </w:tcPr>
          <w:p w14:paraId="62E5C1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w:t>
            </w:r>
          </w:p>
        </w:tc>
        <w:tc>
          <w:tcPr>
            <w:tcW w:w="1285" w:type="dxa"/>
          </w:tcPr>
          <w:p w14:paraId="234225C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135</w:t>
            </w:r>
          </w:p>
        </w:tc>
        <w:tc>
          <w:tcPr>
            <w:tcW w:w="986" w:type="dxa"/>
          </w:tcPr>
          <w:p w14:paraId="3BB08A3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7 293</w:t>
            </w:r>
          </w:p>
        </w:tc>
        <w:tc>
          <w:tcPr>
            <w:tcW w:w="999" w:type="dxa"/>
          </w:tcPr>
          <w:p w14:paraId="7EB3B6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2 720</w:t>
            </w:r>
          </w:p>
        </w:tc>
        <w:tc>
          <w:tcPr>
            <w:tcW w:w="1402" w:type="dxa"/>
          </w:tcPr>
          <w:p w14:paraId="4F75C7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1 164</w:t>
            </w:r>
          </w:p>
        </w:tc>
        <w:tc>
          <w:tcPr>
            <w:tcW w:w="1287" w:type="dxa"/>
          </w:tcPr>
          <w:p w14:paraId="746E849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271</w:t>
            </w:r>
          </w:p>
        </w:tc>
        <w:tc>
          <w:tcPr>
            <w:tcW w:w="1162" w:type="dxa"/>
          </w:tcPr>
          <w:p w14:paraId="4EE08E9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92</w:t>
            </w:r>
          </w:p>
        </w:tc>
        <w:tc>
          <w:tcPr>
            <w:tcW w:w="827" w:type="dxa"/>
          </w:tcPr>
          <w:p w14:paraId="17CAD72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72 488</w:t>
            </w:r>
          </w:p>
        </w:tc>
      </w:tr>
      <w:tr w:rsidR="009D33A8" w14:paraId="06DD927D" w14:textId="77777777">
        <w:tc>
          <w:tcPr>
            <w:cnfStyle w:val="001000000000" w:firstRow="0" w:lastRow="0" w:firstColumn="1" w:lastColumn="0" w:oddVBand="0" w:evenVBand="0" w:oddHBand="0" w:evenHBand="0" w:firstRowFirstColumn="0" w:firstRowLastColumn="0" w:lastRowFirstColumn="0" w:lastRowLastColumn="0"/>
            <w:tcW w:w="3836" w:type="dxa"/>
          </w:tcPr>
          <w:p w14:paraId="0B28669B" w14:textId="77777777" w:rsidR="009D33A8" w:rsidRDefault="009D33A8">
            <w:pPr>
              <w:spacing w:after="0"/>
            </w:pPr>
            <w:r>
              <w:rPr>
                <w:b/>
                <w:sz w:val="16"/>
              </w:rPr>
              <w:t>Land and national parks</w:t>
            </w:r>
          </w:p>
        </w:tc>
        <w:tc>
          <w:tcPr>
            <w:tcW w:w="842" w:type="dxa"/>
          </w:tcPr>
          <w:p w14:paraId="27F5035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112 773</w:t>
            </w:r>
          </w:p>
        </w:tc>
        <w:tc>
          <w:tcPr>
            <w:tcW w:w="1089" w:type="dxa"/>
          </w:tcPr>
          <w:p w14:paraId="7D8E72A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886" w:type="dxa"/>
          </w:tcPr>
          <w:p w14:paraId="5CD069A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(28)</w:t>
            </w:r>
          </w:p>
        </w:tc>
        <w:tc>
          <w:tcPr>
            <w:tcW w:w="1285" w:type="dxa"/>
          </w:tcPr>
          <w:p w14:paraId="4271D32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w:t>
            </w:r>
          </w:p>
        </w:tc>
        <w:tc>
          <w:tcPr>
            <w:tcW w:w="986" w:type="dxa"/>
          </w:tcPr>
          <w:p w14:paraId="23BE74C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136</w:t>
            </w:r>
          </w:p>
        </w:tc>
        <w:tc>
          <w:tcPr>
            <w:tcW w:w="999" w:type="dxa"/>
          </w:tcPr>
          <w:p w14:paraId="5C93E36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211</w:t>
            </w:r>
          </w:p>
        </w:tc>
        <w:tc>
          <w:tcPr>
            <w:tcW w:w="1402" w:type="dxa"/>
          </w:tcPr>
          <w:p w14:paraId="30885EE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35</w:t>
            </w:r>
          </w:p>
        </w:tc>
        <w:tc>
          <w:tcPr>
            <w:tcW w:w="1287" w:type="dxa"/>
          </w:tcPr>
          <w:p w14:paraId="7AACC3D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(106)</w:t>
            </w:r>
          </w:p>
        </w:tc>
        <w:tc>
          <w:tcPr>
            <w:tcW w:w="1162" w:type="dxa"/>
          </w:tcPr>
          <w:p w14:paraId="50E2E53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30</w:t>
            </w:r>
          </w:p>
        </w:tc>
        <w:tc>
          <w:tcPr>
            <w:tcW w:w="827" w:type="dxa"/>
          </w:tcPr>
          <w:p w14:paraId="2B80CA4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113 052</w:t>
            </w:r>
          </w:p>
        </w:tc>
      </w:tr>
      <w:tr w:rsidR="009D33A8" w14:paraId="70558A3E" w14:textId="77777777">
        <w:tc>
          <w:tcPr>
            <w:cnfStyle w:val="001000000000" w:firstRow="0" w:lastRow="0" w:firstColumn="1" w:lastColumn="0" w:oddVBand="0" w:evenVBand="0" w:oddHBand="0" w:evenHBand="0" w:firstRowFirstColumn="0" w:firstRowLastColumn="0" w:lastRowFirstColumn="0" w:lastRowLastColumn="0"/>
            <w:tcW w:w="3836" w:type="dxa"/>
          </w:tcPr>
          <w:p w14:paraId="7D4986D2" w14:textId="77777777" w:rsidR="009D33A8" w:rsidRDefault="009D33A8">
            <w:pPr>
              <w:spacing w:after="0"/>
            </w:pPr>
            <w:r>
              <w:rPr>
                <w:b/>
                <w:sz w:val="16"/>
              </w:rPr>
              <w:t>Plant, equipment, vehicles and infrastructure systems</w:t>
            </w:r>
          </w:p>
        </w:tc>
        <w:tc>
          <w:tcPr>
            <w:tcW w:w="842" w:type="dxa"/>
          </w:tcPr>
          <w:p w14:paraId="08C6161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94 793</w:t>
            </w:r>
          </w:p>
        </w:tc>
        <w:tc>
          <w:tcPr>
            <w:tcW w:w="1089" w:type="dxa"/>
          </w:tcPr>
          <w:p w14:paraId="3249FD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(3 160)</w:t>
            </w:r>
          </w:p>
        </w:tc>
        <w:tc>
          <w:tcPr>
            <w:tcW w:w="886" w:type="dxa"/>
          </w:tcPr>
          <w:p w14:paraId="5B9935B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(26)</w:t>
            </w:r>
          </w:p>
        </w:tc>
        <w:tc>
          <w:tcPr>
            <w:tcW w:w="1285" w:type="dxa"/>
          </w:tcPr>
          <w:p w14:paraId="1FAFCFA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183</w:t>
            </w:r>
          </w:p>
        </w:tc>
        <w:tc>
          <w:tcPr>
            <w:tcW w:w="986" w:type="dxa"/>
          </w:tcPr>
          <w:p w14:paraId="36BE2FC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558</w:t>
            </w:r>
          </w:p>
        </w:tc>
        <w:tc>
          <w:tcPr>
            <w:tcW w:w="999" w:type="dxa"/>
          </w:tcPr>
          <w:p w14:paraId="393AE32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3 999</w:t>
            </w:r>
          </w:p>
        </w:tc>
        <w:tc>
          <w:tcPr>
            <w:tcW w:w="1402" w:type="dxa"/>
          </w:tcPr>
          <w:p w14:paraId="2328C8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3 485</w:t>
            </w:r>
          </w:p>
        </w:tc>
        <w:tc>
          <w:tcPr>
            <w:tcW w:w="1287" w:type="dxa"/>
          </w:tcPr>
          <w:p w14:paraId="6EA949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(1 067)</w:t>
            </w:r>
          </w:p>
        </w:tc>
        <w:tc>
          <w:tcPr>
            <w:tcW w:w="1162" w:type="dxa"/>
          </w:tcPr>
          <w:p w14:paraId="6F78B3F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(6 965)</w:t>
            </w:r>
          </w:p>
        </w:tc>
        <w:tc>
          <w:tcPr>
            <w:tcW w:w="827" w:type="dxa"/>
          </w:tcPr>
          <w:p w14:paraId="049C041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91 799</w:t>
            </w:r>
          </w:p>
        </w:tc>
      </w:tr>
      <w:tr w:rsidR="009D33A8" w14:paraId="3D63F5D4" w14:textId="77777777">
        <w:tc>
          <w:tcPr>
            <w:cnfStyle w:val="001000000000" w:firstRow="0" w:lastRow="0" w:firstColumn="1" w:lastColumn="0" w:oddVBand="0" w:evenVBand="0" w:oddHBand="0" w:evenHBand="0" w:firstRowFirstColumn="0" w:firstRowLastColumn="0" w:lastRowFirstColumn="0" w:lastRowLastColumn="0"/>
            <w:tcW w:w="3836" w:type="dxa"/>
          </w:tcPr>
          <w:p w14:paraId="1CA56CF4" w14:textId="77777777" w:rsidR="009D33A8" w:rsidRDefault="009D33A8">
            <w:pPr>
              <w:spacing w:after="0"/>
            </w:pPr>
            <w:r>
              <w:rPr>
                <w:sz w:val="16"/>
              </w:rPr>
              <w:t>Infrastructure systems</w:t>
            </w:r>
            <w:r>
              <w:rPr>
                <w:sz w:val="16"/>
                <w:vertAlign w:val="superscript"/>
              </w:rPr>
              <w:t xml:space="preserve"> (a)</w:t>
            </w:r>
          </w:p>
        </w:tc>
        <w:tc>
          <w:tcPr>
            <w:tcW w:w="842" w:type="dxa"/>
          </w:tcPr>
          <w:p w14:paraId="11518D0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82 157</w:t>
            </w:r>
          </w:p>
        </w:tc>
        <w:tc>
          <w:tcPr>
            <w:tcW w:w="1089" w:type="dxa"/>
          </w:tcPr>
          <w:p w14:paraId="009B3A5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(1 823)</w:t>
            </w:r>
          </w:p>
        </w:tc>
        <w:tc>
          <w:tcPr>
            <w:tcW w:w="886" w:type="dxa"/>
          </w:tcPr>
          <w:p w14:paraId="5E196F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(14)</w:t>
            </w:r>
          </w:p>
        </w:tc>
        <w:tc>
          <w:tcPr>
            <w:tcW w:w="1285" w:type="dxa"/>
          </w:tcPr>
          <w:p w14:paraId="10DC0F1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109</w:t>
            </w:r>
          </w:p>
        </w:tc>
        <w:tc>
          <w:tcPr>
            <w:tcW w:w="986" w:type="dxa"/>
          </w:tcPr>
          <w:p w14:paraId="653AB81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560</w:t>
            </w:r>
          </w:p>
        </w:tc>
        <w:tc>
          <w:tcPr>
            <w:tcW w:w="999" w:type="dxa"/>
          </w:tcPr>
          <w:p w14:paraId="18B658E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2 684</w:t>
            </w:r>
          </w:p>
        </w:tc>
        <w:tc>
          <w:tcPr>
            <w:tcW w:w="1402" w:type="dxa"/>
          </w:tcPr>
          <w:p w14:paraId="267D4F0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2 723</w:t>
            </w:r>
          </w:p>
        </w:tc>
        <w:tc>
          <w:tcPr>
            <w:tcW w:w="1287" w:type="dxa"/>
          </w:tcPr>
          <w:p w14:paraId="304D0FA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(8)</w:t>
            </w:r>
          </w:p>
        </w:tc>
        <w:tc>
          <w:tcPr>
            <w:tcW w:w="1162" w:type="dxa"/>
          </w:tcPr>
          <w:p w14:paraId="175EC3F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(6 850)</w:t>
            </w:r>
          </w:p>
        </w:tc>
        <w:tc>
          <w:tcPr>
            <w:tcW w:w="827" w:type="dxa"/>
          </w:tcPr>
          <w:p w14:paraId="299111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79 537</w:t>
            </w:r>
          </w:p>
        </w:tc>
      </w:tr>
      <w:tr w:rsidR="009D33A8" w14:paraId="512FCB2E" w14:textId="77777777">
        <w:tc>
          <w:tcPr>
            <w:cnfStyle w:val="001000000000" w:firstRow="0" w:lastRow="0" w:firstColumn="1" w:lastColumn="0" w:oddVBand="0" w:evenVBand="0" w:oddHBand="0" w:evenHBand="0" w:firstRowFirstColumn="0" w:firstRowLastColumn="0" w:lastRowFirstColumn="0" w:lastRowLastColumn="0"/>
            <w:tcW w:w="3836" w:type="dxa"/>
          </w:tcPr>
          <w:p w14:paraId="3EDAAD7E" w14:textId="77777777" w:rsidR="009D33A8" w:rsidRDefault="009D33A8">
            <w:pPr>
              <w:spacing w:after="0"/>
            </w:pPr>
            <w:r>
              <w:rPr>
                <w:sz w:val="16"/>
              </w:rPr>
              <w:t xml:space="preserve">   Rolling stock</w:t>
            </w:r>
          </w:p>
        </w:tc>
        <w:tc>
          <w:tcPr>
            <w:tcW w:w="842" w:type="dxa"/>
          </w:tcPr>
          <w:p w14:paraId="663E8EB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5 146</w:t>
            </w:r>
          </w:p>
        </w:tc>
        <w:tc>
          <w:tcPr>
            <w:tcW w:w="1089" w:type="dxa"/>
          </w:tcPr>
          <w:p w14:paraId="08F506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(239)</w:t>
            </w:r>
          </w:p>
        </w:tc>
        <w:tc>
          <w:tcPr>
            <w:tcW w:w="886" w:type="dxa"/>
          </w:tcPr>
          <w:p w14:paraId="3B1777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w:t>
            </w:r>
          </w:p>
        </w:tc>
        <w:tc>
          <w:tcPr>
            <w:tcW w:w="1285" w:type="dxa"/>
          </w:tcPr>
          <w:p w14:paraId="0E5B0AA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86" w:type="dxa"/>
          </w:tcPr>
          <w:p w14:paraId="55B457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99" w:type="dxa"/>
          </w:tcPr>
          <w:p w14:paraId="029630B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1402" w:type="dxa"/>
          </w:tcPr>
          <w:p w14:paraId="56D8CF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357</w:t>
            </w:r>
          </w:p>
        </w:tc>
        <w:tc>
          <w:tcPr>
            <w:tcW w:w="1287" w:type="dxa"/>
          </w:tcPr>
          <w:p w14:paraId="5698745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31B4E02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223</w:t>
            </w:r>
          </w:p>
        </w:tc>
        <w:tc>
          <w:tcPr>
            <w:tcW w:w="827" w:type="dxa"/>
          </w:tcPr>
          <w:p w14:paraId="03077C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5 477</w:t>
            </w:r>
          </w:p>
        </w:tc>
      </w:tr>
      <w:tr w:rsidR="009D33A8" w14:paraId="0D320D8B" w14:textId="77777777">
        <w:tc>
          <w:tcPr>
            <w:cnfStyle w:val="001000000000" w:firstRow="0" w:lastRow="0" w:firstColumn="1" w:lastColumn="0" w:oddVBand="0" w:evenVBand="0" w:oddHBand="0" w:evenHBand="0" w:firstRowFirstColumn="0" w:firstRowLastColumn="0" w:lastRowFirstColumn="0" w:lastRowLastColumn="0"/>
            <w:tcW w:w="3836" w:type="dxa"/>
          </w:tcPr>
          <w:p w14:paraId="31927B3B" w14:textId="77777777" w:rsidR="009D33A8" w:rsidRDefault="009D33A8">
            <w:pPr>
              <w:spacing w:after="0"/>
            </w:pPr>
            <w:r>
              <w:rPr>
                <w:sz w:val="16"/>
              </w:rPr>
              <w:t xml:space="preserve">   Plant, equipment and vehicles</w:t>
            </w:r>
          </w:p>
        </w:tc>
        <w:tc>
          <w:tcPr>
            <w:tcW w:w="842" w:type="dxa"/>
          </w:tcPr>
          <w:p w14:paraId="5B8E56E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7 490</w:t>
            </w:r>
          </w:p>
        </w:tc>
        <w:tc>
          <w:tcPr>
            <w:tcW w:w="1089" w:type="dxa"/>
          </w:tcPr>
          <w:p w14:paraId="7EA8DF4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(1 099)</w:t>
            </w:r>
          </w:p>
        </w:tc>
        <w:tc>
          <w:tcPr>
            <w:tcW w:w="886" w:type="dxa"/>
          </w:tcPr>
          <w:p w14:paraId="2F8A1D8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285" w:type="dxa"/>
          </w:tcPr>
          <w:p w14:paraId="609AA3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74</w:t>
            </w:r>
          </w:p>
        </w:tc>
        <w:tc>
          <w:tcPr>
            <w:tcW w:w="986" w:type="dxa"/>
          </w:tcPr>
          <w:p w14:paraId="2783E8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999" w:type="dxa"/>
          </w:tcPr>
          <w:p w14:paraId="0A83D28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1 317</w:t>
            </w:r>
          </w:p>
        </w:tc>
        <w:tc>
          <w:tcPr>
            <w:tcW w:w="1402" w:type="dxa"/>
          </w:tcPr>
          <w:p w14:paraId="7E2F7B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405</w:t>
            </w:r>
          </w:p>
        </w:tc>
        <w:tc>
          <w:tcPr>
            <w:tcW w:w="1287" w:type="dxa"/>
          </w:tcPr>
          <w:p w14:paraId="7EAC3D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(1 059)</w:t>
            </w:r>
          </w:p>
        </w:tc>
        <w:tc>
          <w:tcPr>
            <w:tcW w:w="1162" w:type="dxa"/>
          </w:tcPr>
          <w:p w14:paraId="30CA2BC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(338)</w:t>
            </w:r>
          </w:p>
        </w:tc>
        <w:tc>
          <w:tcPr>
            <w:tcW w:w="827" w:type="dxa"/>
          </w:tcPr>
          <w:p w14:paraId="56FEEF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6 786</w:t>
            </w:r>
          </w:p>
        </w:tc>
      </w:tr>
      <w:tr w:rsidR="009D33A8" w14:paraId="60F50687" w14:textId="77777777">
        <w:tc>
          <w:tcPr>
            <w:cnfStyle w:val="001000000000" w:firstRow="0" w:lastRow="0" w:firstColumn="1" w:lastColumn="0" w:oddVBand="0" w:evenVBand="0" w:oddHBand="0" w:evenHBand="0" w:firstRowFirstColumn="0" w:firstRowLastColumn="0" w:lastRowFirstColumn="0" w:lastRowLastColumn="0"/>
            <w:tcW w:w="3836" w:type="dxa"/>
          </w:tcPr>
          <w:p w14:paraId="543E54E7" w14:textId="77777777" w:rsidR="009D33A8" w:rsidRDefault="009D33A8">
            <w:pPr>
              <w:spacing w:after="0"/>
            </w:pPr>
            <w:r>
              <w:rPr>
                <w:b/>
                <w:sz w:val="16"/>
              </w:rPr>
              <w:t>Roads, road infrastructure and earthworks</w:t>
            </w:r>
            <w:r>
              <w:rPr>
                <w:b/>
                <w:sz w:val="16"/>
                <w:vertAlign w:val="superscript"/>
              </w:rPr>
              <w:t xml:space="preserve"> (a)</w:t>
            </w:r>
          </w:p>
        </w:tc>
        <w:tc>
          <w:tcPr>
            <w:tcW w:w="842" w:type="dxa"/>
          </w:tcPr>
          <w:p w14:paraId="764BFF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56 057</w:t>
            </w:r>
          </w:p>
        </w:tc>
        <w:tc>
          <w:tcPr>
            <w:tcW w:w="1089" w:type="dxa"/>
          </w:tcPr>
          <w:p w14:paraId="5C9E6C4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(1 129)</w:t>
            </w:r>
          </w:p>
        </w:tc>
        <w:tc>
          <w:tcPr>
            <w:tcW w:w="886" w:type="dxa"/>
          </w:tcPr>
          <w:p w14:paraId="44AD5E7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85" w:type="dxa"/>
          </w:tcPr>
          <w:p w14:paraId="4A0E310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86" w:type="dxa"/>
          </w:tcPr>
          <w:p w14:paraId="1D7AE68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287</w:t>
            </w:r>
          </w:p>
        </w:tc>
        <w:tc>
          <w:tcPr>
            <w:tcW w:w="999" w:type="dxa"/>
          </w:tcPr>
          <w:p w14:paraId="0EEAA9D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1 242</w:t>
            </w:r>
          </w:p>
        </w:tc>
        <w:tc>
          <w:tcPr>
            <w:tcW w:w="1402" w:type="dxa"/>
          </w:tcPr>
          <w:p w14:paraId="5B82DDB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3 258</w:t>
            </w:r>
          </w:p>
        </w:tc>
        <w:tc>
          <w:tcPr>
            <w:tcW w:w="1287" w:type="dxa"/>
          </w:tcPr>
          <w:p w14:paraId="4681C22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7B021C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6 975</w:t>
            </w:r>
          </w:p>
        </w:tc>
        <w:tc>
          <w:tcPr>
            <w:tcW w:w="827" w:type="dxa"/>
          </w:tcPr>
          <w:p w14:paraId="1B1A748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66 690</w:t>
            </w:r>
          </w:p>
        </w:tc>
      </w:tr>
      <w:tr w:rsidR="009D33A8" w14:paraId="1C7048AE" w14:textId="77777777">
        <w:tc>
          <w:tcPr>
            <w:cnfStyle w:val="001000000000" w:firstRow="0" w:lastRow="0" w:firstColumn="1" w:lastColumn="0" w:oddVBand="0" w:evenVBand="0" w:oddHBand="0" w:evenHBand="0" w:firstRowFirstColumn="0" w:firstRowLastColumn="0" w:lastRowFirstColumn="0" w:lastRowLastColumn="0"/>
            <w:tcW w:w="3836" w:type="dxa"/>
            <w:tcBorders>
              <w:bottom w:val="single" w:sz="6" w:space="0" w:color="auto"/>
            </w:tcBorders>
          </w:tcPr>
          <w:p w14:paraId="33085EAE" w14:textId="77777777" w:rsidR="009D33A8" w:rsidRDefault="009D33A8">
            <w:pPr>
              <w:spacing w:after="0"/>
            </w:pPr>
            <w:r>
              <w:rPr>
                <w:b/>
                <w:sz w:val="16"/>
              </w:rPr>
              <w:t>Cultural assets</w:t>
            </w:r>
          </w:p>
        </w:tc>
        <w:tc>
          <w:tcPr>
            <w:tcW w:w="842" w:type="dxa"/>
            <w:tcBorders>
              <w:bottom w:val="single" w:sz="6" w:space="0" w:color="auto"/>
            </w:tcBorders>
          </w:tcPr>
          <w:p w14:paraId="632519C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4 353</w:t>
            </w:r>
          </w:p>
        </w:tc>
        <w:tc>
          <w:tcPr>
            <w:tcW w:w="1089" w:type="dxa"/>
            <w:tcBorders>
              <w:bottom w:val="single" w:sz="6" w:space="0" w:color="auto"/>
            </w:tcBorders>
          </w:tcPr>
          <w:p w14:paraId="215B5F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886" w:type="dxa"/>
            <w:tcBorders>
              <w:bottom w:val="single" w:sz="6" w:space="0" w:color="auto"/>
            </w:tcBorders>
          </w:tcPr>
          <w:p w14:paraId="4975553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285" w:type="dxa"/>
            <w:tcBorders>
              <w:bottom w:val="single" w:sz="6" w:space="0" w:color="auto"/>
            </w:tcBorders>
          </w:tcPr>
          <w:p w14:paraId="3553F51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36</w:t>
            </w:r>
          </w:p>
        </w:tc>
        <w:tc>
          <w:tcPr>
            <w:tcW w:w="986" w:type="dxa"/>
            <w:tcBorders>
              <w:bottom w:val="single" w:sz="6" w:space="0" w:color="auto"/>
            </w:tcBorders>
          </w:tcPr>
          <w:p w14:paraId="70EECE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99" w:type="dxa"/>
            <w:tcBorders>
              <w:bottom w:val="single" w:sz="6" w:space="0" w:color="auto"/>
            </w:tcBorders>
          </w:tcPr>
          <w:p w14:paraId="1475A9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1402" w:type="dxa"/>
            <w:tcBorders>
              <w:bottom w:val="single" w:sz="6" w:space="0" w:color="auto"/>
            </w:tcBorders>
          </w:tcPr>
          <w:p w14:paraId="00F9026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287" w:type="dxa"/>
            <w:tcBorders>
              <w:bottom w:val="single" w:sz="6" w:space="0" w:color="auto"/>
            </w:tcBorders>
          </w:tcPr>
          <w:p w14:paraId="6BDE8B8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539C816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w:t>
            </w:r>
          </w:p>
        </w:tc>
        <w:tc>
          <w:tcPr>
            <w:tcW w:w="827" w:type="dxa"/>
            <w:tcBorders>
              <w:bottom w:val="single" w:sz="6" w:space="0" w:color="auto"/>
            </w:tcBorders>
          </w:tcPr>
          <w:p w14:paraId="361D486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4 374</w:t>
            </w:r>
          </w:p>
        </w:tc>
      </w:tr>
      <w:tr w:rsidR="009D33A8" w14:paraId="21C99F03" w14:textId="77777777">
        <w:tc>
          <w:tcPr>
            <w:cnfStyle w:val="001000000000" w:firstRow="0" w:lastRow="0" w:firstColumn="1" w:lastColumn="0" w:oddVBand="0" w:evenVBand="0" w:oddHBand="0" w:evenHBand="0" w:firstRowFirstColumn="0" w:firstRowLastColumn="0" w:lastRowFirstColumn="0" w:lastRowLastColumn="0"/>
            <w:tcW w:w="3836" w:type="dxa"/>
            <w:tcBorders>
              <w:top w:val="single" w:sz="6" w:space="0" w:color="auto"/>
              <w:bottom w:val="single" w:sz="12" w:space="0" w:color="auto"/>
            </w:tcBorders>
          </w:tcPr>
          <w:p w14:paraId="1AA0EED7" w14:textId="77777777" w:rsidR="009D33A8" w:rsidRDefault="009D33A8">
            <w:pPr>
              <w:spacing w:after="0"/>
            </w:pPr>
            <w:r>
              <w:rPr>
                <w:b/>
                <w:sz w:val="16"/>
              </w:rPr>
              <w:t>Total</w:t>
            </w:r>
          </w:p>
        </w:tc>
        <w:tc>
          <w:tcPr>
            <w:tcW w:w="842" w:type="dxa"/>
            <w:tcBorders>
              <w:top w:val="single" w:sz="6" w:space="0" w:color="auto"/>
              <w:bottom w:val="single" w:sz="12" w:space="0" w:color="auto"/>
            </w:tcBorders>
          </w:tcPr>
          <w:p w14:paraId="2AF7675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331 484</w:t>
            </w:r>
          </w:p>
        </w:tc>
        <w:tc>
          <w:tcPr>
            <w:tcW w:w="1089" w:type="dxa"/>
            <w:tcBorders>
              <w:top w:val="single" w:sz="6" w:space="0" w:color="auto"/>
              <w:bottom w:val="single" w:sz="12" w:space="0" w:color="auto"/>
            </w:tcBorders>
          </w:tcPr>
          <w:p w14:paraId="7044B8D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(7 001)</w:t>
            </w:r>
          </w:p>
        </w:tc>
        <w:tc>
          <w:tcPr>
            <w:tcW w:w="886" w:type="dxa"/>
            <w:tcBorders>
              <w:top w:val="single" w:sz="6" w:space="0" w:color="auto"/>
              <w:bottom w:val="single" w:sz="12" w:space="0" w:color="auto"/>
            </w:tcBorders>
          </w:tcPr>
          <w:p w14:paraId="1774057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(58)</w:t>
            </w:r>
          </w:p>
        </w:tc>
        <w:tc>
          <w:tcPr>
            <w:tcW w:w="1285" w:type="dxa"/>
            <w:tcBorders>
              <w:top w:val="single" w:sz="6" w:space="0" w:color="auto"/>
              <w:bottom w:val="single" w:sz="12" w:space="0" w:color="auto"/>
            </w:tcBorders>
          </w:tcPr>
          <w:p w14:paraId="5901AB4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362</w:t>
            </w:r>
          </w:p>
        </w:tc>
        <w:tc>
          <w:tcPr>
            <w:tcW w:w="986" w:type="dxa"/>
            <w:tcBorders>
              <w:top w:val="single" w:sz="6" w:space="0" w:color="auto"/>
              <w:bottom w:val="single" w:sz="12" w:space="0" w:color="auto"/>
            </w:tcBorders>
          </w:tcPr>
          <w:p w14:paraId="3014737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8 274</w:t>
            </w:r>
          </w:p>
        </w:tc>
        <w:tc>
          <w:tcPr>
            <w:tcW w:w="999" w:type="dxa"/>
            <w:tcBorders>
              <w:top w:val="single" w:sz="6" w:space="0" w:color="auto"/>
              <w:bottom w:val="single" w:sz="12" w:space="0" w:color="auto"/>
            </w:tcBorders>
          </w:tcPr>
          <w:p w14:paraId="1B9FAB8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8 178</w:t>
            </w:r>
          </w:p>
        </w:tc>
        <w:tc>
          <w:tcPr>
            <w:tcW w:w="1402" w:type="dxa"/>
            <w:tcBorders>
              <w:top w:val="single" w:sz="6" w:space="0" w:color="auto"/>
              <w:bottom w:val="single" w:sz="12" w:space="0" w:color="auto"/>
            </w:tcBorders>
          </w:tcPr>
          <w:p w14:paraId="57840C1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7 944</w:t>
            </w:r>
          </w:p>
        </w:tc>
        <w:tc>
          <w:tcPr>
            <w:tcW w:w="1287" w:type="dxa"/>
            <w:tcBorders>
              <w:top w:val="single" w:sz="6" w:space="0" w:color="auto"/>
              <w:bottom w:val="single" w:sz="12" w:space="0" w:color="auto"/>
            </w:tcBorders>
          </w:tcPr>
          <w:p w14:paraId="7FD0DB7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(902)</w:t>
            </w:r>
          </w:p>
        </w:tc>
        <w:tc>
          <w:tcPr>
            <w:tcW w:w="1162" w:type="dxa"/>
            <w:tcBorders>
              <w:top w:val="single" w:sz="6" w:space="0" w:color="auto"/>
              <w:bottom w:val="single" w:sz="12" w:space="0" w:color="auto"/>
            </w:tcBorders>
          </w:tcPr>
          <w:p w14:paraId="0A7F7F6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122</w:t>
            </w:r>
          </w:p>
        </w:tc>
        <w:tc>
          <w:tcPr>
            <w:tcW w:w="827" w:type="dxa"/>
            <w:tcBorders>
              <w:top w:val="single" w:sz="6" w:space="0" w:color="auto"/>
              <w:bottom w:val="single" w:sz="12" w:space="0" w:color="auto"/>
            </w:tcBorders>
          </w:tcPr>
          <w:p w14:paraId="5846737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348 404</w:t>
            </w:r>
          </w:p>
        </w:tc>
      </w:tr>
    </w:tbl>
    <w:p w14:paraId="4EE601B1" w14:textId="77777777" w:rsidR="009D33A8" w:rsidRPr="006E46A3" w:rsidRDefault="009D33A8" w:rsidP="009D33A8">
      <w:pPr>
        <w:pStyle w:val="Note"/>
        <w:ind w:left="0" w:firstLine="0"/>
      </w:pPr>
      <w:r w:rsidRPr="002873DB">
        <w:t>Note:</w:t>
      </w:r>
    </w:p>
    <w:p w14:paraId="68DBC7B4" w14:textId="705694C1" w:rsidR="009D33A8" w:rsidRDefault="009D33A8" w:rsidP="009D33A8">
      <w:pPr>
        <w:pStyle w:val="Note"/>
      </w:pPr>
      <w:r>
        <w:t>(a)</w:t>
      </w:r>
      <w:r>
        <w:tab/>
      </w:r>
      <w:r w:rsidRPr="000F5E88">
        <w:t>The 2023-24 comparative figures relating to VicTrack</w:t>
      </w:r>
      <w:r w:rsidR="00845934">
        <w:t>’</w:t>
      </w:r>
      <w:r w:rsidRPr="000F5E88">
        <w:t xml:space="preserve">s rail assets have been reclassified from infrastructure to earthworks </w:t>
      </w:r>
      <w:r>
        <w:t>to more accurately reflect the nature of the underlying assets</w:t>
      </w:r>
      <w:r w:rsidRPr="000F5E88">
        <w:t>.</w:t>
      </w:r>
    </w:p>
    <w:p w14:paraId="52892D84" w14:textId="77777777" w:rsidR="009D33A8" w:rsidRDefault="009D33A8" w:rsidP="009D33A8">
      <w:pPr>
        <w:keepLines w:val="0"/>
        <w:rPr>
          <w:rFonts w:asciiTheme="majorHAnsi" w:hAnsiTheme="majorHAnsi" w:cstheme="minorBidi"/>
          <w:b/>
          <w:i/>
          <w:sz w:val="20"/>
          <w:szCs w:val="18"/>
        </w:rPr>
      </w:pPr>
      <w:r>
        <w:rPr>
          <w:b/>
          <w:sz w:val="20"/>
          <w:szCs w:val="18"/>
        </w:rPr>
        <w:br w:type="page"/>
      </w:r>
    </w:p>
    <w:p w14:paraId="73A3F4B8" w14:textId="77777777" w:rsidR="009D33A8" w:rsidRDefault="009D33A8" w:rsidP="009D33A8">
      <w:pPr>
        <w:pStyle w:val="TableHeading"/>
      </w:pPr>
      <w:r w:rsidRPr="003F0F11">
        <w:lastRenderedPageBreak/>
        <w:t>Reconciliation of Level 3 fair value movements</w:t>
      </w:r>
      <w:r>
        <w:t xml:space="preserve"> </w:t>
      </w:r>
      <w:r w:rsidRPr="003321EE">
        <w:rPr>
          <w:i/>
          <w:iCs w:val="0"/>
          <w:sz w:val="18"/>
          <w:szCs w:val="16"/>
        </w:rPr>
        <w:t>(continued)</w:t>
      </w:r>
      <w:r w:rsidRPr="003540C4">
        <w:tab/>
      </w:r>
      <w:r w:rsidRPr="003540C4">
        <w:tab/>
        <w:t>($ million)</w:t>
      </w:r>
    </w:p>
    <w:tbl>
      <w:tblPr>
        <w:tblStyle w:val="DTFTableNumeric"/>
        <w:tblW w:w="14601"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Reconciliation_of_level_3_fair_value_movements_GG_CY"/>
      </w:tblPr>
      <w:tblGrid>
        <w:gridCol w:w="3094"/>
        <w:gridCol w:w="784"/>
        <w:gridCol w:w="1008"/>
        <w:gridCol w:w="923"/>
        <w:gridCol w:w="1092"/>
        <w:gridCol w:w="924"/>
        <w:gridCol w:w="1050"/>
        <w:gridCol w:w="1274"/>
        <w:gridCol w:w="1581"/>
        <w:gridCol w:w="798"/>
        <w:gridCol w:w="1162"/>
        <w:gridCol w:w="911"/>
      </w:tblGrid>
      <w:tr w:rsidR="009132A6" w14:paraId="31A9815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Pr>
          <w:p w14:paraId="73F039E4" w14:textId="77777777" w:rsidR="009D33A8" w:rsidRDefault="009D33A8">
            <w:pPr>
              <w:keepNext/>
              <w:spacing w:after="0"/>
              <w:ind w:left="0" w:firstLine="0"/>
            </w:pPr>
            <w:r>
              <w:rPr>
                <w:sz w:val="16"/>
              </w:rPr>
              <w:t>General government sector</w:t>
            </w:r>
            <w:r>
              <w:br/>
            </w:r>
            <w:r>
              <w:br/>
            </w:r>
            <w:r>
              <w:rPr>
                <w:sz w:val="16"/>
              </w:rPr>
              <w:t>2025</w:t>
            </w:r>
          </w:p>
        </w:tc>
        <w:tc>
          <w:tcPr>
            <w:tcW w:w="784" w:type="dxa"/>
          </w:tcPr>
          <w:p w14:paraId="61E9D43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Opening balance</w:t>
            </w:r>
          </w:p>
        </w:tc>
        <w:tc>
          <w:tcPr>
            <w:tcW w:w="1008" w:type="dxa"/>
          </w:tcPr>
          <w:p w14:paraId="627E3916"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Depreciation</w:t>
            </w:r>
          </w:p>
        </w:tc>
        <w:tc>
          <w:tcPr>
            <w:tcW w:w="923" w:type="dxa"/>
          </w:tcPr>
          <w:p w14:paraId="1F60E04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Impairment</w:t>
            </w:r>
          </w:p>
        </w:tc>
        <w:tc>
          <w:tcPr>
            <w:tcW w:w="1092" w:type="dxa"/>
          </w:tcPr>
          <w:p w14:paraId="6289C59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Assets recognised for the first time</w:t>
            </w:r>
          </w:p>
        </w:tc>
        <w:tc>
          <w:tcPr>
            <w:tcW w:w="924" w:type="dxa"/>
          </w:tcPr>
          <w:p w14:paraId="5A6ED121"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Revaluation</w:t>
            </w:r>
          </w:p>
        </w:tc>
        <w:tc>
          <w:tcPr>
            <w:tcW w:w="1050" w:type="dxa"/>
          </w:tcPr>
          <w:p w14:paraId="6859C88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Acquisitions/ (disposals)</w:t>
            </w:r>
          </w:p>
        </w:tc>
        <w:tc>
          <w:tcPr>
            <w:tcW w:w="1274" w:type="dxa"/>
          </w:tcPr>
          <w:p w14:paraId="57701387"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Capitalisation of work</w:t>
            </w:r>
            <w:r>
              <w:rPr>
                <w:sz w:val="16"/>
              </w:rPr>
              <w:noBreakHyphen/>
              <w:t>in</w:t>
            </w:r>
            <w:r>
              <w:rPr>
                <w:sz w:val="16"/>
              </w:rPr>
              <w:noBreakHyphen/>
              <w:t>progress</w:t>
            </w:r>
          </w:p>
        </w:tc>
        <w:tc>
          <w:tcPr>
            <w:tcW w:w="1581" w:type="dxa"/>
          </w:tcPr>
          <w:p w14:paraId="01AA0C5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Assets transferred between government entities</w:t>
            </w:r>
          </w:p>
        </w:tc>
        <w:tc>
          <w:tcPr>
            <w:tcW w:w="798" w:type="dxa"/>
          </w:tcPr>
          <w:p w14:paraId="73A9425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Transfers in/out of Level 3</w:t>
            </w:r>
          </w:p>
        </w:tc>
        <w:tc>
          <w:tcPr>
            <w:tcW w:w="1162" w:type="dxa"/>
          </w:tcPr>
          <w:p w14:paraId="3F622B44"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Reclassification</w:t>
            </w:r>
          </w:p>
        </w:tc>
        <w:tc>
          <w:tcPr>
            <w:tcW w:w="911" w:type="dxa"/>
          </w:tcPr>
          <w:p w14:paraId="3422AF3D"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rPr>
                <w:sz w:val="16"/>
              </w:rPr>
              <w:t>Closing balance</w:t>
            </w:r>
          </w:p>
        </w:tc>
      </w:tr>
      <w:tr w:rsidR="009D33A8" w14:paraId="0E1E7990" w14:textId="77777777">
        <w:tc>
          <w:tcPr>
            <w:cnfStyle w:val="001000000000" w:firstRow="0" w:lastRow="0" w:firstColumn="1" w:lastColumn="0" w:oddVBand="0" w:evenVBand="0" w:oddHBand="0" w:evenHBand="0" w:firstRowFirstColumn="0" w:firstRowLastColumn="0" w:lastRowFirstColumn="0" w:lastRowLastColumn="0"/>
            <w:tcW w:w="3094" w:type="dxa"/>
          </w:tcPr>
          <w:p w14:paraId="4ED3B9B3" w14:textId="77777777" w:rsidR="009D33A8" w:rsidRDefault="009D33A8">
            <w:pPr>
              <w:spacing w:after="0"/>
            </w:pPr>
            <w:r>
              <w:rPr>
                <w:b/>
                <w:sz w:val="16"/>
              </w:rPr>
              <w:t>Buildings</w:t>
            </w:r>
          </w:p>
        </w:tc>
        <w:tc>
          <w:tcPr>
            <w:tcW w:w="784" w:type="dxa"/>
          </w:tcPr>
          <w:p w14:paraId="2B87F2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57 704</w:t>
            </w:r>
          </w:p>
        </w:tc>
        <w:tc>
          <w:tcPr>
            <w:tcW w:w="1008" w:type="dxa"/>
          </w:tcPr>
          <w:p w14:paraId="1977963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(2 743)</w:t>
            </w:r>
          </w:p>
        </w:tc>
        <w:tc>
          <w:tcPr>
            <w:tcW w:w="923" w:type="dxa"/>
          </w:tcPr>
          <w:p w14:paraId="1BCADB9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(26)</w:t>
            </w:r>
          </w:p>
        </w:tc>
        <w:tc>
          <w:tcPr>
            <w:tcW w:w="1092" w:type="dxa"/>
          </w:tcPr>
          <w:p w14:paraId="505692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41</w:t>
            </w:r>
          </w:p>
        </w:tc>
        <w:tc>
          <w:tcPr>
            <w:tcW w:w="924" w:type="dxa"/>
          </w:tcPr>
          <w:p w14:paraId="244150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622</w:t>
            </w:r>
          </w:p>
        </w:tc>
        <w:tc>
          <w:tcPr>
            <w:tcW w:w="1050" w:type="dxa"/>
          </w:tcPr>
          <w:p w14:paraId="78CBE57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2 734</w:t>
            </w:r>
          </w:p>
        </w:tc>
        <w:tc>
          <w:tcPr>
            <w:tcW w:w="1274" w:type="dxa"/>
          </w:tcPr>
          <w:p w14:paraId="412F59A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731</w:t>
            </w:r>
          </w:p>
        </w:tc>
        <w:tc>
          <w:tcPr>
            <w:tcW w:w="1581" w:type="dxa"/>
          </w:tcPr>
          <w:p w14:paraId="5090327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798" w:type="dxa"/>
          </w:tcPr>
          <w:p w14:paraId="46ECD94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38</w:t>
            </w:r>
          </w:p>
        </w:tc>
        <w:tc>
          <w:tcPr>
            <w:tcW w:w="1162" w:type="dxa"/>
          </w:tcPr>
          <w:p w14:paraId="0758F8D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106</w:t>
            </w:r>
          </w:p>
        </w:tc>
        <w:tc>
          <w:tcPr>
            <w:tcW w:w="911" w:type="dxa"/>
          </w:tcPr>
          <w:p w14:paraId="7B4E83A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59 210</w:t>
            </w:r>
          </w:p>
        </w:tc>
      </w:tr>
      <w:tr w:rsidR="009D33A8" w14:paraId="6BDC33E3" w14:textId="77777777">
        <w:tc>
          <w:tcPr>
            <w:cnfStyle w:val="001000000000" w:firstRow="0" w:lastRow="0" w:firstColumn="1" w:lastColumn="0" w:oddVBand="0" w:evenVBand="0" w:oddHBand="0" w:evenHBand="0" w:firstRowFirstColumn="0" w:firstRowLastColumn="0" w:lastRowFirstColumn="0" w:lastRowLastColumn="0"/>
            <w:tcW w:w="3094" w:type="dxa"/>
          </w:tcPr>
          <w:p w14:paraId="422A4A93" w14:textId="77777777" w:rsidR="009D33A8" w:rsidRDefault="009D33A8">
            <w:pPr>
              <w:spacing w:after="0"/>
            </w:pPr>
            <w:r>
              <w:rPr>
                <w:b/>
                <w:sz w:val="16"/>
              </w:rPr>
              <w:t>Land and national parks</w:t>
            </w:r>
          </w:p>
        </w:tc>
        <w:tc>
          <w:tcPr>
            <w:tcW w:w="784" w:type="dxa"/>
          </w:tcPr>
          <w:p w14:paraId="6B7BCB4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91 546</w:t>
            </w:r>
          </w:p>
        </w:tc>
        <w:tc>
          <w:tcPr>
            <w:tcW w:w="1008" w:type="dxa"/>
          </w:tcPr>
          <w:p w14:paraId="0731855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923" w:type="dxa"/>
          </w:tcPr>
          <w:p w14:paraId="11D5E0E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(41)</w:t>
            </w:r>
          </w:p>
        </w:tc>
        <w:tc>
          <w:tcPr>
            <w:tcW w:w="1092" w:type="dxa"/>
          </w:tcPr>
          <w:p w14:paraId="5522E16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82</w:t>
            </w:r>
          </w:p>
        </w:tc>
        <w:tc>
          <w:tcPr>
            <w:tcW w:w="924" w:type="dxa"/>
          </w:tcPr>
          <w:p w14:paraId="362D14B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(5 355)</w:t>
            </w:r>
          </w:p>
        </w:tc>
        <w:tc>
          <w:tcPr>
            <w:tcW w:w="1050" w:type="dxa"/>
          </w:tcPr>
          <w:p w14:paraId="7A7F849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266</w:t>
            </w:r>
          </w:p>
        </w:tc>
        <w:tc>
          <w:tcPr>
            <w:tcW w:w="1274" w:type="dxa"/>
          </w:tcPr>
          <w:p w14:paraId="090EA13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22</w:t>
            </w:r>
          </w:p>
        </w:tc>
        <w:tc>
          <w:tcPr>
            <w:tcW w:w="1581" w:type="dxa"/>
          </w:tcPr>
          <w:p w14:paraId="114ADD4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(24)</w:t>
            </w:r>
          </w:p>
        </w:tc>
        <w:tc>
          <w:tcPr>
            <w:tcW w:w="798" w:type="dxa"/>
          </w:tcPr>
          <w:p w14:paraId="00168AD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(736)</w:t>
            </w:r>
          </w:p>
        </w:tc>
        <w:tc>
          <w:tcPr>
            <w:tcW w:w="1162" w:type="dxa"/>
          </w:tcPr>
          <w:p w14:paraId="7BD807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385</w:t>
            </w:r>
          </w:p>
        </w:tc>
        <w:tc>
          <w:tcPr>
            <w:tcW w:w="911" w:type="dxa"/>
          </w:tcPr>
          <w:p w14:paraId="29A9A2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86 144</w:t>
            </w:r>
          </w:p>
        </w:tc>
      </w:tr>
      <w:tr w:rsidR="009D33A8" w14:paraId="1E9B1B6B" w14:textId="77777777">
        <w:tc>
          <w:tcPr>
            <w:cnfStyle w:val="001000000000" w:firstRow="0" w:lastRow="0" w:firstColumn="1" w:lastColumn="0" w:oddVBand="0" w:evenVBand="0" w:oddHBand="0" w:evenHBand="0" w:firstRowFirstColumn="0" w:firstRowLastColumn="0" w:lastRowFirstColumn="0" w:lastRowLastColumn="0"/>
            <w:tcW w:w="3094" w:type="dxa"/>
          </w:tcPr>
          <w:p w14:paraId="79BF8AD7" w14:textId="77777777" w:rsidR="009D33A8" w:rsidRDefault="009D33A8">
            <w:pPr>
              <w:spacing w:after="0"/>
            </w:pPr>
            <w:r>
              <w:rPr>
                <w:b/>
                <w:sz w:val="16"/>
              </w:rPr>
              <w:t>Plant, equipment, vehicles and infrastructure systems</w:t>
            </w:r>
          </w:p>
        </w:tc>
        <w:tc>
          <w:tcPr>
            <w:tcW w:w="784" w:type="dxa"/>
          </w:tcPr>
          <w:p w14:paraId="443E523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16 120</w:t>
            </w:r>
          </w:p>
        </w:tc>
        <w:tc>
          <w:tcPr>
            <w:tcW w:w="1008" w:type="dxa"/>
          </w:tcPr>
          <w:p w14:paraId="25E4E86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(965)</w:t>
            </w:r>
          </w:p>
        </w:tc>
        <w:tc>
          <w:tcPr>
            <w:tcW w:w="923" w:type="dxa"/>
          </w:tcPr>
          <w:p w14:paraId="59B4FB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092" w:type="dxa"/>
          </w:tcPr>
          <w:p w14:paraId="0F244B2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21</w:t>
            </w:r>
          </w:p>
        </w:tc>
        <w:tc>
          <w:tcPr>
            <w:tcW w:w="924" w:type="dxa"/>
          </w:tcPr>
          <w:p w14:paraId="7E63468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575</w:t>
            </w:r>
          </w:p>
        </w:tc>
        <w:tc>
          <w:tcPr>
            <w:tcW w:w="1050" w:type="dxa"/>
          </w:tcPr>
          <w:p w14:paraId="4196319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2 116</w:t>
            </w:r>
          </w:p>
        </w:tc>
        <w:tc>
          <w:tcPr>
            <w:tcW w:w="1274" w:type="dxa"/>
          </w:tcPr>
          <w:p w14:paraId="39FA3C4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394</w:t>
            </w:r>
          </w:p>
        </w:tc>
        <w:tc>
          <w:tcPr>
            <w:tcW w:w="1581" w:type="dxa"/>
          </w:tcPr>
          <w:p w14:paraId="4FE6A33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(13)</w:t>
            </w:r>
          </w:p>
        </w:tc>
        <w:tc>
          <w:tcPr>
            <w:tcW w:w="798" w:type="dxa"/>
          </w:tcPr>
          <w:p w14:paraId="5E105CC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162" w:type="dxa"/>
          </w:tcPr>
          <w:p w14:paraId="34C347E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(31)</w:t>
            </w:r>
          </w:p>
        </w:tc>
        <w:tc>
          <w:tcPr>
            <w:tcW w:w="911" w:type="dxa"/>
          </w:tcPr>
          <w:p w14:paraId="42AA696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18 216</w:t>
            </w:r>
          </w:p>
        </w:tc>
      </w:tr>
      <w:tr w:rsidR="009D33A8" w14:paraId="38A65A44" w14:textId="77777777">
        <w:tc>
          <w:tcPr>
            <w:cnfStyle w:val="001000000000" w:firstRow="0" w:lastRow="0" w:firstColumn="1" w:lastColumn="0" w:oddVBand="0" w:evenVBand="0" w:oddHBand="0" w:evenHBand="0" w:firstRowFirstColumn="0" w:firstRowLastColumn="0" w:lastRowFirstColumn="0" w:lastRowLastColumn="0"/>
            <w:tcW w:w="3094" w:type="dxa"/>
          </w:tcPr>
          <w:p w14:paraId="3F77A0C7" w14:textId="77777777" w:rsidR="009D33A8" w:rsidRDefault="009D33A8">
            <w:pPr>
              <w:spacing w:after="0"/>
            </w:pPr>
            <w:r>
              <w:rPr>
                <w:sz w:val="16"/>
              </w:rPr>
              <w:t xml:space="preserve">   Infrastructure systems</w:t>
            </w:r>
          </w:p>
        </w:tc>
        <w:tc>
          <w:tcPr>
            <w:tcW w:w="784" w:type="dxa"/>
          </w:tcPr>
          <w:p w14:paraId="6B5FC20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12 106</w:t>
            </w:r>
          </w:p>
        </w:tc>
        <w:tc>
          <w:tcPr>
            <w:tcW w:w="1008" w:type="dxa"/>
          </w:tcPr>
          <w:p w14:paraId="53A2F7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(55)</w:t>
            </w:r>
          </w:p>
        </w:tc>
        <w:tc>
          <w:tcPr>
            <w:tcW w:w="923" w:type="dxa"/>
          </w:tcPr>
          <w:p w14:paraId="2DFD166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92" w:type="dxa"/>
          </w:tcPr>
          <w:p w14:paraId="61515C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09607B8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550</w:t>
            </w:r>
          </w:p>
        </w:tc>
        <w:tc>
          <w:tcPr>
            <w:tcW w:w="1050" w:type="dxa"/>
          </w:tcPr>
          <w:p w14:paraId="556FF0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1 381</w:t>
            </w:r>
          </w:p>
        </w:tc>
        <w:tc>
          <w:tcPr>
            <w:tcW w:w="1274" w:type="dxa"/>
          </w:tcPr>
          <w:p w14:paraId="42631A1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80</w:t>
            </w:r>
          </w:p>
        </w:tc>
        <w:tc>
          <w:tcPr>
            <w:tcW w:w="1581" w:type="dxa"/>
          </w:tcPr>
          <w:p w14:paraId="6EEC7C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(14)</w:t>
            </w:r>
          </w:p>
        </w:tc>
        <w:tc>
          <w:tcPr>
            <w:tcW w:w="798" w:type="dxa"/>
          </w:tcPr>
          <w:p w14:paraId="0170674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0360A1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6</w:t>
            </w:r>
          </w:p>
        </w:tc>
        <w:tc>
          <w:tcPr>
            <w:tcW w:w="911" w:type="dxa"/>
          </w:tcPr>
          <w:p w14:paraId="442E20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14 054</w:t>
            </w:r>
          </w:p>
        </w:tc>
      </w:tr>
      <w:tr w:rsidR="009D33A8" w14:paraId="46205867" w14:textId="77777777">
        <w:tc>
          <w:tcPr>
            <w:cnfStyle w:val="001000000000" w:firstRow="0" w:lastRow="0" w:firstColumn="1" w:lastColumn="0" w:oddVBand="0" w:evenVBand="0" w:oddHBand="0" w:evenHBand="0" w:firstRowFirstColumn="0" w:firstRowLastColumn="0" w:lastRowFirstColumn="0" w:lastRowLastColumn="0"/>
            <w:tcW w:w="3094" w:type="dxa"/>
          </w:tcPr>
          <w:p w14:paraId="60E1A8C2" w14:textId="77777777" w:rsidR="009D33A8" w:rsidRDefault="009D33A8">
            <w:pPr>
              <w:spacing w:after="0"/>
            </w:pPr>
            <w:r>
              <w:rPr>
                <w:sz w:val="16"/>
              </w:rPr>
              <w:t xml:space="preserve">   Rolling stock</w:t>
            </w:r>
          </w:p>
        </w:tc>
        <w:tc>
          <w:tcPr>
            <w:tcW w:w="784" w:type="dxa"/>
          </w:tcPr>
          <w:p w14:paraId="4C14144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08" w:type="dxa"/>
          </w:tcPr>
          <w:p w14:paraId="395C01E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23" w:type="dxa"/>
          </w:tcPr>
          <w:p w14:paraId="19C0CCC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92" w:type="dxa"/>
          </w:tcPr>
          <w:p w14:paraId="147D0FC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24" w:type="dxa"/>
          </w:tcPr>
          <w:p w14:paraId="1CD2966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50" w:type="dxa"/>
          </w:tcPr>
          <w:p w14:paraId="55E039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274" w:type="dxa"/>
          </w:tcPr>
          <w:p w14:paraId="15F9361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581" w:type="dxa"/>
          </w:tcPr>
          <w:p w14:paraId="149DA53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98" w:type="dxa"/>
          </w:tcPr>
          <w:p w14:paraId="7ED80F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41C5C73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11" w:type="dxa"/>
          </w:tcPr>
          <w:p w14:paraId="5B78D8C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r>
      <w:tr w:rsidR="009D33A8" w14:paraId="1AFA8FC8" w14:textId="77777777">
        <w:tc>
          <w:tcPr>
            <w:cnfStyle w:val="001000000000" w:firstRow="0" w:lastRow="0" w:firstColumn="1" w:lastColumn="0" w:oddVBand="0" w:evenVBand="0" w:oddHBand="0" w:evenHBand="0" w:firstRowFirstColumn="0" w:firstRowLastColumn="0" w:lastRowFirstColumn="0" w:lastRowLastColumn="0"/>
            <w:tcW w:w="3094" w:type="dxa"/>
          </w:tcPr>
          <w:p w14:paraId="61EC3DA9" w14:textId="77777777" w:rsidR="009D33A8" w:rsidRDefault="009D33A8">
            <w:pPr>
              <w:spacing w:after="0"/>
            </w:pPr>
            <w:r>
              <w:rPr>
                <w:sz w:val="16"/>
              </w:rPr>
              <w:t xml:space="preserve">   Plant, equipment and vehicles</w:t>
            </w:r>
          </w:p>
        </w:tc>
        <w:tc>
          <w:tcPr>
            <w:tcW w:w="784" w:type="dxa"/>
          </w:tcPr>
          <w:p w14:paraId="3F0658D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4 014</w:t>
            </w:r>
          </w:p>
        </w:tc>
        <w:tc>
          <w:tcPr>
            <w:tcW w:w="1008" w:type="dxa"/>
          </w:tcPr>
          <w:p w14:paraId="718BA8F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(910)</w:t>
            </w:r>
          </w:p>
        </w:tc>
        <w:tc>
          <w:tcPr>
            <w:tcW w:w="923" w:type="dxa"/>
          </w:tcPr>
          <w:p w14:paraId="15DD082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92" w:type="dxa"/>
          </w:tcPr>
          <w:p w14:paraId="5B8EC1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21</w:t>
            </w:r>
          </w:p>
        </w:tc>
        <w:tc>
          <w:tcPr>
            <w:tcW w:w="924" w:type="dxa"/>
          </w:tcPr>
          <w:p w14:paraId="0EB04B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25</w:t>
            </w:r>
          </w:p>
        </w:tc>
        <w:tc>
          <w:tcPr>
            <w:tcW w:w="1050" w:type="dxa"/>
          </w:tcPr>
          <w:p w14:paraId="1C5100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736</w:t>
            </w:r>
          </w:p>
        </w:tc>
        <w:tc>
          <w:tcPr>
            <w:tcW w:w="1274" w:type="dxa"/>
          </w:tcPr>
          <w:p w14:paraId="6A84798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314</w:t>
            </w:r>
          </w:p>
        </w:tc>
        <w:tc>
          <w:tcPr>
            <w:tcW w:w="1581" w:type="dxa"/>
          </w:tcPr>
          <w:p w14:paraId="773668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98" w:type="dxa"/>
          </w:tcPr>
          <w:p w14:paraId="7D590B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1162" w:type="dxa"/>
          </w:tcPr>
          <w:p w14:paraId="5C0B04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(36)</w:t>
            </w:r>
          </w:p>
        </w:tc>
        <w:tc>
          <w:tcPr>
            <w:tcW w:w="911" w:type="dxa"/>
          </w:tcPr>
          <w:p w14:paraId="2DC288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4 162</w:t>
            </w:r>
          </w:p>
        </w:tc>
      </w:tr>
      <w:tr w:rsidR="009D33A8" w14:paraId="1F9EF298" w14:textId="77777777">
        <w:tc>
          <w:tcPr>
            <w:cnfStyle w:val="001000000000" w:firstRow="0" w:lastRow="0" w:firstColumn="1" w:lastColumn="0" w:oddVBand="0" w:evenVBand="0" w:oddHBand="0" w:evenHBand="0" w:firstRowFirstColumn="0" w:firstRowLastColumn="0" w:lastRowFirstColumn="0" w:lastRowLastColumn="0"/>
            <w:tcW w:w="3094" w:type="dxa"/>
          </w:tcPr>
          <w:p w14:paraId="196AAEDF" w14:textId="77777777" w:rsidR="009D33A8" w:rsidRDefault="009D33A8">
            <w:pPr>
              <w:spacing w:after="0"/>
            </w:pPr>
            <w:r>
              <w:rPr>
                <w:b/>
                <w:sz w:val="16"/>
              </w:rPr>
              <w:t>Roads, road infrastructure and earthworks</w:t>
            </w:r>
          </w:p>
        </w:tc>
        <w:tc>
          <w:tcPr>
            <w:tcW w:w="784" w:type="dxa"/>
          </w:tcPr>
          <w:p w14:paraId="2CC351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55 208</w:t>
            </w:r>
          </w:p>
        </w:tc>
        <w:tc>
          <w:tcPr>
            <w:tcW w:w="1008" w:type="dxa"/>
          </w:tcPr>
          <w:p w14:paraId="5C28759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(1 128)</w:t>
            </w:r>
          </w:p>
        </w:tc>
        <w:tc>
          <w:tcPr>
            <w:tcW w:w="923" w:type="dxa"/>
          </w:tcPr>
          <w:p w14:paraId="1734B1D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092" w:type="dxa"/>
          </w:tcPr>
          <w:p w14:paraId="5B9792F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924" w:type="dxa"/>
          </w:tcPr>
          <w:p w14:paraId="60ED21D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12 506</w:t>
            </w:r>
          </w:p>
        </w:tc>
        <w:tc>
          <w:tcPr>
            <w:tcW w:w="1050" w:type="dxa"/>
          </w:tcPr>
          <w:p w14:paraId="0437D30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740</w:t>
            </w:r>
          </w:p>
        </w:tc>
        <w:tc>
          <w:tcPr>
            <w:tcW w:w="1274" w:type="dxa"/>
          </w:tcPr>
          <w:p w14:paraId="6CA693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2 058</w:t>
            </w:r>
          </w:p>
        </w:tc>
        <w:tc>
          <w:tcPr>
            <w:tcW w:w="1581" w:type="dxa"/>
          </w:tcPr>
          <w:p w14:paraId="4D640A5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798" w:type="dxa"/>
          </w:tcPr>
          <w:p w14:paraId="11EDF43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70BDB8F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911" w:type="dxa"/>
          </w:tcPr>
          <w:p w14:paraId="396CD7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69 385</w:t>
            </w:r>
          </w:p>
        </w:tc>
      </w:tr>
      <w:tr w:rsidR="009D33A8" w14:paraId="199B4C62"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2FCD6A04" w14:textId="77777777" w:rsidR="009D33A8" w:rsidRDefault="009D33A8">
            <w:pPr>
              <w:spacing w:after="0"/>
            </w:pPr>
            <w:r>
              <w:rPr>
                <w:b/>
                <w:sz w:val="16"/>
              </w:rPr>
              <w:t>Cultural assets</w:t>
            </w:r>
          </w:p>
        </w:tc>
        <w:tc>
          <w:tcPr>
            <w:tcW w:w="784" w:type="dxa"/>
            <w:tcBorders>
              <w:bottom w:val="single" w:sz="6" w:space="0" w:color="auto"/>
            </w:tcBorders>
          </w:tcPr>
          <w:p w14:paraId="7668E92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4 349</w:t>
            </w:r>
          </w:p>
        </w:tc>
        <w:tc>
          <w:tcPr>
            <w:tcW w:w="1008" w:type="dxa"/>
            <w:tcBorders>
              <w:bottom w:val="single" w:sz="6" w:space="0" w:color="auto"/>
            </w:tcBorders>
          </w:tcPr>
          <w:p w14:paraId="31C564D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923" w:type="dxa"/>
            <w:tcBorders>
              <w:bottom w:val="single" w:sz="6" w:space="0" w:color="auto"/>
            </w:tcBorders>
          </w:tcPr>
          <w:p w14:paraId="7CBB817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092" w:type="dxa"/>
            <w:tcBorders>
              <w:bottom w:val="single" w:sz="6" w:space="0" w:color="auto"/>
            </w:tcBorders>
          </w:tcPr>
          <w:p w14:paraId="4062DD3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924" w:type="dxa"/>
            <w:tcBorders>
              <w:bottom w:val="single" w:sz="6" w:space="0" w:color="auto"/>
            </w:tcBorders>
          </w:tcPr>
          <w:p w14:paraId="2BCD744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650</w:t>
            </w:r>
          </w:p>
        </w:tc>
        <w:tc>
          <w:tcPr>
            <w:tcW w:w="1050" w:type="dxa"/>
            <w:tcBorders>
              <w:bottom w:val="single" w:sz="6" w:space="0" w:color="auto"/>
            </w:tcBorders>
          </w:tcPr>
          <w:p w14:paraId="03F3885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65</w:t>
            </w:r>
          </w:p>
        </w:tc>
        <w:tc>
          <w:tcPr>
            <w:tcW w:w="1274" w:type="dxa"/>
            <w:tcBorders>
              <w:bottom w:val="single" w:sz="6" w:space="0" w:color="auto"/>
            </w:tcBorders>
          </w:tcPr>
          <w:p w14:paraId="30C2275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581" w:type="dxa"/>
            <w:tcBorders>
              <w:bottom w:val="single" w:sz="6" w:space="0" w:color="auto"/>
            </w:tcBorders>
          </w:tcPr>
          <w:p w14:paraId="236BA46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798" w:type="dxa"/>
            <w:tcBorders>
              <w:bottom w:val="single" w:sz="6" w:space="0" w:color="auto"/>
            </w:tcBorders>
          </w:tcPr>
          <w:p w14:paraId="738F94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(84)</w:t>
            </w:r>
          </w:p>
        </w:tc>
        <w:tc>
          <w:tcPr>
            <w:tcW w:w="1162" w:type="dxa"/>
            <w:tcBorders>
              <w:bottom w:val="single" w:sz="6" w:space="0" w:color="auto"/>
            </w:tcBorders>
          </w:tcPr>
          <w:p w14:paraId="6630C31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(56)</w:t>
            </w:r>
          </w:p>
        </w:tc>
        <w:tc>
          <w:tcPr>
            <w:tcW w:w="911" w:type="dxa"/>
            <w:tcBorders>
              <w:bottom w:val="single" w:sz="6" w:space="0" w:color="auto"/>
            </w:tcBorders>
          </w:tcPr>
          <w:p w14:paraId="77B9450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4 915</w:t>
            </w:r>
          </w:p>
        </w:tc>
      </w:tr>
      <w:tr w:rsidR="009D33A8" w14:paraId="6C71E502"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75CE0FDC" w14:textId="77777777" w:rsidR="009D33A8" w:rsidRDefault="009D33A8">
            <w:pPr>
              <w:spacing w:after="0"/>
            </w:pPr>
            <w:r>
              <w:rPr>
                <w:b/>
                <w:sz w:val="16"/>
              </w:rPr>
              <w:t>Total</w:t>
            </w:r>
          </w:p>
        </w:tc>
        <w:tc>
          <w:tcPr>
            <w:tcW w:w="784" w:type="dxa"/>
            <w:tcBorders>
              <w:top w:val="single" w:sz="6" w:space="0" w:color="auto"/>
              <w:bottom w:val="single" w:sz="12" w:space="0" w:color="auto"/>
            </w:tcBorders>
          </w:tcPr>
          <w:p w14:paraId="7D4356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224 927</w:t>
            </w:r>
          </w:p>
        </w:tc>
        <w:tc>
          <w:tcPr>
            <w:tcW w:w="1008" w:type="dxa"/>
            <w:tcBorders>
              <w:top w:val="single" w:sz="6" w:space="0" w:color="auto"/>
              <w:bottom w:val="single" w:sz="12" w:space="0" w:color="auto"/>
            </w:tcBorders>
          </w:tcPr>
          <w:p w14:paraId="1B6C3F3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(4 853)</w:t>
            </w:r>
          </w:p>
        </w:tc>
        <w:tc>
          <w:tcPr>
            <w:tcW w:w="923" w:type="dxa"/>
            <w:tcBorders>
              <w:top w:val="single" w:sz="6" w:space="0" w:color="auto"/>
              <w:bottom w:val="single" w:sz="12" w:space="0" w:color="auto"/>
            </w:tcBorders>
          </w:tcPr>
          <w:p w14:paraId="22C2C43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(67)</w:t>
            </w:r>
          </w:p>
        </w:tc>
        <w:tc>
          <w:tcPr>
            <w:tcW w:w="1092" w:type="dxa"/>
            <w:tcBorders>
              <w:top w:val="single" w:sz="6" w:space="0" w:color="auto"/>
              <w:bottom w:val="single" w:sz="12" w:space="0" w:color="auto"/>
            </w:tcBorders>
          </w:tcPr>
          <w:p w14:paraId="24EEC05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146</w:t>
            </w:r>
          </w:p>
        </w:tc>
        <w:tc>
          <w:tcPr>
            <w:tcW w:w="924" w:type="dxa"/>
            <w:tcBorders>
              <w:top w:val="single" w:sz="6" w:space="0" w:color="auto"/>
              <w:bottom w:val="single" w:sz="12" w:space="0" w:color="auto"/>
            </w:tcBorders>
          </w:tcPr>
          <w:p w14:paraId="76555FD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8 999</w:t>
            </w:r>
          </w:p>
        </w:tc>
        <w:tc>
          <w:tcPr>
            <w:tcW w:w="1050" w:type="dxa"/>
            <w:tcBorders>
              <w:top w:val="single" w:sz="6" w:space="0" w:color="auto"/>
              <w:bottom w:val="single" w:sz="12" w:space="0" w:color="auto"/>
            </w:tcBorders>
          </w:tcPr>
          <w:p w14:paraId="444B52B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5 921</w:t>
            </w:r>
          </w:p>
        </w:tc>
        <w:tc>
          <w:tcPr>
            <w:tcW w:w="1274" w:type="dxa"/>
            <w:tcBorders>
              <w:top w:val="single" w:sz="6" w:space="0" w:color="auto"/>
              <w:bottom w:val="single" w:sz="12" w:space="0" w:color="auto"/>
            </w:tcBorders>
          </w:tcPr>
          <w:p w14:paraId="18B1F20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3 209</w:t>
            </w:r>
          </w:p>
        </w:tc>
        <w:tc>
          <w:tcPr>
            <w:tcW w:w="1581" w:type="dxa"/>
            <w:tcBorders>
              <w:top w:val="single" w:sz="6" w:space="0" w:color="auto"/>
              <w:bottom w:val="single" w:sz="12" w:space="0" w:color="auto"/>
            </w:tcBorders>
          </w:tcPr>
          <w:p w14:paraId="7D9DE5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(35)</w:t>
            </w:r>
          </w:p>
        </w:tc>
        <w:tc>
          <w:tcPr>
            <w:tcW w:w="798" w:type="dxa"/>
            <w:tcBorders>
              <w:top w:val="single" w:sz="6" w:space="0" w:color="auto"/>
              <w:bottom w:val="single" w:sz="12" w:space="0" w:color="auto"/>
            </w:tcBorders>
          </w:tcPr>
          <w:p w14:paraId="2D8AC5E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(783)</w:t>
            </w:r>
          </w:p>
        </w:tc>
        <w:tc>
          <w:tcPr>
            <w:tcW w:w="1162" w:type="dxa"/>
            <w:tcBorders>
              <w:top w:val="single" w:sz="6" w:space="0" w:color="auto"/>
              <w:bottom w:val="single" w:sz="12" w:space="0" w:color="auto"/>
            </w:tcBorders>
          </w:tcPr>
          <w:p w14:paraId="3FD8400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406</w:t>
            </w:r>
          </w:p>
        </w:tc>
        <w:tc>
          <w:tcPr>
            <w:tcW w:w="911" w:type="dxa"/>
            <w:tcBorders>
              <w:top w:val="single" w:sz="6" w:space="0" w:color="auto"/>
              <w:bottom w:val="single" w:sz="12" w:space="0" w:color="auto"/>
            </w:tcBorders>
          </w:tcPr>
          <w:p w14:paraId="661C72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237 870</w:t>
            </w:r>
          </w:p>
        </w:tc>
      </w:tr>
    </w:tbl>
    <w:p w14:paraId="686B61AE" w14:textId="77777777" w:rsidR="009D33A8" w:rsidRDefault="009D33A8" w:rsidP="009D33A8"/>
    <w:tbl>
      <w:tblPr>
        <w:tblStyle w:val="DTFTableNumeric"/>
        <w:tblW w:w="14601"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Reconciliation_of_level_3_fair_value_movements_GG_PY"/>
      </w:tblPr>
      <w:tblGrid>
        <w:gridCol w:w="3094"/>
        <w:gridCol w:w="812"/>
        <w:gridCol w:w="994"/>
        <w:gridCol w:w="923"/>
        <w:gridCol w:w="1123"/>
        <w:gridCol w:w="851"/>
        <w:gridCol w:w="1078"/>
        <w:gridCol w:w="1274"/>
        <w:gridCol w:w="1581"/>
        <w:gridCol w:w="798"/>
        <w:gridCol w:w="1162"/>
        <w:gridCol w:w="911"/>
      </w:tblGrid>
      <w:tr w:rsidR="009132A6" w14:paraId="44E0FF9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4" w:type="dxa"/>
          </w:tcPr>
          <w:p w14:paraId="7A8F3609" w14:textId="77777777" w:rsidR="009D33A8" w:rsidRDefault="009D33A8">
            <w:pPr>
              <w:keepNext/>
              <w:spacing w:after="0"/>
            </w:pPr>
            <w:r>
              <w:rPr>
                <w:sz w:val="16"/>
              </w:rPr>
              <w:t>2024</w:t>
            </w:r>
          </w:p>
        </w:tc>
        <w:tc>
          <w:tcPr>
            <w:tcW w:w="812" w:type="dxa"/>
          </w:tcPr>
          <w:p w14:paraId="6318F1B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94" w:type="dxa"/>
          </w:tcPr>
          <w:p w14:paraId="4EFD58B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23" w:type="dxa"/>
          </w:tcPr>
          <w:p w14:paraId="68421609"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123" w:type="dxa"/>
          </w:tcPr>
          <w:p w14:paraId="4A544D2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851" w:type="dxa"/>
          </w:tcPr>
          <w:p w14:paraId="1F1FE07A"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078" w:type="dxa"/>
          </w:tcPr>
          <w:p w14:paraId="24F37AF8"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274" w:type="dxa"/>
          </w:tcPr>
          <w:p w14:paraId="2BC13CFC"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581" w:type="dxa"/>
          </w:tcPr>
          <w:p w14:paraId="2F4D4E90"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798" w:type="dxa"/>
          </w:tcPr>
          <w:p w14:paraId="43CBBAEF"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1162" w:type="dxa"/>
          </w:tcPr>
          <w:p w14:paraId="79CF4DB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c>
          <w:tcPr>
            <w:tcW w:w="911" w:type="dxa"/>
          </w:tcPr>
          <w:p w14:paraId="20E679F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p>
        </w:tc>
      </w:tr>
      <w:tr w:rsidR="009D33A8" w14:paraId="1587BC47" w14:textId="77777777">
        <w:tc>
          <w:tcPr>
            <w:cnfStyle w:val="001000000000" w:firstRow="0" w:lastRow="0" w:firstColumn="1" w:lastColumn="0" w:oddVBand="0" w:evenVBand="0" w:oddHBand="0" w:evenHBand="0" w:firstRowFirstColumn="0" w:firstRowLastColumn="0" w:lastRowFirstColumn="0" w:lastRowLastColumn="0"/>
            <w:tcW w:w="3094" w:type="dxa"/>
          </w:tcPr>
          <w:p w14:paraId="06B968E5" w14:textId="77777777" w:rsidR="009D33A8" w:rsidRDefault="009D33A8">
            <w:pPr>
              <w:spacing w:after="0"/>
            </w:pPr>
            <w:r>
              <w:rPr>
                <w:b/>
                <w:sz w:val="16"/>
              </w:rPr>
              <w:t>Buildings</w:t>
            </w:r>
          </w:p>
        </w:tc>
        <w:tc>
          <w:tcPr>
            <w:tcW w:w="812" w:type="dxa"/>
          </w:tcPr>
          <w:p w14:paraId="11F9DF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49 311</w:t>
            </w:r>
          </w:p>
        </w:tc>
        <w:tc>
          <w:tcPr>
            <w:tcW w:w="994" w:type="dxa"/>
          </w:tcPr>
          <w:p w14:paraId="39FC2D7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(2 230)</w:t>
            </w:r>
          </w:p>
        </w:tc>
        <w:tc>
          <w:tcPr>
            <w:tcW w:w="923" w:type="dxa"/>
          </w:tcPr>
          <w:p w14:paraId="1A68E6C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w:t>
            </w:r>
          </w:p>
        </w:tc>
        <w:tc>
          <w:tcPr>
            <w:tcW w:w="1123" w:type="dxa"/>
          </w:tcPr>
          <w:p w14:paraId="456B25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100</w:t>
            </w:r>
          </w:p>
        </w:tc>
        <w:tc>
          <w:tcPr>
            <w:tcW w:w="851" w:type="dxa"/>
          </w:tcPr>
          <w:p w14:paraId="3A8F858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6 948</w:t>
            </w:r>
          </w:p>
        </w:tc>
        <w:tc>
          <w:tcPr>
            <w:tcW w:w="1078" w:type="dxa"/>
          </w:tcPr>
          <w:p w14:paraId="2F0359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2 565</w:t>
            </w:r>
          </w:p>
        </w:tc>
        <w:tc>
          <w:tcPr>
            <w:tcW w:w="1274" w:type="dxa"/>
          </w:tcPr>
          <w:p w14:paraId="2E9D9B8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629</w:t>
            </w:r>
          </w:p>
        </w:tc>
        <w:tc>
          <w:tcPr>
            <w:tcW w:w="1581" w:type="dxa"/>
          </w:tcPr>
          <w:p w14:paraId="6F659B3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798" w:type="dxa"/>
          </w:tcPr>
          <w:p w14:paraId="28002D6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306</w:t>
            </w:r>
          </w:p>
        </w:tc>
        <w:tc>
          <w:tcPr>
            <w:tcW w:w="1162" w:type="dxa"/>
          </w:tcPr>
          <w:p w14:paraId="29DB7B1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80</w:t>
            </w:r>
          </w:p>
        </w:tc>
        <w:tc>
          <w:tcPr>
            <w:tcW w:w="911" w:type="dxa"/>
          </w:tcPr>
          <w:p w14:paraId="640E596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57 704</w:t>
            </w:r>
          </w:p>
        </w:tc>
      </w:tr>
      <w:tr w:rsidR="009D33A8" w14:paraId="3B91797E" w14:textId="77777777">
        <w:tc>
          <w:tcPr>
            <w:cnfStyle w:val="001000000000" w:firstRow="0" w:lastRow="0" w:firstColumn="1" w:lastColumn="0" w:oddVBand="0" w:evenVBand="0" w:oddHBand="0" w:evenHBand="0" w:firstRowFirstColumn="0" w:firstRowLastColumn="0" w:lastRowFirstColumn="0" w:lastRowLastColumn="0"/>
            <w:tcW w:w="3094" w:type="dxa"/>
          </w:tcPr>
          <w:p w14:paraId="134EA1B3" w14:textId="77777777" w:rsidR="009D33A8" w:rsidRDefault="009D33A8">
            <w:pPr>
              <w:spacing w:after="0"/>
            </w:pPr>
            <w:r>
              <w:rPr>
                <w:b/>
                <w:sz w:val="16"/>
              </w:rPr>
              <w:t>Land and national parks</w:t>
            </w:r>
          </w:p>
        </w:tc>
        <w:tc>
          <w:tcPr>
            <w:tcW w:w="812" w:type="dxa"/>
          </w:tcPr>
          <w:p w14:paraId="4A9E027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91 364</w:t>
            </w:r>
          </w:p>
        </w:tc>
        <w:tc>
          <w:tcPr>
            <w:tcW w:w="994" w:type="dxa"/>
          </w:tcPr>
          <w:p w14:paraId="2AD0FF5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923" w:type="dxa"/>
          </w:tcPr>
          <w:p w14:paraId="2EE0BFB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(28)</w:t>
            </w:r>
          </w:p>
        </w:tc>
        <w:tc>
          <w:tcPr>
            <w:tcW w:w="1123" w:type="dxa"/>
          </w:tcPr>
          <w:p w14:paraId="7F26B24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851" w:type="dxa"/>
          </w:tcPr>
          <w:p w14:paraId="0A924AD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70</w:t>
            </w:r>
          </w:p>
        </w:tc>
        <w:tc>
          <w:tcPr>
            <w:tcW w:w="1078" w:type="dxa"/>
          </w:tcPr>
          <w:p w14:paraId="294E46D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197</w:t>
            </w:r>
          </w:p>
        </w:tc>
        <w:tc>
          <w:tcPr>
            <w:tcW w:w="1274" w:type="dxa"/>
          </w:tcPr>
          <w:p w14:paraId="3AFF8D8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25</w:t>
            </w:r>
          </w:p>
        </w:tc>
        <w:tc>
          <w:tcPr>
            <w:tcW w:w="1581" w:type="dxa"/>
          </w:tcPr>
          <w:p w14:paraId="78E63AF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(11)</w:t>
            </w:r>
          </w:p>
        </w:tc>
        <w:tc>
          <w:tcPr>
            <w:tcW w:w="798" w:type="dxa"/>
          </w:tcPr>
          <w:p w14:paraId="33708F9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(94)</w:t>
            </w:r>
          </w:p>
        </w:tc>
        <w:tc>
          <w:tcPr>
            <w:tcW w:w="1162" w:type="dxa"/>
          </w:tcPr>
          <w:p w14:paraId="00414B8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29</w:t>
            </w:r>
          </w:p>
        </w:tc>
        <w:tc>
          <w:tcPr>
            <w:tcW w:w="911" w:type="dxa"/>
          </w:tcPr>
          <w:p w14:paraId="63FB524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91 546</w:t>
            </w:r>
          </w:p>
        </w:tc>
      </w:tr>
      <w:tr w:rsidR="009D33A8" w14:paraId="48F20E12" w14:textId="77777777">
        <w:tc>
          <w:tcPr>
            <w:cnfStyle w:val="001000000000" w:firstRow="0" w:lastRow="0" w:firstColumn="1" w:lastColumn="0" w:oddVBand="0" w:evenVBand="0" w:oddHBand="0" w:evenHBand="0" w:firstRowFirstColumn="0" w:firstRowLastColumn="0" w:lastRowFirstColumn="0" w:lastRowLastColumn="0"/>
            <w:tcW w:w="3094" w:type="dxa"/>
          </w:tcPr>
          <w:p w14:paraId="56EEA200" w14:textId="77777777" w:rsidR="009D33A8" w:rsidRDefault="009D33A8">
            <w:pPr>
              <w:spacing w:after="0"/>
            </w:pPr>
            <w:r>
              <w:rPr>
                <w:b/>
                <w:sz w:val="16"/>
              </w:rPr>
              <w:t>Plant, equipment, vehicles and infrastructure systems</w:t>
            </w:r>
          </w:p>
        </w:tc>
        <w:tc>
          <w:tcPr>
            <w:tcW w:w="812" w:type="dxa"/>
          </w:tcPr>
          <w:p w14:paraId="1BC9C1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14 679</w:t>
            </w:r>
          </w:p>
        </w:tc>
        <w:tc>
          <w:tcPr>
            <w:tcW w:w="994" w:type="dxa"/>
          </w:tcPr>
          <w:p w14:paraId="2621787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(902)</w:t>
            </w:r>
          </w:p>
        </w:tc>
        <w:tc>
          <w:tcPr>
            <w:tcW w:w="923" w:type="dxa"/>
          </w:tcPr>
          <w:p w14:paraId="6D173F2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1123" w:type="dxa"/>
          </w:tcPr>
          <w:p w14:paraId="2FDD9CE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37</w:t>
            </w:r>
          </w:p>
        </w:tc>
        <w:tc>
          <w:tcPr>
            <w:tcW w:w="851" w:type="dxa"/>
          </w:tcPr>
          <w:p w14:paraId="63D9CB9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130</w:t>
            </w:r>
          </w:p>
        </w:tc>
        <w:tc>
          <w:tcPr>
            <w:tcW w:w="1078" w:type="dxa"/>
          </w:tcPr>
          <w:p w14:paraId="3564797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3 360</w:t>
            </w:r>
          </w:p>
        </w:tc>
        <w:tc>
          <w:tcPr>
            <w:tcW w:w="1274" w:type="dxa"/>
          </w:tcPr>
          <w:p w14:paraId="6A94654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199</w:t>
            </w:r>
          </w:p>
        </w:tc>
        <w:tc>
          <w:tcPr>
            <w:tcW w:w="1581" w:type="dxa"/>
          </w:tcPr>
          <w:p w14:paraId="59FE449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(225)</w:t>
            </w:r>
          </w:p>
        </w:tc>
        <w:tc>
          <w:tcPr>
            <w:tcW w:w="798" w:type="dxa"/>
          </w:tcPr>
          <w:p w14:paraId="0A9A08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(1 052)</w:t>
            </w:r>
          </w:p>
        </w:tc>
        <w:tc>
          <w:tcPr>
            <w:tcW w:w="1162" w:type="dxa"/>
          </w:tcPr>
          <w:p w14:paraId="5249F60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(103)</w:t>
            </w:r>
          </w:p>
        </w:tc>
        <w:tc>
          <w:tcPr>
            <w:tcW w:w="911" w:type="dxa"/>
          </w:tcPr>
          <w:p w14:paraId="7A7080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16 120</w:t>
            </w:r>
          </w:p>
        </w:tc>
      </w:tr>
      <w:tr w:rsidR="009D33A8" w14:paraId="57E5F728" w14:textId="77777777">
        <w:tc>
          <w:tcPr>
            <w:cnfStyle w:val="001000000000" w:firstRow="0" w:lastRow="0" w:firstColumn="1" w:lastColumn="0" w:oddVBand="0" w:evenVBand="0" w:oddHBand="0" w:evenHBand="0" w:firstRowFirstColumn="0" w:firstRowLastColumn="0" w:lastRowFirstColumn="0" w:lastRowLastColumn="0"/>
            <w:tcW w:w="3094" w:type="dxa"/>
          </w:tcPr>
          <w:p w14:paraId="0912AC92" w14:textId="77777777" w:rsidR="009D33A8" w:rsidRDefault="009D33A8">
            <w:pPr>
              <w:spacing w:after="0"/>
            </w:pPr>
            <w:r>
              <w:rPr>
                <w:sz w:val="16"/>
              </w:rPr>
              <w:t xml:space="preserve">   Infrastructure systems</w:t>
            </w:r>
          </w:p>
        </w:tc>
        <w:tc>
          <w:tcPr>
            <w:tcW w:w="812" w:type="dxa"/>
          </w:tcPr>
          <w:p w14:paraId="2C73235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9 846</w:t>
            </w:r>
          </w:p>
        </w:tc>
        <w:tc>
          <w:tcPr>
            <w:tcW w:w="994" w:type="dxa"/>
          </w:tcPr>
          <w:p w14:paraId="581EE92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(54)</w:t>
            </w:r>
          </w:p>
        </w:tc>
        <w:tc>
          <w:tcPr>
            <w:tcW w:w="923" w:type="dxa"/>
          </w:tcPr>
          <w:p w14:paraId="34E3CB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23" w:type="dxa"/>
          </w:tcPr>
          <w:p w14:paraId="21F2511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w:t>
            </w:r>
          </w:p>
        </w:tc>
        <w:tc>
          <w:tcPr>
            <w:tcW w:w="851" w:type="dxa"/>
          </w:tcPr>
          <w:p w14:paraId="681D10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131</w:t>
            </w:r>
          </w:p>
        </w:tc>
        <w:tc>
          <w:tcPr>
            <w:tcW w:w="1078" w:type="dxa"/>
          </w:tcPr>
          <w:p w14:paraId="3DFEC8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2 117</w:t>
            </w:r>
          </w:p>
        </w:tc>
        <w:tc>
          <w:tcPr>
            <w:tcW w:w="1274" w:type="dxa"/>
          </w:tcPr>
          <w:p w14:paraId="72674BE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66</w:t>
            </w:r>
          </w:p>
        </w:tc>
        <w:tc>
          <w:tcPr>
            <w:tcW w:w="1581" w:type="dxa"/>
          </w:tcPr>
          <w:p w14:paraId="7FD7CF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(2)</w:t>
            </w:r>
          </w:p>
        </w:tc>
        <w:tc>
          <w:tcPr>
            <w:tcW w:w="798" w:type="dxa"/>
          </w:tcPr>
          <w:p w14:paraId="1550D6C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162" w:type="dxa"/>
          </w:tcPr>
          <w:p w14:paraId="594C20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911" w:type="dxa"/>
          </w:tcPr>
          <w:p w14:paraId="5883EB4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12 106</w:t>
            </w:r>
          </w:p>
        </w:tc>
      </w:tr>
      <w:tr w:rsidR="009D33A8" w14:paraId="2818C5C3" w14:textId="77777777">
        <w:tc>
          <w:tcPr>
            <w:cnfStyle w:val="001000000000" w:firstRow="0" w:lastRow="0" w:firstColumn="1" w:lastColumn="0" w:oddVBand="0" w:evenVBand="0" w:oddHBand="0" w:evenHBand="0" w:firstRowFirstColumn="0" w:firstRowLastColumn="0" w:lastRowFirstColumn="0" w:lastRowLastColumn="0"/>
            <w:tcW w:w="3094" w:type="dxa"/>
          </w:tcPr>
          <w:p w14:paraId="2C4796BE" w14:textId="77777777" w:rsidR="009D33A8" w:rsidRDefault="009D33A8">
            <w:pPr>
              <w:spacing w:after="0"/>
            </w:pPr>
            <w:r>
              <w:rPr>
                <w:sz w:val="16"/>
              </w:rPr>
              <w:t xml:space="preserve">   Plant, equipment and vehicles</w:t>
            </w:r>
          </w:p>
        </w:tc>
        <w:tc>
          <w:tcPr>
            <w:tcW w:w="812" w:type="dxa"/>
          </w:tcPr>
          <w:p w14:paraId="516ECF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4 833</w:t>
            </w:r>
          </w:p>
        </w:tc>
        <w:tc>
          <w:tcPr>
            <w:tcW w:w="994" w:type="dxa"/>
          </w:tcPr>
          <w:p w14:paraId="2316028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(849)</w:t>
            </w:r>
          </w:p>
        </w:tc>
        <w:tc>
          <w:tcPr>
            <w:tcW w:w="923" w:type="dxa"/>
          </w:tcPr>
          <w:p w14:paraId="1E6C6D9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w:t>
            </w:r>
          </w:p>
        </w:tc>
        <w:tc>
          <w:tcPr>
            <w:tcW w:w="1123" w:type="dxa"/>
          </w:tcPr>
          <w:p w14:paraId="40B4B3D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36</w:t>
            </w:r>
          </w:p>
        </w:tc>
        <w:tc>
          <w:tcPr>
            <w:tcW w:w="851" w:type="dxa"/>
          </w:tcPr>
          <w:p w14:paraId="6F64EAB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1078" w:type="dxa"/>
          </w:tcPr>
          <w:p w14:paraId="0D8E637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1 242</w:t>
            </w:r>
          </w:p>
        </w:tc>
        <w:tc>
          <w:tcPr>
            <w:tcW w:w="1274" w:type="dxa"/>
          </w:tcPr>
          <w:p w14:paraId="2A8AFA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133</w:t>
            </w:r>
          </w:p>
        </w:tc>
        <w:tc>
          <w:tcPr>
            <w:tcW w:w="1581" w:type="dxa"/>
          </w:tcPr>
          <w:p w14:paraId="30C7BFD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w:t>
            </w:r>
          </w:p>
        </w:tc>
        <w:tc>
          <w:tcPr>
            <w:tcW w:w="798" w:type="dxa"/>
          </w:tcPr>
          <w:p w14:paraId="7A16773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(1 052)</w:t>
            </w:r>
          </w:p>
        </w:tc>
        <w:tc>
          <w:tcPr>
            <w:tcW w:w="1162" w:type="dxa"/>
          </w:tcPr>
          <w:p w14:paraId="4AE92F7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(326)</w:t>
            </w:r>
          </w:p>
        </w:tc>
        <w:tc>
          <w:tcPr>
            <w:tcW w:w="911" w:type="dxa"/>
          </w:tcPr>
          <w:p w14:paraId="6ECF771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sz w:val="16"/>
              </w:rPr>
              <w:t>4 014</w:t>
            </w:r>
          </w:p>
        </w:tc>
      </w:tr>
      <w:tr w:rsidR="009D33A8" w14:paraId="1C4046BF" w14:textId="77777777">
        <w:tc>
          <w:tcPr>
            <w:cnfStyle w:val="001000000000" w:firstRow="0" w:lastRow="0" w:firstColumn="1" w:lastColumn="0" w:oddVBand="0" w:evenVBand="0" w:oddHBand="0" w:evenHBand="0" w:firstRowFirstColumn="0" w:firstRowLastColumn="0" w:lastRowFirstColumn="0" w:lastRowLastColumn="0"/>
            <w:tcW w:w="3094" w:type="dxa"/>
          </w:tcPr>
          <w:p w14:paraId="59678EFF" w14:textId="77777777" w:rsidR="009D33A8" w:rsidRDefault="009D33A8">
            <w:pPr>
              <w:spacing w:after="0"/>
            </w:pPr>
            <w:r>
              <w:rPr>
                <w:b/>
                <w:sz w:val="16"/>
              </w:rPr>
              <w:t>Roads, road infrastructure and earthworks</w:t>
            </w:r>
          </w:p>
        </w:tc>
        <w:tc>
          <w:tcPr>
            <w:tcW w:w="812" w:type="dxa"/>
          </w:tcPr>
          <w:p w14:paraId="74E5BF9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53 671</w:t>
            </w:r>
          </w:p>
        </w:tc>
        <w:tc>
          <w:tcPr>
            <w:tcW w:w="994" w:type="dxa"/>
          </w:tcPr>
          <w:p w14:paraId="2CF35CA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(1 124)</w:t>
            </w:r>
          </w:p>
        </w:tc>
        <w:tc>
          <w:tcPr>
            <w:tcW w:w="923" w:type="dxa"/>
          </w:tcPr>
          <w:p w14:paraId="0F36E61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23" w:type="dxa"/>
          </w:tcPr>
          <w:p w14:paraId="48269F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851" w:type="dxa"/>
          </w:tcPr>
          <w:p w14:paraId="0CCC8CC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287</w:t>
            </w:r>
          </w:p>
        </w:tc>
        <w:tc>
          <w:tcPr>
            <w:tcW w:w="1078" w:type="dxa"/>
          </w:tcPr>
          <w:p w14:paraId="1E4289D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1 234</w:t>
            </w:r>
          </w:p>
        </w:tc>
        <w:tc>
          <w:tcPr>
            <w:tcW w:w="1274" w:type="dxa"/>
          </w:tcPr>
          <w:p w14:paraId="79ADB54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1 141</w:t>
            </w:r>
          </w:p>
        </w:tc>
        <w:tc>
          <w:tcPr>
            <w:tcW w:w="1581" w:type="dxa"/>
          </w:tcPr>
          <w:p w14:paraId="1810079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w:t>
            </w:r>
          </w:p>
        </w:tc>
        <w:tc>
          <w:tcPr>
            <w:tcW w:w="798" w:type="dxa"/>
          </w:tcPr>
          <w:p w14:paraId="39FEDD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Pr>
          <w:p w14:paraId="01874E7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911" w:type="dxa"/>
          </w:tcPr>
          <w:p w14:paraId="3ED8BF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55 208</w:t>
            </w:r>
          </w:p>
        </w:tc>
      </w:tr>
      <w:tr w:rsidR="009D33A8" w14:paraId="1CFB8CD8" w14:textId="77777777">
        <w:tc>
          <w:tcPr>
            <w:cnfStyle w:val="001000000000" w:firstRow="0" w:lastRow="0" w:firstColumn="1" w:lastColumn="0" w:oddVBand="0" w:evenVBand="0" w:oddHBand="0" w:evenHBand="0" w:firstRowFirstColumn="0" w:firstRowLastColumn="0" w:lastRowFirstColumn="0" w:lastRowLastColumn="0"/>
            <w:tcW w:w="3094" w:type="dxa"/>
            <w:tcBorders>
              <w:bottom w:val="single" w:sz="6" w:space="0" w:color="auto"/>
            </w:tcBorders>
          </w:tcPr>
          <w:p w14:paraId="68E6DC36" w14:textId="77777777" w:rsidR="009D33A8" w:rsidRDefault="009D33A8">
            <w:pPr>
              <w:spacing w:after="0"/>
            </w:pPr>
            <w:r>
              <w:rPr>
                <w:b/>
                <w:sz w:val="16"/>
              </w:rPr>
              <w:t>Cultural assets</w:t>
            </w:r>
          </w:p>
        </w:tc>
        <w:tc>
          <w:tcPr>
            <w:tcW w:w="812" w:type="dxa"/>
            <w:tcBorders>
              <w:bottom w:val="single" w:sz="6" w:space="0" w:color="auto"/>
            </w:tcBorders>
          </w:tcPr>
          <w:p w14:paraId="7B9AE0C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4 329</w:t>
            </w:r>
          </w:p>
        </w:tc>
        <w:tc>
          <w:tcPr>
            <w:tcW w:w="994" w:type="dxa"/>
            <w:tcBorders>
              <w:bottom w:val="single" w:sz="6" w:space="0" w:color="auto"/>
            </w:tcBorders>
          </w:tcPr>
          <w:p w14:paraId="7FAD1D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(14)</w:t>
            </w:r>
          </w:p>
        </w:tc>
        <w:tc>
          <w:tcPr>
            <w:tcW w:w="923" w:type="dxa"/>
            <w:tcBorders>
              <w:bottom w:val="single" w:sz="6" w:space="0" w:color="auto"/>
            </w:tcBorders>
          </w:tcPr>
          <w:p w14:paraId="2F5102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23" w:type="dxa"/>
            <w:tcBorders>
              <w:bottom w:val="single" w:sz="6" w:space="0" w:color="auto"/>
            </w:tcBorders>
          </w:tcPr>
          <w:p w14:paraId="51C97F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35</w:t>
            </w:r>
          </w:p>
        </w:tc>
        <w:tc>
          <w:tcPr>
            <w:tcW w:w="851" w:type="dxa"/>
            <w:tcBorders>
              <w:bottom w:val="single" w:sz="6" w:space="0" w:color="auto"/>
            </w:tcBorders>
          </w:tcPr>
          <w:p w14:paraId="3A31E61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078" w:type="dxa"/>
            <w:tcBorders>
              <w:bottom w:val="single" w:sz="6" w:space="0" w:color="auto"/>
            </w:tcBorders>
          </w:tcPr>
          <w:p w14:paraId="2755708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w:t>
            </w:r>
          </w:p>
        </w:tc>
        <w:tc>
          <w:tcPr>
            <w:tcW w:w="1274" w:type="dxa"/>
            <w:tcBorders>
              <w:bottom w:val="single" w:sz="6" w:space="0" w:color="auto"/>
            </w:tcBorders>
          </w:tcPr>
          <w:p w14:paraId="13C9BE6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w:t>
            </w:r>
          </w:p>
        </w:tc>
        <w:tc>
          <w:tcPr>
            <w:tcW w:w="1581" w:type="dxa"/>
            <w:tcBorders>
              <w:bottom w:val="single" w:sz="6" w:space="0" w:color="auto"/>
            </w:tcBorders>
          </w:tcPr>
          <w:p w14:paraId="3D9A88C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798" w:type="dxa"/>
            <w:tcBorders>
              <w:bottom w:val="single" w:sz="6" w:space="0" w:color="auto"/>
            </w:tcBorders>
          </w:tcPr>
          <w:p w14:paraId="6C7F055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w:t>
            </w:r>
          </w:p>
        </w:tc>
        <w:tc>
          <w:tcPr>
            <w:tcW w:w="1162" w:type="dxa"/>
            <w:tcBorders>
              <w:bottom w:val="single" w:sz="6" w:space="0" w:color="auto"/>
            </w:tcBorders>
          </w:tcPr>
          <w:p w14:paraId="5FFC2D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(10)</w:t>
            </w:r>
          </w:p>
        </w:tc>
        <w:tc>
          <w:tcPr>
            <w:tcW w:w="911" w:type="dxa"/>
            <w:tcBorders>
              <w:bottom w:val="single" w:sz="6" w:space="0" w:color="auto"/>
            </w:tcBorders>
          </w:tcPr>
          <w:p w14:paraId="6872F3B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4 349</w:t>
            </w:r>
          </w:p>
        </w:tc>
      </w:tr>
      <w:tr w:rsidR="009D33A8" w14:paraId="183F3AEE" w14:textId="77777777">
        <w:tc>
          <w:tcPr>
            <w:cnfStyle w:val="001000000000" w:firstRow="0" w:lastRow="0" w:firstColumn="1" w:lastColumn="0" w:oddVBand="0" w:evenVBand="0" w:oddHBand="0" w:evenHBand="0" w:firstRowFirstColumn="0" w:firstRowLastColumn="0" w:lastRowFirstColumn="0" w:lastRowLastColumn="0"/>
            <w:tcW w:w="3094" w:type="dxa"/>
            <w:tcBorders>
              <w:top w:val="single" w:sz="6" w:space="0" w:color="auto"/>
              <w:bottom w:val="single" w:sz="12" w:space="0" w:color="auto"/>
            </w:tcBorders>
          </w:tcPr>
          <w:p w14:paraId="7956EF24" w14:textId="77777777" w:rsidR="009D33A8" w:rsidRDefault="009D33A8">
            <w:pPr>
              <w:spacing w:after="0"/>
            </w:pPr>
            <w:r>
              <w:rPr>
                <w:b/>
                <w:sz w:val="16"/>
              </w:rPr>
              <w:t>Total</w:t>
            </w:r>
          </w:p>
        </w:tc>
        <w:tc>
          <w:tcPr>
            <w:tcW w:w="812" w:type="dxa"/>
            <w:tcBorders>
              <w:top w:val="single" w:sz="6" w:space="0" w:color="auto"/>
              <w:bottom w:val="single" w:sz="12" w:space="0" w:color="auto"/>
            </w:tcBorders>
          </w:tcPr>
          <w:p w14:paraId="17212C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213 354</w:t>
            </w:r>
          </w:p>
        </w:tc>
        <w:tc>
          <w:tcPr>
            <w:tcW w:w="994" w:type="dxa"/>
            <w:tcBorders>
              <w:top w:val="single" w:sz="6" w:space="0" w:color="auto"/>
              <w:bottom w:val="single" w:sz="12" w:space="0" w:color="auto"/>
            </w:tcBorders>
          </w:tcPr>
          <w:p w14:paraId="6EB5A84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(4 277)</w:t>
            </w:r>
          </w:p>
        </w:tc>
        <w:tc>
          <w:tcPr>
            <w:tcW w:w="923" w:type="dxa"/>
            <w:tcBorders>
              <w:top w:val="single" w:sz="6" w:space="0" w:color="auto"/>
              <w:bottom w:val="single" w:sz="12" w:space="0" w:color="auto"/>
            </w:tcBorders>
          </w:tcPr>
          <w:p w14:paraId="4A05B4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(35)</w:t>
            </w:r>
          </w:p>
        </w:tc>
        <w:tc>
          <w:tcPr>
            <w:tcW w:w="1123" w:type="dxa"/>
            <w:tcBorders>
              <w:top w:val="single" w:sz="6" w:space="0" w:color="auto"/>
              <w:bottom w:val="single" w:sz="12" w:space="0" w:color="auto"/>
            </w:tcBorders>
          </w:tcPr>
          <w:p w14:paraId="57E3391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172</w:t>
            </w:r>
          </w:p>
        </w:tc>
        <w:tc>
          <w:tcPr>
            <w:tcW w:w="851" w:type="dxa"/>
            <w:tcBorders>
              <w:top w:val="single" w:sz="6" w:space="0" w:color="auto"/>
              <w:bottom w:val="single" w:sz="12" w:space="0" w:color="auto"/>
            </w:tcBorders>
          </w:tcPr>
          <w:p w14:paraId="431284B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7 436</w:t>
            </w:r>
          </w:p>
        </w:tc>
        <w:tc>
          <w:tcPr>
            <w:tcW w:w="1078" w:type="dxa"/>
            <w:tcBorders>
              <w:top w:val="single" w:sz="6" w:space="0" w:color="auto"/>
              <w:bottom w:val="single" w:sz="12" w:space="0" w:color="auto"/>
            </w:tcBorders>
          </w:tcPr>
          <w:p w14:paraId="387969D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7 363</w:t>
            </w:r>
          </w:p>
        </w:tc>
        <w:tc>
          <w:tcPr>
            <w:tcW w:w="1274" w:type="dxa"/>
            <w:tcBorders>
              <w:top w:val="single" w:sz="6" w:space="0" w:color="auto"/>
              <w:bottom w:val="single" w:sz="12" w:space="0" w:color="auto"/>
            </w:tcBorders>
          </w:tcPr>
          <w:p w14:paraId="24DF553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1 995</w:t>
            </w:r>
          </w:p>
        </w:tc>
        <w:tc>
          <w:tcPr>
            <w:tcW w:w="1581" w:type="dxa"/>
            <w:tcBorders>
              <w:top w:val="single" w:sz="6" w:space="0" w:color="auto"/>
              <w:bottom w:val="single" w:sz="12" w:space="0" w:color="auto"/>
            </w:tcBorders>
          </w:tcPr>
          <w:p w14:paraId="26D6256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(239)</w:t>
            </w:r>
          </w:p>
        </w:tc>
        <w:tc>
          <w:tcPr>
            <w:tcW w:w="798" w:type="dxa"/>
            <w:tcBorders>
              <w:top w:val="single" w:sz="6" w:space="0" w:color="auto"/>
              <w:bottom w:val="single" w:sz="12" w:space="0" w:color="auto"/>
            </w:tcBorders>
          </w:tcPr>
          <w:p w14:paraId="0066DB1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(840)</w:t>
            </w:r>
          </w:p>
        </w:tc>
        <w:tc>
          <w:tcPr>
            <w:tcW w:w="1162" w:type="dxa"/>
            <w:tcBorders>
              <w:top w:val="single" w:sz="6" w:space="0" w:color="auto"/>
              <w:bottom w:val="single" w:sz="12" w:space="0" w:color="auto"/>
            </w:tcBorders>
          </w:tcPr>
          <w:p w14:paraId="04F0751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w:t>
            </w:r>
          </w:p>
        </w:tc>
        <w:tc>
          <w:tcPr>
            <w:tcW w:w="911" w:type="dxa"/>
            <w:tcBorders>
              <w:top w:val="single" w:sz="6" w:space="0" w:color="auto"/>
              <w:bottom w:val="single" w:sz="12" w:space="0" w:color="auto"/>
            </w:tcBorders>
          </w:tcPr>
          <w:p w14:paraId="17C9153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sz w:val="16"/>
              </w:rPr>
              <w:t>224 927</w:t>
            </w:r>
          </w:p>
        </w:tc>
      </w:tr>
    </w:tbl>
    <w:p w14:paraId="4CC4713F" w14:textId="77777777" w:rsidR="009D33A8" w:rsidRDefault="009D33A8" w:rsidP="009D33A8">
      <w:pPr>
        <w:pStyle w:val="Note"/>
      </w:pPr>
    </w:p>
    <w:p w14:paraId="27396999" w14:textId="77777777" w:rsidR="009D33A8" w:rsidRPr="0092368A" w:rsidRDefault="009D33A8" w:rsidP="009D33A8">
      <w:pPr>
        <w:pStyle w:val="Note"/>
        <w:sectPr w:rsidR="009D33A8" w:rsidRPr="0092368A" w:rsidSect="009D33A8">
          <w:headerReference w:type="even" r:id="rId113"/>
          <w:headerReference w:type="default" r:id="rId114"/>
          <w:footerReference w:type="even" r:id="rId115"/>
          <w:footerReference w:type="default" r:id="rId116"/>
          <w:pgSz w:w="16839" w:h="11907" w:orient="landscape" w:code="9"/>
          <w:pgMar w:top="1134" w:right="1134" w:bottom="1134" w:left="1134" w:header="624" w:footer="567" w:gutter="0"/>
          <w:cols w:sep="1" w:space="567"/>
          <w:docGrid w:linePitch="360"/>
        </w:sectPr>
      </w:pPr>
    </w:p>
    <w:p w14:paraId="6094DD5C" w14:textId="77777777" w:rsidR="009D33A8" w:rsidRDefault="009D33A8" w:rsidP="00823C0E">
      <w:pPr>
        <w:pStyle w:val="Heading3"/>
        <w:spacing w:before="0"/>
        <w:ind w:left="0" w:firstLine="0"/>
      </w:pPr>
      <w:r>
        <w:lastRenderedPageBreak/>
        <w:t xml:space="preserve">Description of valuation techniques and significant </w:t>
      </w:r>
      <w:r>
        <w:br/>
        <w:t>unobservable inputs to Level 3 fair value measurements</w:t>
      </w:r>
    </w:p>
    <w:p w14:paraId="17DD3F02" w14:textId="77777777" w:rsidR="00823C0E" w:rsidRDefault="00823C0E" w:rsidP="009D33A8">
      <w:pPr>
        <w:sectPr w:rsidR="00823C0E" w:rsidSect="00330E10">
          <w:headerReference w:type="even" r:id="rId117"/>
          <w:headerReference w:type="default" r:id="rId118"/>
          <w:footerReference w:type="even" r:id="rId119"/>
          <w:footerReference w:type="default" r:id="rId120"/>
          <w:pgSz w:w="11906" w:h="16838" w:code="9"/>
          <w:pgMar w:top="1134" w:right="1134" w:bottom="1134" w:left="1134" w:header="624" w:footer="567" w:gutter="0"/>
          <w:cols w:space="708"/>
          <w:docGrid w:linePitch="360"/>
        </w:sectPr>
      </w:pPr>
    </w:p>
    <w:p w14:paraId="49FCF6E7" w14:textId="77777777" w:rsidR="009D33A8" w:rsidRDefault="009D33A8" w:rsidP="009D33A8">
      <w:r>
        <w:t>The State measures all non-financial physical assets initially at cost and subsequently revalues the assets at fair value less accumulated depreciation and impairment. The disclosure below provides additional information about the Level 3 measurements (fair value measurements using significant unobservable inputs).</w:t>
      </w:r>
    </w:p>
    <w:p w14:paraId="0898C5A7" w14:textId="77777777" w:rsidR="009D33A8" w:rsidRDefault="009D33A8" w:rsidP="009D33A8">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67E340F4" w14:textId="77777777" w:rsidR="009D33A8" w:rsidRDefault="009D33A8" w:rsidP="009D33A8">
      <w:r>
        <w:t xml:space="preserve">Government entities designated as for profit in accordance with FRD 108 </w:t>
      </w:r>
      <w:r w:rsidRPr="009B6FE6">
        <w:rPr>
          <w:i/>
          <w:iCs/>
        </w:rPr>
        <w:t>Classification of entities as for profit</w:t>
      </w:r>
      <w:r>
        <w:t xml:space="preserve"> are considered to be primarily held to generate future net cash flows.</w:t>
      </w:r>
    </w:p>
    <w:p w14:paraId="143FADB4" w14:textId="77777777" w:rsidR="009D33A8" w:rsidRDefault="009D33A8" w:rsidP="009D33A8">
      <w:r>
        <w:t>The table below provides the respective fair value disclosures for not-for-profit and for-profit public sector entities. The disclosures reflect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significantly higher or lower valuation of the underlying asset.</w:t>
      </w:r>
    </w:p>
    <w:p w14:paraId="7C03ADA9" w14:textId="77777777" w:rsidR="00823C0E" w:rsidRDefault="00823C0E" w:rsidP="009D33A8">
      <w:pPr>
        <w:pStyle w:val="TableHeading"/>
      </w:pPr>
    </w:p>
    <w:p w14:paraId="1DC6FD34" w14:textId="77777777" w:rsidR="00823C0E" w:rsidRPr="00823C0E" w:rsidRDefault="00823C0E" w:rsidP="00823C0E">
      <w:pPr>
        <w:sectPr w:rsidR="00823C0E" w:rsidRPr="00823C0E" w:rsidSect="00823C0E">
          <w:type w:val="continuous"/>
          <w:pgSz w:w="11906" w:h="16838" w:code="9"/>
          <w:pgMar w:top="1134" w:right="1134" w:bottom="1134" w:left="1134" w:header="624" w:footer="567" w:gutter="0"/>
          <w:cols w:num="2" w:space="708"/>
          <w:docGrid w:linePitch="360"/>
        </w:sectPr>
      </w:pPr>
    </w:p>
    <w:p w14:paraId="4D6BA474" w14:textId="77777777" w:rsidR="00823C0E" w:rsidRDefault="00823C0E" w:rsidP="009D33A8">
      <w:pPr>
        <w:pStyle w:val="TableHeading"/>
      </w:pPr>
    </w:p>
    <w:p w14:paraId="69F79CCB" w14:textId="342A14C5" w:rsidR="009D33A8" w:rsidRPr="004E4B58" w:rsidRDefault="009D33A8" w:rsidP="009D33A8">
      <w:pPr>
        <w:pStyle w:val="TableHeading"/>
      </w:pPr>
      <w:r>
        <w:t>Fair value disclosure for assets held primarily for service potential</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Fair_value_disclosure_for_service_potential|DoNotUpdate:True"/>
      </w:tblPr>
      <w:tblGrid>
        <w:gridCol w:w="4111"/>
        <w:gridCol w:w="2693"/>
        <w:gridCol w:w="2834"/>
      </w:tblGrid>
      <w:tr w:rsidR="009D33A8" w14:paraId="214659D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5B46FFBF" w14:textId="77777777" w:rsidR="009D33A8" w:rsidRDefault="009D33A8">
            <w:pPr>
              <w:keepNext/>
            </w:pPr>
            <w:r>
              <w:t>Asset class</w:t>
            </w:r>
          </w:p>
        </w:tc>
        <w:tc>
          <w:tcPr>
            <w:tcW w:w="2693" w:type="dxa"/>
          </w:tcPr>
          <w:p w14:paraId="4DCE20B9"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834" w:type="dxa"/>
          </w:tcPr>
          <w:p w14:paraId="77CA26FB"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r>
      <w:tr w:rsidR="009D33A8" w14:paraId="5BDBC2EB" w14:textId="77777777">
        <w:tc>
          <w:tcPr>
            <w:cnfStyle w:val="001000000000" w:firstRow="0" w:lastRow="0" w:firstColumn="1" w:lastColumn="0" w:oddVBand="0" w:evenVBand="0" w:oddHBand="0" w:evenHBand="0" w:firstRowFirstColumn="0" w:firstRowLastColumn="0" w:lastRowFirstColumn="0" w:lastRowLastColumn="0"/>
            <w:tcW w:w="4111" w:type="dxa"/>
          </w:tcPr>
          <w:p w14:paraId="22F1E4FA" w14:textId="77777777" w:rsidR="009D33A8" w:rsidRDefault="009D33A8">
            <w:r>
              <w:rPr>
                <w:b/>
              </w:rPr>
              <w:t>Buildings</w:t>
            </w:r>
          </w:p>
        </w:tc>
        <w:tc>
          <w:tcPr>
            <w:tcW w:w="2693" w:type="dxa"/>
          </w:tcPr>
          <w:p w14:paraId="34EA0A1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1190C6F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 xml:space="preserve">Direct cost per square metre </w:t>
            </w:r>
          </w:p>
          <w:p w14:paraId="7A2E436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Useful life</w:t>
            </w:r>
          </w:p>
        </w:tc>
      </w:tr>
      <w:tr w:rsidR="009D33A8" w14:paraId="4484DAC5" w14:textId="77777777">
        <w:tc>
          <w:tcPr>
            <w:cnfStyle w:val="001000000000" w:firstRow="0" w:lastRow="0" w:firstColumn="1" w:lastColumn="0" w:oddVBand="0" w:evenVBand="0" w:oddHBand="0" w:evenHBand="0" w:firstRowFirstColumn="0" w:firstRowLastColumn="0" w:lastRowFirstColumn="0" w:lastRowLastColumn="0"/>
            <w:tcW w:w="4111" w:type="dxa"/>
          </w:tcPr>
          <w:p w14:paraId="18D193C1" w14:textId="77777777" w:rsidR="009D33A8" w:rsidRDefault="009D33A8">
            <w:r>
              <w:rPr>
                <w:b/>
              </w:rPr>
              <w:t>Land and national parks</w:t>
            </w:r>
          </w:p>
        </w:tc>
        <w:tc>
          <w:tcPr>
            <w:tcW w:w="2693" w:type="dxa"/>
          </w:tcPr>
          <w:p w14:paraId="3B1E198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Market approach</w:t>
            </w:r>
          </w:p>
        </w:tc>
        <w:tc>
          <w:tcPr>
            <w:tcW w:w="2834" w:type="dxa"/>
          </w:tcPr>
          <w:p w14:paraId="0CC6DFD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 xml:space="preserve">CSO adjustment </w:t>
            </w:r>
            <w:r w:rsidRPr="00EB6525">
              <w:rPr>
                <w:vertAlign w:val="superscript"/>
              </w:rPr>
              <w:t>(a)</w:t>
            </w:r>
          </w:p>
        </w:tc>
      </w:tr>
      <w:tr w:rsidR="009D33A8" w14:paraId="3B114412" w14:textId="77777777">
        <w:tc>
          <w:tcPr>
            <w:cnfStyle w:val="001000000000" w:firstRow="0" w:lastRow="0" w:firstColumn="1" w:lastColumn="0" w:oddVBand="0" w:evenVBand="0" w:oddHBand="0" w:evenHBand="0" w:firstRowFirstColumn="0" w:firstRowLastColumn="0" w:lastRowFirstColumn="0" w:lastRowLastColumn="0"/>
            <w:tcW w:w="4111" w:type="dxa"/>
          </w:tcPr>
          <w:p w14:paraId="37C997DA" w14:textId="77777777" w:rsidR="009D33A8" w:rsidRDefault="009D33A8">
            <w:r>
              <w:rPr>
                <w:b/>
              </w:rPr>
              <w:t xml:space="preserve">Plant, equipment, vehicles and infrastructure </w:t>
            </w:r>
          </w:p>
        </w:tc>
        <w:tc>
          <w:tcPr>
            <w:tcW w:w="2693" w:type="dxa"/>
          </w:tcPr>
          <w:p w14:paraId="4BD34955"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03B1122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349C4A53" w14:textId="77777777">
        <w:tc>
          <w:tcPr>
            <w:cnfStyle w:val="001000000000" w:firstRow="0" w:lastRow="0" w:firstColumn="1" w:lastColumn="0" w:oddVBand="0" w:evenVBand="0" w:oddHBand="0" w:evenHBand="0" w:firstRowFirstColumn="0" w:firstRowLastColumn="0" w:lastRowFirstColumn="0" w:lastRowLastColumn="0"/>
            <w:tcW w:w="4111" w:type="dxa"/>
          </w:tcPr>
          <w:p w14:paraId="206D3657" w14:textId="77777777" w:rsidR="009D33A8" w:rsidRDefault="009D33A8">
            <w:r>
              <w:t>Infrastructure and rolling stock</w:t>
            </w:r>
          </w:p>
        </w:tc>
        <w:tc>
          <w:tcPr>
            <w:tcW w:w="2693" w:type="dxa"/>
          </w:tcPr>
          <w:p w14:paraId="18CA6C3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28A748B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Cost:</w:t>
            </w:r>
            <w:r>
              <w:br/>
              <w:t xml:space="preserve">   per square metre</w:t>
            </w:r>
            <w:r>
              <w:br/>
              <w:t xml:space="preserve">   per unit</w:t>
            </w:r>
            <w:r>
              <w:br/>
              <w:t>Useful life</w:t>
            </w:r>
          </w:p>
        </w:tc>
      </w:tr>
      <w:tr w:rsidR="009D33A8" w14:paraId="290FE0AB" w14:textId="77777777">
        <w:tc>
          <w:tcPr>
            <w:cnfStyle w:val="001000000000" w:firstRow="0" w:lastRow="0" w:firstColumn="1" w:lastColumn="0" w:oddVBand="0" w:evenVBand="0" w:oddHBand="0" w:evenHBand="0" w:firstRowFirstColumn="0" w:firstRowLastColumn="0" w:lastRowFirstColumn="0" w:lastRowLastColumn="0"/>
            <w:tcW w:w="4111" w:type="dxa"/>
          </w:tcPr>
          <w:p w14:paraId="6ADC2971" w14:textId="77777777" w:rsidR="009D33A8" w:rsidRDefault="009D33A8">
            <w:r>
              <w:t>Plant, equipment and vehicles</w:t>
            </w:r>
          </w:p>
        </w:tc>
        <w:tc>
          <w:tcPr>
            <w:tcW w:w="2693" w:type="dxa"/>
          </w:tcPr>
          <w:p w14:paraId="1B2EC55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r>
              <w:br/>
            </w:r>
          </w:p>
        </w:tc>
        <w:tc>
          <w:tcPr>
            <w:tcW w:w="2834" w:type="dxa"/>
          </w:tcPr>
          <w:p w14:paraId="6C558D05"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Cost per unit</w:t>
            </w:r>
            <w:r>
              <w:br/>
              <w:t>Useful life</w:t>
            </w:r>
          </w:p>
        </w:tc>
      </w:tr>
      <w:tr w:rsidR="009D33A8" w14:paraId="4B16D443" w14:textId="77777777">
        <w:tc>
          <w:tcPr>
            <w:cnfStyle w:val="001000000000" w:firstRow="0" w:lastRow="0" w:firstColumn="1" w:lastColumn="0" w:oddVBand="0" w:evenVBand="0" w:oddHBand="0" w:evenHBand="0" w:firstRowFirstColumn="0" w:firstRowLastColumn="0" w:lastRowFirstColumn="0" w:lastRowLastColumn="0"/>
            <w:tcW w:w="4111" w:type="dxa"/>
          </w:tcPr>
          <w:p w14:paraId="612AD0AB" w14:textId="77777777" w:rsidR="009D33A8" w:rsidRDefault="009D33A8">
            <w:r>
              <w:rPr>
                <w:b/>
              </w:rPr>
              <w:t>Roads and roads infrastructure</w:t>
            </w:r>
          </w:p>
        </w:tc>
        <w:tc>
          <w:tcPr>
            <w:tcW w:w="2693" w:type="dxa"/>
          </w:tcPr>
          <w:p w14:paraId="4294141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45D3029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111F3620" w14:textId="77777777">
        <w:tc>
          <w:tcPr>
            <w:cnfStyle w:val="001000000000" w:firstRow="0" w:lastRow="0" w:firstColumn="1" w:lastColumn="0" w:oddVBand="0" w:evenVBand="0" w:oddHBand="0" w:evenHBand="0" w:firstRowFirstColumn="0" w:firstRowLastColumn="0" w:lastRowFirstColumn="0" w:lastRowLastColumn="0"/>
            <w:tcW w:w="4111" w:type="dxa"/>
          </w:tcPr>
          <w:p w14:paraId="45D9E8C7" w14:textId="77777777" w:rsidR="009D33A8" w:rsidRDefault="009D33A8">
            <w:r>
              <w:t>Roads and roads infrastructure</w:t>
            </w:r>
          </w:p>
        </w:tc>
        <w:tc>
          <w:tcPr>
            <w:tcW w:w="2693" w:type="dxa"/>
          </w:tcPr>
          <w:p w14:paraId="53C3FD5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20DB1E1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Cost per kilometre lane</w:t>
            </w:r>
          </w:p>
        </w:tc>
      </w:tr>
      <w:tr w:rsidR="009D33A8" w14:paraId="20F9924F" w14:textId="77777777">
        <w:tc>
          <w:tcPr>
            <w:cnfStyle w:val="001000000000" w:firstRow="0" w:lastRow="0" w:firstColumn="1" w:lastColumn="0" w:oddVBand="0" w:evenVBand="0" w:oddHBand="0" w:evenHBand="0" w:firstRowFirstColumn="0" w:firstRowLastColumn="0" w:lastRowFirstColumn="0" w:lastRowLastColumn="0"/>
            <w:tcW w:w="4111" w:type="dxa"/>
          </w:tcPr>
          <w:p w14:paraId="756C1934" w14:textId="77777777" w:rsidR="009D33A8" w:rsidRDefault="009D33A8">
            <w:r>
              <w:t>Earthworks</w:t>
            </w:r>
          </w:p>
        </w:tc>
        <w:tc>
          <w:tcPr>
            <w:tcW w:w="2693" w:type="dxa"/>
          </w:tcPr>
          <w:p w14:paraId="4F0FC6D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Pr>
          <w:p w14:paraId="2B4C162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Cost per kilometre</w:t>
            </w:r>
          </w:p>
        </w:tc>
      </w:tr>
      <w:tr w:rsidR="009D33A8" w14:paraId="6166FC59" w14:textId="77777777">
        <w:tc>
          <w:tcPr>
            <w:cnfStyle w:val="001000000000" w:firstRow="0" w:lastRow="0" w:firstColumn="1" w:lastColumn="0" w:oddVBand="0" w:evenVBand="0" w:oddHBand="0" w:evenHBand="0" w:firstRowFirstColumn="0" w:firstRowLastColumn="0" w:lastRowFirstColumn="0" w:lastRowLastColumn="0"/>
            <w:tcW w:w="4111" w:type="dxa"/>
          </w:tcPr>
          <w:p w14:paraId="216E9B85" w14:textId="77777777" w:rsidR="009D33A8" w:rsidRDefault="009D33A8">
            <w:r>
              <w:rPr>
                <w:b/>
              </w:rPr>
              <w:t>Cultural assets</w:t>
            </w:r>
          </w:p>
        </w:tc>
        <w:tc>
          <w:tcPr>
            <w:tcW w:w="2693" w:type="dxa"/>
          </w:tcPr>
          <w:p w14:paraId="2B51075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834" w:type="dxa"/>
          </w:tcPr>
          <w:p w14:paraId="5E93A67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3F3C6A90"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12" w:space="0" w:color="auto"/>
            </w:tcBorders>
          </w:tcPr>
          <w:p w14:paraId="46EBD499" w14:textId="77777777" w:rsidR="009D33A8" w:rsidRDefault="009D33A8">
            <w:r>
              <w:t>Cultural assets</w:t>
            </w:r>
          </w:p>
        </w:tc>
        <w:tc>
          <w:tcPr>
            <w:tcW w:w="2693" w:type="dxa"/>
            <w:tcBorders>
              <w:bottom w:val="single" w:sz="12" w:space="0" w:color="auto"/>
            </w:tcBorders>
          </w:tcPr>
          <w:p w14:paraId="6047CB7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834" w:type="dxa"/>
            <w:tcBorders>
              <w:bottom w:val="single" w:sz="12" w:space="0" w:color="auto"/>
            </w:tcBorders>
          </w:tcPr>
          <w:p w14:paraId="3D569FC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Unit of value by comparative basis</w:t>
            </w:r>
            <w:r>
              <w:br/>
              <w:t>Statistically verified random samples</w:t>
            </w:r>
          </w:p>
        </w:tc>
      </w:tr>
    </w:tbl>
    <w:p w14:paraId="0BD0E4EA" w14:textId="77777777" w:rsidR="009D33A8" w:rsidRDefault="009D33A8" w:rsidP="009D33A8">
      <w:pPr>
        <w:pStyle w:val="Note"/>
      </w:pPr>
      <w:r>
        <w:t>Note:</w:t>
      </w:r>
    </w:p>
    <w:p w14:paraId="67EAAD3D" w14:textId="3B8BDCC4" w:rsidR="009D33A8" w:rsidRDefault="009D33A8" w:rsidP="009D33A8">
      <w:pPr>
        <w:pStyle w:val="Note"/>
      </w:pPr>
      <w:r>
        <w:t xml:space="preserve">(a) </w:t>
      </w:r>
      <w:r>
        <w:tab/>
        <w:t>The CSO adjustment reflects the specialised nature of the asset being valued through a market approach. The CSO adjustment is a reflection of the valuer</w:t>
      </w:r>
      <w:r w:rsidR="00845934">
        <w:t>’</w:t>
      </w:r>
      <w:r>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3104DAE6" w14:textId="77777777" w:rsidR="009D33A8" w:rsidRDefault="009D33A8" w:rsidP="009D33A8">
      <w:pPr>
        <w:pStyle w:val="TableHeading"/>
        <w:pageBreakBefore/>
      </w:pPr>
      <w:r>
        <w:lastRenderedPageBreak/>
        <w:t xml:space="preserve">Fair value disclosure for assets held primarily for generating net cash inflows </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air Value and Reconciliation of NFA/Link_AFR_Fair_Value.xlsx|Table:Fair_value_disclosure_for_generating_net_cash_inflows|DoNotUpdate:True"/>
      </w:tblPr>
      <w:tblGrid>
        <w:gridCol w:w="2835"/>
        <w:gridCol w:w="2410"/>
        <w:gridCol w:w="2552"/>
        <w:gridCol w:w="1841"/>
      </w:tblGrid>
      <w:tr w:rsidR="009D33A8" w14:paraId="2380973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224E65F3" w14:textId="77777777" w:rsidR="009D33A8" w:rsidRDefault="009D33A8">
            <w:pPr>
              <w:keepNext/>
            </w:pPr>
            <w:r>
              <w:t>Asset class</w:t>
            </w:r>
          </w:p>
        </w:tc>
        <w:tc>
          <w:tcPr>
            <w:tcW w:w="2410" w:type="dxa"/>
          </w:tcPr>
          <w:p w14:paraId="34A9DE30"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Valuation technique</w:t>
            </w:r>
          </w:p>
        </w:tc>
        <w:tc>
          <w:tcPr>
            <w:tcW w:w="2552" w:type="dxa"/>
          </w:tcPr>
          <w:p w14:paraId="73BDB924"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Significant unobservable input</w:t>
            </w:r>
          </w:p>
        </w:tc>
        <w:tc>
          <w:tcPr>
            <w:tcW w:w="1841" w:type="dxa"/>
          </w:tcPr>
          <w:p w14:paraId="507494E3" w14:textId="77777777" w:rsidR="009D33A8" w:rsidRDefault="009D33A8">
            <w:pPr>
              <w:keepNext/>
              <w:jc w:val="both"/>
              <w:cnfStyle w:val="100000000000" w:firstRow="1" w:lastRow="0" w:firstColumn="0" w:lastColumn="0" w:oddVBand="0" w:evenVBand="0" w:oddHBand="0" w:evenHBand="0" w:firstRowFirstColumn="0" w:firstRowLastColumn="0" w:lastRowFirstColumn="0" w:lastRowLastColumn="0"/>
            </w:pPr>
            <w:r>
              <w:t>Range</w:t>
            </w:r>
          </w:p>
        </w:tc>
      </w:tr>
      <w:tr w:rsidR="009D33A8" w14:paraId="7688D10F" w14:textId="77777777">
        <w:tc>
          <w:tcPr>
            <w:cnfStyle w:val="001000000000" w:firstRow="0" w:lastRow="0" w:firstColumn="1" w:lastColumn="0" w:oddVBand="0" w:evenVBand="0" w:oddHBand="0" w:evenHBand="0" w:firstRowFirstColumn="0" w:firstRowLastColumn="0" w:lastRowFirstColumn="0" w:lastRowLastColumn="0"/>
            <w:tcW w:w="2835" w:type="dxa"/>
          </w:tcPr>
          <w:p w14:paraId="1735EF27" w14:textId="77777777" w:rsidR="009D33A8" w:rsidRDefault="009D33A8">
            <w:r>
              <w:rPr>
                <w:b/>
              </w:rPr>
              <w:t>Buildings</w:t>
            </w:r>
          </w:p>
        </w:tc>
        <w:tc>
          <w:tcPr>
            <w:tcW w:w="2410" w:type="dxa"/>
          </w:tcPr>
          <w:p w14:paraId="0B245A4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0CA8F91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4969AFC4" w14:textId="77777777" w:rsidR="009D33A8" w:rsidRDefault="009D33A8">
            <w:pPr>
              <w:jc w:val="both"/>
              <w:cnfStyle w:val="000000000000" w:firstRow="0" w:lastRow="0" w:firstColumn="0" w:lastColumn="0" w:oddVBand="0" w:evenVBand="0" w:oddHBand="0" w:evenHBand="0" w:firstRowFirstColumn="0" w:firstRowLastColumn="0" w:lastRowFirstColumn="0" w:lastRowLastColumn="0"/>
            </w:pPr>
          </w:p>
        </w:tc>
      </w:tr>
      <w:tr w:rsidR="009D33A8" w14:paraId="06C1AB96" w14:textId="77777777">
        <w:tc>
          <w:tcPr>
            <w:cnfStyle w:val="001000000000" w:firstRow="0" w:lastRow="0" w:firstColumn="1" w:lastColumn="0" w:oddVBand="0" w:evenVBand="0" w:oddHBand="0" w:evenHBand="0" w:firstRowFirstColumn="0" w:firstRowLastColumn="0" w:lastRowFirstColumn="0" w:lastRowLastColumn="0"/>
            <w:tcW w:w="2835" w:type="dxa"/>
          </w:tcPr>
          <w:p w14:paraId="79C92B00" w14:textId="77777777" w:rsidR="009D33A8" w:rsidRDefault="009D33A8">
            <w:r>
              <w:t>Metropolitan water corporations</w:t>
            </w:r>
          </w:p>
        </w:tc>
        <w:tc>
          <w:tcPr>
            <w:tcW w:w="2410" w:type="dxa"/>
          </w:tcPr>
          <w:p w14:paraId="3583974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Pr>
          <w:p w14:paraId="144EAD5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Direct cost per unit</w:t>
            </w:r>
            <w:r>
              <w:br/>
              <w:t>Direct cost per square metre</w:t>
            </w:r>
            <w:r>
              <w:br/>
              <w:t>Useful life</w:t>
            </w:r>
          </w:p>
        </w:tc>
        <w:tc>
          <w:tcPr>
            <w:tcW w:w="1841" w:type="dxa"/>
          </w:tcPr>
          <w:p w14:paraId="295CF82A" w14:textId="77777777" w:rsidR="009D33A8" w:rsidRPr="00544EC7" w:rsidRDefault="009D33A8">
            <w:pPr>
              <w:jc w:val="left"/>
              <w:cnfStyle w:val="000000000000" w:firstRow="0" w:lastRow="0" w:firstColumn="0" w:lastColumn="0" w:oddVBand="0" w:evenVBand="0" w:oddHBand="0" w:evenHBand="0" w:firstRowFirstColumn="0" w:firstRowLastColumn="0" w:lastRowFirstColumn="0" w:lastRowLastColumn="0"/>
            </w:pPr>
            <w:r>
              <w:t>$3 023–</w:t>
            </w:r>
            <w:r w:rsidRPr="00544EC7">
              <w:t>$</w:t>
            </w:r>
            <w:r>
              <w:t>54 220 863</w:t>
            </w:r>
          </w:p>
          <w:p w14:paraId="6EA92C03" w14:textId="77777777" w:rsidR="009D33A8" w:rsidRPr="00544EC7" w:rsidRDefault="009D33A8">
            <w:pPr>
              <w:jc w:val="left"/>
              <w:cnfStyle w:val="000000000000" w:firstRow="0" w:lastRow="0" w:firstColumn="0" w:lastColumn="0" w:oddVBand="0" w:evenVBand="0" w:oddHBand="0" w:evenHBand="0" w:firstRowFirstColumn="0" w:firstRowLastColumn="0" w:lastRowFirstColumn="0" w:lastRowLastColumn="0"/>
            </w:pPr>
            <w:r w:rsidRPr="00544EC7">
              <w:t>$2</w:t>
            </w:r>
            <w:r>
              <w:t>–</w:t>
            </w:r>
            <w:r w:rsidRPr="00544EC7">
              <w:t>$1</w:t>
            </w:r>
            <w:r>
              <w:t xml:space="preserve"> 000</w:t>
            </w:r>
            <w:r w:rsidRPr="00544EC7">
              <w:t xml:space="preserve"> </w:t>
            </w:r>
            <w:r>
              <w:t>000</w:t>
            </w:r>
          </w:p>
          <w:p w14:paraId="6B0A573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1–150 years</w:t>
            </w:r>
          </w:p>
        </w:tc>
      </w:tr>
      <w:tr w:rsidR="009D33A8" w14:paraId="72A4422B" w14:textId="77777777">
        <w:tc>
          <w:tcPr>
            <w:cnfStyle w:val="001000000000" w:firstRow="0" w:lastRow="0" w:firstColumn="1" w:lastColumn="0" w:oddVBand="0" w:evenVBand="0" w:oddHBand="0" w:evenHBand="0" w:firstRowFirstColumn="0" w:firstRowLastColumn="0" w:lastRowFirstColumn="0" w:lastRowLastColumn="0"/>
            <w:tcW w:w="2835" w:type="dxa"/>
          </w:tcPr>
          <w:p w14:paraId="4EE046AC" w14:textId="77777777" w:rsidR="009D33A8" w:rsidRDefault="009D33A8">
            <w:r>
              <w:rPr>
                <w:b/>
              </w:rPr>
              <w:t>Land</w:t>
            </w:r>
          </w:p>
        </w:tc>
        <w:tc>
          <w:tcPr>
            <w:tcW w:w="2410" w:type="dxa"/>
          </w:tcPr>
          <w:p w14:paraId="0D0422A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72B154C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180E2B6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rsidRPr="002D6AA6" w14:paraId="6278B23D" w14:textId="77777777">
        <w:tc>
          <w:tcPr>
            <w:cnfStyle w:val="001000000000" w:firstRow="0" w:lastRow="0" w:firstColumn="1" w:lastColumn="0" w:oddVBand="0" w:evenVBand="0" w:oddHBand="0" w:evenHBand="0" w:firstRowFirstColumn="0" w:firstRowLastColumn="0" w:lastRowFirstColumn="0" w:lastRowLastColumn="0"/>
            <w:tcW w:w="2835" w:type="dxa"/>
          </w:tcPr>
          <w:p w14:paraId="228B6276" w14:textId="77777777" w:rsidR="009D33A8" w:rsidRPr="002D6AA6" w:rsidRDefault="009D33A8">
            <w:r w:rsidRPr="002D6AA6">
              <w:t>Metropolitan water corporations</w:t>
            </w:r>
          </w:p>
        </w:tc>
        <w:tc>
          <w:tcPr>
            <w:tcW w:w="2410" w:type="dxa"/>
          </w:tcPr>
          <w:p w14:paraId="584CFFA3"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rsidRPr="002D6AA6">
              <w:t>Market approach</w:t>
            </w:r>
          </w:p>
        </w:tc>
        <w:tc>
          <w:tcPr>
            <w:tcW w:w="2552" w:type="dxa"/>
          </w:tcPr>
          <w:p w14:paraId="1CF807F4"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rsidRPr="002D6AA6">
              <w:t xml:space="preserve">CSO adjustment </w:t>
            </w:r>
            <w:r w:rsidRPr="002D6AA6">
              <w:rPr>
                <w:vertAlign w:val="superscript"/>
              </w:rPr>
              <w:t>(a)</w:t>
            </w:r>
          </w:p>
        </w:tc>
        <w:tc>
          <w:tcPr>
            <w:tcW w:w="1841" w:type="dxa"/>
          </w:tcPr>
          <w:p w14:paraId="7255D927"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rsidRPr="002D6AA6">
              <w:t>1</w:t>
            </w:r>
            <w:r>
              <w:t>0</w:t>
            </w:r>
            <w:r w:rsidRPr="002D6AA6">
              <w:t>–</w:t>
            </w:r>
            <w:r>
              <w:t>70</w:t>
            </w:r>
            <w:r w:rsidRPr="002D6AA6">
              <w:t xml:space="preserve"> per cent</w:t>
            </w:r>
          </w:p>
        </w:tc>
      </w:tr>
      <w:tr w:rsidR="009D33A8" w:rsidRPr="002D6AA6" w14:paraId="70F468FE" w14:textId="77777777">
        <w:tc>
          <w:tcPr>
            <w:cnfStyle w:val="001000000000" w:firstRow="0" w:lastRow="0" w:firstColumn="1" w:lastColumn="0" w:oddVBand="0" w:evenVBand="0" w:oddHBand="0" w:evenHBand="0" w:firstRowFirstColumn="0" w:firstRowLastColumn="0" w:lastRowFirstColumn="0" w:lastRowLastColumn="0"/>
            <w:tcW w:w="2835" w:type="dxa"/>
          </w:tcPr>
          <w:p w14:paraId="4B5ABEC7" w14:textId="77777777" w:rsidR="009D33A8" w:rsidRPr="002D6AA6" w:rsidRDefault="009D33A8">
            <w:r w:rsidRPr="002D6AA6">
              <w:t>Ports</w:t>
            </w:r>
          </w:p>
        </w:tc>
        <w:tc>
          <w:tcPr>
            <w:tcW w:w="2410" w:type="dxa"/>
          </w:tcPr>
          <w:p w14:paraId="39A833A3" w14:textId="3DA1DDBA" w:rsidR="009D33A8" w:rsidRDefault="009D33A8">
            <w:pPr>
              <w:jc w:val="left"/>
              <w:cnfStyle w:val="000000000000" w:firstRow="0" w:lastRow="0" w:firstColumn="0" w:lastColumn="0" w:oddVBand="0" w:evenVBand="0" w:oddHBand="0" w:evenHBand="0" w:firstRowFirstColumn="0" w:firstRowLastColumn="0" w:lastRowFirstColumn="0" w:lastRowLastColumn="0"/>
            </w:pPr>
            <w:r w:rsidRPr="002D6AA6">
              <w:t>Market approach</w:t>
            </w:r>
          </w:p>
          <w:p w14:paraId="04D1C15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Discounted cash flow method</w:t>
            </w:r>
          </w:p>
          <w:p w14:paraId="7DF216BD"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t xml:space="preserve">   (income approach)</w:t>
            </w:r>
          </w:p>
        </w:tc>
        <w:tc>
          <w:tcPr>
            <w:tcW w:w="2552" w:type="dxa"/>
          </w:tcPr>
          <w:p w14:paraId="241DEF7B" w14:textId="20C77E6F" w:rsidR="009D33A8" w:rsidRDefault="009D33A8">
            <w:pPr>
              <w:jc w:val="left"/>
              <w:cnfStyle w:val="000000000000" w:firstRow="0" w:lastRow="0" w:firstColumn="0" w:lastColumn="0" w:oddVBand="0" w:evenVBand="0" w:oddHBand="0" w:evenHBand="0" w:firstRowFirstColumn="0" w:firstRowLastColumn="0" w:lastRowFirstColumn="0" w:lastRowLastColumn="0"/>
            </w:pPr>
            <w:r>
              <w:t>Rates per square metre</w:t>
            </w:r>
          </w:p>
          <w:p w14:paraId="2B790545"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t xml:space="preserve">Discount rates </w:t>
            </w:r>
            <w:r>
              <w:rPr>
                <w:vertAlign w:val="superscript"/>
              </w:rPr>
              <w:t>(b)</w:t>
            </w:r>
          </w:p>
        </w:tc>
        <w:tc>
          <w:tcPr>
            <w:tcW w:w="1841" w:type="dxa"/>
          </w:tcPr>
          <w:p w14:paraId="5CCBFBC3" w14:textId="0B5D148B" w:rsidR="009D33A8" w:rsidRDefault="009D33A8">
            <w:pPr>
              <w:jc w:val="left"/>
              <w:cnfStyle w:val="000000000000" w:firstRow="0" w:lastRow="0" w:firstColumn="0" w:lastColumn="0" w:oddVBand="0" w:evenVBand="0" w:oddHBand="0" w:evenHBand="0" w:firstRowFirstColumn="0" w:firstRowLastColumn="0" w:lastRowFirstColumn="0" w:lastRowLastColumn="0"/>
            </w:pPr>
            <w:r>
              <w:t>$354</w:t>
            </w:r>
            <w:r w:rsidR="00500E10">
              <w:t>–</w:t>
            </w:r>
            <w:r>
              <w:t>$</w:t>
            </w:r>
            <w:r w:rsidRPr="002D6AA6">
              <w:t>2</w:t>
            </w:r>
            <w:r>
              <w:t xml:space="preserve"> 250</w:t>
            </w:r>
          </w:p>
          <w:p w14:paraId="18863D8F" w14:textId="77777777" w:rsidR="009D33A8" w:rsidRPr="002D6AA6" w:rsidRDefault="009D33A8">
            <w:pPr>
              <w:jc w:val="left"/>
              <w:cnfStyle w:val="000000000000" w:firstRow="0" w:lastRow="0" w:firstColumn="0" w:lastColumn="0" w:oddVBand="0" w:evenVBand="0" w:oddHBand="0" w:evenHBand="0" w:firstRowFirstColumn="0" w:firstRowLastColumn="0" w:lastRowFirstColumn="0" w:lastRowLastColumn="0"/>
            </w:pPr>
            <w:r>
              <w:t>6.5–8.3</w:t>
            </w:r>
            <w:r w:rsidRPr="002D6AA6">
              <w:t xml:space="preserve"> per cent</w:t>
            </w:r>
          </w:p>
        </w:tc>
      </w:tr>
      <w:tr w:rsidR="009D33A8" w14:paraId="711C9409" w14:textId="77777777">
        <w:tc>
          <w:tcPr>
            <w:cnfStyle w:val="001000000000" w:firstRow="0" w:lastRow="0" w:firstColumn="1" w:lastColumn="0" w:oddVBand="0" w:evenVBand="0" w:oddHBand="0" w:evenHBand="0" w:firstRowFirstColumn="0" w:firstRowLastColumn="0" w:lastRowFirstColumn="0" w:lastRowLastColumn="0"/>
            <w:tcW w:w="2835" w:type="dxa"/>
          </w:tcPr>
          <w:p w14:paraId="6B6CD481" w14:textId="77777777" w:rsidR="009D33A8" w:rsidRDefault="009D33A8">
            <w:r>
              <w:rPr>
                <w:b/>
              </w:rPr>
              <w:t>Channels</w:t>
            </w:r>
          </w:p>
        </w:tc>
        <w:tc>
          <w:tcPr>
            <w:tcW w:w="2410" w:type="dxa"/>
          </w:tcPr>
          <w:p w14:paraId="492138F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1A946A4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4ABDDEE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2C97CB07" w14:textId="77777777">
        <w:tc>
          <w:tcPr>
            <w:cnfStyle w:val="001000000000" w:firstRow="0" w:lastRow="0" w:firstColumn="1" w:lastColumn="0" w:oddVBand="0" w:evenVBand="0" w:oddHBand="0" w:evenHBand="0" w:firstRowFirstColumn="0" w:firstRowLastColumn="0" w:lastRowFirstColumn="0" w:lastRowLastColumn="0"/>
            <w:tcW w:w="2835" w:type="dxa"/>
          </w:tcPr>
          <w:p w14:paraId="70681AD9" w14:textId="77777777" w:rsidR="009D33A8" w:rsidRDefault="009D33A8">
            <w:r>
              <w:t>Ports</w:t>
            </w:r>
          </w:p>
        </w:tc>
        <w:tc>
          <w:tcPr>
            <w:tcW w:w="2410" w:type="dxa"/>
          </w:tcPr>
          <w:p w14:paraId="64DAE127" w14:textId="77777777" w:rsidR="009D33A8" w:rsidRDefault="009D33A8">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552" w:type="dxa"/>
          </w:tcPr>
          <w:p w14:paraId="3BFC8BC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rsidRPr="004C7FAE">
              <w:t xml:space="preserve">Terminal value growth rate </w:t>
            </w:r>
            <w:r>
              <w:rPr>
                <w:vertAlign w:val="superscript"/>
              </w:rPr>
              <w:t>(b)</w:t>
            </w:r>
          </w:p>
          <w:p w14:paraId="628B3FB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Discount rates</w:t>
            </w:r>
            <w:r>
              <w:rPr>
                <w:vertAlign w:val="superscript"/>
              </w:rPr>
              <w:t xml:space="preserve"> (b)</w:t>
            </w:r>
          </w:p>
        </w:tc>
        <w:tc>
          <w:tcPr>
            <w:tcW w:w="1841" w:type="dxa"/>
          </w:tcPr>
          <w:p w14:paraId="1319057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5 per cent</w:t>
            </w:r>
          </w:p>
          <w:p w14:paraId="41F3448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rsidRPr="00CC0269">
              <w:t>7.25</w:t>
            </w:r>
            <w:r>
              <w:t>–</w:t>
            </w:r>
            <w:r w:rsidRPr="00CC0269">
              <w:t>7.75</w:t>
            </w:r>
            <w:r>
              <w:t xml:space="preserve"> per cent</w:t>
            </w:r>
          </w:p>
        </w:tc>
      </w:tr>
      <w:tr w:rsidR="009D33A8" w14:paraId="1C926F36" w14:textId="77777777">
        <w:tc>
          <w:tcPr>
            <w:cnfStyle w:val="001000000000" w:firstRow="0" w:lastRow="0" w:firstColumn="1" w:lastColumn="0" w:oddVBand="0" w:evenVBand="0" w:oddHBand="0" w:evenHBand="0" w:firstRowFirstColumn="0" w:firstRowLastColumn="0" w:lastRowFirstColumn="0" w:lastRowLastColumn="0"/>
            <w:tcW w:w="2835" w:type="dxa"/>
          </w:tcPr>
          <w:p w14:paraId="56548DEE" w14:textId="77777777" w:rsidR="009D33A8" w:rsidRDefault="009D33A8">
            <w:r>
              <w:rPr>
                <w:b/>
              </w:rPr>
              <w:t>Infrastructure</w:t>
            </w:r>
          </w:p>
        </w:tc>
        <w:tc>
          <w:tcPr>
            <w:tcW w:w="2410" w:type="dxa"/>
          </w:tcPr>
          <w:p w14:paraId="04D5BAC2" w14:textId="77777777" w:rsidR="009D33A8" w:rsidRDefault="009D33A8">
            <w:pPr>
              <w:ind w:left="170" w:hanging="170"/>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166A490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0680F70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369E44BA" w14:textId="77777777">
        <w:tc>
          <w:tcPr>
            <w:cnfStyle w:val="001000000000" w:firstRow="0" w:lastRow="0" w:firstColumn="1" w:lastColumn="0" w:oddVBand="0" w:evenVBand="0" w:oddHBand="0" w:evenHBand="0" w:firstRowFirstColumn="0" w:firstRowLastColumn="0" w:lastRowFirstColumn="0" w:lastRowLastColumn="0"/>
            <w:tcW w:w="2835" w:type="dxa"/>
          </w:tcPr>
          <w:p w14:paraId="38C13B04" w14:textId="77777777" w:rsidR="009D33A8" w:rsidRDefault="009D33A8">
            <w:r>
              <w:t>Ports</w:t>
            </w:r>
          </w:p>
        </w:tc>
        <w:tc>
          <w:tcPr>
            <w:tcW w:w="2410" w:type="dxa"/>
          </w:tcPr>
          <w:p w14:paraId="6801DE78" w14:textId="77777777" w:rsidR="009D33A8" w:rsidRDefault="009D33A8">
            <w:pPr>
              <w:ind w:left="170" w:hanging="170"/>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Pr>
          <w:p w14:paraId="2AC08F8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384E805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20–60 years</w:t>
            </w:r>
          </w:p>
        </w:tc>
      </w:tr>
      <w:tr w:rsidR="009D33A8" w14:paraId="4303DFAA" w14:textId="77777777">
        <w:tc>
          <w:tcPr>
            <w:cnfStyle w:val="001000000000" w:firstRow="0" w:lastRow="0" w:firstColumn="1" w:lastColumn="0" w:oddVBand="0" w:evenVBand="0" w:oddHBand="0" w:evenHBand="0" w:firstRowFirstColumn="0" w:firstRowLastColumn="0" w:lastRowFirstColumn="0" w:lastRowLastColumn="0"/>
            <w:tcW w:w="2835" w:type="dxa"/>
          </w:tcPr>
          <w:p w14:paraId="70BF531B" w14:textId="77777777" w:rsidR="009D33A8" w:rsidRDefault="009D33A8">
            <w:r>
              <w:t>Metropolitan water corporations</w:t>
            </w:r>
          </w:p>
        </w:tc>
        <w:tc>
          <w:tcPr>
            <w:tcW w:w="2410" w:type="dxa"/>
          </w:tcPr>
          <w:p w14:paraId="76E43435" w14:textId="77777777" w:rsidR="009D33A8" w:rsidRDefault="009D33A8">
            <w:pPr>
              <w:ind w:left="170" w:hanging="170"/>
              <w:jc w:val="left"/>
              <w:cnfStyle w:val="000000000000" w:firstRow="0" w:lastRow="0" w:firstColumn="0" w:lastColumn="0" w:oddVBand="0" w:evenVBand="0" w:oddHBand="0" w:evenHBand="0" w:firstRowFirstColumn="0" w:firstRowLastColumn="0" w:lastRowFirstColumn="0" w:lastRowLastColumn="0"/>
            </w:pPr>
            <w:r>
              <w:t>Discounted cash flow method (income approach)</w:t>
            </w:r>
          </w:p>
        </w:tc>
        <w:tc>
          <w:tcPr>
            <w:tcW w:w="2552" w:type="dxa"/>
          </w:tcPr>
          <w:p w14:paraId="2BB3C9C5"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 xml:space="preserve">Discount rates </w:t>
            </w:r>
            <w:r>
              <w:rPr>
                <w:vertAlign w:val="superscript"/>
              </w:rPr>
              <w:t>(b)</w:t>
            </w:r>
          </w:p>
        </w:tc>
        <w:tc>
          <w:tcPr>
            <w:tcW w:w="1841" w:type="dxa"/>
          </w:tcPr>
          <w:p w14:paraId="2B504F6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5.0–6.0 per cent</w:t>
            </w:r>
          </w:p>
        </w:tc>
      </w:tr>
      <w:tr w:rsidR="009D33A8" w14:paraId="23972B28" w14:textId="77777777">
        <w:tc>
          <w:tcPr>
            <w:cnfStyle w:val="001000000000" w:firstRow="0" w:lastRow="0" w:firstColumn="1" w:lastColumn="0" w:oddVBand="0" w:evenVBand="0" w:oddHBand="0" w:evenHBand="0" w:firstRowFirstColumn="0" w:firstRowLastColumn="0" w:lastRowFirstColumn="0" w:lastRowLastColumn="0"/>
            <w:tcW w:w="2835" w:type="dxa"/>
          </w:tcPr>
          <w:p w14:paraId="06A85926" w14:textId="77777777" w:rsidR="009D33A8" w:rsidRDefault="009D33A8"/>
        </w:tc>
        <w:tc>
          <w:tcPr>
            <w:tcW w:w="2410" w:type="dxa"/>
          </w:tcPr>
          <w:p w14:paraId="0370B8D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1670904A" w14:textId="77777777" w:rsidR="009D33A8" w:rsidRDefault="009D33A8">
            <w:pPr>
              <w:ind w:left="170" w:hanging="170"/>
              <w:jc w:val="left"/>
              <w:cnfStyle w:val="000000000000" w:firstRow="0" w:lastRow="0" w:firstColumn="0" w:lastColumn="0" w:oddVBand="0" w:evenVBand="0" w:oddHBand="0" w:evenHBand="0" w:firstRowFirstColumn="0" w:firstRowLastColumn="0" w:lastRowFirstColumn="0" w:lastRowLastColumn="0"/>
            </w:pPr>
            <w:r>
              <w:t>Regulatory Asset Base (RAB)exit multiple</w:t>
            </w:r>
          </w:p>
        </w:tc>
        <w:tc>
          <w:tcPr>
            <w:tcW w:w="1841" w:type="dxa"/>
          </w:tcPr>
          <w:p w14:paraId="775C1B7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1.05–1.25</w:t>
            </w:r>
          </w:p>
        </w:tc>
      </w:tr>
      <w:tr w:rsidR="009D33A8" w14:paraId="67E074EA" w14:textId="77777777">
        <w:tc>
          <w:tcPr>
            <w:cnfStyle w:val="001000000000" w:firstRow="0" w:lastRow="0" w:firstColumn="1" w:lastColumn="0" w:oddVBand="0" w:evenVBand="0" w:oddHBand="0" w:evenHBand="0" w:firstRowFirstColumn="0" w:firstRowLastColumn="0" w:lastRowFirstColumn="0" w:lastRowLastColumn="0"/>
            <w:tcW w:w="2835" w:type="dxa"/>
          </w:tcPr>
          <w:p w14:paraId="795F5F8A" w14:textId="77777777" w:rsidR="009D33A8" w:rsidRDefault="009D33A8"/>
        </w:tc>
        <w:tc>
          <w:tcPr>
            <w:tcW w:w="2410" w:type="dxa"/>
          </w:tcPr>
          <w:p w14:paraId="5AE1324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0C53E03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Useful life</w:t>
            </w:r>
          </w:p>
        </w:tc>
        <w:tc>
          <w:tcPr>
            <w:tcW w:w="1841" w:type="dxa"/>
          </w:tcPr>
          <w:p w14:paraId="08CE27F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1–245 years</w:t>
            </w:r>
          </w:p>
        </w:tc>
      </w:tr>
      <w:tr w:rsidR="009D33A8" w14:paraId="64EEC6B2" w14:textId="77777777">
        <w:tc>
          <w:tcPr>
            <w:cnfStyle w:val="001000000000" w:firstRow="0" w:lastRow="0" w:firstColumn="1" w:lastColumn="0" w:oddVBand="0" w:evenVBand="0" w:oddHBand="0" w:evenHBand="0" w:firstRowFirstColumn="0" w:firstRowLastColumn="0" w:lastRowFirstColumn="0" w:lastRowLastColumn="0"/>
            <w:tcW w:w="2835" w:type="dxa"/>
          </w:tcPr>
          <w:p w14:paraId="28F21FB5" w14:textId="77777777" w:rsidR="009D33A8" w:rsidRDefault="009D33A8">
            <w:r>
              <w:rPr>
                <w:b/>
              </w:rPr>
              <w:t>Plant, equipment and vehicles</w:t>
            </w:r>
          </w:p>
        </w:tc>
        <w:tc>
          <w:tcPr>
            <w:tcW w:w="2410" w:type="dxa"/>
          </w:tcPr>
          <w:p w14:paraId="6BB72F6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2552" w:type="dxa"/>
          </w:tcPr>
          <w:p w14:paraId="6DA27BA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1841" w:type="dxa"/>
          </w:tcPr>
          <w:p w14:paraId="0D6E8B9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r>
      <w:tr w:rsidR="009D33A8" w14:paraId="6130B139" w14:textId="77777777">
        <w:tc>
          <w:tcPr>
            <w:cnfStyle w:val="001000000000" w:firstRow="0" w:lastRow="0" w:firstColumn="1" w:lastColumn="0" w:oddVBand="0" w:evenVBand="0" w:oddHBand="0" w:evenHBand="0" w:firstRowFirstColumn="0" w:firstRowLastColumn="0" w:lastRowFirstColumn="0" w:lastRowLastColumn="0"/>
            <w:tcW w:w="2835" w:type="dxa"/>
            <w:tcBorders>
              <w:bottom w:val="single" w:sz="12" w:space="0" w:color="auto"/>
            </w:tcBorders>
          </w:tcPr>
          <w:p w14:paraId="37499180" w14:textId="77777777" w:rsidR="009D33A8" w:rsidRDefault="009D33A8">
            <w:r>
              <w:t>Metropolitan water corporations</w:t>
            </w:r>
          </w:p>
        </w:tc>
        <w:tc>
          <w:tcPr>
            <w:tcW w:w="2410" w:type="dxa"/>
            <w:tcBorders>
              <w:bottom w:val="single" w:sz="12" w:space="0" w:color="auto"/>
            </w:tcBorders>
          </w:tcPr>
          <w:p w14:paraId="1C5FB87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Current replacement cost</w:t>
            </w:r>
          </w:p>
        </w:tc>
        <w:tc>
          <w:tcPr>
            <w:tcW w:w="2552" w:type="dxa"/>
            <w:tcBorders>
              <w:bottom w:val="single" w:sz="12" w:space="0" w:color="auto"/>
            </w:tcBorders>
          </w:tcPr>
          <w:p w14:paraId="1F3556D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Useful life</w:t>
            </w:r>
            <w:r>
              <w:br/>
              <w:t>Cost per unit</w:t>
            </w:r>
          </w:p>
        </w:tc>
        <w:tc>
          <w:tcPr>
            <w:tcW w:w="1841" w:type="dxa"/>
            <w:tcBorders>
              <w:bottom w:val="single" w:sz="12" w:space="0" w:color="auto"/>
            </w:tcBorders>
          </w:tcPr>
          <w:p w14:paraId="5C51889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1–50 years</w:t>
            </w:r>
          </w:p>
          <w:p w14:paraId="3EF1E6D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$1–$4 253 160</w:t>
            </w:r>
          </w:p>
        </w:tc>
      </w:tr>
    </w:tbl>
    <w:p w14:paraId="240BB49F" w14:textId="77777777" w:rsidR="009D33A8" w:rsidRDefault="009D33A8" w:rsidP="009D33A8">
      <w:pPr>
        <w:pStyle w:val="Note"/>
      </w:pPr>
      <w:r>
        <w:t>Notes:</w:t>
      </w:r>
    </w:p>
    <w:p w14:paraId="701CF43A" w14:textId="620EA013" w:rsidR="009D33A8" w:rsidRDefault="009D33A8" w:rsidP="009D33A8">
      <w:pPr>
        <w:pStyle w:val="Note"/>
      </w:pPr>
      <w:r>
        <w:t xml:space="preserve">(a) </w:t>
      </w:r>
      <w:r>
        <w:tab/>
        <w:t>The CSO adjustment reflects the specialised nature of the asset being valued through a market approach. The CSO adjustment is a reflection of the valuer</w:t>
      </w:r>
      <w:r w:rsidR="00845934">
        <w:t>’</w:t>
      </w:r>
      <w:r>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21D24551" w14:textId="77777777" w:rsidR="009D33A8" w:rsidRDefault="009D33A8" w:rsidP="009D33A8">
      <w:pPr>
        <w:pStyle w:val="Note"/>
      </w:pPr>
      <w:r>
        <w:t>(b)</w:t>
      </w:r>
      <w:r>
        <w:tab/>
        <w:t>Applicable to the valuation using the income approach.</w:t>
      </w:r>
    </w:p>
    <w:p w14:paraId="1AB9EBCD" w14:textId="77777777" w:rsidR="009D33A8" w:rsidRDefault="009D33A8" w:rsidP="009D33A8"/>
    <w:bookmarkEnd w:id="113"/>
    <w:p w14:paraId="0459E396" w14:textId="77777777" w:rsidR="00BC0C0C" w:rsidRDefault="00BC0C0C" w:rsidP="009D33A8">
      <w:pPr>
        <w:sectPr w:rsidR="00BC0C0C" w:rsidSect="004F2221">
          <w:headerReference w:type="even" r:id="rId121"/>
          <w:headerReference w:type="default" r:id="rId122"/>
          <w:type w:val="continuous"/>
          <w:pgSz w:w="11906" w:h="16838" w:code="9"/>
          <w:pgMar w:top="1134" w:right="1134" w:bottom="1134" w:left="1134" w:header="624" w:footer="567" w:gutter="0"/>
          <w:cols w:space="708"/>
          <w:titlePg/>
          <w:docGrid w:linePitch="360"/>
        </w:sectPr>
      </w:pPr>
    </w:p>
    <w:p w14:paraId="3BE085A8" w14:textId="77777777" w:rsidR="009D33A8" w:rsidRDefault="009D33A8" w:rsidP="009A5C3A">
      <w:pPr>
        <w:pStyle w:val="Heading1"/>
        <w:spacing w:before="0"/>
      </w:pPr>
      <w:bookmarkStart w:id="124" w:name="_Toc203395028"/>
      <w:bookmarkStart w:id="125" w:name="_Toc209474783"/>
      <w:r>
        <w:lastRenderedPageBreak/>
        <w:t>7.</w:t>
      </w:r>
      <w:r>
        <w:tab/>
        <w:t>Comparison against budget and the public account</w:t>
      </w:r>
      <w:bookmarkEnd w:id="124"/>
      <w:bookmarkEnd w:id="125"/>
      <w:r>
        <w:t xml:space="preserve"> </w:t>
      </w:r>
    </w:p>
    <w:p w14:paraId="3590DCA5" w14:textId="77777777" w:rsidR="00823C0E" w:rsidRDefault="00823C0E" w:rsidP="009D33A8">
      <w:pPr>
        <w:pStyle w:val="Heading3"/>
        <w:sectPr w:rsidR="00823C0E" w:rsidSect="00BC0C0C">
          <w:footerReference w:type="first" r:id="rId123"/>
          <w:pgSz w:w="11906" w:h="16838" w:code="9"/>
          <w:pgMar w:top="1134" w:right="1134" w:bottom="1134" w:left="1134" w:header="624" w:footer="567" w:gutter="0"/>
          <w:cols w:space="708"/>
          <w:titlePg/>
          <w:docGrid w:linePitch="360"/>
        </w:sectPr>
      </w:pPr>
    </w:p>
    <w:p w14:paraId="2F74527A" w14:textId="77777777" w:rsidR="009D33A8" w:rsidRDefault="009D33A8" w:rsidP="009D33A8">
      <w:pPr>
        <w:pStyle w:val="Heading3"/>
      </w:pPr>
      <w:r>
        <w:t xml:space="preserve">Introduction </w:t>
      </w:r>
    </w:p>
    <w:p w14:paraId="1C8CEC76" w14:textId="77777777" w:rsidR="009D33A8" w:rsidRDefault="009D33A8" w:rsidP="009D33A8">
      <w:r>
        <w:t>This section presents a summary of the original published budget estimates for the Victorian general government sector and explains the material variances between the estimates and actual outcomes as presented in these financial statements.</w:t>
      </w:r>
    </w:p>
    <w:p w14:paraId="6558320C" w14:textId="77777777" w:rsidR="009D33A8" w:rsidRDefault="009D33A8" w:rsidP="009D33A8">
      <w:r>
        <w:t xml:space="preserve">It also provides disclosure of information in respect of the Public Account, in accordance with the requirement of the </w:t>
      </w:r>
      <w:r w:rsidRPr="005B6670">
        <w:rPr>
          <w:i/>
        </w:rPr>
        <w:t>Financial Management Act 1994</w:t>
      </w:r>
      <w:r>
        <w:t xml:space="preserve"> (FMA).</w:t>
      </w:r>
    </w:p>
    <w:p w14:paraId="0384E5A2" w14:textId="620D21DC" w:rsidR="009D33A8" w:rsidRDefault="00823C0E" w:rsidP="009D33A8">
      <w:pPr>
        <w:pStyle w:val="Heading3"/>
      </w:pPr>
      <w:r>
        <w:br w:type="column"/>
      </w:r>
      <w:r w:rsidR="009D33A8">
        <w:t>Structure</w:t>
      </w:r>
    </w:p>
    <w:p w14:paraId="31D33ABA" w14:textId="354C93F5" w:rsidR="003A1311" w:rsidRDefault="009D33A8">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Section7 \t "Heading 2,9" </w:instrText>
      </w:r>
      <w:r>
        <w:rPr>
          <w:color w:val="2B579A"/>
          <w:shd w:val="clear" w:color="auto" w:fill="E6E6E6"/>
        </w:rPr>
        <w:fldChar w:fldCharType="separate"/>
      </w:r>
      <w:hyperlink w:anchor="_Toc209481909" w:history="1">
        <w:r w:rsidR="003A1311" w:rsidRPr="00FE1504">
          <w:rPr>
            <w:rStyle w:val="Hyperlink"/>
            <w:noProof/>
          </w:rPr>
          <w:t>7.1</w:t>
        </w:r>
        <w:r w:rsidR="003A1311">
          <w:rPr>
            <w:rFonts w:eastAsiaTheme="minorEastAsia"/>
            <w:noProof/>
            <w:kern w:val="2"/>
            <w:sz w:val="24"/>
            <w:szCs w:val="24"/>
            <w:lang w:eastAsia="en-AU"/>
            <w14:ligatures w14:val="standardContextual"/>
          </w:rPr>
          <w:tab/>
        </w:r>
        <w:r w:rsidR="003A1311" w:rsidRPr="00FE1504">
          <w:rPr>
            <w:rStyle w:val="Hyperlink"/>
            <w:noProof/>
          </w:rPr>
          <w:t>Explanations of material variances between budget and actual outcomes</w:t>
        </w:r>
        <w:r w:rsidR="003A1311">
          <w:rPr>
            <w:noProof/>
            <w:webHidden/>
          </w:rPr>
          <w:tab/>
        </w:r>
        <w:r w:rsidR="003A1311">
          <w:rPr>
            <w:noProof/>
            <w:webHidden/>
          </w:rPr>
          <w:fldChar w:fldCharType="begin"/>
        </w:r>
        <w:r w:rsidR="003A1311">
          <w:rPr>
            <w:noProof/>
            <w:webHidden/>
          </w:rPr>
          <w:instrText xml:space="preserve"> PAGEREF _Toc209481909 \h </w:instrText>
        </w:r>
        <w:r w:rsidR="003A1311">
          <w:rPr>
            <w:noProof/>
            <w:webHidden/>
          </w:rPr>
        </w:r>
        <w:r w:rsidR="003A1311">
          <w:rPr>
            <w:noProof/>
            <w:webHidden/>
          </w:rPr>
          <w:fldChar w:fldCharType="separate"/>
        </w:r>
        <w:r w:rsidR="00727C5B">
          <w:rPr>
            <w:noProof/>
            <w:webHidden/>
          </w:rPr>
          <w:t>136</w:t>
        </w:r>
        <w:r w:rsidR="003A1311">
          <w:rPr>
            <w:noProof/>
            <w:webHidden/>
          </w:rPr>
          <w:fldChar w:fldCharType="end"/>
        </w:r>
      </w:hyperlink>
    </w:p>
    <w:p w14:paraId="0F80B8C1" w14:textId="663AAAE1" w:rsidR="003A1311" w:rsidRDefault="003A1311">
      <w:pPr>
        <w:pStyle w:val="TOC9"/>
        <w:rPr>
          <w:rFonts w:eastAsiaTheme="minorEastAsia"/>
          <w:noProof/>
          <w:kern w:val="2"/>
          <w:sz w:val="24"/>
          <w:szCs w:val="24"/>
          <w:lang w:eastAsia="en-AU"/>
          <w14:ligatures w14:val="standardContextual"/>
        </w:rPr>
      </w:pPr>
      <w:hyperlink w:anchor="_Toc209481910" w:history="1">
        <w:r w:rsidRPr="00FE1504">
          <w:rPr>
            <w:rStyle w:val="Hyperlink"/>
            <w:noProof/>
          </w:rPr>
          <w:t>7.2</w:t>
        </w:r>
        <w:r>
          <w:rPr>
            <w:rFonts w:eastAsiaTheme="minorEastAsia"/>
            <w:noProof/>
            <w:kern w:val="2"/>
            <w:sz w:val="24"/>
            <w:szCs w:val="24"/>
            <w:lang w:eastAsia="en-AU"/>
            <w14:ligatures w14:val="standardContextual"/>
          </w:rPr>
          <w:tab/>
        </w:r>
        <w:r w:rsidRPr="00FE1504">
          <w:rPr>
            <w:rStyle w:val="Hyperlink"/>
            <w:noProof/>
          </w:rPr>
          <w:t>Public Account disclosures</w:t>
        </w:r>
        <w:r>
          <w:rPr>
            <w:noProof/>
            <w:webHidden/>
          </w:rPr>
          <w:tab/>
        </w:r>
        <w:r>
          <w:rPr>
            <w:noProof/>
            <w:webHidden/>
          </w:rPr>
          <w:fldChar w:fldCharType="begin"/>
        </w:r>
        <w:r>
          <w:rPr>
            <w:noProof/>
            <w:webHidden/>
          </w:rPr>
          <w:instrText xml:space="preserve"> PAGEREF _Toc209481910 \h </w:instrText>
        </w:r>
        <w:r>
          <w:rPr>
            <w:noProof/>
            <w:webHidden/>
          </w:rPr>
        </w:r>
        <w:r>
          <w:rPr>
            <w:noProof/>
            <w:webHidden/>
          </w:rPr>
          <w:fldChar w:fldCharType="separate"/>
        </w:r>
        <w:r w:rsidR="00727C5B">
          <w:rPr>
            <w:noProof/>
            <w:webHidden/>
          </w:rPr>
          <w:t>144</w:t>
        </w:r>
        <w:r>
          <w:rPr>
            <w:noProof/>
            <w:webHidden/>
          </w:rPr>
          <w:fldChar w:fldCharType="end"/>
        </w:r>
      </w:hyperlink>
    </w:p>
    <w:p w14:paraId="116D6C01" w14:textId="583C8D04" w:rsidR="00823C0E" w:rsidRDefault="009D33A8" w:rsidP="009D33A8">
      <w:pPr>
        <w:rPr>
          <w:color w:val="2B579A"/>
          <w:shd w:val="clear" w:color="auto" w:fill="E6E6E6"/>
        </w:rPr>
        <w:sectPr w:rsidR="00823C0E" w:rsidSect="00823C0E">
          <w:type w:val="continuous"/>
          <w:pgSz w:w="11906" w:h="16838" w:code="9"/>
          <w:pgMar w:top="1134" w:right="1134" w:bottom="1134" w:left="1134" w:header="624" w:footer="567" w:gutter="0"/>
          <w:cols w:num="2" w:space="708"/>
          <w:docGrid w:linePitch="360"/>
        </w:sectPr>
      </w:pPr>
      <w:r>
        <w:rPr>
          <w:color w:val="2B579A"/>
          <w:shd w:val="clear" w:color="auto" w:fill="E6E6E6"/>
        </w:rPr>
        <w:fldChar w:fldCharType="end"/>
      </w:r>
    </w:p>
    <w:p w14:paraId="57B7BE96" w14:textId="77777777" w:rsidR="009D33A8" w:rsidRDefault="009D33A8" w:rsidP="009D33A8"/>
    <w:p w14:paraId="3F1768DE" w14:textId="67600A37" w:rsidR="009D33A8" w:rsidRDefault="009D33A8" w:rsidP="009D33A8">
      <w:pPr>
        <w:pStyle w:val="Heading2"/>
      </w:pPr>
      <w:bookmarkStart w:id="126" w:name="_Toc209481909"/>
      <w:bookmarkStart w:id="127" w:name="_Toc203393367"/>
      <w:bookmarkStart w:id="128" w:name="Section7"/>
      <w:r>
        <w:t>7.1</w:t>
      </w:r>
      <w:r>
        <w:tab/>
      </w:r>
      <w:bookmarkStart w:id="129" w:name="_Hlk209448137"/>
      <w:r>
        <w:t>Explanations of material variances</w:t>
      </w:r>
      <w:r>
        <w:br/>
        <w:t>between budget and actual outcomes</w:t>
      </w:r>
      <w:bookmarkEnd w:id="126"/>
      <w:r>
        <w:t xml:space="preserve"> </w:t>
      </w:r>
      <w:bookmarkEnd w:id="127"/>
      <w:bookmarkEnd w:id="129"/>
    </w:p>
    <w:p w14:paraId="2CD8DA00" w14:textId="77777777" w:rsidR="00823C0E" w:rsidRDefault="00823C0E" w:rsidP="009D33A8">
      <w:pPr>
        <w:sectPr w:rsidR="00823C0E" w:rsidSect="00823C0E">
          <w:type w:val="continuous"/>
          <w:pgSz w:w="11906" w:h="16838" w:code="9"/>
          <w:pgMar w:top="1134" w:right="1134" w:bottom="1134" w:left="1134" w:header="624" w:footer="567" w:gutter="0"/>
          <w:cols w:space="708"/>
          <w:docGrid w:linePitch="360"/>
        </w:sectPr>
      </w:pPr>
    </w:p>
    <w:p w14:paraId="001EE777" w14:textId="77777777" w:rsidR="009D33A8" w:rsidRDefault="009D33A8" w:rsidP="009D33A8">
      <w:r>
        <w:t xml:space="preserve">The tables and notes that follow explain material variances between the general government sector original budget as published in Chapter 1 of </w:t>
      </w:r>
      <w:r>
        <w:rPr>
          <w:iCs/>
        </w:rPr>
        <w:t>2024</w:t>
      </w:r>
      <w:r>
        <w:rPr>
          <w:iCs/>
        </w:rPr>
        <w:noBreakHyphen/>
      </w:r>
      <w:r w:rsidRPr="00533764">
        <w:rPr>
          <w:iCs/>
        </w:rPr>
        <w:t>2</w:t>
      </w:r>
      <w:r>
        <w:rPr>
          <w:iCs/>
        </w:rPr>
        <w:t>5</w:t>
      </w:r>
      <w:r w:rsidRPr="005B6670">
        <w:rPr>
          <w:i/>
        </w:rPr>
        <w:t xml:space="preserve"> </w:t>
      </w:r>
      <w:r w:rsidRPr="00E40A9D">
        <w:t>Budget</w:t>
      </w:r>
      <w:r>
        <w:t xml:space="preserve"> Paper No. 5 </w:t>
      </w:r>
      <w:r w:rsidRPr="00FC0B4A">
        <w:rPr>
          <w:i/>
        </w:rPr>
        <w:t>Statement of Finances</w:t>
      </w:r>
      <w:r>
        <w:t xml:space="preserve"> and actual outcomes. </w:t>
      </w:r>
    </w:p>
    <w:p w14:paraId="3CA27967" w14:textId="77777777" w:rsidR="009D33A8" w:rsidRDefault="009D33A8" w:rsidP="009D33A8">
      <w:r>
        <w:t xml:space="preserve">The tables also include the revised budget estimates as published in Appendix B of </w:t>
      </w:r>
      <w:r>
        <w:rPr>
          <w:iCs/>
        </w:rPr>
        <w:t>2025</w:t>
      </w:r>
      <w:r>
        <w:t>-</w:t>
      </w:r>
      <w:r w:rsidRPr="00CC49F9">
        <w:rPr>
          <w:iCs/>
        </w:rPr>
        <w:t>2</w:t>
      </w:r>
      <w:r>
        <w:rPr>
          <w:iCs/>
        </w:rPr>
        <w:t>6</w:t>
      </w:r>
      <w:r w:rsidRPr="005B6670">
        <w:rPr>
          <w:i/>
        </w:rPr>
        <w:t xml:space="preserve"> </w:t>
      </w:r>
      <w:r w:rsidRPr="00E40A9D">
        <w:t>Budget</w:t>
      </w:r>
      <w:r>
        <w:t xml:space="preserve"> Paper No. 5 </w:t>
      </w:r>
      <w:r w:rsidRPr="00CC49F9">
        <w:rPr>
          <w:i/>
          <w:iCs/>
        </w:rPr>
        <w:t>Statement of Finances</w:t>
      </w:r>
      <w:r>
        <w:t>.</w:t>
      </w:r>
    </w:p>
    <w:p w14:paraId="40182E99" w14:textId="77777777" w:rsidR="009D33A8" w:rsidRDefault="009D33A8" w:rsidP="009D33A8">
      <w:r>
        <w:t>The original budget data is sourced from the estimated financial statements, which were reviewed by the Auditor-General, but were not subject to an audit.</w:t>
      </w:r>
    </w:p>
    <w:p w14:paraId="7AC0850F" w14:textId="6037DA1D" w:rsidR="009D33A8" w:rsidRDefault="004610D1" w:rsidP="009D33A8">
      <w:r>
        <w:br w:type="column"/>
      </w:r>
      <w:r w:rsidR="009D33A8">
        <w:t xml:space="preserve">For the general government sector comprehensive operating statement, variances are considered to be material where the variance exceeds the greater of </w:t>
      </w:r>
      <w:r w:rsidR="009D33A8" w:rsidRPr="004271E5">
        <w:t>10 per cent of the original budget estimates or $100 million</w:t>
      </w:r>
      <w:r w:rsidR="009D33A8" w:rsidRPr="004271E5">
        <w:rPr>
          <w:b/>
          <w:bCs/>
        </w:rPr>
        <w:t>.</w:t>
      </w:r>
      <w:r w:rsidR="009D33A8">
        <w:t xml:space="preserve"> In regard to the other statements, high level explanations of variances in the key aggregates, where material, have been provided. </w:t>
      </w:r>
    </w:p>
    <w:p w14:paraId="16300D1E" w14:textId="77777777" w:rsidR="00823C0E" w:rsidRDefault="00823C0E" w:rsidP="009D33A8">
      <w:pPr>
        <w:sectPr w:rsidR="00823C0E" w:rsidSect="00823C0E">
          <w:type w:val="continuous"/>
          <w:pgSz w:w="11906" w:h="16838" w:code="9"/>
          <w:pgMar w:top="1134" w:right="1134" w:bottom="1134" w:left="1134" w:header="624" w:footer="567" w:gutter="0"/>
          <w:cols w:num="2" w:space="708"/>
          <w:docGrid w:linePitch="360"/>
        </w:sectPr>
      </w:pPr>
    </w:p>
    <w:p w14:paraId="46BD9CB7" w14:textId="77777777" w:rsidR="009D33A8" w:rsidRDefault="009D33A8" w:rsidP="009D33A8"/>
    <w:p w14:paraId="2E746B7B" w14:textId="77777777" w:rsidR="009D33A8" w:rsidRDefault="009D33A8" w:rsidP="009D33A8">
      <w:pPr>
        <w:pStyle w:val="Heading3"/>
      </w:pPr>
    </w:p>
    <w:p w14:paraId="434C1192" w14:textId="77777777" w:rsidR="009D33A8" w:rsidRDefault="009D33A8" w:rsidP="009D33A8"/>
    <w:p w14:paraId="584AD73E" w14:textId="77777777" w:rsidR="009D33A8" w:rsidRDefault="009D33A8" w:rsidP="004610D1">
      <w:pPr>
        <w:pStyle w:val="TableHeading"/>
        <w:pageBreakBefore/>
        <w:spacing w:before="0"/>
      </w:pPr>
      <w:r>
        <w:lastRenderedPageBreak/>
        <w:t>Consolidated comprehensive operating statement for the financial year ending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OS_ material_variance|TableGroup:Investment in other sectors"/>
      </w:tblPr>
      <w:tblGrid>
        <w:gridCol w:w="3544"/>
        <w:gridCol w:w="567"/>
        <w:gridCol w:w="851"/>
        <w:gridCol w:w="850"/>
        <w:gridCol w:w="851"/>
        <w:gridCol w:w="850"/>
        <w:gridCol w:w="709"/>
        <w:gridCol w:w="850"/>
        <w:gridCol w:w="566"/>
      </w:tblGrid>
      <w:tr w:rsidR="005E614D" w14:paraId="33F904FB"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74448760" w14:textId="77777777" w:rsidR="005E614D" w:rsidRDefault="000C3A94">
            <w:pPr>
              <w:keepNext/>
            </w:pPr>
            <w:r>
              <w:t>General government sector</w:t>
            </w:r>
          </w:p>
        </w:tc>
        <w:tc>
          <w:tcPr>
            <w:tcW w:w="567" w:type="dxa"/>
          </w:tcPr>
          <w:p w14:paraId="040A6DDB"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51" w:type="dxa"/>
          </w:tcPr>
          <w:p w14:paraId="1F252754"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Published budget</w:t>
            </w:r>
          </w:p>
        </w:tc>
        <w:tc>
          <w:tcPr>
            <w:tcW w:w="850" w:type="dxa"/>
          </w:tcPr>
          <w:p w14:paraId="6F6280E7"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30F8116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 actual</w:t>
            </w:r>
          </w:p>
        </w:tc>
        <w:tc>
          <w:tcPr>
            <w:tcW w:w="850" w:type="dxa"/>
          </w:tcPr>
          <w:p w14:paraId="37BFB2FF"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5042A4A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w:t>
            </w:r>
          </w:p>
        </w:tc>
        <w:tc>
          <w:tcPr>
            <w:tcW w:w="850" w:type="dxa"/>
          </w:tcPr>
          <w:p w14:paraId="27B431A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566" w:type="dxa"/>
          </w:tcPr>
          <w:p w14:paraId="46E0AA7B"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w:t>
            </w:r>
          </w:p>
        </w:tc>
      </w:tr>
      <w:tr w:rsidR="005E614D" w14:paraId="192E97A3" w14:textId="77777777">
        <w:tc>
          <w:tcPr>
            <w:cnfStyle w:val="001000000000" w:firstRow="0" w:lastRow="0" w:firstColumn="1" w:lastColumn="0" w:oddVBand="0" w:evenVBand="0" w:oddHBand="0" w:evenHBand="0" w:firstRowFirstColumn="0" w:firstRowLastColumn="0" w:lastRowFirstColumn="0" w:lastRowLastColumn="0"/>
            <w:tcW w:w="3544" w:type="dxa"/>
          </w:tcPr>
          <w:p w14:paraId="7340D1EB" w14:textId="77777777" w:rsidR="005E614D" w:rsidRDefault="000C3A94">
            <w:r>
              <w:rPr>
                <w:b/>
              </w:rPr>
              <w:t>Revenue and income from transactions</w:t>
            </w:r>
          </w:p>
        </w:tc>
        <w:tc>
          <w:tcPr>
            <w:tcW w:w="567" w:type="dxa"/>
          </w:tcPr>
          <w:p w14:paraId="18C2222E"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6AA5F14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7B266EA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0C702DE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469CB42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04B91F5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4CF3B27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3C11FD4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1F748B4D" w14:textId="77777777">
        <w:tc>
          <w:tcPr>
            <w:cnfStyle w:val="001000000000" w:firstRow="0" w:lastRow="0" w:firstColumn="1" w:lastColumn="0" w:oddVBand="0" w:evenVBand="0" w:oddHBand="0" w:evenHBand="0" w:firstRowFirstColumn="0" w:firstRowLastColumn="0" w:lastRowFirstColumn="0" w:lastRowLastColumn="0"/>
            <w:tcW w:w="3544" w:type="dxa"/>
          </w:tcPr>
          <w:p w14:paraId="2B7C11F2" w14:textId="77777777" w:rsidR="005E614D" w:rsidRDefault="000C3A94">
            <w:r>
              <w:t>Taxation</w:t>
            </w:r>
          </w:p>
        </w:tc>
        <w:tc>
          <w:tcPr>
            <w:tcW w:w="567" w:type="dxa"/>
          </w:tcPr>
          <w:p w14:paraId="51C94090"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0BEB160" w14:textId="77777777" w:rsidR="005E614D" w:rsidRDefault="000C3A94">
            <w:pPr>
              <w:cnfStyle w:val="000000000000" w:firstRow="0" w:lastRow="0" w:firstColumn="0" w:lastColumn="0" w:oddVBand="0" w:evenVBand="0" w:oddHBand="0" w:evenHBand="0" w:firstRowFirstColumn="0" w:firstRowLastColumn="0" w:lastRowFirstColumn="0" w:lastRowLastColumn="0"/>
            </w:pPr>
            <w:r>
              <w:t>38 979</w:t>
            </w:r>
          </w:p>
        </w:tc>
        <w:tc>
          <w:tcPr>
            <w:tcW w:w="850" w:type="dxa"/>
          </w:tcPr>
          <w:p w14:paraId="1EA77A48" w14:textId="77777777" w:rsidR="005E614D" w:rsidRDefault="000C3A94">
            <w:pPr>
              <w:cnfStyle w:val="000000000000" w:firstRow="0" w:lastRow="0" w:firstColumn="0" w:lastColumn="0" w:oddVBand="0" w:evenVBand="0" w:oddHBand="0" w:evenHBand="0" w:firstRowFirstColumn="0" w:firstRowLastColumn="0" w:lastRowFirstColumn="0" w:lastRowLastColumn="0"/>
            </w:pPr>
            <w:r>
              <w:t>39 152</w:t>
            </w:r>
          </w:p>
        </w:tc>
        <w:tc>
          <w:tcPr>
            <w:tcW w:w="851" w:type="dxa"/>
          </w:tcPr>
          <w:p w14:paraId="1A0ADDCC" w14:textId="77777777" w:rsidR="005E614D" w:rsidRDefault="000C3A94">
            <w:pPr>
              <w:cnfStyle w:val="000000000000" w:firstRow="0" w:lastRow="0" w:firstColumn="0" w:lastColumn="0" w:oddVBand="0" w:evenVBand="0" w:oddHBand="0" w:evenHBand="0" w:firstRowFirstColumn="0" w:firstRowLastColumn="0" w:lastRowFirstColumn="0" w:lastRowLastColumn="0"/>
            </w:pPr>
            <w:r>
              <w:t>38 942</w:t>
            </w:r>
          </w:p>
        </w:tc>
        <w:tc>
          <w:tcPr>
            <w:tcW w:w="850" w:type="dxa"/>
          </w:tcPr>
          <w:p w14:paraId="2DEB9315" w14:textId="77777777" w:rsidR="005E614D" w:rsidRDefault="000C3A94">
            <w:pPr>
              <w:cnfStyle w:val="000000000000" w:firstRow="0" w:lastRow="0" w:firstColumn="0" w:lastColumn="0" w:oddVBand="0" w:evenVBand="0" w:oddHBand="0" w:evenHBand="0" w:firstRowFirstColumn="0" w:firstRowLastColumn="0" w:lastRowFirstColumn="0" w:lastRowLastColumn="0"/>
            </w:pPr>
            <w:r>
              <w:t>(36)</w:t>
            </w:r>
          </w:p>
        </w:tc>
        <w:tc>
          <w:tcPr>
            <w:tcW w:w="709" w:type="dxa"/>
          </w:tcPr>
          <w:p w14:paraId="41765A6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4771016" w14:textId="77777777" w:rsidR="005E614D" w:rsidRDefault="000C3A94">
            <w:pPr>
              <w:cnfStyle w:val="000000000000" w:firstRow="0" w:lastRow="0" w:firstColumn="0" w:lastColumn="0" w:oddVBand="0" w:evenVBand="0" w:oddHBand="0" w:evenHBand="0" w:firstRowFirstColumn="0" w:firstRowLastColumn="0" w:lastRowFirstColumn="0" w:lastRowLastColumn="0"/>
            </w:pPr>
            <w:r>
              <w:t>(210)</w:t>
            </w:r>
          </w:p>
        </w:tc>
        <w:tc>
          <w:tcPr>
            <w:tcW w:w="566" w:type="dxa"/>
          </w:tcPr>
          <w:p w14:paraId="16B100B3"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7D45F4CA" w14:textId="77777777">
        <w:tc>
          <w:tcPr>
            <w:cnfStyle w:val="001000000000" w:firstRow="0" w:lastRow="0" w:firstColumn="1" w:lastColumn="0" w:oddVBand="0" w:evenVBand="0" w:oddHBand="0" w:evenHBand="0" w:firstRowFirstColumn="0" w:firstRowLastColumn="0" w:lastRowFirstColumn="0" w:lastRowLastColumn="0"/>
            <w:tcW w:w="3544" w:type="dxa"/>
          </w:tcPr>
          <w:p w14:paraId="5510CC42" w14:textId="77777777" w:rsidR="005E614D" w:rsidRDefault="000C3A94">
            <w:r>
              <w:t>Interest income</w:t>
            </w:r>
          </w:p>
        </w:tc>
        <w:tc>
          <w:tcPr>
            <w:tcW w:w="567" w:type="dxa"/>
          </w:tcPr>
          <w:p w14:paraId="0078DE2A"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(a)</w:t>
            </w:r>
          </w:p>
        </w:tc>
        <w:tc>
          <w:tcPr>
            <w:tcW w:w="851" w:type="dxa"/>
          </w:tcPr>
          <w:p w14:paraId="37EFB119" w14:textId="77777777" w:rsidR="005E614D" w:rsidRDefault="000C3A94">
            <w:pPr>
              <w:cnfStyle w:val="000000000000" w:firstRow="0" w:lastRow="0" w:firstColumn="0" w:lastColumn="0" w:oddVBand="0" w:evenVBand="0" w:oddHBand="0" w:evenHBand="0" w:firstRowFirstColumn="0" w:firstRowLastColumn="0" w:lastRowFirstColumn="0" w:lastRowLastColumn="0"/>
            </w:pPr>
            <w:r>
              <w:t>1 283</w:t>
            </w:r>
          </w:p>
        </w:tc>
        <w:tc>
          <w:tcPr>
            <w:tcW w:w="850" w:type="dxa"/>
          </w:tcPr>
          <w:p w14:paraId="0169DCA3" w14:textId="77777777" w:rsidR="005E614D" w:rsidRDefault="000C3A94">
            <w:pPr>
              <w:cnfStyle w:val="000000000000" w:firstRow="0" w:lastRow="0" w:firstColumn="0" w:lastColumn="0" w:oddVBand="0" w:evenVBand="0" w:oddHBand="0" w:evenHBand="0" w:firstRowFirstColumn="0" w:firstRowLastColumn="0" w:lastRowFirstColumn="0" w:lastRowLastColumn="0"/>
            </w:pPr>
            <w:r>
              <w:t>1 502</w:t>
            </w:r>
          </w:p>
        </w:tc>
        <w:tc>
          <w:tcPr>
            <w:tcW w:w="851" w:type="dxa"/>
          </w:tcPr>
          <w:p w14:paraId="5541FBE8" w14:textId="77777777" w:rsidR="005E614D" w:rsidRDefault="000C3A94">
            <w:pPr>
              <w:cnfStyle w:val="000000000000" w:firstRow="0" w:lastRow="0" w:firstColumn="0" w:lastColumn="0" w:oddVBand="0" w:evenVBand="0" w:oddHBand="0" w:evenHBand="0" w:firstRowFirstColumn="0" w:firstRowLastColumn="0" w:lastRowFirstColumn="0" w:lastRowLastColumn="0"/>
            </w:pPr>
            <w:r>
              <w:t>1 546</w:t>
            </w:r>
          </w:p>
        </w:tc>
        <w:tc>
          <w:tcPr>
            <w:tcW w:w="850" w:type="dxa"/>
          </w:tcPr>
          <w:p w14:paraId="5F69D0F1" w14:textId="77777777" w:rsidR="005E614D" w:rsidRDefault="000C3A94">
            <w:pPr>
              <w:cnfStyle w:val="000000000000" w:firstRow="0" w:lastRow="0" w:firstColumn="0" w:lastColumn="0" w:oddVBand="0" w:evenVBand="0" w:oddHBand="0" w:evenHBand="0" w:firstRowFirstColumn="0" w:firstRowLastColumn="0" w:lastRowFirstColumn="0" w:lastRowLastColumn="0"/>
            </w:pPr>
            <w:r>
              <w:t>263</w:t>
            </w:r>
          </w:p>
        </w:tc>
        <w:tc>
          <w:tcPr>
            <w:tcW w:w="709" w:type="dxa"/>
          </w:tcPr>
          <w:p w14:paraId="798194CC" w14:textId="77777777" w:rsidR="005E614D" w:rsidRDefault="000C3A94">
            <w:pPr>
              <w:cnfStyle w:val="000000000000" w:firstRow="0" w:lastRow="0" w:firstColumn="0" w:lastColumn="0" w:oddVBand="0" w:evenVBand="0" w:oddHBand="0" w:evenHBand="0" w:firstRowFirstColumn="0" w:firstRowLastColumn="0" w:lastRowFirstColumn="0" w:lastRowLastColumn="0"/>
            </w:pPr>
            <w:r>
              <w:t>20</w:t>
            </w:r>
          </w:p>
        </w:tc>
        <w:tc>
          <w:tcPr>
            <w:tcW w:w="850" w:type="dxa"/>
          </w:tcPr>
          <w:p w14:paraId="7B3661D9" w14:textId="77777777" w:rsidR="005E614D" w:rsidRDefault="000C3A94">
            <w:pPr>
              <w:cnfStyle w:val="000000000000" w:firstRow="0" w:lastRow="0" w:firstColumn="0" w:lastColumn="0" w:oddVBand="0" w:evenVBand="0" w:oddHBand="0" w:evenHBand="0" w:firstRowFirstColumn="0" w:firstRowLastColumn="0" w:lastRowFirstColumn="0" w:lastRowLastColumn="0"/>
            </w:pPr>
            <w:r>
              <w:t>44</w:t>
            </w:r>
          </w:p>
        </w:tc>
        <w:tc>
          <w:tcPr>
            <w:tcW w:w="566" w:type="dxa"/>
          </w:tcPr>
          <w:p w14:paraId="7054B8E4"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r w:rsidR="005E614D" w14:paraId="223C314E" w14:textId="77777777">
        <w:tc>
          <w:tcPr>
            <w:cnfStyle w:val="001000000000" w:firstRow="0" w:lastRow="0" w:firstColumn="1" w:lastColumn="0" w:oddVBand="0" w:evenVBand="0" w:oddHBand="0" w:evenHBand="0" w:firstRowFirstColumn="0" w:firstRowLastColumn="0" w:lastRowFirstColumn="0" w:lastRowLastColumn="0"/>
            <w:tcW w:w="3544" w:type="dxa"/>
          </w:tcPr>
          <w:p w14:paraId="7FCCF439" w14:textId="77777777" w:rsidR="005E614D" w:rsidRDefault="000C3A94">
            <w:r>
              <w:t>Dividends and income tax equivalent income</w:t>
            </w:r>
          </w:p>
        </w:tc>
        <w:tc>
          <w:tcPr>
            <w:tcW w:w="567" w:type="dxa"/>
          </w:tcPr>
          <w:p w14:paraId="74C21EDF"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(b)</w:t>
            </w:r>
          </w:p>
        </w:tc>
        <w:tc>
          <w:tcPr>
            <w:tcW w:w="851" w:type="dxa"/>
          </w:tcPr>
          <w:p w14:paraId="56274E11" w14:textId="77777777" w:rsidR="005E614D" w:rsidRDefault="000C3A94">
            <w:pPr>
              <w:cnfStyle w:val="000000000000" w:firstRow="0" w:lastRow="0" w:firstColumn="0" w:lastColumn="0" w:oddVBand="0" w:evenVBand="0" w:oddHBand="0" w:evenHBand="0" w:firstRowFirstColumn="0" w:firstRowLastColumn="0" w:lastRowFirstColumn="0" w:lastRowLastColumn="0"/>
            </w:pPr>
            <w:r>
              <w:t>1 015</w:t>
            </w:r>
          </w:p>
        </w:tc>
        <w:tc>
          <w:tcPr>
            <w:tcW w:w="850" w:type="dxa"/>
          </w:tcPr>
          <w:p w14:paraId="3CEAC229" w14:textId="77777777" w:rsidR="005E614D" w:rsidRDefault="000C3A94">
            <w:pPr>
              <w:cnfStyle w:val="000000000000" w:firstRow="0" w:lastRow="0" w:firstColumn="0" w:lastColumn="0" w:oddVBand="0" w:evenVBand="0" w:oddHBand="0" w:evenHBand="0" w:firstRowFirstColumn="0" w:firstRowLastColumn="0" w:lastRowFirstColumn="0" w:lastRowLastColumn="0"/>
            </w:pPr>
            <w:r>
              <w:t>2 341</w:t>
            </w:r>
          </w:p>
        </w:tc>
        <w:tc>
          <w:tcPr>
            <w:tcW w:w="851" w:type="dxa"/>
          </w:tcPr>
          <w:p w14:paraId="15276C86" w14:textId="77777777" w:rsidR="005E614D" w:rsidRDefault="000C3A94">
            <w:pPr>
              <w:cnfStyle w:val="000000000000" w:firstRow="0" w:lastRow="0" w:firstColumn="0" w:lastColumn="0" w:oddVBand="0" w:evenVBand="0" w:oddHBand="0" w:evenHBand="0" w:firstRowFirstColumn="0" w:firstRowLastColumn="0" w:lastRowFirstColumn="0" w:lastRowLastColumn="0"/>
            </w:pPr>
            <w:r>
              <w:t>2 284</w:t>
            </w:r>
          </w:p>
        </w:tc>
        <w:tc>
          <w:tcPr>
            <w:tcW w:w="850" w:type="dxa"/>
          </w:tcPr>
          <w:p w14:paraId="247B0B0D" w14:textId="77777777" w:rsidR="005E614D" w:rsidRDefault="000C3A94">
            <w:pPr>
              <w:cnfStyle w:val="000000000000" w:firstRow="0" w:lastRow="0" w:firstColumn="0" w:lastColumn="0" w:oddVBand="0" w:evenVBand="0" w:oddHBand="0" w:evenHBand="0" w:firstRowFirstColumn="0" w:firstRowLastColumn="0" w:lastRowFirstColumn="0" w:lastRowLastColumn="0"/>
            </w:pPr>
            <w:r>
              <w:t>1 269</w:t>
            </w:r>
          </w:p>
        </w:tc>
        <w:tc>
          <w:tcPr>
            <w:tcW w:w="709" w:type="dxa"/>
          </w:tcPr>
          <w:p w14:paraId="1F63B84F" w14:textId="77777777" w:rsidR="005E614D" w:rsidRDefault="000C3A94">
            <w:pPr>
              <w:cnfStyle w:val="000000000000" w:firstRow="0" w:lastRow="0" w:firstColumn="0" w:lastColumn="0" w:oddVBand="0" w:evenVBand="0" w:oddHBand="0" w:evenHBand="0" w:firstRowFirstColumn="0" w:firstRowLastColumn="0" w:lastRowFirstColumn="0" w:lastRowLastColumn="0"/>
            </w:pPr>
            <w:r>
              <w:t>125</w:t>
            </w:r>
          </w:p>
        </w:tc>
        <w:tc>
          <w:tcPr>
            <w:tcW w:w="850" w:type="dxa"/>
          </w:tcPr>
          <w:p w14:paraId="4FA26638" w14:textId="77777777" w:rsidR="005E614D" w:rsidRDefault="000C3A94">
            <w:pPr>
              <w:cnfStyle w:val="000000000000" w:firstRow="0" w:lastRow="0" w:firstColumn="0" w:lastColumn="0" w:oddVBand="0" w:evenVBand="0" w:oddHBand="0" w:evenHBand="0" w:firstRowFirstColumn="0" w:firstRowLastColumn="0" w:lastRowFirstColumn="0" w:lastRowLastColumn="0"/>
            </w:pPr>
            <w:r>
              <w:t>(57)</w:t>
            </w:r>
          </w:p>
        </w:tc>
        <w:tc>
          <w:tcPr>
            <w:tcW w:w="566" w:type="dxa"/>
          </w:tcPr>
          <w:p w14:paraId="2438630A"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0151D1DD" w14:textId="77777777">
        <w:tc>
          <w:tcPr>
            <w:cnfStyle w:val="001000000000" w:firstRow="0" w:lastRow="0" w:firstColumn="1" w:lastColumn="0" w:oddVBand="0" w:evenVBand="0" w:oddHBand="0" w:evenHBand="0" w:firstRowFirstColumn="0" w:firstRowLastColumn="0" w:lastRowFirstColumn="0" w:lastRowLastColumn="0"/>
            <w:tcW w:w="3544" w:type="dxa"/>
          </w:tcPr>
          <w:p w14:paraId="7A3C396D" w14:textId="77777777" w:rsidR="005E614D" w:rsidRDefault="000C3A94">
            <w:r>
              <w:t>Sales of goods and services</w:t>
            </w:r>
          </w:p>
        </w:tc>
        <w:tc>
          <w:tcPr>
            <w:tcW w:w="567" w:type="dxa"/>
          </w:tcPr>
          <w:p w14:paraId="7373FE5C"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3F201B0" w14:textId="77777777" w:rsidR="005E614D" w:rsidRDefault="000C3A94">
            <w:pPr>
              <w:cnfStyle w:val="000000000000" w:firstRow="0" w:lastRow="0" w:firstColumn="0" w:lastColumn="0" w:oddVBand="0" w:evenVBand="0" w:oddHBand="0" w:evenHBand="0" w:firstRowFirstColumn="0" w:firstRowLastColumn="0" w:lastRowFirstColumn="0" w:lastRowLastColumn="0"/>
            </w:pPr>
            <w:r>
              <w:t>6 794</w:t>
            </w:r>
          </w:p>
        </w:tc>
        <w:tc>
          <w:tcPr>
            <w:tcW w:w="850" w:type="dxa"/>
          </w:tcPr>
          <w:p w14:paraId="363796ED" w14:textId="77777777" w:rsidR="005E614D" w:rsidRDefault="000C3A94">
            <w:pPr>
              <w:cnfStyle w:val="000000000000" w:firstRow="0" w:lastRow="0" w:firstColumn="0" w:lastColumn="0" w:oddVBand="0" w:evenVBand="0" w:oddHBand="0" w:evenHBand="0" w:firstRowFirstColumn="0" w:firstRowLastColumn="0" w:lastRowFirstColumn="0" w:lastRowLastColumn="0"/>
            </w:pPr>
            <w:r>
              <w:t>6 723</w:t>
            </w:r>
          </w:p>
        </w:tc>
        <w:tc>
          <w:tcPr>
            <w:tcW w:w="851" w:type="dxa"/>
          </w:tcPr>
          <w:p w14:paraId="0DA5E1B6" w14:textId="77777777" w:rsidR="005E614D" w:rsidRDefault="000C3A94">
            <w:pPr>
              <w:cnfStyle w:val="000000000000" w:firstRow="0" w:lastRow="0" w:firstColumn="0" w:lastColumn="0" w:oddVBand="0" w:evenVBand="0" w:oddHBand="0" w:evenHBand="0" w:firstRowFirstColumn="0" w:firstRowLastColumn="0" w:lastRowFirstColumn="0" w:lastRowLastColumn="0"/>
            </w:pPr>
            <w:r>
              <w:t>6 893</w:t>
            </w:r>
          </w:p>
        </w:tc>
        <w:tc>
          <w:tcPr>
            <w:tcW w:w="850" w:type="dxa"/>
          </w:tcPr>
          <w:p w14:paraId="2FD0ADE7" w14:textId="77777777" w:rsidR="005E614D" w:rsidRDefault="000C3A94">
            <w:pPr>
              <w:cnfStyle w:val="000000000000" w:firstRow="0" w:lastRow="0" w:firstColumn="0" w:lastColumn="0" w:oddVBand="0" w:evenVBand="0" w:oddHBand="0" w:evenHBand="0" w:firstRowFirstColumn="0" w:firstRowLastColumn="0" w:lastRowFirstColumn="0" w:lastRowLastColumn="0"/>
            </w:pPr>
            <w:r>
              <w:t>99</w:t>
            </w:r>
          </w:p>
        </w:tc>
        <w:tc>
          <w:tcPr>
            <w:tcW w:w="709" w:type="dxa"/>
          </w:tcPr>
          <w:p w14:paraId="73AC45E4"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330226E7" w14:textId="77777777" w:rsidR="005E614D" w:rsidRDefault="000C3A94">
            <w:pPr>
              <w:cnfStyle w:val="000000000000" w:firstRow="0" w:lastRow="0" w:firstColumn="0" w:lastColumn="0" w:oddVBand="0" w:evenVBand="0" w:oddHBand="0" w:evenHBand="0" w:firstRowFirstColumn="0" w:firstRowLastColumn="0" w:lastRowFirstColumn="0" w:lastRowLastColumn="0"/>
            </w:pPr>
            <w:r>
              <w:t>170</w:t>
            </w:r>
          </w:p>
        </w:tc>
        <w:tc>
          <w:tcPr>
            <w:tcW w:w="566" w:type="dxa"/>
          </w:tcPr>
          <w:p w14:paraId="749B351F"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r w:rsidR="005E614D" w14:paraId="4CDB8331" w14:textId="77777777">
        <w:tc>
          <w:tcPr>
            <w:cnfStyle w:val="001000000000" w:firstRow="0" w:lastRow="0" w:firstColumn="1" w:lastColumn="0" w:oddVBand="0" w:evenVBand="0" w:oddHBand="0" w:evenHBand="0" w:firstRowFirstColumn="0" w:firstRowLastColumn="0" w:lastRowFirstColumn="0" w:lastRowLastColumn="0"/>
            <w:tcW w:w="3544" w:type="dxa"/>
          </w:tcPr>
          <w:p w14:paraId="3AECB878" w14:textId="77777777" w:rsidR="005E614D" w:rsidRDefault="000C3A94">
            <w:r>
              <w:t>Grants</w:t>
            </w:r>
          </w:p>
        </w:tc>
        <w:tc>
          <w:tcPr>
            <w:tcW w:w="567" w:type="dxa"/>
          </w:tcPr>
          <w:p w14:paraId="266D9B61"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(c)</w:t>
            </w:r>
          </w:p>
        </w:tc>
        <w:tc>
          <w:tcPr>
            <w:tcW w:w="851" w:type="dxa"/>
          </w:tcPr>
          <w:p w14:paraId="55EE97A0" w14:textId="77777777" w:rsidR="005E614D" w:rsidRDefault="000C3A94">
            <w:pPr>
              <w:cnfStyle w:val="000000000000" w:firstRow="0" w:lastRow="0" w:firstColumn="0" w:lastColumn="0" w:oddVBand="0" w:evenVBand="0" w:oddHBand="0" w:evenHBand="0" w:firstRowFirstColumn="0" w:firstRowLastColumn="0" w:lastRowFirstColumn="0" w:lastRowLastColumn="0"/>
            </w:pPr>
            <w:r>
              <w:t>44 812</w:t>
            </w:r>
          </w:p>
        </w:tc>
        <w:tc>
          <w:tcPr>
            <w:tcW w:w="850" w:type="dxa"/>
          </w:tcPr>
          <w:p w14:paraId="3D3BC897" w14:textId="77777777" w:rsidR="005E614D" w:rsidRDefault="000C3A94">
            <w:pPr>
              <w:cnfStyle w:val="000000000000" w:firstRow="0" w:lastRow="0" w:firstColumn="0" w:lastColumn="0" w:oddVBand="0" w:evenVBand="0" w:oddHBand="0" w:evenHBand="0" w:firstRowFirstColumn="0" w:firstRowLastColumn="0" w:lastRowFirstColumn="0" w:lastRowLastColumn="0"/>
            </w:pPr>
            <w:r>
              <w:t>46 857</w:t>
            </w:r>
          </w:p>
        </w:tc>
        <w:tc>
          <w:tcPr>
            <w:tcW w:w="851" w:type="dxa"/>
          </w:tcPr>
          <w:p w14:paraId="398B1F2C" w14:textId="77777777" w:rsidR="005E614D" w:rsidRDefault="000C3A94">
            <w:pPr>
              <w:cnfStyle w:val="000000000000" w:firstRow="0" w:lastRow="0" w:firstColumn="0" w:lastColumn="0" w:oddVBand="0" w:evenVBand="0" w:oddHBand="0" w:evenHBand="0" w:firstRowFirstColumn="0" w:firstRowLastColumn="0" w:lastRowFirstColumn="0" w:lastRowLastColumn="0"/>
            </w:pPr>
            <w:r>
              <w:t>47 304</w:t>
            </w:r>
          </w:p>
        </w:tc>
        <w:tc>
          <w:tcPr>
            <w:tcW w:w="850" w:type="dxa"/>
          </w:tcPr>
          <w:p w14:paraId="2937BE6A" w14:textId="77777777" w:rsidR="005E614D" w:rsidRDefault="000C3A94">
            <w:pPr>
              <w:cnfStyle w:val="000000000000" w:firstRow="0" w:lastRow="0" w:firstColumn="0" w:lastColumn="0" w:oddVBand="0" w:evenVBand="0" w:oddHBand="0" w:evenHBand="0" w:firstRowFirstColumn="0" w:firstRowLastColumn="0" w:lastRowFirstColumn="0" w:lastRowLastColumn="0"/>
            </w:pPr>
            <w:r>
              <w:t>2 492</w:t>
            </w:r>
          </w:p>
        </w:tc>
        <w:tc>
          <w:tcPr>
            <w:tcW w:w="709" w:type="dxa"/>
          </w:tcPr>
          <w:p w14:paraId="5A90C3C5" w14:textId="77777777" w:rsidR="005E614D" w:rsidRDefault="000C3A94">
            <w:pPr>
              <w:cnfStyle w:val="000000000000" w:firstRow="0" w:lastRow="0" w:firstColumn="0" w:lastColumn="0" w:oddVBand="0" w:evenVBand="0" w:oddHBand="0" w:evenHBand="0" w:firstRowFirstColumn="0" w:firstRowLastColumn="0" w:lastRowFirstColumn="0" w:lastRowLastColumn="0"/>
            </w:pPr>
            <w:r>
              <w:t>6</w:t>
            </w:r>
          </w:p>
        </w:tc>
        <w:tc>
          <w:tcPr>
            <w:tcW w:w="850" w:type="dxa"/>
          </w:tcPr>
          <w:p w14:paraId="7EB33F8B" w14:textId="77777777" w:rsidR="005E614D" w:rsidRDefault="000C3A94">
            <w:pPr>
              <w:cnfStyle w:val="000000000000" w:firstRow="0" w:lastRow="0" w:firstColumn="0" w:lastColumn="0" w:oddVBand="0" w:evenVBand="0" w:oddHBand="0" w:evenHBand="0" w:firstRowFirstColumn="0" w:firstRowLastColumn="0" w:lastRowFirstColumn="0" w:lastRowLastColumn="0"/>
            </w:pPr>
            <w:r>
              <w:t>447</w:t>
            </w:r>
          </w:p>
        </w:tc>
        <w:tc>
          <w:tcPr>
            <w:tcW w:w="566" w:type="dxa"/>
          </w:tcPr>
          <w:p w14:paraId="3D99B5AD"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5EBFA82C"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C44C45F" w14:textId="77777777" w:rsidR="005E614D" w:rsidRDefault="000C3A94">
            <w:r>
              <w:t>Other revenue and income</w:t>
            </w:r>
          </w:p>
        </w:tc>
        <w:tc>
          <w:tcPr>
            <w:tcW w:w="567" w:type="dxa"/>
            <w:tcBorders>
              <w:bottom w:val="single" w:sz="6" w:space="0" w:color="auto"/>
            </w:tcBorders>
          </w:tcPr>
          <w:p w14:paraId="152E34A0"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(d)</w:t>
            </w:r>
          </w:p>
        </w:tc>
        <w:tc>
          <w:tcPr>
            <w:tcW w:w="851" w:type="dxa"/>
            <w:tcBorders>
              <w:bottom w:val="single" w:sz="6" w:space="0" w:color="auto"/>
            </w:tcBorders>
          </w:tcPr>
          <w:p w14:paraId="28A595E0" w14:textId="77777777" w:rsidR="005E614D" w:rsidRDefault="000C3A94">
            <w:pPr>
              <w:cnfStyle w:val="000000000000" w:firstRow="0" w:lastRow="0" w:firstColumn="0" w:lastColumn="0" w:oddVBand="0" w:evenVBand="0" w:oddHBand="0" w:evenHBand="0" w:firstRowFirstColumn="0" w:firstRowLastColumn="0" w:lastRowFirstColumn="0" w:lastRowLastColumn="0"/>
            </w:pPr>
            <w:r>
              <w:t>3 201</w:t>
            </w:r>
          </w:p>
        </w:tc>
        <w:tc>
          <w:tcPr>
            <w:tcW w:w="850" w:type="dxa"/>
            <w:tcBorders>
              <w:bottom w:val="single" w:sz="6" w:space="0" w:color="auto"/>
            </w:tcBorders>
          </w:tcPr>
          <w:p w14:paraId="73736B3E" w14:textId="77777777" w:rsidR="005E614D" w:rsidRDefault="000C3A94">
            <w:pPr>
              <w:cnfStyle w:val="000000000000" w:firstRow="0" w:lastRow="0" w:firstColumn="0" w:lastColumn="0" w:oddVBand="0" w:evenVBand="0" w:oddHBand="0" w:evenHBand="0" w:firstRowFirstColumn="0" w:firstRowLastColumn="0" w:lastRowFirstColumn="0" w:lastRowLastColumn="0"/>
            </w:pPr>
            <w:r>
              <w:t>4 057</w:t>
            </w:r>
          </w:p>
        </w:tc>
        <w:tc>
          <w:tcPr>
            <w:tcW w:w="851" w:type="dxa"/>
            <w:tcBorders>
              <w:bottom w:val="single" w:sz="6" w:space="0" w:color="auto"/>
            </w:tcBorders>
          </w:tcPr>
          <w:p w14:paraId="2DE6248F" w14:textId="77777777" w:rsidR="005E614D" w:rsidRDefault="000C3A94">
            <w:pPr>
              <w:cnfStyle w:val="000000000000" w:firstRow="0" w:lastRow="0" w:firstColumn="0" w:lastColumn="0" w:oddVBand="0" w:evenVBand="0" w:oddHBand="0" w:evenHBand="0" w:firstRowFirstColumn="0" w:firstRowLastColumn="0" w:lastRowFirstColumn="0" w:lastRowLastColumn="0"/>
            </w:pPr>
            <w:r>
              <w:t>4 411</w:t>
            </w:r>
          </w:p>
        </w:tc>
        <w:tc>
          <w:tcPr>
            <w:tcW w:w="850" w:type="dxa"/>
            <w:tcBorders>
              <w:bottom w:val="single" w:sz="6" w:space="0" w:color="auto"/>
            </w:tcBorders>
          </w:tcPr>
          <w:p w14:paraId="71153F50" w14:textId="77777777" w:rsidR="005E614D" w:rsidRDefault="000C3A94">
            <w:pPr>
              <w:cnfStyle w:val="000000000000" w:firstRow="0" w:lastRow="0" w:firstColumn="0" w:lastColumn="0" w:oddVBand="0" w:evenVBand="0" w:oddHBand="0" w:evenHBand="0" w:firstRowFirstColumn="0" w:firstRowLastColumn="0" w:lastRowFirstColumn="0" w:lastRowLastColumn="0"/>
            </w:pPr>
            <w:r>
              <w:t>1 210</w:t>
            </w:r>
          </w:p>
        </w:tc>
        <w:tc>
          <w:tcPr>
            <w:tcW w:w="709" w:type="dxa"/>
            <w:tcBorders>
              <w:bottom w:val="single" w:sz="6" w:space="0" w:color="auto"/>
            </w:tcBorders>
          </w:tcPr>
          <w:p w14:paraId="572AD733" w14:textId="77777777" w:rsidR="005E614D" w:rsidRDefault="000C3A94">
            <w:pPr>
              <w:cnfStyle w:val="000000000000" w:firstRow="0" w:lastRow="0" w:firstColumn="0" w:lastColumn="0" w:oddVBand="0" w:evenVBand="0" w:oddHBand="0" w:evenHBand="0" w:firstRowFirstColumn="0" w:firstRowLastColumn="0" w:lastRowFirstColumn="0" w:lastRowLastColumn="0"/>
            </w:pPr>
            <w:r>
              <w:t>38</w:t>
            </w:r>
          </w:p>
        </w:tc>
        <w:tc>
          <w:tcPr>
            <w:tcW w:w="850" w:type="dxa"/>
            <w:tcBorders>
              <w:bottom w:val="single" w:sz="6" w:space="0" w:color="auto"/>
            </w:tcBorders>
          </w:tcPr>
          <w:p w14:paraId="218E922D" w14:textId="77777777" w:rsidR="005E614D" w:rsidRDefault="000C3A94">
            <w:pPr>
              <w:cnfStyle w:val="000000000000" w:firstRow="0" w:lastRow="0" w:firstColumn="0" w:lastColumn="0" w:oddVBand="0" w:evenVBand="0" w:oddHBand="0" w:evenHBand="0" w:firstRowFirstColumn="0" w:firstRowLastColumn="0" w:lastRowFirstColumn="0" w:lastRowLastColumn="0"/>
            </w:pPr>
            <w:r>
              <w:t>354</w:t>
            </w:r>
          </w:p>
        </w:tc>
        <w:tc>
          <w:tcPr>
            <w:tcW w:w="566" w:type="dxa"/>
            <w:tcBorders>
              <w:bottom w:val="single" w:sz="6" w:space="0" w:color="auto"/>
            </w:tcBorders>
          </w:tcPr>
          <w:p w14:paraId="758A893C"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r>
      <w:tr w:rsidR="005E614D" w14:paraId="59709A1D"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79A3970B" w14:textId="77777777" w:rsidR="005E614D" w:rsidRDefault="000C3A94">
            <w:r>
              <w:rPr>
                <w:b/>
              </w:rPr>
              <w:t>Total revenue and income from transactions</w:t>
            </w:r>
          </w:p>
        </w:tc>
        <w:tc>
          <w:tcPr>
            <w:tcW w:w="567" w:type="dxa"/>
            <w:tcBorders>
              <w:top w:val="single" w:sz="6" w:space="0" w:color="auto"/>
            </w:tcBorders>
          </w:tcPr>
          <w:p w14:paraId="13E672E4"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AD24B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96 084</w:t>
            </w:r>
          </w:p>
        </w:tc>
        <w:tc>
          <w:tcPr>
            <w:tcW w:w="850" w:type="dxa"/>
            <w:tcBorders>
              <w:top w:val="single" w:sz="6" w:space="0" w:color="auto"/>
            </w:tcBorders>
          </w:tcPr>
          <w:p w14:paraId="40B6A3C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100 632</w:t>
            </w:r>
          </w:p>
        </w:tc>
        <w:tc>
          <w:tcPr>
            <w:tcW w:w="851" w:type="dxa"/>
            <w:tcBorders>
              <w:top w:val="single" w:sz="6" w:space="0" w:color="auto"/>
            </w:tcBorders>
          </w:tcPr>
          <w:p w14:paraId="39B6C2D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101 380</w:t>
            </w:r>
          </w:p>
        </w:tc>
        <w:tc>
          <w:tcPr>
            <w:tcW w:w="850" w:type="dxa"/>
            <w:tcBorders>
              <w:top w:val="single" w:sz="6" w:space="0" w:color="auto"/>
            </w:tcBorders>
          </w:tcPr>
          <w:p w14:paraId="335E9ED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5 296</w:t>
            </w:r>
          </w:p>
        </w:tc>
        <w:tc>
          <w:tcPr>
            <w:tcW w:w="709" w:type="dxa"/>
            <w:tcBorders>
              <w:top w:val="single" w:sz="6" w:space="0" w:color="auto"/>
            </w:tcBorders>
          </w:tcPr>
          <w:p w14:paraId="50011A1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tcBorders>
          </w:tcPr>
          <w:p w14:paraId="5552B8B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748</w:t>
            </w:r>
          </w:p>
        </w:tc>
        <w:tc>
          <w:tcPr>
            <w:tcW w:w="566" w:type="dxa"/>
            <w:tcBorders>
              <w:top w:val="single" w:sz="6" w:space="0" w:color="auto"/>
            </w:tcBorders>
          </w:tcPr>
          <w:p w14:paraId="61857F4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r>
      <w:tr w:rsidR="005E614D" w14:paraId="500BB3BF" w14:textId="77777777">
        <w:tc>
          <w:tcPr>
            <w:cnfStyle w:val="001000000000" w:firstRow="0" w:lastRow="0" w:firstColumn="1" w:lastColumn="0" w:oddVBand="0" w:evenVBand="0" w:oddHBand="0" w:evenHBand="0" w:firstRowFirstColumn="0" w:firstRowLastColumn="0" w:lastRowFirstColumn="0" w:lastRowLastColumn="0"/>
            <w:tcW w:w="3544" w:type="dxa"/>
          </w:tcPr>
          <w:p w14:paraId="4FD523C6" w14:textId="77777777" w:rsidR="005E614D" w:rsidRDefault="000C3A94">
            <w:r>
              <w:rPr>
                <w:b/>
              </w:rPr>
              <w:t>Expenses from transactions</w:t>
            </w:r>
          </w:p>
        </w:tc>
        <w:tc>
          <w:tcPr>
            <w:tcW w:w="567" w:type="dxa"/>
          </w:tcPr>
          <w:p w14:paraId="3ECA499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7175AD1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4A7F6FD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15F2E62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22730AA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326B946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642861E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7C40766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F95E438" w14:textId="77777777">
        <w:tc>
          <w:tcPr>
            <w:cnfStyle w:val="001000000000" w:firstRow="0" w:lastRow="0" w:firstColumn="1" w:lastColumn="0" w:oddVBand="0" w:evenVBand="0" w:oddHBand="0" w:evenHBand="0" w:firstRowFirstColumn="0" w:firstRowLastColumn="0" w:lastRowFirstColumn="0" w:lastRowLastColumn="0"/>
            <w:tcW w:w="3544" w:type="dxa"/>
          </w:tcPr>
          <w:p w14:paraId="6BFB8E4F" w14:textId="77777777" w:rsidR="005E614D" w:rsidRDefault="000C3A94">
            <w:r>
              <w:t>Employee expenses</w:t>
            </w:r>
          </w:p>
        </w:tc>
        <w:tc>
          <w:tcPr>
            <w:tcW w:w="567" w:type="dxa"/>
          </w:tcPr>
          <w:p w14:paraId="2C8F6A6E"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(e)</w:t>
            </w:r>
          </w:p>
        </w:tc>
        <w:tc>
          <w:tcPr>
            <w:tcW w:w="851" w:type="dxa"/>
          </w:tcPr>
          <w:p w14:paraId="14F2D003" w14:textId="77777777" w:rsidR="005E614D" w:rsidRDefault="000C3A94">
            <w:pPr>
              <w:cnfStyle w:val="000000000000" w:firstRow="0" w:lastRow="0" w:firstColumn="0" w:lastColumn="0" w:oddVBand="0" w:evenVBand="0" w:oddHBand="0" w:evenHBand="0" w:firstRowFirstColumn="0" w:firstRowLastColumn="0" w:lastRowFirstColumn="0" w:lastRowLastColumn="0"/>
            </w:pPr>
            <w:r>
              <w:t>36 538</w:t>
            </w:r>
          </w:p>
        </w:tc>
        <w:tc>
          <w:tcPr>
            <w:tcW w:w="850" w:type="dxa"/>
          </w:tcPr>
          <w:p w14:paraId="4222B298" w14:textId="77777777" w:rsidR="005E614D" w:rsidRDefault="000C3A94">
            <w:pPr>
              <w:cnfStyle w:val="000000000000" w:firstRow="0" w:lastRow="0" w:firstColumn="0" w:lastColumn="0" w:oddVBand="0" w:evenVBand="0" w:oddHBand="0" w:evenHBand="0" w:firstRowFirstColumn="0" w:firstRowLastColumn="0" w:lastRowFirstColumn="0" w:lastRowLastColumn="0"/>
            </w:pPr>
            <w:r>
              <w:t>37 975</w:t>
            </w:r>
          </w:p>
        </w:tc>
        <w:tc>
          <w:tcPr>
            <w:tcW w:w="851" w:type="dxa"/>
          </w:tcPr>
          <w:p w14:paraId="482A5134" w14:textId="77777777" w:rsidR="005E614D" w:rsidRDefault="000C3A94">
            <w:pPr>
              <w:cnfStyle w:val="000000000000" w:firstRow="0" w:lastRow="0" w:firstColumn="0" w:lastColumn="0" w:oddVBand="0" w:evenVBand="0" w:oddHBand="0" w:evenHBand="0" w:firstRowFirstColumn="0" w:firstRowLastColumn="0" w:lastRowFirstColumn="0" w:lastRowLastColumn="0"/>
            </w:pPr>
            <w:r>
              <w:t>38 515</w:t>
            </w:r>
          </w:p>
        </w:tc>
        <w:tc>
          <w:tcPr>
            <w:tcW w:w="850" w:type="dxa"/>
          </w:tcPr>
          <w:p w14:paraId="1A7A0585" w14:textId="77777777" w:rsidR="005E614D" w:rsidRDefault="000C3A94">
            <w:pPr>
              <w:cnfStyle w:val="000000000000" w:firstRow="0" w:lastRow="0" w:firstColumn="0" w:lastColumn="0" w:oddVBand="0" w:evenVBand="0" w:oddHBand="0" w:evenHBand="0" w:firstRowFirstColumn="0" w:firstRowLastColumn="0" w:lastRowFirstColumn="0" w:lastRowLastColumn="0"/>
            </w:pPr>
            <w:r>
              <w:t>1 978</w:t>
            </w:r>
          </w:p>
        </w:tc>
        <w:tc>
          <w:tcPr>
            <w:tcW w:w="709" w:type="dxa"/>
          </w:tcPr>
          <w:p w14:paraId="563279AF"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69731B85" w14:textId="77777777" w:rsidR="005E614D" w:rsidRDefault="000C3A94">
            <w:pPr>
              <w:cnfStyle w:val="000000000000" w:firstRow="0" w:lastRow="0" w:firstColumn="0" w:lastColumn="0" w:oddVBand="0" w:evenVBand="0" w:oddHBand="0" w:evenHBand="0" w:firstRowFirstColumn="0" w:firstRowLastColumn="0" w:lastRowFirstColumn="0" w:lastRowLastColumn="0"/>
            </w:pPr>
            <w:r>
              <w:t>540</w:t>
            </w:r>
          </w:p>
        </w:tc>
        <w:tc>
          <w:tcPr>
            <w:tcW w:w="566" w:type="dxa"/>
          </w:tcPr>
          <w:p w14:paraId="7FF39B33"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0F21251D" w14:textId="77777777">
        <w:tc>
          <w:tcPr>
            <w:cnfStyle w:val="001000000000" w:firstRow="0" w:lastRow="0" w:firstColumn="1" w:lastColumn="0" w:oddVBand="0" w:evenVBand="0" w:oddHBand="0" w:evenHBand="0" w:firstRowFirstColumn="0" w:firstRowLastColumn="0" w:lastRowFirstColumn="0" w:lastRowLastColumn="0"/>
            <w:tcW w:w="3544" w:type="dxa"/>
          </w:tcPr>
          <w:p w14:paraId="7461195F" w14:textId="77777777" w:rsidR="005E614D" w:rsidRDefault="000C3A94">
            <w:r>
              <w:t>Superannuation:</w:t>
            </w:r>
          </w:p>
        </w:tc>
        <w:tc>
          <w:tcPr>
            <w:tcW w:w="567" w:type="dxa"/>
          </w:tcPr>
          <w:p w14:paraId="4C175A5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6F13C6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5FA821B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5022A74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5C7805F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0388BC6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2FB08AB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22C588E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C8EE543" w14:textId="77777777">
        <w:tc>
          <w:tcPr>
            <w:cnfStyle w:val="001000000000" w:firstRow="0" w:lastRow="0" w:firstColumn="1" w:lastColumn="0" w:oddVBand="0" w:evenVBand="0" w:oddHBand="0" w:evenHBand="0" w:firstRowFirstColumn="0" w:firstRowLastColumn="0" w:lastRowFirstColumn="0" w:lastRowLastColumn="0"/>
            <w:tcW w:w="3544" w:type="dxa"/>
          </w:tcPr>
          <w:p w14:paraId="0599894E" w14:textId="04ED5A1E" w:rsidR="005E614D" w:rsidRDefault="00E0494C">
            <w:r>
              <w:t xml:space="preserve">   </w:t>
            </w:r>
            <w:r w:rsidR="000C3A94">
              <w:t>Net superannuation interest expense</w:t>
            </w:r>
          </w:p>
        </w:tc>
        <w:tc>
          <w:tcPr>
            <w:tcW w:w="567" w:type="dxa"/>
          </w:tcPr>
          <w:p w14:paraId="6E35188D"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5FBC14D" w14:textId="77777777" w:rsidR="005E614D" w:rsidRDefault="000C3A94">
            <w:pPr>
              <w:cnfStyle w:val="000000000000" w:firstRow="0" w:lastRow="0" w:firstColumn="0" w:lastColumn="0" w:oddVBand="0" w:evenVBand="0" w:oddHBand="0" w:evenHBand="0" w:firstRowFirstColumn="0" w:firstRowLastColumn="0" w:lastRowFirstColumn="0" w:lastRowLastColumn="0"/>
            </w:pPr>
            <w:r>
              <w:t>774</w:t>
            </w:r>
          </w:p>
        </w:tc>
        <w:tc>
          <w:tcPr>
            <w:tcW w:w="850" w:type="dxa"/>
          </w:tcPr>
          <w:p w14:paraId="263365FD" w14:textId="77777777" w:rsidR="005E614D" w:rsidRDefault="000C3A94">
            <w:pPr>
              <w:cnfStyle w:val="000000000000" w:firstRow="0" w:lastRow="0" w:firstColumn="0" w:lastColumn="0" w:oddVBand="0" w:evenVBand="0" w:oddHBand="0" w:evenHBand="0" w:firstRowFirstColumn="0" w:firstRowLastColumn="0" w:lastRowFirstColumn="0" w:lastRowLastColumn="0"/>
            </w:pPr>
            <w:r>
              <w:t>783</w:t>
            </w:r>
          </w:p>
        </w:tc>
        <w:tc>
          <w:tcPr>
            <w:tcW w:w="851" w:type="dxa"/>
          </w:tcPr>
          <w:p w14:paraId="1CDC6B89" w14:textId="77777777" w:rsidR="005E614D" w:rsidRDefault="000C3A94">
            <w:pPr>
              <w:cnfStyle w:val="000000000000" w:firstRow="0" w:lastRow="0" w:firstColumn="0" w:lastColumn="0" w:oddVBand="0" w:evenVBand="0" w:oddHBand="0" w:evenHBand="0" w:firstRowFirstColumn="0" w:firstRowLastColumn="0" w:lastRowFirstColumn="0" w:lastRowLastColumn="0"/>
            </w:pPr>
            <w:r>
              <w:t>783</w:t>
            </w:r>
          </w:p>
        </w:tc>
        <w:tc>
          <w:tcPr>
            <w:tcW w:w="850" w:type="dxa"/>
          </w:tcPr>
          <w:p w14:paraId="4F162B54"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0891713"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4646FA6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566" w:type="dxa"/>
          </w:tcPr>
          <w:p w14:paraId="2C016510"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6F5DAB66" w14:textId="77777777">
        <w:tc>
          <w:tcPr>
            <w:cnfStyle w:val="001000000000" w:firstRow="0" w:lastRow="0" w:firstColumn="1" w:lastColumn="0" w:oddVBand="0" w:evenVBand="0" w:oddHBand="0" w:evenHBand="0" w:firstRowFirstColumn="0" w:firstRowLastColumn="0" w:lastRowFirstColumn="0" w:lastRowLastColumn="0"/>
            <w:tcW w:w="3544" w:type="dxa"/>
          </w:tcPr>
          <w:p w14:paraId="20FE1C00" w14:textId="1EA3ED27" w:rsidR="005E614D" w:rsidRDefault="00E0494C">
            <w:r>
              <w:t xml:space="preserve">   </w:t>
            </w:r>
            <w:r w:rsidR="000C3A94">
              <w:t>Other superannuation</w:t>
            </w:r>
          </w:p>
        </w:tc>
        <w:tc>
          <w:tcPr>
            <w:tcW w:w="567" w:type="dxa"/>
          </w:tcPr>
          <w:p w14:paraId="4F84EB9D"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(f)</w:t>
            </w:r>
          </w:p>
        </w:tc>
        <w:tc>
          <w:tcPr>
            <w:tcW w:w="851" w:type="dxa"/>
          </w:tcPr>
          <w:p w14:paraId="394FC80B" w14:textId="77777777" w:rsidR="005E614D" w:rsidRDefault="000C3A94">
            <w:pPr>
              <w:cnfStyle w:val="000000000000" w:firstRow="0" w:lastRow="0" w:firstColumn="0" w:lastColumn="0" w:oddVBand="0" w:evenVBand="0" w:oddHBand="0" w:evenHBand="0" w:firstRowFirstColumn="0" w:firstRowLastColumn="0" w:lastRowFirstColumn="0" w:lastRowLastColumn="0"/>
            </w:pPr>
            <w:r>
              <w:t>3 872</w:t>
            </w:r>
          </w:p>
        </w:tc>
        <w:tc>
          <w:tcPr>
            <w:tcW w:w="850" w:type="dxa"/>
          </w:tcPr>
          <w:p w14:paraId="44BA17F3" w14:textId="77777777" w:rsidR="005E614D" w:rsidRDefault="000C3A94">
            <w:pPr>
              <w:cnfStyle w:val="000000000000" w:firstRow="0" w:lastRow="0" w:firstColumn="0" w:lastColumn="0" w:oddVBand="0" w:evenVBand="0" w:oddHBand="0" w:evenHBand="0" w:firstRowFirstColumn="0" w:firstRowLastColumn="0" w:lastRowFirstColumn="0" w:lastRowLastColumn="0"/>
            </w:pPr>
            <w:r>
              <w:t>4 442</w:t>
            </w:r>
          </w:p>
        </w:tc>
        <w:tc>
          <w:tcPr>
            <w:tcW w:w="851" w:type="dxa"/>
          </w:tcPr>
          <w:p w14:paraId="3235A9D5" w14:textId="77777777" w:rsidR="005E614D" w:rsidRDefault="000C3A94">
            <w:pPr>
              <w:cnfStyle w:val="000000000000" w:firstRow="0" w:lastRow="0" w:firstColumn="0" w:lastColumn="0" w:oddVBand="0" w:evenVBand="0" w:oddHBand="0" w:evenHBand="0" w:firstRowFirstColumn="0" w:firstRowLastColumn="0" w:lastRowFirstColumn="0" w:lastRowLastColumn="0"/>
            </w:pPr>
            <w:r>
              <w:t>4 524</w:t>
            </w:r>
          </w:p>
        </w:tc>
        <w:tc>
          <w:tcPr>
            <w:tcW w:w="850" w:type="dxa"/>
          </w:tcPr>
          <w:p w14:paraId="4FC12113" w14:textId="77777777" w:rsidR="005E614D" w:rsidRDefault="000C3A94">
            <w:pPr>
              <w:cnfStyle w:val="000000000000" w:firstRow="0" w:lastRow="0" w:firstColumn="0" w:lastColumn="0" w:oddVBand="0" w:evenVBand="0" w:oddHBand="0" w:evenHBand="0" w:firstRowFirstColumn="0" w:firstRowLastColumn="0" w:lastRowFirstColumn="0" w:lastRowLastColumn="0"/>
            </w:pPr>
            <w:r>
              <w:t>651</w:t>
            </w:r>
          </w:p>
        </w:tc>
        <w:tc>
          <w:tcPr>
            <w:tcW w:w="709" w:type="dxa"/>
          </w:tcPr>
          <w:p w14:paraId="3F1EC7CB" w14:textId="77777777" w:rsidR="005E614D" w:rsidRDefault="000C3A94">
            <w:pPr>
              <w:cnfStyle w:val="000000000000" w:firstRow="0" w:lastRow="0" w:firstColumn="0" w:lastColumn="0" w:oddVBand="0" w:evenVBand="0" w:oddHBand="0" w:evenHBand="0" w:firstRowFirstColumn="0" w:firstRowLastColumn="0" w:lastRowFirstColumn="0" w:lastRowLastColumn="0"/>
            </w:pPr>
            <w:r>
              <w:t>17</w:t>
            </w:r>
          </w:p>
        </w:tc>
        <w:tc>
          <w:tcPr>
            <w:tcW w:w="850" w:type="dxa"/>
          </w:tcPr>
          <w:p w14:paraId="1AE3942F" w14:textId="77777777" w:rsidR="005E614D" w:rsidRDefault="000C3A94">
            <w:pPr>
              <w:cnfStyle w:val="000000000000" w:firstRow="0" w:lastRow="0" w:firstColumn="0" w:lastColumn="0" w:oddVBand="0" w:evenVBand="0" w:oddHBand="0" w:evenHBand="0" w:firstRowFirstColumn="0" w:firstRowLastColumn="0" w:lastRowFirstColumn="0" w:lastRowLastColumn="0"/>
            </w:pPr>
            <w:r>
              <w:t>82</w:t>
            </w:r>
          </w:p>
        </w:tc>
        <w:tc>
          <w:tcPr>
            <w:tcW w:w="566" w:type="dxa"/>
          </w:tcPr>
          <w:p w14:paraId="27B895F5"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2091E232" w14:textId="77777777">
        <w:tc>
          <w:tcPr>
            <w:cnfStyle w:val="001000000000" w:firstRow="0" w:lastRow="0" w:firstColumn="1" w:lastColumn="0" w:oddVBand="0" w:evenVBand="0" w:oddHBand="0" w:evenHBand="0" w:firstRowFirstColumn="0" w:firstRowLastColumn="0" w:lastRowFirstColumn="0" w:lastRowLastColumn="0"/>
            <w:tcW w:w="3544" w:type="dxa"/>
          </w:tcPr>
          <w:p w14:paraId="77854842" w14:textId="77777777" w:rsidR="005E614D" w:rsidRDefault="000C3A94">
            <w:r>
              <w:t>Depreciation</w:t>
            </w:r>
          </w:p>
        </w:tc>
        <w:tc>
          <w:tcPr>
            <w:tcW w:w="567" w:type="dxa"/>
          </w:tcPr>
          <w:p w14:paraId="4F3214DF"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F578375" w14:textId="77777777" w:rsidR="005E614D" w:rsidRDefault="000C3A94">
            <w:pPr>
              <w:cnfStyle w:val="000000000000" w:firstRow="0" w:lastRow="0" w:firstColumn="0" w:lastColumn="0" w:oddVBand="0" w:evenVBand="0" w:oddHBand="0" w:evenHBand="0" w:firstRowFirstColumn="0" w:firstRowLastColumn="0" w:lastRowFirstColumn="0" w:lastRowLastColumn="0"/>
            </w:pPr>
            <w:r>
              <w:t>5 234</w:t>
            </w:r>
          </w:p>
        </w:tc>
        <w:tc>
          <w:tcPr>
            <w:tcW w:w="850" w:type="dxa"/>
          </w:tcPr>
          <w:p w14:paraId="6B5AEE2D" w14:textId="77777777" w:rsidR="005E614D" w:rsidRDefault="000C3A94">
            <w:pPr>
              <w:cnfStyle w:val="000000000000" w:firstRow="0" w:lastRow="0" w:firstColumn="0" w:lastColumn="0" w:oddVBand="0" w:evenVBand="0" w:oddHBand="0" w:evenHBand="0" w:firstRowFirstColumn="0" w:firstRowLastColumn="0" w:lastRowFirstColumn="0" w:lastRowLastColumn="0"/>
            </w:pPr>
            <w:r>
              <w:t>5 481</w:t>
            </w:r>
          </w:p>
        </w:tc>
        <w:tc>
          <w:tcPr>
            <w:tcW w:w="851" w:type="dxa"/>
          </w:tcPr>
          <w:p w14:paraId="1A7029EA" w14:textId="77777777" w:rsidR="005E614D" w:rsidRDefault="000C3A94">
            <w:pPr>
              <w:cnfStyle w:val="000000000000" w:firstRow="0" w:lastRow="0" w:firstColumn="0" w:lastColumn="0" w:oddVBand="0" w:evenVBand="0" w:oddHBand="0" w:evenHBand="0" w:firstRowFirstColumn="0" w:firstRowLastColumn="0" w:lastRowFirstColumn="0" w:lastRowLastColumn="0"/>
            </w:pPr>
            <w:r>
              <w:t>5 462</w:t>
            </w:r>
          </w:p>
        </w:tc>
        <w:tc>
          <w:tcPr>
            <w:tcW w:w="850" w:type="dxa"/>
          </w:tcPr>
          <w:p w14:paraId="5C04A955" w14:textId="77777777" w:rsidR="005E614D" w:rsidRDefault="000C3A94">
            <w:pPr>
              <w:cnfStyle w:val="000000000000" w:firstRow="0" w:lastRow="0" w:firstColumn="0" w:lastColumn="0" w:oddVBand="0" w:evenVBand="0" w:oddHBand="0" w:evenHBand="0" w:firstRowFirstColumn="0" w:firstRowLastColumn="0" w:lastRowFirstColumn="0" w:lastRowLastColumn="0"/>
            </w:pPr>
            <w:r>
              <w:t>228</w:t>
            </w:r>
          </w:p>
        </w:tc>
        <w:tc>
          <w:tcPr>
            <w:tcW w:w="709" w:type="dxa"/>
          </w:tcPr>
          <w:p w14:paraId="39E10BFA" w14:textId="77777777" w:rsidR="005E614D" w:rsidRDefault="000C3A94">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09955775" w14:textId="77777777" w:rsidR="005E614D" w:rsidRDefault="000C3A94">
            <w:pPr>
              <w:cnfStyle w:val="000000000000" w:firstRow="0" w:lastRow="0" w:firstColumn="0" w:lastColumn="0" w:oddVBand="0" w:evenVBand="0" w:oddHBand="0" w:evenHBand="0" w:firstRowFirstColumn="0" w:firstRowLastColumn="0" w:lastRowFirstColumn="0" w:lastRowLastColumn="0"/>
            </w:pPr>
            <w:r>
              <w:t>(19)</w:t>
            </w:r>
          </w:p>
        </w:tc>
        <w:tc>
          <w:tcPr>
            <w:tcW w:w="566" w:type="dxa"/>
          </w:tcPr>
          <w:p w14:paraId="4148CA9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47CB010F" w14:textId="77777777">
        <w:tc>
          <w:tcPr>
            <w:cnfStyle w:val="001000000000" w:firstRow="0" w:lastRow="0" w:firstColumn="1" w:lastColumn="0" w:oddVBand="0" w:evenVBand="0" w:oddHBand="0" w:evenHBand="0" w:firstRowFirstColumn="0" w:firstRowLastColumn="0" w:lastRowFirstColumn="0" w:lastRowLastColumn="0"/>
            <w:tcW w:w="3544" w:type="dxa"/>
          </w:tcPr>
          <w:p w14:paraId="179F66FE" w14:textId="77777777" w:rsidR="005E614D" w:rsidRDefault="000C3A94">
            <w:r>
              <w:t>Interest expense</w:t>
            </w:r>
          </w:p>
        </w:tc>
        <w:tc>
          <w:tcPr>
            <w:tcW w:w="567" w:type="dxa"/>
          </w:tcPr>
          <w:p w14:paraId="593ED50B"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(g)</w:t>
            </w:r>
          </w:p>
        </w:tc>
        <w:tc>
          <w:tcPr>
            <w:tcW w:w="851" w:type="dxa"/>
          </w:tcPr>
          <w:p w14:paraId="5A7FFEBB" w14:textId="77777777" w:rsidR="005E614D" w:rsidRDefault="000C3A94">
            <w:pPr>
              <w:cnfStyle w:val="000000000000" w:firstRow="0" w:lastRow="0" w:firstColumn="0" w:lastColumn="0" w:oddVBand="0" w:evenVBand="0" w:oddHBand="0" w:evenHBand="0" w:firstRowFirstColumn="0" w:firstRowLastColumn="0" w:lastRowFirstColumn="0" w:lastRowLastColumn="0"/>
            </w:pPr>
            <w:r>
              <w:t>6 502</w:t>
            </w:r>
          </w:p>
        </w:tc>
        <w:tc>
          <w:tcPr>
            <w:tcW w:w="850" w:type="dxa"/>
          </w:tcPr>
          <w:p w14:paraId="7B5C2FCF" w14:textId="77777777" w:rsidR="005E614D" w:rsidRDefault="000C3A94">
            <w:pPr>
              <w:cnfStyle w:val="000000000000" w:firstRow="0" w:lastRow="0" w:firstColumn="0" w:lastColumn="0" w:oddVBand="0" w:evenVBand="0" w:oddHBand="0" w:evenHBand="0" w:firstRowFirstColumn="0" w:firstRowLastColumn="0" w:lastRowFirstColumn="0" w:lastRowLastColumn="0"/>
            </w:pPr>
            <w:r>
              <w:t>6 811</w:t>
            </w:r>
          </w:p>
        </w:tc>
        <w:tc>
          <w:tcPr>
            <w:tcW w:w="851" w:type="dxa"/>
          </w:tcPr>
          <w:p w14:paraId="1AA31D46" w14:textId="77777777" w:rsidR="005E614D" w:rsidRDefault="000C3A94">
            <w:pPr>
              <w:cnfStyle w:val="000000000000" w:firstRow="0" w:lastRow="0" w:firstColumn="0" w:lastColumn="0" w:oddVBand="0" w:evenVBand="0" w:oddHBand="0" w:evenHBand="0" w:firstRowFirstColumn="0" w:firstRowLastColumn="0" w:lastRowFirstColumn="0" w:lastRowLastColumn="0"/>
            </w:pPr>
            <w:r>
              <w:t>6 774</w:t>
            </w:r>
          </w:p>
        </w:tc>
        <w:tc>
          <w:tcPr>
            <w:tcW w:w="850" w:type="dxa"/>
          </w:tcPr>
          <w:p w14:paraId="7EA6D0AE" w14:textId="77777777" w:rsidR="005E614D" w:rsidRDefault="000C3A94">
            <w:pPr>
              <w:cnfStyle w:val="000000000000" w:firstRow="0" w:lastRow="0" w:firstColumn="0" w:lastColumn="0" w:oddVBand="0" w:evenVBand="0" w:oddHBand="0" w:evenHBand="0" w:firstRowFirstColumn="0" w:firstRowLastColumn="0" w:lastRowFirstColumn="0" w:lastRowLastColumn="0"/>
            </w:pPr>
            <w:r>
              <w:t>272</w:t>
            </w:r>
          </w:p>
        </w:tc>
        <w:tc>
          <w:tcPr>
            <w:tcW w:w="709" w:type="dxa"/>
          </w:tcPr>
          <w:p w14:paraId="60A0A3A3" w14:textId="77777777" w:rsidR="005E614D" w:rsidRDefault="000C3A94">
            <w:pPr>
              <w:cnfStyle w:val="000000000000" w:firstRow="0" w:lastRow="0" w:firstColumn="0" w:lastColumn="0" w:oddVBand="0" w:evenVBand="0" w:oddHBand="0" w:evenHBand="0" w:firstRowFirstColumn="0" w:firstRowLastColumn="0" w:lastRowFirstColumn="0" w:lastRowLastColumn="0"/>
            </w:pPr>
            <w:r>
              <w:t>4</w:t>
            </w:r>
          </w:p>
        </w:tc>
        <w:tc>
          <w:tcPr>
            <w:tcW w:w="850" w:type="dxa"/>
          </w:tcPr>
          <w:p w14:paraId="0DB28AF2" w14:textId="77777777" w:rsidR="005E614D" w:rsidRDefault="000C3A94">
            <w:pPr>
              <w:cnfStyle w:val="000000000000" w:firstRow="0" w:lastRow="0" w:firstColumn="0" w:lastColumn="0" w:oddVBand="0" w:evenVBand="0" w:oddHBand="0" w:evenHBand="0" w:firstRowFirstColumn="0" w:firstRowLastColumn="0" w:lastRowFirstColumn="0" w:lastRowLastColumn="0"/>
            </w:pPr>
            <w:r>
              <w:t>(37)</w:t>
            </w:r>
          </w:p>
        </w:tc>
        <w:tc>
          <w:tcPr>
            <w:tcW w:w="566" w:type="dxa"/>
          </w:tcPr>
          <w:p w14:paraId="15891A84"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20BCB56A" w14:textId="77777777">
        <w:tc>
          <w:tcPr>
            <w:cnfStyle w:val="001000000000" w:firstRow="0" w:lastRow="0" w:firstColumn="1" w:lastColumn="0" w:oddVBand="0" w:evenVBand="0" w:oddHBand="0" w:evenHBand="0" w:firstRowFirstColumn="0" w:firstRowLastColumn="0" w:lastRowFirstColumn="0" w:lastRowLastColumn="0"/>
            <w:tcW w:w="3544" w:type="dxa"/>
          </w:tcPr>
          <w:p w14:paraId="51F484C0" w14:textId="77777777" w:rsidR="005E614D" w:rsidRDefault="000C3A94">
            <w:r>
              <w:t>Grant expense</w:t>
            </w:r>
          </w:p>
        </w:tc>
        <w:tc>
          <w:tcPr>
            <w:tcW w:w="567" w:type="dxa"/>
          </w:tcPr>
          <w:p w14:paraId="2C958D99"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(h)</w:t>
            </w:r>
          </w:p>
        </w:tc>
        <w:tc>
          <w:tcPr>
            <w:tcW w:w="851" w:type="dxa"/>
          </w:tcPr>
          <w:p w14:paraId="0065E3E1" w14:textId="77777777" w:rsidR="005E614D" w:rsidRDefault="000C3A94">
            <w:pPr>
              <w:cnfStyle w:val="000000000000" w:firstRow="0" w:lastRow="0" w:firstColumn="0" w:lastColumn="0" w:oddVBand="0" w:evenVBand="0" w:oddHBand="0" w:evenHBand="0" w:firstRowFirstColumn="0" w:firstRowLastColumn="0" w:lastRowFirstColumn="0" w:lastRowLastColumn="0"/>
            </w:pPr>
            <w:r>
              <w:t>17 619</w:t>
            </w:r>
          </w:p>
        </w:tc>
        <w:tc>
          <w:tcPr>
            <w:tcW w:w="850" w:type="dxa"/>
          </w:tcPr>
          <w:p w14:paraId="5FE3D22E" w14:textId="77777777" w:rsidR="005E614D" w:rsidRDefault="000C3A94">
            <w:pPr>
              <w:cnfStyle w:val="000000000000" w:firstRow="0" w:lastRow="0" w:firstColumn="0" w:lastColumn="0" w:oddVBand="0" w:evenVBand="0" w:oddHBand="0" w:evenHBand="0" w:firstRowFirstColumn="0" w:firstRowLastColumn="0" w:lastRowFirstColumn="0" w:lastRowLastColumn="0"/>
            </w:pPr>
            <w:r>
              <w:t>17 731</w:t>
            </w:r>
          </w:p>
        </w:tc>
        <w:tc>
          <w:tcPr>
            <w:tcW w:w="851" w:type="dxa"/>
          </w:tcPr>
          <w:p w14:paraId="42030554" w14:textId="77777777" w:rsidR="005E614D" w:rsidRDefault="000C3A94">
            <w:pPr>
              <w:cnfStyle w:val="000000000000" w:firstRow="0" w:lastRow="0" w:firstColumn="0" w:lastColumn="0" w:oddVBand="0" w:evenVBand="0" w:oddHBand="0" w:evenHBand="0" w:firstRowFirstColumn="0" w:firstRowLastColumn="0" w:lastRowFirstColumn="0" w:lastRowLastColumn="0"/>
            </w:pPr>
            <w:r>
              <w:t>17 221</w:t>
            </w:r>
          </w:p>
        </w:tc>
        <w:tc>
          <w:tcPr>
            <w:tcW w:w="850" w:type="dxa"/>
          </w:tcPr>
          <w:p w14:paraId="08F04ED8" w14:textId="77777777" w:rsidR="005E614D" w:rsidRDefault="000C3A94">
            <w:pPr>
              <w:cnfStyle w:val="000000000000" w:firstRow="0" w:lastRow="0" w:firstColumn="0" w:lastColumn="0" w:oddVBand="0" w:evenVBand="0" w:oddHBand="0" w:evenHBand="0" w:firstRowFirstColumn="0" w:firstRowLastColumn="0" w:lastRowFirstColumn="0" w:lastRowLastColumn="0"/>
            </w:pPr>
            <w:r>
              <w:t>(398)</w:t>
            </w:r>
          </w:p>
        </w:tc>
        <w:tc>
          <w:tcPr>
            <w:tcW w:w="709" w:type="dxa"/>
          </w:tcPr>
          <w:p w14:paraId="060D7A75"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4E1F80A4" w14:textId="77777777" w:rsidR="005E614D" w:rsidRDefault="000C3A94">
            <w:pPr>
              <w:cnfStyle w:val="000000000000" w:firstRow="0" w:lastRow="0" w:firstColumn="0" w:lastColumn="0" w:oddVBand="0" w:evenVBand="0" w:oddHBand="0" w:evenHBand="0" w:firstRowFirstColumn="0" w:firstRowLastColumn="0" w:lastRowFirstColumn="0" w:lastRowLastColumn="0"/>
            </w:pPr>
            <w:r>
              <w:t>(511)</w:t>
            </w:r>
          </w:p>
        </w:tc>
        <w:tc>
          <w:tcPr>
            <w:tcW w:w="566" w:type="dxa"/>
          </w:tcPr>
          <w:p w14:paraId="2996FEE1"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r w:rsidR="005E614D" w14:paraId="5B761397"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0288556A" w14:textId="77777777" w:rsidR="005E614D" w:rsidRDefault="000C3A94">
            <w:r>
              <w:t>Other operating expenses</w:t>
            </w:r>
          </w:p>
        </w:tc>
        <w:tc>
          <w:tcPr>
            <w:tcW w:w="567" w:type="dxa"/>
            <w:tcBorders>
              <w:bottom w:val="single" w:sz="6" w:space="0" w:color="auto"/>
            </w:tcBorders>
          </w:tcPr>
          <w:p w14:paraId="434175EF"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(i)</w:t>
            </w:r>
          </w:p>
        </w:tc>
        <w:tc>
          <w:tcPr>
            <w:tcW w:w="851" w:type="dxa"/>
            <w:tcBorders>
              <w:bottom w:val="single" w:sz="6" w:space="0" w:color="auto"/>
            </w:tcBorders>
          </w:tcPr>
          <w:p w14:paraId="41563508" w14:textId="77777777" w:rsidR="005E614D" w:rsidRDefault="000C3A94">
            <w:pPr>
              <w:cnfStyle w:val="000000000000" w:firstRow="0" w:lastRow="0" w:firstColumn="0" w:lastColumn="0" w:oddVBand="0" w:evenVBand="0" w:oddHBand="0" w:evenHBand="0" w:firstRowFirstColumn="0" w:firstRowLastColumn="0" w:lastRowFirstColumn="0" w:lastRowLastColumn="0"/>
            </w:pPr>
            <w:r>
              <w:t>27 737</w:t>
            </w:r>
          </w:p>
        </w:tc>
        <w:tc>
          <w:tcPr>
            <w:tcW w:w="850" w:type="dxa"/>
            <w:tcBorders>
              <w:bottom w:val="single" w:sz="6" w:space="0" w:color="auto"/>
            </w:tcBorders>
          </w:tcPr>
          <w:p w14:paraId="233D5145" w14:textId="77777777" w:rsidR="005E614D" w:rsidRDefault="000C3A94">
            <w:pPr>
              <w:cnfStyle w:val="000000000000" w:firstRow="0" w:lastRow="0" w:firstColumn="0" w:lastColumn="0" w:oddVBand="0" w:evenVBand="0" w:oddHBand="0" w:evenHBand="0" w:firstRowFirstColumn="0" w:firstRowLastColumn="0" w:lastRowFirstColumn="0" w:lastRowLastColumn="0"/>
            </w:pPr>
            <w:r>
              <w:t>30 849</w:t>
            </w:r>
          </w:p>
        </w:tc>
        <w:tc>
          <w:tcPr>
            <w:tcW w:w="851" w:type="dxa"/>
            <w:tcBorders>
              <w:bottom w:val="single" w:sz="6" w:space="0" w:color="auto"/>
            </w:tcBorders>
          </w:tcPr>
          <w:p w14:paraId="026383FC" w14:textId="77777777" w:rsidR="005E614D" w:rsidRDefault="000C3A94">
            <w:pPr>
              <w:cnfStyle w:val="000000000000" w:firstRow="0" w:lastRow="0" w:firstColumn="0" w:lastColumn="0" w:oddVBand="0" w:evenVBand="0" w:oddHBand="0" w:evenHBand="0" w:firstRowFirstColumn="0" w:firstRowLastColumn="0" w:lastRowFirstColumn="0" w:lastRowLastColumn="0"/>
            </w:pPr>
            <w:r>
              <w:t>30 726</w:t>
            </w:r>
          </w:p>
        </w:tc>
        <w:tc>
          <w:tcPr>
            <w:tcW w:w="850" w:type="dxa"/>
            <w:tcBorders>
              <w:bottom w:val="single" w:sz="6" w:space="0" w:color="auto"/>
            </w:tcBorders>
          </w:tcPr>
          <w:p w14:paraId="3ECB0BB3" w14:textId="77777777" w:rsidR="005E614D" w:rsidRDefault="000C3A94">
            <w:pPr>
              <w:cnfStyle w:val="000000000000" w:firstRow="0" w:lastRow="0" w:firstColumn="0" w:lastColumn="0" w:oddVBand="0" w:evenVBand="0" w:oddHBand="0" w:evenHBand="0" w:firstRowFirstColumn="0" w:firstRowLastColumn="0" w:lastRowFirstColumn="0" w:lastRowLastColumn="0"/>
            </w:pPr>
            <w:r>
              <w:t>2 989</w:t>
            </w:r>
          </w:p>
        </w:tc>
        <w:tc>
          <w:tcPr>
            <w:tcW w:w="709" w:type="dxa"/>
            <w:tcBorders>
              <w:bottom w:val="single" w:sz="6" w:space="0" w:color="auto"/>
            </w:tcBorders>
          </w:tcPr>
          <w:p w14:paraId="0E8CB1DE" w14:textId="77777777" w:rsidR="005E614D" w:rsidRDefault="000C3A94">
            <w:pPr>
              <w:cnfStyle w:val="000000000000" w:firstRow="0" w:lastRow="0" w:firstColumn="0" w:lastColumn="0" w:oddVBand="0" w:evenVBand="0" w:oddHBand="0" w:evenHBand="0" w:firstRowFirstColumn="0" w:firstRowLastColumn="0" w:lastRowFirstColumn="0" w:lastRowLastColumn="0"/>
            </w:pPr>
            <w:r>
              <w:t>11</w:t>
            </w:r>
          </w:p>
        </w:tc>
        <w:tc>
          <w:tcPr>
            <w:tcW w:w="850" w:type="dxa"/>
            <w:tcBorders>
              <w:bottom w:val="single" w:sz="6" w:space="0" w:color="auto"/>
            </w:tcBorders>
          </w:tcPr>
          <w:p w14:paraId="469041FA" w14:textId="77777777" w:rsidR="005E614D" w:rsidRDefault="000C3A94">
            <w:pPr>
              <w:cnfStyle w:val="000000000000" w:firstRow="0" w:lastRow="0" w:firstColumn="0" w:lastColumn="0" w:oddVBand="0" w:evenVBand="0" w:oddHBand="0" w:evenHBand="0" w:firstRowFirstColumn="0" w:firstRowLastColumn="0" w:lastRowFirstColumn="0" w:lastRowLastColumn="0"/>
            </w:pPr>
            <w:r>
              <w:t>(123)</w:t>
            </w:r>
          </w:p>
        </w:tc>
        <w:tc>
          <w:tcPr>
            <w:tcW w:w="566" w:type="dxa"/>
            <w:tcBorders>
              <w:bottom w:val="single" w:sz="6" w:space="0" w:color="auto"/>
            </w:tcBorders>
          </w:tcPr>
          <w:p w14:paraId="273FF3B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3F232B74"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5BDA6CB5" w14:textId="77777777" w:rsidR="005E614D" w:rsidRDefault="000C3A94">
            <w:r>
              <w:rPr>
                <w:b/>
              </w:rPr>
              <w:t>Total expenses from transactions</w:t>
            </w:r>
          </w:p>
        </w:tc>
        <w:tc>
          <w:tcPr>
            <w:tcW w:w="567" w:type="dxa"/>
            <w:tcBorders>
              <w:top w:val="single" w:sz="6" w:space="0" w:color="auto"/>
              <w:bottom w:val="single" w:sz="6" w:space="0" w:color="auto"/>
            </w:tcBorders>
          </w:tcPr>
          <w:p w14:paraId="6589485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6" w:space="0" w:color="auto"/>
            </w:tcBorders>
          </w:tcPr>
          <w:p w14:paraId="5EA8798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98 276</w:t>
            </w:r>
          </w:p>
        </w:tc>
        <w:tc>
          <w:tcPr>
            <w:tcW w:w="850" w:type="dxa"/>
            <w:tcBorders>
              <w:top w:val="single" w:sz="6" w:space="0" w:color="auto"/>
              <w:bottom w:val="single" w:sz="6" w:space="0" w:color="auto"/>
            </w:tcBorders>
          </w:tcPr>
          <w:p w14:paraId="004C41E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104 073</w:t>
            </w:r>
          </w:p>
        </w:tc>
        <w:tc>
          <w:tcPr>
            <w:tcW w:w="851" w:type="dxa"/>
            <w:tcBorders>
              <w:top w:val="single" w:sz="6" w:space="0" w:color="auto"/>
              <w:bottom w:val="single" w:sz="6" w:space="0" w:color="auto"/>
            </w:tcBorders>
          </w:tcPr>
          <w:p w14:paraId="08885A4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104 006</w:t>
            </w:r>
          </w:p>
        </w:tc>
        <w:tc>
          <w:tcPr>
            <w:tcW w:w="850" w:type="dxa"/>
            <w:tcBorders>
              <w:top w:val="single" w:sz="6" w:space="0" w:color="auto"/>
              <w:bottom w:val="single" w:sz="6" w:space="0" w:color="auto"/>
            </w:tcBorders>
          </w:tcPr>
          <w:p w14:paraId="71FB8A0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5 730</w:t>
            </w:r>
          </w:p>
        </w:tc>
        <w:tc>
          <w:tcPr>
            <w:tcW w:w="709" w:type="dxa"/>
            <w:tcBorders>
              <w:top w:val="single" w:sz="6" w:space="0" w:color="auto"/>
              <w:bottom w:val="single" w:sz="6" w:space="0" w:color="auto"/>
            </w:tcBorders>
          </w:tcPr>
          <w:p w14:paraId="59EB97B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bottom w:val="single" w:sz="6" w:space="0" w:color="auto"/>
            </w:tcBorders>
          </w:tcPr>
          <w:p w14:paraId="3E27F60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(68)</w:t>
            </w:r>
          </w:p>
        </w:tc>
        <w:tc>
          <w:tcPr>
            <w:tcW w:w="566" w:type="dxa"/>
            <w:tcBorders>
              <w:top w:val="single" w:sz="6" w:space="0" w:color="auto"/>
              <w:bottom w:val="single" w:sz="6" w:space="0" w:color="auto"/>
            </w:tcBorders>
          </w:tcPr>
          <w:p w14:paraId="1E15A33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r>
      <w:tr w:rsidR="005E614D" w14:paraId="69F3DA11"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4346DD01" w14:textId="1D532E32" w:rsidR="005E614D" w:rsidRDefault="000C3A94">
            <w:r>
              <w:rPr>
                <w:b/>
              </w:rPr>
              <w:t xml:space="preserve">Net result from transactions – </w:t>
            </w:r>
            <w:r w:rsidR="0086317C">
              <w:rPr>
                <w:b/>
              </w:rPr>
              <w:t>N</w:t>
            </w:r>
            <w:r>
              <w:rPr>
                <w:b/>
              </w:rPr>
              <w:t>et operating balance</w:t>
            </w:r>
          </w:p>
        </w:tc>
        <w:tc>
          <w:tcPr>
            <w:tcW w:w="567" w:type="dxa"/>
            <w:tcBorders>
              <w:top w:val="single" w:sz="6" w:space="0" w:color="auto"/>
              <w:bottom w:val="single" w:sz="12" w:space="0" w:color="auto"/>
            </w:tcBorders>
          </w:tcPr>
          <w:p w14:paraId="10993D5E"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12" w:space="0" w:color="auto"/>
            </w:tcBorders>
          </w:tcPr>
          <w:p w14:paraId="61D3F5F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(2 191)</w:t>
            </w:r>
          </w:p>
        </w:tc>
        <w:tc>
          <w:tcPr>
            <w:tcW w:w="850" w:type="dxa"/>
            <w:tcBorders>
              <w:top w:val="single" w:sz="6" w:space="0" w:color="auto"/>
              <w:bottom w:val="single" w:sz="12" w:space="0" w:color="auto"/>
            </w:tcBorders>
          </w:tcPr>
          <w:p w14:paraId="1B910FF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(3 441)</w:t>
            </w:r>
          </w:p>
        </w:tc>
        <w:tc>
          <w:tcPr>
            <w:tcW w:w="851" w:type="dxa"/>
            <w:tcBorders>
              <w:top w:val="single" w:sz="6" w:space="0" w:color="auto"/>
              <w:bottom w:val="single" w:sz="12" w:space="0" w:color="auto"/>
            </w:tcBorders>
          </w:tcPr>
          <w:p w14:paraId="271EC99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(2 626)</w:t>
            </w:r>
          </w:p>
        </w:tc>
        <w:tc>
          <w:tcPr>
            <w:tcW w:w="850" w:type="dxa"/>
            <w:tcBorders>
              <w:top w:val="single" w:sz="6" w:space="0" w:color="auto"/>
              <w:bottom w:val="single" w:sz="12" w:space="0" w:color="auto"/>
            </w:tcBorders>
          </w:tcPr>
          <w:p w14:paraId="632811D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(434)</w:t>
            </w:r>
          </w:p>
        </w:tc>
        <w:tc>
          <w:tcPr>
            <w:tcW w:w="709" w:type="dxa"/>
            <w:tcBorders>
              <w:top w:val="single" w:sz="6" w:space="0" w:color="auto"/>
              <w:bottom w:val="single" w:sz="12" w:space="0" w:color="auto"/>
            </w:tcBorders>
          </w:tcPr>
          <w:p w14:paraId="13419EE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w:t>
            </w:r>
          </w:p>
        </w:tc>
        <w:tc>
          <w:tcPr>
            <w:tcW w:w="850" w:type="dxa"/>
            <w:tcBorders>
              <w:top w:val="single" w:sz="6" w:space="0" w:color="auto"/>
              <w:bottom w:val="single" w:sz="12" w:space="0" w:color="auto"/>
            </w:tcBorders>
          </w:tcPr>
          <w:p w14:paraId="577AD5E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816</w:t>
            </w:r>
          </w:p>
        </w:tc>
        <w:tc>
          <w:tcPr>
            <w:tcW w:w="566" w:type="dxa"/>
            <w:tcBorders>
              <w:top w:val="single" w:sz="6" w:space="0" w:color="auto"/>
              <w:bottom w:val="single" w:sz="12" w:space="0" w:color="auto"/>
            </w:tcBorders>
          </w:tcPr>
          <w:p w14:paraId="1E6D80D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w:t>
            </w:r>
          </w:p>
        </w:tc>
      </w:tr>
      <w:tr w:rsidR="005E614D" w14:paraId="205AEB02"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0" w:space="0" w:color="auto"/>
            </w:tcBorders>
          </w:tcPr>
          <w:p w14:paraId="4B01BFF4" w14:textId="77777777" w:rsidR="005E614D" w:rsidRDefault="000C3A94">
            <w:r>
              <w:rPr>
                <w:b/>
              </w:rPr>
              <w:t>Other economic flows included in net result</w:t>
            </w:r>
          </w:p>
        </w:tc>
        <w:tc>
          <w:tcPr>
            <w:tcW w:w="567" w:type="dxa"/>
            <w:tcBorders>
              <w:top w:val="single" w:sz="0" w:space="0" w:color="auto"/>
            </w:tcBorders>
          </w:tcPr>
          <w:p w14:paraId="1D2DBE32"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7EE653B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65274FC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0" w:space="0" w:color="auto"/>
            </w:tcBorders>
          </w:tcPr>
          <w:p w14:paraId="302B6DB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0D1CCDB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0" w:space="0" w:color="auto"/>
            </w:tcBorders>
          </w:tcPr>
          <w:p w14:paraId="250C9CD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0" w:space="0" w:color="auto"/>
            </w:tcBorders>
          </w:tcPr>
          <w:p w14:paraId="6FEA39F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Borders>
              <w:top w:val="single" w:sz="0" w:space="0" w:color="auto"/>
            </w:tcBorders>
          </w:tcPr>
          <w:p w14:paraId="07BE088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781C753" w14:textId="77777777">
        <w:tc>
          <w:tcPr>
            <w:cnfStyle w:val="001000000000" w:firstRow="0" w:lastRow="0" w:firstColumn="1" w:lastColumn="0" w:oddVBand="0" w:evenVBand="0" w:oddHBand="0" w:evenHBand="0" w:firstRowFirstColumn="0" w:firstRowLastColumn="0" w:lastRowFirstColumn="0" w:lastRowLastColumn="0"/>
            <w:tcW w:w="3544" w:type="dxa"/>
          </w:tcPr>
          <w:p w14:paraId="5AF660C6" w14:textId="77777777" w:rsidR="005E614D" w:rsidRDefault="000C3A94">
            <w:r>
              <w:t>Net gain/(loss) on disposal of non</w:t>
            </w:r>
            <w:r>
              <w:noBreakHyphen/>
              <w:t>financial assets</w:t>
            </w:r>
          </w:p>
        </w:tc>
        <w:tc>
          <w:tcPr>
            <w:tcW w:w="567" w:type="dxa"/>
          </w:tcPr>
          <w:p w14:paraId="38EB7CD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D216068" w14:textId="77777777" w:rsidR="005E614D" w:rsidRDefault="000C3A94">
            <w:pPr>
              <w:cnfStyle w:val="000000000000" w:firstRow="0" w:lastRow="0" w:firstColumn="0" w:lastColumn="0" w:oddVBand="0" w:evenVBand="0" w:oddHBand="0" w:evenHBand="0" w:firstRowFirstColumn="0" w:firstRowLastColumn="0" w:lastRowFirstColumn="0" w:lastRowLastColumn="0"/>
            </w:pPr>
            <w:r>
              <w:t>11</w:t>
            </w:r>
          </w:p>
        </w:tc>
        <w:tc>
          <w:tcPr>
            <w:tcW w:w="850" w:type="dxa"/>
          </w:tcPr>
          <w:p w14:paraId="447C4BE0" w14:textId="77777777" w:rsidR="005E614D" w:rsidRDefault="000C3A94">
            <w:pPr>
              <w:cnfStyle w:val="000000000000" w:firstRow="0" w:lastRow="0" w:firstColumn="0" w:lastColumn="0" w:oddVBand="0" w:evenVBand="0" w:oddHBand="0" w:evenHBand="0" w:firstRowFirstColumn="0" w:firstRowLastColumn="0" w:lastRowFirstColumn="0" w:lastRowLastColumn="0"/>
            </w:pPr>
            <w:r>
              <w:t>19</w:t>
            </w:r>
          </w:p>
        </w:tc>
        <w:tc>
          <w:tcPr>
            <w:tcW w:w="851" w:type="dxa"/>
          </w:tcPr>
          <w:p w14:paraId="6F779EE6"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c>
          <w:tcPr>
            <w:tcW w:w="850" w:type="dxa"/>
          </w:tcPr>
          <w:p w14:paraId="5B17C52E" w14:textId="77777777" w:rsidR="005E614D" w:rsidRDefault="000C3A94">
            <w:pPr>
              <w:cnfStyle w:val="000000000000" w:firstRow="0" w:lastRow="0" w:firstColumn="0" w:lastColumn="0" w:oddVBand="0" w:evenVBand="0" w:oddHBand="0" w:evenHBand="0" w:firstRowFirstColumn="0" w:firstRowLastColumn="0" w:lastRowFirstColumn="0" w:lastRowLastColumn="0"/>
            </w:pPr>
            <w:r>
              <w:t>(20)</w:t>
            </w:r>
          </w:p>
        </w:tc>
        <w:tc>
          <w:tcPr>
            <w:tcW w:w="709" w:type="dxa"/>
          </w:tcPr>
          <w:p w14:paraId="39F457A5" w14:textId="77777777" w:rsidR="005E614D" w:rsidRDefault="000C3A94">
            <w:pPr>
              <w:cnfStyle w:val="000000000000" w:firstRow="0" w:lastRow="0" w:firstColumn="0" w:lastColumn="0" w:oddVBand="0" w:evenVBand="0" w:oddHBand="0" w:evenHBand="0" w:firstRowFirstColumn="0" w:firstRowLastColumn="0" w:lastRowFirstColumn="0" w:lastRowLastColumn="0"/>
            </w:pPr>
            <w:r>
              <w:t>(177)</w:t>
            </w:r>
          </w:p>
        </w:tc>
        <w:tc>
          <w:tcPr>
            <w:tcW w:w="850" w:type="dxa"/>
          </w:tcPr>
          <w:p w14:paraId="6DD317ED" w14:textId="77777777" w:rsidR="005E614D" w:rsidRDefault="000C3A94">
            <w:pPr>
              <w:cnfStyle w:val="000000000000" w:firstRow="0" w:lastRow="0" w:firstColumn="0" w:lastColumn="0" w:oddVBand="0" w:evenVBand="0" w:oddHBand="0" w:evenHBand="0" w:firstRowFirstColumn="0" w:firstRowLastColumn="0" w:lastRowFirstColumn="0" w:lastRowLastColumn="0"/>
            </w:pPr>
            <w:r>
              <w:t>(27)</w:t>
            </w:r>
          </w:p>
        </w:tc>
        <w:tc>
          <w:tcPr>
            <w:tcW w:w="566" w:type="dxa"/>
          </w:tcPr>
          <w:p w14:paraId="5649C7C5" w14:textId="77777777" w:rsidR="005E614D" w:rsidRDefault="000C3A94">
            <w:pPr>
              <w:cnfStyle w:val="000000000000" w:firstRow="0" w:lastRow="0" w:firstColumn="0" w:lastColumn="0" w:oddVBand="0" w:evenVBand="0" w:oddHBand="0" w:evenHBand="0" w:firstRowFirstColumn="0" w:firstRowLastColumn="0" w:lastRowFirstColumn="0" w:lastRowLastColumn="0"/>
            </w:pPr>
            <w:r>
              <w:t>(147)</w:t>
            </w:r>
          </w:p>
        </w:tc>
      </w:tr>
      <w:tr w:rsidR="005E614D" w14:paraId="629B4E99" w14:textId="77777777">
        <w:tc>
          <w:tcPr>
            <w:cnfStyle w:val="001000000000" w:firstRow="0" w:lastRow="0" w:firstColumn="1" w:lastColumn="0" w:oddVBand="0" w:evenVBand="0" w:oddHBand="0" w:evenHBand="0" w:firstRowFirstColumn="0" w:firstRowLastColumn="0" w:lastRowFirstColumn="0" w:lastRowLastColumn="0"/>
            <w:tcW w:w="3544" w:type="dxa"/>
          </w:tcPr>
          <w:p w14:paraId="78C8B788" w14:textId="77777777" w:rsidR="005E614D" w:rsidRDefault="000C3A94">
            <w:r>
              <w:t>Net gain/(loss) on financial assets or liabilities at fair value</w:t>
            </w:r>
          </w:p>
        </w:tc>
        <w:tc>
          <w:tcPr>
            <w:tcW w:w="567" w:type="dxa"/>
          </w:tcPr>
          <w:p w14:paraId="4735CA5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759FBDF9" w14:textId="77777777" w:rsidR="005E614D" w:rsidRDefault="000C3A94">
            <w:pPr>
              <w:cnfStyle w:val="000000000000" w:firstRow="0" w:lastRow="0" w:firstColumn="0" w:lastColumn="0" w:oddVBand="0" w:evenVBand="0" w:oddHBand="0" w:evenHBand="0" w:firstRowFirstColumn="0" w:firstRowLastColumn="0" w:lastRowFirstColumn="0" w:lastRowLastColumn="0"/>
            </w:pPr>
            <w:r>
              <w:t>80</w:t>
            </w:r>
          </w:p>
        </w:tc>
        <w:tc>
          <w:tcPr>
            <w:tcW w:w="850" w:type="dxa"/>
          </w:tcPr>
          <w:p w14:paraId="0C47E1E9" w14:textId="77777777" w:rsidR="005E614D" w:rsidRDefault="000C3A94">
            <w:pPr>
              <w:cnfStyle w:val="000000000000" w:firstRow="0" w:lastRow="0" w:firstColumn="0" w:lastColumn="0" w:oddVBand="0" w:evenVBand="0" w:oddHBand="0" w:evenHBand="0" w:firstRowFirstColumn="0" w:firstRowLastColumn="0" w:lastRowFirstColumn="0" w:lastRowLastColumn="0"/>
            </w:pPr>
            <w:r>
              <w:t>221</w:t>
            </w:r>
          </w:p>
        </w:tc>
        <w:tc>
          <w:tcPr>
            <w:tcW w:w="851" w:type="dxa"/>
          </w:tcPr>
          <w:p w14:paraId="3CB26337" w14:textId="77777777" w:rsidR="005E614D" w:rsidRDefault="000C3A94">
            <w:pPr>
              <w:cnfStyle w:val="000000000000" w:firstRow="0" w:lastRow="0" w:firstColumn="0" w:lastColumn="0" w:oddVBand="0" w:evenVBand="0" w:oddHBand="0" w:evenHBand="0" w:firstRowFirstColumn="0" w:firstRowLastColumn="0" w:lastRowFirstColumn="0" w:lastRowLastColumn="0"/>
            </w:pPr>
            <w:r>
              <w:t>1 213</w:t>
            </w:r>
          </w:p>
        </w:tc>
        <w:tc>
          <w:tcPr>
            <w:tcW w:w="850" w:type="dxa"/>
          </w:tcPr>
          <w:p w14:paraId="2294F7F8" w14:textId="77777777" w:rsidR="005E614D" w:rsidRDefault="000C3A94">
            <w:pPr>
              <w:cnfStyle w:val="000000000000" w:firstRow="0" w:lastRow="0" w:firstColumn="0" w:lastColumn="0" w:oddVBand="0" w:evenVBand="0" w:oddHBand="0" w:evenHBand="0" w:firstRowFirstColumn="0" w:firstRowLastColumn="0" w:lastRowFirstColumn="0" w:lastRowLastColumn="0"/>
            </w:pPr>
            <w:r>
              <w:t>1 133</w:t>
            </w:r>
          </w:p>
        </w:tc>
        <w:tc>
          <w:tcPr>
            <w:tcW w:w="709" w:type="dxa"/>
          </w:tcPr>
          <w:p w14:paraId="47F9A768" w14:textId="77777777" w:rsidR="005E614D" w:rsidRDefault="000C3A94">
            <w:pPr>
              <w:cnfStyle w:val="000000000000" w:firstRow="0" w:lastRow="0" w:firstColumn="0" w:lastColumn="0" w:oddVBand="0" w:evenVBand="0" w:oddHBand="0" w:evenHBand="0" w:firstRowFirstColumn="0" w:firstRowLastColumn="0" w:lastRowFirstColumn="0" w:lastRowLastColumn="0"/>
            </w:pPr>
            <w:r>
              <w:t>1 414</w:t>
            </w:r>
          </w:p>
        </w:tc>
        <w:tc>
          <w:tcPr>
            <w:tcW w:w="850" w:type="dxa"/>
          </w:tcPr>
          <w:p w14:paraId="4F98111B" w14:textId="77777777" w:rsidR="005E614D" w:rsidRDefault="000C3A94">
            <w:pPr>
              <w:cnfStyle w:val="000000000000" w:firstRow="0" w:lastRow="0" w:firstColumn="0" w:lastColumn="0" w:oddVBand="0" w:evenVBand="0" w:oddHBand="0" w:evenHBand="0" w:firstRowFirstColumn="0" w:firstRowLastColumn="0" w:lastRowFirstColumn="0" w:lastRowLastColumn="0"/>
            </w:pPr>
            <w:r>
              <w:t>992</w:t>
            </w:r>
          </w:p>
        </w:tc>
        <w:tc>
          <w:tcPr>
            <w:tcW w:w="566" w:type="dxa"/>
          </w:tcPr>
          <w:p w14:paraId="17D507DC" w14:textId="77777777" w:rsidR="005E614D" w:rsidRDefault="000C3A94">
            <w:pPr>
              <w:cnfStyle w:val="000000000000" w:firstRow="0" w:lastRow="0" w:firstColumn="0" w:lastColumn="0" w:oddVBand="0" w:evenVBand="0" w:oddHBand="0" w:evenHBand="0" w:firstRowFirstColumn="0" w:firstRowLastColumn="0" w:lastRowFirstColumn="0" w:lastRowLastColumn="0"/>
            </w:pPr>
            <w:r>
              <w:t>449</w:t>
            </w:r>
          </w:p>
        </w:tc>
      </w:tr>
      <w:tr w:rsidR="005E614D" w14:paraId="47E4A8AE" w14:textId="77777777">
        <w:tc>
          <w:tcPr>
            <w:cnfStyle w:val="001000000000" w:firstRow="0" w:lastRow="0" w:firstColumn="1" w:lastColumn="0" w:oddVBand="0" w:evenVBand="0" w:oddHBand="0" w:evenHBand="0" w:firstRowFirstColumn="0" w:firstRowLastColumn="0" w:lastRowFirstColumn="0" w:lastRowLastColumn="0"/>
            <w:tcW w:w="3544" w:type="dxa"/>
          </w:tcPr>
          <w:p w14:paraId="7B232EF3" w14:textId="77777777" w:rsidR="005E614D" w:rsidRDefault="000C3A94">
            <w:r>
              <w:t>Share of net profit/(loss) from associates/joint venture entities, excluding dividends</w:t>
            </w:r>
          </w:p>
        </w:tc>
        <w:tc>
          <w:tcPr>
            <w:tcW w:w="567" w:type="dxa"/>
          </w:tcPr>
          <w:p w14:paraId="0FCD2BA6"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D102D16" w14:textId="77777777" w:rsidR="005E614D" w:rsidRDefault="000C3A94">
            <w:pPr>
              <w:cnfStyle w:val="000000000000" w:firstRow="0" w:lastRow="0" w:firstColumn="0" w:lastColumn="0" w:oddVBand="0" w:evenVBand="0" w:oddHBand="0" w:evenHBand="0" w:firstRowFirstColumn="0" w:firstRowLastColumn="0" w:lastRowFirstColumn="0" w:lastRowLastColumn="0"/>
            </w:pPr>
            <w:r>
              <w:t>32</w:t>
            </w:r>
          </w:p>
        </w:tc>
        <w:tc>
          <w:tcPr>
            <w:tcW w:w="850" w:type="dxa"/>
          </w:tcPr>
          <w:p w14:paraId="009E7E29" w14:textId="77777777" w:rsidR="005E614D" w:rsidRDefault="000C3A94">
            <w:pPr>
              <w:cnfStyle w:val="000000000000" w:firstRow="0" w:lastRow="0" w:firstColumn="0" w:lastColumn="0" w:oddVBand="0" w:evenVBand="0" w:oddHBand="0" w:evenHBand="0" w:firstRowFirstColumn="0" w:firstRowLastColumn="0" w:lastRowFirstColumn="0" w:lastRowLastColumn="0"/>
            </w:pPr>
            <w:r>
              <w:t>(45)</w:t>
            </w:r>
          </w:p>
        </w:tc>
        <w:tc>
          <w:tcPr>
            <w:tcW w:w="851" w:type="dxa"/>
          </w:tcPr>
          <w:p w14:paraId="5B5AA437" w14:textId="77777777" w:rsidR="005E614D" w:rsidRDefault="000C3A94">
            <w:pPr>
              <w:cnfStyle w:val="000000000000" w:firstRow="0" w:lastRow="0" w:firstColumn="0" w:lastColumn="0" w:oddVBand="0" w:evenVBand="0" w:oddHBand="0" w:evenHBand="0" w:firstRowFirstColumn="0" w:firstRowLastColumn="0" w:lastRowFirstColumn="0" w:lastRowLastColumn="0"/>
            </w:pPr>
            <w:r>
              <w:t>(66)</w:t>
            </w:r>
          </w:p>
        </w:tc>
        <w:tc>
          <w:tcPr>
            <w:tcW w:w="850" w:type="dxa"/>
          </w:tcPr>
          <w:p w14:paraId="3F5AAA19" w14:textId="77777777" w:rsidR="005E614D" w:rsidRDefault="000C3A94">
            <w:pPr>
              <w:cnfStyle w:val="000000000000" w:firstRow="0" w:lastRow="0" w:firstColumn="0" w:lastColumn="0" w:oddVBand="0" w:evenVBand="0" w:oddHBand="0" w:evenHBand="0" w:firstRowFirstColumn="0" w:firstRowLastColumn="0" w:lastRowFirstColumn="0" w:lastRowLastColumn="0"/>
            </w:pPr>
            <w:r>
              <w:t>(98)</w:t>
            </w:r>
          </w:p>
        </w:tc>
        <w:tc>
          <w:tcPr>
            <w:tcW w:w="709" w:type="dxa"/>
          </w:tcPr>
          <w:p w14:paraId="143C5767" w14:textId="77777777" w:rsidR="005E614D" w:rsidRDefault="000C3A94">
            <w:pPr>
              <w:cnfStyle w:val="000000000000" w:firstRow="0" w:lastRow="0" w:firstColumn="0" w:lastColumn="0" w:oddVBand="0" w:evenVBand="0" w:oddHBand="0" w:evenHBand="0" w:firstRowFirstColumn="0" w:firstRowLastColumn="0" w:lastRowFirstColumn="0" w:lastRowLastColumn="0"/>
            </w:pPr>
            <w:r>
              <w:t>(307)</w:t>
            </w:r>
          </w:p>
        </w:tc>
        <w:tc>
          <w:tcPr>
            <w:tcW w:w="850" w:type="dxa"/>
          </w:tcPr>
          <w:p w14:paraId="69F1C77B" w14:textId="77777777" w:rsidR="005E614D" w:rsidRDefault="000C3A94">
            <w:pPr>
              <w:cnfStyle w:val="000000000000" w:firstRow="0" w:lastRow="0" w:firstColumn="0" w:lastColumn="0" w:oddVBand="0" w:evenVBand="0" w:oddHBand="0" w:evenHBand="0" w:firstRowFirstColumn="0" w:firstRowLastColumn="0" w:lastRowFirstColumn="0" w:lastRowLastColumn="0"/>
            </w:pPr>
            <w:r>
              <w:t>(21)</w:t>
            </w:r>
          </w:p>
        </w:tc>
        <w:tc>
          <w:tcPr>
            <w:tcW w:w="566" w:type="dxa"/>
          </w:tcPr>
          <w:p w14:paraId="7B7EBB4E" w14:textId="77777777" w:rsidR="005E614D" w:rsidRDefault="000C3A94">
            <w:pPr>
              <w:cnfStyle w:val="000000000000" w:firstRow="0" w:lastRow="0" w:firstColumn="0" w:lastColumn="0" w:oddVBand="0" w:evenVBand="0" w:oddHBand="0" w:evenHBand="0" w:firstRowFirstColumn="0" w:firstRowLastColumn="0" w:lastRowFirstColumn="0" w:lastRowLastColumn="0"/>
            </w:pPr>
            <w:r>
              <w:t>47</w:t>
            </w:r>
          </w:p>
        </w:tc>
      </w:tr>
      <w:tr w:rsidR="005E614D" w14:paraId="0F22AF68"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2A27F31A" w14:textId="77777777" w:rsidR="005E614D" w:rsidRDefault="000C3A94">
            <w:r>
              <w:t>Other gains/(losses) from other economic flows</w:t>
            </w:r>
          </w:p>
        </w:tc>
        <w:tc>
          <w:tcPr>
            <w:tcW w:w="567" w:type="dxa"/>
            <w:tcBorders>
              <w:bottom w:val="single" w:sz="6" w:space="0" w:color="auto"/>
            </w:tcBorders>
          </w:tcPr>
          <w:p w14:paraId="59A608C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51AACBEC" w14:textId="77777777" w:rsidR="005E614D" w:rsidRDefault="000C3A94">
            <w:pPr>
              <w:cnfStyle w:val="000000000000" w:firstRow="0" w:lastRow="0" w:firstColumn="0" w:lastColumn="0" w:oddVBand="0" w:evenVBand="0" w:oddHBand="0" w:evenHBand="0" w:firstRowFirstColumn="0" w:firstRowLastColumn="0" w:lastRowFirstColumn="0" w:lastRowLastColumn="0"/>
            </w:pPr>
            <w:r>
              <w:t>(459)</w:t>
            </w:r>
          </w:p>
        </w:tc>
        <w:tc>
          <w:tcPr>
            <w:tcW w:w="850" w:type="dxa"/>
            <w:tcBorders>
              <w:bottom w:val="single" w:sz="6" w:space="0" w:color="auto"/>
            </w:tcBorders>
          </w:tcPr>
          <w:p w14:paraId="205E0796" w14:textId="77777777" w:rsidR="005E614D" w:rsidRDefault="000C3A94">
            <w:pPr>
              <w:cnfStyle w:val="000000000000" w:firstRow="0" w:lastRow="0" w:firstColumn="0" w:lastColumn="0" w:oddVBand="0" w:evenVBand="0" w:oddHBand="0" w:evenHBand="0" w:firstRowFirstColumn="0" w:firstRowLastColumn="0" w:lastRowFirstColumn="0" w:lastRowLastColumn="0"/>
            </w:pPr>
            <w:r>
              <w:t>(575)</w:t>
            </w:r>
          </w:p>
        </w:tc>
        <w:tc>
          <w:tcPr>
            <w:tcW w:w="851" w:type="dxa"/>
            <w:tcBorders>
              <w:bottom w:val="single" w:sz="6" w:space="0" w:color="auto"/>
            </w:tcBorders>
          </w:tcPr>
          <w:p w14:paraId="5255B9B7" w14:textId="77777777" w:rsidR="005E614D" w:rsidRDefault="000C3A94">
            <w:pPr>
              <w:cnfStyle w:val="000000000000" w:firstRow="0" w:lastRow="0" w:firstColumn="0" w:lastColumn="0" w:oddVBand="0" w:evenVBand="0" w:oddHBand="0" w:evenHBand="0" w:firstRowFirstColumn="0" w:firstRowLastColumn="0" w:lastRowFirstColumn="0" w:lastRowLastColumn="0"/>
            </w:pPr>
            <w:r>
              <w:t>(542)</w:t>
            </w:r>
          </w:p>
        </w:tc>
        <w:tc>
          <w:tcPr>
            <w:tcW w:w="850" w:type="dxa"/>
            <w:tcBorders>
              <w:bottom w:val="single" w:sz="6" w:space="0" w:color="auto"/>
            </w:tcBorders>
          </w:tcPr>
          <w:p w14:paraId="3DC29279" w14:textId="77777777" w:rsidR="005E614D" w:rsidRDefault="000C3A94">
            <w:pPr>
              <w:cnfStyle w:val="000000000000" w:firstRow="0" w:lastRow="0" w:firstColumn="0" w:lastColumn="0" w:oddVBand="0" w:evenVBand="0" w:oddHBand="0" w:evenHBand="0" w:firstRowFirstColumn="0" w:firstRowLastColumn="0" w:lastRowFirstColumn="0" w:lastRowLastColumn="0"/>
            </w:pPr>
            <w:r>
              <w:t>(83)</w:t>
            </w:r>
          </w:p>
        </w:tc>
        <w:tc>
          <w:tcPr>
            <w:tcW w:w="709" w:type="dxa"/>
            <w:tcBorders>
              <w:bottom w:val="single" w:sz="6" w:space="0" w:color="auto"/>
            </w:tcBorders>
          </w:tcPr>
          <w:p w14:paraId="6C7A027F" w14:textId="77777777" w:rsidR="005E614D" w:rsidRDefault="000C3A94">
            <w:pPr>
              <w:cnfStyle w:val="000000000000" w:firstRow="0" w:lastRow="0" w:firstColumn="0" w:lastColumn="0" w:oddVBand="0" w:evenVBand="0" w:oddHBand="0" w:evenHBand="0" w:firstRowFirstColumn="0" w:firstRowLastColumn="0" w:lastRowFirstColumn="0" w:lastRowLastColumn="0"/>
            </w:pPr>
            <w:r>
              <w:t>18</w:t>
            </w:r>
          </w:p>
        </w:tc>
        <w:tc>
          <w:tcPr>
            <w:tcW w:w="850" w:type="dxa"/>
            <w:tcBorders>
              <w:bottom w:val="single" w:sz="6" w:space="0" w:color="auto"/>
            </w:tcBorders>
          </w:tcPr>
          <w:p w14:paraId="1FBEBA79" w14:textId="77777777" w:rsidR="005E614D" w:rsidRDefault="000C3A94">
            <w:pPr>
              <w:cnfStyle w:val="000000000000" w:firstRow="0" w:lastRow="0" w:firstColumn="0" w:lastColumn="0" w:oddVBand="0" w:evenVBand="0" w:oddHBand="0" w:evenHBand="0" w:firstRowFirstColumn="0" w:firstRowLastColumn="0" w:lastRowFirstColumn="0" w:lastRowLastColumn="0"/>
            </w:pPr>
            <w:r>
              <w:t>32</w:t>
            </w:r>
          </w:p>
        </w:tc>
        <w:tc>
          <w:tcPr>
            <w:tcW w:w="566" w:type="dxa"/>
            <w:tcBorders>
              <w:bottom w:val="single" w:sz="6" w:space="0" w:color="auto"/>
            </w:tcBorders>
          </w:tcPr>
          <w:p w14:paraId="73048301" w14:textId="77777777" w:rsidR="005E614D" w:rsidRDefault="000C3A94">
            <w:pPr>
              <w:cnfStyle w:val="000000000000" w:firstRow="0" w:lastRow="0" w:firstColumn="0" w:lastColumn="0" w:oddVBand="0" w:evenVBand="0" w:oddHBand="0" w:evenHBand="0" w:firstRowFirstColumn="0" w:firstRowLastColumn="0" w:lastRowFirstColumn="0" w:lastRowLastColumn="0"/>
            </w:pPr>
            <w:r>
              <w:t>(6)</w:t>
            </w:r>
          </w:p>
        </w:tc>
      </w:tr>
      <w:tr w:rsidR="005E614D" w14:paraId="17BA911A"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40AFEDF1" w14:textId="77777777" w:rsidR="005E614D" w:rsidRDefault="000C3A94">
            <w:r>
              <w:rPr>
                <w:b/>
              </w:rPr>
              <w:t>Total other economic flows included in net result</w:t>
            </w:r>
          </w:p>
        </w:tc>
        <w:tc>
          <w:tcPr>
            <w:tcW w:w="567" w:type="dxa"/>
            <w:tcBorders>
              <w:top w:val="single" w:sz="6" w:space="0" w:color="auto"/>
              <w:bottom w:val="single" w:sz="6" w:space="0" w:color="auto"/>
            </w:tcBorders>
          </w:tcPr>
          <w:p w14:paraId="38480321" w14:textId="77777777" w:rsidR="005E614D" w:rsidRDefault="000C3A94">
            <w:pPr>
              <w:jc w:val="center"/>
              <w:cnfStyle w:val="000000000000" w:firstRow="0" w:lastRow="0" w:firstColumn="0" w:lastColumn="0" w:oddVBand="0" w:evenVBand="0" w:oddHBand="0" w:evenHBand="0" w:firstRowFirstColumn="0" w:firstRowLastColumn="0" w:lastRowFirstColumn="0" w:lastRowLastColumn="0"/>
            </w:pPr>
            <w:r>
              <w:rPr>
                <w:vertAlign w:val="superscript"/>
              </w:rPr>
              <w:t xml:space="preserve"> (j)</w:t>
            </w:r>
          </w:p>
        </w:tc>
        <w:tc>
          <w:tcPr>
            <w:tcW w:w="851" w:type="dxa"/>
            <w:tcBorders>
              <w:top w:val="single" w:sz="6" w:space="0" w:color="auto"/>
              <w:bottom w:val="single" w:sz="6" w:space="0" w:color="auto"/>
            </w:tcBorders>
          </w:tcPr>
          <w:p w14:paraId="3DACD4E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(336)</w:t>
            </w:r>
          </w:p>
        </w:tc>
        <w:tc>
          <w:tcPr>
            <w:tcW w:w="850" w:type="dxa"/>
            <w:tcBorders>
              <w:top w:val="single" w:sz="6" w:space="0" w:color="auto"/>
              <w:bottom w:val="single" w:sz="6" w:space="0" w:color="auto"/>
            </w:tcBorders>
          </w:tcPr>
          <w:p w14:paraId="2A7008B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(380)</w:t>
            </w:r>
          </w:p>
        </w:tc>
        <w:tc>
          <w:tcPr>
            <w:tcW w:w="851" w:type="dxa"/>
            <w:tcBorders>
              <w:top w:val="single" w:sz="6" w:space="0" w:color="auto"/>
              <w:bottom w:val="single" w:sz="6" w:space="0" w:color="auto"/>
            </w:tcBorders>
          </w:tcPr>
          <w:p w14:paraId="270C39A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596</w:t>
            </w:r>
          </w:p>
        </w:tc>
        <w:tc>
          <w:tcPr>
            <w:tcW w:w="850" w:type="dxa"/>
            <w:tcBorders>
              <w:top w:val="single" w:sz="6" w:space="0" w:color="auto"/>
              <w:bottom w:val="single" w:sz="6" w:space="0" w:color="auto"/>
            </w:tcBorders>
          </w:tcPr>
          <w:p w14:paraId="1B0D040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931</w:t>
            </w:r>
          </w:p>
        </w:tc>
        <w:tc>
          <w:tcPr>
            <w:tcW w:w="709" w:type="dxa"/>
            <w:tcBorders>
              <w:top w:val="single" w:sz="6" w:space="0" w:color="auto"/>
              <w:bottom w:val="single" w:sz="6" w:space="0" w:color="auto"/>
            </w:tcBorders>
          </w:tcPr>
          <w:p w14:paraId="5D604F2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(277)</w:t>
            </w:r>
          </w:p>
        </w:tc>
        <w:tc>
          <w:tcPr>
            <w:tcW w:w="850" w:type="dxa"/>
            <w:tcBorders>
              <w:top w:val="single" w:sz="6" w:space="0" w:color="auto"/>
              <w:bottom w:val="single" w:sz="6" w:space="0" w:color="auto"/>
            </w:tcBorders>
          </w:tcPr>
          <w:p w14:paraId="52C906A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976</w:t>
            </w:r>
          </w:p>
        </w:tc>
        <w:tc>
          <w:tcPr>
            <w:tcW w:w="566" w:type="dxa"/>
            <w:tcBorders>
              <w:top w:val="single" w:sz="6" w:space="0" w:color="auto"/>
              <w:bottom w:val="single" w:sz="6" w:space="0" w:color="auto"/>
            </w:tcBorders>
          </w:tcPr>
          <w:p w14:paraId="0511D23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(257)</w:t>
            </w:r>
          </w:p>
        </w:tc>
      </w:tr>
      <w:tr w:rsidR="005E614D" w14:paraId="43272948"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B5D555B" w14:textId="77777777" w:rsidR="005E614D" w:rsidRDefault="000C3A94">
            <w:r>
              <w:rPr>
                <w:b/>
              </w:rPr>
              <w:t>Net result</w:t>
            </w:r>
          </w:p>
        </w:tc>
        <w:tc>
          <w:tcPr>
            <w:tcW w:w="567" w:type="dxa"/>
            <w:tcBorders>
              <w:top w:val="single" w:sz="6" w:space="0" w:color="auto"/>
              <w:bottom w:val="single" w:sz="6" w:space="0" w:color="auto"/>
            </w:tcBorders>
          </w:tcPr>
          <w:p w14:paraId="76A065C3"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6" w:space="0" w:color="auto"/>
            </w:tcBorders>
          </w:tcPr>
          <w:p w14:paraId="026CE4A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(2 527)</w:t>
            </w:r>
          </w:p>
        </w:tc>
        <w:tc>
          <w:tcPr>
            <w:tcW w:w="850" w:type="dxa"/>
            <w:tcBorders>
              <w:top w:val="single" w:sz="6" w:space="0" w:color="auto"/>
              <w:bottom w:val="single" w:sz="6" w:space="0" w:color="auto"/>
            </w:tcBorders>
          </w:tcPr>
          <w:p w14:paraId="268C830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(3 822)</w:t>
            </w:r>
          </w:p>
        </w:tc>
        <w:tc>
          <w:tcPr>
            <w:tcW w:w="851" w:type="dxa"/>
            <w:tcBorders>
              <w:top w:val="single" w:sz="6" w:space="0" w:color="auto"/>
              <w:bottom w:val="single" w:sz="6" w:space="0" w:color="auto"/>
            </w:tcBorders>
          </w:tcPr>
          <w:p w14:paraId="778C864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(2 030)</w:t>
            </w:r>
          </w:p>
        </w:tc>
        <w:tc>
          <w:tcPr>
            <w:tcW w:w="850" w:type="dxa"/>
            <w:tcBorders>
              <w:top w:val="single" w:sz="6" w:space="0" w:color="auto"/>
              <w:bottom w:val="single" w:sz="6" w:space="0" w:color="auto"/>
            </w:tcBorders>
          </w:tcPr>
          <w:p w14:paraId="6507581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497</w:t>
            </w:r>
          </w:p>
        </w:tc>
        <w:tc>
          <w:tcPr>
            <w:tcW w:w="709" w:type="dxa"/>
            <w:tcBorders>
              <w:top w:val="single" w:sz="6" w:space="0" w:color="auto"/>
              <w:bottom w:val="single" w:sz="6" w:space="0" w:color="auto"/>
            </w:tcBorders>
          </w:tcPr>
          <w:p w14:paraId="65CC049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w:t>
            </w:r>
          </w:p>
        </w:tc>
        <w:tc>
          <w:tcPr>
            <w:tcW w:w="850" w:type="dxa"/>
            <w:tcBorders>
              <w:top w:val="single" w:sz="6" w:space="0" w:color="auto"/>
              <w:bottom w:val="single" w:sz="6" w:space="0" w:color="auto"/>
            </w:tcBorders>
          </w:tcPr>
          <w:p w14:paraId="5ED9B7B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1 792</w:t>
            </w:r>
          </w:p>
        </w:tc>
        <w:tc>
          <w:tcPr>
            <w:tcW w:w="566" w:type="dxa"/>
            <w:tcBorders>
              <w:top w:val="single" w:sz="6" w:space="0" w:color="auto"/>
              <w:bottom w:val="single" w:sz="6" w:space="0" w:color="auto"/>
            </w:tcBorders>
          </w:tcPr>
          <w:p w14:paraId="616A39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(47)</w:t>
            </w:r>
          </w:p>
        </w:tc>
      </w:tr>
      <w:tr w:rsidR="005E614D" w14:paraId="6DC0C3C4"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tcBorders>
          </w:tcPr>
          <w:p w14:paraId="50678519" w14:textId="36F71759" w:rsidR="005E614D" w:rsidRDefault="000C3A94">
            <w:r>
              <w:rPr>
                <w:b/>
              </w:rPr>
              <w:t xml:space="preserve">Other economic flows – </w:t>
            </w:r>
            <w:r w:rsidR="0086317C">
              <w:rPr>
                <w:b/>
              </w:rPr>
              <w:t>O</w:t>
            </w:r>
            <w:r>
              <w:rPr>
                <w:b/>
              </w:rPr>
              <w:t>ther comprehensive income</w:t>
            </w:r>
          </w:p>
        </w:tc>
        <w:tc>
          <w:tcPr>
            <w:tcW w:w="567" w:type="dxa"/>
            <w:tcBorders>
              <w:top w:val="single" w:sz="6" w:space="0" w:color="auto"/>
            </w:tcBorders>
          </w:tcPr>
          <w:p w14:paraId="2E69F70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236DDC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DE6D60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1BAE00B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D5D760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058570F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B4C655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Borders>
              <w:top w:val="single" w:sz="6" w:space="0" w:color="auto"/>
            </w:tcBorders>
          </w:tcPr>
          <w:p w14:paraId="6CD9774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AAC8877" w14:textId="77777777">
        <w:tc>
          <w:tcPr>
            <w:cnfStyle w:val="001000000000" w:firstRow="0" w:lastRow="0" w:firstColumn="1" w:lastColumn="0" w:oddVBand="0" w:evenVBand="0" w:oddHBand="0" w:evenHBand="0" w:firstRowFirstColumn="0" w:firstRowLastColumn="0" w:lastRowFirstColumn="0" w:lastRowLastColumn="0"/>
            <w:tcW w:w="3544" w:type="dxa"/>
          </w:tcPr>
          <w:p w14:paraId="1723173D" w14:textId="77777777" w:rsidR="005E614D" w:rsidRDefault="000C3A94">
            <w:r>
              <w:rPr>
                <w:b/>
              </w:rPr>
              <w:t>Items that will not be reclassified to net result</w:t>
            </w:r>
          </w:p>
        </w:tc>
        <w:tc>
          <w:tcPr>
            <w:tcW w:w="567" w:type="dxa"/>
          </w:tcPr>
          <w:p w14:paraId="383F3B54"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6CD3D9E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165AA12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2DE5E86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6810B17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637444F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7E85CC4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6DFAD43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FE83C07" w14:textId="77777777">
        <w:tc>
          <w:tcPr>
            <w:cnfStyle w:val="001000000000" w:firstRow="0" w:lastRow="0" w:firstColumn="1" w:lastColumn="0" w:oddVBand="0" w:evenVBand="0" w:oddHBand="0" w:evenHBand="0" w:firstRowFirstColumn="0" w:firstRowLastColumn="0" w:lastRowFirstColumn="0" w:lastRowLastColumn="0"/>
            <w:tcW w:w="3544" w:type="dxa"/>
          </w:tcPr>
          <w:p w14:paraId="57FC1D83" w14:textId="77777777" w:rsidR="005E614D" w:rsidRDefault="000C3A94">
            <w:r>
              <w:t>Changes in non</w:t>
            </w:r>
            <w:r>
              <w:noBreakHyphen/>
              <w:t>financial assets revaluation surplus</w:t>
            </w:r>
          </w:p>
        </w:tc>
        <w:tc>
          <w:tcPr>
            <w:tcW w:w="567" w:type="dxa"/>
          </w:tcPr>
          <w:p w14:paraId="7E051416"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3E0869B" w14:textId="77777777" w:rsidR="005E614D" w:rsidRDefault="000C3A94">
            <w:pPr>
              <w:cnfStyle w:val="000000000000" w:firstRow="0" w:lastRow="0" w:firstColumn="0" w:lastColumn="0" w:oddVBand="0" w:evenVBand="0" w:oddHBand="0" w:evenHBand="0" w:firstRowFirstColumn="0" w:firstRowLastColumn="0" w:lastRowFirstColumn="0" w:lastRowLastColumn="0"/>
            </w:pPr>
            <w:r>
              <w:t>6 787</w:t>
            </w:r>
          </w:p>
        </w:tc>
        <w:tc>
          <w:tcPr>
            <w:tcW w:w="850" w:type="dxa"/>
          </w:tcPr>
          <w:p w14:paraId="7798B076" w14:textId="77777777" w:rsidR="005E614D" w:rsidRDefault="000C3A94">
            <w:pPr>
              <w:cnfStyle w:val="000000000000" w:firstRow="0" w:lastRow="0" w:firstColumn="0" w:lastColumn="0" w:oddVBand="0" w:evenVBand="0" w:oddHBand="0" w:evenHBand="0" w:firstRowFirstColumn="0" w:firstRowLastColumn="0" w:lastRowFirstColumn="0" w:lastRowLastColumn="0"/>
            </w:pPr>
            <w:r>
              <w:t>5 128</w:t>
            </w:r>
          </w:p>
        </w:tc>
        <w:tc>
          <w:tcPr>
            <w:tcW w:w="851" w:type="dxa"/>
          </w:tcPr>
          <w:p w14:paraId="37B69C00"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850" w:type="dxa"/>
          </w:tcPr>
          <w:p w14:paraId="738B6CA9" w14:textId="77777777" w:rsidR="005E614D" w:rsidRDefault="000C3A94">
            <w:pPr>
              <w:cnfStyle w:val="000000000000" w:firstRow="0" w:lastRow="0" w:firstColumn="0" w:lastColumn="0" w:oddVBand="0" w:evenVBand="0" w:oddHBand="0" w:evenHBand="0" w:firstRowFirstColumn="0" w:firstRowLastColumn="0" w:lastRowFirstColumn="0" w:lastRowLastColumn="0"/>
            </w:pPr>
            <w:r>
              <w:t>2 558</w:t>
            </w:r>
          </w:p>
        </w:tc>
        <w:tc>
          <w:tcPr>
            <w:tcW w:w="709" w:type="dxa"/>
          </w:tcPr>
          <w:p w14:paraId="46D4863B" w14:textId="77777777" w:rsidR="005E614D" w:rsidRDefault="000C3A94">
            <w:pPr>
              <w:cnfStyle w:val="000000000000" w:firstRow="0" w:lastRow="0" w:firstColumn="0" w:lastColumn="0" w:oddVBand="0" w:evenVBand="0" w:oddHBand="0" w:evenHBand="0" w:firstRowFirstColumn="0" w:firstRowLastColumn="0" w:lastRowFirstColumn="0" w:lastRowLastColumn="0"/>
            </w:pPr>
            <w:r>
              <w:t>38</w:t>
            </w:r>
          </w:p>
        </w:tc>
        <w:tc>
          <w:tcPr>
            <w:tcW w:w="850" w:type="dxa"/>
          </w:tcPr>
          <w:p w14:paraId="622E6291" w14:textId="77777777" w:rsidR="005E614D" w:rsidRDefault="000C3A94">
            <w:pPr>
              <w:cnfStyle w:val="000000000000" w:firstRow="0" w:lastRow="0" w:firstColumn="0" w:lastColumn="0" w:oddVBand="0" w:evenVBand="0" w:oddHBand="0" w:evenHBand="0" w:firstRowFirstColumn="0" w:firstRowLastColumn="0" w:lastRowFirstColumn="0" w:lastRowLastColumn="0"/>
            </w:pPr>
            <w:r>
              <w:t>4 217</w:t>
            </w:r>
          </w:p>
        </w:tc>
        <w:tc>
          <w:tcPr>
            <w:tcW w:w="566" w:type="dxa"/>
          </w:tcPr>
          <w:p w14:paraId="28884C6A" w14:textId="77777777" w:rsidR="005E614D" w:rsidRDefault="000C3A94">
            <w:pPr>
              <w:cnfStyle w:val="000000000000" w:firstRow="0" w:lastRow="0" w:firstColumn="0" w:lastColumn="0" w:oddVBand="0" w:evenVBand="0" w:oddHBand="0" w:evenHBand="0" w:firstRowFirstColumn="0" w:firstRowLastColumn="0" w:lastRowFirstColumn="0" w:lastRowLastColumn="0"/>
            </w:pPr>
            <w:r>
              <w:t>82</w:t>
            </w:r>
          </w:p>
        </w:tc>
      </w:tr>
      <w:tr w:rsidR="005E614D" w14:paraId="2424A60A" w14:textId="77777777">
        <w:tc>
          <w:tcPr>
            <w:cnfStyle w:val="001000000000" w:firstRow="0" w:lastRow="0" w:firstColumn="1" w:lastColumn="0" w:oddVBand="0" w:evenVBand="0" w:oddHBand="0" w:evenHBand="0" w:firstRowFirstColumn="0" w:firstRowLastColumn="0" w:lastRowFirstColumn="0" w:lastRowLastColumn="0"/>
            <w:tcW w:w="3544" w:type="dxa"/>
          </w:tcPr>
          <w:p w14:paraId="5B5390E3" w14:textId="77777777" w:rsidR="005E614D" w:rsidRDefault="000C3A94">
            <w:r>
              <w:t>Remeasurement of superannuation defined benefits plans</w:t>
            </w:r>
          </w:p>
        </w:tc>
        <w:tc>
          <w:tcPr>
            <w:tcW w:w="567" w:type="dxa"/>
          </w:tcPr>
          <w:p w14:paraId="2FEA4515"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96910B1" w14:textId="77777777" w:rsidR="005E614D" w:rsidRDefault="000C3A94">
            <w:pPr>
              <w:cnfStyle w:val="000000000000" w:firstRow="0" w:lastRow="0" w:firstColumn="0" w:lastColumn="0" w:oddVBand="0" w:evenVBand="0" w:oddHBand="0" w:evenHBand="0" w:firstRowFirstColumn="0" w:firstRowLastColumn="0" w:lastRowFirstColumn="0" w:lastRowLastColumn="0"/>
            </w:pPr>
            <w:r>
              <w:t>725</w:t>
            </w:r>
          </w:p>
        </w:tc>
        <w:tc>
          <w:tcPr>
            <w:tcW w:w="850" w:type="dxa"/>
          </w:tcPr>
          <w:p w14:paraId="5EB23CE0" w14:textId="77777777" w:rsidR="005E614D" w:rsidRDefault="000C3A94">
            <w:pPr>
              <w:cnfStyle w:val="000000000000" w:firstRow="0" w:lastRow="0" w:firstColumn="0" w:lastColumn="0" w:oddVBand="0" w:evenVBand="0" w:oddHBand="0" w:evenHBand="0" w:firstRowFirstColumn="0" w:firstRowLastColumn="0" w:lastRowFirstColumn="0" w:lastRowLastColumn="0"/>
            </w:pPr>
            <w:r>
              <w:t>1 424</w:t>
            </w:r>
          </w:p>
        </w:tc>
        <w:tc>
          <w:tcPr>
            <w:tcW w:w="851" w:type="dxa"/>
          </w:tcPr>
          <w:p w14:paraId="76D650C3" w14:textId="77777777" w:rsidR="005E614D" w:rsidRDefault="000C3A94">
            <w:pPr>
              <w:cnfStyle w:val="000000000000" w:firstRow="0" w:lastRow="0" w:firstColumn="0" w:lastColumn="0" w:oddVBand="0" w:evenVBand="0" w:oddHBand="0" w:evenHBand="0" w:firstRowFirstColumn="0" w:firstRowLastColumn="0" w:lastRowFirstColumn="0" w:lastRowLastColumn="0"/>
            </w:pPr>
            <w:r>
              <w:t>786</w:t>
            </w:r>
          </w:p>
        </w:tc>
        <w:tc>
          <w:tcPr>
            <w:tcW w:w="850" w:type="dxa"/>
          </w:tcPr>
          <w:p w14:paraId="16E53E8E" w14:textId="77777777" w:rsidR="005E614D" w:rsidRDefault="000C3A94">
            <w:pPr>
              <w:cnfStyle w:val="000000000000" w:firstRow="0" w:lastRow="0" w:firstColumn="0" w:lastColumn="0" w:oddVBand="0" w:evenVBand="0" w:oddHBand="0" w:evenHBand="0" w:firstRowFirstColumn="0" w:firstRowLastColumn="0" w:lastRowFirstColumn="0" w:lastRowLastColumn="0"/>
            </w:pPr>
            <w:r>
              <w:t>61</w:t>
            </w:r>
          </w:p>
        </w:tc>
        <w:tc>
          <w:tcPr>
            <w:tcW w:w="709" w:type="dxa"/>
          </w:tcPr>
          <w:p w14:paraId="739D8ED8" w14:textId="77777777" w:rsidR="005E614D" w:rsidRDefault="000C3A94">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7E7DFCAF" w14:textId="77777777" w:rsidR="005E614D" w:rsidRDefault="000C3A94">
            <w:pPr>
              <w:cnfStyle w:val="000000000000" w:firstRow="0" w:lastRow="0" w:firstColumn="0" w:lastColumn="0" w:oddVBand="0" w:evenVBand="0" w:oddHBand="0" w:evenHBand="0" w:firstRowFirstColumn="0" w:firstRowLastColumn="0" w:lastRowFirstColumn="0" w:lastRowLastColumn="0"/>
            </w:pPr>
            <w:r>
              <w:t>(638)</w:t>
            </w:r>
          </w:p>
        </w:tc>
        <w:tc>
          <w:tcPr>
            <w:tcW w:w="566" w:type="dxa"/>
          </w:tcPr>
          <w:p w14:paraId="4253CE78" w14:textId="77777777" w:rsidR="005E614D" w:rsidRDefault="000C3A94">
            <w:pPr>
              <w:cnfStyle w:val="000000000000" w:firstRow="0" w:lastRow="0" w:firstColumn="0" w:lastColumn="0" w:oddVBand="0" w:evenVBand="0" w:oddHBand="0" w:evenHBand="0" w:firstRowFirstColumn="0" w:firstRowLastColumn="0" w:lastRowFirstColumn="0" w:lastRowLastColumn="0"/>
            </w:pPr>
            <w:r>
              <w:t>(45)</w:t>
            </w:r>
          </w:p>
        </w:tc>
      </w:tr>
      <w:tr w:rsidR="005E614D" w14:paraId="1ADEEFED" w14:textId="77777777">
        <w:tc>
          <w:tcPr>
            <w:cnfStyle w:val="001000000000" w:firstRow="0" w:lastRow="0" w:firstColumn="1" w:lastColumn="0" w:oddVBand="0" w:evenVBand="0" w:oddHBand="0" w:evenHBand="0" w:firstRowFirstColumn="0" w:firstRowLastColumn="0" w:lastRowFirstColumn="0" w:lastRowLastColumn="0"/>
            <w:tcW w:w="3544" w:type="dxa"/>
          </w:tcPr>
          <w:p w14:paraId="2D029C4F" w14:textId="77777777" w:rsidR="005E614D" w:rsidRDefault="000C3A94">
            <w:r>
              <w:t>Other movements in equity</w:t>
            </w:r>
          </w:p>
        </w:tc>
        <w:tc>
          <w:tcPr>
            <w:tcW w:w="567" w:type="dxa"/>
          </w:tcPr>
          <w:p w14:paraId="583351E6"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3D9BE2B" w14:textId="77777777" w:rsidR="005E614D" w:rsidRDefault="000C3A94">
            <w:pPr>
              <w:cnfStyle w:val="000000000000" w:firstRow="0" w:lastRow="0" w:firstColumn="0" w:lastColumn="0" w:oddVBand="0" w:evenVBand="0" w:oddHBand="0" w:evenHBand="0" w:firstRowFirstColumn="0" w:firstRowLastColumn="0" w:lastRowFirstColumn="0" w:lastRowLastColumn="0"/>
            </w:pPr>
            <w:r>
              <w:t>13</w:t>
            </w:r>
          </w:p>
        </w:tc>
        <w:tc>
          <w:tcPr>
            <w:tcW w:w="850" w:type="dxa"/>
          </w:tcPr>
          <w:p w14:paraId="13615AC1" w14:textId="77777777" w:rsidR="005E614D" w:rsidRDefault="000C3A94">
            <w:pPr>
              <w:cnfStyle w:val="000000000000" w:firstRow="0" w:lastRow="0" w:firstColumn="0" w:lastColumn="0" w:oddVBand="0" w:evenVBand="0" w:oddHBand="0" w:evenHBand="0" w:firstRowFirstColumn="0" w:firstRowLastColumn="0" w:lastRowFirstColumn="0" w:lastRowLastColumn="0"/>
            </w:pPr>
            <w:r>
              <w:t>222</w:t>
            </w:r>
          </w:p>
        </w:tc>
        <w:tc>
          <w:tcPr>
            <w:tcW w:w="851" w:type="dxa"/>
          </w:tcPr>
          <w:p w14:paraId="18E35D81"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586EAF6" w14:textId="77777777" w:rsidR="005E614D" w:rsidRDefault="000C3A94">
            <w:pPr>
              <w:cnfStyle w:val="000000000000" w:firstRow="0" w:lastRow="0" w:firstColumn="0" w:lastColumn="0" w:oddVBand="0" w:evenVBand="0" w:oddHBand="0" w:evenHBand="0" w:firstRowFirstColumn="0" w:firstRowLastColumn="0" w:lastRowFirstColumn="0" w:lastRowLastColumn="0"/>
            </w:pPr>
            <w:r>
              <w:t>(23)</w:t>
            </w:r>
          </w:p>
        </w:tc>
        <w:tc>
          <w:tcPr>
            <w:tcW w:w="709" w:type="dxa"/>
          </w:tcPr>
          <w:p w14:paraId="03F0DC0D" w14:textId="77777777" w:rsidR="005E614D" w:rsidRDefault="000C3A94">
            <w:pPr>
              <w:cnfStyle w:val="000000000000" w:firstRow="0" w:lastRow="0" w:firstColumn="0" w:lastColumn="0" w:oddVBand="0" w:evenVBand="0" w:oddHBand="0" w:evenHBand="0" w:firstRowFirstColumn="0" w:firstRowLastColumn="0" w:lastRowFirstColumn="0" w:lastRowLastColumn="0"/>
            </w:pPr>
            <w:r>
              <w:t>(176)</w:t>
            </w:r>
          </w:p>
        </w:tc>
        <w:tc>
          <w:tcPr>
            <w:tcW w:w="850" w:type="dxa"/>
          </w:tcPr>
          <w:p w14:paraId="4A369BCA" w14:textId="77777777" w:rsidR="005E614D" w:rsidRDefault="000C3A94">
            <w:pPr>
              <w:cnfStyle w:val="000000000000" w:firstRow="0" w:lastRow="0" w:firstColumn="0" w:lastColumn="0" w:oddVBand="0" w:evenVBand="0" w:oddHBand="0" w:evenHBand="0" w:firstRowFirstColumn="0" w:firstRowLastColumn="0" w:lastRowFirstColumn="0" w:lastRowLastColumn="0"/>
            </w:pPr>
            <w:r>
              <w:t>(232)</w:t>
            </w:r>
          </w:p>
        </w:tc>
        <w:tc>
          <w:tcPr>
            <w:tcW w:w="566" w:type="dxa"/>
          </w:tcPr>
          <w:p w14:paraId="2C036FA6" w14:textId="77777777" w:rsidR="005E614D" w:rsidRDefault="000C3A94">
            <w:pPr>
              <w:cnfStyle w:val="000000000000" w:firstRow="0" w:lastRow="0" w:firstColumn="0" w:lastColumn="0" w:oddVBand="0" w:evenVBand="0" w:oddHBand="0" w:evenHBand="0" w:firstRowFirstColumn="0" w:firstRowLastColumn="0" w:lastRowFirstColumn="0" w:lastRowLastColumn="0"/>
            </w:pPr>
            <w:r>
              <w:t>(104)</w:t>
            </w:r>
          </w:p>
        </w:tc>
      </w:tr>
      <w:tr w:rsidR="005E614D" w14:paraId="2DD8DEFA" w14:textId="77777777">
        <w:tc>
          <w:tcPr>
            <w:cnfStyle w:val="001000000000" w:firstRow="0" w:lastRow="0" w:firstColumn="1" w:lastColumn="0" w:oddVBand="0" w:evenVBand="0" w:oddHBand="0" w:evenHBand="0" w:firstRowFirstColumn="0" w:firstRowLastColumn="0" w:lastRowFirstColumn="0" w:lastRowLastColumn="0"/>
            <w:tcW w:w="3544" w:type="dxa"/>
          </w:tcPr>
          <w:p w14:paraId="75A7088C" w14:textId="77777777" w:rsidR="005E614D" w:rsidRDefault="000C3A94">
            <w:r>
              <w:rPr>
                <w:b/>
              </w:rPr>
              <w:t>Items that may be reclassified subsequently to net result</w:t>
            </w:r>
          </w:p>
        </w:tc>
        <w:tc>
          <w:tcPr>
            <w:tcW w:w="567" w:type="dxa"/>
          </w:tcPr>
          <w:p w14:paraId="23FFDE91"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A0A365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64D2B2D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0224C8A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5831F4D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0F8A13C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3F26857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43DA6EC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0820EB2" w14:textId="77777777">
        <w:tc>
          <w:tcPr>
            <w:cnfStyle w:val="001000000000" w:firstRow="0" w:lastRow="0" w:firstColumn="1" w:lastColumn="0" w:oddVBand="0" w:evenVBand="0" w:oddHBand="0" w:evenHBand="0" w:firstRowFirstColumn="0" w:firstRowLastColumn="0" w:lastRowFirstColumn="0" w:lastRowLastColumn="0"/>
            <w:tcW w:w="3544" w:type="dxa"/>
          </w:tcPr>
          <w:p w14:paraId="73EEDB02" w14:textId="77777777" w:rsidR="005E614D" w:rsidRDefault="000C3A94">
            <w:r>
              <w:t>Net gain/(loss) on financial assets at fair value</w:t>
            </w:r>
          </w:p>
        </w:tc>
        <w:tc>
          <w:tcPr>
            <w:tcW w:w="567" w:type="dxa"/>
          </w:tcPr>
          <w:p w14:paraId="2D54D2CA"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A275AFD" w14:textId="77777777" w:rsidR="005E614D" w:rsidRDefault="000C3A94">
            <w:pPr>
              <w:cnfStyle w:val="000000000000" w:firstRow="0" w:lastRow="0" w:firstColumn="0" w:lastColumn="0" w:oddVBand="0" w:evenVBand="0" w:oddHBand="0" w:evenHBand="0" w:firstRowFirstColumn="0" w:firstRowLastColumn="0" w:lastRowFirstColumn="0" w:lastRowLastColumn="0"/>
            </w:pPr>
            <w:r>
              <w:t>25</w:t>
            </w:r>
          </w:p>
        </w:tc>
        <w:tc>
          <w:tcPr>
            <w:tcW w:w="850" w:type="dxa"/>
          </w:tcPr>
          <w:p w14:paraId="42DA59F3"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851" w:type="dxa"/>
          </w:tcPr>
          <w:p w14:paraId="4DB9A867"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850" w:type="dxa"/>
          </w:tcPr>
          <w:p w14:paraId="667E4B30"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c>
          <w:tcPr>
            <w:tcW w:w="709" w:type="dxa"/>
          </w:tcPr>
          <w:p w14:paraId="16174D20" w14:textId="77777777" w:rsidR="005E614D" w:rsidRDefault="000C3A94">
            <w:pPr>
              <w:cnfStyle w:val="000000000000" w:firstRow="0" w:lastRow="0" w:firstColumn="0" w:lastColumn="0" w:oddVBand="0" w:evenVBand="0" w:oddHBand="0" w:evenHBand="0" w:firstRowFirstColumn="0" w:firstRowLastColumn="0" w:lastRowFirstColumn="0" w:lastRowLastColumn="0"/>
            </w:pPr>
            <w:r>
              <w:t>(162)</w:t>
            </w:r>
          </w:p>
        </w:tc>
        <w:tc>
          <w:tcPr>
            <w:tcW w:w="850" w:type="dxa"/>
          </w:tcPr>
          <w:p w14:paraId="16F6928E" w14:textId="77777777" w:rsidR="005E614D" w:rsidRDefault="000C3A94">
            <w:pPr>
              <w:cnfStyle w:val="000000000000" w:firstRow="0" w:lastRow="0" w:firstColumn="0" w:lastColumn="0" w:oddVBand="0" w:evenVBand="0" w:oddHBand="0" w:evenHBand="0" w:firstRowFirstColumn="0" w:firstRowLastColumn="0" w:lastRowFirstColumn="0" w:lastRowLastColumn="0"/>
            </w:pPr>
            <w:r>
              <w:t>(19)</w:t>
            </w:r>
          </w:p>
        </w:tc>
        <w:tc>
          <w:tcPr>
            <w:tcW w:w="566" w:type="dxa"/>
          </w:tcPr>
          <w:p w14:paraId="0C610178" w14:textId="77777777" w:rsidR="005E614D" w:rsidRDefault="000C3A94">
            <w:pPr>
              <w:cnfStyle w:val="000000000000" w:firstRow="0" w:lastRow="0" w:firstColumn="0" w:lastColumn="0" w:oddVBand="0" w:evenVBand="0" w:oddHBand="0" w:evenHBand="0" w:firstRowFirstColumn="0" w:firstRowLastColumn="0" w:lastRowFirstColumn="0" w:lastRowLastColumn="0"/>
            </w:pPr>
            <w:r>
              <w:t>(638)</w:t>
            </w:r>
          </w:p>
        </w:tc>
      </w:tr>
      <w:tr w:rsidR="005E614D" w14:paraId="1E8EDD62"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bottom w:val="single" w:sz="6" w:space="0" w:color="auto"/>
            </w:tcBorders>
          </w:tcPr>
          <w:p w14:paraId="187A7BB0" w14:textId="77777777" w:rsidR="005E614D" w:rsidRDefault="000C3A94">
            <w:r>
              <w:t>Net gain/(loss) on equity investments in other sector entities at proportional share of the carrying amount of net assets</w:t>
            </w:r>
          </w:p>
        </w:tc>
        <w:tc>
          <w:tcPr>
            <w:tcW w:w="567" w:type="dxa"/>
            <w:tcBorders>
              <w:bottom w:val="single" w:sz="6" w:space="0" w:color="auto"/>
            </w:tcBorders>
          </w:tcPr>
          <w:p w14:paraId="2DE7CB2F"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306A8A8D" w14:textId="77777777" w:rsidR="005E614D" w:rsidRDefault="000C3A94">
            <w:pPr>
              <w:cnfStyle w:val="000000000000" w:firstRow="0" w:lastRow="0" w:firstColumn="0" w:lastColumn="0" w:oddVBand="0" w:evenVBand="0" w:oddHBand="0" w:evenHBand="0" w:firstRowFirstColumn="0" w:firstRowLastColumn="0" w:lastRowFirstColumn="0" w:lastRowLastColumn="0"/>
            </w:pPr>
            <w:r>
              <w:t>(4 143)</w:t>
            </w:r>
          </w:p>
        </w:tc>
        <w:tc>
          <w:tcPr>
            <w:tcW w:w="850" w:type="dxa"/>
            <w:tcBorders>
              <w:bottom w:val="single" w:sz="6" w:space="0" w:color="auto"/>
            </w:tcBorders>
          </w:tcPr>
          <w:p w14:paraId="02521576" w14:textId="77777777" w:rsidR="005E614D" w:rsidRDefault="000C3A94">
            <w:pPr>
              <w:cnfStyle w:val="000000000000" w:firstRow="0" w:lastRow="0" w:firstColumn="0" w:lastColumn="0" w:oddVBand="0" w:evenVBand="0" w:oddHBand="0" w:evenHBand="0" w:firstRowFirstColumn="0" w:firstRowLastColumn="0" w:lastRowFirstColumn="0" w:lastRowLastColumn="0"/>
            </w:pPr>
            <w:r>
              <w:t>(3 132)</w:t>
            </w:r>
          </w:p>
        </w:tc>
        <w:tc>
          <w:tcPr>
            <w:tcW w:w="851" w:type="dxa"/>
            <w:tcBorders>
              <w:bottom w:val="single" w:sz="6" w:space="0" w:color="auto"/>
            </w:tcBorders>
          </w:tcPr>
          <w:p w14:paraId="220DFD9D"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850" w:type="dxa"/>
            <w:tcBorders>
              <w:bottom w:val="single" w:sz="6" w:space="0" w:color="auto"/>
            </w:tcBorders>
          </w:tcPr>
          <w:p w14:paraId="0DC7328A" w14:textId="77777777" w:rsidR="005E614D" w:rsidRDefault="000C3A94">
            <w:pPr>
              <w:cnfStyle w:val="000000000000" w:firstRow="0" w:lastRow="0" w:firstColumn="0" w:lastColumn="0" w:oddVBand="0" w:evenVBand="0" w:oddHBand="0" w:evenHBand="0" w:firstRowFirstColumn="0" w:firstRowLastColumn="0" w:lastRowFirstColumn="0" w:lastRowLastColumn="0"/>
            </w:pPr>
            <w:r>
              <w:t>(4 443)</w:t>
            </w:r>
          </w:p>
        </w:tc>
        <w:tc>
          <w:tcPr>
            <w:tcW w:w="709" w:type="dxa"/>
            <w:tcBorders>
              <w:bottom w:val="single" w:sz="6" w:space="0" w:color="auto"/>
            </w:tcBorders>
          </w:tcPr>
          <w:p w14:paraId="2DEA9756" w14:textId="77777777" w:rsidR="005E614D" w:rsidRDefault="000C3A94">
            <w:pPr>
              <w:cnfStyle w:val="000000000000" w:firstRow="0" w:lastRow="0" w:firstColumn="0" w:lastColumn="0" w:oddVBand="0" w:evenVBand="0" w:oddHBand="0" w:evenHBand="0" w:firstRowFirstColumn="0" w:firstRowLastColumn="0" w:lastRowFirstColumn="0" w:lastRowLastColumn="0"/>
            </w:pPr>
            <w:r>
              <w:t>107</w:t>
            </w:r>
          </w:p>
        </w:tc>
        <w:tc>
          <w:tcPr>
            <w:tcW w:w="850" w:type="dxa"/>
            <w:tcBorders>
              <w:bottom w:val="single" w:sz="6" w:space="0" w:color="auto"/>
            </w:tcBorders>
          </w:tcPr>
          <w:p w14:paraId="1BBC8D1B" w14:textId="77777777" w:rsidR="005E614D" w:rsidRDefault="000C3A94">
            <w:pPr>
              <w:cnfStyle w:val="000000000000" w:firstRow="0" w:lastRow="0" w:firstColumn="0" w:lastColumn="0" w:oddVBand="0" w:evenVBand="0" w:oddHBand="0" w:evenHBand="0" w:firstRowFirstColumn="0" w:firstRowLastColumn="0" w:lastRowFirstColumn="0" w:lastRowLastColumn="0"/>
            </w:pPr>
            <w:r>
              <w:t>(5 454)</w:t>
            </w:r>
          </w:p>
        </w:tc>
        <w:tc>
          <w:tcPr>
            <w:tcW w:w="566" w:type="dxa"/>
            <w:tcBorders>
              <w:bottom w:val="single" w:sz="6" w:space="0" w:color="auto"/>
            </w:tcBorders>
          </w:tcPr>
          <w:p w14:paraId="2B7E1240" w14:textId="77777777" w:rsidR="005E614D" w:rsidRDefault="000C3A94">
            <w:pPr>
              <w:cnfStyle w:val="000000000000" w:firstRow="0" w:lastRow="0" w:firstColumn="0" w:lastColumn="0" w:oddVBand="0" w:evenVBand="0" w:oddHBand="0" w:evenHBand="0" w:firstRowFirstColumn="0" w:firstRowLastColumn="0" w:lastRowFirstColumn="0" w:lastRowLastColumn="0"/>
            </w:pPr>
            <w:r>
              <w:t>174</w:t>
            </w:r>
          </w:p>
        </w:tc>
      </w:tr>
      <w:tr w:rsidR="005E614D" w14:paraId="52C797CC"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6" w:space="0" w:color="auto"/>
            </w:tcBorders>
          </w:tcPr>
          <w:p w14:paraId="69CFB64E" w14:textId="121ABB06" w:rsidR="005E614D" w:rsidRDefault="000C3A94">
            <w:r>
              <w:rPr>
                <w:b/>
              </w:rPr>
              <w:t xml:space="preserve">Total other economic flows – </w:t>
            </w:r>
            <w:r w:rsidR="0086317C">
              <w:rPr>
                <w:b/>
              </w:rPr>
              <w:t>O</w:t>
            </w:r>
            <w:r>
              <w:rPr>
                <w:b/>
              </w:rPr>
              <w:t>ther comprehensive income</w:t>
            </w:r>
          </w:p>
        </w:tc>
        <w:tc>
          <w:tcPr>
            <w:tcW w:w="567" w:type="dxa"/>
            <w:tcBorders>
              <w:top w:val="single" w:sz="6" w:space="0" w:color="auto"/>
              <w:bottom w:val="single" w:sz="6" w:space="0" w:color="auto"/>
            </w:tcBorders>
          </w:tcPr>
          <w:p w14:paraId="6091AB48"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6" w:space="0" w:color="auto"/>
            </w:tcBorders>
          </w:tcPr>
          <w:p w14:paraId="4F64E2B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3 407</w:t>
            </w:r>
          </w:p>
        </w:tc>
        <w:tc>
          <w:tcPr>
            <w:tcW w:w="850" w:type="dxa"/>
            <w:tcBorders>
              <w:top w:val="single" w:sz="6" w:space="0" w:color="auto"/>
              <w:bottom w:val="single" w:sz="6" w:space="0" w:color="auto"/>
            </w:tcBorders>
          </w:tcPr>
          <w:p w14:paraId="6C596B9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3 646</w:t>
            </w:r>
          </w:p>
        </w:tc>
        <w:tc>
          <w:tcPr>
            <w:tcW w:w="851" w:type="dxa"/>
            <w:tcBorders>
              <w:top w:val="single" w:sz="6" w:space="0" w:color="auto"/>
              <w:bottom w:val="single" w:sz="6" w:space="0" w:color="auto"/>
            </w:tcBorders>
          </w:tcPr>
          <w:p w14:paraId="3D81E1D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1 519</w:t>
            </w:r>
          </w:p>
        </w:tc>
        <w:tc>
          <w:tcPr>
            <w:tcW w:w="850" w:type="dxa"/>
            <w:tcBorders>
              <w:top w:val="single" w:sz="6" w:space="0" w:color="auto"/>
              <w:bottom w:val="single" w:sz="6" w:space="0" w:color="auto"/>
            </w:tcBorders>
          </w:tcPr>
          <w:p w14:paraId="3AC1C8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(1 888)</w:t>
            </w:r>
          </w:p>
        </w:tc>
        <w:tc>
          <w:tcPr>
            <w:tcW w:w="709" w:type="dxa"/>
            <w:tcBorders>
              <w:top w:val="single" w:sz="6" w:space="0" w:color="auto"/>
              <w:bottom w:val="single" w:sz="6" w:space="0" w:color="auto"/>
            </w:tcBorders>
          </w:tcPr>
          <w:p w14:paraId="372FF6F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(55)</w:t>
            </w:r>
          </w:p>
        </w:tc>
        <w:tc>
          <w:tcPr>
            <w:tcW w:w="850" w:type="dxa"/>
            <w:tcBorders>
              <w:top w:val="single" w:sz="6" w:space="0" w:color="auto"/>
              <w:bottom w:val="single" w:sz="6" w:space="0" w:color="auto"/>
            </w:tcBorders>
          </w:tcPr>
          <w:p w14:paraId="46224C8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(2 127)</w:t>
            </w:r>
          </w:p>
        </w:tc>
        <w:tc>
          <w:tcPr>
            <w:tcW w:w="566" w:type="dxa"/>
            <w:tcBorders>
              <w:top w:val="single" w:sz="6" w:space="0" w:color="auto"/>
              <w:bottom w:val="single" w:sz="6" w:space="0" w:color="auto"/>
            </w:tcBorders>
          </w:tcPr>
          <w:p w14:paraId="2CDDC47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(58)</w:t>
            </w:r>
          </w:p>
        </w:tc>
      </w:tr>
      <w:tr w:rsidR="005E614D" w14:paraId="223B1E2F" w14:textId="77777777" w:rsidTr="004A2065">
        <w:tc>
          <w:tcPr>
            <w:cnfStyle w:val="001000000000" w:firstRow="0" w:lastRow="0" w:firstColumn="1" w:lastColumn="0" w:oddVBand="0" w:evenVBand="0" w:oddHBand="0" w:evenHBand="0" w:firstRowFirstColumn="0" w:firstRowLastColumn="0" w:lastRowFirstColumn="0" w:lastRowLastColumn="0"/>
            <w:tcW w:w="3544" w:type="dxa"/>
            <w:tcBorders>
              <w:top w:val="single" w:sz="6" w:space="0" w:color="auto"/>
              <w:bottom w:val="single" w:sz="12" w:space="0" w:color="auto"/>
            </w:tcBorders>
          </w:tcPr>
          <w:p w14:paraId="4E174347" w14:textId="6D3CD6AA" w:rsidR="005E614D" w:rsidRDefault="000C3A94">
            <w:r>
              <w:rPr>
                <w:b/>
              </w:rPr>
              <w:t xml:space="preserve">Comprehensive result – </w:t>
            </w:r>
            <w:r w:rsidR="0086317C">
              <w:rPr>
                <w:b/>
              </w:rPr>
              <w:t>T</w:t>
            </w:r>
            <w:r>
              <w:rPr>
                <w:b/>
              </w:rPr>
              <w:t>otal change in net worth</w:t>
            </w:r>
          </w:p>
        </w:tc>
        <w:tc>
          <w:tcPr>
            <w:tcW w:w="567" w:type="dxa"/>
            <w:tcBorders>
              <w:top w:val="single" w:sz="6" w:space="0" w:color="auto"/>
              <w:bottom w:val="single" w:sz="12" w:space="0" w:color="auto"/>
            </w:tcBorders>
          </w:tcPr>
          <w:p w14:paraId="6D7CD049" w14:textId="77777777" w:rsidR="005E614D" w:rsidRDefault="005E614D">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bottom w:val="single" w:sz="12" w:space="0" w:color="auto"/>
            </w:tcBorders>
          </w:tcPr>
          <w:p w14:paraId="684F640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880</w:t>
            </w:r>
          </w:p>
        </w:tc>
        <w:tc>
          <w:tcPr>
            <w:tcW w:w="850" w:type="dxa"/>
            <w:tcBorders>
              <w:top w:val="single" w:sz="6" w:space="0" w:color="auto"/>
              <w:bottom w:val="single" w:sz="12" w:space="0" w:color="auto"/>
            </w:tcBorders>
          </w:tcPr>
          <w:p w14:paraId="48BD1C6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(176)</w:t>
            </w:r>
          </w:p>
        </w:tc>
        <w:tc>
          <w:tcPr>
            <w:tcW w:w="851" w:type="dxa"/>
            <w:tcBorders>
              <w:top w:val="single" w:sz="6" w:space="0" w:color="auto"/>
              <w:bottom w:val="single" w:sz="12" w:space="0" w:color="auto"/>
            </w:tcBorders>
          </w:tcPr>
          <w:p w14:paraId="19F7C70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(511)</w:t>
            </w:r>
          </w:p>
        </w:tc>
        <w:tc>
          <w:tcPr>
            <w:tcW w:w="850" w:type="dxa"/>
            <w:tcBorders>
              <w:top w:val="single" w:sz="6" w:space="0" w:color="auto"/>
              <w:bottom w:val="single" w:sz="12" w:space="0" w:color="auto"/>
            </w:tcBorders>
          </w:tcPr>
          <w:p w14:paraId="519A498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(1 391)</w:t>
            </w:r>
          </w:p>
        </w:tc>
        <w:tc>
          <w:tcPr>
            <w:tcW w:w="709" w:type="dxa"/>
            <w:tcBorders>
              <w:top w:val="single" w:sz="6" w:space="0" w:color="auto"/>
              <w:bottom w:val="single" w:sz="12" w:space="0" w:color="auto"/>
            </w:tcBorders>
          </w:tcPr>
          <w:p w14:paraId="27049E6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(158)</w:t>
            </w:r>
          </w:p>
        </w:tc>
        <w:tc>
          <w:tcPr>
            <w:tcW w:w="850" w:type="dxa"/>
            <w:tcBorders>
              <w:top w:val="single" w:sz="6" w:space="0" w:color="auto"/>
              <w:bottom w:val="single" w:sz="12" w:space="0" w:color="auto"/>
            </w:tcBorders>
          </w:tcPr>
          <w:p w14:paraId="773DE31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(335)</w:t>
            </w:r>
          </w:p>
        </w:tc>
        <w:tc>
          <w:tcPr>
            <w:tcW w:w="566" w:type="dxa"/>
            <w:tcBorders>
              <w:top w:val="single" w:sz="6" w:space="0" w:color="auto"/>
              <w:bottom w:val="single" w:sz="12" w:space="0" w:color="auto"/>
            </w:tcBorders>
          </w:tcPr>
          <w:p w14:paraId="1C3E6F2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191</w:t>
            </w:r>
          </w:p>
        </w:tc>
      </w:tr>
    </w:tbl>
    <w:p w14:paraId="21430C3F" w14:textId="77777777" w:rsidR="009D33A8" w:rsidRDefault="009D33A8" w:rsidP="009D33A8">
      <w:pPr>
        <w:pStyle w:val="Note"/>
      </w:pPr>
    </w:p>
    <w:p w14:paraId="22754076" w14:textId="77777777" w:rsidR="00823C0E" w:rsidRDefault="00823C0E" w:rsidP="009D33A8">
      <w:pPr>
        <w:pStyle w:val="Heading3"/>
        <w:pageBreakBefore/>
        <w:spacing w:before="0"/>
        <w:sectPr w:rsidR="00823C0E" w:rsidSect="00823C0E">
          <w:headerReference w:type="even" r:id="rId124"/>
          <w:headerReference w:type="default" r:id="rId125"/>
          <w:type w:val="continuous"/>
          <w:pgSz w:w="11906" w:h="16838" w:code="9"/>
          <w:pgMar w:top="1134" w:right="1134" w:bottom="1134" w:left="1134" w:header="624" w:footer="567" w:gutter="0"/>
          <w:cols w:space="708"/>
          <w:docGrid w:linePitch="360"/>
        </w:sectPr>
      </w:pPr>
    </w:p>
    <w:p w14:paraId="243997BE" w14:textId="77777777" w:rsidR="009D33A8" w:rsidRDefault="009D33A8" w:rsidP="009D33A8">
      <w:pPr>
        <w:pStyle w:val="Heading3"/>
        <w:pageBreakBefore/>
        <w:spacing w:before="0"/>
      </w:pPr>
      <w:r>
        <w:lastRenderedPageBreak/>
        <w:t xml:space="preserve">Revenue and income from transactions </w:t>
      </w:r>
    </w:p>
    <w:p w14:paraId="507F191B" w14:textId="77777777" w:rsidR="009D33A8" w:rsidRPr="009B6663" w:rsidRDefault="009D33A8" w:rsidP="009D33A8">
      <w:r w:rsidRPr="005D6A4D">
        <w:t>Revenue and income from transactions was $101.</w:t>
      </w:r>
      <w:r>
        <w:t>4</w:t>
      </w:r>
      <w:r w:rsidRPr="005D6A4D">
        <w:t> billion for the year 30 June 2025. This is $5.</w:t>
      </w:r>
      <w:r>
        <w:t>3</w:t>
      </w:r>
      <w:r w:rsidRPr="005D6A4D">
        <w:t> billion (</w:t>
      </w:r>
      <w:r>
        <w:t>6 </w:t>
      </w:r>
      <w:r w:rsidRPr="005D6A4D">
        <w:t>per</w:t>
      </w:r>
      <w:r>
        <w:t> </w:t>
      </w:r>
      <w:r w:rsidRPr="005D6A4D">
        <w:t xml:space="preserve">cent) higher than the published budget. Movements in revenue items from the published budget are discussed </w:t>
      </w:r>
      <w:r w:rsidRPr="009B6663">
        <w:t>below.</w:t>
      </w:r>
    </w:p>
    <w:p w14:paraId="36F30CC8" w14:textId="77777777" w:rsidR="009D33A8" w:rsidRPr="009B6663" w:rsidRDefault="009D33A8" w:rsidP="009D33A8">
      <w:pPr>
        <w:pStyle w:val="ListParagraph"/>
        <w:numPr>
          <w:ilvl w:val="0"/>
          <w:numId w:val="15"/>
        </w:numPr>
      </w:pPr>
      <w:r w:rsidRPr="009B6663">
        <w:t>Interest income was $263 million higher than published budget. This was</w:t>
      </w:r>
      <w:r>
        <w:t xml:space="preserve"> largely</w:t>
      </w:r>
      <w:r w:rsidRPr="009B6663">
        <w:t xml:space="preserve"> </w:t>
      </w:r>
      <w:r>
        <w:t>due to higher than expected cash and deposits balances and the average Reserve Bank of Australia cash rate being higher during 2024-25 than assumed in the original budget.</w:t>
      </w:r>
    </w:p>
    <w:p w14:paraId="253E24AE" w14:textId="77777777" w:rsidR="009D33A8" w:rsidRPr="003120A7" w:rsidRDefault="009D33A8" w:rsidP="009D33A8">
      <w:pPr>
        <w:pStyle w:val="ListParagraph"/>
        <w:numPr>
          <w:ilvl w:val="0"/>
          <w:numId w:val="15"/>
        </w:numPr>
      </w:pPr>
      <w:r w:rsidRPr="009B6663">
        <w:t>Dividends</w:t>
      </w:r>
      <w:r>
        <w:t xml:space="preserve"> </w:t>
      </w:r>
      <w:r w:rsidRPr="009B6663">
        <w:t xml:space="preserve">and </w:t>
      </w:r>
      <w:r>
        <w:t>income tax equivalent</w:t>
      </w:r>
      <w:r w:rsidRPr="009B6663">
        <w:t xml:space="preserve"> income was $1.3 billion higher than the published budget. This </w:t>
      </w:r>
      <w:r w:rsidRPr="003120A7">
        <w:t xml:space="preserve">was largely driven by </w:t>
      </w:r>
      <w:r>
        <w:t xml:space="preserve">increase in </w:t>
      </w:r>
      <w:r w:rsidRPr="003120A7">
        <w:t xml:space="preserve">dividends </w:t>
      </w:r>
      <w:r>
        <w:t>and income tax equivalent income</w:t>
      </w:r>
      <w:r w:rsidRPr="003120A7">
        <w:t xml:space="preserve"> from the TAC, </w:t>
      </w:r>
      <w:r>
        <w:t>due to an increase in profits as well as rephasing of forecast payments</w:t>
      </w:r>
      <w:r w:rsidRPr="003120A7">
        <w:t>.</w:t>
      </w:r>
    </w:p>
    <w:p w14:paraId="5C1200C0" w14:textId="60FA6ADD" w:rsidR="009D33A8" w:rsidRPr="003120A7" w:rsidRDefault="009D33A8" w:rsidP="009D33A8">
      <w:pPr>
        <w:pStyle w:val="ListParagraph"/>
        <w:numPr>
          <w:ilvl w:val="0"/>
          <w:numId w:val="15"/>
        </w:numPr>
      </w:pPr>
      <w:r w:rsidRPr="003120A7">
        <w:t xml:space="preserve">Grants revenue was $2.5 billion higher than published budget. This was primarily driven by an </w:t>
      </w:r>
      <w:r w:rsidRPr="0046577E">
        <w:t>increase in grants from the Commonwealth relating to Energy Bill Relief Payments that the state passes on to eligible households and businesses</w:t>
      </w:r>
      <w:r>
        <w:t>. There was also an increase due to the</w:t>
      </w:r>
      <w:r w:rsidRPr="003120A7">
        <w:t xml:space="preserve"> higher GST grants due to </w:t>
      </w:r>
      <w:r>
        <w:t>a larger</w:t>
      </w:r>
      <w:r w:rsidRPr="003120A7">
        <w:t xml:space="preserve"> national GST pool</w:t>
      </w:r>
      <w:r>
        <w:t>.</w:t>
      </w:r>
      <w:r w:rsidRPr="003120A7">
        <w:t xml:space="preserve"> Also driving the increase was </w:t>
      </w:r>
      <w:r>
        <w:t>higher</w:t>
      </w:r>
      <w:r w:rsidRPr="003120A7">
        <w:t xml:space="preserve"> Commonwealth funding relating to National Health Reform and the Pharmaceutical Benefit Scheme, and higher grants to non-government schools. </w:t>
      </w:r>
    </w:p>
    <w:p w14:paraId="39B3A1EA" w14:textId="30E227F1" w:rsidR="009D33A8" w:rsidRPr="003120A7" w:rsidRDefault="009D33A8" w:rsidP="009D33A8">
      <w:pPr>
        <w:pStyle w:val="ListParagraph"/>
        <w:numPr>
          <w:ilvl w:val="0"/>
          <w:numId w:val="15"/>
        </w:numPr>
      </w:pPr>
      <w:r w:rsidRPr="003120A7">
        <w:t>Other revenue and income was $1.</w:t>
      </w:r>
      <w:r>
        <w:t>2</w:t>
      </w:r>
      <w:r w:rsidRPr="003120A7">
        <w:t xml:space="preserve"> billion higher than published budget. This was </w:t>
      </w:r>
      <w:r>
        <w:t>primarily</w:t>
      </w:r>
      <w:r w:rsidRPr="003120A7">
        <w:t xml:space="preserve"> driven by the </w:t>
      </w:r>
      <w:r>
        <w:t xml:space="preserve">fair value of </w:t>
      </w:r>
      <w:r w:rsidRPr="003120A7">
        <w:t>assets received free of charge</w:t>
      </w:r>
      <w:r>
        <w:t>,</w:t>
      </w:r>
      <w:r w:rsidRPr="003120A7">
        <w:t xml:space="preserve"> relating to the Cross Yarra Partnership </w:t>
      </w:r>
      <w:r>
        <w:t>C</w:t>
      </w:r>
      <w:r w:rsidRPr="003120A7">
        <w:t>onsortium</w:t>
      </w:r>
      <w:r w:rsidR="00845934">
        <w:t>’</w:t>
      </w:r>
      <w:r>
        <w:t>s contribution to additional</w:t>
      </w:r>
      <w:r w:rsidRPr="003120A7">
        <w:t xml:space="preserve"> costs </w:t>
      </w:r>
      <w:r>
        <w:t>borne by</w:t>
      </w:r>
      <w:r w:rsidRPr="003120A7">
        <w:t xml:space="preserve"> the </w:t>
      </w:r>
      <w:r>
        <w:t>operator, as part of</w:t>
      </w:r>
      <w:r w:rsidRPr="003120A7">
        <w:t xml:space="preserve"> </w:t>
      </w:r>
      <w:r>
        <w:t xml:space="preserve">the </w:t>
      </w:r>
      <w:r w:rsidRPr="003120A7">
        <w:t xml:space="preserve">Metro Tunnel </w:t>
      </w:r>
      <w:r>
        <w:t>settlement</w:t>
      </w:r>
      <w:r w:rsidRPr="003120A7">
        <w:t xml:space="preserve">. The increase was also driven by </w:t>
      </w:r>
      <w:r>
        <w:t>higher</w:t>
      </w:r>
      <w:r w:rsidRPr="003120A7">
        <w:t xml:space="preserve"> other revenue in the health sector </w:t>
      </w:r>
      <w:r>
        <w:t xml:space="preserve">due to higher research funding, and higher than expected revenue associated with the </w:t>
      </w:r>
      <w:r w:rsidRPr="00E47936">
        <w:rPr>
          <w:i/>
        </w:rPr>
        <w:t xml:space="preserve">Unclaimed </w:t>
      </w:r>
      <w:r w:rsidRPr="00E47936">
        <w:rPr>
          <w:i/>
          <w:iCs/>
        </w:rPr>
        <w:t>Money Act</w:t>
      </w:r>
      <w:r>
        <w:rPr>
          <w:i/>
          <w:iCs/>
        </w:rPr>
        <w:t xml:space="preserve"> 2008</w:t>
      </w:r>
      <w:r w:rsidRPr="003120A7" w:rsidDel="006A43C7">
        <w:t>.</w:t>
      </w:r>
    </w:p>
    <w:p w14:paraId="3B575185" w14:textId="54C4B4D1" w:rsidR="009D33A8" w:rsidRPr="003120A7" w:rsidRDefault="00823C0E" w:rsidP="009D33A8">
      <w:pPr>
        <w:pStyle w:val="Heading3"/>
      </w:pPr>
      <w:r>
        <w:br w:type="column"/>
      </w:r>
      <w:r w:rsidR="009D33A8" w:rsidRPr="003120A7">
        <w:t xml:space="preserve">Expenses from transactions </w:t>
      </w:r>
    </w:p>
    <w:p w14:paraId="1FDF280C" w14:textId="77777777" w:rsidR="009D33A8" w:rsidRPr="003120A7" w:rsidRDefault="009D33A8" w:rsidP="004610D1">
      <w:pPr>
        <w:ind w:right="70"/>
      </w:pPr>
      <w:r w:rsidRPr="003120A7">
        <w:t>Expenses from transactions was $104 billion for the year ended 30 June 2025. This is $5.</w:t>
      </w:r>
      <w:r>
        <w:t>7</w:t>
      </w:r>
      <w:r w:rsidRPr="003120A7">
        <w:t xml:space="preserve"> billion (6 per cent) higher than the published budget. Movements in expense items from the published budget are discussed below.</w:t>
      </w:r>
    </w:p>
    <w:p w14:paraId="4F1007D6" w14:textId="3127B0CC" w:rsidR="009D33A8" w:rsidRPr="003120A7" w:rsidRDefault="009D33A8" w:rsidP="009D33A8">
      <w:pPr>
        <w:pStyle w:val="ListParagraph"/>
        <w:numPr>
          <w:ilvl w:val="0"/>
          <w:numId w:val="15"/>
        </w:numPr>
      </w:pPr>
      <w:r w:rsidRPr="003120A7">
        <w:t xml:space="preserve">Employee expenses were $2 billion higher than published budget. This was largely driven by higher than expected expenditure in the health sector </w:t>
      </w:r>
      <w:r w:rsidRPr="00B071C5">
        <w:t>to support Victoria</w:t>
      </w:r>
      <w:r w:rsidR="00845934">
        <w:t>’</w:t>
      </w:r>
      <w:r w:rsidRPr="00B071C5">
        <w:t xml:space="preserve">s hospitals to deliver critical care including annual salary growth in line with enterprise bargaining </w:t>
      </w:r>
      <w:r w:rsidRPr="003120A7">
        <w:t>agreements</w:t>
      </w:r>
      <w:r>
        <w:t>. This result is also driven by</w:t>
      </w:r>
      <w:r w:rsidRPr="003120A7">
        <w:t xml:space="preserve"> the </w:t>
      </w:r>
      <w:r>
        <w:t>significant increase in teaching and education support staff employed in Government schools to meet demand</w:t>
      </w:r>
      <w:r w:rsidRPr="003F5FCB">
        <w:t>.</w:t>
      </w:r>
    </w:p>
    <w:p w14:paraId="35096E6A" w14:textId="6DFE277C" w:rsidR="009D33A8" w:rsidRPr="003120A7" w:rsidRDefault="009D33A8" w:rsidP="009D33A8">
      <w:pPr>
        <w:pStyle w:val="ListParagraph"/>
        <w:numPr>
          <w:ilvl w:val="0"/>
          <w:numId w:val="15"/>
        </w:numPr>
      </w:pPr>
      <w:r w:rsidRPr="003120A7">
        <w:t>Other superannuation expense</w:t>
      </w:r>
      <w:r>
        <w:t>s</w:t>
      </w:r>
      <w:r w:rsidRPr="003120A7">
        <w:t xml:space="preserve"> w</w:t>
      </w:r>
      <w:r>
        <w:t>ere</w:t>
      </w:r>
      <w:r w:rsidRPr="003120A7">
        <w:t xml:space="preserve"> $651</w:t>
      </w:r>
      <w:r w:rsidR="004610D1">
        <w:t> </w:t>
      </w:r>
      <w:r w:rsidRPr="003120A7">
        <w:t xml:space="preserve">million higher than the published budget due to an increase in employer contributions to defined contribution superannuation funds in the health and education sector </w:t>
      </w:r>
      <w:r>
        <w:t xml:space="preserve">partly </w:t>
      </w:r>
      <w:r w:rsidRPr="003120A7">
        <w:t xml:space="preserve">reflecting </w:t>
      </w:r>
      <w:r>
        <w:t>higher</w:t>
      </w:r>
      <w:r w:rsidRPr="003120A7">
        <w:t xml:space="preserve"> employee </w:t>
      </w:r>
      <w:r>
        <w:t>related</w:t>
      </w:r>
      <w:r w:rsidRPr="003120A7">
        <w:t xml:space="preserve"> expenditure</w:t>
      </w:r>
      <w:r w:rsidRPr="001525CA">
        <w:t>.</w:t>
      </w:r>
    </w:p>
    <w:p w14:paraId="45DDB1E6" w14:textId="77777777" w:rsidR="009D33A8" w:rsidRPr="003120A7" w:rsidRDefault="009D33A8" w:rsidP="009D33A8">
      <w:pPr>
        <w:pStyle w:val="ListParagraph"/>
        <w:numPr>
          <w:ilvl w:val="0"/>
          <w:numId w:val="15"/>
        </w:numPr>
        <w:ind w:right="145"/>
      </w:pPr>
      <w:r w:rsidRPr="003120A7">
        <w:t>Interest expense was $272 million higher than the published budget due to an increase in interest rates on new and refinanced borrowings.</w:t>
      </w:r>
    </w:p>
    <w:p w14:paraId="64FE92C7" w14:textId="77777777" w:rsidR="009D33A8" w:rsidRPr="003120A7" w:rsidRDefault="009D33A8" w:rsidP="009D33A8">
      <w:pPr>
        <w:pStyle w:val="ListParagraph"/>
        <w:numPr>
          <w:ilvl w:val="0"/>
          <w:numId w:val="15"/>
        </w:numPr>
      </w:pPr>
      <w:r w:rsidRPr="003120A7">
        <w:t>Grant expenses were lower than the published budget by $3</w:t>
      </w:r>
      <w:r>
        <w:t>98</w:t>
      </w:r>
      <w:r w:rsidRPr="003120A7">
        <w:t xml:space="preserve"> million. This was largely driven by lower than forecast grant expenditure due to </w:t>
      </w:r>
      <w:r>
        <w:t>the timing of grants received from the Commonwealth which are on</w:t>
      </w:r>
      <w:r>
        <w:noBreakHyphen/>
        <w:t>passed to local government.</w:t>
      </w:r>
    </w:p>
    <w:p w14:paraId="1551CE69" w14:textId="77777777" w:rsidR="009D33A8" w:rsidRDefault="009D33A8" w:rsidP="009D33A8">
      <w:pPr>
        <w:pStyle w:val="ListParagraph"/>
        <w:numPr>
          <w:ilvl w:val="0"/>
          <w:numId w:val="15"/>
        </w:numPr>
      </w:pPr>
      <w:r w:rsidRPr="003120A7">
        <w:t>Other operating expenses were $3 billion higher than published budget. This was driven by increased service delivery in the health sector</w:t>
      </w:r>
      <w:r>
        <w:t>,</w:t>
      </w:r>
      <w:r w:rsidRPr="003120A7">
        <w:t xml:space="preserve"> and higher than expected expenditure relating to the energy bill relief initiative. The increase was also driven by higher than expected expenditure in the justice sector including </w:t>
      </w:r>
      <w:r>
        <w:t xml:space="preserve">upfront recognition of expenses associated with the redress schemes and the Victims of Crime financial assistance scheme. </w:t>
      </w:r>
    </w:p>
    <w:p w14:paraId="7E685E1E" w14:textId="77777777" w:rsidR="009D33A8" w:rsidRPr="009A5FDA" w:rsidRDefault="009D33A8" w:rsidP="009D33A8">
      <w:r w:rsidRPr="009C0889">
        <w:rPr>
          <w:rFonts w:asciiTheme="majorHAnsi" w:eastAsiaTheme="majorEastAsia" w:hAnsiTheme="majorHAnsi" w:cstheme="majorBidi"/>
          <w:b/>
          <w:sz w:val="23"/>
          <w:szCs w:val="24"/>
        </w:rPr>
        <w:t xml:space="preserve">Other economic flows included in net result </w:t>
      </w:r>
    </w:p>
    <w:p w14:paraId="04EFAC26" w14:textId="1CE77982" w:rsidR="009D33A8" w:rsidRPr="00307150" w:rsidRDefault="009D33A8" w:rsidP="009D33A8">
      <w:pPr>
        <w:pStyle w:val="ListParagraph"/>
        <w:numPr>
          <w:ilvl w:val="0"/>
          <w:numId w:val="15"/>
        </w:numPr>
      </w:pPr>
      <w:r w:rsidRPr="00307150">
        <w:t>Total other economic flows included in the net result have improved by $</w:t>
      </w:r>
      <w:r>
        <w:t>931</w:t>
      </w:r>
      <w:r w:rsidRPr="00307150">
        <w:t xml:space="preserve"> million since the published budget. This was </w:t>
      </w:r>
      <w:r>
        <w:t>primarily</w:t>
      </w:r>
      <w:r w:rsidRPr="00307150">
        <w:t xml:space="preserve"> driven by higher than expected capital gains from the Victorian Future Fund and </w:t>
      </w:r>
      <w:r>
        <w:t>the</w:t>
      </w:r>
      <w:r w:rsidRPr="00307150">
        <w:t xml:space="preserve"> Social Housing Growth Fund</w:t>
      </w:r>
      <w:r>
        <w:t xml:space="preserve"> and</w:t>
      </w:r>
      <w:r w:rsidRPr="005E614D">
        <w:t xml:space="preserve"> </w:t>
      </w:r>
      <w:r>
        <w:t>t</w:t>
      </w:r>
      <w:r w:rsidRPr="007D7CEA">
        <w:t xml:space="preserve">he </w:t>
      </w:r>
      <w:r>
        <w:t xml:space="preserve">valuation gains associated with </w:t>
      </w:r>
      <w:r w:rsidRPr="00A65AE2">
        <w:t>the Victorian Renewable Energy Target</w:t>
      </w:r>
      <w:r>
        <w:t xml:space="preserve"> (VRET)</w:t>
      </w:r>
      <w:r w:rsidRPr="00A65AE2">
        <w:t xml:space="preserve"> </w:t>
      </w:r>
      <w:r>
        <w:t xml:space="preserve">and the Bulgana Green Power Hub </w:t>
      </w:r>
      <w:r w:rsidRPr="00A65AE2">
        <w:t>financial derivatives.</w:t>
      </w:r>
      <w:r w:rsidRPr="00307150">
        <w:t xml:space="preserve"> This was partially offset by a</w:t>
      </w:r>
      <w:r>
        <w:t xml:space="preserve">n accounting loss reported by the VicRoads Modernisation joint venture </w:t>
      </w:r>
      <w:r w:rsidRPr="00307150">
        <w:t xml:space="preserve">due to </w:t>
      </w:r>
      <w:r>
        <w:t xml:space="preserve">the </w:t>
      </w:r>
      <w:r w:rsidRPr="00307150">
        <w:t>amortisation of the</w:t>
      </w:r>
      <w:r>
        <w:t xml:space="preserve"> joint venture</w:t>
      </w:r>
      <w:r w:rsidR="00845934">
        <w:t>’</w:t>
      </w:r>
      <w:r>
        <w:t>s</w:t>
      </w:r>
      <w:r w:rsidRPr="00307150">
        <w:t xml:space="preserve"> asset</w:t>
      </w:r>
      <w:r>
        <w:t>s</w:t>
      </w:r>
      <w:r w:rsidRPr="00307150">
        <w:t>.</w:t>
      </w:r>
    </w:p>
    <w:p w14:paraId="0736A2DF" w14:textId="77777777" w:rsidR="00823C0E" w:rsidRDefault="00823C0E" w:rsidP="009D33A8">
      <w:pPr>
        <w:sectPr w:rsidR="00823C0E" w:rsidSect="00823C0E">
          <w:headerReference w:type="even" r:id="rId126"/>
          <w:type w:val="continuous"/>
          <w:pgSz w:w="11906" w:h="16838" w:code="9"/>
          <w:pgMar w:top="1134" w:right="1134" w:bottom="1134" w:left="1134" w:header="624" w:footer="567" w:gutter="0"/>
          <w:cols w:num="2" w:space="708"/>
          <w:docGrid w:linePitch="360"/>
        </w:sectPr>
      </w:pPr>
    </w:p>
    <w:p w14:paraId="512521E1" w14:textId="77777777" w:rsidR="009D33A8" w:rsidRPr="00A92780" w:rsidRDefault="009D33A8" w:rsidP="004610D1">
      <w:pPr>
        <w:pStyle w:val="TableHeading"/>
        <w:pageBreakBefore/>
        <w:spacing w:before="0"/>
      </w:pPr>
      <w:r>
        <w:lastRenderedPageBreak/>
        <w:t xml:space="preserve">Consolidated balance sheet as at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Material_variance_BS|TableGroup:Investment in other sectors"/>
      </w:tblPr>
      <w:tblGrid>
        <w:gridCol w:w="4111"/>
        <w:gridCol w:w="851"/>
        <w:gridCol w:w="850"/>
        <w:gridCol w:w="851"/>
        <w:gridCol w:w="850"/>
        <w:gridCol w:w="709"/>
        <w:gridCol w:w="850"/>
        <w:gridCol w:w="566"/>
      </w:tblGrid>
      <w:tr w:rsidR="005E614D" w14:paraId="5056FA89"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55E1DF50" w14:textId="77777777" w:rsidR="005E614D" w:rsidRDefault="005E614D">
            <w:pPr>
              <w:keepNext/>
            </w:pPr>
          </w:p>
        </w:tc>
        <w:tc>
          <w:tcPr>
            <w:tcW w:w="851" w:type="dxa"/>
          </w:tcPr>
          <w:p w14:paraId="5540E06B"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Published budget</w:t>
            </w:r>
          </w:p>
        </w:tc>
        <w:tc>
          <w:tcPr>
            <w:tcW w:w="850" w:type="dxa"/>
          </w:tcPr>
          <w:p w14:paraId="34EE5957"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36E62AB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 actual</w:t>
            </w:r>
          </w:p>
        </w:tc>
        <w:tc>
          <w:tcPr>
            <w:tcW w:w="850" w:type="dxa"/>
          </w:tcPr>
          <w:p w14:paraId="370236C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6AFB5663"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w:t>
            </w:r>
          </w:p>
        </w:tc>
        <w:tc>
          <w:tcPr>
            <w:tcW w:w="850" w:type="dxa"/>
          </w:tcPr>
          <w:p w14:paraId="472E10B8"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566" w:type="dxa"/>
          </w:tcPr>
          <w:p w14:paraId="4D444D5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w:t>
            </w:r>
          </w:p>
        </w:tc>
      </w:tr>
      <w:tr w:rsidR="005E614D" w14:paraId="75F5CB2D" w14:textId="77777777">
        <w:tc>
          <w:tcPr>
            <w:cnfStyle w:val="001000000000" w:firstRow="0" w:lastRow="0" w:firstColumn="1" w:lastColumn="0" w:oddVBand="0" w:evenVBand="0" w:oddHBand="0" w:evenHBand="0" w:firstRowFirstColumn="0" w:firstRowLastColumn="0" w:lastRowFirstColumn="0" w:lastRowLastColumn="0"/>
            <w:tcW w:w="4111" w:type="dxa"/>
          </w:tcPr>
          <w:p w14:paraId="33D63901" w14:textId="77777777" w:rsidR="005E614D" w:rsidRDefault="000C3A94">
            <w:r>
              <w:rPr>
                <w:b/>
              </w:rPr>
              <w:t>Assets</w:t>
            </w:r>
          </w:p>
        </w:tc>
        <w:tc>
          <w:tcPr>
            <w:tcW w:w="851" w:type="dxa"/>
          </w:tcPr>
          <w:p w14:paraId="3C55B00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3E4F067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78B8AC3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5FB4C7A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355B1DC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0391BD7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091E998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BD0CCAB" w14:textId="77777777">
        <w:tc>
          <w:tcPr>
            <w:cnfStyle w:val="001000000000" w:firstRow="0" w:lastRow="0" w:firstColumn="1" w:lastColumn="0" w:oddVBand="0" w:evenVBand="0" w:oddHBand="0" w:evenHBand="0" w:firstRowFirstColumn="0" w:firstRowLastColumn="0" w:lastRowFirstColumn="0" w:lastRowLastColumn="0"/>
            <w:tcW w:w="4111" w:type="dxa"/>
          </w:tcPr>
          <w:p w14:paraId="71808172" w14:textId="77777777" w:rsidR="005E614D" w:rsidRDefault="000C3A94">
            <w:r>
              <w:rPr>
                <w:b/>
              </w:rPr>
              <w:t>Financial assets</w:t>
            </w:r>
          </w:p>
        </w:tc>
        <w:tc>
          <w:tcPr>
            <w:tcW w:w="851" w:type="dxa"/>
          </w:tcPr>
          <w:p w14:paraId="69F2D53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23EB9BD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20C66BA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771D031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2F0C7B3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0CE0FD5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2E63200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897DE47" w14:textId="77777777">
        <w:tc>
          <w:tcPr>
            <w:cnfStyle w:val="001000000000" w:firstRow="0" w:lastRow="0" w:firstColumn="1" w:lastColumn="0" w:oddVBand="0" w:evenVBand="0" w:oddHBand="0" w:evenHBand="0" w:firstRowFirstColumn="0" w:firstRowLastColumn="0" w:lastRowFirstColumn="0" w:lastRowLastColumn="0"/>
            <w:tcW w:w="4111" w:type="dxa"/>
          </w:tcPr>
          <w:p w14:paraId="044875F8" w14:textId="77777777" w:rsidR="005E614D" w:rsidRDefault="000C3A94">
            <w:r>
              <w:t>Cash and deposits</w:t>
            </w:r>
          </w:p>
        </w:tc>
        <w:tc>
          <w:tcPr>
            <w:tcW w:w="851" w:type="dxa"/>
          </w:tcPr>
          <w:p w14:paraId="6AE26742" w14:textId="77777777" w:rsidR="005E614D" w:rsidRDefault="000C3A94">
            <w:pPr>
              <w:cnfStyle w:val="000000000000" w:firstRow="0" w:lastRow="0" w:firstColumn="0" w:lastColumn="0" w:oddVBand="0" w:evenVBand="0" w:oddHBand="0" w:evenHBand="0" w:firstRowFirstColumn="0" w:firstRowLastColumn="0" w:lastRowFirstColumn="0" w:lastRowLastColumn="0"/>
            </w:pPr>
            <w:r>
              <w:t>12 388</w:t>
            </w:r>
          </w:p>
        </w:tc>
        <w:tc>
          <w:tcPr>
            <w:tcW w:w="850" w:type="dxa"/>
          </w:tcPr>
          <w:p w14:paraId="0AA049B6" w14:textId="77777777" w:rsidR="005E614D" w:rsidRDefault="000C3A94">
            <w:pPr>
              <w:cnfStyle w:val="000000000000" w:firstRow="0" w:lastRow="0" w:firstColumn="0" w:lastColumn="0" w:oddVBand="0" w:evenVBand="0" w:oddHBand="0" w:evenHBand="0" w:firstRowFirstColumn="0" w:firstRowLastColumn="0" w:lastRowFirstColumn="0" w:lastRowLastColumn="0"/>
            </w:pPr>
            <w:r>
              <w:t>11 008</w:t>
            </w:r>
          </w:p>
        </w:tc>
        <w:tc>
          <w:tcPr>
            <w:tcW w:w="851" w:type="dxa"/>
          </w:tcPr>
          <w:p w14:paraId="423892F9"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12 800</w:t>
            </w:r>
          </w:p>
        </w:tc>
        <w:tc>
          <w:tcPr>
            <w:tcW w:w="850" w:type="dxa"/>
          </w:tcPr>
          <w:p w14:paraId="0F6B3BB8" w14:textId="77777777" w:rsidR="005E614D" w:rsidRDefault="000C3A94">
            <w:pPr>
              <w:cnfStyle w:val="000000000000" w:firstRow="0" w:lastRow="0" w:firstColumn="0" w:lastColumn="0" w:oddVBand="0" w:evenVBand="0" w:oddHBand="0" w:evenHBand="0" w:firstRowFirstColumn="0" w:firstRowLastColumn="0" w:lastRowFirstColumn="0" w:lastRowLastColumn="0"/>
            </w:pPr>
            <w:r>
              <w:t>412</w:t>
            </w:r>
          </w:p>
        </w:tc>
        <w:tc>
          <w:tcPr>
            <w:tcW w:w="709" w:type="dxa"/>
          </w:tcPr>
          <w:p w14:paraId="1FDEAC7B"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3C8BABB9" w14:textId="77777777" w:rsidR="005E614D" w:rsidRDefault="000C3A94">
            <w:pPr>
              <w:cnfStyle w:val="000000000000" w:firstRow="0" w:lastRow="0" w:firstColumn="0" w:lastColumn="0" w:oddVBand="0" w:evenVBand="0" w:oddHBand="0" w:evenHBand="0" w:firstRowFirstColumn="0" w:firstRowLastColumn="0" w:lastRowFirstColumn="0" w:lastRowLastColumn="0"/>
            </w:pPr>
            <w:r>
              <w:t>1 791</w:t>
            </w:r>
          </w:p>
        </w:tc>
        <w:tc>
          <w:tcPr>
            <w:tcW w:w="566" w:type="dxa"/>
          </w:tcPr>
          <w:p w14:paraId="5547A528"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r>
      <w:tr w:rsidR="005E614D" w14:paraId="59AFC892" w14:textId="77777777">
        <w:tc>
          <w:tcPr>
            <w:cnfStyle w:val="001000000000" w:firstRow="0" w:lastRow="0" w:firstColumn="1" w:lastColumn="0" w:oddVBand="0" w:evenVBand="0" w:oddHBand="0" w:evenHBand="0" w:firstRowFirstColumn="0" w:firstRowLastColumn="0" w:lastRowFirstColumn="0" w:lastRowLastColumn="0"/>
            <w:tcW w:w="4111" w:type="dxa"/>
          </w:tcPr>
          <w:p w14:paraId="35370F1A" w14:textId="77777777" w:rsidR="005E614D" w:rsidRDefault="000C3A94">
            <w:r>
              <w:t>Advances paid</w:t>
            </w:r>
          </w:p>
        </w:tc>
        <w:tc>
          <w:tcPr>
            <w:tcW w:w="851" w:type="dxa"/>
          </w:tcPr>
          <w:p w14:paraId="1C4B32F6" w14:textId="77777777" w:rsidR="005E614D" w:rsidRDefault="000C3A94">
            <w:pPr>
              <w:cnfStyle w:val="000000000000" w:firstRow="0" w:lastRow="0" w:firstColumn="0" w:lastColumn="0" w:oddVBand="0" w:evenVBand="0" w:oddHBand="0" w:evenHBand="0" w:firstRowFirstColumn="0" w:firstRowLastColumn="0" w:lastRowFirstColumn="0" w:lastRowLastColumn="0"/>
            </w:pPr>
            <w:r>
              <w:t>6 270</w:t>
            </w:r>
          </w:p>
        </w:tc>
        <w:tc>
          <w:tcPr>
            <w:tcW w:w="850" w:type="dxa"/>
          </w:tcPr>
          <w:p w14:paraId="0BEECB08" w14:textId="77777777" w:rsidR="005E614D" w:rsidRDefault="000C3A94">
            <w:pPr>
              <w:cnfStyle w:val="000000000000" w:firstRow="0" w:lastRow="0" w:firstColumn="0" w:lastColumn="0" w:oddVBand="0" w:evenVBand="0" w:oddHBand="0" w:evenHBand="0" w:firstRowFirstColumn="0" w:firstRowLastColumn="0" w:lastRowFirstColumn="0" w:lastRowLastColumn="0"/>
            </w:pPr>
            <w:r>
              <w:t>6 346</w:t>
            </w:r>
          </w:p>
        </w:tc>
        <w:tc>
          <w:tcPr>
            <w:tcW w:w="851" w:type="dxa"/>
          </w:tcPr>
          <w:p w14:paraId="62EFA634" w14:textId="77777777" w:rsidR="005E614D" w:rsidRDefault="000C3A94">
            <w:pPr>
              <w:cnfStyle w:val="000000000000" w:firstRow="0" w:lastRow="0" w:firstColumn="0" w:lastColumn="0" w:oddVBand="0" w:evenVBand="0" w:oddHBand="0" w:evenHBand="0" w:firstRowFirstColumn="0" w:firstRowLastColumn="0" w:lastRowFirstColumn="0" w:lastRowLastColumn="0"/>
            </w:pPr>
            <w:r>
              <w:t>6 407</w:t>
            </w:r>
          </w:p>
        </w:tc>
        <w:tc>
          <w:tcPr>
            <w:tcW w:w="850" w:type="dxa"/>
          </w:tcPr>
          <w:p w14:paraId="1EC810DA" w14:textId="77777777" w:rsidR="005E614D" w:rsidRDefault="000C3A94">
            <w:pPr>
              <w:cnfStyle w:val="000000000000" w:firstRow="0" w:lastRow="0" w:firstColumn="0" w:lastColumn="0" w:oddVBand="0" w:evenVBand="0" w:oddHBand="0" w:evenHBand="0" w:firstRowFirstColumn="0" w:firstRowLastColumn="0" w:lastRowFirstColumn="0" w:lastRowLastColumn="0"/>
            </w:pPr>
            <w:r>
              <w:t>136</w:t>
            </w:r>
          </w:p>
        </w:tc>
        <w:tc>
          <w:tcPr>
            <w:tcW w:w="709" w:type="dxa"/>
          </w:tcPr>
          <w:p w14:paraId="7C3B4D9D"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0A1D78C0" w14:textId="77777777" w:rsidR="005E614D" w:rsidRDefault="000C3A94">
            <w:pPr>
              <w:cnfStyle w:val="000000000000" w:firstRow="0" w:lastRow="0" w:firstColumn="0" w:lastColumn="0" w:oddVBand="0" w:evenVBand="0" w:oddHBand="0" w:evenHBand="0" w:firstRowFirstColumn="0" w:firstRowLastColumn="0" w:lastRowFirstColumn="0" w:lastRowLastColumn="0"/>
            </w:pPr>
            <w:r>
              <w:t>61</w:t>
            </w:r>
          </w:p>
        </w:tc>
        <w:tc>
          <w:tcPr>
            <w:tcW w:w="566" w:type="dxa"/>
          </w:tcPr>
          <w:p w14:paraId="27AE02D7"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27528865" w14:textId="77777777">
        <w:tc>
          <w:tcPr>
            <w:cnfStyle w:val="001000000000" w:firstRow="0" w:lastRow="0" w:firstColumn="1" w:lastColumn="0" w:oddVBand="0" w:evenVBand="0" w:oddHBand="0" w:evenHBand="0" w:firstRowFirstColumn="0" w:firstRowLastColumn="0" w:lastRowFirstColumn="0" w:lastRowLastColumn="0"/>
            <w:tcW w:w="4111" w:type="dxa"/>
          </w:tcPr>
          <w:p w14:paraId="47AE7A68" w14:textId="77777777" w:rsidR="005E614D" w:rsidRDefault="000C3A94">
            <w:r>
              <w:t>Receivables and contract assets</w:t>
            </w:r>
          </w:p>
        </w:tc>
        <w:tc>
          <w:tcPr>
            <w:tcW w:w="851" w:type="dxa"/>
          </w:tcPr>
          <w:p w14:paraId="0B9ABACE" w14:textId="77777777" w:rsidR="005E614D" w:rsidRDefault="000C3A94">
            <w:pPr>
              <w:cnfStyle w:val="000000000000" w:firstRow="0" w:lastRow="0" w:firstColumn="0" w:lastColumn="0" w:oddVBand="0" w:evenVBand="0" w:oddHBand="0" w:evenHBand="0" w:firstRowFirstColumn="0" w:firstRowLastColumn="0" w:lastRowFirstColumn="0" w:lastRowLastColumn="0"/>
            </w:pPr>
            <w:r>
              <w:t>10 037</w:t>
            </w:r>
          </w:p>
        </w:tc>
        <w:tc>
          <w:tcPr>
            <w:tcW w:w="850" w:type="dxa"/>
          </w:tcPr>
          <w:p w14:paraId="49FD2E34" w14:textId="77777777" w:rsidR="005E614D" w:rsidRDefault="000C3A94">
            <w:pPr>
              <w:cnfStyle w:val="000000000000" w:firstRow="0" w:lastRow="0" w:firstColumn="0" w:lastColumn="0" w:oddVBand="0" w:evenVBand="0" w:oddHBand="0" w:evenHBand="0" w:firstRowFirstColumn="0" w:firstRowLastColumn="0" w:lastRowFirstColumn="0" w:lastRowLastColumn="0"/>
            </w:pPr>
            <w:r>
              <w:t>9 965</w:t>
            </w:r>
          </w:p>
        </w:tc>
        <w:tc>
          <w:tcPr>
            <w:tcW w:w="851" w:type="dxa"/>
          </w:tcPr>
          <w:p w14:paraId="10E251AB" w14:textId="77777777" w:rsidR="005E614D" w:rsidRDefault="000C3A94">
            <w:pPr>
              <w:cnfStyle w:val="000000000000" w:firstRow="0" w:lastRow="0" w:firstColumn="0" w:lastColumn="0" w:oddVBand="0" w:evenVBand="0" w:oddHBand="0" w:evenHBand="0" w:firstRowFirstColumn="0" w:firstRowLastColumn="0" w:lastRowFirstColumn="0" w:lastRowLastColumn="0"/>
            </w:pPr>
            <w:r>
              <w:t>10 203</w:t>
            </w:r>
          </w:p>
        </w:tc>
        <w:tc>
          <w:tcPr>
            <w:tcW w:w="850" w:type="dxa"/>
          </w:tcPr>
          <w:p w14:paraId="5563B941" w14:textId="77777777" w:rsidR="005E614D" w:rsidRDefault="000C3A94">
            <w:pPr>
              <w:cnfStyle w:val="000000000000" w:firstRow="0" w:lastRow="0" w:firstColumn="0" w:lastColumn="0" w:oddVBand="0" w:evenVBand="0" w:oddHBand="0" w:evenHBand="0" w:firstRowFirstColumn="0" w:firstRowLastColumn="0" w:lastRowFirstColumn="0" w:lastRowLastColumn="0"/>
            </w:pPr>
            <w:r>
              <w:t>166</w:t>
            </w:r>
          </w:p>
        </w:tc>
        <w:tc>
          <w:tcPr>
            <w:tcW w:w="709" w:type="dxa"/>
          </w:tcPr>
          <w:p w14:paraId="6DC6CBED"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7E8A30B7" w14:textId="77777777" w:rsidR="005E614D" w:rsidRDefault="000C3A94">
            <w:pPr>
              <w:cnfStyle w:val="000000000000" w:firstRow="0" w:lastRow="0" w:firstColumn="0" w:lastColumn="0" w:oddVBand="0" w:evenVBand="0" w:oddHBand="0" w:evenHBand="0" w:firstRowFirstColumn="0" w:firstRowLastColumn="0" w:lastRowFirstColumn="0" w:lastRowLastColumn="0"/>
            </w:pPr>
            <w:r>
              <w:t>239</w:t>
            </w:r>
          </w:p>
        </w:tc>
        <w:tc>
          <w:tcPr>
            <w:tcW w:w="566" w:type="dxa"/>
          </w:tcPr>
          <w:p w14:paraId="167BD2CC"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247B3D2C" w14:textId="77777777">
        <w:tc>
          <w:tcPr>
            <w:cnfStyle w:val="001000000000" w:firstRow="0" w:lastRow="0" w:firstColumn="1" w:lastColumn="0" w:oddVBand="0" w:evenVBand="0" w:oddHBand="0" w:evenHBand="0" w:firstRowFirstColumn="0" w:firstRowLastColumn="0" w:lastRowFirstColumn="0" w:lastRowLastColumn="0"/>
            <w:tcW w:w="4111" w:type="dxa"/>
          </w:tcPr>
          <w:p w14:paraId="24474B95" w14:textId="77777777" w:rsidR="005E614D" w:rsidRDefault="000C3A94">
            <w:r>
              <w:t>Investments, loans and placements</w:t>
            </w:r>
          </w:p>
        </w:tc>
        <w:tc>
          <w:tcPr>
            <w:tcW w:w="851" w:type="dxa"/>
          </w:tcPr>
          <w:p w14:paraId="5E2B5224" w14:textId="77777777" w:rsidR="005E614D" w:rsidRDefault="000C3A94">
            <w:pPr>
              <w:cnfStyle w:val="000000000000" w:firstRow="0" w:lastRow="0" w:firstColumn="0" w:lastColumn="0" w:oddVBand="0" w:evenVBand="0" w:oddHBand="0" w:evenHBand="0" w:firstRowFirstColumn="0" w:firstRowLastColumn="0" w:lastRowFirstColumn="0" w:lastRowLastColumn="0"/>
            </w:pPr>
            <w:r>
              <w:t>15 590</w:t>
            </w:r>
          </w:p>
        </w:tc>
        <w:tc>
          <w:tcPr>
            <w:tcW w:w="850" w:type="dxa"/>
          </w:tcPr>
          <w:p w14:paraId="3EFB2611" w14:textId="77777777" w:rsidR="005E614D" w:rsidRDefault="000C3A94">
            <w:pPr>
              <w:cnfStyle w:val="000000000000" w:firstRow="0" w:lastRow="0" w:firstColumn="0" w:lastColumn="0" w:oddVBand="0" w:evenVBand="0" w:oddHBand="0" w:evenHBand="0" w:firstRowFirstColumn="0" w:firstRowLastColumn="0" w:lastRowFirstColumn="0" w:lastRowLastColumn="0"/>
            </w:pPr>
            <w:r>
              <w:t>16 889</w:t>
            </w:r>
          </w:p>
        </w:tc>
        <w:tc>
          <w:tcPr>
            <w:tcW w:w="851" w:type="dxa"/>
          </w:tcPr>
          <w:p w14:paraId="43F01EBC" w14:textId="77777777" w:rsidR="005E614D" w:rsidRDefault="000C3A94">
            <w:pPr>
              <w:cnfStyle w:val="000000000000" w:firstRow="0" w:lastRow="0" w:firstColumn="0" w:lastColumn="0" w:oddVBand="0" w:evenVBand="0" w:oddHBand="0" w:evenHBand="0" w:firstRowFirstColumn="0" w:firstRowLastColumn="0" w:lastRowFirstColumn="0" w:lastRowLastColumn="0"/>
            </w:pPr>
            <w:r>
              <w:t>17 781</w:t>
            </w:r>
          </w:p>
        </w:tc>
        <w:tc>
          <w:tcPr>
            <w:tcW w:w="850" w:type="dxa"/>
          </w:tcPr>
          <w:p w14:paraId="6DD7F3DA" w14:textId="77777777" w:rsidR="005E614D" w:rsidRDefault="000C3A94">
            <w:pPr>
              <w:cnfStyle w:val="000000000000" w:firstRow="0" w:lastRow="0" w:firstColumn="0" w:lastColumn="0" w:oddVBand="0" w:evenVBand="0" w:oddHBand="0" w:evenHBand="0" w:firstRowFirstColumn="0" w:firstRowLastColumn="0" w:lastRowFirstColumn="0" w:lastRowLastColumn="0"/>
            </w:pPr>
            <w:r>
              <w:t>2 190</w:t>
            </w:r>
          </w:p>
        </w:tc>
        <w:tc>
          <w:tcPr>
            <w:tcW w:w="709" w:type="dxa"/>
          </w:tcPr>
          <w:p w14:paraId="10B2DF12"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3924662B" w14:textId="77777777" w:rsidR="005E614D" w:rsidRDefault="000C3A94">
            <w:pPr>
              <w:cnfStyle w:val="000000000000" w:firstRow="0" w:lastRow="0" w:firstColumn="0" w:lastColumn="0" w:oddVBand="0" w:evenVBand="0" w:oddHBand="0" w:evenHBand="0" w:firstRowFirstColumn="0" w:firstRowLastColumn="0" w:lastRowFirstColumn="0" w:lastRowLastColumn="0"/>
            </w:pPr>
            <w:r>
              <w:t>892</w:t>
            </w:r>
          </w:p>
        </w:tc>
        <w:tc>
          <w:tcPr>
            <w:tcW w:w="566" w:type="dxa"/>
          </w:tcPr>
          <w:p w14:paraId="4470550A"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r>
      <w:tr w:rsidR="005E614D" w14:paraId="02DD7AE0" w14:textId="77777777">
        <w:tc>
          <w:tcPr>
            <w:cnfStyle w:val="001000000000" w:firstRow="0" w:lastRow="0" w:firstColumn="1" w:lastColumn="0" w:oddVBand="0" w:evenVBand="0" w:oddHBand="0" w:evenHBand="0" w:firstRowFirstColumn="0" w:firstRowLastColumn="0" w:lastRowFirstColumn="0" w:lastRowLastColumn="0"/>
            <w:tcW w:w="4111" w:type="dxa"/>
          </w:tcPr>
          <w:p w14:paraId="26E680FA" w14:textId="77777777" w:rsidR="005E614D" w:rsidRDefault="000C3A94">
            <w:r>
              <w:t>Investments accounted for using the equity method</w:t>
            </w:r>
          </w:p>
        </w:tc>
        <w:tc>
          <w:tcPr>
            <w:tcW w:w="851" w:type="dxa"/>
          </w:tcPr>
          <w:p w14:paraId="73EEAEF0" w14:textId="77777777" w:rsidR="005E614D" w:rsidRDefault="000C3A94">
            <w:pPr>
              <w:cnfStyle w:val="000000000000" w:firstRow="0" w:lastRow="0" w:firstColumn="0" w:lastColumn="0" w:oddVBand="0" w:evenVBand="0" w:oddHBand="0" w:evenHBand="0" w:firstRowFirstColumn="0" w:firstRowLastColumn="0" w:lastRowFirstColumn="0" w:lastRowLastColumn="0"/>
            </w:pPr>
            <w:r>
              <w:t>1 332</w:t>
            </w:r>
          </w:p>
        </w:tc>
        <w:tc>
          <w:tcPr>
            <w:tcW w:w="850" w:type="dxa"/>
          </w:tcPr>
          <w:p w14:paraId="26BA2F44" w14:textId="77777777" w:rsidR="005E614D" w:rsidRDefault="000C3A94">
            <w:pPr>
              <w:cnfStyle w:val="000000000000" w:firstRow="0" w:lastRow="0" w:firstColumn="0" w:lastColumn="0" w:oddVBand="0" w:evenVBand="0" w:oddHBand="0" w:evenHBand="0" w:firstRowFirstColumn="0" w:firstRowLastColumn="0" w:lastRowFirstColumn="0" w:lastRowLastColumn="0"/>
            </w:pPr>
            <w:r>
              <w:t>1 166</w:t>
            </w:r>
          </w:p>
        </w:tc>
        <w:tc>
          <w:tcPr>
            <w:tcW w:w="851" w:type="dxa"/>
          </w:tcPr>
          <w:p w14:paraId="4FB403C4"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1 141</w:t>
            </w:r>
          </w:p>
        </w:tc>
        <w:tc>
          <w:tcPr>
            <w:tcW w:w="850" w:type="dxa"/>
          </w:tcPr>
          <w:p w14:paraId="48015BA8" w14:textId="77777777" w:rsidR="005E614D" w:rsidRDefault="000C3A94">
            <w:pPr>
              <w:cnfStyle w:val="000000000000" w:firstRow="0" w:lastRow="0" w:firstColumn="0" w:lastColumn="0" w:oddVBand="0" w:evenVBand="0" w:oddHBand="0" w:evenHBand="0" w:firstRowFirstColumn="0" w:firstRowLastColumn="0" w:lastRowFirstColumn="0" w:lastRowLastColumn="0"/>
            </w:pPr>
            <w:r>
              <w:t>(191)</w:t>
            </w:r>
          </w:p>
        </w:tc>
        <w:tc>
          <w:tcPr>
            <w:tcW w:w="709" w:type="dxa"/>
          </w:tcPr>
          <w:p w14:paraId="7726139F"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0ACBA191" w14:textId="77777777" w:rsidR="005E614D" w:rsidRDefault="000C3A94">
            <w:pPr>
              <w:cnfStyle w:val="000000000000" w:firstRow="0" w:lastRow="0" w:firstColumn="0" w:lastColumn="0" w:oddVBand="0" w:evenVBand="0" w:oddHBand="0" w:evenHBand="0" w:firstRowFirstColumn="0" w:firstRowLastColumn="0" w:lastRowFirstColumn="0" w:lastRowLastColumn="0"/>
            </w:pPr>
            <w:r>
              <w:t>(25)</w:t>
            </w:r>
          </w:p>
        </w:tc>
        <w:tc>
          <w:tcPr>
            <w:tcW w:w="566" w:type="dxa"/>
          </w:tcPr>
          <w:p w14:paraId="4101F33E"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40F9CD56"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05BFA5B1" w14:textId="77777777" w:rsidR="005E614D" w:rsidRDefault="000C3A94">
            <w:r>
              <w:t>Investments in PNFC and PFC sector entities</w:t>
            </w:r>
          </w:p>
        </w:tc>
        <w:tc>
          <w:tcPr>
            <w:tcW w:w="851" w:type="dxa"/>
            <w:tcBorders>
              <w:bottom w:val="single" w:sz="6" w:space="0" w:color="auto"/>
            </w:tcBorders>
          </w:tcPr>
          <w:p w14:paraId="24442144" w14:textId="77777777" w:rsidR="005E614D" w:rsidRDefault="000C3A94">
            <w:pPr>
              <w:cnfStyle w:val="000000000000" w:firstRow="0" w:lastRow="0" w:firstColumn="0" w:lastColumn="0" w:oddVBand="0" w:evenVBand="0" w:oddHBand="0" w:evenHBand="0" w:firstRowFirstColumn="0" w:firstRowLastColumn="0" w:lastRowFirstColumn="0" w:lastRowLastColumn="0"/>
            </w:pPr>
            <w:r>
              <w:t>97 201</w:t>
            </w:r>
          </w:p>
        </w:tc>
        <w:tc>
          <w:tcPr>
            <w:tcW w:w="850" w:type="dxa"/>
            <w:tcBorders>
              <w:bottom w:val="single" w:sz="6" w:space="0" w:color="auto"/>
            </w:tcBorders>
          </w:tcPr>
          <w:p w14:paraId="64BCED62" w14:textId="77777777" w:rsidR="005E614D" w:rsidRDefault="000C3A94">
            <w:pPr>
              <w:cnfStyle w:val="000000000000" w:firstRow="0" w:lastRow="0" w:firstColumn="0" w:lastColumn="0" w:oddVBand="0" w:evenVBand="0" w:oddHBand="0" w:evenHBand="0" w:firstRowFirstColumn="0" w:firstRowLastColumn="0" w:lastRowFirstColumn="0" w:lastRowLastColumn="0"/>
            </w:pPr>
            <w:r>
              <w:t>100 663</w:t>
            </w:r>
          </w:p>
        </w:tc>
        <w:tc>
          <w:tcPr>
            <w:tcW w:w="851" w:type="dxa"/>
            <w:tcBorders>
              <w:bottom w:val="single" w:sz="6" w:space="0" w:color="auto"/>
            </w:tcBorders>
          </w:tcPr>
          <w:p w14:paraId="3EEBA254" w14:textId="77777777" w:rsidR="005E614D" w:rsidRDefault="000C3A94">
            <w:pPr>
              <w:cnfStyle w:val="000000000000" w:firstRow="0" w:lastRow="0" w:firstColumn="0" w:lastColumn="0" w:oddVBand="0" w:evenVBand="0" w:oddHBand="0" w:evenHBand="0" w:firstRowFirstColumn="0" w:firstRowLastColumn="0" w:lastRowFirstColumn="0" w:lastRowLastColumn="0"/>
            </w:pPr>
            <w:r>
              <w:t>96 401</w:t>
            </w:r>
          </w:p>
        </w:tc>
        <w:tc>
          <w:tcPr>
            <w:tcW w:w="850" w:type="dxa"/>
            <w:tcBorders>
              <w:bottom w:val="single" w:sz="6" w:space="0" w:color="auto"/>
            </w:tcBorders>
          </w:tcPr>
          <w:p w14:paraId="70BF4AE0" w14:textId="77777777" w:rsidR="005E614D" w:rsidRDefault="000C3A94">
            <w:pPr>
              <w:cnfStyle w:val="000000000000" w:firstRow="0" w:lastRow="0" w:firstColumn="0" w:lastColumn="0" w:oddVBand="0" w:evenVBand="0" w:oddHBand="0" w:evenHBand="0" w:firstRowFirstColumn="0" w:firstRowLastColumn="0" w:lastRowFirstColumn="0" w:lastRowLastColumn="0"/>
            </w:pPr>
            <w:r>
              <w:t>(800)</w:t>
            </w:r>
          </w:p>
        </w:tc>
        <w:tc>
          <w:tcPr>
            <w:tcW w:w="709" w:type="dxa"/>
            <w:tcBorders>
              <w:bottom w:val="single" w:sz="6" w:space="0" w:color="auto"/>
            </w:tcBorders>
          </w:tcPr>
          <w:p w14:paraId="75A875D2"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850" w:type="dxa"/>
            <w:tcBorders>
              <w:bottom w:val="single" w:sz="6" w:space="0" w:color="auto"/>
            </w:tcBorders>
          </w:tcPr>
          <w:p w14:paraId="5ABD02A2" w14:textId="77777777" w:rsidR="005E614D" w:rsidRDefault="000C3A94">
            <w:pPr>
              <w:cnfStyle w:val="000000000000" w:firstRow="0" w:lastRow="0" w:firstColumn="0" w:lastColumn="0" w:oddVBand="0" w:evenVBand="0" w:oddHBand="0" w:evenHBand="0" w:firstRowFirstColumn="0" w:firstRowLastColumn="0" w:lastRowFirstColumn="0" w:lastRowLastColumn="0"/>
            </w:pPr>
            <w:r>
              <w:t>(4 262)</w:t>
            </w:r>
          </w:p>
        </w:tc>
        <w:tc>
          <w:tcPr>
            <w:tcW w:w="566" w:type="dxa"/>
            <w:tcBorders>
              <w:bottom w:val="single" w:sz="6" w:space="0" w:color="auto"/>
            </w:tcBorders>
          </w:tcPr>
          <w:p w14:paraId="201AD8BF" w14:textId="77777777" w:rsidR="005E614D" w:rsidRDefault="000C3A94">
            <w:pPr>
              <w:cnfStyle w:val="000000000000" w:firstRow="0" w:lastRow="0" w:firstColumn="0" w:lastColumn="0" w:oddVBand="0" w:evenVBand="0" w:oddHBand="0" w:evenHBand="0" w:firstRowFirstColumn="0" w:firstRowLastColumn="0" w:lastRowFirstColumn="0" w:lastRowLastColumn="0"/>
            </w:pPr>
            <w:r>
              <w:t>(4)</w:t>
            </w:r>
          </w:p>
        </w:tc>
      </w:tr>
      <w:tr w:rsidR="005E614D" w14:paraId="6A1DF646"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4A472DB0" w14:textId="77777777" w:rsidR="005E614D" w:rsidRDefault="000C3A94">
            <w:r>
              <w:rPr>
                <w:b/>
              </w:rPr>
              <w:t>Total financial assets</w:t>
            </w:r>
          </w:p>
        </w:tc>
        <w:tc>
          <w:tcPr>
            <w:tcW w:w="851" w:type="dxa"/>
            <w:tcBorders>
              <w:top w:val="single" w:sz="6" w:space="0" w:color="auto"/>
              <w:bottom w:val="single" w:sz="6" w:space="0" w:color="auto"/>
            </w:tcBorders>
          </w:tcPr>
          <w:p w14:paraId="27B0A3C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142 819</w:t>
            </w:r>
          </w:p>
        </w:tc>
        <w:tc>
          <w:tcPr>
            <w:tcW w:w="850" w:type="dxa"/>
            <w:tcBorders>
              <w:top w:val="single" w:sz="6" w:space="0" w:color="auto"/>
              <w:bottom w:val="single" w:sz="6" w:space="0" w:color="auto"/>
            </w:tcBorders>
          </w:tcPr>
          <w:p w14:paraId="3E88309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146 037</w:t>
            </w:r>
          </w:p>
        </w:tc>
        <w:tc>
          <w:tcPr>
            <w:tcW w:w="851" w:type="dxa"/>
            <w:tcBorders>
              <w:top w:val="single" w:sz="6" w:space="0" w:color="auto"/>
              <w:bottom w:val="single" w:sz="6" w:space="0" w:color="auto"/>
            </w:tcBorders>
          </w:tcPr>
          <w:p w14:paraId="09BD9B4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144 732</w:t>
            </w:r>
          </w:p>
        </w:tc>
        <w:tc>
          <w:tcPr>
            <w:tcW w:w="850" w:type="dxa"/>
            <w:tcBorders>
              <w:top w:val="single" w:sz="6" w:space="0" w:color="auto"/>
              <w:bottom w:val="single" w:sz="6" w:space="0" w:color="auto"/>
            </w:tcBorders>
          </w:tcPr>
          <w:p w14:paraId="49FBAF8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1 914</w:t>
            </w:r>
          </w:p>
        </w:tc>
        <w:tc>
          <w:tcPr>
            <w:tcW w:w="709" w:type="dxa"/>
            <w:tcBorders>
              <w:top w:val="single" w:sz="6" w:space="0" w:color="auto"/>
              <w:bottom w:val="single" w:sz="6" w:space="0" w:color="auto"/>
            </w:tcBorders>
          </w:tcPr>
          <w:p w14:paraId="57892CE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c>
          <w:tcPr>
            <w:tcW w:w="850" w:type="dxa"/>
            <w:tcBorders>
              <w:top w:val="single" w:sz="6" w:space="0" w:color="auto"/>
              <w:bottom w:val="single" w:sz="6" w:space="0" w:color="auto"/>
            </w:tcBorders>
          </w:tcPr>
          <w:p w14:paraId="448D4EF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(1 304)</w:t>
            </w:r>
          </w:p>
        </w:tc>
        <w:tc>
          <w:tcPr>
            <w:tcW w:w="566" w:type="dxa"/>
            <w:tcBorders>
              <w:top w:val="single" w:sz="6" w:space="0" w:color="auto"/>
              <w:bottom w:val="single" w:sz="6" w:space="0" w:color="auto"/>
            </w:tcBorders>
          </w:tcPr>
          <w:p w14:paraId="7C1C70B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r>
      <w:tr w:rsidR="005E614D" w14:paraId="1947A4F3"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1A7DBFC3" w14:textId="77777777" w:rsidR="005E614D" w:rsidRDefault="000C3A94">
            <w:r>
              <w:rPr>
                <w:b/>
              </w:rPr>
              <w:t>Non</w:t>
            </w:r>
            <w:r>
              <w:rPr>
                <w:b/>
              </w:rPr>
              <w:noBreakHyphen/>
              <w:t>financial assets</w:t>
            </w:r>
          </w:p>
        </w:tc>
        <w:tc>
          <w:tcPr>
            <w:tcW w:w="851" w:type="dxa"/>
            <w:tcBorders>
              <w:top w:val="single" w:sz="6" w:space="0" w:color="auto"/>
            </w:tcBorders>
          </w:tcPr>
          <w:p w14:paraId="653257A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758B9B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01DA8A5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37F9D6B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06AE08C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D93F89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Borders>
              <w:top w:val="single" w:sz="6" w:space="0" w:color="auto"/>
            </w:tcBorders>
          </w:tcPr>
          <w:p w14:paraId="10B5609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628D0BB" w14:textId="77777777">
        <w:tc>
          <w:tcPr>
            <w:cnfStyle w:val="001000000000" w:firstRow="0" w:lastRow="0" w:firstColumn="1" w:lastColumn="0" w:oddVBand="0" w:evenVBand="0" w:oddHBand="0" w:evenHBand="0" w:firstRowFirstColumn="0" w:firstRowLastColumn="0" w:lastRowFirstColumn="0" w:lastRowLastColumn="0"/>
            <w:tcW w:w="4111" w:type="dxa"/>
          </w:tcPr>
          <w:p w14:paraId="6C8FD02C" w14:textId="77777777" w:rsidR="005E614D" w:rsidRDefault="000C3A94">
            <w:r>
              <w:t>Inventories</w:t>
            </w:r>
          </w:p>
        </w:tc>
        <w:tc>
          <w:tcPr>
            <w:tcW w:w="851" w:type="dxa"/>
          </w:tcPr>
          <w:p w14:paraId="64321647" w14:textId="77777777" w:rsidR="005E614D" w:rsidRDefault="000C3A94">
            <w:pPr>
              <w:cnfStyle w:val="000000000000" w:firstRow="0" w:lastRow="0" w:firstColumn="0" w:lastColumn="0" w:oddVBand="0" w:evenVBand="0" w:oddHBand="0" w:evenHBand="0" w:firstRowFirstColumn="0" w:firstRowLastColumn="0" w:lastRowFirstColumn="0" w:lastRowLastColumn="0"/>
            </w:pPr>
            <w:r>
              <w:t>335</w:t>
            </w:r>
          </w:p>
        </w:tc>
        <w:tc>
          <w:tcPr>
            <w:tcW w:w="850" w:type="dxa"/>
          </w:tcPr>
          <w:p w14:paraId="708D8A04" w14:textId="77777777" w:rsidR="005E614D" w:rsidRDefault="000C3A94">
            <w:pPr>
              <w:cnfStyle w:val="000000000000" w:firstRow="0" w:lastRow="0" w:firstColumn="0" w:lastColumn="0" w:oddVBand="0" w:evenVBand="0" w:oddHBand="0" w:evenHBand="0" w:firstRowFirstColumn="0" w:firstRowLastColumn="0" w:lastRowFirstColumn="0" w:lastRowLastColumn="0"/>
            </w:pPr>
            <w:r>
              <w:t>300</w:t>
            </w:r>
          </w:p>
        </w:tc>
        <w:tc>
          <w:tcPr>
            <w:tcW w:w="851" w:type="dxa"/>
          </w:tcPr>
          <w:p w14:paraId="00F4AEB2" w14:textId="77777777" w:rsidR="005E614D" w:rsidRDefault="000C3A94">
            <w:pPr>
              <w:cnfStyle w:val="000000000000" w:firstRow="0" w:lastRow="0" w:firstColumn="0" w:lastColumn="0" w:oddVBand="0" w:evenVBand="0" w:oddHBand="0" w:evenHBand="0" w:firstRowFirstColumn="0" w:firstRowLastColumn="0" w:lastRowFirstColumn="0" w:lastRowLastColumn="0"/>
            </w:pPr>
            <w:r>
              <w:t>277</w:t>
            </w:r>
          </w:p>
        </w:tc>
        <w:tc>
          <w:tcPr>
            <w:tcW w:w="850" w:type="dxa"/>
          </w:tcPr>
          <w:p w14:paraId="45DEA43A" w14:textId="77777777" w:rsidR="005E614D" w:rsidRDefault="000C3A94">
            <w:pPr>
              <w:cnfStyle w:val="000000000000" w:firstRow="0" w:lastRow="0" w:firstColumn="0" w:lastColumn="0" w:oddVBand="0" w:evenVBand="0" w:oddHBand="0" w:evenHBand="0" w:firstRowFirstColumn="0" w:firstRowLastColumn="0" w:lastRowFirstColumn="0" w:lastRowLastColumn="0"/>
            </w:pPr>
            <w:r>
              <w:t>(58)</w:t>
            </w:r>
          </w:p>
        </w:tc>
        <w:tc>
          <w:tcPr>
            <w:tcW w:w="709" w:type="dxa"/>
          </w:tcPr>
          <w:p w14:paraId="094F1C71" w14:textId="77777777" w:rsidR="005E614D" w:rsidRDefault="000C3A94">
            <w:pPr>
              <w:cnfStyle w:val="000000000000" w:firstRow="0" w:lastRow="0" w:firstColumn="0" w:lastColumn="0" w:oddVBand="0" w:evenVBand="0" w:oddHBand="0" w:evenHBand="0" w:firstRowFirstColumn="0" w:firstRowLastColumn="0" w:lastRowFirstColumn="0" w:lastRowLastColumn="0"/>
            </w:pPr>
            <w:r>
              <w:t>(17)</w:t>
            </w:r>
          </w:p>
        </w:tc>
        <w:tc>
          <w:tcPr>
            <w:tcW w:w="850" w:type="dxa"/>
          </w:tcPr>
          <w:p w14:paraId="3B02D20C" w14:textId="77777777" w:rsidR="005E614D" w:rsidRDefault="000C3A94">
            <w:pPr>
              <w:cnfStyle w:val="000000000000" w:firstRow="0" w:lastRow="0" w:firstColumn="0" w:lastColumn="0" w:oddVBand="0" w:evenVBand="0" w:oddHBand="0" w:evenHBand="0" w:firstRowFirstColumn="0" w:firstRowLastColumn="0" w:lastRowFirstColumn="0" w:lastRowLastColumn="0"/>
            </w:pPr>
            <w:r>
              <w:t>(23)</w:t>
            </w:r>
          </w:p>
        </w:tc>
        <w:tc>
          <w:tcPr>
            <w:tcW w:w="566" w:type="dxa"/>
          </w:tcPr>
          <w:p w14:paraId="7640FCA2" w14:textId="77777777" w:rsidR="005E614D" w:rsidRDefault="000C3A94">
            <w:pPr>
              <w:cnfStyle w:val="000000000000" w:firstRow="0" w:lastRow="0" w:firstColumn="0" w:lastColumn="0" w:oddVBand="0" w:evenVBand="0" w:oddHBand="0" w:evenHBand="0" w:firstRowFirstColumn="0" w:firstRowLastColumn="0" w:lastRowFirstColumn="0" w:lastRowLastColumn="0"/>
            </w:pPr>
            <w:r>
              <w:t>(8)</w:t>
            </w:r>
          </w:p>
        </w:tc>
      </w:tr>
      <w:tr w:rsidR="005E614D" w14:paraId="791616B4" w14:textId="77777777">
        <w:tc>
          <w:tcPr>
            <w:cnfStyle w:val="001000000000" w:firstRow="0" w:lastRow="0" w:firstColumn="1" w:lastColumn="0" w:oddVBand="0" w:evenVBand="0" w:oddHBand="0" w:evenHBand="0" w:firstRowFirstColumn="0" w:firstRowLastColumn="0" w:lastRowFirstColumn="0" w:lastRowLastColumn="0"/>
            <w:tcW w:w="4111" w:type="dxa"/>
          </w:tcPr>
          <w:p w14:paraId="56DC75C4" w14:textId="77777777" w:rsidR="005E614D" w:rsidRDefault="000C3A94">
            <w:r>
              <w:t>Non</w:t>
            </w:r>
            <w:r>
              <w:noBreakHyphen/>
              <w:t>financial assets held</w:t>
            </w:r>
            <w:r>
              <w:noBreakHyphen/>
              <w:t>for</w:t>
            </w:r>
            <w:r>
              <w:noBreakHyphen/>
              <w:t>sale</w:t>
            </w:r>
          </w:p>
        </w:tc>
        <w:tc>
          <w:tcPr>
            <w:tcW w:w="851" w:type="dxa"/>
          </w:tcPr>
          <w:p w14:paraId="629EC641" w14:textId="77777777" w:rsidR="005E614D" w:rsidRDefault="000C3A94">
            <w:pPr>
              <w:cnfStyle w:val="000000000000" w:firstRow="0" w:lastRow="0" w:firstColumn="0" w:lastColumn="0" w:oddVBand="0" w:evenVBand="0" w:oddHBand="0" w:evenHBand="0" w:firstRowFirstColumn="0" w:firstRowLastColumn="0" w:lastRowFirstColumn="0" w:lastRowLastColumn="0"/>
            </w:pPr>
            <w:r>
              <w:t>83</w:t>
            </w:r>
          </w:p>
        </w:tc>
        <w:tc>
          <w:tcPr>
            <w:tcW w:w="850" w:type="dxa"/>
          </w:tcPr>
          <w:p w14:paraId="00289498" w14:textId="77777777" w:rsidR="005E614D" w:rsidRDefault="000C3A94">
            <w:pPr>
              <w:cnfStyle w:val="000000000000" w:firstRow="0" w:lastRow="0" w:firstColumn="0" w:lastColumn="0" w:oddVBand="0" w:evenVBand="0" w:oddHBand="0" w:evenHBand="0" w:firstRowFirstColumn="0" w:firstRowLastColumn="0" w:lastRowFirstColumn="0" w:lastRowLastColumn="0"/>
            </w:pPr>
            <w:r>
              <w:t>66</w:t>
            </w:r>
          </w:p>
        </w:tc>
        <w:tc>
          <w:tcPr>
            <w:tcW w:w="851" w:type="dxa"/>
          </w:tcPr>
          <w:p w14:paraId="2FD92AB1" w14:textId="77777777" w:rsidR="005E614D" w:rsidRDefault="000C3A94">
            <w:pPr>
              <w:cnfStyle w:val="000000000000" w:firstRow="0" w:lastRow="0" w:firstColumn="0" w:lastColumn="0" w:oddVBand="0" w:evenVBand="0" w:oddHBand="0" w:evenHBand="0" w:firstRowFirstColumn="0" w:firstRowLastColumn="0" w:lastRowFirstColumn="0" w:lastRowLastColumn="0"/>
            </w:pPr>
            <w:r>
              <w:t>145</w:t>
            </w:r>
          </w:p>
        </w:tc>
        <w:tc>
          <w:tcPr>
            <w:tcW w:w="850" w:type="dxa"/>
          </w:tcPr>
          <w:p w14:paraId="394786DE" w14:textId="77777777" w:rsidR="005E614D" w:rsidRDefault="000C3A94">
            <w:pPr>
              <w:cnfStyle w:val="000000000000" w:firstRow="0" w:lastRow="0" w:firstColumn="0" w:lastColumn="0" w:oddVBand="0" w:evenVBand="0" w:oddHBand="0" w:evenHBand="0" w:firstRowFirstColumn="0" w:firstRowLastColumn="0" w:lastRowFirstColumn="0" w:lastRowLastColumn="0"/>
            </w:pPr>
            <w:r>
              <w:t>62</w:t>
            </w:r>
          </w:p>
        </w:tc>
        <w:tc>
          <w:tcPr>
            <w:tcW w:w="709" w:type="dxa"/>
          </w:tcPr>
          <w:p w14:paraId="080DCE37" w14:textId="77777777" w:rsidR="005E614D" w:rsidRDefault="000C3A94">
            <w:pPr>
              <w:cnfStyle w:val="000000000000" w:firstRow="0" w:lastRow="0" w:firstColumn="0" w:lastColumn="0" w:oddVBand="0" w:evenVBand="0" w:oddHBand="0" w:evenHBand="0" w:firstRowFirstColumn="0" w:firstRowLastColumn="0" w:lastRowFirstColumn="0" w:lastRowLastColumn="0"/>
            </w:pPr>
            <w:r>
              <w:t>75</w:t>
            </w:r>
          </w:p>
        </w:tc>
        <w:tc>
          <w:tcPr>
            <w:tcW w:w="850" w:type="dxa"/>
          </w:tcPr>
          <w:p w14:paraId="14ACC61C" w14:textId="77777777" w:rsidR="005E614D" w:rsidRDefault="000C3A94">
            <w:pPr>
              <w:cnfStyle w:val="000000000000" w:firstRow="0" w:lastRow="0" w:firstColumn="0" w:lastColumn="0" w:oddVBand="0" w:evenVBand="0" w:oddHBand="0" w:evenHBand="0" w:firstRowFirstColumn="0" w:firstRowLastColumn="0" w:lastRowFirstColumn="0" w:lastRowLastColumn="0"/>
            </w:pPr>
            <w:r>
              <w:t>79</w:t>
            </w:r>
          </w:p>
        </w:tc>
        <w:tc>
          <w:tcPr>
            <w:tcW w:w="566" w:type="dxa"/>
          </w:tcPr>
          <w:p w14:paraId="4338E781" w14:textId="77777777" w:rsidR="005E614D" w:rsidRDefault="000C3A94">
            <w:pPr>
              <w:cnfStyle w:val="000000000000" w:firstRow="0" w:lastRow="0" w:firstColumn="0" w:lastColumn="0" w:oddVBand="0" w:evenVBand="0" w:oddHBand="0" w:evenHBand="0" w:firstRowFirstColumn="0" w:firstRowLastColumn="0" w:lastRowFirstColumn="0" w:lastRowLastColumn="0"/>
            </w:pPr>
            <w:r>
              <w:t>119</w:t>
            </w:r>
          </w:p>
        </w:tc>
      </w:tr>
      <w:tr w:rsidR="005E614D" w14:paraId="5EAF2865" w14:textId="77777777">
        <w:tc>
          <w:tcPr>
            <w:cnfStyle w:val="001000000000" w:firstRow="0" w:lastRow="0" w:firstColumn="1" w:lastColumn="0" w:oddVBand="0" w:evenVBand="0" w:oddHBand="0" w:evenHBand="0" w:firstRowFirstColumn="0" w:firstRowLastColumn="0" w:lastRowFirstColumn="0" w:lastRowLastColumn="0"/>
            <w:tcW w:w="4111" w:type="dxa"/>
          </w:tcPr>
          <w:p w14:paraId="5F71E53C" w14:textId="77777777" w:rsidR="005E614D" w:rsidRDefault="000C3A94">
            <w:r>
              <w:t>Land, buildings, infrastructure, plant and equipment</w:t>
            </w:r>
          </w:p>
        </w:tc>
        <w:tc>
          <w:tcPr>
            <w:tcW w:w="851" w:type="dxa"/>
          </w:tcPr>
          <w:p w14:paraId="2F7413BA" w14:textId="77777777" w:rsidR="005E614D" w:rsidRDefault="000C3A94">
            <w:pPr>
              <w:cnfStyle w:val="000000000000" w:firstRow="0" w:lastRow="0" w:firstColumn="0" w:lastColumn="0" w:oddVBand="0" w:evenVBand="0" w:oddHBand="0" w:evenHBand="0" w:firstRowFirstColumn="0" w:firstRowLastColumn="0" w:lastRowFirstColumn="0" w:lastRowLastColumn="0"/>
            </w:pPr>
            <w:r>
              <w:t>280 774</w:t>
            </w:r>
          </w:p>
        </w:tc>
        <w:tc>
          <w:tcPr>
            <w:tcW w:w="850" w:type="dxa"/>
          </w:tcPr>
          <w:p w14:paraId="132593C0" w14:textId="77777777" w:rsidR="005E614D" w:rsidRDefault="000C3A94">
            <w:pPr>
              <w:cnfStyle w:val="000000000000" w:firstRow="0" w:lastRow="0" w:firstColumn="0" w:lastColumn="0" w:oddVBand="0" w:evenVBand="0" w:oddHBand="0" w:evenHBand="0" w:firstRowFirstColumn="0" w:firstRowLastColumn="0" w:lastRowFirstColumn="0" w:lastRowLastColumn="0"/>
            </w:pPr>
            <w:r>
              <w:t>287 244</w:t>
            </w:r>
          </w:p>
        </w:tc>
        <w:tc>
          <w:tcPr>
            <w:tcW w:w="851" w:type="dxa"/>
          </w:tcPr>
          <w:p w14:paraId="23A1E3AD" w14:textId="77777777" w:rsidR="005E614D" w:rsidRDefault="000C3A94">
            <w:pPr>
              <w:cnfStyle w:val="000000000000" w:firstRow="0" w:lastRow="0" w:firstColumn="0" w:lastColumn="0" w:oddVBand="0" w:evenVBand="0" w:oddHBand="0" w:evenHBand="0" w:firstRowFirstColumn="0" w:firstRowLastColumn="0" w:lastRowFirstColumn="0" w:lastRowLastColumn="0"/>
            </w:pPr>
            <w:r>
              <w:t>288 244</w:t>
            </w:r>
          </w:p>
        </w:tc>
        <w:tc>
          <w:tcPr>
            <w:tcW w:w="850" w:type="dxa"/>
          </w:tcPr>
          <w:p w14:paraId="14A81CCC" w14:textId="77777777" w:rsidR="005E614D" w:rsidRDefault="000C3A94">
            <w:pPr>
              <w:cnfStyle w:val="000000000000" w:firstRow="0" w:lastRow="0" w:firstColumn="0" w:lastColumn="0" w:oddVBand="0" w:evenVBand="0" w:oddHBand="0" w:evenHBand="0" w:firstRowFirstColumn="0" w:firstRowLastColumn="0" w:lastRowFirstColumn="0" w:lastRowLastColumn="0"/>
            </w:pPr>
            <w:r>
              <w:t>7 470</w:t>
            </w:r>
          </w:p>
        </w:tc>
        <w:tc>
          <w:tcPr>
            <w:tcW w:w="709" w:type="dxa"/>
          </w:tcPr>
          <w:p w14:paraId="10657363"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1F085610" w14:textId="77777777" w:rsidR="005E614D" w:rsidRDefault="000C3A94">
            <w:pPr>
              <w:cnfStyle w:val="000000000000" w:firstRow="0" w:lastRow="0" w:firstColumn="0" w:lastColumn="0" w:oddVBand="0" w:evenVBand="0" w:oddHBand="0" w:evenHBand="0" w:firstRowFirstColumn="0" w:firstRowLastColumn="0" w:lastRowFirstColumn="0" w:lastRowLastColumn="0"/>
            </w:pPr>
            <w:r>
              <w:t>1 000</w:t>
            </w:r>
          </w:p>
        </w:tc>
        <w:tc>
          <w:tcPr>
            <w:tcW w:w="566" w:type="dxa"/>
          </w:tcPr>
          <w:p w14:paraId="1DDA670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241C0BEF"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00AD9505" w14:textId="77777777" w:rsidR="005E614D" w:rsidRDefault="000C3A94">
            <w:r>
              <w:t>Other non</w:t>
            </w:r>
            <w:r>
              <w:noBreakHyphen/>
              <w:t>financial assets</w:t>
            </w:r>
          </w:p>
        </w:tc>
        <w:tc>
          <w:tcPr>
            <w:tcW w:w="851" w:type="dxa"/>
            <w:tcBorders>
              <w:bottom w:val="single" w:sz="6" w:space="0" w:color="auto"/>
            </w:tcBorders>
          </w:tcPr>
          <w:p w14:paraId="1E3A8AA1" w14:textId="77777777" w:rsidR="005E614D" w:rsidRDefault="000C3A94">
            <w:pPr>
              <w:cnfStyle w:val="000000000000" w:firstRow="0" w:lastRow="0" w:firstColumn="0" w:lastColumn="0" w:oddVBand="0" w:evenVBand="0" w:oddHBand="0" w:evenHBand="0" w:firstRowFirstColumn="0" w:firstRowLastColumn="0" w:lastRowFirstColumn="0" w:lastRowLastColumn="0"/>
            </w:pPr>
            <w:r>
              <w:t>5 495</w:t>
            </w:r>
          </w:p>
        </w:tc>
        <w:tc>
          <w:tcPr>
            <w:tcW w:w="850" w:type="dxa"/>
            <w:tcBorders>
              <w:bottom w:val="single" w:sz="6" w:space="0" w:color="auto"/>
            </w:tcBorders>
          </w:tcPr>
          <w:p w14:paraId="46E5039A" w14:textId="77777777" w:rsidR="005E614D" w:rsidRDefault="000C3A94">
            <w:pPr>
              <w:cnfStyle w:val="000000000000" w:firstRow="0" w:lastRow="0" w:firstColumn="0" w:lastColumn="0" w:oddVBand="0" w:evenVBand="0" w:oddHBand="0" w:evenHBand="0" w:firstRowFirstColumn="0" w:firstRowLastColumn="0" w:lastRowFirstColumn="0" w:lastRowLastColumn="0"/>
            </w:pPr>
            <w:r>
              <w:t>6 454</w:t>
            </w:r>
          </w:p>
        </w:tc>
        <w:tc>
          <w:tcPr>
            <w:tcW w:w="851" w:type="dxa"/>
            <w:tcBorders>
              <w:bottom w:val="single" w:sz="6" w:space="0" w:color="auto"/>
            </w:tcBorders>
          </w:tcPr>
          <w:p w14:paraId="5AC80A5D" w14:textId="77777777" w:rsidR="005E614D" w:rsidRDefault="000C3A94">
            <w:pPr>
              <w:cnfStyle w:val="000000000000" w:firstRow="0" w:lastRow="0" w:firstColumn="0" w:lastColumn="0" w:oddVBand="0" w:evenVBand="0" w:oddHBand="0" w:evenHBand="0" w:firstRowFirstColumn="0" w:firstRowLastColumn="0" w:lastRowFirstColumn="0" w:lastRowLastColumn="0"/>
            </w:pPr>
            <w:r>
              <w:t>6 906</w:t>
            </w:r>
          </w:p>
        </w:tc>
        <w:tc>
          <w:tcPr>
            <w:tcW w:w="850" w:type="dxa"/>
            <w:tcBorders>
              <w:bottom w:val="single" w:sz="6" w:space="0" w:color="auto"/>
            </w:tcBorders>
          </w:tcPr>
          <w:p w14:paraId="47428B05" w14:textId="77777777" w:rsidR="005E614D" w:rsidRDefault="000C3A94">
            <w:pPr>
              <w:cnfStyle w:val="000000000000" w:firstRow="0" w:lastRow="0" w:firstColumn="0" w:lastColumn="0" w:oddVBand="0" w:evenVBand="0" w:oddHBand="0" w:evenHBand="0" w:firstRowFirstColumn="0" w:firstRowLastColumn="0" w:lastRowFirstColumn="0" w:lastRowLastColumn="0"/>
            </w:pPr>
            <w:r>
              <w:t>1 411</w:t>
            </w:r>
          </w:p>
        </w:tc>
        <w:tc>
          <w:tcPr>
            <w:tcW w:w="709" w:type="dxa"/>
            <w:tcBorders>
              <w:bottom w:val="single" w:sz="6" w:space="0" w:color="auto"/>
            </w:tcBorders>
          </w:tcPr>
          <w:p w14:paraId="5EDC149C" w14:textId="77777777" w:rsidR="005E614D" w:rsidRDefault="000C3A94">
            <w:pPr>
              <w:cnfStyle w:val="000000000000" w:firstRow="0" w:lastRow="0" w:firstColumn="0" w:lastColumn="0" w:oddVBand="0" w:evenVBand="0" w:oddHBand="0" w:evenHBand="0" w:firstRowFirstColumn="0" w:firstRowLastColumn="0" w:lastRowFirstColumn="0" w:lastRowLastColumn="0"/>
            </w:pPr>
            <w:r>
              <w:t>26</w:t>
            </w:r>
          </w:p>
        </w:tc>
        <w:tc>
          <w:tcPr>
            <w:tcW w:w="850" w:type="dxa"/>
            <w:tcBorders>
              <w:bottom w:val="single" w:sz="6" w:space="0" w:color="auto"/>
            </w:tcBorders>
          </w:tcPr>
          <w:p w14:paraId="3C0F7DB0" w14:textId="77777777" w:rsidR="005E614D" w:rsidRDefault="000C3A94">
            <w:pPr>
              <w:cnfStyle w:val="000000000000" w:firstRow="0" w:lastRow="0" w:firstColumn="0" w:lastColumn="0" w:oddVBand="0" w:evenVBand="0" w:oddHBand="0" w:evenHBand="0" w:firstRowFirstColumn="0" w:firstRowLastColumn="0" w:lastRowFirstColumn="0" w:lastRowLastColumn="0"/>
            </w:pPr>
            <w:r>
              <w:t>452</w:t>
            </w:r>
          </w:p>
        </w:tc>
        <w:tc>
          <w:tcPr>
            <w:tcW w:w="566" w:type="dxa"/>
            <w:tcBorders>
              <w:bottom w:val="single" w:sz="6" w:space="0" w:color="auto"/>
            </w:tcBorders>
          </w:tcPr>
          <w:p w14:paraId="39559AAF" w14:textId="77777777" w:rsidR="005E614D" w:rsidRDefault="000C3A94">
            <w:pPr>
              <w:cnfStyle w:val="000000000000" w:firstRow="0" w:lastRow="0" w:firstColumn="0" w:lastColumn="0" w:oddVBand="0" w:evenVBand="0" w:oddHBand="0" w:evenHBand="0" w:firstRowFirstColumn="0" w:firstRowLastColumn="0" w:lastRowFirstColumn="0" w:lastRowLastColumn="0"/>
            </w:pPr>
            <w:r>
              <w:t>7</w:t>
            </w:r>
          </w:p>
        </w:tc>
      </w:tr>
      <w:tr w:rsidR="005E614D" w14:paraId="5A17DCC6"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630299ED" w14:textId="77777777" w:rsidR="005E614D" w:rsidRDefault="000C3A94">
            <w:r>
              <w:rPr>
                <w:b/>
              </w:rPr>
              <w:t>Total non</w:t>
            </w:r>
            <w:r>
              <w:rPr>
                <w:b/>
              </w:rPr>
              <w:noBreakHyphen/>
              <w:t>financial assets</w:t>
            </w:r>
          </w:p>
        </w:tc>
        <w:tc>
          <w:tcPr>
            <w:tcW w:w="851" w:type="dxa"/>
            <w:tcBorders>
              <w:top w:val="single" w:sz="6" w:space="0" w:color="auto"/>
              <w:bottom w:val="single" w:sz="6" w:space="0" w:color="auto"/>
            </w:tcBorders>
          </w:tcPr>
          <w:p w14:paraId="75D80B9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286 688</w:t>
            </w:r>
          </w:p>
        </w:tc>
        <w:tc>
          <w:tcPr>
            <w:tcW w:w="850" w:type="dxa"/>
            <w:tcBorders>
              <w:top w:val="single" w:sz="6" w:space="0" w:color="auto"/>
              <w:bottom w:val="single" w:sz="6" w:space="0" w:color="auto"/>
            </w:tcBorders>
          </w:tcPr>
          <w:p w14:paraId="7C41684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294 065</w:t>
            </w:r>
          </w:p>
        </w:tc>
        <w:tc>
          <w:tcPr>
            <w:tcW w:w="851" w:type="dxa"/>
            <w:tcBorders>
              <w:top w:val="single" w:sz="6" w:space="0" w:color="auto"/>
              <w:bottom w:val="single" w:sz="6" w:space="0" w:color="auto"/>
            </w:tcBorders>
          </w:tcPr>
          <w:p w14:paraId="744B916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295 573</w:t>
            </w:r>
          </w:p>
        </w:tc>
        <w:tc>
          <w:tcPr>
            <w:tcW w:w="850" w:type="dxa"/>
            <w:tcBorders>
              <w:top w:val="single" w:sz="6" w:space="0" w:color="auto"/>
              <w:bottom w:val="single" w:sz="6" w:space="0" w:color="auto"/>
            </w:tcBorders>
          </w:tcPr>
          <w:p w14:paraId="12166CF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8 885</w:t>
            </w:r>
          </w:p>
        </w:tc>
        <w:tc>
          <w:tcPr>
            <w:tcW w:w="709" w:type="dxa"/>
            <w:tcBorders>
              <w:top w:val="single" w:sz="6" w:space="0" w:color="auto"/>
              <w:bottom w:val="single" w:sz="6" w:space="0" w:color="auto"/>
            </w:tcBorders>
          </w:tcPr>
          <w:p w14:paraId="015E46E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bottom w:val="single" w:sz="6" w:space="0" w:color="auto"/>
            </w:tcBorders>
          </w:tcPr>
          <w:p w14:paraId="18D1B36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1 508</w:t>
            </w:r>
          </w:p>
        </w:tc>
        <w:tc>
          <w:tcPr>
            <w:tcW w:w="566" w:type="dxa"/>
            <w:tcBorders>
              <w:top w:val="single" w:sz="6" w:space="0" w:color="auto"/>
              <w:bottom w:val="single" w:sz="6" w:space="0" w:color="auto"/>
            </w:tcBorders>
          </w:tcPr>
          <w:p w14:paraId="3FDB45F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r>
      <w:tr w:rsidR="005E614D" w14:paraId="00A1DC29"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607D7763" w14:textId="77777777" w:rsidR="005E614D" w:rsidRDefault="000C3A94">
            <w:r>
              <w:rPr>
                <w:b/>
              </w:rPr>
              <w:t>Total assets</w:t>
            </w:r>
          </w:p>
        </w:tc>
        <w:tc>
          <w:tcPr>
            <w:tcW w:w="851" w:type="dxa"/>
            <w:tcBorders>
              <w:top w:val="single" w:sz="6" w:space="0" w:color="auto"/>
            </w:tcBorders>
          </w:tcPr>
          <w:p w14:paraId="4859FA8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429 506</w:t>
            </w:r>
          </w:p>
        </w:tc>
        <w:tc>
          <w:tcPr>
            <w:tcW w:w="850" w:type="dxa"/>
            <w:tcBorders>
              <w:top w:val="single" w:sz="6" w:space="0" w:color="auto"/>
            </w:tcBorders>
          </w:tcPr>
          <w:p w14:paraId="3EED57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440 101</w:t>
            </w:r>
          </w:p>
        </w:tc>
        <w:tc>
          <w:tcPr>
            <w:tcW w:w="851" w:type="dxa"/>
            <w:tcBorders>
              <w:top w:val="single" w:sz="6" w:space="0" w:color="auto"/>
            </w:tcBorders>
          </w:tcPr>
          <w:p w14:paraId="323CDBA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440 305</w:t>
            </w:r>
          </w:p>
        </w:tc>
        <w:tc>
          <w:tcPr>
            <w:tcW w:w="850" w:type="dxa"/>
            <w:tcBorders>
              <w:top w:val="single" w:sz="6" w:space="0" w:color="auto"/>
            </w:tcBorders>
          </w:tcPr>
          <w:p w14:paraId="63C38C3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10 799</w:t>
            </w:r>
          </w:p>
        </w:tc>
        <w:tc>
          <w:tcPr>
            <w:tcW w:w="709" w:type="dxa"/>
            <w:tcBorders>
              <w:top w:val="single" w:sz="6" w:space="0" w:color="auto"/>
            </w:tcBorders>
          </w:tcPr>
          <w:p w14:paraId="5FE68E5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tcBorders>
          </w:tcPr>
          <w:p w14:paraId="2AF0801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204</w:t>
            </w:r>
          </w:p>
        </w:tc>
        <w:tc>
          <w:tcPr>
            <w:tcW w:w="566" w:type="dxa"/>
            <w:tcBorders>
              <w:top w:val="single" w:sz="6" w:space="0" w:color="auto"/>
            </w:tcBorders>
          </w:tcPr>
          <w:p w14:paraId="676DF6C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r>
      <w:tr w:rsidR="005E614D" w14:paraId="64C1278F" w14:textId="77777777">
        <w:tc>
          <w:tcPr>
            <w:cnfStyle w:val="001000000000" w:firstRow="0" w:lastRow="0" w:firstColumn="1" w:lastColumn="0" w:oddVBand="0" w:evenVBand="0" w:oddHBand="0" w:evenHBand="0" w:firstRowFirstColumn="0" w:firstRowLastColumn="0" w:lastRowFirstColumn="0" w:lastRowLastColumn="0"/>
            <w:tcW w:w="4111" w:type="dxa"/>
          </w:tcPr>
          <w:p w14:paraId="5C87C186" w14:textId="77777777" w:rsidR="005E614D" w:rsidRDefault="000C3A94">
            <w:r>
              <w:rPr>
                <w:b/>
              </w:rPr>
              <w:t>Liabilities</w:t>
            </w:r>
          </w:p>
        </w:tc>
        <w:tc>
          <w:tcPr>
            <w:tcW w:w="851" w:type="dxa"/>
          </w:tcPr>
          <w:p w14:paraId="5F18071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37D5321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08EF2DF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5AC32A8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0C42858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6F09971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5DF6EBC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830FF21" w14:textId="77777777">
        <w:tc>
          <w:tcPr>
            <w:cnfStyle w:val="001000000000" w:firstRow="0" w:lastRow="0" w:firstColumn="1" w:lastColumn="0" w:oddVBand="0" w:evenVBand="0" w:oddHBand="0" w:evenHBand="0" w:firstRowFirstColumn="0" w:firstRowLastColumn="0" w:lastRowFirstColumn="0" w:lastRowLastColumn="0"/>
            <w:tcW w:w="4111" w:type="dxa"/>
          </w:tcPr>
          <w:p w14:paraId="61177E1A" w14:textId="77777777" w:rsidR="005E614D" w:rsidRDefault="000C3A94">
            <w:r>
              <w:t>Deposits held and advances received</w:t>
            </w:r>
          </w:p>
        </w:tc>
        <w:tc>
          <w:tcPr>
            <w:tcW w:w="851" w:type="dxa"/>
          </w:tcPr>
          <w:p w14:paraId="5D4D8D86" w14:textId="77777777" w:rsidR="005E614D" w:rsidRDefault="000C3A94">
            <w:pPr>
              <w:cnfStyle w:val="000000000000" w:firstRow="0" w:lastRow="0" w:firstColumn="0" w:lastColumn="0" w:oddVBand="0" w:evenVBand="0" w:oddHBand="0" w:evenHBand="0" w:firstRowFirstColumn="0" w:firstRowLastColumn="0" w:lastRowFirstColumn="0" w:lastRowLastColumn="0"/>
            </w:pPr>
            <w:r>
              <w:t>1 383</w:t>
            </w:r>
          </w:p>
        </w:tc>
        <w:tc>
          <w:tcPr>
            <w:tcW w:w="850" w:type="dxa"/>
          </w:tcPr>
          <w:p w14:paraId="033B44F8" w14:textId="77777777" w:rsidR="005E614D" w:rsidRDefault="000C3A94">
            <w:pPr>
              <w:cnfStyle w:val="000000000000" w:firstRow="0" w:lastRow="0" w:firstColumn="0" w:lastColumn="0" w:oddVBand="0" w:evenVBand="0" w:oddHBand="0" w:evenHBand="0" w:firstRowFirstColumn="0" w:firstRowLastColumn="0" w:lastRowFirstColumn="0" w:lastRowLastColumn="0"/>
            </w:pPr>
            <w:r>
              <w:t>1 472</w:t>
            </w:r>
          </w:p>
        </w:tc>
        <w:tc>
          <w:tcPr>
            <w:tcW w:w="851" w:type="dxa"/>
          </w:tcPr>
          <w:p w14:paraId="13D1982B" w14:textId="77777777" w:rsidR="005E614D" w:rsidRDefault="000C3A94">
            <w:pPr>
              <w:cnfStyle w:val="000000000000" w:firstRow="0" w:lastRow="0" w:firstColumn="0" w:lastColumn="0" w:oddVBand="0" w:evenVBand="0" w:oddHBand="0" w:evenHBand="0" w:firstRowFirstColumn="0" w:firstRowLastColumn="0" w:lastRowFirstColumn="0" w:lastRowLastColumn="0"/>
            </w:pPr>
            <w:r>
              <w:t>1 595</w:t>
            </w:r>
          </w:p>
        </w:tc>
        <w:tc>
          <w:tcPr>
            <w:tcW w:w="850" w:type="dxa"/>
          </w:tcPr>
          <w:p w14:paraId="6AC75455" w14:textId="77777777" w:rsidR="005E614D" w:rsidRDefault="000C3A94">
            <w:pPr>
              <w:cnfStyle w:val="000000000000" w:firstRow="0" w:lastRow="0" w:firstColumn="0" w:lastColumn="0" w:oddVBand="0" w:evenVBand="0" w:oddHBand="0" w:evenHBand="0" w:firstRowFirstColumn="0" w:firstRowLastColumn="0" w:lastRowFirstColumn="0" w:lastRowLastColumn="0"/>
            </w:pPr>
            <w:r>
              <w:t>211</w:t>
            </w:r>
          </w:p>
        </w:tc>
        <w:tc>
          <w:tcPr>
            <w:tcW w:w="709" w:type="dxa"/>
          </w:tcPr>
          <w:p w14:paraId="7BFB1FE2" w14:textId="77777777" w:rsidR="005E614D" w:rsidRDefault="000C3A94">
            <w:pPr>
              <w:cnfStyle w:val="000000000000" w:firstRow="0" w:lastRow="0" w:firstColumn="0" w:lastColumn="0" w:oddVBand="0" w:evenVBand="0" w:oddHBand="0" w:evenHBand="0" w:firstRowFirstColumn="0" w:firstRowLastColumn="0" w:lastRowFirstColumn="0" w:lastRowLastColumn="0"/>
            </w:pPr>
            <w:r>
              <w:t>15</w:t>
            </w:r>
          </w:p>
        </w:tc>
        <w:tc>
          <w:tcPr>
            <w:tcW w:w="850" w:type="dxa"/>
          </w:tcPr>
          <w:p w14:paraId="6C032D97" w14:textId="77777777" w:rsidR="005E614D" w:rsidRDefault="000C3A94">
            <w:pPr>
              <w:cnfStyle w:val="000000000000" w:firstRow="0" w:lastRow="0" w:firstColumn="0" w:lastColumn="0" w:oddVBand="0" w:evenVBand="0" w:oddHBand="0" w:evenHBand="0" w:firstRowFirstColumn="0" w:firstRowLastColumn="0" w:lastRowFirstColumn="0" w:lastRowLastColumn="0"/>
            </w:pPr>
            <w:r>
              <w:t>123</w:t>
            </w:r>
          </w:p>
        </w:tc>
        <w:tc>
          <w:tcPr>
            <w:tcW w:w="566" w:type="dxa"/>
          </w:tcPr>
          <w:p w14:paraId="50F8E9DF" w14:textId="77777777" w:rsidR="005E614D" w:rsidRDefault="000C3A94">
            <w:pPr>
              <w:cnfStyle w:val="000000000000" w:firstRow="0" w:lastRow="0" w:firstColumn="0" w:lastColumn="0" w:oddVBand="0" w:evenVBand="0" w:oddHBand="0" w:evenHBand="0" w:firstRowFirstColumn="0" w:firstRowLastColumn="0" w:lastRowFirstColumn="0" w:lastRowLastColumn="0"/>
            </w:pPr>
            <w:r>
              <w:t>8</w:t>
            </w:r>
          </w:p>
        </w:tc>
      </w:tr>
      <w:tr w:rsidR="005E614D" w14:paraId="40B3E4CD" w14:textId="77777777">
        <w:tc>
          <w:tcPr>
            <w:cnfStyle w:val="001000000000" w:firstRow="0" w:lastRow="0" w:firstColumn="1" w:lastColumn="0" w:oddVBand="0" w:evenVBand="0" w:oddHBand="0" w:evenHBand="0" w:firstRowFirstColumn="0" w:firstRowLastColumn="0" w:lastRowFirstColumn="0" w:lastRowLastColumn="0"/>
            <w:tcW w:w="4111" w:type="dxa"/>
          </w:tcPr>
          <w:p w14:paraId="0AB87D24" w14:textId="77777777" w:rsidR="005E614D" w:rsidRDefault="000C3A94">
            <w:r>
              <w:t>Payables</w:t>
            </w:r>
          </w:p>
        </w:tc>
        <w:tc>
          <w:tcPr>
            <w:tcW w:w="851" w:type="dxa"/>
          </w:tcPr>
          <w:p w14:paraId="62A59422" w14:textId="77777777" w:rsidR="005E614D" w:rsidRDefault="000C3A94">
            <w:pPr>
              <w:cnfStyle w:val="000000000000" w:firstRow="0" w:lastRow="0" w:firstColumn="0" w:lastColumn="0" w:oddVBand="0" w:evenVBand="0" w:oddHBand="0" w:evenHBand="0" w:firstRowFirstColumn="0" w:firstRowLastColumn="0" w:lastRowFirstColumn="0" w:lastRowLastColumn="0"/>
            </w:pPr>
            <w:r>
              <w:t>6 035</w:t>
            </w:r>
          </w:p>
        </w:tc>
        <w:tc>
          <w:tcPr>
            <w:tcW w:w="850" w:type="dxa"/>
          </w:tcPr>
          <w:p w14:paraId="0530D630" w14:textId="77777777" w:rsidR="005E614D" w:rsidRDefault="000C3A94">
            <w:pPr>
              <w:cnfStyle w:val="000000000000" w:firstRow="0" w:lastRow="0" w:firstColumn="0" w:lastColumn="0" w:oddVBand="0" w:evenVBand="0" w:oddHBand="0" w:evenHBand="0" w:firstRowFirstColumn="0" w:firstRowLastColumn="0" w:lastRowFirstColumn="0" w:lastRowLastColumn="0"/>
            </w:pPr>
            <w:r>
              <w:t>6 730</w:t>
            </w:r>
          </w:p>
        </w:tc>
        <w:tc>
          <w:tcPr>
            <w:tcW w:w="851" w:type="dxa"/>
          </w:tcPr>
          <w:p w14:paraId="3D95B040" w14:textId="77777777" w:rsidR="005E614D" w:rsidRDefault="000C3A94">
            <w:pPr>
              <w:cnfStyle w:val="000000000000" w:firstRow="0" w:lastRow="0" w:firstColumn="0" w:lastColumn="0" w:oddVBand="0" w:evenVBand="0" w:oddHBand="0" w:evenHBand="0" w:firstRowFirstColumn="0" w:firstRowLastColumn="0" w:lastRowFirstColumn="0" w:lastRowLastColumn="0"/>
            </w:pPr>
            <w:r>
              <w:t>6 558</w:t>
            </w:r>
          </w:p>
        </w:tc>
        <w:tc>
          <w:tcPr>
            <w:tcW w:w="850" w:type="dxa"/>
          </w:tcPr>
          <w:p w14:paraId="329765A9" w14:textId="77777777" w:rsidR="005E614D" w:rsidRDefault="000C3A94">
            <w:pPr>
              <w:cnfStyle w:val="000000000000" w:firstRow="0" w:lastRow="0" w:firstColumn="0" w:lastColumn="0" w:oddVBand="0" w:evenVBand="0" w:oddHBand="0" w:evenHBand="0" w:firstRowFirstColumn="0" w:firstRowLastColumn="0" w:lastRowFirstColumn="0" w:lastRowLastColumn="0"/>
            </w:pPr>
            <w:r>
              <w:t>523</w:t>
            </w:r>
          </w:p>
        </w:tc>
        <w:tc>
          <w:tcPr>
            <w:tcW w:w="709" w:type="dxa"/>
          </w:tcPr>
          <w:p w14:paraId="7523D923"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c>
          <w:tcPr>
            <w:tcW w:w="850" w:type="dxa"/>
          </w:tcPr>
          <w:p w14:paraId="7B4DFE42" w14:textId="77777777" w:rsidR="005E614D" w:rsidRDefault="000C3A94">
            <w:pPr>
              <w:cnfStyle w:val="000000000000" w:firstRow="0" w:lastRow="0" w:firstColumn="0" w:lastColumn="0" w:oddVBand="0" w:evenVBand="0" w:oddHBand="0" w:evenHBand="0" w:firstRowFirstColumn="0" w:firstRowLastColumn="0" w:lastRowFirstColumn="0" w:lastRowLastColumn="0"/>
            </w:pPr>
            <w:r>
              <w:t>(172)</w:t>
            </w:r>
          </w:p>
        </w:tc>
        <w:tc>
          <w:tcPr>
            <w:tcW w:w="566" w:type="dxa"/>
          </w:tcPr>
          <w:p w14:paraId="7A203591"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r w:rsidR="005E614D" w14:paraId="6F301D1C" w14:textId="77777777">
        <w:tc>
          <w:tcPr>
            <w:cnfStyle w:val="001000000000" w:firstRow="0" w:lastRow="0" w:firstColumn="1" w:lastColumn="0" w:oddVBand="0" w:evenVBand="0" w:oddHBand="0" w:evenHBand="0" w:firstRowFirstColumn="0" w:firstRowLastColumn="0" w:lastRowFirstColumn="0" w:lastRowLastColumn="0"/>
            <w:tcW w:w="4111" w:type="dxa"/>
          </w:tcPr>
          <w:p w14:paraId="505D6051" w14:textId="77777777" w:rsidR="005E614D" w:rsidRDefault="000C3A94">
            <w:r>
              <w:t>Borrowings</w:t>
            </w:r>
          </w:p>
        </w:tc>
        <w:tc>
          <w:tcPr>
            <w:tcW w:w="851" w:type="dxa"/>
          </w:tcPr>
          <w:p w14:paraId="2944E715" w14:textId="77777777" w:rsidR="005E614D" w:rsidRDefault="000C3A94">
            <w:pPr>
              <w:cnfStyle w:val="000000000000" w:firstRow="0" w:lastRow="0" w:firstColumn="0" w:lastColumn="0" w:oddVBand="0" w:evenVBand="0" w:oddHBand="0" w:evenHBand="0" w:firstRowFirstColumn="0" w:firstRowLastColumn="0" w:lastRowFirstColumn="0" w:lastRowLastColumn="0"/>
            </w:pPr>
            <w:r>
              <w:t>189 062</w:t>
            </w:r>
          </w:p>
        </w:tc>
        <w:tc>
          <w:tcPr>
            <w:tcW w:w="850" w:type="dxa"/>
          </w:tcPr>
          <w:p w14:paraId="5361DA6F" w14:textId="77777777" w:rsidR="005E614D" w:rsidRDefault="000C3A94">
            <w:pPr>
              <w:cnfStyle w:val="000000000000" w:firstRow="0" w:lastRow="0" w:firstColumn="0" w:lastColumn="0" w:oddVBand="0" w:evenVBand="0" w:oddHBand="0" w:evenHBand="0" w:firstRowFirstColumn="0" w:firstRowLastColumn="0" w:lastRowFirstColumn="0" w:lastRowLastColumn="0"/>
            </w:pPr>
            <w:r>
              <w:t>188 295</w:t>
            </w:r>
          </w:p>
        </w:tc>
        <w:tc>
          <w:tcPr>
            <w:tcW w:w="851" w:type="dxa"/>
          </w:tcPr>
          <w:p w14:paraId="6C05AAF0" w14:textId="77777777" w:rsidR="005E614D" w:rsidRDefault="000C3A94">
            <w:pPr>
              <w:cnfStyle w:val="000000000000" w:firstRow="0" w:lastRow="0" w:firstColumn="0" w:lastColumn="0" w:oddVBand="0" w:evenVBand="0" w:oddHBand="0" w:evenHBand="0" w:firstRowFirstColumn="0" w:firstRowLastColumn="0" w:lastRowFirstColumn="0" w:lastRowLastColumn="0"/>
            </w:pPr>
            <w:r>
              <w:t>186 259</w:t>
            </w:r>
          </w:p>
        </w:tc>
        <w:tc>
          <w:tcPr>
            <w:tcW w:w="850" w:type="dxa"/>
          </w:tcPr>
          <w:p w14:paraId="307BB87E" w14:textId="77777777" w:rsidR="005E614D" w:rsidRDefault="000C3A94">
            <w:pPr>
              <w:cnfStyle w:val="000000000000" w:firstRow="0" w:lastRow="0" w:firstColumn="0" w:lastColumn="0" w:oddVBand="0" w:evenVBand="0" w:oddHBand="0" w:evenHBand="0" w:firstRowFirstColumn="0" w:firstRowLastColumn="0" w:lastRowFirstColumn="0" w:lastRowLastColumn="0"/>
            </w:pPr>
            <w:r>
              <w:t>(2 803)</w:t>
            </w:r>
          </w:p>
        </w:tc>
        <w:tc>
          <w:tcPr>
            <w:tcW w:w="709" w:type="dxa"/>
          </w:tcPr>
          <w:p w14:paraId="156184A1"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5929D992"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(2 036)</w:t>
            </w:r>
          </w:p>
        </w:tc>
        <w:tc>
          <w:tcPr>
            <w:tcW w:w="566" w:type="dxa"/>
          </w:tcPr>
          <w:p w14:paraId="358CA203"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7579977D" w14:textId="77777777">
        <w:tc>
          <w:tcPr>
            <w:cnfStyle w:val="001000000000" w:firstRow="0" w:lastRow="0" w:firstColumn="1" w:lastColumn="0" w:oddVBand="0" w:evenVBand="0" w:oddHBand="0" w:evenHBand="0" w:firstRowFirstColumn="0" w:firstRowLastColumn="0" w:lastRowFirstColumn="0" w:lastRowLastColumn="0"/>
            <w:tcW w:w="4111" w:type="dxa"/>
          </w:tcPr>
          <w:p w14:paraId="23D9BB14" w14:textId="77777777" w:rsidR="005E614D" w:rsidRDefault="000C3A94">
            <w:r>
              <w:t>Employee benefits</w:t>
            </w:r>
          </w:p>
        </w:tc>
        <w:tc>
          <w:tcPr>
            <w:tcW w:w="851" w:type="dxa"/>
          </w:tcPr>
          <w:p w14:paraId="72EAA423" w14:textId="77777777" w:rsidR="005E614D" w:rsidRDefault="000C3A94">
            <w:pPr>
              <w:cnfStyle w:val="000000000000" w:firstRow="0" w:lastRow="0" w:firstColumn="0" w:lastColumn="0" w:oddVBand="0" w:evenVBand="0" w:oddHBand="0" w:evenHBand="0" w:firstRowFirstColumn="0" w:firstRowLastColumn="0" w:lastRowFirstColumn="0" w:lastRowLastColumn="0"/>
            </w:pPr>
            <w:r>
              <w:t>10 920</w:t>
            </w:r>
          </w:p>
        </w:tc>
        <w:tc>
          <w:tcPr>
            <w:tcW w:w="850" w:type="dxa"/>
          </w:tcPr>
          <w:p w14:paraId="2EA7C38F" w14:textId="77777777" w:rsidR="005E614D" w:rsidRDefault="000C3A94">
            <w:pPr>
              <w:cnfStyle w:val="000000000000" w:firstRow="0" w:lastRow="0" w:firstColumn="0" w:lastColumn="0" w:oddVBand="0" w:evenVBand="0" w:oddHBand="0" w:evenHBand="0" w:firstRowFirstColumn="0" w:firstRowLastColumn="0" w:lastRowFirstColumn="0" w:lastRowLastColumn="0"/>
            </w:pPr>
            <w:r>
              <w:t>11 476</w:t>
            </w:r>
          </w:p>
        </w:tc>
        <w:tc>
          <w:tcPr>
            <w:tcW w:w="851" w:type="dxa"/>
          </w:tcPr>
          <w:p w14:paraId="75060DB4" w14:textId="77777777" w:rsidR="005E614D" w:rsidRDefault="000C3A94">
            <w:pPr>
              <w:cnfStyle w:val="000000000000" w:firstRow="0" w:lastRow="0" w:firstColumn="0" w:lastColumn="0" w:oddVBand="0" w:evenVBand="0" w:oddHBand="0" w:evenHBand="0" w:firstRowFirstColumn="0" w:firstRowLastColumn="0" w:lastRowFirstColumn="0" w:lastRowLastColumn="0"/>
            </w:pPr>
            <w:r>
              <w:t>12 070</w:t>
            </w:r>
          </w:p>
        </w:tc>
        <w:tc>
          <w:tcPr>
            <w:tcW w:w="850" w:type="dxa"/>
          </w:tcPr>
          <w:p w14:paraId="04489A8C" w14:textId="77777777" w:rsidR="005E614D" w:rsidRDefault="000C3A94">
            <w:pPr>
              <w:cnfStyle w:val="000000000000" w:firstRow="0" w:lastRow="0" w:firstColumn="0" w:lastColumn="0" w:oddVBand="0" w:evenVBand="0" w:oddHBand="0" w:evenHBand="0" w:firstRowFirstColumn="0" w:firstRowLastColumn="0" w:lastRowFirstColumn="0" w:lastRowLastColumn="0"/>
            </w:pPr>
            <w:r>
              <w:t>1 150</w:t>
            </w:r>
          </w:p>
        </w:tc>
        <w:tc>
          <w:tcPr>
            <w:tcW w:w="709" w:type="dxa"/>
          </w:tcPr>
          <w:p w14:paraId="705D8C8D" w14:textId="77777777" w:rsidR="005E614D" w:rsidRDefault="000C3A94">
            <w:pPr>
              <w:cnfStyle w:val="000000000000" w:firstRow="0" w:lastRow="0" w:firstColumn="0" w:lastColumn="0" w:oddVBand="0" w:evenVBand="0" w:oddHBand="0" w:evenHBand="0" w:firstRowFirstColumn="0" w:firstRowLastColumn="0" w:lastRowFirstColumn="0" w:lastRowLastColumn="0"/>
            </w:pPr>
            <w:r>
              <w:t>11</w:t>
            </w:r>
          </w:p>
        </w:tc>
        <w:tc>
          <w:tcPr>
            <w:tcW w:w="850" w:type="dxa"/>
          </w:tcPr>
          <w:p w14:paraId="4FE5F70E" w14:textId="77777777" w:rsidR="005E614D" w:rsidRDefault="000C3A94">
            <w:pPr>
              <w:cnfStyle w:val="000000000000" w:firstRow="0" w:lastRow="0" w:firstColumn="0" w:lastColumn="0" w:oddVBand="0" w:evenVBand="0" w:oddHBand="0" w:evenHBand="0" w:firstRowFirstColumn="0" w:firstRowLastColumn="0" w:lastRowFirstColumn="0" w:lastRowLastColumn="0"/>
            </w:pPr>
            <w:r>
              <w:t>594</w:t>
            </w:r>
          </w:p>
        </w:tc>
        <w:tc>
          <w:tcPr>
            <w:tcW w:w="566" w:type="dxa"/>
          </w:tcPr>
          <w:p w14:paraId="4443BB6A"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r>
      <w:tr w:rsidR="005E614D" w14:paraId="2BF87A7B" w14:textId="77777777">
        <w:tc>
          <w:tcPr>
            <w:cnfStyle w:val="001000000000" w:firstRow="0" w:lastRow="0" w:firstColumn="1" w:lastColumn="0" w:oddVBand="0" w:evenVBand="0" w:oddHBand="0" w:evenHBand="0" w:firstRowFirstColumn="0" w:firstRowLastColumn="0" w:lastRowFirstColumn="0" w:lastRowLastColumn="0"/>
            <w:tcW w:w="4111" w:type="dxa"/>
          </w:tcPr>
          <w:p w14:paraId="54B58946" w14:textId="77777777" w:rsidR="005E614D" w:rsidRDefault="000C3A94">
            <w:r>
              <w:t>Superannuation</w:t>
            </w:r>
          </w:p>
        </w:tc>
        <w:tc>
          <w:tcPr>
            <w:tcW w:w="851" w:type="dxa"/>
          </w:tcPr>
          <w:p w14:paraId="53602DCD" w14:textId="77777777" w:rsidR="005E614D" w:rsidRDefault="000C3A94">
            <w:pPr>
              <w:cnfStyle w:val="000000000000" w:firstRow="0" w:lastRow="0" w:firstColumn="0" w:lastColumn="0" w:oddVBand="0" w:evenVBand="0" w:oddHBand="0" w:evenHBand="0" w:firstRowFirstColumn="0" w:firstRowLastColumn="0" w:lastRowFirstColumn="0" w:lastRowLastColumn="0"/>
            </w:pPr>
            <w:r>
              <w:t>19 330</w:t>
            </w:r>
          </w:p>
        </w:tc>
        <w:tc>
          <w:tcPr>
            <w:tcW w:w="850" w:type="dxa"/>
          </w:tcPr>
          <w:p w14:paraId="2BC9F67A" w14:textId="77777777" w:rsidR="005E614D" w:rsidRDefault="000C3A94">
            <w:pPr>
              <w:cnfStyle w:val="000000000000" w:firstRow="0" w:lastRow="0" w:firstColumn="0" w:lastColumn="0" w:oddVBand="0" w:evenVBand="0" w:oddHBand="0" w:evenHBand="0" w:firstRowFirstColumn="0" w:firstRowLastColumn="0" w:lastRowFirstColumn="0" w:lastRowLastColumn="0"/>
            </w:pPr>
            <w:r>
              <w:t>17 399</w:t>
            </w:r>
          </w:p>
        </w:tc>
        <w:tc>
          <w:tcPr>
            <w:tcW w:w="851" w:type="dxa"/>
          </w:tcPr>
          <w:p w14:paraId="7E017A76"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c>
          <w:tcPr>
            <w:tcW w:w="850" w:type="dxa"/>
          </w:tcPr>
          <w:p w14:paraId="19C40066" w14:textId="77777777" w:rsidR="005E614D" w:rsidRDefault="000C3A94">
            <w:pPr>
              <w:cnfStyle w:val="000000000000" w:firstRow="0" w:lastRow="0" w:firstColumn="0" w:lastColumn="0" w:oddVBand="0" w:evenVBand="0" w:oddHBand="0" w:evenHBand="0" w:firstRowFirstColumn="0" w:firstRowLastColumn="0" w:lastRowFirstColumn="0" w:lastRowLastColumn="0"/>
            </w:pPr>
            <w:r>
              <w:t>(1 046)</w:t>
            </w:r>
          </w:p>
        </w:tc>
        <w:tc>
          <w:tcPr>
            <w:tcW w:w="709" w:type="dxa"/>
          </w:tcPr>
          <w:p w14:paraId="0F500287"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0B7DB4BC" w14:textId="77777777" w:rsidR="005E614D" w:rsidRDefault="000C3A94">
            <w:pPr>
              <w:cnfStyle w:val="000000000000" w:firstRow="0" w:lastRow="0" w:firstColumn="0" w:lastColumn="0" w:oddVBand="0" w:evenVBand="0" w:oddHBand="0" w:evenHBand="0" w:firstRowFirstColumn="0" w:firstRowLastColumn="0" w:lastRowFirstColumn="0" w:lastRowLastColumn="0"/>
            </w:pPr>
            <w:r>
              <w:t>885</w:t>
            </w:r>
          </w:p>
        </w:tc>
        <w:tc>
          <w:tcPr>
            <w:tcW w:w="566" w:type="dxa"/>
          </w:tcPr>
          <w:p w14:paraId="708B52E8"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r>
      <w:tr w:rsidR="005E614D" w14:paraId="6354C498" w14:textId="77777777">
        <w:tc>
          <w:tcPr>
            <w:cnfStyle w:val="001000000000" w:firstRow="0" w:lastRow="0" w:firstColumn="1" w:lastColumn="0" w:oddVBand="0" w:evenVBand="0" w:oddHBand="0" w:evenHBand="0" w:firstRowFirstColumn="0" w:firstRowLastColumn="0" w:lastRowFirstColumn="0" w:lastRowLastColumn="0"/>
            <w:tcW w:w="4111" w:type="dxa"/>
          </w:tcPr>
          <w:p w14:paraId="767F7F3F" w14:textId="77777777" w:rsidR="005E614D" w:rsidRDefault="000C3A94">
            <w:r>
              <w:t>Other provisions</w:t>
            </w:r>
          </w:p>
        </w:tc>
        <w:tc>
          <w:tcPr>
            <w:tcW w:w="851" w:type="dxa"/>
          </w:tcPr>
          <w:p w14:paraId="1441876E" w14:textId="77777777" w:rsidR="005E614D" w:rsidRDefault="000C3A94">
            <w:pPr>
              <w:cnfStyle w:val="000000000000" w:firstRow="0" w:lastRow="0" w:firstColumn="0" w:lastColumn="0" w:oddVBand="0" w:evenVBand="0" w:oddHBand="0" w:evenHBand="0" w:firstRowFirstColumn="0" w:firstRowLastColumn="0" w:lastRowFirstColumn="0" w:lastRowLastColumn="0"/>
            </w:pPr>
            <w:r>
              <w:t>2 581</w:t>
            </w:r>
          </w:p>
        </w:tc>
        <w:tc>
          <w:tcPr>
            <w:tcW w:w="850" w:type="dxa"/>
          </w:tcPr>
          <w:p w14:paraId="30F53E09" w14:textId="77777777" w:rsidR="005E614D" w:rsidRDefault="000C3A94">
            <w:pPr>
              <w:cnfStyle w:val="000000000000" w:firstRow="0" w:lastRow="0" w:firstColumn="0" w:lastColumn="0" w:oddVBand="0" w:evenVBand="0" w:oddHBand="0" w:evenHBand="0" w:firstRowFirstColumn="0" w:firstRowLastColumn="0" w:lastRowFirstColumn="0" w:lastRowLastColumn="0"/>
            </w:pPr>
            <w:r>
              <w:t>3 056</w:t>
            </w:r>
          </w:p>
        </w:tc>
        <w:tc>
          <w:tcPr>
            <w:tcW w:w="851" w:type="dxa"/>
          </w:tcPr>
          <w:p w14:paraId="4B59A627" w14:textId="77777777" w:rsidR="005E614D" w:rsidRDefault="000C3A94">
            <w:pPr>
              <w:cnfStyle w:val="000000000000" w:firstRow="0" w:lastRow="0" w:firstColumn="0" w:lastColumn="0" w:oddVBand="0" w:evenVBand="0" w:oddHBand="0" w:evenHBand="0" w:firstRowFirstColumn="0" w:firstRowLastColumn="0" w:lastRowFirstColumn="0" w:lastRowLastColumn="0"/>
            </w:pPr>
            <w:r>
              <w:t>3 762</w:t>
            </w:r>
          </w:p>
        </w:tc>
        <w:tc>
          <w:tcPr>
            <w:tcW w:w="850" w:type="dxa"/>
          </w:tcPr>
          <w:p w14:paraId="4947F990" w14:textId="77777777" w:rsidR="005E614D" w:rsidRDefault="000C3A94">
            <w:pPr>
              <w:cnfStyle w:val="000000000000" w:firstRow="0" w:lastRow="0" w:firstColumn="0" w:lastColumn="0" w:oddVBand="0" w:evenVBand="0" w:oddHBand="0" w:evenHBand="0" w:firstRowFirstColumn="0" w:firstRowLastColumn="0" w:lastRowFirstColumn="0" w:lastRowLastColumn="0"/>
            </w:pPr>
            <w:r>
              <w:t>1 181</w:t>
            </w:r>
          </w:p>
        </w:tc>
        <w:tc>
          <w:tcPr>
            <w:tcW w:w="709" w:type="dxa"/>
          </w:tcPr>
          <w:p w14:paraId="693DE985" w14:textId="77777777" w:rsidR="005E614D" w:rsidRDefault="000C3A94">
            <w:pPr>
              <w:cnfStyle w:val="000000000000" w:firstRow="0" w:lastRow="0" w:firstColumn="0" w:lastColumn="0" w:oddVBand="0" w:evenVBand="0" w:oddHBand="0" w:evenHBand="0" w:firstRowFirstColumn="0" w:firstRowLastColumn="0" w:lastRowFirstColumn="0" w:lastRowLastColumn="0"/>
            </w:pPr>
            <w:r>
              <w:t>46</w:t>
            </w:r>
          </w:p>
        </w:tc>
        <w:tc>
          <w:tcPr>
            <w:tcW w:w="850" w:type="dxa"/>
          </w:tcPr>
          <w:p w14:paraId="073475DA" w14:textId="77777777" w:rsidR="005E614D" w:rsidRDefault="000C3A94">
            <w:pPr>
              <w:cnfStyle w:val="000000000000" w:firstRow="0" w:lastRow="0" w:firstColumn="0" w:lastColumn="0" w:oddVBand="0" w:evenVBand="0" w:oddHBand="0" w:evenHBand="0" w:firstRowFirstColumn="0" w:firstRowLastColumn="0" w:lastRowFirstColumn="0" w:lastRowLastColumn="0"/>
            </w:pPr>
            <w:r>
              <w:t>707</w:t>
            </w:r>
          </w:p>
        </w:tc>
        <w:tc>
          <w:tcPr>
            <w:tcW w:w="566" w:type="dxa"/>
          </w:tcPr>
          <w:p w14:paraId="0299DA35" w14:textId="77777777" w:rsidR="005E614D" w:rsidRDefault="000C3A94">
            <w:pPr>
              <w:cnfStyle w:val="000000000000" w:firstRow="0" w:lastRow="0" w:firstColumn="0" w:lastColumn="0" w:oddVBand="0" w:evenVBand="0" w:oddHBand="0" w:evenHBand="0" w:firstRowFirstColumn="0" w:firstRowLastColumn="0" w:lastRowFirstColumn="0" w:lastRowLastColumn="0"/>
            </w:pPr>
            <w:r>
              <w:t>23</w:t>
            </w:r>
          </w:p>
        </w:tc>
      </w:tr>
      <w:tr w:rsidR="005E614D" w14:paraId="155B2A34"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4606F4E8" w14:textId="77777777" w:rsidR="005E614D" w:rsidRDefault="000C3A94">
            <w:r>
              <w:t>Other liabilities</w:t>
            </w:r>
          </w:p>
        </w:tc>
        <w:tc>
          <w:tcPr>
            <w:tcW w:w="851" w:type="dxa"/>
            <w:tcBorders>
              <w:bottom w:val="single" w:sz="6" w:space="0" w:color="auto"/>
            </w:tcBorders>
          </w:tcPr>
          <w:p w14:paraId="13EE322A" w14:textId="77777777" w:rsidR="005E614D" w:rsidRDefault="000C3A94">
            <w:pPr>
              <w:cnfStyle w:val="000000000000" w:firstRow="0" w:lastRow="0" w:firstColumn="0" w:lastColumn="0" w:oddVBand="0" w:evenVBand="0" w:oddHBand="0" w:evenHBand="0" w:firstRowFirstColumn="0" w:firstRowLastColumn="0" w:lastRowFirstColumn="0" w:lastRowLastColumn="0"/>
            </w:pPr>
            <w:r>
              <w:t>21 862</w:t>
            </w:r>
          </w:p>
        </w:tc>
        <w:tc>
          <w:tcPr>
            <w:tcW w:w="850" w:type="dxa"/>
            <w:tcBorders>
              <w:bottom w:val="single" w:sz="6" w:space="0" w:color="auto"/>
            </w:tcBorders>
          </w:tcPr>
          <w:p w14:paraId="34072C7B" w14:textId="77777777" w:rsidR="005E614D" w:rsidRDefault="000C3A94">
            <w:pPr>
              <w:cnfStyle w:val="000000000000" w:firstRow="0" w:lastRow="0" w:firstColumn="0" w:lastColumn="0" w:oddVBand="0" w:evenVBand="0" w:oddHBand="0" w:evenHBand="0" w:firstRowFirstColumn="0" w:firstRowLastColumn="0" w:lastRowFirstColumn="0" w:lastRowLastColumn="0"/>
            </w:pPr>
            <w:r>
              <w:t>22 032</w:t>
            </w:r>
          </w:p>
        </w:tc>
        <w:tc>
          <w:tcPr>
            <w:tcW w:w="851" w:type="dxa"/>
            <w:tcBorders>
              <w:bottom w:val="single" w:sz="6" w:space="0" w:color="auto"/>
            </w:tcBorders>
          </w:tcPr>
          <w:p w14:paraId="12423F81"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22 470</w:t>
            </w:r>
          </w:p>
        </w:tc>
        <w:tc>
          <w:tcPr>
            <w:tcW w:w="850" w:type="dxa"/>
            <w:tcBorders>
              <w:bottom w:val="single" w:sz="6" w:space="0" w:color="auto"/>
            </w:tcBorders>
          </w:tcPr>
          <w:p w14:paraId="128B0305" w14:textId="77777777" w:rsidR="005E614D" w:rsidRDefault="000C3A94">
            <w:pPr>
              <w:cnfStyle w:val="000000000000" w:firstRow="0" w:lastRow="0" w:firstColumn="0" w:lastColumn="0" w:oddVBand="0" w:evenVBand="0" w:oddHBand="0" w:evenHBand="0" w:firstRowFirstColumn="0" w:firstRowLastColumn="0" w:lastRowFirstColumn="0" w:lastRowLastColumn="0"/>
            </w:pPr>
            <w:r>
              <w:t>608</w:t>
            </w:r>
          </w:p>
        </w:tc>
        <w:tc>
          <w:tcPr>
            <w:tcW w:w="709" w:type="dxa"/>
            <w:tcBorders>
              <w:bottom w:val="single" w:sz="6" w:space="0" w:color="auto"/>
            </w:tcBorders>
          </w:tcPr>
          <w:p w14:paraId="79FF9168"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850" w:type="dxa"/>
            <w:tcBorders>
              <w:bottom w:val="single" w:sz="6" w:space="0" w:color="auto"/>
            </w:tcBorders>
          </w:tcPr>
          <w:p w14:paraId="5C7A44A1" w14:textId="77777777" w:rsidR="005E614D" w:rsidRDefault="000C3A94">
            <w:pPr>
              <w:cnfStyle w:val="000000000000" w:firstRow="0" w:lastRow="0" w:firstColumn="0" w:lastColumn="0" w:oddVBand="0" w:evenVBand="0" w:oddHBand="0" w:evenHBand="0" w:firstRowFirstColumn="0" w:firstRowLastColumn="0" w:lastRowFirstColumn="0" w:lastRowLastColumn="0"/>
            </w:pPr>
            <w:r>
              <w:t>438</w:t>
            </w:r>
          </w:p>
        </w:tc>
        <w:tc>
          <w:tcPr>
            <w:tcW w:w="566" w:type="dxa"/>
            <w:tcBorders>
              <w:bottom w:val="single" w:sz="6" w:space="0" w:color="auto"/>
            </w:tcBorders>
          </w:tcPr>
          <w:p w14:paraId="59A7CC72"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161F91F5"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656EB8DF" w14:textId="77777777" w:rsidR="005E614D" w:rsidRDefault="000C3A94">
            <w:r>
              <w:rPr>
                <w:b/>
              </w:rPr>
              <w:t>Total liabilities</w:t>
            </w:r>
          </w:p>
        </w:tc>
        <w:tc>
          <w:tcPr>
            <w:tcW w:w="851" w:type="dxa"/>
            <w:tcBorders>
              <w:top w:val="single" w:sz="6" w:space="0" w:color="auto"/>
              <w:bottom w:val="single" w:sz="6" w:space="0" w:color="auto"/>
            </w:tcBorders>
          </w:tcPr>
          <w:p w14:paraId="63B734C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251 174</w:t>
            </w:r>
          </w:p>
        </w:tc>
        <w:tc>
          <w:tcPr>
            <w:tcW w:w="850" w:type="dxa"/>
            <w:tcBorders>
              <w:top w:val="single" w:sz="6" w:space="0" w:color="auto"/>
              <w:bottom w:val="single" w:sz="6" w:space="0" w:color="auto"/>
            </w:tcBorders>
          </w:tcPr>
          <w:p w14:paraId="066F9F9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250 459</w:t>
            </w:r>
          </w:p>
        </w:tc>
        <w:tc>
          <w:tcPr>
            <w:tcW w:w="851" w:type="dxa"/>
            <w:tcBorders>
              <w:top w:val="single" w:sz="6" w:space="0" w:color="auto"/>
              <w:bottom w:val="single" w:sz="6" w:space="0" w:color="auto"/>
            </w:tcBorders>
          </w:tcPr>
          <w:p w14:paraId="034B192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250 999</w:t>
            </w:r>
          </w:p>
        </w:tc>
        <w:tc>
          <w:tcPr>
            <w:tcW w:w="850" w:type="dxa"/>
            <w:tcBorders>
              <w:top w:val="single" w:sz="6" w:space="0" w:color="auto"/>
              <w:bottom w:val="single" w:sz="6" w:space="0" w:color="auto"/>
            </w:tcBorders>
          </w:tcPr>
          <w:p w14:paraId="73110C8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(175)</w:t>
            </w:r>
          </w:p>
        </w:tc>
        <w:tc>
          <w:tcPr>
            <w:tcW w:w="709" w:type="dxa"/>
            <w:tcBorders>
              <w:top w:val="single" w:sz="6" w:space="0" w:color="auto"/>
              <w:bottom w:val="single" w:sz="6" w:space="0" w:color="auto"/>
            </w:tcBorders>
          </w:tcPr>
          <w:p w14:paraId="701AF16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Borders>
              <w:top w:val="single" w:sz="6" w:space="0" w:color="auto"/>
              <w:bottom w:val="single" w:sz="6" w:space="0" w:color="auto"/>
            </w:tcBorders>
          </w:tcPr>
          <w:p w14:paraId="54AB390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539</w:t>
            </w:r>
          </w:p>
        </w:tc>
        <w:tc>
          <w:tcPr>
            <w:tcW w:w="566" w:type="dxa"/>
            <w:tcBorders>
              <w:top w:val="single" w:sz="6" w:space="0" w:color="auto"/>
              <w:bottom w:val="single" w:sz="6" w:space="0" w:color="auto"/>
            </w:tcBorders>
          </w:tcPr>
          <w:p w14:paraId="47B8C30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r>
      <w:tr w:rsidR="005E614D" w14:paraId="1D19FE45"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542F1B60" w14:textId="77777777" w:rsidR="005E614D" w:rsidRDefault="000C3A94">
            <w:r>
              <w:rPr>
                <w:b/>
              </w:rPr>
              <w:t>Net assets</w:t>
            </w:r>
          </w:p>
        </w:tc>
        <w:tc>
          <w:tcPr>
            <w:tcW w:w="851" w:type="dxa"/>
            <w:tcBorders>
              <w:top w:val="single" w:sz="6" w:space="0" w:color="auto"/>
              <w:bottom w:val="single" w:sz="6" w:space="0" w:color="auto"/>
            </w:tcBorders>
          </w:tcPr>
          <w:p w14:paraId="2E3A14A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178 332</w:t>
            </w:r>
          </w:p>
        </w:tc>
        <w:tc>
          <w:tcPr>
            <w:tcW w:w="850" w:type="dxa"/>
            <w:tcBorders>
              <w:top w:val="single" w:sz="6" w:space="0" w:color="auto"/>
              <w:bottom w:val="single" w:sz="6" w:space="0" w:color="auto"/>
            </w:tcBorders>
          </w:tcPr>
          <w:p w14:paraId="05364DC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189 642</w:t>
            </w:r>
          </w:p>
        </w:tc>
        <w:tc>
          <w:tcPr>
            <w:tcW w:w="851" w:type="dxa"/>
            <w:tcBorders>
              <w:top w:val="single" w:sz="6" w:space="0" w:color="auto"/>
              <w:bottom w:val="single" w:sz="6" w:space="0" w:color="auto"/>
            </w:tcBorders>
          </w:tcPr>
          <w:p w14:paraId="0F52138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850" w:type="dxa"/>
            <w:tcBorders>
              <w:top w:val="single" w:sz="6" w:space="0" w:color="auto"/>
              <w:bottom w:val="single" w:sz="6" w:space="0" w:color="auto"/>
            </w:tcBorders>
          </w:tcPr>
          <w:p w14:paraId="5AC4B64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10 974</w:t>
            </w:r>
          </w:p>
        </w:tc>
        <w:tc>
          <w:tcPr>
            <w:tcW w:w="709" w:type="dxa"/>
            <w:tcBorders>
              <w:top w:val="single" w:sz="6" w:space="0" w:color="auto"/>
              <w:bottom w:val="single" w:sz="6" w:space="0" w:color="auto"/>
            </w:tcBorders>
          </w:tcPr>
          <w:p w14:paraId="47929D0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bottom w:val="single" w:sz="6" w:space="0" w:color="auto"/>
            </w:tcBorders>
          </w:tcPr>
          <w:p w14:paraId="5E9E4B4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(335)</w:t>
            </w:r>
          </w:p>
        </w:tc>
        <w:tc>
          <w:tcPr>
            <w:tcW w:w="566" w:type="dxa"/>
            <w:tcBorders>
              <w:top w:val="single" w:sz="6" w:space="0" w:color="auto"/>
              <w:bottom w:val="single" w:sz="6" w:space="0" w:color="auto"/>
            </w:tcBorders>
          </w:tcPr>
          <w:p w14:paraId="79BB2F7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r>
      <w:tr w:rsidR="005E614D" w14:paraId="6700E029"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093C5C89" w14:textId="77777777" w:rsidR="005E614D" w:rsidRDefault="000C3A94">
            <w:r>
              <w:rPr>
                <w:b/>
              </w:rPr>
              <w:t>Equity</w:t>
            </w:r>
          </w:p>
        </w:tc>
        <w:tc>
          <w:tcPr>
            <w:tcW w:w="851" w:type="dxa"/>
            <w:tcBorders>
              <w:top w:val="single" w:sz="6" w:space="0" w:color="auto"/>
            </w:tcBorders>
          </w:tcPr>
          <w:p w14:paraId="6BB6A17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85D978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198A86D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7263781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6D02D49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20A33ED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Borders>
              <w:top w:val="single" w:sz="6" w:space="0" w:color="auto"/>
            </w:tcBorders>
          </w:tcPr>
          <w:p w14:paraId="31AD78D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CF4468B" w14:textId="77777777">
        <w:tc>
          <w:tcPr>
            <w:cnfStyle w:val="001000000000" w:firstRow="0" w:lastRow="0" w:firstColumn="1" w:lastColumn="0" w:oddVBand="0" w:evenVBand="0" w:oddHBand="0" w:evenHBand="0" w:firstRowFirstColumn="0" w:firstRowLastColumn="0" w:lastRowFirstColumn="0" w:lastRowLastColumn="0"/>
            <w:tcW w:w="4111" w:type="dxa"/>
          </w:tcPr>
          <w:p w14:paraId="27A476DD" w14:textId="77777777" w:rsidR="005E614D" w:rsidRDefault="000C3A94">
            <w:r>
              <w:t>Accumulated surplus/(deficit)</w:t>
            </w:r>
          </w:p>
        </w:tc>
        <w:tc>
          <w:tcPr>
            <w:tcW w:w="851" w:type="dxa"/>
          </w:tcPr>
          <w:p w14:paraId="6B70BA53" w14:textId="77777777" w:rsidR="005E614D" w:rsidRDefault="000C3A94">
            <w:pPr>
              <w:cnfStyle w:val="000000000000" w:firstRow="0" w:lastRow="0" w:firstColumn="0" w:lastColumn="0" w:oddVBand="0" w:evenVBand="0" w:oddHBand="0" w:evenHBand="0" w:firstRowFirstColumn="0" w:firstRowLastColumn="0" w:lastRowFirstColumn="0" w:lastRowLastColumn="0"/>
            </w:pPr>
            <w:r>
              <w:t>39 663</w:t>
            </w:r>
          </w:p>
        </w:tc>
        <w:tc>
          <w:tcPr>
            <w:tcW w:w="850" w:type="dxa"/>
          </w:tcPr>
          <w:p w14:paraId="5EA8EB46" w14:textId="77777777" w:rsidR="005E614D" w:rsidRDefault="000C3A94">
            <w:pPr>
              <w:cnfStyle w:val="000000000000" w:firstRow="0" w:lastRow="0" w:firstColumn="0" w:lastColumn="0" w:oddVBand="0" w:evenVBand="0" w:oddHBand="0" w:evenHBand="0" w:firstRowFirstColumn="0" w:firstRowLastColumn="0" w:lastRowFirstColumn="0" w:lastRowLastColumn="0"/>
            </w:pPr>
            <w:r>
              <w:t>41 178</w:t>
            </w:r>
          </w:p>
        </w:tc>
        <w:tc>
          <w:tcPr>
            <w:tcW w:w="851" w:type="dxa"/>
          </w:tcPr>
          <w:p w14:paraId="1156D6A4" w14:textId="77777777" w:rsidR="005E614D" w:rsidRDefault="000C3A94">
            <w:pPr>
              <w:cnfStyle w:val="000000000000" w:firstRow="0" w:lastRow="0" w:firstColumn="0" w:lastColumn="0" w:oddVBand="0" w:evenVBand="0" w:oddHBand="0" w:evenHBand="0" w:firstRowFirstColumn="0" w:firstRowLastColumn="0" w:lastRowFirstColumn="0" w:lastRowLastColumn="0"/>
            </w:pPr>
            <w:r>
              <w:t>41 982</w:t>
            </w:r>
          </w:p>
        </w:tc>
        <w:tc>
          <w:tcPr>
            <w:tcW w:w="850" w:type="dxa"/>
          </w:tcPr>
          <w:p w14:paraId="4B750EDE" w14:textId="77777777" w:rsidR="005E614D" w:rsidRDefault="000C3A94">
            <w:pPr>
              <w:cnfStyle w:val="000000000000" w:firstRow="0" w:lastRow="0" w:firstColumn="0" w:lastColumn="0" w:oddVBand="0" w:evenVBand="0" w:oddHBand="0" w:evenHBand="0" w:firstRowFirstColumn="0" w:firstRowLastColumn="0" w:lastRowFirstColumn="0" w:lastRowLastColumn="0"/>
            </w:pPr>
            <w:r>
              <w:t>2 319</w:t>
            </w:r>
          </w:p>
        </w:tc>
        <w:tc>
          <w:tcPr>
            <w:tcW w:w="709" w:type="dxa"/>
          </w:tcPr>
          <w:p w14:paraId="64C84AD0" w14:textId="77777777" w:rsidR="005E614D" w:rsidRDefault="000C3A94">
            <w:pPr>
              <w:cnfStyle w:val="000000000000" w:firstRow="0" w:lastRow="0" w:firstColumn="0" w:lastColumn="0" w:oddVBand="0" w:evenVBand="0" w:oddHBand="0" w:evenHBand="0" w:firstRowFirstColumn="0" w:firstRowLastColumn="0" w:lastRowFirstColumn="0" w:lastRowLastColumn="0"/>
            </w:pPr>
            <w:r>
              <w:t>6</w:t>
            </w:r>
          </w:p>
        </w:tc>
        <w:tc>
          <w:tcPr>
            <w:tcW w:w="850" w:type="dxa"/>
          </w:tcPr>
          <w:p w14:paraId="72EB0A8A" w14:textId="77777777" w:rsidR="005E614D" w:rsidRDefault="000C3A94">
            <w:pPr>
              <w:cnfStyle w:val="000000000000" w:firstRow="0" w:lastRow="0" w:firstColumn="0" w:lastColumn="0" w:oddVBand="0" w:evenVBand="0" w:oddHBand="0" w:evenHBand="0" w:firstRowFirstColumn="0" w:firstRowLastColumn="0" w:lastRowFirstColumn="0" w:lastRowLastColumn="0"/>
            </w:pPr>
            <w:r>
              <w:t>804</w:t>
            </w:r>
          </w:p>
        </w:tc>
        <w:tc>
          <w:tcPr>
            <w:tcW w:w="566" w:type="dxa"/>
          </w:tcPr>
          <w:p w14:paraId="3E004F70"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11898084"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32430795" w14:textId="77777777" w:rsidR="005E614D" w:rsidRDefault="000C3A94">
            <w:r>
              <w:t>Reserves</w:t>
            </w:r>
          </w:p>
        </w:tc>
        <w:tc>
          <w:tcPr>
            <w:tcW w:w="851" w:type="dxa"/>
            <w:tcBorders>
              <w:bottom w:val="single" w:sz="6" w:space="0" w:color="auto"/>
            </w:tcBorders>
          </w:tcPr>
          <w:p w14:paraId="5086A4BD" w14:textId="77777777" w:rsidR="005E614D" w:rsidRDefault="000C3A94">
            <w:pPr>
              <w:cnfStyle w:val="000000000000" w:firstRow="0" w:lastRow="0" w:firstColumn="0" w:lastColumn="0" w:oddVBand="0" w:evenVBand="0" w:oddHBand="0" w:evenHBand="0" w:firstRowFirstColumn="0" w:firstRowLastColumn="0" w:lastRowFirstColumn="0" w:lastRowLastColumn="0"/>
            </w:pPr>
            <w:r>
              <w:t>138 670</w:t>
            </w:r>
          </w:p>
        </w:tc>
        <w:tc>
          <w:tcPr>
            <w:tcW w:w="850" w:type="dxa"/>
            <w:tcBorders>
              <w:bottom w:val="single" w:sz="6" w:space="0" w:color="auto"/>
            </w:tcBorders>
          </w:tcPr>
          <w:p w14:paraId="586AB6AF" w14:textId="77777777" w:rsidR="005E614D" w:rsidRDefault="000C3A94">
            <w:pPr>
              <w:cnfStyle w:val="000000000000" w:firstRow="0" w:lastRow="0" w:firstColumn="0" w:lastColumn="0" w:oddVBand="0" w:evenVBand="0" w:oddHBand="0" w:evenHBand="0" w:firstRowFirstColumn="0" w:firstRowLastColumn="0" w:lastRowFirstColumn="0" w:lastRowLastColumn="0"/>
            </w:pPr>
            <w:r>
              <w:t>148 464</w:t>
            </w:r>
          </w:p>
        </w:tc>
        <w:tc>
          <w:tcPr>
            <w:tcW w:w="851" w:type="dxa"/>
            <w:tcBorders>
              <w:bottom w:val="single" w:sz="6" w:space="0" w:color="auto"/>
            </w:tcBorders>
          </w:tcPr>
          <w:p w14:paraId="10EF311E" w14:textId="77777777" w:rsidR="005E614D" w:rsidRDefault="000C3A94">
            <w:pPr>
              <w:cnfStyle w:val="000000000000" w:firstRow="0" w:lastRow="0" w:firstColumn="0" w:lastColumn="0" w:oddVBand="0" w:evenVBand="0" w:oddHBand="0" w:evenHBand="0" w:firstRowFirstColumn="0" w:firstRowLastColumn="0" w:lastRowFirstColumn="0" w:lastRowLastColumn="0"/>
            </w:pPr>
            <w:r>
              <w:t>147 325</w:t>
            </w:r>
          </w:p>
        </w:tc>
        <w:tc>
          <w:tcPr>
            <w:tcW w:w="850" w:type="dxa"/>
            <w:tcBorders>
              <w:bottom w:val="single" w:sz="6" w:space="0" w:color="auto"/>
            </w:tcBorders>
          </w:tcPr>
          <w:p w14:paraId="433C01B2" w14:textId="77777777" w:rsidR="005E614D" w:rsidRDefault="000C3A94">
            <w:pPr>
              <w:cnfStyle w:val="000000000000" w:firstRow="0" w:lastRow="0" w:firstColumn="0" w:lastColumn="0" w:oddVBand="0" w:evenVBand="0" w:oddHBand="0" w:evenHBand="0" w:firstRowFirstColumn="0" w:firstRowLastColumn="0" w:lastRowFirstColumn="0" w:lastRowLastColumn="0"/>
            </w:pPr>
            <w:r>
              <w:t>8 655</w:t>
            </w:r>
          </w:p>
        </w:tc>
        <w:tc>
          <w:tcPr>
            <w:tcW w:w="709" w:type="dxa"/>
            <w:tcBorders>
              <w:bottom w:val="single" w:sz="6" w:space="0" w:color="auto"/>
            </w:tcBorders>
          </w:tcPr>
          <w:p w14:paraId="7019F389" w14:textId="77777777" w:rsidR="005E614D" w:rsidRDefault="000C3A94">
            <w:pPr>
              <w:cnfStyle w:val="000000000000" w:firstRow="0" w:lastRow="0" w:firstColumn="0" w:lastColumn="0" w:oddVBand="0" w:evenVBand="0" w:oddHBand="0" w:evenHBand="0" w:firstRowFirstColumn="0" w:firstRowLastColumn="0" w:lastRowFirstColumn="0" w:lastRowLastColumn="0"/>
            </w:pPr>
            <w:r>
              <w:t>6</w:t>
            </w:r>
          </w:p>
        </w:tc>
        <w:tc>
          <w:tcPr>
            <w:tcW w:w="850" w:type="dxa"/>
            <w:tcBorders>
              <w:bottom w:val="single" w:sz="6" w:space="0" w:color="auto"/>
            </w:tcBorders>
          </w:tcPr>
          <w:p w14:paraId="2EA0C1DC"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(1 140)</w:t>
            </w:r>
          </w:p>
        </w:tc>
        <w:tc>
          <w:tcPr>
            <w:tcW w:w="566" w:type="dxa"/>
            <w:tcBorders>
              <w:bottom w:val="single" w:sz="6" w:space="0" w:color="auto"/>
            </w:tcBorders>
          </w:tcPr>
          <w:p w14:paraId="6839EEC2"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42D151F8" w14:textId="77777777" w:rsidTr="004A2065">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6313FAFA" w14:textId="77777777" w:rsidR="005E614D" w:rsidRDefault="000C3A94">
            <w:r>
              <w:rPr>
                <w:b/>
              </w:rPr>
              <w:t>Net worth</w:t>
            </w:r>
          </w:p>
        </w:tc>
        <w:tc>
          <w:tcPr>
            <w:tcW w:w="851" w:type="dxa"/>
            <w:tcBorders>
              <w:top w:val="single" w:sz="6" w:space="0" w:color="auto"/>
              <w:bottom w:val="single" w:sz="6" w:space="0" w:color="auto"/>
            </w:tcBorders>
          </w:tcPr>
          <w:p w14:paraId="10903D6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178 332</w:t>
            </w:r>
          </w:p>
        </w:tc>
        <w:tc>
          <w:tcPr>
            <w:tcW w:w="850" w:type="dxa"/>
            <w:tcBorders>
              <w:top w:val="single" w:sz="6" w:space="0" w:color="auto"/>
              <w:bottom w:val="single" w:sz="6" w:space="0" w:color="auto"/>
            </w:tcBorders>
          </w:tcPr>
          <w:p w14:paraId="0890B0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189 642</w:t>
            </w:r>
          </w:p>
        </w:tc>
        <w:tc>
          <w:tcPr>
            <w:tcW w:w="851" w:type="dxa"/>
            <w:tcBorders>
              <w:top w:val="single" w:sz="6" w:space="0" w:color="auto"/>
              <w:bottom w:val="single" w:sz="6" w:space="0" w:color="auto"/>
            </w:tcBorders>
          </w:tcPr>
          <w:p w14:paraId="31DF338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850" w:type="dxa"/>
            <w:tcBorders>
              <w:top w:val="single" w:sz="6" w:space="0" w:color="auto"/>
              <w:bottom w:val="single" w:sz="6" w:space="0" w:color="auto"/>
            </w:tcBorders>
          </w:tcPr>
          <w:p w14:paraId="5AC8C94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10 974</w:t>
            </w:r>
          </w:p>
        </w:tc>
        <w:tc>
          <w:tcPr>
            <w:tcW w:w="709" w:type="dxa"/>
            <w:tcBorders>
              <w:top w:val="single" w:sz="6" w:space="0" w:color="auto"/>
              <w:bottom w:val="single" w:sz="6" w:space="0" w:color="auto"/>
            </w:tcBorders>
          </w:tcPr>
          <w:p w14:paraId="63DEF06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bottom w:val="single" w:sz="6" w:space="0" w:color="auto"/>
            </w:tcBorders>
          </w:tcPr>
          <w:p w14:paraId="7AB9750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(335)</w:t>
            </w:r>
          </w:p>
        </w:tc>
        <w:tc>
          <w:tcPr>
            <w:tcW w:w="566" w:type="dxa"/>
            <w:tcBorders>
              <w:top w:val="single" w:sz="6" w:space="0" w:color="auto"/>
              <w:bottom w:val="single" w:sz="6" w:space="0" w:color="auto"/>
            </w:tcBorders>
          </w:tcPr>
          <w:p w14:paraId="37CCB1E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r>
      <w:tr w:rsidR="005E614D" w14:paraId="537A8302" w14:textId="77777777" w:rsidTr="004A2065">
        <w:trPr>
          <w:trHeight w:hRule="exact" w:val="113"/>
        </w:trPr>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73425E46" w14:textId="77777777" w:rsidR="005E614D" w:rsidRDefault="005E614D"/>
        </w:tc>
        <w:tc>
          <w:tcPr>
            <w:tcW w:w="851" w:type="dxa"/>
            <w:tcBorders>
              <w:top w:val="single" w:sz="6" w:space="0" w:color="auto"/>
            </w:tcBorders>
          </w:tcPr>
          <w:p w14:paraId="542792B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0D33ACD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127A05A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6E3799D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661542C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Borders>
              <w:top w:val="single" w:sz="6" w:space="0" w:color="auto"/>
            </w:tcBorders>
          </w:tcPr>
          <w:p w14:paraId="58AF30A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Borders>
              <w:top w:val="single" w:sz="6" w:space="0" w:color="auto"/>
            </w:tcBorders>
          </w:tcPr>
          <w:p w14:paraId="53EA02C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25A2ADD" w14:textId="77777777">
        <w:tc>
          <w:tcPr>
            <w:cnfStyle w:val="001000000000" w:firstRow="0" w:lastRow="0" w:firstColumn="1" w:lastColumn="0" w:oddVBand="0" w:evenVBand="0" w:oddHBand="0" w:evenHBand="0" w:firstRowFirstColumn="0" w:firstRowLastColumn="0" w:lastRowFirstColumn="0" w:lastRowLastColumn="0"/>
            <w:tcW w:w="4111" w:type="dxa"/>
          </w:tcPr>
          <w:p w14:paraId="1E00CC54" w14:textId="77777777" w:rsidR="005E614D" w:rsidRDefault="000C3A94">
            <w:r>
              <w:rPr>
                <w:b/>
              </w:rPr>
              <w:t>FISCAL AGGREGATES</w:t>
            </w:r>
          </w:p>
        </w:tc>
        <w:tc>
          <w:tcPr>
            <w:tcW w:w="851" w:type="dxa"/>
          </w:tcPr>
          <w:p w14:paraId="1FAB7BD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10BBED2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1486EF6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179A24C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09" w:type="dxa"/>
          </w:tcPr>
          <w:p w14:paraId="0F816CD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0" w:type="dxa"/>
          </w:tcPr>
          <w:p w14:paraId="733839D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566" w:type="dxa"/>
          </w:tcPr>
          <w:p w14:paraId="4F0F8B2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E8793B1" w14:textId="77777777">
        <w:tc>
          <w:tcPr>
            <w:cnfStyle w:val="001000000000" w:firstRow="0" w:lastRow="0" w:firstColumn="1" w:lastColumn="0" w:oddVBand="0" w:evenVBand="0" w:oddHBand="0" w:evenHBand="0" w:firstRowFirstColumn="0" w:firstRowLastColumn="0" w:lastRowFirstColumn="0" w:lastRowLastColumn="0"/>
            <w:tcW w:w="4111" w:type="dxa"/>
          </w:tcPr>
          <w:p w14:paraId="782B3600" w14:textId="77777777" w:rsidR="005E614D" w:rsidRDefault="000C3A94">
            <w:r>
              <w:t>Net financial worth</w:t>
            </w:r>
          </w:p>
        </w:tc>
        <w:tc>
          <w:tcPr>
            <w:tcW w:w="851" w:type="dxa"/>
          </w:tcPr>
          <w:p w14:paraId="2CC39669" w14:textId="77777777" w:rsidR="005E614D" w:rsidRDefault="000C3A94">
            <w:pPr>
              <w:cnfStyle w:val="000000000000" w:firstRow="0" w:lastRow="0" w:firstColumn="0" w:lastColumn="0" w:oddVBand="0" w:evenVBand="0" w:oddHBand="0" w:evenHBand="0" w:firstRowFirstColumn="0" w:firstRowLastColumn="0" w:lastRowFirstColumn="0" w:lastRowLastColumn="0"/>
            </w:pPr>
            <w:r>
              <w:t>(108 355)</w:t>
            </w:r>
          </w:p>
        </w:tc>
        <w:tc>
          <w:tcPr>
            <w:tcW w:w="850" w:type="dxa"/>
          </w:tcPr>
          <w:p w14:paraId="666E1016" w14:textId="77777777" w:rsidR="005E614D" w:rsidRDefault="000C3A94">
            <w:pPr>
              <w:cnfStyle w:val="000000000000" w:firstRow="0" w:lastRow="0" w:firstColumn="0" w:lastColumn="0" w:oddVBand="0" w:evenVBand="0" w:oddHBand="0" w:evenHBand="0" w:firstRowFirstColumn="0" w:firstRowLastColumn="0" w:lastRowFirstColumn="0" w:lastRowLastColumn="0"/>
            </w:pPr>
            <w:r>
              <w:t>(104 423)</w:t>
            </w:r>
          </w:p>
        </w:tc>
        <w:tc>
          <w:tcPr>
            <w:tcW w:w="851" w:type="dxa"/>
          </w:tcPr>
          <w:p w14:paraId="276C02F2" w14:textId="77777777" w:rsidR="005E614D" w:rsidRDefault="000C3A94">
            <w:pPr>
              <w:cnfStyle w:val="000000000000" w:firstRow="0" w:lastRow="0" w:firstColumn="0" w:lastColumn="0" w:oddVBand="0" w:evenVBand="0" w:oddHBand="0" w:evenHBand="0" w:firstRowFirstColumn="0" w:firstRowLastColumn="0" w:lastRowFirstColumn="0" w:lastRowLastColumn="0"/>
            </w:pPr>
            <w:r>
              <w:t>(106 266)</w:t>
            </w:r>
          </w:p>
        </w:tc>
        <w:tc>
          <w:tcPr>
            <w:tcW w:w="850" w:type="dxa"/>
          </w:tcPr>
          <w:p w14:paraId="75B9C76A" w14:textId="77777777" w:rsidR="005E614D" w:rsidRDefault="000C3A94">
            <w:pPr>
              <w:cnfStyle w:val="000000000000" w:firstRow="0" w:lastRow="0" w:firstColumn="0" w:lastColumn="0" w:oddVBand="0" w:evenVBand="0" w:oddHBand="0" w:evenHBand="0" w:firstRowFirstColumn="0" w:firstRowLastColumn="0" w:lastRowFirstColumn="0" w:lastRowLastColumn="0"/>
            </w:pPr>
            <w:r>
              <w:t>2 089</w:t>
            </w:r>
          </w:p>
        </w:tc>
        <w:tc>
          <w:tcPr>
            <w:tcW w:w="709" w:type="dxa"/>
          </w:tcPr>
          <w:p w14:paraId="732434FA"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4F11443E" w14:textId="77777777" w:rsidR="005E614D" w:rsidRDefault="000C3A94">
            <w:pPr>
              <w:cnfStyle w:val="000000000000" w:firstRow="0" w:lastRow="0" w:firstColumn="0" w:lastColumn="0" w:oddVBand="0" w:evenVBand="0" w:oddHBand="0" w:evenHBand="0" w:firstRowFirstColumn="0" w:firstRowLastColumn="0" w:lastRowFirstColumn="0" w:lastRowLastColumn="0"/>
            </w:pPr>
            <w:r>
              <w:t>(1 844)</w:t>
            </w:r>
          </w:p>
        </w:tc>
        <w:tc>
          <w:tcPr>
            <w:tcW w:w="566" w:type="dxa"/>
          </w:tcPr>
          <w:p w14:paraId="6473EE3D"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12ABD5CB" w14:textId="77777777">
        <w:tc>
          <w:tcPr>
            <w:cnfStyle w:val="001000000000" w:firstRow="0" w:lastRow="0" w:firstColumn="1" w:lastColumn="0" w:oddVBand="0" w:evenVBand="0" w:oddHBand="0" w:evenHBand="0" w:firstRowFirstColumn="0" w:firstRowLastColumn="0" w:lastRowFirstColumn="0" w:lastRowLastColumn="0"/>
            <w:tcW w:w="4111" w:type="dxa"/>
          </w:tcPr>
          <w:p w14:paraId="7BCE7B9D" w14:textId="77777777" w:rsidR="005E614D" w:rsidRDefault="000C3A94">
            <w:r>
              <w:t>Net financial liabilities</w:t>
            </w:r>
          </w:p>
        </w:tc>
        <w:tc>
          <w:tcPr>
            <w:tcW w:w="851" w:type="dxa"/>
          </w:tcPr>
          <w:p w14:paraId="3B692604" w14:textId="77777777" w:rsidR="005E614D" w:rsidRDefault="000C3A94">
            <w:pPr>
              <w:cnfStyle w:val="000000000000" w:firstRow="0" w:lastRow="0" w:firstColumn="0" w:lastColumn="0" w:oddVBand="0" w:evenVBand="0" w:oddHBand="0" w:evenHBand="0" w:firstRowFirstColumn="0" w:firstRowLastColumn="0" w:lastRowFirstColumn="0" w:lastRowLastColumn="0"/>
            </w:pPr>
            <w:r>
              <w:t>205 556</w:t>
            </w:r>
          </w:p>
        </w:tc>
        <w:tc>
          <w:tcPr>
            <w:tcW w:w="850" w:type="dxa"/>
          </w:tcPr>
          <w:p w14:paraId="4BE43FF1" w14:textId="77777777" w:rsidR="005E614D" w:rsidRDefault="000C3A94">
            <w:pPr>
              <w:cnfStyle w:val="000000000000" w:firstRow="0" w:lastRow="0" w:firstColumn="0" w:lastColumn="0" w:oddVBand="0" w:evenVBand="0" w:oddHBand="0" w:evenHBand="0" w:firstRowFirstColumn="0" w:firstRowLastColumn="0" w:lastRowFirstColumn="0" w:lastRowLastColumn="0"/>
            </w:pPr>
            <w:r>
              <w:t>205 086</w:t>
            </w:r>
          </w:p>
        </w:tc>
        <w:tc>
          <w:tcPr>
            <w:tcW w:w="851" w:type="dxa"/>
          </w:tcPr>
          <w:p w14:paraId="0E75EE40" w14:textId="77777777" w:rsidR="005E614D" w:rsidRDefault="000C3A94">
            <w:pPr>
              <w:cnfStyle w:val="000000000000" w:firstRow="0" w:lastRow="0" w:firstColumn="0" w:lastColumn="0" w:oddVBand="0" w:evenVBand="0" w:oddHBand="0" w:evenHBand="0" w:firstRowFirstColumn="0" w:firstRowLastColumn="0" w:lastRowFirstColumn="0" w:lastRowLastColumn="0"/>
            </w:pPr>
            <w:r>
              <w:t>202 667</w:t>
            </w:r>
          </w:p>
        </w:tc>
        <w:tc>
          <w:tcPr>
            <w:tcW w:w="850" w:type="dxa"/>
          </w:tcPr>
          <w:p w14:paraId="5D41BDBA" w14:textId="77777777" w:rsidR="005E614D" w:rsidRDefault="000C3A94">
            <w:pPr>
              <w:cnfStyle w:val="000000000000" w:firstRow="0" w:lastRow="0" w:firstColumn="0" w:lastColumn="0" w:oddVBand="0" w:evenVBand="0" w:oddHBand="0" w:evenHBand="0" w:firstRowFirstColumn="0" w:firstRowLastColumn="0" w:lastRowFirstColumn="0" w:lastRowLastColumn="0"/>
            </w:pPr>
            <w:r>
              <w:t>(2 889)</w:t>
            </w:r>
          </w:p>
        </w:tc>
        <w:tc>
          <w:tcPr>
            <w:tcW w:w="709" w:type="dxa"/>
          </w:tcPr>
          <w:p w14:paraId="3E18766A"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4B83A549" w14:textId="77777777" w:rsidR="005E614D" w:rsidRDefault="000C3A94">
            <w:pPr>
              <w:cnfStyle w:val="000000000000" w:firstRow="0" w:lastRow="0" w:firstColumn="0" w:lastColumn="0" w:oddVBand="0" w:evenVBand="0" w:oddHBand="0" w:evenHBand="0" w:firstRowFirstColumn="0" w:firstRowLastColumn="0" w:lastRowFirstColumn="0" w:lastRowLastColumn="0"/>
            </w:pPr>
            <w:r>
              <w:t>(2 418)</w:t>
            </w:r>
          </w:p>
        </w:tc>
        <w:tc>
          <w:tcPr>
            <w:tcW w:w="566" w:type="dxa"/>
          </w:tcPr>
          <w:p w14:paraId="1468C720"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2E3FE38C" w14:textId="77777777">
        <w:tc>
          <w:tcPr>
            <w:cnfStyle w:val="001000000000" w:firstRow="0" w:lastRow="0" w:firstColumn="1" w:lastColumn="0" w:oddVBand="0" w:evenVBand="0" w:oddHBand="0" w:evenHBand="0" w:firstRowFirstColumn="0" w:firstRowLastColumn="0" w:lastRowFirstColumn="0" w:lastRowLastColumn="0"/>
            <w:tcW w:w="4111" w:type="dxa"/>
          </w:tcPr>
          <w:p w14:paraId="0EAA1A76" w14:textId="77777777" w:rsidR="005E614D" w:rsidRDefault="000C3A94">
            <w:r>
              <w:t>Net debt</w:t>
            </w:r>
          </w:p>
        </w:tc>
        <w:tc>
          <w:tcPr>
            <w:tcW w:w="851" w:type="dxa"/>
          </w:tcPr>
          <w:p w14:paraId="2EC5E49B" w14:textId="77777777" w:rsidR="005E614D" w:rsidRDefault="000C3A94">
            <w:pPr>
              <w:cnfStyle w:val="000000000000" w:firstRow="0" w:lastRow="0" w:firstColumn="0" w:lastColumn="0" w:oddVBand="0" w:evenVBand="0" w:oddHBand="0" w:evenHBand="0" w:firstRowFirstColumn="0" w:firstRowLastColumn="0" w:lastRowFirstColumn="0" w:lastRowLastColumn="0"/>
            </w:pPr>
            <w:r>
              <w:t>156 197</w:t>
            </w:r>
          </w:p>
        </w:tc>
        <w:tc>
          <w:tcPr>
            <w:tcW w:w="850" w:type="dxa"/>
          </w:tcPr>
          <w:p w14:paraId="78DFC993" w14:textId="77777777" w:rsidR="005E614D" w:rsidRDefault="000C3A94">
            <w:pPr>
              <w:cnfStyle w:val="000000000000" w:firstRow="0" w:lastRow="0" w:firstColumn="0" w:lastColumn="0" w:oddVBand="0" w:evenVBand="0" w:oddHBand="0" w:evenHBand="0" w:firstRowFirstColumn="0" w:firstRowLastColumn="0" w:lastRowFirstColumn="0" w:lastRowLastColumn="0"/>
            </w:pPr>
            <w:r>
              <w:t>155 524</w:t>
            </w:r>
          </w:p>
        </w:tc>
        <w:tc>
          <w:tcPr>
            <w:tcW w:w="851" w:type="dxa"/>
          </w:tcPr>
          <w:p w14:paraId="3C45003E" w14:textId="77777777" w:rsidR="005E614D" w:rsidRDefault="000C3A94">
            <w:pPr>
              <w:cnfStyle w:val="000000000000" w:firstRow="0" w:lastRow="0" w:firstColumn="0" w:lastColumn="0" w:oddVBand="0" w:evenVBand="0" w:oddHBand="0" w:evenHBand="0" w:firstRowFirstColumn="0" w:firstRowLastColumn="0" w:lastRowFirstColumn="0" w:lastRowLastColumn="0"/>
            </w:pPr>
            <w:r>
              <w:t>150 867</w:t>
            </w:r>
          </w:p>
        </w:tc>
        <w:tc>
          <w:tcPr>
            <w:tcW w:w="850" w:type="dxa"/>
          </w:tcPr>
          <w:p w14:paraId="3E271D78" w14:textId="77777777" w:rsidR="005E614D" w:rsidRDefault="000C3A94">
            <w:pPr>
              <w:cnfStyle w:val="000000000000" w:firstRow="0" w:lastRow="0" w:firstColumn="0" w:lastColumn="0" w:oddVBand="0" w:evenVBand="0" w:oddHBand="0" w:evenHBand="0" w:firstRowFirstColumn="0" w:firstRowLastColumn="0" w:lastRowFirstColumn="0" w:lastRowLastColumn="0"/>
            </w:pPr>
            <w:r>
              <w:t>(5 330)</w:t>
            </w:r>
          </w:p>
        </w:tc>
        <w:tc>
          <w:tcPr>
            <w:tcW w:w="709" w:type="dxa"/>
          </w:tcPr>
          <w:p w14:paraId="7DA2615A"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597DB4F3" w14:textId="77777777" w:rsidR="005E614D" w:rsidRDefault="000C3A94">
            <w:pPr>
              <w:cnfStyle w:val="000000000000" w:firstRow="0" w:lastRow="0" w:firstColumn="0" w:lastColumn="0" w:oddVBand="0" w:evenVBand="0" w:oddHBand="0" w:evenHBand="0" w:firstRowFirstColumn="0" w:firstRowLastColumn="0" w:lastRowFirstColumn="0" w:lastRowLastColumn="0"/>
            </w:pPr>
            <w:r>
              <w:t>(4 657)</w:t>
            </w:r>
          </w:p>
        </w:tc>
        <w:tc>
          <w:tcPr>
            <w:tcW w:w="566" w:type="dxa"/>
          </w:tcPr>
          <w:p w14:paraId="4693C6D6"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bl>
    <w:p w14:paraId="435E224C" w14:textId="77777777" w:rsidR="009D33A8" w:rsidRDefault="009D33A8" w:rsidP="009D33A8"/>
    <w:p w14:paraId="0D568C23" w14:textId="77777777" w:rsidR="009D33A8" w:rsidRPr="00A92780" w:rsidRDefault="009D33A8" w:rsidP="009D33A8"/>
    <w:p w14:paraId="4C4ADBFA" w14:textId="77777777" w:rsidR="009D33A8" w:rsidRDefault="009D33A8" w:rsidP="009D33A8"/>
    <w:p w14:paraId="1959A3EC" w14:textId="77777777" w:rsidR="00823C0E" w:rsidRDefault="00823C0E" w:rsidP="009D33A8">
      <w:pPr>
        <w:pStyle w:val="Heading3"/>
        <w:pageBreakBefore/>
        <w:spacing w:before="0"/>
        <w:sectPr w:rsidR="00823C0E" w:rsidSect="00823C0E">
          <w:type w:val="continuous"/>
          <w:pgSz w:w="11906" w:h="16838" w:code="9"/>
          <w:pgMar w:top="1134" w:right="1134" w:bottom="1134" w:left="1134" w:header="624" w:footer="567" w:gutter="0"/>
          <w:cols w:space="708"/>
          <w:docGrid w:linePitch="360"/>
        </w:sectPr>
      </w:pPr>
    </w:p>
    <w:p w14:paraId="6EE5E7AD" w14:textId="77777777" w:rsidR="009D33A8" w:rsidRDefault="009D33A8" w:rsidP="009D33A8">
      <w:pPr>
        <w:pStyle w:val="Heading3"/>
        <w:pageBreakBefore/>
        <w:spacing w:before="0"/>
      </w:pPr>
      <w:r>
        <w:lastRenderedPageBreak/>
        <w:t>Net financial worth</w:t>
      </w:r>
    </w:p>
    <w:p w14:paraId="04F5BA3C" w14:textId="46E3D010" w:rsidR="009D33A8" w:rsidRPr="00F5348E" w:rsidRDefault="009D33A8" w:rsidP="009D33A8">
      <w:pPr>
        <w:rPr>
          <w:highlight w:val="yellow"/>
        </w:rPr>
      </w:pPr>
      <w:r w:rsidRPr="00CC6982">
        <w:t xml:space="preserve">Net financial worth is total financial assets minus total liabilities. Net financial worth has </w:t>
      </w:r>
      <w:r w:rsidR="000561AD">
        <w:t>improved</w:t>
      </w:r>
      <w:r w:rsidRPr="00CC6982">
        <w:t xml:space="preserve"> by $</w:t>
      </w:r>
      <w:r w:rsidR="001E6E5B">
        <w:t>2.1</w:t>
      </w:r>
      <w:r w:rsidRPr="00CC6982">
        <w:t xml:space="preserve"> billion since the published budget. This was </w:t>
      </w:r>
      <w:r>
        <w:t>mainly</w:t>
      </w:r>
      <w:r w:rsidRPr="00CC6982">
        <w:t xml:space="preserve"> due to a</w:t>
      </w:r>
      <w:r w:rsidR="000561AD">
        <w:t>n increase</w:t>
      </w:r>
      <w:r w:rsidRPr="00CC6982">
        <w:t xml:space="preserve"> in financial assets of $</w:t>
      </w:r>
      <w:r>
        <w:t>1</w:t>
      </w:r>
      <w:r w:rsidR="000561AD">
        <w:t>.9</w:t>
      </w:r>
      <w:r w:rsidR="0047035C">
        <w:t> </w:t>
      </w:r>
      <w:r w:rsidRPr="00CC6982">
        <w:t>billion</w:t>
      </w:r>
      <w:r>
        <w:t>.</w:t>
      </w:r>
    </w:p>
    <w:p w14:paraId="61F62FF0" w14:textId="4213FE85" w:rsidR="009D33A8" w:rsidRPr="0015175B" w:rsidRDefault="009D33A8" w:rsidP="009D33A8">
      <w:pPr>
        <w:rPr>
          <w:rFonts w:ascii="Garamond" w:hAnsi="Garamond"/>
        </w:rPr>
      </w:pPr>
      <w:r w:rsidRPr="00515EC8">
        <w:rPr>
          <w:rFonts w:ascii="Garamond" w:hAnsi="Garamond"/>
        </w:rPr>
        <w:t xml:space="preserve">The </w:t>
      </w:r>
      <w:r w:rsidR="00102843">
        <w:rPr>
          <w:rFonts w:ascii="Garamond" w:hAnsi="Garamond"/>
        </w:rPr>
        <w:t>in</w:t>
      </w:r>
      <w:r w:rsidRPr="00515EC8">
        <w:rPr>
          <w:rFonts w:ascii="Garamond" w:hAnsi="Garamond"/>
        </w:rPr>
        <w:t>crease in financial assets was primarily driven by a</w:t>
      </w:r>
      <w:r>
        <w:rPr>
          <w:rFonts w:ascii="Garamond" w:hAnsi="Garamond"/>
        </w:rPr>
        <w:t xml:space="preserve"> </w:t>
      </w:r>
      <w:r w:rsidR="00F078CE" w:rsidRPr="0015175B">
        <w:rPr>
          <w:rFonts w:ascii="Garamond" w:hAnsi="Garamond"/>
        </w:rPr>
        <w:t>higher than expected investment</w:t>
      </w:r>
      <w:r w:rsidR="00F078CE">
        <w:rPr>
          <w:rFonts w:ascii="Garamond" w:hAnsi="Garamond"/>
        </w:rPr>
        <w:t xml:space="preserve"> balance associated with</w:t>
      </w:r>
      <w:r w:rsidR="00F078CE" w:rsidRPr="0015175B">
        <w:rPr>
          <w:rFonts w:ascii="Garamond" w:hAnsi="Garamond"/>
        </w:rPr>
        <w:t xml:space="preserve"> </w:t>
      </w:r>
      <w:r w:rsidR="00F078CE">
        <w:rPr>
          <w:rFonts w:ascii="Garamond" w:hAnsi="Garamond"/>
        </w:rPr>
        <w:t>the</w:t>
      </w:r>
      <w:r w:rsidR="00F078CE" w:rsidRPr="0015175B">
        <w:rPr>
          <w:rFonts w:ascii="Garamond" w:hAnsi="Garamond"/>
        </w:rPr>
        <w:t xml:space="preserve"> Victorian Future Fund</w:t>
      </w:r>
      <w:r w:rsidR="00F078CE">
        <w:rPr>
          <w:rFonts w:ascii="Garamond" w:hAnsi="Garamond"/>
        </w:rPr>
        <w:t>.</w:t>
      </w:r>
      <w:r w:rsidR="002C43C9">
        <w:rPr>
          <w:rFonts w:ascii="Garamond" w:hAnsi="Garamond"/>
        </w:rPr>
        <w:t xml:space="preserve"> </w:t>
      </w:r>
      <w:r w:rsidR="00F078CE" w:rsidRPr="0015175B">
        <w:rPr>
          <w:rFonts w:ascii="Garamond" w:hAnsi="Garamond"/>
        </w:rPr>
        <w:t>This was partially offset by</w:t>
      </w:r>
      <w:r w:rsidR="00F078CE" w:rsidRPr="00515EC8">
        <w:rPr>
          <w:rFonts w:ascii="Garamond" w:hAnsi="Garamond"/>
        </w:rPr>
        <w:t xml:space="preserve"> </w:t>
      </w:r>
      <w:r w:rsidRPr="00515EC8">
        <w:rPr>
          <w:rFonts w:ascii="Garamond" w:hAnsi="Garamond"/>
        </w:rPr>
        <w:t>a</w:t>
      </w:r>
      <w:r>
        <w:rPr>
          <w:rFonts w:ascii="Garamond" w:hAnsi="Garamond"/>
        </w:rPr>
        <w:t xml:space="preserve"> decrease</w:t>
      </w:r>
      <w:r w:rsidRPr="00515EC8">
        <w:rPr>
          <w:rFonts w:ascii="Garamond" w:hAnsi="Garamond"/>
        </w:rPr>
        <w:t xml:space="preserve"> in investments in other sector entities, primarily </w:t>
      </w:r>
      <w:r w:rsidRPr="002C092E">
        <w:rPr>
          <w:rFonts w:ascii="Garamond" w:hAnsi="Garamond"/>
        </w:rPr>
        <w:t xml:space="preserve">reflecting </w:t>
      </w:r>
      <w:r w:rsidRPr="005E2639">
        <w:rPr>
          <w:rFonts w:ascii="Garamond" w:hAnsi="Garamond"/>
        </w:rPr>
        <w:t>loss</w:t>
      </w:r>
      <w:r w:rsidR="00E26453">
        <w:rPr>
          <w:rFonts w:ascii="Garamond" w:hAnsi="Garamond"/>
        </w:rPr>
        <w:t>es</w:t>
      </w:r>
      <w:r w:rsidRPr="005E2639">
        <w:rPr>
          <w:rFonts w:ascii="Garamond" w:hAnsi="Garamond"/>
        </w:rPr>
        <w:t xml:space="preserve"> </w:t>
      </w:r>
      <w:r w:rsidRPr="002C092E">
        <w:rPr>
          <w:rFonts w:ascii="Garamond" w:hAnsi="Garamond"/>
        </w:rPr>
        <w:t xml:space="preserve">on </w:t>
      </w:r>
      <w:r>
        <w:rPr>
          <w:rFonts w:ascii="Garamond" w:hAnsi="Garamond"/>
        </w:rPr>
        <w:t>the</w:t>
      </w:r>
      <w:r w:rsidRPr="002C092E">
        <w:rPr>
          <w:rFonts w:ascii="Garamond" w:hAnsi="Garamond"/>
        </w:rPr>
        <w:t xml:space="preserve"> mark-to-market revaluation of</w:t>
      </w:r>
      <w:r w:rsidRPr="005E2639">
        <w:rPr>
          <w:rFonts w:ascii="Garamond" w:hAnsi="Garamond"/>
        </w:rPr>
        <w:t xml:space="preserve"> TCV</w:t>
      </w:r>
      <w:r w:rsidR="00845934">
        <w:rPr>
          <w:rFonts w:ascii="Garamond" w:hAnsi="Garamond"/>
        </w:rPr>
        <w:t>’</w:t>
      </w:r>
      <w:r w:rsidRPr="002C092E">
        <w:rPr>
          <w:rFonts w:ascii="Garamond" w:hAnsi="Garamond"/>
        </w:rPr>
        <w:t>s</w:t>
      </w:r>
      <w:r w:rsidRPr="005E2639">
        <w:rPr>
          <w:rFonts w:ascii="Garamond" w:hAnsi="Garamond"/>
        </w:rPr>
        <w:t xml:space="preserve"> borrowings due to changes in </w:t>
      </w:r>
      <w:r>
        <w:rPr>
          <w:rFonts w:ascii="Garamond" w:hAnsi="Garamond"/>
        </w:rPr>
        <w:t>discount</w:t>
      </w:r>
      <w:r w:rsidRPr="005E2639">
        <w:rPr>
          <w:rFonts w:ascii="Garamond" w:hAnsi="Garamond"/>
        </w:rPr>
        <w:t xml:space="preserve"> rates. </w:t>
      </w:r>
    </w:p>
    <w:p w14:paraId="3C9A0778" w14:textId="77777777" w:rsidR="009D33A8" w:rsidRPr="00BF70EC" w:rsidRDefault="009D33A8" w:rsidP="009D33A8">
      <w:pPr>
        <w:pStyle w:val="Heading3"/>
      </w:pPr>
      <w:r w:rsidRPr="00BF70EC">
        <w:t>Net financial liabilities</w:t>
      </w:r>
    </w:p>
    <w:p w14:paraId="7C1D550A" w14:textId="77777777" w:rsidR="009D33A8" w:rsidRPr="00BF70EC" w:rsidRDefault="009D33A8" w:rsidP="009D33A8">
      <w:r w:rsidRPr="00BF70EC">
        <w:t>Net financial liabilities are total liabilities less all financial assets (excluding investments in other sectors). Net financial liabilities were $2.</w:t>
      </w:r>
      <w:r>
        <w:t>9</w:t>
      </w:r>
      <w:r w:rsidRPr="00BF70EC">
        <w:t xml:space="preserve"> billion lower than the published budget.</w:t>
      </w:r>
    </w:p>
    <w:p w14:paraId="0C5467A8" w14:textId="77777777" w:rsidR="009D33A8" w:rsidRPr="00BF70EC" w:rsidRDefault="009D33A8" w:rsidP="009D33A8">
      <w:r w:rsidRPr="00BF70EC">
        <w:t xml:space="preserve">The decrease was driven by the lower </w:t>
      </w:r>
      <w:r>
        <w:t xml:space="preserve">than expected </w:t>
      </w:r>
      <w:r w:rsidRPr="00BF70EC">
        <w:t xml:space="preserve">long-term borrowings with TCV and a </w:t>
      </w:r>
      <w:r>
        <w:t>reduction</w:t>
      </w:r>
      <w:r w:rsidRPr="00BF70EC">
        <w:t xml:space="preserve"> in the superannuation liability of $1 billion</w:t>
      </w:r>
      <w:r>
        <w:t>,</w:t>
      </w:r>
      <w:r w:rsidRPr="00BF70EC">
        <w:t xml:space="preserve"> </w:t>
      </w:r>
      <w:r>
        <w:t>that primarily arose due</w:t>
      </w:r>
      <w:r w:rsidRPr="00BF70EC">
        <w:t xml:space="preserve"> </w:t>
      </w:r>
      <w:r>
        <w:t xml:space="preserve">to </w:t>
      </w:r>
      <w:r w:rsidRPr="00BF70EC">
        <w:t xml:space="preserve">an increase in the bond yields that underlie the key superannuation valuation assumptions. In addition, there was an increase in </w:t>
      </w:r>
      <w:r>
        <w:t>the</w:t>
      </w:r>
      <w:r w:rsidRPr="00BF70EC">
        <w:t xml:space="preserve"> investment</w:t>
      </w:r>
      <w:r>
        <w:t xml:space="preserve"> balance</w:t>
      </w:r>
      <w:r w:rsidRPr="00BF70EC">
        <w:t xml:space="preserve"> associated with </w:t>
      </w:r>
      <w:r>
        <w:t xml:space="preserve">the </w:t>
      </w:r>
      <w:r w:rsidRPr="00BF70EC">
        <w:t>Victorian Future Fund</w:t>
      </w:r>
      <w:r>
        <w:t>.</w:t>
      </w:r>
    </w:p>
    <w:p w14:paraId="1D1957CC" w14:textId="1415B06D" w:rsidR="009D33A8" w:rsidRPr="00BF70EC" w:rsidRDefault="009D33A8" w:rsidP="009D33A8">
      <w:pPr>
        <w:rPr>
          <w:rFonts w:ascii="Garamond" w:hAnsi="Garamond"/>
        </w:rPr>
      </w:pPr>
      <w:r w:rsidRPr="00BF70EC">
        <w:t xml:space="preserve">These decreases were partially offset by an increase in other provisions primarily relating to the Victorian </w:t>
      </w:r>
      <w:r>
        <w:t xml:space="preserve">and National </w:t>
      </w:r>
      <w:r w:rsidRPr="00BF70EC">
        <w:t>Redress</w:t>
      </w:r>
      <w:r>
        <w:t xml:space="preserve"> Schemes</w:t>
      </w:r>
      <w:r w:rsidRPr="00BF70EC">
        <w:t xml:space="preserve"> for historical abuse in institutional care, and an increase in </w:t>
      </w:r>
      <w:r>
        <w:t>employee benefits due to</w:t>
      </w:r>
      <w:r w:rsidR="00B41987">
        <w:t xml:space="preserve"> increased service delivery</w:t>
      </w:r>
      <w:r w:rsidR="007260E9">
        <w:t xml:space="preserve"> and increases</w:t>
      </w:r>
      <w:r>
        <w:t xml:space="preserve"> </w:t>
      </w:r>
      <w:r w:rsidRPr="00B071C5">
        <w:t>in line with enterprise bargaining agreement</w:t>
      </w:r>
      <w:r w:rsidR="007260E9">
        <w:t>s</w:t>
      </w:r>
      <w:r>
        <w:t>.</w:t>
      </w:r>
    </w:p>
    <w:p w14:paraId="7049F6B0" w14:textId="20033BF0" w:rsidR="009D33A8" w:rsidRPr="00F5348E" w:rsidRDefault="00823C0E" w:rsidP="009D33A8">
      <w:pPr>
        <w:pStyle w:val="Heading3"/>
        <w:rPr>
          <w:highlight w:val="yellow"/>
        </w:rPr>
      </w:pPr>
      <w:r>
        <w:br w:type="column"/>
      </w:r>
      <w:r w:rsidR="009D33A8" w:rsidRPr="000A5912">
        <w:t>Net debt</w:t>
      </w:r>
      <w:r w:rsidR="009D33A8" w:rsidRPr="00F5348E">
        <w:rPr>
          <w:highlight w:val="yellow"/>
        </w:rPr>
        <w:t xml:space="preserve"> </w:t>
      </w:r>
    </w:p>
    <w:p w14:paraId="6089A603" w14:textId="261172A7" w:rsidR="009D33A8" w:rsidRPr="00F5348E" w:rsidRDefault="009D33A8" w:rsidP="009D33A8">
      <w:pPr>
        <w:rPr>
          <w:highlight w:val="yellow"/>
        </w:rPr>
      </w:pPr>
      <w:r w:rsidRPr="00352FFC">
        <w:t>Net debt equals the sum of deposits held, advances received, government securities, loans and other borrowings less the sum of cash and deposits, advances paid and investments, loans and placements. Net debt was $</w:t>
      </w:r>
      <w:r>
        <w:t>5.3 </w:t>
      </w:r>
      <w:r w:rsidRPr="00352FFC">
        <w:t xml:space="preserve">billion lower compared with the published budget. This was primarily driven by the lower </w:t>
      </w:r>
      <w:r>
        <w:t>than expected</w:t>
      </w:r>
      <w:r w:rsidRPr="00352FFC">
        <w:t xml:space="preserve"> long-term borrowings with TCV </w:t>
      </w:r>
      <w:r>
        <w:t>and</w:t>
      </w:r>
      <w:r w:rsidRPr="00CB61E3">
        <w:t xml:space="preserve"> lower than forecast</w:t>
      </w:r>
      <w:r>
        <w:t>ed</w:t>
      </w:r>
      <w:r w:rsidRPr="00CB61E3">
        <w:t xml:space="preserve"> expenditure on the State</w:t>
      </w:r>
      <w:r w:rsidR="00845934">
        <w:t>’</w:t>
      </w:r>
      <w:r w:rsidRPr="00CB61E3">
        <w:t>s capital program</w:t>
      </w:r>
      <w:r>
        <w:t>.</w:t>
      </w:r>
      <w:r w:rsidRPr="00352FFC">
        <w:t xml:space="preserve"> </w:t>
      </w:r>
      <w:r>
        <w:t>This is also driven by</w:t>
      </w:r>
      <w:r w:rsidRPr="00352FFC" w:rsidDel="00B24BB4">
        <w:t xml:space="preserve"> </w:t>
      </w:r>
      <w:r w:rsidRPr="00352FFC">
        <w:t>better than expected net cash flows from operating activities as described below</w:t>
      </w:r>
      <w:r>
        <w:t xml:space="preserve"> and a higher than </w:t>
      </w:r>
      <w:r w:rsidRPr="0015175B">
        <w:rPr>
          <w:rFonts w:ascii="Garamond" w:hAnsi="Garamond"/>
        </w:rPr>
        <w:t>expected investment</w:t>
      </w:r>
      <w:r>
        <w:rPr>
          <w:rFonts w:ascii="Garamond" w:hAnsi="Garamond"/>
        </w:rPr>
        <w:t xml:space="preserve"> balance associated with</w:t>
      </w:r>
      <w:r w:rsidRPr="0015175B">
        <w:rPr>
          <w:rFonts w:ascii="Garamond" w:hAnsi="Garamond"/>
        </w:rPr>
        <w:t xml:space="preserve"> </w:t>
      </w:r>
      <w:r>
        <w:rPr>
          <w:rFonts w:ascii="Garamond" w:hAnsi="Garamond"/>
        </w:rPr>
        <w:t>the</w:t>
      </w:r>
      <w:r w:rsidRPr="0015175B">
        <w:rPr>
          <w:rFonts w:ascii="Garamond" w:hAnsi="Garamond"/>
        </w:rPr>
        <w:t xml:space="preserve"> Victorian Future Fund</w:t>
      </w:r>
      <w:r>
        <w:rPr>
          <w:rFonts w:ascii="Garamond" w:hAnsi="Garamond"/>
        </w:rPr>
        <w:t xml:space="preserve"> and </w:t>
      </w:r>
      <w:r>
        <w:t>t</w:t>
      </w:r>
      <w:r w:rsidRPr="007D7CEA">
        <w:t xml:space="preserve">he </w:t>
      </w:r>
      <w:r>
        <w:t xml:space="preserve">valuation gains associated with </w:t>
      </w:r>
      <w:r w:rsidRPr="00A65AE2">
        <w:t>the Victorian Renewable Energy Target</w:t>
      </w:r>
      <w:r>
        <w:t xml:space="preserve"> (VRET)</w:t>
      </w:r>
      <w:r w:rsidRPr="00A65AE2">
        <w:t xml:space="preserve"> </w:t>
      </w:r>
      <w:r>
        <w:t>and the Bulgana Green Power Hub financial derivatives</w:t>
      </w:r>
      <w:r w:rsidRPr="00A65AE2">
        <w:t>.</w:t>
      </w:r>
    </w:p>
    <w:p w14:paraId="1BB2A678" w14:textId="77777777" w:rsidR="009D33A8" w:rsidRPr="00327C55" w:rsidRDefault="009D33A8" w:rsidP="009D33A8">
      <w:pPr>
        <w:pStyle w:val="Heading3"/>
      </w:pPr>
      <w:r w:rsidRPr="00327C55">
        <w:t>Non-financial assets</w:t>
      </w:r>
    </w:p>
    <w:p w14:paraId="2FA91A38" w14:textId="77777777" w:rsidR="009D33A8" w:rsidRPr="00110DFC" w:rsidRDefault="009D33A8" w:rsidP="009D33A8">
      <w:r w:rsidRPr="00327C55">
        <w:rPr>
          <w:rFonts w:ascii="Garamond" w:hAnsi="Garamond"/>
        </w:rPr>
        <w:t xml:space="preserve">Non-financial assets were $8.9 billion higher than the published budget. This was primarily due to the revaluation of non-financial assets in the transport </w:t>
      </w:r>
      <w:r>
        <w:rPr>
          <w:rFonts w:ascii="Garamond" w:hAnsi="Garamond"/>
        </w:rPr>
        <w:t xml:space="preserve">and health </w:t>
      </w:r>
      <w:r w:rsidRPr="00327C55">
        <w:rPr>
          <w:rFonts w:ascii="Garamond" w:hAnsi="Garamond"/>
        </w:rPr>
        <w:t>sector</w:t>
      </w:r>
      <w:r>
        <w:rPr>
          <w:rFonts w:ascii="Garamond" w:hAnsi="Garamond"/>
        </w:rPr>
        <w:t>s.</w:t>
      </w:r>
      <w:r w:rsidRPr="00327C55">
        <w:rPr>
          <w:rFonts w:ascii="Garamond" w:hAnsi="Garamond"/>
        </w:rPr>
        <w:t xml:space="preserve"> </w:t>
      </w:r>
    </w:p>
    <w:p w14:paraId="1EF26117" w14:textId="77777777" w:rsidR="00823C0E" w:rsidRDefault="00823C0E" w:rsidP="009D33A8">
      <w:pPr>
        <w:sectPr w:rsidR="00823C0E" w:rsidSect="00823C0E">
          <w:type w:val="continuous"/>
          <w:pgSz w:w="11906" w:h="16838" w:code="9"/>
          <w:pgMar w:top="1134" w:right="1134" w:bottom="1134" w:left="1134" w:header="624" w:footer="567" w:gutter="0"/>
          <w:cols w:num="2" w:space="708"/>
          <w:docGrid w:linePitch="360"/>
        </w:sectPr>
      </w:pPr>
    </w:p>
    <w:p w14:paraId="055F9AE8" w14:textId="77777777" w:rsidR="009D33A8" w:rsidRDefault="009D33A8" w:rsidP="009D33A8"/>
    <w:p w14:paraId="3FC6717A" w14:textId="77777777" w:rsidR="009D33A8" w:rsidRDefault="009D33A8" w:rsidP="009D33A8"/>
    <w:p w14:paraId="3AFC1BD4" w14:textId="77777777" w:rsidR="009D33A8" w:rsidRDefault="009D33A8" w:rsidP="004610D1">
      <w:pPr>
        <w:pStyle w:val="TableHeading"/>
        <w:pageBreakBefore/>
      </w:pPr>
      <w:r>
        <w:lastRenderedPageBreak/>
        <w:t>Consolidated cash flow statement for the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CF_Manual_Material_Variance"/>
      </w:tblPr>
      <w:tblGrid>
        <w:gridCol w:w="4111"/>
        <w:gridCol w:w="851"/>
        <w:gridCol w:w="850"/>
        <w:gridCol w:w="851"/>
        <w:gridCol w:w="850"/>
        <w:gridCol w:w="709"/>
        <w:gridCol w:w="850"/>
        <w:gridCol w:w="566"/>
      </w:tblGrid>
      <w:tr w:rsidR="002B1B5E" w14:paraId="2299EFC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Pr>
          <w:p w14:paraId="74C46AEE" w14:textId="77777777" w:rsidR="009D33A8" w:rsidRDefault="009D33A8">
            <w:pPr>
              <w:keepNext/>
            </w:pPr>
            <w:r>
              <w:t>General government sector</w:t>
            </w:r>
          </w:p>
        </w:tc>
        <w:tc>
          <w:tcPr>
            <w:tcW w:w="851" w:type="dxa"/>
          </w:tcPr>
          <w:p w14:paraId="2E47214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Published budget</w:t>
            </w:r>
          </w:p>
        </w:tc>
        <w:tc>
          <w:tcPr>
            <w:tcW w:w="850" w:type="dxa"/>
          </w:tcPr>
          <w:p w14:paraId="79D45B2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Revised budget</w:t>
            </w:r>
          </w:p>
        </w:tc>
        <w:tc>
          <w:tcPr>
            <w:tcW w:w="851" w:type="dxa"/>
          </w:tcPr>
          <w:p w14:paraId="62BA20D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 actual</w:t>
            </w:r>
          </w:p>
        </w:tc>
        <w:tc>
          <w:tcPr>
            <w:tcW w:w="850" w:type="dxa"/>
          </w:tcPr>
          <w:p w14:paraId="198AB62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Budget variance</w:t>
            </w:r>
          </w:p>
        </w:tc>
        <w:tc>
          <w:tcPr>
            <w:tcW w:w="709" w:type="dxa"/>
          </w:tcPr>
          <w:p w14:paraId="797A5B5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w:t>
            </w:r>
          </w:p>
        </w:tc>
        <w:tc>
          <w:tcPr>
            <w:tcW w:w="850" w:type="dxa"/>
          </w:tcPr>
          <w:p w14:paraId="660F17C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Revised budget variance</w:t>
            </w:r>
          </w:p>
        </w:tc>
        <w:tc>
          <w:tcPr>
            <w:tcW w:w="566" w:type="dxa"/>
          </w:tcPr>
          <w:p w14:paraId="6C0F50C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w:t>
            </w:r>
          </w:p>
        </w:tc>
      </w:tr>
      <w:tr w:rsidR="009D33A8" w14:paraId="4055E321" w14:textId="77777777">
        <w:tc>
          <w:tcPr>
            <w:cnfStyle w:val="001000000000" w:firstRow="0" w:lastRow="0" w:firstColumn="1" w:lastColumn="0" w:oddVBand="0" w:evenVBand="0" w:oddHBand="0" w:evenHBand="0" w:firstRowFirstColumn="0" w:firstRowLastColumn="0" w:lastRowFirstColumn="0" w:lastRowLastColumn="0"/>
            <w:tcW w:w="4962" w:type="dxa"/>
            <w:gridSpan w:val="2"/>
          </w:tcPr>
          <w:p w14:paraId="069176B3" w14:textId="77777777" w:rsidR="009D33A8" w:rsidRDefault="009D33A8">
            <w:r>
              <w:rPr>
                <w:b/>
              </w:rPr>
              <w:t>Cash flows from operating activities</w:t>
            </w:r>
          </w:p>
        </w:tc>
        <w:tc>
          <w:tcPr>
            <w:tcW w:w="850" w:type="dxa"/>
          </w:tcPr>
          <w:p w14:paraId="158361B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6C491F5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4C43653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508E629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016A225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5FB510E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B66A86C" w14:textId="77777777">
        <w:tc>
          <w:tcPr>
            <w:cnfStyle w:val="001000000000" w:firstRow="0" w:lastRow="0" w:firstColumn="1" w:lastColumn="0" w:oddVBand="0" w:evenVBand="0" w:oddHBand="0" w:evenHBand="0" w:firstRowFirstColumn="0" w:firstRowLastColumn="0" w:lastRowFirstColumn="0" w:lastRowLastColumn="0"/>
            <w:tcW w:w="4111" w:type="dxa"/>
          </w:tcPr>
          <w:p w14:paraId="39F7484C" w14:textId="77777777" w:rsidR="009D33A8" w:rsidRDefault="009D33A8">
            <w:r>
              <w:rPr>
                <w:b/>
              </w:rPr>
              <w:t>Receipts</w:t>
            </w:r>
          </w:p>
        </w:tc>
        <w:tc>
          <w:tcPr>
            <w:tcW w:w="851" w:type="dxa"/>
          </w:tcPr>
          <w:p w14:paraId="5E9D673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578EBB5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19B6088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777293B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0199977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7C539A4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2E53440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69165F46" w14:textId="77777777">
        <w:tc>
          <w:tcPr>
            <w:cnfStyle w:val="001000000000" w:firstRow="0" w:lastRow="0" w:firstColumn="1" w:lastColumn="0" w:oddVBand="0" w:evenVBand="0" w:oddHBand="0" w:evenHBand="0" w:firstRowFirstColumn="0" w:firstRowLastColumn="0" w:lastRowFirstColumn="0" w:lastRowLastColumn="0"/>
            <w:tcW w:w="4111" w:type="dxa"/>
          </w:tcPr>
          <w:p w14:paraId="3C58212F" w14:textId="77777777" w:rsidR="009D33A8" w:rsidRDefault="009D33A8">
            <w:r>
              <w:t>Taxes received</w:t>
            </w:r>
          </w:p>
        </w:tc>
        <w:tc>
          <w:tcPr>
            <w:tcW w:w="851" w:type="dxa"/>
          </w:tcPr>
          <w:p w14:paraId="1BFDDBC6" w14:textId="77777777" w:rsidR="009D33A8" w:rsidRDefault="009D33A8">
            <w:pPr>
              <w:cnfStyle w:val="000000000000" w:firstRow="0" w:lastRow="0" w:firstColumn="0" w:lastColumn="0" w:oddVBand="0" w:evenVBand="0" w:oddHBand="0" w:evenHBand="0" w:firstRowFirstColumn="0" w:firstRowLastColumn="0" w:lastRowFirstColumn="0" w:lastRowLastColumn="0"/>
            </w:pPr>
            <w:r>
              <w:t>38 488</w:t>
            </w:r>
          </w:p>
        </w:tc>
        <w:tc>
          <w:tcPr>
            <w:tcW w:w="850" w:type="dxa"/>
          </w:tcPr>
          <w:p w14:paraId="74E4EA48" w14:textId="77777777" w:rsidR="009D33A8" w:rsidRDefault="009D33A8">
            <w:pPr>
              <w:cnfStyle w:val="000000000000" w:firstRow="0" w:lastRow="0" w:firstColumn="0" w:lastColumn="0" w:oddVBand="0" w:evenVBand="0" w:oddHBand="0" w:evenHBand="0" w:firstRowFirstColumn="0" w:firstRowLastColumn="0" w:lastRowFirstColumn="0" w:lastRowLastColumn="0"/>
            </w:pPr>
            <w:r>
              <w:t>39 540</w:t>
            </w:r>
          </w:p>
        </w:tc>
        <w:tc>
          <w:tcPr>
            <w:tcW w:w="851" w:type="dxa"/>
          </w:tcPr>
          <w:p w14:paraId="0CFCC492" w14:textId="77777777" w:rsidR="009D33A8" w:rsidRDefault="009D33A8">
            <w:pPr>
              <w:cnfStyle w:val="000000000000" w:firstRow="0" w:lastRow="0" w:firstColumn="0" w:lastColumn="0" w:oddVBand="0" w:evenVBand="0" w:oddHBand="0" w:evenHBand="0" w:firstRowFirstColumn="0" w:firstRowLastColumn="0" w:lastRowFirstColumn="0" w:lastRowLastColumn="0"/>
            </w:pPr>
            <w:r>
              <w:t>39 414</w:t>
            </w:r>
          </w:p>
        </w:tc>
        <w:tc>
          <w:tcPr>
            <w:tcW w:w="850" w:type="dxa"/>
          </w:tcPr>
          <w:p w14:paraId="580DC49E" w14:textId="77777777" w:rsidR="009D33A8" w:rsidRDefault="009D33A8">
            <w:pPr>
              <w:cnfStyle w:val="000000000000" w:firstRow="0" w:lastRow="0" w:firstColumn="0" w:lastColumn="0" w:oddVBand="0" w:evenVBand="0" w:oddHBand="0" w:evenHBand="0" w:firstRowFirstColumn="0" w:firstRowLastColumn="0" w:lastRowFirstColumn="0" w:lastRowLastColumn="0"/>
            </w:pPr>
            <w:r>
              <w:t>926</w:t>
            </w:r>
          </w:p>
        </w:tc>
        <w:tc>
          <w:tcPr>
            <w:tcW w:w="709" w:type="dxa"/>
          </w:tcPr>
          <w:p w14:paraId="233CC85A"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6DDEEE33" w14:textId="77777777" w:rsidR="009D33A8" w:rsidRDefault="009D33A8">
            <w:pPr>
              <w:cnfStyle w:val="000000000000" w:firstRow="0" w:lastRow="0" w:firstColumn="0" w:lastColumn="0" w:oddVBand="0" w:evenVBand="0" w:oddHBand="0" w:evenHBand="0" w:firstRowFirstColumn="0" w:firstRowLastColumn="0" w:lastRowFirstColumn="0" w:lastRowLastColumn="0"/>
            </w:pPr>
            <w:r>
              <w:t>(126)</w:t>
            </w:r>
          </w:p>
        </w:tc>
        <w:tc>
          <w:tcPr>
            <w:tcW w:w="566" w:type="dxa"/>
          </w:tcPr>
          <w:p w14:paraId="1C64FBA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D732449" w14:textId="77777777">
        <w:tc>
          <w:tcPr>
            <w:cnfStyle w:val="001000000000" w:firstRow="0" w:lastRow="0" w:firstColumn="1" w:lastColumn="0" w:oddVBand="0" w:evenVBand="0" w:oddHBand="0" w:evenHBand="0" w:firstRowFirstColumn="0" w:firstRowLastColumn="0" w:lastRowFirstColumn="0" w:lastRowLastColumn="0"/>
            <w:tcW w:w="4111" w:type="dxa"/>
          </w:tcPr>
          <w:p w14:paraId="1A51F013" w14:textId="77777777" w:rsidR="009D33A8" w:rsidRDefault="009D33A8">
            <w:r>
              <w:t>Grants</w:t>
            </w:r>
          </w:p>
        </w:tc>
        <w:tc>
          <w:tcPr>
            <w:tcW w:w="851" w:type="dxa"/>
          </w:tcPr>
          <w:p w14:paraId="5473D51A" w14:textId="77777777" w:rsidR="009D33A8" w:rsidRDefault="009D33A8">
            <w:pPr>
              <w:cnfStyle w:val="000000000000" w:firstRow="0" w:lastRow="0" w:firstColumn="0" w:lastColumn="0" w:oddVBand="0" w:evenVBand="0" w:oddHBand="0" w:evenHBand="0" w:firstRowFirstColumn="0" w:firstRowLastColumn="0" w:lastRowFirstColumn="0" w:lastRowLastColumn="0"/>
            </w:pPr>
            <w:r>
              <w:t>44 811</w:t>
            </w:r>
          </w:p>
        </w:tc>
        <w:tc>
          <w:tcPr>
            <w:tcW w:w="850" w:type="dxa"/>
          </w:tcPr>
          <w:p w14:paraId="7AC33C3B" w14:textId="77777777" w:rsidR="009D33A8" w:rsidRDefault="009D33A8">
            <w:pPr>
              <w:cnfStyle w:val="000000000000" w:firstRow="0" w:lastRow="0" w:firstColumn="0" w:lastColumn="0" w:oddVBand="0" w:evenVBand="0" w:oddHBand="0" w:evenHBand="0" w:firstRowFirstColumn="0" w:firstRowLastColumn="0" w:lastRowFirstColumn="0" w:lastRowLastColumn="0"/>
            </w:pPr>
            <w:r>
              <w:t>46 712</w:t>
            </w:r>
          </w:p>
        </w:tc>
        <w:tc>
          <w:tcPr>
            <w:tcW w:w="851" w:type="dxa"/>
          </w:tcPr>
          <w:p w14:paraId="2EEA91F4" w14:textId="77777777" w:rsidR="009D33A8" w:rsidRDefault="009D33A8">
            <w:pPr>
              <w:cnfStyle w:val="000000000000" w:firstRow="0" w:lastRow="0" w:firstColumn="0" w:lastColumn="0" w:oddVBand="0" w:evenVBand="0" w:oddHBand="0" w:evenHBand="0" w:firstRowFirstColumn="0" w:firstRowLastColumn="0" w:lastRowFirstColumn="0" w:lastRowLastColumn="0"/>
            </w:pPr>
            <w:r>
              <w:t>47 029</w:t>
            </w:r>
          </w:p>
        </w:tc>
        <w:tc>
          <w:tcPr>
            <w:tcW w:w="850" w:type="dxa"/>
          </w:tcPr>
          <w:p w14:paraId="77EE147B" w14:textId="77777777" w:rsidR="009D33A8" w:rsidRDefault="009D33A8">
            <w:pPr>
              <w:cnfStyle w:val="000000000000" w:firstRow="0" w:lastRow="0" w:firstColumn="0" w:lastColumn="0" w:oddVBand="0" w:evenVBand="0" w:oddHBand="0" w:evenHBand="0" w:firstRowFirstColumn="0" w:firstRowLastColumn="0" w:lastRowFirstColumn="0" w:lastRowLastColumn="0"/>
            </w:pPr>
            <w:r>
              <w:t>2 218</w:t>
            </w:r>
          </w:p>
        </w:tc>
        <w:tc>
          <w:tcPr>
            <w:tcW w:w="709" w:type="dxa"/>
          </w:tcPr>
          <w:p w14:paraId="0394A088"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77DF3FF8" w14:textId="77777777" w:rsidR="009D33A8" w:rsidRDefault="009D33A8">
            <w:pPr>
              <w:cnfStyle w:val="000000000000" w:firstRow="0" w:lastRow="0" w:firstColumn="0" w:lastColumn="0" w:oddVBand="0" w:evenVBand="0" w:oddHBand="0" w:evenHBand="0" w:firstRowFirstColumn="0" w:firstRowLastColumn="0" w:lastRowFirstColumn="0" w:lastRowLastColumn="0"/>
            </w:pPr>
            <w:r>
              <w:t>317</w:t>
            </w:r>
          </w:p>
        </w:tc>
        <w:tc>
          <w:tcPr>
            <w:tcW w:w="566" w:type="dxa"/>
          </w:tcPr>
          <w:p w14:paraId="4AA600A2"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7E618DB8" w14:textId="77777777">
        <w:tc>
          <w:tcPr>
            <w:cnfStyle w:val="001000000000" w:firstRow="0" w:lastRow="0" w:firstColumn="1" w:lastColumn="0" w:oddVBand="0" w:evenVBand="0" w:oddHBand="0" w:evenHBand="0" w:firstRowFirstColumn="0" w:firstRowLastColumn="0" w:lastRowFirstColumn="0" w:lastRowLastColumn="0"/>
            <w:tcW w:w="4111" w:type="dxa"/>
          </w:tcPr>
          <w:p w14:paraId="2543F1C4" w14:textId="77777777" w:rsidR="009D33A8" w:rsidRDefault="009D33A8">
            <w:r>
              <w:t>Sales of goods and services</w:t>
            </w:r>
            <w:r>
              <w:rPr>
                <w:vertAlign w:val="superscript"/>
              </w:rPr>
              <w:t xml:space="preserve"> (a)</w:t>
            </w:r>
          </w:p>
        </w:tc>
        <w:tc>
          <w:tcPr>
            <w:tcW w:w="851" w:type="dxa"/>
          </w:tcPr>
          <w:p w14:paraId="3A9EBF99" w14:textId="77777777" w:rsidR="009D33A8" w:rsidRDefault="009D33A8">
            <w:pPr>
              <w:cnfStyle w:val="000000000000" w:firstRow="0" w:lastRow="0" w:firstColumn="0" w:lastColumn="0" w:oddVBand="0" w:evenVBand="0" w:oddHBand="0" w:evenHBand="0" w:firstRowFirstColumn="0" w:firstRowLastColumn="0" w:lastRowFirstColumn="0" w:lastRowLastColumn="0"/>
            </w:pPr>
            <w:r>
              <w:t>7 389</w:t>
            </w:r>
          </w:p>
        </w:tc>
        <w:tc>
          <w:tcPr>
            <w:tcW w:w="850" w:type="dxa"/>
          </w:tcPr>
          <w:p w14:paraId="772930C9" w14:textId="77777777" w:rsidR="009D33A8" w:rsidRDefault="009D33A8">
            <w:pPr>
              <w:cnfStyle w:val="000000000000" w:firstRow="0" w:lastRow="0" w:firstColumn="0" w:lastColumn="0" w:oddVBand="0" w:evenVBand="0" w:oddHBand="0" w:evenHBand="0" w:firstRowFirstColumn="0" w:firstRowLastColumn="0" w:lastRowFirstColumn="0" w:lastRowLastColumn="0"/>
            </w:pPr>
            <w:r>
              <w:t>7 284</w:t>
            </w:r>
          </w:p>
        </w:tc>
        <w:tc>
          <w:tcPr>
            <w:tcW w:w="851" w:type="dxa"/>
          </w:tcPr>
          <w:p w14:paraId="024197EB" w14:textId="77777777" w:rsidR="009D33A8" w:rsidRDefault="009D33A8">
            <w:pPr>
              <w:cnfStyle w:val="000000000000" w:firstRow="0" w:lastRow="0" w:firstColumn="0" w:lastColumn="0" w:oddVBand="0" w:evenVBand="0" w:oddHBand="0" w:evenHBand="0" w:firstRowFirstColumn="0" w:firstRowLastColumn="0" w:lastRowFirstColumn="0" w:lastRowLastColumn="0"/>
            </w:pPr>
            <w:r>
              <w:t>7 478</w:t>
            </w:r>
          </w:p>
        </w:tc>
        <w:tc>
          <w:tcPr>
            <w:tcW w:w="850" w:type="dxa"/>
          </w:tcPr>
          <w:p w14:paraId="296DC074" w14:textId="77777777" w:rsidR="009D33A8" w:rsidRDefault="009D33A8">
            <w:pPr>
              <w:cnfStyle w:val="000000000000" w:firstRow="0" w:lastRow="0" w:firstColumn="0" w:lastColumn="0" w:oddVBand="0" w:evenVBand="0" w:oddHBand="0" w:evenHBand="0" w:firstRowFirstColumn="0" w:firstRowLastColumn="0" w:lastRowFirstColumn="0" w:lastRowLastColumn="0"/>
            </w:pPr>
            <w:r>
              <w:t>89</w:t>
            </w:r>
          </w:p>
        </w:tc>
        <w:tc>
          <w:tcPr>
            <w:tcW w:w="709" w:type="dxa"/>
          </w:tcPr>
          <w:p w14:paraId="727CF0D1"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850" w:type="dxa"/>
          </w:tcPr>
          <w:p w14:paraId="3E2F6821" w14:textId="77777777" w:rsidR="009D33A8" w:rsidRDefault="009D33A8">
            <w:pPr>
              <w:cnfStyle w:val="000000000000" w:firstRow="0" w:lastRow="0" w:firstColumn="0" w:lastColumn="0" w:oddVBand="0" w:evenVBand="0" w:oddHBand="0" w:evenHBand="0" w:firstRowFirstColumn="0" w:firstRowLastColumn="0" w:lastRowFirstColumn="0" w:lastRowLastColumn="0"/>
            </w:pPr>
            <w:r>
              <w:t>195</w:t>
            </w:r>
          </w:p>
        </w:tc>
        <w:tc>
          <w:tcPr>
            <w:tcW w:w="566" w:type="dxa"/>
          </w:tcPr>
          <w:p w14:paraId="3BBA8A89"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r>
      <w:tr w:rsidR="009D33A8" w14:paraId="5A07BC03" w14:textId="77777777">
        <w:tc>
          <w:tcPr>
            <w:cnfStyle w:val="001000000000" w:firstRow="0" w:lastRow="0" w:firstColumn="1" w:lastColumn="0" w:oddVBand="0" w:evenVBand="0" w:oddHBand="0" w:evenHBand="0" w:firstRowFirstColumn="0" w:firstRowLastColumn="0" w:lastRowFirstColumn="0" w:lastRowLastColumn="0"/>
            <w:tcW w:w="4111" w:type="dxa"/>
          </w:tcPr>
          <w:p w14:paraId="7F86D7E2" w14:textId="77777777" w:rsidR="009D33A8" w:rsidRDefault="009D33A8">
            <w:r>
              <w:t>Interest received</w:t>
            </w:r>
          </w:p>
        </w:tc>
        <w:tc>
          <w:tcPr>
            <w:tcW w:w="851" w:type="dxa"/>
          </w:tcPr>
          <w:p w14:paraId="7314E5AB" w14:textId="77777777" w:rsidR="009D33A8" w:rsidRDefault="009D33A8">
            <w:pPr>
              <w:cnfStyle w:val="000000000000" w:firstRow="0" w:lastRow="0" w:firstColumn="0" w:lastColumn="0" w:oddVBand="0" w:evenVBand="0" w:oddHBand="0" w:evenHBand="0" w:firstRowFirstColumn="0" w:firstRowLastColumn="0" w:lastRowFirstColumn="0" w:lastRowLastColumn="0"/>
            </w:pPr>
            <w:r>
              <w:t>1 121</w:t>
            </w:r>
          </w:p>
        </w:tc>
        <w:tc>
          <w:tcPr>
            <w:tcW w:w="850" w:type="dxa"/>
          </w:tcPr>
          <w:p w14:paraId="03BBD8F8" w14:textId="77777777" w:rsidR="009D33A8" w:rsidRDefault="009D33A8">
            <w:pPr>
              <w:cnfStyle w:val="000000000000" w:firstRow="0" w:lastRow="0" w:firstColumn="0" w:lastColumn="0" w:oddVBand="0" w:evenVBand="0" w:oddHBand="0" w:evenHBand="0" w:firstRowFirstColumn="0" w:firstRowLastColumn="0" w:lastRowFirstColumn="0" w:lastRowLastColumn="0"/>
            </w:pPr>
            <w:r>
              <w:t>1 352</w:t>
            </w:r>
          </w:p>
        </w:tc>
        <w:tc>
          <w:tcPr>
            <w:tcW w:w="851" w:type="dxa"/>
          </w:tcPr>
          <w:p w14:paraId="587F61B5" w14:textId="77777777" w:rsidR="009D33A8" w:rsidRDefault="009D33A8">
            <w:pPr>
              <w:cnfStyle w:val="000000000000" w:firstRow="0" w:lastRow="0" w:firstColumn="0" w:lastColumn="0" w:oddVBand="0" w:evenVBand="0" w:oddHBand="0" w:evenHBand="0" w:firstRowFirstColumn="0" w:firstRowLastColumn="0" w:lastRowFirstColumn="0" w:lastRowLastColumn="0"/>
            </w:pPr>
            <w:r>
              <w:t>1 449</w:t>
            </w:r>
          </w:p>
        </w:tc>
        <w:tc>
          <w:tcPr>
            <w:tcW w:w="850" w:type="dxa"/>
          </w:tcPr>
          <w:p w14:paraId="29D43EC3" w14:textId="77777777" w:rsidR="009D33A8" w:rsidRDefault="009D33A8">
            <w:pPr>
              <w:cnfStyle w:val="000000000000" w:firstRow="0" w:lastRow="0" w:firstColumn="0" w:lastColumn="0" w:oddVBand="0" w:evenVBand="0" w:oddHBand="0" w:evenHBand="0" w:firstRowFirstColumn="0" w:firstRowLastColumn="0" w:lastRowFirstColumn="0" w:lastRowLastColumn="0"/>
            </w:pPr>
            <w:r>
              <w:t>328</w:t>
            </w:r>
          </w:p>
        </w:tc>
        <w:tc>
          <w:tcPr>
            <w:tcW w:w="709" w:type="dxa"/>
          </w:tcPr>
          <w:p w14:paraId="4E7888CB" w14:textId="77777777" w:rsidR="009D33A8" w:rsidRDefault="009D33A8">
            <w:pPr>
              <w:cnfStyle w:val="000000000000" w:firstRow="0" w:lastRow="0" w:firstColumn="0" w:lastColumn="0" w:oddVBand="0" w:evenVBand="0" w:oddHBand="0" w:evenHBand="0" w:firstRowFirstColumn="0" w:firstRowLastColumn="0" w:lastRowFirstColumn="0" w:lastRowLastColumn="0"/>
            </w:pPr>
            <w:r>
              <w:t>29</w:t>
            </w:r>
          </w:p>
        </w:tc>
        <w:tc>
          <w:tcPr>
            <w:tcW w:w="850" w:type="dxa"/>
          </w:tcPr>
          <w:p w14:paraId="0124B84E" w14:textId="77777777" w:rsidR="009D33A8" w:rsidRDefault="009D33A8">
            <w:pPr>
              <w:cnfStyle w:val="000000000000" w:firstRow="0" w:lastRow="0" w:firstColumn="0" w:lastColumn="0" w:oddVBand="0" w:evenVBand="0" w:oddHBand="0" w:evenHBand="0" w:firstRowFirstColumn="0" w:firstRowLastColumn="0" w:lastRowFirstColumn="0" w:lastRowLastColumn="0"/>
            </w:pPr>
            <w:r>
              <w:t>97</w:t>
            </w:r>
          </w:p>
        </w:tc>
        <w:tc>
          <w:tcPr>
            <w:tcW w:w="566" w:type="dxa"/>
          </w:tcPr>
          <w:p w14:paraId="78BF32AB" w14:textId="77777777" w:rsidR="009D33A8" w:rsidRDefault="009D33A8">
            <w:pPr>
              <w:cnfStyle w:val="000000000000" w:firstRow="0" w:lastRow="0" w:firstColumn="0" w:lastColumn="0" w:oddVBand="0" w:evenVBand="0" w:oddHBand="0" w:evenHBand="0" w:firstRowFirstColumn="0" w:firstRowLastColumn="0" w:lastRowFirstColumn="0" w:lastRowLastColumn="0"/>
            </w:pPr>
            <w:r>
              <w:t>7</w:t>
            </w:r>
          </w:p>
        </w:tc>
      </w:tr>
      <w:tr w:rsidR="009D33A8" w14:paraId="15C31545" w14:textId="77777777">
        <w:tc>
          <w:tcPr>
            <w:cnfStyle w:val="001000000000" w:firstRow="0" w:lastRow="0" w:firstColumn="1" w:lastColumn="0" w:oddVBand="0" w:evenVBand="0" w:oddHBand="0" w:evenHBand="0" w:firstRowFirstColumn="0" w:firstRowLastColumn="0" w:lastRowFirstColumn="0" w:lastRowLastColumn="0"/>
            <w:tcW w:w="4111" w:type="dxa"/>
          </w:tcPr>
          <w:p w14:paraId="75C4A810" w14:textId="77777777" w:rsidR="009D33A8" w:rsidRDefault="009D33A8">
            <w:r>
              <w:t>Dividends and income tax equivalent receipts</w:t>
            </w:r>
          </w:p>
        </w:tc>
        <w:tc>
          <w:tcPr>
            <w:tcW w:w="851" w:type="dxa"/>
          </w:tcPr>
          <w:p w14:paraId="14705A03" w14:textId="77777777" w:rsidR="009D33A8" w:rsidRDefault="009D33A8">
            <w:pPr>
              <w:cnfStyle w:val="000000000000" w:firstRow="0" w:lastRow="0" w:firstColumn="0" w:lastColumn="0" w:oddVBand="0" w:evenVBand="0" w:oddHBand="0" w:evenHBand="0" w:firstRowFirstColumn="0" w:firstRowLastColumn="0" w:lastRowFirstColumn="0" w:lastRowLastColumn="0"/>
            </w:pPr>
            <w:r>
              <w:t>1 043</w:t>
            </w:r>
          </w:p>
        </w:tc>
        <w:tc>
          <w:tcPr>
            <w:tcW w:w="850" w:type="dxa"/>
          </w:tcPr>
          <w:p w14:paraId="3539E3A8" w14:textId="77777777" w:rsidR="009D33A8" w:rsidRDefault="009D33A8">
            <w:pPr>
              <w:cnfStyle w:val="000000000000" w:firstRow="0" w:lastRow="0" w:firstColumn="0" w:lastColumn="0" w:oddVBand="0" w:evenVBand="0" w:oddHBand="0" w:evenHBand="0" w:firstRowFirstColumn="0" w:firstRowLastColumn="0" w:lastRowFirstColumn="0" w:lastRowLastColumn="0"/>
            </w:pPr>
            <w:r>
              <w:t>2 364</w:t>
            </w:r>
          </w:p>
        </w:tc>
        <w:tc>
          <w:tcPr>
            <w:tcW w:w="851" w:type="dxa"/>
          </w:tcPr>
          <w:p w14:paraId="08DF7136" w14:textId="77777777" w:rsidR="009D33A8" w:rsidRDefault="009D33A8">
            <w:pPr>
              <w:cnfStyle w:val="000000000000" w:firstRow="0" w:lastRow="0" w:firstColumn="0" w:lastColumn="0" w:oddVBand="0" w:evenVBand="0" w:oddHBand="0" w:evenHBand="0" w:firstRowFirstColumn="0" w:firstRowLastColumn="0" w:lastRowFirstColumn="0" w:lastRowLastColumn="0"/>
            </w:pPr>
            <w:r>
              <w:t>2 347</w:t>
            </w:r>
          </w:p>
        </w:tc>
        <w:tc>
          <w:tcPr>
            <w:tcW w:w="850" w:type="dxa"/>
          </w:tcPr>
          <w:p w14:paraId="7F06DB89" w14:textId="77777777" w:rsidR="009D33A8" w:rsidRDefault="009D33A8">
            <w:pPr>
              <w:cnfStyle w:val="000000000000" w:firstRow="0" w:lastRow="0" w:firstColumn="0" w:lastColumn="0" w:oddVBand="0" w:evenVBand="0" w:oddHBand="0" w:evenHBand="0" w:firstRowFirstColumn="0" w:firstRowLastColumn="0" w:lastRowFirstColumn="0" w:lastRowLastColumn="0"/>
            </w:pPr>
            <w:r>
              <w:t>1 304</w:t>
            </w:r>
          </w:p>
        </w:tc>
        <w:tc>
          <w:tcPr>
            <w:tcW w:w="709" w:type="dxa"/>
          </w:tcPr>
          <w:p w14:paraId="45211C71" w14:textId="77777777" w:rsidR="009D33A8" w:rsidRDefault="009D33A8">
            <w:pPr>
              <w:cnfStyle w:val="000000000000" w:firstRow="0" w:lastRow="0" w:firstColumn="0" w:lastColumn="0" w:oddVBand="0" w:evenVBand="0" w:oddHBand="0" w:evenHBand="0" w:firstRowFirstColumn="0" w:firstRowLastColumn="0" w:lastRowFirstColumn="0" w:lastRowLastColumn="0"/>
            </w:pPr>
            <w:r>
              <w:t>125</w:t>
            </w:r>
          </w:p>
        </w:tc>
        <w:tc>
          <w:tcPr>
            <w:tcW w:w="850" w:type="dxa"/>
          </w:tcPr>
          <w:p w14:paraId="224CF6B1"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c>
          <w:tcPr>
            <w:tcW w:w="566" w:type="dxa"/>
          </w:tcPr>
          <w:p w14:paraId="7DA09D65"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472369DE"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7813A8FE" w14:textId="77777777" w:rsidR="009D33A8" w:rsidRDefault="009D33A8">
            <w:r>
              <w:t>Other receipts</w:t>
            </w:r>
          </w:p>
        </w:tc>
        <w:tc>
          <w:tcPr>
            <w:tcW w:w="851" w:type="dxa"/>
            <w:tcBorders>
              <w:bottom w:val="single" w:sz="6" w:space="0" w:color="auto"/>
            </w:tcBorders>
          </w:tcPr>
          <w:p w14:paraId="25470991" w14:textId="77777777" w:rsidR="009D33A8" w:rsidRDefault="009D33A8">
            <w:pPr>
              <w:cnfStyle w:val="000000000000" w:firstRow="0" w:lastRow="0" w:firstColumn="0" w:lastColumn="0" w:oddVBand="0" w:evenVBand="0" w:oddHBand="0" w:evenHBand="0" w:firstRowFirstColumn="0" w:firstRowLastColumn="0" w:lastRowFirstColumn="0" w:lastRowLastColumn="0"/>
            </w:pPr>
            <w:r>
              <w:t>2 097</w:t>
            </w:r>
          </w:p>
        </w:tc>
        <w:tc>
          <w:tcPr>
            <w:tcW w:w="850" w:type="dxa"/>
            <w:tcBorders>
              <w:bottom w:val="single" w:sz="6" w:space="0" w:color="auto"/>
            </w:tcBorders>
          </w:tcPr>
          <w:p w14:paraId="3146CBBB" w14:textId="77777777" w:rsidR="009D33A8" w:rsidRDefault="009D33A8">
            <w:pPr>
              <w:cnfStyle w:val="000000000000" w:firstRow="0" w:lastRow="0" w:firstColumn="0" w:lastColumn="0" w:oddVBand="0" w:evenVBand="0" w:oddHBand="0" w:evenHBand="0" w:firstRowFirstColumn="0" w:firstRowLastColumn="0" w:lastRowFirstColumn="0" w:lastRowLastColumn="0"/>
            </w:pPr>
            <w:r>
              <w:t>2 260</w:t>
            </w:r>
          </w:p>
        </w:tc>
        <w:tc>
          <w:tcPr>
            <w:tcW w:w="851" w:type="dxa"/>
            <w:tcBorders>
              <w:bottom w:val="single" w:sz="6" w:space="0" w:color="auto"/>
            </w:tcBorders>
          </w:tcPr>
          <w:p w14:paraId="0402866D" w14:textId="77777777" w:rsidR="009D33A8" w:rsidRDefault="009D33A8">
            <w:pPr>
              <w:cnfStyle w:val="000000000000" w:firstRow="0" w:lastRow="0" w:firstColumn="0" w:lastColumn="0" w:oddVBand="0" w:evenVBand="0" w:oddHBand="0" w:evenHBand="0" w:firstRowFirstColumn="0" w:firstRowLastColumn="0" w:lastRowFirstColumn="0" w:lastRowLastColumn="0"/>
            </w:pPr>
            <w:r>
              <w:t>2 989</w:t>
            </w:r>
          </w:p>
        </w:tc>
        <w:tc>
          <w:tcPr>
            <w:tcW w:w="850" w:type="dxa"/>
            <w:tcBorders>
              <w:bottom w:val="single" w:sz="6" w:space="0" w:color="auto"/>
            </w:tcBorders>
          </w:tcPr>
          <w:p w14:paraId="6FEBADA1" w14:textId="77777777" w:rsidR="009D33A8" w:rsidRDefault="009D33A8">
            <w:pPr>
              <w:cnfStyle w:val="000000000000" w:firstRow="0" w:lastRow="0" w:firstColumn="0" w:lastColumn="0" w:oddVBand="0" w:evenVBand="0" w:oddHBand="0" w:evenHBand="0" w:firstRowFirstColumn="0" w:firstRowLastColumn="0" w:lastRowFirstColumn="0" w:lastRowLastColumn="0"/>
            </w:pPr>
            <w:r>
              <w:t>892</w:t>
            </w:r>
          </w:p>
        </w:tc>
        <w:tc>
          <w:tcPr>
            <w:tcW w:w="709" w:type="dxa"/>
            <w:tcBorders>
              <w:bottom w:val="single" w:sz="6" w:space="0" w:color="auto"/>
            </w:tcBorders>
          </w:tcPr>
          <w:p w14:paraId="3F70F5DF" w14:textId="77777777" w:rsidR="009D33A8" w:rsidRDefault="009D33A8">
            <w:pPr>
              <w:cnfStyle w:val="000000000000" w:firstRow="0" w:lastRow="0" w:firstColumn="0" w:lastColumn="0" w:oddVBand="0" w:evenVBand="0" w:oddHBand="0" w:evenHBand="0" w:firstRowFirstColumn="0" w:firstRowLastColumn="0" w:lastRowFirstColumn="0" w:lastRowLastColumn="0"/>
            </w:pPr>
            <w:r>
              <w:t>43</w:t>
            </w:r>
          </w:p>
        </w:tc>
        <w:tc>
          <w:tcPr>
            <w:tcW w:w="850" w:type="dxa"/>
            <w:tcBorders>
              <w:bottom w:val="single" w:sz="6" w:space="0" w:color="auto"/>
            </w:tcBorders>
          </w:tcPr>
          <w:p w14:paraId="6B953391" w14:textId="77777777" w:rsidR="009D33A8" w:rsidRDefault="009D33A8">
            <w:pPr>
              <w:cnfStyle w:val="000000000000" w:firstRow="0" w:lastRow="0" w:firstColumn="0" w:lastColumn="0" w:oddVBand="0" w:evenVBand="0" w:oddHBand="0" w:evenHBand="0" w:firstRowFirstColumn="0" w:firstRowLastColumn="0" w:lastRowFirstColumn="0" w:lastRowLastColumn="0"/>
            </w:pPr>
            <w:r>
              <w:t>729</w:t>
            </w:r>
          </w:p>
        </w:tc>
        <w:tc>
          <w:tcPr>
            <w:tcW w:w="566" w:type="dxa"/>
            <w:tcBorders>
              <w:bottom w:val="single" w:sz="6" w:space="0" w:color="auto"/>
            </w:tcBorders>
          </w:tcPr>
          <w:p w14:paraId="55E82D6C" w14:textId="77777777" w:rsidR="009D33A8" w:rsidRDefault="009D33A8">
            <w:pPr>
              <w:cnfStyle w:val="000000000000" w:firstRow="0" w:lastRow="0" w:firstColumn="0" w:lastColumn="0" w:oddVBand="0" w:evenVBand="0" w:oddHBand="0" w:evenHBand="0" w:firstRowFirstColumn="0" w:firstRowLastColumn="0" w:lastRowFirstColumn="0" w:lastRowLastColumn="0"/>
            </w:pPr>
            <w:r>
              <w:t>32</w:t>
            </w:r>
          </w:p>
        </w:tc>
      </w:tr>
      <w:tr w:rsidR="009D33A8" w14:paraId="04A048A4"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34A13720" w14:textId="77777777" w:rsidR="009D33A8" w:rsidRDefault="009D33A8">
            <w:r>
              <w:rPr>
                <w:b/>
              </w:rPr>
              <w:t>Total receipts</w:t>
            </w:r>
          </w:p>
        </w:tc>
        <w:tc>
          <w:tcPr>
            <w:tcW w:w="851" w:type="dxa"/>
            <w:tcBorders>
              <w:top w:val="single" w:sz="6" w:space="0" w:color="auto"/>
            </w:tcBorders>
          </w:tcPr>
          <w:p w14:paraId="27CC996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94 949</w:t>
            </w:r>
          </w:p>
        </w:tc>
        <w:tc>
          <w:tcPr>
            <w:tcW w:w="850" w:type="dxa"/>
            <w:tcBorders>
              <w:top w:val="single" w:sz="6" w:space="0" w:color="auto"/>
            </w:tcBorders>
          </w:tcPr>
          <w:p w14:paraId="6F26930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99 512</w:t>
            </w:r>
          </w:p>
        </w:tc>
        <w:tc>
          <w:tcPr>
            <w:tcW w:w="851" w:type="dxa"/>
            <w:tcBorders>
              <w:top w:val="single" w:sz="6" w:space="0" w:color="auto"/>
            </w:tcBorders>
          </w:tcPr>
          <w:p w14:paraId="35E4839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100 706</w:t>
            </w:r>
          </w:p>
        </w:tc>
        <w:tc>
          <w:tcPr>
            <w:tcW w:w="850" w:type="dxa"/>
            <w:tcBorders>
              <w:top w:val="single" w:sz="6" w:space="0" w:color="auto"/>
            </w:tcBorders>
          </w:tcPr>
          <w:p w14:paraId="1A98E2F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5 757</w:t>
            </w:r>
          </w:p>
        </w:tc>
        <w:tc>
          <w:tcPr>
            <w:tcW w:w="709" w:type="dxa"/>
            <w:tcBorders>
              <w:top w:val="single" w:sz="6" w:space="0" w:color="auto"/>
            </w:tcBorders>
          </w:tcPr>
          <w:p w14:paraId="7646FC0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tcBorders>
          </w:tcPr>
          <w:p w14:paraId="1C3FBFD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1 194</w:t>
            </w:r>
          </w:p>
        </w:tc>
        <w:tc>
          <w:tcPr>
            <w:tcW w:w="566" w:type="dxa"/>
            <w:tcBorders>
              <w:top w:val="single" w:sz="6" w:space="0" w:color="auto"/>
            </w:tcBorders>
          </w:tcPr>
          <w:p w14:paraId="54B025A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w:t>
            </w:r>
          </w:p>
        </w:tc>
      </w:tr>
      <w:tr w:rsidR="009D33A8" w14:paraId="2541CC94" w14:textId="77777777">
        <w:tc>
          <w:tcPr>
            <w:cnfStyle w:val="001000000000" w:firstRow="0" w:lastRow="0" w:firstColumn="1" w:lastColumn="0" w:oddVBand="0" w:evenVBand="0" w:oddHBand="0" w:evenHBand="0" w:firstRowFirstColumn="0" w:firstRowLastColumn="0" w:lastRowFirstColumn="0" w:lastRowLastColumn="0"/>
            <w:tcW w:w="4111" w:type="dxa"/>
          </w:tcPr>
          <w:p w14:paraId="140F6311" w14:textId="77777777" w:rsidR="009D33A8" w:rsidRDefault="009D33A8">
            <w:r>
              <w:rPr>
                <w:b/>
              </w:rPr>
              <w:t>Payments</w:t>
            </w:r>
          </w:p>
        </w:tc>
        <w:tc>
          <w:tcPr>
            <w:tcW w:w="851" w:type="dxa"/>
          </w:tcPr>
          <w:p w14:paraId="2D58527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305FE65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6A15366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4AD6001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0ECE3BF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18DE27E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1DAD87D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2876135" w14:textId="77777777">
        <w:tc>
          <w:tcPr>
            <w:cnfStyle w:val="001000000000" w:firstRow="0" w:lastRow="0" w:firstColumn="1" w:lastColumn="0" w:oddVBand="0" w:evenVBand="0" w:oddHBand="0" w:evenHBand="0" w:firstRowFirstColumn="0" w:firstRowLastColumn="0" w:lastRowFirstColumn="0" w:lastRowLastColumn="0"/>
            <w:tcW w:w="4111" w:type="dxa"/>
          </w:tcPr>
          <w:p w14:paraId="68521272" w14:textId="77777777" w:rsidR="009D33A8" w:rsidRDefault="009D33A8">
            <w:r>
              <w:t>Payments for employees</w:t>
            </w:r>
          </w:p>
        </w:tc>
        <w:tc>
          <w:tcPr>
            <w:tcW w:w="851" w:type="dxa"/>
          </w:tcPr>
          <w:p w14:paraId="2F9A8099" w14:textId="77777777" w:rsidR="009D33A8" w:rsidRDefault="009D33A8">
            <w:pPr>
              <w:cnfStyle w:val="000000000000" w:firstRow="0" w:lastRow="0" w:firstColumn="0" w:lastColumn="0" w:oddVBand="0" w:evenVBand="0" w:oddHBand="0" w:evenHBand="0" w:firstRowFirstColumn="0" w:firstRowLastColumn="0" w:lastRowFirstColumn="0" w:lastRowLastColumn="0"/>
            </w:pPr>
            <w:r>
              <w:t>(36 567)</w:t>
            </w:r>
          </w:p>
        </w:tc>
        <w:tc>
          <w:tcPr>
            <w:tcW w:w="850" w:type="dxa"/>
          </w:tcPr>
          <w:p w14:paraId="5544379C" w14:textId="77777777" w:rsidR="009D33A8" w:rsidRDefault="009D33A8">
            <w:pPr>
              <w:cnfStyle w:val="000000000000" w:firstRow="0" w:lastRow="0" w:firstColumn="0" w:lastColumn="0" w:oddVBand="0" w:evenVBand="0" w:oddHBand="0" w:evenHBand="0" w:firstRowFirstColumn="0" w:firstRowLastColumn="0" w:lastRowFirstColumn="0" w:lastRowLastColumn="0"/>
            </w:pPr>
            <w:r>
              <w:t>(37 662)</w:t>
            </w:r>
          </w:p>
        </w:tc>
        <w:tc>
          <w:tcPr>
            <w:tcW w:w="851" w:type="dxa"/>
          </w:tcPr>
          <w:p w14:paraId="35164732" w14:textId="77777777" w:rsidR="009D33A8" w:rsidRDefault="009D33A8">
            <w:pPr>
              <w:cnfStyle w:val="000000000000" w:firstRow="0" w:lastRow="0" w:firstColumn="0" w:lastColumn="0" w:oddVBand="0" w:evenVBand="0" w:oddHBand="0" w:evenHBand="0" w:firstRowFirstColumn="0" w:firstRowLastColumn="0" w:lastRowFirstColumn="0" w:lastRowLastColumn="0"/>
            </w:pPr>
            <w:r>
              <w:t>(37 595)</w:t>
            </w:r>
          </w:p>
        </w:tc>
        <w:tc>
          <w:tcPr>
            <w:tcW w:w="850" w:type="dxa"/>
          </w:tcPr>
          <w:p w14:paraId="32B615BE" w14:textId="77777777" w:rsidR="009D33A8" w:rsidRDefault="009D33A8">
            <w:pPr>
              <w:cnfStyle w:val="000000000000" w:firstRow="0" w:lastRow="0" w:firstColumn="0" w:lastColumn="0" w:oddVBand="0" w:evenVBand="0" w:oddHBand="0" w:evenHBand="0" w:firstRowFirstColumn="0" w:firstRowLastColumn="0" w:lastRowFirstColumn="0" w:lastRowLastColumn="0"/>
            </w:pPr>
            <w:r>
              <w:t>(1 027)</w:t>
            </w:r>
          </w:p>
        </w:tc>
        <w:tc>
          <w:tcPr>
            <w:tcW w:w="709" w:type="dxa"/>
          </w:tcPr>
          <w:p w14:paraId="0E6CE5EE"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02BD8F04" w14:textId="77777777" w:rsidR="009D33A8" w:rsidRDefault="009D33A8">
            <w:pPr>
              <w:cnfStyle w:val="000000000000" w:firstRow="0" w:lastRow="0" w:firstColumn="0" w:lastColumn="0" w:oddVBand="0" w:evenVBand="0" w:oddHBand="0" w:evenHBand="0" w:firstRowFirstColumn="0" w:firstRowLastColumn="0" w:lastRowFirstColumn="0" w:lastRowLastColumn="0"/>
            </w:pPr>
            <w:r>
              <w:t>68</w:t>
            </w:r>
          </w:p>
        </w:tc>
        <w:tc>
          <w:tcPr>
            <w:tcW w:w="566" w:type="dxa"/>
          </w:tcPr>
          <w:p w14:paraId="3D243EB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2794B793" w14:textId="77777777">
        <w:tc>
          <w:tcPr>
            <w:cnfStyle w:val="001000000000" w:firstRow="0" w:lastRow="0" w:firstColumn="1" w:lastColumn="0" w:oddVBand="0" w:evenVBand="0" w:oddHBand="0" w:evenHBand="0" w:firstRowFirstColumn="0" w:firstRowLastColumn="0" w:lastRowFirstColumn="0" w:lastRowLastColumn="0"/>
            <w:tcW w:w="4111" w:type="dxa"/>
          </w:tcPr>
          <w:p w14:paraId="0EA8ED7F" w14:textId="77777777" w:rsidR="009D33A8" w:rsidRDefault="009D33A8">
            <w:r>
              <w:t>Superannuation</w:t>
            </w:r>
          </w:p>
        </w:tc>
        <w:tc>
          <w:tcPr>
            <w:tcW w:w="851" w:type="dxa"/>
          </w:tcPr>
          <w:p w14:paraId="01ABE04E" w14:textId="77777777" w:rsidR="009D33A8" w:rsidRDefault="009D33A8">
            <w:pPr>
              <w:cnfStyle w:val="000000000000" w:firstRow="0" w:lastRow="0" w:firstColumn="0" w:lastColumn="0" w:oddVBand="0" w:evenVBand="0" w:oddHBand="0" w:evenHBand="0" w:firstRowFirstColumn="0" w:firstRowLastColumn="0" w:lastRowFirstColumn="0" w:lastRowLastColumn="0"/>
            </w:pPr>
            <w:r>
              <w:t>(4 025)</w:t>
            </w:r>
          </w:p>
        </w:tc>
        <w:tc>
          <w:tcPr>
            <w:tcW w:w="850" w:type="dxa"/>
          </w:tcPr>
          <w:p w14:paraId="39C8C888" w14:textId="77777777" w:rsidR="009D33A8" w:rsidRDefault="009D33A8">
            <w:pPr>
              <w:cnfStyle w:val="000000000000" w:firstRow="0" w:lastRow="0" w:firstColumn="0" w:lastColumn="0" w:oddVBand="0" w:evenVBand="0" w:oddHBand="0" w:evenHBand="0" w:firstRowFirstColumn="0" w:firstRowLastColumn="0" w:lastRowFirstColumn="0" w:lastRowLastColumn="0"/>
            </w:pPr>
            <w:r>
              <w:t>(4 628)</w:t>
            </w:r>
          </w:p>
        </w:tc>
        <w:tc>
          <w:tcPr>
            <w:tcW w:w="851" w:type="dxa"/>
          </w:tcPr>
          <w:p w14:paraId="66C1EC16" w14:textId="77777777" w:rsidR="009D33A8" w:rsidRDefault="009D33A8">
            <w:pPr>
              <w:cnfStyle w:val="000000000000" w:firstRow="0" w:lastRow="0" w:firstColumn="0" w:lastColumn="0" w:oddVBand="0" w:evenVBand="0" w:oddHBand="0" w:evenHBand="0" w:firstRowFirstColumn="0" w:firstRowLastColumn="0" w:lastRowFirstColumn="0" w:lastRowLastColumn="0"/>
            </w:pPr>
            <w:r>
              <w:t>(4 464)</w:t>
            </w:r>
          </w:p>
        </w:tc>
        <w:tc>
          <w:tcPr>
            <w:tcW w:w="850" w:type="dxa"/>
          </w:tcPr>
          <w:p w14:paraId="388B014D" w14:textId="77777777" w:rsidR="009D33A8" w:rsidRDefault="009D33A8">
            <w:pPr>
              <w:cnfStyle w:val="000000000000" w:firstRow="0" w:lastRow="0" w:firstColumn="0" w:lastColumn="0" w:oddVBand="0" w:evenVBand="0" w:oddHBand="0" w:evenHBand="0" w:firstRowFirstColumn="0" w:firstRowLastColumn="0" w:lastRowFirstColumn="0" w:lastRowLastColumn="0"/>
            </w:pPr>
            <w:r>
              <w:t>(438)</w:t>
            </w:r>
          </w:p>
        </w:tc>
        <w:tc>
          <w:tcPr>
            <w:tcW w:w="709" w:type="dxa"/>
          </w:tcPr>
          <w:p w14:paraId="47BDC3BC" w14:textId="77777777" w:rsidR="009D33A8" w:rsidRDefault="009D33A8">
            <w:pPr>
              <w:cnfStyle w:val="000000000000" w:firstRow="0" w:lastRow="0" w:firstColumn="0" w:lastColumn="0" w:oddVBand="0" w:evenVBand="0" w:oddHBand="0" w:evenHBand="0" w:firstRowFirstColumn="0" w:firstRowLastColumn="0" w:lastRowFirstColumn="0" w:lastRowLastColumn="0"/>
            </w:pPr>
            <w:r>
              <w:t>11</w:t>
            </w:r>
          </w:p>
        </w:tc>
        <w:tc>
          <w:tcPr>
            <w:tcW w:w="850" w:type="dxa"/>
          </w:tcPr>
          <w:p w14:paraId="560AD831" w14:textId="77777777" w:rsidR="009D33A8" w:rsidRDefault="009D33A8">
            <w:pPr>
              <w:cnfStyle w:val="000000000000" w:firstRow="0" w:lastRow="0" w:firstColumn="0" w:lastColumn="0" w:oddVBand="0" w:evenVBand="0" w:oddHBand="0" w:evenHBand="0" w:firstRowFirstColumn="0" w:firstRowLastColumn="0" w:lastRowFirstColumn="0" w:lastRowLastColumn="0"/>
            </w:pPr>
            <w:r>
              <w:t>164</w:t>
            </w:r>
          </w:p>
        </w:tc>
        <w:tc>
          <w:tcPr>
            <w:tcW w:w="566" w:type="dxa"/>
          </w:tcPr>
          <w:p w14:paraId="7914A1EB"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r>
      <w:tr w:rsidR="009D33A8" w14:paraId="6E83F178" w14:textId="77777777">
        <w:tc>
          <w:tcPr>
            <w:cnfStyle w:val="001000000000" w:firstRow="0" w:lastRow="0" w:firstColumn="1" w:lastColumn="0" w:oddVBand="0" w:evenVBand="0" w:oddHBand="0" w:evenHBand="0" w:firstRowFirstColumn="0" w:firstRowLastColumn="0" w:lastRowFirstColumn="0" w:lastRowLastColumn="0"/>
            <w:tcW w:w="4111" w:type="dxa"/>
          </w:tcPr>
          <w:p w14:paraId="0F5337FB" w14:textId="77777777" w:rsidR="009D33A8" w:rsidRDefault="009D33A8">
            <w:r>
              <w:t>Interest paid</w:t>
            </w:r>
          </w:p>
        </w:tc>
        <w:tc>
          <w:tcPr>
            <w:tcW w:w="851" w:type="dxa"/>
          </w:tcPr>
          <w:p w14:paraId="069746CB" w14:textId="77777777" w:rsidR="009D33A8" w:rsidRDefault="009D33A8">
            <w:pPr>
              <w:cnfStyle w:val="000000000000" w:firstRow="0" w:lastRow="0" w:firstColumn="0" w:lastColumn="0" w:oddVBand="0" w:evenVBand="0" w:oddHBand="0" w:evenHBand="0" w:firstRowFirstColumn="0" w:firstRowLastColumn="0" w:lastRowFirstColumn="0" w:lastRowLastColumn="0"/>
            </w:pPr>
            <w:r>
              <w:t>(6 258)</w:t>
            </w:r>
          </w:p>
        </w:tc>
        <w:tc>
          <w:tcPr>
            <w:tcW w:w="850" w:type="dxa"/>
          </w:tcPr>
          <w:p w14:paraId="74838C78" w14:textId="77777777" w:rsidR="009D33A8" w:rsidRDefault="009D33A8">
            <w:pPr>
              <w:cnfStyle w:val="000000000000" w:firstRow="0" w:lastRow="0" w:firstColumn="0" w:lastColumn="0" w:oddVBand="0" w:evenVBand="0" w:oddHBand="0" w:evenHBand="0" w:firstRowFirstColumn="0" w:firstRowLastColumn="0" w:lastRowFirstColumn="0" w:lastRowLastColumn="0"/>
            </w:pPr>
            <w:r>
              <w:t>(6 483)</w:t>
            </w:r>
          </w:p>
        </w:tc>
        <w:tc>
          <w:tcPr>
            <w:tcW w:w="851" w:type="dxa"/>
          </w:tcPr>
          <w:p w14:paraId="75B0D6AB" w14:textId="77777777" w:rsidR="009D33A8" w:rsidRDefault="009D33A8">
            <w:pPr>
              <w:cnfStyle w:val="000000000000" w:firstRow="0" w:lastRow="0" w:firstColumn="0" w:lastColumn="0" w:oddVBand="0" w:evenVBand="0" w:oddHBand="0" w:evenHBand="0" w:firstRowFirstColumn="0" w:firstRowLastColumn="0" w:lastRowFirstColumn="0" w:lastRowLastColumn="0"/>
            </w:pPr>
            <w:r>
              <w:t>(6 421)</w:t>
            </w:r>
          </w:p>
        </w:tc>
        <w:tc>
          <w:tcPr>
            <w:tcW w:w="850" w:type="dxa"/>
          </w:tcPr>
          <w:p w14:paraId="1C2860B9" w14:textId="77777777" w:rsidR="009D33A8" w:rsidRDefault="009D33A8">
            <w:pPr>
              <w:cnfStyle w:val="000000000000" w:firstRow="0" w:lastRow="0" w:firstColumn="0" w:lastColumn="0" w:oddVBand="0" w:evenVBand="0" w:oddHBand="0" w:evenHBand="0" w:firstRowFirstColumn="0" w:firstRowLastColumn="0" w:lastRowFirstColumn="0" w:lastRowLastColumn="0"/>
            </w:pPr>
            <w:r>
              <w:t>(163)</w:t>
            </w:r>
          </w:p>
        </w:tc>
        <w:tc>
          <w:tcPr>
            <w:tcW w:w="709" w:type="dxa"/>
          </w:tcPr>
          <w:p w14:paraId="541363C3"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06E6FF6B" w14:textId="77777777" w:rsidR="009D33A8" w:rsidRDefault="009D33A8">
            <w:pPr>
              <w:cnfStyle w:val="000000000000" w:firstRow="0" w:lastRow="0" w:firstColumn="0" w:lastColumn="0" w:oddVBand="0" w:evenVBand="0" w:oddHBand="0" w:evenHBand="0" w:firstRowFirstColumn="0" w:firstRowLastColumn="0" w:lastRowFirstColumn="0" w:lastRowLastColumn="0"/>
            </w:pPr>
            <w:r>
              <w:t>62</w:t>
            </w:r>
          </w:p>
        </w:tc>
        <w:tc>
          <w:tcPr>
            <w:tcW w:w="566" w:type="dxa"/>
          </w:tcPr>
          <w:p w14:paraId="66E15B99"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62160353" w14:textId="77777777">
        <w:tc>
          <w:tcPr>
            <w:cnfStyle w:val="001000000000" w:firstRow="0" w:lastRow="0" w:firstColumn="1" w:lastColumn="0" w:oddVBand="0" w:evenVBand="0" w:oddHBand="0" w:evenHBand="0" w:firstRowFirstColumn="0" w:firstRowLastColumn="0" w:lastRowFirstColumn="0" w:lastRowLastColumn="0"/>
            <w:tcW w:w="4111" w:type="dxa"/>
          </w:tcPr>
          <w:p w14:paraId="56D37038" w14:textId="77777777" w:rsidR="009D33A8" w:rsidRDefault="009D33A8">
            <w:r>
              <w:t>Grants and subsidies</w:t>
            </w:r>
          </w:p>
        </w:tc>
        <w:tc>
          <w:tcPr>
            <w:tcW w:w="851" w:type="dxa"/>
          </w:tcPr>
          <w:p w14:paraId="0884F647" w14:textId="77777777" w:rsidR="009D33A8" w:rsidRDefault="009D33A8">
            <w:pPr>
              <w:cnfStyle w:val="000000000000" w:firstRow="0" w:lastRow="0" w:firstColumn="0" w:lastColumn="0" w:oddVBand="0" w:evenVBand="0" w:oddHBand="0" w:evenHBand="0" w:firstRowFirstColumn="0" w:firstRowLastColumn="0" w:lastRowFirstColumn="0" w:lastRowLastColumn="0"/>
            </w:pPr>
            <w:r>
              <w:t>(17 485)</w:t>
            </w:r>
          </w:p>
        </w:tc>
        <w:tc>
          <w:tcPr>
            <w:tcW w:w="850" w:type="dxa"/>
          </w:tcPr>
          <w:p w14:paraId="6FE8C4C7" w14:textId="77777777" w:rsidR="009D33A8" w:rsidRDefault="009D33A8">
            <w:pPr>
              <w:cnfStyle w:val="000000000000" w:firstRow="0" w:lastRow="0" w:firstColumn="0" w:lastColumn="0" w:oddVBand="0" w:evenVBand="0" w:oddHBand="0" w:evenHBand="0" w:firstRowFirstColumn="0" w:firstRowLastColumn="0" w:lastRowFirstColumn="0" w:lastRowLastColumn="0"/>
            </w:pPr>
            <w:r>
              <w:t>(18 334)</w:t>
            </w:r>
          </w:p>
        </w:tc>
        <w:tc>
          <w:tcPr>
            <w:tcW w:w="851" w:type="dxa"/>
          </w:tcPr>
          <w:p w14:paraId="4FD1EEF8" w14:textId="77777777" w:rsidR="009D33A8" w:rsidRDefault="009D33A8">
            <w:pPr>
              <w:cnfStyle w:val="000000000000" w:firstRow="0" w:lastRow="0" w:firstColumn="0" w:lastColumn="0" w:oddVBand="0" w:evenVBand="0" w:oddHBand="0" w:evenHBand="0" w:firstRowFirstColumn="0" w:firstRowLastColumn="0" w:lastRowFirstColumn="0" w:lastRowLastColumn="0"/>
            </w:pPr>
            <w:r>
              <w:t>(17 987)</w:t>
            </w:r>
          </w:p>
        </w:tc>
        <w:tc>
          <w:tcPr>
            <w:tcW w:w="850" w:type="dxa"/>
          </w:tcPr>
          <w:p w14:paraId="43C9707E" w14:textId="77777777" w:rsidR="009D33A8" w:rsidRDefault="009D33A8">
            <w:pPr>
              <w:cnfStyle w:val="000000000000" w:firstRow="0" w:lastRow="0" w:firstColumn="0" w:lastColumn="0" w:oddVBand="0" w:evenVBand="0" w:oddHBand="0" w:evenHBand="0" w:firstRowFirstColumn="0" w:firstRowLastColumn="0" w:lastRowFirstColumn="0" w:lastRowLastColumn="0"/>
            </w:pPr>
            <w:r>
              <w:t>(502)</w:t>
            </w:r>
          </w:p>
        </w:tc>
        <w:tc>
          <w:tcPr>
            <w:tcW w:w="709" w:type="dxa"/>
          </w:tcPr>
          <w:p w14:paraId="21ED67CB"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2BB39E4E" w14:textId="77777777" w:rsidR="009D33A8" w:rsidRDefault="009D33A8">
            <w:pPr>
              <w:cnfStyle w:val="000000000000" w:firstRow="0" w:lastRow="0" w:firstColumn="0" w:lastColumn="0" w:oddVBand="0" w:evenVBand="0" w:oddHBand="0" w:evenHBand="0" w:firstRowFirstColumn="0" w:firstRowLastColumn="0" w:lastRowFirstColumn="0" w:lastRowLastColumn="0"/>
            </w:pPr>
            <w:r>
              <w:t>347</w:t>
            </w:r>
          </w:p>
        </w:tc>
        <w:tc>
          <w:tcPr>
            <w:tcW w:w="566" w:type="dxa"/>
          </w:tcPr>
          <w:p w14:paraId="24CCDBB9"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r>
      <w:tr w:rsidR="009D33A8" w14:paraId="39C09674" w14:textId="77777777">
        <w:tc>
          <w:tcPr>
            <w:cnfStyle w:val="001000000000" w:firstRow="0" w:lastRow="0" w:firstColumn="1" w:lastColumn="0" w:oddVBand="0" w:evenVBand="0" w:oddHBand="0" w:evenHBand="0" w:firstRowFirstColumn="0" w:firstRowLastColumn="0" w:lastRowFirstColumn="0" w:lastRowLastColumn="0"/>
            <w:tcW w:w="4111" w:type="dxa"/>
          </w:tcPr>
          <w:p w14:paraId="018A6D0F" w14:textId="77777777" w:rsidR="009D33A8" w:rsidRDefault="009D33A8">
            <w:r>
              <w:t>Goods and services</w:t>
            </w:r>
            <w:r>
              <w:rPr>
                <w:vertAlign w:val="superscript"/>
              </w:rPr>
              <w:t xml:space="preserve"> (a)</w:t>
            </w:r>
          </w:p>
        </w:tc>
        <w:tc>
          <w:tcPr>
            <w:tcW w:w="851" w:type="dxa"/>
          </w:tcPr>
          <w:p w14:paraId="36868D20" w14:textId="77777777" w:rsidR="009D33A8" w:rsidRDefault="009D33A8">
            <w:pPr>
              <w:cnfStyle w:val="000000000000" w:firstRow="0" w:lastRow="0" w:firstColumn="0" w:lastColumn="0" w:oddVBand="0" w:evenVBand="0" w:oddHBand="0" w:evenHBand="0" w:firstRowFirstColumn="0" w:firstRowLastColumn="0" w:lastRowFirstColumn="0" w:lastRowLastColumn="0"/>
            </w:pPr>
            <w:r>
              <w:t>(27 756)</w:t>
            </w:r>
          </w:p>
        </w:tc>
        <w:tc>
          <w:tcPr>
            <w:tcW w:w="850" w:type="dxa"/>
          </w:tcPr>
          <w:p w14:paraId="62E0D2B3" w14:textId="77777777" w:rsidR="009D33A8" w:rsidRDefault="009D33A8">
            <w:pPr>
              <w:cnfStyle w:val="000000000000" w:firstRow="0" w:lastRow="0" w:firstColumn="0" w:lastColumn="0" w:oddVBand="0" w:evenVBand="0" w:oddHBand="0" w:evenHBand="0" w:firstRowFirstColumn="0" w:firstRowLastColumn="0" w:lastRowFirstColumn="0" w:lastRowLastColumn="0"/>
            </w:pPr>
            <w:r>
              <w:t>(29 882)</w:t>
            </w:r>
          </w:p>
        </w:tc>
        <w:tc>
          <w:tcPr>
            <w:tcW w:w="851" w:type="dxa"/>
          </w:tcPr>
          <w:p w14:paraId="66000CAB" w14:textId="77777777" w:rsidR="009D33A8" w:rsidRDefault="009D33A8">
            <w:pPr>
              <w:cnfStyle w:val="000000000000" w:firstRow="0" w:lastRow="0" w:firstColumn="0" w:lastColumn="0" w:oddVBand="0" w:evenVBand="0" w:oddHBand="0" w:evenHBand="0" w:firstRowFirstColumn="0" w:firstRowLastColumn="0" w:lastRowFirstColumn="0" w:lastRowLastColumn="0"/>
            </w:pPr>
            <w:r>
              <w:t>(29 068)</w:t>
            </w:r>
          </w:p>
        </w:tc>
        <w:tc>
          <w:tcPr>
            <w:tcW w:w="850" w:type="dxa"/>
          </w:tcPr>
          <w:p w14:paraId="2AF2EEB0" w14:textId="77777777" w:rsidR="009D33A8" w:rsidRDefault="009D33A8">
            <w:pPr>
              <w:cnfStyle w:val="000000000000" w:firstRow="0" w:lastRow="0" w:firstColumn="0" w:lastColumn="0" w:oddVBand="0" w:evenVBand="0" w:oddHBand="0" w:evenHBand="0" w:firstRowFirstColumn="0" w:firstRowLastColumn="0" w:lastRowFirstColumn="0" w:lastRowLastColumn="0"/>
            </w:pPr>
            <w:r>
              <w:t>(1 312)</w:t>
            </w:r>
          </w:p>
        </w:tc>
        <w:tc>
          <w:tcPr>
            <w:tcW w:w="709" w:type="dxa"/>
          </w:tcPr>
          <w:p w14:paraId="44BBA55D"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6DC3A8F0" w14:textId="77777777" w:rsidR="009D33A8" w:rsidRDefault="009D33A8">
            <w:pPr>
              <w:cnfStyle w:val="000000000000" w:firstRow="0" w:lastRow="0" w:firstColumn="0" w:lastColumn="0" w:oddVBand="0" w:evenVBand="0" w:oddHBand="0" w:evenHBand="0" w:firstRowFirstColumn="0" w:firstRowLastColumn="0" w:lastRowFirstColumn="0" w:lastRowLastColumn="0"/>
            </w:pPr>
            <w:r>
              <w:t>814</w:t>
            </w:r>
          </w:p>
        </w:tc>
        <w:tc>
          <w:tcPr>
            <w:tcW w:w="566" w:type="dxa"/>
          </w:tcPr>
          <w:p w14:paraId="0634FC52" w14:textId="77777777" w:rsidR="009D33A8" w:rsidRDefault="009D33A8">
            <w:pPr>
              <w:cnfStyle w:val="000000000000" w:firstRow="0" w:lastRow="0" w:firstColumn="0" w:lastColumn="0" w:oddVBand="0" w:evenVBand="0" w:oddHBand="0" w:evenHBand="0" w:firstRowFirstColumn="0" w:firstRowLastColumn="0" w:lastRowFirstColumn="0" w:lastRowLastColumn="0"/>
            </w:pPr>
            <w:r>
              <w:t>(3)</w:t>
            </w:r>
          </w:p>
        </w:tc>
      </w:tr>
      <w:tr w:rsidR="009D33A8" w14:paraId="6097761F"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2C58B09D" w14:textId="77777777" w:rsidR="009D33A8" w:rsidRDefault="009D33A8">
            <w:r>
              <w:t>Other payments</w:t>
            </w:r>
          </w:p>
        </w:tc>
        <w:tc>
          <w:tcPr>
            <w:tcW w:w="851" w:type="dxa"/>
            <w:tcBorders>
              <w:bottom w:val="single" w:sz="6" w:space="0" w:color="auto"/>
            </w:tcBorders>
          </w:tcPr>
          <w:p w14:paraId="617C5405" w14:textId="77777777" w:rsidR="009D33A8" w:rsidRDefault="009D33A8">
            <w:pPr>
              <w:cnfStyle w:val="000000000000" w:firstRow="0" w:lastRow="0" w:firstColumn="0" w:lastColumn="0" w:oddVBand="0" w:evenVBand="0" w:oddHBand="0" w:evenHBand="0" w:firstRowFirstColumn="0" w:firstRowLastColumn="0" w:lastRowFirstColumn="0" w:lastRowLastColumn="0"/>
            </w:pPr>
            <w:r>
              <w:t>(1 060)</w:t>
            </w:r>
          </w:p>
        </w:tc>
        <w:tc>
          <w:tcPr>
            <w:tcW w:w="850" w:type="dxa"/>
            <w:tcBorders>
              <w:bottom w:val="single" w:sz="6" w:space="0" w:color="auto"/>
            </w:tcBorders>
          </w:tcPr>
          <w:p w14:paraId="79B02D9D" w14:textId="77777777" w:rsidR="009D33A8" w:rsidRDefault="009D33A8">
            <w:pPr>
              <w:cnfStyle w:val="000000000000" w:firstRow="0" w:lastRow="0" w:firstColumn="0" w:lastColumn="0" w:oddVBand="0" w:evenVBand="0" w:oddHBand="0" w:evenHBand="0" w:firstRowFirstColumn="0" w:firstRowLastColumn="0" w:lastRowFirstColumn="0" w:lastRowLastColumn="0"/>
            </w:pPr>
            <w:r>
              <w:t>(1 904)</w:t>
            </w:r>
          </w:p>
        </w:tc>
        <w:tc>
          <w:tcPr>
            <w:tcW w:w="851" w:type="dxa"/>
            <w:tcBorders>
              <w:bottom w:val="single" w:sz="6" w:space="0" w:color="auto"/>
            </w:tcBorders>
          </w:tcPr>
          <w:p w14:paraId="76D2CC27" w14:textId="77777777" w:rsidR="009D33A8" w:rsidRDefault="009D33A8">
            <w:pPr>
              <w:cnfStyle w:val="000000000000" w:firstRow="0" w:lastRow="0" w:firstColumn="0" w:lastColumn="0" w:oddVBand="0" w:evenVBand="0" w:oddHBand="0" w:evenHBand="0" w:firstRowFirstColumn="0" w:firstRowLastColumn="0" w:lastRowFirstColumn="0" w:lastRowLastColumn="0"/>
            </w:pPr>
            <w:r>
              <w:t>(1 939)</w:t>
            </w:r>
          </w:p>
        </w:tc>
        <w:tc>
          <w:tcPr>
            <w:tcW w:w="850" w:type="dxa"/>
            <w:tcBorders>
              <w:bottom w:val="single" w:sz="6" w:space="0" w:color="auto"/>
            </w:tcBorders>
          </w:tcPr>
          <w:p w14:paraId="0FEEF892" w14:textId="77777777" w:rsidR="009D33A8" w:rsidRDefault="009D33A8">
            <w:pPr>
              <w:cnfStyle w:val="000000000000" w:firstRow="0" w:lastRow="0" w:firstColumn="0" w:lastColumn="0" w:oddVBand="0" w:evenVBand="0" w:oddHBand="0" w:evenHBand="0" w:firstRowFirstColumn="0" w:firstRowLastColumn="0" w:lastRowFirstColumn="0" w:lastRowLastColumn="0"/>
            </w:pPr>
            <w:r>
              <w:t>(879)</w:t>
            </w:r>
          </w:p>
        </w:tc>
        <w:tc>
          <w:tcPr>
            <w:tcW w:w="709" w:type="dxa"/>
            <w:tcBorders>
              <w:bottom w:val="single" w:sz="6" w:space="0" w:color="auto"/>
            </w:tcBorders>
          </w:tcPr>
          <w:p w14:paraId="5DC2AB04" w14:textId="77777777" w:rsidR="009D33A8" w:rsidRDefault="009D33A8">
            <w:pPr>
              <w:cnfStyle w:val="000000000000" w:firstRow="0" w:lastRow="0" w:firstColumn="0" w:lastColumn="0" w:oddVBand="0" w:evenVBand="0" w:oddHBand="0" w:evenHBand="0" w:firstRowFirstColumn="0" w:firstRowLastColumn="0" w:lastRowFirstColumn="0" w:lastRowLastColumn="0"/>
            </w:pPr>
            <w:r>
              <w:t>83</w:t>
            </w:r>
          </w:p>
        </w:tc>
        <w:tc>
          <w:tcPr>
            <w:tcW w:w="850" w:type="dxa"/>
            <w:tcBorders>
              <w:bottom w:val="single" w:sz="6" w:space="0" w:color="auto"/>
            </w:tcBorders>
          </w:tcPr>
          <w:p w14:paraId="10279837" w14:textId="77777777" w:rsidR="009D33A8" w:rsidRDefault="009D33A8">
            <w:pPr>
              <w:cnfStyle w:val="000000000000" w:firstRow="0" w:lastRow="0" w:firstColumn="0" w:lastColumn="0" w:oddVBand="0" w:evenVBand="0" w:oddHBand="0" w:evenHBand="0" w:firstRowFirstColumn="0" w:firstRowLastColumn="0" w:lastRowFirstColumn="0" w:lastRowLastColumn="0"/>
            </w:pPr>
            <w:r>
              <w:t>(35)</w:t>
            </w:r>
          </w:p>
        </w:tc>
        <w:tc>
          <w:tcPr>
            <w:tcW w:w="566" w:type="dxa"/>
            <w:tcBorders>
              <w:bottom w:val="single" w:sz="6" w:space="0" w:color="auto"/>
            </w:tcBorders>
          </w:tcPr>
          <w:p w14:paraId="5A072EB3"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r>
      <w:tr w:rsidR="009D33A8" w14:paraId="0E729121"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2D9B6F16" w14:textId="77777777" w:rsidR="009D33A8" w:rsidRDefault="009D33A8">
            <w:r>
              <w:rPr>
                <w:b/>
              </w:rPr>
              <w:t>Total payments</w:t>
            </w:r>
          </w:p>
        </w:tc>
        <w:tc>
          <w:tcPr>
            <w:tcW w:w="851" w:type="dxa"/>
            <w:tcBorders>
              <w:top w:val="single" w:sz="6" w:space="0" w:color="auto"/>
              <w:bottom w:val="single" w:sz="6" w:space="0" w:color="auto"/>
            </w:tcBorders>
          </w:tcPr>
          <w:p w14:paraId="3F01611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(93 152)</w:t>
            </w:r>
          </w:p>
        </w:tc>
        <w:tc>
          <w:tcPr>
            <w:tcW w:w="850" w:type="dxa"/>
            <w:tcBorders>
              <w:top w:val="single" w:sz="6" w:space="0" w:color="auto"/>
              <w:bottom w:val="single" w:sz="6" w:space="0" w:color="auto"/>
            </w:tcBorders>
          </w:tcPr>
          <w:p w14:paraId="32F61E0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(98 893)</w:t>
            </w:r>
          </w:p>
        </w:tc>
        <w:tc>
          <w:tcPr>
            <w:tcW w:w="851" w:type="dxa"/>
            <w:tcBorders>
              <w:top w:val="single" w:sz="6" w:space="0" w:color="auto"/>
              <w:bottom w:val="single" w:sz="6" w:space="0" w:color="auto"/>
            </w:tcBorders>
          </w:tcPr>
          <w:p w14:paraId="26EB8DC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(97 474)</w:t>
            </w:r>
          </w:p>
        </w:tc>
        <w:tc>
          <w:tcPr>
            <w:tcW w:w="850" w:type="dxa"/>
            <w:tcBorders>
              <w:top w:val="single" w:sz="6" w:space="0" w:color="auto"/>
              <w:bottom w:val="single" w:sz="6" w:space="0" w:color="auto"/>
            </w:tcBorders>
          </w:tcPr>
          <w:p w14:paraId="35AAAF7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(4 322)</w:t>
            </w:r>
          </w:p>
        </w:tc>
        <w:tc>
          <w:tcPr>
            <w:tcW w:w="709" w:type="dxa"/>
            <w:tcBorders>
              <w:top w:val="single" w:sz="6" w:space="0" w:color="auto"/>
              <w:bottom w:val="single" w:sz="6" w:space="0" w:color="auto"/>
            </w:tcBorders>
          </w:tcPr>
          <w:p w14:paraId="701AF79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w:t>
            </w:r>
          </w:p>
        </w:tc>
        <w:tc>
          <w:tcPr>
            <w:tcW w:w="850" w:type="dxa"/>
            <w:tcBorders>
              <w:top w:val="single" w:sz="6" w:space="0" w:color="auto"/>
              <w:bottom w:val="single" w:sz="6" w:space="0" w:color="auto"/>
            </w:tcBorders>
          </w:tcPr>
          <w:p w14:paraId="559A64D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1 419</w:t>
            </w:r>
          </w:p>
        </w:tc>
        <w:tc>
          <w:tcPr>
            <w:tcW w:w="566" w:type="dxa"/>
            <w:tcBorders>
              <w:top w:val="single" w:sz="6" w:space="0" w:color="auto"/>
              <w:bottom w:val="single" w:sz="6" w:space="0" w:color="auto"/>
            </w:tcBorders>
          </w:tcPr>
          <w:p w14:paraId="1F1BF42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w:t>
            </w:r>
          </w:p>
        </w:tc>
      </w:tr>
      <w:tr w:rsidR="009D33A8" w14:paraId="4906B6C0"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5C36565C" w14:textId="77777777" w:rsidR="009D33A8" w:rsidRDefault="009D33A8">
            <w:r>
              <w:rPr>
                <w:b/>
              </w:rPr>
              <w:t>Net cash flows from operating activities</w:t>
            </w:r>
          </w:p>
        </w:tc>
        <w:tc>
          <w:tcPr>
            <w:tcW w:w="851" w:type="dxa"/>
            <w:tcBorders>
              <w:top w:val="single" w:sz="6" w:space="0" w:color="auto"/>
            </w:tcBorders>
          </w:tcPr>
          <w:p w14:paraId="2B9BEA2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1 797</w:t>
            </w:r>
          </w:p>
        </w:tc>
        <w:tc>
          <w:tcPr>
            <w:tcW w:w="850" w:type="dxa"/>
            <w:tcBorders>
              <w:top w:val="single" w:sz="6" w:space="0" w:color="auto"/>
            </w:tcBorders>
          </w:tcPr>
          <w:p w14:paraId="1773A9A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620</w:t>
            </w:r>
          </w:p>
        </w:tc>
        <w:tc>
          <w:tcPr>
            <w:tcW w:w="851" w:type="dxa"/>
            <w:tcBorders>
              <w:top w:val="single" w:sz="6" w:space="0" w:color="auto"/>
            </w:tcBorders>
          </w:tcPr>
          <w:p w14:paraId="4B3F1A7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3 233</w:t>
            </w:r>
          </w:p>
        </w:tc>
        <w:tc>
          <w:tcPr>
            <w:tcW w:w="850" w:type="dxa"/>
            <w:tcBorders>
              <w:top w:val="single" w:sz="6" w:space="0" w:color="auto"/>
            </w:tcBorders>
          </w:tcPr>
          <w:p w14:paraId="4EE7420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1 435</w:t>
            </w:r>
          </w:p>
        </w:tc>
        <w:tc>
          <w:tcPr>
            <w:tcW w:w="709" w:type="dxa"/>
            <w:tcBorders>
              <w:top w:val="single" w:sz="6" w:space="0" w:color="auto"/>
            </w:tcBorders>
          </w:tcPr>
          <w:p w14:paraId="18DD484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80</w:t>
            </w:r>
          </w:p>
        </w:tc>
        <w:tc>
          <w:tcPr>
            <w:tcW w:w="850" w:type="dxa"/>
            <w:tcBorders>
              <w:top w:val="single" w:sz="6" w:space="0" w:color="auto"/>
            </w:tcBorders>
          </w:tcPr>
          <w:p w14:paraId="7C2BCDE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2 613</w:t>
            </w:r>
          </w:p>
        </w:tc>
        <w:tc>
          <w:tcPr>
            <w:tcW w:w="566" w:type="dxa"/>
            <w:tcBorders>
              <w:top w:val="single" w:sz="6" w:space="0" w:color="auto"/>
            </w:tcBorders>
          </w:tcPr>
          <w:p w14:paraId="3786CA2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422</w:t>
            </w:r>
          </w:p>
        </w:tc>
      </w:tr>
      <w:tr w:rsidR="009D33A8" w14:paraId="7E68223E" w14:textId="77777777">
        <w:tc>
          <w:tcPr>
            <w:cnfStyle w:val="001000000000" w:firstRow="0" w:lastRow="0" w:firstColumn="1" w:lastColumn="0" w:oddVBand="0" w:evenVBand="0" w:oddHBand="0" w:evenHBand="0" w:firstRowFirstColumn="0" w:firstRowLastColumn="0" w:lastRowFirstColumn="0" w:lastRowLastColumn="0"/>
            <w:tcW w:w="4111" w:type="dxa"/>
          </w:tcPr>
          <w:p w14:paraId="219DC981" w14:textId="77777777" w:rsidR="009D33A8" w:rsidRDefault="009D33A8">
            <w:r>
              <w:rPr>
                <w:b/>
              </w:rPr>
              <w:t>Cash flows from investing activities</w:t>
            </w:r>
          </w:p>
        </w:tc>
        <w:tc>
          <w:tcPr>
            <w:tcW w:w="851" w:type="dxa"/>
          </w:tcPr>
          <w:p w14:paraId="3D4826F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140BA80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1E3AB7C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4DA99BA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7EC4EBE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639B948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629EBA9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4BA361A" w14:textId="77777777">
        <w:tc>
          <w:tcPr>
            <w:cnfStyle w:val="001000000000" w:firstRow="0" w:lastRow="0" w:firstColumn="1" w:lastColumn="0" w:oddVBand="0" w:evenVBand="0" w:oddHBand="0" w:evenHBand="0" w:firstRowFirstColumn="0" w:firstRowLastColumn="0" w:lastRowFirstColumn="0" w:lastRowLastColumn="0"/>
            <w:tcW w:w="4962" w:type="dxa"/>
            <w:gridSpan w:val="2"/>
          </w:tcPr>
          <w:p w14:paraId="7BF68EFE" w14:textId="77777777" w:rsidR="009D33A8" w:rsidRDefault="009D33A8">
            <w:r>
              <w:rPr>
                <w:b/>
              </w:rPr>
              <w:t>Cash flows from investments in non</w:t>
            </w:r>
            <w:r>
              <w:rPr>
                <w:b/>
              </w:rPr>
              <w:noBreakHyphen/>
              <w:t>financial assets</w:t>
            </w:r>
          </w:p>
        </w:tc>
        <w:tc>
          <w:tcPr>
            <w:tcW w:w="850" w:type="dxa"/>
          </w:tcPr>
          <w:p w14:paraId="3CD8AAD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5F1E209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21D4323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649661A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782C69E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5AE7ABE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B5812F6" w14:textId="77777777">
        <w:tc>
          <w:tcPr>
            <w:cnfStyle w:val="001000000000" w:firstRow="0" w:lastRow="0" w:firstColumn="1" w:lastColumn="0" w:oddVBand="0" w:evenVBand="0" w:oddHBand="0" w:evenHBand="0" w:firstRowFirstColumn="0" w:firstRowLastColumn="0" w:lastRowFirstColumn="0" w:lastRowLastColumn="0"/>
            <w:tcW w:w="4111" w:type="dxa"/>
          </w:tcPr>
          <w:p w14:paraId="76BA48FA" w14:textId="77777777" w:rsidR="009D33A8" w:rsidRDefault="009D33A8">
            <w:r>
              <w:t>Purchases of non</w:t>
            </w:r>
            <w:r>
              <w:noBreakHyphen/>
              <w:t>financial assets</w:t>
            </w:r>
          </w:p>
        </w:tc>
        <w:tc>
          <w:tcPr>
            <w:tcW w:w="851" w:type="dxa"/>
          </w:tcPr>
          <w:p w14:paraId="638E8E3D" w14:textId="77777777" w:rsidR="009D33A8" w:rsidRDefault="009D33A8">
            <w:pPr>
              <w:cnfStyle w:val="000000000000" w:firstRow="0" w:lastRow="0" w:firstColumn="0" w:lastColumn="0" w:oddVBand="0" w:evenVBand="0" w:oddHBand="0" w:evenHBand="0" w:firstRowFirstColumn="0" w:firstRowLastColumn="0" w:lastRowFirstColumn="0" w:lastRowLastColumn="0"/>
            </w:pPr>
            <w:r>
              <w:t>(17 669)</w:t>
            </w:r>
          </w:p>
        </w:tc>
        <w:tc>
          <w:tcPr>
            <w:tcW w:w="850" w:type="dxa"/>
          </w:tcPr>
          <w:p w14:paraId="6EF397E5" w14:textId="77777777" w:rsidR="009D33A8" w:rsidRDefault="009D33A8">
            <w:pPr>
              <w:cnfStyle w:val="000000000000" w:firstRow="0" w:lastRow="0" w:firstColumn="0" w:lastColumn="0" w:oddVBand="0" w:evenVBand="0" w:oddHBand="0" w:evenHBand="0" w:firstRowFirstColumn="0" w:firstRowLastColumn="0" w:lastRowFirstColumn="0" w:lastRowLastColumn="0"/>
            </w:pPr>
            <w:r>
              <w:t>(16 040)</w:t>
            </w:r>
          </w:p>
        </w:tc>
        <w:tc>
          <w:tcPr>
            <w:tcW w:w="851" w:type="dxa"/>
          </w:tcPr>
          <w:p w14:paraId="12170EF3" w14:textId="77777777" w:rsidR="009D33A8" w:rsidRDefault="009D33A8">
            <w:pPr>
              <w:cnfStyle w:val="000000000000" w:firstRow="0" w:lastRow="0" w:firstColumn="0" w:lastColumn="0" w:oddVBand="0" w:evenVBand="0" w:oddHBand="0" w:evenHBand="0" w:firstRowFirstColumn="0" w:firstRowLastColumn="0" w:lastRowFirstColumn="0" w:lastRowLastColumn="0"/>
            </w:pPr>
            <w:r>
              <w:t>(16 220)</w:t>
            </w:r>
          </w:p>
        </w:tc>
        <w:tc>
          <w:tcPr>
            <w:tcW w:w="850" w:type="dxa"/>
          </w:tcPr>
          <w:p w14:paraId="19A54357" w14:textId="77777777" w:rsidR="009D33A8" w:rsidRDefault="009D33A8">
            <w:pPr>
              <w:cnfStyle w:val="000000000000" w:firstRow="0" w:lastRow="0" w:firstColumn="0" w:lastColumn="0" w:oddVBand="0" w:evenVBand="0" w:oddHBand="0" w:evenHBand="0" w:firstRowFirstColumn="0" w:firstRowLastColumn="0" w:lastRowFirstColumn="0" w:lastRowLastColumn="0"/>
            </w:pPr>
            <w:r>
              <w:t>1 448</w:t>
            </w:r>
          </w:p>
        </w:tc>
        <w:tc>
          <w:tcPr>
            <w:tcW w:w="709" w:type="dxa"/>
          </w:tcPr>
          <w:p w14:paraId="741529E2"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c>
          <w:tcPr>
            <w:tcW w:w="850" w:type="dxa"/>
          </w:tcPr>
          <w:p w14:paraId="6AF4B5AA" w14:textId="77777777" w:rsidR="009D33A8" w:rsidRDefault="009D33A8">
            <w:pPr>
              <w:cnfStyle w:val="000000000000" w:firstRow="0" w:lastRow="0" w:firstColumn="0" w:lastColumn="0" w:oddVBand="0" w:evenVBand="0" w:oddHBand="0" w:evenHBand="0" w:firstRowFirstColumn="0" w:firstRowLastColumn="0" w:lastRowFirstColumn="0" w:lastRowLastColumn="0"/>
            </w:pPr>
            <w:r>
              <w:t>(180)</w:t>
            </w:r>
          </w:p>
        </w:tc>
        <w:tc>
          <w:tcPr>
            <w:tcW w:w="566" w:type="dxa"/>
          </w:tcPr>
          <w:p w14:paraId="48EA309F"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r>
      <w:tr w:rsidR="009D33A8" w14:paraId="78EAE45D"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5CDC40FB" w14:textId="77777777" w:rsidR="009D33A8" w:rsidRDefault="009D33A8">
            <w:r>
              <w:t>Sales of non</w:t>
            </w:r>
            <w:r>
              <w:noBreakHyphen/>
              <w:t>financial assets</w:t>
            </w:r>
          </w:p>
        </w:tc>
        <w:tc>
          <w:tcPr>
            <w:tcW w:w="851" w:type="dxa"/>
            <w:tcBorders>
              <w:bottom w:val="single" w:sz="6" w:space="0" w:color="auto"/>
            </w:tcBorders>
          </w:tcPr>
          <w:p w14:paraId="08B5C051" w14:textId="77777777" w:rsidR="009D33A8" w:rsidRDefault="009D33A8">
            <w:pPr>
              <w:cnfStyle w:val="000000000000" w:firstRow="0" w:lastRow="0" w:firstColumn="0" w:lastColumn="0" w:oddVBand="0" w:evenVBand="0" w:oddHBand="0" w:evenHBand="0" w:firstRowFirstColumn="0" w:firstRowLastColumn="0" w:lastRowFirstColumn="0" w:lastRowLastColumn="0"/>
            </w:pPr>
            <w:r>
              <w:t>677</w:t>
            </w:r>
          </w:p>
        </w:tc>
        <w:tc>
          <w:tcPr>
            <w:tcW w:w="850" w:type="dxa"/>
            <w:tcBorders>
              <w:bottom w:val="single" w:sz="6" w:space="0" w:color="auto"/>
            </w:tcBorders>
          </w:tcPr>
          <w:p w14:paraId="3F9FA2D1" w14:textId="77777777" w:rsidR="009D33A8" w:rsidRDefault="009D33A8">
            <w:pPr>
              <w:cnfStyle w:val="000000000000" w:firstRow="0" w:lastRow="0" w:firstColumn="0" w:lastColumn="0" w:oddVBand="0" w:evenVBand="0" w:oddHBand="0" w:evenHBand="0" w:firstRowFirstColumn="0" w:firstRowLastColumn="0" w:lastRowFirstColumn="0" w:lastRowLastColumn="0"/>
            </w:pPr>
            <w:r>
              <w:t>465</w:t>
            </w:r>
          </w:p>
        </w:tc>
        <w:tc>
          <w:tcPr>
            <w:tcW w:w="851" w:type="dxa"/>
            <w:tcBorders>
              <w:bottom w:val="single" w:sz="6" w:space="0" w:color="auto"/>
            </w:tcBorders>
          </w:tcPr>
          <w:p w14:paraId="6A35F906" w14:textId="77777777" w:rsidR="009D33A8" w:rsidRDefault="009D33A8">
            <w:pPr>
              <w:cnfStyle w:val="000000000000" w:firstRow="0" w:lastRow="0" w:firstColumn="0" w:lastColumn="0" w:oddVBand="0" w:evenVBand="0" w:oddHBand="0" w:evenHBand="0" w:firstRowFirstColumn="0" w:firstRowLastColumn="0" w:lastRowFirstColumn="0" w:lastRowLastColumn="0"/>
            </w:pPr>
            <w:r>
              <w:t>232</w:t>
            </w:r>
          </w:p>
        </w:tc>
        <w:tc>
          <w:tcPr>
            <w:tcW w:w="850" w:type="dxa"/>
            <w:tcBorders>
              <w:bottom w:val="single" w:sz="6" w:space="0" w:color="auto"/>
            </w:tcBorders>
          </w:tcPr>
          <w:p w14:paraId="339F57DD" w14:textId="77777777" w:rsidR="009D33A8" w:rsidRDefault="009D33A8">
            <w:pPr>
              <w:cnfStyle w:val="000000000000" w:firstRow="0" w:lastRow="0" w:firstColumn="0" w:lastColumn="0" w:oddVBand="0" w:evenVBand="0" w:oddHBand="0" w:evenHBand="0" w:firstRowFirstColumn="0" w:firstRowLastColumn="0" w:lastRowFirstColumn="0" w:lastRowLastColumn="0"/>
            </w:pPr>
            <w:r>
              <w:t>(445)</w:t>
            </w:r>
          </w:p>
        </w:tc>
        <w:tc>
          <w:tcPr>
            <w:tcW w:w="709" w:type="dxa"/>
            <w:tcBorders>
              <w:bottom w:val="single" w:sz="6" w:space="0" w:color="auto"/>
            </w:tcBorders>
          </w:tcPr>
          <w:p w14:paraId="02FA765B" w14:textId="77777777" w:rsidR="009D33A8" w:rsidRDefault="009D33A8">
            <w:pPr>
              <w:cnfStyle w:val="000000000000" w:firstRow="0" w:lastRow="0" w:firstColumn="0" w:lastColumn="0" w:oddVBand="0" w:evenVBand="0" w:oddHBand="0" w:evenHBand="0" w:firstRowFirstColumn="0" w:firstRowLastColumn="0" w:lastRowFirstColumn="0" w:lastRowLastColumn="0"/>
            </w:pPr>
            <w:r>
              <w:t>(66)</w:t>
            </w:r>
          </w:p>
        </w:tc>
        <w:tc>
          <w:tcPr>
            <w:tcW w:w="850" w:type="dxa"/>
            <w:tcBorders>
              <w:bottom w:val="single" w:sz="6" w:space="0" w:color="auto"/>
            </w:tcBorders>
          </w:tcPr>
          <w:p w14:paraId="5D9B35F5" w14:textId="77777777" w:rsidR="009D33A8" w:rsidRDefault="009D33A8">
            <w:pPr>
              <w:cnfStyle w:val="000000000000" w:firstRow="0" w:lastRow="0" w:firstColumn="0" w:lastColumn="0" w:oddVBand="0" w:evenVBand="0" w:oddHBand="0" w:evenHBand="0" w:firstRowFirstColumn="0" w:firstRowLastColumn="0" w:lastRowFirstColumn="0" w:lastRowLastColumn="0"/>
            </w:pPr>
            <w:r>
              <w:t>(233)</w:t>
            </w:r>
          </w:p>
        </w:tc>
        <w:tc>
          <w:tcPr>
            <w:tcW w:w="566" w:type="dxa"/>
            <w:tcBorders>
              <w:bottom w:val="single" w:sz="6" w:space="0" w:color="auto"/>
            </w:tcBorders>
          </w:tcPr>
          <w:p w14:paraId="2671DAFD" w14:textId="77777777" w:rsidR="009D33A8" w:rsidRDefault="009D33A8">
            <w:pPr>
              <w:cnfStyle w:val="000000000000" w:firstRow="0" w:lastRow="0" w:firstColumn="0" w:lastColumn="0" w:oddVBand="0" w:evenVBand="0" w:oddHBand="0" w:evenHBand="0" w:firstRowFirstColumn="0" w:firstRowLastColumn="0" w:lastRowFirstColumn="0" w:lastRowLastColumn="0"/>
            </w:pPr>
            <w:r>
              <w:t>(50)</w:t>
            </w:r>
          </w:p>
        </w:tc>
      </w:tr>
      <w:tr w:rsidR="009D33A8" w14:paraId="70F05F0D"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6647B66C" w14:textId="77777777" w:rsidR="009D33A8" w:rsidRDefault="009D33A8">
            <w:r>
              <w:rPr>
                <w:b/>
              </w:rPr>
              <w:t>Net cash flows from investments in non</w:t>
            </w:r>
            <w:r>
              <w:rPr>
                <w:b/>
              </w:rPr>
              <w:noBreakHyphen/>
              <w:t>financial assets</w:t>
            </w:r>
          </w:p>
        </w:tc>
        <w:tc>
          <w:tcPr>
            <w:tcW w:w="851" w:type="dxa"/>
            <w:tcBorders>
              <w:top w:val="single" w:sz="6" w:space="0" w:color="auto"/>
            </w:tcBorders>
          </w:tcPr>
          <w:p w14:paraId="682E4A2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(16 991)</w:t>
            </w:r>
          </w:p>
        </w:tc>
        <w:tc>
          <w:tcPr>
            <w:tcW w:w="850" w:type="dxa"/>
            <w:tcBorders>
              <w:top w:val="single" w:sz="6" w:space="0" w:color="auto"/>
            </w:tcBorders>
          </w:tcPr>
          <w:p w14:paraId="52DF190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(15 575)</w:t>
            </w:r>
          </w:p>
        </w:tc>
        <w:tc>
          <w:tcPr>
            <w:tcW w:w="851" w:type="dxa"/>
            <w:tcBorders>
              <w:top w:val="single" w:sz="6" w:space="0" w:color="auto"/>
            </w:tcBorders>
          </w:tcPr>
          <w:p w14:paraId="53D0D69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(15 988)</w:t>
            </w:r>
          </w:p>
        </w:tc>
        <w:tc>
          <w:tcPr>
            <w:tcW w:w="850" w:type="dxa"/>
            <w:tcBorders>
              <w:top w:val="single" w:sz="6" w:space="0" w:color="auto"/>
            </w:tcBorders>
          </w:tcPr>
          <w:p w14:paraId="0DC675D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1 003</w:t>
            </w:r>
          </w:p>
        </w:tc>
        <w:tc>
          <w:tcPr>
            <w:tcW w:w="709" w:type="dxa"/>
            <w:tcBorders>
              <w:top w:val="single" w:sz="6" w:space="0" w:color="auto"/>
            </w:tcBorders>
          </w:tcPr>
          <w:p w14:paraId="11A492E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top w:val="single" w:sz="6" w:space="0" w:color="auto"/>
            </w:tcBorders>
          </w:tcPr>
          <w:p w14:paraId="71A465C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(413)</w:t>
            </w:r>
          </w:p>
        </w:tc>
        <w:tc>
          <w:tcPr>
            <w:tcW w:w="566" w:type="dxa"/>
            <w:tcBorders>
              <w:top w:val="single" w:sz="6" w:space="0" w:color="auto"/>
            </w:tcBorders>
          </w:tcPr>
          <w:p w14:paraId="4AE2916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w:t>
            </w:r>
          </w:p>
        </w:tc>
      </w:tr>
      <w:tr w:rsidR="009D33A8" w14:paraId="33B1EB9A"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507B58A1" w14:textId="77777777" w:rsidR="009D33A8" w:rsidRDefault="009D33A8">
            <w:r>
              <w:t>Net cash flows from investments in financial assets for policy purposes</w:t>
            </w:r>
          </w:p>
        </w:tc>
        <w:tc>
          <w:tcPr>
            <w:tcW w:w="851" w:type="dxa"/>
            <w:tcBorders>
              <w:bottom w:val="single" w:sz="6" w:space="0" w:color="auto"/>
            </w:tcBorders>
          </w:tcPr>
          <w:p w14:paraId="2703E956" w14:textId="77777777" w:rsidR="009D33A8" w:rsidRDefault="009D33A8">
            <w:pPr>
              <w:cnfStyle w:val="000000000000" w:firstRow="0" w:lastRow="0" w:firstColumn="0" w:lastColumn="0" w:oddVBand="0" w:evenVBand="0" w:oddHBand="0" w:evenHBand="0" w:firstRowFirstColumn="0" w:firstRowLastColumn="0" w:lastRowFirstColumn="0" w:lastRowLastColumn="0"/>
            </w:pPr>
            <w:r>
              <w:t>(3 552)</w:t>
            </w:r>
          </w:p>
        </w:tc>
        <w:tc>
          <w:tcPr>
            <w:tcW w:w="850" w:type="dxa"/>
            <w:tcBorders>
              <w:bottom w:val="single" w:sz="6" w:space="0" w:color="auto"/>
            </w:tcBorders>
          </w:tcPr>
          <w:p w14:paraId="5C1B61B5" w14:textId="77777777" w:rsidR="009D33A8" w:rsidRDefault="009D33A8">
            <w:pPr>
              <w:cnfStyle w:val="000000000000" w:firstRow="0" w:lastRow="0" w:firstColumn="0" w:lastColumn="0" w:oddVBand="0" w:evenVBand="0" w:oddHBand="0" w:evenHBand="0" w:firstRowFirstColumn="0" w:firstRowLastColumn="0" w:lastRowFirstColumn="0" w:lastRowLastColumn="0"/>
            </w:pPr>
            <w:r>
              <w:t>(4 394)</w:t>
            </w:r>
          </w:p>
        </w:tc>
        <w:tc>
          <w:tcPr>
            <w:tcW w:w="851" w:type="dxa"/>
            <w:tcBorders>
              <w:bottom w:val="single" w:sz="6" w:space="0" w:color="auto"/>
            </w:tcBorders>
          </w:tcPr>
          <w:p w14:paraId="218031F3" w14:textId="77777777" w:rsidR="009D33A8" w:rsidRDefault="009D33A8">
            <w:pPr>
              <w:cnfStyle w:val="000000000000" w:firstRow="0" w:lastRow="0" w:firstColumn="0" w:lastColumn="0" w:oddVBand="0" w:evenVBand="0" w:oddHBand="0" w:evenHBand="0" w:firstRowFirstColumn="0" w:firstRowLastColumn="0" w:lastRowFirstColumn="0" w:lastRowLastColumn="0"/>
            </w:pPr>
            <w:r>
              <w:t>(3 631)</w:t>
            </w:r>
          </w:p>
        </w:tc>
        <w:tc>
          <w:tcPr>
            <w:tcW w:w="850" w:type="dxa"/>
            <w:tcBorders>
              <w:bottom w:val="single" w:sz="6" w:space="0" w:color="auto"/>
            </w:tcBorders>
          </w:tcPr>
          <w:p w14:paraId="4E08FEE9" w14:textId="77777777" w:rsidR="009D33A8" w:rsidRDefault="009D33A8">
            <w:pPr>
              <w:cnfStyle w:val="000000000000" w:firstRow="0" w:lastRow="0" w:firstColumn="0" w:lastColumn="0" w:oddVBand="0" w:evenVBand="0" w:oddHBand="0" w:evenHBand="0" w:firstRowFirstColumn="0" w:firstRowLastColumn="0" w:lastRowFirstColumn="0" w:lastRowLastColumn="0"/>
            </w:pPr>
            <w:r>
              <w:t>(79)</w:t>
            </w:r>
          </w:p>
        </w:tc>
        <w:tc>
          <w:tcPr>
            <w:tcW w:w="709" w:type="dxa"/>
            <w:tcBorders>
              <w:bottom w:val="single" w:sz="6" w:space="0" w:color="auto"/>
            </w:tcBorders>
          </w:tcPr>
          <w:p w14:paraId="4A27FCFF"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c>
          <w:tcPr>
            <w:tcW w:w="850" w:type="dxa"/>
            <w:tcBorders>
              <w:bottom w:val="single" w:sz="6" w:space="0" w:color="auto"/>
            </w:tcBorders>
          </w:tcPr>
          <w:p w14:paraId="7B219FFE" w14:textId="77777777" w:rsidR="009D33A8" w:rsidRDefault="009D33A8">
            <w:pPr>
              <w:cnfStyle w:val="000000000000" w:firstRow="0" w:lastRow="0" w:firstColumn="0" w:lastColumn="0" w:oddVBand="0" w:evenVBand="0" w:oddHBand="0" w:evenHBand="0" w:firstRowFirstColumn="0" w:firstRowLastColumn="0" w:lastRowFirstColumn="0" w:lastRowLastColumn="0"/>
            </w:pPr>
            <w:r>
              <w:t>763</w:t>
            </w:r>
          </w:p>
        </w:tc>
        <w:tc>
          <w:tcPr>
            <w:tcW w:w="566" w:type="dxa"/>
            <w:tcBorders>
              <w:bottom w:val="single" w:sz="6" w:space="0" w:color="auto"/>
            </w:tcBorders>
          </w:tcPr>
          <w:p w14:paraId="5403DFEA" w14:textId="77777777" w:rsidR="009D33A8" w:rsidRDefault="009D33A8">
            <w:pPr>
              <w:cnfStyle w:val="000000000000" w:firstRow="0" w:lastRow="0" w:firstColumn="0" w:lastColumn="0" w:oddVBand="0" w:evenVBand="0" w:oddHBand="0" w:evenHBand="0" w:firstRowFirstColumn="0" w:firstRowLastColumn="0" w:lastRowFirstColumn="0" w:lastRowLastColumn="0"/>
            </w:pPr>
            <w:r>
              <w:t>(17)</w:t>
            </w:r>
          </w:p>
        </w:tc>
      </w:tr>
      <w:tr w:rsidR="009D33A8" w14:paraId="4989595F"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4BA83362" w14:textId="77777777" w:rsidR="009D33A8" w:rsidRDefault="009D33A8">
            <w:r>
              <w:rPr>
                <w:b/>
              </w:rPr>
              <w:t>Subtotal</w:t>
            </w:r>
          </w:p>
        </w:tc>
        <w:tc>
          <w:tcPr>
            <w:tcW w:w="851" w:type="dxa"/>
            <w:tcBorders>
              <w:top w:val="single" w:sz="6" w:space="0" w:color="auto"/>
            </w:tcBorders>
          </w:tcPr>
          <w:p w14:paraId="0EC8188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(20 544)</w:t>
            </w:r>
          </w:p>
        </w:tc>
        <w:tc>
          <w:tcPr>
            <w:tcW w:w="850" w:type="dxa"/>
            <w:tcBorders>
              <w:top w:val="single" w:sz="6" w:space="0" w:color="auto"/>
            </w:tcBorders>
          </w:tcPr>
          <w:p w14:paraId="2D6202C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(19 969)</w:t>
            </w:r>
          </w:p>
        </w:tc>
        <w:tc>
          <w:tcPr>
            <w:tcW w:w="851" w:type="dxa"/>
            <w:tcBorders>
              <w:top w:val="single" w:sz="6" w:space="0" w:color="auto"/>
            </w:tcBorders>
          </w:tcPr>
          <w:p w14:paraId="24108EC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(19 619)</w:t>
            </w:r>
          </w:p>
        </w:tc>
        <w:tc>
          <w:tcPr>
            <w:tcW w:w="850" w:type="dxa"/>
            <w:tcBorders>
              <w:top w:val="single" w:sz="6" w:space="0" w:color="auto"/>
            </w:tcBorders>
          </w:tcPr>
          <w:p w14:paraId="2A42ABB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924</w:t>
            </w:r>
          </w:p>
        </w:tc>
        <w:tc>
          <w:tcPr>
            <w:tcW w:w="709" w:type="dxa"/>
            <w:tcBorders>
              <w:top w:val="single" w:sz="6" w:space="0" w:color="auto"/>
            </w:tcBorders>
          </w:tcPr>
          <w:p w14:paraId="5AC20DC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w:t>
            </w:r>
          </w:p>
        </w:tc>
        <w:tc>
          <w:tcPr>
            <w:tcW w:w="850" w:type="dxa"/>
            <w:tcBorders>
              <w:top w:val="single" w:sz="6" w:space="0" w:color="auto"/>
            </w:tcBorders>
          </w:tcPr>
          <w:p w14:paraId="6198638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350</w:t>
            </w:r>
          </w:p>
        </w:tc>
        <w:tc>
          <w:tcPr>
            <w:tcW w:w="566" w:type="dxa"/>
            <w:tcBorders>
              <w:top w:val="single" w:sz="6" w:space="0" w:color="auto"/>
            </w:tcBorders>
          </w:tcPr>
          <w:p w14:paraId="2E2E83F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w:t>
            </w:r>
          </w:p>
        </w:tc>
      </w:tr>
      <w:tr w:rsidR="009D33A8" w14:paraId="3F7045AC"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353665A8" w14:textId="77777777" w:rsidR="009D33A8" w:rsidRDefault="009D33A8">
            <w:r>
              <w:t>Net cash flows from investments in financial assets for liquidity management purposes</w:t>
            </w:r>
          </w:p>
        </w:tc>
        <w:tc>
          <w:tcPr>
            <w:tcW w:w="851" w:type="dxa"/>
            <w:tcBorders>
              <w:bottom w:val="single" w:sz="6" w:space="0" w:color="auto"/>
            </w:tcBorders>
          </w:tcPr>
          <w:p w14:paraId="02E6B733" w14:textId="77777777" w:rsidR="009D33A8" w:rsidRDefault="009D33A8">
            <w:pPr>
              <w:cnfStyle w:val="000000000000" w:firstRow="0" w:lastRow="0" w:firstColumn="0" w:lastColumn="0" w:oddVBand="0" w:evenVBand="0" w:oddHBand="0" w:evenHBand="0" w:firstRowFirstColumn="0" w:firstRowLastColumn="0" w:lastRowFirstColumn="0" w:lastRowLastColumn="0"/>
            </w:pPr>
            <w:r>
              <w:t>(1 487)</w:t>
            </w:r>
          </w:p>
        </w:tc>
        <w:tc>
          <w:tcPr>
            <w:tcW w:w="850" w:type="dxa"/>
            <w:tcBorders>
              <w:bottom w:val="single" w:sz="6" w:space="0" w:color="auto"/>
            </w:tcBorders>
          </w:tcPr>
          <w:p w14:paraId="680ED8D8" w14:textId="77777777" w:rsidR="009D33A8" w:rsidRDefault="009D33A8">
            <w:pPr>
              <w:cnfStyle w:val="000000000000" w:firstRow="0" w:lastRow="0" w:firstColumn="0" w:lastColumn="0" w:oddVBand="0" w:evenVBand="0" w:oddHBand="0" w:evenHBand="0" w:firstRowFirstColumn="0" w:firstRowLastColumn="0" w:lastRowFirstColumn="0" w:lastRowLastColumn="0"/>
            </w:pPr>
            <w:r>
              <w:t>(1 805)</w:t>
            </w:r>
          </w:p>
        </w:tc>
        <w:tc>
          <w:tcPr>
            <w:tcW w:w="851" w:type="dxa"/>
            <w:tcBorders>
              <w:bottom w:val="single" w:sz="6" w:space="0" w:color="auto"/>
            </w:tcBorders>
          </w:tcPr>
          <w:p w14:paraId="1CA1D4F4" w14:textId="77777777" w:rsidR="009D33A8" w:rsidRDefault="009D33A8">
            <w:pPr>
              <w:cnfStyle w:val="000000000000" w:firstRow="0" w:lastRow="0" w:firstColumn="0" w:lastColumn="0" w:oddVBand="0" w:evenVBand="0" w:oddHBand="0" w:evenHBand="0" w:firstRowFirstColumn="0" w:firstRowLastColumn="0" w:lastRowFirstColumn="0" w:lastRowLastColumn="0"/>
            </w:pPr>
            <w:r>
              <w:t>(1 717)</w:t>
            </w:r>
          </w:p>
        </w:tc>
        <w:tc>
          <w:tcPr>
            <w:tcW w:w="850" w:type="dxa"/>
            <w:tcBorders>
              <w:bottom w:val="single" w:sz="6" w:space="0" w:color="auto"/>
            </w:tcBorders>
          </w:tcPr>
          <w:p w14:paraId="07735023" w14:textId="77777777" w:rsidR="009D33A8" w:rsidRDefault="009D33A8">
            <w:pPr>
              <w:cnfStyle w:val="000000000000" w:firstRow="0" w:lastRow="0" w:firstColumn="0" w:lastColumn="0" w:oddVBand="0" w:evenVBand="0" w:oddHBand="0" w:evenHBand="0" w:firstRowFirstColumn="0" w:firstRowLastColumn="0" w:lastRowFirstColumn="0" w:lastRowLastColumn="0"/>
            </w:pPr>
            <w:r>
              <w:t>(230)</w:t>
            </w:r>
          </w:p>
        </w:tc>
        <w:tc>
          <w:tcPr>
            <w:tcW w:w="709" w:type="dxa"/>
            <w:tcBorders>
              <w:bottom w:val="single" w:sz="6" w:space="0" w:color="auto"/>
            </w:tcBorders>
          </w:tcPr>
          <w:p w14:paraId="6DD60ABB" w14:textId="77777777" w:rsidR="009D33A8" w:rsidRDefault="009D33A8">
            <w:pPr>
              <w:cnfStyle w:val="000000000000" w:firstRow="0" w:lastRow="0" w:firstColumn="0" w:lastColumn="0" w:oddVBand="0" w:evenVBand="0" w:oddHBand="0" w:evenHBand="0" w:firstRowFirstColumn="0" w:firstRowLastColumn="0" w:lastRowFirstColumn="0" w:lastRowLastColumn="0"/>
            </w:pPr>
            <w:r>
              <w:t>15</w:t>
            </w:r>
          </w:p>
        </w:tc>
        <w:tc>
          <w:tcPr>
            <w:tcW w:w="850" w:type="dxa"/>
            <w:tcBorders>
              <w:bottom w:val="single" w:sz="6" w:space="0" w:color="auto"/>
            </w:tcBorders>
          </w:tcPr>
          <w:p w14:paraId="476694BB" w14:textId="77777777" w:rsidR="009D33A8" w:rsidRDefault="009D33A8">
            <w:pPr>
              <w:cnfStyle w:val="000000000000" w:firstRow="0" w:lastRow="0" w:firstColumn="0" w:lastColumn="0" w:oddVBand="0" w:evenVBand="0" w:oddHBand="0" w:evenHBand="0" w:firstRowFirstColumn="0" w:firstRowLastColumn="0" w:lastRowFirstColumn="0" w:lastRowLastColumn="0"/>
            </w:pPr>
            <w:r>
              <w:t>88</w:t>
            </w:r>
          </w:p>
        </w:tc>
        <w:tc>
          <w:tcPr>
            <w:tcW w:w="566" w:type="dxa"/>
            <w:tcBorders>
              <w:bottom w:val="single" w:sz="6" w:space="0" w:color="auto"/>
            </w:tcBorders>
          </w:tcPr>
          <w:p w14:paraId="456499E2"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r>
      <w:tr w:rsidR="009D33A8" w14:paraId="6B78641B"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512DB7C4" w14:textId="77777777" w:rsidR="009D33A8" w:rsidRDefault="009D33A8">
            <w:r>
              <w:rPr>
                <w:b/>
              </w:rPr>
              <w:t>Net cash flows from investing activities</w:t>
            </w:r>
          </w:p>
        </w:tc>
        <w:tc>
          <w:tcPr>
            <w:tcW w:w="851" w:type="dxa"/>
            <w:tcBorders>
              <w:top w:val="single" w:sz="6" w:space="0" w:color="auto"/>
            </w:tcBorders>
          </w:tcPr>
          <w:p w14:paraId="61EFC3B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(22 031)</w:t>
            </w:r>
          </w:p>
        </w:tc>
        <w:tc>
          <w:tcPr>
            <w:tcW w:w="850" w:type="dxa"/>
            <w:tcBorders>
              <w:top w:val="single" w:sz="6" w:space="0" w:color="auto"/>
            </w:tcBorders>
          </w:tcPr>
          <w:p w14:paraId="4633A0A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(21 775)</w:t>
            </w:r>
          </w:p>
        </w:tc>
        <w:tc>
          <w:tcPr>
            <w:tcW w:w="851" w:type="dxa"/>
            <w:tcBorders>
              <w:top w:val="single" w:sz="6" w:space="0" w:color="auto"/>
            </w:tcBorders>
          </w:tcPr>
          <w:p w14:paraId="45A67BA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(21 336)</w:t>
            </w:r>
          </w:p>
        </w:tc>
        <w:tc>
          <w:tcPr>
            <w:tcW w:w="850" w:type="dxa"/>
            <w:tcBorders>
              <w:top w:val="single" w:sz="6" w:space="0" w:color="auto"/>
            </w:tcBorders>
          </w:tcPr>
          <w:p w14:paraId="1EE2D23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694</w:t>
            </w:r>
          </w:p>
        </w:tc>
        <w:tc>
          <w:tcPr>
            <w:tcW w:w="709" w:type="dxa"/>
            <w:tcBorders>
              <w:top w:val="single" w:sz="6" w:space="0" w:color="auto"/>
            </w:tcBorders>
          </w:tcPr>
          <w:p w14:paraId="7EA68CC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tcBorders>
          </w:tcPr>
          <w:p w14:paraId="567456A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438</w:t>
            </w:r>
          </w:p>
        </w:tc>
        <w:tc>
          <w:tcPr>
            <w:tcW w:w="566" w:type="dxa"/>
            <w:tcBorders>
              <w:top w:val="single" w:sz="6" w:space="0" w:color="auto"/>
            </w:tcBorders>
          </w:tcPr>
          <w:p w14:paraId="482C6DA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w:t>
            </w:r>
          </w:p>
        </w:tc>
      </w:tr>
      <w:tr w:rsidR="009D33A8" w14:paraId="3FFD5AA9" w14:textId="77777777">
        <w:tc>
          <w:tcPr>
            <w:cnfStyle w:val="001000000000" w:firstRow="0" w:lastRow="0" w:firstColumn="1" w:lastColumn="0" w:oddVBand="0" w:evenVBand="0" w:oddHBand="0" w:evenHBand="0" w:firstRowFirstColumn="0" w:firstRowLastColumn="0" w:lastRowFirstColumn="0" w:lastRowLastColumn="0"/>
            <w:tcW w:w="4111" w:type="dxa"/>
          </w:tcPr>
          <w:p w14:paraId="04A54CFC" w14:textId="77777777" w:rsidR="009D33A8" w:rsidRDefault="009D33A8">
            <w:r>
              <w:rPr>
                <w:b/>
              </w:rPr>
              <w:t>Cash flows from financing activities</w:t>
            </w:r>
          </w:p>
        </w:tc>
        <w:tc>
          <w:tcPr>
            <w:tcW w:w="851" w:type="dxa"/>
          </w:tcPr>
          <w:p w14:paraId="548705A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5AF1F5D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1" w:type="dxa"/>
          </w:tcPr>
          <w:p w14:paraId="0F724A0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2E8F86A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09" w:type="dxa"/>
          </w:tcPr>
          <w:p w14:paraId="532C80E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850" w:type="dxa"/>
          </w:tcPr>
          <w:p w14:paraId="6D5A743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566" w:type="dxa"/>
          </w:tcPr>
          <w:p w14:paraId="4229285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4CF5101" w14:textId="77777777">
        <w:tc>
          <w:tcPr>
            <w:cnfStyle w:val="001000000000" w:firstRow="0" w:lastRow="0" w:firstColumn="1" w:lastColumn="0" w:oddVBand="0" w:evenVBand="0" w:oddHBand="0" w:evenHBand="0" w:firstRowFirstColumn="0" w:firstRowLastColumn="0" w:lastRowFirstColumn="0" w:lastRowLastColumn="0"/>
            <w:tcW w:w="4111" w:type="dxa"/>
          </w:tcPr>
          <w:p w14:paraId="758BE30D" w14:textId="77777777" w:rsidR="009D33A8" w:rsidRDefault="009D33A8">
            <w:r>
              <w:t>Advances received (net)</w:t>
            </w:r>
          </w:p>
        </w:tc>
        <w:tc>
          <w:tcPr>
            <w:tcW w:w="851" w:type="dxa"/>
          </w:tcPr>
          <w:p w14:paraId="12926BE0"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1641377C"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5EFA51FB" w14:textId="77777777" w:rsidR="009D33A8" w:rsidRDefault="009D33A8">
            <w:pPr>
              <w:cnfStyle w:val="000000000000" w:firstRow="0" w:lastRow="0" w:firstColumn="0" w:lastColumn="0" w:oddVBand="0" w:evenVBand="0" w:oddHBand="0" w:evenHBand="0" w:firstRowFirstColumn="0" w:firstRowLastColumn="0" w:lastRowFirstColumn="0" w:lastRowLastColumn="0"/>
            </w:pPr>
            <w:r>
              <w:t>31</w:t>
            </w:r>
          </w:p>
        </w:tc>
        <w:tc>
          <w:tcPr>
            <w:tcW w:w="850" w:type="dxa"/>
          </w:tcPr>
          <w:p w14:paraId="44280464" w14:textId="77777777" w:rsidR="009D33A8" w:rsidRDefault="009D33A8">
            <w:pPr>
              <w:cnfStyle w:val="000000000000" w:firstRow="0" w:lastRow="0" w:firstColumn="0" w:lastColumn="0" w:oddVBand="0" w:evenVBand="0" w:oddHBand="0" w:evenHBand="0" w:firstRowFirstColumn="0" w:firstRowLastColumn="0" w:lastRowFirstColumn="0" w:lastRowLastColumn="0"/>
            </w:pPr>
            <w:r>
              <w:t>36</w:t>
            </w:r>
          </w:p>
        </w:tc>
        <w:tc>
          <w:tcPr>
            <w:tcW w:w="709" w:type="dxa"/>
          </w:tcPr>
          <w:p w14:paraId="4E3D53FB" w14:textId="77777777" w:rsidR="009D33A8" w:rsidRDefault="009D33A8">
            <w:pPr>
              <w:cnfStyle w:val="000000000000" w:firstRow="0" w:lastRow="0" w:firstColumn="0" w:lastColumn="0" w:oddVBand="0" w:evenVBand="0" w:oddHBand="0" w:evenHBand="0" w:firstRowFirstColumn="0" w:firstRowLastColumn="0" w:lastRowFirstColumn="0" w:lastRowLastColumn="0"/>
            </w:pPr>
            <w:r>
              <w:t>(667)</w:t>
            </w:r>
          </w:p>
        </w:tc>
        <w:tc>
          <w:tcPr>
            <w:tcW w:w="850" w:type="dxa"/>
          </w:tcPr>
          <w:p w14:paraId="21CBB45A" w14:textId="77777777" w:rsidR="009D33A8" w:rsidRDefault="009D33A8">
            <w:pPr>
              <w:cnfStyle w:val="000000000000" w:firstRow="0" w:lastRow="0" w:firstColumn="0" w:lastColumn="0" w:oddVBand="0" w:evenVBand="0" w:oddHBand="0" w:evenHBand="0" w:firstRowFirstColumn="0" w:firstRowLastColumn="0" w:lastRowFirstColumn="0" w:lastRowLastColumn="0"/>
            </w:pPr>
            <w:r>
              <w:t>36</w:t>
            </w:r>
          </w:p>
        </w:tc>
        <w:tc>
          <w:tcPr>
            <w:tcW w:w="566" w:type="dxa"/>
          </w:tcPr>
          <w:p w14:paraId="1ED2B751" w14:textId="77777777" w:rsidR="009D33A8" w:rsidRDefault="009D33A8">
            <w:pPr>
              <w:cnfStyle w:val="000000000000" w:firstRow="0" w:lastRow="0" w:firstColumn="0" w:lastColumn="0" w:oddVBand="0" w:evenVBand="0" w:oddHBand="0" w:evenHBand="0" w:firstRowFirstColumn="0" w:firstRowLastColumn="0" w:lastRowFirstColumn="0" w:lastRowLastColumn="0"/>
            </w:pPr>
            <w:r>
              <w:t>(667)</w:t>
            </w:r>
          </w:p>
        </w:tc>
      </w:tr>
      <w:tr w:rsidR="009D33A8" w14:paraId="1DEEA4EC" w14:textId="77777777">
        <w:tc>
          <w:tcPr>
            <w:cnfStyle w:val="001000000000" w:firstRow="0" w:lastRow="0" w:firstColumn="1" w:lastColumn="0" w:oddVBand="0" w:evenVBand="0" w:oddHBand="0" w:evenHBand="0" w:firstRowFirstColumn="0" w:firstRowLastColumn="0" w:lastRowFirstColumn="0" w:lastRowLastColumn="0"/>
            <w:tcW w:w="4111" w:type="dxa"/>
          </w:tcPr>
          <w:p w14:paraId="70635E24" w14:textId="77777777" w:rsidR="009D33A8" w:rsidRDefault="009D33A8">
            <w:r>
              <w:t>Net borrowings</w:t>
            </w:r>
          </w:p>
        </w:tc>
        <w:tc>
          <w:tcPr>
            <w:tcW w:w="851" w:type="dxa"/>
          </w:tcPr>
          <w:p w14:paraId="2F1F6F8F" w14:textId="77777777" w:rsidR="009D33A8" w:rsidRDefault="009D33A8">
            <w:pPr>
              <w:cnfStyle w:val="000000000000" w:firstRow="0" w:lastRow="0" w:firstColumn="0" w:lastColumn="0" w:oddVBand="0" w:evenVBand="0" w:oddHBand="0" w:evenHBand="0" w:firstRowFirstColumn="0" w:firstRowLastColumn="0" w:lastRowFirstColumn="0" w:lastRowLastColumn="0"/>
            </w:pPr>
            <w:r>
              <w:t>20 713</w:t>
            </w:r>
          </w:p>
        </w:tc>
        <w:tc>
          <w:tcPr>
            <w:tcW w:w="850" w:type="dxa"/>
          </w:tcPr>
          <w:p w14:paraId="64078AC0" w14:textId="77777777" w:rsidR="009D33A8" w:rsidRDefault="009D33A8">
            <w:pPr>
              <w:cnfStyle w:val="000000000000" w:firstRow="0" w:lastRow="0" w:firstColumn="0" w:lastColumn="0" w:oddVBand="0" w:evenVBand="0" w:oddHBand="0" w:evenHBand="0" w:firstRowFirstColumn="0" w:firstRowLastColumn="0" w:lastRowFirstColumn="0" w:lastRowLastColumn="0"/>
            </w:pPr>
            <w:r>
              <w:t>17 907</w:t>
            </w:r>
          </w:p>
        </w:tc>
        <w:tc>
          <w:tcPr>
            <w:tcW w:w="851" w:type="dxa"/>
          </w:tcPr>
          <w:p w14:paraId="1062E4BC" w14:textId="77777777" w:rsidR="009D33A8" w:rsidRDefault="009D33A8">
            <w:pPr>
              <w:cnfStyle w:val="000000000000" w:firstRow="0" w:lastRow="0" w:firstColumn="0" w:lastColumn="0" w:oddVBand="0" w:evenVBand="0" w:oddHBand="0" w:evenHBand="0" w:firstRowFirstColumn="0" w:firstRowLastColumn="0" w:lastRowFirstColumn="0" w:lastRowLastColumn="0"/>
            </w:pPr>
            <w:r>
              <w:t>16 524</w:t>
            </w:r>
          </w:p>
        </w:tc>
        <w:tc>
          <w:tcPr>
            <w:tcW w:w="850" w:type="dxa"/>
          </w:tcPr>
          <w:p w14:paraId="3CEDB2E0" w14:textId="77777777" w:rsidR="009D33A8" w:rsidRDefault="009D33A8">
            <w:pPr>
              <w:cnfStyle w:val="000000000000" w:firstRow="0" w:lastRow="0" w:firstColumn="0" w:lastColumn="0" w:oddVBand="0" w:evenVBand="0" w:oddHBand="0" w:evenHBand="0" w:firstRowFirstColumn="0" w:firstRowLastColumn="0" w:lastRowFirstColumn="0" w:lastRowLastColumn="0"/>
            </w:pPr>
            <w:r>
              <w:t>(4 189)</w:t>
            </w:r>
          </w:p>
        </w:tc>
        <w:tc>
          <w:tcPr>
            <w:tcW w:w="709" w:type="dxa"/>
          </w:tcPr>
          <w:p w14:paraId="05F40628" w14:textId="77777777" w:rsidR="009D33A8" w:rsidRDefault="009D33A8">
            <w:pPr>
              <w:cnfStyle w:val="000000000000" w:firstRow="0" w:lastRow="0" w:firstColumn="0" w:lastColumn="0" w:oddVBand="0" w:evenVBand="0" w:oddHBand="0" w:evenHBand="0" w:firstRowFirstColumn="0" w:firstRowLastColumn="0" w:lastRowFirstColumn="0" w:lastRowLastColumn="0"/>
            </w:pPr>
            <w:r>
              <w:t>(20)</w:t>
            </w:r>
          </w:p>
        </w:tc>
        <w:tc>
          <w:tcPr>
            <w:tcW w:w="850" w:type="dxa"/>
          </w:tcPr>
          <w:p w14:paraId="7D9CEAA5" w14:textId="77777777" w:rsidR="009D33A8" w:rsidRDefault="009D33A8">
            <w:pPr>
              <w:cnfStyle w:val="000000000000" w:firstRow="0" w:lastRow="0" w:firstColumn="0" w:lastColumn="0" w:oddVBand="0" w:evenVBand="0" w:oddHBand="0" w:evenHBand="0" w:firstRowFirstColumn="0" w:firstRowLastColumn="0" w:lastRowFirstColumn="0" w:lastRowLastColumn="0"/>
            </w:pPr>
            <w:r>
              <w:t>(1 383)</w:t>
            </w:r>
          </w:p>
        </w:tc>
        <w:tc>
          <w:tcPr>
            <w:tcW w:w="566" w:type="dxa"/>
          </w:tcPr>
          <w:p w14:paraId="07E2AC0A" w14:textId="77777777" w:rsidR="009D33A8" w:rsidRDefault="009D33A8">
            <w:pPr>
              <w:cnfStyle w:val="000000000000" w:firstRow="0" w:lastRow="0" w:firstColumn="0" w:lastColumn="0" w:oddVBand="0" w:evenVBand="0" w:oddHBand="0" w:evenHBand="0" w:firstRowFirstColumn="0" w:firstRowLastColumn="0" w:lastRowFirstColumn="0" w:lastRowLastColumn="0"/>
            </w:pPr>
            <w:r>
              <w:t>(8)</w:t>
            </w:r>
          </w:p>
        </w:tc>
      </w:tr>
      <w:tr w:rsidR="009D33A8" w14:paraId="0E11D4B2" w14:textId="77777777">
        <w:tc>
          <w:tcPr>
            <w:cnfStyle w:val="001000000000" w:firstRow="0" w:lastRow="0" w:firstColumn="1" w:lastColumn="0" w:oddVBand="0" w:evenVBand="0" w:oddHBand="0" w:evenHBand="0" w:firstRowFirstColumn="0" w:firstRowLastColumn="0" w:lastRowFirstColumn="0" w:lastRowLastColumn="0"/>
            <w:tcW w:w="4111" w:type="dxa"/>
          </w:tcPr>
          <w:p w14:paraId="6739A86E" w14:textId="77777777" w:rsidR="009D33A8" w:rsidRDefault="009D33A8">
            <w:r>
              <w:t>Deposits received (net)</w:t>
            </w:r>
          </w:p>
        </w:tc>
        <w:tc>
          <w:tcPr>
            <w:tcW w:w="851" w:type="dxa"/>
          </w:tcPr>
          <w:p w14:paraId="29FF74B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482DEB92" w14:textId="77777777" w:rsidR="009D33A8" w:rsidRDefault="009D33A8">
            <w:pPr>
              <w:cnfStyle w:val="000000000000" w:firstRow="0" w:lastRow="0" w:firstColumn="0" w:lastColumn="0" w:oddVBand="0" w:evenVBand="0" w:oddHBand="0" w:evenHBand="0" w:firstRowFirstColumn="0" w:firstRowLastColumn="0" w:lastRowFirstColumn="0" w:lastRowLastColumn="0"/>
            </w:pPr>
            <w:r>
              <w:t>(48)</w:t>
            </w:r>
          </w:p>
        </w:tc>
        <w:tc>
          <w:tcPr>
            <w:tcW w:w="851" w:type="dxa"/>
          </w:tcPr>
          <w:p w14:paraId="24B31E60"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c>
          <w:tcPr>
            <w:tcW w:w="850" w:type="dxa"/>
          </w:tcPr>
          <w:p w14:paraId="06A116A8" w14:textId="77777777" w:rsidR="009D33A8" w:rsidRDefault="009D33A8">
            <w:pPr>
              <w:cnfStyle w:val="000000000000" w:firstRow="0" w:lastRow="0" w:firstColumn="0" w:lastColumn="0" w:oddVBand="0" w:evenVBand="0" w:oddHBand="0" w:evenHBand="0" w:firstRowFirstColumn="0" w:firstRowLastColumn="0" w:lastRowFirstColumn="0" w:lastRowLastColumn="0"/>
            </w:pPr>
            <w:r>
              <w:t>39</w:t>
            </w:r>
          </w:p>
        </w:tc>
        <w:tc>
          <w:tcPr>
            <w:tcW w:w="709" w:type="dxa"/>
          </w:tcPr>
          <w:p w14:paraId="6CEECCF9" w14:textId="77777777" w:rsidR="009D33A8" w:rsidRDefault="009D33A8">
            <w:pPr>
              <w:cnfStyle w:val="000000000000" w:firstRow="0" w:lastRow="0" w:firstColumn="0" w:lastColumn="0" w:oddVBand="0" w:evenVBand="0" w:oddHBand="0" w:evenHBand="0" w:firstRowFirstColumn="0" w:firstRowLastColumn="0" w:lastRowFirstColumn="0" w:lastRowLastColumn="0"/>
            </w:pPr>
            <w:r>
              <w:t>n.a</w:t>
            </w:r>
          </w:p>
        </w:tc>
        <w:tc>
          <w:tcPr>
            <w:tcW w:w="850" w:type="dxa"/>
          </w:tcPr>
          <w:p w14:paraId="203A512A" w14:textId="77777777" w:rsidR="009D33A8" w:rsidRDefault="009D33A8">
            <w:pPr>
              <w:cnfStyle w:val="000000000000" w:firstRow="0" w:lastRow="0" w:firstColumn="0" w:lastColumn="0" w:oddVBand="0" w:evenVBand="0" w:oddHBand="0" w:evenHBand="0" w:firstRowFirstColumn="0" w:firstRowLastColumn="0" w:lastRowFirstColumn="0" w:lastRowLastColumn="0"/>
            </w:pPr>
            <w:r>
              <w:t>87</w:t>
            </w:r>
          </w:p>
        </w:tc>
        <w:tc>
          <w:tcPr>
            <w:tcW w:w="566" w:type="dxa"/>
          </w:tcPr>
          <w:p w14:paraId="78487087" w14:textId="77777777" w:rsidR="009D33A8" w:rsidRDefault="009D33A8">
            <w:pPr>
              <w:cnfStyle w:val="000000000000" w:firstRow="0" w:lastRow="0" w:firstColumn="0" w:lastColumn="0" w:oddVBand="0" w:evenVBand="0" w:oddHBand="0" w:evenHBand="0" w:firstRowFirstColumn="0" w:firstRowLastColumn="0" w:lastRowFirstColumn="0" w:lastRowLastColumn="0"/>
            </w:pPr>
            <w:r>
              <w:t>(181)</w:t>
            </w:r>
          </w:p>
        </w:tc>
      </w:tr>
      <w:tr w:rsidR="009D33A8" w14:paraId="4D174B36"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6" w:space="0" w:color="auto"/>
            </w:tcBorders>
          </w:tcPr>
          <w:p w14:paraId="5D1968A2" w14:textId="77777777" w:rsidR="009D33A8" w:rsidRDefault="009D33A8">
            <w:r>
              <w:rPr>
                <w:b/>
              </w:rPr>
              <w:t>Net cash flows from financing activities</w:t>
            </w:r>
          </w:p>
        </w:tc>
        <w:tc>
          <w:tcPr>
            <w:tcW w:w="851" w:type="dxa"/>
            <w:tcBorders>
              <w:top w:val="single" w:sz="6" w:space="0" w:color="auto"/>
              <w:bottom w:val="single" w:sz="6" w:space="0" w:color="auto"/>
            </w:tcBorders>
          </w:tcPr>
          <w:p w14:paraId="32D002F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20 707</w:t>
            </w:r>
          </w:p>
        </w:tc>
        <w:tc>
          <w:tcPr>
            <w:tcW w:w="850" w:type="dxa"/>
            <w:tcBorders>
              <w:top w:val="single" w:sz="6" w:space="0" w:color="auto"/>
              <w:bottom w:val="single" w:sz="6" w:space="0" w:color="auto"/>
            </w:tcBorders>
          </w:tcPr>
          <w:p w14:paraId="710F929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17 853</w:t>
            </w:r>
          </w:p>
        </w:tc>
        <w:tc>
          <w:tcPr>
            <w:tcW w:w="851" w:type="dxa"/>
            <w:tcBorders>
              <w:top w:val="single" w:sz="6" w:space="0" w:color="auto"/>
              <w:bottom w:val="single" w:sz="6" w:space="0" w:color="auto"/>
            </w:tcBorders>
          </w:tcPr>
          <w:p w14:paraId="7D771C7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16 593</w:t>
            </w:r>
          </w:p>
        </w:tc>
        <w:tc>
          <w:tcPr>
            <w:tcW w:w="850" w:type="dxa"/>
            <w:tcBorders>
              <w:top w:val="single" w:sz="6" w:space="0" w:color="auto"/>
              <w:bottom w:val="single" w:sz="6" w:space="0" w:color="auto"/>
            </w:tcBorders>
          </w:tcPr>
          <w:p w14:paraId="5D8C063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(4 114)</w:t>
            </w:r>
          </w:p>
        </w:tc>
        <w:tc>
          <w:tcPr>
            <w:tcW w:w="709" w:type="dxa"/>
            <w:tcBorders>
              <w:top w:val="single" w:sz="6" w:space="0" w:color="auto"/>
              <w:bottom w:val="single" w:sz="6" w:space="0" w:color="auto"/>
            </w:tcBorders>
          </w:tcPr>
          <w:p w14:paraId="5FD7C8C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(20)</w:t>
            </w:r>
          </w:p>
        </w:tc>
        <w:tc>
          <w:tcPr>
            <w:tcW w:w="850" w:type="dxa"/>
            <w:tcBorders>
              <w:top w:val="single" w:sz="6" w:space="0" w:color="auto"/>
              <w:bottom w:val="single" w:sz="6" w:space="0" w:color="auto"/>
            </w:tcBorders>
          </w:tcPr>
          <w:p w14:paraId="743EF8E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(1 260)</w:t>
            </w:r>
          </w:p>
        </w:tc>
        <w:tc>
          <w:tcPr>
            <w:tcW w:w="566" w:type="dxa"/>
            <w:tcBorders>
              <w:top w:val="single" w:sz="6" w:space="0" w:color="auto"/>
              <w:bottom w:val="single" w:sz="6" w:space="0" w:color="auto"/>
            </w:tcBorders>
          </w:tcPr>
          <w:p w14:paraId="2EDF71A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w:t>
            </w:r>
          </w:p>
        </w:tc>
      </w:tr>
      <w:tr w:rsidR="009D33A8" w14:paraId="70D546EE"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tcBorders>
          </w:tcPr>
          <w:p w14:paraId="11AD3E05" w14:textId="77777777" w:rsidR="009D33A8" w:rsidRDefault="009D33A8">
            <w:r>
              <w:rPr>
                <w:b/>
              </w:rPr>
              <w:t>Net increase/(decrease) in cash and cash equivalents</w:t>
            </w:r>
          </w:p>
        </w:tc>
        <w:tc>
          <w:tcPr>
            <w:tcW w:w="851" w:type="dxa"/>
            <w:tcBorders>
              <w:top w:val="single" w:sz="6" w:space="0" w:color="auto"/>
            </w:tcBorders>
          </w:tcPr>
          <w:p w14:paraId="3E3112C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474</w:t>
            </w:r>
          </w:p>
        </w:tc>
        <w:tc>
          <w:tcPr>
            <w:tcW w:w="850" w:type="dxa"/>
            <w:tcBorders>
              <w:top w:val="single" w:sz="6" w:space="0" w:color="auto"/>
            </w:tcBorders>
          </w:tcPr>
          <w:p w14:paraId="7BA9D7F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(3 302)</w:t>
            </w:r>
          </w:p>
        </w:tc>
        <w:tc>
          <w:tcPr>
            <w:tcW w:w="851" w:type="dxa"/>
            <w:tcBorders>
              <w:top w:val="single" w:sz="6" w:space="0" w:color="auto"/>
            </w:tcBorders>
          </w:tcPr>
          <w:p w14:paraId="3DCE4A9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(1 510)</w:t>
            </w:r>
          </w:p>
        </w:tc>
        <w:tc>
          <w:tcPr>
            <w:tcW w:w="850" w:type="dxa"/>
            <w:tcBorders>
              <w:top w:val="single" w:sz="6" w:space="0" w:color="auto"/>
            </w:tcBorders>
          </w:tcPr>
          <w:p w14:paraId="2E10371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(1 984)</w:t>
            </w:r>
          </w:p>
        </w:tc>
        <w:tc>
          <w:tcPr>
            <w:tcW w:w="709" w:type="dxa"/>
            <w:tcBorders>
              <w:top w:val="single" w:sz="6" w:space="0" w:color="auto"/>
            </w:tcBorders>
          </w:tcPr>
          <w:p w14:paraId="3F1DEB4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(419)</w:t>
            </w:r>
          </w:p>
        </w:tc>
        <w:tc>
          <w:tcPr>
            <w:tcW w:w="850" w:type="dxa"/>
            <w:tcBorders>
              <w:top w:val="single" w:sz="6" w:space="0" w:color="auto"/>
            </w:tcBorders>
          </w:tcPr>
          <w:p w14:paraId="79D7198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1 791</w:t>
            </w:r>
          </w:p>
        </w:tc>
        <w:tc>
          <w:tcPr>
            <w:tcW w:w="566" w:type="dxa"/>
            <w:tcBorders>
              <w:top w:val="single" w:sz="6" w:space="0" w:color="auto"/>
            </w:tcBorders>
          </w:tcPr>
          <w:p w14:paraId="4BFAD54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(54)</w:t>
            </w:r>
          </w:p>
        </w:tc>
      </w:tr>
      <w:tr w:rsidR="009D33A8" w14:paraId="68C8EF35" w14:textId="77777777">
        <w:tc>
          <w:tcPr>
            <w:cnfStyle w:val="001000000000" w:firstRow="0" w:lastRow="0" w:firstColumn="1" w:lastColumn="0" w:oddVBand="0" w:evenVBand="0" w:oddHBand="0" w:evenHBand="0" w:firstRowFirstColumn="0" w:firstRowLastColumn="0" w:lastRowFirstColumn="0" w:lastRowLastColumn="0"/>
            <w:tcW w:w="4111" w:type="dxa"/>
            <w:tcBorders>
              <w:bottom w:val="single" w:sz="6" w:space="0" w:color="auto"/>
            </w:tcBorders>
          </w:tcPr>
          <w:p w14:paraId="410F0A81" w14:textId="77777777" w:rsidR="009D33A8" w:rsidRDefault="009D33A8">
            <w:r>
              <w:t>Cash and cash equivalents at beginning of reporting period</w:t>
            </w:r>
          </w:p>
        </w:tc>
        <w:tc>
          <w:tcPr>
            <w:tcW w:w="851" w:type="dxa"/>
            <w:tcBorders>
              <w:bottom w:val="single" w:sz="6" w:space="0" w:color="auto"/>
            </w:tcBorders>
          </w:tcPr>
          <w:p w14:paraId="7912BC05" w14:textId="77777777" w:rsidR="009D33A8" w:rsidRDefault="009D33A8">
            <w:pPr>
              <w:cnfStyle w:val="000000000000" w:firstRow="0" w:lastRow="0" w:firstColumn="0" w:lastColumn="0" w:oddVBand="0" w:evenVBand="0" w:oddHBand="0" w:evenHBand="0" w:firstRowFirstColumn="0" w:firstRowLastColumn="0" w:lastRowFirstColumn="0" w:lastRowLastColumn="0"/>
            </w:pPr>
            <w:r>
              <w:t>11 914</w:t>
            </w:r>
          </w:p>
        </w:tc>
        <w:tc>
          <w:tcPr>
            <w:tcW w:w="850" w:type="dxa"/>
            <w:tcBorders>
              <w:bottom w:val="single" w:sz="6" w:space="0" w:color="auto"/>
            </w:tcBorders>
          </w:tcPr>
          <w:p w14:paraId="5EC3FEC1" w14:textId="77777777" w:rsidR="009D33A8" w:rsidRDefault="009D33A8">
            <w:pPr>
              <w:cnfStyle w:val="000000000000" w:firstRow="0" w:lastRow="0" w:firstColumn="0" w:lastColumn="0" w:oddVBand="0" w:evenVBand="0" w:oddHBand="0" w:evenHBand="0" w:firstRowFirstColumn="0" w:firstRowLastColumn="0" w:lastRowFirstColumn="0" w:lastRowLastColumn="0"/>
            </w:pPr>
            <w:r>
              <w:t>14 310</w:t>
            </w:r>
          </w:p>
        </w:tc>
        <w:tc>
          <w:tcPr>
            <w:tcW w:w="851" w:type="dxa"/>
            <w:tcBorders>
              <w:bottom w:val="single" w:sz="6" w:space="0" w:color="auto"/>
            </w:tcBorders>
          </w:tcPr>
          <w:p w14:paraId="20112488" w14:textId="77777777" w:rsidR="009D33A8" w:rsidRDefault="009D33A8">
            <w:pPr>
              <w:cnfStyle w:val="000000000000" w:firstRow="0" w:lastRow="0" w:firstColumn="0" w:lastColumn="0" w:oddVBand="0" w:evenVBand="0" w:oddHBand="0" w:evenHBand="0" w:firstRowFirstColumn="0" w:firstRowLastColumn="0" w:lastRowFirstColumn="0" w:lastRowLastColumn="0"/>
            </w:pPr>
            <w:r>
              <w:t>14 310</w:t>
            </w:r>
          </w:p>
        </w:tc>
        <w:tc>
          <w:tcPr>
            <w:tcW w:w="850" w:type="dxa"/>
            <w:tcBorders>
              <w:bottom w:val="single" w:sz="6" w:space="0" w:color="auto"/>
            </w:tcBorders>
          </w:tcPr>
          <w:p w14:paraId="4CB336E5" w14:textId="77777777" w:rsidR="009D33A8" w:rsidRDefault="009D33A8">
            <w:pPr>
              <w:cnfStyle w:val="000000000000" w:firstRow="0" w:lastRow="0" w:firstColumn="0" w:lastColumn="0" w:oddVBand="0" w:evenVBand="0" w:oddHBand="0" w:evenHBand="0" w:firstRowFirstColumn="0" w:firstRowLastColumn="0" w:lastRowFirstColumn="0" w:lastRowLastColumn="0"/>
            </w:pPr>
            <w:r>
              <w:t>2 396</w:t>
            </w:r>
          </w:p>
        </w:tc>
        <w:tc>
          <w:tcPr>
            <w:tcW w:w="709" w:type="dxa"/>
            <w:tcBorders>
              <w:bottom w:val="single" w:sz="6" w:space="0" w:color="auto"/>
            </w:tcBorders>
          </w:tcPr>
          <w:p w14:paraId="124DBF98" w14:textId="77777777" w:rsidR="009D33A8" w:rsidRDefault="009D33A8">
            <w:pPr>
              <w:cnfStyle w:val="000000000000" w:firstRow="0" w:lastRow="0" w:firstColumn="0" w:lastColumn="0" w:oddVBand="0" w:evenVBand="0" w:oddHBand="0" w:evenHBand="0" w:firstRowFirstColumn="0" w:firstRowLastColumn="0" w:lastRowFirstColumn="0" w:lastRowLastColumn="0"/>
            </w:pPr>
            <w:r>
              <w:t>20</w:t>
            </w:r>
          </w:p>
        </w:tc>
        <w:tc>
          <w:tcPr>
            <w:tcW w:w="850" w:type="dxa"/>
            <w:tcBorders>
              <w:bottom w:val="single" w:sz="6" w:space="0" w:color="auto"/>
            </w:tcBorders>
          </w:tcPr>
          <w:p w14:paraId="4BBBD9D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566" w:type="dxa"/>
            <w:tcBorders>
              <w:bottom w:val="single" w:sz="6" w:space="0" w:color="auto"/>
            </w:tcBorders>
          </w:tcPr>
          <w:p w14:paraId="00A22DF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6B45D31" w14:textId="77777777">
        <w:tc>
          <w:tcPr>
            <w:cnfStyle w:val="001000000000" w:firstRow="0" w:lastRow="0" w:firstColumn="1" w:lastColumn="0" w:oddVBand="0" w:evenVBand="0" w:oddHBand="0" w:evenHBand="0" w:firstRowFirstColumn="0" w:firstRowLastColumn="0" w:lastRowFirstColumn="0" w:lastRowLastColumn="0"/>
            <w:tcW w:w="4111" w:type="dxa"/>
            <w:tcBorders>
              <w:top w:val="single" w:sz="6" w:space="0" w:color="auto"/>
              <w:bottom w:val="single" w:sz="12" w:space="0" w:color="auto"/>
            </w:tcBorders>
          </w:tcPr>
          <w:p w14:paraId="7F8DA5BC" w14:textId="77777777" w:rsidR="009D33A8" w:rsidRDefault="009D33A8">
            <w:r>
              <w:rPr>
                <w:b/>
              </w:rPr>
              <w:t>Cash and cash equivalents at end of the reporting period</w:t>
            </w:r>
          </w:p>
        </w:tc>
        <w:tc>
          <w:tcPr>
            <w:tcW w:w="851" w:type="dxa"/>
            <w:tcBorders>
              <w:top w:val="single" w:sz="6" w:space="0" w:color="auto"/>
              <w:bottom w:val="single" w:sz="12" w:space="0" w:color="auto"/>
            </w:tcBorders>
          </w:tcPr>
          <w:p w14:paraId="781C0EA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12 388</w:t>
            </w:r>
          </w:p>
        </w:tc>
        <w:tc>
          <w:tcPr>
            <w:tcW w:w="850" w:type="dxa"/>
            <w:tcBorders>
              <w:top w:val="single" w:sz="6" w:space="0" w:color="auto"/>
              <w:bottom w:val="single" w:sz="12" w:space="0" w:color="auto"/>
            </w:tcBorders>
          </w:tcPr>
          <w:p w14:paraId="676B62D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11 008</w:t>
            </w:r>
          </w:p>
        </w:tc>
        <w:tc>
          <w:tcPr>
            <w:tcW w:w="851" w:type="dxa"/>
            <w:tcBorders>
              <w:top w:val="single" w:sz="6" w:space="0" w:color="auto"/>
              <w:bottom w:val="single" w:sz="12" w:space="0" w:color="auto"/>
            </w:tcBorders>
          </w:tcPr>
          <w:p w14:paraId="1DBC2FF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12 800</w:t>
            </w:r>
          </w:p>
        </w:tc>
        <w:tc>
          <w:tcPr>
            <w:tcW w:w="850" w:type="dxa"/>
            <w:tcBorders>
              <w:top w:val="single" w:sz="6" w:space="0" w:color="auto"/>
              <w:bottom w:val="single" w:sz="12" w:space="0" w:color="auto"/>
            </w:tcBorders>
          </w:tcPr>
          <w:p w14:paraId="578910B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412</w:t>
            </w:r>
          </w:p>
        </w:tc>
        <w:tc>
          <w:tcPr>
            <w:tcW w:w="709" w:type="dxa"/>
            <w:tcBorders>
              <w:top w:val="single" w:sz="6" w:space="0" w:color="auto"/>
              <w:bottom w:val="single" w:sz="12" w:space="0" w:color="auto"/>
            </w:tcBorders>
          </w:tcPr>
          <w:p w14:paraId="40530B3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Borders>
              <w:top w:val="single" w:sz="6" w:space="0" w:color="auto"/>
              <w:bottom w:val="single" w:sz="12" w:space="0" w:color="auto"/>
            </w:tcBorders>
          </w:tcPr>
          <w:p w14:paraId="4CE2AC9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1 791</w:t>
            </w:r>
          </w:p>
        </w:tc>
        <w:tc>
          <w:tcPr>
            <w:tcW w:w="566" w:type="dxa"/>
            <w:tcBorders>
              <w:top w:val="single" w:sz="6" w:space="0" w:color="auto"/>
              <w:bottom w:val="single" w:sz="12" w:space="0" w:color="auto"/>
            </w:tcBorders>
          </w:tcPr>
          <w:p w14:paraId="2F04657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w:t>
            </w:r>
          </w:p>
        </w:tc>
      </w:tr>
    </w:tbl>
    <w:p w14:paraId="60680308" w14:textId="77777777" w:rsidR="009D33A8" w:rsidRDefault="009D33A8" w:rsidP="009D33A8">
      <w:pPr>
        <w:pStyle w:val="Note"/>
        <w:ind w:left="0" w:firstLine="0"/>
      </w:pPr>
      <w:r>
        <w:t>Note:</w:t>
      </w:r>
    </w:p>
    <w:p w14:paraId="114928C5" w14:textId="77777777" w:rsidR="009D33A8" w:rsidRDefault="009D33A8" w:rsidP="009D33A8">
      <w:pPr>
        <w:pStyle w:val="Note"/>
      </w:pPr>
      <w:r>
        <w:t>(a)</w:t>
      </w:r>
      <w:r>
        <w:tab/>
        <w:t>These items include goods and services tax.</w:t>
      </w:r>
    </w:p>
    <w:p w14:paraId="3EADBF65" w14:textId="77777777" w:rsidR="009D33A8" w:rsidRDefault="009D33A8" w:rsidP="009D33A8"/>
    <w:p w14:paraId="2A945784" w14:textId="77777777" w:rsidR="009D33A8" w:rsidRDefault="009D33A8" w:rsidP="009D33A8"/>
    <w:p w14:paraId="371F28CD" w14:textId="77777777" w:rsidR="00823C0E" w:rsidRDefault="00823C0E" w:rsidP="009D33A8">
      <w:pPr>
        <w:pStyle w:val="Heading3"/>
        <w:pageBreakBefore/>
        <w:spacing w:before="0"/>
        <w:sectPr w:rsidR="00823C0E" w:rsidSect="00823C0E">
          <w:type w:val="continuous"/>
          <w:pgSz w:w="11906" w:h="16838" w:code="9"/>
          <w:pgMar w:top="1134" w:right="1134" w:bottom="1134" w:left="1134" w:header="624" w:footer="567" w:gutter="0"/>
          <w:cols w:space="708"/>
          <w:docGrid w:linePitch="360"/>
        </w:sectPr>
      </w:pPr>
    </w:p>
    <w:p w14:paraId="17EE23EB" w14:textId="77777777" w:rsidR="009D33A8" w:rsidRPr="0055093E" w:rsidRDefault="009D33A8" w:rsidP="009D33A8">
      <w:pPr>
        <w:pStyle w:val="Heading3"/>
        <w:pageBreakBefore/>
        <w:spacing w:before="0"/>
      </w:pPr>
      <w:r w:rsidRPr="0055093E">
        <w:lastRenderedPageBreak/>
        <w:t>Net cash flows from operating activities</w:t>
      </w:r>
    </w:p>
    <w:p w14:paraId="25E4B45B" w14:textId="77777777" w:rsidR="009D33A8" w:rsidRPr="000A79A0" w:rsidRDefault="009D33A8" w:rsidP="009D33A8">
      <w:pPr>
        <w:rPr>
          <w:highlight w:val="yellow"/>
        </w:rPr>
      </w:pPr>
      <w:r w:rsidRPr="00E72704">
        <w:t>Net cash flows from operating activities were $1.</w:t>
      </w:r>
      <w:r>
        <w:t>4</w:t>
      </w:r>
      <w:r w:rsidRPr="00E72704">
        <w:t xml:space="preserve"> billion higher than the published budget. </w:t>
      </w:r>
      <w:r w:rsidRPr="00926F3B">
        <w:t xml:space="preserve">This was largely due to higher </w:t>
      </w:r>
      <w:r w:rsidRPr="00A44E12">
        <w:t xml:space="preserve">Commonwealth </w:t>
      </w:r>
      <w:r>
        <w:t xml:space="preserve">grants relating </w:t>
      </w:r>
      <w:r w:rsidRPr="00A44E12">
        <w:t>to</w:t>
      </w:r>
      <w:r>
        <w:t xml:space="preserve"> the</w:t>
      </w:r>
      <w:r w:rsidRPr="00A44E12">
        <w:t xml:space="preserve"> National Health Reform and the Pharmaceutical Benefit Scheme, </w:t>
      </w:r>
      <w:r>
        <w:t xml:space="preserve">higher than expected dividends and income tax equivalent income from the Transport Accident Commission. This is also driven by </w:t>
      </w:r>
      <w:r w:rsidRPr="000E50FF">
        <w:t xml:space="preserve">higher than forecast taxes received relating to </w:t>
      </w:r>
      <w:r>
        <w:t>land</w:t>
      </w:r>
      <w:r w:rsidRPr="000E50FF">
        <w:t xml:space="preserve"> tax</w:t>
      </w:r>
      <w:r>
        <w:t xml:space="preserve"> and </w:t>
      </w:r>
      <w:r w:rsidRPr="000E50FF">
        <w:t xml:space="preserve">land transfer duty and higher than expected GST grants. These increases were partially offset by higher </w:t>
      </w:r>
      <w:r>
        <w:t xml:space="preserve">payments for goods and services and employee expenses </w:t>
      </w:r>
      <w:r w:rsidRPr="000E50FF">
        <w:t>discuss</w:t>
      </w:r>
      <w:r w:rsidRPr="00E90452">
        <w:t>ed above.</w:t>
      </w:r>
    </w:p>
    <w:p w14:paraId="51E7D38F" w14:textId="77777777" w:rsidR="009D33A8" w:rsidRPr="00693045" w:rsidRDefault="009D33A8" w:rsidP="009D33A8">
      <w:pPr>
        <w:rPr>
          <w:rFonts w:cstheme="minorBidi"/>
          <w:b/>
        </w:rPr>
      </w:pPr>
      <w:r w:rsidRPr="00693045">
        <w:rPr>
          <w:rFonts w:cstheme="minorBidi"/>
        </w:rPr>
        <w:t>A reconciliation of the net result to net cash flows from operating activities is provided at Note 5.4.</w:t>
      </w:r>
    </w:p>
    <w:p w14:paraId="45AC003F" w14:textId="77777777" w:rsidR="009D33A8" w:rsidRPr="006033C9" w:rsidRDefault="009D33A8" w:rsidP="009D33A8">
      <w:pPr>
        <w:pStyle w:val="Heading3"/>
      </w:pPr>
      <w:r w:rsidRPr="006033C9">
        <w:t>Net cash flows from investing activities</w:t>
      </w:r>
    </w:p>
    <w:p w14:paraId="72924EEB" w14:textId="55FFC74B" w:rsidR="009D33A8" w:rsidRPr="000A79A0" w:rsidRDefault="009D33A8" w:rsidP="009D33A8">
      <w:pPr>
        <w:rPr>
          <w:highlight w:val="yellow"/>
        </w:rPr>
      </w:pPr>
      <w:r w:rsidRPr="006033C9">
        <w:t>Net cash flows from investing activities were $</w:t>
      </w:r>
      <w:r>
        <w:t>694</w:t>
      </w:r>
      <w:r w:rsidR="00DF5C09">
        <w:t> </w:t>
      </w:r>
      <w:r w:rsidRPr="006033C9">
        <w:t>million lower than the published budget. This decrease was mainly driven by lower than forecast expenditure on the State</w:t>
      </w:r>
      <w:r w:rsidR="00845934">
        <w:t>’</w:t>
      </w:r>
      <w:r w:rsidRPr="006033C9">
        <w:t xml:space="preserve">s capital program which is </w:t>
      </w:r>
      <w:r>
        <w:t xml:space="preserve">partially </w:t>
      </w:r>
      <w:r w:rsidRPr="006033C9">
        <w:t xml:space="preserve">offset by the higher cash outflows in financial assets for liquidity management purposes due to higher than expected investments with VFMC from the </w:t>
      </w:r>
      <w:r>
        <w:t xml:space="preserve">Social Housing Growth </w:t>
      </w:r>
      <w:r w:rsidRPr="006033C9">
        <w:t>Fund.</w:t>
      </w:r>
    </w:p>
    <w:p w14:paraId="71EA8BFF" w14:textId="3E6B28EB" w:rsidR="009D33A8" w:rsidRPr="002532DA" w:rsidRDefault="00823C0E" w:rsidP="009D33A8">
      <w:pPr>
        <w:pStyle w:val="Heading3"/>
      </w:pPr>
      <w:r>
        <w:br w:type="column"/>
      </w:r>
      <w:r w:rsidR="009D33A8" w:rsidRPr="002532DA">
        <w:t>Net cash flows from financing activities</w:t>
      </w:r>
    </w:p>
    <w:p w14:paraId="4E09B4F0" w14:textId="5DF39796" w:rsidR="009D33A8" w:rsidRPr="00EB5B6D" w:rsidRDefault="009D33A8" w:rsidP="009D33A8">
      <w:r w:rsidRPr="00110AC8">
        <w:t>Net cash inflows from financing activities were $</w:t>
      </w:r>
      <w:r>
        <w:t>4.1</w:t>
      </w:r>
      <w:r w:rsidRPr="00110AC8">
        <w:t xml:space="preserve"> billion </w:t>
      </w:r>
      <w:r>
        <w:t>lower</w:t>
      </w:r>
      <w:r w:rsidRPr="00110AC8">
        <w:t xml:space="preserve"> than the published budget. This was primarily due to </w:t>
      </w:r>
      <w:r>
        <w:t>lower</w:t>
      </w:r>
      <w:r w:rsidRPr="00110AC8">
        <w:t xml:space="preserve"> borrowings than expected in the published budget primarily due to the </w:t>
      </w:r>
      <w:r>
        <w:t xml:space="preserve">lower </w:t>
      </w:r>
      <w:r w:rsidRPr="00110AC8">
        <w:t>than forecast expenditure on the State</w:t>
      </w:r>
      <w:r w:rsidR="00845934">
        <w:t>’</w:t>
      </w:r>
      <w:r w:rsidRPr="00110AC8">
        <w:t>s capital program</w:t>
      </w:r>
      <w:r>
        <w:t xml:space="preserve">. This is also </w:t>
      </w:r>
      <w:r w:rsidRPr="004A602B">
        <w:t xml:space="preserve">partly driven by </w:t>
      </w:r>
      <w:r>
        <w:t xml:space="preserve">better than expected </w:t>
      </w:r>
      <w:r w:rsidRPr="00352FFC">
        <w:t>net cash flows from operating activities</w:t>
      </w:r>
      <w:r>
        <w:t xml:space="preserve"> as explained above</w:t>
      </w:r>
    </w:p>
    <w:p w14:paraId="656F4C67" w14:textId="77777777" w:rsidR="009D33A8" w:rsidRPr="00FF28AA" w:rsidRDefault="009D33A8" w:rsidP="009D33A8">
      <w:pPr>
        <w:pStyle w:val="Heading3"/>
      </w:pPr>
      <w:r w:rsidRPr="00FF28AA">
        <w:t>Consolidated statement of changes in equity</w:t>
      </w:r>
    </w:p>
    <w:p w14:paraId="79D2F6DD" w14:textId="77777777" w:rsidR="009D33A8" w:rsidRPr="002452A5" w:rsidRDefault="009D33A8" w:rsidP="009D33A8">
      <w:r w:rsidRPr="00FF28AA">
        <w:t>The major variations between actual outcomes and the published budget for the statement of changes in equity are largely addressed in the explanations provided previously.</w:t>
      </w:r>
    </w:p>
    <w:p w14:paraId="416D064E" w14:textId="77777777" w:rsidR="00823C0E" w:rsidRDefault="00823C0E" w:rsidP="009D33A8">
      <w:pPr>
        <w:sectPr w:rsidR="00823C0E" w:rsidSect="00823C0E">
          <w:type w:val="continuous"/>
          <w:pgSz w:w="11906" w:h="16838" w:code="9"/>
          <w:pgMar w:top="1134" w:right="1134" w:bottom="1134" w:left="1134" w:header="624" w:footer="567" w:gutter="0"/>
          <w:cols w:num="2" w:space="708"/>
          <w:docGrid w:linePitch="360"/>
        </w:sectPr>
      </w:pPr>
    </w:p>
    <w:p w14:paraId="2D556842" w14:textId="77777777" w:rsidR="009D33A8" w:rsidRDefault="009D33A8" w:rsidP="009D33A8"/>
    <w:p w14:paraId="408D7C13" w14:textId="77777777" w:rsidR="009D33A8" w:rsidRDefault="009D33A8" w:rsidP="009D33A8">
      <w:pPr>
        <w:pStyle w:val="TableHeading"/>
        <w:pageBreakBefore/>
      </w:pPr>
      <w:r>
        <w:lastRenderedPageBreak/>
        <w:t>Consolidated statement of changes in equity</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OCIE/Link_AFR_SOCIE.xlsx|Table:SOCIE_material_variance|TableGroup:Investment in other sectors"/>
      </w:tblPr>
      <w:tblGrid>
        <w:gridCol w:w="3261"/>
        <w:gridCol w:w="1417"/>
        <w:gridCol w:w="1701"/>
        <w:gridCol w:w="1559"/>
        <w:gridCol w:w="851"/>
        <w:gridCol w:w="849"/>
      </w:tblGrid>
      <w:tr w:rsidR="005E614D" w14:paraId="7FF9B845"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64094999" w14:textId="77777777" w:rsidR="005E614D" w:rsidRDefault="005E614D">
            <w:pPr>
              <w:keepNext/>
            </w:pPr>
          </w:p>
        </w:tc>
        <w:tc>
          <w:tcPr>
            <w:tcW w:w="1417" w:type="dxa"/>
          </w:tcPr>
          <w:p w14:paraId="5359675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701" w:type="dxa"/>
          </w:tcPr>
          <w:p w14:paraId="27DD8E7B"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79AFC86A"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851" w:type="dxa"/>
          </w:tcPr>
          <w:p w14:paraId="67A89280"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Other reserves</w:t>
            </w:r>
          </w:p>
        </w:tc>
        <w:tc>
          <w:tcPr>
            <w:tcW w:w="849" w:type="dxa"/>
          </w:tcPr>
          <w:p w14:paraId="49092C6A"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Total</w:t>
            </w:r>
          </w:p>
        </w:tc>
      </w:tr>
      <w:tr w:rsidR="005E614D" w14:paraId="542659B0" w14:textId="77777777">
        <w:tc>
          <w:tcPr>
            <w:cnfStyle w:val="001000000000" w:firstRow="0" w:lastRow="0" w:firstColumn="1" w:lastColumn="0" w:oddVBand="0" w:evenVBand="0" w:oddHBand="0" w:evenHBand="0" w:firstRowFirstColumn="0" w:firstRowLastColumn="0" w:lastRowFirstColumn="0" w:lastRowLastColumn="0"/>
            <w:tcW w:w="3261" w:type="dxa"/>
          </w:tcPr>
          <w:p w14:paraId="2A1F2023" w14:textId="77777777" w:rsidR="005E614D" w:rsidRDefault="000C3A94">
            <w:r>
              <w:rPr>
                <w:b/>
              </w:rPr>
              <w:t>2024</w:t>
            </w:r>
            <w:r>
              <w:rPr>
                <w:b/>
              </w:rPr>
              <w:noBreakHyphen/>
              <w:t>25 original budget</w:t>
            </w:r>
          </w:p>
        </w:tc>
        <w:tc>
          <w:tcPr>
            <w:tcW w:w="1417" w:type="dxa"/>
          </w:tcPr>
          <w:p w14:paraId="072095F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701" w:type="dxa"/>
          </w:tcPr>
          <w:p w14:paraId="0824ED0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59" w:type="dxa"/>
          </w:tcPr>
          <w:p w14:paraId="0BA530E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Pr>
          <w:p w14:paraId="5B5108B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49" w:type="dxa"/>
          </w:tcPr>
          <w:p w14:paraId="4EC7702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088DB1B" w14:textId="77777777">
        <w:tc>
          <w:tcPr>
            <w:cnfStyle w:val="001000000000" w:firstRow="0" w:lastRow="0" w:firstColumn="1" w:lastColumn="0" w:oddVBand="0" w:evenVBand="0" w:oddHBand="0" w:evenHBand="0" w:firstRowFirstColumn="0" w:firstRowLastColumn="0" w:lastRowFirstColumn="0" w:lastRowLastColumn="0"/>
            <w:tcW w:w="3261" w:type="dxa"/>
          </w:tcPr>
          <w:p w14:paraId="5E4BA6C1" w14:textId="77777777" w:rsidR="005E614D" w:rsidRDefault="000C3A94">
            <w:r>
              <w:rPr>
                <w:b/>
              </w:rPr>
              <w:t>Balance at 1 July 2024</w:t>
            </w:r>
          </w:p>
        </w:tc>
        <w:tc>
          <w:tcPr>
            <w:tcW w:w="1417" w:type="dxa"/>
          </w:tcPr>
          <w:p w14:paraId="1749109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41 451</w:t>
            </w:r>
          </w:p>
        </w:tc>
        <w:tc>
          <w:tcPr>
            <w:tcW w:w="1701" w:type="dxa"/>
          </w:tcPr>
          <w:p w14:paraId="690DEF2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92 591</w:t>
            </w:r>
          </w:p>
        </w:tc>
        <w:tc>
          <w:tcPr>
            <w:tcW w:w="1559" w:type="dxa"/>
          </w:tcPr>
          <w:p w14:paraId="569BBE5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42 006</w:t>
            </w:r>
          </w:p>
        </w:tc>
        <w:tc>
          <w:tcPr>
            <w:tcW w:w="851" w:type="dxa"/>
          </w:tcPr>
          <w:p w14:paraId="2FE3263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1 403</w:t>
            </w:r>
          </w:p>
        </w:tc>
        <w:tc>
          <w:tcPr>
            <w:tcW w:w="849" w:type="dxa"/>
          </w:tcPr>
          <w:p w14:paraId="383EE94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177 452</w:t>
            </w:r>
          </w:p>
        </w:tc>
      </w:tr>
      <w:tr w:rsidR="005E614D" w14:paraId="4EB9B686" w14:textId="77777777">
        <w:tc>
          <w:tcPr>
            <w:cnfStyle w:val="001000000000" w:firstRow="0" w:lastRow="0" w:firstColumn="1" w:lastColumn="0" w:oddVBand="0" w:evenVBand="0" w:oddHBand="0" w:evenHBand="0" w:firstRowFirstColumn="0" w:firstRowLastColumn="0" w:lastRowFirstColumn="0" w:lastRowLastColumn="0"/>
            <w:tcW w:w="3261" w:type="dxa"/>
          </w:tcPr>
          <w:p w14:paraId="7D4A741F" w14:textId="77777777" w:rsidR="005E614D" w:rsidRDefault="000C3A94">
            <w:r>
              <w:t>Net result for the year</w:t>
            </w:r>
          </w:p>
        </w:tc>
        <w:tc>
          <w:tcPr>
            <w:tcW w:w="1417" w:type="dxa"/>
          </w:tcPr>
          <w:p w14:paraId="2C55B6E2" w14:textId="77777777" w:rsidR="005E614D" w:rsidRDefault="000C3A94">
            <w:pPr>
              <w:cnfStyle w:val="000000000000" w:firstRow="0" w:lastRow="0" w:firstColumn="0" w:lastColumn="0" w:oddVBand="0" w:evenVBand="0" w:oddHBand="0" w:evenHBand="0" w:firstRowFirstColumn="0" w:firstRowLastColumn="0" w:lastRowFirstColumn="0" w:lastRowLastColumn="0"/>
            </w:pPr>
            <w:r>
              <w:t>(2 527)</w:t>
            </w:r>
          </w:p>
        </w:tc>
        <w:tc>
          <w:tcPr>
            <w:tcW w:w="1701" w:type="dxa"/>
          </w:tcPr>
          <w:p w14:paraId="6F55CC0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981E14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6ACDAAF"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04E164A" w14:textId="77777777" w:rsidR="005E614D" w:rsidRDefault="000C3A94">
            <w:pPr>
              <w:cnfStyle w:val="000000000000" w:firstRow="0" w:lastRow="0" w:firstColumn="0" w:lastColumn="0" w:oddVBand="0" w:evenVBand="0" w:oddHBand="0" w:evenHBand="0" w:firstRowFirstColumn="0" w:firstRowLastColumn="0" w:lastRowFirstColumn="0" w:lastRowLastColumn="0"/>
            </w:pPr>
            <w:r>
              <w:t>(2 527)</w:t>
            </w:r>
          </w:p>
        </w:tc>
      </w:tr>
      <w:tr w:rsidR="005E614D" w14:paraId="12216B4B" w14:textId="77777777">
        <w:tc>
          <w:tcPr>
            <w:cnfStyle w:val="001000000000" w:firstRow="0" w:lastRow="0" w:firstColumn="1" w:lastColumn="0" w:oddVBand="0" w:evenVBand="0" w:oddHBand="0" w:evenHBand="0" w:firstRowFirstColumn="0" w:firstRowLastColumn="0" w:lastRowFirstColumn="0" w:lastRowLastColumn="0"/>
            <w:tcW w:w="3261" w:type="dxa"/>
          </w:tcPr>
          <w:p w14:paraId="459C21E0" w14:textId="77777777" w:rsidR="005E614D" w:rsidRDefault="000C3A94">
            <w:r>
              <w:t>Other comprehensive income for the year</w:t>
            </w:r>
          </w:p>
        </w:tc>
        <w:tc>
          <w:tcPr>
            <w:tcW w:w="1417" w:type="dxa"/>
          </w:tcPr>
          <w:p w14:paraId="11CC6585" w14:textId="77777777" w:rsidR="005E614D" w:rsidRDefault="000C3A94">
            <w:pPr>
              <w:cnfStyle w:val="000000000000" w:firstRow="0" w:lastRow="0" w:firstColumn="0" w:lastColumn="0" w:oddVBand="0" w:evenVBand="0" w:oddHBand="0" w:evenHBand="0" w:firstRowFirstColumn="0" w:firstRowLastColumn="0" w:lastRowFirstColumn="0" w:lastRowLastColumn="0"/>
            </w:pPr>
            <w:r>
              <w:t>738</w:t>
            </w:r>
          </w:p>
        </w:tc>
        <w:tc>
          <w:tcPr>
            <w:tcW w:w="1701" w:type="dxa"/>
          </w:tcPr>
          <w:p w14:paraId="695F5C4E" w14:textId="77777777" w:rsidR="005E614D" w:rsidRDefault="000C3A94">
            <w:pPr>
              <w:cnfStyle w:val="000000000000" w:firstRow="0" w:lastRow="0" w:firstColumn="0" w:lastColumn="0" w:oddVBand="0" w:evenVBand="0" w:oddHBand="0" w:evenHBand="0" w:firstRowFirstColumn="0" w:firstRowLastColumn="0" w:lastRowFirstColumn="0" w:lastRowLastColumn="0"/>
            </w:pPr>
            <w:r>
              <w:t>6 787</w:t>
            </w:r>
          </w:p>
        </w:tc>
        <w:tc>
          <w:tcPr>
            <w:tcW w:w="1559" w:type="dxa"/>
          </w:tcPr>
          <w:p w14:paraId="0A6516FF" w14:textId="77777777" w:rsidR="005E614D" w:rsidRDefault="000C3A94">
            <w:pPr>
              <w:cnfStyle w:val="000000000000" w:firstRow="0" w:lastRow="0" w:firstColumn="0" w:lastColumn="0" w:oddVBand="0" w:evenVBand="0" w:oddHBand="0" w:evenHBand="0" w:firstRowFirstColumn="0" w:firstRowLastColumn="0" w:lastRowFirstColumn="0" w:lastRowLastColumn="0"/>
            </w:pPr>
            <w:r>
              <w:t>(4 143)</w:t>
            </w:r>
          </w:p>
        </w:tc>
        <w:tc>
          <w:tcPr>
            <w:tcW w:w="851" w:type="dxa"/>
          </w:tcPr>
          <w:p w14:paraId="632FF55F" w14:textId="77777777" w:rsidR="005E614D" w:rsidRDefault="000C3A94">
            <w:pPr>
              <w:cnfStyle w:val="000000000000" w:firstRow="0" w:lastRow="0" w:firstColumn="0" w:lastColumn="0" w:oddVBand="0" w:evenVBand="0" w:oddHBand="0" w:evenHBand="0" w:firstRowFirstColumn="0" w:firstRowLastColumn="0" w:lastRowFirstColumn="0" w:lastRowLastColumn="0"/>
            </w:pPr>
            <w:r>
              <w:t>25</w:t>
            </w:r>
          </w:p>
        </w:tc>
        <w:tc>
          <w:tcPr>
            <w:tcW w:w="849" w:type="dxa"/>
          </w:tcPr>
          <w:p w14:paraId="41E53B51" w14:textId="77777777" w:rsidR="005E614D" w:rsidRDefault="000C3A94">
            <w:pPr>
              <w:cnfStyle w:val="000000000000" w:firstRow="0" w:lastRow="0" w:firstColumn="0" w:lastColumn="0" w:oddVBand="0" w:evenVBand="0" w:oddHBand="0" w:evenHBand="0" w:firstRowFirstColumn="0" w:firstRowLastColumn="0" w:lastRowFirstColumn="0" w:lastRowLastColumn="0"/>
            </w:pPr>
            <w:r>
              <w:t>3 407</w:t>
            </w:r>
          </w:p>
        </w:tc>
      </w:tr>
      <w:tr w:rsidR="005E614D" w14:paraId="4C5577FC"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444A3C7F" w14:textId="77777777" w:rsidR="005E614D" w:rsidRDefault="000C3A94">
            <w:r>
              <w:rPr>
                <w:b/>
              </w:rPr>
              <w:t>Balance at 30 June 2025</w:t>
            </w:r>
          </w:p>
        </w:tc>
        <w:tc>
          <w:tcPr>
            <w:tcW w:w="1417" w:type="dxa"/>
            <w:tcBorders>
              <w:top w:val="single" w:sz="6" w:space="0" w:color="auto"/>
              <w:bottom w:val="single" w:sz="6" w:space="0" w:color="auto"/>
            </w:tcBorders>
          </w:tcPr>
          <w:p w14:paraId="6EFFAF7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39 663</w:t>
            </w:r>
          </w:p>
        </w:tc>
        <w:tc>
          <w:tcPr>
            <w:tcW w:w="1701" w:type="dxa"/>
            <w:tcBorders>
              <w:top w:val="single" w:sz="6" w:space="0" w:color="auto"/>
              <w:bottom w:val="single" w:sz="6" w:space="0" w:color="auto"/>
            </w:tcBorders>
          </w:tcPr>
          <w:p w14:paraId="61FB9E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99 379</w:t>
            </w:r>
          </w:p>
        </w:tc>
        <w:tc>
          <w:tcPr>
            <w:tcW w:w="1559" w:type="dxa"/>
            <w:tcBorders>
              <w:top w:val="single" w:sz="6" w:space="0" w:color="auto"/>
              <w:bottom w:val="single" w:sz="6" w:space="0" w:color="auto"/>
            </w:tcBorders>
          </w:tcPr>
          <w:p w14:paraId="0D0BFE2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37 863</w:t>
            </w:r>
          </w:p>
        </w:tc>
        <w:tc>
          <w:tcPr>
            <w:tcW w:w="851" w:type="dxa"/>
            <w:tcBorders>
              <w:top w:val="single" w:sz="6" w:space="0" w:color="auto"/>
              <w:bottom w:val="single" w:sz="6" w:space="0" w:color="auto"/>
            </w:tcBorders>
          </w:tcPr>
          <w:p w14:paraId="2020F54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1 429</w:t>
            </w:r>
          </w:p>
        </w:tc>
        <w:tc>
          <w:tcPr>
            <w:tcW w:w="849" w:type="dxa"/>
            <w:tcBorders>
              <w:top w:val="single" w:sz="6" w:space="0" w:color="auto"/>
              <w:bottom w:val="single" w:sz="6" w:space="0" w:color="auto"/>
            </w:tcBorders>
          </w:tcPr>
          <w:p w14:paraId="2B6E94F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178 332</w:t>
            </w:r>
          </w:p>
        </w:tc>
      </w:tr>
      <w:tr w:rsidR="005E614D" w14:paraId="79D6980F"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05E8D77E" w14:textId="77777777" w:rsidR="005E614D" w:rsidRDefault="000C3A94">
            <w:r>
              <w:rPr>
                <w:b/>
              </w:rPr>
              <w:t>2024</w:t>
            </w:r>
            <w:r>
              <w:rPr>
                <w:b/>
              </w:rPr>
              <w:noBreakHyphen/>
              <w:t>25 revised budget</w:t>
            </w:r>
          </w:p>
        </w:tc>
        <w:tc>
          <w:tcPr>
            <w:tcW w:w="1417" w:type="dxa"/>
            <w:tcBorders>
              <w:top w:val="single" w:sz="6" w:space="0" w:color="auto"/>
            </w:tcBorders>
          </w:tcPr>
          <w:p w14:paraId="509FA130" w14:textId="7F885C76" w:rsidR="005E614D" w:rsidRDefault="005E614D">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16F792EB" w14:textId="434314F9" w:rsidR="005E614D" w:rsidRDefault="005E614D">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32CC0B1A" w14:textId="7088982E"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58D2B418" w14:textId="5F94F505" w:rsidR="005E614D" w:rsidRDefault="005E614D">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2653D9C8" w14:textId="539A3FF8"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61EF5AA" w14:textId="77777777">
        <w:tc>
          <w:tcPr>
            <w:cnfStyle w:val="001000000000" w:firstRow="0" w:lastRow="0" w:firstColumn="1" w:lastColumn="0" w:oddVBand="0" w:evenVBand="0" w:oddHBand="0" w:evenHBand="0" w:firstRowFirstColumn="0" w:firstRowLastColumn="0" w:lastRowFirstColumn="0" w:lastRowLastColumn="0"/>
            <w:tcW w:w="3261" w:type="dxa"/>
          </w:tcPr>
          <w:p w14:paraId="38945F73" w14:textId="77777777" w:rsidR="005E614D" w:rsidRDefault="000C3A94">
            <w:r>
              <w:rPr>
                <w:b/>
              </w:rPr>
              <w:t>Balance at 1 July 2024</w:t>
            </w:r>
          </w:p>
        </w:tc>
        <w:tc>
          <w:tcPr>
            <w:tcW w:w="1417" w:type="dxa"/>
          </w:tcPr>
          <w:p w14:paraId="2F1E9D1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43 405</w:t>
            </w:r>
          </w:p>
        </w:tc>
        <w:tc>
          <w:tcPr>
            <w:tcW w:w="1701" w:type="dxa"/>
          </w:tcPr>
          <w:p w14:paraId="447E2F5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59" w:type="dxa"/>
          </w:tcPr>
          <w:p w14:paraId="37E9D85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46 381</w:t>
            </w:r>
          </w:p>
        </w:tc>
        <w:tc>
          <w:tcPr>
            <w:tcW w:w="851" w:type="dxa"/>
          </w:tcPr>
          <w:p w14:paraId="211E72D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849" w:type="dxa"/>
          </w:tcPr>
          <w:p w14:paraId="2828F3D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01D60418" w14:textId="77777777">
        <w:tc>
          <w:tcPr>
            <w:cnfStyle w:val="001000000000" w:firstRow="0" w:lastRow="0" w:firstColumn="1" w:lastColumn="0" w:oddVBand="0" w:evenVBand="0" w:oddHBand="0" w:evenHBand="0" w:firstRowFirstColumn="0" w:firstRowLastColumn="0" w:lastRowFirstColumn="0" w:lastRowLastColumn="0"/>
            <w:tcW w:w="3261" w:type="dxa"/>
          </w:tcPr>
          <w:p w14:paraId="2CC358F2" w14:textId="77777777" w:rsidR="005E614D" w:rsidRDefault="000C3A94">
            <w:r>
              <w:t>Opening balance adjustment</w:t>
            </w:r>
            <w:r>
              <w:rPr>
                <w:b/>
                <w:vertAlign w:val="superscript"/>
              </w:rPr>
              <w:t xml:space="preserve"> </w:t>
            </w:r>
            <w:r>
              <w:rPr>
                <w:vertAlign w:val="superscript"/>
              </w:rPr>
              <w:t>(a)(b)</w:t>
            </w:r>
          </w:p>
        </w:tc>
        <w:tc>
          <w:tcPr>
            <w:tcW w:w="1417" w:type="dxa"/>
          </w:tcPr>
          <w:p w14:paraId="5D37FBC0" w14:textId="77777777" w:rsidR="005E614D" w:rsidRDefault="000C3A94">
            <w:pPr>
              <w:cnfStyle w:val="000000000000" w:firstRow="0" w:lastRow="0" w:firstColumn="0" w:lastColumn="0" w:oddVBand="0" w:evenVBand="0" w:oddHBand="0" w:evenHBand="0" w:firstRowFirstColumn="0" w:firstRowLastColumn="0" w:lastRowFirstColumn="0" w:lastRowLastColumn="0"/>
            </w:pPr>
            <w:r>
              <w:t>(51)</w:t>
            </w:r>
          </w:p>
        </w:tc>
        <w:tc>
          <w:tcPr>
            <w:tcW w:w="1701" w:type="dxa"/>
          </w:tcPr>
          <w:p w14:paraId="47C1EBA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57A9659"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851" w:type="dxa"/>
          </w:tcPr>
          <w:p w14:paraId="7AE6BA02"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07ACB4D"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r>
      <w:tr w:rsidR="005E614D" w14:paraId="1CFDAEC0" w14:textId="77777777">
        <w:tc>
          <w:tcPr>
            <w:cnfStyle w:val="001000000000" w:firstRow="0" w:lastRow="0" w:firstColumn="1" w:lastColumn="0" w:oddVBand="0" w:evenVBand="0" w:oddHBand="0" w:evenHBand="0" w:firstRowFirstColumn="0" w:firstRowLastColumn="0" w:lastRowFirstColumn="0" w:lastRowLastColumn="0"/>
            <w:tcW w:w="3261" w:type="dxa"/>
          </w:tcPr>
          <w:p w14:paraId="0A67CC43" w14:textId="77777777" w:rsidR="005E614D" w:rsidRDefault="000C3A94">
            <w:r>
              <w:rPr>
                <w:b/>
              </w:rPr>
              <w:t>Restated balance at 1 July 2024</w:t>
            </w:r>
          </w:p>
        </w:tc>
        <w:tc>
          <w:tcPr>
            <w:tcW w:w="1417" w:type="dxa"/>
          </w:tcPr>
          <w:p w14:paraId="4B13E68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43 354</w:t>
            </w:r>
          </w:p>
        </w:tc>
        <w:tc>
          <w:tcPr>
            <w:tcW w:w="1701" w:type="dxa"/>
          </w:tcPr>
          <w:p w14:paraId="557F1BA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59" w:type="dxa"/>
          </w:tcPr>
          <w:p w14:paraId="0855DF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46 391</w:t>
            </w:r>
          </w:p>
        </w:tc>
        <w:tc>
          <w:tcPr>
            <w:tcW w:w="851" w:type="dxa"/>
          </w:tcPr>
          <w:p w14:paraId="615D53D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849" w:type="dxa"/>
          </w:tcPr>
          <w:p w14:paraId="546760E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189 818</w:t>
            </w:r>
          </w:p>
        </w:tc>
      </w:tr>
      <w:tr w:rsidR="005E614D" w14:paraId="45E47A31" w14:textId="77777777">
        <w:tc>
          <w:tcPr>
            <w:cnfStyle w:val="001000000000" w:firstRow="0" w:lastRow="0" w:firstColumn="1" w:lastColumn="0" w:oddVBand="0" w:evenVBand="0" w:oddHBand="0" w:evenHBand="0" w:firstRowFirstColumn="0" w:firstRowLastColumn="0" w:lastRowFirstColumn="0" w:lastRowLastColumn="0"/>
            <w:tcW w:w="3261" w:type="dxa"/>
          </w:tcPr>
          <w:p w14:paraId="4B25C900" w14:textId="77777777" w:rsidR="005E614D" w:rsidRDefault="000C3A94">
            <w:r>
              <w:t>Net result for the year</w:t>
            </w:r>
          </w:p>
        </w:tc>
        <w:tc>
          <w:tcPr>
            <w:tcW w:w="1417" w:type="dxa"/>
          </w:tcPr>
          <w:p w14:paraId="039CE942" w14:textId="77777777" w:rsidR="005E614D" w:rsidRDefault="000C3A94">
            <w:pPr>
              <w:cnfStyle w:val="000000000000" w:firstRow="0" w:lastRow="0" w:firstColumn="0" w:lastColumn="0" w:oddVBand="0" w:evenVBand="0" w:oddHBand="0" w:evenHBand="0" w:firstRowFirstColumn="0" w:firstRowLastColumn="0" w:lastRowFirstColumn="0" w:lastRowLastColumn="0"/>
            </w:pPr>
            <w:r>
              <w:t>(3 822)</w:t>
            </w:r>
          </w:p>
        </w:tc>
        <w:tc>
          <w:tcPr>
            <w:tcW w:w="1701" w:type="dxa"/>
          </w:tcPr>
          <w:p w14:paraId="35AD3DC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228BD7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FFA19F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38C3AD84" w14:textId="77777777" w:rsidR="005E614D" w:rsidRDefault="000C3A94">
            <w:pPr>
              <w:cnfStyle w:val="000000000000" w:firstRow="0" w:lastRow="0" w:firstColumn="0" w:lastColumn="0" w:oddVBand="0" w:evenVBand="0" w:oddHBand="0" w:evenHBand="0" w:firstRowFirstColumn="0" w:firstRowLastColumn="0" w:lastRowFirstColumn="0" w:lastRowLastColumn="0"/>
            </w:pPr>
            <w:r>
              <w:t>(3 822)</w:t>
            </w:r>
          </w:p>
        </w:tc>
      </w:tr>
      <w:tr w:rsidR="005E614D" w14:paraId="27957DAD" w14:textId="77777777">
        <w:tc>
          <w:tcPr>
            <w:cnfStyle w:val="001000000000" w:firstRow="0" w:lastRow="0" w:firstColumn="1" w:lastColumn="0" w:oddVBand="0" w:evenVBand="0" w:oddHBand="0" w:evenHBand="0" w:firstRowFirstColumn="0" w:firstRowLastColumn="0" w:lastRowFirstColumn="0" w:lastRowLastColumn="0"/>
            <w:tcW w:w="3261" w:type="dxa"/>
          </w:tcPr>
          <w:p w14:paraId="69309073" w14:textId="77777777" w:rsidR="005E614D" w:rsidRDefault="000C3A94">
            <w:r>
              <w:t>Other comprehensive income for the year</w:t>
            </w:r>
          </w:p>
        </w:tc>
        <w:tc>
          <w:tcPr>
            <w:tcW w:w="1417" w:type="dxa"/>
          </w:tcPr>
          <w:p w14:paraId="07228624" w14:textId="77777777" w:rsidR="005E614D" w:rsidRDefault="000C3A94">
            <w:pPr>
              <w:cnfStyle w:val="000000000000" w:firstRow="0" w:lastRow="0" w:firstColumn="0" w:lastColumn="0" w:oddVBand="0" w:evenVBand="0" w:oddHBand="0" w:evenHBand="0" w:firstRowFirstColumn="0" w:firstRowLastColumn="0" w:lastRowFirstColumn="0" w:lastRowLastColumn="0"/>
            </w:pPr>
            <w:r>
              <w:t>1 645</w:t>
            </w:r>
          </w:p>
        </w:tc>
        <w:tc>
          <w:tcPr>
            <w:tcW w:w="1701" w:type="dxa"/>
          </w:tcPr>
          <w:p w14:paraId="5280B7F1" w14:textId="77777777" w:rsidR="005E614D" w:rsidRDefault="000C3A94">
            <w:pPr>
              <w:cnfStyle w:val="000000000000" w:firstRow="0" w:lastRow="0" w:firstColumn="0" w:lastColumn="0" w:oddVBand="0" w:evenVBand="0" w:oddHBand="0" w:evenHBand="0" w:firstRowFirstColumn="0" w:firstRowLastColumn="0" w:lastRowFirstColumn="0" w:lastRowLastColumn="0"/>
            </w:pPr>
            <w:r>
              <w:t>5 128</w:t>
            </w:r>
          </w:p>
        </w:tc>
        <w:tc>
          <w:tcPr>
            <w:tcW w:w="1559" w:type="dxa"/>
          </w:tcPr>
          <w:p w14:paraId="2F1D807A" w14:textId="77777777" w:rsidR="005E614D" w:rsidRDefault="000C3A94">
            <w:pPr>
              <w:cnfStyle w:val="000000000000" w:firstRow="0" w:lastRow="0" w:firstColumn="0" w:lastColumn="0" w:oddVBand="0" w:evenVBand="0" w:oddHBand="0" w:evenHBand="0" w:firstRowFirstColumn="0" w:firstRowLastColumn="0" w:lastRowFirstColumn="0" w:lastRowLastColumn="0"/>
            </w:pPr>
            <w:r>
              <w:t>(3 132)</w:t>
            </w:r>
          </w:p>
        </w:tc>
        <w:tc>
          <w:tcPr>
            <w:tcW w:w="851" w:type="dxa"/>
          </w:tcPr>
          <w:p w14:paraId="19D69FB0" w14:textId="77777777" w:rsidR="005E614D" w:rsidRDefault="000C3A94">
            <w:pPr>
              <w:cnfStyle w:val="000000000000" w:firstRow="0" w:lastRow="0" w:firstColumn="0" w:lastColumn="0" w:oddVBand="0" w:evenVBand="0" w:oddHBand="0" w:evenHBand="0" w:firstRowFirstColumn="0" w:firstRowLastColumn="0" w:lastRowFirstColumn="0" w:lastRowLastColumn="0"/>
            </w:pPr>
            <w:r>
              <w:t>4</w:t>
            </w:r>
          </w:p>
        </w:tc>
        <w:tc>
          <w:tcPr>
            <w:tcW w:w="849" w:type="dxa"/>
          </w:tcPr>
          <w:p w14:paraId="59B8F4D5" w14:textId="77777777" w:rsidR="005E614D" w:rsidRDefault="000C3A94">
            <w:pPr>
              <w:cnfStyle w:val="000000000000" w:firstRow="0" w:lastRow="0" w:firstColumn="0" w:lastColumn="0" w:oddVBand="0" w:evenVBand="0" w:oddHBand="0" w:evenHBand="0" w:firstRowFirstColumn="0" w:firstRowLastColumn="0" w:lastRowFirstColumn="0" w:lastRowLastColumn="0"/>
            </w:pPr>
            <w:r>
              <w:t>3 646</w:t>
            </w:r>
          </w:p>
        </w:tc>
      </w:tr>
      <w:tr w:rsidR="005E614D" w14:paraId="375C84C5"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41F5DB7F" w14:textId="77777777" w:rsidR="005E614D" w:rsidRDefault="000C3A94">
            <w:r>
              <w:rPr>
                <w:b/>
              </w:rPr>
              <w:t>Balance at 30 June 2025</w:t>
            </w:r>
          </w:p>
        </w:tc>
        <w:tc>
          <w:tcPr>
            <w:tcW w:w="1417" w:type="dxa"/>
            <w:tcBorders>
              <w:top w:val="single" w:sz="6" w:space="0" w:color="auto"/>
              <w:bottom w:val="single" w:sz="6" w:space="0" w:color="auto"/>
            </w:tcBorders>
          </w:tcPr>
          <w:p w14:paraId="0FF267E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41 178</w:t>
            </w:r>
          </w:p>
        </w:tc>
        <w:tc>
          <w:tcPr>
            <w:tcW w:w="1701" w:type="dxa"/>
            <w:tcBorders>
              <w:top w:val="single" w:sz="6" w:space="0" w:color="auto"/>
              <w:bottom w:val="single" w:sz="6" w:space="0" w:color="auto"/>
            </w:tcBorders>
          </w:tcPr>
          <w:p w14:paraId="6189282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103 673</w:t>
            </w:r>
          </w:p>
        </w:tc>
        <w:tc>
          <w:tcPr>
            <w:tcW w:w="1559" w:type="dxa"/>
            <w:tcBorders>
              <w:top w:val="single" w:sz="6" w:space="0" w:color="auto"/>
              <w:bottom w:val="single" w:sz="6" w:space="0" w:color="auto"/>
            </w:tcBorders>
          </w:tcPr>
          <w:p w14:paraId="65D5C66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43 259</w:t>
            </w:r>
          </w:p>
        </w:tc>
        <w:tc>
          <w:tcPr>
            <w:tcW w:w="851" w:type="dxa"/>
            <w:tcBorders>
              <w:top w:val="single" w:sz="6" w:space="0" w:color="auto"/>
              <w:bottom w:val="single" w:sz="6" w:space="0" w:color="auto"/>
            </w:tcBorders>
          </w:tcPr>
          <w:p w14:paraId="5528D7F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1 532</w:t>
            </w:r>
          </w:p>
        </w:tc>
        <w:tc>
          <w:tcPr>
            <w:tcW w:w="849" w:type="dxa"/>
            <w:tcBorders>
              <w:top w:val="single" w:sz="6" w:space="0" w:color="auto"/>
              <w:bottom w:val="single" w:sz="6" w:space="0" w:color="auto"/>
            </w:tcBorders>
          </w:tcPr>
          <w:p w14:paraId="1AF1552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189 642</w:t>
            </w:r>
          </w:p>
        </w:tc>
      </w:tr>
      <w:tr w:rsidR="005E614D" w14:paraId="19E45A8D"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735E5DF8" w14:textId="77777777" w:rsidR="005E614D" w:rsidRDefault="000C3A94">
            <w:r>
              <w:rPr>
                <w:b/>
              </w:rPr>
              <w:t>2024</w:t>
            </w:r>
            <w:r>
              <w:rPr>
                <w:b/>
              </w:rPr>
              <w:noBreakHyphen/>
              <w:t>25 actual</w:t>
            </w:r>
          </w:p>
        </w:tc>
        <w:tc>
          <w:tcPr>
            <w:tcW w:w="1417" w:type="dxa"/>
            <w:tcBorders>
              <w:top w:val="single" w:sz="6" w:space="0" w:color="auto"/>
            </w:tcBorders>
          </w:tcPr>
          <w:p w14:paraId="0647DC3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0DD8243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37F1291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39C2478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6D3EB64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CBCCFEC" w14:textId="77777777">
        <w:tc>
          <w:tcPr>
            <w:cnfStyle w:val="001000000000" w:firstRow="0" w:lastRow="0" w:firstColumn="1" w:lastColumn="0" w:oddVBand="0" w:evenVBand="0" w:oddHBand="0" w:evenHBand="0" w:firstRowFirstColumn="0" w:firstRowLastColumn="0" w:lastRowFirstColumn="0" w:lastRowLastColumn="0"/>
            <w:tcW w:w="3261" w:type="dxa"/>
          </w:tcPr>
          <w:p w14:paraId="68729E13" w14:textId="77777777" w:rsidR="005E614D" w:rsidRDefault="000C3A94">
            <w:r>
              <w:rPr>
                <w:b/>
              </w:rPr>
              <w:t>Balance at 1 July 2024</w:t>
            </w:r>
          </w:p>
        </w:tc>
        <w:tc>
          <w:tcPr>
            <w:tcW w:w="1417" w:type="dxa"/>
          </w:tcPr>
          <w:p w14:paraId="10272A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43 405</w:t>
            </w:r>
          </w:p>
        </w:tc>
        <w:tc>
          <w:tcPr>
            <w:tcW w:w="1701" w:type="dxa"/>
          </w:tcPr>
          <w:p w14:paraId="4990844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59" w:type="dxa"/>
          </w:tcPr>
          <w:p w14:paraId="4830745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46 381</w:t>
            </w:r>
          </w:p>
        </w:tc>
        <w:tc>
          <w:tcPr>
            <w:tcW w:w="851" w:type="dxa"/>
          </w:tcPr>
          <w:p w14:paraId="05ECC6F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849" w:type="dxa"/>
          </w:tcPr>
          <w:p w14:paraId="6799A78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0D55D6E6" w14:textId="77777777">
        <w:tc>
          <w:tcPr>
            <w:cnfStyle w:val="001000000000" w:firstRow="0" w:lastRow="0" w:firstColumn="1" w:lastColumn="0" w:oddVBand="0" w:evenVBand="0" w:oddHBand="0" w:evenHBand="0" w:firstRowFirstColumn="0" w:firstRowLastColumn="0" w:lastRowFirstColumn="0" w:lastRowLastColumn="0"/>
            <w:tcW w:w="3261" w:type="dxa"/>
          </w:tcPr>
          <w:p w14:paraId="42813719" w14:textId="77777777" w:rsidR="005E614D" w:rsidRDefault="000C3A94">
            <w:r>
              <w:t>Opening balance adjustment</w:t>
            </w:r>
            <w:r>
              <w:rPr>
                <w:b/>
                <w:vertAlign w:val="superscript"/>
              </w:rPr>
              <w:t xml:space="preserve"> </w:t>
            </w:r>
            <w:r>
              <w:rPr>
                <w:vertAlign w:val="superscript"/>
              </w:rPr>
              <w:t>(a)(b)</w:t>
            </w:r>
          </w:p>
        </w:tc>
        <w:tc>
          <w:tcPr>
            <w:tcW w:w="1417" w:type="dxa"/>
          </w:tcPr>
          <w:p w14:paraId="722B93EB" w14:textId="77777777" w:rsidR="005E614D" w:rsidRDefault="000C3A94">
            <w:pPr>
              <w:cnfStyle w:val="000000000000" w:firstRow="0" w:lastRow="0" w:firstColumn="0" w:lastColumn="0" w:oddVBand="0" w:evenVBand="0" w:oddHBand="0" w:evenHBand="0" w:firstRowFirstColumn="0" w:firstRowLastColumn="0" w:lastRowFirstColumn="0" w:lastRowLastColumn="0"/>
            </w:pPr>
            <w:r>
              <w:t>(51)</w:t>
            </w:r>
          </w:p>
        </w:tc>
        <w:tc>
          <w:tcPr>
            <w:tcW w:w="1701" w:type="dxa"/>
          </w:tcPr>
          <w:p w14:paraId="0CD6966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F54ED53"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851" w:type="dxa"/>
          </w:tcPr>
          <w:p w14:paraId="18213EF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4E78DA27"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r>
      <w:tr w:rsidR="005E614D" w14:paraId="6834041E" w14:textId="77777777">
        <w:tc>
          <w:tcPr>
            <w:cnfStyle w:val="001000000000" w:firstRow="0" w:lastRow="0" w:firstColumn="1" w:lastColumn="0" w:oddVBand="0" w:evenVBand="0" w:oddHBand="0" w:evenHBand="0" w:firstRowFirstColumn="0" w:firstRowLastColumn="0" w:lastRowFirstColumn="0" w:lastRowLastColumn="0"/>
            <w:tcW w:w="3261" w:type="dxa"/>
          </w:tcPr>
          <w:p w14:paraId="3121E908" w14:textId="77777777" w:rsidR="005E614D" w:rsidRDefault="000C3A94">
            <w:r>
              <w:rPr>
                <w:b/>
              </w:rPr>
              <w:t>Restated balance at 1 July 2024</w:t>
            </w:r>
          </w:p>
        </w:tc>
        <w:tc>
          <w:tcPr>
            <w:tcW w:w="1417" w:type="dxa"/>
          </w:tcPr>
          <w:p w14:paraId="7CF5A99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43 354</w:t>
            </w:r>
          </w:p>
        </w:tc>
        <w:tc>
          <w:tcPr>
            <w:tcW w:w="1701" w:type="dxa"/>
          </w:tcPr>
          <w:p w14:paraId="77776C2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559" w:type="dxa"/>
          </w:tcPr>
          <w:p w14:paraId="3B7D08D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46 391</w:t>
            </w:r>
          </w:p>
        </w:tc>
        <w:tc>
          <w:tcPr>
            <w:tcW w:w="851" w:type="dxa"/>
          </w:tcPr>
          <w:p w14:paraId="46C8A62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849" w:type="dxa"/>
          </w:tcPr>
          <w:p w14:paraId="1A9BDB2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189 818</w:t>
            </w:r>
          </w:p>
        </w:tc>
      </w:tr>
      <w:tr w:rsidR="005E614D" w14:paraId="0DA71456" w14:textId="77777777">
        <w:tc>
          <w:tcPr>
            <w:cnfStyle w:val="001000000000" w:firstRow="0" w:lastRow="0" w:firstColumn="1" w:lastColumn="0" w:oddVBand="0" w:evenVBand="0" w:oddHBand="0" w:evenHBand="0" w:firstRowFirstColumn="0" w:firstRowLastColumn="0" w:lastRowFirstColumn="0" w:lastRowLastColumn="0"/>
            <w:tcW w:w="3261" w:type="dxa"/>
          </w:tcPr>
          <w:p w14:paraId="2E8EEAA3" w14:textId="77777777" w:rsidR="005E614D" w:rsidRDefault="000C3A94">
            <w:r>
              <w:t>Net result for the year</w:t>
            </w:r>
          </w:p>
        </w:tc>
        <w:tc>
          <w:tcPr>
            <w:tcW w:w="1417" w:type="dxa"/>
          </w:tcPr>
          <w:p w14:paraId="3BCC2CBB"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c>
          <w:tcPr>
            <w:tcW w:w="1701" w:type="dxa"/>
          </w:tcPr>
          <w:p w14:paraId="22DCE0A5"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EA2E43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A192C3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2C293A5"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r>
      <w:tr w:rsidR="005E614D" w14:paraId="67E7CE97" w14:textId="77777777">
        <w:tc>
          <w:tcPr>
            <w:cnfStyle w:val="001000000000" w:firstRow="0" w:lastRow="0" w:firstColumn="1" w:lastColumn="0" w:oddVBand="0" w:evenVBand="0" w:oddHBand="0" w:evenHBand="0" w:firstRowFirstColumn="0" w:firstRowLastColumn="0" w:lastRowFirstColumn="0" w:lastRowLastColumn="0"/>
            <w:tcW w:w="3261" w:type="dxa"/>
          </w:tcPr>
          <w:p w14:paraId="5DC3D03A" w14:textId="77777777" w:rsidR="005E614D" w:rsidRDefault="000C3A94">
            <w:r>
              <w:t>Other comprehensive income for the year</w:t>
            </w:r>
          </w:p>
        </w:tc>
        <w:tc>
          <w:tcPr>
            <w:tcW w:w="1417" w:type="dxa"/>
          </w:tcPr>
          <w:p w14:paraId="3C18289F" w14:textId="77777777" w:rsidR="005E614D" w:rsidRDefault="000C3A94">
            <w:pPr>
              <w:cnfStyle w:val="000000000000" w:firstRow="0" w:lastRow="0" w:firstColumn="0" w:lastColumn="0" w:oddVBand="0" w:evenVBand="0" w:oddHBand="0" w:evenHBand="0" w:firstRowFirstColumn="0" w:firstRowLastColumn="0" w:lastRowFirstColumn="0" w:lastRowLastColumn="0"/>
            </w:pPr>
            <w:r>
              <w:t>658</w:t>
            </w:r>
          </w:p>
        </w:tc>
        <w:tc>
          <w:tcPr>
            <w:tcW w:w="1701" w:type="dxa"/>
          </w:tcPr>
          <w:p w14:paraId="05DB36A7"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1559" w:type="dxa"/>
          </w:tcPr>
          <w:p w14:paraId="45CC64CE"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851" w:type="dxa"/>
          </w:tcPr>
          <w:p w14:paraId="4D441F42" w14:textId="77777777" w:rsidR="005E614D" w:rsidRDefault="000C3A94">
            <w:pPr>
              <w:cnfStyle w:val="000000000000" w:firstRow="0" w:lastRow="0" w:firstColumn="0" w:lastColumn="0" w:oddVBand="0" w:evenVBand="0" w:oddHBand="0" w:evenHBand="0" w:firstRowFirstColumn="0" w:firstRowLastColumn="0" w:lastRowFirstColumn="0" w:lastRowLastColumn="0"/>
            </w:pPr>
            <w:r>
              <w:t>102</w:t>
            </w:r>
          </w:p>
        </w:tc>
        <w:tc>
          <w:tcPr>
            <w:tcW w:w="849" w:type="dxa"/>
          </w:tcPr>
          <w:p w14:paraId="496FFA72" w14:textId="77777777" w:rsidR="005E614D" w:rsidRDefault="000C3A94">
            <w:pPr>
              <w:cnfStyle w:val="000000000000" w:firstRow="0" w:lastRow="0" w:firstColumn="0" w:lastColumn="0" w:oddVBand="0" w:evenVBand="0" w:oddHBand="0" w:evenHBand="0" w:firstRowFirstColumn="0" w:firstRowLastColumn="0" w:lastRowFirstColumn="0" w:lastRowLastColumn="0"/>
            </w:pPr>
            <w:r>
              <w:t>1 519</w:t>
            </w:r>
          </w:p>
        </w:tc>
      </w:tr>
      <w:tr w:rsidR="005E614D" w14:paraId="6AA4DF96"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4E5F859A" w14:textId="77777777" w:rsidR="005E614D" w:rsidRDefault="000C3A94">
            <w:r>
              <w:rPr>
                <w:b/>
              </w:rPr>
              <w:t>Balance at 30 June 2025</w:t>
            </w:r>
          </w:p>
        </w:tc>
        <w:tc>
          <w:tcPr>
            <w:tcW w:w="1417" w:type="dxa"/>
            <w:tcBorders>
              <w:top w:val="single" w:sz="6" w:space="0" w:color="auto"/>
              <w:bottom w:val="single" w:sz="6" w:space="0" w:color="auto"/>
            </w:tcBorders>
          </w:tcPr>
          <w:p w14:paraId="41953FF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41 982</w:t>
            </w:r>
          </w:p>
        </w:tc>
        <w:tc>
          <w:tcPr>
            <w:tcW w:w="1701" w:type="dxa"/>
            <w:tcBorders>
              <w:top w:val="single" w:sz="6" w:space="0" w:color="auto"/>
              <w:bottom w:val="single" w:sz="6" w:space="0" w:color="auto"/>
            </w:tcBorders>
          </w:tcPr>
          <w:p w14:paraId="15C474A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107 890</w:t>
            </w:r>
          </w:p>
        </w:tc>
        <w:tc>
          <w:tcPr>
            <w:tcW w:w="1559" w:type="dxa"/>
            <w:tcBorders>
              <w:top w:val="single" w:sz="6" w:space="0" w:color="auto"/>
              <w:bottom w:val="single" w:sz="6" w:space="0" w:color="auto"/>
            </w:tcBorders>
          </w:tcPr>
          <w:p w14:paraId="2CBADBF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37 805</w:t>
            </w:r>
          </w:p>
        </w:tc>
        <w:tc>
          <w:tcPr>
            <w:tcW w:w="851" w:type="dxa"/>
            <w:tcBorders>
              <w:top w:val="single" w:sz="6" w:space="0" w:color="auto"/>
              <w:bottom w:val="single" w:sz="6" w:space="0" w:color="auto"/>
            </w:tcBorders>
          </w:tcPr>
          <w:p w14:paraId="179480C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1 630</w:t>
            </w:r>
          </w:p>
        </w:tc>
        <w:tc>
          <w:tcPr>
            <w:tcW w:w="849" w:type="dxa"/>
            <w:tcBorders>
              <w:top w:val="single" w:sz="6" w:space="0" w:color="auto"/>
              <w:bottom w:val="single" w:sz="6" w:space="0" w:color="auto"/>
            </w:tcBorders>
          </w:tcPr>
          <w:p w14:paraId="371CE5B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r>
      <w:tr w:rsidR="005E614D" w14:paraId="35566BD9"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52227C58" w14:textId="77777777" w:rsidR="005E614D" w:rsidRDefault="000C3A94">
            <w:r>
              <w:rPr>
                <w:b/>
              </w:rPr>
              <w:t>Variance to original budget</w:t>
            </w:r>
          </w:p>
        </w:tc>
        <w:tc>
          <w:tcPr>
            <w:tcW w:w="1417" w:type="dxa"/>
            <w:tcBorders>
              <w:top w:val="single" w:sz="6" w:space="0" w:color="auto"/>
            </w:tcBorders>
          </w:tcPr>
          <w:p w14:paraId="100929A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4A90359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19651C6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5700666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4564567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4C017C6" w14:textId="77777777">
        <w:tc>
          <w:tcPr>
            <w:cnfStyle w:val="001000000000" w:firstRow="0" w:lastRow="0" w:firstColumn="1" w:lastColumn="0" w:oddVBand="0" w:evenVBand="0" w:oddHBand="0" w:evenHBand="0" w:firstRowFirstColumn="0" w:firstRowLastColumn="0" w:lastRowFirstColumn="0" w:lastRowLastColumn="0"/>
            <w:tcW w:w="3261" w:type="dxa"/>
          </w:tcPr>
          <w:p w14:paraId="4F744264" w14:textId="77777777" w:rsidR="005E614D" w:rsidRDefault="000C3A94">
            <w:r>
              <w:t>Balance at 1 July 2024</w:t>
            </w:r>
          </w:p>
        </w:tc>
        <w:tc>
          <w:tcPr>
            <w:tcW w:w="1417" w:type="dxa"/>
          </w:tcPr>
          <w:p w14:paraId="3A23D902" w14:textId="77777777" w:rsidR="005E614D" w:rsidRDefault="000C3A94">
            <w:pPr>
              <w:cnfStyle w:val="000000000000" w:firstRow="0" w:lastRow="0" w:firstColumn="0" w:lastColumn="0" w:oddVBand="0" w:evenVBand="0" w:oddHBand="0" w:evenHBand="0" w:firstRowFirstColumn="0" w:firstRowLastColumn="0" w:lastRowFirstColumn="0" w:lastRowLastColumn="0"/>
            </w:pPr>
            <w:r>
              <w:t>1 903</w:t>
            </w:r>
          </w:p>
        </w:tc>
        <w:tc>
          <w:tcPr>
            <w:tcW w:w="1701" w:type="dxa"/>
          </w:tcPr>
          <w:p w14:paraId="0C490409" w14:textId="77777777" w:rsidR="005E614D" w:rsidRDefault="000C3A94">
            <w:pPr>
              <w:cnfStyle w:val="000000000000" w:firstRow="0" w:lastRow="0" w:firstColumn="0" w:lastColumn="0" w:oddVBand="0" w:evenVBand="0" w:oddHBand="0" w:evenHBand="0" w:firstRowFirstColumn="0" w:firstRowLastColumn="0" w:lastRowFirstColumn="0" w:lastRowLastColumn="0"/>
            </w:pPr>
            <w:r>
              <w:t>5 953</w:t>
            </w:r>
          </w:p>
        </w:tc>
        <w:tc>
          <w:tcPr>
            <w:tcW w:w="1559" w:type="dxa"/>
          </w:tcPr>
          <w:p w14:paraId="682C8CBB" w14:textId="77777777" w:rsidR="005E614D" w:rsidRDefault="000C3A94">
            <w:pPr>
              <w:cnfStyle w:val="000000000000" w:firstRow="0" w:lastRow="0" w:firstColumn="0" w:lastColumn="0" w:oddVBand="0" w:evenVBand="0" w:oddHBand="0" w:evenHBand="0" w:firstRowFirstColumn="0" w:firstRowLastColumn="0" w:lastRowFirstColumn="0" w:lastRowLastColumn="0"/>
            </w:pPr>
            <w:r>
              <w:t>4 385</w:t>
            </w:r>
          </w:p>
        </w:tc>
        <w:tc>
          <w:tcPr>
            <w:tcW w:w="851" w:type="dxa"/>
          </w:tcPr>
          <w:p w14:paraId="101FDC5F" w14:textId="77777777" w:rsidR="005E614D" w:rsidRDefault="000C3A94">
            <w:pPr>
              <w:cnfStyle w:val="000000000000" w:firstRow="0" w:lastRow="0" w:firstColumn="0" w:lastColumn="0" w:oddVBand="0" w:evenVBand="0" w:oddHBand="0" w:evenHBand="0" w:firstRowFirstColumn="0" w:firstRowLastColumn="0" w:lastRowFirstColumn="0" w:lastRowLastColumn="0"/>
            </w:pPr>
            <w:r>
              <w:t>125</w:t>
            </w:r>
          </w:p>
        </w:tc>
        <w:tc>
          <w:tcPr>
            <w:tcW w:w="849" w:type="dxa"/>
          </w:tcPr>
          <w:p w14:paraId="3155D459" w14:textId="77777777" w:rsidR="005E614D" w:rsidRDefault="000C3A94">
            <w:pPr>
              <w:cnfStyle w:val="000000000000" w:firstRow="0" w:lastRow="0" w:firstColumn="0" w:lastColumn="0" w:oddVBand="0" w:evenVBand="0" w:oddHBand="0" w:evenHBand="0" w:firstRowFirstColumn="0" w:firstRowLastColumn="0" w:lastRowFirstColumn="0" w:lastRowLastColumn="0"/>
            </w:pPr>
            <w:r>
              <w:t>12 365</w:t>
            </w:r>
          </w:p>
        </w:tc>
      </w:tr>
      <w:tr w:rsidR="005E614D" w14:paraId="4F9912A9" w14:textId="77777777">
        <w:tc>
          <w:tcPr>
            <w:cnfStyle w:val="001000000000" w:firstRow="0" w:lastRow="0" w:firstColumn="1" w:lastColumn="0" w:oddVBand="0" w:evenVBand="0" w:oddHBand="0" w:evenHBand="0" w:firstRowFirstColumn="0" w:firstRowLastColumn="0" w:lastRowFirstColumn="0" w:lastRowLastColumn="0"/>
            <w:tcW w:w="3261" w:type="dxa"/>
          </w:tcPr>
          <w:p w14:paraId="185CDEAC" w14:textId="77777777" w:rsidR="005E614D" w:rsidRDefault="000C3A94">
            <w:r>
              <w:t>Net result for the year</w:t>
            </w:r>
          </w:p>
        </w:tc>
        <w:tc>
          <w:tcPr>
            <w:tcW w:w="1417" w:type="dxa"/>
          </w:tcPr>
          <w:p w14:paraId="3DD73ADC" w14:textId="77777777" w:rsidR="005E614D" w:rsidRDefault="000C3A94">
            <w:pPr>
              <w:cnfStyle w:val="000000000000" w:firstRow="0" w:lastRow="0" w:firstColumn="0" w:lastColumn="0" w:oddVBand="0" w:evenVBand="0" w:oddHBand="0" w:evenHBand="0" w:firstRowFirstColumn="0" w:firstRowLastColumn="0" w:lastRowFirstColumn="0" w:lastRowLastColumn="0"/>
            </w:pPr>
            <w:r>
              <w:t>497</w:t>
            </w:r>
          </w:p>
        </w:tc>
        <w:tc>
          <w:tcPr>
            <w:tcW w:w="1701" w:type="dxa"/>
          </w:tcPr>
          <w:p w14:paraId="04F9E39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019DC1C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C1F843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001F6602" w14:textId="77777777" w:rsidR="005E614D" w:rsidRDefault="000C3A94">
            <w:pPr>
              <w:cnfStyle w:val="000000000000" w:firstRow="0" w:lastRow="0" w:firstColumn="0" w:lastColumn="0" w:oddVBand="0" w:evenVBand="0" w:oddHBand="0" w:evenHBand="0" w:firstRowFirstColumn="0" w:firstRowLastColumn="0" w:lastRowFirstColumn="0" w:lastRowLastColumn="0"/>
            </w:pPr>
            <w:r>
              <w:t>497</w:t>
            </w:r>
          </w:p>
        </w:tc>
      </w:tr>
      <w:tr w:rsidR="005E614D" w14:paraId="6587010C" w14:textId="77777777">
        <w:tc>
          <w:tcPr>
            <w:cnfStyle w:val="001000000000" w:firstRow="0" w:lastRow="0" w:firstColumn="1" w:lastColumn="0" w:oddVBand="0" w:evenVBand="0" w:oddHBand="0" w:evenHBand="0" w:firstRowFirstColumn="0" w:firstRowLastColumn="0" w:lastRowFirstColumn="0" w:lastRowLastColumn="0"/>
            <w:tcW w:w="3261" w:type="dxa"/>
          </w:tcPr>
          <w:p w14:paraId="3E6DBADF" w14:textId="77777777" w:rsidR="005E614D" w:rsidRDefault="000C3A94">
            <w:r>
              <w:t>Other comprehensive income for the year</w:t>
            </w:r>
          </w:p>
        </w:tc>
        <w:tc>
          <w:tcPr>
            <w:tcW w:w="1417" w:type="dxa"/>
          </w:tcPr>
          <w:p w14:paraId="12A6C28C" w14:textId="77777777" w:rsidR="005E614D" w:rsidRDefault="000C3A94">
            <w:pPr>
              <w:cnfStyle w:val="000000000000" w:firstRow="0" w:lastRow="0" w:firstColumn="0" w:lastColumn="0" w:oddVBand="0" w:evenVBand="0" w:oddHBand="0" w:evenHBand="0" w:firstRowFirstColumn="0" w:firstRowLastColumn="0" w:lastRowFirstColumn="0" w:lastRowLastColumn="0"/>
            </w:pPr>
            <w:r>
              <w:t>(80)</w:t>
            </w:r>
          </w:p>
        </w:tc>
        <w:tc>
          <w:tcPr>
            <w:tcW w:w="1701" w:type="dxa"/>
          </w:tcPr>
          <w:p w14:paraId="22823DEB" w14:textId="77777777" w:rsidR="005E614D" w:rsidRDefault="000C3A94">
            <w:pPr>
              <w:cnfStyle w:val="000000000000" w:firstRow="0" w:lastRow="0" w:firstColumn="0" w:lastColumn="0" w:oddVBand="0" w:evenVBand="0" w:oddHBand="0" w:evenHBand="0" w:firstRowFirstColumn="0" w:firstRowLastColumn="0" w:lastRowFirstColumn="0" w:lastRowLastColumn="0"/>
            </w:pPr>
            <w:r>
              <w:t>2 558</w:t>
            </w:r>
          </w:p>
        </w:tc>
        <w:tc>
          <w:tcPr>
            <w:tcW w:w="1559" w:type="dxa"/>
          </w:tcPr>
          <w:p w14:paraId="798E17AA" w14:textId="77777777" w:rsidR="005E614D" w:rsidRDefault="000C3A94">
            <w:pPr>
              <w:cnfStyle w:val="000000000000" w:firstRow="0" w:lastRow="0" w:firstColumn="0" w:lastColumn="0" w:oddVBand="0" w:evenVBand="0" w:oddHBand="0" w:evenHBand="0" w:firstRowFirstColumn="0" w:firstRowLastColumn="0" w:lastRowFirstColumn="0" w:lastRowLastColumn="0"/>
            </w:pPr>
            <w:r>
              <w:t>(4 443)</w:t>
            </w:r>
          </w:p>
        </w:tc>
        <w:tc>
          <w:tcPr>
            <w:tcW w:w="851" w:type="dxa"/>
          </w:tcPr>
          <w:p w14:paraId="5B2ED6E8" w14:textId="77777777" w:rsidR="005E614D" w:rsidRDefault="000C3A94">
            <w:pPr>
              <w:cnfStyle w:val="000000000000" w:firstRow="0" w:lastRow="0" w:firstColumn="0" w:lastColumn="0" w:oddVBand="0" w:evenVBand="0" w:oddHBand="0" w:evenHBand="0" w:firstRowFirstColumn="0" w:firstRowLastColumn="0" w:lastRowFirstColumn="0" w:lastRowLastColumn="0"/>
            </w:pPr>
            <w:r>
              <w:t>77</w:t>
            </w:r>
          </w:p>
        </w:tc>
        <w:tc>
          <w:tcPr>
            <w:tcW w:w="849" w:type="dxa"/>
          </w:tcPr>
          <w:p w14:paraId="2EF76FC1" w14:textId="77777777" w:rsidR="005E614D" w:rsidRDefault="000C3A94">
            <w:pPr>
              <w:cnfStyle w:val="000000000000" w:firstRow="0" w:lastRow="0" w:firstColumn="0" w:lastColumn="0" w:oddVBand="0" w:evenVBand="0" w:oddHBand="0" w:evenHBand="0" w:firstRowFirstColumn="0" w:firstRowLastColumn="0" w:lastRowFirstColumn="0" w:lastRowLastColumn="0"/>
            </w:pPr>
            <w:r>
              <w:t>(1 888)</w:t>
            </w:r>
          </w:p>
        </w:tc>
      </w:tr>
      <w:tr w:rsidR="005E614D" w14:paraId="149C9C13"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6" w:space="0" w:color="auto"/>
            </w:tcBorders>
          </w:tcPr>
          <w:p w14:paraId="3FD5EE07" w14:textId="77777777" w:rsidR="005E614D" w:rsidRDefault="000C3A94">
            <w:r>
              <w:rPr>
                <w:b/>
              </w:rPr>
              <w:t>Balance at 30 June 2025</w:t>
            </w:r>
          </w:p>
        </w:tc>
        <w:tc>
          <w:tcPr>
            <w:tcW w:w="1417" w:type="dxa"/>
            <w:tcBorders>
              <w:top w:val="single" w:sz="6" w:space="0" w:color="auto"/>
              <w:bottom w:val="single" w:sz="6" w:space="0" w:color="auto"/>
            </w:tcBorders>
          </w:tcPr>
          <w:p w14:paraId="0D19675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2 319</w:t>
            </w:r>
          </w:p>
        </w:tc>
        <w:tc>
          <w:tcPr>
            <w:tcW w:w="1701" w:type="dxa"/>
            <w:tcBorders>
              <w:top w:val="single" w:sz="6" w:space="0" w:color="auto"/>
              <w:bottom w:val="single" w:sz="6" w:space="0" w:color="auto"/>
            </w:tcBorders>
          </w:tcPr>
          <w:p w14:paraId="229D9A6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8 511</w:t>
            </w:r>
          </w:p>
        </w:tc>
        <w:tc>
          <w:tcPr>
            <w:tcW w:w="1559" w:type="dxa"/>
            <w:tcBorders>
              <w:top w:val="single" w:sz="6" w:space="0" w:color="auto"/>
              <w:bottom w:val="single" w:sz="6" w:space="0" w:color="auto"/>
            </w:tcBorders>
          </w:tcPr>
          <w:p w14:paraId="1338D3D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(58)</w:t>
            </w:r>
          </w:p>
        </w:tc>
        <w:tc>
          <w:tcPr>
            <w:tcW w:w="851" w:type="dxa"/>
            <w:tcBorders>
              <w:top w:val="single" w:sz="6" w:space="0" w:color="auto"/>
              <w:bottom w:val="single" w:sz="6" w:space="0" w:color="auto"/>
            </w:tcBorders>
          </w:tcPr>
          <w:p w14:paraId="062457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202</w:t>
            </w:r>
          </w:p>
        </w:tc>
        <w:tc>
          <w:tcPr>
            <w:tcW w:w="849" w:type="dxa"/>
            <w:tcBorders>
              <w:top w:val="single" w:sz="6" w:space="0" w:color="auto"/>
              <w:bottom w:val="single" w:sz="6" w:space="0" w:color="auto"/>
            </w:tcBorders>
          </w:tcPr>
          <w:p w14:paraId="3B2EFC9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10 974</w:t>
            </w:r>
          </w:p>
        </w:tc>
      </w:tr>
      <w:tr w:rsidR="005E614D" w14:paraId="10532C87"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tcBorders>
          </w:tcPr>
          <w:p w14:paraId="571C445E" w14:textId="77777777" w:rsidR="005E614D" w:rsidRDefault="000C3A94">
            <w:r>
              <w:rPr>
                <w:b/>
              </w:rPr>
              <w:t>Variance to revised budget</w:t>
            </w:r>
          </w:p>
        </w:tc>
        <w:tc>
          <w:tcPr>
            <w:tcW w:w="1417" w:type="dxa"/>
            <w:tcBorders>
              <w:top w:val="single" w:sz="6" w:space="0" w:color="auto"/>
            </w:tcBorders>
          </w:tcPr>
          <w:p w14:paraId="72779E3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701" w:type="dxa"/>
            <w:tcBorders>
              <w:top w:val="single" w:sz="6" w:space="0" w:color="auto"/>
            </w:tcBorders>
          </w:tcPr>
          <w:p w14:paraId="71FD9C8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296B3E0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51" w:type="dxa"/>
            <w:tcBorders>
              <w:top w:val="single" w:sz="6" w:space="0" w:color="auto"/>
            </w:tcBorders>
          </w:tcPr>
          <w:p w14:paraId="1236D7E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849" w:type="dxa"/>
            <w:tcBorders>
              <w:top w:val="single" w:sz="6" w:space="0" w:color="auto"/>
            </w:tcBorders>
          </w:tcPr>
          <w:p w14:paraId="5D047D9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DCEA407" w14:textId="77777777">
        <w:tc>
          <w:tcPr>
            <w:cnfStyle w:val="001000000000" w:firstRow="0" w:lastRow="0" w:firstColumn="1" w:lastColumn="0" w:oddVBand="0" w:evenVBand="0" w:oddHBand="0" w:evenHBand="0" w:firstRowFirstColumn="0" w:firstRowLastColumn="0" w:lastRowFirstColumn="0" w:lastRowLastColumn="0"/>
            <w:tcW w:w="3261" w:type="dxa"/>
          </w:tcPr>
          <w:p w14:paraId="61DFF7A1" w14:textId="77777777" w:rsidR="005E614D" w:rsidRDefault="000C3A94">
            <w:r>
              <w:t>Balance at 1 July 2024</w:t>
            </w:r>
          </w:p>
        </w:tc>
        <w:tc>
          <w:tcPr>
            <w:tcW w:w="1417" w:type="dxa"/>
          </w:tcPr>
          <w:p w14:paraId="682BCB5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325432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778E8BA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329181E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13325AB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49ABCF83" w14:textId="77777777">
        <w:tc>
          <w:tcPr>
            <w:cnfStyle w:val="001000000000" w:firstRow="0" w:lastRow="0" w:firstColumn="1" w:lastColumn="0" w:oddVBand="0" w:evenVBand="0" w:oddHBand="0" w:evenHBand="0" w:firstRowFirstColumn="0" w:firstRowLastColumn="0" w:lastRowFirstColumn="0" w:lastRowLastColumn="0"/>
            <w:tcW w:w="3261" w:type="dxa"/>
          </w:tcPr>
          <w:p w14:paraId="4B7764F4" w14:textId="77777777" w:rsidR="005E614D" w:rsidRDefault="000C3A94">
            <w:r>
              <w:t>Net result for the year</w:t>
            </w:r>
          </w:p>
        </w:tc>
        <w:tc>
          <w:tcPr>
            <w:tcW w:w="1417" w:type="dxa"/>
          </w:tcPr>
          <w:p w14:paraId="3E68B843" w14:textId="77777777" w:rsidR="005E614D" w:rsidRDefault="000C3A94">
            <w:pPr>
              <w:cnfStyle w:val="000000000000" w:firstRow="0" w:lastRow="0" w:firstColumn="0" w:lastColumn="0" w:oddVBand="0" w:evenVBand="0" w:oddHBand="0" w:evenHBand="0" w:firstRowFirstColumn="0" w:firstRowLastColumn="0" w:lastRowFirstColumn="0" w:lastRowLastColumn="0"/>
            </w:pPr>
            <w:r>
              <w:t>1 792</w:t>
            </w:r>
          </w:p>
        </w:tc>
        <w:tc>
          <w:tcPr>
            <w:tcW w:w="1701" w:type="dxa"/>
          </w:tcPr>
          <w:p w14:paraId="5271B11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EA39585"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4AC0B2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27357A91" w14:textId="77777777" w:rsidR="005E614D" w:rsidRDefault="000C3A94">
            <w:pPr>
              <w:cnfStyle w:val="000000000000" w:firstRow="0" w:lastRow="0" w:firstColumn="0" w:lastColumn="0" w:oddVBand="0" w:evenVBand="0" w:oddHBand="0" w:evenHBand="0" w:firstRowFirstColumn="0" w:firstRowLastColumn="0" w:lastRowFirstColumn="0" w:lastRowLastColumn="0"/>
            </w:pPr>
            <w:r>
              <w:t>1 792</w:t>
            </w:r>
          </w:p>
        </w:tc>
      </w:tr>
      <w:tr w:rsidR="005E614D" w14:paraId="536352B6" w14:textId="77777777">
        <w:tc>
          <w:tcPr>
            <w:cnfStyle w:val="001000000000" w:firstRow="0" w:lastRow="0" w:firstColumn="1" w:lastColumn="0" w:oddVBand="0" w:evenVBand="0" w:oddHBand="0" w:evenHBand="0" w:firstRowFirstColumn="0" w:firstRowLastColumn="0" w:lastRowFirstColumn="0" w:lastRowLastColumn="0"/>
            <w:tcW w:w="3261" w:type="dxa"/>
          </w:tcPr>
          <w:p w14:paraId="5F44AF54" w14:textId="77777777" w:rsidR="005E614D" w:rsidRDefault="000C3A94">
            <w:r>
              <w:t>Other comprehensive income for the year</w:t>
            </w:r>
          </w:p>
        </w:tc>
        <w:tc>
          <w:tcPr>
            <w:tcW w:w="1417" w:type="dxa"/>
          </w:tcPr>
          <w:p w14:paraId="69070214" w14:textId="77777777" w:rsidR="005E614D" w:rsidRDefault="000C3A94">
            <w:pPr>
              <w:cnfStyle w:val="000000000000" w:firstRow="0" w:lastRow="0" w:firstColumn="0" w:lastColumn="0" w:oddVBand="0" w:evenVBand="0" w:oddHBand="0" w:evenHBand="0" w:firstRowFirstColumn="0" w:firstRowLastColumn="0" w:lastRowFirstColumn="0" w:lastRowLastColumn="0"/>
            </w:pPr>
            <w:r>
              <w:t>(987)</w:t>
            </w:r>
          </w:p>
        </w:tc>
        <w:tc>
          <w:tcPr>
            <w:tcW w:w="1701" w:type="dxa"/>
          </w:tcPr>
          <w:p w14:paraId="4CE7ADEE" w14:textId="77777777" w:rsidR="005E614D" w:rsidRDefault="000C3A94">
            <w:pPr>
              <w:cnfStyle w:val="000000000000" w:firstRow="0" w:lastRow="0" w:firstColumn="0" w:lastColumn="0" w:oddVBand="0" w:evenVBand="0" w:oddHBand="0" w:evenHBand="0" w:firstRowFirstColumn="0" w:firstRowLastColumn="0" w:lastRowFirstColumn="0" w:lastRowLastColumn="0"/>
            </w:pPr>
            <w:r>
              <w:t>4 217</w:t>
            </w:r>
          </w:p>
        </w:tc>
        <w:tc>
          <w:tcPr>
            <w:tcW w:w="1559" w:type="dxa"/>
          </w:tcPr>
          <w:p w14:paraId="6F08562E" w14:textId="77777777" w:rsidR="005E614D" w:rsidRDefault="000C3A94">
            <w:pPr>
              <w:cnfStyle w:val="000000000000" w:firstRow="0" w:lastRow="0" w:firstColumn="0" w:lastColumn="0" w:oddVBand="0" w:evenVBand="0" w:oddHBand="0" w:evenHBand="0" w:firstRowFirstColumn="0" w:firstRowLastColumn="0" w:lastRowFirstColumn="0" w:lastRowLastColumn="0"/>
            </w:pPr>
            <w:r>
              <w:t>(5 454)</w:t>
            </w:r>
          </w:p>
        </w:tc>
        <w:tc>
          <w:tcPr>
            <w:tcW w:w="851" w:type="dxa"/>
          </w:tcPr>
          <w:p w14:paraId="2DDF10EF" w14:textId="77777777" w:rsidR="005E614D" w:rsidRDefault="000C3A94">
            <w:pPr>
              <w:cnfStyle w:val="000000000000" w:firstRow="0" w:lastRow="0" w:firstColumn="0" w:lastColumn="0" w:oddVBand="0" w:evenVBand="0" w:oddHBand="0" w:evenHBand="0" w:firstRowFirstColumn="0" w:firstRowLastColumn="0" w:lastRowFirstColumn="0" w:lastRowLastColumn="0"/>
            </w:pPr>
            <w:r>
              <w:t>98</w:t>
            </w:r>
          </w:p>
        </w:tc>
        <w:tc>
          <w:tcPr>
            <w:tcW w:w="849" w:type="dxa"/>
          </w:tcPr>
          <w:p w14:paraId="61995BCB" w14:textId="77777777" w:rsidR="005E614D" w:rsidRDefault="000C3A94">
            <w:pPr>
              <w:cnfStyle w:val="000000000000" w:firstRow="0" w:lastRow="0" w:firstColumn="0" w:lastColumn="0" w:oddVBand="0" w:evenVBand="0" w:oddHBand="0" w:evenHBand="0" w:firstRowFirstColumn="0" w:firstRowLastColumn="0" w:lastRowFirstColumn="0" w:lastRowLastColumn="0"/>
            </w:pPr>
            <w:r>
              <w:t>(2 127)</w:t>
            </w:r>
          </w:p>
        </w:tc>
      </w:tr>
      <w:tr w:rsidR="005E614D" w14:paraId="609A2EAC" w14:textId="77777777" w:rsidTr="004A2065">
        <w:tc>
          <w:tcPr>
            <w:cnfStyle w:val="001000000000" w:firstRow="0" w:lastRow="0" w:firstColumn="1" w:lastColumn="0" w:oddVBand="0" w:evenVBand="0" w:oddHBand="0" w:evenHBand="0" w:firstRowFirstColumn="0" w:firstRowLastColumn="0" w:lastRowFirstColumn="0" w:lastRowLastColumn="0"/>
            <w:tcW w:w="3261" w:type="dxa"/>
            <w:tcBorders>
              <w:top w:val="single" w:sz="6" w:space="0" w:color="auto"/>
              <w:bottom w:val="single" w:sz="12" w:space="0" w:color="auto"/>
            </w:tcBorders>
          </w:tcPr>
          <w:p w14:paraId="6880E325" w14:textId="77777777" w:rsidR="005E614D" w:rsidRDefault="000C3A94">
            <w:r>
              <w:rPr>
                <w:b/>
              </w:rPr>
              <w:t>Balance at 30 June 2025</w:t>
            </w:r>
          </w:p>
        </w:tc>
        <w:tc>
          <w:tcPr>
            <w:tcW w:w="1417" w:type="dxa"/>
            <w:tcBorders>
              <w:top w:val="single" w:sz="6" w:space="0" w:color="auto"/>
              <w:bottom w:val="single" w:sz="12" w:space="0" w:color="auto"/>
            </w:tcBorders>
          </w:tcPr>
          <w:p w14:paraId="3396EDE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804</w:t>
            </w:r>
          </w:p>
        </w:tc>
        <w:tc>
          <w:tcPr>
            <w:tcW w:w="1701" w:type="dxa"/>
            <w:tcBorders>
              <w:top w:val="single" w:sz="6" w:space="0" w:color="auto"/>
              <w:bottom w:val="single" w:sz="12" w:space="0" w:color="auto"/>
            </w:tcBorders>
          </w:tcPr>
          <w:p w14:paraId="4031097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4 217</w:t>
            </w:r>
          </w:p>
        </w:tc>
        <w:tc>
          <w:tcPr>
            <w:tcW w:w="1559" w:type="dxa"/>
            <w:tcBorders>
              <w:top w:val="single" w:sz="6" w:space="0" w:color="auto"/>
              <w:bottom w:val="single" w:sz="12" w:space="0" w:color="auto"/>
            </w:tcBorders>
          </w:tcPr>
          <w:p w14:paraId="3443DDB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(5 454)</w:t>
            </w:r>
          </w:p>
        </w:tc>
        <w:tc>
          <w:tcPr>
            <w:tcW w:w="851" w:type="dxa"/>
            <w:tcBorders>
              <w:top w:val="single" w:sz="6" w:space="0" w:color="auto"/>
              <w:bottom w:val="single" w:sz="12" w:space="0" w:color="auto"/>
            </w:tcBorders>
          </w:tcPr>
          <w:p w14:paraId="2A9D68A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w:t>
            </w:r>
          </w:p>
        </w:tc>
        <w:tc>
          <w:tcPr>
            <w:tcW w:w="849" w:type="dxa"/>
            <w:tcBorders>
              <w:top w:val="single" w:sz="6" w:space="0" w:color="auto"/>
              <w:bottom w:val="single" w:sz="12" w:space="0" w:color="auto"/>
            </w:tcBorders>
          </w:tcPr>
          <w:p w14:paraId="73C4D13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(335)</w:t>
            </w:r>
          </w:p>
        </w:tc>
      </w:tr>
    </w:tbl>
    <w:p w14:paraId="2207CB1E" w14:textId="77777777" w:rsidR="009D33A8" w:rsidRPr="00C91A33" w:rsidRDefault="009D33A8" w:rsidP="009D33A8">
      <w:pPr>
        <w:pStyle w:val="Note"/>
      </w:pPr>
      <w:r w:rsidRPr="00C91A33">
        <w:t>Note</w:t>
      </w:r>
      <w:r>
        <w:t>s</w:t>
      </w:r>
      <w:r w:rsidRPr="00C91A33">
        <w:t xml:space="preserve">: </w:t>
      </w:r>
    </w:p>
    <w:p w14:paraId="20081198" w14:textId="77777777" w:rsidR="009D33A8" w:rsidRPr="00C91A33" w:rsidRDefault="009D33A8" w:rsidP="009D33A8">
      <w:pPr>
        <w:pStyle w:val="Note"/>
      </w:pPr>
      <w:r w:rsidRPr="00C91A33">
        <w:t>(a)</w:t>
      </w:r>
      <w:r w:rsidRPr="00C91A33">
        <w:tab/>
        <w:t xml:space="preserve">On 1 July 2024, the previous State Electricity Commission of Victoria, established under the </w:t>
      </w:r>
      <w:r w:rsidRPr="00E81B8F">
        <w:rPr>
          <w:i w:val="0"/>
          <w:iCs/>
        </w:rPr>
        <w:t>State Electricity Commission Act 1958 (SEC Act)</w:t>
      </w:r>
      <w:r w:rsidRPr="00C91A33">
        <w:t xml:space="preserve"> was abolished by the commencement of the </w:t>
      </w:r>
      <w:r w:rsidRPr="00E81B8F">
        <w:rPr>
          <w:i w:val="0"/>
          <w:iCs/>
        </w:rPr>
        <w:t>State Electricity Commission Amendment Act 2024</w:t>
      </w:r>
      <w:r w:rsidRPr="00C91A33">
        <w:t xml:space="preserve"> and the residual financial assets were transferred to the Department of Energy, Environment and Climate Action. This has resulted in the 1 July 2024 opening balance not equalling the 30 June closing balance.</w:t>
      </w:r>
    </w:p>
    <w:p w14:paraId="7097C9EF" w14:textId="77777777" w:rsidR="009D33A8" w:rsidRPr="00C91A33" w:rsidRDefault="009D33A8" w:rsidP="009D33A8">
      <w:pPr>
        <w:pStyle w:val="Note"/>
      </w:pPr>
      <w:r w:rsidRPr="00C91A33">
        <w:t>(b)</w:t>
      </w:r>
      <w:r w:rsidRPr="00C91A33">
        <w:tab/>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E81B8F">
        <w:rPr>
          <w:i w:val="0"/>
          <w:iCs/>
        </w:rPr>
        <w:t>Sustainable Forests (Timber) Repeal Act 2024</w:t>
      </w:r>
      <w:r w:rsidRPr="00C91A33">
        <w:t>, effective from 1 July 2024. This has resulted in the 1 July 2024 opening balance not equalling the 30 June closing balance.</w:t>
      </w:r>
    </w:p>
    <w:p w14:paraId="0A2ACE3D" w14:textId="77777777" w:rsidR="009D33A8" w:rsidRDefault="009D33A8" w:rsidP="009D33A8"/>
    <w:p w14:paraId="2736A9BE" w14:textId="77777777" w:rsidR="009D33A8" w:rsidRDefault="009D33A8" w:rsidP="009D33A8">
      <w:pPr>
        <w:keepLines w:val="0"/>
        <w:rPr>
          <w:rFonts w:asciiTheme="majorHAnsi" w:eastAsiaTheme="majorEastAsia" w:hAnsiTheme="majorHAnsi" w:cstheme="majorBidi"/>
          <w:b/>
          <w:sz w:val="27"/>
          <w:szCs w:val="26"/>
        </w:rPr>
      </w:pPr>
      <w:r>
        <w:br w:type="page"/>
      </w:r>
    </w:p>
    <w:p w14:paraId="300D9AB6" w14:textId="77777777" w:rsidR="00823C0E" w:rsidRDefault="00823C0E" w:rsidP="009D33A8">
      <w:pPr>
        <w:pStyle w:val="Heading2"/>
        <w:spacing w:before="0"/>
        <w:sectPr w:rsidR="00823C0E" w:rsidSect="00823C0E">
          <w:type w:val="continuous"/>
          <w:pgSz w:w="11906" w:h="16838" w:code="9"/>
          <w:pgMar w:top="1134" w:right="1134" w:bottom="1134" w:left="1134" w:header="624" w:footer="567" w:gutter="0"/>
          <w:cols w:space="708"/>
          <w:docGrid w:linePitch="360"/>
        </w:sectPr>
      </w:pPr>
    </w:p>
    <w:p w14:paraId="771A9E9C" w14:textId="77777777" w:rsidR="009D33A8" w:rsidRDefault="009D33A8" w:rsidP="009D33A8">
      <w:pPr>
        <w:pStyle w:val="Heading2"/>
        <w:spacing w:before="0"/>
      </w:pPr>
      <w:bookmarkStart w:id="130" w:name="_Toc209481910"/>
      <w:r>
        <w:lastRenderedPageBreak/>
        <w:t>7.2</w:t>
      </w:r>
      <w:r>
        <w:tab/>
        <w:t>Public Account disclosures</w:t>
      </w:r>
      <w:bookmarkEnd w:id="130"/>
    </w:p>
    <w:p w14:paraId="5343B68A" w14:textId="77777777" w:rsidR="009D33A8" w:rsidRDefault="009D33A8" w:rsidP="009D33A8">
      <w:r>
        <w:t xml:space="preserve">The </w:t>
      </w:r>
      <w:r w:rsidRPr="005B6670">
        <w:rPr>
          <w:i/>
        </w:rPr>
        <w:t>Financial Management Act 1994</w:t>
      </w:r>
      <w:r>
        <w:t xml:space="preserve"> (FMA) requires the following disclosures of information in respect of the transactions and balances of the Public Account.</w:t>
      </w:r>
    </w:p>
    <w:p w14:paraId="67BEAD50" w14:textId="79182211" w:rsidR="009D33A8" w:rsidRDefault="009D33A8" w:rsidP="009D33A8">
      <w:r>
        <w:t>The Public Account is the Government</w:t>
      </w:r>
      <w:r w:rsidR="00845934">
        <w:t>’</w:t>
      </w:r>
      <w:r>
        <w:t xml:space="preserve">s official bank account. The Public Account holds the cash balances of the Consolidated Fund and the Trust Fund. </w:t>
      </w:r>
    </w:p>
    <w:p w14:paraId="190BC675" w14:textId="77777777" w:rsidR="009D33A8" w:rsidRDefault="009D33A8" w:rsidP="009D33A8">
      <w:r>
        <w:t>The FMA, among other things, also provides for:</w:t>
      </w:r>
    </w:p>
    <w:p w14:paraId="73C93BA9" w14:textId="77777777" w:rsidR="009D33A8" w:rsidRPr="00A84CCA" w:rsidRDefault="009D33A8" w:rsidP="009D33A8">
      <w:pPr>
        <w:pStyle w:val="ListBullet"/>
        <w:keepLines/>
        <w:numPr>
          <w:ilvl w:val="0"/>
          <w:numId w:val="27"/>
        </w:numPr>
        <w:ind w:left="357" w:hanging="357"/>
      </w:pPr>
      <w:r w:rsidRPr="00A84CCA">
        <w:t>temporary advances from the Public Account for a number of purposes related to the needs of the Government</w:t>
      </w:r>
    </w:p>
    <w:p w14:paraId="0A02B557" w14:textId="77777777" w:rsidR="009D33A8" w:rsidRPr="00A84CCA" w:rsidRDefault="009D33A8" w:rsidP="009D33A8">
      <w:pPr>
        <w:pStyle w:val="ListBullet"/>
        <w:keepLines/>
        <w:numPr>
          <w:ilvl w:val="0"/>
          <w:numId w:val="27"/>
        </w:numPr>
        <w:ind w:left="357" w:hanging="357"/>
      </w:pPr>
      <w:r w:rsidRPr="00A84CCA">
        <w:t>investment of the Public Account in trustee securities</w:t>
      </w:r>
    </w:p>
    <w:p w14:paraId="24F3704C" w14:textId="77777777" w:rsidR="009D33A8" w:rsidRPr="00A84CCA" w:rsidRDefault="009D33A8" w:rsidP="009D33A8">
      <w:pPr>
        <w:pStyle w:val="ListBullet"/>
        <w:keepLines/>
        <w:numPr>
          <w:ilvl w:val="0"/>
          <w:numId w:val="27"/>
        </w:numPr>
        <w:ind w:left="357" w:hanging="357"/>
      </w:pPr>
      <w:r w:rsidRPr="00A84CCA">
        <w:t>temporary borrowings should the balance in the Consolidated Fund be insufficient to meet commitments during a financial year.</w:t>
      </w:r>
    </w:p>
    <w:p w14:paraId="2A27D519" w14:textId="77777777" w:rsidR="009D33A8" w:rsidRDefault="009D33A8" w:rsidP="009D33A8">
      <w:pPr>
        <w:pStyle w:val="Heading3"/>
      </w:pPr>
      <w:r>
        <w:t>Consolidated Fund</w:t>
      </w:r>
    </w:p>
    <w:p w14:paraId="5526F07B" w14:textId="7E3D4F85" w:rsidR="009D33A8" w:rsidRDefault="009D33A8" w:rsidP="009D33A8">
      <w:r>
        <w:t>The Consolidated Fund, established by the FMA, is the Government</w:t>
      </w:r>
      <w:r w:rsidR="00845934">
        <w:t>’</w:t>
      </w:r>
      <w:r>
        <w:t xml:space="preserve">s primary financial account and receives all consolidated revenue under the </w:t>
      </w:r>
      <w:r w:rsidRPr="005B6670">
        <w:rPr>
          <w:i/>
        </w:rPr>
        <w:t>Constitution Act 1975</w:t>
      </w:r>
      <w:r>
        <w:t xml:space="preserve"> from which payments, appropriated by Parliament, are made.</w:t>
      </w:r>
    </w:p>
    <w:p w14:paraId="51E474B3" w14:textId="77777777" w:rsidR="009D33A8" w:rsidRDefault="009D33A8" w:rsidP="009D33A8">
      <w:pPr>
        <w:pStyle w:val="Heading3"/>
      </w:pPr>
      <w:r>
        <w:t>Trust Fund</w:t>
      </w:r>
    </w:p>
    <w:p w14:paraId="445DE4F2" w14:textId="77777777" w:rsidR="009D33A8" w:rsidRDefault="009D33A8" w:rsidP="009D33A8">
      <w:pPr>
        <w:ind w:right="-35"/>
      </w:pPr>
      <w:r>
        <w:t>Within the Public Account, the Trust Fund includes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612503A9" w14:textId="04F6CBD3" w:rsidR="009D33A8" w:rsidRDefault="004610D1" w:rsidP="009D33A8">
      <w:pPr>
        <w:pStyle w:val="Heading3"/>
      </w:pPr>
      <w:r>
        <w:br w:type="column"/>
      </w:r>
      <w:r w:rsidR="009D33A8">
        <w:t>Structure of Public Account disclosure</w:t>
      </w:r>
    </w:p>
    <w:p w14:paraId="5D7F963F" w14:textId="52977339" w:rsidR="008844A5" w:rsidRDefault="009D33A8">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SectionPublicAccount \t "Heading 3,9" </w:instrText>
      </w:r>
      <w:r>
        <w:rPr>
          <w:color w:val="2B579A"/>
          <w:shd w:val="clear" w:color="auto" w:fill="E6E6E6"/>
        </w:rPr>
        <w:fldChar w:fldCharType="separate"/>
      </w:r>
      <w:hyperlink w:anchor="_Toc209479917" w:history="1">
        <w:r w:rsidR="008844A5" w:rsidRPr="00487E86">
          <w:rPr>
            <w:rStyle w:val="Hyperlink"/>
            <w:noProof/>
          </w:rPr>
          <w:t>7.2.1</w:t>
        </w:r>
        <w:r w:rsidR="008844A5">
          <w:rPr>
            <w:rFonts w:eastAsiaTheme="minorEastAsia"/>
            <w:noProof/>
            <w:kern w:val="2"/>
            <w:sz w:val="24"/>
            <w:szCs w:val="24"/>
            <w:lang w:eastAsia="en-AU"/>
            <w14:ligatures w14:val="standardContextual"/>
          </w:rPr>
          <w:tab/>
        </w:r>
        <w:r w:rsidR="008844A5" w:rsidRPr="00487E86">
          <w:rPr>
            <w:rStyle w:val="Hyperlink"/>
            <w:noProof/>
          </w:rPr>
          <w:t xml:space="preserve">Summarised consolidated fund receipts and payments for the financial year ended </w:t>
        </w:r>
        <w:r w:rsidR="008844A5">
          <w:rPr>
            <w:rStyle w:val="Hyperlink"/>
            <w:noProof/>
          </w:rPr>
          <w:br/>
        </w:r>
        <w:r w:rsidR="008844A5" w:rsidRPr="00487E86">
          <w:rPr>
            <w:rStyle w:val="Hyperlink"/>
            <w:noProof/>
          </w:rPr>
          <w:t>30 June</w:t>
        </w:r>
        <w:r w:rsidR="008844A5">
          <w:rPr>
            <w:noProof/>
            <w:webHidden/>
          </w:rPr>
          <w:tab/>
        </w:r>
        <w:r w:rsidR="008844A5">
          <w:rPr>
            <w:noProof/>
            <w:webHidden/>
          </w:rPr>
          <w:fldChar w:fldCharType="begin"/>
        </w:r>
        <w:r w:rsidR="008844A5">
          <w:rPr>
            <w:noProof/>
            <w:webHidden/>
          </w:rPr>
          <w:instrText xml:space="preserve"> PAGEREF _Toc209479917 \h </w:instrText>
        </w:r>
        <w:r w:rsidR="008844A5">
          <w:rPr>
            <w:noProof/>
            <w:webHidden/>
          </w:rPr>
        </w:r>
        <w:r w:rsidR="008844A5">
          <w:rPr>
            <w:noProof/>
            <w:webHidden/>
          </w:rPr>
          <w:fldChar w:fldCharType="separate"/>
        </w:r>
        <w:r w:rsidR="00727C5B">
          <w:rPr>
            <w:noProof/>
            <w:webHidden/>
          </w:rPr>
          <w:t>145</w:t>
        </w:r>
        <w:r w:rsidR="008844A5">
          <w:rPr>
            <w:noProof/>
            <w:webHidden/>
          </w:rPr>
          <w:fldChar w:fldCharType="end"/>
        </w:r>
      </w:hyperlink>
    </w:p>
    <w:p w14:paraId="02B3D6D1" w14:textId="172A4D88" w:rsidR="008844A5" w:rsidRDefault="008844A5">
      <w:pPr>
        <w:pStyle w:val="TOC9"/>
        <w:rPr>
          <w:rFonts w:eastAsiaTheme="minorEastAsia"/>
          <w:noProof/>
          <w:kern w:val="2"/>
          <w:sz w:val="24"/>
          <w:szCs w:val="24"/>
          <w:lang w:eastAsia="en-AU"/>
          <w14:ligatures w14:val="standardContextual"/>
        </w:rPr>
      </w:pPr>
      <w:hyperlink w:anchor="_Toc209479918" w:history="1">
        <w:r w:rsidRPr="00487E86">
          <w:rPr>
            <w:rStyle w:val="Hyperlink"/>
            <w:noProof/>
          </w:rPr>
          <w:t>7.2.2</w:t>
        </w:r>
        <w:r>
          <w:rPr>
            <w:rFonts w:eastAsiaTheme="minorEastAsia"/>
            <w:noProof/>
            <w:kern w:val="2"/>
            <w:sz w:val="24"/>
            <w:szCs w:val="24"/>
            <w:lang w:eastAsia="en-AU"/>
            <w14:ligatures w14:val="standardContextual"/>
          </w:rPr>
          <w:tab/>
        </w:r>
        <w:r w:rsidRPr="00487E86">
          <w:rPr>
            <w:rStyle w:val="Hyperlink"/>
            <w:noProof/>
          </w:rPr>
          <w:t xml:space="preserve">Consolidated fund receipts for the financial </w:t>
        </w:r>
        <w:r>
          <w:rPr>
            <w:rStyle w:val="Hyperlink"/>
            <w:noProof/>
          </w:rPr>
          <w:br/>
        </w:r>
        <w:r w:rsidRPr="00487E86">
          <w:rPr>
            <w:rStyle w:val="Hyperlink"/>
            <w:noProof/>
          </w:rPr>
          <w:t>year ended 30 June</w:t>
        </w:r>
        <w:r>
          <w:rPr>
            <w:noProof/>
            <w:webHidden/>
          </w:rPr>
          <w:tab/>
        </w:r>
        <w:r>
          <w:rPr>
            <w:noProof/>
            <w:webHidden/>
          </w:rPr>
          <w:fldChar w:fldCharType="begin"/>
        </w:r>
        <w:r>
          <w:rPr>
            <w:noProof/>
            <w:webHidden/>
          </w:rPr>
          <w:instrText xml:space="preserve"> PAGEREF _Toc209479918 \h </w:instrText>
        </w:r>
        <w:r>
          <w:rPr>
            <w:noProof/>
            <w:webHidden/>
          </w:rPr>
        </w:r>
        <w:r>
          <w:rPr>
            <w:noProof/>
            <w:webHidden/>
          </w:rPr>
          <w:fldChar w:fldCharType="separate"/>
        </w:r>
        <w:r w:rsidR="00727C5B">
          <w:rPr>
            <w:noProof/>
            <w:webHidden/>
          </w:rPr>
          <w:t>147</w:t>
        </w:r>
        <w:r>
          <w:rPr>
            <w:noProof/>
            <w:webHidden/>
          </w:rPr>
          <w:fldChar w:fldCharType="end"/>
        </w:r>
      </w:hyperlink>
    </w:p>
    <w:p w14:paraId="4844C0EE" w14:textId="3D9C2460" w:rsidR="008844A5" w:rsidRDefault="008844A5">
      <w:pPr>
        <w:pStyle w:val="TOC9"/>
        <w:rPr>
          <w:rFonts w:eastAsiaTheme="minorEastAsia"/>
          <w:noProof/>
          <w:kern w:val="2"/>
          <w:sz w:val="24"/>
          <w:szCs w:val="24"/>
          <w:lang w:eastAsia="en-AU"/>
          <w14:ligatures w14:val="standardContextual"/>
        </w:rPr>
      </w:pPr>
      <w:hyperlink w:anchor="_Toc209479919" w:history="1">
        <w:r w:rsidRPr="00487E86">
          <w:rPr>
            <w:rStyle w:val="Hyperlink"/>
            <w:noProof/>
          </w:rPr>
          <w:t>7.2.3</w:t>
        </w:r>
        <w:r>
          <w:rPr>
            <w:rFonts w:eastAsiaTheme="minorEastAsia"/>
            <w:noProof/>
            <w:kern w:val="2"/>
            <w:sz w:val="24"/>
            <w:szCs w:val="24"/>
            <w:lang w:eastAsia="en-AU"/>
            <w14:ligatures w14:val="standardContextual"/>
          </w:rPr>
          <w:tab/>
        </w:r>
        <w:r w:rsidRPr="00487E86">
          <w:rPr>
            <w:rStyle w:val="Hyperlink"/>
            <w:noProof/>
          </w:rPr>
          <w:t xml:space="preserve">Trust fund cash flow statement for the </w:t>
        </w:r>
        <w:r>
          <w:rPr>
            <w:rStyle w:val="Hyperlink"/>
            <w:noProof/>
          </w:rPr>
          <w:br/>
        </w:r>
        <w:r w:rsidRPr="00487E86">
          <w:rPr>
            <w:rStyle w:val="Hyperlink"/>
            <w:noProof/>
          </w:rPr>
          <w:t>financial year ended 30 June</w:t>
        </w:r>
        <w:r>
          <w:rPr>
            <w:noProof/>
            <w:webHidden/>
          </w:rPr>
          <w:tab/>
        </w:r>
        <w:r>
          <w:rPr>
            <w:noProof/>
            <w:webHidden/>
          </w:rPr>
          <w:fldChar w:fldCharType="begin"/>
        </w:r>
        <w:r>
          <w:rPr>
            <w:noProof/>
            <w:webHidden/>
          </w:rPr>
          <w:instrText xml:space="preserve"> PAGEREF _Toc209479919 \h </w:instrText>
        </w:r>
        <w:r>
          <w:rPr>
            <w:noProof/>
            <w:webHidden/>
          </w:rPr>
        </w:r>
        <w:r>
          <w:rPr>
            <w:noProof/>
            <w:webHidden/>
          </w:rPr>
          <w:fldChar w:fldCharType="separate"/>
        </w:r>
        <w:r w:rsidR="00727C5B">
          <w:rPr>
            <w:noProof/>
            <w:webHidden/>
          </w:rPr>
          <w:t>149</w:t>
        </w:r>
        <w:r>
          <w:rPr>
            <w:noProof/>
            <w:webHidden/>
          </w:rPr>
          <w:fldChar w:fldCharType="end"/>
        </w:r>
      </w:hyperlink>
    </w:p>
    <w:p w14:paraId="10AA3C5D" w14:textId="030FB7EA" w:rsidR="008844A5" w:rsidRDefault="008844A5">
      <w:pPr>
        <w:pStyle w:val="TOC9"/>
        <w:rPr>
          <w:rFonts w:eastAsiaTheme="minorEastAsia"/>
          <w:noProof/>
          <w:kern w:val="2"/>
          <w:sz w:val="24"/>
          <w:szCs w:val="24"/>
          <w:lang w:eastAsia="en-AU"/>
          <w14:ligatures w14:val="standardContextual"/>
        </w:rPr>
      </w:pPr>
      <w:hyperlink w:anchor="_Toc209479920" w:history="1">
        <w:r w:rsidRPr="00487E86">
          <w:rPr>
            <w:rStyle w:val="Hyperlink"/>
            <w:noProof/>
          </w:rPr>
          <w:t>7.2.4</w:t>
        </w:r>
        <w:r>
          <w:rPr>
            <w:rFonts w:eastAsiaTheme="minorEastAsia"/>
            <w:noProof/>
            <w:kern w:val="2"/>
            <w:sz w:val="24"/>
            <w:szCs w:val="24"/>
            <w:lang w:eastAsia="en-AU"/>
            <w14:ligatures w14:val="standardContextual"/>
          </w:rPr>
          <w:tab/>
        </w:r>
        <w:r w:rsidRPr="00487E86">
          <w:rPr>
            <w:rStyle w:val="Hyperlink"/>
            <w:noProof/>
          </w:rPr>
          <w:t xml:space="preserve">Trust fund summary for the financial year </w:t>
        </w:r>
        <w:r>
          <w:rPr>
            <w:rStyle w:val="Hyperlink"/>
            <w:noProof/>
          </w:rPr>
          <w:br/>
        </w:r>
        <w:r w:rsidRPr="00487E86">
          <w:rPr>
            <w:rStyle w:val="Hyperlink"/>
            <w:noProof/>
          </w:rPr>
          <w:t>ended 30 June</w:t>
        </w:r>
        <w:r>
          <w:rPr>
            <w:noProof/>
            <w:webHidden/>
          </w:rPr>
          <w:tab/>
        </w:r>
        <w:r>
          <w:rPr>
            <w:noProof/>
            <w:webHidden/>
          </w:rPr>
          <w:fldChar w:fldCharType="begin"/>
        </w:r>
        <w:r>
          <w:rPr>
            <w:noProof/>
            <w:webHidden/>
          </w:rPr>
          <w:instrText xml:space="preserve"> PAGEREF _Toc209479920 \h </w:instrText>
        </w:r>
        <w:r>
          <w:rPr>
            <w:noProof/>
            <w:webHidden/>
          </w:rPr>
        </w:r>
        <w:r>
          <w:rPr>
            <w:noProof/>
            <w:webHidden/>
          </w:rPr>
          <w:fldChar w:fldCharType="separate"/>
        </w:r>
        <w:r w:rsidR="00727C5B">
          <w:rPr>
            <w:noProof/>
            <w:webHidden/>
          </w:rPr>
          <w:t>150</w:t>
        </w:r>
        <w:r>
          <w:rPr>
            <w:noProof/>
            <w:webHidden/>
          </w:rPr>
          <w:fldChar w:fldCharType="end"/>
        </w:r>
      </w:hyperlink>
    </w:p>
    <w:p w14:paraId="6DDA745B" w14:textId="1A34AA0E" w:rsidR="008844A5" w:rsidRDefault="008844A5">
      <w:pPr>
        <w:pStyle w:val="TOC9"/>
        <w:rPr>
          <w:rFonts w:eastAsiaTheme="minorEastAsia"/>
          <w:noProof/>
          <w:kern w:val="2"/>
          <w:sz w:val="24"/>
          <w:szCs w:val="24"/>
          <w:lang w:eastAsia="en-AU"/>
          <w14:ligatures w14:val="standardContextual"/>
        </w:rPr>
      </w:pPr>
      <w:hyperlink w:anchor="_Toc209479921" w:history="1">
        <w:r w:rsidRPr="00487E86">
          <w:rPr>
            <w:rStyle w:val="Hyperlink"/>
            <w:noProof/>
          </w:rPr>
          <w:t>7.2.5</w:t>
        </w:r>
        <w:r>
          <w:rPr>
            <w:rFonts w:eastAsiaTheme="minorEastAsia"/>
            <w:noProof/>
            <w:kern w:val="2"/>
            <w:sz w:val="24"/>
            <w:szCs w:val="24"/>
            <w:lang w:eastAsia="en-AU"/>
            <w14:ligatures w14:val="standardContextual"/>
          </w:rPr>
          <w:tab/>
        </w:r>
        <w:r w:rsidRPr="00487E86">
          <w:rPr>
            <w:rStyle w:val="Hyperlink"/>
            <w:noProof/>
          </w:rPr>
          <w:t>Reconciliation of cash flows to balances held</w:t>
        </w:r>
        <w:r>
          <w:rPr>
            <w:noProof/>
            <w:webHidden/>
          </w:rPr>
          <w:tab/>
        </w:r>
        <w:r>
          <w:rPr>
            <w:noProof/>
            <w:webHidden/>
          </w:rPr>
          <w:fldChar w:fldCharType="begin"/>
        </w:r>
        <w:r>
          <w:rPr>
            <w:noProof/>
            <w:webHidden/>
          </w:rPr>
          <w:instrText xml:space="preserve"> PAGEREF _Toc209479921 \h </w:instrText>
        </w:r>
        <w:r>
          <w:rPr>
            <w:noProof/>
            <w:webHidden/>
          </w:rPr>
        </w:r>
        <w:r>
          <w:rPr>
            <w:noProof/>
            <w:webHidden/>
          </w:rPr>
          <w:fldChar w:fldCharType="separate"/>
        </w:r>
        <w:r w:rsidR="00727C5B">
          <w:rPr>
            <w:noProof/>
            <w:webHidden/>
          </w:rPr>
          <w:t>150</w:t>
        </w:r>
        <w:r>
          <w:rPr>
            <w:noProof/>
            <w:webHidden/>
          </w:rPr>
          <w:fldChar w:fldCharType="end"/>
        </w:r>
      </w:hyperlink>
    </w:p>
    <w:p w14:paraId="70AEA637" w14:textId="6F3222A6" w:rsidR="008844A5" w:rsidRDefault="008844A5">
      <w:pPr>
        <w:pStyle w:val="TOC9"/>
        <w:rPr>
          <w:rFonts w:eastAsiaTheme="minorEastAsia"/>
          <w:noProof/>
          <w:kern w:val="2"/>
          <w:sz w:val="24"/>
          <w:szCs w:val="24"/>
          <w:lang w:eastAsia="en-AU"/>
          <w14:ligatures w14:val="standardContextual"/>
        </w:rPr>
      </w:pPr>
      <w:hyperlink w:anchor="_Toc209479922" w:history="1">
        <w:r w:rsidRPr="00487E86">
          <w:rPr>
            <w:rStyle w:val="Hyperlink"/>
            <w:noProof/>
          </w:rPr>
          <w:t>7.2.6</w:t>
        </w:r>
        <w:r>
          <w:rPr>
            <w:rFonts w:eastAsiaTheme="minorEastAsia"/>
            <w:noProof/>
            <w:kern w:val="2"/>
            <w:sz w:val="24"/>
            <w:szCs w:val="24"/>
            <w:lang w:eastAsia="en-AU"/>
            <w14:ligatures w14:val="standardContextual"/>
          </w:rPr>
          <w:tab/>
        </w:r>
        <w:r w:rsidRPr="00487E86">
          <w:rPr>
            <w:rStyle w:val="Hyperlink"/>
            <w:noProof/>
          </w:rPr>
          <w:t>Details of securities held and included in the balances at 30 June</w:t>
        </w:r>
        <w:r>
          <w:rPr>
            <w:noProof/>
            <w:webHidden/>
          </w:rPr>
          <w:tab/>
        </w:r>
        <w:r>
          <w:rPr>
            <w:noProof/>
            <w:webHidden/>
          </w:rPr>
          <w:fldChar w:fldCharType="begin"/>
        </w:r>
        <w:r>
          <w:rPr>
            <w:noProof/>
            <w:webHidden/>
          </w:rPr>
          <w:instrText xml:space="preserve"> PAGEREF _Toc209479922 \h </w:instrText>
        </w:r>
        <w:r>
          <w:rPr>
            <w:noProof/>
            <w:webHidden/>
          </w:rPr>
        </w:r>
        <w:r>
          <w:rPr>
            <w:noProof/>
            <w:webHidden/>
          </w:rPr>
          <w:fldChar w:fldCharType="separate"/>
        </w:r>
        <w:r w:rsidR="00727C5B">
          <w:rPr>
            <w:noProof/>
            <w:webHidden/>
          </w:rPr>
          <w:t>151</w:t>
        </w:r>
        <w:r>
          <w:rPr>
            <w:noProof/>
            <w:webHidden/>
          </w:rPr>
          <w:fldChar w:fldCharType="end"/>
        </w:r>
      </w:hyperlink>
    </w:p>
    <w:p w14:paraId="772B8031" w14:textId="476855A9" w:rsidR="008844A5" w:rsidRDefault="008844A5">
      <w:pPr>
        <w:pStyle w:val="TOC9"/>
        <w:rPr>
          <w:rFonts w:eastAsiaTheme="minorEastAsia"/>
          <w:noProof/>
          <w:kern w:val="2"/>
          <w:sz w:val="24"/>
          <w:szCs w:val="24"/>
          <w:lang w:eastAsia="en-AU"/>
          <w14:ligatures w14:val="standardContextual"/>
        </w:rPr>
      </w:pPr>
      <w:hyperlink w:anchor="_Toc209479923" w:history="1">
        <w:r w:rsidRPr="00487E86">
          <w:rPr>
            <w:rStyle w:val="Hyperlink"/>
            <w:noProof/>
          </w:rPr>
          <w:t>7.2.7</w:t>
        </w:r>
        <w:r>
          <w:rPr>
            <w:rFonts w:eastAsiaTheme="minorEastAsia"/>
            <w:noProof/>
            <w:kern w:val="2"/>
            <w:sz w:val="24"/>
            <w:szCs w:val="24"/>
            <w:lang w:eastAsia="en-AU"/>
            <w14:ligatures w14:val="standardContextual"/>
          </w:rPr>
          <w:tab/>
        </w:r>
        <w:r w:rsidRPr="00487E86">
          <w:rPr>
            <w:rStyle w:val="Hyperlink"/>
            <w:noProof/>
          </w:rPr>
          <w:t>Consolidated Fund payments: Special appropriations</w:t>
        </w:r>
        <w:r>
          <w:rPr>
            <w:noProof/>
            <w:webHidden/>
          </w:rPr>
          <w:tab/>
        </w:r>
        <w:r>
          <w:rPr>
            <w:noProof/>
            <w:webHidden/>
          </w:rPr>
          <w:fldChar w:fldCharType="begin"/>
        </w:r>
        <w:r>
          <w:rPr>
            <w:noProof/>
            <w:webHidden/>
          </w:rPr>
          <w:instrText xml:space="preserve"> PAGEREF _Toc209479923 \h </w:instrText>
        </w:r>
        <w:r>
          <w:rPr>
            <w:noProof/>
            <w:webHidden/>
          </w:rPr>
        </w:r>
        <w:r>
          <w:rPr>
            <w:noProof/>
            <w:webHidden/>
          </w:rPr>
          <w:fldChar w:fldCharType="separate"/>
        </w:r>
        <w:r w:rsidR="00727C5B">
          <w:rPr>
            <w:noProof/>
            <w:webHidden/>
          </w:rPr>
          <w:t>151</w:t>
        </w:r>
        <w:r>
          <w:rPr>
            <w:noProof/>
            <w:webHidden/>
          </w:rPr>
          <w:fldChar w:fldCharType="end"/>
        </w:r>
      </w:hyperlink>
    </w:p>
    <w:p w14:paraId="5AE1CD83" w14:textId="27D1C880" w:rsidR="008844A5" w:rsidRDefault="008844A5">
      <w:pPr>
        <w:pStyle w:val="TOC9"/>
        <w:rPr>
          <w:rFonts w:eastAsiaTheme="minorEastAsia"/>
          <w:noProof/>
          <w:kern w:val="2"/>
          <w:sz w:val="24"/>
          <w:szCs w:val="24"/>
          <w:lang w:eastAsia="en-AU"/>
          <w14:ligatures w14:val="standardContextual"/>
        </w:rPr>
      </w:pPr>
      <w:hyperlink w:anchor="_Toc209479924" w:history="1">
        <w:r w:rsidRPr="00487E86">
          <w:rPr>
            <w:rStyle w:val="Hyperlink"/>
            <w:noProof/>
          </w:rPr>
          <w:t>7.2.8</w:t>
        </w:r>
        <w:r>
          <w:rPr>
            <w:rFonts w:eastAsiaTheme="minorEastAsia"/>
            <w:noProof/>
            <w:kern w:val="2"/>
            <w:sz w:val="24"/>
            <w:szCs w:val="24"/>
            <w:lang w:eastAsia="en-AU"/>
            <w14:ligatures w14:val="standardContextual"/>
          </w:rPr>
          <w:tab/>
        </w:r>
        <w:r w:rsidRPr="00487E86">
          <w:rPr>
            <w:rStyle w:val="Hyperlink"/>
            <w:noProof/>
          </w:rPr>
          <w:t>Consolidated Fund payments: Annual appropriations</w:t>
        </w:r>
        <w:r>
          <w:rPr>
            <w:noProof/>
            <w:webHidden/>
          </w:rPr>
          <w:tab/>
        </w:r>
        <w:r>
          <w:rPr>
            <w:noProof/>
            <w:webHidden/>
          </w:rPr>
          <w:fldChar w:fldCharType="begin"/>
        </w:r>
        <w:r>
          <w:rPr>
            <w:noProof/>
            <w:webHidden/>
          </w:rPr>
          <w:instrText xml:space="preserve"> PAGEREF _Toc209479924 \h </w:instrText>
        </w:r>
        <w:r>
          <w:rPr>
            <w:noProof/>
            <w:webHidden/>
          </w:rPr>
        </w:r>
        <w:r>
          <w:rPr>
            <w:noProof/>
            <w:webHidden/>
          </w:rPr>
          <w:fldChar w:fldCharType="separate"/>
        </w:r>
        <w:r w:rsidR="00727C5B">
          <w:rPr>
            <w:noProof/>
            <w:webHidden/>
          </w:rPr>
          <w:t>152</w:t>
        </w:r>
        <w:r>
          <w:rPr>
            <w:noProof/>
            <w:webHidden/>
          </w:rPr>
          <w:fldChar w:fldCharType="end"/>
        </w:r>
      </w:hyperlink>
    </w:p>
    <w:p w14:paraId="23960238" w14:textId="12DD9032" w:rsidR="008844A5" w:rsidRDefault="008844A5">
      <w:pPr>
        <w:pStyle w:val="TOC9"/>
        <w:rPr>
          <w:rFonts w:eastAsiaTheme="minorEastAsia"/>
          <w:noProof/>
          <w:kern w:val="2"/>
          <w:sz w:val="24"/>
          <w:szCs w:val="24"/>
          <w:lang w:eastAsia="en-AU"/>
          <w14:ligatures w14:val="standardContextual"/>
        </w:rPr>
      </w:pPr>
      <w:hyperlink w:anchor="_Toc209479925" w:history="1">
        <w:r w:rsidRPr="00487E86">
          <w:rPr>
            <w:rStyle w:val="Hyperlink"/>
            <w:noProof/>
          </w:rPr>
          <w:t>7.2.9</w:t>
        </w:r>
        <w:r>
          <w:rPr>
            <w:rFonts w:eastAsiaTheme="minorEastAsia"/>
            <w:noProof/>
            <w:kern w:val="2"/>
            <w:sz w:val="24"/>
            <w:szCs w:val="24"/>
            <w:lang w:eastAsia="en-AU"/>
            <w14:ligatures w14:val="standardContextual"/>
          </w:rPr>
          <w:tab/>
        </w:r>
        <w:r w:rsidRPr="00487E86">
          <w:rPr>
            <w:rStyle w:val="Hyperlink"/>
            <w:noProof/>
          </w:rPr>
          <w:t xml:space="preserve">Amounts paid into working accounts pursuant </w:t>
        </w:r>
        <w:r>
          <w:rPr>
            <w:rStyle w:val="Hyperlink"/>
            <w:noProof/>
          </w:rPr>
          <w:br/>
        </w:r>
        <w:r w:rsidRPr="00487E86">
          <w:rPr>
            <w:rStyle w:val="Hyperlink"/>
            <w:noProof/>
          </w:rPr>
          <w:t xml:space="preserve">to Section 23 of the </w:t>
        </w:r>
        <w:r w:rsidRPr="00487E86">
          <w:rPr>
            <w:rStyle w:val="Hyperlink"/>
            <w:i/>
            <w:noProof/>
          </w:rPr>
          <w:t xml:space="preserve">Financial Management Act </w:t>
        </w:r>
        <w:r>
          <w:rPr>
            <w:rStyle w:val="Hyperlink"/>
            <w:i/>
            <w:noProof/>
          </w:rPr>
          <w:br/>
        </w:r>
        <w:r w:rsidRPr="00487E86">
          <w:rPr>
            <w:rStyle w:val="Hyperlink"/>
            <w:i/>
            <w:noProof/>
          </w:rPr>
          <w:t>1994</w:t>
        </w:r>
        <w:r w:rsidRPr="00487E86">
          <w:rPr>
            <w:rStyle w:val="Hyperlink"/>
            <w:noProof/>
          </w:rPr>
          <w:t xml:space="preserve"> for the year ended 30 June</w:t>
        </w:r>
        <w:r>
          <w:rPr>
            <w:noProof/>
            <w:webHidden/>
          </w:rPr>
          <w:tab/>
        </w:r>
        <w:r>
          <w:rPr>
            <w:noProof/>
            <w:webHidden/>
          </w:rPr>
          <w:fldChar w:fldCharType="begin"/>
        </w:r>
        <w:r>
          <w:rPr>
            <w:noProof/>
            <w:webHidden/>
          </w:rPr>
          <w:instrText xml:space="preserve"> PAGEREF _Toc209479925 \h </w:instrText>
        </w:r>
        <w:r>
          <w:rPr>
            <w:noProof/>
            <w:webHidden/>
          </w:rPr>
        </w:r>
        <w:r>
          <w:rPr>
            <w:noProof/>
            <w:webHidden/>
          </w:rPr>
          <w:fldChar w:fldCharType="separate"/>
        </w:r>
        <w:r w:rsidR="00727C5B">
          <w:rPr>
            <w:noProof/>
            <w:webHidden/>
          </w:rPr>
          <w:t>152</w:t>
        </w:r>
        <w:r>
          <w:rPr>
            <w:noProof/>
            <w:webHidden/>
          </w:rPr>
          <w:fldChar w:fldCharType="end"/>
        </w:r>
      </w:hyperlink>
    </w:p>
    <w:p w14:paraId="4CDFD9D6" w14:textId="446EBD98" w:rsidR="008844A5" w:rsidRDefault="008844A5">
      <w:pPr>
        <w:pStyle w:val="TOC9"/>
        <w:rPr>
          <w:rFonts w:eastAsiaTheme="minorEastAsia"/>
          <w:noProof/>
          <w:kern w:val="2"/>
          <w:sz w:val="24"/>
          <w:szCs w:val="24"/>
          <w:lang w:eastAsia="en-AU"/>
          <w14:ligatures w14:val="standardContextual"/>
        </w:rPr>
      </w:pPr>
      <w:hyperlink w:anchor="_Toc209479926" w:history="1">
        <w:r w:rsidRPr="00487E86">
          <w:rPr>
            <w:rStyle w:val="Hyperlink"/>
            <w:noProof/>
          </w:rPr>
          <w:t>7.2.10</w:t>
        </w:r>
        <w:r>
          <w:rPr>
            <w:rFonts w:eastAsiaTheme="minorEastAsia"/>
            <w:noProof/>
            <w:kern w:val="2"/>
            <w:sz w:val="24"/>
            <w:szCs w:val="24"/>
            <w:lang w:eastAsia="en-AU"/>
            <w14:ligatures w14:val="standardContextual"/>
          </w:rPr>
          <w:tab/>
        </w:r>
        <w:r w:rsidRPr="00487E86">
          <w:rPr>
            <w:rStyle w:val="Hyperlink"/>
            <w:noProof/>
          </w:rPr>
          <w:t xml:space="preserve">Transfers pursuant to Sections 30 and 31 of the </w:t>
        </w:r>
        <w:r w:rsidRPr="00487E86">
          <w:rPr>
            <w:rStyle w:val="Hyperlink"/>
            <w:i/>
            <w:noProof/>
          </w:rPr>
          <w:t>Financial Management Act 1994</w:t>
        </w:r>
        <w:r w:rsidRPr="00487E86">
          <w:rPr>
            <w:rStyle w:val="Hyperlink"/>
            <w:noProof/>
          </w:rPr>
          <w:t xml:space="preserve"> for the financial year ended 30 June</w:t>
        </w:r>
        <w:r>
          <w:rPr>
            <w:noProof/>
            <w:webHidden/>
          </w:rPr>
          <w:tab/>
        </w:r>
        <w:r>
          <w:rPr>
            <w:noProof/>
            <w:webHidden/>
          </w:rPr>
          <w:fldChar w:fldCharType="begin"/>
        </w:r>
        <w:r>
          <w:rPr>
            <w:noProof/>
            <w:webHidden/>
          </w:rPr>
          <w:instrText xml:space="preserve"> PAGEREF _Toc209479926 \h </w:instrText>
        </w:r>
        <w:r>
          <w:rPr>
            <w:noProof/>
            <w:webHidden/>
          </w:rPr>
        </w:r>
        <w:r>
          <w:rPr>
            <w:noProof/>
            <w:webHidden/>
          </w:rPr>
          <w:fldChar w:fldCharType="separate"/>
        </w:r>
        <w:r w:rsidR="00727C5B">
          <w:rPr>
            <w:noProof/>
            <w:webHidden/>
          </w:rPr>
          <w:t>153</w:t>
        </w:r>
        <w:r>
          <w:rPr>
            <w:noProof/>
            <w:webHidden/>
          </w:rPr>
          <w:fldChar w:fldCharType="end"/>
        </w:r>
      </w:hyperlink>
    </w:p>
    <w:p w14:paraId="42B4C920" w14:textId="41142B1A" w:rsidR="008844A5" w:rsidRDefault="008844A5">
      <w:pPr>
        <w:pStyle w:val="TOC9"/>
        <w:rPr>
          <w:rFonts w:eastAsiaTheme="minorEastAsia"/>
          <w:noProof/>
          <w:kern w:val="2"/>
          <w:sz w:val="24"/>
          <w:szCs w:val="24"/>
          <w:lang w:eastAsia="en-AU"/>
          <w14:ligatures w14:val="standardContextual"/>
        </w:rPr>
      </w:pPr>
      <w:hyperlink w:anchor="_Toc209479927" w:history="1">
        <w:r w:rsidRPr="00487E86">
          <w:rPr>
            <w:rStyle w:val="Hyperlink"/>
            <w:noProof/>
          </w:rPr>
          <w:t>7.2.11</w:t>
        </w:r>
        <w:r>
          <w:rPr>
            <w:rFonts w:eastAsiaTheme="minorEastAsia"/>
            <w:noProof/>
            <w:kern w:val="2"/>
            <w:sz w:val="24"/>
            <w:szCs w:val="24"/>
            <w:lang w:eastAsia="en-AU"/>
            <w14:ligatures w14:val="standardContextual"/>
          </w:rPr>
          <w:tab/>
        </w:r>
        <w:r w:rsidRPr="00487E86">
          <w:rPr>
            <w:rStyle w:val="Hyperlink"/>
            <w:noProof/>
          </w:rPr>
          <w:t xml:space="preserve">Appropriation of revenue and asset sale </w:t>
        </w:r>
        <w:r>
          <w:rPr>
            <w:rStyle w:val="Hyperlink"/>
            <w:noProof/>
          </w:rPr>
          <w:br/>
        </w:r>
        <w:r w:rsidRPr="00487E86">
          <w:rPr>
            <w:rStyle w:val="Hyperlink"/>
            <w:noProof/>
          </w:rPr>
          <w:t xml:space="preserve">proceeds pursuant to Section 29 of the </w:t>
        </w:r>
        <w:r w:rsidR="00387417">
          <w:rPr>
            <w:rStyle w:val="Hyperlink"/>
            <w:noProof/>
          </w:rPr>
          <w:br/>
        </w:r>
        <w:r w:rsidRPr="00487E86">
          <w:rPr>
            <w:rStyle w:val="Hyperlink"/>
            <w:i/>
            <w:noProof/>
          </w:rPr>
          <w:t>Financial Management Act 1994</w:t>
        </w:r>
        <w:r w:rsidRPr="00487E86">
          <w:rPr>
            <w:rStyle w:val="Hyperlink"/>
            <w:noProof/>
          </w:rPr>
          <w:t xml:space="preserve"> for the </w:t>
        </w:r>
        <w:r w:rsidR="00387417">
          <w:rPr>
            <w:rStyle w:val="Hyperlink"/>
            <w:noProof/>
          </w:rPr>
          <w:br/>
        </w:r>
        <w:r w:rsidRPr="00487E86">
          <w:rPr>
            <w:rStyle w:val="Hyperlink"/>
            <w:noProof/>
          </w:rPr>
          <w:t>financial year ended 30 June</w:t>
        </w:r>
        <w:r>
          <w:rPr>
            <w:noProof/>
            <w:webHidden/>
          </w:rPr>
          <w:tab/>
        </w:r>
        <w:r>
          <w:rPr>
            <w:noProof/>
            <w:webHidden/>
          </w:rPr>
          <w:fldChar w:fldCharType="begin"/>
        </w:r>
        <w:r>
          <w:rPr>
            <w:noProof/>
            <w:webHidden/>
          </w:rPr>
          <w:instrText xml:space="preserve"> PAGEREF _Toc209479927 \h </w:instrText>
        </w:r>
        <w:r>
          <w:rPr>
            <w:noProof/>
            <w:webHidden/>
          </w:rPr>
        </w:r>
        <w:r>
          <w:rPr>
            <w:noProof/>
            <w:webHidden/>
          </w:rPr>
          <w:fldChar w:fldCharType="separate"/>
        </w:r>
        <w:r w:rsidR="00727C5B">
          <w:rPr>
            <w:noProof/>
            <w:webHidden/>
          </w:rPr>
          <w:t>154</w:t>
        </w:r>
        <w:r>
          <w:rPr>
            <w:noProof/>
            <w:webHidden/>
          </w:rPr>
          <w:fldChar w:fldCharType="end"/>
        </w:r>
      </w:hyperlink>
    </w:p>
    <w:p w14:paraId="2C94970F" w14:textId="7FFED276" w:rsidR="008844A5" w:rsidRDefault="008844A5">
      <w:pPr>
        <w:pStyle w:val="TOC9"/>
        <w:rPr>
          <w:rFonts w:eastAsiaTheme="minorEastAsia"/>
          <w:noProof/>
          <w:kern w:val="2"/>
          <w:sz w:val="24"/>
          <w:szCs w:val="24"/>
          <w:lang w:eastAsia="en-AU"/>
          <w14:ligatures w14:val="standardContextual"/>
        </w:rPr>
      </w:pPr>
      <w:hyperlink w:anchor="_Toc209479928" w:history="1">
        <w:r w:rsidRPr="00487E86">
          <w:rPr>
            <w:rStyle w:val="Hyperlink"/>
            <w:noProof/>
          </w:rPr>
          <w:t>7.2.12</w:t>
        </w:r>
        <w:r>
          <w:rPr>
            <w:rFonts w:eastAsiaTheme="minorEastAsia"/>
            <w:noProof/>
            <w:kern w:val="2"/>
            <w:sz w:val="24"/>
            <w:szCs w:val="24"/>
            <w:lang w:eastAsia="en-AU"/>
            <w14:ligatures w14:val="standardContextual"/>
          </w:rPr>
          <w:tab/>
        </w:r>
        <w:r w:rsidRPr="00487E86">
          <w:rPr>
            <w:rStyle w:val="Hyperlink"/>
            <w:noProof/>
          </w:rPr>
          <w:t xml:space="preserve">Section 32 carryovers – </w:t>
        </w:r>
        <w:r w:rsidRPr="00487E86">
          <w:rPr>
            <w:rStyle w:val="Hyperlink"/>
            <w:i/>
            <w:noProof/>
          </w:rPr>
          <w:t xml:space="preserve">Financial Management </w:t>
        </w:r>
        <w:r>
          <w:rPr>
            <w:rStyle w:val="Hyperlink"/>
            <w:i/>
            <w:noProof/>
          </w:rPr>
          <w:br/>
        </w:r>
        <w:r w:rsidRPr="00487E86">
          <w:rPr>
            <w:rStyle w:val="Hyperlink"/>
            <w:i/>
            <w:noProof/>
          </w:rPr>
          <w:t>Act 1994</w:t>
        </w:r>
        <w:r w:rsidRPr="00487E86">
          <w:rPr>
            <w:rStyle w:val="Hyperlink"/>
            <w:noProof/>
          </w:rPr>
          <w:t xml:space="preserve"> for the financial year ended 30 June</w:t>
        </w:r>
        <w:r>
          <w:rPr>
            <w:noProof/>
            <w:webHidden/>
          </w:rPr>
          <w:tab/>
        </w:r>
        <w:r>
          <w:rPr>
            <w:noProof/>
            <w:webHidden/>
          </w:rPr>
          <w:fldChar w:fldCharType="begin"/>
        </w:r>
        <w:r>
          <w:rPr>
            <w:noProof/>
            <w:webHidden/>
          </w:rPr>
          <w:instrText xml:space="preserve"> PAGEREF _Toc209479928 \h </w:instrText>
        </w:r>
        <w:r>
          <w:rPr>
            <w:noProof/>
            <w:webHidden/>
          </w:rPr>
        </w:r>
        <w:r>
          <w:rPr>
            <w:noProof/>
            <w:webHidden/>
          </w:rPr>
          <w:fldChar w:fldCharType="separate"/>
        </w:r>
        <w:r w:rsidR="00727C5B">
          <w:rPr>
            <w:noProof/>
            <w:webHidden/>
          </w:rPr>
          <w:t>155</w:t>
        </w:r>
        <w:r>
          <w:rPr>
            <w:noProof/>
            <w:webHidden/>
          </w:rPr>
          <w:fldChar w:fldCharType="end"/>
        </w:r>
      </w:hyperlink>
    </w:p>
    <w:p w14:paraId="5B73EA65" w14:textId="50F5BD2A" w:rsidR="008844A5" w:rsidRDefault="008844A5">
      <w:pPr>
        <w:pStyle w:val="TOC9"/>
        <w:rPr>
          <w:rFonts w:eastAsiaTheme="minorEastAsia"/>
          <w:noProof/>
          <w:kern w:val="2"/>
          <w:sz w:val="24"/>
          <w:szCs w:val="24"/>
          <w:lang w:eastAsia="en-AU"/>
          <w14:ligatures w14:val="standardContextual"/>
        </w:rPr>
      </w:pPr>
      <w:hyperlink w:anchor="_Toc209479929" w:history="1">
        <w:r w:rsidRPr="00487E86">
          <w:rPr>
            <w:rStyle w:val="Hyperlink"/>
            <w:noProof/>
          </w:rPr>
          <w:t>7.2.13</w:t>
        </w:r>
        <w:r>
          <w:rPr>
            <w:rFonts w:eastAsiaTheme="minorEastAsia"/>
            <w:noProof/>
            <w:kern w:val="2"/>
            <w:sz w:val="24"/>
            <w:szCs w:val="24"/>
            <w:lang w:eastAsia="en-AU"/>
            <w14:ligatures w14:val="standardContextual"/>
          </w:rPr>
          <w:tab/>
        </w:r>
        <w:r w:rsidRPr="00487E86">
          <w:rPr>
            <w:rStyle w:val="Hyperlink"/>
            <w:noProof/>
          </w:rPr>
          <w:t xml:space="preserve">Payments from advance to the Treasurer for </w:t>
        </w:r>
        <w:r>
          <w:rPr>
            <w:rStyle w:val="Hyperlink"/>
            <w:noProof/>
          </w:rPr>
          <w:br/>
        </w:r>
        <w:r w:rsidRPr="00487E86">
          <w:rPr>
            <w:rStyle w:val="Hyperlink"/>
            <w:noProof/>
          </w:rPr>
          <w:t>the financial year ended 30 June</w:t>
        </w:r>
        <w:r>
          <w:rPr>
            <w:noProof/>
            <w:webHidden/>
          </w:rPr>
          <w:tab/>
        </w:r>
        <w:r>
          <w:rPr>
            <w:noProof/>
            <w:webHidden/>
          </w:rPr>
          <w:fldChar w:fldCharType="begin"/>
        </w:r>
        <w:r>
          <w:rPr>
            <w:noProof/>
            <w:webHidden/>
          </w:rPr>
          <w:instrText xml:space="preserve"> PAGEREF _Toc209479929 \h </w:instrText>
        </w:r>
        <w:r>
          <w:rPr>
            <w:noProof/>
            <w:webHidden/>
          </w:rPr>
        </w:r>
        <w:r>
          <w:rPr>
            <w:noProof/>
            <w:webHidden/>
          </w:rPr>
          <w:fldChar w:fldCharType="separate"/>
        </w:r>
        <w:r w:rsidR="00727C5B">
          <w:rPr>
            <w:noProof/>
            <w:webHidden/>
          </w:rPr>
          <w:t>156</w:t>
        </w:r>
        <w:r>
          <w:rPr>
            <w:noProof/>
            <w:webHidden/>
          </w:rPr>
          <w:fldChar w:fldCharType="end"/>
        </w:r>
      </w:hyperlink>
    </w:p>
    <w:p w14:paraId="08F41DA1" w14:textId="4B420CA1" w:rsidR="008844A5" w:rsidRDefault="008844A5">
      <w:pPr>
        <w:pStyle w:val="TOC9"/>
        <w:rPr>
          <w:rFonts w:eastAsiaTheme="minorEastAsia"/>
          <w:noProof/>
          <w:kern w:val="2"/>
          <w:sz w:val="24"/>
          <w:szCs w:val="24"/>
          <w:lang w:eastAsia="en-AU"/>
          <w14:ligatures w14:val="standardContextual"/>
        </w:rPr>
      </w:pPr>
      <w:hyperlink w:anchor="_Toc209479930" w:history="1">
        <w:r w:rsidRPr="00487E86">
          <w:rPr>
            <w:rStyle w:val="Hyperlink"/>
            <w:noProof/>
          </w:rPr>
          <w:t>7.2.14</w:t>
        </w:r>
        <w:r>
          <w:rPr>
            <w:rFonts w:eastAsiaTheme="minorEastAsia"/>
            <w:noProof/>
            <w:kern w:val="2"/>
            <w:sz w:val="24"/>
            <w:szCs w:val="24"/>
            <w:lang w:eastAsia="en-AU"/>
            <w14:ligatures w14:val="standardContextual"/>
          </w:rPr>
          <w:tab/>
        </w:r>
        <w:r w:rsidRPr="00487E86">
          <w:rPr>
            <w:rStyle w:val="Hyperlink"/>
            <w:noProof/>
          </w:rPr>
          <w:t>Payments from advances and unused advances carried forward to 2024-25 pursuant to Section </w:t>
        </w:r>
        <w:r>
          <w:rPr>
            <w:rStyle w:val="Hyperlink"/>
            <w:noProof/>
          </w:rPr>
          <w:br/>
        </w:r>
        <w:r w:rsidRPr="00487E86">
          <w:rPr>
            <w:rStyle w:val="Hyperlink"/>
            <w:noProof/>
          </w:rPr>
          <w:t xml:space="preserve">35 and 35(4) of the </w:t>
        </w:r>
        <w:r w:rsidRPr="00487E86">
          <w:rPr>
            <w:rStyle w:val="Hyperlink"/>
            <w:i/>
            <w:noProof/>
          </w:rPr>
          <w:t xml:space="preserve">Financial Management Act </w:t>
        </w:r>
        <w:r>
          <w:rPr>
            <w:rStyle w:val="Hyperlink"/>
            <w:i/>
            <w:noProof/>
          </w:rPr>
          <w:br/>
        </w:r>
        <w:r w:rsidRPr="00487E86">
          <w:rPr>
            <w:rStyle w:val="Hyperlink"/>
            <w:i/>
            <w:noProof/>
          </w:rPr>
          <w:t>1994</w:t>
        </w:r>
        <w:r>
          <w:rPr>
            <w:noProof/>
            <w:webHidden/>
          </w:rPr>
          <w:tab/>
        </w:r>
        <w:r>
          <w:rPr>
            <w:noProof/>
            <w:webHidden/>
          </w:rPr>
          <w:fldChar w:fldCharType="begin"/>
        </w:r>
        <w:r>
          <w:rPr>
            <w:noProof/>
            <w:webHidden/>
          </w:rPr>
          <w:instrText xml:space="preserve"> PAGEREF _Toc209479930 \h </w:instrText>
        </w:r>
        <w:r>
          <w:rPr>
            <w:noProof/>
            <w:webHidden/>
          </w:rPr>
        </w:r>
        <w:r>
          <w:rPr>
            <w:noProof/>
            <w:webHidden/>
          </w:rPr>
          <w:fldChar w:fldCharType="separate"/>
        </w:r>
        <w:r w:rsidR="00727C5B">
          <w:rPr>
            <w:noProof/>
            <w:webHidden/>
          </w:rPr>
          <w:t>162</w:t>
        </w:r>
        <w:r>
          <w:rPr>
            <w:noProof/>
            <w:webHidden/>
          </w:rPr>
          <w:fldChar w:fldCharType="end"/>
        </w:r>
      </w:hyperlink>
    </w:p>
    <w:p w14:paraId="18216369" w14:textId="4405130C" w:rsidR="008844A5" w:rsidRDefault="008844A5">
      <w:pPr>
        <w:pStyle w:val="TOC9"/>
        <w:rPr>
          <w:rFonts w:eastAsiaTheme="minorEastAsia"/>
          <w:noProof/>
          <w:kern w:val="2"/>
          <w:sz w:val="24"/>
          <w:szCs w:val="24"/>
          <w:lang w:eastAsia="en-AU"/>
          <w14:ligatures w14:val="standardContextual"/>
        </w:rPr>
      </w:pPr>
      <w:hyperlink w:anchor="_Toc209479931" w:history="1">
        <w:r w:rsidRPr="00487E86">
          <w:rPr>
            <w:rStyle w:val="Hyperlink"/>
            <w:noProof/>
          </w:rPr>
          <w:t>7.2.15</w:t>
        </w:r>
        <w:r>
          <w:rPr>
            <w:rFonts w:eastAsiaTheme="minorEastAsia"/>
            <w:noProof/>
            <w:kern w:val="2"/>
            <w:sz w:val="24"/>
            <w:szCs w:val="24"/>
            <w:lang w:eastAsia="en-AU"/>
            <w14:ligatures w14:val="standardContextual"/>
          </w:rPr>
          <w:tab/>
        </w:r>
        <w:r w:rsidRPr="00487E86">
          <w:rPr>
            <w:rStyle w:val="Hyperlink"/>
            <w:noProof/>
          </w:rPr>
          <w:t>Government guarantees</w:t>
        </w:r>
        <w:r>
          <w:rPr>
            <w:noProof/>
            <w:webHidden/>
          </w:rPr>
          <w:tab/>
        </w:r>
        <w:r>
          <w:rPr>
            <w:noProof/>
            <w:webHidden/>
          </w:rPr>
          <w:fldChar w:fldCharType="begin"/>
        </w:r>
        <w:r>
          <w:rPr>
            <w:noProof/>
            <w:webHidden/>
          </w:rPr>
          <w:instrText xml:space="preserve"> PAGEREF _Toc209479931 \h </w:instrText>
        </w:r>
        <w:r>
          <w:rPr>
            <w:noProof/>
            <w:webHidden/>
          </w:rPr>
        </w:r>
        <w:r>
          <w:rPr>
            <w:noProof/>
            <w:webHidden/>
          </w:rPr>
          <w:fldChar w:fldCharType="separate"/>
        </w:r>
        <w:r w:rsidR="00727C5B">
          <w:rPr>
            <w:noProof/>
            <w:webHidden/>
          </w:rPr>
          <w:t>162</w:t>
        </w:r>
        <w:r>
          <w:rPr>
            <w:noProof/>
            <w:webHidden/>
          </w:rPr>
          <w:fldChar w:fldCharType="end"/>
        </w:r>
      </w:hyperlink>
    </w:p>
    <w:p w14:paraId="53EF7648" w14:textId="7091E93F" w:rsidR="008844A5" w:rsidRDefault="008844A5">
      <w:pPr>
        <w:pStyle w:val="TOC9"/>
        <w:rPr>
          <w:rFonts w:eastAsiaTheme="minorEastAsia"/>
          <w:noProof/>
          <w:kern w:val="2"/>
          <w:sz w:val="24"/>
          <w:szCs w:val="24"/>
          <w:lang w:eastAsia="en-AU"/>
          <w14:ligatures w14:val="standardContextual"/>
        </w:rPr>
      </w:pPr>
      <w:hyperlink w:anchor="_Toc209479932" w:history="1">
        <w:r w:rsidRPr="00487E86">
          <w:rPr>
            <w:rStyle w:val="Hyperlink"/>
            <w:noProof/>
          </w:rPr>
          <w:t>7.2.16</w:t>
        </w:r>
        <w:r>
          <w:rPr>
            <w:rFonts w:eastAsiaTheme="minorEastAsia"/>
            <w:noProof/>
            <w:kern w:val="2"/>
            <w:sz w:val="24"/>
            <w:szCs w:val="24"/>
            <w:lang w:eastAsia="en-AU"/>
            <w14:ligatures w14:val="standardContextual"/>
          </w:rPr>
          <w:tab/>
        </w:r>
        <w:r w:rsidRPr="00487E86">
          <w:rPr>
            <w:rStyle w:val="Hyperlink"/>
            <w:noProof/>
          </w:rPr>
          <w:t xml:space="preserve">Allocations pursuant to Section 28 of the </w:t>
        </w:r>
        <w:r>
          <w:rPr>
            <w:rStyle w:val="Hyperlink"/>
            <w:noProof/>
          </w:rPr>
          <w:br/>
        </w:r>
        <w:r w:rsidRPr="00487E86">
          <w:rPr>
            <w:rStyle w:val="Hyperlink"/>
            <w:i/>
            <w:noProof/>
          </w:rPr>
          <w:t>Financial Management Act 1994</w:t>
        </w:r>
        <w:r w:rsidRPr="00487E86">
          <w:rPr>
            <w:rStyle w:val="Hyperlink"/>
            <w:noProof/>
          </w:rPr>
          <w:t xml:space="preserve"> for the financial year ended 30 June</w:t>
        </w:r>
        <w:r>
          <w:rPr>
            <w:noProof/>
            <w:webHidden/>
          </w:rPr>
          <w:tab/>
        </w:r>
        <w:r>
          <w:rPr>
            <w:noProof/>
            <w:webHidden/>
          </w:rPr>
          <w:fldChar w:fldCharType="begin"/>
        </w:r>
        <w:r>
          <w:rPr>
            <w:noProof/>
            <w:webHidden/>
          </w:rPr>
          <w:instrText xml:space="preserve"> PAGEREF _Toc209479932 \h </w:instrText>
        </w:r>
        <w:r>
          <w:rPr>
            <w:noProof/>
            <w:webHidden/>
          </w:rPr>
        </w:r>
        <w:r>
          <w:rPr>
            <w:noProof/>
            <w:webHidden/>
          </w:rPr>
          <w:fldChar w:fldCharType="separate"/>
        </w:r>
        <w:r w:rsidR="00727C5B">
          <w:rPr>
            <w:noProof/>
            <w:webHidden/>
          </w:rPr>
          <w:t>162</w:t>
        </w:r>
        <w:r>
          <w:rPr>
            <w:noProof/>
            <w:webHidden/>
          </w:rPr>
          <w:fldChar w:fldCharType="end"/>
        </w:r>
      </w:hyperlink>
    </w:p>
    <w:p w14:paraId="14F4FBB5" w14:textId="24997868" w:rsidR="00823C0E" w:rsidRDefault="009D33A8" w:rsidP="009D33A8">
      <w:pPr>
        <w:ind w:left="879" w:hanging="879"/>
        <w:rPr>
          <w:color w:val="2B579A"/>
          <w:shd w:val="clear" w:color="auto" w:fill="E6E6E6"/>
        </w:rPr>
        <w:sectPr w:rsidR="00823C0E" w:rsidSect="00823C0E">
          <w:type w:val="continuous"/>
          <w:pgSz w:w="11906" w:h="16838" w:code="9"/>
          <w:pgMar w:top="1134" w:right="1134" w:bottom="1134" w:left="1134" w:header="624" w:footer="567" w:gutter="0"/>
          <w:cols w:num="2" w:space="708"/>
          <w:docGrid w:linePitch="360"/>
        </w:sectPr>
      </w:pPr>
      <w:r>
        <w:rPr>
          <w:color w:val="2B579A"/>
          <w:shd w:val="clear" w:color="auto" w:fill="E6E6E6"/>
        </w:rPr>
        <w:fldChar w:fldCharType="end"/>
      </w:r>
    </w:p>
    <w:p w14:paraId="69E0F458" w14:textId="506C9A29" w:rsidR="00823C0E" w:rsidRDefault="00823C0E">
      <w:pPr>
        <w:keepLines w:val="0"/>
      </w:pPr>
      <w:r>
        <w:br w:type="page"/>
      </w:r>
    </w:p>
    <w:p w14:paraId="760AD67E" w14:textId="77777777" w:rsidR="009D33A8" w:rsidRDefault="009D33A8" w:rsidP="004610D1">
      <w:pPr>
        <w:pStyle w:val="Heading3"/>
      </w:pPr>
      <w:bookmarkStart w:id="131" w:name="_Toc114670290"/>
      <w:bookmarkStart w:id="132" w:name="_Toc209479917"/>
      <w:bookmarkStart w:id="133" w:name="SectionPublicAccount"/>
      <w:r>
        <w:lastRenderedPageBreak/>
        <w:t>7.2.1</w:t>
      </w:r>
      <w:r>
        <w:tab/>
      </w:r>
      <w:r w:rsidRPr="0003431C">
        <w:t xml:space="preserve">Summarised consolidated fund receipts and payments for the financial year </w:t>
      </w:r>
      <w:r>
        <w:br/>
      </w:r>
      <w:r w:rsidRPr="0003431C">
        <w:t>ended 30 June</w:t>
      </w:r>
      <w:bookmarkEnd w:id="131"/>
      <w:r>
        <w:tab/>
      </w:r>
      <w:r w:rsidRPr="004269AE">
        <w:rPr>
          <w:sz w:val="20"/>
          <w:szCs w:val="20"/>
        </w:rPr>
        <w:t>($ thousand)</w:t>
      </w:r>
      <w:bookmarkEnd w:id="132"/>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receipts_and_payments|LastRow:58"/>
      </w:tblPr>
      <w:tblGrid>
        <w:gridCol w:w="6521"/>
        <w:gridCol w:w="850"/>
        <w:gridCol w:w="1134"/>
        <w:gridCol w:w="1133"/>
      </w:tblGrid>
      <w:tr w:rsidR="009D33A8" w14:paraId="42C91C1E"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21" w:type="dxa"/>
          </w:tcPr>
          <w:p w14:paraId="18D389A6" w14:textId="77777777" w:rsidR="009D33A8" w:rsidRDefault="009D33A8">
            <w:pPr>
              <w:keepNext/>
              <w:spacing w:after="0"/>
            </w:pPr>
          </w:p>
        </w:tc>
        <w:tc>
          <w:tcPr>
            <w:tcW w:w="850" w:type="dxa"/>
          </w:tcPr>
          <w:p w14:paraId="0654721C" w14:textId="77777777" w:rsidR="009D33A8" w:rsidRDefault="009D33A8">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1134" w:type="dxa"/>
          </w:tcPr>
          <w:p w14:paraId="70AA569D"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1133" w:type="dxa"/>
          </w:tcPr>
          <w:p w14:paraId="51C9B8F3"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2024</w:t>
            </w:r>
          </w:p>
        </w:tc>
      </w:tr>
      <w:tr w:rsidR="009D33A8" w14:paraId="1C9504C8" w14:textId="77777777">
        <w:tc>
          <w:tcPr>
            <w:cnfStyle w:val="001000000000" w:firstRow="0" w:lastRow="0" w:firstColumn="1" w:lastColumn="0" w:oddVBand="0" w:evenVBand="0" w:oddHBand="0" w:evenHBand="0" w:firstRowFirstColumn="0" w:firstRowLastColumn="0" w:lastRowFirstColumn="0" w:lastRowLastColumn="0"/>
            <w:tcW w:w="6521" w:type="dxa"/>
          </w:tcPr>
          <w:p w14:paraId="38487C92" w14:textId="77777777" w:rsidR="009D33A8" w:rsidRDefault="009D33A8">
            <w:pPr>
              <w:spacing w:after="0"/>
            </w:pPr>
            <w:r>
              <w:rPr>
                <w:b/>
              </w:rPr>
              <w:t>Receipts</w:t>
            </w:r>
          </w:p>
        </w:tc>
        <w:tc>
          <w:tcPr>
            <w:tcW w:w="850" w:type="dxa"/>
          </w:tcPr>
          <w:p w14:paraId="4FDFC66E"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6CC382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7394553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57E1FBE1" w14:textId="77777777">
        <w:tc>
          <w:tcPr>
            <w:cnfStyle w:val="001000000000" w:firstRow="0" w:lastRow="0" w:firstColumn="1" w:lastColumn="0" w:oddVBand="0" w:evenVBand="0" w:oddHBand="0" w:evenHBand="0" w:firstRowFirstColumn="0" w:firstRowLastColumn="0" w:lastRowFirstColumn="0" w:lastRowLastColumn="0"/>
            <w:tcW w:w="6521" w:type="dxa"/>
          </w:tcPr>
          <w:p w14:paraId="1BE52754" w14:textId="77777777" w:rsidR="009D33A8" w:rsidRDefault="009D33A8">
            <w:pPr>
              <w:spacing w:after="0"/>
            </w:pPr>
            <w:r>
              <w:t>Taxation</w:t>
            </w:r>
            <w:r>
              <w:rPr>
                <w:vertAlign w:val="superscript"/>
              </w:rPr>
              <w:t xml:space="preserve"> (a)</w:t>
            </w:r>
          </w:p>
        </w:tc>
        <w:tc>
          <w:tcPr>
            <w:tcW w:w="850" w:type="dxa"/>
          </w:tcPr>
          <w:p w14:paraId="41227D9C"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33997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40 441 320</w:t>
            </w:r>
          </w:p>
        </w:tc>
        <w:tc>
          <w:tcPr>
            <w:tcW w:w="1133" w:type="dxa"/>
          </w:tcPr>
          <w:p w14:paraId="33657F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37 057 161</w:t>
            </w:r>
          </w:p>
        </w:tc>
      </w:tr>
      <w:tr w:rsidR="009D33A8" w14:paraId="5775EE6A" w14:textId="77777777">
        <w:tc>
          <w:tcPr>
            <w:cnfStyle w:val="001000000000" w:firstRow="0" w:lastRow="0" w:firstColumn="1" w:lastColumn="0" w:oddVBand="0" w:evenVBand="0" w:oddHBand="0" w:evenHBand="0" w:firstRowFirstColumn="0" w:firstRowLastColumn="0" w:lastRowFirstColumn="0" w:lastRowLastColumn="0"/>
            <w:tcW w:w="6521" w:type="dxa"/>
          </w:tcPr>
          <w:p w14:paraId="1388C381" w14:textId="77777777" w:rsidR="009D33A8" w:rsidRDefault="009D33A8">
            <w:pPr>
              <w:spacing w:after="0"/>
            </w:pPr>
            <w:r>
              <w:t>Fines and regulatory fees</w:t>
            </w:r>
          </w:p>
        </w:tc>
        <w:tc>
          <w:tcPr>
            <w:tcW w:w="850" w:type="dxa"/>
          </w:tcPr>
          <w:p w14:paraId="00C0DA66"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18726D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974 464</w:t>
            </w:r>
          </w:p>
        </w:tc>
        <w:tc>
          <w:tcPr>
            <w:tcW w:w="1133" w:type="dxa"/>
          </w:tcPr>
          <w:p w14:paraId="38E8D6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995 861</w:t>
            </w:r>
          </w:p>
        </w:tc>
      </w:tr>
      <w:tr w:rsidR="009D33A8" w14:paraId="03D3A707" w14:textId="77777777">
        <w:tc>
          <w:tcPr>
            <w:cnfStyle w:val="001000000000" w:firstRow="0" w:lastRow="0" w:firstColumn="1" w:lastColumn="0" w:oddVBand="0" w:evenVBand="0" w:oddHBand="0" w:evenHBand="0" w:firstRowFirstColumn="0" w:firstRowLastColumn="0" w:lastRowFirstColumn="0" w:lastRowLastColumn="0"/>
            <w:tcW w:w="6521" w:type="dxa"/>
          </w:tcPr>
          <w:p w14:paraId="6248448D" w14:textId="77777777" w:rsidR="009D33A8" w:rsidRDefault="009D33A8">
            <w:pPr>
              <w:spacing w:after="0"/>
            </w:pPr>
            <w:r>
              <w:t>Grants received</w:t>
            </w:r>
          </w:p>
        </w:tc>
        <w:tc>
          <w:tcPr>
            <w:tcW w:w="850" w:type="dxa"/>
          </w:tcPr>
          <w:p w14:paraId="097AD295"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47ED4D2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31 615 617</w:t>
            </w:r>
          </w:p>
        </w:tc>
        <w:tc>
          <w:tcPr>
            <w:tcW w:w="1133" w:type="dxa"/>
          </w:tcPr>
          <w:p w14:paraId="75B6E09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27 291 051</w:t>
            </w:r>
          </w:p>
        </w:tc>
      </w:tr>
      <w:tr w:rsidR="009D33A8" w14:paraId="5DBB8865" w14:textId="77777777">
        <w:tc>
          <w:tcPr>
            <w:cnfStyle w:val="001000000000" w:firstRow="0" w:lastRow="0" w:firstColumn="1" w:lastColumn="0" w:oddVBand="0" w:evenVBand="0" w:oddHBand="0" w:evenHBand="0" w:firstRowFirstColumn="0" w:firstRowLastColumn="0" w:lastRowFirstColumn="0" w:lastRowLastColumn="0"/>
            <w:tcW w:w="6521" w:type="dxa"/>
          </w:tcPr>
          <w:p w14:paraId="69BB6FD0" w14:textId="77777777" w:rsidR="009D33A8" w:rsidRDefault="009D33A8">
            <w:pPr>
              <w:spacing w:after="0"/>
            </w:pPr>
            <w:r>
              <w:t>Sales of goods and services</w:t>
            </w:r>
          </w:p>
        </w:tc>
        <w:tc>
          <w:tcPr>
            <w:tcW w:w="850" w:type="dxa"/>
          </w:tcPr>
          <w:p w14:paraId="56BD6836"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3B53BDC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1 238 853</w:t>
            </w:r>
          </w:p>
        </w:tc>
        <w:tc>
          <w:tcPr>
            <w:tcW w:w="1133" w:type="dxa"/>
          </w:tcPr>
          <w:p w14:paraId="16A547A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1 134 718</w:t>
            </w:r>
          </w:p>
        </w:tc>
      </w:tr>
      <w:tr w:rsidR="009D33A8" w14:paraId="755D166E" w14:textId="77777777">
        <w:tc>
          <w:tcPr>
            <w:cnfStyle w:val="001000000000" w:firstRow="0" w:lastRow="0" w:firstColumn="1" w:lastColumn="0" w:oddVBand="0" w:evenVBand="0" w:oddHBand="0" w:evenHBand="0" w:firstRowFirstColumn="0" w:firstRowLastColumn="0" w:lastRowFirstColumn="0" w:lastRowLastColumn="0"/>
            <w:tcW w:w="6521" w:type="dxa"/>
          </w:tcPr>
          <w:p w14:paraId="7E6C6EA4" w14:textId="77777777" w:rsidR="009D33A8" w:rsidRDefault="009D33A8">
            <w:pPr>
              <w:spacing w:after="0"/>
            </w:pPr>
            <w:r>
              <w:t>Interest received</w:t>
            </w:r>
          </w:p>
        </w:tc>
        <w:tc>
          <w:tcPr>
            <w:tcW w:w="850" w:type="dxa"/>
          </w:tcPr>
          <w:p w14:paraId="20DD959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FC1BA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868 374</w:t>
            </w:r>
          </w:p>
        </w:tc>
        <w:tc>
          <w:tcPr>
            <w:tcW w:w="1133" w:type="dxa"/>
          </w:tcPr>
          <w:p w14:paraId="762E9D7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1 103 039</w:t>
            </w:r>
          </w:p>
        </w:tc>
      </w:tr>
      <w:tr w:rsidR="009D33A8" w14:paraId="0279D3C3" w14:textId="77777777">
        <w:tc>
          <w:tcPr>
            <w:cnfStyle w:val="001000000000" w:firstRow="0" w:lastRow="0" w:firstColumn="1" w:lastColumn="0" w:oddVBand="0" w:evenVBand="0" w:oddHBand="0" w:evenHBand="0" w:firstRowFirstColumn="0" w:firstRowLastColumn="0" w:lastRowFirstColumn="0" w:lastRowLastColumn="0"/>
            <w:tcW w:w="6521" w:type="dxa"/>
          </w:tcPr>
          <w:p w14:paraId="0F327F90" w14:textId="77777777" w:rsidR="009D33A8" w:rsidRDefault="009D33A8">
            <w:pPr>
              <w:spacing w:after="0"/>
            </w:pPr>
            <w:r>
              <w:t>Dividends and income tax equivalent receipts</w:t>
            </w:r>
          </w:p>
        </w:tc>
        <w:tc>
          <w:tcPr>
            <w:tcW w:w="850" w:type="dxa"/>
          </w:tcPr>
          <w:p w14:paraId="1F5465B2"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3CE21D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1 643 904</w:t>
            </w:r>
          </w:p>
        </w:tc>
        <w:tc>
          <w:tcPr>
            <w:tcW w:w="1133" w:type="dxa"/>
          </w:tcPr>
          <w:p w14:paraId="15F566E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2 484 672</w:t>
            </w:r>
          </w:p>
        </w:tc>
      </w:tr>
      <w:tr w:rsidR="009D33A8" w14:paraId="383A5B26"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16BD8E86" w14:textId="77777777" w:rsidR="009D33A8" w:rsidRDefault="009D33A8">
            <w:pPr>
              <w:spacing w:after="0"/>
            </w:pPr>
            <w:r>
              <w:t>Other receipts</w:t>
            </w:r>
            <w:r>
              <w:rPr>
                <w:vertAlign w:val="superscript"/>
              </w:rPr>
              <w:t xml:space="preserve"> (a)</w:t>
            </w:r>
          </w:p>
        </w:tc>
        <w:tc>
          <w:tcPr>
            <w:tcW w:w="850" w:type="dxa"/>
            <w:tcBorders>
              <w:bottom w:val="single" w:sz="6" w:space="0" w:color="auto"/>
            </w:tcBorders>
          </w:tcPr>
          <w:p w14:paraId="01116462"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1344A27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1 538 588</w:t>
            </w:r>
          </w:p>
        </w:tc>
        <w:tc>
          <w:tcPr>
            <w:tcW w:w="1133" w:type="dxa"/>
            <w:tcBorders>
              <w:bottom w:val="single" w:sz="6" w:space="0" w:color="auto"/>
            </w:tcBorders>
          </w:tcPr>
          <w:p w14:paraId="4B19CF8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1 031 580</w:t>
            </w:r>
          </w:p>
        </w:tc>
      </w:tr>
      <w:tr w:rsidR="009D33A8" w14:paraId="253C4EB9"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31C78358" w14:textId="77777777" w:rsidR="009D33A8" w:rsidRDefault="009D33A8">
            <w:pPr>
              <w:spacing w:after="0"/>
            </w:pPr>
            <w:r>
              <w:rPr>
                <w:b/>
              </w:rPr>
              <w:t>Total cash inflows from operating activities</w:t>
            </w:r>
          </w:p>
        </w:tc>
        <w:tc>
          <w:tcPr>
            <w:tcW w:w="850" w:type="dxa"/>
            <w:tcBorders>
              <w:top w:val="single" w:sz="6" w:space="0" w:color="auto"/>
            </w:tcBorders>
          </w:tcPr>
          <w:p w14:paraId="4E0685D5"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B49256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78 321 120</w:t>
            </w:r>
          </w:p>
        </w:tc>
        <w:tc>
          <w:tcPr>
            <w:tcW w:w="1133" w:type="dxa"/>
            <w:tcBorders>
              <w:top w:val="single" w:sz="6" w:space="0" w:color="auto"/>
            </w:tcBorders>
          </w:tcPr>
          <w:p w14:paraId="702DB9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71 098 081</w:t>
            </w:r>
          </w:p>
        </w:tc>
      </w:tr>
      <w:tr w:rsidR="009D33A8" w14:paraId="1D42618A"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15A4E3CE" w14:textId="77777777" w:rsidR="009D33A8" w:rsidRDefault="009D33A8">
            <w:pPr>
              <w:spacing w:after="0"/>
            </w:pPr>
            <w:r>
              <w:rPr>
                <w:b/>
              </w:rPr>
              <w:t>Total cash inflows from investing and financing activities</w:t>
            </w:r>
          </w:p>
        </w:tc>
        <w:tc>
          <w:tcPr>
            <w:tcW w:w="850" w:type="dxa"/>
            <w:tcBorders>
              <w:bottom w:val="single" w:sz="6" w:space="0" w:color="auto"/>
            </w:tcBorders>
          </w:tcPr>
          <w:p w14:paraId="71C40C15"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09106EF4" w14:textId="747389C8" w:rsidR="009D33A8" w:rsidRDefault="009D33A8">
            <w:pPr>
              <w:spacing w:after="0"/>
              <w:cnfStyle w:val="000000000000" w:firstRow="0" w:lastRow="0" w:firstColumn="0" w:lastColumn="0" w:oddVBand="0" w:evenVBand="0" w:oddHBand="0" w:evenHBand="0" w:firstRowFirstColumn="0" w:firstRowLastColumn="0" w:lastRowFirstColumn="0" w:lastRowLastColumn="0"/>
            </w:pPr>
            <w:r w:rsidRPr="007E0E42">
              <w:rPr>
                <w:b/>
              </w:rPr>
              <w:t>18 61</w:t>
            </w:r>
            <w:r w:rsidR="0039455E" w:rsidRPr="007E0E42">
              <w:rPr>
                <w:b/>
              </w:rPr>
              <w:t>0</w:t>
            </w:r>
            <w:r w:rsidRPr="007E0E42">
              <w:rPr>
                <w:b/>
              </w:rPr>
              <w:t xml:space="preserve"> </w:t>
            </w:r>
            <w:r w:rsidR="0039455E" w:rsidRPr="007E0E42">
              <w:rPr>
                <w:b/>
              </w:rPr>
              <w:t>971</w:t>
            </w:r>
          </w:p>
        </w:tc>
        <w:tc>
          <w:tcPr>
            <w:tcW w:w="1133" w:type="dxa"/>
            <w:tcBorders>
              <w:bottom w:val="single" w:sz="6" w:space="0" w:color="auto"/>
            </w:tcBorders>
          </w:tcPr>
          <w:p w14:paraId="567D3AB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25 071 679</w:t>
            </w:r>
          </w:p>
        </w:tc>
      </w:tr>
      <w:tr w:rsidR="009D33A8" w14:paraId="4F82168F"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bottom w:val="single" w:sz="6" w:space="0" w:color="auto"/>
            </w:tcBorders>
          </w:tcPr>
          <w:p w14:paraId="16A4A38F" w14:textId="77777777" w:rsidR="009D33A8" w:rsidRDefault="009D33A8">
            <w:pPr>
              <w:spacing w:after="0"/>
            </w:pPr>
            <w:r>
              <w:rPr>
                <w:b/>
              </w:rPr>
              <w:t>Total consolidated fund receipts</w:t>
            </w:r>
          </w:p>
        </w:tc>
        <w:tc>
          <w:tcPr>
            <w:tcW w:w="850" w:type="dxa"/>
            <w:tcBorders>
              <w:top w:val="single" w:sz="6" w:space="0" w:color="auto"/>
              <w:bottom w:val="single" w:sz="6" w:space="0" w:color="auto"/>
            </w:tcBorders>
          </w:tcPr>
          <w:p w14:paraId="45234FC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7.2.2</w:t>
            </w:r>
          </w:p>
        </w:tc>
        <w:tc>
          <w:tcPr>
            <w:tcW w:w="1134" w:type="dxa"/>
            <w:tcBorders>
              <w:top w:val="single" w:sz="6" w:space="0" w:color="auto"/>
              <w:bottom w:val="single" w:sz="6" w:space="0" w:color="auto"/>
            </w:tcBorders>
          </w:tcPr>
          <w:p w14:paraId="76B98E24" w14:textId="3CEF64A4" w:rsidR="009D33A8" w:rsidRDefault="009D33A8">
            <w:pPr>
              <w:spacing w:after="0"/>
              <w:cnfStyle w:val="000000000000" w:firstRow="0" w:lastRow="0" w:firstColumn="0" w:lastColumn="0" w:oddVBand="0" w:evenVBand="0" w:oddHBand="0" w:evenHBand="0" w:firstRowFirstColumn="0" w:firstRowLastColumn="0" w:lastRowFirstColumn="0" w:lastRowLastColumn="0"/>
            </w:pPr>
            <w:r w:rsidRPr="007E0E42">
              <w:rPr>
                <w:b/>
              </w:rPr>
              <w:t xml:space="preserve">96 932 </w:t>
            </w:r>
            <w:r w:rsidR="0039455E" w:rsidRPr="007E0E42">
              <w:rPr>
                <w:b/>
              </w:rPr>
              <w:t>091</w:t>
            </w:r>
          </w:p>
        </w:tc>
        <w:tc>
          <w:tcPr>
            <w:tcW w:w="1133" w:type="dxa"/>
            <w:tcBorders>
              <w:top w:val="single" w:sz="6" w:space="0" w:color="auto"/>
              <w:bottom w:val="single" w:sz="6" w:space="0" w:color="auto"/>
            </w:tcBorders>
          </w:tcPr>
          <w:p w14:paraId="478EE20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96 169 759</w:t>
            </w:r>
          </w:p>
        </w:tc>
      </w:tr>
      <w:tr w:rsidR="009D33A8" w14:paraId="4BD7A40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4CA85AFE" w14:textId="77777777" w:rsidR="009D33A8" w:rsidRDefault="009D33A8">
            <w:pPr>
              <w:spacing w:after="0"/>
            </w:pPr>
          </w:p>
        </w:tc>
        <w:tc>
          <w:tcPr>
            <w:tcW w:w="850" w:type="dxa"/>
            <w:tcBorders>
              <w:top w:val="single" w:sz="6" w:space="0" w:color="auto"/>
            </w:tcBorders>
          </w:tcPr>
          <w:p w14:paraId="71B7A374"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D06898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6ED711E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08231197" w14:textId="77777777">
        <w:tc>
          <w:tcPr>
            <w:cnfStyle w:val="001000000000" w:firstRow="0" w:lastRow="0" w:firstColumn="1" w:lastColumn="0" w:oddVBand="0" w:evenVBand="0" w:oddHBand="0" w:evenHBand="0" w:firstRowFirstColumn="0" w:firstRowLastColumn="0" w:lastRowFirstColumn="0" w:lastRowLastColumn="0"/>
            <w:tcW w:w="6521" w:type="dxa"/>
          </w:tcPr>
          <w:p w14:paraId="2ABCDFB0" w14:textId="77777777" w:rsidR="009D33A8" w:rsidRDefault="009D33A8">
            <w:pPr>
              <w:spacing w:after="0"/>
            </w:pPr>
            <w:r>
              <w:rPr>
                <w:b/>
              </w:rPr>
              <w:t>Payments</w:t>
            </w:r>
          </w:p>
        </w:tc>
        <w:tc>
          <w:tcPr>
            <w:tcW w:w="850" w:type="dxa"/>
          </w:tcPr>
          <w:p w14:paraId="2ADE246D"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72839F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4D45C1A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33562949" w14:textId="77777777">
        <w:tc>
          <w:tcPr>
            <w:cnfStyle w:val="001000000000" w:firstRow="0" w:lastRow="0" w:firstColumn="1" w:lastColumn="0" w:oddVBand="0" w:evenVBand="0" w:oddHBand="0" w:evenHBand="0" w:firstRowFirstColumn="0" w:firstRowLastColumn="0" w:lastRowFirstColumn="0" w:lastRowLastColumn="0"/>
            <w:tcW w:w="6521" w:type="dxa"/>
          </w:tcPr>
          <w:p w14:paraId="4466933D" w14:textId="77777777" w:rsidR="009D33A8" w:rsidRDefault="009D33A8">
            <w:pPr>
              <w:spacing w:after="0"/>
            </w:pPr>
            <w:r>
              <w:rPr>
                <w:b/>
              </w:rPr>
              <w:t>Special appropriations</w:t>
            </w:r>
          </w:p>
        </w:tc>
        <w:tc>
          <w:tcPr>
            <w:tcW w:w="850" w:type="dxa"/>
          </w:tcPr>
          <w:p w14:paraId="2E2B6CA5"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2F3B5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6A860AB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693B8BF" w14:textId="77777777">
        <w:tc>
          <w:tcPr>
            <w:cnfStyle w:val="001000000000" w:firstRow="0" w:lastRow="0" w:firstColumn="1" w:lastColumn="0" w:oddVBand="0" w:evenVBand="0" w:oddHBand="0" w:evenHBand="0" w:firstRowFirstColumn="0" w:firstRowLastColumn="0" w:lastRowFirstColumn="0" w:lastRowLastColumn="0"/>
            <w:tcW w:w="6521" w:type="dxa"/>
          </w:tcPr>
          <w:p w14:paraId="0B7A9357" w14:textId="77777777" w:rsidR="009D33A8" w:rsidRDefault="009D33A8">
            <w:pPr>
              <w:spacing w:after="0"/>
            </w:pPr>
            <w:r>
              <w:t xml:space="preserve">Special appropriations (excluding Section 33, </w:t>
            </w:r>
            <w:r>
              <w:rPr>
                <w:i/>
              </w:rPr>
              <w:t>Financial Management Act, No. 18 of 1994 a</w:t>
            </w:r>
            <w:r>
              <w:t>ppropriation to meet certain obligations)</w:t>
            </w:r>
            <w:r>
              <w:rPr>
                <w:i/>
              </w:rPr>
              <w:t xml:space="preserve"> </w:t>
            </w:r>
          </w:p>
        </w:tc>
        <w:tc>
          <w:tcPr>
            <w:tcW w:w="850" w:type="dxa"/>
          </w:tcPr>
          <w:p w14:paraId="78731E75"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36474F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6 220 409</w:t>
            </w:r>
          </w:p>
        </w:tc>
        <w:tc>
          <w:tcPr>
            <w:tcW w:w="1133" w:type="dxa"/>
          </w:tcPr>
          <w:p w14:paraId="6FE95CA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13 410 464</w:t>
            </w:r>
          </w:p>
        </w:tc>
      </w:tr>
      <w:tr w:rsidR="009D33A8" w14:paraId="1217B53A" w14:textId="77777777">
        <w:tc>
          <w:tcPr>
            <w:cnfStyle w:val="001000000000" w:firstRow="0" w:lastRow="0" w:firstColumn="1" w:lastColumn="0" w:oddVBand="0" w:evenVBand="0" w:oddHBand="0" w:evenHBand="0" w:firstRowFirstColumn="0" w:firstRowLastColumn="0" w:lastRowFirstColumn="0" w:lastRowLastColumn="0"/>
            <w:tcW w:w="6521" w:type="dxa"/>
          </w:tcPr>
          <w:p w14:paraId="4C236801" w14:textId="77777777" w:rsidR="009D33A8" w:rsidRDefault="009D33A8">
            <w:pPr>
              <w:spacing w:after="0"/>
            </w:pPr>
            <w:r>
              <w:t xml:space="preserve">Section 28 </w:t>
            </w:r>
            <w:r>
              <w:rPr>
                <w:i/>
              </w:rPr>
              <w:t>Financial Management Act, No. 18 of 1994</w:t>
            </w:r>
            <w:r>
              <w:t xml:space="preserve"> (appropriation for borrowing against future appropriations) </w:t>
            </w:r>
          </w:p>
        </w:tc>
        <w:tc>
          <w:tcPr>
            <w:tcW w:w="850" w:type="dxa"/>
          </w:tcPr>
          <w:p w14:paraId="0559C86E"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7.2.16</w:t>
            </w:r>
          </w:p>
        </w:tc>
        <w:tc>
          <w:tcPr>
            <w:tcW w:w="1134" w:type="dxa"/>
          </w:tcPr>
          <w:p w14:paraId="606AE4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7FC05F5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423915E4"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32903356" w14:textId="77777777" w:rsidR="009D33A8" w:rsidRDefault="009D33A8">
            <w:pPr>
              <w:spacing w:after="0"/>
            </w:pPr>
            <w:r>
              <w:t xml:space="preserve">Section 33 </w:t>
            </w:r>
            <w:r>
              <w:rPr>
                <w:i/>
              </w:rPr>
              <w:t xml:space="preserve">Financial Management Act, No. 18 of 1994 </w:t>
            </w:r>
            <w:r>
              <w:t>(appropriation to meet certain obligations)</w:t>
            </w:r>
            <w:r>
              <w:rPr>
                <w:i/>
              </w:rPr>
              <w:t xml:space="preserve"> </w:t>
            </w:r>
            <w:r w:rsidRPr="003A6627">
              <w:rPr>
                <w:vertAlign w:val="superscript"/>
              </w:rPr>
              <w:t>(b)</w:t>
            </w:r>
          </w:p>
        </w:tc>
        <w:tc>
          <w:tcPr>
            <w:tcW w:w="850" w:type="dxa"/>
            <w:tcBorders>
              <w:bottom w:val="single" w:sz="6" w:space="0" w:color="auto"/>
            </w:tcBorders>
          </w:tcPr>
          <w:p w14:paraId="610E25BC"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76CA7FA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275 175</w:t>
            </w:r>
          </w:p>
        </w:tc>
        <w:tc>
          <w:tcPr>
            <w:tcW w:w="1133" w:type="dxa"/>
            <w:tcBorders>
              <w:bottom w:val="single" w:sz="6" w:space="0" w:color="auto"/>
            </w:tcBorders>
          </w:tcPr>
          <w:p w14:paraId="5190FCA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205 504</w:t>
            </w:r>
          </w:p>
        </w:tc>
      </w:tr>
      <w:tr w:rsidR="009D33A8" w14:paraId="2CCAC183"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23099E67" w14:textId="77777777" w:rsidR="009D33A8" w:rsidRDefault="009D33A8">
            <w:pPr>
              <w:spacing w:after="0"/>
            </w:pPr>
            <w:r>
              <w:rPr>
                <w:b/>
              </w:rPr>
              <w:t>Total special appropriations</w:t>
            </w:r>
            <w:r>
              <w:rPr>
                <w:b/>
                <w:vertAlign w:val="superscript"/>
              </w:rPr>
              <w:t xml:space="preserve"> (b)</w:t>
            </w:r>
          </w:p>
        </w:tc>
        <w:tc>
          <w:tcPr>
            <w:tcW w:w="850" w:type="dxa"/>
            <w:tcBorders>
              <w:top w:val="single" w:sz="6" w:space="0" w:color="auto"/>
            </w:tcBorders>
          </w:tcPr>
          <w:p w14:paraId="430E8F56"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7.2.7</w:t>
            </w:r>
          </w:p>
        </w:tc>
        <w:tc>
          <w:tcPr>
            <w:tcW w:w="1134" w:type="dxa"/>
            <w:tcBorders>
              <w:top w:val="single" w:sz="6" w:space="0" w:color="auto"/>
            </w:tcBorders>
          </w:tcPr>
          <w:p w14:paraId="209DBFB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6 495 584</w:t>
            </w:r>
          </w:p>
        </w:tc>
        <w:tc>
          <w:tcPr>
            <w:tcW w:w="1133" w:type="dxa"/>
            <w:tcBorders>
              <w:top w:val="single" w:sz="6" w:space="0" w:color="auto"/>
            </w:tcBorders>
          </w:tcPr>
          <w:p w14:paraId="5ED1AC4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13 615 968</w:t>
            </w:r>
          </w:p>
        </w:tc>
      </w:tr>
      <w:tr w:rsidR="009D33A8" w14:paraId="5F82473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796E8E63" w14:textId="77777777" w:rsidR="009D33A8" w:rsidRDefault="009D33A8">
            <w:pPr>
              <w:spacing w:after="0"/>
            </w:pPr>
          </w:p>
        </w:tc>
        <w:tc>
          <w:tcPr>
            <w:tcW w:w="850" w:type="dxa"/>
          </w:tcPr>
          <w:p w14:paraId="215956F7"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B6A03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2D242A9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4C99907F" w14:textId="77777777">
        <w:tc>
          <w:tcPr>
            <w:cnfStyle w:val="001000000000" w:firstRow="0" w:lastRow="0" w:firstColumn="1" w:lastColumn="0" w:oddVBand="0" w:evenVBand="0" w:oddHBand="0" w:evenHBand="0" w:firstRowFirstColumn="0" w:firstRowLastColumn="0" w:lastRowFirstColumn="0" w:lastRowLastColumn="0"/>
            <w:tcW w:w="6521" w:type="dxa"/>
          </w:tcPr>
          <w:p w14:paraId="23F2951F" w14:textId="77777777" w:rsidR="009D33A8" w:rsidRDefault="009D33A8">
            <w:pPr>
              <w:spacing w:after="0"/>
            </w:pPr>
            <w:r>
              <w:rPr>
                <w:b/>
              </w:rPr>
              <w:t>Annual appropriations</w:t>
            </w:r>
          </w:p>
        </w:tc>
        <w:tc>
          <w:tcPr>
            <w:tcW w:w="850" w:type="dxa"/>
          </w:tcPr>
          <w:p w14:paraId="2C4F8A13"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270BD2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3A14D76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4270C292" w14:textId="77777777">
        <w:tc>
          <w:tcPr>
            <w:cnfStyle w:val="001000000000" w:firstRow="0" w:lastRow="0" w:firstColumn="1" w:lastColumn="0" w:oddVBand="0" w:evenVBand="0" w:oddHBand="0" w:evenHBand="0" w:firstRowFirstColumn="0" w:firstRowLastColumn="0" w:lastRowFirstColumn="0" w:lastRowLastColumn="0"/>
            <w:tcW w:w="6521" w:type="dxa"/>
          </w:tcPr>
          <w:p w14:paraId="3A493A71" w14:textId="77777777" w:rsidR="009D33A8" w:rsidRDefault="009D33A8">
            <w:pPr>
              <w:spacing w:after="0"/>
            </w:pPr>
            <w:r>
              <w:rPr>
                <w:b/>
              </w:rPr>
              <w:t>Provision of outputs</w:t>
            </w:r>
          </w:p>
        </w:tc>
        <w:tc>
          <w:tcPr>
            <w:tcW w:w="850" w:type="dxa"/>
          </w:tcPr>
          <w:p w14:paraId="2653E6E1"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BCD19C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0663EC6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F781A43" w14:textId="77777777">
        <w:tc>
          <w:tcPr>
            <w:cnfStyle w:val="001000000000" w:firstRow="0" w:lastRow="0" w:firstColumn="1" w:lastColumn="0" w:oddVBand="0" w:evenVBand="0" w:oddHBand="0" w:evenHBand="0" w:firstRowFirstColumn="0" w:firstRowLastColumn="0" w:lastRowFirstColumn="0" w:lastRowLastColumn="0"/>
            <w:tcW w:w="6521" w:type="dxa"/>
          </w:tcPr>
          <w:p w14:paraId="7AE539BF" w14:textId="77777777" w:rsidR="009D33A8" w:rsidRDefault="009D33A8">
            <w:pPr>
              <w:spacing w:after="0"/>
            </w:pPr>
            <w:r>
              <w:t>Provision of outputs – net application</w:t>
            </w:r>
          </w:p>
        </w:tc>
        <w:tc>
          <w:tcPr>
            <w:tcW w:w="850" w:type="dxa"/>
          </w:tcPr>
          <w:p w14:paraId="46E54501"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6495118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52 802 692</w:t>
            </w:r>
          </w:p>
        </w:tc>
        <w:tc>
          <w:tcPr>
            <w:tcW w:w="1133" w:type="dxa"/>
          </w:tcPr>
          <w:p w14:paraId="45CD490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51 166 787</w:t>
            </w:r>
          </w:p>
        </w:tc>
      </w:tr>
      <w:tr w:rsidR="009D33A8" w14:paraId="2301A034" w14:textId="77777777">
        <w:tc>
          <w:tcPr>
            <w:cnfStyle w:val="001000000000" w:firstRow="0" w:lastRow="0" w:firstColumn="1" w:lastColumn="0" w:oddVBand="0" w:evenVBand="0" w:oddHBand="0" w:evenHBand="0" w:firstRowFirstColumn="0" w:firstRowLastColumn="0" w:lastRowFirstColumn="0" w:lastRowLastColumn="0"/>
            <w:tcW w:w="6521" w:type="dxa"/>
          </w:tcPr>
          <w:p w14:paraId="6D94726D" w14:textId="77777777" w:rsidR="009D33A8" w:rsidRDefault="009D33A8">
            <w:pPr>
              <w:spacing w:after="0"/>
            </w:pPr>
            <w:r>
              <w:t xml:space="preserve">Section 29 </w:t>
            </w:r>
            <w:r>
              <w:rPr>
                <w:i/>
              </w:rPr>
              <w:t>Financial Management Act, No. 18 of 1994</w:t>
            </w:r>
            <w:r>
              <w:t xml:space="preserve"> (appropriation of annotated receipts)</w:t>
            </w:r>
          </w:p>
        </w:tc>
        <w:tc>
          <w:tcPr>
            <w:tcW w:w="850" w:type="dxa"/>
          </w:tcPr>
          <w:p w14:paraId="72F6A3A0"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7.2.11</w:t>
            </w:r>
          </w:p>
        </w:tc>
        <w:tc>
          <w:tcPr>
            <w:tcW w:w="1134" w:type="dxa"/>
          </w:tcPr>
          <w:p w14:paraId="7AF01DD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3 948 895</w:t>
            </w:r>
          </w:p>
        </w:tc>
        <w:tc>
          <w:tcPr>
            <w:tcW w:w="1133" w:type="dxa"/>
          </w:tcPr>
          <w:p w14:paraId="68B5D6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2 794 425</w:t>
            </w:r>
          </w:p>
        </w:tc>
      </w:tr>
      <w:tr w:rsidR="009D33A8" w14:paraId="346C886D" w14:textId="77777777">
        <w:tc>
          <w:tcPr>
            <w:cnfStyle w:val="001000000000" w:firstRow="0" w:lastRow="0" w:firstColumn="1" w:lastColumn="0" w:oddVBand="0" w:evenVBand="0" w:oddHBand="0" w:evenHBand="0" w:firstRowFirstColumn="0" w:firstRowLastColumn="0" w:lastRowFirstColumn="0" w:lastRowLastColumn="0"/>
            <w:tcW w:w="6521" w:type="dxa"/>
          </w:tcPr>
          <w:p w14:paraId="106BA749" w14:textId="77777777" w:rsidR="009D33A8" w:rsidRDefault="009D33A8">
            <w:pPr>
              <w:spacing w:after="0"/>
            </w:pPr>
            <w:r>
              <w:t>Section 32</w:t>
            </w:r>
            <w:r>
              <w:rPr>
                <w:i/>
              </w:rPr>
              <w:t xml:space="preserve"> Financial Management Act, No. 18 of 1994</w:t>
            </w:r>
            <w:r>
              <w:t xml:space="preserve"> (prior year unspent appropriations brought forward)</w:t>
            </w:r>
          </w:p>
        </w:tc>
        <w:tc>
          <w:tcPr>
            <w:tcW w:w="850" w:type="dxa"/>
          </w:tcPr>
          <w:p w14:paraId="0CFD5E6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7.2.12</w:t>
            </w:r>
          </w:p>
        </w:tc>
        <w:tc>
          <w:tcPr>
            <w:tcW w:w="1134" w:type="dxa"/>
          </w:tcPr>
          <w:p w14:paraId="6F1C83A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513 983</w:t>
            </w:r>
          </w:p>
        </w:tc>
        <w:tc>
          <w:tcPr>
            <w:tcW w:w="1133" w:type="dxa"/>
          </w:tcPr>
          <w:p w14:paraId="33F40B9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507 402</w:t>
            </w:r>
          </w:p>
        </w:tc>
      </w:tr>
      <w:tr w:rsidR="009D33A8" w14:paraId="0ECEC80F" w14:textId="77777777">
        <w:tc>
          <w:tcPr>
            <w:cnfStyle w:val="001000000000" w:firstRow="0" w:lastRow="0" w:firstColumn="1" w:lastColumn="0" w:oddVBand="0" w:evenVBand="0" w:oddHBand="0" w:evenHBand="0" w:firstRowFirstColumn="0" w:firstRowLastColumn="0" w:lastRowFirstColumn="0" w:lastRowLastColumn="0"/>
            <w:tcW w:w="6521" w:type="dxa"/>
          </w:tcPr>
          <w:p w14:paraId="42BA93C4" w14:textId="77777777" w:rsidR="009D33A8" w:rsidRDefault="009D33A8">
            <w:pPr>
              <w:spacing w:after="0"/>
            </w:pPr>
            <w:r>
              <w:t xml:space="preserve">Section 35 </w:t>
            </w:r>
            <w:r>
              <w:rPr>
                <w:i/>
              </w:rPr>
              <w:t xml:space="preserve">Financial Management Act, No. 18 of 1994 </w:t>
            </w:r>
            <w:r>
              <w:t>(temporary advances)</w:t>
            </w:r>
            <w:r w:rsidRPr="003A6627">
              <w:rPr>
                <w:vertAlign w:val="superscript"/>
              </w:rPr>
              <w:t xml:space="preserve"> (</w:t>
            </w:r>
            <w:r>
              <w:rPr>
                <w:vertAlign w:val="superscript"/>
              </w:rPr>
              <w:t>c</w:t>
            </w:r>
            <w:r w:rsidRPr="003A6627">
              <w:rPr>
                <w:vertAlign w:val="superscript"/>
              </w:rPr>
              <w:t>)</w:t>
            </w:r>
          </w:p>
        </w:tc>
        <w:tc>
          <w:tcPr>
            <w:tcW w:w="850" w:type="dxa"/>
          </w:tcPr>
          <w:p w14:paraId="0AC39BB3"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7.2.14</w:t>
            </w:r>
          </w:p>
        </w:tc>
        <w:tc>
          <w:tcPr>
            <w:tcW w:w="1134" w:type="dxa"/>
          </w:tcPr>
          <w:p w14:paraId="0D38DF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465 700</w:t>
            </w:r>
          </w:p>
        </w:tc>
        <w:tc>
          <w:tcPr>
            <w:tcW w:w="1133" w:type="dxa"/>
          </w:tcPr>
          <w:p w14:paraId="59D656D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374 071</w:t>
            </w:r>
          </w:p>
        </w:tc>
      </w:tr>
      <w:tr w:rsidR="009D33A8" w14:paraId="35E2A312"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2DDD9947" w14:textId="77777777" w:rsidR="009D33A8" w:rsidRDefault="009D33A8">
            <w:pPr>
              <w:spacing w:after="0"/>
            </w:pPr>
            <w:r>
              <w:t>Advance to Treasurer to be sanctioned</w:t>
            </w:r>
          </w:p>
        </w:tc>
        <w:tc>
          <w:tcPr>
            <w:tcW w:w="850" w:type="dxa"/>
            <w:tcBorders>
              <w:bottom w:val="single" w:sz="6" w:space="0" w:color="auto"/>
            </w:tcBorders>
          </w:tcPr>
          <w:p w14:paraId="294E0A9E"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7.2.13</w:t>
            </w:r>
          </w:p>
        </w:tc>
        <w:tc>
          <w:tcPr>
            <w:tcW w:w="1134" w:type="dxa"/>
            <w:tcBorders>
              <w:bottom w:val="single" w:sz="6" w:space="0" w:color="auto"/>
            </w:tcBorders>
          </w:tcPr>
          <w:p w14:paraId="31FA10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7 143 355</w:t>
            </w:r>
          </w:p>
        </w:tc>
        <w:tc>
          <w:tcPr>
            <w:tcW w:w="1133" w:type="dxa"/>
            <w:tcBorders>
              <w:bottom w:val="single" w:sz="6" w:space="0" w:color="auto"/>
            </w:tcBorders>
          </w:tcPr>
          <w:p w14:paraId="615285C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5 993 302</w:t>
            </w:r>
          </w:p>
        </w:tc>
      </w:tr>
      <w:tr w:rsidR="009D33A8" w14:paraId="3160DFC2"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5296AE79" w14:textId="77777777" w:rsidR="009D33A8" w:rsidRDefault="009D33A8">
            <w:pPr>
              <w:spacing w:after="0"/>
            </w:pPr>
            <w:r>
              <w:rPr>
                <w:b/>
              </w:rPr>
              <w:t>Total provision of outputs</w:t>
            </w:r>
          </w:p>
        </w:tc>
        <w:tc>
          <w:tcPr>
            <w:tcW w:w="850" w:type="dxa"/>
            <w:tcBorders>
              <w:top w:val="single" w:sz="6" w:space="0" w:color="auto"/>
            </w:tcBorders>
          </w:tcPr>
          <w:p w14:paraId="79B035FD"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7814298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64 874 625</w:t>
            </w:r>
          </w:p>
        </w:tc>
        <w:tc>
          <w:tcPr>
            <w:tcW w:w="1133" w:type="dxa"/>
            <w:tcBorders>
              <w:top w:val="single" w:sz="6" w:space="0" w:color="auto"/>
            </w:tcBorders>
          </w:tcPr>
          <w:p w14:paraId="388A6C1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60 835 987</w:t>
            </w:r>
          </w:p>
        </w:tc>
      </w:tr>
      <w:tr w:rsidR="009D33A8" w14:paraId="24F2A782"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6C74DA8F" w14:textId="77777777" w:rsidR="009D33A8" w:rsidRDefault="009D33A8">
            <w:pPr>
              <w:spacing w:after="0"/>
            </w:pPr>
          </w:p>
        </w:tc>
        <w:tc>
          <w:tcPr>
            <w:tcW w:w="850" w:type="dxa"/>
          </w:tcPr>
          <w:p w14:paraId="59F18BE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291ACD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49A047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5DC5B476" w14:textId="77777777">
        <w:tc>
          <w:tcPr>
            <w:cnfStyle w:val="001000000000" w:firstRow="0" w:lastRow="0" w:firstColumn="1" w:lastColumn="0" w:oddVBand="0" w:evenVBand="0" w:oddHBand="0" w:evenHBand="0" w:firstRowFirstColumn="0" w:firstRowLastColumn="0" w:lastRowFirstColumn="0" w:lastRowLastColumn="0"/>
            <w:tcW w:w="6521" w:type="dxa"/>
          </w:tcPr>
          <w:p w14:paraId="0C10EA1D" w14:textId="77777777" w:rsidR="009D33A8" w:rsidRDefault="009D33A8">
            <w:pPr>
              <w:spacing w:after="0"/>
            </w:pPr>
            <w:r>
              <w:rPr>
                <w:b/>
              </w:rPr>
              <w:t>Additions to net asset base</w:t>
            </w:r>
          </w:p>
        </w:tc>
        <w:tc>
          <w:tcPr>
            <w:tcW w:w="850" w:type="dxa"/>
          </w:tcPr>
          <w:p w14:paraId="7FF223BD"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751F54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6E3AB88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03A11C6C" w14:textId="77777777">
        <w:tc>
          <w:tcPr>
            <w:cnfStyle w:val="001000000000" w:firstRow="0" w:lastRow="0" w:firstColumn="1" w:lastColumn="0" w:oddVBand="0" w:evenVBand="0" w:oddHBand="0" w:evenHBand="0" w:firstRowFirstColumn="0" w:firstRowLastColumn="0" w:lastRowFirstColumn="0" w:lastRowLastColumn="0"/>
            <w:tcW w:w="6521" w:type="dxa"/>
          </w:tcPr>
          <w:p w14:paraId="04A8ED4F" w14:textId="77777777" w:rsidR="009D33A8" w:rsidRDefault="009D33A8">
            <w:pPr>
              <w:spacing w:after="0"/>
            </w:pPr>
            <w:r>
              <w:t>Additions to net asset base – net application</w:t>
            </w:r>
          </w:p>
        </w:tc>
        <w:tc>
          <w:tcPr>
            <w:tcW w:w="850" w:type="dxa"/>
          </w:tcPr>
          <w:p w14:paraId="5FA4AC64"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4B76571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9 892 034</w:t>
            </w:r>
          </w:p>
        </w:tc>
        <w:tc>
          <w:tcPr>
            <w:tcW w:w="1133" w:type="dxa"/>
          </w:tcPr>
          <w:p w14:paraId="15F8C4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10 410 679</w:t>
            </w:r>
          </w:p>
        </w:tc>
      </w:tr>
      <w:tr w:rsidR="009D33A8" w14:paraId="608AC4DB" w14:textId="77777777">
        <w:tc>
          <w:tcPr>
            <w:cnfStyle w:val="001000000000" w:firstRow="0" w:lastRow="0" w:firstColumn="1" w:lastColumn="0" w:oddVBand="0" w:evenVBand="0" w:oddHBand="0" w:evenHBand="0" w:firstRowFirstColumn="0" w:firstRowLastColumn="0" w:lastRowFirstColumn="0" w:lastRowLastColumn="0"/>
            <w:tcW w:w="6521" w:type="dxa"/>
          </w:tcPr>
          <w:p w14:paraId="56CC1BD2" w14:textId="77777777" w:rsidR="009D33A8" w:rsidRDefault="009D33A8">
            <w:pPr>
              <w:spacing w:after="0"/>
            </w:pPr>
            <w:r>
              <w:t xml:space="preserve">Section 29 </w:t>
            </w:r>
            <w:r>
              <w:rPr>
                <w:i/>
              </w:rPr>
              <w:t xml:space="preserve">Financial Management Act, No. 18 of 1994 </w:t>
            </w:r>
            <w:r>
              <w:t>(appropriation of annotated receipts)</w:t>
            </w:r>
          </w:p>
        </w:tc>
        <w:tc>
          <w:tcPr>
            <w:tcW w:w="850" w:type="dxa"/>
          </w:tcPr>
          <w:p w14:paraId="6F543728"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7.2.11</w:t>
            </w:r>
          </w:p>
        </w:tc>
        <w:tc>
          <w:tcPr>
            <w:tcW w:w="1134" w:type="dxa"/>
          </w:tcPr>
          <w:p w14:paraId="0CD4DAA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1 249 781</w:t>
            </w:r>
          </w:p>
        </w:tc>
        <w:tc>
          <w:tcPr>
            <w:tcW w:w="1133" w:type="dxa"/>
          </w:tcPr>
          <w:p w14:paraId="5CD488A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1 506 104</w:t>
            </w:r>
          </w:p>
        </w:tc>
      </w:tr>
      <w:tr w:rsidR="009D33A8" w14:paraId="6C105ABD" w14:textId="77777777">
        <w:tc>
          <w:tcPr>
            <w:cnfStyle w:val="001000000000" w:firstRow="0" w:lastRow="0" w:firstColumn="1" w:lastColumn="0" w:oddVBand="0" w:evenVBand="0" w:oddHBand="0" w:evenHBand="0" w:firstRowFirstColumn="0" w:firstRowLastColumn="0" w:lastRowFirstColumn="0" w:lastRowLastColumn="0"/>
            <w:tcW w:w="6521" w:type="dxa"/>
          </w:tcPr>
          <w:p w14:paraId="46AEF820" w14:textId="77777777" w:rsidR="009D33A8" w:rsidRDefault="009D33A8">
            <w:pPr>
              <w:spacing w:after="0"/>
            </w:pPr>
            <w:r>
              <w:t>Section 32</w:t>
            </w:r>
            <w:r>
              <w:rPr>
                <w:i/>
              </w:rPr>
              <w:t xml:space="preserve"> Financial Management Act, No. 18 of 1994</w:t>
            </w:r>
            <w:r>
              <w:t xml:space="preserve"> (prior year unspent appropriations brought forward) </w:t>
            </w:r>
          </w:p>
        </w:tc>
        <w:tc>
          <w:tcPr>
            <w:tcW w:w="850" w:type="dxa"/>
          </w:tcPr>
          <w:p w14:paraId="4171B30D"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7.2.12</w:t>
            </w:r>
          </w:p>
        </w:tc>
        <w:tc>
          <w:tcPr>
            <w:tcW w:w="1134" w:type="dxa"/>
          </w:tcPr>
          <w:p w14:paraId="41EEC1E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1 450 341</w:t>
            </w:r>
          </w:p>
        </w:tc>
        <w:tc>
          <w:tcPr>
            <w:tcW w:w="1133" w:type="dxa"/>
          </w:tcPr>
          <w:p w14:paraId="7F90AB8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711 707</w:t>
            </w:r>
          </w:p>
        </w:tc>
      </w:tr>
      <w:tr w:rsidR="009D33A8" w14:paraId="254AB5F1" w14:textId="77777777">
        <w:tc>
          <w:tcPr>
            <w:cnfStyle w:val="001000000000" w:firstRow="0" w:lastRow="0" w:firstColumn="1" w:lastColumn="0" w:oddVBand="0" w:evenVBand="0" w:oddHBand="0" w:evenHBand="0" w:firstRowFirstColumn="0" w:firstRowLastColumn="0" w:lastRowFirstColumn="0" w:lastRowLastColumn="0"/>
            <w:tcW w:w="6521" w:type="dxa"/>
          </w:tcPr>
          <w:p w14:paraId="4A75EDA2" w14:textId="77777777" w:rsidR="009D33A8" w:rsidRDefault="009D33A8">
            <w:pPr>
              <w:spacing w:after="0"/>
            </w:pPr>
            <w:r>
              <w:t xml:space="preserve">Section 35 </w:t>
            </w:r>
            <w:r>
              <w:rPr>
                <w:i/>
              </w:rPr>
              <w:t>Financial Management Act, No. 18 of 1994</w:t>
            </w:r>
            <w:r>
              <w:t xml:space="preserve"> (temporary advances)</w:t>
            </w:r>
            <w:r w:rsidRPr="003A6627">
              <w:rPr>
                <w:vertAlign w:val="superscript"/>
              </w:rPr>
              <w:t xml:space="preserve"> (</w:t>
            </w:r>
            <w:r>
              <w:rPr>
                <w:vertAlign w:val="superscript"/>
              </w:rPr>
              <w:t>c</w:t>
            </w:r>
            <w:r w:rsidRPr="003A6627">
              <w:rPr>
                <w:vertAlign w:val="superscript"/>
              </w:rPr>
              <w:t>)</w:t>
            </w:r>
          </w:p>
        </w:tc>
        <w:tc>
          <w:tcPr>
            <w:tcW w:w="850" w:type="dxa"/>
          </w:tcPr>
          <w:p w14:paraId="292A4C20"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7.2.15</w:t>
            </w:r>
          </w:p>
        </w:tc>
        <w:tc>
          <w:tcPr>
            <w:tcW w:w="1134" w:type="dxa"/>
          </w:tcPr>
          <w:p w14:paraId="56B72D2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4C4C46F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91 245</w:t>
            </w:r>
          </w:p>
        </w:tc>
      </w:tr>
      <w:tr w:rsidR="009D33A8" w14:paraId="59143701"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3E3293FA" w14:textId="77777777" w:rsidR="009D33A8" w:rsidRDefault="009D33A8">
            <w:pPr>
              <w:spacing w:after="0"/>
            </w:pPr>
            <w:r>
              <w:t>Advance to Treasurer to be sanctioned</w:t>
            </w:r>
          </w:p>
        </w:tc>
        <w:tc>
          <w:tcPr>
            <w:tcW w:w="850" w:type="dxa"/>
            <w:tcBorders>
              <w:bottom w:val="single" w:sz="6" w:space="0" w:color="auto"/>
            </w:tcBorders>
          </w:tcPr>
          <w:p w14:paraId="3563A4DA"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7.2.13</w:t>
            </w:r>
          </w:p>
        </w:tc>
        <w:tc>
          <w:tcPr>
            <w:tcW w:w="1134" w:type="dxa"/>
            <w:tcBorders>
              <w:bottom w:val="single" w:sz="6" w:space="0" w:color="auto"/>
            </w:tcBorders>
          </w:tcPr>
          <w:p w14:paraId="4AB8208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3 772 175</w:t>
            </w:r>
          </w:p>
        </w:tc>
        <w:tc>
          <w:tcPr>
            <w:tcW w:w="1133" w:type="dxa"/>
            <w:tcBorders>
              <w:bottom w:val="single" w:sz="6" w:space="0" w:color="auto"/>
            </w:tcBorders>
          </w:tcPr>
          <w:p w14:paraId="14C4B30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5 638 351</w:t>
            </w:r>
          </w:p>
        </w:tc>
      </w:tr>
      <w:tr w:rsidR="009D33A8" w14:paraId="00A9F859"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778F150D" w14:textId="77777777" w:rsidR="009D33A8" w:rsidRDefault="009D33A8">
            <w:pPr>
              <w:spacing w:after="0"/>
            </w:pPr>
            <w:r>
              <w:rPr>
                <w:b/>
              </w:rPr>
              <w:t>Total additions to net asset base</w:t>
            </w:r>
          </w:p>
        </w:tc>
        <w:tc>
          <w:tcPr>
            <w:tcW w:w="850" w:type="dxa"/>
            <w:tcBorders>
              <w:top w:val="single" w:sz="6" w:space="0" w:color="auto"/>
            </w:tcBorders>
          </w:tcPr>
          <w:p w14:paraId="47277EF2"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513DE10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16 364 330</w:t>
            </w:r>
          </w:p>
        </w:tc>
        <w:tc>
          <w:tcPr>
            <w:tcW w:w="1133" w:type="dxa"/>
            <w:tcBorders>
              <w:top w:val="single" w:sz="6" w:space="0" w:color="auto"/>
            </w:tcBorders>
          </w:tcPr>
          <w:p w14:paraId="4DEFB97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18 358 086</w:t>
            </w:r>
          </w:p>
        </w:tc>
      </w:tr>
      <w:tr w:rsidR="009D33A8" w14:paraId="77CF284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13A92F13" w14:textId="77777777" w:rsidR="009D33A8" w:rsidRDefault="009D33A8">
            <w:pPr>
              <w:spacing w:after="0"/>
            </w:pPr>
          </w:p>
        </w:tc>
        <w:tc>
          <w:tcPr>
            <w:tcW w:w="850" w:type="dxa"/>
          </w:tcPr>
          <w:p w14:paraId="5C7F9CF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6B62D8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35FE4CA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FD88EEC" w14:textId="77777777">
        <w:tc>
          <w:tcPr>
            <w:cnfStyle w:val="001000000000" w:firstRow="0" w:lastRow="0" w:firstColumn="1" w:lastColumn="0" w:oddVBand="0" w:evenVBand="0" w:oddHBand="0" w:evenHBand="0" w:firstRowFirstColumn="0" w:firstRowLastColumn="0" w:lastRowFirstColumn="0" w:lastRowLastColumn="0"/>
            <w:tcW w:w="6521" w:type="dxa"/>
          </w:tcPr>
          <w:p w14:paraId="61496A42" w14:textId="77777777" w:rsidR="009D33A8" w:rsidRDefault="009D33A8">
            <w:pPr>
              <w:spacing w:after="0"/>
            </w:pPr>
            <w:r>
              <w:rPr>
                <w:b/>
              </w:rPr>
              <w:t>Payments made on behalf of the State</w:t>
            </w:r>
          </w:p>
        </w:tc>
        <w:tc>
          <w:tcPr>
            <w:tcW w:w="850" w:type="dxa"/>
          </w:tcPr>
          <w:p w14:paraId="587E5BFD"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029BD5F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2F6C7BD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5BDEA989" w14:textId="77777777">
        <w:tc>
          <w:tcPr>
            <w:cnfStyle w:val="001000000000" w:firstRow="0" w:lastRow="0" w:firstColumn="1" w:lastColumn="0" w:oddVBand="0" w:evenVBand="0" w:oddHBand="0" w:evenHBand="0" w:firstRowFirstColumn="0" w:firstRowLastColumn="0" w:lastRowFirstColumn="0" w:lastRowLastColumn="0"/>
            <w:tcW w:w="6521" w:type="dxa"/>
          </w:tcPr>
          <w:p w14:paraId="61EFE912" w14:textId="77777777" w:rsidR="009D33A8" w:rsidRDefault="009D33A8">
            <w:pPr>
              <w:spacing w:after="0"/>
            </w:pPr>
            <w:r>
              <w:t>Payments made on behalf of the State</w:t>
            </w:r>
          </w:p>
        </w:tc>
        <w:tc>
          <w:tcPr>
            <w:tcW w:w="850" w:type="dxa"/>
          </w:tcPr>
          <w:p w14:paraId="4BCD42C3"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1C8709E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10 781 974</w:t>
            </w:r>
          </w:p>
        </w:tc>
        <w:tc>
          <w:tcPr>
            <w:tcW w:w="1133" w:type="dxa"/>
          </w:tcPr>
          <w:p w14:paraId="0393E5A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10 460 480</w:t>
            </w:r>
          </w:p>
        </w:tc>
      </w:tr>
      <w:tr w:rsidR="009D33A8" w14:paraId="39A9EB86" w14:textId="77777777">
        <w:tc>
          <w:tcPr>
            <w:cnfStyle w:val="001000000000" w:firstRow="0" w:lastRow="0" w:firstColumn="1" w:lastColumn="0" w:oddVBand="0" w:evenVBand="0" w:oddHBand="0" w:evenHBand="0" w:firstRowFirstColumn="0" w:firstRowLastColumn="0" w:lastRowFirstColumn="0" w:lastRowLastColumn="0"/>
            <w:tcW w:w="6521" w:type="dxa"/>
          </w:tcPr>
          <w:p w14:paraId="081AD380" w14:textId="77777777" w:rsidR="009D33A8" w:rsidRDefault="009D33A8">
            <w:pPr>
              <w:spacing w:after="0"/>
            </w:pPr>
            <w:r>
              <w:t xml:space="preserve">Section 32 </w:t>
            </w:r>
            <w:r>
              <w:rPr>
                <w:i/>
              </w:rPr>
              <w:t>Financial Management Act, No. 18 of 1994</w:t>
            </w:r>
            <w:r>
              <w:t xml:space="preserve"> (prior year unspent appropriations brought forward)</w:t>
            </w:r>
          </w:p>
        </w:tc>
        <w:tc>
          <w:tcPr>
            <w:tcW w:w="850" w:type="dxa"/>
          </w:tcPr>
          <w:p w14:paraId="08308A1A"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7.2.12</w:t>
            </w:r>
          </w:p>
        </w:tc>
        <w:tc>
          <w:tcPr>
            <w:tcW w:w="1134" w:type="dxa"/>
          </w:tcPr>
          <w:p w14:paraId="492ECE8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6 513</w:t>
            </w:r>
          </w:p>
        </w:tc>
        <w:tc>
          <w:tcPr>
            <w:tcW w:w="1133" w:type="dxa"/>
          </w:tcPr>
          <w:p w14:paraId="23B6DF8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54 242</w:t>
            </w:r>
          </w:p>
        </w:tc>
      </w:tr>
      <w:tr w:rsidR="009D33A8" w14:paraId="5A7F50B1" w14:textId="77777777">
        <w:tc>
          <w:tcPr>
            <w:cnfStyle w:val="001000000000" w:firstRow="0" w:lastRow="0" w:firstColumn="1" w:lastColumn="0" w:oddVBand="0" w:evenVBand="0" w:oddHBand="0" w:evenHBand="0" w:firstRowFirstColumn="0" w:firstRowLastColumn="0" w:lastRowFirstColumn="0" w:lastRowLastColumn="0"/>
            <w:tcW w:w="6521" w:type="dxa"/>
          </w:tcPr>
          <w:p w14:paraId="46BD5756" w14:textId="77777777" w:rsidR="009D33A8" w:rsidRDefault="009D33A8">
            <w:pPr>
              <w:spacing w:after="0"/>
            </w:pPr>
            <w:r>
              <w:t xml:space="preserve">Section 35 </w:t>
            </w:r>
            <w:r>
              <w:rPr>
                <w:i/>
              </w:rPr>
              <w:t>Financial Management Act, No. 18 of 1994</w:t>
            </w:r>
            <w:r>
              <w:t xml:space="preserve"> (temporary advances) </w:t>
            </w:r>
            <w:r w:rsidRPr="003A6627">
              <w:rPr>
                <w:vertAlign w:val="superscript"/>
              </w:rPr>
              <w:t>(</w:t>
            </w:r>
            <w:r>
              <w:rPr>
                <w:vertAlign w:val="superscript"/>
              </w:rPr>
              <w:t>c</w:t>
            </w:r>
            <w:r w:rsidRPr="003A6627">
              <w:rPr>
                <w:vertAlign w:val="superscript"/>
              </w:rPr>
              <w:t>)</w:t>
            </w:r>
          </w:p>
        </w:tc>
        <w:tc>
          <w:tcPr>
            <w:tcW w:w="850" w:type="dxa"/>
          </w:tcPr>
          <w:p w14:paraId="68CC480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7.2.15</w:t>
            </w:r>
          </w:p>
        </w:tc>
        <w:tc>
          <w:tcPr>
            <w:tcW w:w="1134" w:type="dxa"/>
          </w:tcPr>
          <w:p w14:paraId="7FF4CAF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6D1BB1C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5C8BE32C"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614781D2" w14:textId="77777777" w:rsidR="009D33A8" w:rsidRDefault="009D33A8">
            <w:pPr>
              <w:spacing w:after="0"/>
            </w:pPr>
            <w:r>
              <w:t>Advance to Treasurer to be sanctioned</w:t>
            </w:r>
          </w:p>
        </w:tc>
        <w:tc>
          <w:tcPr>
            <w:tcW w:w="850" w:type="dxa"/>
            <w:tcBorders>
              <w:bottom w:val="single" w:sz="6" w:space="0" w:color="auto"/>
            </w:tcBorders>
          </w:tcPr>
          <w:p w14:paraId="0F4C483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7.2.13</w:t>
            </w:r>
          </w:p>
        </w:tc>
        <w:tc>
          <w:tcPr>
            <w:tcW w:w="1134" w:type="dxa"/>
            <w:tcBorders>
              <w:bottom w:val="single" w:sz="6" w:space="0" w:color="auto"/>
            </w:tcBorders>
          </w:tcPr>
          <w:p w14:paraId="7C7BCB5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34347C2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2 455</w:t>
            </w:r>
          </w:p>
        </w:tc>
      </w:tr>
      <w:tr w:rsidR="009D33A8" w14:paraId="06086058"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tcBorders>
          </w:tcPr>
          <w:p w14:paraId="7D96E440" w14:textId="77777777" w:rsidR="009D33A8" w:rsidRDefault="009D33A8">
            <w:pPr>
              <w:spacing w:after="0"/>
            </w:pPr>
            <w:r>
              <w:rPr>
                <w:b/>
              </w:rPr>
              <w:t>Total payments made on behalf of State</w:t>
            </w:r>
          </w:p>
        </w:tc>
        <w:tc>
          <w:tcPr>
            <w:tcW w:w="850" w:type="dxa"/>
            <w:tcBorders>
              <w:top w:val="single" w:sz="6" w:space="0" w:color="auto"/>
            </w:tcBorders>
          </w:tcPr>
          <w:p w14:paraId="20BF6037"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8DAE64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10 788 487</w:t>
            </w:r>
          </w:p>
        </w:tc>
        <w:tc>
          <w:tcPr>
            <w:tcW w:w="1133" w:type="dxa"/>
            <w:tcBorders>
              <w:top w:val="single" w:sz="6" w:space="0" w:color="auto"/>
            </w:tcBorders>
          </w:tcPr>
          <w:p w14:paraId="30C1633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10 517 176</w:t>
            </w:r>
          </w:p>
        </w:tc>
      </w:tr>
      <w:tr w:rsidR="009D33A8" w14:paraId="750C3FA0"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0A64D342" w14:textId="77777777" w:rsidR="009D33A8" w:rsidRDefault="009D33A8">
            <w:pPr>
              <w:spacing w:after="0"/>
            </w:pPr>
          </w:p>
        </w:tc>
        <w:tc>
          <w:tcPr>
            <w:tcW w:w="850" w:type="dxa"/>
          </w:tcPr>
          <w:p w14:paraId="590942CC"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535472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69B2379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27FB5BE" w14:textId="77777777">
        <w:tc>
          <w:tcPr>
            <w:cnfStyle w:val="001000000000" w:firstRow="0" w:lastRow="0" w:firstColumn="1" w:lastColumn="0" w:oddVBand="0" w:evenVBand="0" w:oddHBand="0" w:evenHBand="0" w:firstRowFirstColumn="0" w:firstRowLastColumn="0" w:lastRowFirstColumn="0" w:lastRowLastColumn="0"/>
            <w:tcW w:w="6521" w:type="dxa"/>
          </w:tcPr>
          <w:p w14:paraId="71F1C2CD" w14:textId="77777777" w:rsidR="009D33A8" w:rsidRDefault="009D33A8">
            <w:pPr>
              <w:spacing w:after="0"/>
            </w:pPr>
            <w:r>
              <w:rPr>
                <w:b/>
              </w:rPr>
              <w:t>Other</w:t>
            </w:r>
          </w:p>
        </w:tc>
        <w:tc>
          <w:tcPr>
            <w:tcW w:w="850" w:type="dxa"/>
          </w:tcPr>
          <w:p w14:paraId="62CB1F0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2572CA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3FCE903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651B998" w14:textId="77777777">
        <w:tc>
          <w:tcPr>
            <w:cnfStyle w:val="001000000000" w:firstRow="0" w:lastRow="0" w:firstColumn="1" w:lastColumn="0" w:oddVBand="0" w:evenVBand="0" w:oddHBand="0" w:evenHBand="0" w:firstRowFirstColumn="0" w:firstRowLastColumn="0" w:lastRowFirstColumn="0" w:lastRowLastColumn="0"/>
            <w:tcW w:w="6521" w:type="dxa"/>
          </w:tcPr>
          <w:p w14:paraId="286C2E77" w14:textId="77777777" w:rsidR="009D33A8" w:rsidRDefault="009D33A8">
            <w:pPr>
              <w:spacing w:after="0"/>
            </w:pPr>
            <w:r>
              <w:t xml:space="preserve">Contribution by the State under agreements pursuant to Section 25 of </w:t>
            </w:r>
            <w:r>
              <w:rPr>
                <w:i/>
              </w:rPr>
              <w:t>the Murray</w:t>
            </w:r>
            <w:r>
              <w:rPr>
                <w:i/>
              </w:rPr>
              <w:noBreakHyphen/>
              <w:t>Darling Basin Act 1993</w:t>
            </w:r>
          </w:p>
        </w:tc>
        <w:tc>
          <w:tcPr>
            <w:tcW w:w="850" w:type="dxa"/>
          </w:tcPr>
          <w:p w14:paraId="593F4932"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6BE7E55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31 288</w:t>
            </w:r>
          </w:p>
        </w:tc>
        <w:tc>
          <w:tcPr>
            <w:tcW w:w="1133" w:type="dxa"/>
          </w:tcPr>
          <w:p w14:paraId="3A5552A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31 385</w:t>
            </w:r>
          </w:p>
        </w:tc>
      </w:tr>
      <w:tr w:rsidR="009D33A8" w14:paraId="3EDADADC" w14:textId="77777777">
        <w:tc>
          <w:tcPr>
            <w:cnfStyle w:val="001000000000" w:firstRow="0" w:lastRow="0" w:firstColumn="1" w:lastColumn="0" w:oddVBand="0" w:evenVBand="0" w:oddHBand="0" w:evenHBand="0" w:firstRowFirstColumn="0" w:firstRowLastColumn="0" w:lastRowFirstColumn="0" w:lastRowLastColumn="0"/>
            <w:tcW w:w="6521" w:type="dxa"/>
          </w:tcPr>
          <w:p w14:paraId="3849FB00" w14:textId="77777777" w:rsidR="009D33A8" w:rsidRDefault="009D33A8">
            <w:pPr>
              <w:spacing w:after="0"/>
            </w:pPr>
            <w:r>
              <w:rPr>
                <w:i/>
              </w:rPr>
              <w:t xml:space="preserve">Section 32 Financial Management Act, No. 18 of 1994 – </w:t>
            </w:r>
            <w:r>
              <w:t xml:space="preserve">Section 25 </w:t>
            </w:r>
            <w:r>
              <w:rPr>
                <w:i/>
              </w:rPr>
              <w:t>of the Murray</w:t>
            </w:r>
            <w:r>
              <w:rPr>
                <w:i/>
              </w:rPr>
              <w:noBreakHyphen/>
              <w:t>Darling Basin Act 1993</w:t>
            </w:r>
          </w:p>
        </w:tc>
        <w:tc>
          <w:tcPr>
            <w:tcW w:w="850" w:type="dxa"/>
          </w:tcPr>
          <w:p w14:paraId="092EEF5E"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8A19DB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1B2D95D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00FF5C2A" w14:textId="77777777">
        <w:tc>
          <w:tcPr>
            <w:cnfStyle w:val="001000000000" w:firstRow="0" w:lastRow="0" w:firstColumn="1" w:lastColumn="0" w:oddVBand="0" w:evenVBand="0" w:oddHBand="0" w:evenHBand="0" w:firstRowFirstColumn="0" w:firstRowLastColumn="0" w:lastRowFirstColumn="0" w:lastRowLastColumn="0"/>
            <w:tcW w:w="6521" w:type="dxa"/>
          </w:tcPr>
          <w:p w14:paraId="6D0AFDC4" w14:textId="77777777" w:rsidR="009D33A8" w:rsidRDefault="009D33A8">
            <w:pPr>
              <w:spacing w:after="0"/>
            </w:pPr>
            <w:r>
              <w:t xml:space="preserve">Victorian Law Reform Commission – pursuant to Section 17 (b) of the </w:t>
            </w:r>
            <w:r>
              <w:rPr>
                <w:i/>
              </w:rPr>
              <w:t>Victorian Law Reform Commission Act 2000</w:t>
            </w:r>
          </w:p>
        </w:tc>
        <w:tc>
          <w:tcPr>
            <w:tcW w:w="850" w:type="dxa"/>
          </w:tcPr>
          <w:p w14:paraId="59B62BDB"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3CBD60E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762</w:t>
            </w:r>
          </w:p>
        </w:tc>
        <w:tc>
          <w:tcPr>
            <w:tcW w:w="1133" w:type="dxa"/>
          </w:tcPr>
          <w:p w14:paraId="483A55E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720</w:t>
            </w:r>
          </w:p>
        </w:tc>
      </w:tr>
      <w:tr w:rsidR="009D33A8" w14:paraId="26E0AFFA" w14:textId="77777777">
        <w:tc>
          <w:tcPr>
            <w:cnfStyle w:val="001000000000" w:firstRow="0" w:lastRow="0" w:firstColumn="1" w:lastColumn="0" w:oddVBand="0" w:evenVBand="0" w:oddHBand="0" w:evenHBand="0" w:firstRowFirstColumn="0" w:firstRowLastColumn="0" w:lastRowFirstColumn="0" w:lastRowLastColumn="0"/>
            <w:tcW w:w="6521" w:type="dxa"/>
          </w:tcPr>
          <w:p w14:paraId="5F7F5C6C" w14:textId="77777777" w:rsidR="009D33A8" w:rsidRDefault="009D33A8">
            <w:pPr>
              <w:spacing w:after="0"/>
            </w:pPr>
            <w:r>
              <w:t xml:space="preserve">Payment to Regional Growth Fund pursuant to Section 4 of </w:t>
            </w:r>
            <w:r>
              <w:rPr>
                <w:i/>
              </w:rPr>
              <w:t>the Regional Growth Fund Act No. 8 of 2011</w:t>
            </w:r>
          </w:p>
        </w:tc>
        <w:tc>
          <w:tcPr>
            <w:tcW w:w="850" w:type="dxa"/>
          </w:tcPr>
          <w:p w14:paraId="340978AC"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r>
              <w:t>7.2.8</w:t>
            </w:r>
          </w:p>
        </w:tc>
        <w:tc>
          <w:tcPr>
            <w:tcW w:w="1134" w:type="dxa"/>
          </w:tcPr>
          <w:p w14:paraId="6A6730D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3" w:type="dxa"/>
          </w:tcPr>
          <w:p w14:paraId="13C926C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r>
      <w:tr w:rsidR="009D33A8" w14:paraId="112F9CA6" w14:textId="77777777">
        <w:tc>
          <w:tcPr>
            <w:cnfStyle w:val="001000000000" w:firstRow="0" w:lastRow="0" w:firstColumn="1" w:lastColumn="0" w:oddVBand="0" w:evenVBand="0" w:oddHBand="0" w:evenHBand="0" w:firstRowFirstColumn="0" w:firstRowLastColumn="0" w:lastRowFirstColumn="0" w:lastRowLastColumn="0"/>
            <w:tcW w:w="6521" w:type="dxa"/>
          </w:tcPr>
          <w:p w14:paraId="14CBD8F3" w14:textId="77777777" w:rsidR="009D33A8" w:rsidRDefault="009D33A8">
            <w:pPr>
              <w:spacing w:after="0"/>
            </w:pPr>
            <w:r>
              <w:rPr>
                <w:b/>
              </w:rPr>
              <w:t>Total other</w:t>
            </w:r>
          </w:p>
        </w:tc>
        <w:tc>
          <w:tcPr>
            <w:tcW w:w="850" w:type="dxa"/>
          </w:tcPr>
          <w:p w14:paraId="6B4E8E8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3FBFEB3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32 050</w:t>
            </w:r>
          </w:p>
        </w:tc>
        <w:tc>
          <w:tcPr>
            <w:tcW w:w="1133" w:type="dxa"/>
          </w:tcPr>
          <w:p w14:paraId="40AEE90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32 105</w:t>
            </w:r>
          </w:p>
        </w:tc>
      </w:tr>
      <w:tr w:rsidR="009D33A8" w14:paraId="7B3E1EAB"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21" w:type="dxa"/>
          </w:tcPr>
          <w:p w14:paraId="6A99489F" w14:textId="77777777" w:rsidR="009D33A8" w:rsidRDefault="009D33A8">
            <w:pPr>
              <w:spacing w:after="0"/>
            </w:pPr>
          </w:p>
        </w:tc>
        <w:tc>
          <w:tcPr>
            <w:tcW w:w="850" w:type="dxa"/>
          </w:tcPr>
          <w:p w14:paraId="1583DE12"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7EEB180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3" w:type="dxa"/>
          </w:tcPr>
          <w:p w14:paraId="1C04B26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31E9FB9" w14:textId="77777777">
        <w:tc>
          <w:tcPr>
            <w:cnfStyle w:val="001000000000" w:firstRow="0" w:lastRow="0" w:firstColumn="1" w:lastColumn="0" w:oddVBand="0" w:evenVBand="0" w:oddHBand="0" w:evenHBand="0" w:firstRowFirstColumn="0" w:firstRowLastColumn="0" w:lastRowFirstColumn="0" w:lastRowLastColumn="0"/>
            <w:tcW w:w="6521" w:type="dxa"/>
          </w:tcPr>
          <w:p w14:paraId="192B77DD" w14:textId="77777777" w:rsidR="009D33A8" w:rsidRDefault="009D33A8">
            <w:pPr>
              <w:spacing w:after="0"/>
            </w:pPr>
            <w:r>
              <w:rPr>
                <w:b/>
              </w:rPr>
              <w:t>Total annual appropriations</w:t>
            </w:r>
          </w:p>
        </w:tc>
        <w:tc>
          <w:tcPr>
            <w:tcW w:w="850" w:type="dxa"/>
          </w:tcPr>
          <w:p w14:paraId="33A228E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Pr>
          <w:p w14:paraId="6F0935E2" w14:textId="77777777" w:rsidR="009D33A8" w:rsidRPr="007E0E42" w:rsidRDefault="009D33A8">
            <w:pPr>
              <w:spacing w:after="0"/>
              <w:cnfStyle w:val="000000000000" w:firstRow="0" w:lastRow="0" w:firstColumn="0" w:lastColumn="0" w:oddVBand="0" w:evenVBand="0" w:oddHBand="0" w:evenHBand="0" w:firstRowFirstColumn="0" w:firstRowLastColumn="0" w:lastRowFirstColumn="0" w:lastRowLastColumn="0"/>
            </w:pPr>
            <w:r w:rsidRPr="007E0E42">
              <w:rPr>
                <w:b/>
              </w:rPr>
              <w:t>92 059 492</w:t>
            </w:r>
          </w:p>
        </w:tc>
        <w:tc>
          <w:tcPr>
            <w:tcW w:w="1133" w:type="dxa"/>
          </w:tcPr>
          <w:p w14:paraId="4F650F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89 743 354</w:t>
            </w:r>
          </w:p>
        </w:tc>
      </w:tr>
      <w:tr w:rsidR="009D33A8" w14:paraId="2DA283D8" w14:textId="77777777">
        <w:tc>
          <w:tcPr>
            <w:cnfStyle w:val="001000000000" w:firstRow="0" w:lastRow="0" w:firstColumn="1" w:lastColumn="0" w:oddVBand="0" w:evenVBand="0" w:oddHBand="0" w:evenHBand="0" w:firstRowFirstColumn="0" w:firstRowLastColumn="0" w:lastRowFirstColumn="0" w:lastRowLastColumn="0"/>
            <w:tcW w:w="6521" w:type="dxa"/>
            <w:tcBorders>
              <w:bottom w:val="single" w:sz="6" w:space="0" w:color="auto"/>
            </w:tcBorders>
          </w:tcPr>
          <w:p w14:paraId="78E26182" w14:textId="77777777" w:rsidR="009D33A8" w:rsidRDefault="009D33A8">
            <w:pPr>
              <w:spacing w:after="0"/>
            </w:pPr>
            <w:r>
              <w:t>Applied appropriations remaining unspent relating to the reporting year</w:t>
            </w:r>
            <w:r>
              <w:rPr>
                <w:vertAlign w:val="superscript"/>
              </w:rPr>
              <w:t xml:space="preserve"> (b)</w:t>
            </w:r>
          </w:p>
        </w:tc>
        <w:tc>
          <w:tcPr>
            <w:tcW w:w="850" w:type="dxa"/>
            <w:tcBorders>
              <w:bottom w:val="single" w:sz="6" w:space="0" w:color="auto"/>
            </w:tcBorders>
          </w:tcPr>
          <w:p w14:paraId="1FC3A83F"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301A41A5" w14:textId="527B3242" w:rsidR="009D33A8" w:rsidRPr="007E0E42" w:rsidRDefault="009D33A8">
            <w:pPr>
              <w:spacing w:after="0"/>
              <w:cnfStyle w:val="000000000000" w:firstRow="0" w:lastRow="0" w:firstColumn="0" w:lastColumn="0" w:oddVBand="0" w:evenVBand="0" w:oddHBand="0" w:evenHBand="0" w:firstRowFirstColumn="0" w:firstRowLastColumn="0" w:lastRowFirstColumn="0" w:lastRowLastColumn="0"/>
            </w:pPr>
            <w:r w:rsidRPr="007E0E42">
              <w:t>(1 3</w:t>
            </w:r>
            <w:r w:rsidR="003A0E9D" w:rsidRPr="007E0E42">
              <w:t>60</w:t>
            </w:r>
            <w:r w:rsidRPr="007E0E42">
              <w:t xml:space="preserve"> </w:t>
            </w:r>
            <w:r w:rsidR="003A0E9D" w:rsidRPr="007E0E42">
              <w:t>134</w:t>
            </w:r>
            <w:r w:rsidRPr="007E0E42">
              <w:t>)</w:t>
            </w:r>
          </w:p>
        </w:tc>
        <w:tc>
          <w:tcPr>
            <w:tcW w:w="1133" w:type="dxa"/>
            <w:tcBorders>
              <w:bottom w:val="single" w:sz="6" w:space="0" w:color="auto"/>
            </w:tcBorders>
          </w:tcPr>
          <w:p w14:paraId="7A5518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(1 734 775)</w:t>
            </w:r>
          </w:p>
        </w:tc>
      </w:tr>
      <w:tr w:rsidR="009D33A8" w14:paraId="3F4B3191" w14:textId="77777777">
        <w:tc>
          <w:tcPr>
            <w:cnfStyle w:val="001000000000" w:firstRow="0" w:lastRow="0" w:firstColumn="1" w:lastColumn="0" w:oddVBand="0" w:evenVBand="0" w:oddHBand="0" w:evenHBand="0" w:firstRowFirstColumn="0" w:firstRowLastColumn="0" w:lastRowFirstColumn="0" w:lastRowLastColumn="0"/>
            <w:tcW w:w="6521" w:type="dxa"/>
            <w:tcBorders>
              <w:top w:val="single" w:sz="6" w:space="0" w:color="auto"/>
              <w:bottom w:val="single" w:sz="6" w:space="0" w:color="auto"/>
            </w:tcBorders>
          </w:tcPr>
          <w:p w14:paraId="4EA8BB14" w14:textId="77777777" w:rsidR="009D33A8" w:rsidRDefault="009D33A8">
            <w:pPr>
              <w:spacing w:after="0"/>
            </w:pPr>
            <w:r>
              <w:rPr>
                <w:b/>
              </w:rPr>
              <w:t>Total payments</w:t>
            </w:r>
          </w:p>
        </w:tc>
        <w:tc>
          <w:tcPr>
            <w:tcW w:w="850" w:type="dxa"/>
            <w:tcBorders>
              <w:top w:val="single" w:sz="6" w:space="0" w:color="auto"/>
              <w:bottom w:val="single" w:sz="6" w:space="0" w:color="auto"/>
            </w:tcBorders>
          </w:tcPr>
          <w:p w14:paraId="3A1DBE4A" w14:textId="77777777" w:rsidR="009D33A8" w:rsidRDefault="009D33A8">
            <w:pPr>
              <w:spacing w:after="0"/>
              <w:jc w:val="cente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bottom w:val="single" w:sz="6" w:space="0" w:color="auto"/>
            </w:tcBorders>
          </w:tcPr>
          <w:p w14:paraId="2219F66D" w14:textId="4DB06E17" w:rsidR="009D33A8" w:rsidRPr="007E0E42" w:rsidRDefault="009D33A8">
            <w:pPr>
              <w:spacing w:after="0"/>
              <w:cnfStyle w:val="000000000000" w:firstRow="0" w:lastRow="0" w:firstColumn="0" w:lastColumn="0" w:oddVBand="0" w:evenVBand="0" w:oddHBand="0" w:evenHBand="0" w:firstRowFirstColumn="0" w:firstRowLastColumn="0" w:lastRowFirstColumn="0" w:lastRowLastColumn="0"/>
            </w:pPr>
            <w:r w:rsidRPr="007E0E42">
              <w:rPr>
                <w:b/>
              </w:rPr>
              <w:t>97 19</w:t>
            </w:r>
            <w:r w:rsidR="003A0E9D" w:rsidRPr="007E0E42">
              <w:rPr>
                <w:b/>
              </w:rPr>
              <w:t>4</w:t>
            </w:r>
            <w:r w:rsidRPr="007E0E42">
              <w:rPr>
                <w:b/>
              </w:rPr>
              <w:t xml:space="preserve"> </w:t>
            </w:r>
            <w:r w:rsidR="003A0E9D" w:rsidRPr="007E0E42">
              <w:rPr>
                <w:b/>
              </w:rPr>
              <w:t>942</w:t>
            </w:r>
          </w:p>
        </w:tc>
        <w:tc>
          <w:tcPr>
            <w:tcW w:w="1133" w:type="dxa"/>
            <w:tcBorders>
              <w:top w:val="single" w:sz="6" w:space="0" w:color="auto"/>
              <w:bottom w:val="single" w:sz="6" w:space="0" w:color="auto"/>
            </w:tcBorders>
          </w:tcPr>
          <w:p w14:paraId="590F696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101 624 548</w:t>
            </w:r>
          </w:p>
        </w:tc>
      </w:tr>
    </w:tbl>
    <w:p w14:paraId="42B95467" w14:textId="77777777" w:rsidR="009D33A8" w:rsidRPr="004610D1" w:rsidRDefault="009D33A8" w:rsidP="004610D1">
      <w:pPr>
        <w:pStyle w:val="Heading5"/>
        <w:ind w:left="907" w:hanging="907"/>
        <w:rPr>
          <w:sz w:val="23"/>
          <w:szCs w:val="23"/>
        </w:rPr>
      </w:pPr>
      <w:bookmarkStart w:id="134" w:name="_Toc176184895"/>
      <w:bookmarkStart w:id="135" w:name="_Toc203393633"/>
      <w:bookmarkStart w:id="136" w:name="_Toc209479593"/>
      <w:r w:rsidRPr="004610D1">
        <w:rPr>
          <w:sz w:val="23"/>
          <w:szCs w:val="23"/>
        </w:rPr>
        <w:lastRenderedPageBreak/>
        <w:t>7.2.1</w:t>
      </w:r>
      <w:r w:rsidRPr="004610D1">
        <w:rPr>
          <w:sz w:val="23"/>
          <w:szCs w:val="23"/>
        </w:rPr>
        <w:tab/>
        <w:t xml:space="preserve">Summarised consolidated fund receipts and payments for the financial year </w:t>
      </w:r>
      <w:r w:rsidRPr="004610D1">
        <w:rPr>
          <w:sz w:val="23"/>
          <w:szCs w:val="23"/>
        </w:rPr>
        <w:br/>
        <w:t xml:space="preserve">ended 30 June </w:t>
      </w:r>
      <w:r w:rsidRPr="00387417">
        <w:rPr>
          <w:i/>
          <w:sz w:val="21"/>
          <w:szCs w:val="22"/>
        </w:rPr>
        <w:t>(continued)</w:t>
      </w:r>
      <w:r w:rsidRPr="004610D1">
        <w:rPr>
          <w:sz w:val="23"/>
          <w:szCs w:val="23"/>
        </w:rPr>
        <w:tab/>
      </w:r>
      <w:r w:rsidRPr="003A1311">
        <w:rPr>
          <w:sz w:val="20"/>
          <w:szCs w:val="20"/>
        </w:rPr>
        <w:t>($ thousand)</w:t>
      </w:r>
      <w:bookmarkEnd w:id="134"/>
      <w:bookmarkEnd w:id="135"/>
      <w:bookmarkEnd w:id="136"/>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receipts_and_payments|FirstRow:59"/>
      </w:tblPr>
      <w:tblGrid>
        <w:gridCol w:w="6509"/>
        <w:gridCol w:w="854"/>
        <w:gridCol w:w="1148"/>
        <w:gridCol w:w="1127"/>
      </w:tblGrid>
      <w:tr w:rsidR="009D33A8" w14:paraId="14686F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09" w:type="dxa"/>
          </w:tcPr>
          <w:p w14:paraId="5AE7CD41" w14:textId="77777777" w:rsidR="009D33A8" w:rsidRDefault="009D33A8" w:rsidP="00A84CA7"/>
        </w:tc>
        <w:tc>
          <w:tcPr>
            <w:tcW w:w="854" w:type="dxa"/>
          </w:tcPr>
          <w:p w14:paraId="09BA2EA7" w14:textId="77777777" w:rsidR="009D33A8" w:rsidRDefault="009D33A8" w:rsidP="00A84CA7">
            <w:pPr>
              <w:cnfStyle w:val="100000000000" w:firstRow="1" w:lastRow="0" w:firstColumn="0" w:lastColumn="0" w:oddVBand="0" w:evenVBand="0" w:oddHBand="0" w:evenHBand="0" w:firstRowFirstColumn="0" w:firstRowLastColumn="0" w:lastRowFirstColumn="0" w:lastRowLastColumn="0"/>
            </w:pPr>
            <w:r>
              <w:t>Notes</w:t>
            </w:r>
          </w:p>
        </w:tc>
        <w:tc>
          <w:tcPr>
            <w:tcW w:w="1148" w:type="dxa"/>
          </w:tcPr>
          <w:p w14:paraId="469C6FB2" w14:textId="77777777" w:rsidR="009D33A8" w:rsidRDefault="009D33A8" w:rsidP="00A84CA7">
            <w:pPr>
              <w:cnfStyle w:val="100000000000" w:firstRow="1" w:lastRow="0" w:firstColumn="0" w:lastColumn="0" w:oddVBand="0" w:evenVBand="0" w:oddHBand="0" w:evenHBand="0" w:firstRowFirstColumn="0" w:firstRowLastColumn="0" w:lastRowFirstColumn="0" w:lastRowLastColumn="0"/>
            </w:pPr>
            <w:r>
              <w:t>2025</w:t>
            </w:r>
          </w:p>
        </w:tc>
        <w:tc>
          <w:tcPr>
            <w:tcW w:w="1127" w:type="dxa"/>
          </w:tcPr>
          <w:p w14:paraId="7A75CDE3" w14:textId="77777777" w:rsidR="009D33A8" w:rsidRDefault="009D33A8" w:rsidP="00A84CA7">
            <w:pPr>
              <w:cnfStyle w:val="100000000000" w:firstRow="1" w:lastRow="0" w:firstColumn="0" w:lastColumn="0" w:oddVBand="0" w:evenVBand="0" w:oddHBand="0" w:evenHBand="0" w:firstRowFirstColumn="0" w:firstRowLastColumn="0" w:lastRowFirstColumn="0" w:lastRowLastColumn="0"/>
            </w:pPr>
            <w:r>
              <w:t>2024</w:t>
            </w:r>
          </w:p>
        </w:tc>
      </w:tr>
      <w:tr w:rsidR="009D33A8" w14:paraId="2F239546" w14:textId="77777777">
        <w:tc>
          <w:tcPr>
            <w:cnfStyle w:val="001000000000" w:firstRow="0" w:lastRow="0" w:firstColumn="1" w:lastColumn="0" w:oddVBand="0" w:evenVBand="0" w:oddHBand="0" w:evenHBand="0" w:firstRowFirstColumn="0" w:firstRowLastColumn="0" w:lastRowFirstColumn="0" w:lastRowLastColumn="0"/>
            <w:tcW w:w="6509" w:type="dxa"/>
          </w:tcPr>
          <w:p w14:paraId="058D732F" w14:textId="77777777" w:rsidR="009D33A8" w:rsidRDefault="009D33A8">
            <w:r>
              <w:rPr>
                <w:b/>
              </w:rPr>
              <w:t>Consolidated fund balance 1 July</w:t>
            </w:r>
          </w:p>
        </w:tc>
        <w:tc>
          <w:tcPr>
            <w:tcW w:w="854" w:type="dxa"/>
          </w:tcPr>
          <w:p w14:paraId="1E889390"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Pr>
          <w:p w14:paraId="7891CBB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262 851</w:t>
            </w:r>
          </w:p>
        </w:tc>
        <w:tc>
          <w:tcPr>
            <w:tcW w:w="1127" w:type="dxa"/>
          </w:tcPr>
          <w:p w14:paraId="0C40DB2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5 717 639</w:t>
            </w:r>
          </w:p>
        </w:tc>
      </w:tr>
      <w:tr w:rsidR="009D33A8" w14:paraId="22E90E98" w14:textId="77777777">
        <w:tc>
          <w:tcPr>
            <w:cnfStyle w:val="001000000000" w:firstRow="0" w:lastRow="0" w:firstColumn="1" w:lastColumn="0" w:oddVBand="0" w:evenVBand="0" w:oddHBand="0" w:evenHBand="0" w:firstRowFirstColumn="0" w:firstRowLastColumn="0" w:lastRowFirstColumn="0" w:lastRowLastColumn="0"/>
            <w:tcW w:w="6509" w:type="dxa"/>
          </w:tcPr>
          <w:p w14:paraId="032263D1" w14:textId="77777777" w:rsidR="009D33A8" w:rsidRDefault="009D33A8">
            <w:r>
              <w:rPr>
                <w:b/>
              </w:rPr>
              <w:t>Add total receipts for year</w:t>
            </w:r>
          </w:p>
        </w:tc>
        <w:tc>
          <w:tcPr>
            <w:tcW w:w="854" w:type="dxa"/>
          </w:tcPr>
          <w:p w14:paraId="595C040B"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Pr>
          <w:p w14:paraId="3A13FFE7" w14:textId="6649A1F3" w:rsidR="009D33A8" w:rsidRPr="007E0E42" w:rsidRDefault="009D33A8">
            <w:pPr>
              <w:cnfStyle w:val="000000000000" w:firstRow="0" w:lastRow="0" w:firstColumn="0" w:lastColumn="0" w:oddVBand="0" w:evenVBand="0" w:oddHBand="0" w:evenHBand="0" w:firstRowFirstColumn="0" w:firstRowLastColumn="0" w:lastRowFirstColumn="0" w:lastRowLastColumn="0"/>
            </w:pPr>
            <w:r w:rsidRPr="007E0E42">
              <w:rPr>
                <w:b/>
              </w:rPr>
              <w:t xml:space="preserve">96 932 </w:t>
            </w:r>
            <w:r w:rsidR="00633F2B" w:rsidRPr="007E0E42">
              <w:rPr>
                <w:b/>
              </w:rPr>
              <w:t>091</w:t>
            </w:r>
          </w:p>
        </w:tc>
        <w:tc>
          <w:tcPr>
            <w:tcW w:w="1127" w:type="dxa"/>
          </w:tcPr>
          <w:p w14:paraId="2C4D0C9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96 169 759</w:t>
            </w:r>
          </w:p>
        </w:tc>
      </w:tr>
      <w:tr w:rsidR="009D33A8" w14:paraId="45906800" w14:textId="77777777">
        <w:tc>
          <w:tcPr>
            <w:cnfStyle w:val="001000000000" w:firstRow="0" w:lastRow="0" w:firstColumn="1" w:lastColumn="0" w:oddVBand="0" w:evenVBand="0" w:oddHBand="0" w:evenHBand="0" w:firstRowFirstColumn="0" w:firstRowLastColumn="0" w:lastRowFirstColumn="0" w:lastRowLastColumn="0"/>
            <w:tcW w:w="6509" w:type="dxa"/>
            <w:tcBorders>
              <w:bottom w:val="single" w:sz="6" w:space="0" w:color="auto"/>
            </w:tcBorders>
          </w:tcPr>
          <w:p w14:paraId="61E19BDB" w14:textId="77777777" w:rsidR="009D33A8" w:rsidRDefault="009D33A8">
            <w:r>
              <w:rPr>
                <w:b/>
              </w:rPr>
              <w:t>Less total payments for year</w:t>
            </w:r>
          </w:p>
        </w:tc>
        <w:tc>
          <w:tcPr>
            <w:tcW w:w="854" w:type="dxa"/>
            <w:tcBorders>
              <w:bottom w:val="single" w:sz="6" w:space="0" w:color="auto"/>
            </w:tcBorders>
          </w:tcPr>
          <w:p w14:paraId="27251B11"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bottom w:val="single" w:sz="6" w:space="0" w:color="auto"/>
            </w:tcBorders>
          </w:tcPr>
          <w:p w14:paraId="558C3457" w14:textId="77D5AD60" w:rsidR="009D33A8" w:rsidRPr="007E0E42" w:rsidRDefault="009D33A8">
            <w:pPr>
              <w:cnfStyle w:val="000000000000" w:firstRow="0" w:lastRow="0" w:firstColumn="0" w:lastColumn="0" w:oddVBand="0" w:evenVBand="0" w:oddHBand="0" w:evenHBand="0" w:firstRowFirstColumn="0" w:firstRowLastColumn="0" w:lastRowFirstColumn="0" w:lastRowLastColumn="0"/>
            </w:pPr>
            <w:r w:rsidRPr="007E0E42">
              <w:rPr>
                <w:b/>
              </w:rPr>
              <w:t>(97 19</w:t>
            </w:r>
            <w:r w:rsidR="007E6DB2" w:rsidRPr="007E0E42">
              <w:rPr>
                <w:b/>
              </w:rPr>
              <w:t>4</w:t>
            </w:r>
            <w:r w:rsidRPr="007E0E42">
              <w:rPr>
                <w:b/>
              </w:rPr>
              <w:t xml:space="preserve"> </w:t>
            </w:r>
            <w:r w:rsidR="007E6DB2" w:rsidRPr="007E0E42">
              <w:rPr>
                <w:b/>
              </w:rPr>
              <w:t>942</w:t>
            </w:r>
            <w:r w:rsidRPr="007E0E42">
              <w:rPr>
                <w:b/>
              </w:rPr>
              <w:t>)</w:t>
            </w:r>
          </w:p>
        </w:tc>
        <w:tc>
          <w:tcPr>
            <w:tcW w:w="1127" w:type="dxa"/>
            <w:tcBorders>
              <w:bottom w:val="single" w:sz="6" w:space="0" w:color="auto"/>
            </w:tcBorders>
          </w:tcPr>
          <w:p w14:paraId="7EC0CD4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(101 624 548)</w:t>
            </w:r>
          </w:p>
        </w:tc>
      </w:tr>
      <w:tr w:rsidR="009D33A8" w14:paraId="253FAE6E" w14:textId="77777777">
        <w:tc>
          <w:tcPr>
            <w:cnfStyle w:val="001000000000" w:firstRow="0" w:lastRow="0" w:firstColumn="1" w:lastColumn="0" w:oddVBand="0" w:evenVBand="0" w:oddHBand="0" w:evenHBand="0" w:firstRowFirstColumn="0" w:firstRowLastColumn="0" w:lastRowFirstColumn="0" w:lastRowLastColumn="0"/>
            <w:tcW w:w="6509" w:type="dxa"/>
            <w:tcBorders>
              <w:top w:val="single" w:sz="6" w:space="0" w:color="auto"/>
              <w:bottom w:val="single" w:sz="6" w:space="0" w:color="auto"/>
            </w:tcBorders>
          </w:tcPr>
          <w:p w14:paraId="4FF292DA" w14:textId="77777777" w:rsidR="009D33A8" w:rsidRDefault="009D33A8">
            <w:r>
              <w:rPr>
                <w:b/>
              </w:rPr>
              <w:t>Consolidated fund balance 30 June</w:t>
            </w:r>
            <w:r>
              <w:rPr>
                <w:b/>
                <w:vertAlign w:val="superscript"/>
              </w:rPr>
              <w:t xml:space="preserve"> (d)</w:t>
            </w:r>
          </w:p>
        </w:tc>
        <w:tc>
          <w:tcPr>
            <w:tcW w:w="854" w:type="dxa"/>
            <w:tcBorders>
              <w:top w:val="single" w:sz="6" w:space="0" w:color="auto"/>
              <w:bottom w:val="single" w:sz="6" w:space="0" w:color="auto"/>
            </w:tcBorders>
          </w:tcPr>
          <w:p w14:paraId="27F8A0A5"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top w:val="single" w:sz="6" w:space="0" w:color="auto"/>
              <w:bottom w:val="single" w:sz="6" w:space="0" w:color="auto"/>
            </w:tcBorders>
          </w:tcPr>
          <w:p w14:paraId="08379F8E" w14:textId="5B50BF9D" w:rsidR="009D33A8" w:rsidRDefault="00633F2B">
            <w:pPr>
              <w:cnfStyle w:val="000000000000" w:firstRow="0" w:lastRow="0" w:firstColumn="0" w:lastColumn="0" w:oddVBand="0" w:evenVBand="0" w:oddHBand="0" w:evenHBand="0" w:firstRowFirstColumn="0" w:firstRowLastColumn="0" w:lastRowFirstColumn="0" w:lastRowLastColumn="0"/>
            </w:pPr>
            <w:r>
              <w:rPr>
                <w:b/>
              </w:rPr>
              <w:t>…</w:t>
            </w:r>
          </w:p>
        </w:tc>
        <w:tc>
          <w:tcPr>
            <w:tcW w:w="1127" w:type="dxa"/>
            <w:tcBorders>
              <w:top w:val="single" w:sz="6" w:space="0" w:color="auto"/>
              <w:bottom w:val="single" w:sz="6" w:space="0" w:color="auto"/>
            </w:tcBorders>
          </w:tcPr>
          <w:p w14:paraId="58F0B43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262 851</w:t>
            </w:r>
          </w:p>
        </w:tc>
      </w:tr>
      <w:tr w:rsidR="009D33A8" w14:paraId="787443A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509" w:type="dxa"/>
          </w:tcPr>
          <w:p w14:paraId="171367C3" w14:textId="77777777" w:rsidR="009D33A8" w:rsidRDefault="009D33A8"/>
        </w:tc>
        <w:tc>
          <w:tcPr>
            <w:tcW w:w="854" w:type="dxa"/>
          </w:tcPr>
          <w:p w14:paraId="5E806759"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Pr>
          <w:p w14:paraId="7F09B46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27" w:type="dxa"/>
          </w:tcPr>
          <w:p w14:paraId="325B6D1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D43C23A" w14:textId="77777777">
        <w:tc>
          <w:tcPr>
            <w:cnfStyle w:val="001000000000" w:firstRow="0" w:lastRow="0" w:firstColumn="1" w:lastColumn="0" w:oddVBand="0" w:evenVBand="0" w:oddHBand="0" w:evenHBand="0" w:firstRowFirstColumn="0" w:firstRowLastColumn="0" w:lastRowFirstColumn="0" w:lastRowLastColumn="0"/>
            <w:tcW w:w="6509" w:type="dxa"/>
          </w:tcPr>
          <w:p w14:paraId="1F5417AA" w14:textId="77777777" w:rsidR="009D33A8" w:rsidRDefault="009D33A8">
            <w:r>
              <w:rPr>
                <w:b/>
                <w:i/>
              </w:rPr>
              <w:t>Reconciliation of unspent appropriations:</w:t>
            </w:r>
          </w:p>
        </w:tc>
        <w:tc>
          <w:tcPr>
            <w:tcW w:w="854" w:type="dxa"/>
          </w:tcPr>
          <w:p w14:paraId="781C9F02"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Pr>
          <w:p w14:paraId="7D0D102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27" w:type="dxa"/>
          </w:tcPr>
          <w:p w14:paraId="79318EE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6298DF7C" w14:textId="77777777">
        <w:tc>
          <w:tcPr>
            <w:cnfStyle w:val="001000000000" w:firstRow="0" w:lastRow="0" w:firstColumn="1" w:lastColumn="0" w:oddVBand="0" w:evenVBand="0" w:oddHBand="0" w:evenHBand="0" w:firstRowFirstColumn="0" w:firstRowLastColumn="0" w:lastRowFirstColumn="0" w:lastRowLastColumn="0"/>
            <w:tcW w:w="6509" w:type="dxa"/>
          </w:tcPr>
          <w:p w14:paraId="2B7F1F96" w14:textId="77777777" w:rsidR="009D33A8" w:rsidRDefault="009D33A8">
            <w:r>
              <w:rPr>
                <w:i/>
              </w:rPr>
              <w:t xml:space="preserve">   Applied appropriations unspent at the end of year</w:t>
            </w:r>
            <w:r>
              <w:rPr>
                <w:i/>
                <w:vertAlign w:val="superscript"/>
              </w:rPr>
              <w:t xml:space="preserve"> </w:t>
            </w:r>
          </w:p>
        </w:tc>
        <w:tc>
          <w:tcPr>
            <w:tcW w:w="854" w:type="dxa"/>
          </w:tcPr>
          <w:p w14:paraId="46EB825A"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Pr>
          <w:p w14:paraId="53F48DC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i/>
              </w:rPr>
              <w:t>17 592 687</w:t>
            </w:r>
          </w:p>
        </w:tc>
        <w:tc>
          <w:tcPr>
            <w:tcW w:w="1127" w:type="dxa"/>
          </w:tcPr>
          <w:p w14:paraId="67EF4E3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i/>
              </w:rPr>
              <w:t>16 507 729</w:t>
            </w:r>
          </w:p>
        </w:tc>
      </w:tr>
      <w:tr w:rsidR="009D33A8" w14:paraId="11D6517E" w14:textId="77777777">
        <w:tc>
          <w:tcPr>
            <w:cnfStyle w:val="001000000000" w:firstRow="0" w:lastRow="0" w:firstColumn="1" w:lastColumn="0" w:oddVBand="0" w:evenVBand="0" w:oddHBand="0" w:evenHBand="0" w:firstRowFirstColumn="0" w:firstRowLastColumn="0" w:lastRowFirstColumn="0" w:lastRowLastColumn="0"/>
            <w:tcW w:w="6509" w:type="dxa"/>
            <w:tcBorders>
              <w:bottom w:val="single" w:sz="6" w:space="0" w:color="auto"/>
            </w:tcBorders>
          </w:tcPr>
          <w:p w14:paraId="1DC27EC7" w14:textId="77777777" w:rsidR="009D33A8" w:rsidRDefault="009D33A8">
            <w:r>
              <w:rPr>
                <w:i/>
              </w:rPr>
              <w:t xml:space="preserve">   add payments made during the year under the </w:t>
            </w:r>
            <w:r>
              <w:t>Financial Management Act, No. 18 of 1994</w:t>
            </w:r>
            <w:r>
              <w:rPr>
                <w:i/>
              </w:rPr>
              <w:t xml:space="preserve">, Section 33 </w:t>
            </w:r>
            <w:r w:rsidRPr="00722304">
              <w:rPr>
                <w:vertAlign w:val="superscript"/>
              </w:rPr>
              <w:t>(b)</w:t>
            </w:r>
          </w:p>
        </w:tc>
        <w:tc>
          <w:tcPr>
            <w:tcW w:w="854" w:type="dxa"/>
            <w:tcBorders>
              <w:bottom w:val="single" w:sz="6" w:space="0" w:color="auto"/>
            </w:tcBorders>
          </w:tcPr>
          <w:p w14:paraId="49864CE4"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bottom w:val="single" w:sz="6" w:space="0" w:color="auto"/>
            </w:tcBorders>
          </w:tcPr>
          <w:p w14:paraId="4040B44C" w14:textId="1F8532FE" w:rsidR="009D33A8" w:rsidRPr="007E0E42" w:rsidRDefault="009D33A8">
            <w:pPr>
              <w:cnfStyle w:val="000000000000" w:firstRow="0" w:lastRow="0" w:firstColumn="0" w:lastColumn="0" w:oddVBand="0" w:evenVBand="0" w:oddHBand="0" w:evenHBand="0" w:firstRowFirstColumn="0" w:firstRowLastColumn="0" w:lastRowFirstColumn="0" w:lastRowLastColumn="0"/>
            </w:pPr>
            <w:r w:rsidRPr="007E0E42">
              <w:t>27</w:t>
            </w:r>
            <w:r w:rsidR="007E6DB2" w:rsidRPr="007E0E42">
              <w:t>5</w:t>
            </w:r>
            <w:r w:rsidRPr="007E0E42">
              <w:t xml:space="preserve"> </w:t>
            </w:r>
            <w:r w:rsidR="007E6DB2" w:rsidRPr="007E0E42">
              <w:t>175</w:t>
            </w:r>
          </w:p>
        </w:tc>
        <w:tc>
          <w:tcPr>
            <w:tcW w:w="1127" w:type="dxa"/>
            <w:tcBorders>
              <w:bottom w:val="single" w:sz="6" w:space="0" w:color="auto"/>
            </w:tcBorders>
          </w:tcPr>
          <w:p w14:paraId="0D51AFEA" w14:textId="77777777" w:rsidR="009D33A8" w:rsidRDefault="009D33A8">
            <w:pPr>
              <w:cnfStyle w:val="000000000000" w:firstRow="0" w:lastRow="0" w:firstColumn="0" w:lastColumn="0" w:oddVBand="0" w:evenVBand="0" w:oddHBand="0" w:evenHBand="0" w:firstRowFirstColumn="0" w:firstRowLastColumn="0" w:lastRowFirstColumn="0" w:lastRowLastColumn="0"/>
            </w:pPr>
            <w:r>
              <w:t>205 504</w:t>
            </w:r>
          </w:p>
        </w:tc>
      </w:tr>
      <w:tr w:rsidR="009D33A8" w14:paraId="1B5D1A4A" w14:textId="77777777">
        <w:tc>
          <w:tcPr>
            <w:cnfStyle w:val="001000000000" w:firstRow="0" w:lastRow="0" w:firstColumn="1" w:lastColumn="0" w:oddVBand="0" w:evenVBand="0" w:oddHBand="0" w:evenHBand="0" w:firstRowFirstColumn="0" w:firstRowLastColumn="0" w:lastRowFirstColumn="0" w:lastRowLastColumn="0"/>
            <w:tcW w:w="6509" w:type="dxa"/>
            <w:tcBorders>
              <w:top w:val="single" w:sz="6" w:space="0" w:color="auto"/>
            </w:tcBorders>
          </w:tcPr>
          <w:p w14:paraId="66010C10" w14:textId="77777777" w:rsidR="009D33A8" w:rsidRDefault="009D33A8">
            <w:r>
              <w:rPr>
                <w:b/>
                <w:i/>
              </w:rPr>
              <w:t>Subtotal</w:t>
            </w:r>
            <w:r>
              <w:rPr>
                <w:b/>
                <w:i/>
                <w:vertAlign w:val="superscript"/>
              </w:rPr>
              <w:t xml:space="preserve"> (b)</w:t>
            </w:r>
          </w:p>
        </w:tc>
        <w:tc>
          <w:tcPr>
            <w:tcW w:w="854" w:type="dxa"/>
            <w:tcBorders>
              <w:top w:val="single" w:sz="6" w:space="0" w:color="auto"/>
            </w:tcBorders>
          </w:tcPr>
          <w:p w14:paraId="5138B1FB"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top w:val="single" w:sz="6" w:space="0" w:color="auto"/>
            </w:tcBorders>
          </w:tcPr>
          <w:p w14:paraId="0710C0CE" w14:textId="7F23FE58" w:rsidR="009D33A8" w:rsidRPr="007E0E42" w:rsidRDefault="009D33A8">
            <w:pPr>
              <w:cnfStyle w:val="000000000000" w:firstRow="0" w:lastRow="0" w:firstColumn="0" w:lastColumn="0" w:oddVBand="0" w:evenVBand="0" w:oddHBand="0" w:evenHBand="0" w:firstRowFirstColumn="0" w:firstRowLastColumn="0" w:lastRowFirstColumn="0" w:lastRowLastColumn="0"/>
            </w:pPr>
            <w:r w:rsidRPr="007E0E42">
              <w:rPr>
                <w:b/>
                <w:i/>
              </w:rPr>
              <w:t xml:space="preserve">17 867 </w:t>
            </w:r>
            <w:r w:rsidR="00185587" w:rsidRPr="007E0E42">
              <w:rPr>
                <w:b/>
                <w:i/>
              </w:rPr>
              <w:t>862</w:t>
            </w:r>
          </w:p>
        </w:tc>
        <w:tc>
          <w:tcPr>
            <w:tcW w:w="1127" w:type="dxa"/>
            <w:tcBorders>
              <w:top w:val="single" w:sz="6" w:space="0" w:color="auto"/>
            </w:tcBorders>
          </w:tcPr>
          <w:p w14:paraId="28C151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i/>
              </w:rPr>
              <w:t>16 713 233</w:t>
            </w:r>
          </w:p>
        </w:tc>
      </w:tr>
      <w:tr w:rsidR="009D33A8" w14:paraId="782C1034" w14:textId="77777777">
        <w:tc>
          <w:tcPr>
            <w:cnfStyle w:val="001000000000" w:firstRow="0" w:lastRow="0" w:firstColumn="1" w:lastColumn="0" w:oddVBand="0" w:evenVBand="0" w:oddHBand="0" w:evenHBand="0" w:firstRowFirstColumn="0" w:firstRowLastColumn="0" w:lastRowFirstColumn="0" w:lastRowLastColumn="0"/>
            <w:tcW w:w="6509" w:type="dxa"/>
            <w:tcBorders>
              <w:bottom w:val="single" w:sz="6" w:space="0" w:color="auto"/>
            </w:tcBorders>
          </w:tcPr>
          <w:p w14:paraId="5DC646FF" w14:textId="77777777" w:rsidR="009D33A8" w:rsidRDefault="009D33A8">
            <w:r>
              <w:rPr>
                <w:i/>
              </w:rPr>
              <w:t>less applied appropriations unspent at the beginning of year</w:t>
            </w:r>
          </w:p>
        </w:tc>
        <w:tc>
          <w:tcPr>
            <w:tcW w:w="854" w:type="dxa"/>
            <w:tcBorders>
              <w:bottom w:val="single" w:sz="6" w:space="0" w:color="auto"/>
            </w:tcBorders>
          </w:tcPr>
          <w:p w14:paraId="1A9E94BB"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bottom w:val="single" w:sz="6" w:space="0" w:color="auto"/>
            </w:tcBorders>
          </w:tcPr>
          <w:p w14:paraId="50BC999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i/>
              </w:rPr>
              <w:t>(16 507 729)</w:t>
            </w:r>
          </w:p>
        </w:tc>
        <w:tc>
          <w:tcPr>
            <w:tcW w:w="1127" w:type="dxa"/>
            <w:tcBorders>
              <w:bottom w:val="single" w:sz="6" w:space="0" w:color="auto"/>
            </w:tcBorders>
          </w:tcPr>
          <w:p w14:paraId="6E5CC63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i/>
              </w:rPr>
              <w:t>(14 978 458)</w:t>
            </w:r>
          </w:p>
        </w:tc>
      </w:tr>
      <w:tr w:rsidR="009D33A8" w14:paraId="728D00AD" w14:textId="77777777">
        <w:tc>
          <w:tcPr>
            <w:cnfStyle w:val="001000000000" w:firstRow="0" w:lastRow="0" w:firstColumn="1" w:lastColumn="0" w:oddVBand="0" w:evenVBand="0" w:oddHBand="0" w:evenHBand="0" w:firstRowFirstColumn="0" w:firstRowLastColumn="0" w:lastRowFirstColumn="0" w:lastRowLastColumn="0"/>
            <w:tcW w:w="6509" w:type="dxa"/>
            <w:tcBorders>
              <w:top w:val="single" w:sz="6" w:space="0" w:color="auto"/>
              <w:bottom w:val="single" w:sz="12" w:space="0" w:color="auto"/>
            </w:tcBorders>
          </w:tcPr>
          <w:p w14:paraId="4D7682F7" w14:textId="77777777" w:rsidR="009D33A8" w:rsidRDefault="009D33A8">
            <w:r>
              <w:rPr>
                <w:b/>
                <w:i/>
              </w:rPr>
              <w:t xml:space="preserve">   Current year appropriations remaining unspent as at 30 June</w:t>
            </w:r>
            <w:r>
              <w:rPr>
                <w:b/>
                <w:i/>
                <w:vertAlign w:val="superscript"/>
              </w:rPr>
              <w:t xml:space="preserve"> </w:t>
            </w:r>
            <w:r w:rsidRPr="00722304">
              <w:rPr>
                <w:b/>
                <w:i/>
                <w:vertAlign w:val="superscript"/>
              </w:rPr>
              <w:t>(b)</w:t>
            </w:r>
          </w:p>
        </w:tc>
        <w:tc>
          <w:tcPr>
            <w:tcW w:w="854" w:type="dxa"/>
            <w:tcBorders>
              <w:top w:val="single" w:sz="6" w:space="0" w:color="auto"/>
              <w:bottom w:val="single" w:sz="12" w:space="0" w:color="auto"/>
            </w:tcBorders>
          </w:tcPr>
          <w:p w14:paraId="568B231B" w14:textId="77777777" w:rsidR="009D33A8" w:rsidRDefault="009D33A8">
            <w:pPr>
              <w:jc w:val="center"/>
              <w:cnfStyle w:val="000000000000" w:firstRow="0" w:lastRow="0" w:firstColumn="0" w:lastColumn="0" w:oddVBand="0" w:evenVBand="0" w:oddHBand="0" w:evenHBand="0" w:firstRowFirstColumn="0" w:firstRowLastColumn="0" w:lastRowFirstColumn="0" w:lastRowLastColumn="0"/>
            </w:pPr>
          </w:p>
        </w:tc>
        <w:tc>
          <w:tcPr>
            <w:tcW w:w="1148" w:type="dxa"/>
            <w:tcBorders>
              <w:top w:val="single" w:sz="6" w:space="0" w:color="auto"/>
              <w:bottom w:val="single" w:sz="12" w:space="0" w:color="auto"/>
            </w:tcBorders>
          </w:tcPr>
          <w:p w14:paraId="32CEB9CC" w14:textId="0B8145C5" w:rsidR="009D33A8" w:rsidRDefault="009D33A8">
            <w:pPr>
              <w:cnfStyle w:val="000000000000" w:firstRow="0" w:lastRow="0" w:firstColumn="0" w:lastColumn="0" w:oddVBand="0" w:evenVBand="0" w:oddHBand="0" w:evenHBand="0" w:firstRowFirstColumn="0" w:firstRowLastColumn="0" w:lastRowFirstColumn="0" w:lastRowLastColumn="0"/>
            </w:pPr>
            <w:r w:rsidRPr="007E0E42">
              <w:rPr>
                <w:b/>
                <w:i/>
              </w:rPr>
              <w:t>1 3</w:t>
            </w:r>
            <w:r w:rsidR="00185587" w:rsidRPr="007E0E42">
              <w:rPr>
                <w:b/>
                <w:i/>
              </w:rPr>
              <w:t>60</w:t>
            </w:r>
            <w:r w:rsidRPr="007E0E42">
              <w:rPr>
                <w:b/>
                <w:i/>
              </w:rPr>
              <w:t xml:space="preserve"> </w:t>
            </w:r>
            <w:r w:rsidR="00185587" w:rsidRPr="007E0E42">
              <w:rPr>
                <w:b/>
                <w:i/>
              </w:rPr>
              <w:t>134</w:t>
            </w:r>
          </w:p>
        </w:tc>
        <w:tc>
          <w:tcPr>
            <w:tcW w:w="1127" w:type="dxa"/>
            <w:tcBorders>
              <w:top w:val="single" w:sz="6" w:space="0" w:color="auto"/>
              <w:bottom w:val="single" w:sz="12" w:space="0" w:color="auto"/>
            </w:tcBorders>
          </w:tcPr>
          <w:p w14:paraId="3FBA8BA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i/>
              </w:rPr>
              <w:t>1 734 775</w:t>
            </w:r>
          </w:p>
        </w:tc>
      </w:tr>
    </w:tbl>
    <w:p w14:paraId="265FD9B8" w14:textId="77777777" w:rsidR="009D33A8" w:rsidRPr="00790B81" w:rsidRDefault="009D33A8" w:rsidP="009D33A8">
      <w:pPr>
        <w:pStyle w:val="Note"/>
      </w:pPr>
      <w:r w:rsidRPr="00790B81">
        <w:t>Note</w:t>
      </w:r>
      <w:r>
        <w:t>s</w:t>
      </w:r>
      <w:r w:rsidRPr="00790B81">
        <w:t>:</w:t>
      </w:r>
    </w:p>
    <w:p w14:paraId="46303ED6" w14:textId="77777777" w:rsidR="009D33A8" w:rsidRDefault="009D33A8" w:rsidP="009D33A8">
      <w:pPr>
        <w:pStyle w:val="Note"/>
      </w:pPr>
      <w:r>
        <w:t>(a)</w:t>
      </w:r>
      <w:r>
        <w:tab/>
        <w:t>The 2023-24 figures have been reclassified between Taxation and Other receipts to more accurately reflect the nature of the receipts.</w:t>
      </w:r>
    </w:p>
    <w:p w14:paraId="43E76D29" w14:textId="77777777" w:rsidR="009D33A8" w:rsidRPr="007F52D7" w:rsidRDefault="009D33A8" w:rsidP="009D33A8">
      <w:pPr>
        <w:pStyle w:val="Note"/>
      </w:pPr>
      <w:r>
        <w:t>(b)</w:t>
      </w:r>
      <w:r>
        <w:tab/>
        <w:t>The 2024 figures have been restated to reflect more current information.</w:t>
      </w:r>
    </w:p>
    <w:p w14:paraId="20539A6F" w14:textId="77777777" w:rsidR="009D33A8" w:rsidRDefault="009D33A8" w:rsidP="009D33A8">
      <w:pPr>
        <w:pStyle w:val="Note"/>
      </w:pPr>
      <w:r>
        <w:t>(c)</w:t>
      </w:r>
      <w:r>
        <w:tab/>
      </w:r>
      <w:r w:rsidRPr="000D4E8D">
        <w:t xml:space="preserve">The presentation of this balance will be reassessed as part of the </w:t>
      </w:r>
      <w:r w:rsidRPr="009D53AB">
        <w:t xml:space="preserve">2025-26 </w:t>
      </w:r>
      <w:r w:rsidRPr="008E0448">
        <w:rPr>
          <w:i w:val="0"/>
          <w:iCs/>
        </w:rPr>
        <w:t>Annual Financial Report</w:t>
      </w:r>
      <w:r w:rsidRPr="000D4E8D">
        <w:t xml:space="preserve"> to ensure it most appropriately reflects the FMA framework application of payments from advances.</w:t>
      </w:r>
    </w:p>
    <w:p w14:paraId="42585450" w14:textId="77777777" w:rsidR="009D33A8" w:rsidRPr="007F52D7" w:rsidRDefault="009D33A8" w:rsidP="009D33A8">
      <w:pPr>
        <w:pStyle w:val="Note"/>
      </w:pPr>
      <w:r>
        <w:t>(d)</w:t>
      </w:r>
      <w:r>
        <w:tab/>
        <w:t xml:space="preserve">The consolidated fund balance as at 30 June 2025 includes application of money from the trust fund to ensure that the consolidated fund has sufficient funds to meet appropriations as permitted </w:t>
      </w:r>
      <w:r w:rsidRPr="007D2526">
        <w:t>under section 3</w:t>
      </w:r>
      <w:r>
        <w:t>8</w:t>
      </w:r>
      <w:r w:rsidRPr="007D2526">
        <w:t>(1) of the</w:t>
      </w:r>
      <w:r>
        <w:t xml:space="preserve"> FMA. </w:t>
      </w:r>
    </w:p>
    <w:p w14:paraId="51A75F8C" w14:textId="77777777" w:rsidR="009D33A8" w:rsidRPr="007F52D7" w:rsidRDefault="009D33A8" w:rsidP="009D33A8">
      <w:pPr>
        <w:pStyle w:val="Note"/>
      </w:pPr>
    </w:p>
    <w:p w14:paraId="1D095993" w14:textId="77777777" w:rsidR="009D33A8" w:rsidRDefault="009D33A8" w:rsidP="009D33A8">
      <w:pPr>
        <w:pStyle w:val="Note"/>
      </w:pPr>
    </w:p>
    <w:p w14:paraId="0ABE1C78" w14:textId="77777777" w:rsidR="009D33A8" w:rsidRDefault="009D33A8" w:rsidP="009D33A8"/>
    <w:p w14:paraId="3A56E6AF" w14:textId="77777777" w:rsidR="009D33A8" w:rsidRPr="00D02FD2" w:rsidRDefault="009D33A8" w:rsidP="009D33A8"/>
    <w:p w14:paraId="32DC9F2B" w14:textId="77777777" w:rsidR="009D33A8" w:rsidRDefault="009D33A8" w:rsidP="009D33A8">
      <w:pPr>
        <w:keepLines w:val="0"/>
        <w:rPr>
          <w:rFonts w:asciiTheme="majorHAnsi" w:eastAsiaTheme="majorEastAsia" w:hAnsiTheme="majorHAnsi" w:cstheme="majorBidi"/>
          <w:b/>
          <w:sz w:val="23"/>
          <w:szCs w:val="24"/>
        </w:rPr>
      </w:pPr>
      <w:bookmarkStart w:id="137" w:name="_Toc114670291"/>
      <w:r>
        <w:br w:type="page"/>
      </w:r>
    </w:p>
    <w:p w14:paraId="54D2F50F" w14:textId="77777777" w:rsidR="009D33A8" w:rsidRDefault="009D33A8" w:rsidP="009D33A8">
      <w:pPr>
        <w:pStyle w:val="Heading3"/>
      </w:pPr>
      <w:bookmarkStart w:id="138" w:name="_Toc209479918"/>
      <w:r>
        <w:lastRenderedPageBreak/>
        <w:t>7.2.2</w:t>
      </w:r>
      <w:r>
        <w:tab/>
      </w:r>
      <w:r w:rsidRPr="00B41213">
        <w:t>Consolidated</w:t>
      </w:r>
      <w:r w:rsidRPr="007B2989">
        <w:t xml:space="preserve"> fund receipts for the financial year ended 30 </w:t>
      </w:r>
      <w:r w:rsidRPr="00E268EA">
        <w:t xml:space="preserve">June </w:t>
      </w:r>
      <w:r w:rsidRPr="00D02FD2">
        <w:rPr>
          <w:vertAlign w:val="superscript"/>
        </w:rPr>
        <w:tab/>
      </w:r>
      <w:r w:rsidRPr="004269AE">
        <w:rPr>
          <w:sz w:val="20"/>
          <w:szCs w:val="20"/>
        </w:rPr>
        <w:t>($ thousand)</w:t>
      </w:r>
      <w:bookmarkEnd w:id="137"/>
      <w:bookmarkEnd w:id="138"/>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receipts|LastRow:66"/>
      </w:tblPr>
      <w:tblGrid>
        <w:gridCol w:w="6237"/>
        <w:gridCol w:w="1133"/>
        <w:gridCol w:w="1134"/>
        <w:gridCol w:w="1134"/>
      </w:tblGrid>
      <w:tr w:rsidR="009D33A8" w14:paraId="4E2866F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3C102262" w14:textId="77777777" w:rsidR="009D33A8" w:rsidRDefault="009D33A8">
            <w:pPr>
              <w:keepNext/>
              <w:spacing w:after="0"/>
            </w:pPr>
          </w:p>
        </w:tc>
        <w:tc>
          <w:tcPr>
            <w:tcW w:w="1133" w:type="dxa"/>
          </w:tcPr>
          <w:p w14:paraId="5203CC96"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Published budget</w:t>
            </w:r>
          </w:p>
        </w:tc>
        <w:tc>
          <w:tcPr>
            <w:tcW w:w="1134" w:type="dxa"/>
          </w:tcPr>
          <w:p w14:paraId="76CC7F2A"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Actual</w:t>
            </w:r>
          </w:p>
        </w:tc>
        <w:tc>
          <w:tcPr>
            <w:tcW w:w="1134" w:type="dxa"/>
          </w:tcPr>
          <w:p w14:paraId="1E3764F2"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Actual</w:t>
            </w:r>
          </w:p>
        </w:tc>
      </w:tr>
      <w:tr w:rsidR="009D33A8" w14:paraId="7345C80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7F02DD68" w14:textId="77777777" w:rsidR="009D33A8" w:rsidRDefault="009D33A8">
            <w:pPr>
              <w:keepNext/>
              <w:spacing w:after="0"/>
            </w:pPr>
          </w:p>
        </w:tc>
        <w:tc>
          <w:tcPr>
            <w:tcW w:w="1133" w:type="dxa"/>
          </w:tcPr>
          <w:p w14:paraId="2BF4CA28"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68FC1F3E"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2B478F00" w14:textId="77777777" w:rsidR="009D33A8" w:rsidRDefault="009D33A8">
            <w:pPr>
              <w:keepNext/>
              <w:spacing w:after="0"/>
              <w:cnfStyle w:val="100000000000" w:firstRow="1" w:lastRow="0" w:firstColumn="0" w:lastColumn="0" w:oddVBand="0" w:evenVBand="0" w:oddHBand="0" w:evenHBand="0" w:firstRowFirstColumn="0" w:firstRowLastColumn="0" w:lastRowFirstColumn="0" w:lastRowLastColumn="0"/>
            </w:pPr>
            <w:r>
              <w:t>2024</w:t>
            </w:r>
          </w:p>
        </w:tc>
      </w:tr>
      <w:tr w:rsidR="009D33A8" w14:paraId="15926272" w14:textId="77777777">
        <w:tc>
          <w:tcPr>
            <w:cnfStyle w:val="001000000000" w:firstRow="0" w:lastRow="0" w:firstColumn="1" w:lastColumn="0" w:oddVBand="0" w:evenVBand="0" w:oddHBand="0" w:evenHBand="0" w:firstRowFirstColumn="0" w:firstRowLastColumn="0" w:lastRowFirstColumn="0" w:lastRowLastColumn="0"/>
            <w:tcW w:w="6237" w:type="dxa"/>
          </w:tcPr>
          <w:p w14:paraId="57182E0E" w14:textId="77777777" w:rsidR="009D33A8" w:rsidRDefault="009D33A8">
            <w:pPr>
              <w:spacing w:after="0"/>
            </w:pPr>
            <w:r>
              <w:rPr>
                <w:b/>
              </w:rPr>
              <w:t>Operating activities</w:t>
            </w:r>
          </w:p>
        </w:tc>
        <w:tc>
          <w:tcPr>
            <w:tcW w:w="1133" w:type="dxa"/>
          </w:tcPr>
          <w:p w14:paraId="55ABA3D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34B8E69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3472076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1A3FFD9D" w14:textId="77777777">
        <w:tc>
          <w:tcPr>
            <w:cnfStyle w:val="001000000000" w:firstRow="0" w:lastRow="0" w:firstColumn="1" w:lastColumn="0" w:oddVBand="0" w:evenVBand="0" w:oddHBand="0" w:evenHBand="0" w:firstRowFirstColumn="0" w:firstRowLastColumn="0" w:lastRowFirstColumn="0" w:lastRowLastColumn="0"/>
            <w:tcW w:w="6237" w:type="dxa"/>
          </w:tcPr>
          <w:p w14:paraId="2BD75E19" w14:textId="77777777" w:rsidR="009D33A8" w:rsidRDefault="009D33A8">
            <w:pPr>
              <w:spacing w:after="0"/>
            </w:pPr>
            <w:r>
              <w:rPr>
                <w:b/>
              </w:rPr>
              <w:t>Taxation</w:t>
            </w:r>
          </w:p>
        </w:tc>
        <w:tc>
          <w:tcPr>
            <w:tcW w:w="1133" w:type="dxa"/>
          </w:tcPr>
          <w:p w14:paraId="00419E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70750CE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557C3D1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D8C0D9C" w14:textId="77777777">
        <w:tc>
          <w:tcPr>
            <w:cnfStyle w:val="001000000000" w:firstRow="0" w:lastRow="0" w:firstColumn="1" w:lastColumn="0" w:oddVBand="0" w:evenVBand="0" w:oddHBand="0" w:evenHBand="0" w:firstRowFirstColumn="0" w:firstRowLastColumn="0" w:lastRowFirstColumn="0" w:lastRowLastColumn="0"/>
            <w:tcW w:w="6237" w:type="dxa"/>
          </w:tcPr>
          <w:p w14:paraId="23F11F3E" w14:textId="77777777" w:rsidR="009D33A8" w:rsidRDefault="009D33A8">
            <w:pPr>
              <w:spacing w:after="0"/>
            </w:pPr>
            <w:r>
              <w:t>Payroll tax</w:t>
            </w:r>
          </w:p>
        </w:tc>
        <w:tc>
          <w:tcPr>
            <w:tcW w:w="1133" w:type="dxa"/>
          </w:tcPr>
          <w:p w14:paraId="744851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10 046 244</w:t>
            </w:r>
          </w:p>
        </w:tc>
        <w:tc>
          <w:tcPr>
            <w:tcW w:w="1134" w:type="dxa"/>
          </w:tcPr>
          <w:p w14:paraId="157091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10 399 819</w:t>
            </w:r>
          </w:p>
        </w:tc>
        <w:tc>
          <w:tcPr>
            <w:tcW w:w="1134" w:type="dxa"/>
          </w:tcPr>
          <w:p w14:paraId="1A9C699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9 773 413</w:t>
            </w:r>
          </w:p>
        </w:tc>
      </w:tr>
      <w:tr w:rsidR="009D33A8" w14:paraId="44E878EE" w14:textId="77777777">
        <w:tc>
          <w:tcPr>
            <w:cnfStyle w:val="001000000000" w:firstRow="0" w:lastRow="0" w:firstColumn="1" w:lastColumn="0" w:oddVBand="0" w:evenVBand="0" w:oddHBand="0" w:evenHBand="0" w:firstRowFirstColumn="0" w:firstRowLastColumn="0" w:lastRowFirstColumn="0" w:lastRowLastColumn="0"/>
            <w:tcW w:w="6237" w:type="dxa"/>
          </w:tcPr>
          <w:p w14:paraId="00F3239E" w14:textId="77777777" w:rsidR="009D33A8" w:rsidRDefault="009D33A8">
            <w:pPr>
              <w:spacing w:after="0"/>
            </w:pPr>
            <w:r>
              <w:t>COVID Debt Levy – Payroll $10m+</w:t>
            </w:r>
          </w:p>
        </w:tc>
        <w:tc>
          <w:tcPr>
            <w:tcW w:w="1133" w:type="dxa"/>
          </w:tcPr>
          <w:p w14:paraId="0AAA27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1 220 256</w:t>
            </w:r>
          </w:p>
        </w:tc>
        <w:tc>
          <w:tcPr>
            <w:tcW w:w="1134" w:type="dxa"/>
          </w:tcPr>
          <w:p w14:paraId="3CB2E36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1 254 350</w:t>
            </w:r>
          </w:p>
        </w:tc>
        <w:tc>
          <w:tcPr>
            <w:tcW w:w="1134" w:type="dxa"/>
          </w:tcPr>
          <w:p w14:paraId="35CAEC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1 056 842</w:t>
            </w:r>
          </w:p>
        </w:tc>
      </w:tr>
      <w:tr w:rsidR="009D33A8" w14:paraId="1FF0EBB0" w14:textId="77777777">
        <w:tc>
          <w:tcPr>
            <w:cnfStyle w:val="001000000000" w:firstRow="0" w:lastRow="0" w:firstColumn="1" w:lastColumn="0" w:oddVBand="0" w:evenVBand="0" w:oddHBand="0" w:evenHBand="0" w:firstRowFirstColumn="0" w:firstRowLastColumn="0" w:lastRowFirstColumn="0" w:lastRowLastColumn="0"/>
            <w:tcW w:w="6237" w:type="dxa"/>
          </w:tcPr>
          <w:p w14:paraId="257428BD" w14:textId="77777777" w:rsidR="009D33A8" w:rsidRDefault="009D33A8">
            <w:pPr>
              <w:spacing w:after="0"/>
            </w:pPr>
            <w:r>
              <w:t>Mental Health and Wellbeing Levy</w:t>
            </w:r>
          </w:p>
        </w:tc>
        <w:tc>
          <w:tcPr>
            <w:tcW w:w="1133" w:type="dxa"/>
          </w:tcPr>
          <w:p w14:paraId="744BB22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1 220 475</w:t>
            </w:r>
          </w:p>
        </w:tc>
        <w:tc>
          <w:tcPr>
            <w:tcW w:w="1134" w:type="dxa"/>
          </w:tcPr>
          <w:p w14:paraId="16FF482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1 259 212</w:t>
            </w:r>
          </w:p>
        </w:tc>
        <w:tc>
          <w:tcPr>
            <w:tcW w:w="1134" w:type="dxa"/>
          </w:tcPr>
          <w:p w14:paraId="5A80F2D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1 200 575</w:t>
            </w:r>
          </w:p>
        </w:tc>
      </w:tr>
      <w:tr w:rsidR="009D33A8" w14:paraId="3A48357F" w14:textId="77777777">
        <w:tc>
          <w:tcPr>
            <w:cnfStyle w:val="001000000000" w:firstRow="0" w:lastRow="0" w:firstColumn="1" w:lastColumn="0" w:oddVBand="0" w:evenVBand="0" w:oddHBand="0" w:evenHBand="0" w:firstRowFirstColumn="0" w:firstRowLastColumn="0" w:lastRowFirstColumn="0" w:lastRowLastColumn="0"/>
            <w:tcW w:w="6237" w:type="dxa"/>
          </w:tcPr>
          <w:p w14:paraId="788E80A6" w14:textId="77777777" w:rsidR="009D33A8" w:rsidRDefault="009D33A8">
            <w:pPr>
              <w:spacing w:after="0"/>
            </w:pPr>
            <w:r>
              <w:t>Land tax</w:t>
            </w:r>
          </w:p>
        </w:tc>
        <w:tc>
          <w:tcPr>
            <w:tcW w:w="1133" w:type="dxa"/>
          </w:tcPr>
          <w:p w14:paraId="0DEA459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6 271 009</w:t>
            </w:r>
          </w:p>
        </w:tc>
        <w:tc>
          <w:tcPr>
            <w:tcW w:w="1134" w:type="dxa"/>
          </w:tcPr>
          <w:p w14:paraId="6F7D3B5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6 574 192</w:t>
            </w:r>
          </w:p>
        </w:tc>
        <w:tc>
          <w:tcPr>
            <w:tcW w:w="1134" w:type="dxa"/>
          </w:tcPr>
          <w:p w14:paraId="3259CE3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5 813 511</w:t>
            </w:r>
          </w:p>
        </w:tc>
      </w:tr>
      <w:tr w:rsidR="009D33A8" w14:paraId="0FDDD478" w14:textId="77777777">
        <w:tc>
          <w:tcPr>
            <w:cnfStyle w:val="001000000000" w:firstRow="0" w:lastRow="0" w:firstColumn="1" w:lastColumn="0" w:oddVBand="0" w:evenVBand="0" w:oddHBand="0" w:evenHBand="0" w:firstRowFirstColumn="0" w:firstRowLastColumn="0" w:lastRowFirstColumn="0" w:lastRowLastColumn="0"/>
            <w:tcW w:w="6237" w:type="dxa"/>
          </w:tcPr>
          <w:p w14:paraId="7F392119" w14:textId="77777777" w:rsidR="009D33A8" w:rsidRDefault="009D33A8">
            <w:pPr>
              <w:spacing w:after="0"/>
            </w:pPr>
            <w:r>
              <w:t>COVID Debt Levy – Landholdings</w:t>
            </w:r>
          </w:p>
        </w:tc>
        <w:tc>
          <w:tcPr>
            <w:tcW w:w="1133" w:type="dxa"/>
          </w:tcPr>
          <w:p w14:paraId="4DB7C5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1 207 614</w:t>
            </w:r>
          </w:p>
        </w:tc>
        <w:tc>
          <w:tcPr>
            <w:tcW w:w="1134" w:type="dxa"/>
          </w:tcPr>
          <w:p w14:paraId="1E293DF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1 344 775</w:t>
            </w:r>
          </w:p>
        </w:tc>
        <w:tc>
          <w:tcPr>
            <w:tcW w:w="1134" w:type="dxa"/>
          </w:tcPr>
          <w:p w14:paraId="2F3B454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468 224</w:t>
            </w:r>
          </w:p>
        </w:tc>
      </w:tr>
      <w:tr w:rsidR="009D33A8" w14:paraId="6A9F8DC8" w14:textId="77777777">
        <w:tc>
          <w:tcPr>
            <w:cnfStyle w:val="001000000000" w:firstRow="0" w:lastRow="0" w:firstColumn="1" w:lastColumn="0" w:oddVBand="0" w:evenVBand="0" w:oddHBand="0" w:evenHBand="0" w:firstRowFirstColumn="0" w:firstRowLastColumn="0" w:lastRowFirstColumn="0" w:lastRowLastColumn="0"/>
            <w:tcW w:w="6237" w:type="dxa"/>
          </w:tcPr>
          <w:p w14:paraId="4C2CB5FE" w14:textId="77777777" w:rsidR="009D33A8" w:rsidRDefault="009D33A8">
            <w:pPr>
              <w:spacing w:after="0"/>
            </w:pPr>
            <w:r>
              <w:t>Fire Services Property Levy</w:t>
            </w:r>
          </w:p>
        </w:tc>
        <w:tc>
          <w:tcPr>
            <w:tcW w:w="1133" w:type="dxa"/>
          </w:tcPr>
          <w:p w14:paraId="6A4EA62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1 032 636</w:t>
            </w:r>
          </w:p>
        </w:tc>
        <w:tc>
          <w:tcPr>
            <w:tcW w:w="1134" w:type="dxa"/>
          </w:tcPr>
          <w:p w14:paraId="664991B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1 030 812</w:t>
            </w:r>
          </w:p>
        </w:tc>
        <w:tc>
          <w:tcPr>
            <w:tcW w:w="1134" w:type="dxa"/>
          </w:tcPr>
          <w:p w14:paraId="2F6902D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839 496</w:t>
            </w:r>
          </w:p>
        </w:tc>
      </w:tr>
      <w:tr w:rsidR="009D33A8" w14:paraId="62069B01" w14:textId="77777777">
        <w:tc>
          <w:tcPr>
            <w:cnfStyle w:val="001000000000" w:firstRow="0" w:lastRow="0" w:firstColumn="1" w:lastColumn="0" w:oddVBand="0" w:evenVBand="0" w:oddHBand="0" w:evenHBand="0" w:firstRowFirstColumn="0" w:firstRowLastColumn="0" w:lastRowFirstColumn="0" w:lastRowLastColumn="0"/>
            <w:tcW w:w="6237" w:type="dxa"/>
          </w:tcPr>
          <w:p w14:paraId="060F2606" w14:textId="77777777" w:rsidR="009D33A8" w:rsidRDefault="009D33A8">
            <w:pPr>
              <w:spacing w:after="0"/>
            </w:pPr>
            <w:r>
              <w:t>Windfall gains tax</w:t>
            </w:r>
          </w:p>
        </w:tc>
        <w:tc>
          <w:tcPr>
            <w:tcW w:w="1133" w:type="dxa"/>
          </w:tcPr>
          <w:p w14:paraId="0E326B0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27 260</w:t>
            </w:r>
          </w:p>
        </w:tc>
        <w:tc>
          <w:tcPr>
            <w:tcW w:w="1134" w:type="dxa"/>
          </w:tcPr>
          <w:p w14:paraId="3F40C3E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2 286</w:t>
            </w:r>
          </w:p>
        </w:tc>
        <w:tc>
          <w:tcPr>
            <w:tcW w:w="1134" w:type="dxa"/>
          </w:tcPr>
          <w:p w14:paraId="32A794D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7 543</w:t>
            </w:r>
          </w:p>
        </w:tc>
      </w:tr>
      <w:tr w:rsidR="009D33A8" w14:paraId="0CF019FC" w14:textId="77777777">
        <w:tc>
          <w:tcPr>
            <w:cnfStyle w:val="001000000000" w:firstRow="0" w:lastRow="0" w:firstColumn="1" w:lastColumn="0" w:oddVBand="0" w:evenVBand="0" w:oddHBand="0" w:evenHBand="0" w:firstRowFirstColumn="0" w:firstRowLastColumn="0" w:lastRowFirstColumn="0" w:lastRowLastColumn="0"/>
            <w:tcW w:w="6237" w:type="dxa"/>
          </w:tcPr>
          <w:p w14:paraId="32756276" w14:textId="77777777" w:rsidR="009D33A8" w:rsidRDefault="009D33A8">
            <w:pPr>
              <w:spacing w:after="0"/>
            </w:pPr>
            <w:r>
              <w:t>Congestion levy</w:t>
            </w:r>
          </w:p>
        </w:tc>
        <w:tc>
          <w:tcPr>
            <w:tcW w:w="1133" w:type="dxa"/>
          </w:tcPr>
          <w:p w14:paraId="5C4F0E5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118 124</w:t>
            </w:r>
          </w:p>
        </w:tc>
        <w:tc>
          <w:tcPr>
            <w:tcW w:w="1134" w:type="dxa"/>
          </w:tcPr>
          <w:p w14:paraId="5FE56E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114 703</w:t>
            </w:r>
          </w:p>
        </w:tc>
        <w:tc>
          <w:tcPr>
            <w:tcW w:w="1134" w:type="dxa"/>
          </w:tcPr>
          <w:p w14:paraId="7FD0EB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126 295</w:t>
            </w:r>
          </w:p>
        </w:tc>
      </w:tr>
      <w:tr w:rsidR="009D33A8" w14:paraId="36DDFB2E" w14:textId="77777777">
        <w:tc>
          <w:tcPr>
            <w:cnfStyle w:val="001000000000" w:firstRow="0" w:lastRow="0" w:firstColumn="1" w:lastColumn="0" w:oddVBand="0" w:evenVBand="0" w:oddHBand="0" w:evenHBand="0" w:firstRowFirstColumn="0" w:firstRowLastColumn="0" w:lastRowFirstColumn="0" w:lastRowLastColumn="0"/>
            <w:tcW w:w="6237" w:type="dxa"/>
          </w:tcPr>
          <w:p w14:paraId="7221A319" w14:textId="77777777" w:rsidR="009D33A8" w:rsidRDefault="009D33A8">
            <w:pPr>
              <w:spacing w:after="0"/>
            </w:pPr>
            <w:r>
              <w:rPr>
                <w:b/>
              </w:rPr>
              <w:t>Financial and capital transactions</w:t>
            </w:r>
          </w:p>
        </w:tc>
        <w:tc>
          <w:tcPr>
            <w:tcW w:w="1133" w:type="dxa"/>
          </w:tcPr>
          <w:p w14:paraId="0F7AEC0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79BD520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6F01E5E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0F0D0D7" w14:textId="77777777">
        <w:tc>
          <w:tcPr>
            <w:cnfStyle w:val="001000000000" w:firstRow="0" w:lastRow="0" w:firstColumn="1" w:lastColumn="0" w:oddVBand="0" w:evenVBand="0" w:oddHBand="0" w:evenHBand="0" w:firstRowFirstColumn="0" w:firstRowLastColumn="0" w:lastRowFirstColumn="0" w:lastRowLastColumn="0"/>
            <w:tcW w:w="6237" w:type="dxa"/>
          </w:tcPr>
          <w:p w14:paraId="7CF9DDF6" w14:textId="77777777" w:rsidR="009D33A8" w:rsidRDefault="009D33A8">
            <w:pPr>
              <w:spacing w:after="0"/>
            </w:pPr>
            <w:r>
              <w:t>Land transfer duty</w:t>
            </w:r>
          </w:p>
        </w:tc>
        <w:tc>
          <w:tcPr>
            <w:tcW w:w="1133" w:type="dxa"/>
          </w:tcPr>
          <w:p w14:paraId="18C526C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8 533 898</w:t>
            </w:r>
          </w:p>
        </w:tc>
        <w:tc>
          <w:tcPr>
            <w:tcW w:w="1134" w:type="dxa"/>
          </w:tcPr>
          <w:p w14:paraId="5E6E207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9 302 113</w:t>
            </w:r>
          </w:p>
        </w:tc>
        <w:tc>
          <w:tcPr>
            <w:tcW w:w="1134" w:type="dxa"/>
          </w:tcPr>
          <w:p w14:paraId="41E09CE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8 375 491</w:t>
            </w:r>
          </w:p>
        </w:tc>
      </w:tr>
      <w:tr w:rsidR="009D33A8" w14:paraId="508B417C" w14:textId="77777777">
        <w:tc>
          <w:tcPr>
            <w:cnfStyle w:val="001000000000" w:firstRow="0" w:lastRow="0" w:firstColumn="1" w:lastColumn="0" w:oddVBand="0" w:evenVBand="0" w:oddHBand="0" w:evenHBand="0" w:firstRowFirstColumn="0" w:firstRowLastColumn="0" w:lastRowFirstColumn="0" w:lastRowLastColumn="0"/>
            <w:tcW w:w="6237" w:type="dxa"/>
          </w:tcPr>
          <w:p w14:paraId="1188B069" w14:textId="77777777" w:rsidR="009D33A8" w:rsidRDefault="009D33A8">
            <w:pPr>
              <w:spacing w:after="0"/>
            </w:pPr>
            <w:r>
              <w:t>Other property duties</w:t>
            </w:r>
          </w:p>
        </w:tc>
        <w:tc>
          <w:tcPr>
            <w:tcW w:w="1133" w:type="dxa"/>
          </w:tcPr>
          <w:p w14:paraId="43E459A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w:t>
            </w:r>
          </w:p>
        </w:tc>
        <w:tc>
          <w:tcPr>
            <w:tcW w:w="1134" w:type="dxa"/>
          </w:tcPr>
          <w:p w14:paraId="2A4F32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5 255</w:t>
            </w:r>
          </w:p>
        </w:tc>
        <w:tc>
          <w:tcPr>
            <w:tcW w:w="1134" w:type="dxa"/>
          </w:tcPr>
          <w:p w14:paraId="3B5BEC7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71</w:t>
            </w:r>
          </w:p>
        </w:tc>
      </w:tr>
      <w:tr w:rsidR="009D33A8" w14:paraId="33983F98" w14:textId="77777777">
        <w:tc>
          <w:tcPr>
            <w:cnfStyle w:val="001000000000" w:firstRow="0" w:lastRow="0" w:firstColumn="1" w:lastColumn="0" w:oddVBand="0" w:evenVBand="0" w:oddHBand="0" w:evenHBand="0" w:firstRowFirstColumn="0" w:firstRowLastColumn="0" w:lastRowFirstColumn="0" w:lastRowLastColumn="0"/>
            <w:tcW w:w="6237" w:type="dxa"/>
          </w:tcPr>
          <w:p w14:paraId="095C0AFE" w14:textId="77777777" w:rsidR="009D33A8" w:rsidRDefault="009D33A8">
            <w:pPr>
              <w:spacing w:after="0"/>
            </w:pPr>
            <w:r>
              <w:t>Metropolitan Planning Levy</w:t>
            </w:r>
          </w:p>
        </w:tc>
        <w:tc>
          <w:tcPr>
            <w:tcW w:w="1133" w:type="dxa"/>
          </w:tcPr>
          <w:p w14:paraId="2B1E56B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21 161</w:t>
            </w:r>
          </w:p>
        </w:tc>
        <w:tc>
          <w:tcPr>
            <w:tcW w:w="1134" w:type="dxa"/>
          </w:tcPr>
          <w:p w14:paraId="45F0826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24 239</w:t>
            </w:r>
          </w:p>
        </w:tc>
        <w:tc>
          <w:tcPr>
            <w:tcW w:w="1134" w:type="dxa"/>
          </w:tcPr>
          <w:p w14:paraId="36C80C9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19 793</w:t>
            </w:r>
          </w:p>
        </w:tc>
      </w:tr>
      <w:tr w:rsidR="009D33A8" w14:paraId="1F18BEB4" w14:textId="77777777">
        <w:tc>
          <w:tcPr>
            <w:cnfStyle w:val="001000000000" w:firstRow="0" w:lastRow="0" w:firstColumn="1" w:lastColumn="0" w:oddVBand="0" w:evenVBand="0" w:oddHBand="0" w:evenHBand="0" w:firstRowFirstColumn="0" w:firstRowLastColumn="0" w:lastRowFirstColumn="0" w:lastRowLastColumn="0"/>
            <w:tcW w:w="6237" w:type="dxa"/>
          </w:tcPr>
          <w:p w14:paraId="72CC8747" w14:textId="77777777" w:rsidR="009D33A8" w:rsidRDefault="009D33A8">
            <w:pPr>
              <w:spacing w:after="0"/>
            </w:pPr>
            <w:r>
              <w:t>Financial accommodation levy</w:t>
            </w:r>
          </w:p>
        </w:tc>
        <w:tc>
          <w:tcPr>
            <w:tcW w:w="1133" w:type="dxa"/>
          </w:tcPr>
          <w:p w14:paraId="2B6E9F9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206 501</w:t>
            </w:r>
          </w:p>
        </w:tc>
        <w:tc>
          <w:tcPr>
            <w:tcW w:w="1134" w:type="dxa"/>
          </w:tcPr>
          <w:p w14:paraId="4DEC190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190 176</w:t>
            </w:r>
          </w:p>
        </w:tc>
        <w:tc>
          <w:tcPr>
            <w:tcW w:w="1134" w:type="dxa"/>
          </w:tcPr>
          <w:p w14:paraId="7588E07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165 557</w:t>
            </w:r>
          </w:p>
        </w:tc>
      </w:tr>
      <w:tr w:rsidR="009D33A8" w14:paraId="10E494BD" w14:textId="77777777">
        <w:tc>
          <w:tcPr>
            <w:cnfStyle w:val="001000000000" w:firstRow="0" w:lastRow="0" w:firstColumn="1" w:lastColumn="0" w:oddVBand="0" w:evenVBand="0" w:oddHBand="0" w:evenHBand="0" w:firstRowFirstColumn="0" w:firstRowLastColumn="0" w:lastRowFirstColumn="0" w:lastRowLastColumn="0"/>
            <w:tcW w:w="6237" w:type="dxa"/>
          </w:tcPr>
          <w:p w14:paraId="1358C826" w14:textId="77777777" w:rsidR="009D33A8" w:rsidRDefault="009D33A8">
            <w:pPr>
              <w:spacing w:after="0"/>
            </w:pPr>
            <w:r>
              <w:t>Growth areas infrastructure contribution</w:t>
            </w:r>
          </w:p>
        </w:tc>
        <w:tc>
          <w:tcPr>
            <w:tcW w:w="1133" w:type="dxa"/>
          </w:tcPr>
          <w:p w14:paraId="50031B9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245 000</w:t>
            </w:r>
          </w:p>
        </w:tc>
        <w:tc>
          <w:tcPr>
            <w:tcW w:w="1134" w:type="dxa"/>
          </w:tcPr>
          <w:p w14:paraId="22465C2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147 633</w:t>
            </w:r>
          </w:p>
        </w:tc>
        <w:tc>
          <w:tcPr>
            <w:tcW w:w="1134" w:type="dxa"/>
          </w:tcPr>
          <w:p w14:paraId="0049238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178 624</w:t>
            </w:r>
          </w:p>
        </w:tc>
      </w:tr>
      <w:tr w:rsidR="009D33A8" w14:paraId="4A7D0AF2" w14:textId="77777777">
        <w:tc>
          <w:tcPr>
            <w:cnfStyle w:val="001000000000" w:firstRow="0" w:lastRow="0" w:firstColumn="1" w:lastColumn="0" w:oddVBand="0" w:evenVBand="0" w:oddHBand="0" w:evenHBand="0" w:firstRowFirstColumn="0" w:firstRowLastColumn="0" w:lastRowFirstColumn="0" w:lastRowLastColumn="0"/>
            <w:tcW w:w="6237" w:type="dxa"/>
          </w:tcPr>
          <w:p w14:paraId="2C2ACDF6" w14:textId="77777777" w:rsidR="009D33A8" w:rsidRDefault="009D33A8">
            <w:pPr>
              <w:spacing w:after="0"/>
            </w:pPr>
            <w:r>
              <w:rPr>
                <w:b/>
              </w:rPr>
              <w:t>Gambling</w:t>
            </w:r>
          </w:p>
        </w:tc>
        <w:tc>
          <w:tcPr>
            <w:tcW w:w="1133" w:type="dxa"/>
          </w:tcPr>
          <w:p w14:paraId="012C1A2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13F4610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13A092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A968D03" w14:textId="77777777">
        <w:tc>
          <w:tcPr>
            <w:cnfStyle w:val="001000000000" w:firstRow="0" w:lastRow="0" w:firstColumn="1" w:lastColumn="0" w:oddVBand="0" w:evenVBand="0" w:oddHBand="0" w:evenHBand="0" w:firstRowFirstColumn="0" w:firstRowLastColumn="0" w:lastRowFirstColumn="0" w:lastRowLastColumn="0"/>
            <w:tcW w:w="6237" w:type="dxa"/>
          </w:tcPr>
          <w:p w14:paraId="3A19C0D7" w14:textId="77777777" w:rsidR="009D33A8" w:rsidRDefault="009D33A8">
            <w:pPr>
              <w:spacing w:after="0"/>
            </w:pPr>
            <w:r>
              <w:t>Public lotteries</w:t>
            </w:r>
          </w:p>
        </w:tc>
        <w:tc>
          <w:tcPr>
            <w:tcW w:w="1133" w:type="dxa"/>
          </w:tcPr>
          <w:p w14:paraId="0907CEE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748 829</w:t>
            </w:r>
          </w:p>
        </w:tc>
        <w:tc>
          <w:tcPr>
            <w:tcW w:w="1134" w:type="dxa"/>
          </w:tcPr>
          <w:p w14:paraId="0B9827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678 749</w:t>
            </w:r>
          </w:p>
        </w:tc>
        <w:tc>
          <w:tcPr>
            <w:tcW w:w="1134" w:type="dxa"/>
          </w:tcPr>
          <w:p w14:paraId="673F18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732 018</w:t>
            </w:r>
          </w:p>
        </w:tc>
      </w:tr>
      <w:tr w:rsidR="009D33A8" w14:paraId="0E3A3A35" w14:textId="77777777">
        <w:tc>
          <w:tcPr>
            <w:cnfStyle w:val="001000000000" w:firstRow="0" w:lastRow="0" w:firstColumn="1" w:lastColumn="0" w:oddVBand="0" w:evenVBand="0" w:oddHBand="0" w:evenHBand="0" w:firstRowFirstColumn="0" w:firstRowLastColumn="0" w:lastRowFirstColumn="0" w:lastRowLastColumn="0"/>
            <w:tcW w:w="6237" w:type="dxa"/>
          </w:tcPr>
          <w:p w14:paraId="7CAC9523" w14:textId="77777777" w:rsidR="009D33A8" w:rsidRDefault="009D33A8">
            <w:pPr>
              <w:spacing w:after="0"/>
            </w:pPr>
            <w:r>
              <w:t>Electronic gaming machines</w:t>
            </w:r>
          </w:p>
        </w:tc>
        <w:tc>
          <w:tcPr>
            <w:tcW w:w="1133" w:type="dxa"/>
          </w:tcPr>
          <w:p w14:paraId="03E253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1 275 663</w:t>
            </w:r>
          </w:p>
        </w:tc>
        <w:tc>
          <w:tcPr>
            <w:tcW w:w="1134" w:type="dxa"/>
          </w:tcPr>
          <w:p w14:paraId="1C9822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1 529 940</w:t>
            </w:r>
          </w:p>
        </w:tc>
        <w:tc>
          <w:tcPr>
            <w:tcW w:w="1134" w:type="dxa"/>
          </w:tcPr>
          <w:p w14:paraId="136B161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1 303 358</w:t>
            </w:r>
          </w:p>
        </w:tc>
      </w:tr>
      <w:tr w:rsidR="009D33A8" w14:paraId="08F8F0AE" w14:textId="77777777">
        <w:tc>
          <w:tcPr>
            <w:cnfStyle w:val="001000000000" w:firstRow="0" w:lastRow="0" w:firstColumn="1" w:lastColumn="0" w:oddVBand="0" w:evenVBand="0" w:oddHBand="0" w:evenHBand="0" w:firstRowFirstColumn="0" w:firstRowLastColumn="0" w:lastRowFirstColumn="0" w:lastRowLastColumn="0"/>
            <w:tcW w:w="6237" w:type="dxa"/>
          </w:tcPr>
          <w:p w14:paraId="6AD7C749" w14:textId="77777777" w:rsidR="009D33A8" w:rsidRDefault="009D33A8">
            <w:pPr>
              <w:spacing w:after="0"/>
            </w:pPr>
            <w:r>
              <w:t>Casino</w:t>
            </w:r>
          </w:p>
        </w:tc>
        <w:tc>
          <w:tcPr>
            <w:tcW w:w="1133" w:type="dxa"/>
          </w:tcPr>
          <w:p w14:paraId="7305390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195 918</w:t>
            </w:r>
          </w:p>
        </w:tc>
        <w:tc>
          <w:tcPr>
            <w:tcW w:w="1134" w:type="dxa"/>
          </w:tcPr>
          <w:p w14:paraId="2A697E9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170 384</w:t>
            </w:r>
          </w:p>
        </w:tc>
        <w:tc>
          <w:tcPr>
            <w:tcW w:w="1134" w:type="dxa"/>
          </w:tcPr>
          <w:p w14:paraId="2C2B020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221 214</w:t>
            </w:r>
          </w:p>
        </w:tc>
      </w:tr>
      <w:tr w:rsidR="009D33A8" w14:paraId="321E8821" w14:textId="77777777">
        <w:tc>
          <w:tcPr>
            <w:cnfStyle w:val="001000000000" w:firstRow="0" w:lastRow="0" w:firstColumn="1" w:lastColumn="0" w:oddVBand="0" w:evenVBand="0" w:oddHBand="0" w:evenHBand="0" w:firstRowFirstColumn="0" w:firstRowLastColumn="0" w:lastRowFirstColumn="0" w:lastRowLastColumn="0"/>
            <w:tcW w:w="6237" w:type="dxa"/>
          </w:tcPr>
          <w:p w14:paraId="5135F08B" w14:textId="77777777" w:rsidR="009D33A8" w:rsidRDefault="009D33A8">
            <w:pPr>
              <w:spacing w:after="0"/>
            </w:pPr>
            <w:r>
              <w:t>Racing and other sports betting</w:t>
            </w:r>
            <w:r>
              <w:rPr>
                <w:vertAlign w:val="superscript"/>
              </w:rPr>
              <w:t xml:space="preserve"> (a)</w:t>
            </w:r>
          </w:p>
        </w:tc>
        <w:tc>
          <w:tcPr>
            <w:tcW w:w="1133" w:type="dxa"/>
          </w:tcPr>
          <w:p w14:paraId="1D59DA3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375 118</w:t>
            </w:r>
          </w:p>
        </w:tc>
        <w:tc>
          <w:tcPr>
            <w:tcW w:w="1134" w:type="dxa"/>
          </w:tcPr>
          <w:p w14:paraId="1B15420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352 461</w:t>
            </w:r>
          </w:p>
        </w:tc>
        <w:tc>
          <w:tcPr>
            <w:tcW w:w="1134" w:type="dxa"/>
          </w:tcPr>
          <w:p w14:paraId="1992DC6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847 511</w:t>
            </w:r>
          </w:p>
        </w:tc>
      </w:tr>
      <w:tr w:rsidR="009D33A8" w14:paraId="311E895F" w14:textId="77777777">
        <w:tc>
          <w:tcPr>
            <w:cnfStyle w:val="001000000000" w:firstRow="0" w:lastRow="0" w:firstColumn="1" w:lastColumn="0" w:oddVBand="0" w:evenVBand="0" w:oddHBand="0" w:evenHBand="0" w:firstRowFirstColumn="0" w:firstRowLastColumn="0" w:lastRowFirstColumn="0" w:lastRowLastColumn="0"/>
            <w:tcW w:w="6237" w:type="dxa"/>
          </w:tcPr>
          <w:p w14:paraId="5859279D" w14:textId="77777777" w:rsidR="009D33A8" w:rsidRDefault="009D33A8">
            <w:pPr>
              <w:spacing w:after="0"/>
            </w:pPr>
            <w:r>
              <w:t>Other</w:t>
            </w:r>
            <w:r>
              <w:rPr>
                <w:vertAlign w:val="superscript"/>
              </w:rPr>
              <w:t xml:space="preserve"> (b)</w:t>
            </w:r>
          </w:p>
        </w:tc>
        <w:tc>
          <w:tcPr>
            <w:tcW w:w="1133" w:type="dxa"/>
          </w:tcPr>
          <w:p w14:paraId="6F5192C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121 999</w:t>
            </w:r>
          </w:p>
        </w:tc>
        <w:tc>
          <w:tcPr>
            <w:tcW w:w="1134" w:type="dxa"/>
          </w:tcPr>
          <w:p w14:paraId="2778562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100 133</w:t>
            </w:r>
          </w:p>
        </w:tc>
        <w:tc>
          <w:tcPr>
            <w:tcW w:w="1134" w:type="dxa"/>
          </w:tcPr>
          <w:p w14:paraId="4E8DCDD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119 861</w:t>
            </w:r>
          </w:p>
        </w:tc>
      </w:tr>
      <w:tr w:rsidR="009D33A8" w14:paraId="36C4D202" w14:textId="77777777">
        <w:tc>
          <w:tcPr>
            <w:cnfStyle w:val="001000000000" w:firstRow="0" w:lastRow="0" w:firstColumn="1" w:lastColumn="0" w:oddVBand="0" w:evenVBand="0" w:oddHBand="0" w:evenHBand="0" w:firstRowFirstColumn="0" w:firstRowLastColumn="0" w:lastRowFirstColumn="0" w:lastRowLastColumn="0"/>
            <w:tcW w:w="6237" w:type="dxa"/>
          </w:tcPr>
          <w:p w14:paraId="7B88DA4C" w14:textId="77777777" w:rsidR="009D33A8" w:rsidRDefault="009D33A8">
            <w:pPr>
              <w:spacing w:after="0"/>
            </w:pPr>
            <w:r>
              <w:rPr>
                <w:b/>
              </w:rPr>
              <w:t>Levies on statutory corporations</w:t>
            </w:r>
          </w:p>
        </w:tc>
        <w:tc>
          <w:tcPr>
            <w:tcW w:w="1133" w:type="dxa"/>
          </w:tcPr>
          <w:p w14:paraId="4C2B9F2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176 250</w:t>
            </w:r>
          </w:p>
        </w:tc>
        <w:tc>
          <w:tcPr>
            <w:tcW w:w="1134" w:type="dxa"/>
          </w:tcPr>
          <w:p w14:paraId="40866E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176 712</w:t>
            </w:r>
          </w:p>
        </w:tc>
        <w:tc>
          <w:tcPr>
            <w:tcW w:w="1134" w:type="dxa"/>
          </w:tcPr>
          <w:p w14:paraId="0039718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173 480</w:t>
            </w:r>
          </w:p>
        </w:tc>
      </w:tr>
      <w:tr w:rsidR="009D33A8" w14:paraId="3FC3D7E6" w14:textId="77777777">
        <w:tc>
          <w:tcPr>
            <w:cnfStyle w:val="001000000000" w:firstRow="0" w:lastRow="0" w:firstColumn="1" w:lastColumn="0" w:oddVBand="0" w:evenVBand="0" w:oddHBand="0" w:evenHBand="0" w:firstRowFirstColumn="0" w:firstRowLastColumn="0" w:lastRowFirstColumn="0" w:lastRowLastColumn="0"/>
            <w:tcW w:w="6237" w:type="dxa"/>
          </w:tcPr>
          <w:p w14:paraId="37B976A3" w14:textId="77777777" w:rsidR="009D33A8" w:rsidRDefault="009D33A8">
            <w:pPr>
              <w:spacing w:after="0"/>
            </w:pPr>
            <w:r>
              <w:rPr>
                <w:b/>
              </w:rPr>
              <w:t>Taxes on insurance</w:t>
            </w:r>
          </w:p>
        </w:tc>
        <w:tc>
          <w:tcPr>
            <w:tcW w:w="1133" w:type="dxa"/>
          </w:tcPr>
          <w:p w14:paraId="6109204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2 191 201</w:t>
            </w:r>
          </w:p>
        </w:tc>
        <w:tc>
          <w:tcPr>
            <w:tcW w:w="1134" w:type="dxa"/>
          </w:tcPr>
          <w:p w14:paraId="362764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2 196 618</w:t>
            </w:r>
          </w:p>
        </w:tc>
        <w:tc>
          <w:tcPr>
            <w:tcW w:w="1134" w:type="dxa"/>
          </w:tcPr>
          <w:p w14:paraId="203581D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2 075 820</w:t>
            </w:r>
          </w:p>
        </w:tc>
      </w:tr>
      <w:tr w:rsidR="009D33A8" w14:paraId="28B36F2B" w14:textId="77777777">
        <w:tc>
          <w:tcPr>
            <w:cnfStyle w:val="001000000000" w:firstRow="0" w:lastRow="0" w:firstColumn="1" w:lastColumn="0" w:oddVBand="0" w:evenVBand="0" w:oddHBand="0" w:evenHBand="0" w:firstRowFirstColumn="0" w:firstRowLastColumn="0" w:lastRowFirstColumn="0" w:lastRowLastColumn="0"/>
            <w:tcW w:w="6237" w:type="dxa"/>
          </w:tcPr>
          <w:p w14:paraId="573E5983" w14:textId="77777777" w:rsidR="009D33A8" w:rsidRDefault="009D33A8">
            <w:pPr>
              <w:spacing w:after="0"/>
            </w:pPr>
            <w:r>
              <w:rPr>
                <w:b/>
              </w:rPr>
              <w:t>Motor vehicle</w:t>
            </w:r>
          </w:p>
        </w:tc>
        <w:tc>
          <w:tcPr>
            <w:tcW w:w="1133" w:type="dxa"/>
          </w:tcPr>
          <w:p w14:paraId="0DFCD0F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36E8FC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3344E7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CAEF22F" w14:textId="77777777">
        <w:tc>
          <w:tcPr>
            <w:cnfStyle w:val="001000000000" w:firstRow="0" w:lastRow="0" w:firstColumn="1" w:lastColumn="0" w:oddVBand="0" w:evenVBand="0" w:oddHBand="0" w:evenHBand="0" w:firstRowFirstColumn="0" w:firstRowLastColumn="0" w:lastRowFirstColumn="0" w:lastRowLastColumn="0"/>
            <w:tcW w:w="6237" w:type="dxa"/>
          </w:tcPr>
          <w:p w14:paraId="06BC9E17" w14:textId="77777777" w:rsidR="009D33A8" w:rsidRDefault="009D33A8">
            <w:pPr>
              <w:spacing w:after="0"/>
            </w:pPr>
            <w:r>
              <w:t xml:space="preserve">Registration fees pursuant to the </w:t>
            </w:r>
            <w:r>
              <w:rPr>
                <w:i/>
              </w:rPr>
              <w:t>Road Safety Act, No. 127 of 1986</w:t>
            </w:r>
          </w:p>
        </w:tc>
        <w:tc>
          <w:tcPr>
            <w:tcW w:w="1133" w:type="dxa"/>
          </w:tcPr>
          <w:p w14:paraId="0D09873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2 256 815</w:t>
            </w:r>
          </w:p>
        </w:tc>
        <w:tc>
          <w:tcPr>
            <w:tcW w:w="1134" w:type="dxa"/>
          </w:tcPr>
          <w:p w14:paraId="4194041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2 228 677</w:t>
            </w:r>
          </w:p>
        </w:tc>
        <w:tc>
          <w:tcPr>
            <w:tcW w:w="1134" w:type="dxa"/>
          </w:tcPr>
          <w:p w14:paraId="666CF2E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2 109 741</w:t>
            </w:r>
          </w:p>
        </w:tc>
      </w:tr>
      <w:tr w:rsidR="009D33A8" w14:paraId="33E1161F" w14:textId="77777777">
        <w:tc>
          <w:tcPr>
            <w:cnfStyle w:val="001000000000" w:firstRow="0" w:lastRow="0" w:firstColumn="1" w:lastColumn="0" w:oddVBand="0" w:evenVBand="0" w:oddHBand="0" w:evenHBand="0" w:firstRowFirstColumn="0" w:firstRowLastColumn="0" w:lastRowFirstColumn="0" w:lastRowLastColumn="0"/>
            <w:tcW w:w="6237" w:type="dxa"/>
          </w:tcPr>
          <w:p w14:paraId="5E8E01B7" w14:textId="77777777" w:rsidR="009D33A8" w:rsidRDefault="009D33A8">
            <w:pPr>
              <w:spacing w:after="0"/>
            </w:pPr>
            <w:r>
              <w:t>Stamp duty on vehicle transfers</w:t>
            </w:r>
          </w:p>
        </w:tc>
        <w:tc>
          <w:tcPr>
            <w:tcW w:w="1133" w:type="dxa"/>
          </w:tcPr>
          <w:p w14:paraId="08E4A11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1 370 129</w:t>
            </w:r>
          </w:p>
        </w:tc>
        <w:tc>
          <w:tcPr>
            <w:tcW w:w="1134" w:type="dxa"/>
          </w:tcPr>
          <w:p w14:paraId="4604165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1 317 984</w:t>
            </w:r>
          </w:p>
        </w:tc>
        <w:tc>
          <w:tcPr>
            <w:tcW w:w="1134" w:type="dxa"/>
          </w:tcPr>
          <w:p w14:paraId="25D9E98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1 386 272</w:t>
            </w:r>
          </w:p>
        </w:tc>
      </w:tr>
      <w:tr w:rsidR="009D33A8" w14:paraId="4A41BD0F" w14:textId="77777777">
        <w:tc>
          <w:tcPr>
            <w:cnfStyle w:val="001000000000" w:firstRow="0" w:lastRow="0" w:firstColumn="1" w:lastColumn="0" w:oddVBand="0" w:evenVBand="0" w:oddHBand="0" w:evenHBand="0" w:firstRowFirstColumn="0" w:firstRowLastColumn="0" w:lastRowFirstColumn="0" w:lastRowLastColumn="0"/>
            <w:tcW w:w="6237" w:type="dxa"/>
          </w:tcPr>
          <w:p w14:paraId="5D1A6592" w14:textId="77777777" w:rsidR="009D33A8" w:rsidRDefault="009D33A8">
            <w:pPr>
              <w:spacing w:after="0"/>
            </w:pPr>
            <w:r>
              <w:rPr>
                <w:b/>
              </w:rPr>
              <w:t>Franchise fees</w:t>
            </w:r>
          </w:p>
        </w:tc>
        <w:tc>
          <w:tcPr>
            <w:tcW w:w="1133" w:type="dxa"/>
          </w:tcPr>
          <w:p w14:paraId="58B788B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1405169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2419D7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605A0D17" w14:textId="77777777">
        <w:tc>
          <w:tcPr>
            <w:cnfStyle w:val="001000000000" w:firstRow="0" w:lastRow="0" w:firstColumn="1" w:lastColumn="0" w:oddVBand="0" w:evenVBand="0" w:oddHBand="0" w:evenHBand="0" w:firstRowFirstColumn="0" w:firstRowLastColumn="0" w:lastRowFirstColumn="0" w:lastRowLastColumn="0"/>
            <w:tcW w:w="6237" w:type="dxa"/>
          </w:tcPr>
          <w:p w14:paraId="56FECD74" w14:textId="77777777" w:rsidR="009D33A8" w:rsidRDefault="009D33A8">
            <w:pPr>
              <w:spacing w:after="0"/>
            </w:pPr>
            <w:r>
              <w:t>Liquor</w:t>
            </w:r>
          </w:p>
        </w:tc>
        <w:tc>
          <w:tcPr>
            <w:tcW w:w="1133" w:type="dxa"/>
          </w:tcPr>
          <w:p w14:paraId="081CAF4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31 021</w:t>
            </w:r>
          </w:p>
        </w:tc>
        <w:tc>
          <w:tcPr>
            <w:tcW w:w="1134" w:type="dxa"/>
          </w:tcPr>
          <w:p w14:paraId="4F7D5CA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32 252</w:t>
            </w:r>
          </w:p>
        </w:tc>
        <w:tc>
          <w:tcPr>
            <w:tcW w:w="1134" w:type="dxa"/>
          </w:tcPr>
          <w:p w14:paraId="1759854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31 105</w:t>
            </w:r>
          </w:p>
        </w:tc>
      </w:tr>
      <w:tr w:rsidR="009D33A8" w14:paraId="3207F96D"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9B51C92" w14:textId="77777777" w:rsidR="009D33A8" w:rsidRDefault="009D33A8">
            <w:pPr>
              <w:spacing w:after="0"/>
            </w:pPr>
            <w:r>
              <w:rPr>
                <w:b/>
              </w:rPr>
              <w:t>Other</w:t>
            </w:r>
          </w:p>
        </w:tc>
        <w:tc>
          <w:tcPr>
            <w:tcW w:w="1133" w:type="dxa"/>
            <w:tcBorders>
              <w:bottom w:val="single" w:sz="6" w:space="0" w:color="auto"/>
            </w:tcBorders>
          </w:tcPr>
          <w:p w14:paraId="3415F87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119 592</w:t>
            </w:r>
          </w:p>
        </w:tc>
        <w:tc>
          <w:tcPr>
            <w:tcW w:w="1134" w:type="dxa"/>
            <w:tcBorders>
              <w:bottom w:val="single" w:sz="6" w:space="0" w:color="auto"/>
            </w:tcBorders>
          </w:tcPr>
          <w:p w14:paraId="49EA992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7 843</w:t>
            </w:r>
          </w:p>
        </w:tc>
        <w:tc>
          <w:tcPr>
            <w:tcW w:w="1134" w:type="dxa"/>
            <w:tcBorders>
              <w:bottom w:val="single" w:sz="6" w:space="0" w:color="auto"/>
            </w:tcBorders>
          </w:tcPr>
          <w:p w14:paraId="4802E49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31 346</w:t>
            </w:r>
          </w:p>
        </w:tc>
      </w:tr>
      <w:tr w:rsidR="009D33A8" w14:paraId="0F848628"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6F8A781" w14:textId="77777777" w:rsidR="009D33A8" w:rsidRDefault="009D33A8">
            <w:pPr>
              <w:spacing w:after="0"/>
            </w:pPr>
            <w:r>
              <w:rPr>
                <w:b/>
              </w:rPr>
              <w:t>Total taxation</w:t>
            </w:r>
            <w:r>
              <w:rPr>
                <w:b/>
                <w:vertAlign w:val="superscript"/>
              </w:rPr>
              <w:t xml:space="preserve"> (b)</w:t>
            </w:r>
          </w:p>
        </w:tc>
        <w:tc>
          <w:tcPr>
            <w:tcW w:w="1133" w:type="dxa"/>
            <w:tcBorders>
              <w:top w:val="single" w:sz="6" w:space="0" w:color="auto"/>
            </w:tcBorders>
          </w:tcPr>
          <w:p w14:paraId="3C3F090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39 012 724</w:t>
            </w:r>
          </w:p>
        </w:tc>
        <w:tc>
          <w:tcPr>
            <w:tcW w:w="1134" w:type="dxa"/>
            <w:tcBorders>
              <w:top w:val="single" w:sz="6" w:space="0" w:color="auto"/>
            </w:tcBorders>
          </w:tcPr>
          <w:p w14:paraId="594B4E6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40 441 320</w:t>
            </w:r>
          </w:p>
        </w:tc>
        <w:tc>
          <w:tcPr>
            <w:tcW w:w="1134" w:type="dxa"/>
            <w:tcBorders>
              <w:top w:val="single" w:sz="6" w:space="0" w:color="auto"/>
            </w:tcBorders>
          </w:tcPr>
          <w:p w14:paraId="390BA9F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37 057 161</w:t>
            </w:r>
          </w:p>
        </w:tc>
      </w:tr>
      <w:tr w:rsidR="009D33A8" w14:paraId="453C8BC7" w14:textId="77777777">
        <w:tc>
          <w:tcPr>
            <w:cnfStyle w:val="001000000000" w:firstRow="0" w:lastRow="0" w:firstColumn="1" w:lastColumn="0" w:oddVBand="0" w:evenVBand="0" w:oddHBand="0" w:evenHBand="0" w:firstRowFirstColumn="0" w:firstRowLastColumn="0" w:lastRowFirstColumn="0" w:lastRowLastColumn="0"/>
            <w:tcW w:w="6237" w:type="dxa"/>
          </w:tcPr>
          <w:p w14:paraId="6A1B780F" w14:textId="77777777" w:rsidR="009D33A8" w:rsidRDefault="009D33A8">
            <w:pPr>
              <w:spacing w:after="0"/>
            </w:pPr>
            <w:r>
              <w:rPr>
                <w:b/>
              </w:rPr>
              <w:t>Fines and regulatory fees</w:t>
            </w:r>
          </w:p>
        </w:tc>
        <w:tc>
          <w:tcPr>
            <w:tcW w:w="1133" w:type="dxa"/>
          </w:tcPr>
          <w:p w14:paraId="3AD9B4E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4CFD2F5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80E3CB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48AECA42" w14:textId="77777777">
        <w:tc>
          <w:tcPr>
            <w:cnfStyle w:val="001000000000" w:firstRow="0" w:lastRow="0" w:firstColumn="1" w:lastColumn="0" w:oddVBand="0" w:evenVBand="0" w:oddHBand="0" w:evenHBand="0" w:firstRowFirstColumn="0" w:firstRowLastColumn="0" w:lastRowFirstColumn="0" w:lastRowLastColumn="0"/>
            <w:tcW w:w="6237" w:type="dxa"/>
          </w:tcPr>
          <w:p w14:paraId="3ECB33D3" w14:textId="77777777" w:rsidR="009D33A8" w:rsidRDefault="009D33A8">
            <w:pPr>
              <w:spacing w:after="0"/>
            </w:pPr>
            <w:r>
              <w:t>Fines</w:t>
            </w:r>
          </w:p>
        </w:tc>
        <w:tc>
          <w:tcPr>
            <w:tcW w:w="1133" w:type="dxa"/>
          </w:tcPr>
          <w:p w14:paraId="148FFA0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497 239</w:t>
            </w:r>
          </w:p>
        </w:tc>
        <w:tc>
          <w:tcPr>
            <w:tcW w:w="1134" w:type="dxa"/>
          </w:tcPr>
          <w:p w14:paraId="72777FE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433 759</w:t>
            </w:r>
          </w:p>
        </w:tc>
        <w:tc>
          <w:tcPr>
            <w:tcW w:w="1134" w:type="dxa"/>
          </w:tcPr>
          <w:p w14:paraId="6D71FA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408 982</w:t>
            </w:r>
          </w:p>
        </w:tc>
      </w:tr>
      <w:tr w:rsidR="009D33A8" w14:paraId="61AAE693"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4922CB3" w14:textId="77777777" w:rsidR="009D33A8" w:rsidRDefault="009D33A8">
            <w:pPr>
              <w:spacing w:after="0"/>
            </w:pPr>
            <w:r>
              <w:t>Regulatory fees</w:t>
            </w:r>
          </w:p>
        </w:tc>
        <w:tc>
          <w:tcPr>
            <w:tcW w:w="1133" w:type="dxa"/>
            <w:tcBorders>
              <w:bottom w:val="single" w:sz="6" w:space="0" w:color="auto"/>
            </w:tcBorders>
          </w:tcPr>
          <w:p w14:paraId="26C9D05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711 151</w:t>
            </w:r>
          </w:p>
        </w:tc>
        <w:tc>
          <w:tcPr>
            <w:tcW w:w="1134" w:type="dxa"/>
            <w:tcBorders>
              <w:bottom w:val="single" w:sz="6" w:space="0" w:color="auto"/>
            </w:tcBorders>
          </w:tcPr>
          <w:p w14:paraId="274AFA5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540 705</w:t>
            </w:r>
          </w:p>
        </w:tc>
        <w:tc>
          <w:tcPr>
            <w:tcW w:w="1134" w:type="dxa"/>
            <w:tcBorders>
              <w:bottom w:val="single" w:sz="6" w:space="0" w:color="auto"/>
            </w:tcBorders>
          </w:tcPr>
          <w:p w14:paraId="0271C54E"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586 879</w:t>
            </w:r>
          </w:p>
        </w:tc>
      </w:tr>
      <w:tr w:rsidR="009D33A8" w14:paraId="1EF4B360"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45C79CE" w14:textId="77777777" w:rsidR="009D33A8" w:rsidRDefault="009D33A8">
            <w:pPr>
              <w:spacing w:after="0"/>
            </w:pPr>
            <w:r>
              <w:rPr>
                <w:b/>
              </w:rPr>
              <w:t>Total fines and regulatory fees</w:t>
            </w:r>
          </w:p>
        </w:tc>
        <w:tc>
          <w:tcPr>
            <w:tcW w:w="1133" w:type="dxa"/>
            <w:tcBorders>
              <w:top w:val="single" w:sz="6" w:space="0" w:color="auto"/>
            </w:tcBorders>
          </w:tcPr>
          <w:p w14:paraId="1AB9D3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1 208 390</w:t>
            </w:r>
          </w:p>
        </w:tc>
        <w:tc>
          <w:tcPr>
            <w:tcW w:w="1134" w:type="dxa"/>
            <w:tcBorders>
              <w:top w:val="single" w:sz="6" w:space="0" w:color="auto"/>
            </w:tcBorders>
          </w:tcPr>
          <w:p w14:paraId="6605759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974 464</w:t>
            </w:r>
          </w:p>
        </w:tc>
        <w:tc>
          <w:tcPr>
            <w:tcW w:w="1134" w:type="dxa"/>
            <w:tcBorders>
              <w:top w:val="single" w:sz="6" w:space="0" w:color="auto"/>
            </w:tcBorders>
          </w:tcPr>
          <w:p w14:paraId="7A7CC09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995 861</w:t>
            </w:r>
          </w:p>
        </w:tc>
      </w:tr>
      <w:tr w:rsidR="009D33A8" w14:paraId="79AEE597" w14:textId="77777777">
        <w:tc>
          <w:tcPr>
            <w:cnfStyle w:val="001000000000" w:firstRow="0" w:lastRow="0" w:firstColumn="1" w:lastColumn="0" w:oddVBand="0" w:evenVBand="0" w:oddHBand="0" w:evenHBand="0" w:firstRowFirstColumn="0" w:firstRowLastColumn="0" w:lastRowFirstColumn="0" w:lastRowLastColumn="0"/>
            <w:tcW w:w="6237" w:type="dxa"/>
          </w:tcPr>
          <w:p w14:paraId="2C9239FA" w14:textId="77777777" w:rsidR="009D33A8" w:rsidRDefault="009D33A8">
            <w:pPr>
              <w:spacing w:after="0"/>
            </w:pPr>
            <w:r>
              <w:rPr>
                <w:b/>
              </w:rPr>
              <w:t>Grants received</w:t>
            </w:r>
          </w:p>
        </w:tc>
        <w:tc>
          <w:tcPr>
            <w:tcW w:w="1133" w:type="dxa"/>
          </w:tcPr>
          <w:p w14:paraId="00C6E5F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69710CC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3103CBD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4DA7841E" w14:textId="77777777">
        <w:tc>
          <w:tcPr>
            <w:cnfStyle w:val="001000000000" w:firstRow="0" w:lastRow="0" w:firstColumn="1" w:lastColumn="0" w:oddVBand="0" w:evenVBand="0" w:oddHBand="0" w:evenHBand="0" w:firstRowFirstColumn="0" w:firstRowLastColumn="0" w:lastRowFirstColumn="0" w:lastRowLastColumn="0"/>
            <w:tcW w:w="6237" w:type="dxa"/>
          </w:tcPr>
          <w:p w14:paraId="45AADBCC" w14:textId="77777777" w:rsidR="009D33A8" w:rsidRDefault="009D33A8">
            <w:pPr>
              <w:spacing w:after="0"/>
            </w:pPr>
            <w:r>
              <w:t>Department of Education</w:t>
            </w:r>
          </w:p>
        </w:tc>
        <w:tc>
          <w:tcPr>
            <w:tcW w:w="1133" w:type="dxa"/>
          </w:tcPr>
          <w:p w14:paraId="46BF0A6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6 500</w:t>
            </w:r>
          </w:p>
        </w:tc>
        <w:tc>
          <w:tcPr>
            <w:tcW w:w="1134" w:type="dxa"/>
          </w:tcPr>
          <w:p w14:paraId="29FE334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2 484</w:t>
            </w:r>
          </w:p>
        </w:tc>
        <w:tc>
          <w:tcPr>
            <w:tcW w:w="1134" w:type="dxa"/>
          </w:tcPr>
          <w:p w14:paraId="1803322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8 686</w:t>
            </w:r>
          </w:p>
        </w:tc>
      </w:tr>
      <w:tr w:rsidR="009D33A8" w14:paraId="561F899A" w14:textId="77777777">
        <w:tc>
          <w:tcPr>
            <w:cnfStyle w:val="001000000000" w:firstRow="0" w:lastRow="0" w:firstColumn="1" w:lastColumn="0" w:oddVBand="0" w:evenVBand="0" w:oddHBand="0" w:evenHBand="0" w:firstRowFirstColumn="0" w:firstRowLastColumn="0" w:lastRowFirstColumn="0" w:lastRowLastColumn="0"/>
            <w:tcW w:w="6237" w:type="dxa"/>
          </w:tcPr>
          <w:p w14:paraId="2E844219" w14:textId="77777777" w:rsidR="009D33A8" w:rsidRDefault="009D33A8">
            <w:pPr>
              <w:spacing w:after="0"/>
            </w:pPr>
            <w:r>
              <w:t>Department of Energy, Environment and Climate Action</w:t>
            </w:r>
          </w:p>
        </w:tc>
        <w:tc>
          <w:tcPr>
            <w:tcW w:w="1133" w:type="dxa"/>
          </w:tcPr>
          <w:p w14:paraId="22E892B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211</w:t>
            </w:r>
          </w:p>
        </w:tc>
        <w:tc>
          <w:tcPr>
            <w:tcW w:w="1134" w:type="dxa"/>
          </w:tcPr>
          <w:p w14:paraId="4F5099C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43 991</w:t>
            </w:r>
          </w:p>
        </w:tc>
        <w:tc>
          <w:tcPr>
            <w:tcW w:w="1134" w:type="dxa"/>
          </w:tcPr>
          <w:p w14:paraId="6228E67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3 894</w:t>
            </w:r>
          </w:p>
        </w:tc>
      </w:tr>
      <w:tr w:rsidR="009D33A8" w14:paraId="7D3B9986" w14:textId="77777777">
        <w:tc>
          <w:tcPr>
            <w:cnfStyle w:val="001000000000" w:firstRow="0" w:lastRow="0" w:firstColumn="1" w:lastColumn="0" w:oddVBand="0" w:evenVBand="0" w:oddHBand="0" w:evenHBand="0" w:firstRowFirstColumn="0" w:firstRowLastColumn="0" w:lastRowFirstColumn="0" w:lastRowLastColumn="0"/>
            <w:tcW w:w="6237" w:type="dxa"/>
          </w:tcPr>
          <w:p w14:paraId="12EEAF44" w14:textId="77777777" w:rsidR="009D33A8" w:rsidRDefault="009D33A8">
            <w:pPr>
              <w:spacing w:after="0"/>
            </w:pPr>
            <w:r>
              <w:t>Department of Families, Fairness and Housing</w:t>
            </w:r>
          </w:p>
        </w:tc>
        <w:tc>
          <w:tcPr>
            <w:tcW w:w="1133" w:type="dxa"/>
          </w:tcPr>
          <w:p w14:paraId="69C680C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15 707</w:t>
            </w:r>
          </w:p>
        </w:tc>
        <w:tc>
          <w:tcPr>
            <w:tcW w:w="1134" w:type="dxa"/>
          </w:tcPr>
          <w:p w14:paraId="7F46E0D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21 211</w:t>
            </w:r>
          </w:p>
        </w:tc>
        <w:tc>
          <w:tcPr>
            <w:tcW w:w="1134" w:type="dxa"/>
          </w:tcPr>
          <w:p w14:paraId="5D2C07F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15 159</w:t>
            </w:r>
          </w:p>
        </w:tc>
      </w:tr>
      <w:tr w:rsidR="009D33A8" w14:paraId="4E881B46" w14:textId="77777777">
        <w:tc>
          <w:tcPr>
            <w:cnfStyle w:val="001000000000" w:firstRow="0" w:lastRow="0" w:firstColumn="1" w:lastColumn="0" w:oddVBand="0" w:evenVBand="0" w:oddHBand="0" w:evenHBand="0" w:firstRowFirstColumn="0" w:firstRowLastColumn="0" w:lastRowFirstColumn="0" w:lastRowLastColumn="0"/>
            <w:tcW w:w="6237" w:type="dxa"/>
          </w:tcPr>
          <w:p w14:paraId="727DAC5A" w14:textId="77777777" w:rsidR="009D33A8" w:rsidRDefault="009D33A8">
            <w:pPr>
              <w:spacing w:after="0"/>
            </w:pPr>
            <w:r>
              <w:t>Department of Health</w:t>
            </w:r>
          </w:p>
        </w:tc>
        <w:tc>
          <w:tcPr>
            <w:tcW w:w="1133" w:type="dxa"/>
          </w:tcPr>
          <w:p w14:paraId="5A49F08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22 913</w:t>
            </w:r>
          </w:p>
        </w:tc>
        <w:tc>
          <w:tcPr>
            <w:tcW w:w="1134" w:type="dxa"/>
          </w:tcPr>
          <w:p w14:paraId="619C6FC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71 068</w:t>
            </w:r>
          </w:p>
        </w:tc>
        <w:tc>
          <w:tcPr>
            <w:tcW w:w="1134" w:type="dxa"/>
          </w:tcPr>
          <w:p w14:paraId="4979539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107 029</w:t>
            </w:r>
          </w:p>
        </w:tc>
      </w:tr>
      <w:tr w:rsidR="009D33A8" w14:paraId="24F380A4" w14:textId="77777777">
        <w:tc>
          <w:tcPr>
            <w:cnfStyle w:val="001000000000" w:firstRow="0" w:lastRow="0" w:firstColumn="1" w:lastColumn="0" w:oddVBand="0" w:evenVBand="0" w:oddHBand="0" w:evenHBand="0" w:firstRowFirstColumn="0" w:firstRowLastColumn="0" w:lastRowFirstColumn="0" w:lastRowLastColumn="0"/>
            <w:tcW w:w="6237" w:type="dxa"/>
          </w:tcPr>
          <w:p w14:paraId="568B2358" w14:textId="77777777" w:rsidR="009D33A8" w:rsidRDefault="009D33A8">
            <w:pPr>
              <w:spacing w:after="0"/>
            </w:pPr>
            <w:r>
              <w:t>Department of Jobs, Skills, Industry and Regions</w:t>
            </w:r>
          </w:p>
        </w:tc>
        <w:tc>
          <w:tcPr>
            <w:tcW w:w="1133" w:type="dxa"/>
          </w:tcPr>
          <w:p w14:paraId="32D7DBC8"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1 610</w:t>
            </w:r>
          </w:p>
        </w:tc>
        <w:tc>
          <w:tcPr>
            <w:tcW w:w="1134" w:type="dxa"/>
          </w:tcPr>
          <w:p w14:paraId="1E17685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w:t>
            </w:r>
          </w:p>
        </w:tc>
        <w:tc>
          <w:tcPr>
            <w:tcW w:w="1134" w:type="dxa"/>
          </w:tcPr>
          <w:p w14:paraId="0309AB0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4 800</w:t>
            </w:r>
          </w:p>
        </w:tc>
      </w:tr>
      <w:tr w:rsidR="009D33A8" w14:paraId="42880413" w14:textId="77777777">
        <w:tc>
          <w:tcPr>
            <w:cnfStyle w:val="001000000000" w:firstRow="0" w:lastRow="0" w:firstColumn="1" w:lastColumn="0" w:oddVBand="0" w:evenVBand="0" w:oddHBand="0" w:evenHBand="0" w:firstRowFirstColumn="0" w:firstRowLastColumn="0" w:lastRowFirstColumn="0" w:lastRowLastColumn="0"/>
            <w:tcW w:w="6237" w:type="dxa"/>
          </w:tcPr>
          <w:p w14:paraId="2C9ADD89" w14:textId="77777777" w:rsidR="009D33A8" w:rsidRDefault="009D33A8">
            <w:pPr>
              <w:spacing w:after="0"/>
            </w:pPr>
            <w:r>
              <w:t>Department of Justice and Community Safety</w:t>
            </w:r>
          </w:p>
        </w:tc>
        <w:tc>
          <w:tcPr>
            <w:tcW w:w="1133" w:type="dxa"/>
          </w:tcPr>
          <w:p w14:paraId="4C31A5F6"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3 244</w:t>
            </w:r>
          </w:p>
        </w:tc>
        <w:tc>
          <w:tcPr>
            <w:tcW w:w="1134" w:type="dxa"/>
          </w:tcPr>
          <w:p w14:paraId="27B8BC5D"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69 082</w:t>
            </w:r>
          </w:p>
        </w:tc>
        <w:tc>
          <w:tcPr>
            <w:tcW w:w="1134" w:type="dxa"/>
          </w:tcPr>
          <w:p w14:paraId="751F082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582</w:t>
            </w:r>
          </w:p>
        </w:tc>
      </w:tr>
      <w:tr w:rsidR="009D33A8" w14:paraId="78C58BBC" w14:textId="77777777">
        <w:tc>
          <w:tcPr>
            <w:cnfStyle w:val="001000000000" w:firstRow="0" w:lastRow="0" w:firstColumn="1" w:lastColumn="0" w:oddVBand="0" w:evenVBand="0" w:oddHBand="0" w:evenHBand="0" w:firstRowFirstColumn="0" w:firstRowLastColumn="0" w:lastRowFirstColumn="0" w:lastRowLastColumn="0"/>
            <w:tcW w:w="6237" w:type="dxa"/>
          </w:tcPr>
          <w:p w14:paraId="77113354" w14:textId="77777777" w:rsidR="009D33A8" w:rsidRDefault="009D33A8">
            <w:pPr>
              <w:spacing w:after="0"/>
            </w:pPr>
            <w:r>
              <w:t>Department of Transport and Planning</w:t>
            </w:r>
          </w:p>
        </w:tc>
        <w:tc>
          <w:tcPr>
            <w:tcW w:w="1133" w:type="dxa"/>
          </w:tcPr>
          <w:p w14:paraId="69EB02F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6 700</w:t>
            </w:r>
          </w:p>
        </w:tc>
        <w:tc>
          <w:tcPr>
            <w:tcW w:w="1134" w:type="dxa"/>
          </w:tcPr>
          <w:p w14:paraId="77DDBBD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23 930</w:t>
            </w:r>
          </w:p>
        </w:tc>
        <w:tc>
          <w:tcPr>
            <w:tcW w:w="1134" w:type="dxa"/>
          </w:tcPr>
          <w:p w14:paraId="107BCF1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17 625</w:t>
            </w:r>
          </w:p>
        </w:tc>
      </w:tr>
      <w:tr w:rsidR="009D33A8" w14:paraId="3CF17F20" w14:textId="77777777">
        <w:tc>
          <w:tcPr>
            <w:cnfStyle w:val="001000000000" w:firstRow="0" w:lastRow="0" w:firstColumn="1" w:lastColumn="0" w:oddVBand="0" w:evenVBand="0" w:oddHBand="0" w:evenHBand="0" w:firstRowFirstColumn="0" w:firstRowLastColumn="0" w:lastRowFirstColumn="0" w:lastRowLastColumn="0"/>
            <w:tcW w:w="6237" w:type="dxa"/>
          </w:tcPr>
          <w:p w14:paraId="4D8EA355" w14:textId="77777777" w:rsidR="009D33A8" w:rsidRDefault="009D33A8">
            <w:pPr>
              <w:spacing w:after="0"/>
            </w:pPr>
            <w:r>
              <w:t>Department of Treasury and Finance</w:t>
            </w:r>
          </w:p>
        </w:tc>
        <w:tc>
          <w:tcPr>
            <w:tcW w:w="1133" w:type="dxa"/>
          </w:tcPr>
          <w:p w14:paraId="741CCD6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29 889 718</w:t>
            </w:r>
          </w:p>
        </w:tc>
        <w:tc>
          <w:tcPr>
            <w:tcW w:w="1134" w:type="dxa"/>
          </w:tcPr>
          <w:p w14:paraId="10015E0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31 383 851</w:t>
            </w:r>
          </w:p>
        </w:tc>
        <w:tc>
          <w:tcPr>
            <w:tcW w:w="1134" w:type="dxa"/>
          </w:tcPr>
          <w:p w14:paraId="1F8142EF"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27 133 275</w:t>
            </w:r>
          </w:p>
        </w:tc>
      </w:tr>
      <w:tr w:rsidR="009D33A8" w14:paraId="236C2E22"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17A6C03A" w14:textId="77777777" w:rsidR="009D33A8" w:rsidRDefault="009D33A8">
            <w:pPr>
              <w:spacing w:after="0"/>
            </w:pPr>
            <w:r>
              <w:rPr>
                <w:b/>
              </w:rPr>
              <w:t>Total grants received</w:t>
            </w:r>
            <w:r>
              <w:rPr>
                <w:b/>
                <w:vertAlign w:val="superscript"/>
              </w:rPr>
              <w:t xml:space="preserve"> </w:t>
            </w:r>
          </w:p>
        </w:tc>
        <w:tc>
          <w:tcPr>
            <w:tcW w:w="1133" w:type="dxa"/>
            <w:tcBorders>
              <w:top w:val="single" w:sz="6" w:space="0" w:color="auto"/>
            </w:tcBorders>
          </w:tcPr>
          <w:p w14:paraId="73291D2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29 946 604</w:t>
            </w:r>
          </w:p>
        </w:tc>
        <w:tc>
          <w:tcPr>
            <w:tcW w:w="1134" w:type="dxa"/>
            <w:tcBorders>
              <w:top w:val="single" w:sz="6" w:space="0" w:color="auto"/>
            </w:tcBorders>
          </w:tcPr>
          <w:p w14:paraId="0B4F4D5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31 615 617</w:t>
            </w:r>
          </w:p>
        </w:tc>
        <w:tc>
          <w:tcPr>
            <w:tcW w:w="1134" w:type="dxa"/>
            <w:tcBorders>
              <w:top w:val="single" w:sz="6" w:space="0" w:color="auto"/>
            </w:tcBorders>
          </w:tcPr>
          <w:p w14:paraId="7C56A7B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27 291 051</w:t>
            </w:r>
          </w:p>
        </w:tc>
      </w:tr>
      <w:tr w:rsidR="009D33A8" w14:paraId="56D67161" w14:textId="77777777">
        <w:tc>
          <w:tcPr>
            <w:cnfStyle w:val="001000000000" w:firstRow="0" w:lastRow="0" w:firstColumn="1" w:lastColumn="0" w:oddVBand="0" w:evenVBand="0" w:oddHBand="0" w:evenHBand="0" w:firstRowFirstColumn="0" w:firstRowLastColumn="0" w:lastRowFirstColumn="0" w:lastRowLastColumn="0"/>
            <w:tcW w:w="6237" w:type="dxa"/>
          </w:tcPr>
          <w:p w14:paraId="08329982" w14:textId="77777777" w:rsidR="009D33A8" w:rsidRDefault="009D33A8">
            <w:pPr>
              <w:spacing w:after="0"/>
            </w:pPr>
            <w:r>
              <w:rPr>
                <w:b/>
              </w:rPr>
              <w:t>Sales of goods and services</w:t>
            </w:r>
          </w:p>
        </w:tc>
        <w:tc>
          <w:tcPr>
            <w:tcW w:w="1133" w:type="dxa"/>
          </w:tcPr>
          <w:p w14:paraId="1837CAD3"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F6CB5C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788664D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7977AA91"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7BC86CC7" w14:textId="77777777" w:rsidR="009D33A8" w:rsidRDefault="009D33A8">
            <w:pPr>
              <w:spacing w:after="0"/>
            </w:pPr>
            <w:r>
              <w:t>Other sales of goods and services</w:t>
            </w:r>
          </w:p>
        </w:tc>
        <w:tc>
          <w:tcPr>
            <w:tcW w:w="1133" w:type="dxa"/>
            <w:tcBorders>
              <w:bottom w:val="single" w:sz="6" w:space="0" w:color="auto"/>
            </w:tcBorders>
          </w:tcPr>
          <w:p w14:paraId="530206A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1 315 992</w:t>
            </w:r>
          </w:p>
        </w:tc>
        <w:tc>
          <w:tcPr>
            <w:tcW w:w="1134" w:type="dxa"/>
            <w:tcBorders>
              <w:bottom w:val="single" w:sz="6" w:space="0" w:color="auto"/>
            </w:tcBorders>
          </w:tcPr>
          <w:p w14:paraId="0FC51D8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1 238 853</w:t>
            </w:r>
          </w:p>
        </w:tc>
        <w:tc>
          <w:tcPr>
            <w:tcW w:w="1134" w:type="dxa"/>
            <w:tcBorders>
              <w:bottom w:val="single" w:sz="6" w:space="0" w:color="auto"/>
            </w:tcBorders>
          </w:tcPr>
          <w:p w14:paraId="180B02D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1 134 718</w:t>
            </w:r>
          </w:p>
        </w:tc>
      </w:tr>
      <w:tr w:rsidR="009D33A8" w14:paraId="50038D42"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ED7880A" w14:textId="77777777" w:rsidR="009D33A8" w:rsidRDefault="009D33A8">
            <w:pPr>
              <w:spacing w:after="0"/>
            </w:pPr>
            <w:r>
              <w:rPr>
                <w:b/>
              </w:rPr>
              <w:t>Total sales of goods and services</w:t>
            </w:r>
          </w:p>
        </w:tc>
        <w:tc>
          <w:tcPr>
            <w:tcW w:w="1133" w:type="dxa"/>
            <w:tcBorders>
              <w:top w:val="single" w:sz="6" w:space="0" w:color="auto"/>
            </w:tcBorders>
          </w:tcPr>
          <w:p w14:paraId="2D8AE224"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1 315 992</w:t>
            </w:r>
          </w:p>
        </w:tc>
        <w:tc>
          <w:tcPr>
            <w:tcW w:w="1134" w:type="dxa"/>
            <w:tcBorders>
              <w:top w:val="single" w:sz="6" w:space="0" w:color="auto"/>
            </w:tcBorders>
          </w:tcPr>
          <w:p w14:paraId="44125851"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1 238 853</w:t>
            </w:r>
          </w:p>
        </w:tc>
        <w:tc>
          <w:tcPr>
            <w:tcW w:w="1134" w:type="dxa"/>
            <w:tcBorders>
              <w:top w:val="single" w:sz="6" w:space="0" w:color="auto"/>
            </w:tcBorders>
          </w:tcPr>
          <w:p w14:paraId="0ED30215"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1 134 718</w:t>
            </w:r>
          </w:p>
        </w:tc>
      </w:tr>
      <w:tr w:rsidR="009D33A8" w14:paraId="58EA560A" w14:textId="77777777">
        <w:tc>
          <w:tcPr>
            <w:cnfStyle w:val="001000000000" w:firstRow="0" w:lastRow="0" w:firstColumn="1" w:lastColumn="0" w:oddVBand="0" w:evenVBand="0" w:oddHBand="0" w:evenHBand="0" w:firstRowFirstColumn="0" w:firstRowLastColumn="0" w:lastRowFirstColumn="0" w:lastRowLastColumn="0"/>
            <w:tcW w:w="6237" w:type="dxa"/>
          </w:tcPr>
          <w:p w14:paraId="334F0E92" w14:textId="77777777" w:rsidR="009D33A8" w:rsidRDefault="009D33A8">
            <w:pPr>
              <w:spacing w:after="0"/>
            </w:pPr>
            <w:r>
              <w:rPr>
                <w:b/>
              </w:rPr>
              <w:t>Interest received</w:t>
            </w:r>
          </w:p>
        </w:tc>
        <w:tc>
          <w:tcPr>
            <w:tcW w:w="1133" w:type="dxa"/>
          </w:tcPr>
          <w:p w14:paraId="7AEEB89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723 910</w:t>
            </w:r>
          </w:p>
        </w:tc>
        <w:tc>
          <w:tcPr>
            <w:tcW w:w="1134" w:type="dxa"/>
          </w:tcPr>
          <w:p w14:paraId="332CC3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868 374</w:t>
            </w:r>
          </w:p>
        </w:tc>
        <w:tc>
          <w:tcPr>
            <w:tcW w:w="1134" w:type="dxa"/>
          </w:tcPr>
          <w:p w14:paraId="574DA61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1 103 039</w:t>
            </w:r>
          </w:p>
        </w:tc>
      </w:tr>
      <w:tr w:rsidR="009D33A8" w14:paraId="3C49A3BE" w14:textId="77777777">
        <w:tc>
          <w:tcPr>
            <w:cnfStyle w:val="001000000000" w:firstRow="0" w:lastRow="0" w:firstColumn="1" w:lastColumn="0" w:oddVBand="0" w:evenVBand="0" w:oddHBand="0" w:evenHBand="0" w:firstRowFirstColumn="0" w:firstRowLastColumn="0" w:lastRowFirstColumn="0" w:lastRowLastColumn="0"/>
            <w:tcW w:w="6237" w:type="dxa"/>
          </w:tcPr>
          <w:p w14:paraId="30F39D9E" w14:textId="77777777" w:rsidR="009D33A8" w:rsidRDefault="009D33A8">
            <w:pPr>
              <w:spacing w:after="0"/>
            </w:pPr>
            <w:r>
              <w:rPr>
                <w:b/>
              </w:rPr>
              <w:t>Dividends, and income tax equivalent receipts</w:t>
            </w:r>
          </w:p>
        </w:tc>
        <w:tc>
          <w:tcPr>
            <w:tcW w:w="1133" w:type="dxa"/>
          </w:tcPr>
          <w:p w14:paraId="0CF2840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4EBFBAE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c>
          <w:tcPr>
            <w:tcW w:w="1134" w:type="dxa"/>
          </w:tcPr>
          <w:p w14:paraId="2C726997"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p>
        </w:tc>
      </w:tr>
      <w:tr w:rsidR="009D33A8" w14:paraId="2FA00BA2" w14:textId="77777777">
        <w:tc>
          <w:tcPr>
            <w:cnfStyle w:val="001000000000" w:firstRow="0" w:lastRow="0" w:firstColumn="1" w:lastColumn="0" w:oddVBand="0" w:evenVBand="0" w:oddHBand="0" w:evenHBand="0" w:firstRowFirstColumn="0" w:firstRowLastColumn="0" w:lastRowFirstColumn="0" w:lastRowLastColumn="0"/>
            <w:tcW w:w="6237" w:type="dxa"/>
          </w:tcPr>
          <w:p w14:paraId="701B7A5A" w14:textId="77777777" w:rsidR="009D33A8" w:rsidRDefault="009D33A8">
            <w:pPr>
              <w:spacing w:after="0"/>
            </w:pPr>
            <w:r>
              <w:t>Dividends</w:t>
            </w:r>
          </w:p>
        </w:tc>
        <w:tc>
          <w:tcPr>
            <w:tcW w:w="1133" w:type="dxa"/>
          </w:tcPr>
          <w:p w14:paraId="6931AFB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240 395</w:t>
            </w:r>
          </w:p>
        </w:tc>
        <w:tc>
          <w:tcPr>
            <w:tcW w:w="1134" w:type="dxa"/>
          </w:tcPr>
          <w:p w14:paraId="322F551A"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1 008 547</w:t>
            </w:r>
          </w:p>
        </w:tc>
        <w:tc>
          <w:tcPr>
            <w:tcW w:w="1134" w:type="dxa"/>
          </w:tcPr>
          <w:p w14:paraId="5CE09AD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1 534 462</w:t>
            </w:r>
          </w:p>
        </w:tc>
      </w:tr>
      <w:tr w:rsidR="009D33A8" w14:paraId="1900342D" w14:textId="77777777">
        <w:tc>
          <w:tcPr>
            <w:cnfStyle w:val="001000000000" w:firstRow="0" w:lastRow="0" w:firstColumn="1" w:lastColumn="0" w:oddVBand="0" w:evenVBand="0" w:oddHBand="0" w:evenHBand="0" w:firstRowFirstColumn="0" w:firstRowLastColumn="0" w:lastRowFirstColumn="0" w:lastRowLastColumn="0"/>
            <w:tcW w:w="6237" w:type="dxa"/>
          </w:tcPr>
          <w:p w14:paraId="29EB192C" w14:textId="77777777" w:rsidR="009D33A8" w:rsidRDefault="009D33A8">
            <w:pPr>
              <w:spacing w:after="0"/>
            </w:pPr>
            <w:r>
              <w:t>Income tax equivalent revenue</w:t>
            </w:r>
          </w:p>
        </w:tc>
        <w:tc>
          <w:tcPr>
            <w:tcW w:w="1133" w:type="dxa"/>
          </w:tcPr>
          <w:p w14:paraId="3B318639"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248 647</w:t>
            </w:r>
          </w:p>
        </w:tc>
        <w:tc>
          <w:tcPr>
            <w:tcW w:w="1134" w:type="dxa"/>
          </w:tcPr>
          <w:p w14:paraId="75F71F5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630 795</w:t>
            </w:r>
          </w:p>
        </w:tc>
        <w:tc>
          <w:tcPr>
            <w:tcW w:w="1134" w:type="dxa"/>
          </w:tcPr>
          <w:p w14:paraId="247AE06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945 716</w:t>
            </w:r>
          </w:p>
        </w:tc>
      </w:tr>
      <w:tr w:rsidR="009D33A8" w14:paraId="63CCABA5"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7DE6AE1" w14:textId="77777777" w:rsidR="009D33A8" w:rsidRDefault="009D33A8">
            <w:pPr>
              <w:spacing w:after="0"/>
            </w:pPr>
            <w:r>
              <w:t>Local government tax equivalent revenue</w:t>
            </w:r>
          </w:p>
        </w:tc>
        <w:tc>
          <w:tcPr>
            <w:tcW w:w="1133" w:type="dxa"/>
            <w:tcBorders>
              <w:bottom w:val="single" w:sz="6" w:space="0" w:color="auto"/>
            </w:tcBorders>
          </w:tcPr>
          <w:p w14:paraId="6AB70CFB"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5 446</w:t>
            </w:r>
          </w:p>
        </w:tc>
        <w:tc>
          <w:tcPr>
            <w:tcW w:w="1134" w:type="dxa"/>
            <w:tcBorders>
              <w:bottom w:val="single" w:sz="6" w:space="0" w:color="auto"/>
            </w:tcBorders>
          </w:tcPr>
          <w:p w14:paraId="0B79F1D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4 562</w:t>
            </w:r>
          </w:p>
        </w:tc>
        <w:tc>
          <w:tcPr>
            <w:tcW w:w="1134" w:type="dxa"/>
            <w:tcBorders>
              <w:bottom w:val="single" w:sz="6" w:space="0" w:color="auto"/>
            </w:tcBorders>
          </w:tcPr>
          <w:p w14:paraId="603EC9B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t>4 493</w:t>
            </w:r>
          </w:p>
        </w:tc>
      </w:tr>
      <w:tr w:rsidR="009D33A8" w14:paraId="5E37F64B"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DE1CE0E" w14:textId="77777777" w:rsidR="009D33A8" w:rsidRDefault="009D33A8">
            <w:pPr>
              <w:spacing w:after="0"/>
            </w:pPr>
            <w:r>
              <w:rPr>
                <w:b/>
              </w:rPr>
              <w:t>Total dividends, and income tax equivalent receipts</w:t>
            </w:r>
          </w:p>
        </w:tc>
        <w:tc>
          <w:tcPr>
            <w:tcW w:w="1133" w:type="dxa"/>
            <w:tcBorders>
              <w:top w:val="single" w:sz="6" w:space="0" w:color="auto"/>
            </w:tcBorders>
          </w:tcPr>
          <w:p w14:paraId="1AAAC542"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494 487</w:t>
            </w:r>
          </w:p>
        </w:tc>
        <w:tc>
          <w:tcPr>
            <w:tcW w:w="1134" w:type="dxa"/>
            <w:tcBorders>
              <w:top w:val="single" w:sz="6" w:space="0" w:color="auto"/>
            </w:tcBorders>
          </w:tcPr>
          <w:p w14:paraId="245E241C"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1 643 904</w:t>
            </w:r>
          </w:p>
        </w:tc>
        <w:tc>
          <w:tcPr>
            <w:tcW w:w="1134" w:type="dxa"/>
            <w:tcBorders>
              <w:top w:val="single" w:sz="6" w:space="0" w:color="auto"/>
            </w:tcBorders>
          </w:tcPr>
          <w:p w14:paraId="4A9C0350" w14:textId="77777777" w:rsidR="009D33A8" w:rsidRDefault="009D33A8">
            <w:pPr>
              <w:spacing w:after="0"/>
              <w:cnfStyle w:val="000000000000" w:firstRow="0" w:lastRow="0" w:firstColumn="0" w:lastColumn="0" w:oddVBand="0" w:evenVBand="0" w:oddHBand="0" w:evenHBand="0" w:firstRowFirstColumn="0" w:firstRowLastColumn="0" w:lastRowFirstColumn="0" w:lastRowLastColumn="0"/>
            </w:pPr>
            <w:r>
              <w:rPr>
                <w:b/>
              </w:rPr>
              <w:t>2 484 672</w:t>
            </w:r>
          </w:p>
        </w:tc>
      </w:tr>
    </w:tbl>
    <w:p w14:paraId="23F07A1B" w14:textId="77777777" w:rsidR="009D33A8" w:rsidRDefault="009D33A8" w:rsidP="009D33A8"/>
    <w:p w14:paraId="5B8935FF" w14:textId="6DBD4817" w:rsidR="009D33A8" w:rsidRPr="004610D1" w:rsidRDefault="009D33A8" w:rsidP="004610D1">
      <w:pPr>
        <w:pStyle w:val="Heading5"/>
        <w:rPr>
          <w:sz w:val="23"/>
          <w:szCs w:val="23"/>
        </w:rPr>
      </w:pPr>
      <w:bookmarkStart w:id="139" w:name="_Toc176184897"/>
      <w:bookmarkStart w:id="140" w:name="_Toc203393635"/>
      <w:r w:rsidRPr="004610D1">
        <w:rPr>
          <w:sz w:val="23"/>
          <w:szCs w:val="23"/>
        </w:rPr>
        <w:lastRenderedPageBreak/>
        <w:t>7.2.</w:t>
      </w:r>
      <w:r w:rsidR="004610D1" w:rsidRPr="004610D1">
        <w:rPr>
          <w:sz w:val="23"/>
          <w:szCs w:val="23"/>
        </w:rPr>
        <w:t>2</w:t>
      </w:r>
      <w:r w:rsidR="004610D1" w:rsidRPr="004610D1">
        <w:rPr>
          <w:sz w:val="23"/>
          <w:szCs w:val="23"/>
        </w:rPr>
        <w:tab/>
      </w:r>
      <w:r w:rsidRPr="004610D1">
        <w:rPr>
          <w:sz w:val="23"/>
          <w:szCs w:val="23"/>
        </w:rPr>
        <w:t xml:space="preserve">Consolidated fund receipts for the financial year ended 30 June </w:t>
      </w:r>
      <w:r w:rsidRPr="00387417">
        <w:rPr>
          <w:i/>
          <w:sz w:val="21"/>
          <w:szCs w:val="22"/>
        </w:rPr>
        <w:t>(continued)</w:t>
      </w:r>
      <w:r w:rsidRPr="004610D1">
        <w:rPr>
          <w:sz w:val="23"/>
          <w:szCs w:val="23"/>
        </w:rPr>
        <w:tab/>
      </w:r>
      <w:r w:rsidRPr="003A1311">
        <w:rPr>
          <w:sz w:val="20"/>
          <w:szCs w:val="20"/>
        </w:rPr>
        <w:t>($ thousand)</w:t>
      </w:r>
      <w:bookmarkEnd w:id="139"/>
      <w:bookmarkEnd w:id="140"/>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receipts|FirstRow:67"/>
      </w:tblPr>
      <w:tblGrid>
        <w:gridCol w:w="6237"/>
        <w:gridCol w:w="1133"/>
        <w:gridCol w:w="1134"/>
        <w:gridCol w:w="1134"/>
      </w:tblGrid>
      <w:tr w:rsidR="009D33A8" w14:paraId="204CA1B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39E96FD3" w14:textId="77777777" w:rsidR="009D33A8" w:rsidRDefault="009D33A8">
            <w:pPr>
              <w:keepNext/>
            </w:pPr>
          </w:p>
        </w:tc>
        <w:tc>
          <w:tcPr>
            <w:tcW w:w="1133" w:type="dxa"/>
          </w:tcPr>
          <w:p w14:paraId="4B73B29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Published budget</w:t>
            </w:r>
          </w:p>
        </w:tc>
        <w:tc>
          <w:tcPr>
            <w:tcW w:w="1134" w:type="dxa"/>
          </w:tcPr>
          <w:p w14:paraId="30981D6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Actual</w:t>
            </w:r>
          </w:p>
        </w:tc>
        <w:tc>
          <w:tcPr>
            <w:tcW w:w="1134" w:type="dxa"/>
          </w:tcPr>
          <w:p w14:paraId="56AC051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Actual</w:t>
            </w:r>
          </w:p>
        </w:tc>
      </w:tr>
      <w:tr w:rsidR="009D33A8" w14:paraId="7DE409C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36E5D40F" w14:textId="77777777" w:rsidR="009D33A8" w:rsidRDefault="009D33A8">
            <w:pPr>
              <w:keepNext/>
            </w:pPr>
          </w:p>
        </w:tc>
        <w:tc>
          <w:tcPr>
            <w:tcW w:w="1133" w:type="dxa"/>
          </w:tcPr>
          <w:p w14:paraId="2A051BB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21051446"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1134" w:type="dxa"/>
          </w:tcPr>
          <w:p w14:paraId="5AE77E4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57AC669D" w14:textId="77777777">
        <w:tc>
          <w:tcPr>
            <w:cnfStyle w:val="001000000000" w:firstRow="0" w:lastRow="0" w:firstColumn="1" w:lastColumn="0" w:oddVBand="0" w:evenVBand="0" w:oddHBand="0" w:evenHBand="0" w:firstRowFirstColumn="0" w:firstRowLastColumn="0" w:lastRowFirstColumn="0" w:lastRowLastColumn="0"/>
            <w:tcW w:w="6237" w:type="dxa"/>
          </w:tcPr>
          <w:p w14:paraId="3058535D" w14:textId="77777777" w:rsidR="009D33A8" w:rsidRDefault="009D33A8">
            <w:r>
              <w:rPr>
                <w:b/>
              </w:rPr>
              <w:t>Other receipts</w:t>
            </w:r>
          </w:p>
        </w:tc>
        <w:tc>
          <w:tcPr>
            <w:tcW w:w="1133" w:type="dxa"/>
          </w:tcPr>
          <w:p w14:paraId="4782EDA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Pr>
          <w:p w14:paraId="04E300F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Pr>
          <w:p w14:paraId="13A90EE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B873124" w14:textId="77777777">
        <w:tc>
          <w:tcPr>
            <w:cnfStyle w:val="001000000000" w:firstRow="0" w:lastRow="0" w:firstColumn="1" w:lastColumn="0" w:oddVBand="0" w:evenVBand="0" w:oddHBand="0" w:evenHBand="0" w:firstRowFirstColumn="0" w:firstRowLastColumn="0" w:lastRowFirstColumn="0" w:lastRowLastColumn="0"/>
            <w:tcW w:w="6237" w:type="dxa"/>
          </w:tcPr>
          <w:p w14:paraId="0BE97A91" w14:textId="77777777" w:rsidR="009D33A8" w:rsidRDefault="009D33A8">
            <w:r>
              <w:t>Land rent received</w:t>
            </w:r>
          </w:p>
        </w:tc>
        <w:tc>
          <w:tcPr>
            <w:tcW w:w="1133" w:type="dxa"/>
          </w:tcPr>
          <w:p w14:paraId="170FC4E0" w14:textId="77777777" w:rsidR="009D33A8" w:rsidRDefault="009D33A8">
            <w:pPr>
              <w:cnfStyle w:val="000000000000" w:firstRow="0" w:lastRow="0" w:firstColumn="0" w:lastColumn="0" w:oddVBand="0" w:evenVBand="0" w:oddHBand="0" w:evenHBand="0" w:firstRowFirstColumn="0" w:firstRowLastColumn="0" w:lastRowFirstColumn="0" w:lastRowLastColumn="0"/>
            </w:pPr>
            <w:r>
              <w:t>18 100</w:t>
            </w:r>
          </w:p>
        </w:tc>
        <w:tc>
          <w:tcPr>
            <w:tcW w:w="1134" w:type="dxa"/>
          </w:tcPr>
          <w:p w14:paraId="530081B1" w14:textId="77777777" w:rsidR="009D33A8" w:rsidRDefault="009D33A8">
            <w:pPr>
              <w:cnfStyle w:val="000000000000" w:firstRow="0" w:lastRow="0" w:firstColumn="0" w:lastColumn="0" w:oddVBand="0" w:evenVBand="0" w:oddHBand="0" w:evenHBand="0" w:firstRowFirstColumn="0" w:firstRowLastColumn="0" w:lastRowFirstColumn="0" w:lastRowLastColumn="0"/>
            </w:pPr>
            <w:r>
              <w:t>26 446</w:t>
            </w:r>
          </w:p>
        </w:tc>
        <w:tc>
          <w:tcPr>
            <w:tcW w:w="1134" w:type="dxa"/>
          </w:tcPr>
          <w:p w14:paraId="557C459B" w14:textId="77777777" w:rsidR="009D33A8" w:rsidRDefault="009D33A8">
            <w:pPr>
              <w:cnfStyle w:val="000000000000" w:firstRow="0" w:lastRow="0" w:firstColumn="0" w:lastColumn="0" w:oddVBand="0" w:evenVBand="0" w:oddHBand="0" w:evenHBand="0" w:firstRowFirstColumn="0" w:firstRowLastColumn="0" w:lastRowFirstColumn="0" w:lastRowLastColumn="0"/>
            </w:pPr>
            <w:r>
              <w:t>32 589</w:t>
            </w:r>
          </w:p>
        </w:tc>
      </w:tr>
      <w:tr w:rsidR="009D33A8" w14:paraId="3E7F124A" w14:textId="77777777">
        <w:tc>
          <w:tcPr>
            <w:cnfStyle w:val="001000000000" w:firstRow="0" w:lastRow="0" w:firstColumn="1" w:lastColumn="0" w:oddVBand="0" w:evenVBand="0" w:oddHBand="0" w:evenHBand="0" w:firstRowFirstColumn="0" w:firstRowLastColumn="0" w:lastRowFirstColumn="0" w:lastRowLastColumn="0"/>
            <w:tcW w:w="6237" w:type="dxa"/>
          </w:tcPr>
          <w:p w14:paraId="2C74DFC9" w14:textId="77777777" w:rsidR="009D33A8" w:rsidRDefault="009D33A8">
            <w:r>
              <w:t>Royalties received</w:t>
            </w:r>
          </w:p>
        </w:tc>
        <w:tc>
          <w:tcPr>
            <w:tcW w:w="1133" w:type="dxa"/>
          </w:tcPr>
          <w:p w14:paraId="1AB9F438" w14:textId="77777777" w:rsidR="009D33A8" w:rsidRDefault="009D33A8">
            <w:pPr>
              <w:cnfStyle w:val="000000000000" w:firstRow="0" w:lastRow="0" w:firstColumn="0" w:lastColumn="0" w:oddVBand="0" w:evenVBand="0" w:oddHBand="0" w:evenHBand="0" w:firstRowFirstColumn="0" w:firstRowLastColumn="0" w:lastRowFirstColumn="0" w:lastRowLastColumn="0"/>
            </w:pPr>
            <w:r>
              <w:t>143 527</w:t>
            </w:r>
          </w:p>
        </w:tc>
        <w:tc>
          <w:tcPr>
            <w:tcW w:w="1134" w:type="dxa"/>
          </w:tcPr>
          <w:p w14:paraId="6ADAC5C8" w14:textId="77777777" w:rsidR="009D33A8" w:rsidRDefault="009D33A8">
            <w:pPr>
              <w:cnfStyle w:val="000000000000" w:firstRow="0" w:lastRow="0" w:firstColumn="0" w:lastColumn="0" w:oddVBand="0" w:evenVBand="0" w:oddHBand="0" w:evenHBand="0" w:firstRowFirstColumn="0" w:firstRowLastColumn="0" w:lastRowFirstColumn="0" w:lastRowLastColumn="0"/>
            </w:pPr>
            <w:r>
              <w:t>162 023</w:t>
            </w:r>
          </w:p>
        </w:tc>
        <w:tc>
          <w:tcPr>
            <w:tcW w:w="1134" w:type="dxa"/>
          </w:tcPr>
          <w:p w14:paraId="65E287C2" w14:textId="77777777" w:rsidR="009D33A8" w:rsidRDefault="009D33A8">
            <w:pPr>
              <w:cnfStyle w:val="000000000000" w:firstRow="0" w:lastRow="0" w:firstColumn="0" w:lastColumn="0" w:oddVBand="0" w:evenVBand="0" w:oddHBand="0" w:evenHBand="0" w:firstRowFirstColumn="0" w:firstRowLastColumn="0" w:lastRowFirstColumn="0" w:lastRowLastColumn="0"/>
            </w:pPr>
            <w:r>
              <w:t>135 558</w:t>
            </w:r>
          </w:p>
        </w:tc>
      </w:tr>
      <w:tr w:rsidR="009D33A8" w14:paraId="70627D4F"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2BED818B" w14:textId="77777777" w:rsidR="009D33A8" w:rsidRDefault="009D33A8">
            <w:r>
              <w:t>Other</w:t>
            </w:r>
            <w:r>
              <w:rPr>
                <w:vertAlign w:val="superscript"/>
              </w:rPr>
              <w:t xml:space="preserve"> (b)</w:t>
            </w:r>
          </w:p>
        </w:tc>
        <w:tc>
          <w:tcPr>
            <w:tcW w:w="1133" w:type="dxa"/>
            <w:tcBorders>
              <w:bottom w:val="single" w:sz="6" w:space="0" w:color="auto"/>
            </w:tcBorders>
          </w:tcPr>
          <w:p w14:paraId="518F711C" w14:textId="77777777" w:rsidR="009D33A8" w:rsidRDefault="009D33A8">
            <w:pPr>
              <w:cnfStyle w:val="000000000000" w:firstRow="0" w:lastRow="0" w:firstColumn="0" w:lastColumn="0" w:oddVBand="0" w:evenVBand="0" w:oddHBand="0" w:evenHBand="0" w:firstRowFirstColumn="0" w:firstRowLastColumn="0" w:lastRowFirstColumn="0" w:lastRowLastColumn="0"/>
            </w:pPr>
            <w:r>
              <w:t>588 702</w:t>
            </w:r>
          </w:p>
        </w:tc>
        <w:tc>
          <w:tcPr>
            <w:tcW w:w="1134" w:type="dxa"/>
            <w:tcBorders>
              <w:bottom w:val="single" w:sz="6" w:space="0" w:color="auto"/>
            </w:tcBorders>
          </w:tcPr>
          <w:p w14:paraId="06F3212F" w14:textId="77777777" w:rsidR="009D33A8" w:rsidRDefault="009D33A8">
            <w:pPr>
              <w:cnfStyle w:val="000000000000" w:firstRow="0" w:lastRow="0" w:firstColumn="0" w:lastColumn="0" w:oddVBand="0" w:evenVBand="0" w:oddHBand="0" w:evenHBand="0" w:firstRowFirstColumn="0" w:firstRowLastColumn="0" w:lastRowFirstColumn="0" w:lastRowLastColumn="0"/>
            </w:pPr>
            <w:r>
              <w:t>1 350 120</w:t>
            </w:r>
          </w:p>
        </w:tc>
        <w:tc>
          <w:tcPr>
            <w:tcW w:w="1134" w:type="dxa"/>
            <w:tcBorders>
              <w:bottom w:val="single" w:sz="6" w:space="0" w:color="auto"/>
            </w:tcBorders>
          </w:tcPr>
          <w:p w14:paraId="384CABAA" w14:textId="77777777" w:rsidR="009D33A8" w:rsidRDefault="009D33A8">
            <w:pPr>
              <w:cnfStyle w:val="000000000000" w:firstRow="0" w:lastRow="0" w:firstColumn="0" w:lastColumn="0" w:oddVBand="0" w:evenVBand="0" w:oddHBand="0" w:evenHBand="0" w:firstRowFirstColumn="0" w:firstRowLastColumn="0" w:lastRowFirstColumn="0" w:lastRowLastColumn="0"/>
            </w:pPr>
            <w:r>
              <w:t>863 433</w:t>
            </w:r>
          </w:p>
        </w:tc>
      </w:tr>
      <w:tr w:rsidR="009D33A8" w14:paraId="66121879"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0D6E36C4" w14:textId="77777777" w:rsidR="009D33A8" w:rsidRDefault="009D33A8">
            <w:r>
              <w:rPr>
                <w:b/>
              </w:rPr>
              <w:t>Total other receipts</w:t>
            </w:r>
            <w:r>
              <w:rPr>
                <w:b/>
                <w:vertAlign w:val="superscript"/>
              </w:rPr>
              <w:t xml:space="preserve"> (b)</w:t>
            </w:r>
          </w:p>
        </w:tc>
        <w:tc>
          <w:tcPr>
            <w:tcW w:w="1133" w:type="dxa"/>
            <w:tcBorders>
              <w:top w:val="single" w:sz="6" w:space="0" w:color="auto"/>
              <w:bottom w:val="single" w:sz="6" w:space="0" w:color="auto"/>
            </w:tcBorders>
          </w:tcPr>
          <w:p w14:paraId="5837A27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750 329</w:t>
            </w:r>
          </w:p>
        </w:tc>
        <w:tc>
          <w:tcPr>
            <w:tcW w:w="1134" w:type="dxa"/>
            <w:tcBorders>
              <w:top w:val="single" w:sz="6" w:space="0" w:color="auto"/>
              <w:bottom w:val="single" w:sz="6" w:space="0" w:color="auto"/>
            </w:tcBorders>
          </w:tcPr>
          <w:p w14:paraId="695FAD7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1 538 588</w:t>
            </w:r>
          </w:p>
        </w:tc>
        <w:tc>
          <w:tcPr>
            <w:tcW w:w="1134" w:type="dxa"/>
            <w:tcBorders>
              <w:top w:val="single" w:sz="6" w:space="0" w:color="auto"/>
              <w:bottom w:val="single" w:sz="6" w:space="0" w:color="auto"/>
            </w:tcBorders>
          </w:tcPr>
          <w:p w14:paraId="168E244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1 031 580</w:t>
            </w:r>
          </w:p>
        </w:tc>
      </w:tr>
      <w:tr w:rsidR="009D33A8" w14:paraId="4FB20423"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5F41B6A4" w14:textId="77777777" w:rsidR="009D33A8" w:rsidRDefault="009D33A8">
            <w:r>
              <w:rPr>
                <w:b/>
              </w:rPr>
              <w:t>Total cash inflows from operating activities</w:t>
            </w:r>
          </w:p>
        </w:tc>
        <w:tc>
          <w:tcPr>
            <w:tcW w:w="1133" w:type="dxa"/>
            <w:tcBorders>
              <w:top w:val="single" w:sz="6" w:space="0" w:color="auto"/>
              <w:bottom w:val="single" w:sz="6" w:space="0" w:color="auto"/>
            </w:tcBorders>
          </w:tcPr>
          <w:p w14:paraId="7708A5D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73 452 438</w:t>
            </w:r>
          </w:p>
        </w:tc>
        <w:tc>
          <w:tcPr>
            <w:tcW w:w="1134" w:type="dxa"/>
            <w:tcBorders>
              <w:top w:val="single" w:sz="6" w:space="0" w:color="auto"/>
              <w:bottom w:val="single" w:sz="6" w:space="0" w:color="auto"/>
            </w:tcBorders>
          </w:tcPr>
          <w:p w14:paraId="21D00BE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78 321 120</w:t>
            </w:r>
          </w:p>
        </w:tc>
        <w:tc>
          <w:tcPr>
            <w:tcW w:w="1134" w:type="dxa"/>
            <w:tcBorders>
              <w:top w:val="single" w:sz="6" w:space="0" w:color="auto"/>
              <w:bottom w:val="single" w:sz="6" w:space="0" w:color="auto"/>
            </w:tcBorders>
          </w:tcPr>
          <w:p w14:paraId="4565065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71 098 081</w:t>
            </w:r>
          </w:p>
        </w:tc>
      </w:tr>
      <w:tr w:rsidR="009D33A8" w14:paraId="006D5982"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B559132" w14:textId="77777777" w:rsidR="009D33A8" w:rsidRDefault="009D33A8">
            <w:r>
              <w:rPr>
                <w:b/>
              </w:rPr>
              <w:t>Cash inflows from investing activities</w:t>
            </w:r>
          </w:p>
        </w:tc>
        <w:tc>
          <w:tcPr>
            <w:tcW w:w="1133" w:type="dxa"/>
            <w:tcBorders>
              <w:top w:val="single" w:sz="6" w:space="0" w:color="auto"/>
            </w:tcBorders>
          </w:tcPr>
          <w:p w14:paraId="1CB02D3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2DC4639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622D56F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8CFE88A" w14:textId="77777777">
        <w:tc>
          <w:tcPr>
            <w:cnfStyle w:val="001000000000" w:firstRow="0" w:lastRow="0" w:firstColumn="1" w:lastColumn="0" w:oddVBand="0" w:evenVBand="0" w:oddHBand="0" w:evenHBand="0" w:firstRowFirstColumn="0" w:firstRowLastColumn="0" w:lastRowFirstColumn="0" w:lastRowLastColumn="0"/>
            <w:tcW w:w="6237" w:type="dxa"/>
          </w:tcPr>
          <w:p w14:paraId="7E0F90A9" w14:textId="77777777" w:rsidR="009D33A8" w:rsidRDefault="009D33A8">
            <w:r>
              <w:t>Proceeds from investments</w:t>
            </w:r>
            <w:r>
              <w:rPr>
                <w:vertAlign w:val="superscript"/>
              </w:rPr>
              <w:t xml:space="preserve"> (c)</w:t>
            </w:r>
          </w:p>
        </w:tc>
        <w:tc>
          <w:tcPr>
            <w:tcW w:w="1133" w:type="dxa"/>
          </w:tcPr>
          <w:p w14:paraId="362DABB1" w14:textId="77777777" w:rsidR="009D33A8" w:rsidRDefault="009D33A8">
            <w:pPr>
              <w:cnfStyle w:val="000000000000" w:firstRow="0" w:lastRow="0" w:firstColumn="0" w:lastColumn="0" w:oddVBand="0" w:evenVBand="0" w:oddHBand="0" w:evenHBand="0" w:firstRowFirstColumn="0" w:firstRowLastColumn="0" w:lastRowFirstColumn="0" w:lastRowLastColumn="0"/>
            </w:pPr>
            <w:r>
              <w:t>28 982</w:t>
            </w:r>
          </w:p>
        </w:tc>
        <w:tc>
          <w:tcPr>
            <w:tcW w:w="1134" w:type="dxa"/>
          </w:tcPr>
          <w:p w14:paraId="112073E7" w14:textId="77777777" w:rsidR="009D33A8" w:rsidRDefault="009D33A8">
            <w:pPr>
              <w:cnfStyle w:val="000000000000" w:firstRow="0" w:lastRow="0" w:firstColumn="0" w:lastColumn="0" w:oddVBand="0" w:evenVBand="0" w:oddHBand="0" w:evenHBand="0" w:firstRowFirstColumn="0" w:firstRowLastColumn="0" w:lastRowFirstColumn="0" w:lastRowLastColumn="0"/>
            </w:pPr>
            <w:r>
              <w:t>2 367</w:t>
            </w:r>
          </w:p>
        </w:tc>
        <w:tc>
          <w:tcPr>
            <w:tcW w:w="1134" w:type="dxa"/>
          </w:tcPr>
          <w:p w14:paraId="250B2D27" w14:textId="77777777" w:rsidR="009D33A8" w:rsidRDefault="009D33A8">
            <w:pPr>
              <w:cnfStyle w:val="000000000000" w:firstRow="0" w:lastRow="0" w:firstColumn="0" w:lastColumn="0" w:oddVBand="0" w:evenVBand="0" w:oddHBand="0" w:evenHBand="0" w:firstRowFirstColumn="0" w:firstRowLastColumn="0" w:lastRowFirstColumn="0" w:lastRowLastColumn="0"/>
            </w:pPr>
            <w:r>
              <w:t>1 339</w:t>
            </w:r>
          </w:p>
        </w:tc>
      </w:tr>
      <w:tr w:rsidR="009D33A8" w14:paraId="23A764E5" w14:textId="77777777">
        <w:tc>
          <w:tcPr>
            <w:cnfStyle w:val="001000000000" w:firstRow="0" w:lastRow="0" w:firstColumn="1" w:lastColumn="0" w:oddVBand="0" w:evenVBand="0" w:oddHBand="0" w:evenHBand="0" w:firstRowFirstColumn="0" w:firstRowLastColumn="0" w:lastRowFirstColumn="0" w:lastRowLastColumn="0"/>
            <w:tcW w:w="6237" w:type="dxa"/>
          </w:tcPr>
          <w:p w14:paraId="1B18D8E4" w14:textId="77777777" w:rsidR="009D33A8" w:rsidRDefault="009D33A8">
            <w:r>
              <w:t>Proceeds from sale of property, plant and equipment</w:t>
            </w:r>
            <w:r>
              <w:rPr>
                <w:vertAlign w:val="superscript"/>
              </w:rPr>
              <w:t xml:space="preserve"> (c)</w:t>
            </w:r>
          </w:p>
        </w:tc>
        <w:tc>
          <w:tcPr>
            <w:tcW w:w="1133" w:type="dxa"/>
          </w:tcPr>
          <w:p w14:paraId="234565BE" w14:textId="77777777" w:rsidR="009D33A8" w:rsidRDefault="009D33A8">
            <w:pPr>
              <w:cnfStyle w:val="000000000000" w:firstRow="0" w:lastRow="0" w:firstColumn="0" w:lastColumn="0" w:oddVBand="0" w:evenVBand="0" w:oddHBand="0" w:evenHBand="0" w:firstRowFirstColumn="0" w:firstRowLastColumn="0" w:lastRowFirstColumn="0" w:lastRowLastColumn="0"/>
            </w:pPr>
            <w:r>
              <w:t>404 743</w:t>
            </w:r>
          </w:p>
        </w:tc>
        <w:tc>
          <w:tcPr>
            <w:tcW w:w="1134" w:type="dxa"/>
          </w:tcPr>
          <w:p w14:paraId="385CE55E" w14:textId="77777777" w:rsidR="009D33A8" w:rsidRDefault="009D33A8">
            <w:pPr>
              <w:cnfStyle w:val="000000000000" w:firstRow="0" w:lastRow="0" w:firstColumn="0" w:lastColumn="0" w:oddVBand="0" w:evenVBand="0" w:oddHBand="0" w:evenHBand="0" w:firstRowFirstColumn="0" w:firstRowLastColumn="0" w:lastRowFirstColumn="0" w:lastRowLastColumn="0"/>
            </w:pPr>
            <w:r>
              <w:t>83 184</w:t>
            </w:r>
          </w:p>
        </w:tc>
        <w:tc>
          <w:tcPr>
            <w:tcW w:w="1134" w:type="dxa"/>
          </w:tcPr>
          <w:p w14:paraId="5ED81B97" w14:textId="77777777" w:rsidR="009D33A8" w:rsidRDefault="009D33A8">
            <w:pPr>
              <w:cnfStyle w:val="000000000000" w:firstRow="0" w:lastRow="0" w:firstColumn="0" w:lastColumn="0" w:oddVBand="0" w:evenVBand="0" w:oddHBand="0" w:evenHBand="0" w:firstRowFirstColumn="0" w:firstRowLastColumn="0" w:lastRowFirstColumn="0" w:lastRowLastColumn="0"/>
            </w:pPr>
            <w:r>
              <w:t>150 036</w:t>
            </w:r>
          </w:p>
        </w:tc>
      </w:tr>
      <w:tr w:rsidR="009D33A8" w14:paraId="2B56C5FC" w14:textId="77777777">
        <w:tc>
          <w:tcPr>
            <w:cnfStyle w:val="001000000000" w:firstRow="0" w:lastRow="0" w:firstColumn="1" w:lastColumn="0" w:oddVBand="0" w:evenVBand="0" w:oddHBand="0" w:evenHBand="0" w:firstRowFirstColumn="0" w:firstRowLastColumn="0" w:lastRowFirstColumn="0" w:lastRowLastColumn="0"/>
            <w:tcW w:w="6237" w:type="dxa"/>
          </w:tcPr>
          <w:p w14:paraId="67D67463" w14:textId="77777777" w:rsidR="009D33A8" w:rsidRDefault="009D33A8">
            <w:r>
              <w:t>Other loans</w:t>
            </w:r>
          </w:p>
        </w:tc>
        <w:tc>
          <w:tcPr>
            <w:tcW w:w="1133" w:type="dxa"/>
          </w:tcPr>
          <w:p w14:paraId="293BF9F2" w14:textId="77777777" w:rsidR="009D33A8" w:rsidRDefault="009D33A8">
            <w:pPr>
              <w:cnfStyle w:val="000000000000" w:firstRow="0" w:lastRow="0" w:firstColumn="0" w:lastColumn="0" w:oddVBand="0" w:evenVBand="0" w:oddHBand="0" w:evenHBand="0" w:firstRowFirstColumn="0" w:firstRowLastColumn="0" w:lastRowFirstColumn="0" w:lastRowLastColumn="0"/>
            </w:pPr>
            <w:r>
              <w:t>642</w:t>
            </w:r>
          </w:p>
        </w:tc>
        <w:tc>
          <w:tcPr>
            <w:tcW w:w="1134" w:type="dxa"/>
          </w:tcPr>
          <w:p w14:paraId="7CF075A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FDF79F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6D8035E2"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3AF61270" w14:textId="39993567" w:rsidR="009D33A8" w:rsidRDefault="009D33A8">
            <w:r>
              <w:t xml:space="preserve">Return of capital – </w:t>
            </w:r>
            <w:r w:rsidR="00387417">
              <w:t xml:space="preserve">Government </w:t>
            </w:r>
            <w:r>
              <w:t>entities</w:t>
            </w:r>
          </w:p>
        </w:tc>
        <w:tc>
          <w:tcPr>
            <w:tcW w:w="1133" w:type="dxa"/>
            <w:tcBorders>
              <w:bottom w:val="single" w:sz="6" w:space="0" w:color="auto"/>
            </w:tcBorders>
          </w:tcPr>
          <w:p w14:paraId="0D2E2DE1" w14:textId="77777777" w:rsidR="009D33A8" w:rsidRDefault="009D33A8">
            <w:pPr>
              <w:cnfStyle w:val="000000000000" w:firstRow="0" w:lastRow="0" w:firstColumn="0" w:lastColumn="0" w:oddVBand="0" w:evenVBand="0" w:oddHBand="0" w:evenHBand="0" w:firstRowFirstColumn="0" w:firstRowLastColumn="0" w:lastRowFirstColumn="0" w:lastRowLastColumn="0"/>
            </w:pPr>
            <w:r>
              <w:t>69 591</w:t>
            </w:r>
          </w:p>
        </w:tc>
        <w:tc>
          <w:tcPr>
            <w:tcW w:w="1134" w:type="dxa"/>
            <w:tcBorders>
              <w:bottom w:val="single" w:sz="6" w:space="0" w:color="auto"/>
            </w:tcBorders>
          </w:tcPr>
          <w:p w14:paraId="3FA2C663" w14:textId="77777777" w:rsidR="009D33A8" w:rsidRDefault="009D33A8">
            <w:pPr>
              <w:cnfStyle w:val="000000000000" w:firstRow="0" w:lastRow="0" w:firstColumn="0" w:lastColumn="0" w:oddVBand="0" w:evenVBand="0" w:oddHBand="0" w:evenHBand="0" w:firstRowFirstColumn="0" w:firstRowLastColumn="0" w:lastRowFirstColumn="0" w:lastRowLastColumn="0"/>
            </w:pPr>
            <w:r>
              <w:t>6 780</w:t>
            </w:r>
          </w:p>
        </w:tc>
        <w:tc>
          <w:tcPr>
            <w:tcW w:w="1134" w:type="dxa"/>
            <w:tcBorders>
              <w:bottom w:val="single" w:sz="6" w:space="0" w:color="auto"/>
            </w:tcBorders>
          </w:tcPr>
          <w:p w14:paraId="62A19FE6" w14:textId="77777777" w:rsidR="009D33A8" w:rsidRDefault="009D33A8">
            <w:pPr>
              <w:cnfStyle w:val="000000000000" w:firstRow="0" w:lastRow="0" w:firstColumn="0" w:lastColumn="0" w:oddVBand="0" w:evenVBand="0" w:oddHBand="0" w:evenHBand="0" w:firstRowFirstColumn="0" w:firstRowLastColumn="0" w:lastRowFirstColumn="0" w:lastRowLastColumn="0"/>
            </w:pPr>
            <w:r>
              <w:t>408 572</w:t>
            </w:r>
          </w:p>
        </w:tc>
      </w:tr>
      <w:tr w:rsidR="009D33A8" w14:paraId="3B6A25E4"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6AA01E8D" w14:textId="77777777" w:rsidR="009D33A8" w:rsidRDefault="009D33A8">
            <w:r>
              <w:rPr>
                <w:b/>
              </w:rPr>
              <w:t>Total cash inflows from investing activities</w:t>
            </w:r>
            <w:r>
              <w:rPr>
                <w:b/>
                <w:vertAlign w:val="superscript"/>
              </w:rPr>
              <w:t xml:space="preserve"> (c)</w:t>
            </w:r>
          </w:p>
        </w:tc>
        <w:tc>
          <w:tcPr>
            <w:tcW w:w="1133" w:type="dxa"/>
            <w:tcBorders>
              <w:top w:val="single" w:sz="6" w:space="0" w:color="auto"/>
              <w:bottom w:val="single" w:sz="6" w:space="0" w:color="auto"/>
            </w:tcBorders>
          </w:tcPr>
          <w:p w14:paraId="1BC1066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503 958</w:t>
            </w:r>
          </w:p>
        </w:tc>
        <w:tc>
          <w:tcPr>
            <w:tcW w:w="1134" w:type="dxa"/>
            <w:tcBorders>
              <w:top w:val="single" w:sz="6" w:space="0" w:color="auto"/>
              <w:bottom w:val="single" w:sz="6" w:space="0" w:color="auto"/>
            </w:tcBorders>
          </w:tcPr>
          <w:p w14:paraId="571E741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92 331</w:t>
            </w:r>
          </w:p>
        </w:tc>
        <w:tc>
          <w:tcPr>
            <w:tcW w:w="1134" w:type="dxa"/>
            <w:tcBorders>
              <w:top w:val="single" w:sz="6" w:space="0" w:color="auto"/>
              <w:bottom w:val="single" w:sz="6" w:space="0" w:color="auto"/>
            </w:tcBorders>
          </w:tcPr>
          <w:p w14:paraId="46580FF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559 947</w:t>
            </w:r>
          </w:p>
        </w:tc>
      </w:tr>
      <w:tr w:rsidR="009D33A8" w14:paraId="3384D6CE"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723C7284" w14:textId="77777777" w:rsidR="009D33A8" w:rsidRDefault="009D33A8">
            <w:r>
              <w:rPr>
                <w:b/>
              </w:rPr>
              <w:t>Cash inflows from financing activities</w:t>
            </w:r>
          </w:p>
        </w:tc>
        <w:tc>
          <w:tcPr>
            <w:tcW w:w="1133" w:type="dxa"/>
            <w:tcBorders>
              <w:top w:val="single" w:sz="6" w:space="0" w:color="auto"/>
            </w:tcBorders>
          </w:tcPr>
          <w:p w14:paraId="1402383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3433CFB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6" w:space="0" w:color="auto"/>
            </w:tcBorders>
          </w:tcPr>
          <w:p w14:paraId="42B4F76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B0AC534" w14:textId="77777777">
        <w:tc>
          <w:tcPr>
            <w:cnfStyle w:val="001000000000" w:firstRow="0" w:lastRow="0" w:firstColumn="1" w:lastColumn="0" w:oddVBand="0" w:evenVBand="0" w:oddHBand="0" w:evenHBand="0" w:firstRowFirstColumn="0" w:firstRowLastColumn="0" w:lastRowFirstColumn="0" w:lastRowLastColumn="0"/>
            <w:tcW w:w="6237" w:type="dxa"/>
          </w:tcPr>
          <w:p w14:paraId="0A317E3F" w14:textId="77777777" w:rsidR="009D33A8" w:rsidRDefault="009D33A8">
            <w:r>
              <w:t>Loans to government agencies</w:t>
            </w:r>
            <w:r>
              <w:rPr>
                <w:vertAlign w:val="superscript"/>
              </w:rPr>
              <w:t xml:space="preserve"> (c)</w:t>
            </w:r>
          </w:p>
        </w:tc>
        <w:tc>
          <w:tcPr>
            <w:tcW w:w="1133" w:type="dxa"/>
          </w:tcPr>
          <w:p w14:paraId="27C4EF76" w14:textId="77777777" w:rsidR="009D33A8" w:rsidRDefault="009D33A8">
            <w:pPr>
              <w:cnfStyle w:val="000000000000" w:firstRow="0" w:lastRow="0" w:firstColumn="0" w:lastColumn="0" w:oddVBand="0" w:evenVBand="0" w:oddHBand="0" w:evenHBand="0" w:firstRowFirstColumn="0" w:firstRowLastColumn="0" w:lastRowFirstColumn="0" w:lastRowLastColumn="0"/>
            </w:pPr>
            <w:r>
              <w:t>53 078</w:t>
            </w:r>
          </w:p>
        </w:tc>
        <w:tc>
          <w:tcPr>
            <w:tcW w:w="1134" w:type="dxa"/>
          </w:tcPr>
          <w:p w14:paraId="49233AAA" w14:textId="77777777" w:rsidR="009D33A8" w:rsidRDefault="009D33A8">
            <w:pPr>
              <w:cnfStyle w:val="000000000000" w:firstRow="0" w:lastRow="0" w:firstColumn="0" w:lastColumn="0" w:oddVBand="0" w:evenVBand="0" w:oddHBand="0" w:evenHBand="0" w:firstRowFirstColumn="0" w:firstRowLastColumn="0" w:lastRowFirstColumn="0" w:lastRowLastColumn="0"/>
            </w:pPr>
            <w:r>
              <w:t>59 914</w:t>
            </w:r>
          </w:p>
        </w:tc>
        <w:tc>
          <w:tcPr>
            <w:tcW w:w="1134" w:type="dxa"/>
          </w:tcPr>
          <w:p w14:paraId="678E5975" w14:textId="77777777" w:rsidR="009D33A8" w:rsidRDefault="009D33A8">
            <w:pPr>
              <w:cnfStyle w:val="000000000000" w:firstRow="0" w:lastRow="0" w:firstColumn="0" w:lastColumn="0" w:oddVBand="0" w:evenVBand="0" w:oddHBand="0" w:evenHBand="0" w:firstRowFirstColumn="0" w:firstRowLastColumn="0" w:lastRowFirstColumn="0" w:lastRowLastColumn="0"/>
            </w:pPr>
            <w:r>
              <w:t>47 257</w:t>
            </w:r>
          </w:p>
        </w:tc>
      </w:tr>
      <w:tr w:rsidR="009D33A8" w14:paraId="4CA58B09" w14:textId="77777777">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473C44B7" w14:textId="77777777" w:rsidR="009D33A8" w:rsidRDefault="009D33A8">
            <w:r>
              <w:t>Borrowings</w:t>
            </w:r>
            <w:r>
              <w:rPr>
                <w:vertAlign w:val="superscript"/>
              </w:rPr>
              <w:t xml:space="preserve"> (c)</w:t>
            </w:r>
          </w:p>
        </w:tc>
        <w:tc>
          <w:tcPr>
            <w:tcW w:w="1133" w:type="dxa"/>
            <w:tcBorders>
              <w:bottom w:val="single" w:sz="6" w:space="0" w:color="auto"/>
            </w:tcBorders>
          </w:tcPr>
          <w:p w14:paraId="6E24FEBD" w14:textId="77777777" w:rsidR="009D33A8" w:rsidRDefault="009D33A8">
            <w:pPr>
              <w:cnfStyle w:val="000000000000" w:firstRow="0" w:lastRow="0" w:firstColumn="0" w:lastColumn="0" w:oddVBand="0" w:evenVBand="0" w:oddHBand="0" w:evenHBand="0" w:firstRowFirstColumn="0" w:firstRowLastColumn="0" w:lastRowFirstColumn="0" w:lastRowLastColumn="0"/>
            </w:pPr>
            <w:r>
              <w:t>28 583 472</w:t>
            </w:r>
          </w:p>
        </w:tc>
        <w:tc>
          <w:tcPr>
            <w:tcW w:w="1134" w:type="dxa"/>
            <w:tcBorders>
              <w:bottom w:val="single" w:sz="6" w:space="0" w:color="auto"/>
            </w:tcBorders>
          </w:tcPr>
          <w:p w14:paraId="1C4D85D5" w14:textId="541D17B3" w:rsidR="009D33A8" w:rsidRDefault="009D33A8">
            <w:pPr>
              <w:cnfStyle w:val="000000000000" w:firstRow="0" w:lastRow="0" w:firstColumn="0" w:lastColumn="0" w:oddVBand="0" w:evenVBand="0" w:oddHBand="0" w:evenHBand="0" w:firstRowFirstColumn="0" w:firstRowLastColumn="0" w:lastRowFirstColumn="0" w:lastRowLastColumn="0"/>
            </w:pPr>
            <w:r w:rsidRPr="00971164">
              <w:t>18 45</w:t>
            </w:r>
            <w:r w:rsidR="000D554D" w:rsidRPr="00971164">
              <w:t>8</w:t>
            </w:r>
            <w:r w:rsidRPr="00971164">
              <w:t xml:space="preserve"> </w:t>
            </w:r>
            <w:r w:rsidR="006A69E1" w:rsidRPr="00971164">
              <w:t>726</w:t>
            </w:r>
          </w:p>
        </w:tc>
        <w:tc>
          <w:tcPr>
            <w:tcW w:w="1134" w:type="dxa"/>
            <w:tcBorders>
              <w:bottom w:val="single" w:sz="6" w:space="0" w:color="auto"/>
            </w:tcBorders>
          </w:tcPr>
          <w:p w14:paraId="651408E1" w14:textId="77777777" w:rsidR="009D33A8" w:rsidRDefault="009D33A8">
            <w:pPr>
              <w:cnfStyle w:val="000000000000" w:firstRow="0" w:lastRow="0" w:firstColumn="0" w:lastColumn="0" w:oddVBand="0" w:evenVBand="0" w:oddHBand="0" w:evenHBand="0" w:firstRowFirstColumn="0" w:firstRowLastColumn="0" w:lastRowFirstColumn="0" w:lastRowLastColumn="0"/>
            </w:pPr>
            <w:r>
              <w:t>24 464 475</w:t>
            </w:r>
          </w:p>
        </w:tc>
      </w:tr>
      <w:tr w:rsidR="009D33A8" w14:paraId="73811838"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05D3B64F" w14:textId="77777777" w:rsidR="009D33A8" w:rsidRDefault="009D33A8">
            <w:r>
              <w:rPr>
                <w:b/>
              </w:rPr>
              <w:t>Total cash inflows from financing activities</w:t>
            </w:r>
            <w:r>
              <w:rPr>
                <w:b/>
                <w:vertAlign w:val="superscript"/>
              </w:rPr>
              <w:t xml:space="preserve"> (c)</w:t>
            </w:r>
          </w:p>
        </w:tc>
        <w:tc>
          <w:tcPr>
            <w:tcW w:w="1133" w:type="dxa"/>
            <w:tcBorders>
              <w:top w:val="single" w:sz="6" w:space="0" w:color="auto"/>
              <w:bottom w:val="single" w:sz="6" w:space="0" w:color="auto"/>
            </w:tcBorders>
          </w:tcPr>
          <w:p w14:paraId="2605A69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28 636 550</w:t>
            </w:r>
          </w:p>
        </w:tc>
        <w:tc>
          <w:tcPr>
            <w:tcW w:w="1134" w:type="dxa"/>
            <w:tcBorders>
              <w:top w:val="single" w:sz="6" w:space="0" w:color="auto"/>
              <w:bottom w:val="single" w:sz="6" w:space="0" w:color="auto"/>
            </w:tcBorders>
          </w:tcPr>
          <w:p w14:paraId="41D53ABC" w14:textId="1D432450" w:rsidR="009D33A8" w:rsidRPr="00971164" w:rsidRDefault="009D33A8">
            <w:pPr>
              <w:cnfStyle w:val="000000000000" w:firstRow="0" w:lastRow="0" w:firstColumn="0" w:lastColumn="0" w:oddVBand="0" w:evenVBand="0" w:oddHBand="0" w:evenHBand="0" w:firstRowFirstColumn="0" w:firstRowLastColumn="0" w:lastRowFirstColumn="0" w:lastRowLastColumn="0"/>
            </w:pPr>
            <w:r w:rsidRPr="00971164">
              <w:rPr>
                <w:b/>
              </w:rPr>
              <w:t>18 51</w:t>
            </w:r>
            <w:r w:rsidR="006A69E1" w:rsidRPr="00971164">
              <w:rPr>
                <w:b/>
              </w:rPr>
              <w:t>8 640</w:t>
            </w:r>
          </w:p>
        </w:tc>
        <w:tc>
          <w:tcPr>
            <w:tcW w:w="1134" w:type="dxa"/>
            <w:tcBorders>
              <w:top w:val="single" w:sz="6" w:space="0" w:color="auto"/>
              <w:bottom w:val="single" w:sz="6" w:space="0" w:color="auto"/>
            </w:tcBorders>
          </w:tcPr>
          <w:p w14:paraId="2C3B218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24 511 732</w:t>
            </w:r>
          </w:p>
        </w:tc>
      </w:tr>
      <w:tr w:rsidR="009D33A8" w14:paraId="0F1E5E62"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6" w:space="0" w:color="auto"/>
            </w:tcBorders>
          </w:tcPr>
          <w:p w14:paraId="3A8B0BB0" w14:textId="77777777" w:rsidR="009D33A8" w:rsidRDefault="009D33A8">
            <w:r>
              <w:rPr>
                <w:b/>
              </w:rPr>
              <w:t>Total cash inflows from investing and financing activities</w:t>
            </w:r>
          </w:p>
        </w:tc>
        <w:tc>
          <w:tcPr>
            <w:tcW w:w="1133" w:type="dxa"/>
            <w:tcBorders>
              <w:top w:val="single" w:sz="6" w:space="0" w:color="auto"/>
              <w:bottom w:val="single" w:sz="6" w:space="0" w:color="auto"/>
            </w:tcBorders>
          </w:tcPr>
          <w:p w14:paraId="034C35C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29 140 508</w:t>
            </w:r>
          </w:p>
        </w:tc>
        <w:tc>
          <w:tcPr>
            <w:tcW w:w="1134" w:type="dxa"/>
            <w:tcBorders>
              <w:top w:val="single" w:sz="6" w:space="0" w:color="auto"/>
              <w:bottom w:val="single" w:sz="6" w:space="0" w:color="auto"/>
            </w:tcBorders>
          </w:tcPr>
          <w:p w14:paraId="1DB80124" w14:textId="63310ED1" w:rsidR="009D33A8" w:rsidRPr="00971164" w:rsidRDefault="009D33A8">
            <w:pPr>
              <w:cnfStyle w:val="000000000000" w:firstRow="0" w:lastRow="0" w:firstColumn="0" w:lastColumn="0" w:oddVBand="0" w:evenVBand="0" w:oddHBand="0" w:evenHBand="0" w:firstRowFirstColumn="0" w:firstRowLastColumn="0" w:lastRowFirstColumn="0" w:lastRowLastColumn="0"/>
            </w:pPr>
            <w:r w:rsidRPr="00971164">
              <w:rPr>
                <w:b/>
              </w:rPr>
              <w:t>18 61</w:t>
            </w:r>
            <w:r w:rsidR="009B106F" w:rsidRPr="00971164">
              <w:rPr>
                <w:b/>
              </w:rPr>
              <w:t>0</w:t>
            </w:r>
            <w:r w:rsidRPr="00971164">
              <w:rPr>
                <w:b/>
              </w:rPr>
              <w:t xml:space="preserve"> </w:t>
            </w:r>
            <w:r w:rsidR="009B106F" w:rsidRPr="00971164">
              <w:rPr>
                <w:b/>
              </w:rPr>
              <w:t>971</w:t>
            </w:r>
          </w:p>
        </w:tc>
        <w:tc>
          <w:tcPr>
            <w:tcW w:w="1134" w:type="dxa"/>
            <w:tcBorders>
              <w:top w:val="single" w:sz="6" w:space="0" w:color="auto"/>
              <w:bottom w:val="single" w:sz="6" w:space="0" w:color="auto"/>
            </w:tcBorders>
          </w:tcPr>
          <w:p w14:paraId="3710807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25 071 679</w:t>
            </w:r>
          </w:p>
        </w:tc>
      </w:tr>
      <w:tr w:rsidR="009D33A8" w14:paraId="2B2FB5F1" w14:textId="77777777">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1B178BB4" w14:textId="77777777" w:rsidR="009D33A8" w:rsidRDefault="009D33A8">
            <w:r>
              <w:rPr>
                <w:b/>
              </w:rPr>
              <w:t>Total consolidated fund receipts</w:t>
            </w:r>
          </w:p>
        </w:tc>
        <w:tc>
          <w:tcPr>
            <w:tcW w:w="1133" w:type="dxa"/>
            <w:tcBorders>
              <w:top w:val="single" w:sz="6" w:space="0" w:color="auto"/>
              <w:bottom w:val="single" w:sz="12" w:space="0" w:color="auto"/>
            </w:tcBorders>
          </w:tcPr>
          <w:p w14:paraId="7157316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102 592 945</w:t>
            </w:r>
          </w:p>
        </w:tc>
        <w:tc>
          <w:tcPr>
            <w:tcW w:w="1134" w:type="dxa"/>
            <w:tcBorders>
              <w:top w:val="single" w:sz="6" w:space="0" w:color="auto"/>
              <w:bottom w:val="single" w:sz="12" w:space="0" w:color="auto"/>
            </w:tcBorders>
          </w:tcPr>
          <w:p w14:paraId="390F6BC0" w14:textId="4EBB44C1" w:rsidR="009D33A8" w:rsidRPr="00971164" w:rsidRDefault="009D33A8">
            <w:pPr>
              <w:cnfStyle w:val="000000000000" w:firstRow="0" w:lastRow="0" w:firstColumn="0" w:lastColumn="0" w:oddVBand="0" w:evenVBand="0" w:oddHBand="0" w:evenHBand="0" w:firstRowFirstColumn="0" w:firstRowLastColumn="0" w:lastRowFirstColumn="0" w:lastRowLastColumn="0"/>
            </w:pPr>
            <w:r w:rsidRPr="00971164">
              <w:rPr>
                <w:b/>
              </w:rPr>
              <w:t xml:space="preserve">96 932 </w:t>
            </w:r>
            <w:r w:rsidR="009B106F" w:rsidRPr="00971164">
              <w:rPr>
                <w:b/>
              </w:rPr>
              <w:t>091</w:t>
            </w:r>
          </w:p>
        </w:tc>
        <w:tc>
          <w:tcPr>
            <w:tcW w:w="1134" w:type="dxa"/>
            <w:tcBorders>
              <w:top w:val="single" w:sz="6" w:space="0" w:color="auto"/>
              <w:bottom w:val="single" w:sz="12" w:space="0" w:color="auto"/>
            </w:tcBorders>
          </w:tcPr>
          <w:p w14:paraId="1FA5801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96 169 759</w:t>
            </w:r>
          </w:p>
        </w:tc>
      </w:tr>
    </w:tbl>
    <w:p w14:paraId="6063B23E" w14:textId="77777777" w:rsidR="009D33A8" w:rsidRPr="00790B81" w:rsidRDefault="009D33A8" w:rsidP="009D33A8">
      <w:pPr>
        <w:pStyle w:val="Note"/>
      </w:pPr>
      <w:r w:rsidRPr="00790B81">
        <w:t>Note</w:t>
      </w:r>
      <w:r>
        <w:t>s</w:t>
      </w:r>
      <w:r w:rsidRPr="00790B81">
        <w:t>:</w:t>
      </w:r>
    </w:p>
    <w:p w14:paraId="6BB9F09A" w14:textId="77777777" w:rsidR="009D33A8" w:rsidRPr="007F52D7" w:rsidRDefault="009D33A8" w:rsidP="009D33A8">
      <w:pPr>
        <w:pStyle w:val="Note"/>
      </w:pPr>
      <w:r>
        <w:t xml:space="preserve">(a) </w:t>
      </w:r>
      <w:r>
        <w:tab/>
        <w:t>The decrease from prior year is due to the upfront wagering and betting licences premiums received in 2023-24.</w:t>
      </w:r>
    </w:p>
    <w:p w14:paraId="57503C5B" w14:textId="77777777" w:rsidR="009D33A8" w:rsidRDefault="009D33A8" w:rsidP="009D33A8">
      <w:pPr>
        <w:pStyle w:val="Note"/>
      </w:pPr>
      <w:r>
        <w:t>(b)</w:t>
      </w:r>
      <w:r>
        <w:tab/>
        <w:t>The 2024-25 budget figures and 2023-24 actual figures have been reclassified between Taxation and Other receipts to more accurately reflect the nature of the receipts.</w:t>
      </w:r>
    </w:p>
    <w:p w14:paraId="3C284500" w14:textId="77777777" w:rsidR="009D33A8" w:rsidRPr="007F52D7" w:rsidRDefault="009D33A8" w:rsidP="009D33A8">
      <w:pPr>
        <w:pStyle w:val="Note"/>
      </w:pPr>
      <w:r>
        <w:t xml:space="preserve">(c) </w:t>
      </w:r>
      <w:r>
        <w:tab/>
        <w:t>The 2024-25 budget figures have been reclassified resulting from the separate disclosure of cash inflows from investing activities and financing activities, which were previously aggregated.</w:t>
      </w:r>
    </w:p>
    <w:p w14:paraId="6FEBF7F3" w14:textId="77777777" w:rsidR="009D33A8" w:rsidRDefault="009D33A8" w:rsidP="009D33A8">
      <w:pPr>
        <w:pStyle w:val="Note"/>
      </w:pPr>
    </w:p>
    <w:p w14:paraId="4A941525" w14:textId="77777777" w:rsidR="009D33A8" w:rsidRPr="007F52D7" w:rsidRDefault="009D33A8" w:rsidP="009D33A8">
      <w:pPr>
        <w:pStyle w:val="Note"/>
      </w:pPr>
    </w:p>
    <w:p w14:paraId="2DFC0DA0" w14:textId="77777777" w:rsidR="009D33A8" w:rsidRPr="00351938" w:rsidRDefault="009D33A8" w:rsidP="009D33A8"/>
    <w:p w14:paraId="39A37D28" w14:textId="77777777" w:rsidR="009D33A8" w:rsidRPr="00B035ED" w:rsidRDefault="009D33A8" w:rsidP="009D33A8">
      <w:r>
        <w:br w:type="page"/>
      </w:r>
    </w:p>
    <w:p w14:paraId="50052CB0" w14:textId="77777777" w:rsidR="009D33A8" w:rsidRDefault="009D33A8" w:rsidP="009D33A8">
      <w:pPr>
        <w:pStyle w:val="Heading3"/>
      </w:pPr>
      <w:bookmarkStart w:id="141" w:name="_Toc114670292"/>
      <w:bookmarkStart w:id="142" w:name="_Toc209479919"/>
      <w:r>
        <w:lastRenderedPageBreak/>
        <w:t>7.2.3</w:t>
      </w:r>
      <w:r>
        <w:tab/>
      </w:r>
      <w:r w:rsidRPr="007B2989">
        <w:t>Trust fund cash flow statement for the financial year ended 30 June</w:t>
      </w:r>
      <w:r>
        <w:tab/>
      </w:r>
      <w:r w:rsidRPr="004269AE">
        <w:rPr>
          <w:sz w:val="20"/>
          <w:szCs w:val="20"/>
        </w:rPr>
        <w:t>($ thousand)</w:t>
      </w:r>
      <w:bookmarkEnd w:id="141"/>
      <w:bookmarkEnd w:id="142"/>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Trust_fund_cashflow_statement"/>
      </w:tblPr>
      <w:tblGrid>
        <w:gridCol w:w="6946"/>
        <w:gridCol w:w="1276"/>
        <w:gridCol w:w="1416"/>
      </w:tblGrid>
      <w:tr w:rsidR="009D33A8" w14:paraId="2FE6944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6" w:type="dxa"/>
          </w:tcPr>
          <w:p w14:paraId="71904EE0" w14:textId="77777777" w:rsidR="009D33A8" w:rsidRDefault="009D33A8">
            <w:pPr>
              <w:keepNext/>
            </w:pPr>
          </w:p>
        </w:tc>
        <w:tc>
          <w:tcPr>
            <w:tcW w:w="1276" w:type="dxa"/>
          </w:tcPr>
          <w:p w14:paraId="482ED9A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1416" w:type="dxa"/>
          </w:tcPr>
          <w:p w14:paraId="4860429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6FC68BE0" w14:textId="77777777">
        <w:tc>
          <w:tcPr>
            <w:cnfStyle w:val="001000000000" w:firstRow="0" w:lastRow="0" w:firstColumn="1" w:lastColumn="0" w:oddVBand="0" w:evenVBand="0" w:oddHBand="0" w:evenHBand="0" w:firstRowFirstColumn="0" w:firstRowLastColumn="0" w:lastRowFirstColumn="0" w:lastRowLastColumn="0"/>
            <w:tcW w:w="6946" w:type="dxa"/>
          </w:tcPr>
          <w:p w14:paraId="3BD385AB" w14:textId="77777777" w:rsidR="009D33A8" w:rsidRDefault="009D33A8">
            <w:r>
              <w:rPr>
                <w:b/>
              </w:rPr>
              <w:t>Cash flows from operating activities</w:t>
            </w:r>
          </w:p>
        </w:tc>
        <w:tc>
          <w:tcPr>
            <w:tcW w:w="1276" w:type="dxa"/>
          </w:tcPr>
          <w:p w14:paraId="3CBBC01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09C543C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60654DE9" w14:textId="77777777">
        <w:tc>
          <w:tcPr>
            <w:cnfStyle w:val="001000000000" w:firstRow="0" w:lastRow="0" w:firstColumn="1" w:lastColumn="0" w:oddVBand="0" w:evenVBand="0" w:oddHBand="0" w:evenHBand="0" w:firstRowFirstColumn="0" w:firstRowLastColumn="0" w:lastRowFirstColumn="0" w:lastRowLastColumn="0"/>
            <w:tcW w:w="6946" w:type="dxa"/>
          </w:tcPr>
          <w:p w14:paraId="2EF0F501" w14:textId="77777777" w:rsidR="009D33A8" w:rsidRDefault="009D33A8">
            <w:r>
              <w:rPr>
                <w:b/>
              </w:rPr>
              <w:t>Receipts</w:t>
            </w:r>
          </w:p>
        </w:tc>
        <w:tc>
          <w:tcPr>
            <w:tcW w:w="1276" w:type="dxa"/>
          </w:tcPr>
          <w:p w14:paraId="6CF3FF1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678E7D2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7A210BD" w14:textId="77777777">
        <w:tc>
          <w:tcPr>
            <w:cnfStyle w:val="001000000000" w:firstRow="0" w:lastRow="0" w:firstColumn="1" w:lastColumn="0" w:oddVBand="0" w:evenVBand="0" w:oddHBand="0" w:evenHBand="0" w:firstRowFirstColumn="0" w:firstRowLastColumn="0" w:lastRowFirstColumn="0" w:lastRowLastColumn="0"/>
            <w:tcW w:w="6946" w:type="dxa"/>
          </w:tcPr>
          <w:p w14:paraId="296ADBAE" w14:textId="77777777" w:rsidR="009D33A8" w:rsidRDefault="009D33A8">
            <w:r>
              <w:t>Taxation</w:t>
            </w:r>
          </w:p>
        </w:tc>
        <w:tc>
          <w:tcPr>
            <w:tcW w:w="1276" w:type="dxa"/>
          </w:tcPr>
          <w:p w14:paraId="037A7B9B" w14:textId="77777777" w:rsidR="009D33A8" w:rsidRDefault="009D33A8">
            <w:pPr>
              <w:cnfStyle w:val="000000000000" w:firstRow="0" w:lastRow="0" w:firstColumn="0" w:lastColumn="0" w:oddVBand="0" w:evenVBand="0" w:oddHBand="0" w:evenHBand="0" w:firstRowFirstColumn="0" w:firstRowLastColumn="0" w:lastRowFirstColumn="0" w:lastRowLastColumn="0"/>
            </w:pPr>
            <w:r>
              <w:t>657 994</w:t>
            </w:r>
          </w:p>
        </w:tc>
        <w:tc>
          <w:tcPr>
            <w:tcW w:w="1416" w:type="dxa"/>
          </w:tcPr>
          <w:p w14:paraId="0CE4912D" w14:textId="77777777" w:rsidR="009D33A8" w:rsidRDefault="009D33A8">
            <w:pPr>
              <w:cnfStyle w:val="000000000000" w:firstRow="0" w:lastRow="0" w:firstColumn="0" w:lastColumn="0" w:oddVBand="0" w:evenVBand="0" w:oddHBand="0" w:evenHBand="0" w:firstRowFirstColumn="0" w:firstRowLastColumn="0" w:lastRowFirstColumn="0" w:lastRowLastColumn="0"/>
            </w:pPr>
            <w:r>
              <w:t>715 425</w:t>
            </w:r>
          </w:p>
        </w:tc>
      </w:tr>
      <w:tr w:rsidR="009D33A8" w14:paraId="73D83496" w14:textId="77777777">
        <w:tc>
          <w:tcPr>
            <w:cnfStyle w:val="001000000000" w:firstRow="0" w:lastRow="0" w:firstColumn="1" w:lastColumn="0" w:oddVBand="0" w:evenVBand="0" w:oddHBand="0" w:evenHBand="0" w:firstRowFirstColumn="0" w:firstRowLastColumn="0" w:lastRowFirstColumn="0" w:lastRowLastColumn="0"/>
            <w:tcW w:w="6946" w:type="dxa"/>
          </w:tcPr>
          <w:p w14:paraId="5F68EEA3" w14:textId="77777777" w:rsidR="009D33A8" w:rsidRDefault="009D33A8">
            <w:r>
              <w:t>Regulatory fees and fines</w:t>
            </w:r>
          </w:p>
        </w:tc>
        <w:tc>
          <w:tcPr>
            <w:tcW w:w="1276" w:type="dxa"/>
          </w:tcPr>
          <w:p w14:paraId="5797C419" w14:textId="77777777" w:rsidR="009D33A8" w:rsidRDefault="009D33A8">
            <w:pPr>
              <w:cnfStyle w:val="000000000000" w:firstRow="0" w:lastRow="0" w:firstColumn="0" w:lastColumn="0" w:oddVBand="0" w:evenVBand="0" w:oddHBand="0" w:evenHBand="0" w:firstRowFirstColumn="0" w:firstRowLastColumn="0" w:lastRowFirstColumn="0" w:lastRowLastColumn="0"/>
            </w:pPr>
            <w:r>
              <w:t>299 074</w:t>
            </w:r>
          </w:p>
        </w:tc>
        <w:tc>
          <w:tcPr>
            <w:tcW w:w="1416" w:type="dxa"/>
          </w:tcPr>
          <w:p w14:paraId="744AC799" w14:textId="77777777" w:rsidR="009D33A8" w:rsidRDefault="009D33A8">
            <w:pPr>
              <w:cnfStyle w:val="000000000000" w:firstRow="0" w:lastRow="0" w:firstColumn="0" w:lastColumn="0" w:oddVBand="0" w:evenVBand="0" w:oddHBand="0" w:evenHBand="0" w:firstRowFirstColumn="0" w:firstRowLastColumn="0" w:lastRowFirstColumn="0" w:lastRowLastColumn="0"/>
            </w:pPr>
            <w:r>
              <w:t>245 379</w:t>
            </w:r>
          </w:p>
        </w:tc>
      </w:tr>
      <w:tr w:rsidR="009D33A8" w14:paraId="06B7273B" w14:textId="77777777">
        <w:tc>
          <w:tcPr>
            <w:cnfStyle w:val="001000000000" w:firstRow="0" w:lastRow="0" w:firstColumn="1" w:lastColumn="0" w:oddVBand="0" w:evenVBand="0" w:oddHBand="0" w:evenHBand="0" w:firstRowFirstColumn="0" w:firstRowLastColumn="0" w:lastRowFirstColumn="0" w:lastRowLastColumn="0"/>
            <w:tcW w:w="6946" w:type="dxa"/>
          </w:tcPr>
          <w:p w14:paraId="48665002" w14:textId="77777777" w:rsidR="009D33A8" w:rsidRDefault="009D33A8">
            <w:r>
              <w:t>Grants received</w:t>
            </w:r>
          </w:p>
        </w:tc>
        <w:tc>
          <w:tcPr>
            <w:tcW w:w="1276" w:type="dxa"/>
          </w:tcPr>
          <w:p w14:paraId="18183DC3" w14:textId="77777777" w:rsidR="009D33A8" w:rsidRDefault="009D33A8">
            <w:pPr>
              <w:cnfStyle w:val="000000000000" w:firstRow="0" w:lastRow="0" w:firstColumn="0" w:lastColumn="0" w:oddVBand="0" w:evenVBand="0" w:oddHBand="0" w:evenHBand="0" w:firstRowFirstColumn="0" w:firstRowLastColumn="0" w:lastRowFirstColumn="0" w:lastRowLastColumn="0"/>
            </w:pPr>
            <w:r>
              <w:t>25 321 186</w:t>
            </w:r>
          </w:p>
        </w:tc>
        <w:tc>
          <w:tcPr>
            <w:tcW w:w="1416" w:type="dxa"/>
          </w:tcPr>
          <w:p w14:paraId="75061DEE" w14:textId="77777777" w:rsidR="009D33A8" w:rsidRDefault="009D33A8">
            <w:pPr>
              <w:cnfStyle w:val="000000000000" w:firstRow="0" w:lastRow="0" w:firstColumn="0" w:lastColumn="0" w:oddVBand="0" w:evenVBand="0" w:oddHBand="0" w:evenHBand="0" w:firstRowFirstColumn="0" w:firstRowLastColumn="0" w:lastRowFirstColumn="0" w:lastRowLastColumn="0"/>
            </w:pPr>
            <w:r>
              <w:t>21 648 629</w:t>
            </w:r>
          </w:p>
        </w:tc>
      </w:tr>
      <w:tr w:rsidR="009D33A8" w14:paraId="42EF8B70" w14:textId="77777777">
        <w:tc>
          <w:tcPr>
            <w:cnfStyle w:val="001000000000" w:firstRow="0" w:lastRow="0" w:firstColumn="1" w:lastColumn="0" w:oddVBand="0" w:evenVBand="0" w:oddHBand="0" w:evenHBand="0" w:firstRowFirstColumn="0" w:firstRowLastColumn="0" w:lastRowFirstColumn="0" w:lastRowLastColumn="0"/>
            <w:tcW w:w="6946" w:type="dxa"/>
          </w:tcPr>
          <w:p w14:paraId="3B68A7F9" w14:textId="77777777" w:rsidR="009D33A8" w:rsidRDefault="009D33A8">
            <w:r>
              <w:t>Sale of goods and services</w:t>
            </w:r>
          </w:p>
        </w:tc>
        <w:tc>
          <w:tcPr>
            <w:tcW w:w="1276" w:type="dxa"/>
          </w:tcPr>
          <w:p w14:paraId="3900D55F" w14:textId="77777777" w:rsidR="009D33A8" w:rsidRDefault="009D33A8">
            <w:pPr>
              <w:cnfStyle w:val="000000000000" w:firstRow="0" w:lastRow="0" w:firstColumn="0" w:lastColumn="0" w:oddVBand="0" w:evenVBand="0" w:oddHBand="0" w:evenHBand="0" w:firstRowFirstColumn="0" w:firstRowLastColumn="0" w:lastRowFirstColumn="0" w:lastRowLastColumn="0"/>
            </w:pPr>
            <w:r>
              <w:t>1 787 758</w:t>
            </w:r>
          </w:p>
        </w:tc>
        <w:tc>
          <w:tcPr>
            <w:tcW w:w="1416" w:type="dxa"/>
          </w:tcPr>
          <w:p w14:paraId="70067626" w14:textId="77777777" w:rsidR="009D33A8" w:rsidRDefault="009D33A8">
            <w:pPr>
              <w:cnfStyle w:val="000000000000" w:firstRow="0" w:lastRow="0" w:firstColumn="0" w:lastColumn="0" w:oddVBand="0" w:evenVBand="0" w:oddHBand="0" w:evenHBand="0" w:firstRowFirstColumn="0" w:firstRowLastColumn="0" w:lastRowFirstColumn="0" w:lastRowLastColumn="0"/>
            </w:pPr>
            <w:r>
              <w:t>1 465 633</w:t>
            </w:r>
          </w:p>
        </w:tc>
      </w:tr>
      <w:tr w:rsidR="009D33A8" w14:paraId="4C64BD0B" w14:textId="77777777">
        <w:tc>
          <w:tcPr>
            <w:cnfStyle w:val="001000000000" w:firstRow="0" w:lastRow="0" w:firstColumn="1" w:lastColumn="0" w:oddVBand="0" w:evenVBand="0" w:oddHBand="0" w:evenHBand="0" w:firstRowFirstColumn="0" w:firstRowLastColumn="0" w:lastRowFirstColumn="0" w:lastRowLastColumn="0"/>
            <w:tcW w:w="6946" w:type="dxa"/>
          </w:tcPr>
          <w:p w14:paraId="7AC5166F" w14:textId="77777777" w:rsidR="009D33A8" w:rsidRDefault="009D33A8">
            <w:r>
              <w:t>Interest received</w:t>
            </w:r>
          </w:p>
        </w:tc>
        <w:tc>
          <w:tcPr>
            <w:tcW w:w="1276" w:type="dxa"/>
          </w:tcPr>
          <w:p w14:paraId="75FA9CDA" w14:textId="77777777" w:rsidR="009D33A8" w:rsidRDefault="009D33A8">
            <w:pPr>
              <w:cnfStyle w:val="000000000000" w:firstRow="0" w:lastRow="0" w:firstColumn="0" w:lastColumn="0" w:oddVBand="0" w:evenVBand="0" w:oddHBand="0" w:evenHBand="0" w:firstRowFirstColumn="0" w:firstRowLastColumn="0" w:lastRowFirstColumn="0" w:lastRowLastColumn="0"/>
            </w:pPr>
            <w:r>
              <w:t>273 937</w:t>
            </w:r>
          </w:p>
        </w:tc>
        <w:tc>
          <w:tcPr>
            <w:tcW w:w="1416" w:type="dxa"/>
          </w:tcPr>
          <w:p w14:paraId="2A605334" w14:textId="77777777" w:rsidR="009D33A8" w:rsidRDefault="009D33A8">
            <w:pPr>
              <w:cnfStyle w:val="000000000000" w:firstRow="0" w:lastRow="0" w:firstColumn="0" w:lastColumn="0" w:oddVBand="0" w:evenVBand="0" w:oddHBand="0" w:evenHBand="0" w:firstRowFirstColumn="0" w:firstRowLastColumn="0" w:lastRowFirstColumn="0" w:lastRowLastColumn="0"/>
            </w:pPr>
            <w:r>
              <w:t>255 386</w:t>
            </w:r>
          </w:p>
        </w:tc>
      </w:tr>
      <w:tr w:rsidR="009D33A8" w14:paraId="5651FB0B" w14:textId="77777777">
        <w:tc>
          <w:tcPr>
            <w:cnfStyle w:val="001000000000" w:firstRow="0" w:lastRow="0" w:firstColumn="1" w:lastColumn="0" w:oddVBand="0" w:evenVBand="0" w:oddHBand="0" w:evenHBand="0" w:firstRowFirstColumn="0" w:firstRowLastColumn="0" w:lastRowFirstColumn="0" w:lastRowLastColumn="0"/>
            <w:tcW w:w="6946" w:type="dxa"/>
          </w:tcPr>
          <w:p w14:paraId="4FB52FF4" w14:textId="77777777" w:rsidR="009D33A8" w:rsidRDefault="009D33A8">
            <w:r>
              <w:t>Dividend received</w:t>
            </w:r>
          </w:p>
        </w:tc>
        <w:tc>
          <w:tcPr>
            <w:tcW w:w="1276" w:type="dxa"/>
          </w:tcPr>
          <w:p w14:paraId="74FD7F20" w14:textId="77777777" w:rsidR="009D33A8" w:rsidRDefault="009D33A8">
            <w:pPr>
              <w:cnfStyle w:val="000000000000" w:firstRow="0" w:lastRow="0" w:firstColumn="0" w:lastColumn="0" w:oddVBand="0" w:evenVBand="0" w:oddHBand="0" w:evenHBand="0" w:firstRowFirstColumn="0" w:firstRowLastColumn="0" w:lastRowFirstColumn="0" w:lastRowLastColumn="0"/>
            </w:pPr>
            <w:r>
              <w:t>631 603</w:t>
            </w:r>
          </w:p>
        </w:tc>
        <w:tc>
          <w:tcPr>
            <w:tcW w:w="1416" w:type="dxa"/>
          </w:tcPr>
          <w:p w14:paraId="3C02E683" w14:textId="77777777" w:rsidR="009D33A8" w:rsidRDefault="009D33A8">
            <w:pPr>
              <w:cnfStyle w:val="000000000000" w:firstRow="0" w:lastRow="0" w:firstColumn="0" w:lastColumn="0" w:oddVBand="0" w:evenVBand="0" w:oddHBand="0" w:evenHBand="0" w:firstRowFirstColumn="0" w:firstRowLastColumn="0" w:lastRowFirstColumn="0" w:lastRowLastColumn="0"/>
            </w:pPr>
            <w:r>
              <w:t>127 143</w:t>
            </w:r>
          </w:p>
        </w:tc>
      </w:tr>
      <w:tr w:rsidR="009D33A8" w14:paraId="5737BCA7" w14:textId="77777777">
        <w:tc>
          <w:tcPr>
            <w:cnfStyle w:val="001000000000" w:firstRow="0" w:lastRow="0" w:firstColumn="1" w:lastColumn="0" w:oddVBand="0" w:evenVBand="0" w:oddHBand="0" w:evenHBand="0" w:firstRowFirstColumn="0" w:firstRowLastColumn="0" w:lastRowFirstColumn="0" w:lastRowLastColumn="0"/>
            <w:tcW w:w="6946" w:type="dxa"/>
          </w:tcPr>
          <w:p w14:paraId="2218AB77" w14:textId="77777777" w:rsidR="009D33A8" w:rsidRDefault="009D33A8">
            <w:r>
              <w:t>Net transfers from the consolidated fund</w:t>
            </w:r>
          </w:p>
        </w:tc>
        <w:tc>
          <w:tcPr>
            <w:tcW w:w="1276" w:type="dxa"/>
          </w:tcPr>
          <w:p w14:paraId="2776BF3C" w14:textId="77777777" w:rsidR="009D33A8" w:rsidRDefault="009D33A8">
            <w:pPr>
              <w:cnfStyle w:val="000000000000" w:firstRow="0" w:lastRow="0" w:firstColumn="0" w:lastColumn="0" w:oddVBand="0" w:evenVBand="0" w:oddHBand="0" w:evenHBand="0" w:firstRowFirstColumn="0" w:firstRowLastColumn="0" w:lastRowFirstColumn="0" w:lastRowLastColumn="0"/>
            </w:pPr>
            <w:r>
              <w:t>10 213 481</w:t>
            </w:r>
          </w:p>
        </w:tc>
        <w:tc>
          <w:tcPr>
            <w:tcW w:w="1416" w:type="dxa"/>
          </w:tcPr>
          <w:p w14:paraId="119333D2" w14:textId="77777777" w:rsidR="009D33A8" w:rsidRDefault="009D33A8">
            <w:pPr>
              <w:cnfStyle w:val="000000000000" w:firstRow="0" w:lastRow="0" w:firstColumn="0" w:lastColumn="0" w:oddVBand="0" w:evenVBand="0" w:oddHBand="0" w:evenHBand="0" w:firstRowFirstColumn="0" w:firstRowLastColumn="0" w:lastRowFirstColumn="0" w:lastRowLastColumn="0"/>
            </w:pPr>
            <w:r>
              <w:t>19 045 310</w:t>
            </w:r>
          </w:p>
        </w:tc>
      </w:tr>
      <w:tr w:rsidR="009D33A8" w14:paraId="4329296C" w14:textId="77777777">
        <w:tc>
          <w:tcPr>
            <w:cnfStyle w:val="001000000000" w:firstRow="0" w:lastRow="0" w:firstColumn="1" w:lastColumn="0" w:oddVBand="0" w:evenVBand="0" w:oddHBand="0" w:evenHBand="0" w:firstRowFirstColumn="0" w:firstRowLastColumn="0" w:lastRowFirstColumn="0" w:lastRowLastColumn="0"/>
            <w:tcW w:w="6946" w:type="dxa"/>
          </w:tcPr>
          <w:p w14:paraId="104D49CF" w14:textId="77777777" w:rsidR="009D33A8" w:rsidRDefault="009D33A8">
            <w:r>
              <w:t>Other receipts</w:t>
            </w:r>
          </w:p>
        </w:tc>
        <w:tc>
          <w:tcPr>
            <w:tcW w:w="1276" w:type="dxa"/>
          </w:tcPr>
          <w:p w14:paraId="00153656" w14:textId="77777777" w:rsidR="009D33A8" w:rsidRDefault="009D33A8">
            <w:pPr>
              <w:cnfStyle w:val="000000000000" w:firstRow="0" w:lastRow="0" w:firstColumn="0" w:lastColumn="0" w:oddVBand="0" w:evenVBand="0" w:oddHBand="0" w:evenHBand="0" w:firstRowFirstColumn="0" w:firstRowLastColumn="0" w:lastRowFirstColumn="0" w:lastRowLastColumn="0"/>
            </w:pPr>
            <w:r>
              <w:t>372 546</w:t>
            </w:r>
          </w:p>
        </w:tc>
        <w:tc>
          <w:tcPr>
            <w:tcW w:w="1416" w:type="dxa"/>
          </w:tcPr>
          <w:p w14:paraId="48D23431" w14:textId="77777777" w:rsidR="009D33A8" w:rsidRDefault="009D33A8">
            <w:pPr>
              <w:cnfStyle w:val="000000000000" w:firstRow="0" w:lastRow="0" w:firstColumn="0" w:lastColumn="0" w:oddVBand="0" w:evenVBand="0" w:oddHBand="0" w:evenHBand="0" w:firstRowFirstColumn="0" w:firstRowLastColumn="0" w:lastRowFirstColumn="0" w:lastRowLastColumn="0"/>
            </w:pPr>
            <w:r>
              <w:t>266 815</w:t>
            </w:r>
          </w:p>
        </w:tc>
      </w:tr>
      <w:tr w:rsidR="009D33A8" w14:paraId="1133140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Pr>
          <w:p w14:paraId="1D26F1BF" w14:textId="77777777" w:rsidR="009D33A8" w:rsidRDefault="009D33A8"/>
        </w:tc>
        <w:tc>
          <w:tcPr>
            <w:tcW w:w="1276" w:type="dxa"/>
          </w:tcPr>
          <w:p w14:paraId="7A14FA3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11D0C57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15E39CE" w14:textId="77777777">
        <w:tc>
          <w:tcPr>
            <w:cnfStyle w:val="001000000000" w:firstRow="0" w:lastRow="0" w:firstColumn="1" w:lastColumn="0" w:oddVBand="0" w:evenVBand="0" w:oddHBand="0" w:evenHBand="0" w:firstRowFirstColumn="0" w:firstRowLastColumn="0" w:lastRowFirstColumn="0" w:lastRowLastColumn="0"/>
            <w:tcW w:w="6946" w:type="dxa"/>
          </w:tcPr>
          <w:p w14:paraId="6F954A07" w14:textId="77777777" w:rsidR="009D33A8" w:rsidRDefault="009D33A8">
            <w:r>
              <w:rPr>
                <w:b/>
              </w:rPr>
              <w:t>Payments</w:t>
            </w:r>
          </w:p>
        </w:tc>
        <w:tc>
          <w:tcPr>
            <w:tcW w:w="1276" w:type="dxa"/>
          </w:tcPr>
          <w:p w14:paraId="4D45F2C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0F80202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5A45426" w14:textId="77777777">
        <w:tc>
          <w:tcPr>
            <w:cnfStyle w:val="001000000000" w:firstRow="0" w:lastRow="0" w:firstColumn="1" w:lastColumn="0" w:oddVBand="0" w:evenVBand="0" w:oddHBand="0" w:evenHBand="0" w:firstRowFirstColumn="0" w:firstRowLastColumn="0" w:lastRowFirstColumn="0" w:lastRowLastColumn="0"/>
            <w:tcW w:w="6946" w:type="dxa"/>
          </w:tcPr>
          <w:p w14:paraId="56DC722B" w14:textId="77777777" w:rsidR="009D33A8" w:rsidRDefault="009D33A8">
            <w:r>
              <w:t>Payments for employees</w:t>
            </w:r>
          </w:p>
        </w:tc>
        <w:tc>
          <w:tcPr>
            <w:tcW w:w="1276" w:type="dxa"/>
          </w:tcPr>
          <w:p w14:paraId="6214CFC2" w14:textId="77777777" w:rsidR="009D33A8" w:rsidRDefault="009D33A8">
            <w:pPr>
              <w:cnfStyle w:val="000000000000" w:firstRow="0" w:lastRow="0" w:firstColumn="0" w:lastColumn="0" w:oddVBand="0" w:evenVBand="0" w:oddHBand="0" w:evenHBand="0" w:firstRowFirstColumn="0" w:firstRowLastColumn="0" w:lastRowFirstColumn="0" w:lastRowLastColumn="0"/>
            </w:pPr>
            <w:r>
              <w:t>(673 344)</w:t>
            </w:r>
          </w:p>
        </w:tc>
        <w:tc>
          <w:tcPr>
            <w:tcW w:w="1416" w:type="dxa"/>
          </w:tcPr>
          <w:p w14:paraId="53733425" w14:textId="77777777" w:rsidR="009D33A8" w:rsidRDefault="009D33A8">
            <w:pPr>
              <w:cnfStyle w:val="000000000000" w:firstRow="0" w:lastRow="0" w:firstColumn="0" w:lastColumn="0" w:oddVBand="0" w:evenVBand="0" w:oddHBand="0" w:evenHBand="0" w:firstRowFirstColumn="0" w:firstRowLastColumn="0" w:lastRowFirstColumn="0" w:lastRowLastColumn="0"/>
            </w:pPr>
            <w:r>
              <w:t>(574 460)</w:t>
            </w:r>
          </w:p>
        </w:tc>
      </w:tr>
      <w:tr w:rsidR="009D33A8" w14:paraId="230A16FC" w14:textId="77777777">
        <w:tc>
          <w:tcPr>
            <w:cnfStyle w:val="001000000000" w:firstRow="0" w:lastRow="0" w:firstColumn="1" w:lastColumn="0" w:oddVBand="0" w:evenVBand="0" w:oddHBand="0" w:evenHBand="0" w:firstRowFirstColumn="0" w:firstRowLastColumn="0" w:lastRowFirstColumn="0" w:lastRowLastColumn="0"/>
            <w:tcW w:w="6946" w:type="dxa"/>
          </w:tcPr>
          <w:p w14:paraId="0C3CEE14" w14:textId="77777777" w:rsidR="009D33A8" w:rsidRDefault="009D33A8">
            <w:r>
              <w:t>Superannuation</w:t>
            </w:r>
          </w:p>
        </w:tc>
        <w:tc>
          <w:tcPr>
            <w:tcW w:w="1276" w:type="dxa"/>
          </w:tcPr>
          <w:p w14:paraId="1886388E" w14:textId="77777777" w:rsidR="009D33A8" w:rsidRDefault="009D33A8">
            <w:pPr>
              <w:cnfStyle w:val="000000000000" w:firstRow="0" w:lastRow="0" w:firstColumn="0" w:lastColumn="0" w:oddVBand="0" w:evenVBand="0" w:oddHBand="0" w:evenHBand="0" w:firstRowFirstColumn="0" w:firstRowLastColumn="0" w:lastRowFirstColumn="0" w:lastRowLastColumn="0"/>
            </w:pPr>
            <w:r>
              <w:t>(63 541)</w:t>
            </w:r>
          </w:p>
        </w:tc>
        <w:tc>
          <w:tcPr>
            <w:tcW w:w="1416" w:type="dxa"/>
          </w:tcPr>
          <w:p w14:paraId="70345768" w14:textId="77777777" w:rsidR="009D33A8" w:rsidRDefault="009D33A8">
            <w:pPr>
              <w:cnfStyle w:val="000000000000" w:firstRow="0" w:lastRow="0" w:firstColumn="0" w:lastColumn="0" w:oddVBand="0" w:evenVBand="0" w:oddHBand="0" w:evenHBand="0" w:firstRowFirstColumn="0" w:firstRowLastColumn="0" w:lastRowFirstColumn="0" w:lastRowLastColumn="0"/>
            </w:pPr>
            <w:r>
              <w:t>(46 674)</w:t>
            </w:r>
          </w:p>
        </w:tc>
      </w:tr>
      <w:tr w:rsidR="009D33A8" w14:paraId="16D7C365" w14:textId="77777777">
        <w:tc>
          <w:tcPr>
            <w:cnfStyle w:val="001000000000" w:firstRow="0" w:lastRow="0" w:firstColumn="1" w:lastColumn="0" w:oddVBand="0" w:evenVBand="0" w:oddHBand="0" w:evenHBand="0" w:firstRowFirstColumn="0" w:firstRowLastColumn="0" w:lastRowFirstColumn="0" w:lastRowLastColumn="0"/>
            <w:tcW w:w="6946" w:type="dxa"/>
          </w:tcPr>
          <w:p w14:paraId="55209218" w14:textId="77777777" w:rsidR="009D33A8" w:rsidRDefault="009D33A8">
            <w:r>
              <w:t>Interest paid</w:t>
            </w:r>
          </w:p>
        </w:tc>
        <w:tc>
          <w:tcPr>
            <w:tcW w:w="1276" w:type="dxa"/>
          </w:tcPr>
          <w:p w14:paraId="5D9186AC" w14:textId="77777777" w:rsidR="009D33A8" w:rsidRDefault="009D33A8">
            <w:pPr>
              <w:cnfStyle w:val="000000000000" w:firstRow="0" w:lastRow="0" w:firstColumn="0" w:lastColumn="0" w:oddVBand="0" w:evenVBand="0" w:oddHBand="0" w:evenHBand="0" w:firstRowFirstColumn="0" w:firstRowLastColumn="0" w:lastRowFirstColumn="0" w:lastRowLastColumn="0"/>
            </w:pPr>
            <w:r>
              <w:t>(138 263)</w:t>
            </w:r>
          </w:p>
        </w:tc>
        <w:tc>
          <w:tcPr>
            <w:tcW w:w="1416" w:type="dxa"/>
          </w:tcPr>
          <w:p w14:paraId="32E85A2A" w14:textId="77777777" w:rsidR="009D33A8" w:rsidRDefault="009D33A8">
            <w:pPr>
              <w:cnfStyle w:val="000000000000" w:firstRow="0" w:lastRow="0" w:firstColumn="0" w:lastColumn="0" w:oddVBand="0" w:evenVBand="0" w:oddHBand="0" w:evenHBand="0" w:firstRowFirstColumn="0" w:firstRowLastColumn="0" w:lastRowFirstColumn="0" w:lastRowLastColumn="0"/>
            </w:pPr>
            <w:r>
              <w:t>(143 106)</w:t>
            </w:r>
          </w:p>
        </w:tc>
      </w:tr>
      <w:tr w:rsidR="009D33A8" w14:paraId="167E76CE" w14:textId="77777777">
        <w:tc>
          <w:tcPr>
            <w:cnfStyle w:val="001000000000" w:firstRow="0" w:lastRow="0" w:firstColumn="1" w:lastColumn="0" w:oddVBand="0" w:evenVBand="0" w:oddHBand="0" w:evenHBand="0" w:firstRowFirstColumn="0" w:firstRowLastColumn="0" w:lastRowFirstColumn="0" w:lastRowLastColumn="0"/>
            <w:tcW w:w="6946" w:type="dxa"/>
          </w:tcPr>
          <w:p w14:paraId="6E6FADC4" w14:textId="77777777" w:rsidR="009D33A8" w:rsidRDefault="009D33A8">
            <w:r>
              <w:t>Grants and subsidies</w:t>
            </w:r>
          </w:p>
        </w:tc>
        <w:tc>
          <w:tcPr>
            <w:tcW w:w="1276" w:type="dxa"/>
          </w:tcPr>
          <w:p w14:paraId="4D6A1B42" w14:textId="77777777" w:rsidR="009D33A8" w:rsidRDefault="009D33A8">
            <w:pPr>
              <w:cnfStyle w:val="000000000000" w:firstRow="0" w:lastRow="0" w:firstColumn="0" w:lastColumn="0" w:oddVBand="0" w:evenVBand="0" w:oddHBand="0" w:evenHBand="0" w:firstRowFirstColumn="0" w:firstRowLastColumn="0" w:lastRowFirstColumn="0" w:lastRowLastColumn="0"/>
            </w:pPr>
            <w:r>
              <w:t>(28 154 226)</w:t>
            </w:r>
          </w:p>
        </w:tc>
        <w:tc>
          <w:tcPr>
            <w:tcW w:w="1416" w:type="dxa"/>
          </w:tcPr>
          <w:p w14:paraId="7AA491E8" w14:textId="77777777" w:rsidR="009D33A8" w:rsidRDefault="009D33A8">
            <w:pPr>
              <w:cnfStyle w:val="000000000000" w:firstRow="0" w:lastRow="0" w:firstColumn="0" w:lastColumn="0" w:oddVBand="0" w:evenVBand="0" w:oddHBand="0" w:evenHBand="0" w:firstRowFirstColumn="0" w:firstRowLastColumn="0" w:lastRowFirstColumn="0" w:lastRowLastColumn="0"/>
            </w:pPr>
            <w:r>
              <w:t>(22 929 347)</w:t>
            </w:r>
          </w:p>
        </w:tc>
      </w:tr>
      <w:tr w:rsidR="009D33A8" w14:paraId="47EC3489" w14:textId="77777777">
        <w:tc>
          <w:tcPr>
            <w:cnfStyle w:val="001000000000" w:firstRow="0" w:lastRow="0" w:firstColumn="1" w:lastColumn="0" w:oddVBand="0" w:evenVBand="0" w:oddHBand="0" w:evenHBand="0" w:firstRowFirstColumn="0" w:firstRowLastColumn="0" w:lastRowFirstColumn="0" w:lastRowLastColumn="0"/>
            <w:tcW w:w="6946" w:type="dxa"/>
          </w:tcPr>
          <w:p w14:paraId="0CA08AB1" w14:textId="77777777" w:rsidR="009D33A8" w:rsidRDefault="009D33A8">
            <w:r>
              <w:t>Goods and services</w:t>
            </w:r>
          </w:p>
        </w:tc>
        <w:tc>
          <w:tcPr>
            <w:tcW w:w="1276" w:type="dxa"/>
          </w:tcPr>
          <w:p w14:paraId="05F55137" w14:textId="77777777" w:rsidR="009D33A8" w:rsidRDefault="009D33A8">
            <w:pPr>
              <w:cnfStyle w:val="000000000000" w:firstRow="0" w:lastRow="0" w:firstColumn="0" w:lastColumn="0" w:oddVBand="0" w:evenVBand="0" w:oddHBand="0" w:evenHBand="0" w:firstRowFirstColumn="0" w:firstRowLastColumn="0" w:lastRowFirstColumn="0" w:lastRowLastColumn="0"/>
            </w:pPr>
            <w:r>
              <w:t>(4 873 916)</w:t>
            </w:r>
          </w:p>
        </w:tc>
        <w:tc>
          <w:tcPr>
            <w:tcW w:w="1416" w:type="dxa"/>
          </w:tcPr>
          <w:p w14:paraId="2F396533" w14:textId="77777777" w:rsidR="009D33A8" w:rsidRDefault="009D33A8">
            <w:pPr>
              <w:cnfStyle w:val="000000000000" w:firstRow="0" w:lastRow="0" w:firstColumn="0" w:lastColumn="0" w:oddVBand="0" w:evenVBand="0" w:oddHBand="0" w:evenHBand="0" w:firstRowFirstColumn="0" w:firstRowLastColumn="0" w:lastRowFirstColumn="0" w:lastRowLastColumn="0"/>
            </w:pPr>
            <w:r>
              <w:t>(4 955 932)</w:t>
            </w:r>
          </w:p>
        </w:tc>
      </w:tr>
      <w:tr w:rsidR="009D33A8" w14:paraId="134FD8E7" w14:textId="77777777">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4BA851E5" w14:textId="77777777" w:rsidR="009D33A8" w:rsidRDefault="009D33A8">
            <w:r>
              <w:rPr>
                <w:b/>
              </w:rPr>
              <w:t>Net cash flows from operating activities</w:t>
            </w:r>
          </w:p>
        </w:tc>
        <w:tc>
          <w:tcPr>
            <w:tcW w:w="1276" w:type="dxa"/>
            <w:tcBorders>
              <w:top w:val="single" w:sz="6" w:space="0" w:color="auto"/>
              <w:bottom w:val="single" w:sz="6" w:space="0" w:color="auto"/>
            </w:tcBorders>
          </w:tcPr>
          <w:p w14:paraId="135AAE2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5 654 290</w:t>
            </w:r>
          </w:p>
        </w:tc>
        <w:tc>
          <w:tcPr>
            <w:tcW w:w="1416" w:type="dxa"/>
            <w:tcBorders>
              <w:top w:val="single" w:sz="6" w:space="0" w:color="auto"/>
              <w:bottom w:val="single" w:sz="6" w:space="0" w:color="auto"/>
            </w:tcBorders>
          </w:tcPr>
          <w:p w14:paraId="18D7366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15 120 200</w:t>
            </w:r>
          </w:p>
        </w:tc>
      </w:tr>
      <w:tr w:rsidR="009D33A8" w14:paraId="5C498E55"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tcBorders>
          </w:tcPr>
          <w:p w14:paraId="7940DF92" w14:textId="77777777" w:rsidR="009D33A8" w:rsidRDefault="009D33A8"/>
        </w:tc>
        <w:tc>
          <w:tcPr>
            <w:tcW w:w="1276" w:type="dxa"/>
            <w:tcBorders>
              <w:top w:val="single" w:sz="6" w:space="0" w:color="auto"/>
            </w:tcBorders>
          </w:tcPr>
          <w:p w14:paraId="48CDD31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6" w:space="0" w:color="auto"/>
            </w:tcBorders>
          </w:tcPr>
          <w:p w14:paraId="1B27ADF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4D354D2" w14:textId="77777777">
        <w:tc>
          <w:tcPr>
            <w:cnfStyle w:val="001000000000" w:firstRow="0" w:lastRow="0" w:firstColumn="1" w:lastColumn="0" w:oddVBand="0" w:evenVBand="0" w:oddHBand="0" w:evenHBand="0" w:firstRowFirstColumn="0" w:firstRowLastColumn="0" w:lastRowFirstColumn="0" w:lastRowLastColumn="0"/>
            <w:tcW w:w="6946" w:type="dxa"/>
          </w:tcPr>
          <w:p w14:paraId="0CE6362A" w14:textId="77777777" w:rsidR="009D33A8" w:rsidRDefault="009D33A8">
            <w:r>
              <w:rPr>
                <w:b/>
              </w:rPr>
              <w:t>Cash flows from investing activities</w:t>
            </w:r>
          </w:p>
        </w:tc>
        <w:tc>
          <w:tcPr>
            <w:tcW w:w="1276" w:type="dxa"/>
          </w:tcPr>
          <w:p w14:paraId="76B8903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21819F9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CF6942E" w14:textId="77777777">
        <w:tc>
          <w:tcPr>
            <w:cnfStyle w:val="001000000000" w:firstRow="0" w:lastRow="0" w:firstColumn="1" w:lastColumn="0" w:oddVBand="0" w:evenVBand="0" w:oddHBand="0" w:evenHBand="0" w:firstRowFirstColumn="0" w:firstRowLastColumn="0" w:lastRowFirstColumn="0" w:lastRowLastColumn="0"/>
            <w:tcW w:w="6946" w:type="dxa"/>
          </w:tcPr>
          <w:p w14:paraId="3A69B948" w14:textId="77777777" w:rsidR="009D33A8" w:rsidRDefault="009D33A8">
            <w:r>
              <w:t>Purchase of non</w:t>
            </w:r>
            <w:r>
              <w:noBreakHyphen/>
              <w:t>financial assets</w:t>
            </w:r>
          </w:p>
        </w:tc>
        <w:tc>
          <w:tcPr>
            <w:tcW w:w="1276" w:type="dxa"/>
          </w:tcPr>
          <w:p w14:paraId="04F5D374" w14:textId="77777777" w:rsidR="009D33A8" w:rsidRDefault="009D33A8">
            <w:pPr>
              <w:cnfStyle w:val="000000000000" w:firstRow="0" w:lastRow="0" w:firstColumn="0" w:lastColumn="0" w:oddVBand="0" w:evenVBand="0" w:oddHBand="0" w:evenHBand="0" w:firstRowFirstColumn="0" w:firstRowLastColumn="0" w:lastRowFirstColumn="0" w:lastRowLastColumn="0"/>
            </w:pPr>
            <w:r>
              <w:t>(35 637)</w:t>
            </w:r>
          </w:p>
        </w:tc>
        <w:tc>
          <w:tcPr>
            <w:tcW w:w="1416" w:type="dxa"/>
          </w:tcPr>
          <w:p w14:paraId="65BDC9E0" w14:textId="77777777" w:rsidR="009D33A8" w:rsidRDefault="009D33A8">
            <w:pPr>
              <w:cnfStyle w:val="000000000000" w:firstRow="0" w:lastRow="0" w:firstColumn="0" w:lastColumn="0" w:oddVBand="0" w:evenVBand="0" w:oddHBand="0" w:evenHBand="0" w:firstRowFirstColumn="0" w:firstRowLastColumn="0" w:lastRowFirstColumn="0" w:lastRowLastColumn="0"/>
            </w:pPr>
            <w:r>
              <w:t>(306 280)</w:t>
            </w:r>
          </w:p>
        </w:tc>
      </w:tr>
      <w:tr w:rsidR="009D33A8" w14:paraId="449FDDB8" w14:textId="77777777">
        <w:tc>
          <w:tcPr>
            <w:cnfStyle w:val="001000000000" w:firstRow="0" w:lastRow="0" w:firstColumn="1" w:lastColumn="0" w:oddVBand="0" w:evenVBand="0" w:oddHBand="0" w:evenHBand="0" w:firstRowFirstColumn="0" w:firstRowLastColumn="0" w:lastRowFirstColumn="0" w:lastRowLastColumn="0"/>
            <w:tcW w:w="6946" w:type="dxa"/>
          </w:tcPr>
          <w:p w14:paraId="5A9F8193" w14:textId="77777777" w:rsidR="009D33A8" w:rsidRDefault="009D33A8">
            <w:r>
              <w:t>Sales of non</w:t>
            </w:r>
            <w:r>
              <w:noBreakHyphen/>
              <w:t>financial assets</w:t>
            </w:r>
          </w:p>
        </w:tc>
        <w:tc>
          <w:tcPr>
            <w:tcW w:w="1276" w:type="dxa"/>
          </w:tcPr>
          <w:p w14:paraId="343ACE94" w14:textId="77777777" w:rsidR="009D33A8" w:rsidRDefault="009D33A8">
            <w:pPr>
              <w:cnfStyle w:val="000000000000" w:firstRow="0" w:lastRow="0" w:firstColumn="0" w:lastColumn="0" w:oddVBand="0" w:evenVBand="0" w:oddHBand="0" w:evenHBand="0" w:firstRowFirstColumn="0" w:firstRowLastColumn="0" w:lastRowFirstColumn="0" w:lastRowLastColumn="0"/>
            </w:pPr>
            <w:r>
              <w:t>117 813</w:t>
            </w:r>
          </w:p>
        </w:tc>
        <w:tc>
          <w:tcPr>
            <w:tcW w:w="1416" w:type="dxa"/>
          </w:tcPr>
          <w:p w14:paraId="4F13C600" w14:textId="77777777" w:rsidR="009D33A8" w:rsidRDefault="009D33A8">
            <w:pPr>
              <w:cnfStyle w:val="000000000000" w:firstRow="0" w:lastRow="0" w:firstColumn="0" w:lastColumn="0" w:oddVBand="0" w:evenVBand="0" w:oddHBand="0" w:evenHBand="0" w:firstRowFirstColumn="0" w:firstRowLastColumn="0" w:lastRowFirstColumn="0" w:lastRowLastColumn="0"/>
            </w:pPr>
            <w:r>
              <w:t>109 878</w:t>
            </w:r>
          </w:p>
        </w:tc>
      </w:tr>
      <w:tr w:rsidR="009D33A8" w14:paraId="0E039DFA" w14:textId="77777777">
        <w:tc>
          <w:tcPr>
            <w:cnfStyle w:val="001000000000" w:firstRow="0" w:lastRow="0" w:firstColumn="1" w:lastColumn="0" w:oddVBand="0" w:evenVBand="0" w:oddHBand="0" w:evenHBand="0" w:firstRowFirstColumn="0" w:firstRowLastColumn="0" w:lastRowFirstColumn="0" w:lastRowLastColumn="0"/>
            <w:tcW w:w="6946" w:type="dxa"/>
          </w:tcPr>
          <w:p w14:paraId="4409AF04" w14:textId="77777777" w:rsidR="009D33A8" w:rsidRDefault="009D33A8">
            <w:r>
              <w:t>Net proceeds from customer loans</w:t>
            </w:r>
          </w:p>
        </w:tc>
        <w:tc>
          <w:tcPr>
            <w:tcW w:w="1276" w:type="dxa"/>
          </w:tcPr>
          <w:p w14:paraId="428BF7C2" w14:textId="77777777" w:rsidR="009D33A8" w:rsidRDefault="009D33A8">
            <w:pPr>
              <w:cnfStyle w:val="000000000000" w:firstRow="0" w:lastRow="0" w:firstColumn="0" w:lastColumn="0" w:oddVBand="0" w:evenVBand="0" w:oddHBand="0" w:evenHBand="0" w:firstRowFirstColumn="0" w:firstRowLastColumn="0" w:lastRowFirstColumn="0" w:lastRowLastColumn="0"/>
            </w:pPr>
            <w:r>
              <w:t>(594 464)</w:t>
            </w:r>
          </w:p>
        </w:tc>
        <w:tc>
          <w:tcPr>
            <w:tcW w:w="1416" w:type="dxa"/>
          </w:tcPr>
          <w:p w14:paraId="0EAC9603" w14:textId="77777777" w:rsidR="009D33A8" w:rsidRDefault="009D33A8">
            <w:pPr>
              <w:cnfStyle w:val="000000000000" w:firstRow="0" w:lastRow="0" w:firstColumn="0" w:lastColumn="0" w:oddVBand="0" w:evenVBand="0" w:oddHBand="0" w:evenHBand="0" w:firstRowFirstColumn="0" w:firstRowLastColumn="0" w:lastRowFirstColumn="0" w:lastRowLastColumn="0"/>
            </w:pPr>
            <w:r>
              <w:t>200 853</w:t>
            </w:r>
          </w:p>
        </w:tc>
      </w:tr>
      <w:tr w:rsidR="009D33A8" w14:paraId="33D9F79B" w14:textId="77777777">
        <w:tc>
          <w:tcPr>
            <w:cnfStyle w:val="001000000000" w:firstRow="0" w:lastRow="0" w:firstColumn="1" w:lastColumn="0" w:oddVBand="0" w:evenVBand="0" w:oddHBand="0" w:evenHBand="0" w:firstRowFirstColumn="0" w:firstRowLastColumn="0" w:lastRowFirstColumn="0" w:lastRowLastColumn="0"/>
            <w:tcW w:w="6946" w:type="dxa"/>
            <w:tcBorders>
              <w:bottom w:val="single" w:sz="6" w:space="0" w:color="auto"/>
            </w:tcBorders>
          </w:tcPr>
          <w:p w14:paraId="3BD02BBB" w14:textId="77777777" w:rsidR="009D33A8" w:rsidRDefault="009D33A8">
            <w:r>
              <w:t>Other investing activities</w:t>
            </w:r>
          </w:p>
        </w:tc>
        <w:tc>
          <w:tcPr>
            <w:tcW w:w="1276" w:type="dxa"/>
            <w:tcBorders>
              <w:bottom w:val="single" w:sz="6" w:space="0" w:color="auto"/>
            </w:tcBorders>
          </w:tcPr>
          <w:p w14:paraId="3C2A6958" w14:textId="77777777" w:rsidR="009D33A8" w:rsidRDefault="009D33A8">
            <w:pPr>
              <w:cnfStyle w:val="000000000000" w:firstRow="0" w:lastRow="0" w:firstColumn="0" w:lastColumn="0" w:oddVBand="0" w:evenVBand="0" w:oddHBand="0" w:evenHBand="0" w:firstRowFirstColumn="0" w:firstRowLastColumn="0" w:lastRowFirstColumn="0" w:lastRowLastColumn="0"/>
            </w:pPr>
            <w:r>
              <w:t>(6 529 612)</w:t>
            </w:r>
          </w:p>
        </w:tc>
        <w:tc>
          <w:tcPr>
            <w:tcW w:w="1416" w:type="dxa"/>
            <w:tcBorders>
              <w:bottom w:val="single" w:sz="6" w:space="0" w:color="auto"/>
            </w:tcBorders>
          </w:tcPr>
          <w:p w14:paraId="42182897" w14:textId="77777777" w:rsidR="009D33A8" w:rsidRDefault="009D33A8">
            <w:pPr>
              <w:cnfStyle w:val="000000000000" w:firstRow="0" w:lastRow="0" w:firstColumn="0" w:lastColumn="0" w:oddVBand="0" w:evenVBand="0" w:oddHBand="0" w:evenHBand="0" w:firstRowFirstColumn="0" w:firstRowLastColumn="0" w:lastRowFirstColumn="0" w:lastRowLastColumn="0"/>
            </w:pPr>
            <w:r>
              <w:t>(15 130 456)</w:t>
            </w:r>
          </w:p>
        </w:tc>
      </w:tr>
      <w:tr w:rsidR="009D33A8" w14:paraId="36A99D68" w14:textId="77777777">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4BFCCB7A" w14:textId="77777777" w:rsidR="009D33A8" w:rsidRDefault="009D33A8">
            <w:r>
              <w:rPr>
                <w:b/>
              </w:rPr>
              <w:t>Net cash flows from investing activities</w:t>
            </w:r>
          </w:p>
        </w:tc>
        <w:tc>
          <w:tcPr>
            <w:tcW w:w="1276" w:type="dxa"/>
            <w:tcBorders>
              <w:top w:val="single" w:sz="6" w:space="0" w:color="auto"/>
              <w:bottom w:val="single" w:sz="6" w:space="0" w:color="auto"/>
            </w:tcBorders>
          </w:tcPr>
          <w:p w14:paraId="3C16DCD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(7 041 901)</w:t>
            </w:r>
          </w:p>
        </w:tc>
        <w:tc>
          <w:tcPr>
            <w:tcW w:w="1416" w:type="dxa"/>
            <w:tcBorders>
              <w:top w:val="single" w:sz="6" w:space="0" w:color="auto"/>
              <w:bottom w:val="single" w:sz="6" w:space="0" w:color="auto"/>
            </w:tcBorders>
          </w:tcPr>
          <w:p w14:paraId="5421FB1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(15 126 004)</w:t>
            </w:r>
          </w:p>
        </w:tc>
      </w:tr>
      <w:tr w:rsidR="009D33A8" w14:paraId="6499CC4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tcBorders>
          </w:tcPr>
          <w:p w14:paraId="24087DA4" w14:textId="77777777" w:rsidR="009D33A8" w:rsidRDefault="009D33A8"/>
        </w:tc>
        <w:tc>
          <w:tcPr>
            <w:tcW w:w="1276" w:type="dxa"/>
            <w:tcBorders>
              <w:top w:val="single" w:sz="6" w:space="0" w:color="auto"/>
            </w:tcBorders>
          </w:tcPr>
          <w:p w14:paraId="74C8D4C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6" w:space="0" w:color="auto"/>
            </w:tcBorders>
          </w:tcPr>
          <w:p w14:paraId="57975B6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778452B" w14:textId="77777777">
        <w:tc>
          <w:tcPr>
            <w:cnfStyle w:val="001000000000" w:firstRow="0" w:lastRow="0" w:firstColumn="1" w:lastColumn="0" w:oddVBand="0" w:evenVBand="0" w:oddHBand="0" w:evenHBand="0" w:firstRowFirstColumn="0" w:firstRowLastColumn="0" w:lastRowFirstColumn="0" w:lastRowLastColumn="0"/>
            <w:tcW w:w="6946" w:type="dxa"/>
          </w:tcPr>
          <w:p w14:paraId="7B3F1F3A" w14:textId="77777777" w:rsidR="009D33A8" w:rsidRDefault="009D33A8">
            <w:r>
              <w:rPr>
                <w:b/>
              </w:rPr>
              <w:t>Cash flows from financing activities</w:t>
            </w:r>
          </w:p>
        </w:tc>
        <w:tc>
          <w:tcPr>
            <w:tcW w:w="1276" w:type="dxa"/>
          </w:tcPr>
          <w:p w14:paraId="3F9DE6F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16" w:type="dxa"/>
          </w:tcPr>
          <w:p w14:paraId="27B14A3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D0F6A7F" w14:textId="77777777">
        <w:tc>
          <w:tcPr>
            <w:cnfStyle w:val="001000000000" w:firstRow="0" w:lastRow="0" w:firstColumn="1" w:lastColumn="0" w:oddVBand="0" w:evenVBand="0" w:oddHBand="0" w:evenHBand="0" w:firstRowFirstColumn="0" w:firstRowLastColumn="0" w:lastRowFirstColumn="0" w:lastRowLastColumn="0"/>
            <w:tcW w:w="6946" w:type="dxa"/>
            <w:tcBorders>
              <w:bottom w:val="single" w:sz="6" w:space="0" w:color="auto"/>
            </w:tcBorders>
          </w:tcPr>
          <w:p w14:paraId="3C0256C4" w14:textId="77777777" w:rsidR="009D33A8" w:rsidRDefault="009D33A8">
            <w:r>
              <w:t>Net borrowings</w:t>
            </w:r>
          </w:p>
        </w:tc>
        <w:tc>
          <w:tcPr>
            <w:tcW w:w="1276" w:type="dxa"/>
            <w:tcBorders>
              <w:bottom w:val="single" w:sz="6" w:space="0" w:color="auto"/>
            </w:tcBorders>
          </w:tcPr>
          <w:p w14:paraId="40C7765E" w14:textId="77777777" w:rsidR="009D33A8" w:rsidRDefault="009D33A8">
            <w:pPr>
              <w:cnfStyle w:val="000000000000" w:firstRow="0" w:lastRow="0" w:firstColumn="0" w:lastColumn="0" w:oddVBand="0" w:evenVBand="0" w:oddHBand="0" w:evenHBand="0" w:firstRowFirstColumn="0" w:firstRowLastColumn="0" w:lastRowFirstColumn="0" w:lastRowLastColumn="0"/>
            </w:pPr>
            <w:r>
              <w:t>(436 851)</w:t>
            </w:r>
          </w:p>
        </w:tc>
        <w:tc>
          <w:tcPr>
            <w:tcW w:w="1416" w:type="dxa"/>
            <w:tcBorders>
              <w:bottom w:val="single" w:sz="6" w:space="0" w:color="auto"/>
            </w:tcBorders>
          </w:tcPr>
          <w:p w14:paraId="3F14D3D5" w14:textId="77777777" w:rsidR="009D33A8" w:rsidRDefault="009D33A8">
            <w:pPr>
              <w:cnfStyle w:val="000000000000" w:firstRow="0" w:lastRow="0" w:firstColumn="0" w:lastColumn="0" w:oddVBand="0" w:evenVBand="0" w:oddHBand="0" w:evenHBand="0" w:firstRowFirstColumn="0" w:firstRowLastColumn="0" w:lastRowFirstColumn="0" w:lastRowLastColumn="0"/>
            </w:pPr>
            <w:r>
              <w:t>110 130</w:t>
            </w:r>
          </w:p>
        </w:tc>
      </w:tr>
      <w:tr w:rsidR="009D33A8" w14:paraId="590896BF" w14:textId="77777777">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6" w:space="0" w:color="auto"/>
            </w:tcBorders>
          </w:tcPr>
          <w:p w14:paraId="737554FD" w14:textId="77777777" w:rsidR="009D33A8" w:rsidRDefault="009D33A8">
            <w:r>
              <w:rPr>
                <w:b/>
              </w:rPr>
              <w:t>Net cash flows from financing activities</w:t>
            </w:r>
          </w:p>
        </w:tc>
        <w:tc>
          <w:tcPr>
            <w:tcW w:w="1276" w:type="dxa"/>
            <w:tcBorders>
              <w:top w:val="single" w:sz="6" w:space="0" w:color="auto"/>
              <w:bottom w:val="single" w:sz="6" w:space="0" w:color="auto"/>
            </w:tcBorders>
          </w:tcPr>
          <w:p w14:paraId="774A595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(436 851)</w:t>
            </w:r>
          </w:p>
        </w:tc>
        <w:tc>
          <w:tcPr>
            <w:tcW w:w="1416" w:type="dxa"/>
            <w:tcBorders>
              <w:top w:val="single" w:sz="6" w:space="0" w:color="auto"/>
              <w:bottom w:val="single" w:sz="6" w:space="0" w:color="auto"/>
            </w:tcBorders>
          </w:tcPr>
          <w:p w14:paraId="7A52E42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110 130</w:t>
            </w:r>
          </w:p>
        </w:tc>
      </w:tr>
      <w:tr w:rsidR="009D33A8" w14:paraId="09E61BAE" w14:textId="77777777">
        <w:tc>
          <w:tcPr>
            <w:cnfStyle w:val="001000000000" w:firstRow="0" w:lastRow="0" w:firstColumn="1" w:lastColumn="0" w:oddVBand="0" w:evenVBand="0" w:oddHBand="0" w:evenHBand="0" w:firstRowFirstColumn="0" w:firstRowLastColumn="0" w:lastRowFirstColumn="0" w:lastRowLastColumn="0"/>
            <w:tcW w:w="6946" w:type="dxa"/>
            <w:tcBorders>
              <w:top w:val="single" w:sz="6" w:space="0" w:color="auto"/>
              <w:bottom w:val="single" w:sz="12" w:space="0" w:color="auto"/>
            </w:tcBorders>
          </w:tcPr>
          <w:p w14:paraId="398BF5BA" w14:textId="77777777" w:rsidR="009D33A8" w:rsidRDefault="009D33A8">
            <w:r>
              <w:rPr>
                <w:b/>
              </w:rPr>
              <w:t>Net increase/(decrease) in trust fund cash and deposits</w:t>
            </w:r>
          </w:p>
        </w:tc>
        <w:tc>
          <w:tcPr>
            <w:tcW w:w="1276" w:type="dxa"/>
            <w:tcBorders>
              <w:top w:val="single" w:sz="6" w:space="0" w:color="auto"/>
              <w:bottom w:val="single" w:sz="12" w:space="0" w:color="auto"/>
            </w:tcBorders>
          </w:tcPr>
          <w:p w14:paraId="495EC05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(1 824 461)</w:t>
            </w:r>
          </w:p>
        </w:tc>
        <w:tc>
          <w:tcPr>
            <w:tcW w:w="1416" w:type="dxa"/>
            <w:tcBorders>
              <w:top w:val="single" w:sz="6" w:space="0" w:color="auto"/>
              <w:bottom w:val="single" w:sz="12" w:space="0" w:color="auto"/>
            </w:tcBorders>
          </w:tcPr>
          <w:p w14:paraId="5305359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104 325</w:t>
            </w:r>
          </w:p>
        </w:tc>
      </w:tr>
    </w:tbl>
    <w:p w14:paraId="5BC0A7AB" w14:textId="77777777" w:rsidR="009D33A8" w:rsidRDefault="009D33A8" w:rsidP="009D33A8"/>
    <w:p w14:paraId="08ED3393" w14:textId="77777777" w:rsidR="009D33A8" w:rsidRPr="00110DFC" w:rsidRDefault="009D33A8" w:rsidP="009D33A8"/>
    <w:p w14:paraId="0EE049D3" w14:textId="77777777" w:rsidR="009D33A8" w:rsidRPr="004C06BF" w:rsidRDefault="009D33A8" w:rsidP="009D33A8"/>
    <w:p w14:paraId="4D7CD8B3" w14:textId="77777777" w:rsidR="009D33A8" w:rsidRPr="00574EA2" w:rsidRDefault="009D33A8" w:rsidP="009D33A8">
      <w:bookmarkStart w:id="143" w:name="_Toc462418831"/>
      <w:r>
        <w:br w:type="page"/>
      </w:r>
    </w:p>
    <w:p w14:paraId="49923BF2" w14:textId="77777777" w:rsidR="009D33A8" w:rsidRDefault="009D33A8" w:rsidP="009D33A8">
      <w:pPr>
        <w:pStyle w:val="Heading3"/>
      </w:pPr>
      <w:bookmarkStart w:id="144" w:name="_Toc114670293"/>
      <w:bookmarkStart w:id="145" w:name="_Toc209479920"/>
      <w:r>
        <w:lastRenderedPageBreak/>
        <w:t>7.2.4</w:t>
      </w:r>
      <w:r>
        <w:tab/>
      </w:r>
      <w:r w:rsidRPr="007B2989">
        <w:t>Trust fund summary for the financial year ended 30 June</w:t>
      </w:r>
      <w:r>
        <w:tab/>
      </w:r>
      <w:r w:rsidRPr="004269AE">
        <w:rPr>
          <w:sz w:val="20"/>
          <w:szCs w:val="20"/>
        </w:rPr>
        <w:t>($ thousand)</w:t>
      </w:r>
      <w:bookmarkEnd w:id="143"/>
      <w:bookmarkEnd w:id="144"/>
      <w:bookmarkEnd w:id="145"/>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Trust_fund_summary|MergedHeadingRow:1"/>
      </w:tblPr>
      <w:tblGrid>
        <w:gridCol w:w="7655"/>
        <w:gridCol w:w="992"/>
        <w:gridCol w:w="991"/>
      </w:tblGrid>
      <w:tr w:rsidR="009D33A8" w14:paraId="51BCD79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0A12827E" w14:textId="77777777" w:rsidR="009D33A8" w:rsidRDefault="009D33A8">
            <w:pPr>
              <w:keepNext/>
            </w:pPr>
          </w:p>
        </w:tc>
        <w:tc>
          <w:tcPr>
            <w:tcW w:w="992" w:type="dxa"/>
          </w:tcPr>
          <w:p w14:paraId="0324CB8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Balances</w:t>
            </w:r>
            <w:r>
              <w:br/>
              <w:t>held 2025</w:t>
            </w:r>
          </w:p>
        </w:tc>
        <w:tc>
          <w:tcPr>
            <w:tcW w:w="991" w:type="dxa"/>
          </w:tcPr>
          <w:p w14:paraId="359FE26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Balances</w:t>
            </w:r>
            <w:r>
              <w:br/>
              <w:t>held 2024</w:t>
            </w:r>
          </w:p>
        </w:tc>
      </w:tr>
      <w:tr w:rsidR="009D33A8" w14:paraId="7985EC05" w14:textId="77777777">
        <w:tc>
          <w:tcPr>
            <w:cnfStyle w:val="001000000000" w:firstRow="0" w:lastRow="0" w:firstColumn="1" w:lastColumn="0" w:oddVBand="0" w:evenVBand="0" w:oddHBand="0" w:evenHBand="0" w:firstRowFirstColumn="0" w:firstRowLastColumn="0" w:lastRowFirstColumn="0" w:lastRowLastColumn="0"/>
            <w:tcW w:w="7655" w:type="dxa"/>
          </w:tcPr>
          <w:p w14:paraId="54A7B4B7" w14:textId="77777777" w:rsidR="009D33A8" w:rsidRDefault="009D33A8">
            <w:r>
              <w:rPr>
                <w:b/>
              </w:rPr>
              <w:t>State Government funds</w:t>
            </w:r>
          </w:p>
        </w:tc>
        <w:tc>
          <w:tcPr>
            <w:tcW w:w="992" w:type="dxa"/>
          </w:tcPr>
          <w:p w14:paraId="40CCA9C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Pr>
          <w:p w14:paraId="069ABE5F"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2F817310" w14:textId="77777777">
        <w:tc>
          <w:tcPr>
            <w:cnfStyle w:val="001000000000" w:firstRow="0" w:lastRow="0" w:firstColumn="1" w:lastColumn="0" w:oddVBand="0" w:evenVBand="0" w:oddHBand="0" w:evenHBand="0" w:firstRowFirstColumn="0" w:firstRowLastColumn="0" w:lastRowFirstColumn="0" w:lastRowLastColumn="0"/>
            <w:tcW w:w="7655" w:type="dxa"/>
          </w:tcPr>
          <w:p w14:paraId="21BC6DC9" w14:textId="77777777" w:rsidR="009D33A8" w:rsidRDefault="009D33A8">
            <w:r>
              <w:t>Accounts established to receive levies imposed by Parliament and record the expenditure thereof</w:t>
            </w:r>
          </w:p>
        </w:tc>
        <w:tc>
          <w:tcPr>
            <w:tcW w:w="992" w:type="dxa"/>
          </w:tcPr>
          <w:p w14:paraId="54CC7622" w14:textId="77777777" w:rsidR="009D33A8" w:rsidRDefault="009D33A8">
            <w:pPr>
              <w:cnfStyle w:val="000000000000" w:firstRow="0" w:lastRow="0" w:firstColumn="0" w:lastColumn="0" w:oddVBand="0" w:evenVBand="0" w:oddHBand="0" w:evenHBand="0" w:firstRowFirstColumn="0" w:firstRowLastColumn="0" w:lastRowFirstColumn="0" w:lastRowLastColumn="0"/>
            </w:pPr>
            <w:r>
              <w:t>815 648</w:t>
            </w:r>
          </w:p>
        </w:tc>
        <w:tc>
          <w:tcPr>
            <w:tcW w:w="991" w:type="dxa"/>
          </w:tcPr>
          <w:p w14:paraId="42DCE672" w14:textId="77777777" w:rsidR="009D33A8" w:rsidRDefault="009D33A8">
            <w:pPr>
              <w:cnfStyle w:val="000000000000" w:firstRow="0" w:lastRow="0" w:firstColumn="0" w:lastColumn="0" w:oddVBand="0" w:evenVBand="0" w:oddHBand="0" w:evenHBand="0" w:firstRowFirstColumn="0" w:firstRowLastColumn="0" w:lastRowFirstColumn="0" w:lastRowLastColumn="0"/>
            </w:pPr>
            <w:r>
              <w:t>643 295</w:t>
            </w:r>
          </w:p>
        </w:tc>
      </w:tr>
      <w:tr w:rsidR="009D33A8" w14:paraId="5D9E4D94" w14:textId="77777777">
        <w:tc>
          <w:tcPr>
            <w:cnfStyle w:val="001000000000" w:firstRow="0" w:lastRow="0" w:firstColumn="1" w:lastColumn="0" w:oddVBand="0" w:evenVBand="0" w:oddHBand="0" w:evenHBand="0" w:firstRowFirstColumn="0" w:firstRowLastColumn="0" w:lastRowFirstColumn="0" w:lastRowLastColumn="0"/>
            <w:tcW w:w="7655" w:type="dxa"/>
          </w:tcPr>
          <w:p w14:paraId="142809E0" w14:textId="77777777" w:rsidR="009D33A8" w:rsidRDefault="009D33A8">
            <w:r>
              <w:t>Accounts established to receive monies provided in the annual budget and record the expenditure thereof</w:t>
            </w:r>
          </w:p>
        </w:tc>
        <w:tc>
          <w:tcPr>
            <w:tcW w:w="992" w:type="dxa"/>
          </w:tcPr>
          <w:p w14:paraId="5F0FA0C7" w14:textId="77777777" w:rsidR="009D33A8" w:rsidRDefault="009D33A8">
            <w:pPr>
              <w:cnfStyle w:val="000000000000" w:firstRow="0" w:lastRow="0" w:firstColumn="0" w:lastColumn="0" w:oddVBand="0" w:evenVBand="0" w:oddHBand="0" w:evenHBand="0" w:firstRowFirstColumn="0" w:firstRowLastColumn="0" w:lastRowFirstColumn="0" w:lastRowLastColumn="0"/>
            </w:pPr>
            <w:r>
              <w:t>4 614 116</w:t>
            </w:r>
          </w:p>
        </w:tc>
        <w:tc>
          <w:tcPr>
            <w:tcW w:w="991" w:type="dxa"/>
          </w:tcPr>
          <w:p w14:paraId="7597DA4A" w14:textId="77777777" w:rsidR="009D33A8" w:rsidRDefault="009D33A8">
            <w:pPr>
              <w:cnfStyle w:val="000000000000" w:firstRow="0" w:lastRow="0" w:firstColumn="0" w:lastColumn="0" w:oddVBand="0" w:evenVBand="0" w:oddHBand="0" w:evenHBand="0" w:firstRowFirstColumn="0" w:firstRowLastColumn="0" w:lastRowFirstColumn="0" w:lastRowLastColumn="0"/>
            </w:pPr>
            <w:r>
              <w:t>4 527 058</w:t>
            </w:r>
          </w:p>
        </w:tc>
      </w:tr>
      <w:tr w:rsidR="009D33A8" w14:paraId="0CB49E02" w14:textId="77777777">
        <w:tc>
          <w:tcPr>
            <w:cnfStyle w:val="001000000000" w:firstRow="0" w:lastRow="0" w:firstColumn="1" w:lastColumn="0" w:oddVBand="0" w:evenVBand="0" w:oddHBand="0" w:evenHBand="0" w:firstRowFirstColumn="0" w:firstRowLastColumn="0" w:lastRowFirstColumn="0" w:lastRowLastColumn="0"/>
            <w:tcW w:w="7655" w:type="dxa"/>
          </w:tcPr>
          <w:p w14:paraId="1D131AFB" w14:textId="77777777" w:rsidR="009D33A8" w:rsidRDefault="009D33A8">
            <w:r>
              <w:t>Specific purpose operating accounts established for various authorities</w:t>
            </w:r>
          </w:p>
        </w:tc>
        <w:tc>
          <w:tcPr>
            <w:tcW w:w="992" w:type="dxa"/>
          </w:tcPr>
          <w:p w14:paraId="00FEDE76" w14:textId="77777777" w:rsidR="009D33A8" w:rsidRDefault="009D33A8">
            <w:pPr>
              <w:cnfStyle w:val="000000000000" w:firstRow="0" w:lastRow="0" w:firstColumn="0" w:lastColumn="0" w:oddVBand="0" w:evenVBand="0" w:oddHBand="0" w:evenHBand="0" w:firstRowFirstColumn="0" w:firstRowLastColumn="0" w:lastRowFirstColumn="0" w:lastRowLastColumn="0"/>
            </w:pPr>
            <w:r>
              <w:t>11 824 947</w:t>
            </w:r>
          </w:p>
        </w:tc>
        <w:tc>
          <w:tcPr>
            <w:tcW w:w="991" w:type="dxa"/>
          </w:tcPr>
          <w:p w14:paraId="4CA90F16" w14:textId="77777777" w:rsidR="009D33A8" w:rsidRDefault="009D33A8">
            <w:pPr>
              <w:cnfStyle w:val="000000000000" w:firstRow="0" w:lastRow="0" w:firstColumn="0" w:lastColumn="0" w:oddVBand="0" w:evenVBand="0" w:oddHBand="0" w:evenHBand="0" w:firstRowFirstColumn="0" w:firstRowLastColumn="0" w:lastRowFirstColumn="0" w:lastRowLastColumn="0"/>
            </w:pPr>
            <w:r>
              <w:t>10 400 144</w:t>
            </w:r>
          </w:p>
        </w:tc>
      </w:tr>
      <w:tr w:rsidR="009D33A8" w14:paraId="6858C313" w14:textId="77777777">
        <w:tc>
          <w:tcPr>
            <w:cnfStyle w:val="001000000000" w:firstRow="0" w:lastRow="0" w:firstColumn="1" w:lastColumn="0" w:oddVBand="0" w:evenVBand="0" w:oddHBand="0" w:evenHBand="0" w:firstRowFirstColumn="0" w:firstRowLastColumn="0" w:lastRowFirstColumn="0" w:lastRowLastColumn="0"/>
            <w:tcW w:w="7655" w:type="dxa"/>
          </w:tcPr>
          <w:p w14:paraId="081E5798" w14:textId="77777777" w:rsidR="009D33A8" w:rsidRDefault="009D33A8">
            <w:r>
              <w:t>Suspense and clearing accounts to facilitate accounting procedures</w:t>
            </w:r>
            <w:r>
              <w:rPr>
                <w:vertAlign w:val="superscript"/>
              </w:rPr>
              <w:t xml:space="preserve"> (a)</w:t>
            </w:r>
          </w:p>
        </w:tc>
        <w:tc>
          <w:tcPr>
            <w:tcW w:w="992" w:type="dxa"/>
          </w:tcPr>
          <w:p w14:paraId="0F1323C9" w14:textId="77777777" w:rsidR="009D33A8" w:rsidRDefault="009D33A8">
            <w:pPr>
              <w:cnfStyle w:val="000000000000" w:firstRow="0" w:lastRow="0" w:firstColumn="0" w:lastColumn="0" w:oddVBand="0" w:evenVBand="0" w:oddHBand="0" w:evenHBand="0" w:firstRowFirstColumn="0" w:firstRowLastColumn="0" w:lastRowFirstColumn="0" w:lastRowLastColumn="0"/>
            </w:pPr>
            <w:r>
              <w:t>(358 435)</w:t>
            </w:r>
          </w:p>
        </w:tc>
        <w:tc>
          <w:tcPr>
            <w:tcW w:w="991" w:type="dxa"/>
          </w:tcPr>
          <w:p w14:paraId="6C508705" w14:textId="77777777" w:rsidR="009D33A8" w:rsidRDefault="009D33A8">
            <w:pPr>
              <w:cnfStyle w:val="000000000000" w:firstRow="0" w:lastRow="0" w:firstColumn="0" w:lastColumn="0" w:oddVBand="0" w:evenVBand="0" w:oddHBand="0" w:evenHBand="0" w:firstRowFirstColumn="0" w:firstRowLastColumn="0" w:lastRowFirstColumn="0" w:lastRowLastColumn="0"/>
            </w:pPr>
            <w:r>
              <w:t>279 949</w:t>
            </w:r>
          </w:p>
        </w:tc>
      </w:tr>
      <w:tr w:rsidR="009D33A8" w14:paraId="2A5433DF" w14:textId="77777777">
        <w:tc>
          <w:tcPr>
            <w:cnfStyle w:val="001000000000" w:firstRow="0" w:lastRow="0" w:firstColumn="1" w:lastColumn="0" w:oddVBand="0" w:evenVBand="0" w:oddHBand="0" w:evenHBand="0" w:firstRowFirstColumn="0" w:firstRowLastColumn="0" w:lastRowFirstColumn="0" w:lastRowLastColumn="0"/>
            <w:tcW w:w="7655" w:type="dxa"/>
          </w:tcPr>
          <w:p w14:paraId="30409E46" w14:textId="77777777" w:rsidR="009D33A8" w:rsidRDefault="009D33A8">
            <w:r>
              <w:t>Treasury Trust Fund</w:t>
            </w:r>
          </w:p>
        </w:tc>
        <w:tc>
          <w:tcPr>
            <w:tcW w:w="992" w:type="dxa"/>
          </w:tcPr>
          <w:p w14:paraId="3A04AC43" w14:textId="77777777" w:rsidR="009D33A8" w:rsidRDefault="009D33A8">
            <w:pPr>
              <w:cnfStyle w:val="000000000000" w:firstRow="0" w:lastRow="0" w:firstColumn="0" w:lastColumn="0" w:oddVBand="0" w:evenVBand="0" w:oddHBand="0" w:evenHBand="0" w:firstRowFirstColumn="0" w:firstRowLastColumn="0" w:lastRowFirstColumn="0" w:lastRowLastColumn="0"/>
            </w:pPr>
            <w:r>
              <w:t>325 761</w:t>
            </w:r>
          </w:p>
        </w:tc>
        <w:tc>
          <w:tcPr>
            <w:tcW w:w="991" w:type="dxa"/>
          </w:tcPr>
          <w:p w14:paraId="60514F18" w14:textId="77777777" w:rsidR="009D33A8" w:rsidRDefault="009D33A8">
            <w:pPr>
              <w:cnfStyle w:val="000000000000" w:firstRow="0" w:lastRow="0" w:firstColumn="0" w:lastColumn="0" w:oddVBand="0" w:evenVBand="0" w:oddHBand="0" w:evenHBand="0" w:firstRowFirstColumn="0" w:firstRowLastColumn="0" w:lastRowFirstColumn="0" w:lastRowLastColumn="0"/>
            </w:pPr>
            <w:r>
              <w:t>327 847</w:t>
            </w:r>
          </w:p>
        </w:tc>
      </w:tr>
      <w:tr w:rsidR="009D33A8" w14:paraId="5D8430EC" w14:textId="77777777">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7B56B7EB" w14:textId="77777777" w:rsidR="009D33A8" w:rsidRDefault="009D33A8">
            <w:r>
              <w:t>Agency and deposit accounts</w:t>
            </w:r>
          </w:p>
        </w:tc>
        <w:tc>
          <w:tcPr>
            <w:tcW w:w="992" w:type="dxa"/>
            <w:tcBorders>
              <w:bottom w:val="single" w:sz="6" w:space="0" w:color="auto"/>
            </w:tcBorders>
          </w:tcPr>
          <w:p w14:paraId="48DA9E45" w14:textId="77777777" w:rsidR="009D33A8" w:rsidRDefault="009D33A8">
            <w:pPr>
              <w:cnfStyle w:val="000000000000" w:firstRow="0" w:lastRow="0" w:firstColumn="0" w:lastColumn="0" w:oddVBand="0" w:evenVBand="0" w:oddHBand="0" w:evenHBand="0" w:firstRowFirstColumn="0" w:firstRowLastColumn="0" w:lastRowFirstColumn="0" w:lastRowLastColumn="0"/>
            </w:pPr>
            <w:r>
              <w:t>835 004</w:t>
            </w:r>
          </w:p>
        </w:tc>
        <w:tc>
          <w:tcPr>
            <w:tcW w:w="991" w:type="dxa"/>
            <w:tcBorders>
              <w:bottom w:val="single" w:sz="6" w:space="0" w:color="auto"/>
            </w:tcBorders>
          </w:tcPr>
          <w:p w14:paraId="05F68620" w14:textId="77777777" w:rsidR="009D33A8" w:rsidRDefault="009D33A8">
            <w:pPr>
              <w:cnfStyle w:val="000000000000" w:firstRow="0" w:lastRow="0" w:firstColumn="0" w:lastColumn="0" w:oddVBand="0" w:evenVBand="0" w:oddHBand="0" w:evenHBand="0" w:firstRowFirstColumn="0" w:firstRowLastColumn="0" w:lastRowFirstColumn="0" w:lastRowLastColumn="0"/>
            </w:pPr>
            <w:r>
              <w:t>946 601</w:t>
            </w:r>
          </w:p>
        </w:tc>
      </w:tr>
      <w:tr w:rsidR="009D33A8" w14:paraId="19AD7ED2" w14:textId="77777777">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3355A986" w14:textId="77777777" w:rsidR="009D33A8" w:rsidRDefault="009D33A8">
            <w:r>
              <w:rPr>
                <w:b/>
              </w:rPr>
              <w:t>Total State Government funds</w:t>
            </w:r>
          </w:p>
        </w:tc>
        <w:tc>
          <w:tcPr>
            <w:tcW w:w="992" w:type="dxa"/>
            <w:tcBorders>
              <w:top w:val="single" w:sz="6" w:space="0" w:color="auto"/>
            </w:tcBorders>
          </w:tcPr>
          <w:p w14:paraId="785540B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18 057 041</w:t>
            </w:r>
          </w:p>
        </w:tc>
        <w:tc>
          <w:tcPr>
            <w:tcW w:w="991" w:type="dxa"/>
            <w:tcBorders>
              <w:top w:val="single" w:sz="6" w:space="0" w:color="auto"/>
            </w:tcBorders>
          </w:tcPr>
          <w:p w14:paraId="79A0677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17 124 894</w:t>
            </w:r>
          </w:p>
        </w:tc>
      </w:tr>
      <w:tr w:rsidR="009D33A8" w14:paraId="7CB20109"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Pr>
          <w:p w14:paraId="2FE70240" w14:textId="77777777" w:rsidR="009D33A8" w:rsidRDefault="009D33A8"/>
        </w:tc>
        <w:tc>
          <w:tcPr>
            <w:tcW w:w="992" w:type="dxa"/>
          </w:tcPr>
          <w:p w14:paraId="4C4E216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Pr>
          <w:p w14:paraId="6C6513B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23C8375" w14:textId="77777777">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3DEA0E4" w14:textId="77777777" w:rsidR="009D33A8" w:rsidRDefault="009D33A8">
            <w:r>
              <w:rPr>
                <w:b/>
              </w:rPr>
              <w:t>Joint Commonwealth and State funds</w:t>
            </w:r>
          </w:p>
        </w:tc>
        <w:tc>
          <w:tcPr>
            <w:tcW w:w="992" w:type="dxa"/>
            <w:tcBorders>
              <w:bottom w:val="single" w:sz="6" w:space="0" w:color="auto"/>
            </w:tcBorders>
          </w:tcPr>
          <w:p w14:paraId="1ECF36F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513 855</w:t>
            </w:r>
          </w:p>
        </w:tc>
        <w:tc>
          <w:tcPr>
            <w:tcW w:w="991" w:type="dxa"/>
            <w:tcBorders>
              <w:bottom w:val="single" w:sz="6" w:space="0" w:color="auto"/>
            </w:tcBorders>
          </w:tcPr>
          <w:p w14:paraId="0E7BE63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633 672</w:t>
            </w:r>
          </w:p>
        </w:tc>
      </w:tr>
      <w:tr w:rsidR="009D33A8" w14:paraId="1C76B2A3"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268BFC6B" w14:textId="77777777" w:rsidR="009D33A8" w:rsidRDefault="009D33A8"/>
        </w:tc>
        <w:tc>
          <w:tcPr>
            <w:tcW w:w="992" w:type="dxa"/>
            <w:tcBorders>
              <w:top w:val="single" w:sz="6" w:space="0" w:color="auto"/>
            </w:tcBorders>
          </w:tcPr>
          <w:p w14:paraId="635F515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5AC0407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EE07B78" w14:textId="77777777">
        <w:tc>
          <w:tcPr>
            <w:cnfStyle w:val="001000000000" w:firstRow="0" w:lastRow="0" w:firstColumn="1" w:lastColumn="0" w:oddVBand="0" w:evenVBand="0" w:oddHBand="0" w:evenHBand="0" w:firstRowFirstColumn="0" w:firstRowLastColumn="0" w:lastRowFirstColumn="0" w:lastRowLastColumn="0"/>
            <w:tcW w:w="7655" w:type="dxa"/>
          </w:tcPr>
          <w:p w14:paraId="10AFC5AC" w14:textId="77777777" w:rsidR="009D33A8" w:rsidRDefault="009D33A8">
            <w:r>
              <w:rPr>
                <w:b/>
              </w:rPr>
              <w:t>Commonwealth Government funds</w:t>
            </w:r>
          </w:p>
        </w:tc>
        <w:tc>
          <w:tcPr>
            <w:tcW w:w="992" w:type="dxa"/>
          </w:tcPr>
          <w:p w14:paraId="423F22A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Pr>
          <w:p w14:paraId="0B20A82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44E2B15" w14:textId="77777777">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04EDA27C" w14:textId="77777777" w:rsidR="009D33A8" w:rsidRDefault="009D33A8">
            <w:r>
              <w:t>Commonwealth Grants passed on to individuals and organisations</w:t>
            </w:r>
          </w:p>
        </w:tc>
        <w:tc>
          <w:tcPr>
            <w:tcW w:w="992" w:type="dxa"/>
            <w:tcBorders>
              <w:bottom w:val="single" w:sz="6" w:space="0" w:color="auto"/>
            </w:tcBorders>
          </w:tcPr>
          <w:p w14:paraId="2B7F1423" w14:textId="77777777" w:rsidR="009D33A8" w:rsidRDefault="009D33A8">
            <w:pPr>
              <w:cnfStyle w:val="000000000000" w:firstRow="0" w:lastRow="0" w:firstColumn="0" w:lastColumn="0" w:oddVBand="0" w:evenVBand="0" w:oddHBand="0" w:evenHBand="0" w:firstRowFirstColumn="0" w:firstRowLastColumn="0" w:lastRowFirstColumn="0" w:lastRowLastColumn="0"/>
            </w:pPr>
            <w:r>
              <w:t>59 711</w:t>
            </w:r>
          </w:p>
        </w:tc>
        <w:tc>
          <w:tcPr>
            <w:tcW w:w="991" w:type="dxa"/>
            <w:tcBorders>
              <w:bottom w:val="single" w:sz="6" w:space="0" w:color="auto"/>
            </w:tcBorders>
          </w:tcPr>
          <w:p w14:paraId="4534592F" w14:textId="77777777" w:rsidR="009D33A8" w:rsidRDefault="009D33A8">
            <w:pPr>
              <w:cnfStyle w:val="000000000000" w:firstRow="0" w:lastRow="0" w:firstColumn="0" w:lastColumn="0" w:oddVBand="0" w:evenVBand="0" w:oddHBand="0" w:evenHBand="0" w:firstRowFirstColumn="0" w:firstRowLastColumn="0" w:lastRowFirstColumn="0" w:lastRowLastColumn="0"/>
            </w:pPr>
            <w:r>
              <w:t>741 335</w:t>
            </w:r>
          </w:p>
        </w:tc>
      </w:tr>
      <w:tr w:rsidR="009D33A8" w14:paraId="1F5829D4" w14:textId="77777777">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45D77149" w14:textId="77777777" w:rsidR="009D33A8" w:rsidRDefault="009D33A8">
            <w:r>
              <w:rPr>
                <w:b/>
              </w:rPr>
              <w:t>Total Commonwealth Government funds</w:t>
            </w:r>
          </w:p>
        </w:tc>
        <w:tc>
          <w:tcPr>
            <w:tcW w:w="992" w:type="dxa"/>
            <w:tcBorders>
              <w:top w:val="single" w:sz="6" w:space="0" w:color="auto"/>
              <w:bottom w:val="single" w:sz="6" w:space="0" w:color="auto"/>
            </w:tcBorders>
          </w:tcPr>
          <w:p w14:paraId="7521E13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59 711</w:t>
            </w:r>
          </w:p>
        </w:tc>
        <w:tc>
          <w:tcPr>
            <w:tcW w:w="991" w:type="dxa"/>
            <w:tcBorders>
              <w:top w:val="single" w:sz="6" w:space="0" w:color="auto"/>
              <w:bottom w:val="single" w:sz="6" w:space="0" w:color="auto"/>
            </w:tcBorders>
          </w:tcPr>
          <w:p w14:paraId="2FCB250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741 335</w:t>
            </w:r>
          </w:p>
        </w:tc>
      </w:tr>
      <w:tr w:rsidR="009D33A8" w14:paraId="51DC935B"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14496AE8" w14:textId="77777777" w:rsidR="009D33A8" w:rsidRDefault="009D33A8"/>
        </w:tc>
        <w:tc>
          <w:tcPr>
            <w:tcW w:w="992" w:type="dxa"/>
            <w:tcBorders>
              <w:top w:val="single" w:sz="6" w:space="0" w:color="auto"/>
            </w:tcBorders>
          </w:tcPr>
          <w:p w14:paraId="5F97054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3FB3053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0C4A3FB" w14:textId="77777777">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160DEB9E" w14:textId="77777777" w:rsidR="009D33A8" w:rsidRDefault="009D33A8">
            <w:r>
              <w:rPr>
                <w:b/>
              </w:rPr>
              <w:t>Prizes, scholarships, research and private donations</w:t>
            </w:r>
          </w:p>
        </w:tc>
        <w:tc>
          <w:tcPr>
            <w:tcW w:w="992" w:type="dxa"/>
            <w:tcBorders>
              <w:bottom w:val="single" w:sz="6" w:space="0" w:color="auto"/>
            </w:tcBorders>
          </w:tcPr>
          <w:p w14:paraId="2F14D2E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531 030</w:t>
            </w:r>
          </w:p>
        </w:tc>
        <w:tc>
          <w:tcPr>
            <w:tcW w:w="991" w:type="dxa"/>
            <w:tcBorders>
              <w:bottom w:val="single" w:sz="6" w:space="0" w:color="auto"/>
            </w:tcBorders>
          </w:tcPr>
          <w:p w14:paraId="4CEBE53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477 568</w:t>
            </w:r>
          </w:p>
        </w:tc>
      </w:tr>
      <w:tr w:rsidR="009D33A8" w14:paraId="6EB66C5A"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62D38E7A" w14:textId="77777777" w:rsidR="009D33A8" w:rsidRDefault="009D33A8"/>
        </w:tc>
        <w:tc>
          <w:tcPr>
            <w:tcW w:w="992" w:type="dxa"/>
            <w:tcBorders>
              <w:top w:val="single" w:sz="6" w:space="0" w:color="auto"/>
            </w:tcBorders>
          </w:tcPr>
          <w:p w14:paraId="690DC44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91" w:type="dxa"/>
            <w:tcBorders>
              <w:top w:val="single" w:sz="6" w:space="0" w:color="auto"/>
            </w:tcBorders>
          </w:tcPr>
          <w:p w14:paraId="5030799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2CC6C10E" w14:textId="77777777">
        <w:tc>
          <w:tcPr>
            <w:cnfStyle w:val="001000000000" w:firstRow="0" w:lastRow="0" w:firstColumn="1" w:lastColumn="0" w:oddVBand="0" w:evenVBand="0" w:oddHBand="0" w:evenHBand="0" w:firstRowFirstColumn="0" w:firstRowLastColumn="0" w:lastRowFirstColumn="0" w:lastRowLastColumn="0"/>
            <w:tcW w:w="7655" w:type="dxa"/>
            <w:tcBorders>
              <w:bottom w:val="single" w:sz="12" w:space="0" w:color="auto"/>
            </w:tcBorders>
          </w:tcPr>
          <w:p w14:paraId="67679D3F" w14:textId="77777777" w:rsidR="009D33A8" w:rsidRDefault="009D33A8">
            <w:r>
              <w:rPr>
                <w:b/>
              </w:rPr>
              <w:t>Total Trust Fund</w:t>
            </w:r>
            <w:r>
              <w:rPr>
                <w:b/>
                <w:vertAlign w:val="superscript"/>
              </w:rPr>
              <w:t xml:space="preserve"> </w:t>
            </w:r>
          </w:p>
        </w:tc>
        <w:tc>
          <w:tcPr>
            <w:tcW w:w="992" w:type="dxa"/>
            <w:tcBorders>
              <w:bottom w:val="single" w:sz="12" w:space="0" w:color="auto"/>
            </w:tcBorders>
          </w:tcPr>
          <w:p w14:paraId="0D08711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19 161 636</w:t>
            </w:r>
          </w:p>
        </w:tc>
        <w:tc>
          <w:tcPr>
            <w:tcW w:w="991" w:type="dxa"/>
            <w:tcBorders>
              <w:bottom w:val="single" w:sz="12" w:space="0" w:color="auto"/>
            </w:tcBorders>
          </w:tcPr>
          <w:p w14:paraId="17E7A58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18 977 468</w:t>
            </w:r>
          </w:p>
        </w:tc>
      </w:tr>
    </w:tbl>
    <w:p w14:paraId="5FE8FDB7" w14:textId="77777777" w:rsidR="009D33A8" w:rsidRPr="00790B81" w:rsidRDefault="009D33A8" w:rsidP="009D33A8">
      <w:pPr>
        <w:pStyle w:val="Note"/>
      </w:pPr>
      <w:r w:rsidRPr="00790B81">
        <w:t>Not</w:t>
      </w:r>
      <w:r>
        <w:t>e</w:t>
      </w:r>
      <w:r w:rsidRPr="00790B81">
        <w:t>:</w:t>
      </w:r>
    </w:p>
    <w:p w14:paraId="085A4833" w14:textId="77777777" w:rsidR="009D33A8" w:rsidRPr="007F52D7" w:rsidRDefault="009D33A8" w:rsidP="009D33A8">
      <w:pPr>
        <w:pStyle w:val="Note"/>
      </w:pPr>
      <w:r>
        <w:t xml:space="preserve">(a) </w:t>
      </w:r>
      <w:r>
        <w:tab/>
        <w:t xml:space="preserve">The negative balance held in 2025 primarily relates to the application of money from the trust fund to the consolidated fund to ensure that the consolidated fund has sufficient funds to meet appropriations as permitted </w:t>
      </w:r>
      <w:r w:rsidRPr="007D2526">
        <w:t>under section 3</w:t>
      </w:r>
      <w:r>
        <w:t>8</w:t>
      </w:r>
      <w:r w:rsidRPr="007D2526">
        <w:t>(1) of the</w:t>
      </w:r>
      <w:r>
        <w:t xml:space="preserve"> FMA. </w:t>
      </w:r>
    </w:p>
    <w:p w14:paraId="651291F4" w14:textId="77777777" w:rsidR="009D33A8" w:rsidRPr="00823C0E" w:rsidRDefault="009D33A8" w:rsidP="00823C0E">
      <w:bookmarkStart w:id="146" w:name="_Toc462418832"/>
      <w:bookmarkStart w:id="147" w:name="_Toc114670294"/>
    </w:p>
    <w:p w14:paraId="14763B86" w14:textId="77777777" w:rsidR="009D33A8" w:rsidRDefault="009D33A8" w:rsidP="009D33A8">
      <w:pPr>
        <w:pStyle w:val="Heading3"/>
      </w:pPr>
      <w:bookmarkStart w:id="148" w:name="_Toc209479921"/>
      <w:r>
        <w:t>7.2.5</w:t>
      </w:r>
      <w:r>
        <w:tab/>
      </w:r>
      <w:r w:rsidRPr="007B2989">
        <w:t>Reconciliation of cash flows to balances held</w:t>
      </w:r>
      <w:r>
        <w:tab/>
      </w:r>
      <w:r w:rsidRPr="004269AE">
        <w:rPr>
          <w:sz w:val="20"/>
          <w:szCs w:val="20"/>
        </w:rPr>
        <w:t>($ thousand)</w:t>
      </w:r>
      <w:bookmarkEnd w:id="146"/>
      <w:bookmarkEnd w:id="147"/>
      <w:bookmarkEnd w:id="148"/>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Reconciliation_of_cashflow_to_balances_held|MergedHeadingRow:1"/>
      </w:tblPr>
      <w:tblGrid>
        <w:gridCol w:w="5812"/>
        <w:gridCol w:w="1275"/>
        <w:gridCol w:w="1275"/>
        <w:gridCol w:w="1276"/>
      </w:tblGrid>
      <w:tr w:rsidR="009D33A8" w14:paraId="40ABBBE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16D63D27" w14:textId="77777777" w:rsidR="009D33A8" w:rsidRDefault="009D33A8">
            <w:pPr>
              <w:keepNext/>
            </w:pPr>
          </w:p>
        </w:tc>
        <w:tc>
          <w:tcPr>
            <w:tcW w:w="1275" w:type="dxa"/>
          </w:tcPr>
          <w:p w14:paraId="33F4C0DC"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Balances</w:t>
            </w:r>
            <w:r>
              <w:br/>
              <w:t>held at</w:t>
            </w:r>
            <w:r>
              <w:br/>
              <w:t>30 June 2024</w:t>
            </w:r>
          </w:p>
        </w:tc>
        <w:tc>
          <w:tcPr>
            <w:tcW w:w="1275" w:type="dxa"/>
          </w:tcPr>
          <w:p w14:paraId="4F977A8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Net</w:t>
            </w:r>
            <w:r>
              <w:br/>
              <w:t>movement</w:t>
            </w:r>
            <w:r>
              <w:br/>
              <w:t>for year</w:t>
            </w:r>
          </w:p>
        </w:tc>
        <w:tc>
          <w:tcPr>
            <w:tcW w:w="1276" w:type="dxa"/>
          </w:tcPr>
          <w:p w14:paraId="01449F9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Balances</w:t>
            </w:r>
            <w:r>
              <w:br/>
              <w:t>held at</w:t>
            </w:r>
            <w:r>
              <w:br/>
              <w:t>30 June 2025</w:t>
            </w:r>
          </w:p>
        </w:tc>
      </w:tr>
      <w:tr w:rsidR="009D33A8" w14:paraId="577DB822" w14:textId="77777777">
        <w:tc>
          <w:tcPr>
            <w:cnfStyle w:val="001000000000" w:firstRow="0" w:lastRow="0" w:firstColumn="1" w:lastColumn="0" w:oddVBand="0" w:evenVBand="0" w:oddHBand="0" w:evenHBand="0" w:firstRowFirstColumn="0" w:firstRowLastColumn="0" w:lastRowFirstColumn="0" w:lastRowLastColumn="0"/>
            <w:tcW w:w="5812" w:type="dxa"/>
          </w:tcPr>
          <w:p w14:paraId="17534D8E" w14:textId="77777777" w:rsidR="009D33A8" w:rsidRDefault="009D33A8">
            <w:r>
              <w:rPr>
                <w:b/>
              </w:rPr>
              <w:t>Cash and deposits</w:t>
            </w:r>
          </w:p>
        </w:tc>
        <w:tc>
          <w:tcPr>
            <w:tcW w:w="1275" w:type="dxa"/>
          </w:tcPr>
          <w:p w14:paraId="71D302F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4725E1C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6" w:type="dxa"/>
          </w:tcPr>
          <w:p w14:paraId="13524DC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67F2469" w14:textId="77777777">
        <w:tc>
          <w:tcPr>
            <w:cnfStyle w:val="001000000000" w:firstRow="0" w:lastRow="0" w:firstColumn="1" w:lastColumn="0" w:oddVBand="0" w:evenVBand="0" w:oddHBand="0" w:evenHBand="0" w:firstRowFirstColumn="0" w:firstRowLastColumn="0" w:lastRowFirstColumn="0" w:lastRowLastColumn="0"/>
            <w:tcW w:w="5812" w:type="dxa"/>
          </w:tcPr>
          <w:p w14:paraId="0D0DD416" w14:textId="77777777" w:rsidR="009D33A8" w:rsidRDefault="009D33A8">
            <w:r>
              <w:t>Cash balances outside the Public Account</w:t>
            </w:r>
          </w:p>
        </w:tc>
        <w:tc>
          <w:tcPr>
            <w:tcW w:w="1275" w:type="dxa"/>
          </w:tcPr>
          <w:p w14:paraId="668DFA66" w14:textId="77777777" w:rsidR="009D33A8" w:rsidRDefault="009D33A8">
            <w:pPr>
              <w:cnfStyle w:val="000000000000" w:firstRow="0" w:lastRow="0" w:firstColumn="0" w:lastColumn="0" w:oddVBand="0" w:evenVBand="0" w:oddHBand="0" w:evenHBand="0" w:firstRowFirstColumn="0" w:firstRowLastColumn="0" w:lastRowFirstColumn="0" w:lastRowLastColumn="0"/>
            </w:pPr>
            <w:r>
              <w:t>935</w:t>
            </w:r>
          </w:p>
        </w:tc>
        <w:tc>
          <w:tcPr>
            <w:tcW w:w="1275" w:type="dxa"/>
          </w:tcPr>
          <w:p w14:paraId="6FCC13E9" w14:textId="77777777" w:rsidR="009D33A8" w:rsidRDefault="009D33A8">
            <w:pPr>
              <w:cnfStyle w:val="000000000000" w:firstRow="0" w:lastRow="0" w:firstColumn="0" w:lastColumn="0" w:oddVBand="0" w:evenVBand="0" w:oddHBand="0" w:evenHBand="0" w:firstRowFirstColumn="0" w:firstRowLastColumn="0" w:lastRowFirstColumn="0" w:lastRowLastColumn="0"/>
            </w:pPr>
            <w:r>
              <w:t>442</w:t>
            </w:r>
          </w:p>
        </w:tc>
        <w:tc>
          <w:tcPr>
            <w:tcW w:w="1276" w:type="dxa"/>
          </w:tcPr>
          <w:p w14:paraId="0324D154" w14:textId="77777777" w:rsidR="009D33A8" w:rsidRDefault="009D33A8">
            <w:pPr>
              <w:cnfStyle w:val="000000000000" w:firstRow="0" w:lastRow="0" w:firstColumn="0" w:lastColumn="0" w:oddVBand="0" w:evenVBand="0" w:oddHBand="0" w:evenHBand="0" w:firstRowFirstColumn="0" w:firstRowLastColumn="0" w:lastRowFirstColumn="0" w:lastRowLastColumn="0"/>
            </w:pPr>
            <w:r>
              <w:t>1 377</w:t>
            </w:r>
          </w:p>
        </w:tc>
      </w:tr>
      <w:tr w:rsidR="009D33A8" w14:paraId="6D9BC39A" w14:textId="77777777">
        <w:tc>
          <w:tcPr>
            <w:cnfStyle w:val="001000000000" w:firstRow="0" w:lastRow="0" w:firstColumn="1" w:lastColumn="0" w:oddVBand="0" w:evenVBand="0" w:oddHBand="0" w:evenHBand="0" w:firstRowFirstColumn="0" w:firstRowLastColumn="0" w:lastRowFirstColumn="0" w:lastRowLastColumn="0"/>
            <w:tcW w:w="5812" w:type="dxa"/>
          </w:tcPr>
          <w:p w14:paraId="46A4A005" w14:textId="673A72AA" w:rsidR="009D33A8" w:rsidRDefault="009D33A8">
            <w:r>
              <w:t xml:space="preserve">Deposits held with the Public Account – </w:t>
            </w:r>
            <w:r w:rsidR="00387417">
              <w:t xml:space="preserve">Specific </w:t>
            </w:r>
            <w:r>
              <w:t>trusts</w:t>
            </w:r>
          </w:p>
        </w:tc>
        <w:tc>
          <w:tcPr>
            <w:tcW w:w="1275" w:type="dxa"/>
          </w:tcPr>
          <w:p w14:paraId="349BC26C" w14:textId="77777777" w:rsidR="009D33A8" w:rsidRDefault="009D33A8">
            <w:pPr>
              <w:cnfStyle w:val="000000000000" w:firstRow="0" w:lastRow="0" w:firstColumn="0" w:lastColumn="0" w:oddVBand="0" w:evenVBand="0" w:oddHBand="0" w:evenHBand="0" w:firstRowFirstColumn="0" w:firstRowLastColumn="0" w:lastRowFirstColumn="0" w:lastRowLastColumn="0"/>
            </w:pPr>
            <w:r>
              <w:t>1 950 410</w:t>
            </w:r>
          </w:p>
        </w:tc>
        <w:tc>
          <w:tcPr>
            <w:tcW w:w="1275" w:type="dxa"/>
          </w:tcPr>
          <w:p w14:paraId="567E8492" w14:textId="77777777" w:rsidR="009D33A8" w:rsidRDefault="009D33A8">
            <w:pPr>
              <w:cnfStyle w:val="000000000000" w:firstRow="0" w:lastRow="0" w:firstColumn="0" w:lastColumn="0" w:oddVBand="0" w:evenVBand="0" w:oddHBand="0" w:evenHBand="0" w:firstRowFirstColumn="0" w:firstRowLastColumn="0" w:lastRowFirstColumn="0" w:lastRowLastColumn="0"/>
            </w:pPr>
            <w:r>
              <w:t>452 157</w:t>
            </w:r>
          </w:p>
        </w:tc>
        <w:tc>
          <w:tcPr>
            <w:tcW w:w="1276" w:type="dxa"/>
          </w:tcPr>
          <w:p w14:paraId="4EB0BEFD" w14:textId="77777777" w:rsidR="009D33A8" w:rsidRDefault="009D33A8">
            <w:pPr>
              <w:cnfStyle w:val="000000000000" w:firstRow="0" w:lastRow="0" w:firstColumn="0" w:lastColumn="0" w:oddVBand="0" w:evenVBand="0" w:oddHBand="0" w:evenHBand="0" w:firstRowFirstColumn="0" w:firstRowLastColumn="0" w:lastRowFirstColumn="0" w:lastRowLastColumn="0"/>
            </w:pPr>
            <w:r>
              <w:t>2 402 567</w:t>
            </w:r>
          </w:p>
        </w:tc>
      </w:tr>
      <w:tr w:rsidR="009D33A8" w14:paraId="6E7D4D6D" w14:textId="77777777">
        <w:tc>
          <w:tcPr>
            <w:cnfStyle w:val="001000000000" w:firstRow="0" w:lastRow="0" w:firstColumn="1" w:lastColumn="0" w:oddVBand="0" w:evenVBand="0" w:oddHBand="0" w:evenHBand="0" w:firstRowFirstColumn="0" w:firstRowLastColumn="0" w:lastRowFirstColumn="0" w:lastRowLastColumn="0"/>
            <w:tcW w:w="5812" w:type="dxa"/>
          </w:tcPr>
          <w:p w14:paraId="0BABE708" w14:textId="6E96CCE4" w:rsidR="009D33A8" w:rsidRDefault="009D33A8">
            <w:r>
              <w:t xml:space="preserve">Deposits held with the Public Account – </w:t>
            </w:r>
            <w:r w:rsidR="00387417">
              <w:t xml:space="preserve">General </w:t>
            </w:r>
            <w:r>
              <w:t>trusts</w:t>
            </w:r>
          </w:p>
        </w:tc>
        <w:tc>
          <w:tcPr>
            <w:tcW w:w="1275" w:type="dxa"/>
          </w:tcPr>
          <w:p w14:paraId="5CCAC997" w14:textId="77777777" w:rsidR="009D33A8" w:rsidRDefault="009D33A8">
            <w:pPr>
              <w:cnfStyle w:val="000000000000" w:firstRow="0" w:lastRow="0" w:firstColumn="0" w:lastColumn="0" w:oddVBand="0" w:evenVBand="0" w:oddHBand="0" w:evenHBand="0" w:firstRowFirstColumn="0" w:firstRowLastColumn="0" w:lastRowFirstColumn="0" w:lastRowLastColumn="0"/>
            </w:pPr>
            <w:r>
              <w:t>16</w:t>
            </w:r>
          </w:p>
        </w:tc>
        <w:tc>
          <w:tcPr>
            <w:tcW w:w="1275" w:type="dxa"/>
          </w:tcPr>
          <w:p w14:paraId="6AA47BB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32B4831" w14:textId="77777777" w:rsidR="009D33A8" w:rsidRDefault="009D33A8">
            <w:pPr>
              <w:cnfStyle w:val="000000000000" w:firstRow="0" w:lastRow="0" w:firstColumn="0" w:lastColumn="0" w:oddVBand="0" w:evenVBand="0" w:oddHBand="0" w:evenHBand="0" w:firstRowFirstColumn="0" w:firstRowLastColumn="0" w:lastRowFirstColumn="0" w:lastRowLastColumn="0"/>
            </w:pPr>
            <w:r>
              <w:t>16</w:t>
            </w:r>
          </w:p>
        </w:tc>
      </w:tr>
      <w:tr w:rsidR="009D33A8" w14:paraId="30E9D807" w14:textId="77777777">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58102F54" w14:textId="77777777" w:rsidR="009D33A8" w:rsidRDefault="009D33A8">
            <w:r>
              <w:t>Other balances held in the Public Account</w:t>
            </w:r>
          </w:p>
        </w:tc>
        <w:tc>
          <w:tcPr>
            <w:tcW w:w="1275" w:type="dxa"/>
            <w:tcBorders>
              <w:bottom w:val="single" w:sz="6" w:space="0" w:color="auto"/>
            </w:tcBorders>
          </w:tcPr>
          <w:p w14:paraId="7FF49688" w14:textId="77777777" w:rsidR="009D33A8" w:rsidRDefault="009D33A8">
            <w:pPr>
              <w:cnfStyle w:val="000000000000" w:firstRow="0" w:lastRow="0" w:firstColumn="0" w:lastColumn="0" w:oddVBand="0" w:evenVBand="0" w:oddHBand="0" w:evenHBand="0" w:firstRowFirstColumn="0" w:firstRowLastColumn="0" w:lastRowFirstColumn="0" w:lastRowLastColumn="0"/>
            </w:pPr>
            <w:r>
              <w:t>5 961 223</w:t>
            </w:r>
          </w:p>
        </w:tc>
        <w:tc>
          <w:tcPr>
            <w:tcW w:w="1275" w:type="dxa"/>
            <w:tcBorders>
              <w:bottom w:val="single" w:sz="6" w:space="0" w:color="auto"/>
            </w:tcBorders>
          </w:tcPr>
          <w:p w14:paraId="653FEA9F" w14:textId="77777777" w:rsidR="009D33A8" w:rsidRDefault="009D33A8">
            <w:pPr>
              <w:cnfStyle w:val="000000000000" w:firstRow="0" w:lastRow="0" w:firstColumn="0" w:lastColumn="0" w:oddVBand="0" w:evenVBand="0" w:oddHBand="0" w:evenHBand="0" w:firstRowFirstColumn="0" w:firstRowLastColumn="0" w:lastRowFirstColumn="0" w:lastRowLastColumn="0"/>
            </w:pPr>
            <w:r>
              <w:t>(2 189 028)</w:t>
            </w:r>
          </w:p>
        </w:tc>
        <w:tc>
          <w:tcPr>
            <w:tcW w:w="1276" w:type="dxa"/>
            <w:tcBorders>
              <w:bottom w:val="single" w:sz="6" w:space="0" w:color="auto"/>
            </w:tcBorders>
          </w:tcPr>
          <w:p w14:paraId="6018C27B" w14:textId="77777777" w:rsidR="009D33A8" w:rsidRDefault="009D33A8">
            <w:pPr>
              <w:cnfStyle w:val="000000000000" w:firstRow="0" w:lastRow="0" w:firstColumn="0" w:lastColumn="0" w:oddVBand="0" w:evenVBand="0" w:oddHBand="0" w:evenHBand="0" w:firstRowFirstColumn="0" w:firstRowLastColumn="0" w:lastRowFirstColumn="0" w:lastRowLastColumn="0"/>
            </w:pPr>
            <w:r>
              <w:t>3 772 131</w:t>
            </w:r>
          </w:p>
        </w:tc>
      </w:tr>
      <w:tr w:rsidR="009D33A8" w14:paraId="38587535" w14:textId="77777777">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16115B3D" w14:textId="77777777" w:rsidR="009D33A8" w:rsidRDefault="009D33A8">
            <w:r>
              <w:rPr>
                <w:b/>
              </w:rPr>
              <w:t>Total cash and deposits</w:t>
            </w:r>
          </w:p>
        </w:tc>
        <w:tc>
          <w:tcPr>
            <w:tcW w:w="1275" w:type="dxa"/>
            <w:tcBorders>
              <w:top w:val="single" w:sz="6" w:space="0" w:color="auto"/>
            </w:tcBorders>
          </w:tcPr>
          <w:p w14:paraId="32E5ECB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7 912 583</w:t>
            </w:r>
          </w:p>
        </w:tc>
        <w:tc>
          <w:tcPr>
            <w:tcW w:w="1275" w:type="dxa"/>
            <w:tcBorders>
              <w:top w:val="single" w:sz="6" w:space="0" w:color="auto"/>
            </w:tcBorders>
          </w:tcPr>
          <w:p w14:paraId="39B6A26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(1 736 428)</w:t>
            </w:r>
          </w:p>
        </w:tc>
        <w:tc>
          <w:tcPr>
            <w:tcW w:w="1276" w:type="dxa"/>
            <w:tcBorders>
              <w:top w:val="single" w:sz="6" w:space="0" w:color="auto"/>
            </w:tcBorders>
          </w:tcPr>
          <w:p w14:paraId="2E817B0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6 176 091</w:t>
            </w:r>
          </w:p>
        </w:tc>
      </w:tr>
      <w:tr w:rsidR="009D33A8" w14:paraId="0C4A0E90" w14:textId="77777777">
        <w:tc>
          <w:tcPr>
            <w:cnfStyle w:val="001000000000" w:firstRow="0" w:lastRow="0" w:firstColumn="1" w:lastColumn="0" w:oddVBand="0" w:evenVBand="0" w:oddHBand="0" w:evenHBand="0" w:firstRowFirstColumn="0" w:firstRowLastColumn="0" w:lastRowFirstColumn="0" w:lastRowLastColumn="0"/>
            <w:tcW w:w="5812" w:type="dxa"/>
          </w:tcPr>
          <w:p w14:paraId="349553A9" w14:textId="77777777" w:rsidR="009D33A8" w:rsidRDefault="009D33A8">
            <w:r>
              <w:rPr>
                <w:b/>
              </w:rPr>
              <w:t>Investments</w:t>
            </w:r>
          </w:p>
        </w:tc>
        <w:tc>
          <w:tcPr>
            <w:tcW w:w="1275" w:type="dxa"/>
          </w:tcPr>
          <w:p w14:paraId="5FB7595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17EACAA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6" w:type="dxa"/>
          </w:tcPr>
          <w:p w14:paraId="256E1C8D"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4F26869" w14:textId="77777777">
        <w:tc>
          <w:tcPr>
            <w:cnfStyle w:val="001000000000" w:firstRow="0" w:lastRow="0" w:firstColumn="1" w:lastColumn="0" w:oddVBand="0" w:evenVBand="0" w:oddHBand="0" w:evenHBand="0" w:firstRowFirstColumn="0" w:firstRowLastColumn="0" w:lastRowFirstColumn="0" w:lastRowLastColumn="0"/>
            <w:tcW w:w="5812" w:type="dxa"/>
          </w:tcPr>
          <w:p w14:paraId="101D6CC7" w14:textId="04491E10" w:rsidR="009D33A8" w:rsidRDefault="009D33A8">
            <w:r>
              <w:t xml:space="preserve">Investments held with the Public Account – </w:t>
            </w:r>
            <w:r w:rsidR="00387417">
              <w:t xml:space="preserve">Specific </w:t>
            </w:r>
            <w:r>
              <w:t>trusts</w:t>
            </w:r>
          </w:p>
        </w:tc>
        <w:tc>
          <w:tcPr>
            <w:tcW w:w="1275" w:type="dxa"/>
          </w:tcPr>
          <w:p w14:paraId="53E2C630" w14:textId="77777777" w:rsidR="009D33A8" w:rsidRDefault="009D33A8">
            <w:pPr>
              <w:cnfStyle w:val="000000000000" w:firstRow="0" w:lastRow="0" w:firstColumn="0" w:lastColumn="0" w:oddVBand="0" w:evenVBand="0" w:oddHBand="0" w:evenHBand="0" w:firstRowFirstColumn="0" w:firstRowLastColumn="0" w:lastRowFirstColumn="0" w:lastRowLastColumn="0"/>
            </w:pPr>
            <w:r>
              <w:t>11 327 800</w:t>
            </w:r>
          </w:p>
        </w:tc>
        <w:tc>
          <w:tcPr>
            <w:tcW w:w="1275" w:type="dxa"/>
          </w:tcPr>
          <w:p w14:paraId="3DDA0C9C" w14:textId="77777777" w:rsidR="009D33A8" w:rsidRDefault="009D33A8">
            <w:pPr>
              <w:cnfStyle w:val="000000000000" w:firstRow="0" w:lastRow="0" w:firstColumn="0" w:lastColumn="0" w:oddVBand="0" w:evenVBand="0" w:oddHBand="0" w:evenHBand="0" w:firstRowFirstColumn="0" w:firstRowLastColumn="0" w:lastRowFirstColumn="0" w:lastRowLastColumn="0"/>
            </w:pPr>
            <w:r>
              <w:t>1 657 745</w:t>
            </w:r>
          </w:p>
        </w:tc>
        <w:tc>
          <w:tcPr>
            <w:tcW w:w="1276" w:type="dxa"/>
          </w:tcPr>
          <w:p w14:paraId="71228919" w14:textId="77777777" w:rsidR="009D33A8" w:rsidRDefault="009D33A8">
            <w:pPr>
              <w:cnfStyle w:val="000000000000" w:firstRow="0" w:lastRow="0" w:firstColumn="0" w:lastColumn="0" w:oddVBand="0" w:evenVBand="0" w:oddHBand="0" w:evenHBand="0" w:firstRowFirstColumn="0" w:firstRowLastColumn="0" w:lastRowFirstColumn="0" w:lastRowLastColumn="0"/>
            </w:pPr>
            <w:r>
              <w:t>12 985 545</w:t>
            </w:r>
          </w:p>
        </w:tc>
      </w:tr>
      <w:tr w:rsidR="009D33A8" w14:paraId="3C3B5A6A" w14:textId="77777777">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729C665F" w14:textId="77777777" w:rsidR="009D33A8" w:rsidRDefault="009D33A8">
            <w:r>
              <w:rPr>
                <w:b/>
              </w:rPr>
              <w:t>Total investments</w:t>
            </w:r>
          </w:p>
        </w:tc>
        <w:tc>
          <w:tcPr>
            <w:tcW w:w="1275" w:type="dxa"/>
            <w:tcBorders>
              <w:bottom w:val="single" w:sz="6" w:space="0" w:color="auto"/>
            </w:tcBorders>
          </w:tcPr>
          <w:p w14:paraId="75104FB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11 327 800</w:t>
            </w:r>
          </w:p>
        </w:tc>
        <w:tc>
          <w:tcPr>
            <w:tcW w:w="1275" w:type="dxa"/>
            <w:tcBorders>
              <w:bottom w:val="single" w:sz="6" w:space="0" w:color="auto"/>
            </w:tcBorders>
          </w:tcPr>
          <w:p w14:paraId="0DCFB7A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1 657 745</w:t>
            </w:r>
          </w:p>
        </w:tc>
        <w:tc>
          <w:tcPr>
            <w:tcW w:w="1276" w:type="dxa"/>
            <w:tcBorders>
              <w:bottom w:val="single" w:sz="6" w:space="0" w:color="auto"/>
            </w:tcBorders>
          </w:tcPr>
          <w:p w14:paraId="74C4C80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12 985 545</w:t>
            </w:r>
          </w:p>
        </w:tc>
      </w:tr>
      <w:tr w:rsidR="009D33A8" w14:paraId="6DBBF693" w14:textId="77777777">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tcBorders>
          </w:tcPr>
          <w:p w14:paraId="4C085745" w14:textId="77777777" w:rsidR="009D33A8" w:rsidRDefault="009D33A8">
            <w:r>
              <w:rPr>
                <w:b/>
              </w:rPr>
              <w:t>Total fund balances</w:t>
            </w:r>
          </w:p>
        </w:tc>
        <w:tc>
          <w:tcPr>
            <w:tcW w:w="1275" w:type="dxa"/>
            <w:tcBorders>
              <w:top w:val="single" w:sz="6" w:space="0" w:color="auto"/>
            </w:tcBorders>
          </w:tcPr>
          <w:p w14:paraId="7708C5D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19 240 384</w:t>
            </w:r>
          </w:p>
        </w:tc>
        <w:tc>
          <w:tcPr>
            <w:tcW w:w="1275" w:type="dxa"/>
            <w:tcBorders>
              <w:top w:val="single" w:sz="6" w:space="0" w:color="auto"/>
            </w:tcBorders>
          </w:tcPr>
          <w:p w14:paraId="269A7F6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(78 683)</w:t>
            </w:r>
          </w:p>
        </w:tc>
        <w:tc>
          <w:tcPr>
            <w:tcW w:w="1276" w:type="dxa"/>
            <w:tcBorders>
              <w:top w:val="single" w:sz="6" w:space="0" w:color="auto"/>
            </w:tcBorders>
          </w:tcPr>
          <w:p w14:paraId="10176CF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19 161 636</w:t>
            </w:r>
          </w:p>
        </w:tc>
      </w:tr>
      <w:tr w:rsidR="009D33A8" w14:paraId="7B431C0F" w14:textId="77777777">
        <w:tc>
          <w:tcPr>
            <w:cnfStyle w:val="001000000000" w:firstRow="0" w:lastRow="0" w:firstColumn="1" w:lastColumn="0" w:oddVBand="0" w:evenVBand="0" w:oddHBand="0" w:evenHBand="0" w:firstRowFirstColumn="0" w:firstRowLastColumn="0" w:lastRowFirstColumn="0" w:lastRowLastColumn="0"/>
            <w:tcW w:w="5812" w:type="dxa"/>
          </w:tcPr>
          <w:p w14:paraId="5EEF641B" w14:textId="77777777" w:rsidR="009D33A8" w:rsidRDefault="009D33A8">
            <w:r>
              <w:rPr>
                <w:b/>
              </w:rPr>
              <w:t>Less funds held outside the Public Account</w:t>
            </w:r>
          </w:p>
        </w:tc>
        <w:tc>
          <w:tcPr>
            <w:tcW w:w="1275" w:type="dxa"/>
          </w:tcPr>
          <w:p w14:paraId="20E03FA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55F65CA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6" w:type="dxa"/>
          </w:tcPr>
          <w:p w14:paraId="674C757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10C2F599" w14:textId="77777777">
        <w:tc>
          <w:tcPr>
            <w:cnfStyle w:val="001000000000" w:firstRow="0" w:lastRow="0" w:firstColumn="1" w:lastColumn="0" w:oddVBand="0" w:evenVBand="0" w:oddHBand="0" w:evenHBand="0" w:firstRowFirstColumn="0" w:firstRowLastColumn="0" w:lastRowFirstColumn="0" w:lastRowLastColumn="0"/>
            <w:tcW w:w="5812" w:type="dxa"/>
          </w:tcPr>
          <w:p w14:paraId="589876BD" w14:textId="77777777" w:rsidR="009D33A8" w:rsidRDefault="009D33A8">
            <w:r>
              <w:t>Cash</w:t>
            </w:r>
          </w:p>
        </w:tc>
        <w:tc>
          <w:tcPr>
            <w:tcW w:w="1275" w:type="dxa"/>
          </w:tcPr>
          <w:p w14:paraId="6C102446" w14:textId="77777777" w:rsidR="009D33A8" w:rsidRDefault="009D33A8">
            <w:pPr>
              <w:cnfStyle w:val="000000000000" w:firstRow="0" w:lastRow="0" w:firstColumn="0" w:lastColumn="0" w:oddVBand="0" w:evenVBand="0" w:oddHBand="0" w:evenHBand="0" w:firstRowFirstColumn="0" w:firstRowLastColumn="0" w:lastRowFirstColumn="0" w:lastRowLastColumn="0"/>
            </w:pPr>
            <w:r>
              <w:t>935</w:t>
            </w:r>
          </w:p>
        </w:tc>
        <w:tc>
          <w:tcPr>
            <w:tcW w:w="1275" w:type="dxa"/>
          </w:tcPr>
          <w:p w14:paraId="424C75AF" w14:textId="77777777" w:rsidR="009D33A8" w:rsidRDefault="009D33A8">
            <w:pPr>
              <w:cnfStyle w:val="000000000000" w:firstRow="0" w:lastRow="0" w:firstColumn="0" w:lastColumn="0" w:oddVBand="0" w:evenVBand="0" w:oddHBand="0" w:evenHBand="0" w:firstRowFirstColumn="0" w:firstRowLastColumn="0" w:lastRowFirstColumn="0" w:lastRowLastColumn="0"/>
            </w:pPr>
            <w:r>
              <w:t>442</w:t>
            </w:r>
          </w:p>
        </w:tc>
        <w:tc>
          <w:tcPr>
            <w:tcW w:w="1276" w:type="dxa"/>
          </w:tcPr>
          <w:p w14:paraId="0A4B95EA" w14:textId="77777777" w:rsidR="009D33A8" w:rsidRDefault="009D33A8">
            <w:pPr>
              <w:cnfStyle w:val="000000000000" w:firstRow="0" w:lastRow="0" w:firstColumn="0" w:lastColumn="0" w:oddVBand="0" w:evenVBand="0" w:oddHBand="0" w:evenHBand="0" w:firstRowFirstColumn="0" w:firstRowLastColumn="0" w:lastRowFirstColumn="0" w:lastRowLastColumn="0"/>
            </w:pPr>
            <w:r>
              <w:t>1 377</w:t>
            </w:r>
          </w:p>
        </w:tc>
      </w:tr>
      <w:tr w:rsidR="009D33A8" w14:paraId="467BA9B0" w14:textId="77777777">
        <w:tc>
          <w:tcPr>
            <w:cnfStyle w:val="001000000000" w:firstRow="0" w:lastRow="0" w:firstColumn="1" w:lastColumn="0" w:oddVBand="0" w:evenVBand="0" w:oddHBand="0" w:evenHBand="0" w:firstRowFirstColumn="0" w:firstRowLastColumn="0" w:lastRowFirstColumn="0" w:lastRowLastColumn="0"/>
            <w:tcW w:w="5812" w:type="dxa"/>
            <w:tcBorders>
              <w:bottom w:val="single" w:sz="6" w:space="0" w:color="auto"/>
            </w:tcBorders>
          </w:tcPr>
          <w:p w14:paraId="22549BEA" w14:textId="77777777" w:rsidR="009D33A8" w:rsidRDefault="009D33A8">
            <w:r>
              <w:rPr>
                <w:b/>
              </w:rPr>
              <w:t>Total fund balances held outside the Public Account</w:t>
            </w:r>
          </w:p>
        </w:tc>
        <w:tc>
          <w:tcPr>
            <w:tcW w:w="1275" w:type="dxa"/>
            <w:tcBorders>
              <w:bottom w:val="single" w:sz="6" w:space="0" w:color="auto"/>
            </w:tcBorders>
          </w:tcPr>
          <w:p w14:paraId="22EE35B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935</w:t>
            </w:r>
          </w:p>
        </w:tc>
        <w:tc>
          <w:tcPr>
            <w:tcW w:w="1275" w:type="dxa"/>
            <w:tcBorders>
              <w:bottom w:val="single" w:sz="6" w:space="0" w:color="auto"/>
            </w:tcBorders>
          </w:tcPr>
          <w:p w14:paraId="278FF29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442</w:t>
            </w:r>
          </w:p>
        </w:tc>
        <w:tc>
          <w:tcPr>
            <w:tcW w:w="1276" w:type="dxa"/>
            <w:tcBorders>
              <w:bottom w:val="single" w:sz="6" w:space="0" w:color="auto"/>
            </w:tcBorders>
          </w:tcPr>
          <w:p w14:paraId="585B6D4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1 377</w:t>
            </w:r>
          </w:p>
        </w:tc>
      </w:tr>
      <w:tr w:rsidR="009D33A8" w14:paraId="0E27F606" w14:textId="77777777">
        <w:tc>
          <w:tcPr>
            <w:cnfStyle w:val="001000000000" w:firstRow="0" w:lastRow="0" w:firstColumn="1" w:lastColumn="0" w:oddVBand="0" w:evenVBand="0" w:oddHBand="0" w:evenHBand="0" w:firstRowFirstColumn="0" w:firstRowLastColumn="0" w:lastRowFirstColumn="0" w:lastRowLastColumn="0"/>
            <w:tcW w:w="5812" w:type="dxa"/>
            <w:tcBorders>
              <w:top w:val="single" w:sz="6" w:space="0" w:color="auto"/>
              <w:bottom w:val="single" w:sz="12" w:space="0" w:color="auto"/>
            </w:tcBorders>
          </w:tcPr>
          <w:p w14:paraId="11299291" w14:textId="77777777" w:rsidR="009D33A8" w:rsidRDefault="009D33A8">
            <w:r>
              <w:rPr>
                <w:b/>
              </w:rPr>
              <w:t>Total funds held in the Public Account</w:t>
            </w:r>
            <w:r>
              <w:rPr>
                <w:b/>
                <w:vertAlign w:val="superscript"/>
              </w:rPr>
              <w:t xml:space="preserve"> (a)</w:t>
            </w:r>
          </w:p>
        </w:tc>
        <w:tc>
          <w:tcPr>
            <w:tcW w:w="1275" w:type="dxa"/>
            <w:tcBorders>
              <w:top w:val="single" w:sz="6" w:space="0" w:color="auto"/>
              <w:bottom w:val="single" w:sz="12" w:space="0" w:color="auto"/>
            </w:tcBorders>
          </w:tcPr>
          <w:p w14:paraId="02E87F0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19 239 449</w:t>
            </w:r>
          </w:p>
        </w:tc>
        <w:tc>
          <w:tcPr>
            <w:tcW w:w="1275" w:type="dxa"/>
            <w:tcBorders>
              <w:top w:val="single" w:sz="6" w:space="0" w:color="auto"/>
              <w:bottom w:val="single" w:sz="12" w:space="0" w:color="auto"/>
            </w:tcBorders>
          </w:tcPr>
          <w:p w14:paraId="2C5EB5F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(79 126)</w:t>
            </w:r>
          </w:p>
        </w:tc>
        <w:tc>
          <w:tcPr>
            <w:tcW w:w="1276" w:type="dxa"/>
            <w:tcBorders>
              <w:top w:val="single" w:sz="6" w:space="0" w:color="auto"/>
              <w:bottom w:val="single" w:sz="12" w:space="0" w:color="auto"/>
            </w:tcBorders>
          </w:tcPr>
          <w:p w14:paraId="4876BC7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19 160 259</w:t>
            </w:r>
          </w:p>
        </w:tc>
      </w:tr>
    </w:tbl>
    <w:p w14:paraId="2E15F5C9" w14:textId="77777777" w:rsidR="009D33A8" w:rsidRPr="007F52D7" w:rsidRDefault="009D33A8" w:rsidP="009D33A8">
      <w:pPr>
        <w:pStyle w:val="Note"/>
      </w:pPr>
      <w:r w:rsidRPr="007F52D7">
        <w:t>Note:</w:t>
      </w:r>
    </w:p>
    <w:p w14:paraId="1B82DCF0" w14:textId="00286316" w:rsidR="009D33A8" w:rsidRPr="007F52D7" w:rsidRDefault="009D33A8" w:rsidP="009D33A8">
      <w:pPr>
        <w:pStyle w:val="Note"/>
      </w:pPr>
      <w:r>
        <w:t>(a)</w:t>
      </w:r>
      <w:r>
        <w:tab/>
      </w:r>
      <w:r w:rsidRPr="007F52D7">
        <w:t xml:space="preserve">See </w:t>
      </w:r>
      <w:r w:rsidR="00387417">
        <w:t>Note</w:t>
      </w:r>
      <w:r w:rsidRPr="007F52D7">
        <w:t xml:space="preserve"> </w:t>
      </w:r>
      <w:r>
        <w:t>7</w:t>
      </w:r>
      <w:r w:rsidRPr="007F52D7">
        <w:t>.2.6 for details of securities and investments including amounts held in the Public Acco</w:t>
      </w:r>
      <w:r>
        <w:t>unt on behalf of trust accounts</w:t>
      </w:r>
      <w:r w:rsidRPr="007F52D7">
        <w:t>.</w:t>
      </w:r>
    </w:p>
    <w:p w14:paraId="0662B084" w14:textId="77777777" w:rsidR="009D33A8" w:rsidRDefault="009D33A8" w:rsidP="009D33A8">
      <w:pPr>
        <w:rPr>
          <w:rFonts w:asciiTheme="majorHAnsi" w:eastAsiaTheme="majorEastAsia" w:hAnsiTheme="majorHAnsi" w:cstheme="majorBidi"/>
          <w:b/>
          <w:bCs/>
          <w:spacing w:val="-2"/>
          <w:szCs w:val="26"/>
        </w:rPr>
      </w:pPr>
    </w:p>
    <w:p w14:paraId="131A7CD1" w14:textId="77777777" w:rsidR="009D33A8" w:rsidRDefault="009D33A8" w:rsidP="009D33A8">
      <w:pPr>
        <w:rPr>
          <w:rFonts w:asciiTheme="majorHAnsi" w:eastAsiaTheme="majorEastAsia" w:hAnsiTheme="majorHAnsi" w:cstheme="majorBidi"/>
          <w:spacing w:val="-2"/>
          <w:sz w:val="23"/>
          <w:szCs w:val="26"/>
        </w:rPr>
      </w:pPr>
      <w:bookmarkStart w:id="149" w:name="_Toc462418833"/>
      <w:r>
        <w:br w:type="page"/>
      </w:r>
    </w:p>
    <w:p w14:paraId="7A330EA0" w14:textId="77777777" w:rsidR="009D33A8" w:rsidRDefault="009D33A8" w:rsidP="009D33A8">
      <w:pPr>
        <w:pStyle w:val="Heading3"/>
      </w:pPr>
      <w:bookmarkStart w:id="150" w:name="_Toc114670295"/>
      <w:bookmarkStart w:id="151" w:name="_Toc209479922"/>
      <w:r>
        <w:lastRenderedPageBreak/>
        <w:t>7.2.6</w:t>
      </w:r>
      <w:r>
        <w:tab/>
      </w:r>
      <w:r w:rsidRPr="007B2989">
        <w:t xml:space="preserve">Details of securities held and included in the </w:t>
      </w:r>
      <w:r w:rsidRPr="00CE4E61">
        <w:t>balances at 30 June</w:t>
      </w:r>
      <w:r w:rsidRPr="00CE4E61">
        <w:tab/>
      </w:r>
      <w:r w:rsidRPr="004269AE">
        <w:rPr>
          <w:sz w:val="20"/>
          <w:szCs w:val="20"/>
        </w:rPr>
        <w:t>($ thousand)</w:t>
      </w:r>
      <w:bookmarkEnd w:id="149"/>
      <w:bookmarkEnd w:id="150"/>
      <w:bookmarkEnd w:id="151"/>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Details_of_securities_held"/>
      </w:tblPr>
      <w:tblGrid>
        <w:gridCol w:w="7088"/>
        <w:gridCol w:w="1275"/>
        <w:gridCol w:w="1275"/>
      </w:tblGrid>
      <w:tr w:rsidR="009D33A8" w14:paraId="716D3E0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8" w:type="dxa"/>
          </w:tcPr>
          <w:p w14:paraId="13C512E1" w14:textId="77777777" w:rsidR="009D33A8" w:rsidRDefault="009D33A8">
            <w:pPr>
              <w:keepNext/>
            </w:pPr>
          </w:p>
        </w:tc>
        <w:tc>
          <w:tcPr>
            <w:tcW w:w="1275" w:type="dxa"/>
          </w:tcPr>
          <w:p w14:paraId="0A71F3DE"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1275" w:type="dxa"/>
          </w:tcPr>
          <w:p w14:paraId="50A552F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36DAFBC5" w14:textId="77777777">
        <w:tc>
          <w:tcPr>
            <w:cnfStyle w:val="001000000000" w:firstRow="0" w:lastRow="0" w:firstColumn="1" w:lastColumn="0" w:oddVBand="0" w:evenVBand="0" w:oddHBand="0" w:evenHBand="0" w:firstRowFirstColumn="0" w:firstRowLastColumn="0" w:lastRowFirstColumn="0" w:lastRowLastColumn="0"/>
            <w:tcW w:w="7088" w:type="dxa"/>
          </w:tcPr>
          <w:p w14:paraId="06F15A07" w14:textId="77777777" w:rsidR="009D33A8" w:rsidRDefault="009D33A8">
            <w:r>
              <w:rPr>
                <w:b/>
              </w:rPr>
              <w:t>Funds held at 30 June</w:t>
            </w:r>
          </w:p>
        </w:tc>
        <w:tc>
          <w:tcPr>
            <w:tcW w:w="1275" w:type="dxa"/>
          </w:tcPr>
          <w:p w14:paraId="74177D1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4427685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C9B0054" w14:textId="77777777">
        <w:tc>
          <w:tcPr>
            <w:cnfStyle w:val="001000000000" w:firstRow="0" w:lastRow="0" w:firstColumn="1" w:lastColumn="0" w:oddVBand="0" w:evenVBand="0" w:oddHBand="0" w:evenHBand="0" w:firstRowFirstColumn="0" w:firstRowLastColumn="0" w:lastRowFirstColumn="0" w:lastRowLastColumn="0"/>
            <w:tcW w:w="7088" w:type="dxa"/>
          </w:tcPr>
          <w:p w14:paraId="09F97B74" w14:textId="77777777" w:rsidR="009D33A8" w:rsidRDefault="009D33A8">
            <w:r>
              <w:rPr>
                <w:b/>
              </w:rPr>
              <w:t>Trust accounts</w:t>
            </w:r>
          </w:p>
        </w:tc>
        <w:tc>
          <w:tcPr>
            <w:tcW w:w="1275" w:type="dxa"/>
          </w:tcPr>
          <w:p w14:paraId="4301BE2C"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34E97E3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3869E22D" w14:textId="77777777">
        <w:tc>
          <w:tcPr>
            <w:cnfStyle w:val="001000000000" w:firstRow="0" w:lastRow="0" w:firstColumn="1" w:lastColumn="0" w:oddVBand="0" w:evenVBand="0" w:oddHBand="0" w:evenHBand="0" w:firstRowFirstColumn="0" w:firstRowLastColumn="0" w:lastRowFirstColumn="0" w:lastRowLastColumn="0"/>
            <w:tcW w:w="7088" w:type="dxa"/>
          </w:tcPr>
          <w:p w14:paraId="6168913F" w14:textId="77777777" w:rsidR="009D33A8" w:rsidRDefault="009D33A8">
            <w:r>
              <w:t>Amounts invested on behalf of specific trusts</w:t>
            </w:r>
          </w:p>
        </w:tc>
        <w:tc>
          <w:tcPr>
            <w:tcW w:w="1275" w:type="dxa"/>
          </w:tcPr>
          <w:p w14:paraId="03990C1C" w14:textId="77777777" w:rsidR="009D33A8" w:rsidRDefault="009D33A8">
            <w:pPr>
              <w:cnfStyle w:val="000000000000" w:firstRow="0" w:lastRow="0" w:firstColumn="0" w:lastColumn="0" w:oddVBand="0" w:evenVBand="0" w:oddHBand="0" w:evenHBand="0" w:firstRowFirstColumn="0" w:firstRowLastColumn="0" w:lastRowFirstColumn="0" w:lastRowLastColumn="0"/>
            </w:pPr>
            <w:r>
              <w:t>15 388 112</w:t>
            </w:r>
          </w:p>
        </w:tc>
        <w:tc>
          <w:tcPr>
            <w:tcW w:w="1275" w:type="dxa"/>
          </w:tcPr>
          <w:p w14:paraId="21724911" w14:textId="77777777" w:rsidR="009D33A8" w:rsidRDefault="009D33A8">
            <w:pPr>
              <w:cnfStyle w:val="000000000000" w:firstRow="0" w:lastRow="0" w:firstColumn="0" w:lastColumn="0" w:oddVBand="0" w:evenVBand="0" w:oddHBand="0" w:evenHBand="0" w:firstRowFirstColumn="0" w:firstRowLastColumn="0" w:lastRowFirstColumn="0" w:lastRowLastColumn="0"/>
            </w:pPr>
            <w:r>
              <w:t>13 278 210</w:t>
            </w:r>
          </w:p>
        </w:tc>
      </w:tr>
      <w:tr w:rsidR="009D33A8" w14:paraId="00B88393" w14:textId="77777777">
        <w:tc>
          <w:tcPr>
            <w:cnfStyle w:val="001000000000" w:firstRow="0" w:lastRow="0" w:firstColumn="1" w:lastColumn="0" w:oddVBand="0" w:evenVBand="0" w:oddHBand="0" w:evenHBand="0" w:firstRowFirstColumn="0" w:firstRowLastColumn="0" w:lastRowFirstColumn="0" w:lastRowLastColumn="0"/>
            <w:tcW w:w="7088" w:type="dxa"/>
          </w:tcPr>
          <w:p w14:paraId="51169962" w14:textId="77777777" w:rsidR="009D33A8" w:rsidRDefault="009D33A8">
            <w:r>
              <w:t>Amounts invested on behalf of general trusts</w:t>
            </w:r>
          </w:p>
        </w:tc>
        <w:tc>
          <w:tcPr>
            <w:tcW w:w="1275" w:type="dxa"/>
          </w:tcPr>
          <w:p w14:paraId="6B0737EA" w14:textId="77777777" w:rsidR="009D33A8" w:rsidRDefault="009D33A8">
            <w:pPr>
              <w:cnfStyle w:val="000000000000" w:firstRow="0" w:lastRow="0" w:firstColumn="0" w:lastColumn="0" w:oddVBand="0" w:evenVBand="0" w:oddHBand="0" w:evenHBand="0" w:firstRowFirstColumn="0" w:firstRowLastColumn="0" w:lastRowFirstColumn="0" w:lastRowLastColumn="0"/>
            </w:pPr>
            <w:r>
              <w:t>16</w:t>
            </w:r>
          </w:p>
        </w:tc>
        <w:tc>
          <w:tcPr>
            <w:tcW w:w="1275" w:type="dxa"/>
          </w:tcPr>
          <w:p w14:paraId="0EF8FAC1" w14:textId="77777777" w:rsidR="009D33A8" w:rsidRDefault="009D33A8">
            <w:pPr>
              <w:cnfStyle w:val="000000000000" w:firstRow="0" w:lastRow="0" w:firstColumn="0" w:lastColumn="0" w:oddVBand="0" w:evenVBand="0" w:oddHBand="0" w:evenHBand="0" w:firstRowFirstColumn="0" w:firstRowLastColumn="0" w:lastRowFirstColumn="0" w:lastRowLastColumn="0"/>
            </w:pPr>
            <w:r>
              <w:t>16</w:t>
            </w:r>
          </w:p>
        </w:tc>
      </w:tr>
      <w:tr w:rsidR="009D33A8" w14:paraId="4B7E80BF"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419C607D" w14:textId="77777777" w:rsidR="009D33A8" w:rsidRDefault="009D33A8">
            <w:r>
              <w:t>General account balances</w:t>
            </w:r>
          </w:p>
        </w:tc>
        <w:tc>
          <w:tcPr>
            <w:tcW w:w="1275" w:type="dxa"/>
            <w:tcBorders>
              <w:bottom w:val="single" w:sz="6" w:space="0" w:color="auto"/>
            </w:tcBorders>
          </w:tcPr>
          <w:p w14:paraId="272E7D32" w14:textId="77777777" w:rsidR="009D33A8" w:rsidRDefault="009D33A8">
            <w:pPr>
              <w:cnfStyle w:val="000000000000" w:firstRow="0" w:lastRow="0" w:firstColumn="0" w:lastColumn="0" w:oddVBand="0" w:evenVBand="0" w:oddHBand="0" w:evenHBand="0" w:firstRowFirstColumn="0" w:firstRowLastColumn="0" w:lastRowFirstColumn="0" w:lastRowLastColumn="0"/>
            </w:pPr>
            <w:r>
              <w:t>3 772 131</w:t>
            </w:r>
          </w:p>
        </w:tc>
        <w:tc>
          <w:tcPr>
            <w:tcW w:w="1275" w:type="dxa"/>
            <w:tcBorders>
              <w:bottom w:val="single" w:sz="6" w:space="0" w:color="auto"/>
            </w:tcBorders>
          </w:tcPr>
          <w:p w14:paraId="3D85A7AE" w14:textId="77777777" w:rsidR="009D33A8" w:rsidRDefault="009D33A8">
            <w:pPr>
              <w:cnfStyle w:val="000000000000" w:firstRow="0" w:lastRow="0" w:firstColumn="0" w:lastColumn="0" w:oddVBand="0" w:evenVBand="0" w:oddHBand="0" w:evenHBand="0" w:firstRowFirstColumn="0" w:firstRowLastColumn="0" w:lastRowFirstColumn="0" w:lastRowLastColumn="0"/>
            </w:pPr>
            <w:r>
              <w:t>5 698 373</w:t>
            </w:r>
          </w:p>
        </w:tc>
      </w:tr>
      <w:tr w:rsidR="009D33A8" w14:paraId="6496088D"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4F1E049D" w14:textId="77777777" w:rsidR="009D33A8" w:rsidRDefault="009D33A8">
            <w:r>
              <w:rPr>
                <w:b/>
              </w:rPr>
              <w:t>Total trust accounts</w:t>
            </w:r>
          </w:p>
        </w:tc>
        <w:tc>
          <w:tcPr>
            <w:tcW w:w="1275" w:type="dxa"/>
            <w:tcBorders>
              <w:top w:val="single" w:sz="6" w:space="0" w:color="auto"/>
            </w:tcBorders>
          </w:tcPr>
          <w:p w14:paraId="4DA3E41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19 160 259</w:t>
            </w:r>
          </w:p>
        </w:tc>
        <w:tc>
          <w:tcPr>
            <w:tcW w:w="1275" w:type="dxa"/>
            <w:tcBorders>
              <w:top w:val="single" w:sz="6" w:space="0" w:color="auto"/>
            </w:tcBorders>
          </w:tcPr>
          <w:p w14:paraId="2371ECC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18 976 598</w:t>
            </w:r>
          </w:p>
        </w:tc>
      </w:tr>
      <w:tr w:rsidR="009D33A8" w14:paraId="0FA2F138"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6AD2FD22" w14:textId="77777777" w:rsidR="009D33A8" w:rsidRDefault="009D33A8">
            <w:r>
              <w:rPr>
                <w:b/>
              </w:rPr>
              <w:t>Consolidated fund account balance</w:t>
            </w:r>
          </w:p>
        </w:tc>
        <w:tc>
          <w:tcPr>
            <w:tcW w:w="1275" w:type="dxa"/>
            <w:tcBorders>
              <w:bottom w:val="single" w:sz="6" w:space="0" w:color="auto"/>
            </w:tcBorders>
          </w:tcPr>
          <w:p w14:paraId="3B46017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1275" w:type="dxa"/>
            <w:tcBorders>
              <w:bottom w:val="single" w:sz="6" w:space="0" w:color="auto"/>
            </w:tcBorders>
          </w:tcPr>
          <w:p w14:paraId="07B3968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262 851</w:t>
            </w:r>
          </w:p>
        </w:tc>
      </w:tr>
      <w:tr w:rsidR="009D33A8" w14:paraId="636A54D8"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6" w:space="0" w:color="auto"/>
            </w:tcBorders>
          </w:tcPr>
          <w:p w14:paraId="790CB6F3" w14:textId="77777777" w:rsidR="009D33A8" w:rsidRDefault="009D33A8">
            <w:r>
              <w:rPr>
                <w:b/>
              </w:rPr>
              <w:t>Total funds held in the public account</w:t>
            </w:r>
          </w:p>
        </w:tc>
        <w:tc>
          <w:tcPr>
            <w:tcW w:w="1275" w:type="dxa"/>
            <w:tcBorders>
              <w:top w:val="single" w:sz="6" w:space="0" w:color="auto"/>
              <w:bottom w:val="single" w:sz="6" w:space="0" w:color="auto"/>
            </w:tcBorders>
          </w:tcPr>
          <w:p w14:paraId="77D37EA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19 160 259</w:t>
            </w:r>
          </w:p>
        </w:tc>
        <w:tc>
          <w:tcPr>
            <w:tcW w:w="1275" w:type="dxa"/>
            <w:tcBorders>
              <w:top w:val="single" w:sz="6" w:space="0" w:color="auto"/>
              <w:bottom w:val="single" w:sz="6" w:space="0" w:color="auto"/>
            </w:tcBorders>
          </w:tcPr>
          <w:p w14:paraId="07AF194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19 239 449</w:t>
            </w:r>
          </w:p>
        </w:tc>
      </w:tr>
      <w:tr w:rsidR="009D33A8" w14:paraId="3548DAEF" w14:textId="77777777">
        <w:trPr>
          <w:trHeight w:hRule="exact" w:val="113"/>
        </w:trPr>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0145D351" w14:textId="77777777" w:rsidR="009D33A8" w:rsidRDefault="009D33A8"/>
        </w:tc>
        <w:tc>
          <w:tcPr>
            <w:tcW w:w="1275" w:type="dxa"/>
            <w:tcBorders>
              <w:top w:val="single" w:sz="6" w:space="0" w:color="auto"/>
            </w:tcBorders>
          </w:tcPr>
          <w:p w14:paraId="6EC86CA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Borders>
              <w:top w:val="single" w:sz="6" w:space="0" w:color="auto"/>
            </w:tcBorders>
          </w:tcPr>
          <w:p w14:paraId="19FDB65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8D2EF41" w14:textId="77777777">
        <w:tc>
          <w:tcPr>
            <w:cnfStyle w:val="001000000000" w:firstRow="0" w:lastRow="0" w:firstColumn="1" w:lastColumn="0" w:oddVBand="0" w:evenVBand="0" w:oddHBand="0" w:evenHBand="0" w:firstRowFirstColumn="0" w:firstRowLastColumn="0" w:lastRowFirstColumn="0" w:lastRowLastColumn="0"/>
            <w:tcW w:w="7088" w:type="dxa"/>
          </w:tcPr>
          <w:p w14:paraId="4703C68F" w14:textId="77777777" w:rsidR="009D33A8" w:rsidRDefault="009D33A8">
            <w:r>
              <w:rPr>
                <w:b/>
              </w:rPr>
              <w:t>Represented by:</w:t>
            </w:r>
          </w:p>
        </w:tc>
        <w:tc>
          <w:tcPr>
            <w:tcW w:w="1275" w:type="dxa"/>
          </w:tcPr>
          <w:p w14:paraId="76E53D9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53784A9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B8B27C5" w14:textId="77777777">
        <w:tc>
          <w:tcPr>
            <w:cnfStyle w:val="001000000000" w:firstRow="0" w:lastRow="0" w:firstColumn="1" w:lastColumn="0" w:oddVBand="0" w:evenVBand="0" w:oddHBand="0" w:evenHBand="0" w:firstRowFirstColumn="0" w:firstRowLastColumn="0" w:lastRowFirstColumn="0" w:lastRowLastColumn="0"/>
            <w:tcW w:w="7088" w:type="dxa"/>
          </w:tcPr>
          <w:p w14:paraId="5F316D5F" w14:textId="77777777" w:rsidR="009D33A8" w:rsidRDefault="009D33A8">
            <w:r>
              <w:rPr>
                <w:b/>
              </w:rPr>
              <w:t>Stocks and securities held with/in –</w:t>
            </w:r>
          </w:p>
        </w:tc>
        <w:tc>
          <w:tcPr>
            <w:tcW w:w="1275" w:type="dxa"/>
          </w:tcPr>
          <w:p w14:paraId="063DD0C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0C7EE7B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2C7E0B5" w14:textId="77777777">
        <w:tc>
          <w:tcPr>
            <w:cnfStyle w:val="001000000000" w:firstRow="0" w:lastRow="0" w:firstColumn="1" w:lastColumn="0" w:oddVBand="0" w:evenVBand="0" w:oddHBand="0" w:evenHBand="0" w:firstRowFirstColumn="0" w:firstRowLastColumn="0" w:lastRowFirstColumn="0" w:lastRowLastColumn="0"/>
            <w:tcW w:w="7088" w:type="dxa"/>
          </w:tcPr>
          <w:p w14:paraId="2481B2CB" w14:textId="77777777" w:rsidR="009D33A8" w:rsidRDefault="009D33A8">
            <w:r>
              <w:t>Managed investments</w:t>
            </w:r>
          </w:p>
        </w:tc>
        <w:tc>
          <w:tcPr>
            <w:tcW w:w="1275" w:type="dxa"/>
          </w:tcPr>
          <w:p w14:paraId="1EB4E3E6" w14:textId="77777777" w:rsidR="009D33A8" w:rsidRDefault="009D33A8">
            <w:pPr>
              <w:cnfStyle w:val="000000000000" w:firstRow="0" w:lastRow="0" w:firstColumn="0" w:lastColumn="0" w:oddVBand="0" w:evenVBand="0" w:oddHBand="0" w:evenHBand="0" w:firstRowFirstColumn="0" w:firstRowLastColumn="0" w:lastRowFirstColumn="0" w:lastRowLastColumn="0"/>
            </w:pPr>
            <w:r>
              <w:t>12 985 561</w:t>
            </w:r>
          </w:p>
        </w:tc>
        <w:tc>
          <w:tcPr>
            <w:tcW w:w="1275" w:type="dxa"/>
          </w:tcPr>
          <w:p w14:paraId="1C97B357" w14:textId="77777777" w:rsidR="009D33A8" w:rsidRDefault="009D33A8">
            <w:pPr>
              <w:cnfStyle w:val="000000000000" w:firstRow="0" w:lastRow="0" w:firstColumn="0" w:lastColumn="0" w:oddVBand="0" w:evenVBand="0" w:oddHBand="0" w:evenHBand="0" w:firstRowFirstColumn="0" w:firstRowLastColumn="0" w:lastRowFirstColumn="0" w:lastRowLastColumn="0"/>
            </w:pPr>
            <w:r>
              <w:t>11 327 816</w:t>
            </w:r>
          </w:p>
        </w:tc>
      </w:tr>
      <w:tr w:rsidR="009D33A8" w14:paraId="31E3AE19"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490439E6" w14:textId="77777777" w:rsidR="009D33A8" w:rsidRDefault="009D33A8">
            <w:r>
              <w:t>Treasury Corporation of Victoria</w:t>
            </w:r>
          </w:p>
        </w:tc>
        <w:tc>
          <w:tcPr>
            <w:tcW w:w="1275" w:type="dxa"/>
            <w:tcBorders>
              <w:bottom w:val="single" w:sz="6" w:space="0" w:color="auto"/>
            </w:tcBorders>
          </w:tcPr>
          <w:p w14:paraId="422E0499" w14:textId="77777777" w:rsidR="009D33A8" w:rsidRDefault="009D33A8">
            <w:pPr>
              <w:cnfStyle w:val="000000000000" w:firstRow="0" w:lastRow="0" w:firstColumn="0" w:lastColumn="0" w:oddVBand="0" w:evenVBand="0" w:oddHBand="0" w:evenHBand="0" w:firstRowFirstColumn="0" w:firstRowLastColumn="0" w:lastRowFirstColumn="0" w:lastRowLastColumn="0"/>
            </w:pPr>
            <w:r>
              <w:t>11 695</w:t>
            </w:r>
          </w:p>
        </w:tc>
        <w:tc>
          <w:tcPr>
            <w:tcW w:w="1275" w:type="dxa"/>
            <w:tcBorders>
              <w:bottom w:val="single" w:sz="6" w:space="0" w:color="auto"/>
            </w:tcBorders>
          </w:tcPr>
          <w:p w14:paraId="7A733C78" w14:textId="77777777" w:rsidR="009D33A8" w:rsidRDefault="009D33A8">
            <w:pPr>
              <w:cnfStyle w:val="000000000000" w:firstRow="0" w:lastRow="0" w:firstColumn="0" w:lastColumn="0" w:oddVBand="0" w:evenVBand="0" w:oddHBand="0" w:evenHBand="0" w:firstRowFirstColumn="0" w:firstRowLastColumn="0" w:lastRowFirstColumn="0" w:lastRowLastColumn="0"/>
            </w:pPr>
            <w:r>
              <w:t>10 430</w:t>
            </w:r>
          </w:p>
        </w:tc>
      </w:tr>
      <w:tr w:rsidR="009D33A8" w14:paraId="1EACF0C2"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069ABB25" w14:textId="77777777" w:rsidR="009D33A8" w:rsidRDefault="009D33A8"/>
        </w:tc>
        <w:tc>
          <w:tcPr>
            <w:tcW w:w="1275" w:type="dxa"/>
            <w:tcBorders>
              <w:top w:val="single" w:sz="6" w:space="0" w:color="auto"/>
            </w:tcBorders>
          </w:tcPr>
          <w:p w14:paraId="790A278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12 997 256</w:t>
            </w:r>
          </w:p>
        </w:tc>
        <w:tc>
          <w:tcPr>
            <w:tcW w:w="1275" w:type="dxa"/>
            <w:tcBorders>
              <w:top w:val="single" w:sz="6" w:space="0" w:color="auto"/>
            </w:tcBorders>
          </w:tcPr>
          <w:p w14:paraId="159C0D0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11 338 246</w:t>
            </w:r>
          </w:p>
        </w:tc>
      </w:tr>
      <w:tr w:rsidR="009D33A8" w14:paraId="0AF75E62" w14:textId="77777777">
        <w:tc>
          <w:tcPr>
            <w:cnfStyle w:val="001000000000" w:firstRow="0" w:lastRow="0" w:firstColumn="1" w:lastColumn="0" w:oddVBand="0" w:evenVBand="0" w:oddHBand="0" w:evenHBand="0" w:firstRowFirstColumn="0" w:firstRowLastColumn="0" w:lastRowFirstColumn="0" w:lastRowLastColumn="0"/>
            <w:tcW w:w="7088" w:type="dxa"/>
          </w:tcPr>
          <w:p w14:paraId="6B9CF7D3" w14:textId="77777777" w:rsidR="009D33A8" w:rsidRDefault="009D33A8">
            <w:r>
              <w:rPr>
                <w:b/>
              </w:rPr>
              <w:t>Cash and investments held with/in –</w:t>
            </w:r>
          </w:p>
        </w:tc>
        <w:tc>
          <w:tcPr>
            <w:tcW w:w="1275" w:type="dxa"/>
          </w:tcPr>
          <w:p w14:paraId="7FDC4013"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275" w:type="dxa"/>
          </w:tcPr>
          <w:p w14:paraId="3F9324C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F45A3C6" w14:textId="77777777">
        <w:tc>
          <w:tcPr>
            <w:cnfStyle w:val="001000000000" w:firstRow="0" w:lastRow="0" w:firstColumn="1" w:lastColumn="0" w:oddVBand="0" w:evenVBand="0" w:oddHBand="0" w:evenHBand="0" w:firstRowFirstColumn="0" w:firstRowLastColumn="0" w:lastRowFirstColumn="0" w:lastRowLastColumn="0"/>
            <w:tcW w:w="7088" w:type="dxa"/>
          </w:tcPr>
          <w:p w14:paraId="4EEC98E3" w14:textId="77777777" w:rsidR="009D33A8" w:rsidRDefault="009D33A8">
            <w:r>
              <w:t>Treasury Corporation of Victoria</w:t>
            </w:r>
          </w:p>
        </w:tc>
        <w:tc>
          <w:tcPr>
            <w:tcW w:w="1275" w:type="dxa"/>
          </w:tcPr>
          <w:p w14:paraId="65B21AA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7CB5388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0DC6F05"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3DA8C6F6" w14:textId="77777777" w:rsidR="009D33A8" w:rsidRDefault="009D33A8">
            <w:r>
              <w:t>Cash at bank balances held in Australia</w:t>
            </w:r>
          </w:p>
        </w:tc>
        <w:tc>
          <w:tcPr>
            <w:tcW w:w="1275" w:type="dxa"/>
            <w:tcBorders>
              <w:bottom w:val="single" w:sz="6" w:space="0" w:color="auto"/>
            </w:tcBorders>
          </w:tcPr>
          <w:p w14:paraId="0EE591A7" w14:textId="77777777" w:rsidR="009D33A8" w:rsidRDefault="009D33A8">
            <w:pPr>
              <w:cnfStyle w:val="000000000000" w:firstRow="0" w:lastRow="0" w:firstColumn="0" w:lastColumn="0" w:oddVBand="0" w:evenVBand="0" w:oddHBand="0" w:evenHBand="0" w:firstRowFirstColumn="0" w:firstRowLastColumn="0" w:lastRowFirstColumn="0" w:lastRowLastColumn="0"/>
            </w:pPr>
            <w:r>
              <w:t>5 801 182</w:t>
            </w:r>
          </w:p>
        </w:tc>
        <w:tc>
          <w:tcPr>
            <w:tcW w:w="1275" w:type="dxa"/>
            <w:tcBorders>
              <w:bottom w:val="single" w:sz="6" w:space="0" w:color="auto"/>
            </w:tcBorders>
          </w:tcPr>
          <w:p w14:paraId="181175AF" w14:textId="77777777" w:rsidR="009D33A8" w:rsidRDefault="009D33A8">
            <w:pPr>
              <w:cnfStyle w:val="000000000000" w:firstRow="0" w:lastRow="0" w:firstColumn="0" w:lastColumn="0" w:oddVBand="0" w:evenVBand="0" w:oddHBand="0" w:evenHBand="0" w:firstRowFirstColumn="0" w:firstRowLastColumn="0" w:lastRowFirstColumn="0" w:lastRowLastColumn="0"/>
            </w:pPr>
            <w:r>
              <w:t>7 257 738</w:t>
            </w:r>
          </w:p>
        </w:tc>
      </w:tr>
      <w:tr w:rsidR="009D33A8" w14:paraId="3922BC00"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6" w:space="0" w:color="auto"/>
            </w:tcBorders>
          </w:tcPr>
          <w:p w14:paraId="539C18B6" w14:textId="77777777" w:rsidR="009D33A8" w:rsidRDefault="009D33A8"/>
        </w:tc>
        <w:tc>
          <w:tcPr>
            <w:tcW w:w="1275" w:type="dxa"/>
            <w:tcBorders>
              <w:top w:val="single" w:sz="6" w:space="0" w:color="auto"/>
              <w:bottom w:val="single" w:sz="6" w:space="0" w:color="auto"/>
            </w:tcBorders>
          </w:tcPr>
          <w:p w14:paraId="266CEEB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5 801 183</w:t>
            </w:r>
          </w:p>
        </w:tc>
        <w:tc>
          <w:tcPr>
            <w:tcW w:w="1275" w:type="dxa"/>
            <w:tcBorders>
              <w:top w:val="single" w:sz="6" w:space="0" w:color="auto"/>
              <w:bottom w:val="single" w:sz="6" w:space="0" w:color="auto"/>
            </w:tcBorders>
          </w:tcPr>
          <w:p w14:paraId="3C0F7C5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7 257 738</w:t>
            </w:r>
          </w:p>
        </w:tc>
      </w:tr>
      <w:tr w:rsidR="009D33A8" w14:paraId="72D85E20"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tcBorders>
          </w:tcPr>
          <w:p w14:paraId="04931908" w14:textId="77777777" w:rsidR="009D33A8" w:rsidRDefault="009D33A8">
            <w:r>
              <w:rPr>
                <w:b/>
              </w:rPr>
              <w:t>Total stock, securities, cash and investments</w:t>
            </w:r>
          </w:p>
        </w:tc>
        <w:tc>
          <w:tcPr>
            <w:tcW w:w="1275" w:type="dxa"/>
            <w:tcBorders>
              <w:top w:val="single" w:sz="6" w:space="0" w:color="auto"/>
            </w:tcBorders>
          </w:tcPr>
          <w:p w14:paraId="1A33F0E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18 798 439</w:t>
            </w:r>
          </w:p>
        </w:tc>
        <w:tc>
          <w:tcPr>
            <w:tcW w:w="1275" w:type="dxa"/>
            <w:tcBorders>
              <w:top w:val="single" w:sz="6" w:space="0" w:color="auto"/>
            </w:tcBorders>
          </w:tcPr>
          <w:p w14:paraId="55AD426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18 595 984</w:t>
            </w:r>
          </w:p>
        </w:tc>
      </w:tr>
      <w:tr w:rsidR="009D33A8" w14:paraId="59B9FF10"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719FD820" w14:textId="77777777" w:rsidR="009D33A8" w:rsidRDefault="009D33A8">
            <w:r>
              <w:t xml:space="preserve">Add cash advanced pursuant to Sections 36 and 37 of the </w:t>
            </w:r>
            <w:r>
              <w:rPr>
                <w:i/>
              </w:rPr>
              <w:t>Financial Management Act, No. 18 of 1994</w:t>
            </w:r>
          </w:p>
        </w:tc>
        <w:tc>
          <w:tcPr>
            <w:tcW w:w="1275" w:type="dxa"/>
            <w:tcBorders>
              <w:bottom w:val="single" w:sz="6" w:space="0" w:color="auto"/>
            </w:tcBorders>
          </w:tcPr>
          <w:p w14:paraId="1C33300C" w14:textId="77777777" w:rsidR="009D33A8" w:rsidRDefault="009D33A8">
            <w:pPr>
              <w:cnfStyle w:val="000000000000" w:firstRow="0" w:lastRow="0" w:firstColumn="0" w:lastColumn="0" w:oddVBand="0" w:evenVBand="0" w:oddHBand="0" w:evenHBand="0" w:firstRowFirstColumn="0" w:firstRowLastColumn="0" w:lastRowFirstColumn="0" w:lastRowLastColumn="0"/>
            </w:pPr>
            <w:r>
              <w:t>361 820</w:t>
            </w:r>
          </w:p>
        </w:tc>
        <w:tc>
          <w:tcPr>
            <w:tcW w:w="1275" w:type="dxa"/>
            <w:tcBorders>
              <w:bottom w:val="single" w:sz="6" w:space="0" w:color="auto"/>
            </w:tcBorders>
          </w:tcPr>
          <w:p w14:paraId="72C70FE7" w14:textId="77777777" w:rsidR="009D33A8" w:rsidRDefault="009D33A8">
            <w:pPr>
              <w:cnfStyle w:val="000000000000" w:firstRow="0" w:lastRow="0" w:firstColumn="0" w:lastColumn="0" w:oddVBand="0" w:evenVBand="0" w:oddHBand="0" w:evenHBand="0" w:firstRowFirstColumn="0" w:firstRowLastColumn="0" w:lastRowFirstColumn="0" w:lastRowLastColumn="0"/>
            </w:pPr>
            <w:r>
              <w:t>643 465</w:t>
            </w:r>
          </w:p>
        </w:tc>
      </w:tr>
      <w:tr w:rsidR="009D33A8" w14:paraId="22ADA27C"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12" w:space="0" w:color="auto"/>
            </w:tcBorders>
          </w:tcPr>
          <w:p w14:paraId="4F7AE340" w14:textId="77777777" w:rsidR="009D33A8" w:rsidRDefault="009D33A8">
            <w:r>
              <w:rPr>
                <w:b/>
              </w:rPr>
              <w:t>Total funds held in the public account</w:t>
            </w:r>
          </w:p>
        </w:tc>
        <w:tc>
          <w:tcPr>
            <w:tcW w:w="1275" w:type="dxa"/>
            <w:tcBorders>
              <w:top w:val="single" w:sz="6" w:space="0" w:color="auto"/>
              <w:bottom w:val="single" w:sz="12" w:space="0" w:color="auto"/>
            </w:tcBorders>
          </w:tcPr>
          <w:p w14:paraId="386CF14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19 160 259</w:t>
            </w:r>
          </w:p>
        </w:tc>
        <w:tc>
          <w:tcPr>
            <w:tcW w:w="1275" w:type="dxa"/>
            <w:tcBorders>
              <w:top w:val="single" w:sz="6" w:space="0" w:color="auto"/>
              <w:bottom w:val="single" w:sz="12" w:space="0" w:color="auto"/>
            </w:tcBorders>
          </w:tcPr>
          <w:p w14:paraId="46721C1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19 239 449</w:t>
            </w:r>
          </w:p>
        </w:tc>
      </w:tr>
    </w:tbl>
    <w:p w14:paraId="7A3F44FD" w14:textId="77777777" w:rsidR="009D33A8" w:rsidRDefault="009D33A8" w:rsidP="009D33A8">
      <w:bookmarkStart w:id="152" w:name="_Toc462418834"/>
    </w:p>
    <w:p w14:paraId="684684DC" w14:textId="77777777" w:rsidR="009D33A8" w:rsidRDefault="009D33A8" w:rsidP="009D33A8">
      <w:pPr>
        <w:pStyle w:val="Heading3"/>
      </w:pPr>
      <w:bookmarkStart w:id="153" w:name="_Toc114670296"/>
      <w:bookmarkStart w:id="154" w:name="_Toc209479923"/>
      <w:r>
        <w:t>7.2.7</w:t>
      </w:r>
      <w:r>
        <w:tab/>
      </w:r>
      <w:r w:rsidRPr="007B2989">
        <w:t xml:space="preserve">Consolidated Fund payments: Special </w:t>
      </w:r>
      <w:r w:rsidRPr="00F675C3">
        <w:t>appropriations</w:t>
      </w:r>
      <w:r>
        <w:tab/>
      </w:r>
      <w:r w:rsidRPr="004269AE">
        <w:rPr>
          <w:sz w:val="20"/>
          <w:szCs w:val="20"/>
        </w:rPr>
        <w:t>($ thousand)</w:t>
      </w:r>
      <w:bookmarkEnd w:id="152"/>
      <w:bookmarkEnd w:id="153"/>
      <w:bookmarkEnd w:id="154"/>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payments_special_approp"/>
      </w:tblPr>
      <w:tblGrid>
        <w:gridCol w:w="7088"/>
        <w:gridCol w:w="1275"/>
        <w:gridCol w:w="1275"/>
      </w:tblGrid>
      <w:tr w:rsidR="009D33A8" w14:paraId="029BEC2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88" w:type="dxa"/>
          </w:tcPr>
          <w:p w14:paraId="7463DBF0" w14:textId="77777777" w:rsidR="009D33A8" w:rsidRDefault="009D33A8">
            <w:pPr>
              <w:keepNext/>
            </w:pPr>
          </w:p>
        </w:tc>
        <w:tc>
          <w:tcPr>
            <w:tcW w:w="1275" w:type="dxa"/>
          </w:tcPr>
          <w:p w14:paraId="35F9753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1275" w:type="dxa"/>
          </w:tcPr>
          <w:p w14:paraId="3E1339C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2B0582C1" w14:textId="77777777">
        <w:tc>
          <w:tcPr>
            <w:cnfStyle w:val="001000000000" w:firstRow="0" w:lastRow="0" w:firstColumn="1" w:lastColumn="0" w:oddVBand="0" w:evenVBand="0" w:oddHBand="0" w:evenHBand="0" w:firstRowFirstColumn="0" w:firstRowLastColumn="0" w:lastRowFirstColumn="0" w:lastRowLastColumn="0"/>
            <w:tcW w:w="7088" w:type="dxa"/>
          </w:tcPr>
          <w:p w14:paraId="32C010E7" w14:textId="77777777" w:rsidR="009D33A8" w:rsidRDefault="009D33A8">
            <w:r>
              <w:t>Education</w:t>
            </w:r>
          </w:p>
        </w:tc>
        <w:tc>
          <w:tcPr>
            <w:tcW w:w="1275" w:type="dxa"/>
          </w:tcPr>
          <w:p w14:paraId="0D553B40" w14:textId="77777777" w:rsidR="009D33A8" w:rsidRDefault="009D33A8">
            <w:pPr>
              <w:cnfStyle w:val="000000000000" w:firstRow="0" w:lastRow="0" w:firstColumn="0" w:lastColumn="0" w:oddVBand="0" w:evenVBand="0" w:oddHBand="0" w:evenHBand="0" w:firstRowFirstColumn="0" w:firstRowLastColumn="0" w:lastRowFirstColumn="0" w:lastRowLastColumn="0"/>
            </w:pPr>
            <w:r>
              <w:t>182 169</w:t>
            </w:r>
          </w:p>
        </w:tc>
        <w:tc>
          <w:tcPr>
            <w:tcW w:w="1275" w:type="dxa"/>
          </w:tcPr>
          <w:p w14:paraId="19CEBBC0" w14:textId="77777777" w:rsidR="009D33A8" w:rsidRDefault="009D33A8">
            <w:pPr>
              <w:cnfStyle w:val="000000000000" w:firstRow="0" w:lastRow="0" w:firstColumn="0" w:lastColumn="0" w:oddVBand="0" w:evenVBand="0" w:oddHBand="0" w:evenHBand="0" w:firstRowFirstColumn="0" w:firstRowLastColumn="0" w:lastRowFirstColumn="0" w:lastRowLastColumn="0"/>
            </w:pPr>
            <w:r>
              <w:t>20 054</w:t>
            </w:r>
          </w:p>
        </w:tc>
      </w:tr>
      <w:tr w:rsidR="009D33A8" w14:paraId="2B578CD3" w14:textId="77777777">
        <w:tc>
          <w:tcPr>
            <w:cnfStyle w:val="001000000000" w:firstRow="0" w:lastRow="0" w:firstColumn="1" w:lastColumn="0" w:oddVBand="0" w:evenVBand="0" w:oddHBand="0" w:evenHBand="0" w:firstRowFirstColumn="0" w:firstRowLastColumn="0" w:lastRowFirstColumn="0" w:lastRowLastColumn="0"/>
            <w:tcW w:w="7088" w:type="dxa"/>
          </w:tcPr>
          <w:p w14:paraId="0D75DCF7" w14:textId="77777777" w:rsidR="009D33A8" w:rsidRDefault="009D33A8">
            <w:r>
              <w:t>Energy, Environment and Climate Action</w:t>
            </w:r>
          </w:p>
        </w:tc>
        <w:tc>
          <w:tcPr>
            <w:tcW w:w="1275" w:type="dxa"/>
          </w:tcPr>
          <w:p w14:paraId="7DAAA1B4" w14:textId="77777777" w:rsidR="009D33A8" w:rsidRDefault="009D33A8">
            <w:pPr>
              <w:cnfStyle w:val="000000000000" w:firstRow="0" w:lastRow="0" w:firstColumn="0" w:lastColumn="0" w:oddVBand="0" w:evenVBand="0" w:oddHBand="0" w:evenHBand="0" w:firstRowFirstColumn="0" w:firstRowLastColumn="0" w:lastRowFirstColumn="0" w:lastRowLastColumn="0"/>
            </w:pPr>
            <w:r>
              <w:t>27 927</w:t>
            </w:r>
          </w:p>
        </w:tc>
        <w:tc>
          <w:tcPr>
            <w:tcW w:w="1275" w:type="dxa"/>
          </w:tcPr>
          <w:p w14:paraId="160A7C84" w14:textId="77777777" w:rsidR="009D33A8" w:rsidRDefault="009D33A8">
            <w:pPr>
              <w:cnfStyle w:val="000000000000" w:firstRow="0" w:lastRow="0" w:firstColumn="0" w:lastColumn="0" w:oddVBand="0" w:evenVBand="0" w:oddHBand="0" w:evenHBand="0" w:firstRowFirstColumn="0" w:firstRowLastColumn="0" w:lastRowFirstColumn="0" w:lastRowLastColumn="0"/>
            </w:pPr>
            <w:r>
              <w:t>18 992</w:t>
            </w:r>
          </w:p>
        </w:tc>
      </w:tr>
      <w:tr w:rsidR="009D33A8" w14:paraId="0C43B413" w14:textId="77777777">
        <w:tc>
          <w:tcPr>
            <w:cnfStyle w:val="001000000000" w:firstRow="0" w:lastRow="0" w:firstColumn="1" w:lastColumn="0" w:oddVBand="0" w:evenVBand="0" w:oddHBand="0" w:evenHBand="0" w:firstRowFirstColumn="0" w:firstRowLastColumn="0" w:lastRowFirstColumn="0" w:lastRowLastColumn="0"/>
            <w:tcW w:w="7088" w:type="dxa"/>
          </w:tcPr>
          <w:p w14:paraId="58C24F52" w14:textId="77777777" w:rsidR="009D33A8" w:rsidRDefault="009D33A8">
            <w:r>
              <w:t>Families, Fairness and Housing</w:t>
            </w:r>
          </w:p>
        </w:tc>
        <w:tc>
          <w:tcPr>
            <w:tcW w:w="1275" w:type="dxa"/>
          </w:tcPr>
          <w:p w14:paraId="3169E05F" w14:textId="77777777" w:rsidR="009D33A8" w:rsidRDefault="009D33A8">
            <w:pPr>
              <w:cnfStyle w:val="000000000000" w:firstRow="0" w:lastRow="0" w:firstColumn="0" w:lastColumn="0" w:oddVBand="0" w:evenVBand="0" w:oddHBand="0" w:evenHBand="0" w:firstRowFirstColumn="0" w:firstRowLastColumn="0" w:lastRowFirstColumn="0" w:lastRowLastColumn="0"/>
            </w:pPr>
            <w:r>
              <w:t>231 153</w:t>
            </w:r>
          </w:p>
        </w:tc>
        <w:tc>
          <w:tcPr>
            <w:tcW w:w="1275" w:type="dxa"/>
          </w:tcPr>
          <w:p w14:paraId="45D15F59" w14:textId="77777777" w:rsidR="009D33A8" w:rsidRDefault="009D33A8">
            <w:pPr>
              <w:cnfStyle w:val="000000000000" w:firstRow="0" w:lastRow="0" w:firstColumn="0" w:lastColumn="0" w:oddVBand="0" w:evenVBand="0" w:oddHBand="0" w:evenHBand="0" w:firstRowFirstColumn="0" w:firstRowLastColumn="0" w:lastRowFirstColumn="0" w:lastRowLastColumn="0"/>
            </w:pPr>
            <w:r>
              <w:t>146 249</w:t>
            </w:r>
          </w:p>
        </w:tc>
      </w:tr>
      <w:tr w:rsidR="009D33A8" w14:paraId="4BBA620C" w14:textId="77777777">
        <w:tc>
          <w:tcPr>
            <w:cnfStyle w:val="001000000000" w:firstRow="0" w:lastRow="0" w:firstColumn="1" w:lastColumn="0" w:oddVBand="0" w:evenVBand="0" w:oddHBand="0" w:evenHBand="0" w:firstRowFirstColumn="0" w:firstRowLastColumn="0" w:lastRowFirstColumn="0" w:lastRowLastColumn="0"/>
            <w:tcW w:w="7088" w:type="dxa"/>
          </w:tcPr>
          <w:p w14:paraId="1C5FEF1B" w14:textId="77777777" w:rsidR="009D33A8" w:rsidRDefault="009D33A8">
            <w:r>
              <w:t>Government Services</w:t>
            </w:r>
            <w:r>
              <w:rPr>
                <w:vertAlign w:val="superscript"/>
              </w:rPr>
              <w:t xml:space="preserve"> (a)</w:t>
            </w:r>
          </w:p>
        </w:tc>
        <w:tc>
          <w:tcPr>
            <w:tcW w:w="1275" w:type="dxa"/>
          </w:tcPr>
          <w:p w14:paraId="2764AD1C" w14:textId="77777777" w:rsidR="009D33A8" w:rsidRDefault="009D33A8">
            <w:pPr>
              <w:cnfStyle w:val="000000000000" w:firstRow="0" w:lastRow="0" w:firstColumn="0" w:lastColumn="0" w:oddVBand="0" w:evenVBand="0" w:oddHBand="0" w:evenHBand="0" w:firstRowFirstColumn="0" w:firstRowLastColumn="0" w:lastRowFirstColumn="0" w:lastRowLastColumn="0"/>
            </w:pPr>
            <w:r>
              <w:t>29 832</w:t>
            </w:r>
          </w:p>
        </w:tc>
        <w:tc>
          <w:tcPr>
            <w:tcW w:w="1275" w:type="dxa"/>
          </w:tcPr>
          <w:p w14:paraId="5C51DDE4" w14:textId="77777777" w:rsidR="009D33A8" w:rsidRDefault="009D33A8">
            <w:pPr>
              <w:cnfStyle w:val="000000000000" w:firstRow="0" w:lastRow="0" w:firstColumn="0" w:lastColumn="0" w:oddVBand="0" w:evenVBand="0" w:oddHBand="0" w:evenHBand="0" w:firstRowFirstColumn="0" w:firstRowLastColumn="0" w:lastRowFirstColumn="0" w:lastRowLastColumn="0"/>
            </w:pPr>
            <w:r>
              <w:t>3 524</w:t>
            </w:r>
          </w:p>
        </w:tc>
      </w:tr>
      <w:tr w:rsidR="009D33A8" w14:paraId="067258AD" w14:textId="77777777">
        <w:tc>
          <w:tcPr>
            <w:cnfStyle w:val="001000000000" w:firstRow="0" w:lastRow="0" w:firstColumn="1" w:lastColumn="0" w:oddVBand="0" w:evenVBand="0" w:oddHBand="0" w:evenHBand="0" w:firstRowFirstColumn="0" w:firstRowLastColumn="0" w:lastRowFirstColumn="0" w:lastRowLastColumn="0"/>
            <w:tcW w:w="7088" w:type="dxa"/>
          </w:tcPr>
          <w:p w14:paraId="4850479E" w14:textId="77777777" w:rsidR="009D33A8" w:rsidRDefault="009D33A8">
            <w:r>
              <w:t>Health</w:t>
            </w:r>
          </w:p>
        </w:tc>
        <w:tc>
          <w:tcPr>
            <w:tcW w:w="1275" w:type="dxa"/>
          </w:tcPr>
          <w:p w14:paraId="4AD84965" w14:textId="77777777" w:rsidR="009D33A8" w:rsidRDefault="009D33A8">
            <w:pPr>
              <w:cnfStyle w:val="000000000000" w:firstRow="0" w:lastRow="0" w:firstColumn="0" w:lastColumn="0" w:oddVBand="0" w:evenVBand="0" w:oddHBand="0" w:evenHBand="0" w:firstRowFirstColumn="0" w:firstRowLastColumn="0" w:lastRowFirstColumn="0" w:lastRowLastColumn="0"/>
            </w:pPr>
            <w:r>
              <w:t>3 272 879</w:t>
            </w:r>
          </w:p>
        </w:tc>
        <w:tc>
          <w:tcPr>
            <w:tcW w:w="1275" w:type="dxa"/>
          </w:tcPr>
          <w:p w14:paraId="66848F17" w14:textId="77777777" w:rsidR="009D33A8" w:rsidRDefault="009D33A8">
            <w:pPr>
              <w:cnfStyle w:val="000000000000" w:firstRow="0" w:lastRow="0" w:firstColumn="0" w:lastColumn="0" w:oddVBand="0" w:evenVBand="0" w:oddHBand="0" w:evenHBand="0" w:firstRowFirstColumn="0" w:firstRowLastColumn="0" w:lastRowFirstColumn="0" w:lastRowLastColumn="0"/>
            </w:pPr>
            <w:r>
              <w:t>3 284 211</w:t>
            </w:r>
          </w:p>
        </w:tc>
      </w:tr>
      <w:tr w:rsidR="009D33A8" w14:paraId="57E7EDD9" w14:textId="77777777">
        <w:tc>
          <w:tcPr>
            <w:cnfStyle w:val="001000000000" w:firstRow="0" w:lastRow="0" w:firstColumn="1" w:lastColumn="0" w:oddVBand="0" w:evenVBand="0" w:oddHBand="0" w:evenHBand="0" w:firstRowFirstColumn="0" w:firstRowLastColumn="0" w:lastRowFirstColumn="0" w:lastRowLastColumn="0"/>
            <w:tcW w:w="7088" w:type="dxa"/>
          </w:tcPr>
          <w:p w14:paraId="6BC086DD" w14:textId="77777777" w:rsidR="009D33A8" w:rsidRDefault="009D33A8">
            <w:r>
              <w:t>Jobs, Skills, Industry and Regions</w:t>
            </w:r>
          </w:p>
        </w:tc>
        <w:tc>
          <w:tcPr>
            <w:tcW w:w="1275" w:type="dxa"/>
          </w:tcPr>
          <w:p w14:paraId="5402B7F5" w14:textId="77777777" w:rsidR="009D33A8" w:rsidRDefault="009D33A8">
            <w:pPr>
              <w:cnfStyle w:val="000000000000" w:firstRow="0" w:lastRow="0" w:firstColumn="0" w:lastColumn="0" w:oddVBand="0" w:evenVBand="0" w:oddHBand="0" w:evenHBand="0" w:firstRowFirstColumn="0" w:firstRowLastColumn="0" w:lastRowFirstColumn="0" w:lastRowLastColumn="0"/>
            </w:pPr>
            <w:r>
              <w:t>122 272</w:t>
            </w:r>
          </w:p>
        </w:tc>
        <w:tc>
          <w:tcPr>
            <w:tcW w:w="1275" w:type="dxa"/>
          </w:tcPr>
          <w:p w14:paraId="07580C99" w14:textId="77777777" w:rsidR="009D33A8" w:rsidRDefault="009D33A8">
            <w:pPr>
              <w:cnfStyle w:val="000000000000" w:firstRow="0" w:lastRow="0" w:firstColumn="0" w:lastColumn="0" w:oddVBand="0" w:evenVBand="0" w:oddHBand="0" w:evenHBand="0" w:firstRowFirstColumn="0" w:firstRowLastColumn="0" w:lastRowFirstColumn="0" w:lastRowLastColumn="0"/>
            </w:pPr>
            <w:r>
              <w:t>3 870</w:t>
            </w:r>
          </w:p>
        </w:tc>
      </w:tr>
      <w:tr w:rsidR="009D33A8" w14:paraId="0B65E8C8" w14:textId="77777777">
        <w:tc>
          <w:tcPr>
            <w:cnfStyle w:val="001000000000" w:firstRow="0" w:lastRow="0" w:firstColumn="1" w:lastColumn="0" w:oddVBand="0" w:evenVBand="0" w:oddHBand="0" w:evenHBand="0" w:firstRowFirstColumn="0" w:firstRowLastColumn="0" w:lastRowFirstColumn="0" w:lastRowLastColumn="0"/>
            <w:tcW w:w="7088" w:type="dxa"/>
          </w:tcPr>
          <w:p w14:paraId="779C745F" w14:textId="77777777" w:rsidR="009D33A8" w:rsidRDefault="009D33A8">
            <w:r>
              <w:t>Justice and Community Safety</w:t>
            </w:r>
          </w:p>
        </w:tc>
        <w:tc>
          <w:tcPr>
            <w:tcW w:w="1275" w:type="dxa"/>
          </w:tcPr>
          <w:p w14:paraId="482958D9" w14:textId="77777777" w:rsidR="009D33A8" w:rsidRDefault="009D33A8">
            <w:pPr>
              <w:cnfStyle w:val="000000000000" w:firstRow="0" w:lastRow="0" w:firstColumn="0" w:lastColumn="0" w:oddVBand="0" w:evenVBand="0" w:oddHBand="0" w:evenHBand="0" w:firstRowFirstColumn="0" w:firstRowLastColumn="0" w:lastRowFirstColumn="0" w:lastRowLastColumn="0"/>
            </w:pPr>
            <w:r>
              <w:t>165 704</w:t>
            </w:r>
          </w:p>
        </w:tc>
        <w:tc>
          <w:tcPr>
            <w:tcW w:w="1275" w:type="dxa"/>
          </w:tcPr>
          <w:p w14:paraId="75424BE1" w14:textId="77777777" w:rsidR="009D33A8" w:rsidRDefault="009D33A8">
            <w:pPr>
              <w:cnfStyle w:val="000000000000" w:firstRow="0" w:lastRow="0" w:firstColumn="0" w:lastColumn="0" w:oddVBand="0" w:evenVBand="0" w:oddHBand="0" w:evenHBand="0" w:firstRowFirstColumn="0" w:firstRowLastColumn="0" w:lastRowFirstColumn="0" w:lastRowLastColumn="0"/>
            </w:pPr>
            <w:r>
              <w:t>168 357</w:t>
            </w:r>
          </w:p>
        </w:tc>
      </w:tr>
      <w:tr w:rsidR="009D33A8" w14:paraId="0567801F" w14:textId="77777777">
        <w:tc>
          <w:tcPr>
            <w:cnfStyle w:val="001000000000" w:firstRow="0" w:lastRow="0" w:firstColumn="1" w:lastColumn="0" w:oddVBand="0" w:evenVBand="0" w:oddHBand="0" w:evenHBand="0" w:firstRowFirstColumn="0" w:firstRowLastColumn="0" w:lastRowFirstColumn="0" w:lastRowLastColumn="0"/>
            <w:tcW w:w="7088" w:type="dxa"/>
          </w:tcPr>
          <w:p w14:paraId="5FA005D0" w14:textId="77777777" w:rsidR="009D33A8" w:rsidRDefault="009D33A8">
            <w:r>
              <w:t>Premier and Cabinet</w:t>
            </w:r>
            <w:r>
              <w:rPr>
                <w:vertAlign w:val="superscript"/>
              </w:rPr>
              <w:t xml:space="preserve"> (a)</w:t>
            </w:r>
          </w:p>
        </w:tc>
        <w:tc>
          <w:tcPr>
            <w:tcW w:w="1275" w:type="dxa"/>
          </w:tcPr>
          <w:p w14:paraId="190BEF81" w14:textId="77777777" w:rsidR="009D33A8" w:rsidRDefault="009D33A8">
            <w:pPr>
              <w:cnfStyle w:val="000000000000" w:firstRow="0" w:lastRow="0" w:firstColumn="0" w:lastColumn="0" w:oddVBand="0" w:evenVBand="0" w:oddHBand="0" w:evenHBand="0" w:firstRowFirstColumn="0" w:firstRowLastColumn="0" w:lastRowFirstColumn="0" w:lastRowLastColumn="0"/>
            </w:pPr>
            <w:r>
              <w:t>169 553</w:t>
            </w:r>
          </w:p>
        </w:tc>
        <w:tc>
          <w:tcPr>
            <w:tcW w:w="1275" w:type="dxa"/>
          </w:tcPr>
          <w:p w14:paraId="79EFF3C3" w14:textId="77777777" w:rsidR="009D33A8" w:rsidRDefault="009D33A8">
            <w:pPr>
              <w:cnfStyle w:val="000000000000" w:firstRow="0" w:lastRow="0" w:firstColumn="0" w:lastColumn="0" w:oddVBand="0" w:evenVBand="0" w:oddHBand="0" w:evenHBand="0" w:firstRowFirstColumn="0" w:firstRowLastColumn="0" w:lastRowFirstColumn="0" w:lastRowLastColumn="0"/>
            </w:pPr>
            <w:r>
              <w:t>109 159</w:t>
            </w:r>
          </w:p>
        </w:tc>
      </w:tr>
      <w:tr w:rsidR="009D33A8" w14:paraId="43DEDBCA" w14:textId="77777777">
        <w:tc>
          <w:tcPr>
            <w:cnfStyle w:val="001000000000" w:firstRow="0" w:lastRow="0" w:firstColumn="1" w:lastColumn="0" w:oddVBand="0" w:evenVBand="0" w:oddHBand="0" w:evenHBand="0" w:firstRowFirstColumn="0" w:firstRowLastColumn="0" w:lastRowFirstColumn="0" w:lastRowLastColumn="0"/>
            <w:tcW w:w="7088" w:type="dxa"/>
          </w:tcPr>
          <w:p w14:paraId="6EAAD789" w14:textId="77777777" w:rsidR="009D33A8" w:rsidRDefault="009D33A8">
            <w:r>
              <w:t>Transport and Planning</w:t>
            </w:r>
          </w:p>
        </w:tc>
        <w:tc>
          <w:tcPr>
            <w:tcW w:w="1275" w:type="dxa"/>
          </w:tcPr>
          <w:p w14:paraId="2B1B9E67" w14:textId="77777777" w:rsidR="009D33A8" w:rsidRDefault="009D33A8">
            <w:pPr>
              <w:cnfStyle w:val="000000000000" w:firstRow="0" w:lastRow="0" w:firstColumn="0" w:lastColumn="0" w:oddVBand="0" w:evenVBand="0" w:oddHBand="0" w:evenHBand="0" w:firstRowFirstColumn="0" w:firstRowLastColumn="0" w:lastRowFirstColumn="0" w:lastRowLastColumn="0"/>
            </w:pPr>
            <w:r>
              <w:t>667 651</w:t>
            </w:r>
          </w:p>
        </w:tc>
        <w:tc>
          <w:tcPr>
            <w:tcW w:w="1275" w:type="dxa"/>
          </w:tcPr>
          <w:p w14:paraId="5D98A42B" w14:textId="77777777" w:rsidR="009D33A8" w:rsidRDefault="009D33A8">
            <w:pPr>
              <w:cnfStyle w:val="000000000000" w:firstRow="0" w:lastRow="0" w:firstColumn="0" w:lastColumn="0" w:oddVBand="0" w:evenVBand="0" w:oddHBand="0" w:evenHBand="0" w:firstRowFirstColumn="0" w:firstRowLastColumn="0" w:lastRowFirstColumn="0" w:lastRowLastColumn="0"/>
            </w:pPr>
            <w:r>
              <w:t>713 465</w:t>
            </w:r>
          </w:p>
        </w:tc>
      </w:tr>
      <w:tr w:rsidR="009D33A8" w14:paraId="2A27FEF4" w14:textId="77777777">
        <w:tc>
          <w:tcPr>
            <w:cnfStyle w:val="001000000000" w:firstRow="0" w:lastRow="0" w:firstColumn="1" w:lastColumn="0" w:oddVBand="0" w:evenVBand="0" w:oddHBand="0" w:evenHBand="0" w:firstRowFirstColumn="0" w:firstRowLastColumn="0" w:lastRowFirstColumn="0" w:lastRowLastColumn="0"/>
            <w:tcW w:w="7088" w:type="dxa"/>
          </w:tcPr>
          <w:p w14:paraId="57A2A9E0" w14:textId="77777777" w:rsidR="009D33A8" w:rsidRDefault="009D33A8">
            <w:r>
              <w:t>Treasury and Finance</w:t>
            </w:r>
            <w:r>
              <w:rPr>
                <w:vertAlign w:val="superscript"/>
              </w:rPr>
              <w:t xml:space="preserve"> (a)(b)</w:t>
            </w:r>
          </w:p>
        </w:tc>
        <w:tc>
          <w:tcPr>
            <w:tcW w:w="1275" w:type="dxa"/>
          </w:tcPr>
          <w:p w14:paraId="165BD9E2" w14:textId="77777777" w:rsidR="009D33A8" w:rsidRDefault="009D33A8">
            <w:pPr>
              <w:cnfStyle w:val="000000000000" w:firstRow="0" w:lastRow="0" w:firstColumn="0" w:lastColumn="0" w:oddVBand="0" w:evenVBand="0" w:oddHBand="0" w:evenHBand="0" w:firstRowFirstColumn="0" w:firstRowLastColumn="0" w:lastRowFirstColumn="0" w:lastRowLastColumn="0"/>
            </w:pPr>
            <w:r>
              <w:t>1 305 248</w:t>
            </w:r>
          </w:p>
        </w:tc>
        <w:tc>
          <w:tcPr>
            <w:tcW w:w="1275" w:type="dxa"/>
          </w:tcPr>
          <w:p w14:paraId="5CC26EF8" w14:textId="77777777" w:rsidR="009D33A8" w:rsidRDefault="009D33A8">
            <w:pPr>
              <w:cnfStyle w:val="000000000000" w:firstRow="0" w:lastRow="0" w:firstColumn="0" w:lastColumn="0" w:oddVBand="0" w:evenVBand="0" w:oddHBand="0" w:evenHBand="0" w:firstRowFirstColumn="0" w:firstRowLastColumn="0" w:lastRowFirstColumn="0" w:lastRowLastColumn="0"/>
            </w:pPr>
            <w:r>
              <w:t>8 796 995</w:t>
            </w:r>
          </w:p>
        </w:tc>
      </w:tr>
      <w:tr w:rsidR="009D33A8" w14:paraId="79FEE19D" w14:textId="77777777">
        <w:tc>
          <w:tcPr>
            <w:cnfStyle w:val="001000000000" w:firstRow="0" w:lastRow="0" w:firstColumn="1" w:lastColumn="0" w:oddVBand="0" w:evenVBand="0" w:oddHBand="0" w:evenHBand="0" w:firstRowFirstColumn="0" w:firstRowLastColumn="0" w:lastRowFirstColumn="0" w:lastRowLastColumn="0"/>
            <w:tcW w:w="7088" w:type="dxa"/>
          </w:tcPr>
          <w:p w14:paraId="5B6CAED4" w14:textId="77777777" w:rsidR="009D33A8" w:rsidRDefault="009D33A8">
            <w:r>
              <w:t>Parliament</w:t>
            </w:r>
          </w:p>
        </w:tc>
        <w:tc>
          <w:tcPr>
            <w:tcW w:w="1275" w:type="dxa"/>
          </w:tcPr>
          <w:p w14:paraId="737BF333" w14:textId="77777777" w:rsidR="009D33A8" w:rsidRDefault="009D33A8">
            <w:pPr>
              <w:cnfStyle w:val="000000000000" w:firstRow="0" w:lastRow="0" w:firstColumn="0" w:lastColumn="0" w:oddVBand="0" w:evenVBand="0" w:oddHBand="0" w:evenHBand="0" w:firstRowFirstColumn="0" w:firstRowLastColumn="0" w:lastRowFirstColumn="0" w:lastRowLastColumn="0"/>
            </w:pPr>
            <w:r>
              <w:t>53 664</w:t>
            </w:r>
          </w:p>
        </w:tc>
        <w:tc>
          <w:tcPr>
            <w:tcW w:w="1275" w:type="dxa"/>
          </w:tcPr>
          <w:p w14:paraId="752DD2DA" w14:textId="77777777" w:rsidR="009D33A8" w:rsidRDefault="009D33A8">
            <w:pPr>
              <w:cnfStyle w:val="000000000000" w:firstRow="0" w:lastRow="0" w:firstColumn="0" w:lastColumn="0" w:oddVBand="0" w:evenVBand="0" w:oddHBand="0" w:evenHBand="0" w:firstRowFirstColumn="0" w:firstRowLastColumn="0" w:lastRowFirstColumn="0" w:lastRowLastColumn="0"/>
            </w:pPr>
            <w:r>
              <w:t>57 797</w:t>
            </w:r>
          </w:p>
        </w:tc>
      </w:tr>
      <w:tr w:rsidR="009D33A8" w14:paraId="59AB51A6" w14:textId="77777777">
        <w:tc>
          <w:tcPr>
            <w:cnfStyle w:val="001000000000" w:firstRow="0" w:lastRow="0" w:firstColumn="1" w:lastColumn="0" w:oddVBand="0" w:evenVBand="0" w:oddHBand="0" w:evenHBand="0" w:firstRowFirstColumn="0" w:firstRowLastColumn="0" w:lastRowFirstColumn="0" w:lastRowLastColumn="0"/>
            <w:tcW w:w="7088" w:type="dxa"/>
            <w:tcBorders>
              <w:bottom w:val="single" w:sz="6" w:space="0" w:color="auto"/>
            </w:tcBorders>
          </w:tcPr>
          <w:p w14:paraId="42223DF2" w14:textId="77777777" w:rsidR="009D33A8" w:rsidRDefault="009D33A8">
            <w:r>
              <w:t>Courts</w:t>
            </w:r>
          </w:p>
        </w:tc>
        <w:tc>
          <w:tcPr>
            <w:tcW w:w="1275" w:type="dxa"/>
            <w:tcBorders>
              <w:bottom w:val="single" w:sz="6" w:space="0" w:color="auto"/>
            </w:tcBorders>
          </w:tcPr>
          <w:p w14:paraId="36AF34C5" w14:textId="77777777" w:rsidR="009D33A8" w:rsidRDefault="009D33A8">
            <w:pPr>
              <w:cnfStyle w:val="000000000000" w:firstRow="0" w:lastRow="0" w:firstColumn="0" w:lastColumn="0" w:oddVBand="0" w:evenVBand="0" w:oddHBand="0" w:evenHBand="0" w:firstRowFirstColumn="0" w:firstRowLastColumn="0" w:lastRowFirstColumn="0" w:lastRowLastColumn="0"/>
            </w:pPr>
            <w:r>
              <w:t>267 533</w:t>
            </w:r>
          </w:p>
        </w:tc>
        <w:tc>
          <w:tcPr>
            <w:tcW w:w="1275" w:type="dxa"/>
            <w:tcBorders>
              <w:bottom w:val="single" w:sz="6" w:space="0" w:color="auto"/>
            </w:tcBorders>
          </w:tcPr>
          <w:p w14:paraId="7A884AD2" w14:textId="77777777" w:rsidR="009D33A8" w:rsidRDefault="009D33A8">
            <w:pPr>
              <w:cnfStyle w:val="000000000000" w:firstRow="0" w:lastRow="0" w:firstColumn="0" w:lastColumn="0" w:oddVBand="0" w:evenVBand="0" w:oddHBand="0" w:evenHBand="0" w:firstRowFirstColumn="0" w:firstRowLastColumn="0" w:lastRowFirstColumn="0" w:lastRowLastColumn="0"/>
            </w:pPr>
            <w:r>
              <w:t>293 296</w:t>
            </w:r>
          </w:p>
        </w:tc>
      </w:tr>
      <w:tr w:rsidR="009D33A8" w14:paraId="1A8AEC3B" w14:textId="77777777">
        <w:tc>
          <w:tcPr>
            <w:cnfStyle w:val="001000000000" w:firstRow="0" w:lastRow="0" w:firstColumn="1" w:lastColumn="0" w:oddVBand="0" w:evenVBand="0" w:oddHBand="0" w:evenHBand="0" w:firstRowFirstColumn="0" w:firstRowLastColumn="0" w:lastRowFirstColumn="0" w:lastRowLastColumn="0"/>
            <w:tcW w:w="7088" w:type="dxa"/>
            <w:tcBorders>
              <w:top w:val="single" w:sz="6" w:space="0" w:color="auto"/>
              <w:bottom w:val="single" w:sz="12" w:space="0" w:color="auto"/>
            </w:tcBorders>
          </w:tcPr>
          <w:p w14:paraId="1C6834C8" w14:textId="77777777" w:rsidR="009D33A8" w:rsidRDefault="009D33A8">
            <w:r>
              <w:rPr>
                <w:b/>
              </w:rPr>
              <w:t>Total special appropriations</w:t>
            </w:r>
            <w:r>
              <w:rPr>
                <w:b/>
                <w:vertAlign w:val="superscript"/>
              </w:rPr>
              <w:t xml:space="preserve"> (a)</w:t>
            </w:r>
          </w:p>
        </w:tc>
        <w:tc>
          <w:tcPr>
            <w:tcW w:w="1275" w:type="dxa"/>
            <w:tcBorders>
              <w:top w:val="single" w:sz="6" w:space="0" w:color="auto"/>
              <w:bottom w:val="single" w:sz="12" w:space="0" w:color="auto"/>
            </w:tcBorders>
          </w:tcPr>
          <w:p w14:paraId="64BDB09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6 495 584</w:t>
            </w:r>
          </w:p>
        </w:tc>
        <w:tc>
          <w:tcPr>
            <w:tcW w:w="1275" w:type="dxa"/>
            <w:tcBorders>
              <w:top w:val="single" w:sz="6" w:space="0" w:color="auto"/>
              <w:bottom w:val="single" w:sz="12" w:space="0" w:color="auto"/>
            </w:tcBorders>
          </w:tcPr>
          <w:p w14:paraId="5C2BE20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13 615 968</w:t>
            </w:r>
          </w:p>
        </w:tc>
      </w:tr>
    </w:tbl>
    <w:p w14:paraId="5E95440F" w14:textId="77777777" w:rsidR="009D33A8" w:rsidRPr="00790B81" w:rsidRDefault="009D33A8" w:rsidP="009D33A8">
      <w:pPr>
        <w:pStyle w:val="Note"/>
      </w:pPr>
      <w:r w:rsidRPr="00790B81">
        <w:t>Note</w:t>
      </w:r>
      <w:r>
        <w:t>s</w:t>
      </w:r>
      <w:r w:rsidRPr="00790B81">
        <w:t>:</w:t>
      </w:r>
    </w:p>
    <w:p w14:paraId="1F60EF3C" w14:textId="77777777" w:rsidR="009D33A8" w:rsidRPr="007F52D7" w:rsidRDefault="009D33A8" w:rsidP="009D33A8">
      <w:pPr>
        <w:pStyle w:val="Note"/>
      </w:pPr>
      <w:r>
        <w:t>(a)</w:t>
      </w:r>
      <w:r>
        <w:tab/>
        <w:t>The 2024 figures have been restated to reflect more current information.</w:t>
      </w:r>
    </w:p>
    <w:p w14:paraId="64C686F8" w14:textId="77777777" w:rsidR="009D33A8" w:rsidRPr="007F52D7" w:rsidRDefault="009D33A8" w:rsidP="009D33A8">
      <w:pPr>
        <w:pStyle w:val="Note"/>
      </w:pPr>
      <w:r>
        <w:t>(b)</w:t>
      </w:r>
      <w:r>
        <w:tab/>
        <w:t xml:space="preserve">Following the proclamation of the </w:t>
      </w:r>
      <w:r w:rsidRPr="00D6732B">
        <w:rPr>
          <w:i w:val="0"/>
          <w:iCs/>
        </w:rPr>
        <w:t>Victorian Future Fund Act 2023</w:t>
      </w:r>
      <w:r>
        <w:rPr>
          <w:i w:val="0"/>
          <w:iCs/>
        </w:rPr>
        <w:t xml:space="preserve">, </w:t>
      </w:r>
      <w:r w:rsidRPr="00D6732B">
        <w:t>amounts allocated to the Fund were transferred from the Consolidated Fund to the Trust Fund in 2023-24, consistent with the requirements of Section 8 (1)(a)(i) of th</w:t>
      </w:r>
      <w:r>
        <w:t>is</w:t>
      </w:r>
      <w:r w:rsidRPr="00D6732B">
        <w:t xml:space="preserve"> Act.</w:t>
      </w:r>
    </w:p>
    <w:p w14:paraId="2F34BE72" w14:textId="77777777" w:rsidR="009D33A8" w:rsidRPr="00185C6B" w:rsidRDefault="009D33A8" w:rsidP="009D33A8"/>
    <w:p w14:paraId="157AF9E7" w14:textId="77777777" w:rsidR="009D33A8" w:rsidRDefault="009D33A8" w:rsidP="009D33A8">
      <w:pPr>
        <w:rPr>
          <w:rFonts w:eastAsiaTheme="majorEastAsia" w:cstheme="majorBidi"/>
          <w:bCs/>
          <w:spacing w:val="-2"/>
          <w:sz w:val="23"/>
          <w:szCs w:val="26"/>
        </w:rPr>
      </w:pPr>
      <w:bookmarkStart w:id="155" w:name="_Toc462418835"/>
      <w:r>
        <w:br w:type="page"/>
      </w:r>
    </w:p>
    <w:p w14:paraId="29D1C845" w14:textId="77777777" w:rsidR="009D33A8" w:rsidRDefault="009D33A8" w:rsidP="009D33A8">
      <w:pPr>
        <w:pStyle w:val="Heading3"/>
      </w:pPr>
      <w:bookmarkStart w:id="156" w:name="_Toc114670297"/>
      <w:bookmarkStart w:id="157" w:name="_Toc209479924"/>
      <w:r>
        <w:lastRenderedPageBreak/>
        <w:t>7.2.8</w:t>
      </w:r>
      <w:r>
        <w:tab/>
      </w:r>
      <w:r w:rsidRPr="007B2989">
        <w:t>Consolidated Fund payments: Annual appropriation</w:t>
      </w:r>
      <w:r w:rsidRPr="00F675C3">
        <w:t>s</w:t>
      </w:r>
      <w:r>
        <w:tab/>
      </w:r>
      <w:r w:rsidRPr="004269AE">
        <w:rPr>
          <w:sz w:val="20"/>
          <w:szCs w:val="20"/>
        </w:rPr>
        <w:t>($ thousand)</w:t>
      </w:r>
      <w:bookmarkEnd w:id="155"/>
      <w:bookmarkEnd w:id="156"/>
      <w:bookmarkEnd w:id="157"/>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payments_annual_approp_CY"/>
      </w:tblPr>
      <w:tblGrid>
        <w:gridCol w:w="4395"/>
        <w:gridCol w:w="1134"/>
        <w:gridCol w:w="1559"/>
        <w:gridCol w:w="1417"/>
        <w:gridCol w:w="1133"/>
      </w:tblGrid>
      <w:tr w:rsidR="00991200" w14:paraId="4C99DC6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6FFCBF21" w14:textId="77777777" w:rsidR="009D33A8" w:rsidRDefault="009D33A8">
            <w:pPr>
              <w:keepNext/>
            </w:pPr>
            <w:r>
              <w:t>2025</w:t>
            </w:r>
          </w:p>
        </w:tc>
        <w:tc>
          <w:tcPr>
            <w:tcW w:w="1134" w:type="dxa"/>
            <w:tcBorders>
              <w:bottom w:val="single" w:sz="6" w:space="0" w:color="auto"/>
            </w:tcBorders>
          </w:tcPr>
          <w:p w14:paraId="4E3D3A71"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Provision</w:t>
            </w:r>
            <w:r>
              <w:br/>
              <w:t xml:space="preserve"> of outputs</w:t>
            </w:r>
          </w:p>
        </w:tc>
        <w:tc>
          <w:tcPr>
            <w:tcW w:w="1559" w:type="dxa"/>
            <w:tcBorders>
              <w:bottom w:val="single" w:sz="6" w:space="0" w:color="auto"/>
            </w:tcBorders>
          </w:tcPr>
          <w:p w14:paraId="1DF7D8C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Additions to </w:t>
            </w:r>
            <w:r>
              <w:br/>
              <w:t>net asset base</w:t>
            </w:r>
          </w:p>
        </w:tc>
        <w:tc>
          <w:tcPr>
            <w:tcW w:w="1417" w:type="dxa"/>
            <w:tcBorders>
              <w:bottom w:val="single" w:sz="6" w:space="0" w:color="auto"/>
            </w:tcBorders>
          </w:tcPr>
          <w:p w14:paraId="4844B21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Payments</w:t>
            </w:r>
            <w:r>
              <w:br/>
              <w:t xml:space="preserve"> made on behalf </w:t>
            </w:r>
            <w:r>
              <w:br/>
              <w:t>of the State</w:t>
            </w:r>
          </w:p>
        </w:tc>
        <w:tc>
          <w:tcPr>
            <w:tcW w:w="1133" w:type="dxa"/>
            <w:tcBorders>
              <w:bottom w:val="single" w:sz="6" w:space="0" w:color="auto"/>
            </w:tcBorders>
          </w:tcPr>
          <w:p w14:paraId="0E7228F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Total</w:t>
            </w:r>
          </w:p>
        </w:tc>
      </w:tr>
      <w:tr w:rsidR="009D33A8" w14:paraId="64DD38B1"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45A83082" w14:textId="77777777" w:rsidR="009D33A8" w:rsidRDefault="009D33A8">
            <w:r>
              <w:t>Education</w:t>
            </w:r>
          </w:p>
        </w:tc>
        <w:tc>
          <w:tcPr>
            <w:tcW w:w="1134" w:type="dxa"/>
            <w:tcBorders>
              <w:top w:val="single" w:sz="6" w:space="0" w:color="auto"/>
            </w:tcBorders>
          </w:tcPr>
          <w:p w14:paraId="6059B8B3" w14:textId="77777777" w:rsidR="009D33A8" w:rsidRDefault="009D33A8">
            <w:pPr>
              <w:cnfStyle w:val="000000000000" w:firstRow="0" w:lastRow="0" w:firstColumn="0" w:lastColumn="0" w:oddVBand="0" w:evenVBand="0" w:oddHBand="0" w:evenHBand="0" w:firstRowFirstColumn="0" w:firstRowLastColumn="0" w:lastRowFirstColumn="0" w:lastRowLastColumn="0"/>
            </w:pPr>
            <w:r>
              <w:t>16 090 083</w:t>
            </w:r>
          </w:p>
        </w:tc>
        <w:tc>
          <w:tcPr>
            <w:tcW w:w="1559" w:type="dxa"/>
            <w:tcBorders>
              <w:top w:val="single" w:sz="6" w:space="0" w:color="auto"/>
            </w:tcBorders>
          </w:tcPr>
          <w:p w14:paraId="6D0FA42F" w14:textId="77777777" w:rsidR="009D33A8" w:rsidRDefault="009D33A8">
            <w:pPr>
              <w:cnfStyle w:val="000000000000" w:firstRow="0" w:lastRow="0" w:firstColumn="0" w:lastColumn="0" w:oddVBand="0" w:evenVBand="0" w:oddHBand="0" w:evenHBand="0" w:firstRowFirstColumn="0" w:firstRowLastColumn="0" w:lastRowFirstColumn="0" w:lastRowLastColumn="0"/>
            </w:pPr>
            <w:r>
              <w:t>1 046 812</w:t>
            </w:r>
          </w:p>
        </w:tc>
        <w:tc>
          <w:tcPr>
            <w:tcW w:w="1417" w:type="dxa"/>
            <w:tcBorders>
              <w:top w:val="single" w:sz="6" w:space="0" w:color="auto"/>
            </w:tcBorders>
          </w:tcPr>
          <w:p w14:paraId="0C1A944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72B6AB79" w14:textId="77777777" w:rsidR="009D33A8" w:rsidRDefault="009D33A8">
            <w:pPr>
              <w:cnfStyle w:val="000000000000" w:firstRow="0" w:lastRow="0" w:firstColumn="0" w:lastColumn="0" w:oddVBand="0" w:evenVBand="0" w:oddHBand="0" w:evenHBand="0" w:firstRowFirstColumn="0" w:firstRowLastColumn="0" w:lastRowFirstColumn="0" w:lastRowLastColumn="0"/>
            </w:pPr>
            <w:r>
              <w:t>17 136 896</w:t>
            </w:r>
          </w:p>
        </w:tc>
      </w:tr>
      <w:tr w:rsidR="009D33A8" w14:paraId="0D50699D" w14:textId="77777777">
        <w:tc>
          <w:tcPr>
            <w:cnfStyle w:val="001000000000" w:firstRow="0" w:lastRow="0" w:firstColumn="1" w:lastColumn="0" w:oddVBand="0" w:evenVBand="0" w:oddHBand="0" w:evenHBand="0" w:firstRowFirstColumn="0" w:firstRowLastColumn="0" w:lastRowFirstColumn="0" w:lastRowLastColumn="0"/>
            <w:tcW w:w="4395" w:type="dxa"/>
          </w:tcPr>
          <w:p w14:paraId="15D4C255" w14:textId="77777777" w:rsidR="009D33A8" w:rsidRDefault="009D33A8">
            <w:r>
              <w:t>Energy, Environment and Climate Action</w:t>
            </w:r>
          </w:p>
        </w:tc>
        <w:tc>
          <w:tcPr>
            <w:tcW w:w="1134" w:type="dxa"/>
          </w:tcPr>
          <w:p w14:paraId="1E2FFD2A" w14:textId="77777777" w:rsidR="009D33A8" w:rsidRDefault="009D33A8">
            <w:pPr>
              <w:cnfStyle w:val="000000000000" w:firstRow="0" w:lastRow="0" w:firstColumn="0" w:lastColumn="0" w:oddVBand="0" w:evenVBand="0" w:oddHBand="0" w:evenHBand="0" w:firstRowFirstColumn="0" w:firstRowLastColumn="0" w:lastRowFirstColumn="0" w:lastRowLastColumn="0"/>
            </w:pPr>
            <w:r>
              <w:t>1 569 949</w:t>
            </w:r>
          </w:p>
        </w:tc>
        <w:tc>
          <w:tcPr>
            <w:tcW w:w="1559" w:type="dxa"/>
          </w:tcPr>
          <w:p w14:paraId="320FF645" w14:textId="77777777" w:rsidR="009D33A8" w:rsidRDefault="009D33A8">
            <w:pPr>
              <w:cnfStyle w:val="000000000000" w:firstRow="0" w:lastRow="0" w:firstColumn="0" w:lastColumn="0" w:oddVBand="0" w:evenVBand="0" w:oddHBand="0" w:evenHBand="0" w:firstRowFirstColumn="0" w:firstRowLastColumn="0" w:lastRowFirstColumn="0" w:lastRowLastColumn="0"/>
            </w:pPr>
            <w:r>
              <w:t>199 028</w:t>
            </w:r>
          </w:p>
        </w:tc>
        <w:tc>
          <w:tcPr>
            <w:tcW w:w="1417" w:type="dxa"/>
          </w:tcPr>
          <w:p w14:paraId="29678FE2" w14:textId="77777777" w:rsidR="009D33A8" w:rsidRDefault="009D33A8">
            <w:pPr>
              <w:cnfStyle w:val="000000000000" w:firstRow="0" w:lastRow="0" w:firstColumn="0" w:lastColumn="0" w:oddVBand="0" w:evenVBand="0" w:oddHBand="0" w:evenHBand="0" w:firstRowFirstColumn="0" w:firstRowLastColumn="0" w:lastRowFirstColumn="0" w:lastRowLastColumn="0"/>
            </w:pPr>
            <w:r>
              <w:t>615 921</w:t>
            </w:r>
          </w:p>
        </w:tc>
        <w:tc>
          <w:tcPr>
            <w:tcW w:w="1133" w:type="dxa"/>
          </w:tcPr>
          <w:p w14:paraId="05078A47" w14:textId="77777777" w:rsidR="009D33A8" w:rsidRDefault="009D33A8">
            <w:pPr>
              <w:cnfStyle w:val="000000000000" w:firstRow="0" w:lastRow="0" w:firstColumn="0" w:lastColumn="0" w:oddVBand="0" w:evenVBand="0" w:oddHBand="0" w:evenHBand="0" w:firstRowFirstColumn="0" w:firstRowLastColumn="0" w:lastRowFirstColumn="0" w:lastRowLastColumn="0"/>
            </w:pPr>
            <w:r>
              <w:t>2 384 899</w:t>
            </w:r>
          </w:p>
        </w:tc>
      </w:tr>
      <w:tr w:rsidR="009D33A8" w14:paraId="4A685977" w14:textId="77777777">
        <w:tc>
          <w:tcPr>
            <w:cnfStyle w:val="001000000000" w:firstRow="0" w:lastRow="0" w:firstColumn="1" w:lastColumn="0" w:oddVBand="0" w:evenVBand="0" w:oddHBand="0" w:evenHBand="0" w:firstRowFirstColumn="0" w:firstRowLastColumn="0" w:lastRowFirstColumn="0" w:lastRowLastColumn="0"/>
            <w:tcW w:w="4395" w:type="dxa"/>
          </w:tcPr>
          <w:p w14:paraId="60F058C4" w14:textId="77777777" w:rsidR="009D33A8" w:rsidRDefault="009D33A8">
            <w:r>
              <w:t>Families, Fairness and Housing</w:t>
            </w:r>
          </w:p>
        </w:tc>
        <w:tc>
          <w:tcPr>
            <w:tcW w:w="1134" w:type="dxa"/>
          </w:tcPr>
          <w:p w14:paraId="7F8A41E6" w14:textId="77777777" w:rsidR="009D33A8" w:rsidRDefault="009D33A8">
            <w:pPr>
              <w:cnfStyle w:val="000000000000" w:firstRow="0" w:lastRow="0" w:firstColumn="0" w:lastColumn="0" w:oddVBand="0" w:evenVBand="0" w:oddHBand="0" w:evenHBand="0" w:firstRowFirstColumn="0" w:firstRowLastColumn="0" w:lastRowFirstColumn="0" w:lastRowLastColumn="0"/>
            </w:pPr>
            <w:r>
              <w:t>4 487 480</w:t>
            </w:r>
          </w:p>
        </w:tc>
        <w:tc>
          <w:tcPr>
            <w:tcW w:w="1559" w:type="dxa"/>
          </w:tcPr>
          <w:p w14:paraId="760F0791" w14:textId="77777777" w:rsidR="009D33A8" w:rsidRDefault="009D33A8">
            <w:pPr>
              <w:cnfStyle w:val="000000000000" w:firstRow="0" w:lastRow="0" w:firstColumn="0" w:lastColumn="0" w:oddVBand="0" w:evenVBand="0" w:oddHBand="0" w:evenHBand="0" w:firstRowFirstColumn="0" w:firstRowLastColumn="0" w:lastRowFirstColumn="0" w:lastRowLastColumn="0"/>
            </w:pPr>
            <w:r>
              <w:t>454 102</w:t>
            </w:r>
          </w:p>
        </w:tc>
        <w:tc>
          <w:tcPr>
            <w:tcW w:w="1417" w:type="dxa"/>
          </w:tcPr>
          <w:p w14:paraId="39A23EFC" w14:textId="77777777" w:rsidR="009D33A8" w:rsidRDefault="009D33A8">
            <w:pPr>
              <w:cnfStyle w:val="000000000000" w:firstRow="0" w:lastRow="0" w:firstColumn="0" w:lastColumn="0" w:oddVBand="0" w:evenVBand="0" w:oddHBand="0" w:evenHBand="0" w:firstRowFirstColumn="0" w:firstRowLastColumn="0" w:lastRowFirstColumn="0" w:lastRowLastColumn="0"/>
            </w:pPr>
            <w:r>
              <w:t>2 964 630</w:t>
            </w:r>
          </w:p>
        </w:tc>
        <w:tc>
          <w:tcPr>
            <w:tcW w:w="1133" w:type="dxa"/>
          </w:tcPr>
          <w:p w14:paraId="20572663" w14:textId="77777777" w:rsidR="009D33A8" w:rsidRDefault="009D33A8">
            <w:pPr>
              <w:cnfStyle w:val="000000000000" w:firstRow="0" w:lastRow="0" w:firstColumn="0" w:lastColumn="0" w:oddVBand="0" w:evenVBand="0" w:oddHBand="0" w:evenHBand="0" w:firstRowFirstColumn="0" w:firstRowLastColumn="0" w:lastRowFirstColumn="0" w:lastRowLastColumn="0"/>
            </w:pPr>
            <w:r>
              <w:t>7 906 213</w:t>
            </w:r>
          </w:p>
        </w:tc>
      </w:tr>
      <w:tr w:rsidR="009D33A8" w14:paraId="2BF4A674" w14:textId="77777777">
        <w:tc>
          <w:tcPr>
            <w:cnfStyle w:val="001000000000" w:firstRow="0" w:lastRow="0" w:firstColumn="1" w:lastColumn="0" w:oddVBand="0" w:evenVBand="0" w:oddHBand="0" w:evenHBand="0" w:firstRowFirstColumn="0" w:firstRowLastColumn="0" w:lastRowFirstColumn="0" w:lastRowLastColumn="0"/>
            <w:tcW w:w="4395" w:type="dxa"/>
          </w:tcPr>
          <w:p w14:paraId="203CF83C" w14:textId="77777777" w:rsidR="009D33A8" w:rsidRDefault="009D33A8">
            <w:r>
              <w:t>Government Services</w:t>
            </w:r>
          </w:p>
        </w:tc>
        <w:tc>
          <w:tcPr>
            <w:tcW w:w="1134" w:type="dxa"/>
          </w:tcPr>
          <w:p w14:paraId="5E0BCCA5" w14:textId="77777777" w:rsidR="009D33A8" w:rsidRDefault="009D33A8">
            <w:pPr>
              <w:cnfStyle w:val="000000000000" w:firstRow="0" w:lastRow="0" w:firstColumn="0" w:lastColumn="0" w:oddVBand="0" w:evenVBand="0" w:oddHBand="0" w:evenHBand="0" w:firstRowFirstColumn="0" w:firstRowLastColumn="0" w:lastRowFirstColumn="0" w:lastRowLastColumn="0"/>
            </w:pPr>
            <w:r>
              <w:t>324 804</w:t>
            </w:r>
          </w:p>
        </w:tc>
        <w:tc>
          <w:tcPr>
            <w:tcW w:w="1559" w:type="dxa"/>
          </w:tcPr>
          <w:p w14:paraId="05B6AE4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4C48DFE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2C2F318" w14:textId="77777777" w:rsidR="009D33A8" w:rsidRDefault="009D33A8">
            <w:pPr>
              <w:cnfStyle w:val="000000000000" w:firstRow="0" w:lastRow="0" w:firstColumn="0" w:lastColumn="0" w:oddVBand="0" w:evenVBand="0" w:oddHBand="0" w:evenHBand="0" w:firstRowFirstColumn="0" w:firstRowLastColumn="0" w:lastRowFirstColumn="0" w:lastRowLastColumn="0"/>
            </w:pPr>
            <w:r>
              <w:t>324 804</w:t>
            </w:r>
          </w:p>
        </w:tc>
      </w:tr>
      <w:tr w:rsidR="009D33A8" w14:paraId="0F1CEFD4" w14:textId="77777777">
        <w:tc>
          <w:tcPr>
            <w:cnfStyle w:val="001000000000" w:firstRow="0" w:lastRow="0" w:firstColumn="1" w:lastColumn="0" w:oddVBand="0" w:evenVBand="0" w:oddHBand="0" w:evenHBand="0" w:firstRowFirstColumn="0" w:firstRowLastColumn="0" w:lastRowFirstColumn="0" w:lastRowLastColumn="0"/>
            <w:tcW w:w="4395" w:type="dxa"/>
          </w:tcPr>
          <w:p w14:paraId="63A27599" w14:textId="77777777" w:rsidR="009D33A8" w:rsidRDefault="009D33A8">
            <w:r>
              <w:t>Health</w:t>
            </w:r>
          </w:p>
        </w:tc>
        <w:tc>
          <w:tcPr>
            <w:tcW w:w="1134" w:type="dxa"/>
          </w:tcPr>
          <w:p w14:paraId="6A865708" w14:textId="77777777" w:rsidR="009D33A8" w:rsidRDefault="009D33A8">
            <w:pPr>
              <w:cnfStyle w:val="000000000000" w:firstRow="0" w:lastRow="0" w:firstColumn="0" w:lastColumn="0" w:oddVBand="0" w:evenVBand="0" w:oddHBand="0" w:evenHBand="0" w:firstRowFirstColumn="0" w:firstRowLastColumn="0" w:lastRowFirstColumn="0" w:lastRowLastColumn="0"/>
            </w:pPr>
            <w:r>
              <w:t>12 477 344</w:t>
            </w:r>
          </w:p>
        </w:tc>
        <w:tc>
          <w:tcPr>
            <w:tcW w:w="1559" w:type="dxa"/>
          </w:tcPr>
          <w:p w14:paraId="3EC5AFB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40F1CE5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7861D40" w14:textId="77777777" w:rsidR="009D33A8" w:rsidRDefault="009D33A8">
            <w:pPr>
              <w:cnfStyle w:val="000000000000" w:firstRow="0" w:lastRow="0" w:firstColumn="0" w:lastColumn="0" w:oddVBand="0" w:evenVBand="0" w:oddHBand="0" w:evenHBand="0" w:firstRowFirstColumn="0" w:firstRowLastColumn="0" w:lastRowFirstColumn="0" w:lastRowLastColumn="0"/>
            </w:pPr>
            <w:r>
              <w:t>12 477 344</w:t>
            </w:r>
          </w:p>
        </w:tc>
      </w:tr>
      <w:tr w:rsidR="009D33A8" w14:paraId="14B24F56" w14:textId="77777777">
        <w:tc>
          <w:tcPr>
            <w:cnfStyle w:val="001000000000" w:firstRow="0" w:lastRow="0" w:firstColumn="1" w:lastColumn="0" w:oddVBand="0" w:evenVBand="0" w:oddHBand="0" w:evenHBand="0" w:firstRowFirstColumn="0" w:firstRowLastColumn="0" w:lastRowFirstColumn="0" w:lastRowLastColumn="0"/>
            <w:tcW w:w="4395" w:type="dxa"/>
          </w:tcPr>
          <w:p w14:paraId="642947BE" w14:textId="77777777" w:rsidR="009D33A8" w:rsidRDefault="009D33A8">
            <w:r>
              <w:t>Jobs, Skills, Industry and Regions</w:t>
            </w:r>
          </w:p>
        </w:tc>
        <w:tc>
          <w:tcPr>
            <w:tcW w:w="1134" w:type="dxa"/>
          </w:tcPr>
          <w:p w14:paraId="1EB238EA" w14:textId="77777777" w:rsidR="009D33A8" w:rsidRDefault="009D33A8">
            <w:pPr>
              <w:cnfStyle w:val="000000000000" w:firstRow="0" w:lastRow="0" w:firstColumn="0" w:lastColumn="0" w:oddVBand="0" w:evenVBand="0" w:oddHBand="0" w:evenHBand="0" w:firstRowFirstColumn="0" w:firstRowLastColumn="0" w:lastRowFirstColumn="0" w:lastRowLastColumn="0"/>
            </w:pPr>
            <w:r>
              <w:t>2 231 896</w:t>
            </w:r>
          </w:p>
        </w:tc>
        <w:tc>
          <w:tcPr>
            <w:tcW w:w="1559" w:type="dxa"/>
          </w:tcPr>
          <w:p w14:paraId="363E2A4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09E87AE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6C0921E" w14:textId="77777777" w:rsidR="009D33A8" w:rsidRDefault="009D33A8">
            <w:pPr>
              <w:cnfStyle w:val="000000000000" w:firstRow="0" w:lastRow="0" w:firstColumn="0" w:lastColumn="0" w:oddVBand="0" w:evenVBand="0" w:oddHBand="0" w:evenHBand="0" w:firstRowFirstColumn="0" w:firstRowLastColumn="0" w:lastRowFirstColumn="0" w:lastRowLastColumn="0"/>
            </w:pPr>
            <w:r>
              <w:t>2 231 896</w:t>
            </w:r>
          </w:p>
        </w:tc>
      </w:tr>
      <w:tr w:rsidR="009D33A8" w14:paraId="03AAEBB2" w14:textId="77777777">
        <w:tc>
          <w:tcPr>
            <w:cnfStyle w:val="001000000000" w:firstRow="0" w:lastRow="0" w:firstColumn="1" w:lastColumn="0" w:oddVBand="0" w:evenVBand="0" w:oddHBand="0" w:evenHBand="0" w:firstRowFirstColumn="0" w:firstRowLastColumn="0" w:lastRowFirstColumn="0" w:lastRowLastColumn="0"/>
            <w:tcW w:w="4395" w:type="dxa"/>
          </w:tcPr>
          <w:p w14:paraId="179A3FD5" w14:textId="77777777" w:rsidR="009D33A8" w:rsidRDefault="009D33A8">
            <w:r>
              <w:t>Justice and Community Safety</w:t>
            </w:r>
          </w:p>
        </w:tc>
        <w:tc>
          <w:tcPr>
            <w:tcW w:w="1134" w:type="dxa"/>
          </w:tcPr>
          <w:p w14:paraId="138F7A97" w14:textId="77777777" w:rsidR="009D33A8" w:rsidRDefault="009D33A8">
            <w:pPr>
              <w:cnfStyle w:val="000000000000" w:firstRow="0" w:lastRow="0" w:firstColumn="0" w:lastColumn="0" w:oddVBand="0" w:evenVBand="0" w:oddHBand="0" w:evenHBand="0" w:firstRowFirstColumn="0" w:firstRowLastColumn="0" w:lastRowFirstColumn="0" w:lastRowLastColumn="0"/>
            </w:pPr>
            <w:r>
              <w:t>8 834 184</w:t>
            </w:r>
          </w:p>
        </w:tc>
        <w:tc>
          <w:tcPr>
            <w:tcW w:w="1559" w:type="dxa"/>
          </w:tcPr>
          <w:p w14:paraId="025EACC7" w14:textId="77777777" w:rsidR="009D33A8" w:rsidRDefault="009D33A8">
            <w:pPr>
              <w:cnfStyle w:val="000000000000" w:firstRow="0" w:lastRow="0" w:firstColumn="0" w:lastColumn="0" w:oddVBand="0" w:evenVBand="0" w:oddHBand="0" w:evenHBand="0" w:firstRowFirstColumn="0" w:firstRowLastColumn="0" w:lastRowFirstColumn="0" w:lastRowLastColumn="0"/>
            </w:pPr>
            <w:r>
              <w:t>67 746</w:t>
            </w:r>
          </w:p>
        </w:tc>
        <w:tc>
          <w:tcPr>
            <w:tcW w:w="1417" w:type="dxa"/>
          </w:tcPr>
          <w:p w14:paraId="0517116F" w14:textId="77777777" w:rsidR="009D33A8" w:rsidRDefault="009D33A8">
            <w:pPr>
              <w:cnfStyle w:val="000000000000" w:firstRow="0" w:lastRow="0" w:firstColumn="0" w:lastColumn="0" w:oddVBand="0" w:evenVBand="0" w:oddHBand="0" w:evenHBand="0" w:firstRowFirstColumn="0" w:firstRowLastColumn="0" w:lastRowFirstColumn="0" w:lastRowLastColumn="0"/>
            </w:pPr>
            <w:r>
              <w:t>57 558</w:t>
            </w:r>
          </w:p>
        </w:tc>
        <w:tc>
          <w:tcPr>
            <w:tcW w:w="1133" w:type="dxa"/>
          </w:tcPr>
          <w:p w14:paraId="61047936" w14:textId="77777777" w:rsidR="009D33A8" w:rsidRDefault="009D33A8">
            <w:pPr>
              <w:cnfStyle w:val="000000000000" w:firstRow="0" w:lastRow="0" w:firstColumn="0" w:lastColumn="0" w:oddVBand="0" w:evenVBand="0" w:oddHBand="0" w:evenHBand="0" w:firstRowFirstColumn="0" w:firstRowLastColumn="0" w:lastRowFirstColumn="0" w:lastRowLastColumn="0"/>
            </w:pPr>
            <w:r>
              <w:t>8 959 489</w:t>
            </w:r>
          </w:p>
        </w:tc>
      </w:tr>
      <w:tr w:rsidR="009D33A8" w14:paraId="36AF3360" w14:textId="77777777">
        <w:tc>
          <w:tcPr>
            <w:cnfStyle w:val="001000000000" w:firstRow="0" w:lastRow="0" w:firstColumn="1" w:lastColumn="0" w:oddVBand="0" w:evenVBand="0" w:oddHBand="0" w:evenHBand="0" w:firstRowFirstColumn="0" w:firstRowLastColumn="0" w:lastRowFirstColumn="0" w:lastRowLastColumn="0"/>
            <w:tcW w:w="4395" w:type="dxa"/>
          </w:tcPr>
          <w:p w14:paraId="4F20C31C" w14:textId="77777777" w:rsidR="009D33A8" w:rsidRDefault="009D33A8">
            <w:r>
              <w:t>Premier and Cabinet</w:t>
            </w:r>
          </w:p>
        </w:tc>
        <w:tc>
          <w:tcPr>
            <w:tcW w:w="1134" w:type="dxa"/>
          </w:tcPr>
          <w:p w14:paraId="36E9F2E6" w14:textId="77777777" w:rsidR="009D33A8" w:rsidRDefault="009D33A8">
            <w:pPr>
              <w:cnfStyle w:val="000000000000" w:firstRow="0" w:lastRow="0" w:firstColumn="0" w:lastColumn="0" w:oddVBand="0" w:evenVBand="0" w:oddHBand="0" w:evenHBand="0" w:firstRowFirstColumn="0" w:firstRowLastColumn="0" w:lastRowFirstColumn="0" w:lastRowLastColumn="0"/>
            </w:pPr>
            <w:r>
              <w:t>363 448</w:t>
            </w:r>
          </w:p>
        </w:tc>
        <w:tc>
          <w:tcPr>
            <w:tcW w:w="1559" w:type="dxa"/>
          </w:tcPr>
          <w:p w14:paraId="4818205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09DB20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CC46DA6" w14:textId="77777777" w:rsidR="009D33A8" w:rsidRDefault="009D33A8">
            <w:pPr>
              <w:cnfStyle w:val="000000000000" w:firstRow="0" w:lastRow="0" w:firstColumn="0" w:lastColumn="0" w:oddVBand="0" w:evenVBand="0" w:oddHBand="0" w:evenHBand="0" w:firstRowFirstColumn="0" w:firstRowLastColumn="0" w:lastRowFirstColumn="0" w:lastRowLastColumn="0"/>
            </w:pPr>
            <w:r>
              <w:t>363 448</w:t>
            </w:r>
          </w:p>
        </w:tc>
      </w:tr>
      <w:tr w:rsidR="009D33A8" w14:paraId="4DA74592" w14:textId="77777777">
        <w:tc>
          <w:tcPr>
            <w:cnfStyle w:val="001000000000" w:firstRow="0" w:lastRow="0" w:firstColumn="1" w:lastColumn="0" w:oddVBand="0" w:evenVBand="0" w:oddHBand="0" w:evenHBand="0" w:firstRowFirstColumn="0" w:firstRowLastColumn="0" w:lastRowFirstColumn="0" w:lastRowLastColumn="0"/>
            <w:tcW w:w="4395" w:type="dxa"/>
          </w:tcPr>
          <w:p w14:paraId="7A52BAF2" w14:textId="77777777" w:rsidR="009D33A8" w:rsidRDefault="009D33A8">
            <w:r>
              <w:t>Transport and Planning</w:t>
            </w:r>
          </w:p>
        </w:tc>
        <w:tc>
          <w:tcPr>
            <w:tcW w:w="1134" w:type="dxa"/>
          </w:tcPr>
          <w:p w14:paraId="52DAC448" w14:textId="77777777" w:rsidR="009D33A8" w:rsidRDefault="009D33A8">
            <w:pPr>
              <w:cnfStyle w:val="000000000000" w:firstRow="0" w:lastRow="0" w:firstColumn="0" w:lastColumn="0" w:oddVBand="0" w:evenVBand="0" w:oddHBand="0" w:evenHBand="0" w:firstRowFirstColumn="0" w:firstRowLastColumn="0" w:lastRowFirstColumn="0" w:lastRowLastColumn="0"/>
            </w:pPr>
            <w:r>
              <w:t>5 281 433</w:t>
            </w:r>
          </w:p>
        </w:tc>
        <w:tc>
          <w:tcPr>
            <w:tcW w:w="1559" w:type="dxa"/>
          </w:tcPr>
          <w:p w14:paraId="2DA8ED6D" w14:textId="77777777" w:rsidR="009D33A8" w:rsidRDefault="009D33A8">
            <w:pPr>
              <w:cnfStyle w:val="000000000000" w:firstRow="0" w:lastRow="0" w:firstColumn="0" w:lastColumn="0" w:oddVBand="0" w:evenVBand="0" w:oddHBand="0" w:evenHBand="0" w:firstRowFirstColumn="0" w:firstRowLastColumn="0" w:lastRowFirstColumn="0" w:lastRowLastColumn="0"/>
            </w:pPr>
            <w:r>
              <w:t>8 022 159</w:t>
            </w:r>
          </w:p>
        </w:tc>
        <w:tc>
          <w:tcPr>
            <w:tcW w:w="1417" w:type="dxa"/>
          </w:tcPr>
          <w:p w14:paraId="44A93E52" w14:textId="77777777" w:rsidR="009D33A8" w:rsidRDefault="009D33A8">
            <w:pPr>
              <w:cnfStyle w:val="000000000000" w:firstRow="0" w:lastRow="0" w:firstColumn="0" w:lastColumn="0" w:oddVBand="0" w:evenVBand="0" w:oddHBand="0" w:evenHBand="0" w:firstRowFirstColumn="0" w:firstRowLastColumn="0" w:lastRowFirstColumn="0" w:lastRowLastColumn="0"/>
            </w:pPr>
            <w:r>
              <w:t>124 601</w:t>
            </w:r>
          </w:p>
        </w:tc>
        <w:tc>
          <w:tcPr>
            <w:tcW w:w="1133" w:type="dxa"/>
          </w:tcPr>
          <w:p w14:paraId="2BC8B3D2" w14:textId="77777777" w:rsidR="009D33A8" w:rsidRDefault="009D33A8">
            <w:pPr>
              <w:cnfStyle w:val="000000000000" w:firstRow="0" w:lastRow="0" w:firstColumn="0" w:lastColumn="0" w:oddVBand="0" w:evenVBand="0" w:oddHBand="0" w:evenHBand="0" w:firstRowFirstColumn="0" w:firstRowLastColumn="0" w:lastRowFirstColumn="0" w:lastRowLastColumn="0"/>
            </w:pPr>
            <w:r>
              <w:t>13 428 193</w:t>
            </w:r>
          </w:p>
        </w:tc>
      </w:tr>
      <w:tr w:rsidR="009D33A8" w14:paraId="5792A427" w14:textId="77777777">
        <w:tc>
          <w:tcPr>
            <w:cnfStyle w:val="001000000000" w:firstRow="0" w:lastRow="0" w:firstColumn="1" w:lastColumn="0" w:oddVBand="0" w:evenVBand="0" w:oddHBand="0" w:evenHBand="0" w:firstRowFirstColumn="0" w:firstRowLastColumn="0" w:lastRowFirstColumn="0" w:lastRowLastColumn="0"/>
            <w:tcW w:w="4395" w:type="dxa"/>
          </w:tcPr>
          <w:p w14:paraId="2524DA6B" w14:textId="77777777" w:rsidR="009D33A8" w:rsidRDefault="009D33A8">
            <w:r>
              <w:t>Treasury and Finance</w:t>
            </w:r>
          </w:p>
        </w:tc>
        <w:tc>
          <w:tcPr>
            <w:tcW w:w="1134" w:type="dxa"/>
          </w:tcPr>
          <w:p w14:paraId="11DBEF53" w14:textId="77777777" w:rsidR="009D33A8" w:rsidRDefault="009D33A8">
            <w:pPr>
              <w:cnfStyle w:val="000000000000" w:firstRow="0" w:lastRow="0" w:firstColumn="0" w:lastColumn="0" w:oddVBand="0" w:evenVBand="0" w:oddHBand="0" w:evenHBand="0" w:firstRowFirstColumn="0" w:firstRowLastColumn="0" w:lastRowFirstColumn="0" w:lastRowLastColumn="0"/>
            </w:pPr>
            <w:r>
              <w:t>392 549</w:t>
            </w:r>
          </w:p>
        </w:tc>
        <w:tc>
          <w:tcPr>
            <w:tcW w:w="1559" w:type="dxa"/>
          </w:tcPr>
          <w:p w14:paraId="3D78FC5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574C654" w14:textId="77777777" w:rsidR="009D33A8" w:rsidRDefault="009D33A8">
            <w:pPr>
              <w:cnfStyle w:val="000000000000" w:firstRow="0" w:lastRow="0" w:firstColumn="0" w:lastColumn="0" w:oddVBand="0" w:evenVBand="0" w:oddHBand="0" w:evenHBand="0" w:firstRowFirstColumn="0" w:firstRowLastColumn="0" w:lastRowFirstColumn="0" w:lastRowLastColumn="0"/>
            </w:pPr>
            <w:r>
              <w:t>7 050 550</w:t>
            </w:r>
          </w:p>
        </w:tc>
        <w:tc>
          <w:tcPr>
            <w:tcW w:w="1133" w:type="dxa"/>
          </w:tcPr>
          <w:p w14:paraId="4BE97DF9" w14:textId="77777777" w:rsidR="009D33A8" w:rsidRDefault="009D33A8">
            <w:pPr>
              <w:cnfStyle w:val="000000000000" w:firstRow="0" w:lastRow="0" w:firstColumn="0" w:lastColumn="0" w:oddVBand="0" w:evenVBand="0" w:oddHBand="0" w:evenHBand="0" w:firstRowFirstColumn="0" w:firstRowLastColumn="0" w:lastRowFirstColumn="0" w:lastRowLastColumn="0"/>
            </w:pPr>
            <w:r>
              <w:t>7 443 099</w:t>
            </w:r>
          </w:p>
        </w:tc>
      </w:tr>
      <w:tr w:rsidR="009D33A8" w14:paraId="148A0D6C" w14:textId="77777777">
        <w:tc>
          <w:tcPr>
            <w:cnfStyle w:val="001000000000" w:firstRow="0" w:lastRow="0" w:firstColumn="1" w:lastColumn="0" w:oddVBand="0" w:evenVBand="0" w:oddHBand="0" w:evenHBand="0" w:firstRowFirstColumn="0" w:firstRowLastColumn="0" w:lastRowFirstColumn="0" w:lastRowLastColumn="0"/>
            <w:tcW w:w="4395" w:type="dxa"/>
          </w:tcPr>
          <w:p w14:paraId="2FB05F2F" w14:textId="77777777" w:rsidR="009D33A8" w:rsidRDefault="009D33A8">
            <w:r>
              <w:t>Parliament</w:t>
            </w:r>
          </w:p>
        </w:tc>
        <w:tc>
          <w:tcPr>
            <w:tcW w:w="1134" w:type="dxa"/>
          </w:tcPr>
          <w:p w14:paraId="1C4060F3" w14:textId="77777777" w:rsidR="009D33A8" w:rsidRDefault="009D33A8">
            <w:pPr>
              <w:cnfStyle w:val="000000000000" w:firstRow="0" w:lastRow="0" w:firstColumn="0" w:lastColumn="0" w:oddVBand="0" w:evenVBand="0" w:oddHBand="0" w:evenHBand="0" w:firstRowFirstColumn="0" w:firstRowLastColumn="0" w:lastRowFirstColumn="0" w:lastRowLastColumn="0"/>
            </w:pPr>
            <w:r>
              <w:t>275 132</w:t>
            </w:r>
          </w:p>
        </w:tc>
        <w:tc>
          <w:tcPr>
            <w:tcW w:w="1559" w:type="dxa"/>
          </w:tcPr>
          <w:p w14:paraId="6CD3F9B4" w14:textId="77777777" w:rsidR="009D33A8" w:rsidRDefault="009D33A8">
            <w:pPr>
              <w:cnfStyle w:val="000000000000" w:firstRow="0" w:lastRow="0" w:firstColumn="0" w:lastColumn="0" w:oddVBand="0" w:evenVBand="0" w:oddHBand="0" w:evenHBand="0" w:firstRowFirstColumn="0" w:firstRowLastColumn="0" w:lastRowFirstColumn="0" w:lastRowLastColumn="0"/>
            </w:pPr>
            <w:r>
              <w:t>1 937</w:t>
            </w:r>
          </w:p>
        </w:tc>
        <w:tc>
          <w:tcPr>
            <w:tcW w:w="1417" w:type="dxa"/>
          </w:tcPr>
          <w:p w14:paraId="1B1F6DC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FC2F051" w14:textId="77777777" w:rsidR="009D33A8" w:rsidRDefault="009D33A8">
            <w:pPr>
              <w:cnfStyle w:val="000000000000" w:firstRow="0" w:lastRow="0" w:firstColumn="0" w:lastColumn="0" w:oddVBand="0" w:evenVBand="0" w:oddHBand="0" w:evenHBand="0" w:firstRowFirstColumn="0" w:firstRowLastColumn="0" w:lastRowFirstColumn="0" w:lastRowLastColumn="0"/>
            </w:pPr>
            <w:r>
              <w:t>277 069</w:t>
            </w:r>
          </w:p>
        </w:tc>
      </w:tr>
      <w:tr w:rsidR="009D33A8" w14:paraId="52B17E74"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0F31B257" w14:textId="77777777" w:rsidR="009D33A8" w:rsidRDefault="009D33A8">
            <w:r>
              <w:t>Courts</w:t>
            </w:r>
          </w:p>
        </w:tc>
        <w:tc>
          <w:tcPr>
            <w:tcW w:w="1134" w:type="dxa"/>
            <w:tcBorders>
              <w:bottom w:val="single" w:sz="6" w:space="0" w:color="auto"/>
            </w:tcBorders>
          </w:tcPr>
          <w:p w14:paraId="00937FBD" w14:textId="77777777" w:rsidR="009D33A8" w:rsidRDefault="009D33A8">
            <w:pPr>
              <w:cnfStyle w:val="000000000000" w:firstRow="0" w:lastRow="0" w:firstColumn="0" w:lastColumn="0" w:oddVBand="0" w:evenVBand="0" w:oddHBand="0" w:evenHBand="0" w:firstRowFirstColumn="0" w:firstRowLastColumn="0" w:lastRowFirstColumn="0" w:lastRowLastColumn="0"/>
            </w:pPr>
            <w:r>
              <w:t>475 151</w:t>
            </w:r>
          </w:p>
        </w:tc>
        <w:tc>
          <w:tcPr>
            <w:tcW w:w="1559" w:type="dxa"/>
            <w:tcBorders>
              <w:bottom w:val="single" w:sz="6" w:space="0" w:color="auto"/>
            </w:tcBorders>
          </w:tcPr>
          <w:p w14:paraId="359817C1" w14:textId="77777777" w:rsidR="009D33A8" w:rsidRDefault="009D33A8">
            <w:pPr>
              <w:cnfStyle w:val="000000000000" w:firstRow="0" w:lastRow="0" w:firstColumn="0" w:lastColumn="0" w:oddVBand="0" w:evenVBand="0" w:oddHBand="0" w:evenHBand="0" w:firstRowFirstColumn="0" w:firstRowLastColumn="0" w:lastRowFirstColumn="0" w:lastRowLastColumn="0"/>
            </w:pPr>
            <w:r>
              <w:t>100 249</w:t>
            </w:r>
          </w:p>
        </w:tc>
        <w:tc>
          <w:tcPr>
            <w:tcW w:w="1417" w:type="dxa"/>
            <w:tcBorders>
              <w:bottom w:val="single" w:sz="6" w:space="0" w:color="auto"/>
            </w:tcBorders>
          </w:tcPr>
          <w:p w14:paraId="26D4136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30F8C530" w14:textId="77777777" w:rsidR="009D33A8" w:rsidRDefault="009D33A8">
            <w:pPr>
              <w:cnfStyle w:val="000000000000" w:firstRow="0" w:lastRow="0" w:firstColumn="0" w:lastColumn="0" w:oddVBand="0" w:evenVBand="0" w:oddHBand="0" w:evenHBand="0" w:firstRowFirstColumn="0" w:firstRowLastColumn="0" w:lastRowFirstColumn="0" w:lastRowLastColumn="0"/>
            </w:pPr>
            <w:r>
              <w:t>575 400</w:t>
            </w:r>
          </w:p>
        </w:tc>
      </w:tr>
      <w:tr w:rsidR="009D33A8" w14:paraId="6A57F7CC"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7E4D14EF" w14:textId="77777777" w:rsidR="009D33A8" w:rsidRDefault="009D33A8">
            <w:r>
              <w:rPr>
                <w:b/>
              </w:rPr>
              <w:t>Total annual appropriations</w:t>
            </w:r>
          </w:p>
        </w:tc>
        <w:tc>
          <w:tcPr>
            <w:tcW w:w="1134" w:type="dxa"/>
            <w:tcBorders>
              <w:top w:val="single" w:sz="6" w:space="0" w:color="auto"/>
              <w:bottom w:val="single" w:sz="12" w:space="0" w:color="auto"/>
            </w:tcBorders>
          </w:tcPr>
          <w:p w14:paraId="6E290B2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52 803 454</w:t>
            </w:r>
          </w:p>
        </w:tc>
        <w:tc>
          <w:tcPr>
            <w:tcW w:w="1559" w:type="dxa"/>
            <w:tcBorders>
              <w:top w:val="single" w:sz="6" w:space="0" w:color="auto"/>
              <w:bottom w:val="single" w:sz="12" w:space="0" w:color="auto"/>
            </w:tcBorders>
          </w:tcPr>
          <w:p w14:paraId="379D105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9 892 034</w:t>
            </w:r>
          </w:p>
        </w:tc>
        <w:tc>
          <w:tcPr>
            <w:tcW w:w="1417" w:type="dxa"/>
            <w:tcBorders>
              <w:top w:val="single" w:sz="6" w:space="0" w:color="auto"/>
              <w:bottom w:val="single" w:sz="12" w:space="0" w:color="auto"/>
            </w:tcBorders>
          </w:tcPr>
          <w:p w14:paraId="1F8980C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10 813 262</w:t>
            </w:r>
          </w:p>
        </w:tc>
        <w:tc>
          <w:tcPr>
            <w:tcW w:w="1133" w:type="dxa"/>
            <w:tcBorders>
              <w:top w:val="single" w:sz="6" w:space="0" w:color="auto"/>
              <w:bottom w:val="single" w:sz="12" w:space="0" w:color="auto"/>
            </w:tcBorders>
          </w:tcPr>
          <w:p w14:paraId="791D0BB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73 508 749</w:t>
            </w:r>
          </w:p>
        </w:tc>
      </w:tr>
    </w:tbl>
    <w:p w14:paraId="4BCA387B" w14:textId="77777777" w:rsidR="009D33A8" w:rsidRDefault="009D33A8" w:rsidP="009D33A8"/>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Consolidated_fund_payments_annual_approp_PY"/>
      </w:tblPr>
      <w:tblGrid>
        <w:gridCol w:w="4395"/>
        <w:gridCol w:w="1134"/>
        <w:gridCol w:w="1559"/>
        <w:gridCol w:w="1417"/>
        <w:gridCol w:w="1133"/>
      </w:tblGrid>
      <w:tr w:rsidR="00991200" w14:paraId="336CEA1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6" w:space="0" w:color="auto"/>
            </w:tcBorders>
          </w:tcPr>
          <w:p w14:paraId="27E5ABB0" w14:textId="77777777" w:rsidR="009D33A8" w:rsidRDefault="009D33A8">
            <w:pPr>
              <w:keepNext/>
            </w:pPr>
            <w:r>
              <w:t>2024</w:t>
            </w:r>
          </w:p>
        </w:tc>
        <w:tc>
          <w:tcPr>
            <w:tcW w:w="1134" w:type="dxa"/>
            <w:tcBorders>
              <w:top w:val="single" w:sz="6" w:space="0" w:color="auto"/>
              <w:bottom w:val="single" w:sz="6" w:space="0" w:color="auto"/>
            </w:tcBorders>
          </w:tcPr>
          <w:p w14:paraId="30F8531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559" w:type="dxa"/>
            <w:tcBorders>
              <w:top w:val="single" w:sz="6" w:space="0" w:color="auto"/>
              <w:bottom w:val="single" w:sz="6" w:space="0" w:color="auto"/>
            </w:tcBorders>
          </w:tcPr>
          <w:p w14:paraId="419825C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417" w:type="dxa"/>
            <w:tcBorders>
              <w:top w:val="single" w:sz="6" w:space="0" w:color="auto"/>
              <w:bottom w:val="single" w:sz="6" w:space="0" w:color="auto"/>
            </w:tcBorders>
          </w:tcPr>
          <w:p w14:paraId="04EEBC6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133" w:type="dxa"/>
            <w:tcBorders>
              <w:top w:val="single" w:sz="6" w:space="0" w:color="auto"/>
              <w:bottom w:val="single" w:sz="6" w:space="0" w:color="auto"/>
            </w:tcBorders>
          </w:tcPr>
          <w:p w14:paraId="55BFA01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D33A8" w14:paraId="05FA7D46"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tcBorders>
          </w:tcPr>
          <w:p w14:paraId="745E6C58" w14:textId="77777777" w:rsidR="009D33A8" w:rsidRDefault="009D33A8">
            <w:r>
              <w:t>Education</w:t>
            </w:r>
          </w:p>
        </w:tc>
        <w:tc>
          <w:tcPr>
            <w:tcW w:w="1134" w:type="dxa"/>
            <w:tcBorders>
              <w:top w:val="single" w:sz="6" w:space="0" w:color="auto"/>
            </w:tcBorders>
          </w:tcPr>
          <w:p w14:paraId="656F57F0" w14:textId="77777777" w:rsidR="009D33A8" w:rsidRDefault="009D33A8">
            <w:pPr>
              <w:cnfStyle w:val="000000000000" w:firstRow="0" w:lastRow="0" w:firstColumn="0" w:lastColumn="0" w:oddVBand="0" w:evenVBand="0" w:oddHBand="0" w:evenHBand="0" w:firstRowFirstColumn="0" w:firstRowLastColumn="0" w:lastRowFirstColumn="0" w:lastRowLastColumn="0"/>
            </w:pPr>
            <w:r>
              <w:t>15 078 336</w:t>
            </w:r>
          </w:p>
        </w:tc>
        <w:tc>
          <w:tcPr>
            <w:tcW w:w="1559" w:type="dxa"/>
            <w:tcBorders>
              <w:top w:val="single" w:sz="6" w:space="0" w:color="auto"/>
            </w:tcBorders>
          </w:tcPr>
          <w:p w14:paraId="7B8D88A5" w14:textId="77777777" w:rsidR="009D33A8" w:rsidRDefault="009D33A8">
            <w:pPr>
              <w:cnfStyle w:val="000000000000" w:firstRow="0" w:lastRow="0" w:firstColumn="0" w:lastColumn="0" w:oddVBand="0" w:evenVBand="0" w:oddHBand="0" w:evenHBand="0" w:firstRowFirstColumn="0" w:firstRowLastColumn="0" w:lastRowFirstColumn="0" w:lastRowLastColumn="0"/>
            </w:pPr>
            <w:r>
              <w:t>1 104 580</w:t>
            </w:r>
          </w:p>
        </w:tc>
        <w:tc>
          <w:tcPr>
            <w:tcW w:w="1417" w:type="dxa"/>
            <w:tcBorders>
              <w:top w:val="single" w:sz="6" w:space="0" w:color="auto"/>
            </w:tcBorders>
          </w:tcPr>
          <w:p w14:paraId="7FC028C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Borders>
              <w:top w:val="single" w:sz="6" w:space="0" w:color="auto"/>
            </w:tcBorders>
          </w:tcPr>
          <w:p w14:paraId="09EA8B9B" w14:textId="77777777" w:rsidR="009D33A8" w:rsidRDefault="009D33A8">
            <w:pPr>
              <w:cnfStyle w:val="000000000000" w:firstRow="0" w:lastRow="0" w:firstColumn="0" w:lastColumn="0" w:oddVBand="0" w:evenVBand="0" w:oddHBand="0" w:evenHBand="0" w:firstRowFirstColumn="0" w:firstRowLastColumn="0" w:lastRowFirstColumn="0" w:lastRowLastColumn="0"/>
            </w:pPr>
            <w:r>
              <w:t>16 182 916</w:t>
            </w:r>
          </w:p>
        </w:tc>
      </w:tr>
      <w:tr w:rsidR="009D33A8" w14:paraId="33396A0F" w14:textId="77777777">
        <w:tc>
          <w:tcPr>
            <w:cnfStyle w:val="001000000000" w:firstRow="0" w:lastRow="0" w:firstColumn="1" w:lastColumn="0" w:oddVBand="0" w:evenVBand="0" w:oddHBand="0" w:evenHBand="0" w:firstRowFirstColumn="0" w:firstRowLastColumn="0" w:lastRowFirstColumn="0" w:lastRowLastColumn="0"/>
            <w:tcW w:w="4395" w:type="dxa"/>
          </w:tcPr>
          <w:p w14:paraId="75A4903D" w14:textId="77777777" w:rsidR="009D33A8" w:rsidRDefault="009D33A8">
            <w:r>
              <w:t>Energy, Environment and Climate Action</w:t>
            </w:r>
          </w:p>
        </w:tc>
        <w:tc>
          <w:tcPr>
            <w:tcW w:w="1134" w:type="dxa"/>
          </w:tcPr>
          <w:p w14:paraId="453E5BA3" w14:textId="77777777" w:rsidR="009D33A8" w:rsidRDefault="009D33A8">
            <w:pPr>
              <w:cnfStyle w:val="000000000000" w:firstRow="0" w:lastRow="0" w:firstColumn="0" w:lastColumn="0" w:oddVBand="0" w:evenVBand="0" w:oddHBand="0" w:evenHBand="0" w:firstRowFirstColumn="0" w:firstRowLastColumn="0" w:lastRowFirstColumn="0" w:lastRowLastColumn="0"/>
            </w:pPr>
            <w:r>
              <w:t>1 691 837</w:t>
            </w:r>
          </w:p>
        </w:tc>
        <w:tc>
          <w:tcPr>
            <w:tcW w:w="1559" w:type="dxa"/>
          </w:tcPr>
          <w:p w14:paraId="044E5037" w14:textId="77777777" w:rsidR="009D33A8" w:rsidRDefault="009D33A8">
            <w:pPr>
              <w:cnfStyle w:val="000000000000" w:firstRow="0" w:lastRow="0" w:firstColumn="0" w:lastColumn="0" w:oddVBand="0" w:evenVBand="0" w:oddHBand="0" w:evenHBand="0" w:firstRowFirstColumn="0" w:firstRowLastColumn="0" w:lastRowFirstColumn="0" w:lastRowLastColumn="0"/>
            </w:pPr>
            <w:r>
              <w:t>150 656</w:t>
            </w:r>
          </w:p>
        </w:tc>
        <w:tc>
          <w:tcPr>
            <w:tcW w:w="1417" w:type="dxa"/>
          </w:tcPr>
          <w:p w14:paraId="4B67F2D8" w14:textId="77777777" w:rsidR="009D33A8" w:rsidRDefault="009D33A8">
            <w:pPr>
              <w:cnfStyle w:val="000000000000" w:firstRow="0" w:lastRow="0" w:firstColumn="0" w:lastColumn="0" w:oddVBand="0" w:evenVBand="0" w:oddHBand="0" w:evenHBand="0" w:firstRowFirstColumn="0" w:firstRowLastColumn="0" w:lastRowFirstColumn="0" w:lastRowLastColumn="0"/>
            </w:pPr>
            <w:r>
              <w:t>612 688</w:t>
            </w:r>
          </w:p>
        </w:tc>
        <w:tc>
          <w:tcPr>
            <w:tcW w:w="1133" w:type="dxa"/>
          </w:tcPr>
          <w:p w14:paraId="6DDC3064" w14:textId="77777777" w:rsidR="009D33A8" w:rsidRDefault="009D33A8">
            <w:pPr>
              <w:cnfStyle w:val="000000000000" w:firstRow="0" w:lastRow="0" w:firstColumn="0" w:lastColumn="0" w:oddVBand="0" w:evenVBand="0" w:oddHBand="0" w:evenHBand="0" w:firstRowFirstColumn="0" w:firstRowLastColumn="0" w:lastRowFirstColumn="0" w:lastRowLastColumn="0"/>
            </w:pPr>
            <w:r>
              <w:t>2 455 181</w:t>
            </w:r>
          </w:p>
        </w:tc>
      </w:tr>
      <w:tr w:rsidR="009D33A8" w14:paraId="4A64E23E" w14:textId="77777777">
        <w:tc>
          <w:tcPr>
            <w:cnfStyle w:val="001000000000" w:firstRow="0" w:lastRow="0" w:firstColumn="1" w:lastColumn="0" w:oddVBand="0" w:evenVBand="0" w:oddHBand="0" w:evenHBand="0" w:firstRowFirstColumn="0" w:firstRowLastColumn="0" w:lastRowFirstColumn="0" w:lastRowLastColumn="0"/>
            <w:tcW w:w="4395" w:type="dxa"/>
          </w:tcPr>
          <w:p w14:paraId="3CA6937F" w14:textId="77777777" w:rsidR="009D33A8" w:rsidRDefault="009D33A8">
            <w:r>
              <w:t>Families, Fairness and Housing</w:t>
            </w:r>
          </w:p>
        </w:tc>
        <w:tc>
          <w:tcPr>
            <w:tcW w:w="1134" w:type="dxa"/>
          </w:tcPr>
          <w:p w14:paraId="5D754501" w14:textId="77777777" w:rsidR="009D33A8" w:rsidRDefault="009D33A8">
            <w:pPr>
              <w:cnfStyle w:val="000000000000" w:firstRow="0" w:lastRow="0" w:firstColumn="0" w:lastColumn="0" w:oddVBand="0" w:evenVBand="0" w:oddHBand="0" w:evenHBand="0" w:firstRowFirstColumn="0" w:firstRowLastColumn="0" w:lastRowFirstColumn="0" w:lastRowLastColumn="0"/>
            </w:pPr>
            <w:r>
              <w:t>4 266 926</w:t>
            </w:r>
          </w:p>
        </w:tc>
        <w:tc>
          <w:tcPr>
            <w:tcW w:w="1559" w:type="dxa"/>
          </w:tcPr>
          <w:p w14:paraId="76E51758" w14:textId="77777777" w:rsidR="009D33A8" w:rsidRDefault="009D33A8">
            <w:pPr>
              <w:cnfStyle w:val="000000000000" w:firstRow="0" w:lastRow="0" w:firstColumn="0" w:lastColumn="0" w:oddVBand="0" w:evenVBand="0" w:oddHBand="0" w:evenHBand="0" w:firstRowFirstColumn="0" w:firstRowLastColumn="0" w:lastRowFirstColumn="0" w:lastRowLastColumn="0"/>
            </w:pPr>
            <w:r>
              <w:t>587 418</w:t>
            </w:r>
          </w:p>
        </w:tc>
        <w:tc>
          <w:tcPr>
            <w:tcW w:w="1417" w:type="dxa"/>
          </w:tcPr>
          <w:p w14:paraId="4DBD7EF5" w14:textId="77777777" w:rsidR="009D33A8" w:rsidRDefault="009D33A8">
            <w:pPr>
              <w:cnfStyle w:val="000000000000" w:firstRow="0" w:lastRow="0" w:firstColumn="0" w:lastColumn="0" w:oddVBand="0" w:evenVBand="0" w:oddHBand="0" w:evenHBand="0" w:firstRowFirstColumn="0" w:firstRowLastColumn="0" w:lastRowFirstColumn="0" w:lastRowLastColumn="0"/>
            </w:pPr>
            <w:r>
              <w:t>2 808 483</w:t>
            </w:r>
          </w:p>
        </w:tc>
        <w:tc>
          <w:tcPr>
            <w:tcW w:w="1133" w:type="dxa"/>
          </w:tcPr>
          <w:p w14:paraId="79BC5DBC" w14:textId="77777777" w:rsidR="009D33A8" w:rsidRDefault="009D33A8">
            <w:pPr>
              <w:cnfStyle w:val="000000000000" w:firstRow="0" w:lastRow="0" w:firstColumn="0" w:lastColumn="0" w:oddVBand="0" w:evenVBand="0" w:oddHBand="0" w:evenHBand="0" w:firstRowFirstColumn="0" w:firstRowLastColumn="0" w:lastRowFirstColumn="0" w:lastRowLastColumn="0"/>
            </w:pPr>
            <w:r>
              <w:t>7 662 827</w:t>
            </w:r>
          </w:p>
        </w:tc>
      </w:tr>
      <w:tr w:rsidR="009D33A8" w14:paraId="039E9FDE" w14:textId="77777777">
        <w:tc>
          <w:tcPr>
            <w:cnfStyle w:val="001000000000" w:firstRow="0" w:lastRow="0" w:firstColumn="1" w:lastColumn="0" w:oddVBand="0" w:evenVBand="0" w:oddHBand="0" w:evenHBand="0" w:firstRowFirstColumn="0" w:firstRowLastColumn="0" w:lastRowFirstColumn="0" w:lastRowLastColumn="0"/>
            <w:tcW w:w="4395" w:type="dxa"/>
          </w:tcPr>
          <w:p w14:paraId="1B484290" w14:textId="77777777" w:rsidR="009D33A8" w:rsidRDefault="009D33A8">
            <w:r>
              <w:t>Government Services</w:t>
            </w:r>
          </w:p>
        </w:tc>
        <w:tc>
          <w:tcPr>
            <w:tcW w:w="1134" w:type="dxa"/>
          </w:tcPr>
          <w:p w14:paraId="3E2E4037" w14:textId="77777777" w:rsidR="009D33A8" w:rsidRDefault="009D33A8">
            <w:pPr>
              <w:cnfStyle w:val="000000000000" w:firstRow="0" w:lastRow="0" w:firstColumn="0" w:lastColumn="0" w:oddVBand="0" w:evenVBand="0" w:oddHBand="0" w:evenHBand="0" w:firstRowFirstColumn="0" w:firstRowLastColumn="0" w:lastRowFirstColumn="0" w:lastRowLastColumn="0"/>
            </w:pPr>
            <w:r>
              <w:t>444 513</w:t>
            </w:r>
          </w:p>
        </w:tc>
        <w:tc>
          <w:tcPr>
            <w:tcW w:w="1559" w:type="dxa"/>
          </w:tcPr>
          <w:p w14:paraId="0F6256C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4AA7A6C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CB5C04A" w14:textId="77777777" w:rsidR="009D33A8" w:rsidRDefault="009D33A8">
            <w:pPr>
              <w:cnfStyle w:val="000000000000" w:firstRow="0" w:lastRow="0" w:firstColumn="0" w:lastColumn="0" w:oddVBand="0" w:evenVBand="0" w:oddHBand="0" w:evenHBand="0" w:firstRowFirstColumn="0" w:firstRowLastColumn="0" w:lastRowFirstColumn="0" w:lastRowLastColumn="0"/>
            </w:pPr>
            <w:r>
              <w:t>444 513</w:t>
            </w:r>
          </w:p>
        </w:tc>
      </w:tr>
      <w:tr w:rsidR="009D33A8" w14:paraId="04C8B790" w14:textId="77777777">
        <w:tc>
          <w:tcPr>
            <w:cnfStyle w:val="001000000000" w:firstRow="0" w:lastRow="0" w:firstColumn="1" w:lastColumn="0" w:oddVBand="0" w:evenVBand="0" w:oddHBand="0" w:evenHBand="0" w:firstRowFirstColumn="0" w:firstRowLastColumn="0" w:lastRowFirstColumn="0" w:lastRowLastColumn="0"/>
            <w:tcW w:w="4395" w:type="dxa"/>
          </w:tcPr>
          <w:p w14:paraId="7767B7F9" w14:textId="77777777" w:rsidR="009D33A8" w:rsidRDefault="009D33A8">
            <w:r>
              <w:t>Health</w:t>
            </w:r>
          </w:p>
        </w:tc>
        <w:tc>
          <w:tcPr>
            <w:tcW w:w="1134" w:type="dxa"/>
          </w:tcPr>
          <w:p w14:paraId="6109D1BA" w14:textId="77777777" w:rsidR="009D33A8" w:rsidRDefault="009D33A8">
            <w:pPr>
              <w:cnfStyle w:val="000000000000" w:firstRow="0" w:lastRow="0" w:firstColumn="0" w:lastColumn="0" w:oddVBand="0" w:evenVBand="0" w:oddHBand="0" w:evenHBand="0" w:firstRowFirstColumn="0" w:firstRowLastColumn="0" w:lastRowFirstColumn="0" w:lastRowLastColumn="0"/>
            </w:pPr>
            <w:r>
              <w:t>12 398 293</w:t>
            </w:r>
          </w:p>
        </w:tc>
        <w:tc>
          <w:tcPr>
            <w:tcW w:w="1559" w:type="dxa"/>
          </w:tcPr>
          <w:p w14:paraId="50BFB99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63FBAB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35EA9E53" w14:textId="77777777" w:rsidR="009D33A8" w:rsidRDefault="009D33A8">
            <w:pPr>
              <w:cnfStyle w:val="000000000000" w:firstRow="0" w:lastRow="0" w:firstColumn="0" w:lastColumn="0" w:oddVBand="0" w:evenVBand="0" w:oddHBand="0" w:evenHBand="0" w:firstRowFirstColumn="0" w:firstRowLastColumn="0" w:lastRowFirstColumn="0" w:lastRowLastColumn="0"/>
            </w:pPr>
            <w:r>
              <w:t>12 398 293</w:t>
            </w:r>
          </w:p>
        </w:tc>
      </w:tr>
      <w:tr w:rsidR="009D33A8" w14:paraId="189067A7" w14:textId="77777777">
        <w:tc>
          <w:tcPr>
            <w:cnfStyle w:val="001000000000" w:firstRow="0" w:lastRow="0" w:firstColumn="1" w:lastColumn="0" w:oddVBand="0" w:evenVBand="0" w:oddHBand="0" w:evenHBand="0" w:firstRowFirstColumn="0" w:firstRowLastColumn="0" w:lastRowFirstColumn="0" w:lastRowLastColumn="0"/>
            <w:tcW w:w="4395" w:type="dxa"/>
          </w:tcPr>
          <w:p w14:paraId="2336C7E3" w14:textId="77777777" w:rsidR="009D33A8" w:rsidRDefault="009D33A8">
            <w:r>
              <w:t>Jobs, Skills, Industry and Regions</w:t>
            </w:r>
          </w:p>
        </w:tc>
        <w:tc>
          <w:tcPr>
            <w:tcW w:w="1134" w:type="dxa"/>
          </w:tcPr>
          <w:p w14:paraId="079F0844" w14:textId="77777777" w:rsidR="009D33A8" w:rsidRDefault="009D33A8">
            <w:pPr>
              <w:cnfStyle w:val="000000000000" w:firstRow="0" w:lastRow="0" w:firstColumn="0" w:lastColumn="0" w:oddVBand="0" w:evenVBand="0" w:oddHBand="0" w:evenHBand="0" w:firstRowFirstColumn="0" w:firstRowLastColumn="0" w:lastRowFirstColumn="0" w:lastRowLastColumn="0"/>
            </w:pPr>
            <w:r>
              <w:t>2 222 689</w:t>
            </w:r>
          </w:p>
        </w:tc>
        <w:tc>
          <w:tcPr>
            <w:tcW w:w="1559" w:type="dxa"/>
          </w:tcPr>
          <w:p w14:paraId="7B0CC00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3330275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961D0B4" w14:textId="77777777" w:rsidR="009D33A8" w:rsidRDefault="009D33A8">
            <w:pPr>
              <w:cnfStyle w:val="000000000000" w:firstRow="0" w:lastRow="0" w:firstColumn="0" w:lastColumn="0" w:oddVBand="0" w:evenVBand="0" w:oddHBand="0" w:evenHBand="0" w:firstRowFirstColumn="0" w:firstRowLastColumn="0" w:lastRowFirstColumn="0" w:lastRowLastColumn="0"/>
            </w:pPr>
            <w:r>
              <w:t>2 222 689</w:t>
            </w:r>
          </w:p>
        </w:tc>
      </w:tr>
      <w:tr w:rsidR="009D33A8" w14:paraId="5201B1DC" w14:textId="77777777">
        <w:tc>
          <w:tcPr>
            <w:cnfStyle w:val="001000000000" w:firstRow="0" w:lastRow="0" w:firstColumn="1" w:lastColumn="0" w:oddVBand="0" w:evenVBand="0" w:oddHBand="0" w:evenHBand="0" w:firstRowFirstColumn="0" w:firstRowLastColumn="0" w:lastRowFirstColumn="0" w:lastRowLastColumn="0"/>
            <w:tcW w:w="4395" w:type="dxa"/>
          </w:tcPr>
          <w:p w14:paraId="76E53879" w14:textId="77777777" w:rsidR="009D33A8" w:rsidRDefault="009D33A8">
            <w:r>
              <w:t>Justice and Community Safety</w:t>
            </w:r>
          </w:p>
        </w:tc>
        <w:tc>
          <w:tcPr>
            <w:tcW w:w="1134" w:type="dxa"/>
          </w:tcPr>
          <w:p w14:paraId="52B46CBF" w14:textId="77777777" w:rsidR="009D33A8" w:rsidRDefault="009D33A8">
            <w:pPr>
              <w:cnfStyle w:val="000000000000" w:firstRow="0" w:lastRow="0" w:firstColumn="0" w:lastColumn="0" w:oddVBand="0" w:evenVBand="0" w:oddHBand="0" w:evenHBand="0" w:firstRowFirstColumn="0" w:firstRowLastColumn="0" w:lastRowFirstColumn="0" w:lastRowLastColumn="0"/>
            </w:pPr>
            <w:r>
              <w:t>8 694 501</w:t>
            </w:r>
          </w:p>
        </w:tc>
        <w:tc>
          <w:tcPr>
            <w:tcW w:w="1559" w:type="dxa"/>
          </w:tcPr>
          <w:p w14:paraId="6EBCBFB7" w14:textId="77777777" w:rsidR="009D33A8" w:rsidRDefault="009D33A8">
            <w:pPr>
              <w:cnfStyle w:val="000000000000" w:firstRow="0" w:lastRow="0" w:firstColumn="0" w:lastColumn="0" w:oddVBand="0" w:evenVBand="0" w:oddHBand="0" w:evenHBand="0" w:firstRowFirstColumn="0" w:firstRowLastColumn="0" w:lastRowFirstColumn="0" w:lastRowLastColumn="0"/>
            </w:pPr>
            <w:r>
              <w:t>25 970</w:t>
            </w:r>
          </w:p>
        </w:tc>
        <w:tc>
          <w:tcPr>
            <w:tcW w:w="1417" w:type="dxa"/>
          </w:tcPr>
          <w:p w14:paraId="5A13B1A3" w14:textId="77777777" w:rsidR="009D33A8" w:rsidRDefault="009D33A8">
            <w:pPr>
              <w:cnfStyle w:val="000000000000" w:firstRow="0" w:lastRow="0" w:firstColumn="0" w:lastColumn="0" w:oddVBand="0" w:evenVBand="0" w:oddHBand="0" w:evenHBand="0" w:firstRowFirstColumn="0" w:firstRowLastColumn="0" w:lastRowFirstColumn="0" w:lastRowLastColumn="0"/>
            </w:pPr>
            <w:r>
              <w:t>68 719</w:t>
            </w:r>
          </w:p>
        </w:tc>
        <w:tc>
          <w:tcPr>
            <w:tcW w:w="1133" w:type="dxa"/>
          </w:tcPr>
          <w:p w14:paraId="40929242" w14:textId="77777777" w:rsidR="009D33A8" w:rsidRDefault="009D33A8">
            <w:pPr>
              <w:cnfStyle w:val="000000000000" w:firstRow="0" w:lastRow="0" w:firstColumn="0" w:lastColumn="0" w:oddVBand="0" w:evenVBand="0" w:oddHBand="0" w:evenHBand="0" w:firstRowFirstColumn="0" w:firstRowLastColumn="0" w:lastRowFirstColumn="0" w:lastRowLastColumn="0"/>
            </w:pPr>
            <w:r>
              <w:t>8 789 190</w:t>
            </w:r>
          </w:p>
        </w:tc>
      </w:tr>
      <w:tr w:rsidR="009D33A8" w14:paraId="0B74D84B" w14:textId="77777777">
        <w:tc>
          <w:tcPr>
            <w:cnfStyle w:val="001000000000" w:firstRow="0" w:lastRow="0" w:firstColumn="1" w:lastColumn="0" w:oddVBand="0" w:evenVBand="0" w:oddHBand="0" w:evenHBand="0" w:firstRowFirstColumn="0" w:firstRowLastColumn="0" w:lastRowFirstColumn="0" w:lastRowLastColumn="0"/>
            <w:tcW w:w="4395" w:type="dxa"/>
          </w:tcPr>
          <w:p w14:paraId="2611347E" w14:textId="77777777" w:rsidR="009D33A8" w:rsidRDefault="009D33A8">
            <w:r>
              <w:t>Premier and Cabinet</w:t>
            </w:r>
          </w:p>
        </w:tc>
        <w:tc>
          <w:tcPr>
            <w:tcW w:w="1134" w:type="dxa"/>
          </w:tcPr>
          <w:p w14:paraId="7D178B01" w14:textId="77777777" w:rsidR="009D33A8" w:rsidRDefault="009D33A8">
            <w:pPr>
              <w:cnfStyle w:val="000000000000" w:firstRow="0" w:lastRow="0" w:firstColumn="0" w:lastColumn="0" w:oddVBand="0" w:evenVBand="0" w:oddHBand="0" w:evenHBand="0" w:firstRowFirstColumn="0" w:firstRowLastColumn="0" w:lastRowFirstColumn="0" w:lastRowLastColumn="0"/>
            </w:pPr>
            <w:r>
              <w:t>324 214</w:t>
            </w:r>
          </w:p>
        </w:tc>
        <w:tc>
          <w:tcPr>
            <w:tcW w:w="1559" w:type="dxa"/>
          </w:tcPr>
          <w:p w14:paraId="0B3C9F4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FB7084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BC5B9C7" w14:textId="77777777" w:rsidR="009D33A8" w:rsidRDefault="009D33A8">
            <w:pPr>
              <w:cnfStyle w:val="000000000000" w:firstRow="0" w:lastRow="0" w:firstColumn="0" w:lastColumn="0" w:oddVBand="0" w:evenVBand="0" w:oddHBand="0" w:evenHBand="0" w:firstRowFirstColumn="0" w:firstRowLastColumn="0" w:lastRowFirstColumn="0" w:lastRowLastColumn="0"/>
            </w:pPr>
            <w:r>
              <w:t>324 214</w:t>
            </w:r>
          </w:p>
        </w:tc>
      </w:tr>
      <w:tr w:rsidR="009D33A8" w14:paraId="70CEF195" w14:textId="77777777">
        <w:tc>
          <w:tcPr>
            <w:cnfStyle w:val="001000000000" w:firstRow="0" w:lastRow="0" w:firstColumn="1" w:lastColumn="0" w:oddVBand="0" w:evenVBand="0" w:oddHBand="0" w:evenHBand="0" w:firstRowFirstColumn="0" w:firstRowLastColumn="0" w:lastRowFirstColumn="0" w:lastRowLastColumn="0"/>
            <w:tcW w:w="4395" w:type="dxa"/>
          </w:tcPr>
          <w:p w14:paraId="1C9A7649" w14:textId="77777777" w:rsidR="009D33A8" w:rsidRDefault="009D33A8">
            <w:r>
              <w:t>Transport and Planning</w:t>
            </w:r>
          </w:p>
        </w:tc>
        <w:tc>
          <w:tcPr>
            <w:tcW w:w="1134" w:type="dxa"/>
          </w:tcPr>
          <w:p w14:paraId="6CB89B78" w14:textId="77777777" w:rsidR="009D33A8" w:rsidRDefault="009D33A8">
            <w:pPr>
              <w:cnfStyle w:val="000000000000" w:firstRow="0" w:lastRow="0" w:firstColumn="0" w:lastColumn="0" w:oddVBand="0" w:evenVBand="0" w:oddHBand="0" w:evenHBand="0" w:firstRowFirstColumn="0" w:firstRowLastColumn="0" w:lastRowFirstColumn="0" w:lastRowLastColumn="0"/>
            </w:pPr>
            <w:r>
              <w:t>4 949 673</w:t>
            </w:r>
          </w:p>
        </w:tc>
        <w:tc>
          <w:tcPr>
            <w:tcW w:w="1559" w:type="dxa"/>
          </w:tcPr>
          <w:p w14:paraId="01313958" w14:textId="77777777" w:rsidR="009D33A8" w:rsidRDefault="009D33A8">
            <w:pPr>
              <w:cnfStyle w:val="000000000000" w:firstRow="0" w:lastRow="0" w:firstColumn="0" w:lastColumn="0" w:oddVBand="0" w:evenVBand="0" w:oddHBand="0" w:evenHBand="0" w:firstRowFirstColumn="0" w:firstRowLastColumn="0" w:lastRowFirstColumn="0" w:lastRowLastColumn="0"/>
            </w:pPr>
            <w:r>
              <w:t>8 436 536</w:t>
            </w:r>
          </w:p>
        </w:tc>
        <w:tc>
          <w:tcPr>
            <w:tcW w:w="1417" w:type="dxa"/>
          </w:tcPr>
          <w:p w14:paraId="58718410" w14:textId="77777777" w:rsidR="009D33A8" w:rsidRDefault="009D33A8">
            <w:pPr>
              <w:cnfStyle w:val="000000000000" w:firstRow="0" w:lastRow="0" w:firstColumn="0" w:lastColumn="0" w:oddVBand="0" w:evenVBand="0" w:oddHBand="0" w:evenHBand="0" w:firstRowFirstColumn="0" w:firstRowLastColumn="0" w:lastRowFirstColumn="0" w:lastRowLastColumn="0"/>
            </w:pPr>
            <w:r>
              <w:t>110 214</w:t>
            </w:r>
          </w:p>
        </w:tc>
        <w:tc>
          <w:tcPr>
            <w:tcW w:w="1133" w:type="dxa"/>
          </w:tcPr>
          <w:p w14:paraId="15E44244" w14:textId="77777777" w:rsidR="009D33A8" w:rsidRDefault="009D33A8">
            <w:pPr>
              <w:cnfStyle w:val="000000000000" w:firstRow="0" w:lastRow="0" w:firstColumn="0" w:lastColumn="0" w:oddVBand="0" w:evenVBand="0" w:oddHBand="0" w:evenHBand="0" w:firstRowFirstColumn="0" w:firstRowLastColumn="0" w:lastRowFirstColumn="0" w:lastRowLastColumn="0"/>
            </w:pPr>
            <w:r>
              <w:t>13 496 423</w:t>
            </w:r>
          </w:p>
        </w:tc>
      </w:tr>
      <w:tr w:rsidR="009D33A8" w14:paraId="67115A1C" w14:textId="77777777">
        <w:tc>
          <w:tcPr>
            <w:cnfStyle w:val="001000000000" w:firstRow="0" w:lastRow="0" w:firstColumn="1" w:lastColumn="0" w:oddVBand="0" w:evenVBand="0" w:oddHBand="0" w:evenHBand="0" w:firstRowFirstColumn="0" w:firstRowLastColumn="0" w:lastRowFirstColumn="0" w:lastRowLastColumn="0"/>
            <w:tcW w:w="4395" w:type="dxa"/>
          </w:tcPr>
          <w:p w14:paraId="4E16DAE3" w14:textId="77777777" w:rsidR="009D33A8" w:rsidRDefault="009D33A8">
            <w:r>
              <w:t>Treasury and Finance</w:t>
            </w:r>
          </w:p>
        </w:tc>
        <w:tc>
          <w:tcPr>
            <w:tcW w:w="1134" w:type="dxa"/>
          </w:tcPr>
          <w:p w14:paraId="5DD816BF" w14:textId="77777777" w:rsidR="009D33A8" w:rsidRDefault="009D33A8">
            <w:pPr>
              <w:cnfStyle w:val="000000000000" w:firstRow="0" w:lastRow="0" w:firstColumn="0" w:lastColumn="0" w:oddVBand="0" w:evenVBand="0" w:oddHBand="0" w:evenHBand="0" w:firstRowFirstColumn="0" w:firstRowLastColumn="0" w:lastRowFirstColumn="0" w:lastRowLastColumn="0"/>
            </w:pPr>
            <w:r>
              <w:t>350 070</w:t>
            </w:r>
          </w:p>
        </w:tc>
        <w:tc>
          <w:tcPr>
            <w:tcW w:w="1559" w:type="dxa"/>
          </w:tcPr>
          <w:p w14:paraId="45ED86E3" w14:textId="77777777" w:rsidR="009D33A8" w:rsidRDefault="009D33A8">
            <w:pPr>
              <w:cnfStyle w:val="000000000000" w:firstRow="0" w:lastRow="0" w:firstColumn="0" w:lastColumn="0" w:oddVBand="0" w:evenVBand="0" w:oddHBand="0" w:evenHBand="0" w:firstRowFirstColumn="0" w:firstRowLastColumn="0" w:lastRowFirstColumn="0" w:lastRowLastColumn="0"/>
            </w:pPr>
            <w:r>
              <w:t>1 470</w:t>
            </w:r>
          </w:p>
        </w:tc>
        <w:tc>
          <w:tcPr>
            <w:tcW w:w="1417" w:type="dxa"/>
          </w:tcPr>
          <w:p w14:paraId="445C82B7" w14:textId="77777777" w:rsidR="009D33A8" w:rsidRDefault="009D33A8">
            <w:pPr>
              <w:cnfStyle w:val="000000000000" w:firstRow="0" w:lastRow="0" w:firstColumn="0" w:lastColumn="0" w:oddVBand="0" w:evenVBand="0" w:oddHBand="0" w:evenHBand="0" w:firstRowFirstColumn="0" w:firstRowLastColumn="0" w:lastRowFirstColumn="0" w:lastRowLastColumn="0"/>
            </w:pPr>
            <w:r>
              <w:t>6 891 761</w:t>
            </w:r>
          </w:p>
        </w:tc>
        <w:tc>
          <w:tcPr>
            <w:tcW w:w="1133" w:type="dxa"/>
          </w:tcPr>
          <w:p w14:paraId="2C0F6E90" w14:textId="77777777" w:rsidR="009D33A8" w:rsidRDefault="009D33A8">
            <w:pPr>
              <w:cnfStyle w:val="000000000000" w:firstRow="0" w:lastRow="0" w:firstColumn="0" w:lastColumn="0" w:oddVBand="0" w:evenVBand="0" w:oddHBand="0" w:evenHBand="0" w:firstRowFirstColumn="0" w:firstRowLastColumn="0" w:lastRowFirstColumn="0" w:lastRowLastColumn="0"/>
            </w:pPr>
            <w:r>
              <w:t>7 243 301</w:t>
            </w:r>
          </w:p>
        </w:tc>
      </w:tr>
      <w:tr w:rsidR="009D33A8" w14:paraId="0D4BEB5C" w14:textId="77777777">
        <w:tc>
          <w:tcPr>
            <w:cnfStyle w:val="001000000000" w:firstRow="0" w:lastRow="0" w:firstColumn="1" w:lastColumn="0" w:oddVBand="0" w:evenVBand="0" w:oddHBand="0" w:evenHBand="0" w:firstRowFirstColumn="0" w:firstRowLastColumn="0" w:lastRowFirstColumn="0" w:lastRowLastColumn="0"/>
            <w:tcW w:w="4395" w:type="dxa"/>
          </w:tcPr>
          <w:p w14:paraId="1FBACF2C" w14:textId="77777777" w:rsidR="009D33A8" w:rsidRDefault="009D33A8">
            <w:r>
              <w:t>Parliament</w:t>
            </w:r>
          </w:p>
        </w:tc>
        <w:tc>
          <w:tcPr>
            <w:tcW w:w="1134" w:type="dxa"/>
          </w:tcPr>
          <w:p w14:paraId="5CAA8D25" w14:textId="77777777" w:rsidR="009D33A8" w:rsidRDefault="009D33A8">
            <w:pPr>
              <w:cnfStyle w:val="000000000000" w:firstRow="0" w:lastRow="0" w:firstColumn="0" w:lastColumn="0" w:oddVBand="0" w:evenVBand="0" w:oddHBand="0" w:evenHBand="0" w:firstRowFirstColumn="0" w:firstRowLastColumn="0" w:lastRowFirstColumn="0" w:lastRowLastColumn="0"/>
            </w:pPr>
            <w:r>
              <w:t>267 689</w:t>
            </w:r>
          </w:p>
        </w:tc>
        <w:tc>
          <w:tcPr>
            <w:tcW w:w="1559" w:type="dxa"/>
          </w:tcPr>
          <w:p w14:paraId="15F5AD32" w14:textId="77777777" w:rsidR="009D33A8" w:rsidRDefault="009D33A8">
            <w:pPr>
              <w:cnfStyle w:val="000000000000" w:firstRow="0" w:lastRow="0" w:firstColumn="0" w:lastColumn="0" w:oddVBand="0" w:evenVBand="0" w:oddHBand="0" w:evenHBand="0" w:firstRowFirstColumn="0" w:firstRowLastColumn="0" w:lastRowFirstColumn="0" w:lastRowLastColumn="0"/>
            </w:pPr>
            <w:r>
              <w:t>4 519</w:t>
            </w:r>
          </w:p>
        </w:tc>
        <w:tc>
          <w:tcPr>
            <w:tcW w:w="1417" w:type="dxa"/>
          </w:tcPr>
          <w:p w14:paraId="0D02081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21FD4BA6" w14:textId="77777777" w:rsidR="009D33A8" w:rsidRDefault="009D33A8">
            <w:pPr>
              <w:cnfStyle w:val="000000000000" w:firstRow="0" w:lastRow="0" w:firstColumn="0" w:lastColumn="0" w:oddVBand="0" w:evenVBand="0" w:oddHBand="0" w:evenHBand="0" w:firstRowFirstColumn="0" w:firstRowLastColumn="0" w:lastRowFirstColumn="0" w:lastRowLastColumn="0"/>
            </w:pPr>
            <w:r>
              <w:t>272 207</w:t>
            </w:r>
          </w:p>
        </w:tc>
      </w:tr>
      <w:tr w:rsidR="009D33A8" w14:paraId="27FB5097" w14:textId="77777777">
        <w:tc>
          <w:tcPr>
            <w:cnfStyle w:val="001000000000" w:firstRow="0" w:lastRow="0" w:firstColumn="1" w:lastColumn="0" w:oddVBand="0" w:evenVBand="0" w:oddHBand="0" w:evenHBand="0" w:firstRowFirstColumn="0" w:firstRowLastColumn="0" w:lastRowFirstColumn="0" w:lastRowLastColumn="0"/>
            <w:tcW w:w="4395" w:type="dxa"/>
            <w:tcBorders>
              <w:bottom w:val="single" w:sz="6" w:space="0" w:color="auto"/>
            </w:tcBorders>
          </w:tcPr>
          <w:p w14:paraId="3490E9E9" w14:textId="77777777" w:rsidR="009D33A8" w:rsidRDefault="009D33A8">
            <w:r>
              <w:t>Courts</w:t>
            </w:r>
          </w:p>
        </w:tc>
        <w:tc>
          <w:tcPr>
            <w:tcW w:w="1134" w:type="dxa"/>
            <w:tcBorders>
              <w:bottom w:val="single" w:sz="6" w:space="0" w:color="auto"/>
            </w:tcBorders>
          </w:tcPr>
          <w:p w14:paraId="366A600B" w14:textId="77777777" w:rsidR="009D33A8" w:rsidRDefault="009D33A8">
            <w:pPr>
              <w:cnfStyle w:val="000000000000" w:firstRow="0" w:lastRow="0" w:firstColumn="0" w:lastColumn="0" w:oddVBand="0" w:evenVBand="0" w:oddHBand="0" w:evenHBand="0" w:firstRowFirstColumn="0" w:firstRowLastColumn="0" w:lastRowFirstColumn="0" w:lastRowLastColumn="0"/>
            </w:pPr>
            <w:r>
              <w:t>478 766</w:t>
            </w:r>
          </w:p>
        </w:tc>
        <w:tc>
          <w:tcPr>
            <w:tcW w:w="1559" w:type="dxa"/>
            <w:tcBorders>
              <w:bottom w:val="single" w:sz="6" w:space="0" w:color="auto"/>
            </w:tcBorders>
          </w:tcPr>
          <w:p w14:paraId="29F35C04" w14:textId="77777777" w:rsidR="009D33A8" w:rsidRDefault="009D33A8">
            <w:pPr>
              <w:cnfStyle w:val="000000000000" w:firstRow="0" w:lastRow="0" w:firstColumn="0" w:lastColumn="0" w:oddVBand="0" w:evenVBand="0" w:oddHBand="0" w:evenHBand="0" w:firstRowFirstColumn="0" w:firstRowLastColumn="0" w:lastRowFirstColumn="0" w:lastRowLastColumn="0"/>
            </w:pPr>
            <w:r>
              <w:t>99 531</w:t>
            </w:r>
          </w:p>
        </w:tc>
        <w:tc>
          <w:tcPr>
            <w:tcW w:w="1417" w:type="dxa"/>
            <w:tcBorders>
              <w:bottom w:val="single" w:sz="6" w:space="0" w:color="auto"/>
            </w:tcBorders>
          </w:tcPr>
          <w:p w14:paraId="781DCD0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133" w:type="dxa"/>
            <w:tcBorders>
              <w:bottom w:val="single" w:sz="6" w:space="0" w:color="auto"/>
            </w:tcBorders>
          </w:tcPr>
          <w:p w14:paraId="2A4EB17A" w14:textId="77777777" w:rsidR="009D33A8" w:rsidRDefault="009D33A8">
            <w:pPr>
              <w:cnfStyle w:val="000000000000" w:firstRow="0" w:lastRow="0" w:firstColumn="0" w:lastColumn="0" w:oddVBand="0" w:evenVBand="0" w:oddHBand="0" w:evenHBand="0" w:firstRowFirstColumn="0" w:firstRowLastColumn="0" w:lastRowFirstColumn="0" w:lastRowLastColumn="0"/>
            </w:pPr>
            <w:r>
              <w:t>578 297</w:t>
            </w:r>
          </w:p>
        </w:tc>
      </w:tr>
      <w:tr w:rsidR="009D33A8" w14:paraId="24394470" w14:textId="77777777">
        <w:tc>
          <w:tcPr>
            <w:cnfStyle w:val="001000000000" w:firstRow="0" w:lastRow="0" w:firstColumn="1" w:lastColumn="0" w:oddVBand="0" w:evenVBand="0" w:oddHBand="0" w:evenHBand="0" w:firstRowFirstColumn="0" w:firstRowLastColumn="0" w:lastRowFirstColumn="0" w:lastRowLastColumn="0"/>
            <w:tcW w:w="4395" w:type="dxa"/>
            <w:tcBorders>
              <w:top w:val="single" w:sz="6" w:space="0" w:color="auto"/>
              <w:bottom w:val="single" w:sz="12" w:space="0" w:color="auto"/>
            </w:tcBorders>
          </w:tcPr>
          <w:p w14:paraId="6F4F7E54" w14:textId="77777777" w:rsidR="009D33A8" w:rsidRDefault="009D33A8">
            <w:r>
              <w:rPr>
                <w:b/>
              </w:rPr>
              <w:t>Total annual appropriations</w:t>
            </w:r>
          </w:p>
        </w:tc>
        <w:tc>
          <w:tcPr>
            <w:tcW w:w="1134" w:type="dxa"/>
            <w:tcBorders>
              <w:top w:val="single" w:sz="6" w:space="0" w:color="auto"/>
              <w:bottom w:val="single" w:sz="12" w:space="0" w:color="auto"/>
            </w:tcBorders>
          </w:tcPr>
          <w:p w14:paraId="57AE55A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51 167 507</w:t>
            </w:r>
          </w:p>
        </w:tc>
        <w:tc>
          <w:tcPr>
            <w:tcW w:w="1559" w:type="dxa"/>
            <w:tcBorders>
              <w:top w:val="single" w:sz="6" w:space="0" w:color="auto"/>
              <w:bottom w:val="single" w:sz="12" w:space="0" w:color="auto"/>
            </w:tcBorders>
          </w:tcPr>
          <w:p w14:paraId="56199CB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10 410 679</w:t>
            </w:r>
          </w:p>
        </w:tc>
        <w:tc>
          <w:tcPr>
            <w:tcW w:w="1417" w:type="dxa"/>
            <w:tcBorders>
              <w:top w:val="single" w:sz="6" w:space="0" w:color="auto"/>
              <w:bottom w:val="single" w:sz="12" w:space="0" w:color="auto"/>
            </w:tcBorders>
          </w:tcPr>
          <w:p w14:paraId="2F9F2F7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10 491 865</w:t>
            </w:r>
          </w:p>
        </w:tc>
        <w:tc>
          <w:tcPr>
            <w:tcW w:w="1133" w:type="dxa"/>
            <w:tcBorders>
              <w:top w:val="single" w:sz="6" w:space="0" w:color="auto"/>
              <w:bottom w:val="single" w:sz="12" w:space="0" w:color="auto"/>
            </w:tcBorders>
          </w:tcPr>
          <w:p w14:paraId="08EDC20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72 070 051</w:t>
            </w:r>
          </w:p>
        </w:tc>
      </w:tr>
    </w:tbl>
    <w:p w14:paraId="44033183" w14:textId="77777777" w:rsidR="009D33A8" w:rsidRDefault="009D33A8" w:rsidP="009D33A8">
      <w:pPr>
        <w:rPr>
          <w:rFonts w:asciiTheme="majorHAnsi" w:eastAsiaTheme="majorEastAsia" w:hAnsiTheme="majorHAnsi" w:cstheme="majorBidi"/>
          <w:b/>
          <w:bCs/>
          <w:spacing w:val="-2"/>
          <w:sz w:val="23"/>
          <w:szCs w:val="26"/>
        </w:rPr>
      </w:pPr>
      <w:bookmarkStart w:id="158" w:name="_Toc462418836"/>
    </w:p>
    <w:p w14:paraId="498F4A9A" w14:textId="77777777" w:rsidR="009D33A8" w:rsidRDefault="009D33A8" w:rsidP="009D33A8">
      <w:pPr>
        <w:pStyle w:val="Heading3"/>
      </w:pPr>
      <w:bookmarkStart w:id="159" w:name="_Toc114670298"/>
      <w:bookmarkStart w:id="160" w:name="_Toc209479925"/>
      <w:r>
        <w:t>7.2.9</w:t>
      </w:r>
      <w:r>
        <w:tab/>
      </w:r>
      <w:r w:rsidRPr="007B2989">
        <w:t>Amounts paid into working account</w:t>
      </w:r>
      <w:r>
        <w:t>s pursuant to Section 23 of the</w:t>
      </w:r>
      <w:r>
        <w:br/>
      </w:r>
      <w:r w:rsidRPr="00C002C8">
        <w:rPr>
          <w:i/>
        </w:rPr>
        <w:t>Financial Management Act 1994</w:t>
      </w:r>
      <w:r w:rsidRPr="007B2989">
        <w:t xml:space="preserve"> for the year ended 30 June</w:t>
      </w:r>
      <w:r>
        <w:tab/>
      </w:r>
      <w:r w:rsidRPr="004269AE">
        <w:rPr>
          <w:sz w:val="20"/>
          <w:szCs w:val="20"/>
        </w:rPr>
        <w:t>($ thousand)</w:t>
      </w:r>
      <w:bookmarkEnd w:id="158"/>
      <w:bookmarkEnd w:id="159"/>
      <w:bookmarkEnd w:id="160"/>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23_working_accounts"/>
      </w:tblPr>
      <w:tblGrid>
        <w:gridCol w:w="7824"/>
        <w:gridCol w:w="907"/>
        <w:gridCol w:w="907"/>
      </w:tblGrid>
      <w:tr w:rsidR="009D33A8" w14:paraId="296B183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92DD1E3" w14:textId="77777777" w:rsidR="009D33A8" w:rsidRDefault="009D33A8">
            <w:pPr>
              <w:keepNext/>
            </w:pPr>
          </w:p>
        </w:tc>
        <w:tc>
          <w:tcPr>
            <w:tcW w:w="907" w:type="dxa"/>
          </w:tcPr>
          <w:p w14:paraId="0DD9A01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0DEABA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590829BE" w14:textId="77777777">
        <w:tc>
          <w:tcPr>
            <w:cnfStyle w:val="001000000000" w:firstRow="0" w:lastRow="0" w:firstColumn="1" w:lastColumn="0" w:oddVBand="0" w:evenVBand="0" w:oddHBand="0" w:evenHBand="0" w:firstRowFirstColumn="0" w:firstRowLastColumn="0" w:lastRowFirstColumn="0" w:lastRowLastColumn="0"/>
            <w:tcW w:w="7824" w:type="dxa"/>
          </w:tcPr>
          <w:p w14:paraId="0C8C5F21" w14:textId="77777777" w:rsidR="009D33A8" w:rsidRDefault="009D33A8">
            <w:r>
              <w:t>Appropriation transfer equivalent to consolidated fund receipts</w:t>
            </w:r>
          </w:p>
        </w:tc>
        <w:tc>
          <w:tcPr>
            <w:tcW w:w="907" w:type="dxa"/>
          </w:tcPr>
          <w:p w14:paraId="002A3F79" w14:textId="77777777" w:rsidR="009D33A8" w:rsidRDefault="009D33A8">
            <w:pPr>
              <w:cnfStyle w:val="000000000000" w:firstRow="0" w:lastRow="0" w:firstColumn="0" w:lastColumn="0" w:oddVBand="0" w:evenVBand="0" w:oddHBand="0" w:evenHBand="0" w:firstRowFirstColumn="0" w:firstRowLastColumn="0" w:lastRowFirstColumn="0" w:lastRowLastColumn="0"/>
            </w:pPr>
            <w:r>
              <w:t>31 309</w:t>
            </w:r>
          </w:p>
        </w:tc>
        <w:tc>
          <w:tcPr>
            <w:tcW w:w="907" w:type="dxa"/>
          </w:tcPr>
          <w:p w14:paraId="6FD1A732" w14:textId="77777777" w:rsidR="009D33A8" w:rsidRDefault="009D33A8">
            <w:pPr>
              <w:cnfStyle w:val="000000000000" w:firstRow="0" w:lastRow="0" w:firstColumn="0" w:lastColumn="0" w:oddVBand="0" w:evenVBand="0" w:oddHBand="0" w:evenHBand="0" w:firstRowFirstColumn="0" w:firstRowLastColumn="0" w:lastRowFirstColumn="0" w:lastRowLastColumn="0"/>
            </w:pPr>
            <w:r>
              <w:t>31 763</w:t>
            </w:r>
          </w:p>
        </w:tc>
      </w:tr>
      <w:tr w:rsidR="009D33A8" w14:paraId="5DC34237" w14:textId="77777777">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29363A90" w14:textId="77777777" w:rsidR="009D33A8" w:rsidRDefault="009D33A8">
            <w:r>
              <w:t>Interest received on credit balances</w:t>
            </w:r>
          </w:p>
        </w:tc>
        <w:tc>
          <w:tcPr>
            <w:tcW w:w="907" w:type="dxa"/>
            <w:tcBorders>
              <w:bottom w:val="single" w:sz="6" w:space="0" w:color="auto"/>
            </w:tcBorders>
          </w:tcPr>
          <w:p w14:paraId="2071664E" w14:textId="77777777" w:rsidR="009D33A8" w:rsidRDefault="009D33A8">
            <w:pPr>
              <w:cnfStyle w:val="000000000000" w:firstRow="0" w:lastRow="0" w:firstColumn="0" w:lastColumn="0" w:oddVBand="0" w:evenVBand="0" w:oddHBand="0" w:evenHBand="0" w:firstRowFirstColumn="0" w:firstRowLastColumn="0" w:lastRowFirstColumn="0" w:lastRowLastColumn="0"/>
            </w:pPr>
            <w:r>
              <w:t>412</w:t>
            </w:r>
          </w:p>
        </w:tc>
        <w:tc>
          <w:tcPr>
            <w:tcW w:w="907" w:type="dxa"/>
            <w:tcBorders>
              <w:bottom w:val="single" w:sz="6" w:space="0" w:color="auto"/>
            </w:tcBorders>
          </w:tcPr>
          <w:p w14:paraId="396E7675" w14:textId="77777777" w:rsidR="009D33A8" w:rsidRDefault="009D33A8">
            <w:pPr>
              <w:cnfStyle w:val="000000000000" w:firstRow="0" w:lastRow="0" w:firstColumn="0" w:lastColumn="0" w:oddVBand="0" w:evenVBand="0" w:oddHBand="0" w:evenHBand="0" w:firstRowFirstColumn="0" w:firstRowLastColumn="0" w:lastRowFirstColumn="0" w:lastRowLastColumn="0"/>
            </w:pPr>
            <w:r>
              <w:t>420</w:t>
            </w:r>
          </w:p>
        </w:tc>
      </w:tr>
      <w:tr w:rsidR="009D33A8" w14:paraId="585446C4" w14:textId="77777777">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26D01E69" w14:textId="77777777" w:rsidR="009D33A8" w:rsidRDefault="009D33A8">
            <w:r>
              <w:rPr>
                <w:b/>
              </w:rPr>
              <w:t>Total amounts paid into working accounts</w:t>
            </w:r>
          </w:p>
        </w:tc>
        <w:tc>
          <w:tcPr>
            <w:tcW w:w="907" w:type="dxa"/>
            <w:tcBorders>
              <w:top w:val="single" w:sz="6" w:space="0" w:color="auto"/>
              <w:bottom w:val="single" w:sz="12" w:space="0" w:color="auto"/>
            </w:tcBorders>
          </w:tcPr>
          <w:p w14:paraId="192B613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31 721</w:t>
            </w:r>
          </w:p>
        </w:tc>
        <w:tc>
          <w:tcPr>
            <w:tcW w:w="907" w:type="dxa"/>
            <w:tcBorders>
              <w:top w:val="single" w:sz="6" w:space="0" w:color="auto"/>
              <w:bottom w:val="single" w:sz="12" w:space="0" w:color="auto"/>
            </w:tcBorders>
          </w:tcPr>
          <w:p w14:paraId="303E126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32 183</w:t>
            </w:r>
          </w:p>
        </w:tc>
      </w:tr>
    </w:tbl>
    <w:p w14:paraId="342BAF23" w14:textId="77777777" w:rsidR="009D33A8" w:rsidRDefault="009D33A8" w:rsidP="009D33A8"/>
    <w:p w14:paraId="0AEA94B4" w14:textId="77777777" w:rsidR="009D33A8" w:rsidRDefault="009D33A8" w:rsidP="009D33A8"/>
    <w:p w14:paraId="64577FB3" w14:textId="77777777" w:rsidR="009D33A8" w:rsidRPr="00110DFC" w:rsidRDefault="009D33A8" w:rsidP="009D33A8"/>
    <w:p w14:paraId="0BCAECB8" w14:textId="77777777" w:rsidR="009D33A8" w:rsidRDefault="009D33A8" w:rsidP="009D33A8"/>
    <w:p w14:paraId="02E7F789" w14:textId="77777777" w:rsidR="009D33A8" w:rsidRPr="00273405" w:rsidRDefault="009D33A8" w:rsidP="009D33A8"/>
    <w:p w14:paraId="180FE816" w14:textId="77777777" w:rsidR="009D33A8" w:rsidRDefault="009D33A8" w:rsidP="009D33A8">
      <w:pPr>
        <w:rPr>
          <w:rFonts w:asciiTheme="majorHAnsi" w:eastAsiaTheme="majorEastAsia" w:hAnsiTheme="majorHAnsi" w:cstheme="majorBidi"/>
          <w:spacing w:val="-2"/>
          <w:sz w:val="23"/>
          <w:szCs w:val="26"/>
        </w:rPr>
      </w:pPr>
      <w:r>
        <w:br w:type="page"/>
      </w:r>
    </w:p>
    <w:p w14:paraId="35475901" w14:textId="77777777" w:rsidR="009D33A8" w:rsidRDefault="009D33A8" w:rsidP="009D33A8">
      <w:pPr>
        <w:pStyle w:val="Heading3"/>
      </w:pPr>
      <w:bookmarkStart w:id="161" w:name="_Toc209479926"/>
      <w:bookmarkStart w:id="162" w:name="_Toc114670299"/>
      <w:r>
        <w:lastRenderedPageBreak/>
        <w:t>7.2.10</w:t>
      </w:r>
      <w:r>
        <w:tab/>
      </w:r>
      <w:r w:rsidRPr="007B2989">
        <w:t xml:space="preserve">Transfers pursuant to Sections 30 and 31 of the </w:t>
      </w:r>
      <w:r w:rsidRPr="00C002C8">
        <w:rPr>
          <w:i/>
        </w:rPr>
        <w:t>Financial Management Act 1994</w:t>
      </w:r>
      <w:r>
        <w:br/>
      </w:r>
      <w:r w:rsidRPr="007B2989">
        <w:t xml:space="preserve">for the financial year ended 30 </w:t>
      </w:r>
      <w:r w:rsidRPr="008F0A94">
        <w:t>June</w:t>
      </w:r>
      <w:bookmarkEnd w:id="161"/>
      <w:r w:rsidRPr="007B2989">
        <w:t xml:space="preserve"> </w:t>
      </w:r>
      <w:r w:rsidRPr="00C002C8">
        <w:rPr>
          <w:vertAlign w:val="superscript"/>
        </w:rPr>
        <w:t xml:space="preserve"> </w:t>
      </w:r>
      <w:r>
        <w:tab/>
      </w:r>
      <w:bookmarkStart w:id="163" w:name="_Toc462418839"/>
      <w:bookmarkEnd w:id="162"/>
    </w:p>
    <w:p w14:paraId="0D2E5102" w14:textId="77777777" w:rsidR="009D33A8" w:rsidRPr="00387417" w:rsidRDefault="009D33A8" w:rsidP="00387417">
      <w:pPr>
        <w:pStyle w:val="TableHeading"/>
        <w:rPr>
          <w:rStyle w:val="TableHeadingChar"/>
          <w:b/>
          <w:iCs/>
        </w:rPr>
      </w:pPr>
      <w:r w:rsidRPr="00387417">
        <w:rPr>
          <w:rStyle w:val="TableHeadingChar"/>
          <w:b/>
          <w:iCs/>
        </w:rPr>
        <w:t xml:space="preserve">Transfers pursuant to Section 30 of the </w:t>
      </w:r>
      <w:r w:rsidRPr="00387417">
        <w:rPr>
          <w:rStyle w:val="TableHeadingChar"/>
          <w:b/>
          <w:i/>
        </w:rPr>
        <w:t>Financial Management Act 1994</w:t>
      </w:r>
      <w:r w:rsidRPr="00387417">
        <w:tab/>
      </w:r>
      <w:r w:rsidRPr="00387417">
        <w:rPr>
          <w:rStyle w:val="TableHeadingChar"/>
          <w:b/>
          <w:iCs/>
        </w:rPr>
        <w:t>($ thousand)</w:t>
      </w:r>
    </w:p>
    <w:tbl>
      <w:tblPr>
        <w:tblStyle w:val="DTFTableNumeric"/>
        <w:tblW w:w="5000" w:type="pct"/>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30_and_31"/>
      </w:tblPr>
      <w:tblGrid>
        <w:gridCol w:w="4253"/>
        <w:gridCol w:w="1559"/>
        <w:gridCol w:w="2126"/>
        <w:gridCol w:w="1700"/>
      </w:tblGrid>
      <w:tr w:rsidR="009D33A8" w14:paraId="5ECC63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44E684CE" w14:textId="23DB58F3" w:rsidR="009D33A8" w:rsidRDefault="009D33A8">
            <w:pPr>
              <w:keepNext/>
            </w:pPr>
            <w:r>
              <w:t>Department</w:t>
            </w:r>
          </w:p>
        </w:tc>
        <w:tc>
          <w:tcPr>
            <w:tcW w:w="1559" w:type="dxa"/>
          </w:tcPr>
          <w:p w14:paraId="5A81ACD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br/>
              <w:t>Provision of outputs</w:t>
            </w:r>
            <w:r>
              <w:br/>
              <w:t>Increase/(Decrease)</w:t>
            </w:r>
          </w:p>
        </w:tc>
        <w:tc>
          <w:tcPr>
            <w:tcW w:w="2126" w:type="dxa"/>
          </w:tcPr>
          <w:p w14:paraId="3BCFFA4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Additions to net asset base</w:t>
            </w:r>
            <w:r>
              <w:br/>
              <w:t>Increase/(Decrease)</w:t>
            </w:r>
          </w:p>
        </w:tc>
        <w:tc>
          <w:tcPr>
            <w:tcW w:w="1700" w:type="dxa"/>
          </w:tcPr>
          <w:p w14:paraId="34C0AD7D"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Payments made on behalf of the State</w:t>
            </w:r>
            <w:r>
              <w:br/>
              <w:t>Increase/(Decrease)</w:t>
            </w:r>
          </w:p>
        </w:tc>
      </w:tr>
      <w:tr w:rsidR="009D33A8" w14:paraId="6F2920D1" w14:textId="77777777">
        <w:tc>
          <w:tcPr>
            <w:cnfStyle w:val="001000000000" w:firstRow="0" w:lastRow="0" w:firstColumn="1" w:lastColumn="0" w:oddVBand="0" w:evenVBand="0" w:oddHBand="0" w:evenHBand="0" w:firstRowFirstColumn="0" w:firstRowLastColumn="0" w:lastRowFirstColumn="0" w:lastRowLastColumn="0"/>
            <w:tcW w:w="4253" w:type="dxa"/>
          </w:tcPr>
          <w:p w14:paraId="620D91AC" w14:textId="77777777" w:rsidR="009D33A8" w:rsidRDefault="009D33A8">
            <w:r>
              <w:rPr>
                <w:b/>
              </w:rPr>
              <w:t>Section 30 transfers</w:t>
            </w:r>
          </w:p>
        </w:tc>
        <w:tc>
          <w:tcPr>
            <w:tcW w:w="1559" w:type="dxa"/>
          </w:tcPr>
          <w:p w14:paraId="3D9A62F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2126" w:type="dxa"/>
          </w:tcPr>
          <w:p w14:paraId="66D3F57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700" w:type="dxa"/>
          </w:tcPr>
          <w:p w14:paraId="6C7C147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56FB00C4" w14:textId="77777777">
        <w:tc>
          <w:tcPr>
            <w:cnfStyle w:val="001000000000" w:firstRow="0" w:lastRow="0" w:firstColumn="1" w:lastColumn="0" w:oddVBand="0" w:evenVBand="0" w:oddHBand="0" w:evenHBand="0" w:firstRowFirstColumn="0" w:firstRowLastColumn="0" w:lastRowFirstColumn="0" w:lastRowLastColumn="0"/>
            <w:tcW w:w="4253" w:type="dxa"/>
          </w:tcPr>
          <w:p w14:paraId="17DCF62D" w14:textId="77777777" w:rsidR="009D33A8" w:rsidRDefault="009D33A8">
            <w:r>
              <w:rPr>
                <w:b/>
              </w:rPr>
              <w:t>(Transfers between items of departmental appropriations)</w:t>
            </w:r>
          </w:p>
        </w:tc>
        <w:tc>
          <w:tcPr>
            <w:tcW w:w="1559" w:type="dxa"/>
          </w:tcPr>
          <w:p w14:paraId="12DCE6C1"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2126" w:type="dxa"/>
          </w:tcPr>
          <w:p w14:paraId="3F8D3BC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700" w:type="dxa"/>
          </w:tcPr>
          <w:p w14:paraId="283A131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6A92E43" w14:textId="77777777">
        <w:tc>
          <w:tcPr>
            <w:cnfStyle w:val="001000000000" w:firstRow="0" w:lastRow="0" w:firstColumn="1" w:lastColumn="0" w:oddVBand="0" w:evenVBand="0" w:oddHBand="0" w:evenHBand="0" w:firstRowFirstColumn="0" w:firstRowLastColumn="0" w:lastRowFirstColumn="0" w:lastRowLastColumn="0"/>
            <w:tcW w:w="4253" w:type="dxa"/>
          </w:tcPr>
          <w:p w14:paraId="76594DDF" w14:textId="77777777" w:rsidR="009D33A8" w:rsidRDefault="009D33A8">
            <w:r>
              <w:t>Education</w:t>
            </w:r>
          </w:p>
        </w:tc>
        <w:tc>
          <w:tcPr>
            <w:tcW w:w="1559" w:type="dxa"/>
          </w:tcPr>
          <w:p w14:paraId="5B0D48B7" w14:textId="77777777" w:rsidR="009D33A8" w:rsidRDefault="009D33A8">
            <w:pPr>
              <w:cnfStyle w:val="000000000000" w:firstRow="0" w:lastRow="0" w:firstColumn="0" w:lastColumn="0" w:oddVBand="0" w:evenVBand="0" w:oddHBand="0" w:evenHBand="0" w:firstRowFirstColumn="0" w:firstRowLastColumn="0" w:lastRowFirstColumn="0" w:lastRowLastColumn="0"/>
            </w:pPr>
            <w:r>
              <w:t>(7 697)</w:t>
            </w:r>
          </w:p>
        </w:tc>
        <w:tc>
          <w:tcPr>
            <w:tcW w:w="2126" w:type="dxa"/>
          </w:tcPr>
          <w:p w14:paraId="27AB731E" w14:textId="77777777" w:rsidR="009D33A8" w:rsidRDefault="009D33A8">
            <w:pPr>
              <w:cnfStyle w:val="000000000000" w:firstRow="0" w:lastRow="0" w:firstColumn="0" w:lastColumn="0" w:oddVBand="0" w:evenVBand="0" w:oddHBand="0" w:evenHBand="0" w:firstRowFirstColumn="0" w:firstRowLastColumn="0" w:lastRowFirstColumn="0" w:lastRowLastColumn="0"/>
            </w:pPr>
            <w:r>
              <w:t>7 697</w:t>
            </w:r>
          </w:p>
        </w:tc>
        <w:tc>
          <w:tcPr>
            <w:tcW w:w="1700" w:type="dxa"/>
          </w:tcPr>
          <w:p w14:paraId="776C092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17979A95" w14:textId="77777777">
        <w:tc>
          <w:tcPr>
            <w:cnfStyle w:val="001000000000" w:firstRow="0" w:lastRow="0" w:firstColumn="1" w:lastColumn="0" w:oddVBand="0" w:evenVBand="0" w:oddHBand="0" w:evenHBand="0" w:firstRowFirstColumn="0" w:firstRowLastColumn="0" w:lastRowFirstColumn="0" w:lastRowLastColumn="0"/>
            <w:tcW w:w="4253" w:type="dxa"/>
          </w:tcPr>
          <w:p w14:paraId="23608041" w14:textId="77777777" w:rsidR="009D33A8" w:rsidRDefault="009D33A8">
            <w:r>
              <w:t>Energy, Environment and Climate Action</w:t>
            </w:r>
          </w:p>
        </w:tc>
        <w:tc>
          <w:tcPr>
            <w:tcW w:w="1559" w:type="dxa"/>
          </w:tcPr>
          <w:p w14:paraId="48251521" w14:textId="77777777" w:rsidR="009D33A8" w:rsidRDefault="009D33A8">
            <w:pPr>
              <w:cnfStyle w:val="000000000000" w:firstRow="0" w:lastRow="0" w:firstColumn="0" w:lastColumn="0" w:oddVBand="0" w:evenVBand="0" w:oddHBand="0" w:evenHBand="0" w:firstRowFirstColumn="0" w:firstRowLastColumn="0" w:lastRowFirstColumn="0" w:lastRowLastColumn="0"/>
            </w:pPr>
            <w:r>
              <w:t>(4 566)</w:t>
            </w:r>
          </w:p>
        </w:tc>
        <w:tc>
          <w:tcPr>
            <w:tcW w:w="2126" w:type="dxa"/>
          </w:tcPr>
          <w:p w14:paraId="51A872D2" w14:textId="77777777" w:rsidR="009D33A8" w:rsidRDefault="009D33A8">
            <w:pPr>
              <w:cnfStyle w:val="000000000000" w:firstRow="0" w:lastRow="0" w:firstColumn="0" w:lastColumn="0" w:oddVBand="0" w:evenVBand="0" w:oddHBand="0" w:evenHBand="0" w:firstRowFirstColumn="0" w:firstRowLastColumn="0" w:lastRowFirstColumn="0" w:lastRowLastColumn="0"/>
            </w:pPr>
            <w:r>
              <w:t>4 566</w:t>
            </w:r>
          </w:p>
        </w:tc>
        <w:tc>
          <w:tcPr>
            <w:tcW w:w="1700" w:type="dxa"/>
          </w:tcPr>
          <w:p w14:paraId="4649C85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93C90A5" w14:textId="77777777">
        <w:tc>
          <w:tcPr>
            <w:cnfStyle w:val="001000000000" w:firstRow="0" w:lastRow="0" w:firstColumn="1" w:lastColumn="0" w:oddVBand="0" w:evenVBand="0" w:oddHBand="0" w:evenHBand="0" w:firstRowFirstColumn="0" w:firstRowLastColumn="0" w:lastRowFirstColumn="0" w:lastRowLastColumn="0"/>
            <w:tcW w:w="4253" w:type="dxa"/>
          </w:tcPr>
          <w:p w14:paraId="2E120BF7" w14:textId="77777777" w:rsidR="009D33A8" w:rsidRDefault="009D33A8">
            <w:r>
              <w:t>Families, Fairness and Housing</w:t>
            </w:r>
          </w:p>
        </w:tc>
        <w:tc>
          <w:tcPr>
            <w:tcW w:w="1559" w:type="dxa"/>
          </w:tcPr>
          <w:p w14:paraId="0561C14D" w14:textId="77777777" w:rsidR="009D33A8" w:rsidRDefault="009D33A8">
            <w:pPr>
              <w:cnfStyle w:val="000000000000" w:firstRow="0" w:lastRow="0" w:firstColumn="0" w:lastColumn="0" w:oddVBand="0" w:evenVBand="0" w:oddHBand="0" w:evenHBand="0" w:firstRowFirstColumn="0" w:firstRowLastColumn="0" w:lastRowFirstColumn="0" w:lastRowLastColumn="0"/>
            </w:pPr>
            <w:r>
              <w:t>(7 524)</w:t>
            </w:r>
          </w:p>
        </w:tc>
        <w:tc>
          <w:tcPr>
            <w:tcW w:w="2126" w:type="dxa"/>
          </w:tcPr>
          <w:p w14:paraId="12414DCA" w14:textId="77777777" w:rsidR="009D33A8" w:rsidRDefault="009D33A8">
            <w:pPr>
              <w:cnfStyle w:val="000000000000" w:firstRow="0" w:lastRow="0" w:firstColumn="0" w:lastColumn="0" w:oddVBand="0" w:evenVBand="0" w:oddHBand="0" w:evenHBand="0" w:firstRowFirstColumn="0" w:firstRowLastColumn="0" w:lastRowFirstColumn="0" w:lastRowLastColumn="0"/>
            </w:pPr>
            <w:r>
              <w:t>7 524</w:t>
            </w:r>
          </w:p>
        </w:tc>
        <w:tc>
          <w:tcPr>
            <w:tcW w:w="1700" w:type="dxa"/>
          </w:tcPr>
          <w:p w14:paraId="6E51F54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1B5CEDD6" w14:textId="77777777">
        <w:tc>
          <w:tcPr>
            <w:cnfStyle w:val="001000000000" w:firstRow="0" w:lastRow="0" w:firstColumn="1" w:lastColumn="0" w:oddVBand="0" w:evenVBand="0" w:oddHBand="0" w:evenHBand="0" w:firstRowFirstColumn="0" w:firstRowLastColumn="0" w:lastRowFirstColumn="0" w:lastRowLastColumn="0"/>
            <w:tcW w:w="4253" w:type="dxa"/>
          </w:tcPr>
          <w:p w14:paraId="0385E595" w14:textId="77777777" w:rsidR="009D33A8" w:rsidRDefault="009D33A8">
            <w:r>
              <w:t>Government Services</w:t>
            </w:r>
          </w:p>
        </w:tc>
        <w:tc>
          <w:tcPr>
            <w:tcW w:w="1559" w:type="dxa"/>
          </w:tcPr>
          <w:p w14:paraId="42C53E39" w14:textId="77777777" w:rsidR="009D33A8" w:rsidRDefault="009D33A8">
            <w:pPr>
              <w:cnfStyle w:val="000000000000" w:firstRow="0" w:lastRow="0" w:firstColumn="0" w:lastColumn="0" w:oddVBand="0" w:evenVBand="0" w:oddHBand="0" w:evenHBand="0" w:firstRowFirstColumn="0" w:firstRowLastColumn="0" w:lastRowFirstColumn="0" w:lastRowLastColumn="0"/>
            </w:pPr>
            <w:r>
              <w:t>1 500</w:t>
            </w:r>
          </w:p>
        </w:tc>
        <w:tc>
          <w:tcPr>
            <w:tcW w:w="2126" w:type="dxa"/>
          </w:tcPr>
          <w:p w14:paraId="23F0FA48" w14:textId="77777777" w:rsidR="009D33A8" w:rsidRDefault="009D33A8">
            <w:pPr>
              <w:cnfStyle w:val="000000000000" w:firstRow="0" w:lastRow="0" w:firstColumn="0" w:lastColumn="0" w:oddVBand="0" w:evenVBand="0" w:oddHBand="0" w:evenHBand="0" w:firstRowFirstColumn="0" w:firstRowLastColumn="0" w:lastRowFirstColumn="0" w:lastRowLastColumn="0"/>
            </w:pPr>
            <w:r>
              <w:t>(1 500)</w:t>
            </w:r>
          </w:p>
        </w:tc>
        <w:tc>
          <w:tcPr>
            <w:tcW w:w="1700" w:type="dxa"/>
          </w:tcPr>
          <w:p w14:paraId="6EBE735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091501C" w14:textId="77777777">
        <w:tc>
          <w:tcPr>
            <w:cnfStyle w:val="001000000000" w:firstRow="0" w:lastRow="0" w:firstColumn="1" w:lastColumn="0" w:oddVBand="0" w:evenVBand="0" w:oddHBand="0" w:evenHBand="0" w:firstRowFirstColumn="0" w:firstRowLastColumn="0" w:lastRowFirstColumn="0" w:lastRowLastColumn="0"/>
            <w:tcW w:w="4253" w:type="dxa"/>
          </w:tcPr>
          <w:p w14:paraId="571CFAFD" w14:textId="77777777" w:rsidR="009D33A8" w:rsidRDefault="009D33A8">
            <w:r>
              <w:t>Health</w:t>
            </w:r>
            <w:r>
              <w:rPr>
                <w:vertAlign w:val="superscript"/>
              </w:rPr>
              <w:t xml:space="preserve"> </w:t>
            </w:r>
          </w:p>
        </w:tc>
        <w:tc>
          <w:tcPr>
            <w:tcW w:w="1559" w:type="dxa"/>
          </w:tcPr>
          <w:p w14:paraId="0DD5AA5C" w14:textId="77777777" w:rsidR="009D33A8" w:rsidRDefault="009D33A8">
            <w:pPr>
              <w:cnfStyle w:val="000000000000" w:firstRow="0" w:lastRow="0" w:firstColumn="0" w:lastColumn="0" w:oddVBand="0" w:evenVBand="0" w:oddHBand="0" w:evenHBand="0" w:firstRowFirstColumn="0" w:firstRowLastColumn="0" w:lastRowFirstColumn="0" w:lastRowLastColumn="0"/>
            </w:pPr>
            <w:r>
              <w:t>103 459</w:t>
            </w:r>
          </w:p>
        </w:tc>
        <w:tc>
          <w:tcPr>
            <w:tcW w:w="2126" w:type="dxa"/>
          </w:tcPr>
          <w:p w14:paraId="58F534DB" w14:textId="77777777" w:rsidR="009D33A8" w:rsidRDefault="009D33A8">
            <w:pPr>
              <w:cnfStyle w:val="000000000000" w:firstRow="0" w:lastRow="0" w:firstColumn="0" w:lastColumn="0" w:oddVBand="0" w:evenVBand="0" w:oddHBand="0" w:evenHBand="0" w:firstRowFirstColumn="0" w:firstRowLastColumn="0" w:lastRowFirstColumn="0" w:lastRowLastColumn="0"/>
            </w:pPr>
            <w:r>
              <w:t>(103 459)</w:t>
            </w:r>
          </w:p>
        </w:tc>
        <w:tc>
          <w:tcPr>
            <w:tcW w:w="1700" w:type="dxa"/>
          </w:tcPr>
          <w:p w14:paraId="51F9A08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9DB6CFB" w14:textId="77777777">
        <w:tc>
          <w:tcPr>
            <w:cnfStyle w:val="001000000000" w:firstRow="0" w:lastRow="0" w:firstColumn="1" w:lastColumn="0" w:oddVBand="0" w:evenVBand="0" w:oddHBand="0" w:evenHBand="0" w:firstRowFirstColumn="0" w:firstRowLastColumn="0" w:lastRowFirstColumn="0" w:lastRowLastColumn="0"/>
            <w:tcW w:w="4253" w:type="dxa"/>
          </w:tcPr>
          <w:p w14:paraId="11BB2AED" w14:textId="77777777" w:rsidR="009D33A8" w:rsidRDefault="009D33A8">
            <w:r>
              <w:t>Jobs, Skills, Industry and Regions</w:t>
            </w:r>
          </w:p>
        </w:tc>
        <w:tc>
          <w:tcPr>
            <w:tcW w:w="1559" w:type="dxa"/>
          </w:tcPr>
          <w:p w14:paraId="546A772D" w14:textId="77777777" w:rsidR="009D33A8" w:rsidRDefault="009D33A8">
            <w:pPr>
              <w:cnfStyle w:val="000000000000" w:firstRow="0" w:lastRow="0" w:firstColumn="0" w:lastColumn="0" w:oddVBand="0" w:evenVBand="0" w:oddHBand="0" w:evenHBand="0" w:firstRowFirstColumn="0" w:firstRowLastColumn="0" w:lastRowFirstColumn="0" w:lastRowLastColumn="0"/>
            </w:pPr>
            <w:r>
              <w:t>(2 141)</w:t>
            </w:r>
          </w:p>
        </w:tc>
        <w:tc>
          <w:tcPr>
            <w:tcW w:w="2126" w:type="dxa"/>
          </w:tcPr>
          <w:p w14:paraId="136AD237" w14:textId="77777777" w:rsidR="009D33A8" w:rsidRDefault="009D33A8">
            <w:pPr>
              <w:cnfStyle w:val="000000000000" w:firstRow="0" w:lastRow="0" w:firstColumn="0" w:lastColumn="0" w:oddVBand="0" w:evenVBand="0" w:oddHBand="0" w:evenHBand="0" w:firstRowFirstColumn="0" w:firstRowLastColumn="0" w:lastRowFirstColumn="0" w:lastRowLastColumn="0"/>
            </w:pPr>
            <w:r>
              <w:t>2 141</w:t>
            </w:r>
          </w:p>
        </w:tc>
        <w:tc>
          <w:tcPr>
            <w:tcW w:w="1700" w:type="dxa"/>
          </w:tcPr>
          <w:p w14:paraId="040F4BC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61138857" w14:textId="77777777">
        <w:tc>
          <w:tcPr>
            <w:cnfStyle w:val="001000000000" w:firstRow="0" w:lastRow="0" w:firstColumn="1" w:lastColumn="0" w:oddVBand="0" w:evenVBand="0" w:oddHBand="0" w:evenHBand="0" w:firstRowFirstColumn="0" w:firstRowLastColumn="0" w:lastRowFirstColumn="0" w:lastRowLastColumn="0"/>
            <w:tcW w:w="4253" w:type="dxa"/>
          </w:tcPr>
          <w:p w14:paraId="51F0C8E7" w14:textId="77777777" w:rsidR="009D33A8" w:rsidRDefault="009D33A8">
            <w:r>
              <w:t>Justice and Community Safety</w:t>
            </w:r>
          </w:p>
        </w:tc>
        <w:tc>
          <w:tcPr>
            <w:tcW w:w="1559" w:type="dxa"/>
          </w:tcPr>
          <w:p w14:paraId="1D581917" w14:textId="77777777" w:rsidR="009D33A8" w:rsidRDefault="009D33A8">
            <w:pPr>
              <w:cnfStyle w:val="000000000000" w:firstRow="0" w:lastRow="0" w:firstColumn="0" w:lastColumn="0" w:oddVBand="0" w:evenVBand="0" w:oddHBand="0" w:evenHBand="0" w:firstRowFirstColumn="0" w:firstRowLastColumn="0" w:lastRowFirstColumn="0" w:lastRowLastColumn="0"/>
            </w:pPr>
            <w:r>
              <w:t>(79 684)</w:t>
            </w:r>
          </w:p>
        </w:tc>
        <w:tc>
          <w:tcPr>
            <w:tcW w:w="2126" w:type="dxa"/>
          </w:tcPr>
          <w:p w14:paraId="57C752A8" w14:textId="77777777" w:rsidR="009D33A8" w:rsidRDefault="009D33A8">
            <w:pPr>
              <w:cnfStyle w:val="000000000000" w:firstRow="0" w:lastRow="0" w:firstColumn="0" w:lastColumn="0" w:oddVBand="0" w:evenVBand="0" w:oddHBand="0" w:evenHBand="0" w:firstRowFirstColumn="0" w:firstRowLastColumn="0" w:lastRowFirstColumn="0" w:lastRowLastColumn="0"/>
            </w:pPr>
            <w:r>
              <w:t>77 184</w:t>
            </w:r>
          </w:p>
        </w:tc>
        <w:tc>
          <w:tcPr>
            <w:tcW w:w="1700" w:type="dxa"/>
          </w:tcPr>
          <w:p w14:paraId="14BAE5EE" w14:textId="77777777" w:rsidR="009D33A8" w:rsidRDefault="009D33A8">
            <w:pPr>
              <w:cnfStyle w:val="000000000000" w:firstRow="0" w:lastRow="0" w:firstColumn="0" w:lastColumn="0" w:oddVBand="0" w:evenVBand="0" w:oddHBand="0" w:evenHBand="0" w:firstRowFirstColumn="0" w:firstRowLastColumn="0" w:lastRowFirstColumn="0" w:lastRowLastColumn="0"/>
            </w:pPr>
            <w:r>
              <w:t>2 500</w:t>
            </w:r>
          </w:p>
        </w:tc>
      </w:tr>
      <w:tr w:rsidR="009D33A8" w14:paraId="4D688980" w14:textId="77777777">
        <w:tc>
          <w:tcPr>
            <w:cnfStyle w:val="001000000000" w:firstRow="0" w:lastRow="0" w:firstColumn="1" w:lastColumn="0" w:oddVBand="0" w:evenVBand="0" w:oddHBand="0" w:evenHBand="0" w:firstRowFirstColumn="0" w:firstRowLastColumn="0" w:lastRowFirstColumn="0" w:lastRowLastColumn="0"/>
            <w:tcW w:w="4253" w:type="dxa"/>
          </w:tcPr>
          <w:p w14:paraId="45626A3D" w14:textId="77777777" w:rsidR="009D33A8" w:rsidRDefault="009D33A8">
            <w:r>
              <w:t>Premier and Cabinet</w:t>
            </w:r>
          </w:p>
        </w:tc>
        <w:tc>
          <w:tcPr>
            <w:tcW w:w="1559" w:type="dxa"/>
          </w:tcPr>
          <w:p w14:paraId="6B9290EE" w14:textId="77777777" w:rsidR="009D33A8" w:rsidRDefault="009D33A8">
            <w:pPr>
              <w:cnfStyle w:val="000000000000" w:firstRow="0" w:lastRow="0" w:firstColumn="0" w:lastColumn="0" w:oddVBand="0" w:evenVBand="0" w:oddHBand="0" w:evenHBand="0" w:firstRowFirstColumn="0" w:firstRowLastColumn="0" w:lastRowFirstColumn="0" w:lastRowLastColumn="0"/>
            </w:pPr>
            <w:r>
              <w:t>10 606</w:t>
            </w:r>
          </w:p>
        </w:tc>
        <w:tc>
          <w:tcPr>
            <w:tcW w:w="2126" w:type="dxa"/>
          </w:tcPr>
          <w:p w14:paraId="70CEF471" w14:textId="77777777" w:rsidR="009D33A8" w:rsidRDefault="009D33A8">
            <w:pPr>
              <w:cnfStyle w:val="000000000000" w:firstRow="0" w:lastRow="0" w:firstColumn="0" w:lastColumn="0" w:oddVBand="0" w:evenVBand="0" w:oddHBand="0" w:evenHBand="0" w:firstRowFirstColumn="0" w:firstRowLastColumn="0" w:lastRowFirstColumn="0" w:lastRowLastColumn="0"/>
            </w:pPr>
            <w:r>
              <w:t>(10 606)</w:t>
            </w:r>
          </w:p>
        </w:tc>
        <w:tc>
          <w:tcPr>
            <w:tcW w:w="1700" w:type="dxa"/>
          </w:tcPr>
          <w:p w14:paraId="4E84882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7B9665A3" w14:textId="77777777">
        <w:tc>
          <w:tcPr>
            <w:cnfStyle w:val="001000000000" w:firstRow="0" w:lastRow="0" w:firstColumn="1" w:lastColumn="0" w:oddVBand="0" w:evenVBand="0" w:oddHBand="0" w:evenHBand="0" w:firstRowFirstColumn="0" w:firstRowLastColumn="0" w:lastRowFirstColumn="0" w:lastRowLastColumn="0"/>
            <w:tcW w:w="4253" w:type="dxa"/>
          </w:tcPr>
          <w:p w14:paraId="3E6FCFF6" w14:textId="77777777" w:rsidR="009D33A8" w:rsidRDefault="009D33A8">
            <w:r>
              <w:t>Transport and Planning</w:t>
            </w:r>
          </w:p>
        </w:tc>
        <w:tc>
          <w:tcPr>
            <w:tcW w:w="1559" w:type="dxa"/>
          </w:tcPr>
          <w:p w14:paraId="6289EFC0" w14:textId="77777777" w:rsidR="009D33A8" w:rsidRDefault="009D33A8">
            <w:pPr>
              <w:cnfStyle w:val="000000000000" w:firstRow="0" w:lastRow="0" w:firstColumn="0" w:lastColumn="0" w:oddVBand="0" w:evenVBand="0" w:oddHBand="0" w:evenHBand="0" w:firstRowFirstColumn="0" w:firstRowLastColumn="0" w:lastRowFirstColumn="0" w:lastRowLastColumn="0"/>
            </w:pPr>
            <w:r>
              <w:t>202 612</w:t>
            </w:r>
          </w:p>
        </w:tc>
        <w:tc>
          <w:tcPr>
            <w:tcW w:w="2126" w:type="dxa"/>
          </w:tcPr>
          <w:p w14:paraId="60BF7B5B" w14:textId="77777777" w:rsidR="009D33A8" w:rsidRDefault="009D33A8">
            <w:pPr>
              <w:cnfStyle w:val="000000000000" w:firstRow="0" w:lastRow="0" w:firstColumn="0" w:lastColumn="0" w:oddVBand="0" w:evenVBand="0" w:oddHBand="0" w:evenHBand="0" w:firstRowFirstColumn="0" w:firstRowLastColumn="0" w:lastRowFirstColumn="0" w:lastRowLastColumn="0"/>
            </w:pPr>
            <w:r>
              <w:t>(202 612)</w:t>
            </w:r>
          </w:p>
        </w:tc>
        <w:tc>
          <w:tcPr>
            <w:tcW w:w="1700" w:type="dxa"/>
          </w:tcPr>
          <w:p w14:paraId="2CEC2D6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29F78500" w14:textId="77777777">
        <w:tc>
          <w:tcPr>
            <w:cnfStyle w:val="001000000000" w:firstRow="0" w:lastRow="0" w:firstColumn="1" w:lastColumn="0" w:oddVBand="0" w:evenVBand="0" w:oddHBand="0" w:evenHBand="0" w:firstRowFirstColumn="0" w:firstRowLastColumn="0" w:lastRowFirstColumn="0" w:lastRowLastColumn="0"/>
            <w:tcW w:w="4253" w:type="dxa"/>
          </w:tcPr>
          <w:p w14:paraId="53C61846" w14:textId="77777777" w:rsidR="009D33A8" w:rsidRDefault="009D33A8">
            <w:r>
              <w:t>Treasury and Finance</w:t>
            </w:r>
          </w:p>
        </w:tc>
        <w:tc>
          <w:tcPr>
            <w:tcW w:w="1559" w:type="dxa"/>
          </w:tcPr>
          <w:p w14:paraId="719E0B38" w14:textId="77777777" w:rsidR="009D33A8" w:rsidRDefault="009D33A8">
            <w:pPr>
              <w:cnfStyle w:val="000000000000" w:firstRow="0" w:lastRow="0" w:firstColumn="0" w:lastColumn="0" w:oddVBand="0" w:evenVBand="0" w:oddHBand="0" w:evenHBand="0" w:firstRowFirstColumn="0" w:firstRowLastColumn="0" w:lastRowFirstColumn="0" w:lastRowLastColumn="0"/>
            </w:pPr>
            <w:r>
              <w:t>3 000</w:t>
            </w:r>
          </w:p>
        </w:tc>
        <w:tc>
          <w:tcPr>
            <w:tcW w:w="2126" w:type="dxa"/>
          </w:tcPr>
          <w:p w14:paraId="572162B9" w14:textId="77777777" w:rsidR="009D33A8" w:rsidRDefault="009D33A8">
            <w:pPr>
              <w:cnfStyle w:val="000000000000" w:firstRow="0" w:lastRow="0" w:firstColumn="0" w:lastColumn="0" w:oddVBand="0" w:evenVBand="0" w:oddHBand="0" w:evenHBand="0" w:firstRowFirstColumn="0" w:firstRowLastColumn="0" w:lastRowFirstColumn="0" w:lastRowLastColumn="0"/>
            </w:pPr>
            <w:r>
              <w:t>(3 000)</w:t>
            </w:r>
          </w:p>
        </w:tc>
        <w:tc>
          <w:tcPr>
            <w:tcW w:w="1700" w:type="dxa"/>
          </w:tcPr>
          <w:p w14:paraId="36D524F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5B91DBC" w14:textId="77777777">
        <w:tc>
          <w:tcPr>
            <w:cnfStyle w:val="001000000000" w:firstRow="0" w:lastRow="0" w:firstColumn="1" w:lastColumn="0" w:oddVBand="0" w:evenVBand="0" w:oddHBand="0" w:evenHBand="0" w:firstRowFirstColumn="0" w:firstRowLastColumn="0" w:lastRowFirstColumn="0" w:lastRowLastColumn="0"/>
            <w:tcW w:w="4253" w:type="dxa"/>
          </w:tcPr>
          <w:p w14:paraId="17B61B1B" w14:textId="77777777" w:rsidR="009D33A8" w:rsidRDefault="009D33A8">
            <w:r>
              <w:t>Parliament</w:t>
            </w:r>
          </w:p>
        </w:tc>
        <w:tc>
          <w:tcPr>
            <w:tcW w:w="1559" w:type="dxa"/>
          </w:tcPr>
          <w:p w14:paraId="403AA6F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2126" w:type="dxa"/>
          </w:tcPr>
          <w:p w14:paraId="25230DA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700" w:type="dxa"/>
          </w:tcPr>
          <w:p w14:paraId="4CCF3F3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8B02BD2" w14:textId="77777777">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69B69FB1" w14:textId="77777777" w:rsidR="009D33A8" w:rsidRDefault="009D33A8">
            <w:r>
              <w:t>Courts</w:t>
            </w:r>
          </w:p>
        </w:tc>
        <w:tc>
          <w:tcPr>
            <w:tcW w:w="1559" w:type="dxa"/>
            <w:tcBorders>
              <w:bottom w:val="single" w:sz="6" w:space="0" w:color="auto"/>
            </w:tcBorders>
          </w:tcPr>
          <w:p w14:paraId="1E1946C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2126" w:type="dxa"/>
            <w:tcBorders>
              <w:bottom w:val="single" w:sz="6" w:space="0" w:color="auto"/>
            </w:tcBorders>
          </w:tcPr>
          <w:p w14:paraId="4ABE303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700" w:type="dxa"/>
            <w:tcBorders>
              <w:bottom w:val="single" w:sz="6" w:space="0" w:color="auto"/>
            </w:tcBorders>
          </w:tcPr>
          <w:p w14:paraId="7D4B9C1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4E4C599D" w14:textId="77777777">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798DEEBA" w14:textId="77777777" w:rsidR="009D33A8" w:rsidRDefault="009D33A8">
            <w:r>
              <w:rPr>
                <w:b/>
              </w:rPr>
              <w:t>Total Section 30 transfers</w:t>
            </w:r>
          </w:p>
        </w:tc>
        <w:tc>
          <w:tcPr>
            <w:tcW w:w="1559" w:type="dxa"/>
            <w:tcBorders>
              <w:top w:val="single" w:sz="6" w:space="0" w:color="auto"/>
              <w:bottom w:val="single" w:sz="12" w:space="0" w:color="auto"/>
            </w:tcBorders>
          </w:tcPr>
          <w:p w14:paraId="550C54C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219 564</w:t>
            </w:r>
          </w:p>
        </w:tc>
        <w:tc>
          <w:tcPr>
            <w:tcW w:w="2126" w:type="dxa"/>
            <w:tcBorders>
              <w:top w:val="single" w:sz="6" w:space="0" w:color="auto"/>
              <w:bottom w:val="single" w:sz="12" w:space="0" w:color="auto"/>
            </w:tcBorders>
          </w:tcPr>
          <w:p w14:paraId="551E006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(222 064)</w:t>
            </w:r>
          </w:p>
        </w:tc>
        <w:tc>
          <w:tcPr>
            <w:tcW w:w="1700" w:type="dxa"/>
            <w:tcBorders>
              <w:top w:val="single" w:sz="6" w:space="0" w:color="auto"/>
              <w:bottom w:val="single" w:sz="12" w:space="0" w:color="auto"/>
            </w:tcBorders>
          </w:tcPr>
          <w:p w14:paraId="7B03727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2 500</w:t>
            </w:r>
          </w:p>
        </w:tc>
      </w:tr>
    </w:tbl>
    <w:p w14:paraId="6216B007" w14:textId="77777777" w:rsidR="009D33A8" w:rsidRDefault="009D33A8" w:rsidP="009D33A8"/>
    <w:p w14:paraId="1B6BEE23" w14:textId="45D03164" w:rsidR="009D33A8" w:rsidRPr="00387417" w:rsidRDefault="009D33A8" w:rsidP="00387417">
      <w:pPr>
        <w:pStyle w:val="TableHeading"/>
        <w:rPr>
          <w:rStyle w:val="TableHeadingChar"/>
          <w:b/>
          <w:iCs/>
        </w:rPr>
      </w:pPr>
      <w:r w:rsidRPr="00387417">
        <w:rPr>
          <w:rStyle w:val="TableHeadingChar"/>
          <w:b/>
          <w:iCs/>
        </w:rPr>
        <w:t xml:space="preserve">Transfers pursuant to Section 31 of the </w:t>
      </w:r>
      <w:r w:rsidRPr="00387417">
        <w:rPr>
          <w:rStyle w:val="TableHeadingChar"/>
          <w:b/>
          <w:i/>
        </w:rPr>
        <w:t>Financial Management Act 1994</w:t>
      </w:r>
    </w:p>
    <w:p w14:paraId="169B7648" w14:textId="77777777" w:rsidR="009D33A8" w:rsidRDefault="009D33A8" w:rsidP="009D33A8">
      <w:r w:rsidRPr="00994D84">
        <w:t xml:space="preserve">There have been no </w:t>
      </w:r>
      <w:r>
        <w:t xml:space="preserve">transfers pursuant to Section 31 in 2024-25. </w:t>
      </w:r>
    </w:p>
    <w:p w14:paraId="7F0A4BCA" w14:textId="204487EF" w:rsidR="009D33A8" w:rsidRDefault="009D33A8" w:rsidP="009D33A8">
      <w:pPr>
        <w:keepLines w:val="0"/>
        <w:rPr>
          <w:rFonts w:asciiTheme="majorHAnsi" w:eastAsiaTheme="majorEastAsia" w:hAnsiTheme="majorHAnsi" w:cstheme="majorBidi"/>
          <w:b/>
          <w:sz w:val="23"/>
          <w:szCs w:val="24"/>
        </w:rPr>
      </w:pPr>
      <w:bookmarkStart w:id="164" w:name="_Toc114670300"/>
    </w:p>
    <w:p w14:paraId="27885B0D" w14:textId="77777777" w:rsidR="003A1311" w:rsidRDefault="003A1311">
      <w:pPr>
        <w:keepLines w:val="0"/>
        <w:rPr>
          <w:rFonts w:asciiTheme="majorHAnsi" w:eastAsiaTheme="majorEastAsia" w:hAnsiTheme="majorHAnsi" w:cstheme="majorBidi"/>
          <w:b/>
          <w:sz w:val="23"/>
          <w:szCs w:val="24"/>
        </w:rPr>
      </w:pPr>
      <w:bookmarkStart w:id="165" w:name="_Toc209479927"/>
      <w:r>
        <w:br w:type="page"/>
      </w:r>
    </w:p>
    <w:p w14:paraId="490A72AD" w14:textId="5E817592" w:rsidR="009D33A8" w:rsidRDefault="009D33A8" w:rsidP="009D33A8">
      <w:pPr>
        <w:pStyle w:val="Heading3"/>
      </w:pPr>
      <w:r>
        <w:lastRenderedPageBreak/>
        <w:t>7.2.11</w:t>
      </w:r>
      <w:r>
        <w:tab/>
      </w:r>
      <w:r w:rsidRPr="007B2989">
        <w:t>Appropriation of revenue and asset sale proceed</w:t>
      </w:r>
      <w:r>
        <w:t xml:space="preserve">s pursuant to Section 29 of the </w:t>
      </w:r>
      <w:r>
        <w:br/>
      </w:r>
      <w:r w:rsidRPr="00C002C8">
        <w:rPr>
          <w:i/>
        </w:rPr>
        <w:t>Financial Management Act 1994</w:t>
      </w:r>
      <w:r w:rsidRPr="007B2989">
        <w:t xml:space="preserve"> for the financial year ended 30 June</w:t>
      </w:r>
      <w:r>
        <w:tab/>
      </w:r>
      <w:r w:rsidRPr="004269AE">
        <w:rPr>
          <w:sz w:val="20"/>
          <w:szCs w:val="20"/>
        </w:rPr>
        <w:t>($ thousand)</w:t>
      </w:r>
      <w:bookmarkEnd w:id="163"/>
      <w:bookmarkEnd w:id="164"/>
      <w:bookmarkEnd w:id="165"/>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29_by_department"/>
      </w:tblPr>
      <w:tblGrid>
        <w:gridCol w:w="5387"/>
        <w:gridCol w:w="1134"/>
        <w:gridCol w:w="1417"/>
        <w:gridCol w:w="851"/>
        <w:gridCol w:w="849"/>
      </w:tblGrid>
      <w:tr w:rsidR="00940F7B" w14:paraId="5B2275F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30DE3F13" w14:textId="77777777" w:rsidR="009D33A8" w:rsidRDefault="009D33A8">
            <w:pPr>
              <w:keepNext/>
            </w:pPr>
          </w:p>
        </w:tc>
        <w:tc>
          <w:tcPr>
            <w:tcW w:w="1134" w:type="dxa"/>
          </w:tcPr>
          <w:p w14:paraId="592688C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1417" w:type="dxa"/>
          </w:tcPr>
          <w:p w14:paraId="365A221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 Source</w:t>
            </w:r>
          </w:p>
        </w:tc>
        <w:tc>
          <w:tcPr>
            <w:tcW w:w="851" w:type="dxa"/>
          </w:tcPr>
          <w:p w14:paraId="3AD9D5F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c>
          <w:tcPr>
            <w:tcW w:w="849" w:type="dxa"/>
          </w:tcPr>
          <w:p w14:paraId="51F2653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p>
        </w:tc>
      </w:tr>
      <w:tr w:rsidR="00940F7B" w14:paraId="4AB6E9B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5414E717" w14:textId="77777777" w:rsidR="009D33A8" w:rsidRDefault="009D33A8">
            <w:pPr>
              <w:keepNext/>
            </w:pPr>
            <w:r>
              <w:t>Department</w:t>
            </w:r>
          </w:p>
        </w:tc>
        <w:tc>
          <w:tcPr>
            <w:tcW w:w="1134" w:type="dxa"/>
          </w:tcPr>
          <w:p w14:paraId="40F22D1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Outputs</w:t>
            </w:r>
          </w:p>
        </w:tc>
        <w:tc>
          <w:tcPr>
            <w:tcW w:w="1417" w:type="dxa"/>
          </w:tcPr>
          <w:p w14:paraId="25B83C4C"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Commonwealth</w:t>
            </w:r>
          </w:p>
        </w:tc>
        <w:tc>
          <w:tcPr>
            <w:tcW w:w="851" w:type="dxa"/>
          </w:tcPr>
          <w:p w14:paraId="27EDF5E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Other</w:t>
            </w:r>
          </w:p>
        </w:tc>
        <w:tc>
          <w:tcPr>
            <w:tcW w:w="849" w:type="dxa"/>
          </w:tcPr>
          <w:p w14:paraId="6EFF1433"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Total</w:t>
            </w:r>
          </w:p>
        </w:tc>
      </w:tr>
      <w:tr w:rsidR="009D33A8" w14:paraId="3045BE47" w14:textId="77777777">
        <w:tc>
          <w:tcPr>
            <w:cnfStyle w:val="001000000000" w:firstRow="0" w:lastRow="0" w:firstColumn="1" w:lastColumn="0" w:oddVBand="0" w:evenVBand="0" w:oddHBand="0" w:evenHBand="0" w:firstRowFirstColumn="0" w:firstRowLastColumn="0" w:lastRowFirstColumn="0" w:lastRowLastColumn="0"/>
            <w:tcW w:w="5387" w:type="dxa"/>
          </w:tcPr>
          <w:p w14:paraId="66307DEC" w14:textId="77777777" w:rsidR="009D33A8" w:rsidRDefault="009D33A8">
            <w:r>
              <w:t>Education</w:t>
            </w:r>
          </w:p>
        </w:tc>
        <w:tc>
          <w:tcPr>
            <w:tcW w:w="1134" w:type="dxa"/>
          </w:tcPr>
          <w:p w14:paraId="6D5BB746" w14:textId="77777777" w:rsidR="009D33A8" w:rsidRDefault="009D33A8">
            <w:pPr>
              <w:cnfStyle w:val="000000000000" w:firstRow="0" w:lastRow="0" w:firstColumn="0" w:lastColumn="0" w:oddVBand="0" w:evenVBand="0" w:oddHBand="0" w:evenHBand="0" w:firstRowFirstColumn="0" w:firstRowLastColumn="0" w:lastRowFirstColumn="0" w:lastRowLastColumn="0"/>
            </w:pPr>
            <w:r>
              <w:t>120 630</w:t>
            </w:r>
          </w:p>
        </w:tc>
        <w:tc>
          <w:tcPr>
            <w:tcW w:w="1417" w:type="dxa"/>
          </w:tcPr>
          <w:p w14:paraId="7292F1E3" w14:textId="77777777" w:rsidR="009D33A8" w:rsidRDefault="009D33A8">
            <w:pPr>
              <w:cnfStyle w:val="000000000000" w:firstRow="0" w:lastRow="0" w:firstColumn="0" w:lastColumn="0" w:oddVBand="0" w:evenVBand="0" w:oddHBand="0" w:evenHBand="0" w:firstRowFirstColumn="0" w:firstRowLastColumn="0" w:lastRowFirstColumn="0" w:lastRowLastColumn="0"/>
            </w:pPr>
            <w:r>
              <w:t>141 257</w:t>
            </w:r>
          </w:p>
        </w:tc>
        <w:tc>
          <w:tcPr>
            <w:tcW w:w="851" w:type="dxa"/>
          </w:tcPr>
          <w:p w14:paraId="0A567C3E" w14:textId="77777777" w:rsidR="009D33A8" w:rsidRDefault="009D33A8">
            <w:pPr>
              <w:cnfStyle w:val="000000000000" w:firstRow="0" w:lastRow="0" w:firstColumn="0" w:lastColumn="0" w:oddVBand="0" w:evenVBand="0" w:oddHBand="0" w:evenHBand="0" w:firstRowFirstColumn="0" w:firstRowLastColumn="0" w:lastRowFirstColumn="0" w:lastRowLastColumn="0"/>
            </w:pPr>
            <w:r>
              <w:t>619</w:t>
            </w:r>
          </w:p>
        </w:tc>
        <w:tc>
          <w:tcPr>
            <w:tcW w:w="849" w:type="dxa"/>
          </w:tcPr>
          <w:p w14:paraId="32E903DB" w14:textId="77777777" w:rsidR="009D33A8" w:rsidRDefault="009D33A8">
            <w:pPr>
              <w:cnfStyle w:val="000000000000" w:firstRow="0" w:lastRow="0" w:firstColumn="0" w:lastColumn="0" w:oddVBand="0" w:evenVBand="0" w:oddHBand="0" w:evenHBand="0" w:firstRowFirstColumn="0" w:firstRowLastColumn="0" w:lastRowFirstColumn="0" w:lastRowLastColumn="0"/>
            </w:pPr>
            <w:r>
              <w:t>262 506</w:t>
            </w:r>
          </w:p>
        </w:tc>
      </w:tr>
      <w:tr w:rsidR="009D33A8" w14:paraId="6CB73C1D" w14:textId="77777777">
        <w:tc>
          <w:tcPr>
            <w:cnfStyle w:val="001000000000" w:firstRow="0" w:lastRow="0" w:firstColumn="1" w:lastColumn="0" w:oddVBand="0" w:evenVBand="0" w:oddHBand="0" w:evenHBand="0" w:firstRowFirstColumn="0" w:firstRowLastColumn="0" w:lastRowFirstColumn="0" w:lastRowLastColumn="0"/>
            <w:tcW w:w="5387" w:type="dxa"/>
          </w:tcPr>
          <w:p w14:paraId="7EA17BD6" w14:textId="77777777" w:rsidR="009D33A8" w:rsidRDefault="009D33A8">
            <w:r>
              <w:t>Energy, Environment and Climate Action</w:t>
            </w:r>
          </w:p>
        </w:tc>
        <w:tc>
          <w:tcPr>
            <w:tcW w:w="1134" w:type="dxa"/>
          </w:tcPr>
          <w:p w14:paraId="1418BCFA" w14:textId="77777777" w:rsidR="009D33A8" w:rsidRDefault="009D33A8">
            <w:pPr>
              <w:cnfStyle w:val="000000000000" w:firstRow="0" w:lastRow="0" w:firstColumn="0" w:lastColumn="0" w:oddVBand="0" w:evenVBand="0" w:oddHBand="0" w:evenHBand="0" w:firstRowFirstColumn="0" w:firstRowLastColumn="0" w:lastRowFirstColumn="0" w:lastRowLastColumn="0"/>
            </w:pPr>
            <w:r>
              <w:t>119 838</w:t>
            </w:r>
          </w:p>
        </w:tc>
        <w:tc>
          <w:tcPr>
            <w:tcW w:w="1417" w:type="dxa"/>
          </w:tcPr>
          <w:p w14:paraId="14167C98" w14:textId="77777777" w:rsidR="009D33A8" w:rsidRDefault="009D33A8">
            <w:pPr>
              <w:cnfStyle w:val="000000000000" w:firstRow="0" w:lastRow="0" w:firstColumn="0" w:lastColumn="0" w:oddVBand="0" w:evenVBand="0" w:oddHBand="0" w:evenHBand="0" w:firstRowFirstColumn="0" w:firstRowLastColumn="0" w:lastRowFirstColumn="0" w:lastRowLastColumn="0"/>
            </w:pPr>
            <w:r>
              <w:t>150 325</w:t>
            </w:r>
          </w:p>
        </w:tc>
        <w:tc>
          <w:tcPr>
            <w:tcW w:w="851" w:type="dxa"/>
          </w:tcPr>
          <w:p w14:paraId="3DB6886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1E9C495D" w14:textId="77777777" w:rsidR="009D33A8" w:rsidRDefault="009D33A8">
            <w:pPr>
              <w:cnfStyle w:val="000000000000" w:firstRow="0" w:lastRow="0" w:firstColumn="0" w:lastColumn="0" w:oddVBand="0" w:evenVBand="0" w:oddHBand="0" w:evenHBand="0" w:firstRowFirstColumn="0" w:firstRowLastColumn="0" w:lastRowFirstColumn="0" w:lastRowLastColumn="0"/>
            </w:pPr>
            <w:r>
              <w:t>270 164</w:t>
            </w:r>
          </w:p>
        </w:tc>
      </w:tr>
      <w:tr w:rsidR="009D33A8" w14:paraId="58572716" w14:textId="77777777">
        <w:tc>
          <w:tcPr>
            <w:cnfStyle w:val="001000000000" w:firstRow="0" w:lastRow="0" w:firstColumn="1" w:lastColumn="0" w:oddVBand="0" w:evenVBand="0" w:oddHBand="0" w:evenHBand="0" w:firstRowFirstColumn="0" w:firstRowLastColumn="0" w:lastRowFirstColumn="0" w:lastRowLastColumn="0"/>
            <w:tcW w:w="5387" w:type="dxa"/>
          </w:tcPr>
          <w:p w14:paraId="4C8A21BD" w14:textId="77777777" w:rsidR="009D33A8" w:rsidRDefault="009D33A8">
            <w:r>
              <w:t>Families, Fairness and Housing</w:t>
            </w:r>
          </w:p>
        </w:tc>
        <w:tc>
          <w:tcPr>
            <w:tcW w:w="1134" w:type="dxa"/>
          </w:tcPr>
          <w:p w14:paraId="6A3D3D94" w14:textId="77777777" w:rsidR="009D33A8" w:rsidRDefault="009D33A8">
            <w:pPr>
              <w:cnfStyle w:val="000000000000" w:firstRow="0" w:lastRow="0" w:firstColumn="0" w:lastColumn="0" w:oddVBand="0" w:evenVBand="0" w:oddHBand="0" w:evenHBand="0" w:firstRowFirstColumn="0" w:firstRowLastColumn="0" w:lastRowFirstColumn="0" w:lastRowLastColumn="0"/>
            </w:pPr>
            <w:r>
              <w:t>42 708</w:t>
            </w:r>
          </w:p>
        </w:tc>
        <w:tc>
          <w:tcPr>
            <w:tcW w:w="1417" w:type="dxa"/>
          </w:tcPr>
          <w:p w14:paraId="4A704283" w14:textId="77777777" w:rsidR="009D33A8" w:rsidRDefault="009D33A8">
            <w:pPr>
              <w:cnfStyle w:val="000000000000" w:firstRow="0" w:lastRow="0" w:firstColumn="0" w:lastColumn="0" w:oddVBand="0" w:evenVBand="0" w:oddHBand="0" w:evenHBand="0" w:firstRowFirstColumn="0" w:firstRowLastColumn="0" w:lastRowFirstColumn="0" w:lastRowLastColumn="0"/>
            </w:pPr>
            <w:r>
              <w:t>1 329 282</w:t>
            </w:r>
          </w:p>
        </w:tc>
        <w:tc>
          <w:tcPr>
            <w:tcW w:w="851" w:type="dxa"/>
          </w:tcPr>
          <w:p w14:paraId="4FB47D12" w14:textId="77777777" w:rsidR="009D33A8" w:rsidRDefault="009D33A8">
            <w:pPr>
              <w:cnfStyle w:val="000000000000" w:firstRow="0" w:lastRow="0" w:firstColumn="0" w:lastColumn="0" w:oddVBand="0" w:evenVBand="0" w:oddHBand="0" w:evenHBand="0" w:firstRowFirstColumn="0" w:firstRowLastColumn="0" w:lastRowFirstColumn="0" w:lastRowLastColumn="0"/>
            </w:pPr>
            <w:r>
              <w:t>8 333</w:t>
            </w:r>
          </w:p>
        </w:tc>
        <w:tc>
          <w:tcPr>
            <w:tcW w:w="849" w:type="dxa"/>
          </w:tcPr>
          <w:p w14:paraId="5A2F0171" w14:textId="77777777" w:rsidR="009D33A8" w:rsidRDefault="009D33A8">
            <w:pPr>
              <w:cnfStyle w:val="000000000000" w:firstRow="0" w:lastRow="0" w:firstColumn="0" w:lastColumn="0" w:oddVBand="0" w:evenVBand="0" w:oddHBand="0" w:evenHBand="0" w:firstRowFirstColumn="0" w:firstRowLastColumn="0" w:lastRowFirstColumn="0" w:lastRowLastColumn="0"/>
            </w:pPr>
            <w:r>
              <w:t>1 380 324</w:t>
            </w:r>
          </w:p>
        </w:tc>
      </w:tr>
      <w:tr w:rsidR="009D33A8" w14:paraId="2BDEFDFC" w14:textId="77777777">
        <w:tc>
          <w:tcPr>
            <w:cnfStyle w:val="001000000000" w:firstRow="0" w:lastRow="0" w:firstColumn="1" w:lastColumn="0" w:oddVBand="0" w:evenVBand="0" w:oddHBand="0" w:evenHBand="0" w:firstRowFirstColumn="0" w:firstRowLastColumn="0" w:lastRowFirstColumn="0" w:lastRowLastColumn="0"/>
            <w:tcW w:w="5387" w:type="dxa"/>
          </w:tcPr>
          <w:p w14:paraId="22836B6F" w14:textId="77777777" w:rsidR="009D33A8" w:rsidRDefault="009D33A8">
            <w:r>
              <w:t>Government Services</w:t>
            </w:r>
          </w:p>
        </w:tc>
        <w:tc>
          <w:tcPr>
            <w:tcW w:w="1134" w:type="dxa"/>
          </w:tcPr>
          <w:p w14:paraId="26BD3F24" w14:textId="77777777" w:rsidR="009D33A8" w:rsidRDefault="009D33A8">
            <w:pPr>
              <w:cnfStyle w:val="000000000000" w:firstRow="0" w:lastRow="0" w:firstColumn="0" w:lastColumn="0" w:oddVBand="0" w:evenVBand="0" w:oddHBand="0" w:evenHBand="0" w:firstRowFirstColumn="0" w:firstRowLastColumn="0" w:lastRowFirstColumn="0" w:lastRowLastColumn="0"/>
            </w:pPr>
            <w:r>
              <w:t>10 806</w:t>
            </w:r>
          </w:p>
        </w:tc>
        <w:tc>
          <w:tcPr>
            <w:tcW w:w="1417" w:type="dxa"/>
          </w:tcPr>
          <w:p w14:paraId="452C1C4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48466FB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139A796" w14:textId="77777777" w:rsidR="009D33A8" w:rsidRDefault="009D33A8">
            <w:pPr>
              <w:cnfStyle w:val="000000000000" w:firstRow="0" w:lastRow="0" w:firstColumn="0" w:lastColumn="0" w:oddVBand="0" w:evenVBand="0" w:oddHBand="0" w:evenHBand="0" w:firstRowFirstColumn="0" w:firstRowLastColumn="0" w:lastRowFirstColumn="0" w:lastRowLastColumn="0"/>
            </w:pPr>
            <w:r>
              <w:t>10 806</w:t>
            </w:r>
          </w:p>
        </w:tc>
      </w:tr>
      <w:tr w:rsidR="009D33A8" w14:paraId="5FC284C4" w14:textId="77777777">
        <w:tc>
          <w:tcPr>
            <w:cnfStyle w:val="001000000000" w:firstRow="0" w:lastRow="0" w:firstColumn="1" w:lastColumn="0" w:oddVBand="0" w:evenVBand="0" w:oddHBand="0" w:evenHBand="0" w:firstRowFirstColumn="0" w:firstRowLastColumn="0" w:lastRowFirstColumn="0" w:lastRowLastColumn="0"/>
            <w:tcW w:w="5387" w:type="dxa"/>
          </w:tcPr>
          <w:p w14:paraId="24C273E1" w14:textId="77777777" w:rsidR="009D33A8" w:rsidRDefault="009D33A8">
            <w:r>
              <w:t>Health</w:t>
            </w:r>
          </w:p>
        </w:tc>
        <w:tc>
          <w:tcPr>
            <w:tcW w:w="1134" w:type="dxa"/>
          </w:tcPr>
          <w:p w14:paraId="52E45594" w14:textId="77777777" w:rsidR="009D33A8" w:rsidRDefault="009D33A8">
            <w:pPr>
              <w:cnfStyle w:val="000000000000" w:firstRow="0" w:lastRow="0" w:firstColumn="0" w:lastColumn="0" w:oddVBand="0" w:evenVBand="0" w:oddHBand="0" w:evenHBand="0" w:firstRowFirstColumn="0" w:firstRowLastColumn="0" w:lastRowFirstColumn="0" w:lastRowLastColumn="0"/>
            </w:pPr>
            <w:r>
              <w:t>373 345</w:t>
            </w:r>
          </w:p>
        </w:tc>
        <w:tc>
          <w:tcPr>
            <w:tcW w:w="1417" w:type="dxa"/>
          </w:tcPr>
          <w:p w14:paraId="1CB3FC9D" w14:textId="77777777" w:rsidR="009D33A8" w:rsidRDefault="009D33A8">
            <w:pPr>
              <w:cnfStyle w:val="000000000000" w:firstRow="0" w:lastRow="0" w:firstColumn="0" w:lastColumn="0" w:oddVBand="0" w:evenVBand="0" w:oddHBand="0" w:evenHBand="0" w:firstRowFirstColumn="0" w:firstRowLastColumn="0" w:lastRowFirstColumn="0" w:lastRowLastColumn="0"/>
            </w:pPr>
            <w:r>
              <w:t>145 985</w:t>
            </w:r>
          </w:p>
        </w:tc>
        <w:tc>
          <w:tcPr>
            <w:tcW w:w="851" w:type="dxa"/>
          </w:tcPr>
          <w:p w14:paraId="3FEED173" w14:textId="77777777" w:rsidR="009D33A8" w:rsidRDefault="009D33A8">
            <w:pPr>
              <w:cnfStyle w:val="000000000000" w:firstRow="0" w:lastRow="0" w:firstColumn="0" w:lastColumn="0" w:oddVBand="0" w:evenVBand="0" w:oddHBand="0" w:evenHBand="0" w:firstRowFirstColumn="0" w:firstRowLastColumn="0" w:lastRowFirstColumn="0" w:lastRowLastColumn="0"/>
            </w:pPr>
            <w:r>
              <w:t>1 550</w:t>
            </w:r>
          </w:p>
        </w:tc>
        <w:tc>
          <w:tcPr>
            <w:tcW w:w="849" w:type="dxa"/>
          </w:tcPr>
          <w:p w14:paraId="47E60E61" w14:textId="77777777" w:rsidR="009D33A8" w:rsidRDefault="009D33A8">
            <w:pPr>
              <w:cnfStyle w:val="000000000000" w:firstRow="0" w:lastRow="0" w:firstColumn="0" w:lastColumn="0" w:oddVBand="0" w:evenVBand="0" w:oddHBand="0" w:evenHBand="0" w:firstRowFirstColumn="0" w:firstRowLastColumn="0" w:lastRowFirstColumn="0" w:lastRowLastColumn="0"/>
            </w:pPr>
            <w:r>
              <w:t>520 880</w:t>
            </w:r>
          </w:p>
        </w:tc>
      </w:tr>
      <w:tr w:rsidR="009D33A8" w14:paraId="603A334B" w14:textId="77777777">
        <w:tc>
          <w:tcPr>
            <w:cnfStyle w:val="001000000000" w:firstRow="0" w:lastRow="0" w:firstColumn="1" w:lastColumn="0" w:oddVBand="0" w:evenVBand="0" w:oddHBand="0" w:evenHBand="0" w:firstRowFirstColumn="0" w:firstRowLastColumn="0" w:lastRowFirstColumn="0" w:lastRowLastColumn="0"/>
            <w:tcW w:w="5387" w:type="dxa"/>
          </w:tcPr>
          <w:p w14:paraId="446C31C3" w14:textId="77777777" w:rsidR="009D33A8" w:rsidRDefault="009D33A8">
            <w:r>
              <w:t>Jobs, Skills, Industry and Regions</w:t>
            </w:r>
          </w:p>
        </w:tc>
        <w:tc>
          <w:tcPr>
            <w:tcW w:w="1134" w:type="dxa"/>
          </w:tcPr>
          <w:p w14:paraId="05BDE886" w14:textId="77777777" w:rsidR="009D33A8" w:rsidRDefault="009D33A8">
            <w:pPr>
              <w:cnfStyle w:val="000000000000" w:firstRow="0" w:lastRow="0" w:firstColumn="0" w:lastColumn="0" w:oddVBand="0" w:evenVBand="0" w:oddHBand="0" w:evenHBand="0" w:firstRowFirstColumn="0" w:firstRowLastColumn="0" w:lastRowFirstColumn="0" w:lastRowLastColumn="0"/>
            </w:pPr>
            <w:r>
              <w:t>3 634</w:t>
            </w:r>
          </w:p>
        </w:tc>
        <w:tc>
          <w:tcPr>
            <w:tcW w:w="1417" w:type="dxa"/>
          </w:tcPr>
          <w:p w14:paraId="618E189F" w14:textId="77777777" w:rsidR="009D33A8" w:rsidRDefault="009D33A8">
            <w:pPr>
              <w:cnfStyle w:val="000000000000" w:firstRow="0" w:lastRow="0" w:firstColumn="0" w:lastColumn="0" w:oddVBand="0" w:evenVBand="0" w:oddHBand="0" w:evenHBand="0" w:firstRowFirstColumn="0" w:firstRowLastColumn="0" w:lastRowFirstColumn="0" w:lastRowLastColumn="0"/>
            </w:pPr>
            <w:r>
              <w:t>632 540</w:t>
            </w:r>
          </w:p>
        </w:tc>
        <w:tc>
          <w:tcPr>
            <w:tcW w:w="851" w:type="dxa"/>
          </w:tcPr>
          <w:p w14:paraId="2353719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33981ED" w14:textId="77777777" w:rsidR="009D33A8" w:rsidRDefault="009D33A8">
            <w:pPr>
              <w:cnfStyle w:val="000000000000" w:firstRow="0" w:lastRow="0" w:firstColumn="0" w:lastColumn="0" w:oddVBand="0" w:evenVBand="0" w:oddHBand="0" w:evenHBand="0" w:firstRowFirstColumn="0" w:firstRowLastColumn="0" w:lastRowFirstColumn="0" w:lastRowLastColumn="0"/>
            </w:pPr>
            <w:r>
              <w:t>636 174</w:t>
            </w:r>
          </w:p>
        </w:tc>
      </w:tr>
      <w:tr w:rsidR="009D33A8" w14:paraId="35D139EE" w14:textId="77777777">
        <w:tc>
          <w:tcPr>
            <w:cnfStyle w:val="001000000000" w:firstRow="0" w:lastRow="0" w:firstColumn="1" w:lastColumn="0" w:oddVBand="0" w:evenVBand="0" w:oddHBand="0" w:evenHBand="0" w:firstRowFirstColumn="0" w:firstRowLastColumn="0" w:lastRowFirstColumn="0" w:lastRowLastColumn="0"/>
            <w:tcW w:w="5387" w:type="dxa"/>
          </w:tcPr>
          <w:p w14:paraId="33CEA80D" w14:textId="77777777" w:rsidR="009D33A8" w:rsidRDefault="009D33A8">
            <w:r>
              <w:t>Justice and Community Safety</w:t>
            </w:r>
          </w:p>
        </w:tc>
        <w:tc>
          <w:tcPr>
            <w:tcW w:w="1134" w:type="dxa"/>
          </w:tcPr>
          <w:p w14:paraId="1A11D277" w14:textId="77777777" w:rsidR="009D33A8" w:rsidRDefault="009D33A8">
            <w:pPr>
              <w:cnfStyle w:val="000000000000" w:firstRow="0" w:lastRow="0" w:firstColumn="0" w:lastColumn="0" w:oddVBand="0" w:evenVBand="0" w:oddHBand="0" w:evenHBand="0" w:firstRowFirstColumn="0" w:firstRowLastColumn="0" w:lastRowFirstColumn="0" w:lastRowLastColumn="0"/>
            </w:pPr>
            <w:r>
              <w:t>255 640</w:t>
            </w:r>
          </w:p>
        </w:tc>
        <w:tc>
          <w:tcPr>
            <w:tcW w:w="1417" w:type="dxa"/>
          </w:tcPr>
          <w:p w14:paraId="38C3ED9B" w14:textId="77777777" w:rsidR="009D33A8" w:rsidRDefault="009D33A8">
            <w:pPr>
              <w:cnfStyle w:val="000000000000" w:firstRow="0" w:lastRow="0" w:firstColumn="0" w:lastColumn="0" w:oddVBand="0" w:evenVBand="0" w:oddHBand="0" w:evenHBand="0" w:firstRowFirstColumn="0" w:firstRowLastColumn="0" w:lastRowFirstColumn="0" w:lastRowLastColumn="0"/>
            </w:pPr>
            <w:r>
              <w:t>152 609</w:t>
            </w:r>
          </w:p>
        </w:tc>
        <w:tc>
          <w:tcPr>
            <w:tcW w:w="851" w:type="dxa"/>
          </w:tcPr>
          <w:p w14:paraId="4F7F2CFF" w14:textId="77777777" w:rsidR="009D33A8" w:rsidRDefault="009D33A8">
            <w:pPr>
              <w:cnfStyle w:val="000000000000" w:firstRow="0" w:lastRow="0" w:firstColumn="0" w:lastColumn="0" w:oddVBand="0" w:evenVBand="0" w:oddHBand="0" w:evenHBand="0" w:firstRowFirstColumn="0" w:firstRowLastColumn="0" w:lastRowFirstColumn="0" w:lastRowLastColumn="0"/>
            </w:pPr>
            <w:r>
              <w:t>534</w:t>
            </w:r>
          </w:p>
        </w:tc>
        <w:tc>
          <w:tcPr>
            <w:tcW w:w="849" w:type="dxa"/>
          </w:tcPr>
          <w:p w14:paraId="5CEE1CBC" w14:textId="77777777" w:rsidR="009D33A8" w:rsidRDefault="009D33A8">
            <w:pPr>
              <w:cnfStyle w:val="000000000000" w:firstRow="0" w:lastRow="0" w:firstColumn="0" w:lastColumn="0" w:oddVBand="0" w:evenVBand="0" w:oddHBand="0" w:evenHBand="0" w:firstRowFirstColumn="0" w:firstRowLastColumn="0" w:lastRowFirstColumn="0" w:lastRowLastColumn="0"/>
            </w:pPr>
            <w:r>
              <w:t>408 782</w:t>
            </w:r>
          </w:p>
        </w:tc>
      </w:tr>
      <w:tr w:rsidR="009D33A8" w14:paraId="569A6DBA" w14:textId="77777777">
        <w:tc>
          <w:tcPr>
            <w:cnfStyle w:val="001000000000" w:firstRow="0" w:lastRow="0" w:firstColumn="1" w:lastColumn="0" w:oddVBand="0" w:evenVBand="0" w:oddHBand="0" w:evenHBand="0" w:firstRowFirstColumn="0" w:firstRowLastColumn="0" w:lastRowFirstColumn="0" w:lastRowLastColumn="0"/>
            <w:tcW w:w="5387" w:type="dxa"/>
          </w:tcPr>
          <w:p w14:paraId="36A82CF0" w14:textId="77777777" w:rsidR="009D33A8" w:rsidRDefault="009D33A8">
            <w:r>
              <w:t>Premier and Cabinet</w:t>
            </w:r>
          </w:p>
        </w:tc>
        <w:tc>
          <w:tcPr>
            <w:tcW w:w="1134" w:type="dxa"/>
          </w:tcPr>
          <w:p w14:paraId="6CD0C5F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2048236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0A81D0A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312E41A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0C7EA956" w14:textId="77777777">
        <w:tc>
          <w:tcPr>
            <w:cnfStyle w:val="001000000000" w:firstRow="0" w:lastRow="0" w:firstColumn="1" w:lastColumn="0" w:oddVBand="0" w:evenVBand="0" w:oddHBand="0" w:evenHBand="0" w:firstRowFirstColumn="0" w:firstRowLastColumn="0" w:lastRowFirstColumn="0" w:lastRowLastColumn="0"/>
            <w:tcW w:w="5387" w:type="dxa"/>
          </w:tcPr>
          <w:p w14:paraId="7D705747" w14:textId="77777777" w:rsidR="009D33A8" w:rsidRDefault="009D33A8">
            <w:r>
              <w:t>Transport and Planning</w:t>
            </w:r>
          </w:p>
        </w:tc>
        <w:tc>
          <w:tcPr>
            <w:tcW w:w="1134" w:type="dxa"/>
          </w:tcPr>
          <w:p w14:paraId="59D12F69" w14:textId="77777777" w:rsidR="009D33A8" w:rsidRDefault="009D33A8">
            <w:pPr>
              <w:cnfStyle w:val="000000000000" w:firstRow="0" w:lastRow="0" w:firstColumn="0" w:lastColumn="0" w:oddVBand="0" w:evenVBand="0" w:oddHBand="0" w:evenHBand="0" w:firstRowFirstColumn="0" w:firstRowLastColumn="0" w:lastRowFirstColumn="0" w:lastRowLastColumn="0"/>
            </w:pPr>
            <w:r>
              <w:t>292 800</w:t>
            </w:r>
          </w:p>
        </w:tc>
        <w:tc>
          <w:tcPr>
            <w:tcW w:w="1417" w:type="dxa"/>
          </w:tcPr>
          <w:p w14:paraId="4914A948" w14:textId="77777777" w:rsidR="009D33A8" w:rsidRDefault="009D33A8">
            <w:pPr>
              <w:cnfStyle w:val="000000000000" w:firstRow="0" w:lastRow="0" w:firstColumn="0" w:lastColumn="0" w:oddVBand="0" w:evenVBand="0" w:oddHBand="0" w:evenHBand="0" w:firstRowFirstColumn="0" w:firstRowLastColumn="0" w:lastRowFirstColumn="0" w:lastRowLastColumn="0"/>
            </w:pPr>
            <w:r>
              <w:t>1 274 352</w:t>
            </w:r>
          </w:p>
        </w:tc>
        <w:tc>
          <w:tcPr>
            <w:tcW w:w="851" w:type="dxa"/>
          </w:tcPr>
          <w:p w14:paraId="38AF1CB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30ECEE4C" w14:textId="77777777" w:rsidR="009D33A8" w:rsidRDefault="009D33A8">
            <w:pPr>
              <w:cnfStyle w:val="000000000000" w:firstRow="0" w:lastRow="0" w:firstColumn="0" w:lastColumn="0" w:oddVBand="0" w:evenVBand="0" w:oddHBand="0" w:evenHBand="0" w:firstRowFirstColumn="0" w:firstRowLastColumn="0" w:lastRowFirstColumn="0" w:lastRowLastColumn="0"/>
            </w:pPr>
            <w:r>
              <w:t>1 567 152</w:t>
            </w:r>
          </w:p>
        </w:tc>
      </w:tr>
      <w:tr w:rsidR="009D33A8" w14:paraId="53664A07" w14:textId="77777777">
        <w:tc>
          <w:tcPr>
            <w:cnfStyle w:val="001000000000" w:firstRow="0" w:lastRow="0" w:firstColumn="1" w:lastColumn="0" w:oddVBand="0" w:evenVBand="0" w:oddHBand="0" w:evenHBand="0" w:firstRowFirstColumn="0" w:firstRowLastColumn="0" w:lastRowFirstColumn="0" w:lastRowLastColumn="0"/>
            <w:tcW w:w="5387" w:type="dxa"/>
          </w:tcPr>
          <w:p w14:paraId="723305E8" w14:textId="77777777" w:rsidR="009D33A8" w:rsidRDefault="009D33A8">
            <w:r>
              <w:t>Treasury and Finance</w:t>
            </w:r>
          </w:p>
        </w:tc>
        <w:tc>
          <w:tcPr>
            <w:tcW w:w="1134" w:type="dxa"/>
          </w:tcPr>
          <w:p w14:paraId="2A7681EE" w14:textId="77777777" w:rsidR="009D33A8" w:rsidRDefault="009D33A8">
            <w:pPr>
              <w:cnfStyle w:val="000000000000" w:firstRow="0" w:lastRow="0" w:firstColumn="0" w:lastColumn="0" w:oddVBand="0" w:evenVBand="0" w:oddHBand="0" w:evenHBand="0" w:firstRowFirstColumn="0" w:firstRowLastColumn="0" w:lastRowFirstColumn="0" w:lastRowLastColumn="0"/>
            </w:pPr>
            <w:r>
              <w:t>7 034</w:t>
            </w:r>
          </w:p>
        </w:tc>
        <w:tc>
          <w:tcPr>
            <w:tcW w:w="1417" w:type="dxa"/>
          </w:tcPr>
          <w:p w14:paraId="1F6349A0" w14:textId="77777777" w:rsidR="009D33A8" w:rsidRDefault="009D33A8">
            <w:pPr>
              <w:cnfStyle w:val="000000000000" w:firstRow="0" w:lastRow="0" w:firstColumn="0" w:lastColumn="0" w:oddVBand="0" w:evenVBand="0" w:oddHBand="0" w:evenHBand="0" w:firstRowFirstColumn="0" w:firstRowLastColumn="0" w:lastRowFirstColumn="0" w:lastRowLastColumn="0"/>
            </w:pPr>
            <w:r>
              <w:t>1 581</w:t>
            </w:r>
          </w:p>
        </w:tc>
        <w:tc>
          <w:tcPr>
            <w:tcW w:w="851" w:type="dxa"/>
          </w:tcPr>
          <w:p w14:paraId="3F0C418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543A15E1" w14:textId="77777777" w:rsidR="009D33A8" w:rsidRDefault="009D33A8">
            <w:pPr>
              <w:cnfStyle w:val="000000000000" w:firstRow="0" w:lastRow="0" w:firstColumn="0" w:lastColumn="0" w:oddVBand="0" w:evenVBand="0" w:oddHBand="0" w:evenHBand="0" w:firstRowFirstColumn="0" w:firstRowLastColumn="0" w:lastRowFirstColumn="0" w:lastRowLastColumn="0"/>
            </w:pPr>
            <w:r>
              <w:t>8 615</w:t>
            </w:r>
          </w:p>
        </w:tc>
      </w:tr>
      <w:tr w:rsidR="009D33A8" w14:paraId="0D29291F" w14:textId="77777777">
        <w:tc>
          <w:tcPr>
            <w:cnfStyle w:val="001000000000" w:firstRow="0" w:lastRow="0" w:firstColumn="1" w:lastColumn="0" w:oddVBand="0" w:evenVBand="0" w:oddHBand="0" w:evenHBand="0" w:firstRowFirstColumn="0" w:firstRowLastColumn="0" w:lastRowFirstColumn="0" w:lastRowLastColumn="0"/>
            <w:tcW w:w="5387" w:type="dxa"/>
          </w:tcPr>
          <w:p w14:paraId="1632E0F6" w14:textId="77777777" w:rsidR="009D33A8" w:rsidRDefault="009D33A8">
            <w:r>
              <w:t>Parliament</w:t>
            </w:r>
          </w:p>
        </w:tc>
        <w:tc>
          <w:tcPr>
            <w:tcW w:w="1134" w:type="dxa"/>
          </w:tcPr>
          <w:p w14:paraId="38ECFEDB" w14:textId="77777777" w:rsidR="009D33A8" w:rsidRDefault="009D33A8">
            <w:pPr>
              <w:cnfStyle w:val="000000000000" w:firstRow="0" w:lastRow="0" w:firstColumn="0" w:lastColumn="0" w:oddVBand="0" w:evenVBand="0" w:oddHBand="0" w:evenHBand="0" w:firstRowFirstColumn="0" w:firstRowLastColumn="0" w:lastRowFirstColumn="0" w:lastRowLastColumn="0"/>
            </w:pPr>
            <w:r>
              <w:t>36 684</w:t>
            </w:r>
          </w:p>
        </w:tc>
        <w:tc>
          <w:tcPr>
            <w:tcW w:w="1417" w:type="dxa"/>
          </w:tcPr>
          <w:p w14:paraId="76F9E7F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C44780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Pr>
          <w:p w14:paraId="19BD45BD" w14:textId="77777777" w:rsidR="009D33A8" w:rsidRDefault="009D33A8">
            <w:pPr>
              <w:cnfStyle w:val="000000000000" w:firstRow="0" w:lastRow="0" w:firstColumn="0" w:lastColumn="0" w:oddVBand="0" w:evenVBand="0" w:oddHBand="0" w:evenHBand="0" w:firstRowFirstColumn="0" w:firstRowLastColumn="0" w:lastRowFirstColumn="0" w:lastRowLastColumn="0"/>
            </w:pPr>
            <w:r>
              <w:t>36 684</w:t>
            </w:r>
          </w:p>
        </w:tc>
      </w:tr>
      <w:tr w:rsidR="009D33A8" w14:paraId="27922FF0" w14:textId="77777777">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7F1B4C58" w14:textId="77777777" w:rsidR="009D33A8" w:rsidRDefault="009D33A8">
            <w:r>
              <w:t>Courts</w:t>
            </w:r>
          </w:p>
        </w:tc>
        <w:tc>
          <w:tcPr>
            <w:tcW w:w="1134" w:type="dxa"/>
            <w:tcBorders>
              <w:bottom w:val="single" w:sz="6" w:space="0" w:color="auto"/>
            </w:tcBorders>
          </w:tcPr>
          <w:p w14:paraId="554CD41D" w14:textId="77777777" w:rsidR="009D33A8" w:rsidRDefault="009D33A8">
            <w:pPr>
              <w:cnfStyle w:val="000000000000" w:firstRow="0" w:lastRow="0" w:firstColumn="0" w:lastColumn="0" w:oddVBand="0" w:evenVBand="0" w:oddHBand="0" w:evenHBand="0" w:firstRowFirstColumn="0" w:firstRowLastColumn="0" w:lastRowFirstColumn="0" w:lastRowLastColumn="0"/>
            </w:pPr>
            <w:r>
              <w:t>96 590</w:t>
            </w:r>
          </w:p>
        </w:tc>
        <w:tc>
          <w:tcPr>
            <w:tcW w:w="1417" w:type="dxa"/>
            <w:tcBorders>
              <w:bottom w:val="single" w:sz="6" w:space="0" w:color="auto"/>
            </w:tcBorders>
          </w:tcPr>
          <w:p w14:paraId="7F72380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5BDC0FB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849" w:type="dxa"/>
            <w:tcBorders>
              <w:bottom w:val="single" w:sz="6" w:space="0" w:color="auto"/>
            </w:tcBorders>
          </w:tcPr>
          <w:p w14:paraId="245337D8" w14:textId="77777777" w:rsidR="009D33A8" w:rsidRDefault="009D33A8">
            <w:pPr>
              <w:cnfStyle w:val="000000000000" w:firstRow="0" w:lastRow="0" w:firstColumn="0" w:lastColumn="0" w:oddVBand="0" w:evenVBand="0" w:oddHBand="0" w:evenHBand="0" w:firstRowFirstColumn="0" w:firstRowLastColumn="0" w:lastRowFirstColumn="0" w:lastRowLastColumn="0"/>
            </w:pPr>
            <w:r>
              <w:t>96 590</w:t>
            </w:r>
          </w:p>
        </w:tc>
      </w:tr>
      <w:tr w:rsidR="009D33A8" w14:paraId="4C2F7402" w14:textId="77777777">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2E45D531" w14:textId="77777777" w:rsidR="009D33A8" w:rsidRDefault="009D33A8">
            <w:r>
              <w:rPr>
                <w:b/>
              </w:rPr>
              <w:t>Total appropriation</w:t>
            </w:r>
          </w:p>
        </w:tc>
        <w:tc>
          <w:tcPr>
            <w:tcW w:w="1134" w:type="dxa"/>
            <w:tcBorders>
              <w:top w:val="single" w:sz="6" w:space="0" w:color="auto"/>
              <w:bottom w:val="single" w:sz="12" w:space="0" w:color="auto"/>
            </w:tcBorders>
          </w:tcPr>
          <w:p w14:paraId="48108BD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1 359 709</w:t>
            </w:r>
          </w:p>
        </w:tc>
        <w:tc>
          <w:tcPr>
            <w:tcW w:w="1417" w:type="dxa"/>
            <w:tcBorders>
              <w:top w:val="single" w:sz="6" w:space="0" w:color="auto"/>
              <w:bottom w:val="single" w:sz="12" w:space="0" w:color="auto"/>
            </w:tcBorders>
          </w:tcPr>
          <w:p w14:paraId="3DD0DB0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3 827 932</w:t>
            </w:r>
          </w:p>
        </w:tc>
        <w:tc>
          <w:tcPr>
            <w:tcW w:w="851" w:type="dxa"/>
            <w:tcBorders>
              <w:top w:val="single" w:sz="6" w:space="0" w:color="auto"/>
              <w:bottom w:val="single" w:sz="12" w:space="0" w:color="auto"/>
            </w:tcBorders>
          </w:tcPr>
          <w:p w14:paraId="106F1F9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11 035</w:t>
            </w:r>
          </w:p>
        </w:tc>
        <w:tc>
          <w:tcPr>
            <w:tcW w:w="849" w:type="dxa"/>
            <w:tcBorders>
              <w:top w:val="single" w:sz="6" w:space="0" w:color="auto"/>
              <w:bottom w:val="single" w:sz="12" w:space="0" w:color="auto"/>
            </w:tcBorders>
          </w:tcPr>
          <w:p w14:paraId="121BB65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5 198 676</w:t>
            </w:r>
          </w:p>
        </w:tc>
      </w:tr>
    </w:tbl>
    <w:p w14:paraId="53825E59" w14:textId="77777777" w:rsidR="009D33A8" w:rsidRPr="001E75C6" w:rsidRDefault="009D33A8" w:rsidP="009D33A8">
      <w:bookmarkStart w:id="166" w:name="_Toc114670301"/>
    </w:p>
    <w:p w14:paraId="4B6A4C35" w14:textId="77777777" w:rsidR="009D33A8" w:rsidRDefault="009D33A8" w:rsidP="009D33A8">
      <w:pPr>
        <w:keepLines w:val="0"/>
        <w:rPr>
          <w:rFonts w:asciiTheme="majorHAnsi" w:eastAsiaTheme="majorEastAsia" w:hAnsiTheme="majorHAnsi" w:cstheme="majorBidi"/>
          <w:b/>
          <w:sz w:val="23"/>
          <w:szCs w:val="24"/>
        </w:rPr>
      </w:pPr>
      <w:r>
        <w:br w:type="page"/>
      </w:r>
    </w:p>
    <w:p w14:paraId="47FA58DB" w14:textId="77777777" w:rsidR="009D33A8" w:rsidRPr="007B2989" w:rsidRDefault="009D33A8" w:rsidP="009D33A8">
      <w:pPr>
        <w:pStyle w:val="Heading3"/>
      </w:pPr>
      <w:bookmarkStart w:id="167" w:name="_Toc209479928"/>
      <w:r>
        <w:lastRenderedPageBreak/>
        <w:t>7.2.12</w:t>
      </w:r>
      <w:r>
        <w:tab/>
      </w:r>
      <w:r w:rsidRPr="007B2989">
        <w:t xml:space="preserve">Section 32 carryovers – </w:t>
      </w:r>
      <w:r w:rsidRPr="007B2989">
        <w:rPr>
          <w:i/>
        </w:rPr>
        <w:t>Financial Management Act 1994</w:t>
      </w:r>
      <w:r w:rsidRPr="007B2989">
        <w:t xml:space="preserve"> for the financial year ended 30</w:t>
      </w:r>
      <w:r>
        <w:t> </w:t>
      </w:r>
      <w:r w:rsidRPr="007B2989">
        <w:t>June</w:t>
      </w:r>
      <w:bookmarkEnd w:id="166"/>
      <w:bookmarkEnd w:id="167"/>
    </w:p>
    <w:p w14:paraId="6A2FADF6" w14:textId="77777777" w:rsidR="009D33A8" w:rsidRDefault="009D33A8" w:rsidP="009D33A8">
      <w:pPr>
        <w:pStyle w:val="TableHeading"/>
        <w:rPr>
          <w:lang w:val="en-US"/>
        </w:rPr>
      </w:pPr>
      <w:r>
        <w:t xml:space="preserve">Amounts approved for carryover to 2024-25 pursuant to Section 32 of the </w:t>
      </w:r>
      <w:r>
        <w:br/>
      </w:r>
      <w:r w:rsidRPr="00743299">
        <w:rPr>
          <w:i/>
        </w:rPr>
        <w:t>Financial Management Act 1994</w:t>
      </w:r>
      <w:r w:rsidRPr="009B6BFF">
        <w:rPr>
          <w:iCs w:val="0"/>
          <w:vertAlign w:val="superscript"/>
        </w:rPr>
        <w:t xml:space="preserve"> </w:t>
      </w:r>
      <w:r>
        <w:rPr>
          <w:vertAlign w:val="superscript"/>
        </w:rPr>
        <w:tab/>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32_Carryovers"/>
      </w:tblPr>
      <w:tblGrid>
        <w:gridCol w:w="4253"/>
        <w:gridCol w:w="1276"/>
        <w:gridCol w:w="1559"/>
        <w:gridCol w:w="1643"/>
        <w:gridCol w:w="907"/>
      </w:tblGrid>
      <w:tr w:rsidR="00940F7B" w14:paraId="35A8B2FC"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42319F7E" w14:textId="7255E37A" w:rsidR="009D33A8" w:rsidRDefault="009D33A8">
            <w:pPr>
              <w:keepNext/>
            </w:pPr>
            <w:r>
              <w:t>Department</w:t>
            </w:r>
          </w:p>
        </w:tc>
        <w:tc>
          <w:tcPr>
            <w:tcW w:w="1276" w:type="dxa"/>
          </w:tcPr>
          <w:p w14:paraId="04C0788C" w14:textId="001FB07F" w:rsidR="009D33A8" w:rsidRDefault="009D33A8">
            <w:pPr>
              <w:keepNext/>
              <w:cnfStyle w:val="100000000000" w:firstRow="1" w:lastRow="0" w:firstColumn="0" w:lastColumn="0" w:oddVBand="0" w:evenVBand="0" w:oddHBand="0" w:evenHBand="0" w:firstRowFirstColumn="0" w:firstRowLastColumn="0" w:lastRowFirstColumn="0" w:lastRowLastColumn="0"/>
            </w:pPr>
            <w:r>
              <w:t>Provision of outputs</w:t>
            </w:r>
          </w:p>
        </w:tc>
        <w:tc>
          <w:tcPr>
            <w:tcW w:w="1559" w:type="dxa"/>
          </w:tcPr>
          <w:p w14:paraId="66DD492E" w14:textId="5AC2B55A"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Additions to </w:t>
            </w:r>
            <w:r>
              <w:br/>
              <w:t>net assets base</w:t>
            </w:r>
          </w:p>
        </w:tc>
        <w:tc>
          <w:tcPr>
            <w:tcW w:w="1643" w:type="dxa"/>
          </w:tcPr>
          <w:p w14:paraId="524D5E0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907" w:type="dxa"/>
          </w:tcPr>
          <w:p w14:paraId="7D1BFC3D" w14:textId="7AB426E5" w:rsidR="009D33A8" w:rsidRDefault="009D33A8">
            <w:pPr>
              <w:keepNext/>
              <w:cnfStyle w:val="100000000000" w:firstRow="1" w:lastRow="0" w:firstColumn="0" w:lastColumn="0" w:oddVBand="0" w:evenVBand="0" w:oddHBand="0" w:evenHBand="0" w:firstRowFirstColumn="0" w:firstRowLastColumn="0" w:lastRowFirstColumn="0" w:lastRowLastColumn="0"/>
            </w:pPr>
            <w:r>
              <w:t>Total carryover</w:t>
            </w:r>
          </w:p>
        </w:tc>
      </w:tr>
      <w:tr w:rsidR="009D33A8" w14:paraId="07D20671" w14:textId="77777777">
        <w:tc>
          <w:tcPr>
            <w:cnfStyle w:val="001000000000" w:firstRow="0" w:lastRow="0" w:firstColumn="1" w:lastColumn="0" w:oddVBand="0" w:evenVBand="0" w:oddHBand="0" w:evenHBand="0" w:firstRowFirstColumn="0" w:firstRowLastColumn="0" w:lastRowFirstColumn="0" w:lastRowLastColumn="0"/>
            <w:tcW w:w="4253" w:type="dxa"/>
          </w:tcPr>
          <w:p w14:paraId="23E74D15" w14:textId="77777777" w:rsidR="009D33A8" w:rsidRDefault="009D33A8">
            <w:r>
              <w:t>Education</w:t>
            </w:r>
          </w:p>
        </w:tc>
        <w:tc>
          <w:tcPr>
            <w:tcW w:w="1276" w:type="dxa"/>
          </w:tcPr>
          <w:p w14:paraId="7B84E8CE" w14:textId="77777777" w:rsidR="009D33A8" w:rsidRDefault="009D33A8">
            <w:pPr>
              <w:cnfStyle w:val="000000000000" w:firstRow="0" w:lastRow="0" w:firstColumn="0" w:lastColumn="0" w:oddVBand="0" w:evenVBand="0" w:oddHBand="0" w:evenHBand="0" w:firstRowFirstColumn="0" w:firstRowLastColumn="0" w:lastRowFirstColumn="0" w:lastRowLastColumn="0"/>
            </w:pPr>
            <w:r>
              <w:t>97 357</w:t>
            </w:r>
          </w:p>
        </w:tc>
        <w:tc>
          <w:tcPr>
            <w:tcW w:w="1559" w:type="dxa"/>
          </w:tcPr>
          <w:p w14:paraId="34E4204C" w14:textId="77777777" w:rsidR="009D33A8" w:rsidRDefault="009D33A8">
            <w:pPr>
              <w:cnfStyle w:val="000000000000" w:firstRow="0" w:lastRow="0" w:firstColumn="0" w:lastColumn="0" w:oddVBand="0" w:evenVBand="0" w:oddHBand="0" w:evenHBand="0" w:firstRowFirstColumn="0" w:firstRowLastColumn="0" w:lastRowFirstColumn="0" w:lastRowLastColumn="0"/>
            </w:pPr>
            <w:r>
              <w:t>279 777</w:t>
            </w:r>
          </w:p>
        </w:tc>
        <w:tc>
          <w:tcPr>
            <w:tcW w:w="1643" w:type="dxa"/>
          </w:tcPr>
          <w:p w14:paraId="2EB7C80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B813B6F" w14:textId="77777777" w:rsidR="009D33A8" w:rsidRDefault="009D33A8">
            <w:pPr>
              <w:cnfStyle w:val="000000000000" w:firstRow="0" w:lastRow="0" w:firstColumn="0" w:lastColumn="0" w:oddVBand="0" w:evenVBand="0" w:oddHBand="0" w:evenHBand="0" w:firstRowFirstColumn="0" w:firstRowLastColumn="0" w:lastRowFirstColumn="0" w:lastRowLastColumn="0"/>
            </w:pPr>
            <w:r>
              <w:t>377 134</w:t>
            </w:r>
          </w:p>
        </w:tc>
      </w:tr>
      <w:tr w:rsidR="009D33A8" w14:paraId="24BB3771" w14:textId="77777777">
        <w:tc>
          <w:tcPr>
            <w:cnfStyle w:val="001000000000" w:firstRow="0" w:lastRow="0" w:firstColumn="1" w:lastColumn="0" w:oddVBand="0" w:evenVBand="0" w:oddHBand="0" w:evenHBand="0" w:firstRowFirstColumn="0" w:firstRowLastColumn="0" w:lastRowFirstColumn="0" w:lastRowLastColumn="0"/>
            <w:tcW w:w="4253" w:type="dxa"/>
          </w:tcPr>
          <w:p w14:paraId="1F4DCCDB" w14:textId="77777777" w:rsidR="009D33A8" w:rsidRDefault="009D33A8">
            <w:r>
              <w:t>Energy, Environment and Climate Action</w:t>
            </w:r>
          </w:p>
        </w:tc>
        <w:tc>
          <w:tcPr>
            <w:tcW w:w="1276" w:type="dxa"/>
          </w:tcPr>
          <w:p w14:paraId="06B8C30E" w14:textId="77777777" w:rsidR="009D33A8" w:rsidRDefault="009D33A8">
            <w:pPr>
              <w:cnfStyle w:val="000000000000" w:firstRow="0" w:lastRow="0" w:firstColumn="0" w:lastColumn="0" w:oddVBand="0" w:evenVBand="0" w:oddHBand="0" w:evenHBand="0" w:firstRowFirstColumn="0" w:firstRowLastColumn="0" w:lastRowFirstColumn="0" w:lastRowLastColumn="0"/>
            </w:pPr>
            <w:r>
              <w:t>57 544</w:t>
            </w:r>
          </w:p>
        </w:tc>
        <w:tc>
          <w:tcPr>
            <w:tcW w:w="1559" w:type="dxa"/>
          </w:tcPr>
          <w:p w14:paraId="791FAD39" w14:textId="77777777" w:rsidR="009D33A8" w:rsidRDefault="009D33A8">
            <w:pPr>
              <w:cnfStyle w:val="000000000000" w:firstRow="0" w:lastRow="0" w:firstColumn="0" w:lastColumn="0" w:oddVBand="0" w:evenVBand="0" w:oddHBand="0" w:evenHBand="0" w:firstRowFirstColumn="0" w:firstRowLastColumn="0" w:lastRowFirstColumn="0" w:lastRowLastColumn="0"/>
            </w:pPr>
            <w:r>
              <w:t>4 829</w:t>
            </w:r>
          </w:p>
        </w:tc>
        <w:tc>
          <w:tcPr>
            <w:tcW w:w="1643" w:type="dxa"/>
          </w:tcPr>
          <w:p w14:paraId="4F456C4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58A4E8" w14:textId="77777777" w:rsidR="009D33A8" w:rsidRDefault="009D33A8">
            <w:pPr>
              <w:cnfStyle w:val="000000000000" w:firstRow="0" w:lastRow="0" w:firstColumn="0" w:lastColumn="0" w:oddVBand="0" w:evenVBand="0" w:oddHBand="0" w:evenHBand="0" w:firstRowFirstColumn="0" w:firstRowLastColumn="0" w:lastRowFirstColumn="0" w:lastRowLastColumn="0"/>
            </w:pPr>
            <w:r>
              <w:t>62 373</w:t>
            </w:r>
          </w:p>
        </w:tc>
      </w:tr>
      <w:tr w:rsidR="009D33A8" w14:paraId="29F9B201" w14:textId="77777777">
        <w:tc>
          <w:tcPr>
            <w:cnfStyle w:val="001000000000" w:firstRow="0" w:lastRow="0" w:firstColumn="1" w:lastColumn="0" w:oddVBand="0" w:evenVBand="0" w:oddHBand="0" w:evenHBand="0" w:firstRowFirstColumn="0" w:firstRowLastColumn="0" w:lastRowFirstColumn="0" w:lastRowLastColumn="0"/>
            <w:tcW w:w="4253" w:type="dxa"/>
          </w:tcPr>
          <w:p w14:paraId="3D4AB7C0" w14:textId="77777777" w:rsidR="009D33A8" w:rsidRDefault="009D33A8">
            <w:r>
              <w:t>Families, Fairness and Housing</w:t>
            </w:r>
          </w:p>
        </w:tc>
        <w:tc>
          <w:tcPr>
            <w:tcW w:w="1276" w:type="dxa"/>
          </w:tcPr>
          <w:p w14:paraId="76782873" w14:textId="77777777" w:rsidR="009D33A8" w:rsidRDefault="009D33A8">
            <w:pPr>
              <w:cnfStyle w:val="000000000000" w:firstRow="0" w:lastRow="0" w:firstColumn="0" w:lastColumn="0" w:oddVBand="0" w:evenVBand="0" w:oddHBand="0" w:evenHBand="0" w:firstRowFirstColumn="0" w:firstRowLastColumn="0" w:lastRowFirstColumn="0" w:lastRowLastColumn="0"/>
            </w:pPr>
            <w:r>
              <w:t>16 416</w:t>
            </w:r>
          </w:p>
        </w:tc>
        <w:tc>
          <w:tcPr>
            <w:tcW w:w="1559" w:type="dxa"/>
          </w:tcPr>
          <w:p w14:paraId="7AB4AC99" w14:textId="77777777" w:rsidR="009D33A8" w:rsidRDefault="009D33A8">
            <w:pPr>
              <w:cnfStyle w:val="000000000000" w:firstRow="0" w:lastRow="0" w:firstColumn="0" w:lastColumn="0" w:oddVBand="0" w:evenVBand="0" w:oddHBand="0" w:evenHBand="0" w:firstRowFirstColumn="0" w:firstRowLastColumn="0" w:lastRowFirstColumn="0" w:lastRowLastColumn="0"/>
            </w:pPr>
            <w:r>
              <w:t>14 090</w:t>
            </w:r>
          </w:p>
        </w:tc>
        <w:tc>
          <w:tcPr>
            <w:tcW w:w="1643" w:type="dxa"/>
          </w:tcPr>
          <w:p w14:paraId="004E6E49" w14:textId="77777777" w:rsidR="009D33A8" w:rsidRDefault="009D33A8">
            <w:pPr>
              <w:cnfStyle w:val="000000000000" w:firstRow="0" w:lastRow="0" w:firstColumn="0" w:lastColumn="0" w:oddVBand="0" w:evenVBand="0" w:oddHBand="0" w:evenHBand="0" w:firstRowFirstColumn="0" w:firstRowLastColumn="0" w:lastRowFirstColumn="0" w:lastRowLastColumn="0"/>
            </w:pPr>
            <w:r>
              <w:t>6 513</w:t>
            </w:r>
          </w:p>
        </w:tc>
        <w:tc>
          <w:tcPr>
            <w:tcW w:w="907" w:type="dxa"/>
          </w:tcPr>
          <w:p w14:paraId="5BE98E01" w14:textId="77777777" w:rsidR="009D33A8" w:rsidRDefault="009D33A8">
            <w:pPr>
              <w:cnfStyle w:val="000000000000" w:firstRow="0" w:lastRow="0" w:firstColumn="0" w:lastColumn="0" w:oddVBand="0" w:evenVBand="0" w:oddHBand="0" w:evenHBand="0" w:firstRowFirstColumn="0" w:firstRowLastColumn="0" w:lastRowFirstColumn="0" w:lastRowLastColumn="0"/>
            </w:pPr>
            <w:r>
              <w:t>37 019</w:t>
            </w:r>
          </w:p>
        </w:tc>
      </w:tr>
      <w:tr w:rsidR="009D33A8" w14:paraId="224C048F" w14:textId="77777777">
        <w:tc>
          <w:tcPr>
            <w:cnfStyle w:val="001000000000" w:firstRow="0" w:lastRow="0" w:firstColumn="1" w:lastColumn="0" w:oddVBand="0" w:evenVBand="0" w:oddHBand="0" w:evenHBand="0" w:firstRowFirstColumn="0" w:firstRowLastColumn="0" w:lastRowFirstColumn="0" w:lastRowLastColumn="0"/>
            <w:tcW w:w="4253" w:type="dxa"/>
          </w:tcPr>
          <w:p w14:paraId="6B2E98F7" w14:textId="77777777" w:rsidR="009D33A8" w:rsidRDefault="009D33A8">
            <w:r>
              <w:t>Government Services</w:t>
            </w:r>
          </w:p>
        </w:tc>
        <w:tc>
          <w:tcPr>
            <w:tcW w:w="1276" w:type="dxa"/>
          </w:tcPr>
          <w:p w14:paraId="75AF3C4E" w14:textId="77777777" w:rsidR="009D33A8" w:rsidRDefault="009D33A8">
            <w:pPr>
              <w:cnfStyle w:val="000000000000" w:firstRow="0" w:lastRow="0" w:firstColumn="0" w:lastColumn="0" w:oddVBand="0" w:evenVBand="0" w:oddHBand="0" w:evenHBand="0" w:firstRowFirstColumn="0" w:firstRowLastColumn="0" w:lastRowFirstColumn="0" w:lastRowLastColumn="0"/>
            </w:pPr>
            <w:r>
              <w:t>1 732</w:t>
            </w:r>
          </w:p>
        </w:tc>
        <w:tc>
          <w:tcPr>
            <w:tcW w:w="1559" w:type="dxa"/>
          </w:tcPr>
          <w:p w14:paraId="5EA970D9" w14:textId="77777777" w:rsidR="009D33A8" w:rsidRDefault="009D33A8">
            <w:pPr>
              <w:cnfStyle w:val="000000000000" w:firstRow="0" w:lastRow="0" w:firstColumn="0" w:lastColumn="0" w:oddVBand="0" w:evenVBand="0" w:oddHBand="0" w:evenHBand="0" w:firstRowFirstColumn="0" w:firstRowLastColumn="0" w:lastRowFirstColumn="0" w:lastRowLastColumn="0"/>
            </w:pPr>
            <w:r>
              <w:t>1 500</w:t>
            </w:r>
          </w:p>
        </w:tc>
        <w:tc>
          <w:tcPr>
            <w:tcW w:w="1643" w:type="dxa"/>
          </w:tcPr>
          <w:p w14:paraId="255B200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3E99027" w14:textId="77777777" w:rsidR="009D33A8" w:rsidRDefault="009D33A8">
            <w:pPr>
              <w:cnfStyle w:val="000000000000" w:firstRow="0" w:lastRow="0" w:firstColumn="0" w:lastColumn="0" w:oddVBand="0" w:evenVBand="0" w:oddHBand="0" w:evenHBand="0" w:firstRowFirstColumn="0" w:firstRowLastColumn="0" w:lastRowFirstColumn="0" w:lastRowLastColumn="0"/>
            </w:pPr>
            <w:r>
              <w:t>3 232</w:t>
            </w:r>
          </w:p>
        </w:tc>
      </w:tr>
      <w:tr w:rsidR="009D33A8" w14:paraId="42AC5FB1" w14:textId="77777777">
        <w:tc>
          <w:tcPr>
            <w:cnfStyle w:val="001000000000" w:firstRow="0" w:lastRow="0" w:firstColumn="1" w:lastColumn="0" w:oddVBand="0" w:evenVBand="0" w:oddHBand="0" w:evenHBand="0" w:firstRowFirstColumn="0" w:firstRowLastColumn="0" w:lastRowFirstColumn="0" w:lastRowLastColumn="0"/>
            <w:tcW w:w="4253" w:type="dxa"/>
          </w:tcPr>
          <w:p w14:paraId="59579400" w14:textId="77777777" w:rsidR="009D33A8" w:rsidRDefault="009D33A8">
            <w:r>
              <w:t>Health</w:t>
            </w:r>
            <w:r>
              <w:rPr>
                <w:vertAlign w:val="superscript"/>
              </w:rPr>
              <w:t xml:space="preserve"> </w:t>
            </w:r>
          </w:p>
        </w:tc>
        <w:tc>
          <w:tcPr>
            <w:tcW w:w="1276" w:type="dxa"/>
          </w:tcPr>
          <w:p w14:paraId="0FD5AABB" w14:textId="77777777" w:rsidR="009D33A8" w:rsidRDefault="009D33A8">
            <w:pPr>
              <w:cnfStyle w:val="000000000000" w:firstRow="0" w:lastRow="0" w:firstColumn="0" w:lastColumn="0" w:oddVBand="0" w:evenVBand="0" w:oddHBand="0" w:evenHBand="0" w:firstRowFirstColumn="0" w:firstRowLastColumn="0" w:lastRowFirstColumn="0" w:lastRowLastColumn="0"/>
            </w:pPr>
            <w:r>
              <w:t>52 557</w:t>
            </w:r>
          </w:p>
        </w:tc>
        <w:tc>
          <w:tcPr>
            <w:tcW w:w="1559" w:type="dxa"/>
          </w:tcPr>
          <w:p w14:paraId="13037C8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643" w:type="dxa"/>
          </w:tcPr>
          <w:p w14:paraId="07CD5AE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C242BAC" w14:textId="77777777" w:rsidR="009D33A8" w:rsidRDefault="009D33A8">
            <w:pPr>
              <w:cnfStyle w:val="000000000000" w:firstRow="0" w:lastRow="0" w:firstColumn="0" w:lastColumn="0" w:oddVBand="0" w:evenVBand="0" w:oddHBand="0" w:evenHBand="0" w:firstRowFirstColumn="0" w:firstRowLastColumn="0" w:lastRowFirstColumn="0" w:lastRowLastColumn="0"/>
            </w:pPr>
            <w:r>
              <w:t>52 557</w:t>
            </w:r>
          </w:p>
        </w:tc>
      </w:tr>
      <w:tr w:rsidR="009D33A8" w14:paraId="27A22D0F" w14:textId="77777777">
        <w:tc>
          <w:tcPr>
            <w:cnfStyle w:val="001000000000" w:firstRow="0" w:lastRow="0" w:firstColumn="1" w:lastColumn="0" w:oddVBand="0" w:evenVBand="0" w:oddHBand="0" w:evenHBand="0" w:firstRowFirstColumn="0" w:firstRowLastColumn="0" w:lastRowFirstColumn="0" w:lastRowLastColumn="0"/>
            <w:tcW w:w="4253" w:type="dxa"/>
          </w:tcPr>
          <w:p w14:paraId="69DFED07" w14:textId="77777777" w:rsidR="009D33A8" w:rsidRDefault="009D33A8">
            <w:r>
              <w:t>Jobs, Skills, Industry and Regions</w:t>
            </w:r>
          </w:p>
        </w:tc>
        <w:tc>
          <w:tcPr>
            <w:tcW w:w="1276" w:type="dxa"/>
          </w:tcPr>
          <w:p w14:paraId="4E951CAE" w14:textId="77777777" w:rsidR="009D33A8" w:rsidRDefault="009D33A8">
            <w:pPr>
              <w:cnfStyle w:val="000000000000" w:firstRow="0" w:lastRow="0" w:firstColumn="0" w:lastColumn="0" w:oddVBand="0" w:evenVBand="0" w:oddHBand="0" w:evenHBand="0" w:firstRowFirstColumn="0" w:firstRowLastColumn="0" w:lastRowFirstColumn="0" w:lastRowLastColumn="0"/>
            </w:pPr>
            <w:r>
              <w:t>108 401</w:t>
            </w:r>
          </w:p>
        </w:tc>
        <w:tc>
          <w:tcPr>
            <w:tcW w:w="1559" w:type="dxa"/>
          </w:tcPr>
          <w:p w14:paraId="497A11B5" w14:textId="77777777" w:rsidR="009D33A8" w:rsidRDefault="009D33A8">
            <w:pPr>
              <w:cnfStyle w:val="000000000000" w:firstRow="0" w:lastRow="0" w:firstColumn="0" w:lastColumn="0" w:oddVBand="0" w:evenVBand="0" w:oddHBand="0" w:evenHBand="0" w:firstRowFirstColumn="0" w:firstRowLastColumn="0" w:lastRowFirstColumn="0" w:lastRowLastColumn="0"/>
            </w:pPr>
            <w:r>
              <w:t>6 335</w:t>
            </w:r>
          </w:p>
        </w:tc>
        <w:tc>
          <w:tcPr>
            <w:tcW w:w="1643" w:type="dxa"/>
          </w:tcPr>
          <w:p w14:paraId="6B06261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5EF47CB" w14:textId="77777777" w:rsidR="009D33A8" w:rsidRDefault="009D33A8">
            <w:pPr>
              <w:cnfStyle w:val="000000000000" w:firstRow="0" w:lastRow="0" w:firstColumn="0" w:lastColumn="0" w:oddVBand="0" w:evenVBand="0" w:oddHBand="0" w:evenHBand="0" w:firstRowFirstColumn="0" w:firstRowLastColumn="0" w:lastRowFirstColumn="0" w:lastRowLastColumn="0"/>
            </w:pPr>
            <w:r>
              <w:t>114 736</w:t>
            </w:r>
          </w:p>
        </w:tc>
      </w:tr>
      <w:tr w:rsidR="009D33A8" w14:paraId="10DBC1BE" w14:textId="77777777">
        <w:tc>
          <w:tcPr>
            <w:cnfStyle w:val="001000000000" w:firstRow="0" w:lastRow="0" w:firstColumn="1" w:lastColumn="0" w:oddVBand="0" w:evenVBand="0" w:oddHBand="0" w:evenHBand="0" w:firstRowFirstColumn="0" w:firstRowLastColumn="0" w:lastRowFirstColumn="0" w:lastRowLastColumn="0"/>
            <w:tcW w:w="4253" w:type="dxa"/>
          </w:tcPr>
          <w:p w14:paraId="13A76B06" w14:textId="77777777" w:rsidR="009D33A8" w:rsidRDefault="009D33A8">
            <w:r>
              <w:t>Justice and Community Safety</w:t>
            </w:r>
          </w:p>
        </w:tc>
        <w:tc>
          <w:tcPr>
            <w:tcW w:w="1276" w:type="dxa"/>
          </w:tcPr>
          <w:p w14:paraId="18C17F1A" w14:textId="77777777" w:rsidR="009D33A8" w:rsidRDefault="009D33A8">
            <w:pPr>
              <w:cnfStyle w:val="000000000000" w:firstRow="0" w:lastRow="0" w:firstColumn="0" w:lastColumn="0" w:oddVBand="0" w:evenVBand="0" w:oddHBand="0" w:evenHBand="0" w:firstRowFirstColumn="0" w:firstRowLastColumn="0" w:lastRowFirstColumn="0" w:lastRowLastColumn="0"/>
            </w:pPr>
            <w:r>
              <w:t>3 808</w:t>
            </w:r>
          </w:p>
        </w:tc>
        <w:tc>
          <w:tcPr>
            <w:tcW w:w="1559" w:type="dxa"/>
          </w:tcPr>
          <w:p w14:paraId="5235CB95" w14:textId="77777777" w:rsidR="009D33A8" w:rsidRDefault="009D33A8">
            <w:pPr>
              <w:cnfStyle w:val="000000000000" w:firstRow="0" w:lastRow="0" w:firstColumn="0" w:lastColumn="0" w:oddVBand="0" w:evenVBand="0" w:oddHBand="0" w:evenHBand="0" w:firstRowFirstColumn="0" w:firstRowLastColumn="0" w:lastRowFirstColumn="0" w:lastRowLastColumn="0"/>
            </w:pPr>
            <w:r>
              <w:t>69 371</w:t>
            </w:r>
          </w:p>
        </w:tc>
        <w:tc>
          <w:tcPr>
            <w:tcW w:w="1643" w:type="dxa"/>
          </w:tcPr>
          <w:p w14:paraId="74CFE36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652C851" w14:textId="77777777" w:rsidR="009D33A8" w:rsidRDefault="009D33A8">
            <w:pPr>
              <w:cnfStyle w:val="000000000000" w:firstRow="0" w:lastRow="0" w:firstColumn="0" w:lastColumn="0" w:oddVBand="0" w:evenVBand="0" w:oddHBand="0" w:evenHBand="0" w:firstRowFirstColumn="0" w:firstRowLastColumn="0" w:lastRowFirstColumn="0" w:lastRowLastColumn="0"/>
            </w:pPr>
            <w:r>
              <w:t>73 179</w:t>
            </w:r>
          </w:p>
        </w:tc>
      </w:tr>
      <w:tr w:rsidR="009D33A8" w14:paraId="06AEA695" w14:textId="77777777">
        <w:tc>
          <w:tcPr>
            <w:cnfStyle w:val="001000000000" w:firstRow="0" w:lastRow="0" w:firstColumn="1" w:lastColumn="0" w:oddVBand="0" w:evenVBand="0" w:oddHBand="0" w:evenHBand="0" w:firstRowFirstColumn="0" w:firstRowLastColumn="0" w:lastRowFirstColumn="0" w:lastRowLastColumn="0"/>
            <w:tcW w:w="4253" w:type="dxa"/>
          </w:tcPr>
          <w:p w14:paraId="59A4423B" w14:textId="77777777" w:rsidR="009D33A8" w:rsidRDefault="009D33A8">
            <w:r>
              <w:t>Premier and Cabinet</w:t>
            </w:r>
          </w:p>
        </w:tc>
        <w:tc>
          <w:tcPr>
            <w:tcW w:w="1276" w:type="dxa"/>
          </w:tcPr>
          <w:p w14:paraId="0D8DB1B8" w14:textId="77777777" w:rsidR="009D33A8" w:rsidRDefault="009D33A8">
            <w:pPr>
              <w:cnfStyle w:val="000000000000" w:firstRow="0" w:lastRow="0" w:firstColumn="0" w:lastColumn="0" w:oddVBand="0" w:evenVBand="0" w:oddHBand="0" w:evenHBand="0" w:firstRowFirstColumn="0" w:firstRowLastColumn="0" w:lastRowFirstColumn="0" w:lastRowLastColumn="0"/>
            </w:pPr>
            <w:r>
              <w:t>6 048</w:t>
            </w:r>
          </w:p>
        </w:tc>
        <w:tc>
          <w:tcPr>
            <w:tcW w:w="1559" w:type="dxa"/>
          </w:tcPr>
          <w:p w14:paraId="0FE7A2FC" w14:textId="77777777" w:rsidR="009D33A8" w:rsidRDefault="009D33A8">
            <w:pPr>
              <w:cnfStyle w:val="000000000000" w:firstRow="0" w:lastRow="0" w:firstColumn="0" w:lastColumn="0" w:oddVBand="0" w:evenVBand="0" w:oddHBand="0" w:evenHBand="0" w:firstRowFirstColumn="0" w:firstRowLastColumn="0" w:lastRowFirstColumn="0" w:lastRowLastColumn="0"/>
            </w:pPr>
            <w:r>
              <w:t>1 000</w:t>
            </w:r>
          </w:p>
        </w:tc>
        <w:tc>
          <w:tcPr>
            <w:tcW w:w="1643" w:type="dxa"/>
          </w:tcPr>
          <w:p w14:paraId="4464476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153567" w14:textId="77777777" w:rsidR="009D33A8" w:rsidRDefault="009D33A8">
            <w:pPr>
              <w:cnfStyle w:val="000000000000" w:firstRow="0" w:lastRow="0" w:firstColumn="0" w:lastColumn="0" w:oddVBand="0" w:evenVBand="0" w:oddHBand="0" w:evenHBand="0" w:firstRowFirstColumn="0" w:firstRowLastColumn="0" w:lastRowFirstColumn="0" w:lastRowLastColumn="0"/>
            </w:pPr>
            <w:r>
              <w:t>7 048</w:t>
            </w:r>
          </w:p>
        </w:tc>
      </w:tr>
      <w:tr w:rsidR="009D33A8" w14:paraId="4F6E3347" w14:textId="77777777">
        <w:tc>
          <w:tcPr>
            <w:cnfStyle w:val="001000000000" w:firstRow="0" w:lastRow="0" w:firstColumn="1" w:lastColumn="0" w:oddVBand="0" w:evenVBand="0" w:oddHBand="0" w:evenHBand="0" w:firstRowFirstColumn="0" w:firstRowLastColumn="0" w:lastRowFirstColumn="0" w:lastRowLastColumn="0"/>
            <w:tcW w:w="4253" w:type="dxa"/>
          </w:tcPr>
          <w:p w14:paraId="753966C3" w14:textId="77777777" w:rsidR="009D33A8" w:rsidRDefault="009D33A8">
            <w:r>
              <w:t>Transport and Planning</w:t>
            </w:r>
          </w:p>
        </w:tc>
        <w:tc>
          <w:tcPr>
            <w:tcW w:w="1276" w:type="dxa"/>
          </w:tcPr>
          <w:p w14:paraId="36282F5E" w14:textId="77777777" w:rsidR="009D33A8" w:rsidRDefault="009D33A8">
            <w:pPr>
              <w:cnfStyle w:val="000000000000" w:firstRow="0" w:lastRow="0" w:firstColumn="0" w:lastColumn="0" w:oddVBand="0" w:evenVBand="0" w:oddHBand="0" w:evenHBand="0" w:firstRowFirstColumn="0" w:firstRowLastColumn="0" w:lastRowFirstColumn="0" w:lastRowLastColumn="0"/>
            </w:pPr>
            <w:r>
              <w:t>164 577</w:t>
            </w:r>
          </w:p>
        </w:tc>
        <w:tc>
          <w:tcPr>
            <w:tcW w:w="1559" w:type="dxa"/>
          </w:tcPr>
          <w:p w14:paraId="3EADEB9C" w14:textId="77777777" w:rsidR="009D33A8" w:rsidRDefault="009D33A8">
            <w:pPr>
              <w:cnfStyle w:val="000000000000" w:firstRow="0" w:lastRow="0" w:firstColumn="0" w:lastColumn="0" w:oddVBand="0" w:evenVBand="0" w:oddHBand="0" w:evenHBand="0" w:firstRowFirstColumn="0" w:firstRowLastColumn="0" w:lastRowFirstColumn="0" w:lastRowLastColumn="0"/>
            </w:pPr>
            <w:r>
              <w:t>1 128 592</w:t>
            </w:r>
          </w:p>
        </w:tc>
        <w:tc>
          <w:tcPr>
            <w:tcW w:w="1643" w:type="dxa"/>
          </w:tcPr>
          <w:p w14:paraId="31349DE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BA0A2" w14:textId="77777777" w:rsidR="009D33A8" w:rsidRDefault="009D33A8">
            <w:pPr>
              <w:cnfStyle w:val="000000000000" w:firstRow="0" w:lastRow="0" w:firstColumn="0" w:lastColumn="0" w:oddVBand="0" w:evenVBand="0" w:oddHBand="0" w:evenHBand="0" w:firstRowFirstColumn="0" w:firstRowLastColumn="0" w:lastRowFirstColumn="0" w:lastRowLastColumn="0"/>
            </w:pPr>
            <w:r>
              <w:t>1 293 169</w:t>
            </w:r>
          </w:p>
        </w:tc>
      </w:tr>
      <w:tr w:rsidR="009D33A8" w14:paraId="1A99CDE3" w14:textId="77777777">
        <w:tc>
          <w:tcPr>
            <w:cnfStyle w:val="001000000000" w:firstRow="0" w:lastRow="0" w:firstColumn="1" w:lastColumn="0" w:oddVBand="0" w:evenVBand="0" w:oddHBand="0" w:evenHBand="0" w:firstRowFirstColumn="0" w:firstRowLastColumn="0" w:lastRowFirstColumn="0" w:lastRowLastColumn="0"/>
            <w:tcW w:w="4253" w:type="dxa"/>
          </w:tcPr>
          <w:p w14:paraId="51B20F1F" w14:textId="77777777" w:rsidR="009D33A8" w:rsidRDefault="009D33A8">
            <w:r>
              <w:t>Treasury and Finance</w:t>
            </w:r>
          </w:p>
        </w:tc>
        <w:tc>
          <w:tcPr>
            <w:tcW w:w="1276" w:type="dxa"/>
          </w:tcPr>
          <w:p w14:paraId="36FAFA6B" w14:textId="77777777" w:rsidR="009D33A8" w:rsidRDefault="009D33A8">
            <w:pPr>
              <w:cnfStyle w:val="000000000000" w:firstRow="0" w:lastRow="0" w:firstColumn="0" w:lastColumn="0" w:oddVBand="0" w:evenVBand="0" w:oddHBand="0" w:evenHBand="0" w:firstRowFirstColumn="0" w:firstRowLastColumn="0" w:lastRowFirstColumn="0" w:lastRowLastColumn="0"/>
            </w:pPr>
            <w:r>
              <w:t>40 873</w:t>
            </w:r>
          </w:p>
        </w:tc>
        <w:tc>
          <w:tcPr>
            <w:tcW w:w="1559" w:type="dxa"/>
          </w:tcPr>
          <w:p w14:paraId="5565B2C3" w14:textId="77777777" w:rsidR="009D33A8" w:rsidRDefault="009D33A8">
            <w:pPr>
              <w:cnfStyle w:val="000000000000" w:firstRow="0" w:lastRow="0" w:firstColumn="0" w:lastColumn="0" w:oddVBand="0" w:evenVBand="0" w:oddHBand="0" w:evenHBand="0" w:firstRowFirstColumn="0" w:firstRowLastColumn="0" w:lastRowFirstColumn="0" w:lastRowLastColumn="0"/>
            </w:pPr>
            <w:r>
              <w:t>843</w:t>
            </w:r>
          </w:p>
        </w:tc>
        <w:tc>
          <w:tcPr>
            <w:tcW w:w="1643" w:type="dxa"/>
          </w:tcPr>
          <w:p w14:paraId="3987BF2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BD0C9E" w14:textId="77777777" w:rsidR="009D33A8" w:rsidRDefault="009D33A8">
            <w:pPr>
              <w:cnfStyle w:val="000000000000" w:firstRow="0" w:lastRow="0" w:firstColumn="0" w:lastColumn="0" w:oddVBand="0" w:evenVBand="0" w:oddHBand="0" w:evenHBand="0" w:firstRowFirstColumn="0" w:firstRowLastColumn="0" w:lastRowFirstColumn="0" w:lastRowLastColumn="0"/>
            </w:pPr>
            <w:r>
              <w:t>41 716</w:t>
            </w:r>
          </w:p>
        </w:tc>
      </w:tr>
      <w:tr w:rsidR="009D33A8" w14:paraId="7212DD2E" w14:textId="77777777">
        <w:tc>
          <w:tcPr>
            <w:cnfStyle w:val="001000000000" w:firstRow="0" w:lastRow="0" w:firstColumn="1" w:lastColumn="0" w:oddVBand="0" w:evenVBand="0" w:oddHBand="0" w:evenHBand="0" w:firstRowFirstColumn="0" w:firstRowLastColumn="0" w:lastRowFirstColumn="0" w:lastRowLastColumn="0"/>
            <w:tcW w:w="4253" w:type="dxa"/>
          </w:tcPr>
          <w:p w14:paraId="197C31B1" w14:textId="77777777" w:rsidR="009D33A8" w:rsidRDefault="009D33A8">
            <w:r>
              <w:t>Parliament</w:t>
            </w:r>
          </w:p>
        </w:tc>
        <w:tc>
          <w:tcPr>
            <w:tcW w:w="1276" w:type="dxa"/>
          </w:tcPr>
          <w:p w14:paraId="4C8B1DEE" w14:textId="77777777" w:rsidR="009D33A8" w:rsidRDefault="009D33A8">
            <w:pPr>
              <w:cnfStyle w:val="000000000000" w:firstRow="0" w:lastRow="0" w:firstColumn="0" w:lastColumn="0" w:oddVBand="0" w:evenVBand="0" w:oddHBand="0" w:evenHBand="0" w:firstRowFirstColumn="0" w:firstRowLastColumn="0" w:lastRowFirstColumn="0" w:lastRowLastColumn="0"/>
            </w:pPr>
            <w:r>
              <w:t>5 012</w:t>
            </w:r>
          </w:p>
        </w:tc>
        <w:tc>
          <w:tcPr>
            <w:tcW w:w="1559" w:type="dxa"/>
          </w:tcPr>
          <w:p w14:paraId="10080A02" w14:textId="77777777" w:rsidR="009D33A8" w:rsidRDefault="009D33A8">
            <w:pPr>
              <w:cnfStyle w:val="000000000000" w:firstRow="0" w:lastRow="0" w:firstColumn="0" w:lastColumn="0" w:oddVBand="0" w:evenVBand="0" w:oddHBand="0" w:evenHBand="0" w:firstRowFirstColumn="0" w:firstRowLastColumn="0" w:lastRowFirstColumn="0" w:lastRowLastColumn="0"/>
            </w:pPr>
            <w:r>
              <w:t>114</w:t>
            </w:r>
          </w:p>
        </w:tc>
        <w:tc>
          <w:tcPr>
            <w:tcW w:w="1643" w:type="dxa"/>
          </w:tcPr>
          <w:p w14:paraId="1F749A5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51A424" w14:textId="77777777" w:rsidR="009D33A8" w:rsidRDefault="009D33A8">
            <w:pPr>
              <w:cnfStyle w:val="000000000000" w:firstRow="0" w:lastRow="0" w:firstColumn="0" w:lastColumn="0" w:oddVBand="0" w:evenVBand="0" w:oddHBand="0" w:evenHBand="0" w:firstRowFirstColumn="0" w:firstRowLastColumn="0" w:lastRowFirstColumn="0" w:lastRowLastColumn="0"/>
            </w:pPr>
            <w:r>
              <w:t>5 126</w:t>
            </w:r>
          </w:p>
        </w:tc>
      </w:tr>
      <w:tr w:rsidR="009D33A8" w14:paraId="57DB3DB9" w14:textId="77777777">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58BC2153" w14:textId="77777777" w:rsidR="009D33A8" w:rsidRDefault="009D33A8">
            <w:r>
              <w:t>Courts</w:t>
            </w:r>
          </w:p>
        </w:tc>
        <w:tc>
          <w:tcPr>
            <w:tcW w:w="1276" w:type="dxa"/>
            <w:tcBorders>
              <w:bottom w:val="single" w:sz="6" w:space="0" w:color="auto"/>
            </w:tcBorders>
          </w:tcPr>
          <w:p w14:paraId="4457517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64DDBDD6" w14:textId="77777777" w:rsidR="009D33A8" w:rsidRDefault="009D33A8">
            <w:pPr>
              <w:cnfStyle w:val="000000000000" w:firstRow="0" w:lastRow="0" w:firstColumn="0" w:lastColumn="0" w:oddVBand="0" w:evenVBand="0" w:oddHBand="0" w:evenHBand="0" w:firstRowFirstColumn="0" w:firstRowLastColumn="0" w:lastRowFirstColumn="0" w:lastRowLastColumn="0"/>
            </w:pPr>
            <w:r>
              <w:t>8 157</w:t>
            </w:r>
          </w:p>
        </w:tc>
        <w:tc>
          <w:tcPr>
            <w:tcW w:w="1643" w:type="dxa"/>
            <w:tcBorders>
              <w:bottom w:val="single" w:sz="6" w:space="0" w:color="auto"/>
            </w:tcBorders>
          </w:tcPr>
          <w:p w14:paraId="29C8B8F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46DEAF4" w14:textId="77777777" w:rsidR="009D33A8" w:rsidRDefault="009D33A8">
            <w:pPr>
              <w:cnfStyle w:val="000000000000" w:firstRow="0" w:lastRow="0" w:firstColumn="0" w:lastColumn="0" w:oddVBand="0" w:evenVBand="0" w:oddHBand="0" w:evenHBand="0" w:firstRowFirstColumn="0" w:firstRowLastColumn="0" w:lastRowFirstColumn="0" w:lastRowLastColumn="0"/>
            </w:pPr>
            <w:r>
              <w:t>8 157</w:t>
            </w:r>
          </w:p>
        </w:tc>
      </w:tr>
      <w:tr w:rsidR="009D33A8" w14:paraId="65B72FE0" w14:textId="77777777">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10DBCD0F" w14:textId="77777777" w:rsidR="009D33A8" w:rsidRDefault="009D33A8">
            <w:r>
              <w:rPr>
                <w:b/>
              </w:rPr>
              <w:t>Total carryovers by department</w:t>
            </w:r>
          </w:p>
        </w:tc>
        <w:tc>
          <w:tcPr>
            <w:tcW w:w="1276" w:type="dxa"/>
            <w:tcBorders>
              <w:top w:val="single" w:sz="6" w:space="0" w:color="auto"/>
              <w:bottom w:val="single" w:sz="12" w:space="0" w:color="auto"/>
            </w:tcBorders>
          </w:tcPr>
          <w:p w14:paraId="5B566CA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554 325</w:t>
            </w:r>
          </w:p>
        </w:tc>
        <w:tc>
          <w:tcPr>
            <w:tcW w:w="1559" w:type="dxa"/>
            <w:tcBorders>
              <w:top w:val="single" w:sz="6" w:space="0" w:color="auto"/>
              <w:bottom w:val="single" w:sz="12" w:space="0" w:color="auto"/>
            </w:tcBorders>
          </w:tcPr>
          <w:p w14:paraId="1D93F37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1 514 608</w:t>
            </w:r>
          </w:p>
        </w:tc>
        <w:tc>
          <w:tcPr>
            <w:tcW w:w="1643" w:type="dxa"/>
            <w:tcBorders>
              <w:top w:val="single" w:sz="6" w:space="0" w:color="auto"/>
              <w:bottom w:val="single" w:sz="12" w:space="0" w:color="auto"/>
            </w:tcBorders>
          </w:tcPr>
          <w:p w14:paraId="4FF065D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6 513</w:t>
            </w:r>
          </w:p>
        </w:tc>
        <w:tc>
          <w:tcPr>
            <w:tcW w:w="907" w:type="dxa"/>
            <w:tcBorders>
              <w:top w:val="single" w:sz="6" w:space="0" w:color="auto"/>
              <w:bottom w:val="single" w:sz="12" w:space="0" w:color="auto"/>
            </w:tcBorders>
          </w:tcPr>
          <w:p w14:paraId="5480A14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2 075 446</w:t>
            </w:r>
          </w:p>
        </w:tc>
      </w:tr>
    </w:tbl>
    <w:p w14:paraId="3FB4887B" w14:textId="77777777" w:rsidR="009D33A8" w:rsidRDefault="009D33A8" w:rsidP="009D33A8">
      <w:pPr>
        <w:spacing w:before="60"/>
      </w:pPr>
    </w:p>
    <w:p w14:paraId="0BE4A3F0" w14:textId="77777777" w:rsidR="009D33A8" w:rsidRDefault="009D33A8" w:rsidP="009D33A8">
      <w:pPr>
        <w:pStyle w:val="TableHeading"/>
        <w:rPr>
          <w:lang w:val="en-US"/>
        </w:rPr>
      </w:pPr>
      <w:r w:rsidRPr="00B15585">
        <w:t xml:space="preserve">Amounts applied against carryover of appropriations in </w:t>
      </w:r>
      <w:r>
        <w:t>2024-25</w:t>
      </w:r>
      <w:r w:rsidRPr="00B15585">
        <w:t xml:space="preserve"> pursuant to Section 32 of the</w:t>
      </w:r>
      <w:r w:rsidRPr="00B15585">
        <w:br/>
      </w:r>
      <w:r w:rsidRPr="00743299">
        <w:rPr>
          <w:i/>
        </w:rPr>
        <w:t>Financial Management Act 1994</w:t>
      </w:r>
      <w:r>
        <w:tab/>
      </w:r>
      <w:r w:rsidRPr="0087200E">
        <w:t>(</w:t>
      </w:r>
      <w:r w:rsidRPr="00D42175">
        <w:rPr>
          <w:lang w:val="en-U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32_amounts_from_PY"/>
      </w:tblPr>
      <w:tblGrid>
        <w:gridCol w:w="4253"/>
        <w:gridCol w:w="1276"/>
        <w:gridCol w:w="1500"/>
        <w:gridCol w:w="1624"/>
        <w:gridCol w:w="985"/>
      </w:tblGrid>
      <w:tr w:rsidR="00940F7B" w14:paraId="5C950B6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5D71EC14" w14:textId="228C0F81" w:rsidR="009D33A8" w:rsidRDefault="009D33A8">
            <w:pPr>
              <w:keepNext/>
            </w:pPr>
            <w:r>
              <w:t>Department</w:t>
            </w:r>
          </w:p>
        </w:tc>
        <w:tc>
          <w:tcPr>
            <w:tcW w:w="1276" w:type="dxa"/>
          </w:tcPr>
          <w:p w14:paraId="767A9673" w14:textId="6C450850" w:rsidR="009D33A8" w:rsidRDefault="009D33A8">
            <w:pPr>
              <w:keepNext/>
              <w:cnfStyle w:val="100000000000" w:firstRow="1" w:lastRow="0" w:firstColumn="0" w:lastColumn="0" w:oddVBand="0" w:evenVBand="0" w:oddHBand="0" w:evenHBand="0" w:firstRowFirstColumn="0" w:firstRowLastColumn="0" w:lastRowFirstColumn="0" w:lastRowLastColumn="0"/>
            </w:pPr>
            <w:r>
              <w:t>Provision of outputs</w:t>
            </w:r>
          </w:p>
        </w:tc>
        <w:tc>
          <w:tcPr>
            <w:tcW w:w="1500" w:type="dxa"/>
          </w:tcPr>
          <w:p w14:paraId="57EABC27" w14:textId="2F5CDF46" w:rsidR="009D33A8" w:rsidRDefault="009D33A8">
            <w:pPr>
              <w:keepNext/>
              <w:cnfStyle w:val="100000000000" w:firstRow="1" w:lastRow="0" w:firstColumn="0" w:lastColumn="0" w:oddVBand="0" w:evenVBand="0" w:oddHBand="0" w:evenHBand="0" w:firstRowFirstColumn="0" w:firstRowLastColumn="0" w:lastRowFirstColumn="0" w:lastRowLastColumn="0"/>
            </w:pPr>
            <w:r>
              <w:t xml:space="preserve">Additions to </w:t>
            </w:r>
            <w:r>
              <w:br/>
              <w:t>net assets base</w:t>
            </w:r>
          </w:p>
        </w:tc>
        <w:tc>
          <w:tcPr>
            <w:tcW w:w="1624" w:type="dxa"/>
          </w:tcPr>
          <w:p w14:paraId="6341001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Payments made on behalf of the State</w:t>
            </w:r>
          </w:p>
        </w:tc>
        <w:tc>
          <w:tcPr>
            <w:tcW w:w="985" w:type="dxa"/>
          </w:tcPr>
          <w:p w14:paraId="4FADE0C7" w14:textId="18EE3DCC" w:rsidR="009D33A8" w:rsidRDefault="009D33A8">
            <w:pPr>
              <w:keepNext/>
              <w:cnfStyle w:val="100000000000" w:firstRow="1" w:lastRow="0" w:firstColumn="0" w:lastColumn="0" w:oddVBand="0" w:evenVBand="0" w:oddHBand="0" w:evenHBand="0" w:firstRowFirstColumn="0" w:firstRowLastColumn="0" w:lastRowFirstColumn="0" w:lastRowLastColumn="0"/>
            </w:pPr>
            <w:r>
              <w:t>Total carryover</w:t>
            </w:r>
          </w:p>
        </w:tc>
      </w:tr>
      <w:tr w:rsidR="009D33A8" w14:paraId="43A429CD" w14:textId="77777777">
        <w:tc>
          <w:tcPr>
            <w:cnfStyle w:val="001000000000" w:firstRow="0" w:lastRow="0" w:firstColumn="1" w:lastColumn="0" w:oddVBand="0" w:evenVBand="0" w:oddHBand="0" w:evenHBand="0" w:firstRowFirstColumn="0" w:firstRowLastColumn="0" w:lastRowFirstColumn="0" w:lastRowLastColumn="0"/>
            <w:tcW w:w="4253" w:type="dxa"/>
          </w:tcPr>
          <w:p w14:paraId="5CE28751" w14:textId="77777777" w:rsidR="009D33A8" w:rsidRDefault="009D33A8">
            <w:r>
              <w:t>Education</w:t>
            </w:r>
          </w:p>
        </w:tc>
        <w:tc>
          <w:tcPr>
            <w:tcW w:w="1276" w:type="dxa"/>
          </w:tcPr>
          <w:p w14:paraId="796E0AA9" w14:textId="77777777" w:rsidR="009D33A8" w:rsidRDefault="009D33A8">
            <w:pPr>
              <w:cnfStyle w:val="000000000000" w:firstRow="0" w:lastRow="0" w:firstColumn="0" w:lastColumn="0" w:oddVBand="0" w:evenVBand="0" w:oddHBand="0" w:evenHBand="0" w:firstRowFirstColumn="0" w:firstRowLastColumn="0" w:lastRowFirstColumn="0" w:lastRowLastColumn="0"/>
            </w:pPr>
            <w:r>
              <w:t>97 357</w:t>
            </w:r>
          </w:p>
        </w:tc>
        <w:tc>
          <w:tcPr>
            <w:tcW w:w="1500" w:type="dxa"/>
          </w:tcPr>
          <w:p w14:paraId="0D9BE63D" w14:textId="77777777" w:rsidR="009D33A8" w:rsidRDefault="009D33A8">
            <w:pPr>
              <w:cnfStyle w:val="000000000000" w:firstRow="0" w:lastRow="0" w:firstColumn="0" w:lastColumn="0" w:oddVBand="0" w:evenVBand="0" w:oddHBand="0" w:evenHBand="0" w:firstRowFirstColumn="0" w:firstRowLastColumn="0" w:lastRowFirstColumn="0" w:lastRowLastColumn="0"/>
            </w:pPr>
            <w:r>
              <w:t>279 777</w:t>
            </w:r>
          </w:p>
        </w:tc>
        <w:tc>
          <w:tcPr>
            <w:tcW w:w="1624" w:type="dxa"/>
          </w:tcPr>
          <w:p w14:paraId="30DC7AE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15644B29" w14:textId="77777777" w:rsidR="009D33A8" w:rsidRDefault="009D33A8">
            <w:pPr>
              <w:cnfStyle w:val="000000000000" w:firstRow="0" w:lastRow="0" w:firstColumn="0" w:lastColumn="0" w:oddVBand="0" w:evenVBand="0" w:oddHBand="0" w:evenHBand="0" w:firstRowFirstColumn="0" w:firstRowLastColumn="0" w:lastRowFirstColumn="0" w:lastRowLastColumn="0"/>
            </w:pPr>
            <w:r>
              <w:t>377 134</w:t>
            </w:r>
          </w:p>
        </w:tc>
      </w:tr>
      <w:tr w:rsidR="009D33A8" w14:paraId="38222685" w14:textId="77777777">
        <w:tc>
          <w:tcPr>
            <w:cnfStyle w:val="001000000000" w:firstRow="0" w:lastRow="0" w:firstColumn="1" w:lastColumn="0" w:oddVBand="0" w:evenVBand="0" w:oddHBand="0" w:evenHBand="0" w:firstRowFirstColumn="0" w:firstRowLastColumn="0" w:lastRowFirstColumn="0" w:lastRowLastColumn="0"/>
            <w:tcW w:w="4253" w:type="dxa"/>
          </w:tcPr>
          <w:p w14:paraId="0BE4895F" w14:textId="77777777" w:rsidR="009D33A8" w:rsidRDefault="009D33A8">
            <w:r>
              <w:t>Energy, Environment and Climate Action</w:t>
            </w:r>
          </w:p>
        </w:tc>
        <w:tc>
          <w:tcPr>
            <w:tcW w:w="1276" w:type="dxa"/>
          </w:tcPr>
          <w:p w14:paraId="5976CA91" w14:textId="77777777" w:rsidR="009D33A8" w:rsidRDefault="009D33A8">
            <w:pPr>
              <w:cnfStyle w:val="000000000000" w:firstRow="0" w:lastRow="0" w:firstColumn="0" w:lastColumn="0" w:oddVBand="0" w:evenVBand="0" w:oddHBand="0" w:evenHBand="0" w:firstRowFirstColumn="0" w:firstRowLastColumn="0" w:lastRowFirstColumn="0" w:lastRowLastColumn="0"/>
            </w:pPr>
            <w:r>
              <w:t>29 709</w:t>
            </w:r>
          </w:p>
        </w:tc>
        <w:tc>
          <w:tcPr>
            <w:tcW w:w="1500" w:type="dxa"/>
          </w:tcPr>
          <w:p w14:paraId="3D45FA56" w14:textId="77777777" w:rsidR="009D33A8" w:rsidRDefault="009D33A8">
            <w:pPr>
              <w:cnfStyle w:val="000000000000" w:firstRow="0" w:lastRow="0" w:firstColumn="0" w:lastColumn="0" w:oddVBand="0" w:evenVBand="0" w:oddHBand="0" w:evenHBand="0" w:firstRowFirstColumn="0" w:firstRowLastColumn="0" w:lastRowFirstColumn="0" w:lastRowLastColumn="0"/>
            </w:pPr>
            <w:r>
              <w:t>4 630</w:t>
            </w:r>
          </w:p>
        </w:tc>
        <w:tc>
          <w:tcPr>
            <w:tcW w:w="1624" w:type="dxa"/>
          </w:tcPr>
          <w:p w14:paraId="40A1910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1145A6F1" w14:textId="77777777" w:rsidR="009D33A8" w:rsidRDefault="009D33A8">
            <w:pPr>
              <w:cnfStyle w:val="000000000000" w:firstRow="0" w:lastRow="0" w:firstColumn="0" w:lastColumn="0" w:oddVBand="0" w:evenVBand="0" w:oddHBand="0" w:evenHBand="0" w:firstRowFirstColumn="0" w:firstRowLastColumn="0" w:lastRowFirstColumn="0" w:lastRowLastColumn="0"/>
            </w:pPr>
            <w:r>
              <w:t>34 339</w:t>
            </w:r>
          </w:p>
        </w:tc>
      </w:tr>
      <w:tr w:rsidR="009D33A8" w14:paraId="271BCF60" w14:textId="77777777">
        <w:tc>
          <w:tcPr>
            <w:cnfStyle w:val="001000000000" w:firstRow="0" w:lastRow="0" w:firstColumn="1" w:lastColumn="0" w:oddVBand="0" w:evenVBand="0" w:oddHBand="0" w:evenHBand="0" w:firstRowFirstColumn="0" w:firstRowLastColumn="0" w:lastRowFirstColumn="0" w:lastRowLastColumn="0"/>
            <w:tcW w:w="4253" w:type="dxa"/>
          </w:tcPr>
          <w:p w14:paraId="112C9449" w14:textId="77777777" w:rsidR="009D33A8" w:rsidRDefault="009D33A8">
            <w:r>
              <w:t>Families, Fairness and Housing</w:t>
            </w:r>
          </w:p>
        </w:tc>
        <w:tc>
          <w:tcPr>
            <w:tcW w:w="1276" w:type="dxa"/>
          </w:tcPr>
          <w:p w14:paraId="7641716F" w14:textId="77777777" w:rsidR="009D33A8" w:rsidRDefault="009D33A8">
            <w:pPr>
              <w:cnfStyle w:val="000000000000" w:firstRow="0" w:lastRow="0" w:firstColumn="0" w:lastColumn="0" w:oddVBand="0" w:evenVBand="0" w:oddHBand="0" w:evenHBand="0" w:firstRowFirstColumn="0" w:firstRowLastColumn="0" w:lastRowFirstColumn="0" w:lastRowLastColumn="0"/>
            </w:pPr>
            <w:r>
              <w:t>16 416</w:t>
            </w:r>
          </w:p>
        </w:tc>
        <w:tc>
          <w:tcPr>
            <w:tcW w:w="1500" w:type="dxa"/>
          </w:tcPr>
          <w:p w14:paraId="47A9A303" w14:textId="77777777" w:rsidR="009D33A8" w:rsidRDefault="009D33A8">
            <w:pPr>
              <w:cnfStyle w:val="000000000000" w:firstRow="0" w:lastRow="0" w:firstColumn="0" w:lastColumn="0" w:oddVBand="0" w:evenVBand="0" w:oddHBand="0" w:evenHBand="0" w:firstRowFirstColumn="0" w:firstRowLastColumn="0" w:lastRowFirstColumn="0" w:lastRowLastColumn="0"/>
            </w:pPr>
            <w:r>
              <w:t>13 448</w:t>
            </w:r>
          </w:p>
        </w:tc>
        <w:tc>
          <w:tcPr>
            <w:tcW w:w="1624" w:type="dxa"/>
          </w:tcPr>
          <w:p w14:paraId="51DF9550" w14:textId="77777777" w:rsidR="009D33A8" w:rsidRDefault="009D33A8">
            <w:pPr>
              <w:cnfStyle w:val="000000000000" w:firstRow="0" w:lastRow="0" w:firstColumn="0" w:lastColumn="0" w:oddVBand="0" w:evenVBand="0" w:oddHBand="0" w:evenHBand="0" w:firstRowFirstColumn="0" w:firstRowLastColumn="0" w:lastRowFirstColumn="0" w:lastRowLastColumn="0"/>
            </w:pPr>
            <w:r>
              <w:t>6 513</w:t>
            </w:r>
          </w:p>
        </w:tc>
        <w:tc>
          <w:tcPr>
            <w:tcW w:w="985" w:type="dxa"/>
          </w:tcPr>
          <w:p w14:paraId="096FF522" w14:textId="77777777" w:rsidR="009D33A8" w:rsidRDefault="009D33A8">
            <w:pPr>
              <w:cnfStyle w:val="000000000000" w:firstRow="0" w:lastRow="0" w:firstColumn="0" w:lastColumn="0" w:oddVBand="0" w:evenVBand="0" w:oddHBand="0" w:evenHBand="0" w:firstRowFirstColumn="0" w:firstRowLastColumn="0" w:lastRowFirstColumn="0" w:lastRowLastColumn="0"/>
            </w:pPr>
            <w:r>
              <w:t>36 377</w:t>
            </w:r>
          </w:p>
        </w:tc>
      </w:tr>
      <w:tr w:rsidR="009D33A8" w14:paraId="4A281E68" w14:textId="77777777">
        <w:tc>
          <w:tcPr>
            <w:cnfStyle w:val="001000000000" w:firstRow="0" w:lastRow="0" w:firstColumn="1" w:lastColumn="0" w:oddVBand="0" w:evenVBand="0" w:oddHBand="0" w:evenHBand="0" w:firstRowFirstColumn="0" w:firstRowLastColumn="0" w:lastRowFirstColumn="0" w:lastRowLastColumn="0"/>
            <w:tcW w:w="4253" w:type="dxa"/>
          </w:tcPr>
          <w:p w14:paraId="70EF6E4A" w14:textId="77777777" w:rsidR="009D33A8" w:rsidRDefault="009D33A8">
            <w:r>
              <w:t>Government Services</w:t>
            </w:r>
          </w:p>
        </w:tc>
        <w:tc>
          <w:tcPr>
            <w:tcW w:w="1276" w:type="dxa"/>
          </w:tcPr>
          <w:p w14:paraId="2C66F39C" w14:textId="77777777" w:rsidR="009D33A8" w:rsidRDefault="009D33A8">
            <w:pPr>
              <w:cnfStyle w:val="000000000000" w:firstRow="0" w:lastRow="0" w:firstColumn="0" w:lastColumn="0" w:oddVBand="0" w:evenVBand="0" w:oddHBand="0" w:evenHBand="0" w:firstRowFirstColumn="0" w:firstRowLastColumn="0" w:lastRowFirstColumn="0" w:lastRowLastColumn="0"/>
            </w:pPr>
            <w:r>
              <w:t>1 732</w:t>
            </w:r>
          </w:p>
        </w:tc>
        <w:tc>
          <w:tcPr>
            <w:tcW w:w="1500" w:type="dxa"/>
          </w:tcPr>
          <w:p w14:paraId="049C82B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34F4E3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147791FC" w14:textId="77777777" w:rsidR="009D33A8" w:rsidRDefault="009D33A8">
            <w:pPr>
              <w:cnfStyle w:val="000000000000" w:firstRow="0" w:lastRow="0" w:firstColumn="0" w:lastColumn="0" w:oddVBand="0" w:evenVBand="0" w:oddHBand="0" w:evenHBand="0" w:firstRowFirstColumn="0" w:firstRowLastColumn="0" w:lastRowFirstColumn="0" w:lastRowLastColumn="0"/>
            </w:pPr>
            <w:r>
              <w:t>1 732</w:t>
            </w:r>
          </w:p>
        </w:tc>
      </w:tr>
      <w:tr w:rsidR="009D33A8" w14:paraId="7E7EC887" w14:textId="77777777">
        <w:tc>
          <w:tcPr>
            <w:cnfStyle w:val="001000000000" w:firstRow="0" w:lastRow="0" w:firstColumn="1" w:lastColumn="0" w:oddVBand="0" w:evenVBand="0" w:oddHBand="0" w:evenHBand="0" w:firstRowFirstColumn="0" w:firstRowLastColumn="0" w:lastRowFirstColumn="0" w:lastRowLastColumn="0"/>
            <w:tcW w:w="4253" w:type="dxa"/>
          </w:tcPr>
          <w:p w14:paraId="00234C8F" w14:textId="77777777" w:rsidR="009D33A8" w:rsidRDefault="009D33A8">
            <w:r>
              <w:t>Health</w:t>
            </w:r>
          </w:p>
        </w:tc>
        <w:tc>
          <w:tcPr>
            <w:tcW w:w="1276" w:type="dxa"/>
          </w:tcPr>
          <w:p w14:paraId="653CB614" w14:textId="77777777" w:rsidR="009D33A8" w:rsidRDefault="009D33A8">
            <w:pPr>
              <w:cnfStyle w:val="000000000000" w:firstRow="0" w:lastRow="0" w:firstColumn="0" w:lastColumn="0" w:oddVBand="0" w:evenVBand="0" w:oddHBand="0" w:evenHBand="0" w:firstRowFirstColumn="0" w:firstRowLastColumn="0" w:lastRowFirstColumn="0" w:lastRowLastColumn="0"/>
            </w:pPr>
            <w:r>
              <w:t>45 985</w:t>
            </w:r>
          </w:p>
        </w:tc>
        <w:tc>
          <w:tcPr>
            <w:tcW w:w="1500" w:type="dxa"/>
          </w:tcPr>
          <w:p w14:paraId="65221CF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68BD458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40224A07" w14:textId="77777777" w:rsidR="009D33A8" w:rsidRDefault="009D33A8">
            <w:pPr>
              <w:cnfStyle w:val="000000000000" w:firstRow="0" w:lastRow="0" w:firstColumn="0" w:lastColumn="0" w:oddVBand="0" w:evenVBand="0" w:oddHBand="0" w:evenHBand="0" w:firstRowFirstColumn="0" w:firstRowLastColumn="0" w:lastRowFirstColumn="0" w:lastRowLastColumn="0"/>
            </w:pPr>
            <w:r>
              <w:t>45 985</w:t>
            </w:r>
          </w:p>
        </w:tc>
      </w:tr>
      <w:tr w:rsidR="009D33A8" w14:paraId="3217BA20" w14:textId="77777777">
        <w:tc>
          <w:tcPr>
            <w:cnfStyle w:val="001000000000" w:firstRow="0" w:lastRow="0" w:firstColumn="1" w:lastColumn="0" w:oddVBand="0" w:evenVBand="0" w:oddHBand="0" w:evenHBand="0" w:firstRowFirstColumn="0" w:firstRowLastColumn="0" w:lastRowFirstColumn="0" w:lastRowLastColumn="0"/>
            <w:tcW w:w="4253" w:type="dxa"/>
          </w:tcPr>
          <w:p w14:paraId="60DFE903" w14:textId="77777777" w:rsidR="009D33A8" w:rsidRDefault="009D33A8">
            <w:r>
              <w:t>Jobs, Skills, Industry and Regions</w:t>
            </w:r>
          </w:p>
        </w:tc>
        <w:tc>
          <w:tcPr>
            <w:tcW w:w="1276" w:type="dxa"/>
          </w:tcPr>
          <w:p w14:paraId="08FB0F9B" w14:textId="77777777" w:rsidR="009D33A8" w:rsidRDefault="009D33A8">
            <w:pPr>
              <w:cnfStyle w:val="000000000000" w:firstRow="0" w:lastRow="0" w:firstColumn="0" w:lastColumn="0" w:oddVBand="0" w:evenVBand="0" w:oddHBand="0" w:evenHBand="0" w:firstRowFirstColumn="0" w:firstRowLastColumn="0" w:lastRowFirstColumn="0" w:lastRowLastColumn="0"/>
            </w:pPr>
            <w:r>
              <w:t>88 434</w:t>
            </w:r>
          </w:p>
        </w:tc>
        <w:tc>
          <w:tcPr>
            <w:tcW w:w="1500" w:type="dxa"/>
          </w:tcPr>
          <w:p w14:paraId="229255EC" w14:textId="77777777" w:rsidR="009D33A8" w:rsidRDefault="009D33A8">
            <w:pPr>
              <w:cnfStyle w:val="000000000000" w:firstRow="0" w:lastRow="0" w:firstColumn="0" w:lastColumn="0" w:oddVBand="0" w:evenVBand="0" w:oddHBand="0" w:evenHBand="0" w:firstRowFirstColumn="0" w:firstRowLastColumn="0" w:lastRowFirstColumn="0" w:lastRowLastColumn="0"/>
            </w:pPr>
            <w:r>
              <w:t>6 035</w:t>
            </w:r>
          </w:p>
        </w:tc>
        <w:tc>
          <w:tcPr>
            <w:tcW w:w="1624" w:type="dxa"/>
          </w:tcPr>
          <w:p w14:paraId="62F7037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394BF58B" w14:textId="77777777" w:rsidR="009D33A8" w:rsidRDefault="009D33A8">
            <w:pPr>
              <w:cnfStyle w:val="000000000000" w:firstRow="0" w:lastRow="0" w:firstColumn="0" w:lastColumn="0" w:oddVBand="0" w:evenVBand="0" w:oddHBand="0" w:evenHBand="0" w:firstRowFirstColumn="0" w:firstRowLastColumn="0" w:lastRowFirstColumn="0" w:lastRowLastColumn="0"/>
            </w:pPr>
            <w:r>
              <w:t>94 469</w:t>
            </w:r>
          </w:p>
        </w:tc>
      </w:tr>
      <w:tr w:rsidR="009D33A8" w14:paraId="29F31E0A" w14:textId="77777777">
        <w:tc>
          <w:tcPr>
            <w:cnfStyle w:val="001000000000" w:firstRow="0" w:lastRow="0" w:firstColumn="1" w:lastColumn="0" w:oddVBand="0" w:evenVBand="0" w:oddHBand="0" w:evenHBand="0" w:firstRowFirstColumn="0" w:firstRowLastColumn="0" w:lastRowFirstColumn="0" w:lastRowLastColumn="0"/>
            <w:tcW w:w="4253" w:type="dxa"/>
          </w:tcPr>
          <w:p w14:paraId="534C354A" w14:textId="77777777" w:rsidR="009D33A8" w:rsidRDefault="009D33A8">
            <w:r>
              <w:t>Justice and Community Safety</w:t>
            </w:r>
          </w:p>
        </w:tc>
        <w:tc>
          <w:tcPr>
            <w:tcW w:w="1276" w:type="dxa"/>
          </w:tcPr>
          <w:p w14:paraId="2DA545A7" w14:textId="77777777" w:rsidR="009D33A8" w:rsidRDefault="009D33A8">
            <w:pPr>
              <w:cnfStyle w:val="000000000000" w:firstRow="0" w:lastRow="0" w:firstColumn="0" w:lastColumn="0" w:oddVBand="0" w:evenVBand="0" w:oddHBand="0" w:evenHBand="0" w:firstRowFirstColumn="0" w:firstRowLastColumn="0" w:lastRowFirstColumn="0" w:lastRowLastColumn="0"/>
            </w:pPr>
            <w:r>
              <w:t>3 657</w:t>
            </w:r>
          </w:p>
        </w:tc>
        <w:tc>
          <w:tcPr>
            <w:tcW w:w="1500" w:type="dxa"/>
          </w:tcPr>
          <w:p w14:paraId="386DF57B" w14:textId="77777777" w:rsidR="009D33A8" w:rsidRDefault="009D33A8">
            <w:pPr>
              <w:cnfStyle w:val="000000000000" w:firstRow="0" w:lastRow="0" w:firstColumn="0" w:lastColumn="0" w:oddVBand="0" w:evenVBand="0" w:oddHBand="0" w:evenHBand="0" w:firstRowFirstColumn="0" w:firstRowLastColumn="0" w:lastRowFirstColumn="0" w:lastRowLastColumn="0"/>
            </w:pPr>
            <w:r>
              <w:t>69 371</w:t>
            </w:r>
          </w:p>
        </w:tc>
        <w:tc>
          <w:tcPr>
            <w:tcW w:w="1624" w:type="dxa"/>
          </w:tcPr>
          <w:p w14:paraId="6D6F330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5E061226" w14:textId="77777777" w:rsidR="009D33A8" w:rsidRDefault="009D33A8">
            <w:pPr>
              <w:cnfStyle w:val="000000000000" w:firstRow="0" w:lastRow="0" w:firstColumn="0" w:lastColumn="0" w:oddVBand="0" w:evenVBand="0" w:oddHBand="0" w:evenHBand="0" w:firstRowFirstColumn="0" w:firstRowLastColumn="0" w:lastRowFirstColumn="0" w:lastRowLastColumn="0"/>
            </w:pPr>
            <w:r>
              <w:t>73 028</w:t>
            </w:r>
          </w:p>
        </w:tc>
      </w:tr>
      <w:tr w:rsidR="009D33A8" w14:paraId="5D3F96DC" w14:textId="77777777">
        <w:tc>
          <w:tcPr>
            <w:cnfStyle w:val="001000000000" w:firstRow="0" w:lastRow="0" w:firstColumn="1" w:lastColumn="0" w:oddVBand="0" w:evenVBand="0" w:oddHBand="0" w:evenHBand="0" w:firstRowFirstColumn="0" w:firstRowLastColumn="0" w:lastRowFirstColumn="0" w:lastRowLastColumn="0"/>
            <w:tcW w:w="4253" w:type="dxa"/>
          </w:tcPr>
          <w:p w14:paraId="6ED41E20" w14:textId="77777777" w:rsidR="009D33A8" w:rsidRDefault="009D33A8">
            <w:r>
              <w:t>Premier and Cabinet</w:t>
            </w:r>
          </w:p>
        </w:tc>
        <w:tc>
          <w:tcPr>
            <w:tcW w:w="1276" w:type="dxa"/>
          </w:tcPr>
          <w:p w14:paraId="5A94B02D" w14:textId="77777777" w:rsidR="009D33A8" w:rsidRDefault="009D33A8">
            <w:pPr>
              <w:cnfStyle w:val="000000000000" w:firstRow="0" w:lastRow="0" w:firstColumn="0" w:lastColumn="0" w:oddVBand="0" w:evenVBand="0" w:oddHBand="0" w:evenHBand="0" w:firstRowFirstColumn="0" w:firstRowLastColumn="0" w:lastRowFirstColumn="0" w:lastRowLastColumn="0"/>
            </w:pPr>
            <w:r>
              <w:t>6 048</w:t>
            </w:r>
          </w:p>
        </w:tc>
        <w:tc>
          <w:tcPr>
            <w:tcW w:w="1500" w:type="dxa"/>
          </w:tcPr>
          <w:p w14:paraId="1537A69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12FF769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6D75DA2B" w14:textId="77777777" w:rsidR="009D33A8" w:rsidRDefault="009D33A8">
            <w:pPr>
              <w:cnfStyle w:val="000000000000" w:firstRow="0" w:lastRow="0" w:firstColumn="0" w:lastColumn="0" w:oddVBand="0" w:evenVBand="0" w:oddHBand="0" w:evenHBand="0" w:firstRowFirstColumn="0" w:firstRowLastColumn="0" w:lastRowFirstColumn="0" w:lastRowLastColumn="0"/>
            </w:pPr>
            <w:r>
              <w:t>6 048</w:t>
            </w:r>
          </w:p>
        </w:tc>
      </w:tr>
      <w:tr w:rsidR="009D33A8" w14:paraId="27298317" w14:textId="77777777">
        <w:tc>
          <w:tcPr>
            <w:cnfStyle w:val="001000000000" w:firstRow="0" w:lastRow="0" w:firstColumn="1" w:lastColumn="0" w:oddVBand="0" w:evenVBand="0" w:oddHBand="0" w:evenHBand="0" w:firstRowFirstColumn="0" w:firstRowLastColumn="0" w:lastRowFirstColumn="0" w:lastRowLastColumn="0"/>
            <w:tcW w:w="4253" w:type="dxa"/>
          </w:tcPr>
          <w:p w14:paraId="6B8B5DD8" w14:textId="77777777" w:rsidR="009D33A8" w:rsidRDefault="009D33A8">
            <w:r>
              <w:t>Transport and Planning</w:t>
            </w:r>
            <w:r>
              <w:rPr>
                <w:vertAlign w:val="superscript"/>
              </w:rPr>
              <w:t xml:space="preserve"> (a)</w:t>
            </w:r>
          </w:p>
        </w:tc>
        <w:tc>
          <w:tcPr>
            <w:tcW w:w="1276" w:type="dxa"/>
          </w:tcPr>
          <w:p w14:paraId="5C9C2532" w14:textId="77777777" w:rsidR="009D33A8" w:rsidRDefault="009D33A8">
            <w:pPr>
              <w:cnfStyle w:val="000000000000" w:firstRow="0" w:lastRow="0" w:firstColumn="0" w:lastColumn="0" w:oddVBand="0" w:evenVBand="0" w:oddHBand="0" w:evenHBand="0" w:firstRowFirstColumn="0" w:firstRowLastColumn="0" w:lastRowFirstColumn="0" w:lastRowLastColumn="0"/>
            </w:pPr>
            <w:r>
              <w:t>196 018</w:t>
            </w:r>
          </w:p>
        </w:tc>
        <w:tc>
          <w:tcPr>
            <w:tcW w:w="1500" w:type="dxa"/>
          </w:tcPr>
          <w:p w14:paraId="6D4BE792" w14:textId="77777777" w:rsidR="009D33A8" w:rsidRDefault="009D33A8">
            <w:pPr>
              <w:cnfStyle w:val="000000000000" w:firstRow="0" w:lastRow="0" w:firstColumn="0" w:lastColumn="0" w:oddVBand="0" w:evenVBand="0" w:oddHBand="0" w:evenHBand="0" w:firstRowFirstColumn="0" w:firstRowLastColumn="0" w:lastRowFirstColumn="0" w:lastRowLastColumn="0"/>
            </w:pPr>
            <w:r>
              <w:t>1 072 257</w:t>
            </w:r>
          </w:p>
        </w:tc>
        <w:tc>
          <w:tcPr>
            <w:tcW w:w="1624" w:type="dxa"/>
          </w:tcPr>
          <w:p w14:paraId="13FFC84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56B2DF33" w14:textId="77777777" w:rsidR="009D33A8" w:rsidRDefault="009D33A8">
            <w:pPr>
              <w:cnfStyle w:val="000000000000" w:firstRow="0" w:lastRow="0" w:firstColumn="0" w:lastColumn="0" w:oddVBand="0" w:evenVBand="0" w:oddHBand="0" w:evenHBand="0" w:firstRowFirstColumn="0" w:firstRowLastColumn="0" w:lastRowFirstColumn="0" w:lastRowLastColumn="0"/>
            </w:pPr>
            <w:r>
              <w:t>1 268 275</w:t>
            </w:r>
          </w:p>
        </w:tc>
      </w:tr>
      <w:tr w:rsidR="009D33A8" w14:paraId="52F6B7DE" w14:textId="77777777">
        <w:tc>
          <w:tcPr>
            <w:cnfStyle w:val="001000000000" w:firstRow="0" w:lastRow="0" w:firstColumn="1" w:lastColumn="0" w:oddVBand="0" w:evenVBand="0" w:oddHBand="0" w:evenHBand="0" w:firstRowFirstColumn="0" w:firstRowLastColumn="0" w:lastRowFirstColumn="0" w:lastRowLastColumn="0"/>
            <w:tcW w:w="4253" w:type="dxa"/>
          </w:tcPr>
          <w:p w14:paraId="7E96E1D8" w14:textId="77777777" w:rsidR="009D33A8" w:rsidRDefault="009D33A8">
            <w:r>
              <w:t>Treasury and Finance</w:t>
            </w:r>
          </w:p>
        </w:tc>
        <w:tc>
          <w:tcPr>
            <w:tcW w:w="1276" w:type="dxa"/>
          </w:tcPr>
          <w:p w14:paraId="7D630929" w14:textId="77777777" w:rsidR="009D33A8" w:rsidRDefault="009D33A8">
            <w:pPr>
              <w:cnfStyle w:val="000000000000" w:firstRow="0" w:lastRow="0" w:firstColumn="0" w:lastColumn="0" w:oddVBand="0" w:evenVBand="0" w:oddHBand="0" w:evenHBand="0" w:firstRowFirstColumn="0" w:firstRowLastColumn="0" w:lastRowFirstColumn="0" w:lastRowLastColumn="0"/>
            </w:pPr>
            <w:r>
              <w:t>23 615</w:t>
            </w:r>
          </w:p>
        </w:tc>
        <w:tc>
          <w:tcPr>
            <w:tcW w:w="1500" w:type="dxa"/>
          </w:tcPr>
          <w:p w14:paraId="5B63671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F77180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66E0A3BF" w14:textId="77777777" w:rsidR="009D33A8" w:rsidRDefault="009D33A8">
            <w:pPr>
              <w:cnfStyle w:val="000000000000" w:firstRow="0" w:lastRow="0" w:firstColumn="0" w:lastColumn="0" w:oddVBand="0" w:evenVBand="0" w:oddHBand="0" w:evenHBand="0" w:firstRowFirstColumn="0" w:firstRowLastColumn="0" w:lastRowFirstColumn="0" w:lastRowLastColumn="0"/>
            </w:pPr>
            <w:r>
              <w:t>23 615</w:t>
            </w:r>
          </w:p>
        </w:tc>
      </w:tr>
      <w:tr w:rsidR="009D33A8" w14:paraId="0582CD8A" w14:textId="77777777">
        <w:tc>
          <w:tcPr>
            <w:cnfStyle w:val="001000000000" w:firstRow="0" w:lastRow="0" w:firstColumn="1" w:lastColumn="0" w:oddVBand="0" w:evenVBand="0" w:oddHBand="0" w:evenHBand="0" w:firstRowFirstColumn="0" w:firstRowLastColumn="0" w:lastRowFirstColumn="0" w:lastRowLastColumn="0"/>
            <w:tcW w:w="4253" w:type="dxa"/>
          </w:tcPr>
          <w:p w14:paraId="5DF8A58D" w14:textId="77777777" w:rsidR="009D33A8" w:rsidRDefault="009D33A8">
            <w:r>
              <w:t>Parliament</w:t>
            </w:r>
          </w:p>
        </w:tc>
        <w:tc>
          <w:tcPr>
            <w:tcW w:w="1276" w:type="dxa"/>
          </w:tcPr>
          <w:p w14:paraId="26F3ED43" w14:textId="77777777" w:rsidR="009D33A8" w:rsidRDefault="009D33A8">
            <w:pPr>
              <w:cnfStyle w:val="000000000000" w:firstRow="0" w:lastRow="0" w:firstColumn="0" w:lastColumn="0" w:oddVBand="0" w:evenVBand="0" w:oddHBand="0" w:evenHBand="0" w:firstRowFirstColumn="0" w:firstRowLastColumn="0" w:lastRowFirstColumn="0" w:lastRowLastColumn="0"/>
            </w:pPr>
            <w:r>
              <w:t>5 012</w:t>
            </w:r>
          </w:p>
        </w:tc>
        <w:tc>
          <w:tcPr>
            <w:tcW w:w="1500" w:type="dxa"/>
          </w:tcPr>
          <w:p w14:paraId="76E1F169" w14:textId="77777777" w:rsidR="009D33A8" w:rsidRDefault="009D33A8">
            <w:pPr>
              <w:cnfStyle w:val="000000000000" w:firstRow="0" w:lastRow="0" w:firstColumn="0" w:lastColumn="0" w:oddVBand="0" w:evenVBand="0" w:oddHBand="0" w:evenHBand="0" w:firstRowFirstColumn="0" w:firstRowLastColumn="0" w:lastRowFirstColumn="0" w:lastRowLastColumn="0"/>
            </w:pPr>
            <w:r>
              <w:t>105</w:t>
            </w:r>
          </w:p>
        </w:tc>
        <w:tc>
          <w:tcPr>
            <w:tcW w:w="1624" w:type="dxa"/>
          </w:tcPr>
          <w:p w14:paraId="54F753B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Pr>
          <w:p w14:paraId="2F525B3C" w14:textId="77777777" w:rsidR="009D33A8" w:rsidRDefault="009D33A8">
            <w:pPr>
              <w:cnfStyle w:val="000000000000" w:firstRow="0" w:lastRow="0" w:firstColumn="0" w:lastColumn="0" w:oddVBand="0" w:evenVBand="0" w:oddHBand="0" w:evenHBand="0" w:firstRowFirstColumn="0" w:firstRowLastColumn="0" w:lastRowFirstColumn="0" w:lastRowLastColumn="0"/>
            </w:pPr>
            <w:r>
              <w:t>5 117</w:t>
            </w:r>
          </w:p>
        </w:tc>
      </w:tr>
      <w:tr w:rsidR="009D33A8" w14:paraId="37878A6C" w14:textId="77777777">
        <w:tc>
          <w:tcPr>
            <w:cnfStyle w:val="001000000000" w:firstRow="0" w:lastRow="0" w:firstColumn="1" w:lastColumn="0" w:oddVBand="0" w:evenVBand="0" w:oddHBand="0" w:evenHBand="0" w:firstRowFirstColumn="0" w:firstRowLastColumn="0" w:lastRowFirstColumn="0" w:lastRowLastColumn="0"/>
            <w:tcW w:w="4253" w:type="dxa"/>
            <w:tcBorders>
              <w:bottom w:val="single" w:sz="6" w:space="0" w:color="auto"/>
            </w:tcBorders>
          </w:tcPr>
          <w:p w14:paraId="0613D837" w14:textId="77777777" w:rsidR="009D33A8" w:rsidRDefault="009D33A8">
            <w:r>
              <w:t>Courts</w:t>
            </w:r>
          </w:p>
        </w:tc>
        <w:tc>
          <w:tcPr>
            <w:tcW w:w="1276" w:type="dxa"/>
            <w:tcBorders>
              <w:bottom w:val="single" w:sz="6" w:space="0" w:color="auto"/>
            </w:tcBorders>
          </w:tcPr>
          <w:p w14:paraId="425A687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00" w:type="dxa"/>
            <w:tcBorders>
              <w:bottom w:val="single" w:sz="6" w:space="0" w:color="auto"/>
            </w:tcBorders>
          </w:tcPr>
          <w:p w14:paraId="216720DC" w14:textId="77777777" w:rsidR="009D33A8" w:rsidRDefault="009D33A8">
            <w:pPr>
              <w:cnfStyle w:val="000000000000" w:firstRow="0" w:lastRow="0" w:firstColumn="0" w:lastColumn="0" w:oddVBand="0" w:evenVBand="0" w:oddHBand="0" w:evenHBand="0" w:firstRowFirstColumn="0" w:firstRowLastColumn="0" w:lastRowFirstColumn="0" w:lastRowLastColumn="0"/>
            </w:pPr>
            <w:r>
              <w:t>4 717</w:t>
            </w:r>
          </w:p>
        </w:tc>
        <w:tc>
          <w:tcPr>
            <w:tcW w:w="1624" w:type="dxa"/>
            <w:tcBorders>
              <w:bottom w:val="single" w:sz="6" w:space="0" w:color="auto"/>
            </w:tcBorders>
          </w:tcPr>
          <w:p w14:paraId="0C645A2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85" w:type="dxa"/>
            <w:tcBorders>
              <w:bottom w:val="single" w:sz="6" w:space="0" w:color="auto"/>
            </w:tcBorders>
          </w:tcPr>
          <w:p w14:paraId="00E3A041" w14:textId="77777777" w:rsidR="009D33A8" w:rsidRDefault="009D33A8">
            <w:pPr>
              <w:cnfStyle w:val="000000000000" w:firstRow="0" w:lastRow="0" w:firstColumn="0" w:lastColumn="0" w:oddVBand="0" w:evenVBand="0" w:oddHBand="0" w:evenHBand="0" w:firstRowFirstColumn="0" w:firstRowLastColumn="0" w:lastRowFirstColumn="0" w:lastRowLastColumn="0"/>
            </w:pPr>
            <w:r>
              <w:t>4 717</w:t>
            </w:r>
          </w:p>
        </w:tc>
      </w:tr>
      <w:tr w:rsidR="009D33A8" w14:paraId="1ECFCD5B" w14:textId="77777777">
        <w:tc>
          <w:tcPr>
            <w:cnfStyle w:val="001000000000" w:firstRow="0" w:lastRow="0" w:firstColumn="1" w:lastColumn="0" w:oddVBand="0" w:evenVBand="0" w:oddHBand="0" w:evenHBand="0" w:firstRowFirstColumn="0" w:firstRowLastColumn="0" w:lastRowFirstColumn="0" w:lastRowLastColumn="0"/>
            <w:tcW w:w="4253" w:type="dxa"/>
            <w:tcBorders>
              <w:top w:val="single" w:sz="6" w:space="0" w:color="auto"/>
              <w:bottom w:val="single" w:sz="12" w:space="0" w:color="auto"/>
            </w:tcBorders>
          </w:tcPr>
          <w:p w14:paraId="65D61C89" w14:textId="77777777" w:rsidR="009D33A8" w:rsidRDefault="009D33A8">
            <w:r>
              <w:rPr>
                <w:b/>
              </w:rPr>
              <w:t>Total carryovers by department</w:t>
            </w:r>
          </w:p>
        </w:tc>
        <w:tc>
          <w:tcPr>
            <w:tcW w:w="1276" w:type="dxa"/>
            <w:tcBorders>
              <w:top w:val="single" w:sz="6" w:space="0" w:color="auto"/>
              <w:bottom w:val="single" w:sz="12" w:space="0" w:color="auto"/>
            </w:tcBorders>
          </w:tcPr>
          <w:p w14:paraId="6211AE2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513 983</w:t>
            </w:r>
          </w:p>
        </w:tc>
        <w:tc>
          <w:tcPr>
            <w:tcW w:w="1500" w:type="dxa"/>
            <w:tcBorders>
              <w:top w:val="single" w:sz="6" w:space="0" w:color="auto"/>
              <w:bottom w:val="single" w:sz="12" w:space="0" w:color="auto"/>
            </w:tcBorders>
          </w:tcPr>
          <w:p w14:paraId="5B51F33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1 450 341</w:t>
            </w:r>
          </w:p>
        </w:tc>
        <w:tc>
          <w:tcPr>
            <w:tcW w:w="1624" w:type="dxa"/>
            <w:tcBorders>
              <w:top w:val="single" w:sz="6" w:space="0" w:color="auto"/>
              <w:bottom w:val="single" w:sz="12" w:space="0" w:color="auto"/>
            </w:tcBorders>
          </w:tcPr>
          <w:p w14:paraId="71EC6CE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6 513</w:t>
            </w:r>
          </w:p>
        </w:tc>
        <w:tc>
          <w:tcPr>
            <w:tcW w:w="985" w:type="dxa"/>
            <w:tcBorders>
              <w:top w:val="single" w:sz="6" w:space="0" w:color="auto"/>
              <w:bottom w:val="single" w:sz="12" w:space="0" w:color="auto"/>
            </w:tcBorders>
          </w:tcPr>
          <w:p w14:paraId="161AD7A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1 970 837</w:t>
            </w:r>
          </w:p>
        </w:tc>
      </w:tr>
    </w:tbl>
    <w:p w14:paraId="2505CB91" w14:textId="77777777" w:rsidR="009D33A8" w:rsidRPr="00790B81" w:rsidRDefault="009D33A8" w:rsidP="009D33A8">
      <w:pPr>
        <w:pStyle w:val="Note"/>
      </w:pPr>
      <w:r w:rsidRPr="00790B81">
        <w:t>Note:</w:t>
      </w:r>
    </w:p>
    <w:p w14:paraId="6A5F334B" w14:textId="77777777" w:rsidR="009D33A8" w:rsidRPr="007F52D7" w:rsidRDefault="009D33A8" w:rsidP="009D33A8">
      <w:pPr>
        <w:pStyle w:val="Note"/>
      </w:pPr>
      <w:r>
        <w:t>(a)</w:t>
      </w:r>
      <w:r>
        <w:tab/>
        <w:t>Provision of outputs applied in 2024-25 is in line with final approved carryover, which includes amounts transferred during the year from additions to net asset base approved carryover. This occurred to ensure the use of appropriations aligned with expenditure classification.</w:t>
      </w:r>
    </w:p>
    <w:p w14:paraId="613FB83C" w14:textId="77777777" w:rsidR="009D33A8" w:rsidRPr="00337788" w:rsidRDefault="009D33A8" w:rsidP="009D33A8">
      <w:pPr>
        <w:spacing w:before="60"/>
        <w:rPr>
          <w:lang w:val="en-US"/>
        </w:rPr>
      </w:pPr>
    </w:p>
    <w:p w14:paraId="648BB687" w14:textId="77777777" w:rsidR="009D33A8" w:rsidRDefault="009D33A8" w:rsidP="009D33A8">
      <w:pPr>
        <w:keepLines w:val="0"/>
        <w:rPr>
          <w:rFonts w:asciiTheme="majorHAnsi" w:hAnsiTheme="majorHAnsi" w:cstheme="minorBidi"/>
          <w:b/>
          <w:iCs/>
          <w:sz w:val="20"/>
          <w:szCs w:val="18"/>
          <w:lang w:val="en-US"/>
        </w:rPr>
      </w:pPr>
      <w:r>
        <w:rPr>
          <w:lang w:val="en-US"/>
        </w:rPr>
        <w:br w:type="page"/>
      </w:r>
    </w:p>
    <w:p w14:paraId="5EE645FD" w14:textId="77777777" w:rsidR="009D33A8" w:rsidRDefault="009D33A8" w:rsidP="009D33A8">
      <w:pPr>
        <w:pStyle w:val="TableHeading"/>
        <w:rPr>
          <w:lang w:val="en-US"/>
        </w:rPr>
      </w:pPr>
      <w:r w:rsidRPr="00164C1F">
        <w:rPr>
          <w:lang w:val="en-US"/>
        </w:rPr>
        <w:lastRenderedPageBreak/>
        <w:t xml:space="preserve">Amounts approved for carryover to </w:t>
      </w:r>
      <w:r>
        <w:rPr>
          <w:lang w:val="en-US"/>
        </w:rPr>
        <w:t>2025-26</w:t>
      </w:r>
      <w:r w:rsidRPr="00164C1F">
        <w:rPr>
          <w:lang w:val="en-US"/>
        </w:rPr>
        <w:t xml:space="preserve"> pursuant to Section 32 of the </w:t>
      </w:r>
      <w:r>
        <w:rPr>
          <w:lang w:val="en-US"/>
        </w:rPr>
        <w:br/>
      </w:r>
      <w:r w:rsidRPr="00743299">
        <w:rPr>
          <w:i/>
          <w:lang w:val="en-US"/>
        </w:rPr>
        <w:t>Financial Management Act 1994</w:t>
      </w:r>
      <w:r>
        <w:tab/>
      </w:r>
      <w:r w:rsidRPr="00164C1F">
        <w:rPr>
          <w:lang w:val="en-US"/>
        </w:rPr>
        <w:t>($ thousand)</w:t>
      </w:r>
    </w:p>
    <w:tbl>
      <w:tblPr>
        <w:tblStyle w:val="DTFTableNumeric"/>
        <w:tblW w:w="9639" w:type="dxa"/>
        <w:tblLayout w:type="fixed"/>
        <w:tblLook w:val="04E0" w:firstRow="1" w:lastRow="1" w:firstColumn="1" w:lastColumn="0" w:noHBand="0" w:noVBand="1"/>
      </w:tblPr>
      <w:tblGrid>
        <w:gridCol w:w="4395"/>
        <w:gridCol w:w="1134"/>
        <w:gridCol w:w="1417"/>
        <w:gridCol w:w="1701"/>
        <w:gridCol w:w="992"/>
      </w:tblGrid>
      <w:tr w:rsidR="00991200" w:rsidRPr="00787CAF" w14:paraId="1ABB07B4"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hideMark/>
          </w:tcPr>
          <w:p w14:paraId="4317D8CC" w14:textId="77777777" w:rsidR="009D33A8" w:rsidRPr="00787CAF" w:rsidRDefault="009D33A8">
            <w:pPr>
              <w:rPr>
                <w:lang w:eastAsia="en-AU"/>
              </w:rPr>
            </w:pPr>
            <w:r w:rsidRPr="00787CAF">
              <w:t xml:space="preserve">Department </w:t>
            </w:r>
          </w:p>
        </w:tc>
        <w:tc>
          <w:tcPr>
            <w:tcW w:w="1134" w:type="dxa"/>
            <w:hideMark/>
          </w:tcPr>
          <w:p w14:paraId="04E4D471" w14:textId="77777777" w:rsidR="009D33A8" w:rsidRPr="00787CAF" w:rsidRDefault="009D33A8">
            <w:pPr>
              <w:cnfStyle w:val="100000000000" w:firstRow="1" w:lastRow="0" w:firstColumn="0" w:lastColumn="0" w:oddVBand="0" w:evenVBand="0" w:oddHBand="0" w:evenHBand="0" w:firstRowFirstColumn="0" w:firstRowLastColumn="0" w:lastRowFirstColumn="0" w:lastRowLastColumn="0"/>
            </w:pPr>
            <w:r w:rsidRPr="00787CAF">
              <w:t>Provision of outputs</w:t>
            </w:r>
          </w:p>
        </w:tc>
        <w:tc>
          <w:tcPr>
            <w:tcW w:w="1417" w:type="dxa"/>
            <w:hideMark/>
          </w:tcPr>
          <w:p w14:paraId="59B6ADB8" w14:textId="77777777" w:rsidR="009D33A8" w:rsidRPr="00787CAF" w:rsidRDefault="009D33A8">
            <w:pPr>
              <w:cnfStyle w:val="100000000000" w:firstRow="1" w:lastRow="0" w:firstColumn="0" w:lastColumn="0" w:oddVBand="0" w:evenVBand="0" w:oddHBand="0" w:evenHBand="0" w:firstRowFirstColumn="0" w:firstRowLastColumn="0" w:lastRowFirstColumn="0" w:lastRowLastColumn="0"/>
            </w:pPr>
            <w:r w:rsidRPr="00787CAF">
              <w:t>Additions to net assets</w:t>
            </w:r>
            <w:r>
              <w:t xml:space="preserve"> base</w:t>
            </w:r>
          </w:p>
        </w:tc>
        <w:tc>
          <w:tcPr>
            <w:tcW w:w="1701" w:type="dxa"/>
            <w:hideMark/>
          </w:tcPr>
          <w:p w14:paraId="50334E4D" w14:textId="77777777" w:rsidR="009D33A8" w:rsidRPr="00787CAF" w:rsidRDefault="009D33A8">
            <w:pPr>
              <w:cnfStyle w:val="100000000000" w:firstRow="1" w:lastRow="0" w:firstColumn="0" w:lastColumn="0" w:oddVBand="0" w:evenVBand="0" w:oddHBand="0" w:evenHBand="0" w:firstRowFirstColumn="0" w:firstRowLastColumn="0" w:lastRowFirstColumn="0" w:lastRowLastColumn="0"/>
            </w:pPr>
            <w:r w:rsidRPr="00787CAF">
              <w:t xml:space="preserve">Payments made on behalf of </w:t>
            </w:r>
            <w:r>
              <w:t xml:space="preserve">the </w:t>
            </w:r>
            <w:r w:rsidRPr="00787CAF">
              <w:t>State</w:t>
            </w:r>
          </w:p>
        </w:tc>
        <w:tc>
          <w:tcPr>
            <w:tcW w:w="992" w:type="dxa"/>
            <w:hideMark/>
          </w:tcPr>
          <w:p w14:paraId="5B4FAD5F" w14:textId="77777777" w:rsidR="009D33A8" w:rsidRPr="00787CAF" w:rsidRDefault="009D33A8">
            <w:pPr>
              <w:cnfStyle w:val="100000000000" w:firstRow="1" w:lastRow="0" w:firstColumn="0" w:lastColumn="0" w:oddVBand="0" w:evenVBand="0" w:oddHBand="0" w:evenHBand="0" w:firstRowFirstColumn="0" w:firstRowLastColumn="0" w:lastRowFirstColumn="0" w:lastRowLastColumn="0"/>
            </w:pPr>
            <w:r w:rsidRPr="00787CAF">
              <w:t>Total carryover</w:t>
            </w:r>
          </w:p>
        </w:tc>
      </w:tr>
      <w:tr w:rsidR="009D33A8" w:rsidRPr="00787CAF" w14:paraId="7DA77A3B"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4235757" w14:textId="77777777" w:rsidR="009D33A8" w:rsidRPr="00787CAF" w:rsidRDefault="009D33A8">
            <w:r w:rsidRPr="00787CAF">
              <w:t xml:space="preserve">Education </w:t>
            </w:r>
          </w:p>
        </w:tc>
        <w:tc>
          <w:tcPr>
            <w:tcW w:w="1134" w:type="dxa"/>
            <w:noWrap/>
          </w:tcPr>
          <w:p w14:paraId="2ADA5B01"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105 783</w:t>
            </w:r>
          </w:p>
        </w:tc>
        <w:tc>
          <w:tcPr>
            <w:tcW w:w="1417" w:type="dxa"/>
            <w:noWrap/>
          </w:tcPr>
          <w:p w14:paraId="15E20A4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171 671</w:t>
            </w:r>
          </w:p>
        </w:tc>
        <w:tc>
          <w:tcPr>
            <w:tcW w:w="1701" w:type="dxa"/>
            <w:noWrap/>
          </w:tcPr>
          <w:p w14:paraId="1BB0581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573093EB"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277 454</w:t>
            </w:r>
          </w:p>
        </w:tc>
      </w:tr>
      <w:tr w:rsidR="009D33A8" w:rsidRPr="00787CAF" w14:paraId="042B395C"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D091DCD" w14:textId="77777777" w:rsidR="009D33A8" w:rsidRPr="00787CAF" w:rsidRDefault="009D33A8">
            <w:r w:rsidRPr="00787CAF">
              <w:t>Energy, Environment and Climate Action</w:t>
            </w:r>
          </w:p>
        </w:tc>
        <w:tc>
          <w:tcPr>
            <w:tcW w:w="1134" w:type="dxa"/>
            <w:noWrap/>
          </w:tcPr>
          <w:p w14:paraId="01C8F866"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57 026</w:t>
            </w:r>
          </w:p>
        </w:tc>
        <w:tc>
          <w:tcPr>
            <w:tcW w:w="1417" w:type="dxa"/>
            <w:noWrap/>
          </w:tcPr>
          <w:p w14:paraId="15EE1A01"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34 427</w:t>
            </w:r>
          </w:p>
        </w:tc>
        <w:tc>
          <w:tcPr>
            <w:tcW w:w="1701" w:type="dxa"/>
            <w:noWrap/>
          </w:tcPr>
          <w:p w14:paraId="6A684DA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3E775CAD"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91 453</w:t>
            </w:r>
          </w:p>
        </w:tc>
      </w:tr>
      <w:tr w:rsidR="009D33A8" w:rsidRPr="00787CAF" w14:paraId="0CE0C92F"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944301A" w14:textId="77777777" w:rsidR="009D33A8" w:rsidRPr="00787CAF" w:rsidRDefault="009D33A8">
            <w:r w:rsidRPr="00787CAF">
              <w:t>Families, Fairness and Housing</w:t>
            </w:r>
          </w:p>
        </w:tc>
        <w:tc>
          <w:tcPr>
            <w:tcW w:w="1134" w:type="dxa"/>
            <w:noWrap/>
          </w:tcPr>
          <w:p w14:paraId="17F61955"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30 102</w:t>
            </w:r>
          </w:p>
        </w:tc>
        <w:tc>
          <w:tcPr>
            <w:tcW w:w="1417" w:type="dxa"/>
            <w:noWrap/>
          </w:tcPr>
          <w:p w14:paraId="57369B15"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7 931</w:t>
            </w:r>
          </w:p>
        </w:tc>
        <w:tc>
          <w:tcPr>
            <w:tcW w:w="1701" w:type="dxa"/>
            <w:noWrap/>
          </w:tcPr>
          <w:p w14:paraId="64E86039"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41C0649E"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38 033</w:t>
            </w:r>
          </w:p>
        </w:tc>
      </w:tr>
      <w:tr w:rsidR="009D33A8" w:rsidRPr="00787CAF" w14:paraId="44121BFA"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692C400" w14:textId="77777777" w:rsidR="009D33A8" w:rsidRPr="00787CAF" w:rsidRDefault="009D33A8">
            <w:r w:rsidRPr="004519DB">
              <w:t>Government Services</w:t>
            </w:r>
          </w:p>
        </w:tc>
        <w:tc>
          <w:tcPr>
            <w:tcW w:w="1134" w:type="dxa"/>
            <w:noWrap/>
          </w:tcPr>
          <w:p w14:paraId="6776091E"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30 000</w:t>
            </w:r>
          </w:p>
        </w:tc>
        <w:tc>
          <w:tcPr>
            <w:tcW w:w="1417" w:type="dxa"/>
            <w:noWrap/>
          </w:tcPr>
          <w:p w14:paraId="3648AAED"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1701" w:type="dxa"/>
            <w:noWrap/>
          </w:tcPr>
          <w:p w14:paraId="1CD2169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42B8BC06"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30 000</w:t>
            </w:r>
          </w:p>
        </w:tc>
      </w:tr>
      <w:tr w:rsidR="009D33A8" w:rsidRPr="00787CAF" w14:paraId="0C7D8F87"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tcPr>
          <w:p w14:paraId="05C831F2" w14:textId="77777777" w:rsidR="009D33A8" w:rsidRPr="004519DB" w:rsidRDefault="009D33A8">
            <w:r>
              <w:t>Health</w:t>
            </w:r>
          </w:p>
        </w:tc>
        <w:tc>
          <w:tcPr>
            <w:tcW w:w="1134" w:type="dxa"/>
            <w:noWrap/>
          </w:tcPr>
          <w:p w14:paraId="6C30C882" w14:textId="77777777" w:rsidR="009D33A8" w:rsidRDefault="009D33A8">
            <w:pPr>
              <w:cnfStyle w:val="000000000000" w:firstRow="0" w:lastRow="0" w:firstColumn="0" w:lastColumn="0" w:oddVBand="0" w:evenVBand="0" w:oddHBand="0" w:evenHBand="0" w:firstRowFirstColumn="0" w:firstRowLastColumn="0" w:lastRowFirstColumn="0" w:lastRowLastColumn="0"/>
            </w:pPr>
            <w:r>
              <w:t>69 527</w:t>
            </w:r>
          </w:p>
        </w:tc>
        <w:tc>
          <w:tcPr>
            <w:tcW w:w="1417" w:type="dxa"/>
            <w:noWrap/>
          </w:tcPr>
          <w:p w14:paraId="26891AE4"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1701" w:type="dxa"/>
            <w:noWrap/>
          </w:tcPr>
          <w:p w14:paraId="74D9537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50634C9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69 527</w:t>
            </w:r>
          </w:p>
        </w:tc>
      </w:tr>
      <w:tr w:rsidR="009D33A8" w:rsidRPr="00787CAF" w14:paraId="22D3C8FD"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7F7E5A4" w14:textId="77777777" w:rsidR="009D33A8" w:rsidRPr="00787CAF" w:rsidRDefault="009D33A8">
            <w:r w:rsidRPr="00787CAF">
              <w:t>Jobs, Skills, Industry and Regions</w:t>
            </w:r>
          </w:p>
        </w:tc>
        <w:tc>
          <w:tcPr>
            <w:tcW w:w="1134" w:type="dxa"/>
            <w:noWrap/>
          </w:tcPr>
          <w:p w14:paraId="0C3195E1"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98 666</w:t>
            </w:r>
          </w:p>
        </w:tc>
        <w:tc>
          <w:tcPr>
            <w:tcW w:w="1417" w:type="dxa"/>
            <w:noWrap/>
          </w:tcPr>
          <w:p w14:paraId="654F8F49"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7 660</w:t>
            </w:r>
          </w:p>
        </w:tc>
        <w:tc>
          <w:tcPr>
            <w:tcW w:w="1701" w:type="dxa"/>
            <w:noWrap/>
          </w:tcPr>
          <w:p w14:paraId="3838C65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751E3492"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106 326</w:t>
            </w:r>
          </w:p>
        </w:tc>
      </w:tr>
      <w:tr w:rsidR="009D33A8" w:rsidRPr="00787CAF" w14:paraId="44B3DFD2"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1D266CE" w14:textId="77777777" w:rsidR="009D33A8" w:rsidRPr="00787CAF" w:rsidRDefault="009D33A8">
            <w:r w:rsidRPr="00787CAF">
              <w:t>Justice and Community Safety</w:t>
            </w:r>
          </w:p>
        </w:tc>
        <w:tc>
          <w:tcPr>
            <w:tcW w:w="1134" w:type="dxa"/>
            <w:noWrap/>
          </w:tcPr>
          <w:p w14:paraId="6FBEBEF4"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1 863</w:t>
            </w:r>
          </w:p>
        </w:tc>
        <w:tc>
          <w:tcPr>
            <w:tcW w:w="1417" w:type="dxa"/>
            <w:noWrap/>
          </w:tcPr>
          <w:p w14:paraId="03B099D8"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5 202</w:t>
            </w:r>
          </w:p>
        </w:tc>
        <w:tc>
          <w:tcPr>
            <w:tcW w:w="1701" w:type="dxa"/>
            <w:noWrap/>
          </w:tcPr>
          <w:p w14:paraId="290AA90B"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1903DFF8"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7 065</w:t>
            </w:r>
          </w:p>
        </w:tc>
      </w:tr>
      <w:tr w:rsidR="009D33A8" w:rsidRPr="00787CAF" w14:paraId="3CE514F6"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39E5401" w14:textId="77777777" w:rsidR="009D33A8" w:rsidRPr="00787CAF" w:rsidRDefault="009D33A8">
            <w:r w:rsidRPr="00787CAF">
              <w:t>Premier and Cabinet</w:t>
            </w:r>
          </w:p>
        </w:tc>
        <w:tc>
          <w:tcPr>
            <w:tcW w:w="1134" w:type="dxa"/>
            <w:noWrap/>
          </w:tcPr>
          <w:p w14:paraId="2C09869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2 579</w:t>
            </w:r>
          </w:p>
        </w:tc>
        <w:tc>
          <w:tcPr>
            <w:tcW w:w="1417" w:type="dxa"/>
            <w:noWrap/>
          </w:tcPr>
          <w:p w14:paraId="047D8C6E"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1701" w:type="dxa"/>
            <w:noWrap/>
          </w:tcPr>
          <w:p w14:paraId="5F80FA34"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720B771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2 579</w:t>
            </w:r>
          </w:p>
        </w:tc>
      </w:tr>
      <w:tr w:rsidR="009D33A8" w:rsidRPr="00787CAF" w14:paraId="4EB94358"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B61E63A" w14:textId="77777777" w:rsidR="009D33A8" w:rsidRPr="00787CAF" w:rsidRDefault="009D33A8">
            <w:r w:rsidRPr="00787CAF">
              <w:t>Transport and Planning</w:t>
            </w:r>
          </w:p>
        </w:tc>
        <w:tc>
          <w:tcPr>
            <w:tcW w:w="1134" w:type="dxa"/>
            <w:noWrap/>
          </w:tcPr>
          <w:p w14:paraId="35CA162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373 351</w:t>
            </w:r>
          </w:p>
        </w:tc>
        <w:tc>
          <w:tcPr>
            <w:tcW w:w="1417" w:type="dxa"/>
            <w:noWrap/>
          </w:tcPr>
          <w:p w14:paraId="24C0191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497 208</w:t>
            </w:r>
          </w:p>
        </w:tc>
        <w:tc>
          <w:tcPr>
            <w:tcW w:w="1701" w:type="dxa"/>
            <w:noWrap/>
          </w:tcPr>
          <w:p w14:paraId="788FD2DC"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409928A6"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870 559</w:t>
            </w:r>
          </w:p>
        </w:tc>
      </w:tr>
      <w:tr w:rsidR="009D33A8" w:rsidRPr="00787CAF" w14:paraId="6C2D9054"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459550C" w14:textId="77777777" w:rsidR="009D33A8" w:rsidRPr="00787CAF" w:rsidRDefault="009D33A8">
            <w:r w:rsidRPr="00787CAF">
              <w:t>Treasury and Finance</w:t>
            </w:r>
          </w:p>
        </w:tc>
        <w:tc>
          <w:tcPr>
            <w:tcW w:w="1134" w:type="dxa"/>
            <w:noWrap/>
          </w:tcPr>
          <w:p w14:paraId="62206B2C"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29 968</w:t>
            </w:r>
          </w:p>
        </w:tc>
        <w:tc>
          <w:tcPr>
            <w:tcW w:w="1417" w:type="dxa"/>
            <w:noWrap/>
          </w:tcPr>
          <w:p w14:paraId="10BC7192"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3 278</w:t>
            </w:r>
          </w:p>
        </w:tc>
        <w:tc>
          <w:tcPr>
            <w:tcW w:w="1701" w:type="dxa"/>
            <w:noWrap/>
          </w:tcPr>
          <w:p w14:paraId="285DA7D0"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2BFB8BC3"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33 246</w:t>
            </w:r>
          </w:p>
        </w:tc>
      </w:tr>
      <w:tr w:rsidR="009D33A8" w:rsidRPr="00787CAF" w14:paraId="72941F74"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B06D436" w14:textId="77777777" w:rsidR="009D33A8" w:rsidRPr="00787CAF" w:rsidRDefault="009D33A8">
            <w:r w:rsidRPr="00787CAF">
              <w:t>Parliament</w:t>
            </w:r>
          </w:p>
        </w:tc>
        <w:tc>
          <w:tcPr>
            <w:tcW w:w="1134" w:type="dxa"/>
            <w:noWrap/>
          </w:tcPr>
          <w:p w14:paraId="4007F276"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 xml:space="preserve">5 838 </w:t>
            </w:r>
          </w:p>
        </w:tc>
        <w:tc>
          <w:tcPr>
            <w:tcW w:w="1417" w:type="dxa"/>
            <w:noWrap/>
          </w:tcPr>
          <w:p w14:paraId="0BED605A"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1 552</w:t>
            </w:r>
          </w:p>
        </w:tc>
        <w:tc>
          <w:tcPr>
            <w:tcW w:w="1701" w:type="dxa"/>
            <w:noWrap/>
          </w:tcPr>
          <w:p w14:paraId="2C961B1D"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159AE6C7"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7 390</w:t>
            </w:r>
          </w:p>
        </w:tc>
      </w:tr>
      <w:tr w:rsidR="009D33A8" w:rsidRPr="00787CAF" w14:paraId="7B98CD50" w14:textId="77777777">
        <w:trPr>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787AA10" w14:textId="77777777" w:rsidR="009D33A8" w:rsidRPr="00787CAF" w:rsidRDefault="009D33A8">
            <w:r w:rsidRPr="00787CAF">
              <w:t>Courts</w:t>
            </w:r>
          </w:p>
        </w:tc>
        <w:tc>
          <w:tcPr>
            <w:tcW w:w="1134" w:type="dxa"/>
            <w:noWrap/>
          </w:tcPr>
          <w:p w14:paraId="6A940AA4"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800</w:t>
            </w:r>
          </w:p>
        </w:tc>
        <w:tc>
          <w:tcPr>
            <w:tcW w:w="1417" w:type="dxa"/>
            <w:noWrap/>
          </w:tcPr>
          <w:p w14:paraId="4C6925D2"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3 463</w:t>
            </w:r>
          </w:p>
        </w:tc>
        <w:tc>
          <w:tcPr>
            <w:tcW w:w="1701" w:type="dxa"/>
            <w:noWrap/>
          </w:tcPr>
          <w:p w14:paraId="78DCC6DF"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w:t>
            </w:r>
          </w:p>
        </w:tc>
        <w:tc>
          <w:tcPr>
            <w:tcW w:w="992" w:type="dxa"/>
            <w:noWrap/>
          </w:tcPr>
          <w:p w14:paraId="48C65432" w14:textId="77777777" w:rsidR="009D33A8" w:rsidRPr="00787CAF" w:rsidRDefault="009D33A8">
            <w:pPr>
              <w:cnfStyle w:val="000000000000" w:firstRow="0" w:lastRow="0" w:firstColumn="0" w:lastColumn="0" w:oddVBand="0" w:evenVBand="0" w:oddHBand="0" w:evenHBand="0" w:firstRowFirstColumn="0" w:firstRowLastColumn="0" w:lastRowFirstColumn="0" w:lastRowLastColumn="0"/>
            </w:pPr>
            <w:r>
              <w:t>4 263</w:t>
            </w:r>
          </w:p>
        </w:tc>
      </w:tr>
      <w:tr w:rsidR="009D33A8" w:rsidRPr="00787CAF" w14:paraId="36F1B897" w14:textId="77777777">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0097D62" w14:textId="77777777" w:rsidR="009D33A8" w:rsidRPr="00787CAF" w:rsidRDefault="009D33A8">
            <w:r w:rsidRPr="00787CAF">
              <w:t>Total carryovers by department</w:t>
            </w:r>
          </w:p>
        </w:tc>
        <w:tc>
          <w:tcPr>
            <w:tcW w:w="1134" w:type="dxa"/>
            <w:noWrap/>
          </w:tcPr>
          <w:p w14:paraId="771BF43C" w14:textId="77777777" w:rsidR="009D33A8" w:rsidRPr="00787CAF" w:rsidRDefault="009D33A8">
            <w:pPr>
              <w:cnfStyle w:val="010000000000" w:firstRow="0" w:lastRow="1" w:firstColumn="0" w:lastColumn="0" w:oddVBand="0" w:evenVBand="0" w:oddHBand="0" w:evenHBand="0" w:firstRowFirstColumn="0" w:firstRowLastColumn="0" w:lastRowFirstColumn="0" w:lastRowLastColumn="0"/>
            </w:pPr>
            <w:r>
              <w:t>805 503</w:t>
            </w:r>
          </w:p>
        </w:tc>
        <w:tc>
          <w:tcPr>
            <w:tcW w:w="1417" w:type="dxa"/>
            <w:noWrap/>
          </w:tcPr>
          <w:p w14:paraId="0675A79F" w14:textId="77777777" w:rsidR="009D33A8" w:rsidRPr="00787CAF" w:rsidRDefault="009D33A8">
            <w:pPr>
              <w:cnfStyle w:val="010000000000" w:firstRow="0" w:lastRow="1" w:firstColumn="0" w:lastColumn="0" w:oddVBand="0" w:evenVBand="0" w:oddHBand="0" w:evenHBand="0" w:firstRowFirstColumn="0" w:firstRowLastColumn="0" w:lastRowFirstColumn="0" w:lastRowLastColumn="0"/>
            </w:pPr>
            <w:r>
              <w:t>732 392</w:t>
            </w:r>
          </w:p>
        </w:tc>
        <w:tc>
          <w:tcPr>
            <w:tcW w:w="1701" w:type="dxa"/>
            <w:noWrap/>
          </w:tcPr>
          <w:p w14:paraId="6AAC421F" w14:textId="77777777" w:rsidR="009D33A8" w:rsidRPr="00787CAF" w:rsidRDefault="009D33A8">
            <w:pPr>
              <w:cnfStyle w:val="010000000000" w:firstRow="0" w:lastRow="1" w:firstColumn="0" w:lastColumn="0" w:oddVBand="0" w:evenVBand="0" w:oddHBand="0" w:evenHBand="0" w:firstRowFirstColumn="0" w:firstRowLastColumn="0" w:lastRowFirstColumn="0" w:lastRowLastColumn="0"/>
            </w:pPr>
            <w:r>
              <w:t>..</w:t>
            </w:r>
          </w:p>
        </w:tc>
        <w:tc>
          <w:tcPr>
            <w:tcW w:w="992" w:type="dxa"/>
            <w:noWrap/>
          </w:tcPr>
          <w:p w14:paraId="6D71846A" w14:textId="77777777" w:rsidR="009D33A8" w:rsidRPr="00787CAF" w:rsidRDefault="009D33A8">
            <w:pPr>
              <w:cnfStyle w:val="010000000000" w:firstRow="0" w:lastRow="1" w:firstColumn="0" w:lastColumn="0" w:oddVBand="0" w:evenVBand="0" w:oddHBand="0" w:evenHBand="0" w:firstRowFirstColumn="0" w:firstRowLastColumn="0" w:lastRowFirstColumn="0" w:lastRowLastColumn="0"/>
            </w:pPr>
            <w:r>
              <w:t>1 537 895</w:t>
            </w:r>
          </w:p>
        </w:tc>
      </w:tr>
    </w:tbl>
    <w:p w14:paraId="63942F99" w14:textId="77777777" w:rsidR="00387417" w:rsidRPr="00696E9B" w:rsidRDefault="00387417" w:rsidP="00696E9B">
      <w:bookmarkStart w:id="168" w:name="_Toc114670302"/>
    </w:p>
    <w:p w14:paraId="724349DA" w14:textId="4913BFC7" w:rsidR="009D33A8" w:rsidRDefault="009D33A8" w:rsidP="009D33A8">
      <w:pPr>
        <w:pStyle w:val="Heading3"/>
      </w:pPr>
      <w:bookmarkStart w:id="169" w:name="_Toc209479929"/>
      <w:r>
        <w:t>7.2.13</w:t>
      </w:r>
      <w:r>
        <w:tab/>
      </w:r>
      <w:r w:rsidRPr="0090348D">
        <w:t>Payments from advance to the Treasurer for the financial year ended 30</w:t>
      </w:r>
      <w:r>
        <w:t> </w:t>
      </w:r>
      <w:r w:rsidRPr="0090348D">
        <w:t>June</w:t>
      </w:r>
      <w:bookmarkEnd w:id="168"/>
      <w:bookmarkEnd w:id="169"/>
      <w:r>
        <w:tab/>
      </w:r>
    </w:p>
    <w:p w14:paraId="1A751799" w14:textId="2CEC90F6" w:rsidR="009D33A8" w:rsidRPr="00823C0E" w:rsidRDefault="009D33A8" w:rsidP="00823C0E">
      <w:pPr>
        <w:pStyle w:val="TableHeading"/>
      </w:pPr>
      <w:r w:rsidRPr="00823C0E">
        <w:rPr>
          <w:rStyle w:val="TableHeadingChar"/>
          <w:b/>
          <w:iCs/>
        </w:rPr>
        <w:t>Treasurer</w:t>
      </w:r>
      <w:r w:rsidR="00845934" w:rsidRPr="00823C0E">
        <w:rPr>
          <w:rStyle w:val="TableHeadingChar"/>
          <w:b/>
          <w:iCs/>
        </w:rPr>
        <w:t>’</w:t>
      </w:r>
      <w:r w:rsidRPr="00823C0E">
        <w:rPr>
          <w:rStyle w:val="TableHeadingChar"/>
          <w:b/>
          <w:iCs/>
        </w:rPr>
        <w:t>s advance payments relating to decisions made post budget</w:t>
      </w:r>
      <w:r w:rsidRPr="00823C0E">
        <w:tab/>
      </w:r>
      <w:r w:rsidRPr="00823C0E">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Decisionspostbudget"/>
      </w:tblPr>
      <w:tblGrid>
        <w:gridCol w:w="1843"/>
        <w:gridCol w:w="6888"/>
        <w:gridCol w:w="907"/>
      </w:tblGrid>
      <w:tr w:rsidR="009D33A8" w14:paraId="1E4364D6"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9171589" w14:textId="77777777" w:rsidR="009D33A8" w:rsidRDefault="009D33A8" w:rsidP="00823C0E">
            <w:pPr>
              <w:keepNext/>
              <w:spacing w:after="0"/>
            </w:pPr>
            <w:r>
              <w:t>Department</w:t>
            </w:r>
          </w:p>
        </w:tc>
        <w:tc>
          <w:tcPr>
            <w:tcW w:w="6888" w:type="dxa"/>
            <w:tcBorders>
              <w:bottom w:val="single" w:sz="6" w:space="0" w:color="auto"/>
            </w:tcBorders>
          </w:tcPr>
          <w:p w14:paraId="25A1F127" w14:textId="77777777" w:rsidR="009D33A8" w:rsidRDefault="009D33A8" w:rsidP="00823C0E">
            <w:pPr>
              <w:keepNext/>
              <w:spacing w:after="0"/>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50AD2A7A" w14:textId="77777777" w:rsidR="009D33A8" w:rsidRDefault="009D33A8" w:rsidP="00823C0E">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1FED257E"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1A802968" w14:textId="77777777" w:rsidR="009D33A8" w:rsidRDefault="009D33A8" w:rsidP="00823C0E">
            <w:pPr>
              <w:spacing w:after="0"/>
            </w:pPr>
            <w:r>
              <w:t>Education</w:t>
            </w:r>
          </w:p>
        </w:tc>
        <w:tc>
          <w:tcPr>
            <w:tcW w:w="6888" w:type="dxa"/>
            <w:tcBorders>
              <w:top w:val="single" w:sz="6" w:space="0" w:color="auto"/>
            </w:tcBorders>
          </w:tcPr>
          <w:p w14:paraId="41C12F1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School Enrolment Funding</w:t>
            </w:r>
          </w:p>
        </w:tc>
        <w:tc>
          <w:tcPr>
            <w:tcW w:w="907" w:type="dxa"/>
            <w:tcBorders>
              <w:top w:val="single" w:sz="6" w:space="0" w:color="auto"/>
            </w:tcBorders>
          </w:tcPr>
          <w:p w14:paraId="2B380A3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41 867</w:t>
            </w:r>
          </w:p>
        </w:tc>
      </w:tr>
      <w:tr w:rsidR="009D33A8" w14:paraId="77746E76" w14:textId="77777777">
        <w:tc>
          <w:tcPr>
            <w:cnfStyle w:val="001000000000" w:firstRow="0" w:lastRow="0" w:firstColumn="1" w:lastColumn="0" w:oddVBand="0" w:evenVBand="0" w:oddHBand="0" w:evenHBand="0" w:firstRowFirstColumn="0" w:firstRowLastColumn="0" w:lastRowFirstColumn="0" w:lastRowLastColumn="0"/>
            <w:tcW w:w="1843" w:type="dxa"/>
          </w:tcPr>
          <w:p w14:paraId="67C4251E" w14:textId="77777777" w:rsidR="009D33A8" w:rsidRDefault="009D33A8" w:rsidP="00823C0E">
            <w:pPr>
              <w:spacing w:after="0"/>
            </w:pPr>
          </w:p>
        </w:tc>
        <w:tc>
          <w:tcPr>
            <w:tcW w:w="6888" w:type="dxa"/>
          </w:tcPr>
          <w:p w14:paraId="6AD0E1A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School Saving Bonus – additional student demand</w:t>
            </w:r>
          </w:p>
        </w:tc>
        <w:tc>
          <w:tcPr>
            <w:tcW w:w="907" w:type="dxa"/>
          </w:tcPr>
          <w:p w14:paraId="6A6D201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20 400</w:t>
            </w:r>
          </w:p>
        </w:tc>
      </w:tr>
      <w:tr w:rsidR="009D33A8" w14:paraId="0ECD9459" w14:textId="77777777">
        <w:tc>
          <w:tcPr>
            <w:cnfStyle w:val="001000000000" w:firstRow="0" w:lastRow="0" w:firstColumn="1" w:lastColumn="0" w:oddVBand="0" w:evenVBand="0" w:oddHBand="0" w:evenHBand="0" w:firstRowFirstColumn="0" w:firstRowLastColumn="0" w:lastRowFirstColumn="0" w:lastRowLastColumn="0"/>
            <w:tcW w:w="1843" w:type="dxa"/>
          </w:tcPr>
          <w:p w14:paraId="48BEA4D8" w14:textId="77777777" w:rsidR="009D33A8" w:rsidRDefault="009D33A8" w:rsidP="00823C0E">
            <w:pPr>
              <w:spacing w:after="0"/>
            </w:pPr>
          </w:p>
        </w:tc>
        <w:tc>
          <w:tcPr>
            <w:tcW w:w="6888" w:type="dxa"/>
          </w:tcPr>
          <w:p w14:paraId="54C6D59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funding for the Safe Tree Program – Urgent and high</w:t>
            </w:r>
            <w:r>
              <w:noBreakHyphen/>
              <w:t>risk trees</w:t>
            </w:r>
          </w:p>
        </w:tc>
        <w:tc>
          <w:tcPr>
            <w:tcW w:w="907" w:type="dxa"/>
          </w:tcPr>
          <w:p w14:paraId="6AFD345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7 500</w:t>
            </w:r>
          </w:p>
        </w:tc>
      </w:tr>
      <w:tr w:rsidR="009D33A8" w14:paraId="33A18F51"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7FC0CA5C" w14:textId="77777777" w:rsidR="009D33A8" w:rsidRDefault="009D33A8" w:rsidP="00823C0E">
            <w:pPr>
              <w:spacing w:after="0"/>
            </w:pPr>
          </w:p>
        </w:tc>
        <w:tc>
          <w:tcPr>
            <w:tcW w:w="6888" w:type="dxa"/>
            <w:tcBorders>
              <w:bottom w:val="single" w:sz="6" w:space="0" w:color="auto"/>
            </w:tcBorders>
          </w:tcPr>
          <w:p w14:paraId="222015D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3F1F06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69 767</w:t>
            </w:r>
          </w:p>
        </w:tc>
      </w:tr>
      <w:tr w:rsidR="009D33A8" w14:paraId="65F2DDEC"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5803EAB8" w14:textId="77777777" w:rsidR="009D33A8" w:rsidRDefault="009D33A8" w:rsidP="00823C0E">
            <w:pPr>
              <w:spacing w:after="0"/>
            </w:pPr>
            <w:r>
              <w:t xml:space="preserve">Energy, Environment </w:t>
            </w:r>
          </w:p>
        </w:tc>
        <w:tc>
          <w:tcPr>
            <w:tcW w:w="6888" w:type="dxa"/>
            <w:tcBorders>
              <w:top w:val="single" w:sz="6" w:space="0" w:color="auto"/>
            </w:tcBorders>
          </w:tcPr>
          <w:p w14:paraId="29507BF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2024</w:t>
            </w:r>
            <w:r>
              <w:noBreakHyphen/>
              <w:t>25 Emergency bushfire responses</w:t>
            </w:r>
          </w:p>
        </w:tc>
        <w:tc>
          <w:tcPr>
            <w:tcW w:w="907" w:type="dxa"/>
            <w:tcBorders>
              <w:top w:val="single" w:sz="6" w:space="0" w:color="auto"/>
            </w:tcBorders>
          </w:tcPr>
          <w:p w14:paraId="0FAFCA5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156 649</w:t>
            </w:r>
          </w:p>
        </w:tc>
      </w:tr>
      <w:tr w:rsidR="009D33A8" w14:paraId="1CDFE2AD" w14:textId="77777777">
        <w:tc>
          <w:tcPr>
            <w:cnfStyle w:val="001000000000" w:firstRow="0" w:lastRow="0" w:firstColumn="1" w:lastColumn="0" w:oddVBand="0" w:evenVBand="0" w:oddHBand="0" w:evenHBand="0" w:firstRowFirstColumn="0" w:firstRowLastColumn="0" w:lastRowFirstColumn="0" w:lastRowLastColumn="0"/>
            <w:tcW w:w="1843" w:type="dxa"/>
          </w:tcPr>
          <w:p w14:paraId="313890E9" w14:textId="77777777" w:rsidR="009D33A8" w:rsidRDefault="009D33A8" w:rsidP="00823C0E">
            <w:pPr>
              <w:spacing w:after="0"/>
            </w:pPr>
            <w:r>
              <w:t>and Climate Action</w:t>
            </w:r>
          </w:p>
        </w:tc>
        <w:tc>
          <w:tcPr>
            <w:tcW w:w="6888" w:type="dxa"/>
          </w:tcPr>
          <w:p w14:paraId="621BFCE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Aviation Firefighting Resources</w:t>
            </w:r>
          </w:p>
        </w:tc>
        <w:tc>
          <w:tcPr>
            <w:tcW w:w="907" w:type="dxa"/>
          </w:tcPr>
          <w:p w14:paraId="66C13374"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29 734</w:t>
            </w:r>
          </w:p>
        </w:tc>
      </w:tr>
      <w:tr w:rsidR="009D33A8" w14:paraId="131957B4" w14:textId="77777777">
        <w:tc>
          <w:tcPr>
            <w:cnfStyle w:val="001000000000" w:firstRow="0" w:lastRow="0" w:firstColumn="1" w:lastColumn="0" w:oddVBand="0" w:evenVBand="0" w:oddHBand="0" w:evenHBand="0" w:firstRowFirstColumn="0" w:firstRowLastColumn="0" w:lastRowFirstColumn="0" w:lastRowLastColumn="0"/>
            <w:tcW w:w="1843" w:type="dxa"/>
          </w:tcPr>
          <w:p w14:paraId="5407D226" w14:textId="77777777" w:rsidR="009D33A8" w:rsidRDefault="009D33A8" w:rsidP="00823C0E">
            <w:pPr>
              <w:spacing w:after="0"/>
            </w:pPr>
          </w:p>
        </w:tc>
        <w:tc>
          <w:tcPr>
            <w:tcW w:w="6888" w:type="dxa"/>
          </w:tcPr>
          <w:p w14:paraId="4B15EAB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Forestry Transition Program</w:t>
            </w:r>
          </w:p>
        </w:tc>
        <w:tc>
          <w:tcPr>
            <w:tcW w:w="907" w:type="dxa"/>
          </w:tcPr>
          <w:p w14:paraId="22D9A84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29 184</w:t>
            </w:r>
          </w:p>
        </w:tc>
      </w:tr>
      <w:tr w:rsidR="009D33A8" w14:paraId="530AE0D6" w14:textId="77777777">
        <w:tc>
          <w:tcPr>
            <w:cnfStyle w:val="001000000000" w:firstRow="0" w:lastRow="0" w:firstColumn="1" w:lastColumn="0" w:oddVBand="0" w:evenVBand="0" w:oddHBand="0" w:evenHBand="0" w:firstRowFirstColumn="0" w:firstRowLastColumn="0" w:lastRowFirstColumn="0" w:lastRowLastColumn="0"/>
            <w:tcW w:w="1843" w:type="dxa"/>
          </w:tcPr>
          <w:p w14:paraId="4E4658CD" w14:textId="77777777" w:rsidR="009D33A8" w:rsidRDefault="009D33A8" w:rsidP="00823C0E">
            <w:pPr>
              <w:spacing w:after="0"/>
            </w:pPr>
          </w:p>
        </w:tc>
        <w:tc>
          <w:tcPr>
            <w:tcW w:w="6888" w:type="dxa"/>
          </w:tcPr>
          <w:p w14:paraId="7BC98417" w14:textId="39586E0E"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Safeguarding the future of Victoria</w:t>
            </w:r>
            <w:r w:rsidR="00845934">
              <w:t>’</w:t>
            </w:r>
            <w:r>
              <w:t>s agricultural sector and supporting animal welfare</w:t>
            </w:r>
          </w:p>
        </w:tc>
        <w:tc>
          <w:tcPr>
            <w:tcW w:w="907" w:type="dxa"/>
          </w:tcPr>
          <w:p w14:paraId="7CDD5B7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27 098</w:t>
            </w:r>
          </w:p>
        </w:tc>
      </w:tr>
      <w:tr w:rsidR="009D33A8" w14:paraId="40A564D0" w14:textId="77777777">
        <w:tc>
          <w:tcPr>
            <w:cnfStyle w:val="001000000000" w:firstRow="0" w:lastRow="0" w:firstColumn="1" w:lastColumn="0" w:oddVBand="0" w:evenVBand="0" w:oddHBand="0" w:evenHBand="0" w:firstRowFirstColumn="0" w:firstRowLastColumn="0" w:lastRowFirstColumn="0" w:lastRowLastColumn="0"/>
            <w:tcW w:w="1843" w:type="dxa"/>
          </w:tcPr>
          <w:p w14:paraId="63604E47" w14:textId="77777777" w:rsidR="009D33A8" w:rsidRDefault="009D33A8" w:rsidP="00823C0E">
            <w:pPr>
              <w:spacing w:after="0"/>
            </w:pPr>
          </w:p>
        </w:tc>
        <w:tc>
          <w:tcPr>
            <w:tcW w:w="6888" w:type="dxa"/>
          </w:tcPr>
          <w:p w14:paraId="00A7E02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funding to support the Parks Authority and other agencies</w:t>
            </w:r>
          </w:p>
        </w:tc>
        <w:tc>
          <w:tcPr>
            <w:tcW w:w="907" w:type="dxa"/>
          </w:tcPr>
          <w:p w14:paraId="434EC9E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20 338</w:t>
            </w:r>
          </w:p>
        </w:tc>
      </w:tr>
      <w:tr w:rsidR="009D33A8" w14:paraId="66799C08" w14:textId="77777777">
        <w:tc>
          <w:tcPr>
            <w:cnfStyle w:val="001000000000" w:firstRow="0" w:lastRow="0" w:firstColumn="1" w:lastColumn="0" w:oddVBand="0" w:evenVBand="0" w:oddHBand="0" w:evenHBand="0" w:firstRowFirstColumn="0" w:firstRowLastColumn="0" w:lastRowFirstColumn="0" w:lastRowLastColumn="0"/>
            <w:tcW w:w="1843" w:type="dxa"/>
          </w:tcPr>
          <w:p w14:paraId="24194B18" w14:textId="77777777" w:rsidR="009D33A8" w:rsidRDefault="009D33A8" w:rsidP="00823C0E">
            <w:pPr>
              <w:spacing w:after="0"/>
            </w:pPr>
          </w:p>
        </w:tc>
        <w:tc>
          <w:tcPr>
            <w:tcW w:w="6888" w:type="dxa"/>
          </w:tcPr>
          <w:p w14:paraId="79628EC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Severe weather event recovery</w:t>
            </w:r>
          </w:p>
        </w:tc>
        <w:tc>
          <w:tcPr>
            <w:tcW w:w="907" w:type="dxa"/>
          </w:tcPr>
          <w:p w14:paraId="550CC8A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17 363</w:t>
            </w:r>
          </w:p>
        </w:tc>
      </w:tr>
      <w:tr w:rsidR="009D33A8" w14:paraId="61AAF647" w14:textId="77777777">
        <w:tc>
          <w:tcPr>
            <w:cnfStyle w:val="001000000000" w:firstRow="0" w:lastRow="0" w:firstColumn="1" w:lastColumn="0" w:oddVBand="0" w:evenVBand="0" w:oddHBand="0" w:evenHBand="0" w:firstRowFirstColumn="0" w:firstRowLastColumn="0" w:lastRowFirstColumn="0" w:lastRowLastColumn="0"/>
            <w:tcW w:w="1843" w:type="dxa"/>
          </w:tcPr>
          <w:p w14:paraId="6263CD0D" w14:textId="77777777" w:rsidR="009D33A8" w:rsidRDefault="009D33A8" w:rsidP="00823C0E">
            <w:pPr>
              <w:spacing w:after="0"/>
            </w:pPr>
          </w:p>
        </w:tc>
        <w:tc>
          <w:tcPr>
            <w:tcW w:w="6888" w:type="dxa"/>
          </w:tcPr>
          <w:p w14:paraId="29BE460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Bushfire prevention</w:t>
            </w:r>
          </w:p>
        </w:tc>
        <w:tc>
          <w:tcPr>
            <w:tcW w:w="907" w:type="dxa"/>
          </w:tcPr>
          <w:p w14:paraId="0390B63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17 121</w:t>
            </w:r>
          </w:p>
        </w:tc>
      </w:tr>
      <w:tr w:rsidR="009D33A8" w14:paraId="1E3C341C" w14:textId="77777777">
        <w:tc>
          <w:tcPr>
            <w:cnfStyle w:val="001000000000" w:firstRow="0" w:lastRow="0" w:firstColumn="1" w:lastColumn="0" w:oddVBand="0" w:evenVBand="0" w:oddHBand="0" w:evenHBand="0" w:firstRowFirstColumn="0" w:firstRowLastColumn="0" w:lastRowFirstColumn="0" w:lastRowLastColumn="0"/>
            <w:tcW w:w="1843" w:type="dxa"/>
          </w:tcPr>
          <w:p w14:paraId="76B6F8A0" w14:textId="77777777" w:rsidR="009D33A8" w:rsidRDefault="009D33A8" w:rsidP="00823C0E">
            <w:pPr>
              <w:spacing w:after="0"/>
            </w:pPr>
          </w:p>
        </w:tc>
        <w:tc>
          <w:tcPr>
            <w:tcW w:w="6888" w:type="dxa"/>
          </w:tcPr>
          <w:p w14:paraId="646D157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Offshore Wind Program</w:t>
            </w:r>
          </w:p>
        </w:tc>
        <w:tc>
          <w:tcPr>
            <w:tcW w:w="907" w:type="dxa"/>
          </w:tcPr>
          <w:p w14:paraId="47DDACD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15 654</w:t>
            </w:r>
          </w:p>
        </w:tc>
      </w:tr>
      <w:tr w:rsidR="009D33A8" w14:paraId="08CFDBEC" w14:textId="77777777">
        <w:tc>
          <w:tcPr>
            <w:cnfStyle w:val="001000000000" w:firstRow="0" w:lastRow="0" w:firstColumn="1" w:lastColumn="0" w:oddVBand="0" w:evenVBand="0" w:oddHBand="0" w:evenHBand="0" w:firstRowFirstColumn="0" w:firstRowLastColumn="0" w:lastRowFirstColumn="0" w:lastRowLastColumn="0"/>
            <w:tcW w:w="1843" w:type="dxa"/>
          </w:tcPr>
          <w:p w14:paraId="06A7C9A7" w14:textId="77777777" w:rsidR="009D33A8" w:rsidRDefault="009D33A8" w:rsidP="00823C0E">
            <w:pPr>
              <w:spacing w:after="0"/>
            </w:pPr>
          </w:p>
        </w:tc>
        <w:tc>
          <w:tcPr>
            <w:tcW w:w="6888" w:type="dxa"/>
          </w:tcPr>
          <w:p w14:paraId="6DEFB6F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Free Camping trial</w:t>
            </w:r>
          </w:p>
        </w:tc>
        <w:tc>
          <w:tcPr>
            <w:tcW w:w="907" w:type="dxa"/>
          </w:tcPr>
          <w:p w14:paraId="204B6E3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9 000</w:t>
            </w:r>
          </w:p>
        </w:tc>
      </w:tr>
      <w:tr w:rsidR="009D33A8" w14:paraId="1C8EC965" w14:textId="77777777">
        <w:tc>
          <w:tcPr>
            <w:cnfStyle w:val="001000000000" w:firstRow="0" w:lastRow="0" w:firstColumn="1" w:lastColumn="0" w:oddVBand="0" w:evenVBand="0" w:oddHBand="0" w:evenHBand="0" w:firstRowFirstColumn="0" w:firstRowLastColumn="0" w:lastRowFirstColumn="0" w:lastRowLastColumn="0"/>
            <w:tcW w:w="1843" w:type="dxa"/>
          </w:tcPr>
          <w:p w14:paraId="29349918" w14:textId="77777777" w:rsidR="009D33A8" w:rsidRDefault="009D33A8" w:rsidP="00823C0E">
            <w:pPr>
              <w:spacing w:after="0"/>
            </w:pPr>
          </w:p>
        </w:tc>
        <w:tc>
          <w:tcPr>
            <w:tcW w:w="6888" w:type="dxa"/>
          </w:tcPr>
          <w:p w14:paraId="61E1F59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Drought Support Package for the South West Region</w:t>
            </w:r>
          </w:p>
        </w:tc>
        <w:tc>
          <w:tcPr>
            <w:tcW w:w="907" w:type="dxa"/>
          </w:tcPr>
          <w:p w14:paraId="3496E9A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8 172</w:t>
            </w:r>
          </w:p>
        </w:tc>
      </w:tr>
      <w:tr w:rsidR="009D33A8" w14:paraId="5EE0D024" w14:textId="77777777">
        <w:tc>
          <w:tcPr>
            <w:cnfStyle w:val="001000000000" w:firstRow="0" w:lastRow="0" w:firstColumn="1" w:lastColumn="0" w:oddVBand="0" w:evenVBand="0" w:oddHBand="0" w:evenHBand="0" w:firstRowFirstColumn="0" w:firstRowLastColumn="0" w:lastRowFirstColumn="0" w:lastRowLastColumn="0"/>
            <w:tcW w:w="1843" w:type="dxa"/>
          </w:tcPr>
          <w:p w14:paraId="2CD0E8BB" w14:textId="77777777" w:rsidR="009D33A8" w:rsidRDefault="009D33A8" w:rsidP="00823C0E">
            <w:pPr>
              <w:spacing w:after="0"/>
            </w:pPr>
          </w:p>
        </w:tc>
        <w:tc>
          <w:tcPr>
            <w:tcW w:w="6888" w:type="dxa"/>
          </w:tcPr>
          <w:p w14:paraId="657D1AE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Disaster Relief and Recovery support</w:t>
            </w:r>
          </w:p>
        </w:tc>
        <w:tc>
          <w:tcPr>
            <w:tcW w:w="907" w:type="dxa"/>
          </w:tcPr>
          <w:p w14:paraId="0B7D3ED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5 349</w:t>
            </w:r>
          </w:p>
        </w:tc>
      </w:tr>
      <w:tr w:rsidR="009D33A8" w14:paraId="054C8FE4" w14:textId="77777777">
        <w:tc>
          <w:tcPr>
            <w:cnfStyle w:val="001000000000" w:firstRow="0" w:lastRow="0" w:firstColumn="1" w:lastColumn="0" w:oddVBand="0" w:evenVBand="0" w:oddHBand="0" w:evenHBand="0" w:firstRowFirstColumn="0" w:firstRowLastColumn="0" w:lastRowFirstColumn="0" w:lastRowLastColumn="0"/>
            <w:tcW w:w="1843" w:type="dxa"/>
          </w:tcPr>
          <w:p w14:paraId="719DCF97" w14:textId="77777777" w:rsidR="009D33A8" w:rsidRDefault="009D33A8" w:rsidP="00823C0E">
            <w:pPr>
              <w:spacing w:after="0"/>
            </w:pPr>
          </w:p>
        </w:tc>
        <w:tc>
          <w:tcPr>
            <w:tcW w:w="6888" w:type="dxa"/>
          </w:tcPr>
          <w:p w14:paraId="4E31BDE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workers and communities with the Native Timber Harvesting Transition</w:t>
            </w:r>
          </w:p>
        </w:tc>
        <w:tc>
          <w:tcPr>
            <w:tcW w:w="907" w:type="dxa"/>
          </w:tcPr>
          <w:p w14:paraId="654E3B7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5 069</w:t>
            </w:r>
          </w:p>
        </w:tc>
      </w:tr>
      <w:tr w:rsidR="009D33A8" w14:paraId="633002E5" w14:textId="77777777">
        <w:tc>
          <w:tcPr>
            <w:cnfStyle w:val="001000000000" w:firstRow="0" w:lastRow="0" w:firstColumn="1" w:lastColumn="0" w:oddVBand="0" w:evenVBand="0" w:oddHBand="0" w:evenHBand="0" w:firstRowFirstColumn="0" w:firstRowLastColumn="0" w:lastRowFirstColumn="0" w:lastRowLastColumn="0"/>
            <w:tcW w:w="1843" w:type="dxa"/>
          </w:tcPr>
          <w:p w14:paraId="6538C5C3" w14:textId="77777777" w:rsidR="009D33A8" w:rsidRDefault="009D33A8" w:rsidP="00823C0E">
            <w:pPr>
              <w:spacing w:after="0"/>
            </w:pPr>
          </w:p>
        </w:tc>
        <w:tc>
          <w:tcPr>
            <w:tcW w:w="6888" w:type="dxa"/>
          </w:tcPr>
          <w:p w14:paraId="4E07C2EC"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Luna Park building works</w:t>
            </w:r>
          </w:p>
        </w:tc>
        <w:tc>
          <w:tcPr>
            <w:tcW w:w="907" w:type="dxa"/>
          </w:tcPr>
          <w:p w14:paraId="1ACDC5F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5 000</w:t>
            </w:r>
          </w:p>
        </w:tc>
      </w:tr>
      <w:tr w:rsidR="009D33A8" w14:paraId="2DC264A6" w14:textId="77777777">
        <w:tc>
          <w:tcPr>
            <w:cnfStyle w:val="001000000000" w:firstRow="0" w:lastRow="0" w:firstColumn="1" w:lastColumn="0" w:oddVBand="0" w:evenVBand="0" w:oddHBand="0" w:evenHBand="0" w:firstRowFirstColumn="0" w:firstRowLastColumn="0" w:lastRowFirstColumn="0" w:lastRowLastColumn="0"/>
            <w:tcW w:w="1843" w:type="dxa"/>
          </w:tcPr>
          <w:p w14:paraId="43EC028D" w14:textId="77777777" w:rsidR="009D33A8" w:rsidRDefault="009D33A8" w:rsidP="00823C0E">
            <w:pPr>
              <w:spacing w:after="0"/>
            </w:pPr>
          </w:p>
        </w:tc>
        <w:tc>
          <w:tcPr>
            <w:tcW w:w="6888" w:type="dxa"/>
          </w:tcPr>
          <w:p w14:paraId="502AC29F"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Environment Litigation Costs</w:t>
            </w:r>
          </w:p>
        </w:tc>
        <w:tc>
          <w:tcPr>
            <w:tcW w:w="907" w:type="dxa"/>
          </w:tcPr>
          <w:p w14:paraId="13794114"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2 840</w:t>
            </w:r>
          </w:p>
        </w:tc>
      </w:tr>
      <w:tr w:rsidR="009D33A8" w14:paraId="0A1792C5" w14:textId="77777777">
        <w:tc>
          <w:tcPr>
            <w:cnfStyle w:val="001000000000" w:firstRow="0" w:lastRow="0" w:firstColumn="1" w:lastColumn="0" w:oddVBand="0" w:evenVBand="0" w:oddHBand="0" w:evenHBand="0" w:firstRowFirstColumn="0" w:firstRowLastColumn="0" w:lastRowFirstColumn="0" w:lastRowLastColumn="0"/>
            <w:tcW w:w="1843" w:type="dxa"/>
          </w:tcPr>
          <w:p w14:paraId="159BF99E" w14:textId="77777777" w:rsidR="009D33A8" w:rsidRDefault="009D33A8" w:rsidP="00823C0E">
            <w:pPr>
              <w:spacing w:after="0"/>
            </w:pPr>
          </w:p>
        </w:tc>
        <w:tc>
          <w:tcPr>
            <w:tcW w:w="6888" w:type="dxa"/>
          </w:tcPr>
          <w:p w14:paraId="1BC3D68D" w14:textId="09BB7770"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Delivering the Commonwealth</w:t>
            </w:r>
            <w:r w:rsidR="00845934">
              <w:t>’</w:t>
            </w:r>
            <w:r>
              <w:t>s Energy Bill Relief</w:t>
            </w:r>
          </w:p>
        </w:tc>
        <w:tc>
          <w:tcPr>
            <w:tcW w:w="907" w:type="dxa"/>
          </w:tcPr>
          <w:p w14:paraId="430AA2E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1 839</w:t>
            </w:r>
          </w:p>
        </w:tc>
      </w:tr>
      <w:tr w:rsidR="009D33A8" w14:paraId="70D3AC95" w14:textId="77777777">
        <w:tc>
          <w:tcPr>
            <w:cnfStyle w:val="001000000000" w:firstRow="0" w:lastRow="0" w:firstColumn="1" w:lastColumn="0" w:oddVBand="0" w:evenVBand="0" w:oddHBand="0" w:evenHBand="0" w:firstRowFirstColumn="0" w:firstRowLastColumn="0" w:lastRowFirstColumn="0" w:lastRowLastColumn="0"/>
            <w:tcW w:w="1843" w:type="dxa"/>
          </w:tcPr>
          <w:p w14:paraId="45663ACD" w14:textId="77777777" w:rsidR="009D33A8" w:rsidRDefault="009D33A8" w:rsidP="00823C0E">
            <w:pPr>
              <w:spacing w:after="0"/>
            </w:pPr>
          </w:p>
        </w:tc>
        <w:tc>
          <w:tcPr>
            <w:tcW w:w="6888" w:type="dxa"/>
          </w:tcPr>
          <w:p w14:paraId="7DEA9CE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Waste Litigation Costs</w:t>
            </w:r>
          </w:p>
        </w:tc>
        <w:tc>
          <w:tcPr>
            <w:tcW w:w="907" w:type="dxa"/>
          </w:tcPr>
          <w:p w14:paraId="2C91CF8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1 418</w:t>
            </w:r>
          </w:p>
        </w:tc>
      </w:tr>
      <w:tr w:rsidR="009D33A8" w14:paraId="04F56FEC" w14:textId="77777777">
        <w:tc>
          <w:tcPr>
            <w:cnfStyle w:val="001000000000" w:firstRow="0" w:lastRow="0" w:firstColumn="1" w:lastColumn="0" w:oddVBand="0" w:evenVBand="0" w:oddHBand="0" w:evenHBand="0" w:firstRowFirstColumn="0" w:firstRowLastColumn="0" w:lastRowFirstColumn="0" w:lastRowLastColumn="0"/>
            <w:tcW w:w="1843" w:type="dxa"/>
          </w:tcPr>
          <w:p w14:paraId="0390CCF7" w14:textId="77777777" w:rsidR="009D33A8" w:rsidRDefault="009D33A8" w:rsidP="00823C0E">
            <w:pPr>
              <w:spacing w:after="0"/>
            </w:pPr>
          </w:p>
        </w:tc>
        <w:tc>
          <w:tcPr>
            <w:tcW w:w="6888" w:type="dxa"/>
          </w:tcPr>
          <w:p w14:paraId="6513C48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Regional Drought Resilience</w:t>
            </w:r>
          </w:p>
        </w:tc>
        <w:tc>
          <w:tcPr>
            <w:tcW w:w="907" w:type="dxa"/>
          </w:tcPr>
          <w:p w14:paraId="4267034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1 136</w:t>
            </w:r>
          </w:p>
        </w:tc>
      </w:tr>
      <w:tr w:rsidR="009D33A8" w14:paraId="61039A25" w14:textId="77777777">
        <w:tc>
          <w:tcPr>
            <w:cnfStyle w:val="001000000000" w:firstRow="0" w:lastRow="0" w:firstColumn="1" w:lastColumn="0" w:oddVBand="0" w:evenVBand="0" w:oddHBand="0" w:evenHBand="0" w:firstRowFirstColumn="0" w:firstRowLastColumn="0" w:lastRowFirstColumn="0" w:lastRowLastColumn="0"/>
            <w:tcW w:w="1843" w:type="dxa"/>
          </w:tcPr>
          <w:p w14:paraId="56D35BE4" w14:textId="77777777" w:rsidR="009D33A8" w:rsidRDefault="009D33A8" w:rsidP="00823C0E">
            <w:pPr>
              <w:spacing w:after="0"/>
            </w:pPr>
          </w:p>
        </w:tc>
        <w:tc>
          <w:tcPr>
            <w:tcW w:w="6888" w:type="dxa"/>
          </w:tcPr>
          <w:p w14:paraId="05792BA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Victorian Energy Upgrades Program – Insulation upgrades</w:t>
            </w:r>
          </w:p>
        </w:tc>
        <w:tc>
          <w:tcPr>
            <w:tcW w:w="907" w:type="dxa"/>
          </w:tcPr>
          <w:p w14:paraId="148C2F6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717</w:t>
            </w:r>
          </w:p>
        </w:tc>
      </w:tr>
      <w:tr w:rsidR="009D33A8" w14:paraId="6A681585" w14:textId="77777777">
        <w:tc>
          <w:tcPr>
            <w:cnfStyle w:val="001000000000" w:firstRow="0" w:lastRow="0" w:firstColumn="1" w:lastColumn="0" w:oddVBand="0" w:evenVBand="0" w:oddHBand="0" w:evenHBand="0" w:firstRowFirstColumn="0" w:firstRowLastColumn="0" w:lastRowFirstColumn="0" w:lastRowLastColumn="0"/>
            <w:tcW w:w="1843" w:type="dxa"/>
          </w:tcPr>
          <w:p w14:paraId="623D76D3" w14:textId="77777777" w:rsidR="009D33A8" w:rsidRDefault="009D33A8" w:rsidP="00823C0E">
            <w:pPr>
              <w:spacing w:after="0"/>
            </w:pPr>
          </w:p>
        </w:tc>
        <w:tc>
          <w:tcPr>
            <w:tcW w:w="6888" w:type="dxa"/>
          </w:tcPr>
          <w:p w14:paraId="6B04606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Investment in the Resources Sector</w:t>
            </w:r>
          </w:p>
        </w:tc>
        <w:tc>
          <w:tcPr>
            <w:tcW w:w="907" w:type="dxa"/>
          </w:tcPr>
          <w:p w14:paraId="21F2606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235</w:t>
            </w:r>
          </w:p>
        </w:tc>
      </w:tr>
      <w:tr w:rsidR="009D33A8" w14:paraId="00F09DAE"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360E7692" w14:textId="77777777" w:rsidR="009D33A8" w:rsidRDefault="009D33A8" w:rsidP="00823C0E">
            <w:pPr>
              <w:spacing w:after="0"/>
            </w:pPr>
          </w:p>
        </w:tc>
        <w:tc>
          <w:tcPr>
            <w:tcW w:w="6888" w:type="dxa"/>
            <w:tcBorders>
              <w:bottom w:val="single" w:sz="6" w:space="0" w:color="auto"/>
            </w:tcBorders>
          </w:tcPr>
          <w:p w14:paraId="63E77E0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2DBAFB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353 917</w:t>
            </w:r>
          </w:p>
        </w:tc>
      </w:tr>
      <w:tr w:rsidR="009D33A8" w14:paraId="35414B09"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29DDD768" w14:textId="77777777" w:rsidR="009D33A8" w:rsidRDefault="009D33A8" w:rsidP="00823C0E">
            <w:pPr>
              <w:spacing w:after="0"/>
            </w:pPr>
            <w:r>
              <w:t>Families, Fairness</w:t>
            </w:r>
          </w:p>
        </w:tc>
        <w:tc>
          <w:tcPr>
            <w:tcW w:w="6888" w:type="dxa"/>
            <w:tcBorders>
              <w:top w:val="single" w:sz="6" w:space="0" w:color="auto"/>
            </w:tcBorders>
          </w:tcPr>
          <w:p w14:paraId="3E9D774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Civil Claims Costs for Historical Institutional Child Abuse</w:t>
            </w:r>
          </w:p>
        </w:tc>
        <w:tc>
          <w:tcPr>
            <w:tcW w:w="907" w:type="dxa"/>
            <w:tcBorders>
              <w:top w:val="single" w:sz="6" w:space="0" w:color="auto"/>
            </w:tcBorders>
          </w:tcPr>
          <w:p w14:paraId="39F6344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65 810</w:t>
            </w:r>
          </w:p>
        </w:tc>
      </w:tr>
      <w:tr w:rsidR="009D33A8" w14:paraId="5D88CC61" w14:textId="77777777">
        <w:tc>
          <w:tcPr>
            <w:cnfStyle w:val="001000000000" w:firstRow="0" w:lastRow="0" w:firstColumn="1" w:lastColumn="0" w:oddVBand="0" w:evenVBand="0" w:oddHBand="0" w:evenHBand="0" w:firstRowFirstColumn="0" w:firstRowLastColumn="0" w:lastRowFirstColumn="0" w:lastRowLastColumn="0"/>
            <w:tcW w:w="1843" w:type="dxa"/>
          </w:tcPr>
          <w:p w14:paraId="24E862AD" w14:textId="77777777" w:rsidR="009D33A8" w:rsidRDefault="009D33A8" w:rsidP="00823C0E">
            <w:pPr>
              <w:spacing w:after="0"/>
            </w:pPr>
            <w:r>
              <w:t>and Housing</w:t>
            </w:r>
          </w:p>
        </w:tc>
        <w:tc>
          <w:tcPr>
            <w:tcW w:w="6888" w:type="dxa"/>
          </w:tcPr>
          <w:p w14:paraId="021E487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Victorian Redress for historical abuse and neglect in institutional care</w:t>
            </w:r>
          </w:p>
        </w:tc>
        <w:tc>
          <w:tcPr>
            <w:tcW w:w="907" w:type="dxa"/>
          </w:tcPr>
          <w:p w14:paraId="5ECF9B6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38 929</w:t>
            </w:r>
          </w:p>
        </w:tc>
      </w:tr>
      <w:tr w:rsidR="009D33A8" w14:paraId="341F35CB" w14:textId="77777777">
        <w:tc>
          <w:tcPr>
            <w:cnfStyle w:val="001000000000" w:firstRow="0" w:lastRow="0" w:firstColumn="1" w:lastColumn="0" w:oddVBand="0" w:evenVBand="0" w:oddHBand="0" w:evenHBand="0" w:firstRowFirstColumn="0" w:firstRowLastColumn="0" w:lastRowFirstColumn="0" w:lastRowLastColumn="0"/>
            <w:tcW w:w="1843" w:type="dxa"/>
          </w:tcPr>
          <w:p w14:paraId="6415848C" w14:textId="77777777" w:rsidR="009D33A8" w:rsidRDefault="009D33A8" w:rsidP="00823C0E">
            <w:pPr>
              <w:spacing w:after="0"/>
            </w:pPr>
          </w:p>
        </w:tc>
        <w:tc>
          <w:tcPr>
            <w:tcW w:w="6888" w:type="dxa"/>
          </w:tcPr>
          <w:p w14:paraId="288ACA8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State Contribution to the National Disability Insurance Scheme</w:t>
            </w:r>
          </w:p>
        </w:tc>
        <w:tc>
          <w:tcPr>
            <w:tcW w:w="907" w:type="dxa"/>
          </w:tcPr>
          <w:p w14:paraId="6F87499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4 430</w:t>
            </w:r>
          </w:p>
        </w:tc>
      </w:tr>
      <w:tr w:rsidR="009D33A8" w14:paraId="5AAF65A2" w14:textId="77777777">
        <w:tc>
          <w:tcPr>
            <w:cnfStyle w:val="001000000000" w:firstRow="0" w:lastRow="0" w:firstColumn="1" w:lastColumn="0" w:oddVBand="0" w:evenVBand="0" w:oddHBand="0" w:evenHBand="0" w:firstRowFirstColumn="0" w:firstRowLastColumn="0" w:lastRowFirstColumn="0" w:lastRowLastColumn="0"/>
            <w:tcW w:w="1843" w:type="dxa"/>
          </w:tcPr>
          <w:p w14:paraId="2C5F840A" w14:textId="77777777" w:rsidR="009D33A8" w:rsidRDefault="009D33A8" w:rsidP="00823C0E">
            <w:pPr>
              <w:spacing w:after="0"/>
            </w:pPr>
          </w:p>
        </w:tc>
        <w:tc>
          <w:tcPr>
            <w:tcW w:w="6888" w:type="dxa"/>
          </w:tcPr>
          <w:p w14:paraId="67593E8F" w14:textId="27A74A2B"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Strengthening Women</w:t>
            </w:r>
            <w:r w:rsidR="00845934">
              <w:t>’</w:t>
            </w:r>
            <w:r>
              <w:t>s Safety Package</w:t>
            </w:r>
          </w:p>
        </w:tc>
        <w:tc>
          <w:tcPr>
            <w:tcW w:w="907" w:type="dxa"/>
          </w:tcPr>
          <w:p w14:paraId="65C1E65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2 155</w:t>
            </w:r>
          </w:p>
        </w:tc>
      </w:tr>
      <w:tr w:rsidR="009D33A8" w14:paraId="51398A53" w14:textId="77777777">
        <w:tc>
          <w:tcPr>
            <w:cnfStyle w:val="001000000000" w:firstRow="0" w:lastRow="0" w:firstColumn="1" w:lastColumn="0" w:oddVBand="0" w:evenVBand="0" w:oddHBand="0" w:evenHBand="0" w:firstRowFirstColumn="0" w:firstRowLastColumn="0" w:lastRowFirstColumn="0" w:lastRowLastColumn="0"/>
            <w:tcW w:w="1843" w:type="dxa"/>
          </w:tcPr>
          <w:p w14:paraId="15DAEE9E" w14:textId="77777777" w:rsidR="009D33A8" w:rsidRDefault="009D33A8" w:rsidP="00823C0E">
            <w:pPr>
              <w:spacing w:after="0"/>
            </w:pPr>
          </w:p>
        </w:tc>
        <w:tc>
          <w:tcPr>
            <w:tcW w:w="6888" w:type="dxa"/>
          </w:tcPr>
          <w:p w14:paraId="0B00D30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Establishing the Worker and carer exclusion scheme</w:t>
            </w:r>
          </w:p>
        </w:tc>
        <w:tc>
          <w:tcPr>
            <w:tcW w:w="907" w:type="dxa"/>
          </w:tcPr>
          <w:p w14:paraId="39AD87A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1 633</w:t>
            </w:r>
          </w:p>
        </w:tc>
      </w:tr>
      <w:tr w:rsidR="009D33A8" w14:paraId="0ABBBC52" w14:textId="77777777" w:rsidTr="00823C0E">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277C73A3" w14:textId="77777777" w:rsidR="009D33A8" w:rsidRDefault="009D33A8" w:rsidP="00823C0E">
            <w:pPr>
              <w:spacing w:after="0"/>
            </w:pPr>
          </w:p>
        </w:tc>
        <w:tc>
          <w:tcPr>
            <w:tcW w:w="6888" w:type="dxa"/>
            <w:tcBorders>
              <w:bottom w:val="single" w:sz="6" w:space="0" w:color="auto"/>
            </w:tcBorders>
          </w:tcPr>
          <w:p w14:paraId="6C6CF3C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AD00E2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112 957</w:t>
            </w:r>
          </w:p>
        </w:tc>
      </w:tr>
    </w:tbl>
    <w:p w14:paraId="65532D5C" w14:textId="77777777" w:rsidR="00823C0E" w:rsidRDefault="00823C0E"/>
    <w:p w14:paraId="053FEBF3" w14:textId="77777777" w:rsidR="00696E9B" w:rsidRDefault="00696E9B">
      <w:pPr>
        <w:keepLines w:val="0"/>
        <w:rPr>
          <w:rFonts w:asciiTheme="majorHAnsi" w:eastAsiaTheme="majorEastAsia" w:hAnsiTheme="majorHAnsi" w:cstheme="majorBidi"/>
          <w:b/>
          <w:sz w:val="23"/>
          <w:szCs w:val="24"/>
        </w:rPr>
      </w:pPr>
      <w:r>
        <w:br w:type="page"/>
      </w:r>
    </w:p>
    <w:p w14:paraId="6EA2BAD1" w14:textId="5ECD972E" w:rsidR="00823C0E" w:rsidRPr="004610D1" w:rsidRDefault="00823C0E" w:rsidP="004610D1">
      <w:pPr>
        <w:pStyle w:val="Heading5"/>
        <w:rPr>
          <w:sz w:val="23"/>
          <w:szCs w:val="23"/>
        </w:rPr>
      </w:pPr>
      <w:r w:rsidRPr="004610D1">
        <w:rPr>
          <w:sz w:val="23"/>
          <w:szCs w:val="23"/>
        </w:rPr>
        <w:lastRenderedPageBreak/>
        <w:t>7.2.13</w:t>
      </w:r>
      <w:r w:rsidRPr="004610D1">
        <w:rPr>
          <w:sz w:val="23"/>
          <w:szCs w:val="23"/>
        </w:rPr>
        <w:tab/>
        <w:t>Payments from advance to the Treasurer for the financial year ended 30 June</w:t>
      </w:r>
      <w:r w:rsidR="00696E9B" w:rsidRPr="004610D1">
        <w:rPr>
          <w:sz w:val="23"/>
          <w:szCs w:val="23"/>
        </w:rPr>
        <w:t xml:space="preserve"> </w:t>
      </w:r>
      <w:r w:rsidR="00696E9B" w:rsidRPr="004610D1">
        <w:rPr>
          <w:i/>
          <w:sz w:val="22"/>
          <w:szCs w:val="22"/>
        </w:rPr>
        <w:t>(continued)</w:t>
      </w:r>
    </w:p>
    <w:p w14:paraId="73E5C45B" w14:textId="5BB359C1" w:rsidR="00823C0E" w:rsidRPr="00823C0E" w:rsidRDefault="00823C0E" w:rsidP="00823C0E">
      <w:pPr>
        <w:pStyle w:val="TableHeading"/>
      </w:pPr>
      <w:r w:rsidRPr="00823C0E">
        <w:rPr>
          <w:rStyle w:val="TableHeadingChar"/>
          <w:b/>
          <w:iCs/>
        </w:rPr>
        <w:t>Treasurer’s advance payments relating to decisions made post budget</w:t>
      </w:r>
      <w:r w:rsidR="00696E9B" w:rsidRPr="00696E9B">
        <w:rPr>
          <w:rStyle w:val="TableHeadingChar"/>
          <w:b/>
          <w:i/>
        </w:rPr>
        <w:t xml:space="preserve"> (continued)</w:t>
      </w:r>
      <w:r w:rsidRPr="00823C0E">
        <w:tab/>
      </w:r>
      <w:r w:rsidRPr="00823C0E">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Decisionspostbudget"/>
      </w:tblPr>
      <w:tblGrid>
        <w:gridCol w:w="1843"/>
        <w:gridCol w:w="6888"/>
        <w:gridCol w:w="907"/>
      </w:tblGrid>
      <w:tr w:rsidR="00823C0E" w14:paraId="619ADA4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50AACE92" w14:textId="77777777" w:rsidR="00823C0E" w:rsidRDefault="00823C0E">
            <w:pPr>
              <w:keepNext/>
              <w:spacing w:after="0"/>
            </w:pPr>
            <w:r>
              <w:t>Department</w:t>
            </w:r>
          </w:p>
        </w:tc>
        <w:tc>
          <w:tcPr>
            <w:tcW w:w="6888" w:type="dxa"/>
            <w:tcBorders>
              <w:bottom w:val="single" w:sz="6" w:space="0" w:color="auto"/>
            </w:tcBorders>
          </w:tcPr>
          <w:p w14:paraId="43C38617" w14:textId="77777777" w:rsidR="00823C0E" w:rsidRDefault="00823C0E">
            <w:pPr>
              <w:keepNext/>
              <w:spacing w:after="0"/>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3EFBEC09" w14:textId="77777777" w:rsidR="00823C0E" w:rsidRDefault="00823C0E">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185828C5" w14:textId="77777777" w:rsidTr="00823C0E">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bottom w:val="nil"/>
            </w:tcBorders>
          </w:tcPr>
          <w:p w14:paraId="5F345A92" w14:textId="77777777" w:rsidR="009D33A8" w:rsidRDefault="009D33A8" w:rsidP="00823C0E">
            <w:pPr>
              <w:spacing w:after="0"/>
            </w:pPr>
            <w:r>
              <w:t>Government Services</w:t>
            </w:r>
          </w:p>
        </w:tc>
        <w:tc>
          <w:tcPr>
            <w:tcW w:w="6888" w:type="dxa"/>
            <w:tcBorders>
              <w:top w:val="single" w:sz="6" w:space="0" w:color="auto"/>
              <w:bottom w:val="nil"/>
            </w:tcBorders>
          </w:tcPr>
          <w:p w14:paraId="7683897F"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Worker Screening Unit Funding</w:t>
            </w:r>
          </w:p>
        </w:tc>
        <w:tc>
          <w:tcPr>
            <w:tcW w:w="907" w:type="dxa"/>
            <w:tcBorders>
              <w:top w:val="single" w:sz="6" w:space="0" w:color="auto"/>
              <w:bottom w:val="nil"/>
            </w:tcBorders>
          </w:tcPr>
          <w:p w14:paraId="2F3ED40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25 874</w:t>
            </w:r>
          </w:p>
        </w:tc>
      </w:tr>
      <w:tr w:rsidR="009D33A8" w14:paraId="0CFB3539" w14:textId="77777777" w:rsidTr="00823C0E">
        <w:tc>
          <w:tcPr>
            <w:cnfStyle w:val="001000000000" w:firstRow="0" w:lastRow="0" w:firstColumn="1" w:lastColumn="0" w:oddVBand="0" w:evenVBand="0" w:oddHBand="0" w:evenHBand="0" w:firstRowFirstColumn="0" w:firstRowLastColumn="0" w:lastRowFirstColumn="0" w:lastRowLastColumn="0"/>
            <w:tcW w:w="1843" w:type="dxa"/>
            <w:tcBorders>
              <w:top w:val="nil"/>
            </w:tcBorders>
          </w:tcPr>
          <w:p w14:paraId="0920D175" w14:textId="77777777" w:rsidR="009D33A8" w:rsidRDefault="009D33A8" w:rsidP="00823C0E">
            <w:pPr>
              <w:spacing w:after="0"/>
            </w:pPr>
          </w:p>
        </w:tc>
        <w:tc>
          <w:tcPr>
            <w:tcW w:w="6888" w:type="dxa"/>
            <w:tcBorders>
              <w:top w:val="nil"/>
            </w:tcBorders>
          </w:tcPr>
          <w:p w14:paraId="4B10185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support for Asset maintenance of Service Victoria</w:t>
            </w:r>
          </w:p>
        </w:tc>
        <w:tc>
          <w:tcPr>
            <w:tcW w:w="907" w:type="dxa"/>
            <w:tcBorders>
              <w:top w:val="nil"/>
            </w:tcBorders>
          </w:tcPr>
          <w:p w14:paraId="4382D39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7 100</w:t>
            </w:r>
          </w:p>
        </w:tc>
      </w:tr>
      <w:tr w:rsidR="009D33A8" w14:paraId="341B5678" w14:textId="77777777">
        <w:tc>
          <w:tcPr>
            <w:cnfStyle w:val="001000000000" w:firstRow="0" w:lastRow="0" w:firstColumn="1" w:lastColumn="0" w:oddVBand="0" w:evenVBand="0" w:oddHBand="0" w:evenHBand="0" w:firstRowFirstColumn="0" w:firstRowLastColumn="0" w:lastRowFirstColumn="0" w:lastRowLastColumn="0"/>
            <w:tcW w:w="1843" w:type="dxa"/>
          </w:tcPr>
          <w:p w14:paraId="1C35937E" w14:textId="77777777" w:rsidR="009D33A8" w:rsidRDefault="009D33A8" w:rsidP="00823C0E">
            <w:pPr>
              <w:spacing w:after="0"/>
            </w:pPr>
          </w:p>
        </w:tc>
        <w:tc>
          <w:tcPr>
            <w:tcW w:w="6888" w:type="dxa"/>
          </w:tcPr>
          <w:p w14:paraId="4E67FCB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Extension of payment scheme for the customers of liquidated builders</w:t>
            </w:r>
          </w:p>
        </w:tc>
        <w:tc>
          <w:tcPr>
            <w:tcW w:w="907" w:type="dxa"/>
          </w:tcPr>
          <w:p w14:paraId="0656342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2 460</w:t>
            </w:r>
          </w:p>
        </w:tc>
      </w:tr>
      <w:tr w:rsidR="009D33A8" w14:paraId="40AB2B6C" w14:textId="77777777">
        <w:tc>
          <w:tcPr>
            <w:cnfStyle w:val="001000000000" w:firstRow="0" w:lastRow="0" w:firstColumn="1" w:lastColumn="0" w:oddVBand="0" w:evenVBand="0" w:oddHBand="0" w:evenHBand="0" w:firstRowFirstColumn="0" w:firstRowLastColumn="0" w:lastRowFirstColumn="0" w:lastRowLastColumn="0"/>
            <w:tcW w:w="1843" w:type="dxa"/>
          </w:tcPr>
          <w:p w14:paraId="17D10A12" w14:textId="77777777" w:rsidR="009D33A8" w:rsidRDefault="009D33A8" w:rsidP="00823C0E">
            <w:pPr>
              <w:spacing w:after="0"/>
            </w:pPr>
          </w:p>
        </w:tc>
        <w:tc>
          <w:tcPr>
            <w:tcW w:w="6888" w:type="dxa"/>
          </w:tcPr>
          <w:p w14:paraId="497C0B2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Critical support for the Victorian Archives Centre</w:t>
            </w:r>
          </w:p>
        </w:tc>
        <w:tc>
          <w:tcPr>
            <w:tcW w:w="907" w:type="dxa"/>
          </w:tcPr>
          <w:p w14:paraId="36C50DB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2 344</w:t>
            </w:r>
          </w:p>
        </w:tc>
      </w:tr>
      <w:tr w:rsidR="009D33A8" w14:paraId="2AEEAE34" w14:textId="77777777">
        <w:tc>
          <w:tcPr>
            <w:cnfStyle w:val="001000000000" w:firstRow="0" w:lastRow="0" w:firstColumn="1" w:lastColumn="0" w:oddVBand="0" w:evenVBand="0" w:oddHBand="0" w:evenHBand="0" w:firstRowFirstColumn="0" w:firstRowLastColumn="0" w:lastRowFirstColumn="0" w:lastRowLastColumn="0"/>
            <w:tcW w:w="1843" w:type="dxa"/>
          </w:tcPr>
          <w:p w14:paraId="01ADAC33" w14:textId="77777777" w:rsidR="009D33A8" w:rsidRDefault="009D33A8" w:rsidP="00823C0E">
            <w:pPr>
              <w:spacing w:after="0"/>
            </w:pPr>
          </w:p>
        </w:tc>
        <w:tc>
          <w:tcPr>
            <w:tcW w:w="6888" w:type="dxa"/>
          </w:tcPr>
          <w:p w14:paraId="7EB3CB7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Providing Corporate Transportation Services</w:t>
            </w:r>
          </w:p>
        </w:tc>
        <w:tc>
          <w:tcPr>
            <w:tcW w:w="907" w:type="dxa"/>
          </w:tcPr>
          <w:p w14:paraId="52914AC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2 323</w:t>
            </w:r>
          </w:p>
        </w:tc>
      </w:tr>
      <w:tr w:rsidR="009D33A8" w14:paraId="426E1863" w14:textId="77777777">
        <w:tc>
          <w:tcPr>
            <w:cnfStyle w:val="001000000000" w:firstRow="0" w:lastRow="0" w:firstColumn="1" w:lastColumn="0" w:oddVBand="0" w:evenVBand="0" w:oddHBand="0" w:evenHBand="0" w:firstRowFirstColumn="0" w:firstRowLastColumn="0" w:lastRowFirstColumn="0" w:lastRowLastColumn="0"/>
            <w:tcW w:w="1843" w:type="dxa"/>
          </w:tcPr>
          <w:p w14:paraId="219DC8AD" w14:textId="77777777" w:rsidR="009D33A8" w:rsidRDefault="009D33A8" w:rsidP="00823C0E">
            <w:pPr>
              <w:spacing w:after="0"/>
            </w:pPr>
          </w:p>
        </w:tc>
        <w:tc>
          <w:tcPr>
            <w:tcW w:w="6888" w:type="dxa"/>
          </w:tcPr>
          <w:p w14:paraId="3D2848C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Board of Inquiry into the McCrae landslide – coordination</w:t>
            </w:r>
          </w:p>
        </w:tc>
        <w:tc>
          <w:tcPr>
            <w:tcW w:w="907" w:type="dxa"/>
          </w:tcPr>
          <w:p w14:paraId="4D7CA90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1 450</w:t>
            </w:r>
          </w:p>
        </w:tc>
      </w:tr>
      <w:tr w:rsidR="009D33A8" w14:paraId="79210946" w14:textId="77777777">
        <w:tc>
          <w:tcPr>
            <w:cnfStyle w:val="001000000000" w:firstRow="0" w:lastRow="0" w:firstColumn="1" w:lastColumn="0" w:oddVBand="0" w:evenVBand="0" w:oddHBand="0" w:evenHBand="0" w:firstRowFirstColumn="0" w:firstRowLastColumn="0" w:lastRowFirstColumn="0" w:lastRowLastColumn="0"/>
            <w:tcW w:w="1843" w:type="dxa"/>
          </w:tcPr>
          <w:p w14:paraId="14AA5E71" w14:textId="77777777" w:rsidR="009D33A8" w:rsidRDefault="009D33A8" w:rsidP="00823C0E">
            <w:pPr>
              <w:spacing w:after="0"/>
            </w:pPr>
          </w:p>
        </w:tc>
        <w:tc>
          <w:tcPr>
            <w:tcW w:w="6888" w:type="dxa"/>
          </w:tcPr>
          <w:p w14:paraId="66F5CBAC" w14:textId="675AD548"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Service Victoria</w:t>
            </w:r>
            <w:r w:rsidR="00845934">
              <w:t>’</w:t>
            </w:r>
            <w:r>
              <w:t>s Children</w:t>
            </w:r>
            <w:r w:rsidR="00845934">
              <w:t>’</w:t>
            </w:r>
            <w:r>
              <w:t>s Package</w:t>
            </w:r>
          </w:p>
        </w:tc>
        <w:tc>
          <w:tcPr>
            <w:tcW w:w="907" w:type="dxa"/>
          </w:tcPr>
          <w:p w14:paraId="7E936F4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411</w:t>
            </w:r>
          </w:p>
        </w:tc>
      </w:tr>
      <w:tr w:rsidR="009D33A8" w14:paraId="51DE8E02" w14:textId="77777777">
        <w:tc>
          <w:tcPr>
            <w:cnfStyle w:val="001000000000" w:firstRow="0" w:lastRow="0" w:firstColumn="1" w:lastColumn="0" w:oddVBand="0" w:evenVBand="0" w:oddHBand="0" w:evenHBand="0" w:firstRowFirstColumn="0" w:firstRowLastColumn="0" w:lastRowFirstColumn="0" w:lastRowLastColumn="0"/>
            <w:tcW w:w="1843" w:type="dxa"/>
          </w:tcPr>
          <w:p w14:paraId="036DC6D5" w14:textId="77777777" w:rsidR="009D33A8" w:rsidRDefault="009D33A8" w:rsidP="00823C0E">
            <w:pPr>
              <w:spacing w:after="0"/>
            </w:pPr>
          </w:p>
        </w:tc>
        <w:tc>
          <w:tcPr>
            <w:tcW w:w="6888" w:type="dxa"/>
          </w:tcPr>
          <w:p w14:paraId="25718B5C"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Victorian Government Statewide Treaty Negotiations and Authorisations Model</w:t>
            </w:r>
          </w:p>
        </w:tc>
        <w:tc>
          <w:tcPr>
            <w:tcW w:w="907" w:type="dxa"/>
          </w:tcPr>
          <w:p w14:paraId="0FFC01D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293</w:t>
            </w:r>
          </w:p>
        </w:tc>
      </w:tr>
      <w:tr w:rsidR="009D33A8" w14:paraId="2A83B6B2" w14:textId="77777777">
        <w:tc>
          <w:tcPr>
            <w:cnfStyle w:val="001000000000" w:firstRow="0" w:lastRow="0" w:firstColumn="1" w:lastColumn="0" w:oddVBand="0" w:evenVBand="0" w:oddHBand="0" w:evenHBand="0" w:firstRowFirstColumn="0" w:firstRowLastColumn="0" w:lastRowFirstColumn="0" w:lastRowLastColumn="0"/>
            <w:tcW w:w="1843" w:type="dxa"/>
          </w:tcPr>
          <w:p w14:paraId="61FACFD2" w14:textId="77777777" w:rsidR="009D33A8" w:rsidRDefault="009D33A8" w:rsidP="00823C0E">
            <w:pPr>
              <w:spacing w:after="0"/>
            </w:pPr>
          </w:p>
        </w:tc>
        <w:tc>
          <w:tcPr>
            <w:tcW w:w="6888" w:type="dxa"/>
          </w:tcPr>
          <w:p w14:paraId="6E03971C" w14:textId="613E8EC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Tackling the cost</w:t>
            </w:r>
            <w:r>
              <w:noBreakHyphen/>
              <w:t>of</w:t>
            </w:r>
            <w:r>
              <w:noBreakHyphen/>
              <w:t>living</w:t>
            </w:r>
            <w:r w:rsidR="00B01421">
              <w:t xml:space="preserve"> </w:t>
            </w:r>
            <w:r>
              <w:t>Fair Fuel Plan</w:t>
            </w:r>
          </w:p>
        </w:tc>
        <w:tc>
          <w:tcPr>
            <w:tcW w:w="907" w:type="dxa"/>
          </w:tcPr>
          <w:p w14:paraId="1AC8F5A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260</w:t>
            </w:r>
          </w:p>
        </w:tc>
      </w:tr>
      <w:tr w:rsidR="009D33A8" w14:paraId="2D30AC47" w14:textId="77777777">
        <w:tc>
          <w:tcPr>
            <w:cnfStyle w:val="001000000000" w:firstRow="0" w:lastRow="0" w:firstColumn="1" w:lastColumn="0" w:oddVBand="0" w:evenVBand="0" w:oddHBand="0" w:evenHBand="0" w:firstRowFirstColumn="0" w:firstRowLastColumn="0" w:lastRowFirstColumn="0" w:lastRowLastColumn="0"/>
            <w:tcW w:w="1843" w:type="dxa"/>
          </w:tcPr>
          <w:p w14:paraId="1A048DA7" w14:textId="77777777" w:rsidR="009D33A8" w:rsidRDefault="009D33A8" w:rsidP="00823C0E">
            <w:pPr>
              <w:spacing w:after="0"/>
            </w:pPr>
          </w:p>
        </w:tc>
        <w:tc>
          <w:tcPr>
            <w:tcW w:w="6888" w:type="dxa"/>
          </w:tcPr>
          <w:p w14:paraId="3BBB01F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Professional engineer registration scheme statutory review</w:t>
            </w:r>
          </w:p>
        </w:tc>
        <w:tc>
          <w:tcPr>
            <w:tcW w:w="907" w:type="dxa"/>
          </w:tcPr>
          <w:p w14:paraId="1047CA8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200</w:t>
            </w:r>
          </w:p>
        </w:tc>
      </w:tr>
      <w:tr w:rsidR="009D33A8" w14:paraId="66E87570"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3F4DEB79" w14:textId="77777777" w:rsidR="009D33A8" w:rsidRDefault="009D33A8" w:rsidP="00823C0E">
            <w:pPr>
              <w:spacing w:after="0"/>
            </w:pPr>
          </w:p>
        </w:tc>
        <w:tc>
          <w:tcPr>
            <w:tcW w:w="6888" w:type="dxa"/>
            <w:tcBorders>
              <w:bottom w:val="single" w:sz="6" w:space="0" w:color="auto"/>
            </w:tcBorders>
          </w:tcPr>
          <w:p w14:paraId="2B4F45F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B3BF9B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42 715</w:t>
            </w:r>
          </w:p>
        </w:tc>
      </w:tr>
      <w:tr w:rsidR="009D33A8" w14:paraId="73CEDB19"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7EEE4936" w14:textId="77777777" w:rsidR="009D33A8" w:rsidRDefault="009D33A8" w:rsidP="00823C0E">
            <w:pPr>
              <w:spacing w:after="0"/>
            </w:pPr>
            <w:r>
              <w:t>Health</w:t>
            </w:r>
          </w:p>
        </w:tc>
        <w:tc>
          <w:tcPr>
            <w:tcW w:w="6888" w:type="dxa"/>
            <w:tcBorders>
              <w:top w:val="single" w:sz="6" w:space="0" w:color="auto"/>
            </w:tcBorders>
          </w:tcPr>
          <w:p w14:paraId="167BA2A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hospital system support</w:t>
            </w:r>
          </w:p>
        </w:tc>
        <w:tc>
          <w:tcPr>
            <w:tcW w:w="907" w:type="dxa"/>
            <w:tcBorders>
              <w:top w:val="single" w:sz="6" w:space="0" w:color="auto"/>
            </w:tcBorders>
          </w:tcPr>
          <w:p w14:paraId="201C2BF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1 461 728</w:t>
            </w:r>
          </w:p>
        </w:tc>
      </w:tr>
      <w:tr w:rsidR="009D33A8" w14:paraId="556931BF" w14:textId="77777777">
        <w:tc>
          <w:tcPr>
            <w:cnfStyle w:val="001000000000" w:firstRow="0" w:lastRow="0" w:firstColumn="1" w:lastColumn="0" w:oddVBand="0" w:evenVBand="0" w:oddHBand="0" w:evenHBand="0" w:firstRowFirstColumn="0" w:firstRowLastColumn="0" w:lastRowFirstColumn="0" w:lastRowLastColumn="0"/>
            <w:tcW w:w="1843" w:type="dxa"/>
          </w:tcPr>
          <w:p w14:paraId="61B83568" w14:textId="77777777" w:rsidR="009D33A8" w:rsidRDefault="009D33A8" w:rsidP="00823C0E">
            <w:pPr>
              <w:spacing w:after="0"/>
            </w:pPr>
          </w:p>
        </w:tc>
        <w:tc>
          <w:tcPr>
            <w:tcW w:w="6888" w:type="dxa"/>
          </w:tcPr>
          <w:p w14:paraId="72E5C33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Newborn and infant RSV immunisation</w:t>
            </w:r>
          </w:p>
        </w:tc>
        <w:tc>
          <w:tcPr>
            <w:tcW w:w="907" w:type="dxa"/>
          </w:tcPr>
          <w:p w14:paraId="737E755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16 590</w:t>
            </w:r>
          </w:p>
        </w:tc>
      </w:tr>
      <w:tr w:rsidR="009D33A8" w14:paraId="47059D18" w14:textId="77777777">
        <w:tc>
          <w:tcPr>
            <w:cnfStyle w:val="001000000000" w:firstRow="0" w:lastRow="0" w:firstColumn="1" w:lastColumn="0" w:oddVBand="0" w:evenVBand="0" w:oddHBand="0" w:evenHBand="0" w:firstRowFirstColumn="0" w:firstRowLastColumn="0" w:lastRowFirstColumn="0" w:lastRowLastColumn="0"/>
            <w:tcW w:w="1843" w:type="dxa"/>
          </w:tcPr>
          <w:p w14:paraId="3FA658CF" w14:textId="77777777" w:rsidR="009D33A8" w:rsidRDefault="009D33A8" w:rsidP="00823C0E">
            <w:pPr>
              <w:spacing w:after="0"/>
            </w:pPr>
          </w:p>
        </w:tc>
        <w:tc>
          <w:tcPr>
            <w:tcW w:w="6888" w:type="dxa"/>
          </w:tcPr>
          <w:p w14:paraId="6BA9D0A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support for the Mental Health Tribunal</w:t>
            </w:r>
          </w:p>
        </w:tc>
        <w:tc>
          <w:tcPr>
            <w:tcW w:w="907" w:type="dxa"/>
          </w:tcPr>
          <w:p w14:paraId="6CB7174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2 171</w:t>
            </w:r>
          </w:p>
        </w:tc>
      </w:tr>
      <w:tr w:rsidR="009D33A8" w14:paraId="0A5C82BE" w14:textId="77777777">
        <w:tc>
          <w:tcPr>
            <w:cnfStyle w:val="001000000000" w:firstRow="0" w:lastRow="0" w:firstColumn="1" w:lastColumn="0" w:oddVBand="0" w:evenVBand="0" w:oddHBand="0" w:evenHBand="0" w:firstRowFirstColumn="0" w:firstRowLastColumn="0" w:lastRowFirstColumn="0" w:lastRowLastColumn="0"/>
            <w:tcW w:w="1843" w:type="dxa"/>
          </w:tcPr>
          <w:p w14:paraId="3D687D82" w14:textId="77777777" w:rsidR="009D33A8" w:rsidRDefault="009D33A8" w:rsidP="00823C0E">
            <w:pPr>
              <w:spacing w:after="0"/>
            </w:pPr>
          </w:p>
        </w:tc>
        <w:tc>
          <w:tcPr>
            <w:tcW w:w="6888" w:type="dxa"/>
          </w:tcPr>
          <w:p w14:paraId="6CA3AB4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w:t>
            </w:r>
            <w:r>
              <w:noBreakHyphen/>
              <w:t>pox vaccination program</w:t>
            </w:r>
          </w:p>
        </w:tc>
        <w:tc>
          <w:tcPr>
            <w:tcW w:w="907" w:type="dxa"/>
          </w:tcPr>
          <w:p w14:paraId="5DEDE44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850</w:t>
            </w:r>
          </w:p>
        </w:tc>
      </w:tr>
      <w:tr w:rsidR="009D33A8" w14:paraId="765BD881"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A1076E9" w14:textId="77777777" w:rsidR="009D33A8" w:rsidRDefault="009D33A8" w:rsidP="00823C0E">
            <w:pPr>
              <w:spacing w:after="0"/>
            </w:pPr>
          </w:p>
        </w:tc>
        <w:tc>
          <w:tcPr>
            <w:tcW w:w="6888" w:type="dxa"/>
            <w:tcBorders>
              <w:bottom w:val="single" w:sz="6" w:space="0" w:color="auto"/>
            </w:tcBorders>
          </w:tcPr>
          <w:p w14:paraId="04AE91D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81E1D6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1 481 338</w:t>
            </w:r>
          </w:p>
        </w:tc>
      </w:tr>
      <w:tr w:rsidR="009D33A8" w14:paraId="5FDFD7D8"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3C8DBB02" w14:textId="77777777" w:rsidR="009D33A8" w:rsidRDefault="009D33A8" w:rsidP="00823C0E">
            <w:pPr>
              <w:spacing w:after="0"/>
            </w:pPr>
            <w:r>
              <w:t xml:space="preserve">Jobs, Skills, Industry </w:t>
            </w:r>
          </w:p>
        </w:tc>
        <w:tc>
          <w:tcPr>
            <w:tcW w:w="6888" w:type="dxa"/>
            <w:tcBorders>
              <w:top w:val="single" w:sz="6" w:space="0" w:color="auto"/>
            </w:tcBorders>
          </w:tcPr>
          <w:p w14:paraId="244C162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Boosting Economic Growth – Industry Grants</w:t>
            </w:r>
          </w:p>
        </w:tc>
        <w:tc>
          <w:tcPr>
            <w:tcW w:w="907" w:type="dxa"/>
            <w:tcBorders>
              <w:top w:val="single" w:sz="6" w:space="0" w:color="auto"/>
            </w:tcBorders>
          </w:tcPr>
          <w:p w14:paraId="15FB2C5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30 680</w:t>
            </w:r>
          </w:p>
        </w:tc>
      </w:tr>
      <w:tr w:rsidR="009D33A8" w14:paraId="21C1F4A5" w14:textId="77777777">
        <w:tc>
          <w:tcPr>
            <w:cnfStyle w:val="001000000000" w:firstRow="0" w:lastRow="0" w:firstColumn="1" w:lastColumn="0" w:oddVBand="0" w:evenVBand="0" w:oddHBand="0" w:evenHBand="0" w:firstRowFirstColumn="0" w:firstRowLastColumn="0" w:lastRowFirstColumn="0" w:lastRowLastColumn="0"/>
            <w:tcW w:w="1843" w:type="dxa"/>
          </w:tcPr>
          <w:p w14:paraId="2968710E" w14:textId="77777777" w:rsidR="009D33A8" w:rsidRDefault="009D33A8" w:rsidP="00823C0E">
            <w:pPr>
              <w:spacing w:after="0"/>
            </w:pPr>
            <w:r>
              <w:t>and Regions</w:t>
            </w:r>
          </w:p>
        </w:tc>
        <w:tc>
          <w:tcPr>
            <w:tcW w:w="6888" w:type="dxa"/>
          </w:tcPr>
          <w:p w14:paraId="26C5FC0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our creative agencies and cultural institutions</w:t>
            </w:r>
          </w:p>
        </w:tc>
        <w:tc>
          <w:tcPr>
            <w:tcW w:w="907" w:type="dxa"/>
          </w:tcPr>
          <w:p w14:paraId="14627F7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30 649</w:t>
            </w:r>
          </w:p>
        </w:tc>
      </w:tr>
      <w:tr w:rsidR="009D33A8" w14:paraId="27038E5C" w14:textId="77777777">
        <w:tc>
          <w:tcPr>
            <w:cnfStyle w:val="001000000000" w:firstRow="0" w:lastRow="0" w:firstColumn="1" w:lastColumn="0" w:oddVBand="0" w:evenVBand="0" w:oddHBand="0" w:evenHBand="0" w:firstRowFirstColumn="0" w:firstRowLastColumn="0" w:lastRowFirstColumn="0" w:lastRowLastColumn="0"/>
            <w:tcW w:w="1843" w:type="dxa"/>
          </w:tcPr>
          <w:p w14:paraId="28D318B0" w14:textId="77777777" w:rsidR="009D33A8" w:rsidRDefault="009D33A8" w:rsidP="00823C0E">
            <w:pPr>
              <w:spacing w:after="0"/>
            </w:pPr>
          </w:p>
        </w:tc>
        <w:tc>
          <w:tcPr>
            <w:tcW w:w="6888" w:type="dxa"/>
          </w:tcPr>
          <w:p w14:paraId="4566DB0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Regional Economic Development and Participation Package</w:t>
            </w:r>
          </w:p>
        </w:tc>
        <w:tc>
          <w:tcPr>
            <w:tcW w:w="907" w:type="dxa"/>
          </w:tcPr>
          <w:p w14:paraId="15EC584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7 890</w:t>
            </w:r>
          </w:p>
        </w:tc>
      </w:tr>
      <w:tr w:rsidR="009D33A8" w14:paraId="1F1125BA" w14:textId="77777777">
        <w:tc>
          <w:tcPr>
            <w:cnfStyle w:val="001000000000" w:firstRow="0" w:lastRow="0" w:firstColumn="1" w:lastColumn="0" w:oddVBand="0" w:evenVBand="0" w:oddHBand="0" w:evenHBand="0" w:firstRowFirstColumn="0" w:firstRowLastColumn="0" w:lastRowFirstColumn="0" w:lastRowLastColumn="0"/>
            <w:tcW w:w="1843" w:type="dxa"/>
          </w:tcPr>
          <w:p w14:paraId="4E792ED8" w14:textId="77777777" w:rsidR="009D33A8" w:rsidRDefault="009D33A8" w:rsidP="00823C0E">
            <w:pPr>
              <w:spacing w:after="0"/>
            </w:pPr>
          </w:p>
        </w:tc>
        <w:tc>
          <w:tcPr>
            <w:tcW w:w="6888" w:type="dxa"/>
          </w:tcPr>
          <w:p w14:paraId="1A0702F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State Sport Trust entities</w:t>
            </w:r>
          </w:p>
        </w:tc>
        <w:tc>
          <w:tcPr>
            <w:tcW w:w="907" w:type="dxa"/>
          </w:tcPr>
          <w:p w14:paraId="1A0A7AA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4 113</w:t>
            </w:r>
          </w:p>
        </w:tc>
      </w:tr>
      <w:tr w:rsidR="009D33A8" w14:paraId="4D8D8876" w14:textId="77777777">
        <w:tc>
          <w:tcPr>
            <w:cnfStyle w:val="001000000000" w:firstRow="0" w:lastRow="0" w:firstColumn="1" w:lastColumn="0" w:oddVBand="0" w:evenVBand="0" w:oddHBand="0" w:evenHBand="0" w:firstRowFirstColumn="0" w:firstRowLastColumn="0" w:lastRowFirstColumn="0" w:lastRowLastColumn="0"/>
            <w:tcW w:w="1843" w:type="dxa"/>
          </w:tcPr>
          <w:p w14:paraId="6FE1131B" w14:textId="77777777" w:rsidR="009D33A8" w:rsidRDefault="009D33A8" w:rsidP="00823C0E">
            <w:pPr>
              <w:spacing w:after="0"/>
            </w:pPr>
          </w:p>
        </w:tc>
        <w:tc>
          <w:tcPr>
            <w:tcW w:w="6888" w:type="dxa"/>
          </w:tcPr>
          <w:p w14:paraId="28A6D80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Better Boating Fund – supplementary funding</w:t>
            </w:r>
          </w:p>
        </w:tc>
        <w:tc>
          <w:tcPr>
            <w:tcW w:w="907" w:type="dxa"/>
          </w:tcPr>
          <w:p w14:paraId="23BABA6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3 768</w:t>
            </w:r>
          </w:p>
        </w:tc>
      </w:tr>
      <w:tr w:rsidR="009D33A8" w14:paraId="215A3ED8" w14:textId="77777777">
        <w:tc>
          <w:tcPr>
            <w:cnfStyle w:val="001000000000" w:firstRow="0" w:lastRow="0" w:firstColumn="1" w:lastColumn="0" w:oddVBand="0" w:evenVBand="0" w:oddHBand="0" w:evenHBand="0" w:firstRowFirstColumn="0" w:firstRowLastColumn="0" w:lastRowFirstColumn="0" w:lastRowLastColumn="0"/>
            <w:tcW w:w="1843" w:type="dxa"/>
          </w:tcPr>
          <w:p w14:paraId="49B8F38E" w14:textId="77777777" w:rsidR="009D33A8" w:rsidRDefault="009D33A8" w:rsidP="00823C0E">
            <w:pPr>
              <w:spacing w:after="0"/>
            </w:pPr>
          </w:p>
        </w:tc>
        <w:tc>
          <w:tcPr>
            <w:tcW w:w="6888" w:type="dxa"/>
          </w:tcPr>
          <w:p w14:paraId="57645C8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Nyaal Banyul Geelong Convention and Event Centre</w:t>
            </w:r>
          </w:p>
        </w:tc>
        <w:tc>
          <w:tcPr>
            <w:tcW w:w="907" w:type="dxa"/>
          </w:tcPr>
          <w:p w14:paraId="403DE3D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3 500</w:t>
            </w:r>
          </w:p>
        </w:tc>
      </w:tr>
      <w:tr w:rsidR="009D33A8" w14:paraId="74377254" w14:textId="77777777">
        <w:tc>
          <w:tcPr>
            <w:cnfStyle w:val="001000000000" w:firstRow="0" w:lastRow="0" w:firstColumn="1" w:lastColumn="0" w:oddVBand="0" w:evenVBand="0" w:oddHBand="0" w:evenHBand="0" w:firstRowFirstColumn="0" w:firstRowLastColumn="0" w:lastRowFirstColumn="0" w:lastRowLastColumn="0"/>
            <w:tcW w:w="1843" w:type="dxa"/>
          </w:tcPr>
          <w:p w14:paraId="1E299D7E" w14:textId="77777777" w:rsidR="009D33A8" w:rsidRDefault="009D33A8" w:rsidP="00823C0E">
            <w:pPr>
              <w:spacing w:after="0"/>
            </w:pPr>
          </w:p>
        </w:tc>
        <w:tc>
          <w:tcPr>
            <w:tcW w:w="6888" w:type="dxa"/>
          </w:tcPr>
          <w:p w14:paraId="3D8BA70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Sporting Agencies Infrastructure and Support</w:t>
            </w:r>
          </w:p>
        </w:tc>
        <w:tc>
          <w:tcPr>
            <w:tcW w:w="907" w:type="dxa"/>
          </w:tcPr>
          <w:p w14:paraId="31931FC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3 000</w:t>
            </w:r>
          </w:p>
        </w:tc>
      </w:tr>
      <w:tr w:rsidR="009D33A8" w14:paraId="050BB876" w14:textId="77777777">
        <w:tc>
          <w:tcPr>
            <w:cnfStyle w:val="001000000000" w:firstRow="0" w:lastRow="0" w:firstColumn="1" w:lastColumn="0" w:oddVBand="0" w:evenVBand="0" w:oddHBand="0" w:evenHBand="0" w:firstRowFirstColumn="0" w:firstRowLastColumn="0" w:lastRowFirstColumn="0" w:lastRowLastColumn="0"/>
            <w:tcW w:w="1843" w:type="dxa"/>
          </w:tcPr>
          <w:p w14:paraId="0E29FA94" w14:textId="77777777" w:rsidR="009D33A8" w:rsidRDefault="009D33A8" w:rsidP="00823C0E">
            <w:pPr>
              <w:spacing w:after="0"/>
            </w:pPr>
          </w:p>
        </w:tc>
        <w:tc>
          <w:tcPr>
            <w:tcW w:w="6888" w:type="dxa"/>
          </w:tcPr>
          <w:p w14:paraId="7B7EAF3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Get Active Kids Voucher Program – supplementary funding</w:t>
            </w:r>
          </w:p>
        </w:tc>
        <w:tc>
          <w:tcPr>
            <w:tcW w:w="907" w:type="dxa"/>
          </w:tcPr>
          <w:p w14:paraId="4613EA2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3 000</w:t>
            </w:r>
          </w:p>
        </w:tc>
      </w:tr>
      <w:tr w:rsidR="009D33A8" w14:paraId="3DAA60F6" w14:textId="77777777">
        <w:tc>
          <w:tcPr>
            <w:cnfStyle w:val="001000000000" w:firstRow="0" w:lastRow="0" w:firstColumn="1" w:lastColumn="0" w:oddVBand="0" w:evenVBand="0" w:oddHBand="0" w:evenHBand="0" w:firstRowFirstColumn="0" w:firstRowLastColumn="0" w:lastRowFirstColumn="0" w:lastRowLastColumn="0"/>
            <w:tcW w:w="1843" w:type="dxa"/>
          </w:tcPr>
          <w:p w14:paraId="2DB040DD" w14:textId="77777777" w:rsidR="009D33A8" w:rsidRDefault="009D33A8" w:rsidP="00823C0E">
            <w:pPr>
              <w:spacing w:after="0"/>
            </w:pPr>
          </w:p>
        </w:tc>
        <w:tc>
          <w:tcPr>
            <w:tcW w:w="6888" w:type="dxa"/>
          </w:tcPr>
          <w:p w14:paraId="5DB5286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Regional car parks</w:t>
            </w:r>
          </w:p>
        </w:tc>
        <w:tc>
          <w:tcPr>
            <w:tcW w:w="907" w:type="dxa"/>
          </w:tcPr>
          <w:p w14:paraId="09DB507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2 393</w:t>
            </w:r>
          </w:p>
        </w:tc>
      </w:tr>
      <w:tr w:rsidR="009D33A8" w14:paraId="41B9E2EF" w14:textId="77777777">
        <w:tc>
          <w:tcPr>
            <w:cnfStyle w:val="001000000000" w:firstRow="0" w:lastRow="0" w:firstColumn="1" w:lastColumn="0" w:oddVBand="0" w:evenVBand="0" w:oddHBand="0" w:evenHBand="0" w:firstRowFirstColumn="0" w:firstRowLastColumn="0" w:lastRowFirstColumn="0" w:lastRowLastColumn="0"/>
            <w:tcW w:w="1843" w:type="dxa"/>
          </w:tcPr>
          <w:p w14:paraId="4C5689A5" w14:textId="77777777" w:rsidR="009D33A8" w:rsidRDefault="009D33A8" w:rsidP="00823C0E">
            <w:pPr>
              <w:spacing w:after="0"/>
            </w:pPr>
          </w:p>
        </w:tc>
        <w:tc>
          <w:tcPr>
            <w:tcW w:w="6888" w:type="dxa"/>
          </w:tcPr>
          <w:p w14:paraId="2EEB555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Skills Solutions Partnerships</w:t>
            </w:r>
          </w:p>
        </w:tc>
        <w:tc>
          <w:tcPr>
            <w:tcW w:w="907" w:type="dxa"/>
          </w:tcPr>
          <w:p w14:paraId="1535884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1 659</w:t>
            </w:r>
          </w:p>
        </w:tc>
      </w:tr>
      <w:tr w:rsidR="009D33A8" w14:paraId="5B1EACAC" w14:textId="77777777">
        <w:tc>
          <w:tcPr>
            <w:cnfStyle w:val="001000000000" w:firstRow="0" w:lastRow="0" w:firstColumn="1" w:lastColumn="0" w:oddVBand="0" w:evenVBand="0" w:oddHBand="0" w:evenHBand="0" w:firstRowFirstColumn="0" w:firstRowLastColumn="0" w:lastRowFirstColumn="0" w:lastRowLastColumn="0"/>
            <w:tcW w:w="1843" w:type="dxa"/>
          </w:tcPr>
          <w:p w14:paraId="1343CE2F" w14:textId="77777777" w:rsidR="009D33A8" w:rsidRDefault="009D33A8" w:rsidP="00823C0E">
            <w:pPr>
              <w:spacing w:after="0"/>
            </w:pPr>
          </w:p>
        </w:tc>
        <w:tc>
          <w:tcPr>
            <w:tcW w:w="6888" w:type="dxa"/>
          </w:tcPr>
          <w:p w14:paraId="2B498F0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Twelve Apostles Redevelopment Project</w:t>
            </w:r>
          </w:p>
        </w:tc>
        <w:tc>
          <w:tcPr>
            <w:tcW w:w="907" w:type="dxa"/>
          </w:tcPr>
          <w:p w14:paraId="4000007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1 633</w:t>
            </w:r>
          </w:p>
        </w:tc>
      </w:tr>
      <w:tr w:rsidR="009D33A8" w14:paraId="23F68E96" w14:textId="77777777">
        <w:tc>
          <w:tcPr>
            <w:cnfStyle w:val="001000000000" w:firstRow="0" w:lastRow="0" w:firstColumn="1" w:lastColumn="0" w:oddVBand="0" w:evenVBand="0" w:oddHBand="0" w:evenHBand="0" w:firstRowFirstColumn="0" w:firstRowLastColumn="0" w:lastRowFirstColumn="0" w:lastRowLastColumn="0"/>
            <w:tcW w:w="1843" w:type="dxa"/>
          </w:tcPr>
          <w:p w14:paraId="42D31B59" w14:textId="77777777" w:rsidR="009D33A8" w:rsidRDefault="009D33A8" w:rsidP="00823C0E">
            <w:pPr>
              <w:spacing w:after="0"/>
            </w:pPr>
          </w:p>
        </w:tc>
        <w:tc>
          <w:tcPr>
            <w:tcW w:w="6888" w:type="dxa"/>
          </w:tcPr>
          <w:p w14:paraId="37CD0F8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COVID 19 Pandemic Business Support – supplementary administrative costs</w:t>
            </w:r>
          </w:p>
        </w:tc>
        <w:tc>
          <w:tcPr>
            <w:tcW w:w="907" w:type="dxa"/>
          </w:tcPr>
          <w:p w14:paraId="50D8B07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1 600</w:t>
            </w:r>
          </w:p>
        </w:tc>
      </w:tr>
      <w:tr w:rsidR="009D33A8" w14:paraId="1FB35537" w14:textId="77777777">
        <w:tc>
          <w:tcPr>
            <w:cnfStyle w:val="001000000000" w:firstRow="0" w:lastRow="0" w:firstColumn="1" w:lastColumn="0" w:oddVBand="0" w:evenVBand="0" w:oddHBand="0" w:evenHBand="0" w:firstRowFirstColumn="0" w:firstRowLastColumn="0" w:lastRowFirstColumn="0" w:lastRowLastColumn="0"/>
            <w:tcW w:w="1843" w:type="dxa"/>
          </w:tcPr>
          <w:p w14:paraId="44C8E3AA" w14:textId="77777777" w:rsidR="009D33A8" w:rsidRDefault="009D33A8" w:rsidP="00823C0E">
            <w:pPr>
              <w:spacing w:after="0"/>
            </w:pPr>
          </w:p>
        </w:tc>
        <w:tc>
          <w:tcPr>
            <w:tcW w:w="6888" w:type="dxa"/>
          </w:tcPr>
          <w:p w14:paraId="69D2BC0F"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Research and Development Cash Flow Loans – final closure costs</w:t>
            </w:r>
          </w:p>
        </w:tc>
        <w:tc>
          <w:tcPr>
            <w:tcW w:w="907" w:type="dxa"/>
          </w:tcPr>
          <w:p w14:paraId="54857A5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1 306</w:t>
            </w:r>
          </w:p>
        </w:tc>
      </w:tr>
      <w:tr w:rsidR="009D33A8" w14:paraId="2DC88339" w14:textId="77777777">
        <w:tc>
          <w:tcPr>
            <w:cnfStyle w:val="001000000000" w:firstRow="0" w:lastRow="0" w:firstColumn="1" w:lastColumn="0" w:oddVBand="0" w:evenVBand="0" w:oddHBand="0" w:evenHBand="0" w:firstRowFirstColumn="0" w:firstRowLastColumn="0" w:lastRowFirstColumn="0" w:lastRowLastColumn="0"/>
            <w:tcW w:w="1843" w:type="dxa"/>
          </w:tcPr>
          <w:p w14:paraId="3DD8F141" w14:textId="77777777" w:rsidR="009D33A8" w:rsidRDefault="009D33A8" w:rsidP="00823C0E">
            <w:pPr>
              <w:spacing w:after="0"/>
            </w:pPr>
          </w:p>
        </w:tc>
        <w:tc>
          <w:tcPr>
            <w:tcW w:w="6888" w:type="dxa"/>
          </w:tcPr>
          <w:p w14:paraId="46AC0F0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Pass through of Seafood Industries Body Levy to peak bodies</w:t>
            </w:r>
          </w:p>
        </w:tc>
        <w:tc>
          <w:tcPr>
            <w:tcW w:w="907" w:type="dxa"/>
          </w:tcPr>
          <w:p w14:paraId="51C92CC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821</w:t>
            </w:r>
          </w:p>
        </w:tc>
      </w:tr>
      <w:tr w:rsidR="009D33A8" w14:paraId="4F5639C9" w14:textId="77777777">
        <w:tc>
          <w:tcPr>
            <w:cnfStyle w:val="001000000000" w:firstRow="0" w:lastRow="0" w:firstColumn="1" w:lastColumn="0" w:oddVBand="0" w:evenVBand="0" w:oddHBand="0" w:evenHBand="0" w:firstRowFirstColumn="0" w:firstRowLastColumn="0" w:lastRowFirstColumn="0" w:lastRowLastColumn="0"/>
            <w:tcW w:w="1843" w:type="dxa"/>
          </w:tcPr>
          <w:p w14:paraId="005EF7E1" w14:textId="77777777" w:rsidR="009D33A8" w:rsidRDefault="009D33A8" w:rsidP="00823C0E">
            <w:pPr>
              <w:spacing w:after="0"/>
            </w:pPr>
          </w:p>
        </w:tc>
        <w:tc>
          <w:tcPr>
            <w:tcW w:w="6888" w:type="dxa"/>
          </w:tcPr>
          <w:p w14:paraId="565821D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Industry skills for the future economy</w:t>
            </w:r>
          </w:p>
        </w:tc>
        <w:tc>
          <w:tcPr>
            <w:tcW w:w="907" w:type="dxa"/>
          </w:tcPr>
          <w:p w14:paraId="0E18252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691</w:t>
            </w:r>
          </w:p>
        </w:tc>
      </w:tr>
      <w:tr w:rsidR="009D33A8" w14:paraId="7DFC7180" w14:textId="77777777">
        <w:tc>
          <w:tcPr>
            <w:cnfStyle w:val="001000000000" w:firstRow="0" w:lastRow="0" w:firstColumn="1" w:lastColumn="0" w:oddVBand="0" w:evenVBand="0" w:oddHBand="0" w:evenHBand="0" w:firstRowFirstColumn="0" w:firstRowLastColumn="0" w:lastRowFirstColumn="0" w:lastRowLastColumn="0"/>
            <w:tcW w:w="1843" w:type="dxa"/>
          </w:tcPr>
          <w:p w14:paraId="39F3AE16" w14:textId="77777777" w:rsidR="009D33A8" w:rsidRDefault="009D33A8" w:rsidP="00823C0E">
            <w:pPr>
              <w:spacing w:after="0"/>
            </w:pPr>
          </w:p>
        </w:tc>
        <w:tc>
          <w:tcPr>
            <w:tcW w:w="6888" w:type="dxa"/>
          </w:tcPr>
          <w:p w14:paraId="546A423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AFL Grand Final Parade and Footy Festival</w:t>
            </w:r>
          </w:p>
        </w:tc>
        <w:tc>
          <w:tcPr>
            <w:tcW w:w="907" w:type="dxa"/>
          </w:tcPr>
          <w:p w14:paraId="0B7AB84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500</w:t>
            </w:r>
          </w:p>
        </w:tc>
      </w:tr>
      <w:tr w:rsidR="009D33A8" w14:paraId="35502F01" w14:textId="77777777">
        <w:tc>
          <w:tcPr>
            <w:cnfStyle w:val="001000000000" w:firstRow="0" w:lastRow="0" w:firstColumn="1" w:lastColumn="0" w:oddVBand="0" w:evenVBand="0" w:oddHBand="0" w:evenHBand="0" w:firstRowFirstColumn="0" w:firstRowLastColumn="0" w:lastRowFirstColumn="0" w:lastRowLastColumn="0"/>
            <w:tcW w:w="1843" w:type="dxa"/>
          </w:tcPr>
          <w:p w14:paraId="589B496A" w14:textId="77777777" w:rsidR="009D33A8" w:rsidRDefault="009D33A8" w:rsidP="00823C0E">
            <w:pPr>
              <w:spacing w:after="0"/>
            </w:pPr>
          </w:p>
        </w:tc>
        <w:tc>
          <w:tcPr>
            <w:tcW w:w="6888" w:type="dxa"/>
          </w:tcPr>
          <w:p w14:paraId="585C428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Events top</w:t>
            </w:r>
            <w:r>
              <w:noBreakHyphen/>
              <w:t>up funding</w:t>
            </w:r>
          </w:p>
        </w:tc>
        <w:tc>
          <w:tcPr>
            <w:tcW w:w="907" w:type="dxa"/>
          </w:tcPr>
          <w:p w14:paraId="6671C2E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500</w:t>
            </w:r>
          </w:p>
        </w:tc>
      </w:tr>
      <w:tr w:rsidR="009D33A8" w14:paraId="5276BC8F" w14:textId="77777777">
        <w:tc>
          <w:tcPr>
            <w:cnfStyle w:val="001000000000" w:firstRow="0" w:lastRow="0" w:firstColumn="1" w:lastColumn="0" w:oddVBand="0" w:evenVBand="0" w:oddHBand="0" w:evenHBand="0" w:firstRowFirstColumn="0" w:firstRowLastColumn="0" w:lastRowFirstColumn="0" w:lastRowLastColumn="0"/>
            <w:tcW w:w="1843" w:type="dxa"/>
          </w:tcPr>
          <w:p w14:paraId="60280D95" w14:textId="77777777" w:rsidR="009D33A8" w:rsidRDefault="009D33A8" w:rsidP="00823C0E">
            <w:pPr>
              <w:spacing w:after="0"/>
            </w:pPr>
          </w:p>
        </w:tc>
        <w:tc>
          <w:tcPr>
            <w:tcW w:w="6888" w:type="dxa"/>
          </w:tcPr>
          <w:p w14:paraId="7B9DED4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Flood Recovery and Support</w:t>
            </w:r>
          </w:p>
        </w:tc>
        <w:tc>
          <w:tcPr>
            <w:tcW w:w="907" w:type="dxa"/>
          </w:tcPr>
          <w:p w14:paraId="74A3FEE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463</w:t>
            </w:r>
          </w:p>
        </w:tc>
      </w:tr>
      <w:tr w:rsidR="009D33A8" w14:paraId="1C1D2262" w14:textId="77777777">
        <w:tc>
          <w:tcPr>
            <w:cnfStyle w:val="001000000000" w:firstRow="0" w:lastRow="0" w:firstColumn="1" w:lastColumn="0" w:oddVBand="0" w:evenVBand="0" w:oddHBand="0" w:evenHBand="0" w:firstRowFirstColumn="0" w:firstRowLastColumn="0" w:lastRowFirstColumn="0" w:lastRowLastColumn="0"/>
            <w:tcW w:w="1843" w:type="dxa"/>
          </w:tcPr>
          <w:p w14:paraId="302C8F4B" w14:textId="77777777" w:rsidR="009D33A8" w:rsidRDefault="009D33A8" w:rsidP="00823C0E">
            <w:pPr>
              <w:spacing w:after="0"/>
            </w:pPr>
          </w:p>
        </w:tc>
        <w:tc>
          <w:tcPr>
            <w:tcW w:w="6888" w:type="dxa"/>
          </w:tcPr>
          <w:p w14:paraId="388205D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Disaster Relief and Recovery support</w:t>
            </w:r>
          </w:p>
        </w:tc>
        <w:tc>
          <w:tcPr>
            <w:tcW w:w="907" w:type="dxa"/>
          </w:tcPr>
          <w:p w14:paraId="6F25E70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326</w:t>
            </w:r>
          </w:p>
        </w:tc>
      </w:tr>
      <w:tr w:rsidR="009D33A8" w14:paraId="36871BAA" w14:textId="77777777">
        <w:tc>
          <w:tcPr>
            <w:cnfStyle w:val="001000000000" w:firstRow="0" w:lastRow="0" w:firstColumn="1" w:lastColumn="0" w:oddVBand="0" w:evenVBand="0" w:oddHBand="0" w:evenHBand="0" w:firstRowFirstColumn="0" w:firstRowLastColumn="0" w:lastRowFirstColumn="0" w:lastRowLastColumn="0"/>
            <w:tcW w:w="1843" w:type="dxa"/>
          </w:tcPr>
          <w:p w14:paraId="24BCC279" w14:textId="77777777" w:rsidR="009D33A8" w:rsidRDefault="009D33A8" w:rsidP="00823C0E">
            <w:pPr>
              <w:spacing w:after="0"/>
            </w:pPr>
          </w:p>
        </w:tc>
        <w:tc>
          <w:tcPr>
            <w:tcW w:w="6888" w:type="dxa"/>
          </w:tcPr>
          <w:p w14:paraId="787D709F"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Live Music Restart Program</w:t>
            </w:r>
          </w:p>
        </w:tc>
        <w:tc>
          <w:tcPr>
            <w:tcW w:w="907" w:type="dxa"/>
          </w:tcPr>
          <w:p w14:paraId="7F568DB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160</w:t>
            </w:r>
          </w:p>
        </w:tc>
      </w:tr>
      <w:tr w:rsidR="009D33A8" w14:paraId="001AA616"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783D2A89" w14:textId="77777777" w:rsidR="009D33A8" w:rsidRDefault="009D33A8" w:rsidP="00823C0E">
            <w:pPr>
              <w:spacing w:after="0"/>
            </w:pPr>
          </w:p>
        </w:tc>
        <w:tc>
          <w:tcPr>
            <w:tcW w:w="6888" w:type="dxa"/>
            <w:tcBorders>
              <w:bottom w:val="single" w:sz="6" w:space="0" w:color="auto"/>
            </w:tcBorders>
          </w:tcPr>
          <w:p w14:paraId="5D95CB8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6AE846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98 653</w:t>
            </w:r>
          </w:p>
        </w:tc>
      </w:tr>
      <w:tr w:rsidR="009D33A8" w14:paraId="78C60406"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196249B9" w14:textId="77777777" w:rsidR="009D33A8" w:rsidRDefault="009D33A8" w:rsidP="00823C0E">
            <w:pPr>
              <w:spacing w:after="0"/>
            </w:pPr>
            <w:r>
              <w:t xml:space="preserve">Justice and Community </w:t>
            </w:r>
          </w:p>
        </w:tc>
        <w:tc>
          <w:tcPr>
            <w:tcW w:w="6888" w:type="dxa"/>
            <w:tcBorders>
              <w:top w:val="single" w:sz="6" w:space="0" w:color="auto"/>
            </w:tcBorders>
          </w:tcPr>
          <w:p w14:paraId="6AB30CB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Critical support for the Victorian Racing Industry</w:t>
            </w:r>
          </w:p>
        </w:tc>
        <w:tc>
          <w:tcPr>
            <w:tcW w:w="907" w:type="dxa"/>
            <w:tcBorders>
              <w:top w:val="single" w:sz="6" w:space="0" w:color="auto"/>
            </w:tcBorders>
          </w:tcPr>
          <w:p w14:paraId="71FC57E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82 500</w:t>
            </w:r>
          </w:p>
        </w:tc>
      </w:tr>
      <w:tr w:rsidR="009D33A8" w14:paraId="3DAC577E" w14:textId="77777777">
        <w:tc>
          <w:tcPr>
            <w:cnfStyle w:val="001000000000" w:firstRow="0" w:lastRow="0" w:firstColumn="1" w:lastColumn="0" w:oddVBand="0" w:evenVBand="0" w:oddHBand="0" w:evenHBand="0" w:firstRowFirstColumn="0" w:firstRowLastColumn="0" w:lastRowFirstColumn="0" w:lastRowLastColumn="0"/>
            <w:tcW w:w="1843" w:type="dxa"/>
          </w:tcPr>
          <w:p w14:paraId="5F954DCB" w14:textId="77777777" w:rsidR="009D33A8" w:rsidRDefault="009D33A8" w:rsidP="00823C0E">
            <w:pPr>
              <w:spacing w:after="0"/>
            </w:pPr>
            <w:r>
              <w:t>Safety</w:t>
            </w:r>
          </w:p>
        </w:tc>
        <w:tc>
          <w:tcPr>
            <w:tcW w:w="6888" w:type="dxa"/>
          </w:tcPr>
          <w:p w14:paraId="7DD6491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Community Safety Package</w:t>
            </w:r>
          </w:p>
        </w:tc>
        <w:tc>
          <w:tcPr>
            <w:tcW w:w="907" w:type="dxa"/>
          </w:tcPr>
          <w:p w14:paraId="20BE401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54 207</w:t>
            </w:r>
          </w:p>
        </w:tc>
      </w:tr>
      <w:tr w:rsidR="009D33A8" w14:paraId="7121C941" w14:textId="77777777">
        <w:tc>
          <w:tcPr>
            <w:cnfStyle w:val="001000000000" w:firstRow="0" w:lastRow="0" w:firstColumn="1" w:lastColumn="0" w:oddVBand="0" w:evenVBand="0" w:oddHBand="0" w:evenHBand="0" w:firstRowFirstColumn="0" w:firstRowLastColumn="0" w:lastRowFirstColumn="0" w:lastRowLastColumn="0"/>
            <w:tcW w:w="1843" w:type="dxa"/>
          </w:tcPr>
          <w:p w14:paraId="17A540A9" w14:textId="77777777" w:rsidR="009D33A8" w:rsidRDefault="009D33A8" w:rsidP="00823C0E">
            <w:pPr>
              <w:spacing w:after="0"/>
            </w:pPr>
          </w:p>
        </w:tc>
        <w:tc>
          <w:tcPr>
            <w:tcW w:w="6888" w:type="dxa"/>
          </w:tcPr>
          <w:p w14:paraId="39AE5C9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Disaster relief and recovery</w:t>
            </w:r>
          </w:p>
        </w:tc>
        <w:tc>
          <w:tcPr>
            <w:tcW w:w="907" w:type="dxa"/>
          </w:tcPr>
          <w:p w14:paraId="7123452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20 365</w:t>
            </w:r>
          </w:p>
        </w:tc>
      </w:tr>
      <w:tr w:rsidR="009D33A8" w14:paraId="4C5C8AE9" w14:textId="77777777">
        <w:tc>
          <w:tcPr>
            <w:cnfStyle w:val="001000000000" w:firstRow="0" w:lastRow="0" w:firstColumn="1" w:lastColumn="0" w:oddVBand="0" w:evenVBand="0" w:oddHBand="0" w:evenHBand="0" w:firstRowFirstColumn="0" w:firstRowLastColumn="0" w:lastRowFirstColumn="0" w:lastRowLastColumn="0"/>
            <w:tcW w:w="1843" w:type="dxa"/>
          </w:tcPr>
          <w:p w14:paraId="3832B0D5" w14:textId="77777777" w:rsidR="009D33A8" w:rsidRDefault="009D33A8" w:rsidP="00823C0E">
            <w:pPr>
              <w:spacing w:after="0"/>
            </w:pPr>
          </w:p>
        </w:tc>
        <w:tc>
          <w:tcPr>
            <w:tcW w:w="6888" w:type="dxa"/>
          </w:tcPr>
          <w:p w14:paraId="0BB6BCB7" w14:textId="16BE459B"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Technology and resources to support Victoria</w:t>
            </w:r>
            <w:r w:rsidR="00845934">
              <w:t>’</w:t>
            </w:r>
            <w:r>
              <w:t>s fines system</w:t>
            </w:r>
          </w:p>
        </w:tc>
        <w:tc>
          <w:tcPr>
            <w:tcW w:w="907" w:type="dxa"/>
          </w:tcPr>
          <w:p w14:paraId="7C726A14"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11 253</w:t>
            </w:r>
          </w:p>
        </w:tc>
      </w:tr>
      <w:tr w:rsidR="009D33A8" w14:paraId="21679A5D" w14:textId="77777777">
        <w:tc>
          <w:tcPr>
            <w:cnfStyle w:val="001000000000" w:firstRow="0" w:lastRow="0" w:firstColumn="1" w:lastColumn="0" w:oddVBand="0" w:evenVBand="0" w:oddHBand="0" w:evenHBand="0" w:firstRowFirstColumn="0" w:firstRowLastColumn="0" w:lastRowFirstColumn="0" w:lastRowLastColumn="0"/>
            <w:tcW w:w="1843" w:type="dxa"/>
          </w:tcPr>
          <w:p w14:paraId="1549DA0C" w14:textId="77777777" w:rsidR="009D33A8" w:rsidRDefault="009D33A8" w:rsidP="00823C0E">
            <w:pPr>
              <w:spacing w:after="0"/>
            </w:pPr>
          </w:p>
        </w:tc>
        <w:tc>
          <w:tcPr>
            <w:tcW w:w="6888" w:type="dxa"/>
          </w:tcPr>
          <w:p w14:paraId="4D3ECA3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funding for Emergency Service Organisations</w:t>
            </w:r>
          </w:p>
        </w:tc>
        <w:tc>
          <w:tcPr>
            <w:tcW w:w="907" w:type="dxa"/>
          </w:tcPr>
          <w:p w14:paraId="7CDF666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8 667</w:t>
            </w:r>
          </w:p>
        </w:tc>
      </w:tr>
      <w:tr w:rsidR="009D33A8" w14:paraId="5B8ED8BF" w14:textId="77777777">
        <w:tc>
          <w:tcPr>
            <w:cnfStyle w:val="001000000000" w:firstRow="0" w:lastRow="0" w:firstColumn="1" w:lastColumn="0" w:oddVBand="0" w:evenVBand="0" w:oddHBand="0" w:evenHBand="0" w:firstRowFirstColumn="0" w:firstRowLastColumn="0" w:lastRowFirstColumn="0" w:lastRowLastColumn="0"/>
            <w:tcW w:w="1843" w:type="dxa"/>
          </w:tcPr>
          <w:p w14:paraId="1E99B6D5" w14:textId="77777777" w:rsidR="009D33A8" w:rsidRDefault="009D33A8" w:rsidP="00823C0E">
            <w:pPr>
              <w:spacing w:after="0"/>
            </w:pPr>
          </w:p>
        </w:tc>
        <w:tc>
          <w:tcPr>
            <w:tcW w:w="6888" w:type="dxa"/>
          </w:tcPr>
          <w:p w14:paraId="0A07C31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depreciation funding</w:t>
            </w:r>
          </w:p>
        </w:tc>
        <w:tc>
          <w:tcPr>
            <w:tcW w:w="907" w:type="dxa"/>
          </w:tcPr>
          <w:p w14:paraId="66D3847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7 348</w:t>
            </w:r>
          </w:p>
        </w:tc>
      </w:tr>
      <w:tr w:rsidR="009D33A8" w14:paraId="7987B673" w14:textId="77777777">
        <w:tc>
          <w:tcPr>
            <w:cnfStyle w:val="001000000000" w:firstRow="0" w:lastRow="0" w:firstColumn="1" w:lastColumn="0" w:oddVBand="0" w:evenVBand="0" w:oddHBand="0" w:evenHBand="0" w:firstRowFirstColumn="0" w:firstRowLastColumn="0" w:lastRowFirstColumn="0" w:lastRowLastColumn="0"/>
            <w:tcW w:w="1843" w:type="dxa"/>
          </w:tcPr>
          <w:p w14:paraId="121E04B6" w14:textId="77777777" w:rsidR="009D33A8" w:rsidRDefault="009D33A8" w:rsidP="00823C0E">
            <w:pPr>
              <w:spacing w:after="0"/>
            </w:pPr>
          </w:p>
        </w:tc>
        <w:tc>
          <w:tcPr>
            <w:tcW w:w="6888" w:type="dxa"/>
          </w:tcPr>
          <w:p w14:paraId="24A76E1F" w14:textId="1DD4BE83"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the State</w:t>
            </w:r>
            <w:r w:rsidR="00845934">
              <w:t>’</w:t>
            </w:r>
            <w:r>
              <w:t>s Forensic Capability</w:t>
            </w:r>
          </w:p>
        </w:tc>
        <w:tc>
          <w:tcPr>
            <w:tcW w:w="907" w:type="dxa"/>
          </w:tcPr>
          <w:p w14:paraId="463850F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4 856</w:t>
            </w:r>
          </w:p>
        </w:tc>
      </w:tr>
      <w:tr w:rsidR="009D33A8" w14:paraId="2507E710" w14:textId="77777777">
        <w:tc>
          <w:tcPr>
            <w:cnfStyle w:val="001000000000" w:firstRow="0" w:lastRow="0" w:firstColumn="1" w:lastColumn="0" w:oddVBand="0" w:evenVBand="0" w:oddHBand="0" w:evenHBand="0" w:firstRowFirstColumn="0" w:firstRowLastColumn="0" w:lastRowFirstColumn="0" w:lastRowLastColumn="0"/>
            <w:tcW w:w="1843" w:type="dxa"/>
          </w:tcPr>
          <w:p w14:paraId="666F50FC" w14:textId="77777777" w:rsidR="009D33A8" w:rsidRDefault="009D33A8" w:rsidP="00823C0E">
            <w:pPr>
              <w:spacing w:after="0"/>
            </w:pPr>
          </w:p>
        </w:tc>
        <w:tc>
          <w:tcPr>
            <w:tcW w:w="6888" w:type="dxa"/>
          </w:tcPr>
          <w:p w14:paraId="5782D37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Establishing a modern integrated tobacco and liquor regulator and supporting effective regulation</w:t>
            </w:r>
          </w:p>
        </w:tc>
        <w:tc>
          <w:tcPr>
            <w:tcW w:w="907" w:type="dxa"/>
          </w:tcPr>
          <w:p w14:paraId="50F6BEF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4 152</w:t>
            </w:r>
          </w:p>
        </w:tc>
      </w:tr>
      <w:tr w:rsidR="009D33A8" w14:paraId="1A12B588" w14:textId="77777777">
        <w:tc>
          <w:tcPr>
            <w:cnfStyle w:val="001000000000" w:firstRow="0" w:lastRow="0" w:firstColumn="1" w:lastColumn="0" w:oddVBand="0" w:evenVBand="0" w:oddHBand="0" w:evenHBand="0" w:firstRowFirstColumn="0" w:firstRowLastColumn="0" w:lastRowFirstColumn="0" w:lastRowLastColumn="0"/>
            <w:tcW w:w="1843" w:type="dxa"/>
          </w:tcPr>
          <w:p w14:paraId="3B381D8A" w14:textId="77777777" w:rsidR="009D33A8" w:rsidRDefault="009D33A8" w:rsidP="00823C0E">
            <w:pPr>
              <w:spacing w:after="0"/>
            </w:pPr>
          </w:p>
        </w:tc>
        <w:tc>
          <w:tcPr>
            <w:tcW w:w="6888" w:type="dxa"/>
          </w:tcPr>
          <w:p w14:paraId="72D210F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Improving prison network performance</w:t>
            </w:r>
          </w:p>
        </w:tc>
        <w:tc>
          <w:tcPr>
            <w:tcW w:w="907" w:type="dxa"/>
          </w:tcPr>
          <w:p w14:paraId="7FE1F22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2 088</w:t>
            </w:r>
          </w:p>
        </w:tc>
      </w:tr>
      <w:tr w:rsidR="009D33A8" w14:paraId="5E0BFF80" w14:textId="77777777">
        <w:tc>
          <w:tcPr>
            <w:cnfStyle w:val="001000000000" w:firstRow="0" w:lastRow="0" w:firstColumn="1" w:lastColumn="0" w:oddVBand="0" w:evenVBand="0" w:oddHBand="0" w:evenHBand="0" w:firstRowFirstColumn="0" w:firstRowLastColumn="0" w:lastRowFirstColumn="0" w:lastRowLastColumn="0"/>
            <w:tcW w:w="1843" w:type="dxa"/>
          </w:tcPr>
          <w:p w14:paraId="5ACAD847" w14:textId="77777777" w:rsidR="009D33A8" w:rsidRDefault="009D33A8" w:rsidP="00823C0E">
            <w:pPr>
              <w:spacing w:after="0"/>
            </w:pPr>
          </w:p>
        </w:tc>
        <w:tc>
          <w:tcPr>
            <w:tcW w:w="6888" w:type="dxa"/>
          </w:tcPr>
          <w:p w14:paraId="32D80CA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Fines Victoria in response to the Victoria Police industrial action</w:t>
            </w:r>
          </w:p>
        </w:tc>
        <w:tc>
          <w:tcPr>
            <w:tcW w:w="907" w:type="dxa"/>
          </w:tcPr>
          <w:p w14:paraId="256991D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1 916</w:t>
            </w:r>
          </w:p>
        </w:tc>
      </w:tr>
      <w:tr w:rsidR="009D33A8" w14:paraId="698A147B" w14:textId="77777777">
        <w:tc>
          <w:tcPr>
            <w:cnfStyle w:val="001000000000" w:firstRow="0" w:lastRow="0" w:firstColumn="1" w:lastColumn="0" w:oddVBand="0" w:evenVBand="0" w:oddHBand="0" w:evenHBand="0" w:firstRowFirstColumn="0" w:firstRowLastColumn="0" w:lastRowFirstColumn="0" w:lastRowLastColumn="0"/>
            <w:tcW w:w="1843" w:type="dxa"/>
          </w:tcPr>
          <w:p w14:paraId="0D55C604" w14:textId="77777777" w:rsidR="009D33A8" w:rsidRDefault="009D33A8" w:rsidP="00823C0E">
            <w:pPr>
              <w:spacing w:after="0"/>
            </w:pPr>
          </w:p>
        </w:tc>
        <w:tc>
          <w:tcPr>
            <w:tcW w:w="6888" w:type="dxa"/>
          </w:tcPr>
          <w:p w14:paraId="2E9A4C3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a safe and effective Youth Justice system</w:t>
            </w:r>
          </w:p>
        </w:tc>
        <w:tc>
          <w:tcPr>
            <w:tcW w:w="907" w:type="dxa"/>
          </w:tcPr>
          <w:p w14:paraId="706B904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1 639</w:t>
            </w:r>
          </w:p>
        </w:tc>
      </w:tr>
      <w:tr w:rsidR="009D33A8" w14:paraId="5E294CE8" w14:textId="77777777">
        <w:tc>
          <w:tcPr>
            <w:cnfStyle w:val="001000000000" w:firstRow="0" w:lastRow="0" w:firstColumn="1" w:lastColumn="0" w:oddVBand="0" w:evenVBand="0" w:oddHBand="0" w:evenHBand="0" w:firstRowFirstColumn="0" w:firstRowLastColumn="0" w:lastRowFirstColumn="0" w:lastRowLastColumn="0"/>
            <w:tcW w:w="1843" w:type="dxa"/>
          </w:tcPr>
          <w:p w14:paraId="7140B116" w14:textId="77777777" w:rsidR="009D33A8" w:rsidRDefault="009D33A8" w:rsidP="00823C0E">
            <w:pPr>
              <w:spacing w:after="0"/>
            </w:pPr>
          </w:p>
        </w:tc>
        <w:tc>
          <w:tcPr>
            <w:tcW w:w="6888" w:type="dxa"/>
          </w:tcPr>
          <w:p w14:paraId="59D6833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COVID</w:t>
            </w:r>
            <w:r>
              <w:noBreakHyphen/>
              <w:t>19 Quarantine Victoria wind up</w:t>
            </w:r>
          </w:p>
        </w:tc>
        <w:tc>
          <w:tcPr>
            <w:tcW w:w="907" w:type="dxa"/>
          </w:tcPr>
          <w:p w14:paraId="1575AAE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1 370</w:t>
            </w:r>
          </w:p>
        </w:tc>
      </w:tr>
      <w:tr w:rsidR="009D33A8" w14:paraId="6F4736AF" w14:textId="77777777">
        <w:tc>
          <w:tcPr>
            <w:cnfStyle w:val="001000000000" w:firstRow="0" w:lastRow="0" w:firstColumn="1" w:lastColumn="0" w:oddVBand="0" w:evenVBand="0" w:oddHBand="0" w:evenHBand="0" w:firstRowFirstColumn="0" w:firstRowLastColumn="0" w:lastRowFirstColumn="0" w:lastRowLastColumn="0"/>
            <w:tcW w:w="1843" w:type="dxa"/>
          </w:tcPr>
          <w:p w14:paraId="717851F2" w14:textId="77777777" w:rsidR="009D33A8" w:rsidRDefault="009D33A8" w:rsidP="00823C0E">
            <w:pPr>
              <w:spacing w:after="0"/>
            </w:pPr>
          </w:p>
        </w:tc>
        <w:tc>
          <w:tcPr>
            <w:tcW w:w="6888" w:type="dxa"/>
          </w:tcPr>
          <w:p w14:paraId="2FEC9FCF"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funding for community services organisation indexation</w:t>
            </w:r>
          </w:p>
        </w:tc>
        <w:tc>
          <w:tcPr>
            <w:tcW w:w="907" w:type="dxa"/>
          </w:tcPr>
          <w:p w14:paraId="23BB9B7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1 197</w:t>
            </w:r>
          </w:p>
        </w:tc>
      </w:tr>
      <w:tr w:rsidR="009D33A8" w14:paraId="74FBBA62" w14:textId="77777777">
        <w:tc>
          <w:tcPr>
            <w:cnfStyle w:val="001000000000" w:firstRow="0" w:lastRow="0" w:firstColumn="1" w:lastColumn="0" w:oddVBand="0" w:evenVBand="0" w:oddHBand="0" w:evenHBand="0" w:firstRowFirstColumn="0" w:firstRowLastColumn="0" w:lastRowFirstColumn="0" w:lastRowLastColumn="0"/>
            <w:tcW w:w="1843" w:type="dxa"/>
          </w:tcPr>
          <w:p w14:paraId="1A09C25A" w14:textId="77777777" w:rsidR="009D33A8" w:rsidRDefault="009D33A8" w:rsidP="00823C0E">
            <w:pPr>
              <w:spacing w:after="0"/>
            </w:pPr>
          </w:p>
        </w:tc>
        <w:tc>
          <w:tcPr>
            <w:tcW w:w="6888" w:type="dxa"/>
          </w:tcPr>
          <w:p w14:paraId="0371A40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Emergency Service Organisations</w:t>
            </w:r>
          </w:p>
        </w:tc>
        <w:tc>
          <w:tcPr>
            <w:tcW w:w="907" w:type="dxa"/>
          </w:tcPr>
          <w:p w14:paraId="39AE764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1 073</w:t>
            </w:r>
          </w:p>
        </w:tc>
      </w:tr>
      <w:tr w:rsidR="009D33A8" w14:paraId="44F68D87" w14:textId="77777777">
        <w:tc>
          <w:tcPr>
            <w:cnfStyle w:val="001000000000" w:firstRow="0" w:lastRow="0" w:firstColumn="1" w:lastColumn="0" w:oddVBand="0" w:evenVBand="0" w:oddHBand="0" w:evenHBand="0" w:firstRowFirstColumn="0" w:firstRowLastColumn="0" w:lastRowFirstColumn="0" w:lastRowLastColumn="0"/>
            <w:tcW w:w="1843" w:type="dxa"/>
          </w:tcPr>
          <w:p w14:paraId="782A3DD4" w14:textId="77777777" w:rsidR="009D33A8" w:rsidRDefault="009D33A8" w:rsidP="00823C0E">
            <w:pPr>
              <w:spacing w:after="0"/>
            </w:pPr>
          </w:p>
        </w:tc>
        <w:tc>
          <w:tcPr>
            <w:tcW w:w="6888" w:type="dxa"/>
          </w:tcPr>
          <w:p w14:paraId="0792F48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gambling licensing projects</w:t>
            </w:r>
          </w:p>
        </w:tc>
        <w:tc>
          <w:tcPr>
            <w:tcW w:w="907" w:type="dxa"/>
          </w:tcPr>
          <w:p w14:paraId="2BBB213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348</w:t>
            </w:r>
          </w:p>
        </w:tc>
      </w:tr>
      <w:tr w:rsidR="009D33A8" w14:paraId="59071B98" w14:textId="77777777">
        <w:tc>
          <w:tcPr>
            <w:cnfStyle w:val="001000000000" w:firstRow="0" w:lastRow="0" w:firstColumn="1" w:lastColumn="0" w:oddVBand="0" w:evenVBand="0" w:oddHBand="0" w:evenHBand="0" w:firstRowFirstColumn="0" w:firstRowLastColumn="0" w:lastRowFirstColumn="0" w:lastRowLastColumn="0"/>
            <w:tcW w:w="1843" w:type="dxa"/>
          </w:tcPr>
          <w:p w14:paraId="41A05D9E" w14:textId="77777777" w:rsidR="009D33A8" w:rsidRDefault="009D33A8" w:rsidP="00823C0E">
            <w:pPr>
              <w:spacing w:after="0"/>
            </w:pPr>
          </w:p>
        </w:tc>
        <w:tc>
          <w:tcPr>
            <w:tcW w:w="6888" w:type="dxa"/>
          </w:tcPr>
          <w:p w14:paraId="40344D9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Minimum Age of Criminal Responsibility reforms</w:t>
            </w:r>
          </w:p>
        </w:tc>
        <w:tc>
          <w:tcPr>
            <w:tcW w:w="907" w:type="dxa"/>
          </w:tcPr>
          <w:p w14:paraId="31926A5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289</w:t>
            </w:r>
          </w:p>
        </w:tc>
      </w:tr>
      <w:tr w:rsidR="009D33A8" w14:paraId="69FB344C" w14:textId="77777777">
        <w:tc>
          <w:tcPr>
            <w:cnfStyle w:val="001000000000" w:firstRow="0" w:lastRow="0" w:firstColumn="1" w:lastColumn="0" w:oddVBand="0" w:evenVBand="0" w:oddHBand="0" w:evenHBand="0" w:firstRowFirstColumn="0" w:firstRowLastColumn="0" w:lastRowFirstColumn="0" w:lastRowLastColumn="0"/>
            <w:tcW w:w="1843" w:type="dxa"/>
          </w:tcPr>
          <w:p w14:paraId="00BA7DB3" w14:textId="77777777" w:rsidR="009D33A8" w:rsidRDefault="009D33A8" w:rsidP="00823C0E">
            <w:pPr>
              <w:spacing w:after="0"/>
            </w:pPr>
          </w:p>
        </w:tc>
        <w:tc>
          <w:tcPr>
            <w:tcW w:w="6888" w:type="dxa"/>
          </w:tcPr>
          <w:p w14:paraId="0D74E99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Historical Forced Adoption Redress Scheme</w:t>
            </w:r>
          </w:p>
        </w:tc>
        <w:tc>
          <w:tcPr>
            <w:tcW w:w="907" w:type="dxa"/>
          </w:tcPr>
          <w:p w14:paraId="5931E3C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188</w:t>
            </w:r>
          </w:p>
        </w:tc>
      </w:tr>
      <w:tr w:rsidR="009D33A8" w14:paraId="753FEAAD" w14:textId="77777777">
        <w:tc>
          <w:tcPr>
            <w:cnfStyle w:val="001000000000" w:firstRow="0" w:lastRow="0" w:firstColumn="1" w:lastColumn="0" w:oddVBand="0" w:evenVBand="0" w:oddHBand="0" w:evenHBand="0" w:firstRowFirstColumn="0" w:firstRowLastColumn="0" w:lastRowFirstColumn="0" w:lastRowLastColumn="0"/>
            <w:tcW w:w="1843" w:type="dxa"/>
          </w:tcPr>
          <w:p w14:paraId="65122D36" w14:textId="77777777" w:rsidR="009D33A8" w:rsidRDefault="009D33A8" w:rsidP="00823C0E">
            <w:pPr>
              <w:spacing w:after="0"/>
            </w:pPr>
          </w:p>
        </w:tc>
        <w:tc>
          <w:tcPr>
            <w:tcW w:w="6888" w:type="dxa"/>
          </w:tcPr>
          <w:p w14:paraId="055D562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the community legal sector</w:t>
            </w:r>
          </w:p>
        </w:tc>
        <w:tc>
          <w:tcPr>
            <w:tcW w:w="907" w:type="dxa"/>
          </w:tcPr>
          <w:p w14:paraId="68BEA80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170</w:t>
            </w:r>
          </w:p>
        </w:tc>
      </w:tr>
      <w:tr w:rsidR="009D33A8" w14:paraId="69DC75C4" w14:textId="77777777">
        <w:tc>
          <w:tcPr>
            <w:cnfStyle w:val="001000000000" w:firstRow="0" w:lastRow="0" w:firstColumn="1" w:lastColumn="0" w:oddVBand="0" w:evenVBand="0" w:oddHBand="0" w:evenHBand="0" w:firstRowFirstColumn="0" w:firstRowLastColumn="0" w:lastRowFirstColumn="0" w:lastRowLastColumn="0"/>
            <w:tcW w:w="1843" w:type="dxa"/>
          </w:tcPr>
          <w:p w14:paraId="301AF785" w14:textId="77777777" w:rsidR="009D33A8" w:rsidRDefault="009D33A8" w:rsidP="00823C0E">
            <w:pPr>
              <w:spacing w:after="0"/>
            </w:pPr>
          </w:p>
        </w:tc>
        <w:tc>
          <w:tcPr>
            <w:tcW w:w="6888" w:type="dxa"/>
          </w:tcPr>
          <w:p w14:paraId="159668C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Funding to support mobile calls for people in prison</w:t>
            </w:r>
          </w:p>
        </w:tc>
        <w:tc>
          <w:tcPr>
            <w:tcW w:w="907" w:type="dxa"/>
          </w:tcPr>
          <w:p w14:paraId="463E94B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163</w:t>
            </w:r>
          </w:p>
        </w:tc>
      </w:tr>
      <w:tr w:rsidR="009D33A8" w14:paraId="595620EE"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499EC402" w14:textId="77777777" w:rsidR="009D33A8" w:rsidRDefault="009D33A8" w:rsidP="00823C0E">
            <w:pPr>
              <w:spacing w:after="0"/>
            </w:pPr>
          </w:p>
        </w:tc>
        <w:tc>
          <w:tcPr>
            <w:tcW w:w="6888" w:type="dxa"/>
            <w:tcBorders>
              <w:bottom w:val="single" w:sz="6" w:space="0" w:color="auto"/>
            </w:tcBorders>
          </w:tcPr>
          <w:p w14:paraId="6AD2587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298C1F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203 789</w:t>
            </w:r>
          </w:p>
        </w:tc>
      </w:tr>
    </w:tbl>
    <w:p w14:paraId="004B757D" w14:textId="77777777" w:rsidR="00696E9B" w:rsidRDefault="00696E9B"/>
    <w:p w14:paraId="0B423448" w14:textId="77777777" w:rsidR="004610D1" w:rsidRPr="004610D1" w:rsidRDefault="004610D1" w:rsidP="004610D1">
      <w:pPr>
        <w:pStyle w:val="Heading5"/>
        <w:rPr>
          <w:sz w:val="23"/>
          <w:szCs w:val="23"/>
        </w:rPr>
      </w:pPr>
      <w:r w:rsidRPr="004610D1">
        <w:rPr>
          <w:sz w:val="23"/>
          <w:szCs w:val="23"/>
        </w:rPr>
        <w:lastRenderedPageBreak/>
        <w:t>7.2.13</w:t>
      </w:r>
      <w:r w:rsidRPr="004610D1">
        <w:rPr>
          <w:sz w:val="23"/>
          <w:szCs w:val="23"/>
        </w:rPr>
        <w:tab/>
        <w:t xml:space="preserve">Payments from advance to the Treasurer for the financial year ended 30 June </w:t>
      </w:r>
      <w:r w:rsidRPr="004610D1">
        <w:rPr>
          <w:i/>
          <w:sz w:val="22"/>
          <w:szCs w:val="22"/>
        </w:rPr>
        <w:t>(continued)</w:t>
      </w:r>
    </w:p>
    <w:p w14:paraId="1CFC9058" w14:textId="7D106993" w:rsidR="00696E9B" w:rsidRPr="00823C0E" w:rsidRDefault="00696E9B" w:rsidP="00696E9B">
      <w:pPr>
        <w:pStyle w:val="TableHeading"/>
      </w:pPr>
      <w:r w:rsidRPr="00823C0E">
        <w:rPr>
          <w:rStyle w:val="TableHeadingChar"/>
          <w:b/>
          <w:iCs/>
        </w:rPr>
        <w:t>Treasurer’s advance payments relating to decisions made post budget</w:t>
      </w:r>
      <w:r w:rsidRPr="00696E9B">
        <w:rPr>
          <w:rStyle w:val="TableHeadingChar"/>
          <w:b/>
          <w:i/>
        </w:rPr>
        <w:t xml:space="preserve"> (continued)</w:t>
      </w:r>
      <w:r w:rsidRPr="00823C0E">
        <w:tab/>
      </w:r>
      <w:r w:rsidRPr="00823C0E">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Decisionspostbudget"/>
      </w:tblPr>
      <w:tblGrid>
        <w:gridCol w:w="1843"/>
        <w:gridCol w:w="6888"/>
        <w:gridCol w:w="907"/>
      </w:tblGrid>
      <w:tr w:rsidR="00696E9B" w14:paraId="7E3F099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203A382B" w14:textId="77777777" w:rsidR="00696E9B" w:rsidRDefault="00696E9B">
            <w:pPr>
              <w:keepNext/>
              <w:spacing w:after="0"/>
            </w:pPr>
            <w:r>
              <w:t>Department</w:t>
            </w:r>
          </w:p>
        </w:tc>
        <w:tc>
          <w:tcPr>
            <w:tcW w:w="6888" w:type="dxa"/>
            <w:tcBorders>
              <w:bottom w:val="single" w:sz="6" w:space="0" w:color="auto"/>
            </w:tcBorders>
          </w:tcPr>
          <w:p w14:paraId="748985EF" w14:textId="77777777" w:rsidR="00696E9B" w:rsidRDefault="00696E9B">
            <w:pPr>
              <w:keepNext/>
              <w:spacing w:after="0"/>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5AE42A7E" w14:textId="77777777" w:rsidR="00696E9B" w:rsidRDefault="00696E9B">
            <w:pPr>
              <w:keepNext/>
              <w:spacing w:after="0"/>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34455AD2"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583A427F" w14:textId="77777777" w:rsidR="009D33A8" w:rsidRDefault="009D33A8" w:rsidP="00823C0E">
            <w:pPr>
              <w:spacing w:after="0"/>
            </w:pPr>
            <w:r>
              <w:t>Premier and Cabinet</w:t>
            </w:r>
          </w:p>
        </w:tc>
        <w:tc>
          <w:tcPr>
            <w:tcW w:w="6888" w:type="dxa"/>
            <w:tcBorders>
              <w:top w:val="single" w:sz="6" w:space="0" w:color="auto"/>
            </w:tcBorders>
          </w:tcPr>
          <w:p w14:paraId="4E15DB87"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Costs associated with administration changes</w:t>
            </w:r>
          </w:p>
        </w:tc>
        <w:tc>
          <w:tcPr>
            <w:tcW w:w="907" w:type="dxa"/>
            <w:tcBorders>
              <w:top w:val="single" w:sz="6" w:space="0" w:color="auto"/>
            </w:tcBorders>
          </w:tcPr>
          <w:p w14:paraId="3793984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4 069</w:t>
            </w:r>
          </w:p>
        </w:tc>
      </w:tr>
      <w:tr w:rsidR="009D33A8" w14:paraId="2D1622BC" w14:textId="77777777">
        <w:tc>
          <w:tcPr>
            <w:cnfStyle w:val="001000000000" w:firstRow="0" w:lastRow="0" w:firstColumn="1" w:lastColumn="0" w:oddVBand="0" w:evenVBand="0" w:oddHBand="0" w:evenHBand="0" w:firstRowFirstColumn="0" w:firstRowLastColumn="0" w:lastRowFirstColumn="0" w:lastRowLastColumn="0"/>
            <w:tcW w:w="1843" w:type="dxa"/>
          </w:tcPr>
          <w:p w14:paraId="63B9F644" w14:textId="77777777" w:rsidR="009D33A8" w:rsidRDefault="009D33A8" w:rsidP="00823C0E">
            <w:pPr>
              <w:spacing w:after="0"/>
            </w:pPr>
          </w:p>
        </w:tc>
        <w:tc>
          <w:tcPr>
            <w:tcW w:w="6888" w:type="dxa"/>
          </w:tcPr>
          <w:p w14:paraId="70296F9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Wage indexation funding</w:t>
            </w:r>
          </w:p>
        </w:tc>
        <w:tc>
          <w:tcPr>
            <w:tcW w:w="907" w:type="dxa"/>
          </w:tcPr>
          <w:p w14:paraId="00AAA204"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4 031</w:t>
            </w:r>
          </w:p>
        </w:tc>
      </w:tr>
      <w:tr w:rsidR="009D33A8" w14:paraId="29DEAA7E" w14:textId="77777777">
        <w:tc>
          <w:tcPr>
            <w:cnfStyle w:val="001000000000" w:firstRow="0" w:lastRow="0" w:firstColumn="1" w:lastColumn="0" w:oddVBand="0" w:evenVBand="0" w:oddHBand="0" w:evenHBand="0" w:firstRowFirstColumn="0" w:firstRowLastColumn="0" w:lastRowFirstColumn="0" w:lastRowLastColumn="0"/>
            <w:tcW w:w="1843" w:type="dxa"/>
          </w:tcPr>
          <w:p w14:paraId="453F5160" w14:textId="77777777" w:rsidR="009D33A8" w:rsidRDefault="009D33A8" w:rsidP="00823C0E">
            <w:pPr>
              <w:spacing w:after="0"/>
            </w:pPr>
          </w:p>
        </w:tc>
        <w:tc>
          <w:tcPr>
            <w:tcW w:w="6888" w:type="dxa"/>
          </w:tcPr>
          <w:p w14:paraId="2921B55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Traditional Owner Participation in Recognition and Settlement Agreements with the State</w:t>
            </w:r>
          </w:p>
        </w:tc>
        <w:tc>
          <w:tcPr>
            <w:tcW w:w="907" w:type="dxa"/>
          </w:tcPr>
          <w:p w14:paraId="0D379F1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2 122</w:t>
            </w:r>
          </w:p>
        </w:tc>
      </w:tr>
      <w:tr w:rsidR="009D33A8" w14:paraId="71622496" w14:textId="77777777">
        <w:tc>
          <w:tcPr>
            <w:cnfStyle w:val="001000000000" w:firstRow="0" w:lastRow="0" w:firstColumn="1" w:lastColumn="0" w:oddVBand="0" w:evenVBand="0" w:oddHBand="0" w:evenHBand="0" w:firstRowFirstColumn="0" w:firstRowLastColumn="0" w:lastRowFirstColumn="0" w:lastRowLastColumn="0"/>
            <w:tcW w:w="1843" w:type="dxa"/>
          </w:tcPr>
          <w:p w14:paraId="5E3F70A6" w14:textId="77777777" w:rsidR="009D33A8" w:rsidRDefault="009D33A8" w:rsidP="00823C0E">
            <w:pPr>
              <w:spacing w:after="0"/>
            </w:pPr>
          </w:p>
        </w:tc>
        <w:tc>
          <w:tcPr>
            <w:tcW w:w="6888" w:type="dxa"/>
          </w:tcPr>
          <w:p w14:paraId="42D1781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Munarra Centre for Regional Excellence Project</w:t>
            </w:r>
          </w:p>
        </w:tc>
        <w:tc>
          <w:tcPr>
            <w:tcW w:w="907" w:type="dxa"/>
          </w:tcPr>
          <w:p w14:paraId="78F8870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1 836</w:t>
            </w:r>
          </w:p>
        </w:tc>
      </w:tr>
      <w:tr w:rsidR="009D33A8" w14:paraId="5863CCAE" w14:textId="77777777">
        <w:tc>
          <w:tcPr>
            <w:cnfStyle w:val="001000000000" w:firstRow="0" w:lastRow="0" w:firstColumn="1" w:lastColumn="0" w:oddVBand="0" w:evenVBand="0" w:oddHBand="0" w:evenHBand="0" w:firstRowFirstColumn="0" w:firstRowLastColumn="0" w:lastRowFirstColumn="0" w:lastRowLastColumn="0"/>
            <w:tcW w:w="1843" w:type="dxa"/>
          </w:tcPr>
          <w:p w14:paraId="5D227C1C" w14:textId="77777777" w:rsidR="009D33A8" w:rsidRDefault="009D33A8" w:rsidP="00823C0E">
            <w:pPr>
              <w:spacing w:after="0"/>
            </w:pPr>
          </w:p>
        </w:tc>
        <w:tc>
          <w:tcPr>
            <w:tcW w:w="6888" w:type="dxa"/>
          </w:tcPr>
          <w:p w14:paraId="0F00347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Office of the Governor Program sustainability and heritage conservation</w:t>
            </w:r>
          </w:p>
        </w:tc>
        <w:tc>
          <w:tcPr>
            <w:tcW w:w="907" w:type="dxa"/>
          </w:tcPr>
          <w:p w14:paraId="15EA4B9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1 406</w:t>
            </w:r>
          </w:p>
        </w:tc>
      </w:tr>
      <w:tr w:rsidR="009D33A8" w14:paraId="46B40B3B" w14:textId="77777777">
        <w:tc>
          <w:tcPr>
            <w:cnfStyle w:val="001000000000" w:firstRow="0" w:lastRow="0" w:firstColumn="1" w:lastColumn="0" w:oddVBand="0" w:evenVBand="0" w:oddHBand="0" w:evenHBand="0" w:firstRowFirstColumn="0" w:firstRowLastColumn="0" w:lastRowFirstColumn="0" w:lastRowLastColumn="0"/>
            <w:tcW w:w="1843" w:type="dxa"/>
          </w:tcPr>
          <w:p w14:paraId="07B018B7" w14:textId="77777777" w:rsidR="009D33A8" w:rsidRDefault="009D33A8" w:rsidP="00823C0E">
            <w:pPr>
              <w:spacing w:after="0"/>
            </w:pPr>
          </w:p>
        </w:tc>
        <w:tc>
          <w:tcPr>
            <w:tcW w:w="6888" w:type="dxa"/>
          </w:tcPr>
          <w:p w14:paraId="09B0CE5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Victorian Interpreting and Translating Service Language Loop</w:t>
            </w:r>
          </w:p>
        </w:tc>
        <w:tc>
          <w:tcPr>
            <w:tcW w:w="907" w:type="dxa"/>
          </w:tcPr>
          <w:p w14:paraId="5EE9B43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1 000</w:t>
            </w:r>
          </w:p>
        </w:tc>
      </w:tr>
      <w:tr w:rsidR="009D33A8" w14:paraId="31781B67" w14:textId="77777777">
        <w:tc>
          <w:tcPr>
            <w:cnfStyle w:val="001000000000" w:firstRow="0" w:lastRow="0" w:firstColumn="1" w:lastColumn="0" w:oddVBand="0" w:evenVBand="0" w:oddHBand="0" w:evenHBand="0" w:firstRowFirstColumn="0" w:firstRowLastColumn="0" w:lastRowFirstColumn="0" w:lastRowLastColumn="0"/>
            <w:tcW w:w="1843" w:type="dxa"/>
          </w:tcPr>
          <w:p w14:paraId="041FC16F" w14:textId="77777777" w:rsidR="009D33A8" w:rsidRDefault="009D33A8" w:rsidP="00823C0E">
            <w:pPr>
              <w:spacing w:after="0"/>
            </w:pPr>
          </w:p>
        </w:tc>
        <w:tc>
          <w:tcPr>
            <w:tcW w:w="6888" w:type="dxa"/>
          </w:tcPr>
          <w:p w14:paraId="514C817C"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Native title legal costs</w:t>
            </w:r>
          </w:p>
        </w:tc>
        <w:tc>
          <w:tcPr>
            <w:tcW w:w="907" w:type="dxa"/>
          </w:tcPr>
          <w:p w14:paraId="7F105AC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800</w:t>
            </w:r>
          </w:p>
        </w:tc>
      </w:tr>
      <w:tr w:rsidR="009D33A8" w14:paraId="79413CBD" w14:textId="77777777">
        <w:tc>
          <w:tcPr>
            <w:cnfStyle w:val="001000000000" w:firstRow="0" w:lastRow="0" w:firstColumn="1" w:lastColumn="0" w:oddVBand="0" w:evenVBand="0" w:oddHBand="0" w:evenHBand="0" w:firstRowFirstColumn="0" w:firstRowLastColumn="0" w:lastRowFirstColumn="0" w:lastRowLastColumn="0"/>
            <w:tcW w:w="1843" w:type="dxa"/>
          </w:tcPr>
          <w:p w14:paraId="67C0096B" w14:textId="77777777" w:rsidR="009D33A8" w:rsidRDefault="009D33A8" w:rsidP="00823C0E">
            <w:pPr>
              <w:spacing w:after="0"/>
            </w:pPr>
          </w:p>
        </w:tc>
        <w:tc>
          <w:tcPr>
            <w:tcW w:w="6888" w:type="dxa"/>
          </w:tcPr>
          <w:p w14:paraId="4D36474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Parliamentary Advisors Leader and Deputy Leader of the Opposition Office</w:t>
            </w:r>
          </w:p>
        </w:tc>
        <w:tc>
          <w:tcPr>
            <w:tcW w:w="907" w:type="dxa"/>
          </w:tcPr>
          <w:p w14:paraId="36586C5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719</w:t>
            </w:r>
          </w:p>
        </w:tc>
      </w:tr>
      <w:tr w:rsidR="009D33A8" w14:paraId="375533F0" w14:textId="77777777">
        <w:tc>
          <w:tcPr>
            <w:cnfStyle w:val="001000000000" w:firstRow="0" w:lastRow="0" w:firstColumn="1" w:lastColumn="0" w:oddVBand="0" w:evenVBand="0" w:oddHBand="0" w:evenHBand="0" w:firstRowFirstColumn="0" w:firstRowLastColumn="0" w:lastRowFirstColumn="0" w:lastRowLastColumn="0"/>
            <w:tcW w:w="1843" w:type="dxa"/>
          </w:tcPr>
          <w:p w14:paraId="56C41785" w14:textId="77777777" w:rsidR="009D33A8" w:rsidRDefault="009D33A8" w:rsidP="00823C0E">
            <w:pPr>
              <w:spacing w:after="0"/>
            </w:pPr>
          </w:p>
        </w:tc>
        <w:tc>
          <w:tcPr>
            <w:tcW w:w="6888" w:type="dxa"/>
          </w:tcPr>
          <w:p w14:paraId="3BC722B5"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National Agreement on Closing the Gap</w:t>
            </w:r>
          </w:p>
        </w:tc>
        <w:tc>
          <w:tcPr>
            <w:tcW w:w="907" w:type="dxa"/>
          </w:tcPr>
          <w:p w14:paraId="618B47F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686</w:t>
            </w:r>
          </w:p>
        </w:tc>
      </w:tr>
      <w:tr w:rsidR="009D33A8" w14:paraId="1021763A" w14:textId="77777777">
        <w:tc>
          <w:tcPr>
            <w:cnfStyle w:val="001000000000" w:firstRow="0" w:lastRow="0" w:firstColumn="1" w:lastColumn="0" w:oddVBand="0" w:evenVBand="0" w:oddHBand="0" w:evenHBand="0" w:firstRowFirstColumn="0" w:firstRowLastColumn="0" w:lastRowFirstColumn="0" w:lastRowLastColumn="0"/>
            <w:tcW w:w="1843" w:type="dxa"/>
          </w:tcPr>
          <w:p w14:paraId="5AB64A2A" w14:textId="77777777" w:rsidR="009D33A8" w:rsidRDefault="009D33A8" w:rsidP="00823C0E">
            <w:pPr>
              <w:spacing w:after="0"/>
            </w:pPr>
          </w:p>
        </w:tc>
        <w:tc>
          <w:tcPr>
            <w:tcW w:w="6888" w:type="dxa"/>
          </w:tcPr>
          <w:p w14:paraId="1E480E2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My Room Cancer Charity clinical research</w:t>
            </w:r>
          </w:p>
        </w:tc>
        <w:tc>
          <w:tcPr>
            <w:tcW w:w="907" w:type="dxa"/>
          </w:tcPr>
          <w:p w14:paraId="4D534F9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500</w:t>
            </w:r>
          </w:p>
        </w:tc>
      </w:tr>
      <w:tr w:rsidR="009D33A8" w14:paraId="743E7813" w14:textId="77777777">
        <w:tc>
          <w:tcPr>
            <w:cnfStyle w:val="001000000000" w:firstRow="0" w:lastRow="0" w:firstColumn="1" w:lastColumn="0" w:oddVBand="0" w:evenVBand="0" w:oddHBand="0" w:evenHBand="0" w:firstRowFirstColumn="0" w:firstRowLastColumn="0" w:lastRowFirstColumn="0" w:lastRowLastColumn="0"/>
            <w:tcW w:w="1843" w:type="dxa"/>
          </w:tcPr>
          <w:p w14:paraId="6EC15A25" w14:textId="77777777" w:rsidR="009D33A8" w:rsidRDefault="009D33A8" w:rsidP="00823C0E">
            <w:pPr>
              <w:spacing w:after="0"/>
            </w:pPr>
          </w:p>
        </w:tc>
        <w:tc>
          <w:tcPr>
            <w:tcW w:w="6888" w:type="dxa"/>
          </w:tcPr>
          <w:p w14:paraId="0AAC3DCC" w14:textId="0028D373"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Meeting the State</w:t>
            </w:r>
            <w:r w:rsidR="00845934">
              <w:t>’</w:t>
            </w:r>
            <w:r>
              <w:t>s Legal requirements to enter Treaty negotiations</w:t>
            </w:r>
          </w:p>
        </w:tc>
        <w:tc>
          <w:tcPr>
            <w:tcW w:w="907" w:type="dxa"/>
          </w:tcPr>
          <w:p w14:paraId="0CCB746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363</w:t>
            </w:r>
          </w:p>
        </w:tc>
      </w:tr>
      <w:tr w:rsidR="009D33A8" w14:paraId="584A4A77" w14:textId="77777777">
        <w:tc>
          <w:tcPr>
            <w:cnfStyle w:val="001000000000" w:firstRow="0" w:lastRow="0" w:firstColumn="1" w:lastColumn="0" w:oddVBand="0" w:evenVBand="0" w:oddHBand="0" w:evenHBand="0" w:firstRowFirstColumn="0" w:firstRowLastColumn="0" w:lastRowFirstColumn="0" w:lastRowLastColumn="0"/>
            <w:tcW w:w="1843" w:type="dxa"/>
          </w:tcPr>
          <w:p w14:paraId="1B91621F" w14:textId="77777777" w:rsidR="009D33A8" w:rsidRDefault="009D33A8" w:rsidP="00823C0E">
            <w:pPr>
              <w:spacing w:after="0"/>
            </w:pPr>
          </w:p>
        </w:tc>
        <w:tc>
          <w:tcPr>
            <w:tcW w:w="6888" w:type="dxa"/>
          </w:tcPr>
          <w:p w14:paraId="336E046C"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State Funerals &amp; Memorial Services</w:t>
            </w:r>
          </w:p>
        </w:tc>
        <w:tc>
          <w:tcPr>
            <w:tcW w:w="907" w:type="dxa"/>
          </w:tcPr>
          <w:p w14:paraId="1EAC6FD0"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343</w:t>
            </w:r>
          </w:p>
        </w:tc>
      </w:tr>
      <w:tr w:rsidR="009D33A8" w14:paraId="361B7128" w14:textId="77777777">
        <w:tc>
          <w:tcPr>
            <w:cnfStyle w:val="001000000000" w:firstRow="0" w:lastRow="0" w:firstColumn="1" w:lastColumn="0" w:oddVBand="0" w:evenVBand="0" w:oddHBand="0" w:evenHBand="0" w:firstRowFirstColumn="0" w:firstRowLastColumn="0" w:lastRowFirstColumn="0" w:lastRowLastColumn="0"/>
            <w:tcW w:w="1843" w:type="dxa"/>
          </w:tcPr>
          <w:p w14:paraId="35179125" w14:textId="77777777" w:rsidR="009D33A8" w:rsidRDefault="009D33A8" w:rsidP="00823C0E">
            <w:pPr>
              <w:spacing w:after="0"/>
            </w:pPr>
          </w:p>
        </w:tc>
        <w:tc>
          <w:tcPr>
            <w:tcW w:w="6888" w:type="dxa"/>
          </w:tcPr>
          <w:p w14:paraId="6428111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Strengthening the independence of Framlingham and Lake Tyers Aboriginal Trusts</w:t>
            </w:r>
          </w:p>
        </w:tc>
        <w:tc>
          <w:tcPr>
            <w:tcW w:w="907" w:type="dxa"/>
          </w:tcPr>
          <w:p w14:paraId="702427E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149</w:t>
            </w:r>
          </w:p>
        </w:tc>
      </w:tr>
      <w:tr w:rsidR="009D33A8" w14:paraId="33FF9F02"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55D0D3D6" w14:textId="77777777" w:rsidR="009D33A8" w:rsidRDefault="009D33A8" w:rsidP="00823C0E">
            <w:pPr>
              <w:spacing w:after="0"/>
            </w:pPr>
          </w:p>
        </w:tc>
        <w:tc>
          <w:tcPr>
            <w:tcW w:w="6888" w:type="dxa"/>
            <w:tcBorders>
              <w:bottom w:val="single" w:sz="6" w:space="0" w:color="auto"/>
            </w:tcBorders>
          </w:tcPr>
          <w:p w14:paraId="475B9D7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0B3FD0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18 025</w:t>
            </w:r>
          </w:p>
        </w:tc>
      </w:tr>
      <w:tr w:rsidR="009D33A8" w14:paraId="25073F32"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7083EDE9" w14:textId="77777777" w:rsidR="009D33A8" w:rsidRDefault="009D33A8" w:rsidP="00823C0E">
            <w:pPr>
              <w:spacing w:after="0"/>
            </w:pPr>
            <w:r>
              <w:t>Transport and Planning</w:t>
            </w:r>
          </w:p>
        </w:tc>
        <w:tc>
          <w:tcPr>
            <w:tcW w:w="6888" w:type="dxa"/>
            <w:tcBorders>
              <w:top w:val="single" w:sz="6" w:space="0" w:color="auto"/>
            </w:tcBorders>
          </w:tcPr>
          <w:p w14:paraId="104AE9DA"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Metropolitan Tram Franchise Agreement</w:t>
            </w:r>
          </w:p>
        </w:tc>
        <w:tc>
          <w:tcPr>
            <w:tcW w:w="907" w:type="dxa"/>
            <w:tcBorders>
              <w:top w:val="single" w:sz="6" w:space="0" w:color="auto"/>
            </w:tcBorders>
          </w:tcPr>
          <w:p w14:paraId="24F9FA6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44 323</w:t>
            </w:r>
          </w:p>
        </w:tc>
      </w:tr>
      <w:tr w:rsidR="009D33A8" w14:paraId="4CE342D7" w14:textId="77777777">
        <w:tc>
          <w:tcPr>
            <w:cnfStyle w:val="001000000000" w:firstRow="0" w:lastRow="0" w:firstColumn="1" w:lastColumn="0" w:oddVBand="0" w:evenVBand="0" w:oddHBand="0" w:evenHBand="0" w:firstRowFirstColumn="0" w:firstRowLastColumn="0" w:lastRowFirstColumn="0" w:lastRowLastColumn="0"/>
            <w:tcW w:w="1843" w:type="dxa"/>
          </w:tcPr>
          <w:p w14:paraId="2210207B" w14:textId="77777777" w:rsidR="009D33A8" w:rsidRDefault="009D33A8" w:rsidP="00823C0E">
            <w:pPr>
              <w:spacing w:after="0"/>
            </w:pPr>
          </w:p>
        </w:tc>
        <w:tc>
          <w:tcPr>
            <w:tcW w:w="6888" w:type="dxa"/>
          </w:tcPr>
          <w:p w14:paraId="5FBAD4D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Increasing Accessible Taxi Access for eligible Victorians on the Multi Purpose Taxi Program</w:t>
            </w:r>
          </w:p>
        </w:tc>
        <w:tc>
          <w:tcPr>
            <w:tcW w:w="907" w:type="dxa"/>
          </w:tcPr>
          <w:p w14:paraId="1D83305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11 287</w:t>
            </w:r>
          </w:p>
        </w:tc>
      </w:tr>
      <w:tr w:rsidR="009D33A8" w14:paraId="054D34B7"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458810E4" w14:textId="77777777" w:rsidR="009D33A8" w:rsidRDefault="009D33A8" w:rsidP="00823C0E">
            <w:pPr>
              <w:spacing w:after="0"/>
            </w:pPr>
          </w:p>
        </w:tc>
        <w:tc>
          <w:tcPr>
            <w:tcW w:w="6888" w:type="dxa"/>
            <w:tcBorders>
              <w:bottom w:val="single" w:sz="6" w:space="0" w:color="auto"/>
            </w:tcBorders>
          </w:tcPr>
          <w:p w14:paraId="0FFCCC0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02CE4A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55 610</w:t>
            </w:r>
          </w:p>
        </w:tc>
      </w:tr>
      <w:tr w:rsidR="009D33A8" w14:paraId="2571CB55"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7DEBF3C5" w14:textId="77777777" w:rsidR="009D33A8" w:rsidRDefault="009D33A8" w:rsidP="00823C0E">
            <w:pPr>
              <w:spacing w:after="0"/>
            </w:pPr>
            <w:r>
              <w:t>Treasury and Finance</w:t>
            </w:r>
          </w:p>
        </w:tc>
        <w:tc>
          <w:tcPr>
            <w:tcW w:w="6888" w:type="dxa"/>
            <w:tcBorders>
              <w:top w:val="single" w:sz="6" w:space="0" w:color="auto"/>
            </w:tcBorders>
          </w:tcPr>
          <w:p w14:paraId="5FF3BB9C"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Social Housing Growth Fund</w:t>
            </w:r>
          </w:p>
        </w:tc>
        <w:tc>
          <w:tcPr>
            <w:tcW w:w="907" w:type="dxa"/>
            <w:tcBorders>
              <w:top w:val="single" w:sz="6" w:space="0" w:color="auto"/>
            </w:tcBorders>
          </w:tcPr>
          <w:p w14:paraId="2471310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124 318</w:t>
            </w:r>
          </w:p>
        </w:tc>
      </w:tr>
      <w:tr w:rsidR="009D33A8" w14:paraId="7697B9EC" w14:textId="77777777">
        <w:tc>
          <w:tcPr>
            <w:cnfStyle w:val="001000000000" w:firstRow="0" w:lastRow="0" w:firstColumn="1" w:lastColumn="0" w:oddVBand="0" w:evenVBand="0" w:oddHBand="0" w:evenHBand="0" w:firstRowFirstColumn="0" w:firstRowLastColumn="0" w:lastRowFirstColumn="0" w:lastRowLastColumn="0"/>
            <w:tcW w:w="1843" w:type="dxa"/>
          </w:tcPr>
          <w:p w14:paraId="199238CC" w14:textId="77777777" w:rsidR="009D33A8" w:rsidRDefault="009D33A8" w:rsidP="00823C0E">
            <w:pPr>
              <w:spacing w:after="0"/>
            </w:pPr>
          </w:p>
        </w:tc>
        <w:tc>
          <w:tcPr>
            <w:tcW w:w="6888" w:type="dxa"/>
          </w:tcPr>
          <w:p w14:paraId="1999B77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Delivery of the Australian Grand Prix</w:t>
            </w:r>
          </w:p>
        </w:tc>
        <w:tc>
          <w:tcPr>
            <w:tcW w:w="907" w:type="dxa"/>
          </w:tcPr>
          <w:p w14:paraId="391F088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32 052</w:t>
            </w:r>
          </w:p>
        </w:tc>
      </w:tr>
      <w:tr w:rsidR="009D33A8" w14:paraId="3008AB13" w14:textId="77777777">
        <w:tc>
          <w:tcPr>
            <w:cnfStyle w:val="001000000000" w:firstRow="0" w:lastRow="0" w:firstColumn="1" w:lastColumn="0" w:oddVBand="0" w:evenVBand="0" w:oddHBand="0" w:evenHBand="0" w:firstRowFirstColumn="0" w:firstRowLastColumn="0" w:lastRowFirstColumn="0" w:lastRowLastColumn="0"/>
            <w:tcW w:w="1843" w:type="dxa"/>
          </w:tcPr>
          <w:p w14:paraId="35C4957C" w14:textId="77777777" w:rsidR="009D33A8" w:rsidRDefault="009D33A8" w:rsidP="00823C0E">
            <w:pPr>
              <w:spacing w:after="0"/>
            </w:pPr>
          </w:p>
        </w:tc>
        <w:tc>
          <w:tcPr>
            <w:tcW w:w="6888" w:type="dxa"/>
          </w:tcPr>
          <w:p w14:paraId="51A78E8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Commercial reform and advisory services</w:t>
            </w:r>
          </w:p>
        </w:tc>
        <w:tc>
          <w:tcPr>
            <w:tcW w:w="907" w:type="dxa"/>
          </w:tcPr>
          <w:p w14:paraId="24140B7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4 646</w:t>
            </w:r>
          </w:p>
        </w:tc>
      </w:tr>
      <w:tr w:rsidR="009D33A8" w14:paraId="479202A2" w14:textId="77777777">
        <w:tc>
          <w:tcPr>
            <w:cnfStyle w:val="001000000000" w:firstRow="0" w:lastRow="0" w:firstColumn="1" w:lastColumn="0" w:oddVBand="0" w:evenVBand="0" w:oddHBand="0" w:evenHBand="0" w:firstRowFirstColumn="0" w:firstRowLastColumn="0" w:lastRowFirstColumn="0" w:lastRowLastColumn="0"/>
            <w:tcW w:w="1843" w:type="dxa"/>
          </w:tcPr>
          <w:p w14:paraId="5797BF62" w14:textId="77777777" w:rsidR="009D33A8" w:rsidRDefault="009D33A8" w:rsidP="00823C0E">
            <w:pPr>
              <w:spacing w:after="0"/>
            </w:pPr>
          </w:p>
        </w:tc>
        <w:tc>
          <w:tcPr>
            <w:tcW w:w="6888" w:type="dxa"/>
          </w:tcPr>
          <w:p w14:paraId="7395F761"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Payment of estate funds to State Trustees</w:t>
            </w:r>
          </w:p>
        </w:tc>
        <w:tc>
          <w:tcPr>
            <w:tcW w:w="907" w:type="dxa"/>
          </w:tcPr>
          <w:p w14:paraId="5B4029D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3 699</w:t>
            </w:r>
          </w:p>
        </w:tc>
      </w:tr>
      <w:tr w:rsidR="009D33A8" w14:paraId="5A1D85D5" w14:textId="77777777">
        <w:tc>
          <w:tcPr>
            <w:cnfStyle w:val="001000000000" w:firstRow="0" w:lastRow="0" w:firstColumn="1" w:lastColumn="0" w:oddVBand="0" w:evenVBand="0" w:oddHBand="0" w:evenHBand="0" w:firstRowFirstColumn="0" w:firstRowLastColumn="0" w:lastRowFirstColumn="0" w:lastRowLastColumn="0"/>
            <w:tcW w:w="1843" w:type="dxa"/>
          </w:tcPr>
          <w:p w14:paraId="477BDF69" w14:textId="77777777" w:rsidR="009D33A8" w:rsidRDefault="009D33A8" w:rsidP="00823C0E">
            <w:pPr>
              <w:spacing w:after="0"/>
            </w:pPr>
          </w:p>
        </w:tc>
        <w:tc>
          <w:tcPr>
            <w:tcW w:w="6888" w:type="dxa"/>
          </w:tcPr>
          <w:p w14:paraId="7636A1D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Cutting Red Tape – Implementation of regulatory reform and reducing regulatory burden</w:t>
            </w:r>
          </w:p>
        </w:tc>
        <w:tc>
          <w:tcPr>
            <w:tcW w:w="907" w:type="dxa"/>
          </w:tcPr>
          <w:p w14:paraId="28EAFDF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3 003</w:t>
            </w:r>
          </w:p>
        </w:tc>
      </w:tr>
      <w:tr w:rsidR="009D33A8" w14:paraId="19F14B15" w14:textId="77777777">
        <w:tc>
          <w:tcPr>
            <w:cnfStyle w:val="001000000000" w:firstRow="0" w:lastRow="0" w:firstColumn="1" w:lastColumn="0" w:oddVBand="0" w:evenVBand="0" w:oddHBand="0" w:evenHBand="0" w:firstRowFirstColumn="0" w:firstRowLastColumn="0" w:lastRowFirstColumn="0" w:lastRowLastColumn="0"/>
            <w:tcW w:w="1843" w:type="dxa"/>
          </w:tcPr>
          <w:p w14:paraId="39A41073" w14:textId="77777777" w:rsidR="009D33A8" w:rsidRDefault="009D33A8" w:rsidP="00823C0E">
            <w:pPr>
              <w:spacing w:after="0"/>
            </w:pPr>
          </w:p>
        </w:tc>
        <w:tc>
          <w:tcPr>
            <w:tcW w:w="6888" w:type="dxa"/>
          </w:tcPr>
          <w:p w14:paraId="6617DDF9"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Independent Review of the Victorian Public Service</w:t>
            </w:r>
          </w:p>
        </w:tc>
        <w:tc>
          <w:tcPr>
            <w:tcW w:w="907" w:type="dxa"/>
          </w:tcPr>
          <w:p w14:paraId="3CAB7D4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2 466</w:t>
            </w:r>
          </w:p>
        </w:tc>
      </w:tr>
      <w:tr w:rsidR="009D33A8" w14:paraId="378A44EC" w14:textId="77777777">
        <w:tc>
          <w:tcPr>
            <w:cnfStyle w:val="001000000000" w:firstRow="0" w:lastRow="0" w:firstColumn="1" w:lastColumn="0" w:oddVBand="0" w:evenVBand="0" w:oddHBand="0" w:evenHBand="0" w:firstRowFirstColumn="0" w:firstRowLastColumn="0" w:lastRowFirstColumn="0" w:lastRowLastColumn="0"/>
            <w:tcW w:w="1843" w:type="dxa"/>
          </w:tcPr>
          <w:p w14:paraId="58DA3301" w14:textId="77777777" w:rsidR="009D33A8" w:rsidRDefault="009D33A8" w:rsidP="00823C0E">
            <w:pPr>
              <w:spacing w:after="0"/>
            </w:pPr>
          </w:p>
        </w:tc>
        <w:tc>
          <w:tcPr>
            <w:tcW w:w="6888" w:type="dxa"/>
          </w:tcPr>
          <w:p w14:paraId="45E3870D"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State Revenue Office – Data sharing costs</w:t>
            </w:r>
          </w:p>
        </w:tc>
        <w:tc>
          <w:tcPr>
            <w:tcW w:w="907" w:type="dxa"/>
          </w:tcPr>
          <w:p w14:paraId="44C0E7D2"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1 700</w:t>
            </w:r>
          </w:p>
        </w:tc>
      </w:tr>
      <w:tr w:rsidR="009D33A8" w14:paraId="14BFFC05" w14:textId="77777777">
        <w:tc>
          <w:tcPr>
            <w:cnfStyle w:val="001000000000" w:firstRow="0" w:lastRow="0" w:firstColumn="1" w:lastColumn="0" w:oddVBand="0" w:evenVBand="0" w:oddHBand="0" w:evenHBand="0" w:firstRowFirstColumn="0" w:firstRowLastColumn="0" w:lastRowFirstColumn="0" w:lastRowLastColumn="0"/>
            <w:tcW w:w="1843" w:type="dxa"/>
          </w:tcPr>
          <w:p w14:paraId="4E82DF36" w14:textId="77777777" w:rsidR="009D33A8" w:rsidRDefault="009D33A8" w:rsidP="00823C0E">
            <w:pPr>
              <w:spacing w:after="0"/>
            </w:pPr>
          </w:p>
        </w:tc>
        <w:tc>
          <w:tcPr>
            <w:tcW w:w="6888" w:type="dxa"/>
          </w:tcPr>
          <w:p w14:paraId="0DB9ED6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Regional Housing Fund</w:t>
            </w:r>
          </w:p>
        </w:tc>
        <w:tc>
          <w:tcPr>
            <w:tcW w:w="907" w:type="dxa"/>
          </w:tcPr>
          <w:p w14:paraId="30D5CA55"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1 600</w:t>
            </w:r>
          </w:p>
        </w:tc>
      </w:tr>
      <w:tr w:rsidR="009D33A8" w14:paraId="24C56928" w14:textId="77777777">
        <w:tc>
          <w:tcPr>
            <w:cnfStyle w:val="001000000000" w:firstRow="0" w:lastRow="0" w:firstColumn="1" w:lastColumn="0" w:oddVBand="0" w:evenVBand="0" w:oddHBand="0" w:evenHBand="0" w:firstRowFirstColumn="0" w:firstRowLastColumn="0" w:lastRowFirstColumn="0" w:lastRowLastColumn="0"/>
            <w:tcW w:w="1843" w:type="dxa"/>
          </w:tcPr>
          <w:p w14:paraId="2433F6D4" w14:textId="77777777" w:rsidR="009D33A8" w:rsidRDefault="009D33A8" w:rsidP="00823C0E">
            <w:pPr>
              <w:spacing w:after="0"/>
            </w:pPr>
          </w:p>
        </w:tc>
        <w:tc>
          <w:tcPr>
            <w:tcW w:w="6888" w:type="dxa"/>
          </w:tcPr>
          <w:p w14:paraId="7890E087"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Legal Costs</w:t>
            </w:r>
          </w:p>
        </w:tc>
        <w:tc>
          <w:tcPr>
            <w:tcW w:w="907" w:type="dxa"/>
          </w:tcPr>
          <w:p w14:paraId="6902A01D"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932</w:t>
            </w:r>
          </w:p>
        </w:tc>
      </w:tr>
      <w:tr w:rsidR="009D33A8" w14:paraId="6490EF3F" w14:textId="77777777">
        <w:tc>
          <w:tcPr>
            <w:cnfStyle w:val="001000000000" w:firstRow="0" w:lastRow="0" w:firstColumn="1" w:lastColumn="0" w:oddVBand="0" w:evenVBand="0" w:oddHBand="0" w:evenHBand="0" w:firstRowFirstColumn="0" w:firstRowLastColumn="0" w:lastRowFirstColumn="0" w:lastRowLastColumn="0"/>
            <w:tcW w:w="1843" w:type="dxa"/>
          </w:tcPr>
          <w:p w14:paraId="445FD73B" w14:textId="77777777" w:rsidR="009D33A8" w:rsidRDefault="009D33A8" w:rsidP="00823C0E">
            <w:pPr>
              <w:spacing w:after="0"/>
            </w:pPr>
          </w:p>
        </w:tc>
        <w:tc>
          <w:tcPr>
            <w:tcW w:w="6888" w:type="dxa"/>
          </w:tcPr>
          <w:p w14:paraId="2BD0D90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Community Security Group Funding</w:t>
            </w:r>
          </w:p>
        </w:tc>
        <w:tc>
          <w:tcPr>
            <w:tcW w:w="907" w:type="dxa"/>
          </w:tcPr>
          <w:p w14:paraId="0622151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500</w:t>
            </w:r>
          </w:p>
        </w:tc>
      </w:tr>
      <w:tr w:rsidR="009D33A8" w14:paraId="3D557557" w14:textId="77777777">
        <w:tc>
          <w:tcPr>
            <w:cnfStyle w:val="001000000000" w:firstRow="0" w:lastRow="0" w:firstColumn="1" w:lastColumn="0" w:oddVBand="0" w:evenVBand="0" w:oddHBand="0" w:evenHBand="0" w:firstRowFirstColumn="0" w:firstRowLastColumn="0" w:lastRowFirstColumn="0" w:lastRowLastColumn="0"/>
            <w:tcW w:w="1843" w:type="dxa"/>
          </w:tcPr>
          <w:p w14:paraId="27372B71" w14:textId="77777777" w:rsidR="009D33A8" w:rsidRDefault="009D33A8" w:rsidP="00823C0E">
            <w:pPr>
              <w:spacing w:after="0"/>
            </w:pPr>
          </w:p>
        </w:tc>
        <w:tc>
          <w:tcPr>
            <w:tcW w:w="6888" w:type="dxa"/>
          </w:tcPr>
          <w:p w14:paraId="0A8A429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WorkSafe funding for Psychological Health Regulations public sector initiative</w:t>
            </w:r>
          </w:p>
        </w:tc>
        <w:tc>
          <w:tcPr>
            <w:tcW w:w="907" w:type="dxa"/>
          </w:tcPr>
          <w:p w14:paraId="7528E7E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345</w:t>
            </w:r>
          </w:p>
        </w:tc>
      </w:tr>
      <w:tr w:rsidR="009D33A8" w14:paraId="6622F0CB" w14:textId="77777777">
        <w:tc>
          <w:tcPr>
            <w:cnfStyle w:val="001000000000" w:firstRow="0" w:lastRow="0" w:firstColumn="1" w:lastColumn="0" w:oddVBand="0" w:evenVBand="0" w:oddHBand="0" w:evenHBand="0" w:firstRowFirstColumn="0" w:firstRowLastColumn="0" w:lastRowFirstColumn="0" w:lastRowLastColumn="0"/>
            <w:tcW w:w="1843" w:type="dxa"/>
          </w:tcPr>
          <w:p w14:paraId="12835E27" w14:textId="77777777" w:rsidR="009D33A8" w:rsidRDefault="009D33A8" w:rsidP="00823C0E">
            <w:pPr>
              <w:spacing w:after="0"/>
            </w:pPr>
          </w:p>
        </w:tc>
        <w:tc>
          <w:tcPr>
            <w:tcW w:w="6888" w:type="dxa"/>
          </w:tcPr>
          <w:p w14:paraId="54BFC5F3"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High Value High Risk projects gateway reviews</w:t>
            </w:r>
          </w:p>
        </w:tc>
        <w:tc>
          <w:tcPr>
            <w:tcW w:w="907" w:type="dxa"/>
          </w:tcPr>
          <w:p w14:paraId="5C19D59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250</w:t>
            </w:r>
          </w:p>
        </w:tc>
      </w:tr>
      <w:tr w:rsidR="009D33A8" w14:paraId="4491DB4B" w14:textId="77777777">
        <w:tc>
          <w:tcPr>
            <w:cnfStyle w:val="001000000000" w:firstRow="0" w:lastRow="0" w:firstColumn="1" w:lastColumn="0" w:oddVBand="0" w:evenVBand="0" w:oddHBand="0" w:evenHBand="0" w:firstRowFirstColumn="0" w:firstRowLastColumn="0" w:lastRowFirstColumn="0" w:lastRowLastColumn="0"/>
            <w:tcW w:w="1843" w:type="dxa"/>
          </w:tcPr>
          <w:p w14:paraId="657C82C5" w14:textId="77777777" w:rsidR="009D33A8" w:rsidRDefault="009D33A8" w:rsidP="00823C0E">
            <w:pPr>
              <w:spacing w:after="0"/>
            </w:pPr>
          </w:p>
        </w:tc>
        <w:tc>
          <w:tcPr>
            <w:tcW w:w="6888" w:type="dxa"/>
          </w:tcPr>
          <w:p w14:paraId="74B1B66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Commercial and Industrial Property Tax Reform</w:t>
            </w:r>
          </w:p>
        </w:tc>
        <w:tc>
          <w:tcPr>
            <w:tcW w:w="907" w:type="dxa"/>
          </w:tcPr>
          <w:p w14:paraId="60AF6A6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182</w:t>
            </w:r>
          </w:p>
        </w:tc>
      </w:tr>
      <w:tr w:rsidR="009D33A8" w14:paraId="07D6D6B3" w14:textId="77777777">
        <w:tc>
          <w:tcPr>
            <w:cnfStyle w:val="001000000000" w:firstRow="0" w:lastRow="0" w:firstColumn="1" w:lastColumn="0" w:oddVBand="0" w:evenVBand="0" w:oddHBand="0" w:evenHBand="0" w:firstRowFirstColumn="0" w:firstRowLastColumn="0" w:lastRowFirstColumn="0" w:lastRowLastColumn="0"/>
            <w:tcW w:w="1843" w:type="dxa"/>
          </w:tcPr>
          <w:p w14:paraId="2A9698F9" w14:textId="77777777" w:rsidR="009D33A8" w:rsidRDefault="009D33A8" w:rsidP="00823C0E">
            <w:pPr>
              <w:spacing w:after="0"/>
            </w:pPr>
          </w:p>
        </w:tc>
        <w:tc>
          <w:tcPr>
            <w:tcW w:w="6888" w:type="dxa"/>
          </w:tcPr>
          <w:p w14:paraId="6E77624B" w14:textId="14345098"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Independent Review into Victoria</w:t>
            </w:r>
            <w:r w:rsidR="00845934">
              <w:t>’</w:t>
            </w:r>
            <w:r>
              <w:t>s Construction Sector</w:t>
            </w:r>
          </w:p>
        </w:tc>
        <w:tc>
          <w:tcPr>
            <w:tcW w:w="907" w:type="dxa"/>
          </w:tcPr>
          <w:p w14:paraId="7502CF4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45</w:t>
            </w:r>
          </w:p>
        </w:tc>
      </w:tr>
      <w:tr w:rsidR="009D33A8" w14:paraId="2763609C"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57F746E6" w14:textId="77777777" w:rsidR="009D33A8" w:rsidRDefault="009D33A8" w:rsidP="00823C0E">
            <w:pPr>
              <w:spacing w:after="0"/>
            </w:pPr>
          </w:p>
        </w:tc>
        <w:tc>
          <w:tcPr>
            <w:tcW w:w="6888" w:type="dxa"/>
            <w:tcBorders>
              <w:bottom w:val="single" w:sz="6" w:space="0" w:color="auto"/>
            </w:tcBorders>
          </w:tcPr>
          <w:p w14:paraId="4467D666"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E98CFA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175 739</w:t>
            </w:r>
          </w:p>
        </w:tc>
      </w:tr>
      <w:tr w:rsidR="009D33A8" w14:paraId="2AD23887"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2A7E0ED3" w14:textId="77777777" w:rsidR="009D33A8" w:rsidRDefault="009D33A8" w:rsidP="00823C0E">
            <w:pPr>
              <w:spacing w:after="0"/>
            </w:pPr>
            <w:r>
              <w:t>Parliament</w:t>
            </w:r>
          </w:p>
        </w:tc>
        <w:tc>
          <w:tcPr>
            <w:tcW w:w="6888" w:type="dxa"/>
            <w:tcBorders>
              <w:top w:val="single" w:sz="6" w:space="0" w:color="auto"/>
            </w:tcBorders>
          </w:tcPr>
          <w:p w14:paraId="410B797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Member salary on</w:t>
            </w:r>
            <w:r>
              <w:noBreakHyphen/>
              <w:t>costs for 2024</w:t>
            </w:r>
            <w:r>
              <w:noBreakHyphen/>
              <w:t>25</w:t>
            </w:r>
          </w:p>
        </w:tc>
        <w:tc>
          <w:tcPr>
            <w:tcW w:w="907" w:type="dxa"/>
            <w:tcBorders>
              <w:top w:val="single" w:sz="6" w:space="0" w:color="auto"/>
            </w:tcBorders>
          </w:tcPr>
          <w:p w14:paraId="703E8DC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4 789</w:t>
            </w:r>
          </w:p>
        </w:tc>
      </w:tr>
      <w:tr w:rsidR="009D33A8" w14:paraId="3F696739" w14:textId="77777777">
        <w:tc>
          <w:tcPr>
            <w:cnfStyle w:val="001000000000" w:firstRow="0" w:lastRow="0" w:firstColumn="1" w:lastColumn="0" w:oddVBand="0" w:evenVBand="0" w:oddHBand="0" w:evenHBand="0" w:firstRowFirstColumn="0" w:firstRowLastColumn="0" w:lastRowFirstColumn="0" w:lastRowLastColumn="0"/>
            <w:tcW w:w="1843" w:type="dxa"/>
          </w:tcPr>
          <w:p w14:paraId="5DCF6B15" w14:textId="77777777" w:rsidR="009D33A8" w:rsidRDefault="009D33A8" w:rsidP="00823C0E">
            <w:pPr>
              <w:spacing w:after="0"/>
            </w:pPr>
          </w:p>
        </w:tc>
        <w:tc>
          <w:tcPr>
            <w:tcW w:w="6888" w:type="dxa"/>
          </w:tcPr>
          <w:p w14:paraId="794BEEE0"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Operational supplementation for the Independent Broad</w:t>
            </w:r>
            <w:r>
              <w:noBreakHyphen/>
              <w:t>based Anti</w:t>
            </w:r>
            <w:r>
              <w:noBreakHyphen/>
              <w:t>corruption Commission</w:t>
            </w:r>
          </w:p>
        </w:tc>
        <w:tc>
          <w:tcPr>
            <w:tcW w:w="907" w:type="dxa"/>
          </w:tcPr>
          <w:p w14:paraId="7117F6F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1 825</w:t>
            </w:r>
          </w:p>
        </w:tc>
      </w:tr>
      <w:tr w:rsidR="009D33A8" w14:paraId="3202CB5D" w14:textId="77777777">
        <w:tc>
          <w:tcPr>
            <w:cnfStyle w:val="001000000000" w:firstRow="0" w:lastRow="0" w:firstColumn="1" w:lastColumn="0" w:oddVBand="0" w:evenVBand="0" w:oddHBand="0" w:evenHBand="0" w:firstRowFirstColumn="0" w:firstRowLastColumn="0" w:lastRowFirstColumn="0" w:lastRowLastColumn="0"/>
            <w:tcW w:w="1843" w:type="dxa"/>
          </w:tcPr>
          <w:p w14:paraId="49A9D04C" w14:textId="77777777" w:rsidR="009D33A8" w:rsidRDefault="009D33A8" w:rsidP="00823C0E">
            <w:pPr>
              <w:spacing w:after="0"/>
            </w:pPr>
          </w:p>
        </w:tc>
        <w:tc>
          <w:tcPr>
            <w:tcW w:w="6888" w:type="dxa"/>
          </w:tcPr>
          <w:p w14:paraId="12A8BE3E"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Implementation of Victorian Independent Remuneration Tribunal decision</w:t>
            </w:r>
          </w:p>
        </w:tc>
        <w:tc>
          <w:tcPr>
            <w:tcW w:w="907" w:type="dxa"/>
          </w:tcPr>
          <w:p w14:paraId="6E9700B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858</w:t>
            </w:r>
          </w:p>
        </w:tc>
      </w:tr>
      <w:tr w:rsidR="009D33A8" w14:paraId="731FC986" w14:textId="77777777">
        <w:tc>
          <w:tcPr>
            <w:cnfStyle w:val="001000000000" w:firstRow="0" w:lastRow="0" w:firstColumn="1" w:lastColumn="0" w:oddVBand="0" w:evenVBand="0" w:oddHBand="0" w:evenHBand="0" w:firstRowFirstColumn="0" w:firstRowLastColumn="0" w:lastRowFirstColumn="0" w:lastRowLastColumn="0"/>
            <w:tcW w:w="1843" w:type="dxa"/>
          </w:tcPr>
          <w:p w14:paraId="30407DD6" w14:textId="77777777" w:rsidR="009D33A8" w:rsidRDefault="009D33A8" w:rsidP="00823C0E">
            <w:pPr>
              <w:spacing w:after="0"/>
            </w:pPr>
          </w:p>
        </w:tc>
        <w:tc>
          <w:tcPr>
            <w:tcW w:w="6888" w:type="dxa"/>
          </w:tcPr>
          <w:p w14:paraId="3528466C" w14:textId="6B4052AE"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the Victorian Ombudsman</w:t>
            </w:r>
            <w:r w:rsidR="00845934">
              <w:t>’</w:t>
            </w:r>
            <w:r>
              <w:t>s Parliamentary Referral into flood planning decisions at Kensington Banks</w:t>
            </w:r>
          </w:p>
        </w:tc>
        <w:tc>
          <w:tcPr>
            <w:tcW w:w="907" w:type="dxa"/>
          </w:tcPr>
          <w:p w14:paraId="6522623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698</w:t>
            </w:r>
          </w:p>
        </w:tc>
      </w:tr>
      <w:tr w:rsidR="009D33A8" w14:paraId="5ED9E77E" w14:textId="77777777">
        <w:tc>
          <w:tcPr>
            <w:cnfStyle w:val="001000000000" w:firstRow="0" w:lastRow="0" w:firstColumn="1" w:lastColumn="0" w:oddVBand="0" w:evenVBand="0" w:oddHBand="0" w:evenHBand="0" w:firstRowFirstColumn="0" w:firstRowLastColumn="0" w:lastRowFirstColumn="0" w:lastRowLastColumn="0"/>
            <w:tcW w:w="1843" w:type="dxa"/>
          </w:tcPr>
          <w:p w14:paraId="25831430" w14:textId="77777777" w:rsidR="009D33A8" w:rsidRDefault="009D33A8" w:rsidP="00823C0E">
            <w:pPr>
              <w:spacing w:after="0"/>
            </w:pPr>
          </w:p>
        </w:tc>
        <w:tc>
          <w:tcPr>
            <w:tcW w:w="6888" w:type="dxa"/>
          </w:tcPr>
          <w:p w14:paraId="30AA4EAE" w14:textId="258F98CE"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the Victorian Ombudsman</w:t>
            </w:r>
            <w:r w:rsidR="00845934">
              <w:t>’</w:t>
            </w:r>
            <w:r>
              <w:t>s Parliamentary Referral into insurance management claims</w:t>
            </w:r>
          </w:p>
        </w:tc>
        <w:tc>
          <w:tcPr>
            <w:tcW w:w="907" w:type="dxa"/>
          </w:tcPr>
          <w:p w14:paraId="10992981"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484</w:t>
            </w:r>
          </w:p>
        </w:tc>
      </w:tr>
      <w:tr w:rsidR="009D33A8" w14:paraId="381B74F2" w14:textId="77777777">
        <w:tc>
          <w:tcPr>
            <w:cnfStyle w:val="001000000000" w:firstRow="0" w:lastRow="0" w:firstColumn="1" w:lastColumn="0" w:oddVBand="0" w:evenVBand="0" w:oddHBand="0" w:evenHBand="0" w:firstRowFirstColumn="0" w:firstRowLastColumn="0" w:lastRowFirstColumn="0" w:lastRowLastColumn="0"/>
            <w:tcW w:w="1843" w:type="dxa"/>
          </w:tcPr>
          <w:p w14:paraId="6892BE5D" w14:textId="77777777" w:rsidR="009D33A8" w:rsidRDefault="009D33A8" w:rsidP="00823C0E">
            <w:pPr>
              <w:spacing w:after="0"/>
            </w:pPr>
          </w:p>
        </w:tc>
        <w:tc>
          <w:tcPr>
            <w:tcW w:w="6888" w:type="dxa"/>
          </w:tcPr>
          <w:p w14:paraId="609DDDB6"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Member of Parliament Indemnity Insurance Scheme</w:t>
            </w:r>
          </w:p>
        </w:tc>
        <w:tc>
          <w:tcPr>
            <w:tcW w:w="907" w:type="dxa"/>
          </w:tcPr>
          <w:p w14:paraId="234F667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217</w:t>
            </w:r>
          </w:p>
        </w:tc>
      </w:tr>
      <w:tr w:rsidR="009D33A8" w14:paraId="154B6BE9" w14:textId="77777777">
        <w:tc>
          <w:tcPr>
            <w:cnfStyle w:val="001000000000" w:firstRow="0" w:lastRow="0" w:firstColumn="1" w:lastColumn="0" w:oddVBand="0" w:evenVBand="0" w:oddHBand="0" w:evenHBand="0" w:firstRowFirstColumn="0" w:firstRowLastColumn="0" w:lastRowFirstColumn="0" w:lastRowLastColumn="0"/>
            <w:tcW w:w="1843" w:type="dxa"/>
          </w:tcPr>
          <w:p w14:paraId="10622FD9" w14:textId="77777777" w:rsidR="009D33A8" w:rsidRDefault="009D33A8" w:rsidP="00823C0E">
            <w:pPr>
              <w:spacing w:after="0"/>
            </w:pPr>
          </w:p>
        </w:tc>
        <w:tc>
          <w:tcPr>
            <w:tcW w:w="6888" w:type="dxa"/>
          </w:tcPr>
          <w:p w14:paraId="21D259B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Parliamentary Adviser Collective Agreement 2024</w:t>
            </w:r>
          </w:p>
        </w:tc>
        <w:tc>
          <w:tcPr>
            <w:tcW w:w="907" w:type="dxa"/>
          </w:tcPr>
          <w:p w14:paraId="1DC7CE8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172</w:t>
            </w:r>
          </w:p>
        </w:tc>
      </w:tr>
      <w:tr w:rsidR="009D33A8" w14:paraId="3A27B09E" w14:textId="77777777">
        <w:tc>
          <w:tcPr>
            <w:cnfStyle w:val="001000000000" w:firstRow="0" w:lastRow="0" w:firstColumn="1" w:lastColumn="0" w:oddVBand="0" w:evenVBand="0" w:oddHBand="0" w:evenHBand="0" w:firstRowFirstColumn="0" w:firstRowLastColumn="0" w:lastRowFirstColumn="0" w:lastRowLastColumn="0"/>
            <w:tcW w:w="1843" w:type="dxa"/>
          </w:tcPr>
          <w:p w14:paraId="09779314" w14:textId="77777777" w:rsidR="009D33A8" w:rsidRDefault="009D33A8" w:rsidP="00823C0E">
            <w:pPr>
              <w:spacing w:after="0"/>
            </w:pPr>
          </w:p>
        </w:tc>
        <w:tc>
          <w:tcPr>
            <w:tcW w:w="6888" w:type="dxa"/>
          </w:tcPr>
          <w:p w14:paraId="4B521A0A" w14:textId="5DF6298C"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IBAC</w:t>
            </w:r>
            <w:r w:rsidR="00845934">
              <w:t>’</w:t>
            </w:r>
            <w:r>
              <w:t>s Witness Welfare Program</w:t>
            </w:r>
          </w:p>
        </w:tc>
        <w:tc>
          <w:tcPr>
            <w:tcW w:w="907" w:type="dxa"/>
          </w:tcPr>
          <w:p w14:paraId="27BDDF2E"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100</w:t>
            </w:r>
          </w:p>
        </w:tc>
      </w:tr>
      <w:tr w:rsidR="009D33A8" w14:paraId="6FCAEC6A" w14:textId="77777777">
        <w:tc>
          <w:tcPr>
            <w:cnfStyle w:val="001000000000" w:firstRow="0" w:lastRow="0" w:firstColumn="1" w:lastColumn="0" w:oddVBand="0" w:evenVBand="0" w:oddHBand="0" w:evenHBand="0" w:firstRowFirstColumn="0" w:firstRowLastColumn="0" w:lastRowFirstColumn="0" w:lastRowLastColumn="0"/>
            <w:tcW w:w="1843" w:type="dxa"/>
          </w:tcPr>
          <w:p w14:paraId="1FAF6D20" w14:textId="77777777" w:rsidR="009D33A8" w:rsidRDefault="009D33A8" w:rsidP="00823C0E">
            <w:pPr>
              <w:spacing w:after="0"/>
            </w:pPr>
          </w:p>
        </w:tc>
        <w:tc>
          <w:tcPr>
            <w:tcW w:w="6888" w:type="dxa"/>
          </w:tcPr>
          <w:p w14:paraId="27FA224B"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Lease interest on Member vehicle leases</w:t>
            </w:r>
          </w:p>
        </w:tc>
        <w:tc>
          <w:tcPr>
            <w:tcW w:w="907" w:type="dxa"/>
          </w:tcPr>
          <w:p w14:paraId="42025D8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90</w:t>
            </w:r>
          </w:p>
        </w:tc>
      </w:tr>
      <w:tr w:rsidR="009D33A8" w14:paraId="675C97CA"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56DC9FAF" w14:textId="77777777" w:rsidR="009D33A8" w:rsidRDefault="009D33A8" w:rsidP="00823C0E">
            <w:pPr>
              <w:spacing w:after="0"/>
            </w:pPr>
          </w:p>
        </w:tc>
        <w:tc>
          <w:tcPr>
            <w:tcW w:w="6888" w:type="dxa"/>
            <w:tcBorders>
              <w:bottom w:val="single" w:sz="6" w:space="0" w:color="auto"/>
            </w:tcBorders>
          </w:tcPr>
          <w:p w14:paraId="68E6DC1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B96E859"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9 233</w:t>
            </w:r>
          </w:p>
        </w:tc>
      </w:tr>
      <w:tr w:rsidR="009D33A8" w14:paraId="631B7489"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66380B27" w14:textId="77777777" w:rsidR="009D33A8" w:rsidRDefault="009D33A8" w:rsidP="00823C0E">
            <w:pPr>
              <w:spacing w:after="0"/>
            </w:pPr>
            <w:r>
              <w:t>Courts</w:t>
            </w:r>
          </w:p>
        </w:tc>
        <w:tc>
          <w:tcPr>
            <w:tcW w:w="6888" w:type="dxa"/>
            <w:tcBorders>
              <w:top w:val="single" w:sz="6" w:space="0" w:color="auto"/>
            </w:tcBorders>
          </w:tcPr>
          <w:p w14:paraId="0F10D128"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Supporting the courts non judicial costs</w:t>
            </w:r>
          </w:p>
        </w:tc>
        <w:tc>
          <w:tcPr>
            <w:tcW w:w="907" w:type="dxa"/>
            <w:tcBorders>
              <w:top w:val="single" w:sz="6" w:space="0" w:color="auto"/>
            </w:tcBorders>
          </w:tcPr>
          <w:p w14:paraId="133493EC"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22 500</w:t>
            </w:r>
          </w:p>
        </w:tc>
      </w:tr>
      <w:tr w:rsidR="009D33A8" w14:paraId="0415F3B5" w14:textId="77777777">
        <w:tc>
          <w:tcPr>
            <w:cnfStyle w:val="001000000000" w:firstRow="0" w:lastRow="0" w:firstColumn="1" w:lastColumn="0" w:oddVBand="0" w:evenVBand="0" w:oddHBand="0" w:evenHBand="0" w:firstRowFirstColumn="0" w:firstRowLastColumn="0" w:lastRowFirstColumn="0" w:lastRowLastColumn="0"/>
            <w:tcW w:w="1843" w:type="dxa"/>
          </w:tcPr>
          <w:p w14:paraId="2F52A7A1" w14:textId="77777777" w:rsidR="009D33A8" w:rsidRDefault="009D33A8" w:rsidP="00823C0E">
            <w:pPr>
              <w:spacing w:after="0"/>
            </w:pPr>
          </w:p>
        </w:tc>
        <w:tc>
          <w:tcPr>
            <w:tcW w:w="6888" w:type="dxa"/>
          </w:tcPr>
          <w:p w14:paraId="10F588A2"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New Courts Case Management System</w:t>
            </w:r>
          </w:p>
        </w:tc>
        <w:tc>
          <w:tcPr>
            <w:tcW w:w="907" w:type="dxa"/>
          </w:tcPr>
          <w:p w14:paraId="36876AB8"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4 000</w:t>
            </w:r>
          </w:p>
        </w:tc>
      </w:tr>
      <w:tr w:rsidR="009D33A8" w14:paraId="1ABCF24B" w14:textId="77777777">
        <w:tc>
          <w:tcPr>
            <w:cnfStyle w:val="001000000000" w:firstRow="0" w:lastRow="0" w:firstColumn="1" w:lastColumn="0" w:oddVBand="0" w:evenVBand="0" w:oddHBand="0" w:evenHBand="0" w:firstRowFirstColumn="0" w:firstRowLastColumn="0" w:lastRowFirstColumn="0" w:lastRowLastColumn="0"/>
            <w:tcW w:w="1843" w:type="dxa"/>
          </w:tcPr>
          <w:p w14:paraId="59331894" w14:textId="77777777" w:rsidR="009D33A8" w:rsidRDefault="009D33A8" w:rsidP="00823C0E">
            <w:pPr>
              <w:spacing w:after="0"/>
            </w:pPr>
          </w:p>
        </w:tc>
        <w:tc>
          <w:tcPr>
            <w:tcW w:w="6888" w:type="dxa"/>
          </w:tcPr>
          <w:p w14:paraId="1842DDF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Court Fee Reform – Probate Online Advertising System Replacement</w:t>
            </w:r>
          </w:p>
        </w:tc>
        <w:tc>
          <w:tcPr>
            <w:tcW w:w="907" w:type="dxa"/>
          </w:tcPr>
          <w:p w14:paraId="58499A9A"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2 922</w:t>
            </w:r>
          </w:p>
        </w:tc>
      </w:tr>
      <w:tr w:rsidR="009D33A8" w14:paraId="0D60ACF1" w14:textId="77777777">
        <w:tc>
          <w:tcPr>
            <w:cnfStyle w:val="001000000000" w:firstRow="0" w:lastRow="0" w:firstColumn="1" w:lastColumn="0" w:oddVBand="0" w:evenVBand="0" w:oddHBand="0" w:evenHBand="0" w:firstRowFirstColumn="0" w:firstRowLastColumn="0" w:lastRowFirstColumn="0" w:lastRowLastColumn="0"/>
            <w:tcW w:w="1843" w:type="dxa"/>
          </w:tcPr>
          <w:p w14:paraId="5DA7F3BF" w14:textId="77777777" w:rsidR="009D33A8" w:rsidRDefault="009D33A8" w:rsidP="00823C0E">
            <w:pPr>
              <w:spacing w:after="0"/>
            </w:pPr>
          </w:p>
        </w:tc>
        <w:tc>
          <w:tcPr>
            <w:tcW w:w="6888" w:type="dxa"/>
          </w:tcPr>
          <w:p w14:paraId="0F3ED1B0" w14:textId="17FB9C9B"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Additional Magistrate for the Children</w:t>
            </w:r>
            <w:r w:rsidR="00845934">
              <w:t>’</w:t>
            </w:r>
            <w:r>
              <w:t>s Court of Victoria</w:t>
            </w:r>
          </w:p>
        </w:tc>
        <w:tc>
          <w:tcPr>
            <w:tcW w:w="907" w:type="dxa"/>
          </w:tcPr>
          <w:p w14:paraId="77FF049B"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326</w:t>
            </w:r>
          </w:p>
        </w:tc>
      </w:tr>
      <w:tr w:rsidR="009D33A8" w14:paraId="47C07261" w14:textId="77777777">
        <w:tc>
          <w:tcPr>
            <w:cnfStyle w:val="001000000000" w:firstRow="0" w:lastRow="0" w:firstColumn="1" w:lastColumn="0" w:oddVBand="0" w:evenVBand="0" w:oddHBand="0" w:evenHBand="0" w:firstRowFirstColumn="0" w:firstRowLastColumn="0" w:lastRowFirstColumn="0" w:lastRowLastColumn="0"/>
            <w:tcW w:w="1843" w:type="dxa"/>
          </w:tcPr>
          <w:p w14:paraId="50D74C20" w14:textId="77777777" w:rsidR="009D33A8" w:rsidRDefault="009D33A8" w:rsidP="00823C0E">
            <w:pPr>
              <w:spacing w:after="0"/>
            </w:pPr>
          </w:p>
        </w:tc>
        <w:tc>
          <w:tcPr>
            <w:tcW w:w="6888" w:type="dxa"/>
          </w:tcPr>
          <w:p w14:paraId="6E9058C4" w14:textId="77777777" w:rsidR="009D33A8" w:rsidRDefault="009D33A8" w:rsidP="00823C0E">
            <w:pPr>
              <w:spacing w:after="0"/>
              <w:jc w:val="left"/>
              <w:cnfStyle w:val="000000000000" w:firstRow="0" w:lastRow="0" w:firstColumn="0" w:lastColumn="0" w:oddVBand="0" w:evenVBand="0" w:oddHBand="0" w:evenHBand="0" w:firstRowFirstColumn="0" w:firstRowLastColumn="0" w:lastRowFirstColumn="0" w:lastRowLastColumn="0"/>
            </w:pPr>
            <w:r>
              <w:t>Youth Justice Act Implementation</w:t>
            </w:r>
          </w:p>
        </w:tc>
        <w:tc>
          <w:tcPr>
            <w:tcW w:w="907" w:type="dxa"/>
          </w:tcPr>
          <w:p w14:paraId="32AA3BA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t>133</w:t>
            </w:r>
          </w:p>
        </w:tc>
      </w:tr>
      <w:tr w:rsidR="009D33A8" w14:paraId="10C3646D"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3CF0C9DB" w14:textId="77777777" w:rsidR="009D33A8" w:rsidRDefault="009D33A8" w:rsidP="00823C0E">
            <w:pPr>
              <w:spacing w:after="0"/>
            </w:pPr>
          </w:p>
        </w:tc>
        <w:tc>
          <w:tcPr>
            <w:tcW w:w="6888" w:type="dxa"/>
            <w:tcBorders>
              <w:bottom w:val="single" w:sz="6" w:space="0" w:color="auto"/>
            </w:tcBorders>
          </w:tcPr>
          <w:p w14:paraId="7C7CAF7F"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56658C47"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29 881</w:t>
            </w:r>
          </w:p>
        </w:tc>
      </w:tr>
      <w:tr w:rsidR="009D33A8" w14:paraId="1B77A8F7" w14:textId="77777777">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32F05AE7" w14:textId="461431B8" w:rsidR="009D33A8" w:rsidRDefault="009D33A8" w:rsidP="00823C0E">
            <w:pPr>
              <w:spacing w:after="0"/>
            </w:pPr>
            <w:r>
              <w:rPr>
                <w:b/>
              </w:rPr>
              <w:t>Total Treasurer</w:t>
            </w:r>
            <w:r w:rsidR="00845934">
              <w:rPr>
                <w:b/>
              </w:rPr>
              <w:t>’</w:t>
            </w:r>
            <w:r>
              <w:rPr>
                <w:b/>
              </w:rPr>
              <w:t>s advance payments relating to decisions made post budget</w:t>
            </w:r>
          </w:p>
        </w:tc>
        <w:tc>
          <w:tcPr>
            <w:tcW w:w="907" w:type="dxa"/>
            <w:tcBorders>
              <w:top w:val="single" w:sz="6" w:space="0" w:color="auto"/>
              <w:bottom w:val="single" w:sz="12" w:space="0" w:color="auto"/>
            </w:tcBorders>
          </w:tcPr>
          <w:p w14:paraId="49DC1753" w14:textId="77777777" w:rsidR="009D33A8" w:rsidRDefault="009D33A8" w:rsidP="00823C0E">
            <w:pPr>
              <w:spacing w:after="0"/>
              <w:cnfStyle w:val="000000000000" w:firstRow="0" w:lastRow="0" w:firstColumn="0" w:lastColumn="0" w:oddVBand="0" w:evenVBand="0" w:oddHBand="0" w:evenHBand="0" w:firstRowFirstColumn="0" w:firstRowLastColumn="0" w:lastRowFirstColumn="0" w:lastRowLastColumn="0"/>
            </w:pPr>
            <w:r>
              <w:rPr>
                <w:b/>
              </w:rPr>
              <w:t>2 651 625</w:t>
            </w:r>
          </w:p>
        </w:tc>
      </w:tr>
    </w:tbl>
    <w:p w14:paraId="5899CF17" w14:textId="77777777" w:rsidR="009D33A8" w:rsidRDefault="009D33A8" w:rsidP="009D33A8"/>
    <w:p w14:paraId="05DC6C47" w14:textId="77777777" w:rsidR="004610D1" w:rsidRPr="004610D1" w:rsidRDefault="004610D1" w:rsidP="004610D1">
      <w:pPr>
        <w:pStyle w:val="Heading5"/>
        <w:pageBreakBefore/>
        <w:rPr>
          <w:sz w:val="23"/>
          <w:szCs w:val="23"/>
        </w:rPr>
      </w:pPr>
      <w:r w:rsidRPr="004610D1">
        <w:rPr>
          <w:sz w:val="23"/>
          <w:szCs w:val="23"/>
        </w:rPr>
        <w:lastRenderedPageBreak/>
        <w:t>7.2.13</w:t>
      </w:r>
      <w:r w:rsidRPr="004610D1">
        <w:rPr>
          <w:sz w:val="23"/>
          <w:szCs w:val="23"/>
        </w:rPr>
        <w:tab/>
        <w:t xml:space="preserve">Payments from advance to the Treasurer for the financial year ended 30 June </w:t>
      </w:r>
      <w:r w:rsidRPr="004610D1">
        <w:rPr>
          <w:i/>
          <w:sz w:val="22"/>
          <w:szCs w:val="22"/>
        </w:rPr>
        <w:t>(continued)</w:t>
      </w:r>
    </w:p>
    <w:p w14:paraId="1FAA8A83" w14:textId="46F2D9E5" w:rsidR="009D33A8" w:rsidRPr="00823C0E" w:rsidRDefault="009D33A8" w:rsidP="00696E9B">
      <w:pPr>
        <w:pStyle w:val="TableHeading"/>
        <w:rPr>
          <w:rStyle w:val="TableHeadingChar"/>
          <w:b/>
          <w:iCs/>
        </w:rPr>
      </w:pPr>
      <w:r w:rsidRPr="00823C0E">
        <w:rPr>
          <w:rStyle w:val="TableHeadingChar"/>
          <w:b/>
          <w:iCs/>
        </w:rPr>
        <w:t>Contingency releases paid from the advance to the Treasurer</w:t>
      </w:r>
      <w:r w:rsidRPr="00823C0E">
        <w:tab/>
      </w:r>
      <w:r w:rsidRPr="00823C0E">
        <w:rPr>
          <w:rStyle w:val="TableHeadingChar"/>
          <w:b/>
          <w:iCs/>
        </w:rPr>
        <w:t>($ thousand)</w:t>
      </w:r>
    </w:p>
    <w:tbl>
      <w:tblPr>
        <w:tblStyle w:val="DTFTableNumeric"/>
        <w:tblW w:w="9643"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ContingencyReleases"/>
      </w:tblPr>
      <w:tblGrid>
        <w:gridCol w:w="1843"/>
        <w:gridCol w:w="6837"/>
        <w:gridCol w:w="963"/>
      </w:tblGrid>
      <w:tr w:rsidR="009D33A8" w14:paraId="2BD24D5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6C907F4E" w14:textId="77777777" w:rsidR="009D33A8" w:rsidRDefault="009D33A8">
            <w:pPr>
              <w:keepNext/>
            </w:pPr>
            <w:r>
              <w:t>Department</w:t>
            </w:r>
          </w:p>
        </w:tc>
        <w:tc>
          <w:tcPr>
            <w:tcW w:w="6837" w:type="dxa"/>
            <w:tcBorders>
              <w:bottom w:val="single" w:sz="6" w:space="0" w:color="auto"/>
            </w:tcBorders>
          </w:tcPr>
          <w:p w14:paraId="7E70CA9E"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63" w:type="dxa"/>
            <w:tcBorders>
              <w:bottom w:val="single" w:sz="6" w:space="0" w:color="auto"/>
            </w:tcBorders>
          </w:tcPr>
          <w:p w14:paraId="481A1632"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5F6555B6"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3DECC50A" w14:textId="77777777" w:rsidR="009D33A8" w:rsidRDefault="009D33A8">
            <w:r>
              <w:t>Education</w:t>
            </w:r>
          </w:p>
        </w:tc>
        <w:tc>
          <w:tcPr>
            <w:tcW w:w="6837" w:type="dxa"/>
            <w:tcBorders>
              <w:top w:val="single" w:sz="6" w:space="0" w:color="auto"/>
            </w:tcBorders>
          </w:tcPr>
          <w:p w14:paraId="3F4FD55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Lifting student outcomes – Tutor Learning Initiative</w:t>
            </w:r>
          </w:p>
        </w:tc>
        <w:tc>
          <w:tcPr>
            <w:tcW w:w="963" w:type="dxa"/>
            <w:tcBorders>
              <w:top w:val="single" w:sz="6" w:space="0" w:color="auto"/>
            </w:tcBorders>
          </w:tcPr>
          <w:p w14:paraId="74B85A19" w14:textId="77777777" w:rsidR="009D33A8" w:rsidRDefault="009D33A8">
            <w:pPr>
              <w:cnfStyle w:val="000000000000" w:firstRow="0" w:lastRow="0" w:firstColumn="0" w:lastColumn="0" w:oddVBand="0" w:evenVBand="0" w:oddHBand="0" w:evenHBand="0" w:firstRowFirstColumn="0" w:firstRowLastColumn="0" w:lastRowFirstColumn="0" w:lastRowLastColumn="0"/>
            </w:pPr>
            <w:r>
              <w:t>123 424</w:t>
            </w:r>
          </w:p>
        </w:tc>
      </w:tr>
      <w:tr w:rsidR="009D33A8" w14:paraId="7470E2B4" w14:textId="77777777">
        <w:tc>
          <w:tcPr>
            <w:cnfStyle w:val="001000000000" w:firstRow="0" w:lastRow="0" w:firstColumn="1" w:lastColumn="0" w:oddVBand="0" w:evenVBand="0" w:oddHBand="0" w:evenHBand="0" w:firstRowFirstColumn="0" w:firstRowLastColumn="0" w:lastRowFirstColumn="0" w:lastRowLastColumn="0"/>
            <w:tcW w:w="1843" w:type="dxa"/>
          </w:tcPr>
          <w:p w14:paraId="4D95FEDC" w14:textId="77777777" w:rsidR="009D33A8" w:rsidRDefault="009D33A8"/>
        </w:tc>
        <w:tc>
          <w:tcPr>
            <w:tcW w:w="6837" w:type="dxa"/>
          </w:tcPr>
          <w:p w14:paraId="0E5F0C4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Supplementation of the contribution provided by the Commonwealth Government under the Preschool Reform Agreement (Maintaining fifteen hours of kindergarten)</w:t>
            </w:r>
          </w:p>
        </w:tc>
        <w:tc>
          <w:tcPr>
            <w:tcW w:w="963" w:type="dxa"/>
          </w:tcPr>
          <w:p w14:paraId="6F67994C" w14:textId="77777777" w:rsidR="009D33A8" w:rsidRDefault="009D33A8">
            <w:pPr>
              <w:cnfStyle w:val="000000000000" w:firstRow="0" w:lastRow="0" w:firstColumn="0" w:lastColumn="0" w:oddVBand="0" w:evenVBand="0" w:oddHBand="0" w:evenHBand="0" w:firstRowFirstColumn="0" w:firstRowLastColumn="0" w:lastRowFirstColumn="0" w:lastRowLastColumn="0"/>
            </w:pPr>
            <w:r>
              <w:t>15 003</w:t>
            </w:r>
          </w:p>
        </w:tc>
      </w:tr>
      <w:tr w:rsidR="009D33A8" w14:paraId="71995C8B" w14:textId="77777777">
        <w:tc>
          <w:tcPr>
            <w:cnfStyle w:val="001000000000" w:firstRow="0" w:lastRow="0" w:firstColumn="1" w:lastColumn="0" w:oddVBand="0" w:evenVBand="0" w:oddHBand="0" w:evenHBand="0" w:firstRowFirstColumn="0" w:firstRowLastColumn="0" w:lastRowFirstColumn="0" w:lastRowLastColumn="0"/>
            <w:tcW w:w="1843" w:type="dxa"/>
          </w:tcPr>
          <w:p w14:paraId="29B61B63" w14:textId="77777777" w:rsidR="009D33A8" w:rsidRDefault="009D33A8"/>
        </w:tc>
        <w:tc>
          <w:tcPr>
            <w:tcW w:w="6837" w:type="dxa"/>
          </w:tcPr>
          <w:p w14:paraId="4A45728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Best Start, Best Life Infrastructure Grants</w:t>
            </w:r>
          </w:p>
        </w:tc>
        <w:tc>
          <w:tcPr>
            <w:tcW w:w="963" w:type="dxa"/>
          </w:tcPr>
          <w:p w14:paraId="65470BB7" w14:textId="77777777" w:rsidR="009D33A8" w:rsidRDefault="009D33A8">
            <w:pPr>
              <w:cnfStyle w:val="000000000000" w:firstRow="0" w:lastRow="0" w:firstColumn="0" w:lastColumn="0" w:oddVBand="0" w:evenVBand="0" w:oddHBand="0" w:evenHBand="0" w:firstRowFirstColumn="0" w:firstRowLastColumn="0" w:lastRowFirstColumn="0" w:lastRowLastColumn="0"/>
            </w:pPr>
            <w:r>
              <w:t>13 293</w:t>
            </w:r>
          </w:p>
        </w:tc>
      </w:tr>
      <w:tr w:rsidR="009D33A8" w14:paraId="135EB109" w14:textId="77777777">
        <w:tc>
          <w:tcPr>
            <w:cnfStyle w:val="001000000000" w:firstRow="0" w:lastRow="0" w:firstColumn="1" w:lastColumn="0" w:oddVBand="0" w:evenVBand="0" w:oddHBand="0" w:evenHBand="0" w:firstRowFirstColumn="0" w:firstRowLastColumn="0" w:lastRowFirstColumn="0" w:lastRowLastColumn="0"/>
            <w:tcW w:w="1843" w:type="dxa"/>
          </w:tcPr>
          <w:p w14:paraId="2380445F" w14:textId="77777777" w:rsidR="009D33A8" w:rsidRDefault="009D33A8"/>
        </w:tc>
        <w:tc>
          <w:tcPr>
            <w:tcW w:w="6837" w:type="dxa"/>
          </w:tcPr>
          <w:p w14:paraId="0ACBBE5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Side by Side program</w:t>
            </w:r>
          </w:p>
        </w:tc>
        <w:tc>
          <w:tcPr>
            <w:tcW w:w="963" w:type="dxa"/>
          </w:tcPr>
          <w:p w14:paraId="4552C50F" w14:textId="77777777" w:rsidR="009D33A8" w:rsidRDefault="009D33A8">
            <w:pPr>
              <w:cnfStyle w:val="000000000000" w:firstRow="0" w:lastRow="0" w:firstColumn="0" w:lastColumn="0" w:oddVBand="0" w:evenVBand="0" w:oddHBand="0" w:evenHBand="0" w:firstRowFirstColumn="0" w:firstRowLastColumn="0" w:lastRowFirstColumn="0" w:lastRowLastColumn="0"/>
            </w:pPr>
            <w:r>
              <w:t>270</w:t>
            </w:r>
          </w:p>
        </w:tc>
      </w:tr>
      <w:tr w:rsidR="009D33A8" w14:paraId="39ECD252"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32BA5EEB" w14:textId="77777777" w:rsidR="009D33A8" w:rsidRDefault="009D33A8"/>
        </w:tc>
        <w:tc>
          <w:tcPr>
            <w:tcW w:w="6837" w:type="dxa"/>
            <w:tcBorders>
              <w:bottom w:val="single" w:sz="6" w:space="0" w:color="auto"/>
            </w:tcBorders>
          </w:tcPr>
          <w:p w14:paraId="32D81D2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27E2914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151 989</w:t>
            </w:r>
          </w:p>
        </w:tc>
      </w:tr>
      <w:tr w:rsidR="009D33A8" w14:paraId="36A516C5"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4D4D7917" w14:textId="77777777" w:rsidR="009D33A8" w:rsidRDefault="009D33A8">
            <w:r>
              <w:t>Energy, Environment</w:t>
            </w:r>
          </w:p>
        </w:tc>
        <w:tc>
          <w:tcPr>
            <w:tcW w:w="6837" w:type="dxa"/>
            <w:tcBorders>
              <w:top w:val="single" w:sz="6" w:space="0" w:color="auto"/>
            </w:tcBorders>
          </w:tcPr>
          <w:p w14:paraId="302B576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State Electricity Commission (SEC)</w:t>
            </w:r>
          </w:p>
        </w:tc>
        <w:tc>
          <w:tcPr>
            <w:tcW w:w="963" w:type="dxa"/>
            <w:tcBorders>
              <w:top w:val="single" w:sz="6" w:space="0" w:color="auto"/>
            </w:tcBorders>
          </w:tcPr>
          <w:p w14:paraId="09C3C68F" w14:textId="77777777" w:rsidR="009D33A8" w:rsidRDefault="009D33A8">
            <w:pPr>
              <w:cnfStyle w:val="000000000000" w:firstRow="0" w:lastRow="0" w:firstColumn="0" w:lastColumn="0" w:oddVBand="0" w:evenVBand="0" w:oddHBand="0" w:evenHBand="0" w:firstRowFirstColumn="0" w:firstRowLastColumn="0" w:lastRowFirstColumn="0" w:lastRowLastColumn="0"/>
            </w:pPr>
            <w:r>
              <w:t>344 000</w:t>
            </w:r>
          </w:p>
        </w:tc>
      </w:tr>
      <w:tr w:rsidR="009D33A8" w14:paraId="0C0013CC" w14:textId="77777777">
        <w:tc>
          <w:tcPr>
            <w:cnfStyle w:val="001000000000" w:firstRow="0" w:lastRow="0" w:firstColumn="1" w:lastColumn="0" w:oddVBand="0" w:evenVBand="0" w:oddHBand="0" w:evenHBand="0" w:firstRowFirstColumn="0" w:firstRowLastColumn="0" w:lastRowFirstColumn="0" w:lastRowLastColumn="0"/>
            <w:tcW w:w="1843" w:type="dxa"/>
          </w:tcPr>
          <w:p w14:paraId="76674D98" w14:textId="77777777" w:rsidR="009D33A8" w:rsidRDefault="009D33A8">
            <w:r>
              <w:t>and Climate Action</w:t>
            </w:r>
          </w:p>
        </w:tc>
        <w:tc>
          <w:tcPr>
            <w:tcW w:w="6837" w:type="dxa"/>
          </w:tcPr>
          <w:p w14:paraId="7418ABB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Forestry Contractor Strategy</w:t>
            </w:r>
          </w:p>
        </w:tc>
        <w:tc>
          <w:tcPr>
            <w:tcW w:w="963" w:type="dxa"/>
          </w:tcPr>
          <w:p w14:paraId="718164AC" w14:textId="77777777" w:rsidR="009D33A8" w:rsidRDefault="009D33A8">
            <w:pPr>
              <w:cnfStyle w:val="000000000000" w:firstRow="0" w:lastRow="0" w:firstColumn="0" w:lastColumn="0" w:oddVBand="0" w:evenVBand="0" w:oddHBand="0" w:evenHBand="0" w:firstRowFirstColumn="0" w:firstRowLastColumn="0" w:lastRowFirstColumn="0" w:lastRowLastColumn="0"/>
            </w:pPr>
            <w:r>
              <w:t>62 764</w:t>
            </w:r>
          </w:p>
        </w:tc>
      </w:tr>
      <w:tr w:rsidR="009D33A8" w14:paraId="46AB9262" w14:textId="77777777">
        <w:tc>
          <w:tcPr>
            <w:cnfStyle w:val="001000000000" w:firstRow="0" w:lastRow="0" w:firstColumn="1" w:lastColumn="0" w:oddVBand="0" w:evenVBand="0" w:oddHBand="0" w:evenHBand="0" w:firstRowFirstColumn="0" w:firstRowLastColumn="0" w:lastRowFirstColumn="0" w:lastRowLastColumn="0"/>
            <w:tcW w:w="1843" w:type="dxa"/>
          </w:tcPr>
          <w:p w14:paraId="7A042F94" w14:textId="77777777" w:rsidR="009D33A8" w:rsidRDefault="009D33A8"/>
        </w:tc>
        <w:tc>
          <w:tcPr>
            <w:tcW w:w="6837" w:type="dxa"/>
          </w:tcPr>
          <w:p w14:paraId="0DA242F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24F0D86D" w14:textId="77777777" w:rsidR="009D33A8" w:rsidRDefault="009D33A8">
            <w:pPr>
              <w:cnfStyle w:val="000000000000" w:firstRow="0" w:lastRow="0" w:firstColumn="0" w:lastColumn="0" w:oddVBand="0" w:evenVBand="0" w:oddHBand="0" w:evenHBand="0" w:firstRowFirstColumn="0" w:firstRowLastColumn="0" w:lastRowFirstColumn="0" w:lastRowLastColumn="0"/>
            </w:pPr>
            <w:r>
              <w:t>47 340</w:t>
            </w:r>
          </w:p>
        </w:tc>
      </w:tr>
      <w:tr w:rsidR="009D33A8" w14:paraId="4249AA73" w14:textId="77777777">
        <w:tc>
          <w:tcPr>
            <w:cnfStyle w:val="001000000000" w:firstRow="0" w:lastRow="0" w:firstColumn="1" w:lastColumn="0" w:oddVBand="0" w:evenVBand="0" w:oddHBand="0" w:evenHBand="0" w:firstRowFirstColumn="0" w:firstRowLastColumn="0" w:lastRowFirstColumn="0" w:lastRowLastColumn="0"/>
            <w:tcW w:w="1843" w:type="dxa"/>
          </w:tcPr>
          <w:p w14:paraId="3F1B89B3" w14:textId="77777777" w:rsidR="009D33A8" w:rsidRDefault="009D33A8"/>
        </w:tc>
        <w:tc>
          <w:tcPr>
            <w:tcW w:w="6837" w:type="dxa"/>
          </w:tcPr>
          <w:p w14:paraId="1E7E788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Gippsland Offshore Wind Transmission</w:t>
            </w:r>
          </w:p>
        </w:tc>
        <w:tc>
          <w:tcPr>
            <w:tcW w:w="963" w:type="dxa"/>
          </w:tcPr>
          <w:p w14:paraId="74E2F7CF" w14:textId="77777777" w:rsidR="009D33A8" w:rsidRDefault="009D33A8">
            <w:pPr>
              <w:cnfStyle w:val="000000000000" w:firstRow="0" w:lastRow="0" w:firstColumn="0" w:lastColumn="0" w:oddVBand="0" w:evenVBand="0" w:oddHBand="0" w:evenHBand="0" w:firstRowFirstColumn="0" w:firstRowLastColumn="0" w:lastRowFirstColumn="0" w:lastRowLastColumn="0"/>
            </w:pPr>
            <w:r>
              <w:t>12 500</w:t>
            </w:r>
          </w:p>
        </w:tc>
      </w:tr>
      <w:tr w:rsidR="009D33A8" w14:paraId="43D5F514" w14:textId="77777777">
        <w:tc>
          <w:tcPr>
            <w:cnfStyle w:val="001000000000" w:firstRow="0" w:lastRow="0" w:firstColumn="1" w:lastColumn="0" w:oddVBand="0" w:evenVBand="0" w:oddHBand="0" w:evenHBand="0" w:firstRowFirstColumn="0" w:firstRowLastColumn="0" w:lastRowFirstColumn="0" w:lastRowLastColumn="0"/>
            <w:tcW w:w="1843" w:type="dxa"/>
          </w:tcPr>
          <w:p w14:paraId="1F1CC722" w14:textId="77777777" w:rsidR="009D33A8" w:rsidRDefault="009D33A8"/>
        </w:tc>
        <w:tc>
          <w:tcPr>
            <w:tcW w:w="6837" w:type="dxa"/>
          </w:tcPr>
          <w:p w14:paraId="2E10368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Critical Bushfire and Emergency Asset Maintenance and Replacement</w:t>
            </w:r>
          </w:p>
        </w:tc>
        <w:tc>
          <w:tcPr>
            <w:tcW w:w="963" w:type="dxa"/>
          </w:tcPr>
          <w:p w14:paraId="3F087DFC" w14:textId="77777777" w:rsidR="009D33A8" w:rsidRDefault="009D33A8">
            <w:pPr>
              <w:cnfStyle w:val="000000000000" w:firstRow="0" w:lastRow="0" w:firstColumn="0" w:lastColumn="0" w:oddVBand="0" w:evenVBand="0" w:oddHBand="0" w:evenHBand="0" w:firstRowFirstColumn="0" w:firstRowLastColumn="0" w:lastRowFirstColumn="0" w:lastRowLastColumn="0"/>
            </w:pPr>
            <w:r>
              <w:t>11 000</w:t>
            </w:r>
          </w:p>
        </w:tc>
      </w:tr>
      <w:tr w:rsidR="009D33A8" w14:paraId="695F1B49" w14:textId="77777777">
        <w:tc>
          <w:tcPr>
            <w:cnfStyle w:val="001000000000" w:firstRow="0" w:lastRow="0" w:firstColumn="1" w:lastColumn="0" w:oddVBand="0" w:evenVBand="0" w:oddHBand="0" w:evenHBand="0" w:firstRowFirstColumn="0" w:firstRowLastColumn="0" w:lastRowFirstColumn="0" w:lastRowLastColumn="0"/>
            <w:tcW w:w="1843" w:type="dxa"/>
          </w:tcPr>
          <w:p w14:paraId="0227D384" w14:textId="77777777" w:rsidR="009D33A8" w:rsidRDefault="009D33A8"/>
        </w:tc>
        <w:tc>
          <w:tcPr>
            <w:tcW w:w="6837" w:type="dxa"/>
          </w:tcPr>
          <w:p w14:paraId="4CEA1AD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Enhancing Core Energy Functions</w:t>
            </w:r>
          </w:p>
        </w:tc>
        <w:tc>
          <w:tcPr>
            <w:tcW w:w="963" w:type="dxa"/>
          </w:tcPr>
          <w:p w14:paraId="4C1554B2" w14:textId="77777777" w:rsidR="009D33A8" w:rsidRDefault="009D33A8">
            <w:pPr>
              <w:cnfStyle w:val="000000000000" w:firstRow="0" w:lastRow="0" w:firstColumn="0" w:lastColumn="0" w:oddVBand="0" w:evenVBand="0" w:oddHBand="0" w:evenHBand="0" w:firstRowFirstColumn="0" w:firstRowLastColumn="0" w:lastRowFirstColumn="0" w:lastRowLastColumn="0"/>
            </w:pPr>
            <w:r>
              <w:t>9 005</w:t>
            </w:r>
          </w:p>
        </w:tc>
      </w:tr>
      <w:tr w:rsidR="009D33A8" w14:paraId="5982472B" w14:textId="77777777">
        <w:tc>
          <w:tcPr>
            <w:cnfStyle w:val="001000000000" w:firstRow="0" w:lastRow="0" w:firstColumn="1" w:lastColumn="0" w:oddVBand="0" w:evenVBand="0" w:oddHBand="0" w:evenHBand="0" w:firstRowFirstColumn="0" w:firstRowLastColumn="0" w:lastRowFirstColumn="0" w:lastRowLastColumn="0"/>
            <w:tcW w:w="1843" w:type="dxa"/>
          </w:tcPr>
          <w:p w14:paraId="00A6AB92" w14:textId="77777777" w:rsidR="009D33A8" w:rsidRDefault="009D33A8"/>
        </w:tc>
        <w:tc>
          <w:tcPr>
            <w:tcW w:w="6837" w:type="dxa"/>
          </w:tcPr>
          <w:p w14:paraId="1510B0A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VicGrid establishment costs</w:t>
            </w:r>
          </w:p>
        </w:tc>
        <w:tc>
          <w:tcPr>
            <w:tcW w:w="963" w:type="dxa"/>
          </w:tcPr>
          <w:p w14:paraId="3C56658B" w14:textId="77777777" w:rsidR="009D33A8" w:rsidRDefault="009D33A8">
            <w:pPr>
              <w:cnfStyle w:val="000000000000" w:firstRow="0" w:lastRow="0" w:firstColumn="0" w:lastColumn="0" w:oddVBand="0" w:evenVBand="0" w:oddHBand="0" w:evenHBand="0" w:firstRowFirstColumn="0" w:firstRowLastColumn="0" w:lastRowFirstColumn="0" w:lastRowLastColumn="0"/>
            </w:pPr>
            <w:r>
              <w:t>8 184</w:t>
            </w:r>
          </w:p>
        </w:tc>
      </w:tr>
      <w:tr w:rsidR="009D33A8" w14:paraId="35E97561" w14:textId="77777777">
        <w:tc>
          <w:tcPr>
            <w:cnfStyle w:val="001000000000" w:firstRow="0" w:lastRow="0" w:firstColumn="1" w:lastColumn="0" w:oddVBand="0" w:evenVBand="0" w:oddHBand="0" w:evenHBand="0" w:firstRowFirstColumn="0" w:firstRowLastColumn="0" w:lastRowFirstColumn="0" w:lastRowLastColumn="0"/>
            <w:tcW w:w="1843" w:type="dxa"/>
          </w:tcPr>
          <w:p w14:paraId="75F131A8" w14:textId="77777777" w:rsidR="009D33A8" w:rsidRDefault="009D33A8"/>
        </w:tc>
        <w:tc>
          <w:tcPr>
            <w:tcW w:w="6837" w:type="dxa"/>
          </w:tcPr>
          <w:p w14:paraId="410AEF98" w14:textId="75C621AA" w:rsidR="009D33A8" w:rsidRDefault="009D33A8">
            <w:pPr>
              <w:jc w:val="left"/>
              <w:cnfStyle w:val="000000000000" w:firstRow="0" w:lastRow="0" w:firstColumn="0" w:lastColumn="0" w:oddVBand="0" w:evenVBand="0" w:oddHBand="0" w:evenHBand="0" w:firstRowFirstColumn="0" w:firstRowLastColumn="0" w:lastRowFirstColumn="0" w:lastRowLastColumn="0"/>
            </w:pPr>
            <w:r>
              <w:t>Improving Victoria</w:t>
            </w:r>
            <w:r w:rsidR="00845934">
              <w:t>’</w:t>
            </w:r>
            <w:r>
              <w:t>s water resources knowledge and access</w:t>
            </w:r>
          </w:p>
        </w:tc>
        <w:tc>
          <w:tcPr>
            <w:tcW w:w="963" w:type="dxa"/>
          </w:tcPr>
          <w:p w14:paraId="5B9673E8" w14:textId="77777777" w:rsidR="009D33A8" w:rsidRDefault="009D33A8">
            <w:pPr>
              <w:cnfStyle w:val="000000000000" w:firstRow="0" w:lastRow="0" w:firstColumn="0" w:lastColumn="0" w:oddVBand="0" w:evenVBand="0" w:oddHBand="0" w:evenHBand="0" w:firstRowFirstColumn="0" w:firstRowLastColumn="0" w:lastRowFirstColumn="0" w:lastRowLastColumn="0"/>
            </w:pPr>
            <w:r>
              <w:t>7 644</w:t>
            </w:r>
          </w:p>
        </w:tc>
      </w:tr>
      <w:tr w:rsidR="009D33A8" w14:paraId="4545E514" w14:textId="77777777">
        <w:tc>
          <w:tcPr>
            <w:cnfStyle w:val="001000000000" w:firstRow="0" w:lastRow="0" w:firstColumn="1" w:lastColumn="0" w:oddVBand="0" w:evenVBand="0" w:oddHBand="0" w:evenHBand="0" w:firstRowFirstColumn="0" w:firstRowLastColumn="0" w:lastRowFirstColumn="0" w:lastRowLastColumn="0"/>
            <w:tcW w:w="1843" w:type="dxa"/>
          </w:tcPr>
          <w:p w14:paraId="5848EBDE" w14:textId="77777777" w:rsidR="009D33A8" w:rsidRDefault="009D33A8"/>
        </w:tc>
        <w:tc>
          <w:tcPr>
            <w:tcW w:w="6837" w:type="dxa"/>
          </w:tcPr>
          <w:p w14:paraId="008D977E" w14:textId="0D08A1F1" w:rsidR="009D33A8" w:rsidRDefault="009D33A8">
            <w:pPr>
              <w:jc w:val="left"/>
              <w:cnfStyle w:val="000000000000" w:firstRow="0" w:lastRow="0" w:firstColumn="0" w:lastColumn="0" w:oddVBand="0" w:evenVBand="0" w:oddHBand="0" w:evenHBand="0" w:firstRowFirstColumn="0" w:firstRowLastColumn="0" w:lastRowFirstColumn="0" w:lastRowLastColumn="0"/>
            </w:pPr>
            <w:r>
              <w:t>Resources for Recovery: Securing the Resources for Victoria</w:t>
            </w:r>
            <w:r w:rsidR="00845934">
              <w:t>’</w:t>
            </w:r>
            <w:r>
              <w:t>s Economic Recovery</w:t>
            </w:r>
          </w:p>
        </w:tc>
        <w:tc>
          <w:tcPr>
            <w:tcW w:w="963" w:type="dxa"/>
          </w:tcPr>
          <w:p w14:paraId="52F96935" w14:textId="77777777" w:rsidR="009D33A8" w:rsidRDefault="009D33A8">
            <w:pPr>
              <w:cnfStyle w:val="000000000000" w:firstRow="0" w:lastRow="0" w:firstColumn="0" w:lastColumn="0" w:oddVBand="0" w:evenVBand="0" w:oddHBand="0" w:evenHBand="0" w:firstRowFirstColumn="0" w:firstRowLastColumn="0" w:lastRowFirstColumn="0" w:lastRowLastColumn="0"/>
            </w:pPr>
            <w:r>
              <w:t>3 207</w:t>
            </w:r>
          </w:p>
        </w:tc>
      </w:tr>
      <w:tr w:rsidR="009D33A8" w14:paraId="4B473E12" w14:textId="77777777">
        <w:tc>
          <w:tcPr>
            <w:cnfStyle w:val="001000000000" w:firstRow="0" w:lastRow="0" w:firstColumn="1" w:lastColumn="0" w:oddVBand="0" w:evenVBand="0" w:oddHBand="0" w:evenHBand="0" w:firstRowFirstColumn="0" w:firstRowLastColumn="0" w:lastRowFirstColumn="0" w:lastRowLastColumn="0"/>
            <w:tcW w:w="1843" w:type="dxa"/>
          </w:tcPr>
          <w:p w14:paraId="257218DE" w14:textId="77777777" w:rsidR="009D33A8" w:rsidRDefault="009D33A8"/>
        </w:tc>
        <w:tc>
          <w:tcPr>
            <w:tcW w:w="6837" w:type="dxa"/>
          </w:tcPr>
          <w:p w14:paraId="2530C60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Regulating Safeguards for Gas Resources</w:t>
            </w:r>
          </w:p>
        </w:tc>
        <w:tc>
          <w:tcPr>
            <w:tcW w:w="963" w:type="dxa"/>
          </w:tcPr>
          <w:p w14:paraId="5B28E788" w14:textId="77777777" w:rsidR="009D33A8" w:rsidRDefault="009D33A8">
            <w:pPr>
              <w:cnfStyle w:val="000000000000" w:firstRow="0" w:lastRow="0" w:firstColumn="0" w:lastColumn="0" w:oddVBand="0" w:evenVBand="0" w:oddHBand="0" w:evenHBand="0" w:firstRowFirstColumn="0" w:firstRowLastColumn="0" w:lastRowFirstColumn="0" w:lastRowLastColumn="0"/>
            </w:pPr>
            <w:r>
              <w:t>2 642</w:t>
            </w:r>
          </w:p>
        </w:tc>
      </w:tr>
      <w:tr w:rsidR="009D33A8" w14:paraId="40F96879" w14:textId="77777777">
        <w:tc>
          <w:tcPr>
            <w:cnfStyle w:val="001000000000" w:firstRow="0" w:lastRow="0" w:firstColumn="1" w:lastColumn="0" w:oddVBand="0" w:evenVBand="0" w:oddHBand="0" w:evenHBand="0" w:firstRowFirstColumn="0" w:firstRowLastColumn="0" w:lastRowFirstColumn="0" w:lastRowLastColumn="0"/>
            <w:tcW w:w="1843" w:type="dxa"/>
          </w:tcPr>
          <w:p w14:paraId="07252770" w14:textId="77777777" w:rsidR="009D33A8" w:rsidRDefault="009D33A8"/>
        </w:tc>
        <w:tc>
          <w:tcPr>
            <w:tcW w:w="6837" w:type="dxa"/>
          </w:tcPr>
          <w:p w14:paraId="3766A09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Providing Care and Protection for Wildlife Across Victoria</w:t>
            </w:r>
          </w:p>
        </w:tc>
        <w:tc>
          <w:tcPr>
            <w:tcW w:w="963" w:type="dxa"/>
          </w:tcPr>
          <w:p w14:paraId="772AD34F" w14:textId="77777777" w:rsidR="009D33A8" w:rsidRDefault="009D33A8">
            <w:pPr>
              <w:cnfStyle w:val="000000000000" w:firstRow="0" w:lastRow="0" w:firstColumn="0" w:lastColumn="0" w:oddVBand="0" w:evenVBand="0" w:oddHBand="0" w:evenHBand="0" w:firstRowFirstColumn="0" w:firstRowLastColumn="0" w:lastRowFirstColumn="0" w:lastRowLastColumn="0"/>
            </w:pPr>
            <w:r>
              <w:t>555</w:t>
            </w:r>
          </w:p>
        </w:tc>
      </w:tr>
      <w:tr w:rsidR="009D33A8" w14:paraId="01A7BDF6" w14:textId="77777777">
        <w:tc>
          <w:tcPr>
            <w:cnfStyle w:val="001000000000" w:firstRow="0" w:lastRow="0" w:firstColumn="1" w:lastColumn="0" w:oddVBand="0" w:evenVBand="0" w:oddHBand="0" w:evenHBand="0" w:firstRowFirstColumn="0" w:firstRowLastColumn="0" w:lastRowFirstColumn="0" w:lastRowLastColumn="0"/>
            <w:tcW w:w="1843" w:type="dxa"/>
          </w:tcPr>
          <w:p w14:paraId="3B29BDA7" w14:textId="77777777" w:rsidR="009D33A8" w:rsidRDefault="009D33A8"/>
        </w:tc>
        <w:tc>
          <w:tcPr>
            <w:tcW w:w="6837" w:type="dxa"/>
          </w:tcPr>
          <w:p w14:paraId="4B5D856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Glenelg Hopkins Catchment Management Authority operational funding</w:t>
            </w:r>
          </w:p>
        </w:tc>
        <w:tc>
          <w:tcPr>
            <w:tcW w:w="963" w:type="dxa"/>
          </w:tcPr>
          <w:p w14:paraId="5DD2F903" w14:textId="77777777" w:rsidR="009D33A8" w:rsidRDefault="009D33A8">
            <w:pPr>
              <w:cnfStyle w:val="000000000000" w:firstRow="0" w:lastRow="0" w:firstColumn="0" w:lastColumn="0" w:oddVBand="0" w:evenVBand="0" w:oddHBand="0" w:evenHBand="0" w:firstRowFirstColumn="0" w:firstRowLastColumn="0" w:lastRowFirstColumn="0" w:lastRowLastColumn="0"/>
            </w:pPr>
            <w:r>
              <w:t>291</w:t>
            </w:r>
          </w:p>
        </w:tc>
      </w:tr>
      <w:tr w:rsidR="009D33A8" w14:paraId="207D09B5"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B2F3FFD" w14:textId="77777777" w:rsidR="009D33A8" w:rsidRDefault="009D33A8"/>
        </w:tc>
        <w:tc>
          <w:tcPr>
            <w:tcW w:w="6837" w:type="dxa"/>
            <w:tcBorders>
              <w:bottom w:val="single" w:sz="6" w:space="0" w:color="auto"/>
            </w:tcBorders>
          </w:tcPr>
          <w:p w14:paraId="7EB69A89"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3E53660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509 131</w:t>
            </w:r>
          </w:p>
        </w:tc>
      </w:tr>
      <w:tr w:rsidR="009D33A8" w14:paraId="29F438F5"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77EA3A52" w14:textId="77777777" w:rsidR="009D33A8" w:rsidRDefault="009D33A8">
            <w:r>
              <w:t>Families, Fairness</w:t>
            </w:r>
          </w:p>
        </w:tc>
        <w:tc>
          <w:tcPr>
            <w:tcW w:w="6837" w:type="dxa"/>
            <w:tcBorders>
              <w:top w:val="single" w:sz="6" w:space="0" w:color="auto"/>
            </w:tcBorders>
          </w:tcPr>
          <w:p w14:paraId="6FCC464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Regional Housing Fund</w:t>
            </w:r>
          </w:p>
        </w:tc>
        <w:tc>
          <w:tcPr>
            <w:tcW w:w="963" w:type="dxa"/>
            <w:tcBorders>
              <w:top w:val="single" w:sz="6" w:space="0" w:color="auto"/>
            </w:tcBorders>
          </w:tcPr>
          <w:p w14:paraId="0AB05687" w14:textId="77777777" w:rsidR="009D33A8" w:rsidRDefault="009D33A8">
            <w:pPr>
              <w:cnfStyle w:val="000000000000" w:firstRow="0" w:lastRow="0" w:firstColumn="0" w:lastColumn="0" w:oddVBand="0" w:evenVBand="0" w:oddHBand="0" w:evenHBand="0" w:firstRowFirstColumn="0" w:firstRowLastColumn="0" w:lastRowFirstColumn="0" w:lastRowLastColumn="0"/>
            </w:pPr>
            <w:r>
              <w:t>376 355</w:t>
            </w:r>
          </w:p>
        </w:tc>
      </w:tr>
      <w:tr w:rsidR="009D33A8" w14:paraId="3601D189" w14:textId="77777777">
        <w:tc>
          <w:tcPr>
            <w:cnfStyle w:val="001000000000" w:firstRow="0" w:lastRow="0" w:firstColumn="1" w:lastColumn="0" w:oddVBand="0" w:evenVBand="0" w:oddHBand="0" w:evenHBand="0" w:firstRowFirstColumn="0" w:firstRowLastColumn="0" w:lastRowFirstColumn="0" w:lastRowLastColumn="0"/>
            <w:tcW w:w="1843" w:type="dxa"/>
          </w:tcPr>
          <w:p w14:paraId="1939E686" w14:textId="77777777" w:rsidR="009D33A8" w:rsidRDefault="009D33A8">
            <w:r>
              <w:t>and Housing</w:t>
            </w:r>
          </w:p>
        </w:tc>
        <w:tc>
          <w:tcPr>
            <w:tcW w:w="6837" w:type="dxa"/>
          </w:tcPr>
          <w:p w14:paraId="5D4D5C2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High</w:t>
            </w:r>
            <w:r>
              <w:noBreakHyphen/>
              <w:t>rise Redevelopment Program</w:t>
            </w:r>
          </w:p>
        </w:tc>
        <w:tc>
          <w:tcPr>
            <w:tcW w:w="963" w:type="dxa"/>
          </w:tcPr>
          <w:p w14:paraId="7BD503DB" w14:textId="77777777" w:rsidR="009D33A8" w:rsidRDefault="009D33A8">
            <w:pPr>
              <w:cnfStyle w:val="000000000000" w:firstRow="0" w:lastRow="0" w:firstColumn="0" w:lastColumn="0" w:oddVBand="0" w:evenVBand="0" w:oddHBand="0" w:evenHBand="0" w:firstRowFirstColumn="0" w:firstRowLastColumn="0" w:lastRowFirstColumn="0" w:lastRowLastColumn="0"/>
            </w:pPr>
            <w:r>
              <w:t>149 600</w:t>
            </w:r>
          </w:p>
        </w:tc>
      </w:tr>
      <w:tr w:rsidR="009D33A8" w14:paraId="3AF14EB6" w14:textId="77777777">
        <w:tc>
          <w:tcPr>
            <w:cnfStyle w:val="001000000000" w:firstRow="0" w:lastRow="0" w:firstColumn="1" w:lastColumn="0" w:oddVBand="0" w:evenVBand="0" w:oddHBand="0" w:evenHBand="0" w:firstRowFirstColumn="0" w:firstRowLastColumn="0" w:lastRowFirstColumn="0" w:lastRowLastColumn="0"/>
            <w:tcW w:w="1843" w:type="dxa"/>
          </w:tcPr>
          <w:p w14:paraId="7ED03AAD" w14:textId="77777777" w:rsidR="009D33A8" w:rsidRDefault="009D33A8"/>
        </w:tc>
        <w:tc>
          <w:tcPr>
            <w:tcW w:w="6837" w:type="dxa"/>
          </w:tcPr>
          <w:p w14:paraId="1567EAB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Civil Claims Costs for Historical Institutional Child Abuse</w:t>
            </w:r>
          </w:p>
        </w:tc>
        <w:tc>
          <w:tcPr>
            <w:tcW w:w="963" w:type="dxa"/>
          </w:tcPr>
          <w:p w14:paraId="4EA56A71" w14:textId="77777777" w:rsidR="009D33A8" w:rsidRDefault="009D33A8">
            <w:pPr>
              <w:cnfStyle w:val="000000000000" w:firstRow="0" w:lastRow="0" w:firstColumn="0" w:lastColumn="0" w:oddVBand="0" w:evenVBand="0" w:oddHBand="0" w:evenHBand="0" w:firstRowFirstColumn="0" w:firstRowLastColumn="0" w:lastRowFirstColumn="0" w:lastRowLastColumn="0"/>
            </w:pPr>
            <w:r>
              <w:t>84 190</w:t>
            </w:r>
          </w:p>
        </w:tc>
      </w:tr>
      <w:tr w:rsidR="009D33A8" w14:paraId="54FF16A8" w14:textId="77777777">
        <w:tc>
          <w:tcPr>
            <w:cnfStyle w:val="001000000000" w:firstRow="0" w:lastRow="0" w:firstColumn="1" w:lastColumn="0" w:oddVBand="0" w:evenVBand="0" w:oddHBand="0" w:evenHBand="0" w:firstRowFirstColumn="0" w:firstRowLastColumn="0" w:lastRowFirstColumn="0" w:lastRowLastColumn="0"/>
            <w:tcW w:w="1843" w:type="dxa"/>
          </w:tcPr>
          <w:p w14:paraId="566577E7" w14:textId="77777777" w:rsidR="009D33A8" w:rsidRDefault="009D33A8"/>
        </w:tc>
        <w:tc>
          <w:tcPr>
            <w:tcW w:w="6837" w:type="dxa"/>
          </w:tcPr>
          <w:p w14:paraId="0DB5C65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Big Housing Build</w:t>
            </w:r>
          </w:p>
        </w:tc>
        <w:tc>
          <w:tcPr>
            <w:tcW w:w="963" w:type="dxa"/>
          </w:tcPr>
          <w:p w14:paraId="1185CC66" w14:textId="77777777" w:rsidR="009D33A8" w:rsidRDefault="009D33A8">
            <w:pPr>
              <w:cnfStyle w:val="000000000000" w:firstRow="0" w:lastRow="0" w:firstColumn="0" w:lastColumn="0" w:oddVBand="0" w:evenVBand="0" w:oddHBand="0" w:evenHBand="0" w:firstRowFirstColumn="0" w:firstRowLastColumn="0" w:lastRowFirstColumn="0" w:lastRowLastColumn="0"/>
            </w:pPr>
            <w:r>
              <w:t>79 474</w:t>
            </w:r>
          </w:p>
        </w:tc>
      </w:tr>
      <w:tr w:rsidR="009D33A8" w14:paraId="16C10582" w14:textId="77777777">
        <w:tc>
          <w:tcPr>
            <w:cnfStyle w:val="001000000000" w:firstRow="0" w:lastRow="0" w:firstColumn="1" w:lastColumn="0" w:oddVBand="0" w:evenVBand="0" w:oddHBand="0" w:evenHBand="0" w:firstRowFirstColumn="0" w:firstRowLastColumn="0" w:lastRowFirstColumn="0" w:lastRowLastColumn="0"/>
            <w:tcW w:w="1843" w:type="dxa"/>
          </w:tcPr>
          <w:p w14:paraId="59150E4F" w14:textId="77777777" w:rsidR="009D33A8" w:rsidRDefault="009D33A8"/>
        </w:tc>
        <w:tc>
          <w:tcPr>
            <w:tcW w:w="6837" w:type="dxa"/>
          </w:tcPr>
          <w:p w14:paraId="17D2E06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0FF72131" w14:textId="77777777" w:rsidR="009D33A8" w:rsidRDefault="009D33A8">
            <w:pPr>
              <w:cnfStyle w:val="000000000000" w:firstRow="0" w:lastRow="0" w:firstColumn="0" w:lastColumn="0" w:oddVBand="0" w:evenVBand="0" w:oddHBand="0" w:evenHBand="0" w:firstRowFirstColumn="0" w:firstRowLastColumn="0" w:lastRowFirstColumn="0" w:lastRowLastColumn="0"/>
            </w:pPr>
            <w:r>
              <w:t>52 340</w:t>
            </w:r>
          </w:p>
        </w:tc>
      </w:tr>
      <w:tr w:rsidR="009D33A8" w14:paraId="3D618103" w14:textId="77777777">
        <w:tc>
          <w:tcPr>
            <w:cnfStyle w:val="001000000000" w:firstRow="0" w:lastRow="0" w:firstColumn="1" w:lastColumn="0" w:oddVBand="0" w:evenVBand="0" w:oddHBand="0" w:evenHBand="0" w:firstRowFirstColumn="0" w:firstRowLastColumn="0" w:lastRowFirstColumn="0" w:lastRowLastColumn="0"/>
            <w:tcW w:w="1843" w:type="dxa"/>
          </w:tcPr>
          <w:p w14:paraId="05FD0241" w14:textId="77777777" w:rsidR="009D33A8" w:rsidRDefault="009D33A8"/>
        </w:tc>
        <w:tc>
          <w:tcPr>
            <w:tcW w:w="6837" w:type="dxa"/>
          </w:tcPr>
          <w:p w14:paraId="564C29A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Aboriginal Children in Aboriginal Care</w:t>
            </w:r>
          </w:p>
        </w:tc>
        <w:tc>
          <w:tcPr>
            <w:tcW w:w="963" w:type="dxa"/>
          </w:tcPr>
          <w:p w14:paraId="42E7457C" w14:textId="77777777" w:rsidR="009D33A8" w:rsidRDefault="009D33A8">
            <w:pPr>
              <w:cnfStyle w:val="000000000000" w:firstRow="0" w:lastRow="0" w:firstColumn="0" w:lastColumn="0" w:oddVBand="0" w:evenVBand="0" w:oddHBand="0" w:evenHBand="0" w:firstRowFirstColumn="0" w:firstRowLastColumn="0" w:lastRowFirstColumn="0" w:lastRowLastColumn="0"/>
            </w:pPr>
            <w:r>
              <w:t>11 155</w:t>
            </w:r>
          </w:p>
        </w:tc>
      </w:tr>
      <w:tr w:rsidR="009D33A8" w14:paraId="10AEAA8F" w14:textId="77777777">
        <w:tc>
          <w:tcPr>
            <w:cnfStyle w:val="001000000000" w:firstRow="0" w:lastRow="0" w:firstColumn="1" w:lastColumn="0" w:oddVBand="0" w:evenVBand="0" w:oddHBand="0" w:evenHBand="0" w:firstRowFirstColumn="0" w:firstRowLastColumn="0" w:lastRowFirstColumn="0" w:lastRowLastColumn="0"/>
            <w:tcW w:w="1843" w:type="dxa"/>
          </w:tcPr>
          <w:p w14:paraId="609F1732" w14:textId="77777777" w:rsidR="009D33A8" w:rsidRDefault="009D33A8"/>
        </w:tc>
        <w:tc>
          <w:tcPr>
            <w:tcW w:w="6837" w:type="dxa"/>
          </w:tcPr>
          <w:p w14:paraId="5249C17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Social Services Regulator</w:t>
            </w:r>
          </w:p>
        </w:tc>
        <w:tc>
          <w:tcPr>
            <w:tcW w:w="963" w:type="dxa"/>
          </w:tcPr>
          <w:p w14:paraId="728FC613" w14:textId="77777777" w:rsidR="009D33A8" w:rsidRDefault="009D33A8">
            <w:pPr>
              <w:cnfStyle w:val="000000000000" w:firstRow="0" w:lastRow="0" w:firstColumn="0" w:lastColumn="0" w:oddVBand="0" w:evenVBand="0" w:oddHBand="0" w:evenHBand="0" w:firstRowFirstColumn="0" w:firstRowLastColumn="0" w:lastRowFirstColumn="0" w:lastRowLastColumn="0"/>
            </w:pPr>
            <w:r>
              <w:t>8 890</w:t>
            </w:r>
          </w:p>
        </w:tc>
      </w:tr>
      <w:tr w:rsidR="009D33A8" w14:paraId="3338D1A3" w14:textId="77777777">
        <w:tc>
          <w:tcPr>
            <w:cnfStyle w:val="001000000000" w:firstRow="0" w:lastRow="0" w:firstColumn="1" w:lastColumn="0" w:oddVBand="0" w:evenVBand="0" w:oddHBand="0" w:evenHBand="0" w:firstRowFirstColumn="0" w:firstRowLastColumn="0" w:lastRowFirstColumn="0" w:lastRowLastColumn="0"/>
            <w:tcW w:w="1843" w:type="dxa"/>
          </w:tcPr>
          <w:p w14:paraId="17D1F9E8" w14:textId="77777777" w:rsidR="009D33A8" w:rsidRDefault="009D33A8"/>
        </w:tc>
        <w:tc>
          <w:tcPr>
            <w:tcW w:w="6837" w:type="dxa"/>
          </w:tcPr>
          <w:p w14:paraId="6D6CF77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Partnerships Addressing Disadvantage</w:t>
            </w:r>
          </w:p>
        </w:tc>
        <w:tc>
          <w:tcPr>
            <w:tcW w:w="963" w:type="dxa"/>
          </w:tcPr>
          <w:p w14:paraId="085EADA9" w14:textId="77777777" w:rsidR="009D33A8" w:rsidRDefault="009D33A8">
            <w:pPr>
              <w:cnfStyle w:val="000000000000" w:firstRow="0" w:lastRow="0" w:firstColumn="0" w:lastColumn="0" w:oddVBand="0" w:evenVBand="0" w:oddHBand="0" w:evenHBand="0" w:firstRowFirstColumn="0" w:firstRowLastColumn="0" w:lastRowFirstColumn="0" w:lastRowLastColumn="0"/>
            </w:pPr>
            <w:r>
              <w:t>6 401</w:t>
            </w:r>
          </w:p>
        </w:tc>
      </w:tr>
      <w:tr w:rsidR="009D33A8" w14:paraId="3BD5F4A6" w14:textId="77777777">
        <w:tc>
          <w:tcPr>
            <w:cnfStyle w:val="001000000000" w:firstRow="0" w:lastRow="0" w:firstColumn="1" w:lastColumn="0" w:oddVBand="0" w:evenVBand="0" w:oddHBand="0" w:evenHBand="0" w:firstRowFirstColumn="0" w:firstRowLastColumn="0" w:lastRowFirstColumn="0" w:lastRowLastColumn="0"/>
            <w:tcW w:w="1843" w:type="dxa"/>
          </w:tcPr>
          <w:p w14:paraId="25CF1842" w14:textId="77777777" w:rsidR="009D33A8" w:rsidRDefault="009D33A8"/>
        </w:tc>
        <w:tc>
          <w:tcPr>
            <w:tcW w:w="6837" w:type="dxa"/>
          </w:tcPr>
          <w:p w14:paraId="14E25EB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Family violence core and cluster refuge</w:t>
            </w:r>
          </w:p>
        </w:tc>
        <w:tc>
          <w:tcPr>
            <w:tcW w:w="963" w:type="dxa"/>
          </w:tcPr>
          <w:p w14:paraId="4B594C6E" w14:textId="77777777" w:rsidR="009D33A8" w:rsidRDefault="009D33A8">
            <w:pPr>
              <w:cnfStyle w:val="000000000000" w:firstRow="0" w:lastRow="0" w:firstColumn="0" w:lastColumn="0" w:oddVBand="0" w:evenVBand="0" w:oddHBand="0" w:evenHBand="0" w:firstRowFirstColumn="0" w:firstRowLastColumn="0" w:lastRowFirstColumn="0" w:lastRowLastColumn="0"/>
            </w:pPr>
            <w:r>
              <w:t>6 032</w:t>
            </w:r>
          </w:p>
        </w:tc>
      </w:tr>
      <w:tr w:rsidR="009D33A8" w14:paraId="62482A15" w14:textId="77777777">
        <w:tc>
          <w:tcPr>
            <w:cnfStyle w:val="001000000000" w:firstRow="0" w:lastRow="0" w:firstColumn="1" w:lastColumn="0" w:oddVBand="0" w:evenVBand="0" w:oddHBand="0" w:evenHBand="0" w:firstRowFirstColumn="0" w:firstRowLastColumn="0" w:lastRowFirstColumn="0" w:lastRowLastColumn="0"/>
            <w:tcW w:w="1843" w:type="dxa"/>
          </w:tcPr>
          <w:p w14:paraId="1A17523C" w14:textId="77777777" w:rsidR="009D33A8" w:rsidRDefault="009D33A8"/>
        </w:tc>
        <w:tc>
          <w:tcPr>
            <w:tcW w:w="6837" w:type="dxa"/>
          </w:tcPr>
          <w:p w14:paraId="0BBA77AE" w14:textId="747BD3D3" w:rsidR="009D33A8" w:rsidRDefault="009D33A8">
            <w:pPr>
              <w:jc w:val="left"/>
              <w:cnfStyle w:val="000000000000" w:firstRow="0" w:lastRow="0" w:firstColumn="0" w:lastColumn="0" w:oddVBand="0" w:evenVBand="0" w:oddHBand="0" w:evenHBand="0" w:firstRowFirstColumn="0" w:firstRowLastColumn="0" w:lastRowFirstColumn="0" w:lastRowLastColumn="0"/>
            </w:pPr>
            <w:r>
              <w:t>Strengthening Women</w:t>
            </w:r>
            <w:r w:rsidR="00845934">
              <w:t>’</w:t>
            </w:r>
            <w:r>
              <w:t>s Safety Package</w:t>
            </w:r>
          </w:p>
        </w:tc>
        <w:tc>
          <w:tcPr>
            <w:tcW w:w="963" w:type="dxa"/>
          </w:tcPr>
          <w:p w14:paraId="0B8E0450" w14:textId="77777777" w:rsidR="009D33A8" w:rsidRDefault="009D33A8">
            <w:pPr>
              <w:cnfStyle w:val="000000000000" w:firstRow="0" w:lastRow="0" w:firstColumn="0" w:lastColumn="0" w:oddVBand="0" w:evenVBand="0" w:oddHBand="0" w:evenHBand="0" w:firstRowFirstColumn="0" w:firstRowLastColumn="0" w:lastRowFirstColumn="0" w:lastRowLastColumn="0"/>
            </w:pPr>
            <w:r>
              <w:t>3 810</w:t>
            </w:r>
          </w:p>
        </w:tc>
      </w:tr>
      <w:tr w:rsidR="009D33A8" w14:paraId="14ABEAAC" w14:textId="77777777">
        <w:tc>
          <w:tcPr>
            <w:cnfStyle w:val="001000000000" w:firstRow="0" w:lastRow="0" w:firstColumn="1" w:lastColumn="0" w:oddVBand="0" w:evenVBand="0" w:oddHBand="0" w:evenHBand="0" w:firstRowFirstColumn="0" w:firstRowLastColumn="0" w:lastRowFirstColumn="0" w:lastRowLastColumn="0"/>
            <w:tcW w:w="1843" w:type="dxa"/>
          </w:tcPr>
          <w:p w14:paraId="05834A3D" w14:textId="77777777" w:rsidR="009D33A8" w:rsidRDefault="009D33A8"/>
        </w:tc>
        <w:tc>
          <w:tcPr>
            <w:tcW w:w="6837" w:type="dxa"/>
          </w:tcPr>
          <w:p w14:paraId="18C3BB2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Journey to Social Inclusion</w:t>
            </w:r>
          </w:p>
        </w:tc>
        <w:tc>
          <w:tcPr>
            <w:tcW w:w="963" w:type="dxa"/>
          </w:tcPr>
          <w:p w14:paraId="27EEF14D" w14:textId="77777777" w:rsidR="009D33A8" w:rsidRDefault="009D33A8">
            <w:pPr>
              <w:cnfStyle w:val="000000000000" w:firstRow="0" w:lastRow="0" w:firstColumn="0" w:lastColumn="0" w:oddVBand="0" w:evenVBand="0" w:oddHBand="0" w:evenHBand="0" w:firstRowFirstColumn="0" w:firstRowLastColumn="0" w:lastRowFirstColumn="0" w:lastRowLastColumn="0"/>
            </w:pPr>
            <w:r>
              <w:t>2 513</w:t>
            </w:r>
          </w:p>
        </w:tc>
      </w:tr>
      <w:tr w:rsidR="009D33A8" w14:paraId="11129C42" w14:textId="77777777">
        <w:tc>
          <w:tcPr>
            <w:cnfStyle w:val="001000000000" w:firstRow="0" w:lastRow="0" w:firstColumn="1" w:lastColumn="0" w:oddVBand="0" w:evenVBand="0" w:oddHBand="0" w:evenHBand="0" w:firstRowFirstColumn="0" w:firstRowLastColumn="0" w:lastRowFirstColumn="0" w:lastRowLastColumn="0"/>
            <w:tcW w:w="1843" w:type="dxa"/>
          </w:tcPr>
          <w:p w14:paraId="225677D7" w14:textId="77777777" w:rsidR="009D33A8" w:rsidRDefault="009D33A8"/>
        </w:tc>
        <w:tc>
          <w:tcPr>
            <w:tcW w:w="6837" w:type="dxa"/>
          </w:tcPr>
          <w:p w14:paraId="6A404526" w14:textId="64EB2A58" w:rsidR="009D33A8" w:rsidRDefault="009D33A8">
            <w:pPr>
              <w:jc w:val="left"/>
              <w:cnfStyle w:val="000000000000" w:firstRow="0" w:lastRow="0" w:firstColumn="0" w:lastColumn="0" w:oddVBand="0" w:evenVBand="0" w:oddHBand="0" w:evenHBand="0" w:firstRowFirstColumn="0" w:firstRowLastColumn="0" w:lastRowFirstColumn="0" w:lastRowLastColumn="0"/>
            </w:pPr>
            <w:r>
              <w:t>Victorian Working Women</w:t>
            </w:r>
            <w:r w:rsidR="00845934">
              <w:t>’</w:t>
            </w:r>
            <w:r>
              <w:t>s Centre</w:t>
            </w:r>
          </w:p>
        </w:tc>
        <w:tc>
          <w:tcPr>
            <w:tcW w:w="963" w:type="dxa"/>
          </w:tcPr>
          <w:p w14:paraId="3EA9BF09" w14:textId="77777777" w:rsidR="009D33A8" w:rsidRDefault="009D33A8">
            <w:pPr>
              <w:cnfStyle w:val="000000000000" w:firstRow="0" w:lastRow="0" w:firstColumn="0" w:lastColumn="0" w:oddVBand="0" w:evenVBand="0" w:oddHBand="0" w:evenHBand="0" w:firstRowFirstColumn="0" w:firstRowLastColumn="0" w:lastRowFirstColumn="0" w:lastRowLastColumn="0"/>
            </w:pPr>
            <w:r>
              <w:t>2 400</w:t>
            </w:r>
          </w:p>
        </w:tc>
      </w:tr>
      <w:tr w:rsidR="009D33A8" w14:paraId="1BEB1BD1" w14:textId="77777777">
        <w:tc>
          <w:tcPr>
            <w:cnfStyle w:val="001000000000" w:firstRow="0" w:lastRow="0" w:firstColumn="1" w:lastColumn="0" w:oddVBand="0" w:evenVBand="0" w:oddHBand="0" w:evenHBand="0" w:firstRowFirstColumn="0" w:firstRowLastColumn="0" w:lastRowFirstColumn="0" w:lastRowLastColumn="0"/>
            <w:tcW w:w="1843" w:type="dxa"/>
          </w:tcPr>
          <w:p w14:paraId="1201373E" w14:textId="77777777" w:rsidR="009D33A8" w:rsidRDefault="009D33A8"/>
        </w:tc>
        <w:tc>
          <w:tcPr>
            <w:tcW w:w="6837" w:type="dxa"/>
          </w:tcPr>
          <w:p w14:paraId="53B0FFE4" w14:textId="03AB1E35"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Victoria</w:t>
            </w:r>
            <w:r w:rsidR="00845934">
              <w:t>’</w:t>
            </w:r>
            <w:r>
              <w:t>s response to sexual violence</w:t>
            </w:r>
          </w:p>
        </w:tc>
        <w:tc>
          <w:tcPr>
            <w:tcW w:w="963" w:type="dxa"/>
          </w:tcPr>
          <w:p w14:paraId="4855BAC6" w14:textId="77777777" w:rsidR="009D33A8" w:rsidRDefault="009D33A8">
            <w:pPr>
              <w:cnfStyle w:val="000000000000" w:firstRow="0" w:lastRow="0" w:firstColumn="0" w:lastColumn="0" w:oddVBand="0" w:evenVBand="0" w:oddHBand="0" w:evenHBand="0" w:firstRowFirstColumn="0" w:firstRowLastColumn="0" w:lastRowFirstColumn="0" w:lastRowLastColumn="0"/>
            </w:pPr>
            <w:r>
              <w:t>2 000</w:t>
            </w:r>
          </w:p>
        </w:tc>
      </w:tr>
      <w:tr w:rsidR="009D33A8" w14:paraId="3AE06775" w14:textId="77777777">
        <w:tc>
          <w:tcPr>
            <w:cnfStyle w:val="001000000000" w:firstRow="0" w:lastRow="0" w:firstColumn="1" w:lastColumn="0" w:oddVBand="0" w:evenVBand="0" w:oddHBand="0" w:evenHBand="0" w:firstRowFirstColumn="0" w:firstRowLastColumn="0" w:lastRowFirstColumn="0" w:lastRowLastColumn="0"/>
            <w:tcW w:w="1843" w:type="dxa"/>
          </w:tcPr>
          <w:p w14:paraId="2596EB42" w14:textId="77777777" w:rsidR="009D33A8" w:rsidRDefault="009D33A8"/>
        </w:tc>
        <w:tc>
          <w:tcPr>
            <w:tcW w:w="6837" w:type="dxa"/>
          </w:tcPr>
          <w:p w14:paraId="29CBFDA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Victorian Redress for historical abuse and neglect in institutional care</w:t>
            </w:r>
          </w:p>
        </w:tc>
        <w:tc>
          <w:tcPr>
            <w:tcW w:w="963" w:type="dxa"/>
          </w:tcPr>
          <w:p w14:paraId="11CE8566" w14:textId="77777777" w:rsidR="009D33A8" w:rsidRDefault="009D33A8">
            <w:pPr>
              <w:cnfStyle w:val="000000000000" w:firstRow="0" w:lastRow="0" w:firstColumn="0" w:lastColumn="0" w:oddVBand="0" w:evenVBand="0" w:oddHBand="0" w:evenHBand="0" w:firstRowFirstColumn="0" w:firstRowLastColumn="0" w:lastRowFirstColumn="0" w:lastRowLastColumn="0"/>
            </w:pPr>
            <w:r>
              <w:t>1 858</w:t>
            </w:r>
          </w:p>
        </w:tc>
      </w:tr>
      <w:tr w:rsidR="009D33A8" w14:paraId="1B086867"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4DEDBF55" w14:textId="77777777" w:rsidR="009D33A8" w:rsidRDefault="009D33A8"/>
        </w:tc>
        <w:tc>
          <w:tcPr>
            <w:tcW w:w="6837" w:type="dxa"/>
            <w:tcBorders>
              <w:bottom w:val="single" w:sz="6" w:space="0" w:color="auto"/>
            </w:tcBorders>
          </w:tcPr>
          <w:p w14:paraId="34D1F2D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755D656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787 019</w:t>
            </w:r>
          </w:p>
        </w:tc>
      </w:tr>
      <w:tr w:rsidR="009D33A8" w14:paraId="13A92D36"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2C9A099E" w14:textId="77777777" w:rsidR="009D33A8" w:rsidRDefault="009D33A8">
            <w:r>
              <w:t>Government Services</w:t>
            </w:r>
          </w:p>
        </w:tc>
        <w:tc>
          <w:tcPr>
            <w:tcW w:w="6837" w:type="dxa"/>
            <w:tcBorders>
              <w:top w:val="single" w:sz="6" w:space="0" w:color="auto"/>
            </w:tcBorders>
          </w:tcPr>
          <w:p w14:paraId="2C6FAFD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Service Victoria – delivering digital government services</w:t>
            </w:r>
          </w:p>
        </w:tc>
        <w:tc>
          <w:tcPr>
            <w:tcW w:w="963" w:type="dxa"/>
            <w:tcBorders>
              <w:top w:val="single" w:sz="6" w:space="0" w:color="auto"/>
            </w:tcBorders>
          </w:tcPr>
          <w:p w14:paraId="53B9A2D8" w14:textId="77777777" w:rsidR="009D33A8" w:rsidRDefault="009D33A8">
            <w:pPr>
              <w:cnfStyle w:val="000000000000" w:firstRow="0" w:lastRow="0" w:firstColumn="0" w:lastColumn="0" w:oddVBand="0" w:evenVBand="0" w:oddHBand="0" w:evenHBand="0" w:firstRowFirstColumn="0" w:firstRowLastColumn="0" w:lastRowFirstColumn="0" w:lastRowLastColumn="0"/>
            </w:pPr>
            <w:r>
              <w:t>25 000</w:t>
            </w:r>
          </w:p>
        </w:tc>
      </w:tr>
      <w:tr w:rsidR="009D33A8" w14:paraId="58A80FBD" w14:textId="77777777">
        <w:tc>
          <w:tcPr>
            <w:cnfStyle w:val="001000000000" w:firstRow="0" w:lastRow="0" w:firstColumn="1" w:lastColumn="0" w:oddVBand="0" w:evenVBand="0" w:oddHBand="0" w:evenHBand="0" w:firstRowFirstColumn="0" w:firstRowLastColumn="0" w:lastRowFirstColumn="0" w:lastRowLastColumn="0"/>
            <w:tcW w:w="1843" w:type="dxa"/>
          </w:tcPr>
          <w:p w14:paraId="5C3823F1" w14:textId="77777777" w:rsidR="009D33A8" w:rsidRDefault="009D33A8"/>
        </w:tc>
        <w:tc>
          <w:tcPr>
            <w:tcW w:w="6837" w:type="dxa"/>
          </w:tcPr>
          <w:p w14:paraId="70C7BEA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39E9C7F0" w14:textId="77777777" w:rsidR="009D33A8" w:rsidRDefault="009D33A8">
            <w:pPr>
              <w:cnfStyle w:val="000000000000" w:firstRow="0" w:lastRow="0" w:firstColumn="0" w:lastColumn="0" w:oddVBand="0" w:evenVBand="0" w:oddHBand="0" w:evenHBand="0" w:firstRowFirstColumn="0" w:firstRowLastColumn="0" w:lastRowFirstColumn="0" w:lastRowLastColumn="0"/>
            </w:pPr>
            <w:r>
              <w:t>19 160</w:t>
            </w:r>
          </w:p>
        </w:tc>
      </w:tr>
      <w:tr w:rsidR="009D33A8" w14:paraId="123008E7" w14:textId="77777777">
        <w:tc>
          <w:tcPr>
            <w:cnfStyle w:val="001000000000" w:firstRow="0" w:lastRow="0" w:firstColumn="1" w:lastColumn="0" w:oddVBand="0" w:evenVBand="0" w:oddHBand="0" w:evenHBand="0" w:firstRowFirstColumn="0" w:firstRowLastColumn="0" w:lastRowFirstColumn="0" w:lastRowLastColumn="0"/>
            <w:tcW w:w="1843" w:type="dxa"/>
          </w:tcPr>
          <w:p w14:paraId="42709F6D" w14:textId="77777777" w:rsidR="009D33A8" w:rsidRDefault="009D33A8"/>
        </w:tc>
        <w:tc>
          <w:tcPr>
            <w:tcW w:w="6837" w:type="dxa"/>
          </w:tcPr>
          <w:p w14:paraId="75A0E34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Cyber Security Reform</w:t>
            </w:r>
          </w:p>
        </w:tc>
        <w:tc>
          <w:tcPr>
            <w:tcW w:w="963" w:type="dxa"/>
          </w:tcPr>
          <w:p w14:paraId="383CDE7C" w14:textId="77777777" w:rsidR="009D33A8" w:rsidRDefault="009D33A8">
            <w:pPr>
              <w:cnfStyle w:val="000000000000" w:firstRow="0" w:lastRow="0" w:firstColumn="0" w:lastColumn="0" w:oddVBand="0" w:evenVBand="0" w:oddHBand="0" w:evenHBand="0" w:firstRowFirstColumn="0" w:firstRowLastColumn="0" w:lastRowFirstColumn="0" w:lastRowLastColumn="0"/>
            </w:pPr>
            <w:r>
              <w:t>14 000</w:t>
            </w:r>
          </w:p>
        </w:tc>
      </w:tr>
      <w:tr w:rsidR="009D33A8" w14:paraId="035615FD" w14:textId="77777777">
        <w:tc>
          <w:tcPr>
            <w:cnfStyle w:val="001000000000" w:firstRow="0" w:lastRow="0" w:firstColumn="1" w:lastColumn="0" w:oddVBand="0" w:evenVBand="0" w:oddHBand="0" w:evenHBand="0" w:firstRowFirstColumn="0" w:firstRowLastColumn="0" w:lastRowFirstColumn="0" w:lastRowLastColumn="0"/>
            <w:tcW w:w="1843" w:type="dxa"/>
          </w:tcPr>
          <w:p w14:paraId="57D22ED4" w14:textId="77777777" w:rsidR="009D33A8" w:rsidRDefault="009D33A8"/>
        </w:tc>
        <w:tc>
          <w:tcPr>
            <w:tcW w:w="6837" w:type="dxa"/>
          </w:tcPr>
          <w:p w14:paraId="355B5B9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Common corporate platform Whole of Government Initiative</w:t>
            </w:r>
          </w:p>
        </w:tc>
        <w:tc>
          <w:tcPr>
            <w:tcW w:w="963" w:type="dxa"/>
          </w:tcPr>
          <w:p w14:paraId="0CD5DB98" w14:textId="77777777" w:rsidR="009D33A8" w:rsidRDefault="009D33A8">
            <w:pPr>
              <w:cnfStyle w:val="000000000000" w:firstRow="0" w:lastRow="0" w:firstColumn="0" w:lastColumn="0" w:oddVBand="0" w:evenVBand="0" w:oddHBand="0" w:evenHBand="0" w:firstRowFirstColumn="0" w:firstRowLastColumn="0" w:lastRowFirstColumn="0" w:lastRowLastColumn="0"/>
            </w:pPr>
            <w:r>
              <w:t>12 998</w:t>
            </w:r>
          </w:p>
        </w:tc>
      </w:tr>
      <w:tr w:rsidR="009D33A8" w14:paraId="75C2CF88" w14:textId="77777777">
        <w:tc>
          <w:tcPr>
            <w:cnfStyle w:val="001000000000" w:firstRow="0" w:lastRow="0" w:firstColumn="1" w:lastColumn="0" w:oddVBand="0" w:evenVBand="0" w:oddHBand="0" w:evenHBand="0" w:firstRowFirstColumn="0" w:firstRowLastColumn="0" w:lastRowFirstColumn="0" w:lastRowLastColumn="0"/>
            <w:tcW w:w="1843" w:type="dxa"/>
          </w:tcPr>
          <w:p w14:paraId="18962E21" w14:textId="77777777" w:rsidR="009D33A8" w:rsidRDefault="009D33A8"/>
        </w:tc>
        <w:tc>
          <w:tcPr>
            <w:tcW w:w="6837" w:type="dxa"/>
          </w:tcPr>
          <w:p w14:paraId="547469B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Relief and immediate recovery initiatives</w:t>
            </w:r>
          </w:p>
        </w:tc>
        <w:tc>
          <w:tcPr>
            <w:tcW w:w="963" w:type="dxa"/>
          </w:tcPr>
          <w:p w14:paraId="1107DD55" w14:textId="77777777" w:rsidR="009D33A8" w:rsidRDefault="009D33A8">
            <w:pPr>
              <w:cnfStyle w:val="000000000000" w:firstRow="0" w:lastRow="0" w:firstColumn="0" w:lastColumn="0" w:oddVBand="0" w:evenVBand="0" w:oddHBand="0" w:evenHBand="0" w:firstRowFirstColumn="0" w:firstRowLastColumn="0" w:lastRowFirstColumn="0" w:lastRowLastColumn="0"/>
            </w:pPr>
            <w:r>
              <w:t>10 000</w:t>
            </w:r>
          </w:p>
        </w:tc>
      </w:tr>
      <w:tr w:rsidR="009D33A8" w14:paraId="04471800" w14:textId="77777777">
        <w:tc>
          <w:tcPr>
            <w:cnfStyle w:val="001000000000" w:firstRow="0" w:lastRow="0" w:firstColumn="1" w:lastColumn="0" w:oddVBand="0" w:evenVBand="0" w:oddHBand="0" w:evenHBand="0" w:firstRowFirstColumn="0" w:firstRowLastColumn="0" w:lastRowFirstColumn="0" w:lastRowLastColumn="0"/>
            <w:tcW w:w="1843" w:type="dxa"/>
          </w:tcPr>
          <w:p w14:paraId="4DA08373" w14:textId="77777777" w:rsidR="009D33A8" w:rsidRDefault="009D33A8"/>
        </w:tc>
        <w:tc>
          <w:tcPr>
            <w:tcW w:w="6837" w:type="dxa"/>
          </w:tcPr>
          <w:p w14:paraId="21DFB41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Addressing the security and workplace requirements of government buildings</w:t>
            </w:r>
          </w:p>
        </w:tc>
        <w:tc>
          <w:tcPr>
            <w:tcW w:w="963" w:type="dxa"/>
          </w:tcPr>
          <w:p w14:paraId="1E0D6E24" w14:textId="77777777" w:rsidR="009D33A8" w:rsidRDefault="009D33A8">
            <w:pPr>
              <w:cnfStyle w:val="000000000000" w:firstRow="0" w:lastRow="0" w:firstColumn="0" w:lastColumn="0" w:oddVBand="0" w:evenVBand="0" w:oddHBand="0" w:evenHBand="0" w:firstRowFirstColumn="0" w:firstRowLastColumn="0" w:lastRowFirstColumn="0" w:lastRowLastColumn="0"/>
            </w:pPr>
            <w:r>
              <w:t>1 500</w:t>
            </w:r>
          </w:p>
        </w:tc>
      </w:tr>
      <w:tr w:rsidR="009D33A8" w14:paraId="611C531F" w14:textId="77777777">
        <w:tc>
          <w:tcPr>
            <w:cnfStyle w:val="001000000000" w:firstRow="0" w:lastRow="0" w:firstColumn="1" w:lastColumn="0" w:oddVBand="0" w:evenVBand="0" w:oddHBand="0" w:evenHBand="0" w:firstRowFirstColumn="0" w:firstRowLastColumn="0" w:lastRowFirstColumn="0" w:lastRowLastColumn="0"/>
            <w:tcW w:w="1843" w:type="dxa"/>
          </w:tcPr>
          <w:p w14:paraId="36705EF7" w14:textId="77777777" w:rsidR="009D33A8" w:rsidRDefault="009D33A8"/>
        </w:tc>
        <w:tc>
          <w:tcPr>
            <w:tcW w:w="6837" w:type="dxa"/>
          </w:tcPr>
          <w:p w14:paraId="0FF7EE9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3588EDEC" w14:textId="77777777" w:rsidR="009D33A8" w:rsidRDefault="009D33A8">
            <w:pPr>
              <w:cnfStyle w:val="000000000000" w:firstRow="0" w:lastRow="0" w:firstColumn="0" w:lastColumn="0" w:oddVBand="0" w:evenVBand="0" w:oddHBand="0" w:evenHBand="0" w:firstRowFirstColumn="0" w:firstRowLastColumn="0" w:lastRowFirstColumn="0" w:lastRowLastColumn="0"/>
            </w:pPr>
            <w:r>
              <w:t>388</w:t>
            </w:r>
          </w:p>
        </w:tc>
      </w:tr>
      <w:tr w:rsidR="009D33A8" w14:paraId="5219D641"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6ADA4AE" w14:textId="77777777" w:rsidR="009D33A8" w:rsidRDefault="009D33A8"/>
        </w:tc>
        <w:tc>
          <w:tcPr>
            <w:tcW w:w="6837" w:type="dxa"/>
            <w:tcBorders>
              <w:bottom w:val="single" w:sz="6" w:space="0" w:color="auto"/>
            </w:tcBorders>
          </w:tcPr>
          <w:p w14:paraId="1E93679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17F94D5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83 046</w:t>
            </w:r>
          </w:p>
        </w:tc>
      </w:tr>
      <w:tr w:rsidR="009D33A8" w14:paraId="7146FE00"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443D63EA" w14:textId="77777777" w:rsidR="009D33A8" w:rsidRDefault="009D33A8">
            <w:r>
              <w:t>Health</w:t>
            </w:r>
          </w:p>
        </w:tc>
        <w:tc>
          <w:tcPr>
            <w:tcW w:w="6837" w:type="dxa"/>
            <w:tcBorders>
              <w:top w:val="single" w:sz="6" w:space="0" w:color="auto"/>
            </w:tcBorders>
          </w:tcPr>
          <w:p w14:paraId="022EDBD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Funding our hospitals</w:t>
            </w:r>
          </w:p>
        </w:tc>
        <w:tc>
          <w:tcPr>
            <w:tcW w:w="963" w:type="dxa"/>
            <w:tcBorders>
              <w:top w:val="single" w:sz="6" w:space="0" w:color="auto"/>
            </w:tcBorders>
          </w:tcPr>
          <w:p w14:paraId="5AB51DD9" w14:textId="77777777" w:rsidR="009D33A8" w:rsidRDefault="009D33A8">
            <w:pPr>
              <w:cnfStyle w:val="000000000000" w:firstRow="0" w:lastRow="0" w:firstColumn="0" w:lastColumn="0" w:oddVBand="0" w:evenVBand="0" w:oddHBand="0" w:evenHBand="0" w:firstRowFirstColumn="0" w:firstRowLastColumn="0" w:lastRowFirstColumn="0" w:lastRowLastColumn="0"/>
            </w:pPr>
            <w:r>
              <w:t>1 520 700</w:t>
            </w:r>
          </w:p>
        </w:tc>
      </w:tr>
      <w:tr w:rsidR="009D33A8" w14:paraId="27F2F239" w14:textId="77777777">
        <w:tc>
          <w:tcPr>
            <w:cnfStyle w:val="001000000000" w:firstRow="0" w:lastRow="0" w:firstColumn="1" w:lastColumn="0" w:oddVBand="0" w:evenVBand="0" w:oddHBand="0" w:evenHBand="0" w:firstRowFirstColumn="0" w:firstRowLastColumn="0" w:lastRowFirstColumn="0" w:lastRowLastColumn="0"/>
            <w:tcW w:w="1843" w:type="dxa"/>
          </w:tcPr>
          <w:p w14:paraId="4B8B339F" w14:textId="77777777" w:rsidR="009D33A8" w:rsidRDefault="009D33A8"/>
        </w:tc>
        <w:tc>
          <w:tcPr>
            <w:tcW w:w="6837" w:type="dxa"/>
          </w:tcPr>
          <w:p w14:paraId="36482AB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healthcare workers</w:t>
            </w:r>
          </w:p>
        </w:tc>
        <w:tc>
          <w:tcPr>
            <w:tcW w:w="963" w:type="dxa"/>
          </w:tcPr>
          <w:p w14:paraId="099B5AB1" w14:textId="77777777" w:rsidR="009D33A8" w:rsidRDefault="009D33A8">
            <w:pPr>
              <w:cnfStyle w:val="000000000000" w:firstRow="0" w:lastRow="0" w:firstColumn="0" w:lastColumn="0" w:oddVBand="0" w:evenVBand="0" w:oddHBand="0" w:evenHBand="0" w:firstRowFirstColumn="0" w:firstRowLastColumn="0" w:lastRowFirstColumn="0" w:lastRowLastColumn="0"/>
            </w:pPr>
            <w:r>
              <w:t>211 329</w:t>
            </w:r>
          </w:p>
        </w:tc>
      </w:tr>
      <w:tr w:rsidR="009D33A8" w14:paraId="38EC36E6" w14:textId="77777777">
        <w:tc>
          <w:tcPr>
            <w:cnfStyle w:val="001000000000" w:firstRow="0" w:lastRow="0" w:firstColumn="1" w:lastColumn="0" w:oddVBand="0" w:evenVBand="0" w:oddHBand="0" w:evenHBand="0" w:firstRowFirstColumn="0" w:firstRowLastColumn="0" w:lastRowFirstColumn="0" w:lastRowLastColumn="0"/>
            <w:tcW w:w="1843" w:type="dxa"/>
          </w:tcPr>
          <w:p w14:paraId="2E4337D8" w14:textId="77777777" w:rsidR="009D33A8" w:rsidRDefault="009D33A8"/>
        </w:tc>
        <w:tc>
          <w:tcPr>
            <w:tcW w:w="6837" w:type="dxa"/>
          </w:tcPr>
          <w:p w14:paraId="63C229B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our ambulance services</w:t>
            </w:r>
          </w:p>
        </w:tc>
        <w:tc>
          <w:tcPr>
            <w:tcW w:w="963" w:type="dxa"/>
          </w:tcPr>
          <w:p w14:paraId="2AC73FED" w14:textId="77777777" w:rsidR="009D33A8" w:rsidRDefault="009D33A8">
            <w:pPr>
              <w:cnfStyle w:val="000000000000" w:firstRow="0" w:lastRow="0" w:firstColumn="0" w:lastColumn="0" w:oddVBand="0" w:evenVBand="0" w:oddHBand="0" w:evenHBand="0" w:firstRowFirstColumn="0" w:firstRowLastColumn="0" w:lastRowFirstColumn="0" w:lastRowLastColumn="0"/>
            </w:pPr>
            <w:r>
              <w:t>81 000</w:t>
            </w:r>
          </w:p>
        </w:tc>
      </w:tr>
      <w:tr w:rsidR="009D33A8" w14:paraId="45252731" w14:textId="77777777">
        <w:tc>
          <w:tcPr>
            <w:cnfStyle w:val="001000000000" w:firstRow="0" w:lastRow="0" w:firstColumn="1" w:lastColumn="0" w:oddVBand="0" w:evenVBand="0" w:oddHBand="0" w:evenHBand="0" w:firstRowFirstColumn="0" w:firstRowLastColumn="0" w:lastRowFirstColumn="0" w:lastRowLastColumn="0"/>
            <w:tcW w:w="1843" w:type="dxa"/>
          </w:tcPr>
          <w:p w14:paraId="5902DA30" w14:textId="77777777" w:rsidR="009D33A8" w:rsidRDefault="009D33A8"/>
        </w:tc>
        <w:tc>
          <w:tcPr>
            <w:tcW w:w="6837" w:type="dxa"/>
          </w:tcPr>
          <w:p w14:paraId="5D794BF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Free dental care for government school students</w:t>
            </w:r>
          </w:p>
        </w:tc>
        <w:tc>
          <w:tcPr>
            <w:tcW w:w="963" w:type="dxa"/>
          </w:tcPr>
          <w:p w14:paraId="1164051F" w14:textId="77777777" w:rsidR="009D33A8" w:rsidRDefault="009D33A8">
            <w:pPr>
              <w:cnfStyle w:val="000000000000" w:firstRow="0" w:lastRow="0" w:firstColumn="0" w:lastColumn="0" w:oddVBand="0" w:evenVBand="0" w:oddHBand="0" w:evenHBand="0" w:firstRowFirstColumn="0" w:firstRowLastColumn="0" w:lastRowFirstColumn="0" w:lastRowLastColumn="0"/>
            </w:pPr>
            <w:r>
              <w:t>31 189</w:t>
            </w:r>
          </w:p>
        </w:tc>
      </w:tr>
      <w:tr w:rsidR="009D33A8" w14:paraId="7439D273" w14:textId="77777777">
        <w:tc>
          <w:tcPr>
            <w:cnfStyle w:val="001000000000" w:firstRow="0" w:lastRow="0" w:firstColumn="1" w:lastColumn="0" w:oddVBand="0" w:evenVBand="0" w:oddHBand="0" w:evenHBand="0" w:firstRowFirstColumn="0" w:firstRowLastColumn="0" w:lastRowFirstColumn="0" w:lastRowLastColumn="0"/>
            <w:tcW w:w="1843" w:type="dxa"/>
          </w:tcPr>
          <w:p w14:paraId="3D5D4DBB" w14:textId="77777777" w:rsidR="009D33A8" w:rsidRDefault="009D33A8"/>
        </w:tc>
        <w:tc>
          <w:tcPr>
            <w:tcW w:w="6837" w:type="dxa"/>
          </w:tcPr>
          <w:p w14:paraId="3F7BCAF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Preventative health support for Victorian women</w:t>
            </w:r>
          </w:p>
        </w:tc>
        <w:tc>
          <w:tcPr>
            <w:tcW w:w="963" w:type="dxa"/>
          </w:tcPr>
          <w:p w14:paraId="0B270D67" w14:textId="77777777" w:rsidR="009D33A8" w:rsidRDefault="009D33A8">
            <w:pPr>
              <w:cnfStyle w:val="000000000000" w:firstRow="0" w:lastRow="0" w:firstColumn="0" w:lastColumn="0" w:oddVBand="0" w:evenVBand="0" w:oddHBand="0" w:evenHBand="0" w:firstRowFirstColumn="0" w:firstRowLastColumn="0" w:lastRowFirstColumn="0" w:lastRowLastColumn="0"/>
            </w:pPr>
            <w:r>
              <w:t>8 800</w:t>
            </w:r>
          </w:p>
        </w:tc>
      </w:tr>
      <w:tr w:rsidR="009D33A8" w14:paraId="6EFFF729" w14:textId="77777777">
        <w:tc>
          <w:tcPr>
            <w:cnfStyle w:val="001000000000" w:firstRow="0" w:lastRow="0" w:firstColumn="1" w:lastColumn="0" w:oddVBand="0" w:evenVBand="0" w:oddHBand="0" w:evenHBand="0" w:firstRowFirstColumn="0" w:firstRowLastColumn="0" w:lastRowFirstColumn="0" w:lastRowLastColumn="0"/>
            <w:tcW w:w="1843" w:type="dxa"/>
          </w:tcPr>
          <w:p w14:paraId="694B8228" w14:textId="77777777" w:rsidR="009D33A8" w:rsidRDefault="009D33A8"/>
        </w:tc>
        <w:tc>
          <w:tcPr>
            <w:tcW w:w="6837" w:type="dxa"/>
          </w:tcPr>
          <w:p w14:paraId="10CD267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New Melton Hospital</w:t>
            </w:r>
          </w:p>
        </w:tc>
        <w:tc>
          <w:tcPr>
            <w:tcW w:w="963" w:type="dxa"/>
          </w:tcPr>
          <w:p w14:paraId="2948F587" w14:textId="77777777" w:rsidR="009D33A8" w:rsidRDefault="009D33A8">
            <w:pPr>
              <w:cnfStyle w:val="000000000000" w:firstRow="0" w:lastRow="0" w:firstColumn="0" w:lastColumn="0" w:oddVBand="0" w:evenVBand="0" w:oddHBand="0" w:evenHBand="0" w:firstRowFirstColumn="0" w:firstRowLastColumn="0" w:lastRowFirstColumn="0" w:lastRowLastColumn="0"/>
            </w:pPr>
            <w:r>
              <w:t>8 000</w:t>
            </w:r>
          </w:p>
        </w:tc>
      </w:tr>
      <w:tr w:rsidR="009D33A8" w14:paraId="07DE0CCB" w14:textId="77777777">
        <w:tc>
          <w:tcPr>
            <w:cnfStyle w:val="001000000000" w:firstRow="0" w:lastRow="0" w:firstColumn="1" w:lastColumn="0" w:oddVBand="0" w:evenVBand="0" w:oddHBand="0" w:evenHBand="0" w:firstRowFirstColumn="0" w:firstRowLastColumn="0" w:lastRowFirstColumn="0" w:lastRowLastColumn="0"/>
            <w:tcW w:w="1843" w:type="dxa"/>
          </w:tcPr>
          <w:p w14:paraId="6CB9C5CB" w14:textId="77777777" w:rsidR="009D33A8" w:rsidRDefault="009D33A8"/>
        </w:tc>
        <w:tc>
          <w:tcPr>
            <w:tcW w:w="6837" w:type="dxa"/>
          </w:tcPr>
          <w:p w14:paraId="2DE5FE2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Harm reduction initiatives</w:t>
            </w:r>
          </w:p>
        </w:tc>
        <w:tc>
          <w:tcPr>
            <w:tcW w:w="963" w:type="dxa"/>
          </w:tcPr>
          <w:p w14:paraId="6B53C5F4" w14:textId="77777777" w:rsidR="009D33A8" w:rsidRDefault="009D33A8">
            <w:pPr>
              <w:cnfStyle w:val="000000000000" w:firstRow="0" w:lastRow="0" w:firstColumn="0" w:lastColumn="0" w:oddVBand="0" w:evenVBand="0" w:oddHBand="0" w:evenHBand="0" w:firstRowFirstColumn="0" w:firstRowLastColumn="0" w:lastRowFirstColumn="0" w:lastRowLastColumn="0"/>
            </w:pPr>
            <w:r>
              <w:t>7 276</w:t>
            </w:r>
          </w:p>
        </w:tc>
      </w:tr>
      <w:tr w:rsidR="009D33A8" w14:paraId="135DD194" w14:textId="77777777">
        <w:tc>
          <w:tcPr>
            <w:cnfStyle w:val="001000000000" w:firstRow="0" w:lastRow="0" w:firstColumn="1" w:lastColumn="0" w:oddVBand="0" w:evenVBand="0" w:oddHBand="0" w:evenHBand="0" w:firstRowFirstColumn="0" w:firstRowLastColumn="0" w:lastRowFirstColumn="0" w:lastRowLastColumn="0"/>
            <w:tcW w:w="1843" w:type="dxa"/>
          </w:tcPr>
          <w:p w14:paraId="6C9D71A1" w14:textId="77777777" w:rsidR="009D33A8" w:rsidRDefault="009D33A8"/>
        </w:tc>
        <w:tc>
          <w:tcPr>
            <w:tcW w:w="6837" w:type="dxa"/>
          </w:tcPr>
          <w:p w14:paraId="6F1D1BE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4AC56FC6" w14:textId="77777777" w:rsidR="009D33A8" w:rsidRDefault="009D33A8">
            <w:pPr>
              <w:cnfStyle w:val="000000000000" w:firstRow="0" w:lastRow="0" w:firstColumn="0" w:lastColumn="0" w:oddVBand="0" w:evenVBand="0" w:oddHBand="0" w:evenHBand="0" w:firstRowFirstColumn="0" w:firstRowLastColumn="0" w:lastRowFirstColumn="0" w:lastRowLastColumn="0"/>
            </w:pPr>
            <w:r>
              <w:t>1 091</w:t>
            </w:r>
          </w:p>
        </w:tc>
      </w:tr>
      <w:tr w:rsidR="009D33A8" w14:paraId="28F8C71C" w14:textId="77777777">
        <w:tc>
          <w:tcPr>
            <w:cnfStyle w:val="001000000000" w:firstRow="0" w:lastRow="0" w:firstColumn="1" w:lastColumn="0" w:oddVBand="0" w:evenVBand="0" w:oddHBand="0" w:evenHBand="0" w:firstRowFirstColumn="0" w:firstRowLastColumn="0" w:lastRowFirstColumn="0" w:lastRowLastColumn="0"/>
            <w:tcW w:w="1843" w:type="dxa"/>
          </w:tcPr>
          <w:p w14:paraId="113DDBA8" w14:textId="77777777" w:rsidR="009D33A8" w:rsidRDefault="009D33A8"/>
        </w:tc>
        <w:tc>
          <w:tcPr>
            <w:tcW w:w="6837" w:type="dxa"/>
          </w:tcPr>
          <w:p w14:paraId="0D207B0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Growing the new Mental Health and Wellbeing Locals workforce</w:t>
            </w:r>
          </w:p>
        </w:tc>
        <w:tc>
          <w:tcPr>
            <w:tcW w:w="963" w:type="dxa"/>
          </w:tcPr>
          <w:p w14:paraId="321D4BFC" w14:textId="77777777" w:rsidR="009D33A8" w:rsidRDefault="009D33A8">
            <w:pPr>
              <w:cnfStyle w:val="000000000000" w:firstRow="0" w:lastRow="0" w:firstColumn="0" w:lastColumn="0" w:oddVBand="0" w:evenVBand="0" w:oddHBand="0" w:evenHBand="0" w:firstRowFirstColumn="0" w:firstRowLastColumn="0" w:lastRowFirstColumn="0" w:lastRowLastColumn="0"/>
            </w:pPr>
            <w:r>
              <w:t>840</w:t>
            </w:r>
          </w:p>
        </w:tc>
      </w:tr>
      <w:tr w:rsidR="009D33A8" w14:paraId="5FA00399" w14:textId="77777777">
        <w:tc>
          <w:tcPr>
            <w:cnfStyle w:val="001000000000" w:firstRow="0" w:lastRow="0" w:firstColumn="1" w:lastColumn="0" w:oddVBand="0" w:evenVBand="0" w:oddHBand="0" w:evenHBand="0" w:firstRowFirstColumn="0" w:firstRowLastColumn="0" w:lastRowFirstColumn="0" w:lastRowLastColumn="0"/>
            <w:tcW w:w="1843" w:type="dxa"/>
          </w:tcPr>
          <w:p w14:paraId="6AFB385D" w14:textId="77777777" w:rsidR="009D33A8" w:rsidRDefault="009D33A8"/>
        </w:tc>
        <w:tc>
          <w:tcPr>
            <w:tcW w:w="6837" w:type="dxa"/>
          </w:tcPr>
          <w:p w14:paraId="42AE34A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Pill Testing Trial</w:t>
            </w:r>
          </w:p>
        </w:tc>
        <w:tc>
          <w:tcPr>
            <w:tcW w:w="963" w:type="dxa"/>
          </w:tcPr>
          <w:p w14:paraId="3026E806" w14:textId="77777777" w:rsidR="009D33A8" w:rsidRDefault="009D33A8">
            <w:pPr>
              <w:cnfStyle w:val="000000000000" w:firstRow="0" w:lastRow="0" w:firstColumn="0" w:lastColumn="0" w:oddVBand="0" w:evenVBand="0" w:oddHBand="0" w:evenHBand="0" w:firstRowFirstColumn="0" w:firstRowLastColumn="0" w:lastRowFirstColumn="0" w:lastRowLastColumn="0"/>
            </w:pPr>
            <w:r>
              <w:t>793</w:t>
            </w:r>
          </w:p>
        </w:tc>
      </w:tr>
      <w:tr w:rsidR="009D33A8" w14:paraId="09433B03" w14:textId="77777777">
        <w:tc>
          <w:tcPr>
            <w:cnfStyle w:val="001000000000" w:firstRow="0" w:lastRow="0" w:firstColumn="1" w:lastColumn="0" w:oddVBand="0" w:evenVBand="0" w:oddHBand="0" w:evenHBand="0" w:firstRowFirstColumn="0" w:firstRowLastColumn="0" w:lastRowFirstColumn="0" w:lastRowLastColumn="0"/>
            <w:tcW w:w="1843" w:type="dxa"/>
          </w:tcPr>
          <w:p w14:paraId="18B6E11F" w14:textId="77777777" w:rsidR="009D33A8" w:rsidRDefault="009D33A8"/>
        </w:tc>
        <w:tc>
          <w:tcPr>
            <w:tcW w:w="6837" w:type="dxa"/>
          </w:tcPr>
          <w:p w14:paraId="3AE7224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funding</w:t>
            </w:r>
          </w:p>
        </w:tc>
        <w:tc>
          <w:tcPr>
            <w:tcW w:w="963" w:type="dxa"/>
          </w:tcPr>
          <w:p w14:paraId="5019CFBC" w14:textId="77777777" w:rsidR="009D33A8" w:rsidRDefault="009D33A8">
            <w:pPr>
              <w:cnfStyle w:val="000000000000" w:firstRow="0" w:lastRow="0" w:firstColumn="0" w:lastColumn="0" w:oddVBand="0" w:evenVBand="0" w:oddHBand="0" w:evenHBand="0" w:firstRowFirstColumn="0" w:firstRowLastColumn="0" w:lastRowFirstColumn="0" w:lastRowLastColumn="0"/>
            </w:pPr>
            <w:r>
              <w:t>464</w:t>
            </w:r>
          </w:p>
        </w:tc>
      </w:tr>
      <w:tr w:rsidR="009D33A8" w14:paraId="5FCDD13D"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733BA227" w14:textId="77777777" w:rsidR="009D33A8" w:rsidRDefault="009D33A8"/>
        </w:tc>
        <w:tc>
          <w:tcPr>
            <w:tcW w:w="6837" w:type="dxa"/>
            <w:tcBorders>
              <w:bottom w:val="single" w:sz="6" w:space="0" w:color="auto"/>
            </w:tcBorders>
          </w:tcPr>
          <w:p w14:paraId="51C8979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176D868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1 871 483</w:t>
            </w:r>
          </w:p>
        </w:tc>
      </w:tr>
    </w:tbl>
    <w:p w14:paraId="74328328" w14:textId="77777777" w:rsidR="004610D1" w:rsidRPr="004610D1" w:rsidRDefault="004610D1" w:rsidP="004610D1">
      <w:pPr>
        <w:pStyle w:val="Heading5"/>
        <w:rPr>
          <w:sz w:val="23"/>
          <w:szCs w:val="23"/>
        </w:rPr>
      </w:pPr>
      <w:r w:rsidRPr="004610D1">
        <w:rPr>
          <w:sz w:val="23"/>
          <w:szCs w:val="23"/>
        </w:rPr>
        <w:lastRenderedPageBreak/>
        <w:t>7.2.13</w:t>
      </w:r>
      <w:r w:rsidRPr="004610D1">
        <w:rPr>
          <w:sz w:val="23"/>
          <w:szCs w:val="23"/>
        </w:rPr>
        <w:tab/>
        <w:t xml:space="preserve">Payments from advance to the Treasurer for the financial year ended 30 June </w:t>
      </w:r>
      <w:r w:rsidRPr="004610D1">
        <w:rPr>
          <w:i/>
          <w:sz w:val="22"/>
          <w:szCs w:val="22"/>
        </w:rPr>
        <w:t>(continued)</w:t>
      </w:r>
    </w:p>
    <w:p w14:paraId="24B16790" w14:textId="50B96332" w:rsidR="00696E9B" w:rsidRPr="00823C0E" w:rsidRDefault="00696E9B" w:rsidP="00696E9B">
      <w:pPr>
        <w:pStyle w:val="TableHeading"/>
        <w:rPr>
          <w:rStyle w:val="TableHeadingChar"/>
          <w:b/>
          <w:iCs/>
        </w:rPr>
      </w:pPr>
      <w:r w:rsidRPr="00823C0E">
        <w:rPr>
          <w:rStyle w:val="TableHeadingChar"/>
          <w:b/>
          <w:iCs/>
        </w:rPr>
        <w:t>Contingency releases paid from the advance to the Treasurer</w:t>
      </w:r>
      <w:r w:rsidRPr="00696E9B">
        <w:rPr>
          <w:rStyle w:val="TableHeadingChar"/>
          <w:b/>
          <w:i/>
        </w:rPr>
        <w:t xml:space="preserve"> (continued)</w:t>
      </w:r>
      <w:r w:rsidRPr="00823C0E">
        <w:tab/>
      </w:r>
      <w:r w:rsidRPr="00823C0E">
        <w:rPr>
          <w:rStyle w:val="TableHeadingChar"/>
          <w:b/>
          <w:iCs/>
        </w:rPr>
        <w:t>($ thousand)</w:t>
      </w:r>
    </w:p>
    <w:tbl>
      <w:tblPr>
        <w:tblStyle w:val="DTFTableNumeric"/>
        <w:tblW w:w="9643"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ContingencyReleases"/>
      </w:tblPr>
      <w:tblGrid>
        <w:gridCol w:w="1843"/>
        <w:gridCol w:w="6837"/>
        <w:gridCol w:w="963"/>
      </w:tblGrid>
      <w:tr w:rsidR="00696E9B" w14:paraId="090C796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44DEC479" w14:textId="77777777" w:rsidR="00696E9B" w:rsidRDefault="00696E9B">
            <w:pPr>
              <w:keepNext/>
            </w:pPr>
            <w:r>
              <w:t>Department</w:t>
            </w:r>
          </w:p>
        </w:tc>
        <w:tc>
          <w:tcPr>
            <w:tcW w:w="6837" w:type="dxa"/>
            <w:tcBorders>
              <w:bottom w:val="single" w:sz="6" w:space="0" w:color="auto"/>
            </w:tcBorders>
          </w:tcPr>
          <w:p w14:paraId="31242289" w14:textId="77777777" w:rsidR="00696E9B" w:rsidRDefault="00696E9B">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63" w:type="dxa"/>
            <w:tcBorders>
              <w:bottom w:val="single" w:sz="6" w:space="0" w:color="auto"/>
            </w:tcBorders>
          </w:tcPr>
          <w:p w14:paraId="524DADAC" w14:textId="77777777" w:rsidR="00696E9B" w:rsidRDefault="00696E9B">
            <w:pPr>
              <w:keepNext/>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05913233"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75E0EAD9" w14:textId="77777777" w:rsidR="009D33A8" w:rsidRDefault="009D33A8">
            <w:r>
              <w:t>Jobs, Skills, Industry</w:t>
            </w:r>
          </w:p>
        </w:tc>
        <w:tc>
          <w:tcPr>
            <w:tcW w:w="6837" w:type="dxa"/>
            <w:tcBorders>
              <w:top w:val="single" w:sz="6" w:space="0" w:color="auto"/>
            </w:tcBorders>
          </w:tcPr>
          <w:p w14:paraId="509E70E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Melbourne Arts Precinct Transformation</w:t>
            </w:r>
          </w:p>
        </w:tc>
        <w:tc>
          <w:tcPr>
            <w:tcW w:w="963" w:type="dxa"/>
            <w:tcBorders>
              <w:top w:val="single" w:sz="6" w:space="0" w:color="auto"/>
            </w:tcBorders>
          </w:tcPr>
          <w:p w14:paraId="695F3C17" w14:textId="77777777" w:rsidR="009D33A8" w:rsidRDefault="009D33A8">
            <w:pPr>
              <w:cnfStyle w:val="000000000000" w:firstRow="0" w:lastRow="0" w:firstColumn="0" w:lastColumn="0" w:oddVBand="0" w:evenVBand="0" w:oddHBand="0" w:evenHBand="0" w:firstRowFirstColumn="0" w:firstRowLastColumn="0" w:lastRowFirstColumn="0" w:lastRowLastColumn="0"/>
            </w:pPr>
            <w:r>
              <w:t>289 793</w:t>
            </w:r>
          </w:p>
        </w:tc>
      </w:tr>
      <w:tr w:rsidR="009D33A8" w14:paraId="57C91A8F" w14:textId="77777777">
        <w:tc>
          <w:tcPr>
            <w:cnfStyle w:val="001000000000" w:firstRow="0" w:lastRow="0" w:firstColumn="1" w:lastColumn="0" w:oddVBand="0" w:evenVBand="0" w:oddHBand="0" w:evenHBand="0" w:firstRowFirstColumn="0" w:firstRowLastColumn="0" w:lastRowFirstColumn="0" w:lastRowLastColumn="0"/>
            <w:tcW w:w="1843" w:type="dxa"/>
          </w:tcPr>
          <w:p w14:paraId="2E3F7AF6" w14:textId="77777777" w:rsidR="009D33A8" w:rsidRDefault="009D33A8">
            <w:r>
              <w:t>and Regions</w:t>
            </w:r>
          </w:p>
        </w:tc>
        <w:tc>
          <w:tcPr>
            <w:tcW w:w="6837" w:type="dxa"/>
          </w:tcPr>
          <w:p w14:paraId="545CFE3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Breakthrough Victoria Pty Ltd</w:t>
            </w:r>
          </w:p>
        </w:tc>
        <w:tc>
          <w:tcPr>
            <w:tcW w:w="963" w:type="dxa"/>
          </w:tcPr>
          <w:p w14:paraId="0E907AF1" w14:textId="77777777" w:rsidR="009D33A8" w:rsidRDefault="009D33A8">
            <w:pPr>
              <w:cnfStyle w:val="000000000000" w:firstRow="0" w:lastRow="0" w:firstColumn="0" w:lastColumn="0" w:oddVBand="0" w:evenVBand="0" w:oddHBand="0" w:evenHBand="0" w:firstRowFirstColumn="0" w:firstRowLastColumn="0" w:lastRowFirstColumn="0" w:lastRowLastColumn="0"/>
            </w:pPr>
            <w:r>
              <w:t>75 000</w:t>
            </w:r>
          </w:p>
        </w:tc>
      </w:tr>
      <w:tr w:rsidR="009D33A8" w14:paraId="5802A7B7" w14:textId="77777777">
        <w:tc>
          <w:tcPr>
            <w:cnfStyle w:val="001000000000" w:firstRow="0" w:lastRow="0" w:firstColumn="1" w:lastColumn="0" w:oddVBand="0" w:evenVBand="0" w:oddHBand="0" w:evenHBand="0" w:firstRowFirstColumn="0" w:firstRowLastColumn="0" w:lastRowFirstColumn="0" w:lastRowLastColumn="0"/>
            <w:tcW w:w="1843" w:type="dxa"/>
          </w:tcPr>
          <w:p w14:paraId="590CC3D4" w14:textId="77777777" w:rsidR="009D33A8" w:rsidRDefault="009D33A8"/>
        </w:tc>
        <w:tc>
          <w:tcPr>
            <w:tcW w:w="6837" w:type="dxa"/>
          </w:tcPr>
          <w:p w14:paraId="59C17AB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Boosting Access to Free TAFE and Training services</w:t>
            </w:r>
          </w:p>
        </w:tc>
        <w:tc>
          <w:tcPr>
            <w:tcW w:w="963" w:type="dxa"/>
          </w:tcPr>
          <w:p w14:paraId="6E8DFBD2" w14:textId="77777777" w:rsidR="009D33A8" w:rsidRDefault="009D33A8">
            <w:pPr>
              <w:cnfStyle w:val="000000000000" w:firstRow="0" w:lastRow="0" w:firstColumn="0" w:lastColumn="0" w:oddVBand="0" w:evenVBand="0" w:oddHBand="0" w:evenHBand="0" w:firstRowFirstColumn="0" w:firstRowLastColumn="0" w:lastRowFirstColumn="0" w:lastRowLastColumn="0"/>
            </w:pPr>
            <w:r>
              <w:t>49 635</w:t>
            </w:r>
          </w:p>
        </w:tc>
      </w:tr>
      <w:tr w:rsidR="009D33A8" w14:paraId="2523A4D2" w14:textId="77777777">
        <w:tc>
          <w:tcPr>
            <w:cnfStyle w:val="001000000000" w:firstRow="0" w:lastRow="0" w:firstColumn="1" w:lastColumn="0" w:oddVBand="0" w:evenVBand="0" w:oddHBand="0" w:evenHBand="0" w:firstRowFirstColumn="0" w:firstRowLastColumn="0" w:lastRowFirstColumn="0" w:lastRowLastColumn="0"/>
            <w:tcW w:w="1843" w:type="dxa"/>
          </w:tcPr>
          <w:p w14:paraId="78E8FE34" w14:textId="77777777" w:rsidR="009D33A8" w:rsidRDefault="009D33A8"/>
        </w:tc>
        <w:tc>
          <w:tcPr>
            <w:tcW w:w="6837" w:type="dxa"/>
          </w:tcPr>
          <w:p w14:paraId="1D6D123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Student supports, priority courses and other TAFE funding</w:t>
            </w:r>
          </w:p>
        </w:tc>
        <w:tc>
          <w:tcPr>
            <w:tcW w:w="963" w:type="dxa"/>
          </w:tcPr>
          <w:p w14:paraId="7C60B599" w14:textId="77777777" w:rsidR="009D33A8" w:rsidRDefault="009D33A8">
            <w:pPr>
              <w:cnfStyle w:val="000000000000" w:firstRow="0" w:lastRow="0" w:firstColumn="0" w:lastColumn="0" w:oddVBand="0" w:evenVBand="0" w:oddHBand="0" w:evenHBand="0" w:firstRowFirstColumn="0" w:firstRowLastColumn="0" w:lastRowFirstColumn="0" w:lastRowLastColumn="0"/>
            </w:pPr>
            <w:r>
              <w:t>36 917</w:t>
            </w:r>
          </w:p>
        </w:tc>
      </w:tr>
      <w:tr w:rsidR="009D33A8" w14:paraId="78719C1F" w14:textId="77777777">
        <w:tc>
          <w:tcPr>
            <w:cnfStyle w:val="001000000000" w:firstRow="0" w:lastRow="0" w:firstColumn="1" w:lastColumn="0" w:oddVBand="0" w:evenVBand="0" w:oddHBand="0" w:evenHBand="0" w:firstRowFirstColumn="0" w:firstRowLastColumn="0" w:lastRowFirstColumn="0" w:lastRowLastColumn="0"/>
            <w:tcW w:w="1843" w:type="dxa"/>
          </w:tcPr>
          <w:p w14:paraId="6376D80A" w14:textId="77777777" w:rsidR="009D33A8" w:rsidRDefault="009D33A8"/>
        </w:tc>
        <w:tc>
          <w:tcPr>
            <w:tcW w:w="6837" w:type="dxa"/>
          </w:tcPr>
          <w:p w14:paraId="614AE9F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Australian Institute for Infectious Disease</w:t>
            </w:r>
          </w:p>
        </w:tc>
        <w:tc>
          <w:tcPr>
            <w:tcW w:w="963" w:type="dxa"/>
          </w:tcPr>
          <w:p w14:paraId="11FED658" w14:textId="77777777" w:rsidR="009D33A8" w:rsidRDefault="009D33A8">
            <w:pPr>
              <w:cnfStyle w:val="000000000000" w:firstRow="0" w:lastRow="0" w:firstColumn="0" w:lastColumn="0" w:oddVBand="0" w:evenVBand="0" w:oddHBand="0" w:evenHBand="0" w:firstRowFirstColumn="0" w:firstRowLastColumn="0" w:lastRowFirstColumn="0" w:lastRowLastColumn="0"/>
            </w:pPr>
            <w:r>
              <w:t>28 848</w:t>
            </w:r>
          </w:p>
        </w:tc>
      </w:tr>
      <w:tr w:rsidR="009D33A8" w14:paraId="5BF8A975" w14:textId="77777777">
        <w:tc>
          <w:tcPr>
            <w:cnfStyle w:val="001000000000" w:firstRow="0" w:lastRow="0" w:firstColumn="1" w:lastColumn="0" w:oddVBand="0" w:evenVBand="0" w:oddHBand="0" w:evenHBand="0" w:firstRowFirstColumn="0" w:firstRowLastColumn="0" w:lastRowFirstColumn="0" w:lastRowLastColumn="0"/>
            <w:tcW w:w="1843" w:type="dxa"/>
          </w:tcPr>
          <w:p w14:paraId="397F4D45" w14:textId="77777777" w:rsidR="009D33A8" w:rsidRDefault="009D33A8"/>
        </w:tc>
        <w:tc>
          <w:tcPr>
            <w:tcW w:w="6837" w:type="dxa"/>
          </w:tcPr>
          <w:p w14:paraId="63C41B38"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our creative agencies and cultural institutions</w:t>
            </w:r>
          </w:p>
        </w:tc>
        <w:tc>
          <w:tcPr>
            <w:tcW w:w="963" w:type="dxa"/>
          </w:tcPr>
          <w:p w14:paraId="7555144C" w14:textId="77777777" w:rsidR="009D33A8" w:rsidRDefault="009D33A8">
            <w:pPr>
              <w:cnfStyle w:val="000000000000" w:firstRow="0" w:lastRow="0" w:firstColumn="0" w:lastColumn="0" w:oddVBand="0" w:evenVBand="0" w:oddHBand="0" w:evenHBand="0" w:firstRowFirstColumn="0" w:firstRowLastColumn="0" w:lastRowFirstColumn="0" w:lastRowLastColumn="0"/>
            </w:pPr>
            <w:r>
              <w:t>27 375</w:t>
            </w:r>
          </w:p>
        </w:tc>
      </w:tr>
      <w:tr w:rsidR="009D33A8" w14:paraId="38F8D1D5" w14:textId="77777777">
        <w:tc>
          <w:tcPr>
            <w:cnfStyle w:val="001000000000" w:firstRow="0" w:lastRow="0" w:firstColumn="1" w:lastColumn="0" w:oddVBand="0" w:evenVBand="0" w:oddHBand="0" w:evenHBand="0" w:firstRowFirstColumn="0" w:firstRowLastColumn="0" w:lastRowFirstColumn="0" w:lastRowLastColumn="0"/>
            <w:tcW w:w="1843" w:type="dxa"/>
          </w:tcPr>
          <w:p w14:paraId="6D89E576" w14:textId="77777777" w:rsidR="009D33A8" w:rsidRDefault="009D33A8"/>
        </w:tc>
        <w:tc>
          <w:tcPr>
            <w:tcW w:w="6837" w:type="dxa"/>
          </w:tcPr>
          <w:p w14:paraId="5E34D8A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Sporting Agencies Infrastructure and Support</w:t>
            </w:r>
          </w:p>
        </w:tc>
        <w:tc>
          <w:tcPr>
            <w:tcW w:w="963" w:type="dxa"/>
          </w:tcPr>
          <w:p w14:paraId="2C685104" w14:textId="77777777" w:rsidR="009D33A8" w:rsidRDefault="009D33A8">
            <w:pPr>
              <w:cnfStyle w:val="000000000000" w:firstRow="0" w:lastRow="0" w:firstColumn="0" w:lastColumn="0" w:oddVBand="0" w:evenVBand="0" w:oddHBand="0" w:evenHBand="0" w:firstRowFirstColumn="0" w:firstRowLastColumn="0" w:lastRowFirstColumn="0" w:lastRowLastColumn="0"/>
            </w:pPr>
            <w:r>
              <w:t>21 882</w:t>
            </w:r>
          </w:p>
        </w:tc>
      </w:tr>
      <w:tr w:rsidR="009D33A8" w14:paraId="7D5F3AC9" w14:textId="77777777">
        <w:tc>
          <w:tcPr>
            <w:cnfStyle w:val="001000000000" w:firstRow="0" w:lastRow="0" w:firstColumn="1" w:lastColumn="0" w:oddVBand="0" w:evenVBand="0" w:oddHBand="0" w:evenHBand="0" w:firstRowFirstColumn="0" w:firstRowLastColumn="0" w:lastRowFirstColumn="0" w:lastRowLastColumn="0"/>
            <w:tcW w:w="1843" w:type="dxa"/>
          </w:tcPr>
          <w:p w14:paraId="3C96A7E1" w14:textId="77777777" w:rsidR="009D33A8" w:rsidRDefault="009D33A8"/>
        </w:tc>
        <w:tc>
          <w:tcPr>
            <w:tcW w:w="6837" w:type="dxa"/>
          </w:tcPr>
          <w:p w14:paraId="7AB331D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Regional Sport Infrastructure Package</w:t>
            </w:r>
          </w:p>
        </w:tc>
        <w:tc>
          <w:tcPr>
            <w:tcW w:w="963" w:type="dxa"/>
          </w:tcPr>
          <w:p w14:paraId="478CBDEE" w14:textId="77777777" w:rsidR="009D33A8" w:rsidRDefault="009D33A8">
            <w:pPr>
              <w:cnfStyle w:val="000000000000" w:firstRow="0" w:lastRow="0" w:firstColumn="0" w:lastColumn="0" w:oddVBand="0" w:evenVBand="0" w:oddHBand="0" w:evenHBand="0" w:firstRowFirstColumn="0" w:firstRowLastColumn="0" w:lastRowFirstColumn="0" w:lastRowLastColumn="0"/>
            </w:pPr>
            <w:r>
              <w:t>16 508</w:t>
            </w:r>
          </w:p>
        </w:tc>
      </w:tr>
      <w:tr w:rsidR="009D33A8" w14:paraId="540687C3" w14:textId="77777777">
        <w:tc>
          <w:tcPr>
            <w:cnfStyle w:val="001000000000" w:firstRow="0" w:lastRow="0" w:firstColumn="1" w:lastColumn="0" w:oddVBand="0" w:evenVBand="0" w:oddHBand="0" w:evenHBand="0" w:firstRowFirstColumn="0" w:firstRowLastColumn="0" w:lastRowFirstColumn="0" w:lastRowLastColumn="0"/>
            <w:tcW w:w="1843" w:type="dxa"/>
          </w:tcPr>
          <w:p w14:paraId="495F1D5E" w14:textId="77777777" w:rsidR="009D33A8" w:rsidRDefault="009D33A8"/>
        </w:tc>
        <w:tc>
          <w:tcPr>
            <w:tcW w:w="6837" w:type="dxa"/>
          </w:tcPr>
          <w:p w14:paraId="60F66BC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68926A57" w14:textId="77777777" w:rsidR="009D33A8" w:rsidRDefault="009D33A8">
            <w:pPr>
              <w:cnfStyle w:val="000000000000" w:firstRow="0" w:lastRow="0" w:firstColumn="0" w:lastColumn="0" w:oddVBand="0" w:evenVBand="0" w:oddHBand="0" w:evenHBand="0" w:firstRowFirstColumn="0" w:firstRowLastColumn="0" w:lastRowFirstColumn="0" w:lastRowLastColumn="0"/>
            </w:pPr>
            <w:r>
              <w:t>14 892</w:t>
            </w:r>
          </w:p>
        </w:tc>
      </w:tr>
      <w:tr w:rsidR="009D33A8" w14:paraId="3F5F4DC5" w14:textId="77777777">
        <w:tc>
          <w:tcPr>
            <w:cnfStyle w:val="001000000000" w:firstRow="0" w:lastRow="0" w:firstColumn="1" w:lastColumn="0" w:oddVBand="0" w:evenVBand="0" w:oddHBand="0" w:evenHBand="0" w:firstRowFirstColumn="0" w:firstRowLastColumn="0" w:lastRowFirstColumn="0" w:lastRowLastColumn="0"/>
            <w:tcW w:w="1843" w:type="dxa"/>
          </w:tcPr>
          <w:p w14:paraId="19931CDB" w14:textId="77777777" w:rsidR="009D33A8" w:rsidRDefault="009D33A8"/>
        </w:tc>
        <w:tc>
          <w:tcPr>
            <w:tcW w:w="6837" w:type="dxa"/>
          </w:tcPr>
          <w:p w14:paraId="3BC6CF4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Visit Victoria</w:t>
            </w:r>
          </w:p>
        </w:tc>
        <w:tc>
          <w:tcPr>
            <w:tcW w:w="963" w:type="dxa"/>
          </w:tcPr>
          <w:p w14:paraId="550BC3B1" w14:textId="77777777" w:rsidR="009D33A8" w:rsidRDefault="009D33A8">
            <w:pPr>
              <w:cnfStyle w:val="000000000000" w:firstRow="0" w:lastRow="0" w:firstColumn="0" w:lastColumn="0" w:oddVBand="0" w:evenVBand="0" w:oddHBand="0" w:evenHBand="0" w:firstRowFirstColumn="0" w:firstRowLastColumn="0" w:lastRowFirstColumn="0" w:lastRowLastColumn="0"/>
            </w:pPr>
            <w:r>
              <w:t>12 873</w:t>
            </w:r>
          </w:p>
        </w:tc>
      </w:tr>
      <w:tr w:rsidR="009D33A8" w14:paraId="547DE086" w14:textId="77777777">
        <w:tc>
          <w:tcPr>
            <w:cnfStyle w:val="001000000000" w:firstRow="0" w:lastRow="0" w:firstColumn="1" w:lastColumn="0" w:oddVBand="0" w:evenVBand="0" w:oddHBand="0" w:evenHBand="0" w:firstRowFirstColumn="0" w:firstRowLastColumn="0" w:lastRowFirstColumn="0" w:lastRowLastColumn="0"/>
            <w:tcW w:w="1843" w:type="dxa"/>
          </w:tcPr>
          <w:p w14:paraId="46374AB2" w14:textId="77777777" w:rsidR="009D33A8" w:rsidRDefault="009D33A8"/>
        </w:tc>
        <w:tc>
          <w:tcPr>
            <w:tcW w:w="6837" w:type="dxa"/>
          </w:tcPr>
          <w:p w14:paraId="5239571E"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Go Fishing Victoria</w:t>
            </w:r>
          </w:p>
        </w:tc>
        <w:tc>
          <w:tcPr>
            <w:tcW w:w="963" w:type="dxa"/>
          </w:tcPr>
          <w:p w14:paraId="7CD00C89" w14:textId="77777777" w:rsidR="009D33A8" w:rsidRDefault="009D33A8">
            <w:pPr>
              <w:cnfStyle w:val="000000000000" w:firstRow="0" w:lastRow="0" w:firstColumn="0" w:lastColumn="0" w:oddVBand="0" w:evenVBand="0" w:oddHBand="0" w:evenHBand="0" w:firstRowFirstColumn="0" w:firstRowLastColumn="0" w:lastRowFirstColumn="0" w:lastRowLastColumn="0"/>
            </w:pPr>
            <w:r>
              <w:t>8 319</w:t>
            </w:r>
          </w:p>
        </w:tc>
      </w:tr>
      <w:tr w:rsidR="009D33A8" w14:paraId="67DA3936" w14:textId="77777777">
        <w:tc>
          <w:tcPr>
            <w:cnfStyle w:val="001000000000" w:firstRow="0" w:lastRow="0" w:firstColumn="1" w:lastColumn="0" w:oddVBand="0" w:evenVBand="0" w:oddHBand="0" w:evenHBand="0" w:firstRowFirstColumn="0" w:firstRowLastColumn="0" w:lastRowFirstColumn="0" w:lastRowLastColumn="0"/>
            <w:tcW w:w="1843" w:type="dxa"/>
          </w:tcPr>
          <w:p w14:paraId="7C1B5F26" w14:textId="77777777" w:rsidR="009D33A8" w:rsidRDefault="009D33A8"/>
        </w:tc>
        <w:tc>
          <w:tcPr>
            <w:tcW w:w="6837" w:type="dxa"/>
          </w:tcPr>
          <w:p w14:paraId="411E394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TAFEs to meet priority skills demand</w:t>
            </w:r>
          </w:p>
        </w:tc>
        <w:tc>
          <w:tcPr>
            <w:tcW w:w="963" w:type="dxa"/>
          </w:tcPr>
          <w:p w14:paraId="3F883807" w14:textId="77777777" w:rsidR="009D33A8" w:rsidRDefault="009D33A8">
            <w:pPr>
              <w:cnfStyle w:val="000000000000" w:firstRow="0" w:lastRow="0" w:firstColumn="0" w:lastColumn="0" w:oddVBand="0" w:evenVBand="0" w:oddHBand="0" w:evenHBand="0" w:firstRowFirstColumn="0" w:firstRowLastColumn="0" w:lastRowFirstColumn="0" w:lastRowLastColumn="0"/>
            </w:pPr>
            <w:r>
              <w:t>6 492</w:t>
            </w:r>
          </w:p>
        </w:tc>
      </w:tr>
      <w:tr w:rsidR="009D33A8" w14:paraId="1C809E3F" w14:textId="77777777">
        <w:tc>
          <w:tcPr>
            <w:cnfStyle w:val="001000000000" w:firstRow="0" w:lastRow="0" w:firstColumn="1" w:lastColumn="0" w:oddVBand="0" w:evenVBand="0" w:oddHBand="0" w:evenHBand="0" w:firstRowFirstColumn="0" w:firstRowLastColumn="0" w:lastRowFirstColumn="0" w:lastRowLastColumn="0"/>
            <w:tcW w:w="1843" w:type="dxa"/>
          </w:tcPr>
          <w:p w14:paraId="39D1B033" w14:textId="77777777" w:rsidR="009D33A8" w:rsidRDefault="009D33A8"/>
        </w:tc>
        <w:tc>
          <w:tcPr>
            <w:tcW w:w="6837" w:type="dxa"/>
          </w:tcPr>
          <w:p w14:paraId="3C61575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Retraining for high</w:t>
            </w:r>
            <w:r>
              <w:noBreakHyphen/>
              <w:t>priority industries</w:t>
            </w:r>
          </w:p>
        </w:tc>
        <w:tc>
          <w:tcPr>
            <w:tcW w:w="963" w:type="dxa"/>
          </w:tcPr>
          <w:p w14:paraId="7D616585" w14:textId="77777777" w:rsidR="009D33A8" w:rsidRDefault="009D33A8">
            <w:pPr>
              <w:cnfStyle w:val="000000000000" w:firstRow="0" w:lastRow="0" w:firstColumn="0" w:lastColumn="0" w:oddVBand="0" w:evenVBand="0" w:oddHBand="0" w:evenHBand="0" w:firstRowFirstColumn="0" w:firstRowLastColumn="0" w:lastRowFirstColumn="0" w:lastRowLastColumn="0"/>
            </w:pPr>
            <w:r>
              <w:t>5 423</w:t>
            </w:r>
          </w:p>
        </w:tc>
      </w:tr>
      <w:tr w:rsidR="009D33A8" w14:paraId="668F607C" w14:textId="77777777">
        <w:tc>
          <w:tcPr>
            <w:cnfStyle w:val="001000000000" w:firstRow="0" w:lastRow="0" w:firstColumn="1" w:lastColumn="0" w:oddVBand="0" w:evenVBand="0" w:oddHBand="0" w:evenHBand="0" w:firstRowFirstColumn="0" w:firstRowLastColumn="0" w:lastRowFirstColumn="0" w:lastRowLastColumn="0"/>
            <w:tcW w:w="1843" w:type="dxa"/>
          </w:tcPr>
          <w:p w14:paraId="0D43A557" w14:textId="77777777" w:rsidR="009D33A8" w:rsidRDefault="009D33A8"/>
        </w:tc>
        <w:tc>
          <w:tcPr>
            <w:tcW w:w="6837" w:type="dxa"/>
          </w:tcPr>
          <w:p w14:paraId="772AB4E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Revitalising Central Geelong</w:t>
            </w:r>
          </w:p>
        </w:tc>
        <w:tc>
          <w:tcPr>
            <w:tcW w:w="963" w:type="dxa"/>
          </w:tcPr>
          <w:p w14:paraId="3C6AC188" w14:textId="77777777" w:rsidR="009D33A8" w:rsidRDefault="009D33A8">
            <w:pPr>
              <w:cnfStyle w:val="000000000000" w:firstRow="0" w:lastRow="0" w:firstColumn="0" w:lastColumn="0" w:oddVBand="0" w:evenVBand="0" w:oddHBand="0" w:evenHBand="0" w:firstRowFirstColumn="0" w:firstRowLastColumn="0" w:lastRowFirstColumn="0" w:lastRowLastColumn="0"/>
            </w:pPr>
            <w:r>
              <w:t>5 045</w:t>
            </w:r>
          </w:p>
        </w:tc>
      </w:tr>
      <w:tr w:rsidR="009D33A8" w14:paraId="70593DB8" w14:textId="77777777">
        <w:tc>
          <w:tcPr>
            <w:cnfStyle w:val="001000000000" w:firstRow="0" w:lastRow="0" w:firstColumn="1" w:lastColumn="0" w:oddVBand="0" w:evenVBand="0" w:oddHBand="0" w:evenHBand="0" w:firstRowFirstColumn="0" w:firstRowLastColumn="0" w:lastRowFirstColumn="0" w:lastRowLastColumn="0"/>
            <w:tcW w:w="1843" w:type="dxa"/>
          </w:tcPr>
          <w:p w14:paraId="25756C56" w14:textId="77777777" w:rsidR="009D33A8" w:rsidRDefault="009D33A8"/>
        </w:tc>
        <w:tc>
          <w:tcPr>
            <w:tcW w:w="6837" w:type="dxa"/>
          </w:tcPr>
          <w:p w14:paraId="24C9D95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NBCUniversal Production Attractions</w:t>
            </w:r>
          </w:p>
        </w:tc>
        <w:tc>
          <w:tcPr>
            <w:tcW w:w="963" w:type="dxa"/>
          </w:tcPr>
          <w:p w14:paraId="6EA2A322" w14:textId="77777777" w:rsidR="009D33A8" w:rsidRDefault="009D33A8">
            <w:pPr>
              <w:cnfStyle w:val="000000000000" w:firstRow="0" w:lastRow="0" w:firstColumn="0" w:lastColumn="0" w:oddVBand="0" w:evenVBand="0" w:oddHBand="0" w:evenHBand="0" w:firstRowFirstColumn="0" w:firstRowLastColumn="0" w:lastRowFirstColumn="0" w:lastRowLastColumn="0"/>
            </w:pPr>
            <w:r>
              <w:t>4 900</w:t>
            </w:r>
          </w:p>
        </w:tc>
      </w:tr>
      <w:tr w:rsidR="009D33A8" w14:paraId="190AE3E7" w14:textId="77777777">
        <w:tc>
          <w:tcPr>
            <w:cnfStyle w:val="001000000000" w:firstRow="0" w:lastRow="0" w:firstColumn="1" w:lastColumn="0" w:oddVBand="0" w:evenVBand="0" w:oddHBand="0" w:evenHBand="0" w:firstRowFirstColumn="0" w:firstRowLastColumn="0" w:lastRowFirstColumn="0" w:lastRowLastColumn="0"/>
            <w:tcW w:w="1843" w:type="dxa"/>
          </w:tcPr>
          <w:p w14:paraId="2AA1AB1D" w14:textId="77777777" w:rsidR="009D33A8" w:rsidRDefault="009D33A8"/>
        </w:tc>
        <w:tc>
          <w:tcPr>
            <w:tcW w:w="6837" w:type="dxa"/>
          </w:tcPr>
          <w:p w14:paraId="172E475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Dedicated Victorian school of visual effects, games and animation</w:t>
            </w:r>
          </w:p>
        </w:tc>
        <w:tc>
          <w:tcPr>
            <w:tcW w:w="963" w:type="dxa"/>
          </w:tcPr>
          <w:p w14:paraId="657372E0" w14:textId="77777777" w:rsidR="009D33A8" w:rsidRDefault="009D33A8">
            <w:pPr>
              <w:cnfStyle w:val="000000000000" w:firstRow="0" w:lastRow="0" w:firstColumn="0" w:lastColumn="0" w:oddVBand="0" w:evenVBand="0" w:oddHBand="0" w:evenHBand="0" w:firstRowFirstColumn="0" w:firstRowLastColumn="0" w:lastRowFirstColumn="0" w:lastRowLastColumn="0"/>
            </w:pPr>
            <w:r>
              <w:t>3 600</w:t>
            </w:r>
          </w:p>
        </w:tc>
      </w:tr>
      <w:tr w:rsidR="009D33A8" w14:paraId="6B7A65EC" w14:textId="77777777">
        <w:tc>
          <w:tcPr>
            <w:cnfStyle w:val="001000000000" w:firstRow="0" w:lastRow="0" w:firstColumn="1" w:lastColumn="0" w:oddVBand="0" w:evenVBand="0" w:oddHBand="0" w:evenHBand="0" w:firstRowFirstColumn="0" w:firstRowLastColumn="0" w:lastRowFirstColumn="0" w:lastRowLastColumn="0"/>
            <w:tcW w:w="1843" w:type="dxa"/>
          </w:tcPr>
          <w:p w14:paraId="51D5D74E" w14:textId="77777777" w:rsidR="009D33A8" w:rsidRDefault="009D33A8"/>
        </w:tc>
        <w:tc>
          <w:tcPr>
            <w:tcW w:w="6837" w:type="dxa"/>
          </w:tcPr>
          <w:p w14:paraId="13B1A2A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Made in Victoria – supporting industry through R&amp;D infrastructure</w:t>
            </w:r>
          </w:p>
        </w:tc>
        <w:tc>
          <w:tcPr>
            <w:tcW w:w="963" w:type="dxa"/>
          </w:tcPr>
          <w:p w14:paraId="20B8C56B" w14:textId="77777777" w:rsidR="009D33A8" w:rsidRDefault="009D33A8">
            <w:pPr>
              <w:cnfStyle w:val="000000000000" w:firstRow="0" w:lastRow="0" w:firstColumn="0" w:lastColumn="0" w:oddVBand="0" w:evenVBand="0" w:oddHBand="0" w:evenHBand="0" w:firstRowFirstColumn="0" w:firstRowLastColumn="0" w:lastRowFirstColumn="0" w:lastRowLastColumn="0"/>
            </w:pPr>
            <w:r>
              <w:t>3 387</w:t>
            </w:r>
          </w:p>
        </w:tc>
      </w:tr>
      <w:tr w:rsidR="009D33A8" w14:paraId="1E8D082C" w14:textId="77777777">
        <w:tc>
          <w:tcPr>
            <w:cnfStyle w:val="001000000000" w:firstRow="0" w:lastRow="0" w:firstColumn="1" w:lastColumn="0" w:oddVBand="0" w:evenVBand="0" w:oddHBand="0" w:evenHBand="0" w:firstRowFirstColumn="0" w:firstRowLastColumn="0" w:lastRowFirstColumn="0" w:lastRowLastColumn="0"/>
            <w:tcW w:w="1843" w:type="dxa"/>
          </w:tcPr>
          <w:p w14:paraId="51A4F696" w14:textId="77777777" w:rsidR="009D33A8" w:rsidRDefault="009D33A8"/>
        </w:tc>
        <w:tc>
          <w:tcPr>
            <w:tcW w:w="6837" w:type="dxa"/>
          </w:tcPr>
          <w:p w14:paraId="4094A90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sustainable hunting reform</w:t>
            </w:r>
          </w:p>
        </w:tc>
        <w:tc>
          <w:tcPr>
            <w:tcW w:w="963" w:type="dxa"/>
          </w:tcPr>
          <w:p w14:paraId="2225C897" w14:textId="77777777" w:rsidR="009D33A8" w:rsidRDefault="009D33A8">
            <w:pPr>
              <w:cnfStyle w:val="000000000000" w:firstRow="0" w:lastRow="0" w:firstColumn="0" w:lastColumn="0" w:oddVBand="0" w:evenVBand="0" w:oddHBand="0" w:evenHBand="0" w:firstRowFirstColumn="0" w:firstRowLastColumn="0" w:lastRowFirstColumn="0" w:lastRowLastColumn="0"/>
            </w:pPr>
            <w:r>
              <w:t>3 140</w:t>
            </w:r>
          </w:p>
        </w:tc>
      </w:tr>
      <w:tr w:rsidR="009D33A8" w14:paraId="0F596F66" w14:textId="77777777">
        <w:tc>
          <w:tcPr>
            <w:cnfStyle w:val="001000000000" w:firstRow="0" w:lastRow="0" w:firstColumn="1" w:lastColumn="0" w:oddVBand="0" w:evenVBand="0" w:oddHBand="0" w:evenHBand="0" w:firstRowFirstColumn="0" w:firstRowLastColumn="0" w:lastRowFirstColumn="0" w:lastRowLastColumn="0"/>
            <w:tcW w:w="1843" w:type="dxa"/>
          </w:tcPr>
          <w:p w14:paraId="237F461F" w14:textId="77777777" w:rsidR="009D33A8" w:rsidRDefault="009D33A8"/>
        </w:tc>
        <w:tc>
          <w:tcPr>
            <w:tcW w:w="6837" w:type="dxa"/>
          </w:tcPr>
          <w:p w14:paraId="64B1C75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Sick Pay Guarantee</w:t>
            </w:r>
          </w:p>
        </w:tc>
        <w:tc>
          <w:tcPr>
            <w:tcW w:w="963" w:type="dxa"/>
          </w:tcPr>
          <w:p w14:paraId="1339114D" w14:textId="77777777" w:rsidR="009D33A8" w:rsidRDefault="009D33A8">
            <w:pPr>
              <w:cnfStyle w:val="000000000000" w:firstRow="0" w:lastRow="0" w:firstColumn="0" w:lastColumn="0" w:oddVBand="0" w:evenVBand="0" w:oddHBand="0" w:evenHBand="0" w:firstRowFirstColumn="0" w:firstRowLastColumn="0" w:lastRowFirstColumn="0" w:lastRowLastColumn="0"/>
            </w:pPr>
            <w:r>
              <w:t>2 971</w:t>
            </w:r>
          </w:p>
        </w:tc>
      </w:tr>
      <w:tr w:rsidR="009D33A8" w14:paraId="2782E1E3" w14:textId="77777777">
        <w:tc>
          <w:tcPr>
            <w:cnfStyle w:val="001000000000" w:firstRow="0" w:lastRow="0" w:firstColumn="1" w:lastColumn="0" w:oddVBand="0" w:evenVBand="0" w:oddHBand="0" w:evenHBand="0" w:firstRowFirstColumn="0" w:firstRowLastColumn="0" w:lastRowFirstColumn="0" w:lastRowLastColumn="0"/>
            <w:tcW w:w="1843" w:type="dxa"/>
          </w:tcPr>
          <w:p w14:paraId="751346E9" w14:textId="77777777" w:rsidR="009D33A8" w:rsidRDefault="009D33A8"/>
        </w:tc>
        <w:tc>
          <w:tcPr>
            <w:tcW w:w="6837" w:type="dxa"/>
          </w:tcPr>
          <w:p w14:paraId="7F9454F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788BD54D" w14:textId="77777777" w:rsidR="009D33A8" w:rsidRDefault="009D33A8">
            <w:pPr>
              <w:cnfStyle w:val="000000000000" w:firstRow="0" w:lastRow="0" w:firstColumn="0" w:lastColumn="0" w:oddVBand="0" w:evenVBand="0" w:oddHBand="0" w:evenHBand="0" w:firstRowFirstColumn="0" w:firstRowLastColumn="0" w:lastRowFirstColumn="0" w:lastRowLastColumn="0"/>
            </w:pPr>
            <w:r>
              <w:t>2 624</w:t>
            </w:r>
          </w:p>
        </w:tc>
      </w:tr>
      <w:tr w:rsidR="009D33A8" w14:paraId="105967F6" w14:textId="77777777">
        <w:tc>
          <w:tcPr>
            <w:cnfStyle w:val="001000000000" w:firstRow="0" w:lastRow="0" w:firstColumn="1" w:lastColumn="0" w:oddVBand="0" w:evenVBand="0" w:oddHBand="0" w:evenHBand="0" w:firstRowFirstColumn="0" w:firstRowLastColumn="0" w:lastRowFirstColumn="0" w:lastRowLastColumn="0"/>
            <w:tcW w:w="1843" w:type="dxa"/>
          </w:tcPr>
          <w:p w14:paraId="63207F21" w14:textId="77777777" w:rsidR="009D33A8" w:rsidRDefault="009D33A8"/>
        </w:tc>
        <w:tc>
          <w:tcPr>
            <w:tcW w:w="6837" w:type="dxa"/>
          </w:tcPr>
          <w:p w14:paraId="70BA01A2"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Melbourne CBD Economic Revitalisation Package</w:t>
            </w:r>
          </w:p>
        </w:tc>
        <w:tc>
          <w:tcPr>
            <w:tcW w:w="963" w:type="dxa"/>
          </w:tcPr>
          <w:p w14:paraId="2ADD8C3A" w14:textId="77777777" w:rsidR="009D33A8" w:rsidRDefault="009D33A8">
            <w:pPr>
              <w:cnfStyle w:val="000000000000" w:firstRow="0" w:lastRow="0" w:firstColumn="0" w:lastColumn="0" w:oddVBand="0" w:evenVBand="0" w:oddHBand="0" w:evenHBand="0" w:firstRowFirstColumn="0" w:firstRowLastColumn="0" w:lastRowFirstColumn="0" w:lastRowLastColumn="0"/>
            </w:pPr>
            <w:r>
              <w:t>2 499</w:t>
            </w:r>
          </w:p>
        </w:tc>
      </w:tr>
      <w:tr w:rsidR="009D33A8" w14:paraId="7824D915" w14:textId="77777777">
        <w:tc>
          <w:tcPr>
            <w:cnfStyle w:val="001000000000" w:firstRow="0" w:lastRow="0" w:firstColumn="1" w:lastColumn="0" w:oddVBand="0" w:evenVBand="0" w:oddHBand="0" w:evenHBand="0" w:firstRowFirstColumn="0" w:firstRowLastColumn="0" w:lastRowFirstColumn="0" w:lastRowLastColumn="0"/>
            <w:tcW w:w="1843" w:type="dxa"/>
          </w:tcPr>
          <w:p w14:paraId="50F60881" w14:textId="77777777" w:rsidR="009D33A8" w:rsidRDefault="009D33A8"/>
        </w:tc>
        <w:tc>
          <w:tcPr>
            <w:tcW w:w="6837" w:type="dxa"/>
          </w:tcPr>
          <w:p w14:paraId="09B1294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Community Sports Infrastructure Loans Scheme</w:t>
            </w:r>
          </w:p>
        </w:tc>
        <w:tc>
          <w:tcPr>
            <w:tcW w:w="963" w:type="dxa"/>
          </w:tcPr>
          <w:p w14:paraId="6C89A8FD" w14:textId="77777777" w:rsidR="009D33A8" w:rsidRDefault="009D33A8">
            <w:pPr>
              <w:cnfStyle w:val="000000000000" w:firstRow="0" w:lastRow="0" w:firstColumn="0" w:lastColumn="0" w:oddVBand="0" w:evenVBand="0" w:oddHBand="0" w:evenHBand="0" w:firstRowFirstColumn="0" w:firstRowLastColumn="0" w:lastRowFirstColumn="0" w:lastRowLastColumn="0"/>
            </w:pPr>
            <w:r>
              <w:t>1 786</w:t>
            </w:r>
          </w:p>
        </w:tc>
      </w:tr>
      <w:tr w:rsidR="009D33A8" w14:paraId="69C16038" w14:textId="77777777">
        <w:tc>
          <w:tcPr>
            <w:cnfStyle w:val="001000000000" w:firstRow="0" w:lastRow="0" w:firstColumn="1" w:lastColumn="0" w:oddVBand="0" w:evenVBand="0" w:oddHBand="0" w:evenHBand="0" w:firstRowFirstColumn="0" w:firstRowLastColumn="0" w:lastRowFirstColumn="0" w:lastRowLastColumn="0"/>
            <w:tcW w:w="1843" w:type="dxa"/>
          </w:tcPr>
          <w:p w14:paraId="38A8FF7A" w14:textId="77777777" w:rsidR="009D33A8" w:rsidRDefault="009D33A8"/>
        </w:tc>
        <w:tc>
          <w:tcPr>
            <w:tcW w:w="6837" w:type="dxa"/>
          </w:tcPr>
          <w:p w14:paraId="465DC71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Latrobe Valley Transition and Transformation</w:t>
            </w:r>
          </w:p>
        </w:tc>
        <w:tc>
          <w:tcPr>
            <w:tcW w:w="963" w:type="dxa"/>
          </w:tcPr>
          <w:p w14:paraId="16AC4435" w14:textId="77777777" w:rsidR="009D33A8" w:rsidRDefault="009D33A8">
            <w:pPr>
              <w:cnfStyle w:val="000000000000" w:firstRow="0" w:lastRow="0" w:firstColumn="0" w:lastColumn="0" w:oddVBand="0" w:evenVBand="0" w:oddHBand="0" w:evenHBand="0" w:firstRowFirstColumn="0" w:firstRowLastColumn="0" w:lastRowFirstColumn="0" w:lastRowLastColumn="0"/>
            </w:pPr>
            <w:r>
              <w:t>1 616</w:t>
            </w:r>
          </w:p>
        </w:tc>
      </w:tr>
      <w:tr w:rsidR="009D33A8" w14:paraId="55951D44" w14:textId="77777777">
        <w:tc>
          <w:tcPr>
            <w:cnfStyle w:val="001000000000" w:firstRow="0" w:lastRow="0" w:firstColumn="1" w:lastColumn="0" w:oddVBand="0" w:evenVBand="0" w:oddHBand="0" w:evenHBand="0" w:firstRowFirstColumn="0" w:firstRowLastColumn="0" w:lastRowFirstColumn="0" w:lastRowLastColumn="0"/>
            <w:tcW w:w="1843" w:type="dxa"/>
          </w:tcPr>
          <w:p w14:paraId="3A9542AC" w14:textId="77777777" w:rsidR="009D33A8" w:rsidRDefault="009D33A8"/>
        </w:tc>
        <w:tc>
          <w:tcPr>
            <w:tcW w:w="6837" w:type="dxa"/>
          </w:tcPr>
          <w:p w14:paraId="0B2BA3C5"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Victorian Festivals Package</w:t>
            </w:r>
          </w:p>
        </w:tc>
        <w:tc>
          <w:tcPr>
            <w:tcW w:w="963" w:type="dxa"/>
          </w:tcPr>
          <w:p w14:paraId="24366388" w14:textId="77777777" w:rsidR="009D33A8" w:rsidRDefault="009D33A8">
            <w:pPr>
              <w:cnfStyle w:val="000000000000" w:firstRow="0" w:lastRow="0" w:firstColumn="0" w:lastColumn="0" w:oddVBand="0" w:evenVBand="0" w:oddHBand="0" w:evenHBand="0" w:firstRowFirstColumn="0" w:firstRowLastColumn="0" w:lastRowFirstColumn="0" w:lastRowLastColumn="0"/>
            </w:pPr>
            <w:r>
              <w:t>1 500</w:t>
            </w:r>
          </w:p>
        </w:tc>
      </w:tr>
      <w:tr w:rsidR="009D33A8" w14:paraId="15CE1DD1" w14:textId="77777777">
        <w:tc>
          <w:tcPr>
            <w:cnfStyle w:val="001000000000" w:firstRow="0" w:lastRow="0" w:firstColumn="1" w:lastColumn="0" w:oddVBand="0" w:evenVBand="0" w:oddHBand="0" w:evenHBand="0" w:firstRowFirstColumn="0" w:firstRowLastColumn="0" w:lastRowFirstColumn="0" w:lastRowLastColumn="0"/>
            <w:tcW w:w="1843" w:type="dxa"/>
          </w:tcPr>
          <w:p w14:paraId="549090C5" w14:textId="77777777" w:rsidR="009D33A8" w:rsidRDefault="009D33A8"/>
        </w:tc>
        <w:tc>
          <w:tcPr>
            <w:tcW w:w="6837" w:type="dxa"/>
          </w:tcPr>
          <w:p w14:paraId="490EB1F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Economic Growth Industry Grants</w:t>
            </w:r>
          </w:p>
        </w:tc>
        <w:tc>
          <w:tcPr>
            <w:tcW w:w="963" w:type="dxa"/>
          </w:tcPr>
          <w:p w14:paraId="53CDB60E" w14:textId="77777777" w:rsidR="009D33A8" w:rsidRDefault="009D33A8">
            <w:pPr>
              <w:cnfStyle w:val="000000000000" w:firstRow="0" w:lastRow="0" w:firstColumn="0" w:lastColumn="0" w:oddVBand="0" w:evenVBand="0" w:oddHBand="0" w:evenHBand="0" w:firstRowFirstColumn="0" w:firstRowLastColumn="0" w:lastRowFirstColumn="0" w:lastRowLastColumn="0"/>
            </w:pPr>
            <w:r>
              <w:t>1 331</w:t>
            </w:r>
          </w:p>
        </w:tc>
      </w:tr>
      <w:tr w:rsidR="009D33A8" w14:paraId="16902EA8" w14:textId="77777777">
        <w:tc>
          <w:tcPr>
            <w:cnfStyle w:val="001000000000" w:firstRow="0" w:lastRow="0" w:firstColumn="1" w:lastColumn="0" w:oddVBand="0" w:evenVBand="0" w:oddHBand="0" w:evenHBand="0" w:firstRowFirstColumn="0" w:firstRowLastColumn="0" w:lastRowFirstColumn="0" w:lastRowLastColumn="0"/>
            <w:tcW w:w="1843" w:type="dxa"/>
          </w:tcPr>
          <w:p w14:paraId="1F5A8F87" w14:textId="77777777" w:rsidR="009D33A8" w:rsidRDefault="009D33A8"/>
        </w:tc>
        <w:tc>
          <w:tcPr>
            <w:tcW w:w="6837" w:type="dxa"/>
          </w:tcPr>
          <w:p w14:paraId="7040F52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Timber Supply Chain</w:t>
            </w:r>
          </w:p>
        </w:tc>
        <w:tc>
          <w:tcPr>
            <w:tcW w:w="963" w:type="dxa"/>
          </w:tcPr>
          <w:p w14:paraId="07099B1C" w14:textId="77777777" w:rsidR="009D33A8" w:rsidRDefault="009D33A8">
            <w:pPr>
              <w:cnfStyle w:val="000000000000" w:firstRow="0" w:lastRow="0" w:firstColumn="0" w:lastColumn="0" w:oddVBand="0" w:evenVBand="0" w:oddHBand="0" w:evenHBand="0" w:firstRowFirstColumn="0" w:firstRowLastColumn="0" w:lastRowFirstColumn="0" w:lastRowLastColumn="0"/>
            </w:pPr>
            <w:r>
              <w:t>1 085</w:t>
            </w:r>
          </w:p>
        </w:tc>
      </w:tr>
      <w:tr w:rsidR="009D33A8" w14:paraId="76BAC6B3" w14:textId="77777777">
        <w:tc>
          <w:tcPr>
            <w:cnfStyle w:val="001000000000" w:firstRow="0" w:lastRow="0" w:firstColumn="1" w:lastColumn="0" w:oddVBand="0" w:evenVBand="0" w:oddHBand="0" w:evenHBand="0" w:firstRowFirstColumn="0" w:firstRowLastColumn="0" w:lastRowFirstColumn="0" w:lastRowLastColumn="0"/>
            <w:tcW w:w="1843" w:type="dxa"/>
          </w:tcPr>
          <w:p w14:paraId="345AA053" w14:textId="77777777" w:rsidR="009D33A8" w:rsidRDefault="009D33A8"/>
        </w:tc>
        <w:tc>
          <w:tcPr>
            <w:tcW w:w="6837" w:type="dxa"/>
          </w:tcPr>
          <w:p w14:paraId="13C559F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Boosting Victorian Exports Package</w:t>
            </w:r>
          </w:p>
        </w:tc>
        <w:tc>
          <w:tcPr>
            <w:tcW w:w="963" w:type="dxa"/>
          </w:tcPr>
          <w:p w14:paraId="1518E2A0" w14:textId="77777777" w:rsidR="009D33A8" w:rsidRDefault="009D33A8">
            <w:pPr>
              <w:cnfStyle w:val="000000000000" w:firstRow="0" w:lastRow="0" w:firstColumn="0" w:lastColumn="0" w:oddVBand="0" w:evenVBand="0" w:oddHBand="0" w:evenHBand="0" w:firstRowFirstColumn="0" w:firstRowLastColumn="0" w:lastRowFirstColumn="0" w:lastRowLastColumn="0"/>
            </w:pPr>
            <w:r>
              <w:t>761</w:t>
            </w:r>
          </w:p>
        </w:tc>
      </w:tr>
      <w:tr w:rsidR="009D33A8" w14:paraId="7265D4A5" w14:textId="77777777">
        <w:tc>
          <w:tcPr>
            <w:cnfStyle w:val="001000000000" w:firstRow="0" w:lastRow="0" w:firstColumn="1" w:lastColumn="0" w:oddVBand="0" w:evenVBand="0" w:oddHBand="0" w:evenHBand="0" w:firstRowFirstColumn="0" w:firstRowLastColumn="0" w:lastRowFirstColumn="0" w:lastRowLastColumn="0"/>
            <w:tcW w:w="1843" w:type="dxa"/>
          </w:tcPr>
          <w:p w14:paraId="7665B22B" w14:textId="77777777" w:rsidR="009D33A8" w:rsidRDefault="009D33A8"/>
        </w:tc>
        <w:tc>
          <w:tcPr>
            <w:tcW w:w="6837" w:type="dxa"/>
          </w:tcPr>
          <w:p w14:paraId="3671004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More apprenticeships for workforce priorities</w:t>
            </w:r>
          </w:p>
        </w:tc>
        <w:tc>
          <w:tcPr>
            <w:tcW w:w="963" w:type="dxa"/>
          </w:tcPr>
          <w:p w14:paraId="28236EFE" w14:textId="77777777" w:rsidR="009D33A8" w:rsidRDefault="009D33A8">
            <w:pPr>
              <w:cnfStyle w:val="000000000000" w:firstRow="0" w:lastRow="0" w:firstColumn="0" w:lastColumn="0" w:oddVBand="0" w:evenVBand="0" w:oddHBand="0" w:evenHBand="0" w:firstRowFirstColumn="0" w:firstRowLastColumn="0" w:lastRowFirstColumn="0" w:lastRowLastColumn="0"/>
            </w:pPr>
            <w:r>
              <w:t>565</w:t>
            </w:r>
          </w:p>
        </w:tc>
      </w:tr>
      <w:tr w:rsidR="009D33A8" w14:paraId="44F1A3CF" w14:textId="77777777">
        <w:tc>
          <w:tcPr>
            <w:cnfStyle w:val="001000000000" w:firstRow="0" w:lastRow="0" w:firstColumn="1" w:lastColumn="0" w:oddVBand="0" w:evenVBand="0" w:oddHBand="0" w:evenHBand="0" w:firstRowFirstColumn="0" w:firstRowLastColumn="0" w:lastRowFirstColumn="0" w:lastRowLastColumn="0"/>
            <w:tcW w:w="1843" w:type="dxa"/>
          </w:tcPr>
          <w:p w14:paraId="479BBDFE" w14:textId="77777777" w:rsidR="009D33A8" w:rsidRDefault="009D33A8"/>
        </w:tc>
        <w:tc>
          <w:tcPr>
            <w:tcW w:w="6837" w:type="dxa"/>
          </w:tcPr>
          <w:p w14:paraId="3CD4A373"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 for the 14th World Chambers Congress</w:t>
            </w:r>
          </w:p>
        </w:tc>
        <w:tc>
          <w:tcPr>
            <w:tcW w:w="963" w:type="dxa"/>
          </w:tcPr>
          <w:p w14:paraId="448F3504" w14:textId="77777777" w:rsidR="009D33A8" w:rsidRDefault="009D33A8">
            <w:pPr>
              <w:cnfStyle w:val="000000000000" w:firstRow="0" w:lastRow="0" w:firstColumn="0" w:lastColumn="0" w:oddVBand="0" w:evenVBand="0" w:oddHBand="0" w:evenHBand="0" w:firstRowFirstColumn="0" w:firstRowLastColumn="0" w:lastRowFirstColumn="0" w:lastRowLastColumn="0"/>
            </w:pPr>
            <w:r>
              <w:t>490</w:t>
            </w:r>
          </w:p>
        </w:tc>
      </w:tr>
      <w:tr w:rsidR="009D33A8" w14:paraId="2DD997C0" w14:textId="77777777">
        <w:tc>
          <w:tcPr>
            <w:cnfStyle w:val="001000000000" w:firstRow="0" w:lastRow="0" w:firstColumn="1" w:lastColumn="0" w:oddVBand="0" w:evenVBand="0" w:oddHBand="0" w:evenHBand="0" w:firstRowFirstColumn="0" w:firstRowLastColumn="0" w:lastRowFirstColumn="0" w:lastRowLastColumn="0"/>
            <w:tcW w:w="1843" w:type="dxa"/>
          </w:tcPr>
          <w:p w14:paraId="05260F60" w14:textId="77777777" w:rsidR="009D33A8" w:rsidRDefault="009D33A8"/>
        </w:tc>
        <w:tc>
          <w:tcPr>
            <w:tcW w:w="6837" w:type="dxa"/>
          </w:tcPr>
          <w:p w14:paraId="20287AD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Investment Coordinator‑General</w:t>
            </w:r>
          </w:p>
        </w:tc>
        <w:tc>
          <w:tcPr>
            <w:tcW w:w="963" w:type="dxa"/>
          </w:tcPr>
          <w:p w14:paraId="4BFC6C75" w14:textId="77777777" w:rsidR="009D33A8" w:rsidRDefault="009D33A8">
            <w:pPr>
              <w:cnfStyle w:val="000000000000" w:firstRow="0" w:lastRow="0" w:firstColumn="0" w:lastColumn="0" w:oddVBand="0" w:evenVBand="0" w:oddHBand="0" w:evenHBand="0" w:firstRowFirstColumn="0" w:firstRowLastColumn="0" w:lastRowFirstColumn="0" w:lastRowLastColumn="0"/>
            </w:pPr>
            <w:r>
              <w:t>473</w:t>
            </w:r>
          </w:p>
        </w:tc>
      </w:tr>
      <w:tr w:rsidR="009D33A8" w14:paraId="0D69F413" w14:textId="77777777">
        <w:tc>
          <w:tcPr>
            <w:cnfStyle w:val="001000000000" w:firstRow="0" w:lastRow="0" w:firstColumn="1" w:lastColumn="0" w:oddVBand="0" w:evenVBand="0" w:oddHBand="0" w:evenHBand="0" w:firstRowFirstColumn="0" w:firstRowLastColumn="0" w:lastRowFirstColumn="0" w:lastRowLastColumn="0"/>
            <w:tcW w:w="1843" w:type="dxa"/>
          </w:tcPr>
          <w:p w14:paraId="0F9F7306" w14:textId="77777777" w:rsidR="009D33A8" w:rsidRDefault="009D33A8"/>
        </w:tc>
        <w:tc>
          <w:tcPr>
            <w:tcW w:w="6837" w:type="dxa"/>
          </w:tcPr>
          <w:p w14:paraId="730C719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Events Support</w:t>
            </w:r>
          </w:p>
        </w:tc>
        <w:tc>
          <w:tcPr>
            <w:tcW w:w="963" w:type="dxa"/>
          </w:tcPr>
          <w:p w14:paraId="3F6E817A" w14:textId="77777777" w:rsidR="009D33A8" w:rsidRDefault="009D33A8">
            <w:pPr>
              <w:cnfStyle w:val="000000000000" w:firstRow="0" w:lastRow="0" w:firstColumn="0" w:lastColumn="0" w:oddVBand="0" w:evenVBand="0" w:oddHBand="0" w:evenHBand="0" w:firstRowFirstColumn="0" w:firstRowLastColumn="0" w:lastRowFirstColumn="0" w:lastRowLastColumn="0"/>
            </w:pPr>
            <w:r>
              <w:t>169</w:t>
            </w:r>
          </w:p>
        </w:tc>
      </w:tr>
      <w:tr w:rsidR="009D33A8" w14:paraId="362A9B8F" w14:textId="77777777">
        <w:tc>
          <w:tcPr>
            <w:cnfStyle w:val="001000000000" w:firstRow="0" w:lastRow="0" w:firstColumn="1" w:lastColumn="0" w:oddVBand="0" w:evenVBand="0" w:oddHBand="0" w:evenHBand="0" w:firstRowFirstColumn="0" w:firstRowLastColumn="0" w:lastRowFirstColumn="0" w:lastRowLastColumn="0"/>
            <w:tcW w:w="1843" w:type="dxa"/>
          </w:tcPr>
          <w:p w14:paraId="34C52CB5" w14:textId="77777777" w:rsidR="009D33A8" w:rsidRDefault="009D33A8"/>
        </w:tc>
        <w:tc>
          <w:tcPr>
            <w:tcW w:w="6837" w:type="dxa"/>
          </w:tcPr>
          <w:p w14:paraId="0B50F14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Extending the Digital Jobs program</w:t>
            </w:r>
          </w:p>
        </w:tc>
        <w:tc>
          <w:tcPr>
            <w:tcW w:w="963" w:type="dxa"/>
          </w:tcPr>
          <w:p w14:paraId="3B43E164" w14:textId="77777777" w:rsidR="009D33A8" w:rsidRDefault="009D33A8">
            <w:pPr>
              <w:cnfStyle w:val="000000000000" w:firstRow="0" w:lastRow="0" w:firstColumn="0" w:lastColumn="0" w:oddVBand="0" w:evenVBand="0" w:oddHBand="0" w:evenHBand="0" w:firstRowFirstColumn="0" w:firstRowLastColumn="0" w:lastRowFirstColumn="0" w:lastRowLastColumn="0"/>
            </w:pPr>
            <w:r>
              <w:t>144</w:t>
            </w:r>
          </w:p>
        </w:tc>
      </w:tr>
      <w:tr w:rsidR="009D33A8" w14:paraId="638AFB21" w14:textId="77777777">
        <w:tc>
          <w:tcPr>
            <w:cnfStyle w:val="001000000000" w:firstRow="0" w:lastRow="0" w:firstColumn="1" w:lastColumn="0" w:oddVBand="0" w:evenVBand="0" w:oddHBand="0" w:evenHBand="0" w:firstRowFirstColumn="0" w:firstRowLastColumn="0" w:lastRowFirstColumn="0" w:lastRowLastColumn="0"/>
            <w:tcW w:w="1843" w:type="dxa"/>
          </w:tcPr>
          <w:p w14:paraId="1B9E9BD0" w14:textId="77777777" w:rsidR="009D33A8" w:rsidRDefault="009D33A8"/>
        </w:tc>
        <w:tc>
          <w:tcPr>
            <w:tcW w:w="6837" w:type="dxa"/>
          </w:tcPr>
          <w:p w14:paraId="2ECC2C6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Extending Skills Solutions Partnerships</w:t>
            </w:r>
          </w:p>
        </w:tc>
        <w:tc>
          <w:tcPr>
            <w:tcW w:w="963" w:type="dxa"/>
          </w:tcPr>
          <w:p w14:paraId="69CFCA26" w14:textId="77777777" w:rsidR="009D33A8" w:rsidRDefault="009D33A8">
            <w:pPr>
              <w:cnfStyle w:val="000000000000" w:firstRow="0" w:lastRow="0" w:firstColumn="0" w:lastColumn="0" w:oddVBand="0" w:evenVBand="0" w:oddHBand="0" w:evenHBand="0" w:firstRowFirstColumn="0" w:firstRowLastColumn="0" w:lastRowFirstColumn="0" w:lastRowLastColumn="0"/>
            </w:pPr>
            <w:r>
              <w:t>130</w:t>
            </w:r>
          </w:p>
        </w:tc>
      </w:tr>
      <w:tr w:rsidR="009D33A8" w14:paraId="729523D2" w14:textId="77777777">
        <w:tc>
          <w:tcPr>
            <w:cnfStyle w:val="001000000000" w:firstRow="0" w:lastRow="0" w:firstColumn="1" w:lastColumn="0" w:oddVBand="0" w:evenVBand="0" w:oddHBand="0" w:evenHBand="0" w:firstRowFirstColumn="0" w:firstRowLastColumn="0" w:lastRowFirstColumn="0" w:lastRowLastColumn="0"/>
            <w:tcW w:w="1843" w:type="dxa"/>
          </w:tcPr>
          <w:p w14:paraId="65D10D55" w14:textId="77777777" w:rsidR="009D33A8" w:rsidRDefault="009D33A8"/>
        </w:tc>
        <w:tc>
          <w:tcPr>
            <w:tcW w:w="6837" w:type="dxa"/>
          </w:tcPr>
          <w:p w14:paraId="1FF968B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Nyaal Banyul Geelong Convention and Event Centre</w:t>
            </w:r>
          </w:p>
        </w:tc>
        <w:tc>
          <w:tcPr>
            <w:tcW w:w="963" w:type="dxa"/>
          </w:tcPr>
          <w:p w14:paraId="3E342C52" w14:textId="77777777" w:rsidR="009D33A8" w:rsidRDefault="009D33A8">
            <w:pPr>
              <w:cnfStyle w:val="000000000000" w:firstRow="0" w:lastRow="0" w:firstColumn="0" w:lastColumn="0" w:oddVBand="0" w:evenVBand="0" w:oddHBand="0" w:evenHBand="0" w:firstRowFirstColumn="0" w:firstRowLastColumn="0" w:lastRowFirstColumn="0" w:lastRowLastColumn="0"/>
            </w:pPr>
            <w:r>
              <w:t>61</w:t>
            </w:r>
          </w:p>
        </w:tc>
      </w:tr>
      <w:tr w:rsidR="009D33A8" w14:paraId="5828D895" w14:textId="77777777">
        <w:tc>
          <w:tcPr>
            <w:cnfStyle w:val="001000000000" w:firstRow="0" w:lastRow="0" w:firstColumn="1" w:lastColumn="0" w:oddVBand="0" w:evenVBand="0" w:oddHBand="0" w:evenHBand="0" w:firstRowFirstColumn="0" w:firstRowLastColumn="0" w:lastRowFirstColumn="0" w:lastRowLastColumn="0"/>
            <w:tcW w:w="1843" w:type="dxa"/>
          </w:tcPr>
          <w:p w14:paraId="5E8C2DEB" w14:textId="77777777" w:rsidR="009D33A8" w:rsidRDefault="009D33A8"/>
        </w:tc>
        <w:tc>
          <w:tcPr>
            <w:tcW w:w="6837" w:type="dxa"/>
          </w:tcPr>
          <w:p w14:paraId="42CA6950"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Boosting Business Skills Mentoring</w:t>
            </w:r>
          </w:p>
        </w:tc>
        <w:tc>
          <w:tcPr>
            <w:tcW w:w="963" w:type="dxa"/>
          </w:tcPr>
          <w:p w14:paraId="6A36ECD7" w14:textId="77777777" w:rsidR="009D33A8" w:rsidRDefault="009D33A8">
            <w:pPr>
              <w:cnfStyle w:val="000000000000" w:firstRow="0" w:lastRow="0" w:firstColumn="0" w:lastColumn="0" w:oddVBand="0" w:evenVBand="0" w:oddHBand="0" w:evenHBand="0" w:firstRowFirstColumn="0" w:firstRowLastColumn="0" w:lastRowFirstColumn="0" w:lastRowLastColumn="0"/>
            </w:pPr>
            <w:r>
              <w:t>60</w:t>
            </w:r>
          </w:p>
        </w:tc>
      </w:tr>
      <w:tr w:rsidR="009D33A8" w14:paraId="18F845AB"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3209BC39" w14:textId="77777777" w:rsidR="009D33A8" w:rsidRDefault="009D33A8"/>
        </w:tc>
        <w:tc>
          <w:tcPr>
            <w:tcW w:w="6837" w:type="dxa"/>
            <w:tcBorders>
              <w:bottom w:val="single" w:sz="6" w:space="0" w:color="auto"/>
            </w:tcBorders>
          </w:tcPr>
          <w:p w14:paraId="3A86A65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5AA8CE1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632 292</w:t>
            </w:r>
          </w:p>
        </w:tc>
      </w:tr>
      <w:tr w:rsidR="009D33A8" w14:paraId="3821F0E9"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079572C3" w14:textId="77777777" w:rsidR="009D33A8" w:rsidRDefault="009D33A8">
            <w:r>
              <w:t>Justice and Community</w:t>
            </w:r>
          </w:p>
        </w:tc>
        <w:tc>
          <w:tcPr>
            <w:tcW w:w="6837" w:type="dxa"/>
            <w:tcBorders>
              <w:top w:val="single" w:sz="6" w:space="0" w:color="auto"/>
            </w:tcBorders>
          </w:tcPr>
          <w:p w14:paraId="0B605AD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Emergency Service Organisations</w:t>
            </w:r>
          </w:p>
        </w:tc>
        <w:tc>
          <w:tcPr>
            <w:tcW w:w="963" w:type="dxa"/>
            <w:tcBorders>
              <w:top w:val="single" w:sz="6" w:space="0" w:color="auto"/>
            </w:tcBorders>
          </w:tcPr>
          <w:p w14:paraId="0A88AB57" w14:textId="77777777" w:rsidR="009D33A8" w:rsidRDefault="009D33A8">
            <w:pPr>
              <w:cnfStyle w:val="000000000000" w:firstRow="0" w:lastRow="0" w:firstColumn="0" w:lastColumn="0" w:oddVBand="0" w:evenVBand="0" w:oddHBand="0" w:evenHBand="0" w:firstRowFirstColumn="0" w:firstRowLastColumn="0" w:lastRowFirstColumn="0" w:lastRowLastColumn="0"/>
            </w:pPr>
            <w:r>
              <w:t>427 950</w:t>
            </w:r>
          </w:p>
        </w:tc>
      </w:tr>
      <w:tr w:rsidR="009D33A8" w14:paraId="4B4F4F6C" w14:textId="77777777">
        <w:tc>
          <w:tcPr>
            <w:cnfStyle w:val="001000000000" w:firstRow="0" w:lastRow="0" w:firstColumn="1" w:lastColumn="0" w:oddVBand="0" w:evenVBand="0" w:oddHBand="0" w:evenHBand="0" w:firstRowFirstColumn="0" w:firstRowLastColumn="0" w:lastRowFirstColumn="0" w:lastRowLastColumn="0"/>
            <w:tcW w:w="1843" w:type="dxa"/>
          </w:tcPr>
          <w:p w14:paraId="0923FF5A" w14:textId="77777777" w:rsidR="009D33A8" w:rsidRDefault="009D33A8">
            <w:r>
              <w:t>Safety</w:t>
            </w:r>
          </w:p>
        </w:tc>
        <w:tc>
          <w:tcPr>
            <w:tcW w:w="6837" w:type="dxa"/>
          </w:tcPr>
          <w:p w14:paraId="4507D7F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58F50861" w14:textId="77777777" w:rsidR="009D33A8" w:rsidRDefault="009D33A8">
            <w:pPr>
              <w:cnfStyle w:val="000000000000" w:firstRow="0" w:lastRow="0" w:firstColumn="0" w:lastColumn="0" w:oddVBand="0" w:evenVBand="0" w:oddHBand="0" w:evenHBand="0" w:firstRowFirstColumn="0" w:firstRowLastColumn="0" w:lastRowFirstColumn="0" w:lastRowLastColumn="0"/>
            </w:pPr>
            <w:r>
              <w:t>119 160</w:t>
            </w:r>
          </w:p>
        </w:tc>
      </w:tr>
      <w:tr w:rsidR="009D33A8" w14:paraId="5036716D" w14:textId="77777777">
        <w:tc>
          <w:tcPr>
            <w:cnfStyle w:val="001000000000" w:firstRow="0" w:lastRow="0" w:firstColumn="1" w:lastColumn="0" w:oddVBand="0" w:evenVBand="0" w:oddHBand="0" w:evenHBand="0" w:firstRowFirstColumn="0" w:firstRowLastColumn="0" w:lastRowFirstColumn="0" w:lastRowLastColumn="0"/>
            <w:tcW w:w="1843" w:type="dxa"/>
          </w:tcPr>
          <w:p w14:paraId="3CA6C870" w14:textId="77777777" w:rsidR="009D33A8" w:rsidRDefault="009D33A8"/>
        </w:tc>
        <w:tc>
          <w:tcPr>
            <w:tcW w:w="6837" w:type="dxa"/>
          </w:tcPr>
          <w:p w14:paraId="6564413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Sworn EBA costs 2025</w:t>
            </w:r>
          </w:p>
        </w:tc>
        <w:tc>
          <w:tcPr>
            <w:tcW w:w="963" w:type="dxa"/>
          </w:tcPr>
          <w:p w14:paraId="52277EC0" w14:textId="77777777" w:rsidR="009D33A8" w:rsidRDefault="009D33A8">
            <w:pPr>
              <w:cnfStyle w:val="000000000000" w:firstRow="0" w:lastRow="0" w:firstColumn="0" w:lastColumn="0" w:oddVBand="0" w:evenVBand="0" w:oddHBand="0" w:evenHBand="0" w:firstRowFirstColumn="0" w:firstRowLastColumn="0" w:lastRowFirstColumn="0" w:lastRowLastColumn="0"/>
            </w:pPr>
            <w:r>
              <w:t>98 588</w:t>
            </w:r>
          </w:p>
        </w:tc>
      </w:tr>
      <w:tr w:rsidR="009D33A8" w14:paraId="3D41EC47" w14:textId="77777777">
        <w:tc>
          <w:tcPr>
            <w:cnfStyle w:val="001000000000" w:firstRow="0" w:lastRow="0" w:firstColumn="1" w:lastColumn="0" w:oddVBand="0" w:evenVBand="0" w:oddHBand="0" w:evenHBand="0" w:firstRowFirstColumn="0" w:firstRowLastColumn="0" w:lastRowFirstColumn="0" w:lastRowLastColumn="0"/>
            <w:tcW w:w="1843" w:type="dxa"/>
          </w:tcPr>
          <w:p w14:paraId="53AA4F18" w14:textId="77777777" w:rsidR="009D33A8" w:rsidRDefault="009D33A8"/>
        </w:tc>
        <w:tc>
          <w:tcPr>
            <w:tcW w:w="6837" w:type="dxa"/>
          </w:tcPr>
          <w:p w14:paraId="47A92628" w14:textId="1C66C3C0" w:rsidR="009D33A8" w:rsidRDefault="009D33A8">
            <w:pPr>
              <w:jc w:val="left"/>
              <w:cnfStyle w:val="000000000000" w:firstRow="0" w:lastRow="0" w:firstColumn="0" w:lastColumn="0" w:oddVBand="0" w:evenVBand="0" w:oddHBand="0" w:evenHBand="0" w:firstRowFirstColumn="0" w:firstRowLastColumn="0" w:lastRowFirstColumn="0" w:lastRowLastColumn="0"/>
            </w:pPr>
            <w:r>
              <w:t>Modernising the men</w:t>
            </w:r>
            <w:r w:rsidR="00845934">
              <w:t>’</w:t>
            </w:r>
            <w:r>
              <w:t>s prison network</w:t>
            </w:r>
          </w:p>
        </w:tc>
        <w:tc>
          <w:tcPr>
            <w:tcW w:w="963" w:type="dxa"/>
          </w:tcPr>
          <w:p w14:paraId="3F29AF96" w14:textId="77777777" w:rsidR="009D33A8" w:rsidRDefault="009D33A8">
            <w:pPr>
              <w:cnfStyle w:val="000000000000" w:firstRow="0" w:lastRow="0" w:firstColumn="0" w:lastColumn="0" w:oddVBand="0" w:evenVBand="0" w:oddHBand="0" w:evenHBand="0" w:firstRowFirstColumn="0" w:firstRowLastColumn="0" w:lastRowFirstColumn="0" w:lastRowLastColumn="0"/>
            </w:pPr>
            <w:r>
              <w:t>79 478</w:t>
            </w:r>
          </w:p>
        </w:tc>
      </w:tr>
      <w:tr w:rsidR="009D33A8" w14:paraId="69CCE472" w14:textId="77777777">
        <w:tc>
          <w:tcPr>
            <w:cnfStyle w:val="001000000000" w:firstRow="0" w:lastRow="0" w:firstColumn="1" w:lastColumn="0" w:oddVBand="0" w:evenVBand="0" w:oddHBand="0" w:evenHBand="0" w:firstRowFirstColumn="0" w:firstRowLastColumn="0" w:lastRowFirstColumn="0" w:lastRowLastColumn="0"/>
            <w:tcW w:w="1843" w:type="dxa"/>
          </w:tcPr>
          <w:p w14:paraId="25123104" w14:textId="77777777" w:rsidR="009D33A8" w:rsidRDefault="009D33A8"/>
        </w:tc>
        <w:tc>
          <w:tcPr>
            <w:tcW w:w="6837" w:type="dxa"/>
          </w:tcPr>
          <w:p w14:paraId="45EF3C65"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Community based diversionary services and opening Cherry Creek</w:t>
            </w:r>
          </w:p>
        </w:tc>
        <w:tc>
          <w:tcPr>
            <w:tcW w:w="963" w:type="dxa"/>
          </w:tcPr>
          <w:p w14:paraId="05ECD5A6" w14:textId="77777777" w:rsidR="009D33A8" w:rsidRDefault="009D33A8">
            <w:pPr>
              <w:cnfStyle w:val="000000000000" w:firstRow="0" w:lastRow="0" w:firstColumn="0" w:lastColumn="0" w:oddVBand="0" w:evenVBand="0" w:oddHBand="0" w:evenHBand="0" w:firstRowFirstColumn="0" w:firstRowLastColumn="0" w:lastRowFirstColumn="0" w:lastRowLastColumn="0"/>
            </w:pPr>
            <w:r>
              <w:t>74 622</w:t>
            </w:r>
          </w:p>
        </w:tc>
      </w:tr>
      <w:tr w:rsidR="009D33A8" w14:paraId="0F301769" w14:textId="77777777">
        <w:tc>
          <w:tcPr>
            <w:cnfStyle w:val="001000000000" w:firstRow="0" w:lastRow="0" w:firstColumn="1" w:lastColumn="0" w:oddVBand="0" w:evenVBand="0" w:oddHBand="0" w:evenHBand="0" w:firstRowFirstColumn="0" w:firstRowLastColumn="0" w:lastRowFirstColumn="0" w:lastRowLastColumn="0"/>
            <w:tcW w:w="1843" w:type="dxa"/>
          </w:tcPr>
          <w:p w14:paraId="7464CA85" w14:textId="77777777" w:rsidR="009D33A8" w:rsidRDefault="009D33A8"/>
        </w:tc>
        <w:tc>
          <w:tcPr>
            <w:tcW w:w="6837" w:type="dxa"/>
          </w:tcPr>
          <w:p w14:paraId="59BA39BD"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Next generation computer aided dispatch system for Triple Zero Victoria</w:t>
            </w:r>
          </w:p>
        </w:tc>
        <w:tc>
          <w:tcPr>
            <w:tcW w:w="963" w:type="dxa"/>
          </w:tcPr>
          <w:p w14:paraId="5845F761" w14:textId="77777777" w:rsidR="009D33A8" w:rsidRDefault="009D33A8">
            <w:pPr>
              <w:cnfStyle w:val="000000000000" w:firstRow="0" w:lastRow="0" w:firstColumn="0" w:lastColumn="0" w:oddVBand="0" w:evenVBand="0" w:oddHBand="0" w:evenHBand="0" w:firstRowFirstColumn="0" w:firstRowLastColumn="0" w:lastRowFirstColumn="0" w:lastRowLastColumn="0"/>
            </w:pPr>
            <w:r>
              <w:t>49 457</w:t>
            </w:r>
          </w:p>
        </w:tc>
      </w:tr>
      <w:tr w:rsidR="009D33A8" w14:paraId="414C0930" w14:textId="77777777">
        <w:tc>
          <w:tcPr>
            <w:cnfStyle w:val="001000000000" w:firstRow="0" w:lastRow="0" w:firstColumn="1" w:lastColumn="0" w:oddVBand="0" w:evenVBand="0" w:oddHBand="0" w:evenHBand="0" w:firstRowFirstColumn="0" w:firstRowLastColumn="0" w:lastRowFirstColumn="0" w:lastRowLastColumn="0"/>
            <w:tcW w:w="1843" w:type="dxa"/>
          </w:tcPr>
          <w:p w14:paraId="42FEE273" w14:textId="77777777" w:rsidR="009D33A8" w:rsidRDefault="009D33A8"/>
        </w:tc>
        <w:tc>
          <w:tcPr>
            <w:tcW w:w="6837" w:type="dxa"/>
          </w:tcPr>
          <w:p w14:paraId="47421E4F"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Operationalising a new financial assistance scheme for victims of crime</w:t>
            </w:r>
          </w:p>
        </w:tc>
        <w:tc>
          <w:tcPr>
            <w:tcW w:w="963" w:type="dxa"/>
          </w:tcPr>
          <w:p w14:paraId="4E918FF2" w14:textId="77777777" w:rsidR="009D33A8" w:rsidRDefault="009D33A8">
            <w:pPr>
              <w:cnfStyle w:val="000000000000" w:firstRow="0" w:lastRow="0" w:firstColumn="0" w:lastColumn="0" w:oddVBand="0" w:evenVBand="0" w:oddHBand="0" w:evenHBand="0" w:firstRowFirstColumn="0" w:firstRowLastColumn="0" w:lastRowFirstColumn="0" w:lastRowLastColumn="0"/>
            </w:pPr>
            <w:r>
              <w:t>36 086</w:t>
            </w:r>
          </w:p>
        </w:tc>
      </w:tr>
      <w:tr w:rsidR="009D33A8" w14:paraId="7D56AAFE" w14:textId="77777777">
        <w:tc>
          <w:tcPr>
            <w:cnfStyle w:val="001000000000" w:firstRow="0" w:lastRow="0" w:firstColumn="1" w:lastColumn="0" w:oddVBand="0" w:evenVBand="0" w:oddHBand="0" w:evenHBand="0" w:firstRowFirstColumn="0" w:firstRowLastColumn="0" w:lastRowFirstColumn="0" w:lastRowLastColumn="0"/>
            <w:tcW w:w="1843" w:type="dxa"/>
          </w:tcPr>
          <w:p w14:paraId="1D093AD9" w14:textId="77777777" w:rsidR="009D33A8" w:rsidRDefault="009D33A8"/>
        </w:tc>
        <w:tc>
          <w:tcPr>
            <w:tcW w:w="6837" w:type="dxa"/>
          </w:tcPr>
          <w:p w14:paraId="06236A75" w14:textId="4D8DFB85" w:rsidR="009D33A8" w:rsidRDefault="009D33A8">
            <w:pPr>
              <w:jc w:val="left"/>
              <w:cnfStyle w:val="000000000000" w:firstRow="0" w:lastRow="0" w:firstColumn="0" w:lastColumn="0" w:oddVBand="0" w:evenVBand="0" w:oddHBand="0" w:evenHBand="0" w:firstRowFirstColumn="0" w:firstRowLastColumn="0" w:lastRowFirstColumn="0" w:lastRowLastColumn="0"/>
            </w:pPr>
            <w:r>
              <w:t>Technology and resources to support Victoria</w:t>
            </w:r>
            <w:r w:rsidR="00845934">
              <w:t>’</w:t>
            </w:r>
            <w:r>
              <w:t>s fines system</w:t>
            </w:r>
          </w:p>
        </w:tc>
        <w:tc>
          <w:tcPr>
            <w:tcW w:w="963" w:type="dxa"/>
          </w:tcPr>
          <w:p w14:paraId="17B7B2E5" w14:textId="77777777" w:rsidR="009D33A8" w:rsidRDefault="009D33A8">
            <w:pPr>
              <w:cnfStyle w:val="000000000000" w:firstRow="0" w:lastRow="0" w:firstColumn="0" w:lastColumn="0" w:oddVBand="0" w:evenVBand="0" w:oddHBand="0" w:evenHBand="0" w:firstRowFirstColumn="0" w:firstRowLastColumn="0" w:lastRowFirstColumn="0" w:lastRowLastColumn="0"/>
            </w:pPr>
            <w:r>
              <w:t>28 408</w:t>
            </w:r>
          </w:p>
        </w:tc>
      </w:tr>
      <w:tr w:rsidR="009D33A8" w14:paraId="30BCF194" w14:textId="77777777">
        <w:tc>
          <w:tcPr>
            <w:cnfStyle w:val="001000000000" w:firstRow="0" w:lastRow="0" w:firstColumn="1" w:lastColumn="0" w:oddVBand="0" w:evenVBand="0" w:oddHBand="0" w:evenHBand="0" w:firstRowFirstColumn="0" w:firstRowLastColumn="0" w:lastRowFirstColumn="0" w:lastRowLastColumn="0"/>
            <w:tcW w:w="1843" w:type="dxa"/>
          </w:tcPr>
          <w:p w14:paraId="00EACE22" w14:textId="77777777" w:rsidR="009D33A8" w:rsidRDefault="009D33A8"/>
        </w:tc>
        <w:tc>
          <w:tcPr>
            <w:tcW w:w="6837" w:type="dxa"/>
          </w:tcPr>
          <w:p w14:paraId="4AF2AB9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New ESSS accumulation fund contribution</w:t>
            </w:r>
          </w:p>
        </w:tc>
        <w:tc>
          <w:tcPr>
            <w:tcW w:w="963" w:type="dxa"/>
          </w:tcPr>
          <w:p w14:paraId="5AACC2E0" w14:textId="77777777" w:rsidR="009D33A8" w:rsidRDefault="009D33A8">
            <w:pPr>
              <w:cnfStyle w:val="000000000000" w:firstRow="0" w:lastRow="0" w:firstColumn="0" w:lastColumn="0" w:oddVBand="0" w:evenVBand="0" w:oddHBand="0" w:evenHBand="0" w:firstRowFirstColumn="0" w:firstRowLastColumn="0" w:lastRowFirstColumn="0" w:lastRowLastColumn="0"/>
            </w:pPr>
            <w:r>
              <w:t>18 969</w:t>
            </w:r>
          </w:p>
        </w:tc>
      </w:tr>
      <w:tr w:rsidR="009D33A8" w14:paraId="1ACF617D" w14:textId="77777777">
        <w:tc>
          <w:tcPr>
            <w:cnfStyle w:val="001000000000" w:firstRow="0" w:lastRow="0" w:firstColumn="1" w:lastColumn="0" w:oddVBand="0" w:evenVBand="0" w:oddHBand="0" w:evenHBand="0" w:firstRowFirstColumn="0" w:firstRowLastColumn="0" w:lastRowFirstColumn="0" w:lastRowLastColumn="0"/>
            <w:tcW w:w="1843" w:type="dxa"/>
          </w:tcPr>
          <w:p w14:paraId="5B8C8B50" w14:textId="77777777" w:rsidR="009D33A8" w:rsidRDefault="009D33A8"/>
        </w:tc>
        <w:tc>
          <w:tcPr>
            <w:tcW w:w="6837" w:type="dxa"/>
          </w:tcPr>
          <w:p w14:paraId="39C96004"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victims of crime</w:t>
            </w:r>
          </w:p>
        </w:tc>
        <w:tc>
          <w:tcPr>
            <w:tcW w:w="963" w:type="dxa"/>
          </w:tcPr>
          <w:p w14:paraId="7D755F21" w14:textId="77777777" w:rsidR="009D33A8" w:rsidRDefault="009D33A8">
            <w:pPr>
              <w:cnfStyle w:val="000000000000" w:firstRow="0" w:lastRow="0" w:firstColumn="0" w:lastColumn="0" w:oddVBand="0" w:evenVBand="0" w:oddHBand="0" w:evenHBand="0" w:firstRowFirstColumn="0" w:firstRowLastColumn="0" w:lastRowFirstColumn="0" w:lastRowLastColumn="0"/>
            </w:pPr>
            <w:r>
              <w:t>11 283</w:t>
            </w:r>
          </w:p>
        </w:tc>
      </w:tr>
      <w:tr w:rsidR="009D33A8" w14:paraId="033C70A9" w14:textId="77777777">
        <w:tc>
          <w:tcPr>
            <w:cnfStyle w:val="001000000000" w:firstRow="0" w:lastRow="0" w:firstColumn="1" w:lastColumn="0" w:oddVBand="0" w:evenVBand="0" w:oddHBand="0" w:evenHBand="0" w:firstRowFirstColumn="0" w:firstRowLastColumn="0" w:lastRowFirstColumn="0" w:lastRowLastColumn="0"/>
            <w:tcW w:w="1843" w:type="dxa"/>
          </w:tcPr>
          <w:p w14:paraId="20DBAC7D" w14:textId="77777777" w:rsidR="009D33A8" w:rsidRDefault="009D33A8"/>
        </w:tc>
        <w:tc>
          <w:tcPr>
            <w:tcW w:w="6837" w:type="dxa"/>
          </w:tcPr>
          <w:p w14:paraId="2674F41B"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Harness Racing Victoria</w:t>
            </w:r>
          </w:p>
        </w:tc>
        <w:tc>
          <w:tcPr>
            <w:tcW w:w="963" w:type="dxa"/>
          </w:tcPr>
          <w:p w14:paraId="6FC5683A" w14:textId="77777777" w:rsidR="009D33A8" w:rsidRDefault="009D33A8">
            <w:pPr>
              <w:cnfStyle w:val="000000000000" w:firstRow="0" w:lastRow="0" w:firstColumn="0" w:lastColumn="0" w:oddVBand="0" w:evenVBand="0" w:oddHBand="0" w:evenHBand="0" w:firstRowFirstColumn="0" w:firstRowLastColumn="0" w:lastRowFirstColumn="0" w:lastRowLastColumn="0"/>
            </w:pPr>
            <w:r>
              <w:t>8 375</w:t>
            </w:r>
          </w:p>
        </w:tc>
      </w:tr>
      <w:tr w:rsidR="009D33A8" w14:paraId="7E7033B5" w14:textId="77777777">
        <w:tc>
          <w:tcPr>
            <w:cnfStyle w:val="001000000000" w:firstRow="0" w:lastRow="0" w:firstColumn="1" w:lastColumn="0" w:oddVBand="0" w:evenVBand="0" w:oddHBand="0" w:evenHBand="0" w:firstRowFirstColumn="0" w:firstRowLastColumn="0" w:lastRowFirstColumn="0" w:lastRowLastColumn="0"/>
            <w:tcW w:w="1843" w:type="dxa"/>
          </w:tcPr>
          <w:p w14:paraId="40BAB2F9" w14:textId="77777777" w:rsidR="009D33A8" w:rsidRDefault="009D33A8"/>
        </w:tc>
        <w:tc>
          <w:tcPr>
            <w:tcW w:w="6837" w:type="dxa"/>
          </w:tcPr>
          <w:p w14:paraId="5570E169" w14:textId="5023E350" w:rsidR="009D33A8" w:rsidRDefault="009D33A8">
            <w:pPr>
              <w:jc w:val="left"/>
              <w:cnfStyle w:val="000000000000" w:firstRow="0" w:lastRow="0" w:firstColumn="0" w:lastColumn="0" w:oddVBand="0" w:evenVBand="0" w:oddHBand="0" w:evenHBand="0" w:firstRowFirstColumn="0" w:firstRowLastColumn="0" w:lastRowFirstColumn="0" w:lastRowLastColumn="0"/>
            </w:pPr>
            <w:r>
              <w:t>Women</w:t>
            </w:r>
            <w:r w:rsidR="00845934">
              <w:t>’</w:t>
            </w:r>
            <w:r>
              <w:t>s safety package</w:t>
            </w:r>
          </w:p>
        </w:tc>
        <w:tc>
          <w:tcPr>
            <w:tcW w:w="963" w:type="dxa"/>
          </w:tcPr>
          <w:p w14:paraId="668459A6" w14:textId="77777777" w:rsidR="009D33A8" w:rsidRDefault="009D33A8">
            <w:pPr>
              <w:cnfStyle w:val="000000000000" w:firstRow="0" w:lastRow="0" w:firstColumn="0" w:lastColumn="0" w:oddVBand="0" w:evenVBand="0" w:oddHBand="0" w:evenHBand="0" w:firstRowFirstColumn="0" w:firstRowLastColumn="0" w:lastRowFirstColumn="0" w:lastRowLastColumn="0"/>
            </w:pPr>
            <w:r>
              <w:t>8 266</w:t>
            </w:r>
          </w:p>
        </w:tc>
      </w:tr>
      <w:tr w:rsidR="009D33A8" w14:paraId="5E2FEEC1" w14:textId="77777777">
        <w:tc>
          <w:tcPr>
            <w:cnfStyle w:val="001000000000" w:firstRow="0" w:lastRow="0" w:firstColumn="1" w:lastColumn="0" w:oddVBand="0" w:evenVBand="0" w:oddHBand="0" w:evenHBand="0" w:firstRowFirstColumn="0" w:firstRowLastColumn="0" w:lastRowFirstColumn="0" w:lastRowLastColumn="0"/>
            <w:tcW w:w="1843" w:type="dxa"/>
          </w:tcPr>
          <w:p w14:paraId="317C9101" w14:textId="77777777" w:rsidR="009D33A8" w:rsidRDefault="009D33A8"/>
        </w:tc>
        <w:tc>
          <w:tcPr>
            <w:tcW w:w="6837" w:type="dxa"/>
          </w:tcPr>
          <w:p w14:paraId="12D39CB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Establishing a modern integrated tobacco and liquor regulator and supporting effective regulation</w:t>
            </w:r>
          </w:p>
        </w:tc>
        <w:tc>
          <w:tcPr>
            <w:tcW w:w="963" w:type="dxa"/>
          </w:tcPr>
          <w:p w14:paraId="5B301203" w14:textId="77777777" w:rsidR="009D33A8" w:rsidRDefault="009D33A8">
            <w:pPr>
              <w:cnfStyle w:val="000000000000" w:firstRow="0" w:lastRow="0" w:firstColumn="0" w:lastColumn="0" w:oddVBand="0" w:evenVBand="0" w:oddHBand="0" w:evenHBand="0" w:firstRowFirstColumn="0" w:firstRowLastColumn="0" w:lastRowFirstColumn="0" w:lastRowLastColumn="0"/>
            </w:pPr>
            <w:r>
              <w:t>3 628</w:t>
            </w:r>
          </w:p>
        </w:tc>
      </w:tr>
      <w:tr w:rsidR="009D33A8" w14:paraId="256AF037" w14:textId="77777777">
        <w:tc>
          <w:tcPr>
            <w:cnfStyle w:val="001000000000" w:firstRow="0" w:lastRow="0" w:firstColumn="1" w:lastColumn="0" w:oddVBand="0" w:evenVBand="0" w:oddHBand="0" w:evenHBand="0" w:firstRowFirstColumn="0" w:firstRowLastColumn="0" w:lastRowFirstColumn="0" w:lastRowLastColumn="0"/>
            <w:tcW w:w="1843" w:type="dxa"/>
          </w:tcPr>
          <w:p w14:paraId="6FE75101" w14:textId="77777777" w:rsidR="009D33A8" w:rsidRDefault="009D33A8"/>
        </w:tc>
        <w:tc>
          <w:tcPr>
            <w:tcW w:w="6837" w:type="dxa"/>
          </w:tcPr>
          <w:p w14:paraId="181B8CFA"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Victoria Police Death and Disability Benefits</w:t>
            </w:r>
          </w:p>
        </w:tc>
        <w:tc>
          <w:tcPr>
            <w:tcW w:w="963" w:type="dxa"/>
          </w:tcPr>
          <w:p w14:paraId="73FBFECD" w14:textId="77777777" w:rsidR="009D33A8" w:rsidRDefault="009D33A8">
            <w:pPr>
              <w:cnfStyle w:val="000000000000" w:firstRow="0" w:lastRow="0" w:firstColumn="0" w:lastColumn="0" w:oddVBand="0" w:evenVBand="0" w:oddHBand="0" w:evenHBand="0" w:firstRowFirstColumn="0" w:firstRowLastColumn="0" w:lastRowFirstColumn="0" w:lastRowLastColumn="0"/>
            </w:pPr>
            <w:r>
              <w:t>3 208</w:t>
            </w:r>
          </w:p>
        </w:tc>
      </w:tr>
      <w:tr w:rsidR="009D33A8" w14:paraId="249C1734" w14:textId="77777777">
        <w:tc>
          <w:tcPr>
            <w:cnfStyle w:val="001000000000" w:firstRow="0" w:lastRow="0" w:firstColumn="1" w:lastColumn="0" w:oddVBand="0" w:evenVBand="0" w:oddHBand="0" w:evenHBand="0" w:firstRowFirstColumn="0" w:firstRowLastColumn="0" w:lastRowFirstColumn="0" w:lastRowLastColumn="0"/>
            <w:tcW w:w="1843" w:type="dxa"/>
          </w:tcPr>
          <w:p w14:paraId="128E3DA2" w14:textId="77777777" w:rsidR="009D33A8" w:rsidRDefault="009D33A8"/>
        </w:tc>
        <w:tc>
          <w:tcPr>
            <w:tcW w:w="6837" w:type="dxa"/>
          </w:tcPr>
          <w:p w14:paraId="75DF268C"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Supporting and safeguarding vulnerable Victorians</w:t>
            </w:r>
          </w:p>
        </w:tc>
        <w:tc>
          <w:tcPr>
            <w:tcW w:w="963" w:type="dxa"/>
          </w:tcPr>
          <w:p w14:paraId="0CD6B9A1" w14:textId="77777777" w:rsidR="009D33A8" w:rsidRDefault="009D33A8">
            <w:pPr>
              <w:cnfStyle w:val="000000000000" w:firstRow="0" w:lastRow="0" w:firstColumn="0" w:lastColumn="0" w:oddVBand="0" w:evenVBand="0" w:oddHBand="0" w:evenHBand="0" w:firstRowFirstColumn="0" w:firstRowLastColumn="0" w:lastRowFirstColumn="0" w:lastRowLastColumn="0"/>
            </w:pPr>
            <w:r>
              <w:t>1 765</w:t>
            </w:r>
          </w:p>
        </w:tc>
      </w:tr>
      <w:tr w:rsidR="009D33A8" w14:paraId="7912D975" w14:textId="77777777">
        <w:tc>
          <w:tcPr>
            <w:cnfStyle w:val="001000000000" w:firstRow="0" w:lastRow="0" w:firstColumn="1" w:lastColumn="0" w:oddVBand="0" w:evenVBand="0" w:oddHBand="0" w:evenHBand="0" w:firstRowFirstColumn="0" w:firstRowLastColumn="0" w:lastRowFirstColumn="0" w:lastRowLastColumn="0"/>
            <w:tcW w:w="1843" w:type="dxa"/>
          </w:tcPr>
          <w:p w14:paraId="1332E4D5" w14:textId="77777777" w:rsidR="009D33A8" w:rsidRDefault="009D33A8"/>
        </w:tc>
        <w:tc>
          <w:tcPr>
            <w:tcW w:w="6837" w:type="dxa"/>
          </w:tcPr>
          <w:p w14:paraId="22818909"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Early intervention to counter violent extremism</w:t>
            </w:r>
          </w:p>
        </w:tc>
        <w:tc>
          <w:tcPr>
            <w:tcW w:w="963" w:type="dxa"/>
          </w:tcPr>
          <w:p w14:paraId="5E72E6F3" w14:textId="77777777" w:rsidR="009D33A8" w:rsidRDefault="009D33A8">
            <w:pPr>
              <w:cnfStyle w:val="000000000000" w:firstRow="0" w:lastRow="0" w:firstColumn="0" w:lastColumn="0" w:oddVBand="0" w:evenVBand="0" w:oddHBand="0" w:evenHBand="0" w:firstRowFirstColumn="0" w:firstRowLastColumn="0" w:lastRowFirstColumn="0" w:lastRowLastColumn="0"/>
            </w:pPr>
            <w:r>
              <w:t>1 000</w:t>
            </w:r>
          </w:p>
        </w:tc>
      </w:tr>
      <w:tr w:rsidR="009D33A8" w14:paraId="378E5D5A" w14:textId="77777777">
        <w:tc>
          <w:tcPr>
            <w:cnfStyle w:val="001000000000" w:firstRow="0" w:lastRow="0" w:firstColumn="1" w:lastColumn="0" w:oddVBand="0" w:evenVBand="0" w:oddHBand="0" w:evenHBand="0" w:firstRowFirstColumn="0" w:firstRowLastColumn="0" w:lastRowFirstColumn="0" w:lastRowLastColumn="0"/>
            <w:tcW w:w="1843" w:type="dxa"/>
          </w:tcPr>
          <w:p w14:paraId="632D4DE5" w14:textId="77777777" w:rsidR="009D33A8" w:rsidRDefault="009D33A8"/>
        </w:tc>
        <w:tc>
          <w:tcPr>
            <w:tcW w:w="6837" w:type="dxa"/>
          </w:tcPr>
          <w:p w14:paraId="5C1235B6"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Community Safety Package</w:t>
            </w:r>
          </w:p>
        </w:tc>
        <w:tc>
          <w:tcPr>
            <w:tcW w:w="963" w:type="dxa"/>
          </w:tcPr>
          <w:p w14:paraId="41A37A0F" w14:textId="77777777" w:rsidR="009D33A8" w:rsidRDefault="009D33A8">
            <w:pPr>
              <w:cnfStyle w:val="000000000000" w:firstRow="0" w:lastRow="0" w:firstColumn="0" w:lastColumn="0" w:oddVBand="0" w:evenVBand="0" w:oddHBand="0" w:evenHBand="0" w:firstRowFirstColumn="0" w:firstRowLastColumn="0" w:lastRowFirstColumn="0" w:lastRowLastColumn="0"/>
            </w:pPr>
            <w:r>
              <w:t>688</w:t>
            </w:r>
          </w:p>
        </w:tc>
      </w:tr>
    </w:tbl>
    <w:p w14:paraId="50DE8B8B" w14:textId="77777777" w:rsidR="004610D1" w:rsidRPr="004610D1" w:rsidRDefault="004610D1" w:rsidP="004610D1">
      <w:pPr>
        <w:pStyle w:val="Heading5"/>
        <w:rPr>
          <w:sz w:val="23"/>
          <w:szCs w:val="23"/>
        </w:rPr>
      </w:pPr>
      <w:r w:rsidRPr="004610D1">
        <w:rPr>
          <w:sz w:val="23"/>
          <w:szCs w:val="23"/>
        </w:rPr>
        <w:lastRenderedPageBreak/>
        <w:t>7.2.13</w:t>
      </w:r>
      <w:r w:rsidRPr="004610D1">
        <w:rPr>
          <w:sz w:val="23"/>
          <w:szCs w:val="23"/>
        </w:rPr>
        <w:tab/>
        <w:t xml:space="preserve">Payments from advance to the Treasurer for the financial year ended 30 June </w:t>
      </w:r>
      <w:r w:rsidRPr="004610D1">
        <w:rPr>
          <w:i/>
          <w:sz w:val="22"/>
          <w:szCs w:val="22"/>
        </w:rPr>
        <w:t>(continued)</w:t>
      </w:r>
    </w:p>
    <w:p w14:paraId="304AD893" w14:textId="737DAE70" w:rsidR="00696E9B" w:rsidRPr="00823C0E" w:rsidRDefault="00696E9B" w:rsidP="00696E9B">
      <w:pPr>
        <w:pStyle w:val="TableHeading"/>
        <w:rPr>
          <w:rStyle w:val="TableHeadingChar"/>
          <w:b/>
          <w:iCs/>
        </w:rPr>
      </w:pPr>
      <w:r w:rsidRPr="00823C0E">
        <w:rPr>
          <w:rStyle w:val="TableHeadingChar"/>
          <w:b/>
          <w:iCs/>
        </w:rPr>
        <w:t>Contingency releases paid from the advance to the Treasurer</w:t>
      </w:r>
      <w:r w:rsidR="00387417">
        <w:rPr>
          <w:rStyle w:val="TableHeadingChar"/>
          <w:b/>
          <w:iCs/>
        </w:rPr>
        <w:t xml:space="preserve"> </w:t>
      </w:r>
      <w:r w:rsidR="00387417" w:rsidRPr="00696E9B">
        <w:rPr>
          <w:rStyle w:val="TableHeadingChar"/>
          <w:b/>
          <w:i/>
        </w:rPr>
        <w:t>(continued)</w:t>
      </w:r>
      <w:r w:rsidRPr="00823C0E">
        <w:tab/>
      </w:r>
      <w:r w:rsidRPr="00823C0E">
        <w:rPr>
          <w:rStyle w:val="TableHeadingChar"/>
          <w:b/>
          <w:iCs/>
        </w:rPr>
        <w:t>($ thousand)</w:t>
      </w:r>
    </w:p>
    <w:tbl>
      <w:tblPr>
        <w:tblStyle w:val="DTFTableNumeric"/>
        <w:tblW w:w="9643"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Payments_from_TA_ContingencyReleases"/>
      </w:tblPr>
      <w:tblGrid>
        <w:gridCol w:w="1843"/>
        <w:gridCol w:w="6837"/>
        <w:gridCol w:w="963"/>
      </w:tblGrid>
      <w:tr w:rsidR="00696E9B" w14:paraId="5A37DC0A"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42635A11" w14:textId="77777777" w:rsidR="00696E9B" w:rsidRDefault="00696E9B">
            <w:pPr>
              <w:keepNext/>
            </w:pPr>
            <w:r>
              <w:t>Department</w:t>
            </w:r>
          </w:p>
        </w:tc>
        <w:tc>
          <w:tcPr>
            <w:tcW w:w="6837" w:type="dxa"/>
            <w:tcBorders>
              <w:bottom w:val="single" w:sz="6" w:space="0" w:color="auto"/>
            </w:tcBorders>
          </w:tcPr>
          <w:p w14:paraId="78830FC5" w14:textId="77777777" w:rsidR="00696E9B" w:rsidRDefault="00696E9B">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63" w:type="dxa"/>
            <w:tcBorders>
              <w:bottom w:val="single" w:sz="6" w:space="0" w:color="auto"/>
            </w:tcBorders>
          </w:tcPr>
          <w:p w14:paraId="5700F15A" w14:textId="77777777" w:rsidR="00696E9B" w:rsidRDefault="00696E9B">
            <w:pPr>
              <w:keepNext/>
              <w:cnfStyle w:val="100000000000" w:firstRow="1" w:lastRow="0" w:firstColumn="0" w:lastColumn="0" w:oddVBand="0" w:evenVBand="0" w:oddHBand="0" w:evenHBand="0" w:firstRowFirstColumn="0" w:firstRowLastColumn="0" w:lastRowFirstColumn="0" w:lastRowLastColumn="0"/>
            </w:pPr>
            <w:r>
              <w:t>2024</w:t>
            </w:r>
            <w:r>
              <w:noBreakHyphen/>
              <w:t>25</w:t>
            </w:r>
          </w:p>
        </w:tc>
      </w:tr>
      <w:tr w:rsidR="00696E9B" w14:paraId="501FEBD2" w14:textId="77777777">
        <w:tc>
          <w:tcPr>
            <w:cnfStyle w:val="001000000000" w:firstRow="0" w:lastRow="0" w:firstColumn="1" w:lastColumn="0" w:oddVBand="0" w:evenVBand="0" w:oddHBand="0" w:evenHBand="0" w:firstRowFirstColumn="0" w:firstRowLastColumn="0" w:lastRowFirstColumn="0" w:lastRowLastColumn="0"/>
            <w:tcW w:w="1843" w:type="dxa"/>
          </w:tcPr>
          <w:p w14:paraId="2EFDEBB3" w14:textId="1F26F2CE" w:rsidR="00696E9B" w:rsidRDefault="00696E9B" w:rsidP="00696E9B">
            <w:r w:rsidRPr="00D126AE">
              <w:t>Justice and Community</w:t>
            </w:r>
          </w:p>
        </w:tc>
        <w:tc>
          <w:tcPr>
            <w:tcW w:w="6837" w:type="dxa"/>
          </w:tcPr>
          <w:p w14:paraId="5E47F370"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Funding to support the Department’s implementation plan</w:t>
            </w:r>
          </w:p>
        </w:tc>
        <w:tc>
          <w:tcPr>
            <w:tcW w:w="963" w:type="dxa"/>
          </w:tcPr>
          <w:p w14:paraId="0952FF7C"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477</w:t>
            </w:r>
          </w:p>
        </w:tc>
      </w:tr>
      <w:tr w:rsidR="00696E9B" w14:paraId="43F4857F" w14:textId="77777777">
        <w:tc>
          <w:tcPr>
            <w:cnfStyle w:val="001000000000" w:firstRow="0" w:lastRow="0" w:firstColumn="1" w:lastColumn="0" w:oddVBand="0" w:evenVBand="0" w:oddHBand="0" w:evenHBand="0" w:firstRowFirstColumn="0" w:firstRowLastColumn="0" w:lastRowFirstColumn="0" w:lastRowLastColumn="0"/>
            <w:tcW w:w="1843" w:type="dxa"/>
          </w:tcPr>
          <w:p w14:paraId="6D484DAC" w14:textId="343D8933" w:rsidR="00696E9B" w:rsidRDefault="00696E9B" w:rsidP="00696E9B">
            <w:r w:rsidRPr="00D126AE">
              <w:t>Safety</w:t>
            </w:r>
            <w:r>
              <w:t xml:space="preserve"> </w:t>
            </w:r>
            <w:r w:rsidRPr="00696E9B">
              <w:rPr>
                <w:i/>
                <w:iCs/>
              </w:rPr>
              <w:t>(continued)</w:t>
            </w:r>
          </w:p>
        </w:tc>
        <w:tc>
          <w:tcPr>
            <w:tcW w:w="6837" w:type="dxa"/>
          </w:tcPr>
          <w:p w14:paraId="09D8BFFD"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5B4A142A"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388</w:t>
            </w:r>
          </w:p>
        </w:tc>
      </w:tr>
      <w:tr w:rsidR="00696E9B" w14:paraId="48E603F5" w14:textId="77777777">
        <w:tc>
          <w:tcPr>
            <w:cnfStyle w:val="001000000000" w:firstRow="0" w:lastRow="0" w:firstColumn="1" w:lastColumn="0" w:oddVBand="0" w:evenVBand="0" w:oddHBand="0" w:evenHBand="0" w:firstRowFirstColumn="0" w:firstRowLastColumn="0" w:lastRowFirstColumn="0" w:lastRowLastColumn="0"/>
            <w:tcW w:w="1843" w:type="dxa"/>
          </w:tcPr>
          <w:p w14:paraId="16B224BE" w14:textId="337A1D55" w:rsidR="00696E9B" w:rsidRDefault="00696E9B" w:rsidP="00696E9B"/>
        </w:tc>
        <w:tc>
          <w:tcPr>
            <w:tcW w:w="6837" w:type="dxa"/>
          </w:tcPr>
          <w:p w14:paraId="4B384B10"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Enhanced Bail Supervision and Support Trial</w:t>
            </w:r>
          </w:p>
        </w:tc>
        <w:tc>
          <w:tcPr>
            <w:tcW w:w="963" w:type="dxa"/>
          </w:tcPr>
          <w:p w14:paraId="49A48DF0"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131</w:t>
            </w:r>
          </w:p>
        </w:tc>
      </w:tr>
      <w:tr w:rsidR="00696E9B" w14:paraId="05A72A87" w14:textId="77777777">
        <w:tc>
          <w:tcPr>
            <w:cnfStyle w:val="001000000000" w:firstRow="0" w:lastRow="0" w:firstColumn="1" w:lastColumn="0" w:oddVBand="0" w:evenVBand="0" w:oddHBand="0" w:evenHBand="0" w:firstRowFirstColumn="0" w:firstRowLastColumn="0" w:lastRowFirstColumn="0" w:lastRowLastColumn="0"/>
            <w:tcW w:w="1843" w:type="dxa"/>
          </w:tcPr>
          <w:p w14:paraId="3B32AAB1" w14:textId="77777777" w:rsidR="00696E9B" w:rsidRDefault="00696E9B" w:rsidP="00696E9B"/>
        </w:tc>
        <w:tc>
          <w:tcPr>
            <w:tcW w:w="6837" w:type="dxa"/>
          </w:tcPr>
          <w:p w14:paraId="21CB163A"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Funding to support Victorian Institute of Forensic Medicine</w:t>
            </w:r>
          </w:p>
        </w:tc>
        <w:tc>
          <w:tcPr>
            <w:tcW w:w="963" w:type="dxa"/>
          </w:tcPr>
          <w:p w14:paraId="07208551"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23</w:t>
            </w:r>
          </w:p>
        </w:tc>
      </w:tr>
      <w:tr w:rsidR="00696E9B" w14:paraId="7F374533"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7917360F" w14:textId="77777777" w:rsidR="00696E9B" w:rsidRDefault="00696E9B" w:rsidP="00696E9B"/>
        </w:tc>
        <w:tc>
          <w:tcPr>
            <w:tcW w:w="6837" w:type="dxa"/>
            <w:tcBorders>
              <w:bottom w:val="single" w:sz="6" w:space="0" w:color="auto"/>
            </w:tcBorders>
          </w:tcPr>
          <w:p w14:paraId="0A81E66C"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34717236"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971 950</w:t>
            </w:r>
          </w:p>
        </w:tc>
      </w:tr>
      <w:tr w:rsidR="00696E9B" w14:paraId="211E9985"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0666AF97" w14:textId="77777777" w:rsidR="00696E9B" w:rsidRDefault="00696E9B" w:rsidP="00696E9B">
            <w:r>
              <w:t>Premier and Cabinet</w:t>
            </w:r>
          </w:p>
        </w:tc>
        <w:tc>
          <w:tcPr>
            <w:tcW w:w="6837" w:type="dxa"/>
            <w:tcBorders>
              <w:top w:val="single" w:sz="6" w:space="0" w:color="auto"/>
            </w:tcBorders>
          </w:tcPr>
          <w:p w14:paraId="2C6AE349"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Borders>
              <w:top w:val="single" w:sz="6" w:space="0" w:color="auto"/>
            </w:tcBorders>
          </w:tcPr>
          <w:p w14:paraId="1B9E4089"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5 798</w:t>
            </w:r>
          </w:p>
        </w:tc>
      </w:tr>
      <w:tr w:rsidR="00696E9B" w14:paraId="53012734" w14:textId="77777777">
        <w:tc>
          <w:tcPr>
            <w:cnfStyle w:val="001000000000" w:firstRow="0" w:lastRow="0" w:firstColumn="1" w:lastColumn="0" w:oddVBand="0" w:evenVBand="0" w:oddHBand="0" w:evenHBand="0" w:firstRowFirstColumn="0" w:firstRowLastColumn="0" w:lastRowFirstColumn="0" w:lastRowLastColumn="0"/>
            <w:tcW w:w="1843" w:type="dxa"/>
          </w:tcPr>
          <w:p w14:paraId="2DF43D50" w14:textId="77777777" w:rsidR="00696E9B" w:rsidRDefault="00696E9B" w:rsidP="00696E9B"/>
        </w:tc>
        <w:tc>
          <w:tcPr>
            <w:tcW w:w="6837" w:type="dxa"/>
          </w:tcPr>
          <w:p w14:paraId="0DE0F02C"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Government Strategic Communication Opportunities</w:t>
            </w:r>
          </w:p>
        </w:tc>
        <w:tc>
          <w:tcPr>
            <w:tcW w:w="963" w:type="dxa"/>
          </w:tcPr>
          <w:p w14:paraId="096A6DC0"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4 122</w:t>
            </w:r>
          </w:p>
        </w:tc>
      </w:tr>
      <w:tr w:rsidR="00696E9B" w14:paraId="66B7F53D" w14:textId="77777777">
        <w:tc>
          <w:tcPr>
            <w:cnfStyle w:val="001000000000" w:firstRow="0" w:lastRow="0" w:firstColumn="1" w:lastColumn="0" w:oddVBand="0" w:evenVBand="0" w:oddHBand="0" w:evenHBand="0" w:firstRowFirstColumn="0" w:firstRowLastColumn="0" w:lastRowFirstColumn="0" w:lastRowLastColumn="0"/>
            <w:tcW w:w="1843" w:type="dxa"/>
          </w:tcPr>
          <w:p w14:paraId="6E49E887" w14:textId="77777777" w:rsidR="00696E9B" w:rsidRDefault="00696E9B" w:rsidP="00696E9B"/>
        </w:tc>
        <w:tc>
          <w:tcPr>
            <w:tcW w:w="6837" w:type="dxa"/>
          </w:tcPr>
          <w:p w14:paraId="246A7FCD"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Parliamentary Workplace Standards and Integrity Commission</w:t>
            </w:r>
          </w:p>
        </w:tc>
        <w:tc>
          <w:tcPr>
            <w:tcW w:w="963" w:type="dxa"/>
          </w:tcPr>
          <w:p w14:paraId="24B59F96"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2 270</w:t>
            </w:r>
          </w:p>
        </w:tc>
      </w:tr>
      <w:tr w:rsidR="00696E9B" w14:paraId="5343C546" w14:textId="77777777">
        <w:tc>
          <w:tcPr>
            <w:cnfStyle w:val="001000000000" w:firstRow="0" w:lastRow="0" w:firstColumn="1" w:lastColumn="0" w:oddVBand="0" w:evenVBand="0" w:oddHBand="0" w:evenHBand="0" w:firstRowFirstColumn="0" w:firstRowLastColumn="0" w:lastRowFirstColumn="0" w:lastRowLastColumn="0"/>
            <w:tcW w:w="1843" w:type="dxa"/>
          </w:tcPr>
          <w:p w14:paraId="3A480465" w14:textId="77777777" w:rsidR="00696E9B" w:rsidRDefault="00696E9B" w:rsidP="00696E9B"/>
        </w:tc>
        <w:tc>
          <w:tcPr>
            <w:tcW w:w="6837" w:type="dxa"/>
          </w:tcPr>
          <w:p w14:paraId="77DD6B5B"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Yes to International Students Fund</w:t>
            </w:r>
          </w:p>
        </w:tc>
        <w:tc>
          <w:tcPr>
            <w:tcW w:w="963" w:type="dxa"/>
          </w:tcPr>
          <w:p w14:paraId="046C8C01"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2 000</w:t>
            </w:r>
          </w:p>
        </w:tc>
      </w:tr>
      <w:tr w:rsidR="00696E9B" w14:paraId="7C92923C" w14:textId="77777777">
        <w:tc>
          <w:tcPr>
            <w:cnfStyle w:val="001000000000" w:firstRow="0" w:lastRow="0" w:firstColumn="1" w:lastColumn="0" w:oddVBand="0" w:evenVBand="0" w:oddHBand="0" w:evenHBand="0" w:firstRowFirstColumn="0" w:firstRowLastColumn="0" w:lastRowFirstColumn="0" w:lastRowLastColumn="0"/>
            <w:tcW w:w="1843" w:type="dxa"/>
          </w:tcPr>
          <w:p w14:paraId="69F3F022" w14:textId="77777777" w:rsidR="00696E9B" w:rsidRDefault="00696E9B" w:rsidP="00696E9B"/>
        </w:tc>
        <w:tc>
          <w:tcPr>
            <w:tcW w:w="6837" w:type="dxa"/>
          </w:tcPr>
          <w:p w14:paraId="4E504329"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Making Victoria Free from Racism</w:t>
            </w:r>
          </w:p>
        </w:tc>
        <w:tc>
          <w:tcPr>
            <w:tcW w:w="963" w:type="dxa"/>
          </w:tcPr>
          <w:p w14:paraId="782D4A91"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1 850</w:t>
            </w:r>
          </w:p>
        </w:tc>
      </w:tr>
      <w:tr w:rsidR="00696E9B" w14:paraId="3A202D16" w14:textId="77777777">
        <w:tc>
          <w:tcPr>
            <w:cnfStyle w:val="001000000000" w:firstRow="0" w:lastRow="0" w:firstColumn="1" w:lastColumn="0" w:oddVBand="0" w:evenVBand="0" w:oddHBand="0" w:evenHBand="0" w:firstRowFirstColumn="0" w:firstRowLastColumn="0" w:lastRowFirstColumn="0" w:lastRowLastColumn="0"/>
            <w:tcW w:w="1843" w:type="dxa"/>
          </w:tcPr>
          <w:p w14:paraId="1E0107DA" w14:textId="77777777" w:rsidR="00696E9B" w:rsidRDefault="00696E9B" w:rsidP="00696E9B"/>
        </w:tc>
        <w:tc>
          <w:tcPr>
            <w:tcW w:w="6837" w:type="dxa"/>
          </w:tcPr>
          <w:p w14:paraId="2896FA02"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First Principles Review Traditional Owner Settlement Act</w:t>
            </w:r>
          </w:p>
        </w:tc>
        <w:tc>
          <w:tcPr>
            <w:tcW w:w="963" w:type="dxa"/>
          </w:tcPr>
          <w:p w14:paraId="4301E0F7"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748</w:t>
            </w:r>
          </w:p>
        </w:tc>
      </w:tr>
      <w:tr w:rsidR="00696E9B" w14:paraId="06761B97" w14:textId="77777777">
        <w:tc>
          <w:tcPr>
            <w:cnfStyle w:val="001000000000" w:firstRow="0" w:lastRow="0" w:firstColumn="1" w:lastColumn="0" w:oddVBand="0" w:evenVBand="0" w:oddHBand="0" w:evenHBand="0" w:firstRowFirstColumn="0" w:firstRowLastColumn="0" w:lastRowFirstColumn="0" w:lastRowLastColumn="0"/>
            <w:tcW w:w="1843" w:type="dxa"/>
          </w:tcPr>
          <w:p w14:paraId="7F6E7829" w14:textId="77777777" w:rsidR="00696E9B" w:rsidRDefault="00696E9B" w:rsidP="00696E9B"/>
        </w:tc>
        <w:tc>
          <w:tcPr>
            <w:tcW w:w="6837" w:type="dxa"/>
          </w:tcPr>
          <w:p w14:paraId="4C04AE8F"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6AA992EA"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396</w:t>
            </w:r>
          </w:p>
        </w:tc>
      </w:tr>
      <w:tr w:rsidR="00696E9B" w14:paraId="1E9D345F" w14:textId="77777777">
        <w:tc>
          <w:tcPr>
            <w:cnfStyle w:val="001000000000" w:firstRow="0" w:lastRow="0" w:firstColumn="1" w:lastColumn="0" w:oddVBand="0" w:evenVBand="0" w:oddHBand="0" w:evenHBand="0" w:firstRowFirstColumn="0" w:firstRowLastColumn="0" w:lastRowFirstColumn="0" w:lastRowLastColumn="0"/>
            <w:tcW w:w="1843" w:type="dxa"/>
          </w:tcPr>
          <w:p w14:paraId="7C0D17A4" w14:textId="77777777" w:rsidR="00696E9B" w:rsidRDefault="00696E9B" w:rsidP="00696E9B"/>
        </w:tc>
        <w:tc>
          <w:tcPr>
            <w:tcW w:w="6837" w:type="dxa"/>
          </w:tcPr>
          <w:p w14:paraId="1D50D9BA"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Economic Growth Statement Initiatives</w:t>
            </w:r>
          </w:p>
        </w:tc>
        <w:tc>
          <w:tcPr>
            <w:tcW w:w="963" w:type="dxa"/>
          </w:tcPr>
          <w:p w14:paraId="41BD84D2"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179</w:t>
            </w:r>
          </w:p>
        </w:tc>
      </w:tr>
      <w:tr w:rsidR="00696E9B" w14:paraId="2FAA7430"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0FEEF050" w14:textId="77777777" w:rsidR="00696E9B" w:rsidRDefault="00696E9B" w:rsidP="00696E9B"/>
        </w:tc>
        <w:tc>
          <w:tcPr>
            <w:tcW w:w="6837" w:type="dxa"/>
            <w:tcBorders>
              <w:bottom w:val="single" w:sz="6" w:space="0" w:color="auto"/>
            </w:tcBorders>
          </w:tcPr>
          <w:p w14:paraId="5C85F1B2"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19962231"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17 363</w:t>
            </w:r>
          </w:p>
        </w:tc>
      </w:tr>
      <w:tr w:rsidR="00696E9B" w14:paraId="3497F918"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39382CBB" w14:textId="77777777" w:rsidR="00696E9B" w:rsidRDefault="00696E9B" w:rsidP="00696E9B">
            <w:r>
              <w:t>Transport and Planning</w:t>
            </w:r>
          </w:p>
        </w:tc>
        <w:tc>
          <w:tcPr>
            <w:tcW w:w="6837" w:type="dxa"/>
            <w:tcBorders>
              <w:top w:val="single" w:sz="6" w:space="0" w:color="auto"/>
            </w:tcBorders>
          </w:tcPr>
          <w:p w14:paraId="3B18CCDD"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Level Crossing Removal Program</w:t>
            </w:r>
          </w:p>
        </w:tc>
        <w:tc>
          <w:tcPr>
            <w:tcW w:w="963" w:type="dxa"/>
            <w:tcBorders>
              <w:top w:val="single" w:sz="6" w:space="0" w:color="auto"/>
            </w:tcBorders>
          </w:tcPr>
          <w:p w14:paraId="41780656"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1 372 218</w:t>
            </w:r>
          </w:p>
        </w:tc>
      </w:tr>
      <w:tr w:rsidR="00696E9B" w14:paraId="6C8DFFD8" w14:textId="77777777">
        <w:tc>
          <w:tcPr>
            <w:cnfStyle w:val="001000000000" w:firstRow="0" w:lastRow="0" w:firstColumn="1" w:lastColumn="0" w:oddVBand="0" w:evenVBand="0" w:oddHBand="0" w:evenHBand="0" w:firstRowFirstColumn="0" w:firstRowLastColumn="0" w:lastRowFirstColumn="0" w:lastRowLastColumn="0"/>
            <w:tcW w:w="1843" w:type="dxa"/>
          </w:tcPr>
          <w:p w14:paraId="453BDE1E" w14:textId="77777777" w:rsidR="00696E9B" w:rsidRDefault="00696E9B" w:rsidP="00696E9B"/>
        </w:tc>
        <w:tc>
          <w:tcPr>
            <w:tcW w:w="6837" w:type="dxa"/>
          </w:tcPr>
          <w:p w14:paraId="24C4FAEB"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Suburban Rail Loop East – Main Works</w:t>
            </w:r>
          </w:p>
        </w:tc>
        <w:tc>
          <w:tcPr>
            <w:tcW w:w="963" w:type="dxa"/>
          </w:tcPr>
          <w:p w14:paraId="33DAD0EE"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870 650</w:t>
            </w:r>
          </w:p>
        </w:tc>
      </w:tr>
      <w:tr w:rsidR="00696E9B" w14:paraId="2F5E9AB8" w14:textId="77777777">
        <w:tc>
          <w:tcPr>
            <w:cnfStyle w:val="001000000000" w:firstRow="0" w:lastRow="0" w:firstColumn="1" w:lastColumn="0" w:oddVBand="0" w:evenVBand="0" w:oddHBand="0" w:evenHBand="0" w:firstRowFirstColumn="0" w:firstRowLastColumn="0" w:lastRowFirstColumn="0" w:lastRowLastColumn="0"/>
            <w:tcW w:w="1843" w:type="dxa"/>
          </w:tcPr>
          <w:p w14:paraId="1E9CE2F4" w14:textId="77777777" w:rsidR="00696E9B" w:rsidRDefault="00696E9B" w:rsidP="00696E9B"/>
        </w:tc>
        <w:tc>
          <w:tcPr>
            <w:tcW w:w="6837" w:type="dxa"/>
          </w:tcPr>
          <w:p w14:paraId="03BB6A42"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Suburban Rail Loop East – Development, Initial and Early Works</w:t>
            </w:r>
          </w:p>
        </w:tc>
        <w:tc>
          <w:tcPr>
            <w:tcW w:w="963" w:type="dxa"/>
          </w:tcPr>
          <w:p w14:paraId="47E8219F"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306 330</w:t>
            </w:r>
          </w:p>
        </w:tc>
      </w:tr>
      <w:tr w:rsidR="00696E9B" w14:paraId="764F3232" w14:textId="77777777">
        <w:tc>
          <w:tcPr>
            <w:cnfStyle w:val="001000000000" w:firstRow="0" w:lastRow="0" w:firstColumn="1" w:lastColumn="0" w:oddVBand="0" w:evenVBand="0" w:oddHBand="0" w:evenHBand="0" w:firstRowFirstColumn="0" w:firstRowLastColumn="0" w:lastRowFirstColumn="0" w:lastRowLastColumn="0"/>
            <w:tcW w:w="1843" w:type="dxa"/>
          </w:tcPr>
          <w:p w14:paraId="5B624308" w14:textId="77777777" w:rsidR="00696E9B" w:rsidRDefault="00696E9B" w:rsidP="00696E9B"/>
        </w:tc>
        <w:tc>
          <w:tcPr>
            <w:tcW w:w="6837" w:type="dxa"/>
          </w:tcPr>
          <w:p w14:paraId="63B280F7"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Adjustments related to the public transport network</w:t>
            </w:r>
          </w:p>
        </w:tc>
        <w:tc>
          <w:tcPr>
            <w:tcW w:w="963" w:type="dxa"/>
          </w:tcPr>
          <w:p w14:paraId="520A759F"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197 409</w:t>
            </w:r>
          </w:p>
        </w:tc>
      </w:tr>
      <w:tr w:rsidR="00696E9B" w14:paraId="3DAE85EB" w14:textId="77777777">
        <w:tc>
          <w:tcPr>
            <w:cnfStyle w:val="001000000000" w:firstRow="0" w:lastRow="0" w:firstColumn="1" w:lastColumn="0" w:oddVBand="0" w:evenVBand="0" w:oddHBand="0" w:evenHBand="0" w:firstRowFirstColumn="0" w:firstRowLastColumn="0" w:lastRowFirstColumn="0" w:lastRowLastColumn="0"/>
            <w:tcW w:w="1843" w:type="dxa"/>
          </w:tcPr>
          <w:p w14:paraId="57459569" w14:textId="77777777" w:rsidR="00696E9B" w:rsidRDefault="00696E9B" w:rsidP="00696E9B"/>
        </w:tc>
        <w:tc>
          <w:tcPr>
            <w:tcW w:w="6837" w:type="dxa"/>
          </w:tcPr>
          <w:p w14:paraId="2381B0B1"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Switching on new Transport Assets</w:t>
            </w:r>
          </w:p>
        </w:tc>
        <w:tc>
          <w:tcPr>
            <w:tcW w:w="963" w:type="dxa"/>
          </w:tcPr>
          <w:p w14:paraId="41643E15"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149 161</w:t>
            </w:r>
          </w:p>
        </w:tc>
      </w:tr>
      <w:tr w:rsidR="00696E9B" w14:paraId="064A79C1" w14:textId="77777777">
        <w:tc>
          <w:tcPr>
            <w:cnfStyle w:val="001000000000" w:firstRow="0" w:lastRow="0" w:firstColumn="1" w:lastColumn="0" w:oddVBand="0" w:evenVBand="0" w:oddHBand="0" w:evenHBand="0" w:firstRowFirstColumn="0" w:firstRowLastColumn="0" w:lastRowFirstColumn="0" w:lastRowLastColumn="0"/>
            <w:tcW w:w="1843" w:type="dxa"/>
          </w:tcPr>
          <w:p w14:paraId="6B545D7D" w14:textId="77777777" w:rsidR="00696E9B" w:rsidRDefault="00696E9B" w:rsidP="00696E9B"/>
        </w:tc>
        <w:tc>
          <w:tcPr>
            <w:tcW w:w="6837" w:type="dxa"/>
          </w:tcPr>
          <w:p w14:paraId="1E936B70"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Metropolitan Tram Franchise Agreement</w:t>
            </w:r>
          </w:p>
        </w:tc>
        <w:tc>
          <w:tcPr>
            <w:tcW w:w="963" w:type="dxa"/>
          </w:tcPr>
          <w:p w14:paraId="188D783D"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98 643</w:t>
            </w:r>
          </w:p>
        </w:tc>
      </w:tr>
      <w:tr w:rsidR="00696E9B" w14:paraId="42B59A96" w14:textId="77777777">
        <w:tc>
          <w:tcPr>
            <w:cnfStyle w:val="001000000000" w:firstRow="0" w:lastRow="0" w:firstColumn="1" w:lastColumn="0" w:oddVBand="0" w:evenVBand="0" w:oddHBand="0" w:evenHBand="0" w:firstRowFirstColumn="0" w:firstRowLastColumn="0" w:lastRowFirstColumn="0" w:lastRowLastColumn="0"/>
            <w:tcW w:w="1843" w:type="dxa"/>
          </w:tcPr>
          <w:p w14:paraId="722DA06D" w14:textId="77777777" w:rsidR="00696E9B" w:rsidRDefault="00696E9B" w:rsidP="00696E9B"/>
        </w:tc>
        <w:tc>
          <w:tcPr>
            <w:tcW w:w="6837" w:type="dxa"/>
          </w:tcPr>
          <w:p w14:paraId="5B706218"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North East Link</w:t>
            </w:r>
          </w:p>
        </w:tc>
        <w:tc>
          <w:tcPr>
            <w:tcW w:w="963" w:type="dxa"/>
          </w:tcPr>
          <w:p w14:paraId="01700D29"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95 271</w:t>
            </w:r>
          </w:p>
        </w:tc>
      </w:tr>
      <w:tr w:rsidR="00696E9B" w14:paraId="7EC9F9E9" w14:textId="77777777">
        <w:tc>
          <w:tcPr>
            <w:cnfStyle w:val="001000000000" w:firstRow="0" w:lastRow="0" w:firstColumn="1" w:lastColumn="0" w:oddVBand="0" w:evenVBand="0" w:oddHBand="0" w:evenHBand="0" w:firstRowFirstColumn="0" w:firstRowLastColumn="0" w:lastRowFirstColumn="0" w:lastRowLastColumn="0"/>
            <w:tcW w:w="1843" w:type="dxa"/>
          </w:tcPr>
          <w:p w14:paraId="4BF84B47" w14:textId="77777777" w:rsidR="00696E9B" w:rsidRDefault="00696E9B" w:rsidP="00696E9B"/>
        </w:tc>
        <w:tc>
          <w:tcPr>
            <w:tcW w:w="6837" w:type="dxa"/>
          </w:tcPr>
          <w:p w14:paraId="0F6CBF7C"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Metro Tunnel Readiness</w:t>
            </w:r>
          </w:p>
        </w:tc>
        <w:tc>
          <w:tcPr>
            <w:tcW w:w="963" w:type="dxa"/>
          </w:tcPr>
          <w:p w14:paraId="59FA9F9C"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43 656</w:t>
            </w:r>
          </w:p>
        </w:tc>
      </w:tr>
      <w:tr w:rsidR="00696E9B" w14:paraId="40806DB8" w14:textId="77777777">
        <w:tc>
          <w:tcPr>
            <w:cnfStyle w:val="001000000000" w:firstRow="0" w:lastRow="0" w:firstColumn="1" w:lastColumn="0" w:oddVBand="0" w:evenVBand="0" w:oddHBand="0" w:evenHBand="0" w:firstRowFirstColumn="0" w:firstRowLastColumn="0" w:lastRowFirstColumn="0" w:lastRowLastColumn="0"/>
            <w:tcW w:w="1843" w:type="dxa"/>
          </w:tcPr>
          <w:p w14:paraId="25856279" w14:textId="77777777" w:rsidR="00696E9B" w:rsidRDefault="00696E9B" w:rsidP="00696E9B"/>
        </w:tc>
        <w:tc>
          <w:tcPr>
            <w:tcW w:w="6837" w:type="dxa"/>
          </w:tcPr>
          <w:p w14:paraId="091F7522"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Housing Statement</w:t>
            </w:r>
          </w:p>
        </w:tc>
        <w:tc>
          <w:tcPr>
            <w:tcW w:w="963" w:type="dxa"/>
          </w:tcPr>
          <w:p w14:paraId="16DD3D2C"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16 972</w:t>
            </w:r>
          </w:p>
        </w:tc>
      </w:tr>
      <w:tr w:rsidR="00696E9B" w14:paraId="7D4325D2" w14:textId="77777777">
        <w:tc>
          <w:tcPr>
            <w:cnfStyle w:val="001000000000" w:firstRow="0" w:lastRow="0" w:firstColumn="1" w:lastColumn="0" w:oddVBand="0" w:evenVBand="0" w:oddHBand="0" w:evenHBand="0" w:firstRowFirstColumn="0" w:firstRowLastColumn="0" w:lastRowFirstColumn="0" w:lastRowLastColumn="0"/>
            <w:tcW w:w="1843" w:type="dxa"/>
          </w:tcPr>
          <w:p w14:paraId="19FDF02E" w14:textId="77777777" w:rsidR="00696E9B" w:rsidRDefault="00696E9B" w:rsidP="00696E9B"/>
        </w:tc>
        <w:tc>
          <w:tcPr>
            <w:tcW w:w="6837" w:type="dxa"/>
          </w:tcPr>
          <w:p w14:paraId="3DF3E15D"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Victorian Renewable Energy Terminal Planning and Design</w:t>
            </w:r>
          </w:p>
        </w:tc>
        <w:tc>
          <w:tcPr>
            <w:tcW w:w="963" w:type="dxa"/>
          </w:tcPr>
          <w:p w14:paraId="50197FA8"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8 653</w:t>
            </w:r>
          </w:p>
        </w:tc>
      </w:tr>
      <w:tr w:rsidR="00696E9B" w14:paraId="1774C8D5" w14:textId="77777777">
        <w:tc>
          <w:tcPr>
            <w:cnfStyle w:val="001000000000" w:firstRow="0" w:lastRow="0" w:firstColumn="1" w:lastColumn="0" w:oddVBand="0" w:evenVBand="0" w:oddHBand="0" w:evenHBand="0" w:firstRowFirstColumn="0" w:firstRowLastColumn="0" w:lastRowFirstColumn="0" w:lastRowLastColumn="0"/>
            <w:tcW w:w="1843" w:type="dxa"/>
          </w:tcPr>
          <w:p w14:paraId="140EE8AC" w14:textId="77777777" w:rsidR="00696E9B" w:rsidRDefault="00696E9B" w:rsidP="00696E9B"/>
        </w:tc>
        <w:tc>
          <w:tcPr>
            <w:tcW w:w="6837" w:type="dxa"/>
          </w:tcPr>
          <w:p w14:paraId="1B00B9DF"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South Dynon Train Maintenance Facility</w:t>
            </w:r>
          </w:p>
        </w:tc>
        <w:tc>
          <w:tcPr>
            <w:tcW w:w="963" w:type="dxa"/>
          </w:tcPr>
          <w:p w14:paraId="05E75A03"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8 061</w:t>
            </w:r>
          </w:p>
        </w:tc>
      </w:tr>
      <w:tr w:rsidR="00696E9B" w14:paraId="4C8DA888" w14:textId="77777777">
        <w:tc>
          <w:tcPr>
            <w:cnfStyle w:val="001000000000" w:firstRow="0" w:lastRow="0" w:firstColumn="1" w:lastColumn="0" w:oddVBand="0" w:evenVBand="0" w:oddHBand="0" w:evenHBand="0" w:firstRowFirstColumn="0" w:firstRowLastColumn="0" w:lastRowFirstColumn="0" w:lastRowLastColumn="0"/>
            <w:tcW w:w="1843" w:type="dxa"/>
          </w:tcPr>
          <w:p w14:paraId="76495F81" w14:textId="77777777" w:rsidR="00696E9B" w:rsidRDefault="00696E9B" w:rsidP="00696E9B"/>
        </w:tc>
        <w:tc>
          <w:tcPr>
            <w:tcW w:w="6837" w:type="dxa"/>
          </w:tcPr>
          <w:p w14:paraId="77E1C6AE"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Disaster Relief and Recovery support</w:t>
            </w:r>
          </w:p>
        </w:tc>
        <w:tc>
          <w:tcPr>
            <w:tcW w:w="963" w:type="dxa"/>
          </w:tcPr>
          <w:p w14:paraId="2B8FF3ED"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545</w:t>
            </w:r>
          </w:p>
        </w:tc>
      </w:tr>
      <w:tr w:rsidR="00696E9B" w14:paraId="717FC84A"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718756A6" w14:textId="77777777" w:rsidR="00696E9B" w:rsidRDefault="00696E9B" w:rsidP="00696E9B"/>
        </w:tc>
        <w:tc>
          <w:tcPr>
            <w:tcW w:w="6837" w:type="dxa"/>
            <w:tcBorders>
              <w:bottom w:val="single" w:sz="6" w:space="0" w:color="auto"/>
            </w:tcBorders>
          </w:tcPr>
          <w:p w14:paraId="70141810"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4DEBFE18"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3 167 569</w:t>
            </w:r>
          </w:p>
        </w:tc>
      </w:tr>
      <w:tr w:rsidR="00696E9B" w14:paraId="5E2C2FEE"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4E33BC76" w14:textId="77777777" w:rsidR="00696E9B" w:rsidRDefault="00696E9B" w:rsidP="00696E9B">
            <w:r>
              <w:t>Treasury and Finance</w:t>
            </w:r>
          </w:p>
        </w:tc>
        <w:tc>
          <w:tcPr>
            <w:tcW w:w="6837" w:type="dxa"/>
            <w:tcBorders>
              <w:top w:val="single" w:sz="6" w:space="0" w:color="auto"/>
            </w:tcBorders>
          </w:tcPr>
          <w:p w14:paraId="31D1E531"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Major Events Fund</w:t>
            </w:r>
          </w:p>
        </w:tc>
        <w:tc>
          <w:tcPr>
            <w:tcW w:w="963" w:type="dxa"/>
            <w:tcBorders>
              <w:top w:val="single" w:sz="6" w:space="0" w:color="auto"/>
            </w:tcBorders>
          </w:tcPr>
          <w:p w14:paraId="5C5258F9"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19 353</w:t>
            </w:r>
          </w:p>
        </w:tc>
      </w:tr>
      <w:tr w:rsidR="00696E9B" w14:paraId="0A01FFE8" w14:textId="77777777">
        <w:tc>
          <w:tcPr>
            <w:cnfStyle w:val="001000000000" w:firstRow="0" w:lastRow="0" w:firstColumn="1" w:lastColumn="0" w:oddVBand="0" w:evenVBand="0" w:oddHBand="0" w:evenHBand="0" w:firstRowFirstColumn="0" w:firstRowLastColumn="0" w:lastRowFirstColumn="0" w:lastRowLastColumn="0"/>
            <w:tcW w:w="1843" w:type="dxa"/>
          </w:tcPr>
          <w:p w14:paraId="6037B7BE" w14:textId="77777777" w:rsidR="00696E9B" w:rsidRDefault="00696E9B" w:rsidP="00696E9B"/>
        </w:tc>
        <w:tc>
          <w:tcPr>
            <w:tcW w:w="6837" w:type="dxa"/>
          </w:tcPr>
          <w:p w14:paraId="5490DEA5"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Pr>
          <w:p w14:paraId="54BA4BFD"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14 782</w:t>
            </w:r>
          </w:p>
        </w:tc>
      </w:tr>
      <w:tr w:rsidR="00696E9B" w14:paraId="5733D56D" w14:textId="77777777">
        <w:tc>
          <w:tcPr>
            <w:cnfStyle w:val="001000000000" w:firstRow="0" w:lastRow="0" w:firstColumn="1" w:lastColumn="0" w:oddVBand="0" w:evenVBand="0" w:oddHBand="0" w:evenHBand="0" w:firstRowFirstColumn="0" w:firstRowLastColumn="0" w:lastRowFirstColumn="0" w:lastRowLastColumn="0"/>
            <w:tcW w:w="1843" w:type="dxa"/>
          </w:tcPr>
          <w:p w14:paraId="09C31657" w14:textId="77777777" w:rsidR="00696E9B" w:rsidRDefault="00696E9B" w:rsidP="00696E9B"/>
        </w:tc>
        <w:tc>
          <w:tcPr>
            <w:tcW w:w="6837" w:type="dxa"/>
          </w:tcPr>
          <w:p w14:paraId="1C3CBDC8"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Empowerment Fund</w:t>
            </w:r>
          </w:p>
        </w:tc>
        <w:tc>
          <w:tcPr>
            <w:tcW w:w="963" w:type="dxa"/>
          </w:tcPr>
          <w:p w14:paraId="614961A5"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2 250</w:t>
            </w:r>
          </w:p>
        </w:tc>
      </w:tr>
      <w:tr w:rsidR="00696E9B" w14:paraId="029942CE" w14:textId="77777777">
        <w:tc>
          <w:tcPr>
            <w:cnfStyle w:val="001000000000" w:firstRow="0" w:lastRow="0" w:firstColumn="1" w:lastColumn="0" w:oddVBand="0" w:evenVBand="0" w:oddHBand="0" w:evenHBand="0" w:firstRowFirstColumn="0" w:firstRowLastColumn="0" w:lastRowFirstColumn="0" w:lastRowLastColumn="0"/>
            <w:tcW w:w="1843" w:type="dxa"/>
          </w:tcPr>
          <w:p w14:paraId="7A8F924E" w14:textId="77777777" w:rsidR="00696E9B" w:rsidRDefault="00696E9B" w:rsidP="00696E9B"/>
        </w:tc>
        <w:tc>
          <w:tcPr>
            <w:tcW w:w="6837" w:type="dxa"/>
          </w:tcPr>
          <w:p w14:paraId="70ECC720"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469FFC27"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630</w:t>
            </w:r>
          </w:p>
        </w:tc>
      </w:tr>
      <w:tr w:rsidR="00696E9B" w14:paraId="044B0C3F" w14:textId="77777777">
        <w:tc>
          <w:tcPr>
            <w:cnfStyle w:val="001000000000" w:firstRow="0" w:lastRow="0" w:firstColumn="1" w:lastColumn="0" w:oddVBand="0" w:evenVBand="0" w:oddHBand="0" w:evenHBand="0" w:firstRowFirstColumn="0" w:firstRowLastColumn="0" w:lastRowFirstColumn="0" w:lastRowLastColumn="0"/>
            <w:tcW w:w="1843" w:type="dxa"/>
          </w:tcPr>
          <w:p w14:paraId="4CA49C1F" w14:textId="77777777" w:rsidR="00696E9B" w:rsidRDefault="00696E9B" w:rsidP="00696E9B"/>
        </w:tc>
        <w:tc>
          <w:tcPr>
            <w:tcW w:w="6837" w:type="dxa"/>
          </w:tcPr>
          <w:p w14:paraId="62062F72"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Temporary off</w:t>
            </w:r>
            <w:r>
              <w:noBreakHyphen/>
              <w:t>the</w:t>
            </w:r>
            <w:r>
              <w:noBreakHyphen/>
              <w:t>plan stamp duty concession for apartments, units and townhouses</w:t>
            </w:r>
          </w:p>
        </w:tc>
        <w:tc>
          <w:tcPr>
            <w:tcW w:w="963" w:type="dxa"/>
          </w:tcPr>
          <w:p w14:paraId="2257259F"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394</w:t>
            </w:r>
          </w:p>
        </w:tc>
      </w:tr>
      <w:tr w:rsidR="00696E9B" w14:paraId="134A2319" w14:textId="77777777">
        <w:tc>
          <w:tcPr>
            <w:cnfStyle w:val="001000000000" w:firstRow="0" w:lastRow="0" w:firstColumn="1" w:lastColumn="0" w:oddVBand="0" w:evenVBand="0" w:oddHBand="0" w:evenHBand="0" w:firstRowFirstColumn="0" w:firstRowLastColumn="0" w:lastRowFirstColumn="0" w:lastRowLastColumn="0"/>
            <w:tcW w:w="1843" w:type="dxa"/>
          </w:tcPr>
          <w:p w14:paraId="4E218B4D" w14:textId="77777777" w:rsidR="00696E9B" w:rsidRDefault="00696E9B" w:rsidP="00696E9B"/>
        </w:tc>
        <w:tc>
          <w:tcPr>
            <w:tcW w:w="6837" w:type="dxa"/>
          </w:tcPr>
          <w:p w14:paraId="77E9EE93"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Building Equitable Futures Strategy 2024</w:t>
            </w:r>
            <w:r>
              <w:noBreakHyphen/>
              <w:t>32</w:t>
            </w:r>
          </w:p>
        </w:tc>
        <w:tc>
          <w:tcPr>
            <w:tcW w:w="963" w:type="dxa"/>
          </w:tcPr>
          <w:p w14:paraId="647262EE"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28</w:t>
            </w:r>
          </w:p>
        </w:tc>
      </w:tr>
      <w:tr w:rsidR="00696E9B" w14:paraId="025DDE2E"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E31395F" w14:textId="77777777" w:rsidR="00696E9B" w:rsidRDefault="00696E9B" w:rsidP="00696E9B"/>
        </w:tc>
        <w:tc>
          <w:tcPr>
            <w:tcW w:w="6837" w:type="dxa"/>
            <w:tcBorders>
              <w:bottom w:val="single" w:sz="6" w:space="0" w:color="auto"/>
            </w:tcBorders>
          </w:tcPr>
          <w:p w14:paraId="6172A955"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06D70816"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37 436</w:t>
            </w:r>
          </w:p>
        </w:tc>
      </w:tr>
      <w:tr w:rsidR="00696E9B" w14:paraId="0FA9B636"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6621484D" w14:textId="77777777" w:rsidR="00696E9B" w:rsidRDefault="00696E9B" w:rsidP="00696E9B">
            <w:r>
              <w:t>Parliament</w:t>
            </w:r>
          </w:p>
        </w:tc>
        <w:tc>
          <w:tcPr>
            <w:tcW w:w="6837" w:type="dxa"/>
            <w:tcBorders>
              <w:top w:val="single" w:sz="6" w:space="0" w:color="auto"/>
            </w:tcBorders>
          </w:tcPr>
          <w:p w14:paraId="25DF97A8"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Integrity Bodies VPS EBA wages funding</w:t>
            </w:r>
          </w:p>
        </w:tc>
        <w:tc>
          <w:tcPr>
            <w:tcW w:w="963" w:type="dxa"/>
            <w:tcBorders>
              <w:top w:val="single" w:sz="6" w:space="0" w:color="auto"/>
            </w:tcBorders>
          </w:tcPr>
          <w:p w14:paraId="0DC9BECF"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4 418</w:t>
            </w:r>
          </w:p>
        </w:tc>
      </w:tr>
      <w:tr w:rsidR="00696E9B" w14:paraId="2CC18451" w14:textId="77777777">
        <w:tc>
          <w:tcPr>
            <w:cnfStyle w:val="001000000000" w:firstRow="0" w:lastRow="0" w:firstColumn="1" w:lastColumn="0" w:oddVBand="0" w:evenVBand="0" w:oddHBand="0" w:evenHBand="0" w:firstRowFirstColumn="0" w:firstRowLastColumn="0" w:lastRowFirstColumn="0" w:lastRowLastColumn="0"/>
            <w:tcW w:w="1843" w:type="dxa"/>
          </w:tcPr>
          <w:p w14:paraId="7CBFF321" w14:textId="77777777" w:rsidR="00696E9B" w:rsidRDefault="00696E9B" w:rsidP="00696E9B"/>
        </w:tc>
        <w:tc>
          <w:tcPr>
            <w:tcW w:w="6837" w:type="dxa"/>
          </w:tcPr>
          <w:p w14:paraId="6ADF3E0F"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Parliamentary Officers EBA funding</w:t>
            </w:r>
          </w:p>
        </w:tc>
        <w:tc>
          <w:tcPr>
            <w:tcW w:w="963" w:type="dxa"/>
          </w:tcPr>
          <w:p w14:paraId="115CB612"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2 697</w:t>
            </w:r>
          </w:p>
        </w:tc>
      </w:tr>
      <w:tr w:rsidR="00696E9B" w14:paraId="03720F72"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6FDDE9C" w14:textId="77777777" w:rsidR="00696E9B" w:rsidRDefault="00696E9B" w:rsidP="00696E9B"/>
        </w:tc>
        <w:tc>
          <w:tcPr>
            <w:tcW w:w="6837" w:type="dxa"/>
            <w:tcBorders>
              <w:bottom w:val="single" w:sz="6" w:space="0" w:color="auto"/>
            </w:tcBorders>
          </w:tcPr>
          <w:p w14:paraId="2451CF94"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7195307D"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7 115</w:t>
            </w:r>
          </w:p>
        </w:tc>
      </w:tr>
      <w:tr w:rsidR="00696E9B" w14:paraId="21461269" w14:textId="77777777">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49C72868" w14:textId="77777777" w:rsidR="00696E9B" w:rsidRDefault="00696E9B" w:rsidP="00696E9B">
            <w:r>
              <w:t>Courts</w:t>
            </w:r>
          </w:p>
        </w:tc>
        <w:tc>
          <w:tcPr>
            <w:tcW w:w="6837" w:type="dxa"/>
            <w:tcBorders>
              <w:top w:val="single" w:sz="6" w:space="0" w:color="auto"/>
            </w:tcBorders>
          </w:tcPr>
          <w:p w14:paraId="78660D1F"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Departmental operating and VPS EBA wages funding</w:t>
            </w:r>
          </w:p>
        </w:tc>
        <w:tc>
          <w:tcPr>
            <w:tcW w:w="963" w:type="dxa"/>
            <w:tcBorders>
              <w:top w:val="single" w:sz="6" w:space="0" w:color="auto"/>
            </w:tcBorders>
          </w:tcPr>
          <w:p w14:paraId="7E125B50"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22 269</w:t>
            </w:r>
          </w:p>
        </w:tc>
      </w:tr>
      <w:tr w:rsidR="00696E9B" w14:paraId="26C4FAC0" w14:textId="77777777">
        <w:tc>
          <w:tcPr>
            <w:cnfStyle w:val="001000000000" w:firstRow="0" w:lastRow="0" w:firstColumn="1" w:lastColumn="0" w:oddVBand="0" w:evenVBand="0" w:oddHBand="0" w:evenHBand="0" w:firstRowFirstColumn="0" w:firstRowLastColumn="0" w:lastRowFirstColumn="0" w:lastRowLastColumn="0"/>
            <w:tcW w:w="1843" w:type="dxa"/>
          </w:tcPr>
          <w:p w14:paraId="183D13D9" w14:textId="77777777" w:rsidR="00696E9B" w:rsidRDefault="00696E9B" w:rsidP="00696E9B"/>
        </w:tc>
        <w:tc>
          <w:tcPr>
            <w:tcW w:w="6837" w:type="dxa"/>
          </w:tcPr>
          <w:p w14:paraId="7A2F2D2B" w14:textId="77777777" w:rsidR="00696E9B" w:rsidRDefault="00696E9B" w:rsidP="00696E9B">
            <w:pPr>
              <w:jc w:val="left"/>
              <w:cnfStyle w:val="000000000000" w:firstRow="0" w:lastRow="0" w:firstColumn="0" w:lastColumn="0" w:oddVBand="0" w:evenVBand="0" w:oddHBand="0" w:evenHBand="0" w:firstRowFirstColumn="0" w:firstRowLastColumn="0" w:lastRowFirstColumn="0" w:lastRowLastColumn="0"/>
            </w:pPr>
            <w:r>
              <w:t>Workforce Transition</w:t>
            </w:r>
          </w:p>
        </w:tc>
        <w:tc>
          <w:tcPr>
            <w:tcW w:w="963" w:type="dxa"/>
          </w:tcPr>
          <w:p w14:paraId="7EE4B371"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t>5 242</w:t>
            </w:r>
          </w:p>
        </w:tc>
      </w:tr>
      <w:tr w:rsidR="00696E9B" w14:paraId="17DA0ADA" w14:textId="77777777">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6DD46599" w14:textId="77777777" w:rsidR="00696E9B" w:rsidRDefault="00696E9B" w:rsidP="00696E9B"/>
        </w:tc>
        <w:tc>
          <w:tcPr>
            <w:tcW w:w="6837" w:type="dxa"/>
            <w:tcBorders>
              <w:bottom w:val="single" w:sz="6" w:space="0" w:color="auto"/>
            </w:tcBorders>
          </w:tcPr>
          <w:p w14:paraId="084A9439"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p>
        </w:tc>
        <w:tc>
          <w:tcPr>
            <w:tcW w:w="963" w:type="dxa"/>
            <w:tcBorders>
              <w:bottom w:val="single" w:sz="6" w:space="0" w:color="auto"/>
            </w:tcBorders>
          </w:tcPr>
          <w:p w14:paraId="30250914"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27 511</w:t>
            </w:r>
          </w:p>
        </w:tc>
      </w:tr>
      <w:tr w:rsidR="00696E9B" w14:paraId="79996603" w14:textId="77777777">
        <w:tc>
          <w:tcPr>
            <w:cnfStyle w:val="001000000000" w:firstRow="0" w:lastRow="0" w:firstColumn="1" w:lastColumn="0" w:oddVBand="0" w:evenVBand="0" w:oddHBand="0" w:evenHBand="0" w:firstRowFirstColumn="0" w:firstRowLastColumn="0" w:lastRowFirstColumn="0" w:lastRowLastColumn="0"/>
            <w:tcW w:w="8680" w:type="dxa"/>
            <w:gridSpan w:val="2"/>
            <w:tcBorders>
              <w:top w:val="single" w:sz="6" w:space="0" w:color="auto"/>
              <w:bottom w:val="single" w:sz="6" w:space="0" w:color="auto"/>
            </w:tcBorders>
          </w:tcPr>
          <w:p w14:paraId="22DF04B8" w14:textId="570E1654" w:rsidR="00696E9B" w:rsidRDefault="00696E9B" w:rsidP="00696E9B">
            <w:r>
              <w:rPr>
                <w:b/>
              </w:rPr>
              <w:t>Total Treasurer’s advance payments relating to contingency releases</w:t>
            </w:r>
          </w:p>
        </w:tc>
        <w:tc>
          <w:tcPr>
            <w:tcW w:w="963" w:type="dxa"/>
            <w:tcBorders>
              <w:top w:val="single" w:sz="6" w:space="0" w:color="auto"/>
              <w:bottom w:val="single" w:sz="6" w:space="0" w:color="auto"/>
            </w:tcBorders>
          </w:tcPr>
          <w:p w14:paraId="60C4D12C"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8 263 905</w:t>
            </w:r>
          </w:p>
        </w:tc>
      </w:tr>
      <w:tr w:rsidR="00696E9B" w14:paraId="50CDC0ED" w14:textId="77777777">
        <w:tc>
          <w:tcPr>
            <w:cnfStyle w:val="001000000000" w:firstRow="0" w:lastRow="0" w:firstColumn="1" w:lastColumn="0" w:oddVBand="0" w:evenVBand="0" w:oddHBand="0" w:evenHBand="0" w:firstRowFirstColumn="0" w:firstRowLastColumn="0" w:lastRowFirstColumn="0" w:lastRowLastColumn="0"/>
            <w:tcW w:w="8680" w:type="dxa"/>
            <w:gridSpan w:val="2"/>
            <w:tcBorders>
              <w:top w:val="single" w:sz="0" w:space="0" w:color="auto"/>
              <w:bottom w:val="single" w:sz="12" w:space="0" w:color="auto"/>
            </w:tcBorders>
          </w:tcPr>
          <w:p w14:paraId="0CEB89EA" w14:textId="6533FFFF" w:rsidR="00696E9B" w:rsidRDefault="00696E9B" w:rsidP="00696E9B">
            <w:r>
              <w:rPr>
                <w:b/>
              </w:rPr>
              <w:t>Total Treasurer’s advance payments</w:t>
            </w:r>
          </w:p>
        </w:tc>
        <w:tc>
          <w:tcPr>
            <w:tcW w:w="963" w:type="dxa"/>
            <w:tcBorders>
              <w:top w:val="single" w:sz="0" w:space="0" w:color="auto"/>
              <w:bottom w:val="single" w:sz="12" w:space="0" w:color="auto"/>
            </w:tcBorders>
          </w:tcPr>
          <w:p w14:paraId="43167D32" w14:textId="77777777" w:rsidR="00696E9B" w:rsidRDefault="00696E9B" w:rsidP="00696E9B">
            <w:pPr>
              <w:cnfStyle w:val="000000000000" w:firstRow="0" w:lastRow="0" w:firstColumn="0" w:lastColumn="0" w:oddVBand="0" w:evenVBand="0" w:oddHBand="0" w:evenHBand="0" w:firstRowFirstColumn="0" w:firstRowLastColumn="0" w:lastRowFirstColumn="0" w:lastRowLastColumn="0"/>
            </w:pPr>
            <w:r>
              <w:rPr>
                <w:b/>
              </w:rPr>
              <w:t>10 915 530</w:t>
            </w:r>
          </w:p>
        </w:tc>
      </w:tr>
    </w:tbl>
    <w:p w14:paraId="006F352B" w14:textId="77777777" w:rsidR="009D33A8" w:rsidRDefault="009D33A8" w:rsidP="009D33A8"/>
    <w:p w14:paraId="455769C5" w14:textId="77777777" w:rsidR="009D33A8" w:rsidRDefault="009D33A8" w:rsidP="009D33A8"/>
    <w:p w14:paraId="4581786B" w14:textId="77777777" w:rsidR="009D33A8" w:rsidRDefault="009D33A8" w:rsidP="009D33A8">
      <w:pPr>
        <w:pStyle w:val="Heading3"/>
        <w:keepNext w:val="0"/>
        <w:pageBreakBefore/>
      </w:pPr>
      <w:bookmarkStart w:id="170" w:name="_Toc209479930"/>
      <w:r>
        <w:lastRenderedPageBreak/>
        <w:t>7.2.14</w:t>
      </w:r>
      <w:r>
        <w:tab/>
        <w:t>Payments from advances and unused advances carried forward to 2024-25</w:t>
      </w:r>
      <w:r>
        <w:br/>
        <w:t xml:space="preserve">pursuant to Section 35 and 35(4) of the </w:t>
      </w:r>
      <w:r w:rsidRPr="005B6670">
        <w:rPr>
          <w:i/>
        </w:rPr>
        <w:t>Financial Management Act 1994</w:t>
      </w:r>
      <w:bookmarkEnd w:id="170"/>
      <w:r>
        <w:rPr>
          <w:i/>
        </w:rPr>
        <w:t xml:space="preserve"> </w:t>
      </w:r>
      <w:r>
        <w:tab/>
      </w:r>
    </w:p>
    <w:p w14:paraId="12F57B9D" w14:textId="77777777" w:rsidR="009D33A8" w:rsidRPr="00696E9B" w:rsidRDefault="009D33A8" w:rsidP="00696E9B">
      <w:pPr>
        <w:pStyle w:val="TableHeading"/>
        <w:rPr>
          <w:rStyle w:val="TableHeadingChar"/>
          <w:b/>
          <w:iCs/>
        </w:rPr>
      </w:pPr>
      <w:r w:rsidRPr="00696E9B">
        <w:rPr>
          <w:rStyle w:val="TableHeadingChar"/>
          <w:b/>
          <w:iCs/>
        </w:rPr>
        <w:t>Section 35 payments relating to decisions made post budget</w:t>
      </w:r>
      <w:r w:rsidRPr="00696E9B">
        <w:tab/>
      </w:r>
      <w:r w:rsidRPr="00696E9B">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35_decisionpostbudget"/>
      </w:tblPr>
      <w:tblGrid>
        <w:gridCol w:w="1985"/>
        <w:gridCol w:w="6746"/>
        <w:gridCol w:w="907"/>
      </w:tblGrid>
      <w:tr w:rsidR="009D33A8" w14:paraId="7069AF9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6E93E83C" w14:textId="77777777" w:rsidR="009D33A8" w:rsidRDefault="009D33A8">
            <w:pPr>
              <w:keepNext/>
            </w:pPr>
            <w:r>
              <w:t>Department</w:t>
            </w:r>
          </w:p>
        </w:tc>
        <w:tc>
          <w:tcPr>
            <w:tcW w:w="6746" w:type="dxa"/>
            <w:tcBorders>
              <w:bottom w:val="single" w:sz="6" w:space="0" w:color="auto"/>
            </w:tcBorders>
          </w:tcPr>
          <w:p w14:paraId="3B413A76"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506C93A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0843F343" w14:textId="77777777">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2181C444" w14:textId="77777777" w:rsidR="009D33A8" w:rsidRDefault="009D33A8">
            <w:r>
              <w:t>Health</w:t>
            </w:r>
          </w:p>
        </w:tc>
        <w:tc>
          <w:tcPr>
            <w:tcW w:w="6746" w:type="dxa"/>
            <w:tcBorders>
              <w:top w:val="single" w:sz="6" w:space="0" w:color="auto"/>
              <w:bottom w:val="single" w:sz="6" w:space="0" w:color="auto"/>
            </w:tcBorders>
          </w:tcPr>
          <w:p w14:paraId="0A533627"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Additional hospital system support</w:t>
            </w:r>
          </w:p>
        </w:tc>
        <w:tc>
          <w:tcPr>
            <w:tcW w:w="907" w:type="dxa"/>
            <w:tcBorders>
              <w:top w:val="single" w:sz="6" w:space="0" w:color="auto"/>
              <w:bottom w:val="single" w:sz="6" w:space="0" w:color="auto"/>
            </w:tcBorders>
          </w:tcPr>
          <w:p w14:paraId="35513AA7" w14:textId="77777777" w:rsidR="009D33A8" w:rsidRDefault="009D33A8">
            <w:pPr>
              <w:cnfStyle w:val="000000000000" w:firstRow="0" w:lastRow="0" w:firstColumn="0" w:lastColumn="0" w:oddVBand="0" w:evenVBand="0" w:oddHBand="0" w:evenHBand="0" w:firstRowFirstColumn="0" w:firstRowLastColumn="0" w:lastRowFirstColumn="0" w:lastRowLastColumn="0"/>
            </w:pPr>
            <w:r>
              <w:t>224 700</w:t>
            </w:r>
          </w:p>
        </w:tc>
      </w:tr>
      <w:tr w:rsidR="009D33A8" w14:paraId="2F17AA2B" w14:textId="77777777">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31D7F59B" w14:textId="77777777" w:rsidR="009D33A8" w:rsidRDefault="009D33A8">
            <w:r>
              <w:rPr>
                <w:b/>
              </w:rPr>
              <w:t xml:space="preserve">Total payments from advances pursuant to Section 35 (4) of the </w:t>
            </w:r>
            <w:r>
              <w:rPr>
                <w:b/>
                <w:i/>
              </w:rPr>
              <w:t>Financial Management Act 1994</w:t>
            </w:r>
            <w:r>
              <w:rPr>
                <w:b/>
              </w:rPr>
              <w:t xml:space="preserve"> relating to decisions made post budget</w:t>
            </w:r>
          </w:p>
        </w:tc>
        <w:tc>
          <w:tcPr>
            <w:tcW w:w="907" w:type="dxa"/>
            <w:tcBorders>
              <w:top w:val="single" w:sz="6" w:space="0" w:color="auto"/>
              <w:bottom w:val="single" w:sz="12" w:space="0" w:color="auto"/>
            </w:tcBorders>
          </w:tcPr>
          <w:p w14:paraId="44F611D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224 700</w:t>
            </w:r>
          </w:p>
        </w:tc>
      </w:tr>
    </w:tbl>
    <w:p w14:paraId="14B58C6C" w14:textId="77777777" w:rsidR="009D33A8" w:rsidRPr="00696E9B" w:rsidRDefault="009D33A8" w:rsidP="00696E9B"/>
    <w:p w14:paraId="13D8D87D" w14:textId="77777777" w:rsidR="009D33A8" w:rsidRPr="00696E9B" w:rsidRDefault="009D33A8" w:rsidP="00696E9B">
      <w:pPr>
        <w:pStyle w:val="TableHeading"/>
        <w:rPr>
          <w:rStyle w:val="TableHeadingChar"/>
          <w:b/>
          <w:iCs/>
        </w:rPr>
      </w:pPr>
      <w:r w:rsidRPr="00696E9B">
        <w:rPr>
          <w:rStyle w:val="TableHeadingChar"/>
          <w:b/>
          <w:iCs/>
        </w:rPr>
        <w:t>Contingency releases paid from Section 35</w:t>
      </w:r>
      <w:r w:rsidRPr="00696E9B">
        <w:tab/>
      </w:r>
      <w:r w:rsidRPr="00696E9B">
        <w:rPr>
          <w:rStyle w:val="TableHeadingChar"/>
          <w:b/>
          <w:iCs/>
        </w:rPr>
        <w:t>($ thousand)</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Public Account/Link_AFR_Public_Account.xlsx|Table:Section_35_contingencyreleases"/>
      </w:tblPr>
      <w:tblGrid>
        <w:gridCol w:w="1985"/>
        <w:gridCol w:w="6746"/>
        <w:gridCol w:w="907"/>
      </w:tblGrid>
      <w:tr w:rsidR="009D33A8" w14:paraId="32E4ADC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auto"/>
            </w:tcBorders>
          </w:tcPr>
          <w:p w14:paraId="00F5F14E" w14:textId="77777777" w:rsidR="009D33A8" w:rsidRDefault="009D33A8">
            <w:pPr>
              <w:keepNext/>
            </w:pPr>
            <w:r>
              <w:t>Department</w:t>
            </w:r>
          </w:p>
        </w:tc>
        <w:tc>
          <w:tcPr>
            <w:tcW w:w="6746" w:type="dxa"/>
            <w:tcBorders>
              <w:bottom w:val="single" w:sz="6" w:space="0" w:color="auto"/>
            </w:tcBorders>
          </w:tcPr>
          <w:p w14:paraId="7636F228" w14:textId="77777777" w:rsidR="009D33A8" w:rsidRDefault="009D33A8">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34F4EAE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r>
              <w:noBreakHyphen/>
              <w:t>25</w:t>
            </w:r>
          </w:p>
        </w:tc>
      </w:tr>
      <w:tr w:rsidR="009D33A8" w14:paraId="5B209E2A" w14:textId="77777777">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auto"/>
              <w:bottom w:val="single" w:sz="6" w:space="0" w:color="auto"/>
            </w:tcBorders>
          </w:tcPr>
          <w:p w14:paraId="09EABF66" w14:textId="77777777" w:rsidR="009D33A8" w:rsidRDefault="009D33A8">
            <w:r>
              <w:t>Health</w:t>
            </w:r>
          </w:p>
        </w:tc>
        <w:tc>
          <w:tcPr>
            <w:tcW w:w="6746" w:type="dxa"/>
            <w:tcBorders>
              <w:top w:val="single" w:sz="6" w:space="0" w:color="auto"/>
              <w:bottom w:val="single" w:sz="6" w:space="0" w:color="auto"/>
            </w:tcBorders>
          </w:tcPr>
          <w:p w14:paraId="0DBD7051" w14:textId="77777777" w:rsidR="009D33A8" w:rsidRDefault="009D33A8">
            <w:pPr>
              <w:jc w:val="left"/>
              <w:cnfStyle w:val="000000000000" w:firstRow="0" w:lastRow="0" w:firstColumn="0" w:lastColumn="0" w:oddVBand="0" w:evenVBand="0" w:oddHBand="0" w:evenHBand="0" w:firstRowFirstColumn="0" w:firstRowLastColumn="0" w:lastRowFirstColumn="0" w:lastRowLastColumn="0"/>
            </w:pPr>
            <w:r>
              <w:t>Funding our hospitals</w:t>
            </w:r>
          </w:p>
        </w:tc>
        <w:tc>
          <w:tcPr>
            <w:tcW w:w="907" w:type="dxa"/>
            <w:tcBorders>
              <w:top w:val="single" w:sz="6" w:space="0" w:color="auto"/>
              <w:bottom w:val="single" w:sz="6" w:space="0" w:color="auto"/>
            </w:tcBorders>
          </w:tcPr>
          <w:p w14:paraId="378A991C" w14:textId="77777777" w:rsidR="009D33A8" w:rsidRDefault="009D33A8">
            <w:pPr>
              <w:cnfStyle w:val="000000000000" w:firstRow="0" w:lastRow="0" w:firstColumn="0" w:lastColumn="0" w:oddVBand="0" w:evenVBand="0" w:oddHBand="0" w:evenHBand="0" w:firstRowFirstColumn="0" w:firstRowLastColumn="0" w:lastRowFirstColumn="0" w:lastRowLastColumn="0"/>
            </w:pPr>
            <w:r>
              <w:t>241 000</w:t>
            </w:r>
          </w:p>
        </w:tc>
      </w:tr>
      <w:tr w:rsidR="009D33A8" w14:paraId="77BFD0F3" w14:textId="77777777">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6" w:space="0" w:color="auto"/>
            </w:tcBorders>
          </w:tcPr>
          <w:p w14:paraId="0D6086AE" w14:textId="77777777" w:rsidR="009D33A8" w:rsidRDefault="009D33A8">
            <w:r>
              <w:rPr>
                <w:b/>
              </w:rPr>
              <w:t xml:space="preserve">Total payments from advances pursuant to Section 35 (4) of the </w:t>
            </w:r>
            <w:r>
              <w:rPr>
                <w:b/>
                <w:i/>
              </w:rPr>
              <w:t>Financial Management Act 1994</w:t>
            </w:r>
            <w:r>
              <w:rPr>
                <w:b/>
              </w:rPr>
              <w:t xml:space="preserve"> relating to contingency releases</w:t>
            </w:r>
          </w:p>
        </w:tc>
        <w:tc>
          <w:tcPr>
            <w:tcW w:w="907" w:type="dxa"/>
            <w:tcBorders>
              <w:top w:val="single" w:sz="6" w:space="0" w:color="auto"/>
              <w:bottom w:val="single" w:sz="6" w:space="0" w:color="auto"/>
            </w:tcBorders>
          </w:tcPr>
          <w:p w14:paraId="4B1B776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241 000</w:t>
            </w:r>
          </w:p>
        </w:tc>
      </w:tr>
      <w:tr w:rsidR="009D33A8" w14:paraId="5A528B8A" w14:textId="77777777">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0" w:space="0" w:color="auto"/>
              <w:bottom w:val="single" w:sz="12" w:space="0" w:color="auto"/>
            </w:tcBorders>
          </w:tcPr>
          <w:p w14:paraId="14BFFF21" w14:textId="77777777" w:rsidR="009D33A8" w:rsidRDefault="009D33A8">
            <w:r w:rsidRPr="00497D82">
              <w:rPr>
                <w:b/>
              </w:rPr>
              <w:t xml:space="preserve">Total payments from advances pursuant to Section 35 (4) of the </w:t>
            </w:r>
            <w:r>
              <w:rPr>
                <w:b/>
                <w:i/>
              </w:rPr>
              <w:t>Financial Management Act 1994</w:t>
            </w:r>
          </w:p>
        </w:tc>
        <w:tc>
          <w:tcPr>
            <w:tcW w:w="907" w:type="dxa"/>
            <w:tcBorders>
              <w:top w:val="single" w:sz="0" w:space="0" w:color="auto"/>
              <w:bottom w:val="single" w:sz="12" w:space="0" w:color="auto"/>
            </w:tcBorders>
          </w:tcPr>
          <w:p w14:paraId="24AB4A6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465 700</w:t>
            </w:r>
          </w:p>
        </w:tc>
      </w:tr>
    </w:tbl>
    <w:p w14:paraId="2BC00E77" w14:textId="77777777" w:rsidR="009D33A8" w:rsidRDefault="009D33A8" w:rsidP="009D33A8"/>
    <w:p w14:paraId="01F7C333" w14:textId="77777777" w:rsidR="009D33A8" w:rsidRPr="00696E9B" w:rsidRDefault="009D33A8" w:rsidP="00696E9B"/>
    <w:p w14:paraId="5A2BD550" w14:textId="77777777" w:rsidR="00696E9B" w:rsidRDefault="00696E9B" w:rsidP="009D33A8">
      <w:pPr>
        <w:pStyle w:val="Heading3"/>
        <w:spacing w:before="0"/>
        <w:sectPr w:rsidR="00696E9B" w:rsidSect="00823C0E">
          <w:type w:val="continuous"/>
          <w:pgSz w:w="11906" w:h="16838" w:code="9"/>
          <w:pgMar w:top="1134" w:right="1134" w:bottom="1134" w:left="1134" w:header="624" w:footer="567" w:gutter="0"/>
          <w:cols w:space="708"/>
          <w:docGrid w:linePitch="360"/>
        </w:sectPr>
      </w:pPr>
    </w:p>
    <w:p w14:paraId="19083872" w14:textId="77777777" w:rsidR="009D33A8" w:rsidRDefault="009D33A8" w:rsidP="009D33A8">
      <w:pPr>
        <w:pStyle w:val="Heading3"/>
        <w:spacing w:before="0"/>
      </w:pPr>
      <w:bookmarkStart w:id="171" w:name="_Toc209479931"/>
      <w:r>
        <w:t>7.2.15</w:t>
      </w:r>
      <w:r>
        <w:tab/>
        <w:t>Government guarantees</w:t>
      </w:r>
      <w:bookmarkEnd w:id="171"/>
    </w:p>
    <w:p w14:paraId="6B6A3ABD" w14:textId="77777777" w:rsidR="009D33A8" w:rsidRDefault="009D33A8" w:rsidP="009D33A8">
      <w:pPr>
        <w:pStyle w:val="Heading4"/>
      </w:pPr>
      <w:r>
        <w:t>Money received, recovered, or paid in respect of any guarantee payments</w:t>
      </w:r>
    </w:p>
    <w:p w14:paraId="655C66E2" w14:textId="77777777" w:rsidR="009D33A8" w:rsidRDefault="009D33A8" w:rsidP="009D33A8">
      <w:r w:rsidRPr="00994D84">
        <w:t>There has been no money received, recovered, or paid during 202</w:t>
      </w:r>
      <w:r>
        <w:t>4</w:t>
      </w:r>
      <w:r w:rsidRPr="00994D84">
        <w:t>-2</w:t>
      </w:r>
      <w:r>
        <w:t>5</w:t>
      </w:r>
      <w:r w:rsidRPr="00994D84">
        <w:t xml:space="preserve"> in respect of any guarantee payments.</w:t>
      </w:r>
      <w:r>
        <w:t xml:space="preserve"> </w:t>
      </w:r>
    </w:p>
    <w:p w14:paraId="24E3E09E" w14:textId="77777777" w:rsidR="009D33A8" w:rsidRDefault="009D33A8" w:rsidP="00696E9B"/>
    <w:p w14:paraId="68740FD4" w14:textId="77777777" w:rsidR="005432CB" w:rsidRPr="00696E9B" w:rsidRDefault="005432CB" w:rsidP="00696E9B"/>
    <w:p w14:paraId="552CD22F" w14:textId="77777777" w:rsidR="009D33A8" w:rsidRDefault="009D33A8" w:rsidP="009D33A8">
      <w:pPr>
        <w:pStyle w:val="Heading3"/>
        <w:spacing w:before="0"/>
      </w:pPr>
      <w:bookmarkStart w:id="172" w:name="_Toc209479932"/>
      <w:r>
        <w:t>7.2.16</w:t>
      </w:r>
      <w:r>
        <w:tab/>
        <w:t xml:space="preserve">Allocations pursuant to Section 28 of the </w:t>
      </w:r>
      <w:r w:rsidRPr="00AC2E69">
        <w:rPr>
          <w:i/>
        </w:rPr>
        <w:t>Financial Management Act 1994</w:t>
      </w:r>
      <w:r>
        <w:t xml:space="preserve"> </w:t>
      </w:r>
      <w:r>
        <w:br/>
        <w:t>for the financial year ended 30 June</w:t>
      </w:r>
      <w:bookmarkEnd w:id="172"/>
    </w:p>
    <w:p w14:paraId="3388252C" w14:textId="77777777" w:rsidR="009D33A8" w:rsidRPr="00391B2E" w:rsidRDefault="009D33A8" w:rsidP="009D33A8">
      <w:pPr>
        <w:rPr>
          <w:i/>
        </w:rPr>
      </w:pPr>
      <w:r>
        <w:t xml:space="preserve">There has been no amounts allocated to departments during the financial year under section 28 – </w:t>
      </w:r>
      <w:r w:rsidRPr="00CD66EF">
        <w:t>Appropriation for borrowing against future appropriations.</w:t>
      </w:r>
      <w:r w:rsidRPr="00391B2E">
        <w:rPr>
          <w:i/>
        </w:rPr>
        <w:t xml:space="preserve"> </w:t>
      </w:r>
    </w:p>
    <w:p w14:paraId="0DB57E36" w14:textId="77777777" w:rsidR="00696E9B" w:rsidRDefault="00696E9B" w:rsidP="009D33A8">
      <w:pPr>
        <w:rPr>
          <w:i/>
        </w:rPr>
      </w:pPr>
    </w:p>
    <w:p w14:paraId="5EA33A39" w14:textId="06B788EE" w:rsidR="00696E9B" w:rsidRDefault="00696E9B" w:rsidP="009D33A8">
      <w:pPr>
        <w:rPr>
          <w:i/>
        </w:rPr>
        <w:sectPr w:rsidR="00696E9B" w:rsidSect="00696E9B">
          <w:type w:val="continuous"/>
          <w:pgSz w:w="11906" w:h="16838" w:code="9"/>
          <w:pgMar w:top="1134" w:right="1134" w:bottom="1134" w:left="1134" w:header="624" w:footer="567" w:gutter="0"/>
          <w:cols w:num="2" w:space="708"/>
          <w:docGrid w:linePitch="360"/>
        </w:sectPr>
      </w:pPr>
      <w:r>
        <w:rPr>
          <w:i/>
        </w:rPr>
        <w:br w:type="column"/>
      </w:r>
    </w:p>
    <w:p w14:paraId="0906E97F" w14:textId="77777777" w:rsidR="009D33A8" w:rsidRDefault="009D33A8" w:rsidP="009D33A8">
      <w:pPr>
        <w:rPr>
          <w:i/>
        </w:rPr>
      </w:pPr>
    </w:p>
    <w:bookmarkEnd w:id="128"/>
    <w:bookmarkEnd w:id="133"/>
    <w:p w14:paraId="69385ED0" w14:textId="77777777" w:rsidR="009D33A8" w:rsidRDefault="009D33A8" w:rsidP="009D33A8">
      <w:pPr>
        <w:rPr>
          <w:i/>
        </w:rPr>
      </w:pPr>
    </w:p>
    <w:p w14:paraId="329A3BD0" w14:textId="77777777" w:rsidR="009D33A8" w:rsidRDefault="009D33A8" w:rsidP="009D33A8">
      <w:pPr>
        <w:keepLines w:val="0"/>
        <w:rPr>
          <w:rFonts w:asciiTheme="majorHAnsi" w:eastAsiaTheme="majorEastAsia" w:hAnsiTheme="majorHAnsi" w:cstheme="majorBidi"/>
          <w:b/>
          <w:caps/>
          <w:sz w:val="27"/>
          <w:szCs w:val="32"/>
        </w:rPr>
      </w:pPr>
      <w:r>
        <w:br w:type="page"/>
      </w:r>
    </w:p>
    <w:p w14:paraId="61F563C4" w14:textId="77777777" w:rsidR="009D33A8" w:rsidRDefault="009D33A8" w:rsidP="009D33A8">
      <w:pPr>
        <w:pStyle w:val="Heading1"/>
      </w:pPr>
      <w:bookmarkStart w:id="173" w:name="_Toc203395029"/>
      <w:bookmarkStart w:id="174" w:name="_Toc209474784"/>
      <w:bookmarkStart w:id="175" w:name="Section8"/>
      <w:r>
        <w:lastRenderedPageBreak/>
        <w:t>8.</w:t>
      </w:r>
      <w:r>
        <w:tab/>
        <w:t>Other disclosures</w:t>
      </w:r>
      <w:bookmarkEnd w:id="173"/>
      <w:bookmarkEnd w:id="174"/>
      <w:r>
        <w:t xml:space="preserve"> </w:t>
      </w:r>
    </w:p>
    <w:p w14:paraId="250A7C5B" w14:textId="77777777" w:rsidR="005432CB" w:rsidRDefault="005432CB" w:rsidP="009D33A8">
      <w:pPr>
        <w:pStyle w:val="Heading3"/>
        <w:sectPr w:rsidR="005432CB" w:rsidSect="004F2221">
          <w:headerReference w:type="even" r:id="rId127"/>
          <w:headerReference w:type="default" r:id="rId128"/>
          <w:type w:val="continuous"/>
          <w:pgSz w:w="11906" w:h="16838" w:code="9"/>
          <w:pgMar w:top="1134" w:right="1134" w:bottom="1134" w:left="1134" w:header="624" w:footer="567" w:gutter="0"/>
          <w:cols w:space="708"/>
          <w:titlePg/>
          <w:docGrid w:linePitch="360"/>
        </w:sectPr>
      </w:pPr>
    </w:p>
    <w:p w14:paraId="1E0141CD" w14:textId="64964A14" w:rsidR="009D33A8" w:rsidRDefault="009D33A8" w:rsidP="009D33A8">
      <w:pPr>
        <w:pStyle w:val="Heading3"/>
      </w:pPr>
      <w:r>
        <w:t>Introduction</w:t>
      </w:r>
    </w:p>
    <w:p w14:paraId="31462905" w14:textId="77777777" w:rsidR="009D33A8" w:rsidRDefault="009D33A8" w:rsidP="009D33A8">
      <w:r>
        <w:t>This section includes several additional disclosures that assist the understanding of this financial report.</w:t>
      </w:r>
    </w:p>
    <w:p w14:paraId="6BA06C98" w14:textId="32ECFF3B" w:rsidR="009D33A8" w:rsidRDefault="005432CB" w:rsidP="009D33A8">
      <w:pPr>
        <w:pStyle w:val="Heading3"/>
      </w:pPr>
      <w:r>
        <w:br w:type="column"/>
      </w:r>
      <w:r w:rsidR="009D33A8">
        <w:t>Structure</w:t>
      </w:r>
    </w:p>
    <w:p w14:paraId="2A1E7B6A" w14:textId="39D73F00" w:rsidR="003A1311" w:rsidRDefault="009D33A8">
      <w:pPr>
        <w:pStyle w:val="TOC9"/>
        <w:rPr>
          <w:rFonts w:eastAsiaTheme="minorEastAsia"/>
          <w:noProof/>
          <w:kern w:val="2"/>
          <w:sz w:val="24"/>
          <w:szCs w:val="24"/>
          <w:lang w:eastAsia="en-AU"/>
          <w14:ligatures w14:val="standardContextual"/>
        </w:rPr>
      </w:pPr>
      <w:r>
        <w:rPr>
          <w:color w:val="2B579A"/>
          <w:shd w:val="clear" w:color="auto" w:fill="E6E6E6"/>
        </w:rPr>
        <w:fldChar w:fldCharType="begin"/>
      </w:r>
      <w:r>
        <w:instrText xml:space="preserve"> TOC \h \z \b Section8 \t "Heading 2,9" </w:instrText>
      </w:r>
      <w:r>
        <w:rPr>
          <w:color w:val="2B579A"/>
          <w:shd w:val="clear" w:color="auto" w:fill="E6E6E6"/>
        </w:rPr>
        <w:fldChar w:fldCharType="separate"/>
      </w:r>
      <w:hyperlink w:anchor="_Toc209481978" w:history="1">
        <w:r w:rsidR="003A1311" w:rsidRPr="0091074A">
          <w:rPr>
            <w:rStyle w:val="Hyperlink"/>
            <w:noProof/>
          </w:rPr>
          <w:t>8.1</w:t>
        </w:r>
        <w:r w:rsidR="003A1311">
          <w:rPr>
            <w:rFonts w:eastAsiaTheme="minorEastAsia"/>
            <w:noProof/>
            <w:kern w:val="2"/>
            <w:sz w:val="24"/>
            <w:szCs w:val="24"/>
            <w:lang w:eastAsia="en-AU"/>
            <w14:ligatures w14:val="standardContextual"/>
          </w:rPr>
          <w:tab/>
        </w:r>
        <w:r w:rsidR="003A1311" w:rsidRPr="0091074A">
          <w:rPr>
            <w:rStyle w:val="Hyperlink"/>
            <w:noProof/>
          </w:rPr>
          <w:t>Disaggregated information</w:t>
        </w:r>
        <w:r w:rsidR="003A1311">
          <w:rPr>
            <w:noProof/>
            <w:webHidden/>
          </w:rPr>
          <w:tab/>
        </w:r>
        <w:r w:rsidR="003A1311">
          <w:rPr>
            <w:noProof/>
            <w:webHidden/>
          </w:rPr>
          <w:fldChar w:fldCharType="begin"/>
        </w:r>
        <w:r w:rsidR="003A1311">
          <w:rPr>
            <w:noProof/>
            <w:webHidden/>
          </w:rPr>
          <w:instrText xml:space="preserve"> PAGEREF _Toc209481978 \h </w:instrText>
        </w:r>
        <w:r w:rsidR="003A1311">
          <w:rPr>
            <w:noProof/>
            <w:webHidden/>
          </w:rPr>
        </w:r>
        <w:r w:rsidR="003A1311">
          <w:rPr>
            <w:noProof/>
            <w:webHidden/>
          </w:rPr>
          <w:fldChar w:fldCharType="separate"/>
        </w:r>
        <w:r w:rsidR="00D352A1">
          <w:rPr>
            <w:noProof/>
            <w:webHidden/>
          </w:rPr>
          <w:t>164</w:t>
        </w:r>
        <w:r w:rsidR="003A1311">
          <w:rPr>
            <w:noProof/>
            <w:webHidden/>
          </w:rPr>
          <w:fldChar w:fldCharType="end"/>
        </w:r>
      </w:hyperlink>
    </w:p>
    <w:p w14:paraId="6E715EC2" w14:textId="293890CF" w:rsidR="003A1311" w:rsidRDefault="003A1311">
      <w:pPr>
        <w:pStyle w:val="TOC9"/>
        <w:rPr>
          <w:rFonts w:eastAsiaTheme="minorEastAsia"/>
          <w:noProof/>
          <w:kern w:val="2"/>
          <w:sz w:val="24"/>
          <w:szCs w:val="24"/>
          <w:lang w:eastAsia="en-AU"/>
          <w14:ligatures w14:val="standardContextual"/>
        </w:rPr>
      </w:pPr>
      <w:hyperlink w:anchor="_Toc209481979" w:history="1">
        <w:r w:rsidRPr="0091074A">
          <w:rPr>
            <w:rStyle w:val="Hyperlink"/>
            <w:noProof/>
          </w:rPr>
          <w:t>8.2</w:t>
        </w:r>
        <w:r>
          <w:rPr>
            <w:rFonts w:eastAsiaTheme="minorEastAsia"/>
            <w:noProof/>
            <w:kern w:val="2"/>
            <w:sz w:val="24"/>
            <w:szCs w:val="24"/>
            <w:lang w:eastAsia="en-AU"/>
            <w14:ligatures w14:val="standardContextual"/>
          </w:rPr>
          <w:tab/>
        </w:r>
        <w:r w:rsidRPr="0091074A">
          <w:rPr>
            <w:rStyle w:val="Hyperlink"/>
            <w:noProof/>
          </w:rPr>
          <w:t>Funds under management</w:t>
        </w:r>
        <w:r>
          <w:rPr>
            <w:noProof/>
            <w:webHidden/>
          </w:rPr>
          <w:tab/>
        </w:r>
        <w:r>
          <w:rPr>
            <w:noProof/>
            <w:webHidden/>
          </w:rPr>
          <w:fldChar w:fldCharType="begin"/>
        </w:r>
        <w:r>
          <w:rPr>
            <w:noProof/>
            <w:webHidden/>
          </w:rPr>
          <w:instrText xml:space="preserve"> PAGEREF _Toc209481979 \h </w:instrText>
        </w:r>
        <w:r>
          <w:rPr>
            <w:noProof/>
            <w:webHidden/>
          </w:rPr>
        </w:r>
        <w:r>
          <w:rPr>
            <w:noProof/>
            <w:webHidden/>
          </w:rPr>
          <w:fldChar w:fldCharType="separate"/>
        </w:r>
        <w:r w:rsidR="00D352A1">
          <w:rPr>
            <w:noProof/>
            <w:webHidden/>
          </w:rPr>
          <w:t>172</w:t>
        </w:r>
        <w:r>
          <w:rPr>
            <w:noProof/>
            <w:webHidden/>
          </w:rPr>
          <w:fldChar w:fldCharType="end"/>
        </w:r>
      </w:hyperlink>
    </w:p>
    <w:p w14:paraId="0E4D1CBC" w14:textId="0998696D" w:rsidR="003A1311" w:rsidRDefault="003A1311">
      <w:pPr>
        <w:pStyle w:val="TOC9"/>
        <w:rPr>
          <w:rFonts w:eastAsiaTheme="minorEastAsia"/>
          <w:noProof/>
          <w:kern w:val="2"/>
          <w:sz w:val="24"/>
          <w:szCs w:val="24"/>
          <w:lang w:eastAsia="en-AU"/>
          <w14:ligatures w14:val="standardContextual"/>
        </w:rPr>
      </w:pPr>
      <w:hyperlink w:anchor="_Toc209481980" w:history="1">
        <w:r w:rsidRPr="0091074A">
          <w:rPr>
            <w:rStyle w:val="Hyperlink"/>
            <w:noProof/>
          </w:rPr>
          <w:t>8.3</w:t>
        </w:r>
        <w:r>
          <w:rPr>
            <w:rFonts w:eastAsiaTheme="minorEastAsia"/>
            <w:noProof/>
            <w:kern w:val="2"/>
            <w:sz w:val="24"/>
            <w:szCs w:val="24"/>
            <w:lang w:eastAsia="en-AU"/>
            <w14:ligatures w14:val="standardContextual"/>
          </w:rPr>
          <w:tab/>
        </w:r>
        <w:r w:rsidRPr="0091074A">
          <w:rPr>
            <w:rStyle w:val="Hyperlink"/>
            <w:noProof/>
          </w:rPr>
          <w:t xml:space="preserve">Other gains/(losses) from other economic </w:t>
        </w:r>
        <w:r>
          <w:rPr>
            <w:rStyle w:val="Hyperlink"/>
            <w:noProof/>
          </w:rPr>
          <w:br/>
        </w:r>
        <w:r w:rsidRPr="0091074A">
          <w:rPr>
            <w:rStyle w:val="Hyperlink"/>
            <w:noProof/>
          </w:rPr>
          <w:t>flows</w:t>
        </w:r>
        <w:r>
          <w:rPr>
            <w:noProof/>
            <w:webHidden/>
          </w:rPr>
          <w:tab/>
        </w:r>
        <w:r>
          <w:rPr>
            <w:noProof/>
            <w:webHidden/>
          </w:rPr>
          <w:fldChar w:fldCharType="begin"/>
        </w:r>
        <w:r>
          <w:rPr>
            <w:noProof/>
            <w:webHidden/>
          </w:rPr>
          <w:instrText xml:space="preserve"> PAGEREF _Toc209481980 \h </w:instrText>
        </w:r>
        <w:r>
          <w:rPr>
            <w:noProof/>
            <w:webHidden/>
          </w:rPr>
        </w:r>
        <w:r>
          <w:rPr>
            <w:noProof/>
            <w:webHidden/>
          </w:rPr>
          <w:fldChar w:fldCharType="separate"/>
        </w:r>
        <w:r w:rsidR="00D352A1">
          <w:rPr>
            <w:noProof/>
            <w:webHidden/>
          </w:rPr>
          <w:t>172</w:t>
        </w:r>
        <w:r>
          <w:rPr>
            <w:noProof/>
            <w:webHidden/>
          </w:rPr>
          <w:fldChar w:fldCharType="end"/>
        </w:r>
      </w:hyperlink>
    </w:p>
    <w:p w14:paraId="3F540D46" w14:textId="2818EC79" w:rsidR="003A1311" w:rsidRDefault="003A1311">
      <w:pPr>
        <w:pStyle w:val="TOC9"/>
        <w:rPr>
          <w:rFonts w:eastAsiaTheme="minorEastAsia"/>
          <w:noProof/>
          <w:kern w:val="2"/>
          <w:sz w:val="24"/>
          <w:szCs w:val="24"/>
          <w:lang w:eastAsia="en-AU"/>
          <w14:ligatures w14:val="standardContextual"/>
        </w:rPr>
      </w:pPr>
      <w:hyperlink w:anchor="_Toc209481981" w:history="1">
        <w:r w:rsidRPr="0091074A">
          <w:rPr>
            <w:rStyle w:val="Hyperlink"/>
            <w:noProof/>
          </w:rPr>
          <w:t>8.4</w:t>
        </w:r>
        <w:r>
          <w:rPr>
            <w:rFonts w:eastAsiaTheme="minorEastAsia"/>
            <w:noProof/>
            <w:kern w:val="2"/>
            <w:sz w:val="24"/>
            <w:szCs w:val="24"/>
            <w:lang w:eastAsia="en-AU"/>
            <w14:ligatures w14:val="standardContextual"/>
          </w:rPr>
          <w:tab/>
        </w:r>
        <w:r w:rsidRPr="0091074A">
          <w:rPr>
            <w:rStyle w:val="Hyperlink"/>
            <w:noProof/>
          </w:rPr>
          <w:t xml:space="preserve">Reconciliation between Government </w:t>
        </w:r>
        <w:r>
          <w:rPr>
            <w:rStyle w:val="Hyperlink"/>
            <w:noProof/>
          </w:rPr>
          <w:br/>
        </w:r>
        <w:r w:rsidRPr="0091074A">
          <w:rPr>
            <w:rStyle w:val="Hyperlink"/>
            <w:noProof/>
          </w:rPr>
          <w:t xml:space="preserve">Finance Statistics and Australian Accounting </w:t>
        </w:r>
        <w:r>
          <w:rPr>
            <w:rStyle w:val="Hyperlink"/>
            <w:noProof/>
          </w:rPr>
          <w:br/>
        </w:r>
        <w:r w:rsidRPr="0091074A">
          <w:rPr>
            <w:rStyle w:val="Hyperlink"/>
            <w:noProof/>
          </w:rPr>
          <w:t>Standards</w:t>
        </w:r>
        <w:r>
          <w:rPr>
            <w:noProof/>
            <w:webHidden/>
          </w:rPr>
          <w:tab/>
        </w:r>
        <w:r>
          <w:rPr>
            <w:noProof/>
            <w:webHidden/>
          </w:rPr>
          <w:fldChar w:fldCharType="begin"/>
        </w:r>
        <w:r>
          <w:rPr>
            <w:noProof/>
            <w:webHidden/>
          </w:rPr>
          <w:instrText xml:space="preserve"> PAGEREF _Toc209481981 \h </w:instrText>
        </w:r>
        <w:r>
          <w:rPr>
            <w:noProof/>
            <w:webHidden/>
          </w:rPr>
        </w:r>
        <w:r>
          <w:rPr>
            <w:noProof/>
            <w:webHidden/>
          </w:rPr>
          <w:fldChar w:fldCharType="separate"/>
        </w:r>
        <w:r w:rsidR="00D352A1">
          <w:rPr>
            <w:noProof/>
            <w:webHidden/>
          </w:rPr>
          <w:t>173</w:t>
        </w:r>
        <w:r>
          <w:rPr>
            <w:noProof/>
            <w:webHidden/>
          </w:rPr>
          <w:fldChar w:fldCharType="end"/>
        </w:r>
      </w:hyperlink>
    </w:p>
    <w:p w14:paraId="168DFA05" w14:textId="03BE2752" w:rsidR="003A1311" w:rsidRDefault="003A1311">
      <w:pPr>
        <w:pStyle w:val="TOC9"/>
        <w:rPr>
          <w:rFonts w:eastAsiaTheme="minorEastAsia"/>
          <w:noProof/>
          <w:kern w:val="2"/>
          <w:sz w:val="24"/>
          <w:szCs w:val="24"/>
          <w:lang w:eastAsia="en-AU"/>
          <w14:ligatures w14:val="standardContextual"/>
        </w:rPr>
      </w:pPr>
      <w:hyperlink w:anchor="_Toc209481982" w:history="1">
        <w:r w:rsidRPr="0091074A">
          <w:rPr>
            <w:rStyle w:val="Hyperlink"/>
            <w:noProof/>
          </w:rPr>
          <w:t>8.5</w:t>
        </w:r>
        <w:r>
          <w:rPr>
            <w:rFonts w:eastAsiaTheme="minorEastAsia"/>
            <w:noProof/>
            <w:kern w:val="2"/>
            <w:sz w:val="24"/>
            <w:szCs w:val="24"/>
            <w:lang w:eastAsia="en-AU"/>
            <w14:ligatures w14:val="standardContextual"/>
          </w:rPr>
          <w:tab/>
        </w:r>
        <w:r w:rsidRPr="0091074A">
          <w:rPr>
            <w:rStyle w:val="Hyperlink"/>
            <w:noProof/>
          </w:rPr>
          <w:t>Related party transactions</w:t>
        </w:r>
        <w:r>
          <w:rPr>
            <w:noProof/>
            <w:webHidden/>
          </w:rPr>
          <w:tab/>
        </w:r>
        <w:r>
          <w:rPr>
            <w:noProof/>
            <w:webHidden/>
          </w:rPr>
          <w:fldChar w:fldCharType="begin"/>
        </w:r>
        <w:r>
          <w:rPr>
            <w:noProof/>
            <w:webHidden/>
          </w:rPr>
          <w:instrText xml:space="preserve"> PAGEREF _Toc209481982 \h </w:instrText>
        </w:r>
        <w:r>
          <w:rPr>
            <w:noProof/>
            <w:webHidden/>
          </w:rPr>
        </w:r>
        <w:r>
          <w:rPr>
            <w:noProof/>
            <w:webHidden/>
          </w:rPr>
          <w:fldChar w:fldCharType="separate"/>
        </w:r>
        <w:r w:rsidR="00D352A1">
          <w:rPr>
            <w:noProof/>
            <w:webHidden/>
          </w:rPr>
          <w:t>176</w:t>
        </w:r>
        <w:r>
          <w:rPr>
            <w:noProof/>
            <w:webHidden/>
          </w:rPr>
          <w:fldChar w:fldCharType="end"/>
        </w:r>
      </w:hyperlink>
    </w:p>
    <w:p w14:paraId="5FBD3F25" w14:textId="15438534" w:rsidR="003A1311" w:rsidRDefault="003A1311">
      <w:pPr>
        <w:pStyle w:val="TOC9"/>
        <w:rPr>
          <w:rFonts w:eastAsiaTheme="minorEastAsia"/>
          <w:noProof/>
          <w:kern w:val="2"/>
          <w:sz w:val="24"/>
          <w:szCs w:val="24"/>
          <w:lang w:eastAsia="en-AU"/>
          <w14:ligatures w14:val="standardContextual"/>
        </w:rPr>
      </w:pPr>
      <w:hyperlink w:anchor="_Toc209481983" w:history="1">
        <w:r w:rsidRPr="0091074A">
          <w:rPr>
            <w:rStyle w:val="Hyperlink"/>
            <w:noProof/>
          </w:rPr>
          <w:t>8.6</w:t>
        </w:r>
        <w:r>
          <w:rPr>
            <w:rFonts w:eastAsiaTheme="minorEastAsia"/>
            <w:noProof/>
            <w:kern w:val="2"/>
            <w:sz w:val="24"/>
            <w:szCs w:val="24"/>
            <w:lang w:eastAsia="en-AU"/>
            <w14:ligatures w14:val="standardContextual"/>
          </w:rPr>
          <w:tab/>
        </w:r>
        <w:r w:rsidRPr="0091074A">
          <w:rPr>
            <w:rStyle w:val="Hyperlink"/>
            <w:noProof/>
          </w:rPr>
          <w:t>Subsequent events</w:t>
        </w:r>
        <w:r>
          <w:rPr>
            <w:noProof/>
            <w:webHidden/>
          </w:rPr>
          <w:tab/>
        </w:r>
        <w:r>
          <w:rPr>
            <w:noProof/>
            <w:webHidden/>
          </w:rPr>
          <w:fldChar w:fldCharType="begin"/>
        </w:r>
        <w:r>
          <w:rPr>
            <w:noProof/>
            <w:webHidden/>
          </w:rPr>
          <w:instrText xml:space="preserve"> PAGEREF _Toc209481983 \h </w:instrText>
        </w:r>
        <w:r>
          <w:rPr>
            <w:noProof/>
            <w:webHidden/>
          </w:rPr>
        </w:r>
        <w:r>
          <w:rPr>
            <w:noProof/>
            <w:webHidden/>
          </w:rPr>
          <w:fldChar w:fldCharType="separate"/>
        </w:r>
        <w:r w:rsidR="00D352A1">
          <w:rPr>
            <w:noProof/>
            <w:webHidden/>
          </w:rPr>
          <w:t>177</w:t>
        </w:r>
        <w:r>
          <w:rPr>
            <w:noProof/>
            <w:webHidden/>
          </w:rPr>
          <w:fldChar w:fldCharType="end"/>
        </w:r>
      </w:hyperlink>
    </w:p>
    <w:p w14:paraId="7A2C6A85" w14:textId="466EAD0A" w:rsidR="003A1311" w:rsidRDefault="003A1311">
      <w:pPr>
        <w:pStyle w:val="TOC9"/>
        <w:rPr>
          <w:rFonts w:eastAsiaTheme="minorEastAsia"/>
          <w:noProof/>
          <w:kern w:val="2"/>
          <w:sz w:val="24"/>
          <w:szCs w:val="24"/>
          <w:lang w:eastAsia="en-AU"/>
          <w14:ligatures w14:val="standardContextual"/>
        </w:rPr>
      </w:pPr>
      <w:hyperlink w:anchor="_Toc209481984" w:history="1">
        <w:r w:rsidRPr="0091074A">
          <w:rPr>
            <w:rStyle w:val="Hyperlink"/>
            <w:noProof/>
          </w:rPr>
          <w:t>8.7</w:t>
        </w:r>
        <w:r>
          <w:rPr>
            <w:rFonts w:eastAsiaTheme="minorEastAsia"/>
            <w:noProof/>
            <w:kern w:val="2"/>
            <w:sz w:val="24"/>
            <w:szCs w:val="24"/>
            <w:lang w:eastAsia="en-AU"/>
            <w14:ligatures w14:val="standardContextual"/>
          </w:rPr>
          <w:tab/>
        </w:r>
        <w:r w:rsidRPr="0091074A">
          <w:rPr>
            <w:rStyle w:val="Hyperlink"/>
            <w:noProof/>
          </w:rPr>
          <w:t>Other accounting policies</w:t>
        </w:r>
        <w:r>
          <w:rPr>
            <w:noProof/>
            <w:webHidden/>
          </w:rPr>
          <w:tab/>
        </w:r>
        <w:r>
          <w:rPr>
            <w:noProof/>
            <w:webHidden/>
          </w:rPr>
          <w:fldChar w:fldCharType="begin"/>
        </w:r>
        <w:r>
          <w:rPr>
            <w:noProof/>
            <w:webHidden/>
          </w:rPr>
          <w:instrText xml:space="preserve"> PAGEREF _Toc209481984 \h </w:instrText>
        </w:r>
        <w:r>
          <w:rPr>
            <w:noProof/>
            <w:webHidden/>
          </w:rPr>
        </w:r>
        <w:r>
          <w:rPr>
            <w:noProof/>
            <w:webHidden/>
          </w:rPr>
          <w:fldChar w:fldCharType="separate"/>
        </w:r>
        <w:r w:rsidR="00D352A1">
          <w:rPr>
            <w:noProof/>
            <w:webHidden/>
          </w:rPr>
          <w:t>178</w:t>
        </w:r>
        <w:r>
          <w:rPr>
            <w:noProof/>
            <w:webHidden/>
          </w:rPr>
          <w:fldChar w:fldCharType="end"/>
        </w:r>
      </w:hyperlink>
    </w:p>
    <w:p w14:paraId="14FF68BB" w14:textId="25F0A038" w:rsidR="003A1311" w:rsidRDefault="003A1311">
      <w:pPr>
        <w:pStyle w:val="TOC9"/>
        <w:rPr>
          <w:rFonts w:eastAsiaTheme="minorEastAsia"/>
          <w:noProof/>
          <w:kern w:val="2"/>
          <w:sz w:val="24"/>
          <w:szCs w:val="24"/>
          <w:lang w:eastAsia="en-AU"/>
          <w14:ligatures w14:val="standardContextual"/>
        </w:rPr>
      </w:pPr>
      <w:hyperlink w:anchor="_Toc209481985" w:history="1">
        <w:r w:rsidRPr="0091074A">
          <w:rPr>
            <w:rStyle w:val="Hyperlink"/>
            <w:noProof/>
          </w:rPr>
          <w:t>8.8</w:t>
        </w:r>
        <w:r>
          <w:rPr>
            <w:rFonts w:eastAsiaTheme="minorEastAsia"/>
            <w:noProof/>
            <w:kern w:val="2"/>
            <w:sz w:val="24"/>
            <w:szCs w:val="24"/>
            <w:lang w:eastAsia="en-AU"/>
            <w14:ligatures w14:val="standardContextual"/>
          </w:rPr>
          <w:tab/>
        </w:r>
        <w:r w:rsidRPr="0091074A">
          <w:rPr>
            <w:rStyle w:val="Hyperlink"/>
            <w:noProof/>
          </w:rPr>
          <w:t>Controlled entities</w:t>
        </w:r>
        <w:r>
          <w:rPr>
            <w:noProof/>
            <w:webHidden/>
          </w:rPr>
          <w:tab/>
        </w:r>
        <w:r>
          <w:rPr>
            <w:noProof/>
            <w:webHidden/>
          </w:rPr>
          <w:fldChar w:fldCharType="begin"/>
        </w:r>
        <w:r>
          <w:rPr>
            <w:noProof/>
            <w:webHidden/>
          </w:rPr>
          <w:instrText xml:space="preserve"> PAGEREF _Toc209481985 \h </w:instrText>
        </w:r>
        <w:r>
          <w:rPr>
            <w:noProof/>
            <w:webHidden/>
          </w:rPr>
        </w:r>
        <w:r>
          <w:rPr>
            <w:noProof/>
            <w:webHidden/>
          </w:rPr>
          <w:fldChar w:fldCharType="separate"/>
        </w:r>
        <w:r w:rsidR="00D352A1">
          <w:rPr>
            <w:noProof/>
            <w:webHidden/>
          </w:rPr>
          <w:t>179</w:t>
        </w:r>
        <w:r>
          <w:rPr>
            <w:noProof/>
            <w:webHidden/>
          </w:rPr>
          <w:fldChar w:fldCharType="end"/>
        </w:r>
      </w:hyperlink>
    </w:p>
    <w:p w14:paraId="25617D84" w14:textId="64167BE8" w:rsidR="003A1311" w:rsidRDefault="003A1311">
      <w:pPr>
        <w:pStyle w:val="TOC9"/>
        <w:rPr>
          <w:rFonts w:eastAsiaTheme="minorEastAsia"/>
          <w:noProof/>
          <w:kern w:val="2"/>
          <w:sz w:val="24"/>
          <w:szCs w:val="24"/>
          <w:lang w:eastAsia="en-AU"/>
          <w14:ligatures w14:val="standardContextual"/>
        </w:rPr>
      </w:pPr>
      <w:hyperlink w:anchor="_Toc209481986" w:history="1">
        <w:r w:rsidRPr="0091074A">
          <w:rPr>
            <w:rStyle w:val="Hyperlink"/>
            <w:noProof/>
          </w:rPr>
          <w:t>8.9</w:t>
        </w:r>
        <w:r>
          <w:rPr>
            <w:rFonts w:eastAsiaTheme="minorEastAsia"/>
            <w:noProof/>
            <w:kern w:val="2"/>
            <w:sz w:val="24"/>
            <w:szCs w:val="24"/>
            <w:lang w:eastAsia="en-AU"/>
            <w14:ligatures w14:val="standardContextual"/>
          </w:rPr>
          <w:tab/>
        </w:r>
        <w:r w:rsidRPr="0091074A">
          <w:rPr>
            <w:rStyle w:val="Hyperlink"/>
            <w:noProof/>
          </w:rPr>
          <w:t>Glossary of technical terms</w:t>
        </w:r>
        <w:r>
          <w:rPr>
            <w:noProof/>
            <w:webHidden/>
          </w:rPr>
          <w:tab/>
        </w:r>
        <w:r>
          <w:rPr>
            <w:noProof/>
            <w:webHidden/>
          </w:rPr>
          <w:fldChar w:fldCharType="begin"/>
        </w:r>
        <w:r>
          <w:rPr>
            <w:noProof/>
            <w:webHidden/>
          </w:rPr>
          <w:instrText xml:space="preserve"> PAGEREF _Toc209481986 \h </w:instrText>
        </w:r>
        <w:r>
          <w:rPr>
            <w:noProof/>
            <w:webHidden/>
          </w:rPr>
        </w:r>
        <w:r>
          <w:rPr>
            <w:noProof/>
            <w:webHidden/>
          </w:rPr>
          <w:fldChar w:fldCharType="separate"/>
        </w:r>
        <w:r w:rsidR="00D352A1">
          <w:rPr>
            <w:noProof/>
            <w:webHidden/>
          </w:rPr>
          <w:t>182</w:t>
        </w:r>
        <w:r>
          <w:rPr>
            <w:noProof/>
            <w:webHidden/>
          </w:rPr>
          <w:fldChar w:fldCharType="end"/>
        </w:r>
      </w:hyperlink>
    </w:p>
    <w:p w14:paraId="1E51750B" w14:textId="2818F18B" w:rsidR="005432CB" w:rsidRDefault="009D33A8" w:rsidP="009D33A8">
      <w:pPr>
        <w:rPr>
          <w:color w:val="2B579A"/>
          <w:shd w:val="clear" w:color="auto" w:fill="E6E6E6"/>
        </w:rPr>
        <w:sectPr w:rsidR="005432CB" w:rsidSect="005432CB">
          <w:type w:val="continuous"/>
          <w:pgSz w:w="11906" w:h="16838" w:code="9"/>
          <w:pgMar w:top="1134" w:right="1134" w:bottom="1134" w:left="1134" w:header="624" w:footer="567" w:gutter="0"/>
          <w:cols w:num="2" w:space="708"/>
          <w:docGrid w:linePitch="360"/>
        </w:sectPr>
      </w:pPr>
      <w:r>
        <w:rPr>
          <w:color w:val="2B579A"/>
          <w:shd w:val="clear" w:color="auto" w:fill="E6E6E6"/>
        </w:rPr>
        <w:fldChar w:fldCharType="end"/>
      </w:r>
    </w:p>
    <w:p w14:paraId="13BEFE36" w14:textId="77777777" w:rsidR="009D33A8" w:rsidRDefault="009D33A8" w:rsidP="009D33A8"/>
    <w:p w14:paraId="212B2181" w14:textId="77777777" w:rsidR="009D33A8" w:rsidRDefault="009D33A8" w:rsidP="009D33A8">
      <w:pPr>
        <w:keepLines w:val="0"/>
        <w:rPr>
          <w:rFonts w:asciiTheme="majorHAnsi" w:eastAsiaTheme="majorEastAsia" w:hAnsiTheme="majorHAnsi" w:cstheme="majorBidi"/>
          <w:b/>
          <w:sz w:val="27"/>
          <w:szCs w:val="26"/>
        </w:rPr>
      </w:pPr>
      <w:r>
        <w:br w:type="page"/>
      </w:r>
    </w:p>
    <w:p w14:paraId="0EB11B12" w14:textId="77777777" w:rsidR="009D33A8" w:rsidRDefault="009D33A8" w:rsidP="009D33A8">
      <w:pPr>
        <w:pStyle w:val="Heading2"/>
        <w:spacing w:before="0"/>
      </w:pPr>
      <w:bookmarkStart w:id="176" w:name="_Toc209481978"/>
      <w:r>
        <w:lastRenderedPageBreak/>
        <w:t>8.1</w:t>
      </w:r>
      <w:r>
        <w:tab/>
        <w:t>Disaggregated information</w:t>
      </w:r>
      <w:bookmarkEnd w:id="176"/>
    </w:p>
    <w:p w14:paraId="3B6846C6" w14:textId="77777777" w:rsidR="009D33A8" w:rsidRDefault="009D33A8" w:rsidP="009D33A8">
      <w:pPr>
        <w:pStyle w:val="TableHeading"/>
      </w:pPr>
      <w:r>
        <w:t>Disaggregated operating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Disaggregated_OS|TableGroup:Investment in other sectors"/>
      </w:tblPr>
      <w:tblGrid>
        <w:gridCol w:w="5529"/>
        <w:gridCol w:w="1027"/>
        <w:gridCol w:w="1027"/>
        <w:gridCol w:w="1027"/>
        <w:gridCol w:w="1028"/>
      </w:tblGrid>
      <w:tr w:rsidR="005E614D" w14:paraId="1AB82A39"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25D6A16" w14:textId="77777777" w:rsidR="005E614D" w:rsidRDefault="005E614D">
            <w:pPr>
              <w:keepNext/>
            </w:pPr>
          </w:p>
        </w:tc>
        <w:tc>
          <w:tcPr>
            <w:tcW w:w="2054" w:type="dxa"/>
            <w:gridSpan w:val="2"/>
          </w:tcPr>
          <w:p w14:paraId="14BBA7C2"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2055" w:type="dxa"/>
            <w:gridSpan w:val="2"/>
          </w:tcPr>
          <w:p w14:paraId="7E1F882D"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5E614D" w14:paraId="595B2395"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26389A8F" w14:textId="77777777" w:rsidR="005E614D" w:rsidRDefault="005E614D">
            <w:pPr>
              <w:keepNext/>
            </w:pPr>
          </w:p>
        </w:tc>
        <w:tc>
          <w:tcPr>
            <w:tcW w:w="1027" w:type="dxa"/>
          </w:tcPr>
          <w:p w14:paraId="648E2F39"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1027" w:type="dxa"/>
          </w:tcPr>
          <w:p w14:paraId="3DB67E4A"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c>
          <w:tcPr>
            <w:tcW w:w="1027" w:type="dxa"/>
          </w:tcPr>
          <w:p w14:paraId="1D17BBE5"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1028" w:type="dxa"/>
          </w:tcPr>
          <w:p w14:paraId="328FFFF5"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r>
      <w:tr w:rsidR="005E614D" w14:paraId="3A7BB6D3" w14:textId="77777777">
        <w:tc>
          <w:tcPr>
            <w:cnfStyle w:val="001000000000" w:firstRow="0" w:lastRow="0" w:firstColumn="1" w:lastColumn="0" w:oddVBand="0" w:evenVBand="0" w:oddHBand="0" w:evenHBand="0" w:firstRowFirstColumn="0" w:firstRowLastColumn="0" w:lastRowFirstColumn="0" w:lastRowLastColumn="0"/>
            <w:tcW w:w="5529" w:type="dxa"/>
          </w:tcPr>
          <w:p w14:paraId="1870F335" w14:textId="77777777" w:rsidR="005E614D" w:rsidRDefault="000C3A94">
            <w:r>
              <w:rPr>
                <w:b/>
              </w:rPr>
              <w:t>Revenue and income from transactions</w:t>
            </w:r>
          </w:p>
        </w:tc>
        <w:tc>
          <w:tcPr>
            <w:tcW w:w="1027" w:type="dxa"/>
          </w:tcPr>
          <w:p w14:paraId="402EF73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64CE02D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4E4EFAF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46FEDD4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B5CAD7A" w14:textId="77777777">
        <w:tc>
          <w:tcPr>
            <w:cnfStyle w:val="001000000000" w:firstRow="0" w:lastRow="0" w:firstColumn="1" w:lastColumn="0" w:oddVBand="0" w:evenVBand="0" w:oddHBand="0" w:evenHBand="0" w:firstRowFirstColumn="0" w:firstRowLastColumn="0" w:lastRowFirstColumn="0" w:lastRowLastColumn="0"/>
            <w:tcW w:w="5529" w:type="dxa"/>
          </w:tcPr>
          <w:p w14:paraId="372181D0" w14:textId="77777777" w:rsidR="005E614D" w:rsidRDefault="000C3A94">
            <w:r>
              <w:t>Taxation</w:t>
            </w:r>
          </w:p>
        </w:tc>
        <w:tc>
          <w:tcPr>
            <w:tcW w:w="1027" w:type="dxa"/>
          </w:tcPr>
          <w:p w14:paraId="1B7DD524" w14:textId="77777777" w:rsidR="005E614D" w:rsidRDefault="000C3A94">
            <w:pPr>
              <w:cnfStyle w:val="000000000000" w:firstRow="0" w:lastRow="0" w:firstColumn="0" w:lastColumn="0" w:oddVBand="0" w:evenVBand="0" w:oddHBand="0" w:evenHBand="0" w:firstRowFirstColumn="0" w:firstRowLastColumn="0" w:lastRowFirstColumn="0" w:lastRowLastColumn="0"/>
            </w:pPr>
            <w:r>
              <w:t>38 942</w:t>
            </w:r>
          </w:p>
        </w:tc>
        <w:tc>
          <w:tcPr>
            <w:tcW w:w="1027" w:type="dxa"/>
          </w:tcPr>
          <w:p w14:paraId="456691FB" w14:textId="77777777" w:rsidR="005E614D" w:rsidRDefault="000C3A94">
            <w:pPr>
              <w:cnfStyle w:val="000000000000" w:firstRow="0" w:lastRow="0" w:firstColumn="0" w:lastColumn="0" w:oddVBand="0" w:evenVBand="0" w:oddHBand="0" w:evenHBand="0" w:firstRowFirstColumn="0" w:firstRowLastColumn="0" w:lastRowFirstColumn="0" w:lastRowLastColumn="0"/>
            </w:pPr>
            <w:r>
              <w:t>36 876</w:t>
            </w:r>
          </w:p>
        </w:tc>
        <w:tc>
          <w:tcPr>
            <w:tcW w:w="1027" w:type="dxa"/>
          </w:tcPr>
          <w:p w14:paraId="0AFB241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FA4ABB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14D46200" w14:textId="77777777">
        <w:tc>
          <w:tcPr>
            <w:cnfStyle w:val="001000000000" w:firstRow="0" w:lastRow="0" w:firstColumn="1" w:lastColumn="0" w:oddVBand="0" w:evenVBand="0" w:oddHBand="0" w:evenHBand="0" w:firstRowFirstColumn="0" w:firstRowLastColumn="0" w:lastRowFirstColumn="0" w:lastRowLastColumn="0"/>
            <w:tcW w:w="5529" w:type="dxa"/>
          </w:tcPr>
          <w:p w14:paraId="3D77EFEC" w14:textId="77777777" w:rsidR="005E614D" w:rsidRDefault="000C3A94">
            <w:r>
              <w:t>Interest income</w:t>
            </w:r>
          </w:p>
        </w:tc>
        <w:tc>
          <w:tcPr>
            <w:tcW w:w="1027" w:type="dxa"/>
          </w:tcPr>
          <w:p w14:paraId="3D3BF8F7" w14:textId="77777777" w:rsidR="005E614D" w:rsidRDefault="000C3A94">
            <w:pPr>
              <w:cnfStyle w:val="000000000000" w:firstRow="0" w:lastRow="0" w:firstColumn="0" w:lastColumn="0" w:oddVBand="0" w:evenVBand="0" w:oddHBand="0" w:evenHBand="0" w:firstRowFirstColumn="0" w:firstRowLastColumn="0" w:lastRowFirstColumn="0" w:lastRowLastColumn="0"/>
            </w:pPr>
            <w:r>
              <w:t>1 546</w:t>
            </w:r>
          </w:p>
        </w:tc>
        <w:tc>
          <w:tcPr>
            <w:tcW w:w="1027" w:type="dxa"/>
          </w:tcPr>
          <w:p w14:paraId="40CAF977" w14:textId="77777777" w:rsidR="005E614D" w:rsidRDefault="000C3A94">
            <w:pPr>
              <w:cnfStyle w:val="000000000000" w:firstRow="0" w:lastRow="0" w:firstColumn="0" w:lastColumn="0" w:oddVBand="0" w:evenVBand="0" w:oddHBand="0" w:evenHBand="0" w:firstRowFirstColumn="0" w:firstRowLastColumn="0" w:lastRowFirstColumn="0" w:lastRowLastColumn="0"/>
            </w:pPr>
            <w:r>
              <w:t>1 761</w:t>
            </w:r>
          </w:p>
        </w:tc>
        <w:tc>
          <w:tcPr>
            <w:tcW w:w="1027" w:type="dxa"/>
          </w:tcPr>
          <w:p w14:paraId="45D12CFC" w14:textId="77777777" w:rsidR="005E614D" w:rsidRDefault="000C3A94">
            <w:pPr>
              <w:cnfStyle w:val="000000000000" w:firstRow="0" w:lastRow="0" w:firstColumn="0" w:lastColumn="0" w:oddVBand="0" w:evenVBand="0" w:oddHBand="0" w:evenHBand="0" w:firstRowFirstColumn="0" w:firstRowLastColumn="0" w:lastRowFirstColumn="0" w:lastRowLastColumn="0"/>
            </w:pPr>
            <w:r>
              <w:t>140</w:t>
            </w:r>
          </w:p>
        </w:tc>
        <w:tc>
          <w:tcPr>
            <w:tcW w:w="1028" w:type="dxa"/>
          </w:tcPr>
          <w:p w14:paraId="04B7A8D3" w14:textId="77777777" w:rsidR="005E614D" w:rsidRDefault="000C3A94">
            <w:pPr>
              <w:cnfStyle w:val="000000000000" w:firstRow="0" w:lastRow="0" w:firstColumn="0" w:lastColumn="0" w:oddVBand="0" w:evenVBand="0" w:oddHBand="0" w:evenHBand="0" w:firstRowFirstColumn="0" w:firstRowLastColumn="0" w:lastRowFirstColumn="0" w:lastRowLastColumn="0"/>
            </w:pPr>
            <w:r>
              <w:t>120</w:t>
            </w:r>
          </w:p>
        </w:tc>
      </w:tr>
      <w:tr w:rsidR="005E614D" w14:paraId="587275AF" w14:textId="77777777">
        <w:tc>
          <w:tcPr>
            <w:cnfStyle w:val="001000000000" w:firstRow="0" w:lastRow="0" w:firstColumn="1" w:lastColumn="0" w:oddVBand="0" w:evenVBand="0" w:oddHBand="0" w:evenHBand="0" w:firstRowFirstColumn="0" w:firstRowLastColumn="0" w:lastRowFirstColumn="0" w:lastRowLastColumn="0"/>
            <w:tcW w:w="5529" w:type="dxa"/>
          </w:tcPr>
          <w:p w14:paraId="32C04815" w14:textId="77777777" w:rsidR="005E614D" w:rsidRDefault="000C3A94">
            <w:r>
              <w:t>Dividends and income tax equivalent income</w:t>
            </w:r>
          </w:p>
        </w:tc>
        <w:tc>
          <w:tcPr>
            <w:tcW w:w="1027" w:type="dxa"/>
          </w:tcPr>
          <w:p w14:paraId="159A1C4E" w14:textId="77777777" w:rsidR="005E614D" w:rsidRDefault="000C3A94">
            <w:pPr>
              <w:cnfStyle w:val="000000000000" w:firstRow="0" w:lastRow="0" w:firstColumn="0" w:lastColumn="0" w:oddVBand="0" w:evenVBand="0" w:oddHBand="0" w:evenHBand="0" w:firstRowFirstColumn="0" w:firstRowLastColumn="0" w:lastRowFirstColumn="0" w:lastRowLastColumn="0"/>
            </w:pPr>
            <w:r>
              <w:t>2 284</w:t>
            </w:r>
          </w:p>
        </w:tc>
        <w:tc>
          <w:tcPr>
            <w:tcW w:w="1027" w:type="dxa"/>
          </w:tcPr>
          <w:p w14:paraId="543CAB89" w14:textId="77777777" w:rsidR="005E614D" w:rsidRDefault="000C3A94">
            <w:pPr>
              <w:cnfStyle w:val="000000000000" w:firstRow="0" w:lastRow="0" w:firstColumn="0" w:lastColumn="0" w:oddVBand="0" w:evenVBand="0" w:oddHBand="0" w:evenHBand="0" w:firstRowFirstColumn="0" w:firstRowLastColumn="0" w:lastRowFirstColumn="0" w:lastRowLastColumn="0"/>
            </w:pPr>
            <w:r>
              <w:t>2 199</w:t>
            </w:r>
          </w:p>
        </w:tc>
        <w:tc>
          <w:tcPr>
            <w:tcW w:w="1027" w:type="dxa"/>
          </w:tcPr>
          <w:p w14:paraId="368D8062" w14:textId="77777777" w:rsidR="005E614D" w:rsidRDefault="000C3A94">
            <w:pPr>
              <w:cnfStyle w:val="000000000000" w:firstRow="0" w:lastRow="0" w:firstColumn="0" w:lastColumn="0" w:oddVBand="0" w:evenVBand="0" w:oddHBand="0" w:evenHBand="0" w:firstRowFirstColumn="0" w:firstRowLastColumn="0" w:lastRowFirstColumn="0" w:lastRowLastColumn="0"/>
            </w:pPr>
            <w:r>
              <w:t>29</w:t>
            </w:r>
          </w:p>
        </w:tc>
        <w:tc>
          <w:tcPr>
            <w:tcW w:w="1028" w:type="dxa"/>
          </w:tcPr>
          <w:p w14:paraId="6D8312BB" w14:textId="77777777" w:rsidR="005E614D" w:rsidRDefault="000C3A94">
            <w:pPr>
              <w:cnfStyle w:val="000000000000" w:firstRow="0" w:lastRow="0" w:firstColumn="0" w:lastColumn="0" w:oddVBand="0" w:evenVBand="0" w:oddHBand="0" w:evenHBand="0" w:firstRowFirstColumn="0" w:firstRowLastColumn="0" w:lastRowFirstColumn="0" w:lastRowLastColumn="0"/>
            </w:pPr>
            <w:r>
              <w:t>46</w:t>
            </w:r>
          </w:p>
        </w:tc>
      </w:tr>
      <w:tr w:rsidR="005E614D" w14:paraId="037E1AF5" w14:textId="77777777">
        <w:tc>
          <w:tcPr>
            <w:cnfStyle w:val="001000000000" w:firstRow="0" w:lastRow="0" w:firstColumn="1" w:lastColumn="0" w:oddVBand="0" w:evenVBand="0" w:oddHBand="0" w:evenHBand="0" w:firstRowFirstColumn="0" w:firstRowLastColumn="0" w:lastRowFirstColumn="0" w:lastRowLastColumn="0"/>
            <w:tcW w:w="5529" w:type="dxa"/>
          </w:tcPr>
          <w:p w14:paraId="3A19AE30" w14:textId="77777777" w:rsidR="005E614D" w:rsidRDefault="000C3A94">
            <w:r>
              <w:t>Sales of goods and services</w:t>
            </w:r>
          </w:p>
        </w:tc>
        <w:tc>
          <w:tcPr>
            <w:tcW w:w="1027" w:type="dxa"/>
          </w:tcPr>
          <w:p w14:paraId="063C4BB2" w14:textId="77777777" w:rsidR="005E614D" w:rsidRDefault="000C3A94">
            <w:pPr>
              <w:cnfStyle w:val="000000000000" w:firstRow="0" w:lastRow="0" w:firstColumn="0" w:lastColumn="0" w:oddVBand="0" w:evenVBand="0" w:oddHBand="0" w:evenHBand="0" w:firstRowFirstColumn="0" w:firstRowLastColumn="0" w:lastRowFirstColumn="0" w:lastRowLastColumn="0"/>
            </w:pPr>
            <w:r>
              <w:t>6 893</w:t>
            </w:r>
          </w:p>
        </w:tc>
        <w:tc>
          <w:tcPr>
            <w:tcW w:w="1027" w:type="dxa"/>
          </w:tcPr>
          <w:p w14:paraId="5230A07D" w14:textId="77777777" w:rsidR="005E614D" w:rsidRDefault="000C3A94">
            <w:pPr>
              <w:cnfStyle w:val="000000000000" w:firstRow="0" w:lastRow="0" w:firstColumn="0" w:lastColumn="0" w:oddVBand="0" w:evenVBand="0" w:oddHBand="0" w:evenHBand="0" w:firstRowFirstColumn="0" w:firstRowLastColumn="0" w:lastRowFirstColumn="0" w:lastRowLastColumn="0"/>
            </w:pPr>
            <w:r>
              <w:t>6 212</w:t>
            </w:r>
          </w:p>
        </w:tc>
        <w:tc>
          <w:tcPr>
            <w:tcW w:w="1027" w:type="dxa"/>
          </w:tcPr>
          <w:p w14:paraId="2E89B76C" w14:textId="77777777" w:rsidR="005E614D" w:rsidRDefault="000C3A94">
            <w:pPr>
              <w:cnfStyle w:val="000000000000" w:firstRow="0" w:lastRow="0" w:firstColumn="0" w:lastColumn="0" w:oddVBand="0" w:evenVBand="0" w:oddHBand="0" w:evenHBand="0" w:firstRowFirstColumn="0" w:firstRowLastColumn="0" w:lastRowFirstColumn="0" w:lastRowLastColumn="0"/>
            </w:pPr>
            <w:r>
              <w:t>8 093</w:t>
            </w:r>
          </w:p>
        </w:tc>
        <w:tc>
          <w:tcPr>
            <w:tcW w:w="1028" w:type="dxa"/>
          </w:tcPr>
          <w:p w14:paraId="744E862B" w14:textId="77777777" w:rsidR="005E614D" w:rsidRDefault="000C3A94">
            <w:pPr>
              <w:cnfStyle w:val="000000000000" w:firstRow="0" w:lastRow="0" w:firstColumn="0" w:lastColumn="0" w:oddVBand="0" w:evenVBand="0" w:oddHBand="0" w:evenHBand="0" w:firstRowFirstColumn="0" w:firstRowLastColumn="0" w:lastRowFirstColumn="0" w:lastRowLastColumn="0"/>
            </w:pPr>
            <w:r>
              <w:t>7 584</w:t>
            </w:r>
          </w:p>
        </w:tc>
      </w:tr>
      <w:tr w:rsidR="005E614D" w14:paraId="7A264F9F" w14:textId="77777777">
        <w:tc>
          <w:tcPr>
            <w:cnfStyle w:val="001000000000" w:firstRow="0" w:lastRow="0" w:firstColumn="1" w:lastColumn="0" w:oddVBand="0" w:evenVBand="0" w:oddHBand="0" w:evenHBand="0" w:firstRowFirstColumn="0" w:firstRowLastColumn="0" w:lastRowFirstColumn="0" w:lastRowLastColumn="0"/>
            <w:tcW w:w="5529" w:type="dxa"/>
          </w:tcPr>
          <w:p w14:paraId="17DCDBE2" w14:textId="77777777" w:rsidR="005E614D" w:rsidRDefault="000C3A94">
            <w:r>
              <w:t>Grants</w:t>
            </w:r>
          </w:p>
        </w:tc>
        <w:tc>
          <w:tcPr>
            <w:tcW w:w="1027" w:type="dxa"/>
          </w:tcPr>
          <w:p w14:paraId="0EEC2D65" w14:textId="77777777" w:rsidR="005E614D" w:rsidRDefault="000C3A94">
            <w:pPr>
              <w:cnfStyle w:val="000000000000" w:firstRow="0" w:lastRow="0" w:firstColumn="0" w:lastColumn="0" w:oddVBand="0" w:evenVBand="0" w:oddHBand="0" w:evenHBand="0" w:firstRowFirstColumn="0" w:firstRowLastColumn="0" w:lastRowFirstColumn="0" w:lastRowLastColumn="0"/>
            </w:pPr>
            <w:r>
              <w:t>47 304</w:t>
            </w:r>
          </w:p>
        </w:tc>
        <w:tc>
          <w:tcPr>
            <w:tcW w:w="1027" w:type="dxa"/>
          </w:tcPr>
          <w:p w14:paraId="15962953" w14:textId="77777777" w:rsidR="005E614D" w:rsidRDefault="000C3A94">
            <w:pPr>
              <w:cnfStyle w:val="000000000000" w:firstRow="0" w:lastRow="0" w:firstColumn="0" w:lastColumn="0" w:oddVBand="0" w:evenVBand="0" w:oddHBand="0" w:evenHBand="0" w:firstRowFirstColumn="0" w:firstRowLastColumn="0" w:lastRowFirstColumn="0" w:lastRowLastColumn="0"/>
            </w:pPr>
            <w:r>
              <w:t>41 797</w:t>
            </w:r>
          </w:p>
        </w:tc>
        <w:tc>
          <w:tcPr>
            <w:tcW w:w="1027" w:type="dxa"/>
          </w:tcPr>
          <w:p w14:paraId="3CBC2062" w14:textId="77777777" w:rsidR="005E614D" w:rsidRDefault="000C3A94">
            <w:pPr>
              <w:cnfStyle w:val="000000000000" w:firstRow="0" w:lastRow="0" w:firstColumn="0" w:lastColumn="0" w:oddVBand="0" w:evenVBand="0" w:oddHBand="0" w:evenHBand="0" w:firstRowFirstColumn="0" w:firstRowLastColumn="0" w:lastRowFirstColumn="0" w:lastRowLastColumn="0"/>
            </w:pPr>
            <w:r>
              <w:t>2 597</w:t>
            </w:r>
          </w:p>
        </w:tc>
        <w:tc>
          <w:tcPr>
            <w:tcW w:w="1028" w:type="dxa"/>
          </w:tcPr>
          <w:p w14:paraId="1833112B" w14:textId="77777777" w:rsidR="005E614D" w:rsidRDefault="000C3A94">
            <w:pPr>
              <w:cnfStyle w:val="000000000000" w:firstRow="0" w:lastRow="0" w:firstColumn="0" w:lastColumn="0" w:oddVBand="0" w:evenVBand="0" w:oddHBand="0" w:evenHBand="0" w:firstRowFirstColumn="0" w:firstRowLastColumn="0" w:lastRowFirstColumn="0" w:lastRowLastColumn="0"/>
            </w:pPr>
            <w:r>
              <w:t>2 495</w:t>
            </w:r>
          </w:p>
        </w:tc>
      </w:tr>
      <w:tr w:rsidR="005E614D" w14:paraId="78366F1B"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2AC97F06" w14:textId="77777777" w:rsidR="005E614D" w:rsidRDefault="000C3A94">
            <w:r>
              <w:t>Other revenue and income</w:t>
            </w:r>
          </w:p>
        </w:tc>
        <w:tc>
          <w:tcPr>
            <w:tcW w:w="1027" w:type="dxa"/>
            <w:tcBorders>
              <w:bottom w:val="single" w:sz="6" w:space="0" w:color="auto"/>
            </w:tcBorders>
          </w:tcPr>
          <w:p w14:paraId="0F1AD130" w14:textId="77777777" w:rsidR="005E614D" w:rsidRDefault="000C3A94">
            <w:pPr>
              <w:cnfStyle w:val="000000000000" w:firstRow="0" w:lastRow="0" w:firstColumn="0" w:lastColumn="0" w:oddVBand="0" w:evenVBand="0" w:oddHBand="0" w:evenHBand="0" w:firstRowFirstColumn="0" w:firstRowLastColumn="0" w:lastRowFirstColumn="0" w:lastRowLastColumn="0"/>
            </w:pPr>
            <w:r>
              <w:t>4 411</w:t>
            </w:r>
          </w:p>
        </w:tc>
        <w:tc>
          <w:tcPr>
            <w:tcW w:w="1027" w:type="dxa"/>
            <w:tcBorders>
              <w:bottom w:val="single" w:sz="6" w:space="0" w:color="auto"/>
            </w:tcBorders>
          </w:tcPr>
          <w:p w14:paraId="12D7E745" w14:textId="77777777" w:rsidR="005E614D" w:rsidRDefault="000C3A94">
            <w:pPr>
              <w:cnfStyle w:val="000000000000" w:firstRow="0" w:lastRow="0" w:firstColumn="0" w:lastColumn="0" w:oddVBand="0" w:evenVBand="0" w:oddHBand="0" w:evenHBand="0" w:firstRowFirstColumn="0" w:firstRowLastColumn="0" w:lastRowFirstColumn="0" w:lastRowLastColumn="0"/>
            </w:pPr>
            <w:r>
              <w:t>4 210</w:t>
            </w:r>
          </w:p>
        </w:tc>
        <w:tc>
          <w:tcPr>
            <w:tcW w:w="1027" w:type="dxa"/>
            <w:tcBorders>
              <w:bottom w:val="single" w:sz="6" w:space="0" w:color="auto"/>
            </w:tcBorders>
          </w:tcPr>
          <w:p w14:paraId="7FD00AD1" w14:textId="77777777" w:rsidR="005E614D" w:rsidRDefault="000C3A94">
            <w:pPr>
              <w:cnfStyle w:val="000000000000" w:firstRow="0" w:lastRow="0" w:firstColumn="0" w:lastColumn="0" w:oddVBand="0" w:evenVBand="0" w:oddHBand="0" w:evenHBand="0" w:firstRowFirstColumn="0" w:firstRowLastColumn="0" w:lastRowFirstColumn="0" w:lastRowLastColumn="0"/>
            </w:pPr>
            <w:r>
              <w:t>843</w:t>
            </w:r>
          </w:p>
        </w:tc>
        <w:tc>
          <w:tcPr>
            <w:tcW w:w="1028" w:type="dxa"/>
            <w:tcBorders>
              <w:bottom w:val="single" w:sz="6" w:space="0" w:color="auto"/>
            </w:tcBorders>
          </w:tcPr>
          <w:p w14:paraId="6B3C0270" w14:textId="77777777" w:rsidR="005E614D" w:rsidRDefault="000C3A94">
            <w:pPr>
              <w:cnfStyle w:val="000000000000" w:firstRow="0" w:lastRow="0" w:firstColumn="0" w:lastColumn="0" w:oddVBand="0" w:evenVBand="0" w:oddHBand="0" w:evenHBand="0" w:firstRowFirstColumn="0" w:firstRowLastColumn="0" w:lastRowFirstColumn="0" w:lastRowLastColumn="0"/>
            </w:pPr>
            <w:r>
              <w:t>835</w:t>
            </w:r>
          </w:p>
        </w:tc>
      </w:tr>
      <w:tr w:rsidR="005E614D" w14:paraId="45940203"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5B5158B7" w14:textId="77777777" w:rsidR="005E614D" w:rsidRDefault="000C3A94">
            <w:r>
              <w:rPr>
                <w:b/>
              </w:rPr>
              <w:t>Total revenue and income from transactions</w:t>
            </w:r>
          </w:p>
        </w:tc>
        <w:tc>
          <w:tcPr>
            <w:tcW w:w="1027" w:type="dxa"/>
            <w:tcBorders>
              <w:top w:val="single" w:sz="6" w:space="0" w:color="auto"/>
            </w:tcBorders>
          </w:tcPr>
          <w:p w14:paraId="5AC552B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101 380</w:t>
            </w:r>
          </w:p>
        </w:tc>
        <w:tc>
          <w:tcPr>
            <w:tcW w:w="1027" w:type="dxa"/>
            <w:tcBorders>
              <w:top w:val="single" w:sz="6" w:space="0" w:color="auto"/>
            </w:tcBorders>
          </w:tcPr>
          <w:p w14:paraId="5F027E4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93 055</w:t>
            </w:r>
          </w:p>
        </w:tc>
        <w:tc>
          <w:tcPr>
            <w:tcW w:w="1027" w:type="dxa"/>
            <w:tcBorders>
              <w:top w:val="single" w:sz="6" w:space="0" w:color="auto"/>
            </w:tcBorders>
          </w:tcPr>
          <w:p w14:paraId="7DB3878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11 701</w:t>
            </w:r>
          </w:p>
        </w:tc>
        <w:tc>
          <w:tcPr>
            <w:tcW w:w="1028" w:type="dxa"/>
            <w:tcBorders>
              <w:top w:val="single" w:sz="6" w:space="0" w:color="auto"/>
            </w:tcBorders>
          </w:tcPr>
          <w:p w14:paraId="6B62BA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11 079</w:t>
            </w:r>
          </w:p>
        </w:tc>
      </w:tr>
      <w:tr w:rsidR="005E614D" w14:paraId="5F56851F" w14:textId="77777777">
        <w:tc>
          <w:tcPr>
            <w:cnfStyle w:val="001000000000" w:firstRow="0" w:lastRow="0" w:firstColumn="1" w:lastColumn="0" w:oddVBand="0" w:evenVBand="0" w:oddHBand="0" w:evenHBand="0" w:firstRowFirstColumn="0" w:firstRowLastColumn="0" w:lastRowFirstColumn="0" w:lastRowLastColumn="0"/>
            <w:tcW w:w="5529" w:type="dxa"/>
          </w:tcPr>
          <w:p w14:paraId="5A1DF58B" w14:textId="77777777" w:rsidR="005E614D" w:rsidRDefault="000C3A94">
            <w:r>
              <w:rPr>
                <w:b/>
              </w:rPr>
              <w:t>Expenses from transactions</w:t>
            </w:r>
          </w:p>
        </w:tc>
        <w:tc>
          <w:tcPr>
            <w:tcW w:w="1027" w:type="dxa"/>
          </w:tcPr>
          <w:p w14:paraId="4A61C82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2447BD1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6F2E9F3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6A9E8B6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7ABAC4C" w14:textId="77777777">
        <w:tc>
          <w:tcPr>
            <w:cnfStyle w:val="001000000000" w:firstRow="0" w:lastRow="0" w:firstColumn="1" w:lastColumn="0" w:oddVBand="0" w:evenVBand="0" w:oddHBand="0" w:evenHBand="0" w:firstRowFirstColumn="0" w:firstRowLastColumn="0" w:lastRowFirstColumn="0" w:lastRowLastColumn="0"/>
            <w:tcW w:w="5529" w:type="dxa"/>
          </w:tcPr>
          <w:p w14:paraId="153DD187" w14:textId="77777777" w:rsidR="005E614D" w:rsidRDefault="000C3A94">
            <w:r>
              <w:t>Employee expenses</w:t>
            </w:r>
          </w:p>
        </w:tc>
        <w:tc>
          <w:tcPr>
            <w:tcW w:w="1027" w:type="dxa"/>
          </w:tcPr>
          <w:p w14:paraId="7F9BE4A8" w14:textId="77777777" w:rsidR="005E614D" w:rsidRDefault="000C3A94">
            <w:pPr>
              <w:cnfStyle w:val="000000000000" w:firstRow="0" w:lastRow="0" w:firstColumn="0" w:lastColumn="0" w:oddVBand="0" w:evenVBand="0" w:oddHBand="0" w:evenHBand="0" w:firstRowFirstColumn="0" w:firstRowLastColumn="0" w:lastRowFirstColumn="0" w:lastRowLastColumn="0"/>
            </w:pPr>
            <w:r>
              <w:t>38 515</w:t>
            </w:r>
          </w:p>
        </w:tc>
        <w:tc>
          <w:tcPr>
            <w:tcW w:w="1027" w:type="dxa"/>
          </w:tcPr>
          <w:p w14:paraId="1A9FFF37" w14:textId="77777777" w:rsidR="005E614D" w:rsidRDefault="000C3A94">
            <w:pPr>
              <w:cnfStyle w:val="000000000000" w:firstRow="0" w:lastRow="0" w:firstColumn="0" w:lastColumn="0" w:oddVBand="0" w:evenVBand="0" w:oddHBand="0" w:evenHBand="0" w:firstRowFirstColumn="0" w:firstRowLastColumn="0" w:lastRowFirstColumn="0" w:lastRowLastColumn="0"/>
            </w:pPr>
            <w:r>
              <w:t>36 035</w:t>
            </w:r>
          </w:p>
        </w:tc>
        <w:tc>
          <w:tcPr>
            <w:tcW w:w="1027" w:type="dxa"/>
          </w:tcPr>
          <w:p w14:paraId="070E8FF7" w14:textId="77777777" w:rsidR="005E614D" w:rsidRDefault="000C3A94">
            <w:pPr>
              <w:cnfStyle w:val="000000000000" w:firstRow="0" w:lastRow="0" w:firstColumn="0" w:lastColumn="0" w:oddVBand="0" w:evenVBand="0" w:oddHBand="0" w:evenHBand="0" w:firstRowFirstColumn="0" w:firstRowLastColumn="0" w:lastRowFirstColumn="0" w:lastRowLastColumn="0"/>
            </w:pPr>
            <w:r>
              <w:t>2 114</w:t>
            </w:r>
          </w:p>
        </w:tc>
        <w:tc>
          <w:tcPr>
            <w:tcW w:w="1028" w:type="dxa"/>
          </w:tcPr>
          <w:p w14:paraId="54B5A5EF" w14:textId="77777777" w:rsidR="005E614D" w:rsidRDefault="000C3A94">
            <w:pPr>
              <w:cnfStyle w:val="000000000000" w:firstRow="0" w:lastRow="0" w:firstColumn="0" w:lastColumn="0" w:oddVBand="0" w:evenVBand="0" w:oddHBand="0" w:evenHBand="0" w:firstRowFirstColumn="0" w:firstRowLastColumn="0" w:lastRowFirstColumn="0" w:lastRowLastColumn="0"/>
            </w:pPr>
            <w:r>
              <w:t>1 961</w:t>
            </w:r>
          </w:p>
        </w:tc>
      </w:tr>
      <w:tr w:rsidR="005E614D" w14:paraId="2EF2B83B" w14:textId="77777777">
        <w:tc>
          <w:tcPr>
            <w:cnfStyle w:val="001000000000" w:firstRow="0" w:lastRow="0" w:firstColumn="1" w:lastColumn="0" w:oddVBand="0" w:evenVBand="0" w:oddHBand="0" w:evenHBand="0" w:firstRowFirstColumn="0" w:firstRowLastColumn="0" w:lastRowFirstColumn="0" w:lastRowLastColumn="0"/>
            <w:tcW w:w="5529" w:type="dxa"/>
          </w:tcPr>
          <w:p w14:paraId="6FFDBDB7" w14:textId="77777777" w:rsidR="005E614D" w:rsidRDefault="000C3A94">
            <w:r>
              <w:t>Superannuation:</w:t>
            </w:r>
          </w:p>
        </w:tc>
        <w:tc>
          <w:tcPr>
            <w:tcW w:w="1027" w:type="dxa"/>
          </w:tcPr>
          <w:p w14:paraId="74641B1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3F6FA30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38CD6E5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3C0F386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263DB43" w14:textId="77777777">
        <w:tc>
          <w:tcPr>
            <w:cnfStyle w:val="001000000000" w:firstRow="0" w:lastRow="0" w:firstColumn="1" w:lastColumn="0" w:oddVBand="0" w:evenVBand="0" w:oddHBand="0" w:evenHBand="0" w:firstRowFirstColumn="0" w:firstRowLastColumn="0" w:lastRowFirstColumn="0" w:lastRowLastColumn="0"/>
            <w:tcW w:w="5529" w:type="dxa"/>
          </w:tcPr>
          <w:p w14:paraId="309284DA" w14:textId="61B10AEB" w:rsidR="005E614D" w:rsidRDefault="00E0494C">
            <w:r>
              <w:t xml:space="preserve">   </w:t>
            </w:r>
            <w:r w:rsidR="000C3A94">
              <w:t>Net superannuation interest expense</w:t>
            </w:r>
          </w:p>
        </w:tc>
        <w:tc>
          <w:tcPr>
            <w:tcW w:w="1027" w:type="dxa"/>
          </w:tcPr>
          <w:p w14:paraId="7FFF7BBA" w14:textId="77777777" w:rsidR="005E614D" w:rsidRDefault="000C3A94">
            <w:pPr>
              <w:cnfStyle w:val="000000000000" w:firstRow="0" w:lastRow="0" w:firstColumn="0" w:lastColumn="0" w:oddVBand="0" w:evenVBand="0" w:oddHBand="0" w:evenHBand="0" w:firstRowFirstColumn="0" w:firstRowLastColumn="0" w:lastRowFirstColumn="0" w:lastRowLastColumn="0"/>
            </w:pPr>
            <w:r>
              <w:t>783</w:t>
            </w:r>
          </w:p>
        </w:tc>
        <w:tc>
          <w:tcPr>
            <w:tcW w:w="1027" w:type="dxa"/>
          </w:tcPr>
          <w:p w14:paraId="073A9B4A" w14:textId="77777777" w:rsidR="005E614D" w:rsidRDefault="000C3A94">
            <w:pPr>
              <w:cnfStyle w:val="000000000000" w:firstRow="0" w:lastRow="0" w:firstColumn="0" w:lastColumn="0" w:oddVBand="0" w:evenVBand="0" w:oddHBand="0" w:evenHBand="0" w:firstRowFirstColumn="0" w:firstRowLastColumn="0" w:lastRowFirstColumn="0" w:lastRowLastColumn="0"/>
            </w:pPr>
            <w:r>
              <w:t>774</w:t>
            </w:r>
          </w:p>
        </w:tc>
        <w:tc>
          <w:tcPr>
            <w:tcW w:w="1027" w:type="dxa"/>
          </w:tcPr>
          <w:p w14:paraId="6E641E27"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1028" w:type="dxa"/>
          </w:tcPr>
          <w:p w14:paraId="11E5A7D2"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52C34AA7" w14:textId="77777777">
        <w:tc>
          <w:tcPr>
            <w:cnfStyle w:val="001000000000" w:firstRow="0" w:lastRow="0" w:firstColumn="1" w:lastColumn="0" w:oddVBand="0" w:evenVBand="0" w:oddHBand="0" w:evenHBand="0" w:firstRowFirstColumn="0" w:firstRowLastColumn="0" w:lastRowFirstColumn="0" w:lastRowLastColumn="0"/>
            <w:tcW w:w="5529" w:type="dxa"/>
          </w:tcPr>
          <w:p w14:paraId="3BDF671E" w14:textId="123F78A9" w:rsidR="005E614D" w:rsidRDefault="00E0494C">
            <w:r>
              <w:t xml:space="preserve">   </w:t>
            </w:r>
            <w:r w:rsidR="000C3A94">
              <w:t>Other superannuation</w:t>
            </w:r>
          </w:p>
        </w:tc>
        <w:tc>
          <w:tcPr>
            <w:tcW w:w="1027" w:type="dxa"/>
          </w:tcPr>
          <w:p w14:paraId="0483B235" w14:textId="77777777" w:rsidR="005E614D" w:rsidRDefault="000C3A94">
            <w:pPr>
              <w:cnfStyle w:val="000000000000" w:firstRow="0" w:lastRow="0" w:firstColumn="0" w:lastColumn="0" w:oddVBand="0" w:evenVBand="0" w:oddHBand="0" w:evenHBand="0" w:firstRowFirstColumn="0" w:firstRowLastColumn="0" w:lastRowFirstColumn="0" w:lastRowLastColumn="0"/>
            </w:pPr>
            <w:r>
              <w:t>4 524</w:t>
            </w:r>
          </w:p>
        </w:tc>
        <w:tc>
          <w:tcPr>
            <w:tcW w:w="1027" w:type="dxa"/>
          </w:tcPr>
          <w:p w14:paraId="4B585998" w14:textId="77777777" w:rsidR="005E614D" w:rsidRDefault="000C3A94">
            <w:pPr>
              <w:cnfStyle w:val="000000000000" w:firstRow="0" w:lastRow="0" w:firstColumn="0" w:lastColumn="0" w:oddVBand="0" w:evenVBand="0" w:oddHBand="0" w:evenHBand="0" w:firstRowFirstColumn="0" w:firstRowLastColumn="0" w:lastRowFirstColumn="0" w:lastRowLastColumn="0"/>
            </w:pPr>
            <w:r>
              <w:t>4 062</w:t>
            </w:r>
          </w:p>
        </w:tc>
        <w:tc>
          <w:tcPr>
            <w:tcW w:w="1027" w:type="dxa"/>
          </w:tcPr>
          <w:p w14:paraId="1771FADB" w14:textId="77777777" w:rsidR="005E614D" w:rsidRDefault="000C3A94">
            <w:pPr>
              <w:cnfStyle w:val="000000000000" w:firstRow="0" w:lastRow="0" w:firstColumn="0" w:lastColumn="0" w:oddVBand="0" w:evenVBand="0" w:oddHBand="0" w:evenHBand="0" w:firstRowFirstColumn="0" w:firstRowLastColumn="0" w:lastRowFirstColumn="0" w:lastRowLastColumn="0"/>
            </w:pPr>
            <w:r>
              <w:t>225</w:t>
            </w:r>
          </w:p>
        </w:tc>
        <w:tc>
          <w:tcPr>
            <w:tcW w:w="1028" w:type="dxa"/>
          </w:tcPr>
          <w:p w14:paraId="0AB166D9" w14:textId="77777777" w:rsidR="005E614D" w:rsidRDefault="000C3A94">
            <w:pPr>
              <w:cnfStyle w:val="000000000000" w:firstRow="0" w:lastRow="0" w:firstColumn="0" w:lastColumn="0" w:oddVBand="0" w:evenVBand="0" w:oddHBand="0" w:evenHBand="0" w:firstRowFirstColumn="0" w:firstRowLastColumn="0" w:lastRowFirstColumn="0" w:lastRowLastColumn="0"/>
            </w:pPr>
            <w:r>
              <w:t>196</w:t>
            </w:r>
          </w:p>
        </w:tc>
      </w:tr>
      <w:tr w:rsidR="005E614D" w14:paraId="245072B4" w14:textId="77777777">
        <w:tc>
          <w:tcPr>
            <w:cnfStyle w:val="001000000000" w:firstRow="0" w:lastRow="0" w:firstColumn="1" w:lastColumn="0" w:oddVBand="0" w:evenVBand="0" w:oddHBand="0" w:evenHBand="0" w:firstRowFirstColumn="0" w:firstRowLastColumn="0" w:lastRowFirstColumn="0" w:lastRowLastColumn="0"/>
            <w:tcW w:w="5529" w:type="dxa"/>
          </w:tcPr>
          <w:p w14:paraId="2913CEDF" w14:textId="77777777" w:rsidR="005E614D" w:rsidRDefault="000C3A94">
            <w:r>
              <w:t>Depreciation</w:t>
            </w:r>
          </w:p>
        </w:tc>
        <w:tc>
          <w:tcPr>
            <w:tcW w:w="1027" w:type="dxa"/>
          </w:tcPr>
          <w:p w14:paraId="77F4118E" w14:textId="77777777" w:rsidR="005E614D" w:rsidRDefault="000C3A94">
            <w:pPr>
              <w:cnfStyle w:val="000000000000" w:firstRow="0" w:lastRow="0" w:firstColumn="0" w:lastColumn="0" w:oddVBand="0" w:evenVBand="0" w:oddHBand="0" w:evenHBand="0" w:firstRowFirstColumn="0" w:firstRowLastColumn="0" w:lastRowFirstColumn="0" w:lastRowLastColumn="0"/>
            </w:pPr>
            <w:r>
              <w:t>5 462</w:t>
            </w:r>
          </w:p>
        </w:tc>
        <w:tc>
          <w:tcPr>
            <w:tcW w:w="1027" w:type="dxa"/>
          </w:tcPr>
          <w:p w14:paraId="69527EE7" w14:textId="77777777" w:rsidR="005E614D" w:rsidRDefault="000C3A94">
            <w:pPr>
              <w:cnfStyle w:val="000000000000" w:firstRow="0" w:lastRow="0" w:firstColumn="0" w:lastColumn="0" w:oddVBand="0" w:evenVBand="0" w:oddHBand="0" w:evenHBand="0" w:firstRowFirstColumn="0" w:firstRowLastColumn="0" w:lastRowFirstColumn="0" w:lastRowLastColumn="0"/>
            </w:pPr>
            <w:r>
              <w:t>4 967</w:t>
            </w:r>
          </w:p>
        </w:tc>
        <w:tc>
          <w:tcPr>
            <w:tcW w:w="1027" w:type="dxa"/>
          </w:tcPr>
          <w:p w14:paraId="1CDB49BF" w14:textId="77777777" w:rsidR="005E614D" w:rsidRDefault="000C3A94">
            <w:pPr>
              <w:cnfStyle w:val="000000000000" w:firstRow="0" w:lastRow="0" w:firstColumn="0" w:lastColumn="0" w:oddVBand="0" w:evenVBand="0" w:oddHBand="0" w:evenHBand="0" w:firstRowFirstColumn="0" w:firstRowLastColumn="0" w:lastRowFirstColumn="0" w:lastRowLastColumn="0"/>
            </w:pPr>
            <w:r>
              <w:t>2 360</w:t>
            </w:r>
          </w:p>
        </w:tc>
        <w:tc>
          <w:tcPr>
            <w:tcW w:w="1028" w:type="dxa"/>
          </w:tcPr>
          <w:p w14:paraId="23A8F875" w14:textId="77777777" w:rsidR="005E614D" w:rsidRDefault="000C3A94">
            <w:pPr>
              <w:cnfStyle w:val="000000000000" w:firstRow="0" w:lastRow="0" w:firstColumn="0" w:lastColumn="0" w:oddVBand="0" w:evenVBand="0" w:oddHBand="0" w:evenHBand="0" w:firstRowFirstColumn="0" w:firstRowLastColumn="0" w:lastRowFirstColumn="0" w:lastRowLastColumn="0"/>
            </w:pPr>
            <w:r>
              <w:t>2 120</w:t>
            </w:r>
          </w:p>
        </w:tc>
      </w:tr>
      <w:tr w:rsidR="005E614D" w14:paraId="4089EB16" w14:textId="77777777">
        <w:tc>
          <w:tcPr>
            <w:cnfStyle w:val="001000000000" w:firstRow="0" w:lastRow="0" w:firstColumn="1" w:lastColumn="0" w:oddVBand="0" w:evenVBand="0" w:oddHBand="0" w:evenHBand="0" w:firstRowFirstColumn="0" w:firstRowLastColumn="0" w:lastRowFirstColumn="0" w:lastRowLastColumn="0"/>
            <w:tcW w:w="5529" w:type="dxa"/>
          </w:tcPr>
          <w:p w14:paraId="3D4D20D5" w14:textId="77777777" w:rsidR="005E614D" w:rsidRDefault="000C3A94">
            <w:r>
              <w:t>Interest expense</w:t>
            </w:r>
          </w:p>
        </w:tc>
        <w:tc>
          <w:tcPr>
            <w:tcW w:w="1027" w:type="dxa"/>
          </w:tcPr>
          <w:p w14:paraId="52F1631E" w14:textId="77777777" w:rsidR="005E614D" w:rsidRDefault="000C3A94">
            <w:pPr>
              <w:cnfStyle w:val="000000000000" w:firstRow="0" w:lastRow="0" w:firstColumn="0" w:lastColumn="0" w:oddVBand="0" w:evenVBand="0" w:oddHBand="0" w:evenHBand="0" w:firstRowFirstColumn="0" w:firstRowLastColumn="0" w:lastRowFirstColumn="0" w:lastRowLastColumn="0"/>
            </w:pPr>
            <w:r>
              <w:t>6 774</w:t>
            </w:r>
          </w:p>
        </w:tc>
        <w:tc>
          <w:tcPr>
            <w:tcW w:w="1027" w:type="dxa"/>
          </w:tcPr>
          <w:p w14:paraId="11746AA4" w14:textId="77777777" w:rsidR="005E614D" w:rsidRDefault="000C3A94">
            <w:pPr>
              <w:cnfStyle w:val="000000000000" w:firstRow="0" w:lastRow="0" w:firstColumn="0" w:lastColumn="0" w:oddVBand="0" w:evenVBand="0" w:oddHBand="0" w:evenHBand="0" w:firstRowFirstColumn="0" w:firstRowLastColumn="0" w:lastRowFirstColumn="0" w:lastRowLastColumn="0"/>
            </w:pPr>
            <w:r>
              <w:t>5 639</w:t>
            </w:r>
          </w:p>
        </w:tc>
        <w:tc>
          <w:tcPr>
            <w:tcW w:w="1027" w:type="dxa"/>
          </w:tcPr>
          <w:p w14:paraId="3A2BC8E8" w14:textId="77777777" w:rsidR="005E614D" w:rsidRDefault="000C3A94">
            <w:pPr>
              <w:cnfStyle w:val="000000000000" w:firstRow="0" w:lastRow="0" w:firstColumn="0" w:lastColumn="0" w:oddVBand="0" w:evenVBand="0" w:oddHBand="0" w:evenHBand="0" w:firstRowFirstColumn="0" w:firstRowLastColumn="0" w:lastRowFirstColumn="0" w:lastRowLastColumn="0"/>
            </w:pPr>
            <w:r>
              <w:t>1 052</w:t>
            </w:r>
          </w:p>
        </w:tc>
        <w:tc>
          <w:tcPr>
            <w:tcW w:w="1028" w:type="dxa"/>
          </w:tcPr>
          <w:p w14:paraId="3CC73004" w14:textId="77777777" w:rsidR="005E614D" w:rsidRDefault="000C3A94">
            <w:pPr>
              <w:cnfStyle w:val="000000000000" w:firstRow="0" w:lastRow="0" w:firstColumn="0" w:lastColumn="0" w:oddVBand="0" w:evenVBand="0" w:oddHBand="0" w:evenHBand="0" w:firstRowFirstColumn="0" w:firstRowLastColumn="0" w:lastRowFirstColumn="0" w:lastRowLastColumn="0"/>
            </w:pPr>
            <w:r>
              <w:t>944</w:t>
            </w:r>
          </w:p>
        </w:tc>
      </w:tr>
      <w:tr w:rsidR="005E614D" w14:paraId="5C5C3AA2" w14:textId="77777777">
        <w:tc>
          <w:tcPr>
            <w:cnfStyle w:val="001000000000" w:firstRow="0" w:lastRow="0" w:firstColumn="1" w:lastColumn="0" w:oddVBand="0" w:evenVBand="0" w:oddHBand="0" w:evenHBand="0" w:firstRowFirstColumn="0" w:firstRowLastColumn="0" w:lastRowFirstColumn="0" w:lastRowLastColumn="0"/>
            <w:tcW w:w="5529" w:type="dxa"/>
          </w:tcPr>
          <w:p w14:paraId="060C7879" w14:textId="77777777" w:rsidR="005E614D" w:rsidRDefault="000C3A94">
            <w:r>
              <w:t>Grant expense</w:t>
            </w:r>
          </w:p>
        </w:tc>
        <w:tc>
          <w:tcPr>
            <w:tcW w:w="1027" w:type="dxa"/>
          </w:tcPr>
          <w:p w14:paraId="27766664" w14:textId="77777777" w:rsidR="005E614D" w:rsidRDefault="000C3A94">
            <w:pPr>
              <w:cnfStyle w:val="000000000000" w:firstRow="0" w:lastRow="0" w:firstColumn="0" w:lastColumn="0" w:oddVBand="0" w:evenVBand="0" w:oddHBand="0" w:evenHBand="0" w:firstRowFirstColumn="0" w:firstRowLastColumn="0" w:lastRowFirstColumn="0" w:lastRowLastColumn="0"/>
            </w:pPr>
            <w:r>
              <w:t>17 221</w:t>
            </w:r>
          </w:p>
        </w:tc>
        <w:tc>
          <w:tcPr>
            <w:tcW w:w="1027" w:type="dxa"/>
          </w:tcPr>
          <w:p w14:paraId="0442D928" w14:textId="77777777" w:rsidR="005E614D" w:rsidRDefault="000C3A94">
            <w:pPr>
              <w:cnfStyle w:val="000000000000" w:firstRow="0" w:lastRow="0" w:firstColumn="0" w:lastColumn="0" w:oddVBand="0" w:evenVBand="0" w:oddHBand="0" w:evenHBand="0" w:firstRowFirstColumn="0" w:firstRowLastColumn="0" w:lastRowFirstColumn="0" w:lastRowLastColumn="0"/>
            </w:pPr>
            <w:r>
              <w:t>16 675</w:t>
            </w:r>
          </w:p>
        </w:tc>
        <w:tc>
          <w:tcPr>
            <w:tcW w:w="1027" w:type="dxa"/>
          </w:tcPr>
          <w:p w14:paraId="13918A4F" w14:textId="77777777" w:rsidR="005E614D" w:rsidRDefault="000C3A94">
            <w:pPr>
              <w:cnfStyle w:val="000000000000" w:firstRow="0" w:lastRow="0" w:firstColumn="0" w:lastColumn="0" w:oddVBand="0" w:evenVBand="0" w:oddHBand="0" w:evenHBand="0" w:firstRowFirstColumn="0" w:firstRowLastColumn="0" w:lastRowFirstColumn="0" w:lastRowLastColumn="0"/>
            </w:pPr>
            <w:r>
              <w:t>578</w:t>
            </w:r>
          </w:p>
        </w:tc>
        <w:tc>
          <w:tcPr>
            <w:tcW w:w="1028" w:type="dxa"/>
          </w:tcPr>
          <w:p w14:paraId="5173A3B5" w14:textId="77777777" w:rsidR="005E614D" w:rsidRDefault="000C3A94">
            <w:pPr>
              <w:cnfStyle w:val="000000000000" w:firstRow="0" w:lastRow="0" w:firstColumn="0" w:lastColumn="0" w:oddVBand="0" w:evenVBand="0" w:oddHBand="0" w:evenHBand="0" w:firstRowFirstColumn="0" w:firstRowLastColumn="0" w:lastRowFirstColumn="0" w:lastRowLastColumn="0"/>
            </w:pPr>
            <w:r>
              <w:t>686</w:t>
            </w:r>
          </w:p>
        </w:tc>
      </w:tr>
      <w:tr w:rsidR="005E614D" w14:paraId="6423DBC9" w14:textId="77777777">
        <w:tc>
          <w:tcPr>
            <w:cnfStyle w:val="001000000000" w:firstRow="0" w:lastRow="0" w:firstColumn="1" w:lastColumn="0" w:oddVBand="0" w:evenVBand="0" w:oddHBand="0" w:evenHBand="0" w:firstRowFirstColumn="0" w:firstRowLastColumn="0" w:lastRowFirstColumn="0" w:lastRowLastColumn="0"/>
            <w:tcW w:w="5529" w:type="dxa"/>
          </w:tcPr>
          <w:p w14:paraId="5942378F" w14:textId="77777777" w:rsidR="005E614D" w:rsidRDefault="000C3A94">
            <w:r>
              <w:t>Other operating expenses</w:t>
            </w:r>
          </w:p>
        </w:tc>
        <w:tc>
          <w:tcPr>
            <w:tcW w:w="1027" w:type="dxa"/>
          </w:tcPr>
          <w:p w14:paraId="5C5A5991" w14:textId="77777777" w:rsidR="005E614D" w:rsidRDefault="000C3A94">
            <w:pPr>
              <w:cnfStyle w:val="000000000000" w:firstRow="0" w:lastRow="0" w:firstColumn="0" w:lastColumn="0" w:oddVBand="0" w:evenVBand="0" w:oddHBand="0" w:evenHBand="0" w:firstRowFirstColumn="0" w:firstRowLastColumn="0" w:lastRowFirstColumn="0" w:lastRowLastColumn="0"/>
            </w:pPr>
            <w:r>
              <w:t>30 726</w:t>
            </w:r>
          </w:p>
        </w:tc>
        <w:tc>
          <w:tcPr>
            <w:tcW w:w="1027" w:type="dxa"/>
          </w:tcPr>
          <w:p w14:paraId="112AE9BE" w14:textId="77777777" w:rsidR="005E614D" w:rsidRDefault="000C3A94">
            <w:pPr>
              <w:cnfStyle w:val="000000000000" w:firstRow="0" w:lastRow="0" w:firstColumn="0" w:lastColumn="0" w:oddVBand="0" w:evenVBand="0" w:oddHBand="0" w:evenHBand="0" w:firstRowFirstColumn="0" w:firstRowLastColumn="0" w:lastRowFirstColumn="0" w:lastRowLastColumn="0"/>
            </w:pPr>
            <w:r>
              <w:t>29 127</w:t>
            </w:r>
          </w:p>
        </w:tc>
        <w:tc>
          <w:tcPr>
            <w:tcW w:w="1027" w:type="dxa"/>
          </w:tcPr>
          <w:p w14:paraId="3655DE3D" w14:textId="77777777" w:rsidR="005E614D" w:rsidRDefault="000C3A94">
            <w:pPr>
              <w:cnfStyle w:val="000000000000" w:firstRow="0" w:lastRow="0" w:firstColumn="0" w:lastColumn="0" w:oddVBand="0" w:evenVBand="0" w:oddHBand="0" w:evenHBand="0" w:firstRowFirstColumn="0" w:firstRowLastColumn="0" w:lastRowFirstColumn="0" w:lastRowLastColumn="0"/>
            </w:pPr>
            <w:r>
              <w:t>5 302</w:t>
            </w:r>
          </w:p>
        </w:tc>
        <w:tc>
          <w:tcPr>
            <w:tcW w:w="1028" w:type="dxa"/>
          </w:tcPr>
          <w:p w14:paraId="173B9730" w14:textId="77777777" w:rsidR="005E614D" w:rsidRDefault="000C3A94">
            <w:pPr>
              <w:cnfStyle w:val="000000000000" w:firstRow="0" w:lastRow="0" w:firstColumn="0" w:lastColumn="0" w:oddVBand="0" w:evenVBand="0" w:oddHBand="0" w:evenHBand="0" w:firstRowFirstColumn="0" w:firstRowLastColumn="0" w:lastRowFirstColumn="0" w:lastRowLastColumn="0"/>
            </w:pPr>
            <w:r>
              <w:t>4 924</w:t>
            </w:r>
          </w:p>
        </w:tc>
      </w:tr>
      <w:tr w:rsidR="005E614D" w14:paraId="05F81F8F"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4EB39592" w14:textId="77777777" w:rsidR="005E614D" w:rsidRDefault="000C3A94">
            <w:r>
              <w:t>Other property expenses</w:t>
            </w:r>
          </w:p>
        </w:tc>
        <w:tc>
          <w:tcPr>
            <w:tcW w:w="1027" w:type="dxa"/>
            <w:tcBorders>
              <w:bottom w:val="single" w:sz="6" w:space="0" w:color="auto"/>
            </w:tcBorders>
          </w:tcPr>
          <w:p w14:paraId="5A7DDCE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27" w:type="dxa"/>
            <w:tcBorders>
              <w:bottom w:val="single" w:sz="6" w:space="0" w:color="auto"/>
            </w:tcBorders>
          </w:tcPr>
          <w:p w14:paraId="2991569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27" w:type="dxa"/>
            <w:tcBorders>
              <w:bottom w:val="single" w:sz="6" w:space="0" w:color="auto"/>
            </w:tcBorders>
          </w:tcPr>
          <w:p w14:paraId="47B41801" w14:textId="77777777" w:rsidR="005E614D" w:rsidRDefault="000C3A94">
            <w:pPr>
              <w:cnfStyle w:val="000000000000" w:firstRow="0" w:lastRow="0" w:firstColumn="0" w:lastColumn="0" w:oddVBand="0" w:evenVBand="0" w:oddHBand="0" w:evenHBand="0" w:firstRowFirstColumn="0" w:firstRowLastColumn="0" w:lastRowFirstColumn="0" w:lastRowLastColumn="0"/>
            </w:pPr>
            <w:r>
              <w:t>189</w:t>
            </w:r>
          </w:p>
        </w:tc>
        <w:tc>
          <w:tcPr>
            <w:tcW w:w="1028" w:type="dxa"/>
            <w:tcBorders>
              <w:bottom w:val="single" w:sz="6" w:space="0" w:color="auto"/>
            </w:tcBorders>
          </w:tcPr>
          <w:p w14:paraId="6309B1D5" w14:textId="77777777" w:rsidR="005E614D" w:rsidRDefault="000C3A94">
            <w:pPr>
              <w:cnfStyle w:val="000000000000" w:firstRow="0" w:lastRow="0" w:firstColumn="0" w:lastColumn="0" w:oddVBand="0" w:evenVBand="0" w:oddHBand="0" w:evenHBand="0" w:firstRowFirstColumn="0" w:firstRowLastColumn="0" w:lastRowFirstColumn="0" w:lastRowLastColumn="0"/>
            </w:pPr>
            <w:r>
              <w:t>245</w:t>
            </w:r>
          </w:p>
        </w:tc>
      </w:tr>
      <w:tr w:rsidR="005E614D" w14:paraId="7B5FEB34"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1ADF6900" w14:textId="77777777" w:rsidR="005E614D" w:rsidRDefault="000C3A94">
            <w:r>
              <w:rPr>
                <w:b/>
              </w:rPr>
              <w:t>Total expenses from transactions</w:t>
            </w:r>
          </w:p>
        </w:tc>
        <w:tc>
          <w:tcPr>
            <w:tcW w:w="1027" w:type="dxa"/>
            <w:tcBorders>
              <w:top w:val="single" w:sz="6" w:space="0" w:color="auto"/>
              <w:bottom w:val="single" w:sz="6" w:space="0" w:color="auto"/>
            </w:tcBorders>
          </w:tcPr>
          <w:p w14:paraId="07CBD36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104 006</w:t>
            </w:r>
          </w:p>
        </w:tc>
        <w:tc>
          <w:tcPr>
            <w:tcW w:w="1027" w:type="dxa"/>
            <w:tcBorders>
              <w:top w:val="single" w:sz="6" w:space="0" w:color="auto"/>
              <w:bottom w:val="single" w:sz="6" w:space="0" w:color="auto"/>
            </w:tcBorders>
          </w:tcPr>
          <w:p w14:paraId="31791AC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97 279</w:t>
            </w:r>
          </w:p>
        </w:tc>
        <w:tc>
          <w:tcPr>
            <w:tcW w:w="1027" w:type="dxa"/>
            <w:tcBorders>
              <w:top w:val="single" w:sz="6" w:space="0" w:color="auto"/>
              <w:bottom w:val="single" w:sz="6" w:space="0" w:color="auto"/>
            </w:tcBorders>
          </w:tcPr>
          <w:p w14:paraId="0E05761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11 822</w:t>
            </w:r>
          </w:p>
        </w:tc>
        <w:tc>
          <w:tcPr>
            <w:tcW w:w="1028" w:type="dxa"/>
            <w:tcBorders>
              <w:top w:val="single" w:sz="6" w:space="0" w:color="auto"/>
              <w:bottom w:val="single" w:sz="6" w:space="0" w:color="auto"/>
            </w:tcBorders>
          </w:tcPr>
          <w:p w14:paraId="0290783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11 078</w:t>
            </w:r>
          </w:p>
        </w:tc>
      </w:tr>
      <w:tr w:rsidR="005E614D" w14:paraId="5C0A5C1B"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29CF3051" w14:textId="58174CF9" w:rsidR="005E614D" w:rsidRDefault="000C3A94">
            <w:r>
              <w:rPr>
                <w:b/>
              </w:rPr>
              <w:t xml:space="preserve">Net result from transactions – </w:t>
            </w:r>
            <w:r w:rsidR="00A267DC">
              <w:rPr>
                <w:b/>
              </w:rPr>
              <w:t>N</w:t>
            </w:r>
            <w:r>
              <w:rPr>
                <w:b/>
              </w:rPr>
              <w:t>et operating balance</w:t>
            </w:r>
          </w:p>
        </w:tc>
        <w:tc>
          <w:tcPr>
            <w:tcW w:w="1027" w:type="dxa"/>
            <w:tcBorders>
              <w:top w:val="single" w:sz="6" w:space="0" w:color="auto"/>
              <w:bottom w:val="single" w:sz="12" w:space="0" w:color="auto"/>
            </w:tcBorders>
          </w:tcPr>
          <w:p w14:paraId="0C7D58B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(2 626)</w:t>
            </w:r>
          </w:p>
        </w:tc>
        <w:tc>
          <w:tcPr>
            <w:tcW w:w="1027" w:type="dxa"/>
            <w:tcBorders>
              <w:top w:val="single" w:sz="6" w:space="0" w:color="auto"/>
              <w:bottom w:val="single" w:sz="12" w:space="0" w:color="auto"/>
            </w:tcBorders>
          </w:tcPr>
          <w:p w14:paraId="3FC1FED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(4 223)</w:t>
            </w:r>
          </w:p>
        </w:tc>
        <w:tc>
          <w:tcPr>
            <w:tcW w:w="1027" w:type="dxa"/>
            <w:tcBorders>
              <w:top w:val="single" w:sz="6" w:space="0" w:color="auto"/>
              <w:bottom w:val="single" w:sz="12" w:space="0" w:color="auto"/>
            </w:tcBorders>
          </w:tcPr>
          <w:p w14:paraId="1059353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(121)</w:t>
            </w:r>
          </w:p>
        </w:tc>
        <w:tc>
          <w:tcPr>
            <w:tcW w:w="1028" w:type="dxa"/>
            <w:tcBorders>
              <w:top w:val="single" w:sz="6" w:space="0" w:color="auto"/>
              <w:bottom w:val="single" w:sz="12" w:space="0" w:color="auto"/>
            </w:tcBorders>
          </w:tcPr>
          <w:p w14:paraId="495BA65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r>
      <w:tr w:rsidR="005E614D" w14:paraId="1237640C"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0" w:space="0" w:color="auto"/>
            </w:tcBorders>
          </w:tcPr>
          <w:p w14:paraId="147C7099" w14:textId="77777777" w:rsidR="005E614D" w:rsidRDefault="000C3A94">
            <w:r>
              <w:rPr>
                <w:b/>
              </w:rPr>
              <w:t>Other economic flows included in net result</w:t>
            </w:r>
          </w:p>
        </w:tc>
        <w:tc>
          <w:tcPr>
            <w:tcW w:w="1027" w:type="dxa"/>
            <w:tcBorders>
              <w:top w:val="single" w:sz="0" w:space="0" w:color="auto"/>
            </w:tcBorders>
          </w:tcPr>
          <w:p w14:paraId="04F8499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442B0B0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4253E79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27E8349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8935294" w14:textId="77777777">
        <w:tc>
          <w:tcPr>
            <w:cnfStyle w:val="001000000000" w:firstRow="0" w:lastRow="0" w:firstColumn="1" w:lastColumn="0" w:oddVBand="0" w:evenVBand="0" w:oddHBand="0" w:evenHBand="0" w:firstRowFirstColumn="0" w:firstRowLastColumn="0" w:lastRowFirstColumn="0" w:lastRowLastColumn="0"/>
            <w:tcW w:w="5529" w:type="dxa"/>
          </w:tcPr>
          <w:p w14:paraId="7205E13F" w14:textId="77777777" w:rsidR="005E614D" w:rsidRDefault="000C3A94">
            <w:r>
              <w:t>Net gain/(loss) on disposal of non</w:t>
            </w:r>
            <w:r>
              <w:noBreakHyphen/>
              <w:t>financial assets</w:t>
            </w:r>
          </w:p>
        </w:tc>
        <w:tc>
          <w:tcPr>
            <w:tcW w:w="1027" w:type="dxa"/>
          </w:tcPr>
          <w:p w14:paraId="669F1343"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c>
          <w:tcPr>
            <w:tcW w:w="1027" w:type="dxa"/>
          </w:tcPr>
          <w:p w14:paraId="7FB2E866"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1027" w:type="dxa"/>
          </w:tcPr>
          <w:p w14:paraId="0D8A82F3"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c>
          <w:tcPr>
            <w:tcW w:w="1028" w:type="dxa"/>
          </w:tcPr>
          <w:p w14:paraId="15CE5B5A" w14:textId="77777777" w:rsidR="005E614D" w:rsidRDefault="000C3A94">
            <w:pPr>
              <w:cnfStyle w:val="000000000000" w:firstRow="0" w:lastRow="0" w:firstColumn="0" w:lastColumn="0" w:oddVBand="0" w:evenVBand="0" w:oddHBand="0" w:evenHBand="0" w:firstRowFirstColumn="0" w:firstRowLastColumn="0" w:lastRowFirstColumn="0" w:lastRowLastColumn="0"/>
            </w:pPr>
            <w:r>
              <w:t>(62)</w:t>
            </w:r>
          </w:p>
        </w:tc>
      </w:tr>
      <w:tr w:rsidR="005E614D" w14:paraId="1BA8C571" w14:textId="77777777">
        <w:tc>
          <w:tcPr>
            <w:cnfStyle w:val="001000000000" w:firstRow="0" w:lastRow="0" w:firstColumn="1" w:lastColumn="0" w:oddVBand="0" w:evenVBand="0" w:oddHBand="0" w:evenHBand="0" w:firstRowFirstColumn="0" w:firstRowLastColumn="0" w:lastRowFirstColumn="0" w:lastRowLastColumn="0"/>
            <w:tcW w:w="5529" w:type="dxa"/>
          </w:tcPr>
          <w:p w14:paraId="36D3CB29" w14:textId="77777777" w:rsidR="005E614D" w:rsidRDefault="000C3A94">
            <w:r>
              <w:t>Net gain/(loss) on financial assets or liabilities at fair value</w:t>
            </w:r>
          </w:p>
        </w:tc>
        <w:tc>
          <w:tcPr>
            <w:tcW w:w="1027" w:type="dxa"/>
          </w:tcPr>
          <w:p w14:paraId="7625C419" w14:textId="77777777" w:rsidR="005E614D" w:rsidRDefault="000C3A94">
            <w:pPr>
              <w:cnfStyle w:val="000000000000" w:firstRow="0" w:lastRow="0" w:firstColumn="0" w:lastColumn="0" w:oddVBand="0" w:evenVBand="0" w:oddHBand="0" w:evenHBand="0" w:firstRowFirstColumn="0" w:firstRowLastColumn="0" w:lastRowFirstColumn="0" w:lastRowLastColumn="0"/>
            </w:pPr>
            <w:r>
              <w:t>1 213</w:t>
            </w:r>
          </w:p>
        </w:tc>
        <w:tc>
          <w:tcPr>
            <w:tcW w:w="1027" w:type="dxa"/>
          </w:tcPr>
          <w:p w14:paraId="21E0FBFA" w14:textId="77777777" w:rsidR="005E614D" w:rsidRDefault="000C3A94">
            <w:pPr>
              <w:cnfStyle w:val="000000000000" w:firstRow="0" w:lastRow="0" w:firstColumn="0" w:lastColumn="0" w:oddVBand="0" w:evenVBand="0" w:oddHBand="0" w:evenHBand="0" w:firstRowFirstColumn="0" w:firstRowLastColumn="0" w:lastRowFirstColumn="0" w:lastRowLastColumn="0"/>
            </w:pPr>
            <w:r>
              <w:t>345</w:t>
            </w:r>
          </w:p>
        </w:tc>
        <w:tc>
          <w:tcPr>
            <w:tcW w:w="1027" w:type="dxa"/>
          </w:tcPr>
          <w:p w14:paraId="4F2F7A44" w14:textId="77777777" w:rsidR="005E614D" w:rsidRDefault="000C3A94">
            <w:pPr>
              <w:cnfStyle w:val="000000000000" w:firstRow="0" w:lastRow="0" w:firstColumn="0" w:lastColumn="0" w:oddVBand="0" w:evenVBand="0" w:oddHBand="0" w:evenHBand="0" w:firstRowFirstColumn="0" w:firstRowLastColumn="0" w:lastRowFirstColumn="0" w:lastRowLastColumn="0"/>
            </w:pPr>
            <w:r>
              <w:t>88</w:t>
            </w:r>
          </w:p>
        </w:tc>
        <w:tc>
          <w:tcPr>
            <w:tcW w:w="1028" w:type="dxa"/>
          </w:tcPr>
          <w:p w14:paraId="6B725160" w14:textId="77777777" w:rsidR="005E614D" w:rsidRDefault="000C3A94">
            <w:pPr>
              <w:cnfStyle w:val="000000000000" w:firstRow="0" w:lastRow="0" w:firstColumn="0" w:lastColumn="0" w:oddVBand="0" w:evenVBand="0" w:oddHBand="0" w:evenHBand="0" w:firstRowFirstColumn="0" w:firstRowLastColumn="0" w:lastRowFirstColumn="0" w:lastRowLastColumn="0"/>
            </w:pPr>
            <w:r>
              <w:t>40</w:t>
            </w:r>
          </w:p>
        </w:tc>
      </w:tr>
      <w:tr w:rsidR="005E614D" w14:paraId="15A7472D" w14:textId="77777777">
        <w:tc>
          <w:tcPr>
            <w:cnfStyle w:val="001000000000" w:firstRow="0" w:lastRow="0" w:firstColumn="1" w:lastColumn="0" w:oddVBand="0" w:evenVBand="0" w:oddHBand="0" w:evenHBand="0" w:firstRowFirstColumn="0" w:firstRowLastColumn="0" w:lastRowFirstColumn="0" w:lastRowLastColumn="0"/>
            <w:tcW w:w="5529" w:type="dxa"/>
          </w:tcPr>
          <w:p w14:paraId="34AB3361" w14:textId="77777777" w:rsidR="005E614D" w:rsidRDefault="000C3A94">
            <w:r>
              <w:t>Share of net profit/(loss) from associates/joint venture entities</w:t>
            </w:r>
          </w:p>
        </w:tc>
        <w:tc>
          <w:tcPr>
            <w:tcW w:w="1027" w:type="dxa"/>
          </w:tcPr>
          <w:p w14:paraId="26DED3FA" w14:textId="77777777" w:rsidR="005E614D" w:rsidRDefault="000C3A94">
            <w:pPr>
              <w:cnfStyle w:val="000000000000" w:firstRow="0" w:lastRow="0" w:firstColumn="0" w:lastColumn="0" w:oddVBand="0" w:evenVBand="0" w:oddHBand="0" w:evenHBand="0" w:firstRowFirstColumn="0" w:firstRowLastColumn="0" w:lastRowFirstColumn="0" w:lastRowLastColumn="0"/>
            </w:pPr>
            <w:r>
              <w:t>(66)</w:t>
            </w:r>
          </w:p>
        </w:tc>
        <w:tc>
          <w:tcPr>
            <w:tcW w:w="1027" w:type="dxa"/>
          </w:tcPr>
          <w:p w14:paraId="4D76D917" w14:textId="77777777" w:rsidR="005E614D" w:rsidRDefault="000C3A94">
            <w:pPr>
              <w:cnfStyle w:val="000000000000" w:firstRow="0" w:lastRow="0" w:firstColumn="0" w:lastColumn="0" w:oddVBand="0" w:evenVBand="0" w:oddHBand="0" w:evenHBand="0" w:firstRowFirstColumn="0" w:firstRowLastColumn="0" w:lastRowFirstColumn="0" w:lastRowLastColumn="0"/>
            </w:pPr>
            <w:r>
              <w:t>(46)</w:t>
            </w:r>
          </w:p>
        </w:tc>
        <w:tc>
          <w:tcPr>
            <w:tcW w:w="1027" w:type="dxa"/>
          </w:tcPr>
          <w:p w14:paraId="637314D4" w14:textId="77777777" w:rsidR="005E614D" w:rsidRDefault="000C3A94">
            <w:pPr>
              <w:cnfStyle w:val="000000000000" w:firstRow="0" w:lastRow="0" w:firstColumn="0" w:lastColumn="0" w:oddVBand="0" w:evenVBand="0" w:oddHBand="0" w:evenHBand="0" w:firstRowFirstColumn="0" w:firstRowLastColumn="0" w:lastRowFirstColumn="0" w:lastRowLastColumn="0"/>
            </w:pPr>
            <w:r>
              <w:t>(8)</w:t>
            </w:r>
          </w:p>
        </w:tc>
        <w:tc>
          <w:tcPr>
            <w:tcW w:w="1028" w:type="dxa"/>
          </w:tcPr>
          <w:p w14:paraId="50F3022D"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r>
      <w:tr w:rsidR="005E614D" w14:paraId="01F6B83B"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4D62401F" w14:textId="77777777" w:rsidR="005E614D" w:rsidRDefault="000C3A94">
            <w:r>
              <w:t>Other gains/(losses) from other economic flows</w:t>
            </w:r>
          </w:p>
        </w:tc>
        <w:tc>
          <w:tcPr>
            <w:tcW w:w="1027" w:type="dxa"/>
            <w:tcBorders>
              <w:bottom w:val="single" w:sz="6" w:space="0" w:color="auto"/>
            </w:tcBorders>
          </w:tcPr>
          <w:p w14:paraId="4D42B6A2" w14:textId="77777777" w:rsidR="005E614D" w:rsidRDefault="000C3A94">
            <w:pPr>
              <w:cnfStyle w:val="000000000000" w:firstRow="0" w:lastRow="0" w:firstColumn="0" w:lastColumn="0" w:oddVBand="0" w:evenVBand="0" w:oddHBand="0" w:evenHBand="0" w:firstRowFirstColumn="0" w:firstRowLastColumn="0" w:lastRowFirstColumn="0" w:lastRowLastColumn="0"/>
            </w:pPr>
            <w:r>
              <w:t>(542)</w:t>
            </w:r>
          </w:p>
        </w:tc>
        <w:tc>
          <w:tcPr>
            <w:tcW w:w="1027" w:type="dxa"/>
            <w:tcBorders>
              <w:bottom w:val="single" w:sz="6" w:space="0" w:color="auto"/>
            </w:tcBorders>
          </w:tcPr>
          <w:p w14:paraId="136548BC" w14:textId="77777777" w:rsidR="005E614D" w:rsidRDefault="000C3A94">
            <w:pPr>
              <w:cnfStyle w:val="000000000000" w:firstRow="0" w:lastRow="0" w:firstColumn="0" w:lastColumn="0" w:oddVBand="0" w:evenVBand="0" w:oddHBand="0" w:evenHBand="0" w:firstRowFirstColumn="0" w:firstRowLastColumn="0" w:lastRowFirstColumn="0" w:lastRowLastColumn="0"/>
            </w:pPr>
            <w:r>
              <w:t>(566)</w:t>
            </w:r>
          </w:p>
        </w:tc>
        <w:tc>
          <w:tcPr>
            <w:tcW w:w="1027" w:type="dxa"/>
            <w:tcBorders>
              <w:bottom w:val="single" w:sz="6" w:space="0" w:color="auto"/>
            </w:tcBorders>
          </w:tcPr>
          <w:p w14:paraId="2FA40CA5" w14:textId="77777777" w:rsidR="005E614D" w:rsidRDefault="000C3A94">
            <w:pPr>
              <w:cnfStyle w:val="000000000000" w:firstRow="0" w:lastRow="0" w:firstColumn="0" w:lastColumn="0" w:oddVBand="0" w:evenVBand="0" w:oddHBand="0" w:evenHBand="0" w:firstRowFirstColumn="0" w:firstRowLastColumn="0" w:lastRowFirstColumn="0" w:lastRowLastColumn="0"/>
            </w:pPr>
            <w:r>
              <w:t>(13 029)</w:t>
            </w:r>
          </w:p>
        </w:tc>
        <w:tc>
          <w:tcPr>
            <w:tcW w:w="1028" w:type="dxa"/>
            <w:tcBorders>
              <w:bottom w:val="single" w:sz="6" w:space="0" w:color="auto"/>
            </w:tcBorders>
          </w:tcPr>
          <w:p w14:paraId="4385E032" w14:textId="77777777" w:rsidR="005E614D" w:rsidRDefault="000C3A94">
            <w:pPr>
              <w:cnfStyle w:val="000000000000" w:firstRow="0" w:lastRow="0" w:firstColumn="0" w:lastColumn="0" w:oddVBand="0" w:evenVBand="0" w:oddHBand="0" w:evenHBand="0" w:firstRowFirstColumn="0" w:firstRowLastColumn="0" w:lastRowFirstColumn="0" w:lastRowLastColumn="0"/>
            </w:pPr>
            <w:r>
              <w:t>(3 152)</w:t>
            </w:r>
          </w:p>
        </w:tc>
      </w:tr>
      <w:tr w:rsidR="005E614D" w14:paraId="1FFF8F43"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71066FA5" w14:textId="77777777" w:rsidR="005E614D" w:rsidRDefault="000C3A94">
            <w:r>
              <w:rPr>
                <w:b/>
              </w:rPr>
              <w:t>Total other economic flows included in net result</w:t>
            </w:r>
          </w:p>
        </w:tc>
        <w:tc>
          <w:tcPr>
            <w:tcW w:w="1027" w:type="dxa"/>
            <w:tcBorders>
              <w:top w:val="single" w:sz="6" w:space="0" w:color="auto"/>
              <w:bottom w:val="single" w:sz="6" w:space="0" w:color="auto"/>
            </w:tcBorders>
          </w:tcPr>
          <w:p w14:paraId="1EF6005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596</w:t>
            </w:r>
          </w:p>
        </w:tc>
        <w:tc>
          <w:tcPr>
            <w:tcW w:w="1027" w:type="dxa"/>
            <w:tcBorders>
              <w:top w:val="single" w:sz="6" w:space="0" w:color="auto"/>
              <w:bottom w:val="single" w:sz="6" w:space="0" w:color="auto"/>
            </w:tcBorders>
          </w:tcPr>
          <w:p w14:paraId="5E77A34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(269)</w:t>
            </w:r>
          </w:p>
        </w:tc>
        <w:tc>
          <w:tcPr>
            <w:tcW w:w="1027" w:type="dxa"/>
            <w:tcBorders>
              <w:top w:val="single" w:sz="6" w:space="0" w:color="auto"/>
              <w:bottom w:val="single" w:sz="6" w:space="0" w:color="auto"/>
            </w:tcBorders>
          </w:tcPr>
          <w:p w14:paraId="2EC0CCC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(12 947)</w:t>
            </w:r>
          </w:p>
        </w:tc>
        <w:tc>
          <w:tcPr>
            <w:tcW w:w="1028" w:type="dxa"/>
            <w:tcBorders>
              <w:top w:val="single" w:sz="6" w:space="0" w:color="auto"/>
              <w:bottom w:val="single" w:sz="6" w:space="0" w:color="auto"/>
            </w:tcBorders>
          </w:tcPr>
          <w:p w14:paraId="357D38F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(3 179)</w:t>
            </w:r>
          </w:p>
        </w:tc>
      </w:tr>
      <w:tr w:rsidR="005E614D" w14:paraId="54265C63"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2A27B8E9" w14:textId="77777777" w:rsidR="005E614D" w:rsidRDefault="000C3A94">
            <w:r>
              <w:rPr>
                <w:b/>
              </w:rPr>
              <w:t>Net result</w:t>
            </w:r>
          </w:p>
        </w:tc>
        <w:tc>
          <w:tcPr>
            <w:tcW w:w="1027" w:type="dxa"/>
            <w:tcBorders>
              <w:top w:val="single" w:sz="6" w:space="0" w:color="auto"/>
              <w:bottom w:val="single" w:sz="6" w:space="0" w:color="auto"/>
            </w:tcBorders>
          </w:tcPr>
          <w:p w14:paraId="50ED85A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(2 030)</w:t>
            </w:r>
          </w:p>
        </w:tc>
        <w:tc>
          <w:tcPr>
            <w:tcW w:w="1027" w:type="dxa"/>
            <w:tcBorders>
              <w:top w:val="single" w:sz="6" w:space="0" w:color="auto"/>
              <w:bottom w:val="single" w:sz="6" w:space="0" w:color="auto"/>
            </w:tcBorders>
          </w:tcPr>
          <w:p w14:paraId="432C5A2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(4 493)</w:t>
            </w:r>
          </w:p>
        </w:tc>
        <w:tc>
          <w:tcPr>
            <w:tcW w:w="1027" w:type="dxa"/>
            <w:tcBorders>
              <w:top w:val="single" w:sz="6" w:space="0" w:color="auto"/>
              <w:bottom w:val="single" w:sz="6" w:space="0" w:color="auto"/>
            </w:tcBorders>
          </w:tcPr>
          <w:p w14:paraId="178BCD9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(13 068)</w:t>
            </w:r>
          </w:p>
        </w:tc>
        <w:tc>
          <w:tcPr>
            <w:tcW w:w="1028" w:type="dxa"/>
            <w:tcBorders>
              <w:top w:val="single" w:sz="6" w:space="0" w:color="auto"/>
              <w:bottom w:val="single" w:sz="6" w:space="0" w:color="auto"/>
            </w:tcBorders>
          </w:tcPr>
          <w:p w14:paraId="695A9C2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(3 178)</w:t>
            </w:r>
          </w:p>
        </w:tc>
      </w:tr>
      <w:tr w:rsidR="005E614D" w14:paraId="731AE290"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5EB32D56" w14:textId="01195618" w:rsidR="005E614D" w:rsidRDefault="000C3A94">
            <w:r>
              <w:rPr>
                <w:b/>
              </w:rPr>
              <w:t xml:space="preserve">Other economic flows – </w:t>
            </w:r>
            <w:r w:rsidR="00A267DC">
              <w:rPr>
                <w:b/>
              </w:rPr>
              <w:t>O</w:t>
            </w:r>
            <w:r>
              <w:rPr>
                <w:b/>
              </w:rPr>
              <w:t>ther comprehensive income</w:t>
            </w:r>
          </w:p>
        </w:tc>
        <w:tc>
          <w:tcPr>
            <w:tcW w:w="1027" w:type="dxa"/>
            <w:tcBorders>
              <w:top w:val="single" w:sz="6" w:space="0" w:color="auto"/>
            </w:tcBorders>
          </w:tcPr>
          <w:p w14:paraId="1ADF214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7D0B420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33F1061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4082C05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13447BB" w14:textId="77777777">
        <w:tc>
          <w:tcPr>
            <w:cnfStyle w:val="001000000000" w:firstRow="0" w:lastRow="0" w:firstColumn="1" w:lastColumn="0" w:oddVBand="0" w:evenVBand="0" w:oddHBand="0" w:evenHBand="0" w:firstRowFirstColumn="0" w:firstRowLastColumn="0" w:lastRowFirstColumn="0" w:lastRowLastColumn="0"/>
            <w:tcW w:w="5529" w:type="dxa"/>
          </w:tcPr>
          <w:p w14:paraId="69729749" w14:textId="77777777" w:rsidR="005E614D" w:rsidRDefault="000C3A94">
            <w:r>
              <w:rPr>
                <w:b/>
              </w:rPr>
              <w:t>Items that will not be reclassified to net result</w:t>
            </w:r>
          </w:p>
        </w:tc>
        <w:tc>
          <w:tcPr>
            <w:tcW w:w="1027" w:type="dxa"/>
          </w:tcPr>
          <w:p w14:paraId="6C22B7C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0AF1AC4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746B0F3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4A33684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DF35943" w14:textId="77777777">
        <w:tc>
          <w:tcPr>
            <w:cnfStyle w:val="001000000000" w:firstRow="0" w:lastRow="0" w:firstColumn="1" w:lastColumn="0" w:oddVBand="0" w:evenVBand="0" w:oddHBand="0" w:evenHBand="0" w:firstRowFirstColumn="0" w:firstRowLastColumn="0" w:lastRowFirstColumn="0" w:lastRowLastColumn="0"/>
            <w:tcW w:w="5529" w:type="dxa"/>
          </w:tcPr>
          <w:p w14:paraId="3DB0A5E7" w14:textId="77777777" w:rsidR="005E614D" w:rsidRDefault="000C3A94">
            <w:r>
              <w:t>Changes in non</w:t>
            </w:r>
            <w:r>
              <w:noBreakHyphen/>
              <w:t>financial assets revaluation surplus</w:t>
            </w:r>
          </w:p>
        </w:tc>
        <w:tc>
          <w:tcPr>
            <w:tcW w:w="1027" w:type="dxa"/>
          </w:tcPr>
          <w:p w14:paraId="3CD96802"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1027" w:type="dxa"/>
          </w:tcPr>
          <w:p w14:paraId="7B77ED70" w14:textId="77777777" w:rsidR="005E614D" w:rsidRDefault="000C3A94">
            <w:pPr>
              <w:cnfStyle w:val="000000000000" w:firstRow="0" w:lastRow="0" w:firstColumn="0" w:lastColumn="0" w:oddVBand="0" w:evenVBand="0" w:oddHBand="0" w:evenHBand="0" w:firstRowFirstColumn="0" w:firstRowLastColumn="0" w:lastRowFirstColumn="0" w:lastRowLastColumn="0"/>
            </w:pPr>
            <w:r>
              <w:t>7 650</w:t>
            </w:r>
          </w:p>
        </w:tc>
        <w:tc>
          <w:tcPr>
            <w:tcW w:w="1027" w:type="dxa"/>
          </w:tcPr>
          <w:p w14:paraId="42DCE44A" w14:textId="77777777" w:rsidR="005E614D" w:rsidRDefault="000C3A94">
            <w:pPr>
              <w:cnfStyle w:val="000000000000" w:firstRow="0" w:lastRow="0" w:firstColumn="0" w:lastColumn="0" w:oddVBand="0" w:evenVBand="0" w:oddHBand="0" w:evenHBand="0" w:firstRowFirstColumn="0" w:firstRowLastColumn="0" w:lastRowFirstColumn="0" w:lastRowLastColumn="0"/>
            </w:pPr>
            <w:r>
              <w:t>840</w:t>
            </w:r>
          </w:p>
        </w:tc>
        <w:tc>
          <w:tcPr>
            <w:tcW w:w="1028" w:type="dxa"/>
          </w:tcPr>
          <w:p w14:paraId="2F2EB570" w14:textId="77777777" w:rsidR="005E614D" w:rsidRDefault="000C3A94">
            <w:pPr>
              <w:cnfStyle w:val="000000000000" w:firstRow="0" w:lastRow="0" w:firstColumn="0" w:lastColumn="0" w:oddVBand="0" w:evenVBand="0" w:oddHBand="0" w:evenHBand="0" w:firstRowFirstColumn="0" w:firstRowLastColumn="0" w:lastRowFirstColumn="0" w:lastRowLastColumn="0"/>
            </w:pPr>
            <w:r>
              <w:t>1 880</w:t>
            </w:r>
          </w:p>
        </w:tc>
      </w:tr>
      <w:tr w:rsidR="005E614D" w14:paraId="42C6E508" w14:textId="77777777">
        <w:tc>
          <w:tcPr>
            <w:cnfStyle w:val="001000000000" w:firstRow="0" w:lastRow="0" w:firstColumn="1" w:lastColumn="0" w:oddVBand="0" w:evenVBand="0" w:oddHBand="0" w:evenHBand="0" w:firstRowFirstColumn="0" w:firstRowLastColumn="0" w:lastRowFirstColumn="0" w:lastRowLastColumn="0"/>
            <w:tcW w:w="5529" w:type="dxa"/>
          </w:tcPr>
          <w:p w14:paraId="6BB4356E" w14:textId="77777777" w:rsidR="005E614D" w:rsidRDefault="000C3A94">
            <w:r>
              <w:t>Remeasurement of superannuation defined benefits plans</w:t>
            </w:r>
          </w:p>
        </w:tc>
        <w:tc>
          <w:tcPr>
            <w:tcW w:w="1027" w:type="dxa"/>
          </w:tcPr>
          <w:p w14:paraId="7B72B1D9" w14:textId="77777777" w:rsidR="005E614D" w:rsidRDefault="000C3A94">
            <w:pPr>
              <w:cnfStyle w:val="000000000000" w:firstRow="0" w:lastRow="0" w:firstColumn="0" w:lastColumn="0" w:oddVBand="0" w:evenVBand="0" w:oddHBand="0" w:evenHBand="0" w:firstRowFirstColumn="0" w:firstRowLastColumn="0" w:lastRowFirstColumn="0" w:lastRowLastColumn="0"/>
            </w:pPr>
            <w:r>
              <w:t>786</w:t>
            </w:r>
          </w:p>
        </w:tc>
        <w:tc>
          <w:tcPr>
            <w:tcW w:w="1027" w:type="dxa"/>
          </w:tcPr>
          <w:p w14:paraId="7A1DB974" w14:textId="77777777" w:rsidR="005E614D" w:rsidRDefault="000C3A94">
            <w:pPr>
              <w:cnfStyle w:val="000000000000" w:firstRow="0" w:lastRow="0" w:firstColumn="0" w:lastColumn="0" w:oddVBand="0" w:evenVBand="0" w:oddHBand="0" w:evenHBand="0" w:firstRowFirstColumn="0" w:firstRowLastColumn="0" w:lastRowFirstColumn="0" w:lastRowLastColumn="0"/>
            </w:pPr>
            <w:r>
              <w:t>1 661</w:t>
            </w:r>
          </w:p>
        </w:tc>
        <w:tc>
          <w:tcPr>
            <w:tcW w:w="1027" w:type="dxa"/>
          </w:tcPr>
          <w:p w14:paraId="61609F6F" w14:textId="77777777" w:rsidR="005E614D" w:rsidRDefault="000C3A94">
            <w:pPr>
              <w:cnfStyle w:val="000000000000" w:firstRow="0" w:lastRow="0" w:firstColumn="0" w:lastColumn="0" w:oddVBand="0" w:evenVBand="0" w:oddHBand="0" w:evenHBand="0" w:firstRowFirstColumn="0" w:firstRowLastColumn="0" w:lastRowFirstColumn="0" w:lastRowLastColumn="0"/>
            </w:pPr>
            <w:r>
              <w:t>9</w:t>
            </w:r>
          </w:p>
        </w:tc>
        <w:tc>
          <w:tcPr>
            <w:tcW w:w="1028" w:type="dxa"/>
          </w:tcPr>
          <w:p w14:paraId="52D14EBF"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r>
      <w:tr w:rsidR="005E614D" w14:paraId="0354D1DC" w14:textId="77777777">
        <w:tc>
          <w:tcPr>
            <w:cnfStyle w:val="001000000000" w:firstRow="0" w:lastRow="0" w:firstColumn="1" w:lastColumn="0" w:oddVBand="0" w:evenVBand="0" w:oddHBand="0" w:evenHBand="0" w:firstRowFirstColumn="0" w:firstRowLastColumn="0" w:lastRowFirstColumn="0" w:lastRowLastColumn="0"/>
            <w:tcW w:w="5529" w:type="dxa"/>
          </w:tcPr>
          <w:p w14:paraId="634D301B" w14:textId="77777777" w:rsidR="005E614D" w:rsidRDefault="000C3A94">
            <w:r>
              <w:t>Other movements in equity</w:t>
            </w:r>
          </w:p>
        </w:tc>
        <w:tc>
          <w:tcPr>
            <w:tcW w:w="1027" w:type="dxa"/>
          </w:tcPr>
          <w:p w14:paraId="233B7199"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1027" w:type="dxa"/>
          </w:tcPr>
          <w:p w14:paraId="3A81C2BD" w14:textId="77777777" w:rsidR="005E614D" w:rsidRDefault="000C3A94">
            <w:pPr>
              <w:cnfStyle w:val="000000000000" w:firstRow="0" w:lastRow="0" w:firstColumn="0" w:lastColumn="0" w:oddVBand="0" w:evenVBand="0" w:oddHBand="0" w:evenHBand="0" w:firstRowFirstColumn="0" w:firstRowLastColumn="0" w:lastRowFirstColumn="0" w:lastRowLastColumn="0"/>
            </w:pPr>
            <w:r>
              <w:t>108</w:t>
            </w:r>
          </w:p>
        </w:tc>
        <w:tc>
          <w:tcPr>
            <w:tcW w:w="1027" w:type="dxa"/>
          </w:tcPr>
          <w:p w14:paraId="1F18A36E"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c>
          <w:tcPr>
            <w:tcW w:w="1028" w:type="dxa"/>
          </w:tcPr>
          <w:p w14:paraId="0F42737A" w14:textId="77777777" w:rsidR="005E614D" w:rsidRDefault="000C3A94">
            <w:pPr>
              <w:cnfStyle w:val="000000000000" w:firstRow="0" w:lastRow="0" w:firstColumn="0" w:lastColumn="0" w:oddVBand="0" w:evenVBand="0" w:oddHBand="0" w:evenHBand="0" w:firstRowFirstColumn="0" w:firstRowLastColumn="0" w:lastRowFirstColumn="0" w:lastRowLastColumn="0"/>
            </w:pPr>
            <w:r>
              <w:t>(175)</w:t>
            </w:r>
          </w:p>
        </w:tc>
      </w:tr>
      <w:tr w:rsidR="005E614D" w14:paraId="392ADB77" w14:textId="77777777">
        <w:tc>
          <w:tcPr>
            <w:cnfStyle w:val="001000000000" w:firstRow="0" w:lastRow="0" w:firstColumn="1" w:lastColumn="0" w:oddVBand="0" w:evenVBand="0" w:oddHBand="0" w:evenHBand="0" w:firstRowFirstColumn="0" w:firstRowLastColumn="0" w:lastRowFirstColumn="0" w:lastRowLastColumn="0"/>
            <w:tcW w:w="5529" w:type="dxa"/>
          </w:tcPr>
          <w:p w14:paraId="6803A3C9" w14:textId="77777777" w:rsidR="005E614D" w:rsidRDefault="000C3A94">
            <w:r>
              <w:rPr>
                <w:b/>
              </w:rPr>
              <w:t>Items that may be reclassified subsequently to net result</w:t>
            </w:r>
          </w:p>
        </w:tc>
        <w:tc>
          <w:tcPr>
            <w:tcW w:w="1027" w:type="dxa"/>
          </w:tcPr>
          <w:p w14:paraId="6EAF3F1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5413795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0A22FCB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7B45A07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8863738" w14:textId="77777777">
        <w:tc>
          <w:tcPr>
            <w:cnfStyle w:val="001000000000" w:firstRow="0" w:lastRow="0" w:firstColumn="1" w:lastColumn="0" w:oddVBand="0" w:evenVBand="0" w:oddHBand="0" w:evenHBand="0" w:firstRowFirstColumn="0" w:firstRowLastColumn="0" w:lastRowFirstColumn="0" w:lastRowLastColumn="0"/>
            <w:tcW w:w="5529" w:type="dxa"/>
          </w:tcPr>
          <w:p w14:paraId="3C32280B" w14:textId="77777777" w:rsidR="005E614D" w:rsidRDefault="000C3A94">
            <w:r>
              <w:t>Net gain/(loss) on financial assets at fair value</w:t>
            </w:r>
          </w:p>
        </w:tc>
        <w:tc>
          <w:tcPr>
            <w:tcW w:w="1027" w:type="dxa"/>
          </w:tcPr>
          <w:p w14:paraId="6B36F03B"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1027" w:type="dxa"/>
          </w:tcPr>
          <w:p w14:paraId="35AAF727"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1027" w:type="dxa"/>
          </w:tcPr>
          <w:p w14:paraId="7AD86669"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1028" w:type="dxa"/>
          </w:tcPr>
          <w:p w14:paraId="5ADDC2C7"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r>
      <w:tr w:rsidR="005E614D" w14:paraId="060D84F0"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20011A8A" w14:textId="77777777" w:rsidR="005E614D" w:rsidRDefault="000C3A94">
            <w:r>
              <w:t>Net gain/(loss) on equity investments in other sector entities at proportional share of the carrying amount of net assets</w:t>
            </w:r>
          </w:p>
        </w:tc>
        <w:tc>
          <w:tcPr>
            <w:tcW w:w="1027" w:type="dxa"/>
            <w:tcBorders>
              <w:bottom w:val="single" w:sz="6" w:space="0" w:color="auto"/>
            </w:tcBorders>
          </w:tcPr>
          <w:p w14:paraId="6563E6A3"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1027" w:type="dxa"/>
            <w:tcBorders>
              <w:bottom w:val="single" w:sz="6" w:space="0" w:color="auto"/>
            </w:tcBorders>
          </w:tcPr>
          <w:p w14:paraId="4493F87F" w14:textId="77777777" w:rsidR="005E614D" w:rsidRDefault="000C3A94">
            <w:pPr>
              <w:cnfStyle w:val="000000000000" w:firstRow="0" w:lastRow="0" w:firstColumn="0" w:lastColumn="0" w:oddVBand="0" w:evenVBand="0" w:oddHBand="0" w:evenHBand="0" w:firstRowFirstColumn="0" w:firstRowLastColumn="0" w:lastRowFirstColumn="0" w:lastRowLastColumn="0"/>
            </w:pPr>
            <w:r>
              <w:t>(1 864)</w:t>
            </w:r>
          </w:p>
        </w:tc>
        <w:tc>
          <w:tcPr>
            <w:tcW w:w="1027" w:type="dxa"/>
            <w:tcBorders>
              <w:bottom w:val="single" w:sz="6" w:space="0" w:color="auto"/>
            </w:tcBorders>
          </w:tcPr>
          <w:p w14:paraId="7BB0EE95" w14:textId="49F4865D" w:rsidR="005E614D" w:rsidRDefault="000A2A47">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6" w:space="0" w:color="auto"/>
            </w:tcBorders>
          </w:tcPr>
          <w:p w14:paraId="4DBDD126" w14:textId="7D2B831E" w:rsidR="005E614D" w:rsidRDefault="000A2A47">
            <w:pPr>
              <w:cnfStyle w:val="000000000000" w:firstRow="0" w:lastRow="0" w:firstColumn="0" w:lastColumn="0" w:oddVBand="0" w:evenVBand="0" w:oddHBand="0" w:evenHBand="0" w:firstRowFirstColumn="0" w:firstRowLastColumn="0" w:lastRowFirstColumn="0" w:lastRowLastColumn="0"/>
            </w:pPr>
            <w:r>
              <w:t>..</w:t>
            </w:r>
          </w:p>
        </w:tc>
      </w:tr>
      <w:tr w:rsidR="005E614D" w14:paraId="382DF9B1"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4FB18E67" w14:textId="16D86FC5" w:rsidR="005E614D" w:rsidRDefault="000C3A94">
            <w:r>
              <w:rPr>
                <w:b/>
              </w:rPr>
              <w:t xml:space="preserve">Total other economic flows – </w:t>
            </w:r>
            <w:r w:rsidR="00A267DC">
              <w:rPr>
                <w:b/>
              </w:rPr>
              <w:t>O</w:t>
            </w:r>
            <w:r>
              <w:rPr>
                <w:b/>
              </w:rPr>
              <w:t>ther comprehensive income</w:t>
            </w:r>
          </w:p>
        </w:tc>
        <w:tc>
          <w:tcPr>
            <w:tcW w:w="1027" w:type="dxa"/>
            <w:tcBorders>
              <w:top w:val="single" w:sz="6" w:space="0" w:color="auto"/>
              <w:bottom w:val="single" w:sz="6" w:space="0" w:color="auto"/>
            </w:tcBorders>
          </w:tcPr>
          <w:p w14:paraId="69B0ED7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1 519</w:t>
            </w:r>
          </w:p>
        </w:tc>
        <w:tc>
          <w:tcPr>
            <w:tcW w:w="1027" w:type="dxa"/>
            <w:tcBorders>
              <w:top w:val="single" w:sz="6" w:space="0" w:color="auto"/>
              <w:bottom w:val="single" w:sz="6" w:space="0" w:color="auto"/>
            </w:tcBorders>
          </w:tcPr>
          <w:p w14:paraId="4393E01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7 569</w:t>
            </w:r>
          </w:p>
        </w:tc>
        <w:tc>
          <w:tcPr>
            <w:tcW w:w="1027" w:type="dxa"/>
            <w:tcBorders>
              <w:top w:val="single" w:sz="6" w:space="0" w:color="auto"/>
              <w:bottom w:val="single" w:sz="6" w:space="0" w:color="auto"/>
            </w:tcBorders>
          </w:tcPr>
          <w:p w14:paraId="1B0828E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830</w:t>
            </w:r>
          </w:p>
        </w:tc>
        <w:tc>
          <w:tcPr>
            <w:tcW w:w="1028" w:type="dxa"/>
            <w:tcBorders>
              <w:top w:val="single" w:sz="6" w:space="0" w:color="auto"/>
              <w:bottom w:val="single" w:sz="6" w:space="0" w:color="auto"/>
            </w:tcBorders>
          </w:tcPr>
          <w:p w14:paraId="2316AE6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1 721</w:t>
            </w:r>
          </w:p>
        </w:tc>
      </w:tr>
      <w:tr w:rsidR="005E614D" w14:paraId="6F66A913"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56D0C554" w14:textId="4C01CE09" w:rsidR="005E614D" w:rsidRDefault="000C3A94">
            <w:r>
              <w:rPr>
                <w:b/>
              </w:rPr>
              <w:t xml:space="preserve">Comprehensive result – </w:t>
            </w:r>
            <w:r w:rsidR="00A267DC">
              <w:rPr>
                <w:b/>
              </w:rPr>
              <w:t>T</w:t>
            </w:r>
            <w:r>
              <w:rPr>
                <w:b/>
              </w:rPr>
              <w:t>otal change in net worth</w:t>
            </w:r>
          </w:p>
        </w:tc>
        <w:tc>
          <w:tcPr>
            <w:tcW w:w="1027" w:type="dxa"/>
            <w:tcBorders>
              <w:top w:val="single" w:sz="6" w:space="0" w:color="auto"/>
              <w:bottom w:val="single" w:sz="12" w:space="0" w:color="auto"/>
            </w:tcBorders>
          </w:tcPr>
          <w:p w14:paraId="222F130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(511)</w:t>
            </w:r>
          </w:p>
        </w:tc>
        <w:tc>
          <w:tcPr>
            <w:tcW w:w="1027" w:type="dxa"/>
            <w:tcBorders>
              <w:top w:val="single" w:sz="6" w:space="0" w:color="auto"/>
              <w:bottom w:val="single" w:sz="12" w:space="0" w:color="auto"/>
            </w:tcBorders>
          </w:tcPr>
          <w:p w14:paraId="02FA333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3 076</w:t>
            </w:r>
          </w:p>
        </w:tc>
        <w:tc>
          <w:tcPr>
            <w:tcW w:w="1027" w:type="dxa"/>
            <w:tcBorders>
              <w:top w:val="single" w:sz="6" w:space="0" w:color="auto"/>
              <w:bottom w:val="single" w:sz="12" w:space="0" w:color="auto"/>
            </w:tcBorders>
          </w:tcPr>
          <w:p w14:paraId="538B6A8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(12 238)</w:t>
            </w:r>
          </w:p>
        </w:tc>
        <w:tc>
          <w:tcPr>
            <w:tcW w:w="1028" w:type="dxa"/>
            <w:tcBorders>
              <w:top w:val="single" w:sz="6" w:space="0" w:color="auto"/>
              <w:bottom w:val="single" w:sz="12" w:space="0" w:color="auto"/>
            </w:tcBorders>
          </w:tcPr>
          <w:p w14:paraId="26824A3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(1 457)</w:t>
            </w:r>
          </w:p>
        </w:tc>
      </w:tr>
      <w:tr w:rsidR="005E614D" w14:paraId="1F158E8D" w14:textId="77777777" w:rsidTr="004A2065">
        <w:trPr>
          <w:trHeight w:hRule="exact" w:val="113"/>
        </w:trPr>
        <w:tc>
          <w:tcPr>
            <w:cnfStyle w:val="001000000000" w:firstRow="0" w:lastRow="0" w:firstColumn="1" w:lastColumn="0" w:oddVBand="0" w:evenVBand="0" w:oddHBand="0" w:evenHBand="0" w:firstRowFirstColumn="0" w:firstRowLastColumn="0" w:lastRowFirstColumn="0" w:lastRowLastColumn="0"/>
            <w:tcW w:w="5529" w:type="dxa"/>
            <w:tcBorders>
              <w:top w:val="single" w:sz="0" w:space="0" w:color="auto"/>
            </w:tcBorders>
          </w:tcPr>
          <w:p w14:paraId="50713078" w14:textId="77777777" w:rsidR="005E614D" w:rsidRDefault="005E614D"/>
        </w:tc>
        <w:tc>
          <w:tcPr>
            <w:tcW w:w="1027" w:type="dxa"/>
            <w:tcBorders>
              <w:top w:val="single" w:sz="0" w:space="0" w:color="auto"/>
            </w:tcBorders>
          </w:tcPr>
          <w:p w14:paraId="215D3B1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10B0D6D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6B2EEF1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029812C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F18ADD9" w14:textId="77777777">
        <w:tc>
          <w:tcPr>
            <w:cnfStyle w:val="001000000000" w:firstRow="0" w:lastRow="0" w:firstColumn="1" w:lastColumn="0" w:oddVBand="0" w:evenVBand="0" w:oddHBand="0" w:evenHBand="0" w:firstRowFirstColumn="0" w:firstRowLastColumn="0" w:lastRowFirstColumn="0" w:lastRowLastColumn="0"/>
            <w:tcW w:w="5529" w:type="dxa"/>
          </w:tcPr>
          <w:p w14:paraId="190A6F6D" w14:textId="77777777" w:rsidR="005E614D" w:rsidRDefault="000C3A94">
            <w:r>
              <w:rPr>
                <w:b/>
              </w:rPr>
              <w:t>FISCAL AGGREGRATES</w:t>
            </w:r>
          </w:p>
        </w:tc>
        <w:tc>
          <w:tcPr>
            <w:tcW w:w="1027" w:type="dxa"/>
          </w:tcPr>
          <w:p w14:paraId="4061558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711C01D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5A7EE24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50BC9E7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98D0950" w14:textId="77777777">
        <w:tc>
          <w:tcPr>
            <w:cnfStyle w:val="001000000000" w:firstRow="0" w:lastRow="0" w:firstColumn="1" w:lastColumn="0" w:oddVBand="0" w:evenVBand="0" w:oddHBand="0" w:evenHBand="0" w:firstRowFirstColumn="0" w:firstRowLastColumn="0" w:lastRowFirstColumn="0" w:lastRowLastColumn="0"/>
            <w:tcW w:w="5529" w:type="dxa"/>
          </w:tcPr>
          <w:p w14:paraId="20D23D85" w14:textId="77777777" w:rsidR="005E614D" w:rsidRDefault="000C3A94">
            <w:r>
              <w:rPr>
                <w:b/>
              </w:rPr>
              <w:t>Net operating balance</w:t>
            </w:r>
          </w:p>
        </w:tc>
        <w:tc>
          <w:tcPr>
            <w:tcW w:w="1027" w:type="dxa"/>
          </w:tcPr>
          <w:p w14:paraId="3C8EC92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(2 626)</w:t>
            </w:r>
          </w:p>
        </w:tc>
        <w:tc>
          <w:tcPr>
            <w:tcW w:w="1027" w:type="dxa"/>
          </w:tcPr>
          <w:p w14:paraId="4CC7624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(4 223)</w:t>
            </w:r>
          </w:p>
        </w:tc>
        <w:tc>
          <w:tcPr>
            <w:tcW w:w="1027" w:type="dxa"/>
          </w:tcPr>
          <w:p w14:paraId="18118BA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(121)</w:t>
            </w:r>
          </w:p>
        </w:tc>
        <w:tc>
          <w:tcPr>
            <w:tcW w:w="1028" w:type="dxa"/>
          </w:tcPr>
          <w:p w14:paraId="7427E51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w:t>
            </w:r>
          </w:p>
        </w:tc>
      </w:tr>
      <w:tr w:rsidR="005E614D" w14:paraId="2D37C5F2" w14:textId="77777777">
        <w:tc>
          <w:tcPr>
            <w:cnfStyle w:val="001000000000" w:firstRow="0" w:lastRow="0" w:firstColumn="1" w:lastColumn="0" w:oddVBand="0" w:evenVBand="0" w:oddHBand="0" w:evenHBand="0" w:firstRowFirstColumn="0" w:firstRowLastColumn="0" w:lastRowFirstColumn="0" w:lastRowLastColumn="0"/>
            <w:tcW w:w="5529" w:type="dxa"/>
          </w:tcPr>
          <w:p w14:paraId="72AB0712" w14:textId="77777777" w:rsidR="005E614D" w:rsidRDefault="000C3A94">
            <w:r>
              <w:t>Purchases of non</w:t>
            </w:r>
            <w:r>
              <w:noBreakHyphen/>
              <w:t>financial assets (including change in inventories)</w:t>
            </w:r>
          </w:p>
        </w:tc>
        <w:tc>
          <w:tcPr>
            <w:tcW w:w="1027" w:type="dxa"/>
          </w:tcPr>
          <w:p w14:paraId="263B228B" w14:textId="77777777" w:rsidR="005E614D" w:rsidRDefault="000C3A94">
            <w:pPr>
              <w:cnfStyle w:val="000000000000" w:firstRow="0" w:lastRow="0" w:firstColumn="0" w:lastColumn="0" w:oddVBand="0" w:evenVBand="0" w:oddHBand="0" w:evenHBand="0" w:firstRowFirstColumn="0" w:firstRowLastColumn="0" w:lastRowFirstColumn="0" w:lastRowLastColumn="0"/>
            </w:pPr>
            <w:r>
              <w:t>16 190</w:t>
            </w:r>
          </w:p>
        </w:tc>
        <w:tc>
          <w:tcPr>
            <w:tcW w:w="1027" w:type="dxa"/>
          </w:tcPr>
          <w:p w14:paraId="45A902A4" w14:textId="77777777" w:rsidR="005E614D" w:rsidRDefault="000C3A94">
            <w:pPr>
              <w:cnfStyle w:val="000000000000" w:firstRow="0" w:lastRow="0" w:firstColumn="0" w:lastColumn="0" w:oddVBand="0" w:evenVBand="0" w:oddHBand="0" w:evenHBand="0" w:firstRowFirstColumn="0" w:firstRowLastColumn="0" w:lastRowFirstColumn="0" w:lastRowLastColumn="0"/>
            </w:pPr>
            <w:r>
              <w:t>17 328</w:t>
            </w:r>
          </w:p>
        </w:tc>
        <w:tc>
          <w:tcPr>
            <w:tcW w:w="1027" w:type="dxa"/>
          </w:tcPr>
          <w:p w14:paraId="7FD726BD" w14:textId="77777777" w:rsidR="005E614D" w:rsidRDefault="000C3A94">
            <w:pPr>
              <w:cnfStyle w:val="000000000000" w:firstRow="0" w:lastRow="0" w:firstColumn="0" w:lastColumn="0" w:oddVBand="0" w:evenVBand="0" w:oddHBand="0" w:evenHBand="0" w:firstRowFirstColumn="0" w:firstRowLastColumn="0" w:lastRowFirstColumn="0" w:lastRowLastColumn="0"/>
            </w:pPr>
            <w:r>
              <w:t>6 162</w:t>
            </w:r>
          </w:p>
        </w:tc>
        <w:tc>
          <w:tcPr>
            <w:tcW w:w="1028" w:type="dxa"/>
          </w:tcPr>
          <w:p w14:paraId="7BF626B4" w14:textId="77777777" w:rsidR="005E614D" w:rsidRDefault="000C3A94">
            <w:pPr>
              <w:cnfStyle w:val="000000000000" w:firstRow="0" w:lastRow="0" w:firstColumn="0" w:lastColumn="0" w:oddVBand="0" w:evenVBand="0" w:oddHBand="0" w:evenHBand="0" w:firstRowFirstColumn="0" w:firstRowLastColumn="0" w:lastRowFirstColumn="0" w:lastRowLastColumn="0"/>
            </w:pPr>
            <w:r>
              <w:t>5 763</w:t>
            </w:r>
          </w:p>
        </w:tc>
      </w:tr>
      <w:tr w:rsidR="005E614D" w14:paraId="5D4D2FA3" w14:textId="77777777">
        <w:tc>
          <w:tcPr>
            <w:cnfStyle w:val="001000000000" w:firstRow="0" w:lastRow="0" w:firstColumn="1" w:lastColumn="0" w:oddVBand="0" w:evenVBand="0" w:oddHBand="0" w:evenHBand="0" w:firstRowFirstColumn="0" w:firstRowLastColumn="0" w:lastRowFirstColumn="0" w:lastRowLastColumn="0"/>
            <w:tcW w:w="5529" w:type="dxa"/>
          </w:tcPr>
          <w:p w14:paraId="4FB1A6CF" w14:textId="77777777" w:rsidR="005E614D" w:rsidRDefault="000C3A94">
            <w:r>
              <w:t>Less: Sales of non</w:t>
            </w:r>
            <w:r>
              <w:noBreakHyphen/>
              <w:t>financial assets</w:t>
            </w:r>
          </w:p>
        </w:tc>
        <w:tc>
          <w:tcPr>
            <w:tcW w:w="1027" w:type="dxa"/>
          </w:tcPr>
          <w:p w14:paraId="6D59417E" w14:textId="77777777" w:rsidR="005E614D" w:rsidRDefault="000C3A94">
            <w:pPr>
              <w:cnfStyle w:val="000000000000" w:firstRow="0" w:lastRow="0" w:firstColumn="0" w:lastColumn="0" w:oddVBand="0" w:evenVBand="0" w:oddHBand="0" w:evenHBand="0" w:firstRowFirstColumn="0" w:firstRowLastColumn="0" w:lastRowFirstColumn="0" w:lastRowLastColumn="0"/>
            </w:pPr>
            <w:r>
              <w:t>(232)</w:t>
            </w:r>
          </w:p>
        </w:tc>
        <w:tc>
          <w:tcPr>
            <w:tcW w:w="1027" w:type="dxa"/>
          </w:tcPr>
          <w:p w14:paraId="14326700" w14:textId="77777777" w:rsidR="005E614D" w:rsidRDefault="000C3A94">
            <w:pPr>
              <w:cnfStyle w:val="000000000000" w:firstRow="0" w:lastRow="0" w:firstColumn="0" w:lastColumn="0" w:oddVBand="0" w:evenVBand="0" w:oddHBand="0" w:evenHBand="0" w:firstRowFirstColumn="0" w:firstRowLastColumn="0" w:lastRowFirstColumn="0" w:lastRowLastColumn="0"/>
            </w:pPr>
            <w:r>
              <w:t>(319)</w:t>
            </w:r>
          </w:p>
        </w:tc>
        <w:tc>
          <w:tcPr>
            <w:tcW w:w="1027" w:type="dxa"/>
          </w:tcPr>
          <w:p w14:paraId="6CA637F3" w14:textId="77777777" w:rsidR="005E614D" w:rsidRDefault="000C3A94">
            <w:pPr>
              <w:cnfStyle w:val="000000000000" w:firstRow="0" w:lastRow="0" w:firstColumn="0" w:lastColumn="0" w:oddVBand="0" w:evenVBand="0" w:oddHBand="0" w:evenHBand="0" w:firstRowFirstColumn="0" w:firstRowLastColumn="0" w:lastRowFirstColumn="0" w:lastRowLastColumn="0"/>
            </w:pPr>
            <w:r>
              <w:t>(168)</w:t>
            </w:r>
          </w:p>
        </w:tc>
        <w:tc>
          <w:tcPr>
            <w:tcW w:w="1028" w:type="dxa"/>
          </w:tcPr>
          <w:p w14:paraId="3FBD5406" w14:textId="77777777" w:rsidR="005E614D" w:rsidRDefault="000C3A94">
            <w:pPr>
              <w:cnfStyle w:val="000000000000" w:firstRow="0" w:lastRow="0" w:firstColumn="0" w:lastColumn="0" w:oddVBand="0" w:evenVBand="0" w:oddHBand="0" w:evenHBand="0" w:firstRowFirstColumn="0" w:firstRowLastColumn="0" w:lastRowFirstColumn="0" w:lastRowLastColumn="0"/>
            </w:pPr>
            <w:r>
              <w:t>(351)</w:t>
            </w:r>
          </w:p>
        </w:tc>
      </w:tr>
      <w:tr w:rsidR="005E614D" w14:paraId="1F7BE2ED" w14:textId="77777777">
        <w:tc>
          <w:tcPr>
            <w:cnfStyle w:val="001000000000" w:firstRow="0" w:lastRow="0" w:firstColumn="1" w:lastColumn="0" w:oddVBand="0" w:evenVBand="0" w:oddHBand="0" w:evenHBand="0" w:firstRowFirstColumn="0" w:firstRowLastColumn="0" w:lastRowFirstColumn="0" w:lastRowLastColumn="0"/>
            <w:tcW w:w="5529" w:type="dxa"/>
          </w:tcPr>
          <w:p w14:paraId="752968A9" w14:textId="77777777" w:rsidR="005E614D" w:rsidRDefault="000C3A94">
            <w:r>
              <w:t>Less: Depreciation and amortisation</w:t>
            </w:r>
          </w:p>
        </w:tc>
        <w:tc>
          <w:tcPr>
            <w:tcW w:w="1027" w:type="dxa"/>
          </w:tcPr>
          <w:p w14:paraId="50A1238A" w14:textId="77777777" w:rsidR="005E614D" w:rsidRDefault="000C3A94">
            <w:pPr>
              <w:cnfStyle w:val="000000000000" w:firstRow="0" w:lastRow="0" w:firstColumn="0" w:lastColumn="0" w:oddVBand="0" w:evenVBand="0" w:oddHBand="0" w:evenHBand="0" w:firstRowFirstColumn="0" w:firstRowLastColumn="0" w:lastRowFirstColumn="0" w:lastRowLastColumn="0"/>
            </w:pPr>
            <w:r>
              <w:t>(5 462)</w:t>
            </w:r>
          </w:p>
        </w:tc>
        <w:tc>
          <w:tcPr>
            <w:tcW w:w="1027" w:type="dxa"/>
          </w:tcPr>
          <w:p w14:paraId="50DD409F" w14:textId="77777777" w:rsidR="005E614D" w:rsidRDefault="000C3A94">
            <w:pPr>
              <w:cnfStyle w:val="000000000000" w:firstRow="0" w:lastRow="0" w:firstColumn="0" w:lastColumn="0" w:oddVBand="0" w:evenVBand="0" w:oddHBand="0" w:evenHBand="0" w:firstRowFirstColumn="0" w:firstRowLastColumn="0" w:lastRowFirstColumn="0" w:lastRowLastColumn="0"/>
            </w:pPr>
            <w:r>
              <w:t>(4 967)</w:t>
            </w:r>
          </w:p>
        </w:tc>
        <w:tc>
          <w:tcPr>
            <w:tcW w:w="1027" w:type="dxa"/>
          </w:tcPr>
          <w:p w14:paraId="5304E548" w14:textId="77777777" w:rsidR="005E614D" w:rsidRDefault="000C3A94">
            <w:pPr>
              <w:cnfStyle w:val="000000000000" w:firstRow="0" w:lastRow="0" w:firstColumn="0" w:lastColumn="0" w:oddVBand="0" w:evenVBand="0" w:oddHBand="0" w:evenHBand="0" w:firstRowFirstColumn="0" w:firstRowLastColumn="0" w:lastRowFirstColumn="0" w:lastRowLastColumn="0"/>
            </w:pPr>
            <w:r>
              <w:t>(2 360)</w:t>
            </w:r>
          </w:p>
        </w:tc>
        <w:tc>
          <w:tcPr>
            <w:tcW w:w="1028" w:type="dxa"/>
          </w:tcPr>
          <w:p w14:paraId="7DDCECF8" w14:textId="77777777" w:rsidR="005E614D" w:rsidRDefault="000C3A94">
            <w:pPr>
              <w:cnfStyle w:val="000000000000" w:firstRow="0" w:lastRow="0" w:firstColumn="0" w:lastColumn="0" w:oddVBand="0" w:evenVBand="0" w:oddHBand="0" w:evenHBand="0" w:firstRowFirstColumn="0" w:firstRowLastColumn="0" w:lastRowFirstColumn="0" w:lastRowLastColumn="0"/>
            </w:pPr>
            <w:r>
              <w:t>(2 120)</w:t>
            </w:r>
          </w:p>
        </w:tc>
      </w:tr>
      <w:tr w:rsidR="005E614D" w14:paraId="028C0ED4" w14:textId="77777777">
        <w:tc>
          <w:tcPr>
            <w:cnfStyle w:val="001000000000" w:firstRow="0" w:lastRow="0" w:firstColumn="1" w:lastColumn="0" w:oddVBand="0" w:evenVBand="0" w:oddHBand="0" w:evenHBand="0" w:firstRowFirstColumn="0" w:firstRowLastColumn="0" w:lastRowFirstColumn="0" w:lastRowLastColumn="0"/>
            <w:tcW w:w="5529" w:type="dxa"/>
          </w:tcPr>
          <w:p w14:paraId="6EBD6940" w14:textId="77777777" w:rsidR="005E614D" w:rsidRDefault="000C3A94">
            <w:r>
              <w:t>Plus: Other movements in non</w:t>
            </w:r>
            <w:r>
              <w:noBreakHyphen/>
              <w:t>financial assets</w:t>
            </w:r>
          </w:p>
        </w:tc>
        <w:tc>
          <w:tcPr>
            <w:tcW w:w="1027" w:type="dxa"/>
          </w:tcPr>
          <w:p w14:paraId="737B9D34" w14:textId="77777777" w:rsidR="005E614D" w:rsidRDefault="000C3A94">
            <w:pPr>
              <w:cnfStyle w:val="000000000000" w:firstRow="0" w:lastRow="0" w:firstColumn="0" w:lastColumn="0" w:oddVBand="0" w:evenVBand="0" w:oddHBand="0" w:evenHBand="0" w:firstRowFirstColumn="0" w:firstRowLastColumn="0" w:lastRowFirstColumn="0" w:lastRowLastColumn="0"/>
            </w:pPr>
            <w:r>
              <w:t>(42)</w:t>
            </w:r>
          </w:p>
        </w:tc>
        <w:tc>
          <w:tcPr>
            <w:tcW w:w="1027" w:type="dxa"/>
          </w:tcPr>
          <w:p w14:paraId="684AD5E4" w14:textId="77777777" w:rsidR="005E614D" w:rsidRDefault="000C3A94">
            <w:pPr>
              <w:cnfStyle w:val="000000000000" w:firstRow="0" w:lastRow="0" w:firstColumn="0" w:lastColumn="0" w:oddVBand="0" w:evenVBand="0" w:oddHBand="0" w:evenHBand="0" w:firstRowFirstColumn="0" w:firstRowLastColumn="0" w:lastRowFirstColumn="0" w:lastRowLastColumn="0"/>
            </w:pPr>
            <w:r>
              <w:t>833</w:t>
            </w:r>
          </w:p>
        </w:tc>
        <w:tc>
          <w:tcPr>
            <w:tcW w:w="1027" w:type="dxa"/>
          </w:tcPr>
          <w:p w14:paraId="19FC6B5D" w14:textId="77777777" w:rsidR="005E614D" w:rsidRDefault="000C3A94">
            <w:pPr>
              <w:cnfStyle w:val="000000000000" w:firstRow="0" w:lastRow="0" w:firstColumn="0" w:lastColumn="0" w:oddVBand="0" w:evenVBand="0" w:oddHBand="0" w:evenHBand="0" w:firstRowFirstColumn="0" w:firstRowLastColumn="0" w:lastRowFirstColumn="0" w:lastRowLastColumn="0"/>
            </w:pPr>
            <w:r>
              <w:t>4 796</w:t>
            </w:r>
          </w:p>
        </w:tc>
        <w:tc>
          <w:tcPr>
            <w:tcW w:w="1028" w:type="dxa"/>
          </w:tcPr>
          <w:p w14:paraId="03AF98F8" w14:textId="77777777" w:rsidR="005E614D" w:rsidRDefault="000C3A94">
            <w:pPr>
              <w:cnfStyle w:val="000000000000" w:firstRow="0" w:lastRow="0" w:firstColumn="0" w:lastColumn="0" w:oddVBand="0" w:evenVBand="0" w:oddHBand="0" w:evenHBand="0" w:firstRowFirstColumn="0" w:firstRowLastColumn="0" w:lastRowFirstColumn="0" w:lastRowLastColumn="0"/>
            </w:pPr>
            <w:r>
              <w:t>3 673</w:t>
            </w:r>
          </w:p>
        </w:tc>
      </w:tr>
      <w:tr w:rsidR="005E614D" w14:paraId="6760CDBD"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52219F59" w14:textId="77777777" w:rsidR="005E614D" w:rsidRDefault="000C3A94">
            <w:r>
              <w:rPr>
                <w:b/>
              </w:rPr>
              <w:t>Less: Net acquisition of non</w:t>
            </w:r>
            <w:r>
              <w:rPr>
                <w:b/>
              </w:rPr>
              <w:noBreakHyphen/>
              <w:t>financial assets from transactions</w:t>
            </w:r>
          </w:p>
        </w:tc>
        <w:tc>
          <w:tcPr>
            <w:tcW w:w="1027" w:type="dxa"/>
            <w:tcBorders>
              <w:bottom w:val="single" w:sz="6" w:space="0" w:color="auto"/>
            </w:tcBorders>
          </w:tcPr>
          <w:p w14:paraId="6EEB0C5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10 454</w:t>
            </w:r>
          </w:p>
        </w:tc>
        <w:tc>
          <w:tcPr>
            <w:tcW w:w="1027" w:type="dxa"/>
            <w:tcBorders>
              <w:bottom w:val="single" w:sz="6" w:space="0" w:color="auto"/>
            </w:tcBorders>
          </w:tcPr>
          <w:p w14:paraId="4A459C3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12 875</w:t>
            </w:r>
          </w:p>
        </w:tc>
        <w:tc>
          <w:tcPr>
            <w:tcW w:w="1027" w:type="dxa"/>
            <w:tcBorders>
              <w:bottom w:val="single" w:sz="6" w:space="0" w:color="auto"/>
            </w:tcBorders>
          </w:tcPr>
          <w:p w14:paraId="6B866A0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8 430</w:t>
            </w:r>
          </w:p>
        </w:tc>
        <w:tc>
          <w:tcPr>
            <w:tcW w:w="1028" w:type="dxa"/>
            <w:tcBorders>
              <w:bottom w:val="single" w:sz="6" w:space="0" w:color="auto"/>
            </w:tcBorders>
          </w:tcPr>
          <w:p w14:paraId="1E9F7BE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6 966</w:t>
            </w:r>
          </w:p>
        </w:tc>
      </w:tr>
      <w:tr w:rsidR="005E614D" w14:paraId="424E9991"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07C1CBCB" w14:textId="77777777" w:rsidR="005E614D" w:rsidRDefault="000C3A94">
            <w:r>
              <w:rPr>
                <w:b/>
              </w:rPr>
              <w:t>Net lending/(borrowing)</w:t>
            </w:r>
          </w:p>
        </w:tc>
        <w:tc>
          <w:tcPr>
            <w:tcW w:w="1027" w:type="dxa"/>
            <w:tcBorders>
              <w:top w:val="single" w:sz="6" w:space="0" w:color="auto"/>
              <w:bottom w:val="single" w:sz="12" w:space="0" w:color="auto"/>
            </w:tcBorders>
          </w:tcPr>
          <w:p w14:paraId="30B3CF1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(13 079)</w:t>
            </w:r>
          </w:p>
        </w:tc>
        <w:tc>
          <w:tcPr>
            <w:tcW w:w="1027" w:type="dxa"/>
            <w:tcBorders>
              <w:top w:val="single" w:sz="6" w:space="0" w:color="auto"/>
              <w:bottom w:val="single" w:sz="12" w:space="0" w:color="auto"/>
            </w:tcBorders>
          </w:tcPr>
          <w:p w14:paraId="7D1C5C8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(17 099)</w:t>
            </w:r>
          </w:p>
        </w:tc>
        <w:tc>
          <w:tcPr>
            <w:tcW w:w="1027" w:type="dxa"/>
            <w:tcBorders>
              <w:top w:val="single" w:sz="6" w:space="0" w:color="auto"/>
              <w:bottom w:val="single" w:sz="12" w:space="0" w:color="auto"/>
            </w:tcBorders>
          </w:tcPr>
          <w:p w14:paraId="44158EB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(8 551)</w:t>
            </w:r>
          </w:p>
        </w:tc>
        <w:tc>
          <w:tcPr>
            <w:tcW w:w="1028" w:type="dxa"/>
            <w:tcBorders>
              <w:top w:val="single" w:sz="6" w:space="0" w:color="auto"/>
              <w:bottom w:val="single" w:sz="12" w:space="0" w:color="auto"/>
            </w:tcBorders>
          </w:tcPr>
          <w:p w14:paraId="0A10D1D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(6 965)</w:t>
            </w:r>
          </w:p>
        </w:tc>
      </w:tr>
    </w:tbl>
    <w:p w14:paraId="1A2211AC" w14:textId="77777777" w:rsidR="009D33A8" w:rsidRDefault="009D33A8" w:rsidP="009D33A8"/>
    <w:p w14:paraId="280CAD55" w14:textId="77777777" w:rsidR="009D33A8" w:rsidRDefault="009D33A8" w:rsidP="009D33A8">
      <w:pPr>
        <w:keepLines w:val="0"/>
        <w:rPr>
          <w:rFonts w:asciiTheme="majorHAnsi" w:hAnsiTheme="majorHAnsi" w:cstheme="minorBidi"/>
          <w:b/>
          <w:iCs/>
          <w:sz w:val="20"/>
          <w:szCs w:val="18"/>
        </w:rPr>
      </w:pPr>
      <w:r>
        <w:br w:type="page"/>
      </w:r>
    </w:p>
    <w:p w14:paraId="0962520D" w14:textId="77777777" w:rsidR="009D33A8" w:rsidRPr="004F2221" w:rsidRDefault="009D33A8" w:rsidP="004F2221">
      <w:pPr>
        <w:pStyle w:val="Heading2"/>
        <w:spacing w:before="180"/>
      </w:pPr>
    </w:p>
    <w:p w14:paraId="1BF26ABB" w14:textId="77777777" w:rsidR="009D33A8" w:rsidRPr="004F2221" w:rsidRDefault="009D33A8" w:rsidP="004F2221">
      <w:pPr>
        <w:pStyle w:val="TableHeading"/>
        <w:spacing w:after="0"/>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CRA Coordination/Financial Statements/SRIMS exports/SRIMS_AFR_Operating_Statement.xlsx|Table:Disaggregated_OS|TableGroup:Investment in other sectors"/>
      </w:tblPr>
      <w:tblGrid>
        <w:gridCol w:w="1607"/>
        <w:gridCol w:w="1607"/>
        <w:gridCol w:w="1606"/>
        <w:gridCol w:w="1606"/>
        <w:gridCol w:w="1606"/>
        <w:gridCol w:w="1606"/>
      </w:tblGrid>
      <w:tr w:rsidR="005E614D" w14:paraId="0A938E05" w14:textId="77777777" w:rsidTr="004A2065">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5C662A90" w14:textId="0699AE70" w:rsidR="005E614D" w:rsidRDefault="000C3A94">
            <w:pPr>
              <w:keepNext/>
              <w:jc w:val="center"/>
            </w:pPr>
            <w:r>
              <w:t xml:space="preserve">Public financial </w:t>
            </w:r>
            <w:r w:rsidR="005A4691">
              <w:br/>
            </w:r>
            <w:r>
              <w:t>corporations</w:t>
            </w:r>
          </w:p>
        </w:tc>
        <w:tc>
          <w:tcPr>
            <w:tcW w:w="3212" w:type="dxa"/>
            <w:gridSpan w:val="2"/>
          </w:tcPr>
          <w:p w14:paraId="567BBCD0" w14:textId="50C5B7C8" w:rsidR="005E614D" w:rsidRDefault="000C3A94">
            <w:pPr>
              <w:keepNext/>
              <w:jc w:val="center"/>
            </w:pPr>
            <w:r>
              <w:t>Inter</w:t>
            </w:r>
            <w:r>
              <w:noBreakHyphen/>
              <w:t xml:space="preserve">sector </w:t>
            </w:r>
            <w:r w:rsidR="005A4691">
              <w:br/>
            </w:r>
            <w:r>
              <w:t>eliminations</w:t>
            </w:r>
          </w:p>
        </w:tc>
        <w:tc>
          <w:tcPr>
            <w:tcW w:w="3212" w:type="dxa"/>
            <w:gridSpan w:val="2"/>
          </w:tcPr>
          <w:p w14:paraId="640763FB" w14:textId="77777777" w:rsidR="005E614D" w:rsidRDefault="000C3A94">
            <w:pPr>
              <w:keepNext/>
              <w:jc w:val="center"/>
            </w:pPr>
            <w:r>
              <w:t>State of Victoria</w:t>
            </w:r>
          </w:p>
        </w:tc>
      </w:tr>
      <w:tr w:rsidR="005E614D" w14:paraId="63245C02" w14:textId="77777777" w:rsidTr="004A2065">
        <w:trPr>
          <w:cnfStyle w:val="100000000000" w:firstRow="1" w:lastRow="0" w:firstColumn="0" w:lastColumn="0" w:oddVBand="0" w:evenVBand="0" w:oddHBand="0" w:evenHBand="0" w:firstRowFirstColumn="0" w:firstRowLastColumn="0" w:lastRowFirstColumn="0" w:lastRowLastColumn="0"/>
          <w:tblHeader/>
        </w:trPr>
        <w:tc>
          <w:tcPr>
            <w:tcW w:w="1607" w:type="dxa"/>
          </w:tcPr>
          <w:p w14:paraId="59BC16A1" w14:textId="77777777" w:rsidR="005E614D" w:rsidRDefault="000C3A94">
            <w:pPr>
              <w:keepNext/>
            </w:pPr>
            <w:r>
              <w:t>2025</w:t>
            </w:r>
          </w:p>
        </w:tc>
        <w:tc>
          <w:tcPr>
            <w:tcW w:w="1607" w:type="dxa"/>
          </w:tcPr>
          <w:p w14:paraId="1FBCFCE6" w14:textId="77777777" w:rsidR="005E614D" w:rsidRDefault="000C3A94">
            <w:pPr>
              <w:keepNext/>
            </w:pPr>
            <w:r>
              <w:t>2024</w:t>
            </w:r>
          </w:p>
        </w:tc>
        <w:tc>
          <w:tcPr>
            <w:tcW w:w="1606" w:type="dxa"/>
          </w:tcPr>
          <w:p w14:paraId="303ED84D" w14:textId="77777777" w:rsidR="005E614D" w:rsidRDefault="000C3A94">
            <w:pPr>
              <w:keepNext/>
            </w:pPr>
            <w:r>
              <w:t>2025</w:t>
            </w:r>
          </w:p>
        </w:tc>
        <w:tc>
          <w:tcPr>
            <w:tcW w:w="1606" w:type="dxa"/>
          </w:tcPr>
          <w:p w14:paraId="75FCC628" w14:textId="77777777" w:rsidR="005E614D" w:rsidRDefault="000C3A94">
            <w:pPr>
              <w:keepNext/>
            </w:pPr>
            <w:r>
              <w:t>2024</w:t>
            </w:r>
          </w:p>
        </w:tc>
        <w:tc>
          <w:tcPr>
            <w:tcW w:w="1606" w:type="dxa"/>
          </w:tcPr>
          <w:p w14:paraId="7D4AD19B" w14:textId="77777777" w:rsidR="005E614D" w:rsidRDefault="000C3A94">
            <w:pPr>
              <w:keepNext/>
            </w:pPr>
            <w:r>
              <w:t>2025</w:t>
            </w:r>
          </w:p>
        </w:tc>
        <w:tc>
          <w:tcPr>
            <w:tcW w:w="1606" w:type="dxa"/>
          </w:tcPr>
          <w:p w14:paraId="3A5828DC" w14:textId="77777777" w:rsidR="005E614D" w:rsidRDefault="000C3A94">
            <w:pPr>
              <w:keepNext/>
            </w:pPr>
            <w:r>
              <w:t>2024</w:t>
            </w:r>
          </w:p>
        </w:tc>
      </w:tr>
      <w:tr w:rsidR="005E614D" w14:paraId="1BF4FB19" w14:textId="77777777">
        <w:tc>
          <w:tcPr>
            <w:tcW w:w="1607" w:type="dxa"/>
          </w:tcPr>
          <w:p w14:paraId="04EA9BA3" w14:textId="77777777" w:rsidR="005E614D" w:rsidRDefault="005E614D"/>
        </w:tc>
        <w:tc>
          <w:tcPr>
            <w:tcW w:w="1607" w:type="dxa"/>
          </w:tcPr>
          <w:p w14:paraId="376166B3" w14:textId="77777777" w:rsidR="005E614D" w:rsidRDefault="005E614D"/>
        </w:tc>
        <w:tc>
          <w:tcPr>
            <w:tcW w:w="1606" w:type="dxa"/>
          </w:tcPr>
          <w:p w14:paraId="2EADBA7E" w14:textId="77777777" w:rsidR="005E614D" w:rsidRDefault="005E614D"/>
        </w:tc>
        <w:tc>
          <w:tcPr>
            <w:tcW w:w="1606" w:type="dxa"/>
          </w:tcPr>
          <w:p w14:paraId="59D848F7" w14:textId="77777777" w:rsidR="005E614D" w:rsidRDefault="005E614D"/>
        </w:tc>
        <w:tc>
          <w:tcPr>
            <w:tcW w:w="1606" w:type="dxa"/>
          </w:tcPr>
          <w:p w14:paraId="597419B9" w14:textId="77777777" w:rsidR="005E614D" w:rsidRDefault="005E614D"/>
        </w:tc>
        <w:tc>
          <w:tcPr>
            <w:tcW w:w="1606" w:type="dxa"/>
          </w:tcPr>
          <w:p w14:paraId="560BC0EC" w14:textId="77777777" w:rsidR="005E614D" w:rsidRDefault="005E614D"/>
        </w:tc>
      </w:tr>
      <w:tr w:rsidR="005E614D" w14:paraId="5D1BE90D" w14:textId="77777777">
        <w:tc>
          <w:tcPr>
            <w:tcW w:w="1607" w:type="dxa"/>
          </w:tcPr>
          <w:p w14:paraId="2051AE00" w14:textId="183B9BB3" w:rsidR="005E614D" w:rsidRDefault="00481159">
            <w:r>
              <w:t>..</w:t>
            </w:r>
          </w:p>
        </w:tc>
        <w:tc>
          <w:tcPr>
            <w:tcW w:w="1607" w:type="dxa"/>
          </w:tcPr>
          <w:p w14:paraId="788CE726" w14:textId="055BF35D" w:rsidR="005E614D" w:rsidRDefault="00481159">
            <w:r>
              <w:t>..</w:t>
            </w:r>
          </w:p>
        </w:tc>
        <w:tc>
          <w:tcPr>
            <w:tcW w:w="1606" w:type="dxa"/>
          </w:tcPr>
          <w:p w14:paraId="508CA300" w14:textId="77777777" w:rsidR="005E614D" w:rsidRDefault="000C3A94">
            <w:r>
              <w:t>(586)</w:t>
            </w:r>
          </w:p>
        </w:tc>
        <w:tc>
          <w:tcPr>
            <w:tcW w:w="1606" w:type="dxa"/>
          </w:tcPr>
          <w:p w14:paraId="3E561D21" w14:textId="77777777" w:rsidR="005E614D" w:rsidRDefault="000C3A94">
            <w:r>
              <w:t>(552)</w:t>
            </w:r>
          </w:p>
        </w:tc>
        <w:tc>
          <w:tcPr>
            <w:tcW w:w="1606" w:type="dxa"/>
          </w:tcPr>
          <w:p w14:paraId="08A84492" w14:textId="77777777" w:rsidR="005E614D" w:rsidRDefault="000C3A94">
            <w:r>
              <w:t>38 356</w:t>
            </w:r>
          </w:p>
        </w:tc>
        <w:tc>
          <w:tcPr>
            <w:tcW w:w="1606" w:type="dxa"/>
          </w:tcPr>
          <w:p w14:paraId="3A5B56C0" w14:textId="77777777" w:rsidR="005E614D" w:rsidRDefault="000C3A94">
            <w:r>
              <w:t>36 324</w:t>
            </w:r>
          </w:p>
        </w:tc>
      </w:tr>
      <w:tr w:rsidR="005E614D" w14:paraId="6D7C2CE5" w14:textId="77777777">
        <w:tc>
          <w:tcPr>
            <w:tcW w:w="1607" w:type="dxa"/>
          </w:tcPr>
          <w:p w14:paraId="12C887BE" w14:textId="77777777" w:rsidR="005E614D" w:rsidRDefault="000C3A94">
            <w:r>
              <w:t>6 724</w:t>
            </w:r>
          </w:p>
        </w:tc>
        <w:tc>
          <w:tcPr>
            <w:tcW w:w="1607" w:type="dxa"/>
          </w:tcPr>
          <w:p w14:paraId="320C4CB4" w14:textId="77777777" w:rsidR="005E614D" w:rsidRDefault="000C3A94">
            <w:r>
              <w:t>5 332</w:t>
            </w:r>
          </w:p>
        </w:tc>
        <w:tc>
          <w:tcPr>
            <w:tcW w:w="1606" w:type="dxa"/>
          </w:tcPr>
          <w:p w14:paraId="1CE77693" w14:textId="77777777" w:rsidR="005E614D" w:rsidRDefault="000C3A94">
            <w:r>
              <w:t>(6 408)</w:t>
            </w:r>
          </w:p>
        </w:tc>
        <w:tc>
          <w:tcPr>
            <w:tcW w:w="1606" w:type="dxa"/>
          </w:tcPr>
          <w:p w14:paraId="76BCAF6E" w14:textId="77777777" w:rsidR="005E614D" w:rsidRDefault="000C3A94">
            <w:r>
              <w:t>(5 056)</w:t>
            </w:r>
          </w:p>
        </w:tc>
        <w:tc>
          <w:tcPr>
            <w:tcW w:w="1606" w:type="dxa"/>
          </w:tcPr>
          <w:p w14:paraId="3FA2FA7C" w14:textId="77777777" w:rsidR="005E614D" w:rsidRDefault="000C3A94">
            <w:r>
              <w:t>2 002</w:t>
            </w:r>
          </w:p>
        </w:tc>
        <w:tc>
          <w:tcPr>
            <w:tcW w:w="1606" w:type="dxa"/>
          </w:tcPr>
          <w:p w14:paraId="6A7033B2" w14:textId="77777777" w:rsidR="005E614D" w:rsidRDefault="000C3A94">
            <w:r>
              <w:t>2 157</w:t>
            </w:r>
          </w:p>
        </w:tc>
      </w:tr>
      <w:tr w:rsidR="005E614D" w14:paraId="181CCB91" w14:textId="77777777">
        <w:tc>
          <w:tcPr>
            <w:tcW w:w="1607" w:type="dxa"/>
          </w:tcPr>
          <w:p w14:paraId="4FD34959" w14:textId="77777777" w:rsidR="005E614D" w:rsidRDefault="000C3A94">
            <w:r>
              <w:t>3 214</w:t>
            </w:r>
          </w:p>
        </w:tc>
        <w:tc>
          <w:tcPr>
            <w:tcW w:w="1607" w:type="dxa"/>
          </w:tcPr>
          <w:p w14:paraId="77B1B46B" w14:textId="77777777" w:rsidR="005E614D" w:rsidRDefault="000C3A94">
            <w:r>
              <w:t>2 296</w:t>
            </w:r>
          </w:p>
        </w:tc>
        <w:tc>
          <w:tcPr>
            <w:tcW w:w="1606" w:type="dxa"/>
          </w:tcPr>
          <w:p w14:paraId="77636BF2" w14:textId="77777777" w:rsidR="005E614D" w:rsidRDefault="000C3A94">
            <w:r>
              <w:t>(1 579)</w:t>
            </w:r>
          </w:p>
        </w:tc>
        <w:tc>
          <w:tcPr>
            <w:tcW w:w="1606" w:type="dxa"/>
          </w:tcPr>
          <w:p w14:paraId="3C312584" w14:textId="77777777" w:rsidR="005E614D" w:rsidRDefault="000C3A94">
            <w:r>
              <w:t>(2 056)</w:t>
            </w:r>
          </w:p>
        </w:tc>
        <w:tc>
          <w:tcPr>
            <w:tcW w:w="1606" w:type="dxa"/>
          </w:tcPr>
          <w:p w14:paraId="44790382" w14:textId="77777777" w:rsidR="005E614D" w:rsidRDefault="000C3A94">
            <w:r>
              <w:t>3 947</w:t>
            </w:r>
          </w:p>
        </w:tc>
        <w:tc>
          <w:tcPr>
            <w:tcW w:w="1606" w:type="dxa"/>
          </w:tcPr>
          <w:p w14:paraId="718861CC" w14:textId="77777777" w:rsidR="005E614D" w:rsidRDefault="000C3A94">
            <w:r>
              <w:t>2 485</w:t>
            </w:r>
          </w:p>
        </w:tc>
      </w:tr>
      <w:tr w:rsidR="005E614D" w14:paraId="024BD8F9" w14:textId="77777777">
        <w:tc>
          <w:tcPr>
            <w:tcW w:w="1607" w:type="dxa"/>
          </w:tcPr>
          <w:p w14:paraId="23BA4847" w14:textId="77777777" w:rsidR="005E614D" w:rsidRDefault="000C3A94">
            <w:r>
              <w:t>8 456</w:t>
            </w:r>
          </w:p>
        </w:tc>
        <w:tc>
          <w:tcPr>
            <w:tcW w:w="1607" w:type="dxa"/>
          </w:tcPr>
          <w:p w14:paraId="3C739406" w14:textId="77777777" w:rsidR="005E614D" w:rsidRDefault="000C3A94">
            <w:r>
              <w:t>8 098</w:t>
            </w:r>
          </w:p>
        </w:tc>
        <w:tc>
          <w:tcPr>
            <w:tcW w:w="1606" w:type="dxa"/>
          </w:tcPr>
          <w:p w14:paraId="390287EA" w14:textId="77777777" w:rsidR="005E614D" w:rsidRDefault="000C3A94">
            <w:r>
              <w:t>(2 434)</w:t>
            </w:r>
          </w:p>
        </w:tc>
        <w:tc>
          <w:tcPr>
            <w:tcW w:w="1606" w:type="dxa"/>
          </w:tcPr>
          <w:p w14:paraId="3124FEC4" w14:textId="77777777" w:rsidR="005E614D" w:rsidRDefault="000C3A94">
            <w:r>
              <w:t>(2 009)</w:t>
            </w:r>
          </w:p>
        </w:tc>
        <w:tc>
          <w:tcPr>
            <w:tcW w:w="1606" w:type="dxa"/>
          </w:tcPr>
          <w:p w14:paraId="734E681C" w14:textId="77777777" w:rsidR="005E614D" w:rsidRDefault="000C3A94">
            <w:r>
              <w:t>21 009</w:t>
            </w:r>
          </w:p>
        </w:tc>
        <w:tc>
          <w:tcPr>
            <w:tcW w:w="1606" w:type="dxa"/>
          </w:tcPr>
          <w:p w14:paraId="21FD023E" w14:textId="77777777" w:rsidR="005E614D" w:rsidRDefault="000C3A94">
            <w:r>
              <w:t>19 885</w:t>
            </w:r>
          </w:p>
        </w:tc>
      </w:tr>
      <w:tr w:rsidR="005E614D" w14:paraId="5DC1C1DA" w14:textId="77777777">
        <w:tc>
          <w:tcPr>
            <w:tcW w:w="1607" w:type="dxa"/>
          </w:tcPr>
          <w:p w14:paraId="32CF70C5" w14:textId="77777777" w:rsidR="005E614D" w:rsidRDefault="000C3A94">
            <w:r>
              <w:t>..</w:t>
            </w:r>
          </w:p>
        </w:tc>
        <w:tc>
          <w:tcPr>
            <w:tcW w:w="1607" w:type="dxa"/>
          </w:tcPr>
          <w:p w14:paraId="5B2604C4" w14:textId="77777777" w:rsidR="005E614D" w:rsidRDefault="000C3A94">
            <w:r>
              <w:t>..</w:t>
            </w:r>
          </w:p>
        </w:tc>
        <w:tc>
          <w:tcPr>
            <w:tcW w:w="1606" w:type="dxa"/>
          </w:tcPr>
          <w:p w14:paraId="5C91C3D2" w14:textId="77777777" w:rsidR="005E614D" w:rsidRDefault="000C3A94">
            <w:r>
              <w:t>(2 710)</w:t>
            </w:r>
          </w:p>
        </w:tc>
        <w:tc>
          <w:tcPr>
            <w:tcW w:w="1606" w:type="dxa"/>
          </w:tcPr>
          <w:p w14:paraId="5F12295A" w14:textId="77777777" w:rsidR="005E614D" w:rsidRDefault="000C3A94">
            <w:r>
              <w:t>(2 606)</w:t>
            </w:r>
          </w:p>
        </w:tc>
        <w:tc>
          <w:tcPr>
            <w:tcW w:w="1606" w:type="dxa"/>
          </w:tcPr>
          <w:p w14:paraId="56C94845" w14:textId="77777777" w:rsidR="005E614D" w:rsidRDefault="000C3A94">
            <w:r>
              <w:t>47 191</w:t>
            </w:r>
          </w:p>
        </w:tc>
        <w:tc>
          <w:tcPr>
            <w:tcW w:w="1606" w:type="dxa"/>
          </w:tcPr>
          <w:p w14:paraId="02E67276" w14:textId="77777777" w:rsidR="005E614D" w:rsidRDefault="000C3A94">
            <w:r>
              <w:t>41 686</w:t>
            </w:r>
          </w:p>
        </w:tc>
      </w:tr>
      <w:tr w:rsidR="005E614D" w14:paraId="62F4C3AA" w14:textId="77777777" w:rsidTr="004A2065">
        <w:tc>
          <w:tcPr>
            <w:tcW w:w="1607" w:type="dxa"/>
            <w:tcBorders>
              <w:bottom w:val="single" w:sz="6" w:space="0" w:color="auto"/>
            </w:tcBorders>
          </w:tcPr>
          <w:p w14:paraId="6D36AFBF" w14:textId="77777777" w:rsidR="005E614D" w:rsidRDefault="000C3A94">
            <w:r>
              <w:t>37</w:t>
            </w:r>
          </w:p>
        </w:tc>
        <w:tc>
          <w:tcPr>
            <w:tcW w:w="1607" w:type="dxa"/>
            <w:tcBorders>
              <w:bottom w:val="single" w:sz="6" w:space="0" w:color="auto"/>
            </w:tcBorders>
          </w:tcPr>
          <w:p w14:paraId="66012447" w14:textId="77777777" w:rsidR="005E614D" w:rsidRDefault="000C3A94">
            <w:r>
              <w:t>24</w:t>
            </w:r>
          </w:p>
        </w:tc>
        <w:tc>
          <w:tcPr>
            <w:tcW w:w="1606" w:type="dxa"/>
            <w:tcBorders>
              <w:bottom w:val="single" w:sz="6" w:space="0" w:color="auto"/>
            </w:tcBorders>
          </w:tcPr>
          <w:p w14:paraId="54D9953A" w14:textId="77777777" w:rsidR="005E614D" w:rsidRDefault="000C3A94">
            <w:r>
              <w:t>(4)</w:t>
            </w:r>
          </w:p>
        </w:tc>
        <w:tc>
          <w:tcPr>
            <w:tcW w:w="1606" w:type="dxa"/>
            <w:tcBorders>
              <w:bottom w:val="single" w:sz="6" w:space="0" w:color="auto"/>
            </w:tcBorders>
          </w:tcPr>
          <w:p w14:paraId="3A3EBF51" w14:textId="77777777" w:rsidR="005E614D" w:rsidRDefault="000C3A94">
            <w:r>
              <w:t>..</w:t>
            </w:r>
          </w:p>
        </w:tc>
        <w:tc>
          <w:tcPr>
            <w:tcW w:w="1606" w:type="dxa"/>
            <w:tcBorders>
              <w:bottom w:val="single" w:sz="6" w:space="0" w:color="auto"/>
            </w:tcBorders>
          </w:tcPr>
          <w:p w14:paraId="143E59D3" w14:textId="77777777" w:rsidR="005E614D" w:rsidRDefault="000C3A94">
            <w:r>
              <w:t>5 287</w:t>
            </w:r>
          </w:p>
        </w:tc>
        <w:tc>
          <w:tcPr>
            <w:tcW w:w="1606" w:type="dxa"/>
            <w:tcBorders>
              <w:bottom w:val="single" w:sz="6" w:space="0" w:color="auto"/>
            </w:tcBorders>
          </w:tcPr>
          <w:p w14:paraId="3708AD7F" w14:textId="77777777" w:rsidR="005E614D" w:rsidRDefault="000C3A94">
            <w:r>
              <w:t>5 068</w:t>
            </w:r>
          </w:p>
        </w:tc>
      </w:tr>
      <w:tr w:rsidR="005E614D" w14:paraId="07D104FF" w14:textId="77777777" w:rsidTr="004A2065">
        <w:tc>
          <w:tcPr>
            <w:tcW w:w="1607" w:type="dxa"/>
            <w:tcBorders>
              <w:top w:val="single" w:sz="6" w:space="0" w:color="auto"/>
            </w:tcBorders>
          </w:tcPr>
          <w:p w14:paraId="63034B7D" w14:textId="77777777" w:rsidR="005E614D" w:rsidRDefault="000C3A94">
            <w:r>
              <w:rPr>
                <w:b/>
              </w:rPr>
              <w:t>18 431</w:t>
            </w:r>
          </w:p>
        </w:tc>
        <w:tc>
          <w:tcPr>
            <w:tcW w:w="1607" w:type="dxa"/>
            <w:tcBorders>
              <w:top w:val="single" w:sz="6" w:space="0" w:color="auto"/>
            </w:tcBorders>
          </w:tcPr>
          <w:p w14:paraId="1073E87C" w14:textId="77777777" w:rsidR="005E614D" w:rsidRDefault="000C3A94">
            <w:r>
              <w:rPr>
                <w:b/>
              </w:rPr>
              <w:t>15 750</w:t>
            </w:r>
          </w:p>
        </w:tc>
        <w:tc>
          <w:tcPr>
            <w:tcW w:w="1606" w:type="dxa"/>
            <w:tcBorders>
              <w:top w:val="single" w:sz="6" w:space="0" w:color="auto"/>
            </w:tcBorders>
          </w:tcPr>
          <w:p w14:paraId="49AA8A01" w14:textId="77777777" w:rsidR="005E614D" w:rsidRDefault="000C3A94">
            <w:r>
              <w:rPr>
                <w:b/>
              </w:rPr>
              <w:t>(13 721)</w:t>
            </w:r>
          </w:p>
        </w:tc>
        <w:tc>
          <w:tcPr>
            <w:tcW w:w="1606" w:type="dxa"/>
            <w:tcBorders>
              <w:top w:val="single" w:sz="6" w:space="0" w:color="auto"/>
            </w:tcBorders>
          </w:tcPr>
          <w:p w14:paraId="2E7D219B" w14:textId="77777777" w:rsidR="005E614D" w:rsidRDefault="000C3A94">
            <w:r>
              <w:rPr>
                <w:b/>
              </w:rPr>
              <w:t>(12 279)</w:t>
            </w:r>
          </w:p>
        </w:tc>
        <w:tc>
          <w:tcPr>
            <w:tcW w:w="1606" w:type="dxa"/>
            <w:tcBorders>
              <w:top w:val="single" w:sz="6" w:space="0" w:color="auto"/>
            </w:tcBorders>
          </w:tcPr>
          <w:p w14:paraId="117EF79A" w14:textId="77777777" w:rsidR="005E614D" w:rsidRDefault="000C3A94">
            <w:r>
              <w:rPr>
                <w:b/>
              </w:rPr>
              <w:t>117 791</w:t>
            </w:r>
          </w:p>
        </w:tc>
        <w:tc>
          <w:tcPr>
            <w:tcW w:w="1606" w:type="dxa"/>
            <w:tcBorders>
              <w:top w:val="single" w:sz="6" w:space="0" w:color="auto"/>
            </w:tcBorders>
          </w:tcPr>
          <w:p w14:paraId="4EED7C93" w14:textId="77777777" w:rsidR="005E614D" w:rsidRDefault="000C3A94">
            <w:r>
              <w:rPr>
                <w:b/>
              </w:rPr>
              <w:t>107 605</w:t>
            </w:r>
          </w:p>
        </w:tc>
      </w:tr>
      <w:tr w:rsidR="005E614D" w14:paraId="0740E50F" w14:textId="77777777">
        <w:tc>
          <w:tcPr>
            <w:tcW w:w="1607" w:type="dxa"/>
          </w:tcPr>
          <w:p w14:paraId="78B96C32" w14:textId="77777777" w:rsidR="005E614D" w:rsidRDefault="005E614D"/>
        </w:tc>
        <w:tc>
          <w:tcPr>
            <w:tcW w:w="1607" w:type="dxa"/>
          </w:tcPr>
          <w:p w14:paraId="7C78B7E4" w14:textId="77777777" w:rsidR="005E614D" w:rsidRDefault="005E614D"/>
        </w:tc>
        <w:tc>
          <w:tcPr>
            <w:tcW w:w="1606" w:type="dxa"/>
          </w:tcPr>
          <w:p w14:paraId="3E339E3D" w14:textId="77777777" w:rsidR="005E614D" w:rsidRDefault="005E614D"/>
        </w:tc>
        <w:tc>
          <w:tcPr>
            <w:tcW w:w="1606" w:type="dxa"/>
          </w:tcPr>
          <w:p w14:paraId="5D4A601A" w14:textId="77777777" w:rsidR="005E614D" w:rsidRDefault="005E614D"/>
        </w:tc>
        <w:tc>
          <w:tcPr>
            <w:tcW w:w="1606" w:type="dxa"/>
          </w:tcPr>
          <w:p w14:paraId="0955AC67" w14:textId="77777777" w:rsidR="005E614D" w:rsidRDefault="005E614D"/>
        </w:tc>
        <w:tc>
          <w:tcPr>
            <w:tcW w:w="1606" w:type="dxa"/>
          </w:tcPr>
          <w:p w14:paraId="36C38E8F" w14:textId="77777777" w:rsidR="005E614D" w:rsidRDefault="005E614D"/>
        </w:tc>
      </w:tr>
      <w:tr w:rsidR="005E614D" w14:paraId="26A43A85" w14:textId="77777777">
        <w:tc>
          <w:tcPr>
            <w:tcW w:w="1607" w:type="dxa"/>
          </w:tcPr>
          <w:p w14:paraId="5FA03382" w14:textId="77777777" w:rsidR="005E614D" w:rsidRDefault="000C3A94">
            <w:r>
              <w:t>598</w:t>
            </w:r>
          </w:p>
        </w:tc>
        <w:tc>
          <w:tcPr>
            <w:tcW w:w="1607" w:type="dxa"/>
          </w:tcPr>
          <w:p w14:paraId="1FE4F1DF" w14:textId="77777777" w:rsidR="005E614D" w:rsidRDefault="000C3A94">
            <w:r>
              <w:t>536</w:t>
            </w:r>
          </w:p>
        </w:tc>
        <w:tc>
          <w:tcPr>
            <w:tcW w:w="1606" w:type="dxa"/>
          </w:tcPr>
          <w:p w14:paraId="2D1FC437" w14:textId="77777777" w:rsidR="005E614D" w:rsidRDefault="000C3A94">
            <w:r>
              <w:t>(1 173)</w:t>
            </w:r>
          </w:p>
        </w:tc>
        <w:tc>
          <w:tcPr>
            <w:tcW w:w="1606" w:type="dxa"/>
          </w:tcPr>
          <w:p w14:paraId="36B74168" w14:textId="77777777" w:rsidR="005E614D" w:rsidRDefault="000C3A94">
            <w:r>
              <w:t>(1 066)</w:t>
            </w:r>
          </w:p>
        </w:tc>
        <w:tc>
          <w:tcPr>
            <w:tcW w:w="1606" w:type="dxa"/>
          </w:tcPr>
          <w:p w14:paraId="2F54FAF0" w14:textId="77777777" w:rsidR="005E614D" w:rsidRDefault="000C3A94">
            <w:r>
              <w:t>40 054</w:t>
            </w:r>
          </w:p>
        </w:tc>
        <w:tc>
          <w:tcPr>
            <w:tcW w:w="1606" w:type="dxa"/>
          </w:tcPr>
          <w:p w14:paraId="6A2B9FF4" w14:textId="77777777" w:rsidR="005E614D" w:rsidRDefault="000C3A94">
            <w:r>
              <w:t>37 467</w:t>
            </w:r>
          </w:p>
        </w:tc>
      </w:tr>
      <w:tr w:rsidR="005E614D" w14:paraId="2498661E" w14:textId="77777777">
        <w:tc>
          <w:tcPr>
            <w:tcW w:w="1607" w:type="dxa"/>
          </w:tcPr>
          <w:p w14:paraId="0565C2DB" w14:textId="77777777" w:rsidR="005E614D" w:rsidRDefault="005E614D"/>
        </w:tc>
        <w:tc>
          <w:tcPr>
            <w:tcW w:w="1607" w:type="dxa"/>
          </w:tcPr>
          <w:p w14:paraId="2BF10A6D" w14:textId="77777777" w:rsidR="005E614D" w:rsidRDefault="005E614D"/>
        </w:tc>
        <w:tc>
          <w:tcPr>
            <w:tcW w:w="1606" w:type="dxa"/>
          </w:tcPr>
          <w:p w14:paraId="5929BA48" w14:textId="77777777" w:rsidR="005E614D" w:rsidRDefault="005E614D"/>
        </w:tc>
        <w:tc>
          <w:tcPr>
            <w:tcW w:w="1606" w:type="dxa"/>
          </w:tcPr>
          <w:p w14:paraId="30DC4F53" w14:textId="77777777" w:rsidR="005E614D" w:rsidRDefault="005E614D"/>
        </w:tc>
        <w:tc>
          <w:tcPr>
            <w:tcW w:w="1606" w:type="dxa"/>
          </w:tcPr>
          <w:p w14:paraId="0EDBDD9A" w14:textId="77777777" w:rsidR="005E614D" w:rsidRDefault="005E614D"/>
        </w:tc>
        <w:tc>
          <w:tcPr>
            <w:tcW w:w="1606" w:type="dxa"/>
          </w:tcPr>
          <w:p w14:paraId="23D10423" w14:textId="77777777" w:rsidR="005E614D" w:rsidRDefault="005E614D"/>
        </w:tc>
      </w:tr>
      <w:tr w:rsidR="005E614D" w14:paraId="086A0182" w14:textId="77777777">
        <w:tc>
          <w:tcPr>
            <w:tcW w:w="1607" w:type="dxa"/>
          </w:tcPr>
          <w:p w14:paraId="0592579B" w14:textId="36B526FA" w:rsidR="005E614D" w:rsidRDefault="00481159">
            <w:r>
              <w:t>..</w:t>
            </w:r>
          </w:p>
        </w:tc>
        <w:tc>
          <w:tcPr>
            <w:tcW w:w="1607" w:type="dxa"/>
          </w:tcPr>
          <w:p w14:paraId="5A378C74" w14:textId="59079FBB" w:rsidR="005E614D" w:rsidRDefault="00481159">
            <w:r>
              <w:t>..</w:t>
            </w:r>
          </w:p>
        </w:tc>
        <w:tc>
          <w:tcPr>
            <w:tcW w:w="1606" w:type="dxa"/>
          </w:tcPr>
          <w:p w14:paraId="2014325B" w14:textId="257B1ED6" w:rsidR="005E614D" w:rsidRDefault="00481159">
            <w:r>
              <w:t>..</w:t>
            </w:r>
          </w:p>
        </w:tc>
        <w:tc>
          <w:tcPr>
            <w:tcW w:w="1606" w:type="dxa"/>
          </w:tcPr>
          <w:p w14:paraId="41DC9C55" w14:textId="4DE20EC0" w:rsidR="005E614D" w:rsidRDefault="00481159">
            <w:r>
              <w:t>..</w:t>
            </w:r>
          </w:p>
        </w:tc>
        <w:tc>
          <w:tcPr>
            <w:tcW w:w="1606" w:type="dxa"/>
          </w:tcPr>
          <w:p w14:paraId="47664976" w14:textId="77777777" w:rsidR="005E614D" w:rsidRDefault="000C3A94">
            <w:r>
              <w:t>785</w:t>
            </w:r>
          </w:p>
        </w:tc>
        <w:tc>
          <w:tcPr>
            <w:tcW w:w="1606" w:type="dxa"/>
          </w:tcPr>
          <w:p w14:paraId="3A1D12E0" w14:textId="77777777" w:rsidR="005E614D" w:rsidRDefault="000C3A94">
            <w:r>
              <w:t>775</w:t>
            </w:r>
          </w:p>
        </w:tc>
      </w:tr>
      <w:tr w:rsidR="005E614D" w14:paraId="3DD80B62" w14:textId="77777777">
        <w:tc>
          <w:tcPr>
            <w:tcW w:w="1607" w:type="dxa"/>
          </w:tcPr>
          <w:p w14:paraId="65C87B71" w14:textId="77777777" w:rsidR="005E614D" w:rsidRDefault="000C3A94">
            <w:r>
              <w:t>63</w:t>
            </w:r>
          </w:p>
        </w:tc>
        <w:tc>
          <w:tcPr>
            <w:tcW w:w="1607" w:type="dxa"/>
          </w:tcPr>
          <w:p w14:paraId="57348620" w14:textId="77777777" w:rsidR="005E614D" w:rsidRDefault="000C3A94">
            <w:r>
              <w:t>55</w:t>
            </w:r>
          </w:p>
        </w:tc>
        <w:tc>
          <w:tcPr>
            <w:tcW w:w="1606" w:type="dxa"/>
          </w:tcPr>
          <w:p w14:paraId="150A5EEE" w14:textId="7D45E5B4" w:rsidR="005E614D" w:rsidRDefault="00481159">
            <w:r>
              <w:t>..</w:t>
            </w:r>
          </w:p>
        </w:tc>
        <w:tc>
          <w:tcPr>
            <w:tcW w:w="1606" w:type="dxa"/>
          </w:tcPr>
          <w:p w14:paraId="49E89A1D" w14:textId="393D5335" w:rsidR="005E614D" w:rsidRDefault="00481159">
            <w:r>
              <w:t>..</w:t>
            </w:r>
          </w:p>
        </w:tc>
        <w:tc>
          <w:tcPr>
            <w:tcW w:w="1606" w:type="dxa"/>
          </w:tcPr>
          <w:p w14:paraId="7B6D3993" w14:textId="77777777" w:rsidR="005E614D" w:rsidRDefault="000C3A94">
            <w:r>
              <w:t>4 812</w:t>
            </w:r>
          </w:p>
        </w:tc>
        <w:tc>
          <w:tcPr>
            <w:tcW w:w="1606" w:type="dxa"/>
          </w:tcPr>
          <w:p w14:paraId="2846C3F3" w14:textId="77777777" w:rsidR="005E614D" w:rsidRDefault="000C3A94">
            <w:r>
              <w:t>4 312</w:t>
            </w:r>
          </w:p>
        </w:tc>
      </w:tr>
      <w:tr w:rsidR="005E614D" w14:paraId="557338E8" w14:textId="77777777">
        <w:tc>
          <w:tcPr>
            <w:tcW w:w="1607" w:type="dxa"/>
          </w:tcPr>
          <w:p w14:paraId="24397ABB" w14:textId="77777777" w:rsidR="005E614D" w:rsidRDefault="000C3A94">
            <w:r>
              <w:t>85</w:t>
            </w:r>
          </w:p>
        </w:tc>
        <w:tc>
          <w:tcPr>
            <w:tcW w:w="1607" w:type="dxa"/>
          </w:tcPr>
          <w:p w14:paraId="4C262064" w14:textId="77777777" w:rsidR="005E614D" w:rsidRDefault="000C3A94">
            <w:r>
              <w:t>88</w:t>
            </w:r>
          </w:p>
        </w:tc>
        <w:tc>
          <w:tcPr>
            <w:tcW w:w="1606" w:type="dxa"/>
          </w:tcPr>
          <w:p w14:paraId="6DB5689A" w14:textId="77777777" w:rsidR="005E614D" w:rsidRDefault="000C3A94">
            <w:r>
              <w:t>1 442</w:t>
            </w:r>
          </w:p>
        </w:tc>
        <w:tc>
          <w:tcPr>
            <w:tcW w:w="1606" w:type="dxa"/>
          </w:tcPr>
          <w:p w14:paraId="637AD8B3" w14:textId="77777777" w:rsidR="005E614D" w:rsidRDefault="000C3A94">
            <w:r>
              <w:t>1 104</w:t>
            </w:r>
          </w:p>
        </w:tc>
        <w:tc>
          <w:tcPr>
            <w:tcW w:w="1606" w:type="dxa"/>
          </w:tcPr>
          <w:p w14:paraId="7AD8357F" w14:textId="77777777" w:rsidR="005E614D" w:rsidRDefault="000C3A94">
            <w:r>
              <w:t>9 349</w:t>
            </w:r>
          </w:p>
        </w:tc>
        <w:tc>
          <w:tcPr>
            <w:tcW w:w="1606" w:type="dxa"/>
          </w:tcPr>
          <w:p w14:paraId="53894D9C" w14:textId="77777777" w:rsidR="005E614D" w:rsidRDefault="000C3A94">
            <w:r>
              <w:t>8 279</w:t>
            </w:r>
          </w:p>
        </w:tc>
      </w:tr>
      <w:tr w:rsidR="005E614D" w14:paraId="4231769E" w14:textId="77777777">
        <w:tc>
          <w:tcPr>
            <w:tcW w:w="1607" w:type="dxa"/>
          </w:tcPr>
          <w:p w14:paraId="405AF0F3" w14:textId="77777777" w:rsidR="005E614D" w:rsidRDefault="000C3A94">
            <w:r>
              <w:t>6 636</w:t>
            </w:r>
          </w:p>
        </w:tc>
        <w:tc>
          <w:tcPr>
            <w:tcW w:w="1607" w:type="dxa"/>
          </w:tcPr>
          <w:p w14:paraId="7BDA7DDB" w14:textId="77777777" w:rsidR="005E614D" w:rsidRDefault="000C3A94">
            <w:r>
              <w:t>5 171</w:t>
            </w:r>
          </w:p>
        </w:tc>
        <w:tc>
          <w:tcPr>
            <w:tcW w:w="1606" w:type="dxa"/>
          </w:tcPr>
          <w:p w14:paraId="081B23C3" w14:textId="77777777" w:rsidR="005E614D" w:rsidRDefault="000C3A94">
            <w:r>
              <w:t>(6 332)</w:t>
            </w:r>
          </w:p>
        </w:tc>
        <w:tc>
          <w:tcPr>
            <w:tcW w:w="1606" w:type="dxa"/>
          </w:tcPr>
          <w:p w14:paraId="1437A438" w14:textId="77777777" w:rsidR="005E614D" w:rsidRDefault="000C3A94">
            <w:r>
              <w:t>(5 032)</w:t>
            </w:r>
          </w:p>
        </w:tc>
        <w:tc>
          <w:tcPr>
            <w:tcW w:w="1606" w:type="dxa"/>
          </w:tcPr>
          <w:p w14:paraId="35A3AA8C" w14:textId="77777777" w:rsidR="005E614D" w:rsidRDefault="000C3A94">
            <w:r>
              <w:t>8 130</w:t>
            </w:r>
          </w:p>
        </w:tc>
        <w:tc>
          <w:tcPr>
            <w:tcW w:w="1606" w:type="dxa"/>
          </w:tcPr>
          <w:p w14:paraId="62D28B28" w14:textId="77777777" w:rsidR="005E614D" w:rsidRDefault="000C3A94">
            <w:r>
              <w:t>6 722</w:t>
            </w:r>
          </w:p>
        </w:tc>
      </w:tr>
      <w:tr w:rsidR="005E614D" w14:paraId="3A3D04DF" w14:textId="77777777">
        <w:tc>
          <w:tcPr>
            <w:tcW w:w="1607" w:type="dxa"/>
          </w:tcPr>
          <w:p w14:paraId="7EA05340" w14:textId="77777777" w:rsidR="005E614D" w:rsidRDefault="000C3A94">
            <w:r>
              <w:t>136</w:t>
            </w:r>
          </w:p>
        </w:tc>
        <w:tc>
          <w:tcPr>
            <w:tcW w:w="1607" w:type="dxa"/>
          </w:tcPr>
          <w:p w14:paraId="67A6C5DE" w14:textId="77777777" w:rsidR="005E614D" w:rsidRDefault="000C3A94">
            <w:r>
              <w:t>139</w:t>
            </w:r>
          </w:p>
        </w:tc>
        <w:tc>
          <w:tcPr>
            <w:tcW w:w="1606" w:type="dxa"/>
          </w:tcPr>
          <w:p w14:paraId="0401CD2A" w14:textId="77777777" w:rsidR="005E614D" w:rsidRDefault="000C3A94">
            <w:r>
              <w:t>(2 891)</w:t>
            </w:r>
          </w:p>
        </w:tc>
        <w:tc>
          <w:tcPr>
            <w:tcW w:w="1606" w:type="dxa"/>
          </w:tcPr>
          <w:p w14:paraId="54286CDE" w14:textId="77777777" w:rsidR="005E614D" w:rsidRDefault="000C3A94">
            <w:r>
              <w:t>(2 779)</w:t>
            </w:r>
          </w:p>
        </w:tc>
        <w:tc>
          <w:tcPr>
            <w:tcW w:w="1606" w:type="dxa"/>
          </w:tcPr>
          <w:p w14:paraId="2DE56BB9" w14:textId="77777777" w:rsidR="005E614D" w:rsidRDefault="000C3A94">
            <w:r>
              <w:t>15 045</w:t>
            </w:r>
          </w:p>
        </w:tc>
        <w:tc>
          <w:tcPr>
            <w:tcW w:w="1606" w:type="dxa"/>
          </w:tcPr>
          <w:p w14:paraId="55626156" w14:textId="77777777" w:rsidR="005E614D" w:rsidRDefault="000C3A94">
            <w:r>
              <w:t>14 721</w:t>
            </w:r>
          </w:p>
        </w:tc>
      </w:tr>
      <w:tr w:rsidR="005E614D" w14:paraId="126E710F" w14:textId="77777777">
        <w:tc>
          <w:tcPr>
            <w:tcW w:w="1607" w:type="dxa"/>
          </w:tcPr>
          <w:p w14:paraId="51F0B6AD" w14:textId="77777777" w:rsidR="005E614D" w:rsidRDefault="000C3A94">
            <w:r>
              <w:t>11 569</w:t>
            </w:r>
          </w:p>
        </w:tc>
        <w:tc>
          <w:tcPr>
            <w:tcW w:w="1607" w:type="dxa"/>
          </w:tcPr>
          <w:p w14:paraId="1A9CF89F" w14:textId="77777777" w:rsidR="005E614D" w:rsidRDefault="000C3A94">
            <w:r>
              <w:t>11 146</w:t>
            </w:r>
          </w:p>
        </w:tc>
        <w:tc>
          <w:tcPr>
            <w:tcW w:w="1606" w:type="dxa"/>
          </w:tcPr>
          <w:p w14:paraId="12FAA336" w14:textId="77777777" w:rsidR="005E614D" w:rsidRDefault="000C3A94">
            <w:r>
              <w:t>(1 804)</w:t>
            </w:r>
          </w:p>
        </w:tc>
        <w:tc>
          <w:tcPr>
            <w:tcW w:w="1606" w:type="dxa"/>
          </w:tcPr>
          <w:p w14:paraId="345411FB" w14:textId="77777777" w:rsidR="005E614D" w:rsidRDefault="000C3A94">
            <w:r>
              <w:t>(1 410)</w:t>
            </w:r>
          </w:p>
        </w:tc>
        <w:tc>
          <w:tcPr>
            <w:tcW w:w="1606" w:type="dxa"/>
          </w:tcPr>
          <w:p w14:paraId="184288FA" w14:textId="77777777" w:rsidR="005E614D" w:rsidRDefault="000C3A94">
            <w:r>
              <w:t>45 793</w:t>
            </w:r>
          </w:p>
        </w:tc>
        <w:tc>
          <w:tcPr>
            <w:tcW w:w="1606" w:type="dxa"/>
          </w:tcPr>
          <w:p w14:paraId="4B8D9A8A" w14:textId="77777777" w:rsidR="005E614D" w:rsidRDefault="000C3A94">
            <w:r>
              <w:t>43 787</w:t>
            </w:r>
          </w:p>
        </w:tc>
      </w:tr>
      <w:tr w:rsidR="005E614D" w14:paraId="7126F42F" w14:textId="77777777" w:rsidTr="004A2065">
        <w:tc>
          <w:tcPr>
            <w:tcW w:w="1607" w:type="dxa"/>
            <w:tcBorders>
              <w:bottom w:val="single" w:sz="6" w:space="0" w:color="auto"/>
            </w:tcBorders>
          </w:tcPr>
          <w:p w14:paraId="31F40685" w14:textId="77777777" w:rsidR="005E614D" w:rsidRDefault="000C3A94">
            <w:r>
              <w:t>758</w:t>
            </w:r>
          </w:p>
        </w:tc>
        <w:tc>
          <w:tcPr>
            <w:tcW w:w="1607" w:type="dxa"/>
            <w:tcBorders>
              <w:bottom w:val="single" w:sz="6" w:space="0" w:color="auto"/>
            </w:tcBorders>
          </w:tcPr>
          <w:p w14:paraId="79AAED63" w14:textId="77777777" w:rsidR="005E614D" w:rsidRDefault="000C3A94">
            <w:r>
              <w:t>554</w:t>
            </w:r>
          </w:p>
        </w:tc>
        <w:tc>
          <w:tcPr>
            <w:tcW w:w="1606" w:type="dxa"/>
            <w:tcBorders>
              <w:bottom w:val="single" w:sz="6" w:space="0" w:color="auto"/>
            </w:tcBorders>
          </w:tcPr>
          <w:p w14:paraId="2D61DD56" w14:textId="77777777" w:rsidR="005E614D" w:rsidRDefault="000C3A94">
            <w:r>
              <w:t>(947)</w:t>
            </w:r>
          </w:p>
        </w:tc>
        <w:tc>
          <w:tcPr>
            <w:tcW w:w="1606" w:type="dxa"/>
            <w:tcBorders>
              <w:bottom w:val="single" w:sz="6" w:space="0" w:color="auto"/>
            </w:tcBorders>
          </w:tcPr>
          <w:p w14:paraId="1E74F526" w14:textId="77777777" w:rsidR="005E614D" w:rsidRDefault="000C3A94">
            <w:r>
              <w:t>(800)</w:t>
            </w:r>
          </w:p>
        </w:tc>
        <w:tc>
          <w:tcPr>
            <w:tcW w:w="1606" w:type="dxa"/>
            <w:tcBorders>
              <w:bottom w:val="single" w:sz="6" w:space="0" w:color="auto"/>
            </w:tcBorders>
          </w:tcPr>
          <w:p w14:paraId="07ED8288" w14:textId="77777777" w:rsidR="005E614D" w:rsidRDefault="000C3A94">
            <w:r>
              <w:t>..</w:t>
            </w:r>
          </w:p>
        </w:tc>
        <w:tc>
          <w:tcPr>
            <w:tcW w:w="1606" w:type="dxa"/>
            <w:tcBorders>
              <w:bottom w:val="single" w:sz="6" w:space="0" w:color="auto"/>
            </w:tcBorders>
          </w:tcPr>
          <w:p w14:paraId="3DB55913" w14:textId="77777777" w:rsidR="005E614D" w:rsidRDefault="000C3A94">
            <w:r>
              <w:t>..</w:t>
            </w:r>
          </w:p>
        </w:tc>
      </w:tr>
      <w:tr w:rsidR="005E614D" w14:paraId="42933F56" w14:textId="77777777" w:rsidTr="004A2065">
        <w:tc>
          <w:tcPr>
            <w:tcW w:w="1607" w:type="dxa"/>
            <w:tcBorders>
              <w:top w:val="single" w:sz="6" w:space="0" w:color="auto"/>
              <w:bottom w:val="single" w:sz="6" w:space="0" w:color="auto"/>
            </w:tcBorders>
          </w:tcPr>
          <w:p w14:paraId="7E729772" w14:textId="77777777" w:rsidR="005E614D" w:rsidRDefault="000C3A94">
            <w:r>
              <w:rPr>
                <w:b/>
              </w:rPr>
              <w:t>19 846</w:t>
            </w:r>
          </w:p>
        </w:tc>
        <w:tc>
          <w:tcPr>
            <w:tcW w:w="1607" w:type="dxa"/>
            <w:tcBorders>
              <w:top w:val="single" w:sz="6" w:space="0" w:color="auto"/>
              <w:bottom w:val="single" w:sz="6" w:space="0" w:color="auto"/>
            </w:tcBorders>
          </w:tcPr>
          <w:p w14:paraId="0D28F1AB" w14:textId="77777777" w:rsidR="005E614D" w:rsidRDefault="000C3A94">
            <w:r>
              <w:rPr>
                <w:b/>
              </w:rPr>
              <w:t>17 690</w:t>
            </w:r>
          </w:p>
        </w:tc>
        <w:tc>
          <w:tcPr>
            <w:tcW w:w="1606" w:type="dxa"/>
            <w:tcBorders>
              <w:top w:val="single" w:sz="6" w:space="0" w:color="auto"/>
              <w:bottom w:val="single" w:sz="6" w:space="0" w:color="auto"/>
            </w:tcBorders>
          </w:tcPr>
          <w:p w14:paraId="76CBED55" w14:textId="77777777" w:rsidR="005E614D" w:rsidRDefault="000C3A94">
            <w:r>
              <w:rPr>
                <w:b/>
              </w:rPr>
              <w:t>(11 705)</w:t>
            </w:r>
          </w:p>
        </w:tc>
        <w:tc>
          <w:tcPr>
            <w:tcW w:w="1606" w:type="dxa"/>
            <w:tcBorders>
              <w:top w:val="single" w:sz="6" w:space="0" w:color="auto"/>
              <w:bottom w:val="single" w:sz="6" w:space="0" w:color="auto"/>
            </w:tcBorders>
          </w:tcPr>
          <w:p w14:paraId="085CC946" w14:textId="77777777" w:rsidR="005E614D" w:rsidRDefault="000C3A94">
            <w:r>
              <w:rPr>
                <w:b/>
              </w:rPr>
              <w:t>(9 982)</w:t>
            </w:r>
          </w:p>
        </w:tc>
        <w:tc>
          <w:tcPr>
            <w:tcW w:w="1606" w:type="dxa"/>
            <w:tcBorders>
              <w:top w:val="single" w:sz="6" w:space="0" w:color="auto"/>
              <w:bottom w:val="single" w:sz="6" w:space="0" w:color="auto"/>
            </w:tcBorders>
          </w:tcPr>
          <w:p w14:paraId="6AA22B6A" w14:textId="77777777" w:rsidR="005E614D" w:rsidRDefault="000C3A94">
            <w:r>
              <w:rPr>
                <w:b/>
              </w:rPr>
              <w:t>123 968</w:t>
            </w:r>
          </w:p>
        </w:tc>
        <w:tc>
          <w:tcPr>
            <w:tcW w:w="1606" w:type="dxa"/>
            <w:tcBorders>
              <w:top w:val="single" w:sz="6" w:space="0" w:color="auto"/>
              <w:bottom w:val="single" w:sz="6" w:space="0" w:color="auto"/>
            </w:tcBorders>
          </w:tcPr>
          <w:p w14:paraId="6A68690E" w14:textId="77777777" w:rsidR="005E614D" w:rsidRDefault="000C3A94">
            <w:r>
              <w:rPr>
                <w:b/>
              </w:rPr>
              <w:t>116 064</w:t>
            </w:r>
          </w:p>
        </w:tc>
      </w:tr>
      <w:tr w:rsidR="005E614D" w14:paraId="5A189466" w14:textId="77777777" w:rsidTr="004A2065">
        <w:tc>
          <w:tcPr>
            <w:tcW w:w="1607" w:type="dxa"/>
            <w:tcBorders>
              <w:top w:val="single" w:sz="6" w:space="0" w:color="auto"/>
              <w:bottom w:val="single" w:sz="12" w:space="0" w:color="auto"/>
            </w:tcBorders>
          </w:tcPr>
          <w:p w14:paraId="25F1ACBF" w14:textId="77777777" w:rsidR="005E614D" w:rsidRDefault="000C3A94">
            <w:r>
              <w:rPr>
                <w:b/>
              </w:rPr>
              <w:t>(1 415)</w:t>
            </w:r>
          </w:p>
        </w:tc>
        <w:tc>
          <w:tcPr>
            <w:tcW w:w="1607" w:type="dxa"/>
            <w:tcBorders>
              <w:top w:val="single" w:sz="6" w:space="0" w:color="auto"/>
              <w:bottom w:val="single" w:sz="12" w:space="0" w:color="auto"/>
            </w:tcBorders>
          </w:tcPr>
          <w:p w14:paraId="437CE172" w14:textId="77777777" w:rsidR="005E614D" w:rsidRDefault="000C3A94">
            <w:r>
              <w:rPr>
                <w:b/>
              </w:rPr>
              <w:t>(1 940)</w:t>
            </w:r>
          </w:p>
        </w:tc>
        <w:tc>
          <w:tcPr>
            <w:tcW w:w="1606" w:type="dxa"/>
            <w:tcBorders>
              <w:top w:val="single" w:sz="6" w:space="0" w:color="auto"/>
              <w:bottom w:val="single" w:sz="12" w:space="0" w:color="auto"/>
            </w:tcBorders>
          </w:tcPr>
          <w:p w14:paraId="28E1A5E3" w14:textId="77777777" w:rsidR="005E614D" w:rsidRDefault="000C3A94">
            <w:r>
              <w:rPr>
                <w:b/>
              </w:rPr>
              <w:t>(2 016)</w:t>
            </w:r>
          </w:p>
        </w:tc>
        <w:tc>
          <w:tcPr>
            <w:tcW w:w="1606" w:type="dxa"/>
            <w:tcBorders>
              <w:top w:val="single" w:sz="6" w:space="0" w:color="auto"/>
              <w:bottom w:val="single" w:sz="12" w:space="0" w:color="auto"/>
            </w:tcBorders>
          </w:tcPr>
          <w:p w14:paraId="73A5B646" w14:textId="77777777" w:rsidR="005E614D" w:rsidRDefault="000C3A94">
            <w:r>
              <w:rPr>
                <w:b/>
              </w:rPr>
              <w:t>(2 297)</w:t>
            </w:r>
          </w:p>
        </w:tc>
        <w:tc>
          <w:tcPr>
            <w:tcW w:w="1606" w:type="dxa"/>
            <w:tcBorders>
              <w:top w:val="single" w:sz="6" w:space="0" w:color="auto"/>
              <w:bottom w:val="single" w:sz="12" w:space="0" w:color="auto"/>
            </w:tcBorders>
          </w:tcPr>
          <w:p w14:paraId="374EA034" w14:textId="77777777" w:rsidR="005E614D" w:rsidRDefault="000C3A94">
            <w:r>
              <w:rPr>
                <w:b/>
              </w:rPr>
              <w:t>(6 177)</w:t>
            </w:r>
          </w:p>
        </w:tc>
        <w:tc>
          <w:tcPr>
            <w:tcW w:w="1606" w:type="dxa"/>
            <w:tcBorders>
              <w:top w:val="single" w:sz="6" w:space="0" w:color="auto"/>
              <w:bottom w:val="single" w:sz="12" w:space="0" w:color="auto"/>
            </w:tcBorders>
          </w:tcPr>
          <w:p w14:paraId="5E64BFA2" w14:textId="77777777" w:rsidR="005E614D" w:rsidRDefault="000C3A94">
            <w:r>
              <w:rPr>
                <w:b/>
              </w:rPr>
              <w:t>(8 459)</w:t>
            </w:r>
          </w:p>
        </w:tc>
      </w:tr>
      <w:tr w:rsidR="005E614D" w14:paraId="5450F5DF" w14:textId="77777777" w:rsidTr="004A2065">
        <w:tc>
          <w:tcPr>
            <w:tcW w:w="1607" w:type="dxa"/>
            <w:tcBorders>
              <w:top w:val="single" w:sz="0" w:space="0" w:color="auto"/>
            </w:tcBorders>
          </w:tcPr>
          <w:p w14:paraId="7C01F221" w14:textId="77777777" w:rsidR="005E614D" w:rsidRDefault="005E614D"/>
        </w:tc>
        <w:tc>
          <w:tcPr>
            <w:tcW w:w="1607" w:type="dxa"/>
            <w:tcBorders>
              <w:top w:val="single" w:sz="0" w:space="0" w:color="auto"/>
            </w:tcBorders>
          </w:tcPr>
          <w:p w14:paraId="71B2DD76" w14:textId="77777777" w:rsidR="005E614D" w:rsidRDefault="005E614D"/>
        </w:tc>
        <w:tc>
          <w:tcPr>
            <w:tcW w:w="1606" w:type="dxa"/>
            <w:tcBorders>
              <w:top w:val="single" w:sz="0" w:space="0" w:color="auto"/>
            </w:tcBorders>
          </w:tcPr>
          <w:p w14:paraId="75E6F345" w14:textId="77777777" w:rsidR="005E614D" w:rsidRDefault="005E614D"/>
        </w:tc>
        <w:tc>
          <w:tcPr>
            <w:tcW w:w="1606" w:type="dxa"/>
            <w:tcBorders>
              <w:top w:val="single" w:sz="0" w:space="0" w:color="auto"/>
            </w:tcBorders>
          </w:tcPr>
          <w:p w14:paraId="380FA490" w14:textId="77777777" w:rsidR="005E614D" w:rsidRDefault="005E614D"/>
        </w:tc>
        <w:tc>
          <w:tcPr>
            <w:tcW w:w="1606" w:type="dxa"/>
            <w:tcBorders>
              <w:top w:val="single" w:sz="0" w:space="0" w:color="auto"/>
            </w:tcBorders>
          </w:tcPr>
          <w:p w14:paraId="4B2903F3" w14:textId="77777777" w:rsidR="005E614D" w:rsidRDefault="005E614D"/>
        </w:tc>
        <w:tc>
          <w:tcPr>
            <w:tcW w:w="1606" w:type="dxa"/>
            <w:tcBorders>
              <w:top w:val="single" w:sz="0" w:space="0" w:color="auto"/>
            </w:tcBorders>
          </w:tcPr>
          <w:p w14:paraId="7F8960BC" w14:textId="77777777" w:rsidR="005E614D" w:rsidRDefault="005E614D"/>
        </w:tc>
      </w:tr>
      <w:tr w:rsidR="005E614D" w14:paraId="76087548" w14:textId="77777777">
        <w:tc>
          <w:tcPr>
            <w:tcW w:w="1607" w:type="dxa"/>
          </w:tcPr>
          <w:p w14:paraId="40F5434E" w14:textId="77777777" w:rsidR="005E614D" w:rsidRDefault="000C3A94">
            <w:r>
              <w:t>..</w:t>
            </w:r>
          </w:p>
        </w:tc>
        <w:tc>
          <w:tcPr>
            <w:tcW w:w="1607" w:type="dxa"/>
          </w:tcPr>
          <w:p w14:paraId="1C23D244" w14:textId="77777777" w:rsidR="005E614D" w:rsidRDefault="000C3A94">
            <w:r>
              <w:t>..</w:t>
            </w:r>
          </w:p>
        </w:tc>
        <w:tc>
          <w:tcPr>
            <w:tcW w:w="1606" w:type="dxa"/>
          </w:tcPr>
          <w:p w14:paraId="254646C2" w14:textId="2A9AE67F" w:rsidR="005E614D" w:rsidRDefault="00481159">
            <w:r>
              <w:t>..</w:t>
            </w:r>
          </w:p>
        </w:tc>
        <w:tc>
          <w:tcPr>
            <w:tcW w:w="1606" w:type="dxa"/>
          </w:tcPr>
          <w:p w14:paraId="141541F8" w14:textId="1AC1E530" w:rsidR="005E614D" w:rsidRDefault="00481159">
            <w:r>
              <w:t>..</w:t>
            </w:r>
          </w:p>
        </w:tc>
        <w:tc>
          <w:tcPr>
            <w:tcW w:w="1606" w:type="dxa"/>
          </w:tcPr>
          <w:p w14:paraId="0E907122" w14:textId="77777777" w:rsidR="005E614D" w:rsidRDefault="000C3A94">
            <w:r>
              <w:t>(7)</w:t>
            </w:r>
          </w:p>
        </w:tc>
        <w:tc>
          <w:tcPr>
            <w:tcW w:w="1606" w:type="dxa"/>
          </w:tcPr>
          <w:p w14:paraId="5650D501" w14:textId="77777777" w:rsidR="005E614D" w:rsidRDefault="000C3A94">
            <w:r>
              <w:t>(63)</w:t>
            </w:r>
          </w:p>
        </w:tc>
      </w:tr>
      <w:tr w:rsidR="005E614D" w14:paraId="31D4BFE1" w14:textId="77777777">
        <w:tc>
          <w:tcPr>
            <w:tcW w:w="1607" w:type="dxa"/>
          </w:tcPr>
          <w:p w14:paraId="3D8836E7" w14:textId="77777777" w:rsidR="005E614D" w:rsidRDefault="000C3A94">
            <w:r>
              <w:t>(3 099)</w:t>
            </w:r>
          </w:p>
        </w:tc>
        <w:tc>
          <w:tcPr>
            <w:tcW w:w="1607" w:type="dxa"/>
          </w:tcPr>
          <w:p w14:paraId="2DAF1D8D" w14:textId="77777777" w:rsidR="005E614D" w:rsidRDefault="000C3A94">
            <w:r>
              <w:t>1 992</w:t>
            </w:r>
          </w:p>
        </w:tc>
        <w:tc>
          <w:tcPr>
            <w:tcW w:w="1606" w:type="dxa"/>
          </w:tcPr>
          <w:p w14:paraId="320D77B3" w14:textId="77777777" w:rsidR="005E614D" w:rsidRDefault="000C3A94">
            <w:r>
              <w:t>(46)</w:t>
            </w:r>
          </w:p>
        </w:tc>
        <w:tc>
          <w:tcPr>
            <w:tcW w:w="1606" w:type="dxa"/>
          </w:tcPr>
          <w:p w14:paraId="49B5E0D3" w14:textId="77777777" w:rsidR="005E614D" w:rsidRDefault="000C3A94">
            <w:r>
              <w:t>45</w:t>
            </w:r>
          </w:p>
        </w:tc>
        <w:tc>
          <w:tcPr>
            <w:tcW w:w="1606" w:type="dxa"/>
          </w:tcPr>
          <w:p w14:paraId="617ECD7A" w14:textId="77777777" w:rsidR="005E614D" w:rsidRDefault="000C3A94">
            <w:r>
              <w:t>(1 844)</w:t>
            </w:r>
          </w:p>
        </w:tc>
        <w:tc>
          <w:tcPr>
            <w:tcW w:w="1606" w:type="dxa"/>
          </w:tcPr>
          <w:p w14:paraId="589D9E74" w14:textId="77777777" w:rsidR="005E614D" w:rsidRDefault="000C3A94">
            <w:r>
              <w:t>2 422</w:t>
            </w:r>
          </w:p>
        </w:tc>
      </w:tr>
      <w:tr w:rsidR="005E614D" w14:paraId="3C4F502F" w14:textId="77777777">
        <w:tc>
          <w:tcPr>
            <w:tcW w:w="1607" w:type="dxa"/>
          </w:tcPr>
          <w:p w14:paraId="49D1D841" w14:textId="77777777" w:rsidR="005E614D" w:rsidRDefault="000C3A94">
            <w:r>
              <w:t>(1)</w:t>
            </w:r>
          </w:p>
        </w:tc>
        <w:tc>
          <w:tcPr>
            <w:tcW w:w="1607" w:type="dxa"/>
          </w:tcPr>
          <w:p w14:paraId="12621453" w14:textId="77777777" w:rsidR="005E614D" w:rsidRDefault="000C3A94">
            <w:r>
              <w:t>(1)</w:t>
            </w:r>
          </w:p>
        </w:tc>
        <w:tc>
          <w:tcPr>
            <w:tcW w:w="1606" w:type="dxa"/>
          </w:tcPr>
          <w:p w14:paraId="57B27E68" w14:textId="67CA9C89" w:rsidR="005E614D" w:rsidRDefault="00481159">
            <w:r>
              <w:t>..</w:t>
            </w:r>
          </w:p>
        </w:tc>
        <w:tc>
          <w:tcPr>
            <w:tcW w:w="1606" w:type="dxa"/>
          </w:tcPr>
          <w:p w14:paraId="75A835D8" w14:textId="66C90351" w:rsidR="005E614D" w:rsidRDefault="00481159">
            <w:r>
              <w:t>..</w:t>
            </w:r>
          </w:p>
        </w:tc>
        <w:tc>
          <w:tcPr>
            <w:tcW w:w="1606" w:type="dxa"/>
          </w:tcPr>
          <w:p w14:paraId="5126860B" w14:textId="77777777" w:rsidR="005E614D" w:rsidRDefault="000C3A94">
            <w:r>
              <w:t>(75)</w:t>
            </w:r>
          </w:p>
        </w:tc>
        <w:tc>
          <w:tcPr>
            <w:tcW w:w="1606" w:type="dxa"/>
          </w:tcPr>
          <w:p w14:paraId="4DF14776" w14:textId="77777777" w:rsidR="005E614D" w:rsidRDefault="000C3A94">
            <w:r>
              <w:t>(53)</w:t>
            </w:r>
          </w:p>
        </w:tc>
      </w:tr>
      <w:tr w:rsidR="005E614D" w14:paraId="5A327712" w14:textId="77777777" w:rsidTr="004A2065">
        <w:tc>
          <w:tcPr>
            <w:tcW w:w="1607" w:type="dxa"/>
            <w:tcBorders>
              <w:bottom w:val="single" w:sz="6" w:space="0" w:color="auto"/>
            </w:tcBorders>
          </w:tcPr>
          <w:p w14:paraId="49C3FE81" w14:textId="77777777" w:rsidR="005E614D" w:rsidRDefault="000C3A94">
            <w:r>
              <w:t>992</w:t>
            </w:r>
          </w:p>
        </w:tc>
        <w:tc>
          <w:tcPr>
            <w:tcW w:w="1607" w:type="dxa"/>
            <w:tcBorders>
              <w:bottom w:val="single" w:sz="6" w:space="0" w:color="auto"/>
            </w:tcBorders>
          </w:tcPr>
          <w:p w14:paraId="7F07761F" w14:textId="77777777" w:rsidR="005E614D" w:rsidRDefault="000C3A94">
            <w:r>
              <w:t>1 269</w:t>
            </w:r>
          </w:p>
        </w:tc>
        <w:tc>
          <w:tcPr>
            <w:tcW w:w="1606" w:type="dxa"/>
            <w:tcBorders>
              <w:bottom w:val="single" w:sz="6" w:space="0" w:color="auto"/>
            </w:tcBorders>
          </w:tcPr>
          <w:p w14:paraId="5C4B8C9B" w14:textId="77777777" w:rsidR="005E614D" w:rsidRDefault="000C3A94">
            <w:r>
              <w:t>12 986</w:t>
            </w:r>
          </w:p>
        </w:tc>
        <w:tc>
          <w:tcPr>
            <w:tcW w:w="1606" w:type="dxa"/>
            <w:tcBorders>
              <w:bottom w:val="single" w:sz="6" w:space="0" w:color="auto"/>
            </w:tcBorders>
          </w:tcPr>
          <w:p w14:paraId="595DEE33" w14:textId="77777777" w:rsidR="005E614D" w:rsidRDefault="000C3A94">
            <w:r>
              <w:t>3 062</w:t>
            </w:r>
          </w:p>
        </w:tc>
        <w:tc>
          <w:tcPr>
            <w:tcW w:w="1606" w:type="dxa"/>
            <w:tcBorders>
              <w:bottom w:val="single" w:sz="6" w:space="0" w:color="auto"/>
            </w:tcBorders>
          </w:tcPr>
          <w:p w14:paraId="0387F6D8" w14:textId="77777777" w:rsidR="005E614D" w:rsidRDefault="000C3A94">
            <w:r>
              <w:t>406</w:t>
            </w:r>
          </w:p>
        </w:tc>
        <w:tc>
          <w:tcPr>
            <w:tcW w:w="1606" w:type="dxa"/>
            <w:tcBorders>
              <w:bottom w:val="single" w:sz="6" w:space="0" w:color="auto"/>
            </w:tcBorders>
          </w:tcPr>
          <w:p w14:paraId="1215678E" w14:textId="77777777" w:rsidR="005E614D" w:rsidRDefault="000C3A94">
            <w:r>
              <w:t>613</w:t>
            </w:r>
          </w:p>
        </w:tc>
      </w:tr>
      <w:tr w:rsidR="005E614D" w14:paraId="7477D243" w14:textId="77777777" w:rsidTr="004A2065">
        <w:tc>
          <w:tcPr>
            <w:tcW w:w="1607" w:type="dxa"/>
            <w:tcBorders>
              <w:top w:val="single" w:sz="6" w:space="0" w:color="auto"/>
              <w:bottom w:val="single" w:sz="6" w:space="0" w:color="auto"/>
            </w:tcBorders>
          </w:tcPr>
          <w:p w14:paraId="5D0EC820" w14:textId="77777777" w:rsidR="005E614D" w:rsidRDefault="000C3A94">
            <w:r>
              <w:rPr>
                <w:b/>
              </w:rPr>
              <w:t>(2 109)</w:t>
            </w:r>
          </w:p>
        </w:tc>
        <w:tc>
          <w:tcPr>
            <w:tcW w:w="1607" w:type="dxa"/>
            <w:tcBorders>
              <w:top w:val="single" w:sz="6" w:space="0" w:color="auto"/>
              <w:bottom w:val="single" w:sz="6" w:space="0" w:color="auto"/>
            </w:tcBorders>
          </w:tcPr>
          <w:p w14:paraId="1B20649F" w14:textId="77777777" w:rsidR="005E614D" w:rsidRDefault="000C3A94">
            <w:r>
              <w:rPr>
                <w:b/>
              </w:rPr>
              <w:t>3 260</w:t>
            </w:r>
          </w:p>
        </w:tc>
        <w:tc>
          <w:tcPr>
            <w:tcW w:w="1606" w:type="dxa"/>
            <w:tcBorders>
              <w:top w:val="single" w:sz="6" w:space="0" w:color="auto"/>
              <w:bottom w:val="single" w:sz="6" w:space="0" w:color="auto"/>
            </w:tcBorders>
          </w:tcPr>
          <w:p w14:paraId="44C0D7F1" w14:textId="77777777" w:rsidR="005E614D" w:rsidRDefault="000C3A94">
            <w:r>
              <w:rPr>
                <w:b/>
              </w:rPr>
              <w:t>12 941</w:t>
            </w:r>
          </w:p>
        </w:tc>
        <w:tc>
          <w:tcPr>
            <w:tcW w:w="1606" w:type="dxa"/>
            <w:tcBorders>
              <w:top w:val="single" w:sz="6" w:space="0" w:color="auto"/>
              <w:bottom w:val="single" w:sz="6" w:space="0" w:color="auto"/>
            </w:tcBorders>
          </w:tcPr>
          <w:p w14:paraId="35290A86" w14:textId="77777777" w:rsidR="005E614D" w:rsidRDefault="000C3A94">
            <w:r>
              <w:rPr>
                <w:b/>
              </w:rPr>
              <w:t>3 107</w:t>
            </w:r>
          </w:p>
        </w:tc>
        <w:tc>
          <w:tcPr>
            <w:tcW w:w="1606" w:type="dxa"/>
            <w:tcBorders>
              <w:top w:val="single" w:sz="6" w:space="0" w:color="auto"/>
              <w:bottom w:val="single" w:sz="6" w:space="0" w:color="auto"/>
            </w:tcBorders>
          </w:tcPr>
          <w:p w14:paraId="02858595" w14:textId="77777777" w:rsidR="005E614D" w:rsidRDefault="000C3A94">
            <w:r>
              <w:rPr>
                <w:b/>
              </w:rPr>
              <w:t>(1 520)</w:t>
            </w:r>
          </w:p>
        </w:tc>
        <w:tc>
          <w:tcPr>
            <w:tcW w:w="1606" w:type="dxa"/>
            <w:tcBorders>
              <w:top w:val="single" w:sz="6" w:space="0" w:color="auto"/>
              <w:bottom w:val="single" w:sz="6" w:space="0" w:color="auto"/>
            </w:tcBorders>
          </w:tcPr>
          <w:p w14:paraId="576262DE" w14:textId="77777777" w:rsidR="005E614D" w:rsidRDefault="000C3A94">
            <w:r>
              <w:rPr>
                <w:b/>
              </w:rPr>
              <w:t>2 919</w:t>
            </w:r>
          </w:p>
        </w:tc>
      </w:tr>
      <w:tr w:rsidR="005E614D" w14:paraId="5C89F29B" w14:textId="77777777" w:rsidTr="004A2065">
        <w:tc>
          <w:tcPr>
            <w:tcW w:w="1607" w:type="dxa"/>
            <w:tcBorders>
              <w:top w:val="single" w:sz="6" w:space="0" w:color="auto"/>
              <w:bottom w:val="single" w:sz="6" w:space="0" w:color="auto"/>
            </w:tcBorders>
          </w:tcPr>
          <w:p w14:paraId="33CA4F99" w14:textId="77777777" w:rsidR="005E614D" w:rsidRDefault="000C3A94">
            <w:r>
              <w:rPr>
                <w:b/>
              </w:rPr>
              <w:t>(3 523)</w:t>
            </w:r>
          </w:p>
        </w:tc>
        <w:tc>
          <w:tcPr>
            <w:tcW w:w="1607" w:type="dxa"/>
            <w:tcBorders>
              <w:top w:val="single" w:sz="6" w:space="0" w:color="auto"/>
              <w:bottom w:val="single" w:sz="6" w:space="0" w:color="auto"/>
            </w:tcBorders>
          </w:tcPr>
          <w:p w14:paraId="735C72C7" w14:textId="77777777" w:rsidR="005E614D" w:rsidRDefault="000C3A94">
            <w:r>
              <w:rPr>
                <w:b/>
              </w:rPr>
              <w:t>1 320</w:t>
            </w:r>
          </w:p>
        </w:tc>
        <w:tc>
          <w:tcPr>
            <w:tcW w:w="1606" w:type="dxa"/>
            <w:tcBorders>
              <w:top w:val="single" w:sz="6" w:space="0" w:color="auto"/>
              <w:bottom w:val="single" w:sz="6" w:space="0" w:color="auto"/>
            </w:tcBorders>
          </w:tcPr>
          <w:p w14:paraId="3CAC2019" w14:textId="77777777" w:rsidR="005E614D" w:rsidRDefault="000C3A94">
            <w:r>
              <w:rPr>
                <w:b/>
              </w:rPr>
              <w:t>10 925</w:t>
            </w:r>
          </w:p>
        </w:tc>
        <w:tc>
          <w:tcPr>
            <w:tcW w:w="1606" w:type="dxa"/>
            <w:tcBorders>
              <w:top w:val="single" w:sz="6" w:space="0" w:color="auto"/>
              <w:bottom w:val="single" w:sz="6" w:space="0" w:color="auto"/>
            </w:tcBorders>
          </w:tcPr>
          <w:p w14:paraId="325836D3" w14:textId="77777777" w:rsidR="005E614D" w:rsidRDefault="000C3A94">
            <w:r>
              <w:rPr>
                <w:b/>
              </w:rPr>
              <w:t>810</w:t>
            </w:r>
          </w:p>
        </w:tc>
        <w:tc>
          <w:tcPr>
            <w:tcW w:w="1606" w:type="dxa"/>
            <w:tcBorders>
              <w:top w:val="single" w:sz="6" w:space="0" w:color="auto"/>
              <w:bottom w:val="single" w:sz="6" w:space="0" w:color="auto"/>
            </w:tcBorders>
          </w:tcPr>
          <w:p w14:paraId="7D3C0B06" w14:textId="77777777" w:rsidR="005E614D" w:rsidRDefault="000C3A94">
            <w:r>
              <w:rPr>
                <w:b/>
              </w:rPr>
              <w:t>(7 696)</w:t>
            </w:r>
          </w:p>
        </w:tc>
        <w:tc>
          <w:tcPr>
            <w:tcW w:w="1606" w:type="dxa"/>
            <w:tcBorders>
              <w:top w:val="single" w:sz="6" w:space="0" w:color="auto"/>
              <w:bottom w:val="single" w:sz="6" w:space="0" w:color="auto"/>
            </w:tcBorders>
          </w:tcPr>
          <w:p w14:paraId="037FE53C" w14:textId="77777777" w:rsidR="005E614D" w:rsidRDefault="000C3A94">
            <w:r>
              <w:rPr>
                <w:b/>
              </w:rPr>
              <w:t>(5 540)</w:t>
            </w:r>
          </w:p>
        </w:tc>
      </w:tr>
      <w:tr w:rsidR="005E614D" w14:paraId="30B30247" w14:textId="77777777" w:rsidTr="004A2065">
        <w:tc>
          <w:tcPr>
            <w:tcW w:w="1607" w:type="dxa"/>
            <w:tcBorders>
              <w:top w:val="single" w:sz="6" w:space="0" w:color="auto"/>
            </w:tcBorders>
          </w:tcPr>
          <w:p w14:paraId="332D0CE9" w14:textId="77777777" w:rsidR="005E614D" w:rsidRDefault="005E614D"/>
        </w:tc>
        <w:tc>
          <w:tcPr>
            <w:tcW w:w="1607" w:type="dxa"/>
            <w:tcBorders>
              <w:top w:val="single" w:sz="6" w:space="0" w:color="auto"/>
            </w:tcBorders>
          </w:tcPr>
          <w:p w14:paraId="62550FFF" w14:textId="77777777" w:rsidR="005E614D" w:rsidRDefault="005E614D"/>
        </w:tc>
        <w:tc>
          <w:tcPr>
            <w:tcW w:w="1606" w:type="dxa"/>
            <w:tcBorders>
              <w:top w:val="single" w:sz="6" w:space="0" w:color="auto"/>
            </w:tcBorders>
          </w:tcPr>
          <w:p w14:paraId="7453A32B" w14:textId="77777777" w:rsidR="005E614D" w:rsidRDefault="005E614D"/>
        </w:tc>
        <w:tc>
          <w:tcPr>
            <w:tcW w:w="1606" w:type="dxa"/>
            <w:tcBorders>
              <w:top w:val="single" w:sz="6" w:space="0" w:color="auto"/>
            </w:tcBorders>
          </w:tcPr>
          <w:p w14:paraId="47A79A4A" w14:textId="77777777" w:rsidR="005E614D" w:rsidRDefault="005E614D"/>
        </w:tc>
        <w:tc>
          <w:tcPr>
            <w:tcW w:w="1606" w:type="dxa"/>
            <w:tcBorders>
              <w:top w:val="single" w:sz="6" w:space="0" w:color="auto"/>
            </w:tcBorders>
          </w:tcPr>
          <w:p w14:paraId="03D6D17E" w14:textId="77777777" w:rsidR="005E614D" w:rsidRDefault="005E614D"/>
        </w:tc>
        <w:tc>
          <w:tcPr>
            <w:tcW w:w="1606" w:type="dxa"/>
            <w:tcBorders>
              <w:top w:val="single" w:sz="6" w:space="0" w:color="auto"/>
            </w:tcBorders>
          </w:tcPr>
          <w:p w14:paraId="632F829F" w14:textId="77777777" w:rsidR="005E614D" w:rsidRDefault="005E614D"/>
        </w:tc>
      </w:tr>
      <w:tr w:rsidR="005E614D" w14:paraId="66E22BA9" w14:textId="77777777">
        <w:tc>
          <w:tcPr>
            <w:tcW w:w="1607" w:type="dxa"/>
          </w:tcPr>
          <w:p w14:paraId="5E6B2293" w14:textId="77777777" w:rsidR="005E614D" w:rsidRDefault="005E614D"/>
        </w:tc>
        <w:tc>
          <w:tcPr>
            <w:tcW w:w="1607" w:type="dxa"/>
          </w:tcPr>
          <w:p w14:paraId="4F1A57DD" w14:textId="77777777" w:rsidR="005E614D" w:rsidRDefault="005E614D"/>
        </w:tc>
        <w:tc>
          <w:tcPr>
            <w:tcW w:w="1606" w:type="dxa"/>
          </w:tcPr>
          <w:p w14:paraId="40A999CB" w14:textId="77777777" w:rsidR="005E614D" w:rsidRDefault="005E614D"/>
        </w:tc>
        <w:tc>
          <w:tcPr>
            <w:tcW w:w="1606" w:type="dxa"/>
          </w:tcPr>
          <w:p w14:paraId="457DD8C9" w14:textId="77777777" w:rsidR="005E614D" w:rsidRDefault="005E614D"/>
        </w:tc>
        <w:tc>
          <w:tcPr>
            <w:tcW w:w="1606" w:type="dxa"/>
          </w:tcPr>
          <w:p w14:paraId="07F28146" w14:textId="77777777" w:rsidR="005E614D" w:rsidRDefault="005E614D"/>
        </w:tc>
        <w:tc>
          <w:tcPr>
            <w:tcW w:w="1606" w:type="dxa"/>
          </w:tcPr>
          <w:p w14:paraId="7D55FD45" w14:textId="77777777" w:rsidR="005E614D" w:rsidRDefault="005E614D"/>
        </w:tc>
      </w:tr>
      <w:tr w:rsidR="005E614D" w14:paraId="2D4A4C6B" w14:textId="77777777">
        <w:tc>
          <w:tcPr>
            <w:tcW w:w="1607" w:type="dxa"/>
          </w:tcPr>
          <w:p w14:paraId="0DB1EC4E" w14:textId="77777777" w:rsidR="005E614D" w:rsidRDefault="000C3A94">
            <w:r>
              <w:t>4</w:t>
            </w:r>
          </w:p>
        </w:tc>
        <w:tc>
          <w:tcPr>
            <w:tcW w:w="1607" w:type="dxa"/>
          </w:tcPr>
          <w:p w14:paraId="7DC3341D" w14:textId="77777777" w:rsidR="005E614D" w:rsidRDefault="000C3A94">
            <w:r>
              <w:t>(1)</w:t>
            </w:r>
          </w:p>
        </w:tc>
        <w:tc>
          <w:tcPr>
            <w:tcW w:w="1606" w:type="dxa"/>
          </w:tcPr>
          <w:p w14:paraId="44B33D30" w14:textId="77777777" w:rsidR="005E614D" w:rsidRDefault="000C3A94">
            <w:r>
              <w:t>38 264</w:t>
            </w:r>
          </w:p>
        </w:tc>
        <w:tc>
          <w:tcPr>
            <w:tcW w:w="1606" w:type="dxa"/>
          </w:tcPr>
          <w:p w14:paraId="2B3F2FA2" w14:textId="77777777" w:rsidR="005E614D" w:rsidRDefault="000C3A94">
            <w:r>
              <w:t>97</w:t>
            </w:r>
          </w:p>
        </w:tc>
        <w:tc>
          <w:tcPr>
            <w:tcW w:w="1606" w:type="dxa"/>
          </w:tcPr>
          <w:p w14:paraId="3213217C" w14:textId="77777777" w:rsidR="005E614D" w:rsidRDefault="000C3A94">
            <w:r>
              <w:t>48 453</w:t>
            </w:r>
          </w:p>
        </w:tc>
        <w:tc>
          <w:tcPr>
            <w:tcW w:w="1606" w:type="dxa"/>
          </w:tcPr>
          <w:p w14:paraId="22F85E67" w14:textId="77777777" w:rsidR="005E614D" w:rsidRDefault="000C3A94">
            <w:r>
              <w:t>9 626</w:t>
            </w:r>
          </w:p>
        </w:tc>
      </w:tr>
      <w:tr w:rsidR="005E614D" w14:paraId="64E79293" w14:textId="77777777">
        <w:tc>
          <w:tcPr>
            <w:tcW w:w="1607" w:type="dxa"/>
          </w:tcPr>
          <w:p w14:paraId="166264CA" w14:textId="6B22CCD6" w:rsidR="005E614D" w:rsidRDefault="00481159">
            <w:r>
              <w:t>..</w:t>
            </w:r>
          </w:p>
        </w:tc>
        <w:tc>
          <w:tcPr>
            <w:tcW w:w="1607" w:type="dxa"/>
          </w:tcPr>
          <w:p w14:paraId="57C14A89" w14:textId="396E2172" w:rsidR="005E614D" w:rsidRDefault="00481159">
            <w:r>
              <w:t>..</w:t>
            </w:r>
          </w:p>
        </w:tc>
        <w:tc>
          <w:tcPr>
            <w:tcW w:w="1606" w:type="dxa"/>
          </w:tcPr>
          <w:p w14:paraId="2D55499B" w14:textId="5CFDD60D" w:rsidR="005E614D" w:rsidRDefault="00481159">
            <w:r>
              <w:t>..</w:t>
            </w:r>
          </w:p>
        </w:tc>
        <w:tc>
          <w:tcPr>
            <w:tcW w:w="1606" w:type="dxa"/>
          </w:tcPr>
          <w:p w14:paraId="3BF57F00" w14:textId="03B4647F" w:rsidR="005E614D" w:rsidRDefault="00481159">
            <w:r>
              <w:t>..</w:t>
            </w:r>
          </w:p>
        </w:tc>
        <w:tc>
          <w:tcPr>
            <w:tcW w:w="1606" w:type="dxa"/>
          </w:tcPr>
          <w:p w14:paraId="5415E59C" w14:textId="77777777" w:rsidR="005E614D" w:rsidRDefault="000C3A94">
            <w:r>
              <w:t>795</w:t>
            </w:r>
          </w:p>
        </w:tc>
        <w:tc>
          <w:tcPr>
            <w:tcW w:w="1606" w:type="dxa"/>
          </w:tcPr>
          <w:p w14:paraId="67167DDE" w14:textId="77777777" w:rsidR="005E614D" w:rsidRDefault="000C3A94">
            <w:r>
              <w:t>1 675</w:t>
            </w:r>
          </w:p>
        </w:tc>
      </w:tr>
      <w:tr w:rsidR="005E614D" w14:paraId="3C4DD65B" w14:textId="77777777">
        <w:tc>
          <w:tcPr>
            <w:tcW w:w="1607" w:type="dxa"/>
          </w:tcPr>
          <w:p w14:paraId="22EF04F2" w14:textId="77777777" w:rsidR="005E614D" w:rsidRDefault="000C3A94">
            <w:r>
              <w:t>(1)</w:t>
            </w:r>
          </w:p>
        </w:tc>
        <w:tc>
          <w:tcPr>
            <w:tcW w:w="1607" w:type="dxa"/>
          </w:tcPr>
          <w:p w14:paraId="469D6ED6" w14:textId="77777777" w:rsidR="005E614D" w:rsidRDefault="000C3A94">
            <w:r>
              <w:t>(1)</w:t>
            </w:r>
          </w:p>
        </w:tc>
        <w:tc>
          <w:tcPr>
            <w:tcW w:w="1606" w:type="dxa"/>
          </w:tcPr>
          <w:p w14:paraId="20B1E70E" w14:textId="77777777" w:rsidR="005E614D" w:rsidRDefault="000C3A94">
            <w:r>
              <w:t>..</w:t>
            </w:r>
          </w:p>
        </w:tc>
        <w:tc>
          <w:tcPr>
            <w:tcW w:w="1606" w:type="dxa"/>
          </w:tcPr>
          <w:p w14:paraId="63F9B95C" w14:textId="77777777" w:rsidR="005E614D" w:rsidRDefault="000C3A94">
            <w:r>
              <w:t>..</w:t>
            </w:r>
          </w:p>
        </w:tc>
        <w:tc>
          <w:tcPr>
            <w:tcW w:w="1606" w:type="dxa"/>
          </w:tcPr>
          <w:p w14:paraId="7E48DDE1" w14:textId="77777777" w:rsidR="005E614D" w:rsidRDefault="000C3A94">
            <w:r>
              <w:t>(14)</w:t>
            </w:r>
          </w:p>
        </w:tc>
        <w:tc>
          <w:tcPr>
            <w:tcW w:w="1606" w:type="dxa"/>
          </w:tcPr>
          <w:p w14:paraId="4C74EA50" w14:textId="77777777" w:rsidR="005E614D" w:rsidRDefault="000C3A94">
            <w:r>
              <w:t>(67)</w:t>
            </w:r>
          </w:p>
        </w:tc>
      </w:tr>
      <w:tr w:rsidR="005E614D" w14:paraId="3AF3B3DC" w14:textId="77777777">
        <w:tc>
          <w:tcPr>
            <w:tcW w:w="1607" w:type="dxa"/>
          </w:tcPr>
          <w:p w14:paraId="11252BFD" w14:textId="665F0AE3" w:rsidR="005E614D" w:rsidRDefault="005E614D"/>
        </w:tc>
        <w:tc>
          <w:tcPr>
            <w:tcW w:w="1607" w:type="dxa"/>
          </w:tcPr>
          <w:p w14:paraId="5A1554F6" w14:textId="1F825762" w:rsidR="005E614D" w:rsidRDefault="005E614D"/>
        </w:tc>
        <w:tc>
          <w:tcPr>
            <w:tcW w:w="1606" w:type="dxa"/>
          </w:tcPr>
          <w:p w14:paraId="7F694937" w14:textId="3BFACC74" w:rsidR="005E614D" w:rsidRDefault="005E614D"/>
        </w:tc>
        <w:tc>
          <w:tcPr>
            <w:tcW w:w="1606" w:type="dxa"/>
          </w:tcPr>
          <w:p w14:paraId="052AB9BF" w14:textId="70B3C789" w:rsidR="005E614D" w:rsidRDefault="005E614D"/>
        </w:tc>
        <w:tc>
          <w:tcPr>
            <w:tcW w:w="1606" w:type="dxa"/>
          </w:tcPr>
          <w:p w14:paraId="5324841D" w14:textId="0CE2B7D9" w:rsidR="005E614D" w:rsidRDefault="005E614D"/>
        </w:tc>
        <w:tc>
          <w:tcPr>
            <w:tcW w:w="1606" w:type="dxa"/>
          </w:tcPr>
          <w:p w14:paraId="3AED416D" w14:textId="702314D2" w:rsidR="005E614D" w:rsidRDefault="005E614D"/>
        </w:tc>
      </w:tr>
      <w:tr w:rsidR="005E614D" w14:paraId="56375DB4" w14:textId="77777777">
        <w:tc>
          <w:tcPr>
            <w:tcW w:w="1607" w:type="dxa"/>
          </w:tcPr>
          <w:p w14:paraId="3247E0C8" w14:textId="61DFBEFA" w:rsidR="005E614D" w:rsidRDefault="008D60B8">
            <w:r>
              <w:t>..</w:t>
            </w:r>
          </w:p>
        </w:tc>
        <w:tc>
          <w:tcPr>
            <w:tcW w:w="1607" w:type="dxa"/>
          </w:tcPr>
          <w:p w14:paraId="0A8714AD" w14:textId="1A2696E5" w:rsidR="005E614D" w:rsidRDefault="00481159">
            <w:r>
              <w:t>..</w:t>
            </w:r>
          </w:p>
        </w:tc>
        <w:tc>
          <w:tcPr>
            <w:tcW w:w="1606" w:type="dxa"/>
          </w:tcPr>
          <w:p w14:paraId="7B30F747" w14:textId="7ADC25B9" w:rsidR="005E614D" w:rsidRDefault="00481159">
            <w:r>
              <w:t>..</w:t>
            </w:r>
          </w:p>
        </w:tc>
        <w:tc>
          <w:tcPr>
            <w:tcW w:w="1606" w:type="dxa"/>
          </w:tcPr>
          <w:p w14:paraId="208B551B" w14:textId="14DD899C" w:rsidR="005E614D" w:rsidRDefault="00481159">
            <w:r>
              <w:t>..</w:t>
            </w:r>
          </w:p>
        </w:tc>
        <w:tc>
          <w:tcPr>
            <w:tcW w:w="1606" w:type="dxa"/>
          </w:tcPr>
          <w:p w14:paraId="1C4CBF75" w14:textId="77777777" w:rsidR="005E614D" w:rsidRDefault="000C3A94">
            <w:r>
              <w:t>(31)</w:t>
            </w:r>
          </w:p>
        </w:tc>
        <w:tc>
          <w:tcPr>
            <w:tcW w:w="1606" w:type="dxa"/>
          </w:tcPr>
          <w:p w14:paraId="4759AC64" w14:textId="77777777" w:rsidR="005E614D" w:rsidRDefault="000C3A94">
            <w:r>
              <w:t>15</w:t>
            </w:r>
          </w:p>
        </w:tc>
      </w:tr>
      <w:tr w:rsidR="005E614D" w14:paraId="0D099FFC" w14:textId="77777777" w:rsidTr="004A2065">
        <w:tc>
          <w:tcPr>
            <w:tcW w:w="1607" w:type="dxa"/>
            <w:tcBorders>
              <w:bottom w:val="single" w:sz="6" w:space="0" w:color="auto"/>
            </w:tcBorders>
          </w:tcPr>
          <w:p w14:paraId="2512B961" w14:textId="45160E2C" w:rsidR="005E614D" w:rsidRDefault="005729AC">
            <w:r>
              <w:t>..</w:t>
            </w:r>
            <w:r w:rsidR="000C3A94">
              <w:br/>
            </w:r>
          </w:p>
        </w:tc>
        <w:tc>
          <w:tcPr>
            <w:tcW w:w="1607" w:type="dxa"/>
            <w:tcBorders>
              <w:bottom w:val="single" w:sz="6" w:space="0" w:color="auto"/>
            </w:tcBorders>
          </w:tcPr>
          <w:p w14:paraId="5A5E82CC" w14:textId="6F69E669" w:rsidR="005E614D" w:rsidRDefault="008D60B8">
            <w:r>
              <w:t>..</w:t>
            </w:r>
          </w:p>
        </w:tc>
        <w:tc>
          <w:tcPr>
            <w:tcW w:w="1606" w:type="dxa"/>
            <w:tcBorders>
              <w:bottom w:val="single" w:sz="6" w:space="0" w:color="auto"/>
            </w:tcBorders>
          </w:tcPr>
          <w:p w14:paraId="76CCADAA" w14:textId="77777777" w:rsidR="005E614D" w:rsidRDefault="000C3A94">
            <w:r>
              <w:t>8 586</w:t>
            </w:r>
          </w:p>
        </w:tc>
        <w:tc>
          <w:tcPr>
            <w:tcW w:w="1606" w:type="dxa"/>
            <w:tcBorders>
              <w:bottom w:val="single" w:sz="6" w:space="0" w:color="auto"/>
            </w:tcBorders>
          </w:tcPr>
          <w:p w14:paraId="252F3FA1" w14:textId="77777777" w:rsidR="005E614D" w:rsidRDefault="000C3A94">
            <w:r>
              <w:t>1 864</w:t>
            </w:r>
          </w:p>
        </w:tc>
        <w:tc>
          <w:tcPr>
            <w:tcW w:w="1606" w:type="dxa"/>
            <w:tcBorders>
              <w:bottom w:val="single" w:sz="6" w:space="0" w:color="auto"/>
            </w:tcBorders>
          </w:tcPr>
          <w:p w14:paraId="20A8DA7B" w14:textId="77777777" w:rsidR="005E614D" w:rsidRDefault="000C3A94">
            <w:r>
              <w:t>..</w:t>
            </w:r>
          </w:p>
        </w:tc>
        <w:tc>
          <w:tcPr>
            <w:tcW w:w="1606" w:type="dxa"/>
            <w:tcBorders>
              <w:bottom w:val="single" w:sz="6" w:space="0" w:color="auto"/>
            </w:tcBorders>
          </w:tcPr>
          <w:p w14:paraId="08D2761B" w14:textId="77777777" w:rsidR="005E614D" w:rsidRDefault="000C3A94">
            <w:r>
              <w:t>..</w:t>
            </w:r>
          </w:p>
        </w:tc>
      </w:tr>
      <w:tr w:rsidR="005E614D" w14:paraId="46F7ECA0" w14:textId="77777777" w:rsidTr="004A2065">
        <w:tc>
          <w:tcPr>
            <w:tcW w:w="1607" w:type="dxa"/>
            <w:tcBorders>
              <w:top w:val="single" w:sz="6" w:space="0" w:color="auto"/>
              <w:bottom w:val="single" w:sz="6" w:space="0" w:color="auto"/>
            </w:tcBorders>
          </w:tcPr>
          <w:p w14:paraId="454B4689" w14:textId="77777777" w:rsidR="005E614D" w:rsidRDefault="000C3A94">
            <w:r>
              <w:rPr>
                <w:b/>
              </w:rPr>
              <w:t>3</w:t>
            </w:r>
          </w:p>
        </w:tc>
        <w:tc>
          <w:tcPr>
            <w:tcW w:w="1607" w:type="dxa"/>
            <w:tcBorders>
              <w:top w:val="single" w:sz="6" w:space="0" w:color="auto"/>
              <w:bottom w:val="single" w:sz="6" w:space="0" w:color="auto"/>
            </w:tcBorders>
          </w:tcPr>
          <w:p w14:paraId="73DDD440" w14:textId="77777777" w:rsidR="005E614D" w:rsidRDefault="000C3A94">
            <w:r>
              <w:rPr>
                <w:b/>
              </w:rPr>
              <w:t>(2)</w:t>
            </w:r>
          </w:p>
        </w:tc>
        <w:tc>
          <w:tcPr>
            <w:tcW w:w="1606" w:type="dxa"/>
            <w:tcBorders>
              <w:top w:val="single" w:sz="6" w:space="0" w:color="auto"/>
              <w:bottom w:val="single" w:sz="6" w:space="0" w:color="auto"/>
            </w:tcBorders>
          </w:tcPr>
          <w:p w14:paraId="20249D54" w14:textId="77777777" w:rsidR="005E614D" w:rsidRDefault="000C3A94">
            <w:r>
              <w:rPr>
                <w:b/>
              </w:rPr>
              <w:t>46 850</w:t>
            </w:r>
          </w:p>
        </w:tc>
        <w:tc>
          <w:tcPr>
            <w:tcW w:w="1606" w:type="dxa"/>
            <w:tcBorders>
              <w:top w:val="single" w:sz="6" w:space="0" w:color="auto"/>
              <w:bottom w:val="single" w:sz="6" w:space="0" w:color="auto"/>
            </w:tcBorders>
          </w:tcPr>
          <w:p w14:paraId="37B45F95" w14:textId="77777777" w:rsidR="005E614D" w:rsidRDefault="000C3A94">
            <w:r>
              <w:rPr>
                <w:b/>
              </w:rPr>
              <w:t>1 961</w:t>
            </w:r>
          </w:p>
        </w:tc>
        <w:tc>
          <w:tcPr>
            <w:tcW w:w="1606" w:type="dxa"/>
            <w:tcBorders>
              <w:top w:val="single" w:sz="6" w:space="0" w:color="auto"/>
              <w:bottom w:val="single" w:sz="6" w:space="0" w:color="auto"/>
            </w:tcBorders>
          </w:tcPr>
          <w:p w14:paraId="1DC39639" w14:textId="77777777" w:rsidR="005E614D" w:rsidRDefault="000C3A94">
            <w:r>
              <w:rPr>
                <w:b/>
              </w:rPr>
              <w:t>49 203</w:t>
            </w:r>
          </w:p>
        </w:tc>
        <w:tc>
          <w:tcPr>
            <w:tcW w:w="1606" w:type="dxa"/>
            <w:tcBorders>
              <w:top w:val="single" w:sz="6" w:space="0" w:color="auto"/>
              <w:bottom w:val="single" w:sz="6" w:space="0" w:color="auto"/>
            </w:tcBorders>
          </w:tcPr>
          <w:p w14:paraId="7366B9EF" w14:textId="77777777" w:rsidR="005E614D" w:rsidRDefault="000C3A94">
            <w:r>
              <w:rPr>
                <w:b/>
              </w:rPr>
              <w:t>11 248</w:t>
            </w:r>
          </w:p>
        </w:tc>
      </w:tr>
      <w:tr w:rsidR="005E614D" w14:paraId="72E2E382" w14:textId="77777777" w:rsidTr="004A2065">
        <w:tc>
          <w:tcPr>
            <w:tcW w:w="1607" w:type="dxa"/>
            <w:tcBorders>
              <w:top w:val="single" w:sz="6" w:space="0" w:color="auto"/>
              <w:bottom w:val="single" w:sz="12" w:space="0" w:color="auto"/>
            </w:tcBorders>
          </w:tcPr>
          <w:p w14:paraId="303D980F" w14:textId="77777777" w:rsidR="005E614D" w:rsidRDefault="000C3A94">
            <w:r>
              <w:rPr>
                <w:b/>
              </w:rPr>
              <w:t>(3 520)</w:t>
            </w:r>
          </w:p>
        </w:tc>
        <w:tc>
          <w:tcPr>
            <w:tcW w:w="1607" w:type="dxa"/>
            <w:tcBorders>
              <w:top w:val="single" w:sz="6" w:space="0" w:color="auto"/>
              <w:bottom w:val="single" w:sz="12" w:space="0" w:color="auto"/>
            </w:tcBorders>
          </w:tcPr>
          <w:p w14:paraId="45FF3A6F" w14:textId="77777777" w:rsidR="005E614D" w:rsidRDefault="000C3A94">
            <w:r>
              <w:rPr>
                <w:b/>
              </w:rPr>
              <w:t>1 318</w:t>
            </w:r>
          </w:p>
        </w:tc>
        <w:tc>
          <w:tcPr>
            <w:tcW w:w="1606" w:type="dxa"/>
            <w:tcBorders>
              <w:top w:val="single" w:sz="6" w:space="0" w:color="auto"/>
              <w:bottom w:val="single" w:sz="12" w:space="0" w:color="auto"/>
            </w:tcBorders>
          </w:tcPr>
          <w:p w14:paraId="6B719CFF" w14:textId="77777777" w:rsidR="005E614D" w:rsidRDefault="000C3A94">
            <w:r>
              <w:rPr>
                <w:b/>
              </w:rPr>
              <w:t>57 776</w:t>
            </w:r>
          </w:p>
        </w:tc>
        <w:tc>
          <w:tcPr>
            <w:tcW w:w="1606" w:type="dxa"/>
            <w:tcBorders>
              <w:top w:val="single" w:sz="6" w:space="0" w:color="auto"/>
              <w:bottom w:val="single" w:sz="12" w:space="0" w:color="auto"/>
            </w:tcBorders>
          </w:tcPr>
          <w:p w14:paraId="00A0D954" w14:textId="77777777" w:rsidR="005E614D" w:rsidRDefault="000C3A94">
            <w:r>
              <w:rPr>
                <w:b/>
              </w:rPr>
              <w:t>2 771</w:t>
            </w:r>
          </w:p>
        </w:tc>
        <w:tc>
          <w:tcPr>
            <w:tcW w:w="1606" w:type="dxa"/>
            <w:tcBorders>
              <w:top w:val="single" w:sz="6" w:space="0" w:color="auto"/>
              <w:bottom w:val="single" w:sz="12" w:space="0" w:color="auto"/>
            </w:tcBorders>
          </w:tcPr>
          <w:p w14:paraId="35BE1434" w14:textId="77777777" w:rsidR="005E614D" w:rsidRDefault="000C3A94">
            <w:r>
              <w:rPr>
                <w:b/>
              </w:rPr>
              <w:t>41 507</w:t>
            </w:r>
          </w:p>
        </w:tc>
        <w:tc>
          <w:tcPr>
            <w:tcW w:w="1606" w:type="dxa"/>
            <w:tcBorders>
              <w:top w:val="single" w:sz="6" w:space="0" w:color="auto"/>
              <w:bottom w:val="single" w:sz="12" w:space="0" w:color="auto"/>
            </w:tcBorders>
          </w:tcPr>
          <w:p w14:paraId="5819DA91" w14:textId="77777777" w:rsidR="005E614D" w:rsidRDefault="000C3A94">
            <w:r>
              <w:rPr>
                <w:b/>
              </w:rPr>
              <w:t>5 708</w:t>
            </w:r>
          </w:p>
        </w:tc>
      </w:tr>
      <w:tr w:rsidR="005E614D" w14:paraId="68E5DE61" w14:textId="77777777" w:rsidTr="004A2065">
        <w:trPr>
          <w:trHeight w:hRule="exact" w:val="113"/>
        </w:trPr>
        <w:tc>
          <w:tcPr>
            <w:tcW w:w="1607" w:type="dxa"/>
            <w:tcBorders>
              <w:top w:val="single" w:sz="0" w:space="0" w:color="auto"/>
            </w:tcBorders>
          </w:tcPr>
          <w:p w14:paraId="053EF594" w14:textId="77777777" w:rsidR="005E614D" w:rsidRDefault="005E614D"/>
        </w:tc>
        <w:tc>
          <w:tcPr>
            <w:tcW w:w="1607" w:type="dxa"/>
            <w:tcBorders>
              <w:top w:val="single" w:sz="0" w:space="0" w:color="auto"/>
            </w:tcBorders>
          </w:tcPr>
          <w:p w14:paraId="5B5FF246" w14:textId="77777777" w:rsidR="005E614D" w:rsidRDefault="005E614D"/>
        </w:tc>
        <w:tc>
          <w:tcPr>
            <w:tcW w:w="1606" w:type="dxa"/>
            <w:tcBorders>
              <w:top w:val="single" w:sz="0" w:space="0" w:color="auto"/>
            </w:tcBorders>
          </w:tcPr>
          <w:p w14:paraId="0ADE5A86" w14:textId="77777777" w:rsidR="005E614D" w:rsidRDefault="005E614D"/>
        </w:tc>
        <w:tc>
          <w:tcPr>
            <w:tcW w:w="1606" w:type="dxa"/>
            <w:tcBorders>
              <w:top w:val="single" w:sz="0" w:space="0" w:color="auto"/>
            </w:tcBorders>
          </w:tcPr>
          <w:p w14:paraId="0F437A29" w14:textId="77777777" w:rsidR="005E614D" w:rsidRDefault="005E614D"/>
        </w:tc>
        <w:tc>
          <w:tcPr>
            <w:tcW w:w="1606" w:type="dxa"/>
            <w:tcBorders>
              <w:top w:val="single" w:sz="0" w:space="0" w:color="auto"/>
            </w:tcBorders>
          </w:tcPr>
          <w:p w14:paraId="2AB22234" w14:textId="77777777" w:rsidR="005E614D" w:rsidRDefault="005E614D"/>
        </w:tc>
        <w:tc>
          <w:tcPr>
            <w:tcW w:w="1606" w:type="dxa"/>
            <w:tcBorders>
              <w:top w:val="single" w:sz="0" w:space="0" w:color="auto"/>
            </w:tcBorders>
          </w:tcPr>
          <w:p w14:paraId="0ED6FE49" w14:textId="77777777" w:rsidR="005E614D" w:rsidRDefault="005E614D"/>
        </w:tc>
      </w:tr>
      <w:tr w:rsidR="005E614D" w14:paraId="4C045D3E" w14:textId="77777777">
        <w:tc>
          <w:tcPr>
            <w:tcW w:w="1607" w:type="dxa"/>
          </w:tcPr>
          <w:p w14:paraId="5591215A" w14:textId="77777777" w:rsidR="005E614D" w:rsidRDefault="005E614D"/>
        </w:tc>
        <w:tc>
          <w:tcPr>
            <w:tcW w:w="1607" w:type="dxa"/>
          </w:tcPr>
          <w:p w14:paraId="3BB96C09" w14:textId="77777777" w:rsidR="005E614D" w:rsidRDefault="005E614D"/>
        </w:tc>
        <w:tc>
          <w:tcPr>
            <w:tcW w:w="1606" w:type="dxa"/>
          </w:tcPr>
          <w:p w14:paraId="53727627" w14:textId="77777777" w:rsidR="005E614D" w:rsidRDefault="005E614D"/>
        </w:tc>
        <w:tc>
          <w:tcPr>
            <w:tcW w:w="1606" w:type="dxa"/>
          </w:tcPr>
          <w:p w14:paraId="692B8AAF" w14:textId="77777777" w:rsidR="005E614D" w:rsidRDefault="005E614D"/>
        </w:tc>
        <w:tc>
          <w:tcPr>
            <w:tcW w:w="1606" w:type="dxa"/>
          </w:tcPr>
          <w:p w14:paraId="46745795" w14:textId="77777777" w:rsidR="005E614D" w:rsidRDefault="005E614D"/>
        </w:tc>
        <w:tc>
          <w:tcPr>
            <w:tcW w:w="1606" w:type="dxa"/>
          </w:tcPr>
          <w:p w14:paraId="7850BA34" w14:textId="77777777" w:rsidR="005E614D" w:rsidRDefault="005E614D"/>
        </w:tc>
      </w:tr>
      <w:tr w:rsidR="005E614D" w14:paraId="643D323E" w14:textId="77777777">
        <w:tc>
          <w:tcPr>
            <w:tcW w:w="1607" w:type="dxa"/>
          </w:tcPr>
          <w:p w14:paraId="5E79F335" w14:textId="77777777" w:rsidR="005E614D" w:rsidRDefault="000C3A94">
            <w:r>
              <w:rPr>
                <w:b/>
              </w:rPr>
              <w:t>(1 415)</w:t>
            </w:r>
          </w:p>
        </w:tc>
        <w:tc>
          <w:tcPr>
            <w:tcW w:w="1607" w:type="dxa"/>
          </w:tcPr>
          <w:p w14:paraId="07741060" w14:textId="77777777" w:rsidR="005E614D" w:rsidRDefault="000C3A94">
            <w:r>
              <w:rPr>
                <w:b/>
              </w:rPr>
              <w:t>(1 940)</w:t>
            </w:r>
          </w:p>
        </w:tc>
        <w:tc>
          <w:tcPr>
            <w:tcW w:w="1606" w:type="dxa"/>
          </w:tcPr>
          <w:p w14:paraId="0AA4D75E" w14:textId="77777777" w:rsidR="005E614D" w:rsidRDefault="000C3A94">
            <w:r>
              <w:rPr>
                <w:b/>
              </w:rPr>
              <w:t>(2 016)</w:t>
            </w:r>
          </w:p>
        </w:tc>
        <w:tc>
          <w:tcPr>
            <w:tcW w:w="1606" w:type="dxa"/>
          </w:tcPr>
          <w:p w14:paraId="70E6F63B" w14:textId="77777777" w:rsidR="005E614D" w:rsidRDefault="000C3A94">
            <w:r>
              <w:rPr>
                <w:b/>
              </w:rPr>
              <w:t>(2 297)</w:t>
            </w:r>
          </w:p>
        </w:tc>
        <w:tc>
          <w:tcPr>
            <w:tcW w:w="1606" w:type="dxa"/>
          </w:tcPr>
          <w:p w14:paraId="67812167" w14:textId="77777777" w:rsidR="005E614D" w:rsidRDefault="000C3A94">
            <w:r>
              <w:rPr>
                <w:b/>
              </w:rPr>
              <w:t>(6 177)</w:t>
            </w:r>
          </w:p>
        </w:tc>
        <w:tc>
          <w:tcPr>
            <w:tcW w:w="1606" w:type="dxa"/>
          </w:tcPr>
          <w:p w14:paraId="5FEB62E1" w14:textId="77777777" w:rsidR="005E614D" w:rsidRDefault="000C3A94">
            <w:r>
              <w:rPr>
                <w:b/>
              </w:rPr>
              <w:t>(8 459)</w:t>
            </w:r>
          </w:p>
        </w:tc>
      </w:tr>
      <w:tr w:rsidR="005E614D" w14:paraId="0D26DAFC" w14:textId="77777777">
        <w:tc>
          <w:tcPr>
            <w:tcW w:w="1607" w:type="dxa"/>
          </w:tcPr>
          <w:p w14:paraId="1ABD72EE" w14:textId="77777777" w:rsidR="005E614D" w:rsidRDefault="000C3A94">
            <w:r>
              <w:t>28</w:t>
            </w:r>
          </w:p>
        </w:tc>
        <w:tc>
          <w:tcPr>
            <w:tcW w:w="1607" w:type="dxa"/>
          </w:tcPr>
          <w:p w14:paraId="70EED858" w14:textId="77777777" w:rsidR="005E614D" w:rsidRDefault="000C3A94">
            <w:r>
              <w:t>43</w:t>
            </w:r>
          </w:p>
        </w:tc>
        <w:tc>
          <w:tcPr>
            <w:tcW w:w="1606" w:type="dxa"/>
          </w:tcPr>
          <w:p w14:paraId="15EE978A" w14:textId="77777777" w:rsidR="005E614D" w:rsidRDefault="000C3A94">
            <w:r>
              <w:t>(144)</w:t>
            </w:r>
          </w:p>
        </w:tc>
        <w:tc>
          <w:tcPr>
            <w:tcW w:w="1606" w:type="dxa"/>
          </w:tcPr>
          <w:p w14:paraId="7D384E70" w14:textId="77777777" w:rsidR="005E614D" w:rsidRDefault="000C3A94">
            <w:r>
              <w:t>(168)</w:t>
            </w:r>
          </w:p>
        </w:tc>
        <w:tc>
          <w:tcPr>
            <w:tcW w:w="1606" w:type="dxa"/>
          </w:tcPr>
          <w:p w14:paraId="74261F90" w14:textId="77777777" w:rsidR="005E614D" w:rsidRDefault="000C3A94">
            <w:r>
              <w:t>22 236</w:t>
            </w:r>
          </w:p>
        </w:tc>
        <w:tc>
          <w:tcPr>
            <w:tcW w:w="1606" w:type="dxa"/>
          </w:tcPr>
          <w:p w14:paraId="7595C155" w14:textId="77777777" w:rsidR="005E614D" w:rsidRDefault="000C3A94">
            <w:r>
              <w:t>22 966</w:t>
            </w:r>
          </w:p>
        </w:tc>
      </w:tr>
      <w:tr w:rsidR="005E614D" w14:paraId="52BD675C" w14:textId="77777777">
        <w:tc>
          <w:tcPr>
            <w:tcW w:w="1607" w:type="dxa"/>
          </w:tcPr>
          <w:p w14:paraId="26ABA7D3" w14:textId="77777777" w:rsidR="005E614D" w:rsidRDefault="000C3A94">
            <w:r>
              <w:t>..</w:t>
            </w:r>
          </w:p>
        </w:tc>
        <w:tc>
          <w:tcPr>
            <w:tcW w:w="1607" w:type="dxa"/>
          </w:tcPr>
          <w:p w14:paraId="22521EEC" w14:textId="77777777" w:rsidR="005E614D" w:rsidRDefault="000C3A94">
            <w:r>
              <w:t>(1)</w:t>
            </w:r>
          </w:p>
        </w:tc>
        <w:tc>
          <w:tcPr>
            <w:tcW w:w="1606" w:type="dxa"/>
          </w:tcPr>
          <w:p w14:paraId="43791256" w14:textId="77777777" w:rsidR="005E614D" w:rsidRDefault="000C3A94">
            <w:r>
              <w:t>..</w:t>
            </w:r>
          </w:p>
        </w:tc>
        <w:tc>
          <w:tcPr>
            <w:tcW w:w="1606" w:type="dxa"/>
          </w:tcPr>
          <w:p w14:paraId="16C1357A" w14:textId="77777777" w:rsidR="005E614D" w:rsidRDefault="000C3A94">
            <w:r>
              <w:t>..</w:t>
            </w:r>
          </w:p>
        </w:tc>
        <w:tc>
          <w:tcPr>
            <w:tcW w:w="1606" w:type="dxa"/>
          </w:tcPr>
          <w:p w14:paraId="0D2D40B2" w14:textId="77777777" w:rsidR="005E614D" w:rsidRDefault="000C3A94">
            <w:r>
              <w:t>(400)</w:t>
            </w:r>
          </w:p>
        </w:tc>
        <w:tc>
          <w:tcPr>
            <w:tcW w:w="1606" w:type="dxa"/>
          </w:tcPr>
          <w:p w14:paraId="1C17A90F" w14:textId="77777777" w:rsidR="005E614D" w:rsidRDefault="000C3A94">
            <w:r>
              <w:t>(670)</w:t>
            </w:r>
          </w:p>
        </w:tc>
      </w:tr>
      <w:tr w:rsidR="005E614D" w14:paraId="63B7AD01" w14:textId="77777777">
        <w:tc>
          <w:tcPr>
            <w:tcW w:w="1607" w:type="dxa"/>
          </w:tcPr>
          <w:p w14:paraId="47331621" w14:textId="77777777" w:rsidR="005E614D" w:rsidRDefault="000C3A94">
            <w:r>
              <w:t>(85)</w:t>
            </w:r>
          </w:p>
        </w:tc>
        <w:tc>
          <w:tcPr>
            <w:tcW w:w="1607" w:type="dxa"/>
          </w:tcPr>
          <w:p w14:paraId="0DE4C470" w14:textId="77777777" w:rsidR="005E614D" w:rsidRDefault="000C3A94">
            <w:r>
              <w:t>(88)</w:t>
            </w:r>
          </w:p>
        </w:tc>
        <w:tc>
          <w:tcPr>
            <w:tcW w:w="1606" w:type="dxa"/>
          </w:tcPr>
          <w:p w14:paraId="1C50A500" w14:textId="77777777" w:rsidR="005E614D" w:rsidRDefault="000C3A94">
            <w:r>
              <w:t>(1 442)</w:t>
            </w:r>
          </w:p>
        </w:tc>
        <w:tc>
          <w:tcPr>
            <w:tcW w:w="1606" w:type="dxa"/>
          </w:tcPr>
          <w:p w14:paraId="5CD6C033" w14:textId="77777777" w:rsidR="005E614D" w:rsidRDefault="000C3A94">
            <w:r>
              <w:t>(1 104)</w:t>
            </w:r>
          </w:p>
        </w:tc>
        <w:tc>
          <w:tcPr>
            <w:tcW w:w="1606" w:type="dxa"/>
          </w:tcPr>
          <w:p w14:paraId="35983E24" w14:textId="77777777" w:rsidR="005E614D" w:rsidRDefault="000C3A94">
            <w:r>
              <w:t>(9 349)</w:t>
            </w:r>
          </w:p>
        </w:tc>
        <w:tc>
          <w:tcPr>
            <w:tcW w:w="1606" w:type="dxa"/>
          </w:tcPr>
          <w:p w14:paraId="2C94CE36" w14:textId="77777777" w:rsidR="005E614D" w:rsidRDefault="000C3A94">
            <w:r>
              <w:t>(8 279)</w:t>
            </w:r>
          </w:p>
        </w:tc>
      </w:tr>
      <w:tr w:rsidR="005E614D" w14:paraId="35761305" w14:textId="77777777">
        <w:tc>
          <w:tcPr>
            <w:tcW w:w="1607" w:type="dxa"/>
          </w:tcPr>
          <w:p w14:paraId="1874F2D5" w14:textId="77777777" w:rsidR="005E614D" w:rsidRDefault="000C3A94">
            <w:r>
              <w:t>..</w:t>
            </w:r>
          </w:p>
        </w:tc>
        <w:tc>
          <w:tcPr>
            <w:tcW w:w="1607" w:type="dxa"/>
          </w:tcPr>
          <w:p w14:paraId="59948555" w14:textId="77777777" w:rsidR="005E614D" w:rsidRDefault="000C3A94">
            <w:r>
              <w:t>5</w:t>
            </w:r>
          </w:p>
        </w:tc>
        <w:tc>
          <w:tcPr>
            <w:tcW w:w="1606" w:type="dxa"/>
          </w:tcPr>
          <w:p w14:paraId="31CBF14F" w14:textId="77777777" w:rsidR="005E614D" w:rsidRDefault="000C3A94">
            <w:r>
              <w:t>..</w:t>
            </w:r>
          </w:p>
        </w:tc>
        <w:tc>
          <w:tcPr>
            <w:tcW w:w="1606" w:type="dxa"/>
          </w:tcPr>
          <w:p w14:paraId="77F53EF5" w14:textId="77777777" w:rsidR="005E614D" w:rsidRDefault="000C3A94">
            <w:r>
              <w:t>..</w:t>
            </w:r>
          </w:p>
        </w:tc>
        <w:tc>
          <w:tcPr>
            <w:tcW w:w="1606" w:type="dxa"/>
          </w:tcPr>
          <w:p w14:paraId="167D465A" w14:textId="77777777" w:rsidR="005E614D" w:rsidRDefault="000C3A94">
            <w:r>
              <w:t>4 754</w:t>
            </w:r>
          </w:p>
        </w:tc>
        <w:tc>
          <w:tcPr>
            <w:tcW w:w="1606" w:type="dxa"/>
          </w:tcPr>
          <w:p w14:paraId="5F009C39" w14:textId="77777777" w:rsidR="005E614D" w:rsidRDefault="000C3A94">
            <w:r>
              <w:t>4 512</w:t>
            </w:r>
          </w:p>
        </w:tc>
      </w:tr>
      <w:tr w:rsidR="005E614D" w14:paraId="0AC0075B" w14:textId="77777777" w:rsidTr="004A2065">
        <w:tc>
          <w:tcPr>
            <w:tcW w:w="1607" w:type="dxa"/>
            <w:tcBorders>
              <w:bottom w:val="single" w:sz="6" w:space="0" w:color="auto"/>
            </w:tcBorders>
          </w:tcPr>
          <w:p w14:paraId="0DC47844" w14:textId="77777777" w:rsidR="005E614D" w:rsidRDefault="000C3A94">
            <w:r>
              <w:rPr>
                <w:b/>
              </w:rPr>
              <w:t>(57)</w:t>
            </w:r>
          </w:p>
        </w:tc>
        <w:tc>
          <w:tcPr>
            <w:tcW w:w="1607" w:type="dxa"/>
            <w:tcBorders>
              <w:bottom w:val="single" w:sz="6" w:space="0" w:color="auto"/>
            </w:tcBorders>
          </w:tcPr>
          <w:p w14:paraId="45468D30" w14:textId="77777777" w:rsidR="005E614D" w:rsidRDefault="000C3A94">
            <w:r>
              <w:rPr>
                <w:b/>
              </w:rPr>
              <w:t>(40)</w:t>
            </w:r>
          </w:p>
        </w:tc>
        <w:tc>
          <w:tcPr>
            <w:tcW w:w="1606" w:type="dxa"/>
            <w:tcBorders>
              <w:bottom w:val="single" w:sz="6" w:space="0" w:color="auto"/>
            </w:tcBorders>
          </w:tcPr>
          <w:p w14:paraId="3EA34507" w14:textId="77777777" w:rsidR="005E614D" w:rsidRDefault="000C3A94">
            <w:r>
              <w:rPr>
                <w:b/>
              </w:rPr>
              <w:t>(1 586)</w:t>
            </w:r>
          </w:p>
        </w:tc>
        <w:tc>
          <w:tcPr>
            <w:tcW w:w="1606" w:type="dxa"/>
            <w:tcBorders>
              <w:bottom w:val="single" w:sz="6" w:space="0" w:color="auto"/>
            </w:tcBorders>
          </w:tcPr>
          <w:p w14:paraId="189BE82D" w14:textId="77777777" w:rsidR="005E614D" w:rsidRDefault="000C3A94">
            <w:r>
              <w:rPr>
                <w:b/>
              </w:rPr>
              <w:t>(1 273)</w:t>
            </w:r>
          </w:p>
        </w:tc>
        <w:tc>
          <w:tcPr>
            <w:tcW w:w="1606" w:type="dxa"/>
            <w:tcBorders>
              <w:bottom w:val="single" w:sz="6" w:space="0" w:color="auto"/>
            </w:tcBorders>
          </w:tcPr>
          <w:p w14:paraId="3026B687" w14:textId="77777777" w:rsidR="005E614D" w:rsidRDefault="000C3A94">
            <w:r>
              <w:rPr>
                <w:b/>
              </w:rPr>
              <w:t>17 241</w:t>
            </w:r>
          </w:p>
        </w:tc>
        <w:tc>
          <w:tcPr>
            <w:tcW w:w="1606" w:type="dxa"/>
            <w:tcBorders>
              <w:bottom w:val="single" w:sz="6" w:space="0" w:color="auto"/>
            </w:tcBorders>
          </w:tcPr>
          <w:p w14:paraId="58352B03" w14:textId="77777777" w:rsidR="005E614D" w:rsidRDefault="000C3A94">
            <w:r>
              <w:rPr>
                <w:b/>
              </w:rPr>
              <w:t>18 528</w:t>
            </w:r>
          </w:p>
        </w:tc>
      </w:tr>
      <w:tr w:rsidR="005E614D" w14:paraId="5AE633C9" w14:textId="77777777" w:rsidTr="004A2065">
        <w:tc>
          <w:tcPr>
            <w:tcW w:w="1607" w:type="dxa"/>
            <w:tcBorders>
              <w:top w:val="single" w:sz="6" w:space="0" w:color="auto"/>
              <w:bottom w:val="single" w:sz="12" w:space="0" w:color="auto"/>
            </w:tcBorders>
          </w:tcPr>
          <w:p w14:paraId="03E6EBCE" w14:textId="77777777" w:rsidR="005E614D" w:rsidRDefault="000C3A94">
            <w:r>
              <w:rPr>
                <w:b/>
              </w:rPr>
              <w:t>(1 358)</w:t>
            </w:r>
          </w:p>
        </w:tc>
        <w:tc>
          <w:tcPr>
            <w:tcW w:w="1607" w:type="dxa"/>
            <w:tcBorders>
              <w:top w:val="single" w:sz="6" w:space="0" w:color="auto"/>
              <w:bottom w:val="single" w:sz="12" w:space="0" w:color="auto"/>
            </w:tcBorders>
          </w:tcPr>
          <w:p w14:paraId="4CF0E4B9" w14:textId="77777777" w:rsidR="005E614D" w:rsidRDefault="000C3A94">
            <w:r>
              <w:rPr>
                <w:b/>
              </w:rPr>
              <w:t>(1 899)</w:t>
            </w:r>
          </w:p>
        </w:tc>
        <w:tc>
          <w:tcPr>
            <w:tcW w:w="1606" w:type="dxa"/>
            <w:tcBorders>
              <w:top w:val="single" w:sz="6" w:space="0" w:color="auto"/>
              <w:bottom w:val="single" w:sz="12" w:space="0" w:color="auto"/>
            </w:tcBorders>
          </w:tcPr>
          <w:p w14:paraId="50837176" w14:textId="77777777" w:rsidR="005E614D" w:rsidRDefault="000C3A94">
            <w:r>
              <w:rPr>
                <w:b/>
              </w:rPr>
              <w:t>(429)</w:t>
            </w:r>
          </w:p>
        </w:tc>
        <w:tc>
          <w:tcPr>
            <w:tcW w:w="1606" w:type="dxa"/>
            <w:tcBorders>
              <w:top w:val="single" w:sz="6" w:space="0" w:color="auto"/>
              <w:bottom w:val="single" w:sz="12" w:space="0" w:color="auto"/>
            </w:tcBorders>
          </w:tcPr>
          <w:p w14:paraId="5DA4970E" w14:textId="77777777" w:rsidR="005E614D" w:rsidRDefault="000C3A94">
            <w:r>
              <w:rPr>
                <w:b/>
              </w:rPr>
              <w:t>(1 024)</w:t>
            </w:r>
          </w:p>
        </w:tc>
        <w:tc>
          <w:tcPr>
            <w:tcW w:w="1606" w:type="dxa"/>
            <w:tcBorders>
              <w:top w:val="single" w:sz="6" w:space="0" w:color="auto"/>
              <w:bottom w:val="single" w:sz="12" w:space="0" w:color="auto"/>
            </w:tcBorders>
          </w:tcPr>
          <w:p w14:paraId="0E43D01A" w14:textId="77777777" w:rsidR="005E614D" w:rsidRDefault="000C3A94">
            <w:r>
              <w:rPr>
                <w:b/>
              </w:rPr>
              <w:t>(23 417)</w:t>
            </w:r>
          </w:p>
        </w:tc>
        <w:tc>
          <w:tcPr>
            <w:tcW w:w="1606" w:type="dxa"/>
            <w:tcBorders>
              <w:top w:val="single" w:sz="6" w:space="0" w:color="auto"/>
              <w:bottom w:val="single" w:sz="12" w:space="0" w:color="auto"/>
            </w:tcBorders>
          </w:tcPr>
          <w:p w14:paraId="5A932B05" w14:textId="77777777" w:rsidR="005E614D" w:rsidRDefault="000C3A94">
            <w:r>
              <w:rPr>
                <w:b/>
              </w:rPr>
              <w:t>(26 987)</w:t>
            </w:r>
          </w:p>
        </w:tc>
      </w:tr>
    </w:tbl>
    <w:p w14:paraId="1D623EE8" w14:textId="77777777" w:rsidR="009D33A8" w:rsidRDefault="009D33A8" w:rsidP="009D33A8"/>
    <w:p w14:paraId="5D140ED7" w14:textId="77777777" w:rsidR="009D33A8" w:rsidRDefault="009D33A8" w:rsidP="009D33A8">
      <w:pPr>
        <w:pStyle w:val="TableHeading"/>
        <w:pageBreakBefore/>
      </w:pPr>
      <w:r>
        <w:lastRenderedPageBreak/>
        <w:t xml:space="preserve">Disaggregated balance sheet as at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Balance_Sheet.xlsx|Table:Disaggregated_BS|TableGroup:Investment in other sectors"/>
      </w:tblPr>
      <w:tblGrid>
        <w:gridCol w:w="5529"/>
        <w:gridCol w:w="1027"/>
        <w:gridCol w:w="1027"/>
        <w:gridCol w:w="1027"/>
        <w:gridCol w:w="1028"/>
      </w:tblGrid>
      <w:tr w:rsidR="005E614D" w14:paraId="713D78DE"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4C5D7F1C" w14:textId="77777777" w:rsidR="005E614D" w:rsidRDefault="005E614D">
            <w:pPr>
              <w:keepNext/>
            </w:pPr>
          </w:p>
        </w:tc>
        <w:tc>
          <w:tcPr>
            <w:tcW w:w="2054" w:type="dxa"/>
            <w:gridSpan w:val="2"/>
          </w:tcPr>
          <w:p w14:paraId="39E22DE3" w14:textId="48AB6EA0" w:rsidR="005E614D" w:rsidRPr="005A4691" w:rsidRDefault="000C3A94">
            <w:pPr>
              <w:keepNext/>
              <w:jc w:val="center"/>
              <w:cnfStyle w:val="100000000000" w:firstRow="1" w:lastRow="0" w:firstColumn="0" w:lastColumn="0" w:oddVBand="0" w:evenVBand="0" w:oddHBand="0" w:evenHBand="0" w:firstRowFirstColumn="0" w:firstRowLastColumn="0" w:lastRowFirstColumn="0" w:lastRowLastColumn="0"/>
              <w:rPr>
                <w:i w:val="0"/>
              </w:rPr>
            </w:pPr>
            <w:r>
              <w:t xml:space="preserve">General </w:t>
            </w:r>
            <w:r w:rsidR="005A4691">
              <w:rPr>
                <w:i w:val="0"/>
              </w:rPr>
              <w:br/>
            </w:r>
            <w:r>
              <w:t>government sector</w:t>
            </w:r>
          </w:p>
        </w:tc>
        <w:tc>
          <w:tcPr>
            <w:tcW w:w="2055" w:type="dxa"/>
            <w:gridSpan w:val="2"/>
          </w:tcPr>
          <w:p w14:paraId="350739B4"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5E614D" w14:paraId="7B2F3DB6"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5E52CB9E" w14:textId="77777777" w:rsidR="005E614D" w:rsidRDefault="005E614D">
            <w:pPr>
              <w:keepNext/>
            </w:pPr>
          </w:p>
        </w:tc>
        <w:tc>
          <w:tcPr>
            <w:tcW w:w="1027" w:type="dxa"/>
          </w:tcPr>
          <w:p w14:paraId="295A46B0"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1027" w:type="dxa"/>
          </w:tcPr>
          <w:p w14:paraId="0756A30F"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c>
          <w:tcPr>
            <w:tcW w:w="1027" w:type="dxa"/>
          </w:tcPr>
          <w:p w14:paraId="21BA371D"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2025</w:t>
            </w:r>
          </w:p>
        </w:tc>
        <w:tc>
          <w:tcPr>
            <w:tcW w:w="1028" w:type="dxa"/>
          </w:tcPr>
          <w:p w14:paraId="7FE1240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2024</w:t>
            </w:r>
          </w:p>
        </w:tc>
      </w:tr>
      <w:tr w:rsidR="005E614D" w14:paraId="0CC93152" w14:textId="77777777">
        <w:tc>
          <w:tcPr>
            <w:cnfStyle w:val="001000000000" w:firstRow="0" w:lastRow="0" w:firstColumn="1" w:lastColumn="0" w:oddVBand="0" w:evenVBand="0" w:oddHBand="0" w:evenHBand="0" w:firstRowFirstColumn="0" w:firstRowLastColumn="0" w:lastRowFirstColumn="0" w:lastRowLastColumn="0"/>
            <w:tcW w:w="5529" w:type="dxa"/>
          </w:tcPr>
          <w:p w14:paraId="5E5F58FD" w14:textId="77777777" w:rsidR="005E614D" w:rsidRDefault="000C3A94">
            <w:r>
              <w:rPr>
                <w:b/>
              </w:rPr>
              <w:t>Assets</w:t>
            </w:r>
          </w:p>
        </w:tc>
        <w:tc>
          <w:tcPr>
            <w:tcW w:w="1027" w:type="dxa"/>
          </w:tcPr>
          <w:p w14:paraId="0AE5D51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2E2C1AB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6D0985A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2159CAE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80990F8" w14:textId="77777777">
        <w:tc>
          <w:tcPr>
            <w:cnfStyle w:val="001000000000" w:firstRow="0" w:lastRow="0" w:firstColumn="1" w:lastColumn="0" w:oddVBand="0" w:evenVBand="0" w:oddHBand="0" w:evenHBand="0" w:firstRowFirstColumn="0" w:firstRowLastColumn="0" w:lastRowFirstColumn="0" w:lastRowLastColumn="0"/>
            <w:tcW w:w="5529" w:type="dxa"/>
          </w:tcPr>
          <w:p w14:paraId="1D75DBE0" w14:textId="77777777" w:rsidR="005E614D" w:rsidRDefault="000C3A94">
            <w:r>
              <w:rPr>
                <w:b/>
              </w:rPr>
              <w:t>Financial assets</w:t>
            </w:r>
          </w:p>
        </w:tc>
        <w:tc>
          <w:tcPr>
            <w:tcW w:w="1027" w:type="dxa"/>
          </w:tcPr>
          <w:p w14:paraId="4D80E5F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6503C49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5C98EE9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72057FE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169B0EF1" w14:textId="77777777">
        <w:tc>
          <w:tcPr>
            <w:cnfStyle w:val="001000000000" w:firstRow="0" w:lastRow="0" w:firstColumn="1" w:lastColumn="0" w:oddVBand="0" w:evenVBand="0" w:oddHBand="0" w:evenHBand="0" w:firstRowFirstColumn="0" w:firstRowLastColumn="0" w:lastRowFirstColumn="0" w:lastRowLastColumn="0"/>
            <w:tcW w:w="5529" w:type="dxa"/>
          </w:tcPr>
          <w:p w14:paraId="020B6D43" w14:textId="77777777" w:rsidR="005E614D" w:rsidRDefault="000C3A94">
            <w:r>
              <w:t>Cash and deposits</w:t>
            </w:r>
          </w:p>
        </w:tc>
        <w:tc>
          <w:tcPr>
            <w:tcW w:w="1027" w:type="dxa"/>
          </w:tcPr>
          <w:p w14:paraId="0B6B5DCA"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12 800</w:t>
            </w:r>
          </w:p>
        </w:tc>
        <w:tc>
          <w:tcPr>
            <w:tcW w:w="1027" w:type="dxa"/>
          </w:tcPr>
          <w:p w14:paraId="30F9B593" w14:textId="77777777" w:rsidR="005E614D" w:rsidRDefault="000C3A94">
            <w:pPr>
              <w:cnfStyle w:val="000000000000" w:firstRow="0" w:lastRow="0" w:firstColumn="0" w:lastColumn="0" w:oddVBand="0" w:evenVBand="0" w:oddHBand="0" w:evenHBand="0" w:firstRowFirstColumn="0" w:firstRowLastColumn="0" w:lastRowFirstColumn="0" w:lastRowLastColumn="0"/>
            </w:pPr>
            <w:r>
              <w:t>14 306</w:t>
            </w:r>
          </w:p>
        </w:tc>
        <w:tc>
          <w:tcPr>
            <w:tcW w:w="1027" w:type="dxa"/>
          </w:tcPr>
          <w:p w14:paraId="76B792CB" w14:textId="77777777" w:rsidR="005E614D" w:rsidRDefault="000C3A94">
            <w:pPr>
              <w:cnfStyle w:val="000000000000" w:firstRow="0" w:lastRow="0" w:firstColumn="0" w:lastColumn="0" w:oddVBand="0" w:evenVBand="0" w:oddHBand="0" w:evenHBand="0" w:firstRowFirstColumn="0" w:firstRowLastColumn="0" w:lastRowFirstColumn="0" w:lastRowLastColumn="0"/>
            </w:pPr>
            <w:r>
              <w:t>3 102</w:t>
            </w:r>
          </w:p>
        </w:tc>
        <w:tc>
          <w:tcPr>
            <w:tcW w:w="1028" w:type="dxa"/>
          </w:tcPr>
          <w:p w14:paraId="7B8774DC" w14:textId="77777777" w:rsidR="005E614D" w:rsidRDefault="000C3A94">
            <w:pPr>
              <w:cnfStyle w:val="000000000000" w:firstRow="0" w:lastRow="0" w:firstColumn="0" w:lastColumn="0" w:oddVBand="0" w:evenVBand="0" w:oddHBand="0" w:evenHBand="0" w:firstRowFirstColumn="0" w:firstRowLastColumn="0" w:lastRowFirstColumn="0" w:lastRowLastColumn="0"/>
            </w:pPr>
            <w:r>
              <w:t>2 255</w:t>
            </w:r>
          </w:p>
        </w:tc>
      </w:tr>
      <w:tr w:rsidR="005E614D" w14:paraId="2E94EF18" w14:textId="77777777">
        <w:tc>
          <w:tcPr>
            <w:cnfStyle w:val="001000000000" w:firstRow="0" w:lastRow="0" w:firstColumn="1" w:lastColumn="0" w:oddVBand="0" w:evenVBand="0" w:oddHBand="0" w:evenHBand="0" w:firstRowFirstColumn="0" w:firstRowLastColumn="0" w:lastRowFirstColumn="0" w:lastRowLastColumn="0"/>
            <w:tcW w:w="5529" w:type="dxa"/>
          </w:tcPr>
          <w:p w14:paraId="5598E022" w14:textId="77777777" w:rsidR="005E614D" w:rsidRDefault="000C3A94">
            <w:r>
              <w:t>Advances paid</w:t>
            </w:r>
          </w:p>
        </w:tc>
        <w:tc>
          <w:tcPr>
            <w:tcW w:w="1027" w:type="dxa"/>
          </w:tcPr>
          <w:p w14:paraId="64DB551C" w14:textId="77777777" w:rsidR="005E614D" w:rsidRDefault="000C3A94">
            <w:pPr>
              <w:cnfStyle w:val="000000000000" w:firstRow="0" w:lastRow="0" w:firstColumn="0" w:lastColumn="0" w:oddVBand="0" w:evenVBand="0" w:oddHBand="0" w:evenHBand="0" w:firstRowFirstColumn="0" w:firstRowLastColumn="0" w:lastRowFirstColumn="0" w:lastRowLastColumn="0"/>
            </w:pPr>
            <w:r>
              <w:t>6 407</w:t>
            </w:r>
          </w:p>
        </w:tc>
        <w:tc>
          <w:tcPr>
            <w:tcW w:w="1027" w:type="dxa"/>
          </w:tcPr>
          <w:p w14:paraId="4D5D0E6E" w14:textId="77777777" w:rsidR="005E614D" w:rsidRDefault="000C3A94">
            <w:pPr>
              <w:cnfStyle w:val="000000000000" w:firstRow="0" w:lastRow="0" w:firstColumn="0" w:lastColumn="0" w:oddVBand="0" w:evenVBand="0" w:oddHBand="0" w:evenHBand="0" w:firstRowFirstColumn="0" w:firstRowLastColumn="0" w:lastRowFirstColumn="0" w:lastRowLastColumn="0"/>
            </w:pPr>
            <w:r>
              <w:t>6 421</w:t>
            </w:r>
          </w:p>
        </w:tc>
        <w:tc>
          <w:tcPr>
            <w:tcW w:w="1027" w:type="dxa"/>
          </w:tcPr>
          <w:p w14:paraId="05FF6416" w14:textId="77777777" w:rsidR="005E614D" w:rsidRDefault="000C3A94">
            <w:pPr>
              <w:cnfStyle w:val="000000000000" w:firstRow="0" w:lastRow="0" w:firstColumn="0" w:lastColumn="0" w:oddVBand="0" w:evenVBand="0" w:oddHBand="0" w:evenHBand="0" w:firstRowFirstColumn="0" w:firstRowLastColumn="0" w:lastRowFirstColumn="0" w:lastRowLastColumn="0"/>
            </w:pPr>
            <w:r>
              <w:t>102</w:t>
            </w:r>
          </w:p>
        </w:tc>
        <w:tc>
          <w:tcPr>
            <w:tcW w:w="1028" w:type="dxa"/>
          </w:tcPr>
          <w:p w14:paraId="31AF5677" w14:textId="77777777" w:rsidR="005E614D" w:rsidRDefault="000C3A94">
            <w:pPr>
              <w:cnfStyle w:val="000000000000" w:firstRow="0" w:lastRow="0" w:firstColumn="0" w:lastColumn="0" w:oddVBand="0" w:evenVBand="0" w:oddHBand="0" w:evenHBand="0" w:firstRowFirstColumn="0" w:firstRowLastColumn="0" w:lastRowFirstColumn="0" w:lastRowLastColumn="0"/>
            </w:pPr>
            <w:r>
              <w:t>44</w:t>
            </w:r>
          </w:p>
        </w:tc>
      </w:tr>
      <w:tr w:rsidR="005E614D" w14:paraId="3687132D" w14:textId="77777777">
        <w:tc>
          <w:tcPr>
            <w:cnfStyle w:val="001000000000" w:firstRow="0" w:lastRow="0" w:firstColumn="1" w:lastColumn="0" w:oddVBand="0" w:evenVBand="0" w:oddHBand="0" w:evenHBand="0" w:firstRowFirstColumn="0" w:firstRowLastColumn="0" w:lastRowFirstColumn="0" w:lastRowLastColumn="0"/>
            <w:tcW w:w="5529" w:type="dxa"/>
          </w:tcPr>
          <w:p w14:paraId="22A539B9" w14:textId="77777777" w:rsidR="005E614D" w:rsidRDefault="000C3A94">
            <w:r>
              <w:t>Receivables and contract assets</w:t>
            </w:r>
          </w:p>
        </w:tc>
        <w:tc>
          <w:tcPr>
            <w:tcW w:w="1027" w:type="dxa"/>
          </w:tcPr>
          <w:p w14:paraId="37A4250E" w14:textId="77777777" w:rsidR="005E614D" w:rsidRDefault="000C3A94">
            <w:pPr>
              <w:cnfStyle w:val="000000000000" w:firstRow="0" w:lastRow="0" w:firstColumn="0" w:lastColumn="0" w:oddVBand="0" w:evenVBand="0" w:oddHBand="0" w:evenHBand="0" w:firstRowFirstColumn="0" w:firstRowLastColumn="0" w:lastRowFirstColumn="0" w:lastRowLastColumn="0"/>
            </w:pPr>
            <w:r>
              <w:t>10 203</w:t>
            </w:r>
          </w:p>
        </w:tc>
        <w:tc>
          <w:tcPr>
            <w:tcW w:w="1027" w:type="dxa"/>
          </w:tcPr>
          <w:p w14:paraId="2F2E626E" w14:textId="77777777" w:rsidR="005E614D" w:rsidRDefault="000C3A94">
            <w:pPr>
              <w:cnfStyle w:val="000000000000" w:firstRow="0" w:lastRow="0" w:firstColumn="0" w:lastColumn="0" w:oddVBand="0" w:evenVBand="0" w:oddHBand="0" w:evenHBand="0" w:firstRowFirstColumn="0" w:firstRowLastColumn="0" w:lastRowFirstColumn="0" w:lastRowLastColumn="0"/>
            </w:pPr>
            <w:r>
              <w:t>10 163</w:t>
            </w:r>
          </w:p>
        </w:tc>
        <w:tc>
          <w:tcPr>
            <w:tcW w:w="1027" w:type="dxa"/>
          </w:tcPr>
          <w:p w14:paraId="2182CF5C" w14:textId="77777777" w:rsidR="005E614D" w:rsidRDefault="000C3A94">
            <w:pPr>
              <w:cnfStyle w:val="000000000000" w:firstRow="0" w:lastRow="0" w:firstColumn="0" w:lastColumn="0" w:oddVBand="0" w:evenVBand="0" w:oddHBand="0" w:evenHBand="0" w:firstRowFirstColumn="0" w:firstRowLastColumn="0" w:lastRowFirstColumn="0" w:lastRowLastColumn="0"/>
            </w:pPr>
            <w:r>
              <w:t>2 120</w:t>
            </w:r>
          </w:p>
        </w:tc>
        <w:tc>
          <w:tcPr>
            <w:tcW w:w="1028" w:type="dxa"/>
          </w:tcPr>
          <w:p w14:paraId="3259B525" w14:textId="77777777" w:rsidR="005E614D" w:rsidRDefault="000C3A94">
            <w:pPr>
              <w:cnfStyle w:val="000000000000" w:firstRow="0" w:lastRow="0" w:firstColumn="0" w:lastColumn="0" w:oddVBand="0" w:evenVBand="0" w:oddHBand="0" w:evenHBand="0" w:firstRowFirstColumn="0" w:firstRowLastColumn="0" w:lastRowFirstColumn="0" w:lastRowLastColumn="0"/>
            </w:pPr>
            <w:r>
              <w:t>1 800</w:t>
            </w:r>
          </w:p>
        </w:tc>
      </w:tr>
      <w:tr w:rsidR="005E614D" w14:paraId="7E757E4B" w14:textId="77777777">
        <w:tc>
          <w:tcPr>
            <w:cnfStyle w:val="001000000000" w:firstRow="0" w:lastRow="0" w:firstColumn="1" w:lastColumn="0" w:oddVBand="0" w:evenVBand="0" w:oddHBand="0" w:evenHBand="0" w:firstRowFirstColumn="0" w:firstRowLastColumn="0" w:lastRowFirstColumn="0" w:lastRowLastColumn="0"/>
            <w:tcW w:w="5529" w:type="dxa"/>
          </w:tcPr>
          <w:p w14:paraId="76F76ACE" w14:textId="77777777" w:rsidR="005E614D" w:rsidRDefault="000C3A94">
            <w:r>
              <w:t>Investments, loans and placements</w:t>
            </w:r>
          </w:p>
        </w:tc>
        <w:tc>
          <w:tcPr>
            <w:tcW w:w="1027" w:type="dxa"/>
          </w:tcPr>
          <w:p w14:paraId="0CC9494A" w14:textId="77777777" w:rsidR="005E614D" w:rsidRDefault="000C3A94">
            <w:pPr>
              <w:cnfStyle w:val="000000000000" w:firstRow="0" w:lastRow="0" w:firstColumn="0" w:lastColumn="0" w:oddVBand="0" w:evenVBand="0" w:oddHBand="0" w:evenHBand="0" w:firstRowFirstColumn="0" w:firstRowLastColumn="0" w:lastRowFirstColumn="0" w:lastRowLastColumn="0"/>
            </w:pPr>
            <w:r>
              <w:t>17 781</w:t>
            </w:r>
          </w:p>
        </w:tc>
        <w:tc>
          <w:tcPr>
            <w:tcW w:w="1027" w:type="dxa"/>
          </w:tcPr>
          <w:p w14:paraId="210D5774" w14:textId="77777777" w:rsidR="005E614D" w:rsidRDefault="000C3A94">
            <w:pPr>
              <w:cnfStyle w:val="000000000000" w:firstRow="0" w:lastRow="0" w:firstColumn="0" w:lastColumn="0" w:oddVBand="0" w:evenVBand="0" w:oddHBand="0" w:evenHBand="0" w:firstRowFirstColumn="0" w:firstRowLastColumn="0" w:lastRowFirstColumn="0" w:lastRowLastColumn="0"/>
            </w:pPr>
            <w:r>
              <w:t>14 866</w:t>
            </w:r>
          </w:p>
        </w:tc>
        <w:tc>
          <w:tcPr>
            <w:tcW w:w="1027" w:type="dxa"/>
          </w:tcPr>
          <w:p w14:paraId="17E0C021" w14:textId="77777777" w:rsidR="005E614D" w:rsidRDefault="000C3A94">
            <w:pPr>
              <w:cnfStyle w:val="000000000000" w:firstRow="0" w:lastRow="0" w:firstColumn="0" w:lastColumn="0" w:oddVBand="0" w:evenVBand="0" w:oddHBand="0" w:evenHBand="0" w:firstRowFirstColumn="0" w:firstRowLastColumn="0" w:lastRowFirstColumn="0" w:lastRowLastColumn="0"/>
            </w:pPr>
            <w:r>
              <w:t>968</w:t>
            </w:r>
          </w:p>
        </w:tc>
        <w:tc>
          <w:tcPr>
            <w:tcW w:w="1028" w:type="dxa"/>
          </w:tcPr>
          <w:p w14:paraId="2437744D" w14:textId="77777777" w:rsidR="005E614D" w:rsidRDefault="000C3A94">
            <w:pPr>
              <w:cnfStyle w:val="000000000000" w:firstRow="0" w:lastRow="0" w:firstColumn="0" w:lastColumn="0" w:oddVBand="0" w:evenVBand="0" w:oddHBand="0" w:evenHBand="0" w:firstRowFirstColumn="0" w:firstRowLastColumn="0" w:lastRowFirstColumn="0" w:lastRowLastColumn="0"/>
            </w:pPr>
            <w:r>
              <w:t>853</w:t>
            </w:r>
          </w:p>
        </w:tc>
      </w:tr>
      <w:tr w:rsidR="005E614D" w14:paraId="4D581F83" w14:textId="77777777">
        <w:tc>
          <w:tcPr>
            <w:cnfStyle w:val="001000000000" w:firstRow="0" w:lastRow="0" w:firstColumn="1" w:lastColumn="0" w:oddVBand="0" w:evenVBand="0" w:oddHBand="0" w:evenHBand="0" w:firstRowFirstColumn="0" w:firstRowLastColumn="0" w:lastRowFirstColumn="0" w:lastRowLastColumn="0"/>
            <w:tcW w:w="5529" w:type="dxa"/>
          </w:tcPr>
          <w:p w14:paraId="7C7AF8A8" w14:textId="77777777" w:rsidR="005E614D" w:rsidRDefault="000C3A94">
            <w:r>
              <w:t>Loans receivable from non</w:t>
            </w:r>
            <w:r>
              <w:noBreakHyphen/>
              <w:t>financial public sector</w:t>
            </w:r>
            <w:r>
              <w:rPr>
                <w:vertAlign w:val="superscript"/>
              </w:rPr>
              <w:t xml:space="preserve"> (a)</w:t>
            </w:r>
          </w:p>
        </w:tc>
        <w:tc>
          <w:tcPr>
            <w:tcW w:w="1027" w:type="dxa"/>
          </w:tcPr>
          <w:p w14:paraId="14A23726" w14:textId="162B5E94" w:rsidR="005E614D" w:rsidRDefault="00124317">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2E2A78DC" w14:textId="33F9576B" w:rsidR="005E614D" w:rsidRDefault="00124317">
            <w:pPr>
              <w:cnfStyle w:val="000000000000" w:firstRow="0" w:lastRow="0" w:firstColumn="0" w:lastColumn="0" w:oddVBand="0" w:evenVBand="0" w:oddHBand="0" w:evenHBand="0" w:firstRowFirstColumn="0" w:firstRowLastColumn="0" w:lastRowFirstColumn="0" w:lastRowLastColumn="0"/>
            </w:pPr>
            <w:r>
              <w:t>..</w:t>
            </w:r>
          </w:p>
        </w:tc>
        <w:tc>
          <w:tcPr>
            <w:tcW w:w="1027" w:type="dxa"/>
          </w:tcPr>
          <w:p w14:paraId="2E6B5169" w14:textId="0A86088D" w:rsidR="005E614D" w:rsidRDefault="00124317">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661EF98A" w14:textId="2D91D3BB" w:rsidR="005E614D" w:rsidRDefault="00124317">
            <w:pPr>
              <w:cnfStyle w:val="000000000000" w:firstRow="0" w:lastRow="0" w:firstColumn="0" w:lastColumn="0" w:oddVBand="0" w:evenVBand="0" w:oddHBand="0" w:evenHBand="0" w:firstRowFirstColumn="0" w:firstRowLastColumn="0" w:lastRowFirstColumn="0" w:lastRowLastColumn="0"/>
            </w:pPr>
            <w:r>
              <w:t>..</w:t>
            </w:r>
          </w:p>
        </w:tc>
      </w:tr>
      <w:tr w:rsidR="005E614D" w14:paraId="34B013C5" w14:textId="77777777">
        <w:tc>
          <w:tcPr>
            <w:cnfStyle w:val="001000000000" w:firstRow="0" w:lastRow="0" w:firstColumn="1" w:lastColumn="0" w:oddVBand="0" w:evenVBand="0" w:oddHBand="0" w:evenHBand="0" w:firstRowFirstColumn="0" w:firstRowLastColumn="0" w:lastRowFirstColumn="0" w:lastRowLastColumn="0"/>
            <w:tcW w:w="5529" w:type="dxa"/>
          </w:tcPr>
          <w:p w14:paraId="48BDD282" w14:textId="77777777" w:rsidR="005E614D" w:rsidRDefault="000C3A94">
            <w:r>
              <w:t>Investments accounted for using equity method</w:t>
            </w:r>
          </w:p>
        </w:tc>
        <w:tc>
          <w:tcPr>
            <w:tcW w:w="1027" w:type="dxa"/>
          </w:tcPr>
          <w:p w14:paraId="3541B0F9"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1 141</w:t>
            </w:r>
          </w:p>
        </w:tc>
        <w:tc>
          <w:tcPr>
            <w:tcW w:w="1027" w:type="dxa"/>
          </w:tcPr>
          <w:p w14:paraId="342F21F1"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1 143</w:t>
            </w:r>
          </w:p>
        </w:tc>
        <w:tc>
          <w:tcPr>
            <w:tcW w:w="1027" w:type="dxa"/>
          </w:tcPr>
          <w:p w14:paraId="0F35DA18" w14:textId="77777777" w:rsidR="005E614D" w:rsidRDefault="000C3A94">
            <w:pPr>
              <w:cnfStyle w:val="000000000000" w:firstRow="0" w:lastRow="0" w:firstColumn="0" w:lastColumn="0" w:oddVBand="0" w:evenVBand="0" w:oddHBand="0" w:evenHBand="0" w:firstRowFirstColumn="0" w:firstRowLastColumn="0" w:lastRowFirstColumn="0" w:lastRowLastColumn="0"/>
            </w:pPr>
            <w:r>
              <w:t>177</w:t>
            </w:r>
          </w:p>
        </w:tc>
        <w:tc>
          <w:tcPr>
            <w:tcW w:w="1028" w:type="dxa"/>
          </w:tcPr>
          <w:p w14:paraId="1FFC7F65" w14:textId="77777777" w:rsidR="005E614D" w:rsidRDefault="000C3A94">
            <w:pPr>
              <w:cnfStyle w:val="000000000000" w:firstRow="0" w:lastRow="0" w:firstColumn="0" w:lastColumn="0" w:oddVBand="0" w:evenVBand="0" w:oddHBand="0" w:evenHBand="0" w:firstRowFirstColumn="0" w:firstRowLastColumn="0" w:lastRowFirstColumn="0" w:lastRowLastColumn="0"/>
            </w:pPr>
            <w:r>
              <w:t>65</w:t>
            </w:r>
          </w:p>
        </w:tc>
      </w:tr>
      <w:tr w:rsidR="005E614D" w14:paraId="3092C447"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61F32A61" w14:textId="77777777" w:rsidR="005E614D" w:rsidRDefault="000C3A94">
            <w:r>
              <w:t>Investments in PNFC and PFC sector entities</w:t>
            </w:r>
          </w:p>
        </w:tc>
        <w:tc>
          <w:tcPr>
            <w:tcW w:w="1027" w:type="dxa"/>
            <w:tcBorders>
              <w:bottom w:val="single" w:sz="6" w:space="0" w:color="auto"/>
            </w:tcBorders>
          </w:tcPr>
          <w:p w14:paraId="48ADC5D2" w14:textId="77777777" w:rsidR="005E614D" w:rsidRDefault="000C3A94">
            <w:pPr>
              <w:cnfStyle w:val="000000000000" w:firstRow="0" w:lastRow="0" w:firstColumn="0" w:lastColumn="0" w:oddVBand="0" w:evenVBand="0" w:oddHBand="0" w:evenHBand="0" w:firstRowFirstColumn="0" w:firstRowLastColumn="0" w:lastRowFirstColumn="0" w:lastRowLastColumn="0"/>
            </w:pPr>
            <w:r>
              <w:t>96 401</w:t>
            </w:r>
          </w:p>
        </w:tc>
        <w:tc>
          <w:tcPr>
            <w:tcW w:w="1027" w:type="dxa"/>
            <w:tcBorders>
              <w:bottom w:val="single" w:sz="6" w:space="0" w:color="auto"/>
            </w:tcBorders>
          </w:tcPr>
          <w:p w14:paraId="4D8AE96C" w14:textId="77777777" w:rsidR="005E614D" w:rsidRDefault="000C3A94">
            <w:pPr>
              <w:cnfStyle w:val="000000000000" w:firstRow="0" w:lastRow="0" w:firstColumn="0" w:lastColumn="0" w:oddVBand="0" w:evenVBand="0" w:oddHBand="0" w:evenHBand="0" w:firstRowFirstColumn="0" w:firstRowLastColumn="0" w:lastRowFirstColumn="0" w:lastRowLastColumn="0"/>
            </w:pPr>
            <w:r>
              <w:t>98 178</w:t>
            </w:r>
          </w:p>
        </w:tc>
        <w:tc>
          <w:tcPr>
            <w:tcW w:w="1027" w:type="dxa"/>
            <w:tcBorders>
              <w:bottom w:val="single" w:sz="6" w:space="0" w:color="auto"/>
            </w:tcBorders>
          </w:tcPr>
          <w:p w14:paraId="6529AFCB" w14:textId="66F5F084" w:rsidR="005E614D" w:rsidRDefault="00124317">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6" w:space="0" w:color="auto"/>
            </w:tcBorders>
          </w:tcPr>
          <w:p w14:paraId="0B49FD9A" w14:textId="479CA5C3" w:rsidR="005E614D" w:rsidRDefault="00124317">
            <w:pPr>
              <w:cnfStyle w:val="000000000000" w:firstRow="0" w:lastRow="0" w:firstColumn="0" w:lastColumn="0" w:oddVBand="0" w:evenVBand="0" w:oddHBand="0" w:evenHBand="0" w:firstRowFirstColumn="0" w:firstRowLastColumn="0" w:lastRowFirstColumn="0" w:lastRowLastColumn="0"/>
            </w:pPr>
            <w:r>
              <w:t>..</w:t>
            </w:r>
          </w:p>
        </w:tc>
      </w:tr>
      <w:tr w:rsidR="005E614D" w14:paraId="3A14EBB9"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0980AEA3" w14:textId="77777777" w:rsidR="005E614D" w:rsidRDefault="000C3A94">
            <w:r>
              <w:rPr>
                <w:b/>
              </w:rPr>
              <w:t>Total financial assets</w:t>
            </w:r>
          </w:p>
        </w:tc>
        <w:tc>
          <w:tcPr>
            <w:tcW w:w="1027" w:type="dxa"/>
            <w:tcBorders>
              <w:top w:val="single" w:sz="6" w:space="0" w:color="auto"/>
              <w:bottom w:val="single" w:sz="6" w:space="0" w:color="auto"/>
            </w:tcBorders>
          </w:tcPr>
          <w:p w14:paraId="28B86AB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144 732</w:t>
            </w:r>
          </w:p>
        </w:tc>
        <w:tc>
          <w:tcPr>
            <w:tcW w:w="1027" w:type="dxa"/>
            <w:tcBorders>
              <w:top w:val="single" w:sz="6" w:space="0" w:color="auto"/>
              <w:bottom w:val="single" w:sz="6" w:space="0" w:color="auto"/>
            </w:tcBorders>
          </w:tcPr>
          <w:p w14:paraId="45E2137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145 077</w:t>
            </w:r>
          </w:p>
        </w:tc>
        <w:tc>
          <w:tcPr>
            <w:tcW w:w="1027" w:type="dxa"/>
            <w:tcBorders>
              <w:top w:val="single" w:sz="6" w:space="0" w:color="auto"/>
              <w:bottom w:val="single" w:sz="6" w:space="0" w:color="auto"/>
            </w:tcBorders>
          </w:tcPr>
          <w:p w14:paraId="0D10BBA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6 469</w:t>
            </w:r>
          </w:p>
        </w:tc>
        <w:tc>
          <w:tcPr>
            <w:tcW w:w="1028" w:type="dxa"/>
            <w:tcBorders>
              <w:top w:val="single" w:sz="6" w:space="0" w:color="auto"/>
              <w:bottom w:val="single" w:sz="6" w:space="0" w:color="auto"/>
            </w:tcBorders>
          </w:tcPr>
          <w:p w14:paraId="55FBDB3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5 017</w:t>
            </w:r>
          </w:p>
        </w:tc>
      </w:tr>
      <w:tr w:rsidR="005E614D" w14:paraId="6D2EB112"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4FA3FAE3" w14:textId="77777777" w:rsidR="005E614D" w:rsidRDefault="000C3A94">
            <w:r>
              <w:rPr>
                <w:b/>
              </w:rPr>
              <w:t>Non</w:t>
            </w:r>
            <w:r>
              <w:rPr>
                <w:b/>
              </w:rPr>
              <w:noBreakHyphen/>
              <w:t>financial assets</w:t>
            </w:r>
          </w:p>
        </w:tc>
        <w:tc>
          <w:tcPr>
            <w:tcW w:w="1027" w:type="dxa"/>
            <w:tcBorders>
              <w:top w:val="single" w:sz="6" w:space="0" w:color="auto"/>
            </w:tcBorders>
          </w:tcPr>
          <w:p w14:paraId="60DCB8C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0EA9436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6" w:space="0" w:color="auto"/>
            </w:tcBorders>
          </w:tcPr>
          <w:p w14:paraId="0E8B4DC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6" w:space="0" w:color="auto"/>
            </w:tcBorders>
          </w:tcPr>
          <w:p w14:paraId="1133040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71CC5E4" w14:textId="77777777">
        <w:tc>
          <w:tcPr>
            <w:cnfStyle w:val="001000000000" w:firstRow="0" w:lastRow="0" w:firstColumn="1" w:lastColumn="0" w:oddVBand="0" w:evenVBand="0" w:oddHBand="0" w:evenHBand="0" w:firstRowFirstColumn="0" w:firstRowLastColumn="0" w:lastRowFirstColumn="0" w:lastRowLastColumn="0"/>
            <w:tcW w:w="5529" w:type="dxa"/>
          </w:tcPr>
          <w:p w14:paraId="334BFDA5" w14:textId="77777777" w:rsidR="005E614D" w:rsidRDefault="000C3A94">
            <w:r>
              <w:t>Inventories</w:t>
            </w:r>
          </w:p>
        </w:tc>
        <w:tc>
          <w:tcPr>
            <w:tcW w:w="1027" w:type="dxa"/>
          </w:tcPr>
          <w:p w14:paraId="054E7165" w14:textId="77777777" w:rsidR="005E614D" w:rsidRDefault="000C3A94">
            <w:pPr>
              <w:cnfStyle w:val="000000000000" w:firstRow="0" w:lastRow="0" w:firstColumn="0" w:lastColumn="0" w:oddVBand="0" w:evenVBand="0" w:oddHBand="0" w:evenHBand="0" w:firstRowFirstColumn="0" w:firstRowLastColumn="0" w:lastRowFirstColumn="0" w:lastRowLastColumn="0"/>
            </w:pPr>
            <w:r>
              <w:t>277</w:t>
            </w:r>
          </w:p>
        </w:tc>
        <w:tc>
          <w:tcPr>
            <w:tcW w:w="1027" w:type="dxa"/>
          </w:tcPr>
          <w:p w14:paraId="2D60E9FD" w14:textId="77777777" w:rsidR="005E614D" w:rsidRDefault="000C3A94">
            <w:pPr>
              <w:cnfStyle w:val="000000000000" w:firstRow="0" w:lastRow="0" w:firstColumn="0" w:lastColumn="0" w:oddVBand="0" w:evenVBand="0" w:oddHBand="0" w:evenHBand="0" w:firstRowFirstColumn="0" w:firstRowLastColumn="0" w:lastRowFirstColumn="0" w:lastRowLastColumn="0"/>
            </w:pPr>
            <w:r>
              <w:t>402</w:t>
            </w:r>
          </w:p>
        </w:tc>
        <w:tc>
          <w:tcPr>
            <w:tcW w:w="1027" w:type="dxa"/>
          </w:tcPr>
          <w:p w14:paraId="79FD4E85" w14:textId="77777777" w:rsidR="005E614D" w:rsidRDefault="000C3A94">
            <w:pPr>
              <w:cnfStyle w:val="000000000000" w:firstRow="0" w:lastRow="0" w:firstColumn="0" w:lastColumn="0" w:oddVBand="0" w:evenVBand="0" w:oddHBand="0" w:evenHBand="0" w:firstRowFirstColumn="0" w:firstRowLastColumn="0" w:lastRowFirstColumn="0" w:lastRowLastColumn="0"/>
            </w:pPr>
            <w:r>
              <w:t>1 163</w:t>
            </w:r>
          </w:p>
        </w:tc>
        <w:tc>
          <w:tcPr>
            <w:tcW w:w="1028" w:type="dxa"/>
          </w:tcPr>
          <w:p w14:paraId="05BA4CB1" w14:textId="77777777" w:rsidR="005E614D" w:rsidRDefault="000C3A94">
            <w:pPr>
              <w:cnfStyle w:val="000000000000" w:firstRow="0" w:lastRow="0" w:firstColumn="0" w:lastColumn="0" w:oddVBand="0" w:evenVBand="0" w:oddHBand="0" w:evenHBand="0" w:firstRowFirstColumn="0" w:firstRowLastColumn="0" w:lastRowFirstColumn="0" w:lastRowLastColumn="0"/>
            </w:pPr>
            <w:r>
              <w:t>1 347</w:t>
            </w:r>
          </w:p>
        </w:tc>
      </w:tr>
      <w:tr w:rsidR="005E614D" w14:paraId="528977EF" w14:textId="77777777">
        <w:tc>
          <w:tcPr>
            <w:cnfStyle w:val="001000000000" w:firstRow="0" w:lastRow="0" w:firstColumn="1" w:lastColumn="0" w:oddVBand="0" w:evenVBand="0" w:oddHBand="0" w:evenHBand="0" w:firstRowFirstColumn="0" w:firstRowLastColumn="0" w:lastRowFirstColumn="0" w:lastRowLastColumn="0"/>
            <w:tcW w:w="5529" w:type="dxa"/>
          </w:tcPr>
          <w:p w14:paraId="05E0A063" w14:textId="77777777" w:rsidR="005E614D" w:rsidRDefault="000C3A94">
            <w:r>
              <w:t>Non</w:t>
            </w:r>
            <w:r>
              <w:noBreakHyphen/>
              <w:t>financial assets held for sale</w:t>
            </w:r>
          </w:p>
        </w:tc>
        <w:tc>
          <w:tcPr>
            <w:tcW w:w="1027" w:type="dxa"/>
          </w:tcPr>
          <w:p w14:paraId="1575A04D" w14:textId="77777777" w:rsidR="005E614D" w:rsidRDefault="000C3A94">
            <w:pPr>
              <w:cnfStyle w:val="000000000000" w:firstRow="0" w:lastRow="0" w:firstColumn="0" w:lastColumn="0" w:oddVBand="0" w:evenVBand="0" w:oddHBand="0" w:evenHBand="0" w:firstRowFirstColumn="0" w:firstRowLastColumn="0" w:lastRowFirstColumn="0" w:lastRowLastColumn="0"/>
            </w:pPr>
            <w:r>
              <w:t>145</w:t>
            </w:r>
          </w:p>
        </w:tc>
        <w:tc>
          <w:tcPr>
            <w:tcW w:w="1027" w:type="dxa"/>
          </w:tcPr>
          <w:p w14:paraId="5C937580" w14:textId="77777777" w:rsidR="005E614D" w:rsidRDefault="000C3A94">
            <w:pPr>
              <w:cnfStyle w:val="000000000000" w:firstRow="0" w:lastRow="0" w:firstColumn="0" w:lastColumn="0" w:oddVBand="0" w:evenVBand="0" w:oddHBand="0" w:evenHBand="0" w:firstRowFirstColumn="0" w:firstRowLastColumn="0" w:lastRowFirstColumn="0" w:lastRowLastColumn="0"/>
            </w:pPr>
            <w:r>
              <w:t>232</w:t>
            </w:r>
          </w:p>
        </w:tc>
        <w:tc>
          <w:tcPr>
            <w:tcW w:w="1027" w:type="dxa"/>
          </w:tcPr>
          <w:p w14:paraId="200F8CF0" w14:textId="77777777" w:rsidR="005E614D" w:rsidRDefault="000C3A94">
            <w:pPr>
              <w:cnfStyle w:val="000000000000" w:firstRow="0" w:lastRow="0" w:firstColumn="0" w:lastColumn="0" w:oddVBand="0" w:evenVBand="0" w:oddHBand="0" w:evenHBand="0" w:firstRowFirstColumn="0" w:firstRowLastColumn="0" w:lastRowFirstColumn="0" w:lastRowLastColumn="0"/>
            </w:pPr>
            <w:r>
              <w:t>25</w:t>
            </w:r>
          </w:p>
        </w:tc>
        <w:tc>
          <w:tcPr>
            <w:tcW w:w="1028" w:type="dxa"/>
          </w:tcPr>
          <w:p w14:paraId="0F9E9A13" w14:textId="77777777" w:rsidR="005E614D" w:rsidRDefault="000C3A94">
            <w:pPr>
              <w:cnfStyle w:val="000000000000" w:firstRow="0" w:lastRow="0" w:firstColumn="0" w:lastColumn="0" w:oddVBand="0" w:evenVBand="0" w:oddHBand="0" w:evenHBand="0" w:firstRowFirstColumn="0" w:firstRowLastColumn="0" w:lastRowFirstColumn="0" w:lastRowLastColumn="0"/>
            </w:pPr>
            <w:r>
              <w:t>13</w:t>
            </w:r>
          </w:p>
        </w:tc>
      </w:tr>
      <w:tr w:rsidR="005E614D" w14:paraId="10ADB262" w14:textId="77777777">
        <w:tc>
          <w:tcPr>
            <w:cnfStyle w:val="001000000000" w:firstRow="0" w:lastRow="0" w:firstColumn="1" w:lastColumn="0" w:oddVBand="0" w:evenVBand="0" w:oddHBand="0" w:evenHBand="0" w:firstRowFirstColumn="0" w:firstRowLastColumn="0" w:lastRowFirstColumn="0" w:lastRowLastColumn="0"/>
            <w:tcW w:w="5529" w:type="dxa"/>
          </w:tcPr>
          <w:p w14:paraId="7ECAEC07" w14:textId="77777777" w:rsidR="005E614D" w:rsidRDefault="000C3A94">
            <w:r>
              <w:t>Land, buildings, infrastructure, plant and equipment</w:t>
            </w:r>
          </w:p>
        </w:tc>
        <w:tc>
          <w:tcPr>
            <w:tcW w:w="1027" w:type="dxa"/>
          </w:tcPr>
          <w:p w14:paraId="49CDD170" w14:textId="77777777" w:rsidR="005E614D" w:rsidRDefault="000C3A94">
            <w:pPr>
              <w:cnfStyle w:val="000000000000" w:firstRow="0" w:lastRow="0" w:firstColumn="0" w:lastColumn="0" w:oddVBand="0" w:evenVBand="0" w:oddHBand="0" w:evenHBand="0" w:firstRowFirstColumn="0" w:firstRowLastColumn="0" w:lastRowFirstColumn="0" w:lastRowLastColumn="0"/>
            </w:pPr>
            <w:r>
              <w:t>288 244</w:t>
            </w:r>
          </w:p>
        </w:tc>
        <w:tc>
          <w:tcPr>
            <w:tcW w:w="1027" w:type="dxa"/>
          </w:tcPr>
          <w:p w14:paraId="77E88A21" w14:textId="77777777" w:rsidR="005E614D" w:rsidRDefault="000C3A94">
            <w:pPr>
              <w:cnfStyle w:val="000000000000" w:firstRow="0" w:lastRow="0" w:firstColumn="0" w:lastColumn="0" w:oddVBand="0" w:evenVBand="0" w:oddHBand="0" w:evenHBand="0" w:firstRowFirstColumn="0" w:firstRowLastColumn="0" w:lastRowFirstColumn="0" w:lastRowLastColumn="0"/>
            </w:pPr>
            <w:r>
              <w:t>269 690</w:t>
            </w:r>
          </w:p>
        </w:tc>
        <w:tc>
          <w:tcPr>
            <w:tcW w:w="1027" w:type="dxa"/>
          </w:tcPr>
          <w:p w14:paraId="2F080907" w14:textId="77777777" w:rsidR="005E614D" w:rsidRDefault="000C3A94">
            <w:pPr>
              <w:cnfStyle w:val="000000000000" w:firstRow="0" w:lastRow="0" w:firstColumn="0" w:lastColumn="0" w:oddVBand="0" w:evenVBand="0" w:oddHBand="0" w:evenHBand="0" w:firstRowFirstColumn="0" w:firstRowLastColumn="0" w:lastRowFirstColumn="0" w:lastRowLastColumn="0"/>
            </w:pPr>
            <w:r>
              <w:t>131 155</w:t>
            </w:r>
          </w:p>
        </w:tc>
        <w:tc>
          <w:tcPr>
            <w:tcW w:w="1028" w:type="dxa"/>
          </w:tcPr>
          <w:p w14:paraId="624F20E4" w14:textId="77777777" w:rsidR="005E614D" w:rsidRDefault="000C3A94">
            <w:pPr>
              <w:cnfStyle w:val="000000000000" w:firstRow="0" w:lastRow="0" w:firstColumn="0" w:lastColumn="0" w:oddVBand="0" w:evenVBand="0" w:oddHBand="0" w:evenHBand="0" w:firstRowFirstColumn="0" w:firstRowLastColumn="0" w:lastRowFirstColumn="0" w:lastRowLastColumn="0"/>
            </w:pPr>
            <w:r>
              <w:t>122 959</w:t>
            </w:r>
          </w:p>
        </w:tc>
      </w:tr>
      <w:tr w:rsidR="005E614D" w14:paraId="2F3F6936"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72A10E20" w14:textId="77777777" w:rsidR="005E614D" w:rsidRDefault="000C3A94">
            <w:r>
              <w:t>Other non</w:t>
            </w:r>
            <w:r>
              <w:noBreakHyphen/>
              <w:t>financial assets</w:t>
            </w:r>
          </w:p>
        </w:tc>
        <w:tc>
          <w:tcPr>
            <w:tcW w:w="1027" w:type="dxa"/>
            <w:tcBorders>
              <w:bottom w:val="single" w:sz="6" w:space="0" w:color="auto"/>
            </w:tcBorders>
          </w:tcPr>
          <w:p w14:paraId="27A7C821" w14:textId="77777777" w:rsidR="005E614D" w:rsidRDefault="000C3A94">
            <w:pPr>
              <w:cnfStyle w:val="000000000000" w:firstRow="0" w:lastRow="0" w:firstColumn="0" w:lastColumn="0" w:oddVBand="0" w:evenVBand="0" w:oddHBand="0" w:evenHBand="0" w:firstRowFirstColumn="0" w:firstRowLastColumn="0" w:lastRowFirstColumn="0" w:lastRowLastColumn="0"/>
            </w:pPr>
            <w:r>
              <w:t>6 906</w:t>
            </w:r>
          </w:p>
        </w:tc>
        <w:tc>
          <w:tcPr>
            <w:tcW w:w="1027" w:type="dxa"/>
            <w:tcBorders>
              <w:bottom w:val="single" w:sz="6" w:space="0" w:color="auto"/>
            </w:tcBorders>
          </w:tcPr>
          <w:p w14:paraId="6AB5600B" w14:textId="77777777" w:rsidR="005E614D" w:rsidRDefault="000C3A94">
            <w:pPr>
              <w:cnfStyle w:val="000000000000" w:firstRow="0" w:lastRow="0" w:firstColumn="0" w:lastColumn="0" w:oddVBand="0" w:evenVBand="0" w:oddHBand="0" w:evenHBand="0" w:firstRowFirstColumn="0" w:firstRowLastColumn="0" w:lastRowFirstColumn="0" w:lastRowLastColumn="0"/>
            </w:pPr>
            <w:r>
              <w:t>6 222</w:t>
            </w:r>
          </w:p>
        </w:tc>
        <w:tc>
          <w:tcPr>
            <w:tcW w:w="1027" w:type="dxa"/>
            <w:tcBorders>
              <w:bottom w:val="single" w:sz="6" w:space="0" w:color="auto"/>
            </w:tcBorders>
          </w:tcPr>
          <w:p w14:paraId="4B327FD4" w14:textId="77777777" w:rsidR="005E614D" w:rsidRDefault="000C3A94">
            <w:pPr>
              <w:cnfStyle w:val="000000000000" w:firstRow="0" w:lastRow="0" w:firstColumn="0" w:lastColumn="0" w:oddVBand="0" w:evenVBand="0" w:oddHBand="0" w:evenHBand="0" w:firstRowFirstColumn="0" w:firstRowLastColumn="0" w:lastRowFirstColumn="0" w:lastRowLastColumn="0"/>
            </w:pPr>
            <w:r>
              <w:t>3 414</w:t>
            </w:r>
          </w:p>
        </w:tc>
        <w:tc>
          <w:tcPr>
            <w:tcW w:w="1028" w:type="dxa"/>
            <w:tcBorders>
              <w:bottom w:val="single" w:sz="6" w:space="0" w:color="auto"/>
            </w:tcBorders>
          </w:tcPr>
          <w:p w14:paraId="6B5ECF31" w14:textId="77777777" w:rsidR="005E614D" w:rsidRDefault="000C3A94">
            <w:pPr>
              <w:cnfStyle w:val="000000000000" w:firstRow="0" w:lastRow="0" w:firstColumn="0" w:lastColumn="0" w:oddVBand="0" w:evenVBand="0" w:oddHBand="0" w:evenHBand="0" w:firstRowFirstColumn="0" w:firstRowLastColumn="0" w:lastRowFirstColumn="0" w:lastRowLastColumn="0"/>
            </w:pPr>
            <w:r>
              <w:t>3 257</w:t>
            </w:r>
          </w:p>
        </w:tc>
      </w:tr>
      <w:tr w:rsidR="005E614D" w14:paraId="17EEE5B0"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2EB4115D" w14:textId="77777777" w:rsidR="005E614D" w:rsidRDefault="000C3A94">
            <w:r>
              <w:rPr>
                <w:b/>
              </w:rPr>
              <w:t>Total non</w:t>
            </w:r>
            <w:r>
              <w:rPr>
                <w:b/>
              </w:rPr>
              <w:noBreakHyphen/>
              <w:t>financial assets</w:t>
            </w:r>
          </w:p>
        </w:tc>
        <w:tc>
          <w:tcPr>
            <w:tcW w:w="1027" w:type="dxa"/>
            <w:tcBorders>
              <w:top w:val="single" w:sz="6" w:space="0" w:color="auto"/>
              <w:bottom w:val="single" w:sz="6" w:space="0" w:color="auto"/>
            </w:tcBorders>
          </w:tcPr>
          <w:p w14:paraId="4D0AE0F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295 573</w:t>
            </w:r>
          </w:p>
        </w:tc>
        <w:tc>
          <w:tcPr>
            <w:tcW w:w="1027" w:type="dxa"/>
            <w:tcBorders>
              <w:top w:val="single" w:sz="6" w:space="0" w:color="auto"/>
              <w:bottom w:val="single" w:sz="6" w:space="0" w:color="auto"/>
            </w:tcBorders>
          </w:tcPr>
          <w:p w14:paraId="35656F2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276 546</w:t>
            </w:r>
          </w:p>
        </w:tc>
        <w:tc>
          <w:tcPr>
            <w:tcW w:w="1027" w:type="dxa"/>
            <w:tcBorders>
              <w:top w:val="single" w:sz="6" w:space="0" w:color="auto"/>
              <w:bottom w:val="single" w:sz="6" w:space="0" w:color="auto"/>
            </w:tcBorders>
          </w:tcPr>
          <w:p w14:paraId="0F66C61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135 757</w:t>
            </w:r>
          </w:p>
        </w:tc>
        <w:tc>
          <w:tcPr>
            <w:tcW w:w="1028" w:type="dxa"/>
            <w:tcBorders>
              <w:top w:val="single" w:sz="6" w:space="0" w:color="auto"/>
              <w:bottom w:val="single" w:sz="6" w:space="0" w:color="auto"/>
            </w:tcBorders>
          </w:tcPr>
          <w:p w14:paraId="74CA82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127 576</w:t>
            </w:r>
          </w:p>
        </w:tc>
      </w:tr>
      <w:tr w:rsidR="005E614D" w14:paraId="7D115D7F"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tcBorders>
          </w:tcPr>
          <w:p w14:paraId="42EE3F51" w14:textId="77777777" w:rsidR="005E614D" w:rsidRDefault="000C3A94">
            <w:r>
              <w:rPr>
                <w:b/>
              </w:rPr>
              <w:t>Total assets</w:t>
            </w:r>
          </w:p>
        </w:tc>
        <w:tc>
          <w:tcPr>
            <w:tcW w:w="1027" w:type="dxa"/>
            <w:tcBorders>
              <w:top w:val="single" w:sz="6" w:space="0" w:color="auto"/>
            </w:tcBorders>
          </w:tcPr>
          <w:p w14:paraId="48FFF0F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440 305</w:t>
            </w:r>
          </w:p>
        </w:tc>
        <w:tc>
          <w:tcPr>
            <w:tcW w:w="1027" w:type="dxa"/>
            <w:tcBorders>
              <w:top w:val="single" w:sz="6" w:space="0" w:color="auto"/>
            </w:tcBorders>
          </w:tcPr>
          <w:p w14:paraId="1DCC658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421 623</w:t>
            </w:r>
          </w:p>
        </w:tc>
        <w:tc>
          <w:tcPr>
            <w:tcW w:w="1027" w:type="dxa"/>
            <w:tcBorders>
              <w:top w:val="single" w:sz="6" w:space="0" w:color="auto"/>
            </w:tcBorders>
          </w:tcPr>
          <w:p w14:paraId="456013E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142 226</w:t>
            </w:r>
          </w:p>
        </w:tc>
        <w:tc>
          <w:tcPr>
            <w:tcW w:w="1028" w:type="dxa"/>
            <w:tcBorders>
              <w:top w:val="single" w:sz="6" w:space="0" w:color="auto"/>
            </w:tcBorders>
          </w:tcPr>
          <w:p w14:paraId="11E79A2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132 594</w:t>
            </w:r>
          </w:p>
        </w:tc>
      </w:tr>
      <w:tr w:rsidR="005E614D" w14:paraId="20323278" w14:textId="77777777">
        <w:tc>
          <w:tcPr>
            <w:cnfStyle w:val="001000000000" w:firstRow="0" w:lastRow="0" w:firstColumn="1" w:lastColumn="0" w:oddVBand="0" w:evenVBand="0" w:oddHBand="0" w:evenHBand="0" w:firstRowFirstColumn="0" w:firstRowLastColumn="0" w:lastRowFirstColumn="0" w:lastRowLastColumn="0"/>
            <w:tcW w:w="5529" w:type="dxa"/>
          </w:tcPr>
          <w:p w14:paraId="1E3CCC19" w14:textId="77777777" w:rsidR="005E614D" w:rsidRDefault="000C3A94">
            <w:r>
              <w:rPr>
                <w:b/>
              </w:rPr>
              <w:t>Liabilities</w:t>
            </w:r>
          </w:p>
        </w:tc>
        <w:tc>
          <w:tcPr>
            <w:tcW w:w="1027" w:type="dxa"/>
          </w:tcPr>
          <w:p w14:paraId="1D6E916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35CD10B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1706C60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79E6A41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83AF9A1" w14:textId="77777777">
        <w:tc>
          <w:tcPr>
            <w:cnfStyle w:val="001000000000" w:firstRow="0" w:lastRow="0" w:firstColumn="1" w:lastColumn="0" w:oddVBand="0" w:evenVBand="0" w:oddHBand="0" w:evenHBand="0" w:firstRowFirstColumn="0" w:firstRowLastColumn="0" w:lastRowFirstColumn="0" w:lastRowLastColumn="0"/>
            <w:tcW w:w="5529" w:type="dxa"/>
          </w:tcPr>
          <w:p w14:paraId="40C6E1E9" w14:textId="77777777" w:rsidR="005E614D" w:rsidRDefault="000C3A94">
            <w:r>
              <w:t>Deposits held and advances received</w:t>
            </w:r>
          </w:p>
        </w:tc>
        <w:tc>
          <w:tcPr>
            <w:tcW w:w="1027" w:type="dxa"/>
          </w:tcPr>
          <w:p w14:paraId="28D589F4" w14:textId="77777777" w:rsidR="005E614D" w:rsidRDefault="000C3A94">
            <w:pPr>
              <w:cnfStyle w:val="000000000000" w:firstRow="0" w:lastRow="0" w:firstColumn="0" w:lastColumn="0" w:oddVBand="0" w:evenVBand="0" w:oddHBand="0" w:evenHBand="0" w:firstRowFirstColumn="0" w:firstRowLastColumn="0" w:lastRowFirstColumn="0" w:lastRowLastColumn="0"/>
            </w:pPr>
            <w:r>
              <w:t>1 595</w:t>
            </w:r>
          </w:p>
        </w:tc>
        <w:tc>
          <w:tcPr>
            <w:tcW w:w="1027" w:type="dxa"/>
          </w:tcPr>
          <w:p w14:paraId="231A151B" w14:textId="77777777" w:rsidR="005E614D" w:rsidRDefault="000C3A94">
            <w:pPr>
              <w:cnfStyle w:val="000000000000" w:firstRow="0" w:lastRow="0" w:firstColumn="0" w:lastColumn="0" w:oddVBand="0" w:evenVBand="0" w:oddHBand="0" w:evenHBand="0" w:firstRowFirstColumn="0" w:firstRowLastColumn="0" w:lastRowFirstColumn="0" w:lastRowLastColumn="0"/>
            </w:pPr>
            <w:r>
              <w:t>1 525</w:t>
            </w:r>
          </w:p>
        </w:tc>
        <w:tc>
          <w:tcPr>
            <w:tcW w:w="1027" w:type="dxa"/>
          </w:tcPr>
          <w:p w14:paraId="3AA880E1" w14:textId="77777777" w:rsidR="005E614D" w:rsidRDefault="000C3A94">
            <w:pPr>
              <w:cnfStyle w:val="000000000000" w:firstRow="0" w:lastRow="0" w:firstColumn="0" w:lastColumn="0" w:oddVBand="0" w:evenVBand="0" w:oddHBand="0" w:evenHBand="0" w:firstRowFirstColumn="0" w:firstRowLastColumn="0" w:lastRowFirstColumn="0" w:lastRowLastColumn="0"/>
            </w:pPr>
            <w:r>
              <w:t>2 856</w:t>
            </w:r>
          </w:p>
        </w:tc>
        <w:tc>
          <w:tcPr>
            <w:tcW w:w="1028" w:type="dxa"/>
          </w:tcPr>
          <w:p w14:paraId="6D6509EF" w14:textId="77777777" w:rsidR="005E614D" w:rsidRDefault="000C3A94">
            <w:pPr>
              <w:cnfStyle w:val="000000000000" w:firstRow="0" w:lastRow="0" w:firstColumn="0" w:lastColumn="0" w:oddVBand="0" w:evenVBand="0" w:oddHBand="0" w:evenHBand="0" w:firstRowFirstColumn="0" w:firstRowLastColumn="0" w:lastRowFirstColumn="0" w:lastRowLastColumn="0"/>
            </w:pPr>
            <w:r>
              <w:t>2 734</w:t>
            </w:r>
          </w:p>
        </w:tc>
      </w:tr>
      <w:tr w:rsidR="005E614D" w14:paraId="19686465" w14:textId="77777777">
        <w:tc>
          <w:tcPr>
            <w:cnfStyle w:val="001000000000" w:firstRow="0" w:lastRow="0" w:firstColumn="1" w:lastColumn="0" w:oddVBand="0" w:evenVBand="0" w:oddHBand="0" w:evenHBand="0" w:firstRowFirstColumn="0" w:firstRowLastColumn="0" w:lastRowFirstColumn="0" w:lastRowLastColumn="0"/>
            <w:tcW w:w="5529" w:type="dxa"/>
          </w:tcPr>
          <w:p w14:paraId="69876D3A" w14:textId="77777777" w:rsidR="005E614D" w:rsidRDefault="000C3A94">
            <w:r>
              <w:t>Payables</w:t>
            </w:r>
          </w:p>
        </w:tc>
        <w:tc>
          <w:tcPr>
            <w:tcW w:w="1027" w:type="dxa"/>
          </w:tcPr>
          <w:p w14:paraId="0B763ED0" w14:textId="77777777" w:rsidR="005E614D" w:rsidRDefault="000C3A94">
            <w:pPr>
              <w:cnfStyle w:val="000000000000" w:firstRow="0" w:lastRow="0" w:firstColumn="0" w:lastColumn="0" w:oddVBand="0" w:evenVBand="0" w:oddHBand="0" w:evenHBand="0" w:firstRowFirstColumn="0" w:firstRowLastColumn="0" w:lastRowFirstColumn="0" w:lastRowLastColumn="0"/>
            </w:pPr>
            <w:r>
              <w:t>6 558</w:t>
            </w:r>
          </w:p>
        </w:tc>
        <w:tc>
          <w:tcPr>
            <w:tcW w:w="1027" w:type="dxa"/>
          </w:tcPr>
          <w:p w14:paraId="525464E3" w14:textId="77777777" w:rsidR="005E614D" w:rsidRDefault="000C3A94">
            <w:pPr>
              <w:cnfStyle w:val="000000000000" w:firstRow="0" w:lastRow="0" w:firstColumn="0" w:lastColumn="0" w:oddVBand="0" w:evenVBand="0" w:oddHBand="0" w:evenHBand="0" w:firstRowFirstColumn="0" w:firstRowLastColumn="0" w:lastRowFirstColumn="0" w:lastRowLastColumn="0"/>
            </w:pPr>
            <w:r>
              <w:t>7 741</w:t>
            </w:r>
          </w:p>
        </w:tc>
        <w:tc>
          <w:tcPr>
            <w:tcW w:w="1027" w:type="dxa"/>
          </w:tcPr>
          <w:p w14:paraId="0AAF4291" w14:textId="77777777" w:rsidR="005E614D" w:rsidRDefault="000C3A94">
            <w:pPr>
              <w:cnfStyle w:val="000000000000" w:firstRow="0" w:lastRow="0" w:firstColumn="0" w:lastColumn="0" w:oddVBand="0" w:evenVBand="0" w:oddHBand="0" w:evenHBand="0" w:firstRowFirstColumn="0" w:firstRowLastColumn="0" w:lastRowFirstColumn="0" w:lastRowLastColumn="0"/>
            </w:pPr>
            <w:r>
              <w:t>2 088</w:t>
            </w:r>
          </w:p>
        </w:tc>
        <w:tc>
          <w:tcPr>
            <w:tcW w:w="1028" w:type="dxa"/>
          </w:tcPr>
          <w:p w14:paraId="00996FF3" w14:textId="77777777" w:rsidR="005E614D" w:rsidRDefault="000C3A94">
            <w:pPr>
              <w:cnfStyle w:val="000000000000" w:firstRow="0" w:lastRow="0" w:firstColumn="0" w:lastColumn="0" w:oddVBand="0" w:evenVBand="0" w:oddHBand="0" w:evenHBand="0" w:firstRowFirstColumn="0" w:firstRowLastColumn="0" w:lastRowFirstColumn="0" w:lastRowLastColumn="0"/>
            </w:pPr>
            <w:r>
              <w:t>1 856</w:t>
            </w:r>
          </w:p>
        </w:tc>
      </w:tr>
      <w:tr w:rsidR="005E614D" w14:paraId="4652FCA6" w14:textId="77777777">
        <w:tc>
          <w:tcPr>
            <w:cnfStyle w:val="001000000000" w:firstRow="0" w:lastRow="0" w:firstColumn="1" w:lastColumn="0" w:oddVBand="0" w:evenVBand="0" w:oddHBand="0" w:evenHBand="0" w:firstRowFirstColumn="0" w:firstRowLastColumn="0" w:lastRowFirstColumn="0" w:lastRowLastColumn="0"/>
            <w:tcW w:w="5529" w:type="dxa"/>
          </w:tcPr>
          <w:p w14:paraId="54E02320" w14:textId="77777777" w:rsidR="005E614D" w:rsidRDefault="000C3A94">
            <w:r>
              <w:t>Borrowings</w:t>
            </w:r>
          </w:p>
        </w:tc>
        <w:tc>
          <w:tcPr>
            <w:tcW w:w="1027" w:type="dxa"/>
          </w:tcPr>
          <w:p w14:paraId="35B05CF4" w14:textId="77777777" w:rsidR="005E614D" w:rsidRDefault="000C3A94">
            <w:pPr>
              <w:cnfStyle w:val="000000000000" w:firstRow="0" w:lastRow="0" w:firstColumn="0" w:lastColumn="0" w:oddVBand="0" w:evenVBand="0" w:oddHBand="0" w:evenHBand="0" w:firstRowFirstColumn="0" w:firstRowLastColumn="0" w:lastRowFirstColumn="0" w:lastRowLastColumn="0"/>
            </w:pPr>
            <w:r>
              <w:t>186 259</w:t>
            </w:r>
          </w:p>
        </w:tc>
        <w:tc>
          <w:tcPr>
            <w:tcW w:w="1027" w:type="dxa"/>
          </w:tcPr>
          <w:p w14:paraId="49EAC206" w14:textId="77777777" w:rsidR="005E614D" w:rsidRDefault="000C3A94">
            <w:pPr>
              <w:cnfStyle w:val="000000000000" w:firstRow="0" w:lastRow="0" w:firstColumn="0" w:lastColumn="0" w:oddVBand="0" w:evenVBand="0" w:oddHBand="0" w:evenHBand="0" w:firstRowFirstColumn="0" w:firstRowLastColumn="0" w:lastRowFirstColumn="0" w:lastRowLastColumn="0"/>
            </w:pPr>
            <w:r>
              <w:t>167 309</w:t>
            </w:r>
          </w:p>
        </w:tc>
        <w:tc>
          <w:tcPr>
            <w:tcW w:w="1027" w:type="dxa"/>
          </w:tcPr>
          <w:p w14:paraId="4E2241A9" w14:textId="77777777" w:rsidR="005E614D" w:rsidRDefault="000C3A94">
            <w:pPr>
              <w:cnfStyle w:val="000000000000" w:firstRow="0" w:lastRow="0" w:firstColumn="0" w:lastColumn="0" w:oddVBand="0" w:evenVBand="0" w:oddHBand="0" w:evenHBand="0" w:firstRowFirstColumn="0" w:firstRowLastColumn="0" w:lastRowFirstColumn="0" w:lastRowLastColumn="0"/>
            </w:pPr>
            <w:r>
              <w:t>26 497</w:t>
            </w:r>
          </w:p>
        </w:tc>
        <w:tc>
          <w:tcPr>
            <w:tcW w:w="1028" w:type="dxa"/>
          </w:tcPr>
          <w:p w14:paraId="133DD64D" w14:textId="77777777" w:rsidR="005E614D" w:rsidRDefault="000C3A94">
            <w:pPr>
              <w:cnfStyle w:val="000000000000" w:firstRow="0" w:lastRow="0" w:firstColumn="0" w:lastColumn="0" w:oddVBand="0" w:evenVBand="0" w:oddHBand="0" w:evenHBand="0" w:firstRowFirstColumn="0" w:firstRowLastColumn="0" w:lastRowFirstColumn="0" w:lastRowLastColumn="0"/>
            </w:pPr>
            <w:r>
              <w:t>23 321</w:t>
            </w:r>
          </w:p>
        </w:tc>
      </w:tr>
      <w:tr w:rsidR="005E614D" w14:paraId="71925926" w14:textId="77777777">
        <w:tc>
          <w:tcPr>
            <w:cnfStyle w:val="001000000000" w:firstRow="0" w:lastRow="0" w:firstColumn="1" w:lastColumn="0" w:oddVBand="0" w:evenVBand="0" w:oddHBand="0" w:evenHBand="0" w:firstRowFirstColumn="0" w:firstRowLastColumn="0" w:lastRowFirstColumn="0" w:lastRowLastColumn="0"/>
            <w:tcW w:w="5529" w:type="dxa"/>
          </w:tcPr>
          <w:p w14:paraId="78B33A60" w14:textId="77777777" w:rsidR="005E614D" w:rsidRDefault="000C3A94">
            <w:r>
              <w:t>Employee benefits</w:t>
            </w:r>
          </w:p>
        </w:tc>
        <w:tc>
          <w:tcPr>
            <w:tcW w:w="1027" w:type="dxa"/>
          </w:tcPr>
          <w:p w14:paraId="0ED37F6C" w14:textId="77777777" w:rsidR="005E614D" w:rsidRDefault="000C3A94">
            <w:pPr>
              <w:cnfStyle w:val="000000000000" w:firstRow="0" w:lastRow="0" w:firstColumn="0" w:lastColumn="0" w:oddVBand="0" w:evenVBand="0" w:oddHBand="0" w:evenHBand="0" w:firstRowFirstColumn="0" w:firstRowLastColumn="0" w:lastRowFirstColumn="0" w:lastRowLastColumn="0"/>
            </w:pPr>
            <w:r>
              <w:t>12 070</w:t>
            </w:r>
          </w:p>
        </w:tc>
        <w:tc>
          <w:tcPr>
            <w:tcW w:w="1027" w:type="dxa"/>
          </w:tcPr>
          <w:p w14:paraId="62CC002A" w14:textId="77777777" w:rsidR="005E614D" w:rsidRDefault="000C3A94">
            <w:pPr>
              <w:cnfStyle w:val="000000000000" w:firstRow="0" w:lastRow="0" w:firstColumn="0" w:lastColumn="0" w:oddVBand="0" w:evenVBand="0" w:oddHBand="0" w:evenHBand="0" w:firstRowFirstColumn="0" w:firstRowLastColumn="0" w:lastRowFirstColumn="0" w:lastRowLastColumn="0"/>
            </w:pPr>
            <w:r>
              <w:t>11 120</w:t>
            </w:r>
          </w:p>
        </w:tc>
        <w:tc>
          <w:tcPr>
            <w:tcW w:w="1027" w:type="dxa"/>
          </w:tcPr>
          <w:p w14:paraId="472F325C" w14:textId="77777777" w:rsidR="005E614D" w:rsidRDefault="000C3A94">
            <w:pPr>
              <w:cnfStyle w:val="000000000000" w:firstRow="0" w:lastRow="0" w:firstColumn="0" w:lastColumn="0" w:oddVBand="0" w:evenVBand="0" w:oddHBand="0" w:evenHBand="0" w:firstRowFirstColumn="0" w:firstRowLastColumn="0" w:lastRowFirstColumn="0" w:lastRowLastColumn="0"/>
            </w:pPr>
            <w:r>
              <w:t>635</w:t>
            </w:r>
          </w:p>
        </w:tc>
        <w:tc>
          <w:tcPr>
            <w:tcW w:w="1028" w:type="dxa"/>
          </w:tcPr>
          <w:p w14:paraId="78ABCADC" w14:textId="77777777" w:rsidR="005E614D" w:rsidRDefault="000C3A94">
            <w:pPr>
              <w:cnfStyle w:val="000000000000" w:firstRow="0" w:lastRow="0" w:firstColumn="0" w:lastColumn="0" w:oddVBand="0" w:evenVBand="0" w:oddHBand="0" w:evenHBand="0" w:firstRowFirstColumn="0" w:firstRowLastColumn="0" w:lastRowFirstColumn="0" w:lastRowLastColumn="0"/>
            </w:pPr>
            <w:r>
              <w:t>600</w:t>
            </w:r>
          </w:p>
        </w:tc>
      </w:tr>
      <w:tr w:rsidR="005E614D" w14:paraId="5657708B" w14:textId="77777777">
        <w:tc>
          <w:tcPr>
            <w:cnfStyle w:val="001000000000" w:firstRow="0" w:lastRow="0" w:firstColumn="1" w:lastColumn="0" w:oddVBand="0" w:evenVBand="0" w:oddHBand="0" w:evenHBand="0" w:firstRowFirstColumn="0" w:firstRowLastColumn="0" w:lastRowFirstColumn="0" w:lastRowLastColumn="0"/>
            <w:tcW w:w="5529" w:type="dxa"/>
          </w:tcPr>
          <w:p w14:paraId="1672F121" w14:textId="77777777" w:rsidR="005E614D" w:rsidRDefault="000C3A94">
            <w:r>
              <w:t>Superannuation</w:t>
            </w:r>
          </w:p>
        </w:tc>
        <w:tc>
          <w:tcPr>
            <w:tcW w:w="1027" w:type="dxa"/>
          </w:tcPr>
          <w:p w14:paraId="52994F3C"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c>
          <w:tcPr>
            <w:tcW w:w="1027" w:type="dxa"/>
          </w:tcPr>
          <w:p w14:paraId="5E819F3D"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18 226</w:t>
            </w:r>
          </w:p>
        </w:tc>
        <w:tc>
          <w:tcPr>
            <w:tcW w:w="1027" w:type="dxa"/>
          </w:tcPr>
          <w:p w14:paraId="2DC6DD5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1257DC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0059C536" w14:textId="77777777">
        <w:tc>
          <w:tcPr>
            <w:cnfStyle w:val="001000000000" w:firstRow="0" w:lastRow="0" w:firstColumn="1" w:lastColumn="0" w:oddVBand="0" w:evenVBand="0" w:oddHBand="0" w:evenHBand="0" w:firstRowFirstColumn="0" w:firstRowLastColumn="0" w:lastRowFirstColumn="0" w:lastRowLastColumn="0"/>
            <w:tcW w:w="5529" w:type="dxa"/>
          </w:tcPr>
          <w:p w14:paraId="73856D3E" w14:textId="77777777" w:rsidR="005E614D" w:rsidRDefault="000C3A94">
            <w:r>
              <w:t>Other provisions</w:t>
            </w:r>
          </w:p>
        </w:tc>
        <w:tc>
          <w:tcPr>
            <w:tcW w:w="1027" w:type="dxa"/>
          </w:tcPr>
          <w:p w14:paraId="60BCE12D" w14:textId="77777777" w:rsidR="005E614D" w:rsidRDefault="000C3A94">
            <w:pPr>
              <w:cnfStyle w:val="000000000000" w:firstRow="0" w:lastRow="0" w:firstColumn="0" w:lastColumn="0" w:oddVBand="0" w:evenVBand="0" w:oddHBand="0" w:evenHBand="0" w:firstRowFirstColumn="0" w:firstRowLastColumn="0" w:lastRowFirstColumn="0" w:lastRowLastColumn="0"/>
            </w:pPr>
            <w:r>
              <w:t>3 762</w:t>
            </w:r>
          </w:p>
        </w:tc>
        <w:tc>
          <w:tcPr>
            <w:tcW w:w="1027" w:type="dxa"/>
          </w:tcPr>
          <w:p w14:paraId="49176CB7" w14:textId="77777777" w:rsidR="005E614D" w:rsidRDefault="000C3A94">
            <w:pPr>
              <w:cnfStyle w:val="000000000000" w:firstRow="0" w:lastRow="0" w:firstColumn="0" w:lastColumn="0" w:oddVBand="0" w:evenVBand="0" w:oddHBand="0" w:evenHBand="0" w:firstRowFirstColumn="0" w:firstRowLastColumn="0" w:lastRowFirstColumn="0" w:lastRowLastColumn="0"/>
            </w:pPr>
            <w:r>
              <w:t>3 431</w:t>
            </w:r>
          </w:p>
        </w:tc>
        <w:tc>
          <w:tcPr>
            <w:tcW w:w="1027" w:type="dxa"/>
          </w:tcPr>
          <w:p w14:paraId="22B27B81" w14:textId="77777777" w:rsidR="005E614D" w:rsidRDefault="000C3A94">
            <w:pPr>
              <w:cnfStyle w:val="000000000000" w:firstRow="0" w:lastRow="0" w:firstColumn="0" w:lastColumn="0" w:oddVBand="0" w:evenVBand="0" w:oddHBand="0" w:evenHBand="0" w:firstRowFirstColumn="0" w:firstRowLastColumn="0" w:lastRowFirstColumn="0" w:lastRowLastColumn="0"/>
            </w:pPr>
            <w:r>
              <w:t>23 693</w:t>
            </w:r>
          </w:p>
        </w:tc>
        <w:tc>
          <w:tcPr>
            <w:tcW w:w="1028" w:type="dxa"/>
          </w:tcPr>
          <w:p w14:paraId="3438C13B" w14:textId="77777777" w:rsidR="005E614D" w:rsidRDefault="000C3A94">
            <w:pPr>
              <w:cnfStyle w:val="000000000000" w:firstRow="0" w:lastRow="0" w:firstColumn="0" w:lastColumn="0" w:oddVBand="0" w:evenVBand="0" w:oddHBand="0" w:evenHBand="0" w:firstRowFirstColumn="0" w:firstRowLastColumn="0" w:lastRowFirstColumn="0" w:lastRowLastColumn="0"/>
            </w:pPr>
            <w:r>
              <w:t>12 066</w:t>
            </w:r>
          </w:p>
        </w:tc>
      </w:tr>
      <w:tr w:rsidR="005E614D" w14:paraId="4A2A053D"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6" w:space="0" w:color="auto"/>
            </w:tcBorders>
          </w:tcPr>
          <w:p w14:paraId="0EEF54C1" w14:textId="77777777" w:rsidR="005E614D" w:rsidRDefault="000C3A94">
            <w:r>
              <w:t>Other liabilities</w:t>
            </w:r>
          </w:p>
        </w:tc>
        <w:tc>
          <w:tcPr>
            <w:tcW w:w="1027" w:type="dxa"/>
            <w:tcBorders>
              <w:bottom w:val="single" w:sz="6" w:space="0" w:color="auto"/>
            </w:tcBorders>
          </w:tcPr>
          <w:p w14:paraId="0E932312"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22 470</w:t>
            </w:r>
          </w:p>
        </w:tc>
        <w:tc>
          <w:tcPr>
            <w:tcW w:w="1027" w:type="dxa"/>
            <w:tcBorders>
              <w:bottom w:val="single" w:sz="6" w:space="0" w:color="auto"/>
            </w:tcBorders>
          </w:tcPr>
          <w:p w14:paraId="3DB518CD"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22 411</w:t>
            </w:r>
          </w:p>
        </w:tc>
        <w:tc>
          <w:tcPr>
            <w:tcW w:w="1027" w:type="dxa"/>
            <w:tcBorders>
              <w:bottom w:val="single" w:sz="6" w:space="0" w:color="auto"/>
            </w:tcBorders>
          </w:tcPr>
          <w:p w14:paraId="67854366" w14:textId="77777777" w:rsidR="005E614D" w:rsidRDefault="000C3A94">
            <w:pPr>
              <w:cnfStyle w:val="000000000000" w:firstRow="0" w:lastRow="0" w:firstColumn="0" w:lastColumn="0" w:oddVBand="0" w:evenVBand="0" w:oddHBand="0" w:evenHBand="0" w:firstRowFirstColumn="0" w:firstRowLastColumn="0" w:lastRowFirstColumn="0" w:lastRowLastColumn="0"/>
            </w:pPr>
            <w:r>
              <w:t>8 976</w:t>
            </w:r>
          </w:p>
        </w:tc>
        <w:tc>
          <w:tcPr>
            <w:tcW w:w="1028" w:type="dxa"/>
            <w:tcBorders>
              <w:bottom w:val="single" w:sz="6" w:space="0" w:color="auto"/>
            </w:tcBorders>
          </w:tcPr>
          <w:p w14:paraId="7E7784AE" w14:textId="77777777" w:rsidR="005E614D" w:rsidRDefault="000C3A94">
            <w:pPr>
              <w:cnfStyle w:val="000000000000" w:firstRow="0" w:lastRow="0" w:firstColumn="0" w:lastColumn="0" w:oddVBand="0" w:evenVBand="0" w:oddHBand="0" w:evenHBand="0" w:firstRowFirstColumn="0" w:firstRowLastColumn="0" w:lastRowFirstColumn="0" w:lastRowLastColumn="0"/>
            </w:pPr>
            <w:r>
              <w:t>8 972</w:t>
            </w:r>
          </w:p>
        </w:tc>
      </w:tr>
      <w:tr w:rsidR="005E614D" w14:paraId="0178A303"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6" w:space="0" w:color="auto"/>
            </w:tcBorders>
          </w:tcPr>
          <w:p w14:paraId="4917E314" w14:textId="77777777" w:rsidR="005E614D" w:rsidRDefault="000C3A94">
            <w:r>
              <w:rPr>
                <w:b/>
              </w:rPr>
              <w:t>Total liabilities</w:t>
            </w:r>
          </w:p>
        </w:tc>
        <w:tc>
          <w:tcPr>
            <w:tcW w:w="1027" w:type="dxa"/>
            <w:tcBorders>
              <w:top w:val="single" w:sz="6" w:space="0" w:color="auto"/>
              <w:bottom w:val="single" w:sz="6" w:space="0" w:color="auto"/>
            </w:tcBorders>
          </w:tcPr>
          <w:p w14:paraId="346F620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250 999</w:t>
            </w:r>
          </w:p>
        </w:tc>
        <w:tc>
          <w:tcPr>
            <w:tcW w:w="1027" w:type="dxa"/>
            <w:tcBorders>
              <w:top w:val="single" w:sz="6" w:space="0" w:color="auto"/>
              <w:bottom w:val="single" w:sz="6" w:space="0" w:color="auto"/>
            </w:tcBorders>
          </w:tcPr>
          <w:p w14:paraId="300FEE9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231 764</w:t>
            </w:r>
          </w:p>
        </w:tc>
        <w:tc>
          <w:tcPr>
            <w:tcW w:w="1027" w:type="dxa"/>
            <w:tcBorders>
              <w:top w:val="single" w:sz="6" w:space="0" w:color="auto"/>
              <w:bottom w:val="single" w:sz="6" w:space="0" w:color="auto"/>
            </w:tcBorders>
          </w:tcPr>
          <w:p w14:paraId="6E403CF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64 746</w:t>
            </w:r>
          </w:p>
        </w:tc>
        <w:tc>
          <w:tcPr>
            <w:tcW w:w="1028" w:type="dxa"/>
            <w:tcBorders>
              <w:top w:val="single" w:sz="6" w:space="0" w:color="auto"/>
              <w:bottom w:val="single" w:sz="6" w:space="0" w:color="auto"/>
            </w:tcBorders>
          </w:tcPr>
          <w:p w14:paraId="316EC49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49 549</w:t>
            </w:r>
          </w:p>
        </w:tc>
      </w:tr>
      <w:tr w:rsidR="005E614D" w14:paraId="32A80677"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6" w:space="0" w:color="auto"/>
              <w:bottom w:val="single" w:sz="12" w:space="0" w:color="auto"/>
            </w:tcBorders>
          </w:tcPr>
          <w:p w14:paraId="0C124884" w14:textId="77777777" w:rsidR="005E614D" w:rsidRDefault="000C3A94">
            <w:r>
              <w:rPr>
                <w:b/>
              </w:rPr>
              <w:t>Net assets</w:t>
            </w:r>
          </w:p>
        </w:tc>
        <w:tc>
          <w:tcPr>
            <w:tcW w:w="1027" w:type="dxa"/>
            <w:tcBorders>
              <w:top w:val="single" w:sz="6" w:space="0" w:color="auto"/>
              <w:bottom w:val="single" w:sz="12" w:space="0" w:color="auto"/>
            </w:tcBorders>
          </w:tcPr>
          <w:p w14:paraId="347499B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1027" w:type="dxa"/>
            <w:tcBorders>
              <w:top w:val="single" w:sz="6" w:space="0" w:color="auto"/>
              <w:bottom w:val="single" w:sz="12" w:space="0" w:color="auto"/>
            </w:tcBorders>
          </w:tcPr>
          <w:p w14:paraId="7838E0F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c>
          <w:tcPr>
            <w:tcW w:w="1027" w:type="dxa"/>
            <w:tcBorders>
              <w:top w:val="single" w:sz="6" w:space="0" w:color="auto"/>
              <w:bottom w:val="single" w:sz="12" w:space="0" w:color="auto"/>
            </w:tcBorders>
          </w:tcPr>
          <w:p w14:paraId="391A8A9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77 480</w:t>
            </w:r>
          </w:p>
        </w:tc>
        <w:tc>
          <w:tcPr>
            <w:tcW w:w="1028" w:type="dxa"/>
            <w:tcBorders>
              <w:top w:val="single" w:sz="6" w:space="0" w:color="auto"/>
              <w:bottom w:val="single" w:sz="12" w:space="0" w:color="auto"/>
            </w:tcBorders>
          </w:tcPr>
          <w:p w14:paraId="4A4420B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83 045</w:t>
            </w:r>
          </w:p>
        </w:tc>
      </w:tr>
      <w:tr w:rsidR="005E614D" w14:paraId="5253C8EC"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0" w:space="0" w:color="auto"/>
            </w:tcBorders>
          </w:tcPr>
          <w:p w14:paraId="730CD1FA" w14:textId="77777777" w:rsidR="005E614D" w:rsidRDefault="000C3A94">
            <w:r>
              <w:rPr>
                <w:b/>
              </w:rPr>
              <w:t>Equity</w:t>
            </w:r>
          </w:p>
        </w:tc>
        <w:tc>
          <w:tcPr>
            <w:tcW w:w="1027" w:type="dxa"/>
            <w:tcBorders>
              <w:top w:val="single" w:sz="0" w:space="0" w:color="auto"/>
            </w:tcBorders>
          </w:tcPr>
          <w:p w14:paraId="4DE0605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33DD325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47E0FEA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1D97599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7AA335A" w14:textId="77777777">
        <w:tc>
          <w:tcPr>
            <w:cnfStyle w:val="001000000000" w:firstRow="0" w:lastRow="0" w:firstColumn="1" w:lastColumn="0" w:oddVBand="0" w:evenVBand="0" w:oddHBand="0" w:evenHBand="0" w:firstRowFirstColumn="0" w:firstRowLastColumn="0" w:lastRowFirstColumn="0" w:lastRowLastColumn="0"/>
            <w:tcW w:w="5529" w:type="dxa"/>
          </w:tcPr>
          <w:p w14:paraId="734FD6E1" w14:textId="77777777" w:rsidR="005E614D" w:rsidRDefault="000C3A94">
            <w:r>
              <w:t>Accumulated surplus/(deficit)</w:t>
            </w:r>
          </w:p>
        </w:tc>
        <w:tc>
          <w:tcPr>
            <w:tcW w:w="1027" w:type="dxa"/>
          </w:tcPr>
          <w:p w14:paraId="58F36B13" w14:textId="77777777" w:rsidR="005E614D" w:rsidRDefault="000C3A94">
            <w:pPr>
              <w:cnfStyle w:val="000000000000" w:firstRow="0" w:lastRow="0" w:firstColumn="0" w:lastColumn="0" w:oddVBand="0" w:evenVBand="0" w:oddHBand="0" w:evenHBand="0" w:firstRowFirstColumn="0" w:firstRowLastColumn="0" w:lastRowFirstColumn="0" w:lastRowLastColumn="0"/>
            </w:pPr>
            <w:r>
              <w:t>41 982</w:t>
            </w:r>
          </w:p>
        </w:tc>
        <w:tc>
          <w:tcPr>
            <w:tcW w:w="1027" w:type="dxa"/>
          </w:tcPr>
          <w:p w14:paraId="0D5FA321" w14:textId="77777777" w:rsidR="005E614D" w:rsidRDefault="000C3A94">
            <w:pPr>
              <w:cnfStyle w:val="000000000000" w:firstRow="0" w:lastRow="0" w:firstColumn="0" w:lastColumn="0" w:oddVBand="0" w:evenVBand="0" w:oddHBand="0" w:evenHBand="0" w:firstRowFirstColumn="0" w:firstRowLastColumn="0" w:lastRowFirstColumn="0" w:lastRowLastColumn="0"/>
            </w:pPr>
            <w:r>
              <w:t>43 405</w:t>
            </w:r>
          </w:p>
        </w:tc>
        <w:tc>
          <w:tcPr>
            <w:tcW w:w="1027" w:type="dxa"/>
          </w:tcPr>
          <w:p w14:paraId="2901D9B2" w14:textId="77777777" w:rsidR="005E614D" w:rsidRDefault="000C3A94">
            <w:pPr>
              <w:cnfStyle w:val="000000000000" w:firstRow="0" w:lastRow="0" w:firstColumn="0" w:lastColumn="0" w:oddVBand="0" w:evenVBand="0" w:oddHBand="0" w:evenHBand="0" w:firstRowFirstColumn="0" w:firstRowLastColumn="0" w:lastRowFirstColumn="0" w:lastRowLastColumn="0"/>
            </w:pPr>
            <w:r>
              <w:t>(46 672)</w:t>
            </w:r>
          </w:p>
        </w:tc>
        <w:tc>
          <w:tcPr>
            <w:tcW w:w="1028" w:type="dxa"/>
          </w:tcPr>
          <w:p w14:paraId="470937B0" w14:textId="77777777" w:rsidR="005E614D" w:rsidRDefault="000C3A94">
            <w:pPr>
              <w:cnfStyle w:val="000000000000" w:firstRow="0" w:lastRow="0" w:firstColumn="0" w:lastColumn="0" w:oddVBand="0" w:evenVBand="0" w:oddHBand="0" w:evenHBand="0" w:firstRowFirstColumn="0" w:firstRowLastColumn="0" w:lastRowFirstColumn="0" w:lastRowLastColumn="0"/>
            </w:pPr>
            <w:r>
              <w:t>(33 520)</w:t>
            </w:r>
          </w:p>
        </w:tc>
      </w:tr>
      <w:tr w:rsidR="005E614D" w14:paraId="532C9CBE"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12" w:space="0" w:color="auto"/>
            </w:tcBorders>
          </w:tcPr>
          <w:p w14:paraId="6780EA6B" w14:textId="77777777" w:rsidR="005E614D" w:rsidRDefault="000C3A94">
            <w:r>
              <w:t>Reserves</w:t>
            </w:r>
          </w:p>
        </w:tc>
        <w:tc>
          <w:tcPr>
            <w:tcW w:w="1027" w:type="dxa"/>
            <w:tcBorders>
              <w:bottom w:val="single" w:sz="12" w:space="0" w:color="auto"/>
            </w:tcBorders>
          </w:tcPr>
          <w:p w14:paraId="57AE0C32" w14:textId="77777777" w:rsidR="005E614D" w:rsidRDefault="000C3A94">
            <w:pPr>
              <w:cnfStyle w:val="000000000000" w:firstRow="0" w:lastRow="0" w:firstColumn="0" w:lastColumn="0" w:oddVBand="0" w:evenVBand="0" w:oddHBand="0" w:evenHBand="0" w:firstRowFirstColumn="0" w:firstRowLastColumn="0" w:lastRowFirstColumn="0" w:lastRowLastColumn="0"/>
            </w:pPr>
            <w:r>
              <w:t>147 325</w:t>
            </w:r>
          </w:p>
        </w:tc>
        <w:tc>
          <w:tcPr>
            <w:tcW w:w="1027" w:type="dxa"/>
            <w:tcBorders>
              <w:bottom w:val="single" w:sz="12" w:space="0" w:color="auto"/>
            </w:tcBorders>
          </w:tcPr>
          <w:p w14:paraId="4B16C7A2"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146 454</w:t>
            </w:r>
          </w:p>
        </w:tc>
        <w:tc>
          <w:tcPr>
            <w:tcW w:w="1027" w:type="dxa"/>
            <w:tcBorders>
              <w:bottom w:val="single" w:sz="12" w:space="0" w:color="auto"/>
            </w:tcBorders>
          </w:tcPr>
          <w:p w14:paraId="43F57A27" w14:textId="77777777" w:rsidR="005E614D" w:rsidRDefault="000C3A94">
            <w:pPr>
              <w:cnfStyle w:val="000000000000" w:firstRow="0" w:lastRow="0" w:firstColumn="0" w:lastColumn="0" w:oddVBand="0" w:evenVBand="0" w:oddHBand="0" w:evenHBand="0" w:firstRowFirstColumn="0" w:firstRowLastColumn="0" w:lastRowFirstColumn="0" w:lastRowLastColumn="0"/>
            </w:pPr>
            <w:r>
              <w:t>124 152</w:t>
            </w:r>
          </w:p>
        </w:tc>
        <w:tc>
          <w:tcPr>
            <w:tcW w:w="1028" w:type="dxa"/>
            <w:tcBorders>
              <w:bottom w:val="single" w:sz="12" w:space="0" w:color="auto"/>
            </w:tcBorders>
          </w:tcPr>
          <w:p w14:paraId="3B5BFE03" w14:textId="77777777" w:rsidR="005E614D" w:rsidRDefault="000C3A94">
            <w:pPr>
              <w:cnfStyle w:val="000000000000" w:firstRow="0" w:lastRow="0" w:firstColumn="0" w:lastColumn="0" w:oddVBand="0" w:evenVBand="0" w:oddHBand="0" w:evenHBand="0" w:firstRowFirstColumn="0" w:firstRowLastColumn="0" w:lastRowFirstColumn="0" w:lastRowLastColumn="0"/>
            </w:pPr>
            <w:r>
              <w:t>116 564</w:t>
            </w:r>
          </w:p>
        </w:tc>
      </w:tr>
      <w:tr w:rsidR="005E614D" w14:paraId="7BD315CB"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top w:val="single" w:sz="0" w:space="0" w:color="auto"/>
              <w:bottom w:val="single" w:sz="12" w:space="0" w:color="auto"/>
            </w:tcBorders>
          </w:tcPr>
          <w:p w14:paraId="71861530" w14:textId="77777777" w:rsidR="005E614D" w:rsidRDefault="000C3A94">
            <w:r>
              <w:rPr>
                <w:b/>
              </w:rPr>
              <w:t>Net worth</w:t>
            </w:r>
          </w:p>
        </w:tc>
        <w:tc>
          <w:tcPr>
            <w:tcW w:w="1027" w:type="dxa"/>
            <w:tcBorders>
              <w:top w:val="single" w:sz="0" w:space="0" w:color="auto"/>
              <w:bottom w:val="single" w:sz="12" w:space="0" w:color="auto"/>
            </w:tcBorders>
          </w:tcPr>
          <w:p w14:paraId="3FE7CF6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c>
          <w:tcPr>
            <w:tcW w:w="1027" w:type="dxa"/>
            <w:tcBorders>
              <w:top w:val="single" w:sz="0" w:space="0" w:color="auto"/>
              <w:bottom w:val="single" w:sz="12" w:space="0" w:color="auto"/>
            </w:tcBorders>
          </w:tcPr>
          <w:p w14:paraId="3B0D14D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c>
          <w:tcPr>
            <w:tcW w:w="1027" w:type="dxa"/>
            <w:tcBorders>
              <w:top w:val="single" w:sz="0" w:space="0" w:color="auto"/>
              <w:bottom w:val="single" w:sz="12" w:space="0" w:color="auto"/>
            </w:tcBorders>
          </w:tcPr>
          <w:p w14:paraId="7FE43A5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77 480</w:t>
            </w:r>
          </w:p>
        </w:tc>
        <w:tc>
          <w:tcPr>
            <w:tcW w:w="1028" w:type="dxa"/>
            <w:tcBorders>
              <w:top w:val="single" w:sz="0" w:space="0" w:color="auto"/>
              <w:bottom w:val="single" w:sz="12" w:space="0" w:color="auto"/>
            </w:tcBorders>
          </w:tcPr>
          <w:p w14:paraId="719F001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83 045</w:t>
            </w:r>
          </w:p>
        </w:tc>
      </w:tr>
      <w:tr w:rsidR="005E614D" w14:paraId="24D29379" w14:textId="77777777" w:rsidTr="004A2065">
        <w:trPr>
          <w:trHeight w:hRule="exact" w:val="113"/>
        </w:trPr>
        <w:tc>
          <w:tcPr>
            <w:cnfStyle w:val="001000000000" w:firstRow="0" w:lastRow="0" w:firstColumn="1" w:lastColumn="0" w:oddVBand="0" w:evenVBand="0" w:oddHBand="0" w:evenHBand="0" w:firstRowFirstColumn="0" w:firstRowLastColumn="0" w:lastRowFirstColumn="0" w:lastRowLastColumn="0"/>
            <w:tcW w:w="5529" w:type="dxa"/>
            <w:tcBorders>
              <w:top w:val="single" w:sz="0" w:space="0" w:color="auto"/>
            </w:tcBorders>
          </w:tcPr>
          <w:p w14:paraId="6BF809CD" w14:textId="77777777" w:rsidR="005E614D" w:rsidRDefault="005E614D"/>
        </w:tc>
        <w:tc>
          <w:tcPr>
            <w:tcW w:w="1027" w:type="dxa"/>
            <w:tcBorders>
              <w:top w:val="single" w:sz="0" w:space="0" w:color="auto"/>
            </w:tcBorders>
          </w:tcPr>
          <w:p w14:paraId="259CDD7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0DE89F3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Borders>
              <w:top w:val="single" w:sz="0" w:space="0" w:color="auto"/>
            </w:tcBorders>
          </w:tcPr>
          <w:p w14:paraId="3030759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Borders>
              <w:top w:val="single" w:sz="0" w:space="0" w:color="auto"/>
            </w:tcBorders>
          </w:tcPr>
          <w:p w14:paraId="4E1C0AA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426D9A0" w14:textId="77777777">
        <w:tc>
          <w:tcPr>
            <w:cnfStyle w:val="001000000000" w:firstRow="0" w:lastRow="0" w:firstColumn="1" w:lastColumn="0" w:oddVBand="0" w:evenVBand="0" w:oddHBand="0" w:evenHBand="0" w:firstRowFirstColumn="0" w:firstRowLastColumn="0" w:lastRowFirstColumn="0" w:lastRowLastColumn="0"/>
            <w:tcW w:w="5529" w:type="dxa"/>
          </w:tcPr>
          <w:p w14:paraId="3D704FC4" w14:textId="77777777" w:rsidR="005E614D" w:rsidRDefault="000C3A94">
            <w:r>
              <w:rPr>
                <w:b/>
              </w:rPr>
              <w:t>FISCAL AGGREGATES</w:t>
            </w:r>
          </w:p>
        </w:tc>
        <w:tc>
          <w:tcPr>
            <w:tcW w:w="1027" w:type="dxa"/>
          </w:tcPr>
          <w:p w14:paraId="18B0DEA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5459AAD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7" w:type="dxa"/>
          </w:tcPr>
          <w:p w14:paraId="0EFAF61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28" w:type="dxa"/>
          </w:tcPr>
          <w:p w14:paraId="4CBF5B8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7E35041" w14:textId="77777777">
        <w:tc>
          <w:tcPr>
            <w:cnfStyle w:val="001000000000" w:firstRow="0" w:lastRow="0" w:firstColumn="1" w:lastColumn="0" w:oddVBand="0" w:evenVBand="0" w:oddHBand="0" w:evenHBand="0" w:firstRowFirstColumn="0" w:firstRowLastColumn="0" w:lastRowFirstColumn="0" w:lastRowLastColumn="0"/>
            <w:tcW w:w="5529" w:type="dxa"/>
          </w:tcPr>
          <w:p w14:paraId="4177C6F0" w14:textId="77777777" w:rsidR="005E614D" w:rsidRDefault="000C3A94">
            <w:r>
              <w:t>Net financial worth</w:t>
            </w:r>
          </w:p>
        </w:tc>
        <w:tc>
          <w:tcPr>
            <w:tcW w:w="1027" w:type="dxa"/>
          </w:tcPr>
          <w:p w14:paraId="2B17A9AC" w14:textId="77777777" w:rsidR="005E614D" w:rsidRDefault="000C3A94">
            <w:pPr>
              <w:cnfStyle w:val="000000000000" w:firstRow="0" w:lastRow="0" w:firstColumn="0" w:lastColumn="0" w:oddVBand="0" w:evenVBand="0" w:oddHBand="0" w:evenHBand="0" w:firstRowFirstColumn="0" w:firstRowLastColumn="0" w:lastRowFirstColumn="0" w:lastRowLastColumn="0"/>
            </w:pPr>
            <w:r>
              <w:t>(106 266)</w:t>
            </w:r>
          </w:p>
        </w:tc>
        <w:tc>
          <w:tcPr>
            <w:tcW w:w="1027" w:type="dxa"/>
          </w:tcPr>
          <w:p w14:paraId="45D50613" w14:textId="77777777" w:rsidR="005E614D" w:rsidRDefault="000C3A94">
            <w:pPr>
              <w:cnfStyle w:val="000000000000" w:firstRow="0" w:lastRow="0" w:firstColumn="0" w:lastColumn="0" w:oddVBand="0" w:evenVBand="0" w:oddHBand="0" w:evenHBand="0" w:firstRowFirstColumn="0" w:firstRowLastColumn="0" w:lastRowFirstColumn="0" w:lastRowLastColumn="0"/>
            </w:pPr>
            <w:r>
              <w:t>(86 686)</w:t>
            </w:r>
          </w:p>
        </w:tc>
        <w:tc>
          <w:tcPr>
            <w:tcW w:w="1027" w:type="dxa"/>
          </w:tcPr>
          <w:p w14:paraId="1856D189" w14:textId="77777777" w:rsidR="005E614D" w:rsidRDefault="000C3A94">
            <w:pPr>
              <w:cnfStyle w:val="000000000000" w:firstRow="0" w:lastRow="0" w:firstColumn="0" w:lastColumn="0" w:oddVBand="0" w:evenVBand="0" w:oddHBand="0" w:evenHBand="0" w:firstRowFirstColumn="0" w:firstRowLastColumn="0" w:lastRowFirstColumn="0" w:lastRowLastColumn="0"/>
            </w:pPr>
            <w:r>
              <w:t>(58 277)</w:t>
            </w:r>
          </w:p>
        </w:tc>
        <w:tc>
          <w:tcPr>
            <w:tcW w:w="1028" w:type="dxa"/>
          </w:tcPr>
          <w:p w14:paraId="55B124F3" w14:textId="77777777" w:rsidR="005E614D" w:rsidRDefault="000C3A94">
            <w:pPr>
              <w:cnfStyle w:val="000000000000" w:firstRow="0" w:lastRow="0" w:firstColumn="0" w:lastColumn="0" w:oddVBand="0" w:evenVBand="0" w:oddHBand="0" w:evenHBand="0" w:firstRowFirstColumn="0" w:firstRowLastColumn="0" w:lastRowFirstColumn="0" w:lastRowLastColumn="0"/>
            </w:pPr>
            <w:r>
              <w:t>(44 531)</w:t>
            </w:r>
          </w:p>
        </w:tc>
      </w:tr>
      <w:tr w:rsidR="005E614D" w14:paraId="4AF89CD9" w14:textId="77777777">
        <w:tc>
          <w:tcPr>
            <w:cnfStyle w:val="001000000000" w:firstRow="0" w:lastRow="0" w:firstColumn="1" w:lastColumn="0" w:oddVBand="0" w:evenVBand="0" w:oddHBand="0" w:evenHBand="0" w:firstRowFirstColumn="0" w:firstRowLastColumn="0" w:lastRowFirstColumn="0" w:lastRowLastColumn="0"/>
            <w:tcW w:w="5529" w:type="dxa"/>
          </w:tcPr>
          <w:p w14:paraId="368A7627" w14:textId="77777777" w:rsidR="005E614D" w:rsidRDefault="000C3A94">
            <w:r>
              <w:t>Net financial liabilities</w:t>
            </w:r>
          </w:p>
        </w:tc>
        <w:tc>
          <w:tcPr>
            <w:tcW w:w="1027" w:type="dxa"/>
          </w:tcPr>
          <w:p w14:paraId="78E373E8" w14:textId="77777777" w:rsidR="005E614D" w:rsidRDefault="000C3A94">
            <w:pPr>
              <w:cnfStyle w:val="000000000000" w:firstRow="0" w:lastRow="0" w:firstColumn="0" w:lastColumn="0" w:oddVBand="0" w:evenVBand="0" w:oddHBand="0" w:evenHBand="0" w:firstRowFirstColumn="0" w:firstRowLastColumn="0" w:lastRowFirstColumn="0" w:lastRowLastColumn="0"/>
            </w:pPr>
            <w:r>
              <w:t>202 667</w:t>
            </w:r>
          </w:p>
        </w:tc>
        <w:tc>
          <w:tcPr>
            <w:tcW w:w="1027" w:type="dxa"/>
          </w:tcPr>
          <w:p w14:paraId="48E27EE5" w14:textId="77777777" w:rsidR="005E614D" w:rsidRDefault="000C3A94">
            <w:pPr>
              <w:cnfStyle w:val="000000000000" w:firstRow="0" w:lastRow="0" w:firstColumn="0" w:lastColumn="0" w:oddVBand="0" w:evenVBand="0" w:oddHBand="0" w:evenHBand="0" w:firstRowFirstColumn="0" w:firstRowLastColumn="0" w:lastRowFirstColumn="0" w:lastRowLastColumn="0"/>
            </w:pPr>
            <w:r>
              <w:t>184 865</w:t>
            </w:r>
          </w:p>
        </w:tc>
        <w:tc>
          <w:tcPr>
            <w:tcW w:w="1027" w:type="dxa"/>
          </w:tcPr>
          <w:p w14:paraId="342AFB85" w14:textId="77777777" w:rsidR="005E614D" w:rsidRDefault="000C3A94">
            <w:pPr>
              <w:cnfStyle w:val="000000000000" w:firstRow="0" w:lastRow="0" w:firstColumn="0" w:lastColumn="0" w:oddVBand="0" w:evenVBand="0" w:oddHBand="0" w:evenHBand="0" w:firstRowFirstColumn="0" w:firstRowLastColumn="0" w:lastRowFirstColumn="0" w:lastRowLastColumn="0"/>
            </w:pPr>
            <w:r>
              <w:t>58 277</w:t>
            </w:r>
          </w:p>
        </w:tc>
        <w:tc>
          <w:tcPr>
            <w:tcW w:w="1028" w:type="dxa"/>
          </w:tcPr>
          <w:p w14:paraId="6FFFFF78" w14:textId="77777777" w:rsidR="005E614D" w:rsidRDefault="000C3A94">
            <w:pPr>
              <w:cnfStyle w:val="000000000000" w:firstRow="0" w:lastRow="0" w:firstColumn="0" w:lastColumn="0" w:oddVBand="0" w:evenVBand="0" w:oddHBand="0" w:evenHBand="0" w:firstRowFirstColumn="0" w:firstRowLastColumn="0" w:lastRowFirstColumn="0" w:lastRowLastColumn="0"/>
            </w:pPr>
            <w:r>
              <w:t>44 531</w:t>
            </w:r>
          </w:p>
        </w:tc>
      </w:tr>
      <w:tr w:rsidR="005E614D" w14:paraId="5767090F" w14:textId="77777777" w:rsidTr="004A2065">
        <w:tc>
          <w:tcPr>
            <w:cnfStyle w:val="001000000000" w:firstRow="0" w:lastRow="0" w:firstColumn="1" w:lastColumn="0" w:oddVBand="0" w:evenVBand="0" w:oddHBand="0" w:evenHBand="0" w:firstRowFirstColumn="0" w:firstRowLastColumn="0" w:lastRowFirstColumn="0" w:lastRowLastColumn="0"/>
            <w:tcW w:w="5529" w:type="dxa"/>
            <w:tcBorders>
              <w:bottom w:val="single" w:sz="12" w:space="0" w:color="auto"/>
            </w:tcBorders>
          </w:tcPr>
          <w:p w14:paraId="3EA60D38" w14:textId="77777777" w:rsidR="005E614D" w:rsidRDefault="000C3A94">
            <w:r>
              <w:t>Net debt</w:t>
            </w:r>
          </w:p>
        </w:tc>
        <w:tc>
          <w:tcPr>
            <w:tcW w:w="1027" w:type="dxa"/>
            <w:tcBorders>
              <w:bottom w:val="single" w:sz="12" w:space="0" w:color="auto"/>
            </w:tcBorders>
          </w:tcPr>
          <w:p w14:paraId="0355F5C3" w14:textId="77777777" w:rsidR="005E614D" w:rsidRDefault="000C3A94">
            <w:pPr>
              <w:cnfStyle w:val="000000000000" w:firstRow="0" w:lastRow="0" w:firstColumn="0" w:lastColumn="0" w:oddVBand="0" w:evenVBand="0" w:oddHBand="0" w:evenHBand="0" w:firstRowFirstColumn="0" w:firstRowLastColumn="0" w:lastRowFirstColumn="0" w:lastRowLastColumn="0"/>
            </w:pPr>
            <w:r>
              <w:t>150 867</w:t>
            </w:r>
          </w:p>
        </w:tc>
        <w:tc>
          <w:tcPr>
            <w:tcW w:w="1027" w:type="dxa"/>
            <w:tcBorders>
              <w:bottom w:val="single" w:sz="12" w:space="0" w:color="auto"/>
            </w:tcBorders>
          </w:tcPr>
          <w:p w14:paraId="13C1FA35" w14:textId="77777777" w:rsidR="005E614D" w:rsidRDefault="000C3A94">
            <w:pPr>
              <w:cnfStyle w:val="000000000000" w:firstRow="0" w:lastRow="0" w:firstColumn="0" w:lastColumn="0" w:oddVBand="0" w:evenVBand="0" w:oddHBand="0" w:evenHBand="0" w:firstRowFirstColumn="0" w:firstRowLastColumn="0" w:lastRowFirstColumn="0" w:lastRowLastColumn="0"/>
            </w:pPr>
            <w:r>
              <w:t>133 241</w:t>
            </w:r>
          </w:p>
        </w:tc>
        <w:tc>
          <w:tcPr>
            <w:tcW w:w="1027" w:type="dxa"/>
            <w:tcBorders>
              <w:bottom w:val="single" w:sz="12" w:space="0" w:color="auto"/>
            </w:tcBorders>
          </w:tcPr>
          <w:p w14:paraId="13A877DB" w14:textId="77777777" w:rsidR="005E614D" w:rsidRDefault="000C3A94">
            <w:pPr>
              <w:cnfStyle w:val="000000000000" w:firstRow="0" w:lastRow="0" w:firstColumn="0" w:lastColumn="0" w:oddVBand="0" w:evenVBand="0" w:oddHBand="0" w:evenHBand="0" w:firstRowFirstColumn="0" w:firstRowLastColumn="0" w:lastRowFirstColumn="0" w:lastRowLastColumn="0"/>
            </w:pPr>
            <w:r>
              <w:t>25 180</w:t>
            </w:r>
          </w:p>
        </w:tc>
        <w:tc>
          <w:tcPr>
            <w:tcW w:w="1028" w:type="dxa"/>
            <w:tcBorders>
              <w:bottom w:val="single" w:sz="12" w:space="0" w:color="auto"/>
            </w:tcBorders>
          </w:tcPr>
          <w:p w14:paraId="410AD3AA" w14:textId="77777777" w:rsidR="005E614D" w:rsidRDefault="000C3A94">
            <w:pPr>
              <w:cnfStyle w:val="000000000000" w:firstRow="0" w:lastRow="0" w:firstColumn="0" w:lastColumn="0" w:oddVBand="0" w:evenVBand="0" w:oddHBand="0" w:evenHBand="0" w:firstRowFirstColumn="0" w:firstRowLastColumn="0" w:lastRowFirstColumn="0" w:lastRowLastColumn="0"/>
            </w:pPr>
            <w:r>
              <w:t>22 902</w:t>
            </w:r>
          </w:p>
        </w:tc>
      </w:tr>
    </w:tbl>
    <w:p w14:paraId="4F04C260" w14:textId="77777777" w:rsidR="009D33A8" w:rsidRDefault="009D33A8" w:rsidP="009D33A8">
      <w:pPr>
        <w:pStyle w:val="Note"/>
      </w:pPr>
      <w:r>
        <w:t>Notes:</w:t>
      </w:r>
    </w:p>
    <w:p w14:paraId="04A1B9CA" w14:textId="77777777" w:rsidR="009D33A8" w:rsidRDefault="009D33A8" w:rsidP="009D33A8">
      <w:pPr>
        <w:pStyle w:val="Note"/>
      </w:pPr>
      <w:r>
        <w:t>(a)</w:t>
      </w:r>
      <w:r>
        <w:tab/>
        <w:t>Loans receivable from the non</w:t>
      </w:r>
      <w:r>
        <w:noBreakHyphen/>
        <w:t>financial public sector are reported at amortised cost.</w:t>
      </w:r>
    </w:p>
    <w:p w14:paraId="4B6136D9" w14:textId="77777777" w:rsidR="009D33A8" w:rsidRDefault="009D33A8" w:rsidP="009D33A8"/>
    <w:p w14:paraId="6B821313" w14:textId="77777777" w:rsidR="009D33A8" w:rsidRDefault="009D33A8" w:rsidP="009D33A8">
      <w:pPr>
        <w:keepLines w:val="0"/>
      </w:pPr>
      <w:r>
        <w:br w:type="page"/>
      </w:r>
    </w:p>
    <w:p w14:paraId="78229D7C" w14:textId="77777777" w:rsidR="009D33A8" w:rsidRDefault="009D33A8" w:rsidP="005432CB">
      <w:pPr>
        <w:pStyle w:val="TableHeading"/>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CRA Coordination/Financial Statements/SRIMS exports/SRIMS_AFR_Balance_Sheet.xlsx|Table:Disaggregated_BS|TableGroup:Investment in other sectors"/>
      </w:tblPr>
      <w:tblGrid>
        <w:gridCol w:w="1607"/>
        <w:gridCol w:w="1607"/>
        <w:gridCol w:w="1606"/>
        <w:gridCol w:w="1606"/>
        <w:gridCol w:w="1606"/>
        <w:gridCol w:w="1606"/>
      </w:tblGrid>
      <w:tr w:rsidR="005E614D" w14:paraId="611CD2D3" w14:textId="77777777" w:rsidTr="004A2065">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26D3584C" w14:textId="73BFBD60" w:rsidR="005E614D" w:rsidRDefault="000C3A94">
            <w:pPr>
              <w:keepNext/>
              <w:jc w:val="center"/>
            </w:pPr>
            <w:r>
              <w:t xml:space="preserve">Public financial </w:t>
            </w:r>
            <w:r w:rsidR="005A4691">
              <w:br/>
            </w:r>
            <w:r>
              <w:t>corporations</w:t>
            </w:r>
          </w:p>
        </w:tc>
        <w:tc>
          <w:tcPr>
            <w:tcW w:w="3212" w:type="dxa"/>
            <w:gridSpan w:val="2"/>
          </w:tcPr>
          <w:p w14:paraId="14EF18E7" w14:textId="1DD0F022" w:rsidR="005E614D" w:rsidRDefault="000C3A94">
            <w:pPr>
              <w:keepNext/>
              <w:jc w:val="center"/>
            </w:pPr>
            <w:r>
              <w:t>Inter</w:t>
            </w:r>
            <w:r>
              <w:noBreakHyphen/>
              <w:t xml:space="preserve">sector </w:t>
            </w:r>
            <w:r w:rsidR="005A4691">
              <w:br/>
            </w:r>
            <w:r>
              <w:t>eliminations</w:t>
            </w:r>
          </w:p>
        </w:tc>
        <w:tc>
          <w:tcPr>
            <w:tcW w:w="3212" w:type="dxa"/>
            <w:gridSpan w:val="2"/>
          </w:tcPr>
          <w:p w14:paraId="339B1FB9" w14:textId="77777777" w:rsidR="005E614D" w:rsidRDefault="000C3A94">
            <w:pPr>
              <w:keepNext/>
              <w:jc w:val="center"/>
            </w:pPr>
            <w:r>
              <w:t>State of Victoria</w:t>
            </w:r>
          </w:p>
        </w:tc>
      </w:tr>
      <w:tr w:rsidR="005E614D" w14:paraId="0DB964B3" w14:textId="77777777" w:rsidTr="004A2065">
        <w:trPr>
          <w:cnfStyle w:val="100000000000" w:firstRow="1" w:lastRow="0" w:firstColumn="0" w:lastColumn="0" w:oddVBand="0" w:evenVBand="0" w:oddHBand="0" w:evenHBand="0" w:firstRowFirstColumn="0" w:firstRowLastColumn="0" w:lastRowFirstColumn="0" w:lastRowLastColumn="0"/>
          <w:tblHeader/>
        </w:trPr>
        <w:tc>
          <w:tcPr>
            <w:tcW w:w="1607" w:type="dxa"/>
          </w:tcPr>
          <w:p w14:paraId="29D0C198" w14:textId="77777777" w:rsidR="005E614D" w:rsidRDefault="000C3A94">
            <w:pPr>
              <w:keepNext/>
            </w:pPr>
            <w:r>
              <w:t>2025</w:t>
            </w:r>
          </w:p>
        </w:tc>
        <w:tc>
          <w:tcPr>
            <w:tcW w:w="1607" w:type="dxa"/>
          </w:tcPr>
          <w:p w14:paraId="489FAEFF" w14:textId="77777777" w:rsidR="005E614D" w:rsidRDefault="000C3A94">
            <w:pPr>
              <w:keepNext/>
            </w:pPr>
            <w:r>
              <w:t>2024</w:t>
            </w:r>
          </w:p>
        </w:tc>
        <w:tc>
          <w:tcPr>
            <w:tcW w:w="1606" w:type="dxa"/>
          </w:tcPr>
          <w:p w14:paraId="3109511E" w14:textId="77777777" w:rsidR="005E614D" w:rsidRDefault="000C3A94">
            <w:pPr>
              <w:keepNext/>
            </w:pPr>
            <w:r>
              <w:t>2025</w:t>
            </w:r>
          </w:p>
        </w:tc>
        <w:tc>
          <w:tcPr>
            <w:tcW w:w="1606" w:type="dxa"/>
          </w:tcPr>
          <w:p w14:paraId="4D79B5A1" w14:textId="77777777" w:rsidR="005E614D" w:rsidRDefault="000C3A94">
            <w:pPr>
              <w:keepNext/>
            </w:pPr>
            <w:r>
              <w:t>2024</w:t>
            </w:r>
          </w:p>
        </w:tc>
        <w:tc>
          <w:tcPr>
            <w:tcW w:w="1606" w:type="dxa"/>
          </w:tcPr>
          <w:p w14:paraId="5139B123" w14:textId="77777777" w:rsidR="005E614D" w:rsidRDefault="000C3A94">
            <w:pPr>
              <w:keepNext/>
            </w:pPr>
            <w:r>
              <w:t>2025</w:t>
            </w:r>
          </w:p>
        </w:tc>
        <w:tc>
          <w:tcPr>
            <w:tcW w:w="1606" w:type="dxa"/>
          </w:tcPr>
          <w:p w14:paraId="2D4D68C7" w14:textId="77777777" w:rsidR="005E614D" w:rsidRDefault="000C3A94">
            <w:pPr>
              <w:keepNext/>
            </w:pPr>
            <w:r>
              <w:t>2024</w:t>
            </w:r>
          </w:p>
        </w:tc>
      </w:tr>
      <w:tr w:rsidR="005E614D" w14:paraId="51600C09" w14:textId="77777777">
        <w:tc>
          <w:tcPr>
            <w:tcW w:w="1607" w:type="dxa"/>
          </w:tcPr>
          <w:p w14:paraId="1C58E8AB" w14:textId="77777777" w:rsidR="005E614D" w:rsidRDefault="005E614D"/>
        </w:tc>
        <w:tc>
          <w:tcPr>
            <w:tcW w:w="1607" w:type="dxa"/>
          </w:tcPr>
          <w:p w14:paraId="19E2A018" w14:textId="77777777" w:rsidR="005E614D" w:rsidRDefault="005E614D"/>
        </w:tc>
        <w:tc>
          <w:tcPr>
            <w:tcW w:w="1606" w:type="dxa"/>
          </w:tcPr>
          <w:p w14:paraId="2624867F" w14:textId="77777777" w:rsidR="005E614D" w:rsidRDefault="005E614D"/>
        </w:tc>
        <w:tc>
          <w:tcPr>
            <w:tcW w:w="1606" w:type="dxa"/>
          </w:tcPr>
          <w:p w14:paraId="62487E71" w14:textId="77777777" w:rsidR="005E614D" w:rsidRDefault="005E614D"/>
        </w:tc>
        <w:tc>
          <w:tcPr>
            <w:tcW w:w="1606" w:type="dxa"/>
          </w:tcPr>
          <w:p w14:paraId="122799C2" w14:textId="77777777" w:rsidR="005E614D" w:rsidRDefault="005E614D"/>
        </w:tc>
        <w:tc>
          <w:tcPr>
            <w:tcW w:w="1606" w:type="dxa"/>
          </w:tcPr>
          <w:p w14:paraId="14425FC0" w14:textId="77777777" w:rsidR="005E614D" w:rsidRDefault="005E614D"/>
        </w:tc>
      </w:tr>
      <w:tr w:rsidR="005E614D" w14:paraId="6A914AF0" w14:textId="77777777">
        <w:tc>
          <w:tcPr>
            <w:tcW w:w="1607" w:type="dxa"/>
          </w:tcPr>
          <w:p w14:paraId="6CBA9374" w14:textId="77777777" w:rsidR="005E614D" w:rsidRDefault="005E614D"/>
        </w:tc>
        <w:tc>
          <w:tcPr>
            <w:tcW w:w="1607" w:type="dxa"/>
          </w:tcPr>
          <w:p w14:paraId="4CB7AF58" w14:textId="77777777" w:rsidR="005E614D" w:rsidRDefault="005E614D"/>
        </w:tc>
        <w:tc>
          <w:tcPr>
            <w:tcW w:w="1606" w:type="dxa"/>
          </w:tcPr>
          <w:p w14:paraId="3DCE9384" w14:textId="77777777" w:rsidR="005E614D" w:rsidRDefault="005E614D"/>
        </w:tc>
        <w:tc>
          <w:tcPr>
            <w:tcW w:w="1606" w:type="dxa"/>
          </w:tcPr>
          <w:p w14:paraId="38FE12E9" w14:textId="77777777" w:rsidR="005E614D" w:rsidRDefault="005E614D"/>
        </w:tc>
        <w:tc>
          <w:tcPr>
            <w:tcW w:w="1606" w:type="dxa"/>
          </w:tcPr>
          <w:p w14:paraId="062833F6" w14:textId="77777777" w:rsidR="005E614D" w:rsidRDefault="005E614D"/>
        </w:tc>
        <w:tc>
          <w:tcPr>
            <w:tcW w:w="1606" w:type="dxa"/>
          </w:tcPr>
          <w:p w14:paraId="4F5E2A80" w14:textId="77777777" w:rsidR="005E614D" w:rsidRDefault="005E614D"/>
        </w:tc>
      </w:tr>
      <w:tr w:rsidR="005E614D" w14:paraId="60C986ED" w14:textId="77777777">
        <w:tc>
          <w:tcPr>
            <w:tcW w:w="1607" w:type="dxa"/>
          </w:tcPr>
          <w:p w14:paraId="62F4BC3E" w14:textId="77777777" w:rsidR="005E614D" w:rsidRDefault="000C3A94">
            <w:r>
              <w:t>5 596</w:t>
            </w:r>
          </w:p>
        </w:tc>
        <w:tc>
          <w:tcPr>
            <w:tcW w:w="1607" w:type="dxa"/>
          </w:tcPr>
          <w:p w14:paraId="61E6754E" w14:textId="77777777" w:rsidR="005E614D" w:rsidRDefault="000C3A94">
            <w:r>
              <w:t>3 870</w:t>
            </w:r>
          </w:p>
        </w:tc>
        <w:tc>
          <w:tcPr>
            <w:tcW w:w="1606" w:type="dxa"/>
          </w:tcPr>
          <w:p w14:paraId="612F28EB" w14:textId="77777777" w:rsidR="005E614D" w:rsidRDefault="000C3A94">
            <w:r>
              <w:t>(1 048)</w:t>
            </w:r>
          </w:p>
        </w:tc>
        <w:tc>
          <w:tcPr>
            <w:tcW w:w="1606" w:type="dxa"/>
          </w:tcPr>
          <w:p w14:paraId="6941BBAD" w14:textId="77777777" w:rsidR="005E614D" w:rsidRDefault="000C3A94">
            <w:r>
              <w:t>(836)</w:t>
            </w:r>
          </w:p>
        </w:tc>
        <w:tc>
          <w:tcPr>
            <w:tcW w:w="1606" w:type="dxa"/>
          </w:tcPr>
          <w:p w14:paraId="19C9C2CD" w14:textId="77777777" w:rsidR="005E614D" w:rsidRDefault="000C3A94">
            <w:r>
              <w:t>20 450</w:t>
            </w:r>
          </w:p>
        </w:tc>
        <w:tc>
          <w:tcPr>
            <w:tcW w:w="1606" w:type="dxa"/>
          </w:tcPr>
          <w:p w14:paraId="6C42FBFA" w14:textId="77777777" w:rsidR="005E614D" w:rsidRDefault="000C3A94">
            <w:r>
              <w:t>19 595</w:t>
            </w:r>
          </w:p>
        </w:tc>
      </w:tr>
      <w:tr w:rsidR="005E614D" w14:paraId="5299A303" w14:textId="77777777">
        <w:tc>
          <w:tcPr>
            <w:tcW w:w="1607" w:type="dxa"/>
          </w:tcPr>
          <w:p w14:paraId="2E4A1B86" w14:textId="77777777" w:rsidR="005E614D" w:rsidRDefault="000C3A94">
            <w:r>
              <w:t>48</w:t>
            </w:r>
          </w:p>
        </w:tc>
        <w:tc>
          <w:tcPr>
            <w:tcW w:w="1607" w:type="dxa"/>
          </w:tcPr>
          <w:p w14:paraId="6C0EACF5" w14:textId="77777777" w:rsidR="005E614D" w:rsidRDefault="000C3A94">
            <w:r>
              <w:t>40</w:t>
            </w:r>
          </w:p>
        </w:tc>
        <w:tc>
          <w:tcPr>
            <w:tcW w:w="1606" w:type="dxa"/>
          </w:tcPr>
          <w:p w14:paraId="0A0E2593" w14:textId="77777777" w:rsidR="005E614D" w:rsidRDefault="000C3A94">
            <w:r>
              <w:t>(6 145)</w:t>
            </w:r>
          </w:p>
        </w:tc>
        <w:tc>
          <w:tcPr>
            <w:tcW w:w="1606" w:type="dxa"/>
          </w:tcPr>
          <w:p w14:paraId="5BC42189" w14:textId="77777777" w:rsidR="005E614D" w:rsidRDefault="000C3A94">
            <w:r>
              <w:t>(5 985)</w:t>
            </w:r>
          </w:p>
        </w:tc>
        <w:tc>
          <w:tcPr>
            <w:tcW w:w="1606" w:type="dxa"/>
          </w:tcPr>
          <w:p w14:paraId="0E477A43" w14:textId="77777777" w:rsidR="005E614D" w:rsidRDefault="000C3A94">
            <w:r>
              <w:t>412</w:t>
            </w:r>
          </w:p>
        </w:tc>
        <w:tc>
          <w:tcPr>
            <w:tcW w:w="1606" w:type="dxa"/>
          </w:tcPr>
          <w:p w14:paraId="672A089F" w14:textId="77777777" w:rsidR="005E614D" w:rsidRDefault="000C3A94">
            <w:r>
              <w:t>521</w:t>
            </w:r>
          </w:p>
        </w:tc>
      </w:tr>
      <w:tr w:rsidR="005E614D" w14:paraId="78ACC224" w14:textId="77777777">
        <w:tc>
          <w:tcPr>
            <w:tcW w:w="1607" w:type="dxa"/>
          </w:tcPr>
          <w:p w14:paraId="6B0F8F77" w14:textId="77777777" w:rsidR="005E614D" w:rsidRDefault="000C3A94">
            <w:r>
              <w:t>2 946</w:t>
            </w:r>
          </w:p>
        </w:tc>
        <w:tc>
          <w:tcPr>
            <w:tcW w:w="1607" w:type="dxa"/>
          </w:tcPr>
          <w:p w14:paraId="4EFFBF37" w14:textId="77777777" w:rsidR="005E614D" w:rsidRDefault="000C3A94">
            <w:r>
              <w:t>2 800</w:t>
            </w:r>
          </w:p>
        </w:tc>
        <w:tc>
          <w:tcPr>
            <w:tcW w:w="1606" w:type="dxa"/>
          </w:tcPr>
          <w:p w14:paraId="44578BE7" w14:textId="77777777" w:rsidR="005E614D" w:rsidRDefault="000C3A94">
            <w:r>
              <w:t>(842)</w:t>
            </w:r>
          </w:p>
        </w:tc>
        <w:tc>
          <w:tcPr>
            <w:tcW w:w="1606" w:type="dxa"/>
          </w:tcPr>
          <w:p w14:paraId="6D9EFE79" w14:textId="77777777" w:rsidR="005E614D" w:rsidRDefault="000C3A94">
            <w:r>
              <w:t>(633)</w:t>
            </w:r>
          </w:p>
        </w:tc>
        <w:tc>
          <w:tcPr>
            <w:tcW w:w="1606" w:type="dxa"/>
          </w:tcPr>
          <w:p w14:paraId="079554D5" w14:textId="77777777" w:rsidR="005E614D" w:rsidRDefault="000C3A94">
            <w:r>
              <w:t>14 427</w:t>
            </w:r>
          </w:p>
        </w:tc>
        <w:tc>
          <w:tcPr>
            <w:tcW w:w="1606" w:type="dxa"/>
          </w:tcPr>
          <w:p w14:paraId="06E42003" w14:textId="77777777" w:rsidR="005E614D" w:rsidRDefault="000C3A94">
            <w:r>
              <w:t>14 129</w:t>
            </w:r>
          </w:p>
        </w:tc>
      </w:tr>
      <w:tr w:rsidR="005E614D" w14:paraId="0EAC9EBF" w14:textId="77777777">
        <w:tc>
          <w:tcPr>
            <w:tcW w:w="1607" w:type="dxa"/>
          </w:tcPr>
          <w:p w14:paraId="16A0E1FB" w14:textId="77777777" w:rsidR="005E614D" w:rsidRDefault="000C3A94">
            <w:r>
              <w:t>71 448</w:t>
            </w:r>
          </w:p>
        </w:tc>
        <w:tc>
          <w:tcPr>
            <w:tcW w:w="1607" w:type="dxa"/>
          </w:tcPr>
          <w:p w14:paraId="350A1A40" w14:textId="77777777" w:rsidR="005E614D" w:rsidRDefault="000C3A94">
            <w:r>
              <w:t>65 389</w:t>
            </w:r>
          </w:p>
        </w:tc>
        <w:tc>
          <w:tcPr>
            <w:tcW w:w="1606" w:type="dxa"/>
          </w:tcPr>
          <w:p w14:paraId="5F9DC857" w14:textId="77777777" w:rsidR="005E614D" w:rsidRDefault="000C3A94">
            <w:r>
              <w:t>(53)</w:t>
            </w:r>
          </w:p>
        </w:tc>
        <w:tc>
          <w:tcPr>
            <w:tcW w:w="1606" w:type="dxa"/>
          </w:tcPr>
          <w:p w14:paraId="431B8932" w14:textId="77777777" w:rsidR="005E614D" w:rsidRDefault="000C3A94">
            <w:r>
              <w:t>(54)</w:t>
            </w:r>
          </w:p>
        </w:tc>
        <w:tc>
          <w:tcPr>
            <w:tcW w:w="1606" w:type="dxa"/>
          </w:tcPr>
          <w:p w14:paraId="126B29F8" w14:textId="77777777" w:rsidR="005E614D" w:rsidRDefault="000C3A94">
            <w:r>
              <w:t>90 144</w:t>
            </w:r>
          </w:p>
        </w:tc>
        <w:tc>
          <w:tcPr>
            <w:tcW w:w="1606" w:type="dxa"/>
          </w:tcPr>
          <w:p w14:paraId="3435CAAA" w14:textId="77777777" w:rsidR="005E614D" w:rsidRDefault="000C3A94">
            <w:r>
              <w:t>81 054</w:t>
            </w:r>
          </w:p>
        </w:tc>
      </w:tr>
      <w:tr w:rsidR="005E614D" w14:paraId="2B8AFE81" w14:textId="77777777">
        <w:tc>
          <w:tcPr>
            <w:tcW w:w="1607" w:type="dxa"/>
          </w:tcPr>
          <w:p w14:paraId="0F52C7B4" w14:textId="77777777" w:rsidR="005E614D" w:rsidRDefault="000C3A94">
            <w:r>
              <w:t>172 197</w:t>
            </w:r>
          </w:p>
        </w:tc>
        <w:tc>
          <w:tcPr>
            <w:tcW w:w="1607" w:type="dxa"/>
          </w:tcPr>
          <w:p w14:paraId="75C3EE59" w14:textId="77777777" w:rsidR="005E614D" w:rsidRDefault="000C3A94">
            <w:r>
              <w:t>152 442</w:t>
            </w:r>
          </w:p>
        </w:tc>
        <w:tc>
          <w:tcPr>
            <w:tcW w:w="1606" w:type="dxa"/>
          </w:tcPr>
          <w:p w14:paraId="789BC1BE" w14:textId="77777777" w:rsidR="005E614D" w:rsidRDefault="000C3A94">
            <w:r>
              <w:t>(172 197)</w:t>
            </w:r>
          </w:p>
        </w:tc>
        <w:tc>
          <w:tcPr>
            <w:tcW w:w="1606" w:type="dxa"/>
          </w:tcPr>
          <w:p w14:paraId="0A648825" w14:textId="77777777" w:rsidR="005E614D" w:rsidRDefault="000C3A94">
            <w:r>
              <w:t>(152 442)</w:t>
            </w:r>
          </w:p>
        </w:tc>
        <w:tc>
          <w:tcPr>
            <w:tcW w:w="1606" w:type="dxa"/>
          </w:tcPr>
          <w:p w14:paraId="4DC79921" w14:textId="77777777" w:rsidR="005E614D" w:rsidRDefault="000C3A94">
            <w:r>
              <w:t>..</w:t>
            </w:r>
          </w:p>
        </w:tc>
        <w:tc>
          <w:tcPr>
            <w:tcW w:w="1606" w:type="dxa"/>
          </w:tcPr>
          <w:p w14:paraId="7D4A6ED6" w14:textId="77777777" w:rsidR="005E614D" w:rsidRDefault="000C3A94">
            <w:r>
              <w:t>..</w:t>
            </w:r>
          </w:p>
        </w:tc>
      </w:tr>
      <w:tr w:rsidR="005E614D" w14:paraId="19E23443" w14:textId="77777777">
        <w:tc>
          <w:tcPr>
            <w:tcW w:w="1607" w:type="dxa"/>
          </w:tcPr>
          <w:p w14:paraId="0E5270F6" w14:textId="77777777" w:rsidR="005E614D" w:rsidRDefault="000C3A94">
            <w:r>
              <w:t>11</w:t>
            </w:r>
          </w:p>
        </w:tc>
        <w:tc>
          <w:tcPr>
            <w:tcW w:w="1607" w:type="dxa"/>
          </w:tcPr>
          <w:p w14:paraId="0BC43588" w14:textId="77777777" w:rsidR="005E614D" w:rsidRDefault="000C3A94">
            <w:r>
              <w:t>12</w:t>
            </w:r>
          </w:p>
        </w:tc>
        <w:tc>
          <w:tcPr>
            <w:tcW w:w="1606" w:type="dxa"/>
          </w:tcPr>
          <w:p w14:paraId="014663AC" w14:textId="77777777" w:rsidR="005E614D" w:rsidRDefault="000C3A94">
            <w:r>
              <w:t>..</w:t>
            </w:r>
          </w:p>
        </w:tc>
        <w:tc>
          <w:tcPr>
            <w:tcW w:w="1606" w:type="dxa"/>
          </w:tcPr>
          <w:p w14:paraId="046A78FB" w14:textId="77777777" w:rsidR="005E614D" w:rsidRDefault="000C3A94">
            <w:r>
              <w:t>..</w:t>
            </w:r>
          </w:p>
        </w:tc>
        <w:tc>
          <w:tcPr>
            <w:tcW w:w="1606" w:type="dxa"/>
          </w:tcPr>
          <w:p w14:paraId="03AFF135" w14:textId="77777777" w:rsidR="005E614D" w:rsidRDefault="000C3A94">
            <w:r>
              <w:t>1 329</w:t>
            </w:r>
          </w:p>
        </w:tc>
        <w:tc>
          <w:tcPr>
            <w:tcW w:w="1606" w:type="dxa"/>
          </w:tcPr>
          <w:p w14:paraId="0FC529D3" w14:textId="77777777" w:rsidR="005E614D" w:rsidRDefault="000C3A94">
            <w:r>
              <w:t>1 220</w:t>
            </w:r>
          </w:p>
        </w:tc>
      </w:tr>
      <w:tr w:rsidR="005E614D" w14:paraId="7936ED35" w14:textId="77777777" w:rsidTr="004A2065">
        <w:tc>
          <w:tcPr>
            <w:tcW w:w="1607" w:type="dxa"/>
            <w:tcBorders>
              <w:bottom w:val="single" w:sz="6" w:space="0" w:color="auto"/>
            </w:tcBorders>
          </w:tcPr>
          <w:p w14:paraId="15FB9D9F" w14:textId="77777777" w:rsidR="005E614D" w:rsidRDefault="000C3A94">
            <w:r>
              <w:t>..</w:t>
            </w:r>
          </w:p>
        </w:tc>
        <w:tc>
          <w:tcPr>
            <w:tcW w:w="1607" w:type="dxa"/>
            <w:tcBorders>
              <w:bottom w:val="single" w:sz="6" w:space="0" w:color="auto"/>
            </w:tcBorders>
          </w:tcPr>
          <w:p w14:paraId="70DAA7D6" w14:textId="77777777" w:rsidR="005E614D" w:rsidRDefault="000C3A94">
            <w:r>
              <w:t>..</w:t>
            </w:r>
          </w:p>
        </w:tc>
        <w:tc>
          <w:tcPr>
            <w:tcW w:w="1606" w:type="dxa"/>
            <w:tcBorders>
              <w:bottom w:val="single" w:sz="6" w:space="0" w:color="auto"/>
            </w:tcBorders>
          </w:tcPr>
          <w:p w14:paraId="0F65BD19" w14:textId="77777777" w:rsidR="005E614D" w:rsidRDefault="000C3A94">
            <w:r>
              <w:t>(96 401)</w:t>
            </w:r>
          </w:p>
        </w:tc>
        <w:tc>
          <w:tcPr>
            <w:tcW w:w="1606" w:type="dxa"/>
            <w:tcBorders>
              <w:bottom w:val="single" w:sz="6" w:space="0" w:color="auto"/>
            </w:tcBorders>
          </w:tcPr>
          <w:p w14:paraId="4D142167" w14:textId="77777777" w:rsidR="005E614D" w:rsidRDefault="000C3A94">
            <w:r>
              <w:t>(98 178)</w:t>
            </w:r>
          </w:p>
        </w:tc>
        <w:tc>
          <w:tcPr>
            <w:tcW w:w="1606" w:type="dxa"/>
            <w:tcBorders>
              <w:bottom w:val="single" w:sz="6" w:space="0" w:color="auto"/>
            </w:tcBorders>
          </w:tcPr>
          <w:p w14:paraId="18524489" w14:textId="77777777" w:rsidR="005E614D" w:rsidRDefault="000C3A94">
            <w:r>
              <w:t>..</w:t>
            </w:r>
          </w:p>
        </w:tc>
        <w:tc>
          <w:tcPr>
            <w:tcW w:w="1606" w:type="dxa"/>
            <w:tcBorders>
              <w:bottom w:val="single" w:sz="6" w:space="0" w:color="auto"/>
            </w:tcBorders>
          </w:tcPr>
          <w:p w14:paraId="271C06A0" w14:textId="77777777" w:rsidR="005E614D" w:rsidRDefault="000C3A94">
            <w:r>
              <w:t>..</w:t>
            </w:r>
          </w:p>
        </w:tc>
      </w:tr>
      <w:tr w:rsidR="005E614D" w14:paraId="5FFEB6DF" w14:textId="77777777" w:rsidTr="004A2065">
        <w:tc>
          <w:tcPr>
            <w:tcW w:w="1607" w:type="dxa"/>
            <w:tcBorders>
              <w:top w:val="single" w:sz="6" w:space="0" w:color="auto"/>
              <w:bottom w:val="single" w:sz="6" w:space="0" w:color="auto"/>
            </w:tcBorders>
          </w:tcPr>
          <w:p w14:paraId="4B36F63A" w14:textId="77777777" w:rsidR="005E614D" w:rsidRDefault="000C3A94">
            <w:r>
              <w:rPr>
                <w:b/>
              </w:rPr>
              <w:t>252 247</w:t>
            </w:r>
          </w:p>
        </w:tc>
        <w:tc>
          <w:tcPr>
            <w:tcW w:w="1607" w:type="dxa"/>
            <w:tcBorders>
              <w:top w:val="single" w:sz="6" w:space="0" w:color="auto"/>
              <w:bottom w:val="single" w:sz="6" w:space="0" w:color="auto"/>
            </w:tcBorders>
          </w:tcPr>
          <w:p w14:paraId="1690DF2C" w14:textId="77777777" w:rsidR="005E614D" w:rsidRDefault="000C3A94">
            <w:r>
              <w:rPr>
                <w:b/>
              </w:rPr>
              <w:t>224 553</w:t>
            </w:r>
          </w:p>
        </w:tc>
        <w:tc>
          <w:tcPr>
            <w:tcW w:w="1606" w:type="dxa"/>
            <w:tcBorders>
              <w:top w:val="single" w:sz="6" w:space="0" w:color="auto"/>
              <w:bottom w:val="single" w:sz="6" w:space="0" w:color="auto"/>
            </w:tcBorders>
          </w:tcPr>
          <w:p w14:paraId="4ECE5521" w14:textId="77777777" w:rsidR="005E614D" w:rsidRDefault="000C3A94">
            <w:r>
              <w:rPr>
                <w:b/>
              </w:rPr>
              <w:t>(276 686)</w:t>
            </w:r>
          </w:p>
        </w:tc>
        <w:tc>
          <w:tcPr>
            <w:tcW w:w="1606" w:type="dxa"/>
            <w:tcBorders>
              <w:top w:val="single" w:sz="6" w:space="0" w:color="auto"/>
              <w:bottom w:val="single" w:sz="6" w:space="0" w:color="auto"/>
            </w:tcBorders>
          </w:tcPr>
          <w:p w14:paraId="5CA4AB07" w14:textId="77777777" w:rsidR="005E614D" w:rsidRDefault="000C3A94">
            <w:r>
              <w:rPr>
                <w:b/>
              </w:rPr>
              <w:t>(258 128)</w:t>
            </w:r>
          </w:p>
        </w:tc>
        <w:tc>
          <w:tcPr>
            <w:tcW w:w="1606" w:type="dxa"/>
            <w:tcBorders>
              <w:top w:val="single" w:sz="6" w:space="0" w:color="auto"/>
              <w:bottom w:val="single" w:sz="6" w:space="0" w:color="auto"/>
            </w:tcBorders>
          </w:tcPr>
          <w:p w14:paraId="344215CB" w14:textId="77777777" w:rsidR="005E614D" w:rsidRDefault="000C3A94">
            <w:r>
              <w:rPr>
                <w:b/>
              </w:rPr>
              <w:t>126 762</w:t>
            </w:r>
          </w:p>
        </w:tc>
        <w:tc>
          <w:tcPr>
            <w:tcW w:w="1606" w:type="dxa"/>
            <w:tcBorders>
              <w:top w:val="single" w:sz="6" w:space="0" w:color="auto"/>
              <w:bottom w:val="single" w:sz="6" w:space="0" w:color="auto"/>
            </w:tcBorders>
          </w:tcPr>
          <w:p w14:paraId="664AD5F3" w14:textId="77777777" w:rsidR="005E614D" w:rsidRDefault="000C3A94">
            <w:r>
              <w:rPr>
                <w:b/>
              </w:rPr>
              <w:t>116 519</w:t>
            </w:r>
          </w:p>
        </w:tc>
      </w:tr>
      <w:tr w:rsidR="005E614D" w14:paraId="294B11A5" w14:textId="77777777" w:rsidTr="004A2065">
        <w:tc>
          <w:tcPr>
            <w:tcW w:w="1607" w:type="dxa"/>
            <w:tcBorders>
              <w:top w:val="single" w:sz="6" w:space="0" w:color="auto"/>
            </w:tcBorders>
          </w:tcPr>
          <w:p w14:paraId="49BA82EB" w14:textId="77777777" w:rsidR="005E614D" w:rsidRDefault="005E614D"/>
        </w:tc>
        <w:tc>
          <w:tcPr>
            <w:tcW w:w="1607" w:type="dxa"/>
            <w:tcBorders>
              <w:top w:val="single" w:sz="6" w:space="0" w:color="auto"/>
            </w:tcBorders>
          </w:tcPr>
          <w:p w14:paraId="133D5F85" w14:textId="77777777" w:rsidR="005E614D" w:rsidRDefault="005E614D"/>
        </w:tc>
        <w:tc>
          <w:tcPr>
            <w:tcW w:w="1606" w:type="dxa"/>
            <w:tcBorders>
              <w:top w:val="single" w:sz="6" w:space="0" w:color="auto"/>
            </w:tcBorders>
          </w:tcPr>
          <w:p w14:paraId="3486253E" w14:textId="77777777" w:rsidR="005E614D" w:rsidRDefault="005E614D"/>
        </w:tc>
        <w:tc>
          <w:tcPr>
            <w:tcW w:w="1606" w:type="dxa"/>
            <w:tcBorders>
              <w:top w:val="single" w:sz="6" w:space="0" w:color="auto"/>
            </w:tcBorders>
          </w:tcPr>
          <w:p w14:paraId="194F90A5" w14:textId="77777777" w:rsidR="005E614D" w:rsidRDefault="005E614D"/>
        </w:tc>
        <w:tc>
          <w:tcPr>
            <w:tcW w:w="1606" w:type="dxa"/>
            <w:tcBorders>
              <w:top w:val="single" w:sz="6" w:space="0" w:color="auto"/>
            </w:tcBorders>
          </w:tcPr>
          <w:p w14:paraId="1C6CCA9B" w14:textId="77777777" w:rsidR="005E614D" w:rsidRDefault="005E614D"/>
        </w:tc>
        <w:tc>
          <w:tcPr>
            <w:tcW w:w="1606" w:type="dxa"/>
            <w:tcBorders>
              <w:top w:val="single" w:sz="6" w:space="0" w:color="auto"/>
            </w:tcBorders>
          </w:tcPr>
          <w:p w14:paraId="14A56CC9" w14:textId="77777777" w:rsidR="005E614D" w:rsidRDefault="005E614D"/>
        </w:tc>
      </w:tr>
      <w:tr w:rsidR="005E614D" w14:paraId="4DA3ED98" w14:textId="77777777">
        <w:tc>
          <w:tcPr>
            <w:tcW w:w="1607" w:type="dxa"/>
          </w:tcPr>
          <w:p w14:paraId="3FF0AA61" w14:textId="339C33DE" w:rsidR="005E614D" w:rsidRDefault="00124317">
            <w:r>
              <w:t>..</w:t>
            </w:r>
          </w:p>
        </w:tc>
        <w:tc>
          <w:tcPr>
            <w:tcW w:w="1607" w:type="dxa"/>
          </w:tcPr>
          <w:p w14:paraId="0EC51100" w14:textId="33C2AA92" w:rsidR="005E614D" w:rsidRDefault="00124317">
            <w:r>
              <w:t>..</w:t>
            </w:r>
          </w:p>
        </w:tc>
        <w:tc>
          <w:tcPr>
            <w:tcW w:w="1606" w:type="dxa"/>
          </w:tcPr>
          <w:p w14:paraId="3929E499" w14:textId="4F6B594A" w:rsidR="005E614D" w:rsidRDefault="00124317">
            <w:r>
              <w:t>..</w:t>
            </w:r>
          </w:p>
        </w:tc>
        <w:tc>
          <w:tcPr>
            <w:tcW w:w="1606" w:type="dxa"/>
          </w:tcPr>
          <w:p w14:paraId="173392E2" w14:textId="04AF0DEA" w:rsidR="005E614D" w:rsidRDefault="00124317">
            <w:r>
              <w:t>..</w:t>
            </w:r>
          </w:p>
        </w:tc>
        <w:tc>
          <w:tcPr>
            <w:tcW w:w="1606" w:type="dxa"/>
          </w:tcPr>
          <w:p w14:paraId="30969EA7" w14:textId="77777777" w:rsidR="005E614D" w:rsidRDefault="000C3A94">
            <w:r>
              <w:t>1 440</w:t>
            </w:r>
          </w:p>
        </w:tc>
        <w:tc>
          <w:tcPr>
            <w:tcW w:w="1606" w:type="dxa"/>
          </w:tcPr>
          <w:p w14:paraId="1D512923" w14:textId="77777777" w:rsidR="005E614D" w:rsidRDefault="000C3A94">
            <w:r>
              <w:t>1 748</w:t>
            </w:r>
          </w:p>
        </w:tc>
      </w:tr>
      <w:tr w:rsidR="005E614D" w14:paraId="6497EB6E" w14:textId="77777777">
        <w:tc>
          <w:tcPr>
            <w:tcW w:w="1607" w:type="dxa"/>
          </w:tcPr>
          <w:p w14:paraId="24DEBDCE" w14:textId="1559138B" w:rsidR="005E614D" w:rsidRDefault="00124317">
            <w:r>
              <w:t>..</w:t>
            </w:r>
          </w:p>
        </w:tc>
        <w:tc>
          <w:tcPr>
            <w:tcW w:w="1607" w:type="dxa"/>
          </w:tcPr>
          <w:p w14:paraId="10245CA8" w14:textId="67C4CF17" w:rsidR="005E614D" w:rsidRDefault="00124317">
            <w:r>
              <w:t>..</w:t>
            </w:r>
          </w:p>
        </w:tc>
        <w:tc>
          <w:tcPr>
            <w:tcW w:w="1606" w:type="dxa"/>
          </w:tcPr>
          <w:p w14:paraId="5E03642F" w14:textId="5FFB972B" w:rsidR="005E614D" w:rsidRDefault="00124317">
            <w:r>
              <w:t>..</w:t>
            </w:r>
          </w:p>
        </w:tc>
        <w:tc>
          <w:tcPr>
            <w:tcW w:w="1606" w:type="dxa"/>
          </w:tcPr>
          <w:p w14:paraId="43274008" w14:textId="31D4F61D" w:rsidR="005E614D" w:rsidRDefault="00124317">
            <w:r>
              <w:t>..</w:t>
            </w:r>
          </w:p>
        </w:tc>
        <w:tc>
          <w:tcPr>
            <w:tcW w:w="1606" w:type="dxa"/>
          </w:tcPr>
          <w:p w14:paraId="53D04E65" w14:textId="77777777" w:rsidR="005E614D" w:rsidRDefault="000C3A94">
            <w:r>
              <w:t>170</w:t>
            </w:r>
          </w:p>
        </w:tc>
        <w:tc>
          <w:tcPr>
            <w:tcW w:w="1606" w:type="dxa"/>
          </w:tcPr>
          <w:p w14:paraId="795C4A36" w14:textId="77777777" w:rsidR="005E614D" w:rsidRDefault="000C3A94">
            <w:r>
              <w:t>245</w:t>
            </w:r>
          </w:p>
        </w:tc>
      </w:tr>
      <w:tr w:rsidR="005E614D" w14:paraId="3AD288B4" w14:textId="77777777">
        <w:tc>
          <w:tcPr>
            <w:tcW w:w="1607" w:type="dxa"/>
          </w:tcPr>
          <w:p w14:paraId="332FD7DE" w14:textId="77777777" w:rsidR="005E614D" w:rsidRDefault="000C3A94">
            <w:r>
              <w:t>302</w:t>
            </w:r>
          </w:p>
        </w:tc>
        <w:tc>
          <w:tcPr>
            <w:tcW w:w="1607" w:type="dxa"/>
          </w:tcPr>
          <w:p w14:paraId="4D79319F" w14:textId="77777777" w:rsidR="005E614D" w:rsidRDefault="000C3A94">
            <w:r>
              <w:t>324</w:t>
            </w:r>
          </w:p>
        </w:tc>
        <w:tc>
          <w:tcPr>
            <w:tcW w:w="1606" w:type="dxa"/>
          </w:tcPr>
          <w:p w14:paraId="3D716FA9" w14:textId="77777777" w:rsidR="005E614D" w:rsidRDefault="000C3A94">
            <w:r>
              <w:t>82 019</w:t>
            </w:r>
          </w:p>
        </w:tc>
        <w:tc>
          <w:tcPr>
            <w:tcW w:w="1606" w:type="dxa"/>
          </w:tcPr>
          <w:p w14:paraId="43D58A80" w14:textId="77777777" w:rsidR="005E614D" w:rsidRDefault="000C3A94">
            <w:r>
              <w:t>43 705</w:t>
            </w:r>
          </w:p>
        </w:tc>
        <w:tc>
          <w:tcPr>
            <w:tcW w:w="1606" w:type="dxa"/>
          </w:tcPr>
          <w:p w14:paraId="722F1DC0" w14:textId="77777777" w:rsidR="005E614D" w:rsidRDefault="000C3A94">
            <w:r>
              <w:t>501 720</w:t>
            </w:r>
          </w:p>
        </w:tc>
        <w:tc>
          <w:tcPr>
            <w:tcW w:w="1606" w:type="dxa"/>
          </w:tcPr>
          <w:p w14:paraId="14953302" w14:textId="77777777" w:rsidR="005E614D" w:rsidRDefault="000C3A94">
            <w:r>
              <w:t>436 678</w:t>
            </w:r>
          </w:p>
        </w:tc>
      </w:tr>
      <w:tr w:rsidR="005E614D" w14:paraId="7027D322" w14:textId="77777777" w:rsidTr="004A2065">
        <w:tc>
          <w:tcPr>
            <w:tcW w:w="1607" w:type="dxa"/>
            <w:tcBorders>
              <w:bottom w:val="single" w:sz="6" w:space="0" w:color="auto"/>
            </w:tcBorders>
          </w:tcPr>
          <w:p w14:paraId="39D324FA" w14:textId="77777777" w:rsidR="005E614D" w:rsidRDefault="000C3A94">
            <w:r>
              <w:t>2 970</w:t>
            </w:r>
          </w:p>
        </w:tc>
        <w:tc>
          <w:tcPr>
            <w:tcW w:w="1607" w:type="dxa"/>
            <w:tcBorders>
              <w:bottom w:val="single" w:sz="6" w:space="0" w:color="auto"/>
            </w:tcBorders>
          </w:tcPr>
          <w:p w14:paraId="743E5E83" w14:textId="77777777" w:rsidR="005E614D" w:rsidRDefault="000C3A94">
            <w:r>
              <w:t>3 286</w:t>
            </w:r>
          </w:p>
        </w:tc>
        <w:tc>
          <w:tcPr>
            <w:tcW w:w="1606" w:type="dxa"/>
            <w:tcBorders>
              <w:bottom w:val="single" w:sz="6" w:space="0" w:color="auto"/>
            </w:tcBorders>
          </w:tcPr>
          <w:p w14:paraId="17BCC3AD" w14:textId="77777777" w:rsidR="005E614D" w:rsidRDefault="000C3A94">
            <w:r>
              <w:t>(5 275)</w:t>
            </w:r>
          </w:p>
        </w:tc>
        <w:tc>
          <w:tcPr>
            <w:tcW w:w="1606" w:type="dxa"/>
            <w:tcBorders>
              <w:bottom w:val="single" w:sz="6" w:space="0" w:color="auto"/>
            </w:tcBorders>
          </w:tcPr>
          <w:p w14:paraId="3FAB6F88" w14:textId="77777777" w:rsidR="005E614D" w:rsidRDefault="000C3A94">
            <w:r>
              <w:t>(5 260)</w:t>
            </w:r>
          </w:p>
        </w:tc>
        <w:tc>
          <w:tcPr>
            <w:tcW w:w="1606" w:type="dxa"/>
            <w:tcBorders>
              <w:bottom w:val="single" w:sz="6" w:space="0" w:color="auto"/>
            </w:tcBorders>
          </w:tcPr>
          <w:p w14:paraId="2EE28A47" w14:textId="77777777" w:rsidR="005E614D" w:rsidRDefault="000C3A94">
            <w:r>
              <w:t>8 015</w:t>
            </w:r>
          </w:p>
        </w:tc>
        <w:tc>
          <w:tcPr>
            <w:tcW w:w="1606" w:type="dxa"/>
            <w:tcBorders>
              <w:bottom w:val="single" w:sz="6" w:space="0" w:color="auto"/>
            </w:tcBorders>
          </w:tcPr>
          <w:p w14:paraId="43DF7F6A" w14:textId="77777777" w:rsidR="005E614D" w:rsidRDefault="000C3A94">
            <w:r>
              <w:t>7 505</w:t>
            </w:r>
          </w:p>
        </w:tc>
      </w:tr>
      <w:tr w:rsidR="005E614D" w14:paraId="4CA5BF8D" w14:textId="77777777" w:rsidTr="004A2065">
        <w:tc>
          <w:tcPr>
            <w:tcW w:w="1607" w:type="dxa"/>
            <w:tcBorders>
              <w:top w:val="single" w:sz="6" w:space="0" w:color="auto"/>
              <w:bottom w:val="single" w:sz="6" w:space="0" w:color="auto"/>
            </w:tcBorders>
          </w:tcPr>
          <w:p w14:paraId="42DBA016" w14:textId="77777777" w:rsidR="005E614D" w:rsidRDefault="000C3A94">
            <w:r>
              <w:rPr>
                <w:b/>
              </w:rPr>
              <w:t>3 272</w:t>
            </w:r>
          </w:p>
        </w:tc>
        <w:tc>
          <w:tcPr>
            <w:tcW w:w="1607" w:type="dxa"/>
            <w:tcBorders>
              <w:top w:val="single" w:sz="6" w:space="0" w:color="auto"/>
              <w:bottom w:val="single" w:sz="6" w:space="0" w:color="auto"/>
            </w:tcBorders>
          </w:tcPr>
          <w:p w14:paraId="7E9932A5" w14:textId="77777777" w:rsidR="005E614D" w:rsidRDefault="000C3A94">
            <w:r>
              <w:rPr>
                <w:b/>
              </w:rPr>
              <w:t>3 610</w:t>
            </w:r>
          </w:p>
        </w:tc>
        <w:tc>
          <w:tcPr>
            <w:tcW w:w="1606" w:type="dxa"/>
            <w:tcBorders>
              <w:top w:val="single" w:sz="6" w:space="0" w:color="auto"/>
              <w:bottom w:val="single" w:sz="6" w:space="0" w:color="auto"/>
            </w:tcBorders>
          </w:tcPr>
          <w:p w14:paraId="5638EF28" w14:textId="77777777" w:rsidR="005E614D" w:rsidRDefault="000C3A94">
            <w:r>
              <w:rPr>
                <w:b/>
              </w:rPr>
              <w:t>76 743</w:t>
            </w:r>
          </w:p>
        </w:tc>
        <w:tc>
          <w:tcPr>
            <w:tcW w:w="1606" w:type="dxa"/>
            <w:tcBorders>
              <w:top w:val="single" w:sz="6" w:space="0" w:color="auto"/>
              <w:bottom w:val="single" w:sz="6" w:space="0" w:color="auto"/>
            </w:tcBorders>
          </w:tcPr>
          <w:p w14:paraId="613BBE40" w14:textId="77777777" w:rsidR="005E614D" w:rsidRDefault="000C3A94">
            <w:r>
              <w:rPr>
                <w:b/>
              </w:rPr>
              <w:t>38 445</w:t>
            </w:r>
          </w:p>
        </w:tc>
        <w:tc>
          <w:tcPr>
            <w:tcW w:w="1606" w:type="dxa"/>
            <w:tcBorders>
              <w:top w:val="single" w:sz="6" w:space="0" w:color="auto"/>
              <w:bottom w:val="single" w:sz="6" w:space="0" w:color="auto"/>
            </w:tcBorders>
          </w:tcPr>
          <w:p w14:paraId="4BFE8C98" w14:textId="77777777" w:rsidR="005E614D" w:rsidRDefault="000C3A94">
            <w:r>
              <w:rPr>
                <w:b/>
              </w:rPr>
              <w:t>511 345</w:t>
            </w:r>
          </w:p>
        </w:tc>
        <w:tc>
          <w:tcPr>
            <w:tcW w:w="1606" w:type="dxa"/>
            <w:tcBorders>
              <w:top w:val="single" w:sz="6" w:space="0" w:color="auto"/>
              <w:bottom w:val="single" w:sz="6" w:space="0" w:color="auto"/>
            </w:tcBorders>
          </w:tcPr>
          <w:p w14:paraId="7F6479E8" w14:textId="77777777" w:rsidR="005E614D" w:rsidRDefault="000C3A94">
            <w:r>
              <w:rPr>
                <w:b/>
              </w:rPr>
              <w:t>446 177</w:t>
            </w:r>
          </w:p>
        </w:tc>
      </w:tr>
      <w:tr w:rsidR="005E614D" w14:paraId="21BB5F80" w14:textId="77777777" w:rsidTr="004A2065">
        <w:tc>
          <w:tcPr>
            <w:tcW w:w="1607" w:type="dxa"/>
            <w:tcBorders>
              <w:top w:val="single" w:sz="6" w:space="0" w:color="auto"/>
            </w:tcBorders>
          </w:tcPr>
          <w:p w14:paraId="0DB2713F" w14:textId="77777777" w:rsidR="005E614D" w:rsidRDefault="000C3A94">
            <w:r>
              <w:rPr>
                <w:b/>
              </w:rPr>
              <w:t>255 518</w:t>
            </w:r>
          </w:p>
        </w:tc>
        <w:tc>
          <w:tcPr>
            <w:tcW w:w="1607" w:type="dxa"/>
            <w:tcBorders>
              <w:top w:val="single" w:sz="6" w:space="0" w:color="auto"/>
            </w:tcBorders>
          </w:tcPr>
          <w:p w14:paraId="11AF3C61" w14:textId="77777777" w:rsidR="005E614D" w:rsidRDefault="000C3A94">
            <w:r>
              <w:rPr>
                <w:b/>
              </w:rPr>
              <w:t>228 164</w:t>
            </w:r>
          </w:p>
        </w:tc>
        <w:tc>
          <w:tcPr>
            <w:tcW w:w="1606" w:type="dxa"/>
            <w:tcBorders>
              <w:top w:val="single" w:sz="6" w:space="0" w:color="auto"/>
            </w:tcBorders>
          </w:tcPr>
          <w:p w14:paraId="0AAC1B73" w14:textId="77777777" w:rsidR="005E614D" w:rsidRDefault="000C3A94">
            <w:r>
              <w:rPr>
                <w:b/>
              </w:rPr>
              <w:t>(199 942)</w:t>
            </w:r>
          </w:p>
        </w:tc>
        <w:tc>
          <w:tcPr>
            <w:tcW w:w="1606" w:type="dxa"/>
            <w:tcBorders>
              <w:top w:val="single" w:sz="6" w:space="0" w:color="auto"/>
            </w:tcBorders>
          </w:tcPr>
          <w:p w14:paraId="07A5C5D3" w14:textId="77777777" w:rsidR="005E614D" w:rsidRDefault="000C3A94">
            <w:r>
              <w:rPr>
                <w:b/>
              </w:rPr>
              <w:t>(219 684)</w:t>
            </w:r>
          </w:p>
        </w:tc>
        <w:tc>
          <w:tcPr>
            <w:tcW w:w="1606" w:type="dxa"/>
            <w:tcBorders>
              <w:top w:val="single" w:sz="6" w:space="0" w:color="auto"/>
            </w:tcBorders>
          </w:tcPr>
          <w:p w14:paraId="7DA2E838" w14:textId="77777777" w:rsidR="005E614D" w:rsidRDefault="000C3A94">
            <w:r>
              <w:rPr>
                <w:b/>
              </w:rPr>
              <w:t>638 107</w:t>
            </w:r>
          </w:p>
        </w:tc>
        <w:tc>
          <w:tcPr>
            <w:tcW w:w="1606" w:type="dxa"/>
            <w:tcBorders>
              <w:top w:val="single" w:sz="6" w:space="0" w:color="auto"/>
            </w:tcBorders>
          </w:tcPr>
          <w:p w14:paraId="6DB3B1DD" w14:textId="77777777" w:rsidR="005E614D" w:rsidRDefault="000C3A94">
            <w:r>
              <w:rPr>
                <w:b/>
              </w:rPr>
              <w:t>562 697</w:t>
            </w:r>
          </w:p>
        </w:tc>
      </w:tr>
      <w:tr w:rsidR="005E614D" w14:paraId="49443E1E" w14:textId="77777777">
        <w:tc>
          <w:tcPr>
            <w:tcW w:w="1607" w:type="dxa"/>
          </w:tcPr>
          <w:p w14:paraId="2C4B80DA" w14:textId="43D1E1D1" w:rsidR="005E614D" w:rsidRDefault="005E614D"/>
        </w:tc>
        <w:tc>
          <w:tcPr>
            <w:tcW w:w="1607" w:type="dxa"/>
          </w:tcPr>
          <w:p w14:paraId="679AEC61" w14:textId="1F1355DE" w:rsidR="005E614D" w:rsidRDefault="005E614D"/>
        </w:tc>
        <w:tc>
          <w:tcPr>
            <w:tcW w:w="1606" w:type="dxa"/>
          </w:tcPr>
          <w:p w14:paraId="3D6B467D" w14:textId="4E68A1C8" w:rsidR="005E614D" w:rsidRDefault="005E614D"/>
        </w:tc>
        <w:tc>
          <w:tcPr>
            <w:tcW w:w="1606" w:type="dxa"/>
          </w:tcPr>
          <w:p w14:paraId="577C0FE9" w14:textId="54760347" w:rsidR="005E614D" w:rsidRDefault="005E614D"/>
        </w:tc>
        <w:tc>
          <w:tcPr>
            <w:tcW w:w="1606" w:type="dxa"/>
          </w:tcPr>
          <w:p w14:paraId="4D7B4A11" w14:textId="09F699C6" w:rsidR="005E614D" w:rsidRDefault="005E614D"/>
        </w:tc>
        <w:tc>
          <w:tcPr>
            <w:tcW w:w="1606" w:type="dxa"/>
          </w:tcPr>
          <w:p w14:paraId="0DD541A6" w14:textId="07740BD5" w:rsidR="005E614D" w:rsidRDefault="005E614D"/>
        </w:tc>
      </w:tr>
      <w:tr w:rsidR="005E614D" w14:paraId="047C2221" w14:textId="77777777">
        <w:tc>
          <w:tcPr>
            <w:tcW w:w="1607" w:type="dxa"/>
          </w:tcPr>
          <w:p w14:paraId="5A0FE34F" w14:textId="77777777" w:rsidR="005E614D" w:rsidRDefault="000C3A94">
            <w:r>
              <w:t>271</w:t>
            </w:r>
          </w:p>
        </w:tc>
        <w:tc>
          <w:tcPr>
            <w:tcW w:w="1607" w:type="dxa"/>
          </w:tcPr>
          <w:p w14:paraId="2E902272" w14:textId="77777777" w:rsidR="005E614D" w:rsidRDefault="000C3A94">
            <w:r>
              <w:t>216</w:t>
            </w:r>
          </w:p>
        </w:tc>
        <w:tc>
          <w:tcPr>
            <w:tcW w:w="1606" w:type="dxa"/>
          </w:tcPr>
          <w:p w14:paraId="6A863399" w14:textId="77777777" w:rsidR="005E614D" w:rsidRDefault="000C3A94">
            <w:r>
              <w:t>(2 672)</w:t>
            </w:r>
          </w:p>
        </w:tc>
        <w:tc>
          <w:tcPr>
            <w:tcW w:w="1606" w:type="dxa"/>
          </w:tcPr>
          <w:p w14:paraId="397659A9" w14:textId="77777777" w:rsidR="005E614D" w:rsidRDefault="000C3A94">
            <w:r>
              <w:t>(2 537)</w:t>
            </w:r>
          </w:p>
        </w:tc>
        <w:tc>
          <w:tcPr>
            <w:tcW w:w="1606" w:type="dxa"/>
          </w:tcPr>
          <w:p w14:paraId="0C5A8383" w14:textId="77777777" w:rsidR="005E614D" w:rsidRDefault="000C3A94">
            <w:r>
              <w:t>2 049</w:t>
            </w:r>
          </w:p>
        </w:tc>
        <w:tc>
          <w:tcPr>
            <w:tcW w:w="1606" w:type="dxa"/>
          </w:tcPr>
          <w:p w14:paraId="0773E746" w14:textId="77777777" w:rsidR="005E614D" w:rsidRDefault="000C3A94">
            <w:r>
              <w:t>1 938</w:t>
            </w:r>
          </w:p>
        </w:tc>
      </w:tr>
      <w:tr w:rsidR="005E614D" w14:paraId="76D0200E" w14:textId="77777777">
        <w:tc>
          <w:tcPr>
            <w:tcW w:w="1607" w:type="dxa"/>
          </w:tcPr>
          <w:p w14:paraId="2935FA39" w14:textId="77777777" w:rsidR="005E614D" w:rsidRDefault="000C3A94">
            <w:r>
              <w:t>1 770</w:t>
            </w:r>
          </w:p>
        </w:tc>
        <w:tc>
          <w:tcPr>
            <w:tcW w:w="1607" w:type="dxa"/>
          </w:tcPr>
          <w:p w14:paraId="16CD12F5" w14:textId="77777777" w:rsidR="005E614D" w:rsidRDefault="000C3A94">
            <w:r>
              <w:t>1 544</w:t>
            </w:r>
          </w:p>
        </w:tc>
        <w:tc>
          <w:tcPr>
            <w:tcW w:w="1606" w:type="dxa"/>
          </w:tcPr>
          <w:p w14:paraId="545D07F6" w14:textId="77777777" w:rsidR="005E614D" w:rsidRDefault="000C3A94">
            <w:r>
              <w:t>(889)</w:t>
            </w:r>
          </w:p>
        </w:tc>
        <w:tc>
          <w:tcPr>
            <w:tcW w:w="1606" w:type="dxa"/>
          </w:tcPr>
          <w:p w14:paraId="100742BC" w14:textId="77777777" w:rsidR="005E614D" w:rsidRDefault="000C3A94">
            <w:r>
              <w:t>(651)</w:t>
            </w:r>
          </w:p>
        </w:tc>
        <w:tc>
          <w:tcPr>
            <w:tcW w:w="1606" w:type="dxa"/>
          </w:tcPr>
          <w:p w14:paraId="0197DC06" w14:textId="77777777" w:rsidR="005E614D" w:rsidRDefault="000C3A94">
            <w:r>
              <w:t>9 528</w:t>
            </w:r>
          </w:p>
        </w:tc>
        <w:tc>
          <w:tcPr>
            <w:tcW w:w="1606" w:type="dxa"/>
          </w:tcPr>
          <w:p w14:paraId="39E08EB9" w14:textId="77777777" w:rsidR="005E614D" w:rsidRDefault="000C3A94">
            <w:r>
              <w:t>10 491</w:t>
            </w:r>
          </w:p>
        </w:tc>
      </w:tr>
      <w:tr w:rsidR="005E614D" w14:paraId="76C0AB4D" w14:textId="77777777">
        <w:tc>
          <w:tcPr>
            <w:tcW w:w="1607" w:type="dxa"/>
          </w:tcPr>
          <w:p w14:paraId="296A9E04" w14:textId="77777777" w:rsidR="005E614D" w:rsidRDefault="000C3A94">
            <w:r>
              <w:t>188 177</w:t>
            </w:r>
          </w:p>
        </w:tc>
        <w:tc>
          <w:tcPr>
            <w:tcW w:w="1607" w:type="dxa"/>
          </w:tcPr>
          <w:p w14:paraId="7A3CCCB3" w14:textId="77777777" w:rsidR="005E614D" w:rsidRDefault="000C3A94">
            <w:r>
              <w:t>160 729</w:t>
            </w:r>
          </w:p>
        </w:tc>
        <w:tc>
          <w:tcPr>
            <w:tcW w:w="1606" w:type="dxa"/>
          </w:tcPr>
          <w:p w14:paraId="0985F9A6" w14:textId="77777777" w:rsidR="005E614D" w:rsidRDefault="000C3A94">
            <w:r>
              <w:t>(177 525)</w:t>
            </w:r>
          </w:p>
        </w:tc>
        <w:tc>
          <w:tcPr>
            <w:tcW w:w="1606" w:type="dxa"/>
          </w:tcPr>
          <w:p w14:paraId="73C70A47" w14:textId="77777777" w:rsidR="005E614D" w:rsidRDefault="000C3A94">
            <w:r>
              <w:t>(157 647)</w:t>
            </w:r>
          </w:p>
        </w:tc>
        <w:tc>
          <w:tcPr>
            <w:tcW w:w="1606" w:type="dxa"/>
          </w:tcPr>
          <w:p w14:paraId="35E22FBE" w14:textId="77777777" w:rsidR="005E614D" w:rsidRDefault="000C3A94">
            <w:r>
              <w:t>223 408</w:t>
            </w:r>
          </w:p>
        </w:tc>
        <w:tc>
          <w:tcPr>
            <w:tcW w:w="1606" w:type="dxa"/>
          </w:tcPr>
          <w:p w14:paraId="414E5FDE" w14:textId="77777777" w:rsidR="005E614D" w:rsidRDefault="000C3A94">
            <w:r>
              <w:t>193 712</w:t>
            </w:r>
          </w:p>
        </w:tc>
      </w:tr>
      <w:tr w:rsidR="005E614D" w14:paraId="7E7EBF7D" w14:textId="77777777">
        <w:tc>
          <w:tcPr>
            <w:tcW w:w="1607" w:type="dxa"/>
          </w:tcPr>
          <w:p w14:paraId="58789924" w14:textId="77777777" w:rsidR="005E614D" w:rsidRDefault="000C3A94">
            <w:r>
              <w:t>154</w:t>
            </w:r>
          </w:p>
        </w:tc>
        <w:tc>
          <w:tcPr>
            <w:tcW w:w="1607" w:type="dxa"/>
          </w:tcPr>
          <w:p w14:paraId="2597D0C6" w14:textId="77777777" w:rsidR="005E614D" w:rsidRDefault="000C3A94">
            <w:r>
              <w:t>136</w:t>
            </w:r>
          </w:p>
        </w:tc>
        <w:tc>
          <w:tcPr>
            <w:tcW w:w="1606" w:type="dxa"/>
          </w:tcPr>
          <w:p w14:paraId="4C30F579" w14:textId="235598A6" w:rsidR="005E614D" w:rsidRDefault="00124317">
            <w:r>
              <w:t>..</w:t>
            </w:r>
          </w:p>
        </w:tc>
        <w:tc>
          <w:tcPr>
            <w:tcW w:w="1606" w:type="dxa"/>
          </w:tcPr>
          <w:p w14:paraId="0D460FFB" w14:textId="6576ADA7" w:rsidR="005E614D" w:rsidRDefault="00124317">
            <w:r>
              <w:t>..</w:t>
            </w:r>
          </w:p>
        </w:tc>
        <w:tc>
          <w:tcPr>
            <w:tcW w:w="1606" w:type="dxa"/>
          </w:tcPr>
          <w:p w14:paraId="53DFCEAC" w14:textId="77777777" w:rsidR="005E614D" w:rsidRDefault="000C3A94">
            <w:r>
              <w:t>12 859</w:t>
            </w:r>
          </w:p>
        </w:tc>
        <w:tc>
          <w:tcPr>
            <w:tcW w:w="1606" w:type="dxa"/>
          </w:tcPr>
          <w:p w14:paraId="4C08890E" w14:textId="77777777" w:rsidR="005E614D" w:rsidRDefault="000C3A94">
            <w:r>
              <w:t>11 857</w:t>
            </w:r>
          </w:p>
        </w:tc>
      </w:tr>
      <w:tr w:rsidR="005E614D" w14:paraId="262CE2FD" w14:textId="77777777">
        <w:tc>
          <w:tcPr>
            <w:tcW w:w="1607" w:type="dxa"/>
          </w:tcPr>
          <w:p w14:paraId="5F8523B5" w14:textId="77DBAAA3" w:rsidR="005E614D" w:rsidRDefault="00124317">
            <w:r>
              <w:t>..</w:t>
            </w:r>
          </w:p>
        </w:tc>
        <w:tc>
          <w:tcPr>
            <w:tcW w:w="1607" w:type="dxa"/>
          </w:tcPr>
          <w:p w14:paraId="11B7B5FE" w14:textId="0F18741F" w:rsidR="005E614D" w:rsidRDefault="00124317">
            <w:r>
              <w:t>..</w:t>
            </w:r>
          </w:p>
        </w:tc>
        <w:tc>
          <w:tcPr>
            <w:tcW w:w="1606" w:type="dxa"/>
          </w:tcPr>
          <w:p w14:paraId="4FCD7F94" w14:textId="4DF46B37" w:rsidR="005E614D" w:rsidRDefault="00124317">
            <w:r>
              <w:t>..</w:t>
            </w:r>
          </w:p>
        </w:tc>
        <w:tc>
          <w:tcPr>
            <w:tcW w:w="1606" w:type="dxa"/>
          </w:tcPr>
          <w:p w14:paraId="19A43459" w14:textId="720981E5" w:rsidR="005E614D" w:rsidRDefault="00124317">
            <w:r>
              <w:t>..</w:t>
            </w:r>
          </w:p>
        </w:tc>
        <w:tc>
          <w:tcPr>
            <w:tcW w:w="1606" w:type="dxa"/>
          </w:tcPr>
          <w:p w14:paraId="4B78FD2B" w14:textId="77777777" w:rsidR="005E614D" w:rsidRDefault="000C3A94">
            <w:r>
              <w:t>18 284</w:t>
            </w:r>
          </w:p>
        </w:tc>
        <w:tc>
          <w:tcPr>
            <w:tcW w:w="1606" w:type="dxa"/>
          </w:tcPr>
          <w:p w14:paraId="7B95355B" w14:textId="77777777" w:rsidR="005E614D" w:rsidRDefault="000C3A94">
            <w:r>
              <w:t>18 226</w:t>
            </w:r>
          </w:p>
        </w:tc>
      </w:tr>
      <w:tr w:rsidR="005E614D" w14:paraId="2CAE9885" w14:textId="77777777">
        <w:tc>
          <w:tcPr>
            <w:tcW w:w="1607" w:type="dxa"/>
          </w:tcPr>
          <w:p w14:paraId="230CD25D" w14:textId="77777777" w:rsidR="005E614D" w:rsidRDefault="000C3A94">
            <w:r>
              <w:t>53 951</w:t>
            </w:r>
          </w:p>
        </w:tc>
        <w:tc>
          <w:tcPr>
            <w:tcW w:w="1607" w:type="dxa"/>
          </w:tcPr>
          <w:p w14:paraId="3DEEF414" w14:textId="77777777" w:rsidR="005E614D" w:rsidRDefault="000C3A94">
            <w:r>
              <w:t>50 362</w:t>
            </w:r>
          </w:p>
        </w:tc>
        <w:tc>
          <w:tcPr>
            <w:tcW w:w="1606" w:type="dxa"/>
          </w:tcPr>
          <w:p w14:paraId="1316893F" w14:textId="77777777" w:rsidR="005E614D" w:rsidRDefault="000C3A94">
            <w:r>
              <w:t>(23 558)</w:t>
            </w:r>
          </w:p>
        </w:tc>
        <w:tc>
          <w:tcPr>
            <w:tcW w:w="1606" w:type="dxa"/>
          </w:tcPr>
          <w:p w14:paraId="629BF187" w14:textId="77777777" w:rsidR="005E614D" w:rsidRDefault="000C3A94">
            <w:r>
              <w:t>(11 899)</w:t>
            </w:r>
          </w:p>
        </w:tc>
        <w:tc>
          <w:tcPr>
            <w:tcW w:w="1606" w:type="dxa"/>
          </w:tcPr>
          <w:p w14:paraId="138DB85D" w14:textId="77777777" w:rsidR="005E614D" w:rsidRDefault="000C3A94">
            <w:r>
              <w:t>57 849</w:t>
            </w:r>
          </w:p>
        </w:tc>
        <w:tc>
          <w:tcPr>
            <w:tcW w:w="1606" w:type="dxa"/>
          </w:tcPr>
          <w:p w14:paraId="3EE685FA" w14:textId="77777777" w:rsidR="005E614D" w:rsidRDefault="000C3A94">
            <w:r>
              <w:t>53 960</w:t>
            </w:r>
          </w:p>
        </w:tc>
      </w:tr>
      <w:tr w:rsidR="005E614D" w14:paraId="082E2EA7" w14:textId="77777777" w:rsidTr="004A2065">
        <w:tc>
          <w:tcPr>
            <w:tcW w:w="1607" w:type="dxa"/>
            <w:tcBorders>
              <w:bottom w:val="single" w:sz="6" w:space="0" w:color="auto"/>
            </w:tcBorders>
          </w:tcPr>
          <w:p w14:paraId="411DF1D8" w14:textId="77777777" w:rsidR="005E614D" w:rsidRDefault="000C3A94">
            <w:r>
              <w:t>1 836</w:t>
            </w:r>
          </w:p>
        </w:tc>
        <w:tc>
          <w:tcPr>
            <w:tcW w:w="1607" w:type="dxa"/>
            <w:tcBorders>
              <w:bottom w:val="single" w:sz="6" w:space="0" w:color="auto"/>
            </w:tcBorders>
          </w:tcPr>
          <w:p w14:paraId="34D3C8E8" w14:textId="77777777" w:rsidR="005E614D" w:rsidRDefault="000C3A94">
            <w:r>
              <w:t>1 493</w:t>
            </w:r>
          </w:p>
        </w:tc>
        <w:tc>
          <w:tcPr>
            <w:tcW w:w="1606" w:type="dxa"/>
            <w:tcBorders>
              <w:bottom w:val="single" w:sz="6" w:space="0" w:color="auto"/>
            </w:tcBorders>
          </w:tcPr>
          <w:p w14:paraId="3BCF332A" w14:textId="77777777" w:rsidR="005E614D" w:rsidRDefault="000C3A94">
            <w:r>
              <w:t>(566)</w:t>
            </w:r>
          </w:p>
        </w:tc>
        <w:tc>
          <w:tcPr>
            <w:tcW w:w="1606" w:type="dxa"/>
            <w:tcBorders>
              <w:bottom w:val="single" w:sz="6" w:space="0" w:color="auto"/>
            </w:tcBorders>
          </w:tcPr>
          <w:p w14:paraId="16EAA5A8" w14:textId="77777777" w:rsidR="005E614D" w:rsidRDefault="000C3A94">
            <w:r>
              <w:t>(267)</w:t>
            </w:r>
          </w:p>
        </w:tc>
        <w:tc>
          <w:tcPr>
            <w:tcW w:w="1606" w:type="dxa"/>
            <w:tcBorders>
              <w:bottom w:val="single" w:sz="6" w:space="0" w:color="auto"/>
            </w:tcBorders>
          </w:tcPr>
          <w:p w14:paraId="42E1D7E0" w14:textId="77777777" w:rsidR="005E614D" w:rsidRDefault="000C3A94">
            <w:r>
              <w:t>32 717</w:t>
            </w:r>
          </w:p>
        </w:tc>
        <w:tc>
          <w:tcPr>
            <w:tcW w:w="1606" w:type="dxa"/>
            <w:tcBorders>
              <w:bottom w:val="single" w:sz="6" w:space="0" w:color="auto"/>
            </w:tcBorders>
          </w:tcPr>
          <w:p w14:paraId="6D238EE7" w14:textId="77777777" w:rsidR="005E614D" w:rsidRDefault="000C3A94">
            <w:r>
              <w:t>32 609</w:t>
            </w:r>
          </w:p>
        </w:tc>
      </w:tr>
      <w:tr w:rsidR="005E614D" w14:paraId="46CFCF78" w14:textId="77777777" w:rsidTr="004A2065">
        <w:tc>
          <w:tcPr>
            <w:tcW w:w="1607" w:type="dxa"/>
            <w:tcBorders>
              <w:top w:val="single" w:sz="6" w:space="0" w:color="auto"/>
              <w:bottom w:val="single" w:sz="6" w:space="0" w:color="auto"/>
            </w:tcBorders>
          </w:tcPr>
          <w:p w14:paraId="6EC08486" w14:textId="77777777" w:rsidR="005E614D" w:rsidRDefault="000C3A94">
            <w:r>
              <w:rPr>
                <w:b/>
              </w:rPr>
              <w:t>246 157</w:t>
            </w:r>
          </w:p>
        </w:tc>
        <w:tc>
          <w:tcPr>
            <w:tcW w:w="1607" w:type="dxa"/>
            <w:tcBorders>
              <w:top w:val="single" w:sz="6" w:space="0" w:color="auto"/>
              <w:bottom w:val="single" w:sz="6" w:space="0" w:color="auto"/>
            </w:tcBorders>
          </w:tcPr>
          <w:p w14:paraId="6AA8E9EF" w14:textId="77777777" w:rsidR="005E614D" w:rsidRDefault="000C3A94">
            <w:r>
              <w:rPr>
                <w:b/>
              </w:rPr>
              <w:t>214 481</w:t>
            </w:r>
          </w:p>
        </w:tc>
        <w:tc>
          <w:tcPr>
            <w:tcW w:w="1606" w:type="dxa"/>
            <w:tcBorders>
              <w:top w:val="single" w:sz="6" w:space="0" w:color="auto"/>
              <w:bottom w:val="single" w:sz="6" w:space="0" w:color="auto"/>
            </w:tcBorders>
          </w:tcPr>
          <w:p w14:paraId="6D236D55" w14:textId="77777777" w:rsidR="005E614D" w:rsidRDefault="000C3A94">
            <w:r>
              <w:rPr>
                <w:b/>
              </w:rPr>
              <w:t>(205 209)</w:t>
            </w:r>
          </w:p>
        </w:tc>
        <w:tc>
          <w:tcPr>
            <w:tcW w:w="1606" w:type="dxa"/>
            <w:tcBorders>
              <w:top w:val="single" w:sz="6" w:space="0" w:color="auto"/>
              <w:bottom w:val="single" w:sz="6" w:space="0" w:color="auto"/>
            </w:tcBorders>
          </w:tcPr>
          <w:p w14:paraId="03264B38" w14:textId="77777777" w:rsidR="005E614D" w:rsidRDefault="000C3A94">
            <w:r>
              <w:rPr>
                <w:b/>
              </w:rPr>
              <w:t>(173 001)</w:t>
            </w:r>
          </w:p>
        </w:tc>
        <w:tc>
          <w:tcPr>
            <w:tcW w:w="1606" w:type="dxa"/>
            <w:tcBorders>
              <w:top w:val="single" w:sz="6" w:space="0" w:color="auto"/>
              <w:bottom w:val="single" w:sz="6" w:space="0" w:color="auto"/>
            </w:tcBorders>
          </w:tcPr>
          <w:p w14:paraId="6F206833" w14:textId="77777777" w:rsidR="005E614D" w:rsidRDefault="000C3A94">
            <w:r>
              <w:rPr>
                <w:b/>
              </w:rPr>
              <w:t>356 693</w:t>
            </w:r>
          </w:p>
        </w:tc>
        <w:tc>
          <w:tcPr>
            <w:tcW w:w="1606" w:type="dxa"/>
            <w:tcBorders>
              <w:top w:val="single" w:sz="6" w:space="0" w:color="auto"/>
              <w:bottom w:val="single" w:sz="6" w:space="0" w:color="auto"/>
            </w:tcBorders>
          </w:tcPr>
          <w:p w14:paraId="494A69F6" w14:textId="77777777" w:rsidR="005E614D" w:rsidRDefault="000C3A94">
            <w:r>
              <w:rPr>
                <w:b/>
              </w:rPr>
              <w:t>322 792</w:t>
            </w:r>
          </w:p>
        </w:tc>
      </w:tr>
      <w:tr w:rsidR="005E614D" w14:paraId="13A1643C" w14:textId="77777777" w:rsidTr="004A2065">
        <w:tc>
          <w:tcPr>
            <w:tcW w:w="1607" w:type="dxa"/>
            <w:tcBorders>
              <w:top w:val="single" w:sz="6" w:space="0" w:color="auto"/>
              <w:bottom w:val="single" w:sz="12" w:space="0" w:color="auto"/>
            </w:tcBorders>
          </w:tcPr>
          <w:p w14:paraId="2D5704EA" w14:textId="77777777" w:rsidR="005E614D" w:rsidRDefault="000C3A94">
            <w:r>
              <w:rPr>
                <w:b/>
              </w:rPr>
              <w:t>9 361</w:t>
            </w:r>
          </w:p>
        </w:tc>
        <w:tc>
          <w:tcPr>
            <w:tcW w:w="1607" w:type="dxa"/>
            <w:tcBorders>
              <w:top w:val="single" w:sz="6" w:space="0" w:color="auto"/>
              <w:bottom w:val="single" w:sz="12" w:space="0" w:color="auto"/>
            </w:tcBorders>
          </w:tcPr>
          <w:p w14:paraId="7E644212" w14:textId="77777777" w:rsidR="005E614D" w:rsidRDefault="000C3A94">
            <w:r>
              <w:rPr>
                <w:b/>
              </w:rPr>
              <w:t>13 683</w:t>
            </w:r>
          </w:p>
        </w:tc>
        <w:tc>
          <w:tcPr>
            <w:tcW w:w="1606" w:type="dxa"/>
            <w:tcBorders>
              <w:top w:val="single" w:sz="6" w:space="0" w:color="auto"/>
              <w:bottom w:val="single" w:sz="12" w:space="0" w:color="auto"/>
            </w:tcBorders>
          </w:tcPr>
          <w:p w14:paraId="6747AE2A" w14:textId="77777777" w:rsidR="005E614D" w:rsidRDefault="000C3A94">
            <w:r>
              <w:rPr>
                <w:b/>
              </w:rPr>
              <w:t>5 267</w:t>
            </w:r>
          </w:p>
        </w:tc>
        <w:tc>
          <w:tcPr>
            <w:tcW w:w="1606" w:type="dxa"/>
            <w:tcBorders>
              <w:top w:val="single" w:sz="6" w:space="0" w:color="auto"/>
              <w:bottom w:val="single" w:sz="12" w:space="0" w:color="auto"/>
            </w:tcBorders>
          </w:tcPr>
          <w:p w14:paraId="43F16463" w14:textId="77777777" w:rsidR="005E614D" w:rsidRDefault="000C3A94">
            <w:r>
              <w:rPr>
                <w:b/>
              </w:rPr>
              <w:t>(46 682)</w:t>
            </w:r>
          </w:p>
        </w:tc>
        <w:tc>
          <w:tcPr>
            <w:tcW w:w="1606" w:type="dxa"/>
            <w:tcBorders>
              <w:top w:val="single" w:sz="6" w:space="0" w:color="auto"/>
              <w:bottom w:val="single" w:sz="12" w:space="0" w:color="auto"/>
            </w:tcBorders>
          </w:tcPr>
          <w:p w14:paraId="1EA50FB8" w14:textId="77777777" w:rsidR="005E614D" w:rsidRDefault="000C3A94">
            <w:r>
              <w:rPr>
                <w:b/>
              </w:rPr>
              <w:t>281 414</w:t>
            </w:r>
          </w:p>
        </w:tc>
        <w:tc>
          <w:tcPr>
            <w:tcW w:w="1606" w:type="dxa"/>
            <w:tcBorders>
              <w:top w:val="single" w:sz="6" w:space="0" w:color="auto"/>
              <w:bottom w:val="single" w:sz="12" w:space="0" w:color="auto"/>
            </w:tcBorders>
          </w:tcPr>
          <w:p w14:paraId="3D58D2F2" w14:textId="77777777" w:rsidR="005E614D" w:rsidRDefault="000C3A94">
            <w:r>
              <w:rPr>
                <w:b/>
              </w:rPr>
              <w:t>239 904</w:t>
            </w:r>
          </w:p>
        </w:tc>
      </w:tr>
      <w:tr w:rsidR="005E614D" w14:paraId="46D17FDA" w14:textId="77777777" w:rsidTr="004A2065">
        <w:tc>
          <w:tcPr>
            <w:tcW w:w="1607" w:type="dxa"/>
            <w:tcBorders>
              <w:top w:val="single" w:sz="0" w:space="0" w:color="auto"/>
            </w:tcBorders>
          </w:tcPr>
          <w:p w14:paraId="318F0EDD" w14:textId="77777777" w:rsidR="005E614D" w:rsidRDefault="005E614D"/>
        </w:tc>
        <w:tc>
          <w:tcPr>
            <w:tcW w:w="1607" w:type="dxa"/>
            <w:tcBorders>
              <w:top w:val="single" w:sz="0" w:space="0" w:color="auto"/>
            </w:tcBorders>
          </w:tcPr>
          <w:p w14:paraId="583A0F8C" w14:textId="77777777" w:rsidR="005E614D" w:rsidRDefault="005E614D"/>
        </w:tc>
        <w:tc>
          <w:tcPr>
            <w:tcW w:w="1606" w:type="dxa"/>
            <w:tcBorders>
              <w:top w:val="single" w:sz="0" w:space="0" w:color="auto"/>
            </w:tcBorders>
          </w:tcPr>
          <w:p w14:paraId="467350D7" w14:textId="77777777" w:rsidR="005E614D" w:rsidRDefault="005E614D"/>
        </w:tc>
        <w:tc>
          <w:tcPr>
            <w:tcW w:w="1606" w:type="dxa"/>
            <w:tcBorders>
              <w:top w:val="single" w:sz="0" w:space="0" w:color="auto"/>
            </w:tcBorders>
          </w:tcPr>
          <w:p w14:paraId="50F11FEC" w14:textId="77777777" w:rsidR="005E614D" w:rsidRDefault="005E614D"/>
        </w:tc>
        <w:tc>
          <w:tcPr>
            <w:tcW w:w="1606" w:type="dxa"/>
            <w:tcBorders>
              <w:top w:val="single" w:sz="0" w:space="0" w:color="auto"/>
            </w:tcBorders>
          </w:tcPr>
          <w:p w14:paraId="4D627614" w14:textId="77777777" w:rsidR="005E614D" w:rsidRDefault="005E614D"/>
        </w:tc>
        <w:tc>
          <w:tcPr>
            <w:tcW w:w="1606" w:type="dxa"/>
            <w:tcBorders>
              <w:top w:val="single" w:sz="0" w:space="0" w:color="auto"/>
            </w:tcBorders>
          </w:tcPr>
          <w:p w14:paraId="5558B2D5" w14:textId="77777777" w:rsidR="005E614D" w:rsidRDefault="005E614D"/>
        </w:tc>
      </w:tr>
      <w:tr w:rsidR="005E614D" w14:paraId="59363514" w14:textId="77777777">
        <w:tc>
          <w:tcPr>
            <w:tcW w:w="1607" w:type="dxa"/>
          </w:tcPr>
          <w:p w14:paraId="6E22AC4E" w14:textId="77777777" w:rsidR="005E614D" w:rsidRDefault="000C3A94">
            <w:r>
              <w:t>8 743</w:t>
            </w:r>
          </w:p>
        </w:tc>
        <w:tc>
          <w:tcPr>
            <w:tcW w:w="1607" w:type="dxa"/>
          </w:tcPr>
          <w:p w14:paraId="43390B92" w14:textId="77777777" w:rsidR="005E614D" w:rsidRDefault="000C3A94">
            <w:r>
              <w:t>13 148</w:t>
            </w:r>
          </w:p>
        </w:tc>
        <w:tc>
          <w:tcPr>
            <w:tcW w:w="1606" w:type="dxa"/>
          </w:tcPr>
          <w:p w14:paraId="7E7DB4C8" w14:textId="77777777" w:rsidR="005E614D" w:rsidRDefault="000C3A94">
            <w:r>
              <w:t>65 413</w:t>
            </w:r>
          </w:p>
        </w:tc>
        <w:tc>
          <w:tcPr>
            <w:tcW w:w="1606" w:type="dxa"/>
          </w:tcPr>
          <w:p w14:paraId="378D4735" w14:textId="77777777" w:rsidR="005E614D" w:rsidRDefault="000C3A94">
            <w:r>
              <w:t>53 247</w:t>
            </w:r>
          </w:p>
        </w:tc>
        <w:tc>
          <w:tcPr>
            <w:tcW w:w="1606" w:type="dxa"/>
          </w:tcPr>
          <w:p w14:paraId="41F17B1E" w14:textId="77777777" w:rsidR="005E614D" w:rsidRDefault="000C3A94">
            <w:r>
              <w:t>69 466</w:t>
            </w:r>
          </w:p>
        </w:tc>
        <w:tc>
          <w:tcPr>
            <w:tcW w:w="1606" w:type="dxa"/>
          </w:tcPr>
          <w:p w14:paraId="680D16F2" w14:textId="77777777" w:rsidR="005E614D" w:rsidRDefault="000C3A94">
            <w:r>
              <w:t>76 281</w:t>
            </w:r>
          </w:p>
        </w:tc>
      </w:tr>
      <w:tr w:rsidR="005E614D" w14:paraId="4223533F" w14:textId="77777777" w:rsidTr="004A2065">
        <w:tc>
          <w:tcPr>
            <w:tcW w:w="1607" w:type="dxa"/>
            <w:tcBorders>
              <w:bottom w:val="single" w:sz="12" w:space="0" w:color="auto"/>
            </w:tcBorders>
          </w:tcPr>
          <w:p w14:paraId="0F9F2114" w14:textId="77777777" w:rsidR="005E614D" w:rsidRDefault="000C3A94">
            <w:r>
              <w:t>618</w:t>
            </w:r>
          </w:p>
        </w:tc>
        <w:tc>
          <w:tcPr>
            <w:tcW w:w="1607" w:type="dxa"/>
            <w:tcBorders>
              <w:bottom w:val="single" w:sz="12" w:space="0" w:color="auto"/>
            </w:tcBorders>
          </w:tcPr>
          <w:p w14:paraId="66C4A373" w14:textId="77777777" w:rsidR="005E614D" w:rsidRDefault="000C3A94">
            <w:r>
              <w:t>535</w:t>
            </w:r>
          </w:p>
        </w:tc>
        <w:tc>
          <w:tcPr>
            <w:tcW w:w="1606" w:type="dxa"/>
            <w:tcBorders>
              <w:bottom w:val="single" w:sz="12" w:space="0" w:color="auto"/>
            </w:tcBorders>
          </w:tcPr>
          <w:p w14:paraId="20BF72E8" w14:textId="77777777" w:rsidR="005E614D" w:rsidRDefault="000C3A94">
            <w:r>
              <w:t>(60 147)</w:t>
            </w:r>
          </w:p>
        </w:tc>
        <w:tc>
          <w:tcPr>
            <w:tcW w:w="1606" w:type="dxa"/>
            <w:tcBorders>
              <w:bottom w:val="single" w:sz="12" w:space="0" w:color="auto"/>
            </w:tcBorders>
          </w:tcPr>
          <w:p w14:paraId="6BA7F8FB" w14:textId="77777777" w:rsidR="005E614D" w:rsidRDefault="000C3A94">
            <w:r>
              <w:t>(99 929)</w:t>
            </w:r>
          </w:p>
        </w:tc>
        <w:tc>
          <w:tcPr>
            <w:tcW w:w="1606" w:type="dxa"/>
            <w:tcBorders>
              <w:bottom w:val="single" w:sz="12" w:space="0" w:color="auto"/>
            </w:tcBorders>
          </w:tcPr>
          <w:p w14:paraId="2607B90F" w14:textId="77777777" w:rsidR="005E614D" w:rsidRDefault="000C3A94">
            <w:r>
              <w:t>211 949</w:t>
            </w:r>
          </w:p>
        </w:tc>
        <w:tc>
          <w:tcPr>
            <w:tcW w:w="1606" w:type="dxa"/>
            <w:tcBorders>
              <w:bottom w:val="single" w:sz="12" w:space="0" w:color="auto"/>
            </w:tcBorders>
          </w:tcPr>
          <w:p w14:paraId="1153424E" w14:textId="77777777" w:rsidR="005E614D" w:rsidRDefault="000C3A94">
            <w:r>
              <w:t>163 624</w:t>
            </w:r>
          </w:p>
        </w:tc>
      </w:tr>
      <w:tr w:rsidR="005E614D" w14:paraId="1127D150" w14:textId="77777777" w:rsidTr="004A2065">
        <w:tc>
          <w:tcPr>
            <w:tcW w:w="1607" w:type="dxa"/>
            <w:tcBorders>
              <w:top w:val="single" w:sz="0" w:space="0" w:color="auto"/>
              <w:bottom w:val="single" w:sz="12" w:space="0" w:color="auto"/>
            </w:tcBorders>
          </w:tcPr>
          <w:p w14:paraId="603D7878" w14:textId="77777777" w:rsidR="005E614D" w:rsidRDefault="000C3A94">
            <w:r>
              <w:rPr>
                <w:b/>
              </w:rPr>
              <w:t>9 361</w:t>
            </w:r>
          </w:p>
        </w:tc>
        <w:tc>
          <w:tcPr>
            <w:tcW w:w="1607" w:type="dxa"/>
            <w:tcBorders>
              <w:top w:val="single" w:sz="0" w:space="0" w:color="auto"/>
              <w:bottom w:val="single" w:sz="12" w:space="0" w:color="auto"/>
            </w:tcBorders>
          </w:tcPr>
          <w:p w14:paraId="3143729B" w14:textId="77777777" w:rsidR="005E614D" w:rsidRDefault="000C3A94">
            <w:r>
              <w:rPr>
                <w:b/>
              </w:rPr>
              <w:t>13 683</w:t>
            </w:r>
          </w:p>
        </w:tc>
        <w:tc>
          <w:tcPr>
            <w:tcW w:w="1606" w:type="dxa"/>
            <w:tcBorders>
              <w:top w:val="single" w:sz="0" w:space="0" w:color="auto"/>
              <w:bottom w:val="single" w:sz="12" w:space="0" w:color="auto"/>
            </w:tcBorders>
          </w:tcPr>
          <w:p w14:paraId="03906414" w14:textId="77777777" w:rsidR="005E614D" w:rsidRDefault="000C3A94">
            <w:r>
              <w:rPr>
                <w:b/>
              </w:rPr>
              <w:t>5 267</w:t>
            </w:r>
          </w:p>
        </w:tc>
        <w:tc>
          <w:tcPr>
            <w:tcW w:w="1606" w:type="dxa"/>
            <w:tcBorders>
              <w:top w:val="single" w:sz="0" w:space="0" w:color="auto"/>
              <w:bottom w:val="single" w:sz="12" w:space="0" w:color="auto"/>
            </w:tcBorders>
          </w:tcPr>
          <w:p w14:paraId="555BF67B" w14:textId="77777777" w:rsidR="005E614D" w:rsidRDefault="000C3A94">
            <w:r>
              <w:rPr>
                <w:b/>
              </w:rPr>
              <w:t>(46 682)</w:t>
            </w:r>
          </w:p>
        </w:tc>
        <w:tc>
          <w:tcPr>
            <w:tcW w:w="1606" w:type="dxa"/>
            <w:tcBorders>
              <w:top w:val="single" w:sz="0" w:space="0" w:color="auto"/>
              <w:bottom w:val="single" w:sz="12" w:space="0" w:color="auto"/>
            </w:tcBorders>
          </w:tcPr>
          <w:p w14:paraId="440BB4C2" w14:textId="77777777" w:rsidR="005E614D" w:rsidRDefault="000C3A94">
            <w:r>
              <w:rPr>
                <w:b/>
              </w:rPr>
              <w:t>281 414</w:t>
            </w:r>
          </w:p>
        </w:tc>
        <w:tc>
          <w:tcPr>
            <w:tcW w:w="1606" w:type="dxa"/>
            <w:tcBorders>
              <w:top w:val="single" w:sz="0" w:space="0" w:color="auto"/>
              <w:bottom w:val="single" w:sz="12" w:space="0" w:color="auto"/>
            </w:tcBorders>
          </w:tcPr>
          <w:p w14:paraId="10225BC8" w14:textId="77777777" w:rsidR="005E614D" w:rsidRDefault="000C3A94">
            <w:r>
              <w:rPr>
                <w:b/>
              </w:rPr>
              <w:t>239 904</w:t>
            </w:r>
          </w:p>
        </w:tc>
      </w:tr>
      <w:tr w:rsidR="005E614D" w14:paraId="5217B640" w14:textId="77777777" w:rsidTr="004A2065">
        <w:trPr>
          <w:trHeight w:hRule="exact" w:val="113"/>
        </w:trPr>
        <w:tc>
          <w:tcPr>
            <w:tcW w:w="1607" w:type="dxa"/>
            <w:tcBorders>
              <w:top w:val="single" w:sz="0" w:space="0" w:color="auto"/>
            </w:tcBorders>
          </w:tcPr>
          <w:p w14:paraId="3F95B2BE" w14:textId="77777777" w:rsidR="005E614D" w:rsidRDefault="005E614D"/>
        </w:tc>
        <w:tc>
          <w:tcPr>
            <w:tcW w:w="1607" w:type="dxa"/>
            <w:tcBorders>
              <w:top w:val="single" w:sz="0" w:space="0" w:color="auto"/>
            </w:tcBorders>
          </w:tcPr>
          <w:p w14:paraId="6CF70434" w14:textId="77777777" w:rsidR="005E614D" w:rsidRDefault="005E614D"/>
        </w:tc>
        <w:tc>
          <w:tcPr>
            <w:tcW w:w="1606" w:type="dxa"/>
            <w:tcBorders>
              <w:top w:val="single" w:sz="0" w:space="0" w:color="auto"/>
            </w:tcBorders>
          </w:tcPr>
          <w:p w14:paraId="5B692F48" w14:textId="77777777" w:rsidR="005E614D" w:rsidRDefault="005E614D"/>
        </w:tc>
        <w:tc>
          <w:tcPr>
            <w:tcW w:w="1606" w:type="dxa"/>
            <w:tcBorders>
              <w:top w:val="single" w:sz="0" w:space="0" w:color="auto"/>
            </w:tcBorders>
          </w:tcPr>
          <w:p w14:paraId="6D47C8AD" w14:textId="77777777" w:rsidR="005E614D" w:rsidRDefault="005E614D"/>
        </w:tc>
        <w:tc>
          <w:tcPr>
            <w:tcW w:w="1606" w:type="dxa"/>
            <w:tcBorders>
              <w:top w:val="single" w:sz="0" w:space="0" w:color="auto"/>
            </w:tcBorders>
          </w:tcPr>
          <w:p w14:paraId="75EA87C9" w14:textId="77777777" w:rsidR="005E614D" w:rsidRDefault="005E614D"/>
        </w:tc>
        <w:tc>
          <w:tcPr>
            <w:tcW w:w="1606" w:type="dxa"/>
            <w:tcBorders>
              <w:top w:val="single" w:sz="0" w:space="0" w:color="auto"/>
            </w:tcBorders>
          </w:tcPr>
          <w:p w14:paraId="41681C6F" w14:textId="77777777" w:rsidR="005E614D" w:rsidRDefault="005E614D"/>
        </w:tc>
      </w:tr>
      <w:tr w:rsidR="005E614D" w14:paraId="57E9C3C3" w14:textId="77777777">
        <w:tc>
          <w:tcPr>
            <w:tcW w:w="1607" w:type="dxa"/>
          </w:tcPr>
          <w:p w14:paraId="72B78C9D" w14:textId="77777777" w:rsidR="005E614D" w:rsidRDefault="005E614D"/>
        </w:tc>
        <w:tc>
          <w:tcPr>
            <w:tcW w:w="1607" w:type="dxa"/>
          </w:tcPr>
          <w:p w14:paraId="069A5B4D" w14:textId="77777777" w:rsidR="005E614D" w:rsidRDefault="005E614D"/>
        </w:tc>
        <w:tc>
          <w:tcPr>
            <w:tcW w:w="1606" w:type="dxa"/>
          </w:tcPr>
          <w:p w14:paraId="6AAD3A9D" w14:textId="77777777" w:rsidR="005E614D" w:rsidRDefault="005E614D"/>
        </w:tc>
        <w:tc>
          <w:tcPr>
            <w:tcW w:w="1606" w:type="dxa"/>
          </w:tcPr>
          <w:p w14:paraId="12AE883B" w14:textId="77777777" w:rsidR="005E614D" w:rsidRDefault="005E614D"/>
        </w:tc>
        <w:tc>
          <w:tcPr>
            <w:tcW w:w="1606" w:type="dxa"/>
          </w:tcPr>
          <w:p w14:paraId="4CAD0830" w14:textId="77777777" w:rsidR="005E614D" w:rsidRDefault="005E614D"/>
        </w:tc>
        <w:tc>
          <w:tcPr>
            <w:tcW w:w="1606" w:type="dxa"/>
          </w:tcPr>
          <w:p w14:paraId="25200197" w14:textId="77777777" w:rsidR="005E614D" w:rsidRDefault="005E614D"/>
        </w:tc>
      </w:tr>
      <w:tr w:rsidR="005E614D" w14:paraId="04AB895B" w14:textId="77777777">
        <w:tc>
          <w:tcPr>
            <w:tcW w:w="1607" w:type="dxa"/>
          </w:tcPr>
          <w:p w14:paraId="3E07FBBD" w14:textId="77777777" w:rsidR="005E614D" w:rsidRDefault="000C3A94">
            <w:r>
              <w:t>6 090</w:t>
            </w:r>
          </w:p>
        </w:tc>
        <w:tc>
          <w:tcPr>
            <w:tcW w:w="1607" w:type="dxa"/>
          </w:tcPr>
          <w:p w14:paraId="53514AB7" w14:textId="77777777" w:rsidR="005E614D" w:rsidRDefault="000C3A94">
            <w:r>
              <w:t>10 072</w:t>
            </w:r>
          </w:p>
        </w:tc>
        <w:tc>
          <w:tcPr>
            <w:tcW w:w="1606" w:type="dxa"/>
          </w:tcPr>
          <w:p w14:paraId="70AC2C23" w14:textId="77777777" w:rsidR="005E614D" w:rsidRDefault="000C3A94">
            <w:r>
              <w:t>(71 477)</w:t>
            </w:r>
          </w:p>
        </w:tc>
        <w:tc>
          <w:tcPr>
            <w:tcW w:w="1606" w:type="dxa"/>
          </w:tcPr>
          <w:p w14:paraId="18263CDE" w14:textId="77777777" w:rsidR="005E614D" w:rsidRDefault="000C3A94">
            <w:r>
              <w:t>(85 127)</w:t>
            </w:r>
          </w:p>
        </w:tc>
        <w:tc>
          <w:tcPr>
            <w:tcW w:w="1606" w:type="dxa"/>
          </w:tcPr>
          <w:p w14:paraId="0DF9D7C2" w14:textId="77777777" w:rsidR="005E614D" w:rsidRDefault="000C3A94">
            <w:r>
              <w:t>(229 930)</w:t>
            </w:r>
          </w:p>
        </w:tc>
        <w:tc>
          <w:tcPr>
            <w:tcW w:w="1606" w:type="dxa"/>
          </w:tcPr>
          <w:p w14:paraId="44D6EF6A" w14:textId="77777777" w:rsidR="005E614D" w:rsidRDefault="000C3A94">
            <w:r>
              <w:t>(206 273)</w:t>
            </w:r>
          </w:p>
        </w:tc>
      </w:tr>
      <w:tr w:rsidR="005E614D" w14:paraId="25D95CDC" w14:textId="77777777">
        <w:tc>
          <w:tcPr>
            <w:tcW w:w="1607" w:type="dxa"/>
          </w:tcPr>
          <w:p w14:paraId="43C1255A" w14:textId="77777777" w:rsidR="005E614D" w:rsidRDefault="000C3A94">
            <w:r>
              <w:t>(6 090)</w:t>
            </w:r>
          </w:p>
        </w:tc>
        <w:tc>
          <w:tcPr>
            <w:tcW w:w="1607" w:type="dxa"/>
          </w:tcPr>
          <w:p w14:paraId="63C2B77F" w14:textId="77777777" w:rsidR="005E614D" w:rsidRDefault="000C3A94">
            <w:r>
              <w:t>(10 072)</w:t>
            </w:r>
          </w:p>
        </w:tc>
        <w:tc>
          <w:tcPr>
            <w:tcW w:w="1606" w:type="dxa"/>
          </w:tcPr>
          <w:p w14:paraId="4006801E" w14:textId="77777777" w:rsidR="005E614D" w:rsidRDefault="000C3A94">
            <w:r>
              <w:t>(24 925)</w:t>
            </w:r>
          </w:p>
        </w:tc>
        <w:tc>
          <w:tcPr>
            <w:tcW w:w="1606" w:type="dxa"/>
          </w:tcPr>
          <w:p w14:paraId="546DD7D6" w14:textId="77777777" w:rsidR="005E614D" w:rsidRDefault="000C3A94">
            <w:r>
              <w:t>(13 051)</w:t>
            </w:r>
          </w:p>
        </w:tc>
        <w:tc>
          <w:tcPr>
            <w:tcW w:w="1606" w:type="dxa"/>
          </w:tcPr>
          <w:p w14:paraId="14FE1DE3" w14:textId="77777777" w:rsidR="005E614D" w:rsidRDefault="000C3A94">
            <w:r>
              <w:t>229 930</w:t>
            </w:r>
          </w:p>
        </w:tc>
        <w:tc>
          <w:tcPr>
            <w:tcW w:w="1606" w:type="dxa"/>
          </w:tcPr>
          <w:p w14:paraId="73CD4B94" w14:textId="77777777" w:rsidR="005E614D" w:rsidRDefault="000C3A94">
            <w:r>
              <w:t>206 273</w:t>
            </w:r>
          </w:p>
        </w:tc>
      </w:tr>
      <w:tr w:rsidR="005E614D" w14:paraId="373C6B49" w14:textId="77777777" w:rsidTr="004A2065">
        <w:tc>
          <w:tcPr>
            <w:tcW w:w="1607" w:type="dxa"/>
            <w:tcBorders>
              <w:bottom w:val="single" w:sz="12" w:space="0" w:color="auto"/>
            </w:tcBorders>
          </w:tcPr>
          <w:p w14:paraId="1ECC3393" w14:textId="77777777" w:rsidR="005E614D" w:rsidRDefault="000C3A94">
            <w:r>
              <w:t>(60 842)</w:t>
            </w:r>
          </w:p>
        </w:tc>
        <w:tc>
          <w:tcPr>
            <w:tcW w:w="1607" w:type="dxa"/>
            <w:tcBorders>
              <w:bottom w:val="single" w:sz="12" w:space="0" w:color="auto"/>
            </w:tcBorders>
          </w:tcPr>
          <w:p w14:paraId="1AE3451A" w14:textId="77777777" w:rsidR="005E614D" w:rsidRDefault="000C3A94">
            <w:r>
              <w:t>(60 796)</w:t>
            </w:r>
          </w:p>
        </w:tc>
        <w:tc>
          <w:tcPr>
            <w:tcW w:w="1606" w:type="dxa"/>
            <w:tcBorders>
              <w:bottom w:val="single" w:sz="12" w:space="0" w:color="auto"/>
            </w:tcBorders>
          </w:tcPr>
          <w:p w14:paraId="1BDEC0DA" w14:textId="77777777" w:rsidR="005E614D" w:rsidRDefault="000C3A94">
            <w:r>
              <w:t>(755)</w:t>
            </w:r>
          </w:p>
        </w:tc>
        <w:tc>
          <w:tcPr>
            <w:tcW w:w="1606" w:type="dxa"/>
            <w:tcBorders>
              <w:bottom w:val="single" w:sz="12" w:space="0" w:color="auto"/>
            </w:tcBorders>
          </w:tcPr>
          <w:p w14:paraId="4B992CD5" w14:textId="77777777" w:rsidR="005E614D" w:rsidRDefault="000C3A94">
            <w:r>
              <w:t>(867)</w:t>
            </w:r>
          </w:p>
        </w:tc>
        <w:tc>
          <w:tcPr>
            <w:tcW w:w="1606" w:type="dxa"/>
            <w:tcBorders>
              <w:bottom w:val="single" w:sz="12" w:space="0" w:color="auto"/>
            </w:tcBorders>
          </w:tcPr>
          <w:p w14:paraId="4E59C5B7" w14:textId="77777777" w:rsidR="005E614D" w:rsidRDefault="000C3A94">
            <w:r>
              <w:t>114 450</w:t>
            </w:r>
          </w:p>
        </w:tc>
        <w:tc>
          <w:tcPr>
            <w:tcW w:w="1606" w:type="dxa"/>
            <w:tcBorders>
              <w:bottom w:val="single" w:sz="12" w:space="0" w:color="auto"/>
            </w:tcBorders>
          </w:tcPr>
          <w:p w14:paraId="6502CB41" w14:textId="77777777" w:rsidR="005E614D" w:rsidRDefault="000C3A94">
            <w:r>
              <w:t>94 480</w:t>
            </w:r>
          </w:p>
        </w:tc>
      </w:tr>
    </w:tbl>
    <w:p w14:paraId="7BDC251F" w14:textId="77777777" w:rsidR="009D33A8" w:rsidRDefault="009D33A8" w:rsidP="009D33A8">
      <w:pPr>
        <w:pStyle w:val="TableHeading"/>
      </w:pPr>
    </w:p>
    <w:p w14:paraId="478919B0" w14:textId="77777777" w:rsidR="009D33A8" w:rsidRDefault="009D33A8" w:rsidP="009D33A8"/>
    <w:p w14:paraId="71AB3F7D" w14:textId="77777777" w:rsidR="009D33A8" w:rsidRDefault="009D33A8" w:rsidP="009D33A8">
      <w:pPr>
        <w:rPr>
          <w:rFonts w:asciiTheme="majorHAnsi" w:hAnsiTheme="majorHAnsi"/>
          <w:b/>
          <w:iCs/>
          <w:sz w:val="20"/>
          <w:szCs w:val="18"/>
        </w:rPr>
      </w:pPr>
      <w:r>
        <w:br w:type="page"/>
      </w:r>
    </w:p>
    <w:p w14:paraId="51AF9459" w14:textId="77777777" w:rsidR="009D33A8" w:rsidRDefault="009D33A8" w:rsidP="009D33A8">
      <w:pPr>
        <w:pStyle w:val="TableHeading"/>
        <w:pageBreakBefore/>
      </w:pPr>
      <w:r>
        <w:lastRenderedPageBreak/>
        <w:t>Disaggregated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Gross Cash Flows/Link_AFR_Cash_Flow_Statement.xlsx|Table:Dissag_CF_L|TableGroup:Disaggregated"/>
      </w:tblPr>
      <w:tblGrid>
        <w:gridCol w:w="5954"/>
        <w:gridCol w:w="135"/>
        <w:gridCol w:w="786"/>
        <w:gridCol w:w="921"/>
        <w:gridCol w:w="921"/>
        <w:gridCol w:w="921"/>
      </w:tblGrid>
      <w:tr w:rsidR="009D33A8" w:rsidRPr="00E50422" w14:paraId="4E2B56BA" w14:textId="77777777" w:rsidTr="003874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57DAF093" w14:textId="77777777" w:rsidR="009D33A8" w:rsidRPr="00400556" w:rsidRDefault="009D33A8">
            <w:pPr>
              <w:keepNext/>
              <w:spacing w:after="0"/>
              <w:rPr>
                <w:sz w:val="16"/>
                <w:szCs w:val="16"/>
              </w:rPr>
            </w:pPr>
          </w:p>
        </w:tc>
        <w:tc>
          <w:tcPr>
            <w:tcW w:w="1842" w:type="dxa"/>
            <w:gridSpan w:val="3"/>
          </w:tcPr>
          <w:p w14:paraId="054C13DE" w14:textId="77777777" w:rsidR="009D33A8" w:rsidRPr="00400556" w:rsidRDefault="009D33A8">
            <w:pPr>
              <w:keepNext/>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 xml:space="preserve">General </w:t>
            </w:r>
            <w:r w:rsidRPr="00400556">
              <w:rPr>
                <w:sz w:val="16"/>
                <w:szCs w:val="16"/>
              </w:rPr>
              <w:br/>
              <w:t>government sector</w:t>
            </w:r>
          </w:p>
        </w:tc>
        <w:tc>
          <w:tcPr>
            <w:tcW w:w="1842" w:type="dxa"/>
            <w:gridSpan w:val="2"/>
          </w:tcPr>
          <w:p w14:paraId="52A2E4AB" w14:textId="77777777" w:rsidR="009D33A8" w:rsidRPr="00400556" w:rsidRDefault="009D33A8">
            <w:pPr>
              <w:keepNext/>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Public non</w:t>
            </w:r>
            <w:r w:rsidRPr="00400556">
              <w:rPr>
                <w:sz w:val="16"/>
                <w:szCs w:val="16"/>
              </w:rPr>
              <w:noBreakHyphen/>
              <w:t>financial corporations</w:t>
            </w:r>
          </w:p>
        </w:tc>
      </w:tr>
      <w:tr w:rsidR="009D33A8" w:rsidRPr="00E50422" w14:paraId="4D4DB77D" w14:textId="77777777" w:rsidTr="003874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FAAF8E8" w14:textId="77777777" w:rsidR="009D33A8" w:rsidRPr="00400556" w:rsidRDefault="009D33A8">
            <w:pPr>
              <w:keepNext/>
              <w:spacing w:after="0"/>
              <w:rPr>
                <w:sz w:val="16"/>
                <w:szCs w:val="16"/>
              </w:rPr>
            </w:pPr>
          </w:p>
        </w:tc>
        <w:tc>
          <w:tcPr>
            <w:tcW w:w="921" w:type="dxa"/>
            <w:gridSpan w:val="2"/>
          </w:tcPr>
          <w:p w14:paraId="0D1BC63C" w14:textId="77777777" w:rsidR="009D33A8" w:rsidRPr="00400556" w:rsidRDefault="009D33A8">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2025</w:t>
            </w:r>
          </w:p>
        </w:tc>
        <w:tc>
          <w:tcPr>
            <w:tcW w:w="921" w:type="dxa"/>
          </w:tcPr>
          <w:p w14:paraId="7D909946" w14:textId="77777777" w:rsidR="009D33A8" w:rsidRPr="00400556" w:rsidRDefault="009D33A8">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2024</w:t>
            </w:r>
          </w:p>
        </w:tc>
        <w:tc>
          <w:tcPr>
            <w:tcW w:w="921" w:type="dxa"/>
          </w:tcPr>
          <w:p w14:paraId="2F551C73" w14:textId="77777777" w:rsidR="009D33A8" w:rsidRPr="00400556" w:rsidRDefault="009D33A8">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2025</w:t>
            </w:r>
          </w:p>
        </w:tc>
        <w:tc>
          <w:tcPr>
            <w:tcW w:w="921" w:type="dxa"/>
          </w:tcPr>
          <w:p w14:paraId="6F3131BB" w14:textId="77777777" w:rsidR="009D33A8" w:rsidRPr="00400556" w:rsidRDefault="009D33A8">
            <w:pPr>
              <w:keepNext/>
              <w:spacing w:after="0"/>
              <w:cnfStyle w:val="100000000000" w:firstRow="1" w:lastRow="0" w:firstColumn="0" w:lastColumn="0" w:oddVBand="0" w:evenVBand="0" w:oddHBand="0" w:evenHBand="0" w:firstRowFirstColumn="0" w:firstRowLastColumn="0" w:lastRowFirstColumn="0" w:lastRowLastColumn="0"/>
              <w:rPr>
                <w:sz w:val="16"/>
                <w:szCs w:val="16"/>
              </w:rPr>
            </w:pPr>
            <w:r w:rsidRPr="00400556">
              <w:rPr>
                <w:sz w:val="16"/>
                <w:szCs w:val="16"/>
              </w:rPr>
              <w:t>2024</w:t>
            </w:r>
          </w:p>
        </w:tc>
      </w:tr>
      <w:tr w:rsidR="009D33A8" w:rsidRPr="00E50422" w14:paraId="310BA37C"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9850742" w14:textId="77777777" w:rsidR="009D33A8" w:rsidRPr="00400556" w:rsidRDefault="009D33A8">
            <w:pPr>
              <w:spacing w:after="0"/>
              <w:rPr>
                <w:sz w:val="16"/>
                <w:szCs w:val="16"/>
              </w:rPr>
            </w:pPr>
            <w:r w:rsidRPr="00400556">
              <w:rPr>
                <w:b/>
                <w:sz w:val="16"/>
                <w:szCs w:val="16"/>
              </w:rPr>
              <w:t>Cash flows from operating activities</w:t>
            </w:r>
          </w:p>
        </w:tc>
        <w:tc>
          <w:tcPr>
            <w:tcW w:w="921" w:type="dxa"/>
            <w:gridSpan w:val="2"/>
          </w:tcPr>
          <w:p w14:paraId="3F74487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6B0BEC3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4372F48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2C1B5EA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238ACE88"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268B8BF6" w14:textId="77777777" w:rsidR="009D33A8" w:rsidRPr="00400556" w:rsidRDefault="009D33A8">
            <w:pPr>
              <w:spacing w:after="0"/>
              <w:rPr>
                <w:sz w:val="16"/>
                <w:szCs w:val="16"/>
              </w:rPr>
            </w:pPr>
            <w:r w:rsidRPr="00400556">
              <w:rPr>
                <w:b/>
                <w:sz w:val="16"/>
                <w:szCs w:val="16"/>
              </w:rPr>
              <w:t>Receipts</w:t>
            </w:r>
          </w:p>
        </w:tc>
        <w:tc>
          <w:tcPr>
            <w:tcW w:w="921" w:type="dxa"/>
            <w:gridSpan w:val="2"/>
          </w:tcPr>
          <w:p w14:paraId="528533E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5B2444E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19756AE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4891FC5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69417846"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1F21F5F9" w14:textId="77777777" w:rsidR="009D33A8" w:rsidRPr="00400556" w:rsidRDefault="009D33A8">
            <w:pPr>
              <w:spacing w:after="0"/>
              <w:rPr>
                <w:sz w:val="16"/>
                <w:szCs w:val="16"/>
              </w:rPr>
            </w:pPr>
            <w:r w:rsidRPr="00400556">
              <w:rPr>
                <w:sz w:val="16"/>
                <w:szCs w:val="16"/>
              </w:rPr>
              <w:t>Taxes received</w:t>
            </w:r>
          </w:p>
        </w:tc>
        <w:tc>
          <w:tcPr>
            <w:tcW w:w="921" w:type="dxa"/>
            <w:gridSpan w:val="2"/>
          </w:tcPr>
          <w:p w14:paraId="74E61EA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39 414</w:t>
            </w:r>
          </w:p>
        </w:tc>
        <w:tc>
          <w:tcPr>
            <w:tcW w:w="921" w:type="dxa"/>
          </w:tcPr>
          <w:p w14:paraId="3B320A2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36 496</w:t>
            </w:r>
          </w:p>
        </w:tc>
        <w:tc>
          <w:tcPr>
            <w:tcW w:w="921" w:type="dxa"/>
          </w:tcPr>
          <w:p w14:paraId="09BBC01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Pr>
          <w:p w14:paraId="02C561B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r>
      <w:tr w:rsidR="009D33A8" w:rsidRPr="00E50422" w14:paraId="6BE404F0"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0FAFFF62" w14:textId="77777777" w:rsidR="009D33A8" w:rsidRPr="00400556" w:rsidRDefault="009D33A8">
            <w:pPr>
              <w:spacing w:after="0"/>
              <w:rPr>
                <w:sz w:val="16"/>
                <w:szCs w:val="16"/>
              </w:rPr>
            </w:pPr>
            <w:r w:rsidRPr="00400556">
              <w:rPr>
                <w:sz w:val="16"/>
                <w:szCs w:val="16"/>
              </w:rPr>
              <w:t>Grants</w:t>
            </w:r>
          </w:p>
        </w:tc>
        <w:tc>
          <w:tcPr>
            <w:tcW w:w="921" w:type="dxa"/>
            <w:gridSpan w:val="2"/>
          </w:tcPr>
          <w:p w14:paraId="6DE516E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47 029</w:t>
            </w:r>
          </w:p>
        </w:tc>
        <w:tc>
          <w:tcPr>
            <w:tcW w:w="921" w:type="dxa"/>
          </w:tcPr>
          <w:p w14:paraId="08ADC1D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41 062</w:t>
            </w:r>
          </w:p>
        </w:tc>
        <w:tc>
          <w:tcPr>
            <w:tcW w:w="921" w:type="dxa"/>
          </w:tcPr>
          <w:p w14:paraId="0CF2280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2 561</w:t>
            </w:r>
          </w:p>
        </w:tc>
        <w:tc>
          <w:tcPr>
            <w:tcW w:w="921" w:type="dxa"/>
          </w:tcPr>
          <w:p w14:paraId="40F7577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2 358</w:t>
            </w:r>
          </w:p>
        </w:tc>
      </w:tr>
      <w:tr w:rsidR="009D33A8" w:rsidRPr="00E50422" w14:paraId="48B5E538"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259E63AD" w14:textId="77777777" w:rsidR="009D33A8" w:rsidRPr="00400556" w:rsidRDefault="009D33A8">
            <w:pPr>
              <w:spacing w:after="0"/>
              <w:rPr>
                <w:sz w:val="16"/>
                <w:szCs w:val="16"/>
              </w:rPr>
            </w:pPr>
            <w:r w:rsidRPr="00400556">
              <w:rPr>
                <w:sz w:val="16"/>
                <w:szCs w:val="16"/>
              </w:rPr>
              <w:t xml:space="preserve">Sales of goods and services </w:t>
            </w:r>
            <w:r w:rsidRPr="00400556">
              <w:rPr>
                <w:sz w:val="16"/>
                <w:szCs w:val="16"/>
                <w:vertAlign w:val="superscript"/>
              </w:rPr>
              <w:t>(a)</w:t>
            </w:r>
          </w:p>
        </w:tc>
        <w:tc>
          <w:tcPr>
            <w:tcW w:w="921" w:type="dxa"/>
            <w:gridSpan w:val="2"/>
          </w:tcPr>
          <w:p w14:paraId="48629A5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7 478</w:t>
            </w:r>
          </w:p>
        </w:tc>
        <w:tc>
          <w:tcPr>
            <w:tcW w:w="921" w:type="dxa"/>
          </w:tcPr>
          <w:p w14:paraId="09C717A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6 894</w:t>
            </w:r>
          </w:p>
        </w:tc>
        <w:tc>
          <w:tcPr>
            <w:tcW w:w="921" w:type="dxa"/>
          </w:tcPr>
          <w:p w14:paraId="35E32FA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8 535</w:t>
            </w:r>
          </w:p>
        </w:tc>
        <w:tc>
          <w:tcPr>
            <w:tcW w:w="921" w:type="dxa"/>
          </w:tcPr>
          <w:p w14:paraId="67A8905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8 152</w:t>
            </w:r>
          </w:p>
        </w:tc>
      </w:tr>
      <w:tr w:rsidR="009D33A8" w:rsidRPr="00E50422" w14:paraId="71050D1F"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0527751B" w14:textId="77777777" w:rsidR="009D33A8" w:rsidRPr="00400556" w:rsidRDefault="009D33A8">
            <w:pPr>
              <w:spacing w:after="0"/>
              <w:rPr>
                <w:sz w:val="16"/>
                <w:szCs w:val="16"/>
              </w:rPr>
            </w:pPr>
            <w:r w:rsidRPr="00400556">
              <w:rPr>
                <w:sz w:val="16"/>
                <w:szCs w:val="16"/>
              </w:rPr>
              <w:t>Interest received</w:t>
            </w:r>
          </w:p>
        </w:tc>
        <w:tc>
          <w:tcPr>
            <w:tcW w:w="921" w:type="dxa"/>
            <w:gridSpan w:val="2"/>
          </w:tcPr>
          <w:p w14:paraId="55C4458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1 449</w:t>
            </w:r>
          </w:p>
        </w:tc>
        <w:tc>
          <w:tcPr>
            <w:tcW w:w="921" w:type="dxa"/>
          </w:tcPr>
          <w:p w14:paraId="65AC392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1 691</w:t>
            </w:r>
          </w:p>
        </w:tc>
        <w:tc>
          <w:tcPr>
            <w:tcW w:w="921" w:type="dxa"/>
          </w:tcPr>
          <w:p w14:paraId="1B18DF8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139</w:t>
            </w:r>
          </w:p>
        </w:tc>
        <w:tc>
          <w:tcPr>
            <w:tcW w:w="921" w:type="dxa"/>
          </w:tcPr>
          <w:p w14:paraId="2444733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131</w:t>
            </w:r>
          </w:p>
        </w:tc>
      </w:tr>
      <w:tr w:rsidR="009D33A8" w:rsidRPr="00E50422" w14:paraId="65894A35"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69D56009" w14:textId="77777777" w:rsidR="009D33A8" w:rsidRPr="00400556" w:rsidRDefault="009D33A8">
            <w:pPr>
              <w:spacing w:after="0"/>
              <w:rPr>
                <w:sz w:val="16"/>
                <w:szCs w:val="16"/>
              </w:rPr>
            </w:pPr>
            <w:r w:rsidRPr="00400556">
              <w:rPr>
                <w:sz w:val="16"/>
                <w:szCs w:val="16"/>
              </w:rPr>
              <w:t>Dividends and income tax equivalent receipts</w:t>
            </w:r>
          </w:p>
        </w:tc>
        <w:tc>
          <w:tcPr>
            <w:tcW w:w="921" w:type="dxa"/>
            <w:gridSpan w:val="2"/>
          </w:tcPr>
          <w:p w14:paraId="39D22A3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2 347</w:t>
            </w:r>
          </w:p>
        </w:tc>
        <w:tc>
          <w:tcPr>
            <w:tcW w:w="921" w:type="dxa"/>
          </w:tcPr>
          <w:p w14:paraId="4EA9430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2 645</w:t>
            </w:r>
          </w:p>
        </w:tc>
        <w:tc>
          <w:tcPr>
            <w:tcW w:w="921" w:type="dxa"/>
          </w:tcPr>
          <w:p w14:paraId="4E7CA02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29</w:t>
            </w:r>
          </w:p>
        </w:tc>
        <w:tc>
          <w:tcPr>
            <w:tcW w:w="921" w:type="dxa"/>
          </w:tcPr>
          <w:p w14:paraId="1E19F99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46</w:t>
            </w:r>
          </w:p>
        </w:tc>
      </w:tr>
      <w:tr w:rsidR="009D33A8" w:rsidRPr="00E50422" w14:paraId="0257CB37"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EF0B51C" w14:textId="77777777" w:rsidR="009D33A8" w:rsidRPr="00400556" w:rsidRDefault="009D33A8">
            <w:pPr>
              <w:spacing w:after="0"/>
              <w:rPr>
                <w:sz w:val="16"/>
                <w:szCs w:val="16"/>
              </w:rPr>
            </w:pPr>
            <w:r w:rsidRPr="00400556">
              <w:rPr>
                <w:sz w:val="16"/>
                <w:szCs w:val="16"/>
              </w:rPr>
              <w:t>Other receipts</w:t>
            </w:r>
          </w:p>
        </w:tc>
        <w:tc>
          <w:tcPr>
            <w:tcW w:w="921" w:type="dxa"/>
            <w:gridSpan w:val="2"/>
            <w:tcBorders>
              <w:bottom w:val="single" w:sz="6" w:space="0" w:color="auto"/>
            </w:tcBorders>
          </w:tcPr>
          <w:p w14:paraId="5360D58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2 989</w:t>
            </w:r>
          </w:p>
        </w:tc>
        <w:tc>
          <w:tcPr>
            <w:tcW w:w="921" w:type="dxa"/>
            <w:tcBorders>
              <w:bottom w:val="single" w:sz="6" w:space="0" w:color="auto"/>
            </w:tcBorders>
          </w:tcPr>
          <w:p w14:paraId="44ED6F0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2 408</w:t>
            </w:r>
          </w:p>
        </w:tc>
        <w:tc>
          <w:tcPr>
            <w:tcW w:w="921" w:type="dxa"/>
            <w:tcBorders>
              <w:bottom w:val="single" w:sz="6" w:space="0" w:color="auto"/>
            </w:tcBorders>
          </w:tcPr>
          <w:p w14:paraId="63C8E2C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273</w:t>
            </w:r>
          </w:p>
        </w:tc>
        <w:tc>
          <w:tcPr>
            <w:tcW w:w="921" w:type="dxa"/>
            <w:tcBorders>
              <w:bottom w:val="single" w:sz="6" w:space="0" w:color="auto"/>
            </w:tcBorders>
          </w:tcPr>
          <w:p w14:paraId="2CB04BC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406</w:t>
            </w:r>
          </w:p>
        </w:tc>
      </w:tr>
      <w:tr w:rsidR="009D33A8" w:rsidRPr="00E50422" w14:paraId="3A1B0B04"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D1BC01D" w14:textId="77777777" w:rsidR="009D33A8" w:rsidRPr="00400556" w:rsidRDefault="009D33A8">
            <w:pPr>
              <w:spacing w:after="0"/>
              <w:rPr>
                <w:sz w:val="16"/>
                <w:szCs w:val="16"/>
              </w:rPr>
            </w:pPr>
            <w:r w:rsidRPr="00400556">
              <w:rPr>
                <w:b/>
                <w:sz w:val="16"/>
                <w:szCs w:val="16"/>
              </w:rPr>
              <w:t>Total receipts</w:t>
            </w:r>
          </w:p>
        </w:tc>
        <w:tc>
          <w:tcPr>
            <w:tcW w:w="921" w:type="dxa"/>
            <w:gridSpan w:val="2"/>
            <w:tcBorders>
              <w:top w:val="single" w:sz="6" w:space="0" w:color="auto"/>
            </w:tcBorders>
          </w:tcPr>
          <w:p w14:paraId="2CA60F2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100 706</w:t>
            </w:r>
          </w:p>
        </w:tc>
        <w:tc>
          <w:tcPr>
            <w:tcW w:w="921" w:type="dxa"/>
            <w:tcBorders>
              <w:top w:val="single" w:sz="6" w:space="0" w:color="auto"/>
            </w:tcBorders>
          </w:tcPr>
          <w:p w14:paraId="79A003E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91 197</w:t>
            </w:r>
          </w:p>
        </w:tc>
        <w:tc>
          <w:tcPr>
            <w:tcW w:w="921" w:type="dxa"/>
            <w:tcBorders>
              <w:top w:val="single" w:sz="6" w:space="0" w:color="auto"/>
            </w:tcBorders>
          </w:tcPr>
          <w:p w14:paraId="0AC2089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11 537</w:t>
            </w:r>
          </w:p>
        </w:tc>
        <w:tc>
          <w:tcPr>
            <w:tcW w:w="921" w:type="dxa"/>
            <w:tcBorders>
              <w:top w:val="single" w:sz="6" w:space="0" w:color="auto"/>
            </w:tcBorders>
          </w:tcPr>
          <w:p w14:paraId="50CF41C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11 093</w:t>
            </w:r>
          </w:p>
        </w:tc>
      </w:tr>
      <w:tr w:rsidR="009D33A8" w:rsidRPr="00E50422" w14:paraId="08664C57"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A827A3C" w14:textId="77777777" w:rsidR="009D33A8" w:rsidRPr="00400556" w:rsidRDefault="009D33A8">
            <w:pPr>
              <w:spacing w:after="0"/>
              <w:rPr>
                <w:sz w:val="16"/>
                <w:szCs w:val="16"/>
              </w:rPr>
            </w:pPr>
            <w:r w:rsidRPr="00400556">
              <w:rPr>
                <w:b/>
                <w:sz w:val="16"/>
                <w:szCs w:val="16"/>
              </w:rPr>
              <w:t>Payments</w:t>
            </w:r>
          </w:p>
        </w:tc>
        <w:tc>
          <w:tcPr>
            <w:tcW w:w="921" w:type="dxa"/>
            <w:gridSpan w:val="2"/>
          </w:tcPr>
          <w:p w14:paraId="3A982B3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7ABE812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796E448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1648F83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5AC47EF8"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78B6598" w14:textId="77777777" w:rsidR="009D33A8" w:rsidRPr="00400556" w:rsidRDefault="009D33A8">
            <w:pPr>
              <w:spacing w:after="0"/>
              <w:rPr>
                <w:sz w:val="16"/>
                <w:szCs w:val="16"/>
              </w:rPr>
            </w:pPr>
            <w:r w:rsidRPr="00400556">
              <w:rPr>
                <w:sz w:val="16"/>
                <w:szCs w:val="16"/>
              </w:rPr>
              <w:t>Payments for employees</w:t>
            </w:r>
          </w:p>
        </w:tc>
        <w:tc>
          <w:tcPr>
            <w:tcW w:w="921" w:type="dxa"/>
            <w:gridSpan w:val="2"/>
          </w:tcPr>
          <w:p w14:paraId="19C556B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(37 595)</w:t>
            </w:r>
          </w:p>
        </w:tc>
        <w:tc>
          <w:tcPr>
            <w:tcW w:w="921" w:type="dxa"/>
          </w:tcPr>
          <w:p w14:paraId="429C131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(35 074)</w:t>
            </w:r>
          </w:p>
        </w:tc>
        <w:tc>
          <w:tcPr>
            <w:tcW w:w="921" w:type="dxa"/>
          </w:tcPr>
          <w:p w14:paraId="7895B2D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(2 080)</w:t>
            </w:r>
          </w:p>
        </w:tc>
        <w:tc>
          <w:tcPr>
            <w:tcW w:w="921" w:type="dxa"/>
          </w:tcPr>
          <w:p w14:paraId="21FBFA7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(1 934)</w:t>
            </w:r>
          </w:p>
        </w:tc>
      </w:tr>
      <w:tr w:rsidR="009D33A8" w:rsidRPr="00E50422" w14:paraId="21FA1EA0"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F47E4D5" w14:textId="77777777" w:rsidR="009D33A8" w:rsidRPr="00400556" w:rsidRDefault="009D33A8">
            <w:pPr>
              <w:spacing w:after="0"/>
              <w:rPr>
                <w:sz w:val="16"/>
                <w:szCs w:val="16"/>
              </w:rPr>
            </w:pPr>
            <w:r w:rsidRPr="00400556">
              <w:rPr>
                <w:sz w:val="16"/>
                <w:szCs w:val="16"/>
              </w:rPr>
              <w:t>Superannuation</w:t>
            </w:r>
          </w:p>
        </w:tc>
        <w:tc>
          <w:tcPr>
            <w:tcW w:w="921" w:type="dxa"/>
            <w:gridSpan w:val="2"/>
          </w:tcPr>
          <w:p w14:paraId="4422991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(4 464)</w:t>
            </w:r>
          </w:p>
        </w:tc>
        <w:tc>
          <w:tcPr>
            <w:tcW w:w="921" w:type="dxa"/>
          </w:tcPr>
          <w:p w14:paraId="7E570B4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(3 853)</w:t>
            </w:r>
          </w:p>
        </w:tc>
        <w:tc>
          <w:tcPr>
            <w:tcW w:w="921" w:type="dxa"/>
          </w:tcPr>
          <w:p w14:paraId="6C585E0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(217)</w:t>
            </w:r>
          </w:p>
        </w:tc>
        <w:tc>
          <w:tcPr>
            <w:tcW w:w="921" w:type="dxa"/>
          </w:tcPr>
          <w:p w14:paraId="151D595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(190)</w:t>
            </w:r>
          </w:p>
        </w:tc>
      </w:tr>
      <w:tr w:rsidR="009D33A8" w:rsidRPr="00E50422" w14:paraId="1F4205DF"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1375B1CD" w14:textId="77777777" w:rsidR="009D33A8" w:rsidRPr="00400556" w:rsidRDefault="009D33A8">
            <w:pPr>
              <w:spacing w:after="0"/>
              <w:rPr>
                <w:sz w:val="16"/>
                <w:szCs w:val="16"/>
              </w:rPr>
            </w:pPr>
            <w:r w:rsidRPr="00400556">
              <w:rPr>
                <w:sz w:val="16"/>
                <w:szCs w:val="16"/>
              </w:rPr>
              <w:t>Interest paid</w:t>
            </w:r>
          </w:p>
        </w:tc>
        <w:tc>
          <w:tcPr>
            <w:tcW w:w="921" w:type="dxa"/>
            <w:gridSpan w:val="2"/>
          </w:tcPr>
          <w:p w14:paraId="2532B88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(6 421)</w:t>
            </w:r>
          </w:p>
        </w:tc>
        <w:tc>
          <w:tcPr>
            <w:tcW w:w="921" w:type="dxa"/>
          </w:tcPr>
          <w:p w14:paraId="25DCD4B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(5 262)</w:t>
            </w:r>
          </w:p>
        </w:tc>
        <w:tc>
          <w:tcPr>
            <w:tcW w:w="921" w:type="dxa"/>
          </w:tcPr>
          <w:p w14:paraId="23D9AF5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(1 012)</w:t>
            </w:r>
          </w:p>
        </w:tc>
        <w:tc>
          <w:tcPr>
            <w:tcW w:w="921" w:type="dxa"/>
          </w:tcPr>
          <w:p w14:paraId="7127CF2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(928)</w:t>
            </w:r>
          </w:p>
        </w:tc>
      </w:tr>
      <w:tr w:rsidR="009D33A8" w:rsidRPr="00E50422" w14:paraId="2679FC60"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42E8109B" w14:textId="77777777" w:rsidR="009D33A8" w:rsidRPr="00400556" w:rsidRDefault="009D33A8">
            <w:pPr>
              <w:spacing w:after="0"/>
              <w:rPr>
                <w:sz w:val="16"/>
                <w:szCs w:val="16"/>
              </w:rPr>
            </w:pPr>
            <w:r w:rsidRPr="00400556">
              <w:rPr>
                <w:sz w:val="16"/>
                <w:szCs w:val="16"/>
              </w:rPr>
              <w:t>Grants and subsidies</w:t>
            </w:r>
          </w:p>
        </w:tc>
        <w:tc>
          <w:tcPr>
            <w:tcW w:w="921" w:type="dxa"/>
            <w:gridSpan w:val="2"/>
          </w:tcPr>
          <w:p w14:paraId="5BD1E6E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(17 987)</w:t>
            </w:r>
          </w:p>
        </w:tc>
        <w:tc>
          <w:tcPr>
            <w:tcW w:w="921" w:type="dxa"/>
          </w:tcPr>
          <w:p w14:paraId="1E94B2B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(15 936)</w:t>
            </w:r>
          </w:p>
        </w:tc>
        <w:tc>
          <w:tcPr>
            <w:tcW w:w="921" w:type="dxa"/>
          </w:tcPr>
          <w:p w14:paraId="49980AA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(344)</w:t>
            </w:r>
          </w:p>
        </w:tc>
        <w:tc>
          <w:tcPr>
            <w:tcW w:w="921" w:type="dxa"/>
          </w:tcPr>
          <w:p w14:paraId="68DDF7D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(471)</w:t>
            </w:r>
          </w:p>
        </w:tc>
      </w:tr>
      <w:tr w:rsidR="009D33A8" w:rsidRPr="00E50422" w14:paraId="0C45CDA7"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0D3BFB9" w14:textId="77777777" w:rsidR="009D33A8" w:rsidRPr="00400556" w:rsidRDefault="009D33A8">
            <w:pPr>
              <w:spacing w:after="0"/>
              <w:rPr>
                <w:sz w:val="16"/>
                <w:szCs w:val="16"/>
              </w:rPr>
            </w:pPr>
            <w:r w:rsidRPr="00400556">
              <w:rPr>
                <w:sz w:val="16"/>
                <w:szCs w:val="16"/>
              </w:rPr>
              <w:t xml:space="preserve">Goods and services </w:t>
            </w:r>
            <w:r w:rsidRPr="00400556">
              <w:rPr>
                <w:sz w:val="16"/>
                <w:szCs w:val="16"/>
                <w:vertAlign w:val="superscript"/>
              </w:rPr>
              <w:t>(a)</w:t>
            </w:r>
          </w:p>
        </w:tc>
        <w:tc>
          <w:tcPr>
            <w:tcW w:w="921" w:type="dxa"/>
            <w:gridSpan w:val="2"/>
          </w:tcPr>
          <w:p w14:paraId="466EF5A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(29 068)</w:t>
            </w:r>
          </w:p>
        </w:tc>
        <w:tc>
          <w:tcPr>
            <w:tcW w:w="921" w:type="dxa"/>
          </w:tcPr>
          <w:p w14:paraId="29D39CA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(26 868)</w:t>
            </w:r>
          </w:p>
        </w:tc>
        <w:tc>
          <w:tcPr>
            <w:tcW w:w="921" w:type="dxa"/>
          </w:tcPr>
          <w:p w14:paraId="362E86D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(5 927)</w:t>
            </w:r>
          </w:p>
        </w:tc>
        <w:tc>
          <w:tcPr>
            <w:tcW w:w="921" w:type="dxa"/>
          </w:tcPr>
          <w:p w14:paraId="31F7D8D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(5 683)</w:t>
            </w:r>
          </w:p>
        </w:tc>
      </w:tr>
      <w:tr w:rsidR="009D33A8" w:rsidRPr="00E50422" w14:paraId="7AD2DCB9"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CEF3F94" w14:textId="77777777" w:rsidR="009D33A8" w:rsidRPr="00400556" w:rsidRDefault="009D33A8">
            <w:pPr>
              <w:spacing w:after="0"/>
              <w:rPr>
                <w:sz w:val="16"/>
                <w:szCs w:val="16"/>
              </w:rPr>
            </w:pPr>
            <w:r w:rsidRPr="00400556">
              <w:rPr>
                <w:sz w:val="16"/>
                <w:szCs w:val="16"/>
              </w:rPr>
              <w:t>Other payments</w:t>
            </w:r>
          </w:p>
        </w:tc>
        <w:tc>
          <w:tcPr>
            <w:tcW w:w="921" w:type="dxa"/>
            <w:gridSpan w:val="2"/>
            <w:tcBorders>
              <w:bottom w:val="single" w:sz="6" w:space="0" w:color="auto"/>
            </w:tcBorders>
          </w:tcPr>
          <w:p w14:paraId="31670EA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(1 939)</w:t>
            </w:r>
          </w:p>
        </w:tc>
        <w:tc>
          <w:tcPr>
            <w:tcW w:w="921" w:type="dxa"/>
            <w:tcBorders>
              <w:bottom w:val="single" w:sz="6" w:space="0" w:color="auto"/>
            </w:tcBorders>
          </w:tcPr>
          <w:p w14:paraId="59A9AFC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(1 582)</w:t>
            </w:r>
          </w:p>
        </w:tc>
        <w:tc>
          <w:tcPr>
            <w:tcW w:w="921" w:type="dxa"/>
            <w:tcBorders>
              <w:bottom w:val="single" w:sz="6" w:space="0" w:color="auto"/>
            </w:tcBorders>
          </w:tcPr>
          <w:p w14:paraId="5DC924F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(491)</w:t>
            </w:r>
          </w:p>
        </w:tc>
        <w:tc>
          <w:tcPr>
            <w:tcW w:w="921" w:type="dxa"/>
            <w:tcBorders>
              <w:bottom w:val="single" w:sz="6" w:space="0" w:color="auto"/>
            </w:tcBorders>
          </w:tcPr>
          <w:p w14:paraId="089C9A2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(445)</w:t>
            </w:r>
          </w:p>
        </w:tc>
      </w:tr>
      <w:tr w:rsidR="009D33A8" w:rsidRPr="00E50422" w14:paraId="17ADB8BD"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066AB081" w14:textId="77777777" w:rsidR="009D33A8" w:rsidRPr="00400556" w:rsidRDefault="009D33A8">
            <w:pPr>
              <w:spacing w:after="0"/>
              <w:rPr>
                <w:sz w:val="16"/>
                <w:szCs w:val="16"/>
              </w:rPr>
            </w:pPr>
            <w:r w:rsidRPr="00400556">
              <w:rPr>
                <w:b/>
                <w:sz w:val="16"/>
                <w:szCs w:val="16"/>
              </w:rPr>
              <w:t>Total payments</w:t>
            </w:r>
          </w:p>
        </w:tc>
        <w:tc>
          <w:tcPr>
            <w:tcW w:w="921" w:type="dxa"/>
            <w:gridSpan w:val="2"/>
            <w:tcBorders>
              <w:top w:val="single" w:sz="6" w:space="0" w:color="auto"/>
              <w:bottom w:val="single" w:sz="6" w:space="0" w:color="auto"/>
            </w:tcBorders>
          </w:tcPr>
          <w:p w14:paraId="4601EBC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(97 474)</w:t>
            </w:r>
          </w:p>
        </w:tc>
        <w:tc>
          <w:tcPr>
            <w:tcW w:w="921" w:type="dxa"/>
            <w:tcBorders>
              <w:top w:val="single" w:sz="6" w:space="0" w:color="auto"/>
              <w:bottom w:val="single" w:sz="6" w:space="0" w:color="auto"/>
            </w:tcBorders>
          </w:tcPr>
          <w:p w14:paraId="52BE090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(88 574)</w:t>
            </w:r>
          </w:p>
        </w:tc>
        <w:tc>
          <w:tcPr>
            <w:tcW w:w="921" w:type="dxa"/>
            <w:tcBorders>
              <w:top w:val="single" w:sz="6" w:space="0" w:color="auto"/>
              <w:bottom w:val="single" w:sz="6" w:space="0" w:color="auto"/>
            </w:tcBorders>
          </w:tcPr>
          <w:p w14:paraId="5F6C468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(10 071)</w:t>
            </w:r>
          </w:p>
        </w:tc>
        <w:tc>
          <w:tcPr>
            <w:tcW w:w="921" w:type="dxa"/>
            <w:tcBorders>
              <w:top w:val="single" w:sz="6" w:space="0" w:color="auto"/>
              <w:bottom w:val="single" w:sz="6" w:space="0" w:color="auto"/>
            </w:tcBorders>
          </w:tcPr>
          <w:p w14:paraId="57DB6B3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(9 651)</w:t>
            </w:r>
          </w:p>
        </w:tc>
      </w:tr>
      <w:tr w:rsidR="009D33A8" w:rsidRPr="00E50422" w14:paraId="606EA2B1"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E94D943" w14:textId="77777777" w:rsidR="009D33A8" w:rsidRPr="00400556" w:rsidRDefault="009D33A8">
            <w:pPr>
              <w:spacing w:after="0"/>
              <w:rPr>
                <w:sz w:val="16"/>
                <w:szCs w:val="16"/>
              </w:rPr>
            </w:pPr>
            <w:r w:rsidRPr="00400556">
              <w:rPr>
                <w:b/>
                <w:sz w:val="16"/>
                <w:szCs w:val="16"/>
              </w:rPr>
              <w:t>Net cash flows from operating activities</w:t>
            </w:r>
          </w:p>
        </w:tc>
        <w:tc>
          <w:tcPr>
            <w:tcW w:w="921" w:type="dxa"/>
            <w:gridSpan w:val="2"/>
            <w:tcBorders>
              <w:top w:val="single" w:sz="6" w:space="0" w:color="auto"/>
            </w:tcBorders>
          </w:tcPr>
          <w:p w14:paraId="2F5FDEC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3 233</w:t>
            </w:r>
          </w:p>
        </w:tc>
        <w:tc>
          <w:tcPr>
            <w:tcW w:w="921" w:type="dxa"/>
            <w:tcBorders>
              <w:top w:val="single" w:sz="6" w:space="0" w:color="auto"/>
            </w:tcBorders>
          </w:tcPr>
          <w:p w14:paraId="0BF2EA8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2 623</w:t>
            </w:r>
          </w:p>
        </w:tc>
        <w:tc>
          <w:tcPr>
            <w:tcW w:w="921" w:type="dxa"/>
            <w:tcBorders>
              <w:top w:val="single" w:sz="6" w:space="0" w:color="auto"/>
            </w:tcBorders>
          </w:tcPr>
          <w:p w14:paraId="011C6CF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1 466</w:t>
            </w:r>
          </w:p>
        </w:tc>
        <w:tc>
          <w:tcPr>
            <w:tcW w:w="921" w:type="dxa"/>
            <w:tcBorders>
              <w:top w:val="single" w:sz="6" w:space="0" w:color="auto"/>
            </w:tcBorders>
          </w:tcPr>
          <w:p w14:paraId="3A8D792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1 442</w:t>
            </w:r>
          </w:p>
        </w:tc>
      </w:tr>
      <w:tr w:rsidR="009D33A8" w:rsidRPr="00E50422" w14:paraId="44A73B19"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0F644276" w14:textId="77777777" w:rsidR="009D33A8" w:rsidRPr="00400556" w:rsidRDefault="009D33A8">
            <w:pPr>
              <w:spacing w:after="0"/>
              <w:rPr>
                <w:sz w:val="16"/>
                <w:szCs w:val="16"/>
              </w:rPr>
            </w:pPr>
            <w:r w:rsidRPr="00400556">
              <w:rPr>
                <w:b/>
                <w:sz w:val="16"/>
                <w:szCs w:val="16"/>
              </w:rPr>
              <w:t>Cash flows from investing activities</w:t>
            </w:r>
          </w:p>
        </w:tc>
        <w:tc>
          <w:tcPr>
            <w:tcW w:w="921" w:type="dxa"/>
            <w:gridSpan w:val="2"/>
          </w:tcPr>
          <w:p w14:paraId="14565A6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4FD6B10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7A5144C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1AC9A40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64E9293A"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E9306A5" w14:textId="77777777" w:rsidR="009D33A8" w:rsidRPr="00400556" w:rsidRDefault="009D33A8">
            <w:pPr>
              <w:spacing w:after="0"/>
              <w:rPr>
                <w:sz w:val="16"/>
                <w:szCs w:val="16"/>
              </w:rPr>
            </w:pPr>
            <w:r w:rsidRPr="00400556">
              <w:rPr>
                <w:b/>
                <w:sz w:val="16"/>
                <w:szCs w:val="16"/>
              </w:rPr>
              <w:t>Cash flows from investments in non</w:t>
            </w:r>
            <w:r w:rsidRPr="00400556">
              <w:rPr>
                <w:b/>
                <w:sz w:val="16"/>
                <w:szCs w:val="16"/>
              </w:rPr>
              <w:noBreakHyphen/>
              <w:t>financial assets</w:t>
            </w:r>
          </w:p>
        </w:tc>
        <w:tc>
          <w:tcPr>
            <w:tcW w:w="921" w:type="dxa"/>
            <w:gridSpan w:val="2"/>
          </w:tcPr>
          <w:p w14:paraId="4972DC9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5685F90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6CAF6FC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215F6D1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395D9660"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FDF8B68" w14:textId="77777777" w:rsidR="009D33A8" w:rsidRPr="00400556" w:rsidRDefault="009D33A8">
            <w:pPr>
              <w:spacing w:after="0"/>
              <w:rPr>
                <w:sz w:val="16"/>
                <w:szCs w:val="16"/>
              </w:rPr>
            </w:pPr>
            <w:r w:rsidRPr="00400556">
              <w:rPr>
                <w:sz w:val="16"/>
                <w:szCs w:val="16"/>
              </w:rPr>
              <w:t>Purchases of non</w:t>
            </w:r>
            <w:r w:rsidRPr="00400556">
              <w:rPr>
                <w:sz w:val="16"/>
                <w:szCs w:val="16"/>
              </w:rPr>
              <w:noBreakHyphen/>
              <w:t>financial assets</w:t>
            </w:r>
          </w:p>
        </w:tc>
        <w:tc>
          <w:tcPr>
            <w:tcW w:w="921" w:type="dxa"/>
            <w:gridSpan w:val="2"/>
          </w:tcPr>
          <w:p w14:paraId="1DF3FFD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(16 220)</w:t>
            </w:r>
          </w:p>
        </w:tc>
        <w:tc>
          <w:tcPr>
            <w:tcW w:w="921" w:type="dxa"/>
          </w:tcPr>
          <w:p w14:paraId="34AB3DB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(17 375)</w:t>
            </w:r>
          </w:p>
        </w:tc>
        <w:tc>
          <w:tcPr>
            <w:tcW w:w="921" w:type="dxa"/>
          </w:tcPr>
          <w:p w14:paraId="286A6D9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(6 150)</w:t>
            </w:r>
          </w:p>
        </w:tc>
        <w:tc>
          <w:tcPr>
            <w:tcW w:w="921" w:type="dxa"/>
          </w:tcPr>
          <w:p w14:paraId="15FA2B5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(5 772)</w:t>
            </w:r>
          </w:p>
        </w:tc>
      </w:tr>
      <w:tr w:rsidR="009D33A8" w:rsidRPr="00E50422" w14:paraId="40BB0E77"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565EBEAF" w14:textId="77777777" w:rsidR="009D33A8" w:rsidRPr="00400556" w:rsidRDefault="009D33A8">
            <w:pPr>
              <w:spacing w:after="0"/>
              <w:rPr>
                <w:sz w:val="16"/>
                <w:szCs w:val="16"/>
              </w:rPr>
            </w:pPr>
            <w:r w:rsidRPr="00400556">
              <w:rPr>
                <w:sz w:val="16"/>
                <w:szCs w:val="16"/>
              </w:rPr>
              <w:t>Sales of non</w:t>
            </w:r>
            <w:r w:rsidRPr="00400556">
              <w:rPr>
                <w:sz w:val="16"/>
                <w:szCs w:val="16"/>
              </w:rPr>
              <w:noBreakHyphen/>
              <w:t>financial assets</w:t>
            </w:r>
          </w:p>
        </w:tc>
        <w:tc>
          <w:tcPr>
            <w:tcW w:w="921" w:type="dxa"/>
            <w:gridSpan w:val="2"/>
            <w:tcBorders>
              <w:bottom w:val="single" w:sz="6" w:space="0" w:color="auto"/>
            </w:tcBorders>
          </w:tcPr>
          <w:p w14:paraId="0BC6294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232</w:t>
            </w:r>
          </w:p>
        </w:tc>
        <w:tc>
          <w:tcPr>
            <w:tcW w:w="921" w:type="dxa"/>
            <w:tcBorders>
              <w:bottom w:val="single" w:sz="6" w:space="0" w:color="auto"/>
            </w:tcBorders>
          </w:tcPr>
          <w:p w14:paraId="4C2B2DC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319</w:t>
            </w:r>
          </w:p>
        </w:tc>
        <w:tc>
          <w:tcPr>
            <w:tcW w:w="921" w:type="dxa"/>
            <w:tcBorders>
              <w:bottom w:val="single" w:sz="6" w:space="0" w:color="auto"/>
            </w:tcBorders>
          </w:tcPr>
          <w:p w14:paraId="2F8773E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168</w:t>
            </w:r>
          </w:p>
        </w:tc>
        <w:tc>
          <w:tcPr>
            <w:tcW w:w="921" w:type="dxa"/>
            <w:tcBorders>
              <w:bottom w:val="single" w:sz="6" w:space="0" w:color="auto"/>
            </w:tcBorders>
          </w:tcPr>
          <w:p w14:paraId="7A76F5A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351</w:t>
            </w:r>
          </w:p>
        </w:tc>
      </w:tr>
      <w:tr w:rsidR="009D33A8" w:rsidRPr="00E50422" w14:paraId="56DF4D85"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6326BC60" w14:textId="77777777" w:rsidR="009D33A8" w:rsidRPr="00400556" w:rsidRDefault="009D33A8">
            <w:pPr>
              <w:spacing w:after="0"/>
              <w:rPr>
                <w:sz w:val="16"/>
                <w:szCs w:val="16"/>
              </w:rPr>
            </w:pPr>
            <w:r w:rsidRPr="00400556">
              <w:rPr>
                <w:b/>
                <w:sz w:val="16"/>
                <w:szCs w:val="16"/>
              </w:rPr>
              <w:t>Net cash flows from investments in non</w:t>
            </w:r>
            <w:r w:rsidRPr="00400556">
              <w:rPr>
                <w:b/>
                <w:sz w:val="16"/>
                <w:szCs w:val="16"/>
              </w:rPr>
              <w:noBreakHyphen/>
              <w:t>financial assets</w:t>
            </w:r>
          </w:p>
        </w:tc>
        <w:tc>
          <w:tcPr>
            <w:tcW w:w="921" w:type="dxa"/>
            <w:gridSpan w:val="2"/>
            <w:tcBorders>
              <w:top w:val="single" w:sz="6" w:space="0" w:color="auto"/>
            </w:tcBorders>
          </w:tcPr>
          <w:p w14:paraId="6015A43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(15 988)</w:t>
            </w:r>
          </w:p>
        </w:tc>
        <w:tc>
          <w:tcPr>
            <w:tcW w:w="921" w:type="dxa"/>
            <w:tcBorders>
              <w:top w:val="single" w:sz="6" w:space="0" w:color="auto"/>
            </w:tcBorders>
          </w:tcPr>
          <w:p w14:paraId="394996B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(17 056)</w:t>
            </w:r>
          </w:p>
        </w:tc>
        <w:tc>
          <w:tcPr>
            <w:tcW w:w="921" w:type="dxa"/>
            <w:tcBorders>
              <w:top w:val="single" w:sz="6" w:space="0" w:color="auto"/>
            </w:tcBorders>
          </w:tcPr>
          <w:p w14:paraId="5726CD6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(5 983)</w:t>
            </w:r>
          </w:p>
        </w:tc>
        <w:tc>
          <w:tcPr>
            <w:tcW w:w="921" w:type="dxa"/>
            <w:tcBorders>
              <w:top w:val="single" w:sz="6" w:space="0" w:color="auto"/>
            </w:tcBorders>
          </w:tcPr>
          <w:p w14:paraId="06A3D99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(5 421)</w:t>
            </w:r>
          </w:p>
        </w:tc>
      </w:tr>
      <w:tr w:rsidR="009D33A8" w:rsidRPr="00E50422" w14:paraId="6682AC26"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4FADD516" w14:textId="77777777" w:rsidR="009D33A8" w:rsidRPr="00400556" w:rsidRDefault="009D33A8">
            <w:pPr>
              <w:spacing w:after="0"/>
              <w:rPr>
                <w:sz w:val="16"/>
                <w:szCs w:val="16"/>
              </w:rPr>
            </w:pPr>
            <w:r w:rsidRPr="00400556">
              <w:rPr>
                <w:b/>
                <w:sz w:val="16"/>
                <w:szCs w:val="16"/>
              </w:rPr>
              <w:t>Cash flows from investments in financial assets for policy purposes</w:t>
            </w:r>
          </w:p>
        </w:tc>
        <w:tc>
          <w:tcPr>
            <w:tcW w:w="921" w:type="dxa"/>
            <w:gridSpan w:val="2"/>
          </w:tcPr>
          <w:p w14:paraId="5AD48AC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26DDC43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24BC975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7205E08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372D7E4A"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E130E3D" w14:textId="77777777" w:rsidR="009D33A8" w:rsidRPr="00400556" w:rsidRDefault="009D33A8">
            <w:pPr>
              <w:spacing w:after="0"/>
              <w:rPr>
                <w:sz w:val="16"/>
                <w:szCs w:val="16"/>
              </w:rPr>
            </w:pPr>
            <w:r w:rsidRPr="00400556">
              <w:rPr>
                <w:sz w:val="16"/>
                <w:szCs w:val="16"/>
              </w:rPr>
              <w:t>Cash inflows</w:t>
            </w:r>
          </w:p>
        </w:tc>
        <w:tc>
          <w:tcPr>
            <w:tcW w:w="921" w:type="dxa"/>
            <w:gridSpan w:val="2"/>
          </w:tcPr>
          <w:p w14:paraId="7C160B3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971</w:t>
            </w:r>
          </w:p>
        </w:tc>
        <w:tc>
          <w:tcPr>
            <w:tcW w:w="921" w:type="dxa"/>
          </w:tcPr>
          <w:p w14:paraId="74B9C4C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1 789</w:t>
            </w:r>
          </w:p>
        </w:tc>
        <w:tc>
          <w:tcPr>
            <w:tcW w:w="921" w:type="dxa"/>
          </w:tcPr>
          <w:p w14:paraId="15BFDBB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36</w:t>
            </w:r>
          </w:p>
        </w:tc>
        <w:tc>
          <w:tcPr>
            <w:tcW w:w="921" w:type="dxa"/>
          </w:tcPr>
          <w:p w14:paraId="7C5DD7D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421</w:t>
            </w:r>
          </w:p>
        </w:tc>
      </w:tr>
      <w:tr w:rsidR="009D33A8" w:rsidRPr="00E50422" w14:paraId="0FA263D8"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7529F0B" w14:textId="77777777" w:rsidR="009D33A8" w:rsidRPr="00400556" w:rsidRDefault="009D33A8">
            <w:pPr>
              <w:spacing w:after="0"/>
              <w:rPr>
                <w:sz w:val="16"/>
                <w:szCs w:val="16"/>
              </w:rPr>
            </w:pPr>
            <w:r w:rsidRPr="00400556">
              <w:rPr>
                <w:sz w:val="16"/>
                <w:szCs w:val="16"/>
              </w:rPr>
              <w:t>Cash outflows</w:t>
            </w:r>
          </w:p>
        </w:tc>
        <w:tc>
          <w:tcPr>
            <w:tcW w:w="921" w:type="dxa"/>
            <w:gridSpan w:val="2"/>
            <w:tcBorders>
              <w:bottom w:val="single" w:sz="6" w:space="0" w:color="auto"/>
            </w:tcBorders>
          </w:tcPr>
          <w:p w14:paraId="67AC51B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(4 602)</w:t>
            </w:r>
          </w:p>
        </w:tc>
        <w:tc>
          <w:tcPr>
            <w:tcW w:w="921" w:type="dxa"/>
            <w:tcBorders>
              <w:bottom w:val="single" w:sz="6" w:space="0" w:color="auto"/>
            </w:tcBorders>
          </w:tcPr>
          <w:p w14:paraId="58C8E3A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(4 119)</w:t>
            </w:r>
          </w:p>
        </w:tc>
        <w:tc>
          <w:tcPr>
            <w:tcW w:w="921" w:type="dxa"/>
            <w:tcBorders>
              <w:bottom w:val="single" w:sz="6" w:space="0" w:color="auto"/>
            </w:tcBorders>
          </w:tcPr>
          <w:p w14:paraId="2DD3552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(226)</w:t>
            </w:r>
          </w:p>
        </w:tc>
        <w:tc>
          <w:tcPr>
            <w:tcW w:w="921" w:type="dxa"/>
            <w:tcBorders>
              <w:bottom w:val="single" w:sz="6" w:space="0" w:color="auto"/>
            </w:tcBorders>
          </w:tcPr>
          <w:p w14:paraId="1F76122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(263)</w:t>
            </w:r>
          </w:p>
        </w:tc>
      </w:tr>
      <w:tr w:rsidR="009D33A8" w:rsidRPr="00E50422" w14:paraId="07B606D6"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63DCFF80" w14:textId="77777777" w:rsidR="009D33A8" w:rsidRPr="00400556" w:rsidRDefault="009D33A8">
            <w:pPr>
              <w:spacing w:after="0"/>
              <w:rPr>
                <w:sz w:val="16"/>
                <w:szCs w:val="16"/>
              </w:rPr>
            </w:pPr>
            <w:r w:rsidRPr="00400556">
              <w:rPr>
                <w:b/>
                <w:sz w:val="16"/>
                <w:szCs w:val="16"/>
              </w:rPr>
              <w:t>Net cash flows from investments in financial assets for policy purposes</w:t>
            </w:r>
          </w:p>
        </w:tc>
        <w:tc>
          <w:tcPr>
            <w:tcW w:w="921" w:type="dxa"/>
            <w:gridSpan w:val="2"/>
            <w:tcBorders>
              <w:top w:val="single" w:sz="6" w:space="0" w:color="auto"/>
            </w:tcBorders>
          </w:tcPr>
          <w:p w14:paraId="3042CDE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(3 631)</w:t>
            </w:r>
          </w:p>
        </w:tc>
        <w:tc>
          <w:tcPr>
            <w:tcW w:w="921" w:type="dxa"/>
            <w:tcBorders>
              <w:top w:val="single" w:sz="6" w:space="0" w:color="auto"/>
            </w:tcBorders>
          </w:tcPr>
          <w:p w14:paraId="0DE11EA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(2 331)</w:t>
            </w:r>
          </w:p>
        </w:tc>
        <w:tc>
          <w:tcPr>
            <w:tcW w:w="921" w:type="dxa"/>
            <w:tcBorders>
              <w:top w:val="single" w:sz="6" w:space="0" w:color="auto"/>
            </w:tcBorders>
          </w:tcPr>
          <w:p w14:paraId="1061FEC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(190)</w:t>
            </w:r>
          </w:p>
        </w:tc>
        <w:tc>
          <w:tcPr>
            <w:tcW w:w="921" w:type="dxa"/>
            <w:tcBorders>
              <w:top w:val="single" w:sz="6" w:space="0" w:color="auto"/>
            </w:tcBorders>
          </w:tcPr>
          <w:p w14:paraId="1A77F9C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157</w:t>
            </w:r>
          </w:p>
        </w:tc>
      </w:tr>
      <w:tr w:rsidR="009D33A8" w:rsidRPr="00E50422" w14:paraId="7B570EC2"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6D30F46A" w14:textId="77777777" w:rsidR="009D33A8" w:rsidRPr="00400556" w:rsidRDefault="009D33A8">
            <w:pPr>
              <w:spacing w:after="0"/>
              <w:rPr>
                <w:sz w:val="16"/>
                <w:szCs w:val="16"/>
              </w:rPr>
            </w:pPr>
            <w:r w:rsidRPr="00400556">
              <w:rPr>
                <w:b/>
                <w:sz w:val="16"/>
                <w:szCs w:val="16"/>
              </w:rPr>
              <w:t>Sub</w:t>
            </w:r>
            <w:r w:rsidRPr="00400556">
              <w:rPr>
                <w:b/>
                <w:sz w:val="16"/>
                <w:szCs w:val="16"/>
              </w:rPr>
              <w:noBreakHyphen/>
              <w:t>total</w:t>
            </w:r>
          </w:p>
        </w:tc>
        <w:tc>
          <w:tcPr>
            <w:tcW w:w="921" w:type="dxa"/>
            <w:gridSpan w:val="2"/>
          </w:tcPr>
          <w:p w14:paraId="0A1D7AF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(19 619)</w:t>
            </w:r>
          </w:p>
        </w:tc>
        <w:tc>
          <w:tcPr>
            <w:tcW w:w="921" w:type="dxa"/>
          </w:tcPr>
          <w:p w14:paraId="28027A3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(19 387)</w:t>
            </w:r>
          </w:p>
        </w:tc>
        <w:tc>
          <w:tcPr>
            <w:tcW w:w="921" w:type="dxa"/>
          </w:tcPr>
          <w:p w14:paraId="02187EA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(6 172)</w:t>
            </w:r>
          </w:p>
        </w:tc>
        <w:tc>
          <w:tcPr>
            <w:tcW w:w="921" w:type="dxa"/>
          </w:tcPr>
          <w:p w14:paraId="00C0B11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(5 263)</w:t>
            </w:r>
          </w:p>
        </w:tc>
      </w:tr>
      <w:tr w:rsidR="009D33A8" w:rsidRPr="00E50422" w14:paraId="5A48FFF8"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5DE10EB" w14:textId="77777777" w:rsidR="009D33A8" w:rsidRPr="00400556" w:rsidRDefault="009D33A8">
            <w:pPr>
              <w:spacing w:after="0"/>
              <w:rPr>
                <w:sz w:val="16"/>
                <w:szCs w:val="16"/>
              </w:rPr>
            </w:pPr>
            <w:r w:rsidRPr="00400556">
              <w:rPr>
                <w:b/>
                <w:sz w:val="16"/>
                <w:szCs w:val="16"/>
              </w:rPr>
              <w:t>Cash flows from investments in financial assets for liquidity management purposes</w:t>
            </w:r>
          </w:p>
        </w:tc>
        <w:tc>
          <w:tcPr>
            <w:tcW w:w="921" w:type="dxa"/>
            <w:gridSpan w:val="2"/>
          </w:tcPr>
          <w:p w14:paraId="433BFC7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6F51F73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3685CE7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464EDB8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0F61910A"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3D90A7D5" w14:textId="77777777" w:rsidR="009D33A8" w:rsidRPr="00400556" w:rsidRDefault="009D33A8">
            <w:pPr>
              <w:spacing w:after="0"/>
              <w:rPr>
                <w:sz w:val="16"/>
                <w:szCs w:val="16"/>
              </w:rPr>
            </w:pPr>
            <w:r w:rsidRPr="00400556">
              <w:rPr>
                <w:sz w:val="16"/>
                <w:szCs w:val="16"/>
              </w:rPr>
              <w:t>Cash inflows</w:t>
            </w:r>
          </w:p>
        </w:tc>
        <w:tc>
          <w:tcPr>
            <w:tcW w:w="921" w:type="dxa"/>
            <w:gridSpan w:val="2"/>
          </w:tcPr>
          <w:p w14:paraId="71836EF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217</w:t>
            </w:r>
          </w:p>
        </w:tc>
        <w:tc>
          <w:tcPr>
            <w:tcW w:w="921" w:type="dxa"/>
          </w:tcPr>
          <w:p w14:paraId="5A44083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574</w:t>
            </w:r>
          </w:p>
        </w:tc>
        <w:tc>
          <w:tcPr>
            <w:tcW w:w="921" w:type="dxa"/>
          </w:tcPr>
          <w:p w14:paraId="7EFBF8C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97</w:t>
            </w:r>
          </w:p>
        </w:tc>
        <w:tc>
          <w:tcPr>
            <w:tcW w:w="921" w:type="dxa"/>
          </w:tcPr>
          <w:p w14:paraId="2383B91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41</w:t>
            </w:r>
          </w:p>
        </w:tc>
      </w:tr>
      <w:tr w:rsidR="009D33A8" w:rsidRPr="00E50422" w14:paraId="5645767F"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2D05D7A5" w14:textId="77777777" w:rsidR="009D33A8" w:rsidRPr="00400556" w:rsidRDefault="009D33A8">
            <w:pPr>
              <w:spacing w:after="0"/>
              <w:rPr>
                <w:sz w:val="16"/>
                <w:szCs w:val="16"/>
              </w:rPr>
            </w:pPr>
            <w:r w:rsidRPr="00400556">
              <w:rPr>
                <w:sz w:val="16"/>
                <w:szCs w:val="16"/>
              </w:rPr>
              <w:t>Cash outflows</w:t>
            </w:r>
          </w:p>
        </w:tc>
        <w:tc>
          <w:tcPr>
            <w:tcW w:w="921" w:type="dxa"/>
            <w:gridSpan w:val="2"/>
            <w:tcBorders>
              <w:bottom w:val="single" w:sz="6" w:space="0" w:color="auto"/>
            </w:tcBorders>
          </w:tcPr>
          <w:p w14:paraId="542E927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(1 934)</w:t>
            </w:r>
          </w:p>
        </w:tc>
        <w:tc>
          <w:tcPr>
            <w:tcW w:w="921" w:type="dxa"/>
            <w:tcBorders>
              <w:bottom w:val="single" w:sz="6" w:space="0" w:color="auto"/>
            </w:tcBorders>
          </w:tcPr>
          <w:p w14:paraId="19B5713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(11 123)</w:t>
            </w:r>
          </w:p>
        </w:tc>
        <w:tc>
          <w:tcPr>
            <w:tcW w:w="921" w:type="dxa"/>
            <w:tcBorders>
              <w:bottom w:val="single" w:sz="6" w:space="0" w:color="auto"/>
            </w:tcBorders>
          </w:tcPr>
          <w:p w14:paraId="60C5153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(119)</w:t>
            </w:r>
          </w:p>
        </w:tc>
        <w:tc>
          <w:tcPr>
            <w:tcW w:w="921" w:type="dxa"/>
            <w:tcBorders>
              <w:bottom w:val="single" w:sz="6" w:space="0" w:color="auto"/>
            </w:tcBorders>
          </w:tcPr>
          <w:p w14:paraId="03CC78D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(25)</w:t>
            </w:r>
          </w:p>
        </w:tc>
      </w:tr>
      <w:tr w:rsidR="009D33A8" w:rsidRPr="00E50422" w14:paraId="109F668D" w14:textId="77777777" w:rsidTr="007C7EF8">
        <w:tc>
          <w:tcPr>
            <w:cnfStyle w:val="001000000000" w:firstRow="0" w:lastRow="0" w:firstColumn="1" w:lastColumn="0" w:oddVBand="0" w:evenVBand="0" w:oddHBand="0" w:evenHBand="0" w:firstRowFirstColumn="0" w:firstRowLastColumn="0" w:lastRowFirstColumn="0" w:lastRowLastColumn="0"/>
            <w:tcW w:w="6089" w:type="dxa"/>
            <w:gridSpan w:val="2"/>
            <w:tcBorders>
              <w:top w:val="single" w:sz="6" w:space="0" w:color="auto"/>
              <w:bottom w:val="single" w:sz="6" w:space="0" w:color="auto"/>
            </w:tcBorders>
          </w:tcPr>
          <w:p w14:paraId="41DFD987" w14:textId="77777777" w:rsidR="009D33A8" w:rsidRPr="00400556" w:rsidRDefault="009D33A8">
            <w:pPr>
              <w:spacing w:after="0"/>
              <w:rPr>
                <w:sz w:val="16"/>
                <w:szCs w:val="16"/>
              </w:rPr>
            </w:pPr>
            <w:r w:rsidRPr="00400556">
              <w:rPr>
                <w:b/>
                <w:sz w:val="16"/>
                <w:szCs w:val="16"/>
              </w:rPr>
              <w:t xml:space="preserve">Net cash flows from investments in financial assets for liquidity management purposes </w:t>
            </w:r>
            <w:r w:rsidRPr="00400556">
              <w:rPr>
                <w:b/>
                <w:sz w:val="16"/>
                <w:szCs w:val="16"/>
                <w:vertAlign w:val="superscript"/>
              </w:rPr>
              <w:t>(b)</w:t>
            </w:r>
          </w:p>
        </w:tc>
        <w:tc>
          <w:tcPr>
            <w:tcW w:w="786" w:type="dxa"/>
            <w:tcBorders>
              <w:top w:val="single" w:sz="6" w:space="0" w:color="auto"/>
              <w:bottom w:val="single" w:sz="6" w:space="0" w:color="auto"/>
            </w:tcBorders>
          </w:tcPr>
          <w:p w14:paraId="43A8DF6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(1 717)</w:t>
            </w:r>
          </w:p>
        </w:tc>
        <w:tc>
          <w:tcPr>
            <w:tcW w:w="921" w:type="dxa"/>
            <w:tcBorders>
              <w:top w:val="single" w:sz="6" w:space="0" w:color="auto"/>
              <w:bottom w:val="single" w:sz="6" w:space="0" w:color="auto"/>
            </w:tcBorders>
          </w:tcPr>
          <w:p w14:paraId="408EE6E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(10 549)</w:t>
            </w:r>
          </w:p>
        </w:tc>
        <w:tc>
          <w:tcPr>
            <w:tcW w:w="921" w:type="dxa"/>
            <w:tcBorders>
              <w:top w:val="single" w:sz="6" w:space="0" w:color="auto"/>
              <w:bottom w:val="single" w:sz="6" w:space="0" w:color="auto"/>
            </w:tcBorders>
          </w:tcPr>
          <w:p w14:paraId="453C20A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(22)</w:t>
            </w:r>
          </w:p>
        </w:tc>
        <w:tc>
          <w:tcPr>
            <w:tcW w:w="921" w:type="dxa"/>
            <w:tcBorders>
              <w:top w:val="single" w:sz="6" w:space="0" w:color="auto"/>
              <w:bottom w:val="single" w:sz="6" w:space="0" w:color="auto"/>
            </w:tcBorders>
          </w:tcPr>
          <w:p w14:paraId="2EBC80A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16</w:t>
            </w:r>
          </w:p>
        </w:tc>
      </w:tr>
      <w:tr w:rsidR="009D33A8" w:rsidRPr="00E50422" w14:paraId="6F0811AB"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4E2DDC54" w14:textId="77777777" w:rsidR="009D33A8" w:rsidRPr="00400556" w:rsidRDefault="009D33A8">
            <w:pPr>
              <w:spacing w:after="0"/>
              <w:rPr>
                <w:sz w:val="16"/>
                <w:szCs w:val="16"/>
              </w:rPr>
            </w:pPr>
            <w:r w:rsidRPr="00400556">
              <w:rPr>
                <w:b/>
                <w:sz w:val="16"/>
                <w:szCs w:val="16"/>
              </w:rPr>
              <w:t>Net cash flows from investing activities</w:t>
            </w:r>
          </w:p>
        </w:tc>
        <w:tc>
          <w:tcPr>
            <w:tcW w:w="921" w:type="dxa"/>
            <w:gridSpan w:val="2"/>
            <w:tcBorders>
              <w:top w:val="single" w:sz="6" w:space="0" w:color="auto"/>
            </w:tcBorders>
          </w:tcPr>
          <w:p w14:paraId="506A69B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(21 336)</w:t>
            </w:r>
          </w:p>
        </w:tc>
        <w:tc>
          <w:tcPr>
            <w:tcW w:w="921" w:type="dxa"/>
            <w:tcBorders>
              <w:top w:val="single" w:sz="6" w:space="0" w:color="auto"/>
            </w:tcBorders>
          </w:tcPr>
          <w:p w14:paraId="1D6589B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(29 936)</w:t>
            </w:r>
          </w:p>
        </w:tc>
        <w:tc>
          <w:tcPr>
            <w:tcW w:w="921" w:type="dxa"/>
            <w:tcBorders>
              <w:top w:val="single" w:sz="6" w:space="0" w:color="auto"/>
            </w:tcBorders>
          </w:tcPr>
          <w:p w14:paraId="5B60DFD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(6 194)</w:t>
            </w:r>
          </w:p>
        </w:tc>
        <w:tc>
          <w:tcPr>
            <w:tcW w:w="921" w:type="dxa"/>
            <w:tcBorders>
              <w:top w:val="single" w:sz="6" w:space="0" w:color="auto"/>
            </w:tcBorders>
          </w:tcPr>
          <w:p w14:paraId="2E78E57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(5 247)</w:t>
            </w:r>
          </w:p>
        </w:tc>
      </w:tr>
      <w:tr w:rsidR="009D33A8" w:rsidRPr="00E50422" w14:paraId="72A97040"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239ACE99" w14:textId="77777777" w:rsidR="009D33A8" w:rsidRPr="00400556" w:rsidRDefault="009D33A8">
            <w:pPr>
              <w:spacing w:after="0"/>
              <w:rPr>
                <w:sz w:val="16"/>
                <w:szCs w:val="16"/>
              </w:rPr>
            </w:pPr>
            <w:r w:rsidRPr="00400556">
              <w:rPr>
                <w:b/>
                <w:sz w:val="16"/>
                <w:szCs w:val="16"/>
              </w:rPr>
              <w:t>Cash flows from financing activities</w:t>
            </w:r>
          </w:p>
        </w:tc>
        <w:tc>
          <w:tcPr>
            <w:tcW w:w="921" w:type="dxa"/>
            <w:gridSpan w:val="2"/>
          </w:tcPr>
          <w:p w14:paraId="04F498A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3690122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501669A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06E0A1B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5F808221"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694447FA" w14:textId="77777777" w:rsidR="009D33A8" w:rsidRPr="00400556" w:rsidRDefault="009D33A8">
            <w:pPr>
              <w:spacing w:after="0"/>
              <w:rPr>
                <w:sz w:val="16"/>
                <w:szCs w:val="16"/>
              </w:rPr>
            </w:pPr>
            <w:r w:rsidRPr="00400556">
              <w:rPr>
                <w:sz w:val="16"/>
                <w:szCs w:val="16"/>
              </w:rPr>
              <w:t>Advances received</w:t>
            </w:r>
          </w:p>
        </w:tc>
        <w:tc>
          <w:tcPr>
            <w:tcW w:w="921" w:type="dxa"/>
            <w:gridSpan w:val="2"/>
          </w:tcPr>
          <w:p w14:paraId="7B8A1E0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68</w:t>
            </w:r>
          </w:p>
        </w:tc>
        <w:tc>
          <w:tcPr>
            <w:tcW w:w="921" w:type="dxa"/>
          </w:tcPr>
          <w:p w14:paraId="7CAFEFE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23</w:t>
            </w:r>
          </w:p>
        </w:tc>
        <w:tc>
          <w:tcPr>
            <w:tcW w:w="921" w:type="dxa"/>
          </w:tcPr>
          <w:p w14:paraId="0494463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100</w:t>
            </w:r>
          </w:p>
        </w:tc>
        <w:tc>
          <w:tcPr>
            <w:tcW w:w="921" w:type="dxa"/>
          </w:tcPr>
          <w:p w14:paraId="4756943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1 808</w:t>
            </w:r>
          </w:p>
        </w:tc>
      </w:tr>
      <w:tr w:rsidR="009D33A8" w:rsidRPr="00E50422" w14:paraId="2C5FF0A2"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00D13C3" w14:textId="77777777" w:rsidR="009D33A8" w:rsidRPr="00400556" w:rsidRDefault="009D33A8">
            <w:pPr>
              <w:spacing w:after="0"/>
              <w:rPr>
                <w:sz w:val="16"/>
                <w:szCs w:val="16"/>
              </w:rPr>
            </w:pPr>
            <w:r w:rsidRPr="00400556">
              <w:rPr>
                <w:sz w:val="16"/>
                <w:szCs w:val="16"/>
              </w:rPr>
              <w:t>Advances repaid</w:t>
            </w:r>
          </w:p>
        </w:tc>
        <w:tc>
          <w:tcPr>
            <w:tcW w:w="921" w:type="dxa"/>
            <w:gridSpan w:val="2"/>
            <w:tcBorders>
              <w:bottom w:val="single" w:sz="6" w:space="0" w:color="auto"/>
            </w:tcBorders>
          </w:tcPr>
          <w:p w14:paraId="70BC0FA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(38)</w:t>
            </w:r>
          </w:p>
        </w:tc>
        <w:tc>
          <w:tcPr>
            <w:tcW w:w="921" w:type="dxa"/>
            <w:tcBorders>
              <w:bottom w:val="single" w:sz="6" w:space="0" w:color="auto"/>
            </w:tcBorders>
          </w:tcPr>
          <w:p w14:paraId="79B093F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(249)</w:t>
            </w:r>
          </w:p>
        </w:tc>
        <w:tc>
          <w:tcPr>
            <w:tcW w:w="921" w:type="dxa"/>
            <w:tcBorders>
              <w:bottom w:val="single" w:sz="6" w:space="0" w:color="auto"/>
            </w:tcBorders>
          </w:tcPr>
          <w:p w14:paraId="062A3E8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w:t>
            </w:r>
          </w:p>
        </w:tc>
        <w:tc>
          <w:tcPr>
            <w:tcW w:w="921" w:type="dxa"/>
            <w:tcBorders>
              <w:bottom w:val="single" w:sz="6" w:space="0" w:color="auto"/>
            </w:tcBorders>
          </w:tcPr>
          <w:p w14:paraId="1DADB75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(235)</w:t>
            </w:r>
          </w:p>
        </w:tc>
      </w:tr>
      <w:tr w:rsidR="009D33A8" w:rsidRPr="00E50422" w14:paraId="6A3E4ECC"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79F30C5" w14:textId="77777777" w:rsidR="009D33A8" w:rsidRPr="00400556" w:rsidRDefault="009D33A8">
            <w:pPr>
              <w:spacing w:after="0"/>
              <w:rPr>
                <w:sz w:val="16"/>
                <w:szCs w:val="16"/>
              </w:rPr>
            </w:pPr>
            <w:r w:rsidRPr="00400556">
              <w:rPr>
                <w:sz w:val="16"/>
                <w:szCs w:val="16"/>
              </w:rPr>
              <w:t xml:space="preserve">Advances received (net) </w:t>
            </w:r>
            <w:r w:rsidRPr="00400556">
              <w:rPr>
                <w:sz w:val="16"/>
                <w:szCs w:val="16"/>
                <w:vertAlign w:val="superscript"/>
              </w:rPr>
              <w:t>(b)</w:t>
            </w:r>
          </w:p>
        </w:tc>
        <w:tc>
          <w:tcPr>
            <w:tcW w:w="921" w:type="dxa"/>
            <w:gridSpan w:val="2"/>
            <w:tcBorders>
              <w:top w:val="single" w:sz="6" w:space="0" w:color="auto"/>
            </w:tcBorders>
          </w:tcPr>
          <w:p w14:paraId="311EDF1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31</w:t>
            </w:r>
          </w:p>
        </w:tc>
        <w:tc>
          <w:tcPr>
            <w:tcW w:w="921" w:type="dxa"/>
            <w:tcBorders>
              <w:top w:val="single" w:sz="6" w:space="0" w:color="auto"/>
            </w:tcBorders>
          </w:tcPr>
          <w:p w14:paraId="08605F6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(226)</w:t>
            </w:r>
          </w:p>
        </w:tc>
        <w:tc>
          <w:tcPr>
            <w:tcW w:w="921" w:type="dxa"/>
            <w:tcBorders>
              <w:top w:val="single" w:sz="6" w:space="0" w:color="auto"/>
            </w:tcBorders>
          </w:tcPr>
          <w:p w14:paraId="7439A0A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98</w:t>
            </w:r>
          </w:p>
        </w:tc>
        <w:tc>
          <w:tcPr>
            <w:tcW w:w="921" w:type="dxa"/>
            <w:tcBorders>
              <w:top w:val="single" w:sz="6" w:space="0" w:color="auto"/>
            </w:tcBorders>
          </w:tcPr>
          <w:p w14:paraId="61D6030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1 572</w:t>
            </w:r>
          </w:p>
        </w:tc>
      </w:tr>
      <w:tr w:rsidR="009D33A8" w:rsidRPr="00E50422" w14:paraId="3E32CF35"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7361D79A" w14:textId="77777777" w:rsidR="009D33A8" w:rsidRPr="00400556" w:rsidRDefault="009D33A8">
            <w:pPr>
              <w:spacing w:after="0"/>
              <w:rPr>
                <w:sz w:val="16"/>
                <w:szCs w:val="16"/>
              </w:rPr>
            </w:pPr>
            <w:r w:rsidRPr="00400556">
              <w:rPr>
                <w:sz w:val="16"/>
                <w:szCs w:val="16"/>
              </w:rPr>
              <w:t xml:space="preserve">Borrowings received </w:t>
            </w:r>
            <w:r w:rsidRPr="00400556">
              <w:rPr>
                <w:sz w:val="16"/>
                <w:szCs w:val="16"/>
                <w:vertAlign w:val="superscript"/>
              </w:rPr>
              <w:t>(c)</w:t>
            </w:r>
          </w:p>
        </w:tc>
        <w:tc>
          <w:tcPr>
            <w:tcW w:w="921" w:type="dxa"/>
            <w:gridSpan w:val="2"/>
          </w:tcPr>
          <w:p w14:paraId="0B99139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18 913</w:t>
            </w:r>
          </w:p>
        </w:tc>
        <w:tc>
          <w:tcPr>
            <w:tcW w:w="921" w:type="dxa"/>
          </w:tcPr>
          <w:p w14:paraId="0A90C62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25 156</w:t>
            </w:r>
          </w:p>
        </w:tc>
        <w:tc>
          <w:tcPr>
            <w:tcW w:w="921" w:type="dxa"/>
          </w:tcPr>
          <w:p w14:paraId="6F0E47D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6 023</w:t>
            </w:r>
          </w:p>
        </w:tc>
        <w:tc>
          <w:tcPr>
            <w:tcW w:w="921" w:type="dxa"/>
          </w:tcPr>
          <w:p w14:paraId="11E5F69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4 250</w:t>
            </w:r>
          </w:p>
        </w:tc>
      </w:tr>
      <w:tr w:rsidR="009D33A8" w:rsidRPr="00E50422" w14:paraId="73E94DCA"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E440CDB" w14:textId="77777777" w:rsidR="009D33A8" w:rsidRPr="00400556" w:rsidRDefault="009D33A8">
            <w:pPr>
              <w:spacing w:after="0"/>
              <w:rPr>
                <w:sz w:val="16"/>
                <w:szCs w:val="16"/>
              </w:rPr>
            </w:pPr>
            <w:r w:rsidRPr="00400556">
              <w:rPr>
                <w:sz w:val="16"/>
                <w:szCs w:val="16"/>
              </w:rPr>
              <w:t xml:space="preserve">Borrowings repaid </w:t>
            </w:r>
            <w:r w:rsidRPr="00400556">
              <w:rPr>
                <w:sz w:val="16"/>
                <w:szCs w:val="16"/>
                <w:vertAlign w:val="superscript"/>
              </w:rPr>
              <w:t>(c)</w:t>
            </w:r>
          </w:p>
        </w:tc>
        <w:tc>
          <w:tcPr>
            <w:tcW w:w="921" w:type="dxa"/>
            <w:gridSpan w:val="2"/>
            <w:tcBorders>
              <w:bottom w:val="single" w:sz="6" w:space="0" w:color="auto"/>
            </w:tcBorders>
          </w:tcPr>
          <w:p w14:paraId="53ADF6E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(2 389)</w:t>
            </w:r>
          </w:p>
        </w:tc>
        <w:tc>
          <w:tcPr>
            <w:tcW w:w="921" w:type="dxa"/>
            <w:tcBorders>
              <w:bottom w:val="single" w:sz="6" w:space="0" w:color="auto"/>
            </w:tcBorders>
          </w:tcPr>
          <w:p w14:paraId="53E6422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(3 145)</w:t>
            </w:r>
          </w:p>
        </w:tc>
        <w:tc>
          <w:tcPr>
            <w:tcW w:w="921" w:type="dxa"/>
            <w:tcBorders>
              <w:bottom w:val="single" w:sz="6" w:space="0" w:color="auto"/>
            </w:tcBorders>
          </w:tcPr>
          <w:p w14:paraId="4385AA0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(4 166)</w:t>
            </w:r>
          </w:p>
        </w:tc>
        <w:tc>
          <w:tcPr>
            <w:tcW w:w="921" w:type="dxa"/>
            <w:tcBorders>
              <w:bottom w:val="single" w:sz="6" w:space="0" w:color="auto"/>
            </w:tcBorders>
          </w:tcPr>
          <w:p w14:paraId="79D823F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(2 779)</w:t>
            </w:r>
          </w:p>
        </w:tc>
      </w:tr>
      <w:tr w:rsidR="009D33A8" w:rsidRPr="00E50422" w14:paraId="4D80C299"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585A3717" w14:textId="77777777" w:rsidR="009D33A8" w:rsidRPr="00400556" w:rsidRDefault="009D33A8">
            <w:pPr>
              <w:spacing w:after="0"/>
              <w:rPr>
                <w:sz w:val="16"/>
                <w:szCs w:val="16"/>
              </w:rPr>
            </w:pPr>
            <w:r w:rsidRPr="00400556">
              <w:rPr>
                <w:sz w:val="16"/>
                <w:szCs w:val="16"/>
              </w:rPr>
              <w:t xml:space="preserve">Net borrowings </w:t>
            </w:r>
            <w:r w:rsidRPr="00400556">
              <w:rPr>
                <w:sz w:val="16"/>
                <w:szCs w:val="16"/>
                <w:vertAlign w:val="superscript"/>
              </w:rPr>
              <w:t>(b)</w:t>
            </w:r>
          </w:p>
        </w:tc>
        <w:tc>
          <w:tcPr>
            <w:tcW w:w="921" w:type="dxa"/>
            <w:gridSpan w:val="2"/>
            <w:tcBorders>
              <w:top w:val="single" w:sz="6" w:space="0" w:color="auto"/>
            </w:tcBorders>
          </w:tcPr>
          <w:p w14:paraId="18005F2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16 524</w:t>
            </w:r>
          </w:p>
        </w:tc>
        <w:tc>
          <w:tcPr>
            <w:tcW w:w="921" w:type="dxa"/>
            <w:tcBorders>
              <w:top w:val="single" w:sz="6" w:space="0" w:color="auto"/>
            </w:tcBorders>
          </w:tcPr>
          <w:p w14:paraId="614FF17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22 011</w:t>
            </w:r>
          </w:p>
        </w:tc>
        <w:tc>
          <w:tcPr>
            <w:tcW w:w="921" w:type="dxa"/>
            <w:tcBorders>
              <w:top w:val="single" w:sz="6" w:space="0" w:color="auto"/>
            </w:tcBorders>
          </w:tcPr>
          <w:p w14:paraId="52EEBA2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1 856</w:t>
            </w:r>
          </w:p>
        </w:tc>
        <w:tc>
          <w:tcPr>
            <w:tcW w:w="921" w:type="dxa"/>
            <w:tcBorders>
              <w:top w:val="single" w:sz="6" w:space="0" w:color="auto"/>
            </w:tcBorders>
          </w:tcPr>
          <w:p w14:paraId="2B67F07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1 471</w:t>
            </w:r>
          </w:p>
        </w:tc>
      </w:tr>
      <w:tr w:rsidR="009D33A8" w:rsidRPr="00E50422" w14:paraId="7C34364E"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FB6385A" w14:textId="77777777" w:rsidR="009D33A8" w:rsidRPr="00400556" w:rsidRDefault="009D33A8">
            <w:pPr>
              <w:spacing w:after="0"/>
              <w:rPr>
                <w:sz w:val="16"/>
                <w:szCs w:val="16"/>
              </w:rPr>
            </w:pPr>
            <w:r w:rsidRPr="00400556">
              <w:rPr>
                <w:sz w:val="16"/>
                <w:szCs w:val="16"/>
              </w:rPr>
              <w:t>Deposits received</w:t>
            </w:r>
          </w:p>
        </w:tc>
        <w:tc>
          <w:tcPr>
            <w:tcW w:w="921" w:type="dxa"/>
            <w:gridSpan w:val="2"/>
          </w:tcPr>
          <w:p w14:paraId="6C9CCD8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1 895</w:t>
            </w:r>
          </w:p>
        </w:tc>
        <w:tc>
          <w:tcPr>
            <w:tcW w:w="921" w:type="dxa"/>
          </w:tcPr>
          <w:p w14:paraId="568699E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2 380</w:t>
            </w:r>
          </w:p>
        </w:tc>
        <w:tc>
          <w:tcPr>
            <w:tcW w:w="921" w:type="dxa"/>
          </w:tcPr>
          <w:p w14:paraId="04CAFA2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404</w:t>
            </w:r>
          </w:p>
        </w:tc>
        <w:tc>
          <w:tcPr>
            <w:tcW w:w="921" w:type="dxa"/>
          </w:tcPr>
          <w:p w14:paraId="79EC603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348</w:t>
            </w:r>
          </w:p>
        </w:tc>
      </w:tr>
      <w:tr w:rsidR="009D33A8" w:rsidRPr="00E50422" w14:paraId="588EB0F0"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A14592D" w14:textId="77777777" w:rsidR="009D33A8" w:rsidRPr="00400556" w:rsidRDefault="009D33A8">
            <w:pPr>
              <w:spacing w:after="0"/>
              <w:rPr>
                <w:sz w:val="16"/>
                <w:szCs w:val="16"/>
              </w:rPr>
            </w:pPr>
            <w:r w:rsidRPr="00400556">
              <w:rPr>
                <w:sz w:val="16"/>
                <w:szCs w:val="16"/>
              </w:rPr>
              <w:t>Deposits repaid</w:t>
            </w:r>
          </w:p>
        </w:tc>
        <w:tc>
          <w:tcPr>
            <w:tcW w:w="921" w:type="dxa"/>
            <w:gridSpan w:val="2"/>
            <w:tcBorders>
              <w:bottom w:val="single" w:sz="6" w:space="0" w:color="auto"/>
            </w:tcBorders>
          </w:tcPr>
          <w:p w14:paraId="79AE038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(1 855)</w:t>
            </w:r>
          </w:p>
        </w:tc>
        <w:tc>
          <w:tcPr>
            <w:tcW w:w="921" w:type="dxa"/>
            <w:tcBorders>
              <w:bottom w:val="single" w:sz="6" w:space="0" w:color="auto"/>
            </w:tcBorders>
          </w:tcPr>
          <w:p w14:paraId="23C9B5A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(2 244)</w:t>
            </w:r>
          </w:p>
        </w:tc>
        <w:tc>
          <w:tcPr>
            <w:tcW w:w="921" w:type="dxa"/>
            <w:tcBorders>
              <w:bottom w:val="single" w:sz="6" w:space="0" w:color="auto"/>
            </w:tcBorders>
          </w:tcPr>
          <w:p w14:paraId="0C4A5AE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(381)</w:t>
            </w:r>
          </w:p>
        </w:tc>
        <w:tc>
          <w:tcPr>
            <w:tcW w:w="921" w:type="dxa"/>
            <w:tcBorders>
              <w:bottom w:val="single" w:sz="6" w:space="0" w:color="auto"/>
            </w:tcBorders>
          </w:tcPr>
          <w:p w14:paraId="1B8F03B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(347)</w:t>
            </w:r>
          </w:p>
        </w:tc>
      </w:tr>
      <w:tr w:rsidR="009D33A8" w:rsidRPr="00E50422" w14:paraId="51320B97"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526D421" w14:textId="77777777" w:rsidR="009D33A8" w:rsidRPr="00400556" w:rsidRDefault="009D33A8">
            <w:pPr>
              <w:spacing w:after="0"/>
              <w:rPr>
                <w:sz w:val="16"/>
                <w:szCs w:val="16"/>
              </w:rPr>
            </w:pPr>
            <w:r w:rsidRPr="00400556">
              <w:rPr>
                <w:sz w:val="16"/>
                <w:szCs w:val="16"/>
              </w:rPr>
              <w:t xml:space="preserve">Deposits received (net) </w:t>
            </w:r>
            <w:r w:rsidRPr="00400556">
              <w:rPr>
                <w:sz w:val="16"/>
                <w:szCs w:val="16"/>
                <w:vertAlign w:val="superscript"/>
              </w:rPr>
              <w:t>(b)</w:t>
            </w:r>
          </w:p>
        </w:tc>
        <w:tc>
          <w:tcPr>
            <w:tcW w:w="921" w:type="dxa"/>
            <w:gridSpan w:val="2"/>
            <w:tcBorders>
              <w:top w:val="single" w:sz="6" w:space="0" w:color="auto"/>
            </w:tcBorders>
          </w:tcPr>
          <w:p w14:paraId="6DA4FA3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39</w:t>
            </w:r>
          </w:p>
        </w:tc>
        <w:tc>
          <w:tcPr>
            <w:tcW w:w="921" w:type="dxa"/>
            <w:tcBorders>
              <w:top w:val="single" w:sz="6" w:space="0" w:color="auto"/>
            </w:tcBorders>
          </w:tcPr>
          <w:p w14:paraId="6D20C090"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136</w:t>
            </w:r>
          </w:p>
        </w:tc>
        <w:tc>
          <w:tcPr>
            <w:tcW w:w="921" w:type="dxa"/>
            <w:tcBorders>
              <w:top w:val="single" w:sz="6" w:space="0" w:color="auto"/>
            </w:tcBorders>
          </w:tcPr>
          <w:p w14:paraId="1C883C6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23</w:t>
            </w:r>
          </w:p>
        </w:tc>
        <w:tc>
          <w:tcPr>
            <w:tcW w:w="921" w:type="dxa"/>
            <w:tcBorders>
              <w:top w:val="single" w:sz="6" w:space="0" w:color="auto"/>
            </w:tcBorders>
          </w:tcPr>
          <w:p w14:paraId="3181875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r>
      <w:tr w:rsidR="009D33A8" w:rsidRPr="00E50422" w14:paraId="6B31ED76"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07F38AC8" w14:textId="77777777" w:rsidR="009D33A8" w:rsidRPr="00400556" w:rsidRDefault="009D33A8">
            <w:pPr>
              <w:spacing w:after="0"/>
              <w:rPr>
                <w:sz w:val="16"/>
                <w:szCs w:val="16"/>
              </w:rPr>
            </w:pPr>
            <w:r w:rsidRPr="00400556">
              <w:rPr>
                <w:sz w:val="16"/>
                <w:szCs w:val="16"/>
              </w:rPr>
              <w:t>Other financing inflows</w:t>
            </w:r>
          </w:p>
        </w:tc>
        <w:tc>
          <w:tcPr>
            <w:tcW w:w="921" w:type="dxa"/>
            <w:gridSpan w:val="2"/>
          </w:tcPr>
          <w:p w14:paraId="251FD5D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Pr>
          <w:p w14:paraId="515BD2B4"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Pr>
          <w:p w14:paraId="4AAF1A4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3 703</w:t>
            </w:r>
          </w:p>
        </w:tc>
        <w:tc>
          <w:tcPr>
            <w:tcW w:w="921" w:type="dxa"/>
          </w:tcPr>
          <w:p w14:paraId="3A91172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1 461</w:t>
            </w:r>
          </w:p>
        </w:tc>
      </w:tr>
      <w:tr w:rsidR="009D33A8" w:rsidRPr="00E50422" w14:paraId="491F13FC"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756FADD7" w14:textId="77777777" w:rsidR="009D33A8" w:rsidRPr="00400556" w:rsidRDefault="009D33A8">
            <w:pPr>
              <w:spacing w:after="0"/>
              <w:rPr>
                <w:sz w:val="16"/>
                <w:szCs w:val="16"/>
              </w:rPr>
            </w:pPr>
            <w:r w:rsidRPr="00400556">
              <w:rPr>
                <w:sz w:val="16"/>
                <w:szCs w:val="16"/>
              </w:rPr>
              <w:t>Other financing outflows</w:t>
            </w:r>
          </w:p>
        </w:tc>
        <w:tc>
          <w:tcPr>
            <w:tcW w:w="921" w:type="dxa"/>
            <w:gridSpan w:val="2"/>
            <w:tcBorders>
              <w:bottom w:val="single" w:sz="6" w:space="0" w:color="auto"/>
            </w:tcBorders>
          </w:tcPr>
          <w:p w14:paraId="586D198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Borders>
              <w:bottom w:val="single" w:sz="6" w:space="0" w:color="auto"/>
            </w:tcBorders>
          </w:tcPr>
          <w:p w14:paraId="6C7A073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Borders>
              <w:bottom w:val="single" w:sz="6" w:space="0" w:color="auto"/>
            </w:tcBorders>
          </w:tcPr>
          <w:p w14:paraId="2073D6B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(101)</w:t>
            </w:r>
          </w:p>
        </w:tc>
        <w:tc>
          <w:tcPr>
            <w:tcW w:w="921" w:type="dxa"/>
            <w:tcBorders>
              <w:bottom w:val="single" w:sz="6" w:space="0" w:color="auto"/>
            </w:tcBorders>
          </w:tcPr>
          <w:p w14:paraId="17022A5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(675)</w:t>
            </w:r>
          </w:p>
        </w:tc>
      </w:tr>
      <w:tr w:rsidR="009D33A8" w:rsidRPr="00E50422" w14:paraId="64A16C63"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484E9638" w14:textId="77777777" w:rsidR="009D33A8" w:rsidRPr="00400556" w:rsidRDefault="009D33A8">
            <w:pPr>
              <w:spacing w:after="0"/>
              <w:rPr>
                <w:sz w:val="16"/>
                <w:szCs w:val="16"/>
              </w:rPr>
            </w:pPr>
            <w:r w:rsidRPr="00400556">
              <w:rPr>
                <w:sz w:val="16"/>
                <w:szCs w:val="16"/>
              </w:rPr>
              <w:t xml:space="preserve">Other financing (net) </w:t>
            </w:r>
            <w:r w:rsidRPr="00400556">
              <w:rPr>
                <w:sz w:val="16"/>
                <w:szCs w:val="16"/>
                <w:vertAlign w:val="superscript"/>
              </w:rPr>
              <w:t>(b)</w:t>
            </w:r>
          </w:p>
        </w:tc>
        <w:tc>
          <w:tcPr>
            <w:tcW w:w="921" w:type="dxa"/>
            <w:gridSpan w:val="2"/>
            <w:tcBorders>
              <w:top w:val="single" w:sz="6" w:space="0" w:color="auto"/>
              <w:bottom w:val="single" w:sz="6" w:space="0" w:color="auto"/>
            </w:tcBorders>
          </w:tcPr>
          <w:p w14:paraId="09E5BCD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Borders>
              <w:top w:val="single" w:sz="6" w:space="0" w:color="auto"/>
              <w:bottom w:val="single" w:sz="6" w:space="0" w:color="auto"/>
            </w:tcBorders>
          </w:tcPr>
          <w:p w14:paraId="4D8B079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Borders>
              <w:top w:val="single" w:sz="6" w:space="0" w:color="auto"/>
              <w:bottom w:val="single" w:sz="6" w:space="0" w:color="auto"/>
            </w:tcBorders>
          </w:tcPr>
          <w:p w14:paraId="69AEB9C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3 602</w:t>
            </w:r>
          </w:p>
        </w:tc>
        <w:tc>
          <w:tcPr>
            <w:tcW w:w="921" w:type="dxa"/>
            <w:tcBorders>
              <w:top w:val="single" w:sz="6" w:space="0" w:color="auto"/>
              <w:bottom w:val="single" w:sz="6" w:space="0" w:color="auto"/>
            </w:tcBorders>
          </w:tcPr>
          <w:p w14:paraId="6F1A725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786</w:t>
            </w:r>
          </w:p>
        </w:tc>
      </w:tr>
      <w:tr w:rsidR="009D33A8" w:rsidRPr="00E50422" w14:paraId="3334383F"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6" w:space="0" w:color="auto"/>
            </w:tcBorders>
          </w:tcPr>
          <w:p w14:paraId="1FC80AAD" w14:textId="77777777" w:rsidR="009D33A8" w:rsidRPr="00400556" w:rsidRDefault="009D33A8">
            <w:pPr>
              <w:spacing w:after="0"/>
              <w:rPr>
                <w:sz w:val="16"/>
                <w:szCs w:val="16"/>
              </w:rPr>
            </w:pPr>
            <w:r w:rsidRPr="00400556">
              <w:rPr>
                <w:b/>
                <w:sz w:val="16"/>
                <w:szCs w:val="16"/>
              </w:rPr>
              <w:t>Net cash flows from financing activities</w:t>
            </w:r>
          </w:p>
        </w:tc>
        <w:tc>
          <w:tcPr>
            <w:tcW w:w="921" w:type="dxa"/>
            <w:gridSpan w:val="2"/>
            <w:tcBorders>
              <w:top w:val="single" w:sz="6" w:space="0" w:color="auto"/>
              <w:bottom w:val="single" w:sz="6" w:space="0" w:color="auto"/>
            </w:tcBorders>
          </w:tcPr>
          <w:p w14:paraId="584E5A3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16 593</w:t>
            </w:r>
          </w:p>
        </w:tc>
        <w:tc>
          <w:tcPr>
            <w:tcW w:w="921" w:type="dxa"/>
            <w:tcBorders>
              <w:top w:val="single" w:sz="6" w:space="0" w:color="auto"/>
              <w:bottom w:val="single" w:sz="6" w:space="0" w:color="auto"/>
            </w:tcBorders>
          </w:tcPr>
          <w:p w14:paraId="50E8329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21 921</w:t>
            </w:r>
          </w:p>
        </w:tc>
        <w:tc>
          <w:tcPr>
            <w:tcW w:w="921" w:type="dxa"/>
            <w:tcBorders>
              <w:top w:val="single" w:sz="6" w:space="0" w:color="auto"/>
              <w:bottom w:val="single" w:sz="6" w:space="0" w:color="auto"/>
            </w:tcBorders>
          </w:tcPr>
          <w:p w14:paraId="76E8DA2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5 580</w:t>
            </w:r>
          </w:p>
        </w:tc>
        <w:tc>
          <w:tcPr>
            <w:tcW w:w="921" w:type="dxa"/>
            <w:tcBorders>
              <w:top w:val="single" w:sz="6" w:space="0" w:color="auto"/>
              <w:bottom w:val="single" w:sz="6" w:space="0" w:color="auto"/>
            </w:tcBorders>
          </w:tcPr>
          <w:p w14:paraId="5E064FE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3 830</w:t>
            </w:r>
          </w:p>
        </w:tc>
      </w:tr>
      <w:tr w:rsidR="009D33A8" w:rsidRPr="00E50422" w14:paraId="6B564145"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tcBorders>
          </w:tcPr>
          <w:p w14:paraId="755E8EDE" w14:textId="77777777" w:rsidR="009D33A8" w:rsidRPr="00400556" w:rsidRDefault="009D33A8">
            <w:pPr>
              <w:spacing w:after="0"/>
              <w:rPr>
                <w:sz w:val="16"/>
                <w:szCs w:val="16"/>
              </w:rPr>
            </w:pPr>
            <w:r w:rsidRPr="00400556">
              <w:rPr>
                <w:b/>
                <w:sz w:val="16"/>
                <w:szCs w:val="16"/>
              </w:rPr>
              <w:t>Net increase/(decrease) in cash and cash equivalents</w:t>
            </w:r>
          </w:p>
        </w:tc>
        <w:tc>
          <w:tcPr>
            <w:tcW w:w="921" w:type="dxa"/>
            <w:gridSpan w:val="2"/>
            <w:tcBorders>
              <w:top w:val="single" w:sz="6" w:space="0" w:color="auto"/>
            </w:tcBorders>
          </w:tcPr>
          <w:p w14:paraId="479BCD8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(1 510)</w:t>
            </w:r>
          </w:p>
        </w:tc>
        <w:tc>
          <w:tcPr>
            <w:tcW w:w="921" w:type="dxa"/>
            <w:tcBorders>
              <w:top w:val="single" w:sz="6" w:space="0" w:color="auto"/>
            </w:tcBorders>
          </w:tcPr>
          <w:p w14:paraId="3F2805F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(5 392)</w:t>
            </w:r>
          </w:p>
        </w:tc>
        <w:tc>
          <w:tcPr>
            <w:tcW w:w="921" w:type="dxa"/>
            <w:tcBorders>
              <w:top w:val="single" w:sz="6" w:space="0" w:color="auto"/>
            </w:tcBorders>
          </w:tcPr>
          <w:p w14:paraId="7D79935E"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852</w:t>
            </w:r>
          </w:p>
        </w:tc>
        <w:tc>
          <w:tcPr>
            <w:tcW w:w="921" w:type="dxa"/>
            <w:tcBorders>
              <w:top w:val="single" w:sz="6" w:space="0" w:color="auto"/>
            </w:tcBorders>
          </w:tcPr>
          <w:p w14:paraId="3C1777A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24</w:t>
            </w:r>
          </w:p>
        </w:tc>
      </w:tr>
      <w:tr w:rsidR="009D33A8" w:rsidRPr="00E50422" w14:paraId="5E3E3465"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6712DAB7" w14:textId="77777777" w:rsidR="009D33A8" w:rsidRPr="00400556" w:rsidRDefault="009D33A8">
            <w:pPr>
              <w:spacing w:after="0"/>
              <w:rPr>
                <w:sz w:val="16"/>
                <w:szCs w:val="16"/>
              </w:rPr>
            </w:pPr>
            <w:r w:rsidRPr="00400556">
              <w:rPr>
                <w:sz w:val="16"/>
                <w:szCs w:val="16"/>
              </w:rPr>
              <w:t xml:space="preserve">Cash and cash equivalents at beginning of reporting period </w:t>
            </w:r>
            <w:r w:rsidRPr="00400556">
              <w:rPr>
                <w:sz w:val="16"/>
                <w:szCs w:val="16"/>
                <w:vertAlign w:val="superscript"/>
              </w:rPr>
              <w:t>(d)</w:t>
            </w:r>
          </w:p>
        </w:tc>
        <w:tc>
          <w:tcPr>
            <w:tcW w:w="921" w:type="dxa"/>
            <w:gridSpan w:val="2"/>
            <w:tcBorders>
              <w:bottom w:val="single" w:sz="6" w:space="0" w:color="auto"/>
            </w:tcBorders>
          </w:tcPr>
          <w:p w14:paraId="595D98F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14 310</w:t>
            </w:r>
          </w:p>
        </w:tc>
        <w:tc>
          <w:tcPr>
            <w:tcW w:w="921" w:type="dxa"/>
            <w:tcBorders>
              <w:bottom w:val="single" w:sz="6" w:space="0" w:color="auto"/>
            </w:tcBorders>
          </w:tcPr>
          <w:p w14:paraId="76C2FB1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19 698</w:t>
            </w:r>
          </w:p>
        </w:tc>
        <w:tc>
          <w:tcPr>
            <w:tcW w:w="921" w:type="dxa"/>
            <w:tcBorders>
              <w:bottom w:val="single" w:sz="6" w:space="0" w:color="auto"/>
            </w:tcBorders>
          </w:tcPr>
          <w:p w14:paraId="3126E796"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2 251</w:t>
            </w:r>
          </w:p>
        </w:tc>
        <w:tc>
          <w:tcPr>
            <w:tcW w:w="921" w:type="dxa"/>
            <w:tcBorders>
              <w:bottom w:val="single" w:sz="6" w:space="0" w:color="auto"/>
            </w:tcBorders>
          </w:tcPr>
          <w:p w14:paraId="3C8F3DAF"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2 232</w:t>
            </w:r>
          </w:p>
        </w:tc>
      </w:tr>
      <w:tr w:rsidR="009D33A8" w:rsidRPr="00E50422" w14:paraId="5A62BE12"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136CEE05" w14:textId="77777777" w:rsidR="009D33A8" w:rsidRPr="00400556" w:rsidRDefault="009D33A8">
            <w:pPr>
              <w:spacing w:after="0"/>
              <w:rPr>
                <w:sz w:val="16"/>
                <w:szCs w:val="16"/>
              </w:rPr>
            </w:pPr>
            <w:r w:rsidRPr="00400556">
              <w:rPr>
                <w:b/>
                <w:sz w:val="16"/>
                <w:szCs w:val="16"/>
              </w:rPr>
              <w:t>Cash and cash equivalents at end of the reporting period</w:t>
            </w:r>
          </w:p>
        </w:tc>
        <w:tc>
          <w:tcPr>
            <w:tcW w:w="921" w:type="dxa"/>
            <w:gridSpan w:val="2"/>
            <w:tcBorders>
              <w:top w:val="single" w:sz="6" w:space="0" w:color="auto"/>
              <w:bottom w:val="single" w:sz="12" w:space="0" w:color="auto"/>
            </w:tcBorders>
          </w:tcPr>
          <w:p w14:paraId="54F3FBC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12 800</w:t>
            </w:r>
          </w:p>
        </w:tc>
        <w:tc>
          <w:tcPr>
            <w:tcW w:w="921" w:type="dxa"/>
            <w:tcBorders>
              <w:top w:val="single" w:sz="6" w:space="0" w:color="auto"/>
              <w:bottom w:val="single" w:sz="12" w:space="0" w:color="auto"/>
            </w:tcBorders>
          </w:tcPr>
          <w:p w14:paraId="2F0FB3F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14 306</w:t>
            </w:r>
          </w:p>
        </w:tc>
        <w:tc>
          <w:tcPr>
            <w:tcW w:w="921" w:type="dxa"/>
            <w:tcBorders>
              <w:top w:val="single" w:sz="6" w:space="0" w:color="auto"/>
              <w:bottom w:val="single" w:sz="12" w:space="0" w:color="auto"/>
            </w:tcBorders>
          </w:tcPr>
          <w:p w14:paraId="087842C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3 102</w:t>
            </w:r>
          </w:p>
        </w:tc>
        <w:tc>
          <w:tcPr>
            <w:tcW w:w="921" w:type="dxa"/>
            <w:tcBorders>
              <w:top w:val="single" w:sz="6" w:space="0" w:color="auto"/>
              <w:bottom w:val="single" w:sz="12" w:space="0" w:color="auto"/>
            </w:tcBorders>
          </w:tcPr>
          <w:p w14:paraId="08A5C42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2 255</w:t>
            </w:r>
          </w:p>
        </w:tc>
      </w:tr>
      <w:tr w:rsidR="009D33A8" w:rsidRPr="00E50422" w14:paraId="2F330C1E" w14:textId="77777777" w:rsidTr="00387417">
        <w:trPr>
          <w:trHeight w:hRule="exact" w:val="113"/>
        </w:trPr>
        <w:tc>
          <w:tcPr>
            <w:cnfStyle w:val="001000000000" w:firstRow="0" w:lastRow="0" w:firstColumn="1" w:lastColumn="0" w:oddVBand="0" w:evenVBand="0" w:oddHBand="0" w:evenHBand="0" w:firstRowFirstColumn="0" w:firstRowLastColumn="0" w:lastRowFirstColumn="0" w:lastRowLastColumn="0"/>
            <w:tcW w:w="5954" w:type="dxa"/>
            <w:tcBorders>
              <w:top w:val="single" w:sz="0" w:space="0" w:color="auto"/>
            </w:tcBorders>
          </w:tcPr>
          <w:p w14:paraId="19229155" w14:textId="77777777" w:rsidR="009D33A8" w:rsidRPr="00400556" w:rsidRDefault="009D33A8">
            <w:pPr>
              <w:spacing w:after="0"/>
              <w:rPr>
                <w:sz w:val="16"/>
                <w:szCs w:val="16"/>
              </w:rPr>
            </w:pPr>
          </w:p>
        </w:tc>
        <w:tc>
          <w:tcPr>
            <w:tcW w:w="921" w:type="dxa"/>
            <w:gridSpan w:val="2"/>
            <w:tcBorders>
              <w:top w:val="single" w:sz="0" w:space="0" w:color="auto"/>
            </w:tcBorders>
          </w:tcPr>
          <w:p w14:paraId="5E2E26B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Borders>
              <w:top w:val="single" w:sz="0" w:space="0" w:color="auto"/>
            </w:tcBorders>
          </w:tcPr>
          <w:p w14:paraId="2B904D9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Borders>
              <w:top w:val="single" w:sz="0" w:space="0" w:color="auto"/>
            </w:tcBorders>
          </w:tcPr>
          <w:p w14:paraId="59FC7CA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Borders>
              <w:top w:val="single" w:sz="0" w:space="0" w:color="auto"/>
            </w:tcBorders>
          </w:tcPr>
          <w:p w14:paraId="46470FB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62852BED"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5464A18E" w14:textId="77777777" w:rsidR="009D33A8" w:rsidRPr="00400556" w:rsidRDefault="009D33A8">
            <w:pPr>
              <w:spacing w:after="0"/>
              <w:rPr>
                <w:sz w:val="16"/>
                <w:szCs w:val="16"/>
              </w:rPr>
            </w:pPr>
            <w:r w:rsidRPr="00400556">
              <w:rPr>
                <w:b/>
                <w:sz w:val="16"/>
                <w:szCs w:val="16"/>
              </w:rPr>
              <w:t>FISCAL AGGREGATES</w:t>
            </w:r>
          </w:p>
        </w:tc>
        <w:tc>
          <w:tcPr>
            <w:tcW w:w="921" w:type="dxa"/>
            <w:gridSpan w:val="2"/>
          </w:tcPr>
          <w:p w14:paraId="3396A97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35EF1A4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30CF376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c>
          <w:tcPr>
            <w:tcW w:w="921" w:type="dxa"/>
          </w:tcPr>
          <w:p w14:paraId="188C898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9D33A8" w:rsidRPr="00E50422" w14:paraId="6A464256"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29F3172A" w14:textId="77777777" w:rsidR="009D33A8" w:rsidRPr="00400556" w:rsidRDefault="009D33A8">
            <w:pPr>
              <w:spacing w:after="0"/>
              <w:rPr>
                <w:sz w:val="16"/>
                <w:szCs w:val="16"/>
              </w:rPr>
            </w:pPr>
            <w:r w:rsidRPr="00400556">
              <w:rPr>
                <w:sz w:val="16"/>
                <w:szCs w:val="16"/>
              </w:rPr>
              <w:t>Net cash flows from operating activities</w:t>
            </w:r>
          </w:p>
        </w:tc>
        <w:tc>
          <w:tcPr>
            <w:tcW w:w="921" w:type="dxa"/>
            <w:gridSpan w:val="2"/>
          </w:tcPr>
          <w:p w14:paraId="6DCC6798"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3 233</w:t>
            </w:r>
          </w:p>
        </w:tc>
        <w:tc>
          <w:tcPr>
            <w:tcW w:w="921" w:type="dxa"/>
          </w:tcPr>
          <w:p w14:paraId="55AF1B0B"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2 623</w:t>
            </w:r>
          </w:p>
        </w:tc>
        <w:tc>
          <w:tcPr>
            <w:tcW w:w="921" w:type="dxa"/>
          </w:tcPr>
          <w:p w14:paraId="39AD535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1 466</w:t>
            </w:r>
          </w:p>
        </w:tc>
        <w:tc>
          <w:tcPr>
            <w:tcW w:w="921" w:type="dxa"/>
          </w:tcPr>
          <w:p w14:paraId="4962B1A7"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1 442</w:t>
            </w:r>
          </w:p>
        </w:tc>
      </w:tr>
      <w:tr w:rsidR="009D33A8" w:rsidRPr="00E50422" w14:paraId="76BCA4D3" w14:textId="77777777" w:rsidTr="00387417">
        <w:tc>
          <w:tcPr>
            <w:cnfStyle w:val="001000000000" w:firstRow="0" w:lastRow="0" w:firstColumn="1" w:lastColumn="0" w:oddVBand="0" w:evenVBand="0" w:oddHBand="0" w:evenHBand="0" w:firstRowFirstColumn="0" w:firstRowLastColumn="0" w:lastRowFirstColumn="0" w:lastRowLastColumn="0"/>
            <w:tcW w:w="5954" w:type="dxa"/>
          </w:tcPr>
          <w:p w14:paraId="246BC1F3" w14:textId="77777777" w:rsidR="009D33A8" w:rsidRPr="00400556" w:rsidRDefault="009D33A8">
            <w:pPr>
              <w:spacing w:after="0"/>
              <w:rPr>
                <w:sz w:val="16"/>
                <w:szCs w:val="16"/>
              </w:rPr>
            </w:pPr>
            <w:r w:rsidRPr="00400556">
              <w:rPr>
                <w:sz w:val="16"/>
                <w:szCs w:val="16"/>
              </w:rPr>
              <w:t>Dividends paid</w:t>
            </w:r>
          </w:p>
        </w:tc>
        <w:tc>
          <w:tcPr>
            <w:tcW w:w="921" w:type="dxa"/>
            <w:gridSpan w:val="2"/>
          </w:tcPr>
          <w:p w14:paraId="54FC3F8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Pr>
          <w:p w14:paraId="6C1EC78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w:t>
            </w:r>
          </w:p>
        </w:tc>
        <w:tc>
          <w:tcPr>
            <w:tcW w:w="921" w:type="dxa"/>
          </w:tcPr>
          <w:p w14:paraId="73D8A469"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(106)</w:t>
            </w:r>
          </w:p>
        </w:tc>
        <w:tc>
          <w:tcPr>
            <w:tcW w:w="921" w:type="dxa"/>
          </w:tcPr>
          <w:p w14:paraId="5928366C"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(206)</w:t>
            </w:r>
          </w:p>
        </w:tc>
      </w:tr>
      <w:tr w:rsidR="009D33A8" w:rsidRPr="00E50422" w14:paraId="6CFC183F"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bottom w:val="single" w:sz="6" w:space="0" w:color="auto"/>
            </w:tcBorders>
          </w:tcPr>
          <w:p w14:paraId="3E0C1974" w14:textId="77777777" w:rsidR="009D33A8" w:rsidRPr="00400556" w:rsidRDefault="009D33A8">
            <w:pPr>
              <w:spacing w:after="0"/>
              <w:rPr>
                <w:sz w:val="16"/>
                <w:szCs w:val="16"/>
              </w:rPr>
            </w:pPr>
            <w:r w:rsidRPr="00400556">
              <w:rPr>
                <w:sz w:val="16"/>
                <w:szCs w:val="16"/>
              </w:rPr>
              <w:t>Net cash flows from investments in non</w:t>
            </w:r>
            <w:r w:rsidRPr="00400556">
              <w:rPr>
                <w:sz w:val="16"/>
                <w:szCs w:val="16"/>
              </w:rPr>
              <w:noBreakHyphen/>
              <w:t>financial assets</w:t>
            </w:r>
          </w:p>
        </w:tc>
        <w:tc>
          <w:tcPr>
            <w:tcW w:w="921" w:type="dxa"/>
            <w:gridSpan w:val="2"/>
            <w:tcBorders>
              <w:bottom w:val="single" w:sz="6" w:space="0" w:color="auto"/>
            </w:tcBorders>
          </w:tcPr>
          <w:p w14:paraId="71395912"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(15 988)</w:t>
            </w:r>
          </w:p>
        </w:tc>
        <w:tc>
          <w:tcPr>
            <w:tcW w:w="921" w:type="dxa"/>
            <w:tcBorders>
              <w:bottom w:val="single" w:sz="6" w:space="0" w:color="auto"/>
            </w:tcBorders>
          </w:tcPr>
          <w:p w14:paraId="401AF0E3"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(17 056)</w:t>
            </w:r>
          </w:p>
        </w:tc>
        <w:tc>
          <w:tcPr>
            <w:tcW w:w="921" w:type="dxa"/>
            <w:tcBorders>
              <w:bottom w:val="single" w:sz="6" w:space="0" w:color="auto"/>
            </w:tcBorders>
          </w:tcPr>
          <w:p w14:paraId="64981D4A"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(5 983)</w:t>
            </w:r>
          </w:p>
        </w:tc>
        <w:tc>
          <w:tcPr>
            <w:tcW w:w="921" w:type="dxa"/>
            <w:tcBorders>
              <w:bottom w:val="single" w:sz="6" w:space="0" w:color="auto"/>
            </w:tcBorders>
          </w:tcPr>
          <w:p w14:paraId="3AA87E25"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sz w:val="16"/>
                <w:szCs w:val="16"/>
              </w:rPr>
              <w:t>(5 421)</w:t>
            </w:r>
          </w:p>
        </w:tc>
      </w:tr>
      <w:tr w:rsidR="009D33A8" w:rsidRPr="00E50422" w14:paraId="716F1B0B" w14:textId="77777777" w:rsidTr="00387417">
        <w:tc>
          <w:tcPr>
            <w:cnfStyle w:val="001000000000" w:firstRow="0" w:lastRow="0" w:firstColumn="1" w:lastColumn="0" w:oddVBand="0" w:evenVBand="0" w:oddHBand="0" w:evenHBand="0" w:firstRowFirstColumn="0" w:firstRowLastColumn="0" w:lastRowFirstColumn="0" w:lastRowLastColumn="0"/>
            <w:tcW w:w="5954" w:type="dxa"/>
            <w:tcBorders>
              <w:top w:val="single" w:sz="6" w:space="0" w:color="auto"/>
              <w:bottom w:val="single" w:sz="12" w:space="0" w:color="auto"/>
            </w:tcBorders>
          </w:tcPr>
          <w:p w14:paraId="1E3B1BAE" w14:textId="77777777" w:rsidR="009D33A8" w:rsidRPr="00400556" w:rsidRDefault="009D33A8">
            <w:pPr>
              <w:spacing w:after="0"/>
              <w:rPr>
                <w:sz w:val="16"/>
                <w:szCs w:val="16"/>
              </w:rPr>
            </w:pPr>
            <w:r w:rsidRPr="00400556">
              <w:rPr>
                <w:b/>
                <w:sz w:val="16"/>
                <w:szCs w:val="16"/>
              </w:rPr>
              <w:t>Cash surplus/(deficit)</w:t>
            </w:r>
          </w:p>
        </w:tc>
        <w:tc>
          <w:tcPr>
            <w:tcW w:w="921" w:type="dxa"/>
            <w:gridSpan w:val="2"/>
            <w:tcBorders>
              <w:top w:val="single" w:sz="6" w:space="0" w:color="auto"/>
              <w:bottom w:val="single" w:sz="12" w:space="0" w:color="auto"/>
            </w:tcBorders>
          </w:tcPr>
          <w:p w14:paraId="5CA1A02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(12 756)</w:t>
            </w:r>
          </w:p>
        </w:tc>
        <w:tc>
          <w:tcPr>
            <w:tcW w:w="921" w:type="dxa"/>
            <w:tcBorders>
              <w:top w:val="single" w:sz="6" w:space="0" w:color="auto"/>
              <w:bottom w:val="single" w:sz="12" w:space="0" w:color="auto"/>
            </w:tcBorders>
          </w:tcPr>
          <w:p w14:paraId="3F8AC08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(14 434)</w:t>
            </w:r>
          </w:p>
        </w:tc>
        <w:tc>
          <w:tcPr>
            <w:tcW w:w="921" w:type="dxa"/>
            <w:tcBorders>
              <w:top w:val="single" w:sz="6" w:space="0" w:color="auto"/>
              <w:bottom w:val="single" w:sz="12" w:space="0" w:color="auto"/>
            </w:tcBorders>
          </w:tcPr>
          <w:p w14:paraId="4907ECC1"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(4 623)</w:t>
            </w:r>
          </w:p>
        </w:tc>
        <w:tc>
          <w:tcPr>
            <w:tcW w:w="921" w:type="dxa"/>
            <w:tcBorders>
              <w:top w:val="single" w:sz="6" w:space="0" w:color="auto"/>
              <w:bottom w:val="single" w:sz="12" w:space="0" w:color="auto"/>
            </w:tcBorders>
          </w:tcPr>
          <w:p w14:paraId="5012846D" w14:textId="77777777" w:rsidR="009D33A8" w:rsidRPr="00400556" w:rsidRDefault="009D33A8">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400556">
              <w:rPr>
                <w:b/>
                <w:sz w:val="16"/>
                <w:szCs w:val="16"/>
              </w:rPr>
              <w:t>(4 186)</w:t>
            </w:r>
          </w:p>
        </w:tc>
      </w:tr>
    </w:tbl>
    <w:p w14:paraId="4E6D5FD8" w14:textId="77777777" w:rsidR="009D33A8" w:rsidRDefault="009D33A8" w:rsidP="00387417">
      <w:pPr>
        <w:pStyle w:val="Note"/>
      </w:pPr>
      <w:r>
        <w:t>Notes:</w:t>
      </w:r>
    </w:p>
    <w:p w14:paraId="5502BC35" w14:textId="77777777" w:rsidR="009D33A8" w:rsidRDefault="009D33A8" w:rsidP="009D33A8">
      <w:pPr>
        <w:pStyle w:val="Note"/>
      </w:pPr>
      <w:r>
        <w:t>(a)</w:t>
      </w:r>
      <w:r>
        <w:tab/>
        <w:t>These items include goods and services tax.</w:t>
      </w:r>
    </w:p>
    <w:p w14:paraId="64FB15D1" w14:textId="77777777" w:rsidR="009D33A8" w:rsidRDefault="009D33A8" w:rsidP="009D33A8">
      <w:pPr>
        <w:pStyle w:val="Note"/>
      </w:pPr>
      <w:r>
        <w:t>(b)</w:t>
      </w:r>
      <w:r>
        <w:tab/>
      </w:r>
      <w:r w:rsidRPr="00F246CC">
        <w:t xml:space="preserve">In accordance with AASB 107 </w:t>
      </w:r>
      <w:r w:rsidRPr="00C006C4">
        <w:rPr>
          <w:i w:val="0"/>
          <w:iCs/>
        </w:rPr>
        <w:t>Statement of Cash Flows</w:t>
      </w:r>
      <w:r w:rsidRPr="00F246CC">
        <w:t xml:space="preserve">, TCV has reported its cash flow information for whole of government consolidation purposes on a net basis for both financial years ended 30 June </w:t>
      </w:r>
      <w:r>
        <w:t>2024</w:t>
      </w:r>
      <w:r w:rsidRPr="00F246CC">
        <w:t xml:space="preserve"> and 30 June </w:t>
      </w:r>
      <w:r>
        <w:t>2025.</w:t>
      </w:r>
    </w:p>
    <w:p w14:paraId="0F80E798" w14:textId="7567ABDA" w:rsidR="009D33A8" w:rsidRDefault="009D33A8" w:rsidP="009D33A8">
      <w:pPr>
        <w:pStyle w:val="Note"/>
      </w:pPr>
      <w:r>
        <w:t>(c)</w:t>
      </w:r>
      <w:r>
        <w:tab/>
      </w:r>
      <w:r w:rsidRPr="00AF032D">
        <w:t xml:space="preserve">The June 2024 figures have been reclassified between borrowings received and borrowings repaid to more </w:t>
      </w:r>
      <w:r w:rsidR="007C0D91">
        <w:t>accurately</w:t>
      </w:r>
      <w:r w:rsidRPr="00AF032D">
        <w:t xml:space="preserve"> reflect the nature of the cash</w:t>
      </w:r>
      <w:r w:rsidR="00086696">
        <w:t xml:space="preserve"> </w:t>
      </w:r>
      <w:r w:rsidRPr="00AF032D">
        <w:t>flows</w:t>
      </w:r>
      <w:r>
        <w:t>.</w:t>
      </w:r>
    </w:p>
    <w:p w14:paraId="5F415E93" w14:textId="77777777" w:rsidR="009D33A8" w:rsidRDefault="009D33A8" w:rsidP="009D33A8">
      <w:pPr>
        <w:pStyle w:val="Note"/>
      </w:pPr>
      <w:r>
        <w:t>(d)</w:t>
      </w:r>
      <w:r>
        <w:tab/>
        <w:t xml:space="preserve">On 1 July 2024, the previous State Electricity Commission of Victoria, established under the </w:t>
      </w:r>
      <w:r w:rsidRPr="00DA3717">
        <w:rPr>
          <w:i w:val="0"/>
        </w:rPr>
        <w:t xml:space="preserve">State Electricity Commission Act 1958 (SEC Act) </w:t>
      </w:r>
      <w:r>
        <w:t>was abolished by the</w:t>
      </w:r>
    </w:p>
    <w:p w14:paraId="69D61B9F" w14:textId="77777777" w:rsidR="009D33A8" w:rsidRDefault="009D33A8" w:rsidP="009D33A8">
      <w:pPr>
        <w:pStyle w:val="Note"/>
      </w:pPr>
      <w:r>
        <w:tab/>
        <w:t xml:space="preserve">commencement of the </w:t>
      </w:r>
      <w:r w:rsidRPr="00DA3717">
        <w:rPr>
          <w:i w:val="0"/>
        </w:rPr>
        <w:t>State Electricity Commission Amendment Act 2024</w:t>
      </w:r>
      <w:r>
        <w:t xml:space="preserve"> and the residual financial assets were transferred to the Department of Energy,</w:t>
      </w:r>
    </w:p>
    <w:p w14:paraId="55EE8405" w14:textId="77777777" w:rsidR="009D33A8" w:rsidRDefault="009D33A8" w:rsidP="009D33A8">
      <w:pPr>
        <w:pStyle w:val="Note"/>
        <w:ind w:left="0" w:firstLine="0"/>
      </w:pPr>
      <w:r>
        <w:tab/>
        <w:t>Environment and Climate Action. This has resulted in the 1 July 2024 opening balance not equalling the 30 June closing balance.</w:t>
      </w:r>
    </w:p>
    <w:p w14:paraId="7E3306F6" w14:textId="77777777" w:rsidR="009D33A8" w:rsidRDefault="009D33A8" w:rsidP="009D33A8">
      <w:pPr>
        <w:pStyle w:val="TableHeading"/>
        <w:spacing w:after="0"/>
      </w:pPr>
    </w:p>
    <w:tbl>
      <w:tblPr>
        <w:tblStyle w:val="DTFTableNumeric"/>
        <w:tblW w:w="9638" w:type="dxa"/>
        <w:tblLayout w:type="fixed"/>
        <w:tblLook w:val="0620" w:firstRow="1" w:lastRow="0" w:firstColumn="0" w:lastColumn="0" w:noHBand="1" w:noVBand="1"/>
        <w:tblDescription w:val="Type:DtfTable|Workbook:https://vicgov.sharepoint.com/sites/VG002733/Annual Financial Report/CRA Coordination/Financial Statements/Manual Reports/Gross Cash Flows/Link_AFR_Cash_Flow_Statement.xlsx|Table:Dissag_CF_R|TableGroup:Disaggregated"/>
      </w:tblPr>
      <w:tblGrid>
        <w:gridCol w:w="1607"/>
        <w:gridCol w:w="1607"/>
        <w:gridCol w:w="1606"/>
        <w:gridCol w:w="1606"/>
        <w:gridCol w:w="1606"/>
        <w:gridCol w:w="1606"/>
      </w:tblGrid>
      <w:tr w:rsidR="009D33A8" w:rsidRPr="00E50422" w14:paraId="50A90C77" w14:textId="77777777">
        <w:trPr>
          <w:cnfStyle w:val="100000000000" w:firstRow="1" w:lastRow="0" w:firstColumn="0" w:lastColumn="0" w:oddVBand="0" w:evenVBand="0" w:oddHBand="0" w:evenHBand="0" w:firstRowFirstColumn="0" w:firstRowLastColumn="0" w:lastRowFirstColumn="0" w:lastRowLastColumn="0"/>
          <w:tblHeader/>
        </w:trPr>
        <w:tc>
          <w:tcPr>
            <w:tcW w:w="3214" w:type="dxa"/>
            <w:gridSpan w:val="2"/>
          </w:tcPr>
          <w:p w14:paraId="069EFEB0" w14:textId="77777777" w:rsidR="009D33A8" w:rsidRPr="007C7EF8" w:rsidRDefault="009D33A8" w:rsidP="00387417">
            <w:pPr>
              <w:keepNext/>
              <w:spacing w:after="0"/>
              <w:jc w:val="center"/>
              <w:rPr>
                <w:sz w:val="16"/>
                <w:szCs w:val="16"/>
              </w:rPr>
            </w:pPr>
            <w:r w:rsidRPr="007C7EF8">
              <w:rPr>
                <w:sz w:val="16"/>
                <w:szCs w:val="16"/>
              </w:rPr>
              <w:t xml:space="preserve">Public financial </w:t>
            </w:r>
            <w:r w:rsidRPr="007C7EF8">
              <w:rPr>
                <w:sz w:val="16"/>
                <w:szCs w:val="16"/>
              </w:rPr>
              <w:br/>
              <w:t>corporations</w:t>
            </w:r>
          </w:p>
        </w:tc>
        <w:tc>
          <w:tcPr>
            <w:tcW w:w="3212" w:type="dxa"/>
            <w:gridSpan w:val="2"/>
          </w:tcPr>
          <w:p w14:paraId="1C9D4808" w14:textId="77777777" w:rsidR="009D33A8" w:rsidRPr="007C7EF8" w:rsidRDefault="009D33A8" w:rsidP="00387417">
            <w:pPr>
              <w:keepNext/>
              <w:spacing w:after="0"/>
              <w:jc w:val="center"/>
              <w:rPr>
                <w:sz w:val="16"/>
                <w:szCs w:val="16"/>
              </w:rPr>
            </w:pPr>
            <w:r w:rsidRPr="007C7EF8">
              <w:rPr>
                <w:sz w:val="16"/>
                <w:szCs w:val="16"/>
              </w:rPr>
              <w:t>Inter</w:t>
            </w:r>
            <w:r w:rsidRPr="007C7EF8">
              <w:rPr>
                <w:sz w:val="16"/>
                <w:szCs w:val="16"/>
              </w:rPr>
              <w:noBreakHyphen/>
              <w:t xml:space="preserve">sector </w:t>
            </w:r>
            <w:r w:rsidRPr="007C7EF8">
              <w:rPr>
                <w:sz w:val="16"/>
                <w:szCs w:val="16"/>
              </w:rPr>
              <w:br/>
              <w:t>eliminations</w:t>
            </w:r>
          </w:p>
        </w:tc>
        <w:tc>
          <w:tcPr>
            <w:tcW w:w="3212" w:type="dxa"/>
            <w:gridSpan w:val="2"/>
          </w:tcPr>
          <w:p w14:paraId="58E1272F" w14:textId="77777777" w:rsidR="009D33A8" w:rsidRPr="007C7EF8" w:rsidRDefault="009D33A8" w:rsidP="00387417">
            <w:pPr>
              <w:keepNext/>
              <w:spacing w:after="0"/>
              <w:jc w:val="center"/>
              <w:rPr>
                <w:sz w:val="16"/>
                <w:szCs w:val="16"/>
              </w:rPr>
            </w:pPr>
            <w:r w:rsidRPr="007C7EF8">
              <w:rPr>
                <w:sz w:val="16"/>
                <w:szCs w:val="16"/>
              </w:rPr>
              <w:t>State of Victoria</w:t>
            </w:r>
          </w:p>
        </w:tc>
      </w:tr>
      <w:tr w:rsidR="00991200" w:rsidRPr="00E50422" w14:paraId="7D692FF5" w14:textId="77777777">
        <w:trPr>
          <w:cnfStyle w:val="100000000000" w:firstRow="1" w:lastRow="0" w:firstColumn="0" w:lastColumn="0" w:oddVBand="0" w:evenVBand="0" w:oddHBand="0" w:evenHBand="0" w:firstRowFirstColumn="0" w:firstRowLastColumn="0" w:lastRowFirstColumn="0" w:lastRowLastColumn="0"/>
          <w:tblHeader/>
        </w:trPr>
        <w:tc>
          <w:tcPr>
            <w:tcW w:w="1607" w:type="dxa"/>
          </w:tcPr>
          <w:p w14:paraId="00501BA2" w14:textId="77777777" w:rsidR="009D33A8" w:rsidRPr="007C7EF8" w:rsidRDefault="009D33A8" w:rsidP="00387417">
            <w:pPr>
              <w:keepNext/>
              <w:spacing w:after="0"/>
              <w:rPr>
                <w:sz w:val="16"/>
                <w:szCs w:val="16"/>
              </w:rPr>
            </w:pPr>
            <w:r w:rsidRPr="007C7EF8">
              <w:rPr>
                <w:sz w:val="16"/>
                <w:szCs w:val="16"/>
              </w:rPr>
              <w:t>2025</w:t>
            </w:r>
          </w:p>
        </w:tc>
        <w:tc>
          <w:tcPr>
            <w:tcW w:w="1607" w:type="dxa"/>
          </w:tcPr>
          <w:p w14:paraId="1C40C6A2" w14:textId="77777777" w:rsidR="009D33A8" w:rsidRPr="007C7EF8" w:rsidRDefault="009D33A8" w:rsidP="00387417">
            <w:pPr>
              <w:keepNext/>
              <w:spacing w:after="0"/>
              <w:rPr>
                <w:sz w:val="16"/>
                <w:szCs w:val="16"/>
              </w:rPr>
            </w:pPr>
            <w:r w:rsidRPr="007C7EF8">
              <w:rPr>
                <w:sz w:val="16"/>
                <w:szCs w:val="16"/>
              </w:rPr>
              <w:t>2024</w:t>
            </w:r>
          </w:p>
        </w:tc>
        <w:tc>
          <w:tcPr>
            <w:tcW w:w="1606" w:type="dxa"/>
          </w:tcPr>
          <w:p w14:paraId="7C10F1D7" w14:textId="77777777" w:rsidR="009D33A8" w:rsidRPr="007C7EF8" w:rsidRDefault="009D33A8" w:rsidP="00387417">
            <w:pPr>
              <w:keepNext/>
              <w:spacing w:after="0"/>
              <w:rPr>
                <w:sz w:val="16"/>
                <w:szCs w:val="16"/>
              </w:rPr>
            </w:pPr>
            <w:r w:rsidRPr="007C7EF8">
              <w:rPr>
                <w:sz w:val="16"/>
                <w:szCs w:val="16"/>
              </w:rPr>
              <w:t>2025</w:t>
            </w:r>
          </w:p>
        </w:tc>
        <w:tc>
          <w:tcPr>
            <w:tcW w:w="1606" w:type="dxa"/>
          </w:tcPr>
          <w:p w14:paraId="311ACE27" w14:textId="77777777" w:rsidR="009D33A8" w:rsidRPr="007C7EF8" w:rsidRDefault="009D33A8" w:rsidP="00387417">
            <w:pPr>
              <w:keepNext/>
              <w:spacing w:after="0"/>
              <w:rPr>
                <w:sz w:val="16"/>
                <w:szCs w:val="16"/>
              </w:rPr>
            </w:pPr>
            <w:r w:rsidRPr="007C7EF8">
              <w:rPr>
                <w:sz w:val="16"/>
                <w:szCs w:val="16"/>
              </w:rPr>
              <w:t>2024</w:t>
            </w:r>
          </w:p>
        </w:tc>
        <w:tc>
          <w:tcPr>
            <w:tcW w:w="1606" w:type="dxa"/>
          </w:tcPr>
          <w:p w14:paraId="6C636A2F" w14:textId="77777777" w:rsidR="009D33A8" w:rsidRPr="007C7EF8" w:rsidRDefault="009D33A8" w:rsidP="00387417">
            <w:pPr>
              <w:keepNext/>
              <w:spacing w:after="0"/>
              <w:rPr>
                <w:sz w:val="16"/>
                <w:szCs w:val="16"/>
              </w:rPr>
            </w:pPr>
            <w:r w:rsidRPr="007C7EF8">
              <w:rPr>
                <w:sz w:val="16"/>
                <w:szCs w:val="16"/>
              </w:rPr>
              <w:t>2025</w:t>
            </w:r>
          </w:p>
        </w:tc>
        <w:tc>
          <w:tcPr>
            <w:tcW w:w="1606" w:type="dxa"/>
          </w:tcPr>
          <w:p w14:paraId="3CED79DF" w14:textId="77777777" w:rsidR="009D33A8" w:rsidRPr="007C7EF8" w:rsidRDefault="009D33A8" w:rsidP="00387417">
            <w:pPr>
              <w:keepNext/>
              <w:spacing w:after="0"/>
              <w:rPr>
                <w:sz w:val="16"/>
                <w:szCs w:val="16"/>
              </w:rPr>
            </w:pPr>
            <w:r w:rsidRPr="007C7EF8">
              <w:rPr>
                <w:sz w:val="16"/>
                <w:szCs w:val="16"/>
              </w:rPr>
              <w:t>2024</w:t>
            </w:r>
          </w:p>
        </w:tc>
      </w:tr>
      <w:tr w:rsidR="009D33A8" w:rsidRPr="00E50422" w14:paraId="50238E40" w14:textId="77777777">
        <w:tc>
          <w:tcPr>
            <w:tcW w:w="1607" w:type="dxa"/>
          </w:tcPr>
          <w:p w14:paraId="4761C2F0" w14:textId="77777777" w:rsidR="009D33A8" w:rsidRPr="007C7EF8" w:rsidRDefault="009D33A8" w:rsidP="00387417">
            <w:pPr>
              <w:spacing w:after="0"/>
              <w:rPr>
                <w:sz w:val="16"/>
                <w:szCs w:val="16"/>
              </w:rPr>
            </w:pPr>
          </w:p>
        </w:tc>
        <w:tc>
          <w:tcPr>
            <w:tcW w:w="1607" w:type="dxa"/>
          </w:tcPr>
          <w:p w14:paraId="0C8051A0" w14:textId="77777777" w:rsidR="009D33A8" w:rsidRPr="007C7EF8" w:rsidRDefault="009D33A8" w:rsidP="00387417">
            <w:pPr>
              <w:spacing w:after="0"/>
              <w:rPr>
                <w:sz w:val="16"/>
                <w:szCs w:val="16"/>
              </w:rPr>
            </w:pPr>
          </w:p>
        </w:tc>
        <w:tc>
          <w:tcPr>
            <w:tcW w:w="1606" w:type="dxa"/>
          </w:tcPr>
          <w:p w14:paraId="31C811D6" w14:textId="77777777" w:rsidR="009D33A8" w:rsidRPr="007C7EF8" w:rsidRDefault="009D33A8" w:rsidP="00387417">
            <w:pPr>
              <w:spacing w:after="0"/>
              <w:rPr>
                <w:sz w:val="16"/>
                <w:szCs w:val="16"/>
              </w:rPr>
            </w:pPr>
          </w:p>
        </w:tc>
        <w:tc>
          <w:tcPr>
            <w:tcW w:w="1606" w:type="dxa"/>
          </w:tcPr>
          <w:p w14:paraId="636106BF" w14:textId="77777777" w:rsidR="009D33A8" w:rsidRPr="007C7EF8" w:rsidRDefault="009D33A8" w:rsidP="00387417">
            <w:pPr>
              <w:spacing w:after="0"/>
              <w:rPr>
                <w:sz w:val="16"/>
                <w:szCs w:val="16"/>
              </w:rPr>
            </w:pPr>
          </w:p>
        </w:tc>
        <w:tc>
          <w:tcPr>
            <w:tcW w:w="1606" w:type="dxa"/>
          </w:tcPr>
          <w:p w14:paraId="1C4CBC95" w14:textId="77777777" w:rsidR="009D33A8" w:rsidRPr="007C7EF8" w:rsidRDefault="009D33A8" w:rsidP="00387417">
            <w:pPr>
              <w:spacing w:after="0"/>
              <w:rPr>
                <w:sz w:val="16"/>
                <w:szCs w:val="16"/>
              </w:rPr>
            </w:pPr>
          </w:p>
        </w:tc>
        <w:tc>
          <w:tcPr>
            <w:tcW w:w="1606" w:type="dxa"/>
          </w:tcPr>
          <w:p w14:paraId="46EB68E2" w14:textId="77777777" w:rsidR="009D33A8" w:rsidRPr="007C7EF8" w:rsidRDefault="009D33A8" w:rsidP="00387417">
            <w:pPr>
              <w:spacing w:after="0"/>
              <w:rPr>
                <w:sz w:val="16"/>
                <w:szCs w:val="16"/>
              </w:rPr>
            </w:pPr>
          </w:p>
        </w:tc>
      </w:tr>
      <w:tr w:rsidR="009D33A8" w:rsidRPr="00E50422" w14:paraId="73870F7C" w14:textId="77777777">
        <w:tc>
          <w:tcPr>
            <w:tcW w:w="1607" w:type="dxa"/>
          </w:tcPr>
          <w:p w14:paraId="7F151985" w14:textId="77777777" w:rsidR="009D33A8" w:rsidRPr="007C7EF8" w:rsidRDefault="009D33A8" w:rsidP="00387417">
            <w:pPr>
              <w:spacing w:after="0"/>
              <w:rPr>
                <w:sz w:val="16"/>
                <w:szCs w:val="16"/>
              </w:rPr>
            </w:pPr>
          </w:p>
        </w:tc>
        <w:tc>
          <w:tcPr>
            <w:tcW w:w="1607" w:type="dxa"/>
          </w:tcPr>
          <w:p w14:paraId="6780EF36" w14:textId="77777777" w:rsidR="009D33A8" w:rsidRPr="007C7EF8" w:rsidRDefault="009D33A8" w:rsidP="00387417">
            <w:pPr>
              <w:spacing w:after="0"/>
              <w:rPr>
                <w:sz w:val="16"/>
                <w:szCs w:val="16"/>
              </w:rPr>
            </w:pPr>
          </w:p>
        </w:tc>
        <w:tc>
          <w:tcPr>
            <w:tcW w:w="1606" w:type="dxa"/>
          </w:tcPr>
          <w:p w14:paraId="5865DA09" w14:textId="77777777" w:rsidR="009D33A8" w:rsidRPr="007C7EF8" w:rsidRDefault="009D33A8" w:rsidP="00387417">
            <w:pPr>
              <w:spacing w:after="0"/>
              <w:rPr>
                <w:sz w:val="16"/>
                <w:szCs w:val="16"/>
              </w:rPr>
            </w:pPr>
          </w:p>
        </w:tc>
        <w:tc>
          <w:tcPr>
            <w:tcW w:w="1606" w:type="dxa"/>
          </w:tcPr>
          <w:p w14:paraId="566A68EE" w14:textId="77777777" w:rsidR="009D33A8" w:rsidRPr="007C7EF8" w:rsidRDefault="009D33A8" w:rsidP="00387417">
            <w:pPr>
              <w:spacing w:after="0"/>
              <w:rPr>
                <w:sz w:val="16"/>
                <w:szCs w:val="16"/>
              </w:rPr>
            </w:pPr>
          </w:p>
        </w:tc>
        <w:tc>
          <w:tcPr>
            <w:tcW w:w="1606" w:type="dxa"/>
          </w:tcPr>
          <w:p w14:paraId="4B484E3F" w14:textId="77777777" w:rsidR="009D33A8" w:rsidRPr="007C7EF8" w:rsidRDefault="009D33A8" w:rsidP="00387417">
            <w:pPr>
              <w:spacing w:after="0"/>
              <w:rPr>
                <w:sz w:val="16"/>
                <w:szCs w:val="16"/>
              </w:rPr>
            </w:pPr>
          </w:p>
        </w:tc>
        <w:tc>
          <w:tcPr>
            <w:tcW w:w="1606" w:type="dxa"/>
          </w:tcPr>
          <w:p w14:paraId="2FEEB449" w14:textId="77777777" w:rsidR="009D33A8" w:rsidRPr="007C7EF8" w:rsidRDefault="009D33A8" w:rsidP="00387417">
            <w:pPr>
              <w:spacing w:after="0"/>
              <w:rPr>
                <w:sz w:val="16"/>
                <w:szCs w:val="16"/>
              </w:rPr>
            </w:pPr>
          </w:p>
        </w:tc>
      </w:tr>
      <w:tr w:rsidR="009D33A8" w:rsidRPr="00E50422" w14:paraId="272E0257" w14:textId="77777777">
        <w:tc>
          <w:tcPr>
            <w:tcW w:w="1607" w:type="dxa"/>
          </w:tcPr>
          <w:p w14:paraId="1F6A0661" w14:textId="77777777" w:rsidR="009D33A8" w:rsidRPr="007C7EF8" w:rsidRDefault="009D33A8" w:rsidP="00387417">
            <w:pPr>
              <w:spacing w:after="0"/>
              <w:rPr>
                <w:sz w:val="16"/>
                <w:szCs w:val="16"/>
              </w:rPr>
            </w:pPr>
            <w:r w:rsidRPr="007C7EF8">
              <w:rPr>
                <w:sz w:val="16"/>
                <w:szCs w:val="16"/>
              </w:rPr>
              <w:t>..</w:t>
            </w:r>
          </w:p>
        </w:tc>
        <w:tc>
          <w:tcPr>
            <w:tcW w:w="1607" w:type="dxa"/>
          </w:tcPr>
          <w:p w14:paraId="4183744E" w14:textId="77777777" w:rsidR="009D33A8" w:rsidRPr="007C7EF8" w:rsidRDefault="009D33A8" w:rsidP="00387417">
            <w:pPr>
              <w:spacing w:after="0"/>
              <w:rPr>
                <w:sz w:val="16"/>
                <w:szCs w:val="16"/>
              </w:rPr>
            </w:pPr>
            <w:r w:rsidRPr="007C7EF8">
              <w:rPr>
                <w:sz w:val="16"/>
                <w:szCs w:val="16"/>
              </w:rPr>
              <w:t>..</w:t>
            </w:r>
          </w:p>
        </w:tc>
        <w:tc>
          <w:tcPr>
            <w:tcW w:w="1606" w:type="dxa"/>
          </w:tcPr>
          <w:p w14:paraId="6B11AF99" w14:textId="77777777" w:rsidR="009D33A8" w:rsidRPr="007C7EF8" w:rsidRDefault="009D33A8" w:rsidP="00387417">
            <w:pPr>
              <w:spacing w:after="0"/>
              <w:rPr>
                <w:sz w:val="16"/>
                <w:szCs w:val="16"/>
              </w:rPr>
            </w:pPr>
            <w:r w:rsidRPr="007C7EF8">
              <w:rPr>
                <w:sz w:val="16"/>
                <w:szCs w:val="16"/>
              </w:rPr>
              <w:t>(586)</w:t>
            </w:r>
          </w:p>
        </w:tc>
        <w:tc>
          <w:tcPr>
            <w:tcW w:w="1606" w:type="dxa"/>
          </w:tcPr>
          <w:p w14:paraId="208A6391" w14:textId="77777777" w:rsidR="009D33A8" w:rsidRPr="007C7EF8" w:rsidRDefault="009D33A8" w:rsidP="00387417">
            <w:pPr>
              <w:spacing w:after="0"/>
              <w:rPr>
                <w:sz w:val="16"/>
                <w:szCs w:val="16"/>
              </w:rPr>
            </w:pPr>
            <w:r w:rsidRPr="007C7EF8">
              <w:rPr>
                <w:sz w:val="16"/>
                <w:szCs w:val="16"/>
              </w:rPr>
              <w:t>(552)</w:t>
            </w:r>
          </w:p>
        </w:tc>
        <w:tc>
          <w:tcPr>
            <w:tcW w:w="1606" w:type="dxa"/>
          </w:tcPr>
          <w:p w14:paraId="781A6333" w14:textId="77777777" w:rsidR="009D33A8" w:rsidRPr="007C7EF8" w:rsidRDefault="009D33A8" w:rsidP="00387417">
            <w:pPr>
              <w:spacing w:after="0"/>
              <w:rPr>
                <w:sz w:val="16"/>
                <w:szCs w:val="16"/>
              </w:rPr>
            </w:pPr>
            <w:r w:rsidRPr="007C7EF8">
              <w:rPr>
                <w:sz w:val="16"/>
                <w:szCs w:val="16"/>
              </w:rPr>
              <w:t>38 828</w:t>
            </w:r>
          </w:p>
        </w:tc>
        <w:tc>
          <w:tcPr>
            <w:tcW w:w="1606" w:type="dxa"/>
          </w:tcPr>
          <w:p w14:paraId="275C9E34" w14:textId="77777777" w:rsidR="009D33A8" w:rsidRPr="007C7EF8" w:rsidRDefault="009D33A8" w:rsidP="00387417">
            <w:pPr>
              <w:spacing w:after="0"/>
              <w:rPr>
                <w:sz w:val="16"/>
                <w:szCs w:val="16"/>
              </w:rPr>
            </w:pPr>
            <w:r w:rsidRPr="007C7EF8">
              <w:rPr>
                <w:sz w:val="16"/>
                <w:szCs w:val="16"/>
              </w:rPr>
              <w:t>35 944</w:t>
            </w:r>
          </w:p>
        </w:tc>
      </w:tr>
      <w:tr w:rsidR="009D33A8" w:rsidRPr="00E50422" w14:paraId="27C34581" w14:textId="77777777">
        <w:tc>
          <w:tcPr>
            <w:tcW w:w="1607" w:type="dxa"/>
          </w:tcPr>
          <w:p w14:paraId="2B1C8817" w14:textId="77777777" w:rsidR="009D33A8" w:rsidRPr="007C7EF8" w:rsidRDefault="009D33A8" w:rsidP="00387417">
            <w:pPr>
              <w:spacing w:after="0"/>
              <w:rPr>
                <w:sz w:val="16"/>
                <w:szCs w:val="16"/>
              </w:rPr>
            </w:pPr>
            <w:r w:rsidRPr="007C7EF8">
              <w:rPr>
                <w:sz w:val="16"/>
                <w:szCs w:val="16"/>
              </w:rPr>
              <w:t>2</w:t>
            </w:r>
          </w:p>
        </w:tc>
        <w:tc>
          <w:tcPr>
            <w:tcW w:w="1607" w:type="dxa"/>
          </w:tcPr>
          <w:p w14:paraId="009DB4F3" w14:textId="77777777" w:rsidR="009D33A8" w:rsidRPr="007C7EF8" w:rsidRDefault="009D33A8" w:rsidP="00387417">
            <w:pPr>
              <w:spacing w:after="0"/>
              <w:rPr>
                <w:sz w:val="16"/>
                <w:szCs w:val="16"/>
              </w:rPr>
            </w:pPr>
            <w:r w:rsidRPr="007C7EF8">
              <w:rPr>
                <w:sz w:val="16"/>
                <w:szCs w:val="16"/>
              </w:rPr>
              <w:t>..</w:t>
            </w:r>
          </w:p>
        </w:tc>
        <w:tc>
          <w:tcPr>
            <w:tcW w:w="1606" w:type="dxa"/>
          </w:tcPr>
          <w:p w14:paraId="3D33728B" w14:textId="77777777" w:rsidR="009D33A8" w:rsidRPr="007C7EF8" w:rsidRDefault="009D33A8" w:rsidP="00387417">
            <w:pPr>
              <w:spacing w:after="0"/>
              <w:rPr>
                <w:sz w:val="16"/>
                <w:szCs w:val="16"/>
              </w:rPr>
            </w:pPr>
            <w:r w:rsidRPr="007C7EF8">
              <w:rPr>
                <w:sz w:val="16"/>
                <w:szCs w:val="16"/>
              </w:rPr>
              <w:t>(2 642)</w:t>
            </w:r>
          </w:p>
        </w:tc>
        <w:tc>
          <w:tcPr>
            <w:tcW w:w="1606" w:type="dxa"/>
          </w:tcPr>
          <w:p w14:paraId="79BE1509" w14:textId="77777777" w:rsidR="009D33A8" w:rsidRPr="007C7EF8" w:rsidRDefault="009D33A8" w:rsidP="00387417">
            <w:pPr>
              <w:spacing w:after="0"/>
              <w:rPr>
                <w:sz w:val="16"/>
                <w:szCs w:val="16"/>
              </w:rPr>
            </w:pPr>
            <w:r w:rsidRPr="007C7EF8">
              <w:rPr>
                <w:sz w:val="16"/>
                <w:szCs w:val="16"/>
              </w:rPr>
              <w:t>(2 461)</w:t>
            </w:r>
          </w:p>
        </w:tc>
        <w:tc>
          <w:tcPr>
            <w:tcW w:w="1606" w:type="dxa"/>
          </w:tcPr>
          <w:p w14:paraId="0C39FE12" w14:textId="77777777" w:rsidR="009D33A8" w:rsidRPr="007C7EF8" w:rsidRDefault="009D33A8" w:rsidP="00387417">
            <w:pPr>
              <w:spacing w:after="0"/>
              <w:rPr>
                <w:sz w:val="16"/>
                <w:szCs w:val="16"/>
              </w:rPr>
            </w:pPr>
            <w:r w:rsidRPr="007C7EF8">
              <w:rPr>
                <w:sz w:val="16"/>
                <w:szCs w:val="16"/>
              </w:rPr>
              <w:t>46 950</w:t>
            </w:r>
          </w:p>
        </w:tc>
        <w:tc>
          <w:tcPr>
            <w:tcW w:w="1606" w:type="dxa"/>
          </w:tcPr>
          <w:p w14:paraId="27D4BF7F" w14:textId="77777777" w:rsidR="009D33A8" w:rsidRPr="007C7EF8" w:rsidRDefault="009D33A8" w:rsidP="00387417">
            <w:pPr>
              <w:spacing w:after="0"/>
              <w:rPr>
                <w:sz w:val="16"/>
                <w:szCs w:val="16"/>
              </w:rPr>
            </w:pPr>
            <w:r w:rsidRPr="007C7EF8">
              <w:rPr>
                <w:sz w:val="16"/>
                <w:szCs w:val="16"/>
              </w:rPr>
              <w:t>40 959</w:t>
            </w:r>
          </w:p>
        </w:tc>
      </w:tr>
      <w:tr w:rsidR="009D33A8" w:rsidRPr="00E50422" w14:paraId="73ABB65F" w14:textId="77777777">
        <w:tc>
          <w:tcPr>
            <w:tcW w:w="1607" w:type="dxa"/>
          </w:tcPr>
          <w:p w14:paraId="094E1B97" w14:textId="77777777" w:rsidR="009D33A8" w:rsidRPr="007C7EF8" w:rsidRDefault="009D33A8" w:rsidP="00387417">
            <w:pPr>
              <w:spacing w:after="0"/>
              <w:rPr>
                <w:sz w:val="16"/>
                <w:szCs w:val="16"/>
              </w:rPr>
            </w:pPr>
            <w:r w:rsidRPr="007C7EF8">
              <w:rPr>
                <w:sz w:val="16"/>
                <w:szCs w:val="16"/>
              </w:rPr>
              <w:t>9 532</w:t>
            </w:r>
          </w:p>
        </w:tc>
        <w:tc>
          <w:tcPr>
            <w:tcW w:w="1607" w:type="dxa"/>
          </w:tcPr>
          <w:p w14:paraId="14852C67" w14:textId="77777777" w:rsidR="009D33A8" w:rsidRPr="007C7EF8" w:rsidRDefault="009D33A8" w:rsidP="00387417">
            <w:pPr>
              <w:spacing w:after="0"/>
              <w:rPr>
                <w:sz w:val="16"/>
                <w:szCs w:val="16"/>
              </w:rPr>
            </w:pPr>
            <w:r w:rsidRPr="007C7EF8">
              <w:rPr>
                <w:sz w:val="16"/>
                <w:szCs w:val="16"/>
              </w:rPr>
              <w:t>8 826</w:t>
            </w:r>
          </w:p>
        </w:tc>
        <w:tc>
          <w:tcPr>
            <w:tcW w:w="1606" w:type="dxa"/>
          </w:tcPr>
          <w:p w14:paraId="540515E7" w14:textId="77777777" w:rsidR="009D33A8" w:rsidRPr="007C7EF8" w:rsidRDefault="009D33A8" w:rsidP="00387417">
            <w:pPr>
              <w:spacing w:after="0"/>
              <w:rPr>
                <w:sz w:val="16"/>
                <w:szCs w:val="16"/>
              </w:rPr>
            </w:pPr>
            <w:r w:rsidRPr="007C7EF8">
              <w:rPr>
                <w:sz w:val="16"/>
                <w:szCs w:val="16"/>
              </w:rPr>
              <w:t>(2 527)</w:t>
            </w:r>
          </w:p>
        </w:tc>
        <w:tc>
          <w:tcPr>
            <w:tcW w:w="1606" w:type="dxa"/>
          </w:tcPr>
          <w:p w14:paraId="62261861" w14:textId="77777777" w:rsidR="009D33A8" w:rsidRPr="007C7EF8" w:rsidRDefault="009D33A8" w:rsidP="00387417">
            <w:pPr>
              <w:spacing w:after="0"/>
              <w:rPr>
                <w:sz w:val="16"/>
                <w:szCs w:val="16"/>
              </w:rPr>
            </w:pPr>
            <w:r w:rsidRPr="007C7EF8">
              <w:rPr>
                <w:sz w:val="16"/>
                <w:szCs w:val="16"/>
              </w:rPr>
              <w:t>(2 203)</w:t>
            </w:r>
          </w:p>
        </w:tc>
        <w:tc>
          <w:tcPr>
            <w:tcW w:w="1606" w:type="dxa"/>
          </w:tcPr>
          <w:p w14:paraId="6A823CCB" w14:textId="77777777" w:rsidR="009D33A8" w:rsidRPr="007C7EF8" w:rsidRDefault="009D33A8" w:rsidP="00387417">
            <w:pPr>
              <w:spacing w:after="0"/>
              <w:rPr>
                <w:sz w:val="16"/>
                <w:szCs w:val="16"/>
              </w:rPr>
            </w:pPr>
            <w:r w:rsidRPr="007C7EF8">
              <w:rPr>
                <w:sz w:val="16"/>
                <w:szCs w:val="16"/>
              </w:rPr>
              <w:t>23 019</w:t>
            </w:r>
          </w:p>
        </w:tc>
        <w:tc>
          <w:tcPr>
            <w:tcW w:w="1606" w:type="dxa"/>
          </w:tcPr>
          <w:p w14:paraId="216325BE" w14:textId="77777777" w:rsidR="009D33A8" w:rsidRPr="007C7EF8" w:rsidRDefault="009D33A8" w:rsidP="00387417">
            <w:pPr>
              <w:spacing w:after="0"/>
              <w:rPr>
                <w:sz w:val="16"/>
                <w:szCs w:val="16"/>
              </w:rPr>
            </w:pPr>
            <w:r w:rsidRPr="007C7EF8">
              <w:rPr>
                <w:sz w:val="16"/>
                <w:szCs w:val="16"/>
              </w:rPr>
              <w:t>21 669</w:t>
            </w:r>
          </w:p>
        </w:tc>
      </w:tr>
      <w:tr w:rsidR="009D33A8" w:rsidRPr="00E50422" w14:paraId="75BF6CCD" w14:textId="77777777">
        <w:tc>
          <w:tcPr>
            <w:tcW w:w="1607" w:type="dxa"/>
          </w:tcPr>
          <w:p w14:paraId="1D805E3D" w14:textId="77777777" w:rsidR="009D33A8" w:rsidRPr="007C7EF8" w:rsidRDefault="009D33A8" w:rsidP="00387417">
            <w:pPr>
              <w:spacing w:after="0"/>
              <w:rPr>
                <w:sz w:val="16"/>
                <w:szCs w:val="16"/>
              </w:rPr>
            </w:pPr>
            <w:r w:rsidRPr="007C7EF8">
              <w:rPr>
                <w:sz w:val="16"/>
                <w:szCs w:val="16"/>
              </w:rPr>
              <w:t>6 226</w:t>
            </w:r>
          </w:p>
        </w:tc>
        <w:tc>
          <w:tcPr>
            <w:tcW w:w="1607" w:type="dxa"/>
          </w:tcPr>
          <w:p w14:paraId="60AC0A39" w14:textId="77777777" w:rsidR="009D33A8" w:rsidRPr="007C7EF8" w:rsidRDefault="009D33A8" w:rsidP="00387417">
            <w:pPr>
              <w:spacing w:after="0"/>
              <w:rPr>
                <w:sz w:val="16"/>
                <w:szCs w:val="16"/>
              </w:rPr>
            </w:pPr>
            <w:r w:rsidRPr="007C7EF8">
              <w:rPr>
                <w:sz w:val="16"/>
                <w:szCs w:val="16"/>
              </w:rPr>
              <w:t>4 923</w:t>
            </w:r>
          </w:p>
        </w:tc>
        <w:tc>
          <w:tcPr>
            <w:tcW w:w="1606" w:type="dxa"/>
          </w:tcPr>
          <w:p w14:paraId="43111229" w14:textId="77777777" w:rsidR="009D33A8" w:rsidRPr="007C7EF8" w:rsidRDefault="009D33A8" w:rsidP="00387417">
            <w:pPr>
              <w:spacing w:after="0"/>
              <w:rPr>
                <w:sz w:val="16"/>
                <w:szCs w:val="16"/>
              </w:rPr>
            </w:pPr>
            <w:r w:rsidRPr="007C7EF8">
              <w:rPr>
                <w:sz w:val="16"/>
                <w:szCs w:val="16"/>
              </w:rPr>
              <w:t>(6 274)</w:t>
            </w:r>
          </w:p>
        </w:tc>
        <w:tc>
          <w:tcPr>
            <w:tcW w:w="1606" w:type="dxa"/>
          </w:tcPr>
          <w:p w14:paraId="00F2867D" w14:textId="77777777" w:rsidR="009D33A8" w:rsidRPr="007C7EF8" w:rsidRDefault="009D33A8" w:rsidP="00387417">
            <w:pPr>
              <w:spacing w:after="0"/>
              <w:rPr>
                <w:sz w:val="16"/>
                <w:szCs w:val="16"/>
              </w:rPr>
            </w:pPr>
            <w:r w:rsidRPr="007C7EF8">
              <w:rPr>
                <w:sz w:val="16"/>
                <w:szCs w:val="16"/>
              </w:rPr>
              <w:t>(4 948)</w:t>
            </w:r>
          </w:p>
        </w:tc>
        <w:tc>
          <w:tcPr>
            <w:tcW w:w="1606" w:type="dxa"/>
          </w:tcPr>
          <w:p w14:paraId="731E29D8" w14:textId="77777777" w:rsidR="009D33A8" w:rsidRPr="007C7EF8" w:rsidRDefault="009D33A8" w:rsidP="00387417">
            <w:pPr>
              <w:spacing w:after="0"/>
              <w:rPr>
                <w:sz w:val="16"/>
                <w:szCs w:val="16"/>
              </w:rPr>
            </w:pPr>
            <w:r w:rsidRPr="007C7EF8">
              <w:rPr>
                <w:sz w:val="16"/>
                <w:szCs w:val="16"/>
              </w:rPr>
              <w:t>1 540</w:t>
            </w:r>
          </w:p>
        </w:tc>
        <w:tc>
          <w:tcPr>
            <w:tcW w:w="1606" w:type="dxa"/>
          </w:tcPr>
          <w:p w14:paraId="67384BC3" w14:textId="77777777" w:rsidR="009D33A8" w:rsidRPr="007C7EF8" w:rsidRDefault="009D33A8" w:rsidP="00387417">
            <w:pPr>
              <w:spacing w:after="0"/>
              <w:rPr>
                <w:sz w:val="16"/>
                <w:szCs w:val="16"/>
              </w:rPr>
            </w:pPr>
            <w:r w:rsidRPr="007C7EF8">
              <w:rPr>
                <w:sz w:val="16"/>
                <w:szCs w:val="16"/>
              </w:rPr>
              <w:t>1 798</w:t>
            </w:r>
          </w:p>
        </w:tc>
      </w:tr>
      <w:tr w:rsidR="009D33A8" w:rsidRPr="00E50422" w14:paraId="660118EA" w14:textId="77777777">
        <w:tc>
          <w:tcPr>
            <w:tcW w:w="1607" w:type="dxa"/>
          </w:tcPr>
          <w:p w14:paraId="4BBDE311" w14:textId="77777777" w:rsidR="009D33A8" w:rsidRPr="007C7EF8" w:rsidRDefault="009D33A8" w:rsidP="00387417">
            <w:pPr>
              <w:spacing w:after="0"/>
              <w:rPr>
                <w:sz w:val="16"/>
                <w:szCs w:val="16"/>
              </w:rPr>
            </w:pPr>
            <w:r w:rsidRPr="007C7EF8">
              <w:rPr>
                <w:sz w:val="16"/>
                <w:szCs w:val="16"/>
              </w:rPr>
              <w:t>3 214</w:t>
            </w:r>
          </w:p>
        </w:tc>
        <w:tc>
          <w:tcPr>
            <w:tcW w:w="1607" w:type="dxa"/>
          </w:tcPr>
          <w:p w14:paraId="4EBCE0E9" w14:textId="77777777" w:rsidR="009D33A8" w:rsidRPr="007C7EF8" w:rsidRDefault="009D33A8" w:rsidP="00387417">
            <w:pPr>
              <w:spacing w:after="0"/>
              <w:rPr>
                <w:sz w:val="16"/>
                <w:szCs w:val="16"/>
              </w:rPr>
            </w:pPr>
            <w:r w:rsidRPr="007C7EF8">
              <w:rPr>
                <w:sz w:val="16"/>
                <w:szCs w:val="16"/>
              </w:rPr>
              <w:t>2 296</w:t>
            </w:r>
          </w:p>
        </w:tc>
        <w:tc>
          <w:tcPr>
            <w:tcW w:w="1606" w:type="dxa"/>
          </w:tcPr>
          <w:p w14:paraId="3F0D2D67" w14:textId="77777777" w:rsidR="009D33A8" w:rsidRPr="007C7EF8" w:rsidRDefault="009D33A8" w:rsidP="00387417">
            <w:pPr>
              <w:spacing w:after="0"/>
              <w:rPr>
                <w:sz w:val="16"/>
                <w:szCs w:val="16"/>
              </w:rPr>
            </w:pPr>
            <w:r w:rsidRPr="007C7EF8">
              <w:rPr>
                <w:sz w:val="16"/>
                <w:szCs w:val="16"/>
              </w:rPr>
              <w:t>(1 610)</w:t>
            </w:r>
          </w:p>
        </w:tc>
        <w:tc>
          <w:tcPr>
            <w:tcW w:w="1606" w:type="dxa"/>
          </w:tcPr>
          <w:p w14:paraId="77938B53" w14:textId="77777777" w:rsidR="009D33A8" w:rsidRPr="007C7EF8" w:rsidRDefault="009D33A8" w:rsidP="00387417">
            <w:pPr>
              <w:spacing w:after="0"/>
              <w:rPr>
                <w:sz w:val="16"/>
                <w:szCs w:val="16"/>
              </w:rPr>
            </w:pPr>
            <w:r w:rsidRPr="007C7EF8">
              <w:rPr>
                <w:sz w:val="16"/>
                <w:szCs w:val="16"/>
              </w:rPr>
              <w:t>(2 437)</w:t>
            </w:r>
          </w:p>
        </w:tc>
        <w:tc>
          <w:tcPr>
            <w:tcW w:w="1606" w:type="dxa"/>
          </w:tcPr>
          <w:p w14:paraId="7254F738" w14:textId="77777777" w:rsidR="009D33A8" w:rsidRPr="007C7EF8" w:rsidRDefault="009D33A8" w:rsidP="00387417">
            <w:pPr>
              <w:spacing w:after="0"/>
              <w:rPr>
                <w:sz w:val="16"/>
                <w:szCs w:val="16"/>
              </w:rPr>
            </w:pPr>
            <w:r w:rsidRPr="007C7EF8">
              <w:rPr>
                <w:sz w:val="16"/>
                <w:szCs w:val="16"/>
              </w:rPr>
              <w:t>3 980</w:t>
            </w:r>
          </w:p>
        </w:tc>
        <w:tc>
          <w:tcPr>
            <w:tcW w:w="1606" w:type="dxa"/>
          </w:tcPr>
          <w:p w14:paraId="409D1A27" w14:textId="77777777" w:rsidR="009D33A8" w:rsidRPr="007C7EF8" w:rsidRDefault="009D33A8" w:rsidP="00387417">
            <w:pPr>
              <w:spacing w:after="0"/>
              <w:rPr>
                <w:sz w:val="16"/>
                <w:szCs w:val="16"/>
              </w:rPr>
            </w:pPr>
            <w:r w:rsidRPr="007C7EF8">
              <w:rPr>
                <w:sz w:val="16"/>
                <w:szCs w:val="16"/>
              </w:rPr>
              <w:t>2 550</w:t>
            </w:r>
          </w:p>
        </w:tc>
      </w:tr>
      <w:tr w:rsidR="009D33A8" w:rsidRPr="00E50422" w14:paraId="0014C6F4" w14:textId="77777777">
        <w:tc>
          <w:tcPr>
            <w:tcW w:w="1607" w:type="dxa"/>
            <w:tcBorders>
              <w:bottom w:val="single" w:sz="6" w:space="0" w:color="auto"/>
            </w:tcBorders>
          </w:tcPr>
          <w:p w14:paraId="5325C58A" w14:textId="77777777" w:rsidR="009D33A8" w:rsidRPr="007C7EF8" w:rsidRDefault="009D33A8" w:rsidP="00387417">
            <w:pPr>
              <w:spacing w:after="0"/>
              <w:rPr>
                <w:sz w:val="16"/>
                <w:szCs w:val="16"/>
              </w:rPr>
            </w:pPr>
            <w:r w:rsidRPr="007C7EF8">
              <w:rPr>
                <w:sz w:val="16"/>
                <w:szCs w:val="16"/>
              </w:rPr>
              <w:t>50</w:t>
            </w:r>
          </w:p>
        </w:tc>
        <w:tc>
          <w:tcPr>
            <w:tcW w:w="1607" w:type="dxa"/>
            <w:tcBorders>
              <w:bottom w:val="single" w:sz="6" w:space="0" w:color="auto"/>
            </w:tcBorders>
          </w:tcPr>
          <w:p w14:paraId="6B1814A0" w14:textId="77777777" w:rsidR="009D33A8" w:rsidRPr="007C7EF8" w:rsidRDefault="009D33A8" w:rsidP="00387417">
            <w:pPr>
              <w:spacing w:after="0"/>
              <w:rPr>
                <w:sz w:val="16"/>
                <w:szCs w:val="16"/>
              </w:rPr>
            </w:pPr>
            <w:r w:rsidRPr="007C7EF8">
              <w:rPr>
                <w:sz w:val="16"/>
                <w:szCs w:val="16"/>
              </w:rPr>
              <w:t>16</w:t>
            </w:r>
          </w:p>
        </w:tc>
        <w:tc>
          <w:tcPr>
            <w:tcW w:w="1606" w:type="dxa"/>
            <w:tcBorders>
              <w:bottom w:val="single" w:sz="6" w:space="0" w:color="auto"/>
            </w:tcBorders>
          </w:tcPr>
          <w:p w14:paraId="15DC21A2" w14:textId="77777777" w:rsidR="009D33A8" w:rsidRPr="007C7EF8" w:rsidRDefault="009D33A8" w:rsidP="00387417">
            <w:pPr>
              <w:spacing w:after="0"/>
              <w:rPr>
                <w:sz w:val="16"/>
                <w:szCs w:val="16"/>
              </w:rPr>
            </w:pPr>
            <w:r w:rsidRPr="007C7EF8">
              <w:rPr>
                <w:sz w:val="16"/>
                <w:szCs w:val="16"/>
              </w:rPr>
              <w:t>25</w:t>
            </w:r>
          </w:p>
        </w:tc>
        <w:tc>
          <w:tcPr>
            <w:tcW w:w="1606" w:type="dxa"/>
            <w:tcBorders>
              <w:bottom w:val="single" w:sz="6" w:space="0" w:color="auto"/>
            </w:tcBorders>
          </w:tcPr>
          <w:p w14:paraId="3902FFB8" w14:textId="77777777" w:rsidR="009D33A8" w:rsidRPr="007C7EF8" w:rsidRDefault="009D33A8" w:rsidP="00387417">
            <w:pPr>
              <w:spacing w:after="0"/>
              <w:rPr>
                <w:sz w:val="16"/>
                <w:szCs w:val="16"/>
              </w:rPr>
            </w:pPr>
            <w:r w:rsidRPr="007C7EF8">
              <w:rPr>
                <w:sz w:val="16"/>
                <w:szCs w:val="16"/>
              </w:rPr>
              <w:t>(136)</w:t>
            </w:r>
          </w:p>
        </w:tc>
        <w:tc>
          <w:tcPr>
            <w:tcW w:w="1606" w:type="dxa"/>
            <w:tcBorders>
              <w:bottom w:val="single" w:sz="6" w:space="0" w:color="auto"/>
            </w:tcBorders>
          </w:tcPr>
          <w:p w14:paraId="431914B4" w14:textId="77777777" w:rsidR="009D33A8" w:rsidRPr="007C7EF8" w:rsidRDefault="009D33A8" w:rsidP="00387417">
            <w:pPr>
              <w:spacing w:after="0"/>
              <w:rPr>
                <w:sz w:val="16"/>
                <w:szCs w:val="16"/>
              </w:rPr>
            </w:pPr>
            <w:r w:rsidRPr="007C7EF8">
              <w:rPr>
                <w:sz w:val="16"/>
                <w:szCs w:val="16"/>
              </w:rPr>
              <w:t>3 337</w:t>
            </w:r>
          </w:p>
        </w:tc>
        <w:tc>
          <w:tcPr>
            <w:tcW w:w="1606" w:type="dxa"/>
            <w:tcBorders>
              <w:bottom w:val="single" w:sz="6" w:space="0" w:color="auto"/>
            </w:tcBorders>
          </w:tcPr>
          <w:p w14:paraId="343C1595" w14:textId="77777777" w:rsidR="009D33A8" w:rsidRPr="007C7EF8" w:rsidRDefault="009D33A8" w:rsidP="00387417">
            <w:pPr>
              <w:spacing w:after="0"/>
              <w:rPr>
                <w:sz w:val="16"/>
                <w:szCs w:val="16"/>
              </w:rPr>
            </w:pPr>
            <w:r w:rsidRPr="007C7EF8">
              <w:rPr>
                <w:sz w:val="16"/>
                <w:szCs w:val="16"/>
              </w:rPr>
              <w:t>2 694</w:t>
            </w:r>
          </w:p>
        </w:tc>
      </w:tr>
      <w:tr w:rsidR="009D33A8" w:rsidRPr="00E50422" w14:paraId="43E2403B" w14:textId="77777777">
        <w:tc>
          <w:tcPr>
            <w:tcW w:w="1607" w:type="dxa"/>
            <w:tcBorders>
              <w:top w:val="single" w:sz="6" w:space="0" w:color="auto"/>
            </w:tcBorders>
          </w:tcPr>
          <w:p w14:paraId="38213F9B" w14:textId="77777777" w:rsidR="009D33A8" w:rsidRPr="007C7EF8" w:rsidRDefault="009D33A8" w:rsidP="00387417">
            <w:pPr>
              <w:spacing w:after="0"/>
              <w:rPr>
                <w:sz w:val="16"/>
                <w:szCs w:val="16"/>
              </w:rPr>
            </w:pPr>
            <w:r w:rsidRPr="007C7EF8">
              <w:rPr>
                <w:b/>
                <w:sz w:val="16"/>
                <w:szCs w:val="16"/>
              </w:rPr>
              <w:t>19 024</w:t>
            </w:r>
          </w:p>
        </w:tc>
        <w:tc>
          <w:tcPr>
            <w:tcW w:w="1607" w:type="dxa"/>
            <w:tcBorders>
              <w:top w:val="single" w:sz="6" w:space="0" w:color="auto"/>
            </w:tcBorders>
          </w:tcPr>
          <w:p w14:paraId="6E91E34A" w14:textId="77777777" w:rsidR="009D33A8" w:rsidRPr="007C7EF8" w:rsidRDefault="009D33A8" w:rsidP="00387417">
            <w:pPr>
              <w:spacing w:after="0"/>
              <w:rPr>
                <w:sz w:val="16"/>
                <w:szCs w:val="16"/>
              </w:rPr>
            </w:pPr>
            <w:r w:rsidRPr="007C7EF8">
              <w:rPr>
                <w:b/>
                <w:sz w:val="16"/>
                <w:szCs w:val="16"/>
              </w:rPr>
              <w:t>16 062</w:t>
            </w:r>
          </w:p>
        </w:tc>
        <w:tc>
          <w:tcPr>
            <w:tcW w:w="1606" w:type="dxa"/>
            <w:tcBorders>
              <w:top w:val="single" w:sz="6" w:space="0" w:color="auto"/>
            </w:tcBorders>
          </w:tcPr>
          <w:p w14:paraId="6DC98E62" w14:textId="77777777" w:rsidR="009D33A8" w:rsidRPr="007C7EF8" w:rsidRDefault="009D33A8" w:rsidP="00387417">
            <w:pPr>
              <w:spacing w:after="0"/>
              <w:rPr>
                <w:sz w:val="16"/>
                <w:szCs w:val="16"/>
              </w:rPr>
            </w:pPr>
            <w:r w:rsidRPr="007C7EF8">
              <w:rPr>
                <w:b/>
                <w:sz w:val="16"/>
                <w:szCs w:val="16"/>
              </w:rPr>
              <w:t>(13 614)</w:t>
            </w:r>
          </w:p>
        </w:tc>
        <w:tc>
          <w:tcPr>
            <w:tcW w:w="1606" w:type="dxa"/>
            <w:tcBorders>
              <w:top w:val="single" w:sz="6" w:space="0" w:color="auto"/>
            </w:tcBorders>
          </w:tcPr>
          <w:p w14:paraId="68683338" w14:textId="77777777" w:rsidR="009D33A8" w:rsidRPr="007C7EF8" w:rsidRDefault="009D33A8" w:rsidP="00387417">
            <w:pPr>
              <w:spacing w:after="0"/>
              <w:rPr>
                <w:sz w:val="16"/>
                <w:szCs w:val="16"/>
              </w:rPr>
            </w:pPr>
            <w:r w:rsidRPr="007C7EF8">
              <w:rPr>
                <w:b/>
                <w:sz w:val="16"/>
                <w:szCs w:val="16"/>
              </w:rPr>
              <w:t>(12 737)</w:t>
            </w:r>
          </w:p>
        </w:tc>
        <w:tc>
          <w:tcPr>
            <w:tcW w:w="1606" w:type="dxa"/>
            <w:tcBorders>
              <w:top w:val="single" w:sz="6" w:space="0" w:color="auto"/>
            </w:tcBorders>
          </w:tcPr>
          <w:p w14:paraId="0081E1A9" w14:textId="77777777" w:rsidR="009D33A8" w:rsidRPr="007C7EF8" w:rsidRDefault="009D33A8" w:rsidP="00387417">
            <w:pPr>
              <w:spacing w:after="0"/>
              <w:rPr>
                <w:sz w:val="16"/>
                <w:szCs w:val="16"/>
              </w:rPr>
            </w:pPr>
            <w:r w:rsidRPr="007C7EF8">
              <w:rPr>
                <w:b/>
                <w:sz w:val="16"/>
                <w:szCs w:val="16"/>
              </w:rPr>
              <w:t>117 654</w:t>
            </w:r>
          </w:p>
        </w:tc>
        <w:tc>
          <w:tcPr>
            <w:tcW w:w="1606" w:type="dxa"/>
            <w:tcBorders>
              <w:top w:val="single" w:sz="6" w:space="0" w:color="auto"/>
            </w:tcBorders>
          </w:tcPr>
          <w:p w14:paraId="11BABC9B" w14:textId="77777777" w:rsidR="009D33A8" w:rsidRPr="007C7EF8" w:rsidRDefault="009D33A8" w:rsidP="00387417">
            <w:pPr>
              <w:spacing w:after="0"/>
              <w:rPr>
                <w:sz w:val="16"/>
                <w:szCs w:val="16"/>
              </w:rPr>
            </w:pPr>
            <w:r w:rsidRPr="007C7EF8">
              <w:rPr>
                <w:b/>
                <w:sz w:val="16"/>
                <w:szCs w:val="16"/>
              </w:rPr>
              <w:t>105 614</w:t>
            </w:r>
          </w:p>
        </w:tc>
      </w:tr>
      <w:tr w:rsidR="009D33A8" w:rsidRPr="00E50422" w14:paraId="30D61F8A" w14:textId="77777777">
        <w:tc>
          <w:tcPr>
            <w:tcW w:w="1607" w:type="dxa"/>
          </w:tcPr>
          <w:p w14:paraId="59C6E612" w14:textId="77777777" w:rsidR="009D33A8" w:rsidRPr="007C7EF8" w:rsidRDefault="009D33A8" w:rsidP="00387417">
            <w:pPr>
              <w:spacing w:after="0"/>
              <w:rPr>
                <w:sz w:val="16"/>
                <w:szCs w:val="16"/>
              </w:rPr>
            </w:pPr>
          </w:p>
        </w:tc>
        <w:tc>
          <w:tcPr>
            <w:tcW w:w="1607" w:type="dxa"/>
          </w:tcPr>
          <w:p w14:paraId="3E751F66" w14:textId="77777777" w:rsidR="009D33A8" w:rsidRPr="007C7EF8" w:rsidRDefault="009D33A8" w:rsidP="00387417">
            <w:pPr>
              <w:spacing w:after="0"/>
              <w:rPr>
                <w:sz w:val="16"/>
                <w:szCs w:val="16"/>
              </w:rPr>
            </w:pPr>
          </w:p>
        </w:tc>
        <w:tc>
          <w:tcPr>
            <w:tcW w:w="1606" w:type="dxa"/>
          </w:tcPr>
          <w:p w14:paraId="2E42643F" w14:textId="77777777" w:rsidR="009D33A8" w:rsidRPr="007C7EF8" w:rsidRDefault="009D33A8" w:rsidP="00387417">
            <w:pPr>
              <w:spacing w:after="0"/>
              <w:rPr>
                <w:sz w:val="16"/>
                <w:szCs w:val="16"/>
              </w:rPr>
            </w:pPr>
          </w:p>
        </w:tc>
        <w:tc>
          <w:tcPr>
            <w:tcW w:w="1606" w:type="dxa"/>
          </w:tcPr>
          <w:p w14:paraId="440C96B5" w14:textId="77777777" w:rsidR="009D33A8" w:rsidRPr="007C7EF8" w:rsidRDefault="009D33A8" w:rsidP="00387417">
            <w:pPr>
              <w:spacing w:after="0"/>
              <w:rPr>
                <w:sz w:val="16"/>
                <w:szCs w:val="16"/>
              </w:rPr>
            </w:pPr>
          </w:p>
        </w:tc>
        <w:tc>
          <w:tcPr>
            <w:tcW w:w="1606" w:type="dxa"/>
          </w:tcPr>
          <w:p w14:paraId="31FE8515" w14:textId="77777777" w:rsidR="009D33A8" w:rsidRPr="007C7EF8" w:rsidRDefault="009D33A8" w:rsidP="00387417">
            <w:pPr>
              <w:spacing w:after="0"/>
              <w:rPr>
                <w:sz w:val="16"/>
                <w:szCs w:val="16"/>
              </w:rPr>
            </w:pPr>
          </w:p>
        </w:tc>
        <w:tc>
          <w:tcPr>
            <w:tcW w:w="1606" w:type="dxa"/>
          </w:tcPr>
          <w:p w14:paraId="0C443C9E" w14:textId="77777777" w:rsidR="009D33A8" w:rsidRPr="007C7EF8" w:rsidRDefault="009D33A8" w:rsidP="00387417">
            <w:pPr>
              <w:spacing w:after="0"/>
              <w:rPr>
                <w:sz w:val="16"/>
                <w:szCs w:val="16"/>
              </w:rPr>
            </w:pPr>
          </w:p>
        </w:tc>
      </w:tr>
      <w:tr w:rsidR="009D33A8" w:rsidRPr="00E50422" w14:paraId="190D5FE0" w14:textId="77777777">
        <w:tc>
          <w:tcPr>
            <w:tcW w:w="1607" w:type="dxa"/>
          </w:tcPr>
          <w:p w14:paraId="2184B612" w14:textId="77777777" w:rsidR="009D33A8" w:rsidRPr="007C7EF8" w:rsidRDefault="009D33A8" w:rsidP="00387417">
            <w:pPr>
              <w:spacing w:after="0"/>
              <w:rPr>
                <w:sz w:val="16"/>
                <w:szCs w:val="16"/>
              </w:rPr>
            </w:pPr>
            <w:r w:rsidRPr="007C7EF8">
              <w:rPr>
                <w:sz w:val="16"/>
                <w:szCs w:val="16"/>
              </w:rPr>
              <w:t>(579)</w:t>
            </w:r>
          </w:p>
        </w:tc>
        <w:tc>
          <w:tcPr>
            <w:tcW w:w="1607" w:type="dxa"/>
          </w:tcPr>
          <w:p w14:paraId="7B498835" w14:textId="77777777" w:rsidR="009D33A8" w:rsidRPr="007C7EF8" w:rsidRDefault="009D33A8" w:rsidP="00387417">
            <w:pPr>
              <w:spacing w:after="0"/>
              <w:rPr>
                <w:sz w:val="16"/>
                <w:szCs w:val="16"/>
              </w:rPr>
            </w:pPr>
            <w:r w:rsidRPr="007C7EF8">
              <w:rPr>
                <w:sz w:val="16"/>
                <w:szCs w:val="16"/>
              </w:rPr>
              <w:t>(522)</w:t>
            </w:r>
          </w:p>
        </w:tc>
        <w:tc>
          <w:tcPr>
            <w:tcW w:w="1606" w:type="dxa"/>
          </w:tcPr>
          <w:p w14:paraId="4EFB57E2" w14:textId="77777777" w:rsidR="009D33A8" w:rsidRPr="007C7EF8" w:rsidRDefault="009D33A8" w:rsidP="00387417">
            <w:pPr>
              <w:spacing w:after="0"/>
              <w:rPr>
                <w:sz w:val="16"/>
                <w:szCs w:val="16"/>
              </w:rPr>
            </w:pPr>
            <w:r w:rsidRPr="007C7EF8">
              <w:rPr>
                <w:sz w:val="16"/>
                <w:szCs w:val="16"/>
              </w:rPr>
              <w:t>1 173</w:t>
            </w:r>
          </w:p>
        </w:tc>
        <w:tc>
          <w:tcPr>
            <w:tcW w:w="1606" w:type="dxa"/>
          </w:tcPr>
          <w:p w14:paraId="1B67520B" w14:textId="77777777" w:rsidR="009D33A8" w:rsidRPr="007C7EF8" w:rsidRDefault="009D33A8" w:rsidP="00387417">
            <w:pPr>
              <w:spacing w:after="0"/>
              <w:rPr>
                <w:sz w:val="16"/>
                <w:szCs w:val="16"/>
              </w:rPr>
            </w:pPr>
            <w:r w:rsidRPr="007C7EF8">
              <w:rPr>
                <w:sz w:val="16"/>
                <w:szCs w:val="16"/>
              </w:rPr>
              <w:t>1 066</w:t>
            </w:r>
          </w:p>
        </w:tc>
        <w:tc>
          <w:tcPr>
            <w:tcW w:w="1606" w:type="dxa"/>
          </w:tcPr>
          <w:p w14:paraId="65C33AC6" w14:textId="77777777" w:rsidR="009D33A8" w:rsidRPr="007C7EF8" w:rsidRDefault="009D33A8" w:rsidP="00387417">
            <w:pPr>
              <w:spacing w:after="0"/>
              <w:rPr>
                <w:sz w:val="16"/>
                <w:szCs w:val="16"/>
              </w:rPr>
            </w:pPr>
            <w:r w:rsidRPr="007C7EF8">
              <w:rPr>
                <w:sz w:val="16"/>
                <w:szCs w:val="16"/>
              </w:rPr>
              <w:t>(39 081)</w:t>
            </w:r>
          </w:p>
        </w:tc>
        <w:tc>
          <w:tcPr>
            <w:tcW w:w="1606" w:type="dxa"/>
          </w:tcPr>
          <w:p w14:paraId="0DB2A269" w14:textId="77777777" w:rsidR="009D33A8" w:rsidRPr="007C7EF8" w:rsidRDefault="009D33A8" w:rsidP="00387417">
            <w:pPr>
              <w:spacing w:after="0"/>
              <w:rPr>
                <w:sz w:val="16"/>
                <w:szCs w:val="16"/>
              </w:rPr>
            </w:pPr>
            <w:r w:rsidRPr="007C7EF8">
              <w:rPr>
                <w:sz w:val="16"/>
                <w:szCs w:val="16"/>
              </w:rPr>
              <w:t>(36 465)</w:t>
            </w:r>
          </w:p>
        </w:tc>
      </w:tr>
      <w:tr w:rsidR="009D33A8" w:rsidRPr="00E50422" w14:paraId="5D6EE69C" w14:textId="77777777">
        <w:tc>
          <w:tcPr>
            <w:tcW w:w="1607" w:type="dxa"/>
          </w:tcPr>
          <w:p w14:paraId="3123E406" w14:textId="77777777" w:rsidR="009D33A8" w:rsidRPr="007C7EF8" w:rsidRDefault="009D33A8" w:rsidP="00387417">
            <w:pPr>
              <w:spacing w:after="0"/>
              <w:rPr>
                <w:sz w:val="16"/>
                <w:szCs w:val="16"/>
              </w:rPr>
            </w:pPr>
            <w:r w:rsidRPr="007C7EF8">
              <w:rPr>
                <w:sz w:val="16"/>
                <w:szCs w:val="16"/>
              </w:rPr>
              <w:t>(63)</w:t>
            </w:r>
          </w:p>
        </w:tc>
        <w:tc>
          <w:tcPr>
            <w:tcW w:w="1607" w:type="dxa"/>
          </w:tcPr>
          <w:p w14:paraId="48EF973E" w14:textId="77777777" w:rsidR="009D33A8" w:rsidRPr="007C7EF8" w:rsidRDefault="009D33A8" w:rsidP="00387417">
            <w:pPr>
              <w:spacing w:after="0"/>
              <w:rPr>
                <w:sz w:val="16"/>
                <w:szCs w:val="16"/>
              </w:rPr>
            </w:pPr>
            <w:r w:rsidRPr="007C7EF8">
              <w:rPr>
                <w:sz w:val="16"/>
                <w:szCs w:val="16"/>
              </w:rPr>
              <w:t>(55)</w:t>
            </w:r>
          </w:p>
        </w:tc>
        <w:tc>
          <w:tcPr>
            <w:tcW w:w="1606" w:type="dxa"/>
          </w:tcPr>
          <w:p w14:paraId="2A89EFEE" w14:textId="77777777" w:rsidR="009D33A8" w:rsidRPr="007C7EF8" w:rsidRDefault="009D33A8" w:rsidP="00387417">
            <w:pPr>
              <w:spacing w:after="0"/>
              <w:rPr>
                <w:sz w:val="16"/>
                <w:szCs w:val="16"/>
              </w:rPr>
            </w:pPr>
            <w:r w:rsidRPr="007C7EF8">
              <w:rPr>
                <w:sz w:val="16"/>
                <w:szCs w:val="16"/>
              </w:rPr>
              <w:t>..</w:t>
            </w:r>
          </w:p>
        </w:tc>
        <w:tc>
          <w:tcPr>
            <w:tcW w:w="1606" w:type="dxa"/>
          </w:tcPr>
          <w:p w14:paraId="08C63F1A" w14:textId="77777777" w:rsidR="009D33A8" w:rsidRPr="007C7EF8" w:rsidRDefault="009D33A8" w:rsidP="00387417">
            <w:pPr>
              <w:spacing w:after="0"/>
              <w:rPr>
                <w:sz w:val="16"/>
                <w:szCs w:val="16"/>
              </w:rPr>
            </w:pPr>
            <w:r w:rsidRPr="007C7EF8">
              <w:rPr>
                <w:sz w:val="16"/>
                <w:szCs w:val="16"/>
              </w:rPr>
              <w:t>..</w:t>
            </w:r>
          </w:p>
        </w:tc>
        <w:tc>
          <w:tcPr>
            <w:tcW w:w="1606" w:type="dxa"/>
          </w:tcPr>
          <w:p w14:paraId="386F806B" w14:textId="77777777" w:rsidR="009D33A8" w:rsidRPr="007C7EF8" w:rsidRDefault="009D33A8" w:rsidP="00387417">
            <w:pPr>
              <w:spacing w:after="0"/>
              <w:rPr>
                <w:sz w:val="16"/>
                <w:szCs w:val="16"/>
              </w:rPr>
            </w:pPr>
            <w:r w:rsidRPr="007C7EF8">
              <w:rPr>
                <w:sz w:val="16"/>
                <w:szCs w:val="16"/>
              </w:rPr>
              <w:t>(4 744)</w:t>
            </w:r>
          </w:p>
        </w:tc>
        <w:tc>
          <w:tcPr>
            <w:tcW w:w="1606" w:type="dxa"/>
          </w:tcPr>
          <w:p w14:paraId="289E56A6" w14:textId="77777777" w:rsidR="009D33A8" w:rsidRPr="007C7EF8" w:rsidRDefault="009D33A8" w:rsidP="00387417">
            <w:pPr>
              <w:spacing w:after="0"/>
              <w:rPr>
                <w:sz w:val="16"/>
                <w:szCs w:val="16"/>
              </w:rPr>
            </w:pPr>
            <w:r w:rsidRPr="007C7EF8">
              <w:rPr>
                <w:sz w:val="16"/>
                <w:szCs w:val="16"/>
              </w:rPr>
              <w:t>(4 098)</w:t>
            </w:r>
          </w:p>
        </w:tc>
      </w:tr>
      <w:tr w:rsidR="009D33A8" w:rsidRPr="00E50422" w14:paraId="1A4E11B0" w14:textId="77777777">
        <w:tc>
          <w:tcPr>
            <w:tcW w:w="1607" w:type="dxa"/>
          </w:tcPr>
          <w:p w14:paraId="0291D361" w14:textId="77777777" w:rsidR="009D33A8" w:rsidRPr="007C7EF8" w:rsidRDefault="009D33A8" w:rsidP="00387417">
            <w:pPr>
              <w:spacing w:after="0"/>
              <w:rPr>
                <w:sz w:val="16"/>
                <w:szCs w:val="16"/>
              </w:rPr>
            </w:pPr>
            <w:r w:rsidRPr="007C7EF8">
              <w:rPr>
                <w:sz w:val="16"/>
                <w:szCs w:val="16"/>
              </w:rPr>
              <w:t>(5 414)</w:t>
            </w:r>
          </w:p>
        </w:tc>
        <w:tc>
          <w:tcPr>
            <w:tcW w:w="1607" w:type="dxa"/>
          </w:tcPr>
          <w:p w14:paraId="2F66E883" w14:textId="77777777" w:rsidR="009D33A8" w:rsidRPr="007C7EF8" w:rsidRDefault="009D33A8" w:rsidP="00387417">
            <w:pPr>
              <w:spacing w:after="0"/>
              <w:rPr>
                <w:sz w:val="16"/>
                <w:szCs w:val="16"/>
              </w:rPr>
            </w:pPr>
            <w:r w:rsidRPr="007C7EF8">
              <w:rPr>
                <w:sz w:val="16"/>
                <w:szCs w:val="16"/>
              </w:rPr>
              <w:t>(4 429)</w:t>
            </w:r>
          </w:p>
        </w:tc>
        <w:tc>
          <w:tcPr>
            <w:tcW w:w="1606" w:type="dxa"/>
          </w:tcPr>
          <w:p w14:paraId="19F2ACE1" w14:textId="77777777" w:rsidR="009D33A8" w:rsidRPr="007C7EF8" w:rsidRDefault="009D33A8" w:rsidP="00387417">
            <w:pPr>
              <w:spacing w:after="0"/>
              <w:rPr>
                <w:sz w:val="16"/>
                <w:szCs w:val="16"/>
              </w:rPr>
            </w:pPr>
            <w:r w:rsidRPr="007C7EF8">
              <w:rPr>
                <w:sz w:val="16"/>
                <w:szCs w:val="16"/>
              </w:rPr>
              <w:t>6 275</w:t>
            </w:r>
          </w:p>
        </w:tc>
        <w:tc>
          <w:tcPr>
            <w:tcW w:w="1606" w:type="dxa"/>
          </w:tcPr>
          <w:p w14:paraId="0DDF0291" w14:textId="77777777" w:rsidR="009D33A8" w:rsidRPr="007C7EF8" w:rsidRDefault="009D33A8" w:rsidP="00387417">
            <w:pPr>
              <w:spacing w:after="0"/>
              <w:rPr>
                <w:sz w:val="16"/>
                <w:szCs w:val="16"/>
              </w:rPr>
            </w:pPr>
            <w:r w:rsidRPr="007C7EF8">
              <w:rPr>
                <w:sz w:val="16"/>
                <w:szCs w:val="16"/>
              </w:rPr>
              <w:t>4 950</w:t>
            </w:r>
          </w:p>
        </w:tc>
        <w:tc>
          <w:tcPr>
            <w:tcW w:w="1606" w:type="dxa"/>
          </w:tcPr>
          <w:p w14:paraId="3F722B73" w14:textId="77777777" w:rsidR="009D33A8" w:rsidRPr="007C7EF8" w:rsidRDefault="009D33A8" w:rsidP="00387417">
            <w:pPr>
              <w:spacing w:after="0"/>
              <w:rPr>
                <w:sz w:val="16"/>
                <w:szCs w:val="16"/>
              </w:rPr>
            </w:pPr>
            <w:r w:rsidRPr="007C7EF8">
              <w:rPr>
                <w:sz w:val="16"/>
                <w:szCs w:val="16"/>
              </w:rPr>
              <w:t>(6 573)</w:t>
            </w:r>
          </w:p>
        </w:tc>
        <w:tc>
          <w:tcPr>
            <w:tcW w:w="1606" w:type="dxa"/>
          </w:tcPr>
          <w:p w14:paraId="19F9AC27" w14:textId="77777777" w:rsidR="009D33A8" w:rsidRPr="007C7EF8" w:rsidRDefault="009D33A8" w:rsidP="00387417">
            <w:pPr>
              <w:spacing w:after="0"/>
              <w:rPr>
                <w:sz w:val="16"/>
                <w:szCs w:val="16"/>
              </w:rPr>
            </w:pPr>
            <w:r w:rsidRPr="007C7EF8">
              <w:rPr>
                <w:sz w:val="16"/>
                <w:szCs w:val="16"/>
              </w:rPr>
              <w:t>(5 669)</w:t>
            </w:r>
          </w:p>
        </w:tc>
      </w:tr>
      <w:tr w:rsidR="009D33A8" w:rsidRPr="00E50422" w14:paraId="20673CA4" w14:textId="77777777">
        <w:tc>
          <w:tcPr>
            <w:tcW w:w="1607" w:type="dxa"/>
          </w:tcPr>
          <w:p w14:paraId="40094549" w14:textId="77777777" w:rsidR="009D33A8" w:rsidRPr="007C7EF8" w:rsidRDefault="009D33A8" w:rsidP="00387417">
            <w:pPr>
              <w:spacing w:after="0"/>
              <w:rPr>
                <w:sz w:val="16"/>
                <w:szCs w:val="16"/>
              </w:rPr>
            </w:pPr>
            <w:r w:rsidRPr="007C7EF8">
              <w:rPr>
                <w:sz w:val="16"/>
                <w:szCs w:val="16"/>
              </w:rPr>
              <w:t>(124)</w:t>
            </w:r>
          </w:p>
        </w:tc>
        <w:tc>
          <w:tcPr>
            <w:tcW w:w="1607" w:type="dxa"/>
          </w:tcPr>
          <w:p w14:paraId="3EB3CBC6" w14:textId="77777777" w:rsidR="009D33A8" w:rsidRPr="007C7EF8" w:rsidRDefault="009D33A8" w:rsidP="00387417">
            <w:pPr>
              <w:spacing w:after="0"/>
              <w:rPr>
                <w:sz w:val="16"/>
                <w:szCs w:val="16"/>
              </w:rPr>
            </w:pPr>
            <w:r w:rsidRPr="007C7EF8">
              <w:rPr>
                <w:sz w:val="16"/>
                <w:szCs w:val="16"/>
              </w:rPr>
              <w:t>(132)</w:t>
            </w:r>
          </w:p>
        </w:tc>
        <w:tc>
          <w:tcPr>
            <w:tcW w:w="1606" w:type="dxa"/>
          </w:tcPr>
          <w:p w14:paraId="129D44FF" w14:textId="77777777" w:rsidR="009D33A8" w:rsidRPr="007C7EF8" w:rsidRDefault="009D33A8" w:rsidP="00387417">
            <w:pPr>
              <w:spacing w:after="0"/>
              <w:rPr>
                <w:sz w:val="16"/>
                <w:szCs w:val="16"/>
              </w:rPr>
            </w:pPr>
            <w:r w:rsidRPr="007C7EF8">
              <w:rPr>
                <w:sz w:val="16"/>
                <w:szCs w:val="16"/>
              </w:rPr>
              <w:t>2 642</w:t>
            </w:r>
          </w:p>
        </w:tc>
        <w:tc>
          <w:tcPr>
            <w:tcW w:w="1606" w:type="dxa"/>
          </w:tcPr>
          <w:p w14:paraId="366CAADA" w14:textId="77777777" w:rsidR="009D33A8" w:rsidRPr="007C7EF8" w:rsidRDefault="009D33A8" w:rsidP="00387417">
            <w:pPr>
              <w:spacing w:after="0"/>
              <w:rPr>
                <w:sz w:val="16"/>
                <w:szCs w:val="16"/>
              </w:rPr>
            </w:pPr>
            <w:r w:rsidRPr="007C7EF8">
              <w:rPr>
                <w:sz w:val="16"/>
                <w:szCs w:val="16"/>
              </w:rPr>
              <w:t>2 617</w:t>
            </w:r>
          </w:p>
        </w:tc>
        <w:tc>
          <w:tcPr>
            <w:tcW w:w="1606" w:type="dxa"/>
          </w:tcPr>
          <w:p w14:paraId="01E33A3A" w14:textId="77777777" w:rsidR="009D33A8" w:rsidRPr="007C7EF8" w:rsidRDefault="009D33A8" w:rsidP="00387417">
            <w:pPr>
              <w:spacing w:after="0"/>
              <w:rPr>
                <w:sz w:val="16"/>
                <w:szCs w:val="16"/>
              </w:rPr>
            </w:pPr>
            <w:r w:rsidRPr="007C7EF8">
              <w:rPr>
                <w:sz w:val="16"/>
                <w:szCs w:val="16"/>
              </w:rPr>
              <w:t>(15 813)</w:t>
            </w:r>
          </w:p>
        </w:tc>
        <w:tc>
          <w:tcPr>
            <w:tcW w:w="1606" w:type="dxa"/>
          </w:tcPr>
          <w:p w14:paraId="053D6C0F" w14:textId="77777777" w:rsidR="009D33A8" w:rsidRPr="007C7EF8" w:rsidRDefault="009D33A8" w:rsidP="00387417">
            <w:pPr>
              <w:spacing w:after="0"/>
              <w:rPr>
                <w:sz w:val="16"/>
                <w:szCs w:val="16"/>
              </w:rPr>
            </w:pPr>
            <w:r w:rsidRPr="007C7EF8">
              <w:rPr>
                <w:sz w:val="16"/>
                <w:szCs w:val="16"/>
              </w:rPr>
              <w:t>(13 922)</w:t>
            </w:r>
          </w:p>
        </w:tc>
      </w:tr>
      <w:tr w:rsidR="009D33A8" w:rsidRPr="00E50422" w14:paraId="2615DED8" w14:textId="77777777">
        <w:tc>
          <w:tcPr>
            <w:tcW w:w="1607" w:type="dxa"/>
          </w:tcPr>
          <w:p w14:paraId="338E2B19" w14:textId="77777777" w:rsidR="009D33A8" w:rsidRPr="007C7EF8" w:rsidRDefault="009D33A8" w:rsidP="00387417">
            <w:pPr>
              <w:spacing w:after="0"/>
              <w:rPr>
                <w:sz w:val="16"/>
                <w:szCs w:val="16"/>
              </w:rPr>
            </w:pPr>
            <w:r w:rsidRPr="007C7EF8">
              <w:rPr>
                <w:sz w:val="16"/>
                <w:szCs w:val="16"/>
              </w:rPr>
              <w:t>(7 815)</w:t>
            </w:r>
          </w:p>
        </w:tc>
        <w:tc>
          <w:tcPr>
            <w:tcW w:w="1607" w:type="dxa"/>
          </w:tcPr>
          <w:p w14:paraId="70182C44" w14:textId="77777777" w:rsidR="009D33A8" w:rsidRPr="007C7EF8" w:rsidRDefault="009D33A8" w:rsidP="00387417">
            <w:pPr>
              <w:spacing w:after="0"/>
              <w:rPr>
                <w:sz w:val="16"/>
                <w:szCs w:val="16"/>
              </w:rPr>
            </w:pPr>
            <w:r w:rsidRPr="007C7EF8">
              <w:rPr>
                <w:sz w:val="16"/>
                <w:szCs w:val="16"/>
              </w:rPr>
              <w:t>(7 412)</w:t>
            </w:r>
          </w:p>
        </w:tc>
        <w:tc>
          <w:tcPr>
            <w:tcW w:w="1606" w:type="dxa"/>
          </w:tcPr>
          <w:p w14:paraId="6A672E84" w14:textId="77777777" w:rsidR="009D33A8" w:rsidRPr="007C7EF8" w:rsidRDefault="009D33A8" w:rsidP="00387417">
            <w:pPr>
              <w:spacing w:after="0"/>
              <w:rPr>
                <w:sz w:val="16"/>
                <w:szCs w:val="16"/>
              </w:rPr>
            </w:pPr>
            <w:r w:rsidRPr="007C7EF8">
              <w:rPr>
                <w:sz w:val="16"/>
                <w:szCs w:val="16"/>
              </w:rPr>
              <w:t>1 635</w:t>
            </w:r>
          </w:p>
        </w:tc>
        <w:tc>
          <w:tcPr>
            <w:tcW w:w="1606" w:type="dxa"/>
          </w:tcPr>
          <w:p w14:paraId="13705F4A" w14:textId="77777777" w:rsidR="009D33A8" w:rsidRPr="007C7EF8" w:rsidRDefault="009D33A8" w:rsidP="00387417">
            <w:pPr>
              <w:spacing w:after="0"/>
              <w:rPr>
                <w:sz w:val="16"/>
                <w:szCs w:val="16"/>
              </w:rPr>
            </w:pPr>
            <w:r w:rsidRPr="007C7EF8">
              <w:rPr>
                <w:sz w:val="16"/>
                <w:szCs w:val="16"/>
              </w:rPr>
              <w:t>1 334</w:t>
            </w:r>
          </w:p>
        </w:tc>
        <w:tc>
          <w:tcPr>
            <w:tcW w:w="1606" w:type="dxa"/>
          </w:tcPr>
          <w:p w14:paraId="59044B7C" w14:textId="77777777" w:rsidR="009D33A8" w:rsidRPr="007C7EF8" w:rsidRDefault="009D33A8" w:rsidP="00387417">
            <w:pPr>
              <w:spacing w:after="0"/>
              <w:rPr>
                <w:sz w:val="16"/>
                <w:szCs w:val="16"/>
              </w:rPr>
            </w:pPr>
            <w:r w:rsidRPr="007C7EF8">
              <w:rPr>
                <w:sz w:val="16"/>
                <w:szCs w:val="16"/>
              </w:rPr>
              <w:t>(41 174)</w:t>
            </w:r>
          </w:p>
        </w:tc>
        <w:tc>
          <w:tcPr>
            <w:tcW w:w="1606" w:type="dxa"/>
          </w:tcPr>
          <w:p w14:paraId="14D0B754" w14:textId="77777777" w:rsidR="009D33A8" w:rsidRPr="007C7EF8" w:rsidRDefault="009D33A8" w:rsidP="00387417">
            <w:pPr>
              <w:spacing w:after="0"/>
              <w:rPr>
                <w:sz w:val="16"/>
                <w:szCs w:val="16"/>
              </w:rPr>
            </w:pPr>
            <w:r w:rsidRPr="007C7EF8">
              <w:rPr>
                <w:sz w:val="16"/>
                <w:szCs w:val="16"/>
              </w:rPr>
              <w:t>(38 629)</w:t>
            </w:r>
          </w:p>
        </w:tc>
      </w:tr>
      <w:tr w:rsidR="009D33A8" w:rsidRPr="00E50422" w14:paraId="06A3C2B7" w14:textId="77777777">
        <w:tc>
          <w:tcPr>
            <w:tcW w:w="1607" w:type="dxa"/>
            <w:tcBorders>
              <w:bottom w:val="single" w:sz="6" w:space="0" w:color="auto"/>
            </w:tcBorders>
          </w:tcPr>
          <w:p w14:paraId="3012C954" w14:textId="77777777" w:rsidR="009D33A8" w:rsidRPr="007C7EF8" w:rsidRDefault="009D33A8" w:rsidP="00387417">
            <w:pPr>
              <w:spacing w:after="0"/>
              <w:rPr>
                <w:sz w:val="16"/>
                <w:szCs w:val="16"/>
              </w:rPr>
            </w:pPr>
            <w:r w:rsidRPr="007C7EF8">
              <w:rPr>
                <w:sz w:val="16"/>
                <w:szCs w:val="16"/>
              </w:rPr>
              <w:t>(387)</w:t>
            </w:r>
          </w:p>
        </w:tc>
        <w:tc>
          <w:tcPr>
            <w:tcW w:w="1607" w:type="dxa"/>
            <w:tcBorders>
              <w:bottom w:val="single" w:sz="6" w:space="0" w:color="auto"/>
            </w:tcBorders>
          </w:tcPr>
          <w:p w14:paraId="5BC27295" w14:textId="77777777" w:rsidR="009D33A8" w:rsidRPr="007C7EF8" w:rsidRDefault="009D33A8" w:rsidP="00387417">
            <w:pPr>
              <w:spacing w:after="0"/>
              <w:rPr>
                <w:sz w:val="16"/>
                <w:szCs w:val="16"/>
              </w:rPr>
            </w:pPr>
            <w:r w:rsidRPr="007C7EF8">
              <w:rPr>
                <w:sz w:val="16"/>
                <w:szCs w:val="16"/>
              </w:rPr>
              <w:t>(746)</w:t>
            </w:r>
          </w:p>
        </w:tc>
        <w:tc>
          <w:tcPr>
            <w:tcW w:w="1606" w:type="dxa"/>
            <w:tcBorders>
              <w:bottom w:val="single" w:sz="6" w:space="0" w:color="auto"/>
            </w:tcBorders>
          </w:tcPr>
          <w:p w14:paraId="4DB29A84" w14:textId="77777777" w:rsidR="009D33A8" w:rsidRPr="007C7EF8" w:rsidRDefault="009D33A8" w:rsidP="00387417">
            <w:pPr>
              <w:spacing w:after="0"/>
              <w:rPr>
                <w:sz w:val="16"/>
                <w:szCs w:val="16"/>
              </w:rPr>
            </w:pPr>
            <w:r w:rsidRPr="007C7EF8">
              <w:rPr>
                <w:sz w:val="16"/>
                <w:szCs w:val="16"/>
              </w:rPr>
              <w:t>872</w:t>
            </w:r>
          </w:p>
        </w:tc>
        <w:tc>
          <w:tcPr>
            <w:tcW w:w="1606" w:type="dxa"/>
            <w:tcBorders>
              <w:bottom w:val="single" w:sz="6" w:space="0" w:color="auto"/>
            </w:tcBorders>
          </w:tcPr>
          <w:p w14:paraId="57DE925E" w14:textId="77777777" w:rsidR="009D33A8" w:rsidRPr="007C7EF8" w:rsidRDefault="009D33A8" w:rsidP="00387417">
            <w:pPr>
              <w:spacing w:after="0"/>
              <w:rPr>
                <w:sz w:val="16"/>
                <w:szCs w:val="16"/>
              </w:rPr>
            </w:pPr>
            <w:r w:rsidRPr="007C7EF8">
              <w:rPr>
                <w:sz w:val="16"/>
                <w:szCs w:val="16"/>
              </w:rPr>
              <w:t>1 190</w:t>
            </w:r>
          </w:p>
        </w:tc>
        <w:tc>
          <w:tcPr>
            <w:tcW w:w="1606" w:type="dxa"/>
            <w:tcBorders>
              <w:bottom w:val="single" w:sz="6" w:space="0" w:color="auto"/>
            </w:tcBorders>
          </w:tcPr>
          <w:p w14:paraId="10A206E1" w14:textId="77777777" w:rsidR="009D33A8" w:rsidRPr="007C7EF8" w:rsidRDefault="009D33A8" w:rsidP="00387417">
            <w:pPr>
              <w:spacing w:after="0"/>
              <w:rPr>
                <w:sz w:val="16"/>
                <w:szCs w:val="16"/>
              </w:rPr>
            </w:pPr>
            <w:r w:rsidRPr="007C7EF8">
              <w:rPr>
                <w:sz w:val="16"/>
                <w:szCs w:val="16"/>
              </w:rPr>
              <w:t>(1 945)</w:t>
            </w:r>
          </w:p>
        </w:tc>
        <w:tc>
          <w:tcPr>
            <w:tcW w:w="1606" w:type="dxa"/>
            <w:tcBorders>
              <w:bottom w:val="single" w:sz="6" w:space="0" w:color="auto"/>
            </w:tcBorders>
          </w:tcPr>
          <w:p w14:paraId="32EE9A57" w14:textId="77777777" w:rsidR="009D33A8" w:rsidRPr="007C7EF8" w:rsidRDefault="009D33A8" w:rsidP="00387417">
            <w:pPr>
              <w:spacing w:after="0"/>
              <w:rPr>
                <w:sz w:val="16"/>
                <w:szCs w:val="16"/>
              </w:rPr>
            </w:pPr>
            <w:r w:rsidRPr="007C7EF8">
              <w:rPr>
                <w:sz w:val="16"/>
                <w:szCs w:val="16"/>
              </w:rPr>
              <w:t>(1 582)</w:t>
            </w:r>
          </w:p>
        </w:tc>
      </w:tr>
      <w:tr w:rsidR="009D33A8" w:rsidRPr="00E50422" w14:paraId="25627748" w14:textId="77777777">
        <w:tc>
          <w:tcPr>
            <w:tcW w:w="1607" w:type="dxa"/>
            <w:tcBorders>
              <w:top w:val="single" w:sz="6" w:space="0" w:color="auto"/>
              <w:bottom w:val="single" w:sz="6" w:space="0" w:color="auto"/>
            </w:tcBorders>
          </w:tcPr>
          <w:p w14:paraId="5371A86B" w14:textId="77777777" w:rsidR="009D33A8" w:rsidRPr="007C7EF8" w:rsidRDefault="009D33A8" w:rsidP="00387417">
            <w:pPr>
              <w:spacing w:after="0"/>
              <w:rPr>
                <w:sz w:val="16"/>
                <w:szCs w:val="16"/>
              </w:rPr>
            </w:pPr>
            <w:r w:rsidRPr="007C7EF8">
              <w:rPr>
                <w:b/>
                <w:sz w:val="16"/>
                <w:szCs w:val="16"/>
              </w:rPr>
              <w:t>(14 381)</w:t>
            </w:r>
          </w:p>
        </w:tc>
        <w:tc>
          <w:tcPr>
            <w:tcW w:w="1607" w:type="dxa"/>
            <w:tcBorders>
              <w:top w:val="single" w:sz="6" w:space="0" w:color="auto"/>
              <w:bottom w:val="single" w:sz="6" w:space="0" w:color="auto"/>
            </w:tcBorders>
          </w:tcPr>
          <w:p w14:paraId="4A56E4B7" w14:textId="77777777" w:rsidR="009D33A8" w:rsidRPr="007C7EF8" w:rsidRDefault="009D33A8" w:rsidP="00387417">
            <w:pPr>
              <w:spacing w:after="0"/>
              <w:rPr>
                <w:sz w:val="16"/>
                <w:szCs w:val="16"/>
              </w:rPr>
            </w:pPr>
            <w:r w:rsidRPr="007C7EF8">
              <w:rPr>
                <w:b/>
                <w:sz w:val="16"/>
                <w:szCs w:val="16"/>
              </w:rPr>
              <w:t>(13 296)</w:t>
            </w:r>
          </w:p>
        </w:tc>
        <w:tc>
          <w:tcPr>
            <w:tcW w:w="1606" w:type="dxa"/>
            <w:tcBorders>
              <w:top w:val="single" w:sz="6" w:space="0" w:color="auto"/>
              <w:bottom w:val="single" w:sz="6" w:space="0" w:color="auto"/>
            </w:tcBorders>
          </w:tcPr>
          <w:p w14:paraId="02912424" w14:textId="77777777" w:rsidR="009D33A8" w:rsidRPr="007C7EF8" w:rsidRDefault="009D33A8" w:rsidP="00387417">
            <w:pPr>
              <w:spacing w:after="0"/>
              <w:rPr>
                <w:sz w:val="16"/>
                <w:szCs w:val="16"/>
              </w:rPr>
            </w:pPr>
            <w:r w:rsidRPr="007C7EF8">
              <w:rPr>
                <w:b/>
                <w:sz w:val="16"/>
                <w:szCs w:val="16"/>
              </w:rPr>
              <w:t>12 597</w:t>
            </w:r>
          </w:p>
        </w:tc>
        <w:tc>
          <w:tcPr>
            <w:tcW w:w="1606" w:type="dxa"/>
            <w:tcBorders>
              <w:top w:val="single" w:sz="6" w:space="0" w:color="auto"/>
              <w:bottom w:val="single" w:sz="6" w:space="0" w:color="auto"/>
            </w:tcBorders>
          </w:tcPr>
          <w:p w14:paraId="15241C86" w14:textId="77777777" w:rsidR="009D33A8" w:rsidRPr="007C7EF8" w:rsidRDefault="009D33A8" w:rsidP="00387417">
            <w:pPr>
              <w:spacing w:after="0"/>
              <w:rPr>
                <w:sz w:val="16"/>
                <w:szCs w:val="16"/>
              </w:rPr>
            </w:pPr>
            <w:r w:rsidRPr="007C7EF8">
              <w:rPr>
                <w:b/>
                <w:sz w:val="16"/>
                <w:szCs w:val="16"/>
              </w:rPr>
              <w:t>11 157</w:t>
            </w:r>
          </w:p>
        </w:tc>
        <w:tc>
          <w:tcPr>
            <w:tcW w:w="1606" w:type="dxa"/>
            <w:tcBorders>
              <w:top w:val="single" w:sz="6" w:space="0" w:color="auto"/>
              <w:bottom w:val="single" w:sz="6" w:space="0" w:color="auto"/>
            </w:tcBorders>
          </w:tcPr>
          <w:p w14:paraId="2566F0F0" w14:textId="77777777" w:rsidR="009D33A8" w:rsidRPr="007C7EF8" w:rsidRDefault="009D33A8" w:rsidP="00387417">
            <w:pPr>
              <w:spacing w:after="0"/>
              <w:rPr>
                <w:sz w:val="16"/>
                <w:szCs w:val="16"/>
              </w:rPr>
            </w:pPr>
            <w:r w:rsidRPr="007C7EF8">
              <w:rPr>
                <w:b/>
                <w:sz w:val="16"/>
                <w:szCs w:val="16"/>
              </w:rPr>
              <w:t>(109 329)</w:t>
            </w:r>
          </w:p>
        </w:tc>
        <w:tc>
          <w:tcPr>
            <w:tcW w:w="1606" w:type="dxa"/>
            <w:tcBorders>
              <w:top w:val="single" w:sz="6" w:space="0" w:color="auto"/>
              <w:bottom w:val="single" w:sz="6" w:space="0" w:color="auto"/>
            </w:tcBorders>
          </w:tcPr>
          <w:p w14:paraId="7935F0C4" w14:textId="77777777" w:rsidR="009D33A8" w:rsidRPr="007C7EF8" w:rsidRDefault="009D33A8" w:rsidP="00387417">
            <w:pPr>
              <w:spacing w:after="0"/>
              <w:rPr>
                <w:sz w:val="16"/>
                <w:szCs w:val="16"/>
              </w:rPr>
            </w:pPr>
            <w:r w:rsidRPr="007C7EF8">
              <w:rPr>
                <w:b/>
                <w:sz w:val="16"/>
                <w:szCs w:val="16"/>
              </w:rPr>
              <w:t>(100 364)</w:t>
            </w:r>
          </w:p>
        </w:tc>
      </w:tr>
      <w:tr w:rsidR="009D33A8" w:rsidRPr="00E50422" w14:paraId="1F311BA3" w14:textId="77777777">
        <w:tc>
          <w:tcPr>
            <w:tcW w:w="1607" w:type="dxa"/>
            <w:tcBorders>
              <w:top w:val="single" w:sz="6" w:space="0" w:color="auto"/>
            </w:tcBorders>
          </w:tcPr>
          <w:p w14:paraId="4D86C42C" w14:textId="77777777" w:rsidR="009D33A8" w:rsidRPr="007C7EF8" w:rsidRDefault="009D33A8" w:rsidP="00387417">
            <w:pPr>
              <w:spacing w:after="0"/>
              <w:rPr>
                <w:sz w:val="16"/>
                <w:szCs w:val="16"/>
              </w:rPr>
            </w:pPr>
            <w:r w:rsidRPr="007C7EF8">
              <w:rPr>
                <w:b/>
                <w:sz w:val="16"/>
                <w:szCs w:val="16"/>
              </w:rPr>
              <w:t>4 643</w:t>
            </w:r>
          </w:p>
        </w:tc>
        <w:tc>
          <w:tcPr>
            <w:tcW w:w="1607" w:type="dxa"/>
            <w:tcBorders>
              <w:top w:val="single" w:sz="6" w:space="0" w:color="auto"/>
            </w:tcBorders>
          </w:tcPr>
          <w:p w14:paraId="46209C9B" w14:textId="77777777" w:rsidR="009D33A8" w:rsidRPr="007C7EF8" w:rsidRDefault="009D33A8" w:rsidP="00387417">
            <w:pPr>
              <w:spacing w:after="0"/>
              <w:rPr>
                <w:sz w:val="16"/>
                <w:szCs w:val="16"/>
              </w:rPr>
            </w:pPr>
            <w:r w:rsidRPr="007C7EF8">
              <w:rPr>
                <w:b/>
                <w:sz w:val="16"/>
                <w:szCs w:val="16"/>
              </w:rPr>
              <w:t>2 766</w:t>
            </w:r>
          </w:p>
        </w:tc>
        <w:tc>
          <w:tcPr>
            <w:tcW w:w="1606" w:type="dxa"/>
            <w:tcBorders>
              <w:top w:val="single" w:sz="6" w:space="0" w:color="auto"/>
            </w:tcBorders>
          </w:tcPr>
          <w:p w14:paraId="6C24D13B" w14:textId="77777777" w:rsidR="009D33A8" w:rsidRPr="007C7EF8" w:rsidRDefault="009D33A8" w:rsidP="00387417">
            <w:pPr>
              <w:spacing w:after="0"/>
              <w:rPr>
                <w:sz w:val="16"/>
                <w:szCs w:val="16"/>
              </w:rPr>
            </w:pPr>
            <w:r w:rsidRPr="007C7EF8">
              <w:rPr>
                <w:b/>
                <w:sz w:val="16"/>
                <w:szCs w:val="16"/>
              </w:rPr>
              <w:t>(1 017)</w:t>
            </w:r>
          </w:p>
        </w:tc>
        <w:tc>
          <w:tcPr>
            <w:tcW w:w="1606" w:type="dxa"/>
            <w:tcBorders>
              <w:top w:val="single" w:sz="6" w:space="0" w:color="auto"/>
            </w:tcBorders>
          </w:tcPr>
          <w:p w14:paraId="5B7BA5FD" w14:textId="77777777" w:rsidR="009D33A8" w:rsidRPr="007C7EF8" w:rsidRDefault="009D33A8" w:rsidP="00387417">
            <w:pPr>
              <w:spacing w:after="0"/>
              <w:rPr>
                <w:sz w:val="16"/>
                <w:szCs w:val="16"/>
              </w:rPr>
            </w:pPr>
            <w:r w:rsidRPr="007C7EF8">
              <w:rPr>
                <w:b/>
                <w:sz w:val="16"/>
                <w:szCs w:val="16"/>
              </w:rPr>
              <w:t>(1 581)</w:t>
            </w:r>
          </w:p>
        </w:tc>
        <w:tc>
          <w:tcPr>
            <w:tcW w:w="1606" w:type="dxa"/>
            <w:tcBorders>
              <w:top w:val="single" w:sz="6" w:space="0" w:color="auto"/>
            </w:tcBorders>
          </w:tcPr>
          <w:p w14:paraId="319BC7EF" w14:textId="77777777" w:rsidR="009D33A8" w:rsidRPr="007C7EF8" w:rsidRDefault="009D33A8" w:rsidP="00387417">
            <w:pPr>
              <w:spacing w:after="0"/>
              <w:rPr>
                <w:sz w:val="16"/>
                <w:szCs w:val="16"/>
              </w:rPr>
            </w:pPr>
            <w:r w:rsidRPr="007C7EF8">
              <w:rPr>
                <w:b/>
                <w:sz w:val="16"/>
                <w:szCs w:val="16"/>
              </w:rPr>
              <w:t>8 324</w:t>
            </w:r>
          </w:p>
        </w:tc>
        <w:tc>
          <w:tcPr>
            <w:tcW w:w="1606" w:type="dxa"/>
            <w:tcBorders>
              <w:top w:val="single" w:sz="6" w:space="0" w:color="auto"/>
            </w:tcBorders>
          </w:tcPr>
          <w:p w14:paraId="4051DA51" w14:textId="77777777" w:rsidR="009D33A8" w:rsidRPr="007C7EF8" w:rsidRDefault="009D33A8" w:rsidP="00387417">
            <w:pPr>
              <w:spacing w:after="0"/>
              <w:rPr>
                <w:sz w:val="16"/>
                <w:szCs w:val="16"/>
              </w:rPr>
            </w:pPr>
            <w:r w:rsidRPr="007C7EF8">
              <w:rPr>
                <w:b/>
                <w:sz w:val="16"/>
                <w:szCs w:val="16"/>
              </w:rPr>
              <w:t>5 249</w:t>
            </w:r>
          </w:p>
        </w:tc>
      </w:tr>
      <w:tr w:rsidR="009D33A8" w:rsidRPr="00E50422" w14:paraId="4A841021" w14:textId="77777777">
        <w:tc>
          <w:tcPr>
            <w:tcW w:w="1607" w:type="dxa"/>
          </w:tcPr>
          <w:p w14:paraId="39FDF742" w14:textId="77777777" w:rsidR="009D33A8" w:rsidRPr="007C7EF8" w:rsidRDefault="009D33A8" w:rsidP="00387417">
            <w:pPr>
              <w:spacing w:after="0"/>
              <w:rPr>
                <w:sz w:val="16"/>
                <w:szCs w:val="16"/>
              </w:rPr>
            </w:pPr>
          </w:p>
        </w:tc>
        <w:tc>
          <w:tcPr>
            <w:tcW w:w="1607" w:type="dxa"/>
          </w:tcPr>
          <w:p w14:paraId="5F037DE9" w14:textId="77777777" w:rsidR="009D33A8" w:rsidRPr="007C7EF8" w:rsidRDefault="009D33A8" w:rsidP="00387417">
            <w:pPr>
              <w:spacing w:after="0"/>
              <w:rPr>
                <w:sz w:val="16"/>
                <w:szCs w:val="16"/>
              </w:rPr>
            </w:pPr>
          </w:p>
        </w:tc>
        <w:tc>
          <w:tcPr>
            <w:tcW w:w="1606" w:type="dxa"/>
          </w:tcPr>
          <w:p w14:paraId="240232CE" w14:textId="77777777" w:rsidR="009D33A8" w:rsidRPr="007C7EF8" w:rsidRDefault="009D33A8" w:rsidP="00387417">
            <w:pPr>
              <w:spacing w:after="0"/>
              <w:rPr>
                <w:sz w:val="16"/>
                <w:szCs w:val="16"/>
              </w:rPr>
            </w:pPr>
          </w:p>
        </w:tc>
        <w:tc>
          <w:tcPr>
            <w:tcW w:w="1606" w:type="dxa"/>
          </w:tcPr>
          <w:p w14:paraId="0363D68A" w14:textId="77777777" w:rsidR="009D33A8" w:rsidRPr="007C7EF8" w:rsidRDefault="009D33A8" w:rsidP="00387417">
            <w:pPr>
              <w:spacing w:after="0"/>
              <w:rPr>
                <w:sz w:val="16"/>
                <w:szCs w:val="16"/>
              </w:rPr>
            </w:pPr>
          </w:p>
        </w:tc>
        <w:tc>
          <w:tcPr>
            <w:tcW w:w="1606" w:type="dxa"/>
          </w:tcPr>
          <w:p w14:paraId="282A2D79" w14:textId="77777777" w:rsidR="009D33A8" w:rsidRPr="007C7EF8" w:rsidRDefault="009D33A8" w:rsidP="00387417">
            <w:pPr>
              <w:spacing w:after="0"/>
              <w:rPr>
                <w:sz w:val="16"/>
                <w:szCs w:val="16"/>
              </w:rPr>
            </w:pPr>
          </w:p>
        </w:tc>
        <w:tc>
          <w:tcPr>
            <w:tcW w:w="1606" w:type="dxa"/>
          </w:tcPr>
          <w:p w14:paraId="751F3D6A" w14:textId="77777777" w:rsidR="009D33A8" w:rsidRPr="007C7EF8" w:rsidRDefault="009D33A8" w:rsidP="00387417">
            <w:pPr>
              <w:spacing w:after="0"/>
              <w:rPr>
                <w:sz w:val="16"/>
                <w:szCs w:val="16"/>
              </w:rPr>
            </w:pPr>
          </w:p>
        </w:tc>
      </w:tr>
      <w:tr w:rsidR="009D33A8" w:rsidRPr="00E50422" w14:paraId="7A28A81B" w14:textId="77777777">
        <w:tc>
          <w:tcPr>
            <w:tcW w:w="1607" w:type="dxa"/>
          </w:tcPr>
          <w:p w14:paraId="476BAF4F" w14:textId="77777777" w:rsidR="009D33A8" w:rsidRPr="007C7EF8" w:rsidRDefault="009D33A8" w:rsidP="00387417">
            <w:pPr>
              <w:spacing w:after="0"/>
              <w:rPr>
                <w:sz w:val="16"/>
                <w:szCs w:val="16"/>
              </w:rPr>
            </w:pPr>
          </w:p>
        </w:tc>
        <w:tc>
          <w:tcPr>
            <w:tcW w:w="1607" w:type="dxa"/>
          </w:tcPr>
          <w:p w14:paraId="09314411" w14:textId="77777777" w:rsidR="009D33A8" w:rsidRPr="007C7EF8" w:rsidRDefault="009D33A8" w:rsidP="00387417">
            <w:pPr>
              <w:spacing w:after="0"/>
              <w:rPr>
                <w:sz w:val="16"/>
                <w:szCs w:val="16"/>
              </w:rPr>
            </w:pPr>
          </w:p>
        </w:tc>
        <w:tc>
          <w:tcPr>
            <w:tcW w:w="1606" w:type="dxa"/>
          </w:tcPr>
          <w:p w14:paraId="420CF5E6" w14:textId="77777777" w:rsidR="009D33A8" w:rsidRPr="007C7EF8" w:rsidRDefault="009D33A8" w:rsidP="00387417">
            <w:pPr>
              <w:spacing w:after="0"/>
              <w:rPr>
                <w:sz w:val="16"/>
                <w:szCs w:val="16"/>
              </w:rPr>
            </w:pPr>
          </w:p>
        </w:tc>
        <w:tc>
          <w:tcPr>
            <w:tcW w:w="1606" w:type="dxa"/>
          </w:tcPr>
          <w:p w14:paraId="06425B77" w14:textId="77777777" w:rsidR="009D33A8" w:rsidRPr="007C7EF8" w:rsidRDefault="009D33A8" w:rsidP="00387417">
            <w:pPr>
              <w:spacing w:after="0"/>
              <w:rPr>
                <w:sz w:val="16"/>
                <w:szCs w:val="16"/>
              </w:rPr>
            </w:pPr>
          </w:p>
        </w:tc>
        <w:tc>
          <w:tcPr>
            <w:tcW w:w="1606" w:type="dxa"/>
          </w:tcPr>
          <w:p w14:paraId="3ABB8EB7" w14:textId="77777777" w:rsidR="009D33A8" w:rsidRPr="007C7EF8" w:rsidRDefault="009D33A8" w:rsidP="00387417">
            <w:pPr>
              <w:spacing w:after="0"/>
              <w:rPr>
                <w:sz w:val="16"/>
                <w:szCs w:val="16"/>
              </w:rPr>
            </w:pPr>
          </w:p>
        </w:tc>
        <w:tc>
          <w:tcPr>
            <w:tcW w:w="1606" w:type="dxa"/>
          </w:tcPr>
          <w:p w14:paraId="485EDBF2" w14:textId="77777777" w:rsidR="009D33A8" w:rsidRPr="007C7EF8" w:rsidRDefault="009D33A8" w:rsidP="00387417">
            <w:pPr>
              <w:spacing w:after="0"/>
              <w:rPr>
                <w:sz w:val="16"/>
                <w:szCs w:val="16"/>
              </w:rPr>
            </w:pPr>
          </w:p>
        </w:tc>
      </w:tr>
      <w:tr w:rsidR="009D33A8" w:rsidRPr="00E50422" w14:paraId="084A0702" w14:textId="77777777">
        <w:tc>
          <w:tcPr>
            <w:tcW w:w="1607" w:type="dxa"/>
          </w:tcPr>
          <w:p w14:paraId="04C601CF" w14:textId="77777777" w:rsidR="009D33A8" w:rsidRPr="007C7EF8" w:rsidRDefault="009D33A8" w:rsidP="00387417">
            <w:pPr>
              <w:spacing w:after="0"/>
              <w:rPr>
                <w:sz w:val="16"/>
                <w:szCs w:val="16"/>
              </w:rPr>
            </w:pPr>
            <w:r w:rsidRPr="007C7EF8">
              <w:rPr>
                <w:sz w:val="16"/>
                <w:szCs w:val="16"/>
              </w:rPr>
              <w:t>(28)</w:t>
            </w:r>
          </w:p>
        </w:tc>
        <w:tc>
          <w:tcPr>
            <w:tcW w:w="1607" w:type="dxa"/>
          </w:tcPr>
          <w:p w14:paraId="3B400830" w14:textId="77777777" w:rsidR="009D33A8" w:rsidRPr="007C7EF8" w:rsidRDefault="009D33A8" w:rsidP="00387417">
            <w:pPr>
              <w:spacing w:after="0"/>
              <w:rPr>
                <w:sz w:val="16"/>
                <w:szCs w:val="16"/>
              </w:rPr>
            </w:pPr>
            <w:r w:rsidRPr="007C7EF8">
              <w:rPr>
                <w:sz w:val="16"/>
                <w:szCs w:val="16"/>
              </w:rPr>
              <w:t>(43)</w:t>
            </w:r>
          </w:p>
        </w:tc>
        <w:tc>
          <w:tcPr>
            <w:tcW w:w="1606" w:type="dxa"/>
          </w:tcPr>
          <w:p w14:paraId="2286F6CD" w14:textId="77777777" w:rsidR="009D33A8" w:rsidRPr="007C7EF8" w:rsidRDefault="009D33A8" w:rsidP="00387417">
            <w:pPr>
              <w:spacing w:after="0"/>
              <w:rPr>
                <w:sz w:val="16"/>
                <w:szCs w:val="16"/>
              </w:rPr>
            </w:pPr>
            <w:r w:rsidRPr="007C7EF8">
              <w:rPr>
                <w:sz w:val="16"/>
                <w:szCs w:val="16"/>
              </w:rPr>
              <w:t>144</w:t>
            </w:r>
          </w:p>
        </w:tc>
        <w:tc>
          <w:tcPr>
            <w:tcW w:w="1606" w:type="dxa"/>
          </w:tcPr>
          <w:p w14:paraId="2EB6D663" w14:textId="77777777" w:rsidR="009D33A8" w:rsidRPr="007C7EF8" w:rsidRDefault="009D33A8" w:rsidP="00387417">
            <w:pPr>
              <w:spacing w:after="0"/>
              <w:rPr>
                <w:sz w:val="16"/>
                <w:szCs w:val="16"/>
              </w:rPr>
            </w:pPr>
            <w:r w:rsidRPr="007C7EF8">
              <w:rPr>
                <w:sz w:val="16"/>
                <w:szCs w:val="16"/>
              </w:rPr>
              <w:t>168</w:t>
            </w:r>
          </w:p>
        </w:tc>
        <w:tc>
          <w:tcPr>
            <w:tcW w:w="1606" w:type="dxa"/>
          </w:tcPr>
          <w:p w14:paraId="374B6B7B" w14:textId="77777777" w:rsidR="009D33A8" w:rsidRPr="007C7EF8" w:rsidRDefault="009D33A8" w:rsidP="00387417">
            <w:pPr>
              <w:spacing w:after="0"/>
              <w:rPr>
                <w:sz w:val="16"/>
                <w:szCs w:val="16"/>
              </w:rPr>
            </w:pPr>
            <w:r w:rsidRPr="007C7EF8">
              <w:rPr>
                <w:sz w:val="16"/>
                <w:szCs w:val="16"/>
              </w:rPr>
              <w:t>(22 255)</w:t>
            </w:r>
          </w:p>
        </w:tc>
        <w:tc>
          <w:tcPr>
            <w:tcW w:w="1606" w:type="dxa"/>
          </w:tcPr>
          <w:p w14:paraId="63672D84" w14:textId="77777777" w:rsidR="009D33A8" w:rsidRPr="007C7EF8" w:rsidRDefault="009D33A8" w:rsidP="00387417">
            <w:pPr>
              <w:spacing w:after="0"/>
              <w:rPr>
                <w:sz w:val="16"/>
                <w:szCs w:val="16"/>
              </w:rPr>
            </w:pPr>
            <w:r w:rsidRPr="007C7EF8">
              <w:rPr>
                <w:sz w:val="16"/>
                <w:szCs w:val="16"/>
              </w:rPr>
              <w:t>(23 021)</w:t>
            </w:r>
          </w:p>
        </w:tc>
      </w:tr>
      <w:tr w:rsidR="009D33A8" w:rsidRPr="00E50422" w14:paraId="0FE17F87" w14:textId="77777777">
        <w:tc>
          <w:tcPr>
            <w:tcW w:w="1607" w:type="dxa"/>
            <w:tcBorders>
              <w:bottom w:val="single" w:sz="6" w:space="0" w:color="auto"/>
            </w:tcBorders>
          </w:tcPr>
          <w:p w14:paraId="1AFB9A57" w14:textId="77777777" w:rsidR="009D33A8" w:rsidRPr="007C7EF8" w:rsidRDefault="009D33A8" w:rsidP="00387417">
            <w:pPr>
              <w:spacing w:after="0"/>
              <w:rPr>
                <w:sz w:val="16"/>
                <w:szCs w:val="16"/>
              </w:rPr>
            </w:pPr>
            <w:r w:rsidRPr="007C7EF8">
              <w:rPr>
                <w:sz w:val="16"/>
                <w:szCs w:val="16"/>
              </w:rPr>
              <w:t>..</w:t>
            </w:r>
          </w:p>
        </w:tc>
        <w:tc>
          <w:tcPr>
            <w:tcW w:w="1607" w:type="dxa"/>
            <w:tcBorders>
              <w:bottom w:val="single" w:sz="6" w:space="0" w:color="auto"/>
            </w:tcBorders>
          </w:tcPr>
          <w:p w14:paraId="415CC170" w14:textId="77777777" w:rsidR="009D33A8" w:rsidRPr="007C7EF8" w:rsidRDefault="009D33A8" w:rsidP="00387417">
            <w:pPr>
              <w:spacing w:after="0"/>
              <w:rPr>
                <w:sz w:val="16"/>
                <w:szCs w:val="16"/>
              </w:rPr>
            </w:pPr>
            <w:r w:rsidRPr="007C7EF8">
              <w:rPr>
                <w:sz w:val="16"/>
                <w:szCs w:val="16"/>
              </w:rPr>
              <w:t>1</w:t>
            </w:r>
          </w:p>
        </w:tc>
        <w:tc>
          <w:tcPr>
            <w:tcW w:w="1606" w:type="dxa"/>
            <w:tcBorders>
              <w:bottom w:val="single" w:sz="6" w:space="0" w:color="auto"/>
            </w:tcBorders>
          </w:tcPr>
          <w:p w14:paraId="1E75CA9E" w14:textId="77777777" w:rsidR="009D33A8" w:rsidRPr="007C7EF8" w:rsidRDefault="009D33A8" w:rsidP="00387417">
            <w:pPr>
              <w:spacing w:after="0"/>
              <w:rPr>
                <w:sz w:val="16"/>
                <w:szCs w:val="16"/>
              </w:rPr>
            </w:pPr>
            <w:r w:rsidRPr="007C7EF8">
              <w:rPr>
                <w:sz w:val="16"/>
                <w:szCs w:val="16"/>
              </w:rPr>
              <w:t>..</w:t>
            </w:r>
          </w:p>
        </w:tc>
        <w:tc>
          <w:tcPr>
            <w:tcW w:w="1606" w:type="dxa"/>
            <w:tcBorders>
              <w:bottom w:val="single" w:sz="6" w:space="0" w:color="auto"/>
            </w:tcBorders>
          </w:tcPr>
          <w:p w14:paraId="27EADC94" w14:textId="77777777" w:rsidR="009D33A8" w:rsidRPr="007C7EF8" w:rsidRDefault="009D33A8" w:rsidP="00387417">
            <w:pPr>
              <w:spacing w:after="0"/>
              <w:rPr>
                <w:sz w:val="16"/>
                <w:szCs w:val="16"/>
              </w:rPr>
            </w:pPr>
            <w:r w:rsidRPr="007C7EF8">
              <w:rPr>
                <w:sz w:val="16"/>
                <w:szCs w:val="16"/>
              </w:rPr>
              <w:t>..</w:t>
            </w:r>
          </w:p>
        </w:tc>
        <w:tc>
          <w:tcPr>
            <w:tcW w:w="1606" w:type="dxa"/>
            <w:tcBorders>
              <w:bottom w:val="single" w:sz="6" w:space="0" w:color="auto"/>
            </w:tcBorders>
          </w:tcPr>
          <w:p w14:paraId="781CD0AF" w14:textId="77777777" w:rsidR="009D33A8" w:rsidRPr="007C7EF8" w:rsidRDefault="009D33A8" w:rsidP="00387417">
            <w:pPr>
              <w:spacing w:after="0"/>
              <w:rPr>
                <w:sz w:val="16"/>
                <w:szCs w:val="16"/>
              </w:rPr>
            </w:pPr>
            <w:r w:rsidRPr="007C7EF8">
              <w:rPr>
                <w:sz w:val="16"/>
                <w:szCs w:val="16"/>
              </w:rPr>
              <w:t>400</w:t>
            </w:r>
          </w:p>
        </w:tc>
        <w:tc>
          <w:tcPr>
            <w:tcW w:w="1606" w:type="dxa"/>
            <w:tcBorders>
              <w:bottom w:val="single" w:sz="6" w:space="0" w:color="auto"/>
            </w:tcBorders>
          </w:tcPr>
          <w:p w14:paraId="047ECF40" w14:textId="77777777" w:rsidR="009D33A8" w:rsidRPr="007C7EF8" w:rsidRDefault="009D33A8" w:rsidP="00387417">
            <w:pPr>
              <w:spacing w:after="0"/>
              <w:rPr>
                <w:sz w:val="16"/>
                <w:szCs w:val="16"/>
              </w:rPr>
            </w:pPr>
            <w:r w:rsidRPr="007C7EF8">
              <w:rPr>
                <w:sz w:val="16"/>
                <w:szCs w:val="16"/>
              </w:rPr>
              <w:t>670</w:t>
            </w:r>
          </w:p>
        </w:tc>
      </w:tr>
      <w:tr w:rsidR="009D33A8" w:rsidRPr="00E50422" w14:paraId="5BFD6394" w14:textId="77777777">
        <w:tc>
          <w:tcPr>
            <w:tcW w:w="1607" w:type="dxa"/>
            <w:tcBorders>
              <w:top w:val="single" w:sz="6" w:space="0" w:color="auto"/>
            </w:tcBorders>
          </w:tcPr>
          <w:p w14:paraId="58E61723" w14:textId="77777777" w:rsidR="009D33A8" w:rsidRPr="007C7EF8" w:rsidRDefault="009D33A8" w:rsidP="00387417">
            <w:pPr>
              <w:spacing w:after="0"/>
              <w:rPr>
                <w:sz w:val="16"/>
                <w:szCs w:val="16"/>
              </w:rPr>
            </w:pPr>
            <w:r w:rsidRPr="007C7EF8">
              <w:rPr>
                <w:b/>
                <w:sz w:val="16"/>
                <w:szCs w:val="16"/>
              </w:rPr>
              <w:t>(28)</w:t>
            </w:r>
          </w:p>
        </w:tc>
        <w:tc>
          <w:tcPr>
            <w:tcW w:w="1607" w:type="dxa"/>
            <w:tcBorders>
              <w:top w:val="single" w:sz="6" w:space="0" w:color="auto"/>
            </w:tcBorders>
          </w:tcPr>
          <w:p w14:paraId="0E12834B" w14:textId="77777777" w:rsidR="009D33A8" w:rsidRPr="007C7EF8" w:rsidRDefault="009D33A8" w:rsidP="00387417">
            <w:pPr>
              <w:spacing w:after="0"/>
              <w:rPr>
                <w:sz w:val="16"/>
                <w:szCs w:val="16"/>
              </w:rPr>
            </w:pPr>
            <w:r w:rsidRPr="007C7EF8">
              <w:rPr>
                <w:b/>
                <w:sz w:val="16"/>
                <w:szCs w:val="16"/>
              </w:rPr>
              <w:t>(42)</w:t>
            </w:r>
          </w:p>
        </w:tc>
        <w:tc>
          <w:tcPr>
            <w:tcW w:w="1606" w:type="dxa"/>
            <w:tcBorders>
              <w:top w:val="single" w:sz="6" w:space="0" w:color="auto"/>
            </w:tcBorders>
          </w:tcPr>
          <w:p w14:paraId="77438519" w14:textId="77777777" w:rsidR="009D33A8" w:rsidRPr="007C7EF8" w:rsidRDefault="009D33A8" w:rsidP="00387417">
            <w:pPr>
              <w:spacing w:after="0"/>
              <w:rPr>
                <w:sz w:val="16"/>
                <w:szCs w:val="16"/>
              </w:rPr>
            </w:pPr>
            <w:r w:rsidRPr="007C7EF8">
              <w:rPr>
                <w:b/>
                <w:sz w:val="16"/>
                <w:szCs w:val="16"/>
              </w:rPr>
              <w:t>144</w:t>
            </w:r>
          </w:p>
        </w:tc>
        <w:tc>
          <w:tcPr>
            <w:tcW w:w="1606" w:type="dxa"/>
            <w:tcBorders>
              <w:top w:val="single" w:sz="6" w:space="0" w:color="auto"/>
            </w:tcBorders>
          </w:tcPr>
          <w:p w14:paraId="7455FA67" w14:textId="77777777" w:rsidR="009D33A8" w:rsidRPr="007C7EF8" w:rsidRDefault="009D33A8" w:rsidP="00387417">
            <w:pPr>
              <w:spacing w:after="0"/>
              <w:rPr>
                <w:sz w:val="16"/>
                <w:szCs w:val="16"/>
              </w:rPr>
            </w:pPr>
            <w:r w:rsidRPr="007C7EF8">
              <w:rPr>
                <w:b/>
                <w:sz w:val="16"/>
                <w:szCs w:val="16"/>
              </w:rPr>
              <w:t>168</w:t>
            </w:r>
          </w:p>
        </w:tc>
        <w:tc>
          <w:tcPr>
            <w:tcW w:w="1606" w:type="dxa"/>
            <w:tcBorders>
              <w:top w:val="single" w:sz="6" w:space="0" w:color="auto"/>
            </w:tcBorders>
          </w:tcPr>
          <w:p w14:paraId="21743808" w14:textId="77777777" w:rsidR="009D33A8" w:rsidRPr="007C7EF8" w:rsidRDefault="009D33A8" w:rsidP="00387417">
            <w:pPr>
              <w:spacing w:after="0"/>
              <w:rPr>
                <w:sz w:val="16"/>
                <w:szCs w:val="16"/>
              </w:rPr>
            </w:pPr>
            <w:r w:rsidRPr="007C7EF8">
              <w:rPr>
                <w:b/>
                <w:sz w:val="16"/>
                <w:szCs w:val="16"/>
              </w:rPr>
              <w:t>(21 854)</w:t>
            </w:r>
          </w:p>
        </w:tc>
        <w:tc>
          <w:tcPr>
            <w:tcW w:w="1606" w:type="dxa"/>
            <w:tcBorders>
              <w:top w:val="single" w:sz="6" w:space="0" w:color="auto"/>
            </w:tcBorders>
          </w:tcPr>
          <w:p w14:paraId="02965311" w14:textId="77777777" w:rsidR="009D33A8" w:rsidRPr="007C7EF8" w:rsidRDefault="009D33A8" w:rsidP="00387417">
            <w:pPr>
              <w:spacing w:after="0"/>
              <w:rPr>
                <w:sz w:val="16"/>
                <w:szCs w:val="16"/>
              </w:rPr>
            </w:pPr>
            <w:r w:rsidRPr="007C7EF8">
              <w:rPr>
                <w:b/>
                <w:sz w:val="16"/>
                <w:szCs w:val="16"/>
              </w:rPr>
              <w:t>(22 351)</w:t>
            </w:r>
          </w:p>
        </w:tc>
      </w:tr>
      <w:tr w:rsidR="009D33A8" w:rsidRPr="00E50422" w14:paraId="7806AC88" w14:textId="77777777">
        <w:tc>
          <w:tcPr>
            <w:tcW w:w="1607" w:type="dxa"/>
          </w:tcPr>
          <w:p w14:paraId="22E20BA6" w14:textId="77777777" w:rsidR="009D33A8" w:rsidRPr="007C7EF8" w:rsidRDefault="009D33A8" w:rsidP="00387417">
            <w:pPr>
              <w:spacing w:after="0"/>
              <w:rPr>
                <w:sz w:val="16"/>
                <w:szCs w:val="16"/>
              </w:rPr>
            </w:pPr>
          </w:p>
        </w:tc>
        <w:tc>
          <w:tcPr>
            <w:tcW w:w="1607" w:type="dxa"/>
          </w:tcPr>
          <w:p w14:paraId="54E5927B" w14:textId="77777777" w:rsidR="009D33A8" w:rsidRPr="007C7EF8" w:rsidRDefault="009D33A8" w:rsidP="00387417">
            <w:pPr>
              <w:spacing w:after="0"/>
              <w:rPr>
                <w:sz w:val="16"/>
                <w:szCs w:val="16"/>
              </w:rPr>
            </w:pPr>
          </w:p>
        </w:tc>
        <w:tc>
          <w:tcPr>
            <w:tcW w:w="1606" w:type="dxa"/>
          </w:tcPr>
          <w:p w14:paraId="063154D9" w14:textId="77777777" w:rsidR="009D33A8" w:rsidRPr="007C7EF8" w:rsidRDefault="009D33A8" w:rsidP="00387417">
            <w:pPr>
              <w:spacing w:after="0"/>
              <w:rPr>
                <w:sz w:val="16"/>
                <w:szCs w:val="16"/>
              </w:rPr>
            </w:pPr>
          </w:p>
        </w:tc>
        <w:tc>
          <w:tcPr>
            <w:tcW w:w="1606" w:type="dxa"/>
          </w:tcPr>
          <w:p w14:paraId="2D90CC58" w14:textId="77777777" w:rsidR="009D33A8" w:rsidRPr="007C7EF8" w:rsidRDefault="009D33A8" w:rsidP="00387417">
            <w:pPr>
              <w:spacing w:after="0"/>
              <w:rPr>
                <w:sz w:val="16"/>
                <w:szCs w:val="16"/>
              </w:rPr>
            </w:pPr>
          </w:p>
        </w:tc>
        <w:tc>
          <w:tcPr>
            <w:tcW w:w="1606" w:type="dxa"/>
          </w:tcPr>
          <w:p w14:paraId="26FC18B2" w14:textId="77777777" w:rsidR="009D33A8" w:rsidRPr="007C7EF8" w:rsidRDefault="009D33A8" w:rsidP="00387417">
            <w:pPr>
              <w:spacing w:after="0"/>
              <w:rPr>
                <w:sz w:val="16"/>
                <w:szCs w:val="16"/>
              </w:rPr>
            </w:pPr>
          </w:p>
        </w:tc>
        <w:tc>
          <w:tcPr>
            <w:tcW w:w="1606" w:type="dxa"/>
          </w:tcPr>
          <w:p w14:paraId="304C3E81" w14:textId="77777777" w:rsidR="009D33A8" w:rsidRPr="007C7EF8" w:rsidRDefault="009D33A8" w:rsidP="00387417">
            <w:pPr>
              <w:spacing w:after="0"/>
              <w:rPr>
                <w:sz w:val="16"/>
                <w:szCs w:val="16"/>
              </w:rPr>
            </w:pPr>
          </w:p>
        </w:tc>
      </w:tr>
      <w:tr w:rsidR="009D33A8" w:rsidRPr="00E50422" w14:paraId="44FA2E76" w14:textId="77777777">
        <w:tc>
          <w:tcPr>
            <w:tcW w:w="1607" w:type="dxa"/>
          </w:tcPr>
          <w:p w14:paraId="3315DD29" w14:textId="77777777" w:rsidR="009D33A8" w:rsidRPr="007C7EF8" w:rsidRDefault="009D33A8" w:rsidP="00387417">
            <w:pPr>
              <w:spacing w:after="0"/>
              <w:rPr>
                <w:sz w:val="16"/>
                <w:szCs w:val="16"/>
              </w:rPr>
            </w:pPr>
            <w:r w:rsidRPr="007C7EF8">
              <w:rPr>
                <w:sz w:val="16"/>
                <w:szCs w:val="16"/>
              </w:rPr>
              <w:t>1</w:t>
            </w:r>
          </w:p>
        </w:tc>
        <w:tc>
          <w:tcPr>
            <w:tcW w:w="1607" w:type="dxa"/>
          </w:tcPr>
          <w:p w14:paraId="68D23C31" w14:textId="77777777" w:rsidR="009D33A8" w:rsidRPr="007C7EF8" w:rsidRDefault="009D33A8" w:rsidP="00387417">
            <w:pPr>
              <w:spacing w:after="0"/>
              <w:rPr>
                <w:sz w:val="16"/>
                <w:szCs w:val="16"/>
              </w:rPr>
            </w:pPr>
            <w:r w:rsidRPr="007C7EF8">
              <w:rPr>
                <w:sz w:val="16"/>
                <w:szCs w:val="16"/>
              </w:rPr>
              <w:t>18</w:t>
            </w:r>
          </w:p>
        </w:tc>
        <w:tc>
          <w:tcPr>
            <w:tcW w:w="1606" w:type="dxa"/>
          </w:tcPr>
          <w:p w14:paraId="645C1CE2" w14:textId="77777777" w:rsidR="009D33A8" w:rsidRPr="007C7EF8" w:rsidRDefault="009D33A8" w:rsidP="00387417">
            <w:pPr>
              <w:spacing w:after="0"/>
              <w:rPr>
                <w:sz w:val="16"/>
                <w:szCs w:val="16"/>
              </w:rPr>
            </w:pPr>
            <w:r w:rsidRPr="007C7EF8">
              <w:rPr>
                <w:sz w:val="16"/>
                <w:szCs w:val="16"/>
              </w:rPr>
              <w:t>(172)</w:t>
            </w:r>
          </w:p>
        </w:tc>
        <w:tc>
          <w:tcPr>
            <w:tcW w:w="1606" w:type="dxa"/>
          </w:tcPr>
          <w:p w14:paraId="3CCCF852" w14:textId="77777777" w:rsidR="009D33A8" w:rsidRPr="007C7EF8" w:rsidRDefault="009D33A8" w:rsidP="00387417">
            <w:pPr>
              <w:spacing w:after="0"/>
              <w:rPr>
                <w:sz w:val="16"/>
                <w:szCs w:val="16"/>
              </w:rPr>
            </w:pPr>
            <w:r w:rsidRPr="007C7EF8">
              <w:rPr>
                <w:sz w:val="16"/>
                <w:szCs w:val="16"/>
              </w:rPr>
              <w:t>(1 005)</w:t>
            </w:r>
          </w:p>
        </w:tc>
        <w:tc>
          <w:tcPr>
            <w:tcW w:w="1606" w:type="dxa"/>
          </w:tcPr>
          <w:p w14:paraId="1E5F430C" w14:textId="77777777" w:rsidR="009D33A8" w:rsidRPr="007C7EF8" w:rsidRDefault="009D33A8" w:rsidP="00387417">
            <w:pPr>
              <w:spacing w:after="0"/>
              <w:rPr>
                <w:sz w:val="16"/>
                <w:szCs w:val="16"/>
              </w:rPr>
            </w:pPr>
            <w:r w:rsidRPr="007C7EF8">
              <w:rPr>
                <w:sz w:val="16"/>
                <w:szCs w:val="16"/>
              </w:rPr>
              <w:t>836</w:t>
            </w:r>
          </w:p>
        </w:tc>
        <w:tc>
          <w:tcPr>
            <w:tcW w:w="1606" w:type="dxa"/>
          </w:tcPr>
          <w:p w14:paraId="479BF45B" w14:textId="77777777" w:rsidR="009D33A8" w:rsidRPr="007C7EF8" w:rsidRDefault="009D33A8" w:rsidP="00387417">
            <w:pPr>
              <w:spacing w:after="0"/>
              <w:rPr>
                <w:sz w:val="16"/>
                <w:szCs w:val="16"/>
              </w:rPr>
            </w:pPr>
            <w:r w:rsidRPr="007C7EF8">
              <w:rPr>
                <w:sz w:val="16"/>
                <w:szCs w:val="16"/>
              </w:rPr>
              <w:t>1 223</w:t>
            </w:r>
          </w:p>
        </w:tc>
      </w:tr>
      <w:tr w:rsidR="009D33A8" w:rsidRPr="00E50422" w14:paraId="0DB11D5C" w14:textId="77777777">
        <w:tc>
          <w:tcPr>
            <w:tcW w:w="1607" w:type="dxa"/>
            <w:tcBorders>
              <w:bottom w:val="single" w:sz="6" w:space="0" w:color="auto"/>
            </w:tcBorders>
          </w:tcPr>
          <w:p w14:paraId="4CD531D1" w14:textId="77777777" w:rsidR="009D33A8" w:rsidRPr="007C7EF8" w:rsidRDefault="009D33A8" w:rsidP="00387417">
            <w:pPr>
              <w:spacing w:after="0"/>
              <w:rPr>
                <w:sz w:val="16"/>
                <w:szCs w:val="16"/>
              </w:rPr>
            </w:pPr>
            <w:r w:rsidRPr="007C7EF8">
              <w:rPr>
                <w:sz w:val="16"/>
                <w:szCs w:val="16"/>
              </w:rPr>
              <w:t>(10)</w:t>
            </w:r>
          </w:p>
        </w:tc>
        <w:tc>
          <w:tcPr>
            <w:tcW w:w="1607" w:type="dxa"/>
            <w:tcBorders>
              <w:bottom w:val="single" w:sz="6" w:space="0" w:color="auto"/>
            </w:tcBorders>
          </w:tcPr>
          <w:p w14:paraId="29E50DAC" w14:textId="77777777" w:rsidR="009D33A8" w:rsidRPr="007C7EF8" w:rsidRDefault="009D33A8" w:rsidP="00387417">
            <w:pPr>
              <w:spacing w:after="0"/>
              <w:rPr>
                <w:sz w:val="16"/>
                <w:szCs w:val="16"/>
              </w:rPr>
            </w:pPr>
            <w:r w:rsidRPr="007C7EF8">
              <w:rPr>
                <w:sz w:val="16"/>
                <w:szCs w:val="16"/>
              </w:rPr>
              <w:t>(2)</w:t>
            </w:r>
          </w:p>
        </w:tc>
        <w:tc>
          <w:tcPr>
            <w:tcW w:w="1606" w:type="dxa"/>
            <w:tcBorders>
              <w:bottom w:val="single" w:sz="6" w:space="0" w:color="auto"/>
            </w:tcBorders>
          </w:tcPr>
          <w:p w14:paraId="534A44CB" w14:textId="77777777" w:rsidR="009D33A8" w:rsidRPr="007C7EF8" w:rsidRDefault="009D33A8" w:rsidP="00387417">
            <w:pPr>
              <w:spacing w:after="0"/>
              <w:rPr>
                <w:sz w:val="16"/>
                <w:szCs w:val="16"/>
              </w:rPr>
            </w:pPr>
            <w:r w:rsidRPr="007C7EF8">
              <w:rPr>
                <w:sz w:val="16"/>
                <w:szCs w:val="16"/>
              </w:rPr>
              <w:t>3 916</w:t>
            </w:r>
          </w:p>
        </w:tc>
        <w:tc>
          <w:tcPr>
            <w:tcW w:w="1606" w:type="dxa"/>
            <w:tcBorders>
              <w:bottom w:val="single" w:sz="6" w:space="0" w:color="auto"/>
            </w:tcBorders>
          </w:tcPr>
          <w:p w14:paraId="633DFA42" w14:textId="77777777" w:rsidR="009D33A8" w:rsidRPr="007C7EF8" w:rsidRDefault="009D33A8" w:rsidP="00387417">
            <w:pPr>
              <w:spacing w:after="0"/>
              <w:rPr>
                <w:sz w:val="16"/>
                <w:szCs w:val="16"/>
              </w:rPr>
            </w:pPr>
            <w:r w:rsidRPr="007C7EF8">
              <w:rPr>
                <w:sz w:val="16"/>
                <w:szCs w:val="16"/>
              </w:rPr>
              <w:t>3 445</w:t>
            </w:r>
          </w:p>
        </w:tc>
        <w:tc>
          <w:tcPr>
            <w:tcW w:w="1606" w:type="dxa"/>
            <w:tcBorders>
              <w:bottom w:val="single" w:sz="6" w:space="0" w:color="auto"/>
            </w:tcBorders>
          </w:tcPr>
          <w:p w14:paraId="5BB6A000" w14:textId="77777777" w:rsidR="009D33A8" w:rsidRPr="007C7EF8" w:rsidRDefault="009D33A8" w:rsidP="00387417">
            <w:pPr>
              <w:spacing w:after="0"/>
              <w:rPr>
                <w:sz w:val="16"/>
                <w:szCs w:val="16"/>
              </w:rPr>
            </w:pPr>
            <w:r w:rsidRPr="007C7EF8">
              <w:rPr>
                <w:sz w:val="16"/>
                <w:szCs w:val="16"/>
              </w:rPr>
              <w:t>(921)</w:t>
            </w:r>
          </w:p>
        </w:tc>
        <w:tc>
          <w:tcPr>
            <w:tcW w:w="1606" w:type="dxa"/>
            <w:tcBorders>
              <w:bottom w:val="single" w:sz="6" w:space="0" w:color="auto"/>
            </w:tcBorders>
          </w:tcPr>
          <w:p w14:paraId="0824FAAB" w14:textId="77777777" w:rsidR="009D33A8" w:rsidRPr="007C7EF8" w:rsidRDefault="009D33A8" w:rsidP="00387417">
            <w:pPr>
              <w:spacing w:after="0"/>
              <w:rPr>
                <w:sz w:val="16"/>
                <w:szCs w:val="16"/>
              </w:rPr>
            </w:pPr>
            <w:r w:rsidRPr="007C7EF8">
              <w:rPr>
                <w:sz w:val="16"/>
                <w:szCs w:val="16"/>
              </w:rPr>
              <w:t>(939)</w:t>
            </w:r>
          </w:p>
        </w:tc>
      </w:tr>
      <w:tr w:rsidR="009D33A8" w:rsidRPr="00E50422" w14:paraId="30D62C7E" w14:textId="77777777">
        <w:tc>
          <w:tcPr>
            <w:tcW w:w="1607" w:type="dxa"/>
            <w:tcBorders>
              <w:top w:val="single" w:sz="6" w:space="0" w:color="auto"/>
            </w:tcBorders>
          </w:tcPr>
          <w:p w14:paraId="5EBFFE7A" w14:textId="77777777" w:rsidR="009D33A8" w:rsidRPr="007C7EF8" w:rsidRDefault="009D33A8" w:rsidP="00387417">
            <w:pPr>
              <w:spacing w:after="0"/>
              <w:rPr>
                <w:sz w:val="16"/>
                <w:szCs w:val="16"/>
              </w:rPr>
            </w:pPr>
            <w:r w:rsidRPr="007C7EF8">
              <w:rPr>
                <w:b/>
                <w:sz w:val="16"/>
                <w:szCs w:val="16"/>
              </w:rPr>
              <w:t>(8)</w:t>
            </w:r>
          </w:p>
        </w:tc>
        <w:tc>
          <w:tcPr>
            <w:tcW w:w="1607" w:type="dxa"/>
            <w:tcBorders>
              <w:top w:val="single" w:sz="6" w:space="0" w:color="auto"/>
            </w:tcBorders>
          </w:tcPr>
          <w:p w14:paraId="06928709" w14:textId="77777777" w:rsidR="009D33A8" w:rsidRPr="007C7EF8" w:rsidRDefault="009D33A8" w:rsidP="00387417">
            <w:pPr>
              <w:spacing w:after="0"/>
              <w:rPr>
                <w:sz w:val="16"/>
                <w:szCs w:val="16"/>
              </w:rPr>
            </w:pPr>
            <w:r w:rsidRPr="007C7EF8">
              <w:rPr>
                <w:b/>
                <w:sz w:val="16"/>
                <w:szCs w:val="16"/>
              </w:rPr>
              <w:t>16</w:t>
            </w:r>
          </w:p>
        </w:tc>
        <w:tc>
          <w:tcPr>
            <w:tcW w:w="1606" w:type="dxa"/>
            <w:tcBorders>
              <w:top w:val="single" w:sz="6" w:space="0" w:color="auto"/>
            </w:tcBorders>
          </w:tcPr>
          <w:p w14:paraId="3E530949" w14:textId="77777777" w:rsidR="009D33A8" w:rsidRPr="007C7EF8" w:rsidRDefault="009D33A8" w:rsidP="00387417">
            <w:pPr>
              <w:spacing w:after="0"/>
              <w:rPr>
                <w:sz w:val="16"/>
                <w:szCs w:val="16"/>
              </w:rPr>
            </w:pPr>
            <w:r w:rsidRPr="007C7EF8">
              <w:rPr>
                <w:b/>
                <w:sz w:val="16"/>
                <w:szCs w:val="16"/>
              </w:rPr>
              <w:t>3 745</w:t>
            </w:r>
          </w:p>
        </w:tc>
        <w:tc>
          <w:tcPr>
            <w:tcW w:w="1606" w:type="dxa"/>
            <w:tcBorders>
              <w:top w:val="single" w:sz="6" w:space="0" w:color="auto"/>
            </w:tcBorders>
          </w:tcPr>
          <w:p w14:paraId="12980506" w14:textId="77777777" w:rsidR="009D33A8" w:rsidRPr="007C7EF8" w:rsidRDefault="009D33A8" w:rsidP="00387417">
            <w:pPr>
              <w:spacing w:after="0"/>
              <w:rPr>
                <w:sz w:val="16"/>
                <w:szCs w:val="16"/>
              </w:rPr>
            </w:pPr>
            <w:r w:rsidRPr="007C7EF8">
              <w:rPr>
                <w:b/>
                <w:sz w:val="16"/>
                <w:szCs w:val="16"/>
              </w:rPr>
              <w:t>2 440</w:t>
            </w:r>
          </w:p>
        </w:tc>
        <w:tc>
          <w:tcPr>
            <w:tcW w:w="1606" w:type="dxa"/>
            <w:tcBorders>
              <w:top w:val="single" w:sz="6" w:space="0" w:color="auto"/>
            </w:tcBorders>
          </w:tcPr>
          <w:p w14:paraId="6D055FF0" w14:textId="77777777" w:rsidR="009D33A8" w:rsidRPr="007C7EF8" w:rsidRDefault="009D33A8" w:rsidP="00387417">
            <w:pPr>
              <w:spacing w:after="0"/>
              <w:rPr>
                <w:sz w:val="16"/>
                <w:szCs w:val="16"/>
              </w:rPr>
            </w:pPr>
            <w:r w:rsidRPr="007C7EF8">
              <w:rPr>
                <w:b/>
                <w:sz w:val="16"/>
                <w:szCs w:val="16"/>
              </w:rPr>
              <w:t>(84)</w:t>
            </w:r>
          </w:p>
        </w:tc>
        <w:tc>
          <w:tcPr>
            <w:tcW w:w="1606" w:type="dxa"/>
            <w:tcBorders>
              <w:top w:val="single" w:sz="6" w:space="0" w:color="auto"/>
            </w:tcBorders>
          </w:tcPr>
          <w:p w14:paraId="023E7333" w14:textId="77777777" w:rsidR="009D33A8" w:rsidRPr="007C7EF8" w:rsidRDefault="009D33A8" w:rsidP="00387417">
            <w:pPr>
              <w:spacing w:after="0"/>
              <w:rPr>
                <w:sz w:val="16"/>
                <w:szCs w:val="16"/>
              </w:rPr>
            </w:pPr>
            <w:r w:rsidRPr="007C7EF8">
              <w:rPr>
                <w:b/>
                <w:sz w:val="16"/>
                <w:szCs w:val="16"/>
              </w:rPr>
              <w:t>283</w:t>
            </w:r>
          </w:p>
        </w:tc>
      </w:tr>
      <w:tr w:rsidR="009D33A8" w:rsidRPr="00E50422" w14:paraId="373F3849" w14:textId="77777777">
        <w:tc>
          <w:tcPr>
            <w:tcW w:w="1607" w:type="dxa"/>
          </w:tcPr>
          <w:p w14:paraId="2375A3C3" w14:textId="77777777" w:rsidR="009D33A8" w:rsidRPr="007C7EF8" w:rsidRDefault="009D33A8" w:rsidP="00387417">
            <w:pPr>
              <w:spacing w:after="0"/>
              <w:rPr>
                <w:sz w:val="16"/>
                <w:szCs w:val="16"/>
              </w:rPr>
            </w:pPr>
            <w:r w:rsidRPr="007C7EF8">
              <w:rPr>
                <w:b/>
                <w:sz w:val="16"/>
                <w:szCs w:val="16"/>
              </w:rPr>
              <w:t>(36)</w:t>
            </w:r>
          </w:p>
        </w:tc>
        <w:tc>
          <w:tcPr>
            <w:tcW w:w="1607" w:type="dxa"/>
          </w:tcPr>
          <w:p w14:paraId="73182CFB" w14:textId="77777777" w:rsidR="009D33A8" w:rsidRPr="007C7EF8" w:rsidRDefault="009D33A8" w:rsidP="00387417">
            <w:pPr>
              <w:spacing w:after="0"/>
              <w:rPr>
                <w:sz w:val="16"/>
                <w:szCs w:val="16"/>
              </w:rPr>
            </w:pPr>
            <w:r w:rsidRPr="007C7EF8">
              <w:rPr>
                <w:b/>
                <w:sz w:val="16"/>
                <w:szCs w:val="16"/>
              </w:rPr>
              <w:t>(26)</w:t>
            </w:r>
          </w:p>
        </w:tc>
        <w:tc>
          <w:tcPr>
            <w:tcW w:w="1606" w:type="dxa"/>
          </w:tcPr>
          <w:p w14:paraId="01827B6B" w14:textId="77777777" w:rsidR="009D33A8" w:rsidRPr="007C7EF8" w:rsidRDefault="009D33A8" w:rsidP="00387417">
            <w:pPr>
              <w:spacing w:after="0"/>
              <w:rPr>
                <w:sz w:val="16"/>
                <w:szCs w:val="16"/>
              </w:rPr>
            </w:pPr>
            <w:r w:rsidRPr="007C7EF8">
              <w:rPr>
                <w:b/>
                <w:sz w:val="16"/>
                <w:szCs w:val="16"/>
              </w:rPr>
              <w:t>3 889</w:t>
            </w:r>
          </w:p>
        </w:tc>
        <w:tc>
          <w:tcPr>
            <w:tcW w:w="1606" w:type="dxa"/>
          </w:tcPr>
          <w:p w14:paraId="05C57072" w14:textId="77777777" w:rsidR="009D33A8" w:rsidRPr="007C7EF8" w:rsidRDefault="009D33A8" w:rsidP="00387417">
            <w:pPr>
              <w:spacing w:after="0"/>
              <w:rPr>
                <w:sz w:val="16"/>
                <w:szCs w:val="16"/>
              </w:rPr>
            </w:pPr>
            <w:r w:rsidRPr="007C7EF8">
              <w:rPr>
                <w:b/>
                <w:sz w:val="16"/>
                <w:szCs w:val="16"/>
              </w:rPr>
              <w:t>2 608</w:t>
            </w:r>
          </w:p>
        </w:tc>
        <w:tc>
          <w:tcPr>
            <w:tcW w:w="1606" w:type="dxa"/>
          </w:tcPr>
          <w:p w14:paraId="02777E37" w14:textId="77777777" w:rsidR="009D33A8" w:rsidRPr="007C7EF8" w:rsidRDefault="009D33A8" w:rsidP="00387417">
            <w:pPr>
              <w:spacing w:after="0"/>
              <w:rPr>
                <w:sz w:val="16"/>
                <w:szCs w:val="16"/>
              </w:rPr>
            </w:pPr>
            <w:r w:rsidRPr="007C7EF8">
              <w:rPr>
                <w:b/>
                <w:sz w:val="16"/>
                <w:szCs w:val="16"/>
              </w:rPr>
              <w:t>(21 939)</w:t>
            </w:r>
          </w:p>
        </w:tc>
        <w:tc>
          <w:tcPr>
            <w:tcW w:w="1606" w:type="dxa"/>
          </w:tcPr>
          <w:p w14:paraId="3D31B6D1" w14:textId="77777777" w:rsidR="009D33A8" w:rsidRPr="007C7EF8" w:rsidRDefault="009D33A8" w:rsidP="00387417">
            <w:pPr>
              <w:spacing w:after="0"/>
              <w:rPr>
                <w:sz w:val="16"/>
                <w:szCs w:val="16"/>
              </w:rPr>
            </w:pPr>
            <w:r w:rsidRPr="007C7EF8">
              <w:rPr>
                <w:b/>
                <w:sz w:val="16"/>
                <w:szCs w:val="16"/>
              </w:rPr>
              <w:t>(22 068)</w:t>
            </w:r>
          </w:p>
        </w:tc>
      </w:tr>
      <w:tr w:rsidR="009D33A8" w:rsidRPr="00E50422" w14:paraId="70BF28F0" w14:textId="77777777">
        <w:tc>
          <w:tcPr>
            <w:tcW w:w="1607" w:type="dxa"/>
          </w:tcPr>
          <w:p w14:paraId="0F5F250F" w14:textId="77777777" w:rsidR="009D33A8" w:rsidRPr="007C7EF8" w:rsidRDefault="009D33A8" w:rsidP="00387417">
            <w:pPr>
              <w:spacing w:after="0"/>
              <w:rPr>
                <w:sz w:val="16"/>
                <w:szCs w:val="16"/>
              </w:rPr>
            </w:pPr>
          </w:p>
        </w:tc>
        <w:tc>
          <w:tcPr>
            <w:tcW w:w="1607" w:type="dxa"/>
          </w:tcPr>
          <w:p w14:paraId="501D7070" w14:textId="77777777" w:rsidR="009D33A8" w:rsidRPr="007C7EF8" w:rsidRDefault="009D33A8" w:rsidP="00387417">
            <w:pPr>
              <w:spacing w:after="0"/>
              <w:rPr>
                <w:sz w:val="16"/>
                <w:szCs w:val="16"/>
              </w:rPr>
            </w:pPr>
          </w:p>
        </w:tc>
        <w:tc>
          <w:tcPr>
            <w:tcW w:w="1606" w:type="dxa"/>
          </w:tcPr>
          <w:p w14:paraId="146F572D" w14:textId="77777777" w:rsidR="009D33A8" w:rsidRPr="007C7EF8" w:rsidRDefault="009D33A8" w:rsidP="00387417">
            <w:pPr>
              <w:spacing w:after="0"/>
              <w:rPr>
                <w:sz w:val="16"/>
                <w:szCs w:val="16"/>
              </w:rPr>
            </w:pPr>
          </w:p>
        </w:tc>
        <w:tc>
          <w:tcPr>
            <w:tcW w:w="1606" w:type="dxa"/>
          </w:tcPr>
          <w:p w14:paraId="0E700EB3" w14:textId="77777777" w:rsidR="009D33A8" w:rsidRPr="007C7EF8" w:rsidRDefault="009D33A8" w:rsidP="00387417">
            <w:pPr>
              <w:spacing w:after="0"/>
              <w:rPr>
                <w:sz w:val="16"/>
                <w:szCs w:val="16"/>
              </w:rPr>
            </w:pPr>
          </w:p>
        </w:tc>
        <w:tc>
          <w:tcPr>
            <w:tcW w:w="1606" w:type="dxa"/>
          </w:tcPr>
          <w:p w14:paraId="7BF0A916" w14:textId="77777777" w:rsidR="009D33A8" w:rsidRPr="007C7EF8" w:rsidRDefault="009D33A8" w:rsidP="00387417">
            <w:pPr>
              <w:spacing w:after="0"/>
              <w:rPr>
                <w:sz w:val="16"/>
                <w:szCs w:val="16"/>
              </w:rPr>
            </w:pPr>
          </w:p>
        </w:tc>
        <w:tc>
          <w:tcPr>
            <w:tcW w:w="1606" w:type="dxa"/>
          </w:tcPr>
          <w:p w14:paraId="5A93BCCF" w14:textId="77777777" w:rsidR="009D33A8" w:rsidRPr="007C7EF8" w:rsidRDefault="009D33A8" w:rsidP="00387417">
            <w:pPr>
              <w:spacing w:after="0"/>
              <w:rPr>
                <w:sz w:val="16"/>
                <w:szCs w:val="16"/>
              </w:rPr>
            </w:pPr>
          </w:p>
        </w:tc>
      </w:tr>
      <w:tr w:rsidR="009D33A8" w:rsidRPr="00E50422" w14:paraId="752A127D" w14:textId="77777777">
        <w:tc>
          <w:tcPr>
            <w:tcW w:w="1607" w:type="dxa"/>
          </w:tcPr>
          <w:p w14:paraId="709273EC" w14:textId="77777777" w:rsidR="009D33A8" w:rsidRPr="007C7EF8" w:rsidRDefault="009D33A8" w:rsidP="00387417">
            <w:pPr>
              <w:spacing w:after="0"/>
              <w:rPr>
                <w:sz w:val="16"/>
                <w:szCs w:val="16"/>
              </w:rPr>
            </w:pPr>
            <w:r w:rsidRPr="007C7EF8">
              <w:rPr>
                <w:sz w:val="16"/>
                <w:szCs w:val="16"/>
              </w:rPr>
              <w:t>8 463</w:t>
            </w:r>
          </w:p>
        </w:tc>
        <w:tc>
          <w:tcPr>
            <w:tcW w:w="1607" w:type="dxa"/>
          </w:tcPr>
          <w:p w14:paraId="3D7624F0" w14:textId="77777777" w:rsidR="009D33A8" w:rsidRPr="007C7EF8" w:rsidRDefault="009D33A8" w:rsidP="00387417">
            <w:pPr>
              <w:spacing w:after="0"/>
              <w:rPr>
                <w:sz w:val="16"/>
                <w:szCs w:val="16"/>
              </w:rPr>
            </w:pPr>
            <w:r w:rsidRPr="007C7EF8">
              <w:rPr>
                <w:sz w:val="16"/>
                <w:szCs w:val="16"/>
              </w:rPr>
              <w:t>5 156</w:t>
            </w:r>
          </w:p>
        </w:tc>
        <w:tc>
          <w:tcPr>
            <w:tcW w:w="1606" w:type="dxa"/>
          </w:tcPr>
          <w:p w14:paraId="7873DCEE" w14:textId="77777777" w:rsidR="009D33A8" w:rsidRPr="007C7EF8" w:rsidRDefault="009D33A8" w:rsidP="00387417">
            <w:pPr>
              <w:spacing w:after="0"/>
              <w:rPr>
                <w:sz w:val="16"/>
                <w:szCs w:val="16"/>
              </w:rPr>
            </w:pPr>
            <w:r w:rsidRPr="007C7EF8">
              <w:rPr>
                <w:sz w:val="16"/>
                <w:szCs w:val="16"/>
              </w:rPr>
              <w:t>(147)</w:t>
            </w:r>
          </w:p>
        </w:tc>
        <w:tc>
          <w:tcPr>
            <w:tcW w:w="1606" w:type="dxa"/>
          </w:tcPr>
          <w:p w14:paraId="0FEF9D2F" w14:textId="77777777" w:rsidR="009D33A8" w:rsidRPr="007C7EF8" w:rsidRDefault="009D33A8" w:rsidP="00387417">
            <w:pPr>
              <w:spacing w:after="0"/>
              <w:rPr>
                <w:sz w:val="16"/>
                <w:szCs w:val="16"/>
              </w:rPr>
            </w:pPr>
            <w:r w:rsidRPr="007C7EF8">
              <w:rPr>
                <w:sz w:val="16"/>
                <w:szCs w:val="16"/>
              </w:rPr>
              <w:t>..</w:t>
            </w:r>
          </w:p>
        </w:tc>
        <w:tc>
          <w:tcPr>
            <w:tcW w:w="1606" w:type="dxa"/>
          </w:tcPr>
          <w:p w14:paraId="766DDE53" w14:textId="77777777" w:rsidR="009D33A8" w:rsidRPr="007C7EF8" w:rsidRDefault="009D33A8" w:rsidP="00387417">
            <w:pPr>
              <w:spacing w:after="0"/>
              <w:rPr>
                <w:sz w:val="16"/>
                <w:szCs w:val="16"/>
              </w:rPr>
            </w:pPr>
            <w:r w:rsidRPr="007C7EF8">
              <w:rPr>
                <w:sz w:val="16"/>
                <w:szCs w:val="16"/>
              </w:rPr>
              <w:t>8 630</w:t>
            </w:r>
          </w:p>
        </w:tc>
        <w:tc>
          <w:tcPr>
            <w:tcW w:w="1606" w:type="dxa"/>
          </w:tcPr>
          <w:p w14:paraId="6FF71694" w14:textId="77777777" w:rsidR="009D33A8" w:rsidRPr="007C7EF8" w:rsidRDefault="009D33A8" w:rsidP="00387417">
            <w:pPr>
              <w:spacing w:after="0"/>
              <w:rPr>
                <w:sz w:val="16"/>
                <w:szCs w:val="16"/>
              </w:rPr>
            </w:pPr>
            <w:r w:rsidRPr="007C7EF8">
              <w:rPr>
                <w:sz w:val="16"/>
                <w:szCs w:val="16"/>
              </w:rPr>
              <w:t>5 770</w:t>
            </w:r>
          </w:p>
        </w:tc>
      </w:tr>
      <w:tr w:rsidR="009D33A8" w:rsidRPr="00E50422" w14:paraId="2EE713D9" w14:textId="77777777">
        <w:tc>
          <w:tcPr>
            <w:tcW w:w="1607" w:type="dxa"/>
            <w:tcBorders>
              <w:bottom w:val="single" w:sz="6" w:space="0" w:color="auto"/>
            </w:tcBorders>
          </w:tcPr>
          <w:p w14:paraId="6A1446CF" w14:textId="77777777" w:rsidR="009D33A8" w:rsidRPr="007C7EF8" w:rsidRDefault="009D33A8" w:rsidP="00387417">
            <w:pPr>
              <w:spacing w:after="0"/>
              <w:rPr>
                <w:sz w:val="16"/>
                <w:szCs w:val="16"/>
              </w:rPr>
            </w:pPr>
            <w:r w:rsidRPr="007C7EF8">
              <w:rPr>
                <w:sz w:val="16"/>
                <w:szCs w:val="16"/>
              </w:rPr>
              <w:t>(31 185)</w:t>
            </w:r>
          </w:p>
        </w:tc>
        <w:tc>
          <w:tcPr>
            <w:tcW w:w="1607" w:type="dxa"/>
            <w:tcBorders>
              <w:bottom w:val="single" w:sz="6" w:space="0" w:color="auto"/>
            </w:tcBorders>
          </w:tcPr>
          <w:p w14:paraId="26ED67B7" w14:textId="77777777" w:rsidR="009D33A8" w:rsidRPr="007C7EF8" w:rsidRDefault="009D33A8" w:rsidP="00387417">
            <w:pPr>
              <w:spacing w:after="0"/>
              <w:rPr>
                <w:sz w:val="16"/>
                <w:szCs w:val="16"/>
              </w:rPr>
            </w:pPr>
            <w:r w:rsidRPr="007C7EF8">
              <w:rPr>
                <w:sz w:val="16"/>
                <w:szCs w:val="16"/>
              </w:rPr>
              <w:t>(35 601)</w:t>
            </w:r>
          </w:p>
        </w:tc>
        <w:tc>
          <w:tcPr>
            <w:tcW w:w="1606" w:type="dxa"/>
            <w:tcBorders>
              <w:bottom w:val="single" w:sz="6" w:space="0" w:color="auto"/>
            </w:tcBorders>
          </w:tcPr>
          <w:p w14:paraId="7CB09C43" w14:textId="77777777" w:rsidR="009D33A8" w:rsidRPr="007C7EF8" w:rsidRDefault="009D33A8" w:rsidP="00387417">
            <w:pPr>
              <w:spacing w:after="0"/>
              <w:rPr>
                <w:sz w:val="16"/>
                <w:szCs w:val="16"/>
              </w:rPr>
            </w:pPr>
            <w:r w:rsidRPr="007C7EF8">
              <w:rPr>
                <w:sz w:val="16"/>
                <w:szCs w:val="16"/>
              </w:rPr>
              <w:t>19 902</w:t>
            </w:r>
          </w:p>
        </w:tc>
        <w:tc>
          <w:tcPr>
            <w:tcW w:w="1606" w:type="dxa"/>
            <w:tcBorders>
              <w:bottom w:val="single" w:sz="6" w:space="0" w:color="auto"/>
            </w:tcBorders>
          </w:tcPr>
          <w:p w14:paraId="1E67ACCE" w14:textId="77777777" w:rsidR="009D33A8" w:rsidRPr="007C7EF8" w:rsidRDefault="009D33A8" w:rsidP="00387417">
            <w:pPr>
              <w:spacing w:after="0"/>
              <w:rPr>
                <w:sz w:val="16"/>
                <w:szCs w:val="16"/>
              </w:rPr>
            </w:pPr>
            <w:r w:rsidRPr="007C7EF8">
              <w:rPr>
                <w:sz w:val="16"/>
                <w:szCs w:val="16"/>
              </w:rPr>
              <w:t>26 090</w:t>
            </w:r>
          </w:p>
        </w:tc>
        <w:tc>
          <w:tcPr>
            <w:tcW w:w="1606" w:type="dxa"/>
            <w:tcBorders>
              <w:bottom w:val="single" w:sz="6" w:space="0" w:color="auto"/>
            </w:tcBorders>
          </w:tcPr>
          <w:p w14:paraId="0A5D150F" w14:textId="77777777" w:rsidR="009D33A8" w:rsidRPr="007C7EF8" w:rsidRDefault="009D33A8" w:rsidP="00387417">
            <w:pPr>
              <w:spacing w:after="0"/>
              <w:rPr>
                <w:sz w:val="16"/>
                <w:szCs w:val="16"/>
              </w:rPr>
            </w:pPr>
            <w:r w:rsidRPr="007C7EF8">
              <w:rPr>
                <w:sz w:val="16"/>
                <w:szCs w:val="16"/>
              </w:rPr>
              <w:t>(13 337)</w:t>
            </w:r>
          </w:p>
        </w:tc>
        <w:tc>
          <w:tcPr>
            <w:tcW w:w="1606" w:type="dxa"/>
            <w:tcBorders>
              <w:bottom w:val="single" w:sz="6" w:space="0" w:color="auto"/>
            </w:tcBorders>
          </w:tcPr>
          <w:p w14:paraId="2FFD9919" w14:textId="77777777" w:rsidR="009D33A8" w:rsidRPr="007C7EF8" w:rsidRDefault="009D33A8" w:rsidP="00387417">
            <w:pPr>
              <w:spacing w:after="0"/>
              <w:rPr>
                <w:sz w:val="16"/>
                <w:szCs w:val="16"/>
              </w:rPr>
            </w:pPr>
            <w:r w:rsidRPr="007C7EF8">
              <w:rPr>
                <w:sz w:val="16"/>
                <w:szCs w:val="16"/>
              </w:rPr>
              <w:t>(20 659)</w:t>
            </w:r>
          </w:p>
        </w:tc>
      </w:tr>
      <w:tr w:rsidR="009D33A8" w:rsidRPr="00E50422" w14:paraId="49648BE5" w14:textId="77777777">
        <w:tc>
          <w:tcPr>
            <w:tcW w:w="1607" w:type="dxa"/>
            <w:tcBorders>
              <w:top w:val="single" w:sz="6" w:space="0" w:color="auto"/>
              <w:bottom w:val="single" w:sz="6" w:space="0" w:color="auto"/>
            </w:tcBorders>
          </w:tcPr>
          <w:p w14:paraId="71F13569" w14:textId="77777777" w:rsidR="009D33A8" w:rsidRPr="007C7EF8" w:rsidRDefault="009D33A8" w:rsidP="00387417">
            <w:pPr>
              <w:spacing w:after="0"/>
              <w:rPr>
                <w:sz w:val="16"/>
                <w:szCs w:val="16"/>
              </w:rPr>
            </w:pPr>
            <w:r w:rsidRPr="007C7EF8">
              <w:rPr>
                <w:b/>
                <w:sz w:val="16"/>
                <w:szCs w:val="16"/>
              </w:rPr>
              <w:t>(22 723)</w:t>
            </w:r>
          </w:p>
        </w:tc>
        <w:tc>
          <w:tcPr>
            <w:tcW w:w="1607" w:type="dxa"/>
            <w:tcBorders>
              <w:top w:val="single" w:sz="6" w:space="0" w:color="auto"/>
              <w:bottom w:val="single" w:sz="6" w:space="0" w:color="auto"/>
            </w:tcBorders>
          </w:tcPr>
          <w:p w14:paraId="4D9AE538" w14:textId="77777777" w:rsidR="009D33A8" w:rsidRPr="007C7EF8" w:rsidRDefault="009D33A8" w:rsidP="00387417">
            <w:pPr>
              <w:spacing w:after="0"/>
              <w:rPr>
                <w:sz w:val="16"/>
                <w:szCs w:val="16"/>
              </w:rPr>
            </w:pPr>
            <w:r w:rsidRPr="007C7EF8">
              <w:rPr>
                <w:b/>
                <w:sz w:val="16"/>
                <w:szCs w:val="16"/>
              </w:rPr>
              <w:t>(30 445)</w:t>
            </w:r>
          </w:p>
        </w:tc>
        <w:tc>
          <w:tcPr>
            <w:tcW w:w="1606" w:type="dxa"/>
            <w:tcBorders>
              <w:top w:val="single" w:sz="6" w:space="0" w:color="auto"/>
              <w:bottom w:val="single" w:sz="6" w:space="0" w:color="auto"/>
            </w:tcBorders>
          </w:tcPr>
          <w:p w14:paraId="4A587AB9" w14:textId="77777777" w:rsidR="009D33A8" w:rsidRPr="007C7EF8" w:rsidRDefault="009D33A8" w:rsidP="00387417">
            <w:pPr>
              <w:spacing w:after="0"/>
              <w:rPr>
                <w:sz w:val="16"/>
                <w:szCs w:val="16"/>
              </w:rPr>
            </w:pPr>
            <w:r w:rsidRPr="007C7EF8">
              <w:rPr>
                <w:b/>
                <w:sz w:val="16"/>
                <w:szCs w:val="16"/>
              </w:rPr>
              <w:t>19 755</w:t>
            </w:r>
          </w:p>
        </w:tc>
        <w:tc>
          <w:tcPr>
            <w:tcW w:w="1606" w:type="dxa"/>
            <w:tcBorders>
              <w:top w:val="single" w:sz="6" w:space="0" w:color="auto"/>
              <w:bottom w:val="single" w:sz="6" w:space="0" w:color="auto"/>
            </w:tcBorders>
          </w:tcPr>
          <w:p w14:paraId="3F68DBD5" w14:textId="77777777" w:rsidR="009D33A8" w:rsidRPr="007C7EF8" w:rsidRDefault="009D33A8" w:rsidP="00387417">
            <w:pPr>
              <w:spacing w:after="0"/>
              <w:rPr>
                <w:sz w:val="16"/>
                <w:szCs w:val="16"/>
              </w:rPr>
            </w:pPr>
            <w:r w:rsidRPr="007C7EF8">
              <w:rPr>
                <w:b/>
                <w:sz w:val="16"/>
                <w:szCs w:val="16"/>
              </w:rPr>
              <w:t>26 090</w:t>
            </w:r>
          </w:p>
        </w:tc>
        <w:tc>
          <w:tcPr>
            <w:tcW w:w="1606" w:type="dxa"/>
            <w:tcBorders>
              <w:top w:val="single" w:sz="6" w:space="0" w:color="auto"/>
              <w:bottom w:val="single" w:sz="6" w:space="0" w:color="auto"/>
            </w:tcBorders>
          </w:tcPr>
          <w:p w14:paraId="34C63EF0" w14:textId="77777777" w:rsidR="009D33A8" w:rsidRPr="007C7EF8" w:rsidRDefault="009D33A8" w:rsidP="00387417">
            <w:pPr>
              <w:spacing w:after="0"/>
              <w:rPr>
                <w:sz w:val="16"/>
                <w:szCs w:val="16"/>
              </w:rPr>
            </w:pPr>
            <w:r w:rsidRPr="007C7EF8">
              <w:rPr>
                <w:b/>
                <w:sz w:val="16"/>
                <w:szCs w:val="16"/>
              </w:rPr>
              <w:t>(4 707)</w:t>
            </w:r>
          </w:p>
        </w:tc>
        <w:tc>
          <w:tcPr>
            <w:tcW w:w="1606" w:type="dxa"/>
            <w:tcBorders>
              <w:top w:val="single" w:sz="6" w:space="0" w:color="auto"/>
              <w:bottom w:val="single" w:sz="6" w:space="0" w:color="auto"/>
            </w:tcBorders>
          </w:tcPr>
          <w:p w14:paraId="34695EBF" w14:textId="77777777" w:rsidR="009D33A8" w:rsidRPr="007C7EF8" w:rsidRDefault="009D33A8" w:rsidP="00387417">
            <w:pPr>
              <w:spacing w:after="0"/>
              <w:rPr>
                <w:sz w:val="16"/>
                <w:szCs w:val="16"/>
              </w:rPr>
            </w:pPr>
            <w:r w:rsidRPr="007C7EF8">
              <w:rPr>
                <w:b/>
                <w:sz w:val="16"/>
                <w:szCs w:val="16"/>
              </w:rPr>
              <w:t>(14 889)</w:t>
            </w:r>
          </w:p>
        </w:tc>
      </w:tr>
      <w:tr w:rsidR="009D33A8" w:rsidRPr="00E50422" w14:paraId="2D87DD01" w14:textId="77777777">
        <w:tc>
          <w:tcPr>
            <w:tcW w:w="1607" w:type="dxa"/>
            <w:tcBorders>
              <w:top w:val="single" w:sz="6" w:space="0" w:color="auto"/>
            </w:tcBorders>
          </w:tcPr>
          <w:p w14:paraId="3157A71C" w14:textId="77777777" w:rsidR="009D33A8" w:rsidRPr="007C7EF8" w:rsidRDefault="009D33A8" w:rsidP="00387417">
            <w:pPr>
              <w:spacing w:after="0"/>
              <w:rPr>
                <w:sz w:val="16"/>
                <w:szCs w:val="16"/>
              </w:rPr>
            </w:pPr>
            <w:r w:rsidRPr="007C7EF8">
              <w:rPr>
                <w:b/>
                <w:sz w:val="16"/>
                <w:szCs w:val="16"/>
              </w:rPr>
              <w:t>(22 759)</w:t>
            </w:r>
          </w:p>
        </w:tc>
        <w:tc>
          <w:tcPr>
            <w:tcW w:w="1607" w:type="dxa"/>
            <w:tcBorders>
              <w:top w:val="single" w:sz="6" w:space="0" w:color="auto"/>
            </w:tcBorders>
          </w:tcPr>
          <w:p w14:paraId="0AB2ABA0" w14:textId="77777777" w:rsidR="009D33A8" w:rsidRPr="007C7EF8" w:rsidRDefault="009D33A8" w:rsidP="00387417">
            <w:pPr>
              <w:spacing w:after="0"/>
              <w:rPr>
                <w:sz w:val="16"/>
                <w:szCs w:val="16"/>
              </w:rPr>
            </w:pPr>
            <w:r w:rsidRPr="007C7EF8">
              <w:rPr>
                <w:b/>
                <w:sz w:val="16"/>
                <w:szCs w:val="16"/>
              </w:rPr>
              <w:t>(30 471)</w:t>
            </w:r>
          </w:p>
        </w:tc>
        <w:tc>
          <w:tcPr>
            <w:tcW w:w="1606" w:type="dxa"/>
            <w:tcBorders>
              <w:top w:val="single" w:sz="6" w:space="0" w:color="auto"/>
            </w:tcBorders>
          </w:tcPr>
          <w:p w14:paraId="036ED36C" w14:textId="77777777" w:rsidR="009D33A8" w:rsidRPr="007C7EF8" w:rsidRDefault="009D33A8" w:rsidP="00387417">
            <w:pPr>
              <w:spacing w:after="0"/>
              <w:rPr>
                <w:sz w:val="16"/>
                <w:szCs w:val="16"/>
              </w:rPr>
            </w:pPr>
            <w:r w:rsidRPr="007C7EF8">
              <w:rPr>
                <w:b/>
                <w:sz w:val="16"/>
                <w:szCs w:val="16"/>
              </w:rPr>
              <w:t>23 644</w:t>
            </w:r>
          </w:p>
        </w:tc>
        <w:tc>
          <w:tcPr>
            <w:tcW w:w="1606" w:type="dxa"/>
            <w:tcBorders>
              <w:top w:val="single" w:sz="6" w:space="0" w:color="auto"/>
            </w:tcBorders>
          </w:tcPr>
          <w:p w14:paraId="4DB195D9" w14:textId="77777777" w:rsidR="009D33A8" w:rsidRPr="007C7EF8" w:rsidRDefault="009D33A8" w:rsidP="00387417">
            <w:pPr>
              <w:spacing w:after="0"/>
              <w:rPr>
                <w:sz w:val="16"/>
                <w:szCs w:val="16"/>
              </w:rPr>
            </w:pPr>
            <w:r w:rsidRPr="007C7EF8">
              <w:rPr>
                <w:b/>
                <w:sz w:val="16"/>
                <w:szCs w:val="16"/>
              </w:rPr>
              <w:t>28 698</w:t>
            </w:r>
          </w:p>
        </w:tc>
        <w:tc>
          <w:tcPr>
            <w:tcW w:w="1606" w:type="dxa"/>
            <w:tcBorders>
              <w:top w:val="single" w:sz="6" w:space="0" w:color="auto"/>
            </w:tcBorders>
          </w:tcPr>
          <w:p w14:paraId="30CE87D7" w14:textId="77777777" w:rsidR="009D33A8" w:rsidRPr="007C7EF8" w:rsidRDefault="009D33A8" w:rsidP="00387417">
            <w:pPr>
              <w:spacing w:after="0"/>
              <w:rPr>
                <w:sz w:val="16"/>
                <w:szCs w:val="16"/>
              </w:rPr>
            </w:pPr>
            <w:r w:rsidRPr="007C7EF8">
              <w:rPr>
                <w:b/>
                <w:sz w:val="16"/>
                <w:szCs w:val="16"/>
              </w:rPr>
              <w:t>(26 646)</w:t>
            </w:r>
          </w:p>
        </w:tc>
        <w:tc>
          <w:tcPr>
            <w:tcW w:w="1606" w:type="dxa"/>
            <w:tcBorders>
              <w:top w:val="single" w:sz="6" w:space="0" w:color="auto"/>
            </w:tcBorders>
          </w:tcPr>
          <w:p w14:paraId="7E3E0D0E" w14:textId="77777777" w:rsidR="009D33A8" w:rsidRPr="007C7EF8" w:rsidRDefault="009D33A8" w:rsidP="00387417">
            <w:pPr>
              <w:spacing w:after="0"/>
              <w:rPr>
                <w:sz w:val="16"/>
                <w:szCs w:val="16"/>
              </w:rPr>
            </w:pPr>
            <w:r w:rsidRPr="007C7EF8">
              <w:rPr>
                <w:b/>
                <w:sz w:val="16"/>
                <w:szCs w:val="16"/>
              </w:rPr>
              <w:t>(36 957)</w:t>
            </w:r>
          </w:p>
        </w:tc>
      </w:tr>
      <w:tr w:rsidR="009D33A8" w:rsidRPr="00E50422" w14:paraId="62E45BF0" w14:textId="77777777">
        <w:tc>
          <w:tcPr>
            <w:tcW w:w="1607" w:type="dxa"/>
          </w:tcPr>
          <w:p w14:paraId="50364036" w14:textId="77777777" w:rsidR="009D33A8" w:rsidRPr="007C7EF8" w:rsidRDefault="009D33A8" w:rsidP="00387417">
            <w:pPr>
              <w:spacing w:after="0"/>
              <w:rPr>
                <w:sz w:val="16"/>
                <w:szCs w:val="16"/>
              </w:rPr>
            </w:pPr>
          </w:p>
        </w:tc>
        <w:tc>
          <w:tcPr>
            <w:tcW w:w="1607" w:type="dxa"/>
          </w:tcPr>
          <w:p w14:paraId="4C4A3115" w14:textId="77777777" w:rsidR="009D33A8" w:rsidRPr="007C7EF8" w:rsidRDefault="009D33A8" w:rsidP="00387417">
            <w:pPr>
              <w:spacing w:after="0"/>
              <w:rPr>
                <w:sz w:val="16"/>
                <w:szCs w:val="16"/>
              </w:rPr>
            </w:pPr>
          </w:p>
        </w:tc>
        <w:tc>
          <w:tcPr>
            <w:tcW w:w="1606" w:type="dxa"/>
          </w:tcPr>
          <w:p w14:paraId="5549C7D2" w14:textId="77777777" w:rsidR="009D33A8" w:rsidRPr="007C7EF8" w:rsidRDefault="009D33A8" w:rsidP="00387417">
            <w:pPr>
              <w:spacing w:after="0"/>
              <w:rPr>
                <w:sz w:val="16"/>
                <w:szCs w:val="16"/>
              </w:rPr>
            </w:pPr>
          </w:p>
        </w:tc>
        <w:tc>
          <w:tcPr>
            <w:tcW w:w="1606" w:type="dxa"/>
          </w:tcPr>
          <w:p w14:paraId="0A83B14A" w14:textId="77777777" w:rsidR="009D33A8" w:rsidRPr="007C7EF8" w:rsidRDefault="009D33A8" w:rsidP="00387417">
            <w:pPr>
              <w:spacing w:after="0"/>
              <w:rPr>
                <w:sz w:val="16"/>
                <w:szCs w:val="16"/>
              </w:rPr>
            </w:pPr>
          </w:p>
        </w:tc>
        <w:tc>
          <w:tcPr>
            <w:tcW w:w="1606" w:type="dxa"/>
          </w:tcPr>
          <w:p w14:paraId="793509DE" w14:textId="77777777" w:rsidR="009D33A8" w:rsidRPr="007C7EF8" w:rsidRDefault="009D33A8" w:rsidP="00387417">
            <w:pPr>
              <w:spacing w:after="0"/>
              <w:rPr>
                <w:sz w:val="16"/>
                <w:szCs w:val="16"/>
              </w:rPr>
            </w:pPr>
          </w:p>
        </w:tc>
        <w:tc>
          <w:tcPr>
            <w:tcW w:w="1606" w:type="dxa"/>
          </w:tcPr>
          <w:p w14:paraId="02C88D60" w14:textId="77777777" w:rsidR="009D33A8" w:rsidRPr="007C7EF8" w:rsidRDefault="009D33A8" w:rsidP="00387417">
            <w:pPr>
              <w:spacing w:after="0"/>
              <w:rPr>
                <w:sz w:val="16"/>
                <w:szCs w:val="16"/>
              </w:rPr>
            </w:pPr>
          </w:p>
        </w:tc>
      </w:tr>
      <w:tr w:rsidR="009D33A8" w:rsidRPr="00E50422" w14:paraId="73A000ED" w14:textId="77777777">
        <w:tc>
          <w:tcPr>
            <w:tcW w:w="1607" w:type="dxa"/>
          </w:tcPr>
          <w:p w14:paraId="6DA7EBA4" w14:textId="77777777" w:rsidR="009D33A8" w:rsidRPr="007C7EF8" w:rsidRDefault="009D33A8" w:rsidP="00387417">
            <w:pPr>
              <w:spacing w:after="0"/>
              <w:rPr>
                <w:sz w:val="16"/>
                <w:szCs w:val="16"/>
              </w:rPr>
            </w:pPr>
            <w:r w:rsidRPr="007C7EF8">
              <w:rPr>
                <w:sz w:val="16"/>
                <w:szCs w:val="16"/>
              </w:rPr>
              <w:t>149</w:t>
            </w:r>
          </w:p>
        </w:tc>
        <w:tc>
          <w:tcPr>
            <w:tcW w:w="1607" w:type="dxa"/>
          </w:tcPr>
          <w:p w14:paraId="5E07E12C" w14:textId="77777777" w:rsidR="009D33A8" w:rsidRPr="007C7EF8" w:rsidRDefault="009D33A8" w:rsidP="00387417">
            <w:pPr>
              <w:spacing w:after="0"/>
              <w:rPr>
                <w:sz w:val="16"/>
                <w:szCs w:val="16"/>
              </w:rPr>
            </w:pPr>
            <w:r w:rsidRPr="007C7EF8">
              <w:rPr>
                <w:sz w:val="16"/>
                <w:szCs w:val="16"/>
              </w:rPr>
              <w:t>75</w:t>
            </w:r>
          </w:p>
        </w:tc>
        <w:tc>
          <w:tcPr>
            <w:tcW w:w="1606" w:type="dxa"/>
          </w:tcPr>
          <w:p w14:paraId="6F5632B8" w14:textId="77777777" w:rsidR="009D33A8" w:rsidRPr="007C7EF8" w:rsidRDefault="009D33A8" w:rsidP="00387417">
            <w:pPr>
              <w:spacing w:after="0"/>
              <w:rPr>
                <w:sz w:val="16"/>
                <w:szCs w:val="16"/>
              </w:rPr>
            </w:pPr>
            <w:r w:rsidRPr="007C7EF8">
              <w:rPr>
                <w:sz w:val="16"/>
                <w:szCs w:val="16"/>
              </w:rPr>
              <w:t>(240)</w:t>
            </w:r>
          </w:p>
        </w:tc>
        <w:tc>
          <w:tcPr>
            <w:tcW w:w="1606" w:type="dxa"/>
          </w:tcPr>
          <w:p w14:paraId="58E49F99" w14:textId="77777777" w:rsidR="009D33A8" w:rsidRPr="007C7EF8" w:rsidRDefault="009D33A8" w:rsidP="00387417">
            <w:pPr>
              <w:spacing w:after="0"/>
              <w:rPr>
                <w:sz w:val="16"/>
                <w:szCs w:val="16"/>
              </w:rPr>
            </w:pPr>
            <w:r w:rsidRPr="007C7EF8">
              <w:rPr>
                <w:sz w:val="16"/>
                <w:szCs w:val="16"/>
              </w:rPr>
              <w:t>(1 880)</w:t>
            </w:r>
          </w:p>
        </w:tc>
        <w:tc>
          <w:tcPr>
            <w:tcW w:w="1606" w:type="dxa"/>
          </w:tcPr>
          <w:p w14:paraId="55CB9A01" w14:textId="77777777" w:rsidR="009D33A8" w:rsidRPr="007C7EF8" w:rsidRDefault="009D33A8" w:rsidP="00387417">
            <w:pPr>
              <w:spacing w:after="0"/>
              <w:rPr>
                <w:sz w:val="16"/>
                <w:szCs w:val="16"/>
              </w:rPr>
            </w:pPr>
            <w:r w:rsidRPr="007C7EF8">
              <w:rPr>
                <w:sz w:val="16"/>
                <w:szCs w:val="16"/>
              </w:rPr>
              <w:t>77</w:t>
            </w:r>
          </w:p>
        </w:tc>
        <w:tc>
          <w:tcPr>
            <w:tcW w:w="1606" w:type="dxa"/>
          </w:tcPr>
          <w:p w14:paraId="7EE00801" w14:textId="77777777" w:rsidR="009D33A8" w:rsidRPr="007C7EF8" w:rsidRDefault="009D33A8" w:rsidP="00387417">
            <w:pPr>
              <w:spacing w:after="0"/>
              <w:rPr>
                <w:sz w:val="16"/>
                <w:szCs w:val="16"/>
              </w:rPr>
            </w:pPr>
            <w:r w:rsidRPr="007C7EF8">
              <w:rPr>
                <w:sz w:val="16"/>
                <w:szCs w:val="16"/>
              </w:rPr>
              <w:t>26</w:t>
            </w:r>
          </w:p>
        </w:tc>
      </w:tr>
      <w:tr w:rsidR="009D33A8" w:rsidRPr="00E50422" w14:paraId="2266315C" w14:textId="77777777">
        <w:tc>
          <w:tcPr>
            <w:tcW w:w="1607" w:type="dxa"/>
            <w:tcBorders>
              <w:bottom w:val="single" w:sz="6" w:space="0" w:color="auto"/>
            </w:tcBorders>
          </w:tcPr>
          <w:p w14:paraId="5C5079F5" w14:textId="77777777" w:rsidR="009D33A8" w:rsidRPr="007C7EF8" w:rsidRDefault="009D33A8" w:rsidP="00387417">
            <w:pPr>
              <w:spacing w:after="0"/>
              <w:rPr>
                <w:sz w:val="16"/>
                <w:szCs w:val="16"/>
              </w:rPr>
            </w:pPr>
            <w:r w:rsidRPr="007C7EF8">
              <w:rPr>
                <w:sz w:val="16"/>
                <w:szCs w:val="16"/>
              </w:rPr>
              <w:t>(132)</w:t>
            </w:r>
          </w:p>
        </w:tc>
        <w:tc>
          <w:tcPr>
            <w:tcW w:w="1607" w:type="dxa"/>
            <w:tcBorders>
              <w:bottom w:val="single" w:sz="6" w:space="0" w:color="auto"/>
            </w:tcBorders>
          </w:tcPr>
          <w:p w14:paraId="1663A192" w14:textId="77777777" w:rsidR="009D33A8" w:rsidRPr="007C7EF8" w:rsidRDefault="009D33A8" w:rsidP="00387417">
            <w:pPr>
              <w:spacing w:after="0"/>
              <w:rPr>
                <w:sz w:val="16"/>
                <w:szCs w:val="16"/>
              </w:rPr>
            </w:pPr>
            <w:r w:rsidRPr="007C7EF8">
              <w:rPr>
                <w:sz w:val="16"/>
                <w:szCs w:val="16"/>
              </w:rPr>
              <w:t>(109)</w:t>
            </w:r>
          </w:p>
        </w:tc>
        <w:tc>
          <w:tcPr>
            <w:tcW w:w="1606" w:type="dxa"/>
            <w:tcBorders>
              <w:bottom w:val="single" w:sz="6" w:space="0" w:color="auto"/>
            </w:tcBorders>
          </w:tcPr>
          <w:p w14:paraId="073A114B" w14:textId="77777777" w:rsidR="009D33A8" w:rsidRPr="007C7EF8" w:rsidRDefault="009D33A8" w:rsidP="00387417">
            <w:pPr>
              <w:spacing w:after="0"/>
              <w:rPr>
                <w:sz w:val="16"/>
                <w:szCs w:val="16"/>
              </w:rPr>
            </w:pPr>
            <w:r w:rsidRPr="007C7EF8">
              <w:rPr>
                <w:sz w:val="16"/>
                <w:szCs w:val="16"/>
              </w:rPr>
              <w:t>134</w:t>
            </w:r>
          </w:p>
        </w:tc>
        <w:tc>
          <w:tcPr>
            <w:tcW w:w="1606" w:type="dxa"/>
            <w:tcBorders>
              <w:bottom w:val="single" w:sz="6" w:space="0" w:color="auto"/>
            </w:tcBorders>
          </w:tcPr>
          <w:p w14:paraId="59B62703" w14:textId="77777777" w:rsidR="009D33A8" w:rsidRPr="007C7EF8" w:rsidRDefault="009D33A8" w:rsidP="00387417">
            <w:pPr>
              <w:spacing w:after="0"/>
              <w:rPr>
                <w:sz w:val="16"/>
                <w:szCs w:val="16"/>
              </w:rPr>
            </w:pPr>
            <w:r w:rsidRPr="007C7EF8">
              <w:rPr>
                <w:sz w:val="16"/>
                <w:szCs w:val="16"/>
              </w:rPr>
              <w:t>555</w:t>
            </w:r>
          </w:p>
        </w:tc>
        <w:tc>
          <w:tcPr>
            <w:tcW w:w="1606" w:type="dxa"/>
            <w:tcBorders>
              <w:bottom w:val="single" w:sz="6" w:space="0" w:color="auto"/>
            </w:tcBorders>
          </w:tcPr>
          <w:p w14:paraId="3C0383D8" w14:textId="77777777" w:rsidR="009D33A8" w:rsidRPr="007C7EF8" w:rsidRDefault="009D33A8" w:rsidP="00387417">
            <w:pPr>
              <w:spacing w:after="0"/>
              <w:rPr>
                <w:sz w:val="16"/>
                <w:szCs w:val="16"/>
              </w:rPr>
            </w:pPr>
            <w:r w:rsidRPr="007C7EF8">
              <w:rPr>
                <w:sz w:val="16"/>
                <w:szCs w:val="16"/>
              </w:rPr>
              <w:t>(38)</w:t>
            </w:r>
          </w:p>
        </w:tc>
        <w:tc>
          <w:tcPr>
            <w:tcW w:w="1606" w:type="dxa"/>
            <w:tcBorders>
              <w:bottom w:val="single" w:sz="6" w:space="0" w:color="auto"/>
            </w:tcBorders>
          </w:tcPr>
          <w:p w14:paraId="6DE5C291" w14:textId="77777777" w:rsidR="009D33A8" w:rsidRPr="007C7EF8" w:rsidRDefault="009D33A8" w:rsidP="00387417">
            <w:pPr>
              <w:spacing w:after="0"/>
              <w:rPr>
                <w:sz w:val="16"/>
                <w:szCs w:val="16"/>
              </w:rPr>
            </w:pPr>
            <w:r w:rsidRPr="007C7EF8">
              <w:rPr>
                <w:sz w:val="16"/>
                <w:szCs w:val="16"/>
              </w:rPr>
              <w:t>(38)</w:t>
            </w:r>
          </w:p>
        </w:tc>
      </w:tr>
      <w:tr w:rsidR="009D33A8" w:rsidRPr="00E50422" w14:paraId="6843337A" w14:textId="77777777">
        <w:tc>
          <w:tcPr>
            <w:tcW w:w="1607" w:type="dxa"/>
            <w:tcBorders>
              <w:top w:val="single" w:sz="6" w:space="0" w:color="auto"/>
            </w:tcBorders>
          </w:tcPr>
          <w:p w14:paraId="4580537D" w14:textId="77777777" w:rsidR="009D33A8" w:rsidRPr="007C7EF8" w:rsidRDefault="009D33A8" w:rsidP="00387417">
            <w:pPr>
              <w:spacing w:after="0"/>
              <w:rPr>
                <w:sz w:val="16"/>
                <w:szCs w:val="16"/>
              </w:rPr>
            </w:pPr>
            <w:r w:rsidRPr="007C7EF8">
              <w:rPr>
                <w:sz w:val="16"/>
                <w:szCs w:val="16"/>
              </w:rPr>
              <w:t>17</w:t>
            </w:r>
          </w:p>
        </w:tc>
        <w:tc>
          <w:tcPr>
            <w:tcW w:w="1607" w:type="dxa"/>
            <w:tcBorders>
              <w:top w:val="single" w:sz="6" w:space="0" w:color="auto"/>
            </w:tcBorders>
          </w:tcPr>
          <w:p w14:paraId="670FBDAC" w14:textId="77777777" w:rsidR="009D33A8" w:rsidRPr="007C7EF8" w:rsidRDefault="009D33A8" w:rsidP="00387417">
            <w:pPr>
              <w:spacing w:after="0"/>
              <w:rPr>
                <w:sz w:val="16"/>
                <w:szCs w:val="16"/>
              </w:rPr>
            </w:pPr>
            <w:r w:rsidRPr="007C7EF8">
              <w:rPr>
                <w:sz w:val="16"/>
                <w:szCs w:val="16"/>
              </w:rPr>
              <w:t>(34)</w:t>
            </w:r>
          </w:p>
        </w:tc>
        <w:tc>
          <w:tcPr>
            <w:tcW w:w="1606" w:type="dxa"/>
            <w:tcBorders>
              <w:top w:val="single" w:sz="6" w:space="0" w:color="auto"/>
            </w:tcBorders>
          </w:tcPr>
          <w:p w14:paraId="61EC5277" w14:textId="77777777" w:rsidR="009D33A8" w:rsidRPr="007C7EF8" w:rsidRDefault="009D33A8" w:rsidP="00387417">
            <w:pPr>
              <w:spacing w:after="0"/>
              <w:rPr>
                <w:sz w:val="16"/>
                <w:szCs w:val="16"/>
              </w:rPr>
            </w:pPr>
            <w:r w:rsidRPr="007C7EF8">
              <w:rPr>
                <w:sz w:val="16"/>
                <w:szCs w:val="16"/>
              </w:rPr>
              <w:t>(107)</w:t>
            </w:r>
          </w:p>
        </w:tc>
        <w:tc>
          <w:tcPr>
            <w:tcW w:w="1606" w:type="dxa"/>
            <w:tcBorders>
              <w:top w:val="single" w:sz="6" w:space="0" w:color="auto"/>
            </w:tcBorders>
          </w:tcPr>
          <w:p w14:paraId="4224770C" w14:textId="77777777" w:rsidR="009D33A8" w:rsidRPr="007C7EF8" w:rsidRDefault="009D33A8" w:rsidP="00387417">
            <w:pPr>
              <w:spacing w:after="0"/>
              <w:rPr>
                <w:sz w:val="16"/>
                <w:szCs w:val="16"/>
              </w:rPr>
            </w:pPr>
            <w:r w:rsidRPr="007C7EF8">
              <w:rPr>
                <w:sz w:val="16"/>
                <w:szCs w:val="16"/>
              </w:rPr>
              <w:t>(1 325)</w:t>
            </w:r>
          </w:p>
        </w:tc>
        <w:tc>
          <w:tcPr>
            <w:tcW w:w="1606" w:type="dxa"/>
            <w:tcBorders>
              <w:top w:val="single" w:sz="6" w:space="0" w:color="auto"/>
            </w:tcBorders>
          </w:tcPr>
          <w:p w14:paraId="0BF7DCB5" w14:textId="77777777" w:rsidR="009D33A8" w:rsidRPr="007C7EF8" w:rsidRDefault="009D33A8" w:rsidP="00387417">
            <w:pPr>
              <w:spacing w:after="0"/>
              <w:rPr>
                <w:sz w:val="16"/>
                <w:szCs w:val="16"/>
              </w:rPr>
            </w:pPr>
            <w:r w:rsidRPr="007C7EF8">
              <w:rPr>
                <w:sz w:val="16"/>
                <w:szCs w:val="16"/>
              </w:rPr>
              <w:t>39</w:t>
            </w:r>
          </w:p>
        </w:tc>
        <w:tc>
          <w:tcPr>
            <w:tcW w:w="1606" w:type="dxa"/>
            <w:tcBorders>
              <w:top w:val="single" w:sz="6" w:space="0" w:color="auto"/>
            </w:tcBorders>
          </w:tcPr>
          <w:p w14:paraId="3EDABAF6" w14:textId="77777777" w:rsidR="009D33A8" w:rsidRPr="007C7EF8" w:rsidRDefault="009D33A8" w:rsidP="00387417">
            <w:pPr>
              <w:spacing w:after="0"/>
              <w:rPr>
                <w:sz w:val="16"/>
                <w:szCs w:val="16"/>
              </w:rPr>
            </w:pPr>
            <w:r w:rsidRPr="007C7EF8">
              <w:rPr>
                <w:sz w:val="16"/>
                <w:szCs w:val="16"/>
              </w:rPr>
              <w:t>(12)</w:t>
            </w:r>
          </w:p>
        </w:tc>
      </w:tr>
      <w:tr w:rsidR="009D33A8" w:rsidRPr="00E50422" w14:paraId="416B7D6C" w14:textId="77777777">
        <w:tc>
          <w:tcPr>
            <w:tcW w:w="1607" w:type="dxa"/>
          </w:tcPr>
          <w:p w14:paraId="751AAD6D" w14:textId="77777777" w:rsidR="009D33A8" w:rsidRPr="007C7EF8" w:rsidRDefault="009D33A8" w:rsidP="00387417">
            <w:pPr>
              <w:spacing w:after="0"/>
              <w:rPr>
                <w:sz w:val="16"/>
                <w:szCs w:val="16"/>
              </w:rPr>
            </w:pPr>
            <w:r w:rsidRPr="007C7EF8">
              <w:rPr>
                <w:sz w:val="16"/>
                <w:szCs w:val="16"/>
              </w:rPr>
              <w:t>20 786</w:t>
            </w:r>
          </w:p>
        </w:tc>
        <w:tc>
          <w:tcPr>
            <w:tcW w:w="1607" w:type="dxa"/>
          </w:tcPr>
          <w:p w14:paraId="1B7C3433" w14:textId="77777777" w:rsidR="009D33A8" w:rsidRPr="007C7EF8" w:rsidRDefault="009D33A8" w:rsidP="00387417">
            <w:pPr>
              <w:spacing w:after="0"/>
              <w:rPr>
                <w:sz w:val="16"/>
                <w:szCs w:val="16"/>
              </w:rPr>
            </w:pPr>
            <w:r w:rsidRPr="007C7EF8">
              <w:rPr>
                <w:sz w:val="16"/>
                <w:szCs w:val="16"/>
              </w:rPr>
              <w:t>28 556</w:t>
            </w:r>
          </w:p>
        </w:tc>
        <w:tc>
          <w:tcPr>
            <w:tcW w:w="1606" w:type="dxa"/>
          </w:tcPr>
          <w:p w14:paraId="06EB36E9" w14:textId="77777777" w:rsidR="009D33A8" w:rsidRPr="007C7EF8" w:rsidRDefault="009D33A8" w:rsidP="00387417">
            <w:pPr>
              <w:spacing w:after="0"/>
              <w:rPr>
                <w:sz w:val="16"/>
                <w:szCs w:val="16"/>
              </w:rPr>
            </w:pPr>
            <w:r w:rsidRPr="007C7EF8">
              <w:rPr>
                <w:sz w:val="16"/>
                <w:szCs w:val="16"/>
              </w:rPr>
              <w:t>(24 131)</w:t>
            </w:r>
          </w:p>
        </w:tc>
        <w:tc>
          <w:tcPr>
            <w:tcW w:w="1606" w:type="dxa"/>
          </w:tcPr>
          <w:p w14:paraId="08A64CD5" w14:textId="77777777" w:rsidR="009D33A8" w:rsidRPr="007C7EF8" w:rsidRDefault="009D33A8" w:rsidP="00387417">
            <w:pPr>
              <w:spacing w:after="0"/>
              <w:rPr>
                <w:sz w:val="16"/>
                <w:szCs w:val="16"/>
              </w:rPr>
            </w:pPr>
            <w:r w:rsidRPr="007C7EF8">
              <w:rPr>
                <w:sz w:val="16"/>
                <w:szCs w:val="16"/>
              </w:rPr>
              <w:t>(29 178)</w:t>
            </w:r>
          </w:p>
        </w:tc>
        <w:tc>
          <w:tcPr>
            <w:tcW w:w="1606" w:type="dxa"/>
          </w:tcPr>
          <w:p w14:paraId="6EDE4617" w14:textId="77777777" w:rsidR="009D33A8" w:rsidRPr="007C7EF8" w:rsidRDefault="009D33A8" w:rsidP="00387417">
            <w:pPr>
              <w:spacing w:after="0"/>
              <w:rPr>
                <w:sz w:val="16"/>
                <w:szCs w:val="16"/>
              </w:rPr>
            </w:pPr>
            <w:r w:rsidRPr="007C7EF8">
              <w:rPr>
                <w:sz w:val="16"/>
                <w:szCs w:val="16"/>
              </w:rPr>
              <w:t>21 591</w:t>
            </w:r>
          </w:p>
        </w:tc>
        <w:tc>
          <w:tcPr>
            <w:tcW w:w="1606" w:type="dxa"/>
          </w:tcPr>
          <w:p w14:paraId="6033E1D4" w14:textId="77777777" w:rsidR="009D33A8" w:rsidRPr="007C7EF8" w:rsidRDefault="009D33A8" w:rsidP="00387417">
            <w:pPr>
              <w:spacing w:after="0"/>
              <w:rPr>
                <w:sz w:val="16"/>
                <w:szCs w:val="16"/>
              </w:rPr>
            </w:pPr>
            <w:r w:rsidRPr="007C7EF8">
              <w:rPr>
                <w:sz w:val="16"/>
                <w:szCs w:val="16"/>
              </w:rPr>
              <w:t>28 784</w:t>
            </w:r>
          </w:p>
        </w:tc>
      </w:tr>
      <w:tr w:rsidR="009D33A8" w:rsidRPr="00E50422" w14:paraId="3505E8ED" w14:textId="77777777">
        <w:tc>
          <w:tcPr>
            <w:tcW w:w="1607" w:type="dxa"/>
            <w:tcBorders>
              <w:bottom w:val="single" w:sz="6" w:space="0" w:color="auto"/>
            </w:tcBorders>
          </w:tcPr>
          <w:p w14:paraId="53B7784B" w14:textId="77777777" w:rsidR="009D33A8" w:rsidRPr="007C7EF8" w:rsidRDefault="009D33A8" w:rsidP="00387417">
            <w:pPr>
              <w:spacing w:after="0"/>
              <w:rPr>
                <w:sz w:val="16"/>
                <w:szCs w:val="16"/>
              </w:rPr>
            </w:pPr>
            <w:r w:rsidRPr="007C7EF8">
              <w:rPr>
                <w:sz w:val="16"/>
                <w:szCs w:val="16"/>
              </w:rPr>
              <w:t>(197)</w:t>
            </w:r>
          </w:p>
        </w:tc>
        <w:tc>
          <w:tcPr>
            <w:tcW w:w="1607" w:type="dxa"/>
            <w:tcBorders>
              <w:bottom w:val="single" w:sz="6" w:space="0" w:color="auto"/>
            </w:tcBorders>
          </w:tcPr>
          <w:p w14:paraId="408EA9D7" w14:textId="77777777" w:rsidR="009D33A8" w:rsidRPr="007C7EF8" w:rsidRDefault="009D33A8" w:rsidP="00387417">
            <w:pPr>
              <w:spacing w:after="0"/>
              <w:rPr>
                <w:sz w:val="16"/>
                <w:szCs w:val="16"/>
              </w:rPr>
            </w:pPr>
            <w:r w:rsidRPr="007C7EF8">
              <w:rPr>
                <w:sz w:val="16"/>
                <w:szCs w:val="16"/>
              </w:rPr>
              <w:t>(28)</w:t>
            </w:r>
          </w:p>
        </w:tc>
        <w:tc>
          <w:tcPr>
            <w:tcW w:w="1606" w:type="dxa"/>
            <w:tcBorders>
              <w:bottom w:val="single" w:sz="6" w:space="0" w:color="auto"/>
            </w:tcBorders>
          </w:tcPr>
          <w:p w14:paraId="3C1679B8" w14:textId="77777777" w:rsidR="009D33A8" w:rsidRPr="007C7EF8" w:rsidRDefault="009D33A8" w:rsidP="00387417">
            <w:pPr>
              <w:spacing w:after="0"/>
              <w:rPr>
                <w:sz w:val="16"/>
                <w:szCs w:val="16"/>
              </w:rPr>
            </w:pPr>
            <w:r w:rsidRPr="007C7EF8">
              <w:rPr>
                <w:sz w:val="16"/>
                <w:szCs w:val="16"/>
              </w:rPr>
              <w:t>4 227</w:t>
            </w:r>
          </w:p>
        </w:tc>
        <w:tc>
          <w:tcPr>
            <w:tcW w:w="1606" w:type="dxa"/>
            <w:tcBorders>
              <w:bottom w:val="single" w:sz="6" w:space="0" w:color="auto"/>
            </w:tcBorders>
          </w:tcPr>
          <w:p w14:paraId="45484ECD" w14:textId="77777777" w:rsidR="009D33A8" w:rsidRPr="007C7EF8" w:rsidRDefault="009D33A8" w:rsidP="00387417">
            <w:pPr>
              <w:spacing w:after="0"/>
              <w:rPr>
                <w:sz w:val="16"/>
                <w:szCs w:val="16"/>
              </w:rPr>
            </w:pPr>
            <w:r w:rsidRPr="007C7EF8">
              <w:rPr>
                <w:sz w:val="16"/>
                <w:szCs w:val="16"/>
              </w:rPr>
              <w:t>2 631</w:t>
            </w:r>
          </w:p>
        </w:tc>
        <w:tc>
          <w:tcPr>
            <w:tcW w:w="1606" w:type="dxa"/>
            <w:tcBorders>
              <w:bottom w:val="single" w:sz="6" w:space="0" w:color="auto"/>
            </w:tcBorders>
          </w:tcPr>
          <w:p w14:paraId="0203E8D7" w14:textId="77777777" w:rsidR="009D33A8" w:rsidRPr="007C7EF8" w:rsidRDefault="009D33A8" w:rsidP="00387417">
            <w:pPr>
              <w:spacing w:after="0"/>
              <w:rPr>
                <w:sz w:val="16"/>
                <w:szCs w:val="16"/>
              </w:rPr>
            </w:pPr>
            <w:r w:rsidRPr="007C7EF8">
              <w:rPr>
                <w:sz w:val="16"/>
                <w:szCs w:val="16"/>
              </w:rPr>
              <w:t>(2 525)</w:t>
            </w:r>
          </w:p>
        </w:tc>
        <w:tc>
          <w:tcPr>
            <w:tcW w:w="1606" w:type="dxa"/>
            <w:tcBorders>
              <w:bottom w:val="single" w:sz="6" w:space="0" w:color="auto"/>
            </w:tcBorders>
          </w:tcPr>
          <w:p w14:paraId="6B0835D4" w14:textId="77777777" w:rsidR="009D33A8" w:rsidRPr="007C7EF8" w:rsidRDefault="009D33A8" w:rsidP="00387417">
            <w:pPr>
              <w:spacing w:after="0"/>
              <w:rPr>
                <w:sz w:val="16"/>
                <w:szCs w:val="16"/>
              </w:rPr>
            </w:pPr>
            <w:r w:rsidRPr="007C7EF8">
              <w:rPr>
                <w:sz w:val="16"/>
                <w:szCs w:val="16"/>
              </w:rPr>
              <w:t>(3 321)</w:t>
            </w:r>
          </w:p>
        </w:tc>
      </w:tr>
      <w:tr w:rsidR="009D33A8" w:rsidRPr="00E50422" w14:paraId="13600AA4" w14:textId="77777777">
        <w:tc>
          <w:tcPr>
            <w:tcW w:w="1607" w:type="dxa"/>
            <w:tcBorders>
              <w:top w:val="single" w:sz="6" w:space="0" w:color="auto"/>
            </w:tcBorders>
          </w:tcPr>
          <w:p w14:paraId="3EC58DA9" w14:textId="77777777" w:rsidR="009D33A8" w:rsidRPr="007C7EF8" w:rsidRDefault="009D33A8" w:rsidP="00387417">
            <w:pPr>
              <w:spacing w:after="0"/>
              <w:rPr>
                <w:sz w:val="16"/>
                <w:szCs w:val="16"/>
              </w:rPr>
            </w:pPr>
            <w:r w:rsidRPr="007C7EF8">
              <w:rPr>
                <w:sz w:val="16"/>
                <w:szCs w:val="16"/>
              </w:rPr>
              <w:t>20 589</w:t>
            </w:r>
          </w:p>
        </w:tc>
        <w:tc>
          <w:tcPr>
            <w:tcW w:w="1607" w:type="dxa"/>
            <w:tcBorders>
              <w:top w:val="single" w:sz="6" w:space="0" w:color="auto"/>
            </w:tcBorders>
          </w:tcPr>
          <w:p w14:paraId="3BD863C3" w14:textId="77777777" w:rsidR="009D33A8" w:rsidRPr="007C7EF8" w:rsidRDefault="009D33A8" w:rsidP="00387417">
            <w:pPr>
              <w:spacing w:after="0"/>
              <w:rPr>
                <w:sz w:val="16"/>
                <w:szCs w:val="16"/>
              </w:rPr>
            </w:pPr>
            <w:r w:rsidRPr="007C7EF8">
              <w:rPr>
                <w:sz w:val="16"/>
                <w:szCs w:val="16"/>
              </w:rPr>
              <w:t>28 528</w:t>
            </w:r>
          </w:p>
        </w:tc>
        <w:tc>
          <w:tcPr>
            <w:tcW w:w="1606" w:type="dxa"/>
            <w:tcBorders>
              <w:top w:val="single" w:sz="6" w:space="0" w:color="auto"/>
            </w:tcBorders>
          </w:tcPr>
          <w:p w14:paraId="777801BC" w14:textId="77777777" w:rsidR="009D33A8" w:rsidRPr="007C7EF8" w:rsidRDefault="009D33A8" w:rsidP="00387417">
            <w:pPr>
              <w:spacing w:after="0"/>
              <w:rPr>
                <w:sz w:val="16"/>
                <w:szCs w:val="16"/>
              </w:rPr>
            </w:pPr>
            <w:r w:rsidRPr="007C7EF8">
              <w:rPr>
                <w:sz w:val="16"/>
                <w:szCs w:val="16"/>
              </w:rPr>
              <w:t>(19 903)</w:t>
            </w:r>
          </w:p>
        </w:tc>
        <w:tc>
          <w:tcPr>
            <w:tcW w:w="1606" w:type="dxa"/>
            <w:tcBorders>
              <w:top w:val="single" w:sz="6" w:space="0" w:color="auto"/>
            </w:tcBorders>
          </w:tcPr>
          <w:p w14:paraId="51E77797" w14:textId="77777777" w:rsidR="009D33A8" w:rsidRPr="007C7EF8" w:rsidRDefault="009D33A8" w:rsidP="00387417">
            <w:pPr>
              <w:spacing w:after="0"/>
              <w:rPr>
                <w:sz w:val="16"/>
                <w:szCs w:val="16"/>
              </w:rPr>
            </w:pPr>
            <w:r w:rsidRPr="007C7EF8">
              <w:rPr>
                <w:sz w:val="16"/>
                <w:szCs w:val="16"/>
              </w:rPr>
              <w:t>(26 547)</w:t>
            </w:r>
          </w:p>
        </w:tc>
        <w:tc>
          <w:tcPr>
            <w:tcW w:w="1606" w:type="dxa"/>
            <w:tcBorders>
              <w:top w:val="single" w:sz="6" w:space="0" w:color="auto"/>
            </w:tcBorders>
          </w:tcPr>
          <w:p w14:paraId="37E3C415" w14:textId="77777777" w:rsidR="009D33A8" w:rsidRPr="007C7EF8" w:rsidRDefault="009D33A8" w:rsidP="00387417">
            <w:pPr>
              <w:spacing w:after="0"/>
              <w:rPr>
                <w:sz w:val="16"/>
                <w:szCs w:val="16"/>
              </w:rPr>
            </w:pPr>
            <w:r w:rsidRPr="007C7EF8">
              <w:rPr>
                <w:sz w:val="16"/>
                <w:szCs w:val="16"/>
              </w:rPr>
              <w:t>19 066</w:t>
            </w:r>
          </w:p>
        </w:tc>
        <w:tc>
          <w:tcPr>
            <w:tcW w:w="1606" w:type="dxa"/>
            <w:tcBorders>
              <w:top w:val="single" w:sz="6" w:space="0" w:color="auto"/>
            </w:tcBorders>
          </w:tcPr>
          <w:p w14:paraId="37E62682" w14:textId="77777777" w:rsidR="009D33A8" w:rsidRPr="007C7EF8" w:rsidRDefault="009D33A8" w:rsidP="00387417">
            <w:pPr>
              <w:spacing w:after="0"/>
              <w:rPr>
                <w:sz w:val="16"/>
                <w:szCs w:val="16"/>
              </w:rPr>
            </w:pPr>
            <w:r w:rsidRPr="007C7EF8">
              <w:rPr>
                <w:sz w:val="16"/>
                <w:szCs w:val="16"/>
              </w:rPr>
              <w:t>25 463</w:t>
            </w:r>
          </w:p>
        </w:tc>
      </w:tr>
      <w:tr w:rsidR="009D33A8" w:rsidRPr="00E50422" w14:paraId="472F17DE" w14:textId="77777777">
        <w:tc>
          <w:tcPr>
            <w:tcW w:w="1607" w:type="dxa"/>
          </w:tcPr>
          <w:p w14:paraId="6684FF01" w14:textId="77777777" w:rsidR="009D33A8" w:rsidRPr="007C7EF8" w:rsidRDefault="009D33A8" w:rsidP="00387417">
            <w:pPr>
              <w:spacing w:after="0"/>
              <w:rPr>
                <w:sz w:val="16"/>
                <w:szCs w:val="16"/>
              </w:rPr>
            </w:pPr>
            <w:r w:rsidRPr="007C7EF8">
              <w:rPr>
                <w:sz w:val="16"/>
                <w:szCs w:val="16"/>
              </w:rPr>
              <w:t>38</w:t>
            </w:r>
          </w:p>
        </w:tc>
        <w:tc>
          <w:tcPr>
            <w:tcW w:w="1607" w:type="dxa"/>
          </w:tcPr>
          <w:p w14:paraId="1737C9DE" w14:textId="77777777" w:rsidR="009D33A8" w:rsidRPr="007C7EF8" w:rsidRDefault="009D33A8" w:rsidP="00387417">
            <w:pPr>
              <w:spacing w:after="0"/>
              <w:rPr>
                <w:sz w:val="16"/>
                <w:szCs w:val="16"/>
              </w:rPr>
            </w:pPr>
            <w:r w:rsidRPr="007C7EF8">
              <w:rPr>
                <w:sz w:val="16"/>
                <w:szCs w:val="16"/>
              </w:rPr>
              <w:t>48</w:t>
            </w:r>
          </w:p>
        </w:tc>
        <w:tc>
          <w:tcPr>
            <w:tcW w:w="1606" w:type="dxa"/>
          </w:tcPr>
          <w:p w14:paraId="524810D4" w14:textId="77777777" w:rsidR="009D33A8" w:rsidRPr="007C7EF8" w:rsidRDefault="009D33A8" w:rsidP="00387417">
            <w:pPr>
              <w:spacing w:after="0"/>
              <w:rPr>
                <w:sz w:val="16"/>
                <w:szCs w:val="16"/>
              </w:rPr>
            </w:pPr>
            <w:r w:rsidRPr="007C7EF8">
              <w:rPr>
                <w:sz w:val="16"/>
                <w:szCs w:val="16"/>
              </w:rPr>
              <w:t>(32)</w:t>
            </w:r>
          </w:p>
        </w:tc>
        <w:tc>
          <w:tcPr>
            <w:tcW w:w="1606" w:type="dxa"/>
          </w:tcPr>
          <w:p w14:paraId="31BA8449" w14:textId="77777777" w:rsidR="009D33A8" w:rsidRPr="007C7EF8" w:rsidRDefault="009D33A8" w:rsidP="00387417">
            <w:pPr>
              <w:spacing w:after="0"/>
              <w:rPr>
                <w:sz w:val="16"/>
                <w:szCs w:val="16"/>
              </w:rPr>
            </w:pPr>
            <w:r w:rsidRPr="007C7EF8">
              <w:rPr>
                <w:sz w:val="16"/>
                <w:szCs w:val="16"/>
              </w:rPr>
              <w:t>(13)</w:t>
            </w:r>
          </w:p>
        </w:tc>
        <w:tc>
          <w:tcPr>
            <w:tcW w:w="1606" w:type="dxa"/>
          </w:tcPr>
          <w:p w14:paraId="5B71B43E" w14:textId="77777777" w:rsidR="009D33A8" w:rsidRPr="007C7EF8" w:rsidRDefault="009D33A8" w:rsidP="00387417">
            <w:pPr>
              <w:spacing w:after="0"/>
              <w:rPr>
                <w:sz w:val="16"/>
                <w:szCs w:val="16"/>
              </w:rPr>
            </w:pPr>
            <w:r w:rsidRPr="007C7EF8">
              <w:rPr>
                <w:sz w:val="16"/>
                <w:szCs w:val="16"/>
              </w:rPr>
              <w:t>2 304</w:t>
            </w:r>
          </w:p>
        </w:tc>
        <w:tc>
          <w:tcPr>
            <w:tcW w:w="1606" w:type="dxa"/>
          </w:tcPr>
          <w:p w14:paraId="341C928E" w14:textId="77777777" w:rsidR="009D33A8" w:rsidRPr="007C7EF8" w:rsidRDefault="009D33A8" w:rsidP="00387417">
            <w:pPr>
              <w:spacing w:after="0"/>
              <w:rPr>
                <w:sz w:val="16"/>
                <w:szCs w:val="16"/>
              </w:rPr>
            </w:pPr>
            <w:r w:rsidRPr="007C7EF8">
              <w:rPr>
                <w:sz w:val="16"/>
                <w:szCs w:val="16"/>
              </w:rPr>
              <w:t>2 762</w:t>
            </w:r>
          </w:p>
        </w:tc>
      </w:tr>
      <w:tr w:rsidR="009D33A8" w:rsidRPr="00E50422" w14:paraId="63BA136A" w14:textId="77777777">
        <w:tc>
          <w:tcPr>
            <w:tcW w:w="1607" w:type="dxa"/>
            <w:tcBorders>
              <w:bottom w:val="single" w:sz="6" w:space="0" w:color="auto"/>
            </w:tcBorders>
          </w:tcPr>
          <w:p w14:paraId="74B38805" w14:textId="77777777" w:rsidR="009D33A8" w:rsidRPr="007C7EF8" w:rsidRDefault="009D33A8" w:rsidP="00387417">
            <w:pPr>
              <w:spacing w:after="0"/>
              <w:rPr>
                <w:sz w:val="16"/>
                <w:szCs w:val="16"/>
              </w:rPr>
            </w:pPr>
            <w:r w:rsidRPr="007C7EF8">
              <w:rPr>
                <w:sz w:val="16"/>
                <w:szCs w:val="16"/>
              </w:rPr>
              <w:t>..</w:t>
            </w:r>
          </w:p>
        </w:tc>
        <w:tc>
          <w:tcPr>
            <w:tcW w:w="1607" w:type="dxa"/>
            <w:tcBorders>
              <w:bottom w:val="single" w:sz="6" w:space="0" w:color="auto"/>
            </w:tcBorders>
          </w:tcPr>
          <w:p w14:paraId="267628FF" w14:textId="77777777" w:rsidR="009D33A8" w:rsidRPr="007C7EF8" w:rsidRDefault="009D33A8" w:rsidP="00387417">
            <w:pPr>
              <w:spacing w:after="0"/>
              <w:rPr>
                <w:sz w:val="16"/>
                <w:szCs w:val="16"/>
              </w:rPr>
            </w:pPr>
            <w:r w:rsidRPr="007C7EF8">
              <w:rPr>
                <w:sz w:val="16"/>
                <w:szCs w:val="16"/>
              </w:rPr>
              <w:t>(11)</w:t>
            </w:r>
          </w:p>
        </w:tc>
        <w:tc>
          <w:tcPr>
            <w:tcW w:w="1606" w:type="dxa"/>
            <w:tcBorders>
              <w:bottom w:val="single" w:sz="6" w:space="0" w:color="auto"/>
            </w:tcBorders>
          </w:tcPr>
          <w:p w14:paraId="1E0F77CF" w14:textId="77777777" w:rsidR="009D33A8" w:rsidRPr="007C7EF8" w:rsidRDefault="009D33A8" w:rsidP="00387417">
            <w:pPr>
              <w:spacing w:after="0"/>
              <w:rPr>
                <w:sz w:val="16"/>
                <w:szCs w:val="16"/>
              </w:rPr>
            </w:pPr>
            <w:r w:rsidRPr="007C7EF8">
              <w:rPr>
                <w:sz w:val="16"/>
                <w:szCs w:val="16"/>
              </w:rPr>
              <w:t>4</w:t>
            </w:r>
          </w:p>
        </w:tc>
        <w:tc>
          <w:tcPr>
            <w:tcW w:w="1606" w:type="dxa"/>
            <w:tcBorders>
              <w:bottom w:val="single" w:sz="6" w:space="0" w:color="auto"/>
            </w:tcBorders>
          </w:tcPr>
          <w:p w14:paraId="52740A61" w14:textId="77777777" w:rsidR="009D33A8" w:rsidRPr="007C7EF8" w:rsidRDefault="009D33A8" w:rsidP="00387417">
            <w:pPr>
              <w:spacing w:after="0"/>
              <w:rPr>
                <w:sz w:val="16"/>
                <w:szCs w:val="16"/>
              </w:rPr>
            </w:pPr>
            <w:r w:rsidRPr="007C7EF8">
              <w:rPr>
                <w:sz w:val="16"/>
                <w:szCs w:val="16"/>
              </w:rPr>
              <w:t>12</w:t>
            </w:r>
          </w:p>
        </w:tc>
        <w:tc>
          <w:tcPr>
            <w:tcW w:w="1606" w:type="dxa"/>
            <w:tcBorders>
              <w:bottom w:val="single" w:sz="6" w:space="0" w:color="auto"/>
            </w:tcBorders>
          </w:tcPr>
          <w:p w14:paraId="48BEFE55" w14:textId="77777777" w:rsidR="009D33A8" w:rsidRPr="007C7EF8" w:rsidRDefault="009D33A8" w:rsidP="00387417">
            <w:pPr>
              <w:spacing w:after="0"/>
              <w:rPr>
                <w:sz w:val="16"/>
                <w:szCs w:val="16"/>
              </w:rPr>
            </w:pPr>
            <w:r w:rsidRPr="007C7EF8">
              <w:rPr>
                <w:sz w:val="16"/>
                <w:szCs w:val="16"/>
              </w:rPr>
              <w:t>(2 232)</w:t>
            </w:r>
          </w:p>
        </w:tc>
        <w:tc>
          <w:tcPr>
            <w:tcW w:w="1606" w:type="dxa"/>
            <w:tcBorders>
              <w:bottom w:val="single" w:sz="6" w:space="0" w:color="auto"/>
            </w:tcBorders>
          </w:tcPr>
          <w:p w14:paraId="622FED93" w14:textId="77777777" w:rsidR="009D33A8" w:rsidRPr="007C7EF8" w:rsidRDefault="009D33A8" w:rsidP="00387417">
            <w:pPr>
              <w:spacing w:after="0"/>
              <w:rPr>
                <w:sz w:val="16"/>
                <w:szCs w:val="16"/>
              </w:rPr>
            </w:pPr>
            <w:r w:rsidRPr="007C7EF8">
              <w:rPr>
                <w:sz w:val="16"/>
                <w:szCs w:val="16"/>
              </w:rPr>
              <w:t>(2 590)</w:t>
            </w:r>
          </w:p>
        </w:tc>
      </w:tr>
      <w:tr w:rsidR="009D33A8" w:rsidRPr="00E50422" w14:paraId="049EA407" w14:textId="77777777">
        <w:tc>
          <w:tcPr>
            <w:tcW w:w="1607" w:type="dxa"/>
            <w:tcBorders>
              <w:top w:val="single" w:sz="6" w:space="0" w:color="auto"/>
            </w:tcBorders>
          </w:tcPr>
          <w:p w14:paraId="7487C2BD" w14:textId="77777777" w:rsidR="009D33A8" w:rsidRPr="007C7EF8" w:rsidRDefault="009D33A8" w:rsidP="00387417">
            <w:pPr>
              <w:spacing w:after="0"/>
              <w:rPr>
                <w:sz w:val="16"/>
                <w:szCs w:val="16"/>
              </w:rPr>
            </w:pPr>
            <w:r w:rsidRPr="007C7EF8">
              <w:rPr>
                <w:sz w:val="16"/>
                <w:szCs w:val="16"/>
              </w:rPr>
              <w:t>38</w:t>
            </w:r>
          </w:p>
        </w:tc>
        <w:tc>
          <w:tcPr>
            <w:tcW w:w="1607" w:type="dxa"/>
            <w:tcBorders>
              <w:top w:val="single" w:sz="6" w:space="0" w:color="auto"/>
            </w:tcBorders>
          </w:tcPr>
          <w:p w14:paraId="1746C8D2" w14:textId="77777777" w:rsidR="009D33A8" w:rsidRPr="007C7EF8" w:rsidRDefault="009D33A8" w:rsidP="00387417">
            <w:pPr>
              <w:spacing w:after="0"/>
              <w:rPr>
                <w:sz w:val="16"/>
                <w:szCs w:val="16"/>
              </w:rPr>
            </w:pPr>
            <w:r w:rsidRPr="007C7EF8">
              <w:rPr>
                <w:sz w:val="16"/>
                <w:szCs w:val="16"/>
              </w:rPr>
              <w:t>37</w:t>
            </w:r>
          </w:p>
        </w:tc>
        <w:tc>
          <w:tcPr>
            <w:tcW w:w="1606" w:type="dxa"/>
            <w:tcBorders>
              <w:top w:val="single" w:sz="6" w:space="0" w:color="auto"/>
            </w:tcBorders>
          </w:tcPr>
          <w:p w14:paraId="1192D305" w14:textId="77777777" w:rsidR="009D33A8" w:rsidRPr="007C7EF8" w:rsidRDefault="009D33A8" w:rsidP="00387417">
            <w:pPr>
              <w:spacing w:after="0"/>
              <w:rPr>
                <w:sz w:val="16"/>
                <w:szCs w:val="16"/>
              </w:rPr>
            </w:pPr>
            <w:r w:rsidRPr="007C7EF8">
              <w:rPr>
                <w:sz w:val="16"/>
                <w:szCs w:val="16"/>
              </w:rPr>
              <w:t>(28)</w:t>
            </w:r>
          </w:p>
        </w:tc>
        <w:tc>
          <w:tcPr>
            <w:tcW w:w="1606" w:type="dxa"/>
            <w:tcBorders>
              <w:top w:val="single" w:sz="6" w:space="0" w:color="auto"/>
            </w:tcBorders>
          </w:tcPr>
          <w:p w14:paraId="48B6192B" w14:textId="77777777" w:rsidR="009D33A8" w:rsidRPr="007C7EF8" w:rsidRDefault="009D33A8" w:rsidP="00387417">
            <w:pPr>
              <w:spacing w:after="0"/>
              <w:rPr>
                <w:sz w:val="16"/>
                <w:szCs w:val="16"/>
              </w:rPr>
            </w:pPr>
            <w:r w:rsidRPr="007C7EF8">
              <w:rPr>
                <w:sz w:val="16"/>
                <w:szCs w:val="16"/>
              </w:rPr>
              <w:t>(1)</w:t>
            </w:r>
          </w:p>
        </w:tc>
        <w:tc>
          <w:tcPr>
            <w:tcW w:w="1606" w:type="dxa"/>
            <w:tcBorders>
              <w:top w:val="single" w:sz="6" w:space="0" w:color="auto"/>
            </w:tcBorders>
          </w:tcPr>
          <w:p w14:paraId="0CF062DC" w14:textId="77777777" w:rsidR="009D33A8" w:rsidRPr="007C7EF8" w:rsidRDefault="009D33A8" w:rsidP="00387417">
            <w:pPr>
              <w:spacing w:after="0"/>
              <w:rPr>
                <w:sz w:val="16"/>
                <w:szCs w:val="16"/>
              </w:rPr>
            </w:pPr>
            <w:r w:rsidRPr="007C7EF8">
              <w:rPr>
                <w:sz w:val="16"/>
                <w:szCs w:val="16"/>
              </w:rPr>
              <w:t>72</w:t>
            </w:r>
          </w:p>
        </w:tc>
        <w:tc>
          <w:tcPr>
            <w:tcW w:w="1606" w:type="dxa"/>
            <w:tcBorders>
              <w:top w:val="single" w:sz="6" w:space="0" w:color="auto"/>
            </w:tcBorders>
          </w:tcPr>
          <w:p w14:paraId="7D0D5C66" w14:textId="77777777" w:rsidR="009D33A8" w:rsidRPr="007C7EF8" w:rsidRDefault="009D33A8" w:rsidP="00387417">
            <w:pPr>
              <w:spacing w:after="0"/>
              <w:rPr>
                <w:sz w:val="16"/>
                <w:szCs w:val="16"/>
              </w:rPr>
            </w:pPr>
            <w:r w:rsidRPr="007C7EF8">
              <w:rPr>
                <w:sz w:val="16"/>
                <w:szCs w:val="16"/>
              </w:rPr>
              <w:t>173</w:t>
            </w:r>
          </w:p>
        </w:tc>
      </w:tr>
      <w:tr w:rsidR="009D33A8" w:rsidRPr="00E50422" w14:paraId="72E3CDA8" w14:textId="77777777">
        <w:tc>
          <w:tcPr>
            <w:tcW w:w="1607" w:type="dxa"/>
          </w:tcPr>
          <w:p w14:paraId="55075478" w14:textId="77777777" w:rsidR="009D33A8" w:rsidRPr="007C7EF8" w:rsidRDefault="009D33A8" w:rsidP="00387417">
            <w:pPr>
              <w:spacing w:after="0"/>
              <w:rPr>
                <w:sz w:val="16"/>
                <w:szCs w:val="16"/>
              </w:rPr>
            </w:pPr>
            <w:r w:rsidRPr="007C7EF8">
              <w:rPr>
                <w:sz w:val="16"/>
                <w:szCs w:val="16"/>
              </w:rPr>
              <w:t>75</w:t>
            </w:r>
          </w:p>
        </w:tc>
        <w:tc>
          <w:tcPr>
            <w:tcW w:w="1607" w:type="dxa"/>
          </w:tcPr>
          <w:p w14:paraId="154054B7" w14:textId="77777777" w:rsidR="009D33A8" w:rsidRPr="007C7EF8" w:rsidRDefault="009D33A8" w:rsidP="00387417">
            <w:pPr>
              <w:spacing w:after="0"/>
              <w:rPr>
                <w:sz w:val="16"/>
                <w:szCs w:val="16"/>
              </w:rPr>
            </w:pPr>
            <w:r w:rsidRPr="007C7EF8">
              <w:rPr>
                <w:sz w:val="16"/>
                <w:szCs w:val="16"/>
              </w:rPr>
              <w:t>175</w:t>
            </w:r>
          </w:p>
        </w:tc>
        <w:tc>
          <w:tcPr>
            <w:tcW w:w="1606" w:type="dxa"/>
          </w:tcPr>
          <w:p w14:paraId="5FFEB124" w14:textId="77777777" w:rsidR="009D33A8" w:rsidRPr="007C7EF8" w:rsidRDefault="009D33A8" w:rsidP="00387417">
            <w:pPr>
              <w:spacing w:after="0"/>
              <w:rPr>
                <w:sz w:val="16"/>
                <w:szCs w:val="16"/>
              </w:rPr>
            </w:pPr>
            <w:r w:rsidRPr="007C7EF8">
              <w:rPr>
                <w:sz w:val="16"/>
                <w:szCs w:val="16"/>
              </w:rPr>
              <w:t>(3 778)</w:t>
            </w:r>
          </w:p>
        </w:tc>
        <w:tc>
          <w:tcPr>
            <w:tcW w:w="1606" w:type="dxa"/>
          </w:tcPr>
          <w:p w14:paraId="48DEA8EA" w14:textId="77777777" w:rsidR="009D33A8" w:rsidRPr="007C7EF8" w:rsidRDefault="009D33A8" w:rsidP="00387417">
            <w:pPr>
              <w:spacing w:after="0"/>
              <w:rPr>
                <w:sz w:val="16"/>
                <w:szCs w:val="16"/>
              </w:rPr>
            </w:pPr>
            <w:r w:rsidRPr="007C7EF8">
              <w:rPr>
                <w:sz w:val="16"/>
                <w:szCs w:val="16"/>
              </w:rPr>
              <w:t>(1 636)</w:t>
            </w:r>
          </w:p>
        </w:tc>
        <w:tc>
          <w:tcPr>
            <w:tcW w:w="1606" w:type="dxa"/>
          </w:tcPr>
          <w:p w14:paraId="2102F5FF" w14:textId="77777777" w:rsidR="009D33A8" w:rsidRPr="007C7EF8" w:rsidRDefault="009D33A8" w:rsidP="00387417">
            <w:pPr>
              <w:spacing w:after="0"/>
              <w:rPr>
                <w:sz w:val="16"/>
                <w:szCs w:val="16"/>
              </w:rPr>
            </w:pPr>
            <w:r w:rsidRPr="007C7EF8">
              <w:rPr>
                <w:sz w:val="16"/>
                <w:szCs w:val="16"/>
              </w:rPr>
              <w:t>..</w:t>
            </w:r>
          </w:p>
        </w:tc>
        <w:tc>
          <w:tcPr>
            <w:tcW w:w="1606" w:type="dxa"/>
          </w:tcPr>
          <w:p w14:paraId="09A3FB13" w14:textId="77777777" w:rsidR="009D33A8" w:rsidRPr="007C7EF8" w:rsidRDefault="009D33A8" w:rsidP="00387417">
            <w:pPr>
              <w:spacing w:after="0"/>
              <w:rPr>
                <w:sz w:val="16"/>
                <w:szCs w:val="16"/>
              </w:rPr>
            </w:pPr>
            <w:r w:rsidRPr="007C7EF8">
              <w:rPr>
                <w:sz w:val="16"/>
                <w:szCs w:val="16"/>
              </w:rPr>
              <w:t>..</w:t>
            </w:r>
          </w:p>
        </w:tc>
      </w:tr>
      <w:tr w:rsidR="009D33A8" w:rsidRPr="00E50422" w14:paraId="694D32A2" w14:textId="77777777">
        <w:tc>
          <w:tcPr>
            <w:tcW w:w="1607" w:type="dxa"/>
            <w:tcBorders>
              <w:bottom w:val="single" w:sz="6" w:space="0" w:color="auto"/>
            </w:tcBorders>
          </w:tcPr>
          <w:p w14:paraId="2855AA5B" w14:textId="77777777" w:rsidR="009D33A8" w:rsidRPr="007C7EF8" w:rsidRDefault="009D33A8" w:rsidP="00387417">
            <w:pPr>
              <w:spacing w:after="0"/>
              <w:rPr>
                <w:sz w:val="16"/>
                <w:szCs w:val="16"/>
              </w:rPr>
            </w:pPr>
            <w:r w:rsidRPr="007C7EF8">
              <w:rPr>
                <w:sz w:val="16"/>
                <w:szCs w:val="16"/>
              </w:rPr>
              <w:t>(877)</w:t>
            </w:r>
          </w:p>
        </w:tc>
        <w:tc>
          <w:tcPr>
            <w:tcW w:w="1607" w:type="dxa"/>
            <w:tcBorders>
              <w:bottom w:val="single" w:sz="6" w:space="0" w:color="auto"/>
            </w:tcBorders>
          </w:tcPr>
          <w:p w14:paraId="79753681" w14:textId="77777777" w:rsidR="009D33A8" w:rsidRPr="007C7EF8" w:rsidRDefault="009D33A8" w:rsidP="00387417">
            <w:pPr>
              <w:spacing w:after="0"/>
              <w:rPr>
                <w:sz w:val="16"/>
                <w:szCs w:val="16"/>
              </w:rPr>
            </w:pPr>
            <w:r w:rsidRPr="007C7EF8">
              <w:rPr>
                <w:sz w:val="16"/>
                <w:szCs w:val="16"/>
              </w:rPr>
              <w:t>(1 232)</w:t>
            </w:r>
          </w:p>
        </w:tc>
        <w:tc>
          <w:tcPr>
            <w:tcW w:w="1606" w:type="dxa"/>
            <w:tcBorders>
              <w:bottom w:val="single" w:sz="6" w:space="0" w:color="auto"/>
            </w:tcBorders>
          </w:tcPr>
          <w:p w14:paraId="20B8DDB7" w14:textId="77777777" w:rsidR="009D33A8" w:rsidRPr="007C7EF8" w:rsidRDefault="009D33A8" w:rsidP="00387417">
            <w:pPr>
              <w:spacing w:after="0"/>
              <w:rPr>
                <w:sz w:val="16"/>
                <w:szCs w:val="16"/>
              </w:rPr>
            </w:pPr>
            <w:r w:rsidRPr="007C7EF8">
              <w:rPr>
                <w:sz w:val="16"/>
                <w:szCs w:val="16"/>
              </w:rPr>
              <w:t>978</w:t>
            </w:r>
          </w:p>
        </w:tc>
        <w:tc>
          <w:tcPr>
            <w:tcW w:w="1606" w:type="dxa"/>
            <w:tcBorders>
              <w:bottom w:val="single" w:sz="6" w:space="0" w:color="auto"/>
            </w:tcBorders>
          </w:tcPr>
          <w:p w14:paraId="6F1E69DA" w14:textId="77777777" w:rsidR="009D33A8" w:rsidRPr="007C7EF8" w:rsidRDefault="009D33A8" w:rsidP="00387417">
            <w:pPr>
              <w:spacing w:after="0"/>
              <w:rPr>
                <w:sz w:val="16"/>
                <w:szCs w:val="16"/>
              </w:rPr>
            </w:pPr>
            <w:r w:rsidRPr="007C7EF8">
              <w:rPr>
                <w:sz w:val="16"/>
                <w:szCs w:val="16"/>
              </w:rPr>
              <w:t>1 907</w:t>
            </w:r>
          </w:p>
        </w:tc>
        <w:tc>
          <w:tcPr>
            <w:tcW w:w="1606" w:type="dxa"/>
            <w:tcBorders>
              <w:bottom w:val="single" w:sz="6" w:space="0" w:color="auto"/>
            </w:tcBorders>
          </w:tcPr>
          <w:p w14:paraId="7CCFCF1F" w14:textId="77777777" w:rsidR="009D33A8" w:rsidRPr="007C7EF8" w:rsidRDefault="009D33A8" w:rsidP="00387417">
            <w:pPr>
              <w:spacing w:after="0"/>
              <w:rPr>
                <w:sz w:val="16"/>
                <w:szCs w:val="16"/>
              </w:rPr>
            </w:pPr>
            <w:r w:rsidRPr="007C7EF8">
              <w:rPr>
                <w:sz w:val="16"/>
                <w:szCs w:val="16"/>
              </w:rPr>
              <w:t>..</w:t>
            </w:r>
          </w:p>
        </w:tc>
        <w:tc>
          <w:tcPr>
            <w:tcW w:w="1606" w:type="dxa"/>
            <w:tcBorders>
              <w:bottom w:val="single" w:sz="6" w:space="0" w:color="auto"/>
            </w:tcBorders>
          </w:tcPr>
          <w:p w14:paraId="4B49CD13" w14:textId="77777777" w:rsidR="009D33A8" w:rsidRPr="007C7EF8" w:rsidRDefault="009D33A8" w:rsidP="00387417">
            <w:pPr>
              <w:spacing w:after="0"/>
              <w:rPr>
                <w:sz w:val="16"/>
                <w:szCs w:val="16"/>
              </w:rPr>
            </w:pPr>
            <w:r w:rsidRPr="007C7EF8">
              <w:rPr>
                <w:sz w:val="16"/>
                <w:szCs w:val="16"/>
              </w:rPr>
              <w:t>..</w:t>
            </w:r>
          </w:p>
        </w:tc>
      </w:tr>
      <w:tr w:rsidR="009D33A8" w:rsidRPr="00E50422" w14:paraId="14668AEC" w14:textId="77777777">
        <w:tc>
          <w:tcPr>
            <w:tcW w:w="1607" w:type="dxa"/>
            <w:tcBorders>
              <w:top w:val="single" w:sz="6" w:space="0" w:color="auto"/>
              <w:bottom w:val="single" w:sz="6" w:space="0" w:color="auto"/>
            </w:tcBorders>
          </w:tcPr>
          <w:p w14:paraId="519C5DCC" w14:textId="77777777" w:rsidR="009D33A8" w:rsidRPr="007C7EF8" w:rsidRDefault="009D33A8" w:rsidP="00387417">
            <w:pPr>
              <w:spacing w:after="0"/>
              <w:rPr>
                <w:sz w:val="16"/>
                <w:szCs w:val="16"/>
              </w:rPr>
            </w:pPr>
            <w:r w:rsidRPr="007C7EF8">
              <w:rPr>
                <w:sz w:val="16"/>
                <w:szCs w:val="16"/>
              </w:rPr>
              <w:t>(801)</w:t>
            </w:r>
          </w:p>
        </w:tc>
        <w:tc>
          <w:tcPr>
            <w:tcW w:w="1607" w:type="dxa"/>
            <w:tcBorders>
              <w:top w:val="single" w:sz="6" w:space="0" w:color="auto"/>
              <w:bottom w:val="single" w:sz="6" w:space="0" w:color="auto"/>
            </w:tcBorders>
          </w:tcPr>
          <w:p w14:paraId="76C738FE" w14:textId="77777777" w:rsidR="009D33A8" w:rsidRPr="007C7EF8" w:rsidRDefault="009D33A8" w:rsidP="00387417">
            <w:pPr>
              <w:spacing w:after="0"/>
              <w:rPr>
                <w:sz w:val="16"/>
                <w:szCs w:val="16"/>
              </w:rPr>
            </w:pPr>
            <w:r w:rsidRPr="007C7EF8">
              <w:rPr>
                <w:sz w:val="16"/>
                <w:szCs w:val="16"/>
              </w:rPr>
              <w:t>(1 057)</w:t>
            </w:r>
          </w:p>
        </w:tc>
        <w:tc>
          <w:tcPr>
            <w:tcW w:w="1606" w:type="dxa"/>
            <w:tcBorders>
              <w:top w:val="single" w:sz="6" w:space="0" w:color="auto"/>
              <w:bottom w:val="single" w:sz="6" w:space="0" w:color="auto"/>
            </w:tcBorders>
          </w:tcPr>
          <w:p w14:paraId="53E258F7" w14:textId="77777777" w:rsidR="009D33A8" w:rsidRPr="007C7EF8" w:rsidRDefault="009D33A8" w:rsidP="00387417">
            <w:pPr>
              <w:spacing w:after="0"/>
              <w:rPr>
                <w:sz w:val="16"/>
                <w:szCs w:val="16"/>
              </w:rPr>
            </w:pPr>
            <w:r w:rsidRPr="007C7EF8">
              <w:rPr>
                <w:sz w:val="16"/>
                <w:szCs w:val="16"/>
              </w:rPr>
              <w:t>(2 800)</w:t>
            </w:r>
          </w:p>
        </w:tc>
        <w:tc>
          <w:tcPr>
            <w:tcW w:w="1606" w:type="dxa"/>
            <w:tcBorders>
              <w:top w:val="single" w:sz="6" w:space="0" w:color="auto"/>
              <w:bottom w:val="single" w:sz="6" w:space="0" w:color="auto"/>
            </w:tcBorders>
          </w:tcPr>
          <w:p w14:paraId="2D7BDCC4" w14:textId="77777777" w:rsidR="009D33A8" w:rsidRPr="007C7EF8" w:rsidRDefault="009D33A8" w:rsidP="00387417">
            <w:pPr>
              <w:spacing w:after="0"/>
              <w:rPr>
                <w:sz w:val="16"/>
                <w:szCs w:val="16"/>
              </w:rPr>
            </w:pPr>
            <w:r w:rsidRPr="007C7EF8">
              <w:rPr>
                <w:sz w:val="16"/>
                <w:szCs w:val="16"/>
              </w:rPr>
              <w:t>271</w:t>
            </w:r>
          </w:p>
        </w:tc>
        <w:tc>
          <w:tcPr>
            <w:tcW w:w="1606" w:type="dxa"/>
            <w:tcBorders>
              <w:top w:val="single" w:sz="6" w:space="0" w:color="auto"/>
              <w:bottom w:val="single" w:sz="6" w:space="0" w:color="auto"/>
            </w:tcBorders>
          </w:tcPr>
          <w:p w14:paraId="03D1074D" w14:textId="77777777" w:rsidR="009D33A8" w:rsidRPr="007C7EF8" w:rsidRDefault="009D33A8" w:rsidP="00387417">
            <w:pPr>
              <w:spacing w:after="0"/>
              <w:rPr>
                <w:sz w:val="16"/>
                <w:szCs w:val="16"/>
              </w:rPr>
            </w:pPr>
            <w:r w:rsidRPr="007C7EF8">
              <w:rPr>
                <w:sz w:val="16"/>
                <w:szCs w:val="16"/>
              </w:rPr>
              <w:t>..</w:t>
            </w:r>
          </w:p>
        </w:tc>
        <w:tc>
          <w:tcPr>
            <w:tcW w:w="1606" w:type="dxa"/>
            <w:tcBorders>
              <w:top w:val="single" w:sz="6" w:space="0" w:color="auto"/>
              <w:bottom w:val="single" w:sz="6" w:space="0" w:color="auto"/>
            </w:tcBorders>
          </w:tcPr>
          <w:p w14:paraId="0511BC04" w14:textId="77777777" w:rsidR="009D33A8" w:rsidRPr="007C7EF8" w:rsidRDefault="009D33A8" w:rsidP="00387417">
            <w:pPr>
              <w:spacing w:after="0"/>
              <w:rPr>
                <w:sz w:val="16"/>
                <w:szCs w:val="16"/>
              </w:rPr>
            </w:pPr>
            <w:r w:rsidRPr="007C7EF8">
              <w:rPr>
                <w:sz w:val="16"/>
                <w:szCs w:val="16"/>
              </w:rPr>
              <w:t>..</w:t>
            </w:r>
          </w:p>
        </w:tc>
      </w:tr>
      <w:tr w:rsidR="009D33A8" w:rsidRPr="00E50422" w14:paraId="7018DA4E" w14:textId="77777777">
        <w:tc>
          <w:tcPr>
            <w:tcW w:w="1607" w:type="dxa"/>
            <w:tcBorders>
              <w:top w:val="single" w:sz="6" w:space="0" w:color="auto"/>
              <w:bottom w:val="single" w:sz="6" w:space="0" w:color="auto"/>
            </w:tcBorders>
          </w:tcPr>
          <w:p w14:paraId="3CEC2C51" w14:textId="77777777" w:rsidR="009D33A8" w:rsidRPr="007C7EF8" w:rsidRDefault="009D33A8" w:rsidP="00387417">
            <w:pPr>
              <w:spacing w:after="0"/>
              <w:rPr>
                <w:sz w:val="16"/>
                <w:szCs w:val="16"/>
              </w:rPr>
            </w:pPr>
            <w:r w:rsidRPr="007C7EF8">
              <w:rPr>
                <w:b/>
                <w:sz w:val="16"/>
                <w:szCs w:val="16"/>
              </w:rPr>
              <w:t>19 842</w:t>
            </w:r>
          </w:p>
        </w:tc>
        <w:tc>
          <w:tcPr>
            <w:tcW w:w="1607" w:type="dxa"/>
            <w:tcBorders>
              <w:top w:val="single" w:sz="6" w:space="0" w:color="auto"/>
              <w:bottom w:val="single" w:sz="6" w:space="0" w:color="auto"/>
            </w:tcBorders>
          </w:tcPr>
          <w:p w14:paraId="4B6CFC30" w14:textId="77777777" w:rsidR="009D33A8" w:rsidRPr="007C7EF8" w:rsidRDefault="009D33A8" w:rsidP="00387417">
            <w:pPr>
              <w:spacing w:after="0"/>
              <w:rPr>
                <w:sz w:val="16"/>
                <w:szCs w:val="16"/>
              </w:rPr>
            </w:pPr>
            <w:r w:rsidRPr="007C7EF8">
              <w:rPr>
                <w:b/>
                <w:sz w:val="16"/>
                <w:szCs w:val="16"/>
              </w:rPr>
              <w:t>27 475</w:t>
            </w:r>
          </w:p>
        </w:tc>
        <w:tc>
          <w:tcPr>
            <w:tcW w:w="1606" w:type="dxa"/>
            <w:tcBorders>
              <w:top w:val="single" w:sz="6" w:space="0" w:color="auto"/>
              <w:bottom w:val="single" w:sz="6" w:space="0" w:color="auto"/>
            </w:tcBorders>
          </w:tcPr>
          <w:p w14:paraId="2F139255" w14:textId="77777777" w:rsidR="009D33A8" w:rsidRPr="007C7EF8" w:rsidRDefault="009D33A8" w:rsidP="00387417">
            <w:pPr>
              <w:spacing w:after="0"/>
              <w:rPr>
                <w:sz w:val="16"/>
                <w:szCs w:val="16"/>
              </w:rPr>
            </w:pPr>
            <w:r w:rsidRPr="007C7EF8">
              <w:rPr>
                <w:b/>
                <w:sz w:val="16"/>
                <w:szCs w:val="16"/>
              </w:rPr>
              <w:t>(22 838)</w:t>
            </w:r>
          </w:p>
        </w:tc>
        <w:tc>
          <w:tcPr>
            <w:tcW w:w="1606" w:type="dxa"/>
            <w:tcBorders>
              <w:top w:val="single" w:sz="6" w:space="0" w:color="auto"/>
              <w:bottom w:val="single" w:sz="6" w:space="0" w:color="auto"/>
            </w:tcBorders>
          </w:tcPr>
          <w:p w14:paraId="1CE19901" w14:textId="77777777" w:rsidR="009D33A8" w:rsidRPr="007C7EF8" w:rsidRDefault="009D33A8" w:rsidP="00387417">
            <w:pPr>
              <w:spacing w:after="0"/>
              <w:rPr>
                <w:sz w:val="16"/>
                <w:szCs w:val="16"/>
              </w:rPr>
            </w:pPr>
            <w:r w:rsidRPr="007C7EF8">
              <w:rPr>
                <w:b/>
                <w:sz w:val="16"/>
                <w:szCs w:val="16"/>
              </w:rPr>
              <w:t>(27 601)</w:t>
            </w:r>
          </w:p>
        </w:tc>
        <w:tc>
          <w:tcPr>
            <w:tcW w:w="1606" w:type="dxa"/>
            <w:tcBorders>
              <w:top w:val="single" w:sz="6" w:space="0" w:color="auto"/>
              <w:bottom w:val="single" w:sz="6" w:space="0" w:color="auto"/>
            </w:tcBorders>
          </w:tcPr>
          <w:p w14:paraId="15B771D7" w14:textId="77777777" w:rsidR="009D33A8" w:rsidRPr="007C7EF8" w:rsidRDefault="009D33A8" w:rsidP="00387417">
            <w:pPr>
              <w:spacing w:after="0"/>
              <w:rPr>
                <w:sz w:val="16"/>
                <w:szCs w:val="16"/>
              </w:rPr>
            </w:pPr>
            <w:r w:rsidRPr="007C7EF8">
              <w:rPr>
                <w:b/>
                <w:sz w:val="16"/>
                <w:szCs w:val="16"/>
              </w:rPr>
              <w:t>19 177</w:t>
            </w:r>
          </w:p>
        </w:tc>
        <w:tc>
          <w:tcPr>
            <w:tcW w:w="1606" w:type="dxa"/>
            <w:tcBorders>
              <w:top w:val="single" w:sz="6" w:space="0" w:color="auto"/>
              <w:bottom w:val="single" w:sz="6" w:space="0" w:color="auto"/>
            </w:tcBorders>
          </w:tcPr>
          <w:p w14:paraId="3996FA9B" w14:textId="77777777" w:rsidR="009D33A8" w:rsidRPr="007C7EF8" w:rsidRDefault="009D33A8" w:rsidP="00387417">
            <w:pPr>
              <w:spacing w:after="0"/>
              <w:rPr>
                <w:sz w:val="16"/>
                <w:szCs w:val="16"/>
              </w:rPr>
            </w:pPr>
            <w:r w:rsidRPr="007C7EF8">
              <w:rPr>
                <w:b/>
                <w:sz w:val="16"/>
                <w:szCs w:val="16"/>
              </w:rPr>
              <w:t>25 624</w:t>
            </w:r>
          </w:p>
        </w:tc>
      </w:tr>
      <w:tr w:rsidR="009D33A8" w:rsidRPr="00E50422" w14:paraId="10540EAD" w14:textId="77777777">
        <w:tc>
          <w:tcPr>
            <w:tcW w:w="1607" w:type="dxa"/>
            <w:tcBorders>
              <w:top w:val="single" w:sz="6" w:space="0" w:color="auto"/>
            </w:tcBorders>
          </w:tcPr>
          <w:p w14:paraId="047BE5EA" w14:textId="77777777" w:rsidR="009D33A8" w:rsidRPr="007C7EF8" w:rsidRDefault="009D33A8" w:rsidP="00387417">
            <w:pPr>
              <w:spacing w:after="0"/>
              <w:rPr>
                <w:sz w:val="16"/>
                <w:szCs w:val="16"/>
              </w:rPr>
            </w:pPr>
            <w:r w:rsidRPr="007C7EF8">
              <w:rPr>
                <w:b/>
                <w:sz w:val="16"/>
                <w:szCs w:val="16"/>
              </w:rPr>
              <w:t>1 726</w:t>
            </w:r>
          </w:p>
        </w:tc>
        <w:tc>
          <w:tcPr>
            <w:tcW w:w="1607" w:type="dxa"/>
            <w:tcBorders>
              <w:top w:val="single" w:sz="6" w:space="0" w:color="auto"/>
            </w:tcBorders>
          </w:tcPr>
          <w:p w14:paraId="202FF3FD" w14:textId="77777777" w:rsidR="009D33A8" w:rsidRPr="007C7EF8" w:rsidRDefault="009D33A8" w:rsidP="00387417">
            <w:pPr>
              <w:spacing w:after="0"/>
              <w:rPr>
                <w:sz w:val="16"/>
                <w:szCs w:val="16"/>
              </w:rPr>
            </w:pPr>
            <w:r w:rsidRPr="007C7EF8">
              <w:rPr>
                <w:b/>
                <w:sz w:val="16"/>
                <w:szCs w:val="16"/>
              </w:rPr>
              <w:t>(230)</w:t>
            </w:r>
          </w:p>
        </w:tc>
        <w:tc>
          <w:tcPr>
            <w:tcW w:w="1606" w:type="dxa"/>
            <w:tcBorders>
              <w:top w:val="single" w:sz="6" w:space="0" w:color="auto"/>
            </w:tcBorders>
          </w:tcPr>
          <w:p w14:paraId="6AAFEA4E" w14:textId="77777777" w:rsidR="009D33A8" w:rsidRPr="007C7EF8" w:rsidRDefault="009D33A8" w:rsidP="00387417">
            <w:pPr>
              <w:spacing w:after="0"/>
              <w:rPr>
                <w:sz w:val="16"/>
                <w:szCs w:val="16"/>
              </w:rPr>
            </w:pPr>
            <w:r w:rsidRPr="007C7EF8">
              <w:rPr>
                <w:b/>
                <w:sz w:val="16"/>
                <w:szCs w:val="16"/>
              </w:rPr>
              <w:t>(212)</w:t>
            </w:r>
          </w:p>
        </w:tc>
        <w:tc>
          <w:tcPr>
            <w:tcW w:w="1606" w:type="dxa"/>
            <w:tcBorders>
              <w:top w:val="single" w:sz="6" w:space="0" w:color="auto"/>
            </w:tcBorders>
          </w:tcPr>
          <w:p w14:paraId="79BC916B" w14:textId="77777777" w:rsidR="009D33A8" w:rsidRPr="007C7EF8" w:rsidRDefault="009D33A8" w:rsidP="00387417">
            <w:pPr>
              <w:spacing w:after="0"/>
              <w:rPr>
                <w:sz w:val="16"/>
                <w:szCs w:val="16"/>
              </w:rPr>
            </w:pPr>
            <w:r w:rsidRPr="007C7EF8">
              <w:rPr>
                <w:b/>
                <w:sz w:val="16"/>
                <w:szCs w:val="16"/>
              </w:rPr>
              <w:t>(484)</w:t>
            </w:r>
          </w:p>
        </w:tc>
        <w:tc>
          <w:tcPr>
            <w:tcW w:w="1606" w:type="dxa"/>
            <w:tcBorders>
              <w:top w:val="single" w:sz="6" w:space="0" w:color="auto"/>
            </w:tcBorders>
          </w:tcPr>
          <w:p w14:paraId="5223A2F7" w14:textId="77777777" w:rsidR="009D33A8" w:rsidRPr="007C7EF8" w:rsidRDefault="009D33A8" w:rsidP="00387417">
            <w:pPr>
              <w:spacing w:after="0"/>
              <w:rPr>
                <w:sz w:val="16"/>
                <w:szCs w:val="16"/>
              </w:rPr>
            </w:pPr>
            <w:r w:rsidRPr="007C7EF8">
              <w:rPr>
                <w:b/>
                <w:sz w:val="16"/>
                <w:szCs w:val="16"/>
              </w:rPr>
              <w:t>855</w:t>
            </w:r>
          </w:p>
        </w:tc>
        <w:tc>
          <w:tcPr>
            <w:tcW w:w="1606" w:type="dxa"/>
            <w:tcBorders>
              <w:top w:val="single" w:sz="6" w:space="0" w:color="auto"/>
            </w:tcBorders>
          </w:tcPr>
          <w:p w14:paraId="3C2FC98E" w14:textId="77777777" w:rsidR="009D33A8" w:rsidRPr="007C7EF8" w:rsidRDefault="009D33A8" w:rsidP="00387417">
            <w:pPr>
              <w:spacing w:after="0"/>
              <w:rPr>
                <w:sz w:val="16"/>
                <w:szCs w:val="16"/>
              </w:rPr>
            </w:pPr>
            <w:r w:rsidRPr="007C7EF8">
              <w:rPr>
                <w:b/>
                <w:sz w:val="16"/>
                <w:szCs w:val="16"/>
              </w:rPr>
              <w:t>(6 083)</w:t>
            </w:r>
          </w:p>
        </w:tc>
      </w:tr>
      <w:tr w:rsidR="009D33A8" w:rsidRPr="00E50422" w14:paraId="61C9D6B9" w14:textId="77777777">
        <w:tc>
          <w:tcPr>
            <w:tcW w:w="1607" w:type="dxa"/>
            <w:tcBorders>
              <w:bottom w:val="single" w:sz="6" w:space="0" w:color="auto"/>
            </w:tcBorders>
          </w:tcPr>
          <w:p w14:paraId="03C3BE45" w14:textId="77777777" w:rsidR="009D33A8" w:rsidRPr="007C7EF8" w:rsidRDefault="009D33A8" w:rsidP="00387417">
            <w:pPr>
              <w:spacing w:after="0"/>
              <w:rPr>
                <w:sz w:val="16"/>
                <w:szCs w:val="16"/>
              </w:rPr>
            </w:pPr>
            <w:r w:rsidRPr="007C7EF8">
              <w:rPr>
                <w:sz w:val="16"/>
                <w:szCs w:val="16"/>
              </w:rPr>
              <w:t>3 870</w:t>
            </w:r>
          </w:p>
        </w:tc>
        <w:tc>
          <w:tcPr>
            <w:tcW w:w="1607" w:type="dxa"/>
            <w:tcBorders>
              <w:bottom w:val="single" w:sz="6" w:space="0" w:color="auto"/>
            </w:tcBorders>
          </w:tcPr>
          <w:p w14:paraId="0767121F" w14:textId="77777777" w:rsidR="009D33A8" w:rsidRPr="007C7EF8" w:rsidRDefault="009D33A8" w:rsidP="00387417">
            <w:pPr>
              <w:spacing w:after="0"/>
              <w:rPr>
                <w:sz w:val="16"/>
                <w:szCs w:val="16"/>
              </w:rPr>
            </w:pPr>
            <w:r w:rsidRPr="007C7EF8">
              <w:rPr>
                <w:sz w:val="16"/>
                <w:szCs w:val="16"/>
              </w:rPr>
              <w:t>4 100</w:t>
            </w:r>
          </w:p>
        </w:tc>
        <w:tc>
          <w:tcPr>
            <w:tcW w:w="1606" w:type="dxa"/>
            <w:tcBorders>
              <w:bottom w:val="single" w:sz="6" w:space="0" w:color="auto"/>
            </w:tcBorders>
          </w:tcPr>
          <w:p w14:paraId="182ED374" w14:textId="77777777" w:rsidR="009D33A8" w:rsidRPr="007C7EF8" w:rsidRDefault="009D33A8" w:rsidP="00387417">
            <w:pPr>
              <w:spacing w:after="0"/>
              <w:rPr>
                <w:sz w:val="16"/>
                <w:szCs w:val="16"/>
              </w:rPr>
            </w:pPr>
            <w:r w:rsidRPr="007C7EF8">
              <w:rPr>
                <w:sz w:val="16"/>
                <w:szCs w:val="16"/>
              </w:rPr>
              <w:t>(836)</w:t>
            </w:r>
          </w:p>
        </w:tc>
        <w:tc>
          <w:tcPr>
            <w:tcW w:w="1606" w:type="dxa"/>
            <w:tcBorders>
              <w:bottom w:val="single" w:sz="6" w:space="0" w:color="auto"/>
            </w:tcBorders>
          </w:tcPr>
          <w:p w14:paraId="5772D8B7" w14:textId="77777777" w:rsidR="009D33A8" w:rsidRPr="007C7EF8" w:rsidRDefault="009D33A8" w:rsidP="00387417">
            <w:pPr>
              <w:spacing w:after="0"/>
              <w:rPr>
                <w:sz w:val="16"/>
                <w:szCs w:val="16"/>
              </w:rPr>
            </w:pPr>
            <w:r w:rsidRPr="007C7EF8">
              <w:rPr>
                <w:sz w:val="16"/>
                <w:szCs w:val="16"/>
              </w:rPr>
              <w:t>(352)</w:t>
            </w:r>
          </w:p>
        </w:tc>
        <w:tc>
          <w:tcPr>
            <w:tcW w:w="1606" w:type="dxa"/>
            <w:tcBorders>
              <w:bottom w:val="single" w:sz="6" w:space="0" w:color="auto"/>
            </w:tcBorders>
          </w:tcPr>
          <w:p w14:paraId="6BF0BA92" w14:textId="77777777" w:rsidR="009D33A8" w:rsidRPr="007C7EF8" w:rsidRDefault="009D33A8" w:rsidP="00387417">
            <w:pPr>
              <w:spacing w:after="0"/>
              <w:rPr>
                <w:sz w:val="16"/>
                <w:szCs w:val="16"/>
              </w:rPr>
            </w:pPr>
            <w:r w:rsidRPr="007C7EF8">
              <w:rPr>
                <w:sz w:val="16"/>
                <w:szCs w:val="16"/>
              </w:rPr>
              <w:t>19 595</w:t>
            </w:r>
          </w:p>
        </w:tc>
        <w:tc>
          <w:tcPr>
            <w:tcW w:w="1606" w:type="dxa"/>
            <w:tcBorders>
              <w:bottom w:val="single" w:sz="6" w:space="0" w:color="auto"/>
            </w:tcBorders>
          </w:tcPr>
          <w:p w14:paraId="0D3267EE" w14:textId="77777777" w:rsidR="009D33A8" w:rsidRPr="007C7EF8" w:rsidRDefault="009D33A8" w:rsidP="00387417">
            <w:pPr>
              <w:spacing w:after="0"/>
              <w:rPr>
                <w:sz w:val="16"/>
                <w:szCs w:val="16"/>
              </w:rPr>
            </w:pPr>
            <w:r w:rsidRPr="007C7EF8">
              <w:rPr>
                <w:sz w:val="16"/>
                <w:szCs w:val="16"/>
              </w:rPr>
              <w:t>25 678</w:t>
            </w:r>
          </w:p>
        </w:tc>
      </w:tr>
      <w:tr w:rsidR="009D33A8" w:rsidRPr="00E50422" w14:paraId="7FC9C2AF" w14:textId="77777777">
        <w:tc>
          <w:tcPr>
            <w:tcW w:w="1607" w:type="dxa"/>
            <w:tcBorders>
              <w:top w:val="single" w:sz="6" w:space="0" w:color="auto"/>
              <w:bottom w:val="single" w:sz="12" w:space="0" w:color="auto"/>
            </w:tcBorders>
          </w:tcPr>
          <w:p w14:paraId="173F5911" w14:textId="77777777" w:rsidR="009D33A8" w:rsidRPr="007C7EF8" w:rsidRDefault="009D33A8" w:rsidP="00387417">
            <w:pPr>
              <w:spacing w:after="0"/>
              <w:rPr>
                <w:sz w:val="16"/>
                <w:szCs w:val="16"/>
              </w:rPr>
            </w:pPr>
            <w:r w:rsidRPr="007C7EF8">
              <w:rPr>
                <w:b/>
                <w:sz w:val="16"/>
                <w:szCs w:val="16"/>
              </w:rPr>
              <w:t>5 596</w:t>
            </w:r>
          </w:p>
        </w:tc>
        <w:tc>
          <w:tcPr>
            <w:tcW w:w="1607" w:type="dxa"/>
            <w:tcBorders>
              <w:top w:val="single" w:sz="6" w:space="0" w:color="auto"/>
              <w:bottom w:val="single" w:sz="12" w:space="0" w:color="auto"/>
            </w:tcBorders>
          </w:tcPr>
          <w:p w14:paraId="74489D31" w14:textId="77777777" w:rsidR="009D33A8" w:rsidRPr="007C7EF8" w:rsidRDefault="009D33A8" w:rsidP="00387417">
            <w:pPr>
              <w:spacing w:after="0"/>
              <w:rPr>
                <w:sz w:val="16"/>
                <w:szCs w:val="16"/>
              </w:rPr>
            </w:pPr>
            <w:r w:rsidRPr="007C7EF8">
              <w:rPr>
                <w:b/>
                <w:sz w:val="16"/>
                <w:szCs w:val="16"/>
              </w:rPr>
              <w:t>3 870</w:t>
            </w:r>
          </w:p>
        </w:tc>
        <w:tc>
          <w:tcPr>
            <w:tcW w:w="1606" w:type="dxa"/>
            <w:tcBorders>
              <w:top w:val="single" w:sz="6" w:space="0" w:color="auto"/>
              <w:bottom w:val="single" w:sz="12" w:space="0" w:color="auto"/>
            </w:tcBorders>
          </w:tcPr>
          <w:p w14:paraId="20C34D99" w14:textId="77777777" w:rsidR="009D33A8" w:rsidRPr="007C7EF8" w:rsidRDefault="009D33A8" w:rsidP="00387417">
            <w:pPr>
              <w:spacing w:after="0"/>
              <w:rPr>
                <w:sz w:val="16"/>
                <w:szCs w:val="16"/>
              </w:rPr>
            </w:pPr>
            <w:r w:rsidRPr="007C7EF8">
              <w:rPr>
                <w:b/>
                <w:sz w:val="16"/>
                <w:szCs w:val="16"/>
              </w:rPr>
              <w:t>(1 048)</w:t>
            </w:r>
          </w:p>
        </w:tc>
        <w:tc>
          <w:tcPr>
            <w:tcW w:w="1606" w:type="dxa"/>
            <w:tcBorders>
              <w:top w:val="single" w:sz="6" w:space="0" w:color="auto"/>
              <w:bottom w:val="single" w:sz="12" w:space="0" w:color="auto"/>
            </w:tcBorders>
          </w:tcPr>
          <w:p w14:paraId="7F84B687" w14:textId="77777777" w:rsidR="009D33A8" w:rsidRPr="007C7EF8" w:rsidRDefault="009D33A8" w:rsidP="00387417">
            <w:pPr>
              <w:spacing w:after="0"/>
              <w:rPr>
                <w:sz w:val="16"/>
                <w:szCs w:val="16"/>
              </w:rPr>
            </w:pPr>
            <w:r w:rsidRPr="007C7EF8">
              <w:rPr>
                <w:b/>
                <w:sz w:val="16"/>
                <w:szCs w:val="16"/>
              </w:rPr>
              <w:t>(836)</w:t>
            </w:r>
          </w:p>
        </w:tc>
        <w:tc>
          <w:tcPr>
            <w:tcW w:w="1606" w:type="dxa"/>
            <w:tcBorders>
              <w:top w:val="single" w:sz="6" w:space="0" w:color="auto"/>
              <w:bottom w:val="single" w:sz="12" w:space="0" w:color="auto"/>
            </w:tcBorders>
          </w:tcPr>
          <w:p w14:paraId="215B51FB" w14:textId="77777777" w:rsidR="009D33A8" w:rsidRPr="007C7EF8" w:rsidRDefault="009D33A8" w:rsidP="00387417">
            <w:pPr>
              <w:spacing w:after="0"/>
              <w:rPr>
                <w:sz w:val="16"/>
                <w:szCs w:val="16"/>
              </w:rPr>
            </w:pPr>
            <w:r w:rsidRPr="007C7EF8">
              <w:rPr>
                <w:b/>
                <w:sz w:val="16"/>
                <w:szCs w:val="16"/>
              </w:rPr>
              <w:t>20 450</w:t>
            </w:r>
          </w:p>
        </w:tc>
        <w:tc>
          <w:tcPr>
            <w:tcW w:w="1606" w:type="dxa"/>
            <w:tcBorders>
              <w:top w:val="single" w:sz="6" w:space="0" w:color="auto"/>
              <w:bottom w:val="single" w:sz="12" w:space="0" w:color="auto"/>
            </w:tcBorders>
          </w:tcPr>
          <w:p w14:paraId="4764C441" w14:textId="77777777" w:rsidR="009D33A8" w:rsidRPr="007C7EF8" w:rsidRDefault="009D33A8" w:rsidP="00387417">
            <w:pPr>
              <w:spacing w:after="0"/>
              <w:rPr>
                <w:sz w:val="16"/>
                <w:szCs w:val="16"/>
              </w:rPr>
            </w:pPr>
            <w:r w:rsidRPr="007C7EF8">
              <w:rPr>
                <w:b/>
                <w:sz w:val="16"/>
                <w:szCs w:val="16"/>
              </w:rPr>
              <w:t>19 595</w:t>
            </w:r>
          </w:p>
        </w:tc>
      </w:tr>
      <w:tr w:rsidR="009D33A8" w:rsidRPr="00E50422" w14:paraId="6A23BC57" w14:textId="77777777">
        <w:trPr>
          <w:trHeight w:hRule="exact" w:val="113"/>
        </w:trPr>
        <w:tc>
          <w:tcPr>
            <w:tcW w:w="1607" w:type="dxa"/>
            <w:tcBorders>
              <w:top w:val="single" w:sz="0" w:space="0" w:color="auto"/>
            </w:tcBorders>
          </w:tcPr>
          <w:p w14:paraId="7A3EA1F1" w14:textId="77777777" w:rsidR="009D33A8" w:rsidRPr="007C7EF8" w:rsidRDefault="009D33A8" w:rsidP="00387417">
            <w:pPr>
              <w:spacing w:after="0"/>
              <w:rPr>
                <w:sz w:val="16"/>
                <w:szCs w:val="16"/>
              </w:rPr>
            </w:pPr>
          </w:p>
        </w:tc>
        <w:tc>
          <w:tcPr>
            <w:tcW w:w="1607" w:type="dxa"/>
            <w:tcBorders>
              <w:top w:val="single" w:sz="0" w:space="0" w:color="auto"/>
            </w:tcBorders>
          </w:tcPr>
          <w:p w14:paraId="4FD789D2" w14:textId="77777777" w:rsidR="009D33A8" w:rsidRPr="007C7EF8" w:rsidRDefault="009D33A8" w:rsidP="00387417">
            <w:pPr>
              <w:spacing w:after="0"/>
              <w:rPr>
                <w:sz w:val="16"/>
                <w:szCs w:val="16"/>
              </w:rPr>
            </w:pPr>
          </w:p>
        </w:tc>
        <w:tc>
          <w:tcPr>
            <w:tcW w:w="1606" w:type="dxa"/>
            <w:tcBorders>
              <w:top w:val="single" w:sz="0" w:space="0" w:color="auto"/>
            </w:tcBorders>
          </w:tcPr>
          <w:p w14:paraId="1ACF0D17" w14:textId="77777777" w:rsidR="009D33A8" w:rsidRPr="007C7EF8" w:rsidRDefault="009D33A8" w:rsidP="00387417">
            <w:pPr>
              <w:spacing w:after="0"/>
              <w:rPr>
                <w:sz w:val="16"/>
                <w:szCs w:val="16"/>
              </w:rPr>
            </w:pPr>
          </w:p>
        </w:tc>
        <w:tc>
          <w:tcPr>
            <w:tcW w:w="1606" w:type="dxa"/>
            <w:tcBorders>
              <w:top w:val="single" w:sz="0" w:space="0" w:color="auto"/>
            </w:tcBorders>
          </w:tcPr>
          <w:p w14:paraId="1435EFFE" w14:textId="77777777" w:rsidR="009D33A8" w:rsidRPr="007C7EF8" w:rsidRDefault="009D33A8" w:rsidP="00387417">
            <w:pPr>
              <w:spacing w:after="0"/>
              <w:rPr>
                <w:sz w:val="16"/>
                <w:szCs w:val="16"/>
              </w:rPr>
            </w:pPr>
          </w:p>
        </w:tc>
        <w:tc>
          <w:tcPr>
            <w:tcW w:w="1606" w:type="dxa"/>
            <w:tcBorders>
              <w:top w:val="single" w:sz="0" w:space="0" w:color="auto"/>
            </w:tcBorders>
          </w:tcPr>
          <w:p w14:paraId="7444A56F" w14:textId="77777777" w:rsidR="009D33A8" w:rsidRPr="007C7EF8" w:rsidRDefault="009D33A8" w:rsidP="00387417">
            <w:pPr>
              <w:spacing w:after="0"/>
              <w:rPr>
                <w:sz w:val="16"/>
                <w:szCs w:val="16"/>
              </w:rPr>
            </w:pPr>
          </w:p>
        </w:tc>
        <w:tc>
          <w:tcPr>
            <w:tcW w:w="1606" w:type="dxa"/>
            <w:tcBorders>
              <w:top w:val="single" w:sz="0" w:space="0" w:color="auto"/>
            </w:tcBorders>
          </w:tcPr>
          <w:p w14:paraId="088B7C14" w14:textId="77777777" w:rsidR="009D33A8" w:rsidRPr="007C7EF8" w:rsidRDefault="009D33A8" w:rsidP="00387417">
            <w:pPr>
              <w:spacing w:after="0"/>
              <w:rPr>
                <w:sz w:val="16"/>
                <w:szCs w:val="16"/>
              </w:rPr>
            </w:pPr>
          </w:p>
        </w:tc>
      </w:tr>
      <w:tr w:rsidR="009D33A8" w:rsidRPr="00E50422" w14:paraId="0866AED3" w14:textId="77777777">
        <w:tc>
          <w:tcPr>
            <w:tcW w:w="1607" w:type="dxa"/>
          </w:tcPr>
          <w:p w14:paraId="77FD54D5" w14:textId="77777777" w:rsidR="009D33A8" w:rsidRPr="007C7EF8" w:rsidRDefault="009D33A8" w:rsidP="00387417">
            <w:pPr>
              <w:spacing w:after="0"/>
              <w:rPr>
                <w:sz w:val="16"/>
                <w:szCs w:val="16"/>
              </w:rPr>
            </w:pPr>
          </w:p>
        </w:tc>
        <w:tc>
          <w:tcPr>
            <w:tcW w:w="1607" w:type="dxa"/>
          </w:tcPr>
          <w:p w14:paraId="4CAC598D" w14:textId="77777777" w:rsidR="009D33A8" w:rsidRPr="007C7EF8" w:rsidRDefault="009D33A8" w:rsidP="00387417">
            <w:pPr>
              <w:spacing w:after="0"/>
              <w:rPr>
                <w:sz w:val="16"/>
                <w:szCs w:val="16"/>
              </w:rPr>
            </w:pPr>
          </w:p>
        </w:tc>
        <w:tc>
          <w:tcPr>
            <w:tcW w:w="1606" w:type="dxa"/>
          </w:tcPr>
          <w:p w14:paraId="0AF45EE7" w14:textId="77777777" w:rsidR="009D33A8" w:rsidRPr="007C7EF8" w:rsidRDefault="009D33A8" w:rsidP="00387417">
            <w:pPr>
              <w:spacing w:after="0"/>
              <w:rPr>
                <w:sz w:val="16"/>
                <w:szCs w:val="16"/>
              </w:rPr>
            </w:pPr>
          </w:p>
        </w:tc>
        <w:tc>
          <w:tcPr>
            <w:tcW w:w="1606" w:type="dxa"/>
          </w:tcPr>
          <w:p w14:paraId="5BE96DE0" w14:textId="77777777" w:rsidR="009D33A8" w:rsidRPr="007C7EF8" w:rsidRDefault="009D33A8" w:rsidP="00387417">
            <w:pPr>
              <w:spacing w:after="0"/>
              <w:rPr>
                <w:sz w:val="16"/>
                <w:szCs w:val="16"/>
              </w:rPr>
            </w:pPr>
          </w:p>
        </w:tc>
        <w:tc>
          <w:tcPr>
            <w:tcW w:w="1606" w:type="dxa"/>
          </w:tcPr>
          <w:p w14:paraId="25291FCA" w14:textId="77777777" w:rsidR="009D33A8" w:rsidRPr="007C7EF8" w:rsidRDefault="009D33A8" w:rsidP="00387417">
            <w:pPr>
              <w:spacing w:after="0"/>
              <w:rPr>
                <w:sz w:val="16"/>
                <w:szCs w:val="16"/>
              </w:rPr>
            </w:pPr>
          </w:p>
        </w:tc>
        <w:tc>
          <w:tcPr>
            <w:tcW w:w="1606" w:type="dxa"/>
          </w:tcPr>
          <w:p w14:paraId="35B55410" w14:textId="77777777" w:rsidR="009D33A8" w:rsidRPr="007C7EF8" w:rsidRDefault="009D33A8" w:rsidP="00387417">
            <w:pPr>
              <w:spacing w:after="0"/>
              <w:rPr>
                <w:sz w:val="16"/>
                <w:szCs w:val="16"/>
              </w:rPr>
            </w:pPr>
          </w:p>
        </w:tc>
      </w:tr>
      <w:tr w:rsidR="009D33A8" w:rsidRPr="00E50422" w14:paraId="5038FA7B" w14:textId="77777777">
        <w:tc>
          <w:tcPr>
            <w:tcW w:w="1607" w:type="dxa"/>
          </w:tcPr>
          <w:p w14:paraId="664D934A" w14:textId="77777777" w:rsidR="009D33A8" w:rsidRPr="007C7EF8" w:rsidRDefault="009D33A8" w:rsidP="00387417">
            <w:pPr>
              <w:spacing w:after="0"/>
              <w:rPr>
                <w:sz w:val="16"/>
                <w:szCs w:val="16"/>
              </w:rPr>
            </w:pPr>
            <w:r w:rsidRPr="007C7EF8">
              <w:rPr>
                <w:sz w:val="16"/>
                <w:szCs w:val="16"/>
              </w:rPr>
              <w:t>4 643</w:t>
            </w:r>
          </w:p>
        </w:tc>
        <w:tc>
          <w:tcPr>
            <w:tcW w:w="1607" w:type="dxa"/>
          </w:tcPr>
          <w:p w14:paraId="49187864" w14:textId="77777777" w:rsidR="009D33A8" w:rsidRPr="007C7EF8" w:rsidRDefault="009D33A8" w:rsidP="00387417">
            <w:pPr>
              <w:spacing w:after="0"/>
              <w:rPr>
                <w:sz w:val="16"/>
                <w:szCs w:val="16"/>
              </w:rPr>
            </w:pPr>
            <w:r w:rsidRPr="007C7EF8">
              <w:rPr>
                <w:sz w:val="16"/>
                <w:szCs w:val="16"/>
              </w:rPr>
              <w:t>2 766</w:t>
            </w:r>
          </w:p>
        </w:tc>
        <w:tc>
          <w:tcPr>
            <w:tcW w:w="1606" w:type="dxa"/>
          </w:tcPr>
          <w:p w14:paraId="4ACF6D7E" w14:textId="77777777" w:rsidR="009D33A8" w:rsidRPr="007C7EF8" w:rsidRDefault="009D33A8" w:rsidP="00387417">
            <w:pPr>
              <w:spacing w:after="0"/>
              <w:rPr>
                <w:sz w:val="16"/>
                <w:szCs w:val="16"/>
              </w:rPr>
            </w:pPr>
            <w:r w:rsidRPr="007C7EF8">
              <w:rPr>
                <w:sz w:val="16"/>
                <w:szCs w:val="16"/>
              </w:rPr>
              <w:t>(1 017)</w:t>
            </w:r>
          </w:p>
        </w:tc>
        <w:tc>
          <w:tcPr>
            <w:tcW w:w="1606" w:type="dxa"/>
          </w:tcPr>
          <w:p w14:paraId="12A85A76" w14:textId="77777777" w:rsidR="009D33A8" w:rsidRPr="007C7EF8" w:rsidRDefault="009D33A8" w:rsidP="00387417">
            <w:pPr>
              <w:spacing w:after="0"/>
              <w:rPr>
                <w:sz w:val="16"/>
                <w:szCs w:val="16"/>
              </w:rPr>
            </w:pPr>
            <w:r w:rsidRPr="007C7EF8">
              <w:rPr>
                <w:sz w:val="16"/>
                <w:szCs w:val="16"/>
              </w:rPr>
              <w:t>(1 581)</w:t>
            </w:r>
          </w:p>
        </w:tc>
        <w:tc>
          <w:tcPr>
            <w:tcW w:w="1606" w:type="dxa"/>
          </w:tcPr>
          <w:p w14:paraId="5FA3129E" w14:textId="77777777" w:rsidR="009D33A8" w:rsidRPr="007C7EF8" w:rsidRDefault="009D33A8" w:rsidP="00387417">
            <w:pPr>
              <w:spacing w:after="0"/>
              <w:rPr>
                <w:sz w:val="16"/>
                <w:szCs w:val="16"/>
              </w:rPr>
            </w:pPr>
            <w:r w:rsidRPr="007C7EF8">
              <w:rPr>
                <w:sz w:val="16"/>
                <w:szCs w:val="16"/>
              </w:rPr>
              <w:t>8 324</w:t>
            </w:r>
          </w:p>
        </w:tc>
        <w:tc>
          <w:tcPr>
            <w:tcW w:w="1606" w:type="dxa"/>
          </w:tcPr>
          <w:p w14:paraId="0E0E289E" w14:textId="77777777" w:rsidR="009D33A8" w:rsidRPr="007C7EF8" w:rsidRDefault="009D33A8" w:rsidP="00387417">
            <w:pPr>
              <w:spacing w:after="0"/>
              <w:rPr>
                <w:sz w:val="16"/>
                <w:szCs w:val="16"/>
              </w:rPr>
            </w:pPr>
            <w:r w:rsidRPr="007C7EF8">
              <w:rPr>
                <w:sz w:val="16"/>
                <w:szCs w:val="16"/>
              </w:rPr>
              <w:t>5 249</w:t>
            </w:r>
          </w:p>
        </w:tc>
      </w:tr>
      <w:tr w:rsidR="009D33A8" w:rsidRPr="00E50422" w14:paraId="35DC24B6" w14:textId="77777777">
        <w:tc>
          <w:tcPr>
            <w:tcW w:w="1607" w:type="dxa"/>
          </w:tcPr>
          <w:p w14:paraId="34EE2CA8" w14:textId="77777777" w:rsidR="009D33A8" w:rsidRPr="007C7EF8" w:rsidRDefault="009D33A8" w:rsidP="00387417">
            <w:pPr>
              <w:spacing w:after="0"/>
              <w:rPr>
                <w:sz w:val="16"/>
                <w:szCs w:val="16"/>
              </w:rPr>
            </w:pPr>
            <w:r w:rsidRPr="007C7EF8">
              <w:rPr>
                <w:sz w:val="16"/>
                <w:szCs w:val="16"/>
              </w:rPr>
              <w:t>(876)</w:t>
            </w:r>
          </w:p>
        </w:tc>
        <w:tc>
          <w:tcPr>
            <w:tcW w:w="1607" w:type="dxa"/>
          </w:tcPr>
          <w:p w14:paraId="3033F90E" w14:textId="77777777" w:rsidR="009D33A8" w:rsidRPr="007C7EF8" w:rsidRDefault="009D33A8" w:rsidP="00387417">
            <w:pPr>
              <w:spacing w:after="0"/>
              <w:rPr>
                <w:sz w:val="16"/>
                <w:szCs w:val="16"/>
              </w:rPr>
            </w:pPr>
            <w:r w:rsidRPr="007C7EF8">
              <w:rPr>
                <w:sz w:val="16"/>
                <w:szCs w:val="16"/>
              </w:rPr>
              <w:t>(1 232)</w:t>
            </w:r>
          </w:p>
        </w:tc>
        <w:tc>
          <w:tcPr>
            <w:tcW w:w="1606" w:type="dxa"/>
          </w:tcPr>
          <w:p w14:paraId="54E667A0" w14:textId="77777777" w:rsidR="009D33A8" w:rsidRPr="007C7EF8" w:rsidRDefault="009D33A8" w:rsidP="00387417">
            <w:pPr>
              <w:spacing w:after="0"/>
              <w:rPr>
                <w:sz w:val="16"/>
                <w:szCs w:val="16"/>
              </w:rPr>
            </w:pPr>
            <w:r w:rsidRPr="007C7EF8">
              <w:rPr>
                <w:sz w:val="16"/>
                <w:szCs w:val="16"/>
              </w:rPr>
              <w:t>982</w:t>
            </w:r>
          </w:p>
        </w:tc>
        <w:tc>
          <w:tcPr>
            <w:tcW w:w="1606" w:type="dxa"/>
          </w:tcPr>
          <w:p w14:paraId="2622414A" w14:textId="77777777" w:rsidR="009D33A8" w:rsidRPr="007C7EF8" w:rsidRDefault="009D33A8" w:rsidP="00387417">
            <w:pPr>
              <w:spacing w:after="0"/>
              <w:rPr>
                <w:sz w:val="16"/>
                <w:szCs w:val="16"/>
              </w:rPr>
            </w:pPr>
            <w:r w:rsidRPr="007C7EF8">
              <w:rPr>
                <w:sz w:val="16"/>
                <w:szCs w:val="16"/>
              </w:rPr>
              <w:t>1 438</w:t>
            </w:r>
          </w:p>
        </w:tc>
        <w:tc>
          <w:tcPr>
            <w:tcW w:w="1606" w:type="dxa"/>
          </w:tcPr>
          <w:p w14:paraId="0B2F7766" w14:textId="77777777" w:rsidR="009D33A8" w:rsidRPr="007C7EF8" w:rsidRDefault="009D33A8" w:rsidP="00387417">
            <w:pPr>
              <w:spacing w:after="0"/>
              <w:rPr>
                <w:sz w:val="16"/>
                <w:szCs w:val="16"/>
              </w:rPr>
            </w:pPr>
            <w:r w:rsidRPr="007C7EF8">
              <w:rPr>
                <w:sz w:val="16"/>
                <w:szCs w:val="16"/>
              </w:rPr>
              <w:t>..</w:t>
            </w:r>
          </w:p>
        </w:tc>
        <w:tc>
          <w:tcPr>
            <w:tcW w:w="1606" w:type="dxa"/>
          </w:tcPr>
          <w:p w14:paraId="37042A6B" w14:textId="77777777" w:rsidR="009D33A8" w:rsidRPr="007C7EF8" w:rsidRDefault="009D33A8" w:rsidP="00387417">
            <w:pPr>
              <w:spacing w:after="0"/>
              <w:rPr>
                <w:sz w:val="16"/>
                <w:szCs w:val="16"/>
              </w:rPr>
            </w:pPr>
            <w:r w:rsidRPr="007C7EF8">
              <w:rPr>
                <w:sz w:val="16"/>
                <w:szCs w:val="16"/>
              </w:rPr>
              <w:t>..</w:t>
            </w:r>
          </w:p>
        </w:tc>
      </w:tr>
      <w:tr w:rsidR="009D33A8" w:rsidRPr="00E50422" w14:paraId="35535A56" w14:textId="77777777">
        <w:tc>
          <w:tcPr>
            <w:tcW w:w="1607" w:type="dxa"/>
            <w:tcBorders>
              <w:bottom w:val="single" w:sz="6" w:space="0" w:color="auto"/>
            </w:tcBorders>
          </w:tcPr>
          <w:p w14:paraId="59792BCA" w14:textId="77777777" w:rsidR="009D33A8" w:rsidRPr="007C7EF8" w:rsidRDefault="009D33A8" w:rsidP="00387417">
            <w:pPr>
              <w:spacing w:after="0"/>
              <w:rPr>
                <w:sz w:val="16"/>
                <w:szCs w:val="16"/>
              </w:rPr>
            </w:pPr>
            <w:r w:rsidRPr="007C7EF8">
              <w:rPr>
                <w:sz w:val="16"/>
                <w:szCs w:val="16"/>
              </w:rPr>
              <w:t>(28)</w:t>
            </w:r>
          </w:p>
        </w:tc>
        <w:tc>
          <w:tcPr>
            <w:tcW w:w="1607" w:type="dxa"/>
            <w:tcBorders>
              <w:bottom w:val="single" w:sz="6" w:space="0" w:color="auto"/>
            </w:tcBorders>
          </w:tcPr>
          <w:p w14:paraId="1891BDC6" w14:textId="77777777" w:rsidR="009D33A8" w:rsidRPr="007C7EF8" w:rsidRDefault="009D33A8" w:rsidP="00387417">
            <w:pPr>
              <w:spacing w:after="0"/>
              <w:rPr>
                <w:sz w:val="16"/>
                <w:szCs w:val="16"/>
              </w:rPr>
            </w:pPr>
            <w:r w:rsidRPr="007C7EF8">
              <w:rPr>
                <w:sz w:val="16"/>
                <w:szCs w:val="16"/>
              </w:rPr>
              <w:t>(42)</w:t>
            </w:r>
          </w:p>
        </w:tc>
        <w:tc>
          <w:tcPr>
            <w:tcW w:w="1606" w:type="dxa"/>
            <w:tcBorders>
              <w:bottom w:val="single" w:sz="6" w:space="0" w:color="auto"/>
            </w:tcBorders>
          </w:tcPr>
          <w:p w14:paraId="2A2A2328" w14:textId="77777777" w:rsidR="009D33A8" w:rsidRPr="007C7EF8" w:rsidRDefault="009D33A8" w:rsidP="00387417">
            <w:pPr>
              <w:spacing w:after="0"/>
              <w:rPr>
                <w:sz w:val="16"/>
                <w:szCs w:val="16"/>
              </w:rPr>
            </w:pPr>
            <w:r w:rsidRPr="007C7EF8">
              <w:rPr>
                <w:sz w:val="16"/>
                <w:szCs w:val="16"/>
              </w:rPr>
              <w:t>144</w:t>
            </w:r>
          </w:p>
        </w:tc>
        <w:tc>
          <w:tcPr>
            <w:tcW w:w="1606" w:type="dxa"/>
            <w:tcBorders>
              <w:bottom w:val="single" w:sz="6" w:space="0" w:color="auto"/>
            </w:tcBorders>
          </w:tcPr>
          <w:p w14:paraId="2D938149" w14:textId="77777777" w:rsidR="009D33A8" w:rsidRPr="007C7EF8" w:rsidRDefault="009D33A8" w:rsidP="00387417">
            <w:pPr>
              <w:spacing w:after="0"/>
              <w:rPr>
                <w:sz w:val="16"/>
                <w:szCs w:val="16"/>
              </w:rPr>
            </w:pPr>
            <w:r w:rsidRPr="007C7EF8">
              <w:rPr>
                <w:sz w:val="16"/>
                <w:szCs w:val="16"/>
              </w:rPr>
              <w:t>168</w:t>
            </w:r>
          </w:p>
        </w:tc>
        <w:tc>
          <w:tcPr>
            <w:tcW w:w="1606" w:type="dxa"/>
            <w:tcBorders>
              <w:bottom w:val="single" w:sz="6" w:space="0" w:color="auto"/>
            </w:tcBorders>
          </w:tcPr>
          <w:p w14:paraId="0ED39980" w14:textId="77777777" w:rsidR="009D33A8" w:rsidRPr="007C7EF8" w:rsidRDefault="009D33A8" w:rsidP="00387417">
            <w:pPr>
              <w:spacing w:after="0"/>
              <w:rPr>
                <w:sz w:val="16"/>
                <w:szCs w:val="16"/>
              </w:rPr>
            </w:pPr>
            <w:r w:rsidRPr="007C7EF8">
              <w:rPr>
                <w:sz w:val="16"/>
                <w:szCs w:val="16"/>
              </w:rPr>
              <w:t>(21 854)</w:t>
            </w:r>
          </w:p>
        </w:tc>
        <w:tc>
          <w:tcPr>
            <w:tcW w:w="1606" w:type="dxa"/>
            <w:tcBorders>
              <w:bottom w:val="single" w:sz="6" w:space="0" w:color="auto"/>
            </w:tcBorders>
          </w:tcPr>
          <w:p w14:paraId="66B47E04" w14:textId="77777777" w:rsidR="009D33A8" w:rsidRPr="007C7EF8" w:rsidRDefault="009D33A8" w:rsidP="00387417">
            <w:pPr>
              <w:spacing w:after="0"/>
              <w:rPr>
                <w:sz w:val="16"/>
                <w:szCs w:val="16"/>
              </w:rPr>
            </w:pPr>
            <w:r w:rsidRPr="007C7EF8">
              <w:rPr>
                <w:sz w:val="16"/>
                <w:szCs w:val="16"/>
              </w:rPr>
              <w:t>(22 351)</w:t>
            </w:r>
          </w:p>
        </w:tc>
      </w:tr>
      <w:tr w:rsidR="009D33A8" w:rsidRPr="00E50422" w14:paraId="5EF2E8A5" w14:textId="77777777">
        <w:tc>
          <w:tcPr>
            <w:tcW w:w="1607" w:type="dxa"/>
            <w:tcBorders>
              <w:top w:val="single" w:sz="6" w:space="0" w:color="auto"/>
              <w:bottom w:val="single" w:sz="12" w:space="0" w:color="auto"/>
            </w:tcBorders>
          </w:tcPr>
          <w:p w14:paraId="59BD6AE2" w14:textId="77777777" w:rsidR="009D33A8" w:rsidRPr="007C7EF8" w:rsidRDefault="009D33A8" w:rsidP="00387417">
            <w:pPr>
              <w:spacing w:after="0"/>
              <w:rPr>
                <w:sz w:val="16"/>
                <w:szCs w:val="16"/>
              </w:rPr>
            </w:pPr>
            <w:r w:rsidRPr="007C7EF8">
              <w:rPr>
                <w:b/>
                <w:sz w:val="16"/>
                <w:szCs w:val="16"/>
              </w:rPr>
              <w:t>3 738</w:t>
            </w:r>
          </w:p>
        </w:tc>
        <w:tc>
          <w:tcPr>
            <w:tcW w:w="1607" w:type="dxa"/>
            <w:tcBorders>
              <w:top w:val="single" w:sz="6" w:space="0" w:color="auto"/>
              <w:bottom w:val="single" w:sz="12" w:space="0" w:color="auto"/>
            </w:tcBorders>
          </w:tcPr>
          <w:p w14:paraId="52BA518B" w14:textId="77777777" w:rsidR="009D33A8" w:rsidRPr="007C7EF8" w:rsidRDefault="009D33A8" w:rsidP="00387417">
            <w:pPr>
              <w:spacing w:after="0"/>
              <w:rPr>
                <w:sz w:val="16"/>
                <w:szCs w:val="16"/>
              </w:rPr>
            </w:pPr>
            <w:r w:rsidRPr="007C7EF8">
              <w:rPr>
                <w:b/>
                <w:sz w:val="16"/>
                <w:szCs w:val="16"/>
              </w:rPr>
              <w:t>1 492</w:t>
            </w:r>
          </w:p>
        </w:tc>
        <w:tc>
          <w:tcPr>
            <w:tcW w:w="1606" w:type="dxa"/>
            <w:tcBorders>
              <w:top w:val="single" w:sz="6" w:space="0" w:color="auto"/>
              <w:bottom w:val="single" w:sz="12" w:space="0" w:color="auto"/>
            </w:tcBorders>
          </w:tcPr>
          <w:p w14:paraId="50D71B7C" w14:textId="77777777" w:rsidR="009D33A8" w:rsidRPr="007C7EF8" w:rsidRDefault="009D33A8" w:rsidP="00387417">
            <w:pPr>
              <w:spacing w:after="0"/>
              <w:rPr>
                <w:sz w:val="16"/>
                <w:szCs w:val="16"/>
              </w:rPr>
            </w:pPr>
            <w:r w:rsidRPr="007C7EF8">
              <w:rPr>
                <w:b/>
                <w:sz w:val="16"/>
                <w:szCs w:val="16"/>
              </w:rPr>
              <w:t>110</w:t>
            </w:r>
          </w:p>
        </w:tc>
        <w:tc>
          <w:tcPr>
            <w:tcW w:w="1606" w:type="dxa"/>
            <w:tcBorders>
              <w:top w:val="single" w:sz="6" w:space="0" w:color="auto"/>
              <w:bottom w:val="single" w:sz="12" w:space="0" w:color="auto"/>
            </w:tcBorders>
          </w:tcPr>
          <w:p w14:paraId="674643A7" w14:textId="77777777" w:rsidR="009D33A8" w:rsidRPr="007C7EF8" w:rsidRDefault="009D33A8" w:rsidP="00387417">
            <w:pPr>
              <w:spacing w:after="0"/>
              <w:rPr>
                <w:sz w:val="16"/>
                <w:szCs w:val="16"/>
              </w:rPr>
            </w:pPr>
            <w:r w:rsidRPr="007C7EF8">
              <w:rPr>
                <w:b/>
                <w:sz w:val="16"/>
                <w:szCs w:val="16"/>
              </w:rPr>
              <w:t>26</w:t>
            </w:r>
          </w:p>
        </w:tc>
        <w:tc>
          <w:tcPr>
            <w:tcW w:w="1606" w:type="dxa"/>
            <w:tcBorders>
              <w:top w:val="single" w:sz="6" w:space="0" w:color="auto"/>
              <w:bottom w:val="single" w:sz="12" w:space="0" w:color="auto"/>
            </w:tcBorders>
          </w:tcPr>
          <w:p w14:paraId="0D9E552F" w14:textId="77777777" w:rsidR="009D33A8" w:rsidRPr="007C7EF8" w:rsidRDefault="009D33A8" w:rsidP="00387417">
            <w:pPr>
              <w:spacing w:after="0"/>
              <w:rPr>
                <w:sz w:val="16"/>
                <w:szCs w:val="16"/>
              </w:rPr>
            </w:pPr>
            <w:r w:rsidRPr="007C7EF8">
              <w:rPr>
                <w:b/>
                <w:sz w:val="16"/>
                <w:szCs w:val="16"/>
              </w:rPr>
              <w:t>(13 530)</w:t>
            </w:r>
          </w:p>
        </w:tc>
        <w:tc>
          <w:tcPr>
            <w:tcW w:w="1606" w:type="dxa"/>
            <w:tcBorders>
              <w:top w:val="single" w:sz="6" w:space="0" w:color="auto"/>
              <w:bottom w:val="single" w:sz="12" w:space="0" w:color="auto"/>
            </w:tcBorders>
          </w:tcPr>
          <w:p w14:paraId="0E3694B0" w14:textId="77777777" w:rsidR="009D33A8" w:rsidRPr="007C7EF8" w:rsidRDefault="009D33A8" w:rsidP="00387417">
            <w:pPr>
              <w:spacing w:after="0"/>
              <w:rPr>
                <w:sz w:val="16"/>
                <w:szCs w:val="16"/>
              </w:rPr>
            </w:pPr>
            <w:r w:rsidRPr="007C7EF8">
              <w:rPr>
                <w:b/>
                <w:sz w:val="16"/>
                <w:szCs w:val="16"/>
              </w:rPr>
              <w:t>(17 102)</w:t>
            </w:r>
          </w:p>
        </w:tc>
      </w:tr>
    </w:tbl>
    <w:p w14:paraId="27D3F170" w14:textId="77777777" w:rsidR="009D33A8" w:rsidRDefault="009D33A8" w:rsidP="009D33A8">
      <w:pPr>
        <w:pStyle w:val="TableHeading"/>
        <w:pageBreakBefore/>
      </w:pPr>
      <w:r>
        <w:lastRenderedPageBreak/>
        <w:t>Disaggregated statement of changes in equity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OCIE/Link_AFR_SOCIE.xlsx|Table:Disaggregated_SOCIE_CY|TableGroup:Investment in other sectors"/>
      </w:tblPr>
      <w:tblGrid>
        <w:gridCol w:w="2552"/>
        <w:gridCol w:w="472"/>
        <w:gridCol w:w="826"/>
        <w:gridCol w:w="1050"/>
        <w:gridCol w:w="1539"/>
        <w:gridCol w:w="1498"/>
        <w:gridCol w:w="794"/>
        <w:gridCol w:w="907"/>
      </w:tblGrid>
      <w:tr w:rsidR="005E614D" w14:paraId="23248F2D" w14:textId="77777777" w:rsidTr="005A46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23EC8DDD" w14:textId="77777777" w:rsidR="005E614D" w:rsidRDefault="005E614D">
            <w:pPr>
              <w:keepNext/>
            </w:pPr>
          </w:p>
        </w:tc>
        <w:tc>
          <w:tcPr>
            <w:tcW w:w="1298" w:type="dxa"/>
            <w:gridSpan w:val="2"/>
          </w:tcPr>
          <w:p w14:paraId="450B0F8E"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50" w:type="dxa"/>
          </w:tcPr>
          <w:p w14:paraId="5460A43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539" w:type="dxa"/>
          </w:tcPr>
          <w:p w14:paraId="1A896FF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98" w:type="dxa"/>
          </w:tcPr>
          <w:p w14:paraId="2599D663"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94" w:type="dxa"/>
          </w:tcPr>
          <w:p w14:paraId="19C26484"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Other reserves</w:t>
            </w:r>
          </w:p>
        </w:tc>
        <w:tc>
          <w:tcPr>
            <w:tcW w:w="907" w:type="dxa"/>
          </w:tcPr>
          <w:p w14:paraId="5196D98B"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Total</w:t>
            </w:r>
          </w:p>
        </w:tc>
      </w:tr>
      <w:tr w:rsidR="005E614D" w14:paraId="730DCFF3"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4C95777B" w14:textId="77777777" w:rsidR="005E614D" w:rsidRDefault="000C3A94">
            <w:r>
              <w:rPr>
                <w:b/>
              </w:rPr>
              <w:t>General government sector</w:t>
            </w:r>
          </w:p>
        </w:tc>
        <w:tc>
          <w:tcPr>
            <w:tcW w:w="826" w:type="dxa"/>
          </w:tcPr>
          <w:p w14:paraId="1D15842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50" w:type="dxa"/>
          </w:tcPr>
          <w:p w14:paraId="5D7A7C5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39" w:type="dxa"/>
          </w:tcPr>
          <w:p w14:paraId="3F000E3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498" w:type="dxa"/>
          </w:tcPr>
          <w:p w14:paraId="002DFED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94" w:type="dxa"/>
          </w:tcPr>
          <w:p w14:paraId="7F96540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523375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41C9ADE"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73EF9FF3" w14:textId="77777777" w:rsidR="005E614D" w:rsidRDefault="000C3A94">
            <w:r>
              <w:rPr>
                <w:b/>
              </w:rPr>
              <w:t>Balance at 1 July 2024</w:t>
            </w:r>
          </w:p>
        </w:tc>
        <w:tc>
          <w:tcPr>
            <w:tcW w:w="826" w:type="dxa"/>
          </w:tcPr>
          <w:p w14:paraId="4AD8251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43 405</w:t>
            </w:r>
          </w:p>
        </w:tc>
        <w:tc>
          <w:tcPr>
            <w:tcW w:w="1050" w:type="dxa"/>
          </w:tcPr>
          <w:p w14:paraId="6113A7E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4A1D9D9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498" w:type="dxa"/>
          </w:tcPr>
          <w:p w14:paraId="6D328A2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46 381</w:t>
            </w:r>
          </w:p>
        </w:tc>
        <w:tc>
          <w:tcPr>
            <w:tcW w:w="794" w:type="dxa"/>
          </w:tcPr>
          <w:p w14:paraId="46EC03F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907" w:type="dxa"/>
          </w:tcPr>
          <w:p w14:paraId="6761F5B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r>
      <w:tr w:rsidR="005E614D" w14:paraId="6CB85B71"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486DF643" w14:textId="4DAB894D" w:rsidR="005E614D" w:rsidRDefault="000C3A94">
            <w:r>
              <w:t xml:space="preserve">Opening balance adjustment </w:t>
            </w:r>
            <w:r>
              <w:rPr>
                <w:vertAlign w:val="superscript"/>
              </w:rPr>
              <w:t>(a)(b)</w:t>
            </w:r>
          </w:p>
        </w:tc>
        <w:tc>
          <w:tcPr>
            <w:tcW w:w="826" w:type="dxa"/>
          </w:tcPr>
          <w:p w14:paraId="3D8D4A59" w14:textId="77777777" w:rsidR="005E614D" w:rsidRDefault="000C3A94">
            <w:pPr>
              <w:cnfStyle w:val="000000000000" w:firstRow="0" w:lastRow="0" w:firstColumn="0" w:lastColumn="0" w:oddVBand="0" w:evenVBand="0" w:oddHBand="0" w:evenHBand="0" w:firstRowFirstColumn="0" w:firstRowLastColumn="0" w:lastRowFirstColumn="0" w:lastRowLastColumn="0"/>
            </w:pPr>
            <w:r>
              <w:t>(51)</w:t>
            </w:r>
          </w:p>
        </w:tc>
        <w:tc>
          <w:tcPr>
            <w:tcW w:w="1050" w:type="dxa"/>
          </w:tcPr>
          <w:p w14:paraId="706A024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2DE68F1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010B9CC1"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794" w:type="dxa"/>
          </w:tcPr>
          <w:p w14:paraId="35894B3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17522C"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r>
      <w:tr w:rsidR="005E614D" w14:paraId="516AEACA"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7798E8D2" w14:textId="77777777" w:rsidR="005E614D" w:rsidRDefault="000C3A94">
            <w:r>
              <w:rPr>
                <w:b/>
              </w:rPr>
              <w:t>Restated balance at 1 July 2024</w:t>
            </w:r>
          </w:p>
        </w:tc>
        <w:tc>
          <w:tcPr>
            <w:tcW w:w="826" w:type="dxa"/>
          </w:tcPr>
          <w:p w14:paraId="4028BA5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43 354</w:t>
            </w:r>
          </w:p>
        </w:tc>
        <w:tc>
          <w:tcPr>
            <w:tcW w:w="1050" w:type="dxa"/>
          </w:tcPr>
          <w:p w14:paraId="7581BE1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Pr>
          <w:p w14:paraId="0D67AAA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98 544</w:t>
            </w:r>
          </w:p>
        </w:tc>
        <w:tc>
          <w:tcPr>
            <w:tcW w:w="1498" w:type="dxa"/>
          </w:tcPr>
          <w:p w14:paraId="5D0A275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46 391</w:t>
            </w:r>
          </w:p>
        </w:tc>
        <w:tc>
          <w:tcPr>
            <w:tcW w:w="794" w:type="dxa"/>
          </w:tcPr>
          <w:p w14:paraId="69937B8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1 528</w:t>
            </w:r>
          </w:p>
        </w:tc>
        <w:tc>
          <w:tcPr>
            <w:tcW w:w="907" w:type="dxa"/>
          </w:tcPr>
          <w:p w14:paraId="59F61AB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189 818</w:t>
            </w:r>
          </w:p>
        </w:tc>
      </w:tr>
      <w:tr w:rsidR="005E614D" w14:paraId="3BDF9CFC"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0DBE3635" w14:textId="77777777" w:rsidR="005E614D" w:rsidRDefault="000C3A94">
            <w:r>
              <w:t>Net result for the year</w:t>
            </w:r>
          </w:p>
        </w:tc>
        <w:tc>
          <w:tcPr>
            <w:tcW w:w="826" w:type="dxa"/>
          </w:tcPr>
          <w:p w14:paraId="5532352B"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c>
          <w:tcPr>
            <w:tcW w:w="1050" w:type="dxa"/>
          </w:tcPr>
          <w:p w14:paraId="022E890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4E4B227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3376EC8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45DD79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F243A5B" w14:textId="77777777" w:rsidR="005E614D" w:rsidRDefault="000C3A94">
            <w:pPr>
              <w:cnfStyle w:val="000000000000" w:firstRow="0" w:lastRow="0" w:firstColumn="0" w:lastColumn="0" w:oddVBand="0" w:evenVBand="0" w:oddHBand="0" w:evenHBand="0" w:firstRowFirstColumn="0" w:firstRowLastColumn="0" w:lastRowFirstColumn="0" w:lastRowLastColumn="0"/>
            </w:pPr>
            <w:r>
              <w:t>(2 030)</w:t>
            </w:r>
          </w:p>
        </w:tc>
      </w:tr>
      <w:tr w:rsidR="005E614D" w14:paraId="22647511"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0C9646EB" w14:textId="77777777" w:rsidR="005E614D" w:rsidRDefault="000C3A94">
            <w:r>
              <w:t>Other comprehensive income for the year</w:t>
            </w:r>
          </w:p>
        </w:tc>
        <w:tc>
          <w:tcPr>
            <w:tcW w:w="826" w:type="dxa"/>
          </w:tcPr>
          <w:p w14:paraId="7C2B50E7" w14:textId="77777777" w:rsidR="005E614D" w:rsidRDefault="000C3A94">
            <w:pPr>
              <w:cnfStyle w:val="000000000000" w:firstRow="0" w:lastRow="0" w:firstColumn="0" w:lastColumn="0" w:oddVBand="0" w:evenVBand="0" w:oddHBand="0" w:evenHBand="0" w:firstRowFirstColumn="0" w:firstRowLastColumn="0" w:lastRowFirstColumn="0" w:lastRowLastColumn="0"/>
            </w:pPr>
            <w:r>
              <w:t>658</w:t>
            </w:r>
          </w:p>
        </w:tc>
        <w:tc>
          <w:tcPr>
            <w:tcW w:w="1050" w:type="dxa"/>
          </w:tcPr>
          <w:p w14:paraId="24CB9C3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3234ABD8" w14:textId="77777777" w:rsidR="005E614D" w:rsidRDefault="000C3A94">
            <w:pPr>
              <w:cnfStyle w:val="000000000000" w:firstRow="0" w:lastRow="0" w:firstColumn="0" w:lastColumn="0" w:oddVBand="0" w:evenVBand="0" w:oddHBand="0" w:evenHBand="0" w:firstRowFirstColumn="0" w:firstRowLastColumn="0" w:lastRowFirstColumn="0" w:lastRowLastColumn="0"/>
            </w:pPr>
            <w:r>
              <w:t>9 345</w:t>
            </w:r>
          </w:p>
        </w:tc>
        <w:tc>
          <w:tcPr>
            <w:tcW w:w="1498" w:type="dxa"/>
          </w:tcPr>
          <w:p w14:paraId="29B14A59" w14:textId="77777777" w:rsidR="005E614D" w:rsidRDefault="000C3A94">
            <w:pPr>
              <w:cnfStyle w:val="000000000000" w:firstRow="0" w:lastRow="0" w:firstColumn="0" w:lastColumn="0" w:oddVBand="0" w:evenVBand="0" w:oddHBand="0" w:evenHBand="0" w:firstRowFirstColumn="0" w:firstRowLastColumn="0" w:lastRowFirstColumn="0" w:lastRowLastColumn="0"/>
            </w:pPr>
            <w:r>
              <w:t>(8 586)</w:t>
            </w:r>
          </w:p>
        </w:tc>
        <w:tc>
          <w:tcPr>
            <w:tcW w:w="794" w:type="dxa"/>
          </w:tcPr>
          <w:p w14:paraId="117DF9BF" w14:textId="77777777" w:rsidR="005E614D" w:rsidRDefault="000C3A94">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28E2DDD1" w14:textId="77777777" w:rsidR="005E614D" w:rsidRDefault="000C3A94">
            <w:pPr>
              <w:cnfStyle w:val="000000000000" w:firstRow="0" w:lastRow="0" w:firstColumn="0" w:lastColumn="0" w:oddVBand="0" w:evenVBand="0" w:oddHBand="0" w:evenHBand="0" w:firstRowFirstColumn="0" w:firstRowLastColumn="0" w:lastRowFirstColumn="0" w:lastRowLastColumn="0"/>
            </w:pPr>
            <w:r>
              <w:t>1 519</w:t>
            </w:r>
          </w:p>
        </w:tc>
      </w:tr>
      <w:tr w:rsidR="005E614D" w14:paraId="00D01193"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02EBD45D" w14:textId="77777777" w:rsidR="005E614D" w:rsidRDefault="000C3A94">
            <w:r>
              <w:t>Transfer to/(from) accumulated surplus</w:t>
            </w:r>
          </w:p>
        </w:tc>
        <w:tc>
          <w:tcPr>
            <w:tcW w:w="826" w:type="dxa"/>
          </w:tcPr>
          <w:p w14:paraId="2C3E965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7819E43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1455F332"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405F828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2B1F6C2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85F33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4D1619C5"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493ED54C" w14:textId="77777777" w:rsidR="005E614D" w:rsidRDefault="000C3A94">
            <w:r>
              <w:t>Dividends paid</w:t>
            </w:r>
          </w:p>
        </w:tc>
        <w:tc>
          <w:tcPr>
            <w:tcW w:w="826" w:type="dxa"/>
          </w:tcPr>
          <w:p w14:paraId="0A89947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5B12301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63CCA4E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3CDFCA2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705AFA8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D4A0E5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20C3A817"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bottom w:val="single" w:sz="6" w:space="0" w:color="auto"/>
            </w:tcBorders>
          </w:tcPr>
          <w:p w14:paraId="63E76A83" w14:textId="77777777" w:rsidR="005E614D" w:rsidRDefault="000C3A94">
            <w:r>
              <w:t>Transactions with owners in their capacity as owners</w:t>
            </w:r>
          </w:p>
        </w:tc>
        <w:tc>
          <w:tcPr>
            <w:tcW w:w="826" w:type="dxa"/>
            <w:tcBorders>
              <w:bottom w:val="single" w:sz="6" w:space="0" w:color="auto"/>
            </w:tcBorders>
          </w:tcPr>
          <w:p w14:paraId="3FEE1C8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2CC920F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Borders>
              <w:bottom w:val="single" w:sz="6" w:space="0" w:color="auto"/>
            </w:tcBorders>
          </w:tcPr>
          <w:p w14:paraId="3B0266D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663122E5"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061499A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F56D20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263D0FE2"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0D143C85" w14:textId="77777777" w:rsidR="005E614D" w:rsidRDefault="000C3A94">
            <w:r>
              <w:rPr>
                <w:b/>
              </w:rPr>
              <w:t>Balance at 30 June 2025</w:t>
            </w:r>
          </w:p>
        </w:tc>
        <w:tc>
          <w:tcPr>
            <w:tcW w:w="826" w:type="dxa"/>
            <w:tcBorders>
              <w:top w:val="single" w:sz="6" w:space="0" w:color="auto"/>
              <w:bottom w:val="single" w:sz="6" w:space="0" w:color="auto"/>
            </w:tcBorders>
          </w:tcPr>
          <w:p w14:paraId="5C627CB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41 982</w:t>
            </w:r>
          </w:p>
        </w:tc>
        <w:tc>
          <w:tcPr>
            <w:tcW w:w="1050" w:type="dxa"/>
            <w:tcBorders>
              <w:top w:val="single" w:sz="6" w:space="0" w:color="auto"/>
              <w:bottom w:val="single" w:sz="6" w:space="0" w:color="auto"/>
            </w:tcBorders>
          </w:tcPr>
          <w:p w14:paraId="4956DCA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Borders>
              <w:top w:val="single" w:sz="6" w:space="0" w:color="auto"/>
              <w:bottom w:val="single" w:sz="6" w:space="0" w:color="auto"/>
            </w:tcBorders>
          </w:tcPr>
          <w:p w14:paraId="245CF08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107 890</w:t>
            </w:r>
          </w:p>
        </w:tc>
        <w:tc>
          <w:tcPr>
            <w:tcW w:w="1498" w:type="dxa"/>
            <w:tcBorders>
              <w:top w:val="single" w:sz="6" w:space="0" w:color="auto"/>
              <w:bottom w:val="single" w:sz="6" w:space="0" w:color="auto"/>
            </w:tcBorders>
          </w:tcPr>
          <w:p w14:paraId="1C8350E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37 805</w:t>
            </w:r>
          </w:p>
        </w:tc>
        <w:tc>
          <w:tcPr>
            <w:tcW w:w="794" w:type="dxa"/>
            <w:tcBorders>
              <w:top w:val="single" w:sz="6" w:space="0" w:color="auto"/>
              <w:bottom w:val="single" w:sz="6" w:space="0" w:color="auto"/>
            </w:tcBorders>
          </w:tcPr>
          <w:p w14:paraId="74C408D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1 630</w:t>
            </w:r>
          </w:p>
        </w:tc>
        <w:tc>
          <w:tcPr>
            <w:tcW w:w="907" w:type="dxa"/>
            <w:tcBorders>
              <w:top w:val="single" w:sz="6" w:space="0" w:color="auto"/>
              <w:bottom w:val="single" w:sz="6" w:space="0" w:color="auto"/>
            </w:tcBorders>
          </w:tcPr>
          <w:p w14:paraId="1F94B05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r>
      <w:tr w:rsidR="005E614D" w14:paraId="12D812F1"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0F971FA1" w14:textId="77777777" w:rsidR="005E614D" w:rsidRDefault="000C3A94">
            <w:r>
              <w:rPr>
                <w:b/>
              </w:rPr>
              <w:t>PNFC sector</w:t>
            </w:r>
          </w:p>
        </w:tc>
        <w:tc>
          <w:tcPr>
            <w:tcW w:w="826" w:type="dxa"/>
            <w:tcBorders>
              <w:top w:val="single" w:sz="6" w:space="0" w:color="auto"/>
            </w:tcBorders>
          </w:tcPr>
          <w:p w14:paraId="33A524C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617FBB9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39" w:type="dxa"/>
            <w:tcBorders>
              <w:top w:val="single" w:sz="6" w:space="0" w:color="auto"/>
            </w:tcBorders>
          </w:tcPr>
          <w:p w14:paraId="7C4D0BB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32C64BB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7C543B3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671B27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828162D"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065B5244" w14:textId="77777777" w:rsidR="005E614D" w:rsidRDefault="000C3A94">
            <w:r>
              <w:rPr>
                <w:b/>
              </w:rPr>
              <w:t>Balance at 1 July 2024</w:t>
            </w:r>
          </w:p>
        </w:tc>
        <w:tc>
          <w:tcPr>
            <w:tcW w:w="826" w:type="dxa"/>
          </w:tcPr>
          <w:p w14:paraId="786F9C5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(33 520)</w:t>
            </w:r>
          </w:p>
        </w:tc>
        <w:tc>
          <w:tcPr>
            <w:tcW w:w="1050" w:type="dxa"/>
          </w:tcPr>
          <w:p w14:paraId="6CCDCB2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82 246</w:t>
            </w:r>
          </w:p>
        </w:tc>
        <w:tc>
          <w:tcPr>
            <w:tcW w:w="1539" w:type="dxa"/>
          </w:tcPr>
          <w:p w14:paraId="2DF7D30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33 475</w:t>
            </w:r>
          </w:p>
        </w:tc>
        <w:tc>
          <w:tcPr>
            <w:tcW w:w="1498" w:type="dxa"/>
          </w:tcPr>
          <w:p w14:paraId="1767025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65D0AA4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843</w:t>
            </w:r>
          </w:p>
        </w:tc>
        <w:tc>
          <w:tcPr>
            <w:tcW w:w="907" w:type="dxa"/>
          </w:tcPr>
          <w:p w14:paraId="112233C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83 045</w:t>
            </w:r>
          </w:p>
        </w:tc>
      </w:tr>
      <w:tr w:rsidR="005E614D" w14:paraId="1A27458F"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64E7BCD9" w14:textId="31E7B5E0" w:rsidR="005E614D" w:rsidRDefault="000C3A94">
            <w:r>
              <w:t xml:space="preserve">Opening balance adjustment </w:t>
            </w:r>
            <w:r w:rsidRPr="00273FAF">
              <w:rPr>
                <w:vertAlign w:val="superscript"/>
              </w:rPr>
              <w:t>(a)</w:t>
            </w:r>
            <w:r>
              <w:rPr>
                <w:vertAlign w:val="superscript"/>
              </w:rPr>
              <w:t>(b)</w:t>
            </w:r>
          </w:p>
        </w:tc>
        <w:tc>
          <w:tcPr>
            <w:tcW w:w="826" w:type="dxa"/>
          </w:tcPr>
          <w:p w14:paraId="2944BE61" w14:textId="77777777" w:rsidR="005E614D" w:rsidRDefault="000C3A94">
            <w:pPr>
              <w:cnfStyle w:val="000000000000" w:firstRow="0" w:lastRow="0" w:firstColumn="0" w:lastColumn="0" w:oddVBand="0" w:evenVBand="0" w:oddHBand="0" w:evenHBand="0" w:firstRowFirstColumn="0" w:firstRowLastColumn="0" w:lastRowFirstColumn="0" w:lastRowLastColumn="0"/>
            </w:pPr>
            <w:r>
              <w:t>7</w:t>
            </w:r>
          </w:p>
        </w:tc>
        <w:tc>
          <w:tcPr>
            <w:tcW w:w="1050" w:type="dxa"/>
          </w:tcPr>
          <w:p w14:paraId="4D485825" w14:textId="77777777" w:rsidR="005E614D" w:rsidRDefault="000C3A94">
            <w:pPr>
              <w:cnfStyle w:val="000000000000" w:firstRow="0" w:lastRow="0" w:firstColumn="0" w:lastColumn="0" w:oddVBand="0" w:evenVBand="0" w:oddHBand="0" w:evenHBand="0" w:firstRowFirstColumn="0" w:firstRowLastColumn="0" w:lastRowFirstColumn="0" w:lastRowLastColumn="0"/>
            </w:pPr>
            <w:r>
              <w:t>214</w:t>
            </w:r>
          </w:p>
        </w:tc>
        <w:tc>
          <w:tcPr>
            <w:tcW w:w="1539" w:type="dxa"/>
          </w:tcPr>
          <w:p w14:paraId="6B6A532A" w14:textId="77777777" w:rsidR="005E614D" w:rsidRDefault="000C3A94">
            <w:pPr>
              <w:cnfStyle w:val="000000000000" w:firstRow="0" w:lastRow="0" w:firstColumn="0" w:lastColumn="0" w:oddVBand="0" w:evenVBand="0" w:oddHBand="0" w:evenHBand="0" w:firstRowFirstColumn="0" w:firstRowLastColumn="0" w:lastRowFirstColumn="0" w:lastRowLastColumn="0"/>
            </w:pPr>
            <w:r>
              <w:t>(211)</w:t>
            </w:r>
          </w:p>
        </w:tc>
        <w:tc>
          <w:tcPr>
            <w:tcW w:w="1498" w:type="dxa"/>
          </w:tcPr>
          <w:p w14:paraId="6905564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CCC1B3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3DE282"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r>
      <w:tr w:rsidR="005E614D" w14:paraId="65466552"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6FA4387E" w14:textId="77777777" w:rsidR="005E614D" w:rsidRDefault="000C3A94">
            <w:r>
              <w:rPr>
                <w:b/>
              </w:rPr>
              <w:t>Balance at 1 July 2024</w:t>
            </w:r>
          </w:p>
        </w:tc>
        <w:tc>
          <w:tcPr>
            <w:tcW w:w="826" w:type="dxa"/>
          </w:tcPr>
          <w:p w14:paraId="0A1826C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(33 512)</w:t>
            </w:r>
          </w:p>
        </w:tc>
        <w:tc>
          <w:tcPr>
            <w:tcW w:w="1050" w:type="dxa"/>
          </w:tcPr>
          <w:p w14:paraId="5B951EA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82 460</w:t>
            </w:r>
          </w:p>
        </w:tc>
        <w:tc>
          <w:tcPr>
            <w:tcW w:w="1539" w:type="dxa"/>
          </w:tcPr>
          <w:p w14:paraId="02C6A00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33 264</w:t>
            </w:r>
          </w:p>
        </w:tc>
        <w:tc>
          <w:tcPr>
            <w:tcW w:w="1498" w:type="dxa"/>
          </w:tcPr>
          <w:p w14:paraId="18F5E37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2C242B8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843</w:t>
            </w:r>
          </w:p>
        </w:tc>
        <w:tc>
          <w:tcPr>
            <w:tcW w:w="907" w:type="dxa"/>
          </w:tcPr>
          <w:p w14:paraId="02A73FC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83 055</w:t>
            </w:r>
          </w:p>
        </w:tc>
      </w:tr>
      <w:tr w:rsidR="005E614D" w14:paraId="0867108A"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58A9E530" w14:textId="77777777" w:rsidR="005E614D" w:rsidRDefault="000C3A94">
            <w:r>
              <w:t>Net result for the year</w:t>
            </w:r>
          </w:p>
        </w:tc>
        <w:tc>
          <w:tcPr>
            <w:tcW w:w="826" w:type="dxa"/>
          </w:tcPr>
          <w:p w14:paraId="08CA5096" w14:textId="77777777" w:rsidR="005E614D" w:rsidRDefault="000C3A94">
            <w:pPr>
              <w:cnfStyle w:val="000000000000" w:firstRow="0" w:lastRow="0" w:firstColumn="0" w:lastColumn="0" w:oddVBand="0" w:evenVBand="0" w:oddHBand="0" w:evenHBand="0" w:firstRowFirstColumn="0" w:firstRowLastColumn="0" w:lastRowFirstColumn="0" w:lastRowLastColumn="0"/>
            </w:pPr>
            <w:r>
              <w:t>(13 068)</w:t>
            </w:r>
          </w:p>
        </w:tc>
        <w:tc>
          <w:tcPr>
            <w:tcW w:w="1050" w:type="dxa"/>
          </w:tcPr>
          <w:p w14:paraId="54823E6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23A163F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0185C7F1"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5412A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85CBA62" w14:textId="77777777" w:rsidR="005E614D" w:rsidRDefault="000C3A94">
            <w:pPr>
              <w:cnfStyle w:val="000000000000" w:firstRow="0" w:lastRow="0" w:firstColumn="0" w:lastColumn="0" w:oddVBand="0" w:evenVBand="0" w:oddHBand="0" w:evenHBand="0" w:firstRowFirstColumn="0" w:firstRowLastColumn="0" w:lastRowFirstColumn="0" w:lastRowLastColumn="0"/>
            </w:pPr>
            <w:r>
              <w:t>(13 068)</w:t>
            </w:r>
          </w:p>
        </w:tc>
      </w:tr>
      <w:tr w:rsidR="005E614D" w14:paraId="33212593"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74F22488" w14:textId="77777777" w:rsidR="005E614D" w:rsidRDefault="000C3A94">
            <w:r>
              <w:t>Other comprehensive income for the year</w:t>
            </w:r>
          </w:p>
        </w:tc>
        <w:tc>
          <w:tcPr>
            <w:tcW w:w="826" w:type="dxa"/>
          </w:tcPr>
          <w:p w14:paraId="087065EA" w14:textId="77777777" w:rsidR="005E614D" w:rsidRDefault="000C3A94">
            <w:pPr>
              <w:cnfStyle w:val="000000000000" w:firstRow="0" w:lastRow="0" w:firstColumn="0" w:lastColumn="0" w:oddVBand="0" w:evenVBand="0" w:oddHBand="0" w:evenHBand="0" w:firstRowFirstColumn="0" w:firstRowLastColumn="0" w:lastRowFirstColumn="0" w:lastRowLastColumn="0"/>
            </w:pPr>
            <w:r>
              <w:t>(24)</w:t>
            </w:r>
          </w:p>
        </w:tc>
        <w:tc>
          <w:tcPr>
            <w:tcW w:w="1050" w:type="dxa"/>
          </w:tcPr>
          <w:p w14:paraId="5B027E7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09BAD834" w14:textId="77777777" w:rsidR="005E614D" w:rsidRDefault="000C3A94">
            <w:pPr>
              <w:cnfStyle w:val="000000000000" w:firstRow="0" w:lastRow="0" w:firstColumn="0" w:lastColumn="0" w:oddVBand="0" w:evenVBand="0" w:oddHBand="0" w:evenHBand="0" w:firstRowFirstColumn="0" w:firstRowLastColumn="0" w:lastRowFirstColumn="0" w:lastRowLastColumn="0"/>
            </w:pPr>
            <w:r>
              <w:t>840</w:t>
            </w:r>
          </w:p>
        </w:tc>
        <w:tc>
          <w:tcPr>
            <w:tcW w:w="1498" w:type="dxa"/>
          </w:tcPr>
          <w:p w14:paraId="6004FA1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9FBFF5B" w14:textId="77777777" w:rsidR="005E614D" w:rsidRDefault="000C3A94">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13801137" w14:textId="77777777" w:rsidR="005E614D" w:rsidRDefault="000C3A94">
            <w:pPr>
              <w:cnfStyle w:val="000000000000" w:firstRow="0" w:lastRow="0" w:firstColumn="0" w:lastColumn="0" w:oddVBand="0" w:evenVBand="0" w:oddHBand="0" w:evenHBand="0" w:firstRowFirstColumn="0" w:firstRowLastColumn="0" w:lastRowFirstColumn="0" w:lastRowLastColumn="0"/>
            </w:pPr>
            <w:r>
              <w:t>830</w:t>
            </w:r>
          </w:p>
        </w:tc>
      </w:tr>
      <w:tr w:rsidR="005E614D" w14:paraId="53B7EACD"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19AB53E4" w14:textId="77777777" w:rsidR="005E614D" w:rsidRDefault="000C3A94">
            <w:r>
              <w:t>Transfer to/(from) accumulated surplus</w:t>
            </w:r>
          </w:p>
        </w:tc>
        <w:tc>
          <w:tcPr>
            <w:tcW w:w="826" w:type="dxa"/>
          </w:tcPr>
          <w:p w14:paraId="5CBE2359" w14:textId="77777777" w:rsidR="005E614D" w:rsidRDefault="000C3A94">
            <w:pPr>
              <w:cnfStyle w:val="000000000000" w:firstRow="0" w:lastRow="0" w:firstColumn="0" w:lastColumn="0" w:oddVBand="0" w:evenVBand="0" w:oddHBand="0" w:evenHBand="0" w:firstRowFirstColumn="0" w:firstRowLastColumn="0" w:lastRowFirstColumn="0" w:lastRowLastColumn="0"/>
            </w:pPr>
            <w:r>
              <w:t>38</w:t>
            </w:r>
          </w:p>
        </w:tc>
        <w:tc>
          <w:tcPr>
            <w:tcW w:w="1050" w:type="dxa"/>
          </w:tcPr>
          <w:p w14:paraId="055EFF2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286F2B46" w14:textId="77777777" w:rsidR="005E614D" w:rsidRDefault="000C3A94">
            <w:pPr>
              <w:cnfStyle w:val="000000000000" w:firstRow="0" w:lastRow="0" w:firstColumn="0" w:lastColumn="0" w:oddVBand="0" w:evenVBand="0" w:oddHBand="0" w:evenHBand="0" w:firstRowFirstColumn="0" w:firstRowLastColumn="0" w:lastRowFirstColumn="0" w:lastRowLastColumn="0"/>
            </w:pPr>
            <w:r>
              <w:t>(38)</w:t>
            </w:r>
          </w:p>
        </w:tc>
        <w:tc>
          <w:tcPr>
            <w:tcW w:w="1498" w:type="dxa"/>
          </w:tcPr>
          <w:p w14:paraId="4BDBE76F"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E4A605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65EF3B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70C3D580"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51B78CF8" w14:textId="77777777" w:rsidR="005E614D" w:rsidRDefault="000C3A94">
            <w:r>
              <w:t>Dividends paid</w:t>
            </w:r>
          </w:p>
        </w:tc>
        <w:tc>
          <w:tcPr>
            <w:tcW w:w="826" w:type="dxa"/>
          </w:tcPr>
          <w:p w14:paraId="09A7DF69" w14:textId="77777777" w:rsidR="005E614D" w:rsidRDefault="000C3A94">
            <w:pPr>
              <w:cnfStyle w:val="000000000000" w:firstRow="0" w:lastRow="0" w:firstColumn="0" w:lastColumn="0" w:oddVBand="0" w:evenVBand="0" w:oddHBand="0" w:evenHBand="0" w:firstRowFirstColumn="0" w:firstRowLastColumn="0" w:lastRowFirstColumn="0" w:lastRowLastColumn="0"/>
            </w:pPr>
            <w:r>
              <w:t>(106)</w:t>
            </w:r>
          </w:p>
        </w:tc>
        <w:tc>
          <w:tcPr>
            <w:tcW w:w="1050" w:type="dxa"/>
          </w:tcPr>
          <w:p w14:paraId="08328668"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155AED4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5C4E21D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3C75663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EDFF4EB" w14:textId="77777777" w:rsidR="005E614D" w:rsidRDefault="000C3A94">
            <w:pPr>
              <w:cnfStyle w:val="000000000000" w:firstRow="0" w:lastRow="0" w:firstColumn="0" w:lastColumn="0" w:oddVBand="0" w:evenVBand="0" w:oddHBand="0" w:evenHBand="0" w:firstRowFirstColumn="0" w:firstRowLastColumn="0" w:lastRowFirstColumn="0" w:lastRowLastColumn="0"/>
            </w:pPr>
            <w:r>
              <w:t>(106)</w:t>
            </w:r>
          </w:p>
        </w:tc>
      </w:tr>
      <w:tr w:rsidR="005E614D" w14:paraId="19664841"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bottom w:val="single" w:sz="6" w:space="0" w:color="auto"/>
            </w:tcBorders>
          </w:tcPr>
          <w:p w14:paraId="23E292B4" w14:textId="77777777" w:rsidR="005E614D" w:rsidRDefault="000C3A94">
            <w:r>
              <w:t>Transactions with owners in their capacity as owners</w:t>
            </w:r>
          </w:p>
        </w:tc>
        <w:tc>
          <w:tcPr>
            <w:tcW w:w="826" w:type="dxa"/>
            <w:tcBorders>
              <w:bottom w:val="single" w:sz="6" w:space="0" w:color="auto"/>
            </w:tcBorders>
          </w:tcPr>
          <w:p w14:paraId="4622B8F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3D1EB0B3" w14:textId="77777777" w:rsidR="005E614D" w:rsidRDefault="000C3A94">
            <w:pPr>
              <w:cnfStyle w:val="000000000000" w:firstRow="0" w:lastRow="0" w:firstColumn="0" w:lastColumn="0" w:oddVBand="0" w:evenVBand="0" w:oddHBand="0" w:evenHBand="0" w:firstRowFirstColumn="0" w:firstRowLastColumn="0" w:lastRowFirstColumn="0" w:lastRowLastColumn="0"/>
            </w:pPr>
            <w:r>
              <w:t>6 769</w:t>
            </w:r>
          </w:p>
        </w:tc>
        <w:tc>
          <w:tcPr>
            <w:tcW w:w="1539" w:type="dxa"/>
            <w:tcBorders>
              <w:bottom w:val="single" w:sz="6" w:space="0" w:color="auto"/>
            </w:tcBorders>
          </w:tcPr>
          <w:p w14:paraId="5D6D9C1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510B039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2E967A4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DDD99E8" w14:textId="77777777" w:rsidR="005E614D" w:rsidRDefault="000C3A94">
            <w:pPr>
              <w:cnfStyle w:val="000000000000" w:firstRow="0" w:lastRow="0" w:firstColumn="0" w:lastColumn="0" w:oddVBand="0" w:evenVBand="0" w:oddHBand="0" w:evenHBand="0" w:firstRowFirstColumn="0" w:firstRowLastColumn="0" w:lastRowFirstColumn="0" w:lastRowLastColumn="0"/>
            </w:pPr>
            <w:r>
              <w:t>6 769</w:t>
            </w:r>
          </w:p>
        </w:tc>
      </w:tr>
      <w:tr w:rsidR="005E614D" w14:paraId="0CD0E4A6"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03EE9978" w14:textId="77777777" w:rsidR="005E614D" w:rsidRDefault="000C3A94">
            <w:r>
              <w:rPr>
                <w:b/>
              </w:rPr>
              <w:t>Balance at 30 June 2025</w:t>
            </w:r>
          </w:p>
        </w:tc>
        <w:tc>
          <w:tcPr>
            <w:tcW w:w="826" w:type="dxa"/>
            <w:tcBorders>
              <w:top w:val="single" w:sz="6" w:space="0" w:color="auto"/>
              <w:bottom w:val="single" w:sz="6" w:space="0" w:color="auto"/>
            </w:tcBorders>
          </w:tcPr>
          <w:p w14:paraId="7382386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(46 672)</w:t>
            </w:r>
          </w:p>
        </w:tc>
        <w:tc>
          <w:tcPr>
            <w:tcW w:w="1050" w:type="dxa"/>
            <w:tcBorders>
              <w:top w:val="single" w:sz="6" w:space="0" w:color="auto"/>
              <w:bottom w:val="single" w:sz="6" w:space="0" w:color="auto"/>
            </w:tcBorders>
          </w:tcPr>
          <w:p w14:paraId="65B9CC6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89 229</w:t>
            </w:r>
          </w:p>
        </w:tc>
        <w:tc>
          <w:tcPr>
            <w:tcW w:w="1539" w:type="dxa"/>
            <w:tcBorders>
              <w:top w:val="single" w:sz="6" w:space="0" w:color="auto"/>
              <w:bottom w:val="single" w:sz="6" w:space="0" w:color="auto"/>
            </w:tcBorders>
          </w:tcPr>
          <w:p w14:paraId="23E2C23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34 066</w:t>
            </w:r>
          </w:p>
        </w:tc>
        <w:tc>
          <w:tcPr>
            <w:tcW w:w="1498" w:type="dxa"/>
            <w:tcBorders>
              <w:top w:val="single" w:sz="6" w:space="0" w:color="auto"/>
              <w:bottom w:val="single" w:sz="6" w:space="0" w:color="auto"/>
            </w:tcBorders>
          </w:tcPr>
          <w:p w14:paraId="4D41801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64DAB59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857</w:t>
            </w:r>
          </w:p>
        </w:tc>
        <w:tc>
          <w:tcPr>
            <w:tcW w:w="907" w:type="dxa"/>
            <w:tcBorders>
              <w:top w:val="single" w:sz="6" w:space="0" w:color="auto"/>
              <w:bottom w:val="single" w:sz="6" w:space="0" w:color="auto"/>
            </w:tcBorders>
          </w:tcPr>
          <w:p w14:paraId="35760CA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77 480</w:t>
            </w:r>
          </w:p>
        </w:tc>
      </w:tr>
      <w:tr w:rsidR="005E614D" w14:paraId="621BA84A"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tcBorders>
          </w:tcPr>
          <w:p w14:paraId="44E076B1" w14:textId="77777777" w:rsidR="005E614D" w:rsidRDefault="000C3A94">
            <w:r>
              <w:rPr>
                <w:b/>
              </w:rPr>
              <w:t>PFC sector</w:t>
            </w:r>
          </w:p>
        </w:tc>
        <w:tc>
          <w:tcPr>
            <w:tcW w:w="826" w:type="dxa"/>
            <w:tcBorders>
              <w:top w:val="single" w:sz="6" w:space="0" w:color="auto"/>
            </w:tcBorders>
          </w:tcPr>
          <w:p w14:paraId="72363B9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2599012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539" w:type="dxa"/>
            <w:tcBorders>
              <w:top w:val="single" w:sz="6" w:space="0" w:color="auto"/>
            </w:tcBorders>
          </w:tcPr>
          <w:p w14:paraId="79CDDAD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6951EB6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794" w:type="dxa"/>
            <w:tcBorders>
              <w:top w:val="single" w:sz="6" w:space="0" w:color="auto"/>
            </w:tcBorders>
          </w:tcPr>
          <w:p w14:paraId="06C0EBB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21EC94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716BD4E"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5A140B61" w14:textId="77777777" w:rsidR="005E614D" w:rsidRDefault="000C3A94">
            <w:r>
              <w:rPr>
                <w:b/>
              </w:rPr>
              <w:t>Balance at 1 July 2024</w:t>
            </w:r>
          </w:p>
        </w:tc>
        <w:tc>
          <w:tcPr>
            <w:tcW w:w="826" w:type="dxa"/>
          </w:tcPr>
          <w:p w14:paraId="4E0562A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13 148</w:t>
            </w:r>
          </w:p>
        </w:tc>
        <w:tc>
          <w:tcPr>
            <w:tcW w:w="1050" w:type="dxa"/>
          </w:tcPr>
          <w:p w14:paraId="3FA769E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465</w:t>
            </w:r>
          </w:p>
        </w:tc>
        <w:tc>
          <w:tcPr>
            <w:tcW w:w="1539" w:type="dxa"/>
          </w:tcPr>
          <w:p w14:paraId="1496A1B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w:t>
            </w:r>
          </w:p>
        </w:tc>
        <w:tc>
          <w:tcPr>
            <w:tcW w:w="1498" w:type="dxa"/>
          </w:tcPr>
          <w:p w14:paraId="71C6479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Pr>
          <w:p w14:paraId="5EB627F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61</w:t>
            </w:r>
          </w:p>
        </w:tc>
        <w:tc>
          <w:tcPr>
            <w:tcW w:w="907" w:type="dxa"/>
          </w:tcPr>
          <w:p w14:paraId="0D2888D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13 683</w:t>
            </w:r>
          </w:p>
        </w:tc>
      </w:tr>
      <w:tr w:rsidR="005E614D" w14:paraId="7EE11A50"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6E693652" w14:textId="77777777" w:rsidR="005E614D" w:rsidRDefault="000C3A94">
            <w:r>
              <w:t>Net result for the year</w:t>
            </w:r>
          </w:p>
        </w:tc>
        <w:tc>
          <w:tcPr>
            <w:tcW w:w="826" w:type="dxa"/>
          </w:tcPr>
          <w:p w14:paraId="5555D196" w14:textId="77777777" w:rsidR="005E614D" w:rsidRDefault="000C3A94">
            <w:pPr>
              <w:cnfStyle w:val="000000000000" w:firstRow="0" w:lastRow="0" w:firstColumn="0" w:lastColumn="0" w:oddVBand="0" w:evenVBand="0" w:oddHBand="0" w:evenHBand="0" w:firstRowFirstColumn="0" w:firstRowLastColumn="0" w:lastRowFirstColumn="0" w:lastRowLastColumn="0"/>
            </w:pPr>
            <w:r>
              <w:t>(3 523)</w:t>
            </w:r>
          </w:p>
        </w:tc>
        <w:tc>
          <w:tcPr>
            <w:tcW w:w="1050" w:type="dxa"/>
          </w:tcPr>
          <w:p w14:paraId="5856539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02D28C00"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625186EF"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6CB25BB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763522" w14:textId="77777777" w:rsidR="005E614D" w:rsidRDefault="000C3A94">
            <w:pPr>
              <w:cnfStyle w:val="000000000000" w:firstRow="0" w:lastRow="0" w:firstColumn="0" w:lastColumn="0" w:oddVBand="0" w:evenVBand="0" w:oddHBand="0" w:evenHBand="0" w:firstRowFirstColumn="0" w:firstRowLastColumn="0" w:lastRowFirstColumn="0" w:lastRowLastColumn="0"/>
            </w:pPr>
            <w:r>
              <w:t>(3 523)</w:t>
            </w:r>
          </w:p>
        </w:tc>
      </w:tr>
      <w:tr w:rsidR="005E614D" w14:paraId="58E219DF"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1CBB5B69" w14:textId="77777777" w:rsidR="005E614D" w:rsidRDefault="000C3A94">
            <w:r>
              <w:t>Other comprehensive income for the year</w:t>
            </w:r>
          </w:p>
        </w:tc>
        <w:tc>
          <w:tcPr>
            <w:tcW w:w="826" w:type="dxa"/>
          </w:tcPr>
          <w:p w14:paraId="5AAE97CB"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c>
          <w:tcPr>
            <w:tcW w:w="1050" w:type="dxa"/>
          </w:tcPr>
          <w:p w14:paraId="77023FF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2C5D55FA" w14:textId="77777777" w:rsidR="005E614D" w:rsidRDefault="000C3A94">
            <w:pPr>
              <w:cnfStyle w:val="000000000000" w:firstRow="0" w:lastRow="0" w:firstColumn="0" w:lastColumn="0" w:oddVBand="0" w:evenVBand="0" w:oddHBand="0" w:evenHBand="0" w:firstRowFirstColumn="0" w:firstRowLastColumn="0" w:lastRowFirstColumn="0" w:lastRowLastColumn="0"/>
            </w:pPr>
            <w:r>
              <w:t>4</w:t>
            </w:r>
          </w:p>
        </w:tc>
        <w:tc>
          <w:tcPr>
            <w:tcW w:w="1498" w:type="dxa"/>
          </w:tcPr>
          <w:p w14:paraId="13B830E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1C39335D"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59742CA8" w14:textId="77777777" w:rsidR="005E614D" w:rsidRDefault="000C3A94">
            <w:pPr>
              <w:cnfStyle w:val="000000000000" w:firstRow="0" w:lastRow="0" w:firstColumn="0" w:lastColumn="0" w:oddVBand="0" w:evenVBand="0" w:oddHBand="0" w:evenHBand="0" w:firstRowFirstColumn="0" w:firstRowLastColumn="0" w:lastRowFirstColumn="0" w:lastRowLastColumn="0"/>
            </w:pPr>
            <w:r>
              <w:t>3</w:t>
            </w:r>
          </w:p>
        </w:tc>
      </w:tr>
      <w:tr w:rsidR="005E614D" w14:paraId="4521EF02"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75076EFA" w14:textId="77777777" w:rsidR="005E614D" w:rsidRDefault="000C3A94">
            <w:r>
              <w:t>Transfer to/(from) accumulated surplus</w:t>
            </w:r>
          </w:p>
        </w:tc>
        <w:tc>
          <w:tcPr>
            <w:tcW w:w="826" w:type="dxa"/>
          </w:tcPr>
          <w:p w14:paraId="39396D6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6B26B034"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4642A60A"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05E89DE3"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47FDAF2F"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366DDF"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r>
      <w:tr w:rsidR="005E614D" w14:paraId="4D6ACA3A" w14:textId="77777777">
        <w:tc>
          <w:tcPr>
            <w:cnfStyle w:val="001000000000" w:firstRow="0" w:lastRow="0" w:firstColumn="1" w:lastColumn="0" w:oddVBand="0" w:evenVBand="0" w:oddHBand="0" w:evenHBand="0" w:firstRowFirstColumn="0" w:firstRowLastColumn="0" w:lastRowFirstColumn="0" w:lastRowLastColumn="0"/>
            <w:tcW w:w="3024" w:type="dxa"/>
            <w:gridSpan w:val="2"/>
          </w:tcPr>
          <w:p w14:paraId="41DB0840" w14:textId="77777777" w:rsidR="005E614D" w:rsidRDefault="000C3A94">
            <w:r>
              <w:t>Dividends paid</w:t>
            </w:r>
          </w:p>
        </w:tc>
        <w:tc>
          <w:tcPr>
            <w:tcW w:w="826" w:type="dxa"/>
          </w:tcPr>
          <w:p w14:paraId="0AD86801" w14:textId="77777777" w:rsidR="005E614D" w:rsidRDefault="000C3A94">
            <w:pPr>
              <w:cnfStyle w:val="000000000000" w:firstRow="0" w:lastRow="0" w:firstColumn="0" w:lastColumn="0" w:oddVBand="0" w:evenVBand="0" w:oddHBand="0" w:evenHBand="0" w:firstRowFirstColumn="0" w:firstRowLastColumn="0" w:lastRowFirstColumn="0" w:lastRowLastColumn="0"/>
            </w:pPr>
            <w:r>
              <w:t>(876)</w:t>
            </w:r>
          </w:p>
        </w:tc>
        <w:tc>
          <w:tcPr>
            <w:tcW w:w="1050" w:type="dxa"/>
          </w:tcPr>
          <w:p w14:paraId="2B1A9F4B"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375DCB2D"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2448496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Pr>
          <w:p w14:paraId="0434B5E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3355AD" w14:textId="77777777" w:rsidR="005E614D" w:rsidRDefault="000C3A94">
            <w:pPr>
              <w:cnfStyle w:val="000000000000" w:firstRow="0" w:lastRow="0" w:firstColumn="0" w:lastColumn="0" w:oddVBand="0" w:evenVBand="0" w:oddHBand="0" w:evenHBand="0" w:firstRowFirstColumn="0" w:firstRowLastColumn="0" w:lastRowFirstColumn="0" w:lastRowLastColumn="0"/>
            </w:pPr>
            <w:r>
              <w:t>(876)</w:t>
            </w:r>
          </w:p>
        </w:tc>
      </w:tr>
      <w:tr w:rsidR="005E614D" w14:paraId="1DB56248"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bottom w:val="single" w:sz="6" w:space="0" w:color="auto"/>
            </w:tcBorders>
          </w:tcPr>
          <w:p w14:paraId="14DD00FE" w14:textId="77777777" w:rsidR="005E614D" w:rsidRDefault="000C3A94">
            <w:r>
              <w:t>Transactions with owners in their capacity as owners</w:t>
            </w:r>
          </w:p>
        </w:tc>
        <w:tc>
          <w:tcPr>
            <w:tcW w:w="826" w:type="dxa"/>
            <w:tcBorders>
              <w:bottom w:val="single" w:sz="6" w:space="0" w:color="auto"/>
            </w:tcBorders>
          </w:tcPr>
          <w:p w14:paraId="7D7BD5A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12C06F84" w14:textId="77777777" w:rsidR="005E614D" w:rsidRDefault="000C3A94">
            <w:pPr>
              <w:cnfStyle w:val="000000000000" w:firstRow="0" w:lastRow="0" w:firstColumn="0" w:lastColumn="0" w:oddVBand="0" w:evenVBand="0" w:oddHBand="0" w:evenHBand="0" w:firstRowFirstColumn="0" w:firstRowLastColumn="0" w:lastRowFirstColumn="0" w:lastRowLastColumn="0"/>
            </w:pPr>
            <w:r>
              <w:t>75</w:t>
            </w:r>
          </w:p>
        </w:tc>
        <w:tc>
          <w:tcPr>
            <w:tcW w:w="1539" w:type="dxa"/>
            <w:tcBorders>
              <w:bottom w:val="single" w:sz="6" w:space="0" w:color="auto"/>
            </w:tcBorders>
          </w:tcPr>
          <w:p w14:paraId="7B82DA90"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6607CEAE"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794" w:type="dxa"/>
            <w:tcBorders>
              <w:bottom w:val="single" w:sz="6" w:space="0" w:color="auto"/>
            </w:tcBorders>
          </w:tcPr>
          <w:p w14:paraId="5490D987"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3F5F499" w14:textId="77777777" w:rsidR="005E614D" w:rsidRDefault="000C3A94">
            <w:pPr>
              <w:cnfStyle w:val="000000000000" w:firstRow="0" w:lastRow="0" w:firstColumn="0" w:lastColumn="0" w:oddVBand="0" w:evenVBand="0" w:oddHBand="0" w:evenHBand="0" w:firstRowFirstColumn="0" w:firstRowLastColumn="0" w:lastRowFirstColumn="0" w:lastRowLastColumn="0"/>
            </w:pPr>
            <w:r>
              <w:t>75</w:t>
            </w:r>
          </w:p>
        </w:tc>
      </w:tr>
      <w:tr w:rsidR="005E614D" w14:paraId="000CF004"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52882FAF" w14:textId="77777777" w:rsidR="005E614D" w:rsidRDefault="000C3A94">
            <w:r>
              <w:rPr>
                <w:b/>
              </w:rPr>
              <w:t>Balance at 30 June 2025</w:t>
            </w:r>
          </w:p>
        </w:tc>
        <w:tc>
          <w:tcPr>
            <w:tcW w:w="826" w:type="dxa"/>
            <w:tcBorders>
              <w:top w:val="single" w:sz="6" w:space="0" w:color="auto"/>
              <w:bottom w:val="single" w:sz="6" w:space="0" w:color="auto"/>
            </w:tcBorders>
          </w:tcPr>
          <w:p w14:paraId="4D9A2A0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8 743</w:t>
            </w:r>
          </w:p>
        </w:tc>
        <w:tc>
          <w:tcPr>
            <w:tcW w:w="1050" w:type="dxa"/>
            <w:tcBorders>
              <w:top w:val="single" w:sz="6" w:space="0" w:color="auto"/>
              <w:bottom w:val="single" w:sz="6" w:space="0" w:color="auto"/>
            </w:tcBorders>
          </w:tcPr>
          <w:p w14:paraId="2E4A7BF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540</w:t>
            </w:r>
          </w:p>
        </w:tc>
        <w:tc>
          <w:tcPr>
            <w:tcW w:w="1539" w:type="dxa"/>
            <w:tcBorders>
              <w:top w:val="single" w:sz="6" w:space="0" w:color="auto"/>
              <w:bottom w:val="single" w:sz="6" w:space="0" w:color="auto"/>
            </w:tcBorders>
          </w:tcPr>
          <w:p w14:paraId="7A82D2D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13</w:t>
            </w:r>
          </w:p>
        </w:tc>
        <w:tc>
          <w:tcPr>
            <w:tcW w:w="1498" w:type="dxa"/>
            <w:tcBorders>
              <w:top w:val="single" w:sz="6" w:space="0" w:color="auto"/>
              <w:bottom w:val="single" w:sz="6" w:space="0" w:color="auto"/>
            </w:tcBorders>
          </w:tcPr>
          <w:p w14:paraId="07DFD56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6" w:space="0" w:color="auto"/>
            </w:tcBorders>
          </w:tcPr>
          <w:p w14:paraId="310AB2F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66</w:t>
            </w:r>
          </w:p>
        </w:tc>
        <w:tc>
          <w:tcPr>
            <w:tcW w:w="907" w:type="dxa"/>
            <w:tcBorders>
              <w:top w:val="single" w:sz="6" w:space="0" w:color="auto"/>
              <w:bottom w:val="single" w:sz="6" w:space="0" w:color="auto"/>
            </w:tcBorders>
          </w:tcPr>
          <w:p w14:paraId="027FE8A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9 361</w:t>
            </w:r>
          </w:p>
        </w:tc>
      </w:tr>
      <w:tr w:rsidR="005E614D" w14:paraId="1F505F88"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6" w:space="0" w:color="auto"/>
            </w:tcBorders>
          </w:tcPr>
          <w:p w14:paraId="0B60766A" w14:textId="77777777" w:rsidR="005E614D" w:rsidRDefault="000C3A94">
            <w:r>
              <w:t>Eliminations</w:t>
            </w:r>
          </w:p>
        </w:tc>
        <w:tc>
          <w:tcPr>
            <w:tcW w:w="826" w:type="dxa"/>
            <w:tcBorders>
              <w:top w:val="single" w:sz="6" w:space="0" w:color="auto"/>
              <w:bottom w:val="single" w:sz="6" w:space="0" w:color="auto"/>
            </w:tcBorders>
          </w:tcPr>
          <w:p w14:paraId="0EAB8A63" w14:textId="77777777" w:rsidR="005E614D" w:rsidRDefault="000C3A94">
            <w:pPr>
              <w:cnfStyle w:val="000000000000" w:firstRow="0" w:lastRow="0" w:firstColumn="0" w:lastColumn="0" w:oddVBand="0" w:evenVBand="0" w:oddHBand="0" w:evenHBand="0" w:firstRowFirstColumn="0" w:firstRowLastColumn="0" w:lastRowFirstColumn="0" w:lastRowLastColumn="0"/>
            </w:pPr>
            <w:r>
              <w:t>65 413</w:t>
            </w:r>
          </w:p>
        </w:tc>
        <w:tc>
          <w:tcPr>
            <w:tcW w:w="1050" w:type="dxa"/>
            <w:tcBorders>
              <w:top w:val="single" w:sz="6" w:space="0" w:color="auto"/>
              <w:bottom w:val="single" w:sz="6" w:space="0" w:color="auto"/>
            </w:tcBorders>
          </w:tcPr>
          <w:p w14:paraId="65E89E37" w14:textId="77777777" w:rsidR="005E614D" w:rsidRDefault="000C3A94">
            <w:pPr>
              <w:cnfStyle w:val="000000000000" w:firstRow="0" w:lastRow="0" w:firstColumn="0" w:lastColumn="0" w:oddVBand="0" w:evenVBand="0" w:oddHBand="0" w:evenHBand="0" w:firstRowFirstColumn="0" w:firstRowLastColumn="0" w:lastRowFirstColumn="0" w:lastRowLastColumn="0"/>
            </w:pPr>
            <w:r>
              <w:t>(89 769)</w:t>
            </w:r>
          </w:p>
        </w:tc>
        <w:tc>
          <w:tcPr>
            <w:tcW w:w="1539" w:type="dxa"/>
            <w:tcBorders>
              <w:top w:val="single" w:sz="6" w:space="0" w:color="auto"/>
              <w:bottom w:val="single" w:sz="6" w:space="0" w:color="auto"/>
            </w:tcBorders>
          </w:tcPr>
          <w:p w14:paraId="280A868D" w14:textId="77777777" w:rsidR="005E614D" w:rsidRDefault="000C3A94">
            <w:pPr>
              <w:cnfStyle w:val="000000000000" w:firstRow="0" w:lastRow="0" w:firstColumn="0" w:lastColumn="0" w:oddVBand="0" w:evenVBand="0" w:oddHBand="0" w:evenHBand="0" w:firstRowFirstColumn="0" w:firstRowLastColumn="0" w:lastRowFirstColumn="0" w:lastRowLastColumn="0"/>
            </w:pPr>
            <w:r>
              <w:t>67 427</w:t>
            </w:r>
          </w:p>
        </w:tc>
        <w:tc>
          <w:tcPr>
            <w:tcW w:w="1498" w:type="dxa"/>
            <w:tcBorders>
              <w:top w:val="single" w:sz="6" w:space="0" w:color="auto"/>
              <w:bottom w:val="single" w:sz="6" w:space="0" w:color="auto"/>
            </w:tcBorders>
          </w:tcPr>
          <w:p w14:paraId="36D893DC" w14:textId="77777777" w:rsidR="005E614D" w:rsidRDefault="000C3A94">
            <w:pPr>
              <w:cnfStyle w:val="000000000000" w:firstRow="0" w:lastRow="0" w:firstColumn="0" w:lastColumn="0" w:oddVBand="0" w:evenVBand="0" w:oddHBand="0" w:evenHBand="0" w:firstRowFirstColumn="0" w:firstRowLastColumn="0" w:lastRowFirstColumn="0" w:lastRowLastColumn="0"/>
            </w:pPr>
            <w:r>
              <w:t>(37 805)</w:t>
            </w:r>
          </w:p>
        </w:tc>
        <w:tc>
          <w:tcPr>
            <w:tcW w:w="794" w:type="dxa"/>
            <w:tcBorders>
              <w:top w:val="single" w:sz="6" w:space="0" w:color="auto"/>
              <w:bottom w:val="single" w:sz="6" w:space="0" w:color="auto"/>
            </w:tcBorders>
          </w:tcPr>
          <w:p w14:paraId="2DAD2116"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6" w:space="0" w:color="auto"/>
            </w:tcBorders>
          </w:tcPr>
          <w:p w14:paraId="65DB0B60" w14:textId="77777777" w:rsidR="005E614D" w:rsidRDefault="000C3A94">
            <w:pPr>
              <w:cnfStyle w:val="000000000000" w:firstRow="0" w:lastRow="0" w:firstColumn="0" w:lastColumn="0" w:oddVBand="0" w:evenVBand="0" w:oddHBand="0" w:evenHBand="0" w:firstRowFirstColumn="0" w:firstRowLastColumn="0" w:lastRowFirstColumn="0" w:lastRowLastColumn="0"/>
            </w:pPr>
            <w:r>
              <w:t>5 267</w:t>
            </w:r>
          </w:p>
        </w:tc>
      </w:tr>
      <w:tr w:rsidR="005E614D" w14:paraId="3AF6E4E1" w14:textId="77777777" w:rsidTr="004A2065">
        <w:tc>
          <w:tcPr>
            <w:cnfStyle w:val="001000000000" w:firstRow="0" w:lastRow="0" w:firstColumn="1" w:lastColumn="0" w:oddVBand="0" w:evenVBand="0" w:oddHBand="0" w:evenHBand="0" w:firstRowFirstColumn="0" w:firstRowLastColumn="0" w:lastRowFirstColumn="0" w:lastRowLastColumn="0"/>
            <w:tcW w:w="3024" w:type="dxa"/>
            <w:gridSpan w:val="2"/>
            <w:tcBorders>
              <w:top w:val="single" w:sz="6" w:space="0" w:color="auto"/>
              <w:bottom w:val="single" w:sz="12" w:space="0" w:color="auto"/>
            </w:tcBorders>
          </w:tcPr>
          <w:p w14:paraId="696DAF55" w14:textId="77777777" w:rsidR="005E614D" w:rsidRDefault="000C3A94">
            <w:r>
              <w:rPr>
                <w:b/>
              </w:rPr>
              <w:t>Total State of Victoria</w:t>
            </w:r>
          </w:p>
        </w:tc>
        <w:tc>
          <w:tcPr>
            <w:tcW w:w="826" w:type="dxa"/>
            <w:tcBorders>
              <w:top w:val="single" w:sz="6" w:space="0" w:color="auto"/>
              <w:bottom w:val="single" w:sz="12" w:space="0" w:color="auto"/>
            </w:tcBorders>
          </w:tcPr>
          <w:p w14:paraId="2FEC424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69 466</w:t>
            </w:r>
          </w:p>
        </w:tc>
        <w:tc>
          <w:tcPr>
            <w:tcW w:w="1050" w:type="dxa"/>
            <w:tcBorders>
              <w:top w:val="single" w:sz="6" w:space="0" w:color="auto"/>
              <w:bottom w:val="single" w:sz="12" w:space="0" w:color="auto"/>
            </w:tcBorders>
          </w:tcPr>
          <w:p w14:paraId="15B81F1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Borders>
              <w:top w:val="single" w:sz="6" w:space="0" w:color="auto"/>
              <w:bottom w:val="single" w:sz="12" w:space="0" w:color="auto"/>
            </w:tcBorders>
          </w:tcPr>
          <w:p w14:paraId="538DD27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209 395</w:t>
            </w:r>
          </w:p>
        </w:tc>
        <w:tc>
          <w:tcPr>
            <w:tcW w:w="1498" w:type="dxa"/>
            <w:tcBorders>
              <w:top w:val="single" w:sz="6" w:space="0" w:color="auto"/>
              <w:bottom w:val="single" w:sz="12" w:space="0" w:color="auto"/>
            </w:tcBorders>
          </w:tcPr>
          <w:p w14:paraId="02D08EB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w:t>
            </w:r>
          </w:p>
        </w:tc>
        <w:tc>
          <w:tcPr>
            <w:tcW w:w="794" w:type="dxa"/>
            <w:tcBorders>
              <w:top w:val="single" w:sz="6" w:space="0" w:color="auto"/>
              <w:bottom w:val="single" w:sz="12" w:space="0" w:color="auto"/>
            </w:tcBorders>
          </w:tcPr>
          <w:p w14:paraId="15FF56F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2 554</w:t>
            </w:r>
          </w:p>
        </w:tc>
        <w:tc>
          <w:tcPr>
            <w:tcW w:w="907" w:type="dxa"/>
            <w:tcBorders>
              <w:top w:val="single" w:sz="6" w:space="0" w:color="auto"/>
              <w:bottom w:val="single" w:sz="12" w:space="0" w:color="auto"/>
            </w:tcBorders>
          </w:tcPr>
          <w:p w14:paraId="7FB76DA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281 414</w:t>
            </w:r>
          </w:p>
        </w:tc>
      </w:tr>
    </w:tbl>
    <w:p w14:paraId="6E8B02A3" w14:textId="77777777" w:rsidR="009D33A8" w:rsidRDefault="009D33A8" w:rsidP="009D33A8">
      <w:pPr>
        <w:pStyle w:val="Source"/>
      </w:pPr>
      <w:r>
        <w:t>The accompanying notes form part of these financial statements.</w:t>
      </w:r>
    </w:p>
    <w:p w14:paraId="65F128C4" w14:textId="77777777" w:rsidR="009D33A8" w:rsidRPr="00C91A33" w:rsidRDefault="009D33A8" w:rsidP="009D33A8">
      <w:pPr>
        <w:pStyle w:val="Note"/>
      </w:pPr>
      <w:r w:rsidRPr="00C91A33">
        <w:t>Note</w:t>
      </w:r>
      <w:r>
        <w:t>s</w:t>
      </w:r>
      <w:r w:rsidRPr="00C91A33">
        <w:t xml:space="preserve">: </w:t>
      </w:r>
    </w:p>
    <w:p w14:paraId="6FB5C34A" w14:textId="77777777" w:rsidR="009D33A8" w:rsidRPr="00C91A33" w:rsidRDefault="009D33A8" w:rsidP="009D33A8">
      <w:pPr>
        <w:pStyle w:val="Note"/>
      </w:pPr>
      <w:r w:rsidRPr="00C91A33">
        <w:t>(a)</w:t>
      </w:r>
      <w:r w:rsidRPr="00C91A33">
        <w:tab/>
        <w:t xml:space="preserve">On 1 July 2024, the previous State Electricity Commission of Victoria, established under the </w:t>
      </w:r>
      <w:r w:rsidRPr="00E81B8F">
        <w:rPr>
          <w:i w:val="0"/>
          <w:iCs/>
        </w:rPr>
        <w:t>State Electricity Commission Act 1958 (SEC Act)</w:t>
      </w:r>
      <w:r w:rsidRPr="00C91A33">
        <w:t xml:space="preserve"> was abolished by the commencement of the </w:t>
      </w:r>
      <w:r w:rsidRPr="00E81B8F">
        <w:rPr>
          <w:i w:val="0"/>
          <w:iCs/>
        </w:rPr>
        <w:t>State Electricity Commission Amendment Act 2024</w:t>
      </w:r>
      <w:r w:rsidRPr="00C91A33">
        <w:t xml:space="preserve"> and the residual financial assets were transferred to the Department of Energy, Environment and Climate Action. This has resulted in the 1 July 2024 opening balance not equalling the 30 June closing balance.</w:t>
      </w:r>
    </w:p>
    <w:p w14:paraId="2B11D0CA" w14:textId="77777777" w:rsidR="009D33A8" w:rsidRPr="00C91A33" w:rsidRDefault="009D33A8" w:rsidP="009D33A8">
      <w:pPr>
        <w:pStyle w:val="Note"/>
      </w:pPr>
      <w:r w:rsidRPr="00C91A33">
        <w:t>(b)</w:t>
      </w:r>
      <w:r w:rsidRPr="00C91A33">
        <w:tab/>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E81B8F">
        <w:rPr>
          <w:i w:val="0"/>
          <w:iCs/>
        </w:rPr>
        <w:t>Sustainable Forests (Timber) Repeal Act 2024</w:t>
      </w:r>
      <w:r w:rsidRPr="00C91A33">
        <w:t>, effective from 1 July 2024. This has resulted in the 1 July 2024 opening balance not equalling the 30 June closing balance.</w:t>
      </w:r>
    </w:p>
    <w:p w14:paraId="6583A63A" w14:textId="77777777" w:rsidR="009D33A8" w:rsidRDefault="009D33A8" w:rsidP="009D33A8"/>
    <w:p w14:paraId="068CFEE7" w14:textId="77777777" w:rsidR="009D33A8" w:rsidRDefault="009D33A8" w:rsidP="009D33A8"/>
    <w:p w14:paraId="6A1B92BF" w14:textId="77777777" w:rsidR="009D33A8" w:rsidRDefault="009D33A8" w:rsidP="009D33A8"/>
    <w:p w14:paraId="3ED99762" w14:textId="77777777" w:rsidR="009D33A8" w:rsidRDefault="009D33A8" w:rsidP="009D33A8"/>
    <w:p w14:paraId="3C9156F4" w14:textId="77777777" w:rsidR="009D33A8" w:rsidRDefault="009D33A8" w:rsidP="009D33A8">
      <w:pPr>
        <w:pStyle w:val="TableHeading"/>
        <w:pageBreakBefore/>
      </w:pPr>
      <w:r>
        <w:lastRenderedPageBreak/>
        <w:t>Disaggregated statement of changes in equity for the financial year ended 30 June</w:t>
      </w:r>
      <w:r w:rsidRPr="00E50422">
        <w:rPr>
          <w:sz w:val="18"/>
          <w:szCs w:val="16"/>
        </w:rPr>
        <w:t xml:space="preserve"> </w:t>
      </w:r>
      <w:r w:rsidRPr="00E50422">
        <w:rPr>
          <w:i/>
          <w:sz w:val="18"/>
          <w:szCs w:val="16"/>
        </w:rPr>
        <w:t>(continued)</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SOCIE.xlsx|Table:Disaggregated_SOCIE_PY"/>
      </w:tblPr>
      <w:tblGrid>
        <w:gridCol w:w="2422"/>
        <w:gridCol w:w="672"/>
        <w:gridCol w:w="756"/>
        <w:gridCol w:w="1050"/>
        <w:gridCol w:w="1539"/>
        <w:gridCol w:w="1498"/>
        <w:gridCol w:w="784"/>
        <w:gridCol w:w="917"/>
      </w:tblGrid>
      <w:tr w:rsidR="002F56B2" w14:paraId="2B31B3E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2" w:type="dxa"/>
          </w:tcPr>
          <w:p w14:paraId="2EC1AC01" w14:textId="77777777" w:rsidR="009D33A8" w:rsidRDefault="009D33A8">
            <w:pPr>
              <w:keepNext/>
            </w:pPr>
          </w:p>
        </w:tc>
        <w:tc>
          <w:tcPr>
            <w:tcW w:w="1428" w:type="dxa"/>
            <w:gridSpan w:val="2"/>
          </w:tcPr>
          <w:p w14:paraId="56F0624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50" w:type="dxa"/>
          </w:tcPr>
          <w:p w14:paraId="5EF7154F"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539" w:type="dxa"/>
          </w:tcPr>
          <w:p w14:paraId="47F9578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98" w:type="dxa"/>
          </w:tcPr>
          <w:p w14:paraId="439FE275"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84" w:type="dxa"/>
          </w:tcPr>
          <w:p w14:paraId="67BF8B7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Other reserves</w:t>
            </w:r>
          </w:p>
        </w:tc>
        <w:tc>
          <w:tcPr>
            <w:tcW w:w="917" w:type="dxa"/>
          </w:tcPr>
          <w:p w14:paraId="3A56B384"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Total</w:t>
            </w:r>
          </w:p>
        </w:tc>
      </w:tr>
      <w:tr w:rsidR="009D33A8" w14:paraId="57FBEE0A"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2CCEB247" w14:textId="77777777" w:rsidR="009D33A8" w:rsidRDefault="009D33A8">
            <w:r>
              <w:rPr>
                <w:b/>
              </w:rPr>
              <w:t>General government sector</w:t>
            </w:r>
          </w:p>
        </w:tc>
        <w:tc>
          <w:tcPr>
            <w:tcW w:w="756" w:type="dxa"/>
          </w:tcPr>
          <w:p w14:paraId="109A2B1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050" w:type="dxa"/>
          </w:tcPr>
          <w:p w14:paraId="05737D9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539" w:type="dxa"/>
          </w:tcPr>
          <w:p w14:paraId="3AA54C0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98" w:type="dxa"/>
          </w:tcPr>
          <w:p w14:paraId="7262FB1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84" w:type="dxa"/>
          </w:tcPr>
          <w:p w14:paraId="5A478AEE"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17" w:type="dxa"/>
          </w:tcPr>
          <w:p w14:paraId="05A9A3C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7E5C9DEB"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76E7E80C" w14:textId="77777777" w:rsidR="009D33A8" w:rsidRDefault="009D33A8">
            <w:r>
              <w:t>Balance at 1 July 2023</w:t>
            </w:r>
          </w:p>
        </w:tc>
        <w:tc>
          <w:tcPr>
            <w:tcW w:w="756" w:type="dxa"/>
          </w:tcPr>
          <w:p w14:paraId="39BDFC36" w14:textId="77777777" w:rsidR="009D33A8" w:rsidRDefault="009D33A8">
            <w:pPr>
              <w:cnfStyle w:val="000000000000" w:firstRow="0" w:lastRow="0" w:firstColumn="0" w:lastColumn="0" w:oddVBand="0" w:evenVBand="0" w:oddHBand="0" w:evenHBand="0" w:firstRowFirstColumn="0" w:firstRowLastColumn="0" w:lastRowFirstColumn="0" w:lastRowLastColumn="0"/>
            </w:pPr>
            <w:r>
              <w:t>45 889</w:t>
            </w:r>
          </w:p>
        </w:tc>
        <w:tc>
          <w:tcPr>
            <w:tcW w:w="1050" w:type="dxa"/>
          </w:tcPr>
          <w:p w14:paraId="4881742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29525337" w14:textId="77777777" w:rsidR="009D33A8" w:rsidRDefault="009D33A8">
            <w:pPr>
              <w:cnfStyle w:val="000000000000" w:firstRow="0" w:lastRow="0" w:firstColumn="0" w:lastColumn="0" w:oddVBand="0" w:evenVBand="0" w:oddHBand="0" w:evenHBand="0" w:firstRowFirstColumn="0" w:firstRowLastColumn="0" w:lastRowFirstColumn="0" w:lastRowLastColumn="0"/>
            </w:pPr>
            <w:r>
              <w:t>91 269</w:t>
            </w:r>
          </w:p>
        </w:tc>
        <w:tc>
          <w:tcPr>
            <w:tcW w:w="1498" w:type="dxa"/>
          </w:tcPr>
          <w:p w14:paraId="564F244B" w14:textId="77777777" w:rsidR="009D33A8" w:rsidRDefault="009D33A8">
            <w:pPr>
              <w:cnfStyle w:val="000000000000" w:firstRow="0" w:lastRow="0" w:firstColumn="0" w:lastColumn="0" w:oddVBand="0" w:evenVBand="0" w:oddHBand="0" w:evenHBand="0" w:firstRowFirstColumn="0" w:firstRowLastColumn="0" w:lastRowFirstColumn="0" w:lastRowLastColumn="0"/>
            </w:pPr>
            <w:r>
              <w:t>48 245</w:t>
            </w:r>
          </w:p>
        </w:tc>
        <w:tc>
          <w:tcPr>
            <w:tcW w:w="784" w:type="dxa"/>
          </w:tcPr>
          <w:p w14:paraId="35303DBE" w14:textId="77777777" w:rsidR="009D33A8" w:rsidRDefault="009D33A8">
            <w:pPr>
              <w:cnfStyle w:val="000000000000" w:firstRow="0" w:lastRow="0" w:firstColumn="0" w:lastColumn="0" w:oddVBand="0" w:evenVBand="0" w:oddHBand="0" w:evenHBand="0" w:firstRowFirstColumn="0" w:firstRowLastColumn="0" w:lastRowFirstColumn="0" w:lastRowLastColumn="0"/>
            </w:pPr>
            <w:r>
              <w:t>1 380</w:t>
            </w:r>
          </w:p>
        </w:tc>
        <w:tc>
          <w:tcPr>
            <w:tcW w:w="917" w:type="dxa"/>
          </w:tcPr>
          <w:p w14:paraId="16BD7C77" w14:textId="77777777" w:rsidR="009D33A8" w:rsidRDefault="009D33A8">
            <w:pPr>
              <w:cnfStyle w:val="000000000000" w:firstRow="0" w:lastRow="0" w:firstColumn="0" w:lastColumn="0" w:oddVBand="0" w:evenVBand="0" w:oddHBand="0" w:evenHBand="0" w:firstRowFirstColumn="0" w:firstRowLastColumn="0" w:lastRowFirstColumn="0" w:lastRowLastColumn="0"/>
            </w:pPr>
            <w:r>
              <w:t>186 783</w:t>
            </w:r>
          </w:p>
        </w:tc>
      </w:tr>
      <w:tr w:rsidR="009D33A8" w14:paraId="51612B8B"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42234585" w14:textId="77777777" w:rsidR="009D33A8" w:rsidRDefault="009D33A8">
            <w:r>
              <w:t>Net result for the year</w:t>
            </w:r>
          </w:p>
        </w:tc>
        <w:tc>
          <w:tcPr>
            <w:tcW w:w="756" w:type="dxa"/>
          </w:tcPr>
          <w:p w14:paraId="5E2ED09D" w14:textId="77777777" w:rsidR="009D33A8" w:rsidRDefault="009D33A8">
            <w:pPr>
              <w:cnfStyle w:val="000000000000" w:firstRow="0" w:lastRow="0" w:firstColumn="0" w:lastColumn="0" w:oddVBand="0" w:evenVBand="0" w:oddHBand="0" w:evenHBand="0" w:firstRowFirstColumn="0" w:firstRowLastColumn="0" w:lastRowFirstColumn="0" w:lastRowLastColumn="0"/>
            </w:pPr>
            <w:r>
              <w:t>(4 493)</w:t>
            </w:r>
          </w:p>
        </w:tc>
        <w:tc>
          <w:tcPr>
            <w:tcW w:w="1050" w:type="dxa"/>
          </w:tcPr>
          <w:p w14:paraId="4505F3F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106C6DB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2ABB024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6352C84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79DA93B3" w14:textId="77777777" w:rsidR="009D33A8" w:rsidRDefault="009D33A8">
            <w:pPr>
              <w:cnfStyle w:val="000000000000" w:firstRow="0" w:lastRow="0" w:firstColumn="0" w:lastColumn="0" w:oddVBand="0" w:evenVBand="0" w:oddHBand="0" w:evenHBand="0" w:firstRowFirstColumn="0" w:firstRowLastColumn="0" w:lastRowFirstColumn="0" w:lastRowLastColumn="0"/>
            </w:pPr>
            <w:r>
              <w:t>(4 493)</w:t>
            </w:r>
          </w:p>
        </w:tc>
      </w:tr>
      <w:tr w:rsidR="009D33A8" w14:paraId="2CC4E828"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17D05488" w14:textId="77777777" w:rsidR="009D33A8" w:rsidRDefault="009D33A8">
            <w:r>
              <w:t>Other comprehensive income for the year</w:t>
            </w:r>
          </w:p>
        </w:tc>
        <w:tc>
          <w:tcPr>
            <w:tcW w:w="756" w:type="dxa"/>
          </w:tcPr>
          <w:p w14:paraId="2E47A180" w14:textId="77777777" w:rsidR="009D33A8" w:rsidRDefault="009D33A8">
            <w:pPr>
              <w:cnfStyle w:val="000000000000" w:firstRow="0" w:lastRow="0" w:firstColumn="0" w:lastColumn="0" w:oddVBand="0" w:evenVBand="0" w:oddHBand="0" w:evenHBand="0" w:firstRowFirstColumn="0" w:firstRowLastColumn="0" w:lastRowFirstColumn="0" w:lastRowLastColumn="0"/>
            </w:pPr>
            <w:r>
              <w:t>1 635</w:t>
            </w:r>
          </w:p>
        </w:tc>
        <w:tc>
          <w:tcPr>
            <w:tcW w:w="1050" w:type="dxa"/>
          </w:tcPr>
          <w:p w14:paraId="0D0B78E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0C2A01C0" w14:textId="77777777" w:rsidR="009D33A8" w:rsidRDefault="009D33A8">
            <w:pPr>
              <w:cnfStyle w:val="000000000000" w:firstRow="0" w:lastRow="0" w:firstColumn="0" w:lastColumn="0" w:oddVBand="0" w:evenVBand="0" w:oddHBand="0" w:evenHBand="0" w:firstRowFirstColumn="0" w:firstRowLastColumn="0" w:lastRowFirstColumn="0" w:lastRowLastColumn="0"/>
            </w:pPr>
            <w:r>
              <w:t>7 650</w:t>
            </w:r>
          </w:p>
        </w:tc>
        <w:tc>
          <w:tcPr>
            <w:tcW w:w="1498" w:type="dxa"/>
          </w:tcPr>
          <w:p w14:paraId="4291CF55" w14:textId="77777777" w:rsidR="009D33A8" w:rsidRDefault="009D33A8">
            <w:pPr>
              <w:cnfStyle w:val="000000000000" w:firstRow="0" w:lastRow="0" w:firstColumn="0" w:lastColumn="0" w:oddVBand="0" w:evenVBand="0" w:oddHBand="0" w:evenHBand="0" w:firstRowFirstColumn="0" w:firstRowLastColumn="0" w:lastRowFirstColumn="0" w:lastRowLastColumn="0"/>
            </w:pPr>
            <w:r>
              <w:t>(1 864)</w:t>
            </w:r>
          </w:p>
        </w:tc>
        <w:tc>
          <w:tcPr>
            <w:tcW w:w="784" w:type="dxa"/>
          </w:tcPr>
          <w:p w14:paraId="6ECBCCA3" w14:textId="77777777" w:rsidR="009D33A8" w:rsidRDefault="009D33A8">
            <w:pPr>
              <w:cnfStyle w:val="000000000000" w:firstRow="0" w:lastRow="0" w:firstColumn="0" w:lastColumn="0" w:oddVBand="0" w:evenVBand="0" w:oddHBand="0" w:evenHBand="0" w:firstRowFirstColumn="0" w:firstRowLastColumn="0" w:lastRowFirstColumn="0" w:lastRowLastColumn="0"/>
            </w:pPr>
            <w:r>
              <w:t>149</w:t>
            </w:r>
          </w:p>
        </w:tc>
        <w:tc>
          <w:tcPr>
            <w:tcW w:w="917" w:type="dxa"/>
          </w:tcPr>
          <w:p w14:paraId="1B768479" w14:textId="77777777" w:rsidR="009D33A8" w:rsidRDefault="009D33A8">
            <w:pPr>
              <w:cnfStyle w:val="000000000000" w:firstRow="0" w:lastRow="0" w:firstColumn="0" w:lastColumn="0" w:oddVBand="0" w:evenVBand="0" w:oddHBand="0" w:evenHBand="0" w:firstRowFirstColumn="0" w:firstRowLastColumn="0" w:lastRowFirstColumn="0" w:lastRowLastColumn="0"/>
            </w:pPr>
            <w:r>
              <w:t>7 569</w:t>
            </w:r>
          </w:p>
        </w:tc>
      </w:tr>
      <w:tr w:rsidR="009D33A8" w14:paraId="206E748C"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190B03FA" w14:textId="77777777" w:rsidR="009D33A8" w:rsidRDefault="009D33A8">
            <w:r>
              <w:t>Transfer to/(from) accumulated surplus</w:t>
            </w:r>
          </w:p>
        </w:tc>
        <w:tc>
          <w:tcPr>
            <w:tcW w:w="756" w:type="dxa"/>
          </w:tcPr>
          <w:p w14:paraId="56A43F32" w14:textId="77777777" w:rsidR="009D33A8" w:rsidRDefault="009D33A8">
            <w:pPr>
              <w:cnfStyle w:val="000000000000" w:firstRow="0" w:lastRow="0" w:firstColumn="0" w:lastColumn="0" w:oddVBand="0" w:evenVBand="0" w:oddHBand="0" w:evenHBand="0" w:firstRowFirstColumn="0" w:firstRowLastColumn="0" w:lastRowFirstColumn="0" w:lastRowLastColumn="0"/>
            </w:pPr>
            <w:r>
              <w:t>375</w:t>
            </w:r>
          </w:p>
        </w:tc>
        <w:tc>
          <w:tcPr>
            <w:tcW w:w="1050" w:type="dxa"/>
          </w:tcPr>
          <w:p w14:paraId="761955E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4501589B" w14:textId="77777777" w:rsidR="009D33A8" w:rsidRDefault="009D33A8">
            <w:pPr>
              <w:cnfStyle w:val="000000000000" w:firstRow="0" w:lastRow="0" w:firstColumn="0" w:lastColumn="0" w:oddVBand="0" w:evenVBand="0" w:oddHBand="0" w:evenHBand="0" w:firstRowFirstColumn="0" w:firstRowLastColumn="0" w:lastRowFirstColumn="0" w:lastRowLastColumn="0"/>
            </w:pPr>
            <w:r>
              <w:t>(375)</w:t>
            </w:r>
          </w:p>
        </w:tc>
        <w:tc>
          <w:tcPr>
            <w:tcW w:w="1498" w:type="dxa"/>
          </w:tcPr>
          <w:p w14:paraId="5FB11C7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289E834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641F50D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124FC603"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4879EA2A" w14:textId="77777777" w:rsidR="009D33A8" w:rsidRDefault="009D33A8">
            <w:r>
              <w:t>Dividends paid</w:t>
            </w:r>
          </w:p>
        </w:tc>
        <w:tc>
          <w:tcPr>
            <w:tcW w:w="756" w:type="dxa"/>
          </w:tcPr>
          <w:p w14:paraId="081915C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4565B9A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6A8F27C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10F5284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2815F2D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6D1323C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6038C89B"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196C105F" w14:textId="77777777" w:rsidR="009D33A8" w:rsidRDefault="009D33A8">
            <w:r>
              <w:t>Transactions with owners in their capacity as owners</w:t>
            </w:r>
          </w:p>
        </w:tc>
        <w:tc>
          <w:tcPr>
            <w:tcW w:w="756" w:type="dxa"/>
            <w:tcBorders>
              <w:bottom w:val="single" w:sz="6" w:space="0" w:color="auto"/>
            </w:tcBorders>
          </w:tcPr>
          <w:p w14:paraId="61BCD79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24A795D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Borders>
              <w:bottom w:val="single" w:sz="6" w:space="0" w:color="auto"/>
            </w:tcBorders>
          </w:tcPr>
          <w:p w14:paraId="4C2C5F1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5D48536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Borders>
              <w:bottom w:val="single" w:sz="6" w:space="0" w:color="auto"/>
            </w:tcBorders>
          </w:tcPr>
          <w:p w14:paraId="3AB4D87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Borders>
              <w:bottom w:val="single" w:sz="6" w:space="0" w:color="auto"/>
            </w:tcBorders>
          </w:tcPr>
          <w:p w14:paraId="46E1D1C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1D312144"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7D74C6EF" w14:textId="77777777" w:rsidR="009D33A8" w:rsidRDefault="009D33A8">
            <w:r>
              <w:rPr>
                <w:b/>
              </w:rPr>
              <w:t>Balance at 30 June 2024</w:t>
            </w:r>
          </w:p>
        </w:tc>
        <w:tc>
          <w:tcPr>
            <w:tcW w:w="756" w:type="dxa"/>
            <w:tcBorders>
              <w:top w:val="single" w:sz="6" w:space="0" w:color="auto"/>
              <w:bottom w:val="single" w:sz="6" w:space="0" w:color="auto"/>
            </w:tcBorders>
          </w:tcPr>
          <w:p w14:paraId="0400BCD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43 405</w:t>
            </w:r>
          </w:p>
        </w:tc>
        <w:tc>
          <w:tcPr>
            <w:tcW w:w="1050" w:type="dxa"/>
            <w:tcBorders>
              <w:top w:val="single" w:sz="6" w:space="0" w:color="auto"/>
              <w:bottom w:val="single" w:sz="6" w:space="0" w:color="auto"/>
            </w:tcBorders>
          </w:tcPr>
          <w:p w14:paraId="2B59E51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Borders>
              <w:top w:val="single" w:sz="6" w:space="0" w:color="auto"/>
              <w:bottom w:val="single" w:sz="6" w:space="0" w:color="auto"/>
            </w:tcBorders>
          </w:tcPr>
          <w:p w14:paraId="32B77548"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98 544</w:t>
            </w:r>
          </w:p>
        </w:tc>
        <w:tc>
          <w:tcPr>
            <w:tcW w:w="1498" w:type="dxa"/>
            <w:tcBorders>
              <w:top w:val="single" w:sz="6" w:space="0" w:color="auto"/>
              <w:bottom w:val="single" w:sz="6" w:space="0" w:color="auto"/>
            </w:tcBorders>
          </w:tcPr>
          <w:p w14:paraId="431B2CA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46 381</w:t>
            </w:r>
          </w:p>
        </w:tc>
        <w:tc>
          <w:tcPr>
            <w:tcW w:w="784" w:type="dxa"/>
            <w:tcBorders>
              <w:top w:val="single" w:sz="6" w:space="0" w:color="auto"/>
              <w:bottom w:val="single" w:sz="6" w:space="0" w:color="auto"/>
            </w:tcBorders>
          </w:tcPr>
          <w:p w14:paraId="048C4F1F"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1 528</w:t>
            </w:r>
          </w:p>
        </w:tc>
        <w:tc>
          <w:tcPr>
            <w:tcW w:w="917" w:type="dxa"/>
            <w:tcBorders>
              <w:top w:val="single" w:sz="6" w:space="0" w:color="auto"/>
              <w:bottom w:val="single" w:sz="6" w:space="0" w:color="auto"/>
            </w:tcBorders>
          </w:tcPr>
          <w:p w14:paraId="15C40CF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189 859</w:t>
            </w:r>
          </w:p>
        </w:tc>
      </w:tr>
      <w:tr w:rsidR="009D33A8" w14:paraId="0F39EA7B"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tcBorders>
          </w:tcPr>
          <w:p w14:paraId="00D5EB86" w14:textId="77777777" w:rsidR="009D33A8" w:rsidRDefault="009D33A8">
            <w:r>
              <w:rPr>
                <w:b/>
              </w:rPr>
              <w:t>PNFC sector</w:t>
            </w:r>
          </w:p>
        </w:tc>
        <w:tc>
          <w:tcPr>
            <w:tcW w:w="756" w:type="dxa"/>
            <w:tcBorders>
              <w:top w:val="single" w:sz="6" w:space="0" w:color="auto"/>
            </w:tcBorders>
          </w:tcPr>
          <w:p w14:paraId="29B9218A"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3E4864E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539" w:type="dxa"/>
            <w:tcBorders>
              <w:top w:val="single" w:sz="6" w:space="0" w:color="auto"/>
            </w:tcBorders>
          </w:tcPr>
          <w:p w14:paraId="7A53D8FB"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7DB7FC4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165653F7"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17" w:type="dxa"/>
            <w:tcBorders>
              <w:top w:val="single" w:sz="6" w:space="0" w:color="auto"/>
            </w:tcBorders>
          </w:tcPr>
          <w:p w14:paraId="08DFDD5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48AF5741"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3BE52ECD" w14:textId="77777777" w:rsidR="009D33A8" w:rsidRDefault="009D33A8">
            <w:r>
              <w:t>Balance at 1 July 2023</w:t>
            </w:r>
          </w:p>
        </w:tc>
        <w:tc>
          <w:tcPr>
            <w:tcW w:w="756" w:type="dxa"/>
          </w:tcPr>
          <w:p w14:paraId="62413833" w14:textId="77777777" w:rsidR="009D33A8" w:rsidRDefault="009D33A8">
            <w:pPr>
              <w:cnfStyle w:val="000000000000" w:firstRow="0" w:lastRow="0" w:firstColumn="0" w:lastColumn="0" w:oddVBand="0" w:evenVBand="0" w:oddHBand="0" w:evenHBand="0" w:firstRowFirstColumn="0" w:firstRowLastColumn="0" w:lastRowFirstColumn="0" w:lastRowLastColumn="0"/>
            </w:pPr>
            <w:r>
              <w:t>(29 846)</w:t>
            </w:r>
          </w:p>
        </w:tc>
        <w:tc>
          <w:tcPr>
            <w:tcW w:w="1050" w:type="dxa"/>
          </w:tcPr>
          <w:p w14:paraId="7B15F289" w14:textId="77777777" w:rsidR="009D33A8" w:rsidRDefault="009D33A8">
            <w:pPr>
              <w:cnfStyle w:val="000000000000" w:firstRow="0" w:lastRow="0" w:firstColumn="0" w:lastColumn="0" w:oddVBand="0" w:evenVBand="0" w:oddHBand="0" w:evenHBand="0" w:firstRowFirstColumn="0" w:firstRowLastColumn="0" w:lastRowFirstColumn="0" w:lastRowLastColumn="0"/>
            </w:pPr>
            <w:r>
              <w:t>78 417</w:t>
            </w:r>
          </w:p>
        </w:tc>
        <w:tc>
          <w:tcPr>
            <w:tcW w:w="1539" w:type="dxa"/>
          </w:tcPr>
          <w:p w14:paraId="14067532" w14:textId="77777777" w:rsidR="009D33A8" w:rsidRDefault="009D33A8">
            <w:pPr>
              <w:cnfStyle w:val="000000000000" w:firstRow="0" w:lastRow="0" w:firstColumn="0" w:lastColumn="0" w:oddVBand="0" w:evenVBand="0" w:oddHBand="0" w:evenHBand="0" w:firstRowFirstColumn="0" w:firstRowLastColumn="0" w:lastRowFirstColumn="0" w:lastRowLastColumn="0"/>
            </w:pPr>
            <w:r>
              <w:t>31 605</w:t>
            </w:r>
          </w:p>
        </w:tc>
        <w:tc>
          <w:tcPr>
            <w:tcW w:w="1498" w:type="dxa"/>
          </w:tcPr>
          <w:p w14:paraId="56CAC9B7"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3CA9676B" w14:textId="77777777" w:rsidR="009D33A8" w:rsidRDefault="009D33A8">
            <w:pPr>
              <w:cnfStyle w:val="000000000000" w:firstRow="0" w:lastRow="0" w:firstColumn="0" w:lastColumn="0" w:oddVBand="0" w:evenVBand="0" w:oddHBand="0" w:evenHBand="0" w:firstRowFirstColumn="0" w:firstRowLastColumn="0" w:lastRowFirstColumn="0" w:lastRowLastColumn="0"/>
            </w:pPr>
            <w:r>
              <w:t>702</w:t>
            </w:r>
          </w:p>
        </w:tc>
        <w:tc>
          <w:tcPr>
            <w:tcW w:w="917" w:type="dxa"/>
          </w:tcPr>
          <w:p w14:paraId="49F149F7" w14:textId="77777777" w:rsidR="009D33A8" w:rsidRDefault="009D33A8">
            <w:pPr>
              <w:cnfStyle w:val="000000000000" w:firstRow="0" w:lastRow="0" w:firstColumn="0" w:lastColumn="0" w:oddVBand="0" w:evenVBand="0" w:oddHBand="0" w:evenHBand="0" w:firstRowFirstColumn="0" w:firstRowLastColumn="0" w:lastRowFirstColumn="0" w:lastRowLastColumn="0"/>
            </w:pPr>
            <w:r>
              <w:t>80 880</w:t>
            </w:r>
          </w:p>
        </w:tc>
      </w:tr>
      <w:tr w:rsidR="009D33A8" w14:paraId="337966C6"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09B3403E" w14:textId="77777777" w:rsidR="009D33A8" w:rsidRDefault="009D33A8">
            <w:r>
              <w:t>Net result for the year</w:t>
            </w:r>
          </w:p>
        </w:tc>
        <w:tc>
          <w:tcPr>
            <w:tcW w:w="756" w:type="dxa"/>
          </w:tcPr>
          <w:p w14:paraId="3CB44604" w14:textId="77777777" w:rsidR="009D33A8" w:rsidRDefault="009D33A8">
            <w:pPr>
              <w:cnfStyle w:val="000000000000" w:firstRow="0" w:lastRow="0" w:firstColumn="0" w:lastColumn="0" w:oddVBand="0" w:evenVBand="0" w:oddHBand="0" w:evenHBand="0" w:firstRowFirstColumn="0" w:firstRowLastColumn="0" w:lastRowFirstColumn="0" w:lastRowLastColumn="0"/>
            </w:pPr>
            <w:r>
              <w:t>(3 178)</w:t>
            </w:r>
          </w:p>
        </w:tc>
        <w:tc>
          <w:tcPr>
            <w:tcW w:w="1050" w:type="dxa"/>
          </w:tcPr>
          <w:p w14:paraId="6AEEE9D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6A8D7D2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5107F74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39A6F12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547F51FE" w14:textId="77777777" w:rsidR="009D33A8" w:rsidRDefault="009D33A8">
            <w:pPr>
              <w:cnfStyle w:val="000000000000" w:firstRow="0" w:lastRow="0" w:firstColumn="0" w:lastColumn="0" w:oddVBand="0" w:evenVBand="0" w:oddHBand="0" w:evenHBand="0" w:firstRowFirstColumn="0" w:firstRowLastColumn="0" w:lastRowFirstColumn="0" w:lastRowLastColumn="0"/>
            </w:pPr>
            <w:r>
              <w:t>(3 178)</w:t>
            </w:r>
          </w:p>
        </w:tc>
      </w:tr>
      <w:tr w:rsidR="009D33A8" w14:paraId="68B4C8FA"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53688A2D" w14:textId="77777777" w:rsidR="009D33A8" w:rsidRDefault="009D33A8">
            <w:r>
              <w:t>Other comprehensive income for the year</w:t>
            </w:r>
          </w:p>
        </w:tc>
        <w:tc>
          <w:tcPr>
            <w:tcW w:w="756" w:type="dxa"/>
          </w:tcPr>
          <w:p w14:paraId="6C89CECA" w14:textId="77777777" w:rsidR="009D33A8" w:rsidRDefault="009D33A8">
            <w:pPr>
              <w:cnfStyle w:val="000000000000" w:firstRow="0" w:lastRow="0" w:firstColumn="0" w:lastColumn="0" w:oddVBand="0" w:evenVBand="0" w:oddHBand="0" w:evenHBand="0" w:firstRowFirstColumn="0" w:firstRowLastColumn="0" w:lastRowFirstColumn="0" w:lastRowLastColumn="0"/>
            </w:pPr>
            <w:r>
              <w:t>(300)</w:t>
            </w:r>
          </w:p>
        </w:tc>
        <w:tc>
          <w:tcPr>
            <w:tcW w:w="1050" w:type="dxa"/>
          </w:tcPr>
          <w:p w14:paraId="7DCF118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0BE0EC92" w14:textId="77777777" w:rsidR="009D33A8" w:rsidRDefault="009D33A8">
            <w:pPr>
              <w:cnfStyle w:val="000000000000" w:firstRow="0" w:lastRow="0" w:firstColumn="0" w:lastColumn="0" w:oddVBand="0" w:evenVBand="0" w:oddHBand="0" w:evenHBand="0" w:firstRowFirstColumn="0" w:firstRowLastColumn="0" w:lastRowFirstColumn="0" w:lastRowLastColumn="0"/>
            </w:pPr>
            <w:r>
              <w:t>1 880</w:t>
            </w:r>
          </w:p>
        </w:tc>
        <w:tc>
          <w:tcPr>
            <w:tcW w:w="1498" w:type="dxa"/>
          </w:tcPr>
          <w:p w14:paraId="4EE0663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11BF4420" w14:textId="77777777" w:rsidR="009D33A8" w:rsidRDefault="009D33A8">
            <w:pPr>
              <w:cnfStyle w:val="000000000000" w:firstRow="0" w:lastRow="0" w:firstColumn="0" w:lastColumn="0" w:oddVBand="0" w:evenVBand="0" w:oddHBand="0" w:evenHBand="0" w:firstRowFirstColumn="0" w:firstRowLastColumn="0" w:lastRowFirstColumn="0" w:lastRowLastColumn="0"/>
            </w:pPr>
            <w:r>
              <w:t>140</w:t>
            </w:r>
          </w:p>
        </w:tc>
        <w:tc>
          <w:tcPr>
            <w:tcW w:w="917" w:type="dxa"/>
          </w:tcPr>
          <w:p w14:paraId="71A52CCE" w14:textId="77777777" w:rsidR="009D33A8" w:rsidRDefault="009D33A8">
            <w:pPr>
              <w:cnfStyle w:val="000000000000" w:firstRow="0" w:lastRow="0" w:firstColumn="0" w:lastColumn="0" w:oddVBand="0" w:evenVBand="0" w:oddHBand="0" w:evenHBand="0" w:firstRowFirstColumn="0" w:firstRowLastColumn="0" w:lastRowFirstColumn="0" w:lastRowLastColumn="0"/>
            </w:pPr>
            <w:r>
              <w:t>1 721</w:t>
            </w:r>
          </w:p>
        </w:tc>
      </w:tr>
      <w:tr w:rsidR="009D33A8" w14:paraId="69698A64"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7A8F1F9E" w14:textId="77777777" w:rsidR="009D33A8" w:rsidRDefault="009D33A8">
            <w:r>
              <w:t>Transfer to/(from) accumulated surplus</w:t>
            </w:r>
          </w:p>
        </w:tc>
        <w:tc>
          <w:tcPr>
            <w:tcW w:w="756" w:type="dxa"/>
          </w:tcPr>
          <w:p w14:paraId="5FBCF9D1" w14:textId="77777777" w:rsidR="009D33A8" w:rsidRDefault="009D33A8">
            <w:pPr>
              <w:cnfStyle w:val="000000000000" w:firstRow="0" w:lastRow="0" w:firstColumn="0" w:lastColumn="0" w:oddVBand="0" w:evenVBand="0" w:oddHBand="0" w:evenHBand="0" w:firstRowFirstColumn="0" w:firstRowLastColumn="0" w:lastRowFirstColumn="0" w:lastRowLastColumn="0"/>
            </w:pPr>
            <w:r>
              <w:t>10</w:t>
            </w:r>
          </w:p>
        </w:tc>
        <w:tc>
          <w:tcPr>
            <w:tcW w:w="1050" w:type="dxa"/>
          </w:tcPr>
          <w:p w14:paraId="6FC8A5D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7F8FC814" w14:textId="77777777" w:rsidR="009D33A8" w:rsidRDefault="009D33A8">
            <w:pPr>
              <w:cnfStyle w:val="000000000000" w:firstRow="0" w:lastRow="0" w:firstColumn="0" w:lastColumn="0" w:oddVBand="0" w:evenVBand="0" w:oddHBand="0" w:evenHBand="0" w:firstRowFirstColumn="0" w:firstRowLastColumn="0" w:lastRowFirstColumn="0" w:lastRowLastColumn="0"/>
            </w:pPr>
            <w:r>
              <w:t>(10)</w:t>
            </w:r>
          </w:p>
        </w:tc>
        <w:tc>
          <w:tcPr>
            <w:tcW w:w="1498" w:type="dxa"/>
          </w:tcPr>
          <w:p w14:paraId="49FB9B7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54888D0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1597537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01F8F617"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10EF04D5" w14:textId="77777777" w:rsidR="009D33A8" w:rsidRDefault="009D33A8">
            <w:r>
              <w:t>Dividends paid</w:t>
            </w:r>
          </w:p>
        </w:tc>
        <w:tc>
          <w:tcPr>
            <w:tcW w:w="756" w:type="dxa"/>
          </w:tcPr>
          <w:p w14:paraId="3C992570" w14:textId="77777777" w:rsidR="009D33A8" w:rsidRDefault="009D33A8">
            <w:pPr>
              <w:cnfStyle w:val="000000000000" w:firstRow="0" w:lastRow="0" w:firstColumn="0" w:lastColumn="0" w:oddVBand="0" w:evenVBand="0" w:oddHBand="0" w:evenHBand="0" w:firstRowFirstColumn="0" w:firstRowLastColumn="0" w:lastRowFirstColumn="0" w:lastRowLastColumn="0"/>
            </w:pPr>
            <w:r>
              <w:t>(206)</w:t>
            </w:r>
          </w:p>
        </w:tc>
        <w:tc>
          <w:tcPr>
            <w:tcW w:w="1050" w:type="dxa"/>
          </w:tcPr>
          <w:p w14:paraId="5A3E0D28"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198B9EB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1C54642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6C93740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6FD60E8C" w14:textId="77777777" w:rsidR="009D33A8" w:rsidRDefault="009D33A8">
            <w:pPr>
              <w:cnfStyle w:val="000000000000" w:firstRow="0" w:lastRow="0" w:firstColumn="0" w:lastColumn="0" w:oddVBand="0" w:evenVBand="0" w:oddHBand="0" w:evenHBand="0" w:firstRowFirstColumn="0" w:firstRowLastColumn="0" w:lastRowFirstColumn="0" w:lastRowLastColumn="0"/>
            </w:pPr>
            <w:r>
              <w:t>(206)</w:t>
            </w:r>
          </w:p>
        </w:tc>
      </w:tr>
      <w:tr w:rsidR="009D33A8" w14:paraId="0BB2C179"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4705931E" w14:textId="77777777" w:rsidR="009D33A8" w:rsidRDefault="009D33A8">
            <w:r>
              <w:t>Transactions with owners in their capacity as owners</w:t>
            </w:r>
          </w:p>
        </w:tc>
        <w:tc>
          <w:tcPr>
            <w:tcW w:w="756" w:type="dxa"/>
            <w:tcBorders>
              <w:bottom w:val="single" w:sz="6" w:space="0" w:color="auto"/>
            </w:tcBorders>
          </w:tcPr>
          <w:p w14:paraId="3BE9B9A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1084C8D0" w14:textId="77777777" w:rsidR="009D33A8" w:rsidRDefault="009D33A8">
            <w:pPr>
              <w:cnfStyle w:val="000000000000" w:firstRow="0" w:lastRow="0" w:firstColumn="0" w:lastColumn="0" w:oddVBand="0" w:evenVBand="0" w:oddHBand="0" w:evenHBand="0" w:firstRowFirstColumn="0" w:firstRowLastColumn="0" w:lastRowFirstColumn="0" w:lastRowLastColumn="0"/>
            </w:pPr>
            <w:r>
              <w:t>3 829</w:t>
            </w:r>
          </w:p>
        </w:tc>
        <w:tc>
          <w:tcPr>
            <w:tcW w:w="1539" w:type="dxa"/>
            <w:tcBorders>
              <w:bottom w:val="single" w:sz="6" w:space="0" w:color="auto"/>
            </w:tcBorders>
          </w:tcPr>
          <w:p w14:paraId="5118986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379C3E4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Borders>
              <w:bottom w:val="single" w:sz="6" w:space="0" w:color="auto"/>
            </w:tcBorders>
          </w:tcPr>
          <w:p w14:paraId="000EEC5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Borders>
              <w:bottom w:val="single" w:sz="6" w:space="0" w:color="auto"/>
            </w:tcBorders>
          </w:tcPr>
          <w:p w14:paraId="578E5DD6" w14:textId="77777777" w:rsidR="009D33A8" w:rsidRDefault="009D33A8">
            <w:pPr>
              <w:cnfStyle w:val="000000000000" w:firstRow="0" w:lastRow="0" w:firstColumn="0" w:lastColumn="0" w:oddVBand="0" w:evenVBand="0" w:oddHBand="0" w:evenHBand="0" w:firstRowFirstColumn="0" w:firstRowLastColumn="0" w:lastRowFirstColumn="0" w:lastRowLastColumn="0"/>
            </w:pPr>
            <w:r>
              <w:t>3 829</w:t>
            </w:r>
          </w:p>
        </w:tc>
      </w:tr>
      <w:tr w:rsidR="009D33A8" w14:paraId="2028635D"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63B50131" w14:textId="77777777" w:rsidR="009D33A8" w:rsidRDefault="009D33A8">
            <w:r>
              <w:rPr>
                <w:b/>
              </w:rPr>
              <w:t>Balance at 30 June 2024</w:t>
            </w:r>
          </w:p>
        </w:tc>
        <w:tc>
          <w:tcPr>
            <w:tcW w:w="756" w:type="dxa"/>
            <w:tcBorders>
              <w:top w:val="single" w:sz="6" w:space="0" w:color="auto"/>
              <w:bottom w:val="single" w:sz="6" w:space="0" w:color="auto"/>
            </w:tcBorders>
          </w:tcPr>
          <w:p w14:paraId="31FBA485"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(33 520)</w:t>
            </w:r>
          </w:p>
        </w:tc>
        <w:tc>
          <w:tcPr>
            <w:tcW w:w="1050" w:type="dxa"/>
            <w:tcBorders>
              <w:top w:val="single" w:sz="6" w:space="0" w:color="auto"/>
              <w:bottom w:val="single" w:sz="6" w:space="0" w:color="auto"/>
            </w:tcBorders>
          </w:tcPr>
          <w:p w14:paraId="1DE3557D"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82 246</w:t>
            </w:r>
          </w:p>
        </w:tc>
        <w:tc>
          <w:tcPr>
            <w:tcW w:w="1539" w:type="dxa"/>
            <w:tcBorders>
              <w:top w:val="single" w:sz="6" w:space="0" w:color="auto"/>
              <w:bottom w:val="single" w:sz="6" w:space="0" w:color="auto"/>
            </w:tcBorders>
          </w:tcPr>
          <w:p w14:paraId="355367B7"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33 475</w:t>
            </w:r>
          </w:p>
        </w:tc>
        <w:tc>
          <w:tcPr>
            <w:tcW w:w="1498" w:type="dxa"/>
            <w:tcBorders>
              <w:top w:val="single" w:sz="6" w:space="0" w:color="auto"/>
              <w:bottom w:val="single" w:sz="6" w:space="0" w:color="auto"/>
            </w:tcBorders>
          </w:tcPr>
          <w:p w14:paraId="5BBEA00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bottom w:val="single" w:sz="6" w:space="0" w:color="auto"/>
            </w:tcBorders>
          </w:tcPr>
          <w:p w14:paraId="3B0D665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843</w:t>
            </w:r>
          </w:p>
        </w:tc>
        <w:tc>
          <w:tcPr>
            <w:tcW w:w="917" w:type="dxa"/>
            <w:tcBorders>
              <w:top w:val="single" w:sz="6" w:space="0" w:color="auto"/>
              <w:bottom w:val="single" w:sz="6" w:space="0" w:color="auto"/>
            </w:tcBorders>
          </w:tcPr>
          <w:p w14:paraId="0C1BC38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83 045</w:t>
            </w:r>
          </w:p>
        </w:tc>
      </w:tr>
      <w:tr w:rsidR="009D33A8" w14:paraId="2C809A1E"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tcBorders>
          </w:tcPr>
          <w:p w14:paraId="4878BA68" w14:textId="77777777" w:rsidR="009D33A8" w:rsidRDefault="009D33A8">
            <w:r>
              <w:rPr>
                <w:b/>
              </w:rPr>
              <w:t>PFC sector</w:t>
            </w:r>
          </w:p>
        </w:tc>
        <w:tc>
          <w:tcPr>
            <w:tcW w:w="756" w:type="dxa"/>
            <w:tcBorders>
              <w:top w:val="single" w:sz="6" w:space="0" w:color="auto"/>
            </w:tcBorders>
          </w:tcPr>
          <w:p w14:paraId="5A93F688"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050" w:type="dxa"/>
            <w:tcBorders>
              <w:top w:val="single" w:sz="6" w:space="0" w:color="auto"/>
            </w:tcBorders>
          </w:tcPr>
          <w:p w14:paraId="79659592"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539" w:type="dxa"/>
            <w:tcBorders>
              <w:top w:val="single" w:sz="6" w:space="0" w:color="auto"/>
            </w:tcBorders>
          </w:tcPr>
          <w:p w14:paraId="4927FDE5"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1498" w:type="dxa"/>
            <w:tcBorders>
              <w:top w:val="single" w:sz="6" w:space="0" w:color="auto"/>
            </w:tcBorders>
          </w:tcPr>
          <w:p w14:paraId="1E441DC6"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784" w:type="dxa"/>
            <w:tcBorders>
              <w:top w:val="single" w:sz="6" w:space="0" w:color="auto"/>
            </w:tcBorders>
          </w:tcPr>
          <w:p w14:paraId="3636F7C4"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c>
          <w:tcPr>
            <w:tcW w:w="917" w:type="dxa"/>
            <w:tcBorders>
              <w:top w:val="single" w:sz="6" w:space="0" w:color="auto"/>
            </w:tcBorders>
          </w:tcPr>
          <w:p w14:paraId="75CBF4F0" w14:textId="77777777" w:rsidR="009D33A8" w:rsidRDefault="009D33A8">
            <w:pPr>
              <w:cnfStyle w:val="000000000000" w:firstRow="0" w:lastRow="0" w:firstColumn="0" w:lastColumn="0" w:oddVBand="0" w:evenVBand="0" w:oddHBand="0" w:evenHBand="0" w:firstRowFirstColumn="0" w:firstRowLastColumn="0" w:lastRowFirstColumn="0" w:lastRowLastColumn="0"/>
            </w:pPr>
          </w:p>
        </w:tc>
      </w:tr>
      <w:tr w:rsidR="009D33A8" w14:paraId="07C0F59A"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5CA53F59" w14:textId="77777777" w:rsidR="009D33A8" w:rsidRDefault="009D33A8">
            <w:r>
              <w:t>Balance at 1 July 2023</w:t>
            </w:r>
          </w:p>
        </w:tc>
        <w:tc>
          <w:tcPr>
            <w:tcW w:w="756" w:type="dxa"/>
          </w:tcPr>
          <w:p w14:paraId="4A7C19FD" w14:textId="77777777" w:rsidR="009D33A8" w:rsidRDefault="009D33A8">
            <w:pPr>
              <w:cnfStyle w:val="000000000000" w:firstRow="0" w:lastRow="0" w:firstColumn="0" w:lastColumn="0" w:oddVBand="0" w:evenVBand="0" w:oddHBand="0" w:evenHBand="0" w:firstRowFirstColumn="0" w:firstRowLastColumn="0" w:lastRowFirstColumn="0" w:lastRowLastColumn="0"/>
            </w:pPr>
            <w:r>
              <w:t>13 065</w:t>
            </w:r>
          </w:p>
        </w:tc>
        <w:tc>
          <w:tcPr>
            <w:tcW w:w="1050" w:type="dxa"/>
          </w:tcPr>
          <w:p w14:paraId="15FDE4E4" w14:textId="77777777" w:rsidR="009D33A8" w:rsidRDefault="009D33A8">
            <w:pPr>
              <w:cnfStyle w:val="000000000000" w:firstRow="0" w:lastRow="0" w:firstColumn="0" w:lastColumn="0" w:oddVBand="0" w:evenVBand="0" w:oddHBand="0" w:evenHBand="0" w:firstRowFirstColumn="0" w:firstRowLastColumn="0" w:lastRowFirstColumn="0" w:lastRowLastColumn="0"/>
            </w:pPr>
            <w:r>
              <w:t>290</w:t>
            </w:r>
          </w:p>
        </w:tc>
        <w:tc>
          <w:tcPr>
            <w:tcW w:w="1539" w:type="dxa"/>
          </w:tcPr>
          <w:p w14:paraId="4842BA79" w14:textId="77777777" w:rsidR="009D33A8" w:rsidRDefault="009D33A8">
            <w:pPr>
              <w:cnfStyle w:val="000000000000" w:firstRow="0" w:lastRow="0" w:firstColumn="0" w:lastColumn="0" w:oddVBand="0" w:evenVBand="0" w:oddHBand="0" w:evenHBand="0" w:firstRowFirstColumn="0" w:firstRowLastColumn="0" w:lastRowFirstColumn="0" w:lastRowLastColumn="0"/>
            </w:pPr>
            <w:r>
              <w:t>10</w:t>
            </w:r>
          </w:p>
        </w:tc>
        <w:tc>
          <w:tcPr>
            <w:tcW w:w="1498" w:type="dxa"/>
          </w:tcPr>
          <w:p w14:paraId="42F87DE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52033833" w14:textId="77777777" w:rsidR="009D33A8" w:rsidRDefault="009D33A8">
            <w:pPr>
              <w:cnfStyle w:val="000000000000" w:firstRow="0" w:lastRow="0" w:firstColumn="0" w:lastColumn="0" w:oddVBand="0" w:evenVBand="0" w:oddHBand="0" w:evenHBand="0" w:firstRowFirstColumn="0" w:firstRowLastColumn="0" w:lastRowFirstColumn="0" w:lastRowLastColumn="0"/>
            </w:pPr>
            <w:r>
              <w:t>57</w:t>
            </w:r>
          </w:p>
        </w:tc>
        <w:tc>
          <w:tcPr>
            <w:tcW w:w="917" w:type="dxa"/>
          </w:tcPr>
          <w:p w14:paraId="608FCD39" w14:textId="77777777" w:rsidR="009D33A8" w:rsidRDefault="009D33A8">
            <w:pPr>
              <w:cnfStyle w:val="000000000000" w:firstRow="0" w:lastRow="0" w:firstColumn="0" w:lastColumn="0" w:oddVBand="0" w:evenVBand="0" w:oddHBand="0" w:evenHBand="0" w:firstRowFirstColumn="0" w:firstRowLastColumn="0" w:lastRowFirstColumn="0" w:lastRowLastColumn="0"/>
            </w:pPr>
            <w:r>
              <w:t>13 421</w:t>
            </w:r>
          </w:p>
        </w:tc>
      </w:tr>
      <w:tr w:rsidR="009D33A8" w14:paraId="7DB2C876"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109ACC05" w14:textId="77777777" w:rsidR="009D33A8" w:rsidRDefault="009D33A8">
            <w:r>
              <w:t>Net result for the year</w:t>
            </w:r>
          </w:p>
        </w:tc>
        <w:tc>
          <w:tcPr>
            <w:tcW w:w="756" w:type="dxa"/>
          </w:tcPr>
          <w:p w14:paraId="1D91A2B3" w14:textId="77777777" w:rsidR="009D33A8" w:rsidRDefault="009D33A8">
            <w:pPr>
              <w:cnfStyle w:val="000000000000" w:firstRow="0" w:lastRow="0" w:firstColumn="0" w:lastColumn="0" w:oddVBand="0" w:evenVBand="0" w:oddHBand="0" w:evenHBand="0" w:firstRowFirstColumn="0" w:firstRowLastColumn="0" w:lastRowFirstColumn="0" w:lastRowLastColumn="0"/>
            </w:pPr>
            <w:r>
              <w:t>1 320</w:t>
            </w:r>
          </w:p>
        </w:tc>
        <w:tc>
          <w:tcPr>
            <w:tcW w:w="1050" w:type="dxa"/>
          </w:tcPr>
          <w:p w14:paraId="771B806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751A8F70"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16FDC49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206B5C9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51CB4214" w14:textId="77777777" w:rsidR="009D33A8" w:rsidRDefault="009D33A8">
            <w:pPr>
              <w:cnfStyle w:val="000000000000" w:firstRow="0" w:lastRow="0" w:firstColumn="0" w:lastColumn="0" w:oddVBand="0" w:evenVBand="0" w:oddHBand="0" w:evenHBand="0" w:firstRowFirstColumn="0" w:firstRowLastColumn="0" w:lastRowFirstColumn="0" w:lastRowLastColumn="0"/>
            </w:pPr>
            <w:r>
              <w:t>1 320</w:t>
            </w:r>
          </w:p>
        </w:tc>
      </w:tr>
      <w:tr w:rsidR="009D33A8" w14:paraId="750E9334"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4EC156D8" w14:textId="77777777" w:rsidR="009D33A8" w:rsidRDefault="009D33A8">
            <w:r>
              <w:t>Other comprehensive income for the year</w:t>
            </w:r>
          </w:p>
        </w:tc>
        <w:tc>
          <w:tcPr>
            <w:tcW w:w="756" w:type="dxa"/>
          </w:tcPr>
          <w:p w14:paraId="6A2D7F99"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1050" w:type="dxa"/>
          </w:tcPr>
          <w:p w14:paraId="6E84F65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7DEB0E57" w14:textId="77777777" w:rsidR="009D33A8" w:rsidRDefault="009D33A8">
            <w:pPr>
              <w:cnfStyle w:val="000000000000" w:firstRow="0" w:lastRow="0" w:firstColumn="0" w:lastColumn="0" w:oddVBand="0" w:evenVBand="0" w:oddHBand="0" w:evenHBand="0" w:firstRowFirstColumn="0" w:firstRowLastColumn="0" w:lastRowFirstColumn="0" w:lastRowLastColumn="0"/>
            </w:pPr>
            <w:r>
              <w:t>(1)</w:t>
            </w:r>
          </w:p>
        </w:tc>
        <w:tc>
          <w:tcPr>
            <w:tcW w:w="1498" w:type="dxa"/>
          </w:tcPr>
          <w:p w14:paraId="3D921C5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2956DFE6" w14:textId="77777777" w:rsidR="009D33A8" w:rsidRDefault="009D33A8">
            <w:pPr>
              <w:cnfStyle w:val="000000000000" w:firstRow="0" w:lastRow="0" w:firstColumn="0" w:lastColumn="0" w:oddVBand="0" w:evenVBand="0" w:oddHBand="0" w:evenHBand="0" w:firstRowFirstColumn="0" w:firstRowLastColumn="0" w:lastRowFirstColumn="0" w:lastRowLastColumn="0"/>
            </w:pPr>
            <w:r>
              <w:t>4</w:t>
            </w:r>
          </w:p>
        </w:tc>
        <w:tc>
          <w:tcPr>
            <w:tcW w:w="917" w:type="dxa"/>
          </w:tcPr>
          <w:p w14:paraId="04D8324E" w14:textId="77777777" w:rsidR="009D33A8" w:rsidRDefault="009D33A8">
            <w:pPr>
              <w:cnfStyle w:val="000000000000" w:firstRow="0" w:lastRow="0" w:firstColumn="0" w:lastColumn="0" w:oddVBand="0" w:evenVBand="0" w:oddHBand="0" w:evenHBand="0" w:firstRowFirstColumn="0" w:firstRowLastColumn="0" w:lastRowFirstColumn="0" w:lastRowLastColumn="0"/>
            </w:pPr>
            <w:r>
              <w:t>(2)</w:t>
            </w:r>
          </w:p>
        </w:tc>
      </w:tr>
      <w:tr w:rsidR="009D33A8" w14:paraId="2173ACFC"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4B322CEC" w14:textId="77777777" w:rsidR="009D33A8" w:rsidRDefault="009D33A8">
            <w:r>
              <w:t>Transfer to/(from) accumulated surplus</w:t>
            </w:r>
          </w:p>
        </w:tc>
        <w:tc>
          <w:tcPr>
            <w:tcW w:w="756" w:type="dxa"/>
          </w:tcPr>
          <w:p w14:paraId="5EF23D76"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50" w:type="dxa"/>
          </w:tcPr>
          <w:p w14:paraId="0E2CCF02"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680E2BD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02B5703E"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059F9B6C"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571A27B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567D330F" w14:textId="77777777">
        <w:tc>
          <w:tcPr>
            <w:cnfStyle w:val="001000000000" w:firstRow="0" w:lastRow="0" w:firstColumn="1" w:lastColumn="0" w:oddVBand="0" w:evenVBand="0" w:oddHBand="0" w:evenHBand="0" w:firstRowFirstColumn="0" w:firstRowLastColumn="0" w:lastRowFirstColumn="0" w:lastRowLastColumn="0"/>
            <w:tcW w:w="3094" w:type="dxa"/>
            <w:gridSpan w:val="2"/>
          </w:tcPr>
          <w:p w14:paraId="6DC00B99" w14:textId="77777777" w:rsidR="009D33A8" w:rsidRDefault="009D33A8">
            <w:r>
              <w:t>Dividends paid</w:t>
            </w:r>
          </w:p>
        </w:tc>
        <w:tc>
          <w:tcPr>
            <w:tcW w:w="756" w:type="dxa"/>
          </w:tcPr>
          <w:p w14:paraId="7B89D46E" w14:textId="77777777" w:rsidR="009D33A8" w:rsidRDefault="009D33A8">
            <w:pPr>
              <w:cnfStyle w:val="000000000000" w:firstRow="0" w:lastRow="0" w:firstColumn="0" w:lastColumn="0" w:oddVBand="0" w:evenVBand="0" w:oddHBand="0" w:evenHBand="0" w:firstRowFirstColumn="0" w:firstRowLastColumn="0" w:lastRowFirstColumn="0" w:lastRowLastColumn="0"/>
            </w:pPr>
            <w:r>
              <w:t>(1 232)</w:t>
            </w:r>
          </w:p>
        </w:tc>
        <w:tc>
          <w:tcPr>
            <w:tcW w:w="1050" w:type="dxa"/>
          </w:tcPr>
          <w:p w14:paraId="71A776DF"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539" w:type="dxa"/>
          </w:tcPr>
          <w:p w14:paraId="40882D0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Pr>
          <w:p w14:paraId="4334C55B"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Pr>
          <w:p w14:paraId="5A83FD0A"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Pr>
          <w:p w14:paraId="148F3F54" w14:textId="77777777" w:rsidR="009D33A8" w:rsidRDefault="009D33A8">
            <w:pPr>
              <w:cnfStyle w:val="000000000000" w:firstRow="0" w:lastRow="0" w:firstColumn="0" w:lastColumn="0" w:oddVBand="0" w:evenVBand="0" w:oddHBand="0" w:evenHBand="0" w:firstRowFirstColumn="0" w:firstRowLastColumn="0" w:lastRowFirstColumn="0" w:lastRowLastColumn="0"/>
            </w:pPr>
            <w:r>
              <w:t>(1 232)</w:t>
            </w:r>
          </w:p>
        </w:tc>
      </w:tr>
      <w:tr w:rsidR="009D33A8" w14:paraId="0C6D15CB"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1C1CB379" w14:textId="77777777" w:rsidR="009D33A8" w:rsidRDefault="009D33A8">
            <w:r>
              <w:t>Transactions with owners in their capacity as owners</w:t>
            </w:r>
          </w:p>
        </w:tc>
        <w:tc>
          <w:tcPr>
            <w:tcW w:w="756" w:type="dxa"/>
            <w:tcBorders>
              <w:bottom w:val="single" w:sz="6" w:space="0" w:color="auto"/>
            </w:tcBorders>
          </w:tcPr>
          <w:p w14:paraId="141DE77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050" w:type="dxa"/>
            <w:tcBorders>
              <w:bottom w:val="single" w:sz="6" w:space="0" w:color="auto"/>
            </w:tcBorders>
          </w:tcPr>
          <w:p w14:paraId="5A44ECFC" w14:textId="77777777" w:rsidR="009D33A8" w:rsidRDefault="009D33A8">
            <w:pPr>
              <w:cnfStyle w:val="000000000000" w:firstRow="0" w:lastRow="0" w:firstColumn="0" w:lastColumn="0" w:oddVBand="0" w:evenVBand="0" w:oddHBand="0" w:evenHBand="0" w:firstRowFirstColumn="0" w:firstRowLastColumn="0" w:lastRowFirstColumn="0" w:lastRowLastColumn="0"/>
            </w:pPr>
            <w:r>
              <w:t>175</w:t>
            </w:r>
          </w:p>
        </w:tc>
        <w:tc>
          <w:tcPr>
            <w:tcW w:w="1539" w:type="dxa"/>
            <w:tcBorders>
              <w:bottom w:val="single" w:sz="6" w:space="0" w:color="auto"/>
            </w:tcBorders>
          </w:tcPr>
          <w:p w14:paraId="214460F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1498" w:type="dxa"/>
            <w:tcBorders>
              <w:bottom w:val="single" w:sz="6" w:space="0" w:color="auto"/>
            </w:tcBorders>
          </w:tcPr>
          <w:p w14:paraId="57484F9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Borders>
              <w:bottom w:val="single" w:sz="6" w:space="0" w:color="auto"/>
            </w:tcBorders>
          </w:tcPr>
          <w:p w14:paraId="0C219991"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Borders>
              <w:bottom w:val="single" w:sz="6" w:space="0" w:color="auto"/>
            </w:tcBorders>
          </w:tcPr>
          <w:p w14:paraId="000CF704" w14:textId="77777777" w:rsidR="009D33A8" w:rsidRDefault="009D33A8">
            <w:pPr>
              <w:cnfStyle w:val="000000000000" w:firstRow="0" w:lastRow="0" w:firstColumn="0" w:lastColumn="0" w:oddVBand="0" w:evenVBand="0" w:oddHBand="0" w:evenHBand="0" w:firstRowFirstColumn="0" w:firstRowLastColumn="0" w:lastRowFirstColumn="0" w:lastRowLastColumn="0"/>
            </w:pPr>
            <w:r>
              <w:t>175</w:t>
            </w:r>
          </w:p>
        </w:tc>
      </w:tr>
      <w:tr w:rsidR="009D33A8" w14:paraId="399CBCFF"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4FE9CF35" w14:textId="77777777" w:rsidR="009D33A8" w:rsidRDefault="009D33A8">
            <w:r>
              <w:rPr>
                <w:b/>
              </w:rPr>
              <w:t>Balance at 30 June 2024</w:t>
            </w:r>
          </w:p>
        </w:tc>
        <w:tc>
          <w:tcPr>
            <w:tcW w:w="756" w:type="dxa"/>
            <w:tcBorders>
              <w:top w:val="single" w:sz="6" w:space="0" w:color="auto"/>
              <w:bottom w:val="single" w:sz="6" w:space="0" w:color="auto"/>
            </w:tcBorders>
          </w:tcPr>
          <w:p w14:paraId="57BF102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13 148</w:t>
            </w:r>
          </w:p>
        </w:tc>
        <w:tc>
          <w:tcPr>
            <w:tcW w:w="1050" w:type="dxa"/>
            <w:tcBorders>
              <w:top w:val="single" w:sz="6" w:space="0" w:color="auto"/>
              <w:bottom w:val="single" w:sz="6" w:space="0" w:color="auto"/>
            </w:tcBorders>
          </w:tcPr>
          <w:p w14:paraId="57DC292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465</w:t>
            </w:r>
          </w:p>
        </w:tc>
        <w:tc>
          <w:tcPr>
            <w:tcW w:w="1539" w:type="dxa"/>
            <w:tcBorders>
              <w:top w:val="single" w:sz="6" w:space="0" w:color="auto"/>
              <w:bottom w:val="single" w:sz="6" w:space="0" w:color="auto"/>
            </w:tcBorders>
          </w:tcPr>
          <w:p w14:paraId="342457E0"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w:t>
            </w:r>
          </w:p>
        </w:tc>
        <w:tc>
          <w:tcPr>
            <w:tcW w:w="1498" w:type="dxa"/>
            <w:tcBorders>
              <w:top w:val="single" w:sz="6" w:space="0" w:color="auto"/>
              <w:bottom w:val="single" w:sz="6" w:space="0" w:color="auto"/>
            </w:tcBorders>
          </w:tcPr>
          <w:p w14:paraId="714BEC8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784" w:type="dxa"/>
            <w:tcBorders>
              <w:top w:val="single" w:sz="6" w:space="0" w:color="auto"/>
              <w:bottom w:val="single" w:sz="6" w:space="0" w:color="auto"/>
            </w:tcBorders>
          </w:tcPr>
          <w:p w14:paraId="08BD4A04"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61</w:t>
            </w:r>
          </w:p>
        </w:tc>
        <w:tc>
          <w:tcPr>
            <w:tcW w:w="917" w:type="dxa"/>
            <w:tcBorders>
              <w:top w:val="single" w:sz="6" w:space="0" w:color="auto"/>
              <w:bottom w:val="single" w:sz="6" w:space="0" w:color="auto"/>
            </w:tcBorders>
          </w:tcPr>
          <w:p w14:paraId="60CD28A2"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13 683</w:t>
            </w:r>
          </w:p>
        </w:tc>
      </w:tr>
      <w:tr w:rsidR="009D33A8" w14:paraId="36C676F4"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4D0B5CED" w14:textId="77777777" w:rsidR="009D33A8" w:rsidRDefault="009D33A8">
            <w:r>
              <w:t>Eliminations</w:t>
            </w:r>
          </w:p>
        </w:tc>
        <w:tc>
          <w:tcPr>
            <w:tcW w:w="756" w:type="dxa"/>
            <w:tcBorders>
              <w:top w:val="single" w:sz="6" w:space="0" w:color="auto"/>
              <w:bottom w:val="single" w:sz="6" w:space="0" w:color="auto"/>
            </w:tcBorders>
          </w:tcPr>
          <w:p w14:paraId="47F8C537" w14:textId="77777777" w:rsidR="009D33A8" w:rsidRDefault="009D33A8">
            <w:pPr>
              <w:cnfStyle w:val="000000000000" w:firstRow="0" w:lastRow="0" w:firstColumn="0" w:lastColumn="0" w:oddVBand="0" w:evenVBand="0" w:oddHBand="0" w:evenHBand="0" w:firstRowFirstColumn="0" w:firstRowLastColumn="0" w:lastRowFirstColumn="0" w:lastRowLastColumn="0"/>
            </w:pPr>
            <w:r>
              <w:t>53 247</w:t>
            </w:r>
          </w:p>
        </w:tc>
        <w:tc>
          <w:tcPr>
            <w:tcW w:w="1050" w:type="dxa"/>
            <w:tcBorders>
              <w:top w:val="single" w:sz="6" w:space="0" w:color="auto"/>
              <w:bottom w:val="single" w:sz="6" w:space="0" w:color="auto"/>
            </w:tcBorders>
          </w:tcPr>
          <w:p w14:paraId="2DB2B602" w14:textId="77777777" w:rsidR="009D33A8" w:rsidRDefault="009D33A8">
            <w:pPr>
              <w:cnfStyle w:val="000000000000" w:firstRow="0" w:lastRow="0" w:firstColumn="0" w:lastColumn="0" w:oddVBand="0" w:evenVBand="0" w:oddHBand="0" w:evenHBand="0" w:firstRowFirstColumn="0" w:firstRowLastColumn="0" w:lastRowFirstColumn="0" w:lastRowLastColumn="0"/>
            </w:pPr>
            <w:r>
              <w:t>(82 711)</w:t>
            </w:r>
          </w:p>
        </w:tc>
        <w:tc>
          <w:tcPr>
            <w:tcW w:w="1539" w:type="dxa"/>
            <w:tcBorders>
              <w:top w:val="single" w:sz="6" w:space="0" w:color="auto"/>
              <w:bottom w:val="single" w:sz="6" w:space="0" w:color="auto"/>
            </w:tcBorders>
          </w:tcPr>
          <w:p w14:paraId="3BFD3B33" w14:textId="77777777" w:rsidR="009D33A8" w:rsidRDefault="009D33A8">
            <w:pPr>
              <w:cnfStyle w:val="000000000000" w:firstRow="0" w:lastRow="0" w:firstColumn="0" w:lastColumn="0" w:oddVBand="0" w:evenVBand="0" w:oddHBand="0" w:evenHBand="0" w:firstRowFirstColumn="0" w:firstRowLastColumn="0" w:lastRowFirstColumn="0" w:lastRowLastColumn="0"/>
            </w:pPr>
            <w:r>
              <w:t>29 163</w:t>
            </w:r>
          </w:p>
        </w:tc>
        <w:tc>
          <w:tcPr>
            <w:tcW w:w="1498" w:type="dxa"/>
            <w:tcBorders>
              <w:top w:val="single" w:sz="6" w:space="0" w:color="auto"/>
              <w:bottom w:val="single" w:sz="6" w:space="0" w:color="auto"/>
            </w:tcBorders>
          </w:tcPr>
          <w:p w14:paraId="7CD4F083" w14:textId="77777777" w:rsidR="009D33A8" w:rsidRDefault="009D33A8">
            <w:pPr>
              <w:cnfStyle w:val="000000000000" w:firstRow="0" w:lastRow="0" w:firstColumn="0" w:lastColumn="0" w:oddVBand="0" w:evenVBand="0" w:oddHBand="0" w:evenHBand="0" w:firstRowFirstColumn="0" w:firstRowLastColumn="0" w:lastRowFirstColumn="0" w:lastRowLastColumn="0"/>
            </w:pPr>
            <w:r>
              <w:t>(46 381)</w:t>
            </w:r>
          </w:p>
        </w:tc>
        <w:tc>
          <w:tcPr>
            <w:tcW w:w="784" w:type="dxa"/>
            <w:tcBorders>
              <w:top w:val="single" w:sz="6" w:space="0" w:color="auto"/>
              <w:bottom w:val="single" w:sz="6" w:space="0" w:color="auto"/>
            </w:tcBorders>
          </w:tcPr>
          <w:p w14:paraId="101BBB6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17" w:type="dxa"/>
            <w:tcBorders>
              <w:top w:val="single" w:sz="6" w:space="0" w:color="auto"/>
              <w:bottom w:val="single" w:sz="6" w:space="0" w:color="auto"/>
            </w:tcBorders>
          </w:tcPr>
          <w:p w14:paraId="12F0B117" w14:textId="77777777" w:rsidR="009D33A8" w:rsidRDefault="009D33A8">
            <w:pPr>
              <w:cnfStyle w:val="000000000000" w:firstRow="0" w:lastRow="0" w:firstColumn="0" w:lastColumn="0" w:oddVBand="0" w:evenVBand="0" w:oddHBand="0" w:evenHBand="0" w:firstRowFirstColumn="0" w:firstRowLastColumn="0" w:lastRowFirstColumn="0" w:lastRowLastColumn="0"/>
            </w:pPr>
            <w:r>
              <w:t>(46 682)</w:t>
            </w:r>
          </w:p>
        </w:tc>
      </w:tr>
      <w:tr w:rsidR="009D33A8" w14:paraId="44BF1343" w14:textId="77777777">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12" w:space="0" w:color="auto"/>
            </w:tcBorders>
          </w:tcPr>
          <w:p w14:paraId="76CE3FEF" w14:textId="77777777" w:rsidR="009D33A8" w:rsidRDefault="009D33A8">
            <w:r>
              <w:rPr>
                <w:b/>
              </w:rPr>
              <w:t>Total State of Victoria</w:t>
            </w:r>
          </w:p>
        </w:tc>
        <w:tc>
          <w:tcPr>
            <w:tcW w:w="756" w:type="dxa"/>
            <w:tcBorders>
              <w:top w:val="single" w:sz="6" w:space="0" w:color="auto"/>
              <w:bottom w:val="single" w:sz="12" w:space="0" w:color="auto"/>
            </w:tcBorders>
          </w:tcPr>
          <w:p w14:paraId="6177B719"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76 281</w:t>
            </w:r>
          </w:p>
        </w:tc>
        <w:tc>
          <w:tcPr>
            <w:tcW w:w="1050" w:type="dxa"/>
            <w:tcBorders>
              <w:top w:val="single" w:sz="6" w:space="0" w:color="auto"/>
              <w:bottom w:val="single" w:sz="12" w:space="0" w:color="auto"/>
            </w:tcBorders>
          </w:tcPr>
          <w:p w14:paraId="48B81CE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1539" w:type="dxa"/>
            <w:tcBorders>
              <w:top w:val="single" w:sz="6" w:space="0" w:color="auto"/>
              <w:bottom w:val="single" w:sz="12" w:space="0" w:color="auto"/>
            </w:tcBorders>
          </w:tcPr>
          <w:p w14:paraId="5A3A06E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161 192</w:t>
            </w:r>
          </w:p>
        </w:tc>
        <w:tc>
          <w:tcPr>
            <w:tcW w:w="1498" w:type="dxa"/>
            <w:tcBorders>
              <w:top w:val="single" w:sz="6" w:space="0" w:color="auto"/>
              <w:bottom w:val="single" w:sz="12" w:space="0" w:color="auto"/>
            </w:tcBorders>
          </w:tcPr>
          <w:p w14:paraId="7F27100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w:t>
            </w:r>
          </w:p>
        </w:tc>
        <w:tc>
          <w:tcPr>
            <w:tcW w:w="784" w:type="dxa"/>
            <w:tcBorders>
              <w:top w:val="single" w:sz="6" w:space="0" w:color="auto"/>
              <w:bottom w:val="single" w:sz="12" w:space="0" w:color="auto"/>
            </w:tcBorders>
          </w:tcPr>
          <w:p w14:paraId="189F978B"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2 432</w:t>
            </w:r>
          </w:p>
        </w:tc>
        <w:tc>
          <w:tcPr>
            <w:tcW w:w="917" w:type="dxa"/>
            <w:tcBorders>
              <w:top w:val="single" w:sz="6" w:space="0" w:color="auto"/>
              <w:bottom w:val="single" w:sz="12" w:space="0" w:color="auto"/>
            </w:tcBorders>
          </w:tcPr>
          <w:p w14:paraId="3D857AA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239 904</w:t>
            </w:r>
          </w:p>
        </w:tc>
      </w:tr>
    </w:tbl>
    <w:p w14:paraId="7152CCD3" w14:textId="77777777" w:rsidR="009D33A8" w:rsidRDefault="009D33A8" w:rsidP="009D33A8"/>
    <w:p w14:paraId="6DD0E868" w14:textId="77777777" w:rsidR="005432CB" w:rsidRDefault="005432CB">
      <w:pPr>
        <w:keepLines w:val="0"/>
        <w:rPr>
          <w:rFonts w:asciiTheme="majorHAnsi" w:eastAsiaTheme="majorEastAsia" w:hAnsiTheme="majorHAnsi" w:cstheme="majorBidi"/>
          <w:b/>
          <w:sz w:val="27"/>
          <w:szCs w:val="26"/>
        </w:rPr>
      </w:pPr>
      <w:r>
        <w:br w:type="page"/>
      </w:r>
    </w:p>
    <w:p w14:paraId="1088B28A" w14:textId="7A5A1B29" w:rsidR="009D33A8" w:rsidRDefault="009D33A8" w:rsidP="009D33A8">
      <w:pPr>
        <w:pStyle w:val="Heading2"/>
        <w:spacing w:before="0"/>
      </w:pPr>
      <w:bookmarkStart w:id="177" w:name="_Toc209481979"/>
      <w:r>
        <w:lastRenderedPageBreak/>
        <w:t>8.2</w:t>
      </w:r>
      <w:r>
        <w:tab/>
        <w:t>Funds under management</w:t>
      </w:r>
      <w:bookmarkEnd w:id="177"/>
    </w:p>
    <w:p w14:paraId="0270C902" w14:textId="77777777" w:rsidR="005432CB" w:rsidRDefault="005432CB" w:rsidP="009D33A8">
      <w:pPr>
        <w:sectPr w:rsidR="005432CB" w:rsidSect="00823C0E">
          <w:headerReference w:type="even" r:id="rId129"/>
          <w:headerReference w:type="default" r:id="rId130"/>
          <w:type w:val="continuous"/>
          <w:pgSz w:w="11906" w:h="16838" w:code="9"/>
          <w:pgMar w:top="1134" w:right="1134" w:bottom="1134" w:left="1134" w:header="624" w:footer="567" w:gutter="0"/>
          <w:cols w:space="708"/>
          <w:docGrid w:linePitch="360"/>
        </w:sectPr>
      </w:pPr>
    </w:p>
    <w:p w14:paraId="67362395" w14:textId="77777777" w:rsidR="009D33A8" w:rsidRDefault="009D33A8" w:rsidP="009D33A8">
      <w:r>
        <w:t xml:space="preserve">The State has responsibility for transactions and balances relating to trust funds held on behalf of third parties external to the State. The funds managed on </w:t>
      </w:r>
      <w:r w:rsidRPr="00A913E3">
        <w:t>behalf</w:t>
      </w:r>
      <w:r>
        <w:t xml:space="preserve"> of third parties are not recognised in these financial statements as they are managed on a fiduciary and custodial basis, and therefore are not controlled by the State. Funds under management are reported in the table below.</w:t>
      </w:r>
      <w:r w:rsidRPr="00A913E3">
        <w:t xml:space="preserve"> </w:t>
      </w:r>
    </w:p>
    <w:p w14:paraId="3BDC0281" w14:textId="77777777" w:rsidR="005432CB" w:rsidRDefault="005432CB" w:rsidP="009D33A8">
      <w:pPr>
        <w:pStyle w:val="TableHeading"/>
        <w:sectPr w:rsidR="005432CB" w:rsidSect="005432CB">
          <w:type w:val="continuous"/>
          <w:pgSz w:w="11906" w:h="16838" w:code="9"/>
          <w:pgMar w:top="1134" w:right="1134" w:bottom="1134" w:left="1134" w:header="624" w:footer="567" w:gutter="0"/>
          <w:cols w:num="2" w:space="708"/>
          <w:docGrid w:linePitch="360"/>
        </w:sectPr>
      </w:pPr>
    </w:p>
    <w:p w14:paraId="230007F6" w14:textId="77777777" w:rsidR="009D33A8" w:rsidRDefault="009D33A8" w:rsidP="009D33A8">
      <w:pPr>
        <w:pStyle w:val="TableHeading"/>
      </w:pPr>
      <w:r>
        <w:tab/>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Funds Under Management/Link_FUM.xlsx|Table:FUM"/>
      </w:tblPr>
      <w:tblGrid>
        <w:gridCol w:w="6010"/>
        <w:gridCol w:w="907"/>
        <w:gridCol w:w="907"/>
        <w:gridCol w:w="907"/>
        <w:gridCol w:w="907"/>
      </w:tblGrid>
      <w:tr w:rsidR="009D33A8" w14:paraId="1AC6E67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33E335F" w14:textId="77777777" w:rsidR="009D33A8" w:rsidRDefault="009D33A8">
            <w:pPr>
              <w:keepNext/>
            </w:pPr>
          </w:p>
        </w:tc>
        <w:tc>
          <w:tcPr>
            <w:tcW w:w="1814" w:type="dxa"/>
            <w:gridSpan w:val="2"/>
          </w:tcPr>
          <w:p w14:paraId="14459689"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CACC323"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D33A8" w14:paraId="5BDAFA7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B851BE8" w14:textId="77777777" w:rsidR="009D33A8" w:rsidRDefault="009D33A8">
            <w:pPr>
              <w:keepNext/>
            </w:pPr>
          </w:p>
        </w:tc>
        <w:tc>
          <w:tcPr>
            <w:tcW w:w="907" w:type="dxa"/>
          </w:tcPr>
          <w:p w14:paraId="1C8C6C9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22EF0D7"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6DDA37F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7A263C9"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3D321AF1" w14:textId="77777777">
        <w:tc>
          <w:tcPr>
            <w:cnfStyle w:val="001000000000" w:firstRow="0" w:lastRow="0" w:firstColumn="1" w:lastColumn="0" w:oddVBand="0" w:evenVBand="0" w:oddHBand="0" w:evenHBand="0" w:firstRowFirstColumn="0" w:firstRowLastColumn="0" w:lastRowFirstColumn="0" w:lastRowLastColumn="0"/>
            <w:tcW w:w="6010" w:type="dxa"/>
          </w:tcPr>
          <w:p w14:paraId="7AC8CA3A" w14:textId="77777777" w:rsidR="009D33A8" w:rsidRDefault="009D33A8">
            <w:r>
              <w:t>Cash and investments in common and premium funds</w:t>
            </w:r>
            <w:r>
              <w:rPr>
                <w:vertAlign w:val="superscript"/>
              </w:rPr>
              <w:t xml:space="preserve"> (a)</w:t>
            </w:r>
          </w:p>
        </w:tc>
        <w:tc>
          <w:tcPr>
            <w:tcW w:w="907" w:type="dxa"/>
          </w:tcPr>
          <w:p w14:paraId="04030916" w14:textId="77777777" w:rsidR="009D33A8" w:rsidRDefault="009D33A8">
            <w:pPr>
              <w:cnfStyle w:val="000000000000" w:firstRow="0" w:lastRow="0" w:firstColumn="0" w:lastColumn="0" w:oddVBand="0" w:evenVBand="0" w:oddHBand="0" w:evenHBand="0" w:firstRowFirstColumn="0" w:firstRowLastColumn="0" w:lastRowFirstColumn="0" w:lastRowLastColumn="0"/>
            </w:pPr>
            <w:r>
              <w:t>1 407</w:t>
            </w:r>
          </w:p>
        </w:tc>
        <w:tc>
          <w:tcPr>
            <w:tcW w:w="907" w:type="dxa"/>
          </w:tcPr>
          <w:p w14:paraId="038047C5" w14:textId="77777777" w:rsidR="009D33A8" w:rsidRDefault="009D33A8">
            <w:pPr>
              <w:cnfStyle w:val="000000000000" w:firstRow="0" w:lastRow="0" w:firstColumn="0" w:lastColumn="0" w:oddVBand="0" w:evenVBand="0" w:oddHBand="0" w:evenHBand="0" w:firstRowFirstColumn="0" w:firstRowLastColumn="0" w:lastRowFirstColumn="0" w:lastRowLastColumn="0"/>
            </w:pPr>
            <w:r>
              <w:t>1 266</w:t>
            </w:r>
          </w:p>
        </w:tc>
        <w:tc>
          <w:tcPr>
            <w:tcW w:w="907" w:type="dxa"/>
          </w:tcPr>
          <w:p w14:paraId="6B4DFB93"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9B91A4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346AE858" w14:textId="77777777">
        <w:tc>
          <w:tcPr>
            <w:cnfStyle w:val="001000000000" w:firstRow="0" w:lastRow="0" w:firstColumn="1" w:lastColumn="0" w:oddVBand="0" w:evenVBand="0" w:oddHBand="0" w:evenHBand="0" w:firstRowFirstColumn="0" w:firstRowLastColumn="0" w:lastRowFirstColumn="0" w:lastRowLastColumn="0"/>
            <w:tcW w:w="6010" w:type="dxa"/>
          </w:tcPr>
          <w:p w14:paraId="464060C6" w14:textId="77777777" w:rsidR="009D33A8" w:rsidRDefault="009D33A8">
            <w:r>
              <w:t>Funds under management by Legal Services Board</w:t>
            </w:r>
          </w:p>
        </w:tc>
        <w:tc>
          <w:tcPr>
            <w:tcW w:w="907" w:type="dxa"/>
          </w:tcPr>
          <w:p w14:paraId="2ECD61E0" w14:textId="77777777" w:rsidR="009D33A8" w:rsidRDefault="009D33A8">
            <w:pPr>
              <w:cnfStyle w:val="000000000000" w:firstRow="0" w:lastRow="0" w:firstColumn="0" w:lastColumn="0" w:oddVBand="0" w:evenVBand="0" w:oddHBand="0" w:evenHBand="0" w:firstRowFirstColumn="0" w:firstRowLastColumn="0" w:lastRowFirstColumn="0" w:lastRowLastColumn="0"/>
            </w:pPr>
            <w:r>
              <w:t>2 634</w:t>
            </w:r>
          </w:p>
        </w:tc>
        <w:tc>
          <w:tcPr>
            <w:tcW w:w="907" w:type="dxa"/>
          </w:tcPr>
          <w:p w14:paraId="18308EF7" w14:textId="77777777" w:rsidR="009D33A8" w:rsidRDefault="009D33A8">
            <w:pPr>
              <w:cnfStyle w:val="000000000000" w:firstRow="0" w:lastRow="0" w:firstColumn="0" w:lastColumn="0" w:oddVBand="0" w:evenVBand="0" w:oddHBand="0" w:evenHBand="0" w:firstRowFirstColumn="0" w:firstRowLastColumn="0" w:lastRowFirstColumn="0" w:lastRowLastColumn="0"/>
            </w:pPr>
            <w:r>
              <w:t>2 535</w:t>
            </w:r>
          </w:p>
        </w:tc>
        <w:tc>
          <w:tcPr>
            <w:tcW w:w="907" w:type="dxa"/>
          </w:tcPr>
          <w:p w14:paraId="19E9633D" w14:textId="77777777" w:rsidR="009D33A8" w:rsidRDefault="009D33A8">
            <w:pPr>
              <w:cnfStyle w:val="000000000000" w:firstRow="0" w:lastRow="0" w:firstColumn="0" w:lastColumn="0" w:oddVBand="0" w:evenVBand="0" w:oddHBand="0" w:evenHBand="0" w:firstRowFirstColumn="0" w:firstRowLastColumn="0" w:lastRowFirstColumn="0" w:lastRowLastColumn="0"/>
            </w:pPr>
            <w:r>
              <w:t>2 634</w:t>
            </w:r>
          </w:p>
        </w:tc>
        <w:tc>
          <w:tcPr>
            <w:tcW w:w="907" w:type="dxa"/>
          </w:tcPr>
          <w:p w14:paraId="2990D5E8" w14:textId="77777777" w:rsidR="009D33A8" w:rsidRDefault="009D33A8">
            <w:pPr>
              <w:cnfStyle w:val="000000000000" w:firstRow="0" w:lastRow="0" w:firstColumn="0" w:lastColumn="0" w:oddVBand="0" w:evenVBand="0" w:oddHBand="0" w:evenHBand="0" w:firstRowFirstColumn="0" w:firstRowLastColumn="0" w:lastRowFirstColumn="0" w:lastRowLastColumn="0"/>
            </w:pPr>
            <w:r>
              <w:t>2 535</w:t>
            </w:r>
          </w:p>
        </w:tc>
      </w:tr>
      <w:tr w:rsidR="009D33A8" w14:paraId="5005F378" w14:textId="77777777">
        <w:tc>
          <w:tcPr>
            <w:cnfStyle w:val="001000000000" w:firstRow="0" w:lastRow="0" w:firstColumn="1" w:lastColumn="0" w:oddVBand="0" w:evenVBand="0" w:oddHBand="0" w:evenHBand="0" w:firstRowFirstColumn="0" w:firstRowLastColumn="0" w:lastRowFirstColumn="0" w:lastRowLastColumn="0"/>
            <w:tcW w:w="6010" w:type="dxa"/>
          </w:tcPr>
          <w:p w14:paraId="04604141" w14:textId="77777777" w:rsidR="009D33A8" w:rsidRDefault="009D33A8">
            <w:r>
              <w:t>Funds under management by the Senior Master of the Supreme Court</w:t>
            </w:r>
          </w:p>
        </w:tc>
        <w:tc>
          <w:tcPr>
            <w:tcW w:w="907" w:type="dxa"/>
          </w:tcPr>
          <w:p w14:paraId="7BB40073" w14:textId="77777777" w:rsidR="009D33A8" w:rsidRDefault="009D33A8">
            <w:pPr>
              <w:cnfStyle w:val="000000000000" w:firstRow="0" w:lastRow="0" w:firstColumn="0" w:lastColumn="0" w:oddVBand="0" w:evenVBand="0" w:oddHBand="0" w:evenHBand="0" w:firstRowFirstColumn="0" w:firstRowLastColumn="0" w:lastRowFirstColumn="0" w:lastRowLastColumn="0"/>
            </w:pPr>
            <w:r>
              <w:t>2 419</w:t>
            </w:r>
          </w:p>
        </w:tc>
        <w:tc>
          <w:tcPr>
            <w:tcW w:w="907" w:type="dxa"/>
          </w:tcPr>
          <w:p w14:paraId="43823191" w14:textId="77777777" w:rsidR="009D33A8" w:rsidRDefault="009D33A8">
            <w:pPr>
              <w:cnfStyle w:val="000000000000" w:firstRow="0" w:lastRow="0" w:firstColumn="0" w:lastColumn="0" w:oddVBand="0" w:evenVBand="0" w:oddHBand="0" w:evenHBand="0" w:firstRowFirstColumn="0" w:firstRowLastColumn="0" w:lastRowFirstColumn="0" w:lastRowLastColumn="0"/>
            </w:pPr>
            <w:r>
              <w:t>2 263</w:t>
            </w:r>
          </w:p>
        </w:tc>
        <w:tc>
          <w:tcPr>
            <w:tcW w:w="907" w:type="dxa"/>
          </w:tcPr>
          <w:p w14:paraId="74B44FD4" w14:textId="77777777" w:rsidR="009D33A8" w:rsidRDefault="009D33A8">
            <w:pPr>
              <w:cnfStyle w:val="000000000000" w:firstRow="0" w:lastRow="0" w:firstColumn="0" w:lastColumn="0" w:oddVBand="0" w:evenVBand="0" w:oddHBand="0" w:evenHBand="0" w:firstRowFirstColumn="0" w:firstRowLastColumn="0" w:lastRowFirstColumn="0" w:lastRowLastColumn="0"/>
            </w:pPr>
            <w:r>
              <w:t>2 419</w:t>
            </w:r>
          </w:p>
        </w:tc>
        <w:tc>
          <w:tcPr>
            <w:tcW w:w="907" w:type="dxa"/>
          </w:tcPr>
          <w:p w14:paraId="44677525" w14:textId="77777777" w:rsidR="009D33A8" w:rsidRDefault="009D33A8">
            <w:pPr>
              <w:cnfStyle w:val="000000000000" w:firstRow="0" w:lastRow="0" w:firstColumn="0" w:lastColumn="0" w:oddVBand="0" w:evenVBand="0" w:oddHBand="0" w:evenHBand="0" w:firstRowFirstColumn="0" w:firstRowLastColumn="0" w:lastRowFirstColumn="0" w:lastRowLastColumn="0"/>
            </w:pPr>
            <w:r>
              <w:t>2 263</w:t>
            </w:r>
          </w:p>
        </w:tc>
      </w:tr>
      <w:tr w:rsidR="009D33A8" w14:paraId="69300054" w14:textId="77777777">
        <w:tc>
          <w:tcPr>
            <w:cnfStyle w:val="001000000000" w:firstRow="0" w:lastRow="0" w:firstColumn="1" w:lastColumn="0" w:oddVBand="0" w:evenVBand="0" w:oddHBand="0" w:evenHBand="0" w:firstRowFirstColumn="0" w:firstRowLastColumn="0" w:lastRowFirstColumn="0" w:lastRowLastColumn="0"/>
            <w:tcW w:w="6010" w:type="dxa"/>
          </w:tcPr>
          <w:p w14:paraId="0F5A1312" w14:textId="77777777" w:rsidR="009D33A8" w:rsidRDefault="009D33A8">
            <w:r>
              <w:t>Investments, real estate, personal and other assets</w:t>
            </w:r>
            <w:r>
              <w:rPr>
                <w:vertAlign w:val="superscript"/>
              </w:rPr>
              <w:t xml:space="preserve"> (a)</w:t>
            </w:r>
          </w:p>
        </w:tc>
        <w:tc>
          <w:tcPr>
            <w:tcW w:w="907" w:type="dxa"/>
          </w:tcPr>
          <w:p w14:paraId="0D9A502A" w14:textId="77777777" w:rsidR="009D33A8" w:rsidRDefault="009D33A8">
            <w:pPr>
              <w:cnfStyle w:val="000000000000" w:firstRow="0" w:lastRow="0" w:firstColumn="0" w:lastColumn="0" w:oddVBand="0" w:evenVBand="0" w:oddHBand="0" w:evenHBand="0" w:firstRowFirstColumn="0" w:firstRowLastColumn="0" w:lastRowFirstColumn="0" w:lastRowLastColumn="0"/>
            </w:pPr>
            <w:r>
              <w:t>1 803</w:t>
            </w:r>
          </w:p>
        </w:tc>
        <w:tc>
          <w:tcPr>
            <w:tcW w:w="907" w:type="dxa"/>
          </w:tcPr>
          <w:p w14:paraId="74021EB1" w14:textId="77777777" w:rsidR="009D33A8" w:rsidRDefault="009D33A8">
            <w:pPr>
              <w:cnfStyle w:val="000000000000" w:firstRow="0" w:lastRow="0" w:firstColumn="0" w:lastColumn="0" w:oddVBand="0" w:evenVBand="0" w:oddHBand="0" w:evenHBand="0" w:firstRowFirstColumn="0" w:firstRowLastColumn="0" w:lastRowFirstColumn="0" w:lastRowLastColumn="0"/>
            </w:pPr>
            <w:r>
              <w:t>1 824</w:t>
            </w:r>
          </w:p>
        </w:tc>
        <w:tc>
          <w:tcPr>
            <w:tcW w:w="907" w:type="dxa"/>
          </w:tcPr>
          <w:p w14:paraId="1060586D"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B2D0545"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37E3F4A9" w14:textId="77777777">
        <w:tc>
          <w:tcPr>
            <w:cnfStyle w:val="001000000000" w:firstRow="0" w:lastRow="0" w:firstColumn="1" w:lastColumn="0" w:oddVBand="0" w:evenVBand="0" w:oddHBand="0" w:evenHBand="0" w:firstRowFirstColumn="0" w:firstRowLastColumn="0" w:lastRowFirstColumn="0" w:lastRowLastColumn="0"/>
            <w:tcW w:w="6010" w:type="dxa"/>
          </w:tcPr>
          <w:p w14:paraId="718995AB" w14:textId="77777777" w:rsidR="009D33A8" w:rsidRDefault="009D33A8">
            <w:r>
              <w:t>Other funds held</w:t>
            </w:r>
          </w:p>
        </w:tc>
        <w:tc>
          <w:tcPr>
            <w:tcW w:w="907" w:type="dxa"/>
          </w:tcPr>
          <w:p w14:paraId="463FA453"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128FF0E0"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37188A5B"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43809BC0" w14:textId="77777777" w:rsidR="009D33A8" w:rsidRDefault="009D33A8">
            <w:pPr>
              <w:cnfStyle w:val="000000000000" w:firstRow="0" w:lastRow="0" w:firstColumn="0" w:lastColumn="0" w:oddVBand="0" w:evenVBand="0" w:oddHBand="0" w:evenHBand="0" w:firstRowFirstColumn="0" w:firstRowLastColumn="0" w:lastRowFirstColumn="0" w:lastRowLastColumn="0"/>
            </w:pPr>
            <w:r>
              <w:t>26</w:t>
            </w:r>
          </w:p>
        </w:tc>
      </w:tr>
      <w:tr w:rsidR="009D33A8" w14:paraId="0CF3D182"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F2DBE0D" w14:textId="77777777" w:rsidR="009D33A8" w:rsidRDefault="009D33A8">
            <w:r>
              <w:t>Residential tenancies bonds money</w:t>
            </w:r>
          </w:p>
        </w:tc>
        <w:tc>
          <w:tcPr>
            <w:tcW w:w="907" w:type="dxa"/>
            <w:tcBorders>
              <w:bottom w:val="single" w:sz="6" w:space="0" w:color="auto"/>
            </w:tcBorders>
          </w:tcPr>
          <w:p w14:paraId="58E0DD93" w14:textId="77777777" w:rsidR="009D33A8" w:rsidRDefault="009D33A8">
            <w:pPr>
              <w:cnfStyle w:val="000000000000" w:firstRow="0" w:lastRow="0" w:firstColumn="0" w:lastColumn="0" w:oddVBand="0" w:evenVBand="0" w:oddHBand="0" w:evenHBand="0" w:firstRowFirstColumn="0" w:firstRowLastColumn="0" w:lastRowFirstColumn="0" w:lastRowLastColumn="0"/>
            </w:pPr>
            <w:r>
              <w:t>1 545</w:t>
            </w:r>
          </w:p>
        </w:tc>
        <w:tc>
          <w:tcPr>
            <w:tcW w:w="907" w:type="dxa"/>
            <w:tcBorders>
              <w:bottom w:val="single" w:sz="6" w:space="0" w:color="auto"/>
            </w:tcBorders>
          </w:tcPr>
          <w:p w14:paraId="45A13CF9" w14:textId="77777777" w:rsidR="009D33A8" w:rsidRDefault="009D33A8">
            <w:pPr>
              <w:cnfStyle w:val="000000000000" w:firstRow="0" w:lastRow="0" w:firstColumn="0" w:lastColumn="0" w:oddVBand="0" w:evenVBand="0" w:oddHBand="0" w:evenHBand="0" w:firstRowFirstColumn="0" w:firstRowLastColumn="0" w:lastRowFirstColumn="0" w:lastRowLastColumn="0"/>
            </w:pPr>
            <w:r>
              <w:t>1 456</w:t>
            </w:r>
          </w:p>
        </w:tc>
        <w:tc>
          <w:tcPr>
            <w:tcW w:w="907" w:type="dxa"/>
            <w:tcBorders>
              <w:bottom w:val="single" w:sz="6" w:space="0" w:color="auto"/>
            </w:tcBorders>
          </w:tcPr>
          <w:p w14:paraId="55ACFDDD" w14:textId="77777777" w:rsidR="009D33A8" w:rsidRDefault="009D33A8">
            <w:pPr>
              <w:cnfStyle w:val="000000000000" w:firstRow="0" w:lastRow="0" w:firstColumn="0" w:lastColumn="0" w:oddVBand="0" w:evenVBand="0" w:oddHBand="0" w:evenHBand="0" w:firstRowFirstColumn="0" w:firstRowLastColumn="0" w:lastRowFirstColumn="0" w:lastRowLastColumn="0"/>
            </w:pPr>
            <w:r>
              <w:t>1 545</w:t>
            </w:r>
          </w:p>
        </w:tc>
        <w:tc>
          <w:tcPr>
            <w:tcW w:w="907" w:type="dxa"/>
            <w:tcBorders>
              <w:bottom w:val="single" w:sz="6" w:space="0" w:color="auto"/>
            </w:tcBorders>
          </w:tcPr>
          <w:p w14:paraId="6893E638" w14:textId="77777777" w:rsidR="009D33A8" w:rsidRDefault="009D33A8">
            <w:pPr>
              <w:cnfStyle w:val="000000000000" w:firstRow="0" w:lastRow="0" w:firstColumn="0" w:lastColumn="0" w:oddVBand="0" w:evenVBand="0" w:oddHBand="0" w:evenHBand="0" w:firstRowFirstColumn="0" w:firstRowLastColumn="0" w:lastRowFirstColumn="0" w:lastRowLastColumn="0"/>
            </w:pPr>
            <w:r>
              <w:t>1 456</w:t>
            </w:r>
          </w:p>
        </w:tc>
      </w:tr>
      <w:tr w:rsidR="009D33A8" w14:paraId="18CC9CF2"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00B90F91" w14:textId="77777777" w:rsidR="009D33A8" w:rsidRDefault="009D33A8">
            <w:r>
              <w:rPr>
                <w:b/>
              </w:rPr>
              <w:t>Total funds under management</w:t>
            </w:r>
          </w:p>
        </w:tc>
        <w:tc>
          <w:tcPr>
            <w:tcW w:w="907" w:type="dxa"/>
            <w:tcBorders>
              <w:top w:val="single" w:sz="6" w:space="0" w:color="auto"/>
              <w:bottom w:val="single" w:sz="12" w:space="0" w:color="auto"/>
            </w:tcBorders>
          </w:tcPr>
          <w:p w14:paraId="5696EF03"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9 833</w:t>
            </w:r>
          </w:p>
        </w:tc>
        <w:tc>
          <w:tcPr>
            <w:tcW w:w="907" w:type="dxa"/>
            <w:tcBorders>
              <w:top w:val="single" w:sz="6" w:space="0" w:color="auto"/>
              <w:bottom w:val="single" w:sz="12" w:space="0" w:color="auto"/>
            </w:tcBorders>
          </w:tcPr>
          <w:p w14:paraId="775C2EE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9 369</w:t>
            </w:r>
          </w:p>
        </w:tc>
        <w:tc>
          <w:tcPr>
            <w:tcW w:w="907" w:type="dxa"/>
            <w:tcBorders>
              <w:top w:val="single" w:sz="6" w:space="0" w:color="auto"/>
              <w:bottom w:val="single" w:sz="12" w:space="0" w:color="auto"/>
            </w:tcBorders>
          </w:tcPr>
          <w:p w14:paraId="2680B0B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6 624</w:t>
            </w:r>
          </w:p>
        </w:tc>
        <w:tc>
          <w:tcPr>
            <w:tcW w:w="907" w:type="dxa"/>
            <w:tcBorders>
              <w:top w:val="single" w:sz="6" w:space="0" w:color="auto"/>
              <w:bottom w:val="single" w:sz="12" w:space="0" w:color="auto"/>
            </w:tcBorders>
          </w:tcPr>
          <w:p w14:paraId="3208DB2A"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6 279</w:t>
            </w:r>
          </w:p>
        </w:tc>
      </w:tr>
    </w:tbl>
    <w:p w14:paraId="7CADBCB6" w14:textId="77777777" w:rsidR="009D33A8" w:rsidRPr="00790B81" w:rsidRDefault="009D33A8" w:rsidP="009D33A8">
      <w:pPr>
        <w:pStyle w:val="Note"/>
      </w:pPr>
      <w:r w:rsidRPr="00790B81">
        <w:t>Note:</w:t>
      </w:r>
    </w:p>
    <w:p w14:paraId="302D994A" w14:textId="23B1CAAC" w:rsidR="009D33A8" w:rsidRPr="007F52D7" w:rsidRDefault="009D33A8" w:rsidP="009D33A8">
      <w:pPr>
        <w:pStyle w:val="Note"/>
      </w:pPr>
      <w:r>
        <w:t>(a)</w:t>
      </w:r>
      <w:r>
        <w:tab/>
        <w:t>The 2024 figures have been restated to reflect that certain amounts were included within the State</w:t>
      </w:r>
      <w:r w:rsidR="00845934">
        <w:t>’</w:t>
      </w:r>
      <w:r>
        <w:t>s balance sheet.</w:t>
      </w:r>
    </w:p>
    <w:p w14:paraId="605E796F" w14:textId="77777777" w:rsidR="009D33A8" w:rsidRDefault="009D33A8" w:rsidP="009D33A8">
      <w:pPr>
        <w:rPr>
          <w:i/>
        </w:rPr>
      </w:pPr>
    </w:p>
    <w:p w14:paraId="23657117" w14:textId="77777777" w:rsidR="009D33A8" w:rsidRDefault="009D33A8" w:rsidP="009D33A8">
      <w:pPr>
        <w:pStyle w:val="Heading2"/>
      </w:pPr>
      <w:bookmarkStart w:id="178" w:name="_Toc209481980"/>
      <w:r>
        <w:t>8.3</w:t>
      </w:r>
      <w:r>
        <w:tab/>
        <w:t>Other gains/(losses) from other economic flows</w:t>
      </w:r>
      <w:bookmarkEnd w:id="178"/>
    </w:p>
    <w:p w14:paraId="3C1868D1" w14:textId="77777777" w:rsidR="005432CB" w:rsidRDefault="005432CB" w:rsidP="009D33A8">
      <w:pPr>
        <w:sectPr w:rsidR="005432CB" w:rsidSect="00823C0E">
          <w:type w:val="continuous"/>
          <w:pgSz w:w="11906" w:h="16838" w:code="9"/>
          <w:pgMar w:top="1134" w:right="1134" w:bottom="1134" w:left="1134" w:header="624" w:footer="567" w:gutter="0"/>
          <w:cols w:space="708"/>
          <w:docGrid w:linePitch="360"/>
        </w:sectPr>
      </w:pPr>
    </w:p>
    <w:p w14:paraId="05B04A10" w14:textId="77777777" w:rsidR="009D33A8" w:rsidRDefault="009D33A8" w:rsidP="009D33A8">
      <w:r>
        <w:t xml:space="preserve">Other economic flows are changes in the volume or value of an asset or liability that do not result from transactions. This includes remeasurements of certain liabilities for variables such as movements in discount rates used to value these liabilities. </w:t>
      </w:r>
    </w:p>
    <w:p w14:paraId="0F79EAB4" w14:textId="77777777" w:rsidR="005432CB" w:rsidRDefault="005432CB" w:rsidP="009D33A8">
      <w:pPr>
        <w:pStyle w:val="TableHeading"/>
        <w:sectPr w:rsidR="005432CB" w:rsidSect="005432CB">
          <w:type w:val="continuous"/>
          <w:pgSz w:w="11906" w:h="16838" w:code="9"/>
          <w:pgMar w:top="1134" w:right="1134" w:bottom="1134" w:left="1134" w:header="624" w:footer="567" w:gutter="0"/>
          <w:cols w:num="2" w:space="708"/>
          <w:docGrid w:linePitch="360"/>
        </w:sectPr>
      </w:pPr>
    </w:p>
    <w:p w14:paraId="7A33ED4B" w14:textId="77777777" w:rsidR="005432CB" w:rsidRDefault="005432CB" w:rsidP="009D33A8">
      <w:pPr>
        <w:pStyle w:val="TableHeading"/>
      </w:pPr>
    </w:p>
    <w:p w14:paraId="5715FEF5" w14:textId="75348089" w:rsidR="009D33A8" w:rsidRDefault="009D33A8" w:rsidP="009D33A8">
      <w:pPr>
        <w:pStyle w:val="TableHeading"/>
      </w:pPr>
      <w:r>
        <w:t>Total other gains/(losses) from other economic flows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Operating_Statement.xlsx|Table:Other_economic_flows"/>
      </w:tblPr>
      <w:tblGrid>
        <w:gridCol w:w="6010"/>
        <w:gridCol w:w="907"/>
        <w:gridCol w:w="907"/>
        <w:gridCol w:w="907"/>
        <w:gridCol w:w="907"/>
      </w:tblGrid>
      <w:tr w:rsidR="009D33A8" w14:paraId="546A8C3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1E2F139" w14:textId="77777777" w:rsidR="009D33A8" w:rsidRDefault="009D33A8">
            <w:pPr>
              <w:keepNext/>
            </w:pPr>
          </w:p>
        </w:tc>
        <w:tc>
          <w:tcPr>
            <w:tcW w:w="1814" w:type="dxa"/>
            <w:gridSpan w:val="2"/>
          </w:tcPr>
          <w:p w14:paraId="7A4CC09D"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D864DFB" w14:textId="77777777" w:rsidR="009D33A8" w:rsidRDefault="009D33A8">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r>
      <w:tr w:rsidR="009D33A8" w14:paraId="6F3B55D0"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691374E" w14:textId="77777777" w:rsidR="009D33A8" w:rsidRDefault="009D33A8">
            <w:pPr>
              <w:keepNext/>
            </w:pPr>
          </w:p>
        </w:tc>
        <w:tc>
          <w:tcPr>
            <w:tcW w:w="907" w:type="dxa"/>
          </w:tcPr>
          <w:p w14:paraId="5C035658"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71451DA"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c>
          <w:tcPr>
            <w:tcW w:w="907" w:type="dxa"/>
          </w:tcPr>
          <w:p w14:paraId="3194D08B"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5112EC0" w14:textId="77777777" w:rsidR="009D33A8" w:rsidRDefault="009D33A8">
            <w:pPr>
              <w:keepNext/>
              <w:cnfStyle w:val="100000000000" w:firstRow="1" w:lastRow="0" w:firstColumn="0" w:lastColumn="0" w:oddVBand="0" w:evenVBand="0" w:oddHBand="0" w:evenHBand="0" w:firstRowFirstColumn="0" w:firstRowLastColumn="0" w:lastRowFirstColumn="0" w:lastRowLastColumn="0"/>
            </w:pPr>
            <w:r>
              <w:t>2024</w:t>
            </w:r>
          </w:p>
        </w:tc>
      </w:tr>
      <w:tr w:rsidR="009D33A8" w14:paraId="017B2BFA" w14:textId="77777777">
        <w:tc>
          <w:tcPr>
            <w:cnfStyle w:val="001000000000" w:firstRow="0" w:lastRow="0" w:firstColumn="1" w:lastColumn="0" w:oddVBand="0" w:evenVBand="0" w:oddHBand="0" w:evenHBand="0" w:firstRowFirstColumn="0" w:firstRowLastColumn="0" w:lastRowFirstColumn="0" w:lastRowLastColumn="0"/>
            <w:tcW w:w="6010" w:type="dxa"/>
          </w:tcPr>
          <w:p w14:paraId="5257F323" w14:textId="77777777" w:rsidR="009D33A8" w:rsidRDefault="009D33A8">
            <w:r>
              <w:t>Net (increase)/decrease in allowances for credit losses</w:t>
            </w:r>
          </w:p>
        </w:tc>
        <w:tc>
          <w:tcPr>
            <w:tcW w:w="907" w:type="dxa"/>
          </w:tcPr>
          <w:p w14:paraId="1317792F" w14:textId="77777777" w:rsidR="009D33A8" w:rsidRDefault="009D33A8">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0690B008" w14:textId="77777777" w:rsidR="009D33A8" w:rsidRDefault="009D33A8">
            <w:pPr>
              <w:cnfStyle w:val="000000000000" w:firstRow="0" w:lastRow="0" w:firstColumn="0" w:lastColumn="0" w:oddVBand="0" w:evenVBand="0" w:oddHBand="0" w:evenHBand="0" w:firstRowFirstColumn="0" w:firstRowLastColumn="0" w:lastRowFirstColumn="0" w:lastRowLastColumn="0"/>
            </w:pPr>
            <w:r>
              <w:t>(254)</w:t>
            </w:r>
          </w:p>
        </w:tc>
        <w:tc>
          <w:tcPr>
            <w:tcW w:w="907" w:type="dxa"/>
          </w:tcPr>
          <w:p w14:paraId="77BDDFF8" w14:textId="77777777" w:rsidR="009D33A8" w:rsidRDefault="009D33A8">
            <w:pPr>
              <w:cnfStyle w:val="000000000000" w:firstRow="0" w:lastRow="0" w:firstColumn="0" w:lastColumn="0" w:oddVBand="0" w:evenVBand="0" w:oddHBand="0" w:evenHBand="0" w:firstRowFirstColumn="0" w:firstRowLastColumn="0" w:lastRowFirstColumn="0" w:lastRowLastColumn="0"/>
            </w:pPr>
            <w:r>
              <w:t>66</w:t>
            </w:r>
          </w:p>
        </w:tc>
        <w:tc>
          <w:tcPr>
            <w:tcW w:w="907" w:type="dxa"/>
          </w:tcPr>
          <w:p w14:paraId="4A462EB8" w14:textId="77777777" w:rsidR="009D33A8" w:rsidRDefault="009D33A8">
            <w:pPr>
              <w:cnfStyle w:val="000000000000" w:firstRow="0" w:lastRow="0" w:firstColumn="0" w:lastColumn="0" w:oddVBand="0" w:evenVBand="0" w:oddHBand="0" w:evenHBand="0" w:firstRowFirstColumn="0" w:firstRowLastColumn="0" w:lastRowFirstColumn="0" w:lastRowLastColumn="0"/>
            </w:pPr>
            <w:r>
              <w:t>(183)</w:t>
            </w:r>
          </w:p>
        </w:tc>
      </w:tr>
      <w:tr w:rsidR="009D33A8" w14:paraId="7339FDA8" w14:textId="77777777">
        <w:tc>
          <w:tcPr>
            <w:cnfStyle w:val="001000000000" w:firstRow="0" w:lastRow="0" w:firstColumn="1" w:lastColumn="0" w:oddVBand="0" w:evenVBand="0" w:oddHBand="0" w:evenHBand="0" w:firstRowFirstColumn="0" w:firstRowLastColumn="0" w:lastRowFirstColumn="0" w:lastRowLastColumn="0"/>
            <w:tcW w:w="6010" w:type="dxa"/>
          </w:tcPr>
          <w:p w14:paraId="6D52D535" w14:textId="77777777" w:rsidR="009D33A8" w:rsidRDefault="009D33A8">
            <w:r>
              <w:t>Amortisation of intangible non</w:t>
            </w:r>
            <w:r>
              <w:noBreakHyphen/>
              <w:t>produced assets</w:t>
            </w:r>
          </w:p>
        </w:tc>
        <w:tc>
          <w:tcPr>
            <w:tcW w:w="907" w:type="dxa"/>
          </w:tcPr>
          <w:p w14:paraId="1DCA45B9" w14:textId="77777777" w:rsidR="009D33A8" w:rsidRDefault="009D33A8">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3E185C6" w14:textId="77777777" w:rsidR="009D33A8" w:rsidRDefault="009D33A8">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2DD5E648" w14:textId="77777777" w:rsidR="009D33A8" w:rsidRDefault="009D33A8">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1F01A9F" w14:textId="77777777" w:rsidR="009D33A8" w:rsidRDefault="009D33A8">
            <w:pPr>
              <w:cnfStyle w:val="000000000000" w:firstRow="0" w:lastRow="0" w:firstColumn="0" w:lastColumn="0" w:oddVBand="0" w:evenVBand="0" w:oddHBand="0" w:evenHBand="0" w:firstRowFirstColumn="0" w:firstRowLastColumn="0" w:lastRowFirstColumn="0" w:lastRowLastColumn="0"/>
            </w:pPr>
            <w:r>
              <w:t>(6)</w:t>
            </w:r>
          </w:p>
        </w:tc>
      </w:tr>
      <w:tr w:rsidR="009D33A8" w14:paraId="705C5E77" w14:textId="77777777">
        <w:tc>
          <w:tcPr>
            <w:cnfStyle w:val="001000000000" w:firstRow="0" w:lastRow="0" w:firstColumn="1" w:lastColumn="0" w:oddVBand="0" w:evenVBand="0" w:oddHBand="0" w:evenHBand="0" w:firstRowFirstColumn="0" w:firstRowLastColumn="0" w:lastRowFirstColumn="0" w:lastRowLastColumn="0"/>
            <w:tcW w:w="6010" w:type="dxa"/>
          </w:tcPr>
          <w:p w14:paraId="12C50335" w14:textId="77777777" w:rsidR="009D33A8" w:rsidRDefault="009D33A8">
            <w:r>
              <w:t>Net swap interest revenue/(expense)</w:t>
            </w:r>
          </w:p>
        </w:tc>
        <w:tc>
          <w:tcPr>
            <w:tcW w:w="907" w:type="dxa"/>
          </w:tcPr>
          <w:p w14:paraId="2B18C552" w14:textId="77777777" w:rsidR="009D33A8" w:rsidRDefault="009D33A8">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7056B60D" w14:textId="77777777" w:rsidR="009D33A8" w:rsidRDefault="009D33A8">
            <w:pP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4992F3B4"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59C1849" w14:textId="77777777" w:rsidR="009D33A8" w:rsidRDefault="009D33A8">
            <w:pPr>
              <w:cnfStyle w:val="000000000000" w:firstRow="0" w:lastRow="0" w:firstColumn="0" w:lastColumn="0" w:oddVBand="0" w:evenVBand="0" w:oddHBand="0" w:evenHBand="0" w:firstRowFirstColumn="0" w:firstRowLastColumn="0" w:lastRowFirstColumn="0" w:lastRowLastColumn="0"/>
            </w:pPr>
            <w:r>
              <w:t>..</w:t>
            </w:r>
          </w:p>
        </w:tc>
      </w:tr>
      <w:tr w:rsidR="009D33A8" w14:paraId="135FD09E" w14:textId="77777777">
        <w:tc>
          <w:tcPr>
            <w:cnfStyle w:val="001000000000" w:firstRow="0" w:lastRow="0" w:firstColumn="1" w:lastColumn="0" w:oddVBand="0" w:evenVBand="0" w:oddHBand="0" w:evenHBand="0" w:firstRowFirstColumn="0" w:firstRowLastColumn="0" w:lastRowFirstColumn="0" w:lastRowLastColumn="0"/>
            <w:tcW w:w="6010" w:type="dxa"/>
          </w:tcPr>
          <w:p w14:paraId="22A0F30B" w14:textId="77777777" w:rsidR="009D33A8" w:rsidRDefault="009D33A8">
            <w:r>
              <w:t>Bad debts written off</w:t>
            </w:r>
          </w:p>
        </w:tc>
        <w:tc>
          <w:tcPr>
            <w:tcW w:w="907" w:type="dxa"/>
          </w:tcPr>
          <w:p w14:paraId="1398B18F" w14:textId="77777777" w:rsidR="009D33A8" w:rsidRDefault="009D33A8">
            <w:pPr>
              <w:cnfStyle w:val="000000000000" w:firstRow="0" w:lastRow="0" w:firstColumn="0" w:lastColumn="0" w:oddVBand="0" w:evenVBand="0" w:oddHBand="0" w:evenHBand="0" w:firstRowFirstColumn="0" w:firstRowLastColumn="0" w:lastRowFirstColumn="0" w:lastRowLastColumn="0"/>
            </w:pPr>
            <w:r>
              <w:t>(339)</w:t>
            </w:r>
          </w:p>
        </w:tc>
        <w:tc>
          <w:tcPr>
            <w:tcW w:w="907" w:type="dxa"/>
          </w:tcPr>
          <w:p w14:paraId="63E07624" w14:textId="77777777" w:rsidR="009D33A8" w:rsidRDefault="009D33A8">
            <w:pPr>
              <w:cnfStyle w:val="000000000000" w:firstRow="0" w:lastRow="0" w:firstColumn="0" w:lastColumn="0" w:oddVBand="0" w:evenVBand="0" w:oddHBand="0" w:evenHBand="0" w:firstRowFirstColumn="0" w:firstRowLastColumn="0" w:lastRowFirstColumn="0" w:lastRowLastColumn="0"/>
            </w:pPr>
            <w:r>
              <w:t>(360)</w:t>
            </w:r>
          </w:p>
        </w:tc>
        <w:tc>
          <w:tcPr>
            <w:tcW w:w="907" w:type="dxa"/>
          </w:tcPr>
          <w:p w14:paraId="35212FF3" w14:textId="77777777" w:rsidR="009D33A8" w:rsidRDefault="009D33A8">
            <w:pPr>
              <w:cnfStyle w:val="000000000000" w:firstRow="0" w:lastRow="0" w:firstColumn="0" w:lastColumn="0" w:oddVBand="0" w:evenVBand="0" w:oddHBand="0" w:evenHBand="0" w:firstRowFirstColumn="0" w:firstRowLastColumn="0" w:lastRowFirstColumn="0" w:lastRowLastColumn="0"/>
            </w:pPr>
            <w:r>
              <w:t>(328)</w:t>
            </w:r>
          </w:p>
        </w:tc>
        <w:tc>
          <w:tcPr>
            <w:tcW w:w="907" w:type="dxa"/>
          </w:tcPr>
          <w:p w14:paraId="55395431" w14:textId="77777777" w:rsidR="009D33A8" w:rsidRDefault="009D33A8">
            <w:pPr>
              <w:cnfStyle w:val="000000000000" w:firstRow="0" w:lastRow="0" w:firstColumn="0" w:lastColumn="0" w:oddVBand="0" w:evenVBand="0" w:oddHBand="0" w:evenHBand="0" w:firstRowFirstColumn="0" w:firstRowLastColumn="0" w:lastRowFirstColumn="0" w:lastRowLastColumn="0"/>
            </w:pPr>
            <w:r>
              <w:t>(348)</w:t>
            </w:r>
          </w:p>
        </w:tc>
      </w:tr>
      <w:tr w:rsidR="009D33A8" w14:paraId="78DC4B01" w14:textId="77777777">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DD2F7B1" w14:textId="77777777" w:rsidR="009D33A8" w:rsidRDefault="009D33A8">
            <w:r>
              <w:t>Other gains/(losses)</w:t>
            </w:r>
          </w:p>
        </w:tc>
        <w:tc>
          <w:tcPr>
            <w:tcW w:w="907" w:type="dxa"/>
            <w:tcBorders>
              <w:bottom w:val="single" w:sz="6" w:space="0" w:color="auto"/>
            </w:tcBorders>
          </w:tcPr>
          <w:p w14:paraId="01752748" w14:textId="77777777" w:rsidR="009D33A8" w:rsidRDefault="009D33A8">
            <w:pPr>
              <w:cnfStyle w:val="000000000000" w:firstRow="0" w:lastRow="0" w:firstColumn="0" w:lastColumn="0" w:oddVBand="0" w:evenVBand="0" w:oddHBand="0" w:evenHBand="0" w:firstRowFirstColumn="0" w:firstRowLastColumn="0" w:lastRowFirstColumn="0" w:lastRowLastColumn="0"/>
            </w:pPr>
            <w:r>
              <w:t>880</w:t>
            </w:r>
          </w:p>
        </w:tc>
        <w:tc>
          <w:tcPr>
            <w:tcW w:w="907" w:type="dxa"/>
            <w:tcBorders>
              <w:bottom w:val="single" w:sz="6" w:space="0" w:color="auto"/>
            </w:tcBorders>
          </w:tcPr>
          <w:p w14:paraId="0670B0CE" w14:textId="77777777" w:rsidR="009D33A8" w:rsidRDefault="009D33A8">
            <w:pPr>
              <w:cnfStyle w:val="000000000000" w:firstRow="0" w:lastRow="0" w:firstColumn="0" w:lastColumn="0" w:oddVBand="0" w:evenVBand="0" w:oddHBand="0" w:evenHBand="0" w:firstRowFirstColumn="0" w:firstRowLastColumn="0" w:lastRowFirstColumn="0" w:lastRowLastColumn="0"/>
            </w:pPr>
            <w:r>
              <w:t>1 316</w:t>
            </w:r>
          </w:p>
        </w:tc>
        <w:tc>
          <w:tcPr>
            <w:tcW w:w="907" w:type="dxa"/>
            <w:tcBorders>
              <w:bottom w:val="single" w:sz="6" w:space="0" w:color="auto"/>
            </w:tcBorders>
          </w:tcPr>
          <w:p w14:paraId="2C3B726E" w14:textId="77777777" w:rsidR="009D33A8" w:rsidRDefault="009D33A8">
            <w:pPr>
              <w:cnfStyle w:val="000000000000" w:firstRow="0" w:lastRow="0" w:firstColumn="0" w:lastColumn="0" w:oddVBand="0" w:evenVBand="0" w:oddHBand="0" w:evenHBand="0" w:firstRowFirstColumn="0" w:firstRowLastColumn="0" w:lastRowFirstColumn="0" w:lastRowLastColumn="0"/>
            </w:pPr>
            <w:r>
              <w:t>(275)</w:t>
            </w:r>
          </w:p>
        </w:tc>
        <w:tc>
          <w:tcPr>
            <w:tcW w:w="907" w:type="dxa"/>
            <w:tcBorders>
              <w:bottom w:val="single" w:sz="6" w:space="0" w:color="auto"/>
            </w:tcBorders>
          </w:tcPr>
          <w:p w14:paraId="7FA1AFA5" w14:textId="77777777" w:rsidR="009D33A8" w:rsidRDefault="009D33A8">
            <w:pPr>
              <w:cnfStyle w:val="000000000000" w:firstRow="0" w:lastRow="0" w:firstColumn="0" w:lastColumn="0" w:oddVBand="0" w:evenVBand="0" w:oddHBand="0" w:evenHBand="0" w:firstRowFirstColumn="0" w:firstRowLastColumn="0" w:lastRowFirstColumn="0" w:lastRowLastColumn="0"/>
            </w:pPr>
            <w:r>
              <w:t>(29)</w:t>
            </w:r>
          </w:p>
        </w:tc>
      </w:tr>
      <w:tr w:rsidR="009D33A8" w14:paraId="47A8782F" w14:textId="77777777">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363669EA" w14:textId="77777777" w:rsidR="009D33A8" w:rsidRDefault="009D33A8">
            <w:r>
              <w:rPr>
                <w:b/>
              </w:rPr>
              <w:t>Total other gains/(losses) from other economic flows</w:t>
            </w:r>
          </w:p>
        </w:tc>
        <w:tc>
          <w:tcPr>
            <w:tcW w:w="907" w:type="dxa"/>
            <w:tcBorders>
              <w:top w:val="single" w:sz="6" w:space="0" w:color="auto"/>
              <w:bottom w:val="single" w:sz="12" w:space="0" w:color="auto"/>
            </w:tcBorders>
          </w:tcPr>
          <w:p w14:paraId="6089F5EC"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406</w:t>
            </w:r>
          </w:p>
        </w:tc>
        <w:tc>
          <w:tcPr>
            <w:tcW w:w="907" w:type="dxa"/>
            <w:tcBorders>
              <w:top w:val="single" w:sz="6" w:space="0" w:color="auto"/>
              <w:bottom w:val="single" w:sz="12" w:space="0" w:color="auto"/>
            </w:tcBorders>
          </w:tcPr>
          <w:p w14:paraId="27AC3641"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613</w:t>
            </w:r>
          </w:p>
        </w:tc>
        <w:tc>
          <w:tcPr>
            <w:tcW w:w="907" w:type="dxa"/>
            <w:tcBorders>
              <w:top w:val="single" w:sz="6" w:space="0" w:color="auto"/>
              <w:bottom w:val="single" w:sz="12" w:space="0" w:color="auto"/>
            </w:tcBorders>
          </w:tcPr>
          <w:p w14:paraId="14AA1516"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(542)</w:t>
            </w:r>
          </w:p>
        </w:tc>
        <w:tc>
          <w:tcPr>
            <w:tcW w:w="907" w:type="dxa"/>
            <w:tcBorders>
              <w:top w:val="single" w:sz="6" w:space="0" w:color="auto"/>
              <w:bottom w:val="single" w:sz="12" w:space="0" w:color="auto"/>
            </w:tcBorders>
          </w:tcPr>
          <w:p w14:paraId="5BF7ACAE" w14:textId="77777777" w:rsidR="009D33A8" w:rsidRDefault="009D33A8">
            <w:pPr>
              <w:cnfStyle w:val="000000000000" w:firstRow="0" w:lastRow="0" w:firstColumn="0" w:lastColumn="0" w:oddVBand="0" w:evenVBand="0" w:oddHBand="0" w:evenHBand="0" w:firstRowFirstColumn="0" w:firstRowLastColumn="0" w:lastRowFirstColumn="0" w:lastRowLastColumn="0"/>
            </w:pPr>
            <w:r>
              <w:rPr>
                <w:b/>
              </w:rPr>
              <w:t>(566)</w:t>
            </w:r>
          </w:p>
        </w:tc>
      </w:tr>
    </w:tbl>
    <w:p w14:paraId="25178F46" w14:textId="77777777" w:rsidR="009D33A8" w:rsidRDefault="009D33A8" w:rsidP="009D33A8"/>
    <w:p w14:paraId="35235B3F" w14:textId="77777777" w:rsidR="005432CB" w:rsidRDefault="005432CB" w:rsidP="009D33A8">
      <w:pPr>
        <w:pStyle w:val="Heading2"/>
        <w:sectPr w:rsidR="005432CB" w:rsidSect="00823C0E">
          <w:type w:val="continuous"/>
          <w:pgSz w:w="11906" w:h="16838" w:code="9"/>
          <w:pgMar w:top="1134" w:right="1134" w:bottom="1134" w:left="1134" w:header="624" w:footer="567" w:gutter="0"/>
          <w:cols w:space="708"/>
          <w:docGrid w:linePitch="360"/>
        </w:sectPr>
      </w:pPr>
    </w:p>
    <w:p w14:paraId="7D445669" w14:textId="77777777" w:rsidR="005432CB" w:rsidRDefault="005432CB">
      <w:pPr>
        <w:keepLines w:val="0"/>
        <w:rPr>
          <w:rFonts w:asciiTheme="majorHAnsi" w:eastAsiaTheme="majorEastAsia" w:hAnsiTheme="majorHAnsi" w:cstheme="majorBidi"/>
          <w:b/>
          <w:sz w:val="27"/>
          <w:szCs w:val="26"/>
        </w:rPr>
      </w:pPr>
      <w:r>
        <w:br w:type="page"/>
      </w:r>
    </w:p>
    <w:p w14:paraId="13E02EFF" w14:textId="1CA83D4C" w:rsidR="009D33A8" w:rsidRDefault="009D33A8" w:rsidP="009D33A8">
      <w:pPr>
        <w:pStyle w:val="Heading2"/>
      </w:pPr>
      <w:bookmarkStart w:id="179" w:name="_Toc209481981"/>
      <w:r>
        <w:lastRenderedPageBreak/>
        <w:t>8.4</w:t>
      </w:r>
      <w:r>
        <w:tab/>
        <w:t>Reconciliation between Government Finance Statistics and Australian Accounting Standards</w:t>
      </w:r>
      <w:bookmarkEnd w:id="179"/>
    </w:p>
    <w:p w14:paraId="28704340" w14:textId="77777777" w:rsidR="005432CB" w:rsidRDefault="005432CB" w:rsidP="009D33A8">
      <w:pPr>
        <w:sectPr w:rsidR="005432CB" w:rsidSect="005432CB">
          <w:type w:val="continuous"/>
          <w:pgSz w:w="11906" w:h="16838" w:code="9"/>
          <w:pgMar w:top="1134" w:right="1134" w:bottom="1134" w:left="1134" w:header="624" w:footer="567" w:gutter="0"/>
          <w:cols w:num="2" w:space="282"/>
          <w:docGrid w:linePitch="360"/>
        </w:sectPr>
      </w:pPr>
    </w:p>
    <w:p w14:paraId="1A77B9D1" w14:textId="77777777" w:rsidR="009D33A8" w:rsidRDefault="009D33A8" w:rsidP="009D33A8">
      <w:r>
        <w:t>This note identifies the convergence differences between the Australian Accounting Standards reporting (upon which this report is based) and the Government Finance Statistics (GFS) reporting.</w:t>
      </w:r>
    </w:p>
    <w:p w14:paraId="7E203DD8" w14:textId="77777777" w:rsidR="009D33A8" w:rsidRDefault="009D33A8" w:rsidP="009D33A8">
      <w:r>
        <w:t>GFS information enables policymakers and analysts to study developments in the financial operations, financial position and liquidity situation of the Government based on consistent economic reporting rules and definitions.</w:t>
      </w:r>
    </w:p>
    <w:p w14:paraId="35F18D24" w14:textId="77777777" w:rsidR="009D33A8" w:rsidRDefault="009D33A8" w:rsidP="009D33A8">
      <w:r>
        <w:t xml:space="preserve">In December 2019, AASB 2019-7 </w:t>
      </w:r>
      <w:r w:rsidRPr="00FF4369">
        <w:rPr>
          <w:i/>
          <w:iCs/>
        </w:rPr>
        <w:t>Amendments to Australian Accounting Standards – Disclosure of GFS Measures of Key Fiscal Aggregates and GAAP/GFS Reconciliations</w:t>
      </w:r>
      <w:r>
        <w:t xml:space="preserve"> was issued to modify AASB 1049 </w:t>
      </w:r>
      <w:r w:rsidRPr="005B6670">
        <w:rPr>
          <w:i/>
        </w:rPr>
        <w:t>Whole of Government and General Government Sector Financial Reporting</w:t>
      </w:r>
      <w:r>
        <w:t xml:space="preserve"> requirements by providing optional relief from the disclosure of key fiscal aggregates measured in accordance with the GFS where they differ from the key fiscal aggregates provided pursuant to this Accounting Standard.</w:t>
      </w:r>
    </w:p>
    <w:p w14:paraId="0EC079B8" w14:textId="77777777" w:rsidR="009D33A8" w:rsidRDefault="009D33A8" w:rsidP="009D33A8">
      <w:r>
        <w:t>If the optional relief is adopted, AASB 2019-7 requires an explanation of how each of the key fiscal aggregates required under AASB 1049 are calculated and how they differ from the corresponding key fiscal aggregate measured in accordance with the ABS GFS. The State has elected to apply this optional relief.</w:t>
      </w:r>
    </w:p>
    <w:p w14:paraId="090A40F1" w14:textId="02316A4D" w:rsidR="009D33A8" w:rsidRDefault="005432CB" w:rsidP="009D33A8">
      <w:r>
        <w:br w:type="column"/>
      </w:r>
      <w:r w:rsidR="009D33A8">
        <w:t>The key fiscal aggregates below, as defined by AASB 1049, have convergence differences with the GFS:</w:t>
      </w:r>
    </w:p>
    <w:p w14:paraId="696A20C2" w14:textId="77777777" w:rsidR="009D33A8" w:rsidRDefault="009D33A8" w:rsidP="009D33A8">
      <w:pPr>
        <w:pStyle w:val="ListBullet"/>
        <w:keepLines/>
        <w:numPr>
          <w:ilvl w:val="0"/>
          <w:numId w:val="27"/>
        </w:numPr>
        <w:ind w:left="357" w:hanging="357"/>
      </w:pPr>
      <w:r w:rsidRPr="0028269C">
        <w:rPr>
          <w:b/>
          <w:bCs/>
        </w:rPr>
        <w:t>Cash surplus/deficit</w:t>
      </w:r>
      <w:r>
        <w:t xml:space="preserve"> represents the net cash flows from operating activities plus net cash flows from investments in non</w:t>
      </w:r>
      <w:r>
        <w:noBreakHyphen/>
        <w:t>financial assets (less dividends paid for the public non</w:t>
      </w:r>
      <w:r>
        <w:noBreakHyphen/>
        <w:t>financial corporation (PNFC) and public financial corporation (PFC) sectors).</w:t>
      </w:r>
    </w:p>
    <w:p w14:paraId="2777B00F" w14:textId="77777777" w:rsidR="009D33A8" w:rsidRDefault="009D33A8" w:rsidP="005432CB">
      <w:pPr>
        <w:pStyle w:val="ListBullet"/>
        <w:keepLines/>
        <w:numPr>
          <w:ilvl w:val="0"/>
          <w:numId w:val="27"/>
        </w:numPr>
        <w:spacing w:before="180"/>
        <w:ind w:left="357" w:hanging="357"/>
      </w:pPr>
      <w:r w:rsidRPr="0028269C">
        <w:rPr>
          <w:b/>
          <w:bCs/>
        </w:rPr>
        <w:t>Comprehensive result – total change in net worth</w:t>
      </w:r>
      <w:r>
        <w:t xml:space="preserve"> is the amount included in the operating statement representing total change in net worth other than transactions with owners as owners.</w:t>
      </w:r>
    </w:p>
    <w:p w14:paraId="35A9F369" w14:textId="77777777" w:rsidR="009D33A8" w:rsidRDefault="009D33A8" w:rsidP="009D33A8">
      <w:pPr>
        <w:pStyle w:val="ListBullet"/>
        <w:keepLines/>
        <w:numPr>
          <w:ilvl w:val="0"/>
          <w:numId w:val="27"/>
        </w:numPr>
        <w:ind w:left="357" w:hanging="357"/>
      </w:pPr>
      <w:r w:rsidRPr="0028269C">
        <w:rPr>
          <w:b/>
          <w:bCs/>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53EBD351" w14:textId="77777777" w:rsidR="009D33A8" w:rsidRDefault="009D33A8" w:rsidP="009D33A8">
      <w:pPr>
        <w:pStyle w:val="ListBullet"/>
        <w:keepLines/>
        <w:numPr>
          <w:ilvl w:val="0"/>
          <w:numId w:val="27"/>
        </w:numPr>
        <w:ind w:left="357" w:hanging="357"/>
      </w:pPr>
      <w:r w:rsidRPr="0028269C">
        <w:rPr>
          <w:b/>
          <w:bCs/>
        </w:rPr>
        <w:t>Net result from transactions – net operating balance</w:t>
      </w:r>
      <w:r>
        <w:t xml:space="preserve">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1916B1E8" w14:textId="77777777" w:rsidR="009D33A8" w:rsidRDefault="009D33A8" w:rsidP="009D33A8">
      <w:pPr>
        <w:pStyle w:val="ListBullet"/>
        <w:keepLines/>
        <w:numPr>
          <w:ilvl w:val="0"/>
          <w:numId w:val="27"/>
        </w:numPr>
        <w:ind w:left="357" w:hanging="357"/>
      </w:pPr>
      <w:r w:rsidRPr="0028269C">
        <w:rPr>
          <w:b/>
          <w:bCs/>
        </w:rPr>
        <w:t>Net worth</w:t>
      </w:r>
      <w:r>
        <w:t xml:space="preserve"> is calculated as assets less liabilities, which is an economic measure of wealth.</w:t>
      </w:r>
    </w:p>
    <w:p w14:paraId="20D15DF0" w14:textId="77777777" w:rsidR="005432CB" w:rsidRDefault="009D33A8" w:rsidP="009D33A8">
      <w:pPr>
        <w:sectPr w:rsidR="005432CB" w:rsidSect="005432CB">
          <w:type w:val="continuous"/>
          <w:pgSz w:w="11906" w:h="16838" w:code="9"/>
          <w:pgMar w:top="1134" w:right="1134" w:bottom="1134" w:left="1134" w:header="624" w:footer="567" w:gutter="0"/>
          <w:cols w:num="2" w:space="708"/>
          <w:docGrid w:linePitch="360"/>
        </w:sectPr>
      </w:pPr>
      <w:r>
        <w:t>The convergence differences between AASB 1049 and the GFS and their expected impacts applying GFS methodology are outlined in the following table.</w:t>
      </w:r>
    </w:p>
    <w:p w14:paraId="16B3BED7" w14:textId="77777777" w:rsidR="009D33A8" w:rsidRDefault="009D33A8" w:rsidP="009D33A8"/>
    <w:p w14:paraId="08AD025E" w14:textId="77777777" w:rsidR="009D33A8" w:rsidRDefault="009D33A8" w:rsidP="009D33A8">
      <w:pPr>
        <w:rPr>
          <w:i/>
        </w:rPr>
      </w:pPr>
    </w:p>
    <w:p w14:paraId="704095D4" w14:textId="77777777" w:rsidR="009D33A8" w:rsidRDefault="009D33A8" w:rsidP="009D33A8">
      <w:pPr>
        <w:keepLines w:val="0"/>
        <w:rPr>
          <w:rFonts w:asciiTheme="majorHAnsi" w:eastAsiaTheme="majorEastAsia" w:hAnsiTheme="majorHAnsi" w:cstheme="majorBidi"/>
          <w:b/>
          <w:sz w:val="27"/>
          <w:szCs w:val="26"/>
        </w:rPr>
      </w:pPr>
    </w:p>
    <w:tbl>
      <w:tblPr>
        <w:tblStyle w:val="DTFTableText"/>
        <w:tblW w:w="9603" w:type="dxa"/>
        <w:tblLayout w:type="fixed"/>
        <w:tblLook w:val="0620" w:firstRow="1" w:lastRow="0" w:firstColumn="0" w:lastColumn="0" w:noHBand="1" w:noVBand="1"/>
      </w:tblPr>
      <w:tblGrid>
        <w:gridCol w:w="1701"/>
        <w:gridCol w:w="2410"/>
        <w:gridCol w:w="2693"/>
        <w:gridCol w:w="2799"/>
      </w:tblGrid>
      <w:tr w:rsidR="009D33A8" w:rsidRPr="00227A9D" w14:paraId="6B238C7C" w14:textId="77777777">
        <w:trPr>
          <w:cnfStyle w:val="100000000000" w:firstRow="1" w:lastRow="0" w:firstColumn="0" w:lastColumn="0" w:oddVBand="0" w:evenVBand="0" w:oddHBand="0" w:evenHBand="0" w:firstRowFirstColumn="0" w:firstRowLastColumn="0" w:lastRowFirstColumn="0" w:lastRowLastColumn="0"/>
          <w:cantSplit/>
          <w:tblHeader/>
        </w:trPr>
        <w:tc>
          <w:tcPr>
            <w:tcW w:w="1701" w:type="dxa"/>
          </w:tcPr>
          <w:p w14:paraId="78C0E35E" w14:textId="77777777" w:rsidR="009D33A8" w:rsidRPr="00FA75F9" w:rsidRDefault="009D33A8">
            <w:pPr>
              <w:pageBreakBefore/>
              <w:autoSpaceDE w:val="0"/>
              <w:autoSpaceDN w:val="0"/>
              <w:adjustRightInd w:val="0"/>
            </w:pPr>
            <w:r w:rsidRPr="00FA75F9">
              <w:lastRenderedPageBreak/>
              <w:t>Convergence difference</w:t>
            </w:r>
          </w:p>
        </w:tc>
        <w:tc>
          <w:tcPr>
            <w:tcW w:w="2410" w:type="dxa"/>
          </w:tcPr>
          <w:p w14:paraId="1ADF8902" w14:textId="77777777" w:rsidR="009D33A8" w:rsidRPr="00FA75F9" w:rsidRDefault="009D33A8">
            <w:pPr>
              <w:autoSpaceDE w:val="0"/>
              <w:autoSpaceDN w:val="0"/>
              <w:adjustRightInd w:val="0"/>
            </w:pPr>
            <w:r w:rsidRPr="00FA75F9">
              <w:t>AASB 1049 treatment</w:t>
            </w:r>
          </w:p>
        </w:tc>
        <w:tc>
          <w:tcPr>
            <w:tcW w:w="2693" w:type="dxa"/>
          </w:tcPr>
          <w:p w14:paraId="0C97CEF2" w14:textId="77777777" w:rsidR="009D33A8" w:rsidRPr="00FA75F9" w:rsidRDefault="009D33A8">
            <w:pPr>
              <w:ind w:left="170"/>
            </w:pPr>
            <w:r w:rsidRPr="00FA75F9">
              <w:t>ABS GFS treatment</w:t>
            </w:r>
          </w:p>
        </w:tc>
        <w:tc>
          <w:tcPr>
            <w:tcW w:w="2799" w:type="dxa"/>
          </w:tcPr>
          <w:p w14:paraId="36EADCC0" w14:textId="77777777" w:rsidR="009D33A8" w:rsidRPr="00FA75F9" w:rsidRDefault="009D33A8">
            <w:pPr>
              <w:autoSpaceDE w:val="0"/>
              <w:autoSpaceDN w:val="0"/>
              <w:adjustRightInd w:val="0"/>
            </w:pPr>
            <w:r w:rsidRPr="00FA75F9">
              <w:t>Fiscal aggregate impact</w:t>
            </w:r>
          </w:p>
        </w:tc>
      </w:tr>
      <w:tr w:rsidR="009D33A8" w:rsidRPr="00227A9D" w14:paraId="76C19844" w14:textId="77777777">
        <w:trPr>
          <w:cantSplit/>
        </w:trPr>
        <w:tc>
          <w:tcPr>
            <w:tcW w:w="9603" w:type="dxa"/>
            <w:gridSpan w:val="4"/>
            <w:tcBorders>
              <w:bottom w:val="nil"/>
            </w:tcBorders>
            <w:shd w:val="clear" w:color="auto" w:fill="D9D9D9" w:themeFill="background1" w:themeFillShade="D9"/>
          </w:tcPr>
          <w:p w14:paraId="4DD16FFA" w14:textId="77777777" w:rsidR="009D33A8" w:rsidRPr="00227A9D" w:rsidRDefault="009D33A8">
            <w:pPr>
              <w:rPr>
                <w:szCs w:val="19"/>
                <w:lang w:eastAsia="en-AU"/>
              </w:rPr>
            </w:pPr>
            <w:r w:rsidRPr="00227A9D">
              <w:rPr>
                <w:szCs w:val="19"/>
                <w:lang w:eastAsia="en-AU"/>
              </w:rPr>
              <w:t xml:space="preserve">AASB 16 </w:t>
            </w:r>
            <w:r w:rsidRPr="00227A9D">
              <w:rPr>
                <w:i/>
                <w:szCs w:val="19"/>
                <w:lang w:eastAsia="en-AU"/>
              </w:rPr>
              <w:t>Leases</w:t>
            </w:r>
          </w:p>
        </w:tc>
      </w:tr>
      <w:tr w:rsidR="009D33A8" w:rsidRPr="00227A9D" w14:paraId="1AF38AD8" w14:textId="77777777">
        <w:trPr>
          <w:cantSplit/>
        </w:trPr>
        <w:tc>
          <w:tcPr>
            <w:tcW w:w="1701" w:type="dxa"/>
            <w:tcBorders>
              <w:top w:val="nil"/>
              <w:bottom w:val="nil"/>
            </w:tcBorders>
          </w:tcPr>
          <w:p w14:paraId="7BFB6FB8" w14:textId="77777777" w:rsidR="009D33A8" w:rsidRPr="00227A9D" w:rsidRDefault="009D33A8">
            <w:pPr>
              <w:rPr>
                <w:szCs w:val="19"/>
                <w:lang w:eastAsia="en-AU"/>
              </w:rPr>
            </w:pPr>
          </w:p>
        </w:tc>
        <w:tc>
          <w:tcPr>
            <w:tcW w:w="2410" w:type="dxa"/>
            <w:tcBorders>
              <w:top w:val="nil"/>
              <w:bottom w:val="nil"/>
            </w:tcBorders>
          </w:tcPr>
          <w:p w14:paraId="77F9F255" w14:textId="77777777" w:rsidR="009D33A8" w:rsidRPr="00227A9D" w:rsidRDefault="009D33A8">
            <w:pPr>
              <w:rPr>
                <w:szCs w:val="19"/>
                <w:lang w:eastAsia="en-AU"/>
              </w:rPr>
            </w:pPr>
            <w:r w:rsidRPr="00227A9D">
              <w:rPr>
                <w:szCs w:val="19"/>
                <w:lang w:eastAsia="en-AU"/>
              </w:rPr>
              <w:t xml:space="preserve">Operating leases are recognised on the balance sheet under AASB 16 </w:t>
            </w:r>
            <w:r w:rsidRPr="00227A9D">
              <w:rPr>
                <w:i/>
                <w:szCs w:val="19"/>
                <w:lang w:eastAsia="en-AU"/>
              </w:rPr>
              <w:t>Leases</w:t>
            </w:r>
            <w:r w:rsidRPr="00227A9D">
              <w:rPr>
                <w:szCs w:val="19"/>
                <w:lang w:eastAsia="en-AU"/>
              </w:rPr>
              <w:t xml:space="preserve"> unless the lease is shorter than 12 months or where the underlying assets are worth less than $10 000.</w:t>
            </w:r>
          </w:p>
        </w:tc>
        <w:tc>
          <w:tcPr>
            <w:tcW w:w="2693" w:type="dxa"/>
            <w:tcBorders>
              <w:top w:val="nil"/>
              <w:bottom w:val="nil"/>
            </w:tcBorders>
          </w:tcPr>
          <w:p w14:paraId="4AD296E5" w14:textId="77777777" w:rsidR="009D33A8" w:rsidRPr="00227A9D" w:rsidRDefault="009D33A8">
            <w:pPr>
              <w:ind w:left="72"/>
              <w:rPr>
                <w:szCs w:val="19"/>
                <w:lang w:eastAsia="en-AU"/>
              </w:rPr>
            </w:pPr>
            <w:r w:rsidRPr="00227A9D">
              <w:rPr>
                <w:szCs w:val="19"/>
                <w:lang w:eastAsia="en-AU"/>
              </w:rPr>
              <w:t>Operating leases are not recognised on the balance sheet.</w:t>
            </w:r>
          </w:p>
        </w:tc>
        <w:tc>
          <w:tcPr>
            <w:tcW w:w="2799" w:type="dxa"/>
            <w:tcBorders>
              <w:top w:val="nil"/>
              <w:bottom w:val="nil"/>
            </w:tcBorders>
          </w:tcPr>
          <w:p w14:paraId="0BF3BE50"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Cash surplus/deficit</w:t>
            </w:r>
          </w:p>
          <w:p w14:paraId="20D8C4DA" w14:textId="184FCA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3704A51B"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483EC258"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result from transactions – net operating balance </w:t>
            </w:r>
          </w:p>
          <w:p w14:paraId="2AB27307"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177A593A" w14:textId="77777777">
        <w:trPr>
          <w:cantSplit/>
        </w:trPr>
        <w:tc>
          <w:tcPr>
            <w:tcW w:w="9603" w:type="dxa"/>
            <w:gridSpan w:val="4"/>
            <w:tcBorders>
              <w:bottom w:val="nil"/>
            </w:tcBorders>
            <w:shd w:val="clear" w:color="auto" w:fill="D9D9D9" w:themeFill="background1" w:themeFillShade="D9"/>
          </w:tcPr>
          <w:p w14:paraId="0C2235E5" w14:textId="77777777" w:rsidR="009D33A8" w:rsidRPr="00227A9D" w:rsidRDefault="009D33A8">
            <w:pPr>
              <w:rPr>
                <w:b/>
                <w:szCs w:val="19"/>
                <w:lang w:eastAsia="en-AU"/>
              </w:rPr>
            </w:pPr>
            <w:r w:rsidRPr="00227A9D">
              <w:rPr>
                <w:szCs w:val="19"/>
                <w:lang w:eastAsia="en-AU"/>
              </w:rPr>
              <w:t xml:space="preserve">AASB 1059 </w:t>
            </w:r>
            <w:r w:rsidRPr="00227A9D">
              <w:rPr>
                <w:i/>
                <w:szCs w:val="19"/>
                <w:lang w:eastAsia="en-AU"/>
              </w:rPr>
              <w:t>Service concession arrangements</w:t>
            </w:r>
          </w:p>
        </w:tc>
      </w:tr>
      <w:tr w:rsidR="009D33A8" w:rsidRPr="00227A9D" w14:paraId="7B6D2D08" w14:textId="77777777">
        <w:trPr>
          <w:cantSplit/>
        </w:trPr>
        <w:tc>
          <w:tcPr>
            <w:tcW w:w="1701" w:type="dxa"/>
            <w:tcBorders>
              <w:top w:val="nil"/>
              <w:bottom w:val="nil"/>
            </w:tcBorders>
          </w:tcPr>
          <w:p w14:paraId="4BBDC10A" w14:textId="77777777" w:rsidR="009D33A8" w:rsidRPr="00227A9D" w:rsidRDefault="009D33A8">
            <w:pPr>
              <w:rPr>
                <w:szCs w:val="19"/>
                <w:lang w:eastAsia="en-AU"/>
              </w:rPr>
            </w:pPr>
          </w:p>
        </w:tc>
        <w:tc>
          <w:tcPr>
            <w:tcW w:w="2410" w:type="dxa"/>
            <w:tcBorders>
              <w:top w:val="nil"/>
              <w:bottom w:val="nil"/>
            </w:tcBorders>
          </w:tcPr>
          <w:p w14:paraId="49A37499" w14:textId="3095931B" w:rsidR="009D33A8" w:rsidRPr="00227A9D" w:rsidRDefault="009D33A8">
            <w:pPr>
              <w:rPr>
                <w:szCs w:val="19"/>
                <w:lang w:eastAsia="en-AU"/>
              </w:rPr>
            </w:pPr>
            <w:r w:rsidRPr="00227A9D">
              <w:rPr>
                <w:szCs w:val="19"/>
                <w:lang w:eastAsia="en-AU"/>
              </w:rPr>
              <w:t>Economic service concession arrangements, such as toll roads, are recognised on the State</w:t>
            </w:r>
            <w:r w:rsidR="00845934">
              <w:rPr>
                <w:szCs w:val="19"/>
                <w:lang w:eastAsia="en-AU"/>
              </w:rPr>
              <w:t>’</w:t>
            </w:r>
            <w:r w:rsidRPr="00227A9D">
              <w:rPr>
                <w:szCs w:val="19"/>
                <w:lang w:eastAsia="en-AU"/>
              </w:rPr>
              <w:t xml:space="preserve">s balance sheet under </w:t>
            </w:r>
            <w:r w:rsidRPr="00227A9D">
              <w:rPr>
                <w:szCs w:val="19"/>
                <w:lang w:eastAsia="en-AU"/>
              </w:rPr>
              <w:br/>
              <w:t xml:space="preserve">AASB 1059 </w:t>
            </w:r>
            <w:r w:rsidRPr="00227A9D">
              <w:rPr>
                <w:i/>
                <w:szCs w:val="19"/>
                <w:lang w:eastAsia="en-AU"/>
              </w:rPr>
              <w:t>Service Concession Arrangements: Grantors</w:t>
            </w:r>
            <w:r w:rsidRPr="00227A9D">
              <w:rPr>
                <w:szCs w:val="19"/>
                <w:lang w:eastAsia="en-AU"/>
              </w:rPr>
              <w:t>.</w:t>
            </w:r>
          </w:p>
        </w:tc>
        <w:tc>
          <w:tcPr>
            <w:tcW w:w="2693" w:type="dxa"/>
            <w:tcBorders>
              <w:top w:val="nil"/>
              <w:bottom w:val="nil"/>
            </w:tcBorders>
          </w:tcPr>
          <w:p w14:paraId="1EBCF4DD" w14:textId="77777777" w:rsidR="009D33A8" w:rsidRPr="00227A9D" w:rsidRDefault="009D33A8">
            <w:pPr>
              <w:ind w:left="72"/>
              <w:rPr>
                <w:szCs w:val="19"/>
                <w:lang w:eastAsia="en-AU"/>
              </w:rPr>
            </w:pPr>
            <w:r w:rsidRPr="00227A9D">
              <w:rPr>
                <w:szCs w:val="19"/>
                <w:lang w:eastAsia="en-AU"/>
              </w:rPr>
              <w:t>Economic service concession arrangements, such as toll roads, are not recognised on the balance sheet as well as the associated operating statement impacts.</w:t>
            </w:r>
          </w:p>
        </w:tc>
        <w:tc>
          <w:tcPr>
            <w:tcW w:w="2799" w:type="dxa"/>
            <w:tcBorders>
              <w:top w:val="nil"/>
              <w:bottom w:val="nil"/>
            </w:tcBorders>
          </w:tcPr>
          <w:p w14:paraId="520A8F9C" w14:textId="2C3FC960" w:rsidR="009D33A8" w:rsidRPr="003540C4" w:rsidRDefault="009D33A8" w:rsidP="009D33A8">
            <w:pPr>
              <w:pStyle w:val="ListBullet"/>
              <w:keepLines/>
              <w:numPr>
                <w:ilvl w:val="0"/>
                <w:numId w:val="27"/>
              </w:numPr>
              <w:ind w:left="357" w:hanging="357"/>
              <w:rPr>
                <w:lang w:eastAsia="en-AU"/>
              </w:rPr>
            </w:pPr>
            <w:r w:rsidRPr="003540C4">
              <w:rPr>
                <w:lang w:eastAsia="en-AU"/>
              </w:rPr>
              <w:t>Cash surplus/deficit</w:t>
            </w:r>
          </w:p>
          <w:p w14:paraId="7A343EE4" w14:textId="102FE423"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415DAE42" w14:textId="261D3787" w:rsidR="009D33A8" w:rsidRPr="003540C4" w:rsidRDefault="009D33A8" w:rsidP="009D33A8">
            <w:pPr>
              <w:pStyle w:val="ListBullet"/>
              <w:keepLines/>
              <w:numPr>
                <w:ilvl w:val="0"/>
                <w:numId w:val="27"/>
              </w:numPr>
              <w:ind w:left="357" w:hanging="357"/>
              <w:rPr>
                <w:b/>
                <w:bCs/>
                <w:lang w:eastAsia="en-AU"/>
              </w:rPr>
            </w:pPr>
            <w:r w:rsidRPr="003540C4">
              <w:rPr>
                <w:lang w:eastAsia="en-AU"/>
              </w:rPr>
              <w:t xml:space="preserve">Net lending/borrowing </w:t>
            </w:r>
          </w:p>
          <w:p w14:paraId="41F2F683"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result from transactions – net operating balance </w:t>
            </w:r>
          </w:p>
          <w:p w14:paraId="20E7E5F2" w14:textId="77777777" w:rsidR="009D33A8" w:rsidRPr="003540C4" w:rsidRDefault="009D33A8" w:rsidP="009D33A8">
            <w:pPr>
              <w:pStyle w:val="ListBullet"/>
              <w:keepLines/>
              <w:numPr>
                <w:ilvl w:val="0"/>
                <w:numId w:val="27"/>
              </w:numPr>
              <w:ind w:left="357" w:hanging="357"/>
              <w:rPr>
                <w:b/>
                <w:bCs/>
                <w:lang w:eastAsia="en-AU"/>
              </w:rPr>
            </w:pPr>
            <w:r w:rsidRPr="003540C4">
              <w:rPr>
                <w:lang w:eastAsia="en-AU"/>
              </w:rPr>
              <w:t>Net worth</w:t>
            </w:r>
          </w:p>
        </w:tc>
      </w:tr>
      <w:tr w:rsidR="009D33A8" w:rsidRPr="00227A9D" w14:paraId="2104BC9D" w14:textId="77777777">
        <w:trPr>
          <w:cantSplit/>
        </w:trPr>
        <w:tc>
          <w:tcPr>
            <w:tcW w:w="9603" w:type="dxa"/>
            <w:gridSpan w:val="4"/>
            <w:tcBorders>
              <w:bottom w:val="nil"/>
            </w:tcBorders>
            <w:shd w:val="clear" w:color="auto" w:fill="D9D9D9" w:themeFill="background1" w:themeFillShade="D9"/>
          </w:tcPr>
          <w:p w14:paraId="26658DFC" w14:textId="77777777" w:rsidR="009D33A8" w:rsidRPr="00227A9D" w:rsidRDefault="009D33A8">
            <w:pPr>
              <w:keepNext/>
              <w:rPr>
                <w:szCs w:val="19"/>
                <w:lang w:eastAsia="en-AU"/>
              </w:rPr>
            </w:pPr>
            <w:r w:rsidRPr="00227A9D">
              <w:rPr>
                <w:szCs w:val="19"/>
                <w:lang w:eastAsia="en-AU"/>
              </w:rPr>
              <w:t xml:space="preserve">AASB 15 </w:t>
            </w:r>
            <w:r w:rsidRPr="00227A9D">
              <w:rPr>
                <w:i/>
                <w:szCs w:val="19"/>
                <w:lang w:eastAsia="en-AU"/>
              </w:rPr>
              <w:t>Revenue from Contracts with Customers</w:t>
            </w:r>
            <w:r w:rsidRPr="00227A9D">
              <w:rPr>
                <w:szCs w:val="19"/>
                <w:lang w:eastAsia="en-AU"/>
              </w:rPr>
              <w:t xml:space="preserve"> and AASB 1058 </w:t>
            </w:r>
            <w:r w:rsidRPr="00227A9D">
              <w:rPr>
                <w:i/>
                <w:szCs w:val="19"/>
                <w:lang w:eastAsia="en-AU"/>
              </w:rPr>
              <w:t>Income of Not-for-Profit Entities</w:t>
            </w:r>
          </w:p>
        </w:tc>
      </w:tr>
      <w:tr w:rsidR="009D33A8" w:rsidRPr="00227A9D" w14:paraId="08EC077A" w14:textId="77777777">
        <w:trPr>
          <w:cantSplit/>
        </w:trPr>
        <w:tc>
          <w:tcPr>
            <w:tcW w:w="1701" w:type="dxa"/>
            <w:tcBorders>
              <w:top w:val="nil"/>
              <w:bottom w:val="nil"/>
            </w:tcBorders>
          </w:tcPr>
          <w:p w14:paraId="4DC49220" w14:textId="77777777" w:rsidR="009D33A8" w:rsidRPr="00227A9D" w:rsidRDefault="009D33A8">
            <w:pPr>
              <w:rPr>
                <w:szCs w:val="19"/>
                <w:lang w:eastAsia="en-AU"/>
              </w:rPr>
            </w:pPr>
          </w:p>
        </w:tc>
        <w:tc>
          <w:tcPr>
            <w:tcW w:w="2410" w:type="dxa"/>
            <w:tcBorders>
              <w:top w:val="nil"/>
              <w:bottom w:val="nil"/>
            </w:tcBorders>
          </w:tcPr>
          <w:p w14:paraId="0926AD38" w14:textId="77777777" w:rsidR="009D33A8" w:rsidRPr="00227A9D" w:rsidRDefault="009D33A8">
            <w:pPr>
              <w:rPr>
                <w:szCs w:val="19"/>
                <w:lang w:eastAsia="en-AU"/>
              </w:rPr>
            </w:pPr>
            <w:r w:rsidRPr="00227A9D">
              <w:rPr>
                <w:szCs w:val="19"/>
                <w:lang w:eastAsia="en-AU"/>
              </w:rPr>
              <w:t xml:space="preserve">Deferral of revenue recognition, such as where performance obligations have not been satisfied, or for capital grants from the Commonwealth Government, is a requirement under AASB 15 </w:t>
            </w:r>
            <w:r w:rsidRPr="00227A9D">
              <w:rPr>
                <w:i/>
                <w:szCs w:val="19"/>
                <w:lang w:eastAsia="en-AU"/>
              </w:rPr>
              <w:t>Revenue from Contracts with Customers</w:t>
            </w:r>
            <w:r w:rsidRPr="00227A9D">
              <w:rPr>
                <w:szCs w:val="19"/>
                <w:lang w:eastAsia="en-AU"/>
              </w:rPr>
              <w:t xml:space="preserve"> and AASB 1058 </w:t>
            </w:r>
            <w:r w:rsidRPr="00227A9D">
              <w:rPr>
                <w:i/>
                <w:szCs w:val="19"/>
                <w:lang w:eastAsia="en-AU"/>
              </w:rPr>
              <w:t>Income of Not</w:t>
            </w:r>
            <w:r w:rsidRPr="00227A9D">
              <w:rPr>
                <w:i/>
                <w:szCs w:val="19"/>
                <w:lang w:eastAsia="en-AU"/>
              </w:rPr>
              <w:noBreakHyphen/>
              <w:t>for-Profit Entities</w:t>
            </w:r>
            <w:r w:rsidRPr="00227A9D">
              <w:rPr>
                <w:szCs w:val="19"/>
                <w:lang w:eastAsia="en-AU"/>
              </w:rPr>
              <w:t>.</w:t>
            </w:r>
          </w:p>
        </w:tc>
        <w:tc>
          <w:tcPr>
            <w:tcW w:w="2693" w:type="dxa"/>
            <w:tcBorders>
              <w:top w:val="nil"/>
              <w:bottom w:val="nil"/>
            </w:tcBorders>
          </w:tcPr>
          <w:p w14:paraId="2BCFFDC9" w14:textId="4F8B19A6" w:rsidR="009D33A8" w:rsidRPr="00227A9D" w:rsidRDefault="009D33A8">
            <w:pPr>
              <w:ind w:left="72"/>
              <w:rPr>
                <w:szCs w:val="19"/>
                <w:lang w:eastAsia="en-AU"/>
              </w:rPr>
            </w:pPr>
            <w:r w:rsidRPr="00227A9D">
              <w:rPr>
                <w:szCs w:val="19"/>
                <w:lang w:eastAsia="en-AU"/>
              </w:rPr>
              <w:t xml:space="preserve">Deferral of revenue recognition, such as where performance obligations have not been satisfied, or for capital grants from the Commonwealth Government, is not recognised. </w:t>
            </w:r>
            <w:r>
              <w:rPr>
                <w:szCs w:val="19"/>
                <w:lang w:eastAsia="en-AU"/>
              </w:rPr>
              <w:t>This is recognised consistent with the Commonwealth</w:t>
            </w:r>
            <w:r w:rsidR="00845934">
              <w:rPr>
                <w:szCs w:val="19"/>
                <w:lang w:eastAsia="en-AU"/>
              </w:rPr>
              <w:t>’</w:t>
            </w:r>
            <w:r>
              <w:rPr>
                <w:szCs w:val="19"/>
                <w:lang w:eastAsia="en-AU"/>
              </w:rPr>
              <w:t>s treatment of receipts.</w:t>
            </w:r>
            <w:r w:rsidRPr="00227A9D">
              <w:rPr>
                <w:szCs w:val="19"/>
                <w:lang w:eastAsia="en-AU"/>
              </w:rPr>
              <w:t xml:space="preserve"> This timing difference is expected to impact all the key fiscal aggregates. While it is expected that there will not be a net change to the fiscal aggregates over time, there will be convergence differences in any given year.</w:t>
            </w:r>
          </w:p>
        </w:tc>
        <w:tc>
          <w:tcPr>
            <w:tcW w:w="2799" w:type="dxa"/>
            <w:tcBorders>
              <w:top w:val="nil"/>
              <w:bottom w:val="nil"/>
            </w:tcBorders>
          </w:tcPr>
          <w:p w14:paraId="6547C396" w14:textId="49E7ECBE" w:rsidR="009D33A8" w:rsidRPr="003540C4" w:rsidRDefault="009D33A8" w:rsidP="009D33A8">
            <w:pPr>
              <w:pStyle w:val="ListBullet"/>
              <w:keepLines/>
              <w:numPr>
                <w:ilvl w:val="0"/>
                <w:numId w:val="27"/>
              </w:numPr>
              <w:ind w:left="357" w:hanging="357"/>
              <w:rPr>
                <w:lang w:eastAsia="en-AU"/>
              </w:rPr>
            </w:pPr>
            <w:r w:rsidRPr="003540C4">
              <w:rPr>
                <w:lang w:eastAsia="en-AU"/>
              </w:rPr>
              <w:t>Cash surplus/deficit</w:t>
            </w:r>
          </w:p>
          <w:p w14:paraId="0D273AD8" w14:textId="2DB06327" w:rsidR="009D33A8" w:rsidRPr="003540C4" w:rsidRDefault="009D33A8" w:rsidP="009D33A8">
            <w:pPr>
              <w:pStyle w:val="ListBullet"/>
              <w:keepLines/>
              <w:numPr>
                <w:ilvl w:val="0"/>
                <w:numId w:val="27"/>
              </w:numPr>
              <w:ind w:left="357" w:hanging="357"/>
              <w:rPr>
                <w:lang w:eastAsia="en-AU"/>
              </w:rPr>
            </w:pPr>
            <w:r w:rsidRPr="003540C4">
              <w:rPr>
                <w:lang w:eastAsia="en-AU"/>
              </w:rPr>
              <w:t>Comprehensive result</w:t>
            </w:r>
            <w:r>
              <w:rPr>
                <w:lang w:eastAsia="en-AU"/>
              </w:rPr>
              <w:t xml:space="preserve"> </w:t>
            </w:r>
            <w:r w:rsidRPr="003540C4">
              <w:rPr>
                <w:lang w:eastAsia="en-AU"/>
              </w:rPr>
              <w:t xml:space="preserve">– </w:t>
            </w:r>
            <w:r w:rsidR="000E6C18">
              <w:rPr>
                <w:lang w:eastAsia="en-AU"/>
              </w:rPr>
              <w:br/>
            </w:r>
            <w:r w:rsidRPr="003540C4">
              <w:rPr>
                <w:lang w:eastAsia="en-AU"/>
              </w:rPr>
              <w:t>total change in net worth</w:t>
            </w:r>
          </w:p>
          <w:p w14:paraId="350932C8" w14:textId="6171FF6D"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3CEDF2FB"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result from transactions – net operating balance</w:t>
            </w:r>
          </w:p>
          <w:p w14:paraId="0F8F563C"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0CCBB386" w14:textId="77777777">
        <w:trPr>
          <w:cantSplit/>
        </w:trPr>
        <w:tc>
          <w:tcPr>
            <w:tcW w:w="9603" w:type="dxa"/>
            <w:gridSpan w:val="4"/>
            <w:tcBorders>
              <w:bottom w:val="nil"/>
            </w:tcBorders>
            <w:shd w:val="clear" w:color="auto" w:fill="D9D9D9" w:themeFill="background1" w:themeFillShade="D9"/>
          </w:tcPr>
          <w:p w14:paraId="61E79854" w14:textId="77777777" w:rsidR="009D33A8" w:rsidRPr="00227A9D" w:rsidRDefault="009D33A8">
            <w:pPr>
              <w:rPr>
                <w:szCs w:val="19"/>
                <w:lang w:eastAsia="en-AU"/>
              </w:rPr>
            </w:pPr>
            <w:r w:rsidRPr="00227A9D">
              <w:rPr>
                <w:szCs w:val="19"/>
                <w:lang w:eastAsia="en-AU"/>
              </w:rPr>
              <w:t>Port of Melbourne lease transaction</w:t>
            </w:r>
          </w:p>
        </w:tc>
      </w:tr>
      <w:tr w:rsidR="009D33A8" w:rsidRPr="00227A9D" w14:paraId="1BADB359" w14:textId="77777777">
        <w:trPr>
          <w:cantSplit/>
        </w:trPr>
        <w:tc>
          <w:tcPr>
            <w:tcW w:w="1701" w:type="dxa"/>
            <w:tcBorders>
              <w:top w:val="nil"/>
              <w:bottom w:val="nil"/>
            </w:tcBorders>
          </w:tcPr>
          <w:p w14:paraId="7DB2C975" w14:textId="77777777" w:rsidR="009D33A8" w:rsidRPr="00227A9D" w:rsidRDefault="009D33A8">
            <w:pPr>
              <w:rPr>
                <w:b/>
                <w:szCs w:val="19"/>
                <w:lang w:eastAsia="en-AU"/>
              </w:rPr>
            </w:pPr>
            <w:r w:rsidRPr="00227A9D">
              <w:rPr>
                <w:szCs w:val="19"/>
                <w:lang w:eastAsia="en-AU"/>
              </w:rPr>
              <w:t>Port Licence Fee</w:t>
            </w:r>
          </w:p>
        </w:tc>
        <w:tc>
          <w:tcPr>
            <w:tcW w:w="2410" w:type="dxa"/>
            <w:tcBorders>
              <w:top w:val="nil"/>
              <w:bottom w:val="nil"/>
            </w:tcBorders>
          </w:tcPr>
          <w:p w14:paraId="4EE78D08" w14:textId="77777777" w:rsidR="009D33A8" w:rsidRPr="00227A9D" w:rsidRDefault="009D33A8">
            <w:pPr>
              <w:rPr>
                <w:szCs w:val="19"/>
                <w:lang w:eastAsia="en-AU"/>
              </w:rPr>
            </w:pPr>
            <w:r w:rsidRPr="00227A9D">
              <w:rPr>
                <w:szCs w:val="19"/>
                <w:lang w:eastAsia="en-AU"/>
              </w:rPr>
              <w:t>The 15-year prepaid Port Licence Fee from the medium-term lease of the Port of Melbourne is recognised upfront upon receipt.</w:t>
            </w:r>
          </w:p>
        </w:tc>
        <w:tc>
          <w:tcPr>
            <w:tcW w:w="2693" w:type="dxa"/>
            <w:tcBorders>
              <w:top w:val="nil"/>
              <w:bottom w:val="nil"/>
            </w:tcBorders>
          </w:tcPr>
          <w:p w14:paraId="241A4BBE" w14:textId="77777777" w:rsidR="009D33A8" w:rsidRPr="00227A9D" w:rsidRDefault="009D33A8">
            <w:pPr>
              <w:ind w:left="72"/>
              <w:rPr>
                <w:szCs w:val="19"/>
                <w:lang w:eastAsia="en-AU"/>
              </w:rPr>
            </w:pPr>
            <w:r w:rsidRPr="00227A9D">
              <w:rPr>
                <w:szCs w:val="19"/>
                <w:lang w:eastAsia="en-AU"/>
              </w:rPr>
              <w:t>The 15-year prepaid Port Licence Fee from the medium-term lease of the Port of Melbourne is recognised as revenue over the 15-year period.</w:t>
            </w:r>
          </w:p>
        </w:tc>
        <w:tc>
          <w:tcPr>
            <w:tcW w:w="2799" w:type="dxa"/>
            <w:tcBorders>
              <w:top w:val="nil"/>
              <w:bottom w:val="nil"/>
            </w:tcBorders>
          </w:tcPr>
          <w:p w14:paraId="1FD877B7" w14:textId="3305EA1E"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4E756A17"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0973E08E"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result from transactions – net operating balance</w:t>
            </w:r>
          </w:p>
          <w:p w14:paraId="3D7A6627"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66BE9983" w14:textId="77777777">
        <w:trPr>
          <w:cantSplit/>
        </w:trPr>
        <w:tc>
          <w:tcPr>
            <w:tcW w:w="1701" w:type="dxa"/>
            <w:tcBorders>
              <w:bottom w:val="single" w:sz="6" w:space="0" w:color="auto"/>
            </w:tcBorders>
          </w:tcPr>
          <w:p w14:paraId="71C61440" w14:textId="77777777" w:rsidR="009D33A8" w:rsidRPr="00227A9D" w:rsidRDefault="009D33A8">
            <w:pPr>
              <w:rPr>
                <w:szCs w:val="19"/>
                <w:lang w:eastAsia="en-AU"/>
              </w:rPr>
            </w:pPr>
            <w:r w:rsidRPr="00227A9D">
              <w:rPr>
                <w:szCs w:val="19"/>
                <w:lang w:eastAsia="en-AU"/>
              </w:rPr>
              <w:t>Port of Melbourne lease transaction</w:t>
            </w:r>
          </w:p>
        </w:tc>
        <w:tc>
          <w:tcPr>
            <w:tcW w:w="2410" w:type="dxa"/>
            <w:tcBorders>
              <w:bottom w:val="single" w:sz="6" w:space="0" w:color="auto"/>
            </w:tcBorders>
          </w:tcPr>
          <w:p w14:paraId="5703E0EC" w14:textId="77777777" w:rsidR="009D33A8" w:rsidRPr="00227A9D" w:rsidRDefault="009D33A8">
            <w:pPr>
              <w:rPr>
                <w:szCs w:val="19"/>
                <w:lang w:eastAsia="en-AU"/>
              </w:rPr>
            </w:pPr>
            <w:r w:rsidRPr="00227A9D">
              <w:rPr>
                <w:szCs w:val="19"/>
                <w:lang w:eastAsia="en-AU"/>
              </w:rPr>
              <w:t>The Port of Melbourne lease transaction is treated as an operating lease with the leased assets remaining with the PNFC sector.</w:t>
            </w:r>
          </w:p>
        </w:tc>
        <w:tc>
          <w:tcPr>
            <w:tcW w:w="2693" w:type="dxa"/>
            <w:tcBorders>
              <w:bottom w:val="single" w:sz="6" w:space="0" w:color="auto"/>
            </w:tcBorders>
          </w:tcPr>
          <w:p w14:paraId="4AD8995F" w14:textId="77777777" w:rsidR="009D33A8" w:rsidRPr="00227A9D" w:rsidRDefault="009D33A8">
            <w:pPr>
              <w:ind w:left="72"/>
              <w:rPr>
                <w:szCs w:val="19"/>
                <w:lang w:eastAsia="en-AU"/>
              </w:rPr>
            </w:pPr>
            <w:r w:rsidRPr="00227A9D">
              <w:rPr>
                <w:szCs w:val="19"/>
                <w:lang w:eastAsia="en-AU"/>
              </w:rPr>
              <w:t>The Port of Melbourne lease transaction is recognised as a sale of equity from the general government sector.</w:t>
            </w:r>
          </w:p>
        </w:tc>
        <w:tc>
          <w:tcPr>
            <w:tcW w:w="2799" w:type="dxa"/>
            <w:tcBorders>
              <w:bottom w:val="single" w:sz="6" w:space="0" w:color="auto"/>
            </w:tcBorders>
          </w:tcPr>
          <w:p w14:paraId="7280B0F8"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Cash surplus/deficit</w:t>
            </w:r>
          </w:p>
          <w:p w14:paraId="4E1203AB" w14:textId="1CC44B3C"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24238E6A"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031B4371"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result from transactions – net operating balance</w:t>
            </w:r>
          </w:p>
          <w:p w14:paraId="47F6EBBD" w14:textId="77777777" w:rsidR="009D33A8" w:rsidRPr="003540C4" w:rsidRDefault="009D33A8" w:rsidP="009D33A8">
            <w:pPr>
              <w:pStyle w:val="ListBullet"/>
              <w:keepLines/>
              <w:numPr>
                <w:ilvl w:val="0"/>
                <w:numId w:val="27"/>
              </w:numPr>
              <w:ind w:left="357" w:hanging="357"/>
              <w:rPr>
                <w:b/>
                <w:bCs/>
                <w:lang w:eastAsia="en-AU"/>
              </w:rPr>
            </w:pPr>
            <w:r w:rsidRPr="003540C4">
              <w:rPr>
                <w:lang w:eastAsia="en-AU"/>
              </w:rPr>
              <w:t>Net worth</w:t>
            </w:r>
          </w:p>
        </w:tc>
      </w:tr>
      <w:tr w:rsidR="009D33A8" w:rsidRPr="00227A9D" w14:paraId="53CF6639" w14:textId="77777777">
        <w:trPr>
          <w:cantSplit/>
        </w:trPr>
        <w:tc>
          <w:tcPr>
            <w:tcW w:w="9603" w:type="dxa"/>
            <w:gridSpan w:val="4"/>
            <w:tcBorders>
              <w:top w:val="single" w:sz="6" w:space="0" w:color="auto"/>
              <w:bottom w:val="nil"/>
            </w:tcBorders>
            <w:shd w:val="clear" w:color="auto" w:fill="D9D9D9" w:themeFill="background1" w:themeFillShade="D9"/>
          </w:tcPr>
          <w:p w14:paraId="39141DFE" w14:textId="77777777" w:rsidR="009D33A8" w:rsidRPr="00227A9D" w:rsidRDefault="009D33A8">
            <w:pPr>
              <w:keepNext/>
              <w:rPr>
                <w:szCs w:val="19"/>
                <w:lang w:eastAsia="en-AU"/>
              </w:rPr>
            </w:pPr>
            <w:r w:rsidRPr="00227A9D">
              <w:rPr>
                <w:szCs w:val="19"/>
                <w:lang w:eastAsia="en-AU"/>
              </w:rPr>
              <w:lastRenderedPageBreak/>
              <w:t>PNFC/PFC dividends</w:t>
            </w:r>
          </w:p>
        </w:tc>
      </w:tr>
      <w:tr w:rsidR="009D33A8" w:rsidRPr="00227A9D" w14:paraId="64B63BAC" w14:textId="77777777">
        <w:trPr>
          <w:cantSplit/>
        </w:trPr>
        <w:tc>
          <w:tcPr>
            <w:tcW w:w="1701" w:type="dxa"/>
            <w:tcBorders>
              <w:top w:val="nil"/>
              <w:bottom w:val="nil"/>
            </w:tcBorders>
          </w:tcPr>
          <w:p w14:paraId="56918773" w14:textId="77777777" w:rsidR="009D33A8" w:rsidRPr="00227A9D" w:rsidRDefault="009D33A8">
            <w:pPr>
              <w:rPr>
                <w:b/>
                <w:szCs w:val="19"/>
                <w:lang w:eastAsia="en-AU"/>
              </w:rPr>
            </w:pPr>
          </w:p>
        </w:tc>
        <w:tc>
          <w:tcPr>
            <w:tcW w:w="2410" w:type="dxa"/>
            <w:tcBorders>
              <w:top w:val="nil"/>
              <w:bottom w:val="nil"/>
            </w:tcBorders>
          </w:tcPr>
          <w:p w14:paraId="28063273" w14:textId="77777777" w:rsidR="009D33A8" w:rsidRPr="00227A9D" w:rsidRDefault="009D33A8">
            <w:pPr>
              <w:rPr>
                <w:szCs w:val="19"/>
                <w:lang w:eastAsia="en-AU"/>
              </w:rPr>
            </w:pPr>
            <w:r w:rsidRPr="00227A9D">
              <w:rPr>
                <w:szCs w:val="19"/>
                <w:lang w:eastAsia="en-AU"/>
              </w:rPr>
              <w:t>Dividends are classified as after-profit distributions to owners.</w:t>
            </w:r>
          </w:p>
        </w:tc>
        <w:tc>
          <w:tcPr>
            <w:tcW w:w="2693" w:type="dxa"/>
            <w:tcBorders>
              <w:top w:val="nil"/>
              <w:bottom w:val="nil"/>
            </w:tcBorders>
          </w:tcPr>
          <w:p w14:paraId="10CA404B" w14:textId="77777777" w:rsidR="009D33A8" w:rsidRPr="00227A9D" w:rsidRDefault="009D33A8">
            <w:pPr>
              <w:ind w:left="72"/>
              <w:rPr>
                <w:szCs w:val="19"/>
                <w:lang w:eastAsia="en-AU"/>
              </w:rPr>
            </w:pPr>
            <w:r w:rsidRPr="00227A9D">
              <w:rPr>
                <w:szCs w:val="19"/>
                <w:lang w:eastAsia="en-AU"/>
              </w:rPr>
              <w:t>Under GFS, dividends paid/payable are recognised as an expense from transactions on the operating statement.</w:t>
            </w:r>
          </w:p>
          <w:p w14:paraId="3A1140E8" w14:textId="77777777" w:rsidR="009D33A8" w:rsidRPr="00227A9D" w:rsidRDefault="009D33A8">
            <w:pPr>
              <w:ind w:left="170"/>
              <w:rPr>
                <w:szCs w:val="19"/>
                <w:lang w:eastAsia="en-AU"/>
              </w:rPr>
            </w:pPr>
          </w:p>
          <w:p w14:paraId="42F3DEF2" w14:textId="77777777" w:rsidR="009D33A8" w:rsidRPr="00227A9D" w:rsidRDefault="009D33A8">
            <w:pPr>
              <w:ind w:left="72"/>
              <w:rPr>
                <w:szCs w:val="19"/>
                <w:lang w:eastAsia="en-AU"/>
              </w:rPr>
            </w:pPr>
            <w:r w:rsidRPr="00227A9D">
              <w:rPr>
                <w:szCs w:val="19"/>
                <w:lang w:eastAsia="en-AU"/>
              </w:rPr>
              <w:t>Where the dividends paid/payable are considered by the ABS to be in excess of the recent level of dividends and earnings, these are treated as super dividends which reflect a withdrawal of owners equity.</w:t>
            </w:r>
          </w:p>
        </w:tc>
        <w:tc>
          <w:tcPr>
            <w:tcW w:w="2799" w:type="dxa"/>
            <w:tcBorders>
              <w:top w:val="nil"/>
              <w:bottom w:val="nil"/>
            </w:tcBorders>
          </w:tcPr>
          <w:p w14:paraId="20BCBB83" w14:textId="0488D3BE"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03726304"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564D3C6F"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result from transactions – net operating balance</w:t>
            </w:r>
          </w:p>
          <w:p w14:paraId="6C146010"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59AC44F9" w14:textId="77777777">
        <w:trPr>
          <w:cantSplit/>
        </w:trPr>
        <w:tc>
          <w:tcPr>
            <w:tcW w:w="9603" w:type="dxa"/>
            <w:gridSpan w:val="4"/>
            <w:tcBorders>
              <w:bottom w:val="nil"/>
            </w:tcBorders>
            <w:shd w:val="clear" w:color="auto" w:fill="D9D9D9" w:themeFill="background1" w:themeFillShade="D9"/>
          </w:tcPr>
          <w:p w14:paraId="3E1C2B0C" w14:textId="77777777" w:rsidR="009D33A8" w:rsidRPr="00227A9D" w:rsidRDefault="009D33A8">
            <w:pPr>
              <w:rPr>
                <w:b/>
                <w:szCs w:val="19"/>
                <w:lang w:eastAsia="en-AU"/>
              </w:rPr>
            </w:pPr>
            <w:r w:rsidRPr="00227A9D">
              <w:rPr>
                <w:szCs w:val="19"/>
                <w:lang w:eastAsia="en-AU"/>
              </w:rPr>
              <w:t>Doubtful receivables</w:t>
            </w:r>
          </w:p>
        </w:tc>
      </w:tr>
      <w:tr w:rsidR="009D33A8" w:rsidRPr="00227A9D" w14:paraId="0C1FF9C4" w14:textId="77777777">
        <w:trPr>
          <w:cantSplit/>
        </w:trPr>
        <w:tc>
          <w:tcPr>
            <w:tcW w:w="1701" w:type="dxa"/>
            <w:tcBorders>
              <w:top w:val="nil"/>
              <w:bottom w:val="nil"/>
            </w:tcBorders>
          </w:tcPr>
          <w:p w14:paraId="40DEE796" w14:textId="77777777" w:rsidR="009D33A8" w:rsidRPr="00227A9D" w:rsidRDefault="009D33A8">
            <w:pPr>
              <w:rPr>
                <w:b/>
                <w:szCs w:val="19"/>
                <w:lang w:eastAsia="en-AU"/>
              </w:rPr>
            </w:pPr>
          </w:p>
        </w:tc>
        <w:tc>
          <w:tcPr>
            <w:tcW w:w="2410" w:type="dxa"/>
            <w:tcBorders>
              <w:top w:val="nil"/>
              <w:bottom w:val="nil"/>
            </w:tcBorders>
          </w:tcPr>
          <w:p w14:paraId="42674B3F" w14:textId="77777777" w:rsidR="009D33A8" w:rsidRPr="00227A9D" w:rsidRDefault="009D33A8">
            <w:pPr>
              <w:rPr>
                <w:szCs w:val="19"/>
                <w:lang w:eastAsia="en-AU"/>
              </w:rPr>
            </w:pPr>
            <w:r w:rsidRPr="00227A9D">
              <w:rPr>
                <w:szCs w:val="19"/>
              </w:rPr>
              <w:t>Provisions for expected credit loss are included on the balance sheet as a reduction to assets</w:t>
            </w:r>
            <w:r w:rsidRPr="00227A9D">
              <w:rPr>
                <w:szCs w:val="19"/>
                <w:lang w:eastAsia="en-AU"/>
              </w:rPr>
              <w:t>.</w:t>
            </w:r>
          </w:p>
        </w:tc>
        <w:tc>
          <w:tcPr>
            <w:tcW w:w="2693" w:type="dxa"/>
            <w:tcBorders>
              <w:top w:val="nil"/>
              <w:bottom w:val="nil"/>
            </w:tcBorders>
          </w:tcPr>
          <w:p w14:paraId="0FBE7CFE" w14:textId="77777777" w:rsidR="009D33A8" w:rsidRPr="00227A9D" w:rsidRDefault="009D33A8">
            <w:pPr>
              <w:ind w:left="72"/>
              <w:rPr>
                <w:szCs w:val="19"/>
                <w:lang w:eastAsia="en-AU"/>
              </w:rPr>
            </w:pPr>
            <w:r w:rsidRPr="00227A9D">
              <w:rPr>
                <w:szCs w:val="19"/>
                <w:lang w:eastAsia="en-AU"/>
              </w:rPr>
              <w:t>The act of creating provisions is not considered an economic event and is therefore not included on the balance sheet.</w:t>
            </w:r>
          </w:p>
        </w:tc>
        <w:tc>
          <w:tcPr>
            <w:tcW w:w="2799" w:type="dxa"/>
            <w:tcBorders>
              <w:top w:val="nil"/>
              <w:bottom w:val="nil"/>
            </w:tcBorders>
          </w:tcPr>
          <w:p w14:paraId="19CDCC3B" w14:textId="3186ED20"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0720B081" w14:textId="77777777" w:rsidR="009D33A8" w:rsidRPr="003540C4" w:rsidRDefault="009D33A8" w:rsidP="009D33A8">
            <w:pPr>
              <w:pStyle w:val="ListBullet"/>
              <w:keepLines/>
              <w:numPr>
                <w:ilvl w:val="0"/>
                <w:numId w:val="27"/>
              </w:numPr>
              <w:ind w:left="357" w:hanging="357"/>
              <w:rPr>
                <w:b/>
                <w:bCs/>
                <w:lang w:eastAsia="en-AU"/>
              </w:rPr>
            </w:pPr>
            <w:r w:rsidRPr="003540C4">
              <w:rPr>
                <w:lang w:eastAsia="en-AU"/>
              </w:rPr>
              <w:t>Net worth</w:t>
            </w:r>
          </w:p>
        </w:tc>
      </w:tr>
      <w:tr w:rsidR="009D33A8" w:rsidRPr="00227A9D" w14:paraId="530DB8C5" w14:textId="77777777">
        <w:trPr>
          <w:cantSplit/>
        </w:trPr>
        <w:tc>
          <w:tcPr>
            <w:tcW w:w="1701" w:type="dxa"/>
            <w:tcBorders>
              <w:top w:val="nil"/>
              <w:bottom w:val="nil"/>
            </w:tcBorders>
            <w:shd w:val="clear" w:color="auto" w:fill="D9D9D9" w:themeFill="background1" w:themeFillShade="D9"/>
          </w:tcPr>
          <w:p w14:paraId="41BD90D2" w14:textId="77777777" w:rsidR="009D33A8" w:rsidRPr="00227A9D" w:rsidRDefault="009D33A8">
            <w:pPr>
              <w:rPr>
                <w:szCs w:val="19"/>
                <w:lang w:eastAsia="en-AU"/>
              </w:rPr>
            </w:pPr>
            <w:r w:rsidRPr="00227A9D">
              <w:rPr>
                <w:szCs w:val="19"/>
                <w:lang w:eastAsia="en-AU"/>
              </w:rPr>
              <w:t>Provisions</w:t>
            </w:r>
          </w:p>
        </w:tc>
        <w:tc>
          <w:tcPr>
            <w:tcW w:w="2410" w:type="dxa"/>
            <w:tcBorders>
              <w:top w:val="nil"/>
              <w:bottom w:val="nil"/>
            </w:tcBorders>
            <w:shd w:val="clear" w:color="auto" w:fill="D9D9D9" w:themeFill="background1" w:themeFillShade="D9"/>
          </w:tcPr>
          <w:p w14:paraId="2069A01B" w14:textId="77777777" w:rsidR="009D33A8" w:rsidRPr="00227A9D" w:rsidRDefault="009D33A8">
            <w:pPr>
              <w:rPr>
                <w:szCs w:val="19"/>
              </w:rPr>
            </w:pPr>
          </w:p>
        </w:tc>
        <w:tc>
          <w:tcPr>
            <w:tcW w:w="2693" w:type="dxa"/>
            <w:tcBorders>
              <w:top w:val="nil"/>
              <w:bottom w:val="nil"/>
            </w:tcBorders>
            <w:shd w:val="clear" w:color="auto" w:fill="D9D9D9" w:themeFill="background1" w:themeFillShade="D9"/>
          </w:tcPr>
          <w:p w14:paraId="0F300128" w14:textId="77777777" w:rsidR="009D33A8" w:rsidRPr="00227A9D" w:rsidRDefault="009D33A8">
            <w:pPr>
              <w:ind w:left="170"/>
              <w:rPr>
                <w:szCs w:val="19"/>
                <w:lang w:eastAsia="en-AU"/>
              </w:rPr>
            </w:pPr>
          </w:p>
        </w:tc>
        <w:tc>
          <w:tcPr>
            <w:tcW w:w="2799" w:type="dxa"/>
            <w:tcBorders>
              <w:top w:val="nil"/>
              <w:bottom w:val="nil"/>
            </w:tcBorders>
            <w:shd w:val="clear" w:color="auto" w:fill="D9D9D9" w:themeFill="background1" w:themeFillShade="D9"/>
          </w:tcPr>
          <w:p w14:paraId="3FA90ABD" w14:textId="77777777" w:rsidR="009D33A8" w:rsidRPr="00D52DBE" w:rsidRDefault="009D33A8">
            <w:pPr>
              <w:rPr>
                <w:lang w:eastAsia="en-AU"/>
              </w:rPr>
            </w:pPr>
          </w:p>
        </w:tc>
      </w:tr>
      <w:tr w:rsidR="009D33A8" w:rsidRPr="00227A9D" w14:paraId="0139518F" w14:textId="77777777">
        <w:trPr>
          <w:cantSplit/>
        </w:trPr>
        <w:tc>
          <w:tcPr>
            <w:tcW w:w="1701" w:type="dxa"/>
            <w:tcBorders>
              <w:top w:val="nil"/>
              <w:bottom w:val="nil"/>
            </w:tcBorders>
          </w:tcPr>
          <w:p w14:paraId="50763BAD" w14:textId="77777777" w:rsidR="009D33A8" w:rsidRPr="00227A9D" w:rsidRDefault="009D33A8">
            <w:pPr>
              <w:rPr>
                <w:b/>
                <w:szCs w:val="19"/>
                <w:lang w:eastAsia="en-AU"/>
              </w:rPr>
            </w:pPr>
          </w:p>
        </w:tc>
        <w:tc>
          <w:tcPr>
            <w:tcW w:w="2410" w:type="dxa"/>
            <w:tcBorders>
              <w:top w:val="nil"/>
              <w:bottom w:val="nil"/>
            </w:tcBorders>
          </w:tcPr>
          <w:p w14:paraId="62DC3B14" w14:textId="77777777" w:rsidR="009D33A8" w:rsidRPr="00227A9D" w:rsidRDefault="009D33A8">
            <w:pPr>
              <w:rPr>
                <w:szCs w:val="19"/>
              </w:rPr>
            </w:pPr>
            <w:r w:rsidRPr="00227A9D">
              <w:rPr>
                <w:szCs w:val="19"/>
              </w:rPr>
              <w:t>Provisions recognised under AASB 137 are recorded when there is a present obligation, the future sacrifice of economic benefits is probable, and the amount of the provision can be measured reliably.</w:t>
            </w:r>
          </w:p>
        </w:tc>
        <w:tc>
          <w:tcPr>
            <w:tcW w:w="2693" w:type="dxa"/>
            <w:tcBorders>
              <w:top w:val="nil"/>
              <w:bottom w:val="nil"/>
            </w:tcBorders>
          </w:tcPr>
          <w:p w14:paraId="35D3694C" w14:textId="77777777" w:rsidR="009D33A8" w:rsidRPr="00227A9D" w:rsidRDefault="009D33A8">
            <w:pPr>
              <w:ind w:left="72"/>
              <w:rPr>
                <w:szCs w:val="19"/>
                <w:lang w:eastAsia="en-AU"/>
              </w:rPr>
            </w:pPr>
            <w:r w:rsidRPr="00227A9D">
              <w:rPr>
                <w:szCs w:val="19"/>
                <w:lang w:eastAsia="en-AU"/>
              </w:rPr>
              <w:t xml:space="preserve">The act of creating provisions is not considered an economic event and is therefore not included on the balance sheet. The associated expense is not recognised on the operating statement.  </w:t>
            </w:r>
          </w:p>
        </w:tc>
        <w:tc>
          <w:tcPr>
            <w:tcW w:w="2799" w:type="dxa"/>
            <w:tcBorders>
              <w:top w:val="nil"/>
              <w:bottom w:val="nil"/>
            </w:tcBorders>
          </w:tcPr>
          <w:p w14:paraId="0A7B6C31" w14:textId="2043C489"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3BF256A3"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lending/borrowing </w:t>
            </w:r>
          </w:p>
          <w:p w14:paraId="5AF285F4"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 xml:space="preserve">Net result from transactions – net operating balance </w:t>
            </w:r>
          </w:p>
          <w:p w14:paraId="2509BA35" w14:textId="77777777" w:rsidR="009D33A8" w:rsidRDefault="009D33A8" w:rsidP="009D33A8">
            <w:pPr>
              <w:pStyle w:val="ListBullet"/>
              <w:keepLines/>
              <w:numPr>
                <w:ilvl w:val="0"/>
                <w:numId w:val="27"/>
              </w:numPr>
              <w:ind w:left="357" w:hanging="357"/>
            </w:pPr>
            <w:r w:rsidRPr="003540C4">
              <w:rPr>
                <w:lang w:eastAsia="en-AU"/>
              </w:rPr>
              <w:t>Net worth</w:t>
            </w:r>
          </w:p>
        </w:tc>
      </w:tr>
      <w:tr w:rsidR="009D33A8" w:rsidRPr="00227A9D" w14:paraId="3C25A98F" w14:textId="77777777">
        <w:trPr>
          <w:cantSplit/>
        </w:trPr>
        <w:tc>
          <w:tcPr>
            <w:tcW w:w="9603" w:type="dxa"/>
            <w:gridSpan w:val="4"/>
            <w:tcBorders>
              <w:bottom w:val="nil"/>
            </w:tcBorders>
            <w:shd w:val="clear" w:color="auto" w:fill="D9D9D9" w:themeFill="background1" w:themeFillShade="D9"/>
          </w:tcPr>
          <w:p w14:paraId="0EFA874F" w14:textId="77777777" w:rsidR="009D33A8" w:rsidRPr="00227A9D" w:rsidRDefault="009D33A8">
            <w:pPr>
              <w:keepNext/>
              <w:rPr>
                <w:b/>
                <w:szCs w:val="19"/>
                <w:lang w:eastAsia="en-AU"/>
              </w:rPr>
            </w:pPr>
            <w:r w:rsidRPr="00227A9D">
              <w:rPr>
                <w:szCs w:val="19"/>
                <w:lang w:eastAsia="en-AU"/>
              </w:rPr>
              <w:t>Future tax benefits / deferred tax liabilities</w:t>
            </w:r>
          </w:p>
        </w:tc>
      </w:tr>
      <w:tr w:rsidR="009D33A8" w:rsidRPr="00227A9D" w14:paraId="1D21061C" w14:textId="77777777">
        <w:trPr>
          <w:cantSplit/>
        </w:trPr>
        <w:tc>
          <w:tcPr>
            <w:tcW w:w="1701" w:type="dxa"/>
            <w:tcBorders>
              <w:top w:val="nil"/>
              <w:bottom w:val="nil"/>
            </w:tcBorders>
          </w:tcPr>
          <w:p w14:paraId="0BE69959" w14:textId="77777777" w:rsidR="009D33A8" w:rsidRPr="00227A9D" w:rsidRDefault="009D33A8">
            <w:pPr>
              <w:rPr>
                <w:b/>
                <w:szCs w:val="19"/>
                <w:lang w:eastAsia="en-AU"/>
              </w:rPr>
            </w:pPr>
          </w:p>
        </w:tc>
        <w:tc>
          <w:tcPr>
            <w:tcW w:w="2410" w:type="dxa"/>
            <w:tcBorders>
              <w:top w:val="nil"/>
              <w:bottom w:val="nil"/>
            </w:tcBorders>
          </w:tcPr>
          <w:p w14:paraId="2895A494" w14:textId="77777777" w:rsidR="009D33A8" w:rsidRPr="00227A9D" w:rsidRDefault="009D33A8">
            <w:pPr>
              <w:rPr>
                <w:szCs w:val="19"/>
                <w:lang w:eastAsia="en-AU"/>
              </w:rPr>
            </w:pPr>
            <w:r w:rsidRPr="00227A9D">
              <w:rPr>
                <w:szCs w:val="19"/>
                <w:lang w:eastAsia="en-AU"/>
              </w:rPr>
              <w:t>Tax effect accounting is adopted, whereby differences between tax and accounting bases are deferred as either future income tax benefit assets or provisions for deferred liabilities.</w:t>
            </w:r>
          </w:p>
        </w:tc>
        <w:tc>
          <w:tcPr>
            <w:tcW w:w="2693" w:type="dxa"/>
            <w:tcBorders>
              <w:top w:val="nil"/>
              <w:bottom w:val="nil"/>
            </w:tcBorders>
          </w:tcPr>
          <w:p w14:paraId="0FD792EB" w14:textId="77777777" w:rsidR="009D33A8" w:rsidRPr="00227A9D" w:rsidRDefault="009D33A8">
            <w:pPr>
              <w:ind w:left="72"/>
              <w:rPr>
                <w:szCs w:val="19"/>
                <w:lang w:eastAsia="en-AU"/>
              </w:rPr>
            </w:pPr>
            <w:r w:rsidRPr="00227A9D">
              <w:rPr>
                <w:szCs w:val="19"/>
                <w:lang w:eastAsia="en-AU"/>
              </w:rPr>
              <w:t>Under GFS, deferred tax is not recognised.</w:t>
            </w:r>
          </w:p>
        </w:tc>
        <w:tc>
          <w:tcPr>
            <w:tcW w:w="2799" w:type="dxa"/>
            <w:tcBorders>
              <w:top w:val="nil"/>
              <w:bottom w:val="nil"/>
            </w:tcBorders>
          </w:tcPr>
          <w:p w14:paraId="5C2BE9FB" w14:textId="62D7826D"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1BBC2D42"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2E40865B" w14:textId="77777777">
        <w:trPr>
          <w:cantSplit/>
        </w:trPr>
        <w:tc>
          <w:tcPr>
            <w:tcW w:w="9603" w:type="dxa"/>
            <w:gridSpan w:val="4"/>
            <w:tcBorders>
              <w:bottom w:val="nil"/>
            </w:tcBorders>
            <w:shd w:val="clear" w:color="auto" w:fill="D9D9D9" w:themeFill="background1" w:themeFillShade="D9"/>
          </w:tcPr>
          <w:p w14:paraId="16F41E71" w14:textId="77777777" w:rsidR="009D33A8" w:rsidRPr="00227A9D" w:rsidRDefault="009D33A8">
            <w:pPr>
              <w:keepNext/>
              <w:rPr>
                <w:b/>
                <w:szCs w:val="19"/>
                <w:lang w:eastAsia="en-AU"/>
              </w:rPr>
            </w:pPr>
            <w:r w:rsidRPr="00227A9D">
              <w:rPr>
                <w:szCs w:val="19"/>
                <w:lang w:eastAsia="en-AU"/>
              </w:rPr>
              <w:t>Investment in other sector entities</w:t>
            </w:r>
          </w:p>
        </w:tc>
      </w:tr>
      <w:tr w:rsidR="009D33A8" w:rsidRPr="00227A9D" w14:paraId="2FD748F4" w14:textId="77777777">
        <w:trPr>
          <w:cantSplit/>
        </w:trPr>
        <w:tc>
          <w:tcPr>
            <w:tcW w:w="1701" w:type="dxa"/>
            <w:tcBorders>
              <w:top w:val="nil"/>
              <w:bottom w:val="nil"/>
            </w:tcBorders>
          </w:tcPr>
          <w:p w14:paraId="7C6F1876" w14:textId="77777777" w:rsidR="009D33A8" w:rsidRPr="00227A9D" w:rsidRDefault="009D33A8">
            <w:pPr>
              <w:rPr>
                <w:b/>
                <w:szCs w:val="19"/>
                <w:lang w:eastAsia="en-AU"/>
              </w:rPr>
            </w:pPr>
          </w:p>
        </w:tc>
        <w:tc>
          <w:tcPr>
            <w:tcW w:w="2410" w:type="dxa"/>
            <w:tcBorders>
              <w:top w:val="nil"/>
              <w:bottom w:val="nil"/>
            </w:tcBorders>
          </w:tcPr>
          <w:p w14:paraId="4D0A6B0A" w14:textId="77777777" w:rsidR="009D33A8" w:rsidRPr="00227A9D" w:rsidRDefault="009D33A8">
            <w:pPr>
              <w:rPr>
                <w:szCs w:val="19"/>
                <w:lang w:eastAsia="en-AU"/>
              </w:rPr>
            </w:pPr>
            <w:r w:rsidRPr="00227A9D">
              <w:rPr>
                <w:szCs w:val="19"/>
                <w:lang w:eastAsia="en-AU"/>
              </w:rPr>
              <w:t>The net worth of investments in other sector entities for the general government sector includes doubtful receivables, future tax benefits and deferred tax liabilities of the PNFC and PFC sectors.</w:t>
            </w:r>
          </w:p>
        </w:tc>
        <w:tc>
          <w:tcPr>
            <w:tcW w:w="2693" w:type="dxa"/>
            <w:tcBorders>
              <w:top w:val="nil"/>
              <w:bottom w:val="nil"/>
            </w:tcBorders>
          </w:tcPr>
          <w:p w14:paraId="23B9485C" w14:textId="77777777" w:rsidR="009D33A8" w:rsidRPr="00227A9D" w:rsidRDefault="009D33A8">
            <w:pPr>
              <w:ind w:left="72"/>
              <w:rPr>
                <w:szCs w:val="19"/>
                <w:lang w:eastAsia="en-AU"/>
              </w:rPr>
            </w:pPr>
            <w:r w:rsidRPr="00227A9D">
              <w:rPr>
                <w:szCs w:val="19"/>
                <w:lang w:eastAsia="en-AU"/>
              </w:rPr>
              <w:t>The determination of net worth is exclusive of this.</w:t>
            </w:r>
          </w:p>
        </w:tc>
        <w:tc>
          <w:tcPr>
            <w:tcW w:w="2799" w:type="dxa"/>
            <w:tcBorders>
              <w:top w:val="nil"/>
              <w:bottom w:val="nil"/>
            </w:tcBorders>
          </w:tcPr>
          <w:p w14:paraId="1619B037" w14:textId="00B37475"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7289E9B2"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r w:rsidR="009D33A8" w:rsidRPr="00227A9D" w14:paraId="053B8132" w14:textId="77777777">
        <w:trPr>
          <w:cantSplit/>
        </w:trPr>
        <w:tc>
          <w:tcPr>
            <w:tcW w:w="9603" w:type="dxa"/>
            <w:gridSpan w:val="4"/>
            <w:tcBorders>
              <w:bottom w:val="nil"/>
            </w:tcBorders>
            <w:shd w:val="clear" w:color="auto" w:fill="D9D9D9" w:themeFill="background1" w:themeFillShade="D9"/>
          </w:tcPr>
          <w:p w14:paraId="711672B5" w14:textId="77777777" w:rsidR="009D33A8" w:rsidRPr="00227A9D" w:rsidRDefault="009D33A8">
            <w:pPr>
              <w:keepNext/>
              <w:rPr>
                <w:b/>
                <w:szCs w:val="19"/>
                <w:lang w:eastAsia="en-AU"/>
              </w:rPr>
            </w:pPr>
            <w:r w:rsidRPr="00227A9D">
              <w:rPr>
                <w:szCs w:val="19"/>
                <w:lang w:eastAsia="en-AU"/>
              </w:rPr>
              <w:t>PNFC/PFC net worth</w:t>
            </w:r>
          </w:p>
        </w:tc>
      </w:tr>
      <w:tr w:rsidR="009D33A8" w:rsidRPr="00227A9D" w14:paraId="475444EA" w14:textId="77777777">
        <w:trPr>
          <w:cantSplit/>
        </w:trPr>
        <w:tc>
          <w:tcPr>
            <w:tcW w:w="1701" w:type="dxa"/>
            <w:tcBorders>
              <w:top w:val="nil"/>
              <w:bottom w:val="single" w:sz="12" w:space="0" w:color="auto"/>
            </w:tcBorders>
          </w:tcPr>
          <w:p w14:paraId="56D7FCF5" w14:textId="77777777" w:rsidR="009D33A8" w:rsidRPr="00227A9D" w:rsidRDefault="009D33A8">
            <w:pPr>
              <w:rPr>
                <w:b/>
                <w:szCs w:val="19"/>
                <w:lang w:eastAsia="en-AU"/>
              </w:rPr>
            </w:pPr>
          </w:p>
        </w:tc>
        <w:tc>
          <w:tcPr>
            <w:tcW w:w="2410" w:type="dxa"/>
            <w:tcBorders>
              <w:top w:val="nil"/>
              <w:bottom w:val="single" w:sz="12" w:space="0" w:color="auto"/>
            </w:tcBorders>
          </w:tcPr>
          <w:p w14:paraId="371019C6" w14:textId="77777777" w:rsidR="009D33A8" w:rsidRPr="00227A9D" w:rsidRDefault="009D33A8">
            <w:pPr>
              <w:rPr>
                <w:szCs w:val="19"/>
                <w:lang w:eastAsia="en-AU"/>
              </w:rPr>
            </w:pPr>
            <w:r w:rsidRPr="00227A9D">
              <w:rPr>
                <w:szCs w:val="19"/>
                <w:lang w:eastAsia="en-AU"/>
              </w:rPr>
              <w:t>The PNFC/PFC sectors report net worth as assets less liabilities.</w:t>
            </w:r>
          </w:p>
        </w:tc>
        <w:tc>
          <w:tcPr>
            <w:tcW w:w="2693" w:type="dxa"/>
            <w:tcBorders>
              <w:top w:val="nil"/>
              <w:bottom w:val="single" w:sz="12" w:space="0" w:color="auto"/>
            </w:tcBorders>
          </w:tcPr>
          <w:p w14:paraId="7FB98170" w14:textId="77777777" w:rsidR="009D33A8" w:rsidRPr="00227A9D" w:rsidRDefault="009D33A8">
            <w:pPr>
              <w:ind w:left="72"/>
              <w:rPr>
                <w:szCs w:val="19"/>
                <w:lang w:eastAsia="en-AU"/>
              </w:rPr>
            </w:pPr>
            <w:r w:rsidRPr="00227A9D">
              <w:rPr>
                <w:szCs w:val="19"/>
                <w:lang w:eastAsia="en-AU"/>
              </w:rPr>
              <w:t>Under GFS, the PNFC/PFC sectors report zero net worth, as the ownership interest is recognised as a liability.</w:t>
            </w:r>
          </w:p>
        </w:tc>
        <w:tc>
          <w:tcPr>
            <w:tcW w:w="2799" w:type="dxa"/>
            <w:tcBorders>
              <w:top w:val="nil"/>
              <w:bottom w:val="single" w:sz="12" w:space="0" w:color="auto"/>
            </w:tcBorders>
          </w:tcPr>
          <w:p w14:paraId="0AA7B4F4" w14:textId="7F874C58" w:rsidR="009D33A8" w:rsidRPr="003540C4" w:rsidRDefault="009D33A8" w:rsidP="009D33A8">
            <w:pPr>
              <w:pStyle w:val="ListBullet"/>
              <w:keepLines/>
              <w:numPr>
                <w:ilvl w:val="0"/>
                <w:numId w:val="27"/>
              </w:numPr>
              <w:ind w:left="357" w:hanging="357"/>
              <w:rPr>
                <w:lang w:eastAsia="en-AU"/>
              </w:rPr>
            </w:pPr>
            <w:r w:rsidRPr="003540C4">
              <w:rPr>
                <w:lang w:eastAsia="en-AU"/>
              </w:rPr>
              <w:t xml:space="preserve">Comprehensive result – </w:t>
            </w:r>
            <w:r w:rsidR="000E6C18">
              <w:rPr>
                <w:lang w:eastAsia="en-AU"/>
              </w:rPr>
              <w:br/>
            </w:r>
            <w:r w:rsidRPr="003540C4">
              <w:rPr>
                <w:lang w:eastAsia="en-AU"/>
              </w:rPr>
              <w:t>total change in net worth</w:t>
            </w:r>
          </w:p>
          <w:p w14:paraId="5ED5B381" w14:textId="77777777" w:rsidR="009D33A8" w:rsidRPr="003540C4" w:rsidRDefault="009D33A8" w:rsidP="009D33A8">
            <w:pPr>
              <w:pStyle w:val="ListBullet"/>
              <w:keepLines/>
              <w:numPr>
                <w:ilvl w:val="0"/>
                <w:numId w:val="27"/>
              </w:numPr>
              <w:ind w:left="357" w:hanging="357"/>
              <w:rPr>
                <w:lang w:eastAsia="en-AU"/>
              </w:rPr>
            </w:pPr>
            <w:r w:rsidRPr="003540C4">
              <w:rPr>
                <w:lang w:eastAsia="en-AU"/>
              </w:rPr>
              <w:t>Net worth</w:t>
            </w:r>
          </w:p>
        </w:tc>
      </w:tr>
    </w:tbl>
    <w:p w14:paraId="06E491D0" w14:textId="77777777" w:rsidR="009D33A8" w:rsidRDefault="009D33A8" w:rsidP="009D33A8"/>
    <w:p w14:paraId="55A68147" w14:textId="77777777" w:rsidR="009D33A8" w:rsidRDefault="009D33A8" w:rsidP="009D33A8">
      <w:pPr>
        <w:pStyle w:val="Heading2"/>
      </w:pPr>
      <w:bookmarkStart w:id="180" w:name="_Toc209481982"/>
      <w:r>
        <w:lastRenderedPageBreak/>
        <w:t>8.5</w:t>
      </w:r>
      <w:r>
        <w:tab/>
        <w:t>Related party transactions</w:t>
      </w:r>
      <w:bookmarkEnd w:id="180"/>
      <w:r>
        <w:t xml:space="preserve"> </w:t>
      </w:r>
    </w:p>
    <w:p w14:paraId="4F9F182C" w14:textId="77777777" w:rsidR="00776999" w:rsidRDefault="00776999" w:rsidP="009D33A8">
      <w:pPr>
        <w:sectPr w:rsidR="00776999" w:rsidSect="00823C0E">
          <w:type w:val="continuous"/>
          <w:pgSz w:w="11906" w:h="16838" w:code="9"/>
          <w:pgMar w:top="1134" w:right="1134" w:bottom="1134" w:left="1134" w:header="624" w:footer="567" w:gutter="0"/>
          <w:cols w:space="708"/>
          <w:docGrid w:linePitch="360"/>
        </w:sectPr>
      </w:pPr>
    </w:p>
    <w:p w14:paraId="6FBA5A8E" w14:textId="77777777" w:rsidR="009D33A8" w:rsidRDefault="009D33A8" w:rsidP="009D33A8">
      <w:r>
        <w:t xml:space="preserve">The State of Victoria reporting entity includes government departments, PNFC, PFC and other government-controlled entities. </w:t>
      </w:r>
    </w:p>
    <w:p w14:paraId="256F209C" w14:textId="77777777" w:rsidR="00776999" w:rsidRDefault="00776999" w:rsidP="009D33A8">
      <w:pPr>
        <w:pStyle w:val="Heading3"/>
        <w:sectPr w:rsidR="00776999" w:rsidSect="00776999">
          <w:type w:val="continuous"/>
          <w:pgSz w:w="11906" w:h="16838" w:code="9"/>
          <w:pgMar w:top="1134" w:right="1134" w:bottom="1134" w:left="1134" w:header="624" w:footer="567" w:gutter="0"/>
          <w:cols w:num="2" w:space="708"/>
          <w:docGrid w:linePitch="360"/>
        </w:sectPr>
      </w:pPr>
    </w:p>
    <w:p w14:paraId="5B30EAA7" w14:textId="77777777" w:rsidR="009D33A8" w:rsidRDefault="009D33A8" w:rsidP="009D33A8">
      <w:pPr>
        <w:pStyle w:val="Heading3"/>
      </w:pPr>
      <w:r>
        <w:t>Key management personnel</w:t>
      </w:r>
    </w:p>
    <w:p w14:paraId="7EA6E640" w14:textId="77777777" w:rsidR="009D33A8" w:rsidRDefault="009D33A8" w:rsidP="009D33A8">
      <w:r>
        <w:t>All cabinet ministers are considered members of the key management personnel of the State of Victoria reporting entity for 2024</w:t>
      </w:r>
      <w:r>
        <w:noBreakHyphen/>
        <w:t xml:space="preserve">25. They are listed below. </w:t>
      </w:r>
    </w:p>
    <w:p w14:paraId="63DC206E" w14:textId="77777777" w:rsidR="009D33A8" w:rsidRDefault="009D33A8" w:rsidP="009D33A8"/>
    <w:tbl>
      <w:tblPr>
        <w:tblStyle w:val="DTFTableText"/>
        <w:tblW w:w="4535" w:type="dxa"/>
        <w:tblLook w:val="0620" w:firstRow="1" w:lastRow="0" w:firstColumn="0" w:lastColumn="0" w:noHBand="1" w:noVBand="1"/>
      </w:tblPr>
      <w:tblGrid>
        <w:gridCol w:w="2267"/>
        <w:gridCol w:w="2268"/>
      </w:tblGrid>
      <w:tr w:rsidR="009D33A8" w:rsidRPr="00772E36" w14:paraId="385F9948" w14:textId="77777777">
        <w:trPr>
          <w:cnfStyle w:val="100000000000" w:firstRow="1" w:lastRow="0" w:firstColumn="0" w:lastColumn="0" w:oddVBand="0" w:evenVBand="0" w:oddHBand="0" w:evenHBand="0" w:firstRowFirstColumn="0" w:firstRowLastColumn="0" w:lastRowFirstColumn="0" w:lastRowLastColumn="0"/>
          <w:trHeight w:val="238"/>
        </w:trPr>
        <w:tc>
          <w:tcPr>
            <w:tcW w:w="2267" w:type="dxa"/>
          </w:tcPr>
          <w:p w14:paraId="0ED50D7B" w14:textId="77777777" w:rsidR="009D33A8" w:rsidRPr="00772E36" w:rsidRDefault="009D33A8">
            <w:r w:rsidRPr="00772E36">
              <w:t xml:space="preserve">Position title </w:t>
            </w:r>
          </w:p>
        </w:tc>
        <w:tc>
          <w:tcPr>
            <w:tcW w:w="2268" w:type="dxa"/>
          </w:tcPr>
          <w:p w14:paraId="1E72E248" w14:textId="77777777" w:rsidR="009D33A8" w:rsidRPr="00772E36" w:rsidRDefault="009D33A8">
            <w:r w:rsidRPr="00772E36">
              <w:t>Key management personnel</w:t>
            </w:r>
          </w:p>
        </w:tc>
      </w:tr>
      <w:tr w:rsidR="009D33A8" w14:paraId="7996A639" w14:textId="77777777">
        <w:trPr>
          <w:trHeight w:val="238"/>
        </w:trPr>
        <w:tc>
          <w:tcPr>
            <w:tcW w:w="2267" w:type="dxa"/>
          </w:tcPr>
          <w:p w14:paraId="468830AE" w14:textId="77777777" w:rsidR="009D33A8" w:rsidRDefault="009D33A8">
            <w:r>
              <w:t>Premier</w:t>
            </w:r>
          </w:p>
        </w:tc>
        <w:tc>
          <w:tcPr>
            <w:tcW w:w="2268" w:type="dxa"/>
          </w:tcPr>
          <w:p w14:paraId="71C04EA9" w14:textId="77777777" w:rsidR="009D33A8" w:rsidRPr="00170279" w:rsidRDefault="009D33A8">
            <w:r w:rsidRPr="00170279">
              <w:t>Hon Jacinta Allan</w:t>
            </w:r>
            <w:r>
              <w:rPr>
                <w:vertAlign w:val="superscript"/>
              </w:rPr>
              <w:t xml:space="preserve"> </w:t>
            </w:r>
          </w:p>
        </w:tc>
      </w:tr>
      <w:tr w:rsidR="009D33A8" w14:paraId="27DEAE1E" w14:textId="77777777" w:rsidTr="000E6C18">
        <w:trPr>
          <w:trHeight w:val="238"/>
        </w:trPr>
        <w:tc>
          <w:tcPr>
            <w:tcW w:w="2267" w:type="dxa"/>
            <w:tcBorders>
              <w:bottom w:val="nil"/>
            </w:tcBorders>
          </w:tcPr>
          <w:p w14:paraId="2373CA3A" w14:textId="77777777" w:rsidR="009D33A8" w:rsidRDefault="009D33A8">
            <w:r>
              <w:t>Deputy Premier</w:t>
            </w:r>
          </w:p>
        </w:tc>
        <w:tc>
          <w:tcPr>
            <w:tcW w:w="2268" w:type="dxa"/>
            <w:tcBorders>
              <w:bottom w:val="nil"/>
            </w:tcBorders>
          </w:tcPr>
          <w:p w14:paraId="2C21CDBE" w14:textId="77777777" w:rsidR="009D33A8" w:rsidRPr="009535A8" w:rsidRDefault="009D33A8">
            <w:pPr>
              <w:rPr>
                <w:vertAlign w:val="superscript"/>
              </w:rPr>
            </w:pPr>
            <w:r w:rsidRPr="00170279">
              <w:t>Hon Ben Carroll</w:t>
            </w:r>
            <w:r>
              <w:t xml:space="preserve"> </w:t>
            </w:r>
          </w:p>
        </w:tc>
      </w:tr>
      <w:tr w:rsidR="009D33A8" w:rsidRPr="00790B81" w14:paraId="33BBD412" w14:textId="77777777" w:rsidTr="000E6C18">
        <w:trPr>
          <w:trHeight w:val="4857"/>
        </w:trPr>
        <w:tc>
          <w:tcPr>
            <w:tcW w:w="2267" w:type="dxa"/>
            <w:tcBorders>
              <w:bottom w:val="single" w:sz="12" w:space="0" w:color="auto"/>
            </w:tcBorders>
          </w:tcPr>
          <w:p w14:paraId="24CA824D" w14:textId="77777777" w:rsidR="009D33A8" w:rsidRPr="00790B81" w:rsidRDefault="009D33A8">
            <w:r>
              <w:t>Ministers of the Crown</w:t>
            </w:r>
          </w:p>
        </w:tc>
        <w:tc>
          <w:tcPr>
            <w:tcW w:w="2268" w:type="dxa"/>
            <w:tcBorders>
              <w:bottom w:val="single" w:sz="12" w:space="0" w:color="auto"/>
            </w:tcBorders>
          </w:tcPr>
          <w:p w14:paraId="07F58FCE" w14:textId="77777777" w:rsidR="009D33A8" w:rsidRDefault="009D33A8">
            <w:r>
              <w:t>Hon Lizzie Blandthorn</w:t>
            </w:r>
          </w:p>
          <w:p w14:paraId="729A7E6A" w14:textId="77777777" w:rsidR="009D33A8" w:rsidRDefault="009D33A8">
            <w:r>
              <w:t>Hon Colin Brooks</w:t>
            </w:r>
          </w:p>
          <w:p w14:paraId="2BF0ABA2" w14:textId="77777777" w:rsidR="009D33A8" w:rsidRDefault="009D33A8">
            <w:r>
              <w:t>Hon Anthony Carbines</w:t>
            </w:r>
          </w:p>
          <w:p w14:paraId="4AF53AE5" w14:textId="6A7964D4" w:rsidR="009D33A8" w:rsidRDefault="009D33A8">
            <w:r>
              <w:t>Hon Lily D</w:t>
            </w:r>
            <w:r w:rsidR="00845934">
              <w:t>’</w:t>
            </w:r>
            <w:r>
              <w:t>Ambrosio</w:t>
            </w:r>
          </w:p>
          <w:p w14:paraId="3CE14340" w14:textId="77777777" w:rsidR="009D33A8" w:rsidRDefault="009D33A8">
            <w:r>
              <w:t>Mr Steve Dimopoulos</w:t>
            </w:r>
          </w:p>
          <w:p w14:paraId="28DDC2D9" w14:textId="77777777" w:rsidR="009D33A8" w:rsidRDefault="009D33A8">
            <w:r>
              <w:t>Hon Enver Erdogan</w:t>
            </w:r>
          </w:p>
          <w:p w14:paraId="5E88B514" w14:textId="77777777" w:rsidR="009D33A8" w:rsidRDefault="009D33A8">
            <w:r>
              <w:t>Hon Melissa Horne</w:t>
            </w:r>
          </w:p>
          <w:p w14:paraId="3D97AD96" w14:textId="77777777" w:rsidR="009D33A8" w:rsidRDefault="009D33A8">
            <w:r>
              <w:t>Hon Natalie Hutchins</w:t>
            </w:r>
          </w:p>
          <w:p w14:paraId="7EEB2DDA" w14:textId="77777777" w:rsidR="009D33A8" w:rsidRDefault="009D33A8">
            <w:r>
              <w:t>Hon Sonya Kilkenny</w:t>
            </w:r>
          </w:p>
          <w:p w14:paraId="1F4B06A6" w14:textId="77777777" w:rsidR="009D33A8" w:rsidRDefault="009D33A8">
            <w:r>
              <w:t xml:space="preserve">Mr Tim Pallas </w:t>
            </w:r>
            <w:r w:rsidRPr="00EB03FA">
              <w:rPr>
                <w:vertAlign w:val="superscript"/>
              </w:rPr>
              <w:t>(</w:t>
            </w:r>
            <w:r>
              <w:rPr>
                <w:vertAlign w:val="superscript"/>
              </w:rPr>
              <w:t>a</w:t>
            </w:r>
            <w:r w:rsidRPr="00EB03FA">
              <w:rPr>
                <w:vertAlign w:val="superscript"/>
              </w:rPr>
              <w:t>)</w:t>
            </w:r>
          </w:p>
          <w:p w14:paraId="1C4ACAED" w14:textId="77777777" w:rsidR="009D33A8" w:rsidRDefault="009D33A8">
            <w:r>
              <w:t>Hon Danny Pearson</w:t>
            </w:r>
          </w:p>
          <w:p w14:paraId="7C57978C" w14:textId="77777777" w:rsidR="009D33A8" w:rsidRDefault="009D33A8">
            <w:r>
              <w:t>Hon Harriet Shing</w:t>
            </w:r>
          </w:p>
          <w:p w14:paraId="475DD191" w14:textId="77777777" w:rsidR="009D33A8" w:rsidRDefault="009D33A8">
            <w:r>
              <w:t>Hon Ros Spence</w:t>
            </w:r>
          </w:p>
          <w:p w14:paraId="753D7D51" w14:textId="77777777" w:rsidR="009D33A8" w:rsidRDefault="009D33A8">
            <w:r w:rsidRPr="00B4742A">
              <w:rPr>
                <w:bCs/>
              </w:rPr>
              <w:t>Hon Nick Staikos</w:t>
            </w:r>
            <w:r>
              <w:rPr>
                <w:bCs/>
              </w:rPr>
              <w:t xml:space="preserve"> </w:t>
            </w:r>
            <w:r w:rsidRPr="00B4742A">
              <w:rPr>
                <w:bCs/>
                <w:vertAlign w:val="superscript"/>
              </w:rPr>
              <w:t>(</w:t>
            </w:r>
            <w:r>
              <w:rPr>
                <w:bCs/>
                <w:vertAlign w:val="superscript"/>
              </w:rPr>
              <w:t>b</w:t>
            </w:r>
            <w:r w:rsidRPr="00B4742A">
              <w:rPr>
                <w:bCs/>
                <w:vertAlign w:val="superscript"/>
              </w:rPr>
              <w:t>)</w:t>
            </w:r>
          </w:p>
          <w:p w14:paraId="52FD7DDE" w14:textId="77777777" w:rsidR="009D33A8" w:rsidRDefault="009D33A8">
            <w:r>
              <w:t>Ms Ingrid Stitt</w:t>
            </w:r>
          </w:p>
          <w:p w14:paraId="61D287C9" w14:textId="77777777" w:rsidR="009D33A8" w:rsidRDefault="009D33A8">
            <w:r>
              <w:t>Hon Natalie Suleyman</w:t>
            </w:r>
          </w:p>
          <w:p w14:paraId="64B01790" w14:textId="5E22C433" w:rsidR="009D33A8" w:rsidRDefault="00606EC4">
            <w:r>
              <w:t>Ms</w:t>
            </w:r>
            <w:r w:rsidR="009D33A8">
              <w:t xml:space="preserve"> Jaclyn Symes</w:t>
            </w:r>
          </w:p>
          <w:p w14:paraId="5284DE95" w14:textId="77777777" w:rsidR="009D33A8" w:rsidRDefault="009D33A8">
            <w:r>
              <w:t>Hon Mary-Anne Thomas</w:t>
            </w:r>
          </w:p>
          <w:p w14:paraId="4E5BC9DA" w14:textId="77777777" w:rsidR="009D33A8" w:rsidRDefault="009D33A8">
            <w:r>
              <w:t>Hon Gayle Tierney</w:t>
            </w:r>
          </w:p>
          <w:p w14:paraId="325B943A" w14:textId="77777777" w:rsidR="009D33A8" w:rsidRDefault="009D33A8">
            <w:r>
              <w:t>Ms Vicki Ward</w:t>
            </w:r>
          </w:p>
          <w:p w14:paraId="7E523B59" w14:textId="77777777" w:rsidR="009D33A8" w:rsidRPr="00170279" w:rsidRDefault="009D33A8">
            <w:r>
              <w:t xml:space="preserve">Hon Gabrielle Williams </w:t>
            </w:r>
          </w:p>
        </w:tc>
      </w:tr>
    </w:tbl>
    <w:p w14:paraId="47C3916D" w14:textId="77777777" w:rsidR="009D33A8" w:rsidRDefault="009D33A8" w:rsidP="009D33A8">
      <w:pPr>
        <w:pStyle w:val="Note"/>
      </w:pPr>
      <w:r w:rsidRPr="00D47845">
        <w:t>Notes:</w:t>
      </w:r>
    </w:p>
    <w:p w14:paraId="34AEE91A" w14:textId="77777777" w:rsidR="009D33A8" w:rsidRDefault="009D33A8" w:rsidP="009D33A8">
      <w:pPr>
        <w:pStyle w:val="Note"/>
        <w:numPr>
          <w:ilvl w:val="0"/>
          <w:numId w:val="14"/>
        </w:numPr>
      </w:pPr>
      <w:r>
        <w:t>Held position of Treasurer until 19 December 2024.</w:t>
      </w:r>
    </w:p>
    <w:p w14:paraId="35315081" w14:textId="77777777" w:rsidR="009D33A8" w:rsidRPr="006A42CC" w:rsidRDefault="009D33A8" w:rsidP="009D33A8">
      <w:pPr>
        <w:pStyle w:val="Note"/>
        <w:numPr>
          <w:ilvl w:val="0"/>
          <w:numId w:val="14"/>
        </w:numPr>
      </w:pPr>
      <w:r>
        <w:t>Appointed to Ministry on 19 December 2024.</w:t>
      </w:r>
      <w:r w:rsidRPr="00CB3249">
        <w:t xml:space="preserve"> </w:t>
      </w:r>
    </w:p>
    <w:p w14:paraId="3FEA3855" w14:textId="77777777" w:rsidR="009D33A8" w:rsidRDefault="009D33A8" w:rsidP="00776999">
      <w:pPr>
        <w:spacing w:before="240"/>
      </w:pPr>
      <w:r>
        <w:t xml:space="preserve">Related </w:t>
      </w:r>
      <w:r w:rsidRPr="00776999">
        <w:t>parties</w:t>
      </w:r>
      <w:r>
        <w:t xml:space="preserve"> of the State of Victoria reporting entity include:</w:t>
      </w:r>
    </w:p>
    <w:p w14:paraId="177FFC0F" w14:textId="77777777" w:rsidR="009D33A8" w:rsidRPr="00CE0EE3" w:rsidRDefault="009D33A8" w:rsidP="009D33A8">
      <w:pPr>
        <w:pStyle w:val="ListBullet"/>
        <w:keepLines/>
        <w:numPr>
          <w:ilvl w:val="0"/>
          <w:numId w:val="27"/>
        </w:numPr>
        <w:ind w:left="357" w:hanging="357"/>
      </w:pPr>
      <w:r w:rsidRPr="00CE0EE3">
        <w:t>all cabinet ministers and their close family members</w:t>
      </w:r>
    </w:p>
    <w:p w14:paraId="23F5837F" w14:textId="77777777" w:rsidR="009D33A8" w:rsidRPr="00CE0EE3" w:rsidRDefault="009D33A8" w:rsidP="009D33A8">
      <w:pPr>
        <w:pStyle w:val="ListBullet"/>
        <w:keepLines/>
        <w:numPr>
          <w:ilvl w:val="0"/>
          <w:numId w:val="27"/>
        </w:numPr>
        <w:ind w:left="357" w:hanging="357"/>
      </w:pPr>
      <w:r>
        <w:t>o</w:t>
      </w:r>
      <w:r w:rsidRPr="00CE0EE3">
        <w:t>ther arrangements or entities jointly controlled by the ministers or their close family members, or entities that they have significant influence over.</w:t>
      </w:r>
    </w:p>
    <w:p w14:paraId="6AE46949" w14:textId="02BC8216" w:rsidR="009D33A8" w:rsidRDefault="00776999" w:rsidP="00776999">
      <w:pPr>
        <w:pStyle w:val="Heading3"/>
        <w:spacing w:before="260"/>
        <w:ind w:left="0" w:firstLine="0"/>
      </w:pPr>
      <w:r>
        <w:br w:type="column"/>
      </w:r>
      <w:r w:rsidR="009D33A8">
        <w:t>Transactions and balances with key management personnel and other related parties</w:t>
      </w:r>
    </w:p>
    <w:p w14:paraId="57A7FA99" w14:textId="77777777" w:rsidR="009D33A8" w:rsidRDefault="009D33A8" w:rsidP="009D33A8">
      <w:r>
        <w:t xml:space="preserve">Given the breadth and depth of State Government activities, related parties transact with the Victorian public sector as normal citizens in a manner consistent with other members of the public, involving the receipt of services and benefits, and payment of taxes and other government fees and charges. No transactions have occurred with related parties on terms and conditions more or less favourable than those conducted under standard government policies, procedures and practices. </w:t>
      </w:r>
    </w:p>
    <w:p w14:paraId="62459AC5" w14:textId="73BA4B03" w:rsidR="009D33A8" w:rsidRDefault="009D33A8" w:rsidP="009D33A8">
      <w:r>
        <w:t>Outside of normal citizen type transactions, transactions are disclosed only when they are considered necessary to draw attention to the possibility that the State</w:t>
      </w:r>
      <w:r w:rsidR="00845934">
        <w:t>’</w:t>
      </w:r>
      <w:r>
        <w:t>s financial position and profit or loss may have been affected by the existence of related parties, and by transactions and outstanding balances, including commitments, with such parties.</w:t>
      </w:r>
    </w:p>
    <w:p w14:paraId="234F5395" w14:textId="77777777" w:rsidR="009D33A8" w:rsidRDefault="009D33A8" w:rsidP="009D33A8">
      <w:r>
        <w:t xml:space="preserve">There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354630B4" w14:textId="77777777" w:rsidR="009D33A8" w:rsidRDefault="009D33A8" w:rsidP="009D33A8">
      <w:pPr>
        <w:pStyle w:val="Heading3"/>
      </w:pPr>
      <w:r>
        <w:t>Remuneration of key management personnel</w:t>
      </w:r>
    </w:p>
    <w:p w14:paraId="60C73E5C" w14:textId="77777777" w:rsidR="009D33A8" w:rsidRDefault="009D33A8" w:rsidP="009D33A8">
      <w:r>
        <w:t xml:space="preserve">The remuneration and allowances of ministers are set by the </w:t>
      </w:r>
      <w:r w:rsidRPr="00B633D0">
        <w:rPr>
          <w:i/>
          <w:iCs/>
        </w:rPr>
        <w:t>Parliamentary Salaries and Superannuation Act 1968</w:t>
      </w:r>
      <w:r>
        <w:t xml:space="preserve"> and the aggregated remuneration for ministers is </w:t>
      </w:r>
      <w:r w:rsidRPr="00BA1976">
        <w:t>$</w:t>
      </w:r>
      <w:r>
        <w:t>11.9</w:t>
      </w:r>
      <w:r w:rsidRPr="003C7E95">
        <w:t xml:space="preserve"> </w:t>
      </w:r>
      <w:r>
        <w:t>million in 2025 ($</w:t>
      </w:r>
      <w:r w:rsidRPr="00BA1976">
        <w:t>11.</w:t>
      </w:r>
      <w:r>
        <w:t>4</w:t>
      </w:r>
      <w:r w:rsidRPr="00BA1976">
        <w:t> </w:t>
      </w:r>
      <w:r>
        <w:t>million in 2024).</w:t>
      </w:r>
    </w:p>
    <w:p w14:paraId="56B02883" w14:textId="77777777" w:rsidR="009D33A8" w:rsidRDefault="009D33A8" w:rsidP="009D33A8">
      <w:pPr>
        <w:pStyle w:val="TableHeading"/>
      </w:pPr>
      <w:r>
        <w:tab/>
      </w:r>
      <w:r>
        <w:tab/>
        <w:t>($ thousand)</w:t>
      </w:r>
    </w:p>
    <w:tbl>
      <w:tblPr>
        <w:tblStyle w:val="DTFTableNumeric"/>
        <w:tblW w:w="4536" w:type="dxa"/>
        <w:tblLook w:val="06A0" w:firstRow="1" w:lastRow="0" w:firstColumn="1" w:lastColumn="0" w:noHBand="1" w:noVBand="1"/>
      </w:tblPr>
      <w:tblGrid>
        <w:gridCol w:w="3119"/>
        <w:gridCol w:w="702"/>
        <w:gridCol w:w="715"/>
      </w:tblGrid>
      <w:tr w:rsidR="009D33A8" w:rsidRPr="00C12632" w14:paraId="165789B6" w14:textId="77777777" w:rsidTr="00776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tcPr>
          <w:p w14:paraId="3F0F024E" w14:textId="77777777" w:rsidR="009D33A8" w:rsidRPr="00C12632" w:rsidRDefault="009D33A8">
            <w:r>
              <w:t>State of Victoria</w:t>
            </w:r>
          </w:p>
        </w:tc>
        <w:tc>
          <w:tcPr>
            <w:tcW w:w="774" w:type="pct"/>
          </w:tcPr>
          <w:p w14:paraId="3DD84693" w14:textId="77777777" w:rsidR="009D33A8" w:rsidRPr="00BB46A8" w:rsidRDefault="009D33A8">
            <w:pPr>
              <w:ind w:left="-23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2025</w:t>
            </w:r>
          </w:p>
        </w:tc>
        <w:tc>
          <w:tcPr>
            <w:tcW w:w="788" w:type="pct"/>
          </w:tcPr>
          <w:p w14:paraId="2D183FE2" w14:textId="77777777" w:rsidR="009D33A8" w:rsidRPr="00BB46A8" w:rsidRDefault="009D33A8">
            <w:pPr>
              <w:cnfStyle w:val="100000000000" w:firstRow="1" w:lastRow="0" w:firstColumn="0" w:lastColumn="0" w:oddVBand="0" w:evenVBand="0" w:oddHBand="0" w:evenHBand="0" w:firstRowFirstColumn="0" w:firstRowLastColumn="0" w:lastRowFirstColumn="0" w:lastRowLastColumn="0"/>
              <w:rPr>
                <w:i w:val="0"/>
                <w:color w:val="FFFFFF" w:themeColor="background1"/>
              </w:rPr>
            </w:pPr>
            <w:r>
              <w:rPr>
                <w:color w:val="FFFFFF" w:themeColor="background1"/>
              </w:rPr>
              <w:t>2024</w:t>
            </w:r>
          </w:p>
        </w:tc>
      </w:tr>
      <w:tr w:rsidR="009D33A8" w:rsidRPr="00C12632" w14:paraId="174F4596" w14:textId="77777777" w:rsidTr="00776999">
        <w:tc>
          <w:tcPr>
            <w:cnfStyle w:val="001000000000" w:firstRow="0" w:lastRow="0" w:firstColumn="1" w:lastColumn="0" w:oddVBand="0" w:evenVBand="0" w:oddHBand="0" w:evenHBand="0" w:firstRowFirstColumn="0" w:firstRowLastColumn="0" w:lastRowFirstColumn="0" w:lastRowLastColumn="0"/>
            <w:tcW w:w="3438" w:type="pct"/>
          </w:tcPr>
          <w:p w14:paraId="374ABEF8" w14:textId="77777777" w:rsidR="009D33A8" w:rsidRPr="00C12632" w:rsidRDefault="009D33A8">
            <w:pPr>
              <w:rPr>
                <w:color w:val="000000"/>
              </w:rPr>
            </w:pPr>
            <w:r>
              <w:rPr>
                <w:color w:val="000000"/>
              </w:rPr>
              <w:t>Salaries and short-term employee benefits</w:t>
            </w:r>
          </w:p>
        </w:tc>
        <w:tc>
          <w:tcPr>
            <w:tcW w:w="774" w:type="pct"/>
          </w:tcPr>
          <w:p w14:paraId="498CFE3E" w14:textId="77777777" w:rsidR="009D33A8" w:rsidRPr="00C12632" w:rsidRDefault="009D33A8">
            <w:pPr>
              <w:cnfStyle w:val="000000000000" w:firstRow="0" w:lastRow="0" w:firstColumn="0" w:lastColumn="0" w:oddVBand="0" w:evenVBand="0" w:oddHBand="0" w:evenHBand="0" w:firstRowFirstColumn="0" w:firstRowLastColumn="0" w:lastRowFirstColumn="0" w:lastRowLastColumn="0"/>
            </w:pPr>
            <w:r>
              <w:t>10 619</w:t>
            </w:r>
          </w:p>
        </w:tc>
        <w:tc>
          <w:tcPr>
            <w:tcW w:w="788" w:type="pct"/>
          </w:tcPr>
          <w:p w14:paraId="41027BAC" w14:textId="77777777" w:rsidR="009D33A8" w:rsidRPr="00746834" w:rsidRDefault="009D33A8">
            <w:pPr>
              <w:cnfStyle w:val="000000000000" w:firstRow="0" w:lastRow="0" w:firstColumn="0" w:lastColumn="0" w:oddVBand="0" w:evenVBand="0" w:oddHBand="0" w:evenHBand="0" w:firstRowFirstColumn="0" w:firstRowLastColumn="0" w:lastRowFirstColumn="0" w:lastRowLastColumn="0"/>
            </w:pPr>
            <w:r>
              <w:t>10 191</w:t>
            </w:r>
          </w:p>
        </w:tc>
      </w:tr>
      <w:tr w:rsidR="009D33A8" w:rsidRPr="00C12632" w14:paraId="0F3118A5" w14:textId="77777777" w:rsidTr="00776999">
        <w:tc>
          <w:tcPr>
            <w:cnfStyle w:val="001000000000" w:firstRow="0" w:lastRow="0" w:firstColumn="1" w:lastColumn="0" w:oddVBand="0" w:evenVBand="0" w:oddHBand="0" w:evenHBand="0" w:firstRowFirstColumn="0" w:firstRowLastColumn="0" w:lastRowFirstColumn="0" w:lastRowLastColumn="0"/>
            <w:tcW w:w="3438" w:type="pct"/>
            <w:tcBorders>
              <w:bottom w:val="nil"/>
            </w:tcBorders>
          </w:tcPr>
          <w:p w14:paraId="572D45A3" w14:textId="77777777" w:rsidR="009D33A8" w:rsidRPr="00C12632" w:rsidRDefault="009D33A8">
            <w:pPr>
              <w:rPr>
                <w:color w:val="000000"/>
              </w:rPr>
            </w:pPr>
            <w:r>
              <w:rPr>
                <w:color w:val="000000"/>
              </w:rPr>
              <w:t xml:space="preserve">Post-employment benefits </w:t>
            </w:r>
          </w:p>
        </w:tc>
        <w:tc>
          <w:tcPr>
            <w:tcW w:w="774" w:type="pct"/>
            <w:tcBorders>
              <w:bottom w:val="nil"/>
            </w:tcBorders>
          </w:tcPr>
          <w:p w14:paraId="7ED55641" w14:textId="77777777" w:rsidR="009D33A8" w:rsidRPr="00C12632" w:rsidRDefault="009D33A8">
            <w:pPr>
              <w:cnfStyle w:val="000000000000" w:firstRow="0" w:lastRow="0" w:firstColumn="0" w:lastColumn="0" w:oddVBand="0" w:evenVBand="0" w:oddHBand="0" w:evenHBand="0" w:firstRowFirstColumn="0" w:firstRowLastColumn="0" w:lastRowFirstColumn="0" w:lastRowLastColumn="0"/>
            </w:pPr>
            <w:r>
              <w:t>1 290</w:t>
            </w:r>
          </w:p>
        </w:tc>
        <w:tc>
          <w:tcPr>
            <w:tcW w:w="788" w:type="pct"/>
            <w:tcBorders>
              <w:bottom w:val="nil"/>
            </w:tcBorders>
          </w:tcPr>
          <w:p w14:paraId="595AE5DC" w14:textId="77777777" w:rsidR="009D33A8" w:rsidRPr="00746834" w:rsidRDefault="009D33A8">
            <w:pPr>
              <w:cnfStyle w:val="000000000000" w:firstRow="0" w:lastRow="0" w:firstColumn="0" w:lastColumn="0" w:oddVBand="0" w:evenVBand="0" w:oddHBand="0" w:evenHBand="0" w:firstRowFirstColumn="0" w:firstRowLastColumn="0" w:lastRowFirstColumn="0" w:lastRowLastColumn="0"/>
            </w:pPr>
            <w:r>
              <w:t xml:space="preserve">1 206 </w:t>
            </w:r>
          </w:p>
        </w:tc>
      </w:tr>
      <w:tr w:rsidR="009D33A8" w:rsidRPr="00C12632" w14:paraId="50C9ACA5" w14:textId="77777777" w:rsidTr="00776999">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auto"/>
            </w:tcBorders>
          </w:tcPr>
          <w:p w14:paraId="698B1EBF" w14:textId="77777777" w:rsidR="009D33A8" w:rsidRPr="00725D59" w:rsidRDefault="009D33A8">
            <w:pPr>
              <w:rPr>
                <w:b/>
                <w:color w:val="000000"/>
              </w:rPr>
            </w:pPr>
            <w:r w:rsidRPr="00725D59">
              <w:rPr>
                <w:b/>
                <w:color w:val="000000"/>
              </w:rPr>
              <w:t>Total</w:t>
            </w:r>
          </w:p>
        </w:tc>
        <w:tc>
          <w:tcPr>
            <w:tcW w:w="774" w:type="pct"/>
            <w:tcBorders>
              <w:top w:val="single" w:sz="4" w:space="0" w:color="auto"/>
            </w:tcBorders>
          </w:tcPr>
          <w:p w14:paraId="1927770E" w14:textId="77777777" w:rsidR="009D33A8" w:rsidRPr="00725D59" w:rsidRDefault="009D33A8">
            <w:pPr>
              <w:cnfStyle w:val="000000000000" w:firstRow="0" w:lastRow="0" w:firstColumn="0" w:lastColumn="0" w:oddVBand="0" w:evenVBand="0" w:oddHBand="0" w:evenHBand="0" w:firstRowFirstColumn="0" w:firstRowLastColumn="0" w:lastRowFirstColumn="0" w:lastRowLastColumn="0"/>
              <w:rPr>
                <w:b/>
              </w:rPr>
            </w:pPr>
            <w:r>
              <w:rPr>
                <w:b/>
              </w:rPr>
              <w:t>11 909</w:t>
            </w:r>
          </w:p>
        </w:tc>
        <w:tc>
          <w:tcPr>
            <w:tcW w:w="788" w:type="pct"/>
            <w:tcBorders>
              <w:top w:val="single" w:sz="4" w:space="0" w:color="auto"/>
            </w:tcBorders>
          </w:tcPr>
          <w:p w14:paraId="1A0F1C9F" w14:textId="77777777" w:rsidR="009D33A8" w:rsidRPr="0073769A" w:rsidRDefault="009D33A8">
            <w:pPr>
              <w:cnfStyle w:val="000000000000" w:firstRow="0" w:lastRow="0" w:firstColumn="0" w:lastColumn="0" w:oddVBand="0" w:evenVBand="0" w:oddHBand="0" w:evenHBand="0" w:firstRowFirstColumn="0" w:firstRowLastColumn="0" w:lastRowFirstColumn="0" w:lastRowLastColumn="0"/>
              <w:rPr>
                <w:b/>
              </w:rPr>
            </w:pPr>
            <w:r>
              <w:rPr>
                <w:b/>
              </w:rPr>
              <w:t>11 397</w:t>
            </w:r>
          </w:p>
        </w:tc>
      </w:tr>
    </w:tbl>
    <w:p w14:paraId="744F7D63" w14:textId="77777777" w:rsidR="00776999" w:rsidRDefault="00776999" w:rsidP="009D33A8">
      <w:pPr>
        <w:pStyle w:val="Heading2"/>
        <w:sectPr w:rsidR="00776999" w:rsidSect="00776999">
          <w:type w:val="continuous"/>
          <w:pgSz w:w="11906" w:h="16838" w:code="9"/>
          <w:pgMar w:top="1134" w:right="1134" w:bottom="1134" w:left="1134" w:header="624" w:footer="567" w:gutter="0"/>
          <w:cols w:num="2" w:space="708"/>
          <w:docGrid w:linePitch="360"/>
        </w:sectPr>
      </w:pPr>
    </w:p>
    <w:p w14:paraId="63F10836" w14:textId="77777777" w:rsidR="009D33A8" w:rsidRDefault="009D33A8" w:rsidP="000E6C18">
      <w:pPr>
        <w:pStyle w:val="Heading2"/>
        <w:pageBreakBefore/>
        <w:spacing w:before="0"/>
      </w:pPr>
      <w:bookmarkStart w:id="181" w:name="_Toc209481983"/>
      <w:r>
        <w:lastRenderedPageBreak/>
        <w:t>8.6</w:t>
      </w:r>
      <w:r>
        <w:tab/>
        <w:t>Subsequent events</w:t>
      </w:r>
      <w:bookmarkEnd w:id="181"/>
      <w:r>
        <w:t xml:space="preserve"> </w:t>
      </w:r>
    </w:p>
    <w:p w14:paraId="30D023DD" w14:textId="77777777" w:rsidR="00776999" w:rsidRDefault="00776999" w:rsidP="009D33A8">
      <w:pPr>
        <w:sectPr w:rsidR="00776999" w:rsidSect="00823C0E">
          <w:type w:val="continuous"/>
          <w:pgSz w:w="11906" w:h="16838" w:code="9"/>
          <w:pgMar w:top="1134" w:right="1134" w:bottom="1134" w:left="1134" w:header="624" w:footer="567" w:gutter="0"/>
          <w:cols w:space="708"/>
          <w:docGrid w:linePitch="360"/>
        </w:sectPr>
      </w:pPr>
    </w:p>
    <w:p w14:paraId="30D4EA64" w14:textId="77777777" w:rsidR="009D33A8" w:rsidRDefault="009D33A8" w:rsidP="009D33A8">
      <w:r>
        <w:t>Assets, liabilities, revenues or expenses arise from past transactions or other past events. Adjustments are made to amounts recognised in the financial statements for events that occur after the reporting period and before the date the statements are authorised for issue, where those events provide information about conditions that existed at the reporting date. If required, note disclosure is made about events that occur between the end of the reporting period and the date the statements are authorised for issue where the events relate to conditions that arose after the reporting period that are considered to be of material interest.</w:t>
      </w:r>
    </w:p>
    <w:p w14:paraId="7330D1F2" w14:textId="77777777" w:rsidR="009D33A8" w:rsidRDefault="009D33A8" w:rsidP="009D33A8">
      <w:pPr>
        <w:pStyle w:val="Heading4"/>
      </w:pPr>
      <w:r>
        <w:t>Independent Review of the Victorian Public Service</w:t>
      </w:r>
    </w:p>
    <w:p w14:paraId="32F32607" w14:textId="77777777" w:rsidR="009D33A8" w:rsidRPr="00914D7C" w:rsidRDefault="009D33A8" w:rsidP="009D33A8">
      <w:r w:rsidRPr="00914D7C">
        <w:t>On 20 February 2025, the Government commissioned an Independent Review of the Victorian Public Service.</w:t>
      </w:r>
    </w:p>
    <w:p w14:paraId="3506B0C9" w14:textId="77777777" w:rsidR="009D33A8" w:rsidRPr="00914D7C" w:rsidRDefault="009D33A8" w:rsidP="009D33A8">
      <w:r w:rsidRPr="00914D7C">
        <w:t> The Review looked to:</w:t>
      </w:r>
    </w:p>
    <w:p w14:paraId="5CB8EB7B" w14:textId="77777777" w:rsidR="009D33A8" w:rsidRPr="00914D7C" w:rsidRDefault="009D33A8" w:rsidP="009D33A8">
      <w:pPr>
        <w:pStyle w:val="ListBullet"/>
        <w:keepLines/>
        <w:numPr>
          <w:ilvl w:val="0"/>
          <w:numId w:val="27"/>
        </w:numPr>
        <w:ind w:left="357" w:hanging="357"/>
      </w:pPr>
      <w:r w:rsidRPr="00914D7C">
        <w:t>identify overlaps, inefficiencies, functions and programs that can be streamlined or eliminated, with a focus on entity consolidation</w:t>
      </w:r>
    </w:p>
    <w:p w14:paraId="3D2EAD11" w14:textId="77777777" w:rsidR="009D33A8" w:rsidRPr="00914D7C" w:rsidRDefault="009D33A8" w:rsidP="009D33A8">
      <w:pPr>
        <w:pStyle w:val="ListBullet"/>
        <w:keepLines/>
        <w:numPr>
          <w:ilvl w:val="0"/>
          <w:numId w:val="27"/>
        </w:numPr>
        <w:ind w:left="357" w:hanging="357"/>
      </w:pPr>
      <w:r w:rsidRPr="00914D7C">
        <w:t>provide recommendations to increase operational efficiency and to deliver process improvements across all VPS departments and programs</w:t>
      </w:r>
    </w:p>
    <w:p w14:paraId="42B247C8" w14:textId="77777777" w:rsidR="009D33A8" w:rsidRDefault="009D33A8" w:rsidP="009D33A8">
      <w:pPr>
        <w:pStyle w:val="ListBullet"/>
        <w:keepLines/>
        <w:numPr>
          <w:ilvl w:val="0"/>
          <w:numId w:val="27"/>
        </w:numPr>
        <w:ind w:left="357" w:hanging="357"/>
      </w:pPr>
      <w:r w:rsidRPr="00914D7C">
        <w:t>provide recommendations on how to reduce the VPS back towards its pre-pandemic share of employment, including an examination of the appropriate levels of executives.</w:t>
      </w:r>
    </w:p>
    <w:p w14:paraId="4C789EFE" w14:textId="499F79C5" w:rsidR="009D33A8" w:rsidRDefault="009D33A8" w:rsidP="009D33A8">
      <w:r w:rsidRPr="007527D2">
        <w:t>Frontline workers as well as the State</w:t>
      </w:r>
      <w:r w:rsidR="00845934">
        <w:t>’</w:t>
      </w:r>
      <w:r w:rsidRPr="007527D2">
        <w:t>s capital program were not included in the scope of the Review</w:t>
      </w:r>
      <w:r>
        <w:t>.</w:t>
      </w:r>
    </w:p>
    <w:p w14:paraId="4A786039" w14:textId="1A7FD1D1" w:rsidR="009D33A8" w:rsidRPr="007E10F9" w:rsidRDefault="009D33A8" w:rsidP="009D33A8">
      <w:r w:rsidRPr="007E10F9">
        <w:t>The Government received the final report in July</w:t>
      </w:r>
      <w:r w:rsidR="00776999">
        <w:t> </w:t>
      </w:r>
      <w:r w:rsidRPr="007E10F9">
        <w:t>2025.</w:t>
      </w:r>
    </w:p>
    <w:p w14:paraId="07103E68" w14:textId="77777777" w:rsidR="009D33A8" w:rsidRPr="007E10F9" w:rsidRDefault="009D33A8" w:rsidP="009D33A8">
      <w:r w:rsidRPr="007E10F9">
        <w:t>The Review has been a substantial piece of work and the Government is carefully considering how it responds.</w:t>
      </w:r>
    </w:p>
    <w:p w14:paraId="1536CB24" w14:textId="77777777" w:rsidR="009D33A8" w:rsidRPr="007E10F9" w:rsidRDefault="009D33A8" w:rsidP="009D33A8">
      <w:r w:rsidRPr="007E10F9">
        <w:t>An estimate of the financial effect of the Review is not possible at this stage as the Government has not yet made any decisions on its recommendations.</w:t>
      </w:r>
    </w:p>
    <w:p w14:paraId="721BCFC2" w14:textId="28EDE507" w:rsidR="009D33A8" w:rsidRDefault="00776999" w:rsidP="000E6C18">
      <w:pPr>
        <w:pStyle w:val="Heading4"/>
        <w:spacing w:before="120"/>
      </w:pPr>
      <w:r>
        <w:br w:type="column"/>
      </w:r>
      <w:r w:rsidR="009D33A8">
        <w:t>Marinus Link Pty Ltd</w:t>
      </w:r>
    </w:p>
    <w:p w14:paraId="2FFE41B6" w14:textId="60F93CC4" w:rsidR="009D33A8" w:rsidRPr="00AD7AE3" w:rsidRDefault="009D33A8" w:rsidP="009D33A8">
      <w:r>
        <w:t>On 1 August 2025, the shareholders of Marinus Link Pty Limited made a final investment decision to proceed with Stage 1 of Marinus Link, indicating shareholder approval for the project to move forward. On 29 August 2025, the company achieved financial close, fully funding Stage 1 of Marinus Link through a combination of shareholder equity and debt financing from the Clean Energy Finance Corporation. The continuation of the project will require Victoria to satisfy equity calls as and when required by the company. Once completed, the project</w:t>
      </w:r>
      <w:r w:rsidR="00845934">
        <w:t>’</w:t>
      </w:r>
      <w:r>
        <w:t>s underground/undersea interconnector cable, which has been classified by the Australian Energy Market Operator as critical to achieving Net</w:t>
      </w:r>
      <w:r w:rsidR="00046315">
        <w:t> </w:t>
      </w:r>
      <w:r>
        <w:t>Zero, will deliver renewable electricity into the national energy market. See Note 4.3.1 for more information on the arrangement.</w:t>
      </w:r>
    </w:p>
    <w:p w14:paraId="3D3E9E3B" w14:textId="288C40DD" w:rsidR="0075342C" w:rsidRPr="00331E87" w:rsidRDefault="004069F9" w:rsidP="00331E87">
      <w:pPr>
        <w:pStyle w:val="Heading4"/>
      </w:pPr>
      <w:r w:rsidRPr="00331E87">
        <w:t>Opal Australian Paper</w:t>
      </w:r>
    </w:p>
    <w:p w14:paraId="4A996977" w14:textId="36EBA351" w:rsidR="00FD7098" w:rsidRDefault="004069F9" w:rsidP="009D33A8">
      <w:r>
        <w:t xml:space="preserve">On 22 September 2025, Opal Australian Paper lodged </w:t>
      </w:r>
      <w:r w:rsidR="001A2431">
        <w:t>a Supreme</w:t>
      </w:r>
      <w:r>
        <w:t xml:space="preserve"> Court</w:t>
      </w:r>
      <w:r w:rsidR="001A2431">
        <w:t xml:space="preserve"> action against the State for not fulfilling </w:t>
      </w:r>
      <w:r w:rsidR="0041340B">
        <w:t xml:space="preserve">its obligations to supply native timber under the </w:t>
      </w:r>
      <w:r w:rsidR="0041340B" w:rsidRPr="005211E6">
        <w:rPr>
          <w:i/>
          <w:iCs/>
        </w:rPr>
        <w:t>Forests (Wood Pulp Agreement) Act</w:t>
      </w:r>
      <w:r w:rsidR="0074699F" w:rsidRPr="005211E6">
        <w:rPr>
          <w:i/>
          <w:iCs/>
        </w:rPr>
        <w:t xml:space="preserve"> </w:t>
      </w:r>
      <w:r w:rsidR="00E61007" w:rsidRPr="005211E6">
        <w:rPr>
          <w:i/>
          <w:iCs/>
        </w:rPr>
        <w:t>1996</w:t>
      </w:r>
      <w:r w:rsidR="00857897">
        <w:t xml:space="preserve">. </w:t>
      </w:r>
      <w:r w:rsidR="00E61007">
        <w:t>The State</w:t>
      </w:r>
      <w:r w:rsidR="00857897">
        <w:t xml:space="preserve"> will defend against this </w:t>
      </w:r>
      <w:r w:rsidR="00E61007">
        <w:t>claim</w:t>
      </w:r>
      <w:r w:rsidR="005211E6">
        <w:t xml:space="preserve"> </w:t>
      </w:r>
      <w:r w:rsidR="00857897">
        <w:t xml:space="preserve">and it is impracticable </w:t>
      </w:r>
      <w:r w:rsidR="005211E6">
        <w:t xml:space="preserve">to quantify </w:t>
      </w:r>
      <w:r w:rsidR="004231ED">
        <w:t>any</w:t>
      </w:r>
      <w:r w:rsidR="005211E6">
        <w:t xml:space="preserve"> potential liability at this time.</w:t>
      </w:r>
    </w:p>
    <w:p w14:paraId="75AC64E2" w14:textId="77777777" w:rsidR="00331E87" w:rsidRDefault="00331E87" w:rsidP="00331E87">
      <w:r>
        <w:t>There are no other events that have arisen since 30 June that have significantly affected or may significantly affect the operations, or results, or state of affairs of the State.</w:t>
      </w:r>
    </w:p>
    <w:p w14:paraId="3BFCA5AF" w14:textId="40D8BE5B" w:rsidR="00331E87" w:rsidRDefault="00331E87" w:rsidP="009D33A8">
      <w:pPr>
        <w:sectPr w:rsidR="00331E87" w:rsidSect="00776999">
          <w:type w:val="continuous"/>
          <w:pgSz w:w="11906" w:h="16838" w:code="9"/>
          <w:pgMar w:top="1134" w:right="1134" w:bottom="1134" w:left="1134" w:header="624" w:footer="567" w:gutter="0"/>
          <w:cols w:num="2" w:space="708"/>
          <w:docGrid w:linePitch="360"/>
        </w:sectPr>
      </w:pPr>
    </w:p>
    <w:p w14:paraId="4C2E8C07" w14:textId="77777777" w:rsidR="009D33A8" w:rsidRDefault="009D33A8" w:rsidP="009D33A8"/>
    <w:p w14:paraId="30BEC109" w14:textId="77777777" w:rsidR="009D33A8" w:rsidRDefault="009D33A8" w:rsidP="00776999">
      <w:pPr>
        <w:pStyle w:val="Heading2"/>
        <w:pageBreakBefore/>
        <w:spacing w:before="0"/>
      </w:pPr>
      <w:bookmarkStart w:id="182" w:name="_Toc209481984"/>
      <w:r>
        <w:lastRenderedPageBreak/>
        <w:t>8.7</w:t>
      </w:r>
      <w:r>
        <w:tab/>
        <w:t>Other accounting policies</w:t>
      </w:r>
      <w:bookmarkEnd w:id="182"/>
    </w:p>
    <w:p w14:paraId="01EB88F2" w14:textId="77777777" w:rsidR="00776999" w:rsidRDefault="00776999" w:rsidP="009D33A8">
      <w:pPr>
        <w:pStyle w:val="Heading3"/>
        <w:sectPr w:rsidR="00776999" w:rsidSect="00823C0E">
          <w:type w:val="continuous"/>
          <w:pgSz w:w="11906" w:h="16838" w:code="9"/>
          <w:pgMar w:top="1134" w:right="1134" w:bottom="1134" w:left="1134" w:header="624" w:footer="567" w:gutter="0"/>
          <w:cols w:space="708"/>
          <w:docGrid w:linePitch="360"/>
        </w:sectPr>
      </w:pPr>
    </w:p>
    <w:p w14:paraId="21003D9A" w14:textId="77777777" w:rsidR="009D33A8" w:rsidRDefault="009D33A8" w:rsidP="009D33A8">
      <w:pPr>
        <w:pStyle w:val="Heading3"/>
      </w:pPr>
      <w:r>
        <w:t>8.7.1</w:t>
      </w:r>
      <w:r>
        <w:tab/>
        <w:t>Accounting for the goods and services tax</w:t>
      </w:r>
    </w:p>
    <w:p w14:paraId="214813CA" w14:textId="77777777" w:rsidR="009D33A8" w:rsidRDefault="009D33A8" w:rsidP="000E6C18">
      <w:pPr>
        <w:ind w:right="-71"/>
      </w:pPr>
      <w:r>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35503DAD" w14:textId="77777777" w:rsidR="000E6C18" w:rsidRDefault="009D33A8" w:rsidP="000E6C18">
      <w:pPr>
        <w:ind w:right="-71"/>
      </w:pPr>
      <w:r>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14:paraId="62374A10" w14:textId="77777777" w:rsidR="009D33A8" w:rsidRDefault="009D33A8" w:rsidP="009D33A8">
      <w:pPr>
        <w:pStyle w:val="Heading3"/>
      </w:pPr>
      <w:r>
        <w:t>8.7.2</w:t>
      </w:r>
      <w:r>
        <w:tab/>
        <w:t xml:space="preserve">Prospective accounting and reporting changes </w:t>
      </w:r>
    </w:p>
    <w:p w14:paraId="1C3827B5" w14:textId="15B98FF5" w:rsidR="000E6C18" w:rsidRDefault="009D33A8" w:rsidP="009D33A8">
      <w:pPr>
        <w:sectPr w:rsidR="000E6C18" w:rsidSect="00776999">
          <w:type w:val="continuous"/>
          <w:pgSz w:w="11906" w:h="16838" w:code="9"/>
          <w:pgMar w:top="1134" w:right="1134" w:bottom="1134" w:left="1134" w:header="624" w:footer="567" w:gutter="0"/>
          <w:cols w:num="2" w:space="708"/>
          <w:docGrid w:linePitch="360"/>
        </w:sectPr>
      </w:pPr>
      <w:bookmarkStart w:id="183" w:name="_Hlk137721973"/>
      <w:r w:rsidRPr="00420148">
        <w:t xml:space="preserve">New and revised accounting standards have been issued that are not effective for the </w:t>
      </w:r>
      <w:r>
        <w:t>2024-25</w:t>
      </w:r>
      <w:r w:rsidRPr="00420148">
        <w:t xml:space="preserve"> reporting period. These accounting standards have not been applied to the </w:t>
      </w:r>
      <w:r w:rsidRPr="00E13F46">
        <w:rPr>
          <w:i/>
        </w:rPr>
        <w:t>Annual</w:t>
      </w:r>
      <w:r>
        <w:rPr>
          <w:i/>
          <w:iCs/>
        </w:rPr>
        <w:t> </w:t>
      </w:r>
      <w:r w:rsidRPr="00E13F46">
        <w:rPr>
          <w:i/>
        </w:rPr>
        <w:t>Financial</w:t>
      </w:r>
      <w:r>
        <w:rPr>
          <w:i/>
          <w:iCs/>
        </w:rPr>
        <w:t> </w:t>
      </w:r>
      <w:r w:rsidRPr="00E13F46">
        <w:rPr>
          <w:i/>
        </w:rPr>
        <w:t>Report</w:t>
      </w:r>
      <w:r w:rsidRPr="00420148">
        <w:t>. The State is reviewing its existing policies and assessing the potential implications of:</w:t>
      </w:r>
      <w:bookmarkEnd w:id="183"/>
      <w:r w:rsidR="000E6C18">
        <w:br w:type="column"/>
      </w:r>
    </w:p>
    <w:p w14:paraId="59D82109" w14:textId="77777777" w:rsidR="009D33A8" w:rsidRPr="00CE0EE3" w:rsidRDefault="009D33A8" w:rsidP="009D33A8">
      <w:pPr>
        <w:pStyle w:val="ListBullet"/>
        <w:keepLines/>
        <w:numPr>
          <w:ilvl w:val="0"/>
          <w:numId w:val="27"/>
        </w:numPr>
        <w:ind w:left="357" w:hanging="357"/>
      </w:pPr>
      <w:bookmarkStart w:id="184" w:name="_Hlk137722178"/>
      <w:r w:rsidRPr="00CE0EE3">
        <w:t xml:space="preserve">AASB 17 </w:t>
      </w:r>
      <w:r w:rsidRPr="00901F50">
        <w:rPr>
          <w:i/>
          <w:iCs/>
        </w:rPr>
        <w:t>Insurance Contracts</w:t>
      </w:r>
      <w:r w:rsidRPr="00CE0EE3">
        <w:t xml:space="preserve">, AASB 2022-8 </w:t>
      </w:r>
      <w:r w:rsidRPr="00901F50">
        <w:rPr>
          <w:i/>
          <w:iCs/>
        </w:rPr>
        <w:t>Amendments to Australian Accounting Standards - Insurance Contracts: Consequential Amendments</w:t>
      </w:r>
      <w:r w:rsidRPr="00CE0EE3">
        <w:t xml:space="preserve"> and AASB 2022-9 </w:t>
      </w:r>
      <w:r w:rsidRPr="00901F50">
        <w:rPr>
          <w:i/>
          <w:iCs/>
        </w:rPr>
        <w:t>Amendments to Australian Accounting Standards – Insurance Contracts in the Public Sector</w:t>
      </w:r>
    </w:p>
    <w:p w14:paraId="537834E7" w14:textId="77777777" w:rsidR="009D33A8" w:rsidRPr="00CE0EE3" w:rsidRDefault="009D33A8" w:rsidP="009D33A8">
      <w:pPr>
        <w:pStyle w:val="ListBullet2"/>
        <w:numPr>
          <w:ilvl w:val="1"/>
          <w:numId w:val="25"/>
        </w:numPr>
        <w:tabs>
          <w:tab w:val="num" w:pos="643"/>
        </w:tabs>
      </w:pPr>
      <w:r w:rsidRPr="00CE0EE3">
        <w:t xml:space="preserve">AASB 17 replaces AASB 4 </w:t>
      </w:r>
      <w:r w:rsidRPr="00CE0EE3">
        <w:rPr>
          <w:i/>
          <w:iCs/>
        </w:rPr>
        <w:t>Insurance Contracts</w:t>
      </w:r>
      <w:r w:rsidRPr="00CE0EE3">
        <w:t xml:space="preserve">, AASB 1023 </w:t>
      </w:r>
      <w:r w:rsidRPr="00CE0EE3">
        <w:rPr>
          <w:i/>
          <w:iCs/>
        </w:rPr>
        <w:t>General Insurance Contracts</w:t>
      </w:r>
      <w:r w:rsidRPr="00CE0EE3">
        <w:t xml:space="preserve"> and AASB 1038 </w:t>
      </w:r>
      <w:r w:rsidRPr="00CE0EE3">
        <w:rPr>
          <w:i/>
          <w:iCs/>
        </w:rPr>
        <w:t>Life Insurance Contracts</w:t>
      </w:r>
      <w:r w:rsidRPr="00CE0EE3">
        <w:t xml:space="preserve"> for not-for-profit public sector entities for annual reporting periods beginning on or after 1 July 2026.</w:t>
      </w:r>
    </w:p>
    <w:p w14:paraId="45926B91" w14:textId="77777777" w:rsidR="009D33A8" w:rsidRPr="00CE0EE3" w:rsidRDefault="009D33A8" w:rsidP="00776999">
      <w:pPr>
        <w:pStyle w:val="ListBullet2"/>
        <w:numPr>
          <w:ilvl w:val="1"/>
          <w:numId w:val="25"/>
        </w:numPr>
        <w:tabs>
          <w:tab w:val="num" w:pos="643"/>
        </w:tabs>
        <w:spacing w:before="180"/>
      </w:pPr>
      <w:bookmarkStart w:id="185" w:name="_Hlk137731285"/>
      <w:r w:rsidRPr="00CE0EE3">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1D3577DD" w14:textId="77777777" w:rsidR="009D33A8" w:rsidRDefault="009D33A8" w:rsidP="009D33A8">
      <w:pPr>
        <w:pStyle w:val="ListBullet2"/>
        <w:numPr>
          <w:ilvl w:val="1"/>
          <w:numId w:val="25"/>
        </w:numPr>
        <w:tabs>
          <w:tab w:val="num" w:pos="643"/>
        </w:tabs>
      </w:pPr>
      <w:r w:rsidRPr="00CE0EE3">
        <w:t xml:space="preserve">AASB 2022-8 makes consequential amendments to other Australian Accounting Standards so that public sector entities are permitted to continue to apply AASB 4 and AASB 1023 to annual periods before 1 July 2026. </w:t>
      </w:r>
      <w:bookmarkEnd w:id="184"/>
      <w:bookmarkEnd w:id="185"/>
    </w:p>
    <w:p w14:paraId="27441920" w14:textId="02659F19" w:rsidR="009D33A8" w:rsidRPr="00927BF2" w:rsidRDefault="000E6C18" w:rsidP="000E6C18">
      <w:pPr>
        <w:pStyle w:val="ListBullet"/>
        <w:spacing w:before="120"/>
      </w:pPr>
      <w:r>
        <w:br w:type="column"/>
      </w:r>
      <w:r w:rsidR="009D33A8">
        <w:t xml:space="preserve">AASB 18 </w:t>
      </w:r>
      <w:r w:rsidR="009D33A8" w:rsidRPr="000E6C18">
        <w:rPr>
          <w:i/>
          <w:iCs/>
        </w:rPr>
        <w:t>Presentation and Disclosure in Financial Statements</w:t>
      </w:r>
    </w:p>
    <w:p w14:paraId="7A84B12B" w14:textId="77777777" w:rsidR="009D33A8" w:rsidRDefault="009D33A8" w:rsidP="009D33A8">
      <w:pPr>
        <w:pStyle w:val="ListBullet2"/>
        <w:numPr>
          <w:ilvl w:val="1"/>
          <w:numId w:val="25"/>
        </w:numPr>
        <w:tabs>
          <w:tab w:val="num" w:pos="643"/>
        </w:tabs>
      </w:pPr>
      <w:r>
        <w:t xml:space="preserve">AASB 18 replaces AASB 101 </w:t>
      </w:r>
      <w:r>
        <w:rPr>
          <w:i/>
          <w:iCs/>
        </w:rPr>
        <w:t xml:space="preserve">Presentation of Financial Statements </w:t>
      </w:r>
      <w:r>
        <w:t>to improve how entities communicate in their financial statements, with a particular focus on information about financial performance in the statement of comprehensive income.</w:t>
      </w:r>
    </w:p>
    <w:p w14:paraId="4F8DC8F0" w14:textId="7A952E5C" w:rsidR="009D33A8" w:rsidRPr="00CE0EE3" w:rsidRDefault="009D33A8" w:rsidP="009D33A8">
      <w:pPr>
        <w:pStyle w:val="ListBullet2"/>
        <w:numPr>
          <w:ilvl w:val="1"/>
          <w:numId w:val="25"/>
        </w:numPr>
        <w:tabs>
          <w:tab w:val="num" w:pos="643"/>
        </w:tabs>
      </w:pPr>
      <w:r>
        <w:t>AASB 18 applies to annual reporting periods beginning on or after 1 January 2027 for for-profit entities and applies to annual reporting periods beginning on or after 1</w:t>
      </w:r>
      <w:r w:rsidR="009460C6">
        <w:t> </w:t>
      </w:r>
      <w:r>
        <w:t>January 2028 for not-for-profit public sector entities. The delayed date of one year will allow the AASB to consult with stakeholders and consider potential modifications for application by not-for-profit public sector entities.</w:t>
      </w:r>
    </w:p>
    <w:p w14:paraId="0D628505" w14:textId="77777777" w:rsidR="009D33A8" w:rsidRDefault="009D33A8" w:rsidP="009D33A8">
      <w:r w:rsidRPr="00BB3333">
        <w:t>A number of other standards and amendments have also been issued that apply to future reporting periods, however they are not expected to have any significant impact on the financial statements in the period of initial application</w:t>
      </w:r>
      <w:r>
        <w:t>.</w:t>
      </w:r>
    </w:p>
    <w:p w14:paraId="43F15F77" w14:textId="77777777" w:rsidR="00776999" w:rsidRDefault="00776999" w:rsidP="009D33A8">
      <w:pPr>
        <w:pStyle w:val="Heading2"/>
        <w:sectPr w:rsidR="00776999" w:rsidSect="00776999">
          <w:type w:val="continuous"/>
          <w:pgSz w:w="11906" w:h="16838" w:code="9"/>
          <w:pgMar w:top="1134" w:right="1134" w:bottom="1134" w:left="1134" w:header="624" w:footer="567" w:gutter="0"/>
          <w:cols w:num="2" w:space="708"/>
          <w:docGrid w:linePitch="360"/>
        </w:sectPr>
      </w:pPr>
    </w:p>
    <w:p w14:paraId="1795BE87" w14:textId="77777777" w:rsidR="009D33A8" w:rsidRPr="003B6958" w:rsidRDefault="009D33A8" w:rsidP="00776999">
      <w:pPr>
        <w:pStyle w:val="Heading2"/>
        <w:pageBreakBefore/>
        <w:spacing w:before="0" w:after="120"/>
      </w:pPr>
      <w:bookmarkStart w:id="186" w:name="_Toc209481985"/>
      <w:r>
        <w:lastRenderedPageBreak/>
        <w:t>8.8</w:t>
      </w:r>
      <w:r>
        <w:tab/>
        <w:t>Controlled entities</w:t>
      </w:r>
      <w:bookmarkEnd w:id="186"/>
      <w:r>
        <w:t xml:space="preserve"> </w:t>
      </w:r>
    </w:p>
    <w:p w14:paraId="6DAE90DE" w14:textId="77777777" w:rsidR="00776999" w:rsidRDefault="00776999" w:rsidP="009D33A8">
      <w:pPr>
        <w:spacing w:after="120"/>
        <w:sectPr w:rsidR="00776999" w:rsidSect="00823C0E">
          <w:type w:val="continuous"/>
          <w:pgSz w:w="11906" w:h="16838" w:code="9"/>
          <w:pgMar w:top="1134" w:right="1134" w:bottom="1134" w:left="1134" w:header="624" w:footer="567" w:gutter="0"/>
          <w:cols w:space="708"/>
          <w:docGrid w:linePitch="360"/>
        </w:sectPr>
      </w:pPr>
    </w:p>
    <w:p w14:paraId="66BAECE0" w14:textId="77777777" w:rsidR="009D33A8" w:rsidRDefault="009D33A8" w:rsidP="00776999">
      <w:r>
        <w:t xml:space="preserve">The table </w:t>
      </w:r>
      <w:r w:rsidRPr="00776999">
        <w:t>below</w:t>
      </w:r>
      <w:r>
        <w:t xml:space="preserve"> contains a list of the significant controlled entities which have been consolidated for the purposes of the financial report. Unless otherwise noted below, all such entities are wholly owned. The entities below may include additional consolidated entities, for which only the parent entity has been listed.</w:t>
      </w:r>
    </w:p>
    <w:p w14:paraId="2C1E312E" w14:textId="77777777" w:rsidR="009D33A8" w:rsidRDefault="009D33A8" w:rsidP="000E6C18">
      <w:pPr>
        <w:spacing w:before="0"/>
      </w:pPr>
      <w:r>
        <w:t>The principal activities of the controlled entities reflect the three sectors of government they are within as set out in the reporting structure under public sector terms explained earlier in this chapter. Further, Note 3.9 reflects the broad objectives of these controlled entities.</w:t>
      </w:r>
    </w:p>
    <w:p w14:paraId="5CF88FC1" w14:textId="77777777" w:rsidR="00776999" w:rsidRDefault="00776999" w:rsidP="009D33A8">
      <w:pPr>
        <w:sectPr w:rsidR="00776999" w:rsidSect="00776999">
          <w:type w:val="continuous"/>
          <w:pgSz w:w="11906" w:h="16838" w:code="9"/>
          <w:pgMar w:top="1134" w:right="1134" w:bottom="1134" w:left="1134" w:header="624" w:footer="567" w:gutter="0"/>
          <w:cols w:num="2" w:space="708"/>
          <w:docGrid w:linePitch="360"/>
        </w:sectPr>
      </w:pPr>
    </w:p>
    <w:p w14:paraId="1D518974" w14:textId="77777777" w:rsidR="009D33A8" w:rsidRDefault="009D33A8" w:rsidP="009D33A8"/>
    <w:tbl>
      <w:tblPr>
        <w:tblStyle w:val="DTFTableText"/>
        <w:tblW w:w="9781" w:type="dxa"/>
        <w:tblLayout w:type="fixed"/>
        <w:tblCellMar>
          <w:left w:w="113" w:type="dxa"/>
          <w:right w:w="113" w:type="dxa"/>
        </w:tblCellMar>
        <w:tblLook w:val="0600" w:firstRow="0" w:lastRow="0" w:firstColumn="0" w:lastColumn="0" w:noHBand="1" w:noVBand="1"/>
      </w:tblPr>
      <w:tblGrid>
        <w:gridCol w:w="3212"/>
        <w:gridCol w:w="3269"/>
        <w:gridCol w:w="3300"/>
      </w:tblGrid>
      <w:tr w:rsidR="009D33A8" w:rsidRPr="00CB3815" w14:paraId="5E61A2A4" w14:textId="77777777" w:rsidTr="00BC0C0C">
        <w:trPr>
          <w:trHeight w:val="17"/>
        </w:trPr>
        <w:tc>
          <w:tcPr>
            <w:tcW w:w="5000" w:type="pct"/>
            <w:gridSpan w:val="3"/>
            <w:tcBorders>
              <w:bottom w:val="nil"/>
            </w:tcBorders>
          </w:tcPr>
          <w:p w14:paraId="5C12F584" w14:textId="77777777" w:rsidR="009D33A8" w:rsidRPr="00CB3815" w:rsidRDefault="009D33A8">
            <w:pPr>
              <w:shd w:val="clear" w:color="auto" w:fill="000000" w:themeFill="text1"/>
              <w:jc w:val="center"/>
              <w:rPr>
                <w:b/>
                <w:i/>
                <w:iCs/>
              </w:rPr>
            </w:pPr>
            <w:r w:rsidRPr="00CB3815">
              <w:rPr>
                <w:i/>
                <w:iCs/>
              </w:rPr>
              <w:t xml:space="preserve">General government </w:t>
            </w:r>
          </w:p>
        </w:tc>
      </w:tr>
      <w:tr w:rsidR="009D33A8" w:rsidRPr="00CB3815" w14:paraId="34D259D3" w14:textId="77777777" w:rsidTr="00BC0C0C">
        <w:tc>
          <w:tcPr>
            <w:tcW w:w="1642" w:type="pct"/>
            <w:tcBorders>
              <w:top w:val="nil"/>
              <w:bottom w:val="nil"/>
            </w:tcBorders>
          </w:tcPr>
          <w:p w14:paraId="62A957AD"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Education </w:t>
            </w:r>
          </w:p>
          <w:p w14:paraId="1595697B" w14:textId="77777777" w:rsidR="009D33A8" w:rsidRPr="00CB3815" w:rsidRDefault="009D33A8">
            <w:pPr>
              <w:spacing w:before="20" w:after="20"/>
              <w:ind w:left="170" w:hanging="170"/>
              <w:rPr>
                <w:sz w:val="17"/>
                <w:szCs w:val="17"/>
              </w:rPr>
            </w:pPr>
            <w:r w:rsidRPr="00CB3815">
              <w:rPr>
                <w:sz w:val="17"/>
                <w:szCs w:val="17"/>
              </w:rPr>
              <w:t>Victorian Academy of Teaching and Leadership</w:t>
            </w:r>
          </w:p>
          <w:p w14:paraId="1FFC6129" w14:textId="77777777" w:rsidR="009D33A8" w:rsidRPr="00CB3815" w:rsidRDefault="009D33A8">
            <w:pPr>
              <w:spacing w:before="20" w:after="20"/>
              <w:ind w:left="170" w:hanging="170"/>
              <w:rPr>
                <w:sz w:val="17"/>
                <w:szCs w:val="17"/>
              </w:rPr>
            </w:pPr>
            <w:r w:rsidRPr="00CB3815">
              <w:rPr>
                <w:sz w:val="17"/>
                <w:szCs w:val="17"/>
              </w:rPr>
              <w:t>Victorian Curriculum and Assessment Authority</w:t>
            </w:r>
          </w:p>
          <w:p w14:paraId="302834B1" w14:textId="77777777" w:rsidR="009D33A8" w:rsidRPr="00CB3815" w:rsidRDefault="009D33A8">
            <w:pPr>
              <w:spacing w:before="20" w:after="20"/>
              <w:ind w:left="170" w:hanging="170"/>
              <w:rPr>
                <w:sz w:val="17"/>
                <w:szCs w:val="17"/>
              </w:rPr>
            </w:pPr>
            <w:r w:rsidRPr="00CB3815">
              <w:rPr>
                <w:sz w:val="17"/>
                <w:szCs w:val="17"/>
              </w:rPr>
              <w:t>Victorian Institute of Teaching</w:t>
            </w:r>
          </w:p>
          <w:p w14:paraId="117A3921" w14:textId="77777777" w:rsidR="009D33A8" w:rsidRPr="00CB3815" w:rsidRDefault="009D33A8">
            <w:pPr>
              <w:spacing w:before="20" w:after="20"/>
              <w:ind w:left="170" w:hanging="170"/>
              <w:rPr>
                <w:sz w:val="17"/>
                <w:szCs w:val="17"/>
              </w:rPr>
            </w:pPr>
            <w:r w:rsidRPr="00CB3815">
              <w:rPr>
                <w:sz w:val="17"/>
                <w:szCs w:val="17"/>
              </w:rPr>
              <w:t>Victorian Registration and Qualifications Authority</w:t>
            </w:r>
          </w:p>
          <w:p w14:paraId="18EE5DC3"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Energy, Environment, and Climate Action </w:t>
            </w:r>
            <w:r w:rsidRPr="0009130C">
              <w:rPr>
                <w:rFonts w:eastAsia="Garamond"/>
                <w:b/>
                <w:bCs/>
                <w:sz w:val="18"/>
                <w:vertAlign w:val="superscript"/>
              </w:rPr>
              <w:t>(a)(b</w:t>
            </w:r>
            <w:r>
              <w:rPr>
                <w:rFonts w:eastAsia="Garamond"/>
                <w:b/>
                <w:bCs/>
                <w:sz w:val="18"/>
                <w:vertAlign w:val="superscript"/>
              </w:rPr>
              <w:t>)</w:t>
            </w:r>
          </w:p>
          <w:p w14:paraId="0B8FD337" w14:textId="77777777" w:rsidR="009D33A8" w:rsidRPr="00CB3815" w:rsidRDefault="009D33A8">
            <w:pPr>
              <w:spacing w:before="20" w:after="20"/>
              <w:ind w:left="170" w:hanging="170"/>
              <w:rPr>
                <w:sz w:val="17"/>
                <w:szCs w:val="17"/>
              </w:rPr>
            </w:pPr>
            <w:r w:rsidRPr="00CB3815">
              <w:rPr>
                <w:sz w:val="17"/>
                <w:szCs w:val="17"/>
              </w:rPr>
              <w:t>Catchment Management Authorities including:</w:t>
            </w:r>
          </w:p>
          <w:p w14:paraId="27A6A28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Corangamite Catchment Management Authority</w:t>
            </w:r>
          </w:p>
          <w:p w14:paraId="3EB4C0D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East Gippsland Catchment Management Authority</w:t>
            </w:r>
          </w:p>
          <w:p w14:paraId="37570F1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Glenelg Hopkins Catchment Management Authority</w:t>
            </w:r>
          </w:p>
          <w:p w14:paraId="21EA990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Goulburn Broken Catchment Management Authority</w:t>
            </w:r>
          </w:p>
          <w:p w14:paraId="3FFE94AA"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Mallee Catchment Management Authority</w:t>
            </w:r>
          </w:p>
          <w:p w14:paraId="249A0AC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North Central Catchment Management Authority</w:t>
            </w:r>
          </w:p>
          <w:p w14:paraId="449C905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North East Catchment Management Authority</w:t>
            </w:r>
          </w:p>
          <w:p w14:paraId="455B4DB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 Gippsland Catchment Management Authority</w:t>
            </w:r>
          </w:p>
          <w:p w14:paraId="5AC0A6EA"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Wimmera Catchment Management Authority</w:t>
            </w:r>
          </w:p>
          <w:p w14:paraId="2BD04583" w14:textId="77777777" w:rsidR="009D33A8" w:rsidRPr="00CB3815" w:rsidRDefault="009D33A8">
            <w:pPr>
              <w:spacing w:before="20" w:after="20"/>
              <w:ind w:left="170" w:hanging="170"/>
              <w:rPr>
                <w:sz w:val="17"/>
                <w:szCs w:val="17"/>
              </w:rPr>
            </w:pPr>
            <w:r w:rsidRPr="00CB3815">
              <w:rPr>
                <w:sz w:val="17"/>
                <w:szCs w:val="17"/>
              </w:rPr>
              <w:t>Caulfield Racecourse Reserve Trust</w:t>
            </w:r>
          </w:p>
          <w:p w14:paraId="700778A5" w14:textId="77777777" w:rsidR="009D33A8" w:rsidRPr="00CB3815" w:rsidRDefault="009D33A8">
            <w:pPr>
              <w:spacing w:before="20" w:after="20"/>
              <w:ind w:left="170" w:hanging="170"/>
              <w:rPr>
                <w:sz w:val="17"/>
                <w:szCs w:val="17"/>
              </w:rPr>
            </w:pPr>
            <w:r w:rsidRPr="00CB3815">
              <w:rPr>
                <w:sz w:val="17"/>
                <w:szCs w:val="17"/>
              </w:rPr>
              <w:t>Dhelkunya Dja Land Management Board</w:t>
            </w:r>
          </w:p>
          <w:p w14:paraId="69AC4BC6" w14:textId="77777777" w:rsidR="009D33A8" w:rsidRPr="00CB3815" w:rsidRDefault="009D33A8">
            <w:pPr>
              <w:spacing w:before="20" w:after="20"/>
              <w:ind w:left="170" w:hanging="170"/>
              <w:rPr>
                <w:sz w:val="17"/>
                <w:szCs w:val="17"/>
              </w:rPr>
            </w:pPr>
            <w:r w:rsidRPr="00CB3815">
              <w:rPr>
                <w:sz w:val="17"/>
                <w:szCs w:val="17"/>
              </w:rPr>
              <w:t>Environment Protection Authority</w:t>
            </w:r>
          </w:p>
          <w:p w14:paraId="11E3D242" w14:textId="77777777" w:rsidR="009D33A8" w:rsidRPr="00CB3815" w:rsidRDefault="009D33A8">
            <w:pPr>
              <w:spacing w:before="20" w:after="20"/>
              <w:ind w:left="170" w:hanging="170"/>
              <w:rPr>
                <w:sz w:val="17"/>
                <w:szCs w:val="17"/>
              </w:rPr>
            </w:pPr>
            <w:bookmarkStart w:id="187" w:name="_Hlk522546373"/>
            <w:r w:rsidRPr="00CB3815">
              <w:rPr>
                <w:sz w:val="17"/>
                <w:szCs w:val="17"/>
              </w:rPr>
              <w:t>Gunaikurnai Traditional Owner Land Management Board</w:t>
            </w:r>
          </w:p>
          <w:p w14:paraId="6C05F3F5" w14:textId="77777777" w:rsidR="009D33A8" w:rsidRPr="00CB3815" w:rsidRDefault="009D33A8">
            <w:pPr>
              <w:spacing w:before="20" w:after="20"/>
              <w:ind w:left="170" w:hanging="170"/>
              <w:rPr>
                <w:sz w:val="17"/>
                <w:szCs w:val="17"/>
              </w:rPr>
            </w:pPr>
            <w:r w:rsidRPr="00CB3815">
              <w:rPr>
                <w:sz w:val="17"/>
                <w:szCs w:val="17"/>
              </w:rPr>
              <w:t xml:space="preserve">Mine Land Rehabilitation Authority </w:t>
            </w:r>
          </w:p>
          <w:p w14:paraId="3B6CF0DF" w14:textId="77777777" w:rsidR="009D33A8" w:rsidRPr="00CB3815" w:rsidRDefault="009D33A8">
            <w:pPr>
              <w:spacing w:before="20" w:after="20"/>
              <w:ind w:left="170" w:hanging="170"/>
              <w:rPr>
                <w:sz w:val="17"/>
                <w:szCs w:val="17"/>
              </w:rPr>
            </w:pPr>
            <w:r w:rsidRPr="00CB3815">
              <w:rPr>
                <w:sz w:val="17"/>
                <w:szCs w:val="17"/>
              </w:rPr>
              <w:t>Office of the Commissioner for Environmental Sustainability</w:t>
            </w:r>
          </w:p>
          <w:p w14:paraId="5D616005" w14:textId="77777777" w:rsidR="009D33A8" w:rsidRPr="00CB3815" w:rsidRDefault="009D33A8">
            <w:pPr>
              <w:spacing w:before="20" w:after="20"/>
              <w:ind w:left="170" w:hanging="170"/>
              <w:rPr>
                <w:sz w:val="17"/>
                <w:szCs w:val="17"/>
              </w:rPr>
            </w:pPr>
            <w:r w:rsidRPr="00CB3815">
              <w:rPr>
                <w:sz w:val="17"/>
                <w:szCs w:val="17"/>
              </w:rPr>
              <w:t>Parks Victoria</w:t>
            </w:r>
          </w:p>
          <w:p w14:paraId="7BAD84D1" w14:textId="77777777" w:rsidR="009D33A8" w:rsidRPr="00CB3815" w:rsidRDefault="009D33A8">
            <w:pPr>
              <w:spacing w:before="20" w:after="20"/>
              <w:ind w:left="170" w:hanging="170"/>
              <w:rPr>
                <w:sz w:val="17"/>
                <w:szCs w:val="17"/>
              </w:rPr>
            </w:pPr>
            <w:r w:rsidRPr="00CB3815">
              <w:rPr>
                <w:sz w:val="17"/>
                <w:szCs w:val="17"/>
              </w:rPr>
              <w:t>Royal Botanic Gardens Board</w:t>
            </w:r>
          </w:p>
          <w:p w14:paraId="4ACD406F" w14:textId="77777777" w:rsidR="009D33A8" w:rsidRPr="00CB3815" w:rsidRDefault="009D33A8">
            <w:pPr>
              <w:spacing w:before="20" w:after="20"/>
              <w:ind w:left="170" w:hanging="170"/>
              <w:rPr>
                <w:sz w:val="17"/>
                <w:szCs w:val="17"/>
              </w:rPr>
            </w:pPr>
            <w:r w:rsidRPr="00CB3815">
              <w:rPr>
                <w:sz w:val="17"/>
                <w:szCs w:val="17"/>
              </w:rPr>
              <w:t>Rural Assistance Commissioner</w:t>
            </w:r>
          </w:p>
          <w:p w14:paraId="3F2DBB90" w14:textId="77777777" w:rsidR="009D33A8" w:rsidRPr="00CB3815" w:rsidRDefault="009D33A8">
            <w:pPr>
              <w:spacing w:before="20" w:after="20"/>
              <w:ind w:left="170" w:hanging="170"/>
              <w:rPr>
                <w:sz w:val="17"/>
                <w:szCs w:val="17"/>
              </w:rPr>
            </w:pPr>
            <w:r w:rsidRPr="00CB3815">
              <w:rPr>
                <w:sz w:val="17"/>
                <w:szCs w:val="17"/>
              </w:rPr>
              <w:t>Sustainability Victoria</w:t>
            </w:r>
          </w:p>
          <w:p w14:paraId="588169F7" w14:textId="77777777" w:rsidR="009D33A8" w:rsidRPr="00CB3815" w:rsidRDefault="009D33A8">
            <w:pPr>
              <w:spacing w:before="20" w:after="20"/>
              <w:ind w:left="170" w:hanging="170"/>
              <w:rPr>
                <w:sz w:val="17"/>
                <w:szCs w:val="17"/>
              </w:rPr>
            </w:pPr>
            <w:r w:rsidRPr="00CB3815">
              <w:rPr>
                <w:sz w:val="17"/>
                <w:szCs w:val="17"/>
              </w:rPr>
              <w:t>Trust for Nature (Victoria)</w:t>
            </w:r>
          </w:p>
          <w:p w14:paraId="77CAFCB9" w14:textId="77777777" w:rsidR="009D33A8" w:rsidRPr="00CB3815" w:rsidRDefault="009D33A8">
            <w:pPr>
              <w:spacing w:before="20" w:after="20"/>
              <w:ind w:left="170" w:hanging="170"/>
              <w:rPr>
                <w:sz w:val="17"/>
                <w:szCs w:val="17"/>
              </w:rPr>
            </w:pPr>
            <w:r w:rsidRPr="00CB3815">
              <w:rPr>
                <w:sz w:val="17"/>
                <w:szCs w:val="17"/>
              </w:rPr>
              <w:t>Veterinary Practitioners Registration Board of Victoria</w:t>
            </w:r>
          </w:p>
          <w:p w14:paraId="414E36CC" w14:textId="77777777" w:rsidR="009D33A8" w:rsidRPr="00C30682" w:rsidRDefault="009D33A8">
            <w:pPr>
              <w:spacing w:before="20" w:after="20"/>
              <w:ind w:left="170" w:hanging="170"/>
              <w:rPr>
                <w:rFonts w:eastAsia="Garamond"/>
                <w:sz w:val="17"/>
                <w:szCs w:val="17"/>
              </w:rPr>
            </w:pPr>
            <w:r w:rsidRPr="00C30682">
              <w:rPr>
                <w:rFonts w:eastAsia="Garamond"/>
                <w:sz w:val="17"/>
                <w:szCs w:val="17"/>
              </w:rPr>
              <w:t xml:space="preserve">VicGrid </w:t>
            </w:r>
            <w:r w:rsidRPr="00C30682">
              <w:rPr>
                <w:rFonts w:eastAsia="Garamond"/>
                <w:sz w:val="17"/>
                <w:szCs w:val="17"/>
                <w:vertAlign w:val="superscript"/>
              </w:rPr>
              <w:t>(c)</w:t>
            </w:r>
          </w:p>
          <w:p w14:paraId="70991808" w14:textId="77777777" w:rsidR="009D33A8" w:rsidRPr="00CB3815" w:rsidRDefault="009D33A8">
            <w:pPr>
              <w:spacing w:before="20" w:after="20"/>
              <w:ind w:left="170" w:hanging="170"/>
              <w:rPr>
                <w:sz w:val="17"/>
                <w:szCs w:val="17"/>
              </w:rPr>
            </w:pPr>
            <w:r w:rsidRPr="00CB3815">
              <w:rPr>
                <w:sz w:val="17"/>
                <w:szCs w:val="17"/>
              </w:rPr>
              <w:t xml:space="preserve">Victorian Energy Safety Commission </w:t>
            </w:r>
          </w:p>
          <w:p w14:paraId="3C3BE8A3" w14:textId="77777777" w:rsidR="009D33A8" w:rsidRPr="00CB3815" w:rsidRDefault="009D33A8">
            <w:pPr>
              <w:spacing w:before="20" w:after="20"/>
              <w:ind w:left="170" w:hanging="170"/>
              <w:rPr>
                <w:sz w:val="17"/>
                <w:szCs w:val="17"/>
              </w:rPr>
            </w:pPr>
            <w:r w:rsidRPr="00CB3815">
              <w:rPr>
                <w:sz w:val="17"/>
                <w:szCs w:val="17"/>
              </w:rPr>
              <w:t>Victorian Environmental Water Holder</w:t>
            </w:r>
          </w:p>
          <w:p w14:paraId="61588742" w14:textId="77777777" w:rsidR="009D33A8" w:rsidRPr="00CB3815" w:rsidRDefault="009D33A8">
            <w:pPr>
              <w:spacing w:before="20" w:after="20"/>
              <w:ind w:left="170" w:hanging="170"/>
              <w:rPr>
                <w:sz w:val="17"/>
                <w:szCs w:val="17"/>
              </w:rPr>
            </w:pPr>
            <w:r w:rsidRPr="00CB3815">
              <w:rPr>
                <w:sz w:val="17"/>
                <w:szCs w:val="17"/>
              </w:rPr>
              <w:t>Yorta Yorta Traditional Owner Land Management Board</w:t>
            </w:r>
            <w:bookmarkEnd w:id="187"/>
          </w:p>
        </w:tc>
        <w:tc>
          <w:tcPr>
            <w:tcW w:w="1671" w:type="pct"/>
            <w:tcBorders>
              <w:top w:val="nil"/>
              <w:bottom w:val="nil"/>
            </w:tcBorders>
          </w:tcPr>
          <w:p w14:paraId="1C49EB36"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Families, Fairness </w:t>
            </w:r>
            <w:r>
              <w:rPr>
                <w:b/>
                <w:bCs/>
                <w:sz w:val="18"/>
              </w:rPr>
              <w:br/>
            </w:r>
            <w:r w:rsidRPr="00CB3815">
              <w:rPr>
                <w:b/>
                <w:bCs/>
                <w:sz w:val="18"/>
              </w:rPr>
              <w:t xml:space="preserve">and Housing </w:t>
            </w:r>
          </w:p>
          <w:p w14:paraId="5AD1303C" w14:textId="77777777" w:rsidR="009D33A8" w:rsidRPr="00CB3815" w:rsidRDefault="009D33A8">
            <w:pPr>
              <w:spacing w:before="20" w:after="20"/>
              <w:ind w:left="170" w:hanging="170"/>
              <w:rPr>
                <w:spacing w:val="-2"/>
                <w:sz w:val="17"/>
                <w:szCs w:val="17"/>
                <w:vertAlign w:val="superscript"/>
              </w:rPr>
            </w:pPr>
            <w:r w:rsidRPr="00CB3815">
              <w:rPr>
                <w:spacing w:val="-2"/>
                <w:sz w:val="17"/>
                <w:szCs w:val="17"/>
              </w:rPr>
              <w:t xml:space="preserve">Commission for Children and Young People </w:t>
            </w:r>
          </w:p>
          <w:p w14:paraId="263461CA" w14:textId="77777777" w:rsidR="009D33A8" w:rsidRPr="00CB3815" w:rsidRDefault="009D33A8">
            <w:pPr>
              <w:spacing w:before="20" w:after="20"/>
              <w:ind w:left="170" w:hanging="170"/>
              <w:rPr>
                <w:sz w:val="17"/>
                <w:szCs w:val="17"/>
              </w:rPr>
            </w:pPr>
            <w:r w:rsidRPr="00CB3815">
              <w:rPr>
                <w:sz w:val="17"/>
                <w:szCs w:val="17"/>
              </w:rPr>
              <w:t xml:space="preserve">Family Violence Prevention Agency </w:t>
            </w:r>
          </w:p>
          <w:p w14:paraId="42983CC1" w14:textId="77777777" w:rsidR="009D33A8" w:rsidRDefault="009D33A8">
            <w:pPr>
              <w:spacing w:before="20" w:after="20"/>
              <w:ind w:left="170" w:hanging="170"/>
              <w:rPr>
                <w:sz w:val="17"/>
                <w:szCs w:val="17"/>
              </w:rPr>
            </w:pPr>
            <w:r w:rsidRPr="00CB3815">
              <w:rPr>
                <w:sz w:val="17"/>
                <w:szCs w:val="17"/>
              </w:rPr>
              <w:t>Shrine of Remembrance Trustees</w:t>
            </w:r>
          </w:p>
          <w:p w14:paraId="655F7EB2" w14:textId="77777777" w:rsidR="009D33A8" w:rsidRPr="00CB3815" w:rsidRDefault="009D33A8">
            <w:pPr>
              <w:spacing w:before="20" w:after="20"/>
              <w:ind w:left="170" w:hanging="170"/>
              <w:rPr>
                <w:sz w:val="17"/>
                <w:szCs w:val="17"/>
              </w:rPr>
            </w:pPr>
            <w:r w:rsidRPr="00015D76">
              <w:rPr>
                <w:sz w:val="17"/>
                <w:szCs w:val="17"/>
              </w:rPr>
              <w:t>Social Services Regulator</w:t>
            </w:r>
            <w:r>
              <w:rPr>
                <w:sz w:val="17"/>
                <w:szCs w:val="17"/>
              </w:rPr>
              <w:t xml:space="preserve"> </w:t>
            </w:r>
            <w:r>
              <w:rPr>
                <w:sz w:val="17"/>
                <w:szCs w:val="17"/>
                <w:vertAlign w:val="superscript"/>
              </w:rPr>
              <w:t>(d)</w:t>
            </w:r>
            <w:r w:rsidRPr="00CB3815">
              <w:rPr>
                <w:sz w:val="17"/>
                <w:szCs w:val="17"/>
              </w:rPr>
              <w:t xml:space="preserve"> </w:t>
            </w:r>
          </w:p>
          <w:p w14:paraId="1B8C508D" w14:textId="77777777" w:rsidR="009D33A8" w:rsidRPr="00CB3815" w:rsidRDefault="009D33A8">
            <w:pPr>
              <w:spacing w:before="20" w:after="20"/>
              <w:ind w:left="170" w:hanging="170"/>
              <w:rPr>
                <w:sz w:val="17"/>
                <w:szCs w:val="17"/>
              </w:rPr>
            </w:pPr>
            <w:r w:rsidRPr="00CB3815">
              <w:rPr>
                <w:sz w:val="17"/>
                <w:szCs w:val="17"/>
              </w:rPr>
              <w:t xml:space="preserve">Victorian Disability Workers Commission </w:t>
            </w:r>
          </w:p>
          <w:p w14:paraId="70FAFB8D" w14:textId="77777777" w:rsidR="009D33A8" w:rsidRPr="00CB3815" w:rsidRDefault="009D33A8">
            <w:pPr>
              <w:spacing w:before="20" w:after="20"/>
              <w:ind w:left="170" w:hanging="170"/>
              <w:rPr>
                <w:sz w:val="17"/>
                <w:szCs w:val="17"/>
              </w:rPr>
            </w:pPr>
            <w:r w:rsidRPr="00CB3815">
              <w:rPr>
                <w:sz w:val="17"/>
                <w:szCs w:val="17"/>
              </w:rPr>
              <w:t xml:space="preserve">Victorian Veterans Council </w:t>
            </w:r>
          </w:p>
          <w:p w14:paraId="67913141"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Department of Government Services</w:t>
            </w:r>
            <w:r>
              <w:rPr>
                <w:b/>
                <w:bCs/>
                <w:sz w:val="18"/>
              </w:rPr>
              <w:t xml:space="preserve"> </w:t>
            </w:r>
          </w:p>
          <w:p w14:paraId="481B6D25" w14:textId="77777777" w:rsidR="009D33A8" w:rsidRPr="00CB3815" w:rsidRDefault="009D33A8">
            <w:pPr>
              <w:spacing w:before="20" w:after="20"/>
              <w:ind w:left="170" w:hanging="170"/>
              <w:rPr>
                <w:sz w:val="17"/>
                <w:szCs w:val="17"/>
              </w:rPr>
            </w:pPr>
            <w:r w:rsidRPr="00CB3815">
              <w:rPr>
                <w:sz w:val="17"/>
                <w:szCs w:val="17"/>
              </w:rPr>
              <w:t xml:space="preserve">Cenitex </w:t>
            </w:r>
          </w:p>
          <w:p w14:paraId="5F36F8CF" w14:textId="77777777" w:rsidR="009D33A8" w:rsidRPr="00CB3815" w:rsidRDefault="009D33A8">
            <w:pPr>
              <w:spacing w:before="20" w:after="20"/>
              <w:ind w:left="170" w:hanging="170"/>
              <w:rPr>
                <w:sz w:val="17"/>
                <w:szCs w:val="17"/>
              </w:rPr>
            </w:pPr>
            <w:r w:rsidRPr="00CB3815">
              <w:rPr>
                <w:sz w:val="17"/>
                <w:szCs w:val="17"/>
              </w:rPr>
              <w:t xml:space="preserve">Residential Tenancies Bond Authority </w:t>
            </w:r>
          </w:p>
          <w:p w14:paraId="5AF40B44"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Health </w:t>
            </w:r>
            <w:r w:rsidRPr="0009130C">
              <w:rPr>
                <w:rFonts w:eastAsia="Garamond"/>
                <w:b/>
                <w:bCs/>
                <w:sz w:val="18"/>
                <w:vertAlign w:val="superscript"/>
              </w:rPr>
              <w:t>(</w:t>
            </w:r>
            <w:r>
              <w:rPr>
                <w:rFonts w:eastAsia="Garamond"/>
                <w:b/>
                <w:bCs/>
                <w:sz w:val="18"/>
                <w:vertAlign w:val="superscript"/>
              </w:rPr>
              <w:t>e</w:t>
            </w:r>
            <w:r w:rsidRPr="0009130C">
              <w:rPr>
                <w:rFonts w:eastAsia="Garamond"/>
                <w:b/>
                <w:bCs/>
                <w:sz w:val="18"/>
                <w:vertAlign w:val="superscript"/>
              </w:rPr>
              <w:t>)</w:t>
            </w:r>
          </w:p>
          <w:p w14:paraId="5F612963" w14:textId="77777777" w:rsidR="009D33A8" w:rsidRPr="00CB3815" w:rsidRDefault="009D33A8">
            <w:pPr>
              <w:spacing w:before="20" w:after="20"/>
              <w:ind w:left="170" w:hanging="170"/>
              <w:rPr>
                <w:sz w:val="17"/>
                <w:szCs w:val="17"/>
              </w:rPr>
            </w:pPr>
            <w:r w:rsidRPr="00CB3815">
              <w:rPr>
                <w:sz w:val="17"/>
                <w:szCs w:val="17"/>
              </w:rPr>
              <w:t>Health Purchasing Victoria</w:t>
            </w:r>
          </w:p>
          <w:p w14:paraId="2D7D9435" w14:textId="77777777" w:rsidR="009D33A8" w:rsidRPr="00CB3815" w:rsidRDefault="009D33A8">
            <w:pPr>
              <w:spacing w:before="20" w:after="20"/>
              <w:ind w:left="170" w:hanging="170"/>
              <w:rPr>
                <w:sz w:val="17"/>
                <w:szCs w:val="17"/>
              </w:rPr>
            </w:pPr>
            <w:r w:rsidRPr="00CB3815">
              <w:rPr>
                <w:sz w:val="17"/>
                <w:szCs w:val="17"/>
              </w:rPr>
              <w:t>Hospitals, Health and Ambulance Services including:</w:t>
            </w:r>
          </w:p>
          <w:p w14:paraId="45AB758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CE0EE3">
              <w:t>A</w:t>
            </w:r>
            <w:r w:rsidRPr="00947FE6">
              <w:rPr>
                <w:sz w:val="17"/>
              </w:rPr>
              <w:t xml:space="preserve">lbury Wodonga Health </w:t>
            </w:r>
          </w:p>
          <w:p w14:paraId="5DC9297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Alexandra District Health </w:t>
            </w:r>
          </w:p>
          <w:p w14:paraId="0949920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Alfred Health</w:t>
            </w:r>
          </w:p>
          <w:p w14:paraId="6672F1EC"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Alpine Health</w:t>
            </w:r>
          </w:p>
          <w:p w14:paraId="62B7E87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Ambulance Victoria</w:t>
            </w:r>
          </w:p>
          <w:p w14:paraId="445DEF2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Austin Health</w:t>
            </w:r>
          </w:p>
          <w:p w14:paraId="62AB8CE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Bairnsdale Regional Health Service</w:t>
            </w:r>
          </w:p>
          <w:p w14:paraId="6A49FB9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Barwon Health</w:t>
            </w:r>
          </w:p>
          <w:p w14:paraId="3345E97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Bass Coast Health</w:t>
            </w:r>
          </w:p>
          <w:p w14:paraId="1C1A154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Beaufort and Skipton Health Service</w:t>
            </w:r>
          </w:p>
          <w:p w14:paraId="2FAF349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Beechworth Health Service</w:t>
            </w:r>
          </w:p>
          <w:p w14:paraId="6F8138A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Benalla Health</w:t>
            </w:r>
          </w:p>
          <w:p w14:paraId="4B66660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Bendigo Health</w:t>
            </w:r>
          </w:p>
          <w:p w14:paraId="3265305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Boort District Health</w:t>
            </w:r>
          </w:p>
          <w:p w14:paraId="6EFBBDC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Casterton Memorial Hospital</w:t>
            </w:r>
          </w:p>
          <w:p w14:paraId="4AADB05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Central Gippsland Health Service</w:t>
            </w:r>
          </w:p>
          <w:p w14:paraId="045333C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Central Highlands Rural Health</w:t>
            </w:r>
          </w:p>
          <w:p w14:paraId="06F727C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Cohuna District Hospital</w:t>
            </w:r>
          </w:p>
          <w:p w14:paraId="52BDAAC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Colac Area Health</w:t>
            </w:r>
          </w:p>
          <w:p w14:paraId="514D5195"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Corryong Health</w:t>
            </w:r>
          </w:p>
          <w:p w14:paraId="1E3FB14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CE0EE3">
              <w:t>D</w:t>
            </w:r>
            <w:r w:rsidRPr="00947FE6">
              <w:rPr>
                <w:sz w:val="17"/>
              </w:rPr>
              <w:t>ental Health Services Victoria</w:t>
            </w:r>
          </w:p>
          <w:p w14:paraId="0C81873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Dhelkaya Health </w:t>
            </w:r>
          </w:p>
          <w:p w14:paraId="602D950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East Grampians Health Service</w:t>
            </w:r>
          </w:p>
          <w:p w14:paraId="4FBA5ED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East Wimmera Health Service</w:t>
            </w:r>
          </w:p>
          <w:p w14:paraId="3BD64F2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Eastern Health</w:t>
            </w:r>
          </w:p>
          <w:p w14:paraId="27A66EB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Echuca Regional Health</w:t>
            </w:r>
          </w:p>
          <w:p w14:paraId="36F2587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Great Ocean Road Health</w:t>
            </w:r>
          </w:p>
          <w:p w14:paraId="0A39B6D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Gippsland Southern Health Service</w:t>
            </w:r>
          </w:p>
          <w:p w14:paraId="6327FA25"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Goulburn Valley Health</w:t>
            </w:r>
          </w:p>
          <w:p w14:paraId="0FB4457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Grampians Health</w:t>
            </w:r>
          </w:p>
          <w:p w14:paraId="11D8DE6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Heathcote Health </w:t>
            </w:r>
          </w:p>
          <w:p w14:paraId="47D849B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Hesse Rural Health Service</w:t>
            </w:r>
          </w:p>
          <w:p w14:paraId="4F91C654" w14:textId="77777777" w:rsidR="009D33A8" w:rsidRPr="002E5633" w:rsidRDefault="009D33A8" w:rsidP="009D33A8">
            <w:pPr>
              <w:pStyle w:val="ListBullet"/>
              <w:keepLines/>
              <w:numPr>
                <w:ilvl w:val="0"/>
                <w:numId w:val="27"/>
              </w:numPr>
              <w:spacing w:before="20" w:after="20"/>
              <w:ind w:left="170" w:hanging="170"/>
              <w:contextualSpacing/>
            </w:pPr>
            <w:r w:rsidRPr="00947FE6">
              <w:rPr>
                <w:sz w:val="17"/>
              </w:rPr>
              <w:t>Heywood Rural Health</w:t>
            </w:r>
          </w:p>
          <w:p w14:paraId="26726939" w14:textId="77777777" w:rsidR="009D33A8" w:rsidRPr="00CB3815" w:rsidRDefault="009D33A8" w:rsidP="009D33A8">
            <w:pPr>
              <w:pStyle w:val="ListBullet"/>
              <w:keepLines/>
              <w:numPr>
                <w:ilvl w:val="0"/>
                <w:numId w:val="27"/>
              </w:numPr>
              <w:spacing w:before="20" w:after="20"/>
              <w:ind w:left="170" w:hanging="170"/>
              <w:contextualSpacing/>
            </w:pPr>
            <w:r w:rsidRPr="00947FE6">
              <w:rPr>
                <w:sz w:val="17"/>
              </w:rPr>
              <w:t>Inglewood and Districts Health Service</w:t>
            </w:r>
          </w:p>
        </w:tc>
        <w:tc>
          <w:tcPr>
            <w:tcW w:w="1687" w:type="pct"/>
            <w:tcBorders>
              <w:top w:val="nil"/>
              <w:bottom w:val="nil"/>
            </w:tcBorders>
          </w:tcPr>
          <w:p w14:paraId="0E3B67FB" w14:textId="77777777" w:rsidR="009D33A8" w:rsidRDefault="009D33A8" w:rsidP="009D33A8">
            <w:pPr>
              <w:pStyle w:val="ListBullet"/>
              <w:keepLines/>
              <w:numPr>
                <w:ilvl w:val="0"/>
                <w:numId w:val="27"/>
              </w:numPr>
              <w:spacing w:before="20" w:after="20"/>
              <w:ind w:left="170" w:hanging="170"/>
              <w:contextualSpacing/>
              <w:rPr>
                <w:sz w:val="17"/>
              </w:rPr>
            </w:pPr>
            <w:r w:rsidRPr="00947FE6">
              <w:rPr>
                <w:sz w:val="17"/>
              </w:rPr>
              <w:t xml:space="preserve">Kerang District Health </w:t>
            </w:r>
          </w:p>
          <w:p w14:paraId="1810CB79" w14:textId="77777777" w:rsidR="009D33A8" w:rsidRDefault="009D33A8" w:rsidP="009D33A8">
            <w:pPr>
              <w:pStyle w:val="ListBullet"/>
              <w:keepLines/>
              <w:numPr>
                <w:ilvl w:val="0"/>
                <w:numId w:val="27"/>
              </w:numPr>
              <w:spacing w:before="20" w:after="20"/>
              <w:ind w:left="170" w:hanging="170"/>
              <w:contextualSpacing/>
              <w:rPr>
                <w:sz w:val="17"/>
              </w:rPr>
            </w:pPr>
            <w:r w:rsidRPr="00947FE6">
              <w:rPr>
                <w:sz w:val="17"/>
              </w:rPr>
              <w:t xml:space="preserve">Kooweerup Regional Health Service </w:t>
            </w:r>
          </w:p>
          <w:p w14:paraId="575A98C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Kyabram District Health Service</w:t>
            </w:r>
          </w:p>
          <w:p w14:paraId="49A3F07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Latrobe Regional H</w:t>
            </w:r>
            <w:r>
              <w:rPr>
                <w:sz w:val="17"/>
              </w:rPr>
              <w:t>ealth</w:t>
            </w:r>
          </w:p>
          <w:p w14:paraId="314E08B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Mallee Track Health and Community Service</w:t>
            </w:r>
          </w:p>
          <w:p w14:paraId="19B0058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Mansfield District Hospital </w:t>
            </w:r>
          </w:p>
          <w:p w14:paraId="10D0F1B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Maryborough District Health Service</w:t>
            </w:r>
          </w:p>
          <w:p w14:paraId="3AD60C5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Melbourne Health</w:t>
            </w:r>
          </w:p>
          <w:p w14:paraId="40A4400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Mildura Base Public Hospital</w:t>
            </w:r>
          </w:p>
          <w:p w14:paraId="7839C90C"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Monash Health</w:t>
            </w:r>
          </w:p>
          <w:p w14:paraId="5BE2D68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Moyne Health Services</w:t>
            </w:r>
          </w:p>
          <w:p w14:paraId="284C0A8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NCN Health </w:t>
            </w:r>
          </w:p>
          <w:p w14:paraId="083C939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Northeast Health Wangaratta</w:t>
            </w:r>
          </w:p>
          <w:p w14:paraId="16F6EAB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Northern Health </w:t>
            </w:r>
          </w:p>
          <w:p w14:paraId="19962BD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Omeo District Health</w:t>
            </w:r>
          </w:p>
          <w:p w14:paraId="311BCE8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Orbost Regional Health</w:t>
            </w:r>
          </w:p>
          <w:p w14:paraId="12CE4C69" w14:textId="77777777" w:rsidR="009D33A8" w:rsidRDefault="009D33A8" w:rsidP="009D33A8">
            <w:pPr>
              <w:pStyle w:val="ListBullet"/>
              <w:keepLines/>
              <w:numPr>
                <w:ilvl w:val="0"/>
                <w:numId w:val="27"/>
              </w:numPr>
              <w:spacing w:before="20" w:after="20"/>
              <w:ind w:left="170" w:hanging="170"/>
              <w:contextualSpacing/>
              <w:rPr>
                <w:sz w:val="17"/>
              </w:rPr>
            </w:pPr>
            <w:r>
              <w:rPr>
                <w:sz w:val="17"/>
              </w:rPr>
              <w:t xml:space="preserve">Parkville Youth Mental Health and Wellbeing </w:t>
            </w:r>
            <w:r w:rsidRPr="00115C4D">
              <w:rPr>
                <w:sz w:val="17"/>
                <w:szCs w:val="17"/>
              </w:rPr>
              <w:t xml:space="preserve">Service </w:t>
            </w:r>
            <w:r w:rsidRPr="00115C4D">
              <w:rPr>
                <w:rFonts w:eastAsia="Garamond"/>
                <w:b/>
                <w:bCs/>
                <w:sz w:val="17"/>
                <w:szCs w:val="17"/>
                <w:vertAlign w:val="superscript"/>
              </w:rPr>
              <w:t>(</w:t>
            </w:r>
            <w:r>
              <w:rPr>
                <w:rFonts w:eastAsia="Garamond"/>
                <w:b/>
                <w:bCs/>
                <w:sz w:val="17"/>
                <w:szCs w:val="17"/>
                <w:vertAlign w:val="superscript"/>
              </w:rPr>
              <w:t>f</w:t>
            </w:r>
            <w:r w:rsidRPr="00115C4D">
              <w:rPr>
                <w:rFonts w:eastAsia="Garamond"/>
                <w:b/>
                <w:bCs/>
                <w:sz w:val="17"/>
                <w:szCs w:val="17"/>
                <w:vertAlign w:val="superscript"/>
              </w:rPr>
              <w:t>)</w:t>
            </w:r>
          </w:p>
          <w:p w14:paraId="0F56234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Peninsula Health</w:t>
            </w:r>
          </w:p>
          <w:p w14:paraId="7694FB9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Peter MacCallum Cancer Institute</w:t>
            </w:r>
          </w:p>
          <w:p w14:paraId="4C83C52A"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Portland District Health</w:t>
            </w:r>
          </w:p>
          <w:p w14:paraId="762FADDA"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Robinvale District Health Services</w:t>
            </w:r>
          </w:p>
          <w:p w14:paraId="1E2D7CF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Rochester and Elmore District Health Service</w:t>
            </w:r>
          </w:p>
          <w:p w14:paraId="52207B87" w14:textId="26D15E5F"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The Royal Children</w:t>
            </w:r>
            <w:r w:rsidR="00845934">
              <w:rPr>
                <w:sz w:val="17"/>
              </w:rPr>
              <w:t>’</w:t>
            </w:r>
            <w:r w:rsidRPr="00947FE6">
              <w:rPr>
                <w:sz w:val="17"/>
              </w:rPr>
              <w:t>s Hospital</w:t>
            </w:r>
          </w:p>
          <w:p w14:paraId="432FDBC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The Royal Victorian Eye and Ear Hospital</w:t>
            </w:r>
          </w:p>
          <w:p w14:paraId="1E0F7D85" w14:textId="2449850C"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The Royal Women</w:t>
            </w:r>
            <w:r w:rsidR="00845934">
              <w:rPr>
                <w:sz w:val="17"/>
              </w:rPr>
              <w:t>’</w:t>
            </w:r>
            <w:r w:rsidRPr="00947FE6">
              <w:rPr>
                <w:sz w:val="17"/>
              </w:rPr>
              <w:t>s Hospital</w:t>
            </w:r>
          </w:p>
          <w:p w14:paraId="534F267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Rural Northwest Health</w:t>
            </w:r>
          </w:p>
          <w:p w14:paraId="1E828FB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Seymour Health</w:t>
            </w:r>
          </w:p>
          <w:p w14:paraId="11CF86EB"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South Gippsland Hospital</w:t>
            </w:r>
          </w:p>
          <w:p w14:paraId="6177A46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South West Healthcare</w:t>
            </w:r>
          </w:p>
          <w:p w14:paraId="45EA3A9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Swan Hill District Health </w:t>
            </w:r>
          </w:p>
          <w:p w14:paraId="45D6776A" w14:textId="77777777" w:rsidR="009D33A8" w:rsidRPr="00CE0EE3" w:rsidRDefault="009D33A8" w:rsidP="009D33A8">
            <w:pPr>
              <w:pStyle w:val="ListBullet"/>
              <w:keepLines/>
              <w:numPr>
                <w:ilvl w:val="0"/>
                <w:numId w:val="27"/>
              </w:numPr>
              <w:spacing w:before="20" w:after="20"/>
              <w:ind w:left="170" w:hanging="170"/>
              <w:contextualSpacing/>
            </w:pPr>
            <w:r w:rsidRPr="00947FE6">
              <w:rPr>
                <w:sz w:val="17"/>
              </w:rPr>
              <w:t>Tallangatta Health Servic</w:t>
            </w:r>
            <w:r w:rsidRPr="0021078E">
              <w:rPr>
                <w:sz w:val="17"/>
              </w:rPr>
              <w:t>e</w:t>
            </w:r>
            <w:r w:rsidRPr="00CE0EE3">
              <w:t xml:space="preserve"> </w:t>
            </w:r>
          </w:p>
          <w:p w14:paraId="4FAFFF1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Terang and Mortlake Health Service </w:t>
            </w:r>
          </w:p>
          <w:p w14:paraId="2DD8F5A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Timboon and District Healthcare Service </w:t>
            </w:r>
          </w:p>
          <w:p w14:paraId="7756117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Victorian Institute of Forensic Mental Health </w:t>
            </w:r>
          </w:p>
          <w:p w14:paraId="3BE9DD3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 Gippsland Healthcare Group</w:t>
            </w:r>
          </w:p>
          <w:p w14:paraId="15D8B47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 Wimmera Health Service</w:t>
            </w:r>
          </w:p>
          <w:p w14:paraId="358F19A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Western District Health Service</w:t>
            </w:r>
          </w:p>
          <w:p w14:paraId="4DD739BC"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Western Health</w:t>
            </w:r>
          </w:p>
          <w:p w14:paraId="54CED1F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Yarram and District Health Service</w:t>
            </w:r>
          </w:p>
          <w:p w14:paraId="1D5AB7F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Yarrawonga Health</w:t>
            </w:r>
          </w:p>
          <w:p w14:paraId="3C4F7B02" w14:textId="77777777" w:rsidR="009D33A8" w:rsidRPr="002E5633" w:rsidRDefault="009D33A8" w:rsidP="009D33A8">
            <w:pPr>
              <w:pStyle w:val="ListBullet"/>
              <w:keepLines/>
              <w:numPr>
                <w:ilvl w:val="0"/>
                <w:numId w:val="27"/>
              </w:numPr>
              <w:spacing w:before="20" w:after="20"/>
              <w:ind w:left="170" w:hanging="170"/>
              <w:contextualSpacing/>
            </w:pPr>
            <w:r w:rsidRPr="00947FE6">
              <w:rPr>
                <w:sz w:val="17"/>
              </w:rPr>
              <w:t>Yea and District Memorial Hospital</w:t>
            </w:r>
          </w:p>
          <w:p w14:paraId="502EC920" w14:textId="77777777" w:rsidR="009D33A8" w:rsidRPr="00CB3815" w:rsidRDefault="009D33A8">
            <w:pPr>
              <w:spacing w:before="20" w:after="20"/>
              <w:ind w:left="170" w:hanging="170"/>
              <w:rPr>
                <w:sz w:val="17"/>
                <w:szCs w:val="17"/>
              </w:rPr>
            </w:pPr>
            <w:r w:rsidRPr="00CB3815">
              <w:rPr>
                <w:sz w:val="17"/>
                <w:szCs w:val="17"/>
              </w:rPr>
              <w:t>The Queen Elizabeth Centre</w:t>
            </w:r>
          </w:p>
          <w:p w14:paraId="2DE6C2D1" w14:textId="77777777" w:rsidR="009D33A8" w:rsidRPr="00CB3815" w:rsidRDefault="009D33A8">
            <w:pPr>
              <w:spacing w:before="20" w:after="20"/>
              <w:ind w:left="170" w:hanging="170"/>
              <w:rPr>
                <w:sz w:val="17"/>
                <w:szCs w:val="17"/>
              </w:rPr>
            </w:pPr>
            <w:r w:rsidRPr="00CB3815">
              <w:rPr>
                <w:sz w:val="17"/>
                <w:szCs w:val="17"/>
              </w:rPr>
              <w:t>Tweddle Child and Family Health Service</w:t>
            </w:r>
          </w:p>
          <w:p w14:paraId="08CC9EE0" w14:textId="77777777" w:rsidR="009D33A8" w:rsidRPr="00CB3815" w:rsidRDefault="009D33A8">
            <w:pPr>
              <w:spacing w:before="20" w:after="20"/>
              <w:ind w:left="170" w:hanging="170"/>
              <w:rPr>
                <w:sz w:val="17"/>
                <w:szCs w:val="17"/>
              </w:rPr>
            </w:pPr>
            <w:r w:rsidRPr="00CB3815">
              <w:rPr>
                <w:sz w:val="17"/>
                <w:szCs w:val="17"/>
              </w:rPr>
              <w:t>Victorian Health Promotion Foundation</w:t>
            </w:r>
          </w:p>
          <w:p w14:paraId="2CF7ADC6" w14:textId="77777777" w:rsidR="009D33A8" w:rsidRPr="002E5633" w:rsidRDefault="009D33A8">
            <w:pPr>
              <w:spacing w:before="20" w:after="20"/>
              <w:ind w:left="170" w:hanging="170"/>
            </w:pPr>
            <w:r w:rsidRPr="00CB3815">
              <w:rPr>
                <w:sz w:val="17"/>
                <w:szCs w:val="17"/>
              </w:rPr>
              <w:t>Victorian Pharmacy Authority</w:t>
            </w:r>
          </w:p>
        </w:tc>
      </w:tr>
    </w:tbl>
    <w:p w14:paraId="1181C46B" w14:textId="77777777" w:rsidR="00BC0C0C" w:rsidRDefault="00BC0C0C"/>
    <w:tbl>
      <w:tblPr>
        <w:tblStyle w:val="DTFTableText"/>
        <w:tblW w:w="9781" w:type="dxa"/>
        <w:tblLayout w:type="fixed"/>
        <w:tblCellMar>
          <w:left w:w="113" w:type="dxa"/>
          <w:right w:w="113" w:type="dxa"/>
        </w:tblCellMar>
        <w:tblLook w:val="0600" w:firstRow="0" w:lastRow="0" w:firstColumn="0" w:lastColumn="0" w:noHBand="1" w:noVBand="1"/>
      </w:tblPr>
      <w:tblGrid>
        <w:gridCol w:w="3346"/>
        <w:gridCol w:w="27"/>
        <w:gridCol w:w="3108"/>
        <w:gridCol w:w="3300"/>
      </w:tblGrid>
      <w:tr w:rsidR="009D33A8" w:rsidRPr="00CB3815" w14:paraId="3ECC19C4" w14:textId="77777777" w:rsidTr="00BC0C0C">
        <w:trPr>
          <w:trHeight w:val="17"/>
        </w:trPr>
        <w:tc>
          <w:tcPr>
            <w:tcW w:w="5000" w:type="pct"/>
            <w:gridSpan w:val="4"/>
            <w:tcBorders>
              <w:top w:val="nil"/>
              <w:bottom w:val="nil"/>
            </w:tcBorders>
          </w:tcPr>
          <w:p w14:paraId="04CCC5C7" w14:textId="77777777" w:rsidR="009D33A8" w:rsidRPr="00CB3815" w:rsidRDefault="009D33A8">
            <w:pPr>
              <w:pageBreakBefore/>
              <w:shd w:val="clear" w:color="auto" w:fill="000000" w:themeFill="text1"/>
              <w:jc w:val="center"/>
              <w:rPr>
                <w:b/>
                <w:i/>
                <w:iCs/>
              </w:rPr>
            </w:pPr>
            <w:r w:rsidRPr="00CB3815">
              <w:rPr>
                <w:i/>
                <w:iCs/>
              </w:rPr>
              <w:lastRenderedPageBreak/>
              <w:t xml:space="preserve">General government </w:t>
            </w:r>
            <w:r w:rsidRPr="002E5633">
              <w:rPr>
                <w:i/>
                <w:iCs/>
                <w:sz w:val="18"/>
                <w:szCs w:val="20"/>
              </w:rPr>
              <w:t>(continued)</w:t>
            </w:r>
          </w:p>
        </w:tc>
      </w:tr>
      <w:tr w:rsidR="009D33A8" w:rsidRPr="00CB3815" w14:paraId="579440BB" w14:textId="77777777">
        <w:tc>
          <w:tcPr>
            <w:tcW w:w="1710" w:type="pct"/>
            <w:tcBorders>
              <w:top w:val="nil"/>
              <w:bottom w:val="nil"/>
            </w:tcBorders>
          </w:tcPr>
          <w:p w14:paraId="37055011"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Pr>
                <w:b/>
                <w:bCs/>
                <w:sz w:val="18"/>
              </w:rPr>
              <w:br/>
            </w:r>
            <w:r w:rsidRPr="00CB3815">
              <w:rPr>
                <w:b/>
                <w:bCs/>
                <w:sz w:val="18"/>
              </w:rPr>
              <w:t>and Regions</w:t>
            </w:r>
            <w:r>
              <w:rPr>
                <w:b/>
                <w:bCs/>
                <w:sz w:val="18"/>
              </w:rPr>
              <w:t xml:space="preserve"> </w:t>
            </w:r>
            <w:r w:rsidRPr="0009130C">
              <w:rPr>
                <w:rFonts w:eastAsia="Garamond"/>
                <w:b/>
                <w:bCs/>
                <w:sz w:val="18"/>
                <w:vertAlign w:val="superscript"/>
              </w:rPr>
              <w:t>(</w:t>
            </w:r>
            <w:r>
              <w:rPr>
                <w:rFonts w:eastAsia="Garamond"/>
                <w:b/>
                <w:bCs/>
                <w:sz w:val="18"/>
                <w:vertAlign w:val="superscript"/>
              </w:rPr>
              <w:t>g</w:t>
            </w:r>
            <w:r w:rsidRPr="0009130C">
              <w:rPr>
                <w:rFonts w:eastAsia="Garamond"/>
                <w:b/>
                <w:bCs/>
                <w:sz w:val="18"/>
                <w:vertAlign w:val="superscript"/>
              </w:rPr>
              <w:t>)</w:t>
            </w:r>
          </w:p>
          <w:p w14:paraId="61DD6A2D" w14:textId="77777777" w:rsidR="009D33A8" w:rsidRPr="00CB3815" w:rsidRDefault="009D33A8">
            <w:pPr>
              <w:spacing w:before="20" w:after="20"/>
              <w:ind w:left="170" w:hanging="170"/>
              <w:rPr>
                <w:sz w:val="17"/>
                <w:szCs w:val="17"/>
                <w:lang w:eastAsia="en-AU"/>
              </w:rPr>
            </w:pPr>
            <w:r w:rsidRPr="00CB3815">
              <w:rPr>
                <w:sz w:val="17"/>
                <w:szCs w:val="17"/>
                <w:lang w:eastAsia="en-AU"/>
              </w:rPr>
              <w:t>Adult Community and Further Education Board</w:t>
            </w:r>
          </w:p>
          <w:p w14:paraId="063F1D90" w14:textId="77777777" w:rsidR="009D33A8" w:rsidRPr="00CB3815" w:rsidRDefault="009D33A8">
            <w:pPr>
              <w:spacing w:before="20" w:after="20"/>
              <w:ind w:left="170" w:hanging="170"/>
              <w:rPr>
                <w:sz w:val="17"/>
                <w:szCs w:val="17"/>
                <w:lang w:eastAsia="en-AU"/>
              </w:rPr>
            </w:pPr>
            <w:r w:rsidRPr="00CB3815">
              <w:rPr>
                <w:sz w:val="17"/>
                <w:szCs w:val="17"/>
                <w:lang w:eastAsia="en-AU"/>
              </w:rPr>
              <w:t>Adult Multicultural Education Services</w:t>
            </w:r>
          </w:p>
          <w:p w14:paraId="3E5DCF4A" w14:textId="77777777" w:rsidR="009D33A8" w:rsidRPr="00CB3815" w:rsidRDefault="009D33A8">
            <w:pPr>
              <w:spacing w:before="20" w:after="20"/>
              <w:ind w:left="170" w:hanging="170"/>
              <w:rPr>
                <w:sz w:val="17"/>
                <w:szCs w:val="17"/>
                <w:lang w:eastAsia="en-AU"/>
              </w:rPr>
            </w:pPr>
            <w:r w:rsidRPr="00CB3815">
              <w:rPr>
                <w:sz w:val="17"/>
                <w:szCs w:val="17"/>
                <w:lang w:eastAsia="en-AU"/>
              </w:rPr>
              <w:t>Australian Centre for the Moving Image</w:t>
            </w:r>
          </w:p>
          <w:p w14:paraId="2FE629A4" w14:textId="77777777" w:rsidR="009D33A8" w:rsidRPr="00CB3815" w:rsidRDefault="009D33A8">
            <w:pPr>
              <w:spacing w:before="20" w:after="20"/>
              <w:ind w:left="170" w:hanging="170"/>
              <w:rPr>
                <w:sz w:val="17"/>
                <w:szCs w:val="17"/>
              </w:rPr>
            </w:pPr>
            <w:r w:rsidRPr="00CB3815">
              <w:rPr>
                <w:sz w:val="17"/>
                <w:szCs w:val="17"/>
              </w:rPr>
              <w:t>Dockland Studios Melbourne Pty Ltd</w:t>
            </w:r>
          </w:p>
          <w:p w14:paraId="2BD857AA" w14:textId="77777777" w:rsidR="009D33A8" w:rsidRPr="00CB3815" w:rsidRDefault="009D33A8">
            <w:pPr>
              <w:spacing w:before="20" w:after="20"/>
              <w:ind w:left="170" w:hanging="170"/>
              <w:rPr>
                <w:sz w:val="17"/>
                <w:szCs w:val="17"/>
                <w:lang w:eastAsia="en-AU"/>
              </w:rPr>
            </w:pPr>
            <w:r w:rsidRPr="00CB3815">
              <w:rPr>
                <w:sz w:val="17"/>
                <w:szCs w:val="17"/>
                <w:lang w:eastAsia="en-AU"/>
              </w:rPr>
              <w:t>Film Victoria</w:t>
            </w:r>
          </w:p>
          <w:p w14:paraId="25A7DB7E" w14:textId="77777777" w:rsidR="009D33A8" w:rsidRPr="00CB3815" w:rsidRDefault="009D33A8">
            <w:pPr>
              <w:spacing w:before="20" w:after="20"/>
              <w:ind w:left="170" w:hanging="170"/>
              <w:rPr>
                <w:sz w:val="17"/>
                <w:szCs w:val="17"/>
                <w:lang w:eastAsia="en-AU"/>
              </w:rPr>
            </w:pPr>
            <w:r w:rsidRPr="00CB3815">
              <w:rPr>
                <w:sz w:val="17"/>
                <w:szCs w:val="17"/>
                <w:lang w:eastAsia="en-AU"/>
              </w:rPr>
              <w:t xml:space="preserve">Game Management Authority </w:t>
            </w:r>
          </w:p>
          <w:p w14:paraId="339C363C" w14:textId="77777777" w:rsidR="009D33A8" w:rsidRPr="00CB3815" w:rsidRDefault="009D33A8">
            <w:pPr>
              <w:spacing w:before="20" w:after="20"/>
              <w:ind w:left="170" w:hanging="170"/>
              <w:rPr>
                <w:sz w:val="17"/>
                <w:szCs w:val="17"/>
                <w:lang w:eastAsia="en-AU"/>
              </w:rPr>
            </w:pPr>
            <w:r w:rsidRPr="00CB3815">
              <w:rPr>
                <w:sz w:val="17"/>
                <w:szCs w:val="17"/>
                <w:lang w:eastAsia="en-AU"/>
              </w:rPr>
              <w:t>Library Board of Victoria</w:t>
            </w:r>
          </w:p>
          <w:p w14:paraId="0AD95DE3" w14:textId="77777777" w:rsidR="009D33A8" w:rsidRPr="00CB3815" w:rsidRDefault="009D33A8">
            <w:pPr>
              <w:spacing w:before="20" w:after="20"/>
              <w:ind w:left="170" w:hanging="170"/>
              <w:rPr>
                <w:sz w:val="17"/>
                <w:szCs w:val="17"/>
                <w:lang w:eastAsia="en-AU"/>
              </w:rPr>
            </w:pPr>
            <w:r w:rsidRPr="00CB3815">
              <w:rPr>
                <w:sz w:val="17"/>
                <w:szCs w:val="17"/>
                <w:lang w:eastAsia="en-AU"/>
              </w:rPr>
              <w:t xml:space="preserve">Melbourne Cricket Ground Trust </w:t>
            </w:r>
          </w:p>
          <w:p w14:paraId="4FF388E2" w14:textId="77777777" w:rsidR="009D33A8" w:rsidRPr="00CB3815" w:rsidRDefault="009D33A8">
            <w:pPr>
              <w:spacing w:before="20" w:after="20"/>
              <w:ind w:left="170" w:hanging="170"/>
              <w:rPr>
                <w:sz w:val="17"/>
                <w:szCs w:val="17"/>
                <w:lang w:eastAsia="en-AU"/>
              </w:rPr>
            </w:pPr>
            <w:r w:rsidRPr="00CB3815">
              <w:rPr>
                <w:sz w:val="17"/>
                <w:szCs w:val="17"/>
                <w:lang w:eastAsia="en-AU"/>
              </w:rPr>
              <w:t>Melbourne Recital Centre Limited</w:t>
            </w:r>
          </w:p>
          <w:p w14:paraId="4CD72183" w14:textId="77777777" w:rsidR="009D33A8" w:rsidRPr="00CB3815" w:rsidRDefault="009D33A8">
            <w:pPr>
              <w:spacing w:before="20" w:after="20"/>
              <w:ind w:left="170" w:hanging="170"/>
              <w:rPr>
                <w:sz w:val="17"/>
                <w:szCs w:val="17"/>
                <w:lang w:eastAsia="en-AU"/>
              </w:rPr>
            </w:pPr>
            <w:r w:rsidRPr="00CB3815">
              <w:rPr>
                <w:sz w:val="17"/>
                <w:szCs w:val="17"/>
                <w:lang w:eastAsia="en-AU"/>
              </w:rPr>
              <w:t>Museums Board of Victoria</w:t>
            </w:r>
          </w:p>
          <w:p w14:paraId="742D8F81" w14:textId="77777777" w:rsidR="009D33A8" w:rsidRPr="00CB3815" w:rsidRDefault="009D33A8">
            <w:pPr>
              <w:spacing w:before="20" w:after="20"/>
              <w:ind w:left="170" w:hanging="170"/>
              <w:rPr>
                <w:color w:val="000000" w:themeColor="text1"/>
                <w:sz w:val="17"/>
                <w:szCs w:val="17"/>
                <w:lang w:eastAsia="en-AU"/>
              </w:rPr>
            </w:pPr>
            <w:r w:rsidRPr="00CB3815">
              <w:rPr>
                <w:color w:val="000000" w:themeColor="text1"/>
                <w:sz w:val="17"/>
                <w:szCs w:val="17"/>
                <w:lang w:eastAsia="en-AU"/>
              </w:rPr>
              <w:t>National Gallery of Victoria, Council of Trustees</w:t>
            </w:r>
          </w:p>
          <w:p w14:paraId="12E73DCE" w14:textId="77777777" w:rsidR="009D33A8" w:rsidRPr="00CB3815" w:rsidRDefault="009D33A8">
            <w:pPr>
              <w:spacing w:before="20" w:after="20"/>
              <w:ind w:left="170" w:hanging="170"/>
              <w:rPr>
                <w:sz w:val="17"/>
                <w:szCs w:val="17"/>
              </w:rPr>
            </w:pPr>
            <w:r w:rsidRPr="00CB3815">
              <w:rPr>
                <w:sz w:val="17"/>
                <w:szCs w:val="17"/>
              </w:rPr>
              <w:t>TAFEs including:</w:t>
            </w:r>
          </w:p>
          <w:p w14:paraId="4C3AB7B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Bendigo Kangan Institute</w:t>
            </w:r>
          </w:p>
          <w:p w14:paraId="03A6C3F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Box Hill Institute </w:t>
            </w:r>
          </w:p>
          <w:p w14:paraId="2FB7D3F0"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Chisholm Institute </w:t>
            </w:r>
          </w:p>
          <w:p w14:paraId="3A4A5A6E"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Gordon Institute of TAFE</w:t>
            </w:r>
          </w:p>
          <w:p w14:paraId="517C094C"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Goulburn Ovens Institute of TAFE</w:t>
            </w:r>
          </w:p>
          <w:p w14:paraId="1E7D928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Holmesglen Institute </w:t>
            </w:r>
          </w:p>
          <w:p w14:paraId="526C4BA5"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Melbourne Polytechnic</w:t>
            </w:r>
          </w:p>
          <w:p w14:paraId="1F9ECEA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South West Institute of TAFE</w:t>
            </w:r>
          </w:p>
          <w:p w14:paraId="2A6AFB71" w14:textId="77777777" w:rsidR="009D33A8" w:rsidRDefault="009D33A8" w:rsidP="009D33A8">
            <w:pPr>
              <w:pStyle w:val="ListBullet"/>
              <w:keepLines/>
              <w:numPr>
                <w:ilvl w:val="0"/>
                <w:numId w:val="27"/>
              </w:numPr>
              <w:spacing w:before="20" w:after="20"/>
              <w:ind w:left="170" w:hanging="170"/>
              <w:contextualSpacing/>
              <w:rPr>
                <w:sz w:val="17"/>
              </w:rPr>
            </w:pPr>
            <w:r w:rsidRPr="00947FE6">
              <w:rPr>
                <w:sz w:val="17"/>
              </w:rPr>
              <w:t>Sunraysia Institute of TAFE</w:t>
            </w:r>
          </w:p>
          <w:p w14:paraId="653CF3EB" w14:textId="77777777" w:rsidR="009D33A8" w:rsidRPr="00947FE6" w:rsidRDefault="009D33A8" w:rsidP="009D33A8">
            <w:pPr>
              <w:pStyle w:val="ListBullet"/>
              <w:keepLines/>
              <w:numPr>
                <w:ilvl w:val="0"/>
                <w:numId w:val="27"/>
              </w:numPr>
              <w:spacing w:before="20" w:after="20"/>
              <w:ind w:left="170" w:hanging="170"/>
              <w:contextualSpacing/>
              <w:rPr>
                <w:sz w:val="17"/>
              </w:rPr>
            </w:pPr>
            <w:r>
              <w:rPr>
                <w:sz w:val="17"/>
              </w:rPr>
              <w:t>TAFE Gippsland</w:t>
            </w:r>
          </w:p>
          <w:p w14:paraId="6E665E5A"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William Angliss Institute of TAFE</w:t>
            </w:r>
          </w:p>
          <w:p w14:paraId="683E96AF"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Wodonga Institute of TAFE</w:t>
            </w:r>
          </w:p>
          <w:p w14:paraId="4427984F" w14:textId="77777777" w:rsidR="009D33A8" w:rsidRPr="00CB3815" w:rsidRDefault="009D33A8">
            <w:pPr>
              <w:spacing w:before="20" w:after="20"/>
              <w:rPr>
                <w:color w:val="000000" w:themeColor="text1"/>
                <w:sz w:val="17"/>
                <w:szCs w:val="17"/>
                <w:lang w:eastAsia="en-AU"/>
              </w:rPr>
            </w:pPr>
            <w:r w:rsidRPr="00CB3815">
              <w:rPr>
                <w:color w:val="000000" w:themeColor="text1"/>
                <w:sz w:val="17"/>
                <w:szCs w:val="17"/>
                <w:lang w:eastAsia="en-AU"/>
              </w:rPr>
              <w:t>Victorian Fisheries Authority</w:t>
            </w:r>
          </w:p>
          <w:p w14:paraId="3E0AD548"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lang w:eastAsia="en-AU"/>
              </w:rPr>
              <w:t>Victorian Institute of Sport Limited</w:t>
            </w:r>
            <w:r w:rsidRPr="00CB3815">
              <w:rPr>
                <w:color w:val="000000" w:themeColor="text1"/>
                <w:sz w:val="17"/>
                <w:szCs w:val="17"/>
              </w:rPr>
              <w:t xml:space="preserve"> </w:t>
            </w:r>
          </w:p>
          <w:p w14:paraId="40A5090B" w14:textId="77777777" w:rsidR="009D33A8" w:rsidRPr="00CB3815" w:rsidRDefault="009D33A8">
            <w:pPr>
              <w:spacing w:before="20" w:after="20"/>
              <w:ind w:left="170" w:hanging="170"/>
              <w:rPr>
                <w:color w:val="000000" w:themeColor="text1"/>
                <w:sz w:val="17"/>
                <w:szCs w:val="17"/>
                <w:lang w:eastAsia="en-AU"/>
              </w:rPr>
            </w:pPr>
            <w:r w:rsidRPr="00CB3815">
              <w:rPr>
                <w:color w:val="000000" w:themeColor="text1"/>
                <w:sz w:val="17"/>
                <w:szCs w:val="17"/>
                <w:lang w:eastAsia="en-AU"/>
              </w:rPr>
              <w:t>Victorian Institute of Sport Trust</w:t>
            </w:r>
          </w:p>
          <w:p w14:paraId="1658B554" w14:textId="77777777" w:rsidR="009D33A8" w:rsidRPr="00CB3815" w:rsidRDefault="009D33A8">
            <w:pPr>
              <w:spacing w:before="20" w:after="20"/>
              <w:ind w:left="170" w:hanging="170"/>
              <w:rPr>
                <w:sz w:val="17"/>
                <w:szCs w:val="17"/>
              </w:rPr>
            </w:pPr>
            <w:r w:rsidRPr="00CB3815">
              <w:rPr>
                <w:color w:val="000000" w:themeColor="text1"/>
                <w:sz w:val="17"/>
                <w:szCs w:val="17"/>
                <w:lang w:eastAsia="en-AU"/>
              </w:rPr>
              <w:t>Visit Victoria</w:t>
            </w:r>
          </w:p>
        </w:tc>
        <w:tc>
          <w:tcPr>
            <w:tcW w:w="1603" w:type="pct"/>
            <w:gridSpan w:val="2"/>
            <w:tcBorders>
              <w:top w:val="nil"/>
              <w:bottom w:val="nil"/>
            </w:tcBorders>
          </w:tcPr>
          <w:p w14:paraId="6431122F" w14:textId="77777777" w:rsidR="009D33A8" w:rsidRPr="0067143D" w:rsidRDefault="009D33A8">
            <w:pPr>
              <w:shd w:val="clear" w:color="auto" w:fill="D9D9D9" w:themeFill="background1" w:themeFillShade="D9"/>
              <w:spacing w:before="40" w:after="20"/>
              <w:ind w:left="170" w:hanging="170"/>
              <w:rPr>
                <w:b/>
                <w:sz w:val="18"/>
                <w:vertAlign w:val="superscript"/>
              </w:rPr>
            </w:pPr>
            <w:r w:rsidRPr="00CB3815">
              <w:rPr>
                <w:b/>
                <w:bCs/>
                <w:sz w:val="18"/>
              </w:rPr>
              <w:t xml:space="preserve">Department of Justice </w:t>
            </w:r>
            <w:r>
              <w:rPr>
                <w:b/>
                <w:bCs/>
                <w:sz w:val="18"/>
              </w:rPr>
              <w:br/>
            </w:r>
            <w:r w:rsidRPr="00CB3815">
              <w:rPr>
                <w:b/>
                <w:bCs/>
                <w:sz w:val="18"/>
              </w:rPr>
              <w:t>and Community Safety</w:t>
            </w:r>
            <w:r>
              <w:rPr>
                <w:b/>
                <w:bCs/>
                <w:sz w:val="18"/>
              </w:rPr>
              <w:t xml:space="preserve"> </w:t>
            </w:r>
            <w:r w:rsidDel="008F4156">
              <w:rPr>
                <w:b/>
                <w:bCs/>
                <w:sz w:val="18"/>
                <w:vertAlign w:val="superscript"/>
              </w:rPr>
              <w:t>(</w:t>
            </w:r>
            <w:r>
              <w:rPr>
                <w:b/>
                <w:bCs/>
                <w:sz w:val="18"/>
                <w:vertAlign w:val="superscript"/>
              </w:rPr>
              <w:t>h)</w:t>
            </w:r>
          </w:p>
          <w:p w14:paraId="49937788"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Country Fire Authority</w:t>
            </w:r>
          </w:p>
          <w:p w14:paraId="395D69CF"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Fire Rescue </w:t>
            </w:r>
            <w:r w:rsidRPr="00CB3815">
              <w:rPr>
                <w:sz w:val="17"/>
                <w:szCs w:val="17"/>
              </w:rPr>
              <w:t xml:space="preserve">Victoria </w:t>
            </w:r>
          </w:p>
          <w:p w14:paraId="4FB0F607"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Office of Public Prosecutions </w:t>
            </w:r>
          </w:p>
          <w:p w14:paraId="52DB3D7D"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Professional Standards Council of Victoria</w:t>
            </w:r>
          </w:p>
          <w:p w14:paraId="3FD2C12C"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Sentencing Advisory Council </w:t>
            </w:r>
          </w:p>
          <w:p w14:paraId="134989E2" w14:textId="77777777" w:rsidR="009D33A8" w:rsidRPr="00CB3815" w:rsidRDefault="009D33A8">
            <w:pPr>
              <w:spacing w:before="20" w:after="20"/>
              <w:ind w:left="170" w:hanging="170"/>
              <w:rPr>
                <w:color w:val="000000" w:themeColor="text1"/>
                <w:sz w:val="17"/>
                <w:szCs w:val="17"/>
              </w:rPr>
            </w:pPr>
            <w:r>
              <w:rPr>
                <w:color w:val="000000" w:themeColor="text1"/>
                <w:sz w:val="17"/>
                <w:szCs w:val="17"/>
              </w:rPr>
              <w:t xml:space="preserve">Triple Zero Victoria </w:t>
            </w:r>
          </w:p>
          <w:p w14:paraId="073B4EDD"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 Legal Aid</w:t>
            </w:r>
          </w:p>
          <w:p w14:paraId="094D2AC3"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 Police (Office of the Chief Commissioner of Police)</w:t>
            </w:r>
          </w:p>
          <w:p w14:paraId="706E3056"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 State Emergency Service Authority</w:t>
            </w:r>
          </w:p>
          <w:p w14:paraId="4E41479B"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Victorian Equal Opportunity and </w:t>
            </w:r>
            <w:r w:rsidRPr="00CB3815">
              <w:rPr>
                <w:color w:val="000000" w:themeColor="text1"/>
                <w:sz w:val="17"/>
                <w:szCs w:val="17"/>
              </w:rPr>
              <w:br/>
              <w:t>Human Rights Commission</w:t>
            </w:r>
          </w:p>
          <w:p w14:paraId="3964E298" w14:textId="77777777" w:rsidR="009D33A8" w:rsidRPr="00CB3815" w:rsidRDefault="009D33A8">
            <w:pPr>
              <w:spacing w:before="20" w:after="20"/>
              <w:ind w:left="170" w:hanging="170"/>
              <w:rPr>
                <w:color w:val="000000" w:themeColor="text1"/>
                <w:sz w:val="17"/>
                <w:szCs w:val="17"/>
              </w:rPr>
            </w:pPr>
            <w:r w:rsidRPr="00CB3815">
              <w:rPr>
                <w:sz w:val="17"/>
                <w:szCs w:val="17"/>
              </w:rPr>
              <w:t xml:space="preserve">Victorian Gambling and Casino Control Commission </w:t>
            </w:r>
          </w:p>
          <w:p w14:paraId="6E55C086"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Victorian Information Commissioner</w:t>
            </w:r>
          </w:p>
          <w:p w14:paraId="6AC7D6AE"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Victorian Institute of Forensic Medicine</w:t>
            </w:r>
          </w:p>
          <w:p w14:paraId="0F83B0BF"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Victorian Law Reform Commission</w:t>
            </w:r>
          </w:p>
          <w:p w14:paraId="4A2059A4"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Victorian Legal Services Board and Commissioner</w:t>
            </w:r>
          </w:p>
          <w:p w14:paraId="561BC2A4"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Victorian Racing Commissioner </w:t>
            </w:r>
          </w:p>
          <w:p w14:paraId="0206F429"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Victorian Racing Integrity Board </w:t>
            </w:r>
          </w:p>
          <w:p w14:paraId="5FD16F8E"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Victorian Racing Tribunal</w:t>
            </w:r>
          </w:p>
          <w:p w14:paraId="00B1904E"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Premier and Cabinet </w:t>
            </w:r>
          </w:p>
          <w:p w14:paraId="36F9B22A" w14:textId="77777777" w:rsidR="009D33A8" w:rsidRPr="00F85800" w:rsidRDefault="009D33A8">
            <w:pPr>
              <w:spacing w:before="20" w:after="20"/>
              <w:ind w:left="170" w:hanging="170"/>
              <w:rPr>
                <w:sz w:val="17"/>
                <w:szCs w:val="17"/>
                <w:vertAlign w:val="superscript"/>
              </w:rPr>
            </w:pPr>
            <w:r w:rsidRPr="006A108B">
              <w:rPr>
                <w:sz w:val="17"/>
                <w:szCs w:val="17"/>
              </w:rPr>
              <w:t>Parliamentary Workplace Standards and Integrity Commission</w:t>
            </w:r>
            <w:r>
              <w:rPr>
                <w:sz w:val="17"/>
                <w:szCs w:val="17"/>
                <w:vertAlign w:val="superscript"/>
              </w:rPr>
              <w:t xml:space="preserve"> (i)</w:t>
            </w:r>
          </w:p>
          <w:p w14:paraId="2434C715" w14:textId="77777777" w:rsidR="009D33A8" w:rsidRPr="00CB3815" w:rsidRDefault="009D33A8">
            <w:pPr>
              <w:spacing w:before="20" w:after="20"/>
              <w:ind w:left="170" w:hanging="170"/>
              <w:rPr>
                <w:sz w:val="17"/>
                <w:szCs w:val="17"/>
              </w:rPr>
            </w:pPr>
            <w:r w:rsidRPr="00CB3815">
              <w:rPr>
                <w:sz w:val="17"/>
                <w:szCs w:val="17"/>
              </w:rPr>
              <w:t>Victorian Aboriginal Heritage Council</w:t>
            </w:r>
          </w:p>
          <w:p w14:paraId="17C63D0F" w14:textId="77777777" w:rsidR="009D33A8" w:rsidRPr="00CB3815" w:rsidRDefault="009D33A8">
            <w:pPr>
              <w:spacing w:before="20" w:after="20"/>
              <w:ind w:left="170" w:hanging="170"/>
              <w:rPr>
                <w:sz w:val="17"/>
                <w:szCs w:val="17"/>
              </w:rPr>
            </w:pPr>
            <w:r w:rsidRPr="00CB3815">
              <w:rPr>
                <w:sz w:val="17"/>
                <w:szCs w:val="17"/>
              </w:rPr>
              <w:t>Victorian Electoral Commission</w:t>
            </w:r>
          </w:p>
          <w:p w14:paraId="2B21266B" w14:textId="77777777" w:rsidR="009D33A8" w:rsidRPr="00CB3815" w:rsidRDefault="009D33A8">
            <w:pPr>
              <w:spacing w:before="20" w:after="20"/>
              <w:ind w:left="170" w:hanging="170"/>
              <w:rPr>
                <w:sz w:val="17"/>
                <w:szCs w:val="17"/>
              </w:rPr>
            </w:pPr>
            <w:r w:rsidRPr="00CB3815">
              <w:rPr>
                <w:sz w:val="17"/>
                <w:szCs w:val="17"/>
              </w:rPr>
              <w:t xml:space="preserve">Victorian Multicultural Commission </w:t>
            </w:r>
          </w:p>
          <w:p w14:paraId="31CB92AA" w14:textId="77777777" w:rsidR="009D33A8" w:rsidRPr="00CB3815" w:rsidRDefault="009D33A8">
            <w:pPr>
              <w:spacing w:before="20" w:after="20"/>
              <w:ind w:left="170" w:hanging="170"/>
              <w:rPr>
                <w:sz w:val="17"/>
                <w:szCs w:val="17"/>
              </w:rPr>
            </w:pPr>
            <w:r w:rsidRPr="00CB3815">
              <w:rPr>
                <w:sz w:val="17"/>
                <w:szCs w:val="17"/>
              </w:rPr>
              <w:t>Victorian Public Sector Commission</w:t>
            </w:r>
          </w:p>
          <w:p w14:paraId="69C65BA5" w14:textId="77777777" w:rsidR="009D33A8" w:rsidRPr="00CB3815" w:rsidRDefault="009D33A8">
            <w:pPr>
              <w:spacing w:before="20" w:after="20"/>
              <w:ind w:left="170" w:hanging="170"/>
              <w:rPr>
                <w:sz w:val="17"/>
                <w:szCs w:val="17"/>
              </w:rPr>
            </w:pPr>
          </w:p>
        </w:tc>
        <w:tc>
          <w:tcPr>
            <w:tcW w:w="1687" w:type="pct"/>
            <w:tcBorders>
              <w:top w:val="nil"/>
              <w:bottom w:val="nil"/>
            </w:tcBorders>
          </w:tcPr>
          <w:p w14:paraId="79B6CB9D" w14:textId="77777777" w:rsidR="009D33A8" w:rsidRPr="00CB3815" w:rsidRDefault="009D33A8">
            <w:pPr>
              <w:shd w:val="clear" w:color="auto" w:fill="D9D9D9" w:themeFill="background1" w:themeFillShade="D9"/>
              <w:spacing w:before="40" w:after="20"/>
              <w:ind w:left="170" w:hanging="170"/>
              <w:rPr>
                <w:b/>
                <w:bCs/>
                <w:sz w:val="18"/>
                <w:vertAlign w:val="superscript"/>
              </w:rPr>
            </w:pPr>
            <w:r w:rsidRPr="00CB3815">
              <w:rPr>
                <w:b/>
                <w:bCs/>
                <w:sz w:val="18"/>
              </w:rPr>
              <w:t xml:space="preserve">Department of Transport and Planning </w:t>
            </w:r>
          </w:p>
          <w:p w14:paraId="74AE3DD8"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Architects Registration Board of Victoria</w:t>
            </w:r>
          </w:p>
          <w:p w14:paraId="5B877264" w14:textId="77777777" w:rsidR="009D33A8" w:rsidRDefault="009D33A8">
            <w:pPr>
              <w:spacing w:before="20" w:after="20"/>
              <w:ind w:left="170" w:hanging="170"/>
              <w:rPr>
                <w:rFonts w:eastAsia="Garamond"/>
                <w:sz w:val="17"/>
                <w:szCs w:val="17"/>
              </w:rPr>
            </w:pPr>
            <w:r w:rsidRPr="00C30682">
              <w:rPr>
                <w:rFonts w:eastAsia="Garamond"/>
                <w:sz w:val="17"/>
                <w:szCs w:val="17"/>
              </w:rPr>
              <w:t xml:space="preserve">Building and Plumbing Commission </w:t>
            </w:r>
            <w:r w:rsidRPr="00C30682">
              <w:rPr>
                <w:rFonts w:eastAsia="Garamond"/>
                <w:sz w:val="17"/>
                <w:szCs w:val="17"/>
                <w:vertAlign w:val="superscript"/>
              </w:rPr>
              <w:t>(</w:t>
            </w:r>
            <w:r>
              <w:rPr>
                <w:rFonts w:eastAsia="Garamond"/>
                <w:sz w:val="17"/>
                <w:szCs w:val="17"/>
                <w:vertAlign w:val="superscript"/>
              </w:rPr>
              <w:t>j</w:t>
            </w:r>
            <w:r w:rsidRPr="00C30682">
              <w:rPr>
                <w:rFonts w:eastAsia="Garamond"/>
                <w:sz w:val="17"/>
                <w:szCs w:val="17"/>
                <w:vertAlign w:val="superscript"/>
              </w:rPr>
              <w:t>)</w:t>
            </w:r>
          </w:p>
          <w:p w14:paraId="763C47F5"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Cladding Safety Victoria </w:t>
            </w:r>
          </w:p>
          <w:p w14:paraId="01A175D9"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Head, Transport for Victoria</w:t>
            </w:r>
          </w:p>
          <w:p w14:paraId="2A32B26B"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Heritage Council of Victoria</w:t>
            </w:r>
          </w:p>
          <w:p w14:paraId="75F36944" w14:textId="77777777" w:rsidR="009D33A8" w:rsidRDefault="009D33A8">
            <w:pPr>
              <w:spacing w:before="20" w:after="20"/>
              <w:ind w:left="170" w:hanging="170"/>
              <w:rPr>
                <w:vertAlign w:val="superscript"/>
              </w:rPr>
            </w:pPr>
            <w:r w:rsidRPr="00CB3815">
              <w:rPr>
                <w:sz w:val="17"/>
                <w:szCs w:val="17"/>
              </w:rPr>
              <w:t>Safe Transport Victoria</w:t>
            </w:r>
            <w:r w:rsidRPr="00CB3815">
              <w:t xml:space="preserve"> </w:t>
            </w:r>
          </w:p>
          <w:p w14:paraId="161A5C77" w14:textId="77777777" w:rsidR="009D33A8" w:rsidRPr="00CB3815" w:rsidRDefault="009D33A8">
            <w:pPr>
              <w:spacing w:before="20" w:after="20"/>
              <w:ind w:left="170" w:hanging="170"/>
              <w:rPr>
                <w:color w:val="000000" w:themeColor="text1"/>
                <w:sz w:val="17"/>
                <w:szCs w:val="17"/>
                <w:lang w:eastAsia="en-AU"/>
              </w:rPr>
            </w:pPr>
            <w:r w:rsidRPr="00CB3815">
              <w:rPr>
                <w:sz w:val="17"/>
                <w:szCs w:val="17"/>
              </w:rPr>
              <w:t>Secretary, Project Development</w:t>
            </w:r>
          </w:p>
          <w:p w14:paraId="0C59FBC1" w14:textId="77777777" w:rsidR="009D33A8" w:rsidRPr="00CB3815" w:rsidRDefault="009D33A8">
            <w:pPr>
              <w:spacing w:before="20" w:after="20"/>
              <w:ind w:left="170" w:hanging="170"/>
              <w:rPr>
                <w:sz w:val="17"/>
                <w:szCs w:val="17"/>
              </w:rPr>
            </w:pPr>
            <w:r w:rsidRPr="00CB3815">
              <w:rPr>
                <w:sz w:val="17"/>
                <w:szCs w:val="17"/>
              </w:rPr>
              <w:t>Suburban Rail Loop Authority</w:t>
            </w:r>
          </w:p>
          <w:p w14:paraId="731BC944" w14:textId="77777777" w:rsidR="009D33A8" w:rsidRPr="00CB3815" w:rsidRDefault="009D33A8">
            <w:pPr>
              <w:spacing w:before="40" w:after="40"/>
              <w:rPr>
                <w:sz w:val="17"/>
                <w:szCs w:val="17"/>
              </w:rPr>
            </w:pPr>
            <w:r w:rsidRPr="00CB3815">
              <w:rPr>
                <w:sz w:val="17"/>
                <w:szCs w:val="17"/>
              </w:rPr>
              <w:t>Surveyors Registration Board of Victoria</w:t>
            </w:r>
          </w:p>
          <w:p w14:paraId="0C0531B7" w14:textId="77777777" w:rsidR="009D33A8" w:rsidRPr="00CB3815" w:rsidRDefault="009D33A8">
            <w:pPr>
              <w:spacing w:before="20" w:after="20"/>
              <w:ind w:left="170" w:hanging="170"/>
              <w:rPr>
                <w:sz w:val="17"/>
                <w:szCs w:val="17"/>
              </w:rPr>
            </w:pPr>
            <w:r w:rsidRPr="00CB3815">
              <w:rPr>
                <w:sz w:val="17"/>
                <w:szCs w:val="17"/>
              </w:rPr>
              <w:t>Victorian Planning Authority</w:t>
            </w:r>
          </w:p>
          <w:p w14:paraId="3E50DE45"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Treasury and Finance </w:t>
            </w:r>
          </w:p>
          <w:p w14:paraId="3F6BDE06" w14:textId="77777777" w:rsidR="009D33A8" w:rsidRPr="00CB3815" w:rsidRDefault="009D33A8">
            <w:pPr>
              <w:spacing w:before="20" w:after="20"/>
              <w:ind w:left="170" w:hanging="170"/>
              <w:rPr>
                <w:color w:val="000000" w:themeColor="text1"/>
                <w:sz w:val="17"/>
                <w:szCs w:val="17"/>
              </w:rPr>
            </w:pPr>
            <w:r w:rsidRPr="00CB3815">
              <w:rPr>
                <w:color w:val="000000" w:themeColor="text1"/>
                <w:sz w:val="17"/>
                <w:szCs w:val="17"/>
              </w:rPr>
              <w:t xml:space="preserve">Essential Services Commission </w:t>
            </w:r>
          </w:p>
          <w:p w14:paraId="283167AB" w14:textId="77777777" w:rsidR="009D33A8" w:rsidRDefault="009D33A8">
            <w:pPr>
              <w:spacing w:before="20" w:after="20"/>
              <w:ind w:left="170" w:hanging="170"/>
              <w:rPr>
                <w:color w:val="000000" w:themeColor="text1"/>
                <w:sz w:val="17"/>
                <w:szCs w:val="17"/>
              </w:rPr>
            </w:pPr>
            <w:r w:rsidRPr="00CB3815">
              <w:rPr>
                <w:color w:val="000000" w:themeColor="text1"/>
                <w:sz w:val="17"/>
                <w:szCs w:val="17"/>
              </w:rPr>
              <w:t xml:space="preserve">Infrastructure Victoria </w:t>
            </w:r>
          </w:p>
          <w:p w14:paraId="0A62DCA6" w14:textId="77777777" w:rsidR="009D33A8" w:rsidRPr="00CB3815" w:rsidRDefault="009D33A8">
            <w:pPr>
              <w:spacing w:before="20" w:after="20"/>
              <w:ind w:left="170" w:hanging="170"/>
              <w:rPr>
                <w:sz w:val="17"/>
                <w:szCs w:val="17"/>
              </w:rPr>
            </w:pPr>
            <w:r w:rsidRPr="00CB3815">
              <w:rPr>
                <w:sz w:val="17"/>
                <w:szCs w:val="17"/>
              </w:rPr>
              <w:t xml:space="preserve">Labour Hire Licensing Authority </w:t>
            </w:r>
          </w:p>
          <w:p w14:paraId="0DB77166" w14:textId="77777777" w:rsidR="009D33A8" w:rsidRPr="00CB3815" w:rsidRDefault="009D33A8">
            <w:pPr>
              <w:spacing w:before="20" w:after="20"/>
              <w:ind w:left="170" w:hanging="170"/>
              <w:rPr>
                <w:sz w:val="17"/>
                <w:szCs w:val="17"/>
              </w:rPr>
            </w:pPr>
            <w:r w:rsidRPr="00CB3815">
              <w:rPr>
                <w:sz w:val="17"/>
                <w:szCs w:val="17"/>
              </w:rPr>
              <w:t>Portable Long Service Authority</w:t>
            </w:r>
          </w:p>
          <w:p w14:paraId="51860628" w14:textId="77777777" w:rsidR="009D33A8" w:rsidRPr="00CB3815" w:rsidRDefault="009D33A8">
            <w:pPr>
              <w:spacing w:before="20" w:after="20"/>
              <w:ind w:left="170" w:hanging="170"/>
              <w:rPr>
                <w:sz w:val="17"/>
                <w:szCs w:val="17"/>
              </w:rPr>
            </w:pPr>
            <w:r w:rsidRPr="00CB3815">
              <w:rPr>
                <w:sz w:val="17"/>
                <w:szCs w:val="17"/>
              </w:rPr>
              <w:t>Victorian Independent Remuneration Tribunal</w:t>
            </w:r>
          </w:p>
          <w:p w14:paraId="1DA71DE6" w14:textId="77777777" w:rsidR="009D33A8" w:rsidRPr="00CB3815" w:rsidRDefault="009D33A8">
            <w:pPr>
              <w:spacing w:before="20" w:after="20"/>
              <w:ind w:left="170" w:hanging="170"/>
              <w:rPr>
                <w:color w:val="000000" w:themeColor="text1"/>
                <w:sz w:val="17"/>
                <w:szCs w:val="17"/>
              </w:rPr>
            </w:pPr>
            <w:r w:rsidRPr="00CB3815">
              <w:rPr>
                <w:sz w:val="17"/>
                <w:szCs w:val="17"/>
              </w:rPr>
              <w:t>Wage Inspectorate Victoria</w:t>
            </w:r>
          </w:p>
          <w:p w14:paraId="2F32D394"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Courts</w:t>
            </w:r>
          </w:p>
          <w:p w14:paraId="4BEB9222" w14:textId="77777777" w:rsidR="009D33A8" w:rsidRPr="00CB3815" w:rsidRDefault="009D33A8">
            <w:pPr>
              <w:spacing w:before="20" w:after="20"/>
              <w:ind w:left="170" w:hanging="170"/>
              <w:rPr>
                <w:sz w:val="17"/>
                <w:szCs w:val="17"/>
              </w:rPr>
            </w:pPr>
            <w:r w:rsidRPr="00CB3815">
              <w:rPr>
                <w:sz w:val="17"/>
                <w:szCs w:val="17"/>
              </w:rPr>
              <w:t xml:space="preserve">Judicial College of Victoria </w:t>
            </w:r>
          </w:p>
          <w:p w14:paraId="2751F320" w14:textId="77777777" w:rsidR="009D33A8" w:rsidRPr="00CB3815" w:rsidRDefault="009D33A8">
            <w:pPr>
              <w:spacing w:before="20" w:after="20"/>
              <w:ind w:left="170" w:hanging="170"/>
              <w:rPr>
                <w:sz w:val="17"/>
                <w:szCs w:val="17"/>
              </w:rPr>
            </w:pPr>
            <w:r w:rsidRPr="00CB3815">
              <w:rPr>
                <w:sz w:val="17"/>
                <w:szCs w:val="17"/>
              </w:rPr>
              <w:t>Judicial Commission of Victoria</w:t>
            </w:r>
          </w:p>
          <w:p w14:paraId="0DE8E520"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Parliament of Victoria</w:t>
            </w:r>
          </w:p>
          <w:p w14:paraId="3AAAAF94" w14:textId="77777777" w:rsidR="009D33A8" w:rsidRPr="00CB3815" w:rsidRDefault="009D33A8">
            <w:pPr>
              <w:spacing w:before="20" w:after="20"/>
              <w:ind w:left="170" w:hanging="170"/>
              <w:rPr>
                <w:sz w:val="17"/>
                <w:szCs w:val="17"/>
                <w:vertAlign w:val="superscript"/>
              </w:rPr>
            </w:pPr>
            <w:r w:rsidRPr="00CB3815">
              <w:rPr>
                <w:sz w:val="17"/>
                <w:szCs w:val="17"/>
              </w:rPr>
              <w:t xml:space="preserve">Independent Broad-based Anti-corruption Commission (IBAC) </w:t>
            </w:r>
          </w:p>
          <w:p w14:paraId="411E8806" w14:textId="77777777" w:rsidR="009D33A8" w:rsidRPr="00CB3815" w:rsidRDefault="009D33A8">
            <w:pPr>
              <w:spacing w:before="20" w:after="20"/>
              <w:ind w:left="170" w:hanging="170"/>
              <w:rPr>
                <w:sz w:val="17"/>
                <w:szCs w:val="17"/>
              </w:rPr>
            </w:pPr>
            <w:r w:rsidRPr="00CB3815">
              <w:rPr>
                <w:sz w:val="17"/>
                <w:szCs w:val="17"/>
              </w:rPr>
              <w:t xml:space="preserve">Ombudsman Victoria </w:t>
            </w:r>
          </w:p>
          <w:p w14:paraId="4B551E0E" w14:textId="77777777" w:rsidR="009D33A8" w:rsidRPr="00CB3815" w:rsidRDefault="009D33A8">
            <w:pPr>
              <w:spacing w:before="20" w:after="20"/>
              <w:ind w:left="170" w:hanging="170"/>
              <w:rPr>
                <w:sz w:val="17"/>
                <w:szCs w:val="17"/>
              </w:rPr>
            </w:pPr>
            <w:r w:rsidRPr="00CB3815">
              <w:rPr>
                <w:sz w:val="17"/>
                <w:szCs w:val="17"/>
              </w:rPr>
              <w:t xml:space="preserve">Parliamentary Budget Office (PBO) </w:t>
            </w:r>
          </w:p>
          <w:p w14:paraId="1B6ECAB1" w14:textId="77777777" w:rsidR="009D33A8" w:rsidRPr="00CB3815" w:rsidRDefault="009D33A8">
            <w:pPr>
              <w:spacing w:before="20" w:after="20"/>
              <w:ind w:left="170" w:hanging="170"/>
              <w:rPr>
                <w:sz w:val="17"/>
                <w:szCs w:val="17"/>
              </w:rPr>
            </w:pPr>
            <w:r w:rsidRPr="00C30682">
              <w:rPr>
                <w:rFonts w:eastAsia="Garamond"/>
                <w:sz w:val="17"/>
                <w:szCs w:val="17"/>
              </w:rPr>
              <w:t xml:space="preserve">Integrity Oversight Victoria </w:t>
            </w:r>
            <w:r w:rsidRPr="00C30682">
              <w:rPr>
                <w:rFonts w:eastAsia="Garamond"/>
                <w:sz w:val="17"/>
                <w:szCs w:val="17"/>
                <w:vertAlign w:val="superscript"/>
              </w:rPr>
              <w:t>(</w:t>
            </w:r>
            <w:r>
              <w:rPr>
                <w:rFonts w:eastAsia="Garamond"/>
                <w:sz w:val="17"/>
                <w:szCs w:val="17"/>
                <w:vertAlign w:val="superscript"/>
              </w:rPr>
              <w:t>k</w:t>
            </w:r>
            <w:r w:rsidRPr="00C30682">
              <w:rPr>
                <w:rFonts w:eastAsia="Garamond"/>
                <w:sz w:val="17"/>
                <w:szCs w:val="17"/>
                <w:vertAlign w:val="superscript"/>
              </w:rPr>
              <w:t>)</w:t>
            </w:r>
          </w:p>
          <w:p w14:paraId="0462A658" w14:textId="18B95673" w:rsidR="009D33A8" w:rsidRPr="0073559B" w:rsidRDefault="009D33A8">
            <w:pPr>
              <w:shd w:val="clear" w:color="auto" w:fill="D9D9D9" w:themeFill="background1" w:themeFillShade="D9"/>
              <w:spacing w:before="40" w:after="80"/>
              <w:ind w:left="170" w:hanging="170"/>
              <w:rPr>
                <w:b/>
                <w:sz w:val="18"/>
              </w:rPr>
            </w:pPr>
            <w:r w:rsidRPr="00CB3815">
              <w:rPr>
                <w:b/>
                <w:bCs/>
                <w:sz w:val="18"/>
              </w:rPr>
              <w:t>Victorian Auditor-General</w:t>
            </w:r>
            <w:r w:rsidR="00845934">
              <w:rPr>
                <w:b/>
                <w:bCs/>
                <w:sz w:val="18"/>
              </w:rPr>
              <w:t>’</w:t>
            </w:r>
            <w:r w:rsidRPr="00CB3815">
              <w:rPr>
                <w:b/>
                <w:bCs/>
                <w:sz w:val="18"/>
              </w:rPr>
              <w:t>s Office</w:t>
            </w:r>
          </w:p>
        </w:tc>
      </w:tr>
      <w:tr w:rsidR="009D33A8" w:rsidRPr="00CB3815" w14:paraId="0C792C45" w14:textId="77777777" w:rsidTr="00BC0C0C">
        <w:tc>
          <w:tcPr>
            <w:tcW w:w="5000" w:type="pct"/>
            <w:gridSpan w:val="4"/>
            <w:tcBorders>
              <w:bottom w:val="nil"/>
            </w:tcBorders>
          </w:tcPr>
          <w:p w14:paraId="6D8419B3" w14:textId="77777777" w:rsidR="009D33A8" w:rsidRPr="002E5633" w:rsidRDefault="009D33A8"/>
          <w:p w14:paraId="7FDAEB13" w14:textId="77777777" w:rsidR="009D33A8" w:rsidRPr="00CB3815" w:rsidRDefault="009D33A8">
            <w:pPr>
              <w:shd w:val="clear" w:color="auto" w:fill="000000" w:themeFill="text1"/>
              <w:jc w:val="center"/>
              <w:rPr>
                <w:b/>
                <w:i/>
                <w:iCs/>
              </w:rPr>
            </w:pPr>
            <w:r w:rsidRPr="00CB3815">
              <w:rPr>
                <w:i/>
                <w:iCs/>
              </w:rPr>
              <w:t>Public non-financial corporation</w:t>
            </w:r>
            <w:r w:rsidRPr="00CB3815">
              <w:rPr>
                <w:b/>
                <w:bCs/>
                <w:iCs/>
                <w:sz w:val="18"/>
                <w:vertAlign w:val="superscript"/>
              </w:rPr>
              <w:t xml:space="preserve"> </w:t>
            </w:r>
          </w:p>
        </w:tc>
      </w:tr>
      <w:tr w:rsidR="009D33A8" w:rsidRPr="00CB3815" w14:paraId="4343498A" w14:textId="77777777" w:rsidTr="00BC0C0C">
        <w:tc>
          <w:tcPr>
            <w:tcW w:w="1724" w:type="pct"/>
            <w:gridSpan w:val="2"/>
            <w:tcBorders>
              <w:top w:val="nil"/>
              <w:bottom w:val="nil"/>
            </w:tcBorders>
          </w:tcPr>
          <w:p w14:paraId="1FA409FE"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Energy, Environment, </w:t>
            </w:r>
            <w:r>
              <w:rPr>
                <w:b/>
                <w:bCs/>
                <w:sz w:val="18"/>
              </w:rPr>
              <w:br/>
            </w:r>
            <w:r w:rsidRPr="00CB3815">
              <w:rPr>
                <w:b/>
                <w:bCs/>
                <w:sz w:val="18"/>
              </w:rPr>
              <w:t xml:space="preserve">and Climate Action </w:t>
            </w:r>
            <w:r w:rsidRPr="0009130C">
              <w:rPr>
                <w:rFonts w:eastAsia="Garamond"/>
                <w:b/>
                <w:bCs/>
                <w:sz w:val="18"/>
                <w:vertAlign w:val="superscript"/>
              </w:rPr>
              <w:t>(a)(b</w:t>
            </w:r>
            <w:r>
              <w:rPr>
                <w:rFonts w:eastAsia="Garamond"/>
                <w:b/>
                <w:bCs/>
                <w:sz w:val="18"/>
                <w:vertAlign w:val="superscript"/>
              </w:rPr>
              <w:t>)</w:t>
            </w:r>
          </w:p>
          <w:p w14:paraId="73200E37" w14:textId="77777777" w:rsidR="009D33A8" w:rsidRPr="00CB3815" w:rsidRDefault="009D33A8">
            <w:pPr>
              <w:spacing w:before="20" w:after="20"/>
              <w:ind w:left="170" w:hanging="170"/>
              <w:rPr>
                <w:sz w:val="17"/>
                <w:szCs w:val="17"/>
              </w:rPr>
            </w:pPr>
            <w:r w:rsidRPr="00CB3815">
              <w:rPr>
                <w:sz w:val="17"/>
                <w:szCs w:val="17"/>
              </w:rPr>
              <w:t>Agriculture Victoria Services Pty Ltd</w:t>
            </w:r>
          </w:p>
          <w:p w14:paraId="2FCE55FB" w14:textId="77777777" w:rsidR="009D33A8" w:rsidRPr="00CB3815" w:rsidRDefault="009D33A8">
            <w:pPr>
              <w:spacing w:before="40" w:after="40"/>
            </w:pPr>
            <w:r w:rsidRPr="00CB3815">
              <w:rPr>
                <w:sz w:val="17"/>
                <w:szCs w:val="17"/>
              </w:rPr>
              <w:t>Alpine Resorts Victoria</w:t>
            </w:r>
            <w:r w:rsidRPr="00CB3815">
              <w:t xml:space="preserve"> </w:t>
            </w:r>
          </w:p>
          <w:p w14:paraId="19C55DB8" w14:textId="77777777" w:rsidR="009D33A8" w:rsidRPr="00CB3815" w:rsidRDefault="009D33A8">
            <w:pPr>
              <w:spacing w:before="20" w:after="20"/>
              <w:ind w:left="170" w:hanging="170"/>
              <w:rPr>
                <w:sz w:val="17"/>
                <w:szCs w:val="17"/>
              </w:rPr>
            </w:pPr>
            <w:r w:rsidRPr="00CB3815">
              <w:rPr>
                <w:sz w:val="17"/>
                <w:szCs w:val="17"/>
              </w:rPr>
              <w:t>Dairy Food Safety Victoria</w:t>
            </w:r>
          </w:p>
          <w:p w14:paraId="43A92606" w14:textId="77777777" w:rsidR="009D33A8" w:rsidRPr="00CB3815" w:rsidRDefault="009D33A8">
            <w:pPr>
              <w:spacing w:before="20" w:after="20"/>
              <w:ind w:left="170" w:hanging="170"/>
              <w:rPr>
                <w:sz w:val="17"/>
                <w:szCs w:val="17"/>
              </w:rPr>
            </w:pPr>
            <w:r w:rsidRPr="00CB3815">
              <w:rPr>
                <w:sz w:val="17"/>
                <w:szCs w:val="17"/>
              </w:rPr>
              <w:t xml:space="preserve">Great Ocean Road Coast and Parks Authority </w:t>
            </w:r>
          </w:p>
          <w:p w14:paraId="4B248746" w14:textId="77777777" w:rsidR="009D33A8" w:rsidRPr="00CB3815" w:rsidRDefault="009D33A8">
            <w:pPr>
              <w:spacing w:before="20" w:after="20"/>
              <w:ind w:left="170" w:hanging="170"/>
              <w:rPr>
                <w:sz w:val="17"/>
                <w:szCs w:val="17"/>
              </w:rPr>
            </w:pPr>
            <w:r w:rsidRPr="00CB3815">
              <w:rPr>
                <w:sz w:val="17"/>
                <w:szCs w:val="17"/>
              </w:rPr>
              <w:t>Melbourne Market Authority</w:t>
            </w:r>
          </w:p>
          <w:p w14:paraId="53667320" w14:textId="77777777" w:rsidR="009D33A8" w:rsidRPr="00CB3815" w:rsidRDefault="009D33A8">
            <w:pPr>
              <w:spacing w:before="20" w:after="20"/>
              <w:ind w:left="170" w:hanging="170"/>
              <w:rPr>
                <w:sz w:val="17"/>
                <w:szCs w:val="17"/>
              </w:rPr>
            </w:pPr>
            <w:r w:rsidRPr="00CB3815">
              <w:rPr>
                <w:sz w:val="17"/>
                <w:szCs w:val="17"/>
              </w:rPr>
              <w:t xml:space="preserve">Murray Valley Wine Grape Industry Development Committee </w:t>
            </w:r>
          </w:p>
          <w:p w14:paraId="1C5B85A4" w14:textId="77777777" w:rsidR="009D33A8" w:rsidRPr="00CB3815" w:rsidRDefault="009D33A8">
            <w:pPr>
              <w:spacing w:before="20" w:after="20"/>
              <w:ind w:left="170" w:hanging="170"/>
              <w:rPr>
                <w:sz w:val="17"/>
                <w:szCs w:val="17"/>
              </w:rPr>
            </w:pPr>
            <w:r w:rsidRPr="00CB3815">
              <w:rPr>
                <w:sz w:val="17"/>
                <w:szCs w:val="17"/>
              </w:rPr>
              <w:t>Phillip Island Nature Parks</w:t>
            </w:r>
          </w:p>
          <w:p w14:paraId="7E22B772" w14:textId="77777777" w:rsidR="009D33A8" w:rsidRPr="00CB3815" w:rsidRDefault="009D33A8">
            <w:pPr>
              <w:spacing w:before="20" w:after="20"/>
              <w:ind w:left="170" w:hanging="170"/>
              <w:rPr>
                <w:sz w:val="17"/>
                <w:szCs w:val="17"/>
              </w:rPr>
            </w:pPr>
            <w:r w:rsidRPr="00CB3815">
              <w:rPr>
                <w:sz w:val="17"/>
                <w:szCs w:val="17"/>
              </w:rPr>
              <w:t>PrimeSafe</w:t>
            </w:r>
          </w:p>
          <w:p w14:paraId="14E48C93" w14:textId="77777777" w:rsidR="009D33A8" w:rsidRPr="00B1049B" w:rsidRDefault="009D33A8">
            <w:pPr>
              <w:spacing w:after="40"/>
              <w:rPr>
                <w:b/>
                <w:sz w:val="17"/>
                <w:szCs w:val="17"/>
              </w:rPr>
            </w:pPr>
            <w:r w:rsidRPr="00B1049B">
              <w:rPr>
                <w:sz w:val="17"/>
                <w:szCs w:val="17"/>
              </w:rPr>
              <w:t xml:space="preserve">SEC Victoria Pty Ltd: </w:t>
            </w:r>
          </w:p>
          <w:p w14:paraId="1EF1962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SEC Infrastructure Pty Ltd</w:t>
            </w:r>
            <w:r>
              <w:rPr>
                <w:sz w:val="17"/>
              </w:rPr>
              <w:t xml:space="preserve"> </w:t>
            </w:r>
          </w:p>
          <w:p w14:paraId="351948B4"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SEC Energy Pty Ltd</w:t>
            </w:r>
            <w:r>
              <w:rPr>
                <w:sz w:val="17"/>
              </w:rPr>
              <w:t xml:space="preserve"> </w:t>
            </w:r>
          </w:p>
          <w:p w14:paraId="2606FDA1" w14:textId="77777777" w:rsidR="009D33A8" w:rsidRDefault="009D33A8">
            <w:pPr>
              <w:spacing w:before="20" w:after="20"/>
              <w:ind w:left="170" w:hanging="170"/>
              <w:rPr>
                <w:sz w:val="17"/>
                <w:szCs w:val="17"/>
              </w:rPr>
            </w:pPr>
            <w:r w:rsidRPr="00CB3815">
              <w:rPr>
                <w:sz w:val="17"/>
                <w:szCs w:val="17"/>
              </w:rPr>
              <w:t>Victorian Strawberry Industry Development Committee</w:t>
            </w:r>
          </w:p>
          <w:p w14:paraId="753CD3F7" w14:textId="77777777" w:rsidR="009D33A8" w:rsidRPr="00CB3815" w:rsidRDefault="009D33A8">
            <w:pPr>
              <w:spacing w:before="20" w:after="20"/>
              <w:rPr>
                <w:sz w:val="17"/>
                <w:szCs w:val="17"/>
              </w:rPr>
            </w:pPr>
            <w:r w:rsidRPr="00CB3815">
              <w:rPr>
                <w:sz w:val="17"/>
                <w:szCs w:val="17"/>
              </w:rPr>
              <w:t>Water authorities including:</w:t>
            </w:r>
          </w:p>
          <w:p w14:paraId="399C99B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Barwon Region Water Corporation</w:t>
            </w:r>
          </w:p>
          <w:p w14:paraId="47C1425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Central Gippsland Region Water Corporation</w:t>
            </w:r>
          </w:p>
          <w:p w14:paraId="5C19F28B" w14:textId="77777777" w:rsidR="009D33A8" w:rsidRPr="0095691F" w:rsidRDefault="009D33A8" w:rsidP="009D33A8">
            <w:pPr>
              <w:pStyle w:val="ListBullet"/>
              <w:keepLines/>
              <w:numPr>
                <w:ilvl w:val="0"/>
                <w:numId w:val="27"/>
              </w:numPr>
              <w:spacing w:before="20" w:after="20"/>
              <w:ind w:left="170" w:hanging="170"/>
              <w:contextualSpacing/>
              <w:rPr>
                <w:sz w:val="17"/>
                <w:szCs w:val="17"/>
              </w:rPr>
            </w:pPr>
            <w:r w:rsidRPr="00947FE6">
              <w:rPr>
                <w:sz w:val="17"/>
              </w:rPr>
              <w:t>Central Highlands Region Water Corporation</w:t>
            </w:r>
          </w:p>
          <w:p w14:paraId="6A7AA585" w14:textId="77777777" w:rsidR="009D33A8" w:rsidRPr="00CB3815" w:rsidRDefault="009D33A8" w:rsidP="009D33A8">
            <w:pPr>
              <w:pStyle w:val="ListBullet"/>
              <w:keepLines/>
              <w:numPr>
                <w:ilvl w:val="0"/>
                <w:numId w:val="27"/>
              </w:numPr>
              <w:spacing w:before="20" w:after="20"/>
              <w:ind w:left="170" w:hanging="170"/>
              <w:contextualSpacing/>
              <w:rPr>
                <w:sz w:val="17"/>
                <w:szCs w:val="17"/>
              </w:rPr>
            </w:pPr>
            <w:r w:rsidRPr="00947FE6">
              <w:rPr>
                <w:sz w:val="17"/>
              </w:rPr>
              <w:t>Coliban Region Water Corporation</w:t>
            </w:r>
          </w:p>
        </w:tc>
        <w:tc>
          <w:tcPr>
            <w:tcW w:w="1589" w:type="pct"/>
            <w:tcBorders>
              <w:top w:val="nil"/>
              <w:bottom w:val="nil"/>
            </w:tcBorders>
          </w:tcPr>
          <w:p w14:paraId="7E2CD626"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East Gippsland Region Water Corporation</w:t>
            </w:r>
          </w:p>
          <w:p w14:paraId="1920732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Gippsland and Southern Rural Water Corporation</w:t>
            </w:r>
          </w:p>
          <w:p w14:paraId="0CEE890C"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Goulburn Murray Rural Water Corporation</w:t>
            </w:r>
          </w:p>
          <w:p w14:paraId="360C37B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Goulburn Valley Region Water Corporation</w:t>
            </w:r>
          </w:p>
          <w:p w14:paraId="0DC28E0D"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Grampians Wimmera Mallee Water Corporation</w:t>
            </w:r>
          </w:p>
          <w:p w14:paraId="7BD0340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Greater Western Water </w:t>
            </w:r>
          </w:p>
          <w:p w14:paraId="7D68F04B" w14:textId="77777777" w:rsidR="009D33A8" w:rsidRPr="002E5633" w:rsidRDefault="009D33A8" w:rsidP="009D33A8">
            <w:pPr>
              <w:pStyle w:val="ListBullet"/>
              <w:keepLines/>
              <w:numPr>
                <w:ilvl w:val="0"/>
                <w:numId w:val="27"/>
              </w:numPr>
              <w:spacing w:before="20" w:after="20"/>
              <w:ind w:left="170" w:hanging="170"/>
              <w:contextualSpacing/>
            </w:pPr>
            <w:r w:rsidRPr="00947FE6">
              <w:rPr>
                <w:sz w:val="17"/>
              </w:rPr>
              <w:t>Lower Murray Urban and Rural Water Corporation</w:t>
            </w:r>
          </w:p>
          <w:p w14:paraId="3DD761E9"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Melbourne Water Corporation</w:t>
            </w:r>
          </w:p>
          <w:p w14:paraId="0AD3FA7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North East Region Water Corporation</w:t>
            </w:r>
          </w:p>
          <w:p w14:paraId="013B8FE1"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South East Water Corporation </w:t>
            </w:r>
          </w:p>
          <w:p w14:paraId="650B6182"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 xml:space="preserve">South Gippsland Region Water Corporation </w:t>
            </w:r>
          </w:p>
          <w:p w14:paraId="00A8AFF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Wannon Region Water Corporation</w:t>
            </w:r>
          </w:p>
          <w:p w14:paraId="62735FB5"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Westernport Region Water Corporation</w:t>
            </w:r>
          </w:p>
          <w:p w14:paraId="7F2B9FCF" w14:textId="77777777" w:rsidR="009D33A8" w:rsidRPr="002E5633" w:rsidRDefault="009D33A8" w:rsidP="009D33A8">
            <w:pPr>
              <w:pStyle w:val="ListBullet"/>
              <w:keepLines/>
              <w:numPr>
                <w:ilvl w:val="0"/>
                <w:numId w:val="27"/>
              </w:numPr>
              <w:spacing w:before="20" w:after="20"/>
              <w:ind w:left="170" w:hanging="170"/>
              <w:contextualSpacing/>
            </w:pPr>
            <w:r w:rsidRPr="00947FE6">
              <w:rPr>
                <w:sz w:val="17"/>
              </w:rPr>
              <w:t xml:space="preserve">Yarra Valley Water Corporation </w:t>
            </w:r>
          </w:p>
          <w:p w14:paraId="479EB392" w14:textId="77777777" w:rsidR="009D33A8" w:rsidRPr="00CB3815" w:rsidRDefault="009D33A8">
            <w:pPr>
              <w:spacing w:after="20"/>
              <w:ind w:left="170" w:hanging="170"/>
              <w:rPr>
                <w:sz w:val="17"/>
                <w:szCs w:val="17"/>
              </w:rPr>
            </w:pPr>
            <w:r w:rsidRPr="00CB3815">
              <w:rPr>
                <w:sz w:val="17"/>
                <w:szCs w:val="17"/>
              </w:rPr>
              <w:t xml:space="preserve">Zoological Parks and Gardens Board </w:t>
            </w:r>
          </w:p>
          <w:p w14:paraId="2E5BCD1E" w14:textId="77777777" w:rsidR="009D33A8" w:rsidRPr="002E5633" w:rsidRDefault="009D33A8"/>
        </w:tc>
        <w:tc>
          <w:tcPr>
            <w:tcW w:w="1687" w:type="pct"/>
            <w:tcBorders>
              <w:top w:val="nil"/>
              <w:bottom w:val="nil"/>
            </w:tcBorders>
          </w:tcPr>
          <w:p w14:paraId="12D8D304"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Families, Fairness </w:t>
            </w:r>
            <w:r>
              <w:rPr>
                <w:b/>
                <w:bCs/>
                <w:sz w:val="18"/>
              </w:rPr>
              <w:br/>
            </w:r>
            <w:r w:rsidRPr="00CB3815">
              <w:rPr>
                <w:b/>
                <w:bCs/>
                <w:sz w:val="18"/>
              </w:rPr>
              <w:t xml:space="preserve">and Housing </w:t>
            </w:r>
          </w:p>
          <w:p w14:paraId="2323EF23" w14:textId="77777777" w:rsidR="009D33A8" w:rsidRPr="00CB3815" w:rsidRDefault="009D33A8">
            <w:pPr>
              <w:spacing w:before="20" w:after="20"/>
              <w:ind w:left="170" w:hanging="170"/>
              <w:rPr>
                <w:sz w:val="17"/>
                <w:szCs w:val="17"/>
              </w:rPr>
            </w:pPr>
            <w:r>
              <w:rPr>
                <w:sz w:val="17"/>
                <w:szCs w:val="17"/>
              </w:rPr>
              <w:t>Homes Victoria</w:t>
            </w:r>
          </w:p>
          <w:p w14:paraId="3499CB69" w14:textId="4E05AD33" w:rsidR="009D33A8" w:rsidRPr="00CB3815" w:rsidRDefault="009D33A8">
            <w:pPr>
              <w:spacing w:before="20" w:after="20"/>
              <w:ind w:left="170" w:hanging="170"/>
              <w:rPr>
                <w:sz w:val="17"/>
                <w:szCs w:val="17"/>
              </w:rPr>
            </w:pPr>
            <w:r w:rsidRPr="00CB3815">
              <w:rPr>
                <w:sz w:val="17"/>
                <w:szCs w:val="17"/>
              </w:rPr>
              <w:t>Queen Victoria Women</w:t>
            </w:r>
            <w:r w:rsidR="00845934">
              <w:rPr>
                <w:sz w:val="17"/>
                <w:szCs w:val="17"/>
              </w:rPr>
              <w:t>’</w:t>
            </w:r>
            <w:r w:rsidRPr="00CB3815">
              <w:rPr>
                <w:sz w:val="17"/>
                <w:szCs w:val="17"/>
              </w:rPr>
              <w:t xml:space="preserve">s Centre Trust </w:t>
            </w:r>
          </w:p>
          <w:p w14:paraId="0B1D4FBE"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Health </w:t>
            </w:r>
          </w:p>
          <w:p w14:paraId="7E88E245" w14:textId="77777777" w:rsidR="009D33A8" w:rsidRPr="00CB3815" w:rsidRDefault="009D33A8">
            <w:pPr>
              <w:spacing w:before="20" w:after="20"/>
              <w:ind w:left="170" w:hanging="170"/>
              <w:rPr>
                <w:sz w:val="17"/>
                <w:szCs w:val="17"/>
              </w:rPr>
            </w:pPr>
            <w:r w:rsidRPr="00CB3815">
              <w:rPr>
                <w:sz w:val="17"/>
                <w:szCs w:val="17"/>
              </w:rPr>
              <w:t>Cemeteries including:</w:t>
            </w:r>
          </w:p>
          <w:p w14:paraId="645D5E63"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Ballarat General Cemeteries Trust</w:t>
            </w:r>
          </w:p>
          <w:p w14:paraId="6CFAD667"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Geelong Cemeteries Trust</w:t>
            </w:r>
          </w:p>
          <w:p w14:paraId="6E001078"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The Greater Metropolitan Cemeteries Trust</w:t>
            </w:r>
          </w:p>
          <w:p w14:paraId="1384D0E5" w14:textId="77777777" w:rsidR="009D33A8" w:rsidRPr="00947FE6" w:rsidRDefault="009D33A8" w:rsidP="009D33A8">
            <w:pPr>
              <w:pStyle w:val="ListBullet"/>
              <w:keepLines/>
              <w:numPr>
                <w:ilvl w:val="0"/>
                <w:numId w:val="27"/>
              </w:numPr>
              <w:spacing w:before="20" w:after="20"/>
              <w:ind w:left="170" w:hanging="170"/>
              <w:contextualSpacing/>
              <w:rPr>
                <w:sz w:val="17"/>
              </w:rPr>
            </w:pPr>
            <w:r w:rsidRPr="00947FE6">
              <w:rPr>
                <w:sz w:val="17"/>
              </w:rPr>
              <w:t>Southern Metropolitan Cemeteries Trust</w:t>
            </w:r>
          </w:p>
          <w:p w14:paraId="694E9A0F" w14:textId="77777777" w:rsidR="009D33A8" w:rsidRPr="001561D5" w:rsidRDefault="009D33A8" w:rsidP="009D33A8">
            <w:pPr>
              <w:pStyle w:val="ListBullet"/>
              <w:keepLines/>
              <w:numPr>
                <w:ilvl w:val="0"/>
                <w:numId w:val="27"/>
              </w:numPr>
              <w:spacing w:before="20" w:after="20"/>
              <w:ind w:left="170" w:hanging="170"/>
              <w:contextualSpacing/>
              <w:rPr>
                <w:sz w:val="17"/>
                <w:szCs w:val="17"/>
              </w:rPr>
            </w:pPr>
            <w:r w:rsidRPr="001561D5">
              <w:rPr>
                <w:sz w:val="17"/>
                <w:szCs w:val="17"/>
              </w:rPr>
              <w:t>The Mildura Cemetery Trust</w:t>
            </w:r>
          </w:p>
          <w:p w14:paraId="07792C7C" w14:textId="77777777" w:rsidR="009D33A8" w:rsidRPr="001561D5" w:rsidRDefault="009D33A8" w:rsidP="009D33A8">
            <w:pPr>
              <w:pStyle w:val="ListBullet"/>
              <w:keepLines/>
              <w:numPr>
                <w:ilvl w:val="0"/>
                <w:numId w:val="27"/>
              </w:numPr>
              <w:ind w:left="170" w:hanging="170"/>
              <w:rPr>
                <w:sz w:val="17"/>
                <w:szCs w:val="17"/>
              </w:rPr>
            </w:pPr>
            <w:r w:rsidRPr="001561D5">
              <w:rPr>
                <w:sz w:val="17"/>
                <w:szCs w:val="17"/>
              </w:rPr>
              <w:t>Remembrance Parks Central Victoria</w:t>
            </w:r>
          </w:p>
          <w:p w14:paraId="4EAC4E43" w14:textId="77777777" w:rsidR="009D33A8" w:rsidRPr="001561D5" w:rsidRDefault="009D33A8"/>
        </w:tc>
      </w:tr>
    </w:tbl>
    <w:p w14:paraId="07690DE0" w14:textId="77777777" w:rsidR="009D33A8" w:rsidRDefault="009D33A8" w:rsidP="009D33A8"/>
    <w:tbl>
      <w:tblPr>
        <w:tblStyle w:val="DTFTableText"/>
        <w:tblW w:w="9781" w:type="dxa"/>
        <w:tblLayout w:type="fixed"/>
        <w:tblCellMar>
          <w:left w:w="113" w:type="dxa"/>
          <w:right w:w="113" w:type="dxa"/>
        </w:tblCellMar>
        <w:tblLook w:val="0600" w:firstRow="0" w:lastRow="0" w:firstColumn="0" w:lastColumn="0" w:noHBand="1" w:noVBand="1"/>
      </w:tblPr>
      <w:tblGrid>
        <w:gridCol w:w="3373"/>
        <w:gridCol w:w="3108"/>
        <w:gridCol w:w="3300"/>
      </w:tblGrid>
      <w:tr w:rsidR="009D33A8" w:rsidRPr="00CB3815" w14:paraId="122BC6E6" w14:textId="77777777">
        <w:trPr>
          <w:trHeight w:val="20"/>
        </w:trPr>
        <w:tc>
          <w:tcPr>
            <w:tcW w:w="5000" w:type="pct"/>
            <w:gridSpan w:val="3"/>
            <w:tcBorders>
              <w:top w:val="nil"/>
            </w:tcBorders>
          </w:tcPr>
          <w:p w14:paraId="6BF78810" w14:textId="77777777" w:rsidR="009D33A8" w:rsidRPr="00CB3815" w:rsidRDefault="009D33A8">
            <w:pPr>
              <w:keepNext/>
              <w:shd w:val="clear" w:color="auto" w:fill="000000" w:themeFill="text1"/>
              <w:jc w:val="center"/>
              <w:rPr>
                <w:i/>
                <w:iCs/>
              </w:rPr>
            </w:pPr>
            <w:bookmarkStart w:id="188" w:name="_Hlk141878857"/>
            <w:r w:rsidRPr="00CB3815">
              <w:rPr>
                <w:i/>
                <w:iCs/>
              </w:rPr>
              <w:lastRenderedPageBreak/>
              <w:t>Public non-financial corporation</w:t>
            </w:r>
            <w:r w:rsidRPr="002E5633">
              <w:rPr>
                <w:i/>
                <w:iCs/>
                <w:sz w:val="18"/>
                <w:szCs w:val="20"/>
              </w:rPr>
              <w:t xml:space="preserve"> (continued)</w:t>
            </w:r>
          </w:p>
        </w:tc>
      </w:tr>
      <w:tr w:rsidR="009D33A8" w:rsidRPr="00CB3815" w14:paraId="5F05C67C" w14:textId="77777777">
        <w:tc>
          <w:tcPr>
            <w:tcW w:w="1724" w:type="pct"/>
            <w:tcBorders>
              <w:top w:val="nil"/>
              <w:bottom w:val="nil"/>
            </w:tcBorders>
          </w:tcPr>
          <w:p w14:paraId="347A2D69"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Pr>
                <w:b/>
                <w:bCs/>
                <w:sz w:val="18"/>
              </w:rPr>
              <w:br/>
            </w:r>
            <w:r w:rsidRPr="00CB3815">
              <w:rPr>
                <w:b/>
                <w:bCs/>
                <w:sz w:val="18"/>
              </w:rPr>
              <w:t xml:space="preserve">and Regions </w:t>
            </w:r>
          </w:p>
          <w:p w14:paraId="4E2CF667" w14:textId="77777777" w:rsidR="009D33A8" w:rsidRPr="00CB3815" w:rsidRDefault="009D33A8">
            <w:pPr>
              <w:spacing w:before="20" w:after="20"/>
              <w:ind w:left="170" w:hanging="170"/>
              <w:rPr>
                <w:sz w:val="17"/>
                <w:szCs w:val="17"/>
              </w:rPr>
            </w:pPr>
            <w:r w:rsidRPr="00CB3815">
              <w:rPr>
                <w:sz w:val="17"/>
                <w:szCs w:val="17"/>
              </w:rPr>
              <w:t>Australian Grand Prix Corporation</w:t>
            </w:r>
          </w:p>
          <w:p w14:paraId="2DF59E6B" w14:textId="77777777" w:rsidR="009D33A8" w:rsidRPr="00CB3815" w:rsidRDefault="009D33A8">
            <w:pPr>
              <w:spacing w:before="20" w:after="20"/>
              <w:ind w:left="170" w:hanging="170"/>
              <w:rPr>
                <w:sz w:val="17"/>
                <w:szCs w:val="17"/>
              </w:rPr>
            </w:pPr>
            <w:r w:rsidRPr="00CB3815">
              <w:rPr>
                <w:sz w:val="17"/>
                <w:szCs w:val="17"/>
              </w:rPr>
              <w:t>Geelong Performing Arts Centre Trust</w:t>
            </w:r>
          </w:p>
          <w:p w14:paraId="42CB2FE9" w14:textId="77777777" w:rsidR="009D33A8" w:rsidRPr="00CB3815" w:rsidRDefault="009D33A8">
            <w:pPr>
              <w:spacing w:before="20" w:after="20"/>
              <w:ind w:left="170" w:hanging="170"/>
              <w:rPr>
                <w:sz w:val="17"/>
                <w:szCs w:val="17"/>
              </w:rPr>
            </w:pPr>
            <w:r w:rsidRPr="00CB3815">
              <w:rPr>
                <w:sz w:val="17"/>
                <w:szCs w:val="17"/>
              </w:rPr>
              <w:t>Kardinia Park Stadium Trust</w:t>
            </w:r>
          </w:p>
          <w:p w14:paraId="07F9CA9A" w14:textId="77777777" w:rsidR="009D33A8" w:rsidRPr="00CB3815" w:rsidRDefault="009D33A8">
            <w:pPr>
              <w:spacing w:before="20" w:after="20"/>
              <w:ind w:left="170" w:hanging="170"/>
              <w:rPr>
                <w:sz w:val="17"/>
                <w:szCs w:val="17"/>
              </w:rPr>
            </w:pPr>
            <w:r w:rsidRPr="00CB3815">
              <w:rPr>
                <w:sz w:val="17"/>
                <w:szCs w:val="17"/>
              </w:rPr>
              <w:t>Launch Victoria Ltd</w:t>
            </w:r>
          </w:p>
          <w:p w14:paraId="14DE17F7" w14:textId="77777777" w:rsidR="009D33A8" w:rsidRPr="00CB3815" w:rsidRDefault="009D33A8">
            <w:pPr>
              <w:spacing w:before="20" w:after="20"/>
              <w:ind w:left="170" w:hanging="170"/>
              <w:rPr>
                <w:sz w:val="17"/>
                <w:szCs w:val="17"/>
              </w:rPr>
            </w:pPr>
            <w:r w:rsidRPr="00CB3815">
              <w:rPr>
                <w:sz w:val="17"/>
                <w:szCs w:val="17"/>
              </w:rPr>
              <w:t xml:space="preserve">Melbourne and Olympic Parks Trust </w:t>
            </w:r>
          </w:p>
          <w:p w14:paraId="274A240A" w14:textId="77777777" w:rsidR="009D33A8" w:rsidRPr="00CB3815" w:rsidRDefault="009D33A8">
            <w:pPr>
              <w:spacing w:before="20" w:after="20"/>
              <w:ind w:left="170" w:hanging="170"/>
              <w:rPr>
                <w:sz w:val="17"/>
                <w:szCs w:val="17"/>
              </w:rPr>
            </w:pPr>
            <w:r w:rsidRPr="00CB3815">
              <w:rPr>
                <w:sz w:val="17"/>
                <w:szCs w:val="17"/>
              </w:rPr>
              <w:t xml:space="preserve">Melbourne Arts Precinct Corporation </w:t>
            </w:r>
          </w:p>
          <w:p w14:paraId="62556E25" w14:textId="77777777" w:rsidR="009D33A8" w:rsidRPr="00C03A83" w:rsidRDefault="009D33A8">
            <w:pPr>
              <w:spacing w:before="20" w:after="20"/>
              <w:ind w:left="170" w:hanging="170"/>
              <w:rPr>
                <w:sz w:val="17"/>
                <w:szCs w:val="17"/>
              </w:rPr>
            </w:pPr>
            <w:r w:rsidRPr="00C03A83">
              <w:rPr>
                <w:sz w:val="17"/>
                <w:szCs w:val="17"/>
              </w:rPr>
              <w:t>Puffing Billy Railway Board</w:t>
            </w:r>
            <w:r>
              <w:rPr>
                <w:sz w:val="17"/>
                <w:szCs w:val="17"/>
              </w:rPr>
              <w:t xml:space="preserve"> </w:t>
            </w:r>
          </w:p>
          <w:p w14:paraId="026F6B78" w14:textId="77777777" w:rsidR="009D33A8" w:rsidRPr="00CB3815" w:rsidRDefault="009D33A8">
            <w:pPr>
              <w:spacing w:before="20" w:after="20"/>
              <w:ind w:left="170" w:hanging="170"/>
              <w:rPr>
                <w:sz w:val="17"/>
                <w:szCs w:val="17"/>
              </w:rPr>
            </w:pPr>
            <w:r w:rsidRPr="00CB3815">
              <w:rPr>
                <w:sz w:val="17"/>
                <w:szCs w:val="17"/>
              </w:rPr>
              <w:t>State Sport Centres Trust</w:t>
            </w:r>
          </w:p>
          <w:p w14:paraId="077A8EE6" w14:textId="77777777" w:rsidR="009D33A8" w:rsidRDefault="009D33A8">
            <w:pPr>
              <w:rPr>
                <w:rFonts w:eastAsia="Garamond"/>
                <w:sz w:val="17"/>
                <w:szCs w:val="17"/>
              </w:rPr>
            </w:pPr>
            <w:r w:rsidRPr="00CB3815">
              <w:rPr>
                <w:sz w:val="17"/>
                <w:szCs w:val="17"/>
              </w:rPr>
              <w:t>Victorian Arts Centre Trust</w:t>
            </w:r>
            <w:r w:rsidRPr="00C30682">
              <w:rPr>
                <w:rFonts w:eastAsia="Garamond"/>
                <w:sz w:val="17"/>
                <w:szCs w:val="17"/>
              </w:rPr>
              <w:t xml:space="preserve"> </w:t>
            </w:r>
          </w:p>
          <w:p w14:paraId="03C8B8CB" w14:textId="77777777" w:rsidR="009D33A8" w:rsidRPr="002E5633" w:rsidRDefault="009D33A8">
            <w:r w:rsidRPr="00C30682">
              <w:rPr>
                <w:rFonts w:eastAsia="Garamond"/>
                <w:sz w:val="17"/>
                <w:szCs w:val="17"/>
              </w:rPr>
              <w:t>Victorian Convention and</w:t>
            </w:r>
            <w:r w:rsidRPr="00C30682">
              <w:rPr>
                <w:rFonts w:eastAsia="Garamond"/>
                <w:sz w:val="17"/>
                <w:szCs w:val="17"/>
              </w:rPr>
              <w:br/>
              <w:t>Event Trust (VCET)</w:t>
            </w:r>
            <w:r w:rsidRPr="00C30682">
              <w:rPr>
                <w:rFonts w:eastAsia="Garamond"/>
                <w:b/>
                <w:sz w:val="17"/>
                <w:szCs w:val="17"/>
                <w:vertAlign w:val="superscript"/>
              </w:rPr>
              <w:t xml:space="preserve"> </w:t>
            </w:r>
            <w:r w:rsidRPr="00C30682">
              <w:rPr>
                <w:rFonts w:eastAsia="Garamond"/>
                <w:sz w:val="17"/>
                <w:szCs w:val="17"/>
                <w:vertAlign w:val="superscript"/>
              </w:rPr>
              <w:t>(</w:t>
            </w:r>
            <w:r>
              <w:rPr>
                <w:rFonts w:eastAsia="Garamond"/>
                <w:sz w:val="17"/>
                <w:szCs w:val="17"/>
                <w:vertAlign w:val="superscript"/>
              </w:rPr>
              <w:t>l</w:t>
            </w:r>
            <w:r w:rsidRPr="00C30682">
              <w:rPr>
                <w:rFonts w:eastAsia="Garamond"/>
                <w:sz w:val="17"/>
                <w:szCs w:val="17"/>
                <w:vertAlign w:val="superscript"/>
              </w:rPr>
              <w:t>)</w:t>
            </w:r>
          </w:p>
        </w:tc>
        <w:tc>
          <w:tcPr>
            <w:tcW w:w="1589" w:type="pct"/>
            <w:tcBorders>
              <w:top w:val="nil"/>
              <w:bottom w:val="nil"/>
            </w:tcBorders>
          </w:tcPr>
          <w:p w14:paraId="466606CC" w14:textId="00B9721C"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Justice and </w:t>
            </w:r>
            <w:r w:rsidRPr="00CB3815">
              <w:rPr>
                <w:b/>
                <w:bCs/>
                <w:sz w:val="18"/>
              </w:rPr>
              <w:br/>
              <w:t>Community Safety</w:t>
            </w:r>
          </w:p>
          <w:p w14:paraId="531FA07F" w14:textId="77777777" w:rsidR="009D33A8" w:rsidRPr="00CB3815" w:rsidRDefault="009D33A8">
            <w:pPr>
              <w:spacing w:before="20" w:after="20"/>
              <w:ind w:left="170" w:hanging="170"/>
              <w:rPr>
                <w:sz w:val="17"/>
                <w:szCs w:val="17"/>
              </w:rPr>
            </w:pPr>
            <w:r w:rsidRPr="00CB3815">
              <w:rPr>
                <w:sz w:val="17"/>
                <w:szCs w:val="17"/>
              </w:rPr>
              <w:t xml:space="preserve">Greyhound Racing Victoria </w:t>
            </w:r>
          </w:p>
          <w:p w14:paraId="7F5CF9A8" w14:textId="77777777" w:rsidR="009D33A8" w:rsidRDefault="009D33A8">
            <w:pPr>
              <w:spacing w:before="20" w:after="20"/>
              <w:ind w:left="170" w:hanging="170"/>
              <w:rPr>
                <w:sz w:val="17"/>
                <w:szCs w:val="17"/>
              </w:rPr>
            </w:pPr>
            <w:r w:rsidRPr="00CB3815">
              <w:rPr>
                <w:sz w:val="17"/>
                <w:szCs w:val="17"/>
              </w:rPr>
              <w:t xml:space="preserve">Harness Racing Victoria </w:t>
            </w:r>
          </w:p>
          <w:p w14:paraId="2CE293D9" w14:textId="77777777" w:rsidR="009D33A8" w:rsidRDefault="009D33A8">
            <w:pPr>
              <w:shd w:val="clear" w:color="auto" w:fill="D9D9D9" w:themeFill="background1" w:themeFillShade="D9"/>
              <w:spacing w:before="40" w:after="20"/>
              <w:ind w:left="170" w:hanging="170"/>
              <w:rPr>
                <w:b/>
                <w:sz w:val="18"/>
              </w:rPr>
            </w:pPr>
            <w:r w:rsidRPr="00EA2929">
              <w:rPr>
                <w:b/>
                <w:bCs/>
                <w:sz w:val="18"/>
              </w:rPr>
              <w:t>Department of Premier and Cabinet</w:t>
            </w:r>
          </w:p>
          <w:p w14:paraId="0B4EC261" w14:textId="77777777" w:rsidR="009D33A8" w:rsidRPr="00EA2929" w:rsidRDefault="009D33A8">
            <w:pPr>
              <w:spacing w:before="20" w:after="20"/>
              <w:ind w:left="170" w:hanging="170"/>
              <w:rPr>
                <w:sz w:val="17"/>
                <w:szCs w:val="17"/>
              </w:rPr>
            </w:pPr>
            <w:r w:rsidRPr="00CB3815">
              <w:rPr>
                <w:sz w:val="17"/>
                <w:szCs w:val="17"/>
              </w:rPr>
              <w:t>VITS Language Loop</w:t>
            </w:r>
          </w:p>
          <w:p w14:paraId="6783AED8"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Department of Transport and Planning</w:t>
            </w:r>
          </w:p>
          <w:p w14:paraId="41D789BB" w14:textId="77777777" w:rsidR="009D33A8" w:rsidRPr="00CB3815" w:rsidRDefault="009D33A8">
            <w:pPr>
              <w:spacing w:before="20" w:after="20"/>
              <w:ind w:left="170" w:hanging="170"/>
              <w:rPr>
                <w:sz w:val="17"/>
                <w:szCs w:val="17"/>
              </w:rPr>
            </w:pPr>
            <w:r w:rsidRPr="00CB3815">
              <w:rPr>
                <w:sz w:val="17"/>
                <w:szCs w:val="17"/>
              </w:rPr>
              <w:t xml:space="preserve">Development Victoria </w:t>
            </w:r>
          </w:p>
          <w:p w14:paraId="04CBAF0B" w14:textId="77777777" w:rsidR="009D33A8" w:rsidRDefault="009D33A8">
            <w:pPr>
              <w:spacing w:before="20" w:after="20"/>
              <w:ind w:left="170" w:hanging="170"/>
              <w:rPr>
                <w:sz w:val="17"/>
                <w:szCs w:val="17"/>
              </w:rPr>
            </w:pPr>
            <w:r w:rsidRPr="00CB3815">
              <w:rPr>
                <w:sz w:val="17"/>
                <w:szCs w:val="17"/>
              </w:rPr>
              <w:t xml:space="preserve">North East Link State Tolling Corporation </w:t>
            </w:r>
          </w:p>
          <w:p w14:paraId="1506DFE3" w14:textId="77777777" w:rsidR="009D33A8" w:rsidRPr="00CB3815" w:rsidRDefault="009D33A8">
            <w:pPr>
              <w:spacing w:before="20" w:after="20"/>
              <w:ind w:left="170" w:hanging="170"/>
              <w:rPr>
                <w:sz w:val="17"/>
                <w:szCs w:val="17"/>
              </w:rPr>
            </w:pPr>
            <w:r w:rsidRPr="00CB3815">
              <w:rPr>
                <w:sz w:val="17"/>
                <w:szCs w:val="17"/>
              </w:rPr>
              <w:t>Melbourne Port Lessor Pty Ltd</w:t>
            </w:r>
          </w:p>
          <w:p w14:paraId="43C7C55B" w14:textId="77777777" w:rsidR="009D33A8" w:rsidRPr="00CB3815" w:rsidRDefault="009D33A8">
            <w:pPr>
              <w:spacing w:before="20" w:after="20"/>
              <w:ind w:left="170" w:hanging="170"/>
              <w:rPr>
                <w:sz w:val="17"/>
                <w:szCs w:val="17"/>
              </w:rPr>
            </w:pPr>
            <w:r w:rsidRPr="00CB3815">
              <w:rPr>
                <w:sz w:val="17"/>
                <w:szCs w:val="17"/>
              </w:rPr>
              <w:t xml:space="preserve">Port of Hastings </w:t>
            </w:r>
            <w:r>
              <w:rPr>
                <w:sz w:val="17"/>
                <w:szCs w:val="17"/>
              </w:rPr>
              <w:t>Corporation</w:t>
            </w:r>
          </w:p>
          <w:p w14:paraId="61EB0F3F" w14:textId="77777777" w:rsidR="009D33A8" w:rsidRPr="00CB3815" w:rsidRDefault="009D33A8">
            <w:pPr>
              <w:spacing w:before="20" w:after="20"/>
              <w:ind w:left="170" w:hanging="170"/>
              <w:rPr>
                <w:sz w:val="17"/>
                <w:szCs w:val="17"/>
              </w:rPr>
            </w:pPr>
            <w:r w:rsidRPr="00CB3815">
              <w:rPr>
                <w:sz w:val="17"/>
                <w:szCs w:val="17"/>
              </w:rPr>
              <w:t xml:space="preserve">Ports Victoria </w:t>
            </w:r>
          </w:p>
          <w:p w14:paraId="11B4BFE7" w14:textId="77777777" w:rsidR="009D33A8" w:rsidRPr="00CB3815" w:rsidRDefault="009D33A8">
            <w:pPr>
              <w:spacing w:before="20" w:after="20"/>
              <w:ind w:left="170" w:hanging="170"/>
              <w:rPr>
                <w:sz w:val="17"/>
                <w:szCs w:val="17"/>
              </w:rPr>
            </w:pPr>
            <w:r w:rsidRPr="00CB3815">
              <w:rPr>
                <w:sz w:val="17"/>
                <w:szCs w:val="17"/>
              </w:rPr>
              <w:t>V/Line Corporation</w:t>
            </w:r>
          </w:p>
          <w:p w14:paraId="5E32B67D" w14:textId="77777777" w:rsidR="009D33A8" w:rsidRPr="00CB3815" w:rsidRDefault="009D33A8">
            <w:pPr>
              <w:spacing w:before="20" w:after="20"/>
              <w:ind w:left="170" w:hanging="170"/>
              <w:rPr>
                <w:sz w:val="17"/>
                <w:szCs w:val="17"/>
              </w:rPr>
            </w:pPr>
            <w:r w:rsidRPr="00CB3815">
              <w:rPr>
                <w:sz w:val="17"/>
                <w:szCs w:val="17"/>
              </w:rPr>
              <w:t>Victorian Rail Track</w:t>
            </w:r>
          </w:p>
        </w:tc>
        <w:tc>
          <w:tcPr>
            <w:tcW w:w="1687" w:type="pct"/>
            <w:tcBorders>
              <w:top w:val="nil"/>
              <w:bottom w:val="nil"/>
            </w:tcBorders>
          </w:tcPr>
          <w:p w14:paraId="5A8FD4BE" w14:textId="655B41DC" w:rsidR="009D33A8" w:rsidRPr="00CB3815" w:rsidRDefault="009D33A8">
            <w:pPr>
              <w:shd w:val="clear" w:color="auto" w:fill="D9D9D9" w:themeFill="background1" w:themeFillShade="D9"/>
              <w:spacing w:before="40" w:after="20"/>
              <w:ind w:left="170" w:hanging="170"/>
              <w:rPr>
                <w:b/>
                <w:bCs/>
                <w:sz w:val="18"/>
              </w:rPr>
            </w:pPr>
            <w:r w:rsidRPr="00CB3815">
              <w:rPr>
                <w:b/>
                <w:bCs/>
                <w:sz w:val="18"/>
              </w:rPr>
              <w:t>Department of Treasury and Finance</w:t>
            </w:r>
          </w:p>
          <w:p w14:paraId="5AE1561D" w14:textId="77777777" w:rsidR="009D33A8" w:rsidRPr="00CB3815" w:rsidRDefault="009D33A8">
            <w:pPr>
              <w:spacing w:before="20" w:after="20"/>
              <w:ind w:left="170" w:hanging="170"/>
              <w:rPr>
                <w:sz w:val="17"/>
                <w:szCs w:val="17"/>
              </w:rPr>
            </w:pPr>
            <w:r w:rsidRPr="00CB3815">
              <w:rPr>
                <w:sz w:val="17"/>
                <w:szCs w:val="17"/>
              </w:rPr>
              <w:t>Victorian Plantations Corporation (shell)</w:t>
            </w:r>
          </w:p>
          <w:p w14:paraId="11B16F41" w14:textId="77777777" w:rsidR="009D33A8" w:rsidRPr="00CB3815" w:rsidRDefault="009D33A8">
            <w:pPr>
              <w:spacing w:before="20" w:after="20"/>
              <w:ind w:left="170" w:hanging="170"/>
              <w:rPr>
                <w:sz w:val="17"/>
                <w:szCs w:val="17"/>
              </w:rPr>
            </w:pPr>
            <w:r w:rsidRPr="00CB3815">
              <w:rPr>
                <w:sz w:val="17"/>
                <w:szCs w:val="17"/>
              </w:rPr>
              <w:t>Workplace Injury Commission</w:t>
            </w:r>
          </w:p>
        </w:tc>
      </w:tr>
      <w:tr w:rsidR="009D33A8" w:rsidRPr="00CB3815" w14:paraId="3C16BA6F" w14:textId="77777777">
        <w:tc>
          <w:tcPr>
            <w:tcW w:w="5000" w:type="pct"/>
            <w:gridSpan w:val="3"/>
            <w:tcBorders>
              <w:bottom w:val="nil"/>
            </w:tcBorders>
          </w:tcPr>
          <w:p w14:paraId="7B9C73E3" w14:textId="77777777" w:rsidR="009D33A8" w:rsidRPr="00CB3815" w:rsidRDefault="009D33A8">
            <w:pPr>
              <w:shd w:val="clear" w:color="auto" w:fill="000000" w:themeFill="text1"/>
              <w:jc w:val="center"/>
              <w:rPr>
                <w:b/>
                <w:i/>
                <w:iCs/>
              </w:rPr>
            </w:pPr>
            <w:r w:rsidRPr="00CB3815">
              <w:rPr>
                <w:i/>
                <w:iCs/>
              </w:rPr>
              <w:t xml:space="preserve">Public financial corporation </w:t>
            </w:r>
          </w:p>
        </w:tc>
      </w:tr>
      <w:tr w:rsidR="009D33A8" w:rsidRPr="00CB3815" w14:paraId="6A320E1A" w14:textId="77777777">
        <w:tc>
          <w:tcPr>
            <w:tcW w:w="1724" w:type="pct"/>
            <w:tcBorders>
              <w:top w:val="nil"/>
              <w:bottom w:val="single" w:sz="12" w:space="0" w:color="auto"/>
            </w:tcBorders>
          </w:tcPr>
          <w:p w14:paraId="4EFB0E9D"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 xml:space="preserve">Department of Jobs, Skills, Industry </w:t>
            </w:r>
            <w:r>
              <w:rPr>
                <w:b/>
                <w:bCs/>
                <w:sz w:val="18"/>
              </w:rPr>
              <w:br/>
            </w:r>
            <w:r w:rsidRPr="00CB3815">
              <w:rPr>
                <w:b/>
                <w:bCs/>
                <w:sz w:val="18"/>
              </w:rPr>
              <w:t>and Regions</w:t>
            </w:r>
          </w:p>
          <w:p w14:paraId="106C7228" w14:textId="77777777" w:rsidR="009D33A8" w:rsidRPr="00CB3815" w:rsidRDefault="009D33A8">
            <w:pPr>
              <w:spacing w:before="20" w:after="20"/>
              <w:rPr>
                <w:sz w:val="17"/>
                <w:szCs w:val="17"/>
                <w:lang w:eastAsia="en-AU"/>
              </w:rPr>
            </w:pPr>
            <w:r w:rsidRPr="00CB3815">
              <w:rPr>
                <w:sz w:val="17"/>
                <w:szCs w:val="17"/>
              </w:rPr>
              <w:t>Breakthrough Victoria Pty Ltd</w:t>
            </w:r>
          </w:p>
        </w:tc>
        <w:tc>
          <w:tcPr>
            <w:tcW w:w="1589" w:type="pct"/>
            <w:tcBorders>
              <w:top w:val="nil"/>
              <w:bottom w:val="single" w:sz="12" w:space="0" w:color="auto"/>
            </w:tcBorders>
          </w:tcPr>
          <w:p w14:paraId="2B642932" w14:textId="77777777" w:rsidR="009D33A8" w:rsidRPr="00CB3815" w:rsidRDefault="009D33A8">
            <w:pPr>
              <w:shd w:val="clear" w:color="auto" w:fill="D9D9D9" w:themeFill="background1" w:themeFillShade="D9"/>
              <w:spacing w:before="40" w:after="20"/>
              <w:ind w:left="170" w:hanging="170"/>
              <w:rPr>
                <w:b/>
                <w:bCs/>
                <w:sz w:val="18"/>
              </w:rPr>
            </w:pPr>
            <w:r w:rsidRPr="00CB3815">
              <w:rPr>
                <w:b/>
                <w:bCs/>
                <w:sz w:val="18"/>
              </w:rPr>
              <w:t>Department of Treasury and Finance</w:t>
            </w:r>
          </w:p>
          <w:p w14:paraId="3C8D33A3" w14:textId="77777777" w:rsidR="009D33A8" w:rsidRPr="00CB3815" w:rsidRDefault="009D33A8">
            <w:pPr>
              <w:spacing w:before="20" w:after="20"/>
              <w:ind w:left="170" w:hanging="170"/>
              <w:rPr>
                <w:sz w:val="17"/>
                <w:szCs w:val="17"/>
              </w:rPr>
            </w:pPr>
            <w:r w:rsidRPr="00CB3815">
              <w:rPr>
                <w:sz w:val="17"/>
                <w:szCs w:val="17"/>
              </w:rPr>
              <w:t>State Trustees Limited</w:t>
            </w:r>
          </w:p>
          <w:p w14:paraId="1002D134" w14:textId="77777777" w:rsidR="009D33A8" w:rsidRPr="00CB3815" w:rsidRDefault="009D33A8">
            <w:pPr>
              <w:spacing w:before="20" w:after="20"/>
              <w:ind w:left="170" w:hanging="170"/>
              <w:rPr>
                <w:sz w:val="17"/>
                <w:szCs w:val="17"/>
              </w:rPr>
            </w:pPr>
            <w:r w:rsidRPr="00CB3815">
              <w:rPr>
                <w:sz w:val="17"/>
                <w:szCs w:val="17"/>
              </w:rPr>
              <w:t>Transport Accident Commission</w:t>
            </w:r>
          </w:p>
          <w:p w14:paraId="57207B53" w14:textId="77777777" w:rsidR="009D33A8" w:rsidRDefault="009D33A8">
            <w:pPr>
              <w:spacing w:before="20" w:after="20"/>
              <w:ind w:left="170" w:hanging="170"/>
              <w:rPr>
                <w:sz w:val="17"/>
                <w:szCs w:val="17"/>
              </w:rPr>
            </w:pPr>
            <w:r w:rsidRPr="00CB3815">
              <w:rPr>
                <w:sz w:val="17"/>
                <w:szCs w:val="17"/>
              </w:rPr>
              <w:t>Treasury Corporation of Victoria</w:t>
            </w:r>
          </w:p>
          <w:p w14:paraId="14280B47" w14:textId="77777777" w:rsidR="009D33A8" w:rsidRPr="00CB3815" w:rsidRDefault="009D33A8">
            <w:pPr>
              <w:spacing w:before="20" w:after="20"/>
              <w:ind w:left="170" w:hanging="170"/>
              <w:rPr>
                <w:sz w:val="17"/>
                <w:szCs w:val="17"/>
              </w:rPr>
            </w:pPr>
            <w:r w:rsidRPr="00CB3815">
              <w:rPr>
                <w:sz w:val="17"/>
                <w:szCs w:val="17"/>
              </w:rPr>
              <w:t>Victorian Funds Management Corporation</w:t>
            </w:r>
          </w:p>
          <w:p w14:paraId="5F455A63" w14:textId="77777777" w:rsidR="009D33A8" w:rsidRPr="00CB3815" w:rsidRDefault="009D33A8">
            <w:pPr>
              <w:spacing w:before="20" w:after="20"/>
              <w:ind w:left="170" w:hanging="170"/>
              <w:rPr>
                <w:sz w:val="17"/>
                <w:szCs w:val="17"/>
              </w:rPr>
            </w:pPr>
            <w:r w:rsidRPr="00CB3815">
              <w:rPr>
                <w:sz w:val="17"/>
                <w:szCs w:val="17"/>
              </w:rPr>
              <w:t>Victorian Managed Insurance Authority</w:t>
            </w:r>
          </w:p>
          <w:p w14:paraId="02A97FA1" w14:textId="77777777" w:rsidR="009D33A8" w:rsidRPr="00CB3815" w:rsidRDefault="009D33A8">
            <w:pPr>
              <w:spacing w:before="20" w:after="20"/>
              <w:ind w:left="170" w:hanging="170"/>
              <w:rPr>
                <w:sz w:val="17"/>
                <w:szCs w:val="17"/>
              </w:rPr>
            </w:pPr>
            <w:r w:rsidRPr="00CB3815">
              <w:rPr>
                <w:sz w:val="17"/>
                <w:szCs w:val="17"/>
              </w:rPr>
              <w:t>Victorian WorkCover Authority</w:t>
            </w:r>
          </w:p>
        </w:tc>
        <w:tc>
          <w:tcPr>
            <w:tcW w:w="1687" w:type="pct"/>
            <w:tcBorders>
              <w:top w:val="nil"/>
              <w:bottom w:val="single" w:sz="12" w:space="0" w:color="auto"/>
            </w:tcBorders>
          </w:tcPr>
          <w:p w14:paraId="3B91FA09" w14:textId="77777777" w:rsidR="009D33A8" w:rsidRPr="00CB3815" w:rsidRDefault="009D33A8">
            <w:pPr>
              <w:spacing w:before="20" w:after="20"/>
              <w:ind w:left="170" w:hanging="170"/>
              <w:rPr>
                <w:sz w:val="17"/>
                <w:szCs w:val="17"/>
              </w:rPr>
            </w:pPr>
          </w:p>
        </w:tc>
      </w:tr>
    </w:tbl>
    <w:bookmarkEnd w:id="188"/>
    <w:p w14:paraId="1D53DC54" w14:textId="77777777" w:rsidR="009D33A8" w:rsidRPr="00A34223" w:rsidRDefault="009D33A8" w:rsidP="009D33A8">
      <w:pPr>
        <w:pStyle w:val="Note"/>
        <w:ind w:left="0" w:firstLine="0"/>
      </w:pPr>
      <w:r w:rsidRPr="00A34223">
        <w:t>Notes:</w:t>
      </w:r>
    </w:p>
    <w:p w14:paraId="35385709" w14:textId="77777777" w:rsidR="009D33A8" w:rsidRDefault="009D33A8" w:rsidP="009D33A8">
      <w:pPr>
        <w:pStyle w:val="Note"/>
        <w:rPr>
          <w:iCs/>
        </w:rPr>
      </w:pPr>
      <w:r w:rsidRPr="00840F22">
        <w:rPr>
          <w:iCs/>
        </w:rPr>
        <w:t>(a)</w:t>
      </w:r>
      <w:r w:rsidRPr="00840F22">
        <w:rPr>
          <w:iCs/>
        </w:rPr>
        <w:tab/>
        <w:t xml:space="preserve">On 1 July 2024, the previous State Electricity Commission of Victoria, established under the </w:t>
      </w:r>
      <w:r w:rsidRPr="00EE291D">
        <w:rPr>
          <w:i w:val="0"/>
        </w:rPr>
        <w:t>State Electricity Commission Act 1958</w:t>
      </w:r>
      <w:r w:rsidRPr="00840F22">
        <w:rPr>
          <w:iCs/>
        </w:rPr>
        <w:t xml:space="preserve"> (SEC Act) was </w:t>
      </w:r>
      <w:r>
        <w:rPr>
          <w:iCs/>
        </w:rPr>
        <w:t>dissolved</w:t>
      </w:r>
      <w:r w:rsidRPr="00840F22">
        <w:rPr>
          <w:iCs/>
        </w:rPr>
        <w:t xml:space="preserve"> by the commencement of the </w:t>
      </w:r>
      <w:r w:rsidRPr="00840F22">
        <w:rPr>
          <w:i w:val="0"/>
        </w:rPr>
        <w:t>State Electricity Commission Amendment Act 2024</w:t>
      </w:r>
      <w:r w:rsidRPr="00840F22">
        <w:rPr>
          <w:iCs/>
        </w:rPr>
        <w:t>.</w:t>
      </w:r>
    </w:p>
    <w:p w14:paraId="4D6FC9E9" w14:textId="77777777" w:rsidR="009D33A8" w:rsidRPr="00840F22" w:rsidRDefault="009D33A8" w:rsidP="009D33A8">
      <w:pPr>
        <w:pStyle w:val="Note"/>
        <w:rPr>
          <w:iCs/>
        </w:rPr>
      </w:pPr>
      <w:r w:rsidRPr="00840F22">
        <w:rPr>
          <w:iCs/>
        </w:rPr>
        <w:t>(b)</w:t>
      </w:r>
      <w:r>
        <w:rPr>
          <w:iCs/>
        </w:rPr>
        <w:tab/>
      </w:r>
      <w:r w:rsidRPr="00840F22">
        <w:rPr>
          <w:iCs/>
        </w:rPr>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840F22">
        <w:rPr>
          <w:i w:val="0"/>
        </w:rPr>
        <w:t>Sustainable Forests (Timber) Repeal Act 2024</w:t>
      </w:r>
      <w:r>
        <w:rPr>
          <w:iCs/>
        </w:rPr>
        <w:t>.</w:t>
      </w:r>
    </w:p>
    <w:p w14:paraId="54A1E116" w14:textId="77777777" w:rsidR="009D33A8" w:rsidRPr="00840F22" w:rsidRDefault="009D33A8" w:rsidP="009D33A8">
      <w:pPr>
        <w:pStyle w:val="Note"/>
        <w:rPr>
          <w:iCs/>
        </w:rPr>
      </w:pPr>
      <w:r>
        <w:t xml:space="preserve">(c) </w:t>
      </w:r>
      <w:r>
        <w:tab/>
      </w:r>
      <w:r w:rsidRPr="00C55958">
        <w:t xml:space="preserve">VicGrid was established as a State Body under the </w:t>
      </w:r>
      <w:r w:rsidRPr="00C55958">
        <w:rPr>
          <w:i w:val="0"/>
        </w:rPr>
        <w:t>State Owned Enterprise Act 1992</w:t>
      </w:r>
      <w:r w:rsidRPr="00C55958">
        <w:t xml:space="preserve"> on 15 April 2025. Subject to the passage of the National Electricity (Victoria) Amendment (VicGrid Stage 2 Reform) Bill 2025, from 1 November 2025 VicGrid will transition to a State Business Corporation (SBC) and take over from the Australian Energy Market Operator (AEMO) the declared network functions in Victoria and will plan and deliver the transmission augmentations needed for Victoria. </w:t>
      </w:r>
    </w:p>
    <w:p w14:paraId="6144E2FB" w14:textId="77777777" w:rsidR="009D33A8" w:rsidRPr="00840F22" w:rsidRDefault="009D33A8" w:rsidP="009D33A8">
      <w:pPr>
        <w:pStyle w:val="Note"/>
        <w:rPr>
          <w:iCs/>
        </w:rPr>
      </w:pPr>
      <w:r>
        <w:t>(d)</w:t>
      </w:r>
      <w:r w:rsidRPr="00F274A6">
        <w:rPr>
          <w:rFonts w:asciiTheme="minorHAnsi" w:eastAsia="Times New Roman" w:hAnsiTheme="minorHAnsi" w:cs="Times New Roman"/>
          <w:i w:val="0"/>
          <w:color w:val="FF0000"/>
          <w:sz w:val="22"/>
        </w:rPr>
        <w:t xml:space="preserve"> </w:t>
      </w:r>
      <w:r>
        <w:rPr>
          <w:rFonts w:asciiTheme="minorHAnsi" w:eastAsia="Times New Roman" w:hAnsiTheme="minorHAnsi" w:cs="Times New Roman"/>
          <w:i w:val="0"/>
          <w:color w:val="FF0000"/>
          <w:sz w:val="22"/>
        </w:rPr>
        <w:t xml:space="preserve"> </w:t>
      </w:r>
      <w:r w:rsidRPr="00F274A6">
        <w:t xml:space="preserve">On 1 July 2024, the </w:t>
      </w:r>
      <w:r w:rsidRPr="00F92BD6">
        <w:rPr>
          <w:i w:val="0"/>
        </w:rPr>
        <w:t xml:space="preserve">Social Services Regulation Act 2021 </w:t>
      </w:r>
      <w:r w:rsidRPr="00F274A6">
        <w:t>established the Social Services Regulator as an independent statutory authority to support social services users and protect them from harm, abuse and neglect.</w:t>
      </w:r>
    </w:p>
    <w:p w14:paraId="2AC496CB" w14:textId="02D5FE2B" w:rsidR="009D33A8" w:rsidRDefault="009D33A8" w:rsidP="009D33A8">
      <w:pPr>
        <w:pStyle w:val="Note"/>
        <w:rPr>
          <w:iCs/>
        </w:rPr>
      </w:pPr>
      <w:r w:rsidRPr="0042303F">
        <w:rPr>
          <w:iCs/>
        </w:rPr>
        <w:t>(</w:t>
      </w:r>
      <w:r>
        <w:rPr>
          <w:iCs/>
        </w:rPr>
        <w:t>e</w:t>
      </w:r>
      <w:r w:rsidRPr="0042303F">
        <w:rPr>
          <w:iCs/>
        </w:rPr>
        <w:t>)</w:t>
      </w:r>
      <w:r w:rsidRPr="0042303F">
        <w:rPr>
          <w:iCs/>
        </w:rPr>
        <w:tab/>
        <w:t xml:space="preserve">On 31 December 2024 the Victorian Assisted Reproductive Treatment Authority (VARTA) </w:t>
      </w:r>
      <w:r>
        <w:rPr>
          <w:iCs/>
        </w:rPr>
        <w:t>was dissolved</w:t>
      </w:r>
      <w:r w:rsidRPr="0042303F">
        <w:rPr>
          <w:iCs/>
        </w:rPr>
        <w:t>. The regulation of Assisted Reproductive Treatment (ART) and the management of Victoria</w:t>
      </w:r>
      <w:r w:rsidR="00845934">
        <w:rPr>
          <w:iCs/>
        </w:rPr>
        <w:t>’</w:t>
      </w:r>
      <w:r w:rsidRPr="0042303F">
        <w:rPr>
          <w:iCs/>
        </w:rPr>
        <w:t>s donor conception registers are now overseen by the Department of Health.</w:t>
      </w:r>
    </w:p>
    <w:p w14:paraId="52D9BAE5" w14:textId="77777777" w:rsidR="009D33A8" w:rsidRDefault="009D33A8" w:rsidP="009D33A8">
      <w:pPr>
        <w:pStyle w:val="Note"/>
        <w:rPr>
          <w:iCs/>
        </w:rPr>
      </w:pPr>
      <w:r>
        <w:rPr>
          <w:iCs/>
        </w:rPr>
        <w:t xml:space="preserve">(f)    On 2 July 2024 the Parkville Youth Mental Health and Wellbeing Service (PYMHWS) was established by the Governor in Council under the </w:t>
      </w:r>
      <w:r w:rsidRPr="005E776A">
        <w:rPr>
          <w:i w:val="0"/>
        </w:rPr>
        <w:t>Health Services Act 1988</w:t>
      </w:r>
      <w:r>
        <w:rPr>
          <w:i w:val="0"/>
        </w:rPr>
        <w:t>.</w:t>
      </w:r>
    </w:p>
    <w:p w14:paraId="05E3B22B" w14:textId="77777777" w:rsidR="009D33A8" w:rsidRPr="00840F22" w:rsidRDefault="009D33A8" w:rsidP="009D33A8">
      <w:pPr>
        <w:pStyle w:val="Note"/>
        <w:rPr>
          <w:iCs/>
        </w:rPr>
      </w:pPr>
      <w:r w:rsidRPr="00840F22">
        <w:rPr>
          <w:iCs/>
        </w:rPr>
        <w:t>(</w:t>
      </w:r>
      <w:r>
        <w:rPr>
          <w:iCs/>
        </w:rPr>
        <w:t>g</w:t>
      </w:r>
      <w:r w:rsidRPr="00840F22">
        <w:rPr>
          <w:iCs/>
        </w:rPr>
        <w:t>)</w:t>
      </w:r>
      <w:r>
        <w:rPr>
          <w:iCs/>
        </w:rPr>
        <w:tab/>
      </w:r>
      <w:r w:rsidRPr="00840F22">
        <w:rPr>
          <w:iCs/>
        </w:rPr>
        <w:t>On 21 August 2024, Victoria 2026 Pty Ltd was officially deregistered as a company from Australian Securities and Investments Commission (ASIC). The decision to deregister was made following the July 2023 announcement that Victoria would no longer host the 2026 Commonwealth Games.</w:t>
      </w:r>
    </w:p>
    <w:p w14:paraId="0B36E055" w14:textId="77777777" w:rsidR="009D33A8" w:rsidRDefault="009D33A8" w:rsidP="009D33A8">
      <w:pPr>
        <w:pStyle w:val="Note"/>
        <w:rPr>
          <w:iCs/>
        </w:rPr>
      </w:pPr>
      <w:r w:rsidRPr="00840F22">
        <w:rPr>
          <w:iCs/>
        </w:rPr>
        <w:t>(</w:t>
      </w:r>
      <w:r>
        <w:rPr>
          <w:iCs/>
        </w:rPr>
        <w:t>h</w:t>
      </w:r>
      <w:r w:rsidRPr="00840F22">
        <w:rPr>
          <w:iCs/>
        </w:rPr>
        <w:t>)</w:t>
      </w:r>
      <w:r>
        <w:rPr>
          <w:iCs/>
        </w:rPr>
        <w:tab/>
      </w:r>
      <w:r w:rsidRPr="00840F22">
        <w:rPr>
          <w:iCs/>
        </w:rPr>
        <w:t xml:space="preserve">The Victorian Responsible Gambling Foundation </w:t>
      </w:r>
      <w:r>
        <w:rPr>
          <w:iCs/>
        </w:rPr>
        <w:t>was dissolved</w:t>
      </w:r>
      <w:r w:rsidRPr="00840F22">
        <w:rPr>
          <w:iCs/>
        </w:rPr>
        <w:t xml:space="preserve"> on 1 July 2024 and all property, rights and liabilities have been transferred to the Department of Justice and Community Safety following proclamation of the </w:t>
      </w:r>
      <w:r w:rsidRPr="00906BAF">
        <w:rPr>
          <w:i w:val="0"/>
        </w:rPr>
        <w:t>Victorian Responsible Gambling Foundation Repeal and Advisory Councils Act 2024</w:t>
      </w:r>
      <w:r w:rsidRPr="00840F22">
        <w:rPr>
          <w:iCs/>
        </w:rPr>
        <w:t>, effective from 25</w:t>
      </w:r>
      <w:r>
        <w:rPr>
          <w:iCs/>
        </w:rPr>
        <w:t> </w:t>
      </w:r>
      <w:r w:rsidRPr="00840F22">
        <w:rPr>
          <w:iCs/>
        </w:rPr>
        <w:t>June 2024.</w:t>
      </w:r>
    </w:p>
    <w:p w14:paraId="5348E602" w14:textId="77777777" w:rsidR="009D33A8" w:rsidRPr="00BB4197" w:rsidRDefault="009D33A8" w:rsidP="009D33A8">
      <w:pPr>
        <w:pStyle w:val="Note"/>
        <w:rPr>
          <w:iCs/>
        </w:rPr>
      </w:pPr>
      <w:r>
        <w:rPr>
          <w:iCs/>
        </w:rPr>
        <w:t>(i)</w:t>
      </w:r>
      <w:r w:rsidRPr="00BB4197">
        <w:rPr>
          <w:i w:val="0"/>
        </w:rPr>
        <w:tab/>
      </w:r>
      <w:r w:rsidRPr="00572214">
        <w:t>The Parliamentary Workplace Standards and Integrity Commission was established on 31 December 2024 by</w:t>
      </w:r>
      <w:r w:rsidRPr="00BB4197">
        <w:rPr>
          <w:iCs/>
        </w:rPr>
        <w:t xml:space="preserve"> the </w:t>
      </w:r>
      <w:r w:rsidRPr="00572214">
        <w:rPr>
          <w:i w:val="0"/>
        </w:rPr>
        <w:t>Parliamentary Workplace Standards and Integrity Act 2024</w:t>
      </w:r>
      <w:r w:rsidRPr="00BB4197">
        <w:rPr>
          <w:iCs/>
        </w:rPr>
        <w:t xml:space="preserve">. </w:t>
      </w:r>
    </w:p>
    <w:p w14:paraId="2EACBF5B" w14:textId="77777777" w:rsidR="009D33A8" w:rsidRPr="00770FF9" w:rsidRDefault="009D33A8" w:rsidP="009D33A8">
      <w:pPr>
        <w:pStyle w:val="Note"/>
      </w:pPr>
      <w:r w:rsidRPr="00840F22">
        <w:rPr>
          <w:iCs/>
        </w:rPr>
        <w:t>(</w:t>
      </w:r>
      <w:r>
        <w:t xml:space="preserve">j) </w:t>
      </w:r>
      <w:r>
        <w:tab/>
        <w:t xml:space="preserve">On 1 July 2025, the </w:t>
      </w:r>
      <w:r w:rsidRPr="00572214">
        <w:rPr>
          <w:i w:val="0"/>
        </w:rPr>
        <w:t>Building Legislation Amendment (Buyer Protections) Act 2025</w:t>
      </w:r>
      <w:r w:rsidRPr="00DD5B01">
        <w:t xml:space="preserve"> </w:t>
      </w:r>
      <w:r>
        <w:t xml:space="preserve">became effective, and the Building and Plumbing Commission (BPC) was established as </w:t>
      </w:r>
      <w:r w:rsidRPr="00DD5B01">
        <w:t xml:space="preserve">a building industry regulator to succeed the former Victorian Building Authority. The BPC intends to integrate a number of building regulatory functions, establish a statutory domestic building insurance scheme, and bolster compliance mechanisms. </w:t>
      </w:r>
    </w:p>
    <w:p w14:paraId="3435DDBA" w14:textId="77777777" w:rsidR="009D33A8" w:rsidRPr="00CE26F4" w:rsidRDefault="009D33A8" w:rsidP="009D33A8">
      <w:pPr>
        <w:pStyle w:val="Note"/>
      </w:pPr>
      <w:r w:rsidRPr="00840F22">
        <w:rPr>
          <w:iCs/>
        </w:rPr>
        <w:t>(</w:t>
      </w:r>
      <w:r>
        <w:rPr>
          <w:iCs/>
        </w:rPr>
        <w:t>k</w:t>
      </w:r>
      <w:r w:rsidRPr="00840F22">
        <w:rPr>
          <w:iCs/>
        </w:rPr>
        <w:t>)</w:t>
      </w:r>
      <w:r>
        <w:rPr>
          <w:iCs/>
        </w:rPr>
        <w:tab/>
      </w:r>
      <w:r w:rsidRPr="00840F22">
        <w:rPr>
          <w:iCs/>
        </w:rPr>
        <w:t>On 10 February 2025 the</w:t>
      </w:r>
      <w:r>
        <w:rPr>
          <w:iCs/>
        </w:rPr>
        <w:t xml:space="preserve"> former </w:t>
      </w:r>
      <w:r w:rsidRPr="00840F22">
        <w:rPr>
          <w:iCs/>
        </w:rPr>
        <w:t xml:space="preserve">Victorian Inspectorate </w:t>
      </w:r>
      <w:r>
        <w:rPr>
          <w:iCs/>
        </w:rPr>
        <w:t>was</w:t>
      </w:r>
      <w:r w:rsidRPr="00840F22">
        <w:rPr>
          <w:iCs/>
        </w:rPr>
        <w:t xml:space="preserve"> renamed to Integrity Oversight Victoria following proclamation of the </w:t>
      </w:r>
      <w:r w:rsidRPr="00BF2173">
        <w:rPr>
          <w:i w:val="0"/>
        </w:rPr>
        <w:t>Justice Legislation Amendment (Integrity, Defamation and Other Matters) Act 2024</w:t>
      </w:r>
      <w:r w:rsidRPr="00840F22">
        <w:rPr>
          <w:iCs/>
        </w:rPr>
        <w:t>, effective from 10 September 2024</w:t>
      </w:r>
      <w:r w:rsidRPr="00CE26F4">
        <w:t>.</w:t>
      </w:r>
    </w:p>
    <w:p w14:paraId="1187EFFB" w14:textId="77777777" w:rsidR="009D33A8" w:rsidRPr="00CC550E" w:rsidRDefault="009D33A8" w:rsidP="009D33A8">
      <w:pPr>
        <w:pStyle w:val="Note"/>
      </w:pPr>
      <w:r>
        <w:t>(l)</w:t>
      </w:r>
      <w:r>
        <w:tab/>
      </w:r>
      <w:r w:rsidRPr="003B6AC0">
        <w:t xml:space="preserve">On 5 February 2025, the Melbourne Convention and Exhibition Trust was renamed to the Victorian Convention and Event Trust (VCET) following the proclamation of the </w:t>
      </w:r>
      <w:r w:rsidRPr="003B6AC0">
        <w:rPr>
          <w:i w:val="0"/>
          <w:iCs/>
        </w:rPr>
        <w:t>Melbourne Convention and Exhibition Trust Amendment Act 2024</w:t>
      </w:r>
      <w:r w:rsidRPr="003B6AC0">
        <w:t xml:space="preserve">. </w:t>
      </w:r>
      <w:r>
        <w:t>The change in name reflected their</w:t>
      </w:r>
      <w:r w:rsidRPr="003B6AC0">
        <w:t xml:space="preserve"> expanded functions t</w:t>
      </w:r>
      <w:r>
        <w:t>o also</w:t>
      </w:r>
      <w:r w:rsidRPr="003B6AC0">
        <w:t xml:space="preserve"> include managing additional venues and supporting broader statewide tourism and event initiatives.</w:t>
      </w:r>
    </w:p>
    <w:p w14:paraId="270E27A2" w14:textId="77777777" w:rsidR="009D33A8" w:rsidRDefault="009D33A8" w:rsidP="009D33A8">
      <w:pPr>
        <w:pStyle w:val="Note"/>
      </w:pPr>
    </w:p>
    <w:p w14:paraId="65133536" w14:textId="77777777" w:rsidR="009D33A8" w:rsidRDefault="009D33A8" w:rsidP="009D33A8"/>
    <w:p w14:paraId="2CED3DC6" w14:textId="77777777" w:rsidR="009D33A8" w:rsidRDefault="009D33A8" w:rsidP="009D33A8">
      <w:pPr>
        <w:keepLines w:val="0"/>
        <w:rPr>
          <w:rFonts w:asciiTheme="majorHAnsi" w:eastAsiaTheme="majorEastAsia" w:hAnsiTheme="majorHAnsi" w:cstheme="majorBidi"/>
          <w:b/>
          <w:sz w:val="27"/>
          <w:szCs w:val="26"/>
        </w:rPr>
      </w:pPr>
      <w:r>
        <w:br w:type="page"/>
      </w:r>
    </w:p>
    <w:p w14:paraId="246790A6" w14:textId="77777777" w:rsidR="009D33A8" w:rsidRDefault="009D33A8" w:rsidP="009D33A8">
      <w:pPr>
        <w:pStyle w:val="Heading2"/>
      </w:pPr>
      <w:bookmarkStart w:id="189" w:name="_Toc209481986"/>
      <w:r>
        <w:lastRenderedPageBreak/>
        <w:t>8.9</w:t>
      </w:r>
      <w:r>
        <w:tab/>
        <w:t>Glossary of technical terms</w:t>
      </w:r>
      <w:bookmarkEnd w:id="189"/>
    </w:p>
    <w:p w14:paraId="332AA2C4" w14:textId="77777777" w:rsidR="00776999" w:rsidRDefault="00776999" w:rsidP="009D33A8">
      <w:pPr>
        <w:sectPr w:rsidR="00776999" w:rsidSect="00823C0E">
          <w:type w:val="continuous"/>
          <w:pgSz w:w="11906" w:h="16838" w:code="9"/>
          <w:pgMar w:top="1134" w:right="1134" w:bottom="1134" w:left="1134" w:header="624" w:footer="567" w:gutter="0"/>
          <w:cols w:space="708"/>
          <w:docGrid w:linePitch="360"/>
        </w:sectPr>
      </w:pPr>
    </w:p>
    <w:p w14:paraId="3425013A" w14:textId="77777777" w:rsidR="009D33A8" w:rsidRDefault="009D33A8" w:rsidP="009D33A8">
      <w:r>
        <w:t xml:space="preserve">The following is a summary of the major technical terms used in this report as sourced from the </w:t>
      </w:r>
      <w:r w:rsidRPr="002101A4">
        <w:rPr>
          <w:i/>
          <w:iCs/>
        </w:rPr>
        <w:t>Uniform Presentation Framework (2019)</w:t>
      </w:r>
      <w:r>
        <w:t>. Technical terms that have been discussed elsewhere in this chapter are excluded from the list.</w:t>
      </w:r>
    </w:p>
    <w:p w14:paraId="0AACEE82" w14:textId="77777777" w:rsidR="009D33A8" w:rsidRDefault="009D33A8" w:rsidP="009D33A8">
      <w:r w:rsidRPr="00277482">
        <w:rPr>
          <w:b/>
          <w:bCs/>
        </w:rPr>
        <w:t>ABS GFS manual</w:t>
      </w:r>
      <w:r>
        <w:t xml:space="preserve"> represents the ABS publication </w:t>
      </w:r>
      <w:r w:rsidRPr="00E92172">
        <w:rPr>
          <w:i/>
          <w:iCs/>
        </w:rPr>
        <w:t>Australian System of Government Finance Statistics: Concepts, Sources and Methods 2015</w:t>
      </w:r>
      <w:r>
        <w:t xml:space="preserve"> as updated from time to time.</w:t>
      </w:r>
    </w:p>
    <w:p w14:paraId="27469BF0" w14:textId="77777777" w:rsidR="009D33A8" w:rsidRDefault="009D33A8" w:rsidP="009D33A8">
      <w:r w:rsidRPr="002101A4">
        <w:rPr>
          <w:b/>
          <w:bCs/>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5AD90E31" w14:textId="77777777" w:rsidR="009D33A8" w:rsidRDefault="009D33A8" w:rsidP="009D33A8">
      <w:r w:rsidRPr="002101A4">
        <w:rPr>
          <w:b/>
          <w:bCs/>
        </w:rPr>
        <w:t>Cash surplus/deficit</w:t>
      </w:r>
      <w:r>
        <w:t xml:space="preserve"> represents the net cash flows from operating activities plus net cash flows from investments in non</w:t>
      </w:r>
      <w:r>
        <w:noBreakHyphen/>
        <w:t>financial assets (less dividends paid for the PNFC and PFC sectors).</w:t>
      </w:r>
    </w:p>
    <w:p w14:paraId="54025CFE" w14:textId="77777777" w:rsidR="009D33A8" w:rsidRDefault="009D33A8" w:rsidP="009D33A8">
      <w:r w:rsidRPr="002101A4">
        <w:rPr>
          <w:b/>
          <w:bCs/>
        </w:rPr>
        <w:t>Cash surplus/deficit – ABS GFS</w:t>
      </w:r>
      <w:r>
        <w:t xml:space="preserve"> </w:t>
      </w:r>
      <w:r w:rsidRPr="002101A4">
        <w:rPr>
          <w:b/>
          <w:bCs/>
        </w:rPr>
        <w:t>version</w:t>
      </w:r>
      <w:r>
        <w:t xml:space="preserve"> is equal to the cash surplus deficit (above) less the value of assets acquired under agreements meeting the definition of material finance leases prior to the application of AASB 16 </w:t>
      </w:r>
      <w:r w:rsidRPr="00114D31">
        <w:rPr>
          <w:i/>
        </w:rPr>
        <w:t>Leases</w:t>
      </w:r>
      <w:r>
        <w:t xml:space="preserve"> and similar arrangements.</w:t>
      </w:r>
    </w:p>
    <w:p w14:paraId="79B66B64" w14:textId="01BFA7BE" w:rsidR="009D33A8" w:rsidRDefault="009D33A8" w:rsidP="009D33A8">
      <w:r w:rsidRPr="002101A4">
        <w:rPr>
          <w:b/>
          <w:bCs/>
        </w:rPr>
        <w:t>Change in net worth</w:t>
      </w:r>
      <w:r>
        <w:t xml:space="preserve"> (comprehensive result) is revenue from transactions less expenses from transactions plus other economic flows and measures the variation in a government</w:t>
      </w:r>
      <w:r w:rsidR="00845934">
        <w:t>’</w:t>
      </w:r>
      <w:r>
        <w:t>s accumulated assets and liabilities.</w:t>
      </w:r>
    </w:p>
    <w:p w14:paraId="6642C37A" w14:textId="77777777" w:rsidR="009D33A8" w:rsidRDefault="009D33A8" w:rsidP="009D33A8">
      <w:r w:rsidRPr="002101A4">
        <w:rPr>
          <w:b/>
          <w:bCs/>
        </w:rPr>
        <w:t>Comprehensive result</w:t>
      </w:r>
      <w:r>
        <w:t xml:space="preserve"> is the amount included in the operating statement representing total change in net worth other than transactions with owners as owners.</w:t>
      </w:r>
    </w:p>
    <w:p w14:paraId="2A520BBE" w14:textId="77777777" w:rsidR="009D33A8" w:rsidRDefault="009D33A8" w:rsidP="009D33A8">
      <w:r w:rsidRPr="002101A4">
        <w:rPr>
          <w:b/>
          <w:bCs/>
        </w:rPr>
        <w:t>Current grants</w:t>
      </w:r>
      <w:r>
        <w:t xml:space="preserve"> are amounts payable or paid for current purposes for which no economic benefits of equal value are receivable or payable in return.</w:t>
      </w:r>
    </w:p>
    <w:p w14:paraId="28994B7F" w14:textId="77777777" w:rsidR="009D33A8" w:rsidRDefault="009D33A8" w:rsidP="009D33A8">
      <w:r w:rsidRPr="002101A4">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1BF207F4" w14:textId="77777777" w:rsidR="009D33A8" w:rsidRDefault="009D33A8" w:rsidP="009D33A8">
      <w:r w:rsidRPr="002101A4">
        <w:rPr>
          <w:b/>
          <w:bCs/>
        </w:rPr>
        <w:t>Fiscal aggregates</w:t>
      </w:r>
      <w:r>
        <w:t xml:space="preserve"> are analytical balances that are useful for macroeconomic analysis purposes, including assessing the impact of a government and its sectors on the economy. </w:t>
      </w:r>
    </w:p>
    <w:p w14:paraId="2F27D3B0" w14:textId="77777777" w:rsidR="009D33A8" w:rsidRDefault="009D33A8" w:rsidP="009D33A8">
      <w:r w:rsidRPr="002101A4">
        <w:rPr>
          <w:b/>
          <w:bCs/>
        </w:rPr>
        <w:t>Key fiscal aggregates</w:t>
      </w:r>
      <w:r>
        <w:t xml:space="preserve"> defined under ABS GFS manual are required to be disclosed under AASB 1049.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25F0DBAF" w14:textId="77777777" w:rsidR="009D33A8" w:rsidRDefault="009D33A8" w:rsidP="009D33A8">
      <w:r w:rsidRPr="002101A4">
        <w:rPr>
          <w:b/>
          <w:bCs/>
        </w:rPr>
        <w:t>Government Finance Statistics</w:t>
      </w:r>
      <w:r>
        <w:t xml:space="preserve"> (GFS) enables policymakers and analysts to study developments in the financial operations, financial position and liquidity situation of the Government. More details about the GFS can be found in the Australian Bureau of Statistics GFS manual </w:t>
      </w:r>
      <w:r w:rsidRPr="00E92172">
        <w:rPr>
          <w:i/>
          <w:iCs/>
        </w:rPr>
        <w:t>Australian System of Government Finance Statistics: Concepts, Sources and Methods 2015</w:t>
      </w:r>
      <w:r>
        <w:t>.</w:t>
      </w:r>
    </w:p>
    <w:p w14:paraId="24288CC3" w14:textId="77777777" w:rsidR="009D33A8" w:rsidRDefault="009D33A8" w:rsidP="009D33A8">
      <w:r w:rsidRPr="002101A4">
        <w:rPr>
          <w:b/>
          <w:bCs/>
        </w:rPr>
        <w:t xml:space="preserve">Infrastructure </w:t>
      </w:r>
      <w:r>
        <w:t>provides essential services used in delivering final services or products. They are generally a complex interconnected network of individual assets and mainly include sewerage systems, water storage and supply systems, and public transport assets owned by the State.</w:t>
      </w:r>
    </w:p>
    <w:p w14:paraId="42ACD38E" w14:textId="77777777" w:rsidR="009D33A8" w:rsidRDefault="009D33A8" w:rsidP="009D33A8">
      <w:r w:rsidRPr="002101A4">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7B3CC9B2" w14:textId="77777777" w:rsidR="009D33A8" w:rsidRDefault="009D33A8" w:rsidP="009D33A8">
      <w:r w:rsidRPr="002101A4">
        <w:rPr>
          <w:b/>
          <w:bCs/>
        </w:rPr>
        <w:t>Leases</w:t>
      </w:r>
      <w:r>
        <w:t xml:space="preserve"> are rights conveyed in a contract, or part of a contract, to use an asset (the underlying asset) for a period of time in exchange for consideration.</w:t>
      </w:r>
    </w:p>
    <w:p w14:paraId="6612AD12" w14:textId="77777777" w:rsidR="009D33A8" w:rsidRDefault="009D33A8" w:rsidP="009D33A8">
      <w:r w:rsidRPr="002101A4">
        <w:rPr>
          <w:b/>
          <w:bCs/>
        </w:rPr>
        <w:t>Net acquisition of non</w:t>
      </w:r>
      <w:r w:rsidRPr="4C45A426">
        <w:rPr>
          <w:b/>
          <w:bCs/>
        </w:rPr>
        <w:t>-</w:t>
      </w:r>
      <w:r w:rsidRPr="002101A4">
        <w:rPr>
          <w:b/>
          <w:bCs/>
        </w:rPr>
        <w:t xml:space="preserve">financial assets (from transactions) </w:t>
      </w:r>
      <w:r>
        <w:t>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75866BAB" w14:textId="77777777" w:rsidR="009D33A8" w:rsidRDefault="009D33A8" w:rsidP="009D33A8">
      <w:r w:rsidRPr="002101A4">
        <w:rPr>
          <w:b/>
          <w:bCs/>
        </w:rPr>
        <w:t>Net cash flows from investments in financial assets (liquidity management purposes)</w:t>
      </w:r>
      <w:r>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40DD810C" w14:textId="77777777" w:rsidR="009D33A8" w:rsidRDefault="009D33A8" w:rsidP="009D33A8">
      <w:r w:rsidRPr="002101A4">
        <w:rPr>
          <w:b/>
          <w:bCs/>
        </w:rPr>
        <w:lastRenderedPageBreak/>
        <w:t>Net cash flows from investments in financial assets (policy purposes)</w:t>
      </w:r>
      <w:r>
        <w:t xml:space="preserve"> represents cash payments made for acquiring financial assets for policy purposes, less cash receipts from the repayment and liquidation of such investments in financial assets.</w:t>
      </w:r>
    </w:p>
    <w:p w14:paraId="0CAC8201" w14:textId="77777777" w:rsidR="009D33A8" w:rsidRDefault="009D33A8" w:rsidP="009D33A8">
      <w:r>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the Government that are motivated by government policies, such as encouraging the development of certain industries or assisting people affected by natural disaster. </w:t>
      </w:r>
    </w:p>
    <w:p w14:paraId="51040F45" w14:textId="77777777" w:rsidR="009D33A8" w:rsidRDefault="009D33A8" w:rsidP="009D33A8">
      <w:r>
        <w:t>For the general government sector, this item also includes cash flows arising from the acquisition and disposal by the Government of its investments (contributed capital) in entities in the PNFC and PFC sectors.</w:t>
      </w:r>
    </w:p>
    <w:p w14:paraId="23CA98AB" w14:textId="77777777" w:rsidR="009D33A8" w:rsidRDefault="009D33A8" w:rsidP="009D33A8">
      <w:r w:rsidRPr="002101A4">
        <w:rPr>
          <w:b/>
          <w:bCs/>
        </w:rPr>
        <w:t>Net debt</w:t>
      </w:r>
      <w:r>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2E4FA05A" w14:textId="77777777" w:rsidR="009D33A8" w:rsidRDefault="009D33A8" w:rsidP="009D33A8">
      <w:r w:rsidRPr="002101A4">
        <w:rPr>
          <w:b/>
          <w:bCs/>
        </w:rPr>
        <w:t>Net financial liabilities</w:t>
      </w:r>
      <w:r>
        <w:t xml:space="preserve"> is calculated as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3FC77A6E" w14:textId="77777777" w:rsidR="009D33A8" w:rsidRDefault="009D33A8" w:rsidP="009D33A8">
      <w:r w:rsidRPr="002101A4">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62B0B0B7" w14:textId="77777777" w:rsidR="009D33A8" w:rsidRDefault="009D33A8" w:rsidP="009D33A8">
      <w:r w:rsidRPr="002101A4">
        <w:rPr>
          <w:b/>
          <w:bCs/>
        </w:rPr>
        <w:t>Net lending/borrowing</w:t>
      </w:r>
      <w:r>
        <w:t xml:space="preserve"> is the financing requirement of the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2F7845C2" w14:textId="77777777" w:rsidR="009D33A8" w:rsidRDefault="009D33A8" w:rsidP="00BC0C0C">
      <w:pPr>
        <w:ind w:right="70"/>
      </w:pPr>
      <w:r w:rsidRPr="002101A4">
        <w:rPr>
          <w:b/>
          <w:bCs/>
        </w:rPr>
        <w:t>Net operating balance or 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418DED2" w14:textId="77777777" w:rsidR="009D33A8" w:rsidRDefault="009D33A8" w:rsidP="009D33A8">
      <w:r w:rsidRPr="002101A4">
        <w:rPr>
          <w:b/>
          <w:bCs/>
        </w:rPr>
        <w:t>Net result</w:t>
      </w:r>
      <w:r>
        <w:t xml:space="preserve"> is a measure of financial performance of the operations for the period. It is the net result of items of revenue, gains and expenses (including losses) recognised for the period, excluding those that are classified as other non</w:t>
      </w:r>
      <w:r>
        <w:noBreakHyphen/>
        <w:t>owner movements in equity.</w:t>
      </w:r>
    </w:p>
    <w:p w14:paraId="3928F2BC" w14:textId="77777777" w:rsidR="009D33A8" w:rsidRDefault="009D33A8" w:rsidP="009D33A8">
      <w:r w:rsidRPr="002101A4">
        <w:rPr>
          <w:b/>
          <w:bCs/>
        </w:rPr>
        <w:t>Net worth</w:t>
      </w:r>
      <w:r>
        <w:t xml:space="preserve"> is calculated as assets less liabilities, which is an economic measure of wealth.</w:t>
      </w:r>
    </w:p>
    <w:p w14:paraId="72F4E4F8" w14:textId="77777777" w:rsidR="009D33A8" w:rsidRDefault="009D33A8" w:rsidP="009D33A8">
      <w:r w:rsidRPr="002101A4">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3800F3A8" w14:textId="77777777" w:rsidR="009D33A8" w:rsidRDefault="009D33A8" w:rsidP="009D33A8">
      <w:r w:rsidRPr="002101A4">
        <w:rPr>
          <w:b/>
          <w:bCs/>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17904DB9" w14:textId="77777777" w:rsidR="009D33A8" w:rsidRDefault="009D33A8" w:rsidP="009D33A8">
      <w:r w:rsidRPr="002101A4">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160275F2" w14:textId="77777777" w:rsidR="009D33A8" w:rsidRDefault="009D33A8" w:rsidP="009D33A8">
      <w:r w:rsidRPr="002101A4">
        <w:rPr>
          <w:b/>
          <w:bCs/>
        </w:rPr>
        <w:t>Operating result</w:t>
      </w:r>
      <w:r>
        <w:t xml:space="preserve"> is a measure of financial performance of the operations for the period. It is the net result of items of revenue, gains and expenses (including losses) recognised for the period, excluding those that are classified as other non</w:t>
      </w:r>
      <w:r>
        <w:noBreakHyphen/>
        <w:t xml:space="preserve">owner movements in equity. Refer also to </w:t>
      </w:r>
      <w:r w:rsidRPr="007638C8">
        <w:rPr>
          <w:i/>
          <w:iCs/>
        </w:rPr>
        <w:t>net result</w:t>
      </w:r>
      <w:r>
        <w:t xml:space="preserve">. </w:t>
      </w:r>
    </w:p>
    <w:p w14:paraId="7773802E" w14:textId="77777777" w:rsidR="009D33A8" w:rsidRDefault="009D33A8" w:rsidP="009D33A8">
      <w:r w:rsidRPr="002101A4">
        <w:rPr>
          <w:b/>
          <w:bCs/>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and agricultural assets; and depletion of natural assets (non-produced) from their use or removal.</w:t>
      </w:r>
    </w:p>
    <w:p w14:paraId="2509588D" w14:textId="77777777" w:rsidR="009D33A8" w:rsidRDefault="009D33A8" w:rsidP="009D33A8">
      <w:r w:rsidRPr="002101A4">
        <w:rPr>
          <w:b/>
          <w:bCs/>
        </w:rPr>
        <w:t>Produced assets</w:t>
      </w:r>
      <w:r>
        <w:t xml:space="preserve"> include buildings, plant and equipment, inventories, cultivated assets and certain intangible assets. Intangible produced assets may include computer software, motion picture films and development costs (which does not include the start-up costs associated with capital projects).</w:t>
      </w:r>
    </w:p>
    <w:p w14:paraId="7296EC2A" w14:textId="77777777" w:rsidR="009D33A8" w:rsidRDefault="009D33A8" w:rsidP="009D33A8">
      <w:pPr>
        <w:rPr>
          <w:b/>
          <w:bCs/>
        </w:rPr>
      </w:pPr>
      <w:r>
        <w:rPr>
          <w:b/>
          <w:bCs/>
        </w:rPr>
        <w:t xml:space="preserve">Public Private Partnership (PPP) </w:t>
      </w:r>
      <w:r w:rsidRPr="007429D1">
        <w:t>is where</w:t>
      </w:r>
      <w:r>
        <w:rPr>
          <w:b/>
          <w:bCs/>
        </w:rPr>
        <w:t xml:space="preserve"> </w:t>
      </w:r>
      <w:r w:rsidRPr="0052015E">
        <w:t>t</w:t>
      </w:r>
      <w:r>
        <w:t>he State from time to time enters certain arrangements with private sector participants to design and construct or upgrade assets used to provide public services. These arrangements usually include the provision of operational and maintenance services for a specified period of time.</w:t>
      </w:r>
    </w:p>
    <w:p w14:paraId="22EF0A62" w14:textId="295251E5" w:rsidR="009D33A8" w:rsidRDefault="009D33A8" w:rsidP="009D33A8">
      <w:r w:rsidRPr="002101A4">
        <w:rPr>
          <w:b/>
          <w:bCs/>
        </w:rPr>
        <w:t>Roads</w:t>
      </w:r>
      <w:r>
        <w:t xml:space="preserve"> include road pavement and road works in progress. All land under roads is included under the category of </w:t>
      </w:r>
      <w:r w:rsidR="00845934">
        <w:t>‘</w:t>
      </w:r>
      <w:r>
        <w:t>land</w:t>
      </w:r>
      <w:r w:rsidR="00845934">
        <w:t>’</w:t>
      </w:r>
      <w:r>
        <w:t>.</w:t>
      </w:r>
    </w:p>
    <w:p w14:paraId="476E26A5" w14:textId="77777777" w:rsidR="009D33A8" w:rsidRDefault="009D33A8" w:rsidP="009D33A8">
      <w:r w:rsidRPr="002101A4">
        <w:rPr>
          <w:b/>
          <w:bCs/>
        </w:rPr>
        <w:t>Road infrastructure</w:t>
      </w:r>
      <w:r>
        <w:t xml:space="preserve"> mainly includes sound barriers, bridges and traffic signal control systems.</w:t>
      </w:r>
    </w:p>
    <w:p w14:paraId="67CD67FF" w14:textId="77777777" w:rsidR="009D33A8" w:rsidRDefault="009D33A8" w:rsidP="009D33A8">
      <w:r w:rsidRPr="002101A4">
        <w:rPr>
          <w:b/>
          <w:bCs/>
        </w:rPr>
        <w:t>Service concession arrangement</w:t>
      </w:r>
      <w:r>
        <w:rPr>
          <w:b/>
        </w:rPr>
        <w:t xml:space="preserve"> </w:t>
      </w:r>
      <w:r>
        <w:rPr>
          <w:b/>
          <w:bCs/>
        </w:rPr>
        <w:t>(SCA)</w:t>
      </w:r>
      <w:r>
        <w:t xml:space="preserve"> is a contract effective during the reporting period between a grantor and an operator in which:</w:t>
      </w:r>
    </w:p>
    <w:p w14:paraId="4E1B9C98" w14:textId="77777777" w:rsidR="009D33A8" w:rsidRDefault="009D33A8" w:rsidP="009D33A8">
      <w:pPr>
        <w:ind w:left="357" w:hanging="357"/>
      </w:pPr>
      <w:r>
        <w:t>(a)</w:t>
      </w:r>
      <w:r>
        <w:tab/>
        <w:t>the operator has the right of access to the service concession asset (or assets) to provide public services on behalf of the grantor for a specified period of time</w:t>
      </w:r>
    </w:p>
    <w:p w14:paraId="14534FD5" w14:textId="77777777" w:rsidR="009D33A8" w:rsidRDefault="009D33A8" w:rsidP="009D33A8">
      <w:pPr>
        <w:ind w:left="357" w:hanging="357"/>
      </w:pPr>
      <w:r>
        <w:t>(b)</w:t>
      </w:r>
      <w:r>
        <w:tab/>
        <w:t>the operator is responsible for at least some of the management of the public services provided through the asset and does not act merely as an agent on behalf of the grantor</w:t>
      </w:r>
    </w:p>
    <w:p w14:paraId="5B2A6556" w14:textId="77777777" w:rsidR="009D33A8" w:rsidRDefault="009D33A8" w:rsidP="009D33A8">
      <w:pPr>
        <w:ind w:left="357" w:hanging="357"/>
      </w:pPr>
      <w:r>
        <w:t>(c)</w:t>
      </w:r>
      <w:r>
        <w:tab/>
        <w:t>the operator is compensated for its services over the period of the service concession arrangement.</w:t>
      </w:r>
    </w:p>
    <w:p w14:paraId="047E6E9C" w14:textId="363F19AC" w:rsidR="009D33A8" w:rsidRDefault="00776999" w:rsidP="009D33A8">
      <w:r>
        <w:rPr>
          <w:b/>
          <w:bCs/>
        </w:rPr>
        <w:br w:type="column"/>
      </w:r>
      <w:r w:rsidR="009D33A8" w:rsidRPr="002101A4">
        <w:rPr>
          <w:b/>
          <w:bCs/>
        </w:rPr>
        <w:t>System of National Accounts</w:t>
      </w:r>
      <w:r w:rsidR="009D33A8">
        <w:t xml:space="preserve"> explain how the Australian economy operates and how it evolves over time by measuring, classifying, and aggregating these transactions. It includes a full set of flow accounts for each sector of the economy (income, capital and financial), input-output tables, supply and use tables, satellite accounts, state-based estimates, balance sheets and reconciliation accounts, and productivity estimates.</w:t>
      </w:r>
    </w:p>
    <w:p w14:paraId="01660C66" w14:textId="224BF938" w:rsidR="009D33A8" w:rsidRDefault="009D33A8" w:rsidP="009D33A8">
      <w:r w:rsidRPr="002101A4">
        <w:rPr>
          <w:b/>
          <w:bCs/>
        </w:rPr>
        <w:t>Taxation</w:t>
      </w:r>
      <w:r>
        <w:t xml:space="preserve"> revenue represents revenue received from the State</w:t>
      </w:r>
      <w:r w:rsidR="00845934">
        <w:t>’</w:t>
      </w:r>
      <w:r>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t>life policies, insurance company contributions to fire brigades, Fire Services Property Levy, motor vehicle taxes, including registration fees and duty on registrations and transfers, levies (including the environmental levy) on statutory corporations in other sectors of government, and other taxes, including landfill levies, licence and concession fees.</w:t>
      </w:r>
    </w:p>
    <w:p w14:paraId="42F66199" w14:textId="77777777" w:rsidR="009D33A8" w:rsidRDefault="009D33A8" w:rsidP="009D33A8">
      <w:r w:rsidRPr="002101A4">
        <w:rPr>
          <w:b/>
          <w:bCs/>
        </w:rPr>
        <w:t>Transactions</w:t>
      </w:r>
      <w:r>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p w14:paraId="04A807F2" w14:textId="77777777" w:rsidR="00776999" w:rsidRDefault="00776999" w:rsidP="009D33A8"/>
    <w:bookmarkEnd w:id="54"/>
    <w:p w14:paraId="2D9CB407" w14:textId="75637F95" w:rsidR="00BC0C0C" w:rsidRDefault="00BC0C0C">
      <w:pPr>
        <w:keepLines w:val="0"/>
      </w:pPr>
    </w:p>
    <w:p w14:paraId="17075E5C" w14:textId="77777777" w:rsidR="00776999" w:rsidRDefault="00776999" w:rsidP="009D33A8"/>
    <w:p w14:paraId="05B3161E" w14:textId="77777777" w:rsidR="00776999" w:rsidRDefault="00776999" w:rsidP="009D33A8">
      <w:pPr>
        <w:sectPr w:rsidR="00776999" w:rsidSect="00776999">
          <w:type w:val="continuous"/>
          <w:pgSz w:w="11906" w:h="16838" w:code="9"/>
          <w:pgMar w:top="1134" w:right="1134" w:bottom="1134" w:left="1134" w:header="624" w:footer="567" w:gutter="0"/>
          <w:cols w:num="2" w:space="708"/>
          <w:docGrid w:linePitch="360"/>
        </w:sectPr>
      </w:pPr>
    </w:p>
    <w:p w14:paraId="010AFB6F" w14:textId="77777777" w:rsidR="009D33A8" w:rsidRDefault="009D33A8" w:rsidP="009D33A8"/>
    <w:bookmarkEnd w:id="175"/>
    <w:p w14:paraId="0A7B1518" w14:textId="77777777" w:rsidR="00A20CD2" w:rsidRDefault="00A20CD2">
      <w:pPr>
        <w:keepLines w:val="0"/>
      </w:pPr>
    </w:p>
    <w:p w14:paraId="34DA452E" w14:textId="77777777" w:rsidR="00A20CD2" w:rsidRDefault="00A20CD2" w:rsidP="00097095"/>
    <w:p w14:paraId="5CEA1548" w14:textId="77777777" w:rsidR="00A20CD2" w:rsidRPr="00474CDC" w:rsidRDefault="00A20CD2" w:rsidP="00097095"/>
    <w:p w14:paraId="6BD3E77D" w14:textId="77777777" w:rsidR="00A20CD2" w:rsidRDefault="00A20CD2" w:rsidP="00A20CD2">
      <w:pPr>
        <w:rPr>
          <w:rFonts w:asciiTheme="majorHAnsi" w:hAnsiTheme="majorHAnsi" w:cstheme="majorHAnsi"/>
          <w:sz w:val="24"/>
          <w:szCs w:val="24"/>
        </w:rPr>
        <w:sectPr w:rsidR="00A20CD2" w:rsidSect="00823C0E">
          <w:type w:val="continuous"/>
          <w:pgSz w:w="11906" w:h="16838" w:code="9"/>
          <w:pgMar w:top="1134" w:right="1134" w:bottom="1134" w:left="1134" w:header="624" w:footer="567" w:gutter="0"/>
          <w:cols w:space="708"/>
          <w:docGrid w:linePitch="360"/>
        </w:sectPr>
      </w:pPr>
    </w:p>
    <w:p w14:paraId="185EF5C1" w14:textId="7690B5D4" w:rsidR="00A20CD2" w:rsidRDefault="00A20CD2" w:rsidP="001A28FB">
      <w:pPr>
        <w:pStyle w:val="ChapterHeading"/>
      </w:pPr>
      <w:bookmarkStart w:id="190" w:name="_Toc209474768"/>
      <w:bookmarkStart w:id="191" w:name="_Toc209474801"/>
      <w:r>
        <w:lastRenderedPageBreak/>
        <w:t>Chapter 5 – Supplementary uniform presentation framework tables</w:t>
      </w:r>
      <w:bookmarkEnd w:id="190"/>
      <w:bookmarkEnd w:id="191"/>
    </w:p>
    <w:p w14:paraId="482076A2" w14:textId="77777777" w:rsidR="009460C6" w:rsidRDefault="009460C6" w:rsidP="00445B62">
      <w:pPr>
        <w:pStyle w:val="Heading1"/>
        <w:sectPr w:rsidR="009460C6" w:rsidSect="00760D40">
          <w:headerReference w:type="even" r:id="rId131"/>
          <w:headerReference w:type="default" r:id="rId132"/>
          <w:footerReference w:type="even" r:id="rId133"/>
          <w:footerReference w:type="default" r:id="rId134"/>
          <w:pgSz w:w="11906" w:h="16838" w:code="9"/>
          <w:pgMar w:top="1134" w:right="1134" w:bottom="1134" w:left="1134" w:header="624" w:footer="567" w:gutter="0"/>
          <w:cols w:space="708"/>
          <w:docGrid w:linePitch="360"/>
        </w:sectPr>
      </w:pPr>
      <w:bookmarkStart w:id="192" w:name="_Toc176189361"/>
    </w:p>
    <w:p w14:paraId="594AB5F6" w14:textId="77777777" w:rsidR="00445B62" w:rsidRDefault="00445B62" w:rsidP="00445B62">
      <w:pPr>
        <w:pStyle w:val="Heading1"/>
      </w:pPr>
      <w:r>
        <w:t>The accrual government finance statistics presentation</w:t>
      </w:r>
      <w:bookmarkEnd w:id="192"/>
    </w:p>
    <w:p w14:paraId="2233876B" w14:textId="77777777" w:rsidR="00445B62" w:rsidRDefault="00445B62" w:rsidP="00445B62">
      <w:r>
        <w:t>The Government Finance Statistics (GFS) system employed by the Australian Bureau of Statistics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2DDEE0AD" w14:textId="77777777" w:rsidR="00445B62" w:rsidRDefault="00445B62" w:rsidP="00445B62">
      <w:pPr>
        <w:pStyle w:val="Heading1"/>
      </w:pPr>
      <w:bookmarkStart w:id="193" w:name="_Toc176189362"/>
      <w:r>
        <w:t>Generally accepted accounting principles/government finance statistics harmonisation</w:t>
      </w:r>
      <w:bookmarkEnd w:id="193"/>
    </w:p>
    <w:p w14:paraId="5A5E074A" w14:textId="0EFD9FE2" w:rsidR="00445B62" w:rsidRDefault="00445B62" w:rsidP="00445B62">
      <w:r>
        <w:t xml:space="preserve">In October 2007, the Australian Accounting Standards Board issued AASB 1049 </w:t>
      </w:r>
      <w:r w:rsidRPr="00331E74">
        <w:rPr>
          <w:i/>
          <w:iCs/>
        </w:rPr>
        <w:t>Whole of Government and General Government Sector Financial Reporting</w:t>
      </w:r>
      <w:r>
        <w:t xml:space="preserve">, applicable from 1 July 2008. The objective as set out by the Financial Reporting Council in December 2002 was </w:t>
      </w:r>
      <w:r w:rsidR="00845934">
        <w:t>‘</w:t>
      </w:r>
      <w:r>
        <w:t>to achieve an Australian accounting standard for a single set of government reports which are auditable, are comparable between jurisdictions, and in which the outcome statements are directly comparable with the relevant budget statements</w:t>
      </w:r>
      <w:r w:rsidR="00845934">
        <w:t>’</w:t>
      </w:r>
      <w:r>
        <w:t xml:space="preserve">. This standard incorporates the major elements of the GFS framework, including the presentation formats and key fiscal aggregates, into a standard based on generally accepted accounting principles. </w:t>
      </w:r>
    </w:p>
    <w:p w14:paraId="644A95CC" w14:textId="636FE31E" w:rsidR="00445B62" w:rsidRDefault="00445B62" w:rsidP="00445B62">
      <w:r>
        <w:t xml:space="preserve">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w:t>
      </w:r>
      <w:r w:rsidRPr="004048D5">
        <w:rPr>
          <w:i/>
          <w:iCs/>
        </w:rPr>
        <w:t>Annual Financial Report</w:t>
      </w:r>
      <w:r>
        <w:t xml:space="preserve"> presented in Chapter</w:t>
      </w:r>
      <w:r w:rsidR="001244AA">
        <w:t> </w:t>
      </w:r>
      <w:r>
        <w:t>4, the following statements are also required to be presented under the UPF.</w:t>
      </w:r>
    </w:p>
    <w:p w14:paraId="2073FE65" w14:textId="77777777" w:rsidR="009460C6" w:rsidRDefault="009460C6" w:rsidP="00D123D7">
      <w:pPr>
        <w:sectPr w:rsidR="009460C6" w:rsidSect="009460C6">
          <w:type w:val="continuous"/>
          <w:pgSz w:w="11906" w:h="16838" w:code="9"/>
          <w:pgMar w:top="1134" w:right="1134" w:bottom="1134" w:left="1134" w:header="624" w:footer="567" w:gutter="0"/>
          <w:cols w:num="2" w:space="708"/>
          <w:docGrid w:linePitch="360"/>
        </w:sectPr>
      </w:pPr>
    </w:p>
    <w:p w14:paraId="0200155A" w14:textId="77777777" w:rsidR="00A20CD2" w:rsidRDefault="00A20CD2" w:rsidP="00D123D7"/>
    <w:p w14:paraId="7CC6ACD3" w14:textId="77777777" w:rsidR="00D123D7" w:rsidRDefault="00D123D7" w:rsidP="00D123D7"/>
    <w:p w14:paraId="476958B0" w14:textId="5D30B12B" w:rsidR="0003388E" w:rsidRDefault="0003388E">
      <w:pPr>
        <w:keepLines w:val="0"/>
      </w:pPr>
      <w:r>
        <w:br w:type="page"/>
      </w:r>
    </w:p>
    <w:p w14:paraId="7ECE0EA2" w14:textId="77777777" w:rsidR="0003388E" w:rsidRDefault="0003388E" w:rsidP="0003388E">
      <w:pPr>
        <w:pStyle w:val="Heading1"/>
        <w:pageBreakBefore/>
        <w:spacing w:before="0"/>
      </w:pPr>
      <w:bookmarkStart w:id="194" w:name="_Toc176189363"/>
      <w:r>
        <w:lastRenderedPageBreak/>
        <w:t>Financial statements for the non-financial public sector</w:t>
      </w:r>
      <w:bookmarkEnd w:id="194"/>
    </w:p>
    <w:p w14:paraId="42146419" w14:textId="4901C495" w:rsidR="0003388E" w:rsidRDefault="0003388E" w:rsidP="0003388E">
      <w:pPr>
        <w:pStyle w:val="TableHeading"/>
      </w:pPr>
      <w:r>
        <w:t>Table 5.1:</w:t>
      </w:r>
      <w:r>
        <w:tab/>
        <w:t>Non-financial public sector operating statement for the financial year ended 30 June</w:t>
      </w:r>
      <w:r>
        <w:tab/>
        <w:t>($ million)</w:t>
      </w:r>
    </w:p>
    <w:tbl>
      <w:tblPr>
        <w:tblStyle w:val="DTFTableNumeric"/>
        <w:tblW w:w="9639"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5.xlsx|Table:NFPS_OS"/>
      </w:tblPr>
      <w:tblGrid>
        <w:gridCol w:w="7265"/>
        <w:gridCol w:w="978"/>
        <w:gridCol w:w="1396"/>
      </w:tblGrid>
      <w:tr w:rsidR="008F0D56" w14:paraId="627D726F" w14:textId="77777777" w:rsidTr="00BC0C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0" w:type="dxa"/>
          </w:tcPr>
          <w:p w14:paraId="5C2192BA" w14:textId="77777777" w:rsidR="00E51EAC" w:rsidRDefault="00E51EAC">
            <w:pPr>
              <w:keepNext/>
            </w:pPr>
          </w:p>
        </w:tc>
        <w:tc>
          <w:tcPr>
            <w:tcW w:w="992" w:type="dxa"/>
          </w:tcPr>
          <w:p w14:paraId="0F06DB51"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1416" w:type="dxa"/>
          </w:tcPr>
          <w:p w14:paraId="15185B9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E51EAC" w14:paraId="32A9EA3D"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019C0556" w14:textId="77777777" w:rsidR="00E51EAC" w:rsidRDefault="00182F93">
            <w:r>
              <w:rPr>
                <w:b/>
              </w:rPr>
              <w:t>Revenue and income from transactions</w:t>
            </w:r>
          </w:p>
        </w:tc>
        <w:tc>
          <w:tcPr>
            <w:tcW w:w="992" w:type="dxa"/>
          </w:tcPr>
          <w:p w14:paraId="5985752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6FEB585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9A70C8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3B8BE2C7" w14:textId="77777777" w:rsidR="00E51EAC" w:rsidRDefault="00182F93">
            <w:r>
              <w:t>Taxation</w:t>
            </w:r>
          </w:p>
        </w:tc>
        <w:tc>
          <w:tcPr>
            <w:tcW w:w="992" w:type="dxa"/>
          </w:tcPr>
          <w:p w14:paraId="0087C41D" w14:textId="77777777" w:rsidR="00E51EAC" w:rsidRDefault="00182F93">
            <w:pPr>
              <w:cnfStyle w:val="000000000000" w:firstRow="0" w:lastRow="0" w:firstColumn="0" w:lastColumn="0" w:oddVBand="0" w:evenVBand="0" w:oddHBand="0" w:evenHBand="0" w:firstRowFirstColumn="0" w:firstRowLastColumn="0" w:lastRowFirstColumn="0" w:lastRowLastColumn="0"/>
            </w:pPr>
            <w:r>
              <w:t>38 389</w:t>
            </w:r>
          </w:p>
        </w:tc>
        <w:tc>
          <w:tcPr>
            <w:tcW w:w="1416" w:type="dxa"/>
          </w:tcPr>
          <w:p w14:paraId="737B3B83" w14:textId="77777777" w:rsidR="00E51EAC" w:rsidRDefault="00182F93">
            <w:pPr>
              <w:cnfStyle w:val="000000000000" w:firstRow="0" w:lastRow="0" w:firstColumn="0" w:lastColumn="0" w:oddVBand="0" w:evenVBand="0" w:oddHBand="0" w:evenHBand="0" w:firstRowFirstColumn="0" w:firstRowLastColumn="0" w:lastRowFirstColumn="0" w:lastRowLastColumn="0"/>
            </w:pPr>
            <w:r>
              <w:t>36 354</w:t>
            </w:r>
          </w:p>
        </w:tc>
      </w:tr>
      <w:tr w:rsidR="00E51EAC" w14:paraId="1278BC5E"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78984053" w14:textId="77777777" w:rsidR="00E51EAC" w:rsidRDefault="00182F93">
            <w:r>
              <w:t>Interest income</w:t>
            </w:r>
          </w:p>
        </w:tc>
        <w:tc>
          <w:tcPr>
            <w:tcW w:w="992" w:type="dxa"/>
          </w:tcPr>
          <w:p w14:paraId="03E8B395" w14:textId="77777777" w:rsidR="00E51EAC" w:rsidRDefault="00182F93">
            <w:pPr>
              <w:cnfStyle w:val="000000000000" w:firstRow="0" w:lastRow="0" w:firstColumn="0" w:lastColumn="0" w:oddVBand="0" w:evenVBand="0" w:oddHBand="0" w:evenHBand="0" w:firstRowFirstColumn="0" w:firstRowLastColumn="0" w:lastRowFirstColumn="0" w:lastRowLastColumn="0"/>
            </w:pPr>
            <w:r>
              <w:t>1 081</w:t>
            </w:r>
          </w:p>
        </w:tc>
        <w:tc>
          <w:tcPr>
            <w:tcW w:w="1416" w:type="dxa"/>
          </w:tcPr>
          <w:p w14:paraId="113DFF53" w14:textId="77777777" w:rsidR="00E51EAC" w:rsidRDefault="00182F93">
            <w:pPr>
              <w:cnfStyle w:val="000000000000" w:firstRow="0" w:lastRow="0" w:firstColumn="0" w:lastColumn="0" w:oddVBand="0" w:evenVBand="0" w:oddHBand="0" w:evenHBand="0" w:firstRowFirstColumn="0" w:firstRowLastColumn="0" w:lastRowFirstColumn="0" w:lastRowLastColumn="0"/>
            </w:pPr>
            <w:r>
              <w:t>1 324</w:t>
            </w:r>
          </w:p>
        </w:tc>
      </w:tr>
      <w:tr w:rsidR="00E51EAC" w14:paraId="7D65FD9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3CDF11E1" w14:textId="77777777" w:rsidR="00E51EAC" w:rsidRDefault="00182F93">
            <w:r>
              <w:t>Dividends and income tax equivalent income</w:t>
            </w:r>
          </w:p>
        </w:tc>
        <w:tc>
          <w:tcPr>
            <w:tcW w:w="992" w:type="dxa"/>
          </w:tcPr>
          <w:p w14:paraId="54BDB343" w14:textId="77777777" w:rsidR="00E51EAC" w:rsidRDefault="00182F93">
            <w:pPr>
              <w:cnfStyle w:val="000000000000" w:firstRow="0" w:lastRow="0" w:firstColumn="0" w:lastColumn="0" w:oddVBand="0" w:evenVBand="0" w:oddHBand="0" w:evenHBand="0" w:firstRowFirstColumn="0" w:firstRowLastColumn="0" w:lastRowFirstColumn="0" w:lastRowLastColumn="0"/>
            </w:pPr>
            <w:r>
              <w:t>1 997</w:t>
            </w:r>
          </w:p>
        </w:tc>
        <w:tc>
          <w:tcPr>
            <w:tcW w:w="1416" w:type="dxa"/>
          </w:tcPr>
          <w:p w14:paraId="0C92F8F8" w14:textId="77777777" w:rsidR="00E51EAC" w:rsidRDefault="00182F93">
            <w:pPr>
              <w:cnfStyle w:val="000000000000" w:firstRow="0" w:lastRow="0" w:firstColumn="0" w:lastColumn="0" w:oddVBand="0" w:evenVBand="0" w:oddHBand="0" w:evenHBand="0" w:firstRowFirstColumn="0" w:firstRowLastColumn="0" w:lastRowFirstColumn="0" w:lastRowLastColumn="0"/>
            </w:pPr>
            <w:r>
              <w:t>1 773</w:t>
            </w:r>
          </w:p>
        </w:tc>
      </w:tr>
      <w:tr w:rsidR="00E51EAC" w14:paraId="651FF744"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4CBE45DF" w14:textId="77777777" w:rsidR="00E51EAC" w:rsidRDefault="00182F93">
            <w:r>
              <w:t>Sales of goods and services</w:t>
            </w:r>
          </w:p>
        </w:tc>
        <w:tc>
          <w:tcPr>
            <w:tcW w:w="992" w:type="dxa"/>
          </w:tcPr>
          <w:p w14:paraId="3A8B68E2" w14:textId="77777777" w:rsidR="00E51EAC" w:rsidRDefault="00182F93">
            <w:pPr>
              <w:cnfStyle w:val="000000000000" w:firstRow="0" w:lastRow="0" w:firstColumn="0" w:lastColumn="0" w:oddVBand="0" w:evenVBand="0" w:oddHBand="0" w:evenHBand="0" w:firstRowFirstColumn="0" w:firstRowLastColumn="0" w:lastRowFirstColumn="0" w:lastRowLastColumn="0"/>
            </w:pPr>
            <w:r>
              <w:t>14 615</w:t>
            </w:r>
          </w:p>
        </w:tc>
        <w:tc>
          <w:tcPr>
            <w:tcW w:w="1416" w:type="dxa"/>
          </w:tcPr>
          <w:p w14:paraId="11437D06" w14:textId="77777777" w:rsidR="00E51EAC" w:rsidRDefault="00182F93">
            <w:pPr>
              <w:cnfStyle w:val="000000000000" w:firstRow="0" w:lastRow="0" w:firstColumn="0" w:lastColumn="0" w:oddVBand="0" w:evenVBand="0" w:oddHBand="0" w:evenHBand="0" w:firstRowFirstColumn="0" w:firstRowLastColumn="0" w:lastRowFirstColumn="0" w:lastRowLastColumn="0"/>
            </w:pPr>
            <w:r>
              <w:t>13 527</w:t>
            </w:r>
          </w:p>
        </w:tc>
      </w:tr>
      <w:tr w:rsidR="00E51EAC" w14:paraId="0A0831C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65DCC5D" w14:textId="77777777" w:rsidR="00E51EAC" w:rsidRDefault="00182F93">
            <w:r>
              <w:t>Grants</w:t>
            </w:r>
          </w:p>
        </w:tc>
        <w:tc>
          <w:tcPr>
            <w:tcW w:w="992" w:type="dxa"/>
          </w:tcPr>
          <w:p w14:paraId="2775CB67" w14:textId="77777777" w:rsidR="00E51EAC" w:rsidRDefault="00182F93">
            <w:pPr>
              <w:cnfStyle w:val="000000000000" w:firstRow="0" w:lastRow="0" w:firstColumn="0" w:lastColumn="0" w:oddVBand="0" w:evenVBand="0" w:oddHBand="0" w:evenHBand="0" w:firstRowFirstColumn="0" w:firstRowLastColumn="0" w:lastRowFirstColumn="0" w:lastRowLastColumn="0"/>
            </w:pPr>
            <w:r>
              <w:t>47 324</w:t>
            </w:r>
          </w:p>
        </w:tc>
        <w:tc>
          <w:tcPr>
            <w:tcW w:w="1416" w:type="dxa"/>
          </w:tcPr>
          <w:p w14:paraId="6D08EA0F" w14:textId="77777777" w:rsidR="00E51EAC" w:rsidRDefault="00182F93">
            <w:pPr>
              <w:cnfStyle w:val="000000000000" w:firstRow="0" w:lastRow="0" w:firstColumn="0" w:lastColumn="0" w:oddVBand="0" w:evenVBand="0" w:oddHBand="0" w:evenHBand="0" w:firstRowFirstColumn="0" w:firstRowLastColumn="0" w:lastRowFirstColumn="0" w:lastRowLastColumn="0"/>
            </w:pPr>
            <w:r>
              <w:t>41 813</w:t>
            </w:r>
          </w:p>
        </w:tc>
      </w:tr>
      <w:tr w:rsidR="00E51EAC" w14:paraId="59FBCEC1"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bottom w:val="single" w:sz="6" w:space="0" w:color="auto"/>
            </w:tcBorders>
          </w:tcPr>
          <w:p w14:paraId="776A10D4" w14:textId="77777777" w:rsidR="00E51EAC" w:rsidRDefault="00182F93">
            <w:r>
              <w:t>Other revenue and income</w:t>
            </w:r>
          </w:p>
        </w:tc>
        <w:tc>
          <w:tcPr>
            <w:tcW w:w="992" w:type="dxa"/>
            <w:tcBorders>
              <w:bottom w:val="single" w:sz="6" w:space="0" w:color="auto"/>
            </w:tcBorders>
          </w:tcPr>
          <w:p w14:paraId="3B14930C" w14:textId="77777777" w:rsidR="00E51EAC" w:rsidRDefault="00182F93">
            <w:pPr>
              <w:cnfStyle w:val="000000000000" w:firstRow="0" w:lastRow="0" w:firstColumn="0" w:lastColumn="0" w:oddVBand="0" w:evenVBand="0" w:oddHBand="0" w:evenHBand="0" w:firstRowFirstColumn="0" w:firstRowLastColumn="0" w:lastRowFirstColumn="0" w:lastRowLastColumn="0"/>
            </w:pPr>
            <w:r>
              <w:t>5 250</w:t>
            </w:r>
          </w:p>
        </w:tc>
        <w:tc>
          <w:tcPr>
            <w:tcW w:w="1416" w:type="dxa"/>
            <w:tcBorders>
              <w:bottom w:val="single" w:sz="6" w:space="0" w:color="auto"/>
            </w:tcBorders>
          </w:tcPr>
          <w:p w14:paraId="1F59FAEB" w14:textId="77777777" w:rsidR="00E51EAC" w:rsidRDefault="00182F93">
            <w:pPr>
              <w:cnfStyle w:val="000000000000" w:firstRow="0" w:lastRow="0" w:firstColumn="0" w:lastColumn="0" w:oddVBand="0" w:evenVBand="0" w:oddHBand="0" w:evenHBand="0" w:firstRowFirstColumn="0" w:firstRowLastColumn="0" w:lastRowFirstColumn="0" w:lastRowLastColumn="0"/>
            </w:pPr>
            <w:r>
              <w:t>5 044</w:t>
            </w:r>
          </w:p>
        </w:tc>
      </w:tr>
      <w:tr w:rsidR="00E51EAC" w14:paraId="6F9DDC1F"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tcBorders>
          </w:tcPr>
          <w:p w14:paraId="2C37A399" w14:textId="77777777" w:rsidR="00E51EAC" w:rsidRDefault="00182F93">
            <w:r>
              <w:rPr>
                <w:b/>
              </w:rPr>
              <w:t>Total revenue and income from transactions</w:t>
            </w:r>
          </w:p>
        </w:tc>
        <w:tc>
          <w:tcPr>
            <w:tcW w:w="992" w:type="dxa"/>
            <w:tcBorders>
              <w:top w:val="single" w:sz="6" w:space="0" w:color="auto"/>
            </w:tcBorders>
          </w:tcPr>
          <w:p w14:paraId="6D8BE41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108 656</w:t>
            </w:r>
          </w:p>
        </w:tc>
        <w:tc>
          <w:tcPr>
            <w:tcW w:w="1416" w:type="dxa"/>
            <w:tcBorders>
              <w:top w:val="single" w:sz="6" w:space="0" w:color="auto"/>
            </w:tcBorders>
          </w:tcPr>
          <w:p w14:paraId="2ABB544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99 835</w:t>
            </w:r>
          </w:p>
        </w:tc>
      </w:tr>
      <w:tr w:rsidR="00E51EAC" w14:paraId="7D0CD5BA"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6127C69" w14:textId="77777777" w:rsidR="00E51EAC" w:rsidRDefault="00182F93">
            <w:r>
              <w:rPr>
                <w:b/>
              </w:rPr>
              <w:t>Expenses from transactions</w:t>
            </w:r>
          </w:p>
        </w:tc>
        <w:tc>
          <w:tcPr>
            <w:tcW w:w="992" w:type="dxa"/>
          </w:tcPr>
          <w:p w14:paraId="5E3B986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2F5222C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40D165F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70702B91" w14:textId="77777777" w:rsidR="00E51EAC" w:rsidRDefault="00182F93">
            <w:r>
              <w:t>Employee expenses</w:t>
            </w:r>
          </w:p>
        </w:tc>
        <w:tc>
          <w:tcPr>
            <w:tcW w:w="992" w:type="dxa"/>
          </w:tcPr>
          <w:p w14:paraId="1A444234" w14:textId="77777777" w:rsidR="00E51EAC" w:rsidRDefault="00182F93">
            <w:pPr>
              <w:cnfStyle w:val="000000000000" w:firstRow="0" w:lastRow="0" w:firstColumn="0" w:lastColumn="0" w:oddVBand="0" w:evenVBand="0" w:oddHBand="0" w:evenHBand="0" w:firstRowFirstColumn="0" w:firstRowLastColumn="0" w:lastRowFirstColumn="0" w:lastRowLastColumn="0"/>
            </w:pPr>
            <w:r>
              <w:t>40 510</w:t>
            </w:r>
          </w:p>
        </w:tc>
        <w:tc>
          <w:tcPr>
            <w:tcW w:w="1416" w:type="dxa"/>
          </w:tcPr>
          <w:p w14:paraId="47AC875A" w14:textId="77777777" w:rsidR="00E51EAC" w:rsidRDefault="00182F93">
            <w:pPr>
              <w:cnfStyle w:val="000000000000" w:firstRow="0" w:lastRow="0" w:firstColumn="0" w:lastColumn="0" w:oddVBand="0" w:evenVBand="0" w:oddHBand="0" w:evenHBand="0" w:firstRowFirstColumn="0" w:firstRowLastColumn="0" w:lastRowFirstColumn="0" w:lastRowLastColumn="0"/>
            </w:pPr>
            <w:r>
              <w:t>37 888</w:t>
            </w:r>
          </w:p>
        </w:tc>
      </w:tr>
      <w:tr w:rsidR="00E51EAC" w14:paraId="1E34B152"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3C412ED0" w14:textId="77777777" w:rsidR="00E51EAC" w:rsidRDefault="00182F93">
            <w:r>
              <w:t>Superannuation:</w:t>
            </w:r>
          </w:p>
        </w:tc>
        <w:tc>
          <w:tcPr>
            <w:tcW w:w="992" w:type="dxa"/>
          </w:tcPr>
          <w:p w14:paraId="2BADADF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40F8A73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790EA9A7"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66834851" w14:textId="47E6EE5D" w:rsidR="00E51EAC" w:rsidRDefault="0026224E">
            <w:r>
              <w:t xml:space="preserve">   </w:t>
            </w:r>
            <w:r w:rsidR="00182F93">
              <w:t>Net superannuation interest expense</w:t>
            </w:r>
          </w:p>
        </w:tc>
        <w:tc>
          <w:tcPr>
            <w:tcW w:w="992" w:type="dxa"/>
          </w:tcPr>
          <w:p w14:paraId="557A27BD" w14:textId="77777777" w:rsidR="00E51EAC" w:rsidRDefault="00182F93">
            <w:pPr>
              <w:cnfStyle w:val="000000000000" w:firstRow="0" w:lastRow="0" w:firstColumn="0" w:lastColumn="0" w:oddVBand="0" w:evenVBand="0" w:oddHBand="0" w:evenHBand="0" w:firstRowFirstColumn="0" w:firstRowLastColumn="0" w:lastRowFirstColumn="0" w:lastRowLastColumn="0"/>
            </w:pPr>
            <w:r>
              <w:t>785</w:t>
            </w:r>
          </w:p>
        </w:tc>
        <w:tc>
          <w:tcPr>
            <w:tcW w:w="1416" w:type="dxa"/>
          </w:tcPr>
          <w:p w14:paraId="4A534F1B" w14:textId="77777777" w:rsidR="00E51EAC" w:rsidRDefault="00182F93">
            <w:pPr>
              <w:cnfStyle w:val="000000000000" w:firstRow="0" w:lastRow="0" w:firstColumn="0" w:lastColumn="0" w:oddVBand="0" w:evenVBand="0" w:oddHBand="0" w:evenHBand="0" w:firstRowFirstColumn="0" w:firstRowLastColumn="0" w:lastRowFirstColumn="0" w:lastRowLastColumn="0"/>
            </w:pPr>
            <w:r>
              <w:t>775</w:t>
            </w:r>
          </w:p>
        </w:tc>
      </w:tr>
      <w:tr w:rsidR="00E51EAC" w14:paraId="1B4F1AE0"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428F6C9F" w14:textId="1BBE7C41" w:rsidR="00E51EAC" w:rsidRDefault="0026224E">
            <w:r>
              <w:t xml:space="preserve">   </w:t>
            </w:r>
            <w:r w:rsidR="00182F93">
              <w:t>Other superannuation</w:t>
            </w:r>
          </w:p>
        </w:tc>
        <w:tc>
          <w:tcPr>
            <w:tcW w:w="992" w:type="dxa"/>
          </w:tcPr>
          <w:p w14:paraId="1346DA78" w14:textId="77777777" w:rsidR="00E51EAC" w:rsidRDefault="00182F93">
            <w:pPr>
              <w:cnfStyle w:val="000000000000" w:firstRow="0" w:lastRow="0" w:firstColumn="0" w:lastColumn="0" w:oddVBand="0" w:evenVBand="0" w:oddHBand="0" w:evenHBand="0" w:firstRowFirstColumn="0" w:firstRowLastColumn="0" w:lastRowFirstColumn="0" w:lastRowLastColumn="0"/>
            </w:pPr>
            <w:r>
              <w:t>4 748</w:t>
            </w:r>
          </w:p>
        </w:tc>
        <w:tc>
          <w:tcPr>
            <w:tcW w:w="1416" w:type="dxa"/>
          </w:tcPr>
          <w:p w14:paraId="2037E4BE" w14:textId="77777777" w:rsidR="00E51EAC" w:rsidRDefault="00182F93">
            <w:pPr>
              <w:cnfStyle w:val="000000000000" w:firstRow="0" w:lastRow="0" w:firstColumn="0" w:lastColumn="0" w:oddVBand="0" w:evenVBand="0" w:oddHBand="0" w:evenHBand="0" w:firstRowFirstColumn="0" w:firstRowLastColumn="0" w:lastRowFirstColumn="0" w:lastRowLastColumn="0"/>
            </w:pPr>
            <w:r>
              <w:t>4 258</w:t>
            </w:r>
          </w:p>
        </w:tc>
      </w:tr>
      <w:tr w:rsidR="00E51EAC" w14:paraId="222F5916"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44C6D2A6" w14:textId="77777777" w:rsidR="00E51EAC" w:rsidRDefault="00182F93">
            <w:r>
              <w:t>Depreciation</w:t>
            </w:r>
          </w:p>
        </w:tc>
        <w:tc>
          <w:tcPr>
            <w:tcW w:w="992" w:type="dxa"/>
          </w:tcPr>
          <w:p w14:paraId="1A8C0AE4" w14:textId="77777777" w:rsidR="00E51EAC" w:rsidRDefault="00182F93">
            <w:pPr>
              <w:cnfStyle w:val="000000000000" w:firstRow="0" w:lastRow="0" w:firstColumn="0" w:lastColumn="0" w:oddVBand="0" w:evenVBand="0" w:oddHBand="0" w:evenHBand="0" w:firstRowFirstColumn="0" w:firstRowLastColumn="0" w:lastRowFirstColumn="0" w:lastRowLastColumn="0"/>
            </w:pPr>
            <w:r>
              <w:t>9 265</w:t>
            </w:r>
          </w:p>
        </w:tc>
        <w:tc>
          <w:tcPr>
            <w:tcW w:w="1416" w:type="dxa"/>
          </w:tcPr>
          <w:p w14:paraId="098A857A" w14:textId="77777777" w:rsidR="00E51EAC" w:rsidRDefault="00182F93">
            <w:pPr>
              <w:cnfStyle w:val="000000000000" w:firstRow="0" w:lastRow="0" w:firstColumn="0" w:lastColumn="0" w:oddVBand="0" w:evenVBand="0" w:oddHBand="0" w:evenHBand="0" w:firstRowFirstColumn="0" w:firstRowLastColumn="0" w:lastRowFirstColumn="0" w:lastRowLastColumn="0"/>
            </w:pPr>
            <w:r>
              <w:t>8 192</w:t>
            </w:r>
          </w:p>
        </w:tc>
      </w:tr>
      <w:tr w:rsidR="00E51EAC" w14:paraId="6F620DC2"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0D796A93" w14:textId="77777777" w:rsidR="00E51EAC" w:rsidRDefault="00182F93">
            <w:r>
              <w:t>Interest expense</w:t>
            </w:r>
          </w:p>
        </w:tc>
        <w:tc>
          <w:tcPr>
            <w:tcW w:w="992" w:type="dxa"/>
          </w:tcPr>
          <w:p w14:paraId="05FA4B1E" w14:textId="77777777" w:rsidR="00E51EAC" w:rsidRDefault="00182F93">
            <w:pPr>
              <w:cnfStyle w:val="000000000000" w:firstRow="0" w:lastRow="0" w:firstColumn="0" w:lastColumn="0" w:oddVBand="0" w:evenVBand="0" w:oddHBand="0" w:evenHBand="0" w:firstRowFirstColumn="0" w:firstRowLastColumn="0" w:lastRowFirstColumn="0" w:lastRowLastColumn="0"/>
            </w:pPr>
            <w:r>
              <w:t>7 298</w:t>
            </w:r>
          </w:p>
        </w:tc>
        <w:tc>
          <w:tcPr>
            <w:tcW w:w="1416" w:type="dxa"/>
          </w:tcPr>
          <w:p w14:paraId="6E207CD6" w14:textId="77777777" w:rsidR="00E51EAC" w:rsidRDefault="00182F93">
            <w:pPr>
              <w:cnfStyle w:val="000000000000" w:firstRow="0" w:lastRow="0" w:firstColumn="0" w:lastColumn="0" w:oddVBand="0" w:evenVBand="0" w:oddHBand="0" w:evenHBand="0" w:firstRowFirstColumn="0" w:firstRowLastColumn="0" w:lastRowFirstColumn="0" w:lastRowLastColumn="0"/>
            </w:pPr>
            <w:r>
              <w:t>6 050</w:t>
            </w:r>
          </w:p>
        </w:tc>
      </w:tr>
      <w:tr w:rsidR="00E51EAC" w14:paraId="4A9821A8"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FB6BA99" w14:textId="77777777" w:rsidR="00E51EAC" w:rsidRDefault="00182F93">
            <w:r>
              <w:t>Grant expense</w:t>
            </w:r>
          </w:p>
        </w:tc>
        <w:tc>
          <w:tcPr>
            <w:tcW w:w="992" w:type="dxa"/>
          </w:tcPr>
          <w:p w14:paraId="40214172" w14:textId="77777777" w:rsidR="00E51EAC" w:rsidRDefault="00182F93">
            <w:pPr>
              <w:cnfStyle w:val="000000000000" w:firstRow="0" w:lastRow="0" w:firstColumn="0" w:lastColumn="0" w:oddVBand="0" w:evenVBand="0" w:oddHBand="0" w:evenHBand="0" w:firstRowFirstColumn="0" w:firstRowLastColumn="0" w:lastRowFirstColumn="0" w:lastRowLastColumn="0"/>
            </w:pPr>
            <w:r>
              <w:t>15 042</w:t>
            </w:r>
          </w:p>
        </w:tc>
        <w:tc>
          <w:tcPr>
            <w:tcW w:w="1416" w:type="dxa"/>
          </w:tcPr>
          <w:p w14:paraId="56D87F4A" w14:textId="77777777" w:rsidR="00E51EAC" w:rsidRDefault="00182F93">
            <w:pPr>
              <w:cnfStyle w:val="000000000000" w:firstRow="0" w:lastRow="0" w:firstColumn="0" w:lastColumn="0" w:oddVBand="0" w:evenVBand="0" w:oddHBand="0" w:evenHBand="0" w:firstRowFirstColumn="0" w:firstRowLastColumn="0" w:lastRowFirstColumn="0" w:lastRowLastColumn="0"/>
            </w:pPr>
            <w:r>
              <w:t>14 709</w:t>
            </w:r>
          </w:p>
        </w:tc>
      </w:tr>
      <w:tr w:rsidR="00E51EAC" w14:paraId="32E8525E"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bottom w:val="single" w:sz="6" w:space="0" w:color="auto"/>
            </w:tcBorders>
          </w:tcPr>
          <w:p w14:paraId="495019D3" w14:textId="77777777" w:rsidR="00E51EAC" w:rsidRDefault="00182F93">
            <w:r>
              <w:t>Other operating expenses</w:t>
            </w:r>
          </w:p>
        </w:tc>
        <w:tc>
          <w:tcPr>
            <w:tcW w:w="992" w:type="dxa"/>
            <w:tcBorders>
              <w:bottom w:val="single" w:sz="6" w:space="0" w:color="auto"/>
            </w:tcBorders>
          </w:tcPr>
          <w:p w14:paraId="20FB8DCB" w14:textId="77777777" w:rsidR="00E51EAC" w:rsidRDefault="00182F93">
            <w:pPr>
              <w:cnfStyle w:val="000000000000" w:firstRow="0" w:lastRow="0" w:firstColumn="0" w:lastColumn="0" w:oddVBand="0" w:evenVBand="0" w:oddHBand="0" w:evenHBand="0" w:firstRowFirstColumn="0" w:firstRowLastColumn="0" w:lastRowFirstColumn="0" w:lastRowLastColumn="0"/>
            </w:pPr>
            <w:r>
              <w:t>35 280</w:t>
            </w:r>
          </w:p>
        </w:tc>
        <w:tc>
          <w:tcPr>
            <w:tcW w:w="1416" w:type="dxa"/>
            <w:tcBorders>
              <w:bottom w:val="single" w:sz="6" w:space="0" w:color="auto"/>
            </w:tcBorders>
          </w:tcPr>
          <w:p w14:paraId="6D7B6BED" w14:textId="77777777" w:rsidR="00E51EAC" w:rsidRDefault="00182F93">
            <w:pPr>
              <w:cnfStyle w:val="000000000000" w:firstRow="0" w:lastRow="0" w:firstColumn="0" w:lastColumn="0" w:oddVBand="0" w:evenVBand="0" w:oddHBand="0" w:evenHBand="0" w:firstRowFirstColumn="0" w:firstRowLastColumn="0" w:lastRowFirstColumn="0" w:lastRowLastColumn="0"/>
            </w:pPr>
            <w:r>
              <w:t>33 477</w:t>
            </w:r>
          </w:p>
        </w:tc>
      </w:tr>
      <w:tr w:rsidR="00E51EAC" w14:paraId="216F8A5F"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6" w:space="0" w:color="auto"/>
            </w:tcBorders>
          </w:tcPr>
          <w:p w14:paraId="15ACAFF3" w14:textId="77777777" w:rsidR="00E51EAC" w:rsidRDefault="00182F93">
            <w:r>
              <w:rPr>
                <w:b/>
              </w:rPr>
              <w:t>Total expenses from transactions</w:t>
            </w:r>
          </w:p>
        </w:tc>
        <w:tc>
          <w:tcPr>
            <w:tcW w:w="992" w:type="dxa"/>
            <w:tcBorders>
              <w:top w:val="single" w:sz="6" w:space="0" w:color="auto"/>
              <w:bottom w:val="single" w:sz="6" w:space="0" w:color="auto"/>
            </w:tcBorders>
          </w:tcPr>
          <w:p w14:paraId="1CE6C1E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112 928</w:t>
            </w:r>
          </w:p>
        </w:tc>
        <w:tc>
          <w:tcPr>
            <w:tcW w:w="1416" w:type="dxa"/>
            <w:tcBorders>
              <w:top w:val="single" w:sz="6" w:space="0" w:color="auto"/>
              <w:bottom w:val="single" w:sz="6" w:space="0" w:color="auto"/>
            </w:tcBorders>
          </w:tcPr>
          <w:p w14:paraId="5BA9F02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105 350</w:t>
            </w:r>
          </w:p>
        </w:tc>
      </w:tr>
      <w:tr w:rsidR="00E51EAC" w14:paraId="27CBFE77"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12" w:space="0" w:color="auto"/>
            </w:tcBorders>
          </w:tcPr>
          <w:p w14:paraId="4F1C35CD" w14:textId="28D002CF" w:rsidR="00E51EAC" w:rsidRDefault="00182F93">
            <w:r>
              <w:rPr>
                <w:b/>
              </w:rPr>
              <w:t xml:space="preserve">Net result from transactions – </w:t>
            </w:r>
            <w:r w:rsidR="00BC0C0C">
              <w:rPr>
                <w:b/>
              </w:rPr>
              <w:t xml:space="preserve">Net </w:t>
            </w:r>
            <w:r>
              <w:rPr>
                <w:b/>
              </w:rPr>
              <w:t>operating balance</w:t>
            </w:r>
          </w:p>
        </w:tc>
        <w:tc>
          <w:tcPr>
            <w:tcW w:w="992" w:type="dxa"/>
            <w:tcBorders>
              <w:top w:val="single" w:sz="6" w:space="0" w:color="auto"/>
              <w:bottom w:val="single" w:sz="12" w:space="0" w:color="auto"/>
            </w:tcBorders>
          </w:tcPr>
          <w:p w14:paraId="0848EAC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(4 273)</w:t>
            </w:r>
          </w:p>
        </w:tc>
        <w:tc>
          <w:tcPr>
            <w:tcW w:w="1416" w:type="dxa"/>
            <w:tcBorders>
              <w:top w:val="single" w:sz="6" w:space="0" w:color="auto"/>
              <w:bottom w:val="single" w:sz="12" w:space="0" w:color="auto"/>
            </w:tcBorders>
          </w:tcPr>
          <w:p w14:paraId="70632D4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(5 515)</w:t>
            </w:r>
          </w:p>
        </w:tc>
      </w:tr>
      <w:tr w:rsidR="00E51EAC" w14:paraId="32283BCF"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0" w:space="0" w:color="auto"/>
            </w:tcBorders>
          </w:tcPr>
          <w:p w14:paraId="57EDEBC7" w14:textId="77777777" w:rsidR="00E51EAC" w:rsidRDefault="00182F93">
            <w:r>
              <w:rPr>
                <w:b/>
              </w:rPr>
              <w:t>Other economic flows included in net result</w:t>
            </w:r>
          </w:p>
        </w:tc>
        <w:tc>
          <w:tcPr>
            <w:tcW w:w="992" w:type="dxa"/>
            <w:tcBorders>
              <w:top w:val="single" w:sz="0" w:space="0" w:color="auto"/>
            </w:tcBorders>
          </w:tcPr>
          <w:p w14:paraId="5D7B153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0" w:space="0" w:color="auto"/>
            </w:tcBorders>
          </w:tcPr>
          <w:p w14:paraId="55EAF79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E7E136C"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4C8B4EA3" w14:textId="77777777" w:rsidR="00E51EAC" w:rsidRDefault="00182F93">
            <w:r>
              <w:t>Net gain/(loss) on disposal of non</w:t>
            </w:r>
            <w:r>
              <w:noBreakHyphen/>
              <w:t>financial assets</w:t>
            </w:r>
          </w:p>
        </w:tc>
        <w:tc>
          <w:tcPr>
            <w:tcW w:w="992" w:type="dxa"/>
          </w:tcPr>
          <w:p w14:paraId="1754A646" w14:textId="77777777" w:rsidR="00E51EAC" w:rsidRDefault="00182F93">
            <w:pPr>
              <w:cnfStyle w:val="000000000000" w:firstRow="0" w:lastRow="0" w:firstColumn="0" w:lastColumn="0" w:oddVBand="0" w:evenVBand="0" w:oddHBand="0" w:evenHBand="0" w:firstRowFirstColumn="0" w:firstRowLastColumn="0" w:lastRowFirstColumn="0" w:lastRowLastColumn="0"/>
            </w:pPr>
            <w:r>
              <w:t>(7)</w:t>
            </w:r>
          </w:p>
        </w:tc>
        <w:tc>
          <w:tcPr>
            <w:tcW w:w="1416" w:type="dxa"/>
          </w:tcPr>
          <w:p w14:paraId="257B83DA" w14:textId="77777777" w:rsidR="00E51EAC" w:rsidRDefault="00182F93">
            <w:pPr>
              <w:cnfStyle w:val="000000000000" w:firstRow="0" w:lastRow="0" w:firstColumn="0" w:lastColumn="0" w:oddVBand="0" w:evenVBand="0" w:oddHBand="0" w:evenHBand="0" w:firstRowFirstColumn="0" w:firstRowLastColumn="0" w:lastRowFirstColumn="0" w:lastRowLastColumn="0"/>
            </w:pPr>
            <w:r>
              <w:t>(63)</w:t>
            </w:r>
          </w:p>
        </w:tc>
      </w:tr>
      <w:tr w:rsidR="00E51EAC" w14:paraId="15F0119D"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5BBC5D1" w14:textId="77777777" w:rsidR="00E51EAC" w:rsidRDefault="00182F93">
            <w:r>
              <w:t>Net gain/(loss) on financial assets or liabilities at fair value</w:t>
            </w:r>
          </w:p>
        </w:tc>
        <w:tc>
          <w:tcPr>
            <w:tcW w:w="992" w:type="dxa"/>
          </w:tcPr>
          <w:p w14:paraId="5FA0A383" w14:textId="77777777" w:rsidR="00E51EAC" w:rsidRDefault="00182F93">
            <w:pPr>
              <w:cnfStyle w:val="000000000000" w:firstRow="0" w:lastRow="0" w:firstColumn="0" w:lastColumn="0" w:oddVBand="0" w:evenVBand="0" w:oddHBand="0" w:evenHBand="0" w:firstRowFirstColumn="0" w:firstRowLastColumn="0" w:lastRowFirstColumn="0" w:lastRowLastColumn="0"/>
            </w:pPr>
            <w:r>
              <w:t>1 255</w:t>
            </w:r>
          </w:p>
        </w:tc>
        <w:tc>
          <w:tcPr>
            <w:tcW w:w="1416" w:type="dxa"/>
          </w:tcPr>
          <w:p w14:paraId="30ADC876" w14:textId="77777777" w:rsidR="00E51EAC" w:rsidRDefault="00182F93">
            <w:pPr>
              <w:cnfStyle w:val="000000000000" w:firstRow="0" w:lastRow="0" w:firstColumn="0" w:lastColumn="0" w:oddVBand="0" w:evenVBand="0" w:oddHBand="0" w:evenHBand="0" w:firstRowFirstColumn="0" w:firstRowLastColumn="0" w:lastRowFirstColumn="0" w:lastRowLastColumn="0"/>
            </w:pPr>
            <w:r>
              <w:t>430</w:t>
            </w:r>
          </w:p>
        </w:tc>
      </w:tr>
      <w:tr w:rsidR="00E51EAC" w14:paraId="5767C368"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35E07719" w14:textId="77777777" w:rsidR="00E51EAC" w:rsidRDefault="00182F93">
            <w:r>
              <w:t>Share of net profit/(loss) from associates/joint venture entities</w:t>
            </w:r>
          </w:p>
        </w:tc>
        <w:tc>
          <w:tcPr>
            <w:tcW w:w="992" w:type="dxa"/>
          </w:tcPr>
          <w:p w14:paraId="7F45C35C" w14:textId="77777777" w:rsidR="00E51EAC" w:rsidRDefault="00182F93">
            <w:pPr>
              <w:cnfStyle w:val="000000000000" w:firstRow="0" w:lastRow="0" w:firstColumn="0" w:lastColumn="0" w:oddVBand="0" w:evenVBand="0" w:oddHBand="0" w:evenHBand="0" w:firstRowFirstColumn="0" w:firstRowLastColumn="0" w:lastRowFirstColumn="0" w:lastRowLastColumn="0"/>
            </w:pPr>
            <w:r>
              <w:t>(74)</w:t>
            </w:r>
          </w:p>
        </w:tc>
        <w:tc>
          <w:tcPr>
            <w:tcW w:w="1416" w:type="dxa"/>
          </w:tcPr>
          <w:p w14:paraId="326492FD" w14:textId="77777777" w:rsidR="00E51EAC" w:rsidRDefault="00182F93">
            <w:pPr>
              <w:cnfStyle w:val="000000000000" w:firstRow="0" w:lastRow="0" w:firstColumn="0" w:lastColumn="0" w:oddVBand="0" w:evenVBand="0" w:oddHBand="0" w:evenHBand="0" w:firstRowFirstColumn="0" w:firstRowLastColumn="0" w:lastRowFirstColumn="0" w:lastRowLastColumn="0"/>
            </w:pPr>
            <w:r>
              <w:t>(52)</w:t>
            </w:r>
          </w:p>
        </w:tc>
      </w:tr>
      <w:tr w:rsidR="00E51EAC" w14:paraId="45276F87"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bottom w:val="single" w:sz="6" w:space="0" w:color="auto"/>
            </w:tcBorders>
          </w:tcPr>
          <w:p w14:paraId="42C06245" w14:textId="77777777" w:rsidR="00E51EAC" w:rsidRDefault="00182F93">
            <w:r>
              <w:t>Other gains/(losses) from other economic flows</w:t>
            </w:r>
          </w:p>
        </w:tc>
        <w:tc>
          <w:tcPr>
            <w:tcW w:w="992" w:type="dxa"/>
            <w:tcBorders>
              <w:bottom w:val="single" w:sz="6" w:space="0" w:color="auto"/>
            </w:tcBorders>
          </w:tcPr>
          <w:p w14:paraId="6986C3B6" w14:textId="77777777" w:rsidR="00E51EAC" w:rsidRDefault="00182F93">
            <w:pPr>
              <w:cnfStyle w:val="000000000000" w:firstRow="0" w:lastRow="0" w:firstColumn="0" w:lastColumn="0" w:oddVBand="0" w:evenVBand="0" w:oddHBand="0" w:evenHBand="0" w:firstRowFirstColumn="0" w:firstRowLastColumn="0" w:lastRowFirstColumn="0" w:lastRowLastColumn="0"/>
            </w:pPr>
            <w:r>
              <w:t>(585)</w:t>
            </w:r>
          </w:p>
        </w:tc>
        <w:tc>
          <w:tcPr>
            <w:tcW w:w="1416" w:type="dxa"/>
            <w:tcBorders>
              <w:bottom w:val="single" w:sz="6" w:space="0" w:color="auto"/>
            </w:tcBorders>
          </w:tcPr>
          <w:p w14:paraId="720F045E" w14:textId="77777777" w:rsidR="00E51EAC" w:rsidRDefault="00182F93">
            <w:pPr>
              <w:cnfStyle w:val="000000000000" w:firstRow="0" w:lastRow="0" w:firstColumn="0" w:lastColumn="0" w:oddVBand="0" w:evenVBand="0" w:oddHBand="0" w:evenHBand="0" w:firstRowFirstColumn="0" w:firstRowLastColumn="0" w:lastRowFirstColumn="0" w:lastRowLastColumn="0"/>
            </w:pPr>
            <w:r>
              <w:t>(656)</w:t>
            </w:r>
          </w:p>
        </w:tc>
      </w:tr>
      <w:tr w:rsidR="00E51EAC" w14:paraId="24E59A47"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6" w:space="0" w:color="auto"/>
            </w:tcBorders>
          </w:tcPr>
          <w:p w14:paraId="14EE5EBE" w14:textId="77777777" w:rsidR="00E51EAC" w:rsidRDefault="00182F93">
            <w:r>
              <w:rPr>
                <w:b/>
              </w:rPr>
              <w:t>Total other economic flows included in net result</w:t>
            </w:r>
          </w:p>
        </w:tc>
        <w:tc>
          <w:tcPr>
            <w:tcW w:w="992" w:type="dxa"/>
            <w:tcBorders>
              <w:top w:val="single" w:sz="6" w:space="0" w:color="auto"/>
              <w:bottom w:val="single" w:sz="6" w:space="0" w:color="auto"/>
            </w:tcBorders>
          </w:tcPr>
          <w:p w14:paraId="17B56A8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589</w:t>
            </w:r>
          </w:p>
        </w:tc>
        <w:tc>
          <w:tcPr>
            <w:tcW w:w="1416" w:type="dxa"/>
            <w:tcBorders>
              <w:top w:val="single" w:sz="6" w:space="0" w:color="auto"/>
              <w:bottom w:val="single" w:sz="6" w:space="0" w:color="auto"/>
            </w:tcBorders>
          </w:tcPr>
          <w:p w14:paraId="25C580A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(341)</w:t>
            </w:r>
          </w:p>
        </w:tc>
      </w:tr>
      <w:tr w:rsidR="00E51EAC" w14:paraId="01150855"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6" w:space="0" w:color="auto"/>
            </w:tcBorders>
          </w:tcPr>
          <w:p w14:paraId="175C6931" w14:textId="77777777" w:rsidR="00E51EAC" w:rsidRDefault="00182F93">
            <w:r>
              <w:rPr>
                <w:b/>
              </w:rPr>
              <w:t>Net result</w:t>
            </w:r>
          </w:p>
        </w:tc>
        <w:tc>
          <w:tcPr>
            <w:tcW w:w="992" w:type="dxa"/>
            <w:tcBorders>
              <w:top w:val="single" w:sz="6" w:space="0" w:color="auto"/>
              <w:bottom w:val="single" w:sz="6" w:space="0" w:color="auto"/>
            </w:tcBorders>
          </w:tcPr>
          <w:p w14:paraId="4F3C36A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(3 683)</w:t>
            </w:r>
          </w:p>
        </w:tc>
        <w:tc>
          <w:tcPr>
            <w:tcW w:w="1416" w:type="dxa"/>
            <w:tcBorders>
              <w:top w:val="single" w:sz="6" w:space="0" w:color="auto"/>
              <w:bottom w:val="single" w:sz="6" w:space="0" w:color="auto"/>
            </w:tcBorders>
          </w:tcPr>
          <w:p w14:paraId="54093A7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(5 856)</w:t>
            </w:r>
          </w:p>
        </w:tc>
      </w:tr>
      <w:tr w:rsidR="00E51EAC" w14:paraId="586D7875"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tcBorders>
          </w:tcPr>
          <w:p w14:paraId="1EED4639" w14:textId="137D1901" w:rsidR="00E51EAC" w:rsidRDefault="00182F93">
            <w:r>
              <w:rPr>
                <w:b/>
              </w:rPr>
              <w:t xml:space="preserve">Other economic flows – </w:t>
            </w:r>
            <w:r w:rsidR="00BC0C0C">
              <w:rPr>
                <w:b/>
              </w:rPr>
              <w:t xml:space="preserve">Other </w:t>
            </w:r>
            <w:r>
              <w:rPr>
                <w:b/>
              </w:rPr>
              <w:t>comprehensive income</w:t>
            </w:r>
          </w:p>
        </w:tc>
        <w:tc>
          <w:tcPr>
            <w:tcW w:w="992" w:type="dxa"/>
            <w:tcBorders>
              <w:top w:val="single" w:sz="6" w:space="0" w:color="auto"/>
            </w:tcBorders>
          </w:tcPr>
          <w:p w14:paraId="0FABCC0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Borders>
              <w:top w:val="single" w:sz="6" w:space="0" w:color="auto"/>
            </w:tcBorders>
          </w:tcPr>
          <w:p w14:paraId="4CBF0D4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508E064"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7AB2F4DF" w14:textId="77777777" w:rsidR="00E51EAC" w:rsidRDefault="00182F93">
            <w:r>
              <w:rPr>
                <w:b/>
              </w:rPr>
              <w:t>Items that will not be reclassified to net result</w:t>
            </w:r>
          </w:p>
        </w:tc>
        <w:tc>
          <w:tcPr>
            <w:tcW w:w="992" w:type="dxa"/>
          </w:tcPr>
          <w:p w14:paraId="3E68FD1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5CC1E20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4ACDD22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0951880" w14:textId="77777777" w:rsidR="00E51EAC" w:rsidRDefault="00182F93">
            <w:r>
              <w:t>Changes in non</w:t>
            </w:r>
            <w:r>
              <w:noBreakHyphen/>
              <w:t>financial assets revaluation surplus</w:t>
            </w:r>
          </w:p>
        </w:tc>
        <w:tc>
          <w:tcPr>
            <w:tcW w:w="992" w:type="dxa"/>
          </w:tcPr>
          <w:p w14:paraId="42D99482" w14:textId="77777777" w:rsidR="00E51EAC" w:rsidRDefault="00182F93">
            <w:pPr>
              <w:cnfStyle w:val="000000000000" w:firstRow="0" w:lastRow="0" w:firstColumn="0" w:lastColumn="0" w:oddVBand="0" w:evenVBand="0" w:oddHBand="0" w:evenHBand="0" w:firstRowFirstColumn="0" w:firstRowLastColumn="0" w:lastRowFirstColumn="0" w:lastRowLastColumn="0"/>
            </w:pPr>
            <w:r>
              <w:t>48 449</w:t>
            </w:r>
          </w:p>
        </w:tc>
        <w:tc>
          <w:tcPr>
            <w:tcW w:w="1416" w:type="dxa"/>
          </w:tcPr>
          <w:p w14:paraId="302306EF" w14:textId="77777777" w:rsidR="00E51EAC" w:rsidRDefault="00182F93">
            <w:pPr>
              <w:cnfStyle w:val="000000000000" w:firstRow="0" w:lastRow="0" w:firstColumn="0" w:lastColumn="0" w:oddVBand="0" w:evenVBand="0" w:oddHBand="0" w:evenHBand="0" w:firstRowFirstColumn="0" w:firstRowLastColumn="0" w:lastRowFirstColumn="0" w:lastRowLastColumn="0"/>
            </w:pPr>
            <w:r>
              <w:t>9 627</w:t>
            </w:r>
          </w:p>
        </w:tc>
      </w:tr>
      <w:tr w:rsidR="00E51EAC" w14:paraId="1E256663"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5503AEAE" w14:textId="77777777" w:rsidR="00E51EAC" w:rsidRDefault="00182F93">
            <w:r>
              <w:t>Remeasurement of superannuation defined benefits plans</w:t>
            </w:r>
          </w:p>
        </w:tc>
        <w:tc>
          <w:tcPr>
            <w:tcW w:w="992" w:type="dxa"/>
          </w:tcPr>
          <w:p w14:paraId="09512FDE" w14:textId="77777777" w:rsidR="00E51EAC" w:rsidRDefault="00182F93">
            <w:pPr>
              <w:cnfStyle w:val="000000000000" w:firstRow="0" w:lastRow="0" w:firstColumn="0" w:lastColumn="0" w:oddVBand="0" w:evenVBand="0" w:oddHBand="0" w:evenHBand="0" w:firstRowFirstColumn="0" w:firstRowLastColumn="0" w:lastRowFirstColumn="0" w:lastRowLastColumn="0"/>
            </w:pPr>
            <w:r>
              <w:t>795</w:t>
            </w:r>
          </w:p>
        </w:tc>
        <w:tc>
          <w:tcPr>
            <w:tcW w:w="1416" w:type="dxa"/>
          </w:tcPr>
          <w:p w14:paraId="0AA60549" w14:textId="77777777" w:rsidR="00E51EAC" w:rsidRDefault="00182F93">
            <w:pPr>
              <w:cnfStyle w:val="000000000000" w:firstRow="0" w:lastRow="0" w:firstColumn="0" w:lastColumn="0" w:oddVBand="0" w:evenVBand="0" w:oddHBand="0" w:evenHBand="0" w:firstRowFirstColumn="0" w:firstRowLastColumn="0" w:lastRowFirstColumn="0" w:lastRowLastColumn="0"/>
            </w:pPr>
            <w:r>
              <w:t>1 675</w:t>
            </w:r>
          </w:p>
        </w:tc>
      </w:tr>
      <w:tr w:rsidR="00E51EAC" w14:paraId="49D75F00"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BD5A588" w14:textId="77777777" w:rsidR="00E51EAC" w:rsidRDefault="00182F93">
            <w:r>
              <w:t>Other movements in equity</w:t>
            </w:r>
          </w:p>
        </w:tc>
        <w:tc>
          <w:tcPr>
            <w:tcW w:w="992" w:type="dxa"/>
          </w:tcPr>
          <w:p w14:paraId="6E3C0368" w14:textId="77777777" w:rsidR="00E51EAC" w:rsidRDefault="00182F93">
            <w:pPr>
              <w:cnfStyle w:val="000000000000" w:firstRow="0" w:lastRow="0" w:firstColumn="0" w:lastColumn="0" w:oddVBand="0" w:evenVBand="0" w:oddHBand="0" w:evenHBand="0" w:firstRowFirstColumn="0" w:firstRowLastColumn="0" w:lastRowFirstColumn="0" w:lastRowLastColumn="0"/>
            </w:pPr>
            <w:r>
              <w:t>(13)</w:t>
            </w:r>
          </w:p>
        </w:tc>
        <w:tc>
          <w:tcPr>
            <w:tcW w:w="1416" w:type="dxa"/>
          </w:tcPr>
          <w:p w14:paraId="0F5BA50B" w14:textId="77777777" w:rsidR="00E51EAC" w:rsidRDefault="00182F93">
            <w:pPr>
              <w:cnfStyle w:val="000000000000" w:firstRow="0" w:lastRow="0" w:firstColumn="0" w:lastColumn="0" w:oddVBand="0" w:evenVBand="0" w:oddHBand="0" w:evenHBand="0" w:firstRowFirstColumn="0" w:firstRowLastColumn="0" w:lastRowFirstColumn="0" w:lastRowLastColumn="0"/>
            </w:pPr>
            <w:r>
              <w:t>(66)</w:t>
            </w:r>
          </w:p>
        </w:tc>
      </w:tr>
      <w:tr w:rsidR="00E51EAC" w14:paraId="03D54D97"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66647231" w14:textId="77777777" w:rsidR="00E51EAC" w:rsidRDefault="00182F93">
            <w:r>
              <w:rPr>
                <w:b/>
              </w:rPr>
              <w:t>Items that may be reclassified subsequently to net result</w:t>
            </w:r>
          </w:p>
        </w:tc>
        <w:tc>
          <w:tcPr>
            <w:tcW w:w="992" w:type="dxa"/>
          </w:tcPr>
          <w:p w14:paraId="367DB0E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0EF90F8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23C5A721"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290E5F64" w14:textId="77777777" w:rsidR="00E51EAC" w:rsidRDefault="00182F93">
            <w:r>
              <w:t>Net gain/(loss) on financial assets at fair value</w:t>
            </w:r>
          </w:p>
        </w:tc>
        <w:tc>
          <w:tcPr>
            <w:tcW w:w="992" w:type="dxa"/>
          </w:tcPr>
          <w:p w14:paraId="276E4863" w14:textId="77777777" w:rsidR="00E51EAC" w:rsidRDefault="00182F93">
            <w:pPr>
              <w:cnfStyle w:val="000000000000" w:firstRow="0" w:lastRow="0" w:firstColumn="0" w:lastColumn="0" w:oddVBand="0" w:evenVBand="0" w:oddHBand="0" w:evenHBand="0" w:firstRowFirstColumn="0" w:firstRowLastColumn="0" w:lastRowFirstColumn="0" w:lastRowLastColumn="0"/>
            </w:pPr>
            <w:r>
              <w:t>(31)</w:t>
            </w:r>
          </w:p>
        </w:tc>
        <w:tc>
          <w:tcPr>
            <w:tcW w:w="1416" w:type="dxa"/>
          </w:tcPr>
          <w:p w14:paraId="4CDBB543" w14:textId="77777777" w:rsidR="00E51EAC" w:rsidRDefault="00182F93">
            <w:pPr>
              <w:cnfStyle w:val="000000000000" w:firstRow="0" w:lastRow="0" w:firstColumn="0" w:lastColumn="0" w:oddVBand="0" w:evenVBand="0" w:oddHBand="0" w:evenHBand="0" w:firstRowFirstColumn="0" w:firstRowLastColumn="0" w:lastRowFirstColumn="0" w:lastRowLastColumn="0"/>
            </w:pPr>
            <w:r>
              <w:t>15</w:t>
            </w:r>
          </w:p>
        </w:tc>
      </w:tr>
      <w:tr w:rsidR="00E51EAC" w14:paraId="133E6AB8"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bottom w:val="single" w:sz="6" w:space="0" w:color="auto"/>
            </w:tcBorders>
          </w:tcPr>
          <w:p w14:paraId="70A96405" w14:textId="77777777" w:rsidR="00E51EAC" w:rsidRDefault="00182F93">
            <w:r>
              <w:t>Net gain/(loss) on equity investments in other sector entities at proportional share of the carrying amount of net assets</w:t>
            </w:r>
          </w:p>
        </w:tc>
        <w:tc>
          <w:tcPr>
            <w:tcW w:w="992" w:type="dxa"/>
            <w:tcBorders>
              <w:bottom w:val="single" w:sz="6" w:space="0" w:color="auto"/>
            </w:tcBorders>
          </w:tcPr>
          <w:p w14:paraId="2D6EF526" w14:textId="77777777" w:rsidR="00E51EAC" w:rsidRDefault="00182F93">
            <w:pPr>
              <w:cnfStyle w:val="000000000000" w:firstRow="0" w:lastRow="0" w:firstColumn="0" w:lastColumn="0" w:oddVBand="0" w:evenVBand="0" w:oddHBand="0" w:evenHBand="0" w:firstRowFirstColumn="0" w:firstRowLastColumn="0" w:lastRowFirstColumn="0" w:lastRowLastColumn="0"/>
            </w:pPr>
            <w:r>
              <w:t>(5 311)</w:t>
            </w:r>
          </w:p>
        </w:tc>
        <w:tc>
          <w:tcPr>
            <w:tcW w:w="1416" w:type="dxa"/>
            <w:tcBorders>
              <w:bottom w:val="single" w:sz="6" w:space="0" w:color="auto"/>
            </w:tcBorders>
          </w:tcPr>
          <w:p w14:paraId="14BF8AD9" w14:textId="77777777" w:rsidR="00E51EAC" w:rsidRDefault="00182F93">
            <w:pPr>
              <w:cnfStyle w:val="000000000000" w:firstRow="0" w:lastRow="0" w:firstColumn="0" w:lastColumn="0" w:oddVBand="0" w:evenVBand="0" w:oddHBand="0" w:evenHBand="0" w:firstRowFirstColumn="0" w:firstRowLastColumn="0" w:lastRowFirstColumn="0" w:lastRowLastColumn="0"/>
            </w:pPr>
            <w:r>
              <w:t>(204)</w:t>
            </w:r>
          </w:p>
        </w:tc>
      </w:tr>
      <w:tr w:rsidR="00E51EAC" w14:paraId="718A1000"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6" w:space="0" w:color="auto"/>
            </w:tcBorders>
          </w:tcPr>
          <w:p w14:paraId="5C90DE0C" w14:textId="274B3950" w:rsidR="00E51EAC" w:rsidRDefault="00182F93">
            <w:r>
              <w:rPr>
                <w:b/>
              </w:rPr>
              <w:t xml:space="preserve">Total other economic flows – </w:t>
            </w:r>
            <w:r w:rsidR="00BC0C0C">
              <w:rPr>
                <w:b/>
              </w:rPr>
              <w:t xml:space="preserve">Other </w:t>
            </w:r>
            <w:r>
              <w:rPr>
                <w:b/>
              </w:rPr>
              <w:t>comprehensive income</w:t>
            </w:r>
          </w:p>
        </w:tc>
        <w:tc>
          <w:tcPr>
            <w:tcW w:w="992" w:type="dxa"/>
            <w:tcBorders>
              <w:top w:val="single" w:sz="6" w:space="0" w:color="auto"/>
              <w:bottom w:val="single" w:sz="6" w:space="0" w:color="auto"/>
            </w:tcBorders>
          </w:tcPr>
          <w:p w14:paraId="3CA35DF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43 888</w:t>
            </w:r>
          </w:p>
        </w:tc>
        <w:tc>
          <w:tcPr>
            <w:tcW w:w="1416" w:type="dxa"/>
            <w:tcBorders>
              <w:top w:val="single" w:sz="6" w:space="0" w:color="auto"/>
              <w:bottom w:val="single" w:sz="6" w:space="0" w:color="auto"/>
            </w:tcBorders>
          </w:tcPr>
          <w:p w14:paraId="6258538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11 047</w:t>
            </w:r>
          </w:p>
        </w:tc>
      </w:tr>
      <w:tr w:rsidR="00E51EAC" w14:paraId="60AA37B9"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12" w:space="0" w:color="auto"/>
            </w:tcBorders>
          </w:tcPr>
          <w:p w14:paraId="5894D0A7" w14:textId="0AEA87F1" w:rsidR="00E51EAC" w:rsidRDefault="00182F93">
            <w:r>
              <w:rPr>
                <w:b/>
              </w:rPr>
              <w:t xml:space="preserve">Comprehensive result – </w:t>
            </w:r>
            <w:r w:rsidR="00BC0C0C">
              <w:rPr>
                <w:b/>
              </w:rPr>
              <w:t xml:space="preserve">Total </w:t>
            </w:r>
            <w:r>
              <w:rPr>
                <w:b/>
              </w:rPr>
              <w:t>change in net worth</w:t>
            </w:r>
          </w:p>
        </w:tc>
        <w:tc>
          <w:tcPr>
            <w:tcW w:w="992" w:type="dxa"/>
            <w:tcBorders>
              <w:top w:val="single" w:sz="6" w:space="0" w:color="auto"/>
              <w:bottom w:val="single" w:sz="12" w:space="0" w:color="auto"/>
            </w:tcBorders>
          </w:tcPr>
          <w:p w14:paraId="60156BD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40 205</w:t>
            </w:r>
          </w:p>
        </w:tc>
        <w:tc>
          <w:tcPr>
            <w:tcW w:w="1416" w:type="dxa"/>
            <w:tcBorders>
              <w:top w:val="single" w:sz="6" w:space="0" w:color="auto"/>
              <w:bottom w:val="single" w:sz="12" w:space="0" w:color="auto"/>
            </w:tcBorders>
          </w:tcPr>
          <w:p w14:paraId="30D7C4E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5 191</w:t>
            </w:r>
          </w:p>
        </w:tc>
      </w:tr>
      <w:tr w:rsidR="00E51EAC" w14:paraId="35DAFB3C"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7D289190" w14:textId="77777777" w:rsidR="00E51EAC" w:rsidRDefault="00182F93">
            <w:r>
              <w:rPr>
                <w:b/>
              </w:rPr>
              <w:t>FISCAL AGGREGRATES</w:t>
            </w:r>
          </w:p>
        </w:tc>
        <w:tc>
          <w:tcPr>
            <w:tcW w:w="992" w:type="dxa"/>
          </w:tcPr>
          <w:p w14:paraId="18654DF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016C613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C75D3F5"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2CE50EBB" w14:textId="77777777" w:rsidR="00E51EAC" w:rsidRDefault="00182F93">
            <w:r>
              <w:rPr>
                <w:b/>
              </w:rPr>
              <w:t>Net operating balance</w:t>
            </w:r>
          </w:p>
        </w:tc>
        <w:tc>
          <w:tcPr>
            <w:tcW w:w="992" w:type="dxa"/>
          </w:tcPr>
          <w:p w14:paraId="6A72EA6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(4 273)</w:t>
            </w:r>
          </w:p>
        </w:tc>
        <w:tc>
          <w:tcPr>
            <w:tcW w:w="1416" w:type="dxa"/>
          </w:tcPr>
          <w:p w14:paraId="5596924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(5 515)</w:t>
            </w:r>
          </w:p>
        </w:tc>
      </w:tr>
      <w:tr w:rsidR="00E51EAC" w14:paraId="5C49D11A"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F5119A6" w14:textId="77777777" w:rsidR="00E51EAC" w:rsidRDefault="00182F93">
            <w:r>
              <w:rPr>
                <w:b/>
              </w:rPr>
              <w:t>Net acquisition of non</w:t>
            </w:r>
            <w:r>
              <w:rPr>
                <w:b/>
              </w:rPr>
              <w:noBreakHyphen/>
              <w:t>financial assets from transactions</w:t>
            </w:r>
          </w:p>
        </w:tc>
        <w:tc>
          <w:tcPr>
            <w:tcW w:w="992" w:type="dxa"/>
          </w:tcPr>
          <w:p w14:paraId="0551BF4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6" w:type="dxa"/>
          </w:tcPr>
          <w:p w14:paraId="2C232B8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628321D"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6E7C457" w14:textId="77777777" w:rsidR="00E51EAC" w:rsidRDefault="00182F93">
            <w:r>
              <w:t>Purchases of non</w:t>
            </w:r>
            <w:r>
              <w:noBreakHyphen/>
              <w:t>financial assets (including change in inventories)</w:t>
            </w:r>
            <w:r>
              <w:rPr>
                <w:vertAlign w:val="superscript"/>
              </w:rPr>
              <w:t xml:space="preserve"> (a)</w:t>
            </w:r>
          </w:p>
        </w:tc>
        <w:tc>
          <w:tcPr>
            <w:tcW w:w="992" w:type="dxa"/>
          </w:tcPr>
          <w:p w14:paraId="5463F4AD" w14:textId="77777777" w:rsidR="00E51EAC" w:rsidRDefault="00182F93">
            <w:pPr>
              <w:cnfStyle w:val="000000000000" w:firstRow="0" w:lastRow="0" w:firstColumn="0" w:lastColumn="0" w:oddVBand="0" w:evenVBand="0" w:oddHBand="0" w:evenHBand="0" w:firstRowFirstColumn="0" w:firstRowLastColumn="0" w:lastRowFirstColumn="0" w:lastRowLastColumn="0"/>
            </w:pPr>
            <w:r>
              <w:t>22 348</w:t>
            </w:r>
          </w:p>
        </w:tc>
        <w:tc>
          <w:tcPr>
            <w:tcW w:w="1416" w:type="dxa"/>
          </w:tcPr>
          <w:p w14:paraId="19AE7E19" w14:textId="77777777" w:rsidR="00E51EAC" w:rsidRDefault="00182F93">
            <w:pPr>
              <w:cnfStyle w:val="000000000000" w:firstRow="0" w:lastRow="0" w:firstColumn="0" w:lastColumn="0" w:oddVBand="0" w:evenVBand="0" w:oddHBand="0" w:evenHBand="0" w:firstRowFirstColumn="0" w:firstRowLastColumn="0" w:lastRowFirstColumn="0" w:lastRowLastColumn="0"/>
            </w:pPr>
            <w:r>
              <w:t>23 073</w:t>
            </w:r>
          </w:p>
        </w:tc>
      </w:tr>
      <w:tr w:rsidR="00E51EAC" w14:paraId="2D43AAB6"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5F1762BE" w14:textId="77777777" w:rsidR="00E51EAC" w:rsidRDefault="00182F93">
            <w:r>
              <w:t>Less: Sales of non</w:t>
            </w:r>
            <w:r>
              <w:noBreakHyphen/>
              <w:t>financial assets</w:t>
            </w:r>
          </w:p>
        </w:tc>
        <w:tc>
          <w:tcPr>
            <w:tcW w:w="992" w:type="dxa"/>
          </w:tcPr>
          <w:p w14:paraId="1F33F58E" w14:textId="77777777" w:rsidR="00E51EAC" w:rsidRDefault="00182F93">
            <w:pPr>
              <w:cnfStyle w:val="000000000000" w:firstRow="0" w:lastRow="0" w:firstColumn="0" w:lastColumn="0" w:oddVBand="0" w:evenVBand="0" w:oddHBand="0" w:evenHBand="0" w:firstRowFirstColumn="0" w:firstRowLastColumn="0" w:lastRowFirstColumn="0" w:lastRowLastColumn="0"/>
            </w:pPr>
            <w:r>
              <w:t>(400)</w:t>
            </w:r>
          </w:p>
        </w:tc>
        <w:tc>
          <w:tcPr>
            <w:tcW w:w="1416" w:type="dxa"/>
          </w:tcPr>
          <w:p w14:paraId="27601CF5" w14:textId="77777777" w:rsidR="00E51EAC" w:rsidRDefault="00182F93">
            <w:pPr>
              <w:cnfStyle w:val="000000000000" w:firstRow="0" w:lastRow="0" w:firstColumn="0" w:lastColumn="0" w:oddVBand="0" w:evenVBand="0" w:oddHBand="0" w:evenHBand="0" w:firstRowFirstColumn="0" w:firstRowLastColumn="0" w:lastRowFirstColumn="0" w:lastRowLastColumn="0"/>
            </w:pPr>
            <w:r>
              <w:t>(670)</w:t>
            </w:r>
          </w:p>
        </w:tc>
      </w:tr>
      <w:tr w:rsidR="00E51EAC" w14:paraId="5890CBBE"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17F8DB71" w14:textId="77777777" w:rsidR="00E51EAC" w:rsidRDefault="00182F93">
            <w:r>
              <w:t>Less: Depreciation and amortisation</w:t>
            </w:r>
          </w:p>
        </w:tc>
        <w:tc>
          <w:tcPr>
            <w:tcW w:w="992" w:type="dxa"/>
          </w:tcPr>
          <w:p w14:paraId="410730ED" w14:textId="77777777" w:rsidR="00E51EAC" w:rsidRDefault="00182F93">
            <w:pPr>
              <w:cnfStyle w:val="000000000000" w:firstRow="0" w:lastRow="0" w:firstColumn="0" w:lastColumn="0" w:oddVBand="0" w:evenVBand="0" w:oddHBand="0" w:evenHBand="0" w:firstRowFirstColumn="0" w:firstRowLastColumn="0" w:lastRowFirstColumn="0" w:lastRowLastColumn="0"/>
            </w:pPr>
            <w:r>
              <w:t>(9 265)</w:t>
            </w:r>
          </w:p>
        </w:tc>
        <w:tc>
          <w:tcPr>
            <w:tcW w:w="1416" w:type="dxa"/>
          </w:tcPr>
          <w:p w14:paraId="4BECDAC0" w14:textId="77777777" w:rsidR="00E51EAC" w:rsidRDefault="00182F93">
            <w:pPr>
              <w:cnfStyle w:val="000000000000" w:firstRow="0" w:lastRow="0" w:firstColumn="0" w:lastColumn="0" w:oddVBand="0" w:evenVBand="0" w:oddHBand="0" w:evenHBand="0" w:firstRowFirstColumn="0" w:firstRowLastColumn="0" w:lastRowFirstColumn="0" w:lastRowLastColumn="0"/>
            </w:pPr>
            <w:r>
              <w:t>(8 192)</w:t>
            </w:r>
          </w:p>
        </w:tc>
      </w:tr>
      <w:tr w:rsidR="00E51EAC" w14:paraId="54418D31" w14:textId="77777777" w:rsidTr="00BC0C0C">
        <w:tc>
          <w:tcPr>
            <w:cnfStyle w:val="001000000000" w:firstRow="0" w:lastRow="0" w:firstColumn="1" w:lastColumn="0" w:oddVBand="0" w:evenVBand="0" w:oddHBand="0" w:evenHBand="0" w:firstRowFirstColumn="0" w:firstRowLastColumn="0" w:lastRowFirstColumn="0" w:lastRowLastColumn="0"/>
            <w:tcW w:w="7380" w:type="dxa"/>
          </w:tcPr>
          <w:p w14:paraId="45E5299D" w14:textId="77777777" w:rsidR="00E51EAC" w:rsidRDefault="00182F93">
            <w:r>
              <w:t>Plus/(less): Other movements in non</w:t>
            </w:r>
            <w:r>
              <w:noBreakHyphen/>
              <w:t>financial assets</w:t>
            </w:r>
          </w:p>
        </w:tc>
        <w:tc>
          <w:tcPr>
            <w:tcW w:w="992" w:type="dxa"/>
          </w:tcPr>
          <w:p w14:paraId="037A53F7" w14:textId="77777777" w:rsidR="00E51EAC" w:rsidRDefault="00182F93">
            <w:pPr>
              <w:cnfStyle w:val="000000000000" w:firstRow="0" w:lastRow="0" w:firstColumn="0" w:lastColumn="0" w:oddVBand="0" w:evenVBand="0" w:oddHBand="0" w:evenHBand="0" w:firstRowFirstColumn="0" w:firstRowLastColumn="0" w:lastRowFirstColumn="0" w:lastRowLastColumn="0"/>
            </w:pPr>
            <w:r>
              <w:t>4 754</w:t>
            </w:r>
          </w:p>
        </w:tc>
        <w:tc>
          <w:tcPr>
            <w:tcW w:w="1416" w:type="dxa"/>
          </w:tcPr>
          <w:p w14:paraId="06F3DBBD" w14:textId="77777777" w:rsidR="00E51EAC" w:rsidRDefault="00182F93">
            <w:pPr>
              <w:cnfStyle w:val="000000000000" w:firstRow="0" w:lastRow="0" w:firstColumn="0" w:lastColumn="0" w:oddVBand="0" w:evenVBand="0" w:oddHBand="0" w:evenHBand="0" w:firstRowFirstColumn="0" w:firstRowLastColumn="0" w:lastRowFirstColumn="0" w:lastRowLastColumn="0"/>
            </w:pPr>
            <w:r>
              <w:t>4 507</w:t>
            </w:r>
          </w:p>
        </w:tc>
      </w:tr>
      <w:tr w:rsidR="00E51EAC" w14:paraId="0C29D808"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bottom w:val="single" w:sz="6" w:space="0" w:color="auto"/>
            </w:tcBorders>
          </w:tcPr>
          <w:p w14:paraId="71D27F18" w14:textId="77777777" w:rsidR="00E51EAC" w:rsidRDefault="00182F93">
            <w:r>
              <w:rPr>
                <w:b/>
              </w:rPr>
              <w:t>Less: Net acquisition of non</w:t>
            </w:r>
            <w:r>
              <w:rPr>
                <w:b/>
              </w:rPr>
              <w:noBreakHyphen/>
              <w:t>financial assets from transactions</w:t>
            </w:r>
            <w:r>
              <w:rPr>
                <w:b/>
                <w:vertAlign w:val="superscript"/>
              </w:rPr>
              <w:t xml:space="preserve"> (a)</w:t>
            </w:r>
          </w:p>
        </w:tc>
        <w:tc>
          <w:tcPr>
            <w:tcW w:w="992" w:type="dxa"/>
            <w:tcBorders>
              <w:bottom w:val="single" w:sz="6" w:space="0" w:color="auto"/>
            </w:tcBorders>
          </w:tcPr>
          <w:p w14:paraId="3362A3F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17 437</w:t>
            </w:r>
          </w:p>
        </w:tc>
        <w:tc>
          <w:tcPr>
            <w:tcW w:w="1416" w:type="dxa"/>
            <w:tcBorders>
              <w:bottom w:val="single" w:sz="6" w:space="0" w:color="auto"/>
            </w:tcBorders>
          </w:tcPr>
          <w:p w14:paraId="6A3847D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18 718</w:t>
            </w:r>
          </w:p>
        </w:tc>
      </w:tr>
      <w:tr w:rsidR="00E51EAC" w14:paraId="093933C7" w14:textId="77777777" w:rsidTr="00BC0C0C">
        <w:tc>
          <w:tcPr>
            <w:cnfStyle w:val="001000000000" w:firstRow="0" w:lastRow="0" w:firstColumn="1" w:lastColumn="0" w:oddVBand="0" w:evenVBand="0" w:oddHBand="0" w:evenHBand="0" w:firstRowFirstColumn="0" w:firstRowLastColumn="0" w:lastRowFirstColumn="0" w:lastRowLastColumn="0"/>
            <w:tcW w:w="7380" w:type="dxa"/>
            <w:tcBorders>
              <w:top w:val="single" w:sz="6" w:space="0" w:color="auto"/>
              <w:bottom w:val="single" w:sz="12" w:space="0" w:color="auto"/>
            </w:tcBorders>
          </w:tcPr>
          <w:p w14:paraId="3C517037" w14:textId="77777777" w:rsidR="00E51EAC" w:rsidRDefault="00182F93">
            <w:r>
              <w:rPr>
                <w:b/>
              </w:rPr>
              <w:t>Net lending/(borrowing)</w:t>
            </w:r>
            <w:r>
              <w:rPr>
                <w:b/>
                <w:vertAlign w:val="superscript"/>
              </w:rPr>
              <w:t xml:space="preserve"> (a)</w:t>
            </w:r>
          </w:p>
        </w:tc>
        <w:tc>
          <w:tcPr>
            <w:tcW w:w="992" w:type="dxa"/>
            <w:tcBorders>
              <w:top w:val="single" w:sz="6" w:space="0" w:color="auto"/>
              <w:bottom w:val="single" w:sz="12" w:space="0" w:color="auto"/>
            </w:tcBorders>
          </w:tcPr>
          <w:p w14:paraId="1B4AC87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(21 710)</w:t>
            </w:r>
          </w:p>
        </w:tc>
        <w:tc>
          <w:tcPr>
            <w:tcW w:w="1416" w:type="dxa"/>
            <w:tcBorders>
              <w:top w:val="single" w:sz="6" w:space="0" w:color="auto"/>
              <w:bottom w:val="single" w:sz="12" w:space="0" w:color="auto"/>
            </w:tcBorders>
          </w:tcPr>
          <w:p w14:paraId="1EFA73C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(24 232)</w:t>
            </w:r>
          </w:p>
        </w:tc>
      </w:tr>
    </w:tbl>
    <w:p w14:paraId="749940B6" w14:textId="4E1CD34A" w:rsidR="0096750B" w:rsidRPr="00B90414" w:rsidRDefault="0096750B" w:rsidP="0096750B">
      <w:pPr>
        <w:pStyle w:val="Note"/>
        <w:ind w:left="0" w:firstLine="0"/>
      </w:pPr>
      <w:r w:rsidRPr="00B90414">
        <w:t>Note:</w:t>
      </w:r>
    </w:p>
    <w:p w14:paraId="3A22B602" w14:textId="6D9151BF" w:rsidR="0096750B" w:rsidRPr="00B90414" w:rsidRDefault="0096750B" w:rsidP="0096750B">
      <w:pPr>
        <w:pStyle w:val="Note"/>
      </w:pPr>
      <w:r>
        <w:t>(a</w:t>
      </w:r>
      <w:r w:rsidR="00B63941">
        <w:t>)</w:t>
      </w:r>
      <w:r w:rsidR="00B63941">
        <w:tab/>
      </w:r>
      <w:r w:rsidRPr="007E762E">
        <w:t xml:space="preserve">The </w:t>
      </w:r>
      <w:r>
        <w:t xml:space="preserve">2023-24 </w:t>
      </w:r>
      <w:r w:rsidRPr="007E762E">
        <w:t xml:space="preserve">comparative figures have been restated to reflect more </w:t>
      </w:r>
      <w:r>
        <w:t>current</w:t>
      </w:r>
      <w:r w:rsidRPr="007E762E">
        <w:t xml:space="preserve"> information.</w:t>
      </w:r>
    </w:p>
    <w:p w14:paraId="55D9F6A2" w14:textId="7C2BE376" w:rsidR="0003388E" w:rsidRDefault="0003388E" w:rsidP="0003388E"/>
    <w:p w14:paraId="25D79865" w14:textId="2A42827A" w:rsidR="0003388E" w:rsidRDefault="0003388E" w:rsidP="0003388E">
      <w:pPr>
        <w:pStyle w:val="TableHeading"/>
        <w:pageBreakBefore/>
      </w:pPr>
      <w:r>
        <w:lastRenderedPageBreak/>
        <w:t>Table 5.2:</w:t>
      </w:r>
      <w:r>
        <w:tab/>
        <w:t xml:space="preserve">Non-financial public sector balance sheet for the financial year ended 30 June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5.xlsx|Table:NFPS_BS"/>
      </w:tblPr>
      <w:tblGrid>
        <w:gridCol w:w="7513"/>
        <w:gridCol w:w="992"/>
        <w:gridCol w:w="1133"/>
      </w:tblGrid>
      <w:tr w:rsidR="008F0D56" w14:paraId="144FED25"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tcPr>
          <w:p w14:paraId="72840486" w14:textId="77777777" w:rsidR="00E51EAC" w:rsidRDefault="00E51EAC">
            <w:pPr>
              <w:keepNext/>
            </w:pPr>
          </w:p>
        </w:tc>
        <w:tc>
          <w:tcPr>
            <w:tcW w:w="992" w:type="dxa"/>
          </w:tcPr>
          <w:p w14:paraId="4DAE8177"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1133" w:type="dxa"/>
          </w:tcPr>
          <w:p w14:paraId="3AA98494"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E51EAC" w14:paraId="2D79B71A" w14:textId="77777777">
        <w:tc>
          <w:tcPr>
            <w:cnfStyle w:val="001000000000" w:firstRow="0" w:lastRow="0" w:firstColumn="1" w:lastColumn="0" w:oddVBand="0" w:evenVBand="0" w:oddHBand="0" w:evenHBand="0" w:firstRowFirstColumn="0" w:firstRowLastColumn="0" w:lastRowFirstColumn="0" w:lastRowLastColumn="0"/>
            <w:tcW w:w="7513" w:type="dxa"/>
          </w:tcPr>
          <w:p w14:paraId="594973F0" w14:textId="77777777" w:rsidR="00E51EAC" w:rsidRDefault="00182F93">
            <w:r>
              <w:rPr>
                <w:b/>
              </w:rPr>
              <w:t>Assets</w:t>
            </w:r>
          </w:p>
        </w:tc>
        <w:tc>
          <w:tcPr>
            <w:tcW w:w="992" w:type="dxa"/>
          </w:tcPr>
          <w:p w14:paraId="71F1B3A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6086C67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71D614C" w14:textId="77777777">
        <w:tc>
          <w:tcPr>
            <w:cnfStyle w:val="001000000000" w:firstRow="0" w:lastRow="0" w:firstColumn="1" w:lastColumn="0" w:oddVBand="0" w:evenVBand="0" w:oddHBand="0" w:evenHBand="0" w:firstRowFirstColumn="0" w:firstRowLastColumn="0" w:lastRowFirstColumn="0" w:lastRowLastColumn="0"/>
            <w:tcW w:w="7513" w:type="dxa"/>
          </w:tcPr>
          <w:p w14:paraId="3172266E" w14:textId="77777777" w:rsidR="00E51EAC" w:rsidRDefault="00182F93">
            <w:r>
              <w:rPr>
                <w:b/>
              </w:rPr>
              <w:t>Financial assets</w:t>
            </w:r>
          </w:p>
        </w:tc>
        <w:tc>
          <w:tcPr>
            <w:tcW w:w="992" w:type="dxa"/>
          </w:tcPr>
          <w:p w14:paraId="0339167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401F982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F15AA05" w14:textId="77777777">
        <w:tc>
          <w:tcPr>
            <w:cnfStyle w:val="001000000000" w:firstRow="0" w:lastRow="0" w:firstColumn="1" w:lastColumn="0" w:oddVBand="0" w:evenVBand="0" w:oddHBand="0" w:evenHBand="0" w:firstRowFirstColumn="0" w:firstRowLastColumn="0" w:lastRowFirstColumn="0" w:lastRowLastColumn="0"/>
            <w:tcW w:w="7513" w:type="dxa"/>
          </w:tcPr>
          <w:p w14:paraId="5D2A6983" w14:textId="77777777" w:rsidR="00E51EAC" w:rsidRDefault="00182F93">
            <w:r>
              <w:t>Cash and deposits</w:t>
            </w:r>
          </w:p>
        </w:tc>
        <w:tc>
          <w:tcPr>
            <w:tcW w:w="992" w:type="dxa"/>
          </w:tcPr>
          <w:p w14:paraId="3F1EBCAD" w14:textId="77777777" w:rsidR="00E51EAC" w:rsidRDefault="00182F93">
            <w:pPr>
              <w:cnfStyle w:val="000000000000" w:firstRow="0" w:lastRow="0" w:firstColumn="0" w:lastColumn="0" w:oddVBand="0" w:evenVBand="0" w:oddHBand="0" w:evenHBand="0" w:firstRowFirstColumn="0" w:firstRowLastColumn="0" w:lastRowFirstColumn="0" w:lastRowLastColumn="0"/>
            </w:pPr>
            <w:r>
              <w:t>15 902</w:t>
            </w:r>
          </w:p>
        </w:tc>
        <w:tc>
          <w:tcPr>
            <w:tcW w:w="1133" w:type="dxa"/>
          </w:tcPr>
          <w:p w14:paraId="19391CE1" w14:textId="77777777" w:rsidR="00E51EAC" w:rsidRDefault="00182F93">
            <w:pPr>
              <w:cnfStyle w:val="000000000000" w:firstRow="0" w:lastRow="0" w:firstColumn="0" w:lastColumn="0" w:oddVBand="0" w:evenVBand="0" w:oddHBand="0" w:evenHBand="0" w:firstRowFirstColumn="0" w:firstRowLastColumn="0" w:lastRowFirstColumn="0" w:lastRowLastColumn="0"/>
            </w:pPr>
            <w:r>
              <w:t>16 561</w:t>
            </w:r>
          </w:p>
        </w:tc>
      </w:tr>
      <w:tr w:rsidR="00E51EAC" w14:paraId="7ADF0D37" w14:textId="77777777">
        <w:tc>
          <w:tcPr>
            <w:cnfStyle w:val="001000000000" w:firstRow="0" w:lastRow="0" w:firstColumn="1" w:lastColumn="0" w:oddVBand="0" w:evenVBand="0" w:oddHBand="0" w:evenHBand="0" w:firstRowFirstColumn="0" w:firstRowLastColumn="0" w:lastRowFirstColumn="0" w:lastRowLastColumn="0"/>
            <w:tcW w:w="7513" w:type="dxa"/>
          </w:tcPr>
          <w:p w14:paraId="3D286A31" w14:textId="77777777" w:rsidR="00E51EAC" w:rsidRDefault="00182F93">
            <w:r>
              <w:t>Advances paid</w:t>
            </w:r>
          </w:p>
        </w:tc>
        <w:tc>
          <w:tcPr>
            <w:tcW w:w="992" w:type="dxa"/>
          </w:tcPr>
          <w:p w14:paraId="527EB49D" w14:textId="77777777" w:rsidR="00E51EAC" w:rsidRDefault="00182F93">
            <w:pPr>
              <w:cnfStyle w:val="000000000000" w:firstRow="0" w:lastRow="0" w:firstColumn="0" w:lastColumn="0" w:oddVBand="0" w:evenVBand="0" w:oddHBand="0" w:evenHBand="0" w:firstRowFirstColumn="0" w:firstRowLastColumn="0" w:lastRowFirstColumn="0" w:lastRowLastColumn="0"/>
            </w:pPr>
            <w:r>
              <w:t>506</w:t>
            </w:r>
          </w:p>
        </w:tc>
        <w:tc>
          <w:tcPr>
            <w:tcW w:w="1133" w:type="dxa"/>
          </w:tcPr>
          <w:p w14:paraId="61E3CA91" w14:textId="77777777" w:rsidR="00E51EAC" w:rsidRDefault="00182F93">
            <w:pPr>
              <w:cnfStyle w:val="000000000000" w:firstRow="0" w:lastRow="0" w:firstColumn="0" w:lastColumn="0" w:oddVBand="0" w:evenVBand="0" w:oddHBand="0" w:evenHBand="0" w:firstRowFirstColumn="0" w:firstRowLastColumn="0" w:lastRowFirstColumn="0" w:lastRowLastColumn="0"/>
            </w:pPr>
            <w:r>
              <w:t>521</w:t>
            </w:r>
          </w:p>
        </w:tc>
      </w:tr>
      <w:tr w:rsidR="00E51EAC" w14:paraId="5EAFFF29" w14:textId="77777777">
        <w:tc>
          <w:tcPr>
            <w:cnfStyle w:val="001000000000" w:firstRow="0" w:lastRow="0" w:firstColumn="1" w:lastColumn="0" w:oddVBand="0" w:evenVBand="0" w:oddHBand="0" w:evenHBand="0" w:firstRowFirstColumn="0" w:firstRowLastColumn="0" w:lastRowFirstColumn="0" w:lastRowLastColumn="0"/>
            <w:tcW w:w="7513" w:type="dxa"/>
          </w:tcPr>
          <w:p w14:paraId="5A0AF070" w14:textId="77777777" w:rsidR="00E51EAC" w:rsidRDefault="00182F93">
            <w:r>
              <w:t>Receivables and contract assets</w:t>
            </w:r>
          </w:p>
        </w:tc>
        <w:tc>
          <w:tcPr>
            <w:tcW w:w="992" w:type="dxa"/>
          </w:tcPr>
          <w:p w14:paraId="70B6E375" w14:textId="77777777" w:rsidR="00E51EAC" w:rsidRDefault="00182F93">
            <w:pPr>
              <w:cnfStyle w:val="000000000000" w:firstRow="0" w:lastRow="0" w:firstColumn="0" w:lastColumn="0" w:oddVBand="0" w:evenVBand="0" w:oddHBand="0" w:evenHBand="0" w:firstRowFirstColumn="0" w:firstRowLastColumn="0" w:lastRowFirstColumn="0" w:lastRowLastColumn="0"/>
            </w:pPr>
            <w:r>
              <w:t>11 980</w:t>
            </w:r>
          </w:p>
        </w:tc>
        <w:tc>
          <w:tcPr>
            <w:tcW w:w="1133" w:type="dxa"/>
          </w:tcPr>
          <w:p w14:paraId="3340F97D" w14:textId="77777777" w:rsidR="00E51EAC" w:rsidRDefault="00182F93">
            <w:pPr>
              <w:cnfStyle w:val="000000000000" w:firstRow="0" w:lastRow="0" w:firstColumn="0" w:lastColumn="0" w:oddVBand="0" w:evenVBand="0" w:oddHBand="0" w:evenHBand="0" w:firstRowFirstColumn="0" w:firstRowLastColumn="0" w:lastRowFirstColumn="0" w:lastRowLastColumn="0"/>
            </w:pPr>
            <w:r>
              <w:t>11 775</w:t>
            </w:r>
          </w:p>
        </w:tc>
      </w:tr>
      <w:tr w:rsidR="00E51EAC" w14:paraId="552FEA56" w14:textId="77777777">
        <w:tc>
          <w:tcPr>
            <w:cnfStyle w:val="001000000000" w:firstRow="0" w:lastRow="0" w:firstColumn="1" w:lastColumn="0" w:oddVBand="0" w:evenVBand="0" w:oddHBand="0" w:evenHBand="0" w:firstRowFirstColumn="0" w:firstRowLastColumn="0" w:lastRowFirstColumn="0" w:lastRowLastColumn="0"/>
            <w:tcW w:w="7513" w:type="dxa"/>
          </w:tcPr>
          <w:p w14:paraId="20DC9E10" w14:textId="77777777" w:rsidR="00E51EAC" w:rsidRDefault="00182F93">
            <w:r>
              <w:t>Investments, loans and placements</w:t>
            </w:r>
          </w:p>
        </w:tc>
        <w:tc>
          <w:tcPr>
            <w:tcW w:w="992" w:type="dxa"/>
          </w:tcPr>
          <w:p w14:paraId="4AA8A14E" w14:textId="77777777" w:rsidR="00E51EAC" w:rsidRDefault="00182F93">
            <w:pPr>
              <w:cnfStyle w:val="000000000000" w:firstRow="0" w:lastRow="0" w:firstColumn="0" w:lastColumn="0" w:oddVBand="0" w:evenVBand="0" w:oddHBand="0" w:evenHBand="0" w:firstRowFirstColumn="0" w:firstRowLastColumn="0" w:lastRowFirstColumn="0" w:lastRowLastColumn="0"/>
            </w:pPr>
            <w:r>
              <w:t>18 749</w:t>
            </w:r>
          </w:p>
        </w:tc>
        <w:tc>
          <w:tcPr>
            <w:tcW w:w="1133" w:type="dxa"/>
          </w:tcPr>
          <w:p w14:paraId="424110D7" w14:textId="77777777" w:rsidR="00E51EAC" w:rsidRDefault="00182F93">
            <w:pPr>
              <w:cnfStyle w:val="000000000000" w:firstRow="0" w:lastRow="0" w:firstColumn="0" w:lastColumn="0" w:oddVBand="0" w:evenVBand="0" w:oddHBand="0" w:evenHBand="0" w:firstRowFirstColumn="0" w:firstRowLastColumn="0" w:lastRowFirstColumn="0" w:lastRowLastColumn="0"/>
            </w:pPr>
            <w:r>
              <w:t>15 719</w:t>
            </w:r>
          </w:p>
        </w:tc>
      </w:tr>
      <w:tr w:rsidR="00E51EAC" w14:paraId="3DF25C99" w14:textId="77777777">
        <w:tc>
          <w:tcPr>
            <w:cnfStyle w:val="001000000000" w:firstRow="0" w:lastRow="0" w:firstColumn="1" w:lastColumn="0" w:oddVBand="0" w:evenVBand="0" w:oddHBand="0" w:evenHBand="0" w:firstRowFirstColumn="0" w:firstRowLastColumn="0" w:lastRowFirstColumn="0" w:lastRowLastColumn="0"/>
            <w:tcW w:w="7513" w:type="dxa"/>
          </w:tcPr>
          <w:p w14:paraId="2A3DC41A" w14:textId="77777777" w:rsidR="00E51EAC" w:rsidRDefault="00182F93">
            <w:r>
              <w:t>Investments accounted for using the equity method</w:t>
            </w:r>
          </w:p>
        </w:tc>
        <w:tc>
          <w:tcPr>
            <w:tcW w:w="992" w:type="dxa"/>
          </w:tcPr>
          <w:p w14:paraId="1E98F1A3" w14:textId="77777777" w:rsidR="00E51EAC" w:rsidRDefault="00182F93">
            <w:pPr>
              <w:cnfStyle w:val="000000000000" w:firstRow="0" w:lastRow="0" w:firstColumn="0" w:lastColumn="0" w:oddVBand="0" w:evenVBand="0" w:oddHBand="0" w:evenHBand="0" w:firstRowFirstColumn="0" w:firstRowLastColumn="0" w:lastRowFirstColumn="0" w:lastRowLastColumn="0"/>
            </w:pPr>
            <w:r>
              <w:t>1 317</w:t>
            </w:r>
          </w:p>
        </w:tc>
        <w:tc>
          <w:tcPr>
            <w:tcW w:w="1133" w:type="dxa"/>
          </w:tcPr>
          <w:p w14:paraId="6C7ACC09" w14:textId="77777777" w:rsidR="00E51EAC" w:rsidRDefault="00182F93">
            <w:pPr>
              <w:cnfStyle w:val="000000000000" w:firstRow="0" w:lastRow="0" w:firstColumn="0" w:lastColumn="0" w:oddVBand="0" w:evenVBand="0" w:oddHBand="0" w:evenHBand="0" w:firstRowFirstColumn="0" w:firstRowLastColumn="0" w:lastRowFirstColumn="0" w:lastRowLastColumn="0"/>
            </w:pPr>
            <w:r>
              <w:t>1 208</w:t>
            </w:r>
          </w:p>
        </w:tc>
      </w:tr>
      <w:tr w:rsidR="00E51EAC" w14:paraId="6EDEE740"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15D71FA5" w14:textId="77777777" w:rsidR="00E51EAC" w:rsidRDefault="00182F93">
            <w:r>
              <w:t>Investments in other sector entities</w:t>
            </w:r>
          </w:p>
        </w:tc>
        <w:tc>
          <w:tcPr>
            <w:tcW w:w="992" w:type="dxa"/>
            <w:tcBorders>
              <w:bottom w:val="single" w:sz="6" w:space="0" w:color="auto"/>
            </w:tcBorders>
          </w:tcPr>
          <w:p w14:paraId="78E5AA0C" w14:textId="77777777" w:rsidR="00E51EAC" w:rsidRDefault="00182F93">
            <w:pPr>
              <w:cnfStyle w:val="000000000000" w:firstRow="0" w:lastRow="0" w:firstColumn="0" w:lastColumn="0" w:oddVBand="0" w:evenVBand="0" w:oddHBand="0" w:evenHBand="0" w:firstRowFirstColumn="0" w:firstRowLastColumn="0" w:lastRowFirstColumn="0" w:lastRowLastColumn="0"/>
            </w:pPr>
            <w:r>
              <w:t>9 901</w:t>
            </w:r>
          </w:p>
        </w:tc>
        <w:tc>
          <w:tcPr>
            <w:tcW w:w="1133" w:type="dxa"/>
            <w:tcBorders>
              <w:bottom w:val="single" w:sz="6" w:space="0" w:color="auto"/>
            </w:tcBorders>
          </w:tcPr>
          <w:p w14:paraId="1DB9758A" w14:textId="77777777" w:rsidR="00E51EAC" w:rsidRDefault="00182F93">
            <w:pPr>
              <w:cnfStyle w:val="000000000000" w:firstRow="0" w:lastRow="0" w:firstColumn="0" w:lastColumn="0" w:oddVBand="0" w:evenVBand="0" w:oddHBand="0" w:evenHBand="0" w:firstRowFirstColumn="0" w:firstRowLastColumn="0" w:lastRowFirstColumn="0" w:lastRowLastColumn="0"/>
            </w:pPr>
            <w:r>
              <w:t>15 137</w:t>
            </w:r>
          </w:p>
        </w:tc>
      </w:tr>
      <w:tr w:rsidR="00E51EAC" w14:paraId="2DEF1CCF"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785A8453" w14:textId="77777777" w:rsidR="00E51EAC" w:rsidRDefault="00182F93">
            <w:r>
              <w:rPr>
                <w:b/>
              </w:rPr>
              <w:t>Total financial assets</w:t>
            </w:r>
          </w:p>
        </w:tc>
        <w:tc>
          <w:tcPr>
            <w:tcW w:w="992" w:type="dxa"/>
            <w:tcBorders>
              <w:top w:val="single" w:sz="6" w:space="0" w:color="auto"/>
              <w:bottom w:val="single" w:sz="6" w:space="0" w:color="auto"/>
            </w:tcBorders>
          </w:tcPr>
          <w:p w14:paraId="43934A9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58 356</w:t>
            </w:r>
          </w:p>
        </w:tc>
        <w:tc>
          <w:tcPr>
            <w:tcW w:w="1133" w:type="dxa"/>
            <w:tcBorders>
              <w:top w:val="single" w:sz="6" w:space="0" w:color="auto"/>
              <w:bottom w:val="single" w:sz="6" w:space="0" w:color="auto"/>
            </w:tcBorders>
          </w:tcPr>
          <w:p w14:paraId="04A0F54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60 921</w:t>
            </w:r>
          </w:p>
        </w:tc>
      </w:tr>
      <w:tr w:rsidR="00E51EAC" w14:paraId="128CD2FC"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4930ED84" w14:textId="77777777" w:rsidR="00E51EAC" w:rsidRDefault="00182F93">
            <w:r>
              <w:rPr>
                <w:b/>
              </w:rPr>
              <w:t>Non</w:t>
            </w:r>
            <w:r>
              <w:rPr>
                <w:b/>
              </w:rPr>
              <w:noBreakHyphen/>
              <w:t>financial assets</w:t>
            </w:r>
          </w:p>
        </w:tc>
        <w:tc>
          <w:tcPr>
            <w:tcW w:w="992" w:type="dxa"/>
            <w:tcBorders>
              <w:top w:val="single" w:sz="6" w:space="0" w:color="auto"/>
            </w:tcBorders>
          </w:tcPr>
          <w:p w14:paraId="7514C34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6" w:space="0" w:color="auto"/>
            </w:tcBorders>
          </w:tcPr>
          <w:p w14:paraId="3893A0C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CDEDEE5" w14:textId="77777777">
        <w:tc>
          <w:tcPr>
            <w:cnfStyle w:val="001000000000" w:firstRow="0" w:lastRow="0" w:firstColumn="1" w:lastColumn="0" w:oddVBand="0" w:evenVBand="0" w:oddHBand="0" w:evenHBand="0" w:firstRowFirstColumn="0" w:firstRowLastColumn="0" w:lastRowFirstColumn="0" w:lastRowLastColumn="0"/>
            <w:tcW w:w="7513" w:type="dxa"/>
          </w:tcPr>
          <w:p w14:paraId="3F86C059" w14:textId="77777777" w:rsidR="00E51EAC" w:rsidRDefault="00182F93">
            <w:r>
              <w:t>Inventories</w:t>
            </w:r>
          </w:p>
        </w:tc>
        <w:tc>
          <w:tcPr>
            <w:tcW w:w="992" w:type="dxa"/>
          </w:tcPr>
          <w:p w14:paraId="2F8DF604" w14:textId="77777777" w:rsidR="00E51EAC" w:rsidRDefault="00182F93">
            <w:pPr>
              <w:cnfStyle w:val="000000000000" w:firstRow="0" w:lastRow="0" w:firstColumn="0" w:lastColumn="0" w:oddVBand="0" w:evenVBand="0" w:oddHBand="0" w:evenHBand="0" w:firstRowFirstColumn="0" w:firstRowLastColumn="0" w:lastRowFirstColumn="0" w:lastRowLastColumn="0"/>
            </w:pPr>
            <w:r>
              <w:t>1 440</w:t>
            </w:r>
          </w:p>
        </w:tc>
        <w:tc>
          <w:tcPr>
            <w:tcW w:w="1133" w:type="dxa"/>
          </w:tcPr>
          <w:p w14:paraId="7423CF91" w14:textId="77777777" w:rsidR="00E51EAC" w:rsidRDefault="00182F93">
            <w:pPr>
              <w:cnfStyle w:val="000000000000" w:firstRow="0" w:lastRow="0" w:firstColumn="0" w:lastColumn="0" w:oddVBand="0" w:evenVBand="0" w:oddHBand="0" w:evenHBand="0" w:firstRowFirstColumn="0" w:firstRowLastColumn="0" w:lastRowFirstColumn="0" w:lastRowLastColumn="0"/>
            </w:pPr>
            <w:r>
              <w:t>1 748</w:t>
            </w:r>
          </w:p>
        </w:tc>
      </w:tr>
      <w:tr w:rsidR="00E51EAC" w14:paraId="7E4E18CA" w14:textId="77777777">
        <w:tc>
          <w:tcPr>
            <w:cnfStyle w:val="001000000000" w:firstRow="0" w:lastRow="0" w:firstColumn="1" w:lastColumn="0" w:oddVBand="0" w:evenVBand="0" w:oddHBand="0" w:evenHBand="0" w:firstRowFirstColumn="0" w:firstRowLastColumn="0" w:lastRowFirstColumn="0" w:lastRowLastColumn="0"/>
            <w:tcW w:w="7513" w:type="dxa"/>
          </w:tcPr>
          <w:p w14:paraId="2D19BC5A" w14:textId="77777777" w:rsidR="00E51EAC" w:rsidRDefault="00182F93">
            <w:r>
              <w:t>Non</w:t>
            </w:r>
            <w:r>
              <w:noBreakHyphen/>
              <w:t>financial assets held for sale</w:t>
            </w:r>
          </w:p>
        </w:tc>
        <w:tc>
          <w:tcPr>
            <w:tcW w:w="992" w:type="dxa"/>
          </w:tcPr>
          <w:p w14:paraId="4F5B9545" w14:textId="77777777" w:rsidR="00E51EAC" w:rsidRDefault="00182F93">
            <w:pPr>
              <w:cnfStyle w:val="000000000000" w:firstRow="0" w:lastRow="0" w:firstColumn="0" w:lastColumn="0" w:oddVBand="0" w:evenVBand="0" w:oddHBand="0" w:evenHBand="0" w:firstRowFirstColumn="0" w:firstRowLastColumn="0" w:lastRowFirstColumn="0" w:lastRowLastColumn="0"/>
            </w:pPr>
            <w:r>
              <w:t>170</w:t>
            </w:r>
          </w:p>
        </w:tc>
        <w:tc>
          <w:tcPr>
            <w:tcW w:w="1133" w:type="dxa"/>
          </w:tcPr>
          <w:p w14:paraId="077A6A56" w14:textId="77777777" w:rsidR="00E51EAC" w:rsidRDefault="00182F93">
            <w:pPr>
              <w:cnfStyle w:val="000000000000" w:firstRow="0" w:lastRow="0" w:firstColumn="0" w:lastColumn="0" w:oddVBand="0" w:evenVBand="0" w:oddHBand="0" w:evenHBand="0" w:firstRowFirstColumn="0" w:firstRowLastColumn="0" w:lastRowFirstColumn="0" w:lastRowLastColumn="0"/>
            </w:pPr>
            <w:r>
              <w:t>245</w:t>
            </w:r>
          </w:p>
        </w:tc>
      </w:tr>
      <w:tr w:rsidR="00E51EAC" w14:paraId="51EFC62D" w14:textId="77777777">
        <w:tc>
          <w:tcPr>
            <w:cnfStyle w:val="001000000000" w:firstRow="0" w:lastRow="0" w:firstColumn="1" w:lastColumn="0" w:oddVBand="0" w:evenVBand="0" w:oddHBand="0" w:evenHBand="0" w:firstRowFirstColumn="0" w:firstRowLastColumn="0" w:lastRowFirstColumn="0" w:lastRowLastColumn="0"/>
            <w:tcW w:w="7513" w:type="dxa"/>
          </w:tcPr>
          <w:p w14:paraId="1519FC64" w14:textId="77777777" w:rsidR="00E51EAC" w:rsidRDefault="00182F93">
            <w:r>
              <w:t>Land, buildings, infrastructure, plant and equipment</w:t>
            </w:r>
          </w:p>
        </w:tc>
        <w:tc>
          <w:tcPr>
            <w:tcW w:w="992" w:type="dxa"/>
          </w:tcPr>
          <w:p w14:paraId="20F4374F" w14:textId="77777777" w:rsidR="00E51EAC" w:rsidRDefault="00182F93">
            <w:pPr>
              <w:cnfStyle w:val="000000000000" w:firstRow="0" w:lastRow="0" w:firstColumn="0" w:lastColumn="0" w:oddVBand="0" w:evenVBand="0" w:oddHBand="0" w:evenHBand="0" w:firstRowFirstColumn="0" w:firstRowLastColumn="0" w:lastRowFirstColumn="0" w:lastRowLastColumn="0"/>
            </w:pPr>
            <w:r>
              <w:t>501 419</w:t>
            </w:r>
          </w:p>
        </w:tc>
        <w:tc>
          <w:tcPr>
            <w:tcW w:w="1133" w:type="dxa"/>
          </w:tcPr>
          <w:p w14:paraId="53FAA744" w14:textId="77777777" w:rsidR="00E51EAC" w:rsidRDefault="00182F93">
            <w:pPr>
              <w:cnfStyle w:val="000000000000" w:firstRow="0" w:lastRow="0" w:firstColumn="0" w:lastColumn="0" w:oddVBand="0" w:evenVBand="0" w:oddHBand="0" w:evenHBand="0" w:firstRowFirstColumn="0" w:firstRowLastColumn="0" w:lastRowFirstColumn="0" w:lastRowLastColumn="0"/>
            </w:pPr>
            <w:r>
              <w:t>436 355</w:t>
            </w:r>
          </w:p>
        </w:tc>
      </w:tr>
      <w:tr w:rsidR="00E51EAC" w14:paraId="3570160B"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76928A74" w14:textId="77777777" w:rsidR="00E51EAC" w:rsidRDefault="00182F93">
            <w:r>
              <w:t>Other non</w:t>
            </w:r>
            <w:r>
              <w:noBreakHyphen/>
              <w:t>financial assets</w:t>
            </w:r>
          </w:p>
        </w:tc>
        <w:tc>
          <w:tcPr>
            <w:tcW w:w="992" w:type="dxa"/>
            <w:tcBorders>
              <w:bottom w:val="single" w:sz="6" w:space="0" w:color="auto"/>
            </w:tcBorders>
          </w:tcPr>
          <w:p w14:paraId="6ED689BC" w14:textId="77777777" w:rsidR="00E51EAC" w:rsidRDefault="00182F93">
            <w:pPr>
              <w:cnfStyle w:val="000000000000" w:firstRow="0" w:lastRow="0" w:firstColumn="0" w:lastColumn="0" w:oddVBand="0" w:evenVBand="0" w:oddHBand="0" w:evenHBand="0" w:firstRowFirstColumn="0" w:firstRowLastColumn="0" w:lastRowFirstColumn="0" w:lastRowLastColumn="0"/>
            </w:pPr>
            <w:r>
              <w:t>7 951</w:t>
            </w:r>
          </w:p>
        </w:tc>
        <w:tc>
          <w:tcPr>
            <w:tcW w:w="1133" w:type="dxa"/>
            <w:tcBorders>
              <w:bottom w:val="single" w:sz="6" w:space="0" w:color="auto"/>
            </w:tcBorders>
          </w:tcPr>
          <w:p w14:paraId="376EEC68" w14:textId="77777777" w:rsidR="00E51EAC" w:rsidRDefault="00182F93">
            <w:pPr>
              <w:cnfStyle w:val="000000000000" w:firstRow="0" w:lastRow="0" w:firstColumn="0" w:lastColumn="0" w:oddVBand="0" w:evenVBand="0" w:oddHBand="0" w:evenHBand="0" w:firstRowFirstColumn="0" w:firstRowLastColumn="0" w:lastRowFirstColumn="0" w:lastRowLastColumn="0"/>
            </w:pPr>
            <w:r>
              <w:t>7 254</w:t>
            </w:r>
          </w:p>
        </w:tc>
      </w:tr>
      <w:tr w:rsidR="00E51EAC" w14:paraId="18E29A3D"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280A69AE" w14:textId="77777777" w:rsidR="00E51EAC" w:rsidRDefault="00182F93">
            <w:r>
              <w:rPr>
                <w:b/>
              </w:rPr>
              <w:t>Total non</w:t>
            </w:r>
            <w:r>
              <w:rPr>
                <w:b/>
              </w:rPr>
              <w:noBreakHyphen/>
              <w:t>financial assets</w:t>
            </w:r>
          </w:p>
        </w:tc>
        <w:tc>
          <w:tcPr>
            <w:tcW w:w="992" w:type="dxa"/>
            <w:tcBorders>
              <w:top w:val="single" w:sz="6" w:space="0" w:color="auto"/>
              <w:bottom w:val="single" w:sz="6" w:space="0" w:color="auto"/>
            </w:tcBorders>
          </w:tcPr>
          <w:p w14:paraId="32850F3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510 980</w:t>
            </w:r>
          </w:p>
        </w:tc>
        <w:tc>
          <w:tcPr>
            <w:tcW w:w="1133" w:type="dxa"/>
            <w:tcBorders>
              <w:top w:val="single" w:sz="6" w:space="0" w:color="auto"/>
              <w:bottom w:val="single" w:sz="6" w:space="0" w:color="auto"/>
            </w:tcBorders>
          </w:tcPr>
          <w:p w14:paraId="35A5134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445 602</w:t>
            </w:r>
          </w:p>
        </w:tc>
      </w:tr>
      <w:tr w:rsidR="00E51EAC" w14:paraId="3128D5A6"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tcBorders>
          </w:tcPr>
          <w:p w14:paraId="4843D626" w14:textId="77777777" w:rsidR="00E51EAC" w:rsidRDefault="00182F93">
            <w:r>
              <w:rPr>
                <w:b/>
              </w:rPr>
              <w:t>Total assets</w:t>
            </w:r>
          </w:p>
        </w:tc>
        <w:tc>
          <w:tcPr>
            <w:tcW w:w="992" w:type="dxa"/>
            <w:tcBorders>
              <w:top w:val="single" w:sz="6" w:space="0" w:color="auto"/>
            </w:tcBorders>
          </w:tcPr>
          <w:p w14:paraId="6D7B4E4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569 336</w:t>
            </w:r>
          </w:p>
        </w:tc>
        <w:tc>
          <w:tcPr>
            <w:tcW w:w="1133" w:type="dxa"/>
            <w:tcBorders>
              <w:top w:val="single" w:sz="6" w:space="0" w:color="auto"/>
            </w:tcBorders>
          </w:tcPr>
          <w:p w14:paraId="2E77489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506 523</w:t>
            </w:r>
          </w:p>
        </w:tc>
      </w:tr>
      <w:tr w:rsidR="00E51EAC" w14:paraId="1672D2F0" w14:textId="77777777">
        <w:tc>
          <w:tcPr>
            <w:cnfStyle w:val="001000000000" w:firstRow="0" w:lastRow="0" w:firstColumn="1" w:lastColumn="0" w:oddVBand="0" w:evenVBand="0" w:oddHBand="0" w:evenHBand="0" w:firstRowFirstColumn="0" w:firstRowLastColumn="0" w:lastRowFirstColumn="0" w:lastRowLastColumn="0"/>
            <w:tcW w:w="7513" w:type="dxa"/>
          </w:tcPr>
          <w:p w14:paraId="06990066" w14:textId="77777777" w:rsidR="00E51EAC" w:rsidRDefault="00182F93">
            <w:r>
              <w:rPr>
                <w:b/>
              </w:rPr>
              <w:t>Liabilities</w:t>
            </w:r>
          </w:p>
        </w:tc>
        <w:tc>
          <w:tcPr>
            <w:tcW w:w="992" w:type="dxa"/>
          </w:tcPr>
          <w:p w14:paraId="36B0FA4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3E7E82F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7683ACE4" w14:textId="77777777">
        <w:tc>
          <w:tcPr>
            <w:cnfStyle w:val="001000000000" w:firstRow="0" w:lastRow="0" w:firstColumn="1" w:lastColumn="0" w:oddVBand="0" w:evenVBand="0" w:oddHBand="0" w:evenHBand="0" w:firstRowFirstColumn="0" w:firstRowLastColumn="0" w:lastRowFirstColumn="0" w:lastRowLastColumn="0"/>
            <w:tcW w:w="7513" w:type="dxa"/>
          </w:tcPr>
          <w:p w14:paraId="4E13042C" w14:textId="77777777" w:rsidR="00E51EAC" w:rsidRDefault="00182F93">
            <w:r>
              <w:t>Deposits held and advances received</w:t>
            </w:r>
          </w:p>
        </w:tc>
        <w:tc>
          <w:tcPr>
            <w:tcW w:w="992" w:type="dxa"/>
          </w:tcPr>
          <w:p w14:paraId="4A93F4A9" w14:textId="77777777" w:rsidR="00E51EAC" w:rsidRDefault="00182F93">
            <w:pPr>
              <w:cnfStyle w:val="000000000000" w:firstRow="0" w:lastRow="0" w:firstColumn="0" w:lastColumn="0" w:oddVBand="0" w:evenVBand="0" w:oddHBand="0" w:evenHBand="0" w:firstRowFirstColumn="0" w:firstRowLastColumn="0" w:lastRowFirstColumn="0" w:lastRowLastColumn="0"/>
            </w:pPr>
            <w:r>
              <w:t>1 852</w:t>
            </w:r>
          </w:p>
        </w:tc>
        <w:tc>
          <w:tcPr>
            <w:tcW w:w="1133" w:type="dxa"/>
          </w:tcPr>
          <w:p w14:paraId="291DC7B8" w14:textId="77777777" w:rsidR="00E51EAC" w:rsidRDefault="00182F93">
            <w:pPr>
              <w:cnfStyle w:val="000000000000" w:firstRow="0" w:lastRow="0" w:firstColumn="0" w:lastColumn="0" w:oddVBand="0" w:evenVBand="0" w:oddHBand="0" w:evenHBand="0" w:firstRowFirstColumn="0" w:firstRowLastColumn="0" w:lastRowFirstColumn="0" w:lastRowLastColumn="0"/>
            </w:pPr>
            <w:r>
              <w:t>1 779</w:t>
            </w:r>
          </w:p>
        </w:tc>
      </w:tr>
      <w:tr w:rsidR="00E51EAC" w14:paraId="38385C37" w14:textId="77777777">
        <w:tc>
          <w:tcPr>
            <w:cnfStyle w:val="001000000000" w:firstRow="0" w:lastRow="0" w:firstColumn="1" w:lastColumn="0" w:oddVBand="0" w:evenVBand="0" w:oddHBand="0" w:evenHBand="0" w:firstRowFirstColumn="0" w:firstRowLastColumn="0" w:lastRowFirstColumn="0" w:lastRowLastColumn="0"/>
            <w:tcW w:w="7513" w:type="dxa"/>
          </w:tcPr>
          <w:p w14:paraId="348C98DF" w14:textId="77777777" w:rsidR="00E51EAC" w:rsidRDefault="00182F93">
            <w:r>
              <w:t>Payables</w:t>
            </w:r>
          </w:p>
        </w:tc>
        <w:tc>
          <w:tcPr>
            <w:tcW w:w="992" w:type="dxa"/>
          </w:tcPr>
          <w:p w14:paraId="10D1682C" w14:textId="77777777" w:rsidR="00E51EAC" w:rsidRDefault="00182F93">
            <w:pPr>
              <w:cnfStyle w:val="000000000000" w:firstRow="0" w:lastRow="0" w:firstColumn="0" w:lastColumn="0" w:oddVBand="0" w:evenVBand="0" w:oddHBand="0" w:evenHBand="0" w:firstRowFirstColumn="0" w:firstRowLastColumn="0" w:lastRowFirstColumn="0" w:lastRowLastColumn="0"/>
            </w:pPr>
            <w:r>
              <w:t>8 332</w:t>
            </w:r>
          </w:p>
        </w:tc>
        <w:tc>
          <w:tcPr>
            <w:tcW w:w="1133" w:type="dxa"/>
          </w:tcPr>
          <w:p w14:paraId="4C962C90" w14:textId="77777777" w:rsidR="00E51EAC" w:rsidRDefault="00182F93">
            <w:pPr>
              <w:cnfStyle w:val="000000000000" w:firstRow="0" w:lastRow="0" w:firstColumn="0" w:lastColumn="0" w:oddVBand="0" w:evenVBand="0" w:oddHBand="0" w:evenHBand="0" w:firstRowFirstColumn="0" w:firstRowLastColumn="0" w:lastRowFirstColumn="0" w:lastRowLastColumn="0"/>
            </w:pPr>
            <w:r>
              <w:t>9 370</w:t>
            </w:r>
          </w:p>
        </w:tc>
      </w:tr>
      <w:tr w:rsidR="00E51EAC" w14:paraId="689C2F0D" w14:textId="77777777">
        <w:tc>
          <w:tcPr>
            <w:cnfStyle w:val="001000000000" w:firstRow="0" w:lastRow="0" w:firstColumn="1" w:lastColumn="0" w:oddVBand="0" w:evenVBand="0" w:oddHBand="0" w:evenHBand="0" w:firstRowFirstColumn="0" w:firstRowLastColumn="0" w:lastRowFirstColumn="0" w:lastRowLastColumn="0"/>
            <w:tcW w:w="7513" w:type="dxa"/>
          </w:tcPr>
          <w:p w14:paraId="653683E4" w14:textId="77777777" w:rsidR="00E51EAC" w:rsidRDefault="00182F93">
            <w:r>
              <w:t>Borrowings</w:t>
            </w:r>
          </w:p>
        </w:tc>
        <w:tc>
          <w:tcPr>
            <w:tcW w:w="992" w:type="dxa"/>
          </w:tcPr>
          <w:p w14:paraId="776EC0D4" w14:textId="77777777" w:rsidR="00E51EAC" w:rsidRDefault="00182F93">
            <w:pPr>
              <w:cnfStyle w:val="000000000000" w:firstRow="0" w:lastRow="0" w:firstColumn="0" w:lastColumn="0" w:oddVBand="0" w:evenVBand="0" w:oddHBand="0" w:evenHBand="0" w:firstRowFirstColumn="0" w:firstRowLastColumn="0" w:lastRowFirstColumn="0" w:lastRowLastColumn="0"/>
            </w:pPr>
            <w:r>
              <w:t>208 538</w:t>
            </w:r>
          </w:p>
        </w:tc>
        <w:tc>
          <w:tcPr>
            <w:tcW w:w="1133" w:type="dxa"/>
          </w:tcPr>
          <w:p w14:paraId="6EE880A5" w14:textId="77777777" w:rsidR="00E51EAC" w:rsidRDefault="00182F93">
            <w:pPr>
              <w:cnfStyle w:val="000000000000" w:firstRow="0" w:lastRow="0" w:firstColumn="0" w:lastColumn="0" w:oddVBand="0" w:evenVBand="0" w:oddHBand="0" w:evenHBand="0" w:firstRowFirstColumn="0" w:firstRowLastColumn="0" w:lastRowFirstColumn="0" w:lastRowLastColumn="0"/>
            </w:pPr>
            <w:r>
              <w:t>186 334</w:t>
            </w:r>
          </w:p>
        </w:tc>
      </w:tr>
      <w:tr w:rsidR="00E51EAC" w14:paraId="60B4777F" w14:textId="77777777">
        <w:tc>
          <w:tcPr>
            <w:cnfStyle w:val="001000000000" w:firstRow="0" w:lastRow="0" w:firstColumn="1" w:lastColumn="0" w:oddVBand="0" w:evenVBand="0" w:oddHBand="0" w:evenHBand="0" w:firstRowFirstColumn="0" w:firstRowLastColumn="0" w:lastRowFirstColumn="0" w:lastRowLastColumn="0"/>
            <w:tcW w:w="7513" w:type="dxa"/>
          </w:tcPr>
          <w:p w14:paraId="4AC60254" w14:textId="77777777" w:rsidR="00E51EAC" w:rsidRDefault="00182F93">
            <w:r>
              <w:t>Employee benefits</w:t>
            </w:r>
          </w:p>
        </w:tc>
        <w:tc>
          <w:tcPr>
            <w:tcW w:w="992" w:type="dxa"/>
          </w:tcPr>
          <w:p w14:paraId="29542CFB" w14:textId="77777777" w:rsidR="00E51EAC" w:rsidRDefault="00182F93">
            <w:pPr>
              <w:cnfStyle w:val="000000000000" w:firstRow="0" w:lastRow="0" w:firstColumn="0" w:lastColumn="0" w:oddVBand="0" w:evenVBand="0" w:oddHBand="0" w:evenHBand="0" w:firstRowFirstColumn="0" w:firstRowLastColumn="0" w:lastRowFirstColumn="0" w:lastRowLastColumn="0"/>
            </w:pPr>
            <w:r>
              <w:t>12 705</w:t>
            </w:r>
          </w:p>
        </w:tc>
        <w:tc>
          <w:tcPr>
            <w:tcW w:w="1133" w:type="dxa"/>
          </w:tcPr>
          <w:p w14:paraId="1D4E5235" w14:textId="77777777" w:rsidR="00E51EAC" w:rsidRDefault="00182F93">
            <w:pPr>
              <w:cnfStyle w:val="000000000000" w:firstRow="0" w:lastRow="0" w:firstColumn="0" w:lastColumn="0" w:oddVBand="0" w:evenVBand="0" w:oddHBand="0" w:evenHBand="0" w:firstRowFirstColumn="0" w:firstRowLastColumn="0" w:lastRowFirstColumn="0" w:lastRowLastColumn="0"/>
            </w:pPr>
            <w:r>
              <w:t>11 720</w:t>
            </w:r>
          </w:p>
        </w:tc>
      </w:tr>
      <w:tr w:rsidR="00E51EAC" w14:paraId="70926089" w14:textId="77777777">
        <w:tc>
          <w:tcPr>
            <w:cnfStyle w:val="001000000000" w:firstRow="0" w:lastRow="0" w:firstColumn="1" w:lastColumn="0" w:oddVBand="0" w:evenVBand="0" w:oddHBand="0" w:evenHBand="0" w:firstRowFirstColumn="0" w:firstRowLastColumn="0" w:lastRowFirstColumn="0" w:lastRowLastColumn="0"/>
            <w:tcW w:w="7513" w:type="dxa"/>
          </w:tcPr>
          <w:p w14:paraId="06591E7A" w14:textId="77777777" w:rsidR="00E51EAC" w:rsidRDefault="00182F93">
            <w:r>
              <w:t>Superannuation</w:t>
            </w:r>
          </w:p>
        </w:tc>
        <w:tc>
          <w:tcPr>
            <w:tcW w:w="992" w:type="dxa"/>
          </w:tcPr>
          <w:p w14:paraId="23F2F1E8" w14:textId="77777777" w:rsidR="00E51EAC" w:rsidRDefault="00182F93">
            <w:pPr>
              <w:cnfStyle w:val="000000000000" w:firstRow="0" w:lastRow="0" w:firstColumn="0" w:lastColumn="0" w:oddVBand="0" w:evenVBand="0" w:oddHBand="0" w:evenHBand="0" w:firstRowFirstColumn="0" w:firstRowLastColumn="0" w:lastRowFirstColumn="0" w:lastRowLastColumn="0"/>
            </w:pPr>
            <w:r>
              <w:t>18 284</w:t>
            </w:r>
          </w:p>
        </w:tc>
        <w:tc>
          <w:tcPr>
            <w:tcW w:w="1133" w:type="dxa"/>
          </w:tcPr>
          <w:p w14:paraId="3A3724FA" w14:textId="77777777" w:rsidR="00E51EAC" w:rsidRDefault="00182F93">
            <w:pPr>
              <w:cnfStyle w:val="000000000000" w:firstRow="0" w:lastRow="0" w:firstColumn="0" w:lastColumn="0" w:oddVBand="0" w:evenVBand="0" w:oddHBand="0" w:evenHBand="0" w:firstRowFirstColumn="0" w:firstRowLastColumn="0" w:lastRowFirstColumn="0" w:lastRowLastColumn="0"/>
            </w:pPr>
            <w:r>
              <w:t>18 226</w:t>
            </w:r>
          </w:p>
        </w:tc>
      </w:tr>
      <w:tr w:rsidR="00E51EAC" w14:paraId="31B0A045" w14:textId="77777777">
        <w:tc>
          <w:tcPr>
            <w:cnfStyle w:val="001000000000" w:firstRow="0" w:lastRow="0" w:firstColumn="1" w:lastColumn="0" w:oddVBand="0" w:evenVBand="0" w:oddHBand="0" w:evenHBand="0" w:firstRowFirstColumn="0" w:firstRowLastColumn="0" w:lastRowFirstColumn="0" w:lastRowLastColumn="0"/>
            <w:tcW w:w="7513" w:type="dxa"/>
          </w:tcPr>
          <w:p w14:paraId="3A8E602E" w14:textId="77777777" w:rsidR="00E51EAC" w:rsidRDefault="00182F93">
            <w:r>
              <w:t>Other provisions</w:t>
            </w:r>
          </w:p>
        </w:tc>
        <w:tc>
          <w:tcPr>
            <w:tcW w:w="992" w:type="dxa"/>
          </w:tcPr>
          <w:p w14:paraId="030C9AA8" w14:textId="77777777" w:rsidR="00E51EAC" w:rsidRDefault="00182F93">
            <w:pPr>
              <w:cnfStyle w:val="000000000000" w:firstRow="0" w:lastRow="0" w:firstColumn="0" w:lastColumn="0" w:oddVBand="0" w:evenVBand="0" w:oddHBand="0" w:evenHBand="0" w:firstRowFirstColumn="0" w:firstRowLastColumn="0" w:lastRowFirstColumn="0" w:lastRowLastColumn="0"/>
            </w:pPr>
            <w:r>
              <w:t>3 916</w:t>
            </w:r>
          </w:p>
        </w:tc>
        <w:tc>
          <w:tcPr>
            <w:tcW w:w="1133" w:type="dxa"/>
          </w:tcPr>
          <w:p w14:paraId="1595DF9F" w14:textId="77777777" w:rsidR="00E51EAC" w:rsidRDefault="00182F93">
            <w:pPr>
              <w:cnfStyle w:val="000000000000" w:firstRow="0" w:lastRow="0" w:firstColumn="0" w:lastColumn="0" w:oddVBand="0" w:evenVBand="0" w:oddHBand="0" w:evenHBand="0" w:firstRowFirstColumn="0" w:firstRowLastColumn="0" w:lastRowFirstColumn="0" w:lastRowLastColumn="0"/>
            </w:pPr>
            <w:r>
              <w:t>3 614</w:t>
            </w:r>
          </w:p>
        </w:tc>
      </w:tr>
      <w:tr w:rsidR="00E51EAC" w14:paraId="686F3A3B"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600148D0" w14:textId="77777777" w:rsidR="00E51EAC" w:rsidRDefault="00182F93">
            <w:r>
              <w:t>Other liabilities</w:t>
            </w:r>
          </w:p>
        </w:tc>
        <w:tc>
          <w:tcPr>
            <w:tcW w:w="992" w:type="dxa"/>
            <w:tcBorders>
              <w:bottom w:val="single" w:sz="6" w:space="0" w:color="auto"/>
            </w:tcBorders>
          </w:tcPr>
          <w:p w14:paraId="2C5333EC" w14:textId="77777777" w:rsidR="00E51EAC" w:rsidRDefault="00182F93">
            <w:pPr>
              <w:cnfStyle w:val="000000000000" w:firstRow="0" w:lastRow="0" w:firstColumn="0" w:lastColumn="0" w:oddVBand="0" w:evenVBand="0" w:oddHBand="0" w:evenHBand="0" w:firstRowFirstColumn="0" w:firstRowLastColumn="0" w:lastRowFirstColumn="0" w:lastRowLastColumn="0"/>
            </w:pPr>
            <w:r>
              <w:t>31 300</w:t>
            </w:r>
          </w:p>
        </w:tc>
        <w:tc>
          <w:tcPr>
            <w:tcW w:w="1133" w:type="dxa"/>
            <w:tcBorders>
              <w:bottom w:val="single" w:sz="6" w:space="0" w:color="auto"/>
            </w:tcBorders>
          </w:tcPr>
          <w:p w14:paraId="0EFBAED7" w14:textId="77777777" w:rsidR="00E51EAC" w:rsidRDefault="00182F93">
            <w:pPr>
              <w:cnfStyle w:val="000000000000" w:firstRow="0" w:lastRow="0" w:firstColumn="0" w:lastColumn="0" w:oddVBand="0" w:evenVBand="0" w:oddHBand="0" w:evenHBand="0" w:firstRowFirstColumn="0" w:firstRowLastColumn="0" w:lastRowFirstColumn="0" w:lastRowLastColumn="0"/>
            </w:pPr>
            <w:r>
              <w:t>31 281</w:t>
            </w:r>
          </w:p>
        </w:tc>
      </w:tr>
      <w:tr w:rsidR="00E51EAC" w14:paraId="136674BF"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6" w:space="0" w:color="auto"/>
            </w:tcBorders>
          </w:tcPr>
          <w:p w14:paraId="0E19D842" w14:textId="77777777" w:rsidR="00E51EAC" w:rsidRDefault="00182F93">
            <w:r>
              <w:rPr>
                <w:b/>
              </w:rPr>
              <w:t>Total liabilities</w:t>
            </w:r>
          </w:p>
        </w:tc>
        <w:tc>
          <w:tcPr>
            <w:tcW w:w="992" w:type="dxa"/>
            <w:tcBorders>
              <w:top w:val="single" w:sz="6" w:space="0" w:color="auto"/>
              <w:bottom w:val="single" w:sz="6" w:space="0" w:color="auto"/>
            </w:tcBorders>
          </w:tcPr>
          <w:p w14:paraId="108A01E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284 928</w:t>
            </w:r>
          </w:p>
        </w:tc>
        <w:tc>
          <w:tcPr>
            <w:tcW w:w="1133" w:type="dxa"/>
            <w:tcBorders>
              <w:top w:val="single" w:sz="6" w:space="0" w:color="auto"/>
              <w:bottom w:val="single" w:sz="6" w:space="0" w:color="auto"/>
            </w:tcBorders>
          </w:tcPr>
          <w:p w14:paraId="19775E3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262 325</w:t>
            </w:r>
          </w:p>
        </w:tc>
      </w:tr>
      <w:tr w:rsidR="00E51EAC" w14:paraId="6774EE9D"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5C99742A" w14:textId="77777777" w:rsidR="00E51EAC" w:rsidRDefault="00182F93">
            <w:r>
              <w:rPr>
                <w:b/>
              </w:rPr>
              <w:t>Net assets</w:t>
            </w:r>
          </w:p>
        </w:tc>
        <w:tc>
          <w:tcPr>
            <w:tcW w:w="992" w:type="dxa"/>
            <w:tcBorders>
              <w:top w:val="single" w:sz="6" w:space="0" w:color="auto"/>
              <w:bottom w:val="single" w:sz="12" w:space="0" w:color="auto"/>
            </w:tcBorders>
          </w:tcPr>
          <w:p w14:paraId="060A529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284 407</w:t>
            </w:r>
          </w:p>
        </w:tc>
        <w:tc>
          <w:tcPr>
            <w:tcW w:w="1133" w:type="dxa"/>
            <w:tcBorders>
              <w:top w:val="single" w:sz="6" w:space="0" w:color="auto"/>
              <w:bottom w:val="single" w:sz="12" w:space="0" w:color="auto"/>
            </w:tcBorders>
          </w:tcPr>
          <w:p w14:paraId="5510255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244 199</w:t>
            </w:r>
          </w:p>
        </w:tc>
      </w:tr>
      <w:tr w:rsidR="00E51EAC" w14:paraId="1380CF4E"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auto"/>
            </w:tcBorders>
          </w:tcPr>
          <w:p w14:paraId="0BF2FAD8" w14:textId="77777777" w:rsidR="00E51EAC" w:rsidRDefault="00182F93">
            <w:r>
              <w:t>Equity</w:t>
            </w:r>
          </w:p>
        </w:tc>
        <w:tc>
          <w:tcPr>
            <w:tcW w:w="992" w:type="dxa"/>
            <w:tcBorders>
              <w:top w:val="single" w:sz="0" w:space="0" w:color="auto"/>
            </w:tcBorders>
          </w:tcPr>
          <w:p w14:paraId="038DE2F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0" w:space="0" w:color="auto"/>
            </w:tcBorders>
          </w:tcPr>
          <w:p w14:paraId="75492E4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28F28F2" w14:textId="77777777">
        <w:tc>
          <w:tcPr>
            <w:cnfStyle w:val="001000000000" w:firstRow="0" w:lastRow="0" w:firstColumn="1" w:lastColumn="0" w:oddVBand="0" w:evenVBand="0" w:oddHBand="0" w:evenHBand="0" w:firstRowFirstColumn="0" w:firstRowLastColumn="0" w:lastRowFirstColumn="0" w:lastRowLastColumn="0"/>
            <w:tcW w:w="7513" w:type="dxa"/>
          </w:tcPr>
          <w:p w14:paraId="4F9DACB1" w14:textId="77777777" w:rsidR="00E51EAC" w:rsidRDefault="00182F93">
            <w:r>
              <w:t>Accumulated surplus/(deficit)</w:t>
            </w:r>
          </w:p>
        </w:tc>
        <w:tc>
          <w:tcPr>
            <w:tcW w:w="992" w:type="dxa"/>
          </w:tcPr>
          <w:p w14:paraId="6EF6D578" w14:textId="77777777" w:rsidR="00E51EAC" w:rsidRDefault="00182F93">
            <w:pPr>
              <w:cnfStyle w:val="000000000000" w:firstRow="0" w:lastRow="0" w:firstColumn="0" w:lastColumn="0" w:oddVBand="0" w:evenVBand="0" w:oddHBand="0" w:evenHBand="0" w:firstRowFirstColumn="0" w:firstRowLastColumn="0" w:lastRowFirstColumn="0" w:lastRowLastColumn="0"/>
            </w:pPr>
            <w:r>
              <w:t>62 809</w:t>
            </w:r>
          </w:p>
        </w:tc>
        <w:tc>
          <w:tcPr>
            <w:tcW w:w="1133" w:type="dxa"/>
          </w:tcPr>
          <w:p w14:paraId="0E684E43" w14:textId="77777777" w:rsidR="00E51EAC" w:rsidRDefault="00182F93">
            <w:pPr>
              <w:cnfStyle w:val="000000000000" w:firstRow="0" w:lastRow="0" w:firstColumn="0" w:lastColumn="0" w:oddVBand="0" w:evenVBand="0" w:oddHBand="0" w:evenHBand="0" w:firstRowFirstColumn="0" w:firstRowLastColumn="0" w:lastRowFirstColumn="0" w:lastRowLastColumn="0"/>
            </w:pPr>
            <w:r>
              <w:t>65 605</w:t>
            </w:r>
          </w:p>
        </w:tc>
      </w:tr>
      <w:tr w:rsidR="00E51EAC" w14:paraId="5FE9D162"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bottom w:val="single" w:sz="6" w:space="0" w:color="auto"/>
            </w:tcBorders>
          </w:tcPr>
          <w:p w14:paraId="5922A620" w14:textId="77777777" w:rsidR="00E51EAC" w:rsidRDefault="00182F93">
            <w:r>
              <w:t>Reserves</w:t>
            </w:r>
          </w:p>
        </w:tc>
        <w:tc>
          <w:tcPr>
            <w:tcW w:w="992" w:type="dxa"/>
            <w:tcBorders>
              <w:bottom w:val="single" w:sz="6" w:space="0" w:color="auto"/>
            </w:tcBorders>
          </w:tcPr>
          <w:p w14:paraId="214C0E24" w14:textId="77777777" w:rsidR="00E51EAC" w:rsidRDefault="00182F93">
            <w:pPr>
              <w:cnfStyle w:val="000000000000" w:firstRow="0" w:lastRow="0" w:firstColumn="0" w:lastColumn="0" w:oddVBand="0" w:evenVBand="0" w:oddHBand="0" w:evenHBand="0" w:firstRowFirstColumn="0" w:firstRowLastColumn="0" w:lastRowFirstColumn="0" w:lastRowLastColumn="0"/>
            </w:pPr>
            <w:r>
              <w:t>221 599</w:t>
            </w:r>
          </w:p>
        </w:tc>
        <w:tc>
          <w:tcPr>
            <w:tcW w:w="1133" w:type="dxa"/>
            <w:tcBorders>
              <w:bottom w:val="single" w:sz="6" w:space="0" w:color="auto"/>
            </w:tcBorders>
          </w:tcPr>
          <w:p w14:paraId="7DC73FDC" w14:textId="77777777" w:rsidR="00E51EAC" w:rsidRDefault="00182F93">
            <w:pPr>
              <w:cnfStyle w:val="000000000000" w:firstRow="0" w:lastRow="0" w:firstColumn="0" w:lastColumn="0" w:oddVBand="0" w:evenVBand="0" w:oddHBand="0" w:evenHBand="0" w:firstRowFirstColumn="0" w:firstRowLastColumn="0" w:lastRowFirstColumn="0" w:lastRowLastColumn="0"/>
            </w:pPr>
            <w:r>
              <w:t>178 594</w:t>
            </w:r>
          </w:p>
        </w:tc>
      </w:tr>
      <w:tr w:rsidR="00E51EAC" w14:paraId="1F09060F"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top w:val="single" w:sz="6" w:space="0" w:color="auto"/>
              <w:bottom w:val="single" w:sz="12" w:space="0" w:color="auto"/>
            </w:tcBorders>
          </w:tcPr>
          <w:p w14:paraId="28127D30" w14:textId="77777777" w:rsidR="00E51EAC" w:rsidRDefault="00182F93">
            <w:r>
              <w:rPr>
                <w:b/>
              </w:rPr>
              <w:t>Net worth</w:t>
            </w:r>
          </w:p>
        </w:tc>
        <w:tc>
          <w:tcPr>
            <w:tcW w:w="992" w:type="dxa"/>
            <w:tcBorders>
              <w:top w:val="single" w:sz="6" w:space="0" w:color="auto"/>
              <w:bottom w:val="single" w:sz="12" w:space="0" w:color="auto"/>
            </w:tcBorders>
          </w:tcPr>
          <w:p w14:paraId="6859531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284 407</w:t>
            </w:r>
          </w:p>
        </w:tc>
        <w:tc>
          <w:tcPr>
            <w:tcW w:w="1133" w:type="dxa"/>
            <w:tcBorders>
              <w:top w:val="single" w:sz="6" w:space="0" w:color="auto"/>
              <w:bottom w:val="single" w:sz="12" w:space="0" w:color="auto"/>
            </w:tcBorders>
          </w:tcPr>
          <w:p w14:paraId="45D532C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244 199</w:t>
            </w:r>
          </w:p>
        </w:tc>
      </w:tr>
      <w:tr w:rsidR="00E51EAC" w14:paraId="0B038EC2" w14:textId="77777777" w:rsidTr="00E51EAC">
        <w:trPr>
          <w:trHeight w:hRule="exact" w:val="113"/>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auto"/>
            </w:tcBorders>
          </w:tcPr>
          <w:p w14:paraId="383A2F2A" w14:textId="77777777" w:rsidR="00E51EAC" w:rsidRDefault="00E51EAC"/>
        </w:tc>
        <w:tc>
          <w:tcPr>
            <w:tcW w:w="992" w:type="dxa"/>
            <w:tcBorders>
              <w:top w:val="single" w:sz="0" w:space="0" w:color="auto"/>
            </w:tcBorders>
          </w:tcPr>
          <w:p w14:paraId="2B301D3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0" w:space="0" w:color="auto"/>
            </w:tcBorders>
          </w:tcPr>
          <w:p w14:paraId="6FDCF72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E98FBA5" w14:textId="77777777">
        <w:tc>
          <w:tcPr>
            <w:cnfStyle w:val="001000000000" w:firstRow="0" w:lastRow="0" w:firstColumn="1" w:lastColumn="0" w:oddVBand="0" w:evenVBand="0" w:oddHBand="0" w:evenHBand="0" w:firstRowFirstColumn="0" w:firstRowLastColumn="0" w:lastRowFirstColumn="0" w:lastRowLastColumn="0"/>
            <w:tcW w:w="7513" w:type="dxa"/>
          </w:tcPr>
          <w:p w14:paraId="22886372" w14:textId="77777777" w:rsidR="00E51EAC" w:rsidRDefault="00182F93">
            <w:r>
              <w:rPr>
                <w:b/>
              </w:rPr>
              <w:t>FISCAL AGGREGATES</w:t>
            </w:r>
          </w:p>
        </w:tc>
        <w:tc>
          <w:tcPr>
            <w:tcW w:w="992" w:type="dxa"/>
          </w:tcPr>
          <w:p w14:paraId="655BE46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1155408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239F90BC" w14:textId="77777777">
        <w:tc>
          <w:tcPr>
            <w:cnfStyle w:val="001000000000" w:firstRow="0" w:lastRow="0" w:firstColumn="1" w:lastColumn="0" w:oddVBand="0" w:evenVBand="0" w:oddHBand="0" w:evenHBand="0" w:firstRowFirstColumn="0" w:firstRowLastColumn="0" w:lastRowFirstColumn="0" w:lastRowLastColumn="0"/>
            <w:tcW w:w="7513" w:type="dxa"/>
          </w:tcPr>
          <w:p w14:paraId="1DFAADCE" w14:textId="77777777" w:rsidR="00E51EAC" w:rsidRDefault="00182F93">
            <w:r>
              <w:t>Net financial worth</w:t>
            </w:r>
          </w:p>
        </w:tc>
        <w:tc>
          <w:tcPr>
            <w:tcW w:w="992" w:type="dxa"/>
          </w:tcPr>
          <w:p w14:paraId="34EA688A" w14:textId="77777777" w:rsidR="00E51EAC" w:rsidRDefault="00182F93">
            <w:pPr>
              <w:cnfStyle w:val="000000000000" w:firstRow="0" w:lastRow="0" w:firstColumn="0" w:lastColumn="0" w:oddVBand="0" w:evenVBand="0" w:oddHBand="0" w:evenHBand="0" w:firstRowFirstColumn="0" w:firstRowLastColumn="0" w:lastRowFirstColumn="0" w:lastRowLastColumn="0"/>
            </w:pPr>
            <w:r>
              <w:t>(226 573)</w:t>
            </w:r>
          </w:p>
        </w:tc>
        <w:tc>
          <w:tcPr>
            <w:tcW w:w="1133" w:type="dxa"/>
          </w:tcPr>
          <w:p w14:paraId="1FB95286" w14:textId="77777777" w:rsidR="00E51EAC" w:rsidRDefault="00182F93">
            <w:pPr>
              <w:cnfStyle w:val="000000000000" w:firstRow="0" w:lastRow="0" w:firstColumn="0" w:lastColumn="0" w:oddVBand="0" w:evenVBand="0" w:oddHBand="0" w:evenHBand="0" w:firstRowFirstColumn="0" w:firstRowLastColumn="0" w:lastRowFirstColumn="0" w:lastRowLastColumn="0"/>
            </w:pPr>
            <w:r>
              <w:t>(201 403)</w:t>
            </w:r>
          </w:p>
        </w:tc>
      </w:tr>
      <w:tr w:rsidR="00E51EAC" w14:paraId="0478BD59" w14:textId="77777777">
        <w:tc>
          <w:tcPr>
            <w:cnfStyle w:val="001000000000" w:firstRow="0" w:lastRow="0" w:firstColumn="1" w:lastColumn="0" w:oddVBand="0" w:evenVBand="0" w:oddHBand="0" w:evenHBand="0" w:firstRowFirstColumn="0" w:firstRowLastColumn="0" w:lastRowFirstColumn="0" w:lastRowLastColumn="0"/>
            <w:tcW w:w="7513" w:type="dxa"/>
          </w:tcPr>
          <w:p w14:paraId="3B803CA9" w14:textId="77777777" w:rsidR="00E51EAC" w:rsidRDefault="00182F93">
            <w:r>
              <w:t>Net financial liabilities</w:t>
            </w:r>
          </w:p>
        </w:tc>
        <w:tc>
          <w:tcPr>
            <w:tcW w:w="992" w:type="dxa"/>
          </w:tcPr>
          <w:p w14:paraId="41A3FA5C" w14:textId="77777777" w:rsidR="00E51EAC" w:rsidRDefault="00182F93">
            <w:pPr>
              <w:cnfStyle w:val="000000000000" w:firstRow="0" w:lastRow="0" w:firstColumn="0" w:lastColumn="0" w:oddVBand="0" w:evenVBand="0" w:oddHBand="0" w:evenHBand="0" w:firstRowFirstColumn="0" w:firstRowLastColumn="0" w:lastRowFirstColumn="0" w:lastRowLastColumn="0"/>
            </w:pPr>
            <w:r>
              <w:t>236 474</w:t>
            </w:r>
          </w:p>
        </w:tc>
        <w:tc>
          <w:tcPr>
            <w:tcW w:w="1133" w:type="dxa"/>
          </w:tcPr>
          <w:p w14:paraId="4AC86287" w14:textId="77777777" w:rsidR="00E51EAC" w:rsidRDefault="00182F93">
            <w:pPr>
              <w:cnfStyle w:val="000000000000" w:firstRow="0" w:lastRow="0" w:firstColumn="0" w:lastColumn="0" w:oddVBand="0" w:evenVBand="0" w:oddHBand="0" w:evenHBand="0" w:firstRowFirstColumn="0" w:firstRowLastColumn="0" w:lastRowFirstColumn="0" w:lastRowLastColumn="0"/>
            </w:pPr>
            <w:r>
              <w:t>216 540</w:t>
            </w:r>
          </w:p>
        </w:tc>
      </w:tr>
      <w:tr w:rsidR="00E51EAC" w14:paraId="51BA617F" w14:textId="77777777" w:rsidTr="00E51EAC">
        <w:tc>
          <w:tcPr>
            <w:cnfStyle w:val="001000000000" w:firstRow="0" w:lastRow="0" w:firstColumn="1" w:lastColumn="0" w:oddVBand="0" w:evenVBand="0" w:oddHBand="0" w:evenHBand="0" w:firstRowFirstColumn="0" w:firstRowLastColumn="0" w:lastRowFirstColumn="0" w:lastRowLastColumn="0"/>
            <w:tcW w:w="7513" w:type="dxa"/>
            <w:tcBorders>
              <w:bottom w:val="single" w:sz="12" w:space="0" w:color="auto"/>
            </w:tcBorders>
          </w:tcPr>
          <w:p w14:paraId="2704ACD1" w14:textId="77777777" w:rsidR="00E51EAC" w:rsidRDefault="00182F93">
            <w:r>
              <w:t>Net debt</w:t>
            </w:r>
          </w:p>
        </w:tc>
        <w:tc>
          <w:tcPr>
            <w:tcW w:w="992" w:type="dxa"/>
            <w:tcBorders>
              <w:bottom w:val="single" w:sz="12" w:space="0" w:color="auto"/>
            </w:tcBorders>
          </w:tcPr>
          <w:p w14:paraId="79668B37" w14:textId="77777777" w:rsidR="00E51EAC" w:rsidRDefault="00182F93">
            <w:pPr>
              <w:cnfStyle w:val="000000000000" w:firstRow="0" w:lastRow="0" w:firstColumn="0" w:lastColumn="0" w:oddVBand="0" w:evenVBand="0" w:oddHBand="0" w:evenHBand="0" w:firstRowFirstColumn="0" w:firstRowLastColumn="0" w:lastRowFirstColumn="0" w:lastRowLastColumn="0"/>
            </w:pPr>
            <w:r>
              <w:t>175 233</w:t>
            </w:r>
          </w:p>
        </w:tc>
        <w:tc>
          <w:tcPr>
            <w:tcW w:w="1133" w:type="dxa"/>
            <w:tcBorders>
              <w:bottom w:val="single" w:sz="12" w:space="0" w:color="auto"/>
            </w:tcBorders>
          </w:tcPr>
          <w:p w14:paraId="6DF7AD25" w14:textId="77777777" w:rsidR="00E51EAC" w:rsidRDefault="00182F93">
            <w:pPr>
              <w:cnfStyle w:val="000000000000" w:firstRow="0" w:lastRow="0" w:firstColumn="0" w:lastColumn="0" w:oddVBand="0" w:evenVBand="0" w:oddHBand="0" w:evenHBand="0" w:firstRowFirstColumn="0" w:firstRowLastColumn="0" w:lastRowFirstColumn="0" w:lastRowLastColumn="0"/>
            </w:pPr>
            <w:r>
              <w:t>155 312</w:t>
            </w:r>
          </w:p>
        </w:tc>
      </w:tr>
    </w:tbl>
    <w:p w14:paraId="32328359" w14:textId="5E8CD19B" w:rsidR="0003388E" w:rsidRDefault="0003388E" w:rsidP="0003388E"/>
    <w:p w14:paraId="56E5C226" w14:textId="54944947" w:rsidR="0003388E" w:rsidRDefault="0003388E" w:rsidP="0003388E">
      <w:pPr>
        <w:pStyle w:val="TableHeading"/>
        <w:pageBreakBefore/>
      </w:pPr>
      <w:r>
        <w:lastRenderedPageBreak/>
        <w:t>Table 5.3:</w:t>
      </w:r>
      <w:r>
        <w:tab/>
        <w:t>Non-financial public sector cash flow statement for the financial year ended 30 June</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Chapter_5.xlsx|Table:NFPS_CF"/>
      </w:tblPr>
      <w:tblGrid>
        <w:gridCol w:w="7655"/>
        <w:gridCol w:w="850"/>
        <w:gridCol w:w="1133"/>
      </w:tblGrid>
      <w:tr w:rsidR="008F0D56" w14:paraId="2407D71D"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55" w:type="dxa"/>
          </w:tcPr>
          <w:p w14:paraId="763B251E" w14:textId="77777777" w:rsidR="00E51EAC" w:rsidRDefault="00E51EAC">
            <w:pPr>
              <w:keepNext/>
            </w:pPr>
          </w:p>
        </w:tc>
        <w:tc>
          <w:tcPr>
            <w:tcW w:w="850" w:type="dxa"/>
          </w:tcPr>
          <w:p w14:paraId="560BE3E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2025</w:t>
            </w:r>
          </w:p>
        </w:tc>
        <w:tc>
          <w:tcPr>
            <w:tcW w:w="1133" w:type="dxa"/>
          </w:tcPr>
          <w:p w14:paraId="21325C3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2024</w:t>
            </w:r>
          </w:p>
        </w:tc>
      </w:tr>
      <w:tr w:rsidR="00E51EAC" w14:paraId="5D5E41AE" w14:textId="77777777">
        <w:tc>
          <w:tcPr>
            <w:cnfStyle w:val="001000000000" w:firstRow="0" w:lastRow="0" w:firstColumn="1" w:lastColumn="0" w:oddVBand="0" w:evenVBand="0" w:oddHBand="0" w:evenHBand="0" w:firstRowFirstColumn="0" w:firstRowLastColumn="0" w:lastRowFirstColumn="0" w:lastRowLastColumn="0"/>
            <w:tcW w:w="7655" w:type="dxa"/>
          </w:tcPr>
          <w:p w14:paraId="5BD42B0E" w14:textId="77777777" w:rsidR="00E51EAC" w:rsidRDefault="00182F93">
            <w:r>
              <w:rPr>
                <w:b/>
              </w:rPr>
              <w:t>Cash flows from operating activities</w:t>
            </w:r>
          </w:p>
        </w:tc>
        <w:tc>
          <w:tcPr>
            <w:tcW w:w="850" w:type="dxa"/>
          </w:tcPr>
          <w:p w14:paraId="7584A8C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7D4BBB5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61CEF12" w14:textId="77777777">
        <w:tc>
          <w:tcPr>
            <w:cnfStyle w:val="001000000000" w:firstRow="0" w:lastRow="0" w:firstColumn="1" w:lastColumn="0" w:oddVBand="0" w:evenVBand="0" w:oddHBand="0" w:evenHBand="0" w:firstRowFirstColumn="0" w:firstRowLastColumn="0" w:lastRowFirstColumn="0" w:lastRowLastColumn="0"/>
            <w:tcW w:w="7655" w:type="dxa"/>
          </w:tcPr>
          <w:p w14:paraId="040AAB06" w14:textId="77777777" w:rsidR="00E51EAC" w:rsidRDefault="00182F93">
            <w:r>
              <w:rPr>
                <w:b/>
              </w:rPr>
              <w:t>Receipts</w:t>
            </w:r>
          </w:p>
        </w:tc>
        <w:tc>
          <w:tcPr>
            <w:tcW w:w="850" w:type="dxa"/>
          </w:tcPr>
          <w:p w14:paraId="284FAD7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13BF89F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DD8B9A4" w14:textId="77777777">
        <w:tc>
          <w:tcPr>
            <w:cnfStyle w:val="001000000000" w:firstRow="0" w:lastRow="0" w:firstColumn="1" w:lastColumn="0" w:oddVBand="0" w:evenVBand="0" w:oddHBand="0" w:evenHBand="0" w:firstRowFirstColumn="0" w:firstRowLastColumn="0" w:lastRowFirstColumn="0" w:lastRowLastColumn="0"/>
            <w:tcW w:w="7655" w:type="dxa"/>
          </w:tcPr>
          <w:p w14:paraId="0F0C68AC" w14:textId="77777777" w:rsidR="00E51EAC" w:rsidRDefault="00182F93">
            <w:r>
              <w:t>Taxes received</w:t>
            </w:r>
          </w:p>
        </w:tc>
        <w:tc>
          <w:tcPr>
            <w:tcW w:w="850" w:type="dxa"/>
          </w:tcPr>
          <w:p w14:paraId="6A184DDF" w14:textId="77777777" w:rsidR="00E51EAC" w:rsidRDefault="00182F93">
            <w:pPr>
              <w:cnfStyle w:val="000000000000" w:firstRow="0" w:lastRow="0" w:firstColumn="0" w:lastColumn="0" w:oddVBand="0" w:evenVBand="0" w:oddHBand="0" w:evenHBand="0" w:firstRowFirstColumn="0" w:firstRowLastColumn="0" w:lastRowFirstColumn="0" w:lastRowLastColumn="0"/>
            </w:pPr>
            <w:r>
              <w:t>38 861</w:t>
            </w:r>
          </w:p>
        </w:tc>
        <w:tc>
          <w:tcPr>
            <w:tcW w:w="1133" w:type="dxa"/>
          </w:tcPr>
          <w:p w14:paraId="4170577A" w14:textId="77777777" w:rsidR="00E51EAC" w:rsidRDefault="00182F93">
            <w:pPr>
              <w:cnfStyle w:val="000000000000" w:firstRow="0" w:lastRow="0" w:firstColumn="0" w:lastColumn="0" w:oddVBand="0" w:evenVBand="0" w:oddHBand="0" w:evenHBand="0" w:firstRowFirstColumn="0" w:firstRowLastColumn="0" w:lastRowFirstColumn="0" w:lastRowLastColumn="0"/>
            </w:pPr>
            <w:r>
              <w:t>35 974</w:t>
            </w:r>
          </w:p>
        </w:tc>
      </w:tr>
      <w:tr w:rsidR="00E51EAC" w14:paraId="7C7AB1D3" w14:textId="77777777">
        <w:tc>
          <w:tcPr>
            <w:cnfStyle w:val="001000000000" w:firstRow="0" w:lastRow="0" w:firstColumn="1" w:lastColumn="0" w:oddVBand="0" w:evenVBand="0" w:oddHBand="0" w:evenHBand="0" w:firstRowFirstColumn="0" w:firstRowLastColumn="0" w:lastRowFirstColumn="0" w:lastRowLastColumn="0"/>
            <w:tcW w:w="7655" w:type="dxa"/>
          </w:tcPr>
          <w:p w14:paraId="4E5685A5" w14:textId="77777777" w:rsidR="00E51EAC" w:rsidRDefault="00182F93">
            <w:r>
              <w:t>Grants</w:t>
            </w:r>
          </w:p>
        </w:tc>
        <w:tc>
          <w:tcPr>
            <w:tcW w:w="850" w:type="dxa"/>
          </w:tcPr>
          <w:p w14:paraId="6851E634" w14:textId="77777777" w:rsidR="00E51EAC" w:rsidRDefault="00182F93">
            <w:pPr>
              <w:cnfStyle w:val="000000000000" w:firstRow="0" w:lastRow="0" w:firstColumn="0" w:lastColumn="0" w:oddVBand="0" w:evenVBand="0" w:oddHBand="0" w:evenHBand="0" w:firstRowFirstColumn="0" w:firstRowLastColumn="0" w:lastRowFirstColumn="0" w:lastRowLastColumn="0"/>
            </w:pPr>
            <w:r>
              <w:t>47 049</w:t>
            </w:r>
          </w:p>
        </w:tc>
        <w:tc>
          <w:tcPr>
            <w:tcW w:w="1133" w:type="dxa"/>
          </w:tcPr>
          <w:p w14:paraId="28F93BDF" w14:textId="77777777" w:rsidR="00E51EAC" w:rsidRDefault="00182F93">
            <w:pPr>
              <w:cnfStyle w:val="000000000000" w:firstRow="0" w:lastRow="0" w:firstColumn="0" w:lastColumn="0" w:oddVBand="0" w:evenVBand="0" w:oddHBand="0" w:evenHBand="0" w:firstRowFirstColumn="0" w:firstRowLastColumn="0" w:lastRowFirstColumn="0" w:lastRowLastColumn="0"/>
            </w:pPr>
            <w:r>
              <w:t>41 079</w:t>
            </w:r>
          </w:p>
        </w:tc>
      </w:tr>
      <w:tr w:rsidR="00E51EAC" w14:paraId="326D8CC1" w14:textId="77777777">
        <w:tc>
          <w:tcPr>
            <w:cnfStyle w:val="001000000000" w:firstRow="0" w:lastRow="0" w:firstColumn="1" w:lastColumn="0" w:oddVBand="0" w:evenVBand="0" w:oddHBand="0" w:evenHBand="0" w:firstRowFirstColumn="0" w:firstRowLastColumn="0" w:lastRowFirstColumn="0" w:lastRowLastColumn="0"/>
            <w:tcW w:w="7655" w:type="dxa"/>
          </w:tcPr>
          <w:p w14:paraId="0A04E75D" w14:textId="77777777" w:rsidR="00E51EAC" w:rsidRDefault="00182F93">
            <w:r>
              <w:t>Sales of goods and services</w:t>
            </w:r>
            <w:r>
              <w:rPr>
                <w:vertAlign w:val="superscript"/>
              </w:rPr>
              <w:t xml:space="preserve"> (a)</w:t>
            </w:r>
          </w:p>
        </w:tc>
        <w:tc>
          <w:tcPr>
            <w:tcW w:w="850" w:type="dxa"/>
          </w:tcPr>
          <w:p w14:paraId="792C8A10" w14:textId="77777777" w:rsidR="00E51EAC" w:rsidRDefault="00182F93">
            <w:pPr>
              <w:cnfStyle w:val="000000000000" w:firstRow="0" w:lastRow="0" w:firstColumn="0" w:lastColumn="0" w:oddVBand="0" w:evenVBand="0" w:oddHBand="0" w:evenHBand="0" w:firstRowFirstColumn="0" w:firstRowLastColumn="0" w:lastRowFirstColumn="0" w:lastRowLastColumn="0"/>
            </w:pPr>
            <w:r>
              <w:t>15 681</w:t>
            </w:r>
          </w:p>
        </w:tc>
        <w:tc>
          <w:tcPr>
            <w:tcW w:w="1133" w:type="dxa"/>
          </w:tcPr>
          <w:p w14:paraId="3CB97941" w14:textId="77777777" w:rsidR="00E51EAC" w:rsidRDefault="00182F93">
            <w:pPr>
              <w:cnfStyle w:val="000000000000" w:firstRow="0" w:lastRow="0" w:firstColumn="0" w:lastColumn="0" w:oddVBand="0" w:evenVBand="0" w:oddHBand="0" w:evenHBand="0" w:firstRowFirstColumn="0" w:firstRowLastColumn="0" w:lastRowFirstColumn="0" w:lastRowLastColumn="0"/>
            </w:pPr>
            <w:r>
              <w:t>14 690</w:t>
            </w:r>
          </w:p>
        </w:tc>
      </w:tr>
      <w:tr w:rsidR="00E51EAC" w14:paraId="224A02E1" w14:textId="77777777">
        <w:tc>
          <w:tcPr>
            <w:cnfStyle w:val="001000000000" w:firstRow="0" w:lastRow="0" w:firstColumn="1" w:lastColumn="0" w:oddVBand="0" w:evenVBand="0" w:oddHBand="0" w:evenHBand="0" w:firstRowFirstColumn="0" w:firstRowLastColumn="0" w:lastRowFirstColumn="0" w:lastRowLastColumn="0"/>
            <w:tcW w:w="7655" w:type="dxa"/>
          </w:tcPr>
          <w:p w14:paraId="2FBD8F4C" w14:textId="77777777" w:rsidR="00E51EAC" w:rsidRDefault="00182F93">
            <w:r>
              <w:t>Interest received</w:t>
            </w:r>
          </w:p>
        </w:tc>
        <w:tc>
          <w:tcPr>
            <w:tcW w:w="850" w:type="dxa"/>
          </w:tcPr>
          <w:p w14:paraId="162F1F84" w14:textId="77777777" w:rsidR="00E51EAC" w:rsidRDefault="00182F93">
            <w:pPr>
              <w:cnfStyle w:val="000000000000" w:firstRow="0" w:lastRow="0" w:firstColumn="0" w:lastColumn="0" w:oddVBand="0" w:evenVBand="0" w:oddHBand="0" w:evenHBand="0" w:firstRowFirstColumn="0" w:firstRowLastColumn="0" w:lastRowFirstColumn="0" w:lastRowLastColumn="0"/>
            </w:pPr>
            <w:r>
              <w:t>1 082</w:t>
            </w:r>
          </w:p>
        </w:tc>
        <w:tc>
          <w:tcPr>
            <w:tcW w:w="1133" w:type="dxa"/>
          </w:tcPr>
          <w:p w14:paraId="28D8DAAE" w14:textId="77777777" w:rsidR="00E51EAC" w:rsidRDefault="00182F93">
            <w:pPr>
              <w:cnfStyle w:val="000000000000" w:firstRow="0" w:lastRow="0" w:firstColumn="0" w:lastColumn="0" w:oddVBand="0" w:evenVBand="0" w:oddHBand="0" w:evenHBand="0" w:firstRowFirstColumn="0" w:firstRowLastColumn="0" w:lastRowFirstColumn="0" w:lastRowLastColumn="0"/>
            </w:pPr>
            <w:r>
              <w:t>1 307</w:t>
            </w:r>
          </w:p>
        </w:tc>
      </w:tr>
      <w:tr w:rsidR="00E51EAC" w14:paraId="55399091" w14:textId="77777777">
        <w:tc>
          <w:tcPr>
            <w:cnfStyle w:val="001000000000" w:firstRow="0" w:lastRow="0" w:firstColumn="1" w:lastColumn="0" w:oddVBand="0" w:evenVBand="0" w:oddHBand="0" w:evenHBand="0" w:firstRowFirstColumn="0" w:firstRowLastColumn="0" w:lastRowFirstColumn="0" w:lastRowLastColumn="0"/>
            <w:tcW w:w="7655" w:type="dxa"/>
          </w:tcPr>
          <w:p w14:paraId="0C5D3806" w14:textId="77777777" w:rsidR="00E51EAC" w:rsidRDefault="00182F93">
            <w:r>
              <w:t>Dividends and income tax equivalent receipts</w:t>
            </w:r>
          </w:p>
        </w:tc>
        <w:tc>
          <w:tcPr>
            <w:tcW w:w="850" w:type="dxa"/>
          </w:tcPr>
          <w:p w14:paraId="6F3B0030" w14:textId="77777777" w:rsidR="00E51EAC" w:rsidRDefault="00182F93">
            <w:pPr>
              <w:cnfStyle w:val="000000000000" w:firstRow="0" w:lastRow="0" w:firstColumn="0" w:lastColumn="0" w:oddVBand="0" w:evenVBand="0" w:oddHBand="0" w:evenHBand="0" w:firstRowFirstColumn="0" w:firstRowLastColumn="0" w:lastRowFirstColumn="0" w:lastRowLastColumn="0"/>
            </w:pPr>
            <w:r>
              <w:t>2 029</w:t>
            </w:r>
          </w:p>
        </w:tc>
        <w:tc>
          <w:tcPr>
            <w:tcW w:w="1133" w:type="dxa"/>
          </w:tcPr>
          <w:p w14:paraId="4583329D" w14:textId="77777777" w:rsidR="00E51EAC" w:rsidRDefault="00182F93">
            <w:pPr>
              <w:cnfStyle w:val="000000000000" w:firstRow="0" w:lastRow="0" w:firstColumn="0" w:lastColumn="0" w:oddVBand="0" w:evenVBand="0" w:oddHBand="0" w:evenHBand="0" w:firstRowFirstColumn="0" w:firstRowLastColumn="0" w:lastRowFirstColumn="0" w:lastRowLastColumn="0"/>
            </w:pPr>
            <w:r>
              <w:t>2 232</w:t>
            </w:r>
          </w:p>
        </w:tc>
      </w:tr>
      <w:tr w:rsidR="00E51EAC" w14:paraId="1EEEBF9E"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1C6BFB38" w14:textId="77777777" w:rsidR="00E51EAC" w:rsidRDefault="00182F93">
            <w:r>
              <w:t>Other receipts</w:t>
            </w:r>
          </w:p>
        </w:tc>
        <w:tc>
          <w:tcPr>
            <w:tcW w:w="850" w:type="dxa"/>
            <w:tcBorders>
              <w:bottom w:val="single" w:sz="6" w:space="0" w:color="auto"/>
            </w:tcBorders>
          </w:tcPr>
          <w:p w14:paraId="75916670" w14:textId="77777777" w:rsidR="00E51EAC" w:rsidRDefault="00182F93">
            <w:pPr>
              <w:cnfStyle w:val="000000000000" w:firstRow="0" w:lastRow="0" w:firstColumn="0" w:lastColumn="0" w:oddVBand="0" w:evenVBand="0" w:oddHBand="0" w:evenHBand="0" w:firstRowFirstColumn="0" w:firstRowLastColumn="0" w:lastRowFirstColumn="0" w:lastRowLastColumn="0"/>
            </w:pPr>
            <w:r>
              <w:t>3 329</w:t>
            </w:r>
          </w:p>
        </w:tc>
        <w:tc>
          <w:tcPr>
            <w:tcW w:w="1133" w:type="dxa"/>
            <w:tcBorders>
              <w:bottom w:val="single" w:sz="6" w:space="0" w:color="auto"/>
            </w:tcBorders>
          </w:tcPr>
          <w:p w14:paraId="6613C162" w14:textId="77777777" w:rsidR="00E51EAC" w:rsidRDefault="00182F93">
            <w:pPr>
              <w:cnfStyle w:val="000000000000" w:firstRow="0" w:lastRow="0" w:firstColumn="0" w:lastColumn="0" w:oddVBand="0" w:evenVBand="0" w:oddHBand="0" w:evenHBand="0" w:firstRowFirstColumn="0" w:firstRowLastColumn="0" w:lastRowFirstColumn="0" w:lastRowLastColumn="0"/>
            </w:pPr>
            <w:r>
              <w:t>2 701</w:t>
            </w:r>
          </w:p>
        </w:tc>
      </w:tr>
      <w:tr w:rsidR="00E51EAC" w14:paraId="37DC53EF"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4839E345" w14:textId="77777777" w:rsidR="00E51EAC" w:rsidRDefault="00182F93">
            <w:r>
              <w:rPr>
                <w:b/>
              </w:rPr>
              <w:t>Total receipts</w:t>
            </w:r>
          </w:p>
        </w:tc>
        <w:tc>
          <w:tcPr>
            <w:tcW w:w="850" w:type="dxa"/>
            <w:tcBorders>
              <w:top w:val="single" w:sz="6" w:space="0" w:color="auto"/>
            </w:tcBorders>
          </w:tcPr>
          <w:p w14:paraId="6FD0A3D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108 031</w:t>
            </w:r>
          </w:p>
        </w:tc>
        <w:tc>
          <w:tcPr>
            <w:tcW w:w="1133" w:type="dxa"/>
            <w:tcBorders>
              <w:top w:val="single" w:sz="6" w:space="0" w:color="auto"/>
            </w:tcBorders>
          </w:tcPr>
          <w:p w14:paraId="322B07F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97 982</w:t>
            </w:r>
          </w:p>
        </w:tc>
      </w:tr>
      <w:tr w:rsidR="00E51EAC" w14:paraId="44C76590" w14:textId="77777777">
        <w:tc>
          <w:tcPr>
            <w:cnfStyle w:val="001000000000" w:firstRow="0" w:lastRow="0" w:firstColumn="1" w:lastColumn="0" w:oddVBand="0" w:evenVBand="0" w:oddHBand="0" w:evenHBand="0" w:firstRowFirstColumn="0" w:firstRowLastColumn="0" w:lastRowFirstColumn="0" w:lastRowLastColumn="0"/>
            <w:tcW w:w="7655" w:type="dxa"/>
          </w:tcPr>
          <w:p w14:paraId="1A8CD82F" w14:textId="77777777" w:rsidR="00E51EAC" w:rsidRDefault="00182F93">
            <w:r>
              <w:rPr>
                <w:b/>
              </w:rPr>
              <w:t>Payments</w:t>
            </w:r>
          </w:p>
        </w:tc>
        <w:tc>
          <w:tcPr>
            <w:tcW w:w="850" w:type="dxa"/>
          </w:tcPr>
          <w:p w14:paraId="284E4D2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5EF3A9D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D849AAA" w14:textId="77777777">
        <w:tc>
          <w:tcPr>
            <w:cnfStyle w:val="001000000000" w:firstRow="0" w:lastRow="0" w:firstColumn="1" w:lastColumn="0" w:oddVBand="0" w:evenVBand="0" w:oddHBand="0" w:evenHBand="0" w:firstRowFirstColumn="0" w:firstRowLastColumn="0" w:lastRowFirstColumn="0" w:lastRowLastColumn="0"/>
            <w:tcW w:w="7655" w:type="dxa"/>
          </w:tcPr>
          <w:p w14:paraId="30901197" w14:textId="77777777" w:rsidR="00E51EAC" w:rsidRDefault="00182F93">
            <w:r>
              <w:t>Payments for employees</w:t>
            </w:r>
          </w:p>
        </w:tc>
        <w:tc>
          <w:tcPr>
            <w:tcW w:w="850" w:type="dxa"/>
          </w:tcPr>
          <w:p w14:paraId="21FFA440" w14:textId="77777777" w:rsidR="00E51EAC" w:rsidRDefault="00182F93">
            <w:pPr>
              <w:cnfStyle w:val="000000000000" w:firstRow="0" w:lastRow="0" w:firstColumn="0" w:lastColumn="0" w:oddVBand="0" w:evenVBand="0" w:oddHBand="0" w:evenHBand="0" w:firstRowFirstColumn="0" w:firstRowLastColumn="0" w:lastRowFirstColumn="0" w:lastRowLastColumn="0"/>
            </w:pPr>
            <w:r>
              <w:t>(39 555)</w:t>
            </w:r>
          </w:p>
        </w:tc>
        <w:tc>
          <w:tcPr>
            <w:tcW w:w="1133" w:type="dxa"/>
          </w:tcPr>
          <w:p w14:paraId="674CEF48" w14:textId="77777777" w:rsidR="00E51EAC" w:rsidRDefault="00182F93">
            <w:pPr>
              <w:cnfStyle w:val="000000000000" w:firstRow="0" w:lastRow="0" w:firstColumn="0" w:lastColumn="0" w:oddVBand="0" w:evenVBand="0" w:oddHBand="0" w:evenHBand="0" w:firstRowFirstColumn="0" w:firstRowLastColumn="0" w:lastRowFirstColumn="0" w:lastRowLastColumn="0"/>
            </w:pPr>
            <w:r>
              <w:t>(36 899)</w:t>
            </w:r>
          </w:p>
        </w:tc>
      </w:tr>
      <w:tr w:rsidR="00E51EAC" w14:paraId="0FCA8187" w14:textId="77777777">
        <w:tc>
          <w:tcPr>
            <w:cnfStyle w:val="001000000000" w:firstRow="0" w:lastRow="0" w:firstColumn="1" w:lastColumn="0" w:oddVBand="0" w:evenVBand="0" w:oddHBand="0" w:evenHBand="0" w:firstRowFirstColumn="0" w:firstRowLastColumn="0" w:lastRowFirstColumn="0" w:lastRowLastColumn="0"/>
            <w:tcW w:w="7655" w:type="dxa"/>
          </w:tcPr>
          <w:p w14:paraId="332E28C0" w14:textId="77777777" w:rsidR="00E51EAC" w:rsidRDefault="00182F93">
            <w:r>
              <w:t>Superannuation</w:t>
            </w:r>
          </w:p>
        </w:tc>
        <w:tc>
          <w:tcPr>
            <w:tcW w:w="850" w:type="dxa"/>
          </w:tcPr>
          <w:p w14:paraId="0CDE220C" w14:textId="77777777" w:rsidR="00E51EAC" w:rsidRDefault="00182F93">
            <w:pPr>
              <w:cnfStyle w:val="000000000000" w:firstRow="0" w:lastRow="0" w:firstColumn="0" w:lastColumn="0" w:oddVBand="0" w:evenVBand="0" w:oddHBand="0" w:evenHBand="0" w:firstRowFirstColumn="0" w:firstRowLastColumn="0" w:lastRowFirstColumn="0" w:lastRowLastColumn="0"/>
            </w:pPr>
            <w:r>
              <w:t>(4 680)</w:t>
            </w:r>
          </w:p>
        </w:tc>
        <w:tc>
          <w:tcPr>
            <w:tcW w:w="1133" w:type="dxa"/>
          </w:tcPr>
          <w:p w14:paraId="40CCE719" w14:textId="77777777" w:rsidR="00E51EAC" w:rsidRDefault="00182F93">
            <w:pPr>
              <w:cnfStyle w:val="000000000000" w:firstRow="0" w:lastRow="0" w:firstColumn="0" w:lastColumn="0" w:oddVBand="0" w:evenVBand="0" w:oddHBand="0" w:evenHBand="0" w:firstRowFirstColumn="0" w:firstRowLastColumn="0" w:lastRowFirstColumn="0" w:lastRowLastColumn="0"/>
            </w:pPr>
            <w:r>
              <w:t>(4 043)</w:t>
            </w:r>
          </w:p>
        </w:tc>
      </w:tr>
      <w:tr w:rsidR="00E51EAC" w14:paraId="3F230A90" w14:textId="77777777">
        <w:tc>
          <w:tcPr>
            <w:cnfStyle w:val="001000000000" w:firstRow="0" w:lastRow="0" w:firstColumn="1" w:lastColumn="0" w:oddVBand="0" w:evenVBand="0" w:oddHBand="0" w:evenHBand="0" w:firstRowFirstColumn="0" w:firstRowLastColumn="0" w:lastRowFirstColumn="0" w:lastRowLastColumn="0"/>
            <w:tcW w:w="7655" w:type="dxa"/>
          </w:tcPr>
          <w:p w14:paraId="66D7CA8B" w14:textId="77777777" w:rsidR="00E51EAC" w:rsidRDefault="00182F93">
            <w:r>
              <w:t>Interest paid</w:t>
            </w:r>
          </w:p>
        </w:tc>
        <w:tc>
          <w:tcPr>
            <w:tcW w:w="850" w:type="dxa"/>
          </w:tcPr>
          <w:p w14:paraId="7F8220AA" w14:textId="77777777" w:rsidR="00E51EAC" w:rsidRDefault="00182F93">
            <w:pPr>
              <w:cnfStyle w:val="000000000000" w:firstRow="0" w:lastRow="0" w:firstColumn="0" w:lastColumn="0" w:oddVBand="0" w:evenVBand="0" w:oddHBand="0" w:evenHBand="0" w:firstRowFirstColumn="0" w:firstRowLastColumn="0" w:lastRowFirstColumn="0" w:lastRowLastColumn="0"/>
            </w:pPr>
            <w:r>
              <w:t>(6 926)</w:t>
            </w:r>
          </w:p>
        </w:tc>
        <w:tc>
          <w:tcPr>
            <w:tcW w:w="1133" w:type="dxa"/>
          </w:tcPr>
          <w:p w14:paraId="3E2C28B9" w14:textId="77777777" w:rsidR="00E51EAC" w:rsidRDefault="00182F93">
            <w:pPr>
              <w:cnfStyle w:val="000000000000" w:firstRow="0" w:lastRow="0" w:firstColumn="0" w:lastColumn="0" w:oddVBand="0" w:evenVBand="0" w:oddHBand="0" w:evenHBand="0" w:firstRowFirstColumn="0" w:firstRowLastColumn="0" w:lastRowFirstColumn="0" w:lastRowLastColumn="0"/>
            </w:pPr>
            <w:r>
              <w:t>(5 673)</w:t>
            </w:r>
          </w:p>
        </w:tc>
      </w:tr>
      <w:tr w:rsidR="00E51EAC" w14:paraId="21262251" w14:textId="77777777">
        <w:tc>
          <w:tcPr>
            <w:cnfStyle w:val="001000000000" w:firstRow="0" w:lastRow="0" w:firstColumn="1" w:lastColumn="0" w:oddVBand="0" w:evenVBand="0" w:oddHBand="0" w:evenHBand="0" w:firstRowFirstColumn="0" w:firstRowLastColumn="0" w:lastRowFirstColumn="0" w:lastRowLastColumn="0"/>
            <w:tcW w:w="7655" w:type="dxa"/>
          </w:tcPr>
          <w:p w14:paraId="3E59097C" w14:textId="77777777" w:rsidR="00E51EAC" w:rsidRDefault="00182F93">
            <w:r>
              <w:t>Grants and subsidies</w:t>
            </w:r>
          </w:p>
        </w:tc>
        <w:tc>
          <w:tcPr>
            <w:tcW w:w="850" w:type="dxa"/>
          </w:tcPr>
          <w:p w14:paraId="78CDA559" w14:textId="77777777" w:rsidR="00E51EAC" w:rsidRDefault="00182F93">
            <w:pPr>
              <w:cnfStyle w:val="000000000000" w:firstRow="0" w:lastRow="0" w:firstColumn="0" w:lastColumn="0" w:oddVBand="0" w:evenVBand="0" w:oddHBand="0" w:evenHBand="0" w:firstRowFirstColumn="0" w:firstRowLastColumn="0" w:lastRowFirstColumn="0" w:lastRowLastColumn="0"/>
            </w:pPr>
            <w:r>
              <w:t>(15 791)</w:t>
            </w:r>
          </w:p>
        </w:tc>
        <w:tc>
          <w:tcPr>
            <w:tcW w:w="1133" w:type="dxa"/>
          </w:tcPr>
          <w:p w14:paraId="044D363B" w14:textId="77777777" w:rsidR="00E51EAC" w:rsidRDefault="00182F93">
            <w:pPr>
              <w:cnfStyle w:val="000000000000" w:firstRow="0" w:lastRow="0" w:firstColumn="0" w:lastColumn="0" w:oddVBand="0" w:evenVBand="0" w:oddHBand="0" w:evenHBand="0" w:firstRowFirstColumn="0" w:firstRowLastColumn="0" w:lastRowFirstColumn="0" w:lastRowLastColumn="0"/>
            </w:pPr>
            <w:r>
              <w:t>(13 910)</w:t>
            </w:r>
          </w:p>
        </w:tc>
      </w:tr>
      <w:tr w:rsidR="00E51EAC" w14:paraId="2D476B73" w14:textId="77777777">
        <w:tc>
          <w:tcPr>
            <w:cnfStyle w:val="001000000000" w:firstRow="0" w:lastRow="0" w:firstColumn="1" w:lastColumn="0" w:oddVBand="0" w:evenVBand="0" w:oddHBand="0" w:evenHBand="0" w:firstRowFirstColumn="0" w:firstRowLastColumn="0" w:lastRowFirstColumn="0" w:lastRowLastColumn="0"/>
            <w:tcW w:w="7655" w:type="dxa"/>
          </w:tcPr>
          <w:p w14:paraId="4EFF4FB2" w14:textId="77777777" w:rsidR="00E51EAC" w:rsidRDefault="00182F93">
            <w:r>
              <w:t>Goods and services</w:t>
            </w:r>
            <w:r>
              <w:rPr>
                <w:vertAlign w:val="superscript"/>
              </w:rPr>
              <w:t xml:space="preserve"> (a)</w:t>
            </w:r>
          </w:p>
        </w:tc>
        <w:tc>
          <w:tcPr>
            <w:tcW w:w="850" w:type="dxa"/>
          </w:tcPr>
          <w:p w14:paraId="33A14A70" w14:textId="77777777" w:rsidR="00E51EAC" w:rsidRDefault="00182F93">
            <w:pPr>
              <w:cnfStyle w:val="000000000000" w:firstRow="0" w:lastRow="0" w:firstColumn="0" w:lastColumn="0" w:oddVBand="0" w:evenVBand="0" w:oddHBand="0" w:evenHBand="0" w:firstRowFirstColumn="0" w:firstRowLastColumn="0" w:lastRowFirstColumn="0" w:lastRowLastColumn="0"/>
            </w:pPr>
            <w:r>
              <w:t>(34 434)</w:t>
            </w:r>
          </w:p>
        </w:tc>
        <w:tc>
          <w:tcPr>
            <w:tcW w:w="1133" w:type="dxa"/>
          </w:tcPr>
          <w:p w14:paraId="4DB17E4F" w14:textId="77777777" w:rsidR="00E51EAC" w:rsidRDefault="00182F93">
            <w:pPr>
              <w:cnfStyle w:val="000000000000" w:firstRow="0" w:lastRow="0" w:firstColumn="0" w:lastColumn="0" w:oddVBand="0" w:evenVBand="0" w:oddHBand="0" w:evenHBand="0" w:firstRowFirstColumn="0" w:firstRowLastColumn="0" w:lastRowFirstColumn="0" w:lastRowLastColumn="0"/>
            </w:pPr>
            <w:r>
              <w:t>(32 009)</w:t>
            </w:r>
          </w:p>
        </w:tc>
      </w:tr>
      <w:tr w:rsidR="00E51EAC" w14:paraId="09A118C1"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27F1F0F2" w14:textId="77777777" w:rsidR="00E51EAC" w:rsidRDefault="00182F93">
            <w:r>
              <w:t>Other payments</w:t>
            </w:r>
          </w:p>
        </w:tc>
        <w:tc>
          <w:tcPr>
            <w:tcW w:w="850" w:type="dxa"/>
            <w:tcBorders>
              <w:bottom w:val="single" w:sz="6" w:space="0" w:color="auto"/>
            </w:tcBorders>
          </w:tcPr>
          <w:p w14:paraId="07B54969" w14:textId="77777777" w:rsidR="00E51EAC" w:rsidRDefault="00182F93">
            <w:pPr>
              <w:cnfStyle w:val="000000000000" w:firstRow="0" w:lastRow="0" w:firstColumn="0" w:lastColumn="0" w:oddVBand="0" w:evenVBand="0" w:oddHBand="0" w:evenHBand="0" w:firstRowFirstColumn="0" w:firstRowLastColumn="0" w:lastRowFirstColumn="0" w:lastRowLastColumn="0"/>
            </w:pPr>
            <w:r>
              <w:t>(1 945)</w:t>
            </w:r>
          </w:p>
        </w:tc>
        <w:tc>
          <w:tcPr>
            <w:tcW w:w="1133" w:type="dxa"/>
            <w:tcBorders>
              <w:bottom w:val="single" w:sz="6" w:space="0" w:color="auto"/>
            </w:tcBorders>
          </w:tcPr>
          <w:p w14:paraId="50CDFE49" w14:textId="77777777" w:rsidR="00E51EAC" w:rsidRDefault="00182F93">
            <w:pPr>
              <w:cnfStyle w:val="000000000000" w:firstRow="0" w:lastRow="0" w:firstColumn="0" w:lastColumn="0" w:oddVBand="0" w:evenVBand="0" w:oddHBand="0" w:evenHBand="0" w:firstRowFirstColumn="0" w:firstRowLastColumn="0" w:lastRowFirstColumn="0" w:lastRowLastColumn="0"/>
            </w:pPr>
            <w:r>
              <w:t>(1 582)</w:t>
            </w:r>
          </w:p>
        </w:tc>
      </w:tr>
      <w:tr w:rsidR="00E51EAC" w14:paraId="0A45E723"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043F5C9D" w14:textId="77777777" w:rsidR="00E51EAC" w:rsidRDefault="00182F93">
            <w:r>
              <w:rPr>
                <w:b/>
              </w:rPr>
              <w:t>Total payments</w:t>
            </w:r>
          </w:p>
        </w:tc>
        <w:tc>
          <w:tcPr>
            <w:tcW w:w="850" w:type="dxa"/>
            <w:tcBorders>
              <w:top w:val="single" w:sz="6" w:space="0" w:color="auto"/>
              <w:bottom w:val="single" w:sz="6" w:space="0" w:color="auto"/>
            </w:tcBorders>
          </w:tcPr>
          <w:p w14:paraId="0DD0A4D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(103 332)</w:t>
            </w:r>
          </w:p>
        </w:tc>
        <w:tc>
          <w:tcPr>
            <w:tcW w:w="1133" w:type="dxa"/>
            <w:tcBorders>
              <w:top w:val="single" w:sz="6" w:space="0" w:color="auto"/>
              <w:bottom w:val="single" w:sz="6" w:space="0" w:color="auto"/>
            </w:tcBorders>
          </w:tcPr>
          <w:p w14:paraId="1851841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(94 117)</w:t>
            </w:r>
          </w:p>
        </w:tc>
      </w:tr>
      <w:tr w:rsidR="00E51EAC" w14:paraId="5EC437A4"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36C0EFB3" w14:textId="77777777" w:rsidR="00E51EAC" w:rsidRDefault="00182F93">
            <w:r>
              <w:rPr>
                <w:b/>
              </w:rPr>
              <w:t>Net cash flows from operating activities</w:t>
            </w:r>
          </w:p>
        </w:tc>
        <w:tc>
          <w:tcPr>
            <w:tcW w:w="850" w:type="dxa"/>
            <w:tcBorders>
              <w:top w:val="single" w:sz="6" w:space="0" w:color="auto"/>
            </w:tcBorders>
          </w:tcPr>
          <w:p w14:paraId="22B8728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4 699</w:t>
            </w:r>
          </w:p>
        </w:tc>
        <w:tc>
          <w:tcPr>
            <w:tcW w:w="1133" w:type="dxa"/>
            <w:tcBorders>
              <w:top w:val="single" w:sz="6" w:space="0" w:color="auto"/>
            </w:tcBorders>
          </w:tcPr>
          <w:p w14:paraId="190E905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3 865</w:t>
            </w:r>
          </w:p>
        </w:tc>
      </w:tr>
      <w:tr w:rsidR="00E51EAC" w14:paraId="39A4496F" w14:textId="77777777">
        <w:tc>
          <w:tcPr>
            <w:cnfStyle w:val="001000000000" w:firstRow="0" w:lastRow="0" w:firstColumn="1" w:lastColumn="0" w:oddVBand="0" w:evenVBand="0" w:oddHBand="0" w:evenHBand="0" w:firstRowFirstColumn="0" w:firstRowLastColumn="0" w:lastRowFirstColumn="0" w:lastRowLastColumn="0"/>
            <w:tcW w:w="7655" w:type="dxa"/>
          </w:tcPr>
          <w:p w14:paraId="289766D8" w14:textId="77777777" w:rsidR="00E51EAC" w:rsidRDefault="00182F93">
            <w:r>
              <w:rPr>
                <w:b/>
              </w:rPr>
              <w:t>Cash flows from investing activities</w:t>
            </w:r>
          </w:p>
        </w:tc>
        <w:tc>
          <w:tcPr>
            <w:tcW w:w="850" w:type="dxa"/>
          </w:tcPr>
          <w:p w14:paraId="5351454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6FDAD82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B1DA3BF" w14:textId="77777777">
        <w:tc>
          <w:tcPr>
            <w:cnfStyle w:val="001000000000" w:firstRow="0" w:lastRow="0" w:firstColumn="1" w:lastColumn="0" w:oddVBand="0" w:evenVBand="0" w:oddHBand="0" w:evenHBand="0" w:firstRowFirstColumn="0" w:firstRowLastColumn="0" w:lastRowFirstColumn="0" w:lastRowLastColumn="0"/>
            <w:tcW w:w="7655" w:type="dxa"/>
          </w:tcPr>
          <w:p w14:paraId="6EA1F060" w14:textId="77777777" w:rsidR="00E51EAC" w:rsidRDefault="00182F93">
            <w:r>
              <w:rPr>
                <w:b/>
              </w:rPr>
              <w:t>Cash flows from investments in non</w:t>
            </w:r>
            <w:r>
              <w:rPr>
                <w:b/>
              </w:rPr>
              <w:noBreakHyphen/>
              <w:t>financial assets</w:t>
            </w:r>
          </w:p>
        </w:tc>
        <w:tc>
          <w:tcPr>
            <w:tcW w:w="850" w:type="dxa"/>
          </w:tcPr>
          <w:p w14:paraId="558F96E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009CD17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CE2812C" w14:textId="77777777">
        <w:tc>
          <w:tcPr>
            <w:cnfStyle w:val="001000000000" w:firstRow="0" w:lastRow="0" w:firstColumn="1" w:lastColumn="0" w:oddVBand="0" w:evenVBand="0" w:oddHBand="0" w:evenHBand="0" w:firstRowFirstColumn="0" w:firstRowLastColumn="0" w:lastRowFirstColumn="0" w:lastRowLastColumn="0"/>
            <w:tcW w:w="7655" w:type="dxa"/>
          </w:tcPr>
          <w:p w14:paraId="5B1F891D" w14:textId="77777777" w:rsidR="00E51EAC" w:rsidRDefault="00182F93">
            <w:r>
              <w:t>Purchases of non</w:t>
            </w:r>
            <w:r>
              <w:noBreakHyphen/>
              <w:t>financial assets</w:t>
            </w:r>
          </w:p>
        </w:tc>
        <w:tc>
          <w:tcPr>
            <w:tcW w:w="850" w:type="dxa"/>
          </w:tcPr>
          <w:p w14:paraId="63DC01C0" w14:textId="77777777" w:rsidR="00E51EAC" w:rsidRDefault="00182F93">
            <w:pPr>
              <w:cnfStyle w:val="000000000000" w:firstRow="0" w:lastRow="0" w:firstColumn="0" w:lastColumn="0" w:oddVBand="0" w:evenVBand="0" w:oddHBand="0" w:evenHBand="0" w:firstRowFirstColumn="0" w:firstRowLastColumn="0" w:lastRowFirstColumn="0" w:lastRowLastColumn="0"/>
            </w:pPr>
            <w:r>
              <w:t>(22 367)</w:t>
            </w:r>
          </w:p>
        </w:tc>
        <w:tc>
          <w:tcPr>
            <w:tcW w:w="1133" w:type="dxa"/>
          </w:tcPr>
          <w:p w14:paraId="0A3C0D9A" w14:textId="77777777" w:rsidR="00E51EAC" w:rsidRDefault="00182F93">
            <w:pPr>
              <w:cnfStyle w:val="000000000000" w:firstRow="0" w:lastRow="0" w:firstColumn="0" w:lastColumn="0" w:oddVBand="0" w:evenVBand="0" w:oddHBand="0" w:evenHBand="0" w:firstRowFirstColumn="0" w:firstRowLastColumn="0" w:lastRowFirstColumn="0" w:lastRowLastColumn="0"/>
            </w:pPr>
            <w:r>
              <w:t>(23 128)</w:t>
            </w:r>
          </w:p>
        </w:tc>
      </w:tr>
      <w:tr w:rsidR="00E51EAC" w14:paraId="1CB30490"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58823F9D" w14:textId="77777777" w:rsidR="00E51EAC" w:rsidRDefault="00182F93">
            <w:r>
              <w:t>Sales of non</w:t>
            </w:r>
            <w:r>
              <w:noBreakHyphen/>
              <w:t>financial assets</w:t>
            </w:r>
          </w:p>
        </w:tc>
        <w:tc>
          <w:tcPr>
            <w:tcW w:w="850" w:type="dxa"/>
            <w:tcBorders>
              <w:bottom w:val="single" w:sz="6" w:space="0" w:color="auto"/>
            </w:tcBorders>
          </w:tcPr>
          <w:p w14:paraId="17CF4095" w14:textId="77777777" w:rsidR="00E51EAC" w:rsidRDefault="00182F93">
            <w:pPr>
              <w:cnfStyle w:val="000000000000" w:firstRow="0" w:lastRow="0" w:firstColumn="0" w:lastColumn="0" w:oddVBand="0" w:evenVBand="0" w:oddHBand="0" w:evenHBand="0" w:firstRowFirstColumn="0" w:firstRowLastColumn="0" w:lastRowFirstColumn="0" w:lastRowLastColumn="0"/>
            </w:pPr>
            <w:r>
              <w:t>400</w:t>
            </w:r>
          </w:p>
        </w:tc>
        <w:tc>
          <w:tcPr>
            <w:tcW w:w="1133" w:type="dxa"/>
            <w:tcBorders>
              <w:bottom w:val="single" w:sz="6" w:space="0" w:color="auto"/>
            </w:tcBorders>
          </w:tcPr>
          <w:p w14:paraId="04ED3FBE" w14:textId="77777777" w:rsidR="00E51EAC" w:rsidRDefault="00182F93">
            <w:pPr>
              <w:cnfStyle w:val="000000000000" w:firstRow="0" w:lastRow="0" w:firstColumn="0" w:lastColumn="0" w:oddVBand="0" w:evenVBand="0" w:oddHBand="0" w:evenHBand="0" w:firstRowFirstColumn="0" w:firstRowLastColumn="0" w:lastRowFirstColumn="0" w:lastRowLastColumn="0"/>
            </w:pPr>
            <w:r>
              <w:t>670</w:t>
            </w:r>
          </w:p>
        </w:tc>
      </w:tr>
      <w:tr w:rsidR="00E51EAC" w14:paraId="0205A254"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1AC2C60E" w14:textId="77777777" w:rsidR="00E51EAC" w:rsidRDefault="00182F93">
            <w:r>
              <w:rPr>
                <w:b/>
              </w:rPr>
              <w:t>Net cash flows from investments in non</w:t>
            </w:r>
            <w:r>
              <w:rPr>
                <w:b/>
              </w:rPr>
              <w:noBreakHyphen/>
              <w:t>financial assets</w:t>
            </w:r>
          </w:p>
        </w:tc>
        <w:tc>
          <w:tcPr>
            <w:tcW w:w="850" w:type="dxa"/>
            <w:tcBorders>
              <w:top w:val="single" w:sz="6" w:space="0" w:color="auto"/>
            </w:tcBorders>
          </w:tcPr>
          <w:p w14:paraId="3D34D45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(21 967)</w:t>
            </w:r>
          </w:p>
        </w:tc>
        <w:tc>
          <w:tcPr>
            <w:tcW w:w="1133" w:type="dxa"/>
            <w:tcBorders>
              <w:top w:val="single" w:sz="6" w:space="0" w:color="auto"/>
            </w:tcBorders>
          </w:tcPr>
          <w:p w14:paraId="2EC2CB7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(22 458)</w:t>
            </w:r>
          </w:p>
        </w:tc>
      </w:tr>
      <w:tr w:rsidR="00E51EAC" w14:paraId="11B2EDBE"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2D31262A" w14:textId="77777777" w:rsidR="00E51EAC" w:rsidRDefault="00182F93">
            <w:r>
              <w:t>Net cash flows from investments in financial assets for policy purposes</w:t>
            </w:r>
          </w:p>
        </w:tc>
        <w:tc>
          <w:tcPr>
            <w:tcW w:w="850" w:type="dxa"/>
            <w:tcBorders>
              <w:bottom w:val="single" w:sz="6" w:space="0" w:color="auto"/>
            </w:tcBorders>
          </w:tcPr>
          <w:p w14:paraId="5191F532" w14:textId="77777777" w:rsidR="00E51EAC" w:rsidRDefault="00182F93">
            <w:pPr>
              <w:cnfStyle w:val="000000000000" w:firstRow="0" w:lastRow="0" w:firstColumn="0" w:lastColumn="0" w:oddVBand="0" w:evenVBand="0" w:oddHBand="0" w:evenHBand="0" w:firstRowFirstColumn="0" w:firstRowLastColumn="0" w:lastRowFirstColumn="0" w:lastRowLastColumn="0"/>
            </w:pPr>
            <w:r>
              <w:t>(159)</w:t>
            </w:r>
          </w:p>
        </w:tc>
        <w:tc>
          <w:tcPr>
            <w:tcW w:w="1133" w:type="dxa"/>
            <w:tcBorders>
              <w:bottom w:val="single" w:sz="6" w:space="0" w:color="auto"/>
            </w:tcBorders>
          </w:tcPr>
          <w:p w14:paraId="67786B22" w14:textId="77777777" w:rsidR="00E51EAC" w:rsidRDefault="00182F93">
            <w:pPr>
              <w:cnfStyle w:val="000000000000" w:firstRow="0" w:lastRow="0" w:firstColumn="0" w:lastColumn="0" w:oddVBand="0" w:evenVBand="0" w:oddHBand="0" w:evenHBand="0" w:firstRowFirstColumn="0" w:firstRowLastColumn="0" w:lastRowFirstColumn="0" w:lastRowLastColumn="0"/>
            </w:pPr>
            <w:r>
              <w:t>109</w:t>
            </w:r>
          </w:p>
        </w:tc>
      </w:tr>
      <w:tr w:rsidR="00E51EAC" w14:paraId="397C564A"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18574534" w14:textId="77777777" w:rsidR="00E51EAC" w:rsidRDefault="00182F93">
            <w:r>
              <w:rPr>
                <w:b/>
              </w:rPr>
              <w:t>Sub</w:t>
            </w:r>
            <w:r>
              <w:rPr>
                <w:b/>
              </w:rPr>
              <w:noBreakHyphen/>
              <w:t>total</w:t>
            </w:r>
          </w:p>
        </w:tc>
        <w:tc>
          <w:tcPr>
            <w:tcW w:w="850" w:type="dxa"/>
            <w:tcBorders>
              <w:top w:val="single" w:sz="6" w:space="0" w:color="auto"/>
            </w:tcBorders>
          </w:tcPr>
          <w:p w14:paraId="670691B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(22 126)</w:t>
            </w:r>
          </w:p>
        </w:tc>
        <w:tc>
          <w:tcPr>
            <w:tcW w:w="1133" w:type="dxa"/>
            <w:tcBorders>
              <w:top w:val="single" w:sz="6" w:space="0" w:color="auto"/>
            </w:tcBorders>
          </w:tcPr>
          <w:p w14:paraId="020FF6D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(22 350)</w:t>
            </w:r>
          </w:p>
        </w:tc>
      </w:tr>
      <w:tr w:rsidR="00E51EAC" w14:paraId="19C08985"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72072EB9" w14:textId="77777777" w:rsidR="00E51EAC" w:rsidRDefault="00182F93">
            <w:r>
              <w:t>Net cash flows from investments in financial assets for liquidity management purposes</w:t>
            </w:r>
          </w:p>
        </w:tc>
        <w:tc>
          <w:tcPr>
            <w:tcW w:w="850" w:type="dxa"/>
            <w:tcBorders>
              <w:bottom w:val="single" w:sz="6" w:space="0" w:color="auto"/>
            </w:tcBorders>
          </w:tcPr>
          <w:p w14:paraId="189857E2" w14:textId="77777777" w:rsidR="00E51EAC" w:rsidRDefault="00182F93">
            <w:pPr>
              <w:cnfStyle w:val="000000000000" w:firstRow="0" w:lastRow="0" w:firstColumn="0" w:lastColumn="0" w:oddVBand="0" w:evenVBand="0" w:oddHBand="0" w:evenHBand="0" w:firstRowFirstColumn="0" w:firstRowLastColumn="0" w:lastRowFirstColumn="0" w:lastRowLastColumn="0"/>
            </w:pPr>
            <w:r>
              <w:t>(1 739)</w:t>
            </w:r>
          </w:p>
        </w:tc>
        <w:tc>
          <w:tcPr>
            <w:tcW w:w="1133" w:type="dxa"/>
            <w:tcBorders>
              <w:bottom w:val="single" w:sz="6" w:space="0" w:color="auto"/>
            </w:tcBorders>
          </w:tcPr>
          <w:p w14:paraId="27704980" w14:textId="77777777" w:rsidR="00E51EAC" w:rsidRDefault="00182F93">
            <w:pPr>
              <w:cnfStyle w:val="000000000000" w:firstRow="0" w:lastRow="0" w:firstColumn="0" w:lastColumn="0" w:oddVBand="0" w:evenVBand="0" w:oddHBand="0" w:evenHBand="0" w:firstRowFirstColumn="0" w:firstRowLastColumn="0" w:lastRowFirstColumn="0" w:lastRowLastColumn="0"/>
            </w:pPr>
            <w:r>
              <w:t>(10 533)</w:t>
            </w:r>
          </w:p>
        </w:tc>
      </w:tr>
      <w:tr w:rsidR="00E51EAC" w14:paraId="4BBACBE8"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0A687AE0" w14:textId="77777777" w:rsidR="00E51EAC" w:rsidRDefault="00182F93">
            <w:r>
              <w:rPr>
                <w:b/>
              </w:rPr>
              <w:t>Net cash flows from investing activities</w:t>
            </w:r>
          </w:p>
        </w:tc>
        <w:tc>
          <w:tcPr>
            <w:tcW w:w="850" w:type="dxa"/>
            <w:tcBorders>
              <w:top w:val="single" w:sz="6" w:space="0" w:color="auto"/>
            </w:tcBorders>
          </w:tcPr>
          <w:p w14:paraId="653EA8C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(23 865)</w:t>
            </w:r>
          </w:p>
        </w:tc>
        <w:tc>
          <w:tcPr>
            <w:tcW w:w="1133" w:type="dxa"/>
            <w:tcBorders>
              <w:top w:val="single" w:sz="6" w:space="0" w:color="auto"/>
            </w:tcBorders>
          </w:tcPr>
          <w:p w14:paraId="2FDCFBF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(32 883)</w:t>
            </w:r>
          </w:p>
        </w:tc>
      </w:tr>
      <w:tr w:rsidR="00E51EAC" w14:paraId="69224873" w14:textId="77777777">
        <w:tc>
          <w:tcPr>
            <w:cnfStyle w:val="001000000000" w:firstRow="0" w:lastRow="0" w:firstColumn="1" w:lastColumn="0" w:oddVBand="0" w:evenVBand="0" w:oddHBand="0" w:evenHBand="0" w:firstRowFirstColumn="0" w:firstRowLastColumn="0" w:lastRowFirstColumn="0" w:lastRowLastColumn="0"/>
            <w:tcW w:w="7655" w:type="dxa"/>
          </w:tcPr>
          <w:p w14:paraId="582D5E51" w14:textId="77777777" w:rsidR="00E51EAC" w:rsidRDefault="00182F93">
            <w:r>
              <w:rPr>
                <w:b/>
              </w:rPr>
              <w:t>Cash flows from financing activities</w:t>
            </w:r>
          </w:p>
        </w:tc>
        <w:tc>
          <w:tcPr>
            <w:tcW w:w="850" w:type="dxa"/>
          </w:tcPr>
          <w:p w14:paraId="5F883DD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08BA2B7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4CE030B8" w14:textId="77777777">
        <w:tc>
          <w:tcPr>
            <w:cnfStyle w:val="001000000000" w:firstRow="0" w:lastRow="0" w:firstColumn="1" w:lastColumn="0" w:oddVBand="0" w:evenVBand="0" w:oddHBand="0" w:evenHBand="0" w:firstRowFirstColumn="0" w:firstRowLastColumn="0" w:lastRowFirstColumn="0" w:lastRowLastColumn="0"/>
            <w:tcW w:w="7655" w:type="dxa"/>
          </w:tcPr>
          <w:p w14:paraId="634243E9" w14:textId="77777777" w:rsidR="00E51EAC" w:rsidRDefault="00182F93">
            <w:r>
              <w:t>Advances received (net)</w:t>
            </w:r>
          </w:p>
        </w:tc>
        <w:tc>
          <w:tcPr>
            <w:tcW w:w="850" w:type="dxa"/>
          </w:tcPr>
          <w:p w14:paraId="00341D36" w14:textId="77777777" w:rsidR="00E51EAC" w:rsidRDefault="00182F93">
            <w:pPr>
              <w:cnfStyle w:val="000000000000" w:firstRow="0" w:lastRow="0" w:firstColumn="0" w:lastColumn="0" w:oddVBand="0" w:evenVBand="0" w:oddHBand="0" w:evenHBand="0" w:firstRowFirstColumn="0" w:firstRowLastColumn="0" w:lastRowFirstColumn="0" w:lastRowLastColumn="0"/>
            </w:pPr>
            <w:r>
              <w:t>31</w:t>
            </w:r>
          </w:p>
        </w:tc>
        <w:tc>
          <w:tcPr>
            <w:tcW w:w="1133" w:type="dxa"/>
          </w:tcPr>
          <w:p w14:paraId="6A5152BE" w14:textId="77777777" w:rsidR="00E51EAC" w:rsidRDefault="00182F93">
            <w:pPr>
              <w:cnfStyle w:val="000000000000" w:firstRow="0" w:lastRow="0" w:firstColumn="0" w:lastColumn="0" w:oddVBand="0" w:evenVBand="0" w:oddHBand="0" w:evenHBand="0" w:firstRowFirstColumn="0" w:firstRowLastColumn="0" w:lastRowFirstColumn="0" w:lastRowLastColumn="0"/>
            </w:pPr>
            <w:r>
              <w:t>5</w:t>
            </w:r>
          </w:p>
        </w:tc>
      </w:tr>
      <w:tr w:rsidR="00E51EAC" w14:paraId="26C3E1D7" w14:textId="77777777">
        <w:tc>
          <w:tcPr>
            <w:cnfStyle w:val="001000000000" w:firstRow="0" w:lastRow="0" w:firstColumn="1" w:lastColumn="0" w:oddVBand="0" w:evenVBand="0" w:oddHBand="0" w:evenHBand="0" w:firstRowFirstColumn="0" w:firstRowLastColumn="0" w:lastRowFirstColumn="0" w:lastRowLastColumn="0"/>
            <w:tcW w:w="7655" w:type="dxa"/>
          </w:tcPr>
          <w:p w14:paraId="4FB9E812" w14:textId="77777777" w:rsidR="00E51EAC" w:rsidRDefault="00182F93">
            <w:r>
              <w:t>Net borrowings</w:t>
            </w:r>
          </w:p>
        </w:tc>
        <w:tc>
          <w:tcPr>
            <w:tcW w:w="850" w:type="dxa"/>
          </w:tcPr>
          <w:p w14:paraId="2A08E397" w14:textId="77777777" w:rsidR="00E51EAC" w:rsidRDefault="00182F93">
            <w:pPr>
              <w:cnfStyle w:val="000000000000" w:firstRow="0" w:lastRow="0" w:firstColumn="0" w:lastColumn="0" w:oddVBand="0" w:evenVBand="0" w:oddHBand="0" w:evenHBand="0" w:firstRowFirstColumn="0" w:firstRowLastColumn="0" w:lastRowFirstColumn="0" w:lastRowLastColumn="0"/>
            </w:pPr>
            <w:r>
              <w:t>18 434</w:t>
            </w:r>
          </w:p>
        </w:tc>
        <w:tc>
          <w:tcPr>
            <w:tcW w:w="1133" w:type="dxa"/>
          </w:tcPr>
          <w:p w14:paraId="320FE4A8" w14:textId="77777777" w:rsidR="00E51EAC" w:rsidRDefault="00182F93">
            <w:pPr>
              <w:cnfStyle w:val="000000000000" w:firstRow="0" w:lastRow="0" w:firstColumn="0" w:lastColumn="0" w:oddVBand="0" w:evenVBand="0" w:oddHBand="0" w:evenHBand="0" w:firstRowFirstColumn="0" w:firstRowLastColumn="0" w:lastRowFirstColumn="0" w:lastRowLastColumn="0"/>
            </w:pPr>
            <w:r>
              <w:t>23 508</w:t>
            </w:r>
          </w:p>
        </w:tc>
      </w:tr>
      <w:tr w:rsidR="00E51EAC" w14:paraId="2F17F513" w14:textId="77777777">
        <w:tc>
          <w:tcPr>
            <w:cnfStyle w:val="001000000000" w:firstRow="0" w:lastRow="0" w:firstColumn="1" w:lastColumn="0" w:oddVBand="0" w:evenVBand="0" w:oddHBand="0" w:evenHBand="0" w:firstRowFirstColumn="0" w:firstRowLastColumn="0" w:lastRowFirstColumn="0" w:lastRowLastColumn="0"/>
            <w:tcW w:w="7655" w:type="dxa"/>
          </w:tcPr>
          <w:p w14:paraId="43BBC2A8" w14:textId="77777777" w:rsidR="00E51EAC" w:rsidRDefault="00182F93">
            <w:r>
              <w:t>Deposits received (net)</w:t>
            </w:r>
          </w:p>
        </w:tc>
        <w:tc>
          <w:tcPr>
            <w:tcW w:w="850" w:type="dxa"/>
          </w:tcPr>
          <w:p w14:paraId="152780CC" w14:textId="77777777" w:rsidR="00E51EAC" w:rsidRDefault="00182F93">
            <w:pPr>
              <w:cnfStyle w:val="000000000000" w:firstRow="0" w:lastRow="0" w:firstColumn="0" w:lastColumn="0" w:oddVBand="0" w:evenVBand="0" w:oddHBand="0" w:evenHBand="0" w:firstRowFirstColumn="0" w:firstRowLastColumn="0" w:lastRowFirstColumn="0" w:lastRowLastColumn="0"/>
            </w:pPr>
            <w:r>
              <w:t>43</w:t>
            </w:r>
          </w:p>
        </w:tc>
        <w:tc>
          <w:tcPr>
            <w:tcW w:w="1133" w:type="dxa"/>
          </w:tcPr>
          <w:p w14:paraId="2784DCD1" w14:textId="77777777" w:rsidR="00E51EAC" w:rsidRDefault="00182F93">
            <w:pPr>
              <w:cnfStyle w:val="000000000000" w:firstRow="0" w:lastRow="0" w:firstColumn="0" w:lastColumn="0" w:oddVBand="0" w:evenVBand="0" w:oddHBand="0" w:evenHBand="0" w:firstRowFirstColumn="0" w:firstRowLastColumn="0" w:lastRowFirstColumn="0" w:lastRowLastColumn="0"/>
            </w:pPr>
            <w:r>
              <w:t>136</w:t>
            </w:r>
          </w:p>
        </w:tc>
      </w:tr>
      <w:tr w:rsidR="00E51EAC" w14:paraId="52D1F297"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6" w:space="0" w:color="auto"/>
            </w:tcBorders>
          </w:tcPr>
          <w:p w14:paraId="2262E3C7" w14:textId="77777777" w:rsidR="00E51EAC" w:rsidRDefault="00182F93">
            <w:r>
              <w:rPr>
                <w:b/>
              </w:rPr>
              <w:t>Net cash flows from financing activities</w:t>
            </w:r>
          </w:p>
        </w:tc>
        <w:tc>
          <w:tcPr>
            <w:tcW w:w="850" w:type="dxa"/>
            <w:tcBorders>
              <w:top w:val="single" w:sz="6" w:space="0" w:color="auto"/>
              <w:bottom w:val="single" w:sz="6" w:space="0" w:color="auto"/>
            </w:tcBorders>
          </w:tcPr>
          <w:p w14:paraId="46C912E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18 507</w:t>
            </w:r>
          </w:p>
        </w:tc>
        <w:tc>
          <w:tcPr>
            <w:tcW w:w="1133" w:type="dxa"/>
            <w:tcBorders>
              <w:top w:val="single" w:sz="6" w:space="0" w:color="auto"/>
              <w:bottom w:val="single" w:sz="6" w:space="0" w:color="auto"/>
            </w:tcBorders>
          </w:tcPr>
          <w:p w14:paraId="2AE5F41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23 649</w:t>
            </w:r>
          </w:p>
        </w:tc>
      </w:tr>
      <w:tr w:rsidR="00E51EAC" w14:paraId="58B87153"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tcBorders>
          </w:tcPr>
          <w:p w14:paraId="5B547BB2" w14:textId="77777777" w:rsidR="00E51EAC" w:rsidRDefault="00182F93">
            <w:r>
              <w:rPr>
                <w:b/>
              </w:rPr>
              <w:t>Net increase/(decrease) in cash and cash equivalents</w:t>
            </w:r>
          </w:p>
        </w:tc>
        <w:tc>
          <w:tcPr>
            <w:tcW w:w="850" w:type="dxa"/>
            <w:tcBorders>
              <w:top w:val="single" w:sz="6" w:space="0" w:color="auto"/>
            </w:tcBorders>
          </w:tcPr>
          <w:p w14:paraId="531A4AA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(659)</w:t>
            </w:r>
          </w:p>
        </w:tc>
        <w:tc>
          <w:tcPr>
            <w:tcW w:w="1133" w:type="dxa"/>
            <w:tcBorders>
              <w:top w:val="single" w:sz="6" w:space="0" w:color="auto"/>
            </w:tcBorders>
          </w:tcPr>
          <w:p w14:paraId="32AE031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(5 369)</w:t>
            </w:r>
          </w:p>
        </w:tc>
      </w:tr>
      <w:tr w:rsidR="00E51EAC" w14:paraId="41BBBD66"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36E0684D" w14:textId="77777777" w:rsidR="00E51EAC" w:rsidRDefault="00182F93">
            <w:r>
              <w:t>Cash and cash equivalents at beginning of the reporting period</w:t>
            </w:r>
          </w:p>
        </w:tc>
        <w:tc>
          <w:tcPr>
            <w:tcW w:w="850" w:type="dxa"/>
            <w:tcBorders>
              <w:bottom w:val="single" w:sz="6" w:space="0" w:color="auto"/>
            </w:tcBorders>
          </w:tcPr>
          <w:p w14:paraId="5A0E2212" w14:textId="77777777" w:rsidR="00E51EAC" w:rsidRDefault="00182F93">
            <w:pPr>
              <w:cnfStyle w:val="000000000000" w:firstRow="0" w:lastRow="0" w:firstColumn="0" w:lastColumn="0" w:oddVBand="0" w:evenVBand="0" w:oddHBand="0" w:evenHBand="0" w:firstRowFirstColumn="0" w:firstRowLastColumn="0" w:lastRowFirstColumn="0" w:lastRowLastColumn="0"/>
            </w:pPr>
            <w:r>
              <w:t>16 561</w:t>
            </w:r>
          </w:p>
        </w:tc>
        <w:tc>
          <w:tcPr>
            <w:tcW w:w="1133" w:type="dxa"/>
            <w:tcBorders>
              <w:bottom w:val="single" w:sz="6" w:space="0" w:color="auto"/>
            </w:tcBorders>
          </w:tcPr>
          <w:p w14:paraId="6B3DED0B" w14:textId="77777777" w:rsidR="00E51EAC" w:rsidRDefault="00182F93">
            <w:pPr>
              <w:cnfStyle w:val="000000000000" w:firstRow="0" w:lastRow="0" w:firstColumn="0" w:lastColumn="0" w:oddVBand="0" w:evenVBand="0" w:oddHBand="0" w:evenHBand="0" w:firstRowFirstColumn="0" w:firstRowLastColumn="0" w:lastRowFirstColumn="0" w:lastRowLastColumn="0"/>
            </w:pPr>
            <w:r>
              <w:t>21 930</w:t>
            </w:r>
          </w:p>
        </w:tc>
      </w:tr>
      <w:tr w:rsidR="00E51EAC" w14:paraId="00A10BB0"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5A5DDC60" w14:textId="77777777" w:rsidR="00E51EAC" w:rsidRDefault="00182F93">
            <w:r>
              <w:rPr>
                <w:b/>
              </w:rPr>
              <w:t>Cash and cash equivalents at end of the reporting period</w:t>
            </w:r>
          </w:p>
        </w:tc>
        <w:tc>
          <w:tcPr>
            <w:tcW w:w="850" w:type="dxa"/>
            <w:tcBorders>
              <w:top w:val="single" w:sz="6" w:space="0" w:color="auto"/>
              <w:bottom w:val="single" w:sz="12" w:space="0" w:color="auto"/>
            </w:tcBorders>
          </w:tcPr>
          <w:p w14:paraId="5DDC456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15 902</w:t>
            </w:r>
          </w:p>
        </w:tc>
        <w:tc>
          <w:tcPr>
            <w:tcW w:w="1133" w:type="dxa"/>
            <w:tcBorders>
              <w:top w:val="single" w:sz="6" w:space="0" w:color="auto"/>
              <w:bottom w:val="single" w:sz="12" w:space="0" w:color="auto"/>
            </w:tcBorders>
          </w:tcPr>
          <w:p w14:paraId="665FB49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16 561</w:t>
            </w:r>
          </w:p>
        </w:tc>
      </w:tr>
      <w:tr w:rsidR="00E51EAC" w14:paraId="583DF97C" w14:textId="77777777" w:rsidTr="00E51EAC">
        <w:trPr>
          <w:trHeight w:hRule="exact" w:val="113"/>
        </w:trPr>
        <w:tc>
          <w:tcPr>
            <w:cnfStyle w:val="001000000000" w:firstRow="0" w:lastRow="0" w:firstColumn="1" w:lastColumn="0" w:oddVBand="0" w:evenVBand="0" w:oddHBand="0" w:evenHBand="0" w:firstRowFirstColumn="0" w:firstRowLastColumn="0" w:lastRowFirstColumn="0" w:lastRowLastColumn="0"/>
            <w:tcW w:w="7655" w:type="dxa"/>
            <w:tcBorders>
              <w:top w:val="single" w:sz="0" w:space="0" w:color="auto"/>
            </w:tcBorders>
          </w:tcPr>
          <w:p w14:paraId="3D49FCD6" w14:textId="77777777" w:rsidR="00E51EAC" w:rsidRDefault="00E51EAC"/>
        </w:tc>
        <w:tc>
          <w:tcPr>
            <w:tcW w:w="850" w:type="dxa"/>
            <w:tcBorders>
              <w:top w:val="single" w:sz="0" w:space="0" w:color="auto"/>
            </w:tcBorders>
          </w:tcPr>
          <w:p w14:paraId="5A75636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Borders>
              <w:top w:val="single" w:sz="0" w:space="0" w:color="auto"/>
            </w:tcBorders>
          </w:tcPr>
          <w:p w14:paraId="64742F0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F2DD915" w14:textId="77777777">
        <w:tc>
          <w:tcPr>
            <w:cnfStyle w:val="001000000000" w:firstRow="0" w:lastRow="0" w:firstColumn="1" w:lastColumn="0" w:oddVBand="0" w:evenVBand="0" w:oddHBand="0" w:evenHBand="0" w:firstRowFirstColumn="0" w:firstRowLastColumn="0" w:lastRowFirstColumn="0" w:lastRowLastColumn="0"/>
            <w:tcW w:w="7655" w:type="dxa"/>
          </w:tcPr>
          <w:p w14:paraId="5C98FC3C" w14:textId="77777777" w:rsidR="00E51EAC" w:rsidRDefault="00182F93">
            <w:r>
              <w:rPr>
                <w:b/>
              </w:rPr>
              <w:t>FISCAL AGGREGATES</w:t>
            </w:r>
          </w:p>
        </w:tc>
        <w:tc>
          <w:tcPr>
            <w:tcW w:w="850" w:type="dxa"/>
          </w:tcPr>
          <w:p w14:paraId="7411831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133" w:type="dxa"/>
          </w:tcPr>
          <w:p w14:paraId="5EDF7F9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457622C6" w14:textId="77777777">
        <w:tc>
          <w:tcPr>
            <w:cnfStyle w:val="001000000000" w:firstRow="0" w:lastRow="0" w:firstColumn="1" w:lastColumn="0" w:oddVBand="0" w:evenVBand="0" w:oddHBand="0" w:evenHBand="0" w:firstRowFirstColumn="0" w:firstRowLastColumn="0" w:lastRowFirstColumn="0" w:lastRowLastColumn="0"/>
            <w:tcW w:w="7655" w:type="dxa"/>
          </w:tcPr>
          <w:p w14:paraId="5CEDDAAF" w14:textId="77777777" w:rsidR="00E51EAC" w:rsidRDefault="00182F93">
            <w:r>
              <w:t>Net cash flows from operating activities</w:t>
            </w:r>
          </w:p>
        </w:tc>
        <w:tc>
          <w:tcPr>
            <w:tcW w:w="850" w:type="dxa"/>
          </w:tcPr>
          <w:p w14:paraId="2BEB6688" w14:textId="77777777" w:rsidR="00E51EAC" w:rsidRDefault="00182F93">
            <w:pPr>
              <w:cnfStyle w:val="000000000000" w:firstRow="0" w:lastRow="0" w:firstColumn="0" w:lastColumn="0" w:oddVBand="0" w:evenVBand="0" w:oddHBand="0" w:evenHBand="0" w:firstRowFirstColumn="0" w:firstRowLastColumn="0" w:lastRowFirstColumn="0" w:lastRowLastColumn="0"/>
            </w:pPr>
            <w:r>
              <w:t>4 699</w:t>
            </w:r>
          </w:p>
        </w:tc>
        <w:tc>
          <w:tcPr>
            <w:tcW w:w="1133" w:type="dxa"/>
          </w:tcPr>
          <w:p w14:paraId="00C94C06" w14:textId="77777777" w:rsidR="00E51EAC" w:rsidRDefault="00182F93">
            <w:pPr>
              <w:cnfStyle w:val="000000000000" w:firstRow="0" w:lastRow="0" w:firstColumn="0" w:lastColumn="0" w:oddVBand="0" w:evenVBand="0" w:oddHBand="0" w:evenHBand="0" w:firstRowFirstColumn="0" w:firstRowLastColumn="0" w:lastRowFirstColumn="0" w:lastRowLastColumn="0"/>
            </w:pPr>
            <w:r>
              <w:t>3 865</w:t>
            </w:r>
          </w:p>
        </w:tc>
      </w:tr>
      <w:tr w:rsidR="00E51EAC" w14:paraId="102DFD24"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bottom w:val="single" w:sz="6" w:space="0" w:color="auto"/>
            </w:tcBorders>
          </w:tcPr>
          <w:p w14:paraId="6020E04B" w14:textId="77777777" w:rsidR="00E51EAC" w:rsidRDefault="00182F93">
            <w:r>
              <w:t>Net cash flows from investments in non</w:t>
            </w:r>
            <w:r>
              <w:noBreakHyphen/>
              <w:t>financial assets</w:t>
            </w:r>
          </w:p>
        </w:tc>
        <w:tc>
          <w:tcPr>
            <w:tcW w:w="850" w:type="dxa"/>
            <w:tcBorders>
              <w:bottom w:val="single" w:sz="6" w:space="0" w:color="auto"/>
            </w:tcBorders>
          </w:tcPr>
          <w:p w14:paraId="684984CB" w14:textId="77777777" w:rsidR="00E51EAC" w:rsidRDefault="00182F93">
            <w:pPr>
              <w:cnfStyle w:val="000000000000" w:firstRow="0" w:lastRow="0" w:firstColumn="0" w:lastColumn="0" w:oddVBand="0" w:evenVBand="0" w:oddHBand="0" w:evenHBand="0" w:firstRowFirstColumn="0" w:firstRowLastColumn="0" w:lastRowFirstColumn="0" w:lastRowLastColumn="0"/>
            </w:pPr>
            <w:r>
              <w:t>(21 967)</w:t>
            </w:r>
          </w:p>
        </w:tc>
        <w:tc>
          <w:tcPr>
            <w:tcW w:w="1133" w:type="dxa"/>
            <w:tcBorders>
              <w:bottom w:val="single" w:sz="6" w:space="0" w:color="auto"/>
            </w:tcBorders>
          </w:tcPr>
          <w:p w14:paraId="677860FF" w14:textId="77777777" w:rsidR="00E51EAC" w:rsidRDefault="00182F93">
            <w:pPr>
              <w:cnfStyle w:val="000000000000" w:firstRow="0" w:lastRow="0" w:firstColumn="0" w:lastColumn="0" w:oddVBand="0" w:evenVBand="0" w:oddHBand="0" w:evenHBand="0" w:firstRowFirstColumn="0" w:firstRowLastColumn="0" w:lastRowFirstColumn="0" w:lastRowLastColumn="0"/>
            </w:pPr>
            <w:r>
              <w:t>(22 458)</w:t>
            </w:r>
          </w:p>
        </w:tc>
      </w:tr>
      <w:tr w:rsidR="00E51EAC" w14:paraId="6E04E5A8" w14:textId="77777777" w:rsidTr="00E51EAC">
        <w:tc>
          <w:tcPr>
            <w:cnfStyle w:val="001000000000" w:firstRow="0" w:lastRow="0" w:firstColumn="1" w:lastColumn="0" w:oddVBand="0" w:evenVBand="0" w:oddHBand="0" w:evenHBand="0" w:firstRowFirstColumn="0" w:firstRowLastColumn="0" w:lastRowFirstColumn="0" w:lastRowLastColumn="0"/>
            <w:tcW w:w="7655" w:type="dxa"/>
            <w:tcBorders>
              <w:top w:val="single" w:sz="6" w:space="0" w:color="auto"/>
              <w:bottom w:val="single" w:sz="12" w:space="0" w:color="auto"/>
            </w:tcBorders>
          </w:tcPr>
          <w:p w14:paraId="4F551423" w14:textId="77777777" w:rsidR="00E51EAC" w:rsidRDefault="00182F93">
            <w:r>
              <w:rPr>
                <w:b/>
              </w:rPr>
              <w:t>Cash surplus/(deficit)</w:t>
            </w:r>
          </w:p>
        </w:tc>
        <w:tc>
          <w:tcPr>
            <w:tcW w:w="850" w:type="dxa"/>
            <w:tcBorders>
              <w:top w:val="single" w:sz="6" w:space="0" w:color="auto"/>
              <w:bottom w:val="single" w:sz="12" w:space="0" w:color="auto"/>
            </w:tcBorders>
          </w:tcPr>
          <w:p w14:paraId="0DF2563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(17 268)</w:t>
            </w:r>
          </w:p>
        </w:tc>
        <w:tc>
          <w:tcPr>
            <w:tcW w:w="1133" w:type="dxa"/>
            <w:tcBorders>
              <w:top w:val="single" w:sz="6" w:space="0" w:color="auto"/>
              <w:bottom w:val="single" w:sz="12" w:space="0" w:color="auto"/>
            </w:tcBorders>
          </w:tcPr>
          <w:p w14:paraId="24E1304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(18 593)</w:t>
            </w:r>
          </w:p>
        </w:tc>
      </w:tr>
    </w:tbl>
    <w:p w14:paraId="1275F8A0" w14:textId="4069F2EC" w:rsidR="0003388E" w:rsidRDefault="0003388E" w:rsidP="0003388E">
      <w:pPr>
        <w:pStyle w:val="Note"/>
      </w:pPr>
      <w:r>
        <w:t>Note:</w:t>
      </w:r>
    </w:p>
    <w:p w14:paraId="52CFBF75" w14:textId="5B521993" w:rsidR="0003388E" w:rsidRDefault="0003388E" w:rsidP="0003388E">
      <w:pPr>
        <w:pStyle w:val="Note"/>
      </w:pPr>
      <w:r>
        <w:t>(a)</w:t>
      </w:r>
      <w:r>
        <w:tab/>
        <w:t>These items include goods and services tax.</w:t>
      </w:r>
    </w:p>
    <w:p w14:paraId="5D3179C1" w14:textId="77777777" w:rsidR="0003388E" w:rsidRDefault="0003388E" w:rsidP="0003388E">
      <w:pPr>
        <w:pStyle w:val="Note"/>
      </w:pPr>
    </w:p>
    <w:p w14:paraId="4E18B6FB" w14:textId="77777777" w:rsidR="0003388E" w:rsidRDefault="0003388E" w:rsidP="0003388E"/>
    <w:p w14:paraId="25309B2B" w14:textId="77777777" w:rsidR="0003388E" w:rsidRDefault="0003388E" w:rsidP="0003388E"/>
    <w:p w14:paraId="54BD8E3F" w14:textId="57CC0328" w:rsidR="0003388E" w:rsidRDefault="0003388E" w:rsidP="0003388E">
      <w:pPr>
        <w:pStyle w:val="TableHeading"/>
        <w:pageBreakBefore/>
      </w:pPr>
      <w:r>
        <w:lastRenderedPageBreak/>
        <w:t>Table 5.4:</w:t>
      </w:r>
      <w:r>
        <w:tab/>
        <w:t xml:space="preserve">Non-financial public sector statement of changes in equity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SOCIE/Link_AFR_SOCIE.xlsx|Table:SOCIE_NFPS"/>
      </w:tblPr>
      <w:tblGrid>
        <w:gridCol w:w="3828"/>
        <w:gridCol w:w="1417"/>
        <w:gridCol w:w="1418"/>
        <w:gridCol w:w="1559"/>
        <w:gridCol w:w="709"/>
        <w:gridCol w:w="707"/>
      </w:tblGrid>
      <w:tr w:rsidR="00991200" w14:paraId="4E07D4EA"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4CEB5923" w14:textId="77777777" w:rsidR="00E51EAC" w:rsidRDefault="00E51EAC">
            <w:pPr>
              <w:keepNext/>
            </w:pPr>
          </w:p>
        </w:tc>
        <w:tc>
          <w:tcPr>
            <w:tcW w:w="1417" w:type="dxa"/>
          </w:tcPr>
          <w:p w14:paraId="7BC77E5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2F46954A"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41DA0F0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657F3C88"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Other reserves</w:t>
            </w:r>
          </w:p>
        </w:tc>
        <w:tc>
          <w:tcPr>
            <w:tcW w:w="707" w:type="dxa"/>
          </w:tcPr>
          <w:p w14:paraId="5D422810"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Total</w:t>
            </w:r>
          </w:p>
        </w:tc>
      </w:tr>
      <w:tr w:rsidR="00E51EAC" w14:paraId="1F898671" w14:textId="77777777">
        <w:tc>
          <w:tcPr>
            <w:cnfStyle w:val="001000000000" w:firstRow="0" w:lastRow="0" w:firstColumn="1" w:lastColumn="0" w:oddVBand="0" w:evenVBand="0" w:oddHBand="0" w:evenHBand="0" w:firstRowFirstColumn="0" w:firstRowLastColumn="0" w:lastRowFirstColumn="0" w:lastRowLastColumn="0"/>
            <w:tcW w:w="3828" w:type="dxa"/>
          </w:tcPr>
          <w:p w14:paraId="1D7FEC74" w14:textId="77777777" w:rsidR="00E51EAC" w:rsidRDefault="00182F93">
            <w:r>
              <w:rPr>
                <w:b/>
              </w:rPr>
              <w:t>2025</w:t>
            </w:r>
          </w:p>
        </w:tc>
        <w:tc>
          <w:tcPr>
            <w:tcW w:w="1417" w:type="dxa"/>
          </w:tcPr>
          <w:p w14:paraId="4F9ED0A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8" w:type="dxa"/>
          </w:tcPr>
          <w:p w14:paraId="1AB70DC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559" w:type="dxa"/>
          </w:tcPr>
          <w:p w14:paraId="7B97675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709" w:type="dxa"/>
          </w:tcPr>
          <w:p w14:paraId="7A64B10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707" w:type="dxa"/>
          </w:tcPr>
          <w:p w14:paraId="03E912F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5606DE12" w14:textId="77777777">
        <w:tc>
          <w:tcPr>
            <w:cnfStyle w:val="001000000000" w:firstRow="0" w:lastRow="0" w:firstColumn="1" w:lastColumn="0" w:oddVBand="0" w:evenVBand="0" w:oddHBand="0" w:evenHBand="0" w:firstRowFirstColumn="0" w:firstRowLastColumn="0" w:lastRowFirstColumn="0" w:lastRowLastColumn="0"/>
            <w:tcW w:w="3828" w:type="dxa"/>
          </w:tcPr>
          <w:p w14:paraId="79F7686D" w14:textId="77777777" w:rsidR="00E51EAC" w:rsidRDefault="00182F93">
            <w:r>
              <w:rPr>
                <w:b/>
              </w:rPr>
              <w:t>Balance at 1 July 2024</w:t>
            </w:r>
          </w:p>
        </w:tc>
        <w:tc>
          <w:tcPr>
            <w:tcW w:w="1417" w:type="dxa"/>
          </w:tcPr>
          <w:p w14:paraId="236E137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65 605</w:t>
            </w:r>
          </w:p>
        </w:tc>
        <w:tc>
          <w:tcPr>
            <w:tcW w:w="1418" w:type="dxa"/>
          </w:tcPr>
          <w:p w14:paraId="50ED651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161 183</w:t>
            </w:r>
          </w:p>
        </w:tc>
        <w:tc>
          <w:tcPr>
            <w:tcW w:w="1559" w:type="dxa"/>
          </w:tcPr>
          <w:p w14:paraId="3E4B16C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15 040</w:t>
            </w:r>
          </w:p>
        </w:tc>
        <w:tc>
          <w:tcPr>
            <w:tcW w:w="709" w:type="dxa"/>
          </w:tcPr>
          <w:p w14:paraId="61B6268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2 371</w:t>
            </w:r>
          </w:p>
        </w:tc>
        <w:tc>
          <w:tcPr>
            <w:tcW w:w="707" w:type="dxa"/>
          </w:tcPr>
          <w:p w14:paraId="23F0555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244 199</w:t>
            </w:r>
          </w:p>
        </w:tc>
      </w:tr>
      <w:tr w:rsidR="00E51EAC" w14:paraId="35ED86C2" w14:textId="77777777">
        <w:tc>
          <w:tcPr>
            <w:cnfStyle w:val="001000000000" w:firstRow="0" w:lastRow="0" w:firstColumn="1" w:lastColumn="0" w:oddVBand="0" w:evenVBand="0" w:oddHBand="0" w:evenHBand="0" w:firstRowFirstColumn="0" w:firstRowLastColumn="0" w:lastRowFirstColumn="0" w:lastRowLastColumn="0"/>
            <w:tcW w:w="3828" w:type="dxa"/>
          </w:tcPr>
          <w:p w14:paraId="60822EDB" w14:textId="77777777" w:rsidR="00E51EAC" w:rsidRDefault="00182F93">
            <w:r>
              <w:t>Opening balance adjustment</w:t>
            </w:r>
            <w:r>
              <w:rPr>
                <w:vertAlign w:val="superscript"/>
              </w:rPr>
              <w:t xml:space="preserve"> (a)(b)</w:t>
            </w:r>
          </w:p>
        </w:tc>
        <w:tc>
          <w:tcPr>
            <w:tcW w:w="1417" w:type="dxa"/>
          </w:tcPr>
          <w:p w14:paraId="7D4C6AFC" w14:textId="77777777" w:rsidR="00E51EAC" w:rsidRDefault="00182F93">
            <w:pPr>
              <w:cnfStyle w:val="000000000000" w:firstRow="0" w:lastRow="0" w:firstColumn="0" w:lastColumn="0" w:oddVBand="0" w:evenVBand="0" w:oddHBand="0" w:evenHBand="0" w:firstRowFirstColumn="0" w:firstRowLastColumn="0" w:lastRowFirstColumn="0" w:lastRowLastColumn="0"/>
            </w:pPr>
            <w:r>
              <w:t>215</w:t>
            </w:r>
          </w:p>
        </w:tc>
        <w:tc>
          <w:tcPr>
            <w:tcW w:w="1418" w:type="dxa"/>
          </w:tcPr>
          <w:p w14:paraId="77B1472B" w14:textId="77777777" w:rsidR="00E51EAC" w:rsidRDefault="00182F93">
            <w:pPr>
              <w:cnfStyle w:val="000000000000" w:firstRow="0" w:lastRow="0" w:firstColumn="0" w:lastColumn="0" w:oddVBand="0" w:evenVBand="0" w:oddHBand="0" w:evenHBand="0" w:firstRowFirstColumn="0" w:firstRowLastColumn="0" w:lastRowFirstColumn="0" w:lastRowLastColumn="0"/>
            </w:pPr>
            <w:r>
              <w:t>(211)</w:t>
            </w:r>
          </w:p>
        </w:tc>
        <w:tc>
          <w:tcPr>
            <w:tcW w:w="1559" w:type="dxa"/>
          </w:tcPr>
          <w:p w14:paraId="6704461D"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A02AC5D"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439B3FDB" w14:textId="77777777" w:rsidR="00E51EAC" w:rsidRDefault="00182F93">
            <w:pPr>
              <w:cnfStyle w:val="000000000000" w:firstRow="0" w:lastRow="0" w:firstColumn="0" w:lastColumn="0" w:oddVBand="0" w:evenVBand="0" w:oddHBand="0" w:evenHBand="0" w:firstRowFirstColumn="0" w:firstRowLastColumn="0" w:lastRowFirstColumn="0" w:lastRowLastColumn="0"/>
            </w:pPr>
            <w:r>
              <w:t>3</w:t>
            </w:r>
          </w:p>
        </w:tc>
      </w:tr>
      <w:tr w:rsidR="00E51EAC" w14:paraId="3CC046FC" w14:textId="77777777">
        <w:tc>
          <w:tcPr>
            <w:cnfStyle w:val="001000000000" w:firstRow="0" w:lastRow="0" w:firstColumn="1" w:lastColumn="0" w:oddVBand="0" w:evenVBand="0" w:oddHBand="0" w:evenHBand="0" w:firstRowFirstColumn="0" w:firstRowLastColumn="0" w:lastRowFirstColumn="0" w:lastRowLastColumn="0"/>
            <w:tcW w:w="3828" w:type="dxa"/>
          </w:tcPr>
          <w:p w14:paraId="74577DEA" w14:textId="77777777" w:rsidR="00E51EAC" w:rsidRDefault="00182F93">
            <w:r>
              <w:rPr>
                <w:b/>
              </w:rPr>
              <w:t>Restated balance at 1 July 2024</w:t>
            </w:r>
          </w:p>
        </w:tc>
        <w:tc>
          <w:tcPr>
            <w:tcW w:w="1417" w:type="dxa"/>
          </w:tcPr>
          <w:p w14:paraId="5B86781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65 820</w:t>
            </w:r>
          </w:p>
        </w:tc>
        <w:tc>
          <w:tcPr>
            <w:tcW w:w="1418" w:type="dxa"/>
          </w:tcPr>
          <w:p w14:paraId="50BABEF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160 972</w:t>
            </w:r>
          </w:p>
        </w:tc>
        <w:tc>
          <w:tcPr>
            <w:tcW w:w="1559" w:type="dxa"/>
          </w:tcPr>
          <w:p w14:paraId="273DAA3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15 040</w:t>
            </w:r>
          </w:p>
        </w:tc>
        <w:tc>
          <w:tcPr>
            <w:tcW w:w="709" w:type="dxa"/>
          </w:tcPr>
          <w:p w14:paraId="03B772D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2 371</w:t>
            </w:r>
          </w:p>
        </w:tc>
        <w:tc>
          <w:tcPr>
            <w:tcW w:w="707" w:type="dxa"/>
          </w:tcPr>
          <w:p w14:paraId="2FBE90A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244 202</w:t>
            </w:r>
          </w:p>
        </w:tc>
      </w:tr>
      <w:tr w:rsidR="00E51EAC" w14:paraId="2E0AEB01" w14:textId="77777777">
        <w:tc>
          <w:tcPr>
            <w:cnfStyle w:val="001000000000" w:firstRow="0" w:lastRow="0" w:firstColumn="1" w:lastColumn="0" w:oddVBand="0" w:evenVBand="0" w:oddHBand="0" w:evenHBand="0" w:firstRowFirstColumn="0" w:firstRowLastColumn="0" w:lastRowFirstColumn="0" w:lastRowLastColumn="0"/>
            <w:tcW w:w="3828" w:type="dxa"/>
          </w:tcPr>
          <w:p w14:paraId="3770161A" w14:textId="77777777" w:rsidR="00E51EAC" w:rsidRDefault="00182F93">
            <w:r>
              <w:t>Net result for the year</w:t>
            </w:r>
          </w:p>
        </w:tc>
        <w:tc>
          <w:tcPr>
            <w:tcW w:w="1417" w:type="dxa"/>
          </w:tcPr>
          <w:p w14:paraId="620CB424" w14:textId="77777777" w:rsidR="00E51EAC" w:rsidRDefault="00182F93">
            <w:pPr>
              <w:cnfStyle w:val="000000000000" w:firstRow="0" w:lastRow="0" w:firstColumn="0" w:lastColumn="0" w:oddVBand="0" w:evenVBand="0" w:oddHBand="0" w:evenHBand="0" w:firstRowFirstColumn="0" w:firstRowLastColumn="0" w:lastRowFirstColumn="0" w:lastRowLastColumn="0"/>
            </w:pPr>
            <w:r>
              <w:t>(3 683)</w:t>
            </w:r>
          </w:p>
        </w:tc>
        <w:tc>
          <w:tcPr>
            <w:tcW w:w="1418" w:type="dxa"/>
          </w:tcPr>
          <w:p w14:paraId="1C67BAF9"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527C9987"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111ABD4B"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49DC9347" w14:textId="77777777" w:rsidR="00E51EAC" w:rsidRDefault="00182F93">
            <w:pPr>
              <w:cnfStyle w:val="000000000000" w:firstRow="0" w:lastRow="0" w:firstColumn="0" w:lastColumn="0" w:oddVBand="0" w:evenVBand="0" w:oddHBand="0" w:evenHBand="0" w:firstRowFirstColumn="0" w:firstRowLastColumn="0" w:lastRowFirstColumn="0" w:lastRowLastColumn="0"/>
            </w:pPr>
            <w:r>
              <w:t>(3 683)</w:t>
            </w:r>
          </w:p>
        </w:tc>
      </w:tr>
      <w:tr w:rsidR="00E51EAC" w14:paraId="39D905E6" w14:textId="77777777">
        <w:tc>
          <w:tcPr>
            <w:cnfStyle w:val="001000000000" w:firstRow="0" w:lastRow="0" w:firstColumn="1" w:lastColumn="0" w:oddVBand="0" w:evenVBand="0" w:oddHBand="0" w:evenHBand="0" w:firstRowFirstColumn="0" w:firstRowLastColumn="0" w:lastRowFirstColumn="0" w:lastRowLastColumn="0"/>
            <w:tcW w:w="3828" w:type="dxa"/>
          </w:tcPr>
          <w:p w14:paraId="73E64187" w14:textId="77777777" w:rsidR="00E51EAC" w:rsidRDefault="00182F93">
            <w:r>
              <w:t>Other comprehensive income for the year</w:t>
            </w:r>
          </w:p>
        </w:tc>
        <w:tc>
          <w:tcPr>
            <w:tcW w:w="1417" w:type="dxa"/>
          </w:tcPr>
          <w:p w14:paraId="636CD2C6" w14:textId="77777777" w:rsidR="00E51EAC" w:rsidRDefault="00182F93">
            <w:pPr>
              <w:cnfStyle w:val="000000000000" w:firstRow="0" w:lastRow="0" w:firstColumn="0" w:lastColumn="0" w:oddVBand="0" w:evenVBand="0" w:oddHBand="0" w:evenHBand="0" w:firstRowFirstColumn="0" w:firstRowLastColumn="0" w:lastRowFirstColumn="0" w:lastRowLastColumn="0"/>
            </w:pPr>
            <w:r>
              <w:t>634</w:t>
            </w:r>
          </w:p>
        </w:tc>
        <w:tc>
          <w:tcPr>
            <w:tcW w:w="1418" w:type="dxa"/>
          </w:tcPr>
          <w:p w14:paraId="60DEE426" w14:textId="77777777" w:rsidR="00E51EAC" w:rsidRDefault="00182F93">
            <w:pPr>
              <w:cnfStyle w:val="000000000000" w:firstRow="0" w:lastRow="0" w:firstColumn="0" w:lastColumn="0" w:oddVBand="0" w:evenVBand="0" w:oddHBand="0" w:evenHBand="0" w:firstRowFirstColumn="0" w:firstRowLastColumn="0" w:lastRowFirstColumn="0" w:lastRowLastColumn="0"/>
            </w:pPr>
            <w:r>
              <w:t>48 449</w:t>
            </w:r>
          </w:p>
        </w:tc>
        <w:tc>
          <w:tcPr>
            <w:tcW w:w="1559" w:type="dxa"/>
          </w:tcPr>
          <w:p w14:paraId="61E3670F" w14:textId="77777777" w:rsidR="00E51EAC" w:rsidRDefault="00182F93">
            <w:pPr>
              <w:cnfStyle w:val="000000000000" w:firstRow="0" w:lastRow="0" w:firstColumn="0" w:lastColumn="0" w:oddVBand="0" w:evenVBand="0" w:oddHBand="0" w:evenHBand="0" w:firstRowFirstColumn="0" w:firstRowLastColumn="0" w:lastRowFirstColumn="0" w:lastRowLastColumn="0"/>
            </w:pPr>
            <w:r>
              <w:t>(5 311)</w:t>
            </w:r>
          </w:p>
        </w:tc>
        <w:tc>
          <w:tcPr>
            <w:tcW w:w="709" w:type="dxa"/>
          </w:tcPr>
          <w:p w14:paraId="6BF5A1CF" w14:textId="77777777" w:rsidR="00E51EAC" w:rsidRDefault="00182F93">
            <w:pPr>
              <w:cnfStyle w:val="000000000000" w:firstRow="0" w:lastRow="0" w:firstColumn="0" w:lastColumn="0" w:oddVBand="0" w:evenVBand="0" w:oddHBand="0" w:evenHBand="0" w:firstRowFirstColumn="0" w:firstRowLastColumn="0" w:lastRowFirstColumn="0" w:lastRowLastColumn="0"/>
            </w:pPr>
            <w:r>
              <w:t>117</w:t>
            </w:r>
          </w:p>
        </w:tc>
        <w:tc>
          <w:tcPr>
            <w:tcW w:w="707" w:type="dxa"/>
          </w:tcPr>
          <w:p w14:paraId="494D699A" w14:textId="77777777" w:rsidR="00E51EAC" w:rsidRDefault="00182F93">
            <w:pPr>
              <w:cnfStyle w:val="000000000000" w:firstRow="0" w:lastRow="0" w:firstColumn="0" w:lastColumn="0" w:oddVBand="0" w:evenVBand="0" w:oddHBand="0" w:evenHBand="0" w:firstRowFirstColumn="0" w:firstRowLastColumn="0" w:lastRowFirstColumn="0" w:lastRowLastColumn="0"/>
            </w:pPr>
            <w:r>
              <w:t>43 888</w:t>
            </w:r>
          </w:p>
        </w:tc>
      </w:tr>
      <w:tr w:rsidR="00E51EAC" w14:paraId="3C829032" w14:textId="77777777">
        <w:tc>
          <w:tcPr>
            <w:cnfStyle w:val="001000000000" w:firstRow="0" w:lastRow="0" w:firstColumn="1" w:lastColumn="0" w:oddVBand="0" w:evenVBand="0" w:oddHBand="0" w:evenHBand="0" w:firstRowFirstColumn="0" w:firstRowLastColumn="0" w:lastRowFirstColumn="0" w:lastRowLastColumn="0"/>
            <w:tcW w:w="3828" w:type="dxa"/>
          </w:tcPr>
          <w:p w14:paraId="55C410EF" w14:textId="77777777" w:rsidR="00E51EAC" w:rsidRDefault="00182F93">
            <w:r>
              <w:t>Transfer to/(from) accumulated surplus</w:t>
            </w:r>
          </w:p>
        </w:tc>
        <w:tc>
          <w:tcPr>
            <w:tcW w:w="1417" w:type="dxa"/>
          </w:tcPr>
          <w:p w14:paraId="5DCA8C7F" w14:textId="77777777" w:rsidR="00E51EAC" w:rsidRDefault="00182F93">
            <w:pPr>
              <w:cnfStyle w:val="000000000000" w:firstRow="0" w:lastRow="0" w:firstColumn="0" w:lastColumn="0" w:oddVBand="0" w:evenVBand="0" w:oddHBand="0" w:evenHBand="0" w:firstRowFirstColumn="0" w:firstRowLastColumn="0" w:lastRowFirstColumn="0" w:lastRowLastColumn="0"/>
            </w:pPr>
            <w:r>
              <w:t>38</w:t>
            </w:r>
          </w:p>
        </w:tc>
        <w:tc>
          <w:tcPr>
            <w:tcW w:w="1418" w:type="dxa"/>
          </w:tcPr>
          <w:p w14:paraId="3E7CBEA7" w14:textId="77777777" w:rsidR="00E51EAC" w:rsidRDefault="00182F93">
            <w:pPr>
              <w:cnfStyle w:val="000000000000" w:firstRow="0" w:lastRow="0" w:firstColumn="0" w:lastColumn="0" w:oddVBand="0" w:evenVBand="0" w:oddHBand="0" w:evenHBand="0" w:firstRowFirstColumn="0" w:firstRowLastColumn="0" w:lastRowFirstColumn="0" w:lastRowLastColumn="0"/>
            </w:pPr>
            <w:r>
              <w:t>(38)</w:t>
            </w:r>
          </w:p>
        </w:tc>
        <w:tc>
          <w:tcPr>
            <w:tcW w:w="1559" w:type="dxa"/>
          </w:tcPr>
          <w:p w14:paraId="52AAD054"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E07012D"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6DC5134E"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r>
      <w:tr w:rsidR="00E51EAC" w14:paraId="3B7EBF6B" w14:textId="77777777" w:rsidTr="00E51EAC">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6" w:space="0" w:color="auto"/>
            </w:tcBorders>
          </w:tcPr>
          <w:p w14:paraId="77E2A78D" w14:textId="77777777" w:rsidR="00E51EAC" w:rsidRDefault="00182F93">
            <w:r>
              <w:rPr>
                <w:b/>
              </w:rPr>
              <w:t>Balance at 30 June 2025</w:t>
            </w:r>
          </w:p>
        </w:tc>
        <w:tc>
          <w:tcPr>
            <w:tcW w:w="1417" w:type="dxa"/>
            <w:tcBorders>
              <w:top w:val="single" w:sz="6" w:space="0" w:color="auto"/>
              <w:bottom w:val="single" w:sz="6" w:space="0" w:color="auto"/>
            </w:tcBorders>
          </w:tcPr>
          <w:p w14:paraId="4D42C0D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62 809</w:t>
            </w:r>
          </w:p>
        </w:tc>
        <w:tc>
          <w:tcPr>
            <w:tcW w:w="1418" w:type="dxa"/>
            <w:tcBorders>
              <w:top w:val="single" w:sz="6" w:space="0" w:color="auto"/>
              <w:bottom w:val="single" w:sz="6" w:space="0" w:color="auto"/>
            </w:tcBorders>
          </w:tcPr>
          <w:p w14:paraId="14EBB75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209 383</w:t>
            </w:r>
          </w:p>
        </w:tc>
        <w:tc>
          <w:tcPr>
            <w:tcW w:w="1559" w:type="dxa"/>
            <w:tcBorders>
              <w:top w:val="single" w:sz="6" w:space="0" w:color="auto"/>
              <w:bottom w:val="single" w:sz="6" w:space="0" w:color="auto"/>
            </w:tcBorders>
          </w:tcPr>
          <w:p w14:paraId="31E46A6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9 728</w:t>
            </w:r>
          </w:p>
        </w:tc>
        <w:tc>
          <w:tcPr>
            <w:tcW w:w="709" w:type="dxa"/>
            <w:tcBorders>
              <w:top w:val="single" w:sz="6" w:space="0" w:color="auto"/>
              <w:bottom w:val="single" w:sz="6" w:space="0" w:color="auto"/>
            </w:tcBorders>
          </w:tcPr>
          <w:p w14:paraId="22D2D24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2 488</w:t>
            </w:r>
          </w:p>
        </w:tc>
        <w:tc>
          <w:tcPr>
            <w:tcW w:w="707" w:type="dxa"/>
            <w:tcBorders>
              <w:top w:val="single" w:sz="6" w:space="0" w:color="auto"/>
              <w:bottom w:val="single" w:sz="6" w:space="0" w:color="auto"/>
            </w:tcBorders>
          </w:tcPr>
          <w:p w14:paraId="0CDAA87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284 407</w:t>
            </w:r>
          </w:p>
        </w:tc>
      </w:tr>
      <w:tr w:rsidR="00E51EAC" w14:paraId="61C5D897" w14:textId="77777777" w:rsidTr="00E51EAC">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tcBorders>
          </w:tcPr>
          <w:p w14:paraId="088236F4" w14:textId="77777777" w:rsidR="00E51EAC" w:rsidRDefault="00182F93">
            <w:r>
              <w:rPr>
                <w:b/>
              </w:rPr>
              <w:t>2024</w:t>
            </w:r>
          </w:p>
        </w:tc>
        <w:tc>
          <w:tcPr>
            <w:tcW w:w="1417" w:type="dxa"/>
            <w:tcBorders>
              <w:top w:val="single" w:sz="6" w:space="0" w:color="auto"/>
            </w:tcBorders>
          </w:tcPr>
          <w:p w14:paraId="0682E24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662F2A4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3A771036"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04B5B69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707" w:type="dxa"/>
            <w:tcBorders>
              <w:top w:val="single" w:sz="6" w:space="0" w:color="auto"/>
            </w:tcBorders>
          </w:tcPr>
          <w:p w14:paraId="4A2AA9E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1845209C" w14:textId="77777777">
        <w:tc>
          <w:tcPr>
            <w:cnfStyle w:val="001000000000" w:firstRow="0" w:lastRow="0" w:firstColumn="1" w:lastColumn="0" w:oddVBand="0" w:evenVBand="0" w:oddHBand="0" w:evenHBand="0" w:firstRowFirstColumn="0" w:firstRowLastColumn="0" w:lastRowFirstColumn="0" w:lastRowLastColumn="0"/>
            <w:tcW w:w="3828" w:type="dxa"/>
          </w:tcPr>
          <w:p w14:paraId="7E12FD7B" w14:textId="77777777" w:rsidR="00E51EAC" w:rsidRDefault="00182F93">
            <w:r>
              <w:rPr>
                <w:b/>
              </w:rPr>
              <w:t>Balance at 1 July 2023</w:t>
            </w:r>
          </w:p>
        </w:tc>
        <w:tc>
          <w:tcPr>
            <w:tcW w:w="1417" w:type="dxa"/>
          </w:tcPr>
          <w:p w14:paraId="399355B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69 741</w:t>
            </w:r>
          </w:p>
        </w:tc>
        <w:tc>
          <w:tcPr>
            <w:tcW w:w="1418" w:type="dxa"/>
          </w:tcPr>
          <w:p w14:paraId="644C150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151 941</w:t>
            </w:r>
          </w:p>
        </w:tc>
        <w:tc>
          <w:tcPr>
            <w:tcW w:w="1559" w:type="dxa"/>
          </w:tcPr>
          <w:p w14:paraId="55CFE60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15 243</w:t>
            </w:r>
          </w:p>
        </w:tc>
        <w:tc>
          <w:tcPr>
            <w:tcW w:w="709" w:type="dxa"/>
          </w:tcPr>
          <w:p w14:paraId="23B808F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2 082</w:t>
            </w:r>
          </w:p>
        </w:tc>
        <w:tc>
          <w:tcPr>
            <w:tcW w:w="707" w:type="dxa"/>
          </w:tcPr>
          <w:p w14:paraId="663B9EB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239 008</w:t>
            </w:r>
          </w:p>
        </w:tc>
      </w:tr>
      <w:tr w:rsidR="00E51EAC" w14:paraId="62C7F6C9" w14:textId="77777777">
        <w:tc>
          <w:tcPr>
            <w:cnfStyle w:val="001000000000" w:firstRow="0" w:lastRow="0" w:firstColumn="1" w:lastColumn="0" w:oddVBand="0" w:evenVBand="0" w:oddHBand="0" w:evenHBand="0" w:firstRowFirstColumn="0" w:firstRowLastColumn="0" w:lastRowFirstColumn="0" w:lastRowLastColumn="0"/>
            <w:tcW w:w="3828" w:type="dxa"/>
          </w:tcPr>
          <w:p w14:paraId="2F00CEC0" w14:textId="77777777" w:rsidR="00E51EAC" w:rsidRDefault="00182F93">
            <w:r>
              <w:t>Net result for the year</w:t>
            </w:r>
          </w:p>
        </w:tc>
        <w:tc>
          <w:tcPr>
            <w:tcW w:w="1417" w:type="dxa"/>
          </w:tcPr>
          <w:p w14:paraId="4D085991" w14:textId="77777777" w:rsidR="00E51EAC" w:rsidRDefault="00182F93">
            <w:pPr>
              <w:cnfStyle w:val="000000000000" w:firstRow="0" w:lastRow="0" w:firstColumn="0" w:lastColumn="0" w:oddVBand="0" w:evenVBand="0" w:oddHBand="0" w:evenHBand="0" w:firstRowFirstColumn="0" w:firstRowLastColumn="0" w:lastRowFirstColumn="0" w:lastRowLastColumn="0"/>
            </w:pPr>
            <w:r>
              <w:t>(5 856)</w:t>
            </w:r>
          </w:p>
        </w:tc>
        <w:tc>
          <w:tcPr>
            <w:tcW w:w="1418" w:type="dxa"/>
          </w:tcPr>
          <w:p w14:paraId="5460E3E5"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413A854"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12D53B8"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62F16BF8" w14:textId="77777777" w:rsidR="00E51EAC" w:rsidRDefault="00182F93">
            <w:pPr>
              <w:cnfStyle w:val="000000000000" w:firstRow="0" w:lastRow="0" w:firstColumn="0" w:lastColumn="0" w:oddVBand="0" w:evenVBand="0" w:oddHBand="0" w:evenHBand="0" w:firstRowFirstColumn="0" w:firstRowLastColumn="0" w:lastRowFirstColumn="0" w:lastRowLastColumn="0"/>
            </w:pPr>
            <w:r>
              <w:t>(5 856)</w:t>
            </w:r>
          </w:p>
        </w:tc>
      </w:tr>
      <w:tr w:rsidR="00E51EAC" w14:paraId="15178CC9" w14:textId="77777777">
        <w:tc>
          <w:tcPr>
            <w:cnfStyle w:val="001000000000" w:firstRow="0" w:lastRow="0" w:firstColumn="1" w:lastColumn="0" w:oddVBand="0" w:evenVBand="0" w:oddHBand="0" w:evenHBand="0" w:firstRowFirstColumn="0" w:firstRowLastColumn="0" w:lastRowFirstColumn="0" w:lastRowLastColumn="0"/>
            <w:tcW w:w="3828" w:type="dxa"/>
          </w:tcPr>
          <w:p w14:paraId="2C537A3A" w14:textId="77777777" w:rsidR="00E51EAC" w:rsidRDefault="00182F93">
            <w:r>
              <w:t>Other comprehensive income for the year</w:t>
            </w:r>
          </w:p>
        </w:tc>
        <w:tc>
          <w:tcPr>
            <w:tcW w:w="1417" w:type="dxa"/>
          </w:tcPr>
          <w:p w14:paraId="1984CA8E" w14:textId="77777777" w:rsidR="00E51EAC" w:rsidRDefault="00182F93">
            <w:pPr>
              <w:cnfStyle w:val="000000000000" w:firstRow="0" w:lastRow="0" w:firstColumn="0" w:lastColumn="0" w:oddVBand="0" w:evenVBand="0" w:oddHBand="0" w:evenHBand="0" w:firstRowFirstColumn="0" w:firstRowLastColumn="0" w:lastRowFirstColumn="0" w:lastRowLastColumn="0"/>
            </w:pPr>
            <w:r>
              <w:t>1 334</w:t>
            </w:r>
          </w:p>
        </w:tc>
        <w:tc>
          <w:tcPr>
            <w:tcW w:w="1418" w:type="dxa"/>
          </w:tcPr>
          <w:p w14:paraId="165B6801" w14:textId="77777777" w:rsidR="00E51EAC" w:rsidRDefault="00182F93">
            <w:pPr>
              <w:cnfStyle w:val="000000000000" w:firstRow="0" w:lastRow="0" w:firstColumn="0" w:lastColumn="0" w:oddVBand="0" w:evenVBand="0" w:oddHBand="0" w:evenHBand="0" w:firstRowFirstColumn="0" w:firstRowLastColumn="0" w:lastRowFirstColumn="0" w:lastRowLastColumn="0"/>
            </w:pPr>
            <w:r>
              <w:t>9 627</w:t>
            </w:r>
          </w:p>
        </w:tc>
        <w:tc>
          <w:tcPr>
            <w:tcW w:w="1559" w:type="dxa"/>
          </w:tcPr>
          <w:p w14:paraId="4BB1AD9A" w14:textId="77777777" w:rsidR="00E51EAC" w:rsidRDefault="00182F93">
            <w:pPr>
              <w:cnfStyle w:val="000000000000" w:firstRow="0" w:lastRow="0" w:firstColumn="0" w:lastColumn="0" w:oddVBand="0" w:evenVBand="0" w:oddHBand="0" w:evenHBand="0" w:firstRowFirstColumn="0" w:firstRowLastColumn="0" w:lastRowFirstColumn="0" w:lastRowLastColumn="0"/>
            </w:pPr>
            <w:r>
              <w:t>(204)</w:t>
            </w:r>
          </w:p>
        </w:tc>
        <w:tc>
          <w:tcPr>
            <w:tcW w:w="709" w:type="dxa"/>
          </w:tcPr>
          <w:p w14:paraId="7A5DD278" w14:textId="77777777" w:rsidR="00E51EAC" w:rsidRDefault="00182F93">
            <w:pPr>
              <w:cnfStyle w:val="000000000000" w:firstRow="0" w:lastRow="0" w:firstColumn="0" w:lastColumn="0" w:oddVBand="0" w:evenVBand="0" w:oddHBand="0" w:evenHBand="0" w:firstRowFirstColumn="0" w:firstRowLastColumn="0" w:lastRowFirstColumn="0" w:lastRowLastColumn="0"/>
            </w:pPr>
            <w:r>
              <w:t>289</w:t>
            </w:r>
          </w:p>
        </w:tc>
        <w:tc>
          <w:tcPr>
            <w:tcW w:w="707" w:type="dxa"/>
          </w:tcPr>
          <w:p w14:paraId="7C604A83" w14:textId="77777777" w:rsidR="00E51EAC" w:rsidRDefault="00182F93">
            <w:pPr>
              <w:cnfStyle w:val="000000000000" w:firstRow="0" w:lastRow="0" w:firstColumn="0" w:lastColumn="0" w:oddVBand="0" w:evenVBand="0" w:oddHBand="0" w:evenHBand="0" w:firstRowFirstColumn="0" w:firstRowLastColumn="0" w:lastRowFirstColumn="0" w:lastRowLastColumn="0"/>
            </w:pPr>
            <w:r>
              <w:t>11 047</w:t>
            </w:r>
          </w:p>
        </w:tc>
      </w:tr>
      <w:tr w:rsidR="00E51EAC" w14:paraId="697770FC" w14:textId="77777777">
        <w:tc>
          <w:tcPr>
            <w:cnfStyle w:val="001000000000" w:firstRow="0" w:lastRow="0" w:firstColumn="1" w:lastColumn="0" w:oddVBand="0" w:evenVBand="0" w:oddHBand="0" w:evenHBand="0" w:firstRowFirstColumn="0" w:firstRowLastColumn="0" w:lastRowFirstColumn="0" w:lastRowLastColumn="0"/>
            <w:tcW w:w="3828" w:type="dxa"/>
          </w:tcPr>
          <w:p w14:paraId="4380C4F9" w14:textId="77777777" w:rsidR="00E51EAC" w:rsidRDefault="00182F93">
            <w:r>
              <w:t>Transfer to/(from) accumulated surplus</w:t>
            </w:r>
          </w:p>
        </w:tc>
        <w:tc>
          <w:tcPr>
            <w:tcW w:w="1417" w:type="dxa"/>
          </w:tcPr>
          <w:p w14:paraId="3E116903" w14:textId="77777777" w:rsidR="00E51EAC" w:rsidRDefault="00182F93">
            <w:pPr>
              <w:cnfStyle w:val="000000000000" w:firstRow="0" w:lastRow="0" w:firstColumn="0" w:lastColumn="0" w:oddVBand="0" w:evenVBand="0" w:oddHBand="0" w:evenHBand="0" w:firstRowFirstColumn="0" w:firstRowLastColumn="0" w:lastRowFirstColumn="0" w:lastRowLastColumn="0"/>
            </w:pPr>
            <w:r>
              <w:t>385</w:t>
            </w:r>
          </w:p>
        </w:tc>
        <w:tc>
          <w:tcPr>
            <w:tcW w:w="1418" w:type="dxa"/>
          </w:tcPr>
          <w:p w14:paraId="3CF668CA" w14:textId="77777777" w:rsidR="00E51EAC" w:rsidRDefault="00182F93">
            <w:pPr>
              <w:cnfStyle w:val="000000000000" w:firstRow="0" w:lastRow="0" w:firstColumn="0" w:lastColumn="0" w:oddVBand="0" w:evenVBand="0" w:oddHBand="0" w:evenHBand="0" w:firstRowFirstColumn="0" w:firstRowLastColumn="0" w:lastRowFirstColumn="0" w:lastRowLastColumn="0"/>
            </w:pPr>
            <w:r>
              <w:t>(385)</w:t>
            </w:r>
          </w:p>
        </w:tc>
        <w:tc>
          <w:tcPr>
            <w:tcW w:w="1559" w:type="dxa"/>
          </w:tcPr>
          <w:p w14:paraId="541ED8E9"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3E744015"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c>
          <w:tcPr>
            <w:tcW w:w="707" w:type="dxa"/>
          </w:tcPr>
          <w:p w14:paraId="0CCB2C84" w14:textId="77777777" w:rsidR="00E51EAC" w:rsidRDefault="00182F93">
            <w:pPr>
              <w:cnfStyle w:val="000000000000" w:firstRow="0" w:lastRow="0" w:firstColumn="0" w:lastColumn="0" w:oddVBand="0" w:evenVBand="0" w:oddHBand="0" w:evenHBand="0" w:firstRowFirstColumn="0" w:firstRowLastColumn="0" w:lastRowFirstColumn="0" w:lastRowLastColumn="0"/>
            </w:pPr>
            <w:r>
              <w:t>..</w:t>
            </w:r>
          </w:p>
        </w:tc>
      </w:tr>
      <w:tr w:rsidR="00E51EAC" w14:paraId="7C53D40A" w14:textId="77777777" w:rsidTr="00E51EAC">
        <w:tc>
          <w:tcPr>
            <w:cnfStyle w:val="001000000000" w:firstRow="0" w:lastRow="0" w:firstColumn="1" w:lastColumn="0" w:oddVBand="0" w:evenVBand="0" w:oddHBand="0" w:evenHBand="0" w:firstRowFirstColumn="0" w:firstRowLastColumn="0" w:lastRowFirstColumn="0" w:lastRowLastColumn="0"/>
            <w:tcW w:w="3828" w:type="dxa"/>
            <w:tcBorders>
              <w:top w:val="single" w:sz="6" w:space="0" w:color="auto"/>
              <w:bottom w:val="single" w:sz="12" w:space="0" w:color="auto"/>
            </w:tcBorders>
          </w:tcPr>
          <w:p w14:paraId="263653C2" w14:textId="77777777" w:rsidR="00E51EAC" w:rsidRDefault="00182F93">
            <w:r>
              <w:rPr>
                <w:b/>
              </w:rPr>
              <w:t>Balance at 30 June 2024</w:t>
            </w:r>
          </w:p>
        </w:tc>
        <w:tc>
          <w:tcPr>
            <w:tcW w:w="1417" w:type="dxa"/>
            <w:tcBorders>
              <w:top w:val="single" w:sz="6" w:space="0" w:color="auto"/>
              <w:bottom w:val="single" w:sz="12" w:space="0" w:color="auto"/>
            </w:tcBorders>
          </w:tcPr>
          <w:p w14:paraId="0D37F5A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65 605</w:t>
            </w:r>
          </w:p>
        </w:tc>
        <w:tc>
          <w:tcPr>
            <w:tcW w:w="1418" w:type="dxa"/>
            <w:tcBorders>
              <w:top w:val="single" w:sz="6" w:space="0" w:color="auto"/>
              <w:bottom w:val="single" w:sz="12" w:space="0" w:color="auto"/>
            </w:tcBorders>
          </w:tcPr>
          <w:p w14:paraId="36D78F5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161 183</w:t>
            </w:r>
          </w:p>
        </w:tc>
        <w:tc>
          <w:tcPr>
            <w:tcW w:w="1559" w:type="dxa"/>
            <w:tcBorders>
              <w:top w:val="single" w:sz="6" w:space="0" w:color="auto"/>
              <w:bottom w:val="single" w:sz="12" w:space="0" w:color="auto"/>
            </w:tcBorders>
          </w:tcPr>
          <w:p w14:paraId="06A1B7C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15 040</w:t>
            </w:r>
          </w:p>
        </w:tc>
        <w:tc>
          <w:tcPr>
            <w:tcW w:w="709" w:type="dxa"/>
            <w:tcBorders>
              <w:top w:val="single" w:sz="6" w:space="0" w:color="auto"/>
              <w:bottom w:val="single" w:sz="12" w:space="0" w:color="auto"/>
            </w:tcBorders>
          </w:tcPr>
          <w:p w14:paraId="0513D3E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2 371</w:t>
            </w:r>
          </w:p>
        </w:tc>
        <w:tc>
          <w:tcPr>
            <w:tcW w:w="707" w:type="dxa"/>
            <w:tcBorders>
              <w:top w:val="single" w:sz="6" w:space="0" w:color="auto"/>
              <w:bottom w:val="single" w:sz="12" w:space="0" w:color="auto"/>
            </w:tcBorders>
          </w:tcPr>
          <w:p w14:paraId="64B484B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244 199</w:t>
            </w:r>
          </w:p>
        </w:tc>
      </w:tr>
    </w:tbl>
    <w:p w14:paraId="38864E89" w14:textId="09A12F2B" w:rsidR="008D4C67" w:rsidRPr="00C91A33" w:rsidRDefault="008D4C67" w:rsidP="008D4C67">
      <w:pPr>
        <w:pStyle w:val="Note"/>
      </w:pPr>
      <w:r w:rsidRPr="00C91A33">
        <w:t>Note</w:t>
      </w:r>
      <w:r w:rsidR="008E4B75">
        <w:t>s</w:t>
      </w:r>
      <w:r w:rsidRPr="00C91A33">
        <w:t xml:space="preserve">: </w:t>
      </w:r>
    </w:p>
    <w:p w14:paraId="137FBF1B" w14:textId="4BEED1E7" w:rsidR="008D4C67" w:rsidRPr="00C91A33" w:rsidRDefault="008D4C67" w:rsidP="008D4C67">
      <w:pPr>
        <w:pStyle w:val="Note"/>
      </w:pPr>
      <w:r w:rsidRPr="00C91A33">
        <w:t>(a)</w:t>
      </w:r>
      <w:r w:rsidRPr="00C91A33">
        <w:tab/>
        <w:t xml:space="preserve">On 1 July 2024, the previous State Electricity Commission of Victoria, established under the </w:t>
      </w:r>
      <w:r w:rsidRPr="00E81B8F">
        <w:rPr>
          <w:i w:val="0"/>
          <w:iCs/>
        </w:rPr>
        <w:t xml:space="preserve">State Electricity Commission Act 1958 </w:t>
      </w:r>
      <w:r w:rsidRPr="00357659">
        <w:t>(SEC Act)</w:t>
      </w:r>
      <w:r w:rsidRPr="00C91A33">
        <w:t xml:space="preserve"> was abolished by the commencement of the </w:t>
      </w:r>
      <w:r w:rsidRPr="00E81B8F">
        <w:rPr>
          <w:i w:val="0"/>
          <w:iCs/>
        </w:rPr>
        <w:t>State Electricity Commission Amendment Act 2024</w:t>
      </w:r>
      <w:r w:rsidRPr="00C91A33">
        <w:t xml:space="preserve"> and the residual financial assets were transferred to the Department of Energy, Environment and Climate Action. This has resulted in the 1 July 2024 opening balance not equalling the 30 June closing balance.</w:t>
      </w:r>
    </w:p>
    <w:p w14:paraId="26D3206A" w14:textId="23F77757" w:rsidR="008D4C67" w:rsidRPr="00C91A33" w:rsidRDefault="008D4C67" w:rsidP="008D4C67">
      <w:pPr>
        <w:pStyle w:val="Note"/>
      </w:pPr>
      <w:r w:rsidRPr="00C91A33">
        <w:t>(b)</w:t>
      </w:r>
      <w:r w:rsidRPr="00C91A33">
        <w:tab/>
        <w:t xml:space="preserve">VicForests ceased operations on 30 June 2024 and the residual assets and liabilities together with residual responsibilities for native forest management were transferred to the Department of Energy, Environment and Climate Action following proclamation of the </w:t>
      </w:r>
      <w:r w:rsidRPr="00E81B8F">
        <w:rPr>
          <w:i w:val="0"/>
          <w:iCs/>
        </w:rPr>
        <w:t>Sustainable Forests (Timber) Repeal Act 2024</w:t>
      </w:r>
      <w:r w:rsidRPr="00C91A33">
        <w:t>, effective from 1 July 2024. This has resulted in the 1 July 2024 opening balance not equalling the 30 June closing balance.</w:t>
      </w:r>
    </w:p>
    <w:p w14:paraId="4DCEEC3E" w14:textId="77777777" w:rsidR="0003388E" w:rsidRDefault="0003388E" w:rsidP="0003388E"/>
    <w:p w14:paraId="1649D247" w14:textId="77777777" w:rsidR="0003388E" w:rsidRDefault="0003388E" w:rsidP="0003388E"/>
    <w:p w14:paraId="2914B9C6" w14:textId="77777777" w:rsidR="0003388E" w:rsidRPr="00F804B6" w:rsidRDefault="0003388E" w:rsidP="0003388E"/>
    <w:p w14:paraId="1B279B74" w14:textId="71B77421" w:rsidR="0003388E" w:rsidRPr="00DA5D03" w:rsidRDefault="0003388E" w:rsidP="00B63941">
      <w:pPr>
        <w:pStyle w:val="TableHeading"/>
        <w:pageBreakBefore/>
        <w:ind w:left="993" w:hanging="993"/>
      </w:pPr>
      <w:r>
        <w:lastRenderedPageBreak/>
        <w:t>Table 5.5:</w:t>
      </w:r>
      <w:r>
        <w:tab/>
        <w:t xml:space="preserve">General government sector detailed expenses </w:t>
      </w:r>
      <w:r w:rsidR="00414976">
        <w:t xml:space="preserve">from transactions </w:t>
      </w:r>
      <w:r>
        <w:t>by</w:t>
      </w:r>
      <w:r w:rsidR="0068598F">
        <w:t xml:space="preserve"> classification </w:t>
      </w:r>
      <w:r w:rsidR="00357659">
        <w:br/>
      </w:r>
      <w:r w:rsidR="0068598F">
        <w:t>of the</w:t>
      </w:r>
      <w:r>
        <w:t xml:space="preserve"> function</w:t>
      </w:r>
      <w:r w:rsidR="00B86BE4">
        <w:t>s</w:t>
      </w:r>
      <w:r w:rsidR="009F071C">
        <w:t xml:space="preserve"> of government</w:t>
      </w:r>
      <w:r>
        <w:t xml:space="preserve"> </w:t>
      </w:r>
      <w:r w:rsidRPr="00160C30">
        <w:rPr>
          <w:vertAlign w:val="superscript"/>
        </w:rPr>
        <w:t>(</w:t>
      </w:r>
      <w:r>
        <w:rPr>
          <w:vertAlign w:val="superscript"/>
        </w:rPr>
        <w:t>a</w:t>
      </w:r>
      <w:r w:rsidRPr="00160C30">
        <w:rPr>
          <w:vertAlign w:val="superscript"/>
        </w:rPr>
        <w:t>)</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Manual Reports/COFOG/Link_Chp5_COFOG.xlsx|Table:UPF_COFOG|UseWorksheetCellFormatting:True"/>
      </w:tblPr>
      <w:tblGrid>
        <w:gridCol w:w="7824"/>
        <w:gridCol w:w="907"/>
        <w:gridCol w:w="907"/>
      </w:tblGrid>
      <w:tr w:rsidR="0098629C" w14:paraId="3E78F8DB" w14:textId="77777777" w:rsidTr="00656C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6FA7DFE" w14:textId="77777777" w:rsidR="00656C71" w:rsidRDefault="00656C71">
            <w:pPr>
              <w:keepNext/>
              <w:spacing w:after="0"/>
            </w:pPr>
          </w:p>
        </w:tc>
        <w:tc>
          <w:tcPr>
            <w:tcW w:w="907" w:type="dxa"/>
            <w:tcBorders>
              <w:top w:val="single" w:sz="6" w:space="0" w:color="auto"/>
              <w:bottom w:val="single" w:sz="6" w:space="0" w:color="auto"/>
            </w:tcBorders>
          </w:tcPr>
          <w:p w14:paraId="42C04494" w14:textId="77777777" w:rsidR="00656C71" w:rsidRDefault="00773C05">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907" w:type="dxa"/>
            <w:tcBorders>
              <w:top w:val="single" w:sz="6" w:space="0" w:color="auto"/>
              <w:bottom w:val="single" w:sz="6" w:space="0" w:color="auto"/>
            </w:tcBorders>
          </w:tcPr>
          <w:p w14:paraId="6513AA4B" w14:textId="77777777" w:rsidR="00656C71" w:rsidRDefault="00773C05">
            <w:pPr>
              <w:keepNext/>
              <w:spacing w:after="0"/>
              <w:cnfStyle w:val="100000000000" w:firstRow="1" w:lastRow="0" w:firstColumn="0" w:lastColumn="0" w:oddVBand="0" w:evenVBand="0" w:oddHBand="0" w:evenHBand="0" w:firstRowFirstColumn="0" w:firstRowLastColumn="0" w:lastRowFirstColumn="0" w:lastRowLastColumn="0"/>
            </w:pPr>
            <w:r>
              <w:t>2024</w:t>
            </w:r>
          </w:p>
        </w:tc>
      </w:tr>
      <w:tr w:rsidR="00656C71" w14:paraId="787A181C" w14:textId="77777777" w:rsidTr="00656C71">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41EFBBD4" w14:textId="77777777" w:rsidR="00656C71" w:rsidRDefault="00773C05">
            <w:pPr>
              <w:spacing w:after="0"/>
            </w:pPr>
            <w:r>
              <w:rPr>
                <w:b/>
              </w:rPr>
              <w:t>General public services</w:t>
            </w:r>
          </w:p>
        </w:tc>
        <w:tc>
          <w:tcPr>
            <w:tcW w:w="907" w:type="dxa"/>
            <w:tcBorders>
              <w:top w:val="single" w:sz="6" w:space="0" w:color="auto"/>
            </w:tcBorders>
          </w:tcPr>
          <w:p w14:paraId="25059EC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10 062</w:t>
            </w:r>
          </w:p>
        </w:tc>
        <w:tc>
          <w:tcPr>
            <w:tcW w:w="907" w:type="dxa"/>
            <w:tcBorders>
              <w:top w:val="single" w:sz="6" w:space="0" w:color="auto"/>
            </w:tcBorders>
          </w:tcPr>
          <w:p w14:paraId="63A97F0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8 396</w:t>
            </w:r>
          </w:p>
        </w:tc>
      </w:tr>
      <w:tr w:rsidR="00656C71" w14:paraId="08482932" w14:textId="77777777">
        <w:tc>
          <w:tcPr>
            <w:cnfStyle w:val="001000000000" w:firstRow="0" w:lastRow="0" w:firstColumn="1" w:lastColumn="0" w:oddVBand="0" w:evenVBand="0" w:oddHBand="0" w:evenHBand="0" w:firstRowFirstColumn="0" w:firstRowLastColumn="0" w:lastRowFirstColumn="0" w:lastRowLastColumn="0"/>
            <w:tcW w:w="7824" w:type="dxa"/>
          </w:tcPr>
          <w:p w14:paraId="7EFBE6B3" w14:textId="77777777" w:rsidR="00656C71" w:rsidRDefault="00773C05">
            <w:pPr>
              <w:spacing w:after="0"/>
            </w:pPr>
            <w:r>
              <w:t>Executive and legislative organs, financial and fiscal affairs, external affairs</w:t>
            </w:r>
          </w:p>
        </w:tc>
        <w:tc>
          <w:tcPr>
            <w:tcW w:w="907" w:type="dxa"/>
          </w:tcPr>
          <w:p w14:paraId="20CE5D0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3 282</w:t>
            </w:r>
          </w:p>
        </w:tc>
        <w:tc>
          <w:tcPr>
            <w:tcW w:w="907" w:type="dxa"/>
          </w:tcPr>
          <w:p w14:paraId="27D3ED6D"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2 914</w:t>
            </w:r>
          </w:p>
        </w:tc>
      </w:tr>
      <w:tr w:rsidR="00656C71" w14:paraId="727DB143" w14:textId="77777777">
        <w:tc>
          <w:tcPr>
            <w:cnfStyle w:val="001000000000" w:firstRow="0" w:lastRow="0" w:firstColumn="1" w:lastColumn="0" w:oddVBand="0" w:evenVBand="0" w:oddHBand="0" w:evenHBand="0" w:firstRowFirstColumn="0" w:firstRowLastColumn="0" w:lastRowFirstColumn="0" w:lastRowLastColumn="0"/>
            <w:tcW w:w="7824" w:type="dxa"/>
          </w:tcPr>
          <w:p w14:paraId="5361184A" w14:textId="77777777" w:rsidR="00656C71" w:rsidRDefault="00773C05">
            <w:pPr>
              <w:spacing w:after="0"/>
            </w:pPr>
            <w:r>
              <w:t>General services</w:t>
            </w:r>
          </w:p>
        </w:tc>
        <w:tc>
          <w:tcPr>
            <w:tcW w:w="907" w:type="dxa"/>
          </w:tcPr>
          <w:p w14:paraId="4EEDA06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799</w:t>
            </w:r>
          </w:p>
        </w:tc>
        <w:tc>
          <w:tcPr>
            <w:tcW w:w="907" w:type="dxa"/>
          </w:tcPr>
          <w:p w14:paraId="0D2F813D"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795</w:t>
            </w:r>
          </w:p>
        </w:tc>
      </w:tr>
      <w:tr w:rsidR="00656C71" w14:paraId="1E82EB0F" w14:textId="77777777">
        <w:tc>
          <w:tcPr>
            <w:cnfStyle w:val="001000000000" w:firstRow="0" w:lastRow="0" w:firstColumn="1" w:lastColumn="0" w:oddVBand="0" w:evenVBand="0" w:oddHBand="0" w:evenHBand="0" w:firstRowFirstColumn="0" w:firstRowLastColumn="0" w:lastRowFirstColumn="0" w:lastRowLastColumn="0"/>
            <w:tcW w:w="7824" w:type="dxa"/>
          </w:tcPr>
          <w:p w14:paraId="5B0648B4" w14:textId="77777777" w:rsidR="00656C71" w:rsidRDefault="00773C05">
            <w:pPr>
              <w:spacing w:after="0"/>
            </w:pPr>
            <w:r>
              <w:t>Public debt transactions</w:t>
            </w:r>
          </w:p>
        </w:tc>
        <w:tc>
          <w:tcPr>
            <w:tcW w:w="907" w:type="dxa"/>
          </w:tcPr>
          <w:p w14:paraId="1B201AD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5 530</w:t>
            </w:r>
          </w:p>
        </w:tc>
        <w:tc>
          <w:tcPr>
            <w:tcW w:w="907" w:type="dxa"/>
          </w:tcPr>
          <w:p w14:paraId="39B2E18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4 338</w:t>
            </w:r>
          </w:p>
        </w:tc>
      </w:tr>
      <w:tr w:rsidR="00656C71" w14:paraId="3BEE4230" w14:textId="77777777">
        <w:tc>
          <w:tcPr>
            <w:cnfStyle w:val="001000000000" w:firstRow="0" w:lastRow="0" w:firstColumn="1" w:lastColumn="0" w:oddVBand="0" w:evenVBand="0" w:oddHBand="0" w:evenHBand="0" w:firstRowFirstColumn="0" w:firstRowLastColumn="0" w:lastRowFirstColumn="0" w:lastRowLastColumn="0"/>
            <w:tcW w:w="7824" w:type="dxa"/>
          </w:tcPr>
          <w:p w14:paraId="1F807152" w14:textId="77777777" w:rsidR="00656C71" w:rsidRDefault="00773C05">
            <w:pPr>
              <w:spacing w:after="0"/>
            </w:pPr>
            <w:r>
              <w:t>General public services NEC</w:t>
            </w:r>
            <w:r>
              <w:rPr>
                <w:vertAlign w:val="superscript"/>
              </w:rPr>
              <w:t xml:space="preserve"> (b)</w:t>
            </w:r>
          </w:p>
        </w:tc>
        <w:tc>
          <w:tcPr>
            <w:tcW w:w="907" w:type="dxa"/>
          </w:tcPr>
          <w:p w14:paraId="1D882C96"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451</w:t>
            </w:r>
          </w:p>
        </w:tc>
        <w:tc>
          <w:tcPr>
            <w:tcW w:w="907" w:type="dxa"/>
          </w:tcPr>
          <w:p w14:paraId="0C232926"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349</w:t>
            </w:r>
          </w:p>
        </w:tc>
      </w:tr>
      <w:tr w:rsidR="00656C71" w14:paraId="4EE70FA0" w14:textId="77777777">
        <w:tc>
          <w:tcPr>
            <w:cnfStyle w:val="001000000000" w:firstRow="0" w:lastRow="0" w:firstColumn="1" w:lastColumn="0" w:oddVBand="0" w:evenVBand="0" w:oddHBand="0" w:evenHBand="0" w:firstRowFirstColumn="0" w:firstRowLastColumn="0" w:lastRowFirstColumn="0" w:lastRowLastColumn="0"/>
            <w:tcW w:w="7824" w:type="dxa"/>
          </w:tcPr>
          <w:p w14:paraId="3E6E0BCC" w14:textId="77777777" w:rsidR="00656C71" w:rsidRDefault="00773C05">
            <w:pPr>
              <w:spacing w:after="0"/>
            </w:pPr>
            <w:r>
              <w:rPr>
                <w:b/>
              </w:rPr>
              <w:t>Public order and safety</w:t>
            </w:r>
          </w:p>
        </w:tc>
        <w:tc>
          <w:tcPr>
            <w:tcW w:w="907" w:type="dxa"/>
          </w:tcPr>
          <w:p w14:paraId="1EC75B3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12 284</w:t>
            </w:r>
          </w:p>
        </w:tc>
        <w:tc>
          <w:tcPr>
            <w:tcW w:w="907" w:type="dxa"/>
          </w:tcPr>
          <w:p w14:paraId="6103191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11 520</w:t>
            </w:r>
          </w:p>
        </w:tc>
      </w:tr>
      <w:tr w:rsidR="00656C71" w14:paraId="716B498A" w14:textId="77777777">
        <w:tc>
          <w:tcPr>
            <w:cnfStyle w:val="001000000000" w:firstRow="0" w:lastRow="0" w:firstColumn="1" w:lastColumn="0" w:oddVBand="0" w:evenVBand="0" w:oddHBand="0" w:evenHBand="0" w:firstRowFirstColumn="0" w:firstRowLastColumn="0" w:lastRowFirstColumn="0" w:lastRowLastColumn="0"/>
            <w:tcW w:w="7824" w:type="dxa"/>
          </w:tcPr>
          <w:p w14:paraId="114F5FC5" w14:textId="77777777" w:rsidR="00656C71" w:rsidRDefault="00773C05">
            <w:pPr>
              <w:spacing w:after="0"/>
            </w:pPr>
            <w:r>
              <w:t>Police services</w:t>
            </w:r>
          </w:p>
        </w:tc>
        <w:tc>
          <w:tcPr>
            <w:tcW w:w="907" w:type="dxa"/>
          </w:tcPr>
          <w:p w14:paraId="2D19B89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4 408</w:t>
            </w:r>
          </w:p>
        </w:tc>
        <w:tc>
          <w:tcPr>
            <w:tcW w:w="907" w:type="dxa"/>
          </w:tcPr>
          <w:p w14:paraId="4ECB899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4 169</w:t>
            </w:r>
          </w:p>
        </w:tc>
      </w:tr>
      <w:tr w:rsidR="00656C71" w14:paraId="30A8A1FF" w14:textId="77777777">
        <w:tc>
          <w:tcPr>
            <w:cnfStyle w:val="001000000000" w:firstRow="0" w:lastRow="0" w:firstColumn="1" w:lastColumn="0" w:oddVBand="0" w:evenVBand="0" w:oddHBand="0" w:evenHBand="0" w:firstRowFirstColumn="0" w:firstRowLastColumn="0" w:lastRowFirstColumn="0" w:lastRowLastColumn="0"/>
            <w:tcW w:w="7824" w:type="dxa"/>
          </w:tcPr>
          <w:p w14:paraId="3BF1167D" w14:textId="77777777" w:rsidR="00656C71" w:rsidRDefault="00773C05">
            <w:pPr>
              <w:spacing w:after="0"/>
            </w:pPr>
            <w:r>
              <w:t>Civil and fire protection services</w:t>
            </w:r>
          </w:p>
        </w:tc>
        <w:tc>
          <w:tcPr>
            <w:tcW w:w="907" w:type="dxa"/>
          </w:tcPr>
          <w:p w14:paraId="2AF88DD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2 966</w:t>
            </w:r>
          </w:p>
        </w:tc>
        <w:tc>
          <w:tcPr>
            <w:tcW w:w="907" w:type="dxa"/>
          </w:tcPr>
          <w:p w14:paraId="1C66D93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2 843</w:t>
            </w:r>
          </w:p>
        </w:tc>
      </w:tr>
      <w:tr w:rsidR="00656C71" w14:paraId="38275E60" w14:textId="77777777">
        <w:tc>
          <w:tcPr>
            <w:cnfStyle w:val="001000000000" w:firstRow="0" w:lastRow="0" w:firstColumn="1" w:lastColumn="0" w:oddVBand="0" w:evenVBand="0" w:oddHBand="0" w:evenHBand="0" w:firstRowFirstColumn="0" w:firstRowLastColumn="0" w:lastRowFirstColumn="0" w:lastRowLastColumn="0"/>
            <w:tcW w:w="7824" w:type="dxa"/>
          </w:tcPr>
          <w:p w14:paraId="505B8D40" w14:textId="77777777" w:rsidR="00656C71" w:rsidRDefault="00773C05">
            <w:pPr>
              <w:spacing w:after="0"/>
            </w:pPr>
            <w:r>
              <w:t>Law courts</w:t>
            </w:r>
          </w:p>
        </w:tc>
        <w:tc>
          <w:tcPr>
            <w:tcW w:w="907" w:type="dxa"/>
          </w:tcPr>
          <w:p w14:paraId="6346B361"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1 586</w:t>
            </w:r>
          </w:p>
        </w:tc>
        <w:tc>
          <w:tcPr>
            <w:tcW w:w="907" w:type="dxa"/>
          </w:tcPr>
          <w:p w14:paraId="2A5C75F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1 479</w:t>
            </w:r>
          </w:p>
        </w:tc>
      </w:tr>
      <w:tr w:rsidR="00656C71" w14:paraId="17EC67A6" w14:textId="77777777">
        <w:tc>
          <w:tcPr>
            <w:cnfStyle w:val="001000000000" w:firstRow="0" w:lastRow="0" w:firstColumn="1" w:lastColumn="0" w:oddVBand="0" w:evenVBand="0" w:oddHBand="0" w:evenHBand="0" w:firstRowFirstColumn="0" w:firstRowLastColumn="0" w:lastRowFirstColumn="0" w:lastRowLastColumn="0"/>
            <w:tcW w:w="7824" w:type="dxa"/>
          </w:tcPr>
          <w:p w14:paraId="595C5F31" w14:textId="77777777" w:rsidR="00656C71" w:rsidRDefault="00773C05">
            <w:pPr>
              <w:spacing w:after="0"/>
            </w:pPr>
            <w:r>
              <w:t>Prisons</w:t>
            </w:r>
          </w:p>
        </w:tc>
        <w:tc>
          <w:tcPr>
            <w:tcW w:w="907" w:type="dxa"/>
          </w:tcPr>
          <w:p w14:paraId="47BCBE3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2 219</w:t>
            </w:r>
          </w:p>
        </w:tc>
        <w:tc>
          <w:tcPr>
            <w:tcW w:w="907" w:type="dxa"/>
          </w:tcPr>
          <w:p w14:paraId="2EDAB8B3"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2 045</w:t>
            </w:r>
          </w:p>
        </w:tc>
      </w:tr>
      <w:tr w:rsidR="00656C71" w14:paraId="139A0009" w14:textId="77777777">
        <w:tc>
          <w:tcPr>
            <w:cnfStyle w:val="001000000000" w:firstRow="0" w:lastRow="0" w:firstColumn="1" w:lastColumn="0" w:oddVBand="0" w:evenVBand="0" w:oddHBand="0" w:evenHBand="0" w:firstRowFirstColumn="0" w:firstRowLastColumn="0" w:lastRowFirstColumn="0" w:lastRowLastColumn="0"/>
            <w:tcW w:w="7824" w:type="dxa"/>
          </w:tcPr>
          <w:p w14:paraId="6350FCC1" w14:textId="77777777" w:rsidR="00656C71" w:rsidRDefault="00773C05">
            <w:pPr>
              <w:spacing w:after="0"/>
            </w:pPr>
            <w:r>
              <w:t>Public order and safety NEC</w:t>
            </w:r>
            <w:r>
              <w:rPr>
                <w:vertAlign w:val="superscript"/>
              </w:rPr>
              <w:t xml:space="preserve"> (b)</w:t>
            </w:r>
          </w:p>
        </w:tc>
        <w:tc>
          <w:tcPr>
            <w:tcW w:w="907" w:type="dxa"/>
          </w:tcPr>
          <w:p w14:paraId="34FD73D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1 105</w:t>
            </w:r>
          </w:p>
        </w:tc>
        <w:tc>
          <w:tcPr>
            <w:tcW w:w="907" w:type="dxa"/>
          </w:tcPr>
          <w:p w14:paraId="7A5114D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985</w:t>
            </w:r>
          </w:p>
        </w:tc>
      </w:tr>
      <w:tr w:rsidR="00656C71" w14:paraId="02D9DF18" w14:textId="77777777">
        <w:tc>
          <w:tcPr>
            <w:cnfStyle w:val="001000000000" w:firstRow="0" w:lastRow="0" w:firstColumn="1" w:lastColumn="0" w:oddVBand="0" w:evenVBand="0" w:oddHBand="0" w:evenHBand="0" w:firstRowFirstColumn="0" w:firstRowLastColumn="0" w:lastRowFirstColumn="0" w:lastRowLastColumn="0"/>
            <w:tcW w:w="7824" w:type="dxa"/>
          </w:tcPr>
          <w:p w14:paraId="16001118" w14:textId="77777777" w:rsidR="00656C71" w:rsidRDefault="00773C05">
            <w:pPr>
              <w:spacing w:after="0"/>
            </w:pPr>
            <w:r>
              <w:rPr>
                <w:b/>
              </w:rPr>
              <w:t>Economic affairs</w:t>
            </w:r>
          </w:p>
        </w:tc>
        <w:tc>
          <w:tcPr>
            <w:tcW w:w="907" w:type="dxa"/>
          </w:tcPr>
          <w:p w14:paraId="1B9C858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2 861</w:t>
            </w:r>
          </w:p>
        </w:tc>
        <w:tc>
          <w:tcPr>
            <w:tcW w:w="907" w:type="dxa"/>
          </w:tcPr>
          <w:p w14:paraId="5EBC8F7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3 181</w:t>
            </w:r>
          </w:p>
        </w:tc>
      </w:tr>
      <w:tr w:rsidR="00656C71" w14:paraId="2762AFC9" w14:textId="77777777">
        <w:tc>
          <w:tcPr>
            <w:cnfStyle w:val="001000000000" w:firstRow="0" w:lastRow="0" w:firstColumn="1" w:lastColumn="0" w:oddVBand="0" w:evenVBand="0" w:oddHBand="0" w:evenHBand="0" w:firstRowFirstColumn="0" w:firstRowLastColumn="0" w:lastRowFirstColumn="0" w:lastRowLastColumn="0"/>
            <w:tcW w:w="7824" w:type="dxa"/>
          </w:tcPr>
          <w:p w14:paraId="7B505B08" w14:textId="77777777" w:rsidR="00656C71" w:rsidRDefault="00773C05">
            <w:pPr>
              <w:spacing w:after="0"/>
            </w:pPr>
            <w:r>
              <w:t>General economic, commercial and labour affairs</w:t>
            </w:r>
          </w:p>
        </w:tc>
        <w:tc>
          <w:tcPr>
            <w:tcW w:w="907" w:type="dxa"/>
          </w:tcPr>
          <w:p w14:paraId="54C12E6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1 103</w:t>
            </w:r>
          </w:p>
        </w:tc>
        <w:tc>
          <w:tcPr>
            <w:tcW w:w="907" w:type="dxa"/>
          </w:tcPr>
          <w:p w14:paraId="121E16F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1 284</w:t>
            </w:r>
          </w:p>
        </w:tc>
      </w:tr>
      <w:tr w:rsidR="00656C71" w14:paraId="49AC538B" w14:textId="77777777">
        <w:tc>
          <w:tcPr>
            <w:cnfStyle w:val="001000000000" w:firstRow="0" w:lastRow="0" w:firstColumn="1" w:lastColumn="0" w:oddVBand="0" w:evenVBand="0" w:oddHBand="0" w:evenHBand="0" w:firstRowFirstColumn="0" w:firstRowLastColumn="0" w:lastRowFirstColumn="0" w:lastRowLastColumn="0"/>
            <w:tcW w:w="7824" w:type="dxa"/>
          </w:tcPr>
          <w:p w14:paraId="0FFE6726" w14:textId="77777777" w:rsidR="00656C71" w:rsidRDefault="00773C05">
            <w:pPr>
              <w:spacing w:after="0"/>
            </w:pPr>
            <w:r>
              <w:t>Agriculture, forestry, fishing and hunting</w:t>
            </w:r>
          </w:p>
        </w:tc>
        <w:tc>
          <w:tcPr>
            <w:tcW w:w="907" w:type="dxa"/>
          </w:tcPr>
          <w:p w14:paraId="2DC7C7F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650</w:t>
            </w:r>
          </w:p>
        </w:tc>
        <w:tc>
          <w:tcPr>
            <w:tcW w:w="907" w:type="dxa"/>
          </w:tcPr>
          <w:p w14:paraId="644F1A2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787</w:t>
            </w:r>
          </w:p>
        </w:tc>
      </w:tr>
      <w:tr w:rsidR="00656C71" w14:paraId="34F98E35" w14:textId="77777777">
        <w:tc>
          <w:tcPr>
            <w:cnfStyle w:val="001000000000" w:firstRow="0" w:lastRow="0" w:firstColumn="1" w:lastColumn="0" w:oddVBand="0" w:evenVBand="0" w:oddHBand="0" w:evenHBand="0" w:firstRowFirstColumn="0" w:firstRowLastColumn="0" w:lastRowFirstColumn="0" w:lastRowLastColumn="0"/>
            <w:tcW w:w="7824" w:type="dxa"/>
          </w:tcPr>
          <w:p w14:paraId="730DC67F" w14:textId="77777777" w:rsidR="00656C71" w:rsidRDefault="00773C05">
            <w:pPr>
              <w:spacing w:after="0"/>
            </w:pPr>
            <w:r>
              <w:t>Fuel and energy</w:t>
            </w:r>
          </w:p>
        </w:tc>
        <w:tc>
          <w:tcPr>
            <w:tcW w:w="907" w:type="dxa"/>
          </w:tcPr>
          <w:p w14:paraId="7284EF85"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559</w:t>
            </w:r>
          </w:p>
        </w:tc>
        <w:tc>
          <w:tcPr>
            <w:tcW w:w="907" w:type="dxa"/>
          </w:tcPr>
          <w:p w14:paraId="70E5A50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582</w:t>
            </w:r>
          </w:p>
        </w:tc>
      </w:tr>
      <w:tr w:rsidR="00656C71" w14:paraId="7BB5A041" w14:textId="77777777">
        <w:tc>
          <w:tcPr>
            <w:cnfStyle w:val="001000000000" w:firstRow="0" w:lastRow="0" w:firstColumn="1" w:lastColumn="0" w:oddVBand="0" w:evenVBand="0" w:oddHBand="0" w:evenHBand="0" w:firstRowFirstColumn="0" w:firstRowLastColumn="0" w:lastRowFirstColumn="0" w:lastRowLastColumn="0"/>
            <w:tcW w:w="7824" w:type="dxa"/>
          </w:tcPr>
          <w:p w14:paraId="64D160CB" w14:textId="77777777" w:rsidR="00656C71" w:rsidRDefault="00773C05">
            <w:pPr>
              <w:spacing w:after="0"/>
            </w:pPr>
            <w:r>
              <w:t>Other industries</w:t>
            </w:r>
          </w:p>
        </w:tc>
        <w:tc>
          <w:tcPr>
            <w:tcW w:w="907" w:type="dxa"/>
          </w:tcPr>
          <w:p w14:paraId="4F7B27E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344</w:t>
            </w:r>
          </w:p>
        </w:tc>
        <w:tc>
          <w:tcPr>
            <w:tcW w:w="907" w:type="dxa"/>
          </w:tcPr>
          <w:p w14:paraId="42B6D92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379</w:t>
            </w:r>
          </w:p>
        </w:tc>
      </w:tr>
      <w:tr w:rsidR="00656C71" w14:paraId="621B59A6" w14:textId="77777777">
        <w:tc>
          <w:tcPr>
            <w:cnfStyle w:val="001000000000" w:firstRow="0" w:lastRow="0" w:firstColumn="1" w:lastColumn="0" w:oddVBand="0" w:evenVBand="0" w:oddHBand="0" w:evenHBand="0" w:firstRowFirstColumn="0" w:firstRowLastColumn="0" w:lastRowFirstColumn="0" w:lastRowLastColumn="0"/>
            <w:tcW w:w="7824" w:type="dxa"/>
          </w:tcPr>
          <w:p w14:paraId="01D1DDD2" w14:textId="77777777" w:rsidR="00656C71" w:rsidRDefault="00773C05">
            <w:pPr>
              <w:spacing w:after="0"/>
            </w:pPr>
            <w:r>
              <w:t>Economic affairs NEC</w:t>
            </w:r>
            <w:r>
              <w:rPr>
                <w:vertAlign w:val="superscript"/>
              </w:rPr>
              <w:t xml:space="preserve"> (b)</w:t>
            </w:r>
          </w:p>
        </w:tc>
        <w:tc>
          <w:tcPr>
            <w:tcW w:w="907" w:type="dxa"/>
          </w:tcPr>
          <w:p w14:paraId="6B376CA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204</w:t>
            </w:r>
          </w:p>
        </w:tc>
        <w:tc>
          <w:tcPr>
            <w:tcW w:w="907" w:type="dxa"/>
          </w:tcPr>
          <w:p w14:paraId="4850E2D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149</w:t>
            </w:r>
          </w:p>
        </w:tc>
      </w:tr>
      <w:tr w:rsidR="00656C71" w14:paraId="19B2BC5C" w14:textId="77777777">
        <w:tc>
          <w:tcPr>
            <w:cnfStyle w:val="001000000000" w:firstRow="0" w:lastRow="0" w:firstColumn="1" w:lastColumn="0" w:oddVBand="0" w:evenVBand="0" w:oddHBand="0" w:evenHBand="0" w:firstRowFirstColumn="0" w:firstRowLastColumn="0" w:lastRowFirstColumn="0" w:lastRowLastColumn="0"/>
            <w:tcW w:w="7824" w:type="dxa"/>
          </w:tcPr>
          <w:p w14:paraId="4E4B25B2" w14:textId="77777777" w:rsidR="00656C71" w:rsidRDefault="00773C05">
            <w:pPr>
              <w:spacing w:after="0"/>
            </w:pPr>
            <w:r>
              <w:rPr>
                <w:b/>
              </w:rPr>
              <w:t>Environmental protection</w:t>
            </w:r>
          </w:p>
        </w:tc>
        <w:tc>
          <w:tcPr>
            <w:tcW w:w="907" w:type="dxa"/>
          </w:tcPr>
          <w:p w14:paraId="33F2093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1 277</w:t>
            </w:r>
          </w:p>
        </w:tc>
        <w:tc>
          <w:tcPr>
            <w:tcW w:w="907" w:type="dxa"/>
          </w:tcPr>
          <w:p w14:paraId="67574303"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1 182</w:t>
            </w:r>
          </w:p>
        </w:tc>
      </w:tr>
      <w:tr w:rsidR="00656C71" w14:paraId="30B6082B" w14:textId="77777777">
        <w:tc>
          <w:tcPr>
            <w:cnfStyle w:val="001000000000" w:firstRow="0" w:lastRow="0" w:firstColumn="1" w:lastColumn="0" w:oddVBand="0" w:evenVBand="0" w:oddHBand="0" w:evenHBand="0" w:firstRowFirstColumn="0" w:firstRowLastColumn="0" w:lastRowFirstColumn="0" w:lastRowLastColumn="0"/>
            <w:tcW w:w="7824" w:type="dxa"/>
          </w:tcPr>
          <w:p w14:paraId="78F0C8F8" w14:textId="77777777" w:rsidR="00656C71" w:rsidRDefault="00773C05">
            <w:pPr>
              <w:spacing w:after="0"/>
            </w:pPr>
            <w:r>
              <w:t>Protection of biodiversity and landscape</w:t>
            </w:r>
          </w:p>
        </w:tc>
        <w:tc>
          <w:tcPr>
            <w:tcW w:w="907" w:type="dxa"/>
          </w:tcPr>
          <w:p w14:paraId="485AD11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702</w:t>
            </w:r>
          </w:p>
        </w:tc>
        <w:tc>
          <w:tcPr>
            <w:tcW w:w="907" w:type="dxa"/>
          </w:tcPr>
          <w:p w14:paraId="5F14816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613</w:t>
            </w:r>
          </w:p>
        </w:tc>
      </w:tr>
      <w:tr w:rsidR="00656C71" w14:paraId="7025921A" w14:textId="77777777">
        <w:tc>
          <w:tcPr>
            <w:cnfStyle w:val="001000000000" w:firstRow="0" w:lastRow="0" w:firstColumn="1" w:lastColumn="0" w:oddVBand="0" w:evenVBand="0" w:oddHBand="0" w:evenHBand="0" w:firstRowFirstColumn="0" w:firstRowLastColumn="0" w:lastRowFirstColumn="0" w:lastRowLastColumn="0"/>
            <w:tcW w:w="7824" w:type="dxa"/>
          </w:tcPr>
          <w:p w14:paraId="52641DBB" w14:textId="77777777" w:rsidR="00656C71" w:rsidRDefault="00773C05">
            <w:pPr>
              <w:spacing w:after="0"/>
            </w:pPr>
            <w:r>
              <w:t>Environmental protection NEC</w:t>
            </w:r>
            <w:r>
              <w:rPr>
                <w:vertAlign w:val="superscript"/>
              </w:rPr>
              <w:t xml:space="preserve"> (b)</w:t>
            </w:r>
          </w:p>
        </w:tc>
        <w:tc>
          <w:tcPr>
            <w:tcW w:w="907" w:type="dxa"/>
          </w:tcPr>
          <w:p w14:paraId="65D56D0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575</w:t>
            </w:r>
          </w:p>
        </w:tc>
        <w:tc>
          <w:tcPr>
            <w:tcW w:w="907" w:type="dxa"/>
          </w:tcPr>
          <w:p w14:paraId="47C51E3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569</w:t>
            </w:r>
          </w:p>
        </w:tc>
      </w:tr>
      <w:tr w:rsidR="00656C71" w14:paraId="0F913626" w14:textId="77777777">
        <w:tc>
          <w:tcPr>
            <w:cnfStyle w:val="001000000000" w:firstRow="0" w:lastRow="0" w:firstColumn="1" w:lastColumn="0" w:oddVBand="0" w:evenVBand="0" w:oddHBand="0" w:evenHBand="0" w:firstRowFirstColumn="0" w:firstRowLastColumn="0" w:lastRowFirstColumn="0" w:lastRowLastColumn="0"/>
            <w:tcW w:w="7824" w:type="dxa"/>
          </w:tcPr>
          <w:p w14:paraId="6C62D306" w14:textId="77777777" w:rsidR="00656C71" w:rsidRDefault="00773C05">
            <w:pPr>
              <w:spacing w:after="0"/>
            </w:pPr>
            <w:r>
              <w:rPr>
                <w:b/>
              </w:rPr>
              <w:t>Housing and community amenities</w:t>
            </w:r>
          </w:p>
        </w:tc>
        <w:tc>
          <w:tcPr>
            <w:tcW w:w="907" w:type="dxa"/>
          </w:tcPr>
          <w:p w14:paraId="26467675"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2 337</w:t>
            </w:r>
          </w:p>
        </w:tc>
        <w:tc>
          <w:tcPr>
            <w:tcW w:w="907" w:type="dxa"/>
          </w:tcPr>
          <w:p w14:paraId="783B21E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2 418</w:t>
            </w:r>
          </w:p>
        </w:tc>
      </w:tr>
      <w:tr w:rsidR="00656C71" w14:paraId="71190A75" w14:textId="77777777">
        <w:tc>
          <w:tcPr>
            <w:cnfStyle w:val="001000000000" w:firstRow="0" w:lastRow="0" w:firstColumn="1" w:lastColumn="0" w:oddVBand="0" w:evenVBand="0" w:oddHBand="0" w:evenHBand="0" w:firstRowFirstColumn="0" w:firstRowLastColumn="0" w:lastRowFirstColumn="0" w:lastRowLastColumn="0"/>
            <w:tcW w:w="7824" w:type="dxa"/>
          </w:tcPr>
          <w:p w14:paraId="50D71A5C" w14:textId="77777777" w:rsidR="00656C71" w:rsidRDefault="00773C05">
            <w:pPr>
              <w:spacing w:after="0"/>
            </w:pPr>
            <w:r>
              <w:t>Community development</w:t>
            </w:r>
          </w:p>
        </w:tc>
        <w:tc>
          <w:tcPr>
            <w:tcW w:w="907" w:type="dxa"/>
          </w:tcPr>
          <w:p w14:paraId="671B0AF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1381AEB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2 293</w:t>
            </w:r>
          </w:p>
        </w:tc>
      </w:tr>
      <w:tr w:rsidR="00656C71" w14:paraId="3EB92085" w14:textId="77777777">
        <w:tc>
          <w:tcPr>
            <w:cnfStyle w:val="001000000000" w:firstRow="0" w:lastRow="0" w:firstColumn="1" w:lastColumn="0" w:oddVBand="0" w:evenVBand="0" w:oddHBand="0" w:evenHBand="0" w:firstRowFirstColumn="0" w:firstRowLastColumn="0" w:lastRowFirstColumn="0" w:lastRowLastColumn="0"/>
            <w:tcW w:w="7824" w:type="dxa"/>
          </w:tcPr>
          <w:p w14:paraId="68B31221" w14:textId="77777777" w:rsidR="00656C71" w:rsidRDefault="00773C05">
            <w:pPr>
              <w:spacing w:after="0"/>
            </w:pPr>
            <w:r>
              <w:t>Water supply</w:t>
            </w:r>
          </w:p>
        </w:tc>
        <w:tc>
          <w:tcPr>
            <w:tcW w:w="907" w:type="dxa"/>
          </w:tcPr>
          <w:p w14:paraId="38CB5DE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115</w:t>
            </w:r>
          </w:p>
        </w:tc>
        <w:tc>
          <w:tcPr>
            <w:tcW w:w="907" w:type="dxa"/>
          </w:tcPr>
          <w:p w14:paraId="6CDEE9B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124</w:t>
            </w:r>
          </w:p>
        </w:tc>
      </w:tr>
      <w:tr w:rsidR="00656C71" w14:paraId="649C0AD5" w14:textId="77777777">
        <w:tc>
          <w:tcPr>
            <w:cnfStyle w:val="001000000000" w:firstRow="0" w:lastRow="0" w:firstColumn="1" w:lastColumn="0" w:oddVBand="0" w:evenVBand="0" w:oddHBand="0" w:evenHBand="0" w:firstRowFirstColumn="0" w:firstRowLastColumn="0" w:lastRowFirstColumn="0" w:lastRowLastColumn="0"/>
            <w:tcW w:w="7824" w:type="dxa"/>
          </w:tcPr>
          <w:p w14:paraId="5F215EB6" w14:textId="77777777" w:rsidR="00656C71" w:rsidRDefault="00773C05">
            <w:pPr>
              <w:spacing w:after="0"/>
            </w:pPr>
            <w:r>
              <w:rPr>
                <w:b/>
              </w:rPr>
              <w:t>Health</w:t>
            </w:r>
          </w:p>
        </w:tc>
        <w:tc>
          <w:tcPr>
            <w:tcW w:w="907" w:type="dxa"/>
          </w:tcPr>
          <w:p w14:paraId="1E3B688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32 240</w:t>
            </w:r>
          </w:p>
        </w:tc>
        <w:tc>
          <w:tcPr>
            <w:tcW w:w="907" w:type="dxa"/>
          </w:tcPr>
          <w:p w14:paraId="6824BE0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30 055</w:t>
            </w:r>
          </w:p>
        </w:tc>
      </w:tr>
      <w:tr w:rsidR="00656C71" w14:paraId="011AF461" w14:textId="77777777">
        <w:tc>
          <w:tcPr>
            <w:cnfStyle w:val="001000000000" w:firstRow="0" w:lastRow="0" w:firstColumn="1" w:lastColumn="0" w:oddVBand="0" w:evenVBand="0" w:oddHBand="0" w:evenHBand="0" w:firstRowFirstColumn="0" w:firstRowLastColumn="0" w:lastRowFirstColumn="0" w:lastRowLastColumn="0"/>
            <w:tcW w:w="7824" w:type="dxa"/>
          </w:tcPr>
          <w:p w14:paraId="51586EDC" w14:textId="77777777" w:rsidR="00656C71" w:rsidRDefault="00773C05">
            <w:pPr>
              <w:spacing w:after="0"/>
            </w:pPr>
            <w:r>
              <w:t>Outpatient services</w:t>
            </w:r>
          </w:p>
        </w:tc>
        <w:tc>
          <w:tcPr>
            <w:tcW w:w="907" w:type="dxa"/>
          </w:tcPr>
          <w:p w14:paraId="48A1D3D3"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3 410</w:t>
            </w:r>
          </w:p>
        </w:tc>
        <w:tc>
          <w:tcPr>
            <w:tcW w:w="907" w:type="dxa"/>
          </w:tcPr>
          <w:p w14:paraId="034820B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3 185</w:t>
            </w:r>
          </w:p>
        </w:tc>
      </w:tr>
      <w:tr w:rsidR="00656C71" w14:paraId="001D71D7" w14:textId="77777777">
        <w:tc>
          <w:tcPr>
            <w:cnfStyle w:val="001000000000" w:firstRow="0" w:lastRow="0" w:firstColumn="1" w:lastColumn="0" w:oddVBand="0" w:evenVBand="0" w:oddHBand="0" w:evenHBand="0" w:firstRowFirstColumn="0" w:firstRowLastColumn="0" w:lastRowFirstColumn="0" w:lastRowLastColumn="0"/>
            <w:tcW w:w="7824" w:type="dxa"/>
          </w:tcPr>
          <w:p w14:paraId="021DEB10" w14:textId="77777777" w:rsidR="00656C71" w:rsidRDefault="00773C05">
            <w:pPr>
              <w:spacing w:after="0"/>
            </w:pPr>
            <w:r>
              <w:t>Hospital services</w:t>
            </w:r>
          </w:p>
        </w:tc>
        <w:tc>
          <w:tcPr>
            <w:tcW w:w="907" w:type="dxa"/>
          </w:tcPr>
          <w:p w14:paraId="50CF634D"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25 018</w:t>
            </w:r>
          </w:p>
        </w:tc>
        <w:tc>
          <w:tcPr>
            <w:tcW w:w="907" w:type="dxa"/>
          </w:tcPr>
          <w:p w14:paraId="3F216B4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23 296</w:t>
            </w:r>
          </w:p>
        </w:tc>
      </w:tr>
      <w:tr w:rsidR="00656C71" w14:paraId="73C78F9B" w14:textId="77777777">
        <w:tc>
          <w:tcPr>
            <w:cnfStyle w:val="001000000000" w:firstRow="0" w:lastRow="0" w:firstColumn="1" w:lastColumn="0" w:oddVBand="0" w:evenVBand="0" w:oddHBand="0" w:evenHBand="0" w:firstRowFirstColumn="0" w:firstRowLastColumn="0" w:lastRowFirstColumn="0" w:lastRowLastColumn="0"/>
            <w:tcW w:w="7824" w:type="dxa"/>
          </w:tcPr>
          <w:p w14:paraId="04A4FFEE" w14:textId="77777777" w:rsidR="00656C71" w:rsidRDefault="00773C05">
            <w:pPr>
              <w:spacing w:after="0"/>
            </w:pPr>
            <w:r>
              <w:t>Community health services</w:t>
            </w:r>
          </w:p>
        </w:tc>
        <w:tc>
          <w:tcPr>
            <w:tcW w:w="907" w:type="dxa"/>
          </w:tcPr>
          <w:p w14:paraId="48FAF121"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3 302</w:t>
            </w:r>
          </w:p>
        </w:tc>
        <w:tc>
          <w:tcPr>
            <w:tcW w:w="907" w:type="dxa"/>
          </w:tcPr>
          <w:p w14:paraId="5E015285"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3 043</w:t>
            </w:r>
          </w:p>
        </w:tc>
      </w:tr>
      <w:tr w:rsidR="00656C71" w14:paraId="29B41ECF" w14:textId="77777777">
        <w:tc>
          <w:tcPr>
            <w:cnfStyle w:val="001000000000" w:firstRow="0" w:lastRow="0" w:firstColumn="1" w:lastColumn="0" w:oddVBand="0" w:evenVBand="0" w:oddHBand="0" w:evenHBand="0" w:firstRowFirstColumn="0" w:firstRowLastColumn="0" w:lastRowFirstColumn="0" w:lastRowLastColumn="0"/>
            <w:tcW w:w="7824" w:type="dxa"/>
          </w:tcPr>
          <w:p w14:paraId="49DD1E9A" w14:textId="77777777" w:rsidR="00656C71" w:rsidRDefault="00773C05">
            <w:pPr>
              <w:spacing w:after="0"/>
            </w:pPr>
            <w:r>
              <w:t>Public health services</w:t>
            </w:r>
          </w:p>
        </w:tc>
        <w:tc>
          <w:tcPr>
            <w:tcW w:w="907" w:type="dxa"/>
          </w:tcPr>
          <w:p w14:paraId="42EBC5F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409</w:t>
            </w:r>
          </w:p>
        </w:tc>
        <w:tc>
          <w:tcPr>
            <w:tcW w:w="907" w:type="dxa"/>
          </w:tcPr>
          <w:p w14:paraId="6A17AF7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467</w:t>
            </w:r>
          </w:p>
        </w:tc>
      </w:tr>
      <w:tr w:rsidR="00656C71" w14:paraId="0D73CA54" w14:textId="77777777">
        <w:tc>
          <w:tcPr>
            <w:cnfStyle w:val="001000000000" w:firstRow="0" w:lastRow="0" w:firstColumn="1" w:lastColumn="0" w:oddVBand="0" w:evenVBand="0" w:oddHBand="0" w:evenHBand="0" w:firstRowFirstColumn="0" w:firstRowLastColumn="0" w:lastRowFirstColumn="0" w:lastRowLastColumn="0"/>
            <w:tcW w:w="7824" w:type="dxa"/>
          </w:tcPr>
          <w:p w14:paraId="7E0EC137" w14:textId="77777777" w:rsidR="00656C71" w:rsidRDefault="00773C05">
            <w:pPr>
              <w:spacing w:after="0"/>
            </w:pPr>
            <w:r>
              <w:t>Health NEC</w:t>
            </w:r>
            <w:r>
              <w:rPr>
                <w:vertAlign w:val="superscript"/>
              </w:rPr>
              <w:t xml:space="preserve"> (b)</w:t>
            </w:r>
          </w:p>
        </w:tc>
        <w:tc>
          <w:tcPr>
            <w:tcW w:w="907" w:type="dxa"/>
          </w:tcPr>
          <w:p w14:paraId="171748E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101</w:t>
            </w:r>
          </w:p>
        </w:tc>
        <w:tc>
          <w:tcPr>
            <w:tcW w:w="907" w:type="dxa"/>
          </w:tcPr>
          <w:p w14:paraId="73548B6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65</w:t>
            </w:r>
          </w:p>
        </w:tc>
      </w:tr>
      <w:tr w:rsidR="00656C71" w14:paraId="39D3DD89" w14:textId="77777777">
        <w:tc>
          <w:tcPr>
            <w:cnfStyle w:val="001000000000" w:firstRow="0" w:lastRow="0" w:firstColumn="1" w:lastColumn="0" w:oddVBand="0" w:evenVBand="0" w:oddHBand="0" w:evenHBand="0" w:firstRowFirstColumn="0" w:firstRowLastColumn="0" w:lastRowFirstColumn="0" w:lastRowLastColumn="0"/>
            <w:tcW w:w="7824" w:type="dxa"/>
          </w:tcPr>
          <w:p w14:paraId="2E25B416" w14:textId="77777777" w:rsidR="00656C71" w:rsidRDefault="00773C05">
            <w:pPr>
              <w:spacing w:after="0"/>
            </w:pPr>
            <w:r>
              <w:rPr>
                <w:b/>
              </w:rPr>
              <w:t>Recreation, culture and religion</w:t>
            </w:r>
          </w:p>
        </w:tc>
        <w:tc>
          <w:tcPr>
            <w:tcW w:w="907" w:type="dxa"/>
          </w:tcPr>
          <w:p w14:paraId="777A72F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1 186</w:t>
            </w:r>
          </w:p>
        </w:tc>
        <w:tc>
          <w:tcPr>
            <w:tcW w:w="907" w:type="dxa"/>
          </w:tcPr>
          <w:p w14:paraId="2F99C97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1 458</w:t>
            </w:r>
          </w:p>
        </w:tc>
      </w:tr>
      <w:tr w:rsidR="00656C71" w14:paraId="2158764F" w14:textId="77777777">
        <w:tc>
          <w:tcPr>
            <w:cnfStyle w:val="001000000000" w:firstRow="0" w:lastRow="0" w:firstColumn="1" w:lastColumn="0" w:oddVBand="0" w:evenVBand="0" w:oddHBand="0" w:evenHBand="0" w:firstRowFirstColumn="0" w:firstRowLastColumn="0" w:lastRowFirstColumn="0" w:lastRowLastColumn="0"/>
            <w:tcW w:w="7824" w:type="dxa"/>
          </w:tcPr>
          <w:p w14:paraId="0FE6A6CA" w14:textId="77777777" w:rsidR="00656C71" w:rsidRDefault="00773C05">
            <w:pPr>
              <w:spacing w:after="0"/>
            </w:pPr>
            <w:r>
              <w:t>Recreational and sporting services</w:t>
            </w:r>
          </w:p>
        </w:tc>
        <w:tc>
          <w:tcPr>
            <w:tcW w:w="907" w:type="dxa"/>
          </w:tcPr>
          <w:p w14:paraId="1E995AF1"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515</w:t>
            </w:r>
          </w:p>
        </w:tc>
        <w:tc>
          <w:tcPr>
            <w:tcW w:w="907" w:type="dxa"/>
          </w:tcPr>
          <w:p w14:paraId="7C4294E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836</w:t>
            </w:r>
          </w:p>
        </w:tc>
      </w:tr>
      <w:tr w:rsidR="00656C71" w14:paraId="2FAF2D54" w14:textId="77777777">
        <w:tc>
          <w:tcPr>
            <w:cnfStyle w:val="001000000000" w:firstRow="0" w:lastRow="0" w:firstColumn="1" w:lastColumn="0" w:oddVBand="0" w:evenVBand="0" w:oddHBand="0" w:evenHBand="0" w:firstRowFirstColumn="0" w:firstRowLastColumn="0" w:lastRowFirstColumn="0" w:lastRowLastColumn="0"/>
            <w:tcW w:w="7824" w:type="dxa"/>
          </w:tcPr>
          <w:p w14:paraId="59BF7450" w14:textId="77777777" w:rsidR="00656C71" w:rsidRDefault="00773C05">
            <w:pPr>
              <w:spacing w:after="0"/>
            </w:pPr>
            <w:r>
              <w:t>Cultural services</w:t>
            </w:r>
          </w:p>
        </w:tc>
        <w:tc>
          <w:tcPr>
            <w:tcW w:w="907" w:type="dxa"/>
          </w:tcPr>
          <w:p w14:paraId="20DE031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671</w:t>
            </w:r>
          </w:p>
        </w:tc>
        <w:tc>
          <w:tcPr>
            <w:tcW w:w="907" w:type="dxa"/>
          </w:tcPr>
          <w:p w14:paraId="0028937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623</w:t>
            </w:r>
          </w:p>
        </w:tc>
      </w:tr>
      <w:tr w:rsidR="00656C71" w14:paraId="480474A6" w14:textId="77777777">
        <w:tc>
          <w:tcPr>
            <w:cnfStyle w:val="001000000000" w:firstRow="0" w:lastRow="0" w:firstColumn="1" w:lastColumn="0" w:oddVBand="0" w:evenVBand="0" w:oddHBand="0" w:evenHBand="0" w:firstRowFirstColumn="0" w:firstRowLastColumn="0" w:lastRowFirstColumn="0" w:lastRowLastColumn="0"/>
            <w:tcW w:w="7824" w:type="dxa"/>
          </w:tcPr>
          <w:p w14:paraId="6E6AC036" w14:textId="77777777" w:rsidR="00656C71" w:rsidRDefault="00773C05">
            <w:pPr>
              <w:spacing w:after="0"/>
            </w:pPr>
            <w:r>
              <w:rPr>
                <w:b/>
              </w:rPr>
              <w:t>Education</w:t>
            </w:r>
          </w:p>
        </w:tc>
        <w:tc>
          <w:tcPr>
            <w:tcW w:w="907" w:type="dxa"/>
          </w:tcPr>
          <w:p w14:paraId="105CD7E6"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24 127</w:t>
            </w:r>
          </w:p>
        </w:tc>
        <w:tc>
          <w:tcPr>
            <w:tcW w:w="907" w:type="dxa"/>
          </w:tcPr>
          <w:p w14:paraId="54D344D5"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22 578</w:t>
            </w:r>
          </w:p>
        </w:tc>
      </w:tr>
      <w:tr w:rsidR="00656C71" w14:paraId="276D7BFC" w14:textId="77777777">
        <w:tc>
          <w:tcPr>
            <w:cnfStyle w:val="001000000000" w:firstRow="0" w:lastRow="0" w:firstColumn="1" w:lastColumn="0" w:oddVBand="0" w:evenVBand="0" w:oddHBand="0" w:evenHBand="0" w:firstRowFirstColumn="0" w:firstRowLastColumn="0" w:lastRowFirstColumn="0" w:lastRowLastColumn="0"/>
            <w:tcW w:w="7824" w:type="dxa"/>
          </w:tcPr>
          <w:p w14:paraId="6DFBD2E7" w14:textId="77777777" w:rsidR="00656C71" w:rsidRDefault="00773C05">
            <w:pPr>
              <w:spacing w:after="0"/>
            </w:pPr>
            <w:r>
              <w:t>Pre</w:t>
            </w:r>
            <w:r>
              <w:noBreakHyphen/>
              <w:t>primary and primary education</w:t>
            </w:r>
          </w:p>
        </w:tc>
        <w:tc>
          <w:tcPr>
            <w:tcW w:w="907" w:type="dxa"/>
          </w:tcPr>
          <w:p w14:paraId="70D6D68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10 923</w:t>
            </w:r>
          </w:p>
        </w:tc>
        <w:tc>
          <w:tcPr>
            <w:tcW w:w="907" w:type="dxa"/>
          </w:tcPr>
          <w:p w14:paraId="7CF03D5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10 408</w:t>
            </w:r>
          </w:p>
        </w:tc>
      </w:tr>
      <w:tr w:rsidR="00656C71" w14:paraId="2764A68D" w14:textId="77777777">
        <w:tc>
          <w:tcPr>
            <w:cnfStyle w:val="001000000000" w:firstRow="0" w:lastRow="0" w:firstColumn="1" w:lastColumn="0" w:oddVBand="0" w:evenVBand="0" w:oddHBand="0" w:evenHBand="0" w:firstRowFirstColumn="0" w:firstRowLastColumn="0" w:lastRowFirstColumn="0" w:lastRowLastColumn="0"/>
            <w:tcW w:w="7824" w:type="dxa"/>
          </w:tcPr>
          <w:p w14:paraId="2E3A3C81" w14:textId="77777777" w:rsidR="00656C71" w:rsidRDefault="00773C05">
            <w:pPr>
              <w:spacing w:after="0"/>
            </w:pPr>
            <w:r>
              <w:t>Secondary education</w:t>
            </w:r>
          </w:p>
        </w:tc>
        <w:tc>
          <w:tcPr>
            <w:tcW w:w="907" w:type="dxa"/>
          </w:tcPr>
          <w:p w14:paraId="0B2FDF0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8 948</w:t>
            </w:r>
          </w:p>
        </w:tc>
        <w:tc>
          <w:tcPr>
            <w:tcW w:w="907" w:type="dxa"/>
          </w:tcPr>
          <w:p w14:paraId="468CECC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8 493</w:t>
            </w:r>
          </w:p>
        </w:tc>
      </w:tr>
      <w:tr w:rsidR="00656C71" w14:paraId="05CFCAD5" w14:textId="77777777">
        <w:tc>
          <w:tcPr>
            <w:cnfStyle w:val="001000000000" w:firstRow="0" w:lastRow="0" w:firstColumn="1" w:lastColumn="0" w:oddVBand="0" w:evenVBand="0" w:oddHBand="0" w:evenHBand="0" w:firstRowFirstColumn="0" w:firstRowLastColumn="0" w:lastRowFirstColumn="0" w:lastRowLastColumn="0"/>
            <w:tcW w:w="7824" w:type="dxa"/>
          </w:tcPr>
          <w:p w14:paraId="5B56264B" w14:textId="77777777" w:rsidR="00656C71" w:rsidRDefault="00773C05">
            <w:pPr>
              <w:spacing w:after="0"/>
            </w:pPr>
            <w:r>
              <w:t>Tertiary education</w:t>
            </w:r>
          </w:p>
        </w:tc>
        <w:tc>
          <w:tcPr>
            <w:tcW w:w="907" w:type="dxa"/>
          </w:tcPr>
          <w:p w14:paraId="1307F87F"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2 054</w:t>
            </w:r>
          </w:p>
        </w:tc>
        <w:tc>
          <w:tcPr>
            <w:tcW w:w="907" w:type="dxa"/>
          </w:tcPr>
          <w:p w14:paraId="33D4CD2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1 894</w:t>
            </w:r>
          </w:p>
        </w:tc>
      </w:tr>
      <w:tr w:rsidR="00656C71" w14:paraId="0426AF67" w14:textId="77777777">
        <w:tc>
          <w:tcPr>
            <w:cnfStyle w:val="001000000000" w:firstRow="0" w:lastRow="0" w:firstColumn="1" w:lastColumn="0" w:oddVBand="0" w:evenVBand="0" w:oddHBand="0" w:evenHBand="0" w:firstRowFirstColumn="0" w:firstRowLastColumn="0" w:lastRowFirstColumn="0" w:lastRowLastColumn="0"/>
            <w:tcW w:w="7824" w:type="dxa"/>
          </w:tcPr>
          <w:p w14:paraId="0FA5098D" w14:textId="77777777" w:rsidR="00656C71" w:rsidRDefault="00773C05">
            <w:pPr>
              <w:spacing w:after="0"/>
            </w:pPr>
            <w:r>
              <w:t>Education not definable by level</w:t>
            </w:r>
          </w:p>
        </w:tc>
        <w:tc>
          <w:tcPr>
            <w:tcW w:w="907" w:type="dxa"/>
          </w:tcPr>
          <w:p w14:paraId="496C143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129</w:t>
            </w:r>
          </w:p>
        </w:tc>
        <w:tc>
          <w:tcPr>
            <w:tcW w:w="907" w:type="dxa"/>
          </w:tcPr>
          <w:p w14:paraId="5250E324"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113</w:t>
            </w:r>
          </w:p>
        </w:tc>
      </w:tr>
      <w:tr w:rsidR="00656C71" w14:paraId="11572F74" w14:textId="77777777">
        <w:tc>
          <w:tcPr>
            <w:cnfStyle w:val="001000000000" w:firstRow="0" w:lastRow="0" w:firstColumn="1" w:lastColumn="0" w:oddVBand="0" w:evenVBand="0" w:oddHBand="0" w:evenHBand="0" w:firstRowFirstColumn="0" w:firstRowLastColumn="0" w:lastRowFirstColumn="0" w:lastRowLastColumn="0"/>
            <w:tcW w:w="7824" w:type="dxa"/>
          </w:tcPr>
          <w:p w14:paraId="5B23B54B" w14:textId="77777777" w:rsidR="00656C71" w:rsidRDefault="00773C05">
            <w:pPr>
              <w:spacing w:after="0"/>
            </w:pPr>
            <w:r>
              <w:t>Subsidiary services to education</w:t>
            </w:r>
          </w:p>
        </w:tc>
        <w:tc>
          <w:tcPr>
            <w:tcW w:w="907" w:type="dxa"/>
          </w:tcPr>
          <w:p w14:paraId="03EEE4E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7ED01F8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121</w:t>
            </w:r>
          </w:p>
        </w:tc>
      </w:tr>
      <w:tr w:rsidR="00656C71" w14:paraId="20025CE2" w14:textId="77777777">
        <w:tc>
          <w:tcPr>
            <w:cnfStyle w:val="001000000000" w:firstRow="0" w:lastRow="0" w:firstColumn="1" w:lastColumn="0" w:oddVBand="0" w:evenVBand="0" w:oddHBand="0" w:evenHBand="0" w:firstRowFirstColumn="0" w:firstRowLastColumn="0" w:lastRowFirstColumn="0" w:lastRowLastColumn="0"/>
            <w:tcW w:w="7824" w:type="dxa"/>
          </w:tcPr>
          <w:p w14:paraId="58C436B4" w14:textId="77777777" w:rsidR="00656C71" w:rsidRDefault="00773C05">
            <w:pPr>
              <w:spacing w:after="0"/>
            </w:pPr>
            <w:r>
              <w:t>Education NEC</w:t>
            </w:r>
            <w:r>
              <w:rPr>
                <w:vertAlign w:val="superscript"/>
              </w:rPr>
              <w:t xml:space="preserve"> (b)</w:t>
            </w:r>
          </w:p>
        </w:tc>
        <w:tc>
          <w:tcPr>
            <w:tcW w:w="907" w:type="dxa"/>
          </w:tcPr>
          <w:p w14:paraId="7A736EC1"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1 951</w:t>
            </w:r>
          </w:p>
        </w:tc>
        <w:tc>
          <w:tcPr>
            <w:tcW w:w="907" w:type="dxa"/>
          </w:tcPr>
          <w:p w14:paraId="396CDA6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1 550</w:t>
            </w:r>
          </w:p>
        </w:tc>
      </w:tr>
      <w:tr w:rsidR="00656C71" w14:paraId="6DB4196D" w14:textId="77777777">
        <w:tc>
          <w:tcPr>
            <w:cnfStyle w:val="001000000000" w:firstRow="0" w:lastRow="0" w:firstColumn="1" w:lastColumn="0" w:oddVBand="0" w:evenVBand="0" w:oddHBand="0" w:evenHBand="0" w:firstRowFirstColumn="0" w:firstRowLastColumn="0" w:lastRowFirstColumn="0" w:lastRowLastColumn="0"/>
            <w:tcW w:w="7824" w:type="dxa"/>
          </w:tcPr>
          <w:p w14:paraId="15B212EF" w14:textId="77777777" w:rsidR="00656C71" w:rsidRDefault="00773C05">
            <w:pPr>
              <w:spacing w:after="0"/>
            </w:pPr>
            <w:r>
              <w:rPr>
                <w:b/>
              </w:rPr>
              <w:t>Social protection</w:t>
            </w:r>
          </w:p>
        </w:tc>
        <w:tc>
          <w:tcPr>
            <w:tcW w:w="907" w:type="dxa"/>
          </w:tcPr>
          <w:p w14:paraId="6B8D2394"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9 617</w:t>
            </w:r>
          </w:p>
        </w:tc>
        <w:tc>
          <w:tcPr>
            <w:tcW w:w="907" w:type="dxa"/>
          </w:tcPr>
          <w:p w14:paraId="209ACCE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8 549</w:t>
            </w:r>
          </w:p>
        </w:tc>
      </w:tr>
      <w:tr w:rsidR="00656C71" w14:paraId="070CAC27" w14:textId="77777777">
        <w:tc>
          <w:tcPr>
            <w:cnfStyle w:val="001000000000" w:firstRow="0" w:lastRow="0" w:firstColumn="1" w:lastColumn="0" w:oddVBand="0" w:evenVBand="0" w:oddHBand="0" w:evenHBand="0" w:firstRowFirstColumn="0" w:firstRowLastColumn="0" w:lastRowFirstColumn="0" w:lastRowLastColumn="0"/>
            <w:tcW w:w="7824" w:type="dxa"/>
          </w:tcPr>
          <w:p w14:paraId="3140646F" w14:textId="77777777" w:rsidR="00656C71" w:rsidRDefault="00773C05">
            <w:pPr>
              <w:spacing w:after="0"/>
            </w:pPr>
            <w:r>
              <w:t>Sickness and disability</w:t>
            </w:r>
          </w:p>
        </w:tc>
        <w:tc>
          <w:tcPr>
            <w:tcW w:w="907" w:type="dxa"/>
          </w:tcPr>
          <w:p w14:paraId="0E59B74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3 389</w:t>
            </w:r>
          </w:p>
        </w:tc>
        <w:tc>
          <w:tcPr>
            <w:tcW w:w="907" w:type="dxa"/>
          </w:tcPr>
          <w:p w14:paraId="22D957D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3 271</w:t>
            </w:r>
          </w:p>
        </w:tc>
      </w:tr>
      <w:tr w:rsidR="00656C71" w14:paraId="0AA34939" w14:textId="77777777">
        <w:tc>
          <w:tcPr>
            <w:cnfStyle w:val="001000000000" w:firstRow="0" w:lastRow="0" w:firstColumn="1" w:lastColumn="0" w:oddVBand="0" w:evenVBand="0" w:oddHBand="0" w:evenHBand="0" w:firstRowFirstColumn="0" w:firstRowLastColumn="0" w:lastRowFirstColumn="0" w:lastRowLastColumn="0"/>
            <w:tcW w:w="7824" w:type="dxa"/>
          </w:tcPr>
          <w:p w14:paraId="0C35191B" w14:textId="77777777" w:rsidR="00656C71" w:rsidRDefault="00773C05">
            <w:pPr>
              <w:spacing w:after="0"/>
            </w:pPr>
            <w:r>
              <w:t>Old age</w:t>
            </w:r>
          </w:p>
        </w:tc>
        <w:tc>
          <w:tcPr>
            <w:tcW w:w="907" w:type="dxa"/>
          </w:tcPr>
          <w:p w14:paraId="6C10D87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537</w:t>
            </w:r>
          </w:p>
        </w:tc>
        <w:tc>
          <w:tcPr>
            <w:tcW w:w="907" w:type="dxa"/>
          </w:tcPr>
          <w:p w14:paraId="5D4DBEF3"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527</w:t>
            </w:r>
          </w:p>
        </w:tc>
      </w:tr>
      <w:tr w:rsidR="00656C71" w14:paraId="55ABCAC3" w14:textId="77777777">
        <w:tc>
          <w:tcPr>
            <w:cnfStyle w:val="001000000000" w:firstRow="0" w:lastRow="0" w:firstColumn="1" w:lastColumn="0" w:oddVBand="0" w:evenVBand="0" w:oddHBand="0" w:evenHBand="0" w:firstRowFirstColumn="0" w:firstRowLastColumn="0" w:lastRowFirstColumn="0" w:lastRowLastColumn="0"/>
            <w:tcW w:w="7824" w:type="dxa"/>
          </w:tcPr>
          <w:p w14:paraId="353CB420" w14:textId="77777777" w:rsidR="00656C71" w:rsidRDefault="00773C05">
            <w:pPr>
              <w:spacing w:after="0"/>
            </w:pPr>
            <w:r>
              <w:t>Family and children</w:t>
            </w:r>
          </w:p>
        </w:tc>
        <w:tc>
          <w:tcPr>
            <w:tcW w:w="907" w:type="dxa"/>
          </w:tcPr>
          <w:p w14:paraId="74D6EDBD"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3 304</w:t>
            </w:r>
          </w:p>
        </w:tc>
        <w:tc>
          <w:tcPr>
            <w:tcW w:w="907" w:type="dxa"/>
          </w:tcPr>
          <w:p w14:paraId="746B5BC0"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3 211</w:t>
            </w:r>
          </w:p>
        </w:tc>
      </w:tr>
      <w:tr w:rsidR="00656C71" w14:paraId="2AA53BEC" w14:textId="77777777">
        <w:tc>
          <w:tcPr>
            <w:cnfStyle w:val="001000000000" w:firstRow="0" w:lastRow="0" w:firstColumn="1" w:lastColumn="0" w:oddVBand="0" w:evenVBand="0" w:oddHBand="0" w:evenHBand="0" w:firstRowFirstColumn="0" w:firstRowLastColumn="0" w:lastRowFirstColumn="0" w:lastRowLastColumn="0"/>
            <w:tcW w:w="7824" w:type="dxa"/>
          </w:tcPr>
          <w:p w14:paraId="3A8E77FA" w14:textId="77777777" w:rsidR="00656C71" w:rsidRDefault="00773C05">
            <w:pPr>
              <w:spacing w:after="0"/>
            </w:pPr>
            <w:r>
              <w:t>Housing</w:t>
            </w:r>
          </w:p>
        </w:tc>
        <w:tc>
          <w:tcPr>
            <w:tcW w:w="907" w:type="dxa"/>
          </w:tcPr>
          <w:p w14:paraId="069D833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792</w:t>
            </w:r>
          </w:p>
        </w:tc>
        <w:tc>
          <w:tcPr>
            <w:tcW w:w="907" w:type="dxa"/>
          </w:tcPr>
          <w:p w14:paraId="63BED2A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594</w:t>
            </w:r>
          </w:p>
        </w:tc>
      </w:tr>
      <w:tr w:rsidR="00656C71" w14:paraId="39532A4C" w14:textId="77777777">
        <w:tc>
          <w:tcPr>
            <w:cnfStyle w:val="001000000000" w:firstRow="0" w:lastRow="0" w:firstColumn="1" w:lastColumn="0" w:oddVBand="0" w:evenVBand="0" w:oddHBand="0" w:evenHBand="0" w:firstRowFirstColumn="0" w:firstRowLastColumn="0" w:lastRowFirstColumn="0" w:lastRowLastColumn="0"/>
            <w:tcW w:w="7824" w:type="dxa"/>
          </w:tcPr>
          <w:p w14:paraId="1FF896FE" w14:textId="77777777" w:rsidR="00656C71" w:rsidRDefault="00773C05">
            <w:pPr>
              <w:spacing w:after="0"/>
            </w:pPr>
            <w:r>
              <w:t>Social protection NEC</w:t>
            </w:r>
            <w:r>
              <w:rPr>
                <w:vertAlign w:val="superscript"/>
              </w:rPr>
              <w:t xml:space="preserve"> (b)</w:t>
            </w:r>
          </w:p>
        </w:tc>
        <w:tc>
          <w:tcPr>
            <w:tcW w:w="907" w:type="dxa"/>
          </w:tcPr>
          <w:p w14:paraId="1EC541F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1080D40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947</w:t>
            </w:r>
          </w:p>
        </w:tc>
      </w:tr>
      <w:tr w:rsidR="00656C71" w14:paraId="0C80B476" w14:textId="77777777">
        <w:tc>
          <w:tcPr>
            <w:cnfStyle w:val="001000000000" w:firstRow="0" w:lastRow="0" w:firstColumn="1" w:lastColumn="0" w:oddVBand="0" w:evenVBand="0" w:oddHBand="0" w:evenHBand="0" w:firstRowFirstColumn="0" w:firstRowLastColumn="0" w:lastRowFirstColumn="0" w:lastRowLastColumn="0"/>
            <w:tcW w:w="7824" w:type="dxa"/>
          </w:tcPr>
          <w:p w14:paraId="468A74F5" w14:textId="77777777" w:rsidR="00656C71" w:rsidRDefault="00773C05">
            <w:pPr>
              <w:spacing w:after="0"/>
            </w:pPr>
            <w:r>
              <w:rPr>
                <w:b/>
              </w:rPr>
              <w:t>Transport</w:t>
            </w:r>
          </w:p>
        </w:tc>
        <w:tc>
          <w:tcPr>
            <w:tcW w:w="907" w:type="dxa"/>
          </w:tcPr>
          <w:p w14:paraId="48B5C28E"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sidRPr="003730CE">
              <w:rPr>
                <w:b/>
              </w:rPr>
              <w:t>8 544</w:t>
            </w:r>
          </w:p>
        </w:tc>
        <w:tc>
          <w:tcPr>
            <w:tcW w:w="907" w:type="dxa"/>
          </w:tcPr>
          <w:p w14:paraId="7FF59C7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sidRPr="003730CE">
              <w:rPr>
                <w:b/>
              </w:rPr>
              <w:t>8 498</w:t>
            </w:r>
          </w:p>
        </w:tc>
      </w:tr>
      <w:tr w:rsidR="00656C71" w14:paraId="788E8D9A" w14:textId="77777777">
        <w:tc>
          <w:tcPr>
            <w:cnfStyle w:val="001000000000" w:firstRow="0" w:lastRow="0" w:firstColumn="1" w:lastColumn="0" w:oddVBand="0" w:evenVBand="0" w:oddHBand="0" w:evenHBand="0" w:firstRowFirstColumn="0" w:firstRowLastColumn="0" w:lastRowFirstColumn="0" w:lastRowLastColumn="0"/>
            <w:tcW w:w="7824" w:type="dxa"/>
          </w:tcPr>
          <w:p w14:paraId="4097D8ED" w14:textId="77777777" w:rsidR="00656C71" w:rsidRDefault="00773C05">
            <w:pPr>
              <w:spacing w:after="0"/>
            </w:pPr>
            <w:r>
              <w:t>Road transport</w:t>
            </w:r>
          </w:p>
        </w:tc>
        <w:tc>
          <w:tcPr>
            <w:tcW w:w="907" w:type="dxa"/>
          </w:tcPr>
          <w:p w14:paraId="1C69CF9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sidRPr="003730CE">
              <w:t>3 129</w:t>
            </w:r>
          </w:p>
        </w:tc>
        <w:tc>
          <w:tcPr>
            <w:tcW w:w="907" w:type="dxa"/>
          </w:tcPr>
          <w:p w14:paraId="224CD4D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sidRPr="003730CE">
              <w:t>3 158</w:t>
            </w:r>
          </w:p>
        </w:tc>
      </w:tr>
      <w:tr w:rsidR="00656C71" w14:paraId="660E8971" w14:textId="77777777">
        <w:tc>
          <w:tcPr>
            <w:cnfStyle w:val="001000000000" w:firstRow="0" w:lastRow="0" w:firstColumn="1" w:lastColumn="0" w:oddVBand="0" w:evenVBand="0" w:oddHBand="0" w:evenHBand="0" w:firstRowFirstColumn="0" w:firstRowLastColumn="0" w:lastRowFirstColumn="0" w:lastRowLastColumn="0"/>
            <w:tcW w:w="7824" w:type="dxa"/>
          </w:tcPr>
          <w:p w14:paraId="0FDB480E" w14:textId="77777777" w:rsidR="00656C71" w:rsidRDefault="00773C05">
            <w:pPr>
              <w:spacing w:after="0"/>
            </w:pPr>
            <w:r>
              <w:t>Bus transport</w:t>
            </w:r>
          </w:p>
        </w:tc>
        <w:tc>
          <w:tcPr>
            <w:tcW w:w="907" w:type="dxa"/>
          </w:tcPr>
          <w:p w14:paraId="6A680558"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1 500</w:t>
            </w:r>
          </w:p>
        </w:tc>
        <w:tc>
          <w:tcPr>
            <w:tcW w:w="907" w:type="dxa"/>
          </w:tcPr>
          <w:p w14:paraId="33A1ED04"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1 425</w:t>
            </w:r>
          </w:p>
        </w:tc>
      </w:tr>
      <w:tr w:rsidR="00656C71" w14:paraId="07A70D0F" w14:textId="77777777">
        <w:tc>
          <w:tcPr>
            <w:cnfStyle w:val="001000000000" w:firstRow="0" w:lastRow="0" w:firstColumn="1" w:lastColumn="0" w:oddVBand="0" w:evenVBand="0" w:oddHBand="0" w:evenHBand="0" w:firstRowFirstColumn="0" w:firstRowLastColumn="0" w:lastRowFirstColumn="0" w:lastRowLastColumn="0"/>
            <w:tcW w:w="7824" w:type="dxa"/>
          </w:tcPr>
          <w:p w14:paraId="56BBAFD5" w14:textId="77777777" w:rsidR="00656C71" w:rsidRDefault="00773C05">
            <w:pPr>
              <w:spacing w:after="0"/>
            </w:pPr>
            <w:r>
              <w:t>Water transport</w:t>
            </w:r>
          </w:p>
        </w:tc>
        <w:tc>
          <w:tcPr>
            <w:tcW w:w="907" w:type="dxa"/>
          </w:tcPr>
          <w:p w14:paraId="79555AEA"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64</w:t>
            </w:r>
          </w:p>
        </w:tc>
        <w:tc>
          <w:tcPr>
            <w:tcW w:w="907" w:type="dxa"/>
          </w:tcPr>
          <w:p w14:paraId="5A8DA95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50</w:t>
            </w:r>
          </w:p>
        </w:tc>
      </w:tr>
      <w:tr w:rsidR="00656C71" w14:paraId="2E1ADA04" w14:textId="77777777">
        <w:tc>
          <w:tcPr>
            <w:cnfStyle w:val="001000000000" w:firstRow="0" w:lastRow="0" w:firstColumn="1" w:lastColumn="0" w:oddVBand="0" w:evenVBand="0" w:oddHBand="0" w:evenHBand="0" w:firstRowFirstColumn="0" w:firstRowLastColumn="0" w:lastRowFirstColumn="0" w:lastRowLastColumn="0"/>
            <w:tcW w:w="7824" w:type="dxa"/>
          </w:tcPr>
          <w:p w14:paraId="2EACBBBC" w14:textId="77777777" w:rsidR="00656C71" w:rsidRDefault="00773C05">
            <w:pPr>
              <w:spacing w:after="0"/>
            </w:pPr>
            <w:r>
              <w:t>Railway transport</w:t>
            </w:r>
          </w:p>
        </w:tc>
        <w:tc>
          <w:tcPr>
            <w:tcW w:w="907" w:type="dxa"/>
          </w:tcPr>
          <w:p w14:paraId="33AAF97C"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3 276</w:t>
            </w:r>
          </w:p>
        </w:tc>
        <w:tc>
          <w:tcPr>
            <w:tcW w:w="907" w:type="dxa"/>
          </w:tcPr>
          <w:p w14:paraId="4131C9E3"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3 279</w:t>
            </w:r>
          </w:p>
        </w:tc>
      </w:tr>
      <w:tr w:rsidR="00656C71" w14:paraId="4093F19F" w14:textId="77777777">
        <w:tc>
          <w:tcPr>
            <w:cnfStyle w:val="001000000000" w:firstRow="0" w:lastRow="0" w:firstColumn="1" w:lastColumn="0" w:oddVBand="0" w:evenVBand="0" w:oddHBand="0" w:evenHBand="0" w:firstRowFirstColumn="0" w:firstRowLastColumn="0" w:lastRowFirstColumn="0" w:lastRowLastColumn="0"/>
            <w:tcW w:w="7824" w:type="dxa"/>
          </w:tcPr>
          <w:p w14:paraId="572A890B" w14:textId="77777777" w:rsidR="00656C71" w:rsidRDefault="00773C05">
            <w:pPr>
              <w:spacing w:after="0"/>
            </w:pPr>
            <w:r>
              <w:t>Multi</w:t>
            </w:r>
            <w:r>
              <w:noBreakHyphen/>
              <w:t>mode urban transport</w:t>
            </w:r>
          </w:p>
        </w:tc>
        <w:tc>
          <w:tcPr>
            <w:tcW w:w="907" w:type="dxa"/>
          </w:tcPr>
          <w:p w14:paraId="15D850AD"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575</w:t>
            </w:r>
          </w:p>
        </w:tc>
        <w:tc>
          <w:tcPr>
            <w:tcW w:w="907" w:type="dxa"/>
          </w:tcPr>
          <w:p w14:paraId="269BC2FB"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t>586</w:t>
            </w:r>
          </w:p>
        </w:tc>
      </w:tr>
      <w:tr w:rsidR="00656C71" w14:paraId="47DC398C" w14:textId="77777777" w:rsidTr="00656C71">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6A943D2" w14:textId="77777777" w:rsidR="00656C71" w:rsidRDefault="00773C05">
            <w:pPr>
              <w:spacing w:after="0"/>
            </w:pPr>
            <w:r>
              <w:rPr>
                <w:b/>
              </w:rPr>
              <w:t>Not allocated by purpose</w:t>
            </w:r>
            <w:r>
              <w:rPr>
                <w:b/>
                <w:vertAlign w:val="superscript"/>
              </w:rPr>
              <w:t xml:space="preserve"> (c)</w:t>
            </w:r>
          </w:p>
        </w:tc>
        <w:tc>
          <w:tcPr>
            <w:tcW w:w="907" w:type="dxa"/>
            <w:tcBorders>
              <w:bottom w:val="single" w:sz="6" w:space="0" w:color="auto"/>
            </w:tcBorders>
          </w:tcPr>
          <w:p w14:paraId="269B87B6"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(529)</w:t>
            </w:r>
          </w:p>
        </w:tc>
        <w:tc>
          <w:tcPr>
            <w:tcW w:w="907" w:type="dxa"/>
            <w:tcBorders>
              <w:bottom w:val="single" w:sz="6" w:space="0" w:color="auto"/>
            </w:tcBorders>
          </w:tcPr>
          <w:p w14:paraId="37B22257"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(558)</w:t>
            </w:r>
          </w:p>
        </w:tc>
      </w:tr>
      <w:tr w:rsidR="00656C71" w14:paraId="266F9795" w14:textId="77777777" w:rsidTr="00656C71">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669896CF" w14:textId="77777777" w:rsidR="00656C71" w:rsidRDefault="00773C05">
            <w:pPr>
              <w:spacing w:after="0"/>
            </w:pPr>
            <w:r>
              <w:rPr>
                <w:b/>
              </w:rPr>
              <w:t>Total expenses from transactions</w:t>
            </w:r>
          </w:p>
        </w:tc>
        <w:tc>
          <w:tcPr>
            <w:tcW w:w="907" w:type="dxa"/>
            <w:tcBorders>
              <w:top w:val="single" w:sz="6" w:space="0" w:color="auto"/>
              <w:bottom w:val="single" w:sz="12" w:space="0" w:color="auto"/>
            </w:tcBorders>
          </w:tcPr>
          <w:p w14:paraId="06DE7312"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104 006</w:t>
            </w:r>
          </w:p>
        </w:tc>
        <w:tc>
          <w:tcPr>
            <w:tcW w:w="907" w:type="dxa"/>
            <w:tcBorders>
              <w:top w:val="single" w:sz="6" w:space="0" w:color="auto"/>
              <w:bottom w:val="single" w:sz="12" w:space="0" w:color="auto"/>
            </w:tcBorders>
          </w:tcPr>
          <w:p w14:paraId="1EF13449" w14:textId="77777777" w:rsidR="00656C71" w:rsidRDefault="00773C05">
            <w:pPr>
              <w:spacing w:after="0"/>
              <w:cnfStyle w:val="000000000000" w:firstRow="0" w:lastRow="0" w:firstColumn="0" w:lastColumn="0" w:oddVBand="0" w:evenVBand="0" w:oddHBand="0" w:evenHBand="0" w:firstRowFirstColumn="0" w:firstRowLastColumn="0" w:lastRowFirstColumn="0" w:lastRowLastColumn="0"/>
            </w:pPr>
            <w:r>
              <w:rPr>
                <w:b/>
              </w:rPr>
              <w:t>97 279</w:t>
            </w:r>
          </w:p>
        </w:tc>
      </w:tr>
    </w:tbl>
    <w:p w14:paraId="39D6E8A0" w14:textId="77777777" w:rsidR="0003388E" w:rsidRDefault="0003388E" w:rsidP="0003388E">
      <w:pPr>
        <w:pStyle w:val="Note"/>
      </w:pPr>
      <w:r>
        <w:t>Notes:</w:t>
      </w:r>
    </w:p>
    <w:p w14:paraId="04A71261" w14:textId="4994ED91" w:rsidR="0003388E" w:rsidRDefault="0003388E" w:rsidP="0003388E">
      <w:pPr>
        <w:pStyle w:val="Note"/>
      </w:pPr>
      <w:r>
        <w:t>(a)</w:t>
      </w:r>
      <w:r>
        <w:tab/>
        <w:t>Chapter 4, Note 3.</w:t>
      </w:r>
      <w:r w:rsidR="00873ADB">
        <w:t>9</w:t>
      </w:r>
      <w:r>
        <w:t xml:space="preserve"> provides definitions and descriptions of the classification of the functions of government.</w:t>
      </w:r>
    </w:p>
    <w:p w14:paraId="1878B4F5" w14:textId="77777777" w:rsidR="0003388E" w:rsidRDefault="0003388E" w:rsidP="0003388E">
      <w:pPr>
        <w:pStyle w:val="Note"/>
        <w:ind w:left="0" w:firstLine="0"/>
      </w:pPr>
      <w:r>
        <w:t>(b)</w:t>
      </w:r>
      <w:r>
        <w:tab/>
        <w:t>NEC: Not elsewhere classified.</w:t>
      </w:r>
    </w:p>
    <w:p w14:paraId="37A06383" w14:textId="5E0801AF" w:rsidR="00CF565F" w:rsidRDefault="0003388E" w:rsidP="0003388E">
      <w:pPr>
        <w:pStyle w:val="Note"/>
      </w:pPr>
      <w:r>
        <w:t>(</w:t>
      </w:r>
      <w:r w:rsidR="008418A1">
        <w:t>c</w:t>
      </w:r>
      <w:r>
        <w:t>)</w:t>
      </w:r>
      <w:r>
        <w:tab/>
        <w:t>Not allocated by purpose represents eliminations and adjustments.</w:t>
      </w:r>
    </w:p>
    <w:p w14:paraId="445A5A42" w14:textId="58389296" w:rsidR="00B63941" w:rsidRDefault="00B63941" w:rsidP="00B63941"/>
    <w:p w14:paraId="3B649F92" w14:textId="3E940DD4" w:rsidR="00CF565F" w:rsidRDefault="00CF565F" w:rsidP="00A20CD2">
      <w:pPr>
        <w:rPr>
          <w:rFonts w:asciiTheme="majorHAnsi" w:hAnsiTheme="majorHAnsi" w:cstheme="majorHAnsi"/>
          <w:sz w:val="24"/>
          <w:szCs w:val="24"/>
        </w:rPr>
        <w:sectPr w:rsidR="00CF565F" w:rsidSect="009460C6">
          <w:type w:val="continuous"/>
          <w:pgSz w:w="11906" w:h="16838" w:code="9"/>
          <w:pgMar w:top="1134" w:right="1134" w:bottom="1134" w:left="1134" w:header="624" w:footer="567" w:gutter="0"/>
          <w:cols w:space="708"/>
          <w:docGrid w:linePitch="360"/>
        </w:sectPr>
      </w:pPr>
    </w:p>
    <w:p w14:paraId="1E2AEEFC" w14:textId="77777777" w:rsidR="00A20CD2" w:rsidRDefault="00A20CD2" w:rsidP="00097095">
      <w:pPr>
        <w:pStyle w:val="ChapterHeading"/>
      </w:pPr>
      <w:bookmarkStart w:id="195" w:name="_Toc209474769"/>
      <w:bookmarkStart w:id="196" w:name="_Toc209474802"/>
      <w:r>
        <w:lastRenderedPageBreak/>
        <w:t>Appendix A – General government sector quarterly financial report</w:t>
      </w:r>
      <w:bookmarkEnd w:id="195"/>
      <w:bookmarkEnd w:id="196"/>
    </w:p>
    <w:p w14:paraId="677E6C10" w14:textId="77777777" w:rsidR="00102770" w:rsidRDefault="00102770" w:rsidP="00102770">
      <w:pPr>
        <w:pStyle w:val="TableHeading"/>
      </w:pPr>
      <w:r>
        <w:t>Table A.1:</w:t>
      </w:r>
      <w:r>
        <w:tab/>
        <w:t>Operating statement for the past five quarters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Quarter_by_Quarter.xlsx|Table:OS_quarter_by_quarter|TableGroup:Investment in other sectors"/>
      </w:tblPr>
      <w:tblGrid>
        <w:gridCol w:w="5103"/>
        <w:gridCol w:w="907"/>
        <w:gridCol w:w="907"/>
        <w:gridCol w:w="907"/>
        <w:gridCol w:w="907"/>
        <w:gridCol w:w="907"/>
      </w:tblGrid>
      <w:tr w:rsidR="005E614D" w14:paraId="02AEC0F6"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D6639E0" w14:textId="77777777" w:rsidR="005E614D" w:rsidRDefault="005E614D">
            <w:pPr>
              <w:keepNext/>
            </w:pPr>
          </w:p>
        </w:tc>
        <w:tc>
          <w:tcPr>
            <w:tcW w:w="907" w:type="dxa"/>
          </w:tcPr>
          <w:p w14:paraId="55C73378"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2023</w:t>
            </w:r>
            <w:r>
              <w:noBreakHyphen/>
              <w:t>24</w:t>
            </w:r>
          </w:p>
        </w:tc>
        <w:tc>
          <w:tcPr>
            <w:tcW w:w="3628" w:type="dxa"/>
            <w:gridSpan w:val="4"/>
          </w:tcPr>
          <w:p w14:paraId="560E6E6A"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2024</w:t>
            </w:r>
            <w:r>
              <w:noBreakHyphen/>
              <w:t>25</w:t>
            </w:r>
          </w:p>
        </w:tc>
      </w:tr>
      <w:tr w:rsidR="005E614D" w14:paraId="36908AFF"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052D58CA" w14:textId="77777777" w:rsidR="005E614D" w:rsidRDefault="005E614D">
            <w:pPr>
              <w:keepNext/>
            </w:pPr>
          </w:p>
        </w:tc>
        <w:tc>
          <w:tcPr>
            <w:tcW w:w="907" w:type="dxa"/>
          </w:tcPr>
          <w:p w14:paraId="37B3F26F"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0D686DE0"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A4BE198"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4C1A7F67"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2F965D93"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Jun</w:t>
            </w:r>
          </w:p>
        </w:tc>
      </w:tr>
      <w:tr w:rsidR="005E614D" w14:paraId="40CE998F" w14:textId="77777777">
        <w:tc>
          <w:tcPr>
            <w:cnfStyle w:val="001000000000" w:firstRow="0" w:lastRow="0" w:firstColumn="1" w:lastColumn="0" w:oddVBand="0" w:evenVBand="0" w:oddHBand="0" w:evenHBand="0" w:firstRowFirstColumn="0" w:firstRowLastColumn="0" w:lastRowFirstColumn="0" w:lastRowLastColumn="0"/>
            <w:tcW w:w="5103" w:type="dxa"/>
          </w:tcPr>
          <w:p w14:paraId="6231341F" w14:textId="77777777" w:rsidR="005E614D" w:rsidRDefault="000C3A94">
            <w:r>
              <w:rPr>
                <w:b/>
              </w:rPr>
              <w:t>Revenue and income from transactions</w:t>
            </w:r>
          </w:p>
        </w:tc>
        <w:tc>
          <w:tcPr>
            <w:tcW w:w="907" w:type="dxa"/>
          </w:tcPr>
          <w:p w14:paraId="14A9812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5CC5A4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BAF6C7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23E01C6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7AF07E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55CCE55B" w14:textId="77777777">
        <w:tc>
          <w:tcPr>
            <w:cnfStyle w:val="001000000000" w:firstRow="0" w:lastRow="0" w:firstColumn="1" w:lastColumn="0" w:oddVBand="0" w:evenVBand="0" w:oddHBand="0" w:evenHBand="0" w:firstRowFirstColumn="0" w:firstRowLastColumn="0" w:lastRowFirstColumn="0" w:lastRowLastColumn="0"/>
            <w:tcW w:w="5103" w:type="dxa"/>
          </w:tcPr>
          <w:p w14:paraId="50E5D3B9" w14:textId="77777777" w:rsidR="005E614D" w:rsidRDefault="000C3A94">
            <w:r>
              <w:t>Taxation</w:t>
            </w:r>
          </w:p>
        </w:tc>
        <w:tc>
          <w:tcPr>
            <w:tcW w:w="907" w:type="dxa"/>
          </w:tcPr>
          <w:p w14:paraId="1BF832B5" w14:textId="77777777" w:rsidR="005E614D" w:rsidRDefault="000C3A94">
            <w:pPr>
              <w:cnfStyle w:val="000000000000" w:firstRow="0" w:lastRow="0" w:firstColumn="0" w:lastColumn="0" w:oddVBand="0" w:evenVBand="0" w:oddHBand="0" w:evenHBand="0" w:firstRowFirstColumn="0" w:firstRowLastColumn="0" w:lastRowFirstColumn="0" w:lastRowLastColumn="0"/>
            </w:pPr>
            <w:r>
              <w:t>8 307</w:t>
            </w:r>
          </w:p>
        </w:tc>
        <w:tc>
          <w:tcPr>
            <w:tcW w:w="907" w:type="dxa"/>
          </w:tcPr>
          <w:p w14:paraId="1BBDFCB5" w14:textId="77777777" w:rsidR="005E614D" w:rsidRDefault="000C3A94">
            <w:pPr>
              <w:cnfStyle w:val="000000000000" w:firstRow="0" w:lastRow="0" w:firstColumn="0" w:lastColumn="0" w:oddVBand="0" w:evenVBand="0" w:oddHBand="0" w:evenHBand="0" w:firstRowFirstColumn="0" w:firstRowLastColumn="0" w:lastRowFirstColumn="0" w:lastRowLastColumn="0"/>
            </w:pPr>
            <w:r>
              <w:t>8 923</w:t>
            </w:r>
          </w:p>
        </w:tc>
        <w:tc>
          <w:tcPr>
            <w:tcW w:w="907" w:type="dxa"/>
          </w:tcPr>
          <w:p w14:paraId="62947302" w14:textId="77777777" w:rsidR="005E614D" w:rsidRDefault="000C3A94">
            <w:pPr>
              <w:cnfStyle w:val="000000000000" w:firstRow="0" w:lastRow="0" w:firstColumn="0" w:lastColumn="0" w:oddVBand="0" w:evenVBand="0" w:oddHBand="0" w:evenHBand="0" w:firstRowFirstColumn="0" w:firstRowLastColumn="0" w:lastRowFirstColumn="0" w:lastRowLastColumn="0"/>
            </w:pPr>
            <w:r>
              <w:t>7 956</w:t>
            </w:r>
          </w:p>
        </w:tc>
        <w:tc>
          <w:tcPr>
            <w:tcW w:w="907" w:type="dxa"/>
          </w:tcPr>
          <w:p w14:paraId="740D09F6" w14:textId="77777777" w:rsidR="005E614D" w:rsidRDefault="000C3A94">
            <w:pPr>
              <w:cnfStyle w:val="000000000000" w:firstRow="0" w:lastRow="0" w:firstColumn="0" w:lastColumn="0" w:oddVBand="0" w:evenVBand="0" w:oddHBand="0" w:evenHBand="0" w:firstRowFirstColumn="0" w:firstRowLastColumn="0" w:lastRowFirstColumn="0" w:lastRowLastColumn="0"/>
            </w:pPr>
            <w:r>
              <w:t>13 638</w:t>
            </w:r>
          </w:p>
        </w:tc>
        <w:tc>
          <w:tcPr>
            <w:tcW w:w="907" w:type="dxa"/>
          </w:tcPr>
          <w:p w14:paraId="33441456" w14:textId="77777777" w:rsidR="005E614D" w:rsidRDefault="000C3A94">
            <w:pPr>
              <w:cnfStyle w:val="000000000000" w:firstRow="0" w:lastRow="0" w:firstColumn="0" w:lastColumn="0" w:oddVBand="0" w:evenVBand="0" w:oddHBand="0" w:evenHBand="0" w:firstRowFirstColumn="0" w:firstRowLastColumn="0" w:lastRowFirstColumn="0" w:lastRowLastColumn="0"/>
            </w:pPr>
            <w:r>
              <w:t>8 425</w:t>
            </w:r>
          </w:p>
        </w:tc>
      </w:tr>
      <w:tr w:rsidR="005E614D" w14:paraId="11EED195" w14:textId="77777777">
        <w:tc>
          <w:tcPr>
            <w:cnfStyle w:val="001000000000" w:firstRow="0" w:lastRow="0" w:firstColumn="1" w:lastColumn="0" w:oddVBand="0" w:evenVBand="0" w:oddHBand="0" w:evenHBand="0" w:firstRowFirstColumn="0" w:firstRowLastColumn="0" w:lastRowFirstColumn="0" w:lastRowLastColumn="0"/>
            <w:tcW w:w="5103" w:type="dxa"/>
          </w:tcPr>
          <w:p w14:paraId="3087C427" w14:textId="77777777" w:rsidR="005E614D" w:rsidRDefault="000C3A94">
            <w:r>
              <w:t>Interest income</w:t>
            </w:r>
          </w:p>
        </w:tc>
        <w:tc>
          <w:tcPr>
            <w:tcW w:w="907" w:type="dxa"/>
          </w:tcPr>
          <w:p w14:paraId="637CDBD1" w14:textId="77777777" w:rsidR="005E614D" w:rsidRDefault="000C3A94">
            <w:pPr>
              <w:cnfStyle w:val="000000000000" w:firstRow="0" w:lastRow="0" w:firstColumn="0" w:lastColumn="0" w:oddVBand="0" w:evenVBand="0" w:oddHBand="0" w:evenHBand="0" w:firstRowFirstColumn="0" w:firstRowLastColumn="0" w:lastRowFirstColumn="0" w:lastRowLastColumn="0"/>
            </w:pPr>
            <w:r>
              <w:t>579</w:t>
            </w:r>
          </w:p>
        </w:tc>
        <w:tc>
          <w:tcPr>
            <w:tcW w:w="907" w:type="dxa"/>
          </w:tcPr>
          <w:p w14:paraId="4809BDFD" w14:textId="77777777" w:rsidR="005E614D" w:rsidRDefault="000C3A94">
            <w:pPr>
              <w:cnfStyle w:val="000000000000" w:firstRow="0" w:lastRow="0" w:firstColumn="0" w:lastColumn="0" w:oddVBand="0" w:evenVBand="0" w:oddHBand="0" w:evenHBand="0" w:firstRowFirstColumn="0" w:firstRowLastColumn="0" w:lastRowFirstColumn="0" w:lastRowLastColumn="0"/>
            </w:pPr>
            <w:r>
              <w:t>398</w:t>
            </w:r>
          </w:p>
        </w:tc>
        <w:tc>
          <w:tcPr>
            <w:tcW w:w="907" w:type="dxa"/>
          </w:tcPr>
          <w:p w14:paraId="38CA5D51" w14:textId="77777777" w:rsidR="005E614D" w:rsidRDefault="000C3A94">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466AAE10" w14:textId="77777777" w:rsidR="005E614D" w:rsidRDefault="000C3A94">
            <w:pPr>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05A47A27" w14:textId="77777777" w:rsidR="005E614D" w:rsidRDefault="000C3A94">
            <w:pPr>
              <w:cnfStyle w:val="000000000000" w:firstRow="0" w:lastRow="0" w:firstColumn="0" w:lastColumn="0" w:oddVBand="0" w:evenVBand="0" w:oddHBand="0" w:evenHBand="0" w:firstRowFirstColumn="0" w:firstRowLastColumn="0" w:lastRowFirstColumn="0" w:lastRowLastColumn="0"/>
            </w:pPr>
            <w:r>
              <w:t>365</w:t>
            </w:r>
          </w:p>
        </w:tc>
      </w:tr>
      <w:tr w:rsidR="005E614D" w14:paraId="32CB0480" w14:textId="77777777">
        <w:tc>
          <w:tcPr>
            <w:cnfStyle w:val="001000000000" w:firstRow="0" w:lastRow="0" w:firstColumn="1" w:lastColumn="0" w:oddVBand="0" w:evenVBand="0" w:oddHBand="0" w:evenHBand="0" w:firstRowFirstColumn="0" w:firstRowLastColumn="0" w:lastRowFirstColumn="0" w:lastRowLastColumn="0"/>
            <w:tcW w:w="5103" w:type="dxa"/>
          </w:tcPr>
          <w:p w14:paraId="11EB0970" w14:textId="77777777" w:rsidR="005E614D" w:rsidRDefault="000C3A94">
            <w:r>
              <w:t>Dividends and income tax equivalent income</w:t>
            </w:r>
          </w:p>
        </w:tc>
        <w:tc>
          <w:tcPr>
            <w:tcW w:w="907" w:type="dxa"/>
          </w:tcPr>
          <w:p w14:paraId="00D5CC08" w14:textId="77777777" w:rsidR="005E614D" w:rsidRDefault="000C3A94">
            <w:pPr>
              <w:cnfStyle w:val="000000000000" w:firstRow="0" w:lastRow="0" w:firstColumn="0" w:lastColumn="0" w:oddVBand="0" w:evenVBand="0" w:oddHBand="0" w:evenHBand="0" w:firstRowFirstColumn="0" w:firstRowLastColumn="0" w:lastRowFirstColumn="0" w:lastRowLastColumn="0"/>
            </w:pPr>
            <w:r>
              <w:t>1 738</w:t>
            </w:r>
          </w:p>
        </w:tc>
        <w:tc>
          <w:tcPr>
            <w:tcW w:w="907" w:type="dxa"/>
          </w:tcPr>
          <w:p w14:paraId="2501072E" w14:textId="77777777" w:rsidR="005E614D" w:rsidRDefault="000C3A94">
            <w:pPr>
              <w:cnfStyle w:val="000000000000" w:firstRow="0" w:lastRow="0" w:firstColumn="0" w:lastColumn="0" w:oddVBand="0" w:evenVBand="0" w:oddHBand="0" w:evenHBand="0" w:firstRowFirstColumn="0" w:firstRowLastColumn="0" w:lastRowFirstColumn="0" w:lastRowLastColumn="0"/>
            </w:pPr>
            <w:r>
              <w:t>472</w:t>
            </w:r>
          </w:p>
        </w:tc>
        <w:tc>
          <w:tcPr>
            <w:tcW w:w="907" w:type="dxa"/>
          </w:tcPr>
          <w:p w14:paraId="337D3300" w14:textId="77777777" w:rsidR="005E614D" w:rsidRDefault="000C3A94">
            <w:pPr>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651A4A52" w14:textId="77777777" w:rsidR="005E614D" w:rsidRDefault="000C3A94">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3CA220A4" w14:textId="77777777" w:rsidR="005E614D" w:rsidRDefault="000C3A94">
            <w:pPr>
              <w:cnfStyle w:val="000000000000" w:firstRow="0" w:lastRow="0" w:firstColumn="0" w:lastColumn="0" w:oddVBand="0" w:evenVBand="0" w:oddHBand="0" w:evenHBand="0" w:firstRowFirstColumn="0" w:firstRowLastColumn="0" w:lastRowFirstColumn="0" w:lastRowLastColumn="0"/>
            </w:pPr>
            <w:r>
              <w:t>1 493</w:t>
            </w:r>
          </w:p>
        </w:tc>
      </w:tr>
      <w:tr w:rsidR="005E614D" w14:paraId="26F876B0" w14:textId="77777777">
        <w:tc>
          <w:tcPr>
            <w:cnfStyle w:val="001000000000" w:firstRow="0" w:lastRow="0" w:firstColumn="1" w:lastColumn="0" w:oddVBand="0" w:evenVBand="0" w:oddHBand="0" w:evenHBand="0" w:firstRowFirstColumn="0" w:firstRowLastColumn="0" w:lastRowFirstColumn="0" w:lastRowLastColumn="0"/>
            <w:tcW w:w="5103" w:type="dxa"/>
          </w:tcPr>
          <w:p w14:paraId="317882EF" w14:textId="77777777" w:rsidR="005E614D" w:rsidRDefault="000C3A94">
            <w:r>
              <w:t>Sales of goods and services</w:t>
            </w:r>
          </w:p>
        </w:tc>
        <w:tc>
          <w:tcPr>
            <w:tcW w:w="907" w:type="dxa"/>
          </w:tcPr>
          <w:p w14:paraId="7743DBE5" w14:textId="77777777" w:rsidR="005E614D" w:rsidRDefault="000C3A94">
            <w:pPr>
              <w:cnfStyle w:val="000000000000" w:firstRow="0" w:lastRow="0" w:firstColumn="0" w:lastColumn="0" w:oddVBand="0" w:evenVBand="0" w:oddHBand="0" w:evenHBand="0" w:firstRowFirstColumn="0" w:firstRowLastColumn="0" w:lastRowFirstColumn="0" w:lastRowLastColumn="0"/>
            </w:pPr>
            <w:r>
              <w:t>1 460</w:t>
            </w:r>
          </w:p>
        </w:tc>
        <w:tc>
          <w:tcPr>
            <w:tcW w:w="907" w:type="dxa"/>
          </w:tcPr>
          <w:p w14:paraId="0157CE91" w14:textId="77777777" w:rsidR="005E614D" w:rsidRDefault="000C3A94">
            <w:pPr>
              <w:cnfStyle w:val="000000000000" w:firstRow="0" w:lastRow="0" w:firstColumn="0" w:lastColumn="0" w:oddVBand="0" w:evenVBand="0" w:oddHBand="0" w:evenHBand="0" w:firstRowFirstColumn="0" w:firstRowLastColumn="0" w:lastRowFirstColumn="0" w:lastRowLastColumn="0"/>
            </w:pPr>
            <w:r>
              <w:t>1 615</w:t>
            </w:r>
          </w:p>
        </w:tc>
        <w:tc>
          <w:tcPr>
            <w:tcW w:w="907" w:type="dxa"/>
          </w:tcPr>
          <w:p w14:paraId="209C3338" w14:textId="77777777" w:rsidR="005E614D" w:rsidRDefault="000C3A94">
            <w:pPr>
              <w:cnfStyle w:val="000000000000" w:firstRow="0" w:lastRow="0" w:firstColumn="0" w:lastColumn="0" w:oddVBand="0" w:evenVBand="0" w:oddHBand="0" w:evenHBand="0" w:firstRowFirstColumn="0" w:firstRowLastColumn="0" w:lastRowFirstColumn="0" w:lastRowLastColumn="0"/>
            </w:pPr>
            <w:r>
              <w:t>1 762</w:t>
            </w:r>
          </w:p>
        </w:tc>
        <w:tc>
          <w:tcPr>
            <w:tcW w:w="907" w:type="dxa"/>
          </w:tcPr>
          <w:p w14:paraId="2365BB12" w14:textId="77777777" w:rsidR="005E614D" w:rsidRDefault="000C3A94">
            <w:pPr>
              <w:cnfStyle w:val="000000000000" w:firstRow="0" w:lastRow="0" w:firstColumn="0" w:lastColumn="0" w:oddVBand="0" w:evenVBand="0" w:oddHBand="0" w:evenHBand="0" w:firstRowFirstColumn="0" w:firstRowLastColumn="0" w:lastRowFirstColumn="0" w:lastRowLastColumn="0"/>
            </w:pPr>
            <w:r>
              <w:t>1 723</w:t>
            </w:r>
          </w:p>
        </w:tc>
        <w:tc>
          <w:tcPr>
            <w:tcW w:w="907" w:type="dxa"/>
          </w:tcPr>
          <w:p w14:paraId="10C66AB6" w14:textId="77777777" w:rsidR="005E614D" w:rsidRDefault="000C3A94">
            <w:pPr>
              <w:cnfStyle w:val="000000000000" w:firstRow="0" w:lastRow="0" w:firstColumn="0" w:lastColumn="0" w:oddVBand="0" w:evenVBand="0" w:oddHBand="0" w:evenHBand="0" w:firstRowFirstColumn="0" w:firstRowLastColumn="0" w:lastRowFirstColumn="0" w:lastRowLastColumn="0"/>
            </w:pPr>
            <w:r>
              <w:t>1 794</w:t>
            </w:r>
          </w:p>
        </w:tc>
      </w:tr>
      <w:tr w:rsidR="005E614D" w14:paraId="2B99A284" w14:textId="77777777">
        <w:tc>
          <w:tcPr>
            <w:cnfStyle w:val="001000000000" w:firstRow="0" w:lastRow="0" w:firstColumn="1" w:lastColumn="0" w:oddVBand="0" w:evenVBand="0" w:oddHBand="0" w:evenHBand="0" w:firstRowFirstColumn="0" w:firstRowLastColumn="0" w:lastRowFirstColumn="0" w:lastRowLastColumn="0"/>
            <w:tcW w:w="5103" w:type="dxa"/>
          </w:tcPr>
          <w:p w14:paraId="24EE005D" w14:textId="77777777" w:rsidR="005E614D" w:rsidRDefault="000C3A94">
            <w:r>
              <w:t>Grants</w:t>
            </w:r>
          </w:p>
        </w:tc>
        <w:tc>
          <w:tcPr>
            <w:tcW w:w="907" w:type="dxa"/>
          </w:tcPr>
          <w:p w14:paraId="5990B761" w14:textId="77777777" w:rsidR="005E614D" w:rsidRDefault="000C3A94">
            <w:pPr>
              <w:cnfStyle w:val="000000000000" w:firstRow="0" w:lastRow="0" w:firstColumn="0" w:lastColumn="0" w:oddVBand="0" w:evenVBand="0" w:oddHBand="0" w:evenHBand="0" w:firstRowFirstColumn="0" w:firstRowLastColumn="0" w:lastRowFirstColumn="0" w:lastRowLastColumn="0"/>
            </w:pPr>
            <w:r>
              <w:t>10 533</w:t>
            </w:r>
          </w:p>
        </w:tc>
        <w:tc>
          <w:tcPr>
            <w:tcW w:w="907" w:type="dxa"/>
          </w:tcPr>
          <w:p w14:paraId="1FD7E04A" w14:textId="77777777" w:rsidR="005E614D" w:rsidRDefault="000C3A94">
            <w:pPr>
              <w:cnfStyle w:val="000000000000" w:firstRow="0" w:lastRow="0" w:firstColumn="0" w:lastColumn="0" w:oddVBand="0" w:evenVBand="0" w:oddHBand="0" w:evenHBand="0" w:firstRowFirstColumn="0" w:firstRowLastColumn="0" w:lastRowFirstColumn="0" w:lastRowLastColumn="0"/>
            </w:pPr>
            <w:r>
              <w:t>10 906</w:t>
            </w:r>
          </w:p>
        </w:tc>
        <w:tc>
          <w:tcPr>
            <w:tcW w:w="907" w:type="dxa"/>
          </w:tcPr>
          <w:p w14:paraId="37C44329" w14:textId="77777777" w:rsidR="005E614D" w:rsidRDefault="000C3A94">
            <w:pPr>
              <w:cnfStyle w:val="000000000000" w:firstRow="0" w:lastRow="0" w:firstColumn="0" w:lastColumn="0" w:oddVBand="0" w:evenVBand="0" w:oddHBand="0" w:evenHBand="0" w:firstRowFirstColumn="0" w:firstRowLastColumn="0" w:lastRowFirstColumn="0" w:lastRowLastColumn="0"/>
            </w:pPr>
            <w:r>
              <w:t>12 682</w:t>
            </w:r>
          </w:p>
        </w:tc>
        <w:tc>
          <w:tcPr>
            <w:tcW w:w="907" w:type="dxa"/>
          </w:tcPr>
          <w:p w14:paraId="7F515249" w14:textId="77777777" w:rsidR="005E614D" w:rsidRDefault="000C3A94">
            <w:pPr>
              <w:cnfStyle w:val="000000000000" w:firstRow="0" w:lastRow="0" w:firstColumn="0" w:lastColumn="0" w:oddVBand="0" w:evenVBand="0" w:oddHBand="0" w:evenHBand="0" w:firstRowFirstColumn="0" w:firstRowLastColumn="0" w:lastRowFirstColumn="0" w:lastRowLastColumn="0"/>
            </w:pPr>
            <w:r>
              <w:t>12 349</w:t>
            </w:r>
          </w:p>
        </w:tc>
        <w:tc>
          <w:tcPr>
            <w:tcW w:w="907" w:type="dxa"/>
          </w:tcPr>
          <w:p w14:paraId="6DCEA4EA" w14:textId="77777777" w:rsidR="005E614D" w:rsidRDefault="000C3A94">
            <w:pPr>
              <w:cnfStyle w:val="000000000000" w:firstRow="0" w:lastRow="0" w:firstColumn="0" w:lastColumn="0" w:oddVBand="0" w:evenVBand="0" w:oddHBand="0" w:evenHBand="0" w:firstRowFirstColumn="0" w:firstRowLastColumn="0" w:lastRowFirstColumn="0" w:lastRowLastColumn="0"/>
            </w:pPr>
            <w:r>
              <w:t>11 366</w:t>
            </w:r>
          </w:p>
        </w:tc>
      </w:tr>
      <w:tr w:rsidR="005E614D" w14:paraId="0569B3A2"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FFC5F05" w14:textId="77777777" w:rsidR="005E614D" w:rsidRDefault="000C3A94">
            <w:r>
              <w:t>Other revenue and income</w:t>
            </w:r>
          </w:p>
        </w:tc>
        <w:tc>
          <w:tcPr>
            <w:tcW w:w="907" w:type="dxa"/>
            <w:tcBorders>
              <w:bottom w:val="single" w:sz="6" w:space="0" w:color="auto"/>
            </w:tcBorders>
          </w:tcPr>
          <w:p w14:paraId="4FD61E14" w14:textId="77777777" w:rsidR="005E614D" w:rsidRDefault="000C3A94">
            <w:pPr>
              <w:cnfStyle w:val="000000000000" w:firstRow="0" w:lastRow="0" w:firstColumn="0" w:lastColumn="0" w:oddVBand="0" w:evenVBand="0" w:oddHBand="0" w:evenHBand="0" w:firstRowFirstColumn="0" w:firstRowLastColumn="0" w:lastRowFirstColumn="0" w:lastRowLastColumn="0"/>
            </w:pPr>
            <w:r>
              <w:t>1 547</w:t>
            </w:r>
          </w:p>
        </w:tc>
        <w:tc>
          <w:tcPr>
            <w:tcW w:w="907" w:type="dxa"/>
            <w:tcBorders>
              <w:bottom w:val="single" w:sz="6" w:space="0" w:color="auto"/>
            </w:tcBorders>
          </w:tcPr>
          <w:p w14:paraId="644CC83E" w14:textId="77777777" w:rsidR="005E614D" w:rsidRDefault="000C3A94">
            <w:pPr>
              <w:cnfStyle w:val="000000000000" w:firstRow="0" w:lastRow="0" w:firstColumn="0" w:lastColumn="0" w:oddVBand="0" w:evenVBand="0" w:oddHBand="0" w:evenHBand="0" w:firstRowFirstColumn="0" w:firstRowLastColumn="0" w:lastRowFirstColumn="0" w:lastRowLastColumn="0"/>
            </w:pPr>
            <w:r>
              <w:t>907</w:t>
            </w:r>
          </w:p>
        </w:tc>
        <w:tc>
          <w:tcPr>
            <w:tcW w:w="907" w:type="dxa"/>
            <w:tcBorders>
              <w:bottom w:val="single" w:sz="6" w:space="0" w:color="auto"/>
            </w:tcBorders>
          </w:tcPr>
          <w:p w14:paraId="70AAF0B3" w14:textId="77777777" w:rsidR="005E614D" w:rsidRDefault="000C3A94">
            <w:pPr>
              <w:cnfStyle w:val="000000000000" w:firstRow="0" w:lastRow="0" w:firstColumn="0" w:lastColumn="0" w:oddVBand="0" w:evenVBand="0" w:oddHBand="0" w:evenHBand="0" w:firstRowFirstColumn="0" w:firstRowLastColumn="0" w:lastRowFirstColumn="0" w:lastRowLastColumn="0"/>
            </w:pPr>
            <w:r>
              <w:t>892</w:t>
            </w:r>
          </w:p>
        </w:tc>
        <w:tc>
          <w:tcPr>
            <w:tcW w:w="907" w:type="dxa"/>
            <w:tcBorders>
              <w:bottom w:val="single" w:sz="6" w:space="0" w:color="auto"/>
            </w:tcBorders>
          </w:tcPr>
          <w:p w14:paraId="68E0FEBB" w14:textId="77777777" w:rsidR="005E614D" w:rsidRDefault="000C3A94">
            <w:pPr>
              <w:cnfStyle w:val="000000000000" w:firstRow="0" w:lastRow="0" w:firstColumn="0" w:lastColumn="0" w:oddVBand="0" w:evenVBand="0" w:oddHBand="0" w:evenHBand="0" w:firstRowFirstColumn="0" w:firstRowLastColumn="0" w:lastRowFirstColumn="0" w:lastRowLastColumn="0"/>
            </w:pPr>
            <w:r>
              <w:t>1 093</w:t>
            </w:r>
          </w:p>
        </w:tc>
        <w:tc>
          <w:tcPr>
            <w:tcW w:w="907" w:type="dxa"/>
            <w:tcBorders>
              <w:bottom w:val="single" w:sz="6" w:space="0" w:color="auto"/>
            </w:tcBorders>
          </w:tcPr>
          <w:p w14:paraId="1A9947F1" w14:textId="77777777" w:rsidR="005E614D" w:rsidRDefault="000C3A94">
            <w:pPr>
              <w:cnfStyle w:val="000000000000" w:firstRow="0" w:lastRow="0" w:firstColumn="0" w:lastColumn="0" w:oddVBand="0" w:evenVBand="0" w:oddHBand="0" w:evenHBand="0" w:firstRowFirstColumn="0" w:firstRowLastColumn="0" w:lastRowFirstColumn="0" w:lastRowLastColumn="0"/>
            </w:pPr>
            <w:r>
              <w:t>1 520</w:t>
            </w:r>
          </w:p>
        </w:tc>
      </w:tr>
      <w:tr w:rsidR="005E614D" w14:paraId="3E16BD8A"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31D017A" w14:textId="77777777" w:rsidR="005E614D" w:rsidRDefault="000C3A94">
            <w:r>
              <w:rPr>
                <w:b/>
              </w:rPr>
              <w:t>Total revenue and income from transactions</w:t>
            </w:r>
          </w:p>
        </w:tc>
        <w:tc>
          <w:tcPr>
            <w:tcW w:w="907" w:type="dxa"/>
            <w:tcBorders>
              <w:top w:val="single" w:sz="6" w:space="0" w:color="auto"/>
            </w:tcBorders>
          </w:tcPr>
          <w:p w14:paraId="4ACE84E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24 163</w:t>
            </w:r>
          </w:p>
        </w:tc>
        <w:tc>
          <w:tcPr>
            <w:tcW w:w="907" w:type="dxa"/>
            <w:tcBorders>
              <w:top w:val="single" w:sz="6" w:space="0" w:color="auto"/>
            </w:tcBorders>
          </w:tcPr>
          <w:p w14:paraId="6FCE6F9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23 223</w:t>
            </w:r>
          </w:p>
        </w:tc>
        <w:tc>
          <w:tcPr>
            <w:tcW w:w="907" w:type="dxa"/>
            <w:tcBorders>
              <w:top w:val="single" w:sz="6" w:space="0" w:color="auto"/>
            </w:tcBorders>
          </w:tcPr>
          <w:p w14:paraId="5D9C82A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23 881</w:t>
            </w:r>
          </w:p>
        </w:tc>
        <w:tc>
          <w:tcPr>
            <w:tcW w:w="907" w:type="dxa"/>
            <w:tcBorders>
              <w:top w:val="single" w:sz="6" w:space="0" w:color="auto"/>
            </w:tcBorders>
          </w:tcPr>
          <w:p w14:paraId="584CDF2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29 313</w:t>
            </w:r>
          </w:p>
        </w:tc>
        <w:tc>
          <w:tcPr>
            <w:tcW w:w="907" w:type="dxa"/>
            <w:tcBorders>
              <w:top w:val="single" w:sz="6" w:space="0" w:color="auto"/>
            </w:tcBorders>
          </w:tcPr>
          <w:p w14:paraId="181A255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24 963</w:t>
            </w:r>
          </w:p>
        </w:tc>
      </w:tr>
      <w:tr w:rsidR="005E614D" w14:paraId="212F7E09" w14:textId="77777777">
        <w:tc>
          <w:tcPr>
            <w:cnfStyle w:val="001000000000" w:firstRow="0" w:lastRow="0" w:firstColumn="1" w:lastColumn="0" w:oddVBand="0" w:evenVBand="0" w:oddHBand="0" w:evenHBand="0" w:firstRowFirstColumn="0" w:firstRowLastColumn="0" w:lastRowFirstColumn="0" w:lastRowLastColumn="0"/>
            <w:tcW w:w="5103" w:type="dxa"/>
          </w:tcPr>
          <w:p w14:paraId="09722F8D" w14:textId="77777777" w:rsidR="005E614D" w:rsidRDefault="000C3A94">
            <w:r>
              <w:rPr>
                <w:b/>
              </w:rPr>
              <w:t>Expenses from transactions</w:t>
            </w:r>
          </w:p>
        </w:tc>
        <w:tc>
          <w:tcPr>
            <w:tcW w:w="907" w:type="dxa"/>
          </w:tcPr>
          <w:p w14:paraId="7C96F49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631F97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63BC4C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DF83CB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73E041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318EC69" w14:textId="77777777">
        <w:tc>
          <w:tcPr>
            <w:cnfStyle w:val="001000000000" w:firstRow="0" w:lastRow="0" w:firstColumn="1" w:lastColumn="0" w:oddVBand="0" w:evenVBand="0" w:oddHBand="0" w:evenHBand="0" w:firstRowFirstColumn="0" w:firstRowLastColumn="0" w:lastRowFirstColumn="0" w:lastRowLastColumn="0"/>
            <w:tcW w:w="5103" w:type="dxa"/>
          </w:tcPr>
          <w:p w14:paraId="3602E208" w14:textId="77777777" w:rsidR="005E614D" w:rsidRDefault="000C3A94">
            <w:r>
              <w:t>Employee expenses</w:t>
            </w:r>
          </w:p>
        </w:tc>
        <w:tc>
          <w:tcPr>
            <w:tcW w:w="907" w:type="dxa"/>
          </w:tcPr>
          <w:p w14:paraId="27A620AE" w14:textId="77777777" w:rsidR="005E614D" w:rsidRDefault="000C3A94">
            <w:pPr>
              <w:cnfStyle w:val="000000000000" w:firstRow="0" w:lastRow="0" w:firstColumn="0" w:lastColumn="0" w:oddVBand="0" w:evenVBand="0" w:oddHBand="0" w:evenHBand="0" w:firstRowFirstColumn="0" w:firstRowLastColumn="0" w:lastRowFirstColumn="0" w:lastRowLastColumn="0"/>
            </w:pPr>
            <w:r>
              <w:t>9 557</w:t>
            </w:r>
          </w:p>
        </w:tc>
        <w:tc>
          <w:tcPr>
            <w:tcW w:w="907" w:type="dxa"/>
          </w:tcPr>
          <w:p w14:paraId="2B406989" w14:textId="77777777" w:rsidR="005E614D" w:rsidRDefault="000C3A94">
            <w:pPr>
              <w:cnfStyle w:val="000000000000" w:firstRow="0" w:lastRow="0" w:firstColumn="0" w:lastColumn="0" w:oddVBand="0" w:evenVBand="0" w:oddHBand="0" w:evenHBand="0" w:firstRowFirstColumn="0" w:firstRowLastColumn="0" w:lastRowFirstColumn="0" w:lastRowLastColumn="0"/>
            </w:pPr>
            <w:r>
              <w:t>9 477</w:t>
            </w:r>
          </w:p>
        </w:tc>
        <w:tc>
          <w:tcPr>
            <w:tcW w:w="907" w:type="dxa"/>
          </w:tcPr>
          <w:p w14:paraId="611D7AB1" w14:textId="77777777" w:rsidR="005E614D" w:rsidRDefault="000C3A94">
            <w:pPr>
              <w:cnfStyle w:val="000000000000" w:firstRow="0" w:lastRow="0" w:firstColumn="0" w:lastColumn="0" w:oddVBand="0" w:evenVBand="0" w:oddHBand="0" w:evenHBand="0" w:firstRowFirstColumn="0" w:firstRowLastColumn="0" w:lastRowFirstColumn="0" w:lastRowLastColumn="0"/>
            </w:pPr>
            <w:r>
              <w:t>9 735</w:t>
            </w:r>
          </w:p>
        </w:tc>
        <w:tc>
          <w:tcPr>
            <w:tcW w:w="907" w:type="dxa"/>
          </w:tcPr>
          <w:p w14:paraId="42F8D4E8" w14:textId="77777777" w:rsidR="005E614D" w:rsidRDefault="000C3A94">
            <w:pPr>
              <w:cnfStyle w:val="000000000000" w:firstRow="0" w:lastRow="0" w:firstColumn="0" w:lastColumn="0" w:oddVBand="0" w:evenVBand="0" w:oddHBand="0" w:evenHBand="0" w:firstRowFirstColumn="0" w:firstRowLastColumn="0" w:lastRowFirstColumn="0" w:lastRowLastColumn="0"/>
            </w:pPr>
            <w:r>
              <w:t>9 318</w:t>
            </w:r>
          </w:p>
        </w:tc>
        <w:tc>
          <w:tcPr>
            <w:tcW w:w="907" w:type="dxa"/>
          </w:tcPr>
          <w:p w14:paraId="5F0CA4BE" w14:textId="77777777" w:rsidR="005E614D" w:rsidRDefault="000C3A94">
            <w:pPr>
              <w:cnfStyle w:val="000000000000" w:firstRow="0" w:lastRow="0" w:firstColumn="0" w:lastColumn="0" w:oddVBand="0" w:evenVBand="0" w:oddHBand="0" w:evenHBand="0" w:firstRowFirstColumn="0" w:firstRowLastColumn="0" w:lastRowFirstColumn="0" w:lastRowLastColumn="0"/>
            </w:pPr>
            <w:r>
              <w:t>9 985</w:t>
            </w:r>
          </w:p>
        </w:tc>
      </w:tr>
      <w:tr w:rsidR="005E614D" w14:paraId="43239320" w14:textId="77777777">
        <w:tc>
          <w:tcPr>
            <w:cnfStyle w:val="001000000000" w:firstRow="0" w:lastRow="0" w:firstColumn="1" w:lastColumn="0" w:oddVBand="0" w:evenVBand="0" w:oddHBand="0" w:evenHBand="0" w:firstRowFirstColumn="0" w:firstRowLastColumn="0" w:lastRowFirstColumn="0" w:lastRowLastColumn="0"/>
            <w:tcW w:w="5103" w:type="dxa"/>
          </w:tcPr>
          <w:p w14:paraId="6E323462" w14:textId="77777777" w:rsidR="005E614D" w:rsidRDefault="000C3A94">
            <w:r>
              <w:t>Superannuation:</w:t>
            </w:r>
          </w:p>
        </w:tc>
        <w:tc>
          <w:tcPr>
            <w:tcW w:w="907" w:type="dxa"/>
          </w:tcPr>
          <w:p w14:paraId="1710954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23CABE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1C9C6DB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82A4F1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A29DD8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4C32C507" w14:textId="77777777">
        <w:tc>
          <w:tcPr>
            <w:cnfStyle w:val="001000000000" w:firstRow="0" w:lastRow="0" w:firstColumn="1" w:lastColumn="0" w:oddVBand="0" w:evenVBand="0" w:oddHBand="0" w:evenHBand="0" w:firstRowFirstColumn="0" w:firstRowLastColumn="0" w:lastRowFirstColumn="0" w:lastRowLastColumn="0"/>
            <w:tcW w:w="5103" w:type="dxa"/>
          </w:tcPr>
          <w:p w14:paraId="46D016BB" w14:textId="415134B3" w:rsidR="005E614D" w:rsidRDefault="00A7226D">
            <w:r>
              <w:t xml:space="preserve">   </w:t>
            </w:r>
            <w:r w:rsidR="000C3A94">
              <w:t>Net superannuation interest expense</w:t>
            </w:r>
          </w:p>
        </w:tc>
        <w:tc>
          <w:tcPr>
            <w:tcW w:w="907" w:type="dxa"/>
          </w:tcPr>
          <w:p w14:paraId="3804D12F" w14:textId="77777777" w:rsidR="005E614D" w:rsidRDefault="000C3A94">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2BD9DC54" w14:textId="77777777" w:rsidR="005E614D" w:rsidRDefault="000C3A94">
            <w:pPr>
              <w:cnfStyle w:val="000000000000" w:firstRow="0" w:lastRow="0" w:firstColumn="0" w:lastColumn="0" w:oddVBand="0" w:evenVBand="0" w:oddHBand="0" w:evenHBand="0" w:firstRowFirstColumn="0" w:firstRowLastColumn="0" w:lastRowFirstColumn="0" w:lastRowLastColumn="0"/>
            </w:pPr>
            <w:r>
              <w:t>195</w:t>
            </w:r>
          </w:p>
        </w:tc>
        <w:tc>
          <w:tcPr>
            <w:tcW w:w="907" w:type="dxa"/>
          </w:tcPr>
          <w:p w14:paraId="5FE65DB4" w14:textId="77777777" w:rsidR="005E614D" w:rsidRDefault="000C3A94">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23A59E68" w14:textId="77777777" w:rsidR="005E614D" w:rsidRDefault="000C3A94">
            <w:pPr>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23BAB15B" w14:textId="77777777" w:rsidR="005E614D" w:rsidRDefault="000C3A94">
            <w:pPr>
              <w:cnfStyle w:val="000000000000" w:firstRow="0" w:lastRow="0" w:firstColumn="0" w:lastColumn="0" w:oddVBand="0" w:evenVBand="0" w:oddHBand="0" w:evenHBand="0" w:firstRowFirstColumn="0" w:firstRowLastColumn="0" w:lastRowFirstColumn="0" w:lastRowLastColumn="0"/>
            </w:pPr>
            <w:r>
              <w:t>195</w:t>
            </w:r>
          </w:p>
        </w:tc>
      </w:tr>
      <w:tr w:rsidR="005E614D" w14:paraId="006DCF47" w14:textId="77777777">
        <w:tc>
          <w:tcPr>
            <w:cnfStyle w:val="001000000000" w:firstRow="0" w:lastRow="0" w:firstColumn="1" w:lastColumn="0" w:oddVBand="0" w:evenVBand="0" w:oddHBand="0" w:evenHBand="0" w:firstRowFirstColumn="0" w:firstRowLastColumn="0" w:lastRowFirstColumn="0" w:lastRowLastColumn="0"/>
            <w:tcW w:w="5103" w:type="dxa"/>
          </w:tcPr>
          <w:p w14:paraId="52BD76A2" w14:textId="678A1E9B" w:rsidR="005E614D" w:rsidRDefault="00A7226D">
            <w:r>
              <w:t xml:space="preserve">   </w:t>
            </w:r>
            <w:r w:rsidR="000C3A94">
              <w:t>Other superannuation</w:t>
            </w:r>
          </w:p>
        </w:tc>
        <w:tc>
          <w:tcPr>
            <w:tcW w:w="907" w:type="dxa"/>
          </w:tcPr>
          <w:p w14:paraId="497CFD91" w14:textId="77777777" w:rsidR="005E614D" w:rsidRDefault="000C3A94">
            <w:pPr>
              <w:cnfStyle w:val="000000000000" w:firstRow="0" w:lastRow="0" w:firstColumn="0" w:lastColumn="0" w:oddVBand="0" w:evenVBand="0" w:oddHBand="0" w:evenHBand="0" w:firstRowFirstColumn="0" w:firstRowLastColumn="0" w:lastRowFirstColumn="0" w:lastRowLastColumn="0"/>
            </w:pPr>
            <w:r>
              <w:t>1 041</w:t>
            </w:r>
          </w:p>
        </w:tc>
        <w:tc>
          <w:tcPr>
            <w:tcW w:w="907" w:type="dxa"/>
          </w:tcPr>
          <w:p w14:paraId="5B187FE9"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1 140</w:t>
            </w:r>
          </w:p>
        </w:tc>
        <w:tc>
          <w:tcPr>
            <w:tcW w:w="907" w:type="dxa"/>
          </w:tcPr>
          <w:p w14:paraId="55EFFE7C" w14:textId="77777777" w:rsidR="005E614D" w:rsidRDefault="000C3A94">
            <w:pPr>
              <w:cnfStyle w:val="000000000000" w:firstRow="0" w:lastRow="0" w:firstColumn="0" w:lastColumn="0" w:oddVBand="0" w:evenVBand="0" w:oddHBand="0" w:evenHBand="0" w:firstRowFirstColumn="0" w:firstRowLastColumn="0" w:lastRowFirstColumn="0" w:lastRowLastColumn="0"/>
            </w:pPr>
            <w:r>
              <w:t>1 153</w:t>
            </w:r>
          </w:p>
        </w:tc>
        <w:tc>
          <w:tcPr>
            <w:tcW w:w="907" w:type="dxa"/>
          </w:tcPr>
          <w:p w14:paraId="7302CA03" w14:textId="77777777" w:rsidR="005E614D" w:rsidRDefault="000C3A94">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4D0CD5AB" w14:textId="77777777" w:rsidR="005E614D" w:rsidRDefault="000C3A94">
            <w:pPr>
              <w:cnfStyle w:val="000000000000" w:firstRow="0" w:lastRow="0" w:firstColumn="0" w:lastColumn="0" w:oddVBand="0" w:evenVBand="0" w:oddHBand="0" w:evenHBand="0" w:firstRowFirstColumn="0" w:firstRowLastColumn="0" w:lastRowFirstColumn="0" w:lastRowLastColumn="0"/>
            </w:pPr>
            <w:r>
              <w:t>1 136</w:t>
            </w:r>
          </w:p>
        </w:tc>
      </w:tr>
      <w:tr w:rsidR="005E614D" w14:paraId="24C2A89F" w14:textId="77777777">
        <w:tc>
          <w:tcPr>
            <w:cnfStyle w:val="001000000000" w:firstRow="0" w:lastRow="0" w:firstColumn="1" w:lastColumn="0" w:oddVBand="0" w:evenVBand="0" w:oddHBand="0" w:evenHBand="0" w:firstRowFirstColumn="0" w:firstRowLastColumn="0" w:lastRowFirstColumn="0" w:lastRowLastColumn="0"/>
            <w:tcW w:w="5103" w:type="dxa"/>
          </w:tcPr>
          <w:p w14:paraId="0FB57538" w14:textId="77777777" w:rsidR="005E614D" w:rsidRDefault="000C3A94">
            <w:r>
              <w:t>Depreciation</w:t>
            </w:r>
          </w:p>
        </w:tc>
        <w:tc>
          <w:tcPr>
            <w:tcW w:w="907" w:type="dxa"/>
          </w:tcPr>
          <w:p w14:paraId="3F5E8F15" w14:textId="77777777" w:rsidR="005E614D" w:rsidRDefault="000C3A94">
            <w:pPr>
              <w:cnfStyle w:val="000000000000" w:firstRow="0" w:lastRow="0" w:firstColumn="0" w:lastColumn="0" w:oddVBand="0" w:evenVBand="0" w:oddHBand="0" w:evenHBand="0" w:firstRowFirstColumn="0" w:firstRowLastColumn="0" w:lastRowFirstColumn="0" w:lastRowLastColumn="0"/>
            </w:pPr>
            <w:r>
              <w:t>1 343</w:t>
            </w:r>
          </w:p>
        </w:tc>
        <w:tc>
          <w:tcPr>
            <w:tcW w:w="907" w:type="dxa"/>
          </w:tcPr>
          <w:p w14:paraId="29A3DE47" w14:textId="77777777" w:rsidR="005E614D" w:rsidRDefault="000C3A94">
            <w:pPr>
              <w:cnfStyle w:val="000000000000" w:firstRow="0" w:lastRow="0" w:firstColumn="0" w:lastColumn="0" w:oddVBand="0" w:evenVBand="0" w:oddHBand="0" w:evenHBand="0" w:firstRowFirstColumn="0" w:firstRowLastColumn="0" w:lastRowFirstColumn="0" w:lastRowLastColumn="0"/>
            </w:pPr>
            <w:r>
              <w:t>1 328</w:t>
            </w:r>
          </w:p>
        </w:tc>
        <w:tc>
          <w:tcPr>
            <w:tcW w:w="907" w:type="dxa"/>
          </w:tcPr>
          <w:p w14:paraId="0E930A16" w14:textId="77777777" w:rsidR="005E614D" w:rsidRDefault="000C3A94">
            <w:pPr>
              <w:cnfStyle w:val="000000000000" w:firstRow="0" w:lastRow="0" w:firstColumn="0" w:lastColumn="0" w:oddVBand="0" w:evenVBand="0" w:oddHBand="0" w:evenHBand="0" w:firstRowFirstColumn="0" w:firstRowLastColumn="0" w:lastRowFirstColumn="0" w:lastRowLastColumn="0"/>
            </w:pPr>
            <w:r>
              <w:t>1 373</w:t>
            </w:r>
          </w:p>
        </w:tc>
        <w:tc>
          <w:tcPr>
            <w:tcW w:w="907" w:type="dxa"/>
          </w:tcPr>
          <w:p w14:paraId="39F69BA0" w14:textId="77777777" w:rsidR="005E614D" w:rsidRDefault="000C3A94">
            <w:pPr>
              <w:cnfStyle w:val="000000000000" w:firstRow="0" w:lastRow="0" w:firstColumn="0" w:lastColumn="0" w:oddVBand="0" w:evenVBand="0" w:oddHBand="0" w:evenHBand="0" w:firstRowFirstColumn="0" w:firstRowLastColumn="0" w:lastRowFirstColumn="0" w:lastRowLastColumn="0"/>
            </w:pPr>
            <w:r>
              <w:t>1 368</w:t>
            </w:r>
          </w:p>
        </w:tc>
        <w:tc>
          <w:tcPr>
            <w:tcW w:w="907" w:type="dxa"/>
          </w:tcPr>
          <w:p w14:paraId="44BD145A" w14:textId="77777777" w:rsidR="005E614D" w:rsidRDefault="000C3A94">
            <w:pPr>
              <w:cnfStyle w:val="000000000000" w:firstRow="0" w:lastRow="0" w:firstColumn="0" w:lastColumn="0" w:oddVBand="0" w:evenVBand="0" w:oddHBand="0" w:evenHBand="0" w:firstRowFirstColumn="0" w:firstRowLastColumn="0" w:lastRowFirstColumn="0" w:lastRowLastColumn="0"/>
            </w:pPr>
            <w:r>
              <w:t>1 393</w:t>
            </w:r>
          </w:p>
        </w:tc>
      </w:tr>
      <w:tr w:rsidR="005E614D" w14:paraId="409A1F30" w14:textId="77777777">
        <w:tc>
          <w:tcPr>
            <w:cnfStyle w:val="001000000000" w:firstRow="0" w:lastRow="0" w:firstColumn="1" w:lastColumn="0" w:oddVBand="0" w:evenVBand="0" w:oddHBand="0" w:evenHBand="0" w:firstRowFirstColumn="0" w:firstRowLastColumn="0" w:lastRowFirstColumn="0" w:lastRowLastColumn="0"/>
            <w:tcW w:w="5103" w:type="dxa"/>
          </w:tcPr>
          <w:p w14:paraId="5ACBB320" w14:textId="77777777" w:rsidR="005E614D" w:rsidRDefault="000C3A94">
            <w:r>
              <w:t>Interest expense</w:t>
            </w:r>
          </w:p>
        </w:tc>
        <w:tc>
          <w:tcPr>
            <w:tcW w:w="907" w:type="dxa"/>
          </w:tcPr>
          <w:p w14:paraId="53A3CAE2" w14:textId="77777777" w:rsidR="005E614D" w:rsidRDefault="000C3A94">
            <w:pPr>
              <w:cnfStyle w:val="000000000000" w:firstRow="0" w:lastRow="0" w:firstColumn="0" w:lastColumn="0" w:oddVBand="0" w:evenVBand="0" w:oddHBand="0" w:evenHBand="0" w:firstRowFirstColumn="0" w:firstRowLastColumn="0" w:lastRowFirstColumn="0" w:lastRowLastColumn="0"/>
            </w:pPr>
            <w:r>
              <w:t>1 580</w:t>
            </w:r>
          </w:p>
        </w:tc>
        <w:tc>
          <w:tcPr>
            <w:tcW w:w="907" w:type="dxa"/>
          </w:tcPr>
          <w:p w14:paraId="4DAB2E65" w14:textId="77777777" w:rsidR="005E614D" w:rsidRDefault="000C3A94">
            <w:pPr>
              <w:cnfStyle w:val="000000000000" w:firstRow="0" w:lastRow="0" w:firstColumn="0" w:lastColumn="0" w:oddVBand="0" w:evenVBand="0" w:oddHBand="0" w:evenHBand="0" w:firstRowFirstColumn="0" w:firstRowLastColumn="0" w:lastRowFirstColumn="0" w:lastRowLastColumn="0"/>
            </w:pPr>
            <w:r>
              <w:t>1 553</w:t>
            </w:r>
          </w:p>
        </w:tc>
        <w:tc>
          <w:tcPr>
            <w:tcW w:w="907" w:type="dxa"/>
          </w:tcPr>
          <w:p w14:paraId="3B1FC0EB" w14:textId="77777777" w:rsidR="005E614D" w:rsidRDefault="000C3A94">
            <w:pPr>
              <w:cnfStyle w:val="000000000000" w:firstRow="0" w:lastRow="0" w:firstColumn="0" w:lastColumn="0" w:oddVBand="0" w:evenVBand="0" w:oddHBand="0" w:evenHBand="0" w:firstRowFirstColumn="0" w:firstRowLastColumn="0" w:lastRowFirstColumn="0" w:lastRowLastColumn="0"/>
            </w:pPr>
            <w:r>
              <w:t>1 706</w:t>
            </w:r>
          </w:p>
        </w:tc>
        <w:tc>
          <w:tcPr>
            <w:tcW w:w="907" w:type="dxa"/>
          </w:tcPr>
          <w:p w14:paraId="4C38C43F" w14:textId="77777777" w:rsidR="005E614D" w:rsidRDefault="000C3A94">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38CD8CAA" w14:textId="77777777" w:rsidR="005E614D" w:rsidRDefault="000C3A94">
            <w:pPr>
              <w:cnfStyle w:val="000000000000" w:firstRow="0" w:lastRow="0" w:firstColumn="0" w:lastColumn="0" w:oddVBand="0" w:evenVBand="0" w:oddHBand="0" w:evenHBand="0" w:firstRowFirstColumn="0" w:firstRowLastColumn="0" w:lastRowFirstColumn="0" w:lastRowLastColumn="0"/>
            </w:pPr>
            <w:r>
              <w:t>1 789</w:t>
            </w:r>
          </w:p>
        </w:tc>
      </w:tr>
      <w:tr w:rsidR="005E614D" w14:paraId="5F9F0C89" w14:textId="77777777">
        <w:tc>
          <w:tcPr>
            <w:cnfStyle w:val="001000000000" w:firstRow="0" w:lastRow="0" w:firstColumn="1" w:lastColumn="0" w:oddVBand="0" w:evenVBand="0" w:oddHBand="0" w:evenHBand="0" w:firstRowFirstColumn="0" w:firstRowLastColumn="0" w:lastRowFirstColumn="0" w:lastRowLastColumn="0"/>
            <w:tcW w:w="5103" w:type="dxa"/>
          </w:tcPr>
          <w:p w14:paraId="73AB4E93" w14:textId="77777777" w:rsidR="005E614D" w:rsidRDefault="000C3A94">
            <w:r>
              <w:t>Grant expense</w:t>
            </w:r>
          </w:p>
        </w:tc>
        <w:tc>
          <w:tcPr>
            <w:tcW w:w="907" w:type="dxa"/>
          </w:tcPr>
          <w:p w14:paraId="0DF24AF3" w14:textId="77777777" w:rsidR="005E614D" w:rsidRDefault="000C3A94">
            <w:pPr>
              <w:cnfStyle w:val="000000000000" w:firstRow="0" w:lastRow="0" w:firstColumn="0" w:lastColumn="0" w:oddVBand="0" w:evenVBand="0" w:oddHBand="0" w:evenHBand="0" w:firstRowFirstColumn="0" w:firstRowLastColumn="0" w:lastRowFirstColumn="0" w:lastRowLastColumn="0"/>
            </w:pPr>
            <w:r>
              <w:t>4 162</w:t>
            </w:r>
          </w:p>
        </w:tc>
        <w:tc>
          <w:tcPr>
            <w:tcW w:w="907" w:type="dxa"/>
          </w:tcPr>
          <w:p w14:paraId="23321556" w14:textId="77777777" w:rsidR="005E614D" w:rsidRDefault="000C3A94">
            <w:pPr>
              <w:cnfStyle w:val="000000000000" w:firstRow="0" w:lastRow="0" w:firstColumn="0" w:lastColumn="0" w:oddVBand="0" w:evenVBand="0" w:oddHBand="0" w:evenHBand="0" w:firstRowFirstColumn="0" w:firstRowLastColumn="0" w:lastRowFirstColumn="0" w:lastRowLastColumn="0"/>
            </w:pPr>
            <w:r>
              <w:t>4 272</w:t>
            </w:r>
          </w:p>
        </w:tc>
        <w:tc>
          <w:tcPr>
            <w:tcW w:w="907" w:type="dxa"/>
          </w:tcPr>
          <w:p w14:paraId="53693B8A" w14:textId="77777777" w:rsidR="005E614D" w:rsidRDefault="000C3A94">
            <w:pPr>
              <w:cnfStyle w:val="000000000000" w:firstRow="0" w:lastRow="0" w:firstColumn="0" w:lastColumn="0" w:oddVBand="0" w:evenVBand="0" w:oddHBand="0" w:evenHBand="0" w:firstRowFirstColumn="0" w:firstRowLastColumn="0" w:lastRowFirstColumn="0" w:lastRowLastColumn="0"/>
            </w:pPr>
            <w:r>
              <w:t>4 248</w:t>
            </w:r>
          </w:p>
        </w:tc>
        <w:tc>
          <w:tcPr>
            <w:tcW w:w="907" w:type="dxa"/>
          </w:tcPr>
          <w:p w14:paraId="071DF8EC" w14:textId="77777777" w:rsidR="005E614D" w:rsidRDefault="000C3A94">
            <w:pPr>
              <w:cnfStyle w:val="000000000000" w:firstRow="0" w:lastRow="0" w:firstColumn="0" w:lastColumn="0" w:oddVBand="0" w:evenVBand="0" w:oddHBand="0" w:evenHBand="0" w:firstRowFirstColumn="0" w:firstRowLastColumn="0" w:lastRowFirstColumn="0" w:lastRowLastColumn="0"/>
            </w:pPr>
            <w:r>
              <w:t>5 356</w:t>
            </w:r>
          </w:p>
        </w:tc>
        <w:tc>
          <w:tcPr>
            <w:tcW w:w="907" w:type="dxa"/>
          </w:tcPr>
          <w:p w14:paraId="23E33CC5" w14:textId="77777777" w:rsidR="005E614D" w:rsidRDefault="000C3A94">
            <w:pPr>
              <w:cnfStyle w:val="000000000000" w:firstRow="0" w:lastRow="0" w:firstColumn="0" w:lastColumn="0" w:oddVBand="0" w:evenVBand="0" w:oddHBand="0" w:evenHBand="0" w:firstRowFirstColumn="0" w:firstRowLastColumn="0" w:lastRowFirstColumn="0" w:lastRowLastColumn="0"/>
            </w:pPr>
            <w:r>
              <w:t>3 345</w:t>
            </w:r>
          </w:p>
        </w:tc>
      </w:tr>
      <w:tr w:rsidR="005E614D" w14:paraId="65CD3FDB"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3B0BBBC" w14:textId="77777777" w:rsidR="005E614D" w:rsidRDefault="000C3A94">
            <w:r>
              <w:t>Other operating expenses</w:t>
            </w:r>
          </w:p>
        </w:tc>
        <w:tc>
          <w:tcPr>
            <w:tcW w:w="907" w:type="dxa"/>
            <w:tcBorders>
              <w:bottom w:val="single" w:sz="6" w:space="0" w:color="auto"/>
            </w:tcBorders>
          </w:tcPr>
          <w:p w14:paraId="5E1EFE93" w14:textId="77777777" w:rsidR="005E614D" w:rsidRDefault="000C3A94">
            <w:pPr>
              <w:cnfStyle w:val="000000000000" w:firstRow="0" w:lastRow="0" w:firstColumn="0" w:lastColumn="0" w:oddVBand="0" w:evenVBand="0" w:oddHBand="0" w:evenHBand="0" w:firstRowFirstColumn="0" w:firstRowLastColumn="0" w:lastRowFirstColumn="0" w:lastRowLastColumn="0"/>
            </w:pPr>
            <w:r>
              <w:t>8 419</w:t>
            </w:r>
          </w:p>
        </w:tc>
        <w:tc>
          <w:tcPr>
            <w:tcW w:w="907" w:type="dxa"/>
            <w:tcBorders>
              <w:bottom w:val="single" w:sz="6" w:space="0" w:color="auto"/>
            </w:tcBorders>
          </w:tcPr>
          <w:p w14:paraId="6619412A" w14:textId="77777777" w:rsidR="005E614D" w:rsidRDefault="000C3A94">
            <w:pPr>
              <w:cnfStyle w:val="000000000000" w:firstRow="0" w:lastRow="0" w:firstColumn="0" w:lastColumn="0" w:oddVBand="0" w:evenVBand="0" w:oddHBand="0" w:evenHBand="0" w:firstRowFirstColumn="0" w:firstRowLastColumn="0" w:lastRowFirstColumn="0" w:lastRowLastColumn="0"/>
            </w:pPr>
            <w:r>
              <w:t>6 940</w:t>
            </w:r>
          </w:p>
        </w:tc>
        <w:tc>
          <w:tcPr>
            <w:tcW w:w="907" w:type="dxa"/>
            <w:tcBorders>
              <w:bottom w:val="single" w:sz="6" w:space="0" w:color="auto"/>
            </w:tcBorders>
          </w:tcPr>
          <w:p w14:paraId="71E5DA72" w14:textId="77777777" w:rsidR="005E614D" w:rsidRDefault="000C3A94">
            <w:pPr>
              <w:cnfStyle w:val="000000000000" w:firstRow="0" w:lastRow="0" w:firstColumn="0" w:lastColumn="0" w:oddVBand="0" w:evenVBand="0" w:oddHBand="0" w:evenHBand="0" w:firstRowFirstColumn="0" w:firstRowLastColumn="0" w:lastRowFirstColumn="0" w:lastRowLastColumn="0"/>
            </w:pPr>
            <w:r>
              <w:t>7 705</w:t>
            </w:r>
          </w:p>
        </w:tc>
        <w:tc>
          <w:tcPr>
            <w:tcW w:w="907" w:type="dxa"/>
            <w:tcBorders>
              <w:bottom w:val="single" w:sz="6" w:space="0" w:color="auto"/>
            </w:tcBorders>
          </w:tcPr>
          <w:p w14:paraId="19FA40BA" w14:textId="77777777" w:rsidR="005E614D" w:rsidRDefault="000C3A94">
            <w:pPr>
              <w:cnfStyle w:val="000000000000" w:firstRow="0" w:lastRow="0" w:firstColumn="0" w:lastColumn="0" w:oddVBand="0" w:evenVBand="0" w:oddHBand="0" w:evenHBand="0" w:firstRowFirstColumn="0" w:firstRowLastColumn="0" w:lastRowFirstColumn="0" w:lastRowLastColumn="0"/>
            </w:pPr>
            <w:r>
              <w:t>7 203</w:t>
            </w:r>
          </w:p>
        </w:tc>
        <w:tc>
          <w:tcPr>
            <w:tcW w:w="907" w:type="dxa"/>
            <w:tcBorders>
              <w:bottom w:val="single" w:sz="6" w:space="0" w:color="auto"/>
            </w:tcBorders>
          </w:tcPr>
          <w:p w14:paraId="3091D60B" w14:textId="77777777" w:rsidR="005E614D" w:rsidRDefault="000C3A94">
            <w:pPr>
              <w:cnfStyle w:val="000000000000" w:firstRow="0" w:lastRow="0" w:firstColumn="0" w:lastColumn="0" w:oddVBand="0" w:evenVBand="0" w:oddHBand="0" w:evenHBand="0" w:firstRowFirstColumn="0" w:firstRowLastColumn="0" w:lastRowFirstColumn="0" w:lastRowLastColumn="0"/>
            </w:pPr>
            <w:r>
              <w:t>8 878</w:t>
            </w:r>
          </w:p>
        </w:tc>
      </w:tr>
      <w:tr w:rsidR="005E614D" w14:paraId="258286E3"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E17A8ED" w14:textId="77777777" w:rsidR="005E614D" w:rsidRDefault="000C3A94">
            <w:r>
              <w:rPr>
                <w:b/>
              </w:rPr>
              <w:t>Total expenses from transactions</w:t>
            </w:r>
          </w:p>
        </w:tc>
        <w:tc>
          <w:tcPr>
            <w:tcW w:w="907" w:type="dxa"/>
            <w:tcBorders>
              <w:top w:val="single" w:sz="6" w:space="0" w:color="auto"/>
              <w:bottom w:val="single" w:sz="6" w:space="0" w:color="auto"/>
            </w:tcBorders>
          </w:tcPr>
          <w:p w14:paraId="3CB842F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26 295</w:t>
            </w:r>
          </w:p>
        </w:tc>
        <w:tc>
          <w:tcPr>
            <w:tcW w:w="907" w:type="dxa"/>
            <w:tcBorders>
              <w:top w:val="single" w:sz="6" w:space="0" w:color="auto"/>
              <w:bottom w:val="single" w:sz="6" w:space="0" w:color="auto"/>
            </w:tcBorders>
          </w:tcPr>
          <w:p w14:paraId="03ED164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24 904</w:t>
            </w:r>
          </w:p>
        </w:tc>
        <w:tc>
          <w:tcPr>
            <w:tcW w:w="907" w:type="dxa"/>
            <w:tcBorders>
              <w:top w:val="single" w:sz="6" w:space="0" w:color="auto"/>
              <w:bottom w:val="single" w:sz="6" w:space="0" w:color="auto"/>
            </w:tcBorders>
          </w:tcPr>
          <w:p w14:paraId="397B9B5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26 120</w:t>
            </w:r>
          </w:p>
        </w:tc>
        <w:tc>
          <w:tcPr>
            <w:tcW w:w="907" w:type="dxa"/>
            <w:tcBorders>
              <w:top w:val="single" w:sz="6" w:space="0" w:color="auto"/>
              <w:bottom w:val="single" w:sz="6" w:space="0" w:color="auto"/>
            </w:tcBorders>
          </w:tcPr>
          <w:p w14:paraId="56046A9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26 260</w:t>
            </w:r>
          </w:p>
        </w:tc>
        <w:tc>
          <w:tcPr>
            <w:tcW w:w="907" w:type="dxa"/>
            <w:tcBorders>
              <w:top w:val="single" w:sz="6" w:space="0" w:color="auto"/>
              <w:bottom w:val="single" w:sz="6" w:space="0" w:color="auto"/>
            </w:tcBorders>
          </w:tcPr>
          <w:p w14:paraId="027A365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26 722</w:t>
            </w:r>
          </w:p>
        </w:tc>
      </w:tr>
      <w:tr w:rsidR="005E614D" w14:paraId="538B672D"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B7D748E" w14:textId="1082E134" w:rsidR="005E614D" w:rsidRDefault="000C3A94">
            <w:r>
              <w:rPr>
                <w:b/>
              </w:rPr>
              <w:t xml:space="preserve">Net result from transactions – </w:t>
            </w:r>
            <w:r w:rsidR="00583BE8">
              <w:rPr>
                <w:b/>
              </w:rPr>
              <w:t>N</w:t>
            </w:r>
            <w:r>
              <w:rPr>
                <w:b/>
              </w:rPr>
              <w:t>et operating balance</w:t>
            </w:r>
          </w:p>
        </w:tc>
        <w:tc>
          <w:tcPr>
            <w:tcW w:w="907" w:type="dxa"/>
            <w:tcBorders>
              <w:top w:val="single" w:sz="6" w:space="0" w:color="auto"/>
              <w:bottom w:val="single" w:sz="12" w:space="0" w:color="auto"/>
            </w:tcBorders>
          </w:tcPr>
          <w:p w14:paraId="36ED3E0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(2 132)</w:t>
            </w:r>
          </w:p>
        </w:tc>
        <w:tc>
          <w:tcPr>
            <w:tcW w:w="907" w:type="dxa"/>
            <w:tcBorders>
              <w:top w:val="single" w:sz="6" w:space="0" w:color="auto"/>
              <w:bottom w:val="single" w:sz="12" w:space="0" w:color="auto"/>
            </w:tcBorders>
          </w:tcPr>
          <w:p w14:paraId="4670A51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(1 682)</w:t>
            </w:r>
          </w:p>
        </w:tc>
        <w:tc>
          <w:tcPr>
            <w:tcW w:w="907" w:type="dxa"/>
            <w:tcBorders>
              <w:top w:val="single" w:sz="6" w:space="0" w:color="auto"/>
              <w:bottom w:val="single" w:sz="12" w:space="0" w:color="auto"/>
            </w:tcBorders>
          </w:tcPr>
          <w:p w14:paraId="6A79954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(2 239)</w:t>
            </w:r>
          </w:p>
        </w:tc>
        <w:tc>
          <w:tcPr>
            <w:tcW w:w="907" w:type="dxa"/>
            <w:tcBorders>
              <w:top w:val="single" w:sz="6" w:space="0" w:color="auto"/>
              <w:bottom w:val="single" w:sz="12" w:space="0" w:color="auto"/>
            </w:tcBorders>
          </w:tcPr>
          <w:p w14:paraId="5560BAA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3 053</w:t>
            </w:r>
          </w:p>
        </w:tc>
        <w:tc>
          <w:tcPr>
            <w:tcW w:w="907" w:type="dxa"/>
            <w:tcBorders>
              <w:top w:val="single" w:sz="6" w:space="0" w:color="auto"/>
              <w:bottom w:val="single" w:sz="12" w:space="0" w:color="auto"/>
            </w:tcBorders>
          </w:tcPr>
          <w:p w14:paraId="7AE58E2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(1 758)</w:t>
            </w:r>
          </w:p>
        </w:tc>
      </w:tr>
      <w:tr w:rsidR="005E614D" w14:paraId="772373BB"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260210AD" w14:textId="77777777" w:rsidR="005E614D" w:rsidRDefault="000C3A94">
            <w:r>
              <w:rPr>
                <w:b/>
              </w:rPr>
              <w:t>Other economic flows included in net result</w:t>
            </w:r>
          </w:p>
        </w:tc>
        <w:tc>
          <w:tcPr>
            <w:tcW w:w="907" w:type="dxa"/>
            <w:tcBorders>
              <w:top w:val="single" w:sz="0" w:space="0" w:color="auto"/>
            </w:tcBorders>
          </w:tcPr>
          <w:p w14:paraId="384682D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415F1E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8ED300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E58A74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A17339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B8753F9" w14:textId="77777777">
        <w:tc>
          <w:tcPr>
            <w:cnfStyle w:val="001000000000" w:firstRow="0" w:lastRow="0" w:firstColumn="1" w:lastColumn="0" w:oddVBand="0" w:evenVBand="0" w:oddHBand="0" w:evenHBand="0" w:firstRowFirstColumn="0" w:firstRowLastColumn="0" w:lastRowFirstColumn="0" w:lastRowLastColumn="0"/>
            <w:tcW w:w="5103" w:type="dxa"/>
          </w:tcPr>
          <w:p w14:paraId="261BD681" w14:textId="77777777" w:rsidR="005E614D" w:rsidRDefault="000C3A94">
            <w:r>
              <w:t>Net gain/(loss) on disposal of non</w:t>
            </w:r>
            <w:r>
              <w:noBreakHyphen/>
              <w:t>financial assets</w:t>
            </w:r>
          </w:p>
        </w:tc>
        <w:tc>
          <w:tcPr>
            <w:tcW w:w="907" w:type="dxa"/>
          </w:tcPr>
          <w:p w14:paraId="1500D939" w14:textId="77777777" w:rsidR="005E614D" w:rsidRDefault="000C3A94">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5C9A28B0" w14:textId="77777777" w:rsidR="005E614D" w:rsidRDefault="000C3A94">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2117BEA2" w14:textId="77777777" w:rsidR="005E614D" w:rsidRDefault="000C3A94">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6F90666"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3A773DB6" w14:textId="77777777" w:rsidR="005E614D" w:rsidRDefault="000C3A94">
            <w:pPr>
              <w:cnfStyle w:val="000000000000" w:firstRow="0" w:lastRow="0" w:firstColumn="0" w:lastColumn="0" w:oddVBand="0" w:evenVBand="0" w:oddHBand="0" w:evenHBand="0" w:firstRowFirstColumn="0" w:firstRowLastColumn="0" w:lastRowFirstColumn="0" w:lastRowLastColumn="0"/>
            </w:pPr>
            <w:r>
              <w:t>(47)</w:t>
            </w:r>
          </w:p>
        </w:tc>
      </w:tr>
      <w:tr w:rsidR="005E614D" w14:paraId="5D0D1033" w14:textId="77777777">
        <w:tc>
          <w:tcPr>
            <w:cnfStyle w:val="001000000000" w:firstRow="0" w:lastRow="0" w:firstColumn="1" w:lastColumn="0" w:oddVBand="0" w:evenVBand="0" w:oddHBand="0" w:evenHBand="0" w:firstRowFirstColumn="0" w:firstRowLastColumn="0" w:lastRowFirstColumn="0" w:lastRowLastColumn="0"/>
            <w:tcW w:w="5103" w:type="dxa"/>
          </w:tcPr>
          <w:p w14:paraId="61AD3DAA" w14:textId="77777777" w:rsidR="005E614D" w:rsidRDefault="000C3A94">
            <w:r>
              <w:t>Net gain/(loss) on financial assets or liabilities at fair value</w:t>
            </w:r>
          </w:p>
        </w:tc>
        <w:tc>
          <w:tcPr>
            <w:tcW w:w="907" w:type="dxa"/>
          </w:tcPr>
          <w:p w14:paraId="4E23842A" w14:textId="77777777" w:rsidR="005E614D" w:rsidRDefault="000C3A94">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43921E31" w14:textId="77777777" w:rsidR="005E614D" w:rsidRDefault="000C3A94">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579D1CF5" w14:textId="77777777" w:rsidR="005E614D" w:rsidRDefault="000C3A94">
            <w:pPr>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416CD711" w14:textId="77777777" w:rsidR="005E614D" w:rsidRDefault="000C3A94">
            <w:pPr>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07838EE1" w14:textId="77777777" w:rsidR="005E614D" w:rsidRDefault="000C3A94">
            <w:pPr>
              <w:cnfStyle w:val="000000000000" w:firstRow="0" w:lastRow="0" w:firstColumn="0" w:lastColumn="0" w:oddVBand="0" w:evenVBand="0" w:oddHBand="0" w:evenHBand="0" w:firstRowFirstColumn="0" w:firstRowLastColumn="0" w:lastRowFirstColumn="0" w:lastRowLastColumn="0"/>
            </w:pPr>
            <w:r>
              <w:t>946</w:t>
            </w:r>
          </w:p>
        </w:tc>
      </w:tr>
      <w:tr w:rsidR="005E614D" w14:paraId="7C69A24C" w14:textId="77777777">
        <w:tc>
          <w:tcPr>
            <w:cnfStyle w:val="001000000000" w:firstRow="0" w:lastRow="0" w:firstColumn="1" w:lastColumn="0" w:oddVBand="0" w:evenVBand="0" w:oddHBand="0" w:evenHBand="0" w:firstRowFirstColumn="0" w:firstRowLastColumn="0" w:lastRowFirstColumn="0" w:lastRowLastColumn="0"/>
            <w:tcW w:w="5103" w:type="dxa"/>
          </w:tcPr>
          <w:p w14:paraId="593352C9" w14:textId="77777777" w:rsidR="005E614D" w:rsidRDefault="000C3A94">
            <w:r>
              <w:t>Share of net profit/(loss) from associates/joint venture entities</w:t>
            </w:r>
          </w:p>
        </w:tc>
        <w:tc>
          <w:tcPr>
            <w:tcW w:w="907" w:type="dxa"/>
          </w:tcPr>
          <w:p w14:paraId="20FBD631" w14:textId="77777777" w:rsidR="005E614D" w:rsidRDefault="000C3A94">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7854E239"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77AF66" w14:textId="77777777" w:rsidR="005E614D" w:rsidRDefault="000C3A94">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6990BE49" w14:textId="77777777" w:rsidR="005E614D" w:rsidRDefault="000C3A94">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70E0D573" w14:textId="77777777" w:rsidR="005E614D" w:rsidRDefault="000C3A94">
            <w:pPr>
              <w:cnfStyle w:val="000000000000" w:firstRow="0" w:lastRow="0" w:firstColumn="0" w:lastColumn="0" w:oddVBand="0" w:evenVBand="0" w:oddHBand="0" w:evenHBand="0" w:firstRowFirstColumn="0" w:firstRowLastColumn="0" w:lastRowFirstColumn="0" w:lastRowLastColumn="0"/>
            </w:pPr>
            <w:r>
              <w:t>(34)</w:t>
            </w:r>
          </w:p>
        </w:tc>
      </w:tr>
      <w:tr w:rsidR="005E614D" w14:paraId="6D15131E"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B8431D2" w14:textId="77777777" w:rsidR="005E614D" w:rsidRDefault="000C3A94">
            <w:r>
              <w:t>Other gains/(losses) from other economic flows</w:t>
            </w:r>
          </w:p>
        </w:tc>
        <w:tc>
          <w:tcPr>
            <w:tcW w:w="907" w:type="dxa"/>
            <w:tcBorders>
              <w:bottom w:val="single" w:sz="6" w:space="0" w:color="auto"/>
            </w:tcBorders>
          </w:tcPr>
          <w:p w14:paraId="19783B01" w14:textId="77777777" w:rsidR="005E614D" w:rsidRDefault="000C3A94">
            <w:pPr>
              <w:cnfStyle w:val="000000000000" w:firstRow="0" w:lastRow="0" w:firstColumn="0" w:lastColumn="0" w:oddVBand="0" w:evenVBand="0" w:oddHBand="0" w:evenHBand="0" w:firstRowFirstColumn="0" w:firstRowLastColumn="0" w:lastRowFirstColumn="0" w:lastRowLastColumn="0"/>
            </w:pPr>
            <w:r>
              <w:t>(112)</w:t>
            </w:r>
          </w:p>
        </w:tc>
        <w:tc>
          <w:tcPr>
            <w:tcW w:w="907" w:type="dxa"/>
            <w:tcBorders>
              <w:bottom w:val="single" w:sz="6" w:space="0" w:color="auto"/>
            </w:tcBorders>
          </w:tcPr>
          <w:p w14:paraId="347C56A0" w14:textId="77777777" w:rsidR="005E614D" w:rsidRDefault="000C3A94">
            <w:pPr>
              <w:cnfStyle w:val="000000000000" w:firstRow="0" w:lastRow="0" w:firstColumn="0" w:lastColumn="0" w:oddVBand="0" w:evenVBand="0" w:oddHBand="0" w:evenHBand="0" w:firstRowFirstColumn="0" w:firstRowLastColumn="0" w:lastRowFirstColumn="0" w:lastRowLastColumn="0"/>
            </w:pPr>
            <w:r>
              <w:t>(148)</w:t>
            </w:r>
          </w:p>
        </w:tc>
        <w:tc>
          <w:tcPr>
            <w:tcW w:w="907" w:type="dxa"/>
            <w:tcBorders>
              <w:bottom w:val="single" w:sz="6" w:space="0" w:color="auto"/>
            </w:tcBorders>
          </w:tcPr>
          <w:p w14:paraId="211419FC" w14:textId="77777777" w:rsidR="005E614D" w:rsidRDefault="000C3A94">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1B359491" w14:textId="77777777" w:rsidR="005E614D" w:rsidRDefault="000C3A94">
            <w:pPr>
              <w:cnfStyle w:val="000000000000" w:firstRow="0" w:lastRow="0" w:firstColumn="0" w:lastColumn="0" w:oddVBand="0" w:evenVBand="0" w:oddHBand="0" w:evenHBand="0" w:firstRowFirstColumn="0" w:firstRowLastColumn="0" w:lastRowFirstColumn="0" w:lastRowLastColumn="0"/>
            </w:pPr>
            <w:r>
              <w:t>(69)</w:t>
            </w:r>
          </w:p>
        </w:tc>
        <w:tc>
          <w:tcPr>
            <w:tcW w:w="907" w:type="dxa"/>
            <w:tcBorders>
              <w:bottom w:val="single" w:sz="6" w:space="0" w:color="auto"/>
            </w:tcBorders>
          </w:tcPr>
          <w:p w14:paraId="7191451B" w14:textId="77777777" w:rsidR="005E614D" w:rsidRDefault="000C3A94">
            <w:pPr>
              <w:cnfStyle w:val="000000000000" w:firstRow="0" w:lastRow="0" w:firstColumn="0" w:lastColumn="0" w:oddVBand="0" w:evenVBand="0" w:oddHBand="0" w:evenHBand="0" w:firstRowFirstColumn="0" w:firstRowLastColumn="0" w:lastRowFirstColumn="0" w:lastRowLastColumn="0"/>
            </w:pPr>
            <w:r>
              <w:t>(285)</w:t>
            </w:r>
          </w:p>
        </w:tc>
      </w:tr>
      <w:tr w:rsidR="005E614D" w14:paraId="5C8554DD"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C8B5EE8" w14:textId="77777777" w:rsidR="005E614D" w:rsidRDefault="000C3A94">
            <w:r>
              <w:rPr>
                <w:b/>
              </w:rPr>
              <w:t>Total other economic flows included in net result</w:t>
            </w:r>
          </w:p>
        </w:tc>
        <w:tc>
          <w:tcPr>
            <w:tcW w:w="907" w:type="dxa"/>
            <w:tcBorders>
              <w:top w:val="single" w:sz="6" w:space="0" w:color="auto"/>
              <w:bottom w:val="single" w:sz="6" w:space="0" w:color="auto"/>
            </w:tcBorders>
          </w:tcPr>
          <w:p w14:paraId="69C4D19B"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(347)</w:t>
            </w:r>
          </w:p>
        </w:tc>
        <w:tc>
          <w:tcPr>
            <w:tcW w:w="907" w:type="dxa"/>
            <w:tcBorders>
              <w:top w:val="single" w:sz="6" w:space="0" w:color="auto"/>
              <w:bottom w:val="single" w:sz="6" w:space="0" w:color="auto"/>
            </w:tcBorders>
          </w:tcPr>
          <w:p w14:paraId="3EAA13A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(174)</w:t>
            </w:r>
          </w:p>
        </w:tc>
        <w:tc>
          <w:tcPr>
            <w:tcW w:w="907" w:type="dxa"/>
            <w:tcBorders>
              <w:top w:val="single" w:sz="6" w:space="0" w:color="auto"/>
              <w:bottom w:val="single" w:sz="6" w:space="0" w:color="auto"/>
            </w:tcBorders>
          </w:tcPr>
          <w:p w14:paraId="1DC0E08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359</w:t>
            </w:r>
          </w:p>
        </w:tc>
        <w:tc>
          <w:tcPr>
            <w:tcW w:w="907" w:type="dxa"/>
            <w:tcBorders>
              <w:top w:val="single" w:sz="6" w:space="0" w:color="auto"/>
              <w:bottom w:val="single" w:sz="6" w:space="0" w:color="auto"/>
            </w:tcBorders>
          </w:tcPr>
          <w:p w14:paraId="0B72ACB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(169)</w:t>
            </w:r>
          </w:p>
        </w:tc>
        <w:tc>
          <w:tcPr>
            <w:tcW w:w="907" w:type="dxa"/>
            <w:tcBorders>
              <w:top w:val="single" w:sz="6" w:space="0" w:color="auto"/>
              <w:bottom w:val="single" w:sz="6" w:space="0" w:color="auto"/>
            </w:tcBorders>
          </w:tcPr>
          <w:p w14:paraId="4958536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579</w:t>
            </w:r>
          </w:p>
        </w:tc>
      </w:tr>
      <w:tr w:rsidR="005E614D" w14:paraId="3A5EA56B"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2157B14" w14:textId="77777777" w:rsidR="005E614D" w:rsidRDefault="000C3A94">
            <w:r>
              <w:rPr>
                <w:b/>
              </w:rPr>
              <w:t>Net result</w:t>
            </w:r>
          </w:p>
        </w:tc>
        <w:tc>
          <w:tcPr>
            <w:tcW w:w="907" w:type="dxa"/>
            <w:tcBorders>
              <w:top w:val="single" w:sz="6" w:space="0" w:color="auto"/>
              <w:bottom w:val="single" w:sz="6" w:space="0" w:color="auto"/>
            </w:tcBorders>
          </w:tcPr>
          <w:p w14:paraId="0D1F6B1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(2 478)</w:t>
            </w:r>
          </w:p>
        </w:tc>
        <w:tc>
          <w:tcPr>
            <w:tcW w:w="907" w:type="dxa"/>
            <w:tcBorders>
              <w:top w:val="single" w:sz="6" w:space="0" w:color="auto"/>
              <w:bottom w:val="single" w:sz="6" w:space="0" w:color="auto"/>
            </w:tcBorders>
          </w:tcPr>
          <w:p w14:paraId="095CD78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(1 856)</w:t>
            </w:r>
          </w:p>
        </w:tc>
        <w:tc>
          <w:tcPr>
            <w:tcW w:w="907" w:type="dxa"/>
            <w:tcBorders>
              <w:top w:val="single" w:sz="6" w:space="0" w:color="auto"/>
              <w:bottom w:val="single" w:sz="6" w:space="0" w:color="auto"/>
            </w:tcBorders>
          </w:tcPr>
          <w:p w14:paraId="49C55C61"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(1 880)</w:t>
            </w:r>
          </w:p>
        </w:tc>
        <w:tc>
          <w:tcPr>
            <w:tcW w:w="907" w:type="dxa"/>
            <w:tcBorders>
              <w:top w:val="single" w:sz="6" w:space="0" w:color="auto"/>
              <w:bottom w:val="single" w:sz="6" w:space="0" w:color="auto"/>
            </w:tcBorders>
          </w:tcPr>
          <w:p w14:paraId="3375D9F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2 885</w:t>
            </w:r>
          </w:p>
        </w:tc>
        <w:tc>
          <w:tcPr>
            <w:tcW w:w="907" w:type="dxa"/>
            <w:tcBorders>
              <w:top w:val="single" w:sz="6" w:space="0" w:color="auto"/>
              <w:bottom w:val="single" w:sz="6" w:space="0" w:color="auto"/>
            </w:tcBorders>
          </w:tcPr>
          <w:p w14:paraId="4B37E52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(1 179)</w:t>
            </w:r>
          </w:p>
        </w:tc>
      </w:tr>
      <w:tr w:rsidR="005E614D" w14:paraId="3A712BDB"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BFCBFB4" w14:textId="67D7785B" w:rsidR="005E614D" w:rsidRDefault="000C3A94">
            <w:r>
              <w:rPr>
                <w:b/>
              </w:rPr>
              <w:t xml:space="preserve">Other economic flows – </w:t>
            </w:r>
            <w:r w:rsidR="003371E5">
              <w:rPr>
                <w:b/>
              </w:rPr>
              <w:t>O</w:t>
            </w:r>
            <w:r>
              <w:rPr>
                <w:b/>
              </w:rPr>
              <w:t>ther comprehensive income</w:t>
            </w:r>
          </w:p>
        </w:tc>
        <w:tc>
          <w:tcPr>
            <w:tcW w:w="907" w:type="dxa"/>
            <w:tcBorders>
              <w:top w:val="single" w:sz="6" w:space="0" w:color="auto"/>
            </w:tcBorders>
          </w:tcPr>
          <w:p w14:paraId="0A53415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6FDB3F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DEDE80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AEAC0C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AF1D47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E264BEC" w14:textId="77777777">
        <w:tc>
          <w:tcPr>
            <w:cnfStyle w:val="001000000000" w:firstRow="0" w:lastRow="0" w:firstColumn="1" w:lastColumn="0" w:oddVBand="0" w:evenVBand="0" w:oddHBand="0" w:evenHBand="0" w:firstRowFirstColumn="0" w:firstRowLastColumn="0" w:lastRowFirstColumn="0" w:lastRowLastColumn="0"/>
            <w:tcW w:w="5103" w:type="dxa"/>
          </w:tcPr>
          <w:p w14:paraId="22AC3ABD" w14:textId="77777777" w:rsidR="005E614D" w:rsidRDefault="000C3A94">
            <w:r>
              <w:rPr>
                <w:b/>
              </w:rPr>
              <w:t>Items that will not be reclassified to net result</w:t>
            </w:r>
          </w:p>
        </w:tc>
        <w:tc>
          <w:tcPr>
            <w:tcW w:w="907" w:type="dxa"/>
          </w:tcPr>
          <w:p w14:paraId="445637C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AA5D1D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66EE53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75C41D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9571DF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A162E50" w14:textId="77777777">
        <w:tc>
          <w:tcPr>
            <w:cnfStyle w:val="001000000000" w:firstRow="0" w:lastRow="0" w:firstColumn="1" w:lastColumn="0" w:oddVBand="0" w:evenVBand="0" w:oddHBand="0" w:evenHBand="0" w:firstRowFirstColumn="0" w:firstRowLastColumn="0" w:lastRowFirstColumn="0" w:lastRowLastColumn="0"/>
            <w:tcW w:w="5103" w:type="dxa"/>
          </w:tcPr>
          <w:p w14:paraId="1E3B94D9" w14:textId="77777777" w:rsidR="005E614D" w:rsidRDefault="000C3A94">
            <w:r>
              <w:t>Changes in non</w:t>
            </w:r>
            <w:r>
              <w:noBreakHyphen/>
              <w:t>financial assets revaluation surplus</w:t>
            </w:r>
          </w:p>
        </w:tc>
        <w:tc>
          <w:tcPr>
            <w:tcW w:w="907" w:type="dxa"/>
          </w:tcPr>
          <w:p w14:paraId="6ECA02E6" w14:textId="77777777" w:rsidR="005E614D" w:rsidRDefault="000C3A94">
            <w:pPr>
              <w:cnfStyle w:val="000000000000" w:firstRow="0" w:lastRow="0" w:firstColumn="0" w:lastColumn="0" w:oddVBand="0" w:evenVBand="0" w:oddHBand="0" w:evenHBand="0" w:firstRowFirstColumn="0" w:firstRowLastColumn="0" w:lastRowFirstColumn="0" w:lastRowLastColumn="0"/>
            </w:pPr>
            <w:r>
              <w:t>7 185</w:t>
            </w:r>
          </w:p>
        </w:tc>
        <w:tc>
          <w:tcPr>
            <w:tcW w:w="907" w:type="dxa"/>
          </w:tcPr>
          <w:p w14:paraId="56DE28FD" w14:textId="77777777" w:rsidR="005E614D" w:rsidRDefault="000C3A94">
            <w:pPr>
              <w:cnfStyle w:val="000000000000" w:firstRow="0" w:lastRow="0" w:firstColumn="0" w:lastColumn="0" w:oddVBand="0" w:evenVBand="0" w:oddHBand="0" w:evenHBand="0" w:firstRowFirstColumn="0" w:firstRowLastColumn="0" w:lastRowFirstColumn="0" w:lastRowLastColumn="0"/>
            </w:pPr>
            <w:r>
              <w:t>586</w:t>
            </w:r>
          </w:p>
        </w:tc>
        <w:tc>
          <w:tcPr>
            <w:tcW w:w="907" w:type="dxa"/>
          </w:tcPr>
          <w:p w14:paraId="23D7606E" w14:textId="77777777" w:rsidR="005E614D" w:rsidRDefault="000C3A94">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189B32BB" w14:textId="77777777" w:rsidR="005E614D" w:rsidRDefault="000C3A94">
            <w:pPr>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14F5F073" w14:textId="77777777" w:rsidR="005E614D" w:rsidRDefault="000C3A94">
            <w:pPr>
              <w:cnfStyle w:val="000000000000" w:firstRow="0" w:lastRow="0" w:firstColumn="0" w:lastColumn="0" w:oddVBand="0" w:evenVBand="0" w:oddHBand="0" w:evenHBand="0" w:firstRowFirstColumn="0" w:firstRowLastColumn="0" w:lastRowFirstColumn="0" w:lastRowLastColumn="0"/>
            </w:pPr>
            <w:r>
              <w:t>8 385</w:t>
            </w:r>
          </w:p>
        </w:tc>
      </w:tr>
      <w:tr w:rsidR="005E614D" w14:paraId="7AC29138" w14:textId="77777777">
        <w:tc>
          <w:tcPr>
            <w:cnfStyle w:val="001000000000" w:firstRow="0" w:lastRow="0" w:firstColumn="1" w:lastColumn="0" w:oddVBand="0" w:evenVBand="0" w:oddHBand="0" w:evenHBand="0" w:firstRowFirstColumn="0" w:firstRowLastColumn="0" w:lastRowFirstColumn="0" w:lastRowLastColumn="0"/>
            <w:tcW w:w="5103" w:type="dxa"/>
          </w:tcPr>
          <w:p w14:paraId="7FFB9849" w14:textId="77777777" w:rsidR="005E614D" w:rsidRDefault="000C3A94">
            <w:r>
              <w:t>Remeasurement of superannuation defined benefits plans</w:t>
            </w:r>
          </w:p>
        </w:tc>
        <w:tc>
          <w:tcPr>
            <w:tcW w:w="907" w:type="dxa"/>
          </w:tcPr>
          <w:p w14:paraId="720E37EE" w14:textId="77777777" w:rsidR="005E614D" w:rsidRDefault="000C3A94">
            <w:pPr>
              <w:cnfStyle w:val="000000000000" w:firstRow="0" w:lastRow="0" w:firstColumn="0" w:lastColumn="0" w:oddVBand="0" w:evenVBand="0" w:oddHBand="0" w:evenHBand="0" w:firstRowFirstColumn="0" w:firstRowLastColumn="0" w:lastRowFirstColumn="0" w:lastRowLastColumn="0"/>
            </w:pPr>
            <w:r>
              <w:t>1 418</w:t>
            </w:r>
          </w:p>
        </w:tc>
        <w:tc>
          <w:tcPr>
            <w:tcW w:w="907" w:type="dxa"/>
          </w:tcPr>
          <w:p w14:paraId="268498C7" w14:textId="77777777" w:rsidR="005E614D" w:rsidRDefault="000C3A94">
            <w:pPr>
              <w:cnfStyle w:val="000000000000" w:firstRow="0" w:lastRow="0" w:firstColumn="0" w:lastColumn="0" w:oddVBand="0" w:evenVBand="0" w:oddHBand="0" w:evenHBand="0" w:firstRowFirstColumn="0" w:firstRowLastColumn="0" w:lastRowFirstColumn="0" w:lastRowLastColumn="0"/>
            </w:pPr>
            <w:r>
              <w:t>(978)</w:t>
            </w:r>
          </w:p>
        </w:tc>
        <w:tc>
          <w:tcPr>
            <w:tcW w:w="907" w:type="dxa"/>
          </w:tcPr>
          <w:p w14:paraId="47E5D2C0" w14:textId="77777777" w:rsidR="005E614D" w:rsidRDefault="000C3A94">
            <w:pPr>
              <w:cnfStyle w:val="000000000000" w:firstRow="0" w:lastRow="0" w:firstColumn="0" w:lastColumn="0" w:oddVBand="0" w:evenVBand="0" w:oddHBand="0" w:evenHBand="0" w:firstRowFirstColumn="0" w:firstRowLastColumn="0" w:lastRowFirstColumn="0" w:lastRowLastColumn="0"/>
            </w:pPr>
            <w:r>
              <w:t>2 181</w:t>
            </w:r>
          </w:p>
        </w:tc>
        <w:tc>
          <w:tcPr>
            <w:tcW w:w="907" w:type="dxa"/>
          </w:tcPr>
          <w:p w14:paraId="56D2DC07" w14:textId="77777777" w:rsidR="005E614D" w:rsidRDefault="000C3A94">
            <w:pPr>
              <w:cnfStyle w:val="000000000000" w:firstRow="0" w:lastRow="0" w:firstColumn="0" w:lastColumn="0" w:oddVBand="0" w:evenVBand="0" w:oddHBand="0" w:evenHBand="0" w:firstRowFirstColumn="0" w:firstRowLastColumn="0" w:lastRowFirstColumn="0" w:lastRowLastColumn="0"/>
            </w:pPr>
            <w:r>
              <w:t>61</w:t>
            </w:r>
          </w:p>
        </w:tc>
        <w:tc>
          <w:tcPr>
            <w:tcW w:w="907" w:type="dxa"/>
          </w:tcPr>
          <w:p w14:paraId="724FCEEF" w14:textId="77777777" w:rsidR="005E614D" w:rsidRDefault="000C3A94">
            <w:pPr>
              <w:cnfStyle w:val="000000000000" w:firstRow="0" w:lastRow="0" w:firstColumn="0" w:lastColumn="0" w:oddVBand="0" w:evenVBand="0" w:oddHBand="0" w:evenHBand="0" w:firstRowFirstColumn="0" w:firstRowLastColumn="0" w:lastRowFirstColumn="0" w:lastRowLastColumn="0"/>
            </w:pPr>
            <w:r>
              <w:t>(478)</w:t>
            </w:r>
          </w:p>
        </w:tc>
      </w:tr>
      <w:tr w:rsidR="005E614D" w14:paraId="1587BC57" w14:textId="77777777">
        <w:tc>
          <w:tcPr>
            <w:cnfStyle w:val="001000000000" w:firstRow="0" w:lastRow="0" w:firstColumn="1" w:lastColumn="0" w:oddVBand="0" w:evenVBand="0" w:oddHBand="0" w:evenHBand="0" w:firstRowFirstColumn="0" w:firstRowLastColumn="0" w:lastRowFirstColumn="0" w:lastRowLastColumn="0"/>
            <w:tcW w:w="5103" w:type="dxa"/>
          </w:tcPr>
          <w:p w14:paraId="154A0EDA" w14:textId="77777777" w:rsidR="005E614D" w:rsidRDefault="000C3A94">
            <w:r>
              <w:t>Other movements in equity</w:t>
            </w:r>
          </w:p>
        </w:tc>
        <w:tc>
          <w:tcPr>
            <w:tcW w:w="907" w:type="dxa"/>
          </w:tcPr>
          <w:p w14:paraId="55287E43" w14:textId="77777777" w:rsidR="005E614D" w:rsidRDefault="000C3A94">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0D80AB9B" w14:textId="77777777" w:rsidR="005E614D" w:rsidRDefault="000C3A94">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1C4415EE" w14:textId="77777777" w:rsidR="005E614D" w:rsidRDefault="000C3A94">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7B09FCE9" w14:textId="77777777" w:rsidR="005E614D" w:rsidRDefault="000C3A94">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4938725A" w14:textId="77777777" w:rsidR="005E614D" w:rsidRDefault="000C3A94">
            <w:pPr>
              <w:cnfStyle w:val="000000000000" w:firstRow="0" w:lastRow="0" w:firstColumn="0" w:lastColumn="0" w:oddVBand="0" w:evenVBand="0" w:oddHBand="0" w:evenHBand="0" w:firstRowFirstColumn="0" w:firstRowLastColumn="0" w:lastRowFirstColumn="0" w:lastRowLastColumn="0"/>
            </w:pPr>
            <w:r>
              <w:t>(2)</w:t>
            </w:r>
          </w:p>
        </w:tc>
      </w:tr>
      <w:tr w:rsidR="005E614D" w14:paraId="4C8F6BF3" w14:textId="77777777">
        <w:tc>
          <w:tcPr>
            <w:cnfStyle w:val="001000000000" w:firstRow="0" w:lastRow="0" w:firstColumn="1" w:lastColumn="0" w:oddVBand="0" w:evenVBand="0" w:oddHBand="0" w:evenHBand="0" w:firstRowFirstColumn="0" w:firstRowLastColumn="0" w:lastRowFirstColumn="0" w:lastRowLastColumn="0"/>
            <w:tcW w:w="5103" w:type="dxa"/>
          </w:tcPr>
          <w:p w14:paraId="135120B0" w14:textId="77777777" w:rsidR="005E614D" w:rsidRDefault="000C3A94">
            <w:r>
              <w:rPr>
                <w:b/>
              </w:rPr>
              <w:t>Items that may be reclassified subsequently to net result</w:t>
            </w:r>
          </w:p>
        </w:tc>
        <w:tc>
          <w:tcPr>
            <w:tcW w:w="907" w:type="dxa"/>
          </w:tcPr>
          <w:p w14:paraId="2A5FB39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4787AE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D1080E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4D2D2D1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9271CF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C05EC6A" w14:textId="77777777">
        <w:tc>
          <w:tcPr>
            <w:cnfStyle w:val="001000000000" w:firstRow="0" w:lastRow="0" w:firstColumn="1" w:lastColumn="0" w:oddVBand="0" w:evenVBand="0" w:oddHBand="0" w:evenHBand="0" w:firstRowFirstColumn="0" w:firstRowLastColumn="0" w:lastRowFirstColumn="0" w:lastRowLastColumn="0"/>
            <w:tcW w:w="5103" w:type="dxa"/>
          </w:tcPr>
          <w:p w14:paraId="352D2DE8" w14:textId="77777777" w:rsidR="005E614D" w:rsidRDefault="000C3A94">
            <w:r>
              <w:t>Net gain/(loss) on financial assets at fair value</w:t>
            </w:r>
          </w:p>
        </w:tc>
        <w:tc>
          <w:tcPr>
            <w:tcW w:w="907" w:type="dxa"/>
          </w:tcPr>
          <w:p w14:paraId="2146F4F3"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3A2FD5AF" w14:textId="77777777" w:rsidR="005E614D" w:rsidRDefault="000C3A94">
            <w:pPr>
              <w:cnfStyle w:val="000000000000" w:firstRow="0" w:lastRow="0" w:firstColumn="0" w:lastColumn="0" w:oddVBand="0" w:evenVBand="0" w:oddHBand="0" w:evenHBand="0" w:firstRowFirstColumn="0" w:firstRowLastColumn="0" w:lastRowFirstColumn="0" w:lastRowLastColumn="0"/>
            </w:pPr>
            <w:r>
              <w:t>(16)</w:t>
            </w:r>
          </w:p>
        </w:tc>
        <w:tc>
          <w:tcPr>
            <w:tcW w:w="907" w:type="dxa"/>
          </w:tcPr>
          <w:p w14:paraId="58257862" w14:textId="77777777" w:rsidR="005E614D" w:rsidRDefault="000C3A94">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30883154" w14:textId="77777777" w:rsidR="005E614D" w:rsidRDefault="000C3A94">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3D9224D" w14:textId="77777777" w:rsidR="005E614D" w:rsidRDefault="000C3A94">
            <w:pPr>
              <w:cnfStyle w:val="000000000000" w:firstRow="0" w:lastRow="0" w:firstColumn="0" w:lastColumn="0" w:oddVBand="0" w:evenVBand="0" w:oddHBand="0" w:evenHBand="0" w:firstRowFirstColumn="0" w:firstRowLastColumn="0" w:lastRowFirstColumn="0" w:lastRowLastColumn="0"/>
            </w:pPr>
            <w:r>
              <w:t>(11)</w:t>
            </w:r>
          </w:p>
        </w:tc>
      </w:tr>
      <w:tr w:rsidR="005E614D" w14:paraId="76C426FA"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A4B95DF" w14:textId="77777777" w:rsidR="005E614D" w:rsidRDefault="000C3A94">
            <w:r>
              <w:t>Net gain/(loss) on equity investments in other sector entities at proportional share of the carrying amount of net assets</w:t>
            </w:r>
          </w:p>
        </w:tc>
        <w:tc>
          <w:tcPr>
            <w:tcW w:w="907" w:type="dxa"/>
            <w:tcBorders>
              <w:bottom w:val="single" w:sz="6" w:space="0" w:color="auto"/>
            </w:tcBorders>
          </w:tcPr>
          <w:p w14:paraId="00C14D21" w14:textId="77777777" w:rsidR="005E614D" w:rsidRDefault="000C3A94">
            <w:pPr>
              <w:cnfStyle w:val="000000000000" w:firstRow="0" w:lastRow="0" w:firstColumn="0" w:lastColumn="0" w:oddVBand="0" w:evenVBand="0" w:oddHBand="0" w:evenHBand="0" w:firstRowFirstColumn="0" w:firstRowLastColumn="0" w:lastRowFirstColumn="0" w:lastRowLastColumn="0"/>
            </w:pPr>
            <w:r>
              <w:t>441</w:t>
            </w:r>
          </w:p>
        </w:tc>
        <w:tc>
          <w:tcPr>
            <w:tcW w:w="907" w:type="dxa"/>
            <w:tcBorders>
              <w:bottom w:val="single" w:sz="6" w:space="0" w:color="auto"/>
            </w:tcBorders>
          </w:tcPr>
          <w:p w14:paraId="12B8988C"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EC0F71F" w14:textId="77777777" w:rsidR="005E614D" w:rsidRDefault="000C3A94">
            <w:pPr>
              <w:cnfStyle w:val="000000000000" w:firstRow="0" w:lastRow="0" w:firstColumn="0" w:lastColumn="0" w:oddVBand="0" w:evenVBand="0" w:oddHBand="0" w:evenHBand="0" w:firstRowFirstColumn="0" w:firstRowLastColumn="0" w:lastRowFirstColumn="0" w:lastRowLastColumn="0"/>
            </w:pPr>
            <w:r>
              <w:t>(524)</w:t>
            </w:r>
          </w:p>
        </w:tc>
        <w:tc>
          <w:tcPr>
            <w:tcW w:w="907" w:type="dxa"/>
            <w:tcBorders>
              <w:bottom w:val="single" w:sz="6" w:space="0" w:color="auto"/>
            </w:tcBorders>
          </w:tcPr>
          <w:p w14:paraId="5BD53172" w14:textId="77777777" w:rsidR="005E614D" w:rsidRDefault="000C3A94">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CD6C805" w14:textId="77777777" w:rsidR="005E614D" w:rsidRDefault="000C3A94">
            <w:pPr>
              <w:cnfStyle w:val="000000000000" w:firstRow="0" w:lastRow="0" w:firstColumn="0" w:lastColumn="0" w:oddVBand="0" w:evenVBand="0" w:oddHBand="0" w:evenHBand="0" w:firstRowFirstColumn="0" w:firstRowLastColumn="0" w:lastRowFirstColumn="0" w:lastRowLastColumn="0"/>
            </w:pPr>
            <w:r>
              <w:t>(8 063)</w:t>
            </w:r>
          </w:p>
        </w:tc>
      </w:tr>
      <w:tr w:rsidR="005E614D" w14:paraId="134C7561"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5E1849BE" w14:textId="0B457051" w:rsidR="005E614D" w:rsidRDefault="000C3A94">
            <w:r>
              <w:rPr>
                <w:b/>
              </w:rPr>
              <w:t xml:space="preserve">Total other economic flows – </w:t>
            </w:r>
            <w:r w:rsidR="003371E5">
              <w:rPr>
                <w:b/>
              </w:rPr>
              <w:t>O</w:t>
            </w:r>
            <w:r>
              <w:rPr>
                <w:b/>
              </w:rPr>
              <w:t>ther comprehensive income</w:t>
            </w:r>
          </w:p>
        </w:tc>
        <w:tc>
          <w:tcPr>
            <w:tcW w:w="907" w:type="dxa"/>
            <w:tcBorders>
              <w:top w:val="single" w:sz="6" w:space="0" w:color="auto"/>
              <w:bottom w:val="single" w:sz="6" w:space="0" w:color="auto"/>
            </w:tcBorders>
          </w:tcPr>
          <w:p w14:paraId="64D1E0D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9 052</w:t>
            </w:r>
          </w:p>
        </w:tc>
        <w:tc>
          <w:tcPr>
            <w:tcW w:w="907" w:type="dxa"/>
            <w:tcBorders>
              <w:top w:val="single" w:sz="6" w:space="0" w:color="auto"/>
              <w:bottom w:val="single" w:sz="6" w:space="0" w:color="auto"/>
            </w:tcBorders>
          </w:tcPr>
          <w:p w14:paraId="62ABFB7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(305)</w:t>
            </w:r>
          </w:p>
        </w:tc>
        <w:tc>
          <w:tcPr>
            <w:tcW w:w="907" w:type="dxa"/>
            <w:tcBorders>
              <w:top w:val="single" w:sz="6" w:space="0" w:color="auto"/>
              <w:bottom w:val="single" w:sz="6" w:space="0" w:color="auto"/>
            </w:tcBorders>
          </w:tcPr>
          <w:p w14:paraId="7AD9D54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1 853</w:t>
            </w:r>
          </w:p>
        </w:tc>
        <w:tc>
          <w:tcPr>
            <w:tcW w:w="907" w:type="dxa"/>
            <w:tcBorders>
              <w:top w:val="single" w:sz="6" w:space="0" w:color="auto"/>
              <w:bottom w:val="single" w:sz="6" w:space="0" w:color="auto"/>
            </w:tcBorders>
          </w:tcPr>
          <w:p w14:paraId="11D7B34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Borders>
              <w:top w:val="single" w:sz="6" w:space="0" w:color="auto"/>
              <w:bottom w:val="single" w:sz="6" w:space="0" w:color="auto"/>
            </w:tcBorders>
          </w:tcPr>
          <w:p w14:paraId="1B04696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(169)</w:t>
            </w:r>
          </w:p>
        </w:tc>
      </w:tr>
      <w:tr w:rsidR="005E614D" w14:paraId="130CC285"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773FBF5C" w14:textId="526FE398" w:rsidR="005E614D" w:rsidRDefault="000C3A94">
            <w:r>
              <w:rPr>
                <w:b/>
              </w:rPr>
              <w:t xml:space="preserve">Comprehensive result – </w:t>
            </w:r>
            <w:r w:rsidR="003371E5">
              <w:rPr>
                <w:b/>
              </w:rPr>
              <w:t>T</w:t>
            </w:r>
            <w:r>
              <w:rPr>
                <w:b/>
              </w:rPr>
              <w:t>otal change in net worth</w:t>
            </w:r>
          </w:p>
        </w:tc>
        <w:tc>
          <w:tcPr>
            <w:tcW w:w="907" w:type="dxa"/>
            <w:tcBorders>
              <w:top w:val="single" w:sz="6" w:space="0" w:color="auto"/>
              <w:bottom w:val="single" w:sz="12" w:space="0" w:color="auto"/>
            </w:tcBorders>
          </w:tcPr>
          <w:p w14:paraId="639D244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6 573</w:t>
            </w:r>
          </w:p>
        </w:tc>
        <w:tc>
          <w:tcPr>
            <w:tcW w:w="907" w:type="dxa"/>
            <w:tcBorders>
              <w:top w:val="single" w:sz="6" w:space="0" w:color="auto"/>
              <w:bottom w:val="single" w:sz="12" w:space="0" w:color="auto"/>
            </w:tcBorders>
          </w:tcPr>
          <w:p w14:paraId="1E86B62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(2 161)</w:t>
            </w:r>
          </w:p>
        </w:tc>
        <w:tc>
          <w:tcPr>
            <w:tcW w:w="907" w:type="dxa"/>
            <w:tcBorders>
              <w:top w:val="single" w:sz="6" w:space="0" w:color="auto"/>
              <w:bottom w:val="single" w:sz="12" w:space="0" w:color="auto"/>
            </w:tcBorders>
          </w:tcPr>
          <w:p w14:paraId="3106CCA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(26)</w:t>
            </w:r>
          </w:p>
        </w:tc>
        <w:tc>
          <w:tcPr>
            <w:tcW w:w="907" w:type="dxa"/>
            <w:tcBorders>
              <w:top w:val="single" w:sz="6" w:space="0" w:color="auto"/>
              <w:bottom w:val="single" w:sz="12" w:space="0" w:color="auto"/>
            </w:tcBorders>
          </w:tcPr>
          <w:p w14:paraId="6CE5543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3 024</w:t>
            </w:r>
          </w:p>
        </w:tc>
        <w:tc>
          <w:tcPr>
            <w:tcW w:w="907" w:type="dxa"/>
            <w:tcBorders>
              <w:top w:val="single" w:sz="6" w:space="0" w:color="auto"/>
              <w:bottom w:val="single" w:sz="12" w:space="0" w:color="auto"/>
            </w:tcBorders>
          </w:tcPr>
          <w:p w14:paraId="34DCBB5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(1 348)</w:t>
            </w:r>
          </w:p>
        </w:tc>
      </w:tr>
      <w:tr w:rsidR="005E614D" w14:paraId="04F703F5"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B8F12B9" w14:textId="77777777" w:rsidR="005E614D" w:rsidRDefault="000C3A94">
            <w:r>
              <w:rPr>
                <w:b/>
              </w:rPr>
              <w:t>KEY FISCAL AGGREGATES</w:t>
            </w:r>
          </w:p>
        </w:tc>
        <w:tc>
          <w:tcPr>
            <w:tcW w:w="907" w:type="dxa"/>
            <w:tcBorders>
              <w:top w:val="single" w:sz="6" w:space="0" w:color="auto"/>
            </w:tcBorders>
          </w:tcPr>
          <w:p w14:paraId="6ACE3C10"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4E3319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AF155F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77C2A8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178DE5B"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36B10B08" w14:textId="77777777">
        <w:tc>
          <w:tcPr>
            <w:cnfStyle w:val="001000000000" w:firstRow="0" w:lastRow="0" w:firstColumn="1" w:lastColumn="0" w:oddVBand="0" w:evenVBand="0" w:oddHBand="0" w:evenHBand="0" w:firstRowFirstColumn="0" w:firstRowLastColumn="0" w:lastRowFirstColumn="0" w:lastRowLastColumn="0"/>
            <w:tcW w:w="5103" w:type="dxa"/>
          </w:tcPr>
          <w:p w14:paraId="135F78A4" w14:textId="77777777" w:rsidR="005E614D" w:rsidRDefault="000C3A94">
            <w:r>
              <w:rPr>
                <w:b/>
              </w:rPr>
              <w:t>Net operating balance</w:t>
            </w:r>
          </w:p>
        </w:tc>
        <w:tc>
          <w:tcPr>
            <w:tcW w:w="907" w:type="dxa"/>
          </w:tcPr>
          <w:p w14:paraId="50A3EC9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(2 132)</w:t>
            </w:r>
          </w:p>
        </w:tc>
        <w:tc>
          <w:tcPr>
            <w:tcW w:w="907" w:type="dxa"/>
          </w:tcPr>
          <w:p w14:paraId="3BB9365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(1 682)</w:t>
            </w:r>
          </w:p>
        </w:tc>
        <w:tc>
          <w:tcPr>
            <w:tcW w:w="907" w:type="dxa"/>
          </w:tcPr>
          <w:p w14:paraId="4B66E31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(2 239)</w:t>
            </w:r>
          </w:p>
        </w:tc>
        <w:tc>
          <w:tcPr>
            <w:tcW w:w="907" w:type="dxa"/>
          </w:tcPr>
          <w:p w14:paraId="45223B93"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3 053</w:t>
            </w:r>
          </w:p>
        </w:tc>
        <w:tc>
          <w:tcPr>
            <w:tcW w:w="907" w:type="dxa"/>
          </w:tcPr>
          <w:p w14:paraId="4D5450E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(1 758)</w:t>
            </w:r>
          </w:p>
        </w:tc>
      </w:tr>
      <w:tr w:rsidR="005E614D" w14:paraId="76979F98"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1010C92" w14:textId="77777777" w:rsidR="005E614D" w:rsidRDefault="000C3A94">
            <w:r>
              <w:t>Less: Net acquisition of non</w:t>
            </w:r>
            <w:r>
              <w:noBreakHyphen/>
              <w:t>financial assets from transactions</w:t>
            </w:r>
          </w:p>
        </w:tc>
        <w:tc>
          <w:tcPr>
            <w:tcW w:w="907" w:type="dxa"/>
            <w:tcBorders>
              <w:bottom w:val="single" w:sz="6" w:space="0" w:color="auto"/>
            </w:tcBorders>
          </w:tcPr>
          <w:p w14:paraId="604C0EA2" w14:textId="77777777" w:rsidR="005E614D" w:rsidRDefault="000C3A94">
            <w:pPr>
              <w:cnfStyle w:val="000000000000" w:firstRow="0" w:lastRow="0" w:firstColumn="0" w:lastColumn="0" w:oddVBand="0" w:evenVBand="0" w:oddHBand="0" w:evenHBand="0" w:firstRowFirstColumn="0" w:firstRowLastColumn="0" w:lastRowFirstColumn="0" w:lastRowLastColumn="0"/>
            </w:pPr>
            <w:r>
              <w:t>2 861</w:t>
            </w:r>
          </w:p>
        </w:tc>
        <w:tc>
          <w:tcPr>
            <w:tcW w:w="907" w:type="dxa"/>
            <w:tcBorders>
              <w:bottom w:val="single" w:sz="6" w:space="0" w:color="auto"/>
            </w:tcBorders>
          </w:tcPr>
          <w:p w14:paraId="60DA55A2" w14:textId="77777777" w:rsidR="005E614D" w:rsidRDefault="000C3A94">
            <w:pPr>
              <w:cnfStyle w:val="000000000000" w:firstRow="0" w:lastRow="0" w:firstColumn="0" w:lastColumn="0" w:oddVBand="0" w:evenVBand="0" w:oddHBand="0" w:evenHBand="0" w:firstRowFirstColumn="0" w:firstRowLastColumn="0" w:lastRowFirstColumn="0" w:lastRowLastColumn="0"/>
            </w:pPr>
            <w:r>
              <w:t>3 443</w:t>
            </w:r>
          </w:p>
        </w:tc>
        <w:tc>
          <w:tcPr>
            <w:tcW w:w="907" w:type="dxa"/>
            <w:tcBorders>
              <w:bottom w:val="single" w:sz="6" w:space="0" w:color="auto"/>
            </w:tcBorders>
          </w:tcPr>
          <w:p w14:paraId="33142090" w14:textId="77777777" w:rsidR="005E614D" w:rsidRDefault="000C3A94">
            <w:pPr>
              <w:cnfStyle w:val="000000000000" w:firstRow="0" w:lastRow="0" w:firstColumn="0" w:lastColumn="0" w:oddVBand="0" w:evenVBand="0" w:oddHBand="0" w:evenHBand="0" w:firstRowFirstColumn="0" w:firstRowLastColumn="0" w:lastRowFirstColumn="0" w:lastRowLastColumn="0"/>
            </w:pPr>
            <w:r>
              <w:t>4 312</w:t>
            </w:r>
          </w:p>
        </w:tc>
        <w:tc>
          <w:tcPr>
            <w:tcW w:w="907" w:type="dxa"/>
            <w:tcBorders>
              <w:bottom w:val="single" w:sz="6" w:space="0" w:color="auto"/>
            </w:tcBorders>
          </w:tcPr>
          <w:p w14:paraId="2631FFB1" w14:textId="77777777" w:rsidR="005E614D" w:rsidRDefault="000C3A94">
            <w:pPr>
              <w:cnfStyle w:val="000000000000" w:firstRow="0" w:lastRow="0" w:firstColumn="0" w:lastColumn="0" w:oddVBand="0" w:evenVBand="0" w:oddHBand="0" w:evenHBand="0" w:firstRowFirstColumn="0" w:firstRowLastColumn="0" w:lastRowFirstColumn="0" w:lastRowLastColumn="0"/>
            </w:pPr>
            <w:r>
              <w:t>1 953</w:t>
            </w:r>
          </w:p>
        </w:tc>
        <w:tc>
          <w:tcPr>
            <w:tcW w:w="907" w:type="dxa"/>
            <w:tcBorders>
              <w:bottom w:val="single" w:sz="6" w:space="0" w:color="auto"/>
            </w:tcBorders>
          </w:tcPr>
          <w:p w14:paraId="672AF8CC" w14:textId="77777777" w:rsidR="005E614D" w:rsidRDefault="000C3A94">
            <w:pPr>
              <w:cnfStyle w:val="000000000000" w:firstRow="0" w:lastRow="0" w:firstColumn="0" w:lastColumn="0" w:oddVBand="0" w:evenVBand="0" w:oddHBand="0" w:evenHBand="0" w:firstRowFirstColumn="0" w:firstRowLastColumn="0" w:lastRowFirstColumn="0" w:lastRowLastColumn="0"/>
            </w:pPr>
            <w:r>
              <w:t>746</w:t>
            </w:r>
          </w:p>
        </w:tc>
      </w:tr>
      <w:tr w:rsidR="005E614D" w14:paraId="29738B2B"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1D2833B" w14:textId="77777777" w:rsidR="005E614D" w:rsidRDefault="000C3A94">
            <w:r>
              <w:rPr>
                <w:b/>
              </w:rPr>
              <w:t>Net lending/(borrowing)</w:t>
            </w:r>
          </w:p>
        </w:tc>
        <w:tc>
          <w:tcPr>
            <w:tcW w:w="907" w:type="dxa"/>
            <w:tcBorders>
              <w:top w:val="single" w:sz="6" w:space="0" w:color="auto"/>
              <w:bottom w:val="single" w:sz="12" w:space="0" w:color="auto"/>
            </w:tcBorders>
          </w:tcPr>
          <w:p w14:paraId="74012F6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(4 993)</w:t>
            </w:r>
          </w:p>
        </w:tc>
        <w:tc>
          <w:tcPr>
            <w:tcW w:w="907" w:type="dxa"/>
            <w:tcBorders>
              <w:top w:val="single" w:sz="6" w:space="0" w:color="auto"/>
              <w:bottom w:val="single" w:sz="12" w:space="0" w:color="auto"/>
            </w:tcBorders>
          </w:tcPr>
          <w:p w14:paraId="6C84220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(5 124)</w:t>
            </w:r>
          </w:p>
        </w:tc>
        <w:tc>
          <w:tcPr>
            <w:tcW w:w="907" w:type="dxa"/>
            <w:tcBorders>
              <w:top w:val="single" w:sz="6" w:space="0" w:color="auto"/>
              <w:bottom w:val="single" w:sz="12" w:space="0" w:color="auto"/>
            </w:tcBorders>
          </w:tcPr>
          <w:p w14:paraId="241AA64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(6 551)</w:t>
            </w:r>
          </w:p>
        </w:tc>
        <w:tc>
          <w:tcPr>
            <w:tcW w:w="907" w:type="dxa"/>
            <w:tcBorders>
              <w:top w:val="single" w:sz="6" w:space="0" w:color="auto"/>
              <w:bottom w:val="single" w:sz="12" w:space="0" w:color="auto"/>
            </w:tcBorders>
          </w:tcPr>
          <w:p w14:paraId="2D6A117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1 100</w:t>
            </w:r>
          </w:p>
        </w:tc>
        <w:tc>
          <w:tcPr>
            <w:tcW w:w="907" w:type="dxa"/>
            <w:tcBorders>
              <w:top w:val="single" w:sz="6" w:space="0" w:color="auto"/>
              <w:bottom w:val="single" w:sz="12" w:space="0" w:color="auto"/>
            </w:tcBorders>
          </w:tcPr>
          <w:p w14:paraId="592CDEF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(2 504)</w:t>
            </w:r>
          </w:p>
        </w:tc>
      </w:tr>
    </w:tbl>
    <w:p w14:paraId="7BBA67C9" w14:textId="6ADB6378" w:rsidR="00102770" w:rsidRDefault="00102770" w:rsidP="00102770">
      <w:pPr>
        <w:pStyle w:val="Note"/>
      </w:pPr>
    </w:p>
    <w:p w14:paraId="392C83DB" w14:textId="6C7862EC" w:rsidR="00102770" w:rsidRDefault="00102770" w:rsidP="00102770">
      <w:pPr>
        <w:pStyle w:val="TableHeading"/>
      </w:pPr>
      <w:r>
        <w:lastRenderedPageBreak/>
        <w:t>Table A.2:</w:t>
      </w:r>
      <w:r>
        <w:tab/>
        <w:t xml:space="preserve">Balance sheet as at the end of the past five quarters </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Quarter_by_Quarter.xlsx|Table:BS_quarter_by_quarter|TableGroup:Investment in other sectors"/>
      </w:tblPr>
      <w:tblGrid>
        <w:gridCol w:w="5103"/>
        <w:gridCol w:w="907"/>
        <w:gridCol w:w="907"/>
        <w:gridCol w:w="907"/>
        <w:gridCol w:w="907"/>
        <w:gridCol w:w="907"/>
      </w:tblGrid>
      <w:tr w:rsidR="005E614D" w14:paraId="0B511B06"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0AEC2BE" w14:textId="77777777" w:rsidR="005E614D" w:rsidRDefault="005E614D">
            <w:pPr>
              <w:keepNext/>
            </w:pPr>
          </w:p>
        </w:tc>
        <w:tc>
          <w:tcPr>
            <w:tcW w:w="907" w:type="dxa"/>
          </w:tcPr>
          <w:p w14:paraId="5B71CFD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2023</w:t>
            </w:r>
            <w:r>
              <w:noBreakHyphen/>
              <w:t>24</w:t>
            </w:r>
          </w:p>
        </w:tc>
        <w:tc>
          <w:tcPr>
            <w:tcW w:w="3628" w:type="dxa"/>
            <w:gridSpan w:val="4"/>
          </w:tcPr>
          <w:p w14:paraId="384006C9" w14:textId="77777777" w:rsidR="005E614D" w:rsidRDefault="000C3A94">
            <w:pPr>
              <w:keepNext/>
              <w:jc w:val="center"/>
              <w:cnfStyle w:val="100000000000" w:firstRow="1" w:lastRow="0" w:firstColumn="0" w:lastColumn="0" w:oddVBand="0" w:evenVBand="0" w:oddHBand="0" w:evenHBand="0" w:firstRowFirstColumn="0" w:firstRowLastColumn="0" w:lastRowFirstColumn="0" w:lastRowLastColumn="0"/>
            </w:pPr>
            <w:r>
              <w:t>2024</w:t>
            </w:r>
            <w:r>
              <w:noBreakHyphen/>
              <w:t>25</w:t>
            </w:r>
          </w:p>
        </w:tc>
      </w:tr>
      <w:tr w:rsidR="005E614D" w14:paraId="28E9879B" w14:textId="77777777" w:rsidTr="004A20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1866C07" w14:textId="77777777" w:rsidR="005E614D" w:rsidRDefault="005E614D">
            <w:pPr>
              <w:keepNext/>
            </w:pPr>
          </w:p>
        </w:tc>
        <w:tc>
          <w:tcPr>
            <w:tcW w:w="907" w:type="dxa"/>
          </w:tcPr>
          <w:p w14:paraId="5CEB20E2"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43595DDC"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5672A001"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06713376"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3FCFFB53" w14:textId="77777777" w:rsidR="005E614D" w:rsidRDefault="000C3A94">
            <w:pPr>
              <w:keepNext/>
              <w:cnfStyle w:val="100000000000" w:firstRow="1" w:lastRow="0" w:firstColumn="0" w:lastColumn="0" w:oddVBand="0" w:evenVBand="0" w:oddHBand="0" w:evenHBand="0" w:firstRowFirstColumn="0" w:firstRowLastColumn="0" w:lastRowFirstColumn="0" w:lastRowLastColumn="0"/>
            </w:pPr>
            <w:r>
              <w:t>Jun</w:t>
            </w:r>
          </w:p>
        </w:tc>
      </w:tr>
      <w:tr w:rsidR="005E614D" w14:paraId="1B61141F" w14:textId="77777777">
        <w:tc>
          <w:tcPr>
            <w:cnfStyle w:val="001000000000" w:firstRow="0" w:lastRow="0" w:firstColumn="1" w:lastColumn="0" w:oddVBand="0" w:evenVBand="0" w:oddHBand="0" w:evenHBand="0" w:firstRowFirstColumn="0" w:firstRowLastColumn="0" w:lastRowFirstColumn="0" w:lastRowLastColumn="0"/>
            <w:tcW w:w="5103" w:type="dxa"/>
          </w:tcPr>
          <w:p w14:paraId="220400BB" w14:textId="77777777" w:rsidR="005E614D" w:rsidRDefault="000C3A94">
            <w:r>
              <w:rPr>
                <w:b/>
              </w:rPr>
              <w:t>Assets</w:t>
            </w:r>
          </w:p>
        </w:tc>
        <w:tc>
          <w:tcPr>
            <w:tcW w:w="907" w:type="dxa"/>
          </w:tcPr>
          <w:p w14:paraId="0E9CBAF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2DBE201A"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1E2550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12E476E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1B2973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06D7D57" w14:textId="77777777">
        <w:tc>
          <w:tcPr>
            <w:cnfStyle w:val="001000000000" w:firstRow="0" w:lastRow="0" w:firstColumn="1" w:lastColumn="0" w:oddVBand="0" w:evenVBand="0" w:oddHBand="0" w:evenHBand="0" w:firstRowFirstColumn="0" w:firstRowLastColumn="0" w:lastRowFirstColumn="0" w:lastRowLastColumn="0"/>
            <w:tcW w:w="5103" w:type="dxa"/>
          </w:tcPr>
          <w:p w14:paraId="764DA0A1" w14:textId="77777777" w:rsidR="005E614D" w:rsidRDefault="000C3A94">
            <w:r>
              <w:rPr>
                <w:b/>
              </w:rPr>
              <w:t>Financial assets</w:t>
            </w:r>
          </w:p>
        </w:tc>
        <w:tc>
          <w:tcPr>
            <w:tcW w:w="907" w:type="dxa"/>
          </w:tcPr>
          <w:p w14:paraId="1B18499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DCCA8B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F71FD9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319E2F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23251398"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10A75FA3" w14:textId="77777777">
        <w:tc>
          <w:tcPr>
            <w:cnfStyle w:val="001000000000" w:firstRow="0" w:lastRow="0" w:firstColumn="1" w:lastColumn="0" w:oddVBand="0" w:evenVBand="0" w:oddHBand="0" w:evenHBand="0" w:firstRowFirstColumn="0" w:firstRowLastColumn="0" w:lastRowFirstColumn="0" w:lastRowLastColumn="0"/>
            <w:tcW w:w="5103" w:type="dxa"/>
          </w:tcPr>
          <w:p w14:paraId="636E6B9D" w14:textId="77777777" w:rsidR="005E614D" w:rsidRDefault="000C3A94">
            <w:r>
              <w:t>Cash and deposits</w:t>
            </w:r>
          </w:p>
        </w:tc>
        <w:tc>
          <w:tcPr>
            <w:tcW w:w="907" w:type="dxa"/>
          </w:tcPr>
          <w:p w14:paraId="1E234D4A" w14:textId="77777777" w:rsidR="005E614D" w:rsidRDefault="000C3A94">
            <w:pPr>
              <w:cnfStyle w:val="000000000000" w:firstRow="0" w:lastRow="0" w:firstColumn="0" w:lastColumn="0" w:oddVBand="0" w:evenVBand="0" w:oddHBand="0" w:evenHBand="0" w:firstRowFirstColumn="0" w:firstRowLastColumn="0" w:lastRowFirstColumn="0" w:lastRowLastColumn="0"/>
            </w:pPr>
            <w:r>
              <w:t>14 306</w:t>
            </w:r>
          </w:p>
        </w:tc>
        <w:tc>
          <w:tcPr>
            <w:tcW w:w="907" w:type="dxa"/>
          </w:tcPr>
          <w:p w14:paraId="4B58CEE6" w14:textId="77777777" w:rsidR="005E614D" w:rsidRDefault="000C3A94">
            <w:pPr>
              <w:cnfStyle w:val="000000000000" w:firstRow="0" w:lastRow="0" w:firstColumn="0" w:lastColumn="0" w:oddVBand="0" w:evenVBand="0" w:oddHBand="0" w:evenHBand="0" w:firstRowFirstColumn="0" w:firstRowLastColumn="0" w:lastRowFirstColumn="0" w:lastRowLastColumn="0"/>
            </w:pPr>
            <w:r>
              <w:t>14 332</w:t>
            </w:r>
          </w:p>
        </w:tc>
        <w:tc>
          <w:tcPr>
            <w:tcW w:w="907" w:type="dxa"/>
          </w:tcPr>
          <w:p w14:paraId="29061E2E" w14:textId="77777777" w:rsidR="005E614D" w:rsidRDefault="000C3A94">
            <w:pPr>
              <w:cnfStyle w:val="000000000000" w:firstRow="0" w:lastRow="0" w:firstColumn="0" w:lastColumn="0" w:oddVBand="0" w:evenVBand="0" w:oddHBand="0" w:evenHBand="0" w:firstRowFirstColumn="0" w:firstRowLastColumn="0" w:lastRowFirstColumn="0" w:lastRowLastColumn="0"/>
            </w:pPr>
            <w:r>
              <w:t>14 847</w:t>
            </w:r>
          </w:p>
        </w:tc>
        <w:tc>
          <w:tcPr>
            <w:tcW w:w="907" w:type="dxa"/>
          </w:tcPr>
          <w:p w14:paraId="6AC08F45" w14:textId="77777777" w:rsidR="005E614D" w:rsidRDefault="000C3A94">
            <w:pPr>
              <w:cnfStyle w:val="000000000000" w:firstRow="0" w:lastRow="0" w:firstColumn="0" w:lastColumn="0" w:oddVBand="0" w:evenVBand="0" w:oddHBand="0" w:evenHBand="0" w:firstRowFirstColumn="0" w:firstRowLastColumn="0" w:lastRowFirstColumn="0" w:lastRowLastColumn="0"/>
            </w:pPr>
            <w:r>
              <w:t>13 297</w:t>
            </w:r>
          </w:p>
        </w:tc>
        <w:tc>
          <w:tcPr>
            <w:tcW w:w="907" w:type="dxa"/>
          </w:tcPr>
          <w:p w14:paraId="78452B9F" w14:textId="77777777" w:rsidR="005E614D" w:rsidRDefault="000C3A94">
            <w:pPr>
              <w:cnfStyle w:val="000000000000" w:firstRow="0" w:lastRow="0" w:firstColumn="0" w:lastColumn="0" w:oddVBand="0" w:evenVBand="0" w:oddHBand="0" w:evenHBand="0" w:firstRowFirstColumn="0" w:firstRowLastColumn="0" w:lastRowFirstColumn="0" w:lastRowLastColumn="0"/>
            </w:pPr>
            <w:r>
              <w:t>12 800</w:t>
            </w:r>
          </w:p>
        </w:tc>
      </w:tr>
      <w:tr w:rsidR="005E614D" w14:paraId="0DC5ED88" w14:textId="77777777">
        <w:tc>
          <w:tcPr>
            <w:cnfStyle w:val="001000000000" w:firstRow="0" w:lastRow="0" w:firstColumn="1" w:lastColumn="0" w:oddVBand="0" w:evenVBand="0" w:oddHBand="0" w:evenHBand="0" w:firstRowFirstColumn="0" w:firstRowLastColumn="0" w:lastRowFirstColumn="0" w:lastRowLastColumn="0"/>
            <w:tcW w:w="5103" w:type="dxa"/>
          </w:tcPr>
          <w:p w14:paraId="000CA0D9" w14:textId="77777777" w:rsidR="005E614D" w:rsidRDefault="000C3A94">
            <w:r>
              <w:t>Advances paid</w:t>
            </w:r>
          </w:p>
        </w:tc>
        <w:tc>
          <w:tcPr>
            <w:tcW w:w="907" w:type="dxa"/>
          </w:tcPr>
          <w:p w14:paraId="7F8353E2" w14:textId="77777777" w:rsidR="005E614D" w:rsidRDefault="000C3A94">
            <w:pPr>
              <w:cnfStyle w:val="000000000000" w:firstRow="0" w:lastRow="0" w:firstColumn="0" w:lastColumn="0" w:oddVBand="0" w:evenVBand="0" w:oddHBand="0" w:evenHBand="0" w:firstRowFirstColumn="0" w:firstRowLastColumn="0" w:lastRowFirstColumn="0" w:lastRowLastColumn="0"/>
            </w:pPr>
            <w:r>
              <w:t>6 421</w:t>
            </w:r>
          </w:p>
        </w:tc>
        <w:tc>
          <w:tcPr>
            <w:tcW w:w="907" w:type="dxa"/>
          </w:tcPr>
          <w:p w14:paraId="6C360800" w14:textId="77777777" w:rsidR="005E614D" w:rsidRDefault="000C3A94">
            <w:pPr>
              <w:cnfStyle w:val="000000000000" w:firstRow="0" w:lastRow="0" w:firstColumn="0" w:lastColumn="0" w:oddVBand="0" w:evenVBand="0" w:oddHBand="0" w:evenHBand="0" w:firstRowFirstColumn="0" w:firstRowLastColumn="0" w:lastRowFirstColumn="0" w:lastRowLastColumn="0"/>
            </w:pPr>
            <w:r>
              <w:t>6 377</w:t>
            </w:r>
          </w:p>
        </w:tc>
        <w:tc>
          <w:tcPr>
            <w:tcW w:w="907" w:type="dxa"/>
          </w:tcPr>
          <w:p w14:paraId="6FDDDC10" w14:textId="77777777" w:rsidR="005E614D" w:rsidRDefault="000C3A94">
            <w:pPr>
              <w:cnfStyle w:val="000000000000" w:firstRow="0" w:lastRow="0" w:firstColumn="0" w:lastColumn="0" w:oddVBand="0" w:evenVBand="0" w:oddHBand="0" w:evenHBand="0" w:firstRowFirstColumn="0" w:firstRowLastColumn="0" w:lastRowFirstColumn="0" w:lastRowLastColumn="0"/>
            </w:pPr>
            <w:r>
              <w:t>6 335</w:t>
            </w:r>
          </w:p>
        </w:tc>
        <w:tc>
          <w:tcPr>
            <w:tcW w:w="907" w:type="dxa"/>
          </w:tcPr>
          <w:p w14:paraId="2D503997" w14:textId="77777777" w:rsidR="005E614D" w:rsidRDefault="000C3A94">
            <w:pPr>
              <w:cnfStyle w:val="000000000000" w:firstRow="0" w:lastRow="0" w:firstColumn="0" w:lastColumn="0" w:oddVBand="0" w:evenVBand="0" w:oddHBand="0" w:evenHBand="0" w:firstRowFirstColumn="0" w:firstRowLastColumn="0" w:lastRowFirstColumn="0" w:lastRowLastColumn="0"/>
            </w:pPr>
            <w:r>
              <w:t>6 326</w:t>
            </w:r>
          </w:p>
        </w:tc>
        <w:tc>
          <w:tcPr>
            <w:tcW w:w="907" w:type="dxa"/>
          </w:tcPr>
          <w:p w14:paraId="79BE1F5B" w14:textId="77777777" w:rsidR="005E614D" w:rsidRDefault="000C3A94">
            <w:pPr>
              <w:cnfStyle w:val="000000000000" w:firstRow="0" w:lastRow="0" w:firstColumn="0" w:lastColumn="0" w:oddVBand="0" w:evenVBand="0" w:oddHBand="0" w:evenHBand="0" w:firstRowFirstColumn="0" w:firstRowLastColumn="0" w:lastRowFirstColumn="0" w:lastRowLastColumn="0"/>
            </w:pPr>
            <w:r>
              <w:t>6 407</w:t>
            </w:r>
          </w:p>
        </w:tc>
      </w:tr>
      <w:tr w:rsidR="005E614D" w14:paraId="67ECF22E" w14:textId="77777777">
        <w:tc>
          <w:tcPr>
            <w:cnfStyle w:val="001000000000" w:firstRow="0" w:lastRow="0" w:firstColumn="1" w:lastColumn="0" w:oddVBand="0" w:evenVBand="0" w:oddHBand="0" w:evenHBand="0" w:firstRowFirstColumn="0" w:firstRowLastColumn="0" w:lastRowFirstColumn="0" w:lastRowLastColumn="0"/>
            <w:tcW w:w="5103" w:type="dxa"/>
          </w:tcPr>
          <w:p w14:paraId="7D363D77" w14:textId="77777777" w:rsidR="005E614D" w:rsidRDefault="000C3A94">
            <w:r>
              <w:t>Receivables and contract assets</w:t>
            </w:r>
          </w:p>
        </w:tc>
        <w:tc>
          <w:tcPr>
            <w:tcW w:w="907" w:type="dxa"/>
          </w:tcPr>
          <w:p w14:paraId="24E0EDE0" w14:textId="77777777" w:rsidR="005E614D" w:rsidRDefault="000C3A94">
            <w:pPr>
              <w:cnfStyle w:val="000000000000" w:firstRow="0" w:lastRow="0" w:firstColumn="0" w:lastColumn="0" w:oddVBand="0" w:evenVBand="0" w:oddHBand="0" w:evenHBand="0" w:firstRowFirstColumn="0" w:firstRowLastColumn="0" w:lastRowFirstColumn="0" w:lastRowLastColumn="0"/>
            </w:pPr>
            <w:r>
              <w:t>10 163</w:t>
            </w:r>
          </w:p>
        </w:tc>
        <w:tc>
          <w:tcPr>
            <w:tcW w:w="907" w:type="dxa"/>
          </w:tcPr>
          <w:p w14:paraId="641276BA" w14:textId="77777777" w:rsidR="005E614D" w:rsidRDefault="000C3A94">
            <w:pPr>
              <w:cnfStyle w:val="000000000000" w:firstRow="0" w:lastRow="0" w:firstColumn="0" w:lastColumn="0" w:oddVBand="0" w:evenVBand="0" w:oddHBand="0" w:evenHBand="0" w:firstRowFirstColumn="0" w:firstRowLastColumn="0" w:lastRowFirstColumn="0" w:lastRowLastColumn="0"/>
            </w:pPr>
            <w:r>
              <w:t>9 428</w:t>
            </w:r>
          </w:p>
        </w:tc>
        <w:tc>
          <w:tcPr>
            <w:tcW w:w="907" w:type="dxa"/>
          </w:tcPr>
          <w:p w14:paraId="33619AEF" w14:textId="77777777" w:rsidR="005E614D" w:rsidRDefault="000C3A94">
            <w:pPr>
              <w:cnfStyle w:val="000000000000" w:firstRow="0" w:lastRow="0" w:firstColumn="0" w:lastColumn="0" w:oddVBand="0" w:evenVBand="0" w:oddHBand="0" w:evenHBand="0" w:firstRowFirstColumn="0" w:firstRowLastColumn="0" w:lastRowFirstColumn="0" w:lastRowLastColumn="0"/>
            </w:pPr>
            <w:r>
              <w:t>8 556</w:t>
            </w:r>
          </w:p>
        </w:tc>
        <w:tc>
          <w:tcPr>
            <w:tcW w:w="907" w:type="dxa"/>
          </w:tcPr>
          <w:p w14:paraId="428182BD" w14:textId="77777777" w:rsidR="005E614D" w:rsidRDefault="000C3A94">
            <w:pPr>
              <w:cnfStyle w:val="000000000000" w:firstRow="0" w:lastRow="0" w:firstColumn="0" w:lastColumn="0" w:oddVBand="0" w:evenVBand="0" w:oddHBand="0" w:evenHBand="0" w:firstRowFirstColumn="0" w:firstRowLastColumn="0" w:lastRowFirstColumn="0" w:lastRowLastColumn="0"/>
            </w:pPr>
            <w:r>
              <w:t>13 766</w:t>
            </w:r>
          </w:p>
        </w:tc>
        <w:tc>
          <w:tcPr>
            <w:tcW w:w="907" w:type="dxa"/>
          </w:tcPr>
          <w:p w14:paraId="7D81642C" w14:textId="77777777" w:rsidR="005E614D" w:rsidRDefault="000C3A94">
            <w:pPr>
              <w:cnfStyle w:val="000000000000" w:firstRow="0" w:lastRow="0" w:firstColumn="0" w:lastColumn="0" w:oddVBand="0" w:evenVBand="0" w:oddHBand="0" w:evenHBand="0" w:firstRowFirstColumn="0" w:firstRowLastColumn="0" w:lastRowFirstColumn="0" w:lastRowLastColumn="0"/>
            </w:pPr>
            <w:r>
              <w:t>10 203</w:t>
            </w:r>
          </w:p>
        </w:tc>
      </w:tr>
      <w:tr w:rsidR="005E614D" w14:paraId="388977A0" w14:textId="77777777">
        <w:tc>
          <w:tcPr>
            <w:cnfStyle w:val="001000000000" w:firstRow="0" w:lastRow="0" w:firstColumn="1" w:lastColumn="0" w:oddVBand="0" w:evenVBand="0" w:oddHBand="0" w:evenHBand="0" w:firstRowFirstColumn="0" w:firstRowLastColumn="0" w:lastRowFirstColumn="0" w:lastRowLastColumn="0"/>
            <w:tcW w:w="5103" w:type="dxa"/>
          </w:tcPr>
          <w:p w14:paraId="0813B4D8" w14:textId="77777777" w:rsidR="005E614D" w:rsidRDefault="000C3A94">
            <w:r>
              <w:t>Investments, loans and placements</w:t>
            </w:r>
          </w:p>
        </w:tc>
        <w:tc>
          <w:tcPr>
            <w:tcW w:w="907" w:type="dxa"/>
          </w:tcPr>
          <w:p w14:paraId="770D65AF" w14:textId="77777777" w:rsidR="005E614D" w:rsidRDefault="000C3A94">
            <w:pPr>
              <w:cnfStyle w:val="000000000000" w:firstRow="0" w:lastRow="0" w:firstColumn="0" w:lastColumn="0" w:oddVBand="0" w:evenVBand="0" w:oddHBand="0" w:evenHBand="0" w:firstRowFirstColumn="0" w:firstRowLastColumn="0" w:lastRowFirstColumn="0" w:lastRowLastColumn="0"/>
            </w:pPr>
            <w:r>
              <w:t>14 866</w:t>
            </w:r>
          </w:p>
        </w:tc>
        <w:tc>
          <w:tcPr>
            <w:tcW w:w="907" w:type="dxa"/>
          </w:tcPr>
          <w:p w14:paraId="5802D2A6" w14:textId="77777777" w:rsidR="005E614D" w:rsidRDefault="000C3A94">
            <w:pPr>
              <w:cnfStyle w:val="000000000000" w:firstRow="0" w:lastRow="0" w:firstColumn="0" w:lastColumn="0" w:oddVBand="0" w:evenVBand="0" w:oddHBand="0" w:evenHBand="0" w:firstRowFirstColumn="0" w:firstRowLastColumn="0" w:lastRowFirstColumn="0" w:lastRowLastColumn="0"/>
            </w:pPr>
            <w:r>
              <w:t>15 625</w:t>
            </w:r>
          </w:p>
        </w:tc>
        <w:tc>
          <w:tcPr>
            <w:tcW w:w="907" w:type="dxa"/>
          </w:tcPr>
          <w:p w14:paraId="7F580FAE" w14:textId="77777777" w:rsidR="005E614D" w:rsidRDefault="000C3A94">
            <w:pPr>
              <w:cnfStyle w:val="000000000000" w:firstRow="0" w:lastRow="0" w:firstColumn="0" w:lastColumn="0" w:oddVBand="0" w:evenVBand="0" w:oddHBand="0" w:evenHBand="0" w:firstRowFirstColumn="0" w:firstRowLastColumn="0" w:lastRowFirstColumn="0" w:lastRowLastColumn="0"/>
            </w:pPr>
            <w:r>
              <w:t>16 491</w:t>
            </w:r>
          </w:p>
        </w:tc>
        <w:tc>
          <w:tcPr>
            <w:tcW w:w="907" w:type="dxa"/>
          </w:tcPr>
          <w:p w14:paraId="705E7D32" w14:textId="77777777" w:rsidR="005E614D" w:rsidRDefault="000C3A94">
            <w:pPr>
              <w:cnfStyle w:val="000000000000" w:firstRow="0" w:lastRow="0" w:firstColumn="0" w:lastColumn="0" w:oddVBand="0" w:evenVBand="0" w:oddHBand="0" w:evenHBand="0" w:firstRowFirstColumn="0" w:firstRowLastColumn="0" w:lastRowFirstColumn="0" w:lastRowLastColumn="0"/>
            </w:pPr>
            <w:r>
              <w:t>16 514</w:t>
            </w:r>
          </w:p>
        </w:tc>
        <w:tc>
          <w:tcPr>
            <w:tcW w:w="907" w:type="dxa"/>
          </w:tcPr>
          <w:p w14:paraId="73F5D215" w14:textId="77777777" w:rsidR="005E614D" w:rsidRDefault="000C3A94">
            <w:pPr>
              <w:cnfStyle w:val="000000000000" w:firstRow="0" w:lastRow="0" w:firstColumn="0" w:lastColumn="0" w:oddVBand="0" w:evenVBand="0" w:oddHBand="0" w:evenHBand="0" w:firstRowFirstColumn="0" w:firstRowLastColumn="0" w:lastRowFirstColumn="0" w:lastRowLastColumn="0"/>
            </w:pPr>
            <w:r>
              <w:t>17 781</w:t>
            </w:r>
          </w:p>
        </w:tc>
      </w:tr>
      <w:tr w:rsidR="005E614D" w14:paraId="67AC1509" w14:textId="77777777">
        <w:tc>
          <w:tcPr>
            <w:cnfStyle w:val="001000000000" w:firstRow="0" w:lastRow="0" w:firstColumn="1" w:lastColumn="0" w:oddVBand="0" w:evenVBand="0" w:oddHBand="0" w:evenHBand="0" w:firstRowFirstColumn="0" w:firstRowLastColumn="0" w:lastRowFirstColumn="0" w:lastRowLastColumn="0"/>
            <w:tcW w:w="5103" w:type="dxa"/>
          </w:tcPr>
          <w:p w14:paraId="0CBF02AE" w14:textId="77777777" w:rsidR="005E614D" w:rsidRDefault="000C3A94">
            <w:r>
              <w:t>Investments accounted for using the equity method</w:t>
            </w:r>
          </w:p>
        </w:tc>
        <w:tc>
          <w:tcPr>
            <w:tcW w:w="907" w:type="dxa"/>
          </w:tcPr>
          <w:p w14:paraId="16D6809D"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1 143</w:t>
            </w:r>
          </w:p>
        </w:tc>
        <w:tc>
          <w:tcPr>
            <w:tcW w:w="907" w:type="dxa"/>
          </w:tcPr>
          <w:p w14:paraId="3E10D1BD" w14:textId="77777777" w:rsidR="005E614D" w:rsidRDefault="000C3A94">
            <w:pPr>
              <w:cnfStyle w:val="000000000000" w:firstRow="0" w:lastRow="0" w:firstColumn="0" w:lastColumn="0" w:oddVBand="0" w:evenVBand="0" w:oddHBand="0" w:evenHBand="0" w:firstRowFirstColumn="0" w:firstRowLastColumn="0" w:lastRowFirstColumn="0" w:lastRowLastColumn="0"/>
            </w:pPr>
            <w:r>
              <w:t>1 161</w:t>
            </w:r>
          </w:p>
        </w:tc>
        <w:tc>
          <w:tcPr>
            <w:tcW w:w="907" w:type="dxa"/>
          </w:tcPr>
          <w:p w14:paraId="264B1D2C" w14:textId="77777777" w:rsidR="005E614D" w:rsidRDefault="000C3A94">
            <w:pPr>
              <w:cnfStyle w:val="000000000000" w:firstRow="0" w:lastRow="0" w:firstColumn="0" w:lastColumn="0" w:oddVBand="0" w:evenVBand="0" w:oddHBand="0" w:evenHBand="0" w:firstRowFirstColumn="0" w:firstRowLastColumn="0" w:lastRowFirstColumn="0" w:lastRowLastColumn="0"/>
            </w:pPr>
            <w:r>
              <w:t>1 136</w:t>
            </w:r>
          </w:p>
        </w:tc>
        <w:tc>
          <w:tcPr>
            <w:tcW w:w="907" w:type="dxa"/>
          </w:tcPr>
          <w:p w14:paraId="2AAAEED6" w14:textId="77777777" w:rsidR="005E614D" w:rsidRDefault="000C3A94">
            <w:pPr>
              <w:cnfStyle w:val="000000000000" w:firstRow="0" w:lastRow="0" w:firstColumn="0" w:lastColumn="0" w:oddVBand="0" w:evenVBand="0" w:oddHBand="0" w:evenHBand="0" w:firstRowFirstColumn="0" w:firstRowLastColumn="0" w:lastRowFirstColumn="0" w:lastRowLastColumn="0"/>
            </w:pPr>
            <w:r>
              <w:t>1 131</w:t>
            </w:r>
          </w:p>
        </w:tc>
        <w:tc>
          <w:tcPr>
            <w:tcW w:w="907" w:type="dxa"/>
          </w:tcPr>
          <w:p w14:paraId="7A995703" w14:textId="77777777" w:rsidR="005E614D" w:rsidRDefault="000C3A94">
            <w:pPr>
              <w:cnfStyle w:val="000000000000" w:firstRow="0" w:lastRow="0" w:firstColumn="0" w:lastColumn="0" w:oddVBand="0" w:evenVBand="0" w:oddHBand="0" w:evenHBand="0" w:firstRowFirstColumn="0" w:firstRowLastColumn="0" w:lastRowFirstColumn="0" w:lastRowLastColumn="0"/>
            </w:pPr>
            <w:r>
              <w:t>1 141</w:t>
            </w:r>
          </w:p>
        </w:tc>
      </w:tr>
      <w:tr w:rsidR="005E614D" w14:paraId="7A8E09CA"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FAFD95A" w14:textId="77777777" w:rsidR="005E614D" w:rsidRDefault="000C3A94">
            <w:r>
              <w:t>Investments in PNFC and PFC sector entities</w:t>
            </w:r>
          </w:p>
        </w:tc>
        <w:tc>
          <w:tcPr>
            <w:tcW w:w="907" w:type="dxa"/>
            <w:tcBorders>
              <w:bottom w:val="single" w:sz="6" w:space="0" w:color="auto"/>
            </w:tcBorders>
          </w:tcPr>
          <w:p w14:paraId="28323ECB" w14:textId="77777777" w:rsidR="005E614D" w:rsidRDefault="000C3A94">
            <w:pPr>
              <w:cnfStyle w:val="000000000000" w:firstRow="0" w:lastRow="0" w:firstColumn="0" w:lastColumn="0" w:oddVBand="0" w:evenVBand="0" w:oddHBand="0" w:evenHBand="0" w:firstRowFirstColumn="0" w:firstRowLastColumn="0" w:lastRowFirstColumn="0" w:lastRowLastColumn="0"/>
            </w:pPr>
            <w:r>
              <w:t>98 178</w:t>
            </w:r>
          </w:p>
        </w:tc>
        <w:tc>
          <w:tcPr>
            <w:tcW w:w="907" w:type="dxa"/>
            <w:tcBorders>
              <w:bottom w:val="single" w:sz="6" w:space="0" w:color="auto"/>
            </w:tcBorders>
          </w:tcPr>
          <w:p w14:paraId="2A9FB735" w14:textId="77777777" w:rsidR="005E614D" w:rsidRDefault="000C3A94">
            <w:pPr>
              <w:cnfStyle w:val="000000000000" w:firstRow="0" w:lastRow="0" w:firstColumn="0" w:lastColumn="0" w:oddVBand="0" w:evenVBand="0" w:oddHBand="0" w:evenHBand="0" w:firstRowFirstColumn="0" w:firstRowLastColumn="0" w:lastRowFirstColumn="0" w:lastRowLastColumn="0"/>
            </w:pPr>
            <w:r>
              <w:t>98 974</w:t>
            </w:r>
          </w:p>
        </w:tc>
        <w:tc>
          <w:tcPr>
            <w:tcW w:w="907" w:type="dxa"/>
            <w:tcBorders>
              <w:bottom w:val="single" w:sz="6" w:space="0" w:color="auto"/>
            </w:tcBorders>
          </w:tcPr>
          <w:p w14:paraId="4C442E57" w14:textId="77777777" w:rsidR="005E614D" w:rsidRDefault="000C3A94">
            <w:pPr>
              <w:cnfStyle w:val="000000000000" w:firstRow="0" w:lastRow="0" w:firstColumn="0" w:lastColumn="0" w:oddVBand="0" w:evenVBand="0" w:oddHBand="0" w:evenHBand="0" w:firstRowFirstColumn="0" w:firstRowLastColumn="0" w:lastRowFirstColumn="0" w:lastRowLastColumn="0"/>
            </w:pPr>
            <w:r>
              <w:t>99 641</w:t>
            </w:r>
          </w:p>
        </w:tc>
        <w:tc>
          <w:tcPr>
            <w:tcW w:w="907" w:type="dxa"/>
            <w:tcBorders>
              <w:bottom w:val="single" w:sz="6" w:space="0" w:color="auto"/>
            </w:tcBorders>
          </w:tcPr>
          <w:p w14:paraId="6EB2A162" w14:textId="77777777" w:rsidR="005E614D" w:rsidRDefault="000C3A94">
            <w:pPr>
              <w:cnfStyle w:val="000000000000" w:firstRow="0" w:lastRow="0" w:firstColumn="0" w:lastColumn="0" w:oddVBand="0" w:evenVBand="0" w:oddHBand="0" w:evenHBand="0" w:firstRowFirstColumn="0" w:firstRowLastColumn="0" w:lastRowFirstColumn="0" w:lastRowLastColumn="0"/>
            </w:pPr>
            <w:r>
              <w:t>100 727</w:t>
            </w:r>
          </w:p>
        </w:tc>
        <w:tc>
          <w:tcPr>
            <w:tcW w:w="907" w:type="dxa"/>
            <w:tcBorders>
              <w:bottom w:val="single" w:sz="6" w:space="0" w:color="auto"/>
            </w:tcBorders>
          </w:tcPr>
          <w:p w14:paraId="55E62E60" w14:textId="77777777" w:rsidR="005E614D" w:rsidRDefault="000C3A94">
            <w:pPr>
              <w:cnfStyle w:val="000000000000" w:firstRow="0" w:lastRow="0" w:firstColumn="0" w:lastColumn="0" w:oddVBand="0" w:evenVBand="0" w:oddHBand="0" w:evenHBand="0" w:firstRowFirstColumn="0" w:firstRowLastColumn="0" w:lastRowFirstColumn="0" w:lastRowLastColumn="0"/>
            </w:pPr>
            <w:r>
              <w:t>96 401</w:t>
            </w:r>
          </w:p>
        </w:tc>
      </w:tr>
      <w:tr w:rsidR="005E614D" w14:paraId="3FA4218C"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61A8052" w14:textId="77777777" w:rsidR="005E614D" w:rsidRDefault="000C3A94">
            <w:r>
              <w:rPr>
                <w:b/>
              </w:rPr>
              <w:t>Total financial assets</w:t>
            </w:r>
          </w:p>
        </w:tc>
        <w:tc>
          <w:tcPr>
            <w:tcW w:w="907" w:type="dxa"/>
            <w:tcBorders>
              <w:top w:val="single" w:sz="6" w:space="0" w:color="auto"/>
              <w:bottom w:val="single" w:sz="6" w:space="0" w:color="auto"/>
            </w:tcBorders>
          </w:tcPr>
          <w:p w14:paraId="31B9A00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145 077</w:t>
            </w:r>
          </w:p>
        </w:tc>
        <w:tc>
          <w:tcPr>
            <w:tcW w:w="907" w:type="dxa"/>
            <w:tcBorders>
              <w:top w:val="single" w:sz="6" w:space="0" w:color="auto"/>
              <w:bottom w:val="single" w:sz="6" w:space="0" w:color="auto"/>
            </w:tcBorders>
          </w:tcPr>
          <w:p w14:paraId="393D2F5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145 897</w:t>
            </w:r>
          </w:p>
        </w:tc>
        <w:tc>
          <w:tcPr>
            <w:tcW w:w="907" w:type="dxa"/>
            <w:tcBorders>
              <w:top w:val="single" w:sz="6" w:space="0" w:color="auto"/>
              <w:bottom w:val="single" w:sz="6" w:space="0" w:color="auto"/>
            </w:tcBorders>
          </w:tcPr>
          <w:p w14:paraId="7B4F0887"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147 006</w:t>
            </w:r>
          </w:p>
        </w:tc>
        <w:tc>
          <w:tcPr>
            <w:tcW w:w="907" w:type="dxa"/>
            <w:tcBorders>
              <w:top w:val="single" w:sz="6" w:space="0" w:color="auto"/>
              <w:bottom w:val="single" w:sz="6" w:space="0" w:color="auto"/>
            </w:tcBorders>
          </w:tcPr>
          <w:p w14:paraId="22072C0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151 760</w:t>
            </w:r>
          </w:p>
        </w:tc>
        <w:tc>
          <w:tcPr>
            <w:tcW w:w="907" w:type="dxa"/>
            <w:tcBorders>
              <w:top w:val="single" w:sz="6" w:space="0" w:color="auto"/>
              <w:bottom w:val="single" w:sz="6" w:space="0" w:color="auto"/>
            </w:tcBorders>
          </w:tcPr>
          <w:p w14:paraId="08304A6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144 732</w:t>
            </w:r>
          </w:p>
        </w:tc>
      </w:tr>
      <w:tr w:rsidR="005E614D" w14:paraId="65F1660F"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6A7CB8F" w14:textId="77777777" w:rsidR="005E614D" w:rsidRDefault="000C3A94">
            <w:r>
              <w:rPr>
                <w:b/>
              </w:rPr>
              <w:t>Non</w:t>
            </w:r>
            <w:r>
              <w:rPr>
                <w:b/>
              </w:rPr>
              <w:noBreakHyphen/>
              <w:t>financial assets</w:t>
            </w:r>
          </w:p>
        </w:tc>
        <w:tc>
          <w:tcPr>
            <w:tcW w:w="907" w:type="dxa"/>
            <w:tcBorders>
              <w:top w:val="single" w:sz="6" w:space="0" w:color="auto"/>
            </w:tcBorders>
          </w:tcPr>
          <w:p w14:paraId="3E38DC4E"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6686E6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F5F7B7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D108A9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EA11D64"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2BDE3D3B" w14:textId="77777777">
        <w:tc>
          <w:tcPr>
            <w:cnfStyle w:val="001000000000" w:firstRow="0" w:lastRow="0" w:firstColumn="1" w:lastColumn="0" w:oddVBand="0" w:evenVBand="0" w:oddHBand="0" w:evenHBand="0" w:firstRowFirstColumn="0" w:firstRowLastColumn="0" w:lastRowFirstColumn="0" w:lastRowLastColumn="0"/>
            <w:tcW w:w="5103" w:type="dxa"/>
          </w:tcPr>
          <w:p w14:paraId="78E53A64" w14:textId="77777777" w:rsidR="005E614D" w:rsidRDefault="000C3A94">
            <w:r>
              <w:t>Inventories</w:t>
            </w:r>
          </w:p>
        </w:tc>
        <w:tc>
          <w:tcPr>
            <w:tcW w:w="907" w:type="dxa"/>
          </w:tcPr>
          <w:p w14:paraId="0CFE1294" w14:textId="77777777" w:rsidR="005E614D" w:rsidRDefault="000C3A94">
            <w:pPr>
              <w:cnfStyle w:val="000000000000" w:firstRow="0" w:lastRow="0" w:firstColumn="0" w:lastColumn="0" w:oddVBand="0" w:evenVBand="0" w:oddHBand="0" w:evenHBand="0" w:firstRowFirstColumn="0" w:firstRowLastColumn="0" w:lastRowFirstColumn="0" w:lastRowLastColumn="0"/>
            </w:pPr>
            <w:r>
              <w:t>402</w:t>
            </w:r>
          </w:p>
        </w:tc>
        <w:tc>
          <w:tcPr>
            <w:tcW w:w="907" w:type="dxa"/>
          </w:tcPr>
          <w:p w14:paraId="0A1B822C" w14:textId="77777777" w:rsidR="005E614D" w:rsidRDefault="000C3A94">
            <w:pPr>
              <w:cnfStyle w:val="000000000000" w:firstRow="0" w:lastRow="0" w:firstColumn="0" w:lastColumn="0" w:oddVBand="0" w:evenVBand="0" w:oddHBand="0" w:evenHBand="0" w:firstRowFirstColumn="0" w:firstRowLastColumn="0" w:lastRowFirstColumn="0" w:lastRowLastColumn="0"/>
            </w:pPr>
            <w:r>
              <w:t>330</w:t>
            </w:r>
          </w:p>
        </w:tc>
        <w:tc>
          <w:tcPr>
            <w:tcW w:w="907" w:type="dxa"/>
          </w:tcPr>
          <w:p w14:paraId="5C5D939F" w14:textId="77777777" w:rsidR="005E614D" w:rsidRDefault="000C3A94">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0CF5191A" w14:textId="77777777" w:rsidR="005E614D" w:rsidRDefault="000C3A94">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31D0A1DC" w14:textId="77777777" w:rsidR="005E614D" w:rsidRDefault="000C3A94">
            <w:pPr>
              <w:cnfStyle w:val="000000000000" w:firstRow="0" w:lastRow="0" w:firstColumn="0" w:lastColumn="0" w:oddVBand="0" w:evenVBand="0" w:oddHBand="0" w:evenHBand="0" w:firstRowFirstColumn="0" w:firstRowLastColumn="0" w:lastRowFirstColumn="0" w:lastRowLastColumn="0"/>
            </w:pPr>
            <w:r>
              <w:t>277</w:t>
            </w:r>
          </w:p>
        </w:tc>
      </w:tr>
      <w:tr w:rsidR="005E614D" w14:paraId="0DA6C066" w14:textId="77777777">
        <w:tc>
          <w:tcPr>
            <w:cnfStyle w:val="001000000000" w:firstRow="0" w:lastRow="0" w:firstColumn="1" w:lastColumn="0" w:oddVBand="0" w:evenVBand="0" w:oddHBand="0" w:evenHBand="0" w:firstRowFirstColumn="0" w:firstRowLastColumn="0" w:lastRowFirstColumn="0" w:lastRowLastColumn="0"/>
            <w:tcW w:w="5103" w:type="dxa"/>
          </w:tcPr>
          <w:p w14:paraId="07DFBEC7" w14:textId="77777777" w:rsidR="005E614D" w:rsidRDefault="000C3A94">
            <w:r>
              <w:t>Non</w:t>
            </w:r>
            <w:r>
              <w:noBreakHyphen/>
              <w:t>financial assets held for sale</w:t>
            </w:r>
          </w:p>
        </w:tc>
        <w:tc>
          <w:tcPr>
            <w:tcW w:w="907" w:type="dxa"/>
          </w:tcPr>
          <w:p w14:paraId="2DA69091" w14:textId="77777777" w:rsidR="005E614D" w:rsidRDefault="000C3A94">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6A04CDF6" w14:textId="77777777" w:rsidR="005E614D" w:rsidRDefault="000C3A94">
            <w:pPr>
              <w:cnfStyle w:val="000000000000" w:firstRow="0" w:lastRow="0" w:firstColumn="0" w:lastColumn="0" w:oddVBand="0" w:evenVBand="0" w:oddHBand="0" w:evenHBand="0" w:firstRowFirstColumn="0" w:firstRowLastColumn="0" w:lastRowFirstColumn="0" w:lastRowLastColumn="0"/>
            </w:pPr>
            <w:r>
              <w:t>242</w:t>
            </w:r>
          </w:p>
        </w:tc>
        <w:tc>
          <w:tcPr>
            <w:tcW w:w="907" w:type="dxa"/>
          </w:tcPr>
          <w:p w14:paraId="555E348D" w14:textId="77777777" w:rsidR="005E614D" w:rsidRDefault="000C3A94">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1A12EB6D" w14:textId="77777777" w:rsidR="005E614D" w:rsidRDefault="000C3A94">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2DE8525" w14:textId="77777777" w:rsidR="005E614D" w:rsidRDefault="000C3A94">
            <w:pPr>
              <w:cnfStyle w:val="000000000000" w:firstRow="0" w:lastRow="0" w:firstColumn="0" w:lastColumn="0" w:oddVBand="0" w:evenVBand="0" w:oddHBand="0" w:evenHBand="0" w:firstRowFirstColumn="0" w:firstRowLastColumn="0" w:lastRowFirstColumn="0" w:lastRowLastColumn="0"/>
            </w:pPr>
            <w:r>
              <w:t>145</w:t>
            </w:r>
          </w:p>
        </w:tc>
      </w:tr>
      <w:tr w:rsidR="005E614D" w14:paraId="2C2189EF" w14:textId="77777777">
        <w:tc>
          <w:tcPr>
            <w:cnfStyle w:val="001000000000" w:firstRow="0" w:lastRow="0" w:firstColumn="1" w:lastColumn="0" w:oddVBand="0" w:evenVBand="0" w:oddHBand="0" w:evenHBand="0" w:firstRowFirstColumn="0" w:firstRowLastColumn="0" w:lastRowFirstColumn="0" w:lastRowLastColumn="0"/>
            <w:tcW w:w="5103" w:type="dxa"/>
          </w:tcPr>
          <w:p w14:paraId="512FC85E" w14:textId="77777777" w:rsidR="005E614D" w:rsidRDefault="000C3A94">
            <w:r>
              <w:t>Land, buildings, infrastructure, plant and equipment</w:t>
            </w:r>
          </w:p>
        </w:tc>
        <w:tc>
          <w:tcPr>
            <w:tcW w:w="907" w:type="dxa"/>
          </w:tcPr>
          <w:p w14:paraId="3126AAA5" w14:textId="77777777" w:rsidR="005E614D" w:rsidRDefault="000C3A94">
            <w:pPr>
              <w:cnfStyle w:val="000000000000" w:firstRow="0" w:lastRow="0" w:firstColumn="0" w:lastColumn="0" w:oddVBand="0" w:evenVBand="0" w:oddHBand="0" w:evenHBand="0" w:firstRowFirstColumn="0" w:firstRowLastColumn="0" w:lastRowFirstColumn="0" w:lastRowLastColumn="0"/>
            </w:pPr>
            <w:r>
              <w:t>269 690</w:t>
            </w:r>
          </w:p>
        </w:tc>
        <w:tc>
          <w:tcPr>
            <w:tcW w:w="907" w:type="dxa"/>
          </w:tcPr>
          <w:p w14:paraId="336D5662" w14:textId="77777777" w:rsidR="005E614D" w:rsidRDefault="000C3A94">
            <w:pPr>
              <w:cnfStyle w:val="000000000000" w:firstRow="0" w:lastRow="0" w:firstColumn="0" w:lastColumn="0" w:oddVBand="0" w:evenVBand="0" w:oddHBand="0" w:evenHBand="0" w:firstRowFirstColumn="0" w:firstRowLastColumn="0" w:lastRowFirstColumn="0" w:lastRowLastColumn="0"/>
            </w:pPr>
            <w:r>
              <w:t>273 295</w:t>
            </w:r>
          </w:p>
        </w:tc>
        <w:tc>
          <w:tcPr>
            <w:tcW w:w="907" w:type="dxa"/>
          </w:tcPr>
          <w:p w14:paraId="0497AA4C" w14:textId="77777777" w:rsidR="005E614D" w:rsidRDefault="000C3A94">
            <w:pPr>
              <w:cnfStyle w:val="000000000000" w:firstRow="0" w:lastRow="0" w:firstColumn="0" w:lastColumn="0" w:oddVBand="0" w:evenVBand="0" w:oddHBand="0" w:evenHBand="0" w:firstRowFirstColumn="0" w:firstRowLastColumn="0" w:lastRowFirstColumn="0" w:lastRowLastColumn="0"/>
            </w:pPr>
            <w:r>
              <w:t>277 316</w:t>
            </w:r>
          </w:p>
        </w:tc>
        <w:tc>
          <w:tcPr>
            <w:tcW w:w="907" w:type="dxa"/>
          </w:tcPr>
          <w:p w14:paraId="496CDE08" w14:textId="77777777" w:rsidR="005E614D" w:rsidRDefault="000C3A94">
            <w:pPr>
              <w:cnfStyle w:val="000000000000" w:firstRow="0" w:lastRow="0" w:firstColumn="0" w:lastColumn="0" w:oddVBand="0" w:evenVBand="0" w:oddHBand="0" w:evenHBand="0" w:firstRowFirstColumn="0" w:firstRowLastColumn="0" w:lastRowFirstColumn="0" w:lastRowLastColumn="0"/>
            </w:pPr>
            <w:r>
              <w:t>279 644</w:t>
            </w:r>
          </w:p>
        </w:tc>
        <w:tc>
          <w:tcPr>
            <w:tcW w:w="907" w:type="dxa"/>
          </w:tcPr>
          <w:p w14:paraId="708EAA20" w14:textId="77777777" w:rsidR="005E614D" w:rsidRDefault="000C3A94">
            <w:pPr>
              <w:cnfStyle w:val="000000000000" w:firstRow="0" w:lastRow="0" w:firstColumn="0" w:lastColumn="0" w:oddVBand="0" w:evenVBand="0" w:oddHBand="0" w:evenHBand="0" w:firstRowFirstColumn="0" w:firstRowLastColumn="0" w:lastRowFirstColumn="0" w:lastRowLastColumn="0"/>
            </w:pPr>
            <w:r>
              <w:t>288 244</w:t>
            </w:r>
          </w:p>
        </w:tc>
      </w:tr>
      <w:tr w:rsidR="005E614D" w14:paraId="70CD543E"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DB5567D" w14:textId="77777777" w:rsidR="005E614D" w:rsidRDefault="000C3A94">
            <w:r>
              <w:t>Other non</w:t>
            </w:r>
            <w:r>
              <w:noBreakHyphen/>
              <w:t>financial assets</w:t>
            </w:r>
          </w:p>
        </w:tc>
        <w:tc>
          <w:tcPr>
            <w:tcW w:w="907" w:type="dxa"/>
            <w:tcBorders>
              <w:bottom w:val="single" w:sz="6" w:space="0" w:color="auto"/>
            </w:tcBorders>
          </w:tcPr>
          <w:p w14:paraId="50C3C9E2" w14:textId="77777777" w:rsidR="005E614D" w:rsidRDefault="000C3A94">
            <w:pPr>
              <w:cnfStyle w:val="000000000000" w:firstRow="0" w:lastRow="0" w:firstColumn="0" w:lastColumn="0" w:oddVBand="0" w:evenVBand="0" w:oddHBand="0" w:evenHBand="0" w:firstRowFirstColumn="0" w:firstRowLastColumn="0" w:lastRowFirstColumn="0" w:lastRowLastColumn="0"/>
            </w:pPr>
            <w:r>
              <w:t>6 222</w:t>
            </w:r>
          </w:p>
        </w:tc>
        <w:tc>
          <w:tcPr>
            <w:tcW w:w="907" w:type="dxa"/>
            <w:tcBorders>
              <w:bottom w:val="single" w:sz="6" w:space="0" w:color="auto"/>
            </w:tcBorders>
          </w:tcPr>
          <w:p w14:paraId="0224C017" w14:textId="77777777" w:rsidR="005E614D" w:rsidRDefault="000C3A94">
            <w:pPr>
              <w:cnfStyle w:val="000000000000" w:firstRow="0" w:lastRow="0" w:firstColumn="0" w:lastColumn="0" w:oddVBand="0" w:evenVBand="0" w:oddHBand="0" w:evenHBand="0" w:firstRowFirstColumn="0" w:firstRowLastColumn="0" w:lastRowFirstColumn="0" w:lastRowLastColumn="0"/>
            </w:pPr>
            <w:r>
              <w:t>7 442</w:t>
            </w:r>
          </w:p>
        </w:tc>
        <w:tc>
          <w:tcPr>
            <w:tcW w:w="907" w:type="dxa"/>
            <w:tcBorders>
              <w:bottom w:val="single" w:sz="6" w:space="0" w:color="auto"/>
            </w:tcBorders>
          </w:tcPr>
          <w:p w14:paraId="56E9F5CA" w14:textId="77777777" w:rsidR="005E614D" w:rsidRDefault="000C3A94">
            <w:pPr>
              <w:cnfStyle w:val="000000000000" w:firstRow="0" w:lastRow="0" w:firstColumn="0" w:lastColumn="0" w:oddVBand="0" w:evenVBand="0" w:oddHBand="0" w:evenHBand="0" w:firstRowFirstColumn="0" w:firstRowLastColumn="0" w:lastRowFirstColumn="0" w:lastRowLastColumn="0"/>
            </w:pPr>
            <w:r>
              <w:t>7 030</w:t>
            </w:r>
          </w:p>
        </w:tc>
        <w:tc>
          <w:tcPr>
            <w:tcW w:w="907" w:type="dxa"/>
            <w:tcBorders>
              <w:bottom w:val="single" w:sz="6" w:space="0" w:color="auto"/>
            </w:tcBorders>
          </w:tcPr>
          <w:p w14:paraId="68873281" w14:textId="77777777" w:rsidR="005E614D" w:rsidRDefault="000C3A94">
            <w:pPr>
              <w:cnfStyle w:val="000000000000" w:firstRow="0" w:lastRow="0" w:firstColumn="0" w:lastColumn="0" w:oddVBand="0" w:evenVBand="0" w:oddHBand="0" w:evenHBand="0" w:firstRowFirstColumn="0" w:firstRowLastColumn="0" w:lastRowFirstColumn="0" w:lastRowLastColumn="0"/>
            </w:pPr>
            <w:r>
              <w:t>6 683</w:t>
            </w:r>
          </w:p>
        </w:tc>
        <w:tc>
          <w:tcPr>
            <w:tcW w:w="907" w:type="dxa"/>
            <w:tcBorders>
              <w:bottom w:val="single" w:sz="6" w:space="0" w:color="auto"/>
            </w:tcBorders>
          </w:tcPr>
          <w:p w14:paraId="25A973D4" w14:textId="77777777" w:rsidR="005E614D" w:rsidRDefault="000C3A94">
            <w:pPr>
              <w:cnfStyle w:val="000000000000" w:firstRow="0" w:lastRow="0" w:firstColumn="0" w:lastColumn="0" w:oddVBand="0" w:evenVBand="0" w:oddHBand="0" w:evenHBand="0" w:firstRowFirstColumn="0" w:firstRowLastColumn="0" w:lastRowFirstColumn="0" w:lastRowLastColumn="0"/>
            </w:pPr>
            <w:r>
              <w:t>6 906</w:t>
            </w:r>
          </w:p>
        </w:tc>
      </w:tr>
      <w:tr w:rsidR="005E614D" w14:paraId="5EBAA359"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025D2A0" w14:textId="77777777" w:rsidR="005E614D" w:rsidRDefault="000C3A94">
            <w:r>
              <w:rPr>
                <w:b/>
              </w:rPr>
              <w:t>Total non</w:t>
            </w:r>
            <w:r>
              <w:rPr>
                <w:b/>
              </w:rPr>
              <w:noBreakHyphen/>
              <w:t>financial assets</w:t>
            </w:r>
          </w:p>
        </w:tc>
        <w:tc>
          <w:tcPr>
            <w:tcW w:w="907" w:type="dxa"/>
            <w:tcBorders>
              <w:top w:val="single" w:sz="6" w:space="0" w:color="auto"/>
              <w:bottom w:val="single" w:sz="6" w:space="0" w:color="auto"/>
            </w:tcBorders>
          </w:tcPr>
          <w:p w14:paraId="160E009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276 546</w:t>
            </w:r>
          </w:p>
        </w:tc>
        <w:tc>
          <w:tcPr>
            <w:tcW w:w="907" w:type="dxa"/>
            <w:tcBorders>
              <w:top w:val="single" w:sz="6" w:space="0" w:color="auto"/>
              <w:bottom w:val="single" w:sz="6" w:space="0" w:color="auto"/>
            </w:tcBorders>
          </w:tcPr>
          <w:p w14:paraId="3239911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281 310</w:t>
            </w:r>
          </w:p>
        </w:tc>
        <w:tc>
          <w:tcPr>
            <w:tcW w:w="907" w:type="dxa"/>
            <w:tcBorders>
              <w:top w:val="single" w:sz="6" w:space="0" w:color="auto"/>
              <w:bottom w:val="single" w:sz="6" w:space="0" w:color="auto"/>
            </w:tcBorders>
          </w:tcPr>
          <w:p w14:paraId="658049A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284 910</w:t>
            </w:r>
          </w:p>
        </w:tc>
        <w:tc>
          <w:tcPr>
            <w:tcW w:w="907" w:type="dxa"/>
            <w:tcBorders>
              <w:top w:val="single" w:sz="6" w:space="0" w:color="auto"/>
              <w:bottom w:val="single" w:sz="6" w:space="0" w:color="auto"/>
            </w:tcBorders>
          </w:tcPr>
          <w:p w14:paraId="0596F9F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286 711</w:t>
            </w:r>
          </w:p>
        </w:tc>
        <w:tc>
          <w:tcPr>
            <w:tcW w:w="907" w:type="dxa"/>
            <w:tcBorders>
              <w:top w:val="single" w:sz="6" w:space="0" w:color="auto"/>
              <w:bottom w:val="single" w:sz="6" w:space="0" w:color="auto"/>
            </w:tcBorders>
          </w:tcPr>
          <w:p w14:paraId="0BFF5DB5"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295 573</w:t>
            </w:r>
          </w:p>
        </w:tc>
      </w:tr>
      <w:tr w:rsidR="005E614D" w14:paraId="20C65EF1"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91968D2" w14:textId="77777777" w:rsidR="005E614D" w:rsidRDefault="000C3A94">
            <w:r>
              <w:rPr>
                <w:b/>
              </w:rPr>
              <w:t>Total assets</w:t>
            </w:r>
          </w:p>
        </w:tc>
        <w:tc>
          <w:tcPr>
            <w:tcW w:w="907" w:type="dxa"/>
            <w:tcBorders>
              <w:top w:val="single" w:sz="6" w:space="0" w:color="auto"/>
            </w:tcBorders>
          </w:tcPr>
          <w:p w14:paraId="1ED711D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421 623</w:t>
            </w:r>
          </w:p>
        </w:tc>
        <w:tc>
          <w:tcPr>
            <w:tcW w:w="907" w:type="dxa"/>
            <w:tcBorders>
              <w:top w:val="single" w:sz="6" w:space="0" w:color="auto"/>
            </w:tcBorders>
          </w:tcPr>
          <w:p w14:paraId="3BD3240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427 207</w:t>
            </w:r>
          </w:p>
        </w:tc>
        <w:tc>
          <w:tcPr>
            <w:tcW w:w="907" w:type="dxa"/>
            <w:tcBorders>
              <w:top w:val="single" w:sz="6" w:space="0" w:color="auto"/>
            </w:tcBorders>
          </w:tcPr>
          <w:p w14:paraId="2E1983E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431 917</w:t>
            </w:r>
          </w:p>
        </w:tc>
        <w:tc>
          <w:tcPr>
            <w:tcW w:w="907" w:type="dxa"/>
            <w:tcBorders>
              <w:top w:val="single" w:sz="6" w:space="0" w:color="auto"/>
            </w:tcBorders>
          </w:tcPr>
          <w:p w14:paraId="23E6BFB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438 471</w:t>
            </w:r>
          </w:p>
        </w:tc>
        <w:tc>
          <w:tcPr>
            <w:tcW w:w="907" w:type="dxa"/>
            <w:tcBorders>
              <w:top w:val="single" w:sz="6" w:space="0" w:color="auto"/>
            </w:tcBorders>
          </w:tcPr>
          <w:p w14:paraId="665688AE"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440 305</w:t>
            </w:r>
          </w:p>
        </w:tc>
      </w:tr>
      <w:tr w:rsidR="005E614D" w14:paraId="14AD0B91" w14:textId="77777777">
        <w:tc>
          <w:tcPr>
            <w:cnfStyle w:val="001000000000" w:firstRow="0" w:lastRow="0" w:firstColumn="1" w:lastColumn="0" w:oddVBand="0" w:evenVBand="0" w:oddHBand="0" w:evenHBand="0" w:firstRowFirstColumn="0" w:firstRowLastColumn="0" w:lastRowFirstColumn="0" w:lastRowLastColumn="0"/>
            <w:tcW w:w="5103" w:type="dxa"/>
          </w:tcPr>
          <w:p w14:paraId="75351452" w14:textId="77777777" w:rsidR="005E614D" w:rsidRDefault="000C3A94">
            <w:r>
              <w:rPr>
                <w:b/>
              </w:rPr>
              <w:t>Liabilities</w:t>
            </w:r>
          </w:p>
        </w:tc>
        <w:tc>
          <w:tcPr>
            <w:tcW w:w="907" w:type="dxa"/>
          </w:tcPr>
          <w:p w14:paraId="105986A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558F67B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7989E5E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3A45279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0A0C4B2F"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1E52CD98" w14:textId="77777777">
        <w:tc>
          <w:tcPr>
            <w:cnfStyle w:val="001000000000" w:firstRow="0" w:lastRow="0" w:firstColumn="1" w:lastColumn="0" w:oddVBand="0" w:evenVBand="0" w:oddHBand="0" w:evenHBand="0" w:firstRowFirstColumn="0" w:firstRowLastColumn="0" w:lastRowFirstColumn="0" w:lastRowLastColumn="0"/>
            <w:tcW w:w="5103" w:type="dxa"/>
          </w:tcPr>
          <w:p w14:paraId="4DA163B6" w14:textId="77777777" w:rsidR="005E614D" w:rsidRDefault="000C3A94">
            <w:r>
              <w:t>Deposits held and advances received</w:t>
            </w:r>
          </w:p>
        </w:tc>
        <w:tc>
          <w:tcPr>
            <w:tcW w:w="907" w:type="dxa"/>
          </w:tcPr>
          <w:p w14:paraId="437B1323" w14:textId="77777777" w:rsidR="005E614D" w:rsidRDefault="000C3A94">
            <w:pPr>
              <w:cnfStyle w:val="000000000000" w:firstRow="0" w:lastRow="0" w:firstColumn="0" w:lastColumn="0" w:oddVBand="0" w:evenVBand="0" w:oddHBand="0" w:evenHBand="0" w:firstRowFirstColumn="0" w:firstRowLastColumn="0" w:lastRowFirstColumn="0" w:lastRowLastColumn="0"/>
            </w:pPr>
            <w:r>
              <w:t>1 525</w:t>
            </w:r>
          </w:p>
        </w:tc>
        <w:tc>
          <w:tcPr>
            <w:tcW w:w="907" w:type="dxa"/>
          </w:tcPr>
          <w:p w14:paraId="6399ED45" w14:textId="77777777" w:rsidR="005E614D" w:rsidRDefault="000C3A94">
            <w:pPr>
              <w:cnfStyle w:val="000000000000" w:firstRow="0" w:lastRow="0" w:firstColumn="0" w:lastColumn="0" w:oddVBand="0" w:evenVBand="0" w:oddHBand="0" w:evenHBand="0" w:firstRowFirstColumn="0" w:firstRowLastColumn="0" w:lastRowFirstColumn="0" w:lastRowLastColumn="0"/>
            </w:pPr>
            <w:r>
              <w:t>1 577</w:t>
            </w:r>
          </w:p>
        </w:tc>
        <w:tc>
          <w:tcPr>
            <w:tcW w:w="907" w:type="dxa"/>
          </w:tcPr>
          <w:p w14:paraId="23305BD1" w14:textId="77777777" w:rsidR="005E614D" w:rsidRDefault="000C3A94">
            <w:pPr>
              <w:cnfStyle w:val="000000000000" w:firstRow="0" w:lastRow="0" w:firstColumn="0" w:lastColumn="0" w:oddVBand="0" w:evenVBand="0" w:oddHBand="0" w:evenHBand="0" w:firstRowFirstColumn="0" w:firstRowLastColumn="0" w:lastRowFirstColumn="0" w:lastRowLastColumn="0"/>
            </w:pPr>
            <w:r>
              <w:t>1 435</w:t>
            </w:r>
          </w:p>
        </w:tc>
        <w:tc>
          <w:tcPr>
            <w:tcW w:w="907" w:type="dxa"/>
          </w:tcPr>
          <w:p w14:paraId="113F1C0C" w14:textId="77777777" w:rsidR="005E614D" w:rsidRDefault="000C3A94">
            <w:pPr>
              <w:cnfStyle w:val="000000000000" w:firstRow="0" w:lastRow="0" w:firstColumn="0" w:lastColumn="0" w:oddVBand="0" w:evenVBand="0" w:oddHBand="0" w:evenHBand="0" w:firstRowFirstColumn="0" w:firstRowLastColumn="0" w:lastRowFirstColumn="0" w:lastRowLastColumn="0"/>
            </w:pPr>
            <w:r>
              <w:t>1 494</w:t>
            </w:r>
          </w:p>
        </w:tc>
        <w:tc>
          <w:tcPr>
            <w:tcW w:w="907" w:type="dxa"/>
          </w:tcPr>
          <w:p w14:paraId="3D23B7E6" w14:textId="77777777" w:rsidR="005E614D" w:rsidRDefault="000C3A94">
            <w:pPr>
              <w:cnfStyle w:val="000000000000" w:firstRow="0" w:lastRow="0" w:firstColumn="0" w:lastColumn="0" w:oddVBand="0" w:evenVBand="0" w:oddHBand="0" w:evenHBand="0" w:firstRowFirstColumn="0" w:firstRowLastColumn="0" w:lastRowFirstColumn="0" w:lastRowLastColumn="0"/>
            </w:pPr>
            <w:r>
              <w:t>1 595</w:t>
            </w:r>
          </w:p>
        </w:tc>
      </w:tr>
      <w:tr w:rsidR="005E614D" w14:paraId="7448EB75" w14:textId="77777777">
        <w:tc>
          <w:tcPr>
            <w:cnfStyle w:val="001000000000" w:firstRow="0" w:lastRow="0" w:firstColumn="1" w:lastColumn="0" w:oddVBand="0" w:evenVBand="0" w:oddHBand="0" w:evenHBand="0" w:firstRowFirstColumn="0" w:firstRowLastColumn="0" w:lastRowFirstColumn="0" w:lastRowLastColumn="0"/>
            <w:tcW w:w="5103" w:type="dxa"/>
          </w:tcPr>
          <w:p w14:paraId="69A60E4B" w14:textId="77777777" w:rsidR="005E614D" w:rsidRDefault="000C3A94">
            <w:r>
              <w:t>Payables</w:t>
            </w:r>
          </w:p>
        </w:tc>
        <w:tc>
          <w:tcPr>
            <w:tcW w:w="907" w:type="dxa"/>
          </w:tcPr>
          <w:p w14:paraId="227F376D" w14:textId="77777777" w:rsidR="005E614D" w:rsidRDefault="000C3A94">
            <w:pPr>
              <w:cnfStyle w:val="000000000000" w:firstRow="0" w:lastRow="0" w:firstColumn="0" w:lastColumn="0" w:oddVBand="0" w:evenVBand="0" w:oddHBand="0" w:evenHBand="0" w:firstRowFirstColumn="0" w:firstRowLastColumn="0" w:lastRowFirstColumn="0" w:lastRowLastColumn="0"/>
            </w:pPr>
            <w:r>
              <w:t>7 741</w:t>
            </w:r>
          </w:p>
        </w:tc>
        <w:tc>
          <w:tcPr>
            <w:tcW w:w="907" w:type="dxa"/>
          </w:tcPr>
          <w:p w14:paraId="057E24D2" w14:textId="77777777" w:rsidR="005E614D" w:rsidRDefault="000C3A94">
            <w:pPr>
              <w:cnfStyle w:val="000000000000" w:firstRow="0" w:lastRow="0" w:firstColumn="0" w:lastColumn="0" w:oddVBand="0" w:evenVBand="0" w:oddHBand="0" w:evenHBand="0" w:firstRowFirstColumn="0" w:firstRowLastColumn="0" w:lastRowFirstColumn="0" w:lastRowLastColumn="0"/>
            </w:pPr>
            <w:r>
              <w:t>5 930</w:t>
            </w:r>
          </w:p>
        </w:tc>
        <w:tc>
          <w:tcPr>
            <w:tcW w:w="907" w:type="dxa"/>
          </w:tcPr>
          <w:p w14:paraId="5357460F" w14:textId="77777777" w:rsidR="005E614D" w:rsidRDefault="000C3A94">
            <w:pPr>
              <w:cnfStyle w:val="000000000000" w:firstRow="0" w:lastRow="0" w:firstColumn="0" w:lastColumn="0" w:oddVBand="0" w:evenVBand="0" w:oddHBand="0" w:evenHBand="0" w:firstRowFirstColumn="0" w:firstRowLastColumn="0" w:lastRowFirstColumn="0" w:lastRowLastColumn="0"/>
            </w:pPr>
            <w:r>
              <w:t>5 350</w:t>
            </w:r>
          </w:p>
        </w:tc>
        <w:tc>
          <w:tcPr>
            <w:tcW w:w="907" w:type="dxa"/>
          </w:tcPr>
          <w:p w14:paraId="56278903" w14:textId="77777777" w:rsidR="005E614D" w:rsidRDefault="000C3A94">
            <w:pPr>
              <w:cnfStyle w:val="000000000000" w:firstRow="0" w:lastRow="0" w:firstColumn="0" w:lastColumn="0" w:oddVBand="0" w:evenVBand="0" w:oddHBand="0" w:evenHBand="0" w:firstRowFirstColumn="0" w:firstRowLastColumn="0" w:lastRowFirstColumn="0" w:lastRowLastColumn="0"/>
            </w:pPr>
            <w:r>
              <w:t>5 539</w:t>
            </w:r>
          </w:p>
        </w:tc>
        <w:tc>
          <w:tcPr>
            <w:tcW w:w="907" w:type="dxa"/>
          </w:tcPr>
          <w:p w14:paraId="45C01095" w14:textId="77777777" w:rsidR="005E614D" w:rsidRDefault="000C3A94">
            <w:pPr>
              <w:cnfStyle w:val="000000000000" w:firstRow="0" w:lastRow="0" w:firstColumn="0" w:lastColumn="0" w:oddVBand="0" w:evenVBand="0" w:oddHBand="0" w:evenHBand="0" w:firstRowFirstColumn="0" w:firstRowLastColumn="0" w:lastRowFirstColumn="0" w:lastRowLastColumn="0"/>
            </w:pPr>
            <w:r>
              <w:t>6 558</w:t>
            </w:r>
          </w:p>
        </w:tc>
      </w:tr>
      <w:tr w:rsidR="005E614D" w14:paraId="013155CD" w14:textId="77777777">
        <w:tc>
          <w:tcPr>
            <w:cnfStyle w:val="001000000000" w:firstRow="0" w:lastRow="0" w:firstColumn="1" w:lastColumn="0" w:oddVBand="0" w:evenVBand="0" w:oddHBand="0" w:evenHBand="0" w:firstRowFirstColumn="0" w:firstRowLastColumn="0" w:lastRowFirstColumn="0" w:lastRowLastColumn="0"/>
            <w:tcW w:w="5103" w:type="dxa"/>
          </w:tcPr>
          <w:p w14:paraId="2C7DE4B6" w14:textId="77777777" w:rsidR="005E614D" w:rsidRDefault="000C3A94">
            <w:r>
              <w:t>Borrowings</w:t>
            </w:r>
          </w:p>
        </w:tc>
        <w:tc>
          <w:tcPr>
            <w:tcW w:w="907" w:type="dxa"/>
          </w:tcPr>
          <w:p w14:paraId="74BBE1AC" w14:textId="77777777" w:rsidR="005E614D" w:rsidRDefault="000C3A94">
            <w:pPr>
              <w:cnfStyle w:val="000000000000" w:firstRow="0" w:lastRow="0" w:firstColumn="0" w:lastColumn="0" w:oddVBand="0" w:evenVBand="0" w:oddHBand="0" w:evenHBand="0" w:firstRowFirstColumn="0" w:firstRowLastColumn="0" w:lastRowFirstColumn="0" w:lastRowLastColumn="0"/>
            </w:pPr>
            <w:r>
              <w:t>167 309</w:t>
            </w:r>
          </w:p>
        </w:tc>
        <w:tc>
          <w:tcPr>
            <w:tcW w:w="907" w:type="dxa"/>
          </w:tcPr>
          <w:p w14:paraId="66CD6F3B" w14:textId="77777777" w:rsidR="005E614D" w:rsidRDefault="000C3A94">
            <w:pPr>
              <w:cnfStyle w:val="000000000000" w:firstRow="0" w:lastRow="0" w:firstColumn="0" w:lastColumn="0" w:oddVBand="0" w:evenVBand="0" w:oddHBand="0" w:evenHBand="0" w:firstRowFirstColumn="0" w:firstRowLastColumn="0" w:lastRowFirstColumn="0" w:lastRowLastColumn="0"/>
            </w:pPr>
            <w:r>
              <w:t>175 439</w:t>
            </w:r>
          </w:p>
        </w:tc>
        <w:tc>
          <w:tcPr>
            <w:tcW w:w="907" w:type="dxa"/>
          </w:tcPr>
          <w:p w14:paraId="72310C10" w14:textId="77777777" w:rsidR="005E614D" w:rsidRDefault="000C3A94">
            <w:pPr>
              <w:cnfStyle w:val="000000000000" w:firstRow="0" w:lastRow="0" w:firstColumn="0" w:lastColumn="0" w:oddVBand="0" w:evenVBand="0" w:oddHBand="0" w:evenHBand="0" w:firstRowFirstColumn="0" w:firstRowLastColumn="0" w:lastRowFirstColumn="0" w:lastRowLastColumn="0"/>
            </w:pPr>
            <w:r>
              <w:t>183 005</w:t>
            </w:r>
          </w:p>
        </w:tc>
        <w:tc>
          <w:tcPr>
            <w:tcW w:w="907" w:type="dxa"/>
          </w:tcPr>
          <w:p w14:paraId="5EA8B5A6" w14:textId="77777777" w:rsidR="005E614D" w:rsidRDefault="000C3A94">
            <w:pPr>
              <w:cnfStyle w:val="000000000000" w:firstRow="0" w:lastRow="0" w:firstColumn="0" w:lastColumn="0" w:oddVBand="0" w:evenVBand="0" w:oddHBand="0" w:evenHBand="0" w:firstRowFirstColumn="0" w:firstRowLastColumn="0" w:lastRowFirstColumn="0" w:lastRowLastColumn="0"/>
            </w:pPr>
            <w:r>
              <w:t>185 715</w:t>
            </w:r>
          </w:p>
        </w:tc>
        <w:tc>
          <w:tcPr>
            <w:tcW w:w="907" w:type="dxa"/>
          </w:tcPr>
          <w:p w14:paraId="094D9A9E" w14:textId="77777777" w:rsidR="005E614D" w:rsidRDefault="000C3A94">
            <w:pPr>
              <w:cnfStyle w:val="000000000000" w:firstRow="0" w:lastRow="0" w:firstColumn="0" w:lastColumn="0" w:oddVBand="0" w:evenVBand="0" w:oddHBand="0" w:evenHBand="0" w:firstRowFirstColumn="0" w:firstRowLastColumn="0" w:lastRowFirstColumn="0" w:lastRowLastColumn="0"/>
            </w:pPr>
            <w:r>
              <w:t>186 259</w:t>
            </w:r>
          </w:p>
        </w:tc>
      </w:tr>
      <w:tr w:rsidR="005E614D" w14:paraId="6113293D" w14:textId="77777777">
        <w:tc>
          <w:tcPr>
            <w:cnfStyle w:val="001000000000" w:firstRow="0" w:lastRow="0" w:firstColumn="1" w:lastColumn="0" w:oddVBand="0" w:evenVBand="0" w:oddHBand="0" w:evenHBand="0" w:firstRowFirstColumn="0" w:firstRowLastColumn="0" w:lastRowFirstColumn="0" w:lastRowLastColumn="0"/>
            <w:tcW w:w="5103" w:type="dxa"/>
          </w:tcPr>
          <w:p w14:paraId="5CB54800" w14:textId="77777777" w:rsidR="005E614D" w:rsidRDefault="000C3A94">
            <w:r>
              <w:t>Employee benefits</w:t>
            </w:r>
          </w:p>
        </w:tc>
        <w:tc>
          <w:tcPr>
            <w:tcW w:w="907" w:type="dxa"/>
          </w:tcPr>
          <w:p w14:paraId="3198207D" w14:textId="77777777" w:rsidR="005E614D" w:rsidRDefault="000C3A94">
            <w:pPr>
              <w:cnfStyle w:val="000000000000" w:firstRow="0" w:lastRow="0" w:firstColumn="0" w:lastColumn="0" w:oddVBand="0" w:evenVBand="0" w:oddHBand="0" w:evenHBand="0" w:firstRowFirstColumn="0" w:firstRowLastColumn="0" w:lastRowFirstColumn="0" w:lastRowLastColumn="0"/>
            </w:pPr>
            <w:r>
              <w:t>11 120</w:t>
            </w:r>
          </w:p>
        </w:tc>
        <w:tc>
          <w:tcPr>
            <w:tcW w:w="907" w:type="dxa"/>
          </w:tcPr>
          <w:p w14:paraId="34231D59" w14:textId="77777777" w:rsidR="005E614D" w:rsidRDefault="000C3A94">
            <w:pPr>
              <w:cnfStyle w:val="000000000000" w:firstRow="0" w:lastRow="0" w:firstColumn="0" w:lastColumn="0" w:oddVBand="0" w:evenVBand="0" w:oddHBand="0" w:evenHBand="0" w:firstRowFirstColumn="0" w:firstRowLastColumn="0" w:lastRowFirstColumn="0" w:lastRowLastColumn="0"/>
            </w:pPr>
            <w:r>
              <w:t>11 574</w:t>
            </w:r>
          </w:p>
        </w:tc>
        <w:tc>
          <w:tcPr>
            <w:tcW w:w="907" w:type="dxa"/>
          </w:tcPr>
          <w:p w14:paraId="4229B32D" w14:textId="77777777" w:rsidR="005E614D" w:rsidRDefault="000C3A94">
            <w:pPr>
              <w:cnfStyle w:val="000000000000" w:firstRow="0" w:lastRow="0" w:firstColumn="0" w:lastColumn="0" w:oddVBand="0" w:evenVBand="0" w:oddHBand="0" w:evenHBand="0" w:firstRowFirstColumn="0" w:firstRowLastColumn="0" w:lastRowFirstColumn="0" w:lastRowLastColumn="0"/>
            </w:pPr>
            <w:r>
              <w:t>11 312</w:t>
            </w:r>
          </w:p>
        </w:tc>
        <w:tc>
          <w:tcPr>
            <w:tcW w:w="907" w:type="dxa"/>
          </w:tcPr>
          <w:p w14:paraId="54CBA900" w14:textId="77777777" w:rsidR="005E614D" w:rsidRDefault="000C3A94">
            <w:pPr>
              <w:cnfStyle w:val="000000000000" w:firstRow="0" w:lastRow="0" w:firstColumn="0" w:lastColumn="0" w:oddVBand="0" w:evenVBand="0" w:oddHBand="0" w:evenHBand="0" w:firstRowFirstColumn="0" w:firstRowLastColumn="0" w:lastRowFirstColumn="0" w:lastRowLastColumn="0"/>
            </w:pPr>
            <w:r>
              <w:t>11 820</w:t>
            </w:r>
          </w:p>
        </w:tc>
        <w:tc>
          <w:tcPr>
            <w:tcW w:w="907" w:type="dxa"/>
          </w:tcPr>
          <w:p w14:paraId="241F552B" w14:textId="77777777" w:rsidR="005E614D" w:rsidRDefault="000C3A94">
            <w:pPr>
              <w:cnfStyle w:val="000000000000" w:firstRow="0" w:lastRow="0" w:firstColumn="0" w:lastColumn="0" w:oddVBand="0" w:evenVBand="0" w:oddHBand="0" w:evenHBand="0" w:firstRowFirstColumn="0" w:firstRowLastColumn="0" w:lastRowFirstColumn="0" w:lastRowLastColumn="0"/>
            </w:pPr>
            <w:r>
              <w:t>12 070</w:t>
            </w:r>
          </w:p>
        </w:tc>
      </w:tr>
      <w:tr w:rsidR="005E614D" w14:paraId="40993164" w14:textId="77777777">
        <w:tc>
          <w:tcPr>
            <w:cnfStyle w:val="001000000000" w:firstRow="0" w:lastRow="0" w:firstColumn="1" w:lastColumn="0" w:oddVBand="0" w:evenVBand="0" w:oddHBand="0" w:evenHBand="0" w:firstRowFirstColumn="0" w:firstRowLastColumn="0" w:lastRowFirstColumn="0" w:lastRowLastColumn="0"/>
            <w:tcW w:w="5103" w:type="dxa"/>
          </w:tcPr>
          <w:p w14:paraId="3721E21A" w14:textId="77777777" w:rsidR="005E614D" w:rsidRDefault="000C3A94">
            <w:r>
              <w:t>Superannuation</w:t>
            </w:r>
          </w:p>
        </w:tc>
        <w:tc>
          <w:tcPr>
            <w:tcW w:w="907" w:type="dxa"/>
          </w:tcPr>
          <w:p w14:paraId="29EBCA3A"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18 226</w:t>
            </w:r>
          </w:p>
        </w:tc>
        <w:tc>
          <w:tcPr>
            <w:tcW w:w="907" w:type="dxa"/>
          </w:tcPr>
          <w:p w14:paraId="55B9D12F" w14:textId="77777777" w:rsidR="005E614D" w:rsidRDefault="000C3A94">
            <w:pPr>
              <w:cnfStyle w:val="000000000000" w:firstRow="0" w:lastRow="0" w:firstColumn="0" w:lastColumn="0" w:oddVBand="0" w:evenVBand="0" w:oddHBand="0" w:evenHBand="0" w:firstRowFirstColumn="0" w:firstRowLastColumn="0" w:lastRowFirstColumn="0" w:lastRowLastColumn="0"/>
            </w:pPr>
            <w:r>
              <w:t>19 368</w:t>
            </w:r>
          </w:p>
        </w:tc>
        <w:tc>
          <w:tcPr>
            <w:tcW w:w="907" w:type="dxa"/>
          </w:tcPr>
          <w:p w14:paraId="549AE82A" w14:textId="77777777" w:rsidR="005E614D" w:rsidRDefault="000C3A94">
            <w:pPr>
              <w:cnfStyle w:val="000000000000" w:firstRow="0" w:lastRow="0" w:firstColumn="0" w:lastColumn="0" w:oddVBand="0" w:evenVBand="0" w:oddHBand="0" w:evenHBand="0" w:firstRowFirstColumn="0" w:firstRowLastColumn="0" w:lastRowFirstColumn="0" w:lastRowLastColumn="0"/>
            </w:pPr>
            <w:r>
              <w:t>17 369</w:t>
            </w:r>
          </w:p>
        </w:tc>
        <w:tc>
          <w:tcPr>
            <w:tcW w:w="907" w:type="dxa"/>
          </w:tcPr>
          <w:p w14:paraId="55C98945" w14:textId="77777777" w:rsidR="005E614D" w:rsidRDefault="000C3A94">
            <w:pPr>
              <w:cnfStyle w:val="000000000000" w:firstRow="0" w:lastRow="0" w:firstColumn="0" w:lastColumn="0" w:oddVBand="0" w:evenVBand="0" w:oddHBand="0" w:evenHBand="0" w:firstRowFirstColumn="0" w:firstRowLastColumn="0" w:lastRowFirstColumn="0" w:lastRowLastColumn="0"/>
            </w:pPr>
            <w:r>
              <w:t>17 486</w:t>
            </w:r>
          </w:p>
        </w:tc>
        <w:tc>
          <w:tcPr>
            <w:tcW w:w="907" w:type="dxa"/>
          </w:tcPr>
          <w:p w14:paraId="2FA3F921" w14:textId="77777777" w:rsidR="005E614D" w:rsidRDefault="000C3A94">
            <w:pPr>
              <w:cnfStyle w:val="000000000000" w:firstRow="0" w:lastRow="0" w:firstColumn="0" w:lastColumn="0" w:oddVBand="0" w:evenVBand="0" w:oddHBand="0" w:evenHBand="0" w:firstRowFirstColumn="0" w:firstRowLastColumn="0" w:lastRowFirstColumn="0" w:lastRowLastColumn="0"/>
            </w:pPr>
            <w:r>
              <w:t>18 284</w:t>
            </w:r>
          </w:p>
        </w:tc>
      </w:tr>
      <w:tr w:rsidR="005E614D" w14:paraId="6F7F650A" w14:textId="77777777">
        <w:tc>
          <w:tcPr>
            <w:cnfStyle w:val="001000000000" w:firstRow="0" w:lastRow="0" w:firstColumn="1" w:lastColumn="0" w:oddVBand="0" w:evenVBand="0" w:oddHBand="0" w:evenHBand="0" w:firstRowFirstColumn="0" w:firstRowLastColumn="0" w:lastRowFirstColumn="0" w:lastRowLastColumn="0"/>
            <w:tcW w:w="5103" w:type="dxa"/>
          </w:tcPr>
          <w:p w14:paraId="5008B154" w14:textId="77777777" w:rsidR="005E614D" w:rsidRDefault="000C3A94">
            <w:r>
              <w:t>Other provisions</w:t>
            </w:r>
          </w:p>
        </w:tc>
        <w:tc>
          <w:tcPr>
            <w:tcW w:w="907" w:type="dxa"/>
          </w:tcPr>
          <w:p w14:paraId="7887C1D9" w14:textId="77777777" w:rsidR="005E614D" w:rsidRDefault="000C3A94">
            <w:pPr>
              <w:cnfStyle w:val="000000000000" w:firstRow="0" w:lastRow="0" w:firstColumn="0" w:lastColumn="0" w:oddVBand="0" w:evenVBand="0" w:oddHBand="0" w:evenHBand="0" w:firstRowFirstColumn="0" w:firstRowLastColumn="0" w:lastRowFirstColumn="0" w:lastRowLastColumn="0"/>
            </w:pPr>
            <w:r>
              <w:t>3 431</w:t>
            </w:r>
          </w:p>
        </w:tc>
        <w:tc>
          <w:tcPr>
            <w:tcW w:w="907" w:type="dxa"/>
          </w:tcPr>
          <w:p w14:paraId="0B2495F9" w14:textId="77777777" w:rsidR="005E614D" w:rsidRDefault="000C3A94">
            <w:pPr>
              <w:cnfStyle w:val="000000000000" w:firstRow="0" w:lastRow="0" w:firstColumn="0" w:lastColumn="0" w:oddVBand="0" w:evenVBand="0" w:oddHBand="0" w:evenHBand="0" w:firstRowFirstColumn="0" w:firstRowLastColumn="0" w:lastRowFirstColumn="0" w:lastRowLastColumn="0"/>
            </w:pPr>
            <w:r>
              <w:t>3 138</w:t>
            </w:r>
          </w:p>
        </w:tc>
        <w:tc>
          <w:tcPr>
            <w:tcW w:w="907" w:type="dxa"/>
          </w:tcPr>
          <w:p w14:paraId="159A39EA" w14:textId="77777777" w:rsidR="005E614D" w:rsidRDefault="000C3A94">
            <w:pPr>
              <w:cnfStyle w:val="000000000000" w:firstRow="0" w:lastRow="0" w:firstColumn="0" w:lastColumn="0" w:oddVBand="0" w:evenVBand="0" w:oddHBand="0" w:evenHBand="0" w:firstRowFirstColumn="0" w:firstRowLastColumn="0" w:lastRowFirstColumn="0" w:lastRowLastColumn="0"/>
            </w:pPr>
            <w:r>
              <w:t>3 265</w:t>
            </w:r>
          </w:p>
        </w:tc>
        <w:tc>
          <w:tcPr>
            <w:tcW w:w="907" w:type="dxa"/>
          </w:tcPr>
          <w:p w14:paraId="58AC9249" w14:textId="77777777" w:rsidR="005E614D" w:rsidRDefault="000C3A94">
            <w:pPr>
              <w:cnfStyle w:val="000000000000" w:firstRow="0" w:lastRow="0" w:firstColumn="0" w:lastColumn="0" w:oddVBand="0" w:evenVBand="0" w:oddHBand="0" w:evenHBand="0" w:firstRowFirstColumn="0" w:firstRowLastColumn="0" w:lastRowFirstColumn="0" w:lastRowLastColumn="0"/>
            </w:pPr>
            <w:r>
              <w:t>3 360</w:t>
            </w:r>
          </w:p>
        </w:tc>
        <w:tc>
          <w:tcPr>
            <w:tcW w:w="907" w:type="dxa"/>
          </w:tcPr>
          <w:p w14:paraId="6F74D0E9" w14:textId="77777777" w:rsidR="005E614D" w:rsidRDefault="000C3A94">
            <w:pPr>
              <w:cnfStyle w:val="000000000000" w:firstRow="0" w:lastRow="0" w:firstColumn="0" w:lastColumn="0" w:oddVBand="0" w:evenVBand="0" w:oddHBand="0" w:evenHBand="0" w:firstRowFirstColumn="0" w:firstRowLastColumn="0" w:lastRowFirstColumn="0" w:lastRowLastColumn="0"/>
            </w:pPr>
            <w:r>
              <w:t>3 762</w:t>
            </w:r>
          </w:p>
        </w:tc>
      </w:tr>
      <w:tr w:rsidR="005E614D" w14:paraId="7962EA7D"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5542E24" w14:textId="77777777" w:rsidR="005E614D" w:rsidRDefault="000C3A94">
            <w:r>
              <w:t>Other liabilities</w:t>
            </w:r>
          </w:p>
        </w:tc>
        <w:tc>
          <w:tcPr>
            <w:tcW w:w="907" w:type="dxa"/>
            <w:tcBorders>
              <w:bottom w:val="single" w:sz="6" w:space="0" w:color="auto"/>
            </w:tcBorders>
          </w:tcPr>
          <w:p w14:paraId="097AD826"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22 411</w:t>
            </w:r>
          </w:p>
        </w:tc>
        <w:tc>
          <w:tcPr>
            <w:tcW w:w="907" w:type="dxa"/>
            <w:tcBorders>
              <w:bottom w:val="single" w:sz="6" w:space="0" w:color="auto"/>
            </w:tcBorders>
          </w:tcPr>
          <w:p w14:paraId="48C2DEB4" w14:textId="77777777" w:rsidR="005E614D" w:rsidRDefault="000C3A94">
            <w:pPr>
              <w:cnfStyle w:val="000000000000" w:firstRow="0" w:lastRow="0" w:firstColumn="0" w:lastColumn="0" w:oddVBand="0" w:evenVBand="0" w:oddHBand="0" w:evenHBand="0" w:firstRowFirstColumn="0" w:firstRowLastColumn="0" w:lastRowFirstColumn="0" w:lastRowLastColumn="0"/>
            </w:pPr>
            <w:r>
              <w:t>22 524</w:t>
            </w:r>
          </w:p>
        </w:tc>
        <w:tc>
          <w:tcPr>
            <w:tcW w:w="907" w:type="dxa"/>
            <w:tcBorders>
              <w:bottom w:val="single" w:sz="6" w:space="0" w:color="auto"/>
            </w:tcBorders>
          </w:tcPr>
          <w:p w14:paraId="76E6825E" w14:textId="77777777" w:rsidR="005E614D" w:rsidRDefault="000C3A94">
            <w:pPr>
              <w:cnfStyle w:val="000000000000" w:firstRow="0" w:lastRow="0" w:firstColumn="0" w:lastColumn="0" w:oddVBand="0" w:evenVBand="0" w:oddHBand="0" w:evenHBand="0" w:firstRowFirstColumn="0" w:firstRowLastColumn="0" w:lastRowFirstColumn="0" w:lastRowLastColumn="0"/>
            </w:pPr>
            <w:r>
              <w:t>22 550</w:t>
            </w:r>
          </w:p>
        </w:tc>
        <w:tc>
          <w:tcPr>
            <w:tcW w:w="907" w:type="dxa"/>
            <w:tcBorders>
              <w:bottom w:val="single" w:sz="6" w:space="0" w:color="auto"/>
            </w:tcBorders>
          </w:tcPr>
          <w:p w14:paraId="04244E55"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22 401</w:t>
            </w:r>
          </w:p>
        </w:tc>
        <w:tc>
          <w:tcPr>
            <w:tcW w:w="907" w:type="dxa"/>
            <w:tcBorders>
              <w:bottom w:val="single" w:sz="6" w:space="0" w:color="auto"/>
            </w:tcBorders>
          </w:tcPr>
          <w:p w14:paraId="7FDDC1DB" w14:textId="77777777" w:rsidR="005E614D" w:rsidRDefault="000C3A94">
            <w:pPr>
              <w:cnfStyle w:val="000000000000" w:firstRow="0" w:lastRow="0" w:firstColumn="0" w:lastColumn="0" w:oddVBand="0" w:evenVBand="0" w:oddHBand="0" w:evenHBand="0" w:firstRowFirstColumn="0" w:firstRowLastColumn="0" w:lastRowFirstColumn="0" w:lastRowLastColumn="0"/>
            </w:pPr>
            <w:r>
              <w:t>22 470</w:t>
            </w:r>
          </w:p>
        </w:tc>
      </w:tr>
      <w:tr w:rsidR="005E614D" w14:paraId="7B4E32FF"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2CAA808" w14:textId="77777777" w:rsidR="005E614D" w:rsidRDefault="000C3A94">
            <w:r>
              <w:rPr>
                <w:b/>
              </w:rPr>
              <w:t>Total liabilities</w:t>
            </w:r>
          </w:p>
        </w:tc>
        <w:tc>
          <w:tcPr>
            <w:tcW w:w="907" w:type="dxa"/>
            <w:tcBorders>
              <w:top w:val="single" w:sz="6" w:space="0" w:color="auto"/>
              <w:bottom w:val="single" w:sz="6" w:space="0" w:color="auto"/>
            </w:tcBorders>
          </w:tcPr>
          <w:p w14:paraId="139D270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231 764</w:t>
            </w:r>
          </w:p>
        </w:tc>
        <w:tc>
          <w:tcPr>
            <w:tcW w:w="907" w:type="dxa"/>
            <w:tcBorders>
              <w:top w:val="single" w:sz="6" w:space="0" w:color="auto"/>
              <w:bottom w:val="single" w:sz="6" w:space="0" w:color="auto"/>
            </w:tcBorders>
          </w:tcPr>
          <w:p w14:paraId="0EEF158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239 550</w:t>
            </w:r>
          </w:p>
        </w:tc>
        <w:tc>
          <w:tcPr>
            <w:tcW w:w="907" w:type="dxa"/>
            <w:tcBorders>
              <w:top w:val="single" w:sz="6" w:space="0" w:color="auto"/>
              <w:bottom w:val="single" w:sz="6" w:space="0" w:color="auto"/>
            </w:tcBorders>
          </w:tcPr>
          <w:p w14:paraId="0518C72A"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244 286</w:t>
            </w:r>
          </w:p>
        </w:tc>
        <w:tc>
          <w:tcPr>
            <w:tcW w:w="907" w:type="dxa"/>
            <w:tcBorders>
              <w:top w:val="single" w:sz="6" w:space="0" w:color="auto"/>
              <w:bottom w:val="single" w:sz="6" w:space="0" w:color="auto"/>
            </w:tcBorders>
          </w:tcPr>
          <w:p w14:paraId="229D4CCF"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247 816</w:t>
            </w:r>
          </w:p>
        </w:tc>
        <w:tc>
          <w:tcPr>
            <w:tcW w:w="907" w:type="dxa"/>
            <w:tcBorders>
              <w:top w:val="single" w:sz="6" w:space="0" w:color="auto"/>
              <w:bottom w:val="single" w:sz="6" w:space="0" w:color="auto"/>
            </w:tcBorders>
          </w:tcPr>
          <w:p w14:paraId="07985DA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250 999</w:t>
            </w:r>
          </w:p>
        </w:tc>
      </w:tr>
      <w:tr w:rsidR="005E614D" w14:paraId="4B317653"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2076497" w14:textId="77777777" w:rsidR="005E614D" w:rsidRDefault="000C3A94">
            <w:r>
              <w:rPr>
                <w:b/>
              </w:rPr>
              <w:t>Net assets</w:t>
            </w:r>
          </w:p>
        </w:tc>
        <w:tc>
          <w:tcPr>
            <w:tcW w:w="907" w:type="dxa"/>
            <w:tcBorders>
              <w:top w:val="single" w:sz="6" w:space="0" w:color="auto"/>
              <w:bottom w:val="single" w:sz="12" w:space="0" w:color="auto"/>
            </w:tcBorders>
          </w:tcPr>
          <w:p w14:paraId="70AAA362"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c>
          <w:tcPr>
            <w:tcW w:w="907" w:type="dxa"/>
            <w:tcBorders>
              <w:top w:val="single" w:sz="6" w:space="0" w:color="auto"/>
              <w:bottom w:val="single" w:sz="12" w:space="0" w:color="auto"/>
            </w:tcBorders>
          </w:tcPr>
          <w:p w14:paraId="5D4ADF1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187 657</w:t>
            </w:r>
          </w:p>
        </w:tc>
        <w:tc>
          <w:tcPr>
            <w:tcW w:w="907" w:type="dxa"/>
            <w:tcBorders>
              <w:top w:val="single" w:sz="6" w:space="0" w:color="auto"/>
              <w:bottom w:val="single" w:sz="12" w:space="0" w:color="auto"/>
            </w:tcBorders>
          </w:tcPr>
          <w:p w14:paraId="1C5D42E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187 630</w:t>
            </w:r>
          </w:p>
        </w:tc>
        <w:tc>
          <w:tcPr>
            <w:tcW w:w="907" w:type="dxa"/>
            <w:tcBorders>
              <w:top w:val="single" w:sz="6" w:space="0" w:color="auto"/>
              <w:bottom w:val="single" w:sz="12" w:space="0" w:color="auto"/>
            </w:tcBorders>
          </w:tcPr>
          <w:p w14:paraId="40DC980C"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190 655</w:t>
            </w:r>
          </w:p>
        </w:tc>
        <w:tc>
          <w:tcPr>
            <w:tcW w:w="907" w:type="dxa"/>
            <w:tcBorders>
              <w:top w:val="single" w:sz="6" w:space="0" w:color="auto"/>
              <w:bottom w:val="single" w:sz="12" w:space="0" w:color="auto"/>
            </w:tcBorders>
          </w:tcPr>
          <w:p w14:paraId="69C1CF10"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r>
      <w:tr w:rsidR="005E614D" w14:paraId="37E31749"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43951C01" w14:textId="77777777" w:rsidR="005E614D" w:rsidRDefault="000C3A94">
            <w:r>
              <w:rPr>
                <w:b/>
              </w:rPr>
              <w:t>Equity</w:t>
            </w:r>
          </w:p>
        </w:tc>
        <w:tc>
          <w:tcPr>
            <w:tcW w:w="907" w:type="dxa"/>
            <w:tcBorders>
              <w:top w:val="single" w:sz="0" w:space="0" w:color="auto"/>
            </w:tcBorders>
          </w:tcPr>
          <w:p w14:paraId="4A6021A3"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4F74ACC"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DFD531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A6A8C0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48AB23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6C117CA6" w14:textId="77777777">
        <w:tc>
          <w:tcPr>
            <w:cnfStyle w:val="001000000000" w:firstRow="0" w:lastRow="0" w:firstColumn="1" w:lastColumn="0" w:oddVBand="0" w:evenVBand="0" w:oddHBand="0" w:evenHBand="0" w:firstRowFirstColumn="0" w:firstRowLastColumn="0" w:lastRowFirstColumn="0" w:lastRowLastColumn="0"/>
            <w:tcW w:w="5103" w:type="dxa"/>
          </w:tcPr>
          <w:p w14:paraId="1E010D4F" w14:textId="77777777" w:rsidR="005E614D" w:rsidRDefault="000C3A94">
            <w:r>
              <w:t>Accumulated surplus/(deficit)</w:t>
            </w:r>
          </w:p>
        </w:tc>
        <w:tc>
          <w:tcPr>
            <w:tcW w:w="907" w:type="dxa"/>
          </w:tcPr>
          <w:p w14:paraId="2968559C" w14:textId="77777777" w:rsidR="005E614D" w:rsidRDefault="000C3A94">
            <w:pPr>
              <w:cnfStyle w:val="000000000000" w:firstRow="0" w:lastRow="0" w:firstColumn="0" w:lastColumn="0" w:oddVBand="0" w:evenVBand="0" w:oddHBand="0" w:evenHBand="0" w:firstRowFirstColumn="0" w:firstRowLastColumn="0" w:lastRowFirstColumn="0" w:lastRowLastColumn="0"/>
            </w:pPr>
            <w:r>
              <w:t>43 405</w:t>
            </w:r>
          </w:p>
        </w:tc>
        <w:tc>
          <w:tcPr>
            <w:tcW w:w="907" w:type="dxa"/>
          </w:tcPr>
          <w:p w14:paraId="22A90735" w14:textId="77777777" w:rsidR="005E614D" w:rsidRDefault="000C3A94">
            <w:pPr>
              <w:cnfStyle w:val="000000000000" w:firstRow="0" w:lastRow="0" w:firstColumn="0" w:lastColumn="0" w:oddVBand="0" w:evenVBand="0" w:oddHBand="0" w:evenHBand="0" w:firstRowFirstColumn="0" w:firstRowLastColumn="0" w:lastRowFirstColumn="0" w:lastRowLastColumn="0"/>
            </w:pPr>
            <w:r>
              <w:t>40 614</w:t>
            </w:r>
          </w:p>
        </w:tc>
        <w:tc>
          <w:tcPr>
            <w:tcW w:w="907" w:type="dxa"/>
          </w:tcPr>
          <w:p w14:paraId="4986454F" w14:textId="77777777" w:rsidR="005E614D" w:rsidRDefault="000C3A94">
            <w:pPr>
              <w:cnfStyle w:val="000000000000" w:firstRow="0" w:lastRow="0" w:firstColumn="0" w:lastColumn="0" w:oddVBand="0" w:evenVBand="0" w:oddHBand="0" w:evenHBand="0" w:firstRowFirstColumn="0" w:firstRowLastColumn="0" w:lastRowFirstColumn="0" w:lastRowLastColumn="0"/>
            </w:pPr>
            <w:r>
              <w:t>40 902</w:t>
            </w:r>
          </w:p>
        </w:tc>
        <w:tc>
          <w:tcPr>
            <w:tcW w:w="907" w:type="dxa"/>
          </w:tcPr>
          <w:p w14:paraId="3F1DC55C" w14:textId="77777777" w:rsidR="005E614D" w:rsidRDefault="000C3A94">
            <w:pPr>
              <w:cnfStyle w:val="000000000000" w:firstRow="0" w:lastRow="0" w:firstColumn="0" w:lastColumn="0" w:oddVBand="0" w:evenVBand="0" w:oddHBand="0" w:evenHBand="0" w:firstRowFirstColumn="0" w:firstRowLastColumn="0" w:lastRowFirstColumn="0" w:lastRowLastColumn="0"/>
            </w:pPr>
            <w:r>
              <w:t>43 783</w:t>
            </w:r>
          </w:p>
        </w:tc>
        <w:tc>
          <w:tcPr>
            <w:tcW w:w="907" w:type="dxa"/>
          </w:tcPr>
          <w:p w14:paraId="74293635" w14:textId="77777777" w:rsidR="005E614D" w:rsidRDefault="000C3A94">
            <w:pPr>
              <w:cnfStyle w:val="000000000000" w:firstRow="0" w:lastRow="0" w:firstColumn="0" w:lastColumn="0" w:oddVBand="0" w:evenVBand="0" w:oddHBand="0" w:evenHBand="0" w:firstRowFirstColumn="0" w:firstRowLastColumn="0" w:lastRowFirstColumn="0" w:lastRowLastColumn="0"/>
            </w:pPr>
            <w:r>
              <w:t>41 982</w:t>
            </w:r>
          </w:p>
        </w:tc>
      </w:tr>
      <w:tr w:rsidR="005E614D" w14:paraId="50D17B86"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5E7CDA2" w14:textId="77777777" w:rsidR="005E614D" w:rsidRDefault="000C3A94">
            <w:r>
              <w:t>Reserves</w:t>
            </w:r>
          </w:p>
        </w:tc>
        <w:tc>
          <w:tcPr>
            <w:tcW w:w="907" w:type="dxa"/>
            <w:tcBorders>
              <w:bottom w:val="single" w:sz="6" w:space="0" w:color="auto"/>
            </w:tcBorders>
          </w:tcPr>
          <w:p w14:paraId="58C8BE41"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146 454</w:t>
            </w:r>
          </w:p>
        </w:tc>
        <w:tc>
          <w:tcPr>
            <w:tcW w:w="907" w:type="dxa"/>
            <w:tcBorders>
              <w:bottom w:val="single" w:sz="6" w:space="0" w:color="auto"/>
            </w:tcBorders>
          </w:tcPr>
          <w:p w14:paraId="2837ADF0" w14:textId="77777777" w:rsidR="005E614D" w:rsidRDefault="000C3A94">
            <w:pPr>
              <w:cnfStyle w:val="000000000000" w:firstRow="0" w:lastRow="0" w:firstColumn="0" w:lastColumn="0" w:oddVBand="0" w:evenVBand="0" w:oddHBand="0" w:evenHBand="0" w:firstRowFirstColumn="0" w:firstRowLastColumn="0" w:lastRowFirstColumn="0" w:lastRowLastColumn="0"/>
            </w:pPr>
            <w:r>
              <w:t>147 043</w:t>
            </w:r>
          </w:p>
        </w:tc>
        <w:tc>
          <w:tcPr>
            <w:tcW w:w="907" w:type="dxa"/>
            <w:tcBorders>
              <w:bottom w:val="single" w:sz="6" w:space="0" w:color="auto"/>
            </w:tcBorders>
          </w:tcPr>
          <w:p w14:paraId="7B18A05C"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146 728</w:t>
            </w:r>
          </w:p>
        </w:tc>
        <w:tc>
          <w:tcPr>
            <w:tcW w:w="907" w:type="dxa"/>
            <w:tcBorders>
              <w:bottom w:val="single" w:sz="6" w:space="0" w:color="auto"/>
            </w:tcBorders>
          </w:tcPr>
          <w:p w14:paraId="7ACCD0E5"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146 872</w:t>
            </w:r>
          </w:p>
        </w:tc>
        <w:tc>
          <w:tcPr>
            <w:tcW w:w="907" w:type="dxa"/>
            <w:tcBorders>
              <w:bottom w:val="single" w:sz="6" w:space="0" w:color="auto"/>
            </w:tcBorders>
          </w:tcPr>
          <w:p w14:paraId="1E76DB8D" w14:textId="77777777" w:rsidR="005E614D" w:rsidRDefault="000C3A94">
            <w:pPr>
              <w:cnfStyle w:val="000000000000" w:firstRow="0" w:lastRow="0" w:firstColumn="0" w:lastColumn="0" w:oddVBand="0" w:evenVBand="0" w:oddHBand="0" w:evenHBand="0" w:firstRowFirstColumn="0" w:firstRowLastColumn="0" w:lastRowFirstColumn="0" w:lastRowLastColumn="0"/>
            </w:pPr>
            <w:r>
              <w:t>147 325</w:t>
            </w:r>
          </w:p>
        </w:tc>
      </w:tr>
      <w:tr w:rsidR="005E614D" w14:paraId="5ADA65A3"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0F7CB294" w14:textId="77777777" w:rsidR="005E614D" w:rsidRDefault="000C3A94">
            <w:r>
              <w:rPr>
                <w:b/>
              </w:rPr>
              <w:t>Net worth</w:t>
            </w:r>
          </w:p>
        </w:tc>
        <w:tc>
          <w:tcPr>
            <w:tcW w:w="907" w:type="dxa"/>
            <w:tcBorders>
              <w:top w:val="single" w:sz="6" w:space="0" w:color="auto"/>
              <w:bottom w:val="single" w:sz="12" w:space="0" w:color="auto"/>
            </w:tcBorders>
          </w:tcPr>
          <w:p w14:paraId="3DDB84A6"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189 859</w:t>
            </w:r>
          </w:p>
        </w:tc>
        <w:tc>
          <w:tcPr>
            <w:tcW w:w="907" w:type="dxa"/>
            <w:tcBorders>
              <w:top w:val="single" w:sz="6" w:space="0" w:color="auto"/>
              <w:bottom w:val="single" w:sz="12" w:space="0" w:color="auto"/>
            </w:tcBorders>
          </w:tcPr>
          <w:p w14:paraId="297CA694"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187 657</w:t>
            </w:r>
          </w:p>
        </w:tc>
        <w:tc>
          <w:tcPr>
            <w:tcW w:w="907" w:type="dxa"/>
            <w:tcBorders>
              <w:top w:val="single" w:sz="6" w:space="0" w:color="auto"/>
              <w:bottom w:val="single" w:sz="12" w:space="0" w:color="auto"/>
            </w:tcBorders>
          </w:tcPr>
          <w:p w14:paraId="2E0F402D"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187 630</w:t>
            </w:r>
          </w:p>
        </w:tc>
        <w:tc>
          <w:tcPr>
            <w:tcW w:w="907" w:type="dxa"/>
            <w:tcBorders>
              <w:top w:val="single" w:sz="6" w:space="0" w:color="auto"/>
              <w:bottom w:val="single" w:sz="12" w:space="0" w:color="auto"/>
            </w:tcBorders>
          </w:tcPr>
          <w:p w14:paraId="1A1DD1F8"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190 655</w:t>
            </w:r>
          </w:p>
        </w:tc>
        <w:tc>
          <w:tcPr>
            <w:tcW w:w="907" w:type="dxa"/>
            <w:tcBorders>
              <w:top w:val="single" w:sz="6" w:space="0" w:color="auto"/>
              <w:bottom w:val="single" w:sz="12" w:space="0" w:color="auto"/>
            </w:tcBorders>
          </w:tcPr>
          <w:p w14:paraId="050CE5D9" w14:textId="77777777" w:rsidR="005E614D" w:rsidRDefault="000C3A94">
            <w:pPr>
              <w:cnfStyle w:val="000000000000" w:firstRow="0" w:lastRow="0" w:firstColumn="0" w:lastColumn="0" w:oddVBand="0" w:evenVBand="0" w:oddHBand="0" w:evenHBand="0" w:firstRowFirstColumn="0" w:firstRowLastColumn="0" w:lastRowFirstColumn="0" w:lastRowLastColumn="0"/>
            </w:pPr>
            <w:r>
              <w:rPr>
                <w:b/>
              </w:rPr>
              <w:t>189 307</w:t>
            </w:r>
          </w:p>
        </w:tc>
      </w:tr>
      <w:tr w:rsidR="005E614D" w14:paraId="282668DC" w14:textId="77777777" w:rsidTr="004A2065">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0779F3B6" w14:textId="77777777" w:rsidR="005E614D" w:rsidRDefault="005E614D"/>
        </w:tc>
        <w:tc>
          <w:tcPr>
            <w:tcW w:w="907" w:type="dxa"/>
            <w:tcBorders>
              <w:top w:val="single" w:sz="0" w:space="0" w:color="auto"/>
            </w:tcBorders>
          </w:tcPr>
          <w:p w14:paraId="6C874A42"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D38A83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99D831"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607889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A10234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0FFE4C1A" w14:textId="77777777">
        <w:tc>
          <w:tcPr>
            <w:cnfStyle w:val="001000000000" w:firstRow="0" w:lastRow="0" w:firstColumn="1" w:lastColumn="0" w:oddVBand="0" w:evenVBand="0" w:oddHBand="0" w:evenHBand="0" w:firstRowFirstColumn="0" w:firstRowLastColumn="0" w:lastRowFirstColumn="0" w:lastRowLastColumn="0"/>
            <w:tcW w:w="5103" w:type="dxa"/>
          </w:tcPr>
          <w:p w14:paraId="64918262" w14:textId="77777777" w:rsidR="005E614D" w:rsidRDefault="000C3A94">
            <w:r>
              <w:rPr>
                <w:b/>
              </w:rPr>
              <w:t>FISCAL AGGREGATES</w:t>
            </w:r>
          </w:p>
        </w:tc>
        <w:tc>
          <w:tcPr>
            <w:tcW w:w="907" w:type="dxa"/>
          </w:tcPr>
          <w:p w14:paraId="3D43C7DD"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C573017"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67DCD525"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1DE9D0C6"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c>
          <w:tcPr>
            <w:tcW w:w="907" w:type="dxa"/>
          </w:tcPr>
          <w:p w14:paraId="2DFAF7B9" w14:textId="77777777" w:rsidR="005E614D" w:rsidRDefault="005E614D">
            <w:pPr>
              <w:cnfStyle w:val="000000000000" w:firstRow="0" w:lastRow="0" w:firstColumn="0" w:lastColumn="0" w:oddVBand="0" w:evenVBand="0" w:oddHBand="0" w:evenHBand="0" w:firstRowFirstColumn="0" w:firstRowLastColumn="0" w:lastRowFirstColumn="0" w:lastRowLastColumn="0"/>
            </w:pPr>
          </w:p>
        </w:tc>
      </w:tr>
      <w:tr w:rsidR="005E614D" w14:paraId="764AB863" w14:textId="77777777">
        <w:tc>
          <w:tcPr>
            <w:cnfStyle w:val="001000000000" w:firstRow="0" w:lastRow="0" w:firstColumn="1" w:lastColumn="0" w:oddVBand="0" w:evenVBand="0" w:oddHBand="0" w:evenHBand="0" w:firstRowFirstColumn="0" w:firstRowLastColumn="0" w:lastRowFirstColumn="0" w:lastRowLastColumn="0"/>
            <w:tcW w:w="5103" w:type="dxa"/>
          </w:tcPr>
          <w:p w14:paraId="29BA3765" w14:textId="77777777" w:rsidR="005E614D" w:rsidRDefault="000C3A94">
            <w:r>
              <w:t>Net financial worth</w:t>
            </w:r>
          </w:p>
        </w:tc>
        <w:tc>
          <w:tcPr>
            <w:tcW w:w="907" w:type="dxa"/>
          </w:tcPr>
          <w:p w14:paraId="67EBEF23" w14:textId="77777777" w:rsidR="005E614D" w:rsidRDefault="000C3A94">
            <w:pPr>
              <w:cnfStyle w:val="000000000000" w:firstRow="0" w:lastRow="0" w:firstColumn="0" w:lastColumn="0" w:oddVBand="0" w:evenVBand="0" w:oddHBand="0" w:evenHBand="0" w:firstRowFirstColumn="0" w:firstRowLastColumn="0" w:lastRowFirstColumn="0" w:lastRowLastColumn="0"/>
            </w:pPr>
            <w:r>
              <w:t>(86 686)</w:t>
            </w:r>
          </w:p>
        </w:tc>
        <w:tc>
          <w:tcPr>
            <w:tcW w:w="907" w:type="dxa"/>
          </w:tcPr>
          <w:p w14:paraId="6141FC90" w14:textId="77777777" w:rsidR="005E614D" w:rsidRDefault="000C3A94">
            <w:pPr>
              <w:cnfStyle w:val="000000000000" w:firstRow="0" w:lastRow="0" w:firstColumn="0" w:lastColumn="0" w:oddVBand="0" w:evenVBand="0" w:oddHBand="0" w:evenHBand="0" w:firstRowFirstColumn="0" w:firstRowLastColumn="0" w:lastRowFirstColumn="0" w:lastRowLastColumn="0"/>
            </w:pPr>
            <w:r>
              <w:t>(93 653)</w:t>
            </w:r>
          </w:p>
        </w:tc>
        <w:tc>
          <w:tcPr>
            <w:tcW w:w="907" w:type="dxa"/>
          </w:tcPr>
          <w:p w14:paraId="3B82FAE7" w14:textId="77777777" w:rsidR="005E614D" w:rsidRDefault="000C3A94">
            <w:pPr>
              <w:cnfStyle w:val="000000000000" w:firstRow="0" w:lastRow="0" w:firstColumn="0" w:lastColumn="0" w:oddVBand="0" w:evenVBand="0" w:oddHBand="0" w:evenHBand="0" w:firstRowFirstColumn="0" w:firstRowLastColumn="0" w:lastRowFirstColumn="0" w:lastRowLastColumn="0"/>
            </w:pPr>
            <w:r>
              <w:t>(97 280)</w:t>
            </w:r>
          </w:p>
        </w:tc>
        <w:tc>
          <w:tcPr>
            <w:tcW w:w="907" w:type="dxa"/>
          </w:tcPr>
          <w:p w14:paraId="2AE03A8C" w14:textId="77777777" w:rsidR="005E614D" w:rsidRDefault="000C3A94">
            <w:pPr>
              <w:cnfStyle w:val="000000000000" w:firstRow="0" w:lastRow="0" w:firstColumn="0" w:lastColumn="0" w:oddVBand="0" w:evenVBand="0" w:oddHBand="0" w:evenHBand="0" w:firstRowFirstColumn="0" w:firstRowLastColumn="0" w:lastRowFirstColumn="0" w:lastRowLastColumn="0"/>
            </w:pPr>
            <w:r>
              <w:t>(96 056)</w:t>
            </w:r>
          </w:p>
        </w:tc>
        <w:tc>
          <w:tcPr>
            <w:tcW w:w="907" w:type="dxa"/>
          </w:tcPr>
          <w:p w14:paraId="7732E366" w14:textId="77777777" w:rsidR="005E614D" w:rsidRDefault="000C3A94">
            <w:pPr>
              <w:cnfStyle w:val="000000000000" w:firstRow="0" w:lastRow="0" w:firstColumn="0" w:lastColumn="0" w:oddVBand="0" w:evenVBand="0" w:oddHBand="0" w:evenHBand="0" w:firstRowFirstColumn="0" w:firstRowLastColumn="0" w:lastRowFirstColumn="0" w:lastRowLastColumn="0"/>
            </w:pPr>
            <w:r>
              <w:t>(106 266)</w:t>
            </w:r>
          </w:p>
        </w:tc>
      </w:tr>
      <w:tr w:rsidR="005E614D" w14:paraId="4788271C" w14:textId="77777777">
        <w:tc>
          <w:tcPr>
            <w:cnfStyle w:val="001000000000" w:firstRow="0" w:lastRow="0" w:firstColumn="1" w:lastColumn="0" w:oddVBand="0" w:evenVBand="0" w:oddHBand="0" w:evenHBand="0" w:firstRowFirstColumn="0" w:firstRowLastColumn="0" w:lastRowFirstColumn="0" w:lastRowLastColumn="0"/>
            <w:tcW w:w="5103" w:type="dxa"/>
          </w:tcPr>
          <w:p w14:paraId="2B90A361" w14:textId="77777777" w:rsidR="005E614D" w:rsidRDefault="000C3A94">
            <w:r>
              <w:t>Net financial liabilities</w:t>
            </w:r>
          </w:p>
        </w:tc>
        <w:tc>
          <w:tcPr>
            <w:tcW w:w="907" w:type="dxa"/>
          </w:tcPr>
          <w:p w14:paraId="66D88BFD" w14:textId="77777777" w:rsidR="005E614D" w:rsidRDefault="000C3A94">
            <w:pPr>
              <w:cnfStyle w:val="000000000000" w:firstRow="0" w:lastRow="0" w:firstColumn="0" w:lastColumn="0" w:oddVBand="0" w:evenVBand="0" w:oddHBand="0" w:evenHBand="0" w:firstRowFirstColumn="0" w:firstRowLastColumn="0" w:lastRowFirstColumn="0" w:lastRowLastColumn="0"/>
            </w:pPr>
            <w:r>
              <w:t>184 865</w:t>
            </w:r>
          </w:p>
        </w:tc>
        <w:tc>
          <w:tcPr>
            <w:tcW w:w="907" w:type="dxa"/>
          </w:tcPr>
          <w:p w14:paraId="1C7F5B41" w14:textId="77777777" w:rsidR="005E614D" w:rsidRDefault="000C3A94">
            <w:pPr>
              <w:cnfStyle w:val="000000000000" w:firstRow="0" w:lastRow="0" w:firstColumn="0" w:lastColumn="0" w:oddVBand="0" w:evenVBand="0" w:oddHBand="0" w:evenHBand="0" w:firstRowFirstColumn="0" w:firstRowLastColumn="0" w:lastRowFirstColumn="0" w:lastRowLastColumn="0"/>
            </w:pPr>
            <w:r>
              <w:t>192 627</w:t>
            </w:r>
          </w:p>
        </w:tc>
        <w:tc>
          <w:tcPr>
            <w:tcW w:w="907" w:type="dxa"/>
          </w:tcPr>
          <w:p w14:paraId="5CDC8721" w14:textId="77777777" w:rsidR="005E614D" w:rsidRDefault="000C3A94">
            <w:pPr>
              <w:cnfStyle w:val="000000000000" w:firstRow="0" w:lastRow="0" w:firstColumn="0" w:lastColumn="0" w:oddVBand="0" w:evenVBand="0" w:oddHBand="0" w:evenHBand="0" w:firstRowFirstColumn="0" w:firstRowLastColumn="0" w:lastRowFirstColumn="0" w:lastRowLastColumn="0"/>
            </w:pPr>
            <w:r>
              <w:t>196 921</w:t>
            </w:r>
          </w:p>
        </w:tc>
        <w:tc>
          <w:tcPr>
            <w:tcW w:w="907" w:type="dxa"/>
          </w:tcPr>
          <w:p w14:paraId="1338F7E0" w14:textId="77777777" w:rsidR="005E614D" w:rsidRDefault="000C3A94">
            <w:pPr>
              <w:cnfStyle w:val="000000000000" w:firstRow="0" w:lastRow="0" w:firstColumn="0" w:lastColumn="0" w:oddVBand="0" w:evenVBand="0" w:oddHBand="0" w:evenHBand="0" w:firstRowFirstColumn="0" w:firstRowLastColumn="0" w:lastRowFirstColumn="0" w:lastRowLastColumn="0"/>
            </w:pPr>
            <w:r>
              <w:t>196 783</w:t>
            </w:r>
          </w:p>
        </w:tc>
        <w:tc>
          <w:tcPr>
            <w:tcW w:w="907" w:type="dxa"/>
          </w:tcPr>
          <w:p w14:paraId="0B89FBA9" w14:textId="77777777" w:rsidR="005E614D" w:rsidRDefault="000C3A94">
            <w:pPr>
              <w:cnfStyle w:val="000000000000" w:firstRow="0" w:lastRow="0" w:firstColumn="0" w:lastColumn="0" w:oddVBand="0" w:evenVBand="0" w:oddHBand="0" w:evenHBand="0" w:firstRowFirstColumn="0" w:firstRowLastColumn="0" w:lastRowFirstColumn="0" w:lastRowLastColumn="0"/>
            </w:pPr>
            <w:r>
              <w:t>202 667</w:t>
            </w:r>
          </w:p>
        </w:tc>
      </w:tr>
      <w:tr w:rsidR="005E614D" w14:paraId="00B92BA2" w14:textId="77777777" w:rsidTr="004A2065">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4D513729" w14:textId="77777777" w:rsidR="005E614D" w:rsidRDefault="000C3A94">
            <w:r>
              <w:t>Net debt</w:t>
            </w:r>
          </w:p>
        </w:tc>
        <w:tc>
          <w:tcPr>
            <w:tcW w:w="907" w:type="dxa"/>
            <w:tcBorders>
              <w:bottom w:val="single" w:sz="12" w:space="0" w:color="auto"/>
            </w:tcBorders>
          </w:tcPr>
          <w:p w14:paraId="3FBDFF81" w14:textId="77777777" w:rsidR="005E614D" w:rsidRDefault="000C3A94">
            <w:pPr>
              <w:cnfStyle w:val="000000000000" w:firstRow="0" w:lastRow="0" w:firstColumn="0" w:lastColumn="0" w:oddVBand="0" w:evenVBand="0" w:oddHBand="0" w:evenHBand="0" w:firstRowFirstColumn="0" w:firstRowLastColumn="0" w:lastRowFirstColumn="0" w:lastRowLastColumn="0"/>
            </w:pPr>
            <w:r>
              <w:t>133 241</w:t>
            </w:r>
          </w:p>
        </w:tc>
        <w:tc>
          <w:tcPr>
            <w:tcW w:w="907" w:type="dxa"/>
            <w:tcBorders>
              <w:bottom w:val="single" w:sz="12" w:space="0" w:color="auto"/>
            </w:tcBorders>
          </w:tcPr>
          <w:p w14:paraId="76FFC902" w14:textId="77777777" w:rsidR="005E614D" w:rsidRDefault="000C3A94">
            <w:pPr>
              <w:cnfStyle w:val="000000000000" w:firstRow="0" w:lastRow="0" w:firstColumn="0" w:lastColumn="0" w:oddVBand="0" w:evenVBand="0" w:oddHBand="0" w:evenHBand="0" w:firstRowFirstColumn="0" w:firstRowLastColumn="0" w:lastRowFirstColumn="0" w:lastRowLastColumn="0"/>
            </w:pPr>
            <w:r>
              <w:t>140 682</w:t>
            </w:r>
          </w:p>
        </w:tc>
        <w:tc>
          <w:tcPr>
            <w:tcW w:w="907" w:type="dxa"/>
            <w:tcBorders>
              <w:bottom w:val="single" w:sz="12" w:space="0" w:color="auto"/>
            </w:tcBorders>
          </w:tcPr>
          <w:p w14:paraId="4DCF4710" w14:textId="77777777" w:rsidR="005E614D" w:rsidRDefault="000C3A94">
            <w:pPr>
              <w:cnfStyle w:val="000000000000" w:firstRow="0" w:lastRow="0" w:firstColumn="0" w:lastColumn="0" w:oddVBand="0" w:evenVBand="0" w:oddHBand="0" w:evenHBand="0" w:firstRowFirstColumn="0" w:firstRowLastColumn="0" w:lastRowFirstColumn="0" w:lastRowLastColumn="0"/>
            </w:pPr>
            <w:r>
              <w:t>146 767</w:t>
            </w:r>
          </w:p>
        </w:tc>
        <w:tc>
          <w:tcPr>
            <w:tcW w:w="907" w:type="dxa"/>
            <w:tcBorders>
              <w:bottom w:val="single" w:sz="12" w:space="0" w:color="auto"/>
            </w:tcBorders>
          </w:tcPr>
          <w:p w14:paraId="23E61C09" w14:textId="77777777" w:rsidR="005E614D" w:rsidRDefault="000C3A94">
            <w:pPr>
              <w:cnfStyle w:val="000000000000" w:firstRow="0" w:lastRow="0" w:firstColumn="0" w:lastColumn="0" w:oddVBand="0" w:evenVBand="0" w:oddHBand="0" w:evenHBand="0" w:firstRowFirstColumn="0" w:firstRowLastColumn="0" w:lastRowFirstColumn="0" w:lastRowLastColumn="0"/>
            </w:pPr>
            <w:r>
              <w:t>151 072</w:t>
            </w:r>
          </w:p>
        </w:tc>
        <w:tc>
          <w:tcPr>
            <w:tcW w:w="907" w:type="dxa"/>
            <w:tcBorders>
              <w:bottom w:val="single" w:sz="12" w:space="0" w:color="auto"/>
            </w:tcBorders>
          </w:tcPr>
          <w:p w14:paraId="4DCE5C56" w14:textId="77777777" w:rsidR="005E614D" w:rsidRDefault="000C3A94">
            <w:pPr>
              <w:cnfStyle w:val="000000000000" w:firstRow="0" w:lastRow="0" w:firstColumn="0" w:lastColumn="0" w:oddVBand="0" w:evenVBand="0" w:oddHBand="0" w:evenHBand="0" w:firstRowFirstColumn="0" w:firstRowLastColumn="0" w:lastRowFirstColumn="0" w:lastRowLastColumn="0"/>
            </w:pPr>
            <w:r>
              <w:t>150 867</w:t>
            </w:r>
          </w:p>
        </w:tc>
      </w:tr>
    </w:tbl>
    <w:p w14:paraId="610B4308" w14:textId="0D7C938F" w:rsidR="00102770" w:rsidRDefault="00102770" w:rsidP="00964616">
      <w:pPr>
        <w:pStyle w:val="Note"/>
        <w:ind w:left="0" w:firstLine="0"/>
      </w:pPr>
    </w:p>
    <w:p w14:paraId="09736D59" w14:textId="77777777" w:rsidR="00102770" w:rsidRDefault="00102770" w:rsidP="00102770">
      <w:pPr>
        <w:pStyle w:val="Note"/>
      </w:pPr>
    </w:p>
    <w:p w14:paraId="2C36AB34" w14:textId="77777777" w:rsidR="00102770" w:rsidRDefault="00102770" w:rsidP="00102770"/>
    <w:p w14:paraId="4852A263" w14:textId="77777777" w:rsidR="00102770" w:rsidRDefault="00102770" w:rsidP="00102770"/>
    <w:p w14:paraId="252C8828" w14:textId="6177D6AB" w:rsidR="00102770" w:rsidRDefault="00102770" w:rsidP="00102770">
      <w:pPr>
        <w:pStyle w:val="TableHeading"/>
        <w:pageBreakBefore/>
      </w:pPr>
      <w:r>
        <w:lastRenderedPageBreak/>
        <w:t>Table A.3:</w:t>
      </w:r>
      <w:r>
        <w:tab/>
        <w:t>Statement of cash flows for the past five quarters</w:t>
      </w:r>
      <w:r>
        <w:tab/>
        <w:t>($ million)</w:t>
      </w:r>
    </w:p>
    <w:tbl>
      <w:tblPr>
        <w:tblStyle w:val="DTFTableNumeric"/>
        <w:tblW w:w="9638" w:type="dxa"/>
        <w:tblLayout w:type="fixed"/>
        <w:tblLook w:val="06A0" w:firstRow="1" w:lastRow="0" w:firstColumn="1" w:lastColumn="0" w:noHBand="1" w:noVBand="1"/>
        <w:tblDescription w:val="Type:DtfTable|Workbook:https://vicgov.sharepoint.com/sites/VG002733/Annual Financial Report/CRA Coordination/Financial Statements/SRIMS exports/SRIMS_AFR_Quarter_by_Quarter.xlsx|Table:CF_quarter_by_quarter"/>
      </w:tblPr>
      <w:tblGrid>
        <w:gridCol w:w="5103"/>
        <w:gridCol w:w="907"/>
        <w:gridCol w:w="907"/>
        <w:gridCol w:w="907"/>
        <w:gridCol w:w="907"/>
        <w:gridCol w:w="907"/>
      </w:tblGrid>
      <w:tr w:rsidR="008F0D56" w14:paraId="2A251B9C"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39BA62C7" w14:textId="77777777" w:rsidR="00E51EAC" w:rsidRDefault="00E51EAC">
            <w:pPr>
              <w:keepNext/>
            </w:pPr>
          </w:p>
        </w:tc>
        <w:tc>
          <w:tcPr>
            <w:tcW w:w="907" w:type="dxa"/>
          </w:tcPr>
          <w:p w14:paraId="3E6C511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2023</w:t>
            </w:r>
            <w:r>
              <w:noBreakHyphen/>
              <w:t>24</w:t>
            </w:r>
          </w:p>
        </w:tc>
        <w:tc>
          <w:tcPr>
            <w:tcW w:w="3628" w:type="dxa"/>
            <w:gridSpan w:val="4"/>
          </w:tcPr>
          <w:p w14:paraId="5C6F0524" w14:textId="77777777" w:rsidR="00E51EAC" w:rsidRDefault="00182F93">
            <w:pPr>
              <w:keepNext/>
              <w:jc w:val="center"/>
              <w:cnfStyle w:val="100000000000" w:firstRow="1" w:lastRow="0" w:firstColumn="0" w:lastColumn="0" w:oddVBand="0" w:evenVBand="0" w:oddHBand="0" w:evenHBand="0" w:firstRowFirstColumn="0" w:firstRowLastColumn="0" w:lastRowFirstColumn="0" w:lastRowLastColumn="0"/>
            </w:pPr>
            <w:r>
              <w:t>2024</w:t>
            </w:r>
            <w:r>
              <w:noBreakHyphen/>
              <w:t>25</w:t>
            </w:r>
          </w:p>
        </w:tc>
      </w:tr>
      <w:tr w:rsidR="00991200" w14:paraId="1EDE8843" w14:textId="77777777" w:rsidTr="00E51E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CA0E7DE" w14:textId="77777777" w:rsidR="00E51EAC" w:rsidRDefault="00E51EAC">
            <w:pPr>
              <w:keepNext/>
            </w:pPr>
          </w:p>
        </w:tc>
        <w:tc>
          <w:tcPr>
            <w:tcW w:w="907" w:type="dxa"/>
          </w:tcPr>
          <w:p w14:paraId="73EC1253"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428802E6"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76E3F80F"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22B054BB"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61AF5862" w14:textId="77777777" w:rsidR="00E51EAC" w:rsidRDefault="00182F93">
            <w:pPr>
              <w:keepNext/>
              <w:cnfStyle w:val="100000000000" w:firstRow="1" w:lastRow="0" w:firstColumn="0" w:lastColumn="0" w:oddVBand="0" w:evenVBand="0" w:oddHBand="0" w:evenHBand="0" w:firstRowFirstColumn="0" w:firstRowLastColumn="0" w:lastRowFirstColumn="0" w:lastRowLastColumn="0"/>
            </w:pPr>
            <w:r>
              <w:t>Jun</w:t>
            </w:r>
          </w:p>
        </w:tc>
      </w:tr>
      <w:tr w:rsidR="00E51EAC" w14:paraId="68C1F675" w14:textId="77777777">
        <w:tc>
          <w:tcPr>
            <w:cnfStyle w:val="001000000000" w:firstRow="0" w:lastRow="0" w:firstColumn="1" w:lastColumn="0" w:oddVBand="0" w:evenVBand="0" w:oddHBand="0" w:evenHBand="0" w:firstRowFirstColumn="0" w:firstRowLastColumn="0" w:lastRowFirstColumn="0" w:lastRowLastColumn="0"/>
            <w:tcW w:w="5103" w:type="dxa"/>
          </w:tcPr>
          <w:p w14:paraId="5A1E31F4" w14:textId="77777777" w:rsidR="00E51EAC" w:rsidRDefault="00182F93">
            <w:r>
              <w:rPr>
                <w:b/>
              </w:rPr>
              <w:t>Cash flows from operating activities</w:t>
            </w:r>
          </w:p>
        </w:tc>
        <w:tc>
          <w:tcPr>
            <w:tcW w:w="907" w:type="dxa"/>
          </w:tcPr>
          <w:p w14:paraId="536F3FA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DE98D4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3DD0188"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0908F4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4D48A1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AF861F7" w14:textId="77777777">
        <w:tc>
          <w:tcPr>
            <w:cnfStyle w:val="001000000000" w:firstRow="0" w:lastRow="0" w:firstColumn="1" w:lastColumn="0" w:oddVBand="0" w:evenVBand="0" w:oddHBand="0" w:evenHBand="0" w:firstRowFirstColumn="0" w:firstRowLastColumn="0" w:lastRowFirstColumn="0" w:lastRowLastColumn="0"/>
            <w:tcW w:w="5103" w:type="dxa"/>
          </w:tcPr>
          <w:p w14:paraId="7418D47F" w14:textId="77777777" w:rsidR="00E51EAC" w:rsidRDefault="00182F93">
            <w:r>
              <w:rPr>
                <w:b/>
              </w:rPr>
              <w:t>Receipts</w:t>
            </w:r>
          </w:p>
        </w:tc>
        <w:tc>
          <w:tcPr>
            <w:tcW w:w="907" w:type="dxa"/>
          </w:tcPr>
          <w:p w14:paraId="779CFED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CE9CEA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0A8E3D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A38569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E5DAE67"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AE88DA1" w14:textId="77777777">
        <w:tc>
          <w:tcPr>
            <w:cnfStyle w:val="001000000000" w:firstRow="0" w:lastRow="0" w:firstColumn="1" w:lastColumn="0" w:oddVBand="0" w:evenVBand="0" w:oddHBand="0" w:evenHBand="0" w:firstRowFirstColumn="0" w:firstRowLastColumn="0" w:lastRowFirstColumn="0" w:lastRowLastColumn="0"/>
            <w:tcW w:w="5103" w:type="dxa"/>
          </w:tcPr>
          <w:p w14:paraId="75D2EB36" w14:textId="77777777" w:rsidR="00E51EAC" w:rsidRDefault="00182F93">
            <w:r>
              <w:t>Taxes received</w:t>
            </w:r>
          </w:p>
        </w:tc>
        <w:tc>
          <w:tcPr>
            <w:tcW w:w="907" w:type="dxa"/>
          </w:tcPr>
          <w:p w14:paraId="37967672" w14:textId="77777777" w:rsidR="00E51EAC" w:rsidRDefault="00182F93">
            <w:pPr>
              <w:cnfStyle w:val="000000000000" w:firstRow="0" w:lastRow="0" w:firstColumn="0" w:lastColumn="0" w:oddVBand="0" w:evenVBand="0" w:oddHBand="0" w:evenHBand="0" w:firstRowFirstColumn="0" w:firstRowLastColumn="0" w:lastRowFirstColumn="0" w:lastRowLastColumn="0"/>
            </w:pPr>
            <w:r>
              <w:t>11 371</w:t>
            </w:r>
          </w:p>
        </w:tc>
        <w:tc>
          <w:tcPr>
            <w:tcW w:w="907" w:type="dxa"/>
          </w:tcPr>
          <w:p w14:paraId="224AC8C2" w14:textId="77777777" w:rsidR="00E51EAC" w:rsidRDefault="00182F93">
            <w:pPr>
              <w:cnfStyle w:val="000000000000" w:firstRow="0" w:lastRow="0" w:firstColumn="0" w:lastColumn="0" w:oddVBand="0" w:evenVBand="0" w:oddHBand="0" w:evenHBand="0" w:firstRowFirstColumn="0" w:firstRowLastColumn="0" w:lastRowFirstColumn="0" w:lastRowLastColumn="0"/>
            </w:pPr>
            <w:r>
              <w:t>9 623</w:t>
            </w:r>
          </w:p>
        </w:tc>
        <w:tc>
          <w:tcPr>
            <w:tcW w:w="907" w:type="dxa"/>
          </w:tcPr>
          <w:p w14:paraId="2A04900C" w14:textId="77777777" w:rsidR="00E51EAC" w:rsidRDefault="00182F93">
            <w:pPr>
              <w:cnfStyle w:val="000000000000" w:firstRow="0" w:lastRow="0" w:firstColumn="0" w:lastColumn="0" w:oddVBand="0" w:evenVBand="0" w:oddHBand="0" w:evenHBand="0" w:firstRowFirstColumn="0" w:firstRowLastColumn="0" w:lastRowFirstColumn="0" w:lastRowLastColumn="0"/>
            </w:pPr>
            <w:r>
              <w:t>9 101</w:t>
            </w:r>
          </w:p>
        </w:tc>
        <w:tc>
          <w:tcPr>
            <w:tcW w:w="907" w:type="dxa"/>
          </w:tcPr>
          <w:p w14:paraId="0C16E079" w14:textId="77777777" w:rsidR="00E51EAC" w:rsidRDefault="00182F93">
            <w:pPr>
              <w:cnfStyle w:val="000000000000" w:firstRow="0" w:lastRow="0" w:firstColumn="0" w:lastColumn="0" w:oddVBand="0" w:evenVBand="0" w:oddHBand="0" w:evenHBand="0" w:firstRowFirstColumn="0" w:firstRowLastColumn="0" w:lastRowFirstColumn="0" w:lastRowLastColumn="0"/>
            </w:pPr>
            <w:r>
              <w:t>8 611</w:t>
            </w:r>
          </w:p>
        </w:tc>
        <w:tc>
          <w:tcPr>
            <w:tcW w:w="907" w:type="dxa"/>
          </w:tcPr>
          <w:p w14:paraId="64AE39B4" w14:textId="77777777" w:rsidR="00E51EAC" w:rsidRDefault="00182F93">
            <w:pPr>
              <w:cnfStyle w:val="000000000000" w:firstRow="0" w:lastRow="0" w:firstColumn="0" w:lastColumn="0" w:oddVBand="0" w:evenVBand="0" w:oddHBand="0" w:evenHBand="0" w:firstRowFirstColumn="0" w:firstRowLastColumn="0" w:lastRowFirstColumn="0" w:lastRowLastColumn="0"/>
            </w:pPr>
            <w:r>
              <w:t>12 080</w:t>
            </w:r>
          </w:p>
        </w:tc>
      </w:tr>
      <w:tr w:rsidR="00E51EAC" w14:paraId="2DF631B6" w14:textId="77777777">
        <w:tc>
          <w:tcPr>
            <w:cnfStyle w:val="001000000000" w:firstRow="0" w:lastRow="0" w:firstColumn="1" w:lastColumn="0" w:oddVBand="0" w:evenVBand="0" w:oddHBand="0" w:evenHBand="0" w:firstRowFirstColumn="0" w:firstRowLastColumn="0" w:lastRowFirstColumn="0" w:lastRowLastColumn="0"/>
            <w:tcW w:w="5103" w:type="dxa"/>
          </w:tcPr>
          <w:p w14:paraId="168E07CC" w14:textId="77777777" w:rsidR="00E51EAC" w:rsidRDefault="00182F93">
            <w:r>
              <w:t>Grants</w:t>
            </w:r>
          </w:p>
        </w:tc>
        <w:tc>
          <w:tcPr>
            <w:tcW w:w="907" w:type="dxa"/>
          </w:tcPr>
          <w:p w14:paraId="61CDDA53" w14:textId="77777777" w:rsidR="00E51EAC" w:rsidRDefault="00182F93">
            <w:pPr>
              <w:cnfStyle w:val="000000000000" w:firstRow="0" w:lastRow="0" w:firstColumn="0" w:lastColumn="0" w:oddVBand="0" w:evenVBand="0" w:oddHBand="0" w:evenHBand="0" w:firstRowFirstColumn="0" w:firstRowLastColumn="0" w:lastRowFirstColumn="0" w:lastRowLastColumn="0"/>
            </w:pPr>
            <w:r>
              <w:t>10 628</w:t>
            </w:r>
          </w:p>
        </w:tc>
        <w:tc>
          <w:tcPr>
            <w:tcW w:w="907" w:type="dxa"/>
          </w:tcPr>
          <w:p w14:paraId="313D8B5A" w14:textId="77777777" w:rsidR="00E51EAC" w:rsidRDefault="00182F93">
            <w:pPr>
              <w:cnfStyle w:val="000000000000" w:firstRow="0" w:lastRow="0" w:firstColumn="0" w:lastColumn="0" w:oddVBand="0" w:evenVBand="0" w:oddHBand="0" w:evenHBand="0" w:firstRowFirstColumn="0" w:firstRowLastColumn="0" w:lastRowFirstColumn="0" w:lastRowLastColumn="0"/>
            </w:pPr>
            <w:r>
              <w:t>10 983</w:t>
            </w:r>
          </w:p>
        </w:tc>
        <w:tc>
          <w:tcPr>
            <w:tcW w:w="907" w:type="dxa"/>
          </w:tcPr>
          <w:p w14:paraId="2117D670" w14:textId="77777777" w:rsidR="00E51EAC" w:rsidRDefault="00182F93">
            <w:pPr>
              <w:cnfStyle w:val="000000000000" w:firstRow="0" w:lastRow="0" w:firstColumn="0" w:lastColumn="0" w:oddVBand="0" w:evenVBand="0" w:oddHBand="0" w:evenHBand="0" w:firstRowFirstColumn="0" w:firstRowLastColumn="0" w:lastRowFirstColumn="0" w:lastRowLastColumn="0"/>
            </w:pPr>
            <w:r>
              <w:t>12 479</w:t>
            </w:r>
          </w:p>
        </w:tc>
        <w:tc>
          <w:tcPr>
            <w:tcW w:w="907" w:type="dxa"/>
          </w:tcPr>
          <w:p w14:paraId="2A8A38E4" w14:textId="77777777" w:rsidR="00E51EAC" w:rsidRDefault="00182F93">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13B55122" w14:textId="77777777" w:rsidR="00E51EAC" w:rsidRDefault="00182F93">
            <w:pPr>
              <w:cnfStyle w:val="000000000000" w:firstRow="0" w:lastRow="0" w:firstColumn="0" w:lastColumn="0" w:oddVBand="0" w:evenVBand="0" w:oddHBand="0" w:evenHBand="0" w:firstRowFirstColumn="0" w:firstRowLastColumn="0" w:lastRowFirstColumn="0" w:lastRowLastColumn="0"/>
            </w:pPr>
            <w:r>
              <w:t>11 223</w:t>
            </w:r>
          </w:p>
        </w:tc>
      </w:tr>
      <w:tr w:rsidR="00E51EAC" w14:paraId="1DDB171B" w14:textId="77777777">
        <w:tc>
          <w:tcPr>
            <w:cnfStyle w:val="001000000000" w:firstRow="0" w:lastRow="0" w:firstColumn="1" w:lastColumn="0" w:oddVBand="0" w:evenVBand="0" w:oddHBand="0" w:evenHBand="0" w:firstRowFirstColumn="0" w:firstRowLastColumn="0" w:lastRowFirstColumn="0" w:lastRowLastColumn="0"/>
            <w:tcW w:w="5103" w:type="dxa"/>
          </w:tcPr>
          <w:p w14:paraId="58DDDAF9" w14:textId="77777777" w:rsidR="00E51EAC" w:rsidRDefault="00182F93">
            <w:r>
              <w:t>Sales of goods and services</w:t>
            </w:r>
            <w:r>
              <w:rPr>
                <w:vertAlign w:val="superscript"/>
              </w:rPr>
              <w:t xml:space="preserve"> (a)</w:t>
            </w:r>
          </w:p>
        </w:tc>
        <w:tc>
          <w:tcPr>
            <w:tcW w:w="907" w:type="dxa"/>
          </w:tcPr>
          <w:p w14:paraId="522663B7" w14:textId="77777777" w:rsidR="00E51EAC" w:rsidRDefault="00182F93">
            <w:pPr>
              <w:cnfStyle w:val="000000000000" w:firstRow="0" w:lastRow="0" w:firstColumn="0" w:lastColumn="0" w:oddVBand="0" w:evenVBand="0" w:oddHBand="0" w:evenHBand="0" w:firstRowFirstColumn="0" w:firstRowLastColumn="0" w:lastRowFirstColumn="0" w:lastRowLastColumn="0"/>
            </w:pPr>
            <w:r>
              <w:t>1 996</w:t>
            </w:r>
          </w:p>
        </w:tc>
        <w:tc>
          <w:tcPr>
            <w:tcW w:w="907" w:type="dxa"/>
          </w:tcPr>
          <w:p w14:paraId="25CC347B" w14:textId="77777777" w:rsidR="00E51EAC" w:rsidRDefault="00182F93">
            <w:pPr>
              <w:cnfStyle w:val="000000000000" w:firstRow="0" w:lastRow="0" w:firstColumn="0" w:lastColumn="0" w:oddVBand="0" w:evenVBand="0" w:oddHBand="0" w:evenHBand="0" w:firstRowFirstColumn="0" w:firstRowLastColumn="0" w:lastRowFirstColumn="0" w:lastRowLastColumn="0"/>
            </w:pPr>
            <w:r>
              <w:t>1 638</w:t>
            </w:r>
          </w:p>
        </w:tc>
        <w:tc>
          <w:tcPr>
            <w:tcW w:w="907" w:type="dxa"/>
          </w:tcPr>
          <w:p w14:paraId="260613B9" w14:textId="77777777" w:rsidR="00E51EAC" w:rsidRDefault="00182F93">
            <w:pPr>
              <w:cnfStyle w:val="000000000000" w:firstRow="0" w:lastRow="0" w:firstColumn="0" w:lastColumn="0" w:oddVBand="0" w:evenVBand="0" w:oddHBand="0" w:evenHBand="0" w:firstRowFirstColumn="0" w:firstRowLastColumn="0" w:lastRowFirstColumn="0" w:lastRowLastColumn="0"/>
            </w:pPr>
            <w:r>
              <w:t>1 758</w:t>
            </w:r>
          </w:p>
        </w:tc>
        <w:tc>
          <w:tcPr>
            <w:tcW w:w="907" w:type="dxa"/>
          </w:tcPr>
          <w:p w14:paraId="522F6D28" w14:textId="77777777" w:rsidR="00E51EAC" w:rsidRDefault="00182F93">
            <w:pPr>
              <w:cnfStyle w:val="000000000000" w:firstRow="0" w:lastRow="0" w:firstColumn="0" w:lastColumn="0" w:oddVBand="0" w:evenVBand="0" w:oddHBand="0" w:evenHBand="0" w:firstRowFirstColumn="0" w:firstRowLastColumn="0" w:lastRowFirstColumn="0" w:lastRowLastColumn="0"/>
            </w:pPr>
            <w:r>
              <w:t>2 098</w:t>
            </w:r>
          </w:p>
        </w:tc>
        <w:tc>
          <w:tcPr>
            <w:tcW w:w="907" w:type="dxa"/>
          </w:tcPr>
          <w:p w14:paraId="007B8648" w14:textId="77777777" w:rsidR="00E51EAC" w:rsidRDefault="00182F93">
            <w:pPr>
              <w:cnfStyle w:val="000000000000" w:firstRow="0" w:lastRow="0" w:firstColumn="0" w:lastColumn="0" w:oddVBand="0" w:evenVBand="0" w:oddHBand="0" w:evenHBand="0" w:firstRowFirstColumn="0" w:firstRowLastColumn="0" w:lastRowFirstColumn="0" w:lastRowLastColumn="0"/>
            </w:pPr>
            <w:r>
              <w:t>1 985</w:t>
            </w:r>
          </w:p>
        </w:tc>
      </w:tr>
      <w:tr w:rsidR="00E51EAC" w14:paraId="4EDD0BF5" w14:textId="77777777">
        <w:tc>
          <w:tcPr>
            <w:cnfStyle w:val="001000000000" w:firstRow="0" w:lastRow="0" w:firstColumn="1" w:lastColumn="0" w:oddVBand="0" w:evenVBand="0" w:oddHBand="0" w:evenHBand="0" w:firstRowFirstColumn="0" w:firstRowLastColumn="0" w:lastRowFirstColumn="0" w:lastRowLastColumn="0"/>
            <w:tcW w:w="5103" w:type="dxa"/>
          </w:tcPr>
          <w:p w14:paraId="79121AF5" w14:textId="77777777" w:rsidR="00E51EAC" w:rsidRDefault="00182F93">
            <w:r>
              <w:t>Interest received</w:t>
            </w:r>
          </w:p>
        </w:tc>
        <w:tc>
          <w:tcPr>
            <w:tcW w:w="907" w:type="dxa"/>
          </w:tcPr>
          <w:p w14:paraId="46A11E87" w14:textId="77777777" w:rsidR="00E51EAC" w:rsidRDefault="00182F93">
            <w:pPr>
              <w:cnfStyle w:val="000000000000" w:firstRow="0" w:lastRow="0" w:firstColumn="0" w:lastColumn="0" w:oddVBand="0" w:evenVBand="0" w:oddHBand="0" w:evenHBand="0" w:firstRowFirstColumn="0" w:firstRowLastColumn="0" w:lastRowFirstColumn="0" w:lastRowLastColumn="0"/>
            </w:pPr>
            <w:r>
              <w:t>523</w:t>
            </w:r>
          </w:p>
        </w:tc>
        <w:tc>
          <w:tcPr>
            <w:tcW w:w="907" w:type="dxa"/>
          </w:tcPr>
          <w:p w14:paraId="2E1D0A78" w14:textId="77777777" w:rsidR="00E51EAC" w:rsidRDefault="00182F93">
            <w:pPr>
              <w:cnfStyle w:val="000000000000" w:firstRow="0" w:lastRow="0" w:firstColumn="0" w:lastColumn="0" w:oddVBand="0" w:evenVBand="0" w:oddHBand="0" w:evenHBand="0" w:firstRowFirstColumn="0" w:firstRowLastColumn="0" w:lastRowFirstColumn="0" w:lastRowLastColumn="0"/>
            </w:pPr>
            <w:r>
              <w:t>379</w:t>
            </w:r>
          </w:p>
        </w:tc>
        <w:tc>
          <w:tcPr>
            <w:tcW w:w="907" w:type="dxa"/>
          </w:tcPr>
          <w:p w14:paraId="2B2766E0" w14:textId="77777777" w:rsidR="00E51EAC" w:rsidRDefault="00182F93">
            <w:pPr>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21A26B94" w14:textId="77777777" w:rsidR="00E51EAC" w:rsidRDefault="00182F93">
            <w:pPr>
              <w:cnfStyle w:val="000000000000" w:firstRow="0" w:lastRow="0" w:firstColumn="0" w:lastColumn="0" w:oddVBand="0" w:evenVBand="0" w:oddHBand="0" w:evenHBand="0" w:firstRowFirstColumn="0" w:firstRowLastColumn="0" w:lastRowFirstColumn="0" w:lastRowLastColumn="0"/>
            </w:pPr>
            <w:r>
              <w:t>386</w:t>
            </w:r>
          </w:p>
        </w:tc>
        <w:tc>
          <w:tcPr>
            <w:tcW w:w="907" w:type="dxa"/>
          </w:tcPr>
          <w:p w14:paraId="6F05DC30" w14:textId="77777777" w:rsidR="00E51EAC" w:rsidRDefault="00182F93">
            <w:pPr>
              <w:cnfStyle w:val="000000000000" w:firstRow="0" w:lastRow="0" w:firstColumn="0" w:lastColumn="0" w:oddVBand="0" w:evenVBand="0" w:oddHBand="0" w:evenHBand="0" w:firstRowFirstColumn="0" w:firstRowLastColumn="0" w:lastRowFirstColumn="0" w:lastRowLastColumn="0"/>
            </w:pPr>
            <w:r>
              <w:t>332</w:t>
            </w:r>
          </w:p>
        </w:tc>
      </w:tr>
      <w:tr w:rsidR="00E51EAC" w14:paraId="6CDA8E29" w14:textId="77777777">
        <w:tc>
          <w:tcPr>
            <w:cnfStyle w:val="001000000000" w:firstRow="0" w:lastRow="0" w:firstColumn="1" w:lastColumn="0" w:oddVBand="0" w:evenVBand="0" w:oddHBand="0" w:evenHBand="0" w:firstRowFirstColumn="0" w:firstRowLastColumn="0" w:lastRowFirstColumn="0" w:lastRowLastColumn="0"/>
            <w:tcW w:w="5103" w:type="dxa"/>
          </w:tcPr>
          <w:p w14:paraId="11208CD9" w14:textId="77777777" w:rsidR="00E51EAC" w:rsidRDefault="00182F93">
            <w:r>
              <w:t>Dividends and income tax equivalent receipts</w:t>
            </w:r>
          </w:p>
        </w:tc>
        <w:tc>
          <w:tcPr>
            <w:tcW w:w="907" w:type="dxa"/>
          </w:tcPr>
          <w:p w14:paraId="28C82851" w14:textId="77777777" w:rsidR="00E51EAC" w:rsidRDefault="00182F93">
            <w:pPr>
              <w:cnfStyle w:val="000000000000" w:firstRow="0" w:lastRow="0" w:firstColumn="0" w:lastColumn="0" w:oddVBand="0" w:evenVBand="0" w:oddHBand="0" w:evenHBand="0" w:firstRowFirstColumn="0" w:firstRowLastColumn="0" w:lastRowFirstColumn="0" w:lastRowLastColumn="0"/>
            </w:pPr>
            <w:r>
              <w:t>1 721</w:t>
            </w:r>
          </w:p>
        </w:tc>
        <w:tc>
          <w:tcPr>
            <w:tcW w:w="907" w:type="dxa"/>
          </w:tcPr>
          <w:p w14:paraId="21BF69D8" w14:textId="77777777" w:rsidR="00E51EAC" w:rsidRDefault="00182F93">
            <w:pPr>
              <w:cnfStyle w:val="000000000000" w:firstRow="0" w:lastRow="0" w:firstColumn="0" w:lastColumn="0" w:oddVBand="0" w:evenVBand="0" w:oddHBand="0" w:evenHBand="0" w:firstRowFirstColumn="0" w:firstRowLastColumn="0" w:lastRowFirstColumn="0" w:lastRowLastColumn="0"/>
            </w:pPr>
            <w:r>
              <w:t>474</w:t>
            </w:r>
          </w:p>
        </w:tc>
        <w:tc>
          <w:tcPr>
            <w:tcW w:w="907" w:type="dxa"/>
          </w:tcPr>
          <w:p w14:paraId="474C42B5" w14:textId="77777777" w:rsidR="00E51EAC" w:rsidRDefault="00182F93">
            <w:pPr>
              <w:cnfStyle w:val="000000000000" w:firstRow="0" w:lastRow="0" w:firstColumn="0" w:lastColumn="0" w:oddVBand="0" w:evenVBand="0" w:oddHBand="0" w:evenHBand="0" w:firstRowFirstColumn="0" w:firstRowLastColumn="0" w:lastRowFirstColumn="0" w:lastRowLastColumn="0"/>
            </w:pPr>
            <w:r>
              <w:t>189</w:t>
            </w:r>
          </w:p>
        </w:tc>
        <w:tc>
          <w:tcPr>
            <w:tcW w:w="907" w:type="dxa"/>
          </w:tcPr>
          <w:p w14:paraId="53A7FF48" w14:textId="77777777" w:rsidR="00E51EAC" w:rsidRDefault="00182F93">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6EF94BB7" w14:textId="77777777" w:rsidR="00E51EAC" w:rsidRDefault="00182F93">
            <w:pPr>
              <w:cnfStyle w:val="000000000000" w:firstRow="0" w:lastRow="0" w:firstColumn="0" w:lastColumn="0" w:oddVBand="0" w:evenVBand="0" w:oddHBand="0" w:evenHBand="0" w:firstRowFirstColumn="0" w:firstRowLastColumn="0" w:lastRowFirstColumn="0" w:lastRowLastColumn="0"/>
            </w:pPr>
            <w:r>
              <w:t>1 489</w:t>
            </w:r>
          </w:p>
        </w:tc>
      </w:tr>
      <w:tr w:rsidR="00E51EAC" w14:paraId="5EBBE2EF"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78C9D47" w14:textId="77777777" w:rsidR="00E51EAC" w:rsidRDefault="00182F93">
            <w:r>
              <w:t>Other receipts</w:t>
            </w:r>
          </w:p>
        </w:tc>
        <w:tc>
          <w:tcPr>
            <w:tcW w:w="907" w:type="dxa"/>
            <w:tcBorders>
              <w:bottom w:val="single" w:sz="6" w:space="0" w:color="auto"/>
            </w:tcBorders>
          </w:tcPr>
          <w:p w14:paraId="087A734E" w14:textId="77777777" w:rsidR="00E51EAC" w:rsidRDefault="00182F93">
            <w:pPr>
              <w:cnfStyle w:val="000000000000" w:firstRow="0" w:lastRow="0" w:firstColumn="0" w:lastColumn="0" w:oddVBand="0" w:evenVBand="0" w:oddHBand="0" w:evenHBand="0" w:firstRowFirstColumn="0" w:firstRowLastColumn="0" w:lastRowFirstColumn="0" w:lastRowLastColumn="0"/>
            </w:pPr>
            <w:r>
              <w:t>801</w:t>
            </w:r>
          </w:p>
        </w:tc>
        <w:tc>
          <w:tcPr>
            <w:tcW w:w="907" w:type="dxa"/>
            <w:tcBorders>
              <w:bottom w:val="single" w:sz="6" w:space="0" w:color="auto"/>
            </w:tcBorders>
          </w:tcPr>
          <w:p w14:paraId="5CA627E3" w14:textId="77777777" w:rsidR="00E51EAC" w:rsidRDefault="00182F93">
            <w:pPr>
              <w:cnfStyle w:val="000000000000" w:firstRow="0" w:lastRow="0" w:firstColumn="0" w:lastColumn="0" w:oddVBand="0" w:evenVBand="0" w:oddHBand="0" w:evenHBand="0" w:firstRowFirstColumn="0" w:firstRowLastColumn="0" w:lastRowFirstColumn="0" w:lastRowLastColumn="0"/>
            </w:pPr>
            <w:r>
              <w:t>806</w:t>
            </w:r>
          </w:p>
        </w:tc>
        <w:tc>
          <w:tcPr>
            <w:tcW w:w="907" w:type="dxa"/>
            <w:tcBorders>
              <w:bottom w:val="single" w:sz="6" w:space="0" w:color="auto"/>
            </w:tcBorders>
          </w:tcPr>
          <w:p w14:paraId="6D552447" w14:textId="77777777" w:rsidR="00E51EAC" w:rsidRDefault="00182F93">
            <w:pPr>
              <w:cnfStyle w:val="000000000000" w:firstRow="0" w:lastRow="0" w:firstColumn="0" w:lastColumn="0" w:oddVBand="0" w:evenVBand="0" w:oddHBand="0" w:evenHBand="0" w:firstRowFirstColumn="0" w:firstRowLastColumn="0" w:lastRowFirstColumn="0" w:lastRowLastColumn="0"/>
            </w:pPr>
            <w:r>
              <w:t>556</w:t>
            </w:r>
          </w:p>
        </w:tc>
        <w:tc>
          <w:tcPr>
            <w:tcW w:w="907" w:type="dxa"/>
            <w:tcBorders>
              <w:bottom w:val="single" w:sz="6" w:space="0" w:color="auto"/>
            </w:tcBorders>
          </w:tcPr>
          <w:p w14:paraId="765D9873" w14:textId="77777777" w:rsidR="00E51EAC" w:rsidRDefault="00182F93">
            <w:pPr>
              <w:cnfStyle w:val="000000000000" w:firstRow="0" w:lastRow="0" w:firstColumn="0" w:lastColumn="0" w:oddVBand="0" w:evenVBand="0" w:oddHBand="0" w:evenHBand="0" w:firstRowFirstColumn="0" w:firstRowLastColumn="0" w:lastRowFirstColumn="0" w:lastRowLastColumn="0"/>
            </w:pPr>
            <w:r>
              <w:t>213</w:t>
            </w:r>
          </w:p>
        </w:tc>
        <w:tc>
          <w:tcPr>
            <w:tcW w:w="907" w:type="dxa"/>
            <w:tcBorders>
              <w:bottom w:val="single" w:sz="6" w:space="0" w:color="auto"/>
            </w:tcBorders>
          </w:tcPr>
          <w:p w14:paraId="7FAE59E7" w14:textId="77777777" w:rsidR="00E51EAC" w:rsidRDefault="00182F93">
            <w:pPr>
              <w:cnfStyle w:val="000000000000" w:firstRow="0" w:lastRow="0" w:firstColumn="0" w:lastColumn="0" w:oddVBand="0" w:evenVBand="0" w:oddHBand="0" w:evenHBand="0" w:firstRowFirstColumn="0" w:firstRowLastColumn="0" w:lastRowFirstColumn="0" w:lastRowLastColumn="0"/>
            </w:pPr>
            <w:r>
              <w:t>1 414</w:t>
            </w:r>
          </w:p>
        </w:tc>
      </w:tr>
      <w:tr w:rsidR="00E51EAC" w14:paraId="527B5136"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8FDD9F1" w14:textId="77777777" w:rsidR="00E51EAC" w:rsidRDefault="00182F93">
            <w:r>
              <w:rPr>
                <w:b/>
              </w:rPr>
              <w:t>Total receipts</w:t>
            </w:r>
          </w:p>
        </w:tc>
        <w:tc>
          <w:tcPr>
            <w:tcW w:w="907" w:type="dxa"/>
            <w:tcBorders>
              <w:top w:val="single" w:sz="6" w:space="0" w:color="auto"/>
            </w:tcBorders>
          </w:tcPr>
          <w:p w14:paraId="6D9EDAB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27 041</w:t>
            </w:r>
          </w:p>
        </w:tc>
        <w:tc>
          <w:tcPr>
            <w:tcW w:w="907" w:type="dxa"/>
            <w:tcBorders>
              <w:top w:val="single" w:sz="6" w:space="0" w:color="auto"/>
            </w:tcBorders>
          </w:tcPr>
          <w:p w14:paraId="0238F14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23 903</w:t>
            </w:r>
          </w:p>
        </w:tc>
        <w:tc>
          <w:tcPr>
            <w:tcW w:w="907" w:type="dxa"/>
            <w:tcBorders>
              <w:top w:val="single" w:sz="6" w:space="0" w:color="auto"/>
            </w:tcBorders>
          </w:tcPr>
          <w:p w14:paraId="5D8DDC94"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24 435</w:t>
            </w:r>
          </w:p>
        </w:tc>
        <w:tc>
          <w:tcPr>
            <w:tcW w:w="907" w:type="dxa"/>
            <w:tcBorders>
              <w:top w:val="single" w:sz="6" w:space="0" w:color="auto"/>
            </w:tcBorders>
          </w:tcPr>
          <w:p w14:paraId="26541028"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23 846</w:t>
            </w:r>
          </w:p>
        </w:tc>
        <w:tc>
          <w:tcPr>
            <w:tcW w:w="907" w:type="dxa"/>
            <w:tcBorders>
              <w:top w:val="single" w:sz="6" w:space="0" w:color="auto"/>
            </w:tcBorders>
          </w:tcPr>
          <w:p w14:paraId="01FC98B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28 523</w:t>
            </w:r>
          </w:p>
        </w:tc>
      </w:tr>
      <w:tr w:rsidR="00E51EAC" w14:paraId="54D55092" w14:textId="77777777">
        <w:tc>
          <w:tcPr>
            <w:cnfStyle w:val="001000000000" w:firstRow="0" w:lastRow="0" w:firstColumn="1" w:lastColumn="0" w:oddVBand="0" w:evenVBand="0" w:oddHBand="0" w:evenHBand="0" w:firstRowFirstColumn="0" w:firstRowLastColumn="0" w:lastRowFirstColumn="0" w:lastRowLastColumn="0"/>
            <w:tcW w:w="5103" w:type="dxa"/>
          </w:tcPr>
          <w:p w14:paraId="5FE76F51" w14:textId="77777777" w:rsidR="00E51EAC" w:rsidRDefault="00182F93">
            <w:r>
              <w:rPr>
                <w:b/>
              </w:rPr>
              <w:t>Payments</w:t>
            </w:r>
          </w:p>
        </w:tc>
        <w:tc>
          <w:tcPr>
            <w:tcW w:w="907" w:type="dxa"/>
          </w:tcPr>
          <w:p w14:paraId="4CA65A14"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4DAA16F"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26FF5F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C3AF77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D3567A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FC04D9A" w14:textId="77777777">
        <w:tc>
          <w:tcPr>
            <w:cnfStyle w:val="001000000000" w:firstRow="0" w:lastRow="0" w:firstColumn="1" w:lastColumn="0" w:oddVBand="0" w:evenVBand="0" w:oddHBand="0" w:evenHBand="0" w:firstRowFirstColumn="0" w:firstRowLastColumn="0" w:lastRowFirstColumn="0" w:lastRowLastColumn="0"/>
            <w:tcW w:w="5103" w:type="dxa"/>
          </w:tcPr>
          <w:p w14:paraId="1680DD03" w14:textId="77777777" w:rsidR="00E51EAC" w:rsidRDefault="00182F93">
            <w:r>
              <w:t>Payments for employees</w:t>
            </w:r>
          </w:p>
        </w:tc>
        <w:tc>
          <w:tcPr>
            <w:tcW w:w="907" w:type="dxa"/>
          </w:tcPr>
          <w:p w14:paraId="68AB8C1C" w14:textId="77777777" w:rsidR="00E51EAC" w:rsidRDefault="00182F93">
            <w:pPr>
              <w:cnfStyle w:val="000000000000" w:firstRow="0" w:lastRow="0" w:firstColumn="0" w:lastColumn="0" w:oddVBand="0" w:evenVBand="0" w:oddHBand="0" w:evenHBand="0" w:firstRowFirstColumn="0" w:firstRowLastColumn="0" w:lastRowFirstColumn="0" w:lastRowLastColumn="0"/>
            </w:pPr>
            <w:r>
              <w:t>(9 117)</w:t>
            </w:r>
          </w:p>
        </w:tc>
        <w:tc>
          <w:tcPr>
            <w:tcW w:w="907" w:type="dxa"/>
          </w:tcPr>
          <w:p w14:paraId="182B0E14" w14:textId="77777777" w:rsidR="00E51EAC" w:rsidRDefault="00182F93">
            <w:pPr>
              <w:cnfStyle w:val="000000000000" w:firstRow="0" w:lastRow="0" w:firstColumn="0" w:lastColumn="0" w:oddVBand="0" w:evenVBand="0" w:oddHBand="0" w:evenHBand="0" w:firstRowFirstColumn="0" w:firstRowLastColumn="0" w:lastRowFirstColumn="0" w:lastRowLastColumn="0"/>
            </w:pPr>
            <w:r>
              <w:t>(9 083)</w:t>
            </w:r>
          </w:p>
        </w:tc>
        <w:tc>
          <w:tcPr>
            <w:tcW w:w="907" w:type="dxa"/>
          </w:tcPr>
          <w:p w14:paraId="46C7CB10" w14:textId="77777777" w:rsidR="00E51EAC" w:rsidRDefault="00182F93">
            <w:pPr>
              <w:cnfStyle w:val="000000000000" w:firstRow="0" w:lastRow="0" w:firstColumn="0" w:lastColumn="0" w:oddVBand="0" w:evenVBand="0" w:oddHBand="0" w:evenHBand="0" w:firstRowFirstColumn="0" w:firstRowLastColumn="0" w:lastRowFirstColumn="0" w:lastRowLastColumn="0"/>
            </w:pPr>
            <w:r>
              <w:t>(9 906)</w:t>
            </w:r>
          </w:p>
        </w:tc>
        <w:tc>
          <w:tcPr>
            <w:tcW w:w="907" w:type="dxa"/>
          </w:tcPr>
          <w:p w14:paraId="79C60EAF" w14:textId="77777777" w:rsidR="00E51EAC" w:rsidRDefault="00182F93">
            <w:pPr>
              <w:cnfStyle w:val="000000000000" w:firstRow="0" w:lastRow="0" w:firstColumn="0" w:lastColumn="0" w:oddVBand="0" w:evenVBand="0" w:oddHBand="0" w:evenHBand="0" w:firstRowFirstColumn="0" w:firstRowLastColumn="0" w:lastRowFirstColumn="0" w:lastRowLastColumn="0"/>
            </w:pPr>
            <w:r>
              <w:t>(8 798)</w:t>
            </w:r>
          </w:p>
        </w:tc>
        <w:tc>
          <w:tcPr>
            <w:tcW w:w="907" w:type="dxa"/>
          </w:tcPr>
          <w:p w14:paraId="3E2E42AA" w14:textId="77777777" w:rsidR="00E51EAC" w:rsidRDefault="00182F93">
            <w:pPr>
              <w:cnfStyle w:val="000000000000" w:firstRow="0" w:lastRow="0" w:firstColumn="0" w:lastColumn="0" w:oddVBand="0" w:evenVBand="0" w:oddHBand="0" w:evenHBand="0" w:firstRowFirstColumn="0" w:firstRowLastColumn="0" w:lastRowFirstColumn="0" w:lastRowLastColumn="0"/>
            </w:pPr>
            <w:r>
              <w:t>(9 808)</w:t>
            </w:r>
          </w:p>
        </w:tc>
      </w:tr>
      <w:tr w:rsidR="00E51EAC" w14:paraId="4D9B3A41" w14:textId="77777777">
        <w:tc>
          <w:tcPr>
            <w:cnfStyle w:val="001000000000" w:firstRow="0" w:lastRow="0" w:firstColumn="1" w:lastColumn="0" w:oddVBand="0" w:evenVBand="0" w:oddHBand="0" w:evenHBand="0" w:firstRowFirstColumn="0" w:firstRowLastColumn="0" w:lastRowFirstColumn="0" w:lastRowLastColumn="0"/>
            <w:tcW w:w="5103" w:type="dxa"/>
          </w:tcPr>
          <w:p w14:paraId="5F6DB841" w14:textId="77777777" w:rsidR="00E51EAC" w:rsidRDefault="00182F93">
            <w:r>
              <w:t>Superannuation</w:t>
            </w:r>
          </w:p>
        </w:tc>
        <w:tc>
          <w:tcPr>
            <w:tcW w:w="907" w:type="dxa"/>
          </w:tcPr>
          <w:p w14:paraId="0F426F02" w14:textId="77777777" w:rsidR="00E51EAC" w:rsidRDefault="00182F93">
            <w:pPr>
              <w:cnfStyle w:val="000000000000" w:firstRow="0" w:lastRow="0" w:firstColumn="0" w:lastColumn="0" w:oddVBand="0" w:evenVBand="0" w:oddHBand="0" w:evenHBand="0" w:firstRowFirstColumn="0" w:firstRowLastColumn="0" w:lastRowFirstColumn="0" w:lastRowLastColumn="0"/>
            </w:pPr>
            <w:r>
              <w:t>(947)</w:t>
            </w:r>
          </w:p>
        </w:tc>
        <w:tc>
          <w:tcPr>
            <w:tcW w:w="907" w:type="dxa"/>
          </w:tcPr>
          <w:p w14:paraId="02A94798" w14:textId="77777777" w:rsidR="00E51EAC" w:rsidRDefault="00182F93">
            <w:pPr>
              <w:cnfStyle w:val="000000000000" w:firstRow="0" w:lastRow="0" w:firstColumn="0" w:lastColumn="0" w:oddVBand="0" w:evenVBand="0" w:oddHBand="0" w:evenHBand="0" w:firstRowFirstColumn="0" w:firstRowLastColumn="0" w:lastRowFirstColumn="0" w:lastRowLastColumn="0"/>
            </w:pPr>
            <w:r>
              <w:t>(1 172)</w:t>
            </w:r>
          </w:p>
        </w:tc>
        <w:tc>
          <w:tcPr>
            <w:tcW w:w="907" w:type="dxa"/>
          </w:tcPr>
          <w:p w14:paraId="332C379C" w14:textId="77777777" w:rsidR="00E51EAC" w:rsidRDefault="00182F93">
            <w:pPr>
              <w:cnfStyle w:val="000000000000" w:firstRow="0" w:lastRow="0" w:firstColumn="0" w:lastColumn="0" w:oddVBand="0" w:evenVBand="0" w:oddHBand="0" w:evenHBand="0" w:firstRowFirstColumn="0" w:firstRowLastColumn="0" w:lastRowFirstColumn="0" w:lastRowLastColumn="0"/>
            </w:pPr>
            <w:r>
              <w:t>(1 171)</w:t>
            </w:r>
          </w:p>
        </w:tc>
        <w:tc>
          <w:tcPr>
            <w:tcW w:w="907" w:type="dxa"/>
          </w:tcPr>
          <w:p w14:paraId="425E27A7" w14:textId="77777777" w:rsidR="00E51EAC" w:rsidRDefault="00182F93">
            <w:pPr>
              <w:cnfStyle w:val="000000000000" w:firstRow="0" w:lastRow="0" w:firstColumn="0" w:lastColumn="0" w:oddVBand="0" w:evenVBand="0" w:oddHBand="0" w:evenHBand="0" w:firstRowFirstColumn="0" w:firstRowLastColumn="0" w:lastRowFirstColumn="0" w:lastRowLastColumn="0"/>
            </w:pPr>
            <w:r>
              <w:t>(1 109)</w:t>
            </w:r>
          </w:p>
        </w:tc>
        <w:tc>
          <w:tcPr>
            <w:tcW w:w="907" w:type="dxa"/>
          </w:tcPr>
          <w:p w14:paraId="31240331" w14:textId="77777777" w:rsidR="00E51EAC" w:rsidRDefault="00182F93">
            <w:pPr>
              <w:cnfStyle w:val="000000000000" w:firstRow="0" w:lastRow="0" w:firstColumn="0" w:lastColumn="0" w:oddVBand="0" w:evenVBand="0" w:oddHBand="0" w:evenHBand="0" w:firstRowFirstColumn="0" w:firstRowLastColumn="0" w:lastRowFirstColumn="0" w:lastRowLastColumn="0"/>
            </w:pPr>
            <w:r>
              <w:t>(1 012)</w:t>
            </w:r>
          </w:p>
        </w:tc>
      </w:tr>
      <w:tr w:rsidR="00E51EAC" w14:paraId="6D560DB2" w14:textId="77777777">
        <w:tc>
          <w:tcPr>
            <w:cnfStyle w:val="001000000000" w:firstRow="0" w:lastRow="0" w:firstColumn="1" w:lastColumn="0" w:oddVBand="0" w:evenVBand="0" w:oddHBand="0" w:evenHBand="0" w:firstRowFirstColumn="0" w:firstRowLastColumn="0" w:lastRowFirstColumn="0" w:lastRowLastColumn="0"/>
            <w:tcW w:w="5103" w:type="dxa"/>
          </w:tcPr>
          <w:p w14:paraId="5716A614" w14:textId="77777777" w:rsidR="00E51EAC" w:rsidRDefault="00182F93">
            <w:r>
              <w:t>Interest paid</w:t>
            </w:r>
          </w:p>
        </w:tc>
        <w:tc>
          <w:tcPr>
            <w:tcW w:w="907" w:type="dxa"/>
          </w:tcPr>
          <w:p w14:paraId="1AEE3EA2" w14:textId="77777777" w:rsidR="00E51EAC" w:rsidRDefault="00182F93">
            <w:pPr>
              <w:cnfStyle w:val="000000000000" w:firstRow="0" w:lastRow="0" w:firstColumn="0" w:lastColumn="0" w:oddVBand="0" w:evenVBand="0" w:oddHBand="0" w:evenHBand="0" w:firstRowFirstColumn="0" w:firstRowLastColumn="0" w:lastRowFirstColumn="0" w:lastRowLastColumn="0"/>
            </w:pPr>
            <w:r>
              <w:t>(1 483)</w:t>
            </w:r>
          </w:p>
        </w:tc>
        <w:tc>
          <w:tcPr>
            <w:tcW w:w="907" w:type="dxa"/>
          </w:tcPr>
          <w:p w14:paraId="40E59FDF" w14:textId="77777777" w:rsidR="00E51EAC" w:rsidRDefault="00182F93">
            <w:pPr>
              <w:cnfStyle w:val="000000000000" w:firstRow="0" w:lastRow="0" w:firstColumn="0" w:lastColumn="0" w:oddVBand="0" w:evenVBand="0" w:oddHBand="0" w:evenHBand="0" w:firstRowFirstColumn="0" w:firstRowLastColumn="0" w:lastRowFirstColumn="0" w:lastRowLastColumn="0"/>
            </w:pPr>
            <w:r>
              <w:t>(1 480)</w:t>
            </w:r>
          </w:p>
        </w:tc>
        <w:tc>
          <w:tcPr>
            <w:tcW w:w="907" w:type="dxa"/>
          </w:tcPr>
          <w:p w14:paraId="443311BE" w14:textId="77777777" w:rsidR="00E51EAC" w:rsidRDefault="00182F93">
            <w:pPr>
              <w:cnfStyle w:val="000000000000" w:firstRow="0" w:lastRow="0" w:firstColumn="0" w:lastColumn="0" w:oddVBand="0" w:evenVBand="0" w:oddHBand="0" w:evenHBand="0" w:firstRowFirstColumn="0" w:firstRowLastColumn="0" w:lastRowFirstColumn="0" w:lastRowLastColumn="0"/>
            </w:pPr>
            <w:r>
              <w:t>(1 582)</w:t>
            </w:r>
          </w:p>
        </w:tc>
        <w:tc>
          <w:tcPr>
            <w:tcW w:w="907" w:type="dxa"/>
          </w:tcPr>
          <w:p w14:paraId="763C76CB" w14:textId="77777777" w:rsidR="00E51EAC" w:rsidRDefault="00182F93">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08A6429C" w14:textId="77777777" w:rsidR="00E51EAC" w:rsidRDefault="00182F93">
            <w:pPr>
              <w:cnfStyle w:val="000000000000" w:firstRow="0" w:lastRow="0" w:firstColumn="0" w:lastColumn="0" w:oddVBand="0" w:evenVBand="0" w:oddHBand="0" w:evenHBand="0" w:firstRowFirstColumn="0" w:firstRowLastColumn="0" w:lastRowFirstColumn="0" w:lastRowLastColumn="0"/>
            </w:pPr>
            <w:r>
              <w:t>(1 675)</w:t>
            </w:r>
          </w:p>
        </w:tc>
      </w:tr>
      <w:tr w:rsidR="00E51EAC" w14:paraId="4D97A364" w14:textId="77777777">
        <w:tc>
          <w:tcPr>
            <w:cnfStyle w:val="001000000000" w:firstRow="0" w:lastRow="0" w:firstColumn="1" w:lastColumn="0" w:oddVBand="0" w:evenVBand="0" w:oddHBand="0" w:evenHBand="0" w:firstRowFirstColumn="0" w:firstRowLastColumn="0" w:lastRowFirstColumn="0" w:lastRowLastColumn="0"/>
            <w:tcW w:w="5103" w:type="dxa"/>
          </w:tcPr>
          <w:p w14:paraId="19585A41" w14:textId="77777777" w:rsidR="00E51EAC" w:rsidRDefault="00182F93">
            <w:r>
              <w:t>Grants and subsidies</w:t>
            </w:r>
          </w:p>
        </w:tc>
        <w:tc>
          <w:tcPr>
            <w:tcW w:w="907" w:type="dxa"/>
          </w:tcPr>
          <w:p w14:paraId="6D8B3B5D" w14:textId="77777777" w:rsidR="00E51EAC" w:rsidRDefault="00182F93">
            <w:pPr>
              <w:cnfStyle w:val="000000000000" w:firstRow="0" w:lastRow="0" w:firstColumn="0" w:lastColumn="0" w:oddVBand="0" w:evenVBand="0" w:oddHBand="0" w:evenHBand="0" w:firstRowFirstColumn="0" w:firstRowLastColumn="0" w:lastRowFirstColumn="0" w:lastRowLastColumn="0"/>
            </w:pPr>
            <w:r>
              <w:t>(3 168)</w:t>
            </w:r>
          </w:p>
        </w:tc>
        <w:tc>
          <w:tcPr>
            <w:tcW w:w="907" w:type="dxa"/>
          </w:tcPr>
          <w:p w14:paraId="11715121" w14:textId="77777777" w:rsidR="00E51EAC" w:rsidRDefault="00182F93">
            <w:pPr>
              <w:cnfStyle w:val="000000000000" w:firstRow="0" w:lastRow="0" w:firstColumn="0" w:lastColumn="0" w:oddVBand="0" w:evenVBand="0" w:oddHBand="0" w:evenHBand="0" w:firstRowFirstColumn="0" w:firstRowLastColumn="0" w:lastRowFirstColumn="0" w:lastRowLastColumn="0"/>
            </w:pPr>
            <w:r>
              <w:t>(5 089)</w:t>
            </w:r>
          </w:p>
        </w:tc>
        <w:tc>
          <w:tcPr>
            <w:tcW w:w="907" w:type="dxa"/>
          </w:tcPr>
          <w:p w14:paraId="434219A8" w14:textId="77777777" w:rsidR="00E51EAC" w:rsidRDefault="00182F93">
            <w:pPr>
              <w:cnfStyle w:val="000000000000" w:firstRow="0" w:lastRow="0" w:firstColumn="0" w:lastColumn="0" w:oddVBand="0" w:evenVBand="0" w:oddHBand="0" w:evenHBand="0" w:firstRowFirstColumn="0" w:firstRowLastColumn="0" w:lastRowFirstColumn="0" w:lastRowLastColumn="0"/>
            </w:pPr>
            <w:r>
              <w:t>(4 365)</w:t>
            </w:r>
          </w:p>
        </w:tc>
        <w:tc>
          <w:tcPr>
            <w:tcW w:w="907" w:type="dxa"/>
          </w:tcPr>
          <w:p w14:paraId="59DF247C" w14:textId="77777777" w:rsidR="00E51EAC" w:rsidRDefault="00182F93">
            <w:pPr>
              <w:cnfStyle w:val="000000000000" w:firstRow="0" w:lastRow="0" w:firstColumn="0" w:lastColumn="0" w:oddVBand="0" w:evenVBand="0" w:oddHBand="0" w:evenHBand="0" w:firstRowFirstColumn="0" w:firstRowLastColumn="0" w:lastRowFirstColumn="0" w:lastRowLastColumn="0"/>
            </w:pPr>
            <w:r>
              <w:t>(5 345)</w:t>
            </w:r>
          </w:p>
        </w:tc>
        <w:tc>
          <w:tcPr>
            <w:tcW w:w="907" w:type="dxa"/>
          </w:tcPr>
          <w:p w14:paraId="60879CCF" w14:textId="77777777" w:rsidR="00E51EAC" w:rsidRDefault="00182F93">
            <w:pPr>
              <w:cnfStyle w:val="000000000000" w:firstRow="0" w:lastRow="0" w:firstColumn="0" w:lastColumn="0" w:oddVBand="0" w:evenVBand="0" w:oddHBand="0" w:evenHBand="0" w:firstRowFirstColumn="0" w:firstRowLastColumn="0" w:lastRowFirstColumn="0" w:lastRowLastColumn="0"/>
            </w:pPr>
            <w:r>
              <w:t>(3 188)</w:t>
            </w:r>
          </w:p>
        </w:tc>
      </w:tr>
      <w:tr w:rsidR="00E51EAC" w14:paraId="652D3362" w14:textId="77777777">
        <w:tc>
          <w:tcPr>
            <w:cnfStyle w:val="001000000000" w:firstRow="0" w:lastRow="0" w:firstColumn="1" w:lastColumn="0" w:oddVBand="0" w:evenVBand="0" w:oddHBand="0" w:evenHBand="0" w:firstRowFirstColumn="0" w:firstRowLastColumn="0" w:lastRowFirstColumn="0" w:lastRowLastColumn="0"/>
            <w:tcW w:w="5103" w:type="dxa"/>
          </w:tcPr>
          <w:p w14:paraId="4D640646" w14:textId="77777777" w:rsidR="00E51EAC" w:rsidRDefault="00182F93">
            <w:r>
              <w:t>Goods and services</w:t>
            </w:r>
            <w:r>
              <w:rPr>
                <w:vertAlign w:val="superscript"/>
              </w:rPr>
              <w:t xml:space="preserve"> (a)</w:t>
            </w:r>
          </w:p>
        </w:tc>
        <w:tc>
          <w:tcPr>
            <w:tcW w:w="907" w:type="dxa"/>
          </w:tcPr>
          <w:p w14:paraId="11518832" w14:textId="77777777" w:rsidR="00E51EAC" w:rsidRDefault="00182F93">
            <w:pPr>
              <w:cnfStyle w:val="000000000000" w:firstRow="0" w:lastRow="0" w:firstColumn="0" w:lastColumn="0" w:oddVBand="0" w:evenVBand="0" w:oddHBand="0" w:evenHBand="0" w:firstRowFirstColumn="0" w:firstRowLastColumn="0" w:lastRowFirstColumn="0" w:lastRowLastColumn="0"/>
            </w:pPr>
            <w:r>
              <w:t>(5 966)</w:t>
            </w:r>
          </w:p>
        </w:tc>
        <w:tc>
          <w:tcPr>
            <w:tcW w:w="907" w:type="dxa"/>
          </w:tcPr>
          <w:p w14:paraId="7FE294B1" w14:textId="77777777" w:rsidR="00E51EAC" w:rsidRDefault="00182F93">
            <w:pPr>
              <w:cnfStyle w:val="000000000000" w:firstRow="0" w:lastRow="0" w:firstColumn="0" w:lastColumn="0" w:oddVBand="0" w:evenVBand="0" w:oddHBand="0" w:evenHBand="0" w:firstRowFirstColumn="0" w:firstRowLastColumn="0" w:lastRowFirstColumn="0" w:lastRowLastColumn="0"/>
            </w:pPr>
            <w:r>
              <w:t>(8 598)</w:t>
            </w:r>
          </w:p>
        </w:tc>
        <w:tc>
          <w:tcPr>
            <w:tcW w:w="907" w:type="dxa"/>
          </w:tcPr>
          <w:p w14:paraId="326F42C9" w14:textId="77777777" w:rsidR="00E51EAC" w:rsidRDefault="00182F93">
            <w:pPr>
              <w:cnfStyle w:val="000000000000" w:firstRow="0" w:lastRow="0" w:firstColumn="0" w:lastColumn="0" w:oddVBand="0" w:evenVBand="0" w:oddHBand="0" w:evenHBand="0" w:firstRowFirstColumn="0" w:firstRowLastColumn="0" w:lastRowFirstColumn="0" w:lastRowLastColumn="0"/>
            </w:pPr>
            <w:r>
              <w:t>(6 772)</w:t>
            </w:r>
          </w:p>
        </w:tc>
        <w:tc>
          <w:tcPr>
            <w:tcW w:w="907" w:type="dxa"/>
          </w:tcPr>
          <w:p w14:paraId="7161F5DA" w14:textId="77777777" w:rsidR="00E51EAC" w:rsidRDefault="00182F93">
            <w:pPr>
              <w:cnfStyle w:val="000000000000" w:firstRow="0" w:lastRow="0" w:firstColumn="0" w:lastColumn="0" w:oddVBand="0" w:evenVBand="0" w:oddHBand="0" w:evenHBand="0" w:firstRowFirstColumn="0" w:firstRowLastColumn="0" w:lastRowFirstColumn="0" w:lastRowLastColumn="0"/>
            </w:pPr>
            <w:r>
              <w:t>(6 443)</w:t>
            </w:r>
          </w:p>
        </w:tc>
        <w:tc>
          <w:tcPr>
            <w:tcW w:w="907" w:type="dxa"/>
          </w:tcPr>
          <w:p w14:paraId="5621AE6B" w14:textId="77777777" w:rsidR="00E51EAC" w:rsidRDefault="00182F93">
            <w:pPr>
              <w:cnfStyle w:val="000000000000" w:firstRow="0" w:lastRow="0" w:firstColumn="0" w:lastColumn="0" w:oddVBand="0" w:evenVBand="0" w:oddHBand="0" w:evenHBand="0" w:firstRowFirstColumn="0" w:firstRowLastColumn="0" w:lastRowFirstColumn="0" w:lastRowLastColumn="0"/>
            </w:pPr>
            <w:r>
              <w:t>(7 255)</w:t>
            </w:r>
          </w:p>
        </w:tc>
      </w:tr>
      <w:tr w:rsidR="00E51EAC" w14:paraId="740FD6F5"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21921C1" w14:textId="77777777" w:rsidR="00E51EAC" w:rsidRDefault="00182F93">
            <w:r>
              <w:t>Other payments</w:t>
            </w:r>
          </w:p>
        </w:tc>
        <w:tc>
          <w:tcPr>
            <w:tcW w:w="907" w:type="dxa"/>
            <w:tcBorders>
              <w:bottom w:val="single" w:sz="6" w:space="0" w:color="auto"/>
            </w:tcBorders>
          </w:tcPr>
          <w:p w14:paraId="693092D9" w14:textId="77777777" w:rsidR="00E51EAC" w:rsidRDefault="00182F93">
            <w:pPr>
              <w:cnfStyle w:val="000000000000" w:firstRow="0" w:lastRow="0" w:firstColumn="0" w:lastColumn="0" w:oddVBand="0" w:evenVBand="0" w:oddHBand="0" w:evenHBand="0" w:firstRowFirstColumn="0" w:firstRowLastColumn="0" w:lastRowFirstColumn="0" w:lastRowLastColumn="0"/>
            </w:pPr>
            <w:r>
              <w:t>(719)</w:t>
            </w:r>
          </w:p>
        </w:tc>
        <w:tc>
          <w:tcPr>
            <w:tcW w:w="907" w:type="dxa"/>
            <w:tcBorders>
              <w:bottom w:val="single" w:sz="6" w:space="0" w:color="auto"/>
            </w:tcBorders>
          </w:tcPr>
          <w:p w14:paraId="077E6F58" w14:textId="77777777" w:rsidR="00E51EAC" w:rsidRDefault="00182F93">
            <w:pPr>
              <w:cnfStyle w:val="000000000000" w:firstRow="0" w:lastRow="0" w:firstColumn="0" w:lastColumn="0" w:oddVBand="0" w:evenVBand="0" w:oddHBand="0" w:evenHBand="0" w:firstRowFirstColumn="0" w:firstRowLastColumn="0" w:lastRowFirstColumn="0" w:lastRowLastColumn="0"/>
            </w:pPr>
            <w:r>
              <w:t>(390)</w:t>
            </w:r>
          </w:p>
        </w:tc>
        <w:tc>
          <w:tcPr>
            <w:tcW w:w="907" w:type="dxa"/>
            <w:tcBorders>
              <w:bottom w:val="single" w:sz="6" w:space="0" w:color="auto"/>
            </w:tcBorders>
          </w:tcPr>
          <w:p w14:paraId="188234A6" w14:textId="77777777" w:rsidR="00E51EAC" w:rsidRDefault="00182F93">
            <w:pPr>
              <w:cnfStyle w:val="000000000000" w:firstRow="0" w:lastRow="0" w:firstColumn="0" w:lastColumn="0" w:oddVBand="0" w:evenVBand="0" w:oddHBand="0" w:evenHBand="0" w:firstRowFirstColumn="0" w:firstRowLastColumn="0" w:lastRowFirstColumn="0" w:lastRowLastColumn="0"/>
            </w:pPr>
            <w:r>
              <w:t>(599)</w:t>
            </w:r>
          </w:p>
        </w:tc>
        <w:tc>
          <w:tcPr>
            <w:tcW w:w="907" w:type="dxa"/>
            <w:tcBorders>
              <w:bottom w:val="single" w:sz="6" w:space="0" w:color="auto"/>
            </w:tcBorders>
          </w:tcPr>
          <w:p w14:paraId="562A8830" w14:textId="77777777" w:rsidR="00E51EAC" w:rsidRDefault="00182F93">
            <w:pPr>
              <w:cnfStyle w:val="000000000000" w:firstRow="0" w:lastRow="0" w:firstColumn="0" w:lastColumn="0" w:oddVBand="0" w:evenVBand="0" w:oddHBand="0" w:evenHBand="0" w:firstRowFirstColumn="0" w:firstRowLastColumn="0" w:lastRowFirstColumn="0" w:lastRowLastColumn="0"/>
            </w:pPr>
            <w:r>
              <w:t>(407)</w:t>
            </w:r>
          </w:p>
        </w:tc>
        <w:tc>
          <w:tcPr>
            <w:tcW w:w="907" w:type="dxa"/>
            <w:tcBorders>
              <w:bottom w:val="single" w:sz="6" w:space="0" w:color="auto"/>
            </w:tcBorders>
          </w:tcPr>
          <w:p w14:paraId="38B78902" w14:textId="77777777" w:rsidR="00E51EAC" w:rsidRDefault="00182F93">
            <w:pPr>
              <w:cnfStyle w:val="000000000000" w:firstRow="0" w:lastRow="0" w:firstColumn="0" w:lastColumn="0" w:oddVBand="0" w:evenVBand="0" w:oddHBand="0" w:evenHBand="0" w:firstRowFirstColumn="0" w:firstRowLastColumn="0" w:lastRowFirstColumn="0" w:lastRowLastColumn="0"/>
            </w:pPr>
            <w:r>
              <w:t>(544)</w:t>
            </w:r>
          </w:p>
        </w:tc>
      </w:tr>
      <w:tr w:rsidR="00E51EAC" w14:paraId="5F490A1D"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EB66EEA" w14:textId="77777777" w:rsidR="00E51EAC" w:rsidRDefault="00182F93">
            <w:r>
              <w:rPr>
                <w:b/>
              </w:rPr>
              <w:t>Total payments</w:t>
            </w:r>
          </w:p>
        </w:tc>
        <w:tc>
          <w:tcPr>
            <w:tcW w:w="907" w:type="dxa"/>
            <w:tcBorders>
              <w:top w:val="single" w:sz="6" w:space="0" w:color="auto"/>
              <w:bottom w:val="single" w:sz="6" w:space="0" w:color="auto"/>
            </w:tcBorders>
          </w:tcPr>
          <w:p w14:paraId="57C9CED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(21 402)</w:t>
            </w:r>
          </w:p>
        </w:tc>
        <w:tc>
          <w:tcPr>
            <w:tcW w:w="907" w:type="dxa"/>
            <w:tcBorders>
              <w:top w:val="single" w:sz="6" w:space="0" w:color="auto"/>
              <w:bottom w:val="single" w:sz="6" w:space="0" w:color="auto"/>
            </w:tcBorders>
          </w:tcPr>
          <w:p w14:paraId="7411D58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(25 811)</w:t>
            </w:r>
          </w:p>
        </w:tc>
        <w:tc>
          <w:tcPr>
            <w:tcW w:w="907" w:type="dxa"/>
            <w:tcBorders>
              <w:top w:val="single" w:sz="6" w:space="0" w:color="auto"/>
              <w:bottom w:val="single" w:sz="6" w:space="0" w:color="auto"/>
            </w:tcBorders>
          </w:tcPr>
          <w:p w14:paraId="6B3A067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(24 394)</w:t>
            </w:r>
          </w:p>
        </w:tc>
        <w:tc>
          <w:tcPr>
            <w:tcW w:w="907" w:type="dxa"/>
            <w:tcBorders>
              <w:top w:val="single" w:sz="6" w:space="0" w:color="auto"/>
              <w:bottom w:val="single" w:sz="6" w:space="0" w:color="auto"/>
            </w:tcBorders>
          </w:tcPr>
          <w:p w14:paraId="2C17F74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(23 787)</w:t>
            </w:r>
          </w:p>
        </w:tc>
        <w:tc>
          <w:tcPr>
            <w:tcW w:w="907" w:type="dxa"/>
            <w:tcBorders>
              <w:top w:val="single" w:sz="6" w:space="0" w:color="auto"/>
              <w:bottom w:val="single" w:sz="6" w:space="0" w:color="auto"/>
            </w:tcBorders>
          </w:tcPr>
          <w:p w14:paraId="2E75263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(23 482)</w:t>
            </w:r>
          </w:p>
        </w:tc>
      </w:tr>
      <w:tr w:rsidR="00E51EAC" w14:paraId="339FE2A9"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015E277" w14:textId="77777777" w:rsidR="00E51EAC" w:rsidRDefault="00182F93">
            <w:r>
              <w:rPr>
                <w:b/>
              </w:rPr>
              <w:t>Net cash flows from operating activities</w:t>
            </w:r>
          </w:p>
        </w:tc>
        <w:tc>
          <w:tcPr>
            <w:tcW w:w="907" w:type="dxa"/>
            <w:tcBorders>
              <w:top w:val="single" w:sz="6" w:space="0" w:color="auto"/>
            </w:tcBorders>
          </w:tcPr>
          <w:p w14:paraId="329DA03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5 639</w:t>
            </w:r>
          </w:p>
        </w:tc>
        <w:tc>
          <w:tcPr>
            <w:tcW w:w="907" w:type="dxa"/>
            <w:tcBorders>
              <w:top w:val="single" w:sz="6" w:space="0" w:color="auto"/>
            </w:tcBorders>
          </w:tcPr>
          <w:p w14:paraId="6418EFB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(1 908)</w:t>
            </w:r>
          </w:p>
        </w:tc>
        <w:tc>
          <w:tcPr>
            <w:tcW w:w="907" w:type="dxa"/>
            <w:tcBorders>
              <w:top w:val="single" w:sz="6" w:space="0" w:color="auto"/>
            </w:tcBorders>
          </w:tcPr>
          <w:p w14:paraId="2BB0479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41</w:t>
            </w:r>
          </w:p>
        </w:tc>
        <w:tc>
          <w:tcPr>
            <w:tcW w:w="907" w:type="dxa"/>
            <w:tcBorders>
              <w:top w:val="single" w:sz="6" w:space="0" w:color="auto"/>
            </w:tcBorders>
          </w:tcPr>
          <w:p w14:paraId="24B77A7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59</w:t>
            </w:r>
          </w:p>
        </w:tc>
        <w:tc>
          <w:tcPr>
            <w:tcW w:w="907" w:type="dxa"/>
            <w:tcBorders>
              <w:top w:val="single" w:sz="6" w:space="0" w:color="auto"/>
            </w:tcBorders>
          </w:tcPr>
          <w:p w14:paraId="2DE1344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5 041</w:t>
            </w:r>
          </w:p>
        </w:tc>
      </w:tr>
      <w:tr w:rsidR="00E51EAC" w14:paraId="6F955B47" w14:textId="77777777">
        <w:tc>
          <w:tcPr>
            <w:cnfStyle w:val="001000000000" w:firstRow="0" w:lastRow="0" w:firstColumn="1" w:lastColumn="0" w:oddVBand="0" w:evenVBand="0" w:oddHBand="0" w:evenHBand="0" w:firstRowFirstColumn="0" w:firstRowLastColumn="0" w:lastRowFirstColumn="0" w:lastRowLastColumn="0"/>
            <w:tcW w:w="5103" w:type="dxa"/>
          </w:tcPr>
          <w:p w14:paraId="17C736D4" w14:textId="77777777" w:rsidR="00E51EAC" w:rsidRDefault="00182F93">
            <w:r>
              <w:rPr>
                <w:b/>
              </w:rPr>
              <w:t>Cash flows from investing activities</w:t>
            </w:r>
          </w:p>
        </w:tc>
        <w:tc>
          <w:tcPr>
            <w:tcW w:w="907" w:type="dxa"/>
          </w:tcPr>
          <w:p w14:paraId="508F16C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1C6A30E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0E3E35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1965CE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075BB0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06FAC540" w14:textId="77777777">
        <w:tc>
          <w:tcPr>
            <w:cnfStyle w:val="001000000000" w:firstRow="0" w:lastRow="0" w:firstColumn="1" w:lastColumn="0" w:oddVBand="0" w:evenVBand="0" w:oddHBand="0" w:evenHBand="0" w:firstRowFirstColumn="0" w:firstRowLastColumn="0" w:lastRowFirstColumn="0" w:lastRowLastColumn="0"/>
            <w:tcW w:w="5103" w:type="dxa"/>
          </w:tcPr>
          <w:p w14:paraId="4FDB9B51" w14:textId="77777777" w:rsidR="00E51EAC" w:rsidRDefault="00182F93">
            <w:r>
              <w:rPr>
                <w:b/>
              </w:rPr>
              <w:t>Cash flows from investments in non</w:t>
            </w:r>
            <w:r>
              <w:rPr>
                <w:b/>
              </w:rPr>
              <w:noBreakHyphen/>
              <w:t>financial assets</w:t>
            </w:r>
          </w:p>
        </w:tc>
        <w:tc>
          <w:tcPr>
            <w:tcW w:w="907" w:type="dxa"/>
          </w:tcPr>
          <w:p w14:paraId="36E25B4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24D3848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618F5C65"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3D8817B"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33EC300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6D9DF943" w14:textId="77777777">
        <w:tc>
          <w:tcPr>
            <w:cnfStyle w:val="001000000000" w:firstRow="0" w:lastRow="0" w:firstColumn="1" w:lastColumn="0" w:oddVBand="0" w:evenVBand="0" w:oddHBand="0" w:evenHBand="0" w:firstRowFirstColumn="0" w:firstRowLastColumn="0" w:lastRowFirstColumn="0" w:lastRowLastColumn="0"/>
            <w:tcW w:w="5103" w:type="dxa"/>
          </w:tcPr>
          <w:p w14:paraId="5D6DD9C7" w14:textId="77777777" w:rsidR="00E51EAC" w:rsidRDefault="00182F93">
            <w:r>
              <w:t>Purchases of non</w:t>
            </w:r>
            <w:r>
              <w:noBreakHyphen/>
              <w:t>financial assets</w:t>
            </w:r>
          </w:p>
        </w:tc>
        <w:tc>
          <w:tcPr>
            <w:tcW w:w="907" w:type="dxa"/>
          </w:tcPr>
          <w:p w14:paraId="5A48839A" w14:textId="77777777" w:rsidR="00E51EAC" w:rsidRDefault="00182F93">
            <w:pPr>
              <w:cnfStyle w:val="000000000000" w:firstRow="0" w:lastRow="0" w:firstColumn="0" w:lastColumn="0" w:oddVBand="0" w:evenVBand="0" w:oddHBand="0" w:evenHBand="0" w:firstRowFirstColumn="0" w:firstRowLastColumn="0" w:lastRowFirstColumn="0" w:lastRowLastColumn="0"/>
            </w:pPr>
            <w:r>
              <w:t>(4 845)</w:t>
            </w:r>
          </w:p>
        </w:tc>
        <w:tc>
          <w:tcPr>
            <w:tcW w:w="907" w:type="dxa"/>
          </w:tcPr>
          <w:p w14:paraId="2AEDA2C2" w14:textId="77777777" w:rsidR="00E51EAC" w:rsidRDefault="00182F93">
            <w:pPr>
              <w:cnfStyle w:val="000000000000" w:firstRow="0" w:lastRow="0" w:firstColumn="0" w:lastColumn="0" w:oddVBand="0" w:evenVBand="0" w:oddHBand="0" w:evenHBand="0" w:firstRowFirstColumn="0" w:firstRowLastColumn="0" w:lastRowFirstColumn="0" w:lastRowLastColumn="0"/>
            </w:pPr>
            <w:r>
              <w:t>(4 085)</w:t>
            </w:r>
          </w:p>
        </w:tc>
        <w:tc>
          <w:tcPr>
            <w:tcW w:w="907" w:type="dxa"/>
          </w:tcPr>
          <w:p w14:paraId="7989B0F5" w14:textId="77777777" w:rsidR="00E51EAC" w:rsidRDefault="00182F93">
            <w:pPr>
              <w:cnfStyle w:val="000000000000" w:firstRow="0" w:lastRow="0" w:firstColumn="0" w:lastColumn="0" w:oddVBand="0" w:evenVBand="0" w:oddHBand="0" w:evenHBand="0" w:firstRowFirstColumn="0" w:firstRowLastColumn="0" w:lastRowFirstColumn="0" w:lastRowLastColumn="0"/>
            </w:pPr>
            <w:r>
              <w:t>(4 758)</w:t>
            </w:r>
          </w:p>
        </w:tc>
        <w:tc>
          <w:tcPr>
            <w:tcW w:w="907" w:type="dxa"/>
          </w:tcPr>
          <w:p w14:paraId="3256A7F5" w14:textId="77777777" w:rsidR="00E51EAC" w:rsidRDefault="00182F93">
            <w:pPr>
              <w:cnfStyle w:val="000000000000" w:firstRow="0" w:lastRow="0" w:firstColumn="0" w:lastColumn="0" w:oddVBand="0" w:evenVBand="0" w:oddHBand="0" w:evenHBand="0" w:firstRowFirstColumn="0" w:firstRowLastColumn="0" w:lastRowFirstColumn="0" w:lastRowLastColumn="0"/>
            </w:pPr>
            <w:r>
              <w:t>(3 290)</w:t>
            </w:r>
          </w:p>
        </w:tc>
        <w:tc>
          <w:tcPr>
            <w:tcW w:w="907" w:type="dxa"/>
          </w:tcPr>
          <w:p w14:paraId="41762CB5" w14:textId="77777777" w:rsidR="00E51EAC" w:rsidRDefault="00182F93">
            <w:pPr>
              <w:cnfStyle w:val="000000000000" w:firstRow="0" w:lastRow="0" w:firstColumn="0" w:lastColumn="0" w:oddVBand="0" w:evenVBand="0" w:oddHBand="0" w:evenHBand="0" w:firstRowFirstColumn="0" w:firstRowLastColumn="0" w:lastRowFirstColumn="0" w:lastRowLastColumn="0"/>
            </w:pPr>
            <w:r>
              <w:t>(4 087)</w:t>
            </w:r>
          </w:p>
        </w:tc>
      </w:tr>
      <w:tr w:rsidR="00E51EAC" w14:paraId="61159703"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070738D" w14:textId="77777777" w:rsidR="00E51EAC" w:rsidRDefault="00182F93">
            <w:r>
              <w:t>Sales of non</w:t>
            </w:r>
            <w:r>
              <w:noBreakHyphen/>
              <w:t>financial assets</w:t>
            </w:r>
          </w:p>
        </w:tc>
        <w:tc>
          <w:tcPr>
            <w:tcW w:w="907" w:type="dxa"/>
            <w:tcBorders>
              <w:bottom w:val="single" w:sz="6" w:space="0" w:color="auto"/>
            </w:tcBorders>
          </w:tcPr>
          <w:p w14:paraId="550DDDEF" w14:textId="77777777" w:rsidR="00E51EAC" w:rsidRDefault="00182F93">
            <w:pPr>
              <w:cnfStyle w:val="000000000000" w:firstRow="0" w:lastRow="0" w:firstColumn="0" w:lastColumn="0" w:oddVBand="0" w:evenVBand="0" w:oddHBand="0" w:evenHBand="0" w:firstRowFirstColumn="0" w:firstRowLastColumn="0" w:lastRowFirstColumn="0" w:lastRowLastColumn="0"/>
            </w:pPr>
            <w:r>
              <w:t>143</w:t>
            </w:r>
          </w:p>
        </w:tc>
        <w:tc>
          <w:tcPr>
            <w:tcW w:w="907" w:type="dxa"/>
            <w:tcBorders>
              <w:bottom w:val="single" w:sz="6" w:space="0" w:color="auto"/>
            </w:tcBorders>
          </w:tcPr>
          <w:p w14:paraId="10080161" w14:textId="77777777" w:rsidR="00E51EAC" w:rsidRDefault="00182F93">
            <w:pPr>
              <w:cnfStyle w:val="000000000000" w:firstRow="0" w:lastRow="0" w:firstColumn="0" w:lastColumn="0" w:oddVBand="0" w:evenVBand="0" w:oddHBand="0" w:evenHBand="0" w:firstRowFirstColumn="0" w:firstRowLastColumn="0" w:lastRowFirstColumn="0" w:lastRowLastColumn="0"/>
            </w:pPr>
            <w:r>
              <w:t>48</w:t>
            </w:r>
          </w:p>
        </w:tc>
        <w:tc>
          <w:tcPr>
            <w:tcW w:w="907" w:type="dxa"/>
            <w:tcBorders>
              <w:bottom w:val="single" w:sz="6" w:space="0" w:color="auto"/>
            </w:tcBorders>
          </w:tcPr>
          <w:p w14:paraId="1E299AC4" w14:textId="77777777" w:rsidR="00E51EAC" w:rsidRDefault="00182F93">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3D231158" w14:textId="77777777" w:rsidR="00E51EAC" w:rsidRDefault="00182F93">
            <w:pPr>
              <w:cnfStyle w:val="000000000000" w:firstRow="0" w:lastRow="0" w:firstColumn="0" w:lastColumn="0" w:oddVBand="0" w:evenVBand="0" w:oddHBand="0" w:evenHBand="0" w:firstRowFirstColumn="0" w:firstRowLastColumn="0" w:lastRowFirstColumn="0" w:lastRowLastColumn="0"/>
            </w:pPr>
            <w:r>
              <w:t>55</w:t>
            </w:r>
          </w:p>
        </w:tc>
        <w:tc>
          <w:tcPr>
            <w:tcW w:w="907" w:type="dxa"/>
            <w:tcBorders>
              <w:bottom w:val="single" w:sz="6" w:space="0" w:color="auto"/>
            </w:tcBorders>
          </w:tcPr>
          <w:p w14:paraId="055D2308" w14:textId="77777777" w:rsidR="00E51EAC" w:rsidRDefault="00182F93">
            <w:pPr>
              <w:cnfStyle w:val="000000000000" w:firstRow="0" w:lastRow="0" w:firstColumn="0" w:lastColumn="0" w:oddVBand="0" w:evenVBand="0" w:oddHBand="0" w:evenHBand="0" w:firstRowFirstColumn="0" w:firstRowLastColumn="0" w:lastRowFirstColumn="0" w:lastRowLastColumn="0"/>
            </w:pPr>
            <w:r>
              <w:t>76</w:t>
            </w:r>
          </w:p>
        </w:tc>
      </w:tr>
      <w:tr w:rsidR="00E51EAC" w14:paraId="7315C9ED"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44F3545" w14:textId="77777777" w:rsidR="00E51EAC" w:rsidRDefault="00182F93">
            <w:r>
              <w:rPr>
                <w:b/>
              </w:rPr>
              <w:t>Net cash flows from investments in non</w:t>
            </w:r>
            <w:r>
              <w:rPr>
                <w:b/>
              </w:rPr>
              <w:noBreakHyphen/>
              <w:t>financial assets</w:t>
            </w:r>
          </w:p>
        </w:tc>
        <w:tc>
          <w:tcPr>
            <w:tcW w:w="907" w:type="dxa"/>
            <w:tcBorders>
              <w:top w:val="single" w:sz="6" w:space="0" w:color="auto"/>
            </w:tcBorders>
          </w:tcPr>
          <w:p w14:paraId="3DBB501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(4 702)</w:t>
            </w:r>
          </w:p>
        </w:tc>
        <w:tc>
          <w:tcPr>
            <w:tcW w:w="907" w:type="dxa"/>
            <w:tcBorders>
              <w:top w:val="single" w:sz="6" w:space="0" w:color="auto"/>
            </w:tcBorders>
          </w:tcPr>
          <w:p w14:paraId="55FD3D4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(4 037)</w:t>
            </w:r>
          </w:p>
        </w:tc>
        <w:tc>
          <w:tcPr>
            <w:tcW w:w="907" w:type="dxa"/>
            <w:tcBorders>
              <w:top w:val="single" w:sz="6" w:space="0" w:color="auto"/>
            </w:tcBorders>
          </w:tcPr>
          <w:p w14:paraId="6F24B75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(4 705)</w:t>
            </w:r>
          </w:p>
        </w:tc>
        <w:tc>
          <w:tcPr>
            <w:tcW w:w="907" w:type="dxa"/>
            <w:tcBorders>
              <w:top w:val="single" w:sz="6" w:space="0" w:color="auto"/>
            </w:tcBorders>
          </w:tcPr>
          <w:p w14:paraId="6E9A69A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(3 235)</w:t>
            </w:r>
          </w:p>
        </w:tc>
        <w:tc>
          <w:tcPr>
            <w:tcW w:w="907" w:type="dxa"/>
            <w:tcBorders>
              <w:top w:val="single" w:sz="6" w:space="0" w:color="auto"/>
            </w:tcBorders>
          </w:tcPr>
          <w:p w14:paraId="34D539C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(4 011)</w:t>
            </w:r>
          </w:p>
        </w:tc>
      </w:tr>
      <w:tr w:rsidR="00E51EAC" w14:paraId="042E8460"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25F06C01" w14:textId="77777777" w:rsidR="00E51EAC" w:rsidRDefault="00182F93">
            <w:r>
              <w:t>Net cash flows from investments in financial assets for policy purposes</w:t>
            </w:r>
          </w:p>
        </w:tc>
        <w:tc>
          <w:tcPr>
            <w:tcW w:w="907" w:type="dxa"/>
            <w:tcBorders>
              <w:bottom w:val="single" w:sz="6" w:space="0" w:color="auto"/>
            </w:tcBorders>
          </w:tcPr>
          <w:p w14:paraId="136C3337" w14:textId="77777777" w:rsidR="00E51EAC" w:rsidRDefault="00182F93">
            <w:pPr>
              <w:cnfStyle w:val="000000000000" w:firstRow="0" w:lastRow="0" w:firstColumn="0" w:lastColumn="0" w:oddVBand="0" w:evenVBand="0" w:oddHBand="0" w:evenHBand="0" w:firstRowFirstColumn="0" w:firstRowLastColumn="0" w:lastRowFirstColumn="0" w:lastRowLastColumn="0"/>
            </w:pPr>
            <w:r>
              <w:t>(942)</w:t>
            </w:r>
          </w:p>
        </w:tc>
        <w:tc>
          <w:tcPr>
            <w:tcW w:w="907" w:type="dxa"/>
            <w:tcBorders>
              <w:bottom w:val="single" w:sz="6" w:space="0" w:color="auto"/>
            </w:tcBorders>
          </w:tcPr>
          <w:p w14:paraId="38F57815" w14:textId="77777777" w:rsidR="00E51EAC" w:rsidRDefault="00182F93">
            <w:pPr>
              <w:cnfStyle w:val="000000000000" w:firstRow="0" w:lastRow="0" w:firstColumn="0" w:lastColumn="0" w:oddVBand="0" w:evenVBand="0" w:oddHBand="0" w:evenHBand="0" w:firstRowFirstColumn="0" w:firstRowLastColumn="0" w:lastRowFirstColumn="0" w:lastRowLastColumn="0"/>
            </w:pPr>
            <w:r>
              <w:t>(820)</w:t>
            </w:r>
          </w:p>
        </w:tc>
        <w:tc>
          <w:tcPr>
            <w:tcW w:w="907" w:type="dxa"/>
            <w:tcBorders>
              <w:bottom w:val="single" w:sz="6" w:space="0" w:color="auto"/>
            </w:tcBorders>
          </w:tcPr>
          <w:p w14:paraId="3C0C92D3" w14:textId="77777777" w:rsidR="00E51EAC" w:rsidRDefault="00182F93">
            <w:pPr>
              <w:cnfStyle w:val="000000000000" w:firstRow="0" w:lastRow="0" w:firstColumn="0" w:lastColumn="0" w:oddVBand="0" w:evenVBand="0" w:oddHBand="0" w:evenHBand="0" w:firstRowFirstColumn="0" w:firstRowLastColumn="0" w:lastRowFirstColumn="0" w:lastRowLastColumn="0"/>
            </w:pPr>
            <w:r>
              <w:t>(1 161)</w:t>
            </w:r>
          </w:p>
        </w:tc>
        <w:tc>
          <w:tcPr>
            <w:tcW w:w="907" w:type="dxa"/>
            <w:tcBorders>
              <w:bottom w:val="single" w:sz="6" w:space="0" w:color="auto"/>
            </w:tcBorders>
          </w:tcPr>
          <w:p w14:paraId="49697049" w14:textId="77777777" w:rsidR="00E51EAC" w:rsidRDefault="00182F93">
            <w:pPr>
              <w:cnfStyle w:val="000000000000" w:firstRow="0" w:lastRow="0" w:firstColumn="0" w:lastColumn="0" w:oddVBand="0" w:evenVBand="0" w:oddHBand="0" w:evenHBand="0" w:firstRowFirstColumn="0" w:firstRowLastColumn="0" w:lastRowFirstColumn="0" w:lastRowLastColumn="0"/>
            </w:pPr>
            <w:r>
              <w:t>(569)</w:t>
            </w:r>
          </w:p>
        </w:tc>
        <w:tc>
          <w:tcPr>
            <w:tcW w:w="907" w:type="dxa"/>
            <w:tcBorders>
              <w:bottom w:val="single" w:sz="6" w:space="0" w:color="auto"/>
            </w:tcBorders>
          </w:tcPr>
          <w:p w14:paraId="6D056CDE" w14:textId="77777777" w:rsidR="00E51EAC" w:rsidRDefault="00182F93">
            <w:pPr>
              <w:cnfStyle w:val="000000000000" w:firstRow="0" w:lastRow="0" w:firstColumn="0" w:lastColumn="0" w:oddVBand="0" w:evenVBand="0" w:oddHBand="0" w:evenHBand="0" w:firstRowFirstColumn="0" w:firstRowLastColumn="0" w:lastRowFirstColumn="0" w:lastRowLastColumn="0"/>
            </w:pPr>
            <w:r>
              <w:t>(1 081)</w:t>
            </w:r>
          </w:p>
        </w:tc>
      </w:tr>
      <w:tr w:rsidR="00E51EAC" w14:paraId="209124DB"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079916F1" w14:textId="77777777" w:rsidR="00E51EAC" w:rsidRDefault="00182F93">
            <w:r>
              <w:rPr>
                <w:b/>
              </w:rPr>
              <w:t>Sub</w:t>
            </w:r>
            <w:r>
              <w:rPr>
                <w:b/>
              </w:rPr>
              <w:noBreakHyphen/>
              <w:t>total</w:t>
            </w:r>
          </w:p>
        </w:tc>
        <w:tc>
          <w:tcPr>
            <w:tcW w:w="907" w:type="dxa"/>
            <w:tcBorders>
              <w:top w:val="single" w:sz="6" w:space="0" w:color="auto"/>
            </w:tcBorders>
          </w:tcPr>
          <w:p w14:paraId="1711DAA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(5 644)</w:t>
            </w:r>
          </w:p>
        </w:tc>
        <w:tc>
          <w:tcPr>
            <w:tcW w:w="907" w:type="dxa"/>
            <w:tcBorders>
              <w:top w:val="single" w:sz="6" w:space="0" w:color="auto"/>
            </w:tcBorders>
          </w:tcPr>
          <w:p w14:paraId="22FD9D2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(4 857)</w:t>
            </w:r>
          </w:p>
        </w:tc>
        <w:tc>
          <w:tcPr>
            <w:tcW w:w="907" w:type="dxa"/>
            <w:tcBorders>
              <w:top w:val="single" w:sz="6" w:space="0" w:color="auto"/>
            </w:tcBorders>
          </w:tcPr>
          <w:p w14:paraId="7683616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(5 866)</w:t>
            </w:r>
          </w:p>
        </w:tc>
        <w:tc>
          <w:tcPr>
            <w:tcW w:w="907" w:type="dxa"/>
            <w:tcBorders>
              <w:top w:val="single" w:sz="6" w:space="0" w:color="auto"/>
            </w:tcBorders>
          </w:tcPr>
          <w:p w14:paraId="293D4E2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(3 804)</w:t>
            </w:r>
          </w:p>
        </w:tc>
        <w:tc>
          <w:tcPr>
            <w:tcW w:w="907" w:type="dxa"/>
            <w:tcBorders>
              <w:top w:val="single" w:sz="6" w:space="0" w:color="auto"/>
            </w:tcBorders>
          </w:tcPr>
          <w:p w14:paraId="2FEC8AA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(5 092)</w:t>
            </w:r>
          </w:p>
        </w:tc>
      </w:tr>
      <w:tr w:rsidR="00E51EAC" w14:paraId="37CCFD19"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B3FB1C2" w14:textId="77777777" w:rsidR="00E51EAC" w:rsidRDefault="00182F93">
            <w:r>
              <w:t>Net cash flows from investments in financial assets for liquidity management purposes</w:t>
            </w:r>
          </w:p>
        </w:tc>
        <w:tc>
          <w:tcPr>
            <w:tcW w:w="907" w:type="dxa"/>
            <w:tcBorders>
              <w:bottom w:val="single" w:sz="6" w:space="0" w:color="auto"/>
            </w:tcBorders>
          </w:tcPr>
          <w:p w14:paraId="55935543" w14:textId="77777777" w:rsidR="00E51EAC" w:rsidRDefault="00182F93">
            <w:pPr>
              <w:cnfStyle w:val="000000000000" w:firstRow="0" w:lastRow="0" w:firstColumn="0" w:lastColumn="0" w:oddVBand="0" w:evenVBand="0" w:oddHBand="0" w:evenHBand="0" w:firstRowFirstColumn="0" w:firstRowLastColumn="0" w:lastRowFirstColumn="0" w:lastRowLastColumn="0"/>
            </w:pPr>
            <w:r>
              <w:t>(496)</w:t>
            </w:r>
          </w:p>
        </w:tc>
        <w:tc>
          <w:tcPr>
            <w:tcW w:w="907" w:type="dxa"/>
            <w:tcBorders>
              <w:bottom w:val="single" w:sz="6" w:space="0" w:color="auto"/>
            </w:tcBorders>
          </w:tcPr>
          <w:p w14:paraId="103AD9DD" w14:textId="77777777" w:rsidR="00E51EAC" w:rsidRDefault="00182F93">
            <w:pPr>
              <w:cnfStyle w:val="000000000000" w:firstRow="0" w:lastRow="0" w:firstColumn="0" w:lastColumn="0" w:oddVBand="0" w:evenVBand="0" w:oddHBand="0" w:evenHBand="0" w:firstRowFirstColumn="0" w:firstRowLastColumn="0" w:lastRowFirstColumn="0" w:lastRowLastColumn="0"/>
            </w:pPr>
            <w:r>
              <w:t>(731)</w:t>
            </w:r>
          </w:p>
        </w:tc>
        <w:tc>
          <w:tcPr>
            <w:tcW w:w="907" w:type="dxa"/>
            <w:tcBorders>
              <w:bottom w:val="single" w:sz="6" w:space="0" w:color="auto"/>
            </w:tcBorders>
          </w:tcPr>
          <w:p w14:paraId="3CC4A3B0" w14:textId="77777777" w:rsidR="00E51EAC" w:rsidRDefault="00182F93">
            <w:pPr>
              <w:cnfStyle w:val="000000000000" w:firstRow="0" w:lastRow="0" w:firstColumn="0" w:lastColumn="0" w:oddVBand="0" w:evenVBand="0" w:oddHBand="0" w:evenHBand="0" w:firstRowFirstColumn="0" w:firstRowLastColumn="0" w:lastRowFirstColumn="0" w:lastRowLastColumn="0"/>
            </w:pPr>
            <w:r>
              <w:t>(400)</w:t>
            </w:r>
          </w:p>
        </w:tc>
        <w:tc>
          <w:tcPr>
            <w:tcW w:w="907" w:type="dxa"/>
            <w:tcBorders>
              <w:bottom w:val="single" w:sz="6" w:space="0" w:color="auto"/>
            </w:tcBorders>
          </w:tcPr>
          <w:p w14:paraId="5EC87DD0" w14:textId="77777777" w:rsidR="00E51EAC" w:rsidRDefault="00182F93">
            <w:pPr>
              <w:cnfStyle w:val="000000000000" w:firstRow="0" w:lastRow="0" w:firstColumn="0" w:lastColumn="0" w:oddVBand="0" w:evenVBand="0" w:oddHBand="0" w:evenHBand="0" w:firstRowFirstColumn="0" w:firstRowLastColumn="0" w:lastRowFirstColumn="0" w:lastRowLastColumn="0"/>
            </w:pPr>
            <w:r>
              <w:t>(126)</w:t>
            </w:r>
          </w:p>
        </w:tc>
        <w:tc>
          <w:tcPr>
            <w:tcW w:w="907" w:type="dxa"/>
            <w:tcBorders>
              <w:bottom w:val="single" w:sz="6" w:space="0" w:color="auto"/>
            </w:tcBorders>
          </w:tcPr>
          <w:p w14:paraId="4C8F7D76" w14:textId="77777777" w:rsidR="00E51EAC" w:rsidRDefault="00182F93">
            <w:pPr>
              <w:cnfStyle w:val="000000000000" w:firstRow="0" w:lastRow="0" w:firstColumn="0" w:lastColumn="0" w:oddVBand="0" w:evenVBand="0" w:oddHBand="0" w:evenHBand="0" w:firstRowFirstColumn="0" w:firstRowLastColumn="0" w:lastRowFirstColumn="0" w:lastRowLastColumn="0"/>
            </w:pPr>
            <w:r>
              <w:t>(460)</w:t>
            </w:r>
          </w:p>
        </w:tc>
      </w:tr>
      <w:tr w:rsidR="00E51EAC" w14:paraId="15258891"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4E166AC5" w14:textId="77777777" w:rsidR="00E51EAC" w:rsidRDefault="00182F93">
            <w:r>
              <w:rPr>
                <w:b/>
              </w:rPr>
              <w:t>Net cash flows from investing activities</w:t>
            </w:r>
          </w:p>
        </w:tc>
        <w:tc>
          <w:tcPr>
            <w:tcW w:w="907" w:type="dxa"/>
            <w:tcBorders>
              <w:top w:val="single" w:sz="6" w:space="0" w:color="auto"/>
            </w:tcBorders>
          </w:tcPr>
          <w:p w14:paraId="4D0AD45E"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(6 140)</w:t>
            </w:r>
          </w:p>
        </w:tc>
        <w:tc>
          <w:tcPr>
            <w:tcW w:w="907" w:type="dxa"/>
            <w:tcBorders>
              <w:top w:val="single" w:sz="6" w:space="0" w:color="auto"/>
            </w:tcBorders>
          </w:tcPr>
          <w:p w14:paraId="3381FAF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(5 588)</w:t>
            </w:r>
          </w:p>
        </w:tc>
        <w:tc>
          <w:tcPr>
            <w:tcW w:w="907" w:type="dxa"/>
            <w:tcBorders>
              <w:top w:val="single" w:sz="6" w:space="0" w:color="auto"/>
            </w:tcBorders>
          </w:tcPr>
          <w:p w14:paraId="1C85568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(6 266)</w:t>
            </w:r>
          </w:p>
        </w:tc>
        <w:tc>
          <w:tcPr>
            <w:tcW w:w="907" w:type="dxa"/>
            <w:tcBorders>
              <w:top w:val="single" w:sz="6" w:space="0" w:color="auto"/>
            </w:tcBorders>
          </w:tcPr>
          <w:p w14:paraId="42565F5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(3 931)</w:t>
            </w:r>
          </w:p>
        </w:tc>
        <w:tc>
          <w:tcPr>
            <w:tcW w:w="907" w:type="dxa"/>
            <w:tcBorders>
              <w:top w:val="single" w:sz="6" w:space="0" w:color="auto"/>
            </w:tcBorders>
          </w:tcPr>
          <w:p w14:paraId="0694CA6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(5 552)</w:t>
            </w:r>
          </w:p>
        </w:tc>
      </w:tr>
      <w:tr w:rsidR="00E51EAC" w14:paraId="2786D86D" w14:textId="77777777">
        <w:tc>
          <w:tcPr>
            <w:cnfStyle w:val="001000000000" w:firstRow="0" w:lastRow="0" w:firstColumn="1" w:lastColumn="0" w:oddVBand="0" w:evenVBand="0" w:oddHBand="0" w:evenHBand="0" w:firstRowFirstColumn="0" w:firstRowLastColumn="0" w:lastRowFirstColumn="0" w:lastRowLastColumn="0"/>
            <w:tcW w:w="5103" w:type="dxa"/>
          </w:tcPr>
          <w:p w14:paraId="5BF4F086" w14:textId="77777777" w:rsidR="00E51EAC" w:rsidRDefault="00182F93">
            <w:r>
              <w:rPr>
                <w:b/>
              </w:rPr>
              <w:t>Cash flows from financing activities</w:t>
            </w:r>
          </w:p>
        </w:tc>
        <w:tc>
          <w:tcPr>
            <w:tcW w:w="907" w:type="dxa"/>
          </w:tcPr>
          <w:p w14:paraId="5EBC3A5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76161601"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85729B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2E8F76C"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E68DA2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34A6C21A" w14:textId="77777777">
        <w:tc>
          <w:tcPr>
            <w:cnfStyle w:val="001000000000" w:firstRow="0" w:lastRow="0" w:firstColumn="1" w:lastColumn="0" w:oddVBand="0" w:evenVBand="0" w:oddHBand="0" w:evenHBand="0" w:firstRowFirstColumn="0" w:firstRowLastColumn="0" w:lastRowFirstColumn="0" w:lastRowLastColumn="0"/>
            <w:tcW w:w="5103" w:type="dxa"/>
          </w:tcPr>
          <w:p w14:paraId="7B298C89" w14:textId="77777777" w:rsidR="00E51EAC" w:rsidRDefault="00182F93">
            <w:r>
              <w:t>Advances received (net)</w:t>
            </w:r>
          </w:p>
        </w:tc>
        <w:tc>
          <w:tcPr>
            <w:tcW w:w="907" w:type="dxa"/>
          </w:tcPr>
          <w:p w14:paraId="040153CB" w14:textId="77777777" w:rsidR="00E51EAC" w:rsidRDefault="00182F93">
            <w:pPr>
              <w:cnfStyle w:val="000000000000" w:firstRow="0" w:lastRow="0" w:firstColumn="0" w:lastColumn="0" w:oddVBand="0" w:evenVBand="0" w:oddHBand="0" w:evenHBand="0" w:firstRowFirstColumn="0" w:firstRowLastColumn="0" w:lastRowFirstColumn="0" w:lastRowLastColumn="0"/>
            </w:pPr>
            <w:r>
              <w:t>(211)</w:t>
            </w:r>
          </w:p>
        </w:tc>
        <w:tc>
          <w:tcPr>
            <w:tcW w:w="907" w:type="dxa"/>
          </w:tcPr>
          <w:p w14:paraId="41F83523" w14:textId="77777777" w:rsidR="00E51EAC" w:rsidRDefault="00182F93">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6A1B67DD" w14:textId="77777777" w:rsidR="00E51EAC" w:rsidRDefault="00182F93">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86C758F" w14:textId="77777777" w:rsidR="00E51EAC" w:rsidRDefault="00182F93">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33E6B47C" w14:textId="77777777" w:rsidR="00E51EAC" w:rsidRDefault="00182F93">
            <w:pPr>
              <w:cnfStyle w:val="000000000000" w:firstRow="0" w:lastRow="0" w:firstColumn="0" w:lastColumn="0" w:oddVBand="0" w:evenVBand="0" w:oddHBand="0" w:evenHBand="0" w:firstRowFirstColumn="0" w:firstRowLastColumn="0" w:lastRowFirstColumn="0" w:lastRowLastColumn="0"/>
            </w:pPr>
            <w:r>
              <w:t>50</w:t>
            </w:r>
          </w:p>
        </w:tc>
      </w:tr>
      <w:tr w:rsidR="00E51EAC" w14:paraId="4C1D0F9F" w14:textId="77777777">
        <w:tc>
          <w:tcPr>
            <w:cnfStyle w:val="001000000000" w:firstRow="0" w:lastRow="0" w:firstColumn="1" w:lastColumn="0" w:oddVBand="0" w:evenVBand="0" w:oddHBand="0" w:evenHBand="0" w:firstRowFirstColumn="0" w:firstRowLastColumn="0" w:lastRowFirstColumn="0" w:lastRowLastColumn="0"/>
            <w:tcW w:w="5103" w:type="dxa"/>
          </w:tcPr>
          <w:p w14:paraId="7C713D1A" w14:textId="77777777" w:rsidR="00E51EAC" w:rsidRDefault="00182F93">
            <w:r>
              <w:t>Net borrowings</w:t>
            </w:r>
          </w:p>
        </w:tc>
        <w:tc>
          <w:tcPr>
            <w:tcW w:w="907" w:type="dxa"/>
          </w:tcPr>
          <w:p w14:paraId="1F421099" w14:textId="77777777" w:rsidR="00E51EAC" w:rsidRDefault="00182F93">
            <w:pPr>
              <w:cnfStyle w:val="000000000000" w:firstRow="0" w:lastRow="0" w:firstColumn="0" w:lastColumn="0" w:oddVBand="0" w:evenVBand="0" w:oddHBand="0" w:evenHBand="0" w:firstRowFirstColumn="0" w:firstRowLastColumn="0" w:lastRowFirstColumn="0" w:lastRowLastColumn="0"/>
            </w:pPr>
            <w:r>
              <w:t>1 486</w:t>
            </w:r>
          </w:p>
        </w:tc>
        <w:tc>
          <w:tcPr>
            <w:tcW w:w="907" w:type="dxa"/>
          </w:tcPr>
          <w:p w14:paraId="448384B0" w14:textId="77777777" w:rsidR="00E51EAC" w:rsidRDefault="00182F93">
            <w:pPr>
              <w:cnfStyle w:val="000000000000" w:firstRow="0" w:lastRow="0" w:firstColumn="0" w:lastColumn="0" w:oddVBand="0" w:evenVBand="0" w:oddHBand="0" w:evenHBand="0" w:firstRowFirstColumn="0" w:firstRowLastColumn="0" w:lastRowFirstColumn="0" w:lastRowLastColumn="0"/>
            </w:pPr>
            <w:r>
              <w:t>7 465</w:t>
            </w:r>
          </w:p>
        </w:tc>
        <w:tc>
          <w:tcPr>
            <w:tcW w:w="907" w:type="dxa"/>
          </w:tcPr>
          <w:p w14:paraId="04863C3E" w14:textId="77777777" w:rsidR="00E51EAC" w:rsidRDefault="00182F93">
            <w:pPr>
              <w:cnfStyle w:val="000000000000" w:firstRow="0" w:lastRow="0" w:firstColumn="0" w:lastColumn="0" w:oddVBand="0" w:evenVBand="0" w:oddHBand="0" w:evenHBand="0" w:firstRowFirstColumn="0" w:firstRowLastColumn="0" w:lastRowFirstColumn="0" w:lastRowLastColumn="0"/>
            </w:pPr>
            <w:r>
              <w:t>6 882</w:t>
            </w:r>
          </w:p>
        </w:tc>
        <w:tc>
          <w:tcPr>
            <w:tcW w:w="907" w:type="dxa"/>
          </w:tcPr>
          <w:p w14:paraId="2CC1C402" w14:textId="77777777" w:rsidR="00E51EAC" w:rsidRDefault="00182F93">
            <w:pPr>
              <w:cnfStyle w:val="000000000000" w:firstRow="0" w:lastRow="0" w:firstColumn="0" w:lastColumn="0" w:oddVBand="0" w:evenVBand="0" w:oddHBand="0" w:evenHBand="0" w:firstRowFirstColumn="0" w:firstRowLastColumn="0" w:lastRowFirstColumn="0" w:lastRowLastColumn="0"/>
            </w:pPr>
            <w:r>
              <w:t>2 263</w:t>
            </w:r>
          </w:p>
        </w:tc>
        <w:tc>
          <w:tcPr>
            <w:tcW w:w="907" w:type="dxa"/>
          </w:tcPr>
          <w:p w14:paraId="20893E05" w14:textId="77777777" w:rsidR="00E51EAC" w:rsidRDefault="00182F93">
            <w:pPr>
              <w:cnfStyle w:val="000000000000" w:firstRow="0" w:lastRow="0" w:firstColumn="0" w:lastColumn="0" w:oddVBand="0" w:evenVBand="0" w:oddHBand="0" w:evenHBand="0" w:firstRowFirstColumn="0" w:firstRowLastColumn="0" w:lastRowFirstColumn="0" w:lastRowLastColumn="0"/>
            </w:pPr>
            <w:r>
              <w:t>(87)</w:t>
            </w:r>
          </w:p>
        </w:tc>
      </w:tr>
      <w:tr w:rsidR="00E51EAC" w14:paraId="11FE10A5" w14:textId="77777777">
        <w:tc>
          <w:tcPr>
            <w:cnfStyle w:val="001000000000" w:firstRow="0" w:lastRow="0" w:firstColumn="1" w:lastColumn="0" w:oddVBand="0" w:evenVBand="0" w:oddHBand="0" w:evenHBand="0" w:firstRowFirstColumn="0" w:firstRowLastColumn="0" w:lastRowFirstColumn="0" w:lastRowLastColumn="0"/>
            <w:tcW w:w="5103" w:type="dxa"/>
          </w:tcPr>
          <w:p w14:paraId="11ED1D62" w14:textId="77777777" w:rsidR="00E51EAC" w:rsidRDefault="00182F93">
            <w:r>
              <w:t>Deposits received (net)</w:t>
            </w:r>
          </w:p>
        </w:tc>
        <w:tc>
          <w:tcPr>
            <w:tcW w:w="907" w:type="dxa"/>
          </w:tcPr>
          <w:p w14:paraId="508CEB2D" w14:textId="77777777" w:rsidR="00E51EAC" w:rsidRDefault="00182F93">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9270E7D" w14:textId="77777777" w:rsidR="00E51EAC" w:rsidRDefault="00182F93">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7A63B5E3" w14:textId="77777777" w:rsidR="00E51EAC" w:rsidRDefault="00182F93">
            <w:pPr>
              <w:cnfStyle w:val="000000000000" w:firstRow="0" w:lastRow="0" w:firstColumn="0" w:lastColumn="0" w:oddVBand="0" w:evenVBand="0" w:oddHBand="0" w:evenHBand="0" w:firstRowFirstColumn="0" w:firstRowLastColumn="0" w:lastRowFirstColumn="0" w:lastRowLastColumn="0"/>
            </w:pPr>
            <w:r>
              <w:t>(141)</w:t>
            </w:r>
          </w:p>
        </w:tc>
        <w:tc>
          <w:tcPr>
            <w:tcW w:w="907" w:type="dxa"/>
          </w:tcPr>
          <w:p w14:paraId="5E45B58E" w14:textId="77777777" w:rsidR="00E51EAC" w:rsidRDefault="00182F93">
            <w:pPr>
              <w:cnfStyle w:val="000000000000" w:firstRow="0" w:lastRow="0" w:firstColumn="0" w:lastColumn="0" w:oddVBand="0" w:evenVBand="0" w:oddHBand="0" w:evenHBand="0" w:firstRowFirstColumn="0" w:firstRowLastColumn="0" w:lastRowFirstColumn="0" w:lastRowLastColumn="0"/>
            </w:pPr>
            <w:r>
              <w:t>71</w:t>
            </w:r>
          </w:p>
        </w:tc>
        <w:tc>
          <w:tcPr>
            <w:tcW w:w="907" w:type="dxa"/>
          </w:tcPr>
          <w:p w14:paraId="3352FE99" w14:textId="77777777" w:rsidR="00E51EAC" w:rsidRDefault="00182F93">
            <w:pPr>
              <w:cnfStyle w:val="000000000000" w:firstRow="0" w:lastRow="0" w:firstColumn="0" w:lastColumn="0" w:oddVBand="0" w:evenVBand="0" w:oddHBand="0" w:evenHBand="0" w:firstRowFirstColumn="0" w:firstRowLastColumn="0" w:lastRowFirstColumn="0" w:lastRowLastColumn="0"/>
            </w:pPr>
            <w:r>
              <w:t>50</w:t>
            </w:r>
          </w:p>
        </w:tc>
      </w:tr>
      <w:tr w:rsidR="00E51EAC" w14:paraId="5725834C"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704AEEA6" w14:textId="77777777" w:rsidR="00E51EAC" w:rsidRDefault="00182F93">
            <w:r>
              <w:rPr>
                <w:b/>
              </w:rPr>
              <w:t>Net cash flows from financing activities</w:t>
            </w:r>
          </w:p>
        </w:tc>
        <w:tc>
          <w:tcPr>
            <w:tcW w:w="907" w:type="dxa"/>
            <w:tcBorders>
              <w:top w:val="single" w:sz="6" w:space="0" w:color="auto"/>
              <w:bottom w:val="single" w:sz="6" w:space="0" w:color="auto"/>
            </w:tcBorders>
          </w:tcPr>
          <w:p w14:paraId="05B25ADB"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1 240</w:t>
            </w:r>
          </w:p>
        </w:tc>
        <w:tc>
          <w:tcPr>
            <w:tcW w:w="907" w:type="dxa"/>
            <w:tcBorders>
              <w:top w:val="single" w:sz="6" w:space="0" w:color="auto"/>
              <w:bottom w:val="single" w:sz="6" w:space="0" w:color="auto"/>
            </w:tcBorders>
          </w:tcPr>
          <w:p w14:paraId="26544379"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7 518</w:t>
            </w:r>
          </w:p>
        </w:tc>
        <w:tc>
          <w:tcPr>
            <w:tcW w:w="907" w:type="dxa"/>
            <w:tcBorders>
              <w:top w:val="single" w:sz="6" w:space="0" w:color="auto"/>
              <w:bottom w:val="single" w:sz="6" w:space="0" w:color="auto"/>
            </w:tcBorders>
          </w:tcPr>
          <w:p w14:paraId="09AD507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6 740</w:t>
            </w:r>
          </w:p>
        </w:tc>
        <w:tc>
          <w:tcPr>
            <w:tcW w:w="907" w:type="dxa"/>
            <w:tcBorders>
              <w:top w:val="single" w:sz="6" w:space="0" w:color="auto"/>
              <w:bottom w:val="single" w:sz="6" w:space="0" w:color="auto"/>
            </w:tcBorders>
          </w:tcPr>
          <w:p w14:paraId="58F511CA"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2 322</w:t>
            </w:r>
          </w:p>
        </w:tc>
        <w:tc>
          <w:tcPr>
            <w:tcW w:w="907" w:type="dxa"/>
            <w:tcBorders>
              <w:top w:val="single" w:sz="6" w:space="0" w:color="auto"/>
              <w:bottom w:val="single" w:sz="6" w:space="0" w:color="auto"/>
            </w:tcBorders>
          </w:tcPr>
          <w:p w14:paraId="4CB8586F"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14</w:t>
            </w:r>
          </w:p>
        </w:tc>
      </w:tr>
      <w:tr w:rsidR="00E51EAC" w14:paraId="183A1D52"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552AE6CE" w14:textId="77777777" w:rsidR="00E51EAC" w:rsidRDefault="00182F93">
            <w:r>
              <w:rPr>
                <w:b/>
              </w:rPr>
              <w:t>Net increase/(decrease) in cash and cash equivalents</w:t>
            </w:r>
          </w:p>
        </w:tc>
        <w:tc>
          <w:tcPr>
            <w:tcW w:w="907" w:type="dxa"/>
            <w:tcBorders>
              <w:top w:val="single" w:sz="6" w:space="0" w:color="auto"/>
            </w:tcBorders>
          </w:tcPr>
          <w:p w14:paraId="69E551C3"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738</w:t>
            </w:r>
          </w:p>
        </w:tc>
        <w:tc>
          <w:tcPr>
            <w:tcW w:w="907" w:type="dxa"/>
            <w:tcBorders>
              <w:top w:val="single" w:sz="6" w:space="0" w:color="auto"/>
            </w:tcBorders>
          </w:tcPr>
          <w:p w14:paraId="1D7E996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22</w:t>
            </w:r>
          </w:p>
        </w:tc>
        <w:tc>
          <w:tcPr>
            <w:tcW w:w="907" w:type="dxa"/>
            <w:tcBorders>
              <w:top w:val="single" w:sz="6" w:space="0" w:color="auto"/>
            </w:tcBorders>
          </w:tcPr>
          <w:p w14:paraId="1CCEFB87"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515</w:t>
            </w:r>
          </w:p>
        </w:tc>
        <w:tc>
          <w:tcPr>
            <w:tcW w:w="907" w:type="dxa"/>
            <w:tcBorders>
              <w:top w:val="single" w:sz="6" w:space="0" w:color="auto"/>
            </w:tcBorders>
          </w:tcPr>
          <w:p w14:paraId="4B9422F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(1 550)</w:t>
            </w:r>
          </w:p>
        </w:tc>
        <w:tc>
          <w:tcPr>
            <w:tcW w:w="907" w:type="dxa"/>
            <w:tcBorders>
              <w:top w:val="single" w:sz="6" w:space="0" w:color="auto"/>
            </w:tcBorders>
          </w:tcPr>
          <w:p w14:paraId="0D0F1F8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(497)</w:t>
            </w:r>
          </w:p>
        </w:tc>
      </w:tr>
      <w:tr w:rsidR="00E51EAC" w14:paraId="461C0552"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08839601" w14:textId="77777777" w:rsidR="00E51EAC" w:rsidRDefault="00182F93">
            <w:r>
              <w:t>Cash and cash equivalents at beginning of reporting period</w:t>
            </w:r>
            <w:r>
              <w:rPr>
                <w:vertAlign w:val="superscript"/>
              </w:rPr>
              <w:t xml:space="preserve"> (b)</w:t>
            </w:r>
          </w:p>
        </w:tc>
        <w:tc>
          <w:tcPr>
            <w:tcW w:w="907" w:type="dxa"/>
            <w:tcBorders>
              <w:bottom w:val="single" w:sz="6" w:space="0" w:color="auto"/>
            </w:tcBorders>
          </w:tcPr>
          <w:p w14:paraId="3B1E5538" w14:textId="77777777" w:rsidR="00E51EAC" w:rsidRDefault="00182F93">
            <w:pPr>
              <w:cnfStyle w:val="000000000000" w:firstRow="0" w:lastRow="0" w:firstColumn="0" w:lastColumn="0" w:oddVBand="0" w:evenVBand="0" w:oddHBand="0" w:evenHBand="0" w:firstRowFirstColumn="0" w:firstRowLastColumn="0" w:lastRowFirstColumn="0" w:lastRowLastColumn="0"/>
            </w:pPr>
            <w:r>
              <w:t>13 567</w:t>
            </w:r>
          </w:p>
        </w:tc>
        <w:tc>
          <w:tcPr>
            <w:tcW w:w="907" w:type="dxa"/>
            <w:tcBorders>
              <w:bottom w:val="single" w:sz="6" w:space="0" w:color="auto"/>
            </w:tcBorders>
          </w:tcPr>
          <w:p w14:paraId="15B8094E" w14:textId="77777777" w:rsidR="00E51EAC" w:rsidRDefault="00182F93">
            <w:pPr>
              <w:cnfStyle w:val="000000000000" w:firstRow="0" w:lastRow="0" w:firstColumn="0" w:lastColumn="0" w:oddVBand="0" w:evenVBand="0" w:oddHBand="0" w:evenHBand="0" w:firstRowFirstColumn="0" w:firstRowLastColumn="0" w:lastRowFirstColumn="0" w:lastRowLastColumn="0"/>
            </w:pPr>
            <w:r>
              <w:t>14 310</w:t>
            </w:r>
          </w:p>
        </w:tc>
        <w:tc>
          <w:tcPr>
            <w:tcW w:w="907" w:type="dxa"/>
            <w:tcBorders>
              <w:bottom w:val="single" w:sz="6" w:space="0" w:color="auto"/>
            </w:tcBorders>
          </w:tcPr>
          <w:p w14:paraId="5049C582" w14:textId="77777777" w:rsidR="00E51EAC" w:rsidRDefault="00182F93">
            <w:pPr>
              <w:cnfStyle w:val="000000000000" w:firstRow="0" w:lastRow="0" w:firstColumn="0" w:lastColumn="0" w:oddVBand="0" w:evenVBand="0" w:oddHBand="0" w:evenHBand="0" w:firstRowFirstColumn="0" w:firstRowLastColumn="0" w:lastRowFirstColumn="0" w:lastRowLastColumn="0"/>
            </w:pPr>
            <w:r>
              <w:t>14 332</w:t>
            </w:r>
          </w:p>
        </w:tc>
        <w:tc>
          <w:tcPr>
            <w:tcW w:w="907" w:type="dxa"/>
            <w:tcBorders>
              <w:bottom w:val="single" w:sz="6" w:space="0" w:color="auto"/>
            </w:tcBorders>
          </w:tcPr>
          <w:p w14:paraId="392AF3B4" w14:textId="77777777" w:rsidR="00E51EAC" w:rsidRDefault="00182F93">
            <w:pPr>
              <w:cnfStyle w:val="000000000000" w:firstRow="0" w:lastRow="0" w:firstColumn="0" w:lastColumn="0" w:oddVBand="0" w:evenVBand="0" w:oddHBand="0" w:evenHBand="0" w:firstRowFirstColumn="0" w:firstRowLastColumn="0" w:lastRowFirstColumn="0" w:lastRowLastColumn="0"/>
            </w:pPr>
            <w:r>
              <w:t>14 847</w:t>
            </w:r>
          </w:p>
        </w:tc>
        <w:tc>
          <w:tcPr>
            <w:tcW w:w="907" w:type="dxa"/>
            <w:tcBorders>
              <w:bottom w:val="single" w:sz="6" w:space="0" w:color="auto"/>
            </w:tcBorders>
          </w:tcPr>
          <w:p w14:paraId="3FD41450" w14:textId="77777777" w:rsidR="00E51EAC" w:rsidRDefault="00182F93">
            <w:pPr>
              <w:cnfStyle w:val="000000000000" w:firstRow="0" w:lastRow="0" w:firstColumn="0" w:lastColumn="0" w:oddVBand="0" w:evenVBand="0" w:oddHBand="0" w:evenHBand="0" w:firstRowFirstColumn="0" w:firstRowLastColumn="0" w:lastRowFirstColumn="0" w:lastRowLastColumn="0"/>
            </w:pPr>
            <w:r>
              <w:t>13 297</w:t>
            </w:r>
          </w:p>
        </w:tc>
      </w:tr>
      <w:tr w:rsidR="00E51EAC" w14:paraId="35AF8B65"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C0506D6" w14:textId="77777777" w:rsidR="00E51EAC" w:rsidRDefault="00182F93">
            <w:r>
              <w:rPr>
                <w:b/>
              </w:rPr>
              <w:t>Cash and cash equivalents at end of the reporting period</w:t>
            </w:r>
          </w:p>
        </w:tc>
        <w:tc>
          <w:tcPr>
            <w:tcW w:w="907" w:type="dxa"/>
            <w:tcBorders>
              <w:top w:val="single" w:sz="6" w:space="0" w:color="auto"/>
              <w:bottom w:val="single" w:sz="12" w:space="0" w:color="auto"/>
            </w:tcBorders>
          </w:tcPr>
          <w:p w14:paraId="27E416BC"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14 306</w:t>
            </w:r>
          </w:p>
        </w:tc>
        <w:tc>
          <w:tcPr>
            <w:tcW w:w="907" w:type="dxa"/>
            <w:tcBorders>
              <w:top w:val="single" w:sz="6" w:space="0" w:color="auto"/>
              <w:bottom w:val="single" w:sz="12" w:space="0" w:color="auto"/>
            </w:tcBorders>
          </w:tcPr>
          <w:p w14:paraId="7448FFB6"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14 332</w:t>
            </w:r>
          </w:p>
        </w:tc>
        <w:tc>
          <w:tcPr>
            <w:tcW w:w="907" w:type="dxa"/>
            <w:tcBorders>
              <w:top w:val="single" w:sz="6" w:space="0" w:color="auto"/>
              <w:bottom w:val="single" w:sz="12" w:space="0" w:color="auto"/>
            </w:tcBorders>
          </w:tcPr>
          <w:p w14:paraId="2F86EC0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14 847</w:t>
            </w:r>
          </w:p>
        </w:tc>
        <w:tc>
          <w:tcPr>
            <w:tcW w:w="907" w:type="dxa"/>
            <w:tcBorders>
              <w:top w:val="single" w:sz="6" w:space="0" w:color="auto"/>
              <w:bottom w:val="single" w:sz="12" w:space="0" w:color="auto"/>
            </w:tcBorders>
          </w:tcPr>
          <w:p w14:paraId="66193BE1"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13 297</w:t>
            </w:r>
          </w:p>
        </w:tc>
        <w:tc>
          <w:tcPr>
            <w:tcW w:w="907" w:type="dxa"/>
            <w:tcBorders>
              <w:top w:val="single" w:sz="6" w:space="0" w:color="auto"/>
              <w:bottom w:val="single" w:sz="12" w:space="0" w:color="auto"/>
            </w:tcBorders>
          </w:tcPr>
          <w:p w14:paraId="711B0C30"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12 800</w:t>
            </w:r>
          </w:p>
        </w:tc>
      </w:tr>
      <w:tr w:rsidR="00E51EAC" w14:paraId="36BD5CB1" w14:textId="77777777" w:rsidTr="00E51EAC">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2A836235" w14:textId="77777777" w:rsidR="00E51EAC" w:rsidRDefault="00E51EAC"/>
        </w:tc>
        <w:tc>
          <w:tcPr>
            <w:tcW w:w="907" w:type="dxa"/>
            <w:tcBorders>
              <w:top w:val="single" w:sz="0" w:space="0" w:color="auto"/>
            </w:tcBorders>
          </w:tcPr>
          <w:p w14:paraId="0D5B4DCB"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2C4239D"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399700B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1038602"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F38F28A"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65C287AB" w14:textId="77777777">
        <w:tc>
          <w:tcPr>
            <w:cnfStyle w:val="001000000000" w:firstRow="0" w:lastRow="0" w:firstColumn="1" w:lastColumn="0" w:oddVBand="0" w:evenVBand="0" w:oddHBand="0" w:evenHBand="0" w:firstRowFirstColumn="0" w:firstRowLastColumn="0" w:lastRowFirstColumn="0" w:lastRowLastColumn="0"/>
            <w:tcW w:w="5103" w:type="dxa"/>
          </w:tcPr>
          <w:p w14:paraId="1999D3DC" w14:textId="77777777" w:rsidR="00E51EAC" w:rsidRDefault="00182F93">
            <w:r>
              <w:rPr>
                <w:b/>
              </w:rPr>
              <w:t>FISCAL AGGREGATES</w:t>
            </w:r>
          </w:p>
        </w:tc>
        <w:tc>
          <w:tcPr>
            <w:tcW w:w="907" w:type="dxa"/>
          </w:tcPr>
          <w:p w14:paraId="3D61656E"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5C7D03E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430A9D30"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93D1B19"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c>
          <w:tcPr>
            <w:tcW w:w="907" w:type="dxa"/>
          </w:tcPr>
          <w:p w14:paraId="08454DB3" w14:textId="77777777" w:rsidR="00E51EAC" w:rsidRDefault="00E51EAC">
            <w:pPr>
              <w:cnfStyle w:val="000000000000" w:firstRow="0" w:lastRow="0" w:firstColumn="0" w:lastColumn="0" w:oddVBand="0" w:evenVBand="0" w:oddHBand="0" w:evenHBand="0" w:firstRowFirstColumn="0" w:firstRowLastColumn="0" w:lastRowFirstColumn="0" w:lastRowLastColumn="0"/>
            </w:pPr>
          </w:p>
        </w:tc>
      </w:tr>
      <w:tr w:rsidR="00E51EAC" w14:paraId="27F8118D" w14:textId="77777777">
        <w:tc>
          <w:tcPr>
            <w:cnfStyle w:val="001000000000" w:firstRow="0" w:lastRow="0" w:firstColumn="1" w:lastColumn="0" w:oddVBand="0" w:evenVBand="0" w:oddHBand="0" w:evenHBand="0" w:firstRowFirstColumn="0" w:firstRowLastColumn="0" w:lastRowFirstColumn="0" w:lastRowLastColumn="0"/>
            <w:tcW w:w="5103" w:type="dxa"/>
          </w:tcPr>
          <w:p w14:paraId="72DB9B70" w14:textId="77777777" w:rsidR="00E51EAC" w:rsidRDefault="00182F93">
            <w:r>
              <w:t>Net cash flows from operating activities</w:t>
            </w:r>
          </w:p>
        </w:tc>
        <w:tc>
          <w:tcPr>
            <w:tcW w:w="907" w:type="dxa"/>
          </w:tcPr>
          <w:p w14:paraId="6DE6FC3D" w14:textId="77777777" w:rsidR="00E51EAC" w:rsidRDefault="00182F93">
            <w:pPr>
              <w:cnfStyle w:val="000000000000" w:firstRow="0" w:lastRow="0" w:firstColumn="0" w:lastColumn="0" w:oddVBand="0" w:evenVBand="0" w:oddHBand="0" w:evenHBand="0" w:firstRowFirstColumn="0" w:firstRowLastColumn="0" w:lastRowFirstColumn="0" w:lastRowLastColumn="0"/>
            </w:pPr>
            <w:r>
              <w:t>5 639</w:t>
            </w:r>
          </w:p>
        </w:tc>
        <w:tc>
          <w:tcPr>
            <w:tcW w:w="907" w:type="dxa"/>
          </w:tcPr>
          <w:p w14:paraId="5167A75F" w14:textId="77777777" w:rsidR="00E51EAC" w:rsidRDefault="00182F93">
            <w:pPr>
              <w:cnfStyle w:val="000000000000" w:firstRow="0" w:lastRow="0" w:firstColumn="0" w:lastColumn="0" w:oddVBand="0" w:evenVBand="0" w:oddHBand="0" w:evenHBand="0" w:firstRowFirstColumn="0" w:firstRowLastColumn="0" w:lastRowFirstColumn="0" w:lastRowLastColumn="0"/>
            </w:pPr>
            <w:r>
              <w:t>(1 908)</w:t>
            </w:r>
          </w:p>
        </w:tc>
        <w:tc>
          <w:tcPr>
            <w:tcW w:w="907" w:type="dxa"/>
          </w:tcPr>
          <w:p w14:paraId="108CC10E" w14:textId="77777777" w:rsidR="00E51EAC" w:rsidRDefault="00182F93">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02D6EBE3" w14:textId="77777777" w:rsidR="00E51EAC" w:rsidRDefault="00182F93">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0A2426FB" w14:textId="77777777" w:rsidR="00E51EAC" w:rsidRDefault="00182F93">
            <w:pPr>
              <w:cnfStyle w:val="000000000000" w:firstRow="0" w:lastRow="0" w:firstColumn="0" w:lastColumn="0" w:oddVBand="0" w:evenVBand="0" w:oddHBand="0" w:evenHBand="0" w:firstRowFirstColumn="0" w:firstRowLastColumn="0" w:lastRowFirstColumn="0" w:lastRowLastColumn="0"/>
            </w:pPr>
            <w:r>
              <w:t>5 041</w:t>
            </w:r>
          </w:p>
        </w:tc>
      </w:tr>
      <w:tr w:rsidR="00E51EAC" w14:paraId="3F66AE2C"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2C618B0" w14:textId="77777777" w:rsidR="00E51EAC" w:rsidRDefault="00182F93">
            <w:r>
              <w:t>Net cash flows from investments in non</w:t>
            </w:r>
            <w:r>
              <w:noBreakHyphen/>
              <w:t>financial assets</w:t>
            </w:r>
          </w:p>
        </w:tc>
        <w:tc>
          <w:tcPr>
            <w:tcW w:w="907" w:type="dxa"/>
            <w:tcBorders>
              <w:bottom w:val="single" w:sz="6" w:space="0" w:color="auto"/>
            </w:tcBorders>
          </w:tcPr>
          <w:p w14:paraId="34AE1E06" w14:textId="77777777" w:rsidR="00E51EAC" w:rsidRDefault="00182F93">
            <w:pPr>
              <w:cnfStyle w:val="000000000000" w:firstRow="0" w:lastRow="0" w:firstColumn="0" w:lastColumn="0" w:oddVBand="0" w:evenVBand="0" w:oddHBand="0" w:evenHBand="0" w:firstRowFirstColumn="0" w:firstRowLastColumn="0" w:lastRowFirstColumn="0" w:lastRowLastColumn="0"/>
            </w:pPr>
            <w:r>
              <w:t>(4 702)</w:t>
            </w:r>
          </w:p>
        </w:tc>
        <w:tc>
          <w:tcPr>
            <w:tcW w:w="907" w:type="dxa"/>
            <w:tcBorders>
              <w:bottom w:val="single" w:sz="6" w:space="0" w:color="auto"/>
            </w:tcBorders>
          </w:tcPr>
          <w:p w14:paraId="16C294A3" w14:textId="77777777" w:rsidR="00E51EAC" w:rsidRDefault="00182F93">
            <w:pPr>
              <w:cnfStyle w:val="000000000000" w:firstRow="0" w:lastRow="0" w:firstColumn="0" w:lastColumn="0" w:oddVBand="0" w:evenVBand="0" w:oddHBand="0" w:evenHBand="0" w:firstRowFirstColumn="0" w:firstRowLastColumn="0" w:lastRowFirstColumn="0" w:lastRowLastColumn="0"/>
            </w:pPr>
            <w:r>
              <w:t>(4 037)</w:t>
            </w:r>
          </w:p>
        </w:tc>
        <w:tc>
          <w:tcPr>
            <w:tcW w:w="907" w:type="dxa"/>
            <w:tcBorders>
              <w:bottom w:val="single" w:sz="6" w:space="0" w:color="auto"/>
            </w:tcBorders>
          </w:tcPr>
          <w:p w14:paraId="41CCFD7E" w14:textId="77777777" w:rsidR="00E51EAC" w:rsidRDefault="00182F93">
            <w:pPr>
              <w:cnfStyle w:val="000000000000" w:firstRow="0" w:lastRow="0" w:firstColumn="0" w:lastColumn="0" w:oddVBand="0" w:evenVBand="0" w:oddHBand="0" w:evenHBand="0" w:firstRowFirstColumn="0" w:firstRowLastColumn="0" w:lastRowFirstColumn="0" w:lastRowLastColumn="0"/>
            </w:pPr>
            <w:r>
              <w:t>(4 705)</w:t>
            </w:r>
          </w:p>
        </w:tc>
        <w:tc>
          <w:tcPr>
            <w:tcW w:w="907" w:type="dxa"/>
            <w:tcBorders>
              <w:bottom w:val="single" w:sz="6" w:space="0" w:color="auto"/>
            </w:tcBorders>
          </w:tcPr>
          <w:p w14:paraId="7025A12A" w14:textId="77777777" w:rsidR="00E51EAC" w:rsidRDefault="00182F93">
            <w:pPr>
              <w:cnfStyle w:val="000000000000" w:firstRow="0" w:lastRow="0" w:firstColumn="0" w:lastColumn="0" w:oddVBand="0" w:evenVBand="0" w:oddHBand="0" w:evenHBand="0" w:firstRowFirstColumn="0" w:firstRowLastColumn="0" w:lastRowFirstColumn="0" w:lastRowLastColumn="0"/>
            </w:pPr>
            <w:r>
              <w:t>(3 235)</w:t>
            </w:r>
          </w:p>
        </w:tc>
        <w:tc>
          <w:tcPr>
            <w:tcW w:w="907" w:type="dxa"/>
            <w:tcBorders>
              <w:bottom w:val="single" w:sz="6" w:space="0" w:color="auto"/>
            </w:tcBorders>
          </w:tcPr>
          <w:p w14:paraId="6EA4B2A7" w14:textId="77777777" w:rsidR="00E51EAC" w:rsidRDefault="00182F93">
            <w:pPr>
              <w:cnfStyle w:val="000000000000" w:firstRow="0" w:lastRow="0" w:firstColumn="0" w:lastColumn="0" w:oddVBand="0" w:evenVBand="0" w:oddHBand="0" w:evenHBand="0" w:firstRowFirstColumn="0" w:firstRowLastColumn="0" w:lastRowFirstColumn="0" w:lastRowLastColumn="0"/>
            </w:pPr>
            <w:r>
              <w:t>(4 011)</w:t>
            </w:r>
          </w:p>
        </w:tc>
      </w:tr>
      <w:tr w:rsidR="00E51EAC" w14:paraId="5309BBD5" w14:textId="77777777" w:rsidTr="00E51EAC">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6134B16A" w14:textId="77777777" w:rsidR="00E51EAC" w:rsidRDefault="00182F93">
            <w:r>
              <w:rPr>
                <w:b/>
              </w:rPr>
              <w:t>Cash surplus/(deficit)</w:t>
            </w:r>
          </w:p>
        </w:tc>
        <w:tc>
          <w:tcPr>
            <w:tcW w:w="907" w:type="dxa"/>
            <w:tcBorders>
              <w:top w:val="single" w:sz="6" w:space="0" w:color="auto"/>
              <w:bottom w:val="single" w:sz="12" w:space="0" w:color="auto"/>
            </w:tcBorders>
          </w:tcPr>
          <w:p w14:paraId="3D870AC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937</w:t>
            </w:r>
          </w:p>
        </w:tc>
        <w:tc>
          <w:tcPr>
            <w:tcW w:w="907" w:type="dxa"/>
            <w:tcBorders>
              <w:top w:val="single" w:sz="6" w:space="0" w:color="auto"/>
              <w:bottom w:val="single" w:sz="12" w:space="0" w:color="auto"/>
            </w:tcBorders>
          </w:tcPr>
          <w:p w14:paraId="00B50A8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(5 945)</w:t>
            </w:r>
          </w:p>
        </w:tc>
        <w:tc>
          <w:tcPr>
            <w:tcW w:w="907" w:type="dxa"/>
            <w:tcBorders>
              <w:top w:val="single" w:sz="6" w:space="0" w:color="auto"/>
              <w:bottom w:val="single" w:sz="12" w:space="0" w:color="auto"/>
            </w:tcBorders>
          </w:tcPr>
          <w:p w14:paraId="3C6274AD"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(4 664)</w:t>
            </w:r>
          </w:p>
        </w:tc>
        <w:tc>
          <w:tcPr>
            <w:tcW w:w="907" w:type="dxa"/>
            <w:tcBorders>
              <w:top w:val="single" w:sz="6" w:space="0" w:color="auto"/>
              <w:bottom w:val="single" w:sz="12" w:space="0" w:color="auto"/>
            </w:tcBorders>
          </w:tcPr>
          <w:p w14:paraId="2822E632"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(3 176)</w:t>
            </w:r>
          </w:p>
        </w:tc>
        <w:tc>
          <w:tcPr>
            <w:tcW w:w="907" w:type="dxa"/>
            <w:tcBorders>
              <w:top w:val="single" w:sz="6" w:space="0" w:color="auto"/>
              <w:bottom w:val="single" w:sz="12" w:space="0" w:color="auto"/>
            </w:tcBorders>
          </w:tcPr>
          <w:p w14:paraId="5DE5C6D5" w14:textId="77777777" w:rsidR="00E51EAC" w:rsidRDefault="00182F93">
            <w:pPr>
              <w:cnfStyle w:val="000000000000" w:firstRow="0" w:lastRow="0" w:firstColumn="0" w:lastColumn="0" w:oddVBand="0" w:evenVBand="0" w:oddHBand="0" w:evenHBand="0" w:firstRowFirstColumn="0" w:firstRowLastColumn="0" w:lastRowFirstColumn="0" w:lastRowLastColumn="0"/>
            </w:pPr>
            <w:r>
              <w:rPr>
                <w:b/>
              </w:rPr>
              <w:t>1 030</w:t>
            </w:r>
          </w:p>
        </w:tc>
      </w:tr>
    </w:tbl>
    <w:p w14:paraId="3D887F6B" w14:textId="77777777" w:rsidR="00102770" w:rsidRDefault="00102770" w:rsidP="00102770">
      <w:pPr>
        <w:pStyle w:val="Note"/>
        <w:ind w:left="0" w:firstLine="0"/>
      </w:pPr>
      <w:r>
        <w:t>Notes:</w:t>
      </w:r>
    </w:p>
    <w:p w14:paraId="388D12C0" w14:textId="2E7F2E8B" w:rsidR="00102770" w:rsidRDefault="00102770" w:rsidP="00102770">
      <w:pPr>
        <w:pStyle w:val="Note"/>
      </w:pPr>
      <w:r>
        <w:t>(a)</w:t>
      </w:r>
      <w:r>
        <w:tab/>
        <w:t>These items are inclusive of goods and services tax.</w:t>
      </w:r>
    </w:p>
    <w:p w14:paraId="382B22F0" w14:textId="58DD3339" w:rsidR="00CE3AA1" w:rsidRPr="00B63941" w:rsidRDefault="00CE3AA1" w:rsidP="00B63941">
      <w:pPr>
        <w:pStyle w:val="Note"/>
      </w:pPr>
      <w:r w:rsidRPr="00B63941">
        <w:t xml:space="preserve">(b) </w:t>
      </w:r>
      <w:r w:rsidRPr="00B63941">
        <w:tab/>
        <w:t xml:space="preserve">On 1 July 2024, the previous State Electricity Commission of Victoria, established under the </w:t>
      </w:r>
      <w:r w:rsidRPr="001C6F1A">
        <w:rPr>
          <w:i w:val="0"/>
          <w:iCs/>
        </w:rPr>
        <w:t>State Electricity Commission Act 1958</w:t>
      </w:r>
      <w:r w:rsidRPr="00B63941">
        <w:t xml:space="preserve"> (SEC Act) was abolished by the</w:t>
      </w:r>
      <w:r w:rsidR="00B63941">
        <w:t xml:space="preserve"> </w:t>
      </w:r>
      <w:r w:rsidRPr="00B63941">
        <w:t xml:space="preserve">commencement of the </w:t>
      </w:r>
      <w:r w:rsidRPr="001C6F1A">
        <w:rPr>
          <w:i w:val="0"/>
          <w:iCs/>
        </w:rPr>
        <w:t>State Electricity Commission Amendment Act 2024</w:t>
      </w:r>
      <w:r w:rsidRPr="00B63941">
        <w:t xml:space="preserve"> and the residual financial assets were transferred to the Department of Energy,</w:t>
      </w:r>
      <w:r w:rsidR="00B63941">
        <w:t xml:space="preserve"> </w:t>
      </w:r>
      <w:r w:rsidRPr="00B63941">
        <w:t>Environment and Climate Action. This has resulted in the 1 July 2024 opening balance not equalling the 30 June closing balance.</w:t>
      </w:r>
    </w:p>
    <w:p w14:paraId="44156DBB" w14:textId="765A7433" w:rsidR="00BC0C0C" w:rsidRDefault="00BC0C0C">
      <w:pPr>
        <w:keepLines w:val="0"/>
      </w:pPr>
      <w:r>
        <w:br w:type="page"/>
      </w:r>
    </w:p>
    <w:p w14:paraId="0728B3E7" w14:textId="77777777" w:rsidR="00A20CD2" w:rsidRDefault="00A20CD2" w:rsidP="00097095"/>
    <w:p w14:paraId="2758A742" w14:textId="77777777" w:rsidR="00A20CD2" w:rsidRPr="00141BC3" w:rsidRDefault="00A20CD2" w:rsidP="00097095"/>
    <w:p w14:paraId="1E4A72F1" w14:textId="77777777" w:rsidR="00A20CD2" w:rsidRDefault="00A20CD2" w:rsidP="00A20CD2">
      <w:pPr>
        <w:rPr>
          <w:rFonts w:asciiTheme="majorHAnsi" w:hAnsiTheme="majorHAnsi" w:cstheme="majorHAnsi"/>
          <w:sz w:val="24"/>
          <w:szCs w:val="24"/>
        </w:rPr>
        <w:sectPr w:rsidR="00A20CD2" w:rsidSect="00760D40">
          <w:footerReference w:type="even" r:id="rId135"/>
          <w:footerReference w:type="default" r:id="rId136"/>
          <w:pgSz w:w="11906" w:h="16838" w:code="9"/>
          <w:pgMar w:top="1134" w:right="1134" w:bottom="1134" w:left="1134" w:header="624" w:footer="567" w:gutter="0"/>
          <w:cols w:space="708"/>
          <w:docGrid w:linePitch="360"/>
        </w:sectPr>
      </w:pPr>
    </w:p>
    <w:p w14:paraId="134D7364" w14:textId="38D9B61A" w:rsidR="00A20CD2" w:rsidRDefault="00A20CD2" w:rsidP="00097095">
      <w:pPr>
        <w:pStyle w:val="ChapterHeading"/>
      </w:pPr>
      <w:bookmarkStart w:id="197" w:name="_Toc209474770"/>
      <w:bookmarkStart w:id="198" w:name="_Toc209474803"/>
      <w:r>
        <w:lastRenderedPageBreak/>
        <w:t xml:space="preserve">Appendix B – </w:t>
      </w:r>
      <w:r w:rsidRPr="00A057E2">
        <w:rPr>
          <w:i/>
          <w:iCs/>
        </w:rPr>
        <w:t>Financial Management Act 1994</w:t>
      </w:r>
      <w:r>
        <w:t xml:space="preserve"> – Compliance index</w:t>
      </w:r>
      <w:bookmarkEnd w:id="197"/>
      <w:bookmarkEnd w:id="198"/>
    </w:p>
    <w:p w14:paraId="1D50918E" w14:textId="77777777" w:rsidR="00A20CD2" w:rsidRDefault="00A20CD2" w:rsidP="00097095">
      <w:r>
        <w:t xml:space="preserve">The </w:t>
      </w:r>
      <w:r w:rsidRPr="00A057E2">
        <w:rPr>
          <w:i/>
          <w:iCs/>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36ECC057" w14:textId="77777777" w:rsidR="00A20CD2" w:rsidRDefault="00A20CD2" w:rsidP="00097095">
      <w:pPr>
        <w:spacing w:after="120"/>
      </w:pPr>
      <w:r>
        <w:t>The Act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A20CD2" w:rsidRPr="00C508EE" w14:paraId="1CB88751" w14:textId="77777777" w:rsidTr="41DF3067">
        <w:trPr>
          <w:cantSplit/>
          <w:tblHeader/>
        </w:trPr>
        <w:tc>
          <w:tcPr>
            <w:tcW w:w="2250" w:type="dxa"/>
            <w:tcBorders>
              <w:top w:val="single" w:sz="4" w:space="0" w:color="auto"/>
              <w:bottom w:val="single" w:sz="4" w:space="0" w:color="auto"/>
            </w:tcBorders>
            <w:shd w:val="clear" w:color="auto" w:fill="000000" w:themeFill="text1"/>
          </w:tcPr>
          <w:p w14:paraId="339B9595" w14:textId="3902C6F7" w:rsidR="00A20CD2" w:rsidRPr="00C508EE" w:rsidRDefault="00A20CD2" w:rsidP="00E8127F">
            <w:pPr>
              <w:spacing w:before="60" w:after="60"/>
              <w:rPr>
                <w:rFonts w:ascii="Calibri" w:eastAsia="Times New Roman" w:hAnsi="Calibri"/>
                <w:i/>
                <w:sz w:val="20"/>
                <w:szCs w:val="20"/>
              </w:rPr>
            </w:pPr>
            <w:r w:rsidRPr="00D3074D">
              <w:rPr>
                <w:rFonts w:ascii="Calibri" w:eastAsia="Times New Roman" w:hAnsi="Calibri"/>
                <w:i/>
                <w:sz w:val="20"/>
                <w:szCs w:val="20"/>
              </w:rPr>
              <w:t>Financial Management Act 1994</w:t>
            </w:r>
            <w:r w:rsidRPr="00C508EE">
              <w:rPr>
                <w:rFonts w:ascii="Calibri" w:eastAsia="Times New Roman" w:hAnsi="Calibri"/>
                <w:i/>
                <w:sz w:val="20"/>
                <w:szCs w:val="20"/>
              </w:rPr>
              <w:t xml:space="preserve"> reference</w:t>
            </w:r>
          </w:p>
        </w:tc>
        <w:tc>
          <w:tcPr>
            <w:tcW w:w="4183" w:type="dxa"/>
            <w:tcBorders>
              <w:top w:val="single" w:sz="4" w:space="0" w:color="auto"/>
              <w:bottom w:val="single" w:sz="4" w:space="0" w:color="auto"/>
            </w:tcBorders>
            <w:shd w:val="clear" w:color="auto" w:fill="000000" w:themeFill="text1"/>
            <w:vAlign w:val="bottom"/>
          </w:tcPr>
          <w:p w14:paraId="72C65602" w14:textId="77777777" w:rsidR="00A20CD2" w:rsidRPr="00C508EE" w:rsidRDefault="00A20CD2" w:rsidP="00E8127F">
            <w:pPr>
              <w:spacing w:before="60" w:after="60"/>
              <w:rPr>
                <w:rFonts w:ascii="Calibri" w:eastAsia="Times New Roman" w:hAnsi="Calibri"/>
                <w:i/>
                <w:sz w:val="20"/>
                <w:szCs w:val="20"/>
              </w:rPr>
            </w:pPr>
            <w:r w:rsidRPr="00C508EE">
              <w:rPr>
                <w:rFonts w:ascii="Calibri" w:eastAsia="Times New Roman" w:hAnsi="Calibri"/>
                <w:i/>
                <w:sz w:val="20"/>
                <w:szCs w:val="20"/>
              </w:rPr>
              <w:t>Requirement</w:t>
            </w:r>
          </w:p>
        </w:tc>
        <w:tc>
          <w:tcPr>
            <w:tcW w:w="3240" w:type="dxa"/>
            <w:tcBorders>
              <w:top w:val="single" w:sz="4" w:space="0" w:color="auto"/>
              <w:bottom w:val="single" w:sz="4" w:space="0" w:color="auto"/>
            </w:tcBorders>
            <w:shd w:val="clear" w:color="auto" w:fill="000000" w:themeFill="text1"/>
            <w:vAlign w:val="bottom"/>
          </w:tcPr>
          <w:p w14:paraId="3DDE859C" w14:textId="77777777" w:rsidR="00A20CD2" w:rsidRPr="00C508EE" w:rsidRDefault="00A20CD2" w:rsidP="00E8127F">
            <w:pPr>
              <w:spacing w:before="60" w:after="60"/>
              <w:rPr>
                <w:rFonts w:ascii="Calibri" w:eastAsia="Times New Roman" w:hAnsi="Calibri"/>
                <w:i/>
                <w:sz w:val="20"/>
                <w:szCs w:val="20"/>
              </w:rPr>
            </w:pPr>
            <w:r w:rsidRPr="00C508EE">
              <w:rPr>
                <w:rFonts w:ascii="Calibri" w:eastAsia="Times New Roman" w:hAnsi="Calibri"/>
                <w:i/>
                <w:sz w:val="20"/>
                <w:szCs w:val="20"/>
              </w:rPr>
              <w:t>Comments/reference</w:t>
            </w:r>
          </w:p>
        </w:tc>
      </w:tr>
      <w:tr w:rsidR="00A20CD2" w:rsidRPr="00C508EE" w14:paraId="59D3ACDA" w14:textId="77777777">
        <w:trPr>
          <w:cantSplit/>
        </w:trPr>
        <w:tc>
          <w:tcPr>
            <w:tcW w:w="2250" w:type="dxa"/>
            <w:tcBorders>
              <w:top w:val="single" w:sz="4" w:space="0" w:color="auto"/>
            </w:tcBorders>
          </w:tcPr>
          <w:p w14:paraId="6E2BF980"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 xml:space="preserve">Section 24(1) </w:t>
            </w:r>
          </w:p>
        </w:tc>
        <w:tc>
          <w:tcPr>
            <w:tcW w:w="4183" w:type="dxa"/>
            <w:tcBorders>
              <w:top w:val="single" w:sz="4" w:space="0" w:color="auto"/>
            </w:tcBorders>
          </w:tcPr>
          <w:p w14:paraId="280FA3DB" w14:textId="77777777" w:rsidR="00A20CD2" w:rsidRPr="00FE68E1" w:rsidRDefault="00A20CD2" w:rsidP="00FF2EE1">
            <w:pPr>
              <w:spacing w:before="20" w:after="20"/>
              <w:rPr>
                <w:rFonts w:ascii="Calibri" w:eastAsia="Times New Roman" w:hAnsi="Calibri"/>
                <w:sz w:val="20"/>
                <w:szCs w:val="20"/>
              </w:rPr>
            </w:pPr>
            <w:r w:rsidRPr="00FE68E1">
              <w:rPr>
                <w:rFonts w:ascii="Calibri" w:eastAsia="Times New Roman" w:hAnsi="Calibri"/>
                <w:sz w:val="20"/>
                <w:szCs w:val="20"/>
              </w:rPr>
              <w:t>The Minister must prepare an annual financial report for each financial year.</w:t>
            </w:r>
          </w:p>
        </w:tc>
        <w:tc>
          <w:tcPr>
            <w:tcW w:w="3240" w:type="dxa"/>
            <w:tcBorders>
              <w:top w:val="single" w:sz="4" w:space="0" w:color="auto"/>
            </w:tcBorders>
          </w:tcPr>
          <w:p w14:paraId="7B0DC1E0" w14:textId="0C07D273"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Chapter 4</w:t>
            </w:r>
          </w:p>
        </w:tc>
      </w:tr>
      <w:tr w:rsidR="00A20CD2" w:rsidRPr="00C508EE" w14:paraId="35F1412C" w14:textId="77777777">
        <w:trPr>
          <w:cantSplit/>
        </w:trPr>
        <w:tc>
          <w:tcPr>
            <w:tcW w:w="2250" w:type="dxa"/>
          </w:tcPr>
          <w:p w14:paraId="289B186A"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24(2)</w:t>
            </w:r>
          </w:p>
        </w:tc>
        <w:tc>
          <w:tcPr>
            <w:tcW w:w="4183" w:type="dxa"/>
          </w:tcPr>
          <w:p w14:paraId="61045F97" w14:textId="77777777" w:rsidR="00A20CD2" w:rsidRPr="00FE68E1" w:rsidRDefault="00A20CD2" w:rsidP="00FF2EE1">
            <w:pPr>
              <w:spacing w:before="20" w:after="20"/>
              <w:rPr>
                <w:rFonts w:ascii="Calibri" w:eastAsia="Times New Roman" w:hAnsi="Calibri"/>
                <w:sz w:val="20"/>
                <w:szCs w:val="20"/>
              </w:rPr>
            </w:pPr>
            <w:r w:rsidRPr="00FE68E1">
              <w:rPr>
                <w:rFonts w:ascii="Calibri" w:eastAsia="Times New Roman" w:hAnsi="Calibri"/>
                <w:sz w:val="20"/>
                <w:szCs w:val="20"/>
              </w:rPr>
              <w:t>The annual financial report:</w:t>
            </w:r>
          </w:p>
          <w:p w14:paraId="7FD40FD3" w14:textId="77777777" w:rsidR="00A20CD2" w:rsidRPr="00FE68E1" w:rsidRDefault="00A20CD2" w:rsidP="00FF2EE1">
            <w:pPr>
              <w:spacing w:before="20" w:after="20"/>
              <w:ind w:left="362" w:hanging="362"/>
              <w:rPr>
                <w:rFonts w:ascii="Calibri" w:eastAsia="Times New Roman" w:hAnsi="Calibri"/>
                <w:sz w:val="20"/>
                <w:szCs w:val="20"/>
              </w:rPr>
            </w:pPr>
            <w:r w:rsidRPr="00FE68E1">
              <w:rPr>
                <w:rFonts w:ascii="Calibri" w:eastAsia="Times New Roman" w:hAnsi="Calibri"/>
                <w:sz w:val="20"/>
                <w:szCs w:val="20"/>
              </w:rPr>
              <w:t>(a)</w:t>
            </w:r>
            <w:r w:rsidRPr="00FE68E1">
              <w:rPr>
                <w:rFonts w:ascii="Calibri" w:eastAsia="Times New Roman" w:hAnsi="Calibri"/>
                <w:sz w:val="20"/>
                <w:szCs w:val="20"/>
              </w:rPr>
              <w:tab/>
              <w:t>must be prepared in the manner and form determined by the Minister, having regard to appropriate financial reporting frameworks</w:t>
            </w:r>
          </w:p>
        </w:tc>
        <w:tc>
          <w:tcPr>
            <w:tcW w:w="3240" w:type="dxa"/>
          </w:tcPr>
          <w:p w14:paraId="0E86997A" w14:textId="77777777" w:rsidR="003C6C40"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Manner is in accordance with Australian Accounting Standards and Ministerial Directions. </w:t>
            </w:r>
          </w:p>
          <w:p w14:paraId="0570080B" w14:textId="5CBA9344"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Form is consolidated comprehensive operating statement, consolidated balance sheet, consolidated cash flow statement, consolidated statement of changes in equity and accompanying notes. Chapter 4.</w:t>
            </w:r>
          </w:p>
        </w:tc>
      </w:tr>
      <w:tr w:rsidR="00A20CD2" w:rsidRPr="00D84FCE" w14:paraId="64BF1401" w14:textId="77777777">
        <w:trPr>
          <w:cantSplit/>
        </w:trPr>
        <w:tc>
          <w:tcPr>
            <w:tcW w:w="2250" w:type="dxa"/>
          </w:tcPr>
          <w:p w14:paraId="035E112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4AC4A251" w14:textId="1ABDD455" w:rsidR="00A20CD2" w:rsidRPr="00C8567A" w:rsidRDefault="00A20CD2" w:rsidP="00FF2EE1">
            <w:pPr>
              <w:tabs>
                <w:tab w:val="left" w:pos="344"/>
              </w:tabs>
              <w:spacing w:before="20" w:after="20"/>
              <w:ind w:left="360" w:hanging="360"/>
              <w:rPr>
                <w:rFonts w:ascii="Calibri" w:eastAsia="Times New Roman" w:hAnsi="Calibri"/>
                <w:color w:val="000000" w:themeColor="text1"/>
                <w:sz w:val="20"/>
                <w:szCs w:val="20"/>
              </w:rPr>
            </w:pPr>
            <w:r w:rsidRPr="00C8567A">
              <w:rPr>
                <w:rFonts w:ascii="Calibri" w:eastAsia="Times New Roman" w:hAnsi="Calibri"/>
                <w:color w:val="000000" w:themeColor="text1"/>
                <w:sz w:val="20"/>
                <w:szCs w:val="20"/>
              </w:rPr>
              <w:t>(b)</w:t>
            </w:r>
            <w:r w:rsidRPr="00C8567A">
              <w:rPr>
                <w:rFonts w:ascii="Calibri" w:eastAsia="Times New Roman" w:hAnsi="Calibri"/>
                <w:color w:val="000000" w:themeColor="text1"/>
                <w:sz w:val="20"/>
                <w:szCs w:val="20"/>
              </w:rPr>
              <w:tab/>
              <w:t xml:space="preserve">must present fairly the financial position of the State and the Victorian general government sector at the end of the financial year </w:t>
            </w:r>
            <w:r w:rsidR="003E6388" w:rsidRPr="00C8567A">
              <w:rPr>
                <w:rFonts w:ascii="Calibri" w:eastAsia="Times New Roman" w:hAnsi="Calibri"/>
                <w:color w:val="000000" w:themeColor="text1"/>
                <w:sz w:val="20"/>
                <w:szCs w:val="20"/>
              </w:rPr>
              <w:t>and</w:t>
            </w:r>
            <w:r w:rsidRPr="00C8567A">
              <w:rPr>
                <w:rFonts w:ascii="Calibri" w:eastAsia="Times New Roman" w:hAnsi="Calibri"/>
                <w:color w:val="000000" w:themeColor="text1"/>
                <w:sz w:val="20"/>
                <w:szCs w:val="20"/>
              </w:rPr>
              <w:t xml:space="preserve">: </w:t>
            </w:r>
          </w:p>
        </w:tc>
        <w:tc>
          <w:tcPr>
            <w:tcW w:w="3240" w:type="dxa"/>
          </w:tcPr>
          <w:p w14:paraId="7493CA26" w14:textId="2E538F1A"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w:t>
            </w:r>
            <w:r w:rsidR="00795107" w:rsidRPr="00735018">
              <w:rPr>
                <w:rFonts w:ascii="Calibri" w:eastAsia="Times New Roman" w:hAnsi="Calibri"/>
                <w:sz w:val="20"/>
                <w:szCs w:val="20"/>
              </w:rPr>
              <w:t>c</w:t>
            </w:r>
            <w:r w:rsidRPr="00735018">
              <w:rPr>
                <w:rFonts w:ascii="Calibri" w:eastAsia="Times New Roman" w:hAnsi="Calibri"/>
                <w:sz w:val="20"/>
                <w:szCs w:val="20"/>
              </w:rPr>
              <w:t>onsolidated balance sheet</w:t>
            </w:r>
          </w:p>
        </w:tc>
      </w:tr>
      <w:tr w:rsidR="00A20CD2" w:rsidRPr="00C508EE" w14:paraId="75ECC29B" w14:textId="77777777">
        <w:trPr>
          <w:cantSplit/>
        </w:trPr>
        <w:tc>
          <w:tcPr>
            <w:tcW w:w="2250" w:type="dxa"/>
          </w:tcPr>
          <w:p w14:paraId="116F627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9219C50" w14:textId="77777777" w:rsidR="00A20CD2" w:rsidRPr="00C8567A" w:rsidRDefault="00A20CD2" w:rsidP="00FF2EE1">
            <w:pPr>
              <w:spacing w:before="20" w:after="20"/>
              <w:ind w:left="720" w:hanging="360"/>
              <w:rPr>
                <w:rFonts w:ascii="Calibri" w:eastAsia="Times New Roman" w:hAnsi="Calibri"/>
                <w:color w:val="000000" w:themeColor="text1"/>
                <w:sz w:val="20"/>
                <w:szCs w:val="20"/>
              </w:rPr>
            </w:pPr>
            <w:r w:rsidRPr="00C8567A">
              <w:rPr>
                <w:rFonts w:ascii="Calibri" w:eastAsia="Times New Roman" w:hAnsi="Calibri"/>
                <w:color w:val="000000" w:themeColor="text1"/>
                <w:sz w:val="20"/>
                <w:szCs w:val="20"/>
              </w:rPr>
              <w:t>(i)</w:t>
            </w:r>
            <w:r w:rsidRPr="00C8567A">
              <w:rPr>
                <w:rFonts w:ascii="Calibri" w:eastAsia="Times New Roman" w:hAnsi="Calibri"/>
                <w:color w:val="000000" w:themeColor="text1"/>
                <w:sz w:val="20"/>
                <w:szCs w:val="20"/>
              </w:rPr>
              <w:tab/>
              <w:t>the transactions on the Public Account</w:t>
            </w:r>
          </w:p>
        </w:tc>
        <w:tc>
          <w:tcPr>
            <w:tcW w:w="3240" w:type="dxa"/>
          </w:tcPr>
          <w:p w14:paraId="19769988" w14:textId="39979C1C"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Chapter 4</w:t>
            </w:r>
            <w:r w:rsidR="00221D9B">
              <w:rPr>
                <w:rFonts w:ascii="Calibri" w:eastAsia="Times New Roman" w:hAnsi="Calibri"/>
                <w:sz w:val="20"/>
                <w:szCs w:val="20"/>
              </w:rPr>
              <w:t>,</w:t>
            </w:r>
            <w:r w:rsidRPr="00735018">
              <w:rPr>
                <w:rFonts w:ascii="Calibri" w:eastAsia="Times New Roman" w:hAnsi="Calibri"/>
                <w:sz w:val="20"/>
                <w:szCs w:val="20"/>
              </w:rPr>
              <w:t xml:space="preserve"> Note </w:t>
            </w:r>
            <w:r w:rsidR="00875DA4" w:rsidRPr="00735018">
              <w:rPr>
                <w:rFonts w:ascii="Calibri" w:eastAsia="Times New Roman" w:hAnsi="Calibri"/>
                <w:sz w:val="20"/>
                <w:szCs w:val="20"/>
              </w:rPr>
              <w:t>7</w:t>
            </w:r>
            <w:r w:rsidRPr="00735018">
              <w:rPr>
                <w:rFonts w:ascii="Calibri" w:eastAsia="Times New Roman" w:hAnsi="Calibri"/>
                <w:sz w:val="20"/>
                <w:szCs w:val="20"/>
              </w:rPr>
              <w:t xml:space="preserve">.2 Public Account disclosures </w:t>
            </w:r>
          </w:p>
        </w:tc>
      </w:tr>
      <w:tr w:rsidR="00A20CD2" w:rsidRPr="00C508EE" w14:paraId="077A8E21" w14:textId="77777777">
        <w:trPr>
          <w:cantSplit/>
        </w:trPr>
        <w:tc>
          <w:tcPr>
            <w:tcW w:w="2250" w:type="dxa"/>
          </w:tcPr>
          <w:p w14:paraId="16F2AA1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674493C" w14:textId="77777777" w:rsidR="00A20CD2" w:rsidRPr="00C8567A" w:rsidRDefault="00A20CD2" w:rsidP="00FF2EE1">
            <w:pPr>
              <w:spacing w:before="20" w:after="20"/>
              <w:ind w:left="720" w:hanging="360"/>
              <w:rPr>
                <w:rFonts w:ascii="Calibri" w:eastAsia="Times New Roman" w:hAnsi="Calibri"/>
                <w:color w:val="000000" w:themeColor="text1"/>
                <w:sz w:val="20"/>
                <w:szCs w:val="20"/>
              </w:rPr>
            </w:pPr>
            <w:r w:rsidRPr="00C8567A">
              <w:rPr>
                <w:rFonts w:ascii="Calibri" w:eastAsia="Times New Roman" w:hAnsi="Calibri"/>
                <w:color w:val="000000" w:themeColor="text1"/>
                <w:sz w:val="20"/>
                <w:szCs w:val="20"/>
              </w:rPr>
              <w:t>(ii)</w:t>
            </w:r>
            <w:r w:rsidRPr="00C8567A">
              <w:rPr>
                <w:rFonts w:ascii="Calibri" w:eastAsia="Times New Roman" w:hAnsi="Calibri"/>
                <w:color w:val="000000" w:themeColor="text1"/>
                <w:sz w:val="20"/>
                <w:szCs w:val="20"/>
              </w:rPr>
              <w:tab/>
              <w:t>the transactions of the Victorian general government sector</w:t>
            </w:r>
          </w:p>
        </w:tc>
        <w:tc>
          <w:tcPr>
            <w:tcW w:w="3240" w:type="dxa"/>
          </w:tcPr>
          <w:p w14:paraId="662A7FED" w14:textId="2A17D5D6"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w:t>
            </w:r>
            <w:r w:rsidR="00795107" w:rsidRPr="00735018">
              <w:rPr>
                <w:rFonts w:ascii="Calibri" w:eastAsia="Times New Roman" w:hAnsi="Calibri"/>
                <w:sz w:val="20"/>
                <w:szCs w:val="20"/>
              </w:rPr>
              <w:t>c</w:t>
            </w:r>
            <w:r w:rsidRPr="00735018">
              <w:rPr>
                <w:rFonts w:ascii="Calibri" w:eastAsia="Times New Roman" w:hAnsi="Calibri"/>
                <w:sz w:val="20"/>
                <w:szCs w:val="20"/>
              </w:rPr>
              <w:t>onsolidated comprehensive operating statement, consolidated cash flow statement and selected notes</w:t>
            </w:r>
          </w:p>
        </w:tc>
      </w:tr>
      <w:tr w:rsidR="00A20CD2" w:rsidRPr="00C508EE" w14:paraId="29CC3395" w14:textId="77777777">
        <w:trPr>
          <w:cantSplit/>
        </w:trPr>
        <w:tc>
          <w:tcPr>
            <w:tcW w:w="2250" w:type="dxa"/>
          </w:tcPr>
          <w:p w14:paraId="03AB321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59ADC611"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(iii)</w:t>
            </w:r>
            <w:r w:rsidRPr="00C508EE">
              <w:rPr>
                <w:rFonts w:ascii="Calibri" w:eastAsia="Times New Roman" w:hAnsi="Calibri"/>
                <w:sz w:val="20"/>
                <w:szCs w:val="20"/>
              </w:rPr>
              <w:tab/>
              <w:t>other financial transactions of the State</w:t>
            </w:r>
            <w:r>
              <w:rPr>
                <w:rFonts w:ascii="Calibri" w:eastAsia="Times New Roman" w:hAnsi="Calibri"/>
                <w:sz w:val="20"/>
                <w:szCs w:val="20"/>
              </w:rPr>
              <w:t>.</w:t>
            </w:r>
          </w:p>
        </w:tc>
        <w:tc>
          <w:tcPr>
            <w:tcW w:w="3240" w:type="dxa"/>
          </w:tcPr>
          <w:p w14:paraId="7A9463F9" w14:textId="69B33674"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w:t>
            </w:r>
            <w:r w:rsidR="00795107" w:rsidRPr="00735018">
              <w:rPr>
                <w:rFonts w:ascii="Calibri" w:eastAsia="Times New Roman" w:hAnsi="Calibri"/>
                <w:sz w:val="20"/>
                <w:szCs w:val="20"/>
              </w:rPr>
              <w:t>c</w:t>
            </w:r>
            <w:r w:rsidRPr="00735018">
              <w:rPr>
                <w:rFonts w:ascii="Calibri" w:eastAsia="Times New Roman" w:hAnsi="Calibri"/>
                <w:sz w:val="20"/>
                <w:szCs w:val="20"/>
              </w:rPr>
              <w:t xml:space="preserve">onsolidated comprehensive operating statement, </w:t>
            </w:r>
            <w:r w:rsidR="00795107" w:rsidRPr="00735018">
              <w:rPr>
                <w:rFonts w:ascii="Calibri" w:eastAsia="Times New Roman" w:hAnsi="Calibri"/>
                <w:sz w:val="20"/>
                <w:szCs w:val="20"/>
              </w:rPr>
              <w:t>c</w:t>
            </w:r>
            <w:r w:rsidRPr="00735018">
              <w:rPr>
                <w:rFonts w:ascii="Calibri" w:eastAsia="Times New Roman" w:hAnsi="Calibri"/>
                <w:sz w:val="20"/>
                <w:szCs w:val="20"/>
              </w:rPr>
              <w:t>onsolidated cash flow statement and selected notes</w:t>
            </w:r>
          </w:p>
        </w:tc>
      </w:tr>
      <w:tr w:rsidR="00A20CD2" w:rsidRPr="00C508EE" w14:paraId="257AA7FC" w14:textId="77777777">
        <w:trPr>
          <w:cantSplit/>
        </w:trPr>
        <w:tc>
          <w:tcPr>
            <w:tcW w:w="2250" w:type="dxa"/>
          </w:tcPr>
          <w:p w14:paraId="19E392CE" w14:textId="77777777" w:rsidR="00A20CD2" w:rsidRPr="00C508EE" w:rsidRDefault="00A20CD2" w:rsidP="00FF2EE1">
            <w:pPr>
              <w:pageBreakBefore/>
              <w:spacing w:before="20" w:after="20"/>
              <w:ind w:left="187" w:hanging="187"/>
              <w:rPr>
                <w:rFonts w:ascii="Calibri" w:eastAsia="Times New Roman" w:hAnsi="Calibri"/>
                <w:sz w:val="20"/>
                <w:szCs w:val="20"/>
              </w:rPr>
            </w:pPr>
          </w:p>
        </w:tc>
        <w:tc>
          <w:tcPr>
            <w:tcW w:w="4183" w:type="dxa"/>
          </w:tcPr>
          <w:p w14:paraId="4A839ABD" w14:textId="77777777" w:rsidR="00A20CD2" w:rsidRPr="00C508EE" w:rsidRDefault="00A20CD2" w:rsidP="00FF2EE1">
            <w:pPr>
              <w:spacing w:before="20" w:after="20"/>
              <w:rPr>
                <w:rFonts w:ascii="Calibri" w:eastAsia="Times New Roman" w:hAnsi="Calibri"/>
                <w:sz w:val="20"/>
                <w:szCs w:val="20"/>
              </w:rPr>
            </w:pPr>
            <w:r>
              <w:rPr>
                <w:rFonts w:ascii="Calibri" w:eastAsia="Times New Roman" w:hAnsi="Calibri"/>
                <w:sz w:val="20"/>
                <w:szCs w:val="20"/>
              </w:rPr>
              <w:t>I</w:t>
            </w:r>
            <w:r w:rsidRPr="00C508EE">
              <w:rPr>
                <w:rFonts w:ascii="Calibri" w:eastAsia="Times New Roman" w:hAnsi="Calibri"/>
                <w:sz w:val="20"/>
                <w:szCs w:val="20"/>
              </w:rPr>
              <w:t>n respect of the financial year</w:t>
            </w:r>
            <w:r>
              <w:rPr>
                <w:rFonts w:ascii="Calibri" w:eastAsia="Times New Roman" w:hAnsi="Calibri"/>
                <w:sz w:val="20"/>
                <w:szCs w:val="20"/>
              </w:rPr>
              <w:t>:</w:t>
            </w:r>
          </w:p>
        </w:tc>
        <w:tc>
          <w:tcPr>
            <w:tcW w:w="3240" w:type="dxa"/>
          </w:tcPr>
          <w:p w14:paraId="35D41D73" w14:textId="77777777" w:rsidR="00A20CD2" w:rsidRPr="00C508EE" w:rsidRDefault="00A20CD2" w:rsidP="00FF2EE1">
            <w:pPr>
              <w:spacing w:before="20" w:after="20"/>
              <w:rPr>
                <w:rFonts w:ascii="Calibri" w:eastAsia="Times New Roman" w:hAnsi="Calibri"/>
                <w:sz w:val="20"/>
                <w:szCs w:val="20"/>
              </w:rPr>
            </w:pPr>
          </w:p>
        </w:tc>
      </w:tr>
      <w:tr w:rsidR="00A20CD2" w:rsidRPr="00C508EE" w14:paraId="3E90488E" w14:textId="77777777">
        <w:trPr>
          <w:cantSplit/>
        </w:trPr>
        <w:tc>
          <w:tcPr>
            <w:tcW w:w="2250" w:type="dxa"/>
          </w:tcPr>
          <w:p w14:paraId="6D8B34E7"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10797144" w14:textId="559328F5"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(c)</w:t>
            </w:r>
            <w:r w:rsidRPr="00C508EE">
              <w:rPr>
                <w:rFonts w:ascii="Calibri" w:eastAsia="Times New Roman" w:hAnsi="Calibri"/>
                <w:sz w:val="20"/>
                <w:szCs w:val="20"/>
              </w:rPr>
              <w:tab/>
              <w:t xml:space="preserve">must include details of amounts paid into </w:t>
            </w:r>
            <w:r w:rsidR="00AC0C13">
              <w:rPr>
                <w:rFonts w:ascii="Calibri" w:eastAsia="Times New Roman" w:hAnsi="Calibri"/>
                <w:sz w:val="20"/>
                <w:szCs w:val="20"/>
              </w:rPr>
              <w:t>W</w:t>
            </w:r>
            <w:r w:rsidRPr="00C508EE">
              <w:rPr>
                <w:rFonts w:ascii="Calibri" w:eastAsia="Times New Roman" w:hAnsi="Calibri"/>
                <w:sz w:val="20"/>
                <w:szCs w:val="20"/>
              </w:rPr>
              <w:t xml:space="preserve">orking </w:t>
            </w:r>
            <w:r w:rsidR="00AC0C13">
              <w:rPr>
                <w:rFonts w:ascii="Calibri" w:eastAsia="Times New Roman" w:hAnsi="Calibri"/>
                <w:sz w:val="20"/>
                <w:szCs w:val="20"/>
              </w:rPr>
              <w:t>A</w:t>
            </w:r>
            <w:r w:rsidRPr="00C508EE">
              <w:rPr>
                <w:rFonts w:ascii="Calibri" w:eastAsia="Times New Roman" w:hAnsi="Calibri"/>
                <w:sz w:val="20"/>
                <w:szCs w:val="20"/>
              </w:rPr>
              <w:t>ccounts under section 23</w:t>
            </w:r>
          </w:p>
        </w:tc>
        <w:tc>
          <w:tcPr>
            <w:tcW w:w="3240" w:type="dxa"/>
          </w:tcPr>
          <w:p w14:paraId="1DFAEE2F" w14:textId="1776B08F"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AD5C3D" w:rsidRPr="00735018">
              <w:rPr>
                <w:rFonts w:ascii="Calibri" w:eastAsia="Times New Roman" w:hAnsi="Calibri"/>
                <w:sz w:val="20"/>
                <w:szCs w:val="20"/>
              </w:rPr>
              <w:t>7</w:t>
            </w:r>
            <w:r w:rsidRPr="00735018">
              <w:rPr>
                <w:rFonts w:ascii="Calibri" w:eastAsia="Times New Roman" w:hAnsi="Calibri"/>
                <w:sz w:val="20"/>
                <w:szCs w:val="20"/>
              </w:rPr>
              <w:t xml:space="preserve">.2.9 Amounts paid into working accounts pursuant to Section 23 of the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year ended 30 June</w:t>
            </w:r>
          </w:p>
        </w:tc>
      </w:tr>
      <w:tr w:rsidR="00A20CD2" w:rsidRPr="00C508EE" w14:paraId="33149056" w14:textId="77777777">
        <w:trPr>
          <w:cantSplit/>
        </w:trPr>
        <w:tc>
          <w:tcPr>
            <w:tcW w:w="2250" w:type="dxa"/>
          </w:tcPr>
          <w:p w14:paraId="403C545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657D596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(d)</w:t>
            </w:r>
            <w:r w:rsidRPr="00C508EE">
              <w:rPr>
                <w:rFonts w:ascii="Calibri" w:eastAsia="Times New Roman" w:hAnsi="Calibri"/>
                <w:sz w:val="20"/>
                <w:szCs w:val="20"/>
              </w:rPr>
              <w:tab/>
              <w:t>must include details of amounts allocated to departments during the financial year under section 28</w:t>
            </w:r>
          </w:p>
        </w:tc>
        <w:tc>
          <w:tcPr>
            <w:tcW w:w="3240" w:type="dxa"/>
          </w:tcPr>
          <w:p w14:paraId="14DB107F" w14:textId="38809116" w:rsidR="00A20CD2" w:rsidRPr="00735018" w:rsidRDefault="00A20CD2" w:rsidP="00FF2EE1">
            <w:pPr>
              <w:spacing w:before="20" w:after="20"/>
              <w:rPr>
                <w:rFonts w:ascii="Calibri" w:eastAsia="Times New Roman" w:hAnsi="Calibri"/>
                <w:sz w:val="20"/>
                <w:szCs w:val="20"/>
                <w:highlight w:val="yellow"/>
              </w:rPr>
            </w:pPr>
            <w:r w:rsidRPr="00735018">
              <w:rPr>
                <w:rFonts w:ascii="Calibri" w:eastAsia="Times New Roman" w:hAnsi="Calibri"/>
                <w:sz w:val="20"/>
                <w:szCs w:val="20"/>
              </w:rPr>
              <w:t xml:space="preserve">Chapter 4, Note </w:t>
            </w:r>
            <w:r w:rsidR="00F679C9" w:rsidRPr="00735018">
              <w:rPr>
                <w:rFonts w:ascii="Calibri" w:eastAsia="Times New Roman" w:hAnsi="Calibri"/>
                <w:sz w:val="20"/>
                <w:szCs w:val="20"/>
              </w:rPr>
              <w:t>7</w:t>
            </w:r>
            <w:r w:rsidRPr="00735018">
              <w:rPr>
                <w:rFonts w:ascii="Calibri" w:eastAsia="Times New Roman" w:hAnsi="Calibri"/>
                <w:sz w:val="20"/>
                <w:szCs w:val="20"/>
              </w:rPr>
              <w:t xml:space="preserve">.2.16 Allocations pursuant to Section 28 of the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financial year ended 30 June</w:t>
            </w:r>
            <w:r w:rsidR="00584C71" w:rsidRPr="00735018">
              <w:rPr>
                <w:rFonts w:ascii="Calibri" w:eastAsia="Times New Roman" w:hAnsi="Calibri"/>
                <w:sz w:val="20"/>
                <w:szCs w:val="20"/>
              </w:rPr>
              <w:t xml:space="preserve"> </w:t>
            </w:r>
            <w:r w:rsidRPr="00735018">
              <w:rPr>
                <w:rFonts w:ascii="Calibri" w:eastAsia="Times New Roman" w:hAnsi="Calibri"/>
                <w:sz w:val="20"/>
                <w:szCs w:val="20"/>
              </w:rPr>
              <w:t xml:space="preserve"> </w:t>
            </w:r>
          </w:p>
        </w:tc>
      </w:tr>
      <w:tr w:rsidR="00A20CD2" w:rsidRPr="00C508EE" w14:paraId="33FB7532" w14:textId="77777777">
        <w:trPr>
          <w:cantSplit/>
        </w:trPr>
        <w:tc>
          <w:tcPr>
            <w:tcW w:w="2250" w:type="dxa"/>
          </w:tcPr>
          <w:p w14:paraId="36F1EF8F"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A802340" w14:textId="7FCF3555"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(e)</w:t>
            </w:r>
            <w:r w:rsidRPr="00C508EE">
              <w:rPr>
                <w:rFonts w:ascii="Calibri" w:eastAsia="Times New Roman" w:hAnsi="Calibri"/>
                <w:sz w:val="20"/>
                <w:szCs w:val="20"/>
              </w:rPr>
              <w:tab/>
              <w:t xml:space="preserve">must include details of money credited under section 29 to an item in a </w:t>
            </w:r>
            <w:r w:rsidR="009D0AC7">
              <w:rPr>
                <w:rFonts w:ascii="Calibri" w:eastAsia="Times New Roman" w:hAnsi="Calibri"/>
                <w:sz w:val="20"/>
                <w:szCs w:val="20"/>
              </w:rPr>
              <w:t>S</w:t>
            </w:r>
            <w:r w:rsidRPr="00C508EE">
              <w:rPr>
                <w:rFonts w:ascii="Calibri" w:eastAsia="Times New Roman" w:hAnsi="Calibri"/>
                <w:sz w:val="20"/>
                <w:szCs w:val="20"/>
              </w:rPr>
              <w:t>chedule to an appropriation Act for that financial year</w:t>
            </w:r>
          </w:p>
        </w:tc>
        <w:tc>
          <w:tcPr>
            <w:tcW w:w="3240" w:type="dxa"/>
          </w:tcPr>
          <w:p w14:paraId="20D55A71" w14:textId="70CFD4BD"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1E2D4C" w:rsidRPr="00735018">
              <w:rPr>
                <w:rFonts w:ascii="Calibri" w:eastAsia="Times New Roman" w:hAnsi="Calibri"/>
                <w:sz w:val="20"/>
                <w:szCs w:val="20"/>
              </w:rPr>
              <w:t>7</w:t>
            </w:r>
            <w:r w:rsidRPr="00735018">
              <w:rPr>
                <w:rFonts w:ascii="Calibri" w:eastAsia="Times New Roman" w:hAnsi="Calibri"/>
                <w:sz w:val="20"/>
                <w:szCs w:val="20"/>
              </w:rPr>
              <w:t xml:space="preserve">.2.11 Appropriation of revenue and asset sale proceeds pursuant to Section 29 of the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financial year ended 30 June </w:t>
            </w:r>
          </w:p>
        </w:tc>
      </w:tr>
      <w:tr w:rsidR="00A20CD2" w:rsidRPr="00584C71" w14:paraId="75D56ECB" w14:textId="77777777">
        <w:trPr>
          <w:cantSplit/>
        </w:trPr>
        <w:tc>
          <w:tcPr>
            <w:tcW w:w="2250" w:type="dxa"/>
          </w:tcPr>
          <w:p w14:paraId="50CBD854"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3736EE3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(f)</w:t>
            </w:r>
            <w:r w:rsidRPr="00C508EE">
              <w:rPr>
                <w:rFonts w:ascii="Calibri" w:eastAsia="Times New Roman" w:hAnsi="Calibri"/>
                <w:sz w:val="20"/>
                <w:szCs w:val="20"/>
              </w:rPr>
              <w:tab/>
              <w:t>must include particulars of amounts transferred in accordance with determinations under section 30 or 31</w:t>
            </w:r>
          </w:p>
        </w:tc>
        <w:tc>
          <w:tcPr>
            <w:tcW w:w="3240" w:type="dxa"/>
          </w:tcPr>
          <w:p w14:paraId="515CF2A4" w14:textId="03C0EA72"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1F2973" w:rsidRPr="00735018">
              <w:rPr>
                <w:rFonts w:ascii="Calibri" w:eastAsia="Times New Roman" w:hAnsi="Calibri"/>
                <w:sz w:val="20"/>
                <w:szCs w:val="20"/>
              </w:rPr>
              <w:t>7</w:t>
            </w:r>
            <w:r w:rsidRPr="00735018">
              <w:rPr>
                <w:rFonts w:ascii="Calibri" w:eastAsia="Times New Roman" w:hAnsi="Calibri"/>
                <w:sz w:val="20"/>
                <w:szCs w:val="20"/>
              </w:rPr>
              <w:t xml:space="preserve">.2.10 Transfers pursuant to Sections 30 and 31 of the </w:t>
            </w:r>
            <w:r w:rsidRPr="00735018">
              <w:rPr>
                <w:rFonts w:ascii="Calibri" w:eastAsia="Times New Roman" w:hAnsi="Calibri"/>
                <w:i/>
                <w:sz w:val="20"/>
                <w:szCs w:val="20"/>
              </w:rPr>
              <w:t xml:space="preserve">Financial Management Act 1994 </w:t>
            </w:r>
            <w:r w:rsidRPr="00735018">
              <w:rPr>
                <w:rFonts w:ascii="Calibri" w:eastAsia="Times New Roman" w:hAnsi="Calibri"/>
                <w:sz w:val="20"/>
                <w:szCs w:val="20"/>
              </w:rPr>
              <w:t>for the financial year ended 30 June</w:t>
            </w:r>
          </w:p>
        </w:tc>
      </w:tr>
      <w:tr w:rsidR="00A20CD2" w:rsidRPr="00C508EE" w14:paraId="452008F6" w14:textId="77777777">
        <w:trPr>
          <w:cantSplit/>
        </w:trPr>
        <w:tc>
          <w:tcPr>
            <w:tcW w:w="2250" w:type="dxa"/>
          </w:tcPr>
          <w:p w14:paraId="18084D32"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11863CED"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(g)</w:t>
            </w:r>
            <w:r w:rsidRPr="00C508EE">
              <w:rPr>
                <w:rFonts w:ascii="Calibri" w:eastAsia="Times New Roman" w:hAnsi="Calibri"/>
                <w:sz w:val="20"/>
                <w:szCs w:val="20"/>
              </w:rPr>
              <w:tab/>
              <w:t>must include details of</w:t>
            </w:r>
            <w:r>
              <w:rPr>
                <w:rFonts w:ascii="Calibri" w:eastAsia="Times New Roman" w:hAnsi="Calibri"/>
                <w:sz w:val="20"/>
                <w:szCs w:val="20"/>
              </w:rPr>
              <w:t>:</w:t>
            </w:r>
          </w:p>
        </w:tc>
        <w:tc>
          <w:tcPr>
            <w:tcW w:w="3240" w:type="dxa"/>
          </w:tcPr>
          <w:p w14:paraId="65DC07B1" w14:textId="77777777" w:rsidR="00A20CD2" w:rsidRPr="00C508EE" w:rsidRDefault="00A20CD2" w:rsidP="00FF2EE1">
            <w:pPr>
              <w:spacing w:before="20" w:after="20"/>
              <w:rPr>
                <w:rFonts w:ascii="Calibri" w:eastAsia="Times New Roman" w:hAnsi="Calibri"/>
                <w:sz w:val="20"/>
                <w:szCs w:val="20"/>
              </w:rPr>
            </w:pPr>
          </w:p>
        </w:tc>
      </w:tr>
      <w:tr w:rsidR="00A20CD2" w:rsidRPr="00C508EE" w14:paraId="0B9077D3" w14:textId="77777777">
        <w:trPr>
          <w:cantSplit/>
        </w:trPr>
        <w:tc>
          <w:tcPr>
            <w:tcW w:w="2250" w:type="dxa"/>
          </w:tcPr>
          <w:p w14:paraId="7904A24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41D260A0" w14:textId="77777777" w:rsidR="00A20CD2" w:rsidRPr="00C508EE" w:rsidRDefault="00A20CD2" w:rsidP="006B2B7E">
            <w:pPr>
              <w:spacing w:before="20" w:after="20"/>
              <w:ind w:left="720" w:right="226"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amounts appropriated in respect of the financial year as a result of a determination under section 32 in respect of unused appropriation for the preceding financial year</w:t>
            </w:r>
          </w:p>
        </w:tc>
        <w:tc>
          <w:tcPr>
            <w:tcW w:w="3240" w:type="dxa"/>
          </w:tcPr>
          <w:p w14:paraId="3ED1A414" w14:textId="3E088EE9"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513AE0" w:rsidRPr="00735018">
              <w:rPr>
                <w:rFonts w:ascii="Calibri" w:eastAsia="Times New Roman" w:hAnsi="Calibri"/>
                <w:sz w:val="20"/>
                <w:szCs w:val="20"/>
              </w:rPr>
              <w:t>7</w:t>
            </w:r>
            <w:r w:rsidRPr="00735018">
              <w:rPr>
                <w:rFonts w:ascii="Calibri" w:eastAsia="Times New Roman" w:hAnsi="Calibri"/>
                <w:sz w:val="20"/>
                <w:szCs w:val="20"/>
              </w:rPr>
              <w:t xml:space="preserve">.2.12 Section 32 carryovers –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financial year ended 30 June</w:t>
            </w:r>
          </w:p>
        </w:tc>
      </w:tr>
      <w:tr w:rsidR="00A20CD2" w:rsidRPr="00C508EE" w14:paraId="19DB8C83" w14:textId="77777777">
        <w:trPr>
          <w:cantSplit/>
        </w:trPr>
        <w:tc>
          <w:tcPr>
            <w:tcW w:w="2250" w:type="dxa"/>
          </w:tcPr>
          <w:p w14:paraId="405183F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12414C71" w14:textId="77777777" w:rsidR="00A20CD2" w:rsidRPr="00C508EE" w:rsidRDefault="00A20CD2" w:rsidP="006B2B7E">
            <w:pPr>
              <w:spacing w:before="20" w:after="20"/>
              <w:ind w:left="720" w:right="226"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the application during the financial year of amounts referred to in subparagraph (i)</w:t>
            </w:r>
          </w:p>
        </w:tc>
        <w:tc>
          <w:tcPr>
            <w:tcW w:w="3240" w:type="dxa"/>
          </w:tcPr>
          <w:p w14:paraId="6E1E421F" w14:textId="13FE62CA"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1C1DC3" w:rsidRPr="00735018">
              <w:rPr>
                <w:rFonts w:ascii="Calibri" w:eastAsia="Times New Roman" w:hAnsi="Calibri"/>
                <w:sz w:val="20"/>
                <w:szCs w:val="20"/>
              </w:rPr>
              <w:t>7</w:t>
            </w:r>
            <w:r w:rsidRPr="00735018">
              <w:rPr>
                <w:rFonts w:ascii="Calibri" w:eastAsia="Times New Roman" w:hAnsi="Calibri"/>
                <w:sz w:val="20"/>
                <w:szCs w:val="20"/>
              </w:rPr>
              <w:t xml:space="preserve">.2.12 Section 32 carryovers –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financial year ended 30 June</w:t>
            </w:r>
          </w:p>
        </w:tc>
      </w:tr>
      <w:tr w:rsidR="00A20CD2" w:rsidRPr="00C508EE" w14:paraId="65CE27E6" w14:textId="77777777">
        <w:trPr>
          <w:cantSplit/>
        </w:trPr>
        <w:tc>
          <w:tcPr>
            <w:tcW w:w="2250" w:type="dxa"/>
          </w:tcPr>
          <w:p w14:paraId="16AA2AC6" w14:textId="15DF551E"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1937B5B7"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(iii)</w:t>
            </w:r>
            <w:r w:rsidRPr="00C508EE">
              <w:rPr>
                <w:rFonts w:ascii="Calibri" w:eastAsia="Times New Roman" w:hAnsi="Calibri"/>
                <w:sz w:val="20"/>
                <w:szCs w:val="20"/>
              </w:rPr>
              <w:tab/>
              <w:t>amounts appropriated in respect of the next financial year as a result of a determination under section 32 in respect of unused appropriation for the financial year</w:t>
            </w:r>
            <w:r>
              <w:rPr>
                <w:rFonts w:ascii="Calibri" w:eastAsia="Times New Roman" w:hAnsi="Calibri"/>
                <w:sz w:val="20"/>
                <w:szCs w:val="20"/>
              </w:rPr>
              <w:t>.</w:t>
            </w:r>
          </w:p>
        </w:tc>
        <w:tc>
          <w:tcPr>
            <w:tcW w:w="3240" w:type="dxa"/>
          </w:tcPr>
          <w:p w14:paraId="0942E169" w14:textId="365A40F3"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6C644D" w:rsidRPr="00735018">
              <w:rPr>
                <w:rFonts w:ascii="Calibri" w:eastAsia="Times New Roman" w:hAnsi="Calibri"/>
                <w:sz w:val="20"/>
                <w:szCs w:val="20"/>
              </w:rPr>
              <w:t>7</w:t>
            </w:r>
            <w:r w:rsidRPr="00735018">
              <w:rPr>
                <w:rFonts w:ascii="Calibri" w:eastAsia="Times New Roman" w:hAnsi="Calibri"/>
                <w:sz w:val="20"/>
                <w:szCs w:val="20"/>
              </w:rPr>
              <w:t xml:space="preserve">.2.12 Section 32 carryovers – </w:t>
            </w:r>
            <w:r w:rsidRPr="00735018">
              <w:rPr>
                <w:rFonts w:ascii="Calibri" w:eastAsia="Times New Roman" w:hAnsi="Calibri"/>
                <w:i/>
                <w:sz w:val="20"/>
                <w:szCs w:val="20"/>
              </w:rPr>
              <w:t>Financial Management Act 1994</w:t>
            </w:r>
            <w:r w:rsidRPr="00735018">
              <w:rPr>
                <w:rFonts w:ascii="Calibri" w:eastAsia="Times New Roman" w:hAnsi="Calibri"/>
                <w:sz w:val="20"/>
                <w:szCs w:val="20"/>
              </w:rPr>
              <w:t xml:space="preserve"> for the financial year ended 30 June</w:t>
            </w:r>
          </w:p>
        </w:tc>
      </w:tr>
      <w:tr w:rsidR="00A20CD2" w:rsidRPr="00C508EE" w14:paraId="5B65B542" w14:textId="77777777">
        <w:trPr>
          <w:cantSplit/>
        </w:trPr>
        <w:tc>
          <w:tcPr>
            <w:tcW w:w="2250" w:type="dxa"/>
          </w:tcPr>
          <w:p w14:paraId="30DD8995" w14:textId="77777777" w:rsidR="00A20CD2" w:rsidRPr="00C508EE" w:rsidRDefault="00A20CD2" w:rsidP="00FF2EE1">
            <w:pPr>
              <w:spacing w:before="20" w:after="20"/>
              <w:ind w:left="187" w:hanging="187"/>
              <w:rPr>
                <w:rFonts w:ascii="Calibri" w:eastAsia="Times New Roman" w:hAnsi="Calibri"/>
                <w:sz w:val="20"/>
                <w:szCs w:val="20"/>
              </w:rPr>
            </w:pPr>
          </w:p>
        </w:tc>
        <w:tc>
          <w:tcPr>
            <w:tcW w:w="4183" w:type="dxa"/>
          </w:tcPr>
          <w:p w14:paraId="3DF3E99A"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(h)</w:t>
            </w:r>
            <w:r w:rsidRPr="00C508EE">
              <w:rPr>
                <w:rFonts w:ascii="Calibri" w:eastAsia="Times New Roman" w:hAnsi="Calibri"/>
                <w:sz w:val="20"/>
                <w:szCs w:val="20"/>
              </w:rPr>
              <w:tab/>
              <w:t>must include</w:t>
            </w:r>
            <w:r>
              <w:rPr>
                <w:rFonts w:ascii="Calibri" w:eastAsia="Times New Roman" w:hAnsi="Calibri"/>
                <w:sz w:val="20"/>
                <w:szCs w:val="20"/>
              </w:rPr>
              <w:t>:</w:t>
            </w:r>
          </w:p>
        </w:tc>
        <w:tc>
          <w:tcPr>
            <w:tcW w:w="3240" w:type="dxa"/>
          </w:tcPr>
          <w:p w14:paraId="515595EE" w14:textId="77777777" w:rsidR="00A20CD2" w:rsidRPr="00C508EE" w:rsidRDefault="00A20CD2" w:rsidP="00FF2EE1">
            <w:pPr>
              <w:spacing w:before="20" w:after="20"/>
              <w:rPr>
                <w:rFonts w:ascii="Calibri" w:eastAsia="Times New Roman" w:hAnsi="Calibri"/>
                <w:sz w:val="20"/>
                <w:szCs w:val="20"/>
              </w:rPr>
            </w:pPr>
          </w:p>
        </w:tc>
      </w:tr>
      <w:tr w:rsidR="00A20CD2" w:rsidRPr="00C508EE" w14:paraId="2FC56F29" w14:textId="77777777">
        <w:trPr>
          <w:cantSplit/>
        </w:trPr>
        <w:tc>
          <w:tcPr>
            <w:tcW w:w="2250" w:type="dxa"/>
          </w:tcPr>
          <w:p w14:paraId="67E7911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39B64A0B" w14:textId="77777777" w:rsidR="00A20CD2" w:rsidRPr="00C508EE" w:rsidRDefault="00A20CD2" w:rsidP="006B2B7E">
            <w:pPr>
              <w:tabs>
                <w:tab w:val="left" w:pos="344"/>
              </w:tabs>
              <w:spacing w:before="20" w:after="20"/>
              <w:ind w:left="706" w:right="226" w:hanging="362"/>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details of expenses and obligations met from money advanced to the Minister under section 35(1) during the financial year</w:t>
            </w:r>
          </w:p>
        </w:tc>
        <w:tc>
          <w:tcPr>
            <w:tcW w:w="3240" w:type="dxa"/>
          </w:tcPr>
          <w:p w14:paraId="2143594C" w14:textId="506CCF84"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720D94" w:rsidRPr="00735018">
              <w:rPr>
                <w:rFonts w:ascii="Calibri" w:eastAsia="Times New Roman" w:hAnsi="Calibri"/>
                <w:sz w:val="20"/>
                <w:szCs w:val="20"/>
              </w:rPr>
              <w:t>7</w:t>
            </w:r>
            <w:r w:rsidRPr="00735018">
              <w:rPr>
                <w:rFonts w:ascii="Calibri" w:eastAsia="Times New Roman" w:hAnsi="Calibri"/>
                <w:sz w:val="20"/>
                <w:szCs w:val="20"/>
              </w:rPr>
              <w:t xml:space="preserve">.2.14 Payments from advances and unused advances carried forward to </w:t>
            </w:r>
            <w:r w:rsidR="005A6542" w:rsidRPr="00735018">
              <w:rPr>
                <w:rFonts w:ascii="Calibri" w:eastAsia="Times New Roman" w:hAnsi="Calibri"/>
                <w:sz w:val="20"/>
                <w:szCs w:val="20"/>
              </w:rPr>
              <w:t>202</w:t>
            </w:r>
            <w:r w:rsidR="001C6A86" w:rsidRPr="00735018">
              <w:rPr>
                <w:rFonts w:ascii="Calibri" w:eastAsia="Times New Roman" w:hAnsi="Calibri"/>
                <w:sz w:val="20"/>
                <w:szCs w:val="20"/>
              </w:rPr>
              <w:t>4</w:t>
            </w:r>
            <w:r w:rsidRPr="00735018">
              <w:rPr>
                <w:rFonts w:ascii="Calibri" w:eastAsia="Times New Roman" w:hAnsi="Calibri"/>
                <w:sz w:val="20"/>
                <w:szCs w:val="20"/>
              </w:rPr>
              <w:noBreakHyphen/>
              <w:t>2</w:t>
            </w:r>
            <w:r w:rsidR="001C6A86" w:rsidRPr="00735018">
              <w:rPr>
                <w:rFonts w:ascii="Calibri" w:eastAsia="Times New Roman" w:hAnsi="Calibri"/>
                <w:sz w:val="20"/>
                <w:szCs w:val="20"/>
              </w:rPr>
              <w:t>5</w:t>
            </w:r>
            <w:r w:rsidRPr="00735018">
              <w:rPr>
                <w:rFonts w:ascii="Calibri" w:eastAsia="Times New Roman" w:hAnsi="Calibri"/>
                <w:sz w:val="20"/>
                <w:szCs w:val="20"/>
              </w:rPr>
              <w:t xml:space="preserve"> pursuant to Section 35 and 35(4) of the </w:t>
            </w:r>
            <w:r w:rsidRPr="00735018">
              <w:rPr>
                <w:rFonts w:ascii="Calibri" w:eastAsia="Times New Roman" w:hAnsi="Calibri"/>
                <w:i/>
                <w:sz w:val="20"/>
                <w:szCs w:val="20"/>
              </w:rPr>
              <w:t>Financial Management Act 1994</w:t>
            </w:r>
          </w:p>
        </w:tc>
      </w:tr>
      <w:tr w:rsidR="00A20CD2" w:rsidRPr="00C508EE" w14:paraId="3C80E4CA" w14:textId="77777777">
        <w:trPr>
          <w:cantSplit/>
        </w:trPr>
        <w:tc>
          <w:tcPr>
            <w:tcW w:w="2250" w:type="dxa"/>
          </w:tcPr>
          <w:p w14:paraId="4446345D"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54539DAA" w14:textId="77777777" w:rsidR="00A20CD2" w:rsidRPr="00C508EE" w:rsidRDefault="00A20CD2" w:rsidP="006B2B7E">
            <w:pPr>
              <w:tabs>
                <w:tab w:val="left" w:pos="344"/>
              </w:tabs>
              <w:spacing w:before="20" w:after="20"/>
              <w:ind w:left="706" w:right="226" w:hanging="362"/>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a statement of the reasons for carrying forward any part of an unused advance to the next financial year under section 35(4)</w:t>
            </w:r>
            <w:r>
              <w:rPr>
                <w:rFonts w:ascii="Calibri" w:eastAsia="Times New Roman" w:hAnsi="Calibri"/>
                <w:sz w:val="20"/>
                <w:szCs w:val="20"/>
              </w:rPr>
              <w:t>.</w:t>
            </w:r>
          </w:p>
        </w:tc>
        <w:tc>
          <w:tcPr>
            <w:tcW w:w="3240" w:type="dxa"/>
          </w:tcPr>
          <w:p w14:paraId="26D46058" w14:textId="5BB94F59"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C43B3C" w:rsidRPr="00735018">
              <w:rPr>
                <w:rFonts w:ascii="Calibri" w:eastAsia="Times New Roman" w:hAnsi="Calibri"/>
                <w:sz w:val="20"/>
                <w:szCs w:val="20"/>
              </w:rPr>
              <w:t>7</w:t>
            </w:r>
            <w:r w:rsidRPr="00735018">
              <w:rPr>
                <w:rFonts w:ascii="Calibri" w:eastAsia="Times New Roman" w:hAnsi="Calibri"/>
                <w:sz w:val="20"/>
                <w:szCs w:val="20"/>
              </w:rPr>
              <w:t xml:space="preserve">.2.14 Payments from advances and unused advances carried forward to </w:t>
            </w:r>
            <w:r w:rsidR="005A6542" w:rsidRPr="00735018">
              <w:rPr>
                <w:rFonts w:ascii="Calibri" w:eastAsia="Times New Roman" w:hAnsi="Calibri"/>
                <w:sz w:val="20"/>
                <w:szCs w:val="20"/>
              </w:rPr>
              <w:t>202</w:t>
            </w:r>
            <w:r w:rsidR="00CB1786" w:rsidRPr="00735018">
              <w:rPr>
                <w:rFonts w:ascii="Calibri" w:eastAsia="Times New Roman" w:hAnsi="Calibri"/>
                <w:sz w:val="20"/>
                <w:szCs w:val="20"/>
              </w:rPr>
              <w:t>4</w:t>
            </w:r>
            <w:r w:rsidRPr="00735018">
              <w:rPr>
                <w:rFonts w:ascii="Calibri" w:eastAsia="Times New Roman" w:hAnsi="Calibri"/>
                <w:sz w:val="20"/>
                <w:szCs w:val="20"/>
              </w:rPr>
              <w:noBreakHyphen/>
              <w:t>2</w:t>
            </w:r>
            <w:r w:rsidR="00CB1786" w:rsidRPr="00735018">
              <w:rPr>
                <w:rFonts w:ascii="Calibri" w:eastAsia="Times New Roman" w:hAnsi="Calibri"/>
                <w:sz w:val="20"/>
                <w:szCs w:val="20"/>
              </w:rPr>
              <w:t>5</w:t>
            </w:r>
            <w:r w:rsidRPr="00735018">
              <w:rPr>
                <w:rFonts w:ascii="Calibri" w:eastAsia="Times New Roman" w:hAnsi="Calibri"/>
                <w:sz w:val="20"/>
                <w:szCs w:val="20"/>
              </w:rPr>
              <w:t xml:space="preserve"> pursuant to Section 35 and 35(4) of the </w:t>
            </w:r>
            <w:r w:rsidRPr="00735018">
              <w:rPr>
                <w:rFonts w:ascii="Calibri" w:eastAsia="Times New Roman" w:hAnsi="Calibri"/>
                <w:i/>
                <w:sz w:val="20"/>
                <w:szCs w:val="20"/>
              </w:rPr>
              <w:t>Financial Management Act 1994</w:t>
            </w:r>
          </w:p>
        </w:tc>
      </w:tr>
      <w:tr w:rsidR="00A20CD2" w:rsidRPr="00C508EE" w14:paraId="30ED1BF9" w14:textId="77777777">
        <w:trPr>
          <w:cantSplit/>
        </w:trPr>
        <w:tc>
          <w:tcPr>
            <w:tcW w:w="2250" w:type="dxa"/>
          </w:tcPr>
          <w:p w14:paraId="37D5E489"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23AD3CBB"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must include details of payments made during the financial year out of money advanced to the Treasurer in an annual appropriation Act for that year to meet urgent claims</w:t>
            </w:r>
          </w:p>
        </w:tc>
        <w:tc>
          <w:tcPr>
            <w:tcW w:w="3240" w:type="dxa"/>
          </w:tcPr>
          <w:p w14:paraId="47FF870F" w14:textId="19A15EB5" w:rsidR="00A20CD2" w:rsidRPr="00C508EE" w:rsidRDefault="00A20CD2" w:rsidP="00FF2EE1">
            <w:pPr>
              <w:spacing w:before="20" w:after="20"/>
              <w:rPr>
                <w:rFonts w:ascii="Calibri" w:eastAsia="Times New Roman" w:hAnsi="Calibri"/>
                <w:sz w:val="20"/>
                <w:szCs w:val="20"/>
              </w:rPr>
            </w:pPr>
            <w:bookmarkStart w:id="199" w:name="_Toc51164066"/>
            <w:r w:rsidRPr="00735018">
              <w:rPr>
                <w:rFonts w:ascii="Calibri" w:eastAsia="Times New Roman" w:hAnsi="Calibri"/>
                <w:sz w:val="20"/>
                <w:szCs w:val="20"/>
              </w:rPr>
              <w:t xml:space="preserve">Chapter 4, </w:t>
            </w:r>
            <w:bookmarkStart w:id="200" w:name="_Hlk51849094"/>
            <w:r w:rsidRPr="00735018">
              <w:rPr>
                <w:rFonts w:ascii="Calibri" w:eastAsia="Times New Roman" w:hAnsi="Calibri"/>
                <w:sz w:val="20"/>
                <w:szCs w:val="20"/>
              </w:rPr>
              <w:t xml:space="preserve">Note </w:t>
            </w:r>
            <w:r w:rsidR="00686D95" w:rsidRPr="00735018">
              <w:rPr>
                <w:rFonts w:ascii="Calibri" w:eastAsia="Times New Roman" w:hAnsi="Calibri"/>
                <w:sz w:val="20"/>
                <w:szCs w:val="20"/>
              </w:rPr>
              <w:t>7</w:t>
            </w:r>
            <w:r w:rsidRPr="00735018">
              <w:rPr>
                <w:rFonts w:ascii="Calibri" w:eastAsia="Times New Roman" w:hAnsi="Calibri"/>
                <w:sz w:val="20"/>
                <w:szCs w:val="20"/>
              </w:rPr>
              <w:t>.2.13 Payments from advance to the Treasurer for the financial year ended 30 June</w:t>
            </w:r>
            <w:bookmarkEnd w:id="199"/>
            <w:bookmarkEnd w:id="200"/>
          </w:p>
        </w:tc>
      </w:tr>
      <w:tr w:rsidR="00A20CD2" w:rsidRPr="00C508EE" w14:paraId="3A0B5327" w14:textId="77777777">
        <w:trPr>
          <w:cantSplit/>
        </w:trPr>
        <w:tc>
          <w:tcPr>
            <w:tcW w:w="2250" w:type="dxa"/>
          </w:tcPr>
          <w:p w14:paraId="1356EAEA" w14:textId="77777777" w:rsidR="00A20CD2" w:rsidRPr="00C508EE" w:rsidRDefault="00A20CD2" w:rsidP="0099640D">
            <w:pPr>
              <w:pageBreakBefore/>
              <w:spacing w:before="20" w:after="20"/>
              <w:ind w:left="180" w:hanging="180"/>
              <w:rPr>
                <w:rFonts w:ascii="Calibri" w:eastAsia="Times New Roman" w:hAnsi="Calibri"/>
                <w:sz w:val="20"/>
                <w:szCs w:val="20"/>
              </w:rPr>
            </w:pPr>
          </w:p>
        </w:tc>
        <w:tc>
          <w:tcPr>
            <w:tcW w:w="4183" w:type="dxa"/>
          </w:tcPr>
          <w:p w14:paraId="087EC31E"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(j)</w:t>
            </w:r>
            <w:r w:rsidRPr="00C508EE">
              <w:rPr>
                <w:rFonts w:ascii="Calibri" w:eastAsia="Times New Roman" w:hAnsi="Calibri"/>
                <w:sz w:val="20"/>
                <w:szCs w:val="20"/>
              </w:rPr>
              <w:tab/>
              <w:t>must include details of</w:t>
            </w:r>
            <w:r>
              <w:rPr>
                <w:rFonts w:ascii="Calibri" w:eastAsia="Times New Roman" w:hAnsi="Calibri"/>
                <w:sz w:val="20"/>
                <w:szCs w:val="20"/>
              </w:rPr>
              <w:t>:</w:t>
            </w:r>
          </w:p>
        </w:tc>
        <w:tc>
          <w:tcPr>
            <w:tcW w:w="3240" w:type="dxa"/>
          </w:tcPr>
          <w:p w14:paraId="020FFA8B" w14:textId="77777777" w:rsidR="00A20CD2" w:rsidRPr="00C508EE" w:rsidRDefault="00A20CD2" w:rsidP="00FF2EE1">
            <w:pPr>
              <w:spacing w:before="20" w:after="20"/>
              <w:rPr>
                <w:rFonts w:ascii="Calibri" w:eastAsia="Times New Roman" w:hAnsi="Calibri"/>
                <w:sz w:val="20"/>
                <w:szCs w:val="20"/>
              </w:rPr>
            </w:pPr>
          </w:p>
        </w:tc>
      </w:tr>
      <w:tr w:rsidR="00A20CD2" w:rsidRPr="00C508EE" w14:paraId="0BB05FD7" w14:textId="77777777">
        <w:trPr>
          <w:cantSplit/>
        </w:trPr>
        <w:tc>
          <w:tcPr>
            <w:tcW w:w="2250" w:type="dxa"/>
          </w:tcPr>
          <w:p w14:paraId="5F81E2E6"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14EA7955"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payments made during the financial year in fulfilment of any guarantee by the Government under any Act</w:t>
            </w:r>
          </w:p>
        </w:tc>
        <w:tc>
          <w:tcPr>
            <w:tcW w:w="3240" w:type="dxa"/>
          </w:tcPr>
          <w:p w14:paraId="023D7B50" w14:textId="62CCFBBB" w:rsidR="00A20CD2" w:rsidRPr="00064793" w:rsidRDefault="00A20CD2" w:rsidP="00FF2EE1">
            <w:pPr>
              <w:spacing w:before="20" w:after="20"/>
              <w:rPr>
                <w:rFonts w:ascii="Calibri" w:eastAsia="Times New Roman" w:hAnsi="Calibri"/>
                <w:color w:val="000000" w:themeColor="text1"/>
                <w:sz w:val="20"/>
                <w:szCs w:val="20"/>
              </w:rPr>
            </w:pPr>
            <w:r w:rsidRPr="007F3491">
              <w:rPr>
                <w:rFonts w:ascii="Calibri" w:eastAsia="Times New Roman" w:hAnsi="Calibri"/>
                <w:sz w:val="20"/>
                <w:szCs w:val="20"/>
              </w:rPr>
              <w:t xml:space="preserve">Chapter 4, Note </w:t>
            </w:r>
            <w:r w:rsidR="004326B2" w:rsidRPr="000D0F94">
              <w:rPr>
                <w:rFonts w:ascii="Calibri" w:eastAsia="Times New Roman" w:hAnsi="Calibri"/>
                <w:sz w:val="20"/>
                <w:szCs w:val="20"/>
              </w:rPr>
              <w:t>7</w:t>
            </w:r>
            <w:r w:rsidRPr="007F3491">
              <w:rPr>
                <w:rFonts w:ascii="Calibri" w:eastAsia="Times New Roman" w:hAnsi="Calibri"/>
                <w:sz w:val="20"/>
                <w:szCs w:val="20"/>
              </w:rPr>
              <w:t>.2.15 Government guarantees</w:t>
            </w:r>
          </w:p>
        </w:tc>
      </w:tr>
      <w:tr w:rsidR="00A20CD2" w:rsidRPr="00C508EE" w14:paraId="132E610C" w14:textId="77777777">
        <w:trPr>
          <w:cantSplit/>
        </w:trPr>
        <w:tc>
          <w:tcPr>
            <w:tcW w:w="2250" w:type="dxa"/>
          </w:tcPr>
          <w:p w14:paraId="0859824B"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6CE830C7" w14:textId="77777777"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money received or recovered by the Minister or Treasurer during the financial year in respect of any guarantee payments</w:t>
            </w:r>
            <w:r>
              <w:rPr>
                <w:rFonts w:ascii="Calibri" w:eastAsia="Times New Roman" w:hAnsi="Calibri"/>
                <w:sz w:val="20"/>
                <w:szCs w:val="20"/>
              </w:rPr>
              <w:t>.</w:t>
            </w:r>
          </w:p>
        </w:tc>
        <w:tc>
          <w:tcPr>
            <w:tcW w:w="3240" w:type="dxa"/>
          </w:tcPr>
          <w:p w14:paraId="22A4466C" w14:textId="537B0CBD"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064793" w:rsidRPr="00735018">
              <w:rPr>
                <w:rFonts w:ascii="Calibri" w:eastAsia="Times New Roman" w:hAnsi="Calibri"/>
                <w:sz w:val="20"/>
                <w:szCs w:val="20"/>
              </w:rPr>
              <w:t>7</w:t>
            </w:r>
            <w:r w:rsidRPr="00735018">
              <w:rPr>
                <w:rFonts w:ascii="Calibri" w:eastAsia="Times New Roman" w:hAnsi="Calibri"/>
                <w:sz w:val="20"/>
                <w:szCs w:val="20"/>
              </w:rPr>
              <w:t>.2.15</w:t>
            </w:r>
            <w:r w:rsidRPr="00735018">
              <w:rPr>
                <w:sz w:val="20"/>
                <w:szCs w:val="20"/>
              </w:rPr>
              <w:t xml:space="preserve"> </w:t>
            </w:r>
            <w:r w:rsidRPr="00735018">
              <w:rPr>
                <w:rFonts w:ascii="Calibri" w:eastAsia="Times New Roman" w:hAnsi="Calibri"/>
                <w:sz w:val="20"/>
                <w:szCs w:val="20"/>
              </w:rPr>
              <w:t>Government guarantees</w:t>
            </w:r>
          </w:p>
        </w:tc>
      </w:tr>
      <w:tr w:rsidR="00A20CD2" w:rsidRPr="00C508EE" w14:paraId="1257B399" w14:textId="77777777">
        <w:trPr>
          <w:cantSplit/>
        </w:trPr>
        <w:tc>
          <w:tcPr>
            <w:tcW w:w="2250" w:type="dxa"/>
          </w:tcPr>
          <w:p w14:paraId="754DCB98"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br w:type="page"/>
            </w:r>
          </w:p>
        </w:tc>
        <w:tc>
          <w:tcPr>
            <w:tcW w:w="4183" w:type="dxa"/>
          </w:tcPr>
          <w:p w14:paraId="448875F0"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(k)</w:t>
            </w:r>
            <w:r w:rsidRPr="00C508EE">
              <w:rPr>
                <w:rFonts w:ascii="Calibri" w:eastAsia="Times New Roman" w:hAnsi="Calibri"/>
                <w:sz w:val="20"/>
                <w:szCs w:val="20"/>
              </w:rPr>
              <w:tab/>
              <w:t>must include details, as at the end of the financial year, of</w:t>
            </w:r>
            <w:r>
              <w:rPr>
                <w:rFonts w:ascii="Calibri" w:eastAsia="Times New Roman" w:hAnsi="Calibri"/>
                <w:sz w:val="20"/>
                <w:szCs w:val="20"/>
              </w:rPr>
              <w:t>:</w:t>
            </w:r>
          </w:p>
        </w:tc>
        <w:tc>
          <w:tcPr>
            <w:tcW w:w="3240" w:type="dxa"/>
          </w:tcPr>
          <w:p w14:paraId="42214B6F" w14:textId="77777777" w:rsidR="00A20CD2" w:rsidRPr="00C508EE" w:rsidRDefault="00A20CD2" w:rsidP="00FF2EE1">
            <w:pPr>
              <w:spacing w:before="20" w:after="20"/>
              <w:rPr>
                <w:rFonts w:ascii="Calibri" w:eastAsia="Times New Roman" w:hAnsi="Calibri"/>
                <w:sz w:val="20"/>
                <w:szCs w:val="20"/>
              </w:rPr>
            </w:pPr>
          </w:p>
        </w:tc>
      </w:tr>
      <w:tr w:rsidR="00A20CD2" w:rsidRPr="00C508EE" w14:paraId="525F09A3" w14:textId="77777777">
        <w:trPr>
          <w:cantSplit/>
        </w:trPr>
        <w:tc>
          <w:tcPr>
            <w:tcW w:w="2250" w:type="dxa"/>
          </w:tcPr>
          <w:p w14:paraId="4991B8FE"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672BBE4" w14:textId="5C852B65" w:rsidR="00A20CD2"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w:t>
            </w:r>
            <w:r w:rsidRPr="00C508EE">
              <w:rPr>
                <w:rFonts w:ascii="Calibri" w:eastAsia="Times New Roman" w:hAnsi="Calibri"/>
                <w:sz w:val="20"/>
                <w:szCs w:val="20"/>
              </w:rPr>
              <w:tab/>
              <w:t>the liabilities (including contingent liabilities under guarantees and indemnities or in respect of superannuation payments and all other contingent liabilities) and assets of the State</w:t>
            </w:r>
            <w:r w:rsidR="002F232D">
              <w:rPr>
                <w:rFonts w:ascii="Calibri" w:eastAsia="Times New Roman" w:hAnsi="Calibri"/>
                <w:sz w:val="20"/>
                <w:szCs w:val="20"/>
              </w:rPr>
              <w:t xml:space="preserve"> and</w:t>
            </w:r>
          </w:p>
        </w:tc>
        <w:tc>
          <w:tcPr>
            <w:tcW w:w="3240" w:type="dxa"/>
          </w:tcPr>
          <w:p w14:paraId="2A9F0EF1" w14:textId="7E742C1B"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w:t>
            </w:r>
            <w:r w:rsidR="009058C8" w:rsidRPr="00735018">
              <w:rPr>
                <w:rFonts w:ascii="Calibri" w:eastAsia="Times New Roman" w:hAnsi="Calibri"/>
                <w:sz w:val="20"/>
                <w:szCs w:val="20"/>
              </w:rPr>
              <w:t>c</w:t>
            </w:r>
            <w:r w:rsidRPr="00735018">
              <w:rPr>
                <w:rFonts w:ascii="Calibri" w:eastAsia="Times New Roman" w:hAnsi="Calibri"/>
                <w:sz w:val="20"/>
                <w:szCs w:val="20"/>
              </w:rPr>
              <w:t>onsolidated balance sheet</w:t>
            </w:r>
          </w:p>
          <w:p w14:paraId="330D09CB" w14:textId="68CCA046"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Refer Chapter 4, Note </w:t>
            </w:r>
            <w:r w:rsidR="00707169" w:rsidRPr="00735018">
              <w:rPr>
                <w:rFonts w:ascii="Calibri" w:eastAsia="Times New Roman" w:hAnsi="Calibri"/>
                <w:sz w:val="20"/>
                <w:szCs w:val="20"/>
              </w:rPr>
              <w:t>6</w:t>
            </w:r>
            <w:r w:rsidRPr="00735018">
              <w:rPr>
                <w:rFonts w:ascii="Calibri" w:eastAsia="Times New Roman" w:hAnsi="Calibri"/>
                <w:sz w:val="20"/>
                <w:szCs w:val="20"/>
              </w:rPr>
              <w:t xml:space="preserve">.2 Contingent assets and contingent liabilities </w:t>
            </w:r>
          </w:p>
          <w:p w14:paraId="163D8D36" w14:textId="0787E675"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3.2 Superannuation interest expense and other superannuation expenses and Note </w:t>
            </w:r>
            <w:r w:rsidR="00CA66E4" w:rsidRPr="00735018">
              <w:rPr>
                <w:rFonts w:ascii="Calibri" w:eastAsia="Times New Roman" w:hAnsi="Calibri"/>
                <w:sz w:val="20"/>
                <w:szCs w:val="20"/>
              </w:rPr>
              <w:t>3.3</w:t>
            </w:r>
            <w:r w:rsidRPr="00735018">
              <w:rPr>
                <w:rFonts w:ascii="Calibri" w:eastAsia="Times New Roman" w:hAnsi="Calibri"/>
                <w:sz w:val="20"/>
                <w:szCs w:val="20"/>
              </w:rPr>
              <w:t xml:space="preserve"> Superannuation</w:t>
            </w:r>
          </w:p>
        </w:tc>
      </w:tr>
      <w:tr w:rsidR="00A20CD2" w:rsidRPr="00C508EE" w14:paraId="540A8F99" w14:textId="77777777">
        <w:trPr>
          <w:cantSplit/>
        </w:trPr>
        <w:tc>
          <w:tcPr>
            <w:tcW w:w="2250" w:type="dxa"/>
          </w:tcPr>
          <w:p w14:paraId="230194D3"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0EB717A1" w14:textId="3C160E76" w:rsidR="003402CC" w:rsidRPr="00C508EE" w:rsidRDefault="00A20CD2" w:rsidP="00FF2EE1">
            <w:pPr>
              <w:spacing w:before="20" w:after="20"/>
              <w:ind w:left="720" w:hanging="360"/>
              <w:rPr>
                <w:rFonts w:ascii="Calibri" w:eastAsia="Times New Roman" w:hAnsi="Calibri"/>
                <w:sz w:val="20"/>
                <w:szCs w:val="20"/>
              </w:rPr>
            </w:pPr>
            <w:r w:rsidRPr="00C508EE">
              <w:rPr>
                <w:rFonts w:ascii="Calibri" w:eastAsia="Times New Roman" w:hAnsi="Calibri"/>
                <w:sz w:val="20"/>
                <w:szCs w:val="20"/>
              </w:rPr>
              <w:t>(ii)</w:t>
            </w:r>
            <w:r w:rsidRPr="00C508EE">
              <w:rPr>
                <w:rFonts w:ascii="Calibri" w:eastAsia="Times New Roman" w:hAnsi="Calibri"/>
                <w:sz w:val="20"/>
                <w:szCs w:val="20"/>
              </w:rPr>
              <w:tab/>
              <w:t>prescribed assets and prescribed liabilities of prescribed bodies</w:t>
            </w:r>
            <w:r>
              <w:rPr>
                <w:rFonts w:ascii="Calibri" w:eastAsia="Times New Roman" w:hAnsi="Calibri"/>
                <w:sz w:val="20"/>
                <w:szCs w:val="20"/>
              </w:rPr>
              <w:t>.</w:t>
            </w:r>
          </w:p>
        </w:tc>
        <w:tc>
          <w:tcPr>
            <w:tcW w:w="3240" w:type="dxa"/>
          </w:tcPr>
          <w:p w14:paraId="21123F13" w14:textId="4AD612A5" w:rsidR="003402CC"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Note </w:t>
            </w:r>
            <w:r w:rsidR="00D47222" w:rsidRPr="00735018">
              <w:rPr>
                <w:rFonts w:ascii="Calibri" w:eastAsia="Times New Roman" w:hAnsi="Calibri"/>
                <w:sz w:val="20"/>
                <w:szCs w:val="20"/>
              </w:rPr>
              <w:t>8</w:t>
            </w:r>
            <w:r w:rsidRPr="00735018">
              <w:rPr>
                <w:rFonts w:ascii="Calibri" w:eastAsia="Times New Roman" w:hAnsi="Calibri"/>
                <w:sz w:val="20"/>
                <w:szCs w:val="20"/>
              </w:rPr>
              <w:t>.1</w:t>
            </w:r>
            <w:r w:rsidRPr="00735018">
              <w:rPr>
                <w:sz w:val="20"/>
                <w:szCs w:val="20"/>
              </w:rPr>
              <w:t xml:space="preserve"> </w:t>
            </w:r>
            <w:r w:rsidRPr="00735018">
              <w:rPr>
                <w:rFonts w:ascii="Calibri" w:eastAsia="Times New Roman" w:hAnsi="Calibri"/>
                <w:sz w:val="20"/>
                <w:szCs w:val="20"/>
              </w:rPr>
              <w:t>Disaggregated information, and Chapter 5, Table 5.2 Non-financial public sector balance sheet for the financial year ended 30</w:t>
            </w:r>
            <w:r w:rsidR="004C6E8D">
              <w:rPr>
                <w:rFonts w:ascii="Calibri" w:eastAsia="Times New Roman" w:hAnsi="Calibri"/>
                <w:sz w:val="20"/>
                <w:szCs w:val="20"/>
              </w:rPr>
              <w:t> </w:t>
            </w:r>
            <w:r w:rsidRPr="00735018">
              <w:rPr>
                <w:rFonts w:ascii="Calibri" w:eastAsia="Times New Roman" w:hAnsi="Calibri"/>
                <w:sz w:val="20"/>
                <w:szCs w:val="20"/>
              </w:rPr>
              <w:t>June</w:t>
            </w:r>
          </w:p>
        </w:tc>
      </w:tr>
      <w:tr w:rsidR="00A20CD2" w:rsidRPr="00C508EE" w14:paraId="4673048F" w14:textId="77777777">
        <w:trPr>
          <w:cantSplit/>
        </w:trPr>
        <w:tc>
          <w:tcPr>
            <w:tcW w:w="2250" w:type="dxa"/>
          </w:tcPr>
          <w:p w14:paraId="3433B64D" w14:textId="356F6B6A" w:rsidR="00A20CD2" w:rsidRPr="00C508EE" w:rsidRDefault="00A20CD2" w:rsidP="00A37AD9">
            <w:pPr>
              <w:spacing w:before="20" w:after="20"/>
              <w:rPr>
                <w:rFonts w:ascii="Calibri" w:eastAsia="Times New Roman" w:hAnsi="Calibri"/>
                <w:sz w:val="20"/>
                <w:szCs w:val="20"/>
              </w:rPr>
            </w:pPr>
          </w:p>
        </w:tc>
        <w:tc>
          <w:tcPr>
            <w:tcW w:w="4183" w:type="dxa"/>
          </w:tcPr>
          <w:p w14:paraId="3EE57A05" w14:textId="2DF032B4"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w:t>
            </w:r>
            <w:r w:rsidR="00405D12">
              <w:rPr>
                <w:rFonts w:ascii="Calibri" w:eastAsia="Times New Roman" w:hAnsi="Calibri"/>
                <w:sz w:val="20"/>
                <w:szCs w:val="20"/>
              </w:rPr>
              <w:t>m</w:t>
            </w:r>
            <w:r w:rsidRPr="00C508EE">
              <w:rPr>
                <w:rFonts w:ascii="Calibri" w:eastAsia="Times New Roman" w:hAnsi="Calibri"/>
                <w:sz w:val="20"/>
                <w:szCs w:val="20"/>
              </w:rPr>
              <w:t xml:space="preserve">) </w:t>
            </w:r>
            <w:r>
              <w:tab/>
            </w:r>
            <w:r w:rsidRPr="00C508EE">
              <w:rPr>
                <w:rFonts w:ascii="Calibri" w:eastAsia="Times New Roman" w:hAnsi="Calibri"/>
                <w:sz w:val="20"/>
                <w:szCs w:val="20"/>
              </w:rPr>
              <w:t>must be audited by the Auditor</w:t>
            </w:r>
            <w:r w:rsidR="00E2740D">
              <w:rPr>
                <w:rFonts w:ascii="Calibri" w:eastAsia="Times New Roman" w:hAnsi="Calibri"/>
                <w:sz w:val="20"/>
                <w:szCs w:val="20"/>
              </w:rPr>
              <w:t>-</w:t>
            </w:r>
            <w:r w:rsidRPr="00C508EE">
              <w:rPr>
                <w:rFonts w:ascii="Calibri" w:eastAsia="Times New Roman" w:hAnsi="Calibri"/>
                <w:sz w:val="20"/>
                <w:szCs w:val="20"/>
              </w:rPr>
              <w:t>General.</w:t>
            </w:r>
          </w:p>
        </w:tc>
        <w:tc>
          <w:tcPr>
            <w:tcW w:w="3240" w:type="dxa"/>
          </w:tcPr>
          <w:p w14:paraId="0486E7B0" w14:textId="1F5268F6"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Chapter 4, </w:t>
            </w:r>
            <w:r w:rsidRPr="00735018">
              <w:rPr>
                <w:rFonts w:ascii="Calibri" w:eastAsia="Times New Roman" w:hAnsi="Calibri"/>
                <w:i/>
                <w:sz w:val="20"/>
                <w:szCs w:val="20"/>
              </w:rPr>
              <w:t>Report of the Auditor</w:t>
            </w:r>
            <w:r w:rsidR="7A26AC29" w:rsidRPr="00735018">
              <w:rPr>
                <w:rFonts w:ascii="Calibri" w:eastAsia="Times New Roman" w:hAnsi="Calibri"/>
                <w:i/>
                <w:sz w:val="20"/>
                <w:szCs w:val="20"/>
              </w:rPr>
              <w:t xml:space="preserve"> </w:t>
            </w:r>
            <w:r w:rsidRPr="00735018">
              <w:rPr>
                <w:rFonts w:ascii="Calibri" w:eastAsia="Times New Roman" w:hAnsi="Calibri"/>
                <w:i/>
                <w:sz w:val="20"/>
                <w:szCs w:val="20"/>
              </w:rPr>
              <w:t>General</w:t>
            </w:r>
          </w:p>
        </w:tc>
      </w:tr>
      <w:tr w:rsidR="00A20CD2" w:rsidRPr="00C508EE" w14:paraId="7A57A57E" w14:textId="77777777">
        <w:trPr>
          <w:cantSplit/>
        </w:trPr>
        <w:tc>
          <w:tcPr>
            <w:tcW w:w="2250" w:type="dxa"/>
          </w:tcPr>
          <w:p w14:paraId="4582AF93"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26(1)</w:t>
            </w:r>
          </w:p>
        </w:tc>
        <w:tc>
          <w:tcPr>
            <w:tcW w:w="4183" w:type="dxa"/>
          </w:tcPr>
          <w:p w14:paraId="41967B23"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Minister must prepare a quarterly financial report for each quarter of each financial year.</w:t>
            </w:r>
          </w:p>
        </w:tc>
        <w:tc>
          <w:tcPr>
            <w:tcW w:w="3240" w:type="dxa"/>
          </w:tcPr>
          <w:p w14:paraId="44FEB44C" w14:textId="2D80AB4F"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Appendix A</w:t>
            </w:r>
          </w:p>
        </w:tc>
      </w:tr>
      <w:tr w:rsidR="00A20CD2" w:rsidRPr="00C508EE" w14:paraId="59A1D082" w14:textId="77777777">
        <w:trPr>
          <w:cantSplit/>
        </w:trPr>
        <w:tc>
          <w:tcPr>
            <w:tcW w:w="2250" w:type="dxa"/>
          </w:tcPr>
          <w:p w14:paraId="0F74C378" w14:textId="77777777" w:rsidR="00A20CD2" w:rsidRPr="00C508EE" w:rsidRDefault="00A20CD2" w:rsidP="00FF2EE1">
            <w:pPr>
              <w:keepNext/>
              <w:spacing w:before="20" w:after="20"/>
              <w:ind w:left="181" w:hanging="181"/>
              <w:rPr>
                <w:rFonts w:ascii="Calibri" w:eastAsia="Times New Roman" w:hAnsi="Calibri"/>
                <w:sz w:val="20"/>
                <w:szCs w:val="20"/>
              </w:rPr>
            </w:pPr>
            <w:r w:rsidRPr="00C508EE">
              <w:rPr>
                <w:rFonts w:ascii="Calibri" w:eastAsia="Times New Roman" w:hAnsi="Calibri"/>
                <w:sz w:val="20"/>
                <w:szCs w:val="20"/>
              </w:rPr>
              <w:t>Section 26(2)</w:t>
            </w:r>
          </w:p>
        </w:tc>
        <w:tc>
          <w:tcPr>
            <w:tcW w:w="4183" w:type="dxa"/>
          </w:tcPr>
          <w:p w14:paraId="0D7B8D44"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A quarterly financial report comprises:</w:t>
            </w:r>
          </w:p>
        </w:tc>
        <w:tc>
          <w:tcPr>
            <w:tcW w:w="3240" w:type="dxa"/>
          </w:tcPr>
          <w:p w14:paraId="57E725CB" w14:textId="77777777" w:rsidR="00A20CD2" w:rsidRPr="00C508EE" w:rsidRDefault="00A20CD2" w:rsidP="00FF2EE1">
            <w:pPr>
              <w:spacing w:before="20" w:after="20"/>
              <w:rPr>
                <w:rFonts w:ascii="Calibri" w:eastAsia="Times New Roman" w:hAnsi="Calibri"/>
                <w:sz w:val="20"/>
                <w:szCs w:val="20"/>
              </w:rPr>
            </w:pPr>
          </w:p>
        </w:tc>
      </w:tr>
      <w:tr w:rsidR="00A20CD2" w:rsidRPr="00C508EE" w14:paraId="00F3CED6" w14:textId="77777777">
        <w:trPr>
          <w:cantSplit/>
        </w:trPr>
        <w:tc>
          <w:tcPr>
            <w:tcW w:w="2250" w:type="dxa"/>
          </w:tcPr>
          <w:p w14:paraId="2FC8FD6B"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4CAEC4D1"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(a)</w:t>
            </w:r>
            <w:r w:rsidRPr="00C508EE">
              <w:rPr>
                <w:rFonts w:ascii="Calibri" w:eastAsia="Times New Roman" w:hAnsi="Calibri"/>
                <w:sz w:val="20"/>
                <w:szCs w:val="20"/>
              </w:rPr>
              <w:tab/>
              <w:t>a statement of financial performance of the Victorian general government sector for the quarter</w:t>
            </w:r>
          </w:p>
        </w:tc>
        <w:tc>
          <w:tcPr>
            <w:tcW w:w="3240" w:type="dxa"/>
          </w:tcPr>
          <w:p w14:paraId="67C162AF" w14:textId="3C38D3E2"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Appendix A, Table A.1</w:t>
            </w:r>
            <w:r w:rsidRPr="00735018">
              <w:t xml:space="preserve"> </w:t>
            </w:r>
            <w:r w:rsidRPr="00735018">
              <w:rPr>
                <w:rFonts w:ascii="Calibri" w:eastAsia="Times New Roman" w:hAnsi="Calibri"/>
                <w:sz w:val="20"/>
                <w:szCs w:val="20"/>
              </w:rPr>
              <w:t>Operating statement for the past five quarters</w:t>
            </w:r>
          </w:p>
        </w:tc>
      </w:tr>
      <w:tr w:rsidR="00A20CD2" w:rsidRPr="00C508EE" w14:paraId="523AFAF5" w14:textId="77777777">
        <w:trPr>
          <w:cantSplit/>
        </w:trPr>
        <w:tc>
          <w:tcPr>
            <w:tcW w:w="2250" w:type="dxa"/>
          </w:tcPr>
          <w:p w14:paraId="24529381"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0EF17257"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(b)</w:t>
            </w:r>
            <w:r w:rsidRPr="00C508EE">
              <w:rPr>
                <w:rFonts w:ascii="Calibri" w:eastAsia="Times New Roman" w:hAnsi="Calibri"/>
                <w:sz w:val="20"/>
                <w:szCs w:val="20"/>
              </w:rPr>
              <w:tab/>
              <w:t>a statement of financial position of the Victorian general government sector at the end of the quarter</w:t>
            </w:r>
          </w:p>
        </w:tc>
        <w:tc>
          <w:tcPr>
            <w:tcW w:w="3240" w:type="dxa"/>
          </w:tcPr>
          <w:p w14:paraId="5FBC349B" w14:textId="029F44C3"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Appendix A, Table A.2 Balance sheet as at the end of the past five quarters</w:t>
            </w:r>
          </w:p>
        </w:tc>
      </w:tr>
      <w:tr w:rsidR="00A20CD2" w:rsidRPr="00C508EE" w14:paraId="5E45E429" w14:textId="77777777">
        <w:trPr>
          <w:cantSplit/>
        </w:trPr>
        <w:tc>
          <w:tcPr>
            <w:tcW w:w="2250" w:type="dxa"/>
          </w:tcPr>
          <w:p w14:paraId="3BBA66AA"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901638B"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(c)</w:t>
            </w:r>
            <w:r w:rsidRPr="00C508EE">
              <w:rPr>
                <w:rFonts w:ascii="Calibri" w:eastAsia="Times New Roman" w:hAnsi="Calibri"/>
                <w:sz w:val="20"/>
                <w:szCs w:val="20"/>
              </w:rPr>
              <w:tab/>
              <w:t>a statement of cash flows of the Victorian general government sector for the quarter</w:t>
            </w:r>
          </w:p>
        </w:tc>
        <w:tc>
          <w:tcPr>
            <w:tcW w:w="3240" w:type="dxa"/>
          </w:tcPr>
          <w:p w14:paraId="4554B8E4" w14:textId="331D990C"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Appendix A, Table A.3 Statement of cash flows for the past five quarters</w:t>
            </w:r>
          </w:p>
        </w:tc>
      </w:tr>
      <w:tr w:rsidR="00A20CD2" w:rsidRPr="00C508EE" w14:paraId="3CDA6434" w14:textId="77777777">
        <w:trPr>
          <w:cantSplit/>
        </w:trPr>
        <w:tc>
          <w:tcPr>
            <w:tcW w:w="2250" w:type="dxa"/>
          </w:tcPr>
          <w:p w14:paraId="3A4ED0DC" w14:textId="77777777" w:rsidR="00A20CD2" w:rsidRPr="00C508EE" w:rsidRDefault="00A20CD2" w:rsidP="00FF2EE1">
            <w:pPr>
              <w:spacing w:before="20" w:after="20"/>
              <w:ind w:left="180" w:hanging="180"/>
              <w:rPr>
                <w:rFonts w:ascii="Calibri" w:eastAsia="Times New Roman" w:hAnsi="Calibri"/>
                <w:sz w:val="20"/>
                <w:szCs w:val="20"/>
              </w:rPr>
            </w:pPr>
          </w:p>
        </w:tc>
        <w:tc>
          <w:tcPr>
            <w:tcW w:w="4183" w:type="dxa"/>
          </w:tcPr>
          <w:p w14:paraId="7CAF6B33" w14:textId="77777777" w:rsidR="00A20CD2" w:rsidRPr="00C508EE" w:rsidRDefault="00A20CD2" w:rsidP="00FF2EE1">
            <w:pPr>
              <w:spacing w:before="20" w:after="20"/>
              <w:ind w:left="362" w:hanging="362"/>
              <w:rPr>
                <w:rFonts w:ascii="Calibri" w:eastAsia="Times New Roman" w:hAnsi="Calibri"/>
                <w:sz w:val="20"/>
                <w:szCs w:val="20"/>
              </w:rPr>
            </w:pPr>
            <w:r w:rsidRPr="00C508EE">
              <w:rPr>
                <w:rFonts w:ascii="Calibri" w:eastAsia="Times New Roman" w:hAnsi="Calibri"/>
                <w:sz w:val="20"/>
                <w:szCs w:val="20"/>
              </w:rPr>
              <w:t>(d)</w:t>
            </w:r>
            <w:r w:rsidRPr="00C508EE">
              <w:rPr>
                <w:rFonts w:ascii="Calibri" w:eastAsia="Times New Roman" w:hAnsi="Calibri"/>
                <w:sz w:val="20"/>
                <w:szCs w:val="20"/>
              </w:rPr>
              <w:tab/>
              <w:t>a statement of the accounting policies on which the statements required by paragraphs (a), (b) and (c) are based.</w:t>
            </w:r>
          </w:p>
        </w:tc>
        <w:tc>
          <w:tcPr>
            <w:tcW w:w="3240" w:type="dxa"/>
          </w:tcPr>
          <w:p w14:paraId="70B07737" w14:textId="0EE3BAC6" w:rsidR="00A20CD2" w:rsidRPr="00735018"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Chapter 4</w:t>
            </w:r>
          </w:p>
        </w:tc>
      </w:tr>
      <w:tr w:rsidR="00A20CD2" w:rsidRPr="00C508EE" w14:paraId="1E33E7F5" w14:textId="77777777">
        <w:trPr>
          <w:cantSplit/>
        </w:trPr>
        <w:tc>
          <w:tcPr>
            <w:tcW w:w="2250" w:type="dxa"/>
          </w:tcPr>
          <w:p w14:paraId="2142F609"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26(2A)</w:t>
            </w:r>
          </w:p>
        </w:tc>
        <w:tc>
          <w:tcPr>
            <w:tcW w:w="4183" w:type="dxa"/>
          </w:tcPr>
          <w:p w14:paraId="20E57443"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A quarterly financial report must be prepared in the manner and form determined by the Minister, having regard to appropriate financial reporting frameworks.</w:t>
            </w:r>
          </w:p>
        </w:tc>
        <w:tc>
          <w:tcPr>
            <w:tcW w:w="3240" w:type="dxa"/>
          </w:tcPr>
          <w:p w14:paraId="1DAA02A3" w14:textId="77777777"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 xml:space="preserve">Refer to Appendix A for agreed form </w:t>
            </w:r>
          </w:p>
        </w:tc>
      </w:tr>
      <w:tr w:rsidR="00A20CD2" w:rsidRPr="00C508EE" w14:paraId="017BF885" w14:textId="77777777">
        <w:trPr>
          <w:cantSplit/>
        </w:trPr>
        <w:tc>
          <w:tcPr>
            <w:tcW w:w="2250" w:type="dxa"/>
            <w:tcBorders>
              <w:bottom w:val="single" w:sz="12" w:space="0" w:color="auto"/>
            </w:tcBorders>
          </w:tcPr>
          <w:p w14:paraId="48565315" w14:textId="77777777" w:rsidR="00A20CD2" w:rsidRPr="00C508EE" w:rsidRDefault="00A20CD2" w:rsidP="00FF2EE1">
            <w:pPr>
              <w:spacing w:before="20" w:after="20"/>
              <w:ind w:left="180" w:hanging="180"/>
              <w:rPr>
                <w:rFonts w:ascii="Calibri" w:eastAsia="Times New Roman" w:hAnsi="Calibri"/>
                <w:sz w:val="20"/>
                <w:szCs w:val="20"/>
              </w:rPr>
            </w:pPr>
            <w:r w:rsidRPr="00C508EE">
              <w:rPr>
                <w:rFonts w:ascii="Calibri" w:eastAsia="Times New Roman" w:hAnsi="Calibri"/>
                <w:sz w:val="20"/>
                <w:szCs w:val="20"/>
              </w:rPr>
              <w:t>Section 26(3A)</w:t>
            </w:r>
          </w:p>
        </w:tc>
        <w:tc>
          <w:tcPr>
            <w:tcW w:w="4183" w:type="dxa"/>
            <w:tcBorders>
              <w:bottom w:val="single" w:sz="12" w:space="0" w:color="auto"/>
            </w:tcBorders>
          </w:tcPr>
          <w:p w14:paraId="32BE257F" w14:textId="77777777" w:rsidR="00A20CD2" w:rsidRPr="00C508EE" w:rsidRDefault="00A20CD2" w:rsidP="00FF2EE1">
            <w:pPr>
              <w:spacing w:before="20" w:after="20"/>
              <w:rPr>
                <w:rFonts w:ascii="Calibri" w:eastAsia="Times New Roman" w:hAnsi="Calibri"/>
                <w:sz w:val="20"/>
                <w:szCs w:val="20"/>
              </w:rPr>
            </w:pPr>
            <w:r w:rsidRPr="00C508EE">
              <w:rPr>
                <w:rFonts w:ascii="Calibri" w:eastAsia="Times New Roman" w:hAnsi="Calibri"/>
                <w:sz w:val="20"/>
                <w:szCs w:val="20"/>
              </w:rPr>
              <w:t>The quarterly financial report for the quarter ending on 30 June in a financial year must include, in addition to the statements referred to in sub</w:t>
            </w:r>
            <w:r w:rsidRPr="00C508EE">
              <w:rPr>
                <w:rFonts w:ascii="Calibri" w:eastAsia="Times New Roman" w:hAnsi="Calibri"/>
                <w:sz w:val="20"/>
                <w:szCs w:val="20"/>
              </w:rPr>
              <w:noBreakHyphen/>
              <w:t>section (2)(a) to (d) for that quarter, those statements for the period of 12 months ending on that 30 June.</w:t>
            </w:r>
          </w:p>
        </w:tc>
        <w:tc>
          <w:tcPr>
            <w:tcW w:w="3240" w:type="dxa"/>
            <w:tcBorders>
              <w:bottom w:val="single" w:sz="12" w:space="0" w:color="auto"/>
            </w:tcBorders>
          </w:tcPr>
          <w:p w14:paraId="43B13CF2" w14:textId="4FB2507C" w:rsidR="00A20CD2" w:rsidRPr="00C508EE" w:rsidRDefault="00A20CD2" w:rsidP="00FF2EE1">
            <w:pPr>
              <w:spacing w:before="20" w:after="20"/>
              <w:rPr>
                <w:rFonts w:ascii="Calibri" w:eastAsia="Times New Roman" w:hAnsi="Calibri"/>
                <w:sz w:val="20"/>
                <w:szCs w:val="20"/>
              </w:rPr>
            </w:pPr>
            <w:r w:rsidRPr="00735018">
              <w:rPr>
                <w:rFonts w:ascii="Calibri" w:eastAsia="Times New Roman" w:hAnsi="Calibri"/>
                <w:sz w:val="20"/>
                <w:szCs w:val="20"/>
              </w:rPr>
              <w:t>Chapter 4, consolidated comprehensive operating statement, consolidated balance sheet, consolidated cash flow statement and selected notes</w:t>
            </w:r>
          </w:p>
        </w:tc>
      </w:tr>
    </w:tbl>
    <w:p w14:paraId="4C54BE4F" w14:textId="77777777" w:rsidR="00A20CD2" w:rsidRDefault="00A20CD2" w:rsidP="00097095"/>
    <w:p w14:paraId="6C0457D0" w14:textId="5B30197D" w:rsidR="00BC0C0C" w:rsidRDefault="00BC0C0C">
      <w:pPr>
        <w:keepLines w:val="0"/>
      </w:pPr>
      <w:r>
        <w:br w:type="page"/>
      </w:r>
    </w:p>
    <w:p w14:paraId="5F4EAF31" w14:textId="77777777" w:rsidR="00A20CD2" w:rsidRDefault="00A20CD2" w:rsidP="00097095"/>
    <w:p w14:paraId="1C3FEB3C" w14:textId="77777777" w:rsidR="00BC0C0C" w:rsidRDefault="00BC0C0C" w:rsidP="00097095"/>
    <w:p w14:paraId="7DA9C41A" w14:textId="77777777" w:rsidR="00A20CD2" w:rsidRDefault="00A20CD2" w:rsidP="00097095">
      <w:pPr>
        <w:sectPr w:rsidR="00A20CD2" w:rsidSect="00760D40">
          <w:headerReference w:type="even" r:id="rId137"/>
          <w:headerReference w:type="default" r:id="rId138"/>
          <w:footerReference w:type="even" r:id="rId139"/>
          <w:footerReference w:type="default" r:id="rId140"/>
          <w:headerReference w:type="first" r:id="rId141"/>
          <w:footerReference w:type="first" r:id="rId142"/>
          <w:pgSz w:w="11906" w:h="16838" w:code="9"/>
          <w:pgMar w:top="1134" w:right="1134" w:bottom="1134" w:left="1134" w:header="624" w:footer="567" w:gutter="0"/>
          <w:cols w:space="708"/>
          <w:docGrid w:linePitch="360"/>
        </w:sectPr>
      </w:pPr>
    </w:p>
    <w:p w14:paraId="74D51380" w14:textId="77777777" w:rsidR="00A20CD2" w:rsidRDefault="00A20CD2" w:rsidP="00712174">
      <w:pPr>
        <w:pStyle w:val="ChapterHeading"/>
        <w:pageBreakBefore/>
      </w:pPr>
      <w:bookmarkStart w:id="201" w:name="_Toc209474771"/>
      <w:bookmarkStart w:id="202" w:name="_Toc209474804"/>
      <w:r>
        <w:lastRenderedPageBreak/>
        <w:t>Style conventions</w:t>
      </w:r>
      <w:bookmarkEnd w:id="201"/>
      <w:bookmarkEnd w:id="202"/>
    </w:p>
    <w:p w14:paraId="2D5A11A8" w14:textId="77777777" w:rsidR="00A20CD2" w:rsidRDefault="00A20CD2" w:rsidP="00097095">
      <w:r>
        <w:t>Figures in the tables and in the text have been rounded. Discrepancies in tables between totals and sums of components reflect rounding. Percentage variations in all tables are based on the underlying unrounded amounts.</w:t>
      </w:r>
    </w:p>
    <w:p w14:paraId="7364331E" w14:textId="77777777" w:rsidR="00A20CD2" w:rsidRDefault="00A20CD2" w:rsidP="00097095">
      <w:r>
        <w:t>The notation used in the tables is as follows:</w:t>
      </w:r>
    </w:p>
    <w:p w14:paraId="660A04FA" w14:textId="77777777" w:rsidR="00A20CD2" w:rsidRDefault="00A20CD2" w:rsidP="0099640D">
      <w:pPr>
        <w:tabs>
          <w:tab w:val="left" w:pos="2410"/>
        </w:tabs>
        <w:spacing w:before="240"/>
        <w:ind w:left="567"/>
      </w:pPr>
      <w:r>
        <w:t>n.a.</w:t>
      </w:r>
      <w:r>
        <w:tab/>
        <w:t>not available or not applicable</w:t>
      </w:r>
    </w:p>
    <w:p w14:paraId="296DC70F" w14:textId="77777777" w:rsidR="00A20CD2" w:rsidRDefault="00A20CD2" w:rsidP="0099640D">
      <w:pPr>
        <w:tabs>
          <w:tab w:val="left" w:pos="2410"/>
        </w:tabs>
        <w:ind w:left="567"/>
      </w:pPr>
      <w:r>
        <w:t>1 billion</w:t>
      </w:r>
      <w:r>
        <w:tab/>
        <w:t>1 000 million</w:t>
      </w:r>
    </w:p>
    <w:p w14:paraId="737A54ED" w14:textId="77777777" w:rsidR="00A20CD2" w:rsidRDefault="00A20CD2" w:rsidP="0099640D">
      <w:pPr>
        <w:tabs>
          <w:tab w:val="left" w:pos="2410"/>
        </w:tabs>
        <w:ind w:left="567"/>
      </w:pPr>
      <w:r>
        <w:t>1 basis point</w:t>
      </w:r>
      <w:r>
        <w:tab/>
        <w:t>0.01 per cent</w:t>
      </w:r>
    </w:p>
    <w:p w14:paraId="3718F711" w14:textId="77777777" w:rsidR="00A20CD2" w:rsidRDefault="00A20CD2" w:rsidP="0099640D">
      <w:pPr>
        <w:tabs>
          <w:tab w:val="left" w:pos="2410"/>
        </w:tabs>
        <w:ind w:left="567"/>
      </w:pPr>
      <w:r>
        <w:t>..</w:t>
      </w:r>
      <w:r>
        <w:tab/>
        <w:t>zero, or rounded to zero</w:t>
      </w:r>
    </w:p>
    <w:p w14:paraId="53CB2177" w14:textId="77777777" w:rsidR="00A20CD2" w:rsidRDefault="00A20CD2" w:rsidP="0099640D">
      <w:pPr>
        <w:tabs>
          <w:tab w:val="left" w:pos="2410"/>
        </w:tabs>
        <w:ind w:left="567"/>
      </w:pPr>
      <w:r>
        <w:t>(x xxx.x)</w:t>
      </w:r>
      <w:r>
        <w:tab/>
        <w:t>negative amount</w:t>
      </w:r>
    </w:p>
    <w:p w14:paraId="32CFA75A" w14:textId="77777777" w:rsidR="00A20CD2" w:rsidRDefault="00A20CD2" w:rsidP="0099640D">
      <w:pPr>
        <w:tabs>
          <w:tab w:val="left" w:pos="2410"/>
        </w:tabs>
        <w:ind w:left="567"/>
      </w:pPr>
      <w:r>
        <w:t>x xxx.0</w:t>
      </w:r>
      <w:r>
        <w:tab/>
        <w:t>rounded amount</w:t>
      </w:r>
    </w:p>
    <w:p w14:paraId="6353E85B" w14:textId="77777777" w:rsidR="00A20CD2" w:rsidRDefault="00A20CD2" w:rsidP="0099640D">
      <w:pPr>
        <w:tabs>
          <w:tab w:val="left" w:pos="2410"/>
        </w:tabs>
        <w:ind w:left="567"/>
      </w:pPr>
      <w:r>
        <w:t>202x</w:t>
      </w:r>
      <w:r>
        <w:tab/>
        <w:t>financial year</w:t>
      </w:r>
    </w:p>
    <w:p w14:paraId="2505E1E6" w14:textId="77777777" w:rsidR="00A20CD2" w:rsidRDefault="00A20CD2" w:rsidP="00097095"/>
    <w:p w14:paraId="6DB7EB2D" w14:textId="77777777" w:rsidR="00A20CD2" w:rsidRDefault="00A20CD2" w:rsidP="00097095">
      <w:r>
        <w:t xml:space="preserve">Please refer to the </w:t>
      </w:r>
      <w:r w:rsidRPr="00342513">
        <w:rPr>
          <w:b/>
          <w:bCs/>
        </w:rPr>
        <w:t>Treasury and Finance glossary for budget and financial reports</w:t>
      </w:r>
      <w:r>
        <w:t xml:space="preserve"> at dtf.vic.gov.au for additional terms and references.</w:t>
      </w:r>
    </w:p>
    <w:p w14:paraId="43C60726" w14:textId="77777777" w:rsidR="00A20CD2" w:rsidRDefault="00A20CD2" w:rsidP="00097095"/>
    <w:p w14:paraId="1F0D0291" w14:textId="6BCB58D2" w:rsidR="00A20CD2" w:rsidRDefault="00A20CD2" w:rsidP="00097095">
      <w:r>
        <w:t xml:space="preserve">The </w:t>
      </w:r>
      <w:r w:rsidRPr="003F65B1">
        <w:rPr>
          <w:i/>
          <w:iCs/>
        </w:rPr>
        <w:t>Annual Financial Report</w:t>
      </w:r>
      <w:r>
        <w:t xml:space="preserve"> is based on the style set in the example of a general purpose financial report for a government in illustrative example A of AASB 1049 </w:t>
      </w:r>
      <w:r w:rsidRPr="00A057E2">
        <w:rPr>
          <w:i/>
          <w:iCs/>
        </w:rPr>
        <w:t>Whole of Government and General Government Sector Financial Reporting</w:t>
      </w:r>
      <w:r>
        <w:t>. The styles used in other chapters of this document are generally consistent with those used in other publications relating to the annual budget papers.</w:t>
      </w:r>
    </w:p>
    <w:p w14:paraId="244ADEDA" w14:textId="276694EE" w:rsidR="00A20CD2" w:rsidRPr="00A20CD2" w:rsidRDefault="00A20CD2" w:rsidP="00A20CD2">
      <w:pPr>
        <w:rPr>
          <w:rFonts w:asciiTheme="majorHAnsi" w:hAnsiTheme="majorHAnsi" w:cstheme="majorHAnsi"/>
          <w:sz w:val="24"/>
          <w:szCs w:val="24"/>
        </w:rPr>
      </w:pPr>
    </w:p>
    <w:p w14:paraId="7A838167" w14:textId="77777777" w:rsidR="00A44CB3" w:rsidRDefault="00A44CB3" w:rsidP="00A20CD2"/>
    <w:p w14:paraId="6CB0C1DF" w14:textId="77777777" w:rsidR="003315E9" w:rsidRDefault="003315E9" w:rsidP="00A20CD2"/>
    <w:p w14:paraId="75679FCE" w14:textId="77777777" w:rsidR="00A44CB3" w:rsidRDefault="00A44CB3" w:rsidP="00A20CD2">
      <w:pPr>
        <w:sectPr w:rsidR="00A44CB3" w:rsidSect="00913E9C">
          <w:footerReference w:type="even" r:id="rId143"/>
          <w:footerReference w:type="default" r:id="rId144"/>
          <w:pgSz w:w="11906" w:h="16838" w:code="9"/>
          <w:pgMar w:top="1138" w:right="1138" w:bottom="1138" w:left="1138" w:header="619" w:footer="562" w:gutter="0"/>
          <w:cols w:space="708"/>
          <w:docGrid w:linePitch="360"/>
        </w:sectPr>
      </w:pPr>
    </w:p>
    <w:p w14:paraId="6D5D2F3D" w14:textId="77777777" w:rsidR="00113094" w:rsidRPr="00990F3C" w:rsidRDefault="00113094" w:rsidP="00967540">
      <w:pPr>
        <w:pStyle w:val="Heading1"/>
      </w:pPr>
    </w:p>
    <w:sectPr w:rsidR="00113094" w:rsidRPr="00990F3C" w:rsidSect="00E70A14">
      <w:footerReference w:type="even" r:id="rId145"/>
      <w:footerReference w:type="default" r:id="rId146"/>
      <w:footerReference w:type="first" r:id="rId147"/>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729D2" w14:textId="77777777" w:rsidR="00E4184C" w:rsidRDefault="00E4184C" w:rsidP="00E97E54">
      <w:r>
        <w:separator/>
      </w:r>
    </w:p>
  </w:endnote>
  <w:endnote w:type="continuationSeparator" w:id="0">
    <w:p w14:paraId="71DB37E0" w14:textId="77777777" w:rsidR="00E4184C" w:rsidRDefault="00E4184C" w:rsidP="00E97E54">
      <w:r>
        <w:continuationSeparator/>
      </w:r>
    </w:p>
  </w:endnote>
  <w:endnote w:type="continuationNotice" w:id="1">
    <w:p w14:paraId="29EDFFDB" w14:textId="77777777" w:rsidR="00E4184C" w:rsidRDefault="00E41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BD57" w14:textId="77777777" w:rsidR="009B539A" w:rsidRDefault="009B539A">
    <w:pPr>
      <w:pStyle w:val="Footer"/>
    </w:pPr>
  </w:p>
  <w:p w14:paraId="19885A78" w14:textId="77777777" w:rsidR="009B539A" w:rsidRDefault="009B539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3784" w14:textId="1E284F66" w:rsidR="00DB388E" w:rsidRDefault="00DB388E" w:rsidP="008B0042">
    <w:pPr>
      <w:pStyle w:val="FooterEvenPage"/>
      <w:pBdr>
        <w:top w:val="single" w:sz="6" w:space="0" w:color="auto"/>
      </w:pBdr>
    </w:pPr>
    <w:r w:rsidRPr="008B0042">
      <w:fldChar w:fldCharType="begin"/>
    </w:r>
    <w:r>
      <w:instrText xml:space="preserve"> PAGE   \* MERGEFORMAT </w:instrText>
    </w:r>
    <w:r w:rsidRPr="008B0042">
      <w:fldChar w:fldCharType="separate"/>
    </w:r>
    <w:r>
      <w:rPr>
        <w:noProof/>
      </w:rPr>
      <w:t>2</w:t>
    </w:r>
    <w:r w:rsidRPr="008B0042">
      <w:fldChar w:fldCharType="end"/>
    </w:r>
    <w:r>
      <w:tab/>
      <w:t>Chapter 3</w:t>
    </w:r>
    <w:r>
      <w:tab/>
    </w:r>
    <w:r w:rsidR="004A6B5C">
      <w:t>2024-25 Financial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E2208" w14:textId="1B06B6ED" w:rsidR="00DB388E" w:rsidRPr="00030025" w:rsidRDefault="004A6B5C" w:rsidP="00030025">
    <w:pPr>
      <w:pStyle w:val="FooterOddPage"/>
    </w:pPr>
    <w:r>
      <w:t>2024-25 Financial Report</w:t>
    </w:r>
    <w:r w:rsidR="00DB388E" w:rsidRPr="00030025">
      <w:tab/>
      <w:t xml:space="preserve">Chapter </w:t>
    </w:r>
    <w:r w:rsidR="00D123D7">
      <w:t>3</w:t>
    </w:r>
    <w:r w:rsidR="00DB388E" w:rsidRPr="00030025">
      <w:tab/>
    </w:r>
    <w:r w:rsidR="00DB388E" w:rsidRPr="008B0042">
      <w:fldChar w:fldCharType="begin"/>
    </w:r>
    <w:r w:rsidR="00DB388E" w:rsidRPr="00030025">
      <w:instrText xml:space="preserve"> PAGE   \* MERGEFORMAT </w:instrText>
    </w:r>
    <w:r w:rsidR="00DB388E" w:rsidRPr="008B0042">
      <w:fldChar w:fldCharType="separate"/>
    </w:r>
    <w:r w:rsidR="00DB388E" w:rsidRPr="00030025">
      <w:t>1</w:t>
    </w:r>
    <w:r w:rsidR="00DB388E" w:rsidRPr="008B004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082B" w14:textId="709B8AF6" w:rsidR="004D42F9" w:rsidRDefault="004D42F9" w:rsidP="00030025">
    <w:pPr>
      <w:pStyle w:val="FooterEvenPage"/>
    </w:pPr>
    <w:r w:rsidRPr="000E6CEF">
      <w:fldChar w:fldCharType="begin"/>
    </w:r>
    <w:r>
      <w:instrText xml:space="preserve"> PAGE   \* MERGEFORMAT </w:instrText>
    </w:r>
    <w:r w:rsidRPr="000E6CEF">
      <w:fldChar w:fldCharType="separate"/>
    </w:r>
    <w:r>
      <w:rPr>
        <w:noProof/>
      </w:rPr>
      <w:t>2</w:t>
    </w:r>
    <w:r w:rsidRPr="000E6CEF">
      <w:fldChar w:fldCharType="end"/>
    </w:r>
    <w:r>
      <w:tab/>
      <w:t>Chapter 4</w:t>
    </w:r>
    <w:r>
      <w:tab/>
    </w:r>
    <w:r w:rsidR="004A6B5C">
      <w:t>2024-25 Financial Report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3423" w14:textId="612FD4D6" w:rsidR="004D42F9" w:rsidRPr="00030025" w:rsidRDefault="004A6B5C" w:rsidP="00030025">
    <w:pPr>
      <w:pStyle w:val="FooterOddPage"/>
    </w:pPr>
    <w:r>
      <w:t>2024-25 Financial Report</w:t>
    </w:r>
    <w:r w:rsidR="004D42F9" w:rsidRPr="00030025">
      <w:tab/>
      <w:t xml:space="preserve">Chapter </w:t>
    </w:r>
    <w:r w:rsidR="004D42F9">
      <w:t>4</w:t>
    </w:r>
    <w:r w:rsidR="004D42F9" w:rsidRPr="00030025">
      <w:tab/>
    </w:r>
    <w:r w:rsidR="004D42F9" w:rsidRPr="000E6CEF">
      <w:fldChar w:fldCharType="begin"/>
    </w:r>
    <w:r w:rsidR="004D42F9" w:rsidRPr="00030025">
      <w:instrText xml:space="preserve"> PAGE   \* MERGEFORMAT </w:instrText>
    </w:r>
    <w:r w:rsidR="004D42F9" w:rsidRPr="000E6CEF">
      <w:fldChar w:fldCharType="separate"/>
    </w:r>
    <w:r w:rsidR="004D42F9" w:rsidRPr="00030025">
      <w:t>1</w:t>
    </w:r>
    <w:r w:rsidR="004D42F9" w:rsidRPr="000E6CEF">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15BB" w14:textId="0D115057" w:rsidR="004F2221" w:rsidRDefault="00716409" w:rsidP="00716409">
    <w:pPr>
      <w:pStyle w:val="FooterOddPage"/>
    </w:pPr>
    <w:r>
      <w:t>2024-25 Financial Report</w:t>
    </w:r>
    <w:r w:rsidRPr="00030025">
      <w:tab/>
      <w:t xml:space="preserve">Chapter </w:t>
    </w:r>
    <w:r>
      <w:t>4</w:t>
    </w:r>
    <w:r w:rsidRPr="00030025">
      <w:tab/>
    </w:r>
    <w:r w:rsidR="004F2221" w:rsidRPr="000E6CEF">
      <w:fldChar w:fldCharType="begin"/>
    </w:r>
    <w:r w:rsidR="004F2221">
      <w:instrText xml:space="preserve"> PAGE   \* MERGEFORMAT </w:instrText>
    </w:r>
    <w:r w:rsidR="004F2221" w:rsidRPr="000E6CEF">
      <w:fldChar w:fldCharType="separate"/>
    </w:r>
    <w:r>
      <w:t>41</w:t>
    </w:r>
    <w:r w:rsidR="004F2221" w:rsidRPr="000E6CEF">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C151" w14:textId="77777777" w:rsidR="000C5277" w:rsidRDefault="00716409" w:rsidP="00030025">
    <w:pPr>
      <w:pStyle w:val="FooterEvenPage"/>
    </w:pPr>
    <w:r w:rsidRPr="000E6CEF">
      <w:fldChar w:fldCharType="begin"/>
    </w:r>
    <w:r>
      <w:instrText xml:space="preserve"> PAGE   \* MERGEFORMAT </w:instrText>
    </w:r>
    <w:r w:rsidRPr="000E6CEF">
      <w:fldChar w:fldCharType="separate"/>
    </w:r>
    <w:r>
      <w:rPr>
        <w:noProof/>
      </w:rPr>
      <w:t>2</w:t>
    </w:r>
    <w:r w:rsidRPr="000E6CEF">
      <w:fldChar w:fldCharType="end"/>
    </w:r>
    <w:r>
      <w:tab/>
      <w:t>Chapter 4</w:t>
    </w:r>
    <w:r>
      <w:tab/>
      <w:t>2024-25 Financial Report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3BCC" w14:textId="77777777" w:rsidR="004D42F9" w:rsidRPr="005B0F23" w:rsidRDefault="004D42F9" w:rsidP="0009709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5F5B" w14:textId="77777777" w:rsidR="004D42F9" w:rsidRPr="005B0F23" w:rsidRDefault="004D42F9" w:rsidP="0009709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7B8" w14:textId="466F09D8" w:rsidR="004D42F9" w:rsidRPr="005B0F23" w:rsidRDefault="004D42F9">
    <w:pPr>
      <w:pStyle w:val="FooterEvenPage"/>
    </w:pPr>
    <w:r w:rsidRPr="000E6CEF">
      <w:fldChar w:fldCharType="begin"/>
    </w:r>
    <w:r>
      <w:instrText xml:space="preserve"> PAGE   \* MERGEFORMAT </w:instrText>
    </w:r>
    <w:r w:rsidRPr="000E6CEF">
      <w:fldChar w:fldCharType="separate"/>
    </w:r>
    <w:r>
      <w:t>36</w:t>
    </w:r>
    <w:r w:rsidRPr="000E6CEF">
      <w:fldChar w:fldCharType="end"/>
    </w:r>
    <w:r>
      <w:tab/>
      <w:t>Chapter 4</w:t>
    </w:r>
    <w:r>
      <w:tab/>
    </w:r>
    <w:r w:rsidR="004A6B5C">
      <w:t>2024-25 Financial Report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67B9" w14:textId="6793F9CC" w:rsidR="004D42F9" w:rsidRPr="005B0F23" w:rsidRDefault="004A6B5C">
    <w:pPr>
      <w:pStyle w:val="FooterOddPage"/>
    </w:pPr>
    <w:r>
      <w:t>2024-25 Financial Report</w:t>
    </w:r>
    <w:r w:rsidR="004D42F9" w:rsidRPr="00030025">
      <w:tab/>
      <w:t xml:space="preserve">Chapter </w:t>
    </w:r>
    <w:r w:rsidR="004D42F9">
      <w:t>4</w:t>
    </w:r>
    <w:r w:rsidR="004D42F9" w:rsidRPr="00030025">
      <w:tab/>
    </w:r>
    <w:r w:rsidR="004D42F9" w:rsidRPr="000E6CEF">
      <w:fldChar w:fldCharType="begin"/>
    </w:r>
    <w:r w:rsidR="004D42F9" w:rsidRPr="00030025">
      <w:instrText xml:space="preserve"> PAGE   \* MERGEFORMAT </w:instrText>
    </w:r>
    <w:r w:rsidR="004D42F9" w:rsidRPr="000E6CEF">
      <w:fldChar w:fldCharType="separate"/>
    </w:r>
    <w:r w:rsidR="004D42F9">
      <w:t>35</w:t>
    </w:r>
    <w:r w:rsidR="004D42F9" w:rsidRPr="000E6CE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10E1D" w14:textId="622A24F0" w:rsidR="00224B2A" w:rsidRDefault="00224B2A" w:rsidP="00CC1335">
    <w:pPr>
      <w:pStyle w:val="FooterEvenPage"/>
    </w:pPr>
    <w:r>
      <w:tab/>
    </w:r>
    <w:r>
      <w:tab/>
    </w:r>
    <w:r w:rsidR="004A6B5C">
      <w:t>2024-25 Financial Report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0235" w14:textId="77777777" w:rsidR="004D42F9" w:rsidRPr="006A4810" w:rsidRDefault="004D42F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99F" w14:textId="77777777" w:rsidR="004D42F9" w:rsidRPr="006A4810" w:rsidRDefault="004D42F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32D5" w14:textId="7B0FEF50" w:rsidR="004D42F9" w:rsidRPr="005B0F23" w:rsidRDefault="004D42F9">
    <w:pPr>
      <w:pStyle w:val="FooterEvenPage"/>
    </w:pPr>
    <w:r w:rsidRPr="000E6CEF">
      <w:fldChar w:fldCharType="begin"/>
    </w:r>
    <w:r>
      <w:instrText xml:space="preserve"> PAGE   \* MERGEFORMAT </w:instrText>
    </w:r>
    <w:r w:rsidRPr="000E6CEF">
      <w:fldChar w:fldCharType="separate"/>
    </w:r>
    <w:r>
      <w:t>36</w:t>
    </w:r>
    <w:r w:rsidRPr="000E6CEF">
      <w:fldChar w:fldCharType="end"/>
    </w:r>
    <w:r>
      <w:tab/>
      <w:t>Chapter 4</w:t>
    </w:r>
    <w:r>
      <w:tab/>
    </w:r>
    <w:r w:rsidR="004A6B5C">
      <w:t>2024-25 Financial Report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B51A" w14:textId="46AF40DF" w:rsidR="004D42F9" w:rsidRPr="005B0F23" w:rsidRDefault="004A6B5C">
    <w:pPr>
      <w:pStyle w:val="FooterOddPage"/>
    </w:pPr>
    <w:r>
      <w:t>2024-25 Financial Report</w:t>
    </w:r>
    <w:r w:rsidR="004D42F9" w:rsidRPr="00030025">
      <w:tab/>
      <w:t xml:space="preserve">Chapter </w:t>
    </w:r>
    <w:r w:rsidR="004D42F9">
      <w:t>4</w:t>
    </w:r>
    <w:r w:rsidR="004D42F9" w:rsidRPr="00030025">
      <w:tab/>
    </w:r>
    <w:r w:rsidR="004D42F9" w:rsidRPr="000E6CEF">
      <w:fldChar w:fldCharType="begin"/>
    </w:r>
    <w:r w:rsidR="004D42F9" w:rsidRPr="00030025">
      <w:instrText xml:space="preserve"> PAGE   \* MERGEFORMAT </w:instrText>
    </w:r>
    <w:r w:rsidR="004D42F9" w:rsidRPr="000E6CEF">
      <w:fldChar w:fldCharType="separate"/>
    </w:r>
    <w:r w:rsidR="004D42F9">
      <w:t>35</w:t>
    </w:r>
    <w:r w:rsidR="004D42F9" w:rsidRPr="000E6CEF">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1B29" w14:textId="77777777" w:rsidR="004D42F9" w:rsidRPr="005B0F23" w:rsidRDefault="004D42F9" w:rsidP="00097095"/>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643C" w14:textId="77777777" w:rsidR="004D42F9" w:rsidRPr="005B0F23" w:rsidRDefault="004D42F9" w:rsidP="0009709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3590" w14:textId="64BD8441" w:rsidR="009D33A8" w:rsidRPr="005B0F23" w:rsidRDefault="009D33A8" w:rsidP="00097095">
    <w:pPr>
      <w:pStyle w:val="FooterEvenPage"/>
    </w:pPr>
    <w:r w:rsidRPr="00F775AE">
      <w:fldChar w:fldCharType="begin"/>
    </w:r>
    <w:r>
      <w:instrText xml:space="preserve"> PAGE   \* MERGEFORMAT </w:instrText>
    </w:r>
    <w:r w:rsidRPr="00F775AE">
      <w:fldChar w:fldCharType="separate"/>
    </w:r>
    <w:r>
      <w:t>38</w:t>
    </w:r>
    <w:r w:rsidRPr="00F775AE">
      <w:fldChar w:fldCharType="end"/>
    </w:r>
    <w:r>
      <w:tab/>
      <w:t>Chapter 4</w:t>
    </w:r>
    <w:r>
      <w:tab/>
    </w:r>
    <w:r w:rsidR="004A6B5C">
      <w:t>2024-25 Financial Report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EB0D" w14:textId="502B02B4" w:rsidR="009D33A8" w:rsidRPr="007D0A1D" w:rsidRDefault="004A6B5C" w:rsidP="00097095">
    <w:pPr>
      <w:pStyle w:val="FooterOddPage"/>
    </w:pPr>
    <w:r>
      <w:t>2024-25 Financial Report</w:t>
    </w:r>
    <w:r w:rsidR="009D33A8" w:rsidRPr="00030025">
      <w:tab/>
      <w:t xml:space="preserve">Chapter </w:t>
    </w:r>
    <w:r w:rsidR="009D33A8">
      <w:t>4</w:t>
    </w:r>
    <w:r w:rsidR="009D33A8" w:rsidRPr="00030025">
      <w:tab/>
    </w:r>
    <w:r w:rsidR="009D33A8" w:rsidRPr="00F775AE">
      <w:fldChar w:fldCharType="begin"/>
    </w:r>
    <w:r w:rsidR="009D33A8" w:rsidRPr="00030025">
      <w:instrText xml:space="preserve"> PAGE   \* MERGEFORMAT </w:instrText>
    </w:r>
    <w:r w:rsidR="009D33A8" w:rsidRPr="00F775AE">
      <w:fldChar w:fldCharType="separate"/>
    </w:r>
    <w:r w:rsidR="009D33A8">
      <w:t>53</w:t>
    </w:r>
    <w:r w:rsidR="009D33A8" w:rsidRPr="00F775AE">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8763" w14:textId="77777777" w:rsidR="009D33A8" w:rsidRPr="005B0F23" w:rsidRDefault="009D33A8" w:rsidP="00097095"/>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2261" w14:textId="77777777" w:rsidR="009D33A8" w:rsidRPr="005B0F23" w:rsidRDefault="009D33A8" w:rsidP="0009709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8AB9" w14:textId="4EDC8ABD" w:rsidR="00E37F81" w:rsidRPr="00030025" w:rsidRDefault="004A6B5C" w:rsidP="00030025">
    <w:pPr>
      <w:pStyle w:val="FooterOddPage"/>
    </w:pPr>
    <w:r>
      <w:t>2024-25 Financial Report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743D" w14:textId="12DEB152" w:rsidR="00F0202A" w:rsidRDefault="00F0202A" w:rsidP="008B0042">
    <w:pPr>
      <w:pStyle w:val="FooterEvenPage"/>
      <w:pBdr>
        <w:top w:val="single" w:sz="6" w:space="0" w:color="auto"/>
      </w:pBdr>
    </w:pPr>
    <w:r w:rsidRPr="008B0042">
      <w:fldChar w:fldCharType="begin"/>
    </w:r>
    <w:r>
      <w:instrText xml:space="preserve"> PAGE   \* MERGEFORMAT </w:instrText>
    </w:r>
    <w:r w:rsidRPr="008B0042">
      <w:fldChar w:fldCharType="separate"/>
    </w:r>
    <w:r>
      <w:rPr>
        <w:noProof/>
      </w:rPr>
      <w:t>2</w:t>
    </w:r>
    <w:r w:rsidRPr="008B0042">
      <w:fldChar w:fldCharType="end"/>
    </w:r>
    <w:r>
      <w:tab/>
      <w:t xml:space="preserve">Chapter </w:t>
    </w:r>
    <w:r w:rsidR="00E70A14">
      <w:t>4</w:t>
    </w:r>
    <w:r>
      <w:tab/>
    </w:r>
    <w:r w:rsidR="004A6B5C">
      <w:t>2024-25 Financial Report</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610BA" w14:textId="707B6D2B" w:rsidR="00F0202A" w:rsidRPr="00030025" w:rsidRDefault="004A6B5C" w:rsidP="00030025">
    <w:pPr>
      <w:pStyle w:val="FooterOddPage"/>
    </w:pPr>
    <w:r>
      <w:t>2024-25 Financial Report</w:t>
    </w:r>
    <w:r w:rsidR="00F0202A" w:rsidRPr="00030025">
      <w:tab/>
      <w:t xml:space="preserve">Chapter </w:t>
    </w:r>
    <w:r w:rsidR="00E70A14">
      <w:t>4</w:t>
    </w:r>
    <w:r w:rsidR="00F0202A" w:rsidRPr="00030025">
      <w:tab/>
    </w:r>
    <w:r w:rsidR="00F0202A" w:rsidRPr="008B0042">
      <w:fldChar w:fldCharType="begin"/>
    </w:r>
    <w:r w:rsidR="00F0202A" w:rsidRPr="00030025">
      <w:instrText xml:space="preserve"> PAGE   \* MERGEFORMAT </w:instrText>
    </w:r>
    <w:r w:rsidR="00F0202A" w:rsidRPr="008B0042">
      <w:fldChar w:fldCharType="separate"/>
    </w:r>
    <w:r w:rsidR="00F0202A" w:rsidRPr="00030025">
      <w:t>1</w:t>
    </w:r>
    <w:r w:rsidR="00F0202A" w:rsidRPr="008B0042">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72C21" w14:textId="77777777" w:rsidR="000C5277" w:rsidRDefault="009B5154" w:rsidP="009B5154">
    <w:pPr>
      <w:pStyle w:val="FooterEvenPage"/>
      <w:pBdr>
        <w:top w:val="single" w:sz="6" w:space="0" w:color="auto"/>
      </w:pBdr>
    </w:pPr>
    <w:r w:rsidRPr="008B0042">
      <w:fldChar w:fldCharType="begin"/>
    </w:r>
    <w:r>
      <w:instrText xml:space="preserve"> PAGE   \* MERGEFORMAT </w:instrText>
    </w:r>
    <w:r w:rsidRPr="008B0042">
      <w:fldChar w:fldCharType="separate"/>
    </w:r>
    <w:r>
      <w:t>138</w:t>
    </w:r>
    <w:r w:rsidRPr="008B0042">
      <w:fldChar w:fldCharType="end"/>
    </w:r>
    <w:r>
      <w:tab/>
      <w:t>Chapter 4</w:t>
    </w:r>
    <w:r>
      <w:tab/>
      <w:t>2024-25 Financial Report</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7075" w14:textId="494CAC54" w:rsidR="00D123D7" w:rsidRDefault="00D123D7" w:rsidP="008B0042">
    <w:pPr>
      <w:pStyle w:val="FooterEvenPage"/>
      <w:pBdr>
        <w:top w:val="single" w:sz="6" w:space="0" w:color="auto"/>
      </w:pBdr>
    </w:pPr>
    <w:r w:rsidRPr="008B0042">
      <w:fldChar w:fldCharType="begin"/>
    </w:r>
    <w:r>
      <w:instrText xml:space="preserve"> PAGE   \* MERGEFORMAT </w:instrText>
    </w:r>
    <w:r w:rsidRPr="008B0042">
      <w:fldChar w:fldCharType="separate"/>
    </w:r>
    <w:r>
      <w:rPr>
        <w:noProof/>
      </w:rPr>
      <w:t>2</w:t>
    </w:r>
    <w:r w:rsidRPr="008B0042">
      <w:fldChar w:fldCharType="end"/>
    </w:r>
    <w:r>
      <w:tab/>
      <w:t>Chapter 5</w:t>
    </w:r>
    <w:r>
      <w:tab/>
    </w:r>
    <w:r w:rsidR="004A6B5C">
      <w:t>2024-25 Financial Report</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9FC2C" w14:textId="3C7EECE6" w:rsidR="00D123D7" w:rsidRPr="00030025" w:rsidRDefault="004A6B5C" w:rsidP="00030025">
    <w:pPr>
      <w:pStyle w:val="FooterOddPage"/>
    </w:pPr>
    <w:r>
      <w:t>2024-25 Financial Report</w:t>
    </w:r>
    <w:r w:rsidR="00D123D7" w:rsidRPr="00030025">
      <w:tab/>
      <w:t xml:space="preserve">Chapter </w:t>
    </w:r>
    <w:r w:rsidR="00D123D7">
      <w:t>5</w:t>
    </w:r>
    <w:r w:rsidR="00D123D7" w:rsidRPr="00030025">
      <w:tab/>
    </w:r>
    <w:r w:rsidR="00D123D7" w:rsidRPr="008B0042">
      <w:fldChar w:fldCharType="begin"/>
    </w:r>
    <w:r w:rsidR="00D123D7" w:rsidRPr="00030025">
      <w:instrText xml:space="preserve"> PAGE   \* MERGEFORMAT </w:instrText>
    </w:r>
    <w:r w:rsidR="00D123D7" w:rsidRPr="008B0042">
      <w:fldChar w:fldCharType="separate"/>
    </w:r>
    <w:r w:rsidR="00D123D7" w:rsidRPr="00030025">
      <w:t>1</w:t>
    </w:r>
    <w:r w:rsidR="00D123D7" w:rsidRPr="008B0042">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7E97C" w14:textId="2D863F2B" w:rsidR="00E8127F" w:rsidRDefault="00E8127F" w:rsidP="00030025">
    <w:pPr>
      <w:pStyle w:val="FooterEvenPage"/>
    </w:pPr>
    <w:r w:rsidRPr="00636F4D">
      <w:fldChar w:fldCharType="begin"/>
    </w:r>
    <w:r>
      <w:instrText xml:space="preserve"> PAGE   \* MERGEFORMAT </w:instrText>
    </w:r>
    <w:r w:rsidRPr="00636F4D">
      <w:fldChar w:fldCharType="separate"/>
    </w:r>
    <w:r>
      <w:rPr>
        <w:noProof/>
      </w:rPr>
      <w:t>2</w:t>
    </w:r>
    <w:r w:rsidRPr="00636F4D">
      <w:fldChar w:fldCharType="end"/>
    </w:r>
    <w:r>
      <w:tab/>
      <w:t>Appendix A</w:t>
    </w:r>
    <w:r>
      <w:tab/>
    </w:r>
    <w:r w:rsidR="004A6B5C">
      <w:t>2024-25 Financial Report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72C88" w14:textId="36EAA7F0" w:rsidR="00E8127F" w:rsidRPr="00030025" w:rsidRDefault="004A6B5C" w:rsidP="00030025">
    <w:pPr>
      <w:pStyle w:val="FooterOddPage"/>
    </w:pPr>
    <w:r>
      <w:t>2024-25 Financial Report</w:t>
    </w:r>
    <w:r w:rsidR="00E8127F" w:rsidRPr="00030025">
      <w:tab/>
    </w:r>
    <w:r w:rsidR="00E8127F">
      <w:t>Appendix A</w:t>
    </w:r>
    <w:r w:rsidR="00E8127F" w:rsidRPr="00030025">
      <w:tab/>
    </w:r>
    <w:r w:rsidR="00E8127F" w:rsidRPr="00636F4D">
      <w:fldChar w:fldCharType="begin"/>
    </w:r>
    <w:r w:rsidR="00E8127F" w:rsidRPr="00030025">
      <w:instrText xml:space="preserve"> PAGE   \* MERGEFORMAT </w:instrText>
    </w:r>
    <w:r w:rsidR="00E8127F" w:rsidRPr="00636F4D">
      <w:fldChar w:fldCharType="separate"/>
    </w:r>
    <w:r w:rsidR="00E8127F" w:rsidRPr="00030025">
      <w:t>1</w:t>
    </w:r>
    <w:r w:rsidR="00E8127F" w:rsidRPr="00636F4D">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EC3D" w14:textId="33B494A5" w:rsidR="00A20CD2" w:rsidRDefault="00A20CD2" w:rsidP="00030025">
    <w:pPr>
      <w:pStyle w:val="FooterEvenPage"/>
    </w:pPr>
    <w:r w:rsidRPr="00636F4D">
      <w:fldChar w:fldCharType="begin"/>
    </w:r>
    <w:r>
      <w:instrText xml:space="preserve"> PAGE   \* MERGEFORMAT </w:instrText>
    </w:r>
    <w:r w:rsidRPr="00636F4D">
      <w:fldChar w:fldCharType="separate"/>
    </w:r>
    <w:r>
      <w:rPr>
        <w:noProof/>
      </w:rPr>
      <w:t>2</w:t>
    </w:r>
    <w:r w:rsidRPr="00636F4D">
      <w:fldChar w:fldCharType="end"/>
    </w:r>
    <w:r>
      <w:tab/>
    </w:r>
    <w:r w:rsidRPr="006C2158">
      <w:t xml:space="preserve">Appendix </w:t>
    </w:r>
    <w:r>
      <w:t>B</w:t>
    </w:r>
    <w:r>
      <w:tab/>
    </w:r>
    <w:r w:rsidR="004A6B5C">
      <w:t>2024-25 Financial Report</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6CFB" w14:textId="26AC5EE4" w:rsidR="00A20CD2" w:rsidRPr="00030025" w:rsidRDefault="004A6B5C" w:rsidP="00030025">
    <w:pPr>
      <w:pStyle w:val="FooterOddPage"/>
    </w:pPr>
    <w:r>
      <w:t>2024-25 Financial Report</w:t>
    </w:r>
    <w:r w:rsidR="00A20CD2" w:rsidRPr="00030025">
      <w:tab/>
    </w:r>
    <w:r w:rsidR="00A20CD2" w:rsidRPr="006C2158">
      <w:t xml:space="preserve">Appendix </w:t>
    </w:r>
    <w:r w:rsidR="00A20CD2">
      <w:t>B</w:t>
    </w:r>
    <w:r w:rsidR="00A20CD2" w:rsidRPr="00030025">
      <w:tab/>
    </w:r>
    <w:r w:rsidR="00A20CD2" w:rsidRPr="00636F4D">
      <w:fldChar w:fldCharType="begin"/>
    </w:r>
    <w:r w:rsidR="00A20CD2" w:rsidRPr="00030025">
      <w:instrText xml:space="preserve"> PAGE   \* MERGEFORMAT </w:instrText>
    </w:r>
    <w:r w:rsidR="00A20CD2" w:rsidRPr="00636F4D">
      <w:fldChar w:fldCharType="separate"/>
    </w:r>
    <w:r w:rsidR="00A20CD2" w:rsidRPr="00030025">
      <w:t>1</w:t>
    </w:r>
    <w:r w:rsidR="00A20CD2" w:rsidRPr="00636F4D">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46009" w14:textId="77777777" w:rsidR="00A20CD2" w:rsidRDefault="00A20C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43E65" w14:textId="0C0BE171" w:rsidR="00A20CD2" w:rsidRDefault="00A20CD2" w:rsidP="00030025">
    <w:pPr>
      <w:pStyle w:val="FooterEvenPage"/>
    </w:pPr>
    <w:r w:rsidRPr="00F775AE">
      <w:fldChar w:fldCharType="begin"/>
    </w:r>
    <w:r>
      <w:instrText xml:space="preserve"> PAGE   \* MERGEFORMAT </w:instrText>
    </w:r>
    <w:r w:rsidRPr="00F775AE">
      <w:fldChar w:fldCharType="separate"/>
    </w:r>
    <w:r>
      <w:rPr>
        <w:noProof/>
      </w:rPr>
      <w:t>2</w:t>
    </w:r>
    <w:r w:rsidRPr="00F775AE">
      <w:fldChar w:fldCharType="end"/>
    </w:r>
    <w:r>
      <w:tab/>
      <w:t>Chapter 1</w:t>
    </w:r>
    <w:r>
      <w:tab/>
    </w:r>
    <w:r w:rsidR="004A6B5C">
      <w:t>2024-25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507A" w14:textId="59AB733E" w:rsidR="00A54E19" w:rsidRDefault="00BB2A5F" w:rsidP="00030025">
    <w:pPr>
      <w:pStyle w:val="FooterEvenPage"/>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tab/>
      <w:t>Style conventions</w:t>
    </w:r>
    <w:r>
      <w:tab/>
    </w:r>
    <w:r w:rsidR="004A6B5C">
      <w:fldChar w:fldCharType="begin"/>
    </w:r>
    <w:r w:rsidR="004A6B5C">
      <w:instrText>TITLE   \* MERGEFORMAT</w:instrText>
    </w:r>
    <w:r w:rsidR="004A6B5C">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E74E4" w14:textId="5D821570" w:rsidR="00E8127F" w:rsidRPr="00030025" w:rsidRDefault="004A6B5C" w:rsidP="00030025">
    <w:pPr>
      <w:pStyle w:val="FooterOddPage"/>
    </w:pPr>
    <w:r>
      <w:t>2024-25 Financial Report</w:t>
    </w:r>
    <w:r w:rsidR="00E8127F" w:rsidRPr="00030025">
      <w:tab/>
    </w:r>
    <w:r w:rsidR="00E8127F">
      <w:t>Style conventions</w:t>
    </w:r>
    <w:r w:rsidR="00E8127F" w:rsidRPr="00030025">
      <w:tab/>
    </w:r>
    <w:r w:rsidR="00E8127F" w:rsidRPr="00636F4D">
      <w:fldChar w:fldCharType="begin"/>
    </w:r>
    <w:r w:rsidR="00E8127F" w:rsidRPr="00030025">
      <w:instrText xml:space="preserve"> PAGE   \* MERGEFORMAT </w:instrText>
    </w:r>
    <w:r w:rsidR="00E8127F" w:rsidRPr="00636F4D">
      <w:fldChar w:fldCharType="separate"/>
    </w:r>
    <w:r w:rsidR="00E8127F">
      <w:t>201</w:t>
    </w:r>
    <w:r w:rsidR="00E8127F" w:rsidRPr="00636F4D">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097" w14:textId="12A9C12D" w:rsidR="005C1A1D" w:rsidRPr="005C1A1D" w:rsidRDefault="00566758" w:rsidP="005C1A1D">
    <w:pPr>
      <w:pStyle w:val="Footer"/>
    </w:pPr>
    <w:r>
      <w:rPr>
        <w:noProof/>
      </w:rPr>
      <mc:AlternateContent>
        <mc:Choice Requires="wps">
          <w:drawing>
            <wp:anchor distT="0" distB="0" distL="0" distR="0" simplePos="0" relativeHeight="251658241" behindDoc="0" locked="0" layoutInCell="1" allowOverlap="1" wp14:anchorId="76A3D30D" wp14:editId="05E4998E">
              <wp:simplePos x="635" y="635"/>
              <wp:positionH relativeFrom="page">
                <wp:align>left</wp:align>
              </wp:positionH>
              <wp:positionV relativeFrom="page">
                <wp:align>bottom</wp:align>
              </wp:positionV>
              <wp:extent cx="759460" cy="374650"/>
              <wp:effectExtent l="0" t="0" r="2540" b="0"/>
              <wp:wrapNone/>
              <wp:docPr id="13978468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7F7B0ACD"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6A3D30D" id="_x0000_t202" coordsize="21600,21600" o:spt="202" path="m,l,21600r21600,l21600,xe">
              <v:stroke joinstyle="miter"/>
              <v:path gradientshapeok="t" o:connecttype="rect"/>
            </v:shapetype>
            <v:shape id="Text Box 2" o:spid="_x0000_s1062" type="#_x0000_t202" alt="OFFICIAL" style="position:absolute;margin-left:0;margin-top:0;width:59.8pt;height:2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" filled="f" stroked="f">
              <v:textbox style="mso-fit-shape-to-text:t" inset="20pt,0,0,15pt">
                <w:txbxContent>
                  <w:p w14:paraId="7F7B0ACD"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797C" w14:textId="15649BA4" w:rsidR="00A54E19" w:rsidRDefault="00566758">
    <w:pPr>
      <w:pStyle w:val="Footer"/>
    </w:pPr>
    <w:r>
      <w:rPr>
        <w:noProof/>
      </w:rPr>
      <mc:AlternateContent>
        <mc:Choice Requires="wps">
          <w:drawing>
            <wp:anchor distT="0" distB="0" distL="0" distR="0" simplePos="0" relativeHeight="251658242" behindDoc="0" locked="0" layoutInCell="1" allowOverlap="1" wp14:anchorId="2DE38B91" wp14:editId="0D6E0F3F">
              <wp:simplePos x="914400" y="10069033"/>
              <wp:positionH relativeFrom="page">
                <wp:align>left</wp:align>
              </wp:positionH>
              <wp:positionV relativeFrom="page">
                <wp:align>bottom</wp:align>
              </wp:positionV>
              <wp:extent cx="759460" cy="374650"/>
              <wp:effectExtent l="0" t="0" r="2540" b="0"/>
              <wp:wrapNone/>
              <wp:docPr id="88970514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2E5A56DB"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DE38B91" id="_x0000_t202" coordsize="21600,21600" o:spt="202" path="m,l,21600r21600,l21600,xe">
              <v:stroke joinstyle="miter"/>
              <v:path gradientshapeok="t" o:connecttype="rect"/>
            </v:shapetype>
            <v:shape id="Text Box 3" o:spid="_x0000_s1063" type="#_x0000_t202" alt="OFFICIAL" style="position:absolute;margin-left:0;margin-top:0;width:59.8pt;height:2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" filled="f" stroked="f">
              <v:textbox style="mso-fit-shape-to-text:t" inset="20pt,0,0,15pt">
                <w:txbxContent>
                  <w:p w14:paraId="2E5A56DB"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0D3A" w14:textId="4FB39035" w:rsidR="00A53B4D" w:rsidRDefault="00566758">
    <w:pPr>
      <w:pStyle w:val="Footer"/>
    </w:pPr>
    <w:r>
      <w:rPr>
        <w:noProof/>
      </w:rPr>
      <mc:AlternateContent>
        <mc:Choice Requires="wps">
          <w:drawing>
            <wp:anchor distT="0" distB="0" distL="0" distR="0" simplePos="0" relativeHeight="251658240" behindDoc="0" locked="0" layoutInCell="1" allowOverlap="1" wp14:anchorId="524BA7FF" wp14:editId="3B78BFBF">
              <wp:simplePos x="635" y="635"/>
              <wp:positionH relativeFrom="page">
                <wp:align>left</wp:align>
              </wp:positionH>
              <wp:positionV relativeFrom="page">
                <wp:align>bottom</wp:align>
              </wp:positionV>
              <wp:extent cx="759460" cy="374650"/>
              <wp:effectExtent l="0" t="0" r="2540" b="0"/>
              <wp:wrapNone/>
              <wp:docPr id="82795638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5AC2D71D"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24BA7FF" id="_x0000_t202" coordsize="21600,21600" o:spt="202" path="m,l,21600r21600,l21600,xe">
              <v:stroke joinstyle="miter"/>
              <v:path gradientshapeok="t" o:connecttype="rect"/>
            </v:shapetype>
            <v:shape id="Text Box 1" o:spid="_x0000_s1064" type="#_x0000_t202" alt="OFFICIAL" style="position:absolute;margin-left:0;margin-top:0;width:59.8pt;height:2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3FAIAACIEAAAOAAAAZHJzL2Uyb0RvYy54bWysU99v2jAQfp+0/8Hy+0hgQNu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" filled="f" stroked="f">
              <v:textbox style="mso-fit-shape-to-text:t" inset="20pt,0,0,15pt">
                <w:txbxContent>
                  <w:p w14:paraId="5AC2D71D" w14:textId="77777777" w:rsidR="00566758" w:rsidRPr="00F94A99" w:rsidRDefault="00566758" w:rsidP="00566758">
                    <w:pPr>
                      <w:rPr>
                        <w:rFonts w:ascii="Calibri" w:eastAsia="Calibri" w:hAnsi="Calibri" w:cs="Calibri"/>
                        <w:noProof/>
                        <w:color w:val="000000"/>
                      </w:rPr>
                    </w:pPr>
                    <w:r w:rsidRPr="00F94A99">
                      <w:rPr>
                        <w:rFonts w:ascii="Calibri" w:eastAsia="Calibri" w:hAnsi="Calibri" w:cs="Calibri"/>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D5A1" w14:textId="488257CE" w:rsidR="00A20CD2" w:rsidRPr="00030025" w:rsidRDefault="004A6B5C" w:rsidP="00030025">
    <w:pPr>
      <w:pStyle w:val="FooterOddPage"/>
    </w:pPr>
    <w:r>
      <w:t>2024-25 Financial Report</w:t>
    </w:r>
    <w:r w:rsidR="00A20CD2" w:rsidRPr="00030025">
      <w:tab/>
      <w:t xml:space="preserve">Chapter </w:t>
    </w:r>
    <w:r w:rsidR="00A20CD2">
      <w:t>1</w:t>
    </w:r>
    <w:r w:rsidR="00A20CD2" w:rsidRPr="00030025">
      <w:tab/>
    </w:r>
    <w:r w:rsidR="00A20CD2" w:rsidRPr="00F775AE">
      <w:fldChar w:fldCharType="begin"/>
    </w:r>
    <w:r w:rsidR="00A20CD2" w:rsidRPr="00030025">
      <w:instrText xml:space="preserve"> PAGE   \* MERGEFORMAT </w:instrText>
    </w:r>
    <w:r w:rsidR="00A20CD2" w:rsidRPr="00F775AE">
      <w:fldChar w:fldCharType="separate"/>
    </w:r>
    <w:r w:rsidR="00A20CD2" w:rsidRPr="00030025">
      <w:t>1</w:t>
    </w:r>
    <w:r w:rsidR="00A20CD2" w:rsidRPr="00F775A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0E66" w14:textId="77777777" w:rsidR="00A20CD2" w:rsidRDefault="00A20CD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3741" w14:textId="28E86337" w:rsidR="00A20CD2" w:rsidRDefault="00A20CD2" w:rsidP="008B0042">
    <w:pPr>
      <w:pStyle w:val="FooterEvenPage"/>
      <w:pBdr>
        <w:top w:val="single" w:sz="6" w:space="0" w:color="auto"/>
      </w:pBdr>
    </w:pPr>
    <w:r w:rsidRPr="008B0042">
      <w:fldChar w:fldCharType="begin"/>
    </w:r>
    <w:r>
      <w:instrText xml:space="preserve"> PAGE   \* MERGEFORMAT </w:instrText>
    </w:r>
    <w:r w:rsidRPr="008B0042">
      <w:fldChar w:fldCharType="separate"/>
    </w:r>
    <w:r>
      <w:rPr>
        <w:noProof/>
      </w:rPr>
      <w:t>2</w:t>
    </w:r>
    <w:r w:rsidRPr="008B0042">
      <w:fldChar w:fldCharType="end"/>
    </w:r>
    <w:r>
      <w:tab/>
      <w:t>Chapter 2</w:t>
    </w:r>
    <w:r>
      <w:tab/>
    </w:r>
    <w:r w:rsidR="004A6B5C">
      <w:t>2024-25 Financial Report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8B85" w14:textId="747B6E8C" w:rsidR="00A20CD2" w:rsidRPr="00030025" w:rsidRDefault="004A6B5C" w:rsidP="00030025">
    <w:pPr>
      <w:pStyle w:val="FooterOddPage"/>
    </w:pPr>
    <w:r>
      <w:t>2024-25 Financial Report</w:t>
    </w:r>
    <w:r w:rsidR="00A20CD2" w:rsidRPr="00030025">
      <w:tab/>
      <w:t xml:space="preserve">Chapter </w:t>
    </w:r>
    <w:r w:rsidR="00A20CD2">
      <w:t>2</w:t>
    </w:r>
    <w:r w:rsidR="00A20CD2" w:rsidRPr="00030025">
      <w:tab/>
    </w:r>
    <w:r w:rsidR="00A20CD2" w:rsidRPr="008B0042">
      <w:fldChar w:fldCharType="begin"/>
    </w:r>
    <w:r w:rsidR="00A20CD2" w:rsidRPr="00030025">
      <w:instrText xml:space="preserve"> PAGE   \* MERGEFORMAT </w:instrText>
    </w:r>
    <w:r w:rsidR="00A20CD2" w:rsidRPr="008B0042">
      <w:fldChar w:fldCharType="separate"/>
    </w:r>
    <w:r w:rsidR="00A20CD2" w:rsidRPr="00030025">
      <w:t>1</w:t>
    </w:r>
    <w:r w:rsidR="00A20CD2" w:rsidRPr="008B004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C60D" w14:textId="77777777" w:rsidR="00A20CD2" w:rsidRDefault="00A20C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D4019" w14:textId="77777777" w:rsidR="00E4184C" w:rsidRDefault="00E4184C" w:rsidP="00E97E54">
      <w:r>
        <w:separator/>
      </w:r>
    </w:p>
  </w:footnote>
  <w:footnote w:type="continuationSeparator" w:id="0">
    <w:p w14:paraId="164A8E77" w14:textId="77777777" w:rsidR="00E4184C" w:rsidRDefault="00E4184C" w:rsidP="00E97E54">
      <w:r>
        <w:continuationSeparator/>
      </w:r>
    </w:p>
  </w:footnote>
  <w:footnote w:type="continuationNotice" w:id="1">
    <w:p w14:paraId="7D473AF8" w14:textId="77777777" w:rsidR="00E4184C" w:rsidRDefault="00E418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9D80A" w14:textId="77777777" w:rsidR="009B539A" w:rsidRDefault="009B539A">
    <w:pPr>
      <w:pStyle w:val="Header"/>
    </w:pPr>
  </w:p>
  <w:p w14:paraId="7041E1F4" w14:textId="77777777" w:rsidR="009B539A" w:rsidRDefault="009B539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76B64" w14:textId="1184746D" w:rsidR="004D42F9" w:rsidRPr="00A913E3" w:rsidRDefault="004F2221" w:rsidP="004F2221">
    <w:pPr>
      <w:pStyle w:val="Header"/>
    </w:pPr>
    <w:r>
      <w:t>PRIMARY FINANCIAL STATEMENTS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8365" w14:textId="3BB09A93" w:rsidR="004F2221" w:rsidRPr="000B32AB" w:rsidRDefault="004F2221" w:rsidP="000B32AB">
    <w:pPr>
      <w:pStyle w:val="Header"/>
      <w:jc w:val="right"/>
    </w:pPr>
    <w:r>
      <w:t>PRIMARY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D612" w14:textId="77777777" w:rsidR="004F2221" w:rsidRPr="00A913E3" w:rsidRDefault="004F2221" w:rsidP="004F2221">
    <w:pPr>
      <w:pStyle w:val="Header"/>
    </w:pPr>
    <w:r>
      <w:t>PRIMARY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7DA36" w14:textId="5A80B2C0" w:rsidR="004F2221" w:rsidRPr="00A913E3" w:rsidRDefault="004F2221" w:rsidP="004F2221">
    <w:pPr>
      <w:pStyle w:val="Header"/>
    </w:pPr>
    <w:r>
      <w:t>1. ABOUT THIS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1D52" w14:textId="05FD129D" w:rsidR="004F2221" w:rsidRPr="000B32AB" w:rsidRDefault="004F2221" w:rsidP="000B32AB">
    <w:pPr>
      <w:pStyle w:val="Header"/>
      <w:jc w:val="right"/>
    </w:pPr>
    <w:r>
      <w:t>1. ABOUT THIS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D494" w14:textId="2025823F" w:rsidR="00F35ABA" w:rsidRPr="00F35ABA" w:rsidRDefault="00F35ABA" w:rsidP="00F35A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99E7B" w14:textId="64EC1FCD" w:rsidR="004F2221" w:rsidRPr="000B32AB" w:rsidRDefault="004F2221" w:rsidP="000B32AB">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52D8" w14:textId="7F919140" w:rsidR="004F2221" w:rsidRPr="00A913E3" w:rsidRDefault="004F2221" w:rsidP="004F2221">
    <w:pPr>
      <w:pStyle w:val="Header"/>
    </w:pPr>
    <w:r>
      <w:t>2. HOW FUNDS ARE RAISED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C267A" w14:textId="75D1BCE5" w:rsidR="00F35ABA" w:rsidRPr="000B32AB" w:rsidRDefault="00F35ABA" w:rsidP="00F35ABA">
    <w:pPr>
      <w:pStyle w:val="Header"/>
      <w:jc w:val="right"/>
    </w:pPr>
    <w:r>
      <w:t>2. HOW FUNDS ARE RAISED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F596" w14:textId="750079E2" w:rsidR="004F2221" w:rsidRPr="00C656B9" w:rsidRDefault="00C656B9" w:rsidP="00C656B9">
    <w:pPr>
      <w:pStyle w:val="Header"/>
      <w:jc w:val="right"/>
    </w:pPr>
    <w:r>
      <w:t>2. HOW FUNDS ARE RAISED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39C4" w14:textId="77777777" w:rsidR="009B539A" w:rsidRDefault="009B539A">
    <w:pPr>
      <w:pStyle w:val="Header"/>
    </w:pPr>
  </w:p>
  <w:p w14:paraId="09B61156" w14:textId="77777777" w:rsidR="009B539A" w:rsidRDefault="009B539A"/>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B30D" w14:textId="0BA780ED" w:rsidR="00F35ABA" w:rsidRPr="00F35ABA" w:rsidRDefault="00F35ABA" w:rsidP="00F35ABA">
    <w:pPr>
      <w:pStyle w:val="Header"/>
      <w:jc w:val="right"/>
    </w:pPr>
    <w:r>
      <w:t>2. HOW FUNDS ARE RAISED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71A4" w14:textId="6EAE6EB0" w:rsidR="004F2221" w:rsidRPr="004F2221" w:rsidRDefault="004F2221" w:rsidP="004F222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55DD4" w14:textId="1D9A1B0B" w:rsidR="00F35ABA" w:rsidRPr="00F35ABA" w:rsidRDefault="00F35ABA" w:rsidP="00F35ABA">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3B6B" w14:textId="2B10DB48" w:rsidR="00F35ABA" w:rsidRPr="004F2221" w:rsidRDefault="00F35ABA" w:rsidP="004F2221">
    <w:pPr>
      <w:pStyle w:val="Header"/>
    </w:pPr>
    <w:r>
      <w:t>3. HOW FUNDS ARE SPENT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97C25" w14:textId="4E6C3F3F" w:rsidR="00C656B9" w:rsidRPr="00F35ABA" w:rsidRDefault="00C656B9" w:rsidP="00C656B9">
    <w:pPr>
      <w:pStyle w:val="Header"/>
      <w:jc w:val="right"/>
    </w:pPr>
    <w:r>
      <w:t>3. HOW FUNDS ARE SPENT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423D" w14:textId="337C1FD8" w:rsidR="004F2221" w:rsidRPr="00A913E3" w:rsidRDefault="004F2221" w:rsidP="004F2221">
    <w:pPr>
      <w:pStyle w:val="Header"/>
    </w:pPr>
    <w:r>
      <w:t>3. HOW FUNDS ARE SPENT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3821" w14:textId="478A25AA" w:rsidR="00F35ABA" w:rsidRPr="00F35ABA" w:rsidRDefault="00F35ABA" w:rsidP="00F35ABA">
    <w:pPr>
      <w:pStyle w:val="Header"/>
      <w:jc w:val="right"/>
    </w:pPr>
    <w:r>
      <w:t>3. HOW FUNDS ARE SPENT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DF42" w14:textId="0B966ADB" w:rsidR="004D42F9" w:rsidRDefault="00800A7D" w:rsidP="00097095">
    <w:r w:rsidRPr="005B0F23">
      <w:rPr>
        <w:noProof/>
        <w:color w:val="2B579A"/>
        <w:shd w:val="clear" w:color="auto" w:fill="E6E6E6"/>
      </w:rPr>
      <mc:AlternateContent>
        <mc:Choice Requires="wps">
          <w:drawing>
            <wp:anchor distT="0" distB="0" distL="114300" distR="114300" simplePos="0" relativeHeight="251660311" behindDoc="0" locked="0" layoutInCell="1" allowOverlap="1" wp14:anchorId="7339794D" wp14:editId="465521C4">
              <wp:simplePos x="0" y="0"/>
              <wp:positionH relativeFrom="column">
                <wp:posOffset>-488478</wp:posOffset>
              </wp:positionH>
              <wp:positionV relativeFrom="paragraph">
                <wp:posOffset>275590</wp:posOffset>
              </wp:positionV>
              <wp:extent cx="454025" cy="6227445"/>
              <wp:effectExtent l="0" t="0" r="0" b="1905"/>
              <wp:wrapNone/>
              <wp:docPr id="438835265" name="Text Box 438835265"/>
              <wp:cNvGraphicFramePr/>
              <a:graphic xmlns:a="http://schemas.openxmlformats.org/drawingml/2006/main">
                <a:graphicData uri="http://schemas.microsoft.com/office/word/2010/wordprocessingShape">
                  <wps:wsp>
                    <wps:cNvSpPr txBox="1"/>
                    <wps:spPr>
                      <a:xfrm>
                        <a:off x="0" y="0"/>
                        <a:ext cx="45402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CB5FB9E" w14:textId="77777777" w:rsidR="004D42F9" w:rsidRPr="00B75012" w:rsidRDefault="004D42F9" w:rsidP="00097095">
                          <w:pPr>
                            <w:pStyle w:val="FooterEvenPage"/>
                          </w:pPr>
                          <w:r w:rsidRPr="00E37F81">
                            <w:fldChar w:fldCharType="begin"/>
                          </w:r>
                          <w:r w:rsidRPr="00E37F81">
                            <w:instrText xml:space="preserve"> PAGE </w:instrText>
                          </w:r>
                          <w:r w:rsidRPr="00E37F81">
                            <w:fldChar w:fldCharType="separate"/>
                          </w:r>
                          <w:r w:rsidRPr="00E37F81">
                            <w:t>30</w:t>
                          </w:r>
                          <w:r w:rsidRPr="00E37F81">
                            <w:fldChar w:fldCharType="end"/>
                          </w:r>
                          <w:r w:rsidRPr="00B82AEA">
                            <w:tab/>
                            <w:t xml:space="preserve">Chapter </w:t>
                          </w:r>
                          <w:r>
                            <w:t>4</w:t>
                          </w:r>
                          <w:r w:rsidRPr="00B82AEA">
                            <w:tab/>
                          </w:r>
                          <w:r w:rsidR="004A6B5C">
                            <w:t>2024-25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339794D" id="_x0000_t202" coordsize="21600,21600" o:spt="202" path="m,l,21600r21600,l21600,xe">
              <v:stroke joinstyle="miter"/>
              <v:path gradientshapeok="t" o:connecttype="rect"/>
            </v:shapetype>
            <v:shape id="Text Box 133344243" o:spid="_x0000_s1042" type="#_x0000_t202" style="position:absolute;margin-left:-38.45pt;margin-top:21.7pt;width:35.75pt;height:490.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" filled="f" stroked="f" strokeweight=".5pt">
              <v:textbox style="layout-flow:vertical">
                <w:txbxContent>
                  <w:p w14:paraId="7D42B6D2" w14:textId="62308155" w:rsidR="004D42F9" w:rsidRPr="00B75012" w:rsidRDefault="004D42F9" w:rsidP="00097095">
                    <w:pPr>
                      <w:pStyle w:val="FooterEvenPage"/>
                    </w:pPr>
                    <w:r w:rsidRPr="00E37F81">
                      <w:fldChar w:fldCharType="begin"/>
                    </w:r>
                    <w:r w:rsidRPr="00E37F81">
                      <w:instrText xml:space="preserve"> PAGE </w:instrText>
                    </w:r>
                    <w:r w:rsidRPr="00E37F81">
                      <w:fldChar w:fldCharType="separate"/>
                    </w:r>
                    <w:r w:rsidRPr="00E37F81">
                      <w:t>30</w:t>
                    </w:r>
                    <w:r w:rsidRPr="00E37F81">
                      <w:fldChar w:fldCharType="end"/>
                    </w:r>
                    <w:r w:rsidRPr="00B82AEA">
                      <w:tab/>
                      <w:t xml:space="preserve">Chapter </w:t>
                    </w:r>
                    <w:r>
                      <w:t>4</w:t>
                    </w:r>
                    <w:r w:rsidRPr="00B82AEA">
                      <w:tab/>
                    </w:r>
                    <w:r w:rsidR="004A6B5C">
                      <w:t>2024-25 Financial Report</w:t>
                    </w:r>
                  </w:p>
                </w:txbxContent>
              </v:textbox>
            </v:shape>
          </w:pict>
        </mc:Fallback>
      </mc:AlternateContent>
    </w:r>
    <w:r w:rsidRPr="005B0F23">
      <w:rPr>
        <w:noProof/>
        <w:color w:val="2B579A"/>
        <w:shd w:val="clear" w:color="auto" w:fill="E6E6E6"/>
      </w:rPr>
      <mc:AlternateContent>
        <mc:Choice Requires="wps">
          <w:drawing>
            <wp:anchor distT="0" distB="0" distL="114300" distR="114300" simplePos="0" relativeHeight="251658263" behindDoc="0" locked="0" layoutInCell="1" allowOverlap="1" wp14:anchorId="35A6D946" wp14:editId="3F6C1F2A">
              <wp:simplePos x="0" y="0"/>
              <wp:positionH relativeFrom="column">
                <wp:posOffset>9204488</wp:posOffset>
              </wp:positionH>
              <wp:positionV relativeFrom="paragraph">
                <wp:posOffset>275590</wp:posOffset>
              </wp:positionV>
              <wp:extent cx="454127" cy="6227445"/>
              <wp:effectExtent l="0" t="0" r="0" b="1905"/>
              <wp:wrapNone/>
              <wp:docPr id="928337268" name="Text Box 928337268"/>
              <wp:cNvGraphicFramePr/>
              <a:graphic xmlns:a="http://schemas.openxmlformats.org/drawingml/2006/main">
                <a:graphicData uri="http://schemas.microsoft.com/office/word/2010/wordprocessingShape">
                  <wps:wsp>
                    <wps:cNvSpPr txBox="1"/>
                    <wps:spPr>
                      <a:xfrm>
                        <a:off x="0" y="0"/>
                        <a:ext cx="454127"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76CE0F" w14:textId="26B7D7F7" w:rsidR="00163DEB" w:rsidRPr="00B75012" w:rsidRDefault="001A33DD" w:rsidP="001A33DD">
                          <w:pPr>
                            <w:pStyle w:val="Header"/>
                          </w:pPr>
                          <w:r>
                            <w:t>3. HOW FUNDS ARE SPENT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A6D946" id="Text Box 928337268" o:spid="_x0000_s1043" type="#_x0000_t202" style="position:absolute;margin-left:724.75pt;margin-top:21.7pt;width:35.75pt;height:490.35pt;z-index:251660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" filled="f" stroked="f" strokeweight=".5pt">
              <v:textbox style="layout-flow:vertical">
                <w:txbxContent>
                  <w:p w14:paraId="6876CE0F" w14:textId="26B7D7F7" w:rsidR="00163DEB" w:rsidRPr="00B75012" w:rsidRDefault="001A33DD" w:rsidP="001A33DD">
                    <w:pPr>
                      <w:pStyle w:val="Header"/>
                    </w:pPr>
                    <w:r>
                      <w:t>3. HOW FUNDS ARE SPENT</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CDB5" w14:textId="77777777" w:rsidR="004D42F9" w:rsidRDefault="004D42F9"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47" behindDoc="0" locked="0" layoutInCell="1" allowOverlap="1" wp14:anchorId="3637F081" wp14:editId="1B125484">
              <wp:simplePos x="0" y="0"/>
              <wp:positionH relativeFrom="column">
                <wp:posOffset>-505607</wp:posOffset>
              </wp:positionH>
              <wp:positionV relativeFrom="paragraph">
                <wp:posOffset>275590</wp:posOffset>
              </wp:positionV>
              <wp:extent cx="478732" cy="6227445"/>
              <wp:effectExtent l="0" t="0" r="0" b="1905"/>
              <wp:wrapNone/>
              <wp:docPr id="1944914502" name="Text Box 1944914502"/>
              <wp:cNvGraphicFramePr/>
              <a:graphic xmlns:a="http://schemas.openxmlformats.org/drawingml/2006/main">
                <a:graphicData uri="http://schemas.microsoft.com/office/word/2010/wordprocessingShape">
                  <wps:wsp>
                    <wps:cNvSpPr txBox="1"/>
                    <wps:spPr>
                      <a:xfrm>
                        <a:off x="0" y="0"/>
                        <a:ext cx="478732"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6C2D3F" w14:textId="05AE78A8" w:rsidR="004D42F9" w:rsidRPr="00C656B9" w:rsidRDefault="004A6B5C" w:rsidP="00097095">
                          <w:pPr>
                            <w:pStyle w:val="FooterOddPage"/>
                          </w:pPr>
                          <w:r>
                            <w:fldChar w:fldCharType="begin"/>
                          </w:r>
                          <w:r>
                            <w:instrText>TITLE   \* MERGEFORMAT</w:instrText>
                          </w:r>
                          <w:r>
                            <w:fldChar w:fldCharType="end"/>
                          </w:r>
                          <w:r w:rsidR="004D42F9" w:rsidRPr="00842AE8">
                            <w:tab/>
                            <w:t xml:space="preserve">Chapter </w:t>
                          </w:r>
                          <w:r w:rsidR="004D42F9">
                            <w:t>4</w:t>
                          </w:r>
                          <w:r w:rsidR="004D42F9" w:rsidRPr="00842AE8">
                            <w:tab/>
                          </w:r>
                          <w:r w:rsidR="004D42F9" w:rsidRPr="00C656B9">
                            <w:fldChar w:fldCharType="begin"/>
                          </w:r>
                          <w:r w:rsidR="004D42F9" w:rsidRPr="00C656B9">
                            <w:instrText xml:space="preserve"> PAGE </w:instrText>
                          </w:r>
                          <w:r w:rsidR="004D42F9" w:rsidRPr="00C656B9">
                            <w:fldChar w:fldCharType="separate"/>
                          </w:r>
                          <w:r w:rsidR="004D42F9" w:rsidRPr="00C656B9">
                            <w:t>31</w:t>
                          </w:r>
                          <w:r w:rsidR="004D42F9" w:rsidRPr="00C656B9">
                            <w:fldChar w:fldCharType="end"/>
                          </w:r>
                        </w:p>
                        <w:p w14:paraId="5210CD4F" w14:textId="77777777" w:rsidR="004D42F9" w:rsidRPr="00842AE8" w:rsidRDefault="004D42F9"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7F081" id="_x0000_t202" coordsize="21600,21600" o:spt="202" path="m,l,21600r21600,l21600,xe">
              <v:stroke joinstyle="miter"/>
              <v:path gradientshapeok="t" o:connecttype="rect"/>
            </v:shapetype>
            <v:shape id="Text Box 1944914502" o:spid="_x0000_s1044" type="#_x0000_t202" style="position:absolute;left:0;text-align:left;margin-left:-39.8pt;margin-top:21.7pt;width:37.7pt;height:490.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" filled="f" stroked="f" strokeweight=".5pt">
              <v:textbox style="layout-flow:vertical">
                <w:txbxContent>
                  <w:p w14:paraId="756C2D3F" w14:textId="05AE78A8" w:rsidR="004D42F9" w:rsidRPr="00C656B9" w:rsidRDefault="004A6B5C" w:rsidP="00097095">
                    <w:pPr>
                      <w:pStyle w:val="FooterOddPage"/>
                    </w:pPr>
                    <w:r>
                      <w:fldChar w:fldCharType="begin"/>
                    </w:r>
                    <w:r>
                      <w:instrText>TITLE   \* MERGEFORMAT</w:instrText>
                    </w:r>
                    <w:r>
                      <w:fldChar w:fldCharType="end"/>
                    </w:r>
                    <w:r w:rsidR="004D42F9" w:rsidRPr="00842AE8">
                      <w:tab/>
                      <w:t xml:space="preserve">Chapter </w:t>
                    </w:r>
                    <w:r w:rsidR="004D42F9">
                      <w:t>4</w:t>
                    </w:r>
                    <w:r w:rsidR="004D42F9" w:rsidRPr="00842AE8">
                      <w:tab/>
                    </w:r>
                    <w:r w:rsidR="004D42F9" w:rsidRPr="00C656B9">
                      <w:fldChar w:fldCharType="begin"/>
                    </w:r>
                    <w:r w:rsidR="004D42F9" w:rsidRPr="00C656B9">
                      <w:instrText xml:space="preserve"> PAGE </w:instrText>
                    </w:r>
                    <w:r w:rsidR="004D42F9" w:rsidRPr="00C656B9">
                      <w:fldChar w:fldCharType="separate"/>
                    </w:r>
                    <w:r w:rsidR="004D42F9" w:rsidRPr="00C656B9">
                      <w:t>31</w:t>
                    </w:r>
                    <w:r w:rsidR="004D42F9" w:rsidRPr="00C656B9">
                      <w:fldChar w:fldCharType="end"/>
                    </w:r>
                  </w:p>
                  <w:p w14:paraId="5210CD4F" w14:textId="77777777" w:rsidR="004D42F9" w:rsidRPr="00842AE8" w:rsidRDefault="004D42F9" w:rsidP="00097095">
                    <w:pPr>
                      <w:pStyle w:val="FooterOddPage"/>
                    </w:pPr>
                  </w:p>
                </w:txbxContent>
              </v:textbox>
            </v:shape>
          </w:pict>
        </mc:Fallback>
      </mc:AlternateContent>
    </w:r>
    <w:r>
      <w:rPr>
        <w:noProof/>
        <w:color w:val="2B579A"/>
        <w:shd w:val="clear" w:color="auto" w:fill="E6E6E6"/>
        <w:lang w:eastAsia="en-AU"/>
      </w:rPr>
      <mc:AlternateContent>
        <mc:Choice Requires="wps">
          <w:drawing>
            <wp:anchor distT="0" distB="0" distL="114300" distR="114300" simplePos="0" relativeHeight="251658250" behindDoc="0" locked="0" layoutInCell="1" allowOverlap="1" wp14:anchorId="294102A7" wp14:editId="3E0F8B12">
              <wp:simplePos x="0" y="0"/>
              <wp:positionH relativeFrom="column">
                <wp:posOffset>9271635</wp:posOffset>
              </wp:positionH>
              <wp:positionV relativeFrom="paragraph">
                <wp:posOffset>299085</wp:posOffset>
              </wp:positionV>
              <wp:extent cx="409575" cy="6192000"/>
              <wp:effectExtent l="0" t="0" r="0" b="0"/>
              <wp:wrapNone/>
              <wp:docPr id="1722044521" name="Text Box 172204452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A1409D" w14:textId="6820F9C7" w:rsidR="004D42F9" w:rsidRPr="000B32AB" w:rsidRDefault="00C656B9" w:rsidP="00CA1021">
                          <w:pPr>
                            <w:pStyle w:val="Header"/>
                            <w:jc w:val="right"/>
                          </w:pPr>
                          <w:r w:rsidRPr="00C656B9">
                            <w:t>3. HOW FUNDS ARE SPENT</w:t>
                          </w:r>
                        </w:p>
                        <w:p w14:paraId="6A38BCF8" w14:textId="77777777" w:rsidR="004D42F9" w:rsidRPr="000B32AB" w:rsidRDefault="004D42F9" w:rsidP="00CA102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94102A7" id="Text Box 1722044521" o:spid="_x0000_s1045" type="#_x0000_t202" style="position:absolute;left:0;text-align:left;margin-left:730.05pt;margin-top:23.55pt;width:32.25pt;height:487.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Dt4gOSbQIAAEQFAAAOAAAAAAAAAAAA&#10;AAAAAC4CAABkcnMvZTJvRG9jLnhtbFBLAQItABQABgAIAAAAIQCcjHJ44QAAAA0BAAAPAAAAAAAA&#10;AAAAAAAAAMcEAABkcnMvZG93bnJldi54bWxQSwUGAAAAAAQABADzAAAA1QUAAAAA&#10;" filled="f" stroked="f" strokeweight=".5pt">
              <v:textbox style="layout-flow:vertical">
                <w:txbxContent>
                  <w:p w14:paraId="69A1409D" w14:textId="6820F9C7" w:rsidR="004D42F9" w:rsidRPr="000B32AB" w:rsidRDefault="00C656B9" w:rsidP="00CA1021">
                    <w:pPr>
                      <w:pStyle w:val="Header"/>
                      <w:jc w:val="right"/>
                    </w:pPr>
                    <w:r w:rsidRPr="00C656B9">
                      <w:t>3. HOW FUNDS ARE SPENT</w:t>
                    </w:r>
                  </w:p>
                  <w:p w14:paraId="6A38BCF8" w14:textId="77777777" w:rsidR="004D42F9" w:rsidRPr="000B32AB" w:rsidRDefault="004D42F9" w:rsidP="00CA1021">
                    <w:pPr>
                      <w:pStyle w:val="Header"/>
                    </w:pP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8ACE3" w14:textId="683512A7" w:rsidR="004D42F9" w:rsidRPr="006A4810" w:rsidRDefault="004F2221">
    <w:pPr>
      <w:pStyle w:val="Header"/>
    </w:pPr>
    <w:r>
      <w:t>3. HOW FUNDS ARE SPENT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10BB" w14:textId="6CB3A763" w:rsidR="009B539A" w:rsidRDefault="009B539A">
    <w:pPr>
      <w:pStyle w:val="Header"/>
    </w:pPr>
  </w:p>
  <w:p w14:paraId="51F7AFC6" w14:textId="77777777" w:rsidR="009B539A" w:rsidRDefault="009B539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45B6" w14:textId="7DF3C331" w:rsidR="004D42F9" w:rsidRPr="006A4810" w:rsidRDefault="004F2221" w:rsidP="004F2221">
    <w:pPr>
      <w:pStyle w:val="Header"/>
      <w:jc w:val="right"/>
    </w:pPr>
    <w:r>
      <w:t>3. HOW FUNDS ARE SPENT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80E0" w14:textId="45A133A0" w:rsidR="00CC7EC3" w:rsidRPr="00CC7EC3" w:rsidRDefault="00CC7EC3" w:rsidP="00CC7EC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66BD" w14:textId="65391381" w:rsidR="004F2221" w:rsidRPr="004F2221" w:rsidRDefault="004F2221" w:rsidP="00CC7EC3">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25F24" w14:textId="3A777468" w:rsidR="004F2221" w:rsidRPr="006A4810" w:rsidRDefault="004F2221">
    <w:pPr>
      <w:pStyle w:val="Header"/>
    </w:pPr>
    <w:r>
      <w:t>4. MAJOR ASSETS AND INVESTMENTS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558B" w14:textId="77777777" w:rsidR="000C5277" w:rsidRDefault="001A33DD" w:rsidP="00CC7EC3">
    <w:pPr>
      <w:pStyle w:val="Header"/>
      <w:jc w:val="right"/>
    </w:pPr>
    <w:r>
      <w:t>4. MAJOR ASSETS AND INVESTMENTS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6D09" w14:textId="4723BADE" w:rsidR="004F2221" w:rsidRPr="004F2221" w:rsidRDefault="004F2221" w:rsidP="004F2221">
    <w:pPr>
      <w:pStyle w:val="Header"/>
      <w:jc w:val="right"/>
    </w:pPr>
    <w:r>
      <w:t>4. MAJOR ASSETS AND INVESTMENTS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6A900" w14:textId="77777777" w:rsidR="004F2221" w:rsidRPr="006A4810" w:rsidRDefault="004F2221">
    <w:pPr>
      <w:pStyle w:val="Header"/>
    </w:pPr>
    <w:r>
      <w:t>4. MAJOR ASSETS AND INVESTMENTS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16F3" w14:textId="77777777" w:rsidR="00724F33" w:rsidRDefault="004C4C85">
    <w:pPr>
      <w:pStyle w:val="Header"/>
    </w:pPr>
    <w:r w:rsidRPr="004C4C85">
      <w:t>5. FINANCING STATE OPERATIONS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F4F2" w14:textId="29404498" w:rsidR="004F2221" w:rsidRPr="004F2221" w:rsidRDefault="004F2221" w:rsidP="00C656B9">
    <w:pPr>
      <w:pStyle w:val="Header"/>
      <w:jc w:val="right"/>
    </w:pPr>
    <w:r>
      <w:t>5. FINANCING STATE OPERATIONS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1B322" w14:textId="6A963D5D" w:rsidR="004F2221" w:rsidRPr="006A4810" w:rsidRDefault="004F2221" w:rsidP="00C656B9">
    <w:pPr>
      <w:pStyle w:val="Header"/>
    </w:pPr>
    <w:r>
      <w:t>5. FINANCING STATE OPERATIONS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C372" w14:textId="77777777" w:rsidR="00A20CD2" w:rsidRDefault="00A20CD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7A47" w14:textId="240A4CEB" w:rsidR="004D42F9" w:rsidRPr="006A4810" w:rsidRDefault="00AF1369">
    <w:pPr>
      <w:pStyle w:val="Header"/>
    </w:pPr>
    <w:r w:rsidRPr="005B0F23">
      <w:rPr>
        <w:noProof/>
        <w:color w:val="2B579A"/>
        <w:shd w:val="clear" w:color="auto" w:fill="E6E6E6"/>
      </w:rPr>
      <mc:AlternateContent>
        <mc:Choice Requires="wps">
          <w:drawing>
            <wp:anchor distT="0" distB="0" distL="114300" distR="114300" simplePos="0" relativeHeight="251658257" behindDoc="0" locked="0" layoutInCell="1" allowOverlap="1" wp14:anchorId="5313D70F" wp14:editId="7B4F2499">
              <wp:simplePos x="0" y="0"/>
              <wp:positionH relativeFrom="column">
                <wp:posOffset>9198610</wp:posOffset>
              </wp:positionH>
              <wp:positionV relativeFrom="paragraph">
                <wp:posOffset>289236</wp:posOffset>
              </wp:positionV>
              <wp:extent cx="478155" cy="6227445"/>
              <wp:effectExtent l="0" t="0" r="0" b="1905"/>
              <wp:wrapNone/>
              <wp:docPr id="378465057" name="Text Box 378465057"/>
              <wp:cNvGraphicFramePr/>
              <a:graphic xmlns:a="http://schemas.openxmlformats.org/drawingml/2006/main">
                <a:graphicData uri="http://schemas.microsoft.com/office/word/2010/wordprocessingShape">
                  <wps:wsp>
                    <wps:cNvSpPr txBox="1"/>
                    <wps:spPr>
                      <a:xfrm>
                        <a:off x="0" y="0"/>
                        <a:ext cx="47815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38DA75" w14:textId="77777777" w:rsidR="007E2A58" w:rsidRPr="004F2221" w:rsidRDefault="007E2A58" w:rsidP="007E2A58">
                          <w:pPr>
                            <w:pStyle w:val="Header"/>
                          </w:pPr>
                          <w:r>
                            <w:t>5. FINANCING STATE OPERATIONS</w:t>
                          </w:r>
                        </w:p>
                        <w:p w14:paraId="1FB071A6" w14:textId="77777777" w:rsidR="007E2A58" w:rsidRPr="00842AE8" w:rsidRDefault="007E2A58" w:rsidP="007E2A58">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313D70F" id="_x0000_t202" coordsize="21600,21600" o:spt="202" path="m,l,21600r21600,l21600,xe">
              <v:stroke joinstyle="miter"/>
              <v:path gradientshapeok="t" o:connecttype="rect"/>
            </v:shapetype>
            <v:shape id="Text Box 378465057" o:spid="_x0000_s1046" type="#_x0000_t202" style="position:absolute;margin-left:724.3pt;margin-top:22.75pt;width:37.65pt;height:490.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" filled="f" stroked="f" strokeweight=".5pt">
              <v:textbox style="layout-flow:vertical">
                <w:txbxContent>
                  <w:p w14:paraId="0038DA75" w14:textId="77777777" w:rsidR="007E2A58" w:rsidRPr="004F2221" w:rsidRDefault="007E2A58" w:rsidP="007E2A58">
                    <w:pPr>
                      <w:pStyle w:val="Header"/>
                    </w:pPr>
                    <w:r>
                      <w:t>5. FINANCING STATE OPERATIONS</w:t>
                    </w:r>
                  </w:p>
                  <w:p w14:paraId="1FB071A6" w14:textId="77777777" w:rsidR="007E2A58" w:rsidRPr="00842AE8" w:rsidRDefault="007E2A58" w:rsidP="007E2A58">
                    <w:pPr>
                      <w:jc w:val="both"/>
                    </w:pPr>
                  </w:p>
                </w:txbxContent>
              </v:textbox>
            </v:shape>
          </w:pict>
        </mc:Fallback>
      </mc:AlternateContent>
    </w:r>
    <w:r w:rsidRPr="005B0F23">
      <w:rPr>
        <w:noProof/>
        <w:color w:val="2B579A"/>
        <w:shd w:val="clear" w:color="auto" w:fill="E6E6E6"/>
      </w:rPr>
      <mc:AlternateContent>
        <mc:Choice Requires="wps">
          <w:drawing>
            <wp:anchor distT="0" distB="0" distL="114300" distR="114300" simplePos="0" relativeHeight="251658252" behindDoc="0" locked="0" layoutInCell="1" allowOverlap="1" wp14:anchorId="75571989" wp14:editId="4DE560F4">
              <wp:simplePos x="0" y="0"/>
              <wp:positionH relativeFrom="column">
                <wp:posOffset>-497205</wp:posOffset>
              </wp:positionH>
              <wp:positionV relativeFrom="paragraph">
                <wp:posOffset>279872</wp:posOffset>
              </wp:positionV>
              <wp:extent cx="478155" cy="6227445"/>
              <wp:effectExtent l="0" t="0" r="0" b="1905"/>
              <wp:wrapNone/>
              <wp:docPr id="678684058" name="Text Box 678684058"/>
              <wp:cNvGraphicFramePr/>
              <a:graphic xmlns:a="http://schemas.openxmlformats.org/drawingml/2006/main">
                <a:graphicData uri="http://schemas.microsoft.com/office/word/2010/wordprocessingShape">
                  <wps:wsp>
                    <wps:cNvSpPr txBox="1"/>
                    <wps:spPr>
                      <a:xfrm>
                        <a:off x="0" y="0"/>
                        <a:ext cx="47815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B6728D" w14:textId="2E5E54BC" w:rsidR="004D42F9" w:rsidRPr="00842AE8" w:rsidRDefault="004D42F9">
                          <w:pPr>
                            <w:pStyle w:val="FooterOddPage"/>
                            <w:tabs>
                              <w:tab w:val="clear" w:pos="5387"/>
                              <w:tab w:val="center" w:pos="3969"/>
                            </w:tabs>
                          </w:pPr>
                          <w:r w:rsidRPr="007E2A58">
                            <w:fldChar w:fldCharType="begin"/>
                          </w:r>
                          <w:r w:rsidRPr="007E2A58">
                            <w:instrText xml:space="preserve"> PAGE </w:instrText>
                          </w:r>
                          <w:r w:rsidRPr="007E2A58">
                            <w:fldChar w:fldCharType="separate"/>
                          </w:r>
                          <w:r w:rsidRPr="007E2A58">
                            <w:t>62</w:t>
                          </w:r>
                          <w:r w:rsidRPr="007E2A58">
                            <w:fldChar w:fldCharType="end"/>
                          </w:r>
                          <w:r w:rsidRPr="00842AE8">
                            <w:tab/>
                            <w:t xml:space="preserve">Chapter </w:t>
                          </w:r>
                          <w:r>
                            <w:t>4</w:t>
                          </w:r>
                          <w:r w:rsidRPr="00842AE8">
                            <w:tab/>
                          </w:r>
                          <w:r w:rsidR="004A6B5C">
                            <w:t>2024-25 Financial Report</w:t>
                          </w:r>
                        </w:p>
                        <w:p w14:paraId="7B5559BF" w14:textId="77777777" w:rsidR="004D42F9" w:rsidRPr="00842AE8" w:rsidRDefault="004D42F9">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5571989" id="Text Box 678684058" o:spid="_x0000_s1047" type="#_x0000_t202" style="position:absolute;margin-left:-39.15pt;margin-top:22.05pt;width:37.65pt;height:49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" filled="f" stroked="f" strokeweight=".5pt">
              <v:textbox style="layout-flow:vertical">
                <w:txbxContent>
                  <w:p w14:paraId="1DB6728D" w14:textId="2E5E54BC" w:rsidR="004D42F9" w:rsidRPr="00842AE8" w:rsidRDefault="004D42F9">
                    <w:pPr>
                      <w:pStyle w:val="FooterOddPage"/>
                      <w:tabs>
                        <w:tab w:val="clear" w:pos="5387"/>
                        <w:tab w:val="center" w:pos="3969"/>
                      </w:tabs>
                    </w:pPr>
                    <w:r w:rsidRPr="007E2A58">
                      <w:fldChar w:fldCharType="begin"/>
                    </w:r>
                    <w:r w:rsidRPr="007E2A58">
                      <w:instrText xml:space="preserve"> PAGE </w:instrText>
                    </w:r>
                    <w:r w:rsidRPr="007E2A58">
                      <w:fldChar w:fldCharType="separate"/>
                    </w:r>
                    <w:r w:rsidRPr="007E2A58">
                      <w:t>62</w:t>
                    </w:r>
                    <w:r w:rsidRPr="007E2A58">
                      <w:fldChar w:fldCharType="end"/>
                    </w:r>
                    <w:r w:rsidRPr="00842AE8">
                      <w:tab/>
                      <w:t xml:space="preserve">Chapter </w:t>
                    </w:r>
                    <w:r>
                      <w:t>4</w:t>
                    </w:r>
                    <w:r w:rsidRPr="00842AE8">
                      <w:tab/>
                    </w:r>
                    <w:r w:rsidR="004A6B5C">
                      <w:t>2024-25 Financial Report</w:t>
                    </w:r>
                  </w:p>
                  <w:p w14:paraId="7B5559BF" w14:textId="77777777" w:rsidR="004D42F9" w:rsidRPr="00842AE8" w:rsidRDefault="004D42F9">
                    <w:pPr>
                      <w:pStyle w:val="FooterOddPage"/>
                    </w:pP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AEF5" w14:textId="53F5D75C" w:rsidR="004D42F9" w:rsidRPr="006A4810" w:rsidRDefault="00C656B9">
    <w:pPr>
      <w:pStyle w:val="Header"/>
    </w:pPr>
    <w:r w:rsidRPr="005B0F23">
      <w:rPr>
        <w:noProof/>
        <w:color w:val="2B579A"/>
        <w:shd w:val="clear" w:color="auto" w:fill="E6E6E6"/>
      </w:rPr>
      <mc:AlternateContent>
        <mc:Choice Requires="wps">
          <w:drawing>
            <wp:anchor distT="0" distB="0" distL="114300" distR="114300" simplePos="0" relativeHeight="251658261" behindDoc="0" locked="0" layoutInCell="1" allowOverlap="1" wp14:anchorId="53BD66BE" wp14:editId="6FC2B405">
              <wp:simplePos x="0" y="0"/>
              <wp:positionH relativeFrom="rightMargin">
                <wp:align>left</wp:align>
              </wp:positionH>
              <wp:positionV relativeFrom="paragraph">
                <wp:posOffset>161925</wp:posOffset>
              </wp:positionV>
              <wp:extent cx="478732" cy="6227445"/>
              <wp:effectExtent l="0" t="0" r="0" b="1905"/>
              <wp:wrapNone/>
              <wp:docPr id="1350641617" name="Text Box 1350641617"/>
              <wp:cNvGraphicFramePr/>
              <a:graphic xmlns:a="http://schemas.openxmlformats.org/drawingml/2006/main">
                <a:graphicData uri="http://schemas.microsoft.com/office/word/2010/wordprocessingShape">
                  <wps:wsp>
                    <wps:cNvSpPr txBox="1"/>
                    <wps:spPr>
                      <a:xfrm>
                        <a:off x="0" y="0"/>
                        <a:ext cx="478732"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9A8DA3" w14:textId="77777777" w:rsidR="00C656B9" w:rsidRPr="006A4810" w:rsidRDefault="00C656B9" w:rsidP="00C656B9">
                          <w:pPr>
                            <w:pStyle w:val="Header"/>
                            <w:jc w:val="right"/>
                          </w:pPr>
                          <w:r>
                            <w:t>5. FINANCING STATE OPERATIONS</w:t>
                          </w:r>
                        </w:p>
                        <w:p w14:paraId="186B6F09" w14:textId="77777777" w:rsidR="00C656B9" w:rsidRPr="00842AE8" w:rsidRDefault="00C656B9"/>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3BD66BE" id="_x0000_t202" coordsize="21600,21600" o:spt="202" path="m,l,21600r21600,l21600,xe">
              <v:stroke joinstyle="miter"/>
              <v:path gradientshapeok="t" o:connecttype="rect"/>
            </v:shapetype>
            <v:shape id="Text Box 1350641617" o:spid="_x0000_s1048" type="#_x0000_t202" style="position:absolute;margin-left:0;margin-top:12.75pt;width:37.7pt;height:490.35pt;z-index:25165826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" filled="f" stroked="f" strokeweight=".5pt">
              <v:textbox style="layout-flow:vertical">
                <w:txbxContent>
                  <w:p w14:paraId="439A8DA3" w14:textId="77777777" w:rsidR="00C656B9" w:rsidRPr="006A4810" w:rsidRDefault="00C656B9" w:rsidP="00C656B9">
                    <w:pPr>
                      <w:pStyle w:val="Header"/>
                      <w:jc w:val="right"/>
                    </w:pPr>
                    <w:r>
                      <w:t>5. FINANCING STATE OPERATIONS</w:t>
                    </w:r>
                  </w:p>
                  <w:p w14:paraId="186B6F09" w14:textId="77777777" w:rsidR="00C656B9" w:rsidRPr="00842AE8" w:rsidRDefault="00C656B9"/>
                </w:txbxContent>
              </v:textbox>
              <w10:wrap anchorx="margin"/>
            </v:shape>
          </w:pict>
        </mc:Fallback>
      </mc:AlternateContent>
    </w:r>
    <w:r w:rsidR="004D42F9" w:rsidRPr="005B0F23">
      <w:rPr>
        <w:noProof/>
        <w:color w:val="2B579A"/>
        <w:shd w:val="clear" w:color="auto" w:fill="E6E6E6"/>
      </w:rPr>
      <mc:AlternateContent>
        <mc:Choice Requires="wps">
          <w:drawing>
            <wp:anchor distT="0" distB="0" distL="114300" distR="114300" simplePos="0" relativeHeight="251658251" behindDoc="0" locked="0" layoutInCell="1" allowOverlap="1" wp14:anchorId="06EE4673" wp14:editId="36286997">
              <wp:simplePos x="0" y="0"/>
              <wp:positionH relativeFrom="leftMargin">
                <wp:align>right</wp:align>
              </wp:positionH>
              <wp:positionV relativeFrom="paragraph">
                <wp:posOffset>162426</wp:posOffset>
              </wp:positionV>
              <wp:extent cx="478732" cy="6227445"/>
              <wp:effectExtent l="0" t="0" r="0" b="1905"/>
              <wp:wrapNone/>
              <wp:docPr id="1752542534" name="Text Box 1752542534"/>
              <wp:cNvGraphicFramePr/>
              <a:graphic xmlns:a="http://schemas.openxmlformats.org/drawingml/2006/main">
                <a:graphicData uri="http://schemas.microsoft.com/office/word/2010/wordprocessingShape">
                  <wps:wsp>
                    <wps:cNvSpPr txBox="1"/>
                    <wps:spPr>
                      <a:xfrm>
                        <a:off x="0" y="0"/>
                        <a:ext cx="478732"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60DC04" w14:textId="626973E6" w:rsidR="004D42F9" w:rsidRPr="005840A4" w:rsidRDefault="004A6B5C">
                          <w:pPr>
                            <w:pStyle w:val="FooterOddPage"/>
                          </w:pPr>
                          <w:r>
                            <w:fldChar w:fldCharType="begin"/>
                          </w:r>
                          <w:r>
                            <w:instrText>TITLE   \* MERGEFORMAT</w:instrText>
                          </w:r>
                          <w:r>
                            <w:fldChar w:fldCharType="end"/>
                          </w:r>
                          <w:r w:rsidR="004D42F9" w:rsidRPr="00842AE8">
                            <w:tab/>
                            <w:t xml:space="preserve">Chapter </w:t>
                          </w:r>
                          <w:r w:rsidR="004D42F9">
                            <w:t>4</w:t>
                          </w:r>
                          <w:r w:rsidR="004D42F9" w:rsidRPr="00842AE8">
                            <w:tab/>
                          </w:r>
                          <w:r w:rsidR="004D42F9" w:rsidRPr="005840A4">
                            <w:fldChar w:fldCharType="begin"/>
                          </w:r>
                          <w:r w:rsidR="004D42F9" w:rsidRPr="005840A4">
                            <w:instrText xml:space="preserve"> PAGE </w:instrText>
                          </w:r>
                          <w:r w:rsidR="004D42F9" w:rsidRPr="005840A4">
                            <w:fldChar w:fldCharType="separate"/>
                          </w:r>
                          <w:r w:rsidR="004D42F9" w:rsidRPr="005840A4">
                            <w:t>31</w:t>
                          </w:r>
                          <w:r w:rsidR="004D42F9" w:rsidRPr="005840A4">
                            <w:fldChar w:fldCharType="end"/>
                          </w:r>
                        </w:p>
                        <w:p w14:paraId="62E54105" w14:textId="77777777" w:rsidR="004D42F9" w:rsidRPr="00842AE8" w:rsidRDefault="004D42F9">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E4673" id="_x0000_t202" coordsize="21600,21600" o:spt="202" path="m,l,21600r21600,l21600,xe">
              <v:stroke joinstyle="miter"/>
              <v:path gradientshapeok="t" o:connecttype="rect"/>
            </v:shapetype>
            <v:shape id="Text Box 1752542534" o:spid="_x0000_s1049" type="#_x0000_t202" style="position:absolute;margin-left:-13.5pt;margin-top:12.8pt;width:37.7pt;height:490.35pt;z-index:251658251;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" filled="f" stroked="f" strokeweight=".5pt">
              <v:textbox style="layout-flow:vertical">
                <w:txbxContent>
                  <w:p w14:paraId="1460DC04" w14:textId="626973E6" w:rsidR="004D42F9" w:rsidRPr="005840A4" w:rsidRDefault="004A6B5C">
                    <w:pPr>
                      <w:pStyle w:val="FooterOddPage"/>
                    </w:pPr>
                    <w:r>
                      <w:fldChar w:fldCharType="begin"/>
                    </w:r>
                    <w:r>
                      <w:instrText>TITLE   \* MERGEFORMAT</w:instrText>
                    </w:r>
                    <w:r>
                      <w:fldChar w:fldCharType="end"/>
                    </w:r>
                    <w:r w:rsidR="004D42F9" w:rsidRPr="00842AE8">
                      <w:tab/>
                      <w:t xml:space="preserve">Chapter </w:t>
                    </w:r>
                    <w:r w:rsidR="004D42F9">
                      <w:t>4</w:t>
                    </w:r>
                    <w:r w:rsidR="004D42F9" w:rsidRPr="00842AE8">
                      <w:tab/>
                    </w:r>
                    <w:r w:rsidR="004D42F9" w:rsidRPr="005840A4">
                      <w:fldChar w:fldCharType="begin"/>
                    </w:r>
                    <w:r w:rsidR="004D42F9" w:rsidRPr="005840A4">
                      <w:instrText xml:space="preserve"> PAGE </w:instrText>
                    </w:r>
                    <w:r w:rsidR="004D42F9" w:rsidRPr="005840A4">
                      <w:fldChar w:fldCharType="separate"/>
                    </w:r>
                    <w:r w:rsidR="004D42F9" w:rsidRPr="005840A4">
                      <w:t>31</w:t>
                    </w:r>
                    <w:r w:rsidR="004D42F9" w:rsidRPr="005840A4">
                      <w:fldChar w:fldCharType="end"/>
                    </w:r>
                  </w:p>
                  <w:p w14:paraId="62E54105" w14:textId="77777777" w:rsidR="004D42F9" w:rsidRPr="00842AE8" w:rsidRDefault="004D42F9">
                    <w:pPr>
                      <w:pStyle w:val="FooterOddPage"/>
                    </w:pPr>
                  </w:p>
                </w:txbxContent>
              </v:textbox>
              <w10:wrap anchorx="margin"/>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1EC5" w14:textId="42AF239B" w:rsidR="004D42F9" w:rsidRPr="006A4810" w:rsidRDefault="007E2A58" w:rsidP="007E2A58">
    <w:pPr>
      <w:pStyle w:val="Header"/>
    </w:pPr>
    <w:r>
      <w:t>5. FINANCING STATE OPERATIONS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0C83" w14:textId="369C498F" w:rsidR="004D42F9" w:rsidRPr="006A4810" w:rsidRDefault="007E2A58" w:rsidP="007E2A58">
    <w:pPr>
      <w:pStyle w:val="Header"/>
      <w:jc w:val="right"/>
    </w:pPr>
    <w:r>
      <w:t>5. FINANCING STATE OPERATIONS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E6EC" w14:textId="375DDBB8" w:rsidR="004D42F9" w:rsidRDefault="005840A4" w:rsidP="00097095">
    <w:r w:rsidRPr="005B0F23">
      <w:rPr>
        <w:noProof/>
        <w:color w:val="2B579A"/>
        <w:shd w:val="clear" w:color="auto" w:fill="E6E6E6"/>
      </w:rPr>
      <mc:AlternateContent>
        <mc:Choice Requires="wps">
          <w:drawing>
            <wp:anchor distT="0" distB="0" distL="114300" distR="114300" simplePos="0" relativeHeight="251658262" behindDoc="0" locked="0" layoutInCell="1" allowOverlap="1" wp14:anchorId="26C2F46B" wp14:editId="4D10624B">
              <wp:simplePos x="0" y="0"/>
              <wp:positionH relativeFrom="rightMargin">
                <wp:align>left</wp:align>
              </wp:positionH>
              <wp:positionV relativeFrom="paragraph">
                <wp:posOffset>280670</wp:posOffset>
              </wp:positionV>
              <wp:extent cx="467148" cy="6227445"/>
              <wp:effectExtent l="0" t="0" r="0" b="1905"/>
              <wp:wrapNone/>
              <wp:docPr id="1161236651" name="Text Box 1161236651"/>
              <wp:cNvGraphicFramePr/>
              <a:graphic xmlns:a="http://schemas.openxmlformats.org/drawingml/2006/main">
                <a:graphicData uri="http://schemas.microsoft.com/office/word/2010/wordprocessingShape">
                  <wps:wsp>
                    <wps:cNvSpPr txBox="1"/>
                    <wps:spPr>
                      <a:xfrm>
                        <a:off x="0" y="0"/>
                        <a:ext cx="46714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E97FF2" w14:textId="3874C445" w:rsidR="005840A4" w:rsidRPr="00B75012" w:rsidRDefault="005840A4" w:rsidP="005840A4">
                          <w:pPr>
                            <w:pStyle w:val="Header"/>
                          </w:pPr>
                          <w:r w:rsidRPr="005840A4">
                            <w:t>5. FINANCING STATE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6C2F46B" id="_x0000_t202" coordsize="21600,21600" o:spt="202" path="m,l,21600r21600,l21600,xe">
              <v:stroke joinstyle="miter"/>
              <v:path gradientshapeok="t" o:connecttype="rect"/>
            </v:shapetype>
            <v:shape id="Text Box 1161236651" o:spid="_x0000_s1050" type="#_x0000_t202" style="position:absolute;margin-left:0;margin-top:22.1pt;width:36.8pt;height:490.35pt;z-index:25165826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" filled="f" stroked="f" strokeweight=".5pt">
              <v:textbox style="layout-flow:vertical">
                <w:txbxContent>
                  <w:p w14:paraId="7BE97FF2" w14:textId="3874C445" w:rsidR="005840A4" w:rsidRPr="00B75012" w:rsidRDefault="005840A4" w:rsidP="005840A4">
                    <w:pPr>
                      <w:pStyle w:val="Header"/>
                    </w:pPr>
                    <w:r w:rsidRPr="005840A4">
                      <w:t>5. FINANCING STATE OPERATIONS</w:t>
                    </w:r>
                  </w:p>
                </w:txbxContent>
              </v:textbox>
              <w10:wrap anchorx="margin"/>
            </v:shape>
          </w:pict>
        </mc:Fallback>
      </mc:AlternateContent>
    </w:r>
    <w:r w:rsidR="004D42F9" w:rsidRPr="005B0F23">
      <w:rPr>
        <w:noProof/>
        <w:color w:val="2B579A"/>
        <w:shd w:val="clear" w:color="auto" w:fill="E6E6E6"/>
      </w:rPr>
      <mc:AlternateContent>
        <mc:Choice Requires="wps">
          <w:drawing>
            <wp:anchor distT="0" distB="0" distL="114300" distR="114300" simplePos="0" relativeHeight="251658243" behindDoc="0" locked="0" layoutInCell="1" allowOverlap="1" wp14:anchorId="799E0A84" wp14:editId="3F066F67">
              <wp:simplePos x="0" y="0"/>
              <wp:positionH relativeFrom="column">
                <wp:posOffset>-473498</wp:posOffset>
              </wp:positionH>
              <wp:positionV relativeFrom="paragraph">
                <wp:posOffset>280670</wp:posOffset>
              </wp:positionV>
              <wp:extent cx="467148" cy="6227445"/>
              <wp:effectExtent l="0" t="0" r="0" b="1905"/>
              <wp:wrapNone/>
              <wp:docPr id="1744300863" name="Text Box 1744300863"/>
              <wp:cNvGraphicFramePr/>
              <a:graphic xmlns:a="http://schemas.openxmlformats.org/drawingml/2006/main">
                <a:graphicData uri="http://schemas.microsoft.com/office/word/2010/wordprocessingShape">
                  <wps:wsp>
                    <wps:cNvSpPr txBox="1"/>
                    <wps:spPr>
                      <a:xfrm>
                        <a:off x="0" y="0"/>
                        <a:ext cx="467148"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FC462B" w14:textId="6F99CE9E" w:rsidR="004D42F9" w:rsidRPr="00B75012" w:rsidRDefault="004D42F9" w:rsidP="00097095">
                          <w:pPr>
                            <w:pStyle w:val="FooterEvenPage"/>
                          </w:pPr>
                          <w:r w:rsidRPr="005840A4">
                            <w:fldChar w:fldCharType="begin"/>
                          </w:r>
                          <w:r w:rsidRPr="005840A4">
                            <w:instrText xml:space="preserve"> PAGE </w:instrText>
                          </w:r>
                          <w:r w:rsidRPr="005840A4">
                            <w:fldChar w:fldCharType="separate"/>
                          </w:r>
                          <w:r w:rsidRPr="005840A4">
                            <w:t>30</w:t>
                          </w:r>
                          <w:r w:rsidRPr="005840A4">
                            <w:fldChar w:fldCharType="end"/>
                          </w:r>
                          <w:r w:rsidRPr="005840A4">
                            <w:tab/>
                          </w:r>
                          <w:r w:rsidRPr="00B82AEA">
                            <w:t>Chapter</w:t>
                          </w:r>
                          <w:r>
                            <w:t xml:space="preserve"> 4</w:t>
                          </w:r>
                          <w:r w:rsidRPr="00B82AEA">
                            <w:tab/>
                          </w:r>
                          <w:r w:rsidR="004A6B5C">
                            <w:fldChar w:fldCharType="begin"/>
                          </w:r>
                          <w:r w:rsidR="004A6B5C">
                            <w:instrText>TITLE   \* MERGEFORMAT</w:instrText>
                          </w:r>
                          <w:r w:rsidR="004A6B5C">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E0A84" id="_x0000_t202" coordsize="21600,21600" o:spt="202" path="m,l,21600r21600,l21600,xe">
              <v:stroke joinstyle="miter"/>
              <v:path gradientshapeok="t" o:connecttype="rect"/>
            </v:shapetype>
            <v:shape id="Text Box 1744300863" o:spid="_x0000_s1051" type="#_x0000_t202" style="position:absolute;margin-left:-37.3pt;margin-top:22.1pt;width:36.8pt;height:49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" filled="f" stroked="f" strokeweight=".5pt">
              <v:textbox style="layout-flow:vertical">
                <w:txbxContent>
                  <w:p w14:paraId="0FFC462B" w14:textId="6F99CE9E" w:rsidR="004D42F9" w:rsidRPr="00B75012" w:rsidRDefault="004D42F9" w:rsidP="00097095">
                    <w:pPr>
                      <w:pStyle w:val="FooterEvenPage"/>
                    </w:pPr>
                    <w:r w:rsidRPr="005840A4">
                      <w:fldChar w:fldCharType="begin"/>
                    </w:r>
                    <w:r w:rsidRPr="005840A4">
                      <w:instrText xml:space="preserve"> PAGE </w:instrText>
                    </w:r>
                    <w:r w:rsidRPr="005840A4">
                      <w:fldChar w:fldCharType="separate"/>
                    </w:r>
                    <w:r w:rsidRPr="005840A4">
                      <w:t>30</w:t>
                    </w:r>
                    <w:r w:rsidRPr="005840A4">
                      <w:fldChar w:fldCharType="end"/>
                    </w:r>
                    <w:r w:rsidRPr="005840A4">
                      <w:tab/>
                    </w:r>
                    <w:r w:rsidRPr="00B82AEA">
                      <w:t>Chapter</w:t>
                    </w:r>
                    <w:r>
                      <w:t xml:space="preserve"> 4</w:t>
                    </w:r>
                    <w:r w:rsidRPr="00B82AEA">
                      <w:tab/>
                    </w:r>
                    <w:r w:rsidR="004A6B5C">
                      <w:fldChar w:fldCharType="begin"/>
                    </w:r>
                    <w:r w:rsidR="004A6B5C">
                      <w:instrText>TITLE   \* MERGEFORMAT</w:instrText>
                    </w:r>
                    <w:r w:rsidR="004A6B5C">
                      <w:fldChar w:fldCharType="end"/>
                    </w:r>
                  </w:p>
                </w:txbxContent>
              </v:textbox>
            </v:shape>
          </w:pict>
        </mc:Fallback>
      </mc:AlternateContent>
    </w:r>
    <w:r w:rsidR="004D42F9">
      <w:rPr>
        <w:noProof/>
        <w:color w:val="2B579A"/>
        <w:shd w:val="clear" w:color="auto" w:fill="E6E6E6"/>
      </w:rPr>
      <mc:AlternateContent>
        <mc:Choice Requires="wps">
          <w:drawing>
            <wp:anchor distT="0" distB="0" distL="114300" distR="114300" simplePos="0" relativeHeight="251658244" behindDoc="0" locked="0" layoutInCell="1" allowOverlap="1" wp14:anchorId="74EC8939" wp14:editId="31594280">
              <wp:simplePos x="0" y="0"/>
              <wp:positionH relativeFrom="column">
                <wp:posOffset>9271635</wp:posOffset>
              </wp:positionH>
              <wp:positionV relativeFrom="paragraph">
                <wp:posOffset>280035</wp:posOffset>
              </wp:positionV>
              <wp:extent cx="419100" cy="6192000"/>
              <wp:effectExtent l="0" t="0" r="0" b="0"/>
              <wp:wrapNone/>
              <wp:docPr id="413694436" name="Text Box 41369443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1CA1EE" w14:textId="77777777" w:rsidR="004D42F9" w:rsidRPr="000B32AB" w:rsidRDefault="004D42F9" w:rsidP="00097095">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EC8939" id="Text Box 413694436" o:spid="_x0000_s1052" type="#_x0000_t202" style="position:absolute;margin-left:730.05pt;margin-top:22.05pt;width:33pt;height:48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" filled="f" stroked="f" strokeweight=".5pt">
              <v:textbox style="layout-flow:vertical">
                <w:txbxContent>
                  <w:p w14:paraId="5C1CA1EE" w14:textId="77777777" w:rsidR="004D42F9" w:rsidRPr="000B32AB" w:rsidRDefault="004D42F9" w:rsidP="00097095">
                    <w:pPr>
                      <w:pStyle w:val="Header"/>
                    </w:pP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CB71" w14:textId="738EF234" w:rsidR="004D42F9" w:rsidRDefault="004576BD" w:rsidP="00097095">
    <w:pPr>
      <w:pStyle w:val="Header"/>
      <w:jc w:val="right"/>
    </w:pPr>
    <w:r w:rsidRPr="005B0F23">
      <w:rPr>
        <w:noProof/>
        <w:color w:val="2B579A"/>
        <w:shd w:val="clear" w:color="auto" w:fill="E6E6E6"/>
      </w:rPr>
      <mc:AlternateContent>
        <mc:Choice Requires="wps">
          <w:drawing>
            <wp:anchor distT="0" distB="0" distL="114300" distR="114300" simplePos="0" relativeHeight="251662359" behindDoc="0" locked="0" layoutInCell="1" allowOverlap="1" wp14:anchorId="4858E677" wp14:editId="7D4B8EF8">
              <wp:simplePos x="0" y="0"/>
              <wp:positionH relativeFrom="column">
                <wp:posOffset>-478479</wp:posOffset>
              </wp:positionH>
              <wp:positionV relativeFrom="paragraph">
                <wp:posOffset>274320</wp:posOffset>
              </wp:positionV>
              <wp:extent cx="456565" cy="6227445"/>
              <wp:effectExtent l="0" t="0" r="0" b="1905"/>
              <wp:wrapNone/>
              <wp:docPr id="2044346509" name="Text Box 2044346509"/>
              <wp:cNvGraphicFramePr/>
              <a:graphic xmlns:a="http://schemas.openxmlformats.org/drawingml/2006/main">
                <a:graphicData uri="http://schemas.microsoft.com/office/word/2010/wordprocessingShape">
                  <wps:wsp>
                    <wps:cNvSpPr txBox="1"/>
                    <wps:spPr>
                      <a:xfrm>
                        <a:off x="0" y="0"/>
                        <a:ext cx="45656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2E4469" w14:textId="77777777" w:rsidR="004D42F9" w:rsidRPr="00842AE8" w:rsidRDefault="004A6B5C" w:rsidP="00097095">
                          <w:pPr>
                            <w:pStyle w:val="FooterOddPage"/>
                          </w:pPr>
                          <w:r>
                            <w:t>2024-25 Financial Report</w:t>
                          </w:r>
                          <w:r w:rsidR="004D42F9" w:rsidRPr="00842AE8">
                            <w:tab/>
                            <w:t xml:space="preserve">Chapter </w:t>
                          </w:r>
                          <w:r w:rsidR="004D42F9">
                            <w:t>4</w:t>
                          </w:r>
                          <w:r w:rsidR="004D42F9" w:rsidRPr="00842AE8">
                            <w:tab/>
                          </w:r>
                          <w:r w:rsidR="004D42F9" w:rsidRPr="00F775AE">
                            <w:fldChar w:fldCharType="begin"/>
                          </w:r>
                          <w:r w:rsidR="004D42F9" w:rsidRPr="00842AE8">
                            <w:instrText xml:space="preserve"> PAGE </w:instrText>
                          </w:r>
                          <w:r w:rsidR="004D42F9" w:rsidRPr="00F775AE">
                            <w:fldChar w:fldCharType="separate"/>
                          </w:r>
                          <w:r w:rsidR="004D42F9">
                            <w:rPr>
                              <w:noProof/>
                            </w:rPr>
                            <w:t>31</w:t>
                          </w:r>
                          <w:r w:rsidR="004D42F9" w:rsidRPr="00F775AE">
                            <w:fldChar w:fldCharType="end"/>
                          </w:r>
                        </w:p>
                        <w:p w14:paraId="4B032DBC" w14:textId="77777777" w:rsidR="004D42F9" w:rsidRPr="00842AE8" w:rsidRDefault="004D42F9"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858E677" id="_x0000_t202" coordsize="21600,21600" o:spt="202" path="m,l,21600r21600,l21600,xe">
              <v:stroke joinstyle="miter"/>
              <v:path gradientshapeok="t" o:connecttype="rect"/>
            </v:shapetype>
            <v:shape id="Text Box 2044346509" o:spid="_x0000_s1053" type="#_x0000_t202" style="position:absolute;left:0;text-align:left;margin-left:-37.7pt;margin-top:21.6pt;width:35.95pt;height:490.35pt;z-index:251662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" filled="f" stroked="f" strokeweight=".5pt">
              <v:textbox style="layout-flow:vertical">
                <w:txbxContent>
                  <w:p w14:paraId="352E4469" w14:textId="77777777" w:rsidR="004D42F9" w:rsidRPr="00842AE8" w:rsidRDefault="004A6B5C" w:rsidP="00097095">
                    <w:pPr>
                      <w:pStyle w:val="FooterOddPage"/>
                    </w:pPr>
                    <w:r>
                      <w:t>2024-25 Financial Report</w:t>
                    </w:r>
                    <w:r w:rsidR="004D42F9" w:rsidRPr="00842AE8">
                      <w:tab/>
                      <w:t xml:space="preserve">Chapter </w:t>
                    </w:r>
                    <w:r w:rsidR="004D42F9">
                      <w:t>4</w:t>
                    </w:r>
                    <w:r w:rsidR="004D42F9" w:rsidRPr="00842AE8">
                      <w:tab/>
                    </w:r>
                    <w:r w:rsidR="004D42F9" w:rsidRPr="00F775AE">
                      <w:fldChar w:fldCharType="begin"/>
                    </w:r>
                    <w:r w:rsidR="004D42F9" w:rsidRPr="00842AE8">
                      <w:instrText xml:space="preserve"> PAGE </w:instrText>
                    </w:r>
                    <w:r w:rsidR="004D42F9" w:rsidRPr="00F775AE">
                      <w:fldChar w:fldCharType="separate"/>
                    </w:r>
                    <w:r w:rsidR="004D42F9">
                      <w:rPr>
                        <w:noProof/>
                      </w:rPr>
                      <w:t>31</w:t>
                    </w:r>
                    <w:r w:rsidR="004D42F9" w:rsidRPr="00F775AE">
                      <w:fldChar w:fldCharType="end"/>
                    </w:r>
                  </w:p>
                  <w:p w14:paraId="4B032DBC" w14:textId="77777777" w:rsidR="004D42F9" w:rsidRPr="00842AE8" w:rsidRDefault="004D42F9" w:rsidP="00097095">
                    <w:pPr>
                      <w:pStyle w:val="FooterOddPage"/>
                    </w:pPr>
                  </w:p>
                </w:txbxContent>
              </v:textbox>
            </v:shape>
          </w:pict>
        </mc:Fallback>
      </mc:AlternateContent>
    </w:r>
    <w:r w:rsidR="00170E14" w:rsidRPr="005B0F23">
      <w:rPr>
        <w:noProof/>
        <w:color w:val="2B579A"/>
        <w:shd w:val="clear" w:color="auto" w:fill="E6E6E6"/>
      </w:rPr>
      <mc:AlternateContent>
        <mc:Choice Requires="wps">
          <w:drawing>
            <wp:anchor distT="0" distB="0" distL="114300" distR="114300" simplePos="0" relativeHeight="251658258" behindDoc="0" locked="0" layoutInCell="1" allowOverlap="1" wp14:anchorId="1596411A" wp14:editId="6D73CFF1">
              <wp:simplePos x="0" y="0"/>
              <wp:positionH relativeFrom="column">
                <wp:posOffset>9213850</wp:posOffset>
              </wp:positionH>
              <wp:positionV relativeFrom="paragraph">
                <wp:posOffset>265267</wp:posOffset>
              </wp:positionV>
              <wp:extent cx="456565" cy="6227445"/>
              <wp:effectExtent l="0" t="0" r="0" b="1905"/>
              <wp:wrapNone/>
              <wp:docPr id="1052259637" name="Text Box 1052259637"/>
              <wp:cNvGraphicFramePr/>
              <a:graphic xmlns:a="http://schemas.openxmlformats.org/drawingml/2006/main">
                <a:graphicData uri="http://schemas.microsoft.com/office/word/2010/wordprocessingShape">
                  <wps:wsp>
                    <wps:cNvSpPr txBox="1"/>
                    <wps:spPr>
                      <a:xfrm>
                        <a:off x="0" y="0"/>
                        <a:ext cx="45656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4C6AA91" w14:textId="546B6B51" w:rsidR="00A117A5" w:rsidRPr="00842AE8" w:rsidRDefault="00A117A5" w:rsidP="00A117A5">
                          <w:pPr>
                            <w:pStyle w:val="Header"/>
                            <w:jc w:val="right"/>
                          </w:pPr>
                          <w:r>
                            <w:t>5. FINANCING STATE OPERATIONS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596411A" id="Text Box 1052259637" o:spid="_x0000_s1054" type="#_x0000_t202" style="position:absolute;left:0;text-align:left;margin-left:725.5pt;margin-top:20.9pt;width:35.95pt;height:490.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" filled="f" stroked="f" strokeweight=".5pt">
              <v:textbox style="layout-flow:vertical">
                <w:txbxContent>
                  <w:p w14:paraId="64C6AA91" w14:textId="546B6B51" w:rsidR="00A117A5" w:rsidRPr="00842AE8" w:rsidRDefault="00A117A5" w:rsidP="00A117A5">
                    <w:pPr>
                      <w:pStyle w:val="Header"/>
                      <w:jc w:val="right"/>
                    </w:pPr>
                    <w:r>
                      <w:t>5. FINANCING STATE OPERATIONS</w:t>
                    </w:r>
                  </w:p>
                </w:txbxContent>
              </v:textbox>
            </v:shape>
          </w:pict>
        </mc:Fallback>
      </mc:AlternateContent>
    </w:r>
    <w:r w:rsidR="004D42F9">
      <w:rPr>
        <w:noProof/>
        <w:color w:val="2B579A"/>
        <w:shd w:val="clear" w:color="auto" w:fill="E6E6E6"/>
        <w:lang w:eastAsia="en-AU"/>
      </w:rPr>
      <mc:AlternateContent>
        <mc:Choice Requires="wps">
          <w:drawing>
            <wp:anchor distT="0" distB="0" distL="114300" distR="114300" simplePos="0" relativeHeight="251658246" behindDoc="0" locked="0" layoutInCell="1" allowOverlap="1" wp14:anchorId="0E08BEDC" wp14:editId="008EB3E0">
              <wp:simplePos x="0" y="0"/>
              <wp:positionH relativeFrom="column">
                <wp:posOffset>9271635</wp:posOffset>
              </wp:positionH>
              <wp:positionV relativeFrom="paragraph">
                <wp:posOffset>299085</wp:posOffset>
              </wp:positionV>
              <wp:extent cx="409575" cy="6192000"/>
              <wp:effectExtent l="0" t="0" r="0" b="0"/>
              <wp:wrapNone/>
              <wp:docPr id="1041289393" name="Text Box 1041289393"/>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48AB3C" w14:textId="77777777" w:rsidR="004D42F9" w:rsidRPr="00BF1B1D" w:rsidRDefault="004D42F9" w:rsidP="00097095">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08BEDC" id="Text Box 1041289393" o:spid="_x0000_s1055" type="#_x0000_t202" style="position:absolute;left:0;text-align:left;margin-left:730.05pt;margin-top:23.55pt;width:32.25pt;height:487.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7lsKhbQIAAEUFAAAOAAAAAAAAAAAA&#10;AAAAAC4CAABkcnMvZTJvRG9jLnhtbFBLAQItABQABgAIAAAAIQCcjHJ44QAAAA0BAAAPAAAAAAAA&#10;AAAAAAAAAMcEAABkcnMvZG93bnJldi54bWxQSwUGAAAAAAQABADzAAAA1QUAAAAA&#10;" filled="f" stroked="f" strokeweight=".5pt">
              <v:textbox style="layout-flow:vertical">
                <w:txbxContent>
                  <w:p w14:paraId="6C48AB3C" w14:textId="77777777" w:rsidR="004D42F9" w:rsidRPr="00BF1B1D" w:rsidRDefault="004D42F9" w:rsidP="00097095">
                    <w:pPr>
                      <w:pStyle w:val="Header"/>
                      <w:jc w:val="right"/>
                    </w:pP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CEB0" w14:textId="68E938C7" w:rsidR="009D33A8" w:rsidRPr="000B32AB" w:rsidRDefault="00B47868" w:rsidP="00097095">
    <w:pPr>
      <w:pStyle w:val="Header"/>
    </w:pPr>
    <w:r w:rsidRPr="00B47868">
      <w:t>5. FINANCING STATE OPERATIONS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6098" w14:textId="62F2FE6C" w:rsidR="009D33A8" w:rsidRPr="000B32AB" w:rsidRDefault="005840A4" w:rsidP="00097095">
    <w:pPr>
      <w:pStyle w:val="Header"/>
      <w:jc w:val="right"/>
    </w:pPr>
    <w:r>
      <w:t>5. FINANCING STATE OPERATIONS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DDD6" w14:textId="5C530E9B" w:rsidR="00B47868" w:rsidRPr="00B47868" w:rsidRDefault="00B47868" w:rsidP="005840A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04279" w14:textId="79644AAA" w:rsidR="004F2221" w:rsidRPr="000B32AB" w:rsidRDefault="0016575A" w:rsidP="00B47868">
    <w:pPr>
      <w:pStyle w:val="Header"/>
      <w:jc w:val="right"/>
    </w:pPr>
    <w:r>
      <w:t>5. FINANCING STATE OPERATIONS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12A59" w14:textId="77777777" w:rsidR="00A20CD2" w:rsidRDefault="00A20CD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8EC4" w14:textId="527F3F44" w:rsidR="004F2221" w:rsidRPr="000B32AB" w:rsidRDefault="004F2221" w:rsidP="00097095">
    <w:pPr>
      <w:pStyle w:val="Header"/>
    </w:pPr>
    <w:r>
      <w:t xml:space="preserve">6. </w:t>
    </w:r>
    <w:r w:rsidRPr="004F2221">
      <w:t>RISKS, CONTINGENCIES AND VALUATION JUDGEMENTS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C814B" w14:textId="0A1695B2" w:rsidR="00B47868" w:rsidRPr="000B32AB" w:rsidRDefault="00B47868" w:rsidP="00B47868">
    <w:pPr>
      <w:jc w:val="right"/>
    </w:pPr>
    <w:r w:rsidRPr="00B47868">
      <w:rPr>
        <w:rFonts w:asciiTheme="majorHAnsi" w:hAnsiTheme="majorHAnsi"/>
        <w:b/>
        <w:color w:val="53565A"/>
      </w:rPr>
      <w:t>6.</w:t>
    </w:r>
    <w:r>
      <w:rPr>
        <w:rFonts w:asciiTheme="majorHAnsi" w:hAnsiTheme="majorHAnsi"/>
        <w:b/>
        <w:color w:val="53565A"/>
      </w:rPr>
      <w:t xml:space="preserve"> </w:t>
    </w:r>
    <w:r w:rsidRPr="00B47868">
      <w:rPr>
        <w:rFonts w:asciiTheme="majorHAnsi" w:hAnsiTheme="majorHAnsi"/>
        <w:b/>
        <w:color w:val="53565A"/>
      </w:rPr>
      <w:t>RISKS, CONTINGENCIES AND VALUATION JUDGEMENTS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2A0E" w14:textId="5D09D252" w:rsidR="004F2221" w:rsidRPr="000B32AB" w:rsidRDefault="004F2221" w:rsidP="00097095">
    <w:pPr>
      <w:pStyle w:val="Header"/>
      <w:jc w:val="right"/>
    </w:pPr>
    <w:r>
      <w:t xml:space="preserve">6. </w:t>
    </w:r>
    <w:r w:rsidRPr="004F2221">
      <w:t>RISKS, CONTINGENCIES AND VALUATION JUDGEMENTS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09D4C" w14:textId="5D829F98" w:rsidR="009D33A8" w:rsidRDefault="00184AA8" w:rsidP="00097095">
    <w:r w:rsidRPr="005B0F23">
      <w:rPr>
        <w:noProof/>
        <w:color w:val="2B579A"/>
        <w:shd w:val="clear" w:color="auto" w:fill="E6E6E6"/>
      </w:rPr>
      <mc:AlternateContent>
        <mc:Choice Requires="wps">
          <w:drawing>
            <wp:anchor distT="0" distB="0" distL="114300" distR="114300" simplePos="0" relativeHeight="251658260" behindDoc="0" locked="0" layoutInCell="1" allowOverlap="1" wp14:anchorId="77317E5B" wp14:editId="433AE3EB">
              <wp:simplePos x="0" y="0"/>
              <wp:positionH relativeFrom="rightMargin">
                <wp:posOffset>-35397</wp:posOffset>
              </wp:positionH>
              <wp:positionV relativeFrom="paragraph">
                <wp:posOffset>276225</wp:posOffset>
              </wp:positionV>
              <wp:extent cx="453794" cy="6227445"/>
              <wp:effectExtent l="0" t="0" r="0" b="1905"/>
              <wp:wrapNone/>
              <wp:docPr id="394726575" name="Text Box 394726575"/>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FE14AB" w14:textId="54781841" w:rsidR="00184AA8" w:rsidRPr="00B75012" w:rsidRDefault="00184AA8" w:rsidP="00184AA8">
                          <w:pPr>
                            <w:pStyle w:val="Header"/>
                          </w:pPr>
                          <w:r w:rsidRPr="00184AA8">
                            <w:t>6. RISKS, CONTINGENCIES AND VALUATION JUDGEMENTS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7317E5B" id="_x0000_t202" coordsize="21600,21600" o:spt="202" path="m,l,21600r21600,l21600,xe">
              <v:stroke joinstyle="miter"/>
              <v:path gradientshapeok="t" o:connecttype="rect"/>
            </v:shapetype>
            <v:shape id="Text Box 394726575" o:spid="_x0000_s1056" type="#_x0000_t202" style="position:absolute;margin-left:-2.8pt;margin-top:21.75pt;width:35.75pt;height:490.35pt;z-index:2516582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" filled="f" stroked="f" strokeweight=".5pt">
              <v:textbox style="layout-flow:vertical">
                <w:txbxContent>
                  <w:p w14:paraId="3DFE14AB" w14:textId="54781841" w:rsidR="00184AA8" w:rsidRPr="00B75012" w:rsidRDefault="00184AA8" w:rsidP="00184AA8">
                    <w:pPr>
                      <w:pStyle w:val="Header"/>
                    </w:pPr>
                    <w:r w:rsidRPr="00184AA8">
                      <w:t>6. RISKS, CONTINGENCIES AND VALUATION JUDGEMENTS</w:t>
                    </w:r>
                  </w:p>
                </w:txbxContent>
              </v:textbox>
              <w10:wrap anchorx="margin"/>
            </v:shape>
          </w:pict>
        </mc:Fallback>
      </mc:AlternateContent>
    </w:r>
    <w:r w:rsidR="009D33A8" w:rsidRPr="005B0F23">
      <w:rPr>
        <w:noProof/>
        <w:color w:val="2B579A"/>
        <w:shd w:val="clear" w:color="auto" w:fill="E6E6E6"/>
      </w:rPr>
      <mc:AlternateContent>
        <mc:Choice Requires="wps">
          <w:drawing>
            <wp:anchor distT="0" distB="0" distL="114300" distR="114300" simplePos="0" relativeHeight="251658254" behindDoc="0" locked="0" layoutInCell="1" allowOverlap="1" wp14:anchorId="05B301B3" wp14:editId="3F54F424">
              <wp:simplePos x="0" y="0"/>
              <wp:positionH relativeFrom="column">
                <wp:posOffset>-480876</wp:posOffset>
              </wp:positionH>
              <wp:positionV relativeFrom="paragraph">
                <wp:posOffset>276225</wp:posOffset>
              </wp:positionV>
              <wp:extent cx="453794" cy="622744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453794"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2C6E27" w14:textId="1246204C" w:rsidR="009D33A8" w:rsidRPr="00B75012" w:rsidRDefault="009D33A8" w:rsidP="00097095">
                          <w:pPr>
                            <w:pStyle w:val="FooterEvenPage"/>
                          </w:pPr>
                          <w:r w:rsidRPr="00F775AE">
                            <w:fldChar w:fldCharType="begin"/>
                          </w:r>
                          <w:r w:rsidRPr="00B82AEA">
                            <w:instrText xml:space="preserve"> PAGE </w:instrText>
                          </w:r>
                          <w:r w:rsidRPr="00F775AE">
                            <w:fldChar w:fldCharType="separate"/>
                          </w:r>
                          <w:r>
                            <w:rPr>
                              <w:noProof/>
                            </w:rPr>
                            <w:t>30</w:t>
                          </w:r>
                          <w:r w:rsidRPr="00F775AE">
                            <w:fldChar w:fldCharType="end"/>
                          </w:r>
                          <w:r w:rsidRPr="00B82AEA">
                            <w:tab/>
                            <w:t xml:space="preserve">Chapter </w:t>
                          </w:r>
                          <w:r>
                            <w:t>4</w:t>
                          </w:r>
                          <w:r w:rsidRPr="00B82AEA">
                            <w:tab/>
                          </w:r>
                          <w:r w:rsidR="004A6B5C">
                            <w:t>2024-25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301B3" id="_x0000_t202" coordsize="21600,21600" o:spt="202" path="m,l,21600r21600,l21600,xe">
              <v:stroke joinstyle="miter"/>
              <v:path gradientshapeok="t" o:connecttype="rect"/>
            </v:shapetype>
            <v:shape id="Text Box 48" o:spid="_x0000_s1057" type="#_x0000_t202" style="position:absolute;margin-left:-37.85pt;margin-top:21.75pt;width:35.75pt;height:490.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" filled="f" stroked="f" strokeweight=".5pt">
              <v:textbox style="layout-flow:vertical">
                <w:txbxContent>
                  <w:p w14:paraId="082C6E27" w14:textId="1246204C" w:rsidR="009D33A8" w:rsidRPr="00B75012" w:rsidRDefault="009D33A8" w:rsidP="00097095">
                    <w:pPr>
                      <w:pStyle w:val="FooterEvenPage"/>
                    </w:pPr>
                    <w:r w:rsidRPr="00F775AE">
                      <w:fldChar w:fldCharType="begin"/>
                    </w:r>
                    <w:r w:rsidRPr="00B82AEA">
                      <w:instrText xml:space="preserve"> PAGE </w:instrText>
                    </w:r>
                    <w:r w:rsidRPr="00F775AE">
                      <w:fldChar w:fldCharType="separate"/>
                    </w:r>
                    <w:r>
                      <w:rPr>
                        <w:noProof/>
                      </w:rPr>
                      <w:t>30</w:t>
                    </w:r>
                    <w:r w:rsidRPr="00F775AE">
                      <w:fldChar w:fldCharType="end"/>
                    </w:r>
                    <w:r w:rsidRPr="00B82AEA">
                      <w:tab/>
                      <w:t xml:space="preserve">Chapter </w:t>
                    </w:r>
                    <w:r>
                      <w:t>4</w:t>
                    </w:r>
                    <w:r w:rsidRPr="00B82AEA">
                      <w:tab/>
                    </w:r>
                    <w:r w:rsidR="004A6B5C">
                      <w:t>2024-25 Financial Report</w:t>
                    </w:r>
                  </w:p>
                </w:txbxContent>
              </v:textbox>
            </v:shape>
          </w:pict>
        </mc:Fallback>
      </mc:AlternateContent>
    </w:r>
    <w:r w:rsidR="009D33A8">
      <w:rPr>
        <w:noProof/>
        <w:color w:val="2B579A"/>
        <w:shd w:val="clear" w:color="auto" w:fill="E6E6E6"/>
      </w:rPr>
      <mc:AlternateContent>
        <mc:Choice Requires="wps">
          <w:drawing>
            <wp:anchor distT="0" distB="0" distL="114300" distR="114300" simplePos="0" relativeHeight="251658255" behindDoc="0" locked="0" layoutInCell="1" allowOverlap="1" wp14:anchorId="3926CC53" wp14:editId="20794C12">
              <wp:simplePos x="0" y="0"/>
              <wp:positionH relativeFrom="column">
                <wp:posOffset>9271635</wp:posOffset>
              </wp:positionH>
              <wp:positionV relativeFrom="paragraph">
                <wp:posOffset>280035</wp:posOffset>
              </wp:positionV>
              <wp:extent cx="419100"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A04CE1" w14:textId="77777777" w:rsidR="009D33A8" w:rsidRPr="000B32AB" w:rsidRDefault="009D33A8" w:rsidP="00097095">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926CC53" id="Text Box 46" o:spid="_x0000_s1058" type="#_x0000_t202" style="position:absolute;margin-left:730.05pt;margin-top:22.05pt;width:33pt;height:487.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" filled="f" stroked="f" strokeweight=".5pt">
              <v:textbox style="layout-flow:vertical">
                <w:txbxContent>
                  <w:p w14:paraId="7EA04CE1" w14:textId="77777777" w:rsidR="009D33A8" w:rsidRPr="000B32AB" w:rsidRDefault="009D33A8" w:rsidP="00097095">
                    <w:pPr>
                      <w:pStyle w:val="Header"/>
                    </w:pPr>
                  </w:p>
                </w:txbxContent>
              </v:textbox>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6F08" w14:textId="6D5F3535" w:rsidR="009D33A8" w:rsidRDefault="002748D1" w:rsidP="00097095">
    <w:pPr>
      <w:pStyle w:val="Header"/>
      <w:jc w:val="right"/>
    </w:pPr>
    <w:r w:rsidRPr="005B0F23">
      <w:rPr>
        <w:noProof/>
        <w:color w:val="2B579A"/>
        <w:shd w:val="clear" w:color="auto" w:fill="E6E6E6"/>
      </w:rPr>
      <mc:AlternateContent>
        <mc:Choice Requires="wps">
          <w:drawing>
            <wp:anchor distT="0" distB="0" distL="114300" distR="114300" simplePos="0" relativeHeight="251658259" behindDoc="0" locked="0" layoutInCell="1" allowOverlap="1" wp14:anchorId="14B18244" wp14:editId="225150B7">
              <wp:simplePos x="0" y="0"/>
              <wp:positionH relativeFrom="rightMargin">
                <wp:posOffset>-34925</wp:posOffset>
              </wp:positionH>
              <wp:positionV relativeFrom="paragraph">
                <wp:posOffset>263201</wp:posOffset>
              </wp:positionV>
              <wp:extent cx="453390" cy="6227445"/>
              <wp:effectExtent l="0" t="0" r="0" b="1905"/>
              <wp:wrapNone/>
              <wp:docPr id="315698123" name="Text Box 315698123"/>
              <wp:cNvGraphicFramePr/>
              <a:graphic xmlns:a="http://schemas.openxmlformats.org/drawingml/2006/main">
                <a:graphicData uri="http://schemas.microsoft.com/office/word/2010/wordprocessingShape">
                  <wps:wsp>
                    <wps:cNvSpPr txBox="1"/>
                    <wps:spPr>
                      <a:xfrm>
                        <a:off x="0" y="0"/>
                        <a:ext cx="453390"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6EB332" w14:textId="3A42D012" w:rsidR="00184AA8" w:rsidRPr="00842AE8" w:rsidRDefault="00184AA8" w:rsidP="00184AA8">
                          <w:pPr>
                            <w:pStyle w:val="Header"/>
                            <w:jc w:val="right"/>
                          </w:pPr>
                          <w:r w:rsidRPr="00184AA8">
                            <w:t>6. RISKS, CONTINGENCIES AND VALUATION JUDGEMENTS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4B18244" id="_x0000_t202" coordsize="21600,21600" o:spt="202" path="m,l,21600r21600,l21600,xe">
              <v:stroke joinstyle="miter"/>
              <v:path gradientshapeok="t" o:connecttype="rect"/>
            </v:shapetype>
            <v:shape id="Text Box 315698123" o:spid="_x0000_s1059" type="#_x0000_t202" style="position:absolute;left:0;text-align:left;margin-left:-2.75pt;margin-top:20.7pt;width:35.7pt;height:490.35pt;z-index:25165825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" filled="f" stroked="f" strokeweight=".5pt">
              <v:textbox style="layout-flow:vertical">
                <w:txbxContent>
                  <w:p w14:paraId="006EB332" w14:textId="3A42D012" w:rsidR="00184AA8" w:rsidRPr="00842AE8" w:rsidRDefault="00184AA8" w:rsidP="00184AA8">
                    <w:pPr>
                      <w:pStyle w:val="Header"/>
                      <w:jc w:val="right"/>
                    </w:pPr>
                    <w:r w:rsidRPr="00184AA8">
                      <w:t>6. RISKS, CONTINGENCIES AND VALUATION JUDGEMENTS</w:t>
                    </w:r>
                  </w:p>
                </w:txbxContent>
              </v:textbox>
              <w10:wrap anchorx="margin"/>
            </v:shape>
          </w:pict>
        </mc:Fallback>
      </mc:AlternateContent>
    </w:r>
    <w:r w:rsidR="00A02F82" w:rsidRPr="005B0F23">
      <w:rPr>
        <w:noProof/>
        <w:color w:val="2B579A"/>
        <w:shd w:val="clear" w:color="auto" w:fill="E6E6E6"/>
      </w:rPr>
      <mc:AlternateContent>
        <mc:Choice Requires="wps">
          <w:drawing>
            <wp:anchor distT="0" distB="0" distL="114300" distR="114300" simplePos="0" relativeHeight="251658253" behindDoc="0" locked="0" layoutInCell="1" allowOverlap="1" wp14:anchorId="6867FFB1" wp14:editId="2211B9D8">
              <wp:simplePos x="0" y="0"/>
              <wp:positionH relativeFrom="column">
                <wp:posOffset>-482600</wp:posOffset>
              </wp:positionH>
              <wp:positionV relativeFrom="paragraph">
                <wp:posOffset>276860</wp:posOffset>
              </wp:positionV>
              <wp:extent cx="453390" cy="622744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453390"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5C5585" w14:textId="07B27898" w:rsidR="009D33A8" w:rsidRPr="00842AE8" w:rsidRDefault="004A6B5C" w:rsidP="00097095">
                          <w:pPr>
                            <w:pStyle w:val="FooterOddPage"/>
                          </w:pPr>
                          <w:r>
                            <w:t>2024-25 Financial Report</w:t>
                          </w:r>
                          <w:r w:rsidR="009D33A8" w:rsidRPr="00842AE8">
                            <w:tab/>
                            <w:t xml:space="preserve">Chapter </w:t>
                          </w:r>
                          <w:r w:rsidR="009D33A8">
                            <w:t>4</w:t>
                          </w:r>
                          <w:r w:rsidR="009D33A8" w:rsidRPr="00842AE8">
                            <w:tab/>
                          </w:r>
                          <w:r w:rsidR="009D33A8" w:rsidRPr="00F775AE">
                            <w:fldChar w:fldCharType="begin"/>
                          </w:r>
                          <w:r w:rsidR="009D33A8" w:rsidRPr="00842AE8">
                            <w:instrText xml:space="preserve"> PAGE </w:instrText>
                          </w:r>
                          <w:r w:rsidR="009D33A8" w:rsidRPr="00F775AE">
                            <w:fldChar w:fldCharType="separate"/>
                          </w:r>
                          <w:r w:rsidR="009D33A8">
                            <w:rPr>
                              <w:noProof/>
                            </w:rPr>
                            <w:t>31</w:t>
                          </w:r>
                          <w:r w:rsidR="009D33A8" w:rsidRPr="00F775AE">
                            <w:fldChar w:fldCharType="end"/>
                          </w:r>
                        </w:p>
                        <w:p w14:paraId="0B49BD51" w14:textId="77777777" w:rsidR="009D33A8" w:rsidRPr="00842AE8" w:rsidRDefault="009D33A8" w:rsidP="00097095">
                          <w:pPr>
                            <w:pStyle w:val="FooterOddPage"/>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867FFB1" id="Text Box 49" o:spid="_x0000_s1060" type="#_x0000_t202" style="position:absolute;left:0;text-align:left;margin-left:-38pt;margin-top:21.8pt;width:35.7pt;height:490.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" filled="f" stroked="f" strokeweight=".5pt">
              <v:textbox style="layout-flow:vertical">
                <w:txbxContent>
                  <w:p w14:paraId="625C5585" w14:textId="07B27898" w:rsidR="009D33A8" w:rsidRPr="00842AE8" w:rsidRDefault="004A6B5C" w:rsidP="00097095">
                    <w:pPr>
                      <w:pStyle w:val="FooterOddPage"/>
                    </w:pPr>
                    <w:r>
                      <w:t>2024-25 Financial Report</w:t>
                    </w:r>
                    <w:r w:rsidR="009D33A8" w:rsidRPr="00842AE8">
                      <w:tab/>
                      <w:t xml:space="preserve">Chapter </w:t>
                    </w:r>
                    <w:r w:rsidR="009D33A8">
                      <w:t>4</w:t>
                    </w:r>
                    <w:r w:rsidR="009D33A8" w:rsidRPr="00842AE8">
                      <w:tab/>
                    </w:r>
                    <w:r w:rsidR="009D33A8" w:rsidRPr="00F775AE">
                      <w:fldChar w:fldCharType="begin"/>
                    </w:r>
                    <w:r w:rsidR="009D33A8" w:rsidRPr="00842AE8">
                      <w:instrText xml:space="preserve"> PAGE </w:instrText>
                    </w:r>
                    <w:r w:rsidR="009D33A8" w:rsidRPr="00F775AE">
                      <w:fldChar w:fldCharType="separate"/>
                    </w:r>
                    <w:r w:rsidR="009D33A8">
                      <w:rPr>
                        <w:noProof/>
                      </w:rPr>
                      <w:t>31</w:t>
                    </w:r>
                    <w:r w:rsidR="009D33A8" w:rsidRPr="00F775AE">
                      <w:fldChar w:fldCharType="end"/>
                    </w:r>
                  </w:p>
                  <w:p w14:paraId="0B49BD51" w14:textId="77777777" w:rsidR="009D33A8" w:rsidRPr="00842AE8" w:rsidRDefault="009D33A8" w:rsidP="00097095">
                    <w:pPr>
                      <w:pStyle w:val="FooterOddPage"/>
                    </w:pPr>
                  </w:p>
                </w:txbxContent>
              </v:textbox>
            </v:shape>
          </w:pict>
        </mc:Fallback>
      </mc:AlternateContent>
    </w:r>
    <w:r w:rsidR="009D33A8">
      <w:rPr>
        <w:noProof/>
        <w:color w:val="2B579A"/>
        <w:shd w:val="clear" w:color="auto" w:fill="E6E6E6"/>
        <w:lang w:eastAsia="en-AU"/>
      </w:rPr>
      <mc:AlternateContent>
        <mc:Choice Requires="wps">
          <w:drawing>
            <wp:anchor distT="0" distB="0" distL="114300" distR="114300" simplePos="0" relativeHeight="251658256" behindDoc="0" locked="0" layoutInCell="1" allowOverlap="1" wp14:anchorId="53704367" wp14:editId="14D6AF8C">
              <wp:simplePos x="0" y="0"/>
              <wp:positionH relativeFrom="column">
                <wp:posOffset>9271635</wp:posOffset>
              </wp:positionH>
              <wp:positionV relativeFrom="paragraph">
                <wp:posOffset>299085</wp:posOffset>
              </wp:positionV>
              <wp:extent cx="409575"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6229DE" w14:textId="77777777" w:rsidR="009D33A8" w:rsidRPr="000B32AB" w:rsidRDefault="009D33A8" w:rsidP="00097095">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704367" id="Text Box 47" o:spid="_x0000_s1061" type="#_x0000_t202" style="position:absolute;left:0;text-align:left;margin-left:730.05pt;margin-top:23.55pt;width:32.25pt;height:487.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" filled="f" stroked="f" strokeweight=".5pt">
              <v:textbox style="layout-flow:vertical">
                <w:txbxContent>
                  <w:p w14:paraId="716229DE" w14:textId="77777777" w:rsidR="009D33A8" w:rsidRPr="000B32AB" w:rsidRDefault="009D33A8" w:rsidP="00097095">
                    <w:pPr>
                      <w:pStyle w:val="Header"/>
                      <w:jc w:val="right"/>
                    </w:pPr>
                  </w:p>
                </w:txbxContent>
              </v:textbox>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8732" w14:textId="15A8A8EC" w:rsidR="004D42F9" w:rsidRDefault="00BC0C0C">
    <w:pPr>
      <w:pStyle w:val="Header"/>
    </w:pPr>
    <w:r>
      <w:t xml:space="preserve">6. </w:t>
    </w:r>
    <w:r w:rsidRPr="004F2221">
      <w:t>RISKS, CONTINGENCIES AND VALUATION JUDGEMENTS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E9B9" w14:textId="5E29D289" w:rsidR="004D42F9" w:rsidRPr="000B32AB" w:rsidRDefault="00184AA8" w:rsidP="000B32AB">
    <w:pPr>
      <w:pStyle w:val="Header"/>
      <w:jc w:val="right"/>
    </w:pPr>
    <w:r w:rsidRPr="00184AA8">
      <w:t>6. RISKS, CONTINGENCIES AND VALUATION JUDGEMENTS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63DA" w14:textId="315E1298" w:rsidR="004F2221" w:rsidRDefault="00184AA8">
    <w:pPr>
      <w:pStyle w:val="Header"/>
    </w:pPr>
    <w:r w:rsidRPr="00184AA8">
      <w:t>6. RISKS, CONTINGENCIES AND VALUATION JUDGEMENTS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631B" w14:textId="7EE0779E" w:rsidR="00184AA8" w:rsidRPr="00184AA8" w:rsidRDefault="00BC0C0C" w:rsidP="00BC0C0C">
    <w:pPr>
      <w:pStyle w:val="Header"/>
      <w:jc w:val="right"/>
    </w:pPr>
    <w:r>
      <w:t xml:space="preserve">6. </w:t>
    </w:r>
    <w:r w:rsidRPr="004F2221">
      <w:t>RISKS, CONTINGENCIES AND VALUATION JUDGEMENTS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8A296" w14:textId="43C2B2F0" w:rsidR="00184AA8" w:rsidRPr="00184AA8" w:rsidRDefault="00184AA8" w:rsidP="00184AA8">
    <w:pPr>
      <w:pStyle w:val="Header"/>
    </w:pPr>
    <w:r w:rsidRPr="00184AA8">
      <w:t>7. COMPARISON AGAINST BUDGET AND THE PUBLIC ACCOUNT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681" w14:textId="77777777" w:rsidR="00A20CD2" w:rsidRDefault="00A20CD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1B21" w14:textId="69C2C355" w:rsidR="004F2221" w:rsidRPr="000B32AB" w:rsidRDefault="004F2221" w:rsidP="004F2221">
    <w:pPr>
      <w:jc w:val="right"/>
    </w:pPr>
    <w:r w:rsidRPr="004F2221">
      <w:rPr>
        <w:rFonts w:asciiTheme="majorHAnsi" w:hAnsiTheme="majorHAnsi"/>
        <w:b/>
        <w:color w:val="53565A"/>
      </w:rPr>
      <w:t>7.</w:t>
    </w:r>
    <w:r>
      <w:rPr>
        <w:rFonts w:asciiTheme="majorHAnsi" w:hAnsiTheme="majorHAnsi"/>
        <w:b/>
        <w:color w:val="53565A"/>
      </w:rPr>
      <w:t xml:space="preserve"> </w:t>
    </w:r>
    <w:r w:rsidRPr="004F2221">
      <w:rPr>
        <w:rFonts w:asciiTheme="majorHAnsi" w:hAnsiTheme="majorHAnsi"/>
        <w:b/>
        <w:color w:val="53565A"/>
      </w:rPr>
      <w:t>COMPARISON AGAINST BUDGET AND THE PUBLIC ACCOUNT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4766" w14:textId="11E1AEC7" w:rsidR="004F2221" w:rsidRPr="004F2221" w:rsidRDefault="004F2221" w:rsidP="004F2221">
    <w:pPr>
      <w:rPr>
        <w:rFonts w:asciiTheme="majorHAnsi" w:hAnsiTheme="majorHAnsi"/>
        <w:b/>
        <w:color w:val="53565A"/>
      </w:rPr>
    </w:pPr>
    <w:r w:rsidRPr="004F2221">
      <w:rPr>
        <w:rFonts w:asciiTheme="majorHAnsi" w:hAnsiTheme="majorHAnsi"/>
        <w:b/>
        <w:color w:val="53565A"/>
      </w:rPr>
      <w:t>7.</w:t>
    </w:r>
    <w:r>
      <w:rPr>
        <w:rFonts w:asciiTheme="majorHAnsi" w:hAnsiTheme="majorHAnsi"/>
        <w:b/>
        <w:color w:val="53565A"/>
      </w:rPr>
      <w:t xml:space="preserve"> </w:t>
    </w:r>
    <w:r w:rsidRPr="004F2221">
      <w:rPr>
        <w:rFonts w:asciiTheme="majorHAnsi" w:hAnsiTheme="majorHAnsi"/>
        <w:b/>
        <w:color w:val="53565A"/>
      </w:rPr>
      <w:t>COMPARISON AGAINST BUDGET AND THE PUBLIC ACCOUNT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D004" w14:textId="56D34289" w:rsidR="004610D1" w:rsidRPr="004610D1" w:rsidRDefault="004610D1" w:rsidP="004610D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5A1A" w14:textId="2C5120FE" w:rsidR="004F2221" w:rsidRPr="000B32AB" w:rsidRDefault="004F2221" w:rsidP="004F2221">
    <w:pP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657A" w14:textId="291CB637" w:rsidR="004F2221" w:rsidRPr="004F2221" w:rsidRDefault="004F2221" w:rsidP="004F2221">
    <w:pPr>
      <w:rPr>
        <w:rFonts w:asciiTheme="majorHAnsi" w:hAnsiTheme="majorHAnsi"/>
        <w:b/>
        <w:color w:val="53565A"/>
      </w:rPr>
    </w:pPr>
    <w:r w:rsidRPr="004F2221">
      <w:rPr>
        <w:rFonts w:asciiTheme="majorHAnsi" w:hAnsiTheme="majorHAnsi"/>
        <w:b/>
        <w:color w:val="53565A"/>
      </w:rPr>
      <w:t>8.</w:t>
    </w:r>
    <w:r w:rsidR="005840A4">
      <w:rPr>
        <w:rFonts w:asciiTheme="majorHAnsi" w:hAnsiTheme="majorHAnsi"/>
        <w:b/>
        <w:color w:val="53565A"/>
      </w:rPr>
      <w:t xml:space="preserve"> </w:t>
    </w:r>
    <w:r w:rsidRPr="004F2221">
      <w:rPr>
        <w:rFonts w:asciiTheme="majorHAnsi" w:hAnsiTheme="majorHAnsi"/>
        <w:b/>
        <w:color w:val="53565A"/>
      </w:rPr>
      <w:t>OTHER DISCLOSURES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8227E" w14:textId="55D83A17" w:rsidR="004F2221" w:rsidRPr="000B32AB" w:rsidRDefault="004F2221" w:rsidP="004F2221">
    <w:pPr>
      <w:pStyle w:val="Header"/>
      <w:jc w:val="right"/>
    </w:pPr>
    <w:r w:rsidRPr="004F2221">
      <w:t>8.</w:t>
    </w:r>
    <w:r w:rsidR="005840A4">
      <w:t xml:space="preserve"> </w:t>
    </w:r>
    <w:r w:rsidRPr="004F2221">
      <w:t>OTHER DISCLOSURES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4C190" w14:textId="77777777" w:rsidR="004D42F9" w:rsidRDefault="004D42F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4D851" w14:textId="68F228EA" w:rsidR="00E8127F" w:rsidRDefault="00E8127F" w:rsidP="00097095">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0CD5" w14:textId="77777777" w:rsidR="00A20CD2" w:rsidRDefault="00A20CD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AC4B" w14:textId="77777777" w:rsidR="00A20CD2" w:rsidRDefault="00A20C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E077B" w14:textId="77777777" w:rsidR="00A20CD2" w:rsidRDefault="00A20CD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0ED2" w14:textId="77777777" w:rsidR="00A20CD2" w:rsidRDefault="00A20C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A8260" w14:textId="77777777" w:rsidR="00A20CD2" w:rsidRDefault="00A20C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B4E58" w14:textId="4C11058A" w:rsidR="00CE0EE3" w:rsidRPr="000B32AB" w:rsidRDefault="00CE0EE3" w:rsidP="000B32A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54C7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9C55F2"/>
    <w:multiLevelType w:val="hybridMultilevel"/>
    <w:tmpl w:val="56CC2A86"/>
    <w:lvl w:ilvl="0" w:tplc="3698C3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FD1053D"/>
    <w:multiLevelType w:val="hybridMultilevel"/>
    <w:tmpl w:val="76A4F4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BF2CE0"/>
    <w:multiLevelType w:val="hybridMultilevel"/>
    <w:tmpl w:val="A60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E55A56"/>
    <w:multiLevelType w:val="multilevel"/>
    <w:tmpl w:val="ACEC6168"/>
    <w:numStyleLink w:val="ListStyle-Bullet"/>
  </w:abstractNum>
  <w:abstractNum w:abstractNumId="5" w15:restartNumberingAfterBreak="0">
    <w:nsid w:val="19714585"/>
    <w:multiLevelType w:val="hybridMultilevel"/>
    <w:tmpl w:val="B4C8FB8E"/>
    <w:lvl w:ilvl="0" w:tplc="FF0893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28032ED"/>
    <w:multiLevelType w:val="hybridMultilevel"/>
    <w:tmpl w:val="76A4F4B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33B4AB4"/>
    <w:multiLevelType w:val="hybridMultilevel"/>
    <w:tmpl w:val="32184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0E0040"/>
    <w:multiLevelType w:val="multilevel"/>
    <w:tmpl w:val="2CE21F9C"/>
    <w:styleLink w:val="ListStyle-Number"/>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D716F"/>
    <w:multiLevelType w:val="multilevel"/>
    <w:tmpl w:val="D30CEAF0"/>
    <w:styleLink w:val="111111"/>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901256"/>
    <w:multiLevelType w:val="multilevel"/>
    <w:tmpl w:val="ACEC6168"/>
    <w:styleLink w:val="ListStyle-Bulle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CC374CF"/>
    <w:multiLevelType w:val="hybridMultilevel"/>
    <w:tmpl w:val="174C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41314E"/>
    <w:multiLevelType w:val="multilevel"/>
    <w:tmpl w:val="3654BD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13" w15:restartNumberingAfterBreak="0">
    <w:nsid w:val="30A72C47"/>
    <w:multiLevelType w:val="multilevel"/>
    <w:tmpl w:val="B36E24D4"/>
    <w:styleLink w:val="ListAlphaStyl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2A931AF"/>
    <w:multiLevelType w:val="hybridMultilevel"/>
    <w:tmpl w:val="EB12AAD2"/>
    <w:styleLink w:val="1ai"/>
    <w:lvl w:ilvl="0" w:tplc="302EACFA">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3AD28ED"/>
    <w:multiLevelType w:val="multilevel"/>
    <w:tmpl w:val="AC907F90"/>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45B3509"/>
    <w:multiLevelType w:val="multilevel"/>
    <w:tmpl w:val="9E328A70"/>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0E4389"/>
    <w:multiLevelType w:val="hybridMultilevel"/>
    <w:tmpl w:val="45C0590A"/>
    <w:lvl w:ilvl="0" w:tplc="65E20120">
      <w:start w:val="1"/>
      <w:numFmt w:val="lowerLetter"/>
      <w:lvlText w:val="%1)"/>
      <w:lvlJc w:val="left"/>
      <w:pPr>
        <w:ind w:left="1020" w:hanging="360"/>
      </w:pPr>
    </w:lvl>
    <w:lvl w:ilvl="1" w:tplc="77DA459C">
      <w:start w:val="1"/>
      <w:numFmt w:val="lowerLetter"/>
      <w:lvlText w:val="%2)"/>
      <w:lvlJc w:val="left"/>
      <w:pPr>
        <w:ind w:left="1020" w:hanging="360"/>
      </w:pPr>
    </w:lvl>
    <w:lvl w:ilvl="2" w:tplc="EB7812D8">
      <w:start w:val="1"/>
      <w:numFmt w:val="lowerLetter"/>
      <w:lvlText w:val="%3)"/>
      <w:lvlJc w:val="left"/>
      <w:pPr>
        <w:ind w:left="1020" w:hanging="360"/>
      </w:pPr>
    </w:lvl>
    <w:lvl w:ilvl="3" w:tplc="499438A0">
      <w:start w:val="1"/>
      <w:numFmt w:val="lowerLetter"/>
      <w:lvlText w:val="%4)"/>
      <w:lvlJc w:val="left"/>
      <w:pPr>
        <w:ind w:left="1020" w:hanging="360"/>
      </w:pPr>
    </w:lvl>
    <w:lvl w:ilvl="4" w:tplc="ABDA4D08">
      <w:start w:val="1"/>
      <w:numFmt w:val="lowerLetter"/>
      <w:lvlText w:val="%5)"/>
      <w:lvlJc w:val="left"/>
      <w:pPr>
        <w:ind w:left="1020" w:hanging="360"/>
      </w:pPr>
    </w:lvl>
    <w:lvl w:ilvl="5" w:tplc="7CB48166">
      <w:start w:val="1"/>
      <w:numFmt w:val="lowerLetter"/>
      <w:lvlText w:val="%6)"/>
      <w:lvlJc w:val="left"/>
      <w:pPr>
        <w:ind w:left="1020" w:hanging="360"/>
      </w:pPr>
    </w:lvl>
    <w:lvl w:ilvl="6" w:tplc="ADCCE9B6">
      <w:start w:val="1"/>
      <w:numFmt w:val="lowerLetter"/>
      <w:lvlText w:val="%7)"/>
      <w:lvlJc w:val="left"/>
      <w:pPr>
        <w:ind w:left="1020" w:hanging="360"/>
      </w:pPr>
    </w:lvl>
    <w:lvl w:ilvl="7" w:tplc="ADAAEFCC">
      <w:start w:val="1"/>
      <w:numFmt w:val="lowerLetter"/>
      <w:lvlText w:val="%8)"/>
      <w:lvlJc w:val="left"/>
      <w:pPr>
        <w:ind w:left="1020" w:hanging="360"/>
      </w:pPr>
    </w:lvl>
    <w:lvl w:ilvl="8" w:tplc="01381296">
      <w:start w:val="1"/>
      <w:numFmt w:val="lowerLetter"/>
      <w:lvlText w:val="%9)"/>
      <w:lvlJc w:val="left"/>
      <w:pPr>
        <w:ind w:left="1020" w:hanging="360"/>
      </w:pPr>
    </w:lvl>
  </w:abstractNum>
  <w:abstractNum w:abstractNumId="18" w15:restartNumberingAfterBreak="0">
    <w:nsid w:val="385265EA"/>
    <w:multiLevelType w:val="multilevel"/>
    <w:tmpl w:val="B6A0A68E"/>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A2E44E0"/>
    <w:multiLevelType w:val="hybridMultilevel"/>
    <w:tmpl w:val="4552AAE6"/>
    <w:lvl w:ilvl="0" w:tplc="A09065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D6739C"/>
    <w:multiLevelType w:val="hybridMultilevel"/>
    <w:tmpl w:val="76A4F4BA"/>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0937731"/>
    <w:multiLevelType w:val="hybridMultilevel"/>
    <w:tmpl w:val="92FAF6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121AC4"/>
    <w:multiLevelType w:val="hybridMultilevel"/>
    <w:tmpl w:val="244E077A"/>
    <w:lvl w:ilvl="0" w:tplc="1534AE62">
      <w:start w:val="1"/>
      <w:numFmt w:val="bullet"/>
      <w:lvlText w:val=""/>
      <w:lvlJc w:val="left"/>
      <w:pPr>
        <w:ind w:left="346" w:hanging="346"/>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402709"/>
    <w:multiLevelType w:val="hybridMultilevel"/>
    <w:tmpl w:val="C0F2B664"/>
    <w:lvl w:ilvl="0" w:tplc="5BD09E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1C451D"/>
    <w:multiLevelType w:val="hybridMultilevel"/>
    <w:tmpl w:val="642C5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1486CEB"/>
    <w:multiLevelType w:val="multilevel"/>
    <w:tmpl w:val="7F6A64F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8D5F13"/>
    <w:multiLevelType w:val="multilevel"/>
    <w:tmpl w:val="DE3A0718"/>
    <w:styleLink w:val="Bullet"/>
    <w:lvl w:ilvl="0">
      <w:start w:val="1"/>
      <w:numFmt w:val="lowerLett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upperLetter"/>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B40426"/>
    <w:multiLevelType w:val="hybridMultilevel"/>
    <w:tmpl w:val="8C0C2072"/>
    <w:lvl w:ilvl="0" w:tplc="092E8B14">
      <w:start w:val="1"/>
      <w:numFmt w:val="lowerLetter"/>
      <w:lvlText w:val="%1)"/>
      <w:lvlJc w:val="left"/>
      <w:pPr>
        <w:ind w:left="1020" w:hanging="360"/>
      </w:pPr>
    </w:lvl>
    <w:lvl w:ilvl="1" w:tplc="2A265246">
      <w:start w:val="1"/>
      <w:numFmt w:val="lowerLetter"/>
      <w:lvlText w:val="%2)"/>
      <w:lvlJc w:val="left"/>
      <w:pPr>
        <w:ind w:left="1020" w:hanging="360"/>
      </w:pPr>
    </w:lvl>
    <w:lvl w:ilvl="2" w:tplc="BEB0D9BC">
      <w:start w:val="1"/>
      <w:numFmt w:val="lowerLetter"/>
      <w:lvlText w:val="%3)"/>
      <w:lvlJc w:val="left"/>
      <w:pPr>
        <w:ind w:left="1020" w:hanging="360"/>
      </w:pPr>
    </w:lvl>
    <w:lvl w:ilvl="3" w:tplc="A4A28B5A">
      <w:start w:val="1"/>
      <w:numFmt w:val="lowerLetter"/>
      <w:lvlText w:val="%4)"/>
      <w:lvlJc w:val="left"/>
      <w:pPr>
        <w:ind w:left="1020" w:hanging="360"/>
      </w:pPr>
    </w:lvl>
    <w:lvl w:ilvl="4" w:tplc="6ACE033E">
      <w:start w:val="1"/>
      <w:numFmt w:val="lowerLetter"/>
      <w:lvlText w:val="%5)"/>
      <w:lvlJc w:val="left"/>
      <w:pPr>
        <w:ind w:left="1020" w:hanging="360"/>
      </w:pPr>
    </w:lvl>
    <w:lvl w:ilvl="5" w:tplc="BB30BD50">
      <w:start w:val="1"/>
      <w:numFmt w:val="lowerLetter"/>
      <w:lvlText w:val="%6)"/>
      <w:lvlJc w:val="left"/>
      <w:pPr>
        <w:ind w:left="1020" w:hanging="360"/>
      </w:pPr>
    </w:lvl>
    <w:lvl w:ilvl="6" w:tplc="37DA1F8C">
      <w:start w:val="1"/>
      <w:numFmt w:val="lowerLetter"/>
      <w:lvlText w:val="%7)"/>
      <w:lvlJc w:val="left"/>
      <w:pPr>
        <w:ind w:left="1020" w:hanging="360"/>
      </w:pPr>
    </w:lvl>
    <w:lvl w:ilvl="7" w:tplc="C5F60652">
      <w:start w:val="1"/>
      <w:numFmt w:val="lowerLetter"/>
      <w:lvlText w:val="%8)"/>
      <w:lvlJc w:val="left"/>
      <w:pPr>
        <w:ind w:left="1020" w:hanging="360"/>
      </w:pPr>
    </w:lvl>
    <w:lvl w:ilvl="8" w:tplc="C9DEF422">
      <w:start w:val="1"/>
      <w:numFmt w:val="lowerLetter"/>
      <w:lvlText w:val="%9)"/>
      <w:lvlJc w:val="left"/>
      <w:pPr>
        <w:ind w:left="1020" w:hanging="360"/>
      </w:pPr>
    </w:lvl>
  </w:abstractNum>
  <w:abstractNum w:abstractNumId="28" w15:restartNumberingAfterBreak="0">
    <w:nsid w:val="658C73FD"/>
    <w:multiLevelType w:val="multilevel"/>
    <w:tmpl w:val="F0C4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24E0CA"/>
    <w:multiLevelType w:val="hybridMultilevel"/>
    <w:tmpl w:val="FFFFFFFF"/>
    <w:lvl w:ilvl="0" w:tplc="D4E61762">
      <w:start w:val="1"/>
      <w:numFmt w:val="bullet"/>
      <w:lvlText w:val=""/>
      <w:lvlJc w:val="left"/>
      <w:pPr>
        <w:ind w:left="720" w:hanging="360"/>
      </w:pPr>
      <w:rPr>
        <w:rFonts w:ascii="Symbol" w:hAnsi="Symbol" w:hint="default"/>
      </w:rPr>
    </w:lvl>
    <w:lvl w:ilvl="1" w:tplc="93769DC0">
      <w:start w:val="1"/>
      <w:numFmt w:val="bullet"/>
      <w:lvlText w:val="o"/>
      <w:lvlJc w:val="left"/>
      <w:pPr>
        <w:ind w:left="1440" w:hanging="360"/>
      </w:pPr>
      <w:rPr>
        <w:rFonts w:ascii="Courier New" w:hAnsi="Courier New" w:hint="default"/>
      </w:rPr>
    </w:lvl>
    <w:lvl w:ilvl="2" w:tplc="72883568">
      <w:start w:val="1"/>
      <w:numFmt w:val="bullet"/>
      <w:lvlText w:val=""/>
      <w:lvlJc w:val="left"/>
      <w:pPr>
        <w:ind w:left="2160" w:hanging="360"/>
      </w:pPr>
      <w:rPr>
        <w:rFonts w:ascii="Wingdings" w:hAnsi="Wingdings" w:hint="default"/>
      </w:rPr>
    </w:lvl>
    <w:lvl w:ilvl="3" w:tplc="5F20CF96">
      <w:start w:val="1"/>
      <w:numFmt w:val="bullet"/>
      <w:lvlText w:val=""/>
      <w:lvlJc w:val="left"/>
      <w:pPr>
        <w:ind w:left="2880" w:hanging="360"/>
      </w:pPr>
      <w:rPr>
        <w:rFonts w:ascii="Symbol" w:hAnsi="Symbol" w:hint="default"/>
      </w:rPr>
    </w:lvl>
    <w:lvl w:ilvl="4" w:tplc="3064FA80">
      <w:start w:val="1"/>
      <w:numFmt w:val="bullet"/>
      <w:lvlText w:val="o"/>
      <w:lvlJc w:val="left"/>
      <w:pPr>
        <w:ind w:left="3600" w:hanging="360"/>
      </w:pPr>
      <w:rPr>
        <w:rFonts w:ascii="Courier New" w:hAnsi="Courier New" w:hint="default"/>
      </w:rPr>
    </w:lvl>
    <w:lvl w:ilvl="5" w:tplc="A7922F90">
      <w:start w:val="1"/>
      <w:numFmt w:val="bullet"/>
      <w:lvlText w:val=""/>
      <w:lvlJc w:val="left"/>
      <w:pPr>
        <w:ind w:left="4320" w:hanging="360"/>
      </w:pPr>
      <w:rPr>
        <w:rFonts w:ascii="Wingdings" w:hAnsi="Wingdings" w:hint="default"/>
      </w:rPr>
    </w:lvl>
    <w:lvl w:ilvl="6" w:tplc="FAEA985C">
      <w:start w:val="1"/>
      <w:numFmt w:val="bullet"/>
      <w:lvlText w:val=""/>
      <w:lvlJc w:val="left"/>
      <w:pPr>
        <w:ind w:left="5040" w:hanging="360"/>
      </w:pPr>
      <w:rPr>
        <w:rFonts w:ascii="Symbol" w:hAnsi="Symbol" w:hint="default"/>
      </w:rPr>
    </w:lvl>
    <w:lvl w:ilvl="7" w:tplc="858A62FC">
      <w:start w:val="1"/>
      <w:numFmt w:val="bullet"/>
      <w:lvlText w:val="o"/>
      <w:lvlJc w:val="left"/>
      <w:pPr>
        <w:ind w:left="5760" w:hanging="360"/>
      </w:pPr>
      <w:rPr>
        <w:rFonts w:ascii="Courier New" w:hAnsi="Courier New" w:hint="default"/>
      </w:rPr>
    </w:lvl>
    <w:lvl w:ilvl="8" w:tplc="E3C46CBA">
      <w:start w:val="1"/>
      <w:numFmt w:val="bullet"/>
      <w:lvlText w:val=""/>
      <w:lvlJc w:val="left"/>
      <w:pPr>
        <w:ind w:left="6480" w:hanging="360"/>
      </w:pPr>
      <w:rPr>
        <w:rFonts w:ascii="Wingdings" w:hAnsi="Wingdings" w:hint="default"/>
      </w:rPr>
    </w:lvl>
  </w:abstractNum>
  <w:abstractNum w:abstractNumId="30" w15:restartNumberingAfterBreak="0">
    <w:nsid w:val="6BFB4935"/>
    <w:multiLevelType w:val="multilevel"/>
    <w:tmpl w:val="DBD639E4"/>
    <w:lvl w:ilvl="0">
      <w:start w:val="1"/>
      <w:numFmt w:val="bullet"/>
      <w:lvlRestart w:val="0"/>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Symbol" w:hAnsi="Symbol" w:hint="default"/>
      </w:rPr>
    </w:lvl>
    <w:lvl w:ilvl="2">
      <w:start w:val="1"/>
      <w:numFmt w:val="bullet"/>
      <w:pStyle w:val="ListBullet3"/>
      <w:lvlText w:val=""/>
      <w:lvlJc w:val="left"/>
      <w:pPr>
        <w:ind w:left="1020" w:hanging="34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F847328"/>
    <w:multiLevelType w:val="hybridMultilevel"/>
    <w:tmpl w:val="52420548"/>
    <w:lvl w:ilvl="0" w:tplc="6B087F26">
      <w:numFmt w:val="bullet"/>
      <w:lvlText w:val="-"/>
      <w:lvlJc w:val="left"/>
      <w:pPr>
        <w:ind w:left="720" w:hanging="360"/>
      </w:pPr>
      <w:rPr>
        <w:rFonts w:ascii="Garamond" w:eastAsiaTheme="minorHAnsi" w:hAnsi="Garamond"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B239D6"/>
    <w:multiLevelType w:val="hybridMultilevel"/>
    <w:tmpl w:val="74C6501A"/>
    <w:lvl w:ilvl="0" w:tplc="2A161A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34" w15:restartNumberingAfterBreak="0">
    <w:nsid w:val="7C6E4EBA"/>
    <w:multiLevelType w:val="multilevel"/>
    <w:tmpl w:val="B4BC2B18"/>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35" w15:restartNumberingAfterBreak="0">
    <w:nsid w:val="7D422B06"/>
    <w:multiLevelType w:val="multilevel"/>
    <w:tmpl w:val="0C09001D"/>
    <w:styleLink w:val="ListNumberStyl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D5F0314"/>
    <w:multiLevelType w:val="multilevel"/>
    <w:tmpl w:val="B36E24D4"/>
    <w:styleLink w:val="ListStyle-Alph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80230628">
    <w:abstractNumId w:val="10"/>
  </w:num>
  <w:num w:numId="2" w16cid:durableId="1072236738">
    <w:abstractNumId w:val="8"/>
  </w:num>
  <w:num w:numId="3" w16cid:durableId="1174610932">
    <w:abstractNumId w:val="36"/>
  </w:num>
  <w:num w:numId="4" w16cid:durableId="1934513263">
    <w:abstractNumId w:val="14"/>
  </w:num>
  <w:num w:numId="5" w16cid:durableId="1849903612">
    <w:abstractNumId w:val="4"/>
    <w:lvlOverride w:ilvl="0">
      <w:lvl w:ilvl="0">
        <w:start w:val="1"/>
        <w:numFmt w:val="bullet"/>
        <w:lvlText w:val=""/>
        <w:lvlJc w:val="left"/>
        <w:pPr>
          <w:ind w:left="340" w:hanging="340"/>
        </w:pPr>
        <w:rPr>
          <w:rFonts w:ascii="Symbol" w:hAnsi="Symbol" w:hint="default"/>
          <w:color w:val="auto"/>
          <w:sz w:val="18"/>
        </w:rPr>
      </w:lvl>
    </w:lvlOverride>
  </w:num>
  <w:num w:numId="6" w16cid:durableId="1535921826">
    <w:abstractNumId w:val="13"/>
  </w:num>
  <w:num w:numId="7" w16cid:durableId="2085643869">
    <w:abstractNumId w:val="26"/>
  </w:num>
  <w:num w:numId="8" w16cid:durableId="794718157">
    <w:abstractNumId w:val="35"/>
  </w:num>
  <w:num w:numId="9" w16cid:durableId="1955208535">
    <w:abstractNumId w:val="9"/>
  </w:num>
  <w:num w:numId="10" w16cid:durableId="641156773">
    <w:abstractNumId w:val="33"/>
  </w:num>
  <w:num w:numId="11" w16cid:durableId="13853732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86043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8031833">
    <w:abstractNumId w:val="16"/>
  </w:num>
  <w:num w:numId="14" w16cid:durableId="255018722">
    <w:abstractNumId w:val="5"/>
  </w:num>
  <w:num w:numId="15" w16cid:durableId="591935061">
    <w:abstractNumId w:val="6"/>
  </w:num>
  <w:num w:numId="16" w16cid:durableId="957759323">
    <w:abstractNumId w:val="18"/>
  </w:num>
  <w:num w:numId="17" w16cid:durableId="827983288">
    <w:abstractNumId w:val="3"/>
  </w:num>
  <w:num w:numId="18" w16cid:durableId="9753801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8788384">
    <w:abstractNumId w:val="23"/>
  </w:num>
  <w:num w:numId="20" w16cid:durableId="1889952212">
    <w:abstractNumId w:val="25"/>
  </w:num>
  <w:num w:numId="21" w16cid:durableId="913441371">
    <w:abstractNumId w:val="22"/>
    <w:lvlOverride w:ilvl="0">
      <w:startOverride w:val="1"/>
    </w:lvlOverride>
  </w:num>
  <w:num w:numId="22" w16cid:durableId="1431857718">
    <w:abstractNumId w:val="30"/>
  </w:num>
  <w:num w:numId="23" w16cid:durableId="1431242687">
    <w:abstractNumId w:val="30"/>
  </w:num>
  <w:num w:numId="24" w16cid:durableId="1836414132">
    <w:abstractNumId w:val="30"/>
  </w:num>
  <w:num w:numId="25" w16cid:durableId="1373069820">
    <w:abstractNumId w:val="30"/>
  </w:num>
  <w:num w:numId="26" w16cid:durableId="1569149347">
    <w:abstractNumId w:val="11"/>
  </w:num>
  <w:num w:numId="27" w16cid:durableId="1062481214">
    <w:abstractNumId w:val="0"/>
  </w:num>
  <w:num w:numId="28" w16cid:durableId="609435252">
    <w:abstractNumId w:val="29"/>
  </w:num>
  <w:num w:numId="29" w16cid:durableId="1571309296">
    <w:abstractNumId w:val="7"/>
  </w:num>
  <w:num w:numId="30" w16cid:durableId="2099134511">
    <w:abstractNumId w:val="1"/>
  </w:num>
  <w:num w:numId="31" w16cid:durableId="541091631">
    <w:abstractNumId w:val="19"/>
  </w:num>
  <w:num w:numId="32" w16cid:durableId="666249792">
    <w:abstractNumId w:val="32"/>
  </w:num>
  <w:num w:numId="33" w16cid:durableId="1171336017">
    <w:abstractNumId w:val="17"/>
  </w:num>
  <w:num w:numId="34" w16cid:durableId="501311076">
    <w:abstractNumId w:val="27"/>
  </w:num>
  <w:num w:numId="35" w16cid:durableId="191960013">
    <w:abstractNumId w:val="24"/>
  </w:num>
  <w:num w:numId="36" w16cid:durableId="2023239837">
    <w:abstractNumId w:val="20"/>
  </w:num>
  <w:num w:numId="37" w16cid:durableId="701856853">
    <w:abstractNumId w:val="2"/>
  </w:num>
  <w:num w:numId="38" w16cid:durableId="2063866886">
    <w:abstractNumId w:val="28"/>
  </w:num>
  <w:num w:numId="39" w16cid:durableId="1077167389">
    <w:abstractNumId w:val="31"/>
  </w:num>
  <w:num w:numId="40" w16cid:durableId="185795686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9CE"/>
    <w:rsid w:val="0000001E"/>
    <w:rsid w:val="00000049"/>
    <w:rsid w:val="00000058"/>
    <w:rsid w:val="0000005A"/>
    <w:rsid w:val="0000006A"/>
    <w:rsid w:val="00000079"/>
    <w:rsid w:val="000000D6"/>
    <w:rsid w:val="0000011C"/>
    <w:rsid w:val="00000164"/>
    <w:rsid w:val="00000194"/>
    <w:rsid w:val="000001C1"/>
    <w:rsid w:val="00000217"/>
    <w:rsid w:val="00000294"/>
    <w:rsid w:val="000002B5"/>
    <w:rsid w:val="00000334"/>
    <w:rsid w:val="00000381"/>
    <w:rsid w:val="000003AF"/>
    <w:rsid w:val="000003F5"/>
    <w:rsid w:val="00000463"/>
    <w:rsid w:val="000004F5"/>
    <w:rsid w:val="000004FB"/>
    <w:rsid w:val="00000535"/>
    <w:rsid w:val="0000054E"/>
    <w:rsid w:val="00000550"/>
    <w:rsid w:val="00000586"/>
    <w:rsid w:val="00000594"/>
    <w:rsid w:val="00000669"/>
    <w:rsid w:val="00000678"/>
    <w:rsid w:val="000006E4"/>
    <w:rsid w:val="00000708"/>
    <w:rsid w:val="0000070F"/>
    <w:rsid w:val="00000718"/>
    <w:rsid w:val="0000074C"/>
    <w:rsid w:val="00000752"/>
    <w:rsid w:val="00000787"/>
    <w:rsid w:val="00000797"/>
    <w:rsid w:val="000007CF"/>
    <w:rsid w:val="000007DC"/>
    <w:rsid w:val="0000080A"/>
    <w:rsid w:val="0000083C"/>
    <w:rsid w:val="000008D5"/>
    <w:rsid w:val="00000927"/>
    <w:rsid w:val="000009BE"/>
    <w:rsid w:val="000009F5"/>
    <w:rsid w:val="00000AD0"/>
    <w:rsid w:val="00000ADC"/>
    <w:rsid w:val="00000B5F"/>
    <w:rsid w:val="00000BB4"/>
    <w:rsid w:val="00000BCC"/>
    <w:rsid w:val="00000CED"/>
    <w:rsid w:val="00000D05"/>
    <w:rsid w:val="00000D3F"/>
    <w:rsid w:val="00000DFD"/>
    <w:rsid w:val="00000E13"/>
    <w:rsid w:val="00000E39"/>
    <w:rsid w:val="00000E4D"/>
    <w:rsid w:val="00000E6D"/>
    <w:rsid w:val="00000E87"/>
    <w:rsid w:val="00000EB4"/>
    <w:rsid w:val="00000ECE"/>
    <w:rsid w:val="00000ED8"/>
    <w:rsid w:val="00000ED9"/>
    <w:rsid w:val="00000F1E"/>
    <w:rsid w:val="00001008"/>
    <w:rsid w:val="00001013"/>
    <w:rsid w:val="0000107F"/>
    <w:rsid w:val="000010A4"/>
    <w:rsid w:val="000010B3"/>
    <w:rsid w:val="000010E2"/>
    <w:rsid w:val="000011D9"/>
    <w:rsid w:val="00001206"/>
    <w:rsid w:val="00001210"/>
    <w:rsid w:val="00001214"/>
    <w:rsid w:val="00001223"/>
    <w:rsid w:val="00001231"/>
    <w:rsid w:val="00001245"/>
    <w:rsid w:val="000012A5"/>
    <w:rsid w:val="000012BA"/>
    <w:rsid w:val="000012D0"/>
    <w:rsid w:val="0000131B"/>
    <w:rsid w:val="00001354"/>
    <w:rsid w:val="00001379"/>
    <w:rsid w:val="00001419"/>
    <w:rsid w:val="00001433"/>
    <w:rsid w:val="00001487"/>
    <w:rsid w:val="00001488"/>
    <w:rsid w:val="000014A5"/>
    <w:rsid w:val="000014AE"/>
    <w:rsid w:val="000014BB"/>
    <w:rsid w:val="000014D7"/>
    <w:rsid w:val="000014DF"/>
    <w:rsid w:val="00001516"/>
    <w:rsid w:val="0000155F"/>
    <w:rsid w:val="0000157D"/>
    <w:rsid w:val="000015A3"/>
    <w:rsid w:val="000015C1"/>
    <w:rsid w:val="000015D2"/>
    <w:rsid w:val="00001664"/>
    <w:rsid w:val="0000166D"/>
    <w:rsid w:val="000016D0"/>
    <w:rsid w:val="00001717"/>
    <w:rsid w:val="00001719"/>
    <w:rsid w:val="00001737"/>
    <w:rsid w:val="00001786"/>
    <w:rsid w:val="000017F0"/>
    <w:rsid w:val="00001815"/>
    <w:rsid w:val="00001822"/>
    <w:rsid w:val="00001836"/>
    <w:rsid w:val="00001902"/>
    <w:rsid w:val="00001919"/>
    <w:rsid w:val="00001965"/>
    <w:rsid w:val="000019E6"/>
    <w:rsid w:val="00001A21"/>
    <w:rsid w:val="00001A52"/>
    <w:rsid w:val="00001A5F"/>
    <w:rsid w:val="00001A67"/>
    <w:rsid w:val="00001A91"/>
    <w:rsid w:val="00001AC6"/>
    <w:rsid w:val="00001B08"/>
    <w:rsid w:val="00001B6F"/>
    <w:rsid w:val="00001B7D"/>
    <w:rsid w:val="00001BA5"/>
    <w:rsid w:val="00001C40"/>
    <w:rsid w:val="00001C56"/>
    <w:rsid w:val="00001C6E"/>
    <w:rsid w:val="00001CEA"/>
    <w:rsid w:val="00001CF6"/>
    <w:rsid w:val="00001D2F"/>
    <w:rsid w:val="00001D56"/>
    <w:rsid w:val="00001D82"/>
    <w:rsid w:val="00001D8C"/>
    <w:rsid w:val="00001DD1"/>
    <w:rsid w:val="00001DE9"/>
    <w:rsid w:val="00001E24"/>
    <w:rsid w:val="00001E69"/>
    <w:rsid w:val="00001E95"/>
    <w:rsid w:val="00001EC9"/>
    <w:rsid w:val="00001F32"/>
    <w:rsid w:val="00001FD7"/>
    <w:rsid w:val="00002020"/>
    <w:rsid w:val="0000203B"/>
    <w:rsid w:val="0000204E"/>
    <w:rsid w:val="0000207D"/>
    <w:rsid w:val="00002108"/>
    <w:rsid w:val="0000211C"/>
    <w:rsid w:val="00002170"/>
    <w:rsid w:val="00002194"/>
    <w:rsid w:val="000021D6"/>
    <w:rsid w:val="000021EC"/>
    <w:rsid w:val="00002230"/>
    <w:rsid w:val="00002263"/>
    <w:rsid w:val="00002270"/>
    <w:rsid w:val="000022FA"/>
    <w:rsid w:val="000023AB"/>
    <w:rsid w:val="0000243F"/>
    <w:rsid w:val="00002458"/>
    <w:rsid w:val="0000247B"/>
    <w:rsid w:val="0000247C"/>
    <w:rsid w:val="0000249E"/>
    <w:rsid w:val="000024F0"/>
    <w:rsid w:val="000024FF"/>
    <w:rsid w:val="00002560"/>
    <w:rsid w:val="000025AC"/>
    <w:rsid w:val="000025BD"/>
    <w:rsid w:val="0000264B"/>
    <w:rsid w:val="000026B6"/>
    <w:rsid w:val="000027A5"/>
    <w:rsid w:val="0000283A"/>
    <w:rsid w:val="0000288F"/>
    <w:rsid w:val="0000289B"/>
    <w:rsid w:val="000028BD"/>
    <w:rsid w:val="00002941"/>
    <w:rsid w:val="0000294B"/>
    <w:rsid w:val="000029FD"/>
    <w:rsid w:val="00002A5F"/>
    <w:rsid w:val="00002A8C"/>
    <w:rsid w:val="00002AB5"/>
    <w:rsid w:val="00002AF8"/>
    <w:rsid w:val="00002AF9"/>
    <w:rsid w:val="00002AFB"/>
    <w:rsid w:val="00002B8F"/>
    <w:rsid w:val="00002BE5"/>
    <w:rsid w:val="00002BF3"/>
    <w:rsid w:val="00002C34"/>
    <w:rsid w:val="00002C72"/>
    <w:rsid w:val="00002C7F"/>
    <w:rsid w:val="00002C8E"/>
    <w:rsid w:val="00002CE4"/>
    <w:rsid w:val="00002D8B"/>
    <w:rsid w:val="00002DAE"/>
    <w:rsid w:val="00002DE0"/>
    <w:rsid w:val="00002DFC"/>
    <w:rsid w:val="00002EB8"/>
    <w:rsid w:val="00002EED"/>
    <w:rsid w:val="00002F2A"/>
    <w:rsid w:val="00002FAE"/>
    <w:rsid w:val="00003052"/>
    <w:rsid w:val="00003058"/>
    <w:rsid w:val="0000306D"/>
    <w:rsid w:val="0000307C"/>
    <w:rsid w:val="000031C3"/>
    <w:rsid w:val="0000320B"/>
    <w:rsid w:val="0000320C"/>
    <w:rsid w:val="00003211"/>
    <w:rsid w:val="00003266"/>
    <w:rsid w:val="000032A1"/>
    <w:rsid w:val="000032F9"/>
    <w:rsid w:val="00003339"/>
    <w:rsid w:val="000033AC"/>
    <w:rsid w:val="000033B2"/>
    <w:rsid w:val="0000349E"/>
    <w:rsid w:val="00003506"/>
    <w:rsid w:val="0000357E"/>
    <w:rsid w:val="000035A4"/>
    <w:rsid w:val="0000364D"/>
    <w:rsid w:val="0000366F"/>
    <w:rsid w:val="000036AE"/>
    <w:rsid w:val="000037B9"/>
    <w:rsid w:val="00003801"/>
    <w:rsid w:val="0000385E"/>
    <w:rsid w:val="00003860"/>
    <w:rsid w:val="0000392F"/>
    <w:rsid w:val="00003944"/>
    <w:rsid w:val="000039CE"/>
    <w:rsid w:val="000039D2"/>
    <w:rsid w:val="000039F6"/>
    <w:rsid w:val="00003A00"/>
    <w:rsid w:val="00003A1C"/>
    <w:rsid w:val="00003A36"/>
    <w:rsid w:val="00003A4C"/>
    <w:rsid w:val="00003A88"/>
    <w:rsid w:val="00003A97"/>
    <w:rsid w:val="00003AD2"/>
    <w:rsid w:val="00003AFB"/>
    <w:rsid w:val="00003B3C"/>
    <w:rsid w:val="00003B70"/>
    <w:rsid w:val="00003CBD"/>
    <w:rsid w:val="00003CD6"/>
    <w:rsid w:val="00003CF8"/>
    <w:rsid w:val="00003DAA"/>
    <w:rsid w:val="00003DC5"/>
    <w:rsid w:val="00003E54"/>
    <w:rsid w:val="00003E90"/>
    <w:rsid w:val="00003EB4"/>
    <w:rsid w:val="00003ECC"/>
    <w:rsid w:val="00003F0F"/>
    <w:rsid w:val="00003F32"/>
    <w:rsid w:val="00003F95"/>
    <w:rsid w:val="00003FA3"/>
    <w:rsid w:val="00004009"/>
    <w:rsid w:val="0000400A"/>
    <w:rsid w:val="00004046"/>
    <w:rsid w:val="00004064"/>
    <w:rsid w:val="00004082"/>
    <w:rsid w:val="0000409F"/>
    <w:rsid w:val="0000410B"/>
    <w:rsid w:val="0000410D"/>
    <w:rsid w:val="00004148"/>
    <w:rsid w:val="000042A6"/>
    <w:rsid w:val="000042F7"/>
    <w:rsid w:val="00004320"/>
    <w:rsid w:val="00004354"/>
    <w:rsid w:val="0000435B"/>
    <w:rsid w:val="00004368"/>
    <w:rsid w:val="00004393"/>
    <w:rsid w:val="00004422"/>
    <w:rsid w:val="00004474"/>
    <w:rsid w:val="0000447E"/>
    <w:rsid w:val="00004537"/>
    <w:rsid w:val="0000455C"/>
    <w:rsid w:val="0000459E"/>
    <w:rsid w:val="000046F6"/>
    <w:rsid w:val="0000476F"/>
    <w:rsid w:val="00004778"/>
    <w:rsid w:val="000047B6"/>
    <w:rsid w:val="000047C3"/>
    <w:rsid w:val="000047D9"/>
    <w:rsid w:val="0000486C"/>
    <w:rsid w:val="00004973"/>
    <w:rsid w:val="0000498D"/>
    <w:rsid w:val="00004A29"/>
    <w:rsid w:val="00004A91"/>
    <w:rsid w:val="00004AE1"/>
    <w:rsid w:val="00004AE9"/>
    <w:rsid w:val="00004B23"/>
    <w:rsid w:val="00004B9D"/>
    <w:rsid w:val="00004BEA"/>
    <w:rsid w:val="00004BEB"/>
    <w:rsid w:val="00004C0E"/>
    <w:rsid w:val="00004C57"/>
    <w:rsid w:val="00004C6E"/>
    <w:rsid w:val="00004D26"/>
    <w:rsid w:val="00004D2F"/>
    <w:rsid w:val="00004D5A"/>
    <w:rsid w:val="00004D80"/>
    <w:rsid w:val="00004D97"/>
    <w:rsid w:val="00004D9E"/>
    <w:rsid w:val="00004DB2"/>
    <w:rsid w:val="00004DC3"/>
    <w:rsid w:val="00004DE5"/>
    <w:rsid w:val="00004E40"/>
    <w:rsid w:val="00004E66"/>
    <w:rsid w:val="00004ED4"/>
    <w:rsid w:val="00004EF8"/>
    <w:rsid w:val="00004F69"/>
    <w:rsid w:val="00004F74"/>
    <w:rsid w:val="00004F77"/>
    <w:rsid w:val="0000509E"/>
    <w:rsid w:val="000051B2"/>
    <w:rsid w:val="000051E6"/>
    <w:rsid w:val="00005361"/>
    <w:rsid w:val="0000538F"/>
    <w:rsid w:val="000053AA"/>
    <w:rsid w:val="000053AE"/>
    <w:rsid w:val="0000541C"/>
    <w:rsid w:val="00005448"/>
    <w:rsid w:val="00005498"/>
    <w:rsid w:val="0000554C"/>
    <w:rsid w:val="00005573"/>
    <w:rsid w:val="000055AF"/>
    <w:rsid w:val="000055D2"/>
    <w:rsid w:val="0000562C"/>
    <w:rsid w:val="0000567C"/>
    <w:rsid w:val="00005698"/>
    <w:rsid w:val="000056CB"/>
    <w:rsid w:val="000056DF"/>
    <w:rsid w:val="0000576B"/>
    <w:rsid w:val="00005772"/>
    <w:rsid w:val="000057F7"/>
    <w:rsid w:val="00005832"/>
    <w:rsid w:val="000058B6"/>
    <w:rsid w:val="000058C6"/>
    <w:rsid w:val="00005918"/>
    <w:rsid w:val="00005939"/>
    <w:rsid w:val="00005972"/>
    <w:rsid w:val="00005993"/>
    <w:rsid w:val="000059B0"/>
    <w:rsid w:val="000059C7"/>
    <w:rsid w:val="000059D0"/>
    <w:rsid w:val="00005A3D"/>
    <w:rsid w:val="00005A68"/>
    <w:rsid w:val="00005A77"/>
    <w:rsid w:val="00005AB1"/>
    <w:rsid w:val="00005AB7"/>
    <w:rsid w:val="00005B0A"/>
    <w:rsid w:val="00005B10"/>
    <w:rsid w:val="00005B3A"/>
    <w:rsid w:val="00005B63"/>
    <w:rsid w:val="00005B7C"/>
    <w:rsid w:val="00005BF4"/>
    <w:rsid w:val="00005C07"/>
    <w:rsid w:val="00005C0F"/>
    <w:rsid w:val="00005C49"/>
    <w:rsid w:val="00005C7B"/>
    <w:rsid w:val="00005CB2"/>
    <w:rsid w:val="00005D1B"/>
    <w:rsid w:val="00005D33"/>
    <w:rsid w:val="00005DE0"/>
    <w:rsid w:val="00005E32"/>
    <w:rsid w:val="00005EC9"/>
    <w:rsid w:val="00005ED5"/>
    <w:rsid w:val="00005F23"/>
    <w:rsid w:val="00005F3F"/>
    <w:rsid w:val="00005F42"/>
    <w:rsid w:val="00005FAC"/>
    <w:rsid w:val="00005FEF"/>
    <w:rsid w:val="00005FF6"/>
    <w:rsid w:val="00005FFF"/>
    <w:rsid w:val="0000602F"/>
    <w:rsid w:val="00006036"/>
    <w:rsid w:val="00006049"/>
    <w:rsid w:val="000060B0"/>
    <w:rsid w:val="000060C1"/>
    <w:rsid w:val="000061C6"/>
    <w:rsid w:val="000061F3"/>
    <w:rsid w:val="0000621B"/>
    <w:rsid w:val="0000629D"/>
    <w:rsid w:val="000062B2"/>
    <w:rsid w:val="00006361"/>
    <w:rsid w:val="0000639A"/>
    <w:rsid w:val="000063A3"/>
    <w:rsid w:val="0000642D"/>
    <w:rsid w:val="00006449"/>
    <w:rsid w:val="00006484"/>
    <w:rsid w:val="000064CC"/>
    <w:rsid w:val="00006500"/>
    <w:rsid w:val="00006538"/>
    <w:rsid w:val="000065FF"/>
    <w:rsid w:val="0000666E"/>
    <w:rsid w:val="000066AC"/>
    <w:rsid w:val="000066F8"/>
    <w:rsid w:val="0000673F"/>
    <w:rsid w:val="0000680C"/>
    <w:rsid w:val="00006822"/>
    <w:rsid w:val="000068CC"/>
    <w:rsid w:val="0000695F"/>
    <w:rsid w:val="0000696C"/>
    <w:rsid w:val="00006975"/>
    <w:rsid w:val="0000698E"/>
    <w:rsid w:val="000069A8"/>
    <w:rsid w:val="000069B1"/>
    <w:rsid w:val="000069BD"/>
    <w:rsid w:val="000069CE"/>
    <w:rsid w:val="000069E2"/>
    <w:rsid w:val="00006A42"/>
    <w:rsid w:val="00006A7B"/>
    <w:rsid w:val="00006A86"/>
    <w:rsid w:val="00006AC4"/>
    <w:rsid w:val="00006AE0"/>
    <w:rsid w:val="00006AF5"/>
    <w:rsid w:val="00006B20"/>
    <w:rsid w:val="00006B37"/>
    <w:rsid w:val="00006B3D"/>
    <w:rsid w:val="00006B50"/>
    <w:rsid w:val="00006B69"/>
    <w:rsid w:val="00006BD5"/>
    <w:rsid w:val="00006C6E"/>
    <w:rsid w:val="00006D52"/>
    <w:rsid w:val="00006D59"/>
    <w:rsid w:val="00006DCC"/>
    <w:rsid w:val="00006DD6"/>
    <w:rsid w:val="00006EE6"/>
    <w:rsid w:val="00006F19"/>
    <w:rsid w:val="00006F53"/>
    <w:rsid w:val="00006F94"/>
    <w:rsid w:val="00006FF8"/>
    <w:rsid w:val="00007039"/>
    <w:rsid w:val="00007052"/>
    <w:rsid w:val="000070E7"/>
    <w:rsid w:val="000070FC"/>
    <w:rsid w:val="000071A3"/>
    <w:rsid w:val="0000726F"/>
    <w:rsid w:val="000072E9"/>
    <w:rsid w:val="00007366"/>
    <w:rsid w:val="00007406"/>
    <w:rsid w:val="00007466"/>
    <w:rsid w:val="00007470"/>
    <w:rsid w:val="0000748F"/>
    <w:rsid w:val="00007517"/>
    <w:rsid w:val="0000751B"/>
    <w:rsid w:val="00007545"/>
    <w:rsid w:val="0000756F"/>
    <w:rsid w:val="000075E1"/>
    <w:rsid w:val="0000763C"/>
    <w:rsid w:val="00007650"/>
    <w:rsid w:val="00007768"/>
    <w:rsid w:val="000077C0"/>
    <w:rsid w:val="000077E5"/>
    <w:rsid w:val="00007826"/>
    <w:rsid w:val="00007843"/>
    <w:rsid w:val="00007845"/>
    <w:rsid w:val="0000789C"/>
    <w:rsid w:val="000078E4"/>
    <w:rsid w:val="0000792C"/>
    <w:rsid w:val="00007944"/>
    <w:rsid w:val="000079A2"/>
    <w:rsid w:val="000079B0"/>
    <w:rsid w:val="00007A10"/>
    <w:rsid w:val="00007A1F"/>
    <w:rsid w:val="00007A57"/>
    <w:rsid w:val="00007AD1"/>
    <w:rsid w:val="00007ADA"/>
    <w:rsid w:val="00007B21"/>
    <w:rsid w:val="00007B8B"/>
    <w:rsid w:val="00007B98"/>
    <w:rsid w:val="00007BD2"/>
    <w:rsid w:val="00007BE3"/>
    <w:rsid w:val="00007BE6"/>
    <w:rsid w:val="00007BE8"/>
    <w:rsid w:val="00007C34"/>
    <w:rsid w:val="00007CB1"/>
    <w:rsid w:val="00007CC9"/>
    <w:rsid w:val="00007CDE"/>
    <w:rsid w:val="00007CE9"/>
    <w:rsid w:val="00007D20"/>
    <w:rsid w:val="00007D6D"/>
    <w:rsid w:val="00007DE9"/>
    <w:rsid w:val="00007DFD"/>
    <w:rsid w:val="00007E6C"/>
    <w:rsid w:val="00007F44"/>
    <w:rsid w:val="00007FF6"/>
    <w:rsid w:val="00010030"/>
    <w:rsid w:val="00010100"/>
    <w:rsid w:val="00010103"/>
    <w:rsid w:val="0001032C"/>
    <w:rsid w:val="0001035A"/>
    <w:rsid w:val="00010367"/>
    <w:rsid w:val="0001037D"/>
    <w:rsid w:val="000103BC"/>
    <w:rsid w:val="000103C3"/>
    <w:rsid w:val="0001043B"/>
    <w:rsid w:val="0001048F"/>
    <w:rsid w:val="000104AE"/>
    <w:rsid w:val="0001050C"/>
    <w:rsid w:val="0001054F"/>
    <w:rsid w:val="0001056A"/>
    <w:rsid w:val="000105D1"/>
    <w:rsid w:val="000105F0"/>
    <w:rsid w:val="000106BD"/>
    <w:rsid w:val="000106D0"/>
    <w:rsid w:val="000106DF"/>
    <w:rsid w:val="0001075A"/>
    <w:rsid w:val="00010787"/>
    <w:rsid w:val="000107C2"/>
    <w:rsid w:val="000107D3"/>
    <w:rsid w:val="000107E5"/>
    <w:rsid w:val="000107F7"/>
    <w:rsid w:val="0001087C"/>
    <w:rsid w:val="000108EA"/>
    <w:rsid w:val="000108F7"/>
    <w:rsid w:val="00010987"/>
    <w:rsid w:val="000109B3"/>
    <w:rsid w:val="000109E1"/>
    <w:rsid w:val="00010A08"/>
    <w:rsid w:val="00010A48"/>
    <w:rsid w:val="00010ABA"/>
    <w:rsid w:val="00010AEF"/>
    <w:rsid w:val="00010AFF"/>
    <w:rsid w:val="00010B2A"/>
    <w:rsid w:val="00010B65"/>
    <w:rsid w:val="00010B83"/>
    <w:rsid w:val="00010B8F"/>
    <w:rsid w:val="00010BBE"/>
    <w:rsid w:val="00010BD4"/>
    <w:rsid w:val="00010C4A"/>
    <w:rsid w:val="00010C74"/>
    <w:rsid w:val="00010C7B"/>
    <w:rsid w:val="00010C83"/>
    <w:rsid w:val="00010C85"/>
    <w:rsid w:val="00010CB6"/>
    <w:rsid w:val="00010D06"/>
    <w:rsid w:val="00010D47"/>
    <w:rsid w:val="00010DD0"/>
    <w:rsid w:val="00010E0B"/>
    <w:rsid w:val="00010E0F"/>
    <w:rsid w:val="00010E46"/>
    <w:rsid w:val="00010E4E"/>
    <w:rsid w:val="00010E88"/>
    <w:rsid w:val="00010ED9"/>
    <w:rsid w:val="00010FCE"/>
    <w:rsid w:val="00010FE7"/>
    <w:rsid w:val="00011000"/>
    <w:rsid w:val="0001100E"/>
    <w:rsid w:val="0001104A"/>
    <w:rsid w:val="000110D9"/>
    <w:rsid w:val="000111F1"/>
    <w:rsid w:val="00011215"/>
    <w:rsid w:val="0001123D"/>
    <w:rsid w:val="0001126B"/>
    <w:rsid w:val="000112C1"/>
    <w:rsid w:val="00011359"/>
    <w:rsid w:val="000113C7"/>
    <w:rsid w:val="0001147C"/>
    <w:rsid w:val="00011483"/>
    <w:rsid w:val="000114E6"/>
    <w:rsid w:val="000115CA"/>
    <w:rsid w:val="000115E3"/>
    <w:rsid w:val="00011608"/>
    <w:rsid w:val="000116A6"/>
    <w:rsid w:val="0001173C"/>
    <w:rsid w:val="0001176D"/>
    <w:rsid w:val="000117A9"/>
    <w:rsid w:val="000117E8"/>
    <w:rsid w:val="00011829"/>
    <w:rsid w:val="00011854"/>
    <w:rsid w:val="0001185B"/>
    <w:rsid w:val="00011892"/>
    <w:rsid w:val="000118E3"/>
    <w:rsid w:val="0001192C"/>
    <w:rsid w:val="00011965"/>
    <w:rsid w:val="000119F0"/>
    <w:rsid w:val="00011A11"/>
    <w:rsid w:val="00011A12"/>
    <w:rsid w:val="00011A4F"/>
    <w:rsid w:val="00011A5C"/>
    <w:rsid w:val="00011A95"/>
    <w:rsid w:val="00011B36"/>
    <w:rsid w:val="00011BD9"/>
    <w:rsid w:val="00011BF4"/>
    <w:rsid w:val="00011C0C"/>
    <w:rsid w:val="00011C4F"/>
    <w:rsid w:val="00011CA6"/>
    <w:rsid w:val="00011D06"/>
    <w:rsid w:val="00011D50"/>
    <w:rsid w:val="00011DA8"/>
    <w:rsid w:val="00011E57"/>
    <w:rsid w:val="00011E65"/>
    <w:rsid w:val="00011EB0"/>
    <w:rsid w:val="00011EF0"/>
    <w:rsid w:val="00011FB9"/>
    <w:rsid w:val="00012003"/>
    <w:rsid w:val="0001207A"/>
    <w:rsid w:val="0001207C"/>
    <w:rsid w:val="00012088"/>
    <w:rsid w:val="00012134"/>
    <w:rsid w:val="0001214F"/>
    <w:rsid w:val="0001215F"/>
    <w:rsid w:val="000121C6"/>
    <w:rsid w:val="000121D5"/>
    <w:rsid w:val="0001221B"/>
    <w:rsid w:val="00012266"/>
    <w:rsid w:val="00012281"/>
    <w:rsid w:val="000122E5"/>
    <w:rsid w:val="000122E8"/>
    <w:rsid w:val="00012304"/>
    <w:rsid w:val="000123D7"/>
    <w:rsid w:val="000123E2"/>
    <w:rsid w:val="000123F2"/>
    <w:rsid w:val="00012442"/>
    <w:rsid w:val="00012471"/>
    <w:rsid w:val="00012497"/>
    <w:rsid w:val="000124F7"/>
    <w:rsid w:val="00012514"/>
    <w:rsid w:val="0001254E"/>
    <w:rsid w:val="00012551"/>
    <w:rsid w:val="0001259A"/>
    <w:rsid w:val="000125BA"/>
    <w:rsid w:val="000125FA"/>
    <w:rsid w:val="00012621"/>
    <w:rsid w:val="000127A8"/>
    <w:rsid w:val="000127EA"/>
    <w:rsid w:val="0001282F"/>
    <w:rsid w:val="00012845"/>
    <w:rsid w:val="00012863"/>
    <w:rsid w:val="0001287E"/>
    <w:rsid w:val="000128B5"/>
    <w:rsid w:val="00012982"/>
    <w:rsid w:val="000129EC"/>
    <w:rsid w:val="000129F3"/>
    <w:rsid w:val="00012A5E"/>
    <w:rsid w:val="00012AE9"/>
    <w:rsid w:val="00012B04"/>
    <w:rsid w:val="00012B53"/>
    <w:rsid w:val="00012B7A"/>
    <w:rsid w:val="00012B8C"/>
    <w:rsid w:val="00012BC7"/>
    <w:rsid w:val="00012BED"/>
    <w:rsid w:val="00012C23"/>
    <w:rsid w:val="00012C58"/>
    <w:rsid w:val="00012CAE"/>
    <w:rsid w:val="00012CB9"/>
    <w:rsid w:val="00012CED"/>
    <w:rsid w:val="00012D2E"/>
    <w:rsid w:val="00012D50"/>
    <w:rsid w:val="00012D9A"/>
    <w:rsid w:val="00012DD1"/>
    <w:rsid w:val="00012EE1"/>
    <w:rsid w:val="00012F09"/>
    <w:rsid w:val="00012F0D"/>
    <w:rsid w:val="00012F0E"/>
    <w:rsid w:val="00012F16"/>
    <w:rsid w:val="00012F27"/>
    <w:rsid w:val="00012F52"/>
    <w:rsid w:val="00012F66"/>
    <w:rsid w:val="00012FB6"/>
    <w:rsid w:val="00013001"/>
    <w:rsid w:val="00013058"/>
    <w:rsid w:val="00013073"/>
    <w:rsid w:val="000130E1"/>
    <w:rsid w:val="00013111"/>
    <w:rsid w:val="00013170"/>
    <w:rsid w:val="0001318E"/>
    <w:rsid w:val="000131C0"/>
    <w:rsid w:val="00013227"/>
    <w:rsid w:val="000132B1"/>
    <w:rsid w:val="000132E8"/>
    <w:rsid w:val="00013313"/>
    <w:rsid w:val="00013329"/>
    <w:rsid w:val="0001333E"/>
    <w:rsid w:val="0001337F"/>
    <w:rsid w:val="0001338F"/>
    <w:rsid w:val="000133B5"/>
    <w:rsid w:val="000133BD"/>
    <w:rsid w:val="00013424"/>
    <w:rsid w:val="00013471"/>
    <w:rsid w:val="0001347E"/>
    <w:rsid w:val="0001347F"/>
    <w:rsid w:val="00013494"/>
    <w:rsid w:val="000134A0"/>
    <w:rsid w:val="00013501"/>
    <w:rsid w:val="00013538"/>
    <w:rsid w:val="0001356C"/>
    <w:rsid w:val="00013587"/>
    <w:rsid w:val="000136D2"/>
    <w:rsid w:val="0001375B"/>
    <w:rsid w:val="000137DB"/>
    <w:rsid w:val="0001385D"/>
    <w:rsid w:val="000138A9"/>
    <w:rsid w:val="000138D0"/>
    <w:rsid w:val="000138E9"/>
    <w:rsid w:val="000139C9"/>
    <w:rsid w:val="000139D6"/>
    <w:rsid w:val="00013A10"/>
    <w:rsid w:val="00013A19"/>
    <w:rsid w:val="00013A35"/>
    <w:rsid w:val="00013A4E"/>
    <w:rsid w:val="00013A79"/>
    <w:rsid w:val="00013A8C"/>
    <w:rsid w:val="00013AD1"/>
    <w:rsid w:val="00013B03"/>
    <w:rsid w:val="00013B04"/>
    <w:rsid w:val="00013B2E"/>
    <w:rsid w:val="00013B63"/>
    <w:rsid w:val="00013BE5"/>
    <w:rsid w:val="00013C0E"/>
    <w:rsid w:val="00013C2F"/>
    <w:rsid w:val="00013C32"/>
    <w:rsid w:val="00013C4F"/>
    <w:rsid w:val="00013C82"/>
    <w:rsid w:val="00013C9F"/>
    <w:rsid w:val="00013CB3"/>
    <w:rsid w:val="00013CCF"/>
    <w:rsid w:val="00013CE8"/>
    <w:rsid w:val="00013E2D"/>
    <w:rsid w:val="00013E66"/>
    <w:rsid w:val="00013ED9"/>
    <w:rsid w:val="00013F34"/>
    <w:rsid w:val="00013F84"/>
    <w:rsid w:val="00013FEB"/>
    <w:rsid w:val="000140F6"/>
    <w:rsid w:val="00014111"/>
    <w:rsid w:val="0001412F"/>
    <w:rsid w:val="000141B6"/>
    <w:rsid w:val="000141DB"/>
    <w:rsid w:val="000141F9"/>
    <w:rsid w:val="00014204"/>
    <w:rsid w:val="00014205"/>
    <w:rsid w:val="00014212"/>
    <w:rsid w:val="00014280"/>
    <w:rsid w:val="000142A8"/>
    <w:rsid w:val="000142B6"/>
    <w:rsid w:val="000142D4"/>
    <w:rsid w:val="000142F5"/>
    <w:rsid w:val="0001432F"/>
    <w:rsid w:val="0001436C"/>
    <w:rsid w:val="00014371"/>
    <w:rsid w:val="00014388"/>
    <w:rsid w:val="000143C1"/>
    <w:rsid w:val="000143F2"/>
    <w:rsid w:val="00014426"/>
    <w:rsid w:val="0001443F"/>
    <w:rsid w:val="00014483"/>
    <w:rsid w:val="00014489"/>
    <w:rsid w:val="000144CC"/>
    <w:rsid w:val="000144E5"/>
    <w:rsid w:val="000144F6"/>
    <w:rsid w:val="000144F9"/>
    <w:rsid w:val="00014541"/>
    <w:rsid w:val="000145EC"/>
    <w:rsid w:val="00014651"/>
    <w:rsid w:val="0001465C"/>
    <w:rsid w:val="0001466E"/>
    <w:rsid w:val="000146A5"/>
    <w:rsid w:val="000146FC"/>
    <w:rsid w:val="00014738"/>
    <w:rsid w:val="00014774"/>
    <w:rsid w:val="000147B4"/>
    <w:rsid w:val="00014830"/>
    <w:rsid w:val="000148C4"/>
    <w:rsid w:val="000148D5"/>
    <w:rsid w:val="00014903"/>
    <w:rsid w:val="0001490D"/>
    <w:rsid w:val="000149A3"/>
    <w:rsid w:val="00014ACC"/>
    <w:rsid w:val="00014B1D"/>
    <w:rsid w:val="00014B51"/>
    <w:rsid w:val="00014BAB"/>
    <w:rsid w:val="00014BC4"/>
    <w:rsid w:val="00014BE0"/>
    <w:rsid w:val="00014BE9"/>
    <w:rsid w:val="00014C92"/>
    <w:rsid w:val="00014D6D"/>
    <w:rsid w:val="00014D6F"/>
    <w:rsid w:val="00014DC9"/>
    <w:rsid w:val="00014DEA"/>
    <w:rsid w:val="00014E03"/>
    <w:rsid w:val="00014E56"/>
    <w:rsid w:val="00014EDF"/>
    <w:rsid w:val="00014F08"/>
    <w:rsid w:val="00014F1D"/>
    <w:rsid w:val="00014F41"/>
    <w:rsid w:val="00014F60"/>
    <w:rsid w:val="00014F9B"/>
    <w:rsid w:val="00014FAF"/>
    <w:rsid w:val="00014FD9"/>
    <w:rsid w:val="00014FF2"/>
    <w:rsid w:val="00015002"/>
    <w:rsid w:val="00015069"/>
    <w:rsid w:val="000150B0"/>
    <w:rsid w:val="00015122"/>
    <w:rsid w:val="0001513E"/>
    <w:rsid w:val="00015154"/>
    <w:rsid w:val="000151DD"/>
    <w:rsid w:val="00015261"/>
    <w:rsid w:val="0001538E"/>
    <w:rsid w:val="000153BA"/>
    <w:rsid w:val="00015404"/>
    <w:rsid w:val="0001545D"/>
    <w:rsid w:val="00015471"/>
    <w:rsid w:val="000154CA"/>
    <w:rsid w:val="0001558C"/>
    <w:rsid w:val="000155F6"/>
    <w:rsid w:val="00015657"/>
    <w:rsid w:val="00015674"/>
    <w:rsid w:val="00015685"/>
    <w:rsid w:val="00015723"/>
    <w:rsid w:val="00015736"/>
    <w:rsid w:val="0001576D"/>
    <w:rsid w:val="000158C5"/>
    <w:rsid w:val="000158ED"/>
    <w:rsid w:val="000158F2"/>
    <w:rsid w:val="00015921"/>
    <w:rsid w:val="00015966"/>
    <w:rsid w:val="0001596F"/>
    <w:rsid w:val="00015974"/>
    <w:rsid w:val="00015983"/>
    <w:rsid w:val="00015A9F"/>
    <w:rsid w:val="00015AAD"/>
    <w:rsid w:val="00015AD2"/>
    <w:rsid w:val="00015B1D"/>
    <w:rsid w:val="00015B68"/>
    <w:rsid w:val="00015B91"/>
    <w:rsid w:val="00015C4A"/>
    <w:rsid w:val="00015C66"/>
    <w:rsid w:val="00015CA3"/>
    <w:rsid w:val="00015CCE"/>
    <w:rsid w:val="00015CE5"/>
    <w:rsid w:val="00015D6D"/>
    <w:rsid w:val="00015E3E"/>
    <w:rsid w:val="00015E55"/>
    <w:rsid w:val="00015E92"/>
    <w:rsid w:val="00015EA3"/>
    <w:rsid w:val="00015FAB"/>
    <w:rsid w:val="00016081"/>
    <w:rsid w:val="000160EF"/>
    <w:rsid w:val="0001610B"/>
    <w:rsid w:val="00016191"/>
    <w:rsid w:val="000161A2"/>
    <w:rsid w:val="000161B7"/>
    <w:rsid w:val="000161C8"/>
    <w:rsid w:val="0001627B"/>
    <w:rsid w:val="000162AB"/>
    <w:rsid w:val="0001632B"/>
    <w:rsid w:val="0001632C"/>
    <w:rsid w:val="0001637E"/>
    <w:rsid w:val="000163DE"/>
    <w:rsid w:val="0001647D"/>
    <w:rsid w:val="000164E1"/>
    <w:rsid w:val="00016522"/>
    <w:rsid w:val="00016592"/>
    <w:rsid w:val="000165E8"/>
    <w:rsid w:val="000166CB"/>
    <w:rsid w:val="00016728"/>
    <w:rsid w:val="00016738"/>
    <w:rsid w:val="000167F6"/>
    <w:rsid w:val="000168A5"/>
    <w:rsid w:val="0001690B"/>
    <w:rsid w:val="00016A4A"/>
    <w:rsid w:val="00016A6A"/>
    <w:rsid w:val="00016A7D"/>
    <w:rsid w:val="00016B5A"/>
    <w:rsid w:val="00016BA7"/>
    <w:rsid w:val="00016BE8"/>
    <w:rsid w:val="00016C00"/>
    <w:rsid w:val="00016C3A"/>
    <w:rsid w:val="00016D1A"/>
    <w:rsid w:val="00016D37"/>
    <w:rsid w:val="00016D73"/>
    <w:rsid w:val="00016DF8"/>
    <w:rsid w:val="00016E2E"/>
    <w:rsid w:val="00016ED5"/>
    <w:rsid w:val="00016F1B"/>
    <w:rsid w:val="00016F27"/>
    <w:rsid w:val="00016F3B"/>
    <w:rsid w:val="00016F63"/>
    <w:rsid w:val="00016F7E"/>
    <w:rsid w:val="00016FEA"/>
    <w:rsid w:val="00017020"/>
    <w:rsid w:val="00017059"/>
    <w:rsid w:val="0001706E"/>
    <w:rsid w:val="0001711B"/>
    <w:rsid w:val="00017135"/>
    <w:rsid w:val="00017137"/>
    <w:rsid w:val="00017143"/>
    <w:rsid w:val="00017161"/>
    <w:rsid w:val="00017162"/>
    <w:rsid w:val="000171BC"/>
    <w:rsid w:val="00017231"/>
    <w:rsid w:val="0001728B"/>
    <w:rsid w:val="000172B2"/>
    <w:rsid w:val="000172D4"/>
    <w:rsid w:val="00017330"/>
    <w:rsid w:val="0001737A"/>
    <w:rsid w:val="00017393"/>
    <w:rsid w:val="000173A6"/>
    <w:rsid w:val="000173B7"/>
    <w:rsid w:val="000173BC"/>
    <w:rsid w:val="000174B8"/>
    <w:rsid w:val="00017593"/>
    <w:rsid w:val="000175A0"/>
    <w:rsid w:val="00017610"/>
    <w:rsid w:val="00017617"/>
    <w:rsid w:val="0001762D"/>
    <w:rsid w:val="00017659"/>
    <w:rsid w:val="000176D1"/>
    <w:rsid w:val="000176E3"/>
    <w:rsid w:val="00017715"/>
    <w:rsid w:val="0001771C"/>
    <w:rsid w:val="00017787"/>
    <w:rsid w:val="00017794"/>
    <w:rsid w:val="00017799"/>
    <w:rsid w:val="000177FB"/>
    <w:rsid w:val="00017867"/>
    <w:rsid w:val="000178F9"/>
    <w:rsid w:val="0001794A"/>
    <w:rsid w:val="000179AE"/>
    <w:rsid w:val="000179FA"/>
    <w:rsid w:val="00017A32"/>
    <w:rsid w:val="00017A7C"/>
    <w:rsid w:val="00017AF1"/>
    <w:rsid w:val="00017BC3"/>
    <w:rsid w:val="00017BD3"/>
    <w:rsid w:val="00017C0F"/>
    <w:rsid w:val="00017C36"/>
    <w:rsid w:val="00017C59"/>
    <w:rsid w:val="00017C5B"/>
    <w:rsid w:val="00017D14"/>
    <w:rsid w:val="00017DBC"/>
    <w:rsid w:val="00017DBF"/>
    <w:rsid w:val="00017DFF"/>
    <w:rsid w:val="00017E15"/>
    <w:rsid w:val="00017E81"/>
    <w:rsid w:val="00017EB5"/>
    <w:rsid w:val="00017ED1"/>
    <w:rsid w:val="00017F6E"/>
    <w:rsid w:val="00017F89"/>
    <w:rsid w:val="00017FF0"/>
    <w:rsid w:val="0002008A"/>
    <w:rsid w:val="000200B9"/>
    <w:rsid w:val="00020116"/>
    <w:rsid w:val="00020174"/>
    <w:rsid w:val="000201E2"/>
    <w:rsid w:val="00020238"/>
    <w:rsid w:val="00020246"/>
    <w:rsid w:val="000202DA"/>
    <w:rsid w:val="0002032F"/>
    <w:rsid w:val="00020374"/>
    <w:rsid w:val="0002038C"/>
    <w:rsid w:val="000203E3"/>
    <w:rsid w:val="000203F2"/>
    <w:rsid w:val="00020422"/>
    <w:rsid w:val="00020451"/>
    <w:rsid w:val="0002047A"/>
    <w:rsid w:val="00020483"/>
    <w:rsid w:val="000204AD"/>
    <w:rsid w:val="000204F5"/>
    <w:rsid w:val="00020517"/>
    <w:rsid w:val="00020598"/>
    <w:rsid w:val="0002067B"/>
    <w:rsid w:val="000206C6"/>
    <w:rsid w:val="00020703"/>
    <w:rsid w:val="0002071A"/>
    <w:rsid w:val="00020724"/>
    <w:rsid w:val="00020740"/>
    <w:rsid w:val="00020789"/>
    <w:rsid w:val="000207A9"/>
    <w:rsid w:val="000207E6"/>
    <w:rsid w:val="000207FD"/>
    <w:rsid w:val="00020819"/>
    <w:rsid w:val="0002081E"/>
    <w:rsid w:val="0002082B"/>
    <w:rsid w:val="0002085B"/>
    <w:rsid w:val="00020908"/>
    <w:rsid w:val="00020918"/>
    <w:rsid w:val="00020949"/>
    <w:rsid w:val="0002094C"/>
    <w:rsid w:val="00020968"/>
    <w:rsid w:val="00020977"/>
    <w:rsid w:val="000209B3"/>
    <w:rsid w:val="00020AA1"/>
    <w:rsid w:val="00020AF2"/>
    <w:rsid w:val="00020BD5"/>
    <w:rsid w:val="00020BF6"/>
    <w:rsid w:val="00020C99"/>
    <w:rsid w:val="00020CEF"/>
    <w:rsid w:val="00020D57"/>
    <w:rsid w:val="00020DAE"/>
    <w:rsid w:val="00020DED"/>
    <w:rsid w:val="00020E12"/>
    <w:rsid w:val="00020E3D"/>
    <w:rsid w:val="00020E8B"/>
    <w:rsid w:val="00020EBC"/>
    <w:rsid w:val="00020F0B"/>
    <w:rsid w:val="00020F40"/>
    <w:rsid w:val="00020FBA"/>
    <w:rsid w:val="00020FDD"/>
    <w:rsid w:val="0002103F"/>
    <w:rsid w:val="00021044"/>
    <w:rsid w:val="0002106B"/>
    <w:rsid w:val="000210A6"/>
    <w:rsid w:val="00021125"/>
    <w:rsid w:val="00021132"/>
    <w:rsid w:val="000211B2"/>
    <w:rsid w:val="000211CC"/>
    <w:rsid w:val="000211EC"/>
    <w:rsid w:val="00021265"/>
    <w:rsid w:val="000212D0"/>
    <w:rsid w:val="0002135D"/>
    <w:rsid w:val="00021362"/>
    <w:rsid w:val="000213A5"/>
    <w:rsid w:val="00021416"/>
    <w:rsid w:val="0002144F"/>
    <w:rsid w:val="00021495"/>
    <w:rsid w:val="000214C7"/>
    <w:rsid w:val="000214C8"/>
    <w:rsid w:val="000214D7"/>
    <w:rsid w:val="000214DA"/>
    <w:rsid w:val="000214DD"/>
    <w:rsid w:val="000214F1"/>
    <w:rsid w:val="00021504"/>
    <w:rsid w:val="00021524"/>
    <w:rsid w:val="0002152C"/>
    <w:rsid w:val="00021595"/>
    <w:rsid w:val="00021597"/>
    <w:rsid w:val="000215D7"/>
    <w:rsid w:val="0002161A"/>
    <w:rsid w:val="00021665"/>
    <w:rsid w:val="000216C7"/>
    <w:rsid w:val="000216F3"/>
    <w:rsid w:val="000216FF"/>
    <w:rsid w:val="0002174E"/>
    <w:rsid w:val="00021750"/>
    <w:rsid w:val="00021760"/>
    <w:rsid w:val="000217CD"/>
    <w:rsid w:val="000217E1"/>
    <w:rsid w:val="000217FA"/>
    <w:rsid w:val="00021823"/>
    <w:rsid w:val="0002182B"/>
    <w:rsid w:val="00021877"/>
    <w:rsid w:val="000218AB"/>
    <w:rsid w:val="000218AC"/>
    <w:rsid w:val="000218BC"/>
    <w:rsid w:val="000218E6"/>
    <w:rsid w:val="00021935"/>
    <w:rsid w:val="00021938"/>
    <w:rsid w:val="00021981"/>
    <w:rsid w:val="00021984"/>
    <w:rsid w:val="00021985"/>
    <w:rsid w:val="00021997"/>
    <w:rsid w:val="000219AF"/>
    <w:rsid w:val="000219B9"/>
    <w:rsid w:val="000219BE"/>
    <w:rsid w:val="000219D2"/>
    <w:rsid w:val="00021A24"/>
    <w:rsid w:val="00021A63"/>
    <w:rsid w:val="00021A8A"/>
    <w:rsid w:val="00021B35"/>
    <w:rsid w:val="00021B6B"/>
    <w:rsid w:val="00021B84"/>
    <w:rsid w:val="00021BB4"/>
    <w:rsid w:val="00021BDE"/>
    <w:rsid w:val="00021C06"/>
    <w:rsid w:val="00021C56"/>
    <w:rsid w:val="00021CA6"/>
    <w:rsid w:val="00021CBF"/>
    <w:rsid w:val="00021D03"/>
    <w:rsid w:val="00021D28"/>
    <w:rsid w:val="00021D3D"/>
    <w:rsid w:val="00021D48"/>
    <w:rsid w:val="00021D5F"/>
    <w:rsid w:val="00021D81"/>
    <w:rsid w:val="00021DAE"/>
    <w:rsid w:val="00021E3E"/>
    <w:rsid w:val="00021E6C"/>
    <w:rsid w:val="00021EAC"/>
    <w:rsid w:val="00021EF6"/>
    <w:rsid w:val="00021F23"/>
    <w:rsid w:val="00021F7B"/>
    <w:rsid w:val="00021F7C"/>
    <w:rsid w:val="00021F92"/>
    <w:rsid w:val="00021F94"/>
    <w:rsid w:val="00021FF4"/>
    <w:rsid w:val="00022085"/>
    <w:rsid w:val="000220B4"/>
    <w:rsid w:val="0002214D"/>
    <w:rsid w:val="00022159"/>
    <w:rsid w:val="0002220B"/>
    <w:rsid w:val="00022231"/>
    <w:rsid w:val="0002225B"/>
    <w:rsid w:val="0002227B"/>
    <w:rsid w:val="0002227D"/>
    <w:rsid w:val="0002229B"/>
    <w:rsid w:val="000222DD"/>
    <w:rsid w:val="000222EA"/>
    <w:rsid w:val="00022352"/>
    <w:rsid w:val="0002235F"/>
    <w:rsid w:val="00022367"/>
    <w:rsid w:val="0002248E"/>
    <w:rsid w:val="0002249B"/>
    <w:rsid w:val="000224D7"/>
    <w:rsid w:val="00022559"/>
    <w:rsid w:val="00022642"/>
    <w:rsid w:val="00022643"/>
    <w:rsid w:val="00022649"/>
    <w:rsid w:val="00022652"/>
    <w:rsid w:val="000226BD"/>
    <w:rsid w:val="000226CF"/>
    <w:rsid w:val="000227EB"/>
    <w:rsid w:val="00022814"/>
    <w:rsid w:val="00022815"/>
    <w:rsid w:val="00022857"/>
    <w:rsid w:val="00022859"/>
    <w:rsid w:val="000229BC"/>
    <w:rsid w:val="00022A6B"/>
    <w:rsid w:val="00022AA3"/>
    <w:rsid w:val="00022AE2"/>
    <w:rsid w:val="00022B88"/>
    <w:rsid w:val="00022BA1"/>
    <w:rsid w:val="00022C1A"/>
    <w:rsid w:val="00022C65"/>
    <w:rsid w:val="00022CAF"/>
    <w:rsid w:val="00022D7D"/>
    <w:rsid w:val="00022DB4"/>
    <w:rsid w:val="00022DC1"/>
    <w:rsid w:val="00022DEB"/>
    <w:rsid w:val="00022E0A"/>
    <w:rsid w:val="00022E27"/>
    <w:rsid w:val="00022E98"/>
    <w:rsid w:val="00022EB3"/>
    <w:rsid w:val="00022EE7"/>
    <w:rsid w:val="00022F10"/>
    <w:rsid w:val="00022F2C"/>
    <w:rsid w:val="00022F48"/>
    <w:rsid w:val="00022FB6"/>
    <w:rsid w:val="00023007"/>
    <w:rsid w:val="00023063"/>
    <w:rsid w:val="0002308D"/>
    <w:rsid w:val="00023161"/>
    <w:rsid w:val="0002322C"/>
    <w:rsid w:val="0002324E"/>
    <w:rsid w:val="00023274"/>
    <w:rsid w:val="00023289"/>
    <w:rsid w:val="00023291"/>
    <w:rsid w:val="000232DE"/>
    <w:rsid w:val="00023325"/>
    <w:rsid w:val="00023326"/>
    <w:rsid w:val="00023344"/>
    <w:rsid w:val="0002335C"/>
    <w:rsid w:val="0002335E"/>
    <w:rsid w:val="000233A0"/>
    <w:rsid w:val="000233E4"/>
    <w:rsid w:val="00023414"/>
    <w:rsid w:val="00023421"/>
    <w:rsid w:val="00023490"/>
    <w:rsid w:val="000234A9"/>
    <w:rsid w:val="000234AB"/>
    <w:rsid w:val="0002352D"/>
    <w:rsid w:val="0002357B"/>
    <w:rsid w:val="0002357F"/>
    <w:rsid w:val="00023580"/>
    <w:rsid w:val="000235B4"/>
    <w:rsid w:val="000235CE"/>
    <w:rsid w:val="00023671"/>
    <w:rsid w:val="00023688"/>
    <w:rsid w:val="000236C2"/>
    <w:rsid w:val="00023768"/>
    <w:rsid w:val="000237BA"/>
    <w:rsid w:val="0002390B"/>
    <w:rsid w:val="00023A3F"/>
    <w:rsid w:val="00023A54"/>
    <w:rsid w:val="00023A87"/>
    <w:rsid w:val="00023AA2"/>
    <w:rsid w:val="00023AD6"/>
    <w:rsid w:val="00023ADC"/>
    <w:rsid w:val="00023AF8"/>
    <w:rsid w:val="00023B23"/>
    <w:rsid w:val="00023B26"/>
    <w:rsid w:val="00023B9F"/>
    <w:rsid w:val="00023BCC"/>
    <w:rsid w:val="00023BD5"/>
    <w:rsid w:val="00023BDA"/>
    <w:rsid w:val="00023BE2"/>
    <w:rsid w:val="00023C8A"/>
    <w:rsid w:val="00023CAB"/>
    <w:rsid w:val="00023CC5"/>
    <w:rsid w:val="00023D3B"/>
    <w:rsid w:val="00023D62"/>
    <w:rsid w:val="00023D82"/>
    <w:rsid w:val="00023DD1"/>
    <w:rsid w:val="00023DE8"/>
    <w:rsid w:val="00023E0D"/>
    <w:rsid w:val="00023E24"/>
    <w:rsid w:val="00023E9F"/>
    <w:rsid w:val="00023EE1"/>
    <w:rsid w:val="00023EFE"/>
    <w:rsid w:val="00023F4C"/>
    <w:rsid w:val="00023F6F"/>
    <w:rsid w:val="00023FB7"/>
    <w:rsid w:val="00023FBE"/>
    <w:rsid w:val="00023FEB"/>
    <w:rsid w:val="00024101"/>
    <w:rsid w:val="0002413E"/>
    <w:rsid w:val="000241AE"/>
    <w:rsid w:val="000241D6"/>
    <w:rsid w:val="000241EE"/>
    <w:rsid w:val="00024257"/>
    <w:rsid w:val="000242A6"/>
    <w:rsid w:val="000242B8"/>
    <w:rsid w:val="000242D2"/>
    <w:rsid w:val="00024304"/>
    <w:rsid w:val="0002430F"/>
    <w:rsid w:val="00024311"/>
    <w:rsid w:val="0002442A"/>
    <w:rsid w:val="0002442F"/>
    <w:rsid w:val="000244B5"/>
    <w:rsid w:val="00024546"/>
    <w:rsid w:val="0002454B"/>
    <w:rsid w:val="00024564"/>
    <w:rsid w:val="000245D0"/>
    <w:rsid w:val="000245E6"/>
    <w:rsid w:val="00024614"/>
    <w:rsid w:val="00024622"/>
    <w:rsid w:val="00024647"/>
    <w:rsid w:val="00024667"/>
    <w:rsid w:val="000246C4"/>
    <w:rsid w:val="000246C7"/>
    <w:rsid w:val="000246FC"/>
    <w:rsid w:val="00024707"/>
    <w:rsid w:val="00024718"/>
    <w:rsid w:val="0002471F"/>
    <w:rsid w:val="00024730"/>
    <w:rsid w:val="0002479E"/>
    <w:rsid w:val="000247E2"/>
    <w:rsid w:val="000248CF"/>
    <w:rsid w:val="000248D2"/>
    <w:rsid w:val="000248D3"/>
    <w:rsid w:val="000248DA"/>
    <w:rsid w:val="0002492B"/>
    <w:rsid w:val="00024968"/>
    <w:rsid w:val="000249B5"/>
    <w:rsid w:val="000249FA"/>
    <w:rsid w:val="00024A6E"/>
    <w:rsid w:val="00024A7E"/>
    <w:rsid w:val="00024B1D"/>
    <w:rsid w:val="00024B9A"/>
    <w:rsid w:val="00024BC3"/>
    <w:rsid w:val="00024BF2"/>
    <w:rsid w:val="00024CA2"/>
    <w:rsid w:val="00024CA6"/>
    <w:rsid w:val="00024CE8"/>
    <w:rsid w:val="00024CE9"/>
    <w:rsid w:val="00024D00"/>
    <w:rsid w:val="00024D76"/>
    <w:rsid w:val="00024E25"/>
    <w:rsid w:val="00024E57"/>
    <w:rsid w:val="00024E7E"/>
    <w:rsid w:val="00024EDD"/>
    <w:rsid w:val="00024EE4"/>
    <w:rsid w:val="00024FBE"/>
    <w:rsid w:val="00024FFD"/>
    <w:rsid w:val="0002501E"/>
    <w:rsid w:val="00025078"/>
    <w:rsid w:val="000250B3"/>
    <w:rsid w:val="000250F6"/>
    <w:rsid w:val="00025144"/>
    <w:rsid w:val="00025173"/>
    <w:rsid w:val="000251D4"/>
    <w:rsid w:val="000252B6"/>
    <w:rsid w:val="000252C7"/>
    <w:rsid w:val="00025348"/>
    <w:rsid w:val="00025374"/>
    <w:rsid w:val="000253D5"/>
    <w:rsid w:val="0002547F"/>
    <w:rsid w:val="00025480"/>
    <w:rsid w:val="000254AD"/>
    <w:rsid w:val="000254B1"/>
    <w:rsid w:val="000254EF"/>
    <w:rsid w:val="00025502"/>
    <w:rsid w:val="00025506"/>
    <w:rsid w:val="00025553"/>
    <w:rsid w:val="00025587"/>
    <w:rsid w:val="00025604"/>
    <w:rsid w:val="0002561A"/>
    <w:rsid w:val="00025641"/>
    <w:rsid w:val="0002568E"/>
    <w:rsid w:val="000256A6"/>
    <w:rsid w:val="000256D5"/>
    <w:rsid w:val="00025711"/>
    <w:rsid w:val="00025716"/>
    <w:rsid w:val="00025721"/>
    <w:rsid w:val="00025726"/>
    <w:rsid w:val="00025749"/>
    <w:rsid w:val="0002574F"/>
    <w:rsid w:val="00025762"/>
    <w:rsid w:val="00025787"/>
    <w:rsid w:val="00025819"/>
    <w:rsid w:val="0002586B"/>
    <w:rsid w:val="0002594D"/>
    <w:rsid w:val="0002598A"/>
    <w:rsid w:val="000259CE"/>
    <w:rsid w:val="000259EF"/>
    <w:rsid w:val="00025AC0"/>
    <w:rsid w:val="00025ADA"/>
    <w:rsid w:val="00025B7B"/>
    <w:rsid w:val="00025BA6"/>
    <w:rsid w:val="00025BB7"/>
    <w:rsid w:val="00025BE6"/>
    <w:rsid w:val="00025C12"/>
    <w:rsid w:val="00025CF9"/>
    <w:rsid w:val="00025D0A"/>
    <w:rsid w:val="00025D37"/>
    <w:rsid w:val="00025D3C"/>
    <w:rsid w:val="00025D6B"/>
    <w:rsid w:val="00025D8A"/>
    <w:rsid w:val="00025DA7"/>
    <w:rsid w:val="00025DDC"/>
    <w:rsid w:val="00025DEE"/>
    <w:rsid w:val="00025E05"/>
    <w:rsid w:val="00025ED0"/>
    <w:rsid w:val="00025F09"/>
    <w:rsid w:val="00025F0F"/>
    <w:rsid w:val="00025F28"/>
    <w:rsid w:val="00025F7C"/>
    <w:rsid w:val="00025F81"/>
    <w:rsid w:val="00025F8B"/>
    <w:rsid w:val="00025F8F"/>
    <w:rsid w:val="00026001"/>
    <w:rsid w:val="00026009"/>
    <w:rsid w:val="00026075"/>
    <w:rsid w:val="00026082"/>
    <w:rsid w:val="00026090"/>
    <w:rsid w:val="000260AA"/>
    <w:rsid w:val="000260AE"/>
    <w:rsid w:val="00026125"/>
    <w:rsid w:val="00026160"/>
    <w:rsid w:val="00026168"/>
    <w:rsid w:val="000261C2"/>
    <w:rsid w:val="00026251"/>
    <w:rsid w:val="000262F7"/>
    <w:rsid w:val="000262FD"/>
    <w:rsid w:val="0002633F"/>
    <w:rsid w:val="00026385"/>
    <w:rsid w:val="000263BA"/>
    <w:rsid w:val="00026403"/>
    <w:rsid w:val="0002641F"/>
    <w:rsid w:val="00026458"/>
    <w:rsid w:val="000264BC"/>
    <w:rsid w:val="0002651F"/>
    <w:rsid w:val="0002654F"/>
    <w:rsid w:val="00026590"/>
    <w:rsid w:val="000265AD"/>
    <w:rsid w:val="000265CF"/>
    <w:rsid w:val="00026627"/>
    <w:rsid w:val="00026686"/>
    <w:rsid w:val="000266F4"/>
    <w:rsid w:val="00026773"/>
    <w:rsid w:val="000267BB"/>
    <w:rsid w:val="000267C2"/>
    <w:rsid w:val="000267D6"/>
    <w:rsid w:val="000267DC"/>
    <w:rsid w:val="000267E5"/>
    <w:rsid w:val="0002682F"/>
    <w:rsid w:val="00026848"/>
    <w:rsid w:val="00026876"/>
    <w:rsid w:val="0002687F"/>
    <w:rsid w:val="000268BA"/>
    <w:rsid w:val="000268D2"/>
    <w:rsid w:val="000268DD"/>
    <w:rsid w:val="0002698E"/>
    <w:rsid w:val="000269CA"/>
    <w:rsid w:val="00026A7E"/>
    <w:rsid w:val="00026A90"/>
    <w:rsid w:val="00026AB4"/>
    <w:rsid w:val="00026C46"/>
    <w:rsid w:val="00026C58"/>
    <w:rsid w:val="00026C8E"/>
    <w:rsid w:val="00026CB2"/>
    <w:rsid w:val="00026CE6"/>
    <w:rsid w:val="00026D4F"/>
    <w:rsid w:val="00026D51"/>
    <w:rsid w:val="00026D6E"/>
    <w:rsid w:val="00026DDB"/>
    <w:rsid w:val="00026DE2"/>
    <w:rsid w:val="00026DEB"/>
    <w:rsid w:val="00026E2B"/>
    <w:rsid w:val="00026F0F"/>
    <w:rsid w:val="00026F33"/>
    <w:rsid w:val="00026F85"/>
    <w:rsid w:val="00026F91"/>
    <w:rsid w:val="00026FC3"/>
    <w:rsid w:val="00026FE8"/>
    <w:rsid w:val="00026FFC"/>
    <w:rsid w:val="00027012"/>
    <w:rsid w:val="0002704A"/>
    <w:rsid w:val="00027054"/>
    <w:rsid w:val="00027070"/>
    <w:rsid w:val="000270A9"/>
    <w:rsid w:val="000270CE"/>
    <w:rsid w:val="0002717B"/>
    <w:rsid w:val="00027190"/>
    <w:rsid w:val="0002720F"/>
    <w:rsid w:val="000272A7"/>
    <w:rsid w:val="0002734D"/>
    <w:rsid w:val="0002736B"/>
    <w:rsid w:val="000273A5"/>
    <w:rsid w:val="000273C0"/>
    <w:rsid w:val="000273E9"/>
    <w:rsid w:val="00027400"/>
    <w:rsid w:val="00027412"/>
    <w:rsid w:val="0002745E"/>
    <w:rsid w:val="0002745F"/>
    <w:rsid w:val="00027461"/>
    <w:rsid w:val="0002747D"/>
    <w:rsid w:val="00027497"/>
    <w:rsid w:val="00027567"/>
    <w:rsid w:val="00027586"/>
    <w:rsid w:val="00027587"/>
    <w:rsid w:val="000275BC"/>
    <w:rsid w:val="00027601"/>
    <w:rsid w:val="00027611"/>
    <w:rsid w:val="00027622"/>
    <w:rsid w:val="00027642"/>
    <w:rsid w:val="0002766D"/>
    <w:rsid w:val="00027680"/>
    <w:rsid w:val="000276B9"/>
    <w:rsid w:val="0002772C"/>
    <w:rsid w:val="000277A5"/>
    <w:rsid w:val="000277AD"/>
    <w:rsid w:val="000277F0"/>
    <w:rsid w:val="0002783C"/>
    <w:rsid w:val="0002784B"/>
    <w:rsid w:val="000278B4"/>
    <w:rsid w:val="00027929"/>
    <w:rsid w:val="00027959"/>
    <w:rsid w:val="00027993"/>
    <w:rsid w:val="000279BB"/>
    <w:rsid w:val="000279C0"/>
    <w:rsid w:val="00027A5B"/>
    <w:rsid w:val="00027A5F"/>
    <w:rsid w:val="00027A75"/>
    <w:rsid w:val="00027AB8"/>
    <w:rsid w:val="00027ABE"/>
    <w:rsid w:val="00027B20"/>
    <w:rsid w:val="00027B3D"/>
    <w:rsid w:val="00027B4B"/>
    <w:rsid w:val="00027B9E"/>
    <w:rsid w:val="00027BA2"/>
    <w:rsid w:val="00027C43"/>
    <w:rsid w:val="00027C61"/>
    <w:rsid w:val="00027D23"/>
    <w:rsid w:val="00027D88"/>
    <w:rsid w:val="00027D90"/>
    <w:rsid w:val="00027DD0"/>
    <w:rsid w:val="00027E58"/>
    <w:rsid w:val="00027E6E"/>
    <w:rsid w:val="00027EFB"/>
    <w:rsid w:val="00027F0F"/>
    <w:rsid w:val="00027F16"/>
    <w:rsid w:val="00027F3F"/>
    <w:rsid w:val="00027F4D"/>
    <w:rsid w:val="00027FB8"/>
    <w:rsid w:val="0003001B"/>
    <w:rsid w:val="00030025"/>
    <w:rsid w:val="0003003A"/>
    <w:rsid w:val="00030044"/>
    <w:rsid w:val="00030046"/>
    <w:rsid w:val="00030065"/>
    <w:rsid w:val="000300AC"/>
    <w:rsid w:val="000300D7"/>
    <w:rsid w:val="0003014F"/>
    <w:rsid w:val="0003016B"/>
    <w:rsid w:val="00030197"/>
    <w:rsid w:val="000301B3"/>
    <w:rsid w:val="000301E8"/>
    <w:rsid w:val="000301E9"/>
    <w:rsid w:val="00030213"/>
    <w:rsid w:val="00030230"/>
    <w:rsid w:val="0003023C"/>
    <w:rsid w:val="000302F9"/>
    <w:rsid w:val="0003030E"/>
    <w:rsid w:val="0003034A"/>
    <w:rsid w:val="00030360"/>
    <w:rsid w:val="00030382"/>
    <w:rsid w:val="000303A0"/>
    <w:rsid w:val="000303CB"/>
    <w:rsid w:val="000303CE"/>
    <w:rsid w:val="00030447"/>
    <w:rsid w:val="00030448"/>
    <w:rsid w:val="00030492"/>
    <w:rsid w:val="000304AC"/>
    <w:rsid w:val="000304BB"/>
    <w:rsid w:val="00030511"/>
    <w:rsid w:val="00030525"/>
    <w:rsid w:val="00030537"/>
    <w:rsid w:val="00030595"/>
    <w:rsid w:val="0003061B"/>
    <w:rsid w:val="0003064D"/>
    <w:rsid w:val="000306A2"/>
    <w:rsid w:val="00030774"/>
    <w:rsid w:val="000307A2"/>
    <w:rsid w:val="000307BF"/>
    <w:rsid w:val="00030851"/>
    <w:rsid w:val="0003087A"/>
    <w:rsid w:val="0003089C"/>
    <w:rsid w:val="0003099E"/>
    <w:rsid w:val="000309F5"/>
    <w:rsid w:val="00030A6F"/>
    <w:rsid w:val="00030AA1"/>
    <w:rsid w:val="00030AFD"/>
    <w:rsid w:val="00030B10"/>
    <w:rsid w:val="00030B77"/>
    <w:rsid w:val="00030B9B"/>
    <w:rsid w:val="00030BB5"/>
    <w:rsid w:val="00030BFC"/>
    <w:rsid w:val="00030C2F"/>
    <w:rsid w:val="00030D06"/>
    <w:rsid w:val="00030D25"/>
    <w:rsid w:val="00030D48"/>
    <w:rsid w:val="00030D50"/>
    <w:rsid w:val="00030D52"/>
    <w:rsid w:val="00030D82"/>
    <w:rsid w:val="00030E36"/>
    <w:rsid w:val="00030E61"/>
    <w:rsid w:val="00030E84"/>
    <w:rsid w:val="00030E99"/>
    <w:rsid w:val="00030E9E"/>
    <w:rsid w:val="00030EF6"/>
    <w:rsid w:val="00030EF7"/>
    <w:rsid w:val="00030F23"/>
    <w:rsid w:val="00030F47"/>
    <w:rsid w:val="00030FB6"/>
    <w:rsid w:val="00030FC8"/>
    <w:rsid w:val="0003107D"/>
    <w:rsid w:val="00031083"/>
    <w:rsid w:val="00031148"/>
    <w:rsid w:val="0003118D"/>
    <w:rsid w:val="000311CC"/>
    <w:rsid w:val="0003122B"/>
    <w:rsid w:val="0003124B"/>
    <w:rsid w:val="000312D9"/>
    <w:rsid w:val="000313B8"/>
    <w:rsid w:val="000313E5"/>
    <w:rsid w:val="000313F8"/>
    <w:rsid w:val="00031410"/>
    <w:rsid w:val="00031447"/>
    <w:rsid w:val="00031453"/>
    <w:rsid w:val="000314C0"/>
    <w:rsid w:val="000314DD"/>
    <w:rsid w:val="000314DF"/>
    <w:rsid w:val="00031594"/>
    <w:rsid w:val="000315B8"/>
    <w:rsid w:val="0003160E"/>
    <w:rsid w:val="0003165B"/>
    <w:rsid w:val="00031674"/>
    <w:rsid w:val="000316E7"/>
    <w:rsid w:val="00031731"/>
    <w:rsid w:val="00031738"/>
    <w:rsid w:val="00031898"/>
    <w:rsid w:val="000318A7"/>
    <w:rsid w:val="000318DD"/>
    <w:rsid w:val="00031909"/>
    <w:rsid w:val="00031919"/>
    <w:rsid w:val="0003197F"/>
    <w:rsid w:val="000319C1"/>
    <w:rsid w:val="00031A56"/>
    <w:rsid w:val="00031AB6"/>
    <w:rsid w:val="00031B3E"/>
    <w:rsid w:val="00031B6E"/>
    <w:rsid w:val="00031B79"/>
    <w:rsid w:val="00031BAE"/>
    <w:rsid w:val="00031BD1"/>
    <w:rsid w:val="00031BD6"/>
    <w:rsid w:val="00031BD9"/>
    <w:rsid w:val="00031C00"/>
    <w:rsid w:val="00031CD6"/>
    <w:rsid w:val="00031CE3"/>
    <w:rsid w:val="00031D22"/>
    <w:rsid w:val="00031DA7"/>
    <w:rsid w:val="00031DBC"/>
    <w:rsid w:val="00031E03"/>
    <w:rsid w:val="00031E08"/>
    <w:rsid w:val="00031E7B"/>
    <w:rsid w:val="00032015"/>
    <w:rsid w:val="00032062"/>
    <w:rsid w:val="00032071"/>
    <w:rsid w:val="0003207F"/>
    <w:rsid w:val="000320A5"/>
    <w:rsid w:val="000320C3"/>
    <w:rsid w:val="00032118"/>
    <w:rsid w:val="00032198"/>
    <w:rsid w:val="000321A0"/>
    <w:rsid w:val="000321EF"/>
    <w:rsid w:val="00032250"/>
    <w:rsid w:val="00032318"/>
    <w:rsid w:val="00032414"/>
    <w:rsid w:val="00032470"/>
    <w:rsid w:val="000324A7"/>
    <w:rsid w:val="000324E2"/>
    <w:rsid w:val="000324E9"/>
    <w:rsid w:val="00032503"/>
    <w:rsid w:val="00032509"/>
    <w:rsid w:val="0003250F"/>
    <w:rsid w:val="0003251E"/>
    <w:rsid w:val="00032550"/>
    <w:rsid w:val="000325BD"/>
    <w:rsid w:val="000325E0"/>
    <w:rsid w:val="000325EE"/>
    <w:rsid w:val="0003262B"/>
    <w:rsid w:val="0003265B"/>
    <w:rsid w:val="00032665"/>
    <w:rsid w:val="00032678"/>
    <w:rsid w:val="000326A6"/>
    <w:rsid w:val="0003274F"/>
    <w:rsid w:val="00032768"/>
    <w:rsid w:val="00032798"/>
    <w:rsid w:val="000327FC"/>
    <w:rsid w:val="00032836"/>
    <w:rsid w:val="0003285B"/>
    <w:rsid w:val="00032886"/>
    <w:rsid w:val="0003289C"/>
    <w:rsid w:val="000328CC"/>
    <w:rsid w:val="00032952"/>
    <w:rsid w:val="00032A16"/>
    <w:rsid w:val="00032A8F"/>
    <w:rsid w:val="00032AD1"/>
    <w:rsid w:val="00032AF6"/>
    <w:rsid w:val="00032B12"/>
    <w:rsid w:val="00032B23"/>
    <w:rsid w:val="00032B4B"/>
    <w:rsid w:val="00032B6B"/>
    <w:rsid w:val="00032B77"/>
    <w:rsid w:val="00032C0C"/>
    <w:rsid w:val="00032C39"/>
    <w:rsid w:val="00032C70"/>
    <w:rsid w:val="00032C80"/>
    <w:rsid w:val="00032CEF"/>
    <w:rsid w:val="00032CF1"/>
    <w:rsid w:val="00032D16"/>
    <w:rsid w:val="00032D84"/>
    <w:rsid w:val="00032DA9"/>
    <w:rsid w:val="00032DB9"/>
    <w:rsid w:val="00032DFA"/>
    <w:rsid w:val="00032E30"/>
    <w:rsid w:val="00032E45"/>
    <w:rsid w:val="00032E50"/>
    <w:rsid w:val="00032EAF"/>
    <w:rsid w:val="00032F3D"/>
    <w:rsid w:val="00032F97"/>
    <w:rsid w:val="00032FC2"/>
    <w:rsid w:val="00032FE2"/>
    <w:rsid w:val="00032FEE"/>
    <w:rsid w:val="00033049"/>
    <w:rsid w:val="00033051"/>
    <w:rsid w:val="0003315D"/>
    <w:rsid w:val="0003318A"/>
    <w:rsid w:val="000331A9"/>
    <w:rsid w:val="000331CF"/>
    <w:rsid w:val="000331E0"/>
    <w:rsid w:val="0003323B"/>
    <w:rsid w:val="00033249"/>
    <w:rsid w:val="00033268"/>
    <w:rsid w:val="0003329C"/>
    <w:rsid w:val="000332B7"/>
    <w:rsid w:val="000332F1"/>
    <w:rsid w:val="00033339"/>
    <w:rsid w:val="0003335C"/>
    <w:rsid w:val="000333A3"/>
    <w:rsid w:val="000333AC"/>
    <w:rsid w:val="00033410"/>
    <w:rsid w:val="00033515"/>
    <w:rsid w:val="000335D8"/>
    <w:rsid w:val="000335E9"/>
    <w:rsid w:val="00033649"/>
    <w:rsid w:val="00033650"/>
    <w:rsid w:val="00033660"/>
    <w:rsid w:val="000336EC"/>
    <w:rsid w:val="00033701"/>
    <w:rsid w:val="0003370E"/>
    <w:rsid w:val="0003372D"/>
    <w:rsid w:val="00033750"/>
    <w:rsid w:val="0003375A"/>
    <w:rsid w:val="0003376D"/>
    <w:rsid w:val="0003377A"/>
    <w:rsid w:val="000337B5"/>
    <w:rsid w:val="0003384B"/>
    <w:rsid w:val="00033869"/>
    <w:rsid w:val="0003388E"/>
    <w:rsid w:val="000338B3"/>
    <w:rsid w:val="0003390F"/>
    <w:rsid w:val="00033977"/>
    <w:rsid w:val="000339E5"/>
    <w:rsid w:val="00033A08"/>
    <w:rsid w:val="00033AF8"/>
    <w:rsid w:val="00033B09"/>
    <w:rsid w:val="00033B68"/>
    <w:rsid w:val="00033BD9"/>
    <w:rsid w:val="00033BF2"/>
    <w:rsid w:val="00033C18"/>
    <w:rsid w:val="00033C48"/>
    <w:rsid w:val="00033C54"/>
    <w:rsid w:val="00033CC1"/>
    <w:rsid w:val="00033D01"/>
    <w:rsid w:val="00033DA1"/>
    <w:rsid w:val="00033DB2"/>
    <w:rsid w:val="00033E27"/>
    <w:rsid w:val="00033E56"/>
    <w:rsid w:val="00033E5B"/>
    <w:rsid w:val="00033E7C"/>
    <w:rsid w:val="00033F35"/>
    <w:rsid w:val="00033F81"/>
    <w:rsid w:val="00034011"/>
    <w:rsid w:val="0003401C"/>
    <w:rsid w:val="0003406A"/>
    <w:rsid w:val="0003407C"/>
    <w:rsid w:val="000340A0"/>
    <w:rsid w:val="000340D7"/>
    <w:rsid w:val="00034116"/>
    <w:rsid w:val="00034126"/>
    <w:rsid w:val="0003419D"/>
    <w:rsid w:val="000341AD"/>
    <w:rsid w:val="0003424B"/>
    <w:rsid w:val="0003429A"/>
    <w:rsid w:val="0003437B"/>
    <w:rsid w:val="00034382"/>
    <w:rsid w:val="00034416"/>
    <w:rsid w:val="0003448E"/>
    <w:rsid w:val="000344A4"/>
    <w:rsid w:val="000344B6"/>
    <w:rsid w:val="000344C7"/>
    <w:rsid w:val="0003450F"/>
    <w:rsid w:val="0003452B"/>
    <w:rsid w:val="0003452D"/>
    <w:rsid w:val="0003459A"/>
    <w:rsid w:val="000345A5"/>
    <w:rsid w:val="00034679"/>
    <w:rsid w:val="000346D4"/>
    <w:rsid w:val="0003477E"/>
    <w:rsid w:val="00034824"/>
    <w:rsid w:val="00034833"/>
    <w:rsid w:val="00034903"/>
    <w:rsid w:val="00034905"/>
    <w:rsid w:val="000349D1"/>
    <w:rsid w:val="000349DE"/>
    <w:rsid w:val="00034A0F"/>
    <w:rsid w:val="00034A43"/>
    <w:rsid w:val="00034A52"/>
    <w:rsid w:val="00034AC8"/>
    <w:rsid w:val="00034B53"/>
    <w:rsid w:val="00034B55"/>
    <w:rsid w:val="00034BAD"/>
    <w:rsid w:val="00034BC1"/>
    <w:rsid w:val="00034BCC"/>
    <w:rsid w:val="00034BEB"/>
    <w:rsid w:val="00034BF2"/>
    <w:rsid w:val="00034C08"/>
    <w:rsid w:val="00034C0D"/>
    <w:rsid w:val="00034C21"/>
    <w:rsid w:val="00034C9C"/>
    <w:rsid w:val="00034CC7"/>
    <w:rsid w:val="00034D87"/>
    <w:rsid w:val="00034DC1"/>
    <w:rsid w:val="00034DC5"/>
    <w:rsid w:val="00034EC1"/>
    <w:rsid w:val="00034ED0"/>
    <w:rsid w:val="00034F0E"/>
    <w:rsid w:val="00034FA7"/>
    <w:rsid w:val="00035088"/>
    <w:rsid w:val="000350B3"/>
    <w:rsid w:val="000350E6"/>
    <w:rsid w:val="000350FF"/>
    <w:rsid w:val="00035104"/>
    <w:rsid w:val="00035112"/>
    <w:rsid w:val="00035159"/>
    <w:rsid w:val="000352D7"/>
    <w:rsid w:val="0003533C"/>
    <w:rsid w:val="000353B1"/>
    <w:rsid w:val="000353B6"/>
    <w:rsid w:val="000353D3"/>
    <w:rsid w:val="000353DC"/>
    <w:rsid w:val="00035469"/>
    <w:rsid w:val="0003546B"/>
    <w:rsid w:val="000354D1"/>
    <w:rsid w:val="000354E7"/>
    <w:rsid w:val="000354F2"/>
    <w:rsid w:val="0003556A"/>
    <w:rsid w:val="0003558B"/>
    <w:rsid w:val="0003558E"/>
    <w:rsid w:val="000355C2"/>
    <w:rsid w:val="000355CE"/>
    <w:rsid w:val="0003566D"/>
    <w:rsid w:val="0003566E"/>
    <w:rsid w:val="000356EC"/>
    <w:rsid w:val="000356ED"/>
    <w:rsid w:val="00035748"/>
    <w:rsid w:val="00035762"/>
    <w:rsid w:val="0003578B"/>
    <w:rsid w:val="00035797"/>
    <w:rsid w:val="00035798"/>
    <w:rsid w:val="0003579C"/>
    <w:rsid w:val="0003579E"/>
    <w:rsid w:val="000357C9"/>
    <w:rsid w:val="000357CC"/>
    <w:rsid w:val="000357DE"/>
    <w:rsid w:val="00035816"/>
    <w:rsid w:val="000358AA"/>
    <w:rsid w:val="000358B3"/>
    <w:rsid w:val="000358C6"/>
    <w:rsid w:val="00035957"/>
    <w:rsid w:val="000359F4"/>
    <w:rsid w:val="00035A5C"/>
    <w:rsid w:val="00035B3E"/>
    <w:rsid w:val="00035B40"/>
    <w:rsid w:val="00035B79"/>
    <w:rsid w:val="00035BBA"/>
    <w:rsid w:val="00035BC6"/>
    <w:rsid w:val="00035C10"/>
    <w:rsid w:val="00035C7C"/>
    <w:rsid w:val="00035CE5"/>
    <w:rsid w:val="00035CF6"/>
    <w:rsid w:val="00035D2B"/>
    <w:rsid w:val="00035E46"/>
    <w:rsid w:val="00035F02"/>
    <w:rsid w:val="00035F51"/>
    <w:rsid w:val="00035F7B"/>
    <w:rsid w:val="00035F95"/>
    <w:rsid w:val="00035FAA"/>
    <w:rsid w:val="00035FD7"/>
    <w:rsid w:val="00036054"/>
    <w:rsid w:val="000360DC"/>
    <w:rsid w:val="000360E2"/>
    <w:rsid w:val="000360F1"/>
    <w:rsid w:val="00036131"/>
    <w:rsid w:val="00036195"/>
    <w:rsid w:val="000361A6"/>
    <w:rsid w:val="0003620E"/>
    <w:rsid w:val="00036220"/>
    <w:rsid w:val="0003623C"/>
    <w:rsid w:val="0003625F"/>
    <w:rsid w:val="00036281"/>
    <w:rsid w:val="000362A6"/>
    <w:rsid w:val="000363FB"/>
    <w:rsid w:val="0003644B"/>
    <w:rsid w:val="0003644E"/>
    <w:rsid w:val="0003651A"/>
    <w:rsid w:val="0003653D"/>
    <w:rsid w:val="0003656D"/>
    <w:rsid w:val="000365C8"/>
    <w:rsid w:val="00036632"/>
    <w:rsid w:val="0003663A"/>
    <w:rsid w:val="0003665A"/>
    <w:rsid w:val="00036685"/>
    <w:rsid w:val="000366D5"/>
    <w:rsid w:val="00036713"/>
    <w:rsid w:val="00036725"/>
    <w:rsid w:val="00036747"/>
    <w:rsid w:val="000367A6"/>
    <w:rsid w:val="00036817"/>
    <w:rsid w:val="0003682D"/>
    <w:rsid w:val="00036836"/>
    <w:rsid w:val="0003688B"/>
    <w:rsid w:val="000368CC"/>
    <w:rsid w:val="000368CF"/>
    <w:rsid w:val="000368F2"/>
    <w:rsid w:val="0003692B"/>
    <w:rsid w:val="00036963"/>
    <w:rsid w:val="0003696E"/>
    <w:rsid w:val="00036987"/>
    <w:rsid w:val="00036AA9"/>
    <w:rsid w:val="00036AAC"/>
    <w:rsid w:val="00036AD8"/>
    <w:rsid w:val="00036B80"/>
    <w:rsid w:val="00036BE0"/>
    <w:rsid w:val="00036C1F"/>
    <w:rsid w:val="00036C2F"/>
    <w:rsid w:val="00036C4E"/>
    <w:rsid w:val="00036CBE"/>
    <w:rsid w:val="00036D2A"/>
    <w:rsid w:val="00036D33"/>
    <w:rsid w:val="00036D4C"/>
    <w:rsid w:val="00036DD7"/>
    <w:rsid w:val="00036E0B"/>
    <w:rsid w:val="00036E27"/>
    <w:rsid w:val="00036E6F"/>
    <w:rsid w:val="00036EF2"/>
    <w:rsid w:val="000370A4"/>
    <w:rsid w:val="000370D0"/>
    <w:rsid w:val="000370D4"/>
    <w:rsid w:val="000370DF"/>
    <w:rsid w:val="0003713F"/>
    <w:rsid w:val="0003716A"/>
    <w:rsid w:val="00037193"/>
    <w:rsid w:val="000371A1"/>
    <w:rsid w:val="0003727A"/>
    <w:rsid w:val="00037293"/>
    <w:rsid w:val="000372B8"/>
    <w:rsid w:val="000372E1"/>
    <w:rsid w:val="00037308"/>
    <w:rsid w:val="00037312"/>
    <w:rsid w:val="0003733A"/>
    <w:rsid w:val="00037367"/>
    <w:rsid w:val="000373A3"/>
    <w:rsid w:val="000373C3"/>
    <w:rsid w:val="000373F9"/>
    <w:rsid w:val="00037427"/>
    <w:rsid w:val="0003743F"/>
    <w:rsid w:val="00037460"/>
    <w:rsid w:val="00037468"/>
    <w:rsid w:val="00037471"/>
    <w:rsid w:val="0003749E"/>
    <w:rsid w:val="000374D9"/>
    <w:rsid w:val="0003754B"/>
    <w:rsid w:val="0003754F"/>
    <w:rsid w:val="00037588"/>
    <w:rsid w:val="0003759D"/>
    <w:rsid w:val="000375B6"/>
    <w:rsid w:val="000375B9"/>
    <w:rsid w:val="000375F7"/>
    <w:rsid w:val="00037624"/>
    <w:rsid w:val="000376AD"/>
    <w:rsid w:val="0003771D"/>
    <w:rsid w:val="00037731"/>
    <w:rsid w:val="00037894"/>
    <w:rsid w:val="000378EB"/>
    <w:rsid w:val="000378FE"/>
    <w:rsid w:val="0003795F"/>
    <w:rsid w:val="000379CA"/>
    <w:rsid w:val="000379D4"/>
    <w:rsid w:val="00037A5D"/>
    <w:rsid w:val="00037AA2"/>
    <w:rsid w:val="00037B23"/>
    <w:rsid w:val="00037B4D"/>
    <w:rsid w:val="00037B54"/>
    <w:rsid w:val="00037BA1"/>
    <w:rsid w:val="00037BD1"/>
    <w:rsid w:val="00037C5A"/>
    <w:rsid w:val="00037D1E"/>
    <w:rsid w:val="00037DB2"/>
    <w:rsid w:val="00037E65"/>
    <w:rsid w:val="00037E8B"/>
    <w:rsid w:val="00037EA3"/>
    <w:rsid w:val="00037EB2"/>
    <w:rsid w:val="00037F08"/>
    <w:rsid w:val="00037F22"/>
    <w:rsid w:val="00037F24"/>
    <w:rsid w:val="00037F8F"/>
    <w:rsid w:val="00037FEB"/>
    <w:rsid w:val="00037FF3"/>
    <w:rsid w:val="00040015"/>
    <w:rsid w:val="00040018"/>
    <w:rsid w:val="0004001B"/>
    <w:rsid w:val="0004003B"/>
    <w:rsid w:val="00040051"/>
    <w:rsid w:val="00040056"/>
    <w:rsid w:val="0004010A"/>
    <w:rsid w:val="0004013C"/>
    <w:rsid w:val="000401FA"/>
    <w:rsid w:val="00040208"/>
    <w:rsid w:val="00040250"/>
    <w:rsid w:val="00040260"/>
    <w:rsid w:val="0004026A"/>
    <w:rsid w:val="00040310"/>
    <w:rsid w:val="00040373"/>
    <w:rsid w:val="000403CE"/>
    <w:rsid w:val="00040411"/>
    <w:rsid w:val="00040507"/>
    <w:rsid w:val="0004050E"/>
    <w:rsid w:val="00040535"/>
    <w:rsid w:val="00040537"/>
    <w:rsid w:val="00040545"/>
    <w:rsid w:val="00040585"/>
    <w:rsid w:val="00040607"/>
    <w:rsid w:val="00040629"/>
    <w:rsid w:val="00040659"/>
    <w:rsid w:val="0004069A"/>
    <w:rsid w:val="000406A0"/>
    <w:rsid w:val="0004070E"/>
    <w:rsid w:val="00040726"/>
    <w:rsid w:val="0004075C"/>
    <w:rsid w:val="0004076F"/>
    <w:rsid w:val="00040789"/>
    <w:rsid w:val="000407AA"/>
    <w:rsid w:val="000407D5"/>
    <w:rsid w:val="0004084D"/>
    <w:rsid w:val="00040851"/>
    <w:rsid w:val="00040881"/>
    <w:rsid w:val="0004088D"/>
    <w:rsid w:val="000408E1"/>
    <w:rsid w:val="00040924"/>
    <w:rsid w:val="0004092E"/>
    <w:rsid w:val="00040952"/>
    <w:rsid w:val="0004097E"/>
    <w:rsid w:val="000409BE"/>
    <w:rsid w:val="000409FB"/>
    <w:rsid w:val="00040A09"/>
    <w:rsid w:val="00040A60"/>
    <w:rsid w:val="00040A99"/>
    <w:rsid w:val="00040BEF"/>
    <w:rsid w:val="00040C13"/>
    <w:rsid w:val="00040C3A"/>
    <w:rsid w:val="00040C3E"/>
    <w:rsid w:val="00040C45"/>
    <w:rsid w:val="00040C77"/>
    <w:rsid w:val="00040CEE"/>
    <w:rsid w:val="00040DA2"/>
    <w:rsid w:val="00040DC3"/>
    <w:rsid w:val="00040E02"/>
    <w:rsid w:val="00040E61"/>
    <w:rsid w:val="00040E6E"/>
    <w:rsid w:val="00040F1D"/>
    <w:rsid w:val="00040F4A"/>
    <w:rsid w:val="00040F55"/>
    <w:rsid w:val="00040F97"/>
    <w:rsid w:val="0004105F"/>
    <w:rsid w:val="00041076"/>
    <w:rsid w:val="00041090"/>
    <w:rsid w:val="0004109D"/>
    <w:rsid w:val="000410A3"/>
    <w:rsid w:val="000410ED"/>
    <w:rsid w:val="00041100"/>
    <w:rsid w:val="0004110F"/>
    <w:rsid w:val="00041127"/>
    <w:rsid w:val="000411EE"/>
    <w:rsid w:val="00041256"/>
    <w:rsid w:val="000412B3"/>
    <w:rsid w:val="000412BE"/>
    <w:rsid w:val="00041325"/>
    <w:rsid w:val="000413AE"/>
    <w:rsid w:val="000413C6"/>
    <w:rsid w:val="00041419"/>
    <w:rsid w:val="00041446"/>
    <w:rsid w:val="00041452"/>
    <w:rsid w:val="000414E7"/>
    <w:rsid w:val="000415C7"/>
    <w:rsid w:val="000415CE"/>
    <w:rsid w:val="000415E0"/>
    <w:rsid w:val="00041627"/>
    <w:rsid w:val="00041645"/>
    <w:rsid w:val="0004165E"/>
    <w:rsid w:val="0004166E"/>
    <w:rsid w:val="0004167B"/>
    <w:rsid w:val="00041758"/>
    <w:rsid w:val="000417ED"/>
    <w:rsid w:val="0004182F"/>
    <w:rsid w:val="000418E6"/>
    <w:rsid w:val="000419A0"/>
    <w:rsid w:val="000419B4"/>
    <w:rsid w:val="000419BF"/>
    <w:rsid w:val="000419C3"/>
    <w:rsid w:val="00041A5A"/>
    <w:rsid w:val="00041A6B"/>
    <w:rsid w:val="00041A92"/>
    <w:rsid w:val="00041AA4"/>
    <w:rsid w:val="00041B1D"/>
    <w:rsid w:val="00041B69"/>
    <w:rsid w:val="00041B92"/>
    <w:rsid w:val="00041B94"/>
    <w:rsid w:val="00041BA4"/>
    <w:rsid w:val="00041BA9"/>
    <w:rsid w:val="00041BFA"/>
    <w:rsid w:val="00041CB4"/>
    <w:rsid w:val="00041D02"/>
    <w:rsid w:val="00041D17"/>
    <w:rsid w:val="00041D98"/>
    <w:rsid w:val="00041DD2"/>
    <w:rsid w:val="00041E25"/>
    <w:rsid w:val="00041E30"/>
    <w:rsid w:val="00041EC6"/>
    <w:rsid w:val="00041F81"/>
    <w:rsid w:val="00041FA5"/>
    <w:rsid w:val="00042082"/>
    <w:rsid w:val="00042097"/>
    <w:rsid w:val="000420AC"/>
    <w:rsid w:val="000420BA"/>
    <w:rsid w:val="00042115"/>
    <w:rsid w:val="00042130"/>
    <w:rsid w:val="0004218D"/>
    <w:rsid w:val="00042214"/>
    <w:rsid w:val="00042256"/>
    <w:rsid w:val="000422BF"/>
    <w:rsid w:val="00042392"/>
    <w:rsid w:val="000423C8"/>
    <w:rsid w:val="00042434"/>
    <w:rsid w:val="00042435"/>
    <w:rsid w:val="000424A0"/>
    <w:rsid w:val="000424A3"/>
    <w:rsid w:val="00042517"/>
    <w:rsid w:val="0004255B"/>
    <w:rsid w:val="000425AF"/>
    <w:rsid w:val="000425CB"/>
    <w:rsid w:val="0004261B"/>
    <w:rsid w:val="0004266F"/>
    <w:rsid w:val="0004268B"/>
    <w:rsid w:val="00042692"/>
    <w:rsid w:val="000426BD"/>
    <w:rsid w:val="000426D5"/>
    <w:rsid w:val="00042720"/>
    <w:rsid w:val="00042782"/>
    <w:rsid w:val="0004278A"/>
    <w:rsid w:val="000427B7"/>
    <w:rsid w:val="000427DB"/>
    <w:rsid w:val="00042819"/>
    <w:rsid w:val="0004283B"/>
    <w:rsid w:val="00042851"/>
    <w:rsid w:val="0004286A"/>
    <w:rsid w:val="0004291B"/>
    <w:rsid w:val="0004297B"/>
    <w:rsid w:val="000429A6"/>
    <w:rsid w:val="000429AC"/>
    <w:rsid w:val="000429C6"/>
    <w:rsid w:val="000429F5"/>
    <w:rsid w:val="00042A36"/>
    <w:rsid w:val="00042A73"/>
    <w:rsid w:val="00042AAA"/>
    <w:rsid w:val="00042AB3"/>
    <w:rsid w:val="00042AE8"/>
    <w:rsid w:val="00042BE6"/>
    <w:rsid w:val="00042C5F"/>
    <w:rsid w:val="00042CCC"/>
    <w:rsid w:val="00042D14"/>
    <w:rsid w:val="00042D88"/>
    <w:rsid w:val="00042DB9"/>
    <w:rsid w:val="00042DBE"/>
    <w:rsid w:val="00042DFB"/>
    <w:rsid w:val="00042EA1"/>
    <w:rsid w:val="00042F04"/>
    <w:rsid w:val="00042F0E"/>
    <w:rsid w:val="00042F13"/>
    <w:rsid w:val="00042F35"/>
    <w:rsid w:val="00042F4D"/>
    <w:rsid w:val="00042F5B"/>
    <w:rsid w:val="00042F9B"/>
    <w:rsid w:val="00042FF2"/>
    <w:rsid w:val="0004301D"/>
    <w:rsid w:val="00043084"/>
    <w:rsid w:val="000430D6"/>
    <w:rsid w:val="000430D7"/>
    <w:rsid w:val="000430F5"/>
    <w:rsid w:val="00043127"/>
    <w:rsid w:val="00043136"/>
    <w:rsid w:val="000431E2"/>
    <w:rsid w:val="000431E3"/>
    <w:rsid w:val="000431EC"/>
    <w:rsid w:val="00043216"/>
    <w:rsid w:val="00043241"/>
    <w:rsid w:val="00043273"/>
    <w:rsid w:val="00043279"/>
    <w:rsid w:val="0004328D"/>
    <w:rsid w:val="000432C5"/>
    <w:rsid w:val="0004331D"/>
    <w:rsid w:val="00043332"/>
    <w:rsid w:val="0004348B"/>
    <w:rsid w:val="00043506"/>
    <w:rsid w:val="0004350A"/>
    <w:rsid w:val="0004350C"/>
    <w:rsid w:val="00043564"/>
    <w:rsid w:val="00043570"/>
    <w:rsid w:val="00043591"/>
    <w:rsid w:val="000435C2"/>
    <w:rsid w:val="000435C8"/>
    <w:rsid w:val="0004361E"/>
    <w:rsid w:val="000436EB"/>
    <w:rsid w:val="000436F7"/>
    <w:rsid w:val="0004372D"/>
    <w:rsid w:val="00043747"/>
    <w:rsid w:val="00043773"/>
    <w:rsid w:val="00043793"/>
    <w:rsid w:val="000437A0"/>
    <w:rsid w:val="000437BE"/>
    <w:rsid w:val="000437CE"/>
    <w:rsid w:val="000437D3"/>
    <w:rsid w:val="000437EB"/>
    <w:rsid w:val="000437FE"/>
    <w:rsid w:val="00043848"/>
    <w:rsid w:val="00043873"/>
    <w:rsid w:val="00043881"/>
    <w:rsid w:val="00043916"/>
    <w:rsid w:val="00043966"/>
    <w:rsid w:val="000439B7"/>
    <w:rsid w:val="00043A0F"/>
    <w:rsid w:val="00043A3E"/>
    <w:rsid w:val="00043A54"/>
    <w:rsid w:val="00043A8E"/>
    <w:rsid w:val="00043AA0"/>
    <w:rsid w:val="00043ABD"/>
    <w:rsid w:val="00043B4F"/>
    <w:rsid w:val="00043B83"/>
    <w:rsid w:val="00043BD8"/>
    <w:rsid w:val="00043C14"/>
    <w:rsid w:val="00043C48"/>
    <w:rsid w:val="00043C67"/>
    <w:rsid w:val="00043C7A"/>
    <w:rsid w:val="00043D1A"/>
    <w:rsid w:val="00043D24"/>
    <w:rsid w:val="00043D26"/>
    <w:rsid w:val="00043D62"/>
    <w:rsid w:val="00043DA8"/>
    <w:rsid w:val="00043DD9"/>
    <w:rsid w:val="00043E0E"/>
    <w:rsid w:val="00043E51"/>
    <w:rsid w:val="00043EDA"/>
    <w:rsid w:val="00043EE9"/>
    <w:rsid w:val="00043F21"/>
    <w:rsid w:val="00043F9F"/>
    <w:rsid w:val="00043FA2"/>
    <w:rsid w:val="00043FA4"/>
    <w:rsid w:val="00044036"/>
    <w:rsid w:val="000440E3"/>
    <w:rsid w:val="000440E9"/>
    <w:rsid w:val="00044114"/>
    <w:rsid w:val="0004414C"/>
    <w:rsid w:val="0004415C"/>
    <w:rsid w:val="00044160"/>
    <w:rsid w:val="0004416F"/>
    <w:rsid w:val="000441A4"/>
    <w:rsid w:val="00044260"/>
    <w:rsid w:val="0004428C"/>
    <w:rsid w:val="000442B9"/>
    <w:rsid w:val="000442FD"/>
    <w:rsid w:val="00044343"/>
    <w:rsid w:val="0004436D"/>
    <w:rsid w:val="000443CB"/>
    <w:rsid w:val="0004447F"/>
    <w:rsid w:val="00044485"/>
    <w:rsid w:val="000444C0"/>
    <w:rsid w:val="00044588"/>
    <w:rsid w:val="00044589"/>
    <w:rsid w:val="00044595"/>
    <w:rsid w:val="0004459D"/>
    <w:rsid w:val="000445F3"/>
    <w:rsid w:val="00044653"/>
    <w:rsid w:val="00044698"/>
    <w:rsid w:val="000446C4"/>
    <w:rsid w:val="000447AC"/>
    <w:rsid w:val="000447AF"/>
    <w:rsid w:val="000447C1"/>
    <w:rsid w:val="000447C6"/>
    <w:rsid w:val="000447D4"/>
    <w:rsid w:val="000447FE"/>
    <w:rsid w:val="00044823"/>
    <w:rsid w:val="00044870"/>
    <w:rsid w:val="000448A0"/>
    <w:rsid w:val="00044966"/>
    <w:rsid w:val="00044984"/>
    <w:rsid w:val="000449B7"/>
    <w:rsid w:val="00044A07"/>
    <w:rsid w:val="00044A24"/>
    <w:rsid w:val="00044A4E"/>
    <w:rsid w:val="00044A7F"/>
    <w:rsid w:val="00044ADE"/>
    <w:rsid w:val="00044B32"/>
    <w:rsid w:val="00044BF3"/>
    <w:rsid w:val="00044C18"/>
    <w:rsid w:val="00044C66"/>
    <w:rsid w:val="00044CB6"/>
    <w:rsid w:val="00044CD9"/>
    <w:rsid w:val="00044CEF"/>
    <w:rsid w:val="00044D3F"/>
    <w:rsid w:val="00044D44"/>
    <w:rsid w:val="00044D5F"/>
    <w:rsid w:val="00044D84"/>
    <w:rsid w:val="00044D9F"/>
    <w:rsid w:val="00044DE4"/>
    <w:rsid w:val="00044E0A"/>
    <w:rsid w:val="00044E17"/>
    <w:rsid w:val="00044E33"/>
    <w:rsid w:val="00044E8C"/>
    <w:rsid w:val="00044F27"/>
    <w:rsid w:val="00044FE1"/>
    <w:rsid w:val="0004504B"/>
    <w:rsid w:val="00045054"/>
    <w:rsid w:val="00045064"/>
    <w:rsid w:val="00045089"/>
    <w:rsid w:val="00045090"/>
    <w:rsid w:val="00045135"/>
    <w:rsid w:val="0004516B"/>
    <w:rsid w:val="00045179"/>
    <w:rsid w:val="00045198"/>
    <w:rsid w:val="000451BF"/>
    <w:rsid w:val="000451C8"/>
    <w:rsid w:val="000452D6"/>
    <w:rsid w:val="000452EA"/>
    <w:rsid w:val="00045304"/>
    <w:rsid w:val="00045375"/>
    <w:rsid w:val="00045447"/>
    <w:rsid w:val="0004545E"/>
    <w:rsid w:val="0004545F"/>
    <w:rsid w:val="00045461"/>
    <w:rsid w:val="00045467"/>
    <w:rsid w:val="0004546E"/>
    <w:rsid w:val="000454CF"/>
    <w:rsid w:val="0004550F"/>
    <w:rsid w:val="00045618"/>
    <w:rsid w:val="00045625"/>
    <w:rsid w:val="00045653"/>
    <w:rsid w:val="000456E0"/>
    <w:rsid w:val="00045813"/>
    <w:rsid w:val="00045849"/>
    <w:rsid w:val="00045872"/>
    <w:rsid w:val="000458A1"/>
    <w:rsid w:val="000458E8"/>
    <w:rsid w:val="00045A06"/>
    <w:rsid w:val="00045AA5"/>
    <w:rsid w:val="00045AEC"/>
    <w:rsid w:val="00045B6D"/>
    <w:rsid w:val="00045B76"/>
    <w:rsid w:val="00045B9B"/>
    <w:rsid w:val="00045BAF"/>
    <w:rsid w:val="00045BCF"/>
    <w:rsid w:val="00045BE7"/>
    <w:rsid w:val="00045BF2"/>
    <w:rsid w:val="00045BF7"/>
    <w:rsid w:val="00045C4B"/>
    <w:rsid w:val="00045C59"/>
    <w:rsid w:val="00045C5A"/>
    <w:rsid w:val="00045C87"/>
    <w:rsid w:val="00045CD4"/>
    <w:rsid w:val="00045DD7"/>
    <w:rsid w:val="00045E14"/>
    <w:rsid w:val="00045E92"/>
    <w:rsid w:val="00045ED5"/>
    <w:rsid w:val="00045EE7"/>
    <w:rsid w:val="00045F13"/>
    <w:rsid w:val="00045F5C"/>
    <w:rsid w:val="00045FCF"/>
    <w:rsid w:val="00046033"/>
    <w:rsid w:val="0004606A"/>
    <w:rsid w:val="000460D1"/>
    <w:rsid w:val="00046136"/>
    <w:rsid w:val="00046170"/>
    <w:rsid w:val="00046174"/>
    <w:rsid w:val="0004619F"/>
    <w:rsid w:val="000461F7"/>
    <w:rsid w:val="00046200"/>
    <w:rsid w:val="00046216"/>
    <w:rsid w:val="00046247"/>
    <w:rsid w:val="00046271"/>
    <w:rsid w:val="00046272"/>
    <w:rsid w:val="0004627B"/>
    <w:rsid w:val="00046283"/>
    <w:rsid w:val="00046315"/>
    <w:rsid w:val="0004635F"/>
    <w:rsid w:val="000463E2"/>
    <w:rsid w:val="000463E8"/>
    <w:rsid w:val="00046413"/>
    <w:rsid w:val="0004642E"/>
    <w:rsid w:val="000464D7"/>
    <w:rsid w:val="000464E5"/>
    <w:rsid w:val="00046509"/>
    <w:rsid w:val="00046515"/>
    <w:rsid w:val="000465DA"/>
    <w:rsid w:val="00046666"/>
    <w:rsid w:val="00046770"/>
    <w:rsid w:val="0004679C"/>
    <w:rsid w:val="000467C8"/>
    <w:rsid w:val="00046837"/>
    <w:rsid w:val="0004686B"/>
    <w:rsid w:val="000468BC"/>
    <w:rsid w:val="00046919"/>
    <w:rsid w:val="0004691B"/>
    <w:rsid w:val="00046944"/>
    <w:rsid w:val="00046960"/>
    <w:rsid w:val="000469F9"/>
    <w:rsid w:val="00046A20"/>
    <w:rsid w:val="00046AD6"/>
    <w:rsid w:val="00046B01"/>
    <w:rsid w:val="00046B1E"/>
    <w:rsid w:val="00046B9D"/>
    <w:rsid w:val="00046C5E"/>
    <w:rsid w:val="00046C7D"/>
    <w:rsid w:val="00046C87"/>
    <w:rsid w:val="00046D51"/>
    <w:rsid w:val="00046D8D"/>
    <w:rsid w:val="00046DB7"/>
    <w:rsid w:val="00046DD0"/>
    <w:rsid w:val="00046DD8"/>
    <w:rsid w:val="00046DF6"/>
    <w:rsid w:val="00046E20"/>
    <w:rsid w:val="00046E26"/>
    <w:rsid w:val="00046E69"/>
    <w:rsid w:val="00046E93"/>
    <w:rsid w:val="00046EF7"/>
    <w:rsid w:val="00046F0E"/>
    <w:rsid w:val="00046FB2"/>
    <w:rsid w:val="00046FEF"/>
    <w:rsid w:val="00047044"/>
    <w:rsid w:val="000470CC"/>
    <w:rsid w:val="000470EC"/>
    <w:rsid w:val="0004714E"/>
    <w:rsid w:val="00047151"/>
    <w:rsid w:val="000471EA"/>
    <w:rsid w:val="00047210"/>
    <w:rsid w:val="0004721B"/>
    <w:rsid w:val="0004729A"/>
    <w:rsid w:val="000472A8"/>
    <w:rsid w:val="000472DE"/>
    <w:rsid w:val="00047371"/>
    <w:rsid w:val="0004737B"/>
    <w:rsid w:val="000473C0"/>
    <w:rsid w:val="000473D7"/>
    <w:rsid w:val="0004743F"/>
    <w:rsid w:val="00047443"/>
    <w:rsid w:val="00047445"/>
    <w:rsid w:val="0004744D"/>
    <w:rsid w:val="00047460"/>
    <w:rsid w:val="000474DF"/>
    <w:rsid w:val="00047561"/>
    <w:rsid w:val="000475BF"/>
    <w:rsid w:val="000475D9"/>
    <w:rsid w:val="000476A8"/>
    <w:rsid w:val="000476AD"/>
    <w:rsid w:val="000476CD"/>
    <w:rsid w:val="0004777D"/>
    <w:rsid w:val="0004777F"/>
    <w:rsid w:val="000477F4"/>
    <w:rsid w:val="0004785A"/>
    <w:rsid w:val="0004787A"/>
    <w:rsid w:val="000478C0"/>
    <w:rsid w:val="000479A1"/>
    <w:rsid w:val="000479BF"/>
    <w:rsid w:val="000479D3"/>
    <w:rsid w:val="00047A24"/>
    <w:rsid w:val="00047A29"/>
    <w:rsid w:val="00047A34"/>
    <w:rsid w:val="00047A53"/>
    <w:rsid w:val="00047A7D"/>
    <w:rsid w:val="00047A83"/>
    <w:rsid w:val="00047AC0"/>
    <w:rsid w:val="00047ACB"/>
    <w:rsid w:val="00047AF5"/>
    <w:rsid w:val="00047B84"/>
    <w:rsid w:val="00047B89"/>
    <w:rsid w:val="00047BA4"/>
    <w:rsid w:val="00047BF2"/>
    <w:rsid w:val="00047C02"/>
    <w:rsid w:val="00047C03"/>
    <w:rsid w:val="00047C1D"/>
    <w:rsid w:val="00047C64"/>
    <w:rsid w:val="00047D98"/>
    <w:rsid w:val="00047E4D"/>
    <w:rsid w:val="00047E94"/>
    <w:rsid w:val="00047EC6"/>
    <w:rsid w:val="00047EE8"/>
    <w:rsid w:val="00047EFE"/>
    <w:rsid w:val="00047F02"/>
    <w:rsid w:val="00047F6C"/>
    <w:rsid w:val="00047FB8"/>
    <w:rsid w:val="00047FE7"/>
    <w:rsid w:val="0005007E"/>
    <w:rsid w:val="0005008F"/>
    <w:rsid w:val="0005009E"/>
    <w:rsid w:val="00050166"/>
    <w:rsid w:val="00050196"/>
    <w:rsid w:val="00050203"/>
    <w:rsid w:val="00050219"/>
    <w:rsid w:val="0005026E"/>
    <w:rsid w:val="0005027D"/>
    <w:rsid w:val="000502E1"/>
    <w:rsid w:val="00050313"/>
    <w:rsid w:val="0005032E"/>
    <w:rsid w:val="00050334"/>
    <w:rsid w:val="000503D7"/>
    <w:rsid w:val="00050470"/>
    <w:rsid w:val="0005049B"/>
    <w:rsid w:val="000504AD"/>
    <w:rsid w:val="000504B4"/>
    <w:rsid w:val="000504C3"/>
    <w:rsid w:val="000504DA"/>
    <w:rsid w:val="000504DC"/>
    <w:rsid w:val="0005050F"/>
    <w:rsid w:val="0005052C"/>
    <w:rsid w:val="00050546"/>
    <w:rsid w:val="00050561"/>
    <w:rsid w:val="00050567"/>
    <w:rsid w:val="00050635"/>
    <w:rsid w:val="000506B5"/>
    <w:rsid w:val="0005075E"/>
    <w:rsid w:val="00050867"/>
    <w:rsid w:val="0005088B"/>
    <w:rsid w:val="000508FB"/>
    <w:rsid w:val="00050905"/>
    <w:rsid w:val="00050922"/>
    <w:rsid w:val="00050931"/>
    <w:rsid w:val="00050932"/>
    <w:rsid w:val="00050A66"/>
    <w:rsid w:val="00050B9D"/>
    <w:rsid w:val="00050C5D"/>
    <w:rsid w:val="00050C79"/>
    <w:rsid w:val="00050CD6"/>
    <w:rsid w:val="00050CFE"/>
    <w:rsid w:val="00050D48"/>
    <w:rsid w:val="00050D69"/>
    <w:rsid w:val="00050D7D"/>
    <w:rsid w:val="00050D9F"/>
    <w:rsid w:val="00050DB7"/>
    <w:rsid w:val="00050DD3"/>
    <w:rsid w:val="00050DD4"/>
    <w:rsid w:val="00050DEF"/>
    <w:rsid w:val="00050E0C"/>
    <w:rsid w:val="00050E40"/>
    <w:rsid w:val="00050E5E"/>
    <w:rsid w:val="00050E85"/>
    <w:rsid w:val="00050F19"/>
    <w:rsid w:val="00050FA1"/>
    <w:rsid w:val="00050FAE"/>
    <w:rsid w:val="00050FB3"/>
    <w:rsid w:val="00051021"/>
    <w:rsid w:val="000510A1"/>
    <w:rsid w:val="000510CC"/>
    <w:rsid w:val="000510DC"/>
    <w:rsid w:val="0005111D"/>
    <w:rsid w:val="00051163"/>
    <w:rsid w:val="0005120D"/>
    <w:rsid w:val="0005122C"/>
    <w:rsid w:val="00051258"/>
    <w:rsid w:val="0005128A"/>
    <w:rsid w:val="000513AB"/>
    <w:rsid w:val="0005140C"/>
    <w:rsid w:val="00051425"/>
    <w:rsid w:val="0005142F"/>
    <w:rsid w:val="00051452"/>
    <w:rsid w:val="0005145E"/>
    <w:rsid w:val="00051477"/>
    <w:rsid w:val="000514AD"/>
    <w:rsid w:val="000514B0"/>
    <w:rsid w:val="00051512"/>
    <w:rsid w:val="00051527"/>
    <w:rsid w:val="000515B8"/>
    <w:rsid w:val="000515BD"/>
    <w:rsid w:val="000515D5"/>
    <w:rsid w:val="0005162E"/>
    <w:rsid w:val="00051653"/>
    <w:rsid w:val="00051691"/>
    <w:rsid w:val="000516F9"/>
    <w:rsid w:val="0005172C"/>
    <w:rsid w:val="00051778"/>
    <w:rsid w:val="000517EA"/>
    <w:rsid w:val="00051839"/>
    <w:rsid w:val="00051901"/>
    <w:rsid w:val="0005193A"/>
    <w:rsid w:val="00051948"/>
    <w:rsid w:val="00051A18"/>
    <w:rsid w:val="00051A8B"/>
    <w:rsid w:val="00051ADC"/>
    <w:rsid w:val="00051ADF"/>
    <w:rsid w:val="00051B43"/>
    <w:rsid w:val="00051B46"/>
    <w:rsid w:val="00051B4E"/>
    <w:rsid w:val="00051B80"/>
    <w:rsid w:val="00051B8E"/>
    <w:rsid w:val="00051BCC"/>
    <w:rsid w:val="00051C22"/>
    <w:rsid w:val="00051C2B"/>
    <w:rsid w:val="00051C5B"/>
    <w:rsid w:val="00051C8B"/>
    <w:rsid w:val="00051C94"/>
    <w:rsid w:val="00051D44"/>
    <w:rsid w:val="00051D5E"/>
    <w:rsid w:val="00051D7B"/>
    <w:rsid w:val="00051D8C"/>
    <w:rsid w:val="00051DD3"/>
    <w:rsid w:val="00051E07"/>
    <w:rsid w:val="00051E24"/>
    <w:rsid w:val="00051E7C"/>
    <w:rsid w:val="00051EF3"/>
    <w:rsid w:val="00051F20"/>
    <w:rsid w:val="00051FF5"/>
    <w:rsid w:val="0005202C"/>
    <w:rsid w:val="000520B6"/>
    <w:rsid w:val="000520D1"/>
    <w:rsid w:val="00052154"/>
    <w:rsid w:val="0005218A"/>
    <w:rsid w:val="00052225"/>
    <w:rsid w:val="000522CC"/>
    <w:rsid w:val="000522DC"/>
    <w:rsid w:val="000522EF"/>
    <w:rsid w:val="0005230E"/>
    <w:rsid w:val="00052314"/>
    <w:rsid w:val="0005231D"/>
    <w:rsid w:val="00052360"/>
    <w:rsid w:val="00052361"/>
    <w:rsid w:val="000523A7"/>
    <w:rsid w:val="000523D5"/>
    <w:rsid w:val="000523DA"/>
    <w:rsid w:val="000523F5"/>
    <w:rsid w:val="000524D7"/>
    <w:rsid w:val="00052516"/>
    <w:rsid w:val="000525E2"/>
    <w:rsid w:val="0005261D"/>
    <w:rsid w:val="00052644"/>
    <w:rsid w:val="00052730"/>
    <w:rsid w:val="00052770"/>
    <w:rsid w:val="0005280A"/>
    <w:rsid w:val="0005280B"/>
    <w:rsid w:val="00052830"/>
    <w:rsid w:val="0005285B"/>
    <w:rsid w:val="00052909"/>
    <w:rsid w:val="000529A1"/>
    <w:rsid w:val="000529D7"/>
    <w:rsid w:val="000529F3"/>
    <w:rsid w:val="00052A0F"/>
    <w:rsid w:val="00052A9B"/>
    <w:rsid w:val="00052AA9"/>
    <w:rsid w:val="00052BAF"/>
    <w:rsid w:val="00052C03"/>
    <w:rsid w:val="00052C0F"/>
    <w:rsid w:val="00052C93"/>
    <w:rsid w:val="00052CE5"/>
    <w:rsid w:val="00052D32"/>
    <w:rsid w:val="00052D36"/>
    <w:rsid w:val="00052D78"/>
    <w:rsid w:val="00052DAF"/>
    <w:rsid w:val="00052DDC"/>
    <w:rsid w:val="00052E05"/>
    <w:rsid w:val="00052E0D"/>
    <w:rsid w:val="00052E82"/>
    <w:rsid w:val="00052EB3"/>
    <w:rsid w:val="00052F0B"/>
    <w:rsid w:val="00052F2F"/>
    <w:rsid w:val="00052F5E"/>
    <w:rsid w:val="00052F98"/>
    <w:rsid w:val="00052FA9"/>
    <w:rsid w:val="00052FC5"/>
    <w:rsid w:val="00052FCB"/>
    <w:rsid w:val="00052FCE"/>
    <w:rsid w:val="00053061"/>
    <w:rsid w:val="00053069"/>
    <w:rsid w:val="00053091"/>
    <w:rsid w:val="000530AA"/>
    <w:rsid w:val="00053134"/>
    <w:rsid w:val="0005317A"/>
    <w:rsid w:val="000531CA"/>
    <w:rsid w:val="000531D4"/>
    <w:rsid w:val="000531DB"/>
    <w:rsid w:val="000531F3"/>
    <w:rsid w:val="00053267"/>
    <w:rsid w:val="000532D3"/>
    <w:rsid w:val="0005332F"/>
    <w:rsid w:val="0005338F"/>
    <w:rsid w:val="000533B1"/>
    <w:rsid w:val="000533BD"/>
    <w:rsid w:val="0005343A"/>
    <w:rsid w:val="0005348A"/>
    <w:rsid w:val="0005348D"/>
    <w:rsid w:val="0005349A"/>
    <w:rsid w:val="0005358F"/>
    <w:rsid w:val="000535D2"/>
    <w:rsid w:val="00053610"/>
    <w:rsid w:val="0005364D"/>
    <w:rsid w:val="000536D4"/>
    <w:rsid w:val="000536DD"/>
    <w:rsid w:val="0005378E"/>
    <w:rsid w:val="000537FF"/>
    <w:rsid w:val="00053832"/>
    <w:rsid w:val="00053838"/>
    <w:rsid w:val="00053895"/>
    <w:rsid w:val="00053A2F"/>
    <w:rsid w:val="00053AB1"/>
    <w:rsid w:val="00053B18"/>
    <w:rsid w:val="00053B3A"/>
    <w:rsid w:val="00053B5D"/>
    <w:rsid w:val="00053B61"/>
    <w:rsid w:val="00053B9D"/>
    <w:rsid w:val="00053C59"/>
    <w:rsid w:val="00053C91"/>
    <w:rsid w:val="00053CA2"/>
    <w:rsid w:val="00053D16"/>
    <w:rsid w:val="00053D2A"/>
    <w:rsid w:val="00053D79"/>
    <w:rsid w:val="00053E4B"/>
    <w:rsid w:val="00053E74"/>
    <w:rsid w:val="00053E9E"/>
    <w:rsid w:val="00053ECF"/>
    <w:rsid w:val="00053EE6"/>
    <w:rsid w:val="00053F25"/>
    <w:rsid w:val="00053F62"/>
    <w:rsid w:val="00053F72"/>
    <w:rsid w:val="00053F8F"/>
    <w:rsid w:val="00054020"/>
    <w:rsid w:val="00054041"/>
    <w:rsid w:val="0005404F"/>
    <w:rsid w:val="00054091"/>
    <w:rsid w:val="00054148"/>
    <w:rsid w:val="00054229"/>
    <w:rsid w:val="00054252"/>
    <w:rsid w:val="0005428C"/>
    <w:rsid w:val="00054290"/>
    <w:rsid w:val="000542AD"/>
    <w:rsid w:val="0005432A"/>
    <w:rsid w:val="00054358"/>
    <w:rsid w:val="00054377"/>
    <w:rsid w:val="000543DC"/>
    <w:rsid w:val="0005440B"/>
    <w:rsid w:val="00054494"/>
    <w:rsid w:val="000544D6"/>
    <w:rsid w:val="00054535"/>
    <w:rsid w:val="0005453D"/>
    <w:rsid w:val="00054542"/>
    <w:rsid w:val="0005458A"/>
    <w:rsid w:val="0005458E"/>
    <w:rsid w:val="00054590"/>
    <w:rsid w:val="000545BA"/>
    <w:rsid w:val="000545C1"/>
    <w:rsid w:val="00054624"/>
    <w:rsid w:val="0005463F"/>
    <w:rsid w:val="00054677"/>
    <w:rsid w:val="0005473A"/>
    <w:rsid w:val="0005475D"/>
    <w:rsid w:val="00054792"/>
    <w:rsid w:val="00054798"/>
    <w:rsid w:val="000547D4"/>
    <w:rsid w:val="000547D6"/>
    <w:rsid w:val="000548C9"/>
    <w:rsid w:val="00054A5A"/>
    <w:rsid w:val="00054A67"/>
    <w:rsid w:val="00054A68"/>
    <w:rsid w:val="00054A9D"/>
    <w:rsid w:val="00054AAB"/>
    <w:rsid w:val="00054B28"/>
    <w:rsid w:val="00054B81"/>
    <w:rsid w:val="00054B9A"/>
    <w:rsid w:val="00054C01"/>
    <w:rsid w:val="00054C07"/>
    <w:rsid w:val="00054C83"/>
    <w:rsid w:val="00054CA7"/>
    <w:rsid w:val="00054CD3"/>
    <w:rsid w:val="00054CE6"/>
    <w:rsid w:val="00054D0C"/>
    <w:rsid w:val="00054DB1"/>
    <w:rsid w:val="00054E00"/>
    <w:rsid w:val="00054F09"/>
    <w:rsid w:val="00054F2C"/>
    <w:rsid w:val="00054F3C"/>
    <w:rsid w:val="0005500D"/>
    <w:rsid w:val="00055041"/>
    <w:rsid w:val="000550F2"/>
    <w:rsid w:val="00055176"/>
    <w:rsid w:val="0005517E"/>
    <w:rsid w:val="00055232"/>
    <w:rsid w:val="00055300"/>
    <w:rsid w:val="00055303"/>
    <w:rsid w:val="0005530B"/>
    <w:rsid w:val="0005540E"/>
    <w:rsid w:val="0005546F"/>
    <w:rsid w:val="0005547A"/>
    <w:rsid w:val="00055538"/>
    <w:rsid w:val="0005556B"/>
    <w:rsid w:val="000555A6"/>
    <w:rsid w:val="000555DF"/>
    <w:rsid w:val="000555ED"/>
    <w:rsid w:val="000555F3"/>
    <w:rsid w:val="000555F5"/>
    <w:rsid w:val="0005560D"/>
    <w:rsid w:val="0005568E"/>
    <w:rsid w:val="000556E9"/>
    <w:rsid w:val="000557C5"/>
    <w:rsid w:val="000557F3"/>
    <w:rsid w:val="0005589A"/>
    <w:rsid w:val="000558AC"/>
    <w:rsid w:val="0005598C"/>
    <w:rsid w:val="000559DC"/>
    <w:rsid w:val="000559E4"/>
    <w:rsid w:val="000559ED"/>
    <w:rsid w:val="00055A0F"/>
    <w:rsid w:val="00055A1C"/>
    <w:rsid w:val="00055A61"/>
    <w:rsid w:val="00055A73"/>
    <w:rsid w:val="00055A75"/>
    <w:rsid w:val="00055AD5"/>
    <w:rsid w:val="00055B24"/>
    <w:rsid w:val="00055B48"/>
    <w:rsid w:val="00055B5D"/>
    <w:rsid w:val="00055BAA"/>
    <w:rsid w:val="00055BC8"/>
    <w:rsid w:val="00055C7C"/>
    <w:rsid w:val="00055CA7"/>
    <w:rsid w:val="00055CC3"/>
    <w:rsid w:val="00055D6A"/>
    <w:rsid w:val="00055D6B"/>
    <w:rsid w:val="00055E4F"/>
    <w:rsid w:val="00055F9B"/>
    <w:rsid w:val="00056021"/>
    <w:rsid w:val="00056032"/>
    <w:rsid w:val="0005603B"/>
    <w:rsid w:val="000560AF"/>
    <w:rsid w:val="000560E2"/>
    <w:rsid w:val="00056101"/>
    <w:rsid w:val="0005610C"/>
    <w:rsid w:val="0005613B"/>
    <w:rsid w:val="000561AD"/>
    <w:rsid w:val="000561DE"/>
    <w:rsid w:val="00056237"/>
    <w:rsid w:val="00056292"/>
    <w:rsid w:val="000562A4"/>
    <w:rsid w:val="000562EA"/>
    <w:rsid w:val="00056315"/>
    <w:rsid w:val="00056347"/>
    <w:rsid w:val="00056364"/>
    <w:rsid w:val="00056434"/>
    <w:rsid w:val="00056444"/>
    <w:rsid w:val="00056471"/>
    <w:rsid w:val="0005657D"/>
    <w:rsid w:val="00056591"/>
    <w:rsid w:val="000565BC"/>
    <w:rsid w:val="000565DC"/>
    <w:rsid w:val="00056621"/>
    <w:rsid w:val="000566D7"/>
    <w:rsid w:val="000566E8"/>
    <w:rsid w:val="0005678A"/>
    <w:rsid w:val="0005678E"/>
    <w:rsid w:val="0005683D"/>
    <w:rsid w:val="0005697B"/>
    <w:rsid w:val="000569AA"/>
    <w:rsid w:val="00056A2B"/>
    <w:rsid w:val="00056A4A"/>
    <w:rsid w:val="00056A63"/>
    <w:rsid w:val="00056A6F"/>
    <w:rsid w:val="00056A80"/>
    <w:rsid w:val="00056B1F"/>
    <w:rsid w:val="00056B99"/>
    <w:rsid w:val="00056C74"/>
    <w:rsid w:val="00056C7F"/>
    <w:rsid w:val="00056C99"/>
    <w:rsid w:val="00056CA7"/>
    <w:rsid w:val="00056CE9"/>
    <w:rsid w:val="00056DC0"/>
    <w:rsid w:val="00056E34"/>
    <w:rsid w:val="00056E75"/>
    <w:rsid w:val="00056EAF"/>
    <w:rsid w:val="00056EFD"/>
    <w:rsid w:val="00056F99"/>
    <w:rsid w:val="00056FE7"/>
    <w:rsid w:val="00057056"/>
    <w:rsid w:val="0005717B"/>
    <w:rsid w:val="000571E8"/>
    <w:rsid w:val="00057250"/>
    <w:rsid w:val="00057255"/>
    <w:rsid w:val="000572E6"/>
    <w:rsid w:val="000572ED"/>
    <w:rsid w:val="000573D7"/>
    <w:rsid w:val="00057456"/>
    <w:rsid w:val="00057490"/>
    <w:rsid w:val="0005749D"/>
    <w:rsid w:val="000574C3"/>
    <w:rsid w:val="000574D2"/>
    <w:rsid w:val="000574F3"/>
    <w:rsid w:val="000574FE"/>
    <w:rsid w:val="0005754C"/>
    <w:rsid w:val="00057551"/>
    <w:rsid w:val="0005755C"/>
    <w:rsid w:val="00057571"/>
    <w:rsid w:val="0005757B"/>
    <w:rsid w:val="00057669"/>
    <w:rsid w:val="000576C7"/>
    <w:rsid w:val="000576FF"/>
    <w:rsid w:val="00057739"/>
    <w:rsid w:val="0005774A"/>
    <w:rsid w:val="0005774D"/>
    <w:rsid w:val="00057750"/>
    <w:rsid w:val="0005778A"/>
    <w:rsid w:val="000577F2"/>
    <w:rsid w:val="0005783D"/>
    <w:rsid w:val="00057914"/>
    <w:rsid w:val="0005792B"/>
    <w:rsid w:val="00057998"/>
    <w:rsid w:val="000579BE"/>
    <w:rsid w:val="00057A02"/>
    <w:rsid w:val="00057A39"/>
    <w:rsid w:val="00057A60"/>
    <w:rsid w:val="00057AE6"/>
    <w:rsid w:val="00057CE4"/>
    <w:rsid w:val="00057CE8"/>
    <w:rsid w:val="00057D48"/>
    <w:rsid w:val="00057D62"/>
    <w:rsid w:val="00057DAC"/>
    <w:rsid w:val="00057E23"/>
    <w:rsid w:val="00057E2D"/>
    <w:rsid w:val="00057E3E"/>
    <w:rsid w:val="00057E41"/>
    <w:rsid w:val="00057E51"/>
    <w:rsid w:val="00057E5B"/>
    <w:rsid w:val="00057F75"/>
    <w:rsid w:val="00057FBC"/>
    <w:rsid w:val="00057FD4"/>
    <w:rsid w:val="0006003C"/>
    <w:rsid w:val="00060087"/>
    <w:rsid w:val="000600D6"/>
    <w:rsid w:val="000601E0"/>
    <w:rsid w:val="0006025E"/>
    <w:rsid w:val="00060279"/>
    <w:rsid w:val="000602FB"/>
    <w:rsid w:val="00060320"/>
    <w:rsid w:val="00060324"/>
    <w:rsid w:val="00060337"/>
    <w:rsid w:val="00060388"/>
    <w:rsid w:val="0006040B"/>
    <w:rsid w:val="00060474"/>
    <w:rsid w:val="00060493"/>
    <w:rsid w:val="00060557"/>
    <w:rsid w:val="00060595"/>
    <w:rsid w:val="000605A9"/>
    <w:rsid w:val="000605AE"/>
    <w:rsid w:val="000605C1"/>
    <w:rsid w:val="0006065E"/>
    <w:rsid w:val="000606EE"/>
    <w:rsid w:val="00060762"/>
    <w:rsid w:val="00060764"/>
    <w:rsid w:val="00060774"/>
    <w:rsid w:val="00060787"/>
    <w:rsid w:val="00060792"/>
    <w:rsid w:val="0006080C"/>
    <w:rsid w:val="00060825"/>
    <w:rsid w:val="00060860"/>
    <w:rsid w:val="000608F5"/>
    <w:rsid w:val="0006091A"/>
    <w:rsid w:val="000609A0"/>
    <w:rsid w:val="000609FA"/>
    <w:rsid w:val="00060A43"/>
    <w:rsid w:val="00060A96"/>
    <w:rsid w:val="00060B0F"/>
    <w:rsid w:val="00060B37"/>
    <w:rsid w:val="00060B87"/>
    <w:rsid w:val="00060B97"/>
    <w:rsid w:val="00060BAA"/>
    <w:rsid w:val="00060BB2"/>
    <w:rsid w:val="00060BC3"/>
    <w:rsid w:val="00060BCE"/>
    <w:rsid w:val="00060BD0"/>
    <w:rsid w:val="00060BEF"/>
    <w:rsid w:val="00060C54"/>
    <w:rsid w:val="00060CFC"/>
    <w:rsid w:val="00060D30"/>
    <w:rsid w:val="00060D3A"/>
    <w:rsid w:val="00060D42"/>
    <w:rsid w:val="00060D4E"/>
    <w:rsid w:val="00060D55"/>
    <w:rsid w:val="00060D94"/>
    <w:rsid w:val="00060D97"/>
    <w:rsid w:val="00060E51"/>
    <w:rsid w:val="00060E9D"/>
    <w:rsid w:val="00060F8E"/>
    <w:rsid w:val="00061007"/>
    <w:rsid w:val="0006101B"/>
    <w:rsid w:val="0006102C"/>
    <w:rsid w:val="00061122"/>
    <w:rsid w:val="00061139"/>
    <w:rsid w:val="00061165"/>
    <w:rsid w:val="00061174"/>
    <w:rsid w:val="0006122E"/>
    <w:rsid w:val="00061243"/>
    <w:rsid w:val="0006124F"/>
    <w:rsid w:val="000612EF"/>
    <w:rsid w:val="00061331"/>
    <w:rsid w:val="000613BC"/>
    <w:rsid w:val="0006148D"/>
    <w:rsid w:val="000614C6"/>
    <w:rsid w:val="000614C9"/>
    <w:rsid w:val="00061551"/>
    <w:rsid w:val="00061569"/>
    <w:rsid w:val="0006156D"/>
    <w:rsid w:val="000615CD"/>
    <w:rsid w:val="000615D2"/>
    <w:rsid w:val="000615D5"/>
    <w:rsid w:val="00061671"/>
    <w:rsid w:val="0006176F"/>
    <w:rsid w:val="000617AD"/>
    <w:rsid w:val="000617C6"/>
    <w:rsid w:val="0006183B"/>
    <w:rsid w:val="000618ED"/>
    <w:rsid w:val="000618FD"/>
    <w:rsid w:val="0006194A"/>
    <w:rsid w:val="00061966"/>
    <w:rsid w:val="0006197B"/>
    <w:rsid w:val="00061982"/>
    <w:rsid w:val="000619E0"/>
    <w:rsid w:val="000619FF"/>
    <w:rsid w:val="00061A0B"/>
    <w:rsid w:val="00061A3D"/>
    <w:rsid w:val="00061A55"/>
    <w:rsid w:val="00061ABE"/>
    <w:rsid w:val="00061AD4"/>
    <w:rsid w:val="00061B0F"/>
    <w:rsid w:val="00061BCC"/>
    <w:rsid w:val="00061BDA"/>
    <w:rsid w:val="00061C04"/>
    <w:rsid w:val="00061CA4"/>
    <w:rsid w:val="00061D04"/>
    <w:rsid w:val="00061D59"/>
    <w:rsid w:val="00061DC8"/>
    <w:rsid w:val="00061E05"/>
    <w:rsid w:val="00061E84"/>
    <w:rsid w:val="00061ED5"/>
    <w:rsid w:val="00061EDF"/>
    <w:rsid w:val="00061EF6"/>
    <w:rsid w:val="00061F6E"/>
    <w:rsid w:val="00062061"/>
    <w:rsid w:val="000620BA"/>
    <w:rsid w:val="000620BE"/>
    <w:rsid w:val="000620FF"/>
    <w:rsid w:val="0006210E"/>
    <w:rsid w:val="0006214E"/>
    <w:rsid w:val="000621A2"/>
    <w:rsid w:val="0006225E"/>
    <w:rsid w:val="0006227D"/>
    <w:rsid w:val="000622C6"/>
    <w:rsid w:val="0006252A"/>
    <w:rsid w:val="000625E9"/>
    <w:rsid w:val="0006260F"/>
    <w:rsid w:val="00062613"/>
    <w:rsid w:val="0006267D"/>
    <w:rsid w:val="000626B6"/>
    <w:rsid w:val="00062720"/>
    <w:rsid w:val="000627FB"/>
    <w:rsid w:val="0006285C"/>
    <w:rsid w:val="0006286D"/>
    <w:rsid w:val="000628CD"/>
    <w:rsid w:val="000628E0"/>
    <w:rsid w:val="0006293B"/>
    <w:rsid w:val="0006295C"/>
    <w:rsid w:val="0006299B"/>
    <w:rsid w:val="000629BD"/>
    <w:rsid w:val="000629DC"/>
    <w:rsid w:val="000629E1"/>
    <w:rsid w:val="00062A13"/>
    <w:rsid w:val="00062A46"/>
    <w:rsid w:val="00062A7C"/>
    <w:rsid w:val="00062A7D"/>
    <w:rsid w:val="00062A92"/>
    <w:rsid w:val="00062AFD"/>
    <w:rsid w:val="00062B30"/>
    <w:rsid w:val="00062B77"/>
    <w:rsid w:val="00062B79"/>
    <w:rsid w:val="00062BF3"/>
    <w:rsid w:val="00062C08"/>
    <w:rsid w:val="00062C3E"/>
    <w:rsid w:val="00062C67"/>
    <w:rsid w:val="00062C79"/>
    <w:rsid w:val="00062C80"/>
    <w:rsid w:val="00062C86"/>
    <w:rsid w:val="00062C9F"/>
    <w:rsid w:val="00062CC7"/>
    <w:rsid w:val="00062D3D"/>
    <w:rsid w:val="00062E10"/>
    <w:rsid w:val="00062E2C"/>
    <w:rsid w:val="00062E2E"/>
    <w:rsid w:val="00062E30"/>
    <w:rsid w:val="00062E54"/>
    <w:rsid w:val="00062E8A"/>
    <w:rsid w:val="00062EB0"/>
    <w:rsid w:val="00062F21"/>
    <w:rsid w:val="00062F25"/>
    <w:rsid w:val="00062F3A"/>
    <w:rsid w:val="00062F7E"/>
    <w:rsid w:val="00062F8B"/>
    <w:rsid w:val="0006306B"/>
    <w:rsid w:val="000630C7"/>
    <w:rsid w:val="000630D4"/>
    <w:rsid w:val="000630E4"/>
    <w:rsid w:val="00063117"/>
    <w:rsid w:val="00063167"/>
    <w:rsid w:val="00063168"/>
    <w:rsid w:val="000631AA"/>
    <w:rsid w:val="000631D1"/>
    <w:rsid w:val="0006321F"/>
    <w:rsid w:val="00063258"/>
    <w:rsid w:val="00063272"/>
    <w:rsid w:val="000632B2"/>
    <w:rsid w:val="000632C1"/>
    <w:rsid w:val="000632F5"/>
    <w:rsid w:val="0006337D"/>
    <w:rsid w:val="000633B7"/>
    <w:rsid w:val="000633E6"/>
    <w:rsid w:val="00063430"/>
    <w:rsid w:val="00063457"/>
    <w:rsid w:val="000634CE"/>
    <w:rsid w:val="000634D1"/>
    <w:rsid w:val="000634F0"/>
    <w:rsid w:val="00063525"/>
    <w:rsid w:val="00063563"/>
    <w:rsid w:val="000635B7"/>
    <w:rsid w:val="000635BB"/>
    <w:rsid w:val="000635E9"/>
    <w:rsid w:val="0006366F"/>
    <w:rsid w:val="00063697"/>
    <w:rsid w:val="00063720"/>
    <w:rsid w:val="00063769"/>
    <w:rsid w:val="000637E0"/>
    <w:rsid w:val="00063835"/>
    <w:rsid w:val="000638B3"/>
    <w:rsid w:val="00063930"/>
    <w:rsid w:val="0006396D"/>
    <w:rsid w:val="000639D3"/>
    <w:rsid w:val="000639F2"/>
    <w:rsid w:val="00063A21"/>
    <w:rsid w:val="00063A33"/>
    <w:rsid w:val="00063A88"/>
    <w:rsid w:val="00063B0A"/>
    <w:rsid w:val="00063B60"/>
    <w:rsid w:val="00063B6E"/>
    <w:rsid w:val="00063BA1"/>
    <w:rsid w:val="00063BFC"/>
    <w:rsid w:val="00063BFE"/>
    <w:rsid w:val="00063C13"/>
    <w:rsid w:val="00063C1C"/>
    <w:rsid w:val="00063C3F"/>
    <w:rsid w:val="00063CC1"/>
    <w:rsid w:val="00063CE1"/>
    <w:rsid w:val="00063CF4"/>
    <w:rsid w:val="00063D73"/>
    <w:rsid w:val="00063DB0"/>
    <w:rsid w:val="00063DCF"/>
    <w:rsid w:val="00063E8B"/>
    <w:rsid w:val="00063E9F"/>
    <w:rsid w:val="00063EC7"/>
    <w:rsid w:val="00063ED6"/>
    <w:rsid w:val="00063F0D"/>
    <w:rsid w:val="00063F21"/>
    <w:rsid w:val="00063F24"/>
    <w:rsid w:val="00063F46"/>
    <w:rsid w:val="00063F5B"/>
    <w:rsid w:val="00063F89"/>
    <w:rsid w:val="00063F8B"/>
    <w:rsid w:val="00064060"/>
    <w:rsid w:val="0006408C"/>
    <w:rsid w:val="000640FF"/>
    <w:rsid w:val="000641F8"/>
    <w:rsid w:val="0006421F"/>
    <w:rsid w:val="0006422E"/>
    <w:rsid w:val="00064248"/>
    <w:rsid w:val="000642A6"/>
    <w:rsid w:val="00064339"/>
    <w:rsid w:val="000643A0"/>
    <w:rsid w:val="000643B4"/>
    <w:rsid w:val="000643DD"/>
    <w:rsid w:val="000643F1"/>
    <w:rsid w:val="00064468"/>
    <w:rsid w:val="00064471"/>
    <w:rsid w:val="000644F0"/>
    <w:rsid w:val="00064500"/>
    <w:rsid w:val="00064546"/>
    <w:rsid w:val="0006459A"/>
    <w:rsid w:val="000645C5"/>
    <w:rsid w:val="0006461D"/>
    <w:rsid w:val="00064643"/>
    <w:rsid w:val="00064659"/>
    <w:rsid w:val="00064669"/>
    <w:rsid w:val="000646DD"/>
    <w:rsid w:val="0006472E"/>
    <w:rsid w:val="0006478E"/>
    <w:rsid w:val="00064793"/>
    <w:rsid w:val="00064821"/>
    <w:rsid w:val="0006487B"/>
    <w:rsid w:val="0006491B"/>
    <w:rsid w:val="00064926"/>
    <w:rsid w:val="0006492A"/>
    <w:rsid w:val="000649CC"/>
    <w:rsid w:val="000649F0"/>
    <w:rsid w:val="00064A71"/>
    <w:rsid w:val="00064B09"/>
    <w:rsid w:val="00064B12"/>
    <w:rsid w:val="00064B5C"/>
    <w:rsid w:val="00064B96"/>
    <w:rsid w:val="00064B98"/>
    <w:rsid w:val="00064BD5"/>
    <w:rsid w:val="00064C26"/>
    <w:rsid w:val="00064C37"/>
    <w:rsid w:val="00064C47"/>
    <w:rsid w:val="00064C5D"/>
    <w:rsid w:val="00064C85"/>
    <w:rsid w:val="00064CC3"/>
    <w:rsid w:val="00064CCE"/>
    <w:rsid w:val="00064CD5"/>
    <w:rsid w:val="00064CDC"/>
    <w:rsid w:val="00064D06"/>
    <w:rsid w:val="00064D8B"/>
    <w:rsid w:val="00064E72"/>
    <w:rsid w:val="00064EFF"/>
    <w:rsid w:val="00064F19"/>
    <w:rsid w:val="00064FAD"/>
    <w:rsid w:val="00064FB4"/>
    <w:rsid w:val="00064FBF"/>
    <w:rsid w:val="0006500A"/>
    <w:rsid w:val="00065022"/>
    <w:rsid w:val="00065092"/>
    <w:rsid w:val="0006510C"/>
    <w:rsid w:val="00065129"/>
    <w:rsid w:val="0006512F"/>
    <w:rsid w:val="000651D9"/>
    <w:rsid w:val="000651E2"/>
    <w:rsid w:val="00065247"/>
    <w:rsid w:val="0006528C"/>
    <w:rsid w:val="000652F6"/>
    <w:rsid w:val="00065332"/>
    <w:rsid w:val="00065385"/>
    <w:rsid w:val="00065389"/>
    <w:rsid w:val="000653A6"/>
    <w:rsid w:val="00065477"/>
    <w:rsid w:val="00065480"/>
    <w:rsid w:val="0006548E"/>
    <w:rsid w:val="0006550E"/>
    <w:rsid w:val="0006556B"/>
    <w:rsid w:val="0006558D"/>
    <w:rsid w:val="000655B8"/>
    <w:rsid w:val="00065653"/>
    <w:rsid w:val="00065661"/>
    <w:rsid w:val="00065693"/>
    <w:rsid w:val="000656D4"/>
    <w:rsid w:val="000656FF"/>
    <w:rsid w:val="00065748"/>
    <w:rsid w:val="000657B2"/>
    <w:rsid w:val="000657BA"/>
    <w:rsid w:val="000657C2"/>
    <w:rsid w:val="0006584E"/>
    <w:rsid w:val="000658CC"/>
    <w:rsid w:val="000658D1"/>
    <w:rsid w:val="000658F1"/>
    <w:rsid w:val="0006593B"/>
    <w:rsid w:val="00065944"/>
    <w:rsid w:val="0006595B"/>
    <w:rsid w:val="00065986"/>
    <w:rsid w:val="000659C2"/>
    <w:rsid w:val="00065A3C"/>
    <w:rsid w:val="00065A86"/>
    <w:rsid w:val="00065AB6"/>
    <w:rsid w:val="00065B05"/>
    <w:rsid w:val="00065B64"/>
    <w:rsid w:val="00065B74"/>
    <w:rsid w:val="00065B91"/>
    <w:rsid w:val="00065BA0"/>
    <w:rsid w:val="00065BC6"/>
    <w:rsid w:val="00065CFC"/>
    <w:rsid w:val="00065D65"/>
    <w:rsid w:val="00065E48"/>
    <w:rsid w:val="00065E52"/>
    <w:rsid w:val="00065E5D"/>
    <w:rsid w:val="00065E8A"/>
    <w:rsid w:val="00065E92"/>
    <w:rsid w:val="00065EA1"/>
    <w:rsid w:val="00065EC0"/>
    <w:rsid w:val="00065EC2"/>
    <w:rsid w:val="00065F06"/>
    <w:rsid w:val="00065F22"/>
    <w:rsid w:val="00065F3D"/>
    <w:rsid w:val="00065F70"/>
    <w:rsid w:val="00065FB2"/>
    <w:rsid w:val="00065FC1"/>
    <w:rsid w:val="00065FDE"/>
    <w:rsid w:val="00066014"/>
    <w:rsid w:val="000660F4"/>
    <w:rsid w:val="00066116"/>
    <w:rsid w:val="00066163"/>
    <w:rsid w:val="000661BF"/>
    <w:rsid w:val="000661DB"/>
    <w:rsid w:val="000661DF"/>
    <w:rsid w:val="0006622A"/>
    <w:rsid w:val="000662AC"/>
    <w:rsid w:val="0006631C"/>
    <w:rsid w:val="0006632A"/>
    <w:rsid w:val="00066344"/>
    <w:rsid w:val="0006635F"/>
    <w:rsid w:val="00066373"/>
    <w:rsid w:val="000663B9"/>
    <w:rsid w:val="000663CB"/>
    <w:rsid w:val="0006642F"/>
    <w:rsid w:val="0006647D"/>
    <w:rsid w:val="0006649C"/>
    <w:rsid w:val="000664BC"/>
    <w:rsid w:val="000664D5"/>
    <w:rsid w:val="0006650C"/>
    <w:rsid w:val="00066592"/>
    <w:rsid w:val="000665A2"/>
    <w:rsid w:val="000665AB"/>
    <w:rsid w:val="000665B1"/>
    <w:rsid w:val="0006670D"/>
    <w:rsid w:val="00066726"/>
    <w:rsid w:val="0006673F"/>
    <w:rsid w:val="00066755"/>
    <w:rsid w:val="0006677C"/>
    <w:rsid w:val="00066795"/>
    <w:rsid w:val="000667DD"/>
    <w:rsid w:val="0006680A"/>
    <w:rsid w:val="0006681D"/>
    <w:rsid w:val="00066862"/>
    <w:rsid w:val="00066958"/>
    <w:rsid w:val="000669A2"/>
    <w:rsid w:val="00066ACA"/>
    <w:rsid w:val="00066AD7"/>
    <w:rsid w:val="00066B46"/>
    <w:rsid w:val="00066B8F"/>
    <w:rsid w:val="00066C12"/>
    <w:rsid w:val="00066C9F"/>
    <w:rsid w:val="00066CB7"/>
    <w:rsid w:val="00066CD0"/>
    <w:rsid w:val="00066D2A"/>
    <w:rsid w:val="00066D54"/>
    <w:rsid w:val="00066DCB"/>
    <w:rsid w:val="00066DD1"/>
    <w:rsid w:val="00066E0D"/>
    <w:rsid w:val="00066E2F"/>
    <w:rsid w:val="00066E51"/>
    <w:rsid w:val="00066E8D"/>
    <w:rsid w:val="00066F77"/>
    <w:rsid w:val="00066F9C"/>
    <w:rsid w:val="00066FE4"/>
    <w:rsid w:val="00066FFB"/>
    <w:rsid w:val="00067014"/>
    <w:rsid w:val="00067059"/>
    <w:rsid w:val="0006705D"/>
    <w:rsid w:val="0006716B"/>
    <w:rsid w:val="00067233"/>
    <w:rsid w:val="000672C8"/>
    <w:rsid w:val="000672E4"/>
    <w:rsid w:val="00067355"/>
    <w:rsid w:val="00067364"/>
    <w:rsid w:val="000673EA"/>
    <w:rsid w:val="00067477"/>
    <w:rsid w:val="00067501"/>
    <w:rsid w:val="00067517"/>
    <w:rsid w:val="0006753F"/>
    <w:rsid w:val="0006754E"/>
    <w:rsid w:val="00067578"/>
    <w:rsid w:val="00067614"/>
    <w:rsid w:val="00067645"/>
    <w:rsid w:val="00067647"/>
    <w:rsid w:val="000676AB"/>
    <w:rsid w:val="000676CC"/>
    <w:rsid w:val="00067744"/>
    <w:rsid w:val="0006776D"/>
    <w:rsid w:val="000677E6"/>
    <w:rsid w:val="0006781C"/>
    <w:rsid w:val="0006782F"/>
    <w:rsid w:val="00067869"/>
    <w:rsid w:val="00067934"/>
    <w:rsid w:val="00067954"/>
    <w:rsid w:val="00067A11"/>
    <w:rsid w:val="00067A47"/>
    <w:rsid w:val="00067A4A"/>
    <w:rsid w:val="00067A4D"/>
    <w:rsid w:val="00067AAA"/>
    <w:rsid w:val="00067ADF"/>
    <w:rsid w:val="00067B1D"/>
    <w:rsid w:val="00067B1F"/>
    <w:rsid w:val="00067B42"/>
    <w:rsid w:val="00067B4E"/>
    <w:rsid w:val="00067B54"/>
    <w:rsid w:val="00067B7D"/>
    <w:rsid w:val="00067BB8"/>
    <w:rsid w:val="00067C0C"/>
    <w:rsid w:val="00067CBA"/>
    <w:rsid w:val="00067CC7"/>
    <w:rsid w:val="00067D00"/>
    <w:rsid w:val="00067D10"/>
    <w:rsid w:val="00067D6B"/>
    <w:rsid w:val="00067D6F"/>
    <w:rsid w:val="00067D98"/>
    <w:rsid w:val="00067DD2"/>
    <w:rsid w:val="00067DEA"/>
    <w:rsid w:val="00067E55"/>
    <w:rsid w:val="00067E98"/>
    <w:rsid w:val="00067F0A"/>
    <w:rsid w:val="00067F14"/>
    <w:rsid w:val="00067F2F"/>
    <w:rsid w:val="00070034"/>
    <w:rsid w:val="0007005A"/>
    <w:rsid w:val="000700B0"/>
    <w:rsid w:val="000700C1"/>
    <w:rsid w:val="0007011D"/>
    <w:rsid w:val="0007012B"/>
    <w:rsid w:val="00070146"/>
    <w:rsid w:val="000701C8"/>
    <w:rsid w:val="00070204"/>
    <w:rsid w:val="00070215"/>
    <w:rsid w:val="00070256"/>
    <w:rsid w:val="0007029E"/>
    <w:rsid w:val="000702C0"/>
    <w:rsid w:val="00070300"/>
    <w:rsid w:val="0007034A"/>
    <w:rsid w:val="00070373"/>
    <w:rsid w:val="00070415"/>
    <w:rsid w:val="00070464"/>
    <w:rsid w:val="00070480"/>
    <w:rsid w:val="000704BF"/>
    <w:rsid w:val="000704DD"/>
    <w:rsid w:val="0007051C"/>
    <w:rsid w:val="0007052A"/>
    <w:rsid w:val="0007052C"/>
    <w:rsid w:val="0007054A"/>
    <w:rsid w:val="0007059F"/>
    <w:rsid w:val="000705D8"/>
    <w:rsid w:val="000705FF"/>
    <w:rsid w:val="00070602"/>
    <w:rsid w:val="00070630"/>
    <w:rsid w:val="0007066A"/>
    <w:rsid w:val="000706BD"/>
    <w:rsid w:val="000706BF"/>
    <w:rsid w:val="000706D0"/>
    <w:rsid w:val="000706E9"/>
    <w:rsid w:val="00070753"/>
    <w:rsid w:val="00070793"/>
    <w:rsid w:val="000707BB"/>
    <w:rsid w:val="00070823"/>
    <w:rsid w:val="0007085E"/>
    <w:rsid w:val="0007089F"/>
    <w:rsid w:val="000708C7"/>
    <w:rsid w:val="000708CD"/>
    <w:rsid w:val="00070906"/>
    <w:rsid w:val="000709AB"/>
    <w:rsid w:val="000709CF"/>
    <w:rsid w:val="000709D8"/>
    <w:rsid w:val="00070A47"/>
    <w:rsid w:val="00070A8C"/>
    <w:rsid w:val="00070B11"/>
    <w:rsid w:val="00070B7C"/>
    <w:rsid w:val="00070BAC"/>
    <w:rsid w:val="00070BAE"/>
    <w:rsid w:val="00070C0E"/>
    <w:rsid w:val="00070C25"/>
    <w:rsid w:val="00070C82"/>
    <w:rsid w:val="00070C89"/>
    <w:rsid w:val="00070C9D"/>
    <w:rsid w:val="00070CBD"/>
    <w:rsid w:val="00070CCF"/>
    <w:rsid w:val="00070CD1"/>
    <w:rsid w:val="00070D98"/>
    <w:rsid w:val="00070DBC"/>
    <w:rsid w:val="00070DD1"/>
    <w:rsid w:val="00070DEC"/>
    <w:rsid w:val="00070E42"/>
    <w:rsid w:val="00070E7D"/>
    <w:rsid w:val="00070E93"/>
    <w:rsid w:val="00070EEC"/>
    <w:rsid w:val="00070F0B"/>
    <w:rsid w:val="00070FCA"/>
    <w:rsid w:val="0007108B"/>
    <w:rsid w:val="000710A6"/>
    <w:rsid w:val="000710B3"/>
    <w:rsid w:val="000710FD"/>
    <w:rsid w:val="0007115D"/>
    <w:rsid w:val="00071173"/>
    <w:rsid w:val="000711E4"/>
    <w:rsid w:val="00071338"/>
    <w:rsid w:val="00071352"/>
    <w:rsid w:val="00071363"/>
    <w:rsid w:val="000713C7"/>
    <w:rsid w:val="0007144D"/>
    <w:rsid w:val="00071455"/>
    <w:rsid w:val="00071469"/>
    <w:rsid w:val="00071492"/>
    <w:rsid w:val="00071505"/>
    <w:rsid w:val="0007157C"/>
    <w:rsid w:val="000715B3"/>
    <w:rsid w:val="000715B7"/>
    <w:rsid w:val="000715C1"/>
    <w:rsid w:val="000715E3"/>
    <w:rsid w:val="00071610"/>
    <w:rsid w:val="0007162A"/>
    <w:rsid w:val="0007162C"/>
    <w:rsid w:val="00071672"/>
    <w:rsid w:val="00071675"/>
    <w:rsid w:val="000716F5"/>
    <w:rsid w:val="00071737"/>
    <w:rsid w:val="00071781"/>
    <w:rsid w:val="0007180C"/>
    <w:rsid w:val="00071818"/>
    <w:rsid w:val="0007181E"/>
    <w:rsid w:val="00071853"/>
    <w:rsid w:val="00071860"/>
    <w:rsid w:val="000718C4"/>
    <w:rsid w:val="000718EC"/>
    <w:rsid w:val="00071912"/>
    <w:rsid w:val="0007191B"/>
    <w:rsid w:val="00071922"/>
    <w:rsid w:val="00071927"/>
    <w:rsid w:val="00071943"/>
    <w:rsid w:val="00071975"/>
    <w:rsid w:val="0007199C"/>
    <w:rsid w:val="000719B2"/>
    <w:rsid w:val="000719C5"/>
    <w:rsid w:val="000719E3"/>
    <w:rsid w:val="00071A14"/>
    <w:rsid w:val="00071A65"/>
    <w:rsid w:val="00071AB3"/>
    <w:rsid w:val="00071B79"/>
    <w:rsid w:val="00071C4F"/>
    <w:rsid w:val="00071C87"/>
    <w:rsid w:val="00071CDA"/>
    <w:rsid w:val="00071CE0"/>
    <w:rsid w:val="00071D15"/>
    <w:rsid w:val="00071D25"/>
    <w:rsid w:val="00071DB8"/>
    <w:rsid w:val="00071E56"/>
    <w:rsid w:val="00071E7A"/>
    <w:rsid w:val="00071EFD"/>
    <w:rsid w:val="00071F12"/>
    <w:rsid w:val="00071F64"/>
    <w:rsid w:val="00071FAA"/>
    <w:rsid w:val="00071FCF"/>
    <w:rsid w:val="00072006"/>
    <w:rsid w:val="0007202B"/>
    <w:rsid w:val="000720D9"/>
    <w:rsid w:val="000720DC"/>
    <w:rsid w:val="00072113"/>
    <w:rsid w:val="00072138"/>
    <w:rsid w:val="00072182"/>
    <w:rsid w:val="0007218B"/>
    <w:rsid w:val="000721AA"/>
    <w:rsid w:val="000721C6"/>
    <w:rsid w:val="000721F6"/>
    <w:rsid w:val="0007220E"/>
    <w:rsid w:val="0007222B"/>
    <w:rsid w:val="00072230"/>
    <w:rsid w:val="0007223B"/>
    <w:rsid w:val="0007223E"/>
    <w:rsid w:val="00072280"/>
    <w:rsid w:val="000722C3"/>
    <w:rsid w:val="00072332"/>
    <w:rsid w:val="00072376"/>
    <w:rsid w:val="00072388"/>
    <w:rsid w:val="0007238A"/>
    <w:rsid w:val="000723D4"/>
    <w:rsid w:val="0007245F"/>
    <w:rsid w:val="00072523"/>
    <w:rsid w:val="000725C7"/>
    <w:rsid w:val="00072652"/>
    <w:rsid w:val="0007266B"/>
    <w:rsid w:val="00072689"/>
    <w:rsid w:val="0007270C"/>
    <w:rsid w:val="00072730"/>
    <w:rsid w:val="00072748"/>
    <w:rsid w:val="0007274B"/>
    <w:rsid w:val="0007279E"/>
    <w:rsid w:val="000727C0"/>
    <w:rsid w:val="000728C4"/>
    <w:rsid w:val="000728CF"/>
    <w:rsid w:val="000728DA"/>
    <w:rsid w:val="000728EA"/>
    <w:rsid w:val="000729C3"/>
    <w:rsid w:val="000729E3"/>
    <w:rsid w:val="000729F1"/>
    <w:rsid w:val="00072A3E"/>
    <w:rsid w:val="00072ABD"/>
    <w:rsid w:val="00072B37"/>
    <w:rsid w:val="00072B47"/>
    <w:rsid w:val="00072B55"/>
    <w:rsid w:val="00072B59"/>
    <w:rsid w:val="00072B8B"/>
    <w:rsid w:val="00072BD2"/>
    <w:rsid w:val="00072BD3"/>
    <w:rsid w:val="00072CB3"/>
    <w:rsid w:val="00072D9C"/>
    <w:rsid w:val="00072DAC"/>
    <w:rsid w:val="00072DD4"/>
    <w:rsid w:val="00072DE5"/>
    <w:rsid w:val="00072E3A"/>
    <w:rsid w:val="00072E3E"/>
    <w:rsid w:val="00072F0B"/>
    <w:rsid w:val="00072F4E"/>
    <w:rsid w:val="00072F5A"/>
    <w:rsid w:val="00072F64"/>
    <w:rsid w:val="00072F83"/>
    <w:rsid w:val="00072F86"/>
    <w:rsid w:val="00072F8F"/>
    <w:rsid w:val="00072F9E"/>
    <w:rsid w:val="00072FAC"/>
    <w:rsid w:val="00072FE0"/>
    <w:rsid w:val="00073010"/>
    <w:rsid w:val="00073084"/>
    <w:rsid w:val="00073099"/>
    <w:rsid w:val="000730A0"/>
    <w:rsid w:val="000730A1"/>
    <w:rsid w:val="000730BE"/>
    <w:rsid w:val="00073105"/>
    <w:rsid w:val="00073130"/>
    <w:rsid w:val="000731D0"/>
    <w:rsid w:val="0007321D"/>
    <w:rsid w:val="00073340"/>
    <w:rsid w:val="00073387"/>
    <w:rsid w:val="000733A2"/>
    <w:rsid w:val="0007346D"/>
    <w:rsid w:val="00073473"/>
    <w:rsid w:val="000734B6"/>
    <w:rsid w:val="000734FF"/>
    <w:rsid w:val="00073592"/>
    <w:rsid w:val="00073635"/>
    <w:rsid w:val="00073685"/>
    <w:rsid w:val="00073696"/>
    <w:rsid w:val="00073738"/>
    <w:rsid w:val="00073743"/>
    <w:rsid w:val="00073745"/>
    <w:rsid w:val="0007374C"/>
    <w:rsid w:val="00073767"/>
    <w:rsid w:val="00073776"/>
    <w:rsid w:val="000737AA"/>
    <w:rsid w:val="000737C6"/>
    <w:rsid w:val="000737E7"/>
    <w:rsid w:val="000737F2"/>
    <w:rsid w:val="000737F9"/>
    <w:rsid w:val="000737FA"/>
    <w:rsid w:val="0007382E"/>
    <w:rsid w:val="00073833"/>
    <w:rsid w:val="0007388F"/>
    <w:rsid w:val="000738FD"/>
    <w:rsid w:val="0007393A"/>
    <w:rsid w:val="000739B2"/>
    <w:rsid w:val="000739BB"/>
    <w:rsid w:val="000739DF"/>
    <w:rsid w:val="00073A26"/>
    <w:rsid w:val="00073A8E"/>
    <w:rsid w:val="00073AAE"/>
    <w:rsid w:val="00073AD7"/>
    <w:rsid w:val="00073B24"/>
    <w:rsid w:val="00073B55"/>
    <w:rsid w:val="00073B6D"/>
    <w:rsid w:val="00073B9A"/>
    <w:rsid w:val="00073BB2"/>
    <w:rsid w:val="00073BE0"/>
    <w:rsid w:val="00073C12"/>
    <w:rsid w:val="00073C25"/>
    <w:rsid w:val="00073C6B"/>
    <w:rsid w:val="00073C9E"/>
    <w:rsid w:val="00073CE6"/>
    <w:rsid w:val="00073CEE"/>
    <w:rsid w:val="00073D3D"/>
    <w:rsid w:val="00073D6C"/>
    <w:rsid w:val="00073D8D"/>
    <w:rsid w:val="00073DDA"/>
    <w:rsid w:val="00073E83"/>
    <w:rsid w:val="00073EC4"/>
    <w:rsid w:val="00073FC5"/>
    <w:rsid w:val="00073FD9"/>
    <w:rsid w:val="0007402A"/>
    <w:rsid w:val="000740C9"/>
    <w:rsid w:val="00074111"/>
    <w:rsid w:val="00074125"/>
    <w:rsid w:val="0007416B"/>
    <w:rsid w:val="00074186"/>
    <w:rsid w:val="000741CB"/>
    <w:rsid w:val="000741D0"/>
    <w:rsid w:val="000741F3"/>
    <w:rsid w:val="00074239"/>
    <w:rsid w:val="000742A6"/>
    <w:rsid w:val="000742AC"/>
    <w:rsid w:val="00074367"/>
    <w:rsid w:val="00074395"/>
    <w:rsid w:val="000744F6"/>
    <w:rsid w:val="000744F9"/>
    <w:rsid w:val="0007452D"/>
    <w:rsid w:val="0007453D"/>
    <w:rsid w:val="000745B5"/>
    <w:rsid w:val="000745E5"/>
    <w:rsid w:val="0007463F"/>
    <w:rsid w:val="00074674"/>
    <w:rsid w:val="00074701"/>
    <w:rsid w:val="0007472B"/>
    <w:rsid w:val="000747AB"/>
    <w:rsid w:val="000747F2"/>
    <w:rsid w:val="0007480A"/>
    <w:rsid w:val="00074814"/>
    <w:rsid w:val="0007485B"/>
    <w:rsid w:val="000748B7"/>
    <w:rsid w:val="000748FC"/>
    <w:rsid w:val="0007490B"/>
    <w:rsid w:val="00074931"/>
    <w:rsid w:val="00074933"/>
    <w:rsid w:val="0007494E"/>
    <w:rsid w:val="00074986"/>
    <w:rsid w:val="00074AA2"/>
    <w:rsid w:val="00074AF8"/>
    <w:rsid w:val="00074B14"/>
    <w:rsid w:val="00074BA5"/>
    <w:rsid w:val="00074BBA"/>
    <w:rsid w:val="00074BE3"/>
    <w:rsid w:val="00074C68"/>
    <w:rsid w:val="00074C7A"/>
    <w:rsid w:val="00074C82"/>
    <w:rsid w:val="00074CFD"/>
    <w:rsid w:val="00074D96"/>
    <w:rsid w:val="00074E43"/>
    <w:rsid w:val="00074EBC"/>
    <w:rsid w:val="00074EC1"/>
    <w:rsid w:val="00074EE0"/>
    <w:rsid w:val="00074F2A"/>
    <w:rsid w:val="00074F3B"/>
    <w:rsid w:val="00074F7D"/>
    <w:rsid w:val="00074FA2"/>
    <w:rsid w:val="00075028"/>
    <w:rsid w:val="000750B9"/>
    <w:rsid w:val="00075145"/>
    <w:rsid w:val="00075169"/>
    <w:rsid w:val="00075191"/>
    <w:rsid w:val="000751A8"/>
    <w:rsid w:val="00075211"/>
    <w:rsid w:val="000752B2"/>
    <w:rsid w:val="0007533B"/>
    <w:rsid w:val="0007540D"/>
    <w:rsid w:val="00075433"/>
    <w:rsid w:val="0007544D"/>
    <w:rsid w:val="0007548C"/>
    <w:rsid w:val="00075493"/>
    <w:rsid w:val="000754C9"/>
    <w:rsid w:val="000754D2"/>
    <w:rsid w:val="000754EB"/>
    <w:rsid w:val="00075500"/>
    <w:rsid w:val="00075547"/>
    <w:rsid w:val="00075575"/>
    <w:rsid w:val="00075595"/>
    <w:rsid w:val="000755AD"/>
    <w:rsid w:val="000755C1"/>
    <w:rsid w:val="000755DC"/>
    <w:rsid w:val="0007564B"/>
    <w:rsid w:val="00075661"/>
    <w:rsid w:val="000756AA"/>
    <w:rsid w:val="000756D9"/>
    <w:rsid w:val="00075725"/>
    <w:rsid w:val="000758A0"/>
    <w:rsid w:val="000759A8"/>
    <w:rsid w:val="000759AA"/>
    <w:rsid w:val="000759EB"/>
    <w:rsid w:val="000759F9"/>
    <w:rsid w:val="00075A5A"/>
    <w:rsid w:val="00075A6D"/>
    <w:rsid w:val="00075B22"/>
    <w:rsid w:val="00075B6E"/>
    <w:rsid w:val="00075B79"/>
    <w:rsid w:val="00075BA2"/>
    <w:rsid w:val="00075BB8"/>
    <w:rsid w:val="00075C0A"/>
    <w:rsid w:val="00075C0E"/>
    <w:rsid w:val="00075C3A"/>
    <w:rsid w:val="00075C55"/>
    <w:rsid w:val="00075C5D"/>
    <w:rsid w:val="00075CBE"/>
    <w:rsid w:val="00075D14"/>
    <w:rsid w:val="00075DA6"/>
    <w:rsid w:val="00075DE7"/>
    <w:rsid w:val="00075E14"/>
    <w:rsid w:val="00075E60"/>
    <w:rsid w:val="00075E9E"/>
    <w:rsid w:val="00075EF0"/>
    <w:rsid w:val="00075F01"/>
    <w:rsid w:val="00075F4B"/>
    <w:rsid w:val="00075F6F"/>
    <w:rsid w:val="00075F7E"/>
    <w:rsid w:val="00075FB4"/>
    <w:rsid w:val="00075FC9"/>
    <w:rsid w:val="00076001"/>
    <w:rsid w:val="00076022"/>
    <w:rsid w:val="0007603E"/>
    <w:rsid w:val="00076088"/>
    <w:rsid w:val="000760B4"/>
    <w:rsid w:val="00076154"/>
    <w:rsid w:val="000761B0"/>
    <w:rsid w:val="000761D6"/>
    <w:rsid w:val="000761ED"/>
    <w:rsid w:val="00076202"/>
    <w:rsid w:val="0007621F"/>
    <w:rsid w:val="0007624A"/>
    <w:rsid w:val="0007624E"/>
    <w:rsid w:val="0007629E"/>
    <w:rsid w:val="000762A7"/>
    <w:rsid w:val="00076305"/>
    <w:rsid w:val="00076363"/>
    <w:rsid w:val="00076375"/>
    <w:rsid w:val="0007644C"/>
    <w:rsid w:val="00076471"/>
    <w:rsid w:val="000764D4"/>
    <w:rsid w:val="00076512"/>
    <w:rsid w:val="00076535"/>
    <w:rsid w:val="00076546"/>
    <w:rsid w:val="0007657A"/>
    <w:rsid w:val="000765AD"/>
    <w:rsid w:val="00076618"/>
    <w:rsid w:val="000766A1"/>
    <w:rsid w:val="00076777"/>
    <w:rsid w:val="000767C2"/>
    <w:rsid w:val="000767E2"/>
    <w:rsid w:val="000767EC"/>
    <w:rsid w:val="0007687C"/>
    <w:rsid w:val="0007687F"/>
    <w:rsid w:val="000768B4"/>
    <w:rsid w:val="000768FA"/>
    <w:rsid w:val="0007693D"/>
    <w:rsid w:val="0007697B"/>
    <w:rsid w:val="000769CD"/>
    <w:rsid w:val="00076A2F"/>
    <w:rsid w:val="00076A31"/>
    <w:rsid w:val="00076A7E"/>
    <w:rsid w:val="00076AF6"/>
    <w:rsid w:val="00076B64"/>
    <w:rsid w:val="00076B7F"/>
    <w:rsid w:val="00076BCD"/>
    <w:rsid w:val="00076C5F"/>
    <w:rsid w:val="00076CCE"/>
    <w:rsid w:val="00076CF7"/>
    <w:rsid w:val="00076D0E"/>
    <w:rsid w:val="00076DA3"/>
    <w:rsid w:val="00076DD6"/>
    <w:rsid w:val="00076E65"/>
    <w:rsid w:val="00076EAE"/>
    <w:rsid w:val="00076EBB"/>
    <w:rsid w:val="00076EFC"/>
    <w:rsid w:val="00076F00"/>
    <w:rsid w:val="00076F0D"/>
    <w:rsid w:val="00076F76"/>
    <w:rsid w:val="00076FCE"/>
    <w:rsid w:val="00076FD1"/>
    <w:rsid w:val="0007711A"/>
    <w:rsid w:val="00077155"/>
    <w:rsid w:val="00077157"/>
    <w:rsid w:val="00077163"/>
    <w:rsid w:val="000771F8"/>
    <w:rsid w:val="0007729C"/>
    <w:rsid w:val="000772E9"/>
    <w:rsid w:val="00077382"/>
    <w:rsid w:val="0007738A"/>
    <w:rsid w:val="000773B4"/>
    <w:rsid w:val="000773CC"/>
    <w:rsid w:val="000773E4"/>
    <w:rsid w:val="00077406"/>
    <w:rsid w:val="000774EF"/>
    <w:rsid w:val="0007752D"/>
    <w:rsid w:val="00077549"/>
    <w:rsid w:val="00077689"/>
    <w:rsid w:val="0007768D"/>
    <w:rsid w:val="000776B4"/>
    <w:rsid w:val="00077725"/>
    <w:rsid w:val="0007772C"/>
    <w:rsid w:val="00077745"/>
    <w:rsid w:val="00077762"/>
    <w:rsid w:val="00077766"/>
    <w:rsid w:val="000777B1"/>
    <w:rsid w:val="000777FD"/>
    <w:rsid w:val="00077835"/>
    <w:rsid w:val="00077877"/>
    <w:rsid w:val="0007787C"/>
    <w:rsid w:val="00077898"/>
    <w:rsid w:val="000778D0"/>
    <w:rsid w:val="00077903"/>
    <w:rsid w:val="00077A00"/>
    <w:rsid w:val="00077A62"/>
    <w:rsid w:val="00077A92"/>
    <w:rsid w:val="00077AB5"/>
    <w:rsid w:val="00077AD1"/>
    <w:rsid w:val="00077B01"/>
    <w:rsid w:val="00077B1B"/>
    <w:rsid w:val="00077B46"/>
    <w:rsid w:val="00077B67"/>
    <w:rsid w:val="00077B9C"/>
    <w:rsid w:val="00077BA7"/>
    <w:rsid w:val="00077BC1"/>
    <w:rsid w:val="00077BCB"/>
    <w:rsid w:val="00077C1C"/>
    <w:rsid w:val="00077C25"/>
    <w:rsid w:val="00077C2B"/>
    <w:rsid w:val="00077C3E"/>
    <w:rsid w:val="00077C5F"/>
    <w:rsid w:val="00077CE4"/>
    <w:rsid w:val="00077D5B"/>
    <w:rsid w:val="00077E16"/>
    <w:rsid w:val="00077E38"/>
    <w:rsid w:val="00077E58"/>
    <w:rsid w:val="00077E6A"/>
    <w:rsid w:val="00077E6B"/>
    <w:rsid w:val="00077E72"/>
    <w:rsid w:val="00077F1E"/>
    <w:rsid w:val="00077F44"/>
    <w:rsid w:val="00077F86"/>
    <w:rsid w:val="00077FB7"/>
    <w:rsid w:val="00077FEB"/>
    <w:rsid w:val="0008001E"/>
    <w:rsid w:val="000800D7"/>
    <w:rsid w:val="00080169"/>
    <w:rsid w:val="0008017F"/>
    <w:rsid w:val="0008019B"/>
    <w:rsid w:val="000801E2"/>
    <w:rsid w:val="00080203"/>
    <w:rsid w:val="00080260"/>
    <w:rsid w:val="0008027C"/>
    <w:rsid w:val="000802D1"/>
    <w:rsid w:val="0008031A"/>
    <w:rsid w:val="0008035E"/>
    <w:rsid w:val="000803F9"/>
    <w:rsid w:val="0008042C"/>
    <w:rsid w:val="0008043F"/>
    <w:rsid w:val="00080452"/>
    <w:rsid w:val="00080472"/>
    <w:rsid w:val="0008054A"/>
    <w:rsid w:val="00080555"/>
    <w:rsid w:val="00080652"/>
    <w:rsid w:val="00080662"/>
    <w:rsid w:val="000806E1"/>
    <w:rsid w:val="000807AB"/>
    <w:rsid w:val="000807C4"/>
    <w:rsid w:val="0008088F"/>
    <w:rsid w:val="000808BF"/>
    <w:rsid w:val="000808D8"/>
    <w:rsid w:val="000808E9"/>
    <w:rsid w:val="0008094D"/>
    <w:rsid w:val="00080969"/>
    <w:rsid w:val="000809CF"/>
    <w:rsid w:val="000809D6"/>
    <w:rsid w:val="000809F7"/>
    <w:rsid w:val="00080A04"/>
    <w:rsid w:val="00080A57"/>
    <w:rsid w:val="00080A6E"/>
    <w:rsid w:val="00080A89"/>
    <w:rsid w:val="00080B4F"/>
    <w:rsid w:val="00080BCA"/>
    <w:rsid w:val="00080C16"/>
    <w:rsid w:val="00080C22"/>
    <w:rsid w:val="00080C4D"/>
    <w:rsid w:val="00080C8F"/>
    <w:rsid w:val="00080C90"/>
    <w:rsid w:val="00080CBA"/>
    <w:rsid w:val="00080CC7"/>
    <w:rsid w:val="00080CF5"/>
    <w:rsid w:val="00080D3A"/>
    <w:rsid w:val="00080DD6"/>
    <w:rsid w:val="00080DF1"/>
    <w:rsid w:val="00080E52"/>
    <w:rsid w:val="00080EEB"/>
    <w:rsid w:val="00080F0C"/>
    <w:rsid w:val="00080F30"/>
    <w:rsid w:val="00080F3F"/>
    <w:rsid w:val="00080FBF"/>
    <w:rsid w:val="00080FD6"/>
    <w:rsid w:val="0008103E"/>
    <w:rsid w:val="00081069"/>
    <w:rsid w:val="00081092"/>
    <w:rsid w:val="000810DE"/>
    <w:rsid w:val="00081109"/>
    <w:rsid w:val="00081112"/>
    <w:rsid w:val="0008121F"/>
    <w:rsid w:val="00081235"/>
    <w:rsid w:val="00081254"/>
    <w:rsid w:val="0008126F"/>
    <w:rsid w:val="000812A6"/>
    <w:rsid w:val="000812DE"/>
    <w:rsid w:val="000812FA"/>
    <w:rsid w:val="00081400"/>
    <w:rsid w:val="0008140B"/>
    <w:rsid w:val="0008145D"/>
    <w:rsid w:val="0008146D"/>
    <w:rsid w:val="000814D3"/>
    <w:rsid w:val="000814D5"/>
    <w:rsid w:val="000814E7"/>
    <w:rsid w:val="0008150F"/>
    <w:rsid w:val="0008152A"/>
    <w:rsid w:val="0008157D"/>
    <w:rsid w:val="0008159C"/>
    <w:rsid w:val="000815B2"/>
    <w:rsid w:val="0008165C"/>
    <w:rsid w:val="000816C0"/>
    <w:rsid w:val="000816C3"/>
    <w:rsid w:val="00081837"/>
    <w:rsid w:val="00081844"/>
    <w:rsid w:val="0008187D"/>
    <w:rsid w:val="00081881"/>
    <w:rsid w:val="00081897"/>
    <w:rsid w:val="000818E6"/>
    <w:rsid w:val="0008192B"/>
    <w:rsid w:val="00081956"/>
    <w:rsid w:val="0008198B"/>
    <w:rsid w:val="00081A1C"/>
    <w:rsid w:val="00081A25"/>
    <w:rsid w:val="00081A39"/>
    <w:rsid w:val="00081ADF"/>
    <w:rsid w:val="00081B36"/>
    <w:rsid w:val="00081B70"/>
    <w:rsid w:val="00081B7C"/>
    <w:rsid w:val="00081B85"/>
    <w:rsid w:val="00081BB7"/>
    <w:rsid w:val="00081BE1"/>
    <w:rsid w:val="00081C5F"/>
    <w:rsid w:val="00081C76"/>
    <w:rsid w:val="00081DD6"/>
    <w:rsid w:val="00081E31"/>
    <w:rsid w:val="00081E61"/>
    <w:rsid w:val="00081E90"/>
    <w:rsid w:val="00081E94"/>
    <w:rsid w:val="00081ECA"/>
    <w:rsid w:val="00081ECB"/>
    <w:rsid w:val="00081EEE"/>
    <w:rsid w:val="00081F04"/>
    <w:rsid w:val="00081F18"/>
    <w:rsid w:val="00081F21"/>
    <w:rsid w:val="00081F55"/>
    <w:rsid w:val="00081F6E"/>
    <w:rsid w:val="00081F7F"/>
    <w:rsid w:val="00081FAE"/>
    <w:rsid w:val="00081FB9"/>
    <w:rsid w:val="00081FC2"/>
    <w:rsid w:val="00082029"/>
    <w:rsid w:val="00082053"/>
    <w:rsid w:val="00082059"/>
    <w:rsid w:val="00082126"/>
    <w:rsid w:val="00082158"/>
    <w:rsid w:val="0008215A"/>
    <w:rsid w:val="0008218C"/>
    <w:rsid w:val="000821C2"/>
    <w:rsid w:val="00082206"/>
    <w:rsid w:val="00082244"/>
    <w:rsid w:val="000822C3"/>
    <w:rsid w:val="00082380"/>
    <w:rsid w:val="000823B0"/>
    <w:rsid w:val="000823BD"/>
    <w:rsid w:val="000823DA"/>
    <w:rsid w:val="0008242D"/>
    <w:rsid w:val="00082465"/>
    <w:rsid w:val="000824F9"/>
    <w:rsid w:val="0008259A"/>
    <w:rsid w:val="000825D0"/>
    <w:rsid w:val="000825E0"/>
    <w:rsid w:val="000825EA"/>
    <w:rsid w:val="0008263C"/>
    <w:rsid w:val="0008263F"/>
    <w:rsid w:val="000826BA"/>
    <w:rsid w:val="000826BC"/>
    <w:rsid w:val="000826DB"/>
    <w:rsid w:val="000826E6"/>
    <w:rsid w:val="00082715"/>
    <w:rsid w:val="0008272E"/>
    <w:rsid w:val="00082743"/>
    <w:rsid w:val="00082787"/>
    <w:rsid w:val="00082808"/>
    <w:rsid w:val="0008286B"/>
    <w:rsid w:val="00082932"/>
    <w:rsid w:val="00082973"/>
    <w:rsid w:val="00082A27"/>
    <w:rsid w:val="00082B9B"/>
    <w:rsid w:val="00082BB2"/>
    <w:rsid w:val="00082BF8"/>
    <w:rsid w:val="00082C74"/>
    <w:rsid w:val="00082CA3"/>
    <w:rsid w:val="00082CB5"/>
    <w:rsid w:val="00082CC2"/>
    <w:rsid w:val="00082CD4"/>
    <w:rsid w:val="00082D4F"/>
    <w:rsid w:val="00082D9E"/>
    <w:rsid w:val="00082E0B"/>
    <w:rsid w:val="00082E2E"/>
    <w:rsid w:val="00082F0D"/>
    <w:rsid w:val="00082F26"/>
    <w:rsid w:val="00082F87"/>
    <w:rsid w:val="00082FA6"/>
    <w:rsid w:val="00082FEE"/>
    <w:rsid w:val="0008300F"/>
    <w:rsid w:val="0008307F"/>
    <w:rsid w:val="0008308C"/>
    <w:rsid w:val="000830DB"/>
    <w:rsid w:val="00083136"/>
    <w:rsid w:val="00083143"/>
    <w:rsid w:val="0008316F"/>
    <w:rsid w:val="0008318E"/>
    <w:rsid w:val="0008327F"/>
    <w:rsid w:val="00083296"/>
    <w:rsid w:val="0008329E"/>
    <w:rsid w:val="000832A2"/>
    <w:rsid w:val="000832B5"/>
    <w:rsid w:val="0008330C"/>
    <w:rsid w:val="000833A4"/>
    <w:rsid w:val="000833D1"/>
    <w:rsid w:val="0008341A"/>
    <w:rsid w:val="000834B3"/>
    <w:rsid w:val="000834C4"/>
    <w:rsid w:val="000834F4"/>
    <w:rsid w:val="00083505"/>
    <w:rsid w:val="000835F8"/>
    <w:rsid w:val="0008362F"/>
    <w:rsid w:val="00083651"/>
    <w:rsid w:val="0008367F"/>
    <w:rsid w:val="0008369D"/>
    <w:rsid w:val="000836C5"/>
    <w:rsid w:val="00083751"/>
    <w:rsid w:val="00083838"/>
    <w:rsid w:val="00083880"/>
    <w:rsid w:val="000838ED"/>
    <w:rsid w:val="00083924"/>
    <w:rsid w:val="00083963"/>
    <w:rsid w:val="00083973"/>
    <w:rsid w:val="00083997"/>
    <w:rsid w:val="000839A6"/>
    <w:rsid w:val="000839C4"/>
    <w:rsid w:val="00083A6C"/>
    <w:rsid w:val="00083ACC"/>
    <w:rsid w:val="00083ACF"/>
    <w:rsid w:val="00083AF2"/>
    <w:rsid w:val="00083B16"/>
    <w:rsid w:val="00083B7B"/>
    <w:rsid w:val="00083BA4"/>
    <w:rsid w:val="00083BFF"/>
    <w:rsid w:val="00083C21"/>
    <w:rsid w:val="00083C6F"/>
    <w:rsid w:val="00083C70"/>
    <w:rsid w:val="00083CB5"/>
    <w:rsid w:val="00083CFB"/>
    <w:rsid w:val="00083D43"/>
    <w:rsid w:val="00083D63"/>
    <w:rsid w:val="00083DC3"/>
    <w:rsid w:val="00083E0A"/>
    <w:rsid w:val="00083E1F"/>
    <w:rsid w:val="00083E4F"/>
    <w:rsid w:val="00083F03"/>
    <w:rsid w:val="00083F75"/>
    <w:rsid w:val="00083FE4"/>
    <w:rsid w:val="00084051"/>
    <w:rsid w:val="0008408D"/>
    <w:rsid w:val="0008409E"/>
    <w:rsid w:val="000840B0"/>
    <w:rsid w:val="000840CF"/>
    <w:rsid w:val="000840D3"/>
    <w:rsid w:val="00084120"/>
    <w:rsid w:val="00084189"/>
    <w:rsid w:val="000841A1"/>
    <w:rsid w:val="000841B8"/>
    <w:rsid w:val="000841D1"/>
    <w:rsid w:val="000841D9"/>
    <w:rsid w:val="00084216"/>
    <w:rsid w:val="00084268"/>
    <w:rsid w:val="00084352"/>
    <w:rsid w:val="000843C7"/>
    <w:rsid w:val="00084417"/>
    <w:rsid w:val="0008444A"/>
    <w:rsid w:val="00084456"/>
    <w:rsid w:val="0008448C"/>
    <w:rsid w:val="000844A2"/>
    <w:rsid w:val="000844ED"/>
    <w:rsid w:val="000845A3"/>
    <w:rsid w:val="000845A4"/>
    <w:rsid w:val="000845F8"/>
    <w:rsid w:val="000845FF"/>
    <w:rsid w:val="0008463A"/>
    <w:rsid w:val="0008467C"/>
    <w:rsid w:val="0008480F"/>
    <w:rsid w:val="00084865"/>
    <w:rsid w:val="000848A6"/>
    <w:rsid w:val="000848B3"/>
    <w:rsid w:val="000848BE"/>
    <w:rsid w:val="000848DA"/>
    <w:rsid w:val="00084904"/>
    <w:rsid w:val="00084922"/>
    <w:rsid w:val="0008497D"/>
    <w:rsid w:val="00084A1D"/>
    <w:rsid w:val="00084A2B"/>
    <w:rsid w:val="00084A52"/>
    <w:rsid w:val="00084A76"/>
    <w:rsid w:val="00084ADA"/>
    <w:rsid w:val="00084B05"/>
    <w:rsid w:val="00084B21"/>
    <w:rsid w:val="00084B48"/>
    <w:rsid w:val="00084B79"/>
    <w:rsid w:val="00084B80"/>
    <w:rsid w:val="00084BC4"/>
    <w:rsid w:val="00084C1C"/>
    <w:rsid w:val="00084C8B"/>
    <w:rsid w:val="00084CAA"/>
    <w:rsid w:val="00084CB7"/>
    <w:rsid w:val="00084D32"/>
    <w:rsid w:val="00084D38"/>
    <w:rsid w:val="00084DDE"/>
    <w:rsid w:val="00084DE3"/>
    <w:rsid w:val="00084E57"/>
    <w:rsid w:val="00084E6B"/>
    <w:rsid w:val="00084E7C"/>
    <w:rsid w:val="00084E8C"/>
    <w:rsid w:val="00084E92"/>
    <w:rsid w:val="00084EE6"/>
    <w:rsid w:val="00084F14"/>
    <w:rsid w:val="00084F19"/>
    <w:rsid w:val="00084F22"/>
    <w:rsid w:val="00084F68"/>
    <w:rsid w:val="00084F7D"/>
    <w:rsid w:val="00084F81"/>
    <w:rsid w:val="00084FB6"/>
    <w:rsid w:val="00085155"/>
    <w:rsid w:val="000851AC"/>
    <w:rsid w:val="000851C8"/>
    <w:rsid w:val="000851D5"/>
    <w:rsid w:val="00085212"/>
    <w:rsid w:val="00085221"/>
    <w:rsid w:val="00085226"/>
    <w:rsid w:val="00085316"/>
    <w:rsid w:val="00085363"/>
    <w:rsid w:val="000853BC"/>
    <w:rsid w:val="000853BD"/>
    <w:rsid w:val="000853D2"/>
    <w:rsid w:val="00085494"/>
    <w:rsid w:val="00085497"/>
    <w:rsid w:val="000854B6"/>
    <w:rsid w:val="000854B9"/>
    <w:rsid w:val="000854C6"/>
    <w:rsid w:val="00085531"/>
    <w:rsid w:val="0008557C"/>
    <w:rsid w:val="00085620"/>
    <w:rsid w:val="000856B7"/>
    <w:rsid w:val="000856CE"/>
    <w:rsid w:val="000856DE"/>
    <w:rsid w:val="00085714"/>
    <w:rsid w:val="0008571F"/>
    <w:rsid w:val="00085723"/>
    <w:rsid w:val="000857AA"/>
    <w:rsid w:val="00085840"/>
    <w:rsid w:val="0008584C"/>
    <w:rsid w:val="00085869"/>
    <w:rsid w:val="000858AF"/>
    <w:rsid w:val="000858DD"/>
    <w:rsid w:val="00085970"/>
    <w:rsid w:val="000859CA"/>
    <w:rsid w:val="00085A68"/>
    <w:rsid w:val="00085A7C"/>
    <w:rsid w:val="00085B62"/>
    <w:rsid w:val="00085B75"/>
    <w:rsid w:val="00085C71"/>
    <w:rsid w:val="00085CAE"/>
    <w:rsid w:val="00085CD1"/>
    <w:rsid w:val="00085CF2"/>
    <w:rsid w:val="00085D0E"/>
    <w:rsid w:val="00085D9A"/>
    <w:rsid w:val="00085DE6"/>
    <w:rsid w:val="00085E85"/>
    <w:rsid w:val="00085E9B"/>
    <w:rsid w:val="00085EA6"/>
    <w:rsid w:val="00085F0B"/>
    <w:rsid w:val="00085F21"/>
    <w:rsid w:val="0008608F"/>
    <w:rsid w:val="000860B8"/>
    <w:rsid w:val="0008616A"/>
    <w:rsid w:val="0008619B"/>
    <w:rsid w:val="00086248"/>
    <w:rsid w:val="00086266"/>
    <w:rsid w:val="00086291"/>
    <w:rsid w:val="00086319"/>
    <w:rsid w:val="00086338"/>
    <w:rsid w:val="00086360"/>
    <w:rsid w:val="00086387"/>
    <w:rsid w:val="00086388"/>
    <w:rsid w:val="000863B6"/>
    <w:rsid w:val="000863FC"/>
    <w:rsid w:val="0008643A"/>
    <w:rsid w:val="0008648E"/>
    <w:rsid w:val="000864D4"/>
    <w:rsid w:val="000864EE"/>
    <w:rsid w:val="00086568"/>
    <w:rsid w:val="00086572"/>
    <w:rsid w:val="000865DE"/>
    <w:rsid w:val="00086646"/>
    <w:rsid w:val="00086663"/>
    <w:rsid w:val="00086671"/>
    <w:rsid w:val="0008667B"/>
    <w:rsid w:val="00086696"/>
    <w:rsid w:val="000866BB"/>
    <w:rsid w:val="000866C1"/>
    <w:rsid w:val="000867BC"/>
    <w:rsid w:val="000867D9"/>
    <w:rsid w:val="00086830"/>
    <w:rsid w:val="00086857"/>
    <w:rsid w:val="00086884"/>
    <w:rsid w:val="000868F4"/>
    <w:rsid w:val="00086946"/>
    <w:rsid w:val="00086956"/>
    <w:rsid w:val="0008697B"/>
    <w:rsid w:val="000869AE"/>
    <w:rsid w:val="000869AF"/>
    <w:rsid w:val="00086A12"/>
    <w:rsid w:val="00086A3D"/>
    <w:rsid w:val="00086AB9"/>
    <w:rsid w:val="00086B04"/>
    <w:rsid w:val="00086B7B"/>
    <w:rsid w:val="00086C18"/>
    <w:rsid w:val="00086C26"/>
    <w:rsid w:val="00086C27"/>
    <w:rsid w:val="00086CD3"/>
    <w:rsid w:val="00086D28"/>
    <w:rsid w:val="00086D5F"/>
    <w:rsid w:val="00086D91"/>
    <w:rsid w:val="00086E14"/>
    <w:rsid w:val="00086E67"/>
    <w:rsid w:val="00086E8B"/>
    <w:rsid w:val="00086ECA"/>
    <w:rsid w:val="00086ED4"/>
    <w:rsid w:val="00086F6B"/>
    <w:rsid w:val="00086F77"/>
    <w:rsid w:val="00086FAB"/>
    <w:rsid w:val="00086FDB"/>
    <w:rsid w:val="00087011"/>
    <w:rsid w:val="0008702C"/>
    <w:rsid w:val="0008705F"/>
    <w:rsid w:val="0008706D"/>
    <w:rsid w:val="0008706E"/>
    <w:rsid w:val="000870AC"/>
    <w:rsid w:val="000870BA"/>
    <w:rsid w:val="000870C3"/>
    <w:rsid w:val="00087144"/>
    <w:rsid w:val="0008714F"/>
    <w:rsid w:val="000871E7"/>
    <w:rsid w:val="00087231"/>
    <w:rsid w:val="00087245"/>
    <w:rsid w:val="00087259"/>
    <w:rsid w:val="00087288"/>
    <w:rsid w:val="000872C5"/>
    <w:rsid w:val="000872CA"/>
    <w:rsid w:val="000872CC"/>
    <w:rsid w:val="000872CF"/>
    <w:rsid w:val="000873BE"/>
    <w:rsid w:val="00087455"/>
    <w:rsid w:val="00087473"/>
    <w:rsid w:val="0008747D"/>
    <w:rsid w:val="000874DF"/>
    <w:rsid w:val="00087575"/>
    <w:rsid w:val="0008760A"/>
    <w:rsid w:val="00087637"/>
    <w:rsid w:val="00087677"/>
    <w:rsid w:val="000876CB"/>
    <w:rsid w:val="000876E6"/>
    <w:rsid w:val="00087731"/>
    <w:rsid w:val="000877AB"/>
    <w:rsid w:val="000877DA"/>
    <w:rsid w:val="000877DD"/>
    <w:rsid w:val="0008781D"/>
    <w:rsid w:val="00087892"/>
    <w:rsid w:val="000878A5"/>
    <w:rsid w:val="000878D3"/>
    <w:rsid w:val="0008797B"/>
    <w:rsid w:val="000879F7"/>
    <w:rsid w:val="000879FF"/>
    <w:rsid w:val="00087A50"/>
    <w:rsid w:val="00087A6F"/>
    <w:rsid w:val="00087A8E"/>
    <w:rsid w:val="00087ACA"/>
    <w:rsid w:val="00087BA0"/>
    <w:rsid w:val="00087BBD"/>
    <w:rsid w:val="00087BCC"/>
    <w:rsid w:val="00087BFD"/>
    <w:rsid w:val="00087C02"/>
    <w:rsid w:val="00087C6A"/>
    <w:rsid w:val="00087C8E"/>
    <w:rsid w:val="00087CCF"/>
    <w:rsid w:val="00087D35"/>
    <w:rsid w:val="00087D8B"/>
    <w:rsid w:val="00087DFA"/>
    <w:rsid w:val="00087E90"/>
    <w:rsid w:val="00087EB7"/>
    <w:rsid w:val="00087ECB"/>
    <w:rsid w:val="00087EE6"/>
    <w:rsid w:val="00087EF7"/>
    <w:rsid w:val="00087F1E"/>
    <w:rsid w:val="00087F4D"/>
    <w:rsid w:val="00087F89"/>
    <w:rsid w:val="00087FAA"/>
    <w:rsid w:val="00087FD0"/>
    <w:rsid w:val="0009000D"/>
    <w:rsid w:val="00090020"/>
    <w:rsid w:val="00090094"/>
    <w:rsid w:val="00090204"/>
    <w:rsid w:val="0009021C"/>
    <w:rsid w:val="00090222"/>
    <w:rsid w:val="00090229"/>
    <w:rsid w:val="00090278"/>
    <w:rsid w:val="000902AD"/>
    <w:rsid w:val="000902C9"/>
    <w:rsid w:val="00090346"/>
    <w:rsid w:val="00090364"/>
    <w:rsid w:val="000903FE"/>
    <w:rsid w:val="00090410"/>
    <w:rsid w:val="00090432"/>
    <w:rsid w:val="0009047D"/>
    <w:rsid w:val="000904C8"/>
    <w:rsid w:val="00090508"/>
    <w:rsid w:val="00090560"/>
    <w:rsid w:val="00090578"/>
    <w:rsid w:val="000905C2"/>
    <w:rsid w:val="00090672"/>
    <w:rsid w:val="000906D3"/>
    <w:rsid w:val="000906DC"/>
    <w:rsid w:val="000906DD"/>
    <w:rsid w:val="00090700"/>
    <w:rsid w:val="00090707"/>
    <w:rsid w:val="00090757"/>
    <w:rsid w:val="00090782"/>
    <w:rsid w:val="00090793"/>
    <w:rsid w:val="00090797"/>
    <w:rsid w:val="000907F6"/>
    <w:rsid w:val="00090834"/>
    <w:rsid w:val="0009084E"/>
    <w:rsid w:val="00090852"/>
    <w:rsid w:val="00090884"/>
    <w:rsid w:val="000908ED"/>
    <w:rsid w:val="0009095D"/>
    <w:rsid w:val="000909E4"/>
    <w:rsid w:val="000909FF"/>
    <w:rsid w:val="00090A2B"/>
    <w:rsid w:val="00090A97"/>
    <w:rsid w:val="00090AD9"/>
    <w:rsid w:val="00090BA4"/>
    <w:rsid w:val="00090BF5"/>
    <w:rsid w:val="00090C58"/>
    <w:rsid w:val="00090C94"/>
    <w:rsid w:val="00090C97"/>
    <w:rsid w:val="00090CDE"/>
    <w:rsid w:val="00090D2D"/>
    <w:rsid w:val="00090D71"/>
    <w:rsid w:val="00090D97"/>
    <w:rsid w:val="00090DEF"/>
    <w:rsid w:val="00090E18"/>
    <w:rsid w:val="00090E27"/>
    <w:rsid w:val="00090E61"/>
    <w:rsid w:val="00090ED0"/>
    <w:rsid w:val="00090F2E"/>
    <w:rsid w:val="00090F3D"/>
    <w:rsid w:val="00090F57"/>
    <w:rsid w:val="00090F7F"/>
    <w:rsid w:val="00090FDE"/>
    <w:rsid w:val="00091071"/>
    <w:rsid w:val="00091083"/>
    <w:rsid w:val="000910B4"/>
    <w:rsid w:val="000910C9"/>
    <w:rsid w:val="000910DC"/>
    <w:rsid w:val="000910E9"/>
    <w:rsid w:val="00091113"/>
    <w:rsid w:val="0009117F"/>
    <w:rsid w:val="000911F6"/>
    <w:rsid w:val="00091267"/>
    <w:rsid w:val="000912A6"/>
    <w:rsid w:val="000912F2"/>
    <w:rsid w:val="00091313"/>
    <w:rsid w:val="0009132C"/>
    <w:rsid w:val="00091372"/>
    <w:rsid w:val="000913CB"/>
    <w:rsid w:val="00091404"/>
    <w:rsid w:val="00091431"/>
    <w:rsid w:val="00091439"/>
    <w:rsid w:val="0009148A"/>
    <w:rsid w:val="000914C1"/>
    <w:rsid w:val="00091509"/>
    <w:rsid w:val="0009155B"/>
    <w:rsid w:val="00091565"/>
    <w:rsid w:val="0009157A"/>
    <w:rsid w:val="000915A2"/>
    <w:rsid w:val="000915A9"/>
    <w:rsid w:val="0009167F"/>
    <w:rsid w:val="000916AE"/>
    <w:rsid w:val="000916CA"/>
    <w:rsid w:val="000916D9"/>
    <w:rsid w:val="000916F8"/>
    <w:rsid w:val="0009172B"/>
    <w:rsid w:val="00091792"/>
    <w:rsid w:val="0009179A"/>
    <w:rsid w:val="000917BC"/>
    <w:rsid w:val="00091822"/>
    <w:rsid w:val="0009182A"/>
    <w:rsid w:val="0009183C"/>
    <w:rsid w:val="00091842"/>
    <w:rsid w:val="00091896"/>
    <w:rsid w:val="000918B1"/>
    <w:rsid w:val="000918C8"/>
    <w:rsid w:val="000918E3"/>
    <w:rsid w:val="000918EC"/>
    <w:rsid w:val="00091920"/>
    <w:rsid w:val="00091927"/>
    <w:rsid w:val="00091942"/>
    <w:rsid w:val="0009195B"/>
    <w:rsid w:val="0009195D"/>
    <w:rsid w:val="00091A26"/>
    <w:rsid w:val="00091A42"/>
    <w:rsid w:val="00091A4A"/>
    <w:rsid w:val="00091A51"/>
    <w:rsid w:val="00091A6A"/>
    <w:rsid w:val="00091A74"/>
    <w:rsid w:val="00091A79"/>
    <w:rsid w:val="00091A89"/>
    <w:rsid w:val="00091AFF"/>
    <w:rsid w:val="00091B1E"/>
    <w:rsid w:val="00091B36"/>
    <w:rsid w:val="00091B47"/>
    <w:rsid w:val="00091B70"/>
    <w:rsid w:val="00091B7A"/>
    <w:rsid w:val="00091BAD"/>
    <w:rsid w:val="00091BBA"/>
    <w:rsid w:val="00091C92"/>
    <w:rsid w:val="00091C9F"/>
    <w:rsid w:val="00091D71"/>
    <w:rsid w:val="00091D93"/>
    <w:rsid w:val="00091DAF"/>
    <w:rsid w:val="00091E3F"/>
    <w:rsid w:val="00091E75"/>
    <w:rsid w:val="00091E95"/>
    <w:rsid w:val="00091EC1"/>
    <w:rsid w:val="00091EF6"/>
    <w:rsid w:val="00092061"/>
    <w:rsid w:val="0009207B"/>
    <w:rsid w:val="00092158"/>
    <w:rsid w:val="000921A1"/>
    <w:rsid w:val="000921D9"/>
    <w:rsid w:val="00092261"/>
    <w:rsid w:val="00092286"/>
    <w:rsid w:val="00092290"/>
    <w:rsid w:val="00092346"/>
    <w:rsid w:val="000923A8"/>
    <w:rsid w:val="000923AA"/>
    <w:rsid w:val="000923CB"/>
    <w:rsid w:val="00092419"/>
    <w:rsid w:val="00092434"/>
    <w:rsid w:val="00092452"/>
    <w:rsid w:val="0009245F"/>
    <w:rsid w:val="00092461"/>
    <w:rsid w:val="000924AD"/>
    <w:rsid w:val="000924DE"/>
    <w:rsid w:val="000925BA"/>
    <w:rsid w:val="000925C2"/>
    <w:rsid w:val="000925CB"/>
    <w:rsid w:val="00092694"/>
    <w:rsid w:val="000926E8"/>
    <w:rsid w:val="0009273F"/>
    <w:rsid w:val="0009275B"/>
    <w:rsid w:val="00092776"/>
    <w:rsid w:val="000927E3"/>
    <w:rsid w:val="00092818"/>
    <w:rsid w:val="00092834"/>
    <w:rsid w:val="00092887"/>
    <w:rsid w:val="000928EC"/>
    <w:rsid w:val="00092905"/>
    <w:rsid w:val="00092918"/>
    <w:rsid w:val="0009293B"/>
    <w:rsid w:val="0009295E"/>
    <w:rsid w:val="00092962"/>
    <w:rsid w:val="000929CF"/>
    <w:rsid w:val="00092A33"/>
    <w:rsid w:val="00092A7A"/>
    <w:rsid w:val="00092ABC"/>
    <w:rsid w:val="00092B32"/>
    <w:rsid w:val="00092B56"/>
    <w:rsid w:val="00092CA5"/>
    <w:rsid w:val="00092CE9"/>
    <w:rsid w:val="00092D35"/>
    <w:rsid w:val="00092D5A"/>
    <w:rsid w:val="00092D90"/>
    <w:rsid w:val="00092DEF"/>
    <w:rsid w:val="00092E31"/>
    <w:rsid w:val="00092E4A"/>
    <w:rsid w:val="00092E4B"/>
    <w:rsid w:val="00092FA1"/>
    <w:rsid w:val="00092FA7"/>
    <w:rsid w:val="00092FE5"/>
    <w:rsid w:val="0009307F"/>
    <w:rsid w:val="0009308E"/>
    <w:rsid w:val="000930AB"/>
    <w:rsid w:val="0009312A"/>
    <w:rsid w:val="00093130"/>
    <w:rsid w:val="00093178"/>
    <w:rsid w:val="000931D8"/>
    <w:rsid w:val="000931E7"/>
    <w:rsid w:val="000931F9"/>
    <w:rsid w:val="000931FE"/>
    <w:rsid w:val="000933C8"/>
    <w:rsid w:val="0009341C"/>
    <w:rsid w:val="0009341F"/>
    <w:rsid w:val="0009343B"/>
    <w:rsid w:val="00093458"/>
    <w:rsid w:val="0009348D"/>
    <w:rsid w:val="000934AB"/>
    <w:rsid w:val="000934E6"/>
    <w:rsid w:val="00093503"/>
    <w:rsid w:val="00093546"/>
    <w:rsid w:val="00093566"/>
    <w:rsid w:val="0009357A"/>
    <w:rsid w:val="00093595"/>
    <w:rsid w:val="0009365A"/>
    <w:rsid w:val="000936BD"/>
    <w:rsid w:val="000936FE"/>
    <w:rsid w:val="00093726"/>
    <w:rsid w:val="000937BD"/>
    <w:rsid w:val="0009382F"/>
    <w:rsid w:val="00093888"/>
    <w:rsid w:val="0009389B"/>
    <w:rsid w:val="000938A6"/>
    <w:rsid w:val="000938F3"/>
    <w:rsid w:val="00093984"/>
    <w:rsid w:val="00093998"/>
    <w:rsid w:val="00093A0A"/>
    <w:rsid w:val="00093AD5"/>
    <w:rsid w:val="00093B14"/>
    <w:rsid w:val="00093B33"/>
    <w:rsid w:val="00093B67"/>
    <w:rsid w:val="00093C34"/>
    <w:rsid w:val="00093C74"/>
    <w:rsid w:val="00093D2F"/>
    <w:rsid w:val="00093D38"/>
    <w:rsid w:val="00093D73"/>
    <w:rsid w:val="00093D9D"/>
    <w:rsid w:val="00093E14"/>
    <w:rsid w:val="00093E37"/>
    <w:rsid w:val="00093E43"/>
    <w:rsid w:val="00093E94"/>
    <w:rsid w:val="00093EEC"/>
    <w:rsid w:val="00093F42"/>
    <w:rsid w:val="00093FBE"/>
    <w:rsid w:val="00093FC4"/>
    <w:rsid w:val="0009401B"/>
    <w:rsid w:val="00094030"/>
    <w:rsid w:val="00094066"/>
    <w:rsid w:val="00094075"/>
    <w:rsid w:val="000940D0"/>
    <w:rsid w:val="000940F9"/>
    <w:rsid w:val="00094110"/>
    <w:rsid w:val="0009411A"/>
    <w:rsid w:val="0009415B"/>
    <w:rsid w:val="000941C4"/>
    <w:rsid w:val="000941FA"/>
    <w:rsid w:val="000941FB"/>
    <w:rsid w:val="00094264"/>
    <w:rsid w:val="0009427E"/>
    <w:rsid w:val="00094288"/>
    <w:rsid w:val="000942B8"/>
    <w:rsid w:val="00094305"/>
    <w:rsid w:val="0009432F"/>
    <w:rsid w:val="000943BF"/>
    <w:rsid w:val="000943D3"/>
    <w:rsid w:val="00094403"/>
    <w:rsid w:val="0009461A"/>
    <w:rsid w:val="00094627"/>
    <w:rsid w:val="00094659"/>
    <w:rsid w:val="000946A0"/>
    <w:rsid w:val="0009488F"/>
    <w:rsid w:val="0009489B"/>
    <w:rsid w:val="000948A2"/>
    <w:rsid w:val="000948B2"/>
    <w:rsid w:val="000948E2"/>
    <w:rsid w:val="00094931"/>
    <w:rsid w:val="0009493A"/>
    <w:rsid w:val="0009497A"/>
    <w:rsid w:val="0009498F"/>
    <w:rsid w:val="000949B6"/>
    <w:rsid w:val="000949DD"/>
    <w:rsid w:val="00094A04"/>
    <w:rsid w:val="00094A0B"/>
    <w:rsid w:val="00094A1C"/>
    <w:rsid w:val="00094A5D"/>
    <w:rsid w:val="00094A86"/>
    <w:rsid w:val="00094AB4"/>
    <w:rsid w:val="00094AB8"/>
    <w:rsid w:val="00094AE7"/>
    <w:rsid w:val="00094AF0"/>
    <w:rsid w:val="00094B36"/>
    <w:rsid w:val="00094B66"/>
    <w:rsid w:val="00094B92"/>
    <w:rsid w:val="00094BA9"/>
    <w:rsid w:val="00094C12"/>
    <w:rsid w:val="00094C1A"/>
    <w:rsid w:val="00094C5E"/>
    <w:rsid w:val="00094C64"/>
    <w:rsid w:val="00094CB4"/>
    <w:rsid w:val="00094D52"/>
    <w:rsid w:val="00094E15"/>
    <w:rsid w:val="00094E30"/>
    <w:rsid w:val="00094E36"/>
    <w:rsid w:val="00094E5E"/>
    <w:rsid w:val="00094E98"/>
    <w:rsid w:val="00094F66"/>
    <w:rsid w:val="00094FB9"/>
    <w:rsid w:val="00094FC5"/>
    <w:rsid w:val="00094FF7"/>
    <w:rsid w:val="00095011"/>
    <w:rsid w:val="00095031"/>
    <w:rsid w:val="00095047"/>
    <w:rsid w:val="000950EE"/>
    <w:rsid w:val="0009516C"/>
    <w:rsid w:val="000951D8"/>
    <w:rsid w:val="00095201"/>
    <w:rsid w:val="0009520A"/>
    <w:rsid w:val="00095252"/>
    <w:rsid w:val="00095264"/>
    <w:rsid w:val="00095266"/>
    <w:rsid w:val="00095269"/>
    <w:rsid w:val="000952D2"/>
    <w:rsid w:val="000952FC"/>
    <w:rsid w:val="0009537B"/>
    <w:rsid w:val="000953A8"/>
    <w:rsid w:val="0009540A"/>
    <w:rsid w:val="0009542F"/>
    <w:rsid w:val="00095450"/>
    <w:rsid w:val="00095466"/>
    <w:rsid w:val="00095490"/>
    <w:rsid w:val="000954C4"/>
    <w:rsid w:val="000954D4"/>
    <w:rsid w:val="000955D3"/>
    <w:rsid w:val="000955DF"/>
    <w:rsid w:val="00095641"/>
    <w:rsid w:val="000956AB"/>
    <w:rsid w:val="000956B0"/>
    <w:rsid w:val="000956DC"/>
    <w:rsid w:val="0009570B"/>
    <w:rsid w:val="0009572D"/>
    <w:rsid w:val="0009574D"/>
    <w:rsid w:val="00095773"/>
    <w:rsid w:val="000957AA"/>
    <w:rsid w:val="0009581D"/>
    <w:rsid w:val="00095822"/>
    <w:rsid w:val="0009582D"/>
    <w:rsid w:val="00095837"/>
    <w:rsid w:val="00095883"/>
    <w:rsid w:val="00095902"/>
    <w:rsid w:val="00095913"/>
    <w:rsid w:val="000959B4"/>
    <w:rsid w:val="00095A0C"/>
    <w:rsid w:val="00095A5A"/>
    <w:rsid w:val="00095A6C"/>
    <w:rsid w:val="00095A9B"/>
    <w:rsid w:val="00095B03"/>
    <w:rsid w:val="00095B44"/>
    <w:rsid w:val="00095B5B"/>
    <w:rsid w:val="00095B6B"/>
    <w:rsid w:val="00095BA1"/>
    <w:rsid w:val="00095C03"/>
    <w:rsid w:val="00095C2F"/>
    <w:rsid w:val="00095C3A"/>
    <w:rsid w:val="00095C8B"/>
    <w:rsid w:val="00095C98"/>
    <w:rsid w:val="00095C9D"/>
    <w:rsid w:val="00095CD5"/>
    <w:rsid w:val="00095CE9"/>
    <w:rsid w:val="00095D3D"/>
    <w:rsid w:val="00095D54"/>
    <w:rsid w:val="00095DD6"/>
    <w:rsid w:val="00095DF5"/>
    <w:rsid w:val="00095E4F"/>
    <w:rsid w:val="00095ED0"/>
    <w:rsid w:val="00095F08"/>
    <w:rsid w:val="00095F74"/>
    <w:rsid w:val="00095FC3"/>
    <w:rsid w:val="00096006"/>
    <w:rsid w:val="0009602C"/>
    <w:rsid w:val="00096051"/>
    <w:rsid w:val="00096055"/>
    <w:rsid w:val="000960A0"/>
    <w:rsid w:val="000960D5"/>
    <w:rsid w:val="00096126"/>
    <w:rsid w:val="0009615A"/>
    <w:rsid w:val="00096176"/>
    <w:rsid w:val="00096194"/>
    <w:rsid w:val="0009627B"/>
    <w:rsid w:val="00096305"/>
    <w:rsid w:val="0009634C"/>
    <w:rsid w:val="000963B9"/>
    <w:rsid w:val="000963BB"/>
    <w:rsid w:val="000963E6"/>
    <w:rsid w:val="00096401"/>
    <w:rsid w:val="00096433"/>
    <w:rsid w:val="00096446"/>
    <w:rsid w:val="000964B9"/>
    <w:rsid w:val="0009654B"/>
    <w:rsid w:val="00096578"/>
    <w:rsid w:val="00096584"/>
    <w:rsid w:val="000965FE"/>
    <w:rsid w:val="00096620"/>
    <w:rsid w:val="00096628"/>
    <w:rsid w:val="0009662C"/>
    <w:rsid w:val="0009664C"/>
    <w:rsid w:val="00096692"/>
    <w:rsid w:val="000966C2"/>
    <w:rsid w:val="000966D7"/>
    <w:rsid w:val="00096705"/>
    <w:rsid w:val="00096793"/>
    <w:rsid w:val="000967B2"/>
    <w:rsid w:val="000967E3"/>
    <w:rsid w:val="000967F3"/>
    <w:rsid w:val="0009687E"/>
    <w:rsid w:val="000968AE"/>
    <w:rsid w:val="000968DF"/>
    <w:rsid w:val="00096963"/>
    <w:rsid w:val="00096988"/>
    <w:rsid w:val="000969AA"/>
    <w:rsid w:val="00096AAA"/>
    <w:rsid w:val="00096B6C"/>
    <w:rsid w:val="00096BF0"/>
    <w:rsid w:val="00096BF9"/>
    <w:rsid w:val="00096C11"/>
    <w:rsid w:val="00096C17"/>
    <w:rsid w:val="00096C7B"/>
    <w:rsid w:val="00096C89"/>
    <w:rsid w:val="00096CDA"/>
    <w:rsid w:val="00096D1E"/>
    <w:rsid w:val="00096D5F"/>
    <w:rsid w:val="00096D79"/>
    <w:rsid w:val="00096E01"/>
    <w:rsid w:val="00096E1D"/>
    <w:rsid w:val="00096E34"/>
    <w:rsid w:val="00096E70"/>
    <w:rsid w:val="00096F59"/>
    <w:rsid w:val="00096F63"/>
    <w:rsid w:val="00096FC2"/>
    <w:rsid w:val="00097011"/>
    <w:rsid w:val="0009704B"/>
    <w:rsid w:val="00097057"/>
    <w:rsid w:val="00097060"/>
    <w:rsid w:val="00097082"/>
    <w:rsid w:val="0009708F"/>
    <w:rsid w:val="00097093"/>
    <w:rsid w:val="00097095"/>
    <w:rsid w:val="00097107"/>
    <w:rsid w:val="00097188"/>
    <w:rsid w:val="000971BE"/>
    <w:rsid w:val="00097291"/>
    <w:rsid w:val="000972D1"/>
    <w:rsid w:val="000972D9"/>
    <w:rsid w:val="000972F7"/>
    <w:rsid w:val="0009730A"/>
    <w:rsid w:val="0009732B"/>
    <w:rsid w:val="00097402"/>
    <w:rsid w:val="00097407"/>
    <w:rsid w:val="0009740E"/>
    <w:rsid w:val="00097441"/>
    <w:rsid w:val="00097515"/>
    <w:rsid w:val="00097552"/>
    <w:rsid w:val="00097557"/>
    <w:rsid w:val="0009756F"/>
    <w:rsid w:val="000975F2"/>
    <w:rsid w:val="0009760C"/>
    <w:rsid w:val="0009760D"/>
    <w:rsid w:val="00097619"/>
    <w:rsid w:val="0009765D"/>
    <w:rsid w:val="000976AD"/>
    <w:rsid w:val="00097724"/>
    <w:rsid w:val="0009776E"/>
    <w:rsid w:val="000977A5"/>
    <w:rsid w:val="000978F1"/>
    <w:rsid w:val="000979F8"/>
    <w:rsid w:val="00097A81"/>
    <w:rsid w:val="00097AA2"/>
    <w:rsid w:val="00097AC6"/>
    <w:rsid w:val="00097B34"/>
    <w:rsid w:val="00097BFD"/>
    <w:rsid w:val="00097C02"/>
    <w:rsid w:val="00097C38"/>
    <w:rsid w:val="00097C4F"/>
    <w:rsid w:val="00097C5F"/>
    <w:rsid w:val="00097C7E"/>
    <w:rsid w:val="00097D06"/>
    <w:rsid w:val="00097D5E"/>
    <w:rsid w:val="00097DC1"/>
    <w:rsid w:val="00097E3C"/>
    <w:rsid w:val="00097E6F"/>
    <w:rsid w:val="00097E90"/>
    <w:rsid w:val="00097E9F"/>
    <w:rsid w:val="00097EA0"/>
    <w:rsid w:val="00097EB3"/>
    <w:rsid w:val="00097EC6"/>
    <w:rsid w:val="00097ED9"/>
    <w:rsid w:val="00097EF9"/>
    <w:rsid w:val="00097F34"/>
    <w:rsid w:val="00097F44"/>
    <w:rsid w:val="00097F45"/>
    <w:rsid w:val="00097FD9"/>
    <w:rsid w:val="000A0059"/>
    <w:rsid w:val="000A00D9"/>
    <w:rsid w:val="000A00E5"/>
    <w:rsid w:val="000A0123"/>
    <w:rsid w:val="000A01A7"/>
    <w:rsid w:val="000A01B7"/>
    <w:rsid w:val="000A01BA"/>
    <w:rsid w:val="000A0222"/>
    <w:rsid w:val="000A022A"/>
    <w:rsid w:val="000A027C"/>
    <w:rsid w:val="000A027F"/>
    <w:rsid w:val="000A02B7"/>
    <w:rsid w:val="000A02C9"/>
    <w:rsid w:val="000A02E9"/>
    <w:rsid w:val="000A02EA"/>
    <w:rsid w:val="000A0362"/>
    <w:rsid w:val="000A037D"/>
    <w:rsid w:val="000A03A6"/>
    <w:rsid w:val="000A03B9"/>
    <w:rsid w:val="000A03C2"/>
    <w:rsid w:val="000A03D2"/>
    <w:rsid w:val="000A03FE"/>
    <w:rsid w:val="000A0439"/>
    <w:rsid w:val="000A0477"/>
    <w:rsid w:val="000A0487"/>
    <w:rsid w:val="000A050A"/>
    <w:rsid w:val="000A054D"/>
    <w:rsid w:val="000A05E7"/>
    <w:rsid w:val="000A05ED"/>
    <w:rsid w:val="000A0627"/>
    <w:rsid w:val="000A067E"/>
    <w:rsid w:val="000A0681"/>
    <w:rsid w:val="000A06B8"/>
    <w:rsid w:val="000A06E2"/>
    <w:rsid w:val="000A078F"/>
    <w:rsid w:val="000A0800"/>
    <w:rsid w:val="000A0861"/>
    <w:rsid w:val="000A086B"/>
    <w:rsid w:val="000A08A5"/>
    <w:rsid w:val="000A08C6"/>
    <w:rsid w:val="000A08F4"/>
    <w:rsid w:val="000A0923"/>
    <w:rsid w:val="000A0939"/>
    <w:rsid w:val="000A093D"/>
    <w:rsid w:val="000A0956"/>
    <w:rsid w:val="000A0969"/>
    <w:rsid w:val="000A0A0C"/>
    <w:rsid w:val="000A0A3E"/>
    <w:rsid w:val="000A0A51"/>
    <w:rsid w:val="000A0A7B"/>
    <w:rsid w:val="000A0AB0"/>
    <w:rsid w:val="000A0AC0"/>
    <w:rsid w:val="000A0B50"/>
    <w:rsid w:val="000A0B63"/>
    <w:rsid w:val="000A0B98"/>
    <w:rsid w:val="000A0BC1"/>
    <w:rsid w:val="000A0C28"/>
    <w:rsid w:val="000A0C38"/>
    <w:rsid w:val="000A0C5D"/>
    <w:rsid w:val="000A0CF6"/>
    <w:rsid w:val="000A0D18"/>
    <w:rsid w:val="000A0D4B"/>
    <w:rsid w:val="000A0D62"/>
    <w:rsid w:val="000A0DA7"/>
    <w:rsid w:val="000A0DB6"/>
    <w:rsid w:val="000A0DDD"/>
    <w:rsid w:val="000A0E40"/>
    <w:rsid w:val="000A0E75"/>
    <w:rsid w:val="000A0F62"/>
    <w:rsid w:val="000A0FB7"/>
    <w:rsid w:val="000A0FEA"/>
    <w:rsid w:val="000A0FEB"/>
    <w:rsid w:val="000A0FF3"/>
    <w:rsid w:val="000A1010"/>
    <w:rsid w:val="000A103B"/>
    <w:rsid w:val="000A1181"/>
    <w:rsid w:val="000A11CF"/>
    <w:rsid w:val="000A1206"/>
    <w:rsid w:val="000A1227"/>
    <w:rsid w:val="000A122F"/>
    <w:rsid w:val="000A12C4"/>
    <w:rsid w:val="000A12DA"/>
    <w:rsid w:val="000A1301"/>
    <w:rsid w:val="000A133A"/>
    <w:rsid w:val="000A133B"/>
    <w:rsid w:val="000A133C"/>
    <w:rsid w:val="000A1465"/>
    <w:rsid w:val="000A149C"/>
    <w:rsid w:val="000A14F4"/>
    <w:rsid w:val="000A1503"/>
    <w:rsid w:val="000A157C"/>
    <w:rsid w:val="000A1589"/>
    <w:rsid w:val="000A15BC"/>
    <w:rsid w:val="000A15D1"/>
    <w:rsid w:val="000A15EA"/>
    <w:rsid w:val="000A16AE"/>
    <w:rsid w:val="000A16C6"/>
    <w:rsid w:val="000A1700"/>
    <w:rsid w:val="000A1724"/>
    <w:rsid w:val="000A1737"/>
    <w:rsid w:val="000A176B"/>
    <w:rsid w:val="000A1773"/>
    <w:rsid w:val="000A184E"/>
    <w:rsid w:val="000A1960"/>
    <w:rsid w:val="000A199D"/>
    <w:rsid w:val="000A1A04"/>
    <w:rsid w:val="000A1A3B"/>
    <w:rsid w:val="000A1A4D"/>
    <w:rsid w:val="000A1A70"/>
    <w:rsid w:val="000A1AC4"/>
    <w:rsid w:val="000A1AFB"/>
    <w:rsid w:val="000A1BA7"/>
    <w:rsid w:val="000A1BAF"/>
    <w:rsid w:val="000A1BB7"/>
    <w:rsid w:val="000A1BEA"/>
    <w:rsid w:val="000A1C0C"/>
    <w:rsid w:val="000A1C18"/>
    <w:rsid w:val="000A1C83"/>
    <w:rsid w:val="000A1CCD"/>
    <w:rsid w:val="000A1D5F"/>
    <w:rsid w:val="000A1D93"/>
    <w:rsid w:val="000A1E0A"/>
    <w:rsid w:val="000A1E2E"/>
    <w:rsid w:val="000A1E68"/>
    <w:rsid w:val="000A1E6C"/>
    <w:rsid w:val="000A1E73"/>
    <w:rsid w:val="000A1E79"/>
    <w:rsid w:val="000A1F32"/>
    <w:rsid w:val="000A1F9D"/>
    <w:rsid w:val="000A1FF1"/>
    <w:rsid w:val="000A2081"/>
    <w:rsid w:val="000A209D"/>
    <w:rsid w:val="000A20A4"/>
    <w:rsid w:val="000A20BC"/>
    <w:rsid w:val="000A20D0"/>
    <w:rsid w:val="000A214A"/>
    <w:rsid w:val="000A21EB"/>
    <w:rsid w:val="000A21FC"/>
    <w:rsid w:val="000A221A"/>
    <w:rsid w:val="000A2223"/>
    <w:rsid w:val="000A2245"/>
    <w:rsid w:val="000A224A"/>
    <w:rsid w:val="000A225F"/>
    <w:rsid w:val="000A2274"/>
    <w:rsid w:val="000A2371"/>
    <w:rsid w:val="000A2393"/>
    <w:rsid w:val="000A23A7"/>
    <w:rsid w:val="000A23F1"/>
    <w:rsid w:val="000A2426"/>
    <w:rsid w:val="000A24B4"/>
    <w:rsid w:val="000A24C9"/>
    <w:rsid w:val="000A2505"/>
    <w:rsid w:val="000A253A"/>
    <w:rsid w:val="000A257F"/>
    <w:rsid w:val="000A2595"/>
    <w:rsid w:val="000A25AF"/>
    <w:rsid w:val="000A25FC"/>
    <w:rsid w:val="000A263A"/>
    <w:rsid w:val="000A2656"/>
    <w:rsid w:val="000A265B"/>
    <w:rsid w:val="000A267C"/>
    <w:rsid w:val="000A2699"/>
    <w:rsid w:val="000A26AB"/>
    <w:rsid w:val="000A26F0"/>
    <w:rsid w:val="000A273F"/>
    <w:rsid w:val="000A2752"/>
    <w:rsid w:val="000A2773"/>
    <w:rsid w:val="000A27A6"/>
    <w:rsid w:val="000A27AA"/>
    <w:rsid w:val="000A282E"/>
    <w:rsid w:val="000A2861"/>
    <w:rsid w:val="000A2897"/>
    <w:rsid w:val="000A293B"/>
    <w:rsid w:val="000A295E"/>
    <w:rsid w:val="000A2A04"/>
    <w:rsid w:val="000A2A0C"/>
    <w:rsid w:val="000A2A0D"/>
    <w:rsid w:val="000A2A36"/>
    <w:rsid w:val="000A2A47"/>
    <w:rsid w:val="000A2A5F"/>
    <w:rsid w:val="000A2A75"/>
    <w:rsid w:val="000A2A7C"/>
    <w:rsid w:val="000A2AA8"/>
    <w:rsid w:val="000A2AE6"/>
    <w:rsid w:val="000A2AF2"/>
    <w:rsid w:val="000A2AF3"/>
    <w:rsid w:val="000A2B2F"/>
    <w:rsid w:val="000A2BB6"/>
    <w:rsid w:val="000A2BDD"/>
    <w:rsid w:val="000A2C09"/>
    <w:rsid w:val="000A2D37"/>
    <w:rsid w:val="000A2D5D"/>
    <w:rsid w:val="000A2D88"/>
    <w:rsid w:val="000A2DB7"/>
    <w:rsid w:val="000A2DFD"/>
    <w:rsid w:val="000A2E8F"/>
    <w:rsid w:val="000A2F27"/>
    <w:rsid w:val="000A2F46"/>
    <w:rsid w:val="000A2F8A"/>
    <w:rsid w:val="000A2FDB"/>
    <w:rsid w:val="000A3027"/>
    <w:rsid w:val="000A305A"/>
    <w:rsid w:val="000A3063"/>
    <w:rsid w:val="000A3092"/>
    <w:rsid w:val="000A309B"/>
    <w:rsid w:val="000A30D3"/>
    <w:rsid w:val="000A30E2"/>
    <w:rsid w:val="000A30F7"/>
    <w:rsid w:val="000A3167"/>
    <w:rsid w:val="000A3220"/>
    <w:rsid w:val="000A3240"/>
    <w:rsid w:val="000A3267"/>
    <w:rsid w:val="000A3271"/>
    <w:rsid w:val="000A32CA"/>
    <w:rsid w:val="000A32D1"/>
    <w:rsid w:val="000A32EA"/>
    <w:rsid w:val="000A32FB"/>
    <w:rsid w:val="000A335E"/>
    <w:rsid w:val="000A337D"/>
    <w:rsid w:val="000A3389"/>
    <w:rsid w:val="000A33C4"/>
    <w:rsid w:val="000A33C8"/>
    <w:rsid w:val="000A3416"/>
    <w:rsid w:val="000A343E"/>
    <w:rsid w:val="000A3454"/>
    <w:rsid w:val="000A3498"/>
    <w:rsid w:val="000A34B9"/>
    <w:rsid w:val="000A34C4"/>
    <w:rsid w:val="000A34CD"/>
    <w:rsid w:val="000A34FE"/>
    <w:rsid w:val="000A3518"/>
    <w:rsid w:val="000A3533"/>
    <w:rsid w:val="000A35BC"/>
    <w:rsid w:val="000A35C5"/>
    <w:rsid w:val="000A3699"/>
    <w:rsid w:val="000A36B6"/>
    <w:rsid w:val="000A36E4"/>
    <w:rsid w:val="000A371E"/>
    <w:rsid w:val="000A3758"/>
    <w:rsid w:val="000A375D"/>
    <w:rsid w:val="000A3770"/>
    <w:rsid w:val="000A379B"/>
    <w:rsid w:val="000A37D5"/>
    <w:rsid w:val="000A3826"/>
    <w:rsid w:val="000A384A"/>
    <w:rsid w:val="000A3893"/>
    <w:rsid w:val="000A38A4"/>
    <w:rsid w:val="000A38C7"/>
    <w:rsid w:val="000A38E2"/>
    <w:rsid w:val="000A3903"/>
    <w:rsid w:val="000A39BF"/>
    <w:rsid w:val="000A39E1"/>
    <w:rsid w:val="000A3A3F"/>
    <w:rsid w:val="000A3A90"/>
    <w:rsid w:val="000A3A9C"/>
    <w:rsid w:val="000A3ABB"/>
    <w:rsid w:val="000A3AC6"/>
    <w:rsid w:val="000A3AE7"/>
    <w:rsid w:val="000A3B62"/>
    <w:rsid w:val="000A3BC1"/>
    <w:rsid w:val="000A3C1E"/>
    <w:rsid w:val="000A3C4C"/>
    <w:rsid w:val="000A3CCF"/>
    <w:rsid w:val="000A3D1C"/>
    <w:rsid w:val="000A3D2A"/>
    <w:rsid w:val="000A3D30"/>
    <w:rsid w:val="000A3D91"/>
    <w:rsid w:val="000A3E2A"/>
    <w:rsid w:val="000A3E38"/>
    <w:rsid w:val="000A3E44"/>
    <w:rsid w:val="000A3ECA"/>
    <w:rsid w:val="000A3F15"/>
    <w:rsid w:val="000A3F49"/>
    <w:rsid w:val="000A3F86"/>
    <w:rsid w:val="000A3F97"/>
    <w:rsid w:val="000A3F99"/>
    <w:rsid w:val="000A3FE2"/>
    <w:rsid w:val="000A4081"/>
    <w:rsid w:val="000A40E2"/>
    <w:rsid w:val="000A4123"/>
    <w:rsid w:val="000A4165"/>
    <w:rsid w:val="000A4267"/>
    <w:rsid w:val="000A42C6"/>
    <w:rsid w:val="000A4328"/>
    <w:rsid w:val="000A434C"/>
    <w:rsid w:val="000A444A"/>
    <w:rsid w:val="000A4485"/>
    <w:rsid w:val="000A44DD"/>
    <w:rsid w:val="000A44F7"/>
    <w:rsid w:val="000A4532"/>
    <w:rsid w:val="000A4562"/>
    <w:rsid w:val="000A45D3"/>
    <w:rsid w:val="000A464A"/>
    <w:rsid w:val="000A4666"/>
    <w:rsid w:val="000A466F"/>
    <w:rsid w:val="000A46FF"/>
    <w:rsid w:val="000A4751"/>
    <w:rsid w:val="000A4791"/>
    <w:rsid w:val="000A47B3"/>
    <w:rsid w:val="000A4834"/>
    <w:rsid w:val="000A483A"/>
    <w:rsid w:val="000A4840"/>
    <w:rsid w:val="000A4884"/>
    <w:rsid w:val="000A48F0"/>
    <w:rsid w:val="000A4942"/>
    <w:rsid w:val="000A4961"/>
    <w:rsid w:val="000A4992"/>
    <w:rsid w:val="000A49AD"/>
    <w:rsid w:val="000A49BD"/>
    <w:rsid w:val="000A49EE"/>
    <w:rsid w:val="000A4A19"/>
    <w:rsid w:val="000A4A4F"/>
    <w:rsid w:val="000A4B59"/>
    <w:rsid w:val="000A4B77"/>
    <w:rsid w:val="000A4B9D"/>
    <w:rsid w:val="000A4BAE"/>
    <w:rsid w:val="000A4BBA"/>
    <w:rsid w:val="000A4C36"/>
    <w:rsid w:val="000A4C3B"/>
    <w:rsid w:val="000A4C3C"/>
    <w:rsid w:val="000A4C66"/>
    <w:rsid w:val="000A4CBA"/>
    <w:rsid w:val="000A4CC3"/>
    <w:rsid w:val="000A4D44"/>
    <w:rsid w:val="000A4D4C"/>
    <w:rsid w:val="000A4D78"/>
    <w:rsid w:val="000A4DC6"/>
    <w:rsid w:val="000A4E3B"/>
    <w:rsid w:val="000A4EB7"/>
    <w:rsid w:val="000A4EB8"/>
    <w:rsid w:val="000A4F08"/>
    <w:rsid w:val="000A5039"/>
    <w:rsid w:val="000A5082"/>
    <w:rsid w:val="000A5095"/>
    <w:rsid w:val="000A50A3"/>
    <w:rsid w:val="000A50ED"/>
    <w:rsid w:val="000A5147"/>
    <w:rsid w:val="000A5246"/>
    <w:rsid w:val="000A5250"/>
    <w:rsid w:val="000A5271"/>
    <w:rsid w:val="000A52CB"/>
    <w:rsid w:val="000A52D7"/>
    <w:rsid w:val="000A5316"/>
    <w:rsid w:val="000A53F5"/>
    <w:rsid w:val="000A5411"/>
    <w:rsid w:val="000A5448"/>
    <w:rsid w:val="000A5484"/>
    <w:rsid w:val="000A5519"/>
    <w:rsid w:val="000A551A"/>
    <w:rsid w:val="000A552D"/>
    <w:rsid w:val="000A5533"/>
    <w:rsid w:val="000A5555"/>
    <w:rsid w:val="000A559E"/>
    <w:rsid w:val="000A55B9"/>
    <w:rsid w:val="000A55BC"/>
    <w:rsid w:val="000A5625"/>
    <w:rsid w:val="000A5629"/>
    <w:rsid w:val="000A564A"/>
    <w:rsid w:val="000A569B"/>
    <w:rsid w:val="000A56C5"/>
    <w:rsid w:val="000A5778"/>
    <w:rsid w:val="000A5864"/>
    <w:rsid w:val="000A58C1"/>
    <w:rsid w:val="000A58FD"/>
    <w:rsid w:val="000A5972"/>
    <w:rsid w:val="000A5982"/>
    <w:rsid w:val="000A598F"/>
    <w:rsid w:val="000A59FD"/>
    <w:rsid w:val="000A5A07"/>
    <w:rsid w:val="000A5A31"/>
    <w:rsid w:val="000A5AD5"/>
    <w:rsid w:val="000A5B06"/>
    <w:rsid w:val="000A5B36"/>
    <w:rsid w:val="000A5C11"/>
    <w:rsid w:val="000A5C63"/>
    <w:rsid w:val="000A5CA6"/>
    <w:rsid w:val="000A5CE3"/>
    <w:rsid w:val="000A5D6B"/>
    <w:rsid w:val="000A5E2A"/>
    <w:rsid w:val="000A5E64"/>
    <w:rsid w:val="000A5E69"/>
    <w:rsid w:val="000A5E79"/>
    <w:rsid w:val="000A5EB2"/>
    <w:rsid w:val="000A5EC2"/>
    <w:rsid w:val="000A5EF9"/>
    <w:rsid w:val="000A5F92"/>
    <w:rsid w:val="000A5FFE"/>
    <w:rsid w:val="000A60BA"/>
    <w:rsid w:val="000A60C3"/>
    <w:rsid w:val="000A612B"/>
    <w:rsid w:val="000A6160"/>
    <w:rsid w:val="000A6161"/>
    <w:rsid w:val="000A6182"/>
    <w:rsid w:val="000A6187"/>
    <w:rsid w:val="000A61C0"/>
    <w:rsid w:val="000A61CD"/>
    <w:rsid w:val="000A61D3"/>
    <w:rsid w:val="000A6255"/>
    <w:rsid w:val="000A629B"/>
    <w:rsid w:val="000A62B9"/>
    <w:rsid w:val="000A62BA"/>
    <w:rsid w:val="000A6330"/>
    <w:rsid w:val="000A633F"/>
    <w:rsid w:val="000A635C"/>
    <w:rsid w:val="000A6372"/>
    <w:rsid w:val="000A63A0"/>
    <w:rsid w:val="000A6427"/>
    <w:rsid w:val="000A6492"/>
    <w:rsid w:val="000A6498"/>
    <w:rsid w:val="000A64BE"/>
    <w:rsid w:val="000A6568"/>
    <w:rsid w:val="000A656A"/>
    <w:rsid w:val="000A657D"/>
    <w:rsid w:val="000A6599"/>
    <w:rsid w:val="000A669C"/>
    <w:rsid w:val="000A669F"/>
    <w:rsid w:val="000A66B1"/>
    <w:rsid w:val="000A66CD"/>
    <w:rsid w:val="000A66D1"/>
    <w:rsid w:val="000A6873"/>
    <w:rsid w:val="000A68FB"/>
    <w:rsid w:val="000A6929"/>
    <w:rsid w:val="000A696A"/>
    <w:rsid w:val="000A69E8"/>
    <w:rsid w:val="000A6AE0"/>
    <w:rsid w:val="000A6B15"/>
    <w:rsid w:val="000A6B1F"/>
    <w:rsid w:val="000A6B43"/>
    <w:rsid w:val="000A6BB9"/>
    <w:rsid w:val="000A6BC0"/>
    <w:rsid w:val="000A6BC1"/>
    <w:rsid w:val="000A6C00"/>
    <w:rsid w:val="000A6C2A"/>
    <w:rsid w:val="000A6C33"/>
    <w:rsid w:val="000A6C5A"/>
    <w:rsid w:val="000A6D1C"/>
    <w:rsid w:val="000A6D45"/>
    <w:rsid w:val="000A6D5A"/>
    <w:rsid w:val="000A6DD6"/>
    <w:rsid w:val="000A6E0E"/>
    <w:rsid w:val="000A6E8A"/>
    <w:rsid w:val="000A6EDF"/>
    <w:rsid w:val="000A6EE0"/>
    <w:rsid w:val="000A6F18"/>
    <w:rsid w:val="000A6F50"/>
    <w:rsid w:val="000A6F6C"/>
    <w:rsid w:val="000A6F84"/>
    <w:rsid w:val="000A6FBB"/>
    <w:rsid w:val="000A709C"/>
    <w:rsid w:val="000A70BF"/>
    <w:rsid w:val="000A70E1"/>
    <w:rsid w:val="000A7108"/>
    <w:rsid w:val="000A7111"/>
    <w:rsid w:val="000A7112"/>
    <w:rsid w:val="000A71F8"/>
    <w:rsid w:val="000A7289"/>
    <w:rsid w:val="000A728D"/>
    <w:rsid w:val="000A72BB"/>
    <w:rsid w:val="000A72C9"/>
    <w:rsid w:val="000A7339"/>
    <w:rsid w:val="000A7343"/>
    <w:rsid w:val="000A7388"/>
    <w:rsid w:val="000A73A8"/>
    <w:rsid w:val="000A73BB"/>
    <w:rsid w:val="000A748F"/>
    <w:rsid w:val="000A7563"/>
    <w:rsid w:val="000A75B7"/>
    <w:rsid w:val="000A75DC"/>
    <w:rsid w:val="000A75EB"/>
    <w:rsid w:val="000A76FA"/>
    <w:rsid w:val="000A77B9"/>
    <w:rsid w:val="000A77F5"/>
    <w:rsid w:val="000A77F8"/>
    <w:rsid w:val="000A7820"/>
    <w:rsid w:val="000A7863"/>
    <w:rsid w:val="000A786A"/>
    <w:rsid w:val="000A78B9"/>
    <w:rsid w:val="000A78CD"/>
    <w:rsid w:val="000A7947"/>
    <w:rsid w:val="000A79AA"/>
    <w:rsid w:val="000A79C4"/>
    <w:rsid w:val="000A7A10"/>
    <w:rsid w:val="000A7A2D"/>
    <w:rsid w:val="000A7A53"/>
    <w:rsid w:val="000A7A54"/>
    <w:rsid w:val="000A7AE1"/>
    <w:rsid w:val="000A7AF6"/>
    <w:rsid w:val="000A7B0F"/>
    <w:rsid w:val="000A7B42"/>
    <w:rsid w:val="000A7B72"/>
    <w:rsid w:val="000A7BBB"/>
    <w:rsid w:val="000A7C51"/>
    <w:rsid w:val="000A7D3E"/>
    <w:rsid w:val="000A7DEF"/>
    <w:rsid w:val="000A7E13"/>
    <w:rsid w:val="000A7E3E"/>
    <w:rsid w:val="000A7E43"/>
    <w:rsid w:val="000A7E93"/>
    <w:rsid w:val="000A7F1B"/>
    <w:rsid w:val="000A7F3C"/>
    <w:rsid w:val="000A7F76"/>
    <w:rsid w:val="000A7FC4"/>
    <w:rsid w:val="000B0002"/>
    <w:rsid w:val="000B000B"/>
    <w:rsid w:val="000B0019"/>
    <w:rsid w:val="000B002B"/>
    <w:rsid w:val="000B0071"/>
    <w:rsid w:val="000B00DA"/>
    <w:rsid w:val="000B00F1"/>
    <w:rsid w:val="000B0137"/>
    <w:rsid w:val="000B014D"/>
    <w:rsid w:val="000B0179"/>
    <w:rsid w:val="000B01C6"/>
    <w:rsid w:val="000B01EE"/>
    <w:rsid w:val="000B027C"/>
    <w:rsid w:val="000B02B4"/>
    <w:rsid w:val="000B02E8"/>
    <w:rsid w:val="000B0326"/>
    <w:rsid w:val="000B0370"/>
    <w:rsid w:val="000B0385"/>
    <w:rsid w:val="000B0395"/>
    <w:rsid w:val="000B0422"/>
    <w:rsid w:val="000B0455"/>
    <w:rsid w:val="000B047A"/>
    <w:rsid w:val="000B052D"/>
    <w:rsid w:val="000B056E"/>
    <w:rsid w:val="000B0573"/>
    <w:rsid w:val="000B05E3"/>
    <w:rsid w:val="000B0652"/>
    <w:rsid w:val="000B06A0"/>
    <w:rsid w:val="000B06B1"/>
    <w:rsid w:val="000B06B9"/>
    <w:rsid w:val="000B06F1"/>
    <w:rsid w:val="000B0741"/>
    <w:rsid w:val="000B074B"/>
    <w:rsid w:val="000B07B0"/>
    <w:rsid w:val="000B07EC"/>
    <w:rsid w:val="000B0855"/>
    <w:rsid w:val="000B0868"/>
    <w:rsid w:val="000B08FB"/>
    <w:rsid w:val="000B0906"/>
    <w:rsid w:val="000B090F"/>
    <w:rsid w:val="000B09BA"/>
    <w:rsid w:val="000B0A79"/>
    <w:rsid w:val="000B0A8C"/>
    <w:rsid w:val="000B0AA4"/>
    <w:rsid w:val="000B0AF7"/>
    <w:rsid w:val="000B0B38"/>
    <w:rsid w:val="000B0B65"/>
    <w:rsid w:val="000B0BB3"/>
    <w:rsid w:val="000B0BB6"/>
    <w:rsid w:val="000B0BBD"/>
    <w:rsid w:val="000B0BC7"/>
    <w:rsid w:val="000B0BCA"/>
    <w:rsid w:val="000B0BE8"/>
    <w:rsid w:val="000B0C09"/>
    <w:rsid w:val="000B0C63"/>
    <w:rsid w:val="000B0CBB"/>
    <w:rsid w:val="000B0CE2"/>
    <w:rsid w:val="000B0D10"/>
    <w:rsid w:val="000B0D52"/>
    <w:rsid w:val="000B0D7E"/>
    <w:rsid w:val="000B0DDF"/>
    <w:rsid w:val="000B0EA6"/>
    <w:rsid w:val="000B0EAE"/>
    <w:rsid w:val="000B0ECD"/>
    <w:rsid w:val="000B0F4C"/>
    <w:rsid w:val="000B0FD6"/>
    <w:rsid w:val="000B105B"/>
    <w:rsid w:val="000B111C"/>
    <w:rsid w:val="000B111E"/>
    <w:rsid w:val="000B11B7"/>
    <w:rsid w:val="000B1203"/>
    <w:rsid w:val="000B1291"/>
    <w:rsid w:val="000B12A2"/>
    <w:rsid w:val="000B1300"/>
    <w:rsid w:val="000B1323"/>
    <w:rsid w:val="000B1342"/>
    <w:rsid w:val="000B1362"/>
    <w:rsid w:val="000B138F"/>
    <w:rsid w:val="000B139F"/>
    <w:rsid w:val="000B13B6"/>
    <w:rsid w:val="000B13C1"/>
    <w:rsid w:val="000B13C8"/>
    <w:rsid w:val="000B1429"/>
    <w:rsid w:val="000B14B4"/>
    <w:rsid w:val="000B14D6"/>
    <w:rsid w:val="000B15AE"/>
    <w:rsid w:val="000B15B0"/>
    <w:rsid w:val="000B15E1"/>
    <w:rsid w:val="000B1601"/>
    <w:rsid w:val="000B16C1"/>
    <w:rsid w:val="000B1702"/>
    <w:rsid w:val="000B179D"/>
    <w:rsid w:val="000B17D5"/>
    <w:rsid w:val="000B17F1"/>
    <w:rsid w:val="000B1803"/>
    <w:rsid w:val="000B183C"/>
    <w:rsid w:val="000B19AF"/>
    <w:rsid w:val="000B19C0"/>
    <w:rsid w:val="000B19DA"/>
    <w:rsid w:val="000B19FE"/>
    <w:rsid w:val="000B1A35"/>
    <w:rsid w:val="000B1A3C"/>
    <w:rsid w:val="000B1A7F"/>
    <w:rsid w:val="000B1AA6"/>
    <w:rsid w:val="000B1AE4"/>
    <w:rsid w:val="000B1AFC"/>
    <w:rsid w:val="000B1B68"/>
    <w:rsid w:val="000B1BFE"/>
    <w:rsid w:val="000B1C91"/>
    <w:rsid w:val="000B1C98"/>
    <w:rsid w:val="000B1D33"/>
    <w:rsid w:val="000B1DF1"/>
    <w:rsid w:val="000B1EE2"/>
    <w:rsid w:val="000B1EE7"/>
    <w:rsid w:val="000B1FB2"/>
    <w:rsid w:val="000B1FBB"/>
    <w:rsid w:val="000B2016"/>
    <w:rsid w:val="000B201B"/>
    <w:rsid w:val="000B2054"/>
    <w:rsid w:val="000B2065"/>
    <w:rsid w:val="000B20D0"/>
    <w:rsid w:val="000B20F3"/>
    <w:rsid w:val="000B2104"/>
    <w:rsid w:val="000B2155"/>
    <w:rsid w:val="000B21B6"/>
    <w:rsid w:val="000B2224"/>
    <w:rsid w:val="000B22AC"/>
    <w:rsid w:val="000B22B3"/>
    <w:rsid w:val="000B22F3"/>
    <w:rsid w:val="000B234C"/>
    <w:rsid w:val="000B23A2"/>
    <w:rsid w:val="000B23AB"/>
    <w:rsid w:val="000B23C9"/>
    <w:rsid w:val="000B2416"/>
    <w:rsid w:val="000B2442"/>
    <w:rsid w:val="000B2451"/>
    <w:rsid w:val="000B249B"/>
    <w:rsid w:val="000B24B2"/>
    <w:rsid w:val="000B24CB"/>
    <w:rsid w:val="000B24E1"/>
    <w:rsid w:val="000B24E7"/>
    <w:rsid w:val="000B255F"/>
    <w:rsid w:val="000B25B7"/>
    <w:rsid w:val="000B26BB"/>
    <w:rsid w:val="000B2726"/>
    <w:rsid w:val="000B273D"/>
    <w:rsid w:val="000B2756"/>
    <w:rsid w:val="000B275A"/>
    <w:rsid w:val="000B277C"/>
    <w:rsid w:val="000B2847"/>
    <w:rsid w:val="000B2859"/>
    <w:rsid w:val="000B2924"/>
    <w:rsid w:val="000B2966"/>
    <w:rsid w:val="000B299F"/>
    <w:rsid w:val="000B2A13"/>
    <w:rsid w:val="000B2A2C"/>
    <w:rsid w:val="000B2AE5"/>
    <w:rsid w:val="000B2B2A"/>
    <w:rsid w:val="000B2BF7"/>
    <w:rsid w:val="000B2C13"/>
    <w:rsid w:val="000B2C92"/>
    <w:rsid w:val="000B2CCB"/>
    <w:rsid w:val="000B2D9E"/>
    <w:rsid w:val="000B2EAA"/>
    <w:rsid w:val="000B2F06"/>
    <w:rsid w:val="000B2F58"/>
    <w:rsid w:val="000B2F90"/>
    <w:rsid w:val="000B2FA4"/>
    <w:rsid w:val="000B2FB4"/>
    <w:rsid w:val="000B2FEA"/>
    <w:rsid w:val="000B3008"/>
    <w:rsid w:val="000B300D"/>
    <w:rsid w:val="000B3010"/>
    <w:rsid w:val="000B3063"/>
    <w:rsid w:val="000B3099"/>
    <w:rsid w:val="000B30D1"/>
    <w:rsid w:val="000B310D"/>
    <w:rsid w:val="000B3147"/>
    <w:rsid w:val="000B3178"/>
    <w:rsid w:val="000B3179"/>
    <w:rsid w:val="000B317C"/>
    <w:rsid w:val="000B31EB"/>
    <w:rsid w:val="000B320C"/>
    <w:rsid w:val="000B3266"/>
    <w:rsid w:val="000B326C"/>
    <w:rsid w:val="000B327A"/>
    <w:rsid w:val="000B32A8"/>
    <w:rsid w:val="000B32AB"/>
    <w:rsid w:val="000B32E9"/>
    <w:rsid w:val="000B3362"/>
    <w:rsid w:val="000B33A6"/>
    <w:rsid w:val="000B33FD"/>
    <w:rsid w:val="000B3479"/>
    <w:rsid w:val="000B3489"/>
    <w:rsid w:val="000B34DF"/>
    <w:rsid w:val="000B3531"/>
    <w:rsid w:val="000B35B9"/>
    <w:rsid w:val="000B3634"/>
    <w:rsid w:val="000B3639"/>
    <w:rsid w:val="000B3651"/>
    <w:rsid w:val="000B367A"/>
    <w:rsid w:val="000B36E7"/>
    <w:rsid w:val="000B3751"/>
    <w:rsid w:val="000B37AD"/>
    <w:rsid w:val="000B37B9"/>
    <w:rsid w:val="000B3835"/>
    <w:rsid w:val="000B3839"/>
    <w:rsid w:val="000B3897"/>
    <w:rsid w:val="000B38AA"/>
    <w:rsid w:val="000B390F"/>
    <w:rsid w:val="000B3919"/>
    <w:rsid w:val="000B3953"/>
    <w:rsid w:val="000B3982"/>
    <w:rsid w:val="000B3997"/>
    <w:rsid w:val="000B39A8"/>
    <w:rsid w:val="000B39D5"/>
    <w:rsid w:val="000B3ADC"/>
    <w:rsid w:val="000B3B14"/>
    <w:rsid w:val="000B3B42"/>
    <w:rsid w:val="000B3B4A"/>
    <w:rsid w:val="000B3B67"/>
    <w:rsid w:val="000B3BA9"/>
    <w:rsid w:val="000B3CA1"/>
    <w:rsid w:val="000B3CA5"/>
    <w:rsid w:val="000B3CA7"/>
    <w:rsid w:val="000B3CCB"/>
    <w:rsid w:val="000B3CD0"/>
    <w:rsid w:val="000B3CEB"/>
    <w:rsid w:val="000B3D11"/>
    <w:rsid w:val="000B3D1E"/>
    <w:rsid w:val="000B3D24"/>
    <w:rsid w:val="000B3D76"/>
    <w:rsid w:val="000B3D96"/>
    <w:rsid w:val="000B3DB3"/>
    <w:rsid w:val="000B3DC9"/>
    <w:rsid w:val="000B3DEF"/>
    <w:rsid w:val="000B3DFE"/>
    <w:rsid w:val="000B3E06"/>
    <w:rsid w:val="000B3E34"/>
    <w:rsid w:val="000B3E35"/>
    <w:rsid w:val="000B3E84"/>
    <w:rsid w:val="000B3E9D"/>
    <w:rsid w:val="000B3F3A"/>
    <w:rsid w:val="000B3FAC"/>
    <w:rsid w:val="000B3FE5"/>
    <w:rsid w:val="000B403D"/>
    <w:rsid w:val="000B404F"/>
    <w:rsid w:val="000B406B"/>
    <w:rsid w:val="000B4086"/>
    <w:rsid w:val="000B40C1"/>
    <w:rsid w:val="000B4134"/>
    <w:rsid w:val="000B414F"/>
    <w:rsid w:val="000B4160"/>
    <w:rsid w:val="000B4179"/>
    <w:rsid w:val="000B417A"/>
    <w:rsid w:val="000B4189"/>
    <w:rsid w:val="000B418A"/>
    <w:rsid w:val="000B41BF"/>
    <w:rsid w:val="000B41EA"/>
    <w:rsid w:val="000B41ED"/>
    <w:rsid w:val="000B41F4"/>
    <w:rsid w:val="000B4210"/>
    <w:rsid w:val="000B422B"/>
    <w:rsid w:val="000B4235"/>
    <w:rsid w:val="000B4251"/>
    <w:rsid w:val="000B4256"/>
    <w:rsid w:val="000B42AC"/>
    <w:rsid w:val="000B42F6"/>
    <w:rsid w:val="000B4306"/>
    <w:rsid w:val="000B4352"/>
    <w:rsid w:val="000B43E5"/>
    <w:rsid w:val="000B43E8"/>
    <w:rsid w:val="000B43FE"/>
    <w:rsid w:val="000B4429"/>
    <w:rsid w:val="000B4451"/>
    <w:rsid w:val="000B446C"/>
    <w:rsid w:val="000B449E"/>
    <w:rsid w:val="000B44C7"/>
    <w:rsid w:val="000B44FF"/>
    <w:rsid w:val="000B4508"/>
    <w:rsid w:val="000B454A"/>
    <w:rsid w:val="000B45E9"/>
    <w:rsid w:val="000B464F"/>
    <w:rsid w:val="000B4662"/>
    <w:rsid w:val="000B46FC"/>
    <w:rsid w:val="000B4742"/>
    <w:rsid w:val="000B4745"/>
    <w:rsid w:val="000B47A3"/>
    <w:rsid w:val="000B47D5"/>
    <w:rsid w:val="000B47F9"/>
    <w:rsid w:val="000B47FE"/>
    <w:rsid w:val="000B4831"/>
    <w:rsid w:val="000B4895"/>
    <w:rsid w:val="000B48DF"/>
    <w:rsid w:val="000B48EA"/>
    <w:rsid w:val="000B497C"/>
    <w:rsid w:val="000B4989"/>
    <w:rsid w:val="000B49D7"/>
    <w:rsid w:val="000B4A02"/>
    <w:rsid w:val="000B4A6F"/>
    <w:rsid w:val="000B4A70"/>
    <w:rsid w:val="000B4ADA"/>
    <w:rsid w:val="000B4B33"/>
    <w:rsid w:val="000B4B9D"/>
    <w:rsid w:val="000B4BC7"/>
    <w:rsid w:val="000B4BD3"/>
    <w:rsid w:val="000B4C21"/>
    <w:rsid w:val="000B4C2F"/>
    <w:rsid w:val="000B4CF6"/>
    <w:rsid w:val="000B4D0A"/>
    <w:rsid w:val="000B4D59"/>
    <w:rsid w:val="000B4D61"/>
    <w:rsid w:val="000B4E00"/>
    <w:rsid w:val="000B4E52"/>
    <w:rsid w:val="000B4FD0"/>
    <w:rsid w:val="000B4FD9"/>
    <w:rsid w:val="000B4FDB"/>
    <w:rsid w:val="000B502A"/>
    <w:rsid w:val="000B50CE"/>
    <w:rsid w:val="000B50D2"/>
    <w:rsid w:val="000B50FC"/>
    <w:rsid w:val="000B5104"/>
    <w:rsid w:val="000B5106"/>
    <w:rsid w:val="000B5113"/>
    <w:rsid w:val="000B5189"/>
    <w:rsid w:val="000B5210"/>
    <w:rsid w:val="000B524B"/>
    <w:rsid w:val="000B524E"/>
    <w:rsid w:val="000B52AB"/>
    <w:rsid w:val="000B52EA"/>
    <w:rsid w:val="000B5316"/>
    <w:rsid w:val="000B5318"/>
    <w:rsid w:val="000B531E"/>
    <w:rsid w:val="000B5333"/>
    <w:rsid w:val="000B537E"/>
    <w:rsid w:val="000B539F"/>
    <w:rsid w:val="000B53AE"/>
    <w:rsid w:val="000B5403"/>
    <w:rsid w:val="000B5479"/>
    <w:rsid w:val="000B54F4"/>
    <w:rsid w:val="000B5526"/>
    <w:rsid w:val="000B5537"/>
    <w:rsid w:val="000B5543"/>
    <w:rsid w:val="000B5546"/>
    <w:rsid w:val="000B55BD"/>
    <w:rsid w:val="000B5604"/>
    <w:rsid w:val="000B560F"/>
    <w:rsid w:val="000B5620"/>
    <w:rsid w:val="000B5631"/>
    <w:rsid w:val="000B564D"/>
    <w:rsid w:val="000B56BE"/>
    <w:rsid w:val="000B5703"/>
    <w:rsid w:val="000B5775"/>
    <w:rsid w:val="000B5780"/>
    <w:rsid w:val="000B57F3"/>
    <w:rsid w:val="000B5837"/>
    <w:rsid w:val="000B5862"/>
    <w:rsid w:val="000B587F"/>
    <w:rsid w:val="000B588A"/>
    <w:rsid w:val="000B589D"/>
    <w:rsid w:val="000B591C"/>
    <w:rsid w:val="000B595D"/>
    <w:rsid w:val="000B5A18"/>
    <w:rsid w:val="000B5AAB"/>
    <w:rsid w:val="000B5AB5"/>
    <w:rsid w:val="000B5B05"/>
    <w:rsid w:val="000B5BF9"/>
    <w:rsid w:val="000B5C22"/>
    <w:rsid w:val="000B5CD9"/>
    <w:rsid w:val="000B5D09"/>
    <w:rsid w:val="000B5D94"/>
    <w:rsid w:val="000B5E02"/>
    <w:rsid w:val="000B5E3D"/>
    <w:rsid w:val="000B5EA6"/>
    <w:rsid w:val="000B5EB5"/>
    <w:rsid w:val="000B5F21"/>
    <w:rsid w:val="000B5F5D"/>
    <w:rsid w:val="000B5FAC"/>
    <w:rsid w:val="000B5FE7"/>
    <w:rsid w:val="000B6013"/>
    <w:rsid w:val="000B608D"/>
    <w:rsid w:val="000B60CF"/>
    <w:rsid w:val="000B6106"/>
    <w:rsid w:val="000B611C"/>
    <w:rsid w:val="000B612B"/>
    <w:rsid w:val="000B6168"/>
    <w:rsid w:val="000B6211"/>
    <w:rsid w:val="000B621B"/>
    <w:rsid w:val="000B6260"/>
    <w:rsid w:val="000B629C"/>
    <w:rsid w:val="000B62F8"/>
    <w:rsid w:val="000B6348"/>
    <w:rsid w:val="000B639F"/>
    <w:rsid w:val="000B6455"/>
    <w:rsid w:val="000B64D7"/>
    <w:rsid w:val="000B6540"/>
    <w:rsid w:val="000B657C"/>
    <w:rsid w:val="000B6592"/>
    <w:rsid w:val="000B65A2"/>
    <w:rsid w:val="000B65B9"/>
    <w:rsid w:val="000B65C6"/>
    <w:rsid w:val="000B662D"/>
    <w:rsid w:val="000B664D"/>
    <w:rsid w:val="000B6666"/>
    <w:rsid w:val="000B66C9"/>
    <w:rsid w:val="000B66FA"/>
    <w:rsid w:val="000B6711"/>
    <w:rsid w:val="000B6728"/>
    <w:rsid w:val="000B6788"/>
    <w:rsid w:val="000B680A"/>
    <w:rsid w:val="000B6825"/>
    <w:rsid w:val="000B683F"/>
    <w:rsid w:val="000B6884"/>
    <w:rsid w:val="000B6898"/>
    <w:rsid w:val="000B6925"/>
    <w:rsid w:val="000B6926"/>
    <w:rsid w:val="000B69C2"/>
    <w:rsid w:val="000B69DA"/>
    <w:rsid w:val="000B69DB"/>
    <w:rsid w:val="000B6A22"/>
    <w:rsid w:val="000B6A59"/>
    <w:rsid w:val="000B6A6E"/>
    <w:rsid w:val="000B6AB8"/>
    <w:rsid w:val="000B6ADD"/>
    <w:rsid w:val="000B6B75"/>
    <w:rsid w:val="000B6C48"/>
    <w:rsid w:val="000B6C4F"/>
    <w:rsid w:val="000B6C77"/>
    <w:rsid w:val="000B6D37"/>
    <w:rsid w:val="000B6DEF"/>
    <w:rsid w:val="000B6E12"/>
    <w:rsid w:val="000B6E4A"/>
    <w:rsid w:val="000B6E80"/>
    <w:rsid w:val="000B6E8E"/>
    <w:rsid w:val="000B6EB9"/>
    <w:rsid w:val="000B6EE7"/>
    <w:rsid w:val="000B6EF6"/>
    <w:rsid w:val="000B6F29"/>
    <w:rsid w:val="000B6FD6"/>
    <w:rsid w:val="000B70A6"/>
    <w:rsid w:val="000B70B2"/>
    <w:rsid w:val="000B7131"/>
    <w:rsid w:val="000B7141"/>
    <w:rsid w:val="000B7190"/>
    <w:rsid w:val="000B71A3"/>
    <w:rsid w:val="000B7275"/>
    <w:rsid w:val="000B7290"/>
    <w:rsid w:val="000B72A3"/>
    <w:rsid w:val="000B72B5"/>
    <w:rsid w:val="000B72C3"/>
    <w:rsid w:val="000B72C6"/>
    <w:rsid w:val="000B7343"/>
    <w:rsid w:val="000B7385"/>
    <w:rsid w:val="000B73C4"/>
    <w:rsid w:val="000B73C7"/>
    <w:rsid w:val="000B73DB"/>
    <w:rsid w:val="000B7429"/>
    <w:rsid w:val="000B7478"/>
    <w:rsid w:val="000B74B2"/>
    <w:rsid w:val="000B7538"/>
    <w:rsid w:val="000B7685"/>
    <w:rsid w:val="000B76AE"/>
    <w:rsid w:val="000B76E6"/>
    <w:rsid w:val="000B770A"/>
    <w:rsid w:val="000B772F"/>
    <w:rsid w:val="000B7739"/>
    <w:rsid w:val="000B7754"/>
    <w:rsid w:val="000B7760"/>
    <w:rsid w:val="000B77AB"/>
    <w:rsid w:val="000B7820"/>
    <w:rsid w:val="000B7861"/>
    <w:rsid w:val="000B78A7"/>
    <w:rsid w:val="000B7963"/>
    <w:rsid w:val="000B796E"/>
    <w:rsid w:val="000B79B6"/>
    <w:rsid w:val="000B7A0F"/>
    <w:rsid w:val="000B7A4F"/>
    <w:rsid w:val="000B7A86"/>
    <w:rsid w:val="000B7AAA"/>
    <w:rsid w:val="000B7B8A"/>
    <w:rsid w:val="000B7BCD"/>
    <w:rsid w:val="000B7BCF"/>
    <w:rsid w:val="000B7BD6"/>
    <w:rsid w:val="000B7BF0"/>
    <w:rsid w:val="000B7C0E"/>
    <w:rsid w:val="000B7C37"/>
    <w:rsid w:val="000B7C42"/>
    <w:rsid w:val="000B7C56"/>
    <w:rsid w:val="000B7C9A"/>
    <w:rsid w:val="000B7D18"/>
    <w:rsid w:val="000B7DDA"/>
    <w:rsid w:val="000B7E28"/>
    <w:rsid w:val="000B7E53"/>
    <w:rsid w:val="000B7E7E"/>
    <w:rsid w:val="000B7FA3"/>
    <w:rsid w:val="000B7FC9"/>
    <w:rsid w:val="000C000B"/>
    <w:rsid w:val="000C0019"/>
    <w:rsid w:val="000C0021"/>
    <w:rsid w:val="000C002D"/>
    <w:rsid w:val="000C003D"/>
    <w:rsid w:val="000C0095"/>
    <w:rsid w:val="000C0119"/>
    <w:rsid w:val="000C0168"/>
    <w:rsid w:val="000C0171"/>
    <w:rsid w:val="000C01B4"/>
    <w:rsid w:val="000C01B5"/>
    <w:rsid w:val="000C01D8"/>
    <w:rsid w:val="000C0220"/>
    <w:rsid w:val="000C02EF"/>
    <w:rsid w:val="000C02F9"/>
    <w:rsid w:val="000C0346"/>
    <w:rsid w:val="000C0354"/>
    <w:rsid w:val="000C035F"/>
    <w:rsid w:val="000C0360"/>
    <w:rsid w:val="000C0364"/>
    <w:rsid w:val="000C0645"/>
    <w:rsid w:val="000C0655"/>
    <w:rsid w:val="000C077C"/>
    <w:rsid w:val="000C07BF"/>
    <w:rsid w:val="000C0819"/>
    <w:rsid w:val="000C086B"/>
    <w:rsid w:val="000C0887"/>
    <w:rsid w:val="000C08A3"/>
    <w:rsid w:val="000C0997"/>
    <w:rsid w:val="000C09B1"/>
    <w:rsid w:val="000C09B9"/>
    <w:rsid w:val="000C0A09"/>
    <w:rsid w:val="000C0A11"/>
    <w:rsid w:val="000C0A6C"/>
    <w:rsid w:val="000C0A71"/>
    <w:rsid w:val="000C0AC0"/>
    <w:rsid w:val="000C0AD5"/>
    <w:rsid w:val="000C0B40"/>
    <w:rsid w:val="000C0B82"/>
    <w:rsid w:val="000C0BBB"/>
    <w:rsid w:val="000C0BD1"/>
    <w:rsid w:val="000C0C81"/>
    <w:rsid w:val="000C0CE0"/>
    <w:rsid w:val="000C0D3E"/>
    <w:rsid w:val="000C0D4A"/>
    <w:rsid w:val="000C0DA0"/>
    <w:rsid w:val="000C0DB8"/>
    <w:rsid w:val="000C0DD2"/>
    <w:rsid w:val="000C0DD8"/>
    <w:rsid w:val="000C0DE8"/>
    <w:rsid w:val="000C0DE9"/>
    <w:rsid w:val="000C0E1C"/>
    <w:rsid w:val="000C0E31"/>
    <w:rsid w:val="000C0E64"/>
    <w:rsid w:val="000C0E89"/>
    <w:rsid w:val="000C0EC0"/>
    <w:rsid w:val="000C0F11"/>
    <w:rsid w:val="000C0F1E"/>
    <w:rsid w:val="000C0F3E"/>
    <w:rsid w:val="000C0F6F"/>
    <w:rsid w:val="000C0F93"/>
    <w:rsid w:val="000C0FCA"/>
    <w:rsid w:val="000C0FE2"/>
    <w:rsid w:val="000C0FED"/>
    <w:rsid w:val="000C104A"/>
    <w:rsid w:val="000C1083"/>
    <w:rsid w:val="000C1094"/>
    <w:rsid w:val="000C110E"/>
    <w:rsid w:val="000C114B"/>
    <w:rsid w:val="000C118C"/>
    <w:rsid w:val="000C1229"/>
    <w:rsid w:val="000C1237"/>
    <w:rsid w:val="000C127F"/>
    <w:rsid w:val="000C12E0"/>
    <w:rsid w:val="000C12E5"/>
    <w:rsid w:val="000C12FE"/>
    <w:rsid w:val="000C1303"/>
    <w:rsid w:val="000C1356"/>
    <w:rsid w:val="000C135D"/>
    <w:rsid w:val="000C1383"/>
    <w:rsid w:val="000C13CF"/>
    <w:rsid w:val="000C1445"/>
    <w:rsid w:val="000C1477"/>
    <w:rsid w:val="000C149D"/>
    <w:rsid w:val="000C14D7"/>
    <w:rsid w:val="000C14FC"/>
    <w:rsid w:val="000C1512"/>
    <w:rsid w:val="000C1588"/>
    <w:rsid w:val="000C16AB"/>
    <w:rsid w:val="000C16ED"/>
    <w:rsid w:val="000C16F1"/>
    <w:rsid w:val="000C1756"/>
    <w:rsid w:val="000C179D"/>
    <w:rsid w:val="000C17D7"/>
    <w:rsid w:val="000C189F"/>
    <w:rsid w:val="000C1981"/>
    <w:rsid w:val="000C1A8B"/>
    <w:rsid w:val="000C1AA9"/>
    <w:rsid w:val="000C1B0B"/>
    <w:rsid w:val="000C1B2D"/>
    <w:rsid w:val="000C1B4E"/>
    <w:rsid w:val="000C1B75"/>
    <w:rsid w:val="000C1BC6"/>
    <w:rsid w:val="000C1C48"/>
    <w:rsid w:val="000C1C53"/>
    <w:rsid w:val="000C1C90"/>
    <w:rsid w:val="000C1C92"/>
    <w:rsid w:val="000C1CCA"/>
    <w:rsid w:val="000C1D49"/>
    <w:rsid w:val="000C1D62"/>
    <w:rsid w:val="000C1D79"/>
    <w:rsid w:val="000C1DD9"/>
    <w:rsid w:val="000C1E22"/>
    <w:rsid w:val="000C1EF4"/>
    <w:rsid w:val="000C1F25"/>
    <w:rsid w:val="000C1F32"/>
    <w:rsid w:val="000C1FA3"/>
    <w:rsid w:val="000C1FAC"/>
    <w:rsid w:val="000C1FBF"/>
    <w:rsid w:val="000C1FDE"/>
    <w:rsid w:val="000C2028"/>
    <w:rsid w:val="000C20BC"/>
    <w:rsid w:val="000C21AE"/>
    <w:rsid w:val="000C21B0"/>
    <w:rsid w:val="000C226C"/>
    <w:rsid w:val="000C22CF"/>
    <w:rsid w:val="000C2386"/>
    <w:rsid w:val="000C2392"/>
    <w:rsid w:val="000C23A5"/>
    <w:rsid w:val="000C23AE"/>
    <w:rsid w:val="000C23C2"/>
    <w:rsid w:val="000C23E5"/>
    <w:rsid w:val="000C240A"/>
    <w:rsid w:val="000C244F"/>
    <w:rsid w:val="000C2469"/>
    <w:rsid w:val="000C24B0"/>
    <w:rsid w:val="000C24EA"/>
    <w:rsid w:val="000C2505"/>
    <w:rsid w:val="000C2525"/>
    <w:rsid w:val="000C2588"/>
    <w:rsid w:val="000C25B7"/>
    <w:rsid w:val="000C265A"/>
    <w:rsid w:val="000C2674"/>
    <w:rsid w:val="000C26D7"/>
    <w:rsid w:val="000C274F"/>
    <w:rsid w:val="000C2779"/>
    <w:rsid w:val="000C27D1"/>
    <w:rsid w:val="000C27D5"/>
    <w:rsid w:val="000C284C"/>
    <w:rsid w:val="000C2851"/>
    <w:rsid w:val="000C2859"/>
    <w:rsid w:val="000C2873"/>
    <w:rsid w:val="000C288F"/>
    <w:rsid w:val="000C289B"/>
    <w:rsid w:val="000C28A9"/>
    <w:rsid w:val="000C291C"/>
    <w:rsid w:val="000C2950"/>
    <w:rsid w:val="000C2955"/>
    <w:rsid w:val="000C295A"/>
    <w:rsid w:val="000C2977"/>
    <w:rsid w:val="000C29F6"/>
    <w:rsid w:val="000C2A6E"/>
    <w:rsid w:val="000C2A6F"/>
    <w:rsid w:val="000C2B6A"/>
    <w:rsid w:val="000C2B96"/>
    <w:rsid w:val="000C2BDA"/>
    <w:rsid w:val="000C2C16"/>
    <w:rsid w:val="000C2CB9"/>
    <w:rsid w:val="000C2CF0"/>
    <w:rsid w:val="000C2D10"/>
    <w:rsid w:val="000C2D46"/>
    <w:rsid w:val="000C2D60"/>
    <w:rsid w:val="000C2E1D"/>
    <w:rsid w:val="000C2E8B"/>
    <w:rsid w:val="000C2EBC"/>
    <w:rsid w:val="000C2F61"/>
    <w:rsid w:val="000C2FAF"/>
    <w:rsid w:val="000C3015"/>
    <w:rsid w:val="000C3033"/>
    <w:rsid w:val="000C304C"/>
    <w:rsid w:val="000C3067"/>
    <w:rsid w:val="000C30A1"/>
    <w:rsid w:val="000C31D4"/>
    <w:rsid w:val="000C3213"/>
    <w:rsid w:val="000C3215"/>
    <w:rsid w:val="000C3223"/>
    <w:rsid w:val="000C32F6"/>
    <w:rsid w:val="000C3313"/>
    <w:rsid w:val="000C331A"/>
    <w:rsid w:val="000C3446"/>
    <w:rsid w:val="000C344B"/>
    <w:rsid w:val="000C3491"/>
    <w:rsid w:val="000C3496"/>
    <w:rsid w:val="000C349F"/>
    <w:rsid w:val="000C34AF"/>
    <w:rsid w:val="000C34B1"/>
    <w:rsid w:val="000C34DC"/>
    <w:rsid w:val="000C35A8"/>
    <w:rsid w:val="000C35EB"/>
    <w:rsid w:val="000C35F5"/>
    <w:rsid w:val="000C3683"/>
    <w:rsid w:val="000C36B5"/>
    <w:rsid w:val="000C3700"/>
    <w:rsid w:val="000C37F0"/>
    <w:rsid w:val="000C382A"/>
    <w:rsid w:val="000C3858"/>
    <w:rsid w:val="000C3968"/>
    <w:rsid w:val="000C39AF"/>
    <w:rsid w:val="000C3A12"/>
    <w:rsid w:val="000C3A52"/>
    <w:rsid w:val="000C3A78"/>
    <w:rsid w:val="000C3A94"/>
    <w:rsid w:val="000C3AA4"/>
    <w:rsid w:val="000C3AB7"/>
    <w:rsid w:val="000C3ABA"/>
    <w:rsid w:val="000C3B40"/>
    <w:rsid w:val="000C3B41"/>
    <w:rsid w:val="000C3B58"/>
    <w:rsid w:val="000C3B73"/>
    <w:rsid w:val="000C3B80"/>
    <w:rsid w:val="000C3C86"/>
    <w:rsid w:val="000C3D47"/>
    <w:rsid w:val="000C3D8A"/>
    <w:rsid w:val="000C3DB2"/>
    <w:rsid w:val="000C3DCC"/>
    <w:rsid w:val="000C3E0F"/>
    <w:rsid w:val="000C3EA3"/>
    <w:rsid w:val="000C3F44"/>
    <w:rsid w:val="000C3F73"/>
    <w:rsid w:val="000C3FB7"/>
    <w:rsid w:val="000C3FF6"/>
    <w:rsid w:val="000C405F"/>
    <w:rsid w:val="000C40FC"/>
    <w:rsid w:val="000C4118"/>
    <w:rsid w:val="000C412A"/>
    <w:rsid w:val="000C412F"/>
    <w:rsid w:val="000C413D"/>
    <w:rsid w:val="000C413E"/>
    <w:rsid w:val="000C414B"/>
    <w:rsid w:val="000C4176"/>
    <w:rsid w:val="000C417A"/>
    <w:rsid w:val="000C4187"/>
    <w:rsid w:val="000C4208"/>
    <w:rsid w:val="000C4269"/>
    <w:rsid w:val="000C4294"/>
    <w:rsid w:val="000C4310"/>
    <w:rsid w:val="000C434C"/>
    <w:rsid w:val="000C4352"/>
    <w:rsid w:val="000C4355"/>
    <w:rsid w:val="000C4401"/>
    <w:rsid w:val="000C440F"/>
    <w:rsid w:val="000C442C"/>
    <w:rsid w:val="000C44AF"/>
    <w:rsid w:val="000C44D4"/>
    <w:rsid w:val="000C44DC"/>
    <w:rsid w:val="000C4542"/>
    <w:rsid w:val="000C457D"/>
    <w:rsid w:val="000C45A7"/>
    <w:rsid w:val="000C4616"/>
    <w:rsid w:val="000C46BC"/>
    <w:rsid w:val="000C46D8"/>
    <w:rsid w:val="000C46F1"/>
    <w:rsid w:val="000C471B"/>
    <w:rsid w:val="000C479F"/>
    <w:rsid w:val="000C4808"/>
    <w:rsid w:val="000C4824"/>
    <w:rsid w:val="000C4852"/>
    <w:rsid w:val="000C48F4"/>
    <w:rsid w:val="000C490C"/>
    <w:rsid w:val="000C4963"/>
    <w:rsid w:val="000C4967"/>
    <w:rsid w:val="000C49AC"/>
    <w:rsid w:val="000C49CE"/>
    <w:rsid w:val="000C49F6"/>
    <w:rsid w:val="000C4A6F"/>
    <w:rsid w:val="000C4AA6"/>
    <w:rsid w:val="000C4ADF"/>
    <w:rsid w:val="000C4B16"/>
    <w:rsid w:val="000C4B2F"/>
    <w:rsid w:val="000C4BB6"/>
    <w:rsid w:val="000C4BC2"/>
    <w:rsid w:val="000C4C01"/>
    <w:rsid w:val="000C4CB5"/>
    <w:rsid w:val="000C4D3D"/>
    <w:rsid w:val="000C4D80"/>
    <w:rsid w:val="000C4DD1"/>
    <w:rsid w:val="000C4DDA"/>
    <w:rsid w:val="000C4EA3"/>
    <w:rsid w:val="000C4EEE"/>
    <w:rsid w:val="000C4F08"/>
    <w:rsid w:val="000C4F18"/>
    <w:rsid w:val="000C4F7D"/>
    <w:rsid w:val="000C4FA3"/>
    <w:rsid w:val="000C4FAA"/>
    <w:rsid w:val="000C4FB1"/>
    <w:rsid w:val="000C4FC8"/>
    <w:rsid w:val="000C504C"/>
    <w:rsid w:val="000C506E"/>
    <w:rsid w:val="000C50A7"/>
    <w:rsid w:val="000C50B7"/>
    <w:rsid w:val="000C50D4"/>
    <w:rsid w:val="000C50EA"/>
    <w:rsid w:val="000C5150"/>
    <w:rsid w:val="000C51C6"/>
    <w:rsid w:val="000C5206"/>
    <w:rsid w:val="000C5212"/>
    <w:rsid w:val="000C5240"/>
    <w:rsid w:val="000C526B"/>
    <w:rsid w:val="000C5276"/>
    <w:rsid w:val="000C5277"/>
    <w:rsid w:val="000C532C"/>
    <w:rsid w:val="000C5345"/>
    <w:rsid w:val="000C5355"/>
    <w:rsid w:val="000C538E"/>
    <w:rsid w:val="000C53AE"/>
    <w:rsid w:val="000C53CE"/>
    <w:rsid w:val="000C53E6"/>
    <w:rsid w:val="000C53E8"/>
    <w:rsid w:val="000C5406"/>
    <w:rsid w:val="000C5439"/>
    <w:rsid w:val="000C544B"/>
    <w:rsid w:val="000C544E"/>
    <w:rsid w:val="000C54EF"/>
    <w:rsid w:val="000C5505"/>
    <w:rsid w:val="000C550C"/>
    <w:rsid w:val="000C555B"/>
    <w:rsid w:val="000C556E"/>
    <w:rsid w:val="000C55B1"/>
    <w:rsid w:val="000C55E4"/>
    <w:rsid w:val="000C56BC"/>
    <w:rsid w:val="000C57D2"/>
    <w:rsid w:val="000C57DE"/>
    <w:rsid w:val="000C57FA"/>
    <w:rsid w:val="000C5840"/>
    <w:rsid w:val="000C5860"/>
    <w:rsid w:val="000C58D5"/>
    <w:rsid w:val="000C5912"/>
    <w:rsid w:val="000C5938"/>
    <w:rsid w:val="000C593E"/>
    <w:rsid w:val="000C5976"/>
    <w:rsid w:val="000C59A2"/>
    <w:rsid w:val="000C59A8"/>
    <w:rsid w:val="000C59AC"/>
    <w:rsid w:val="000C59CC"/>
    <w:rsid w:val="000C59FF"/>
    <w:rsid w:val="000C5A01"/>
    <w:rsid w:val="000C5A19"/>
    <w:rsid w:val="000C5A38"/>
    <w:rsid w:val="000C5A54"/>
    <w:rsid w:val="000C5A9F"/>
    <w:rsid w:val="000C5AA5"/>
    <w:rsid w:val="000C5AC3"/>
    <w:rsid w:val="000C5B71"/>
    <w:rsid w:val="000C5BA1"/>
    <w:rsid w:val="000C5BA7"/>
    <w:rsid w:val="000C5BE2"/>
    <w:rsid w:val="000C5C0C"/>
    <w:rsid w:val="000C5C7D"/>
    <w:rsid w:val="000C5C94"/>
    <w:rsid w:val="000C5D1D"/>
    <w:rsid w:val="000C5D36"/>
    <w:rsid w:val="000C5D43"/>
    <w:rsid w:val="000C5DAB"/>
    <w:rsid w:val="000C5E1F"/>
    <w:rsid w:val="000C5E4A"/>
    <w:rsid w:val="000C5E70"/>
    <w:rsid w:val="000C5EBC"/>
    <w:rsid w:val="000C5EDD"/>
    <w:rsid w:val="000C5EF3"/>
    <w:rsid w:val="000C5F0A"/>
    <w:rsid w:val="000C5F1A"/>
    <w:rsid w:val="000C5FAD"/>
    <w:rsid w:val="000C5FD1"/>
    <w:rsid w:val="000C6011"/>
    <w:rsid w:val="000C6038"/>
    <w:rsid w:val="000C60E9"/>
    <w:rsid w:val="000C6165"/>
    <w:rsid w:val="000C6215"/>
    <w:rsid w:val="000C6270"/>
    <w:rsid w:val="000C62BA"/>
    <w:rsid w:val="000C6315"/>
    <w:rsid w:val="000C635A"/>
    <w:rsid w:val="000C6361"/>
    <w:rsid w:val="000C638B"/>
    <w:rsid w:val="000C6391"/>
    <w:rsid w:val="000C63DB"/>
    <w:rsid w:val="000C6503"/>
    <w:rsid w:val="000C6505"/>
    <w:rsid w:val="000C6523"/>
    <w:rsid w:val="000C654F"/>
    <w:rsid w:val="000C65B7"/>
    <w:rsid w:val="000C65EE"/>
    <w:rsid w:val="000C65F9"/>
    <w:rsid w:val="000C6628"/>
    <w:rsid w:val="000C6629"/>
    <w:rsid w:val="000C6636"/>
    <w:rsid w:val="000C664B"/>
    <w:rsid w:val="000C670A"/>
    <w:rsid w:val="000C6741"/>
    <w:rsid w:val="000C6749"/>
    <w:rsid w:val="000C67ED"/>
    <w:rsid w:val="000C67FE"/>
    <w:rsid w:val="000C6809"/>
    <w:rsid w:val="000C6864"/>
    <w:rsid w:val="000C6871"/>
    <w:rsid w:val="000C6887"/>
    <w:rsid w:val="000C6938"/>
    <w:rsid w:val="000C695C"/>
    <w:rsid w:val="000C6961"/>
    <w:rsid w:val="000C6A0C"/>
    <w:rsid w:val="000C6B51"/>
    <w:rsid w:val="000C6B7A"/>
    <w:rsid w:val="000C6C31"/>
    <w:rsid w:val="000C6C52"/>
    <w:rsid w:val="000C6C62"/>
    <w:rsid w:val="000C6C90"/>
    <w:rsid w:val="000C6CF3"/>
    <w:rsid w:val="000C6D92"/>
    <w:rsid w:val="000C6D9B"/>
    <w:rsid w:val="000C6DE1"/>
    <w:rsid w:val="000C6EC6"/>
    <w:rsid w:val="000C6EDA"/>
    <w:rsid w:val="000C6FA8"/>
    <w:rsid w:val="000C6FB7"/>
    <w:rsid w:val="000C6FBC"/>
    <w:rsid w:val="000C7057"/>
    <w:rsid w:val="000C708E"/>
    <w:rsid w:val="000C70BA"/>
    <w:rsid w:val="000C70D4"/>
    <w:rsid w:val="000C70D6"/>
    <w:rsid w:val="000C7160"/>
    <w:rsid w:val="000C71F2"/>
    <w:rsid w:val="000C7233"/>
    <w:rsid w:val="000C726E"/>
    <w:rsid w:val="000C72CF"/>
    <w:rsid w:val="000C72E5"/>
    <w:rsid w:val="000C731D"/>
    <w:rsid w:val="000C7324"/>
    <w:rsid w:val="000C733C"/>
    <w:rsid w:val="000C7345"/>
    <w:rsid w:val="000C7346"/>
    <w:rsid w:val="000C7372"/>
    <w:rsid w:val="000C73E3"/>
    <w:rsid w:val="000C73E6"/>
    <w:rsid w:val="000C748A"/>
    <w:rsid w:val="000C749C"/>
    <w:rsid w:val="000C756E"/>
    <w:rsid w:val="000C75E7"/>
    <w:rsid w:val="000C7620"/>
    <w:rsid w:val="000C765C"/>
    <w:rsid w:val="000C76F0"/>
    <w:rsid w:val="000C774A"/>
    <w:rsid w:val="000C77E2"/>
    <w:rsid w:val="000C7831"/>
    <w:rsid w:val="000C78E6"/>
    <w:rsid w:val="000C78E8"/>
    <w:rsid w:val="000C79CD"/>
    <w:rsid w:val="000C7A12"/>
    <w:rsid w:val="000C7A43"/>
    <w:rsid w:val="000C7A89"/>
    <w:rsid w:val="000C7B17"/>
    <w:rsid w:val="000C7B1D"/>
    <w:rsid w:val="000C7B71"/>
    <w:rsid w:val="000C7B77"/>
    <w:rsid w:val="000C7C28"/>
    <w:rsid w:val="000C7C2A"/>
    <w:rsid w:val="000C7C6E"/>
    <w:rsid w:val="000C7D29"/>
    <w:rsid w:val="000C7D2C"/>
    <w:rsid w:val="000C7D9C"/>
    <w:rsid w:val="000C7DF0"/>
    <w:rsid w:val="000C7E96"/>
    <w:rsid w:val="000C7EAE"/>
    <w:rsid w:val="000C7EE5"/>
    <w:rsid w:val="000C7EEA"/>
    <w:rsid w:val="000C7F03"/>
    <w:rsid w:val="000C7F9C"/>
    <w:rsid w:val="000C7FBF"/>
    <w:rsid w:val="000D00A1"/>
    <w:rsid w:val="000D0130"/>
    <w:rsid w:val="000D014C"/>
    <w:rsid w:val="000D018F"/>
    <w:rsid w:val="000D019E"/>
    <w:rsid w:val="000D01CB"/>
    <w:rsid w:val="000D01E3"/>
    <w:rsid w:val="000D01F2"/>
    <w:rsid w:val="000D0239"/>
    <w:rsid w:val="000D0269"/>
    <w:rsid w:val="000D0294"/>
    <w:rsid w:val="000D02A1"/>
    <w:rsid w:val="000D02C5"/>
    <w:rsid w:val="000D02DC"/>
    <w:rsid w:val="000D0335"/>
    <w:rsid w:val="000D0393"/>
    <w:rsid w:val="000D0395"/>
    <w:rsid w:val="000D0396"/>
    <w:rsid w:val="000D03A6"/>
    <w:rsid w:val="000D03A7"/>
    <w:rsid w:val="000D03E4"/>
    <w:rsid w:val="000D03E6"/>
    <w:rsid w:val="000D03F2"/>
    <w:rsid w:val="000D0414"/>
    <w:rsid w:val="000D043B"/>
    <w:rsid w:val="000D0442"/>
    <w:rsid w:val="000D04D3"/>
    <w:rsid w:val="000D057C"/>
    <w:rsid w:val="000D059C"/>
    <w:rsid w:val="000D05A5"/>
    <w:rsid w:val="000D05EF"/>
    <w:rsid w:val="000D06CF"/>
    <w:rsid w:val="000D0708"/>
    <w:rsid w:val="000D0770"/>
    <w:rsid w:val="000D07CA"/>
    <w:rsid w:val="000D07CC"/>
    <w:rsid w:val="000D07CD"/>
    <w:rsid w:val="000D07D2"/>
    <w:rsid w:val="000D084B"/>
    <w:rsid w:val="000D08FB"/>
    <w:rsid w:val="000D0960"/>
    <w:rsid w:val="000D0998"/>
    <w:rsid w:val="000D0A1D"/>
    <w:rsid w:val="000D0A34"/>
    <w:rsid w:val="000D0A3D"/>
    <w:rsid w:val="000D0AE1"/>
    <w:rsid w:val="000D0AFB"/>
    <w:rsid w:val="000D0B29"/>
    <w:rsid w:val="000D0C4F"/>
    <w:rsid w:val="000D0C7D"/>
    <w:rsid w:val="000D0C8C"/>
    <w:rsid w:val="000D0CA6"/>
    <w:rsid w:val="000D0D2C"/>
    <w:rsid w:val="000D0D7B"/>
    <w:rsid w:val="000D0DC2"/>
    <w:rsid w:val="000D0DDE"/>
    <w:rsid w:val="000D0E0F"/>
    <w:rsid w:val="000D0E93"/>
    <w:rsid w:val="000D0E99"/>
    <w:rsid w:val="000D0E9B"/>
    <w:rsid w:val="000D0EE3"/>
    <w:rsid w:val="000D0F08"/>
    <w:rsid w:val="000D0F19"/>
    <w:rsid w:val="000D0F69"/>
    <w:rsid w:val="000D0F8B"/>
    <w:rsid w:val="000D0F94"/>
    <w:rsid w:val="000D103A"/>
    <w:rsid w:val="000D1063"/>
    <w:rsid w:val="000D10C4"/>
    <w:rsid w:val="000D10CA"/>
    <w:rsid w:val="000D1119"/>
    <w:rsid w:val="000D113E"/>
    <w:rsid w:val="000D1167"/>
    <w:rsid w:val="000D1181"/>
    <w:rsid w:val="000D11DA"/>
    <w:rsid w:val="000D122C"/>
    <w:rsid w:val="000D12D5"/>
    <w:rsid w:val="000D12E0"/>
    <w:rsid w:val="000D136E"/>
    <w:rsid w:val="000D1390"/>
    <w:rsid w:val="000D13C0"/>
    <w:rsid w:val="000D1401"/>
    <w:rsid w:val="000D144A"/>
    <w:rsid w:val="000D1454"/>
    <w:rsid w:val="000D1467"/>
    <w:rsid w:val="000D1469"/>
    <w:rsid w:val="000D14A7"/>
    <w:rsid w:val="000D14CD"/>
    <w:rsid w:val="000D1504"/>
    <w:rsid w:val="000D150C"/>
    <w:rsid w:val="000D154A"/>
    <w:rsid w:val="000D1550"/>
    <w:rsid w:val="000D15E4"/>
    <w:rsid w:val="000D15ED"/>
    <w:rsid w:val="000D1636"/>
    <w:rsid w:val="000D16FE"/>
    <w:rsid w:val="000D1725"/>
    <w:rsid w:val="000D172A"/>
    <w:rsid w:val="000D1752"/>
    <w:rsid w:val="000D179C"/>
    <w:rsid w:val="000D17CE"/>
    <w:rsid w:val="000D1814"/>
    <w:rsid w:val="000D1887"/>
    <w:rsid w:val="000D1888"/>
    <w:rsid w:val="000D18E1"/>
    <w:rsid w:val="000D19BE"/>
    <w:rsid w:val="000D19C2"/>
    <w:rsid w:val="000D1A0F"/>
    <w:rsid w:val="000D1A60"/>
    <w:rsid w:val="000D1A87"/>
    <w:rsid w:val="000D1AA2"/>
    <w:rsid w:val="000D1AAE"/>
    <w:rsid w:val="000D1AB8"/>
    <w:rsid w:val="000D1ADA"/>
    <w:rsid w:val="000D1AFA"/>
    <w:rsid w:val="000D1B3E"/>
    <w:rsid w:val="000D1C0F"/>
    <w:rsid w:val="000D1C2C"/>
    <w:rsid w:val="000D1C70"/>
    <w:rsid w:val="000D1CBE"/>
    <w:rsid w:val="000D1CE7"/>
    <w:rsid w:val="000D1D2A"/>
    <w:rsid w:val="000D1D5B"/>
    <w:rsid w:val="000D1D73"/>
    <w:rsid w:val="000D1D7D"/>
    <w:rsid w:val="000D1DDF"/>
    <w:rsid w:val="000D1DE5"/>
    <w:rsid w:val="000D1E38"/>
    <w:rsid w:val="000D1E5C"/>
    <w:rsid w:val="000D1EB3"/>
    <w:rsid w:val="000D1F03"/>
    <w:rsid w:val="000D1F26"/>
    <w:rsid w:val="000D1F48"/>
    <w:rsid w:val="000D1F7C"/>
    <w:rsid w:val="000D2126"/>
    <w:rsid w:val="000D2136"/>
    <w:rsid w:val="000D213C"/>
    <w:rsid w:val="000D2183"/>
    <w:rsid w:val="000D21A1"/>
    <w:rsid w:val="000D21A2"/>
    <w:rsid w:val="000D223A"/>
    <w:rsid w:val="000D22F2"/>
    <w:rsid w:val="000D2307"/>
    <w:rsid w:val="000D2340"/>
    <w:rsid w:val="000D2358"/>
    <w:rsid w:val="000D2384"/>
    <w:rsid w:val="000D23EA"/>
    <w:rsid w:val="000D241F"/>
    <w:rsid w:val="000D243C"/>
    <w:rsid w:val="000D243E"/>
    <w:rsid w:val="000D2451"/>
    <w:rsid w:val="000D24F2"/>
    <w:rsid w:val="000D2536"/>
    <w:rsid w:val="000D262F"/>
    <w:rsid w:val="000D264E"/>
    <w:rsid w:val="000D26AD"/>
    <w:rsid w:val="000D2722"/>
    <w:rsid w:val="000D2729"/>
    <w:rsid w:val="000D2765"/>
    <w:rsid w:val="000D278F"/>
    <w:rsid w:val="000D27C7"/>
    <w:rsid w:val="000D27E5"/>
    <w:rsid w:val="000D27FF"/>
    <w:rsid w:val="000D282A"/>
    <w:rsid w:val="000D285C"/>
    <w:rsid w:val="000D28C8"/>
    <w:rsid w:val="000D28E7"/>
    <w:rsid w:val="000D2948"/>
    <w:rsid w:val="000D2984"/>
    <w:rsid w:val="000D29BE"/>
    <w:rsid w:val="000D29E8"/>
    <w:rsid w:val="000D29EC"/>
    <w:rsid w:val="000D2A07"/>
    <w:rsid w:val="000D2A75"/>
    <w:rsid w:val="000D2A77"/>
    <w:rsid w:val="000D2A93"/>
    <w:rsid w:val="000D2AFB"/>
    <w:rsid w:val="000D2B17"/>
    <w:rsid w:val="000D2B84"/>
    <w:rsid w:val="000D2BFA"/>
    <w:rsid w:val="000D2C12"/>
    <w:rsid w:val="000D2C18"/>
    <w:rsid w:val="000D2CEA"/>
    <w:rsid w:val="000D2D2C"/>
    <w:rsid w:val="000D2D30"/>
    <w:rsid w:val="000D2DA1"/>
    <w:rsid w:val="000D2DF6"/>
    <w:rsid w:val="000D2E26"/>
    <w:rsid w:val="000D2EC8"/>
    <w:rsid w:val="000D2EE5"/>
    <w:rsid w:val="000D2EE6"/>
    <w:rsid w:val="000D2FF8"/>
    <w:rsid w:val="000D3055"/>
    <w:rsid w:val="000D3064"/>
    <w:rsid w:val="000D30A6"/>
    <w:rsid w:val="000D30D9"/>
    <w:rsid w:val="000D3103"/>
    <w:rsid w:val="000D3163"/>
    <w:rsid w:val="000D3265"/>
    <w:rsid w:val="000D3272"/>
    <w:rsid w:val="000D327C"/>
    <w:rsid w:val="000D3288"/>
    <w:rsid w:val="000D3394"/>
    <w:rsid w:val="000D33D8"/>
    <w:rsid w:val="000D347F"/>
    <w:rsid w:val="000D3488"/>
    <w:rsid w:val="000D34AE"/>
    <w:rsid w:val="000D34D0"/>
    <w:rsid w:val="000D3547"/>
    <w:rsid w:val="000D3551"/>
    <w:rsid w:val="000D3584"/>
    <w:rsid w:val="000D3615"/>
    <w:rsid w:val="000D3617"/>
    <w:rsid w:val="000D362E"/>
    <w:rsid w:val="000D367F"/>
    <w:rsid w:val="000D370D"/>
    <w:rsid w:val="000D3731"/>
    <w:rsid w:val="000D3778"/>
    <w:rsid w:val="000D3798"/>
    <w:rsid w:val="000D379E"/>
    <w:rsid w:val="000D37CA"/>
    <w:rsid w:val="000D3802"/>
    <w:rsid w:val="000D3823"/>
    <w:rsid w:val="000D3831"/>
    <w:rsid w:val="000D3888"/>
    <w:rsid w:val="000D3893"/>
    <w:rsid w:val="000D38A9"/>
    <w:rsid w:val="000D38B3"/>
    <w:rsid w:val="000D393E"/>
    <w:rsid w:val="000D3942"/>
    <w:rsid w:val="000D3AC4"/>
    <w:rsid w:val="000D3B08"/>
    <w:rsid w:val="000D3B76"/>
    <w:rsid w:val="000D3B80"/>
    <w:rsid w:val="000D3BD2"/>
    <w:rsid w:val="000D3C73"/>
    <w:rsid w:val="000D3C9B"/>
    <w:rsid w:val="000D3CA8"/>
    <w:rsid w:val="000D3CE2"/>
    <w:rsid w:val="000D3CFF"/>
    <w:rsid w:val="000D3D3F"/>
    <w:rsid w:val="000D3D63"/>
    <w:rsid w:val="000D3DBF"/>
    <w:rsid w:val="000D3DCA"/>
    <w:rsid w:val="000D3EBE"/>
    <w:rsid w:val="000D3EDF"/>
    <w:rsid w:val="000D4000"/>
    <w:rsid w:val="000D4057"/>
    <w:rsid w:val="000D40A2"/>
    <w:rsid w:val="000D40F5"/>
    <w:rsid w:val="000D4118"/>
    <w:rsid w:val="000D4127"/>
    <w:rsid w:val="000D415E"/>
    <w:rsid w:val="000D418D"/>
    <w:rsid w:val="000D41F3"/>
    <w:rsid w:val="000D4268"/>
    <w:rsid w:val="000D42A2"/>
    <w:rsid w:val="000D42C7"/>
    <w:rsid w:val="000D42F0"/>
    <w:rsid w:val="000D4317"/>
    <w:rsid w:val="000D4328"/>
    <w:rsid w:val="000D4351"/>
    <w:rsid w:val="000D43D4"/>
    <w:rsid w:val="000D448C"/>
    <w:rsid w:val="000D44BC"/>
    <w:rsid w:val="000D44BE"/>
    <w:rsid w:val="000D44C0"/>
    <w:rsid w:val="000D45CC"/>
    <w:rsid w:val="000D45FB"/>
    <w:rsid w:val="000D460D"/>
    <w:rsid w:val="000D463D"/>
    <w:rsid w:val="000D46C1"/>
    <w:rsid w:val="000D47AA"/>
    <w:rsid w:val="000D47C1"/>
    <w:rsid w:val="000D47DC"/>
    <w:rsid w:val="000D47F3"/>
    <w:rsid w:val="000D4833"/>
    <w:rsid w:val="000D4857"/>
    <w:rsid w:val="000D48C6"/>
    <w:rsid w:val="000D48E3"/>
    <w:rsid w:val="000D49AB"/>
    <w:rsid w:val="000D4A43"/>
    <w:rsid w:val="000D4A65"/>
    <w:rsid w:val="000D4A6A"/>
    <w:rsid w:val="000D4A8D"/>
    <w:rsid w:val="000D4AB5"/>
    <w:rsid w:val="000D4AB8"/>
    <w:rsid w:val="000D4B57"/>
    <w:rsid w:val="000D4B83"/>
    <w:rsid w:val="000D4BD9"/>
    <w:rsid w:val="000D4CB2"/>
    <w:rsid w:val="000D4D3C"/>
    <w:rsid w:val="000D4D6E"/>
    <w:rsid w:val="000D4DA9"/>
    <w:rsid w:val="000D4DCB"/>
    <w:rsid w:val="000D4E1B"/>
    <w:rsid w:val="000D4E6D"/>
    <w:rsid w:val="000D4E97"/>
    <w:rsid w:val="000D4ED0"/>
    <w:rsid w:val="000D4F0E"/>
    <w:rsid w:val="000D4F82"/>
    <w:rsid w:val="000D4FDE"/>
    <w:rsid w:val="000D5058"/>
    <w:rsid w:val="000D507A"/>
    <w:rsid w:val="000D50A2"/>
    <w:rsid w:val="000D510B"/>
    <w:rsid w:val="000D512D"/>
    <w:rsid w:val="000D51E0"/>
    <w:rsid w:val="000D5218"/>
    <w:rsid w:val="000D521E"/>
    <w:rsid w:val="000D5255"/>
    <w:rsid w:val="000D527D"/>
    <w:rsid w:val="000D5283"/>
    <w:rsid w:val="000D529F"/>
    <w:rsid w:val="000D52BE"/>
    <w:rsid w:val="000D52DB"/>
    <w:rsid w:val="000D5329"/>
    <w:rsid w:val="000D5357"/>
    <w:rsid w:val="000D5402"/>
    <w:rsid w:val="000D540D"/>
    <w:rsid w:val="000D5456"/>
    <w:rsid w:val="000D5481"/>
    <w:rsid w:val="000D54A0"/>
    <w:rsid w:val="000D54B6"/>
    <w:rsid w:val="000D54C3"/>
    <w:rsid w:val="000D554D"/>
    <w:rsid w:val="000D5583"/>
    <w:rsid w:val="000D55CA"/>
    <w:rsid w:val="000D55D8"/>
    <w:rsid w:val="000D55E0"/>
    <w:rsid w:val="000D5647"/>
    <w:rsid w:val="000D5671"/>
    <w:rsid w:val="000D56C3"/>
    <w:rsid w:val="000D570B"/>
    <w:rsid w:val="000D570C"/>
    <w:rsid w:val="000D574A"/>
    <w:rsid w:val="000D57A4"/>
    <w:rsid w:val="000D57A8"/>
    <w:rsid w:val="000D57B1"/>
    <w:rsid w:val="000D57B9"/>
    <w:rsid w:val="000D57E4"/>
    <w:rsid w:val="000D580C"/>
    <w:rsid w:val="000D585F"/>
    <w:rsid w:val="000D5876"/>
    <w:rsid w:val="000D5889"/>
    <w:rsid w:val="000D5919"/>
    <w:rsid w:val="000D597F"/>
    <w:rsid w:val="000D59A7"/>
    <w:rsid w:val="000D59D4"/>
    <w:rsid w:val="000D59F6"/>
    <w:rsid w:val="000D5A0E"/>
    <w:rsid w:val="000D5A2B"/>
    <w:rsid w:val="000D5A35"/>
    <w:rsid w:val="000D5B10"/>
    <w:rsid w:val="000D5B8F"/>
    <w:rsid w:val="000D5BB1"/>
    <w:rsid w:val="000D5BB7"/>
    <w:rsid w:val="000D5BB9"/>
    <w:rsid w:val="000D5C4B"/>
    <w:rsid w:val="000D5CB4"/>
    <w:rsid w:val="000D5CFF"/>
    <w:rsid w:val="000D5D15"/>
    <w:rsid w:val="000D5D27"/>
    <w:rsid w:val="000D5D43"/>
    <w:rsid w:val="000D5D6D"/>
    <w:rsid w:val="000D5D96"/>
    <w:rsid w:val="000D5E0E"/>
    <w:rsid w:val="000D5E67"/>
    <w:rsid w:val="000D5EB0"/>
    <w:rsid w:val="000D5F94"/>
    <w:rsid w:val="000D5FAD"/>
    <w:rsid w:val="000D5FE9"/>
    <w:rsid w:val="000D6026"/>
    <w:rsid w:val="000D602F"/>
    <w:rsid w:val="000D603E"/>
    <w:rsid w:val="000D604B"/>
    <w:rsid w:val="000D6081"/>
    <w:rsid w:val="000D613D"/>
    <w:rsid w:val="000D6219"/>
    <w:rsid w:val="000D625F"/>
    <w:rsid w:val="000D6288"/>
    <w:rsid w:val="000D62B8"/>
    <w:rsid w:val="000D62FE"/>
    <w:rsid w:val="000D6306"/>
    <w:rsid w:val="000D6327"/>
    <w:rsid w:val="000D6334"/>
    <w:rsid w:val="000D63F1"/>
    <w:rsid w:val="000D6480"/>
    <w:rsid w:val="000D64FF"/>
    <w:rsid w:val="000D651E"/>
    <w:rsid w:val="000D6556"/>
    <w:rsid w:val="000D65B6"/>
    <w:rsid w:val="000D65D3"/>
    <w:rsid w:val="000D6659"/>
    <w:rsid w:val="000D6669"/>
    <w:rsid w:val="000D666F"/>
    <w:rsid w:val="000D66C5"/>
    <w:rsid w:val="000D6709"/>
    <w:rsid w:val="000D67AB"/>
    <w:rsid w:val="000D67C4"/>
    <w:rsid w:val="000D6897"/>
    <w:rsid w:val="000D68DA"/>
    <w:rsid w:val="000D68DD"/>
    <w:rsid w:val="000D68FF"/>
    <w:rsid w:val="000D6923"/>
    <w:rsid w:val="000D6952"/>
    <w:rsid w:val="000D6956"/>
    <w:rsid w:val="000D697A"/>
    <w:rsid w:val="000D6B62"/>
    <w:rsid w:val="000D6B80"/>
    <w:rsid w:val="000D6BC0"/>
    <w:rsid w:val="000D6BC6"/>
    <w:rsid w:val="000D6BF0"/>
    <w:rsid w:val="000D6C36"/>
    <w:rsid w:val="000D6C56"/>
    <w:rsid w:val="000D6CC3"/>
    <w:rsid w:val="000D6D36"/>
    <w:rsid w:val="000D6D49"/>
    <w:rsid w:val="000D6DEC"/>
    <w:rsid w:val="000D6E2E"/>
    <w:rsid w:val="000D6E3B"/>
    <w:rsid w:val="000D6E69"/>
    <w:rsid w:val="000D6E6A"/>
    <w:rsid w:val="000D6E7F"/>
    <w:rsid w:val="000D6E91"/>
    <w:rsid w:val="000D6EA8"/>
    <w:rsid w:val="000D6EBD"/>
    <w:rsid w:val="000D6EFA"/>
    <w:rsid w:val="000D7034"/>
    <w:rsid w:val="000D7036"/>
    <w:rsid w:val="000D705F"/>
    <w:rsid w:val="000D70AE"/>
    <w:rsid w:val="000D7105"/>
    <w:rsid w:val="000D713A"/>
    <w:rsid w:val="000D716D"/>
    <w:rsid w:val="000D7194"/>
    <w:rsid w:val="000D71B2"/>
    <w:rsid w:val="000D723D"/>
    <w:rsid w:val="000D726E"/>
    <w:rsid w:val="000D7301"/>
    <w:rsid w:val="000D733D"/>
    <w:rsid w:val="000D7349"/>
    <w:rsid w:val="000D7412"/>
    <w:rsid w:val="000D745D"/>
    <w:rsid w:val="000D7464"/>
    <w:rsid w:val="000D7484"/>
    <w:rsid w:val="000D74E5"/>
    <w:rsid w:val="000D7524"/>
    <w:rsid w:val="000D755C"/>
    <w:rsid w:val="000D758B"/>
    <w:rsid w:val="000D75A2"/>
    <w:rsid w:val="000D7658"/>
    <w:rsid w:val="000D769E"/>
    <w:rsid w:val="000D7700"/>
    <w:rsid w:val="000D77B3"/>
    <w:rsid w:val="000D77BD"/>
    <w:rsid w:val="000D77D8"/>
    <w:rsid w:val="000D77EC"/>
    <w:rsid w:val="000D77F4"/>
    <w:rsid w:val="000D7846"/>
    <w:rsid w:val="000D78AE"/>
    <w:rsid w:val="000D78F1"/>
    <w:rsid w:val="000D7920"/>
    <w:rsid w:val="000D7929"/>
    <w:rsid w:val="000D7937"/>
    <w:rsid w:val="000D793A"/>
    <w:rsid w:val="000D7952"/>
    <w:rsid w:val="000D79A7"/>
    <w:rsid w:val="000D79AF"/>
    <w:rsid w:val="000D79C3"/>
    <w:rsid w:val="000D79C4"/>
    <w:rsid w:val="000D79E3"/>
    <w:rsid w:val="000D79F5"/>
    <w:rsid w:val="000D7A59"/>
    <w:rsid w:val="000D7A62"/>
    <w:rsid w:val="000D7AB7"/>
    <w:rsid w:val="000D7AC0"/>
    <w:rsid w:val="000D7B36"/>
    <w:rsid w:val="000D7B5C"/>
    <w:rsid w:val="000D7B7B"/>
    <w:rsid w:val="000D7BFF"/>
    <w:rsid w:val="000D7C4D"/>
    <w:rsid w:val="000D7C96"/>
    <w:rsid w:val="000D7CA9"/>
    <w:rsid w:val="000D7CB9"/>
    <w:rsid w:val="000D7D21"/>
    <w:rsid w:val="000D7D40"/>
    <w:rsid w:val="000D7DF5"/>
    <w:rsid w:val="000D7DFA"/>
    <w:rsid w:val="000D7E31"/>
    <w:rsid w:val="000D7E67"/>
    <w:rsid w:val="000D7E98"/>
    <w:rsid w:val="000D7EB9"/>
    <w:rsid w:val="000D7EF2"/>
    <w:rsid w:val="000D7F17"/>
    <w:rsid w:val="000D7F20"/>
    <w:rsid w:val="000D7F2F"/>
    <w:rsid w:val="000D7FB7"/>
    <w:rsid w:val="000E0000"/>
    <w:rsid w:val="000E000C"/>
    <w:rsid w:val="000E001B"/>
    <w:rsid w:val="000E0025"/>
    <w:rsid w:val="000E0051"/>
    <w:rsid w:val="000E0059"/>
    <w:rsid w:val="000E009D"/>
    <w:rsid w:val="000E00F1"/>
    <w:rsid w:val="000E0100"/>
    <w:rsid w:val="000E014D"/>
    <w:rsid w:val="000E0167"/>
    <w:rsid w:val="000E017E"/>
    <w:rsid w:val="000E01B1"/>
    <w:rsid w:val="000E02A1"/>
    <w:rsid w:val="000E02E1"/>
    <w:rsid w:val="000E02E2"/>
    <w:rsid w:val="000E030B"/>
    <w:rsid w:val="000E030C"/>
    <w:rsid w:val="000E0382"/>
    <w:rsid w:val="000E03B3"/>
    <w:rsid w:val="000E03C6"/>
    <w:rsid w:val="000E041D"/>
    <w:rsid w:val="000E0464"/>
    <w:rsid w:val="000E0467"/>
    <w:rsid w:val="000E0537"/>
    <w:rsid w:val="000E0546"/>
    <w:rsid w:val="000E0552"/>
    <w:rsid w:val="000E05A7"/>
    <w:rsid w:val="000E05CD"/>
    <w:rsid w:val="000E061E"/>
    <w:rsid w:val="000E063D"/>
    <w:rsid w:val="000E0644"/>
    <w:rsid w:val="000E0680"/>
    <w:rsid w:val="000E06CA"/>
    <w:rsid w:val="000E06DB"/>
    <w:rsid w:val="000E06F1"/>
    <w:rsid w:val="000E06FA"/>
    <w:rsid w:val="000E0772"/>
    <w:rsid w:val="000E0780"/>
    <w:rsid w:val="000E0835"/>
    <w:rsid w:val="000E0848"/>
    <w:rsid w:val="000E08A6"/>
    <w:rsid w:val="000E08F9"/>
    <w:rsid w:val="000E09BB"/>
    <w:rsid w:val="000E09F7"/>
    <w:rsid w:val="000E0A09"/>
    <w:rsid w:val="000E0A12"/>
    <w:rsid w:val="000E0A70"/>
    <w:rsid w:val="000E0A7C"/>
    <w:rsid w:val="000E0A8C"/>
    <w:rsid w:val="000E0A8F"/>
    <w:rsid w:val="000E0A98"/>
    <w:rsid w:val="000E0AF6"/>
    <w:rsid w:val="000E0AFA"/>
    <w:rsid w:val="000E0B40"/>
    <w:rsid w:val="000E0B4A"/>
    <w:rsid w:val="000E0BD3"/>
    <w:rsid w:val="000E0C6C"/>
    <w:rsid w:val="000E0C8E"/>
    <w:rsid w:val="000E0CE6"/>
    <w:rsid w:val="000E0D36"/>
    <w:rsid w:val="000E0D7A"/>
    <w:rsid w:val="000E0DAC"/>
    <w:rsid w:val="000E0DCB"/>
    <w:rsid w:val="000E0DF0"/>
    <w:rsid w:val="000E0EB6"/>
    <w:rsid w:val="000E0EB9"/>
    <w:rsid w:val="000E0EC1"/>
    <w:rsid w:val="000E0EDC"/>
    <w:rsid w:val="000E0EEB"/>
    <w:rsid w:val="000E0F3F"/>
    <w:rsid w:val="000E0F53"/>
    <w:rsid w:val="000E0F8A"/>
    <w:rsid w:val="000E0FA1"/>
    <w:rsid w:val="000E0FB0"/>
    <w:rsid w:val="000E103F"/>
    <w:rsid w:val="000E10CB"/>
    <w:rsid w:val="000E1153"/>
    <w:rsid w:val="000E118E"/>
    <w:rsid w:val="000E120B"/>
    <w:rsid w:val="000E1281"/>
    <w:rsid w:val="000E12B0"/>
    <w:rsid w:val="000E12B6"/>
    <w:rsid w:val="000E1414"/>
    <w:rsid w:val="000E144A"/>
    <w:rsid w:val="000E1492"/>
    <w:rsid w:val="000E14CC"/>
    <w:rsid w:val="000E14D8"/>
    <w:rsid w:val="000E150C"/>
    <w:rsid w:val="000E153E"/>
    <w:rsid w:val="000E1553"/>
    <w:rsid w:val="000E156B"/>
    <w:rsid w:val="000E15AC"/>
    <w:rsid w:val="000E15B3"/>
    <w:rsid w:val="000E15CD"/>
    <w:rsid w:val="000E15D6"/>
    <w:rsid w:val="000E16BC"/>
    <w:rsid w:val="000E16BF"/>
    <w:rsid w:val="000E16DB"/>
    <w:rsid w:val="000E172F"/>
    <w:rsid w:val="000E174E"/>
    <w:rsid w:val="000E181C"/>
    <w:rsid w:val="000E1864"/>
    <w:rsid w:val="000E186A"/>
    <w:rsid w:val="000E18B8"/>
    <w:rsid w:val="000E18BF"/>
    <w:rsid w:val="000E193C"/>
    <w:rsid w:val="000E1991"/>
    <w:rsid w:val="000E19A1"/>
    <w:rsid w:val="000E19BD"/>
    <w:rsid w:val="000E19E5"/>
    <w:rsid w:val="000E19E8"/>
    <w:rsid w:val="000E19F8"/>
    <w:rsid w:val="000E19FD"/>
    <w:rsid w:val="000E1ABA"/>
    <w:rsid w:val="000E1AE3"/>
    <w:rsid w:val="000E1AED"/>
    <w:rsid w:val="000E1B00"/>
    <w:rsid w:val="000E1B36"/>
    <w:rsid w:val="000E1B84"/>
    <w:rsid w:val="000E1B91"/>
    <w:rsid w:val="000E1BB6"/>
    <w:rsid w:val="000E1C2F"/>
    <w:rsid w:val="000E1C51"/>
    <w:rsid w:val="000E1C5D"/>
    <w:rsid w:val="000E1CDC"/>
    <w:rsid w:val="000E1D2F"/>
    <w:rsid w:val="000E1D8C"/>
    <w:rsid w:val="000E1DCF"/>
    <w:rsid w:val="000E1E2D"/>
    <w:rsid w:val="000E1E6F"/>
    <w:rsid w:val="000E1EDF"/>
    <w:rsid w:val="000E1EE6"/>
    <w:rsid w:val="000E1EFF"/>
    <w:rsid w:val="000E2012"/>
    <w:rsid w:val="000E20D1"/>
    <w:rsid w:val="000E2137"/>
    <w:rsid w:val="000E2195"/>
    <w:rsid w:val="000E21E5"/>
    <w:rsid w:val="000E21F1"/>
    <w:rsid w:val="000E2206"/>
    <w:rsid w:val="000E2207"/>
    <w:rsid w:val="000E220A"/>
    <w:rsid w:val="000E2213"/>
    <w:rsid w:val="000E22AA"/>
    <w:rsid w:val="000E22E0"/>
    <w:rsid w:val="000E22E8"/>
    <w:rsid w:val="000E2355"/>
    <w:rsid w:val="000E235C"/>
    <w:rsid w:val="000E23CE"/>
    <w:rsid w:val="000E2421"/>
    <w:rsid w:val="000E24D1"/>
    <w:rsid w:val="000E24DA"/>
    <w:rsid w:val="000E24F8"/>
    <w:rsid w:val="000E251B"/>
    <w:rsid w:val="000E252C"/>
    <w:rsid w:val="000E2550"/>
    <w:rsid w:val="000E2559"/>
    <w:rsid w:val="000E258B"/>
    <w:rsid w:val="000E260F"/>
    <w:rsid w:val="000E2620"/>
    <w:rsid w:val="000E2658"/>
    <w:rsid w:val="000E269E"/>
    <w:rsid w:val="000E26AE"/>
    <w:rsid w:val="000E26EB"/>
    <w:rsid w:val="000E2727"/>
    <w:rsid w:val="000E2747"/>
    <w:rsid w:val="000E2754"/>
    <w:rsid w:val="000E275A"/>
    <w:rsid w:val="000E286C"/>
    <w:rsid w:val="000E2881"/>
    <w:rsid w:val="000E288D"/>
    <w:rsid w:val="000E28E0"/>
    <w:rsid w:val="000E28E3"/>
    <w:rsid w:val="000E2900"/>
    <w:rsid w:val="000E2918"/>
    <w:rsid w:val="000E29D8"/>
    <w:rsid w:val="000E2A4A"/>
    <w:rsid w:val="000E2A66"/>
    <w:rsid w:val="000E2A7C"/>
    <w:rsid w:val="000E2A89"/>
    <w:rsid w:val="000E2B20"/>
    <w:rsid w:val="000E2B34"/>
    <w:rsid w:val="000E2B8D"/>
    <w:rsid w:val="000E2B92"/>
    <w:rsid w:val="000E2BCF"/>
    <w:rsid w:val="000E2C71"/>
    <w:rsid w:val="000E2CEE"/>
    <w:rsid w:val="000E2CFF"/>
    <w:rsid w:val="000E2D39"/>
    <w:rsid w:val="000E2D40"/>
    <w:rsid w:val="000E2D55"/>
    <w:rsid w:val="000E2DB3"/>
    <w:rsid w:val="000E2DE7"/>
    <w:rsid w:val="000E2DED"/>
    <w:rsid w:val="000E2DF8"/>
    <w:rsid w:val="000E2E00"/>
    <w:rsid w:val="000E2E72"/>
    <w:rsid w:val="000E2E91"/>
    <w:rsid w:val="000E2EBC"/>
    <w:rsid w:val="000E2F12"/>
    <w:rsid w:val="000E2F21"/>
    <w:rsid w:val="000E2F3A"/>
    <w:rsid w:val="000E2F4D"/>
    <w:rsid w:val="000E2FA2"/>
    <w:rsid w:val="000E2FCB"/>
    <w:rsid w:val="000E2FE2"/>
    <w:rsid w:val="000E3005"/>
    <w:rsid w:val="000E3164"/>
    <w:rsid w:val="000E31A1"/>
    <w:rsid w:val="000E31E2"/>
    <w:rsid w:val="000E31F5"/>
    <w:rsid w:val="000E321E"/>
    <w:rsid w:val="000E3287"/>
    <w:rsid w:val="000E32E1"/>
    <w:rsid w:val="000E33A1"/>
    <w:rsid w:val="000E33B2"/>
    <w:rsid w:val="000E33DE"/>
    <w:rsid w:val="000E33EB"/>
    <w:rsid w:val="000E33F7"/>
    <w:rsid w:val="000E3446"/>
    <w:rsid w:val="000E346F"/>
    <w:rsid w:val="000E34F5"/>
    <w:rsid w:val="000E3531"/>
    <w:rsid w:val="000E3623"/>
    <w:rsid w:val="000E3631"/>
    <w:rsid w:val="000E3643"/>
    <w:rsid w:val="000E3658"/>
    <w:rsid w:val="000E3695"/>
    <w:rsid w:val="000E36A2"/>
    <w:rsid w:val="000E36AC"/>
    <w:rsid w:val="000E370B"/>
    <w:rsid w:val="000E3752"/>
    <w:rsid w:val="000E3780"/>
    <w:rsid w:val="000E37E1"/>
    <w:rsid w:val="000E37EC"/>
    <w:rsid w:val="000E3817"/>
    <w:rsid w:val="000E3827"/>
    <w:rsid w:val="000E38BD"/>
    <w:rsid w:val="000E38D2"/>
    <w:rsid w:val="000E390C"/>
    <w:rsid w:val="000E3942"/>
    <w:rsid w:val="000E3987"/>
    <w:rsid w:val="000E39E4"/>
    <w:rsid w:val="000E39F0"/>
    <w:rsid w:val="000E3A12"/>
    <w:rsid w:val="000E3A1F"/>
    <w:rsid w:val="000E3A3D"/>
    <w:rsid w:val="000E3A52"/>
    <w:rsid w:val="000E3AE8"/>
    <w:rsid w:val="000E3B3B"/>
    <w:rsid w:val="000E3B4D"/>
    <w:rsid w:val="000E3B80"/>
    <w:rsid w:val="000E3BB9"/>
    <w:rsid w:val="000E3BBE"/>
    <w:rsid w:val="000E3BC5"/>
    <w:rsid w:val="000E3BE7"/>
    <w:rsid w:val="000E3BF0"/>
    <w:rsid w:val="000E3C29"/>
    <w:rsid w:val="000E3C42"/>
    <w:rsid w:val="000E3C53"/>
    <w:rsid w:val="000E3CE8"/>
    <w:rsid w:val="000E3DC2"/>
    <w:rsid w:val="000E3E07"/>
    <w:rsid w:val="000E3E61"/>
    <w:rsid w:val="000E3E99"/>
    <w:rsid w:val="000E3F43"/>
    <w:rsid w:val="000E3F58"/>
    <w:rsid w:val="000E3F72"/>
    <w:rsid w:val="000E3F7B"/>
    <w:rsid w:val="000E3FF4"/>
    <w:rsid w:val="000E400B"/>
    <w:rsid w:val="000E4029"/>
    <w:rsid w:val="000E4045"/>
    <w:rsid w:val="000E408C"/>
    <w:rsid w:val="000E4090"/>
    <w:rsid w:val="000E40CD"/>
    <w:rsid w:val="000E40D5"/>
    <w:rsid w:val="000E4101"/>
    <w:rsid w:val="000E4115"/>
    <w:rsid w:val="000E4186"/>
    <w:rsid w:val="000E422B"/>
    <w:rsid w:val="000E422F"/>
    <w:rsid w:val="000E427A"/>
    <w:rsid w:val="000E42B1"/>
    <w:rsid w:val="000E42D1"/>
    <w:rsid w:val="000E42DB"/>
    <w:rsid w:val="000E42FE"/>
    <w:rsid w:val="000E4340"/>
    <w:rsid w:val="000E4363"/>
    <w:rsid w:val="000E439B"/>
    <w:rsid w:val="000E43E0"/>
    <w:rsid w:val="000E4459"/>
    <w:rsid w:val="000E44A3"/>
    <w:rsid w:val="000E44E8"/>
    <w:rsid w:val="000E451D"/>
    <w:rsid w:val="000E454B"/>
    <w:rsid w:val="000E4560"/>
    <w:rsid w:val="000E45B9"/>
    <w:rsid w:val="000E45DE"/>
    <w:rsid w:val="000E466D"/>
    <w:rsid w:val="000E4677"/>
    <w:rsid w:val="000E46BF"/>
    <w:rsid w:val="000E46E4"/>
    <w:rsid w:val="000E4702"/>
    <w:rsid w:val="000E4790"/>
    <w:rsid w:val="000E47A7"/>
    <w:rsid w:val="000E47BD"/>
    <w:rsid w:val="000E47D8"/>
    <w:rsid w:val="000E482D"/>
    <w:rsid w:val="000E4833"/>
    <w:rsid w:val="000E4846"/>
    <w:rsid w:val="000E4893"/>
    <w:rsid w:val="000E48AD"/>
    <w:rsid w:val="000E48B2"/>
    <w:rsid w:val="000E48C1"/>
    <w:rsid w:val="000E48FF"/>
    <w:rsid w:val="000E4958"/>
    <w:rsid w:val="000E4970"/>
    <w:rsid w:val="000E497A"/>
    <w:rsid w:val="000E497B"/>
    <w:rsid w:val="000E4993"/>
    <w:rsid w:val="000E499D"/>
    <w:rsid w:val="000E49AD"/>
    <w:rsid w:val="000E49FA"/>
    <w:rsid w:val="000E4A14"/>
    <w:rsid w:val="000E4A23"/>
    <w:rsid w:val="000E4A2D"/>
    <w:rsid w:val="000E4AAA"/>
    <w:rsid w:val="000E4AB9"/>
    <w:rsid w:val="000E4ABC"/>
    <w:rsid w:val="000E4AF1"/>
    <w:rsid w:val="000E4B39"/>
    <w:rsid w:val="000E4BDC"/>
    <w:rsid w:val="000E4BF2"/>
    <w:rsid w:val="000E4C27"/>
    <w:rsid w:val="000E4C32"/>
    <w:rsid w:val="000E4C58"/>
    <w:rsid w:val="000E4C76"/>
    <w:rsid w:val="000E4C7D"/>
    <w:rsid w:val="000E4C9B"/>
    <w:rsid w:val="000E4D78"/>
    <w:rsid w:val="000E4DB2"/>
    <w:rsid w:val="000E4DBB"/>
    <w:rsid w:val="000E4DF6"/>
    <w:rsid w:val="000E4E9A"/>
    <w:rsid w:val="000E4EE0"/>
    <w:rsid w:val="000E4F36"/>
    <w:rsid w:val="000E4F56"/>
    <w:rsid w:val="000E4F8C"/>
    <w:rsid w:val="000E5021"/>
    <w:rsid w:val="000E503D"/>
    <w:rsid w:val="000E50CD"/>
    <w:rsid w:val="000E50F8"/>
    <w:rsid w:val="000E5172"/>
    <w:rsid w:val="000E51A7"/>
    <w:rsid w:val="000E51A8"/>
    <w:rsid w:val="000E51D1"/>
    <w:rsid w:val="000E51D6"/>
    <w:rsid w:val="000E523A"/>
    <w:rsid w:val="000E5286"/>
    <w:rsid w:val="000E5296"/>
    <w:rsid w:val="000E52AF"/>
    <w:rsid w:val="000E532D"/>
    <w:rsid w:val="000E536E"/>
    <w:rsid w:val="000E53B8"/>
    <w:rsid w:val="000E53C7"/>
    <w:rsid w:val="000E542A"/>
    <w:rsid w:val="000E544E"/>
    <w:rsid w:val="000E5499"/>
    <w:rsid w:val="000E54E9"/>
    <w:rsid w:val="000E553A"/>
    <w:rsid w:val="000E5561"/>
    <w:rsid w:val="000E55C9"/>
    <w:rsid w:val="000E55E4"/>
    <w:rsid w:val="000E5636"/>
    <w:rsid w:val="000E5669"/>
    <w:rsid w:val="000E5682"/>
    <w:rsid w:val="000E56A6"/>
    <w:rsid w:val="000E56AA"/>
    <w:rsid w:val="000E56DB"/>
    <w:rsid w:val="000E57CA"/>
    <w:rsid w:val="000E5874"/>
    <w:rsid w:val="000E5895"/>
    <w:rsid w:val="000E5905"/>
    <w:rsid w:val="000E5948"/>
    <w:rsid w:val="000E5956"/>
    <w:rsid w:val="000E5970"/>
    <w:rsid w:val="000E59F1"/>
    <w:rsid w:val="000E5A46"/>
    <w:rsid w:val="000E5A9D"/>
    <w:rsid w:val="000E5ABC"/>
    <w:rsid w:val="000E5B50"/>
    <w:rsid w:val="000E5B6D"/>
    <w:rsid w:val="000E5C1E"/>
    <w:rsid w:val="000E5C47"/>
    <w:rsid w:val="000E5C81"/>
    <w:rsid w:val="000E5CB0"/>
    <w:rsid w:val="000E5CC2"/>
    <w:rsid w:val="000E5CCC"/>
    <w:rsid w:val="000E5CF6"/>
    <w:rsid w:val="000E5D0A"/>
    <w:rsid w:val="000E5D11"/>
    <w:rsid w:val="000E5D5F"/>
    <w:rsid w:val="000E5D95"/>
    <w:rsid w:val="000E5DE0"/>
    <w:rsid w:val="000E5EB3"/>
    <w:rsid w:val="000E5F5B"/>
    <w:rsid w:val="000E5FA6"/>
    <w:rsid w:val="000E5FA9"/>
    <w:rsid w:val="000E5FB3"/>
    <w:rsid w:val="000E5FDD"/>
    <w:rsid w:val="000E5FE6"/>
    <w:rsid w:val="000E6047"/>
    <w:rsid w:val="000E60ED"/>
    <w:rsid w:val="000E60F0"/>
    <w:rsid w:val="000E614C"/>
    <w:rsid w:val="000E6167"/>
    <w:rsid w:val="000E61F8"/>
    <w:rsid w:val="000E6213"/>
    <w:rsid w:val="000E6215"/>
    <w:rsid w:val="000E623A"/>
    <w:rsid w:val="000E629A"/>
    <w:rsid w:val="000E62FD"/>
    <w:rsid w:val="000E632B"/>
    <w:rsid w:val="000E63A0"/>
    <w:rsid w:val="000E63AC"/>
    <w:rsid w:val="000E6403"/>
    <w:rsid w:val="000E6412"/>
    <w:rsid w:val="000E6418"/>
    <w:rsid w:val="000E64B1"/>
    <w:rsid w:val="000E64D3"/>
    <w:rsid w:val="000E6515"/>
    <w:rsid w:val="000E653B"/>
    <w:rsid w:val="000E65BA"/>
    <w:rsid w:val="000E65D3"/>
    <w:rsid w:val="000E65D5"/>
    <w:rsid w:val="000E6625"/>
    <w:rsid w:val="000E6633"/>
    <w:rsid w:val="000E66A7"/>
    <w:rsid w:val="000E672E"/>
    <w:rsid w:val="000E673C"/>
    <w:rsid w:val="000E6769"/>
    <w:rsid w:val="000E67D1"/>
    <w:rsid w:val="000E67F6"/>
    <w:rsid w:val="000E683D"/>
    <w:rsid w:val="000E683E"/>
    <w:rsid w:val="000E68D2"/>
    <w:rsid w:val="000E68F5"/>
    <w:rsid w:val="000E6916"/>
    <w:rsid w:val="000E6942"/>
    <w:rsid w:val="000E696A"/>
    <w:rsid w:val="000E69A4"/>
    <w:rsid w:val="000E69C9"/>
    <w:rsid w:val="000E69E2"/>
    <w:rsid w:val="000E69E4"/>
    <w:rsid w:val="000E6A54"/>
    <w:rsid w:val="000E6A8C"/>
    <w:rsid w:val="000E6B67"/>
    <w:rsid w:val="000E6B89"/>
    <w:rsid w:val="000E6BCF"/>
    <w:rsid w:val="000E6C10"/>
    <w:rsid w:val="000E6C18"/>
    <w:rsid w:val="000E6C95"/>
    <w:rsid w:val="000E6CA9"/>
    <w:rsid w:val="000E6CEF"/>
    <w:rsid w:val="000E6D8C"/>
    <w:rsid w:val="000E6D91"/>
    <w:rsid w:val="000E6D98"/>
    <w:rsid w:val="000E6DC3"/>
    <w:rsid w:val="000E6DCD"/>
    <w:rsid w:val="000E6E6E"/>
    <w:rsid w:val="000E6EAD"/>
    <w:rsid w:val="000E6F0F"/>
    <w:rsid w:val="000E704F"/>
    <w:rsid w:val="000E7085"/>
    <w:rsid w:val="000E7086"/>
    <w:rsid w:val="000E7099"/>
    <w:rsid w:val="000E70ED"/>
    <w:rsid w:val="000E712D"/>
    <w:rsid w:val="000E7165"/>
    <w:rsid w:val="000E7194"/>
    <w:rsid w:val="000E71AC"/>
    <w:rsid w:val="000E71B3"/>
    <w:rsid w:val="000E71BC"/>
    <w:rsid w:val="000E71BD"/>
    <w:rsid w:val="000E71CD"/>
    <w:rsid w:val="000E71F5"/>
    <w:rsid w:val="000E7212"/>
    <w:rsid w:val="000E72AA"/>
    <w:rsid w:val="000E73B1"/>
    <w:rsid w:val="000E73CC"/>
    <w:rsid w:val="000E73D7"/>
    <w:rsid w:val="000E747D"/>
    <w:rsid w:val="000E7491"/>
    <w:rsid w:val="000E7518"/>
    <w:rsid w:val="000E754A"/>
    <w:rsid w:val="000E755F"/>
    <w:rsid w:val="000E75B6"/>
    <w:rsid w:val="000E75C4"/>
    <w:rsid w:val="000E75FD"/>
    <w:rsid w:val="000E7625"/>
    <w:rsid w:val="000E7654"/>
    <w:rsid w:val="000E7680"/>
    <w:rsid w:val="000E76B0"/>
    <w:rsid w:val="000E76DA"/>
    <w:rsid w:val="000E77A8"/>
    <w:rsid w:val="000E77EE"/>
    <w:rsid w:val="000E783F"/>
    <w:rsid w:val="000E7883"/>
    <w:rsid w:val="000E7961"/>
    <w:rsid w:val="000E7963"/>
    <w:rsid w:val="000E79D1"/>
    <w:rsid w:val="000E79D3"/>
    <w:rsid w:val="000E7A13"/>
    <w:rsid w:val="000E7A22"/>
    <w:rsid w:val="000E7A55"/>
    <w:rsid w:val="000E7A7E"/>
    <w:rsid w:val="000E7AAD"/>
    <w:rsid w:val="000E7B04"/>
    <w:rsid w:val="000E7B27"/>
    <w:rsid w:val="000E7B3D"/>
    <w:rsid w:val="000E7C99"/>
    <w:rsid w:val="000E7CA0"/>
    <w:rsid w:val="000E7D08"/>
    <w:rsid w:val="000E7D5D"/>
    <w:rsid w:val="000E7D95"/>
    <w:rsid w:val="000E7DDA"/>
    <w:rsid w:val="000E7DEE"/>
    <w:rsid w:val="000E7E19"/>
    <w:rsid w:val="000E7E23"/>
    <w:rsid w:val="000E7E7A"/>
    <w:rsid w:val="000E7F07"/>
    <w:rsid w:val="000E7F7D"/>
    <w:rsid w:val="000E7F8E"/>
    <w:rsid w:val="000E7FA3"/>
    <w:rsid w:val="000E7FC9"/>
    <w:rsid w:val="000F0094"/>
    <w:rsid w:val="000F0170"/>
    <w:rsid w:val="000F0176"/>
    <w:rsid w:val="000F0184"/>
    <w:rsid w:val="000F01A6"/>
    <w:rsid w:val="000F01EF"/>
    <w:rsid w:val="000F0283"/>
    <w:rsid w:val="000F02FC"/>
    <w:rsid w:val="000F0307"/>
    <w:rsid w:val="000F0341"/>
    <w:rsid w:val="000F036A"/>
    <w:rsid w:val="000F0379"/>
    <w:rsid w:val="000F0398"/>
    <w:rsid w:val="000F03A6"/>
    <w:rsid w:val="000F0485"/>
    <w:rsid w:val="000F04DD"/>
    <w:rsid w:val="000F0532"/>
    <w:rsid w:val="000F053D"/>
    <w:rsid w:val="000F0555"/>
    <w:rsid w:val="000F05B6"/>
    <w:rsid w:val="000F05EB"/>
    <w:rsid w:val="000F0600"/>
    <w:rsid w:val="000F065F"/>
    <w:rsid w:val="000F0682"/>
    <w:rsid w:val="000F073C"/>
    <w:rsid w:val="000F074A"/>
    <w:rsid w:val="000F0777"/>
    <w:rsid w:val="000F0792"/>
    <w:rsid w:val="000F07A2"/>
    <w:rsid w:val="000F07A4"/>
    <w:rsid w:val="000F07CA"/>
    <w:rsid w:val="000F07EB"/>
    <w:rsid w:val="000F080E"/>
    <w:rsid w:val="000F0830"/>
    <w:rsid w:val="000F084D"/>
    <w:rsid w:val="000F08C7"/>
    <w:rsid w:val="000F08D6"/>
    <w:rsid w:val="000F08FB"/>
    <w:rsid w:val="000F090B"/>
    <w:rsid w:val="000F090E"/>
    <w:rsid w:val="000F099A"/>
    <w:rsid w:val="000F0A80"/>
    <w:rsid w:val="000F0AAF"/>
    <w:rsid w:val="000F0AC9"/>
    <w:rsid w:val="000F0ADD"/>
    <w:rsid w:val="000F0B46"/>
    <w:rsid w:val="000F0B9B"/>
    <w:rsid w:val="000F0BC8"/>
    <w:rsid w:val="000F0BCA"/>
    <w:rsid w:val="000F0BE0"/>
    <w:rsid w:val="000F0C48"/>
    <w:rsid w:val="000F0C59"/>
    <w:rsid w:val="000F0C70"/>
    <w:rsid w:val="000F0C86"/>
    <w:rsid w:val="000F0C91"/>
    <w:rsid w:val="000F0CD9"/>
    <w:rsid w:val="000F0CF5"/>
    <w:rsid w:val="000F0CF7"/>
    <w:rsid w:val="000F0D24"/>
    <w:rsid w:val="000F0D3A"/>
    <w:rsid w:val="000F0DBC"/>
    <w:rsid w:val="000F0EDE"/>
    <w:rsid w:val="000F0FB4"/>
    <w:rsid w:val="000F1059"/>
    <w:rsid w:val="000F111C"/>
    <w:rsid w:val="000F1122"/>
    <w:rsid w:val="000F1170"/>
    <w:rsid w:val="000F1173"/>
    <w:rsid w:val="000F11A4"/>
    <w:rsid w:val="000F11D4"/>
    <w:rsid w:val="000F1209"/>
    <w:rsid w:val="000F1231"/>
    <w:rsid w:val="000F1238"/>
    <w:rsid w:val="000F129A"/>
    <w:rsid w:val="000F13E4"/>
    <w:rsid w:val="000F141B"/>
    <w:rsid w:val="000F1439"/>
    <w:rsid w:val="000F1468"/>
    <w:rsid w:val="000F1480"/>
    <w:rsid w:val="000F152E"/>
    <w:rsid w:val="000F156B"/>
    <w:rsid w:val="000F158B"/>
    <w:rsid w:val="000F15F6"/>
    <w:rsid w:val="000F1642"/>
    <w:rsid w:val="000F1665"/>
    <w:rsid w:val="000F16D6"/>
    <w:rsid w:val="000F16DF"/>
    <w:rsid w:val="000F172D"/>
    <w:rsid w:val="000F1827"/>
    <w:rsid w:val="000F1847"/>
    <w:rsid w:val="000F18C5"/>
    <w:rsid w:val="000F194D"/>
    <w:rsid w:val="000F1952"/>
    <w:rsid w:val="000F19B8"/>
    <w:rsid w:val="000F19C8"/>
    <w:rsid w:val="000F19CA"/>
    <w:rsid w:val="000F19D0"/>
    <w:rsid w:val="000F19D3"/>
    <w:rsid w:val="000F1A15"/>
    <w:rsid w:val="000F1A18"/>
    <w:rsid w:val="000F1A52"/>
    <w:rsid w:val="000F1ACD"/>
    <w:rsid w:val="000F1B30"/>
    <w:rsid w:val="000F1B6E"/>
    <w:rsid w:val="000F1B7F"/>
    <w:rsid w:val="000F1C58"/>
    <w:rsid w:val="000F1C5C"/>
    <w:rsid w:val="000F1C99"/>
    <w:rsid w:val="000F1CCD"/>
    <w:rsid w:val="000F1D68"/>
    <w:rsid w:val="000F1D83"/>
    <w:rsid w:val="000F1DD2"/>
    <w:rsid w:val="000F1DF3"/>
    <w:rsid w:val="000F1E15"/>
    <w:rsid w:val="000F1E33"/>
    <w:rsid w:val="000F1E7F"/>
    <w:rsid w:val="000F1EB3"/>
    <w:rsid w:val="000F1F13"/>
    <w:rsid w:val="000F1F51"/>
    <w:rsid w:val="000F1FCE"/>
    <w:rsid w:val="000F1FD2"/>
    <w:rsid w:val="000F200C"/>
    <w:rsid w:val="000F200E"/>
    <w:rsid w:val="000F209C"/>
    <w:rsid w:val="000F20DC"/>
    <w:rsid w:val="000F2138"/>
    <w:rsid w:val="000F2144"/>
    <w:rsid w:val="000F21DD"/>
    <w:rsid w:val="000F21FB"/>
    <w:rsid w:val="000F2206"/>
    <w:rsid w:val="000F2243"/>
    <w:rsid w:val="000F22EA"/>
    <w:rsid w:val="000F2468"/>
    <w:rsid w:val="000F2472"/>
    <w:rsid w:val="000F24A3"/>
    <w:rsid w:val="000F24F2"/>
    <w:rsid w:val="000F2531"/>
    <w:rsid w:val="000F2557"/>
    <w:rsid w:val="000F25A2"/>
    <w:rsid w:val="000F2643"/>
    <w:rsid w:val="000F2644"/>
    <w:rsid w:val="000F2675"/>
    <w:rsid w:val="000F26A5"/>
    <w:rsid w:val="000F26E7"/>
    <w:rsid w:val="000F2731"/>
    <w:rsid w:val="000F27D1"/>
    <w:rsid w:val="000F280E"/>
    <w:rsid w:val="000F2836"/>
    <w:rsid w:val="000F2868"/>
    <w:rsid w:val="000F2886"/>
    <w:rsid w:val="000F2913"/>
    <w:rsid w:val="000F2923"/>
    <w:rsid w:val="000F294D"/>
    <w:rsid w:val="000F296E"/>
    <w:rsid w:val="000F29C5"/>
    <w:rsid w:val="000F29DC"/>
    <w:rsid w:val="000F2A4C"/>
    <w:rsid w:val="000F2A7B"/>
    <w:rsid w:val="000F2A9E"/>
    <w:rsid w:val="000F2ABA"/>
    <w:rsid w:val="000F2B23"/>
    <w:rsid w:val="000F2C9C"/>
    <w:rsid w:val="000F2CC7"/>
    <w:rsid w:val="000F2D22"/>
    <w:rsid w:val="000F2D3F"/>
    <w:rsid w:val="000F2D41"/>
    <w:rsid w:val="000F2D95"/>
    <w:rsid w:val="000F2DD3"/>
    <w:rsid w:val="000F2E27"/>
    <w:rsid w:val="000F3039"/>
    <w:rsid w:val="000F3068"/>
    <w:rsid w:val="000F30DB"/>
    <w:rsid w:val="000F30EA"/>
    <w:rsid w:val="000F310F"/>
    <w:rsid w:val="000F3137"/>
    <w:rsid w:val="000F313B"/>
    <w:rsid w:val="000F315D"/>
    <w:rsid w:val="000F3172"/>
    <w:rsid w:val="000F3198"/>
    <w:rsid w:val="000F31A5"/>
    <w:rsid w:val="000F31FA"/>
    <w:rsid w:val="000F3293"/>
    <w:rsid w:val="000F32EE"/>
    <w:rsid w:val="000F3392"/>
    <w:rsid w:val="000F34C0"/>
    <w:rsid w:val="000F34F3"/>
    <w:rsid w:val="000F3516"/>
    <w:rsid w:val="000F3531"/>
    <w:rsid w:val="000F355A"/>
    <w:rsid w:val="000F3578"/>
    <w:rsid w:val="000F35CC"/>
    <w:rsid w:val="000F3600"/>
    <w:rsid w:val="000F3608"/>
    <w:rsid w:val="000F36B0"/>
    <w:rsid w:val="000F36B7"/>
    <w:rsid w:val="000F372E"/>
    <w:rsid w:val="000F3799"/>
    <w:rsid w:val="000F37C5"/>
    <w:rsid w:val="000F380D"/>
    <w:rsid w:val="000F3816"/>
    <w:rsid w:val="000F3872"/>
    <w:rsid w:val="000F38BA"/>
    <w:rsid w:val="000F38E8"/>
    <w:rsid w:val="000F3910"/>
    <w:rsid w:val="000F3930"/>
    <w:rsid w:val="000F39F1"/>
    <w:rsid w:val="000F39F4"/>
    <w:rsid w:val="000F39FB"/>
    <w:rsid w:val="000F3B24"/>
    <w:rsid w:val="000F3BD7"/>
    <w:rsid w:val="000F3C00"/>
    <w:rsid w:val="000F3C15"/>
    <w:rsid w:val="000F3CA2"/>
    <w:rsid w:val="000F3CB5"/>
    <w:rsid w:val="000F3CD3"/>
    <w:rsid w:val="000F3D02"/>
    <w:rsid w:val="000F3D20"/>
    <w:rsid w:val="000F3D23"/>
    <w:rsid w:val="000F3E19"/>
    <w:rsid w:val="000F3E67"/>
    <w:rsid w:val="000F3E7C"/>
    <w:rsid w:val="000F3F49"/>
    <w:rsid w:val="000F3F4D"/>
    <w:rsid w:val="000F3F9E"/>
    <w:rsid w:val="000F400C"/>
    <w:rsid w:val="000F403B"/>
    <w:rsid w:val="000F404A"/>
    <w:rsid w:val="000F4104"/>
    <w:rsid w:val="000F4129"/>
    <w:rsid w:val="000F414B"/>
    <w:rsid w:val="000F41E3"/>
    <w:rsid w:val="000F41F0"/>
    <w:rsid w:val="000F429F"/>
    <w:rsid w:val="000F42A1"/>
    <w:rsid w:val="000F42F5"/>
    <w:rsid w:val="000F435F"/>
    <w:rsid w:val="000F436C"/>
    <w:rsid w:val="000F436E"/>
    <w:rsid w:val="000F4378"/>
    <w:rsid w:val="000F4396"/>
    <w:rsid w:val="000F43C6"/>
    <w:rsid w:val="000F4441"/>
    <w:rsid w:val="000F4455"/>
    <w:rsid w:val="000F44C4"/>
    <w:rsid w:val="000F4594"/>
    <w:rsid w:val="000F45CB"/>
    <w:rsid w:val="000F463B"/>
    <w:rsid w:val="000F4674"/>
    <w:rsid w:val="000F46A6"/>
    <w:rsid w:val="000F46EC"/>
    <w:rsid w:val="000F4742"/>
    <w:rsid w:val="000F4784"/>
    <w:rsid w:val="000F4795"/>
    <w:rsid w:val="000F4797"/>
    <w:rsid w:val="000F47E5"/>
    <w:rsid w:val="000F4820"/>
    <w:rsid w:val="000F4824"/>
    <w:rsid w:val="000F4838"/>
    <w:rsid w:val="000F486A"/>
    <w:rsid w:val="000F4875"/>
    <w:rsid w:val="000F48B1"/>
    <w:rsid w:val="000F48BE"/>
    <w:rsid w:val="000F48F0"/>
    <w:rsid w:val="000F4906"/>
    <w:rsid w:val="000F4920"/>
    <w:rsid w:val="000F496F"/>
    <w:rsid w:val="000F497F"/>
    <w:rsid w:val="000F49C2"/>
    <w:rsid w:val="000F49C4"/>
    <w:rsid w:val="000F49FA"/>
    <w:rsid w:val="000F4A5E"/>
    <w:rsid w:val="000F4B50"/>
    <w:rsid w:val="000F4BB1"/>
    <w:rsid w:val="000F4BC4"/>
    <w:rsid w:val="000F4BD5"/>
    <w:rsid w:val="000F4C17"/>
    <w:rsid w:val="000F4C1C"/>
    <w:rsid w:val="000F4C3F"/>
    <w:rsid w:val="000F4C78"/>
    <w:rsid w:val="000F4CCF"/>
    <w:rsid w:val="000F4D60"/>
    <w:rsid w:val="000F4D66"/>
    <w:rsid w:val="000F4D89"/>
    <w:rsid w:val="000F4DA4"/>
    <w:rsid w:val="000F4DD8"/>
    <w:rsid w:val="000F4DFA"/>
    <w:rsid w:val="000F4E23"/>
    <w:rsid w:val="000F4EAE"/>
    <w:rsid w:val="000F4F11"/>
    <w:rsid w:val="000F4F1E"/>
    <w:rsid w:val="000F4F91"/>
    <w:rsid w:val="000F4FE2"/>
    <w:rsid w:val="000F4FED"/>
    <w:rsid w:val="000F50A8"/>
    <w:rsid w:val="000F50E4"/>
    <w:rsid w:val="000F5127"/>
    <w:rsid w:val="000F5146"/>
    <w:rsid w:val="000F5156"/>
    <w:rsid w:val="000F517A"/>
    <w:rsid w:val="000F517C"/>
    <w:rsid w:val="000F51BE"/>
    <w:rsid w:val="000F522E"/>
    <w:rsid w:val="000F5256"/>
    <w:rsid w:val="000F5259"/>
    <w:rsid w:val="000F52D8"/>
    <w:rsid w:val="000F52F3"/>
    <w:rsid w:val="000F5302"/>
    <w:rsid w:val="000F531E"/>
    <w:rsid w:val="000F537E"/>
    <w:rsid w:val="000F53DC"/>
    <w:rsid w:val="000F5491"/>
    <w:rsid w:val="000F549B"/>
    <w:rsid w:val="000F553B"/>
    <w:rsid w:val="000F56AA"/>
    <w:rsid w:val="000F56E1"/>
    <w:rsid w:val="000F5728"/>
    <w:rsid w:val="000F575F"/>
    <w:rsid w:val="000F576C"/>
    <w:rsid w:val="000F57A7"/>
    <w:rsid w:val="000F57AD"/>
    <w:rsid w:val="000F57E0"/>
    <w:rsid w:val="000F57FF"/>
    <w:rsid w:val="000F5823"/>
    <w:rsid w:val="000F5854"/>
    <w:rsid w:val="000F5859"/>
    <w:rsid w:val="000F5880"/>
    <w:rsid w:val="000F58AA"/>
    <w:rsid w:val="000F58B2"/>
    <w:rsid w:val="000F5928"/>
    <w:rsid w:val="000F5969"/>
    <w:rsid w:val="000F596A"/>
    <w:rsid w:val="000F5987"/>
    <w:rsid w:val="000F59D6"/>
    <w:rsid w:val="000F59F6"/>
    <w:rsid w:val="000F5A80"/>
    <w:rsid w:val="000F5B16"/>
    <w:rsid w:val="000F5B97"/>
    <w:rsid w:val="000F5BEC"/>
    <w:rsid w:val="000F5C15"/>
    <w:rsid w:val="000F5C24"/>
    <w:rsid w:val="000F5C88"/>
    <w:rsid w:val="000F5CA0"/>
    <w:rsid w:val="000F5D36"/>
    <w:rsid w:val="000F5D50"/>
    <w:rsid w:val="000F5D56"/>
    <w:rsid w:val="000F5DE6"/>
    <w:rsid w:val="000F5DEB"/>
    <w:rsid w:val="000F5DEE"/>
    <w:rsid w:val="000F5E79"/>
    <w:rsid w:val="000F5EB3"/>
    <w:rsid w:val="000F5EE1"/>
    <w:rsid w:val="000F5FA8"/>
    <w:rsid w:val="000F5FF6"/>
    <w:rsid w:val="000F6001"/>
    <w:rsid w:val="000F6002"/>
    <w:rsid w:val="000F601A"/>
    <w:rsid w:val="000F602E"/>
    <w:rsid w:val="000F6054"/>
    <w:rsid w:val="000F60DD"/>
    <w:rsid w:val="000F60E2"/>
    <w:rsid w:val="000F6125"/>
    <w:rsid w:val="000F619B"/>
    <w:rsid w:val="000F61DD"/>
    <w:rsid w:val="000F6213"/>
    <w:rsid w:val="000F6254"/>
    <w:rsid w:val="000F6278"/>
    <w:rsid w:val="000F62F6"/>
    <w:rsid w:val="000F6514"/>
    <w:rsid w:val="000F652E"/>
    <w:rsid w:val="000F6592"/>
    <w:rsid w:val="000F65EA"/>
    <w:rsid w:val="000F66C0"/>
    <w:rsid w:val="000F6861"/>
    <w:rsid w:val="000F68A1"/>
    <w:rsid w:val="000F68CE"/>
    <w:rsid w:val="000F68D3"/>
    <w:rsid w:val="000F68FD"/>
    <w:rsid w:val="000F6A73"/>
    <w:rsid w:val="000F6A85"/>
    <w:rsid w:val="000F6A9B"/>
    <w:rsid w:val="000F6AE8"/>
    <w:rsid w:val="000F6B51"/>
    <w:rsid w:val="000F6BBD"/>
    <w:rsid w:val="000F6BC0"/>
    <w:rsid w:val="000F6C75"/>
    <w:rsid w:val="000F6C7D"/>
    <w:rsid w:val="000F6D20"/>
    <w:rsid w:val="000F6DA0"/>
    <w:rsid w:val="000F6E17"/>
    <w:rsid w:val="000F6E34"/>
    <w:rsid w:val="000F6E40"/>
    <w:rsid w:val="000F6E65"/>
    <w:rsid w:val="000F6E87"/>
    <w:rsid w:val="000F6EA3"/>
    <w:rsid w:val="000F6EF5"/>
    <w:rsid w:val="000F6F43"/>
    <w:rsid w:val="000F6F5A"/>
    <w:rsid w:val="000F6F5E"/>
    <w:rsid w:val="000F6F6C"/>
    <w:rsid w:val="000F6FCD"/>
    <w:rsid w:val="000F6FD2"/>
    <w:rsid w:val="000F7051"/>
    <w:rsid w:val="000F7073"/>
    <w:rsid w:val="000F709E"/>
    <w:rsid w:val="000F70F7"/>
    <w:rsid w:val="000F7152"/>
    <w:rsid w:val="000F71F2"/>
    <w:rsid w:val="000F7225"/>
    <w:rsid w:val="000F7226"/>
    <w:rsid w:val="000F725F"/>
    <w:rsid w:val="000F7285"/>
    <w:rsid w:val="000F729A"/>
    <w:rsid w:val="000F7348"/>
    <w:rsid w:val="000F734C"/>
    <w:rsid w:val="000F7358"/>
    <w:rsid w:val="000F7508"/>
    <w:rsid w:val="000F7552"/>
    <w:rsid w:val="000F7583"/>
    <w:rsid w:val="000F75D4"/>
    <w:rsid w:val="000F762E"/>
    <w:rsid w:val="000F7643"/>
    <w:rsid w:val="000F7670"/>
    <w:rsid w:val="000F767C"/>
    <w:rsid w:val="000F76A2"/>
    <w:rsid w:val="000F76B3"/>
    <w:rsid w:val="000F76D2"/>
    <w:rsid w:val="000F771C"/>
    <w:rsid w:val="000F7754"/>
    <w:rsid w:val="000F77CB"/>
    <w:rsid w:val="000F77D3"/>
    <w:rsid w:val="000F77F6"/>
    <w:rsid w:val="000F78AF"/>
    <w:rsid w:val="000F78B1"/>
    <w:rsid w:val="000F7974"/>
    <w:rsid w:val="000F7995"/>
    <w:rsid w:val="000F7A55"/>
    <w:rsid w:val="000F7AED"/>
    <w:rsid w:val="000F7AF0"/>
    <w:rsid w:val="000F7B55"/>
    <w:rsid w:val="000F7B71"/>
    <w:rsid w:val="000F7C97"/>
    <w:rsid w:val="000F7CBF"/>
    <w:rsid w:val="000F7CCF"/>
    <w:rsid w:val="000F7D2E"/>
    <w:rsid w:val="000F7DE8"/>
    <w:rsid w:val="000F7DF8"/>
    <w:rsid w:val="000F7E02"/>
    <w:rsid w:val="000F7E09"/>
    <w:rsid w:val="000F7E13"/>
    <w:rsid w:val="000F7E62"/>
    <w:rsid w:val="000F7E7A"/>
    <w:rsid w:val="000F7EA7"/>
    <w:rsid w:val="000F7EA9"/>
    <w:rsid w:val="000F7F07"/>
    <w:rsid w:val="000F7F15"/>
    <w:rsid w:val="000F7F3E"/>
    <w:rsid w:val="000F7F46"/>
    <w:rsid w:val="000F7FCA"/>
    <w:rsid w:val="00100000"/>
    <w:rsid w:val="0010000B"/>
    <w:rsid w:val="0010004E"/>
    <w:rsid w:val="0010004F"/>
    <w:rsid w:val="00100054"/>
    <w:rsid w:val="001000D5"/>
    <w:rsid w:val="001000E7"/>
    <w:rsid w:val="00100109"/>
    <w:rsid w:val="00100118"/>
    <w:rsid w:val="0010013B"/>
    <w:rsid w:val="00100186"/>
    <w:rsid w:val="001001E1"/>
    <w:rsid w:val="00100213"/>
    <w:rsid w:val="00100251"/>
    <w:rsid w:val="0010028B"/>
    <w:rsid w:val="0010028D"/>
    <w:rsid w:val="001002B6"/>
    <w:rsid w:val="00100301"/>
    <w:rsid w:val="00100338"/>
    <w:rsid w:val="0010033C"/>
    <w:rsid w:val="0010035A"/>
    <w:rsid w:val="00100360"/>
    <w:rsid w:val="00100378"/>
    <w:rsid w:val="0010045C"/>
    <w:rsid w:val="001004DA"/>
    <w:rsid w:val="00100506"/>
    <w:rsid w:val="00100512"/>
    <w:rsid w:val="00100562"/>
    <w:rsid w:val="001005E3"/>
    <w:rsid w:val="001005F6"/>
    <w:rsid w:val="001006BF"/>
    <w:rsid w:val="001006E6"/>
    <w:rsid w:val="0010077E"/>
    <w:rsid w:val="0010078E"/>
    <w:rsid w:val="00100796"/>
    <w:rsid w:val="001007BB"/>
    <w:rsid w:val="001007D3"/>
    <w:rsid w:val="001007F0"/>
    <w:rsid w:val="001007FF"/>
    <w:rsid w:val="00100864"/>
    <w:rsid w:val="0010095C"/>
    <w:rsid w:val="0010095F"/>
    <w:rsid w:val="0010099C"/>
    <w:rsid w:val="00100B1E"/>
    <w:rsid w:val="00100B37"/>
    <w:rsid w:val="00100B3F"/>
    <w:rsid w:val="00100B64"/>
    <w:rsid w:val="00100C52"/>
    <w:rsid w:val="00100C83"/>
    <w:rsid w:val="00100C8E"/>
    <w:rsid w:val="00100D8C"/>
    <w:rsid w:val="00100E03"/>
    <w:rsid w:val="00100E3F"/>
    <w:rsid w:val="00100E5B"/>
    <w:rsid w:val="00100E78"/>
    <w:rsid w:val="00100EB0"/>
    <w:rsid w:val="00100EF3"/>
    <w:rsid w:val="00100F65"/>
    <w:rsid w:val="00100F9F"/>
    <w:rsid w:val="00100FBF"/>
    <w:rsid w:val="00100FCB"/>
    <w:rsid w:val="00100FF7"/>
    <w:rsid w:val="00101013"/>
    <w:rsid w:val="00101020"/>
    <w:rsid w:val="0010107A"/>
    <w:rsid w:val="0010109F"/>
    <w:rsid w:val="001010D7"/>
    <w:rsid w:val="00101111"/>
    <w:rsid w:val="00101150"/>
    <w:rsid w:val="001011C0"/>
    <w:rsid w:val="001011D4"/>
    <w:rsid w:val="001011FE"/>
    <w:rsid w:val="001012B0"/>
    <w:rsid w:val="00101342"/>
    <w:rsid w:val="0010139E"/>
    <w:rsid w:val="00101446"/>
    <w:rsid w:val="001014A5"/>
    <w:rsid w:val="001014B9"/>
    <w:rsid w:val="001014FB"/>
    <w:rsid w:val="0010150B"/>
    <w:rsid w:val="00101523"/>
    <w:rsid w:val="0010154A"/>
    <w:rsid w:val="00101563"/>
    <w:rsid w:val="001015B9"/>
    <w:rsid w:val="001015C1"/>
    <w:rsid w:val="0010170A"/>
    <w:rsid w:val="00101748"/>
    <w:rsid w:val="00101754"/>
    <w:rsid w:val="00101759"/>
    <w:rsid w:val="00101773"/>
    <w:rsid w:val="0010177B"/>
    <w:rsid w:val="00101796"/>
    <w:rsid w:val="001017BE"/>
    <w:rsid w:val="0010187C"/>
    <w:rsid w:val="001018AF"/>
    <w:rsid w:val="001018D8"/>
    <w:rsid w:val="001018E7"/>
    <w:rsid w:val="001018EA"/>
    <w:rsid w:val="00101926"/>
    <w:rsid w:val="00101941"/>
    <w:rsid w:val="0010196E"/>
    <w:rsid w:val="001019AE"/>
    <w:rsid w:val="001019C4"/>
    <w:rsid w:val="001019CE"/>
    <w:rsid w:val="00101A34"/>
    <w:rsid w:val="00101A67"/>
    <w:rsid w:val="00101A83"/>
    <w:rsid w:val="00101A93"/>
    <w:rsid w:val="00101AE2"/>
    <w:rsid w:val="00101B09"/>
    <w:rsid w:val="00101B0D"/>
    <w:rsid w:val="00101B20"/>
    <w:rsid w:val="00101B64"/>
    <w:rsid w:val="00101BEB"/>
    <w:rsid w:val="00101C13"/>
    <w:rsid w:val="00101C79"/>
    <w:rsid w:val="00101CBB"/>
    <w:rsid w:val="00101CCC"/>
    <w:rsid w:val="00101CF6"/>
    <w:rsid w:val="00101D2F"/>
    <w:rsid w:val="00101D3B"/>
    <w:rsid w:val="00101DB3"/>
    <w:rsid w:val="00101DD2"/>
    <w:rsid w:val="00101E55"/>
    <w:rsid w:val="00101E85"/>
    <w:rsid w:val="00101E94"/>
    <w:rsid w:val="00101EA9"/>
    <w:rsid w:val="00101EBF"/>
    <w:rsid w:val="00101EE1"/>
    <w:rsid w:val="00101EEE"/>
    <w:rsid w:val="00101EF9"/>
    <w:rsid w:val="00101F05"/>
    <w:rsid w:val="00101F17"/>
    <w:rsid w:val="00101F20"/>
    <w:rsid w:val="00101F2E"/>
    <w:rsid w:val="00101F38"/>
    <w:rsid w:val="00101F77"/>
    <w:rsid w:val="0010200F"/>
    <w:rsid w:val="0010204E"/>
    <w:rsid w:val="00102092"/>
    <w:rsid w:val="001020A3"/>
    <w:rsid w:val="001020FF"/>
    <w:rsid w:val="0010212E"/>
    <w:rsid w:val="00102160"/>
    <w:rsid w:val="0010218B"/>
    <w:rsid w:val="00102266"/>
    <w:rsid w:val="00102397"/>
    <w:rsid w:val="001023B3"/>
    <w:rsid w:val="001023C4"/>
    <w:rsid w:val="001023CD"/>
    <w:rsid w:val="0010243E"/>
    <w:rsid w:val="0010246C"/>
    <w:rsid w:val="001024AC"/>
    <w:rsid w:val="001024C9"/>
    <w:rsid w:val="001024EA"/>
    <w:rsid w:val="00102556"/>
    <w:rsid w:val="0010255A"/>
    <w:rsid w:val="00102584"/>
    <w:rsid w:val="0010258A"/>
    <w:rsid w:val="001025EE"/>
    <w:rsid w:val="001025F6"/>
    <w:rsid w:val="00102615"/>
    <w:rsid w:val="00102618"/>
    <w:rsid w:val="00102656"/>
    <w:rsid w:val="001026A0"/>
    <w:rsid w:val="001026AC"/>
    <w:rsid w:val="00102721"/>
    <w:rsid w:val="00102763"/>
    <w:rsid w:val="00102770"/>
    <w:rsid w:val="00102798"/>
    <w:rsid w:val="001027CF"/>
    <w:rsid w:val="001027D8"/>
    <w:rsid w:val="001027E6"/>
    <w:rsid w:val="001027EA"/>
    <w:rsid w:val="00102843"/>
    <w:rsid w:val="00102896"/>
    <w:rsid w:val="001028AB"/>
    <w:rsid w:val="001028EB"/>
    <w:rsid w:val="0010291F"/>
    <w:rsid w:val="00102930"/>
    <w:rsid w:val="00102958"/>
    <w:rsid w:val="001029C4"/>
    <w:rsid w:val="001029DA"/>
    <w:rsid w:val="00102A11"/>
    <w:rsid w:val="00102A59"/>
    <w:rsid w:val="00102A61"/>
    <w:rsid w:val="00102BA9"/>
    <w:rsid w:val="00102BF0"/>
    <w:rsid w:val="00102BFD"/>
    <w:rsid w:val="00102C0A"/>
    <w:rsid w:val="00102C31"/>
    <w:rsid w:val="00102C32"/>
    <w:rsid w:val="00102C37"/>
    <w:rsid w:val="00102CEA"/>
    <w:rsid w:val="00102D26"/>
    <w:rsid w:val="00102D78"/>
    <w:rsid w:val="00102DBE"/>
    <w:rsid w:val="00102DDB"/>
    <w:rsid w:val="00102E0C"/>
    <w:rsid w:val="00102E32"/>
    <w:rsid w:val="00102E45"/>
    <w:rsid w:val="00102E81"/>
    <w:rsid w:val="00102EE6"/>
    <w:rsid w:val="00102F09"/>
    <w:rsid w:val="00102F9E"/>
    <w:rsid w:val="00102FFA"/>
    <w:rsid w:val="00103009"/>
    <w:rsid w:val="00103016"/>
    <w:rsid w:val="0010315B"/>
    <w:rsid w:val="00103178"/>
    <w:rsid w:val="00103192"/>
    <w:rsid w:val="001031B0"/>
    <w:rsid w:val="001031BE"/>
    <w:rsid w:val="00103206"/>
    <w:rsid w:val="00103219"/>
    <w:rsid w:val="0010322E"/>
    <w:rsid w:val="001032A0"/>
    <w:rsid w:val="001032DE"/>
    <w:rsid w:val="0010331D"/>
    <w:rsid w:val="00103352"/>
    <w:rsid w:val="00103362"/>
    <w:rsid w:val="0010348B"/>
    <w:rsid w:val="0010348D"/>
    <w:rsid w:val="001034B2"/>
    <w:rsid w:val="00103533"/>
    <w:rsid w:val="00103536"/>
    <w:rsid w:val="00103555"/>
    <w:rsid w:val="001035D7"/>
    <w:rsid w:val="001035F1"/>
    <w:rsid w:val="001035FE"/>
    <w:rsid w:val="0010364E"/>
    <w:rsid w:val="00103654"/>
    <w:rsid w:val="00103699"/>
    <w:rsid w:val="001036B9"/>
    <w:rsid w:val="001036DF"/>
    <w:rsid w:val="001036F9"/>
    <w:rsid w:val="0010372D"/>
    <w:rsid w:val="001037C5"/>
    <w:rsid w:val="0010389C"/>
    <w:rsid w:val="001038CC"/>
    <w:rsid w:val="001038FB"/>
    <w:rsid w:val="00103907"/>
    <w:rsid w:val="0010392C"/>
    <w:rsid w:val="00103972"/>
    <w:rsid w:val="001039EB"/>
    <w:rsid w:val="00103AC8"/>
    <w:rsid w:val="00103B71"/>
    <w:rsid w:val="00103BCC"/>
    <w:rsid w:val="00103C21"/>
    <w:rsid w:val="00103C55"/>
    <w:rsid w:val="00103C70"/>
    <w:rsid w:val="00103C99"/>
    <w:rsid w:val="00103D07"/>
    <w:rsid w:val="00103D44"/>
    <w:rsid w:val="00103D53"/>
    <w:rsid w:val="00103D89"/>
    <w:rsid w:val="00103D9F"/>
    <w:rsid w:val="00103DD3"/>
    <w:rsid w:val="00103DF7"/>
    <w:rsid w:val="00103E0E"/>
    <w:rsid w:val="00103EA7"/>
    <w:rsid w:val="00103F57"/>
    <w:rsid w:val="00103F6C"/>
    <w:rsid w:val="00103FA1"/>
    <w:rsid w:val="00103FCE"/>
    <w:rsid w:val="00103FD2"/>
    <w:rsid w:val="00103FDB"/>
    <w:rsid w:val="00104010"/>
    <w:rsid w:val="00104052"/>
    <w:rsid w:val="0010406F"/>
    <w:rsid w:val="00104121"/>
    <w:rsid w:val="0010412F"/>
    <w:rsid w:val="001041B9"/>
    <w:rsid w:val="00104200"/>
    <w:rsid w:val="0010429A"/>
    <w:rsid w:val="001042DE"/>
    <w:rsid w:val="00104408"/>
    <w:rsid w:val="00104419"/>
    <w:rsid w:val="00104453"/>
    <w:rsid w:val="00104456"/>
    <w:rsid w:val="001044C6"/>
    <w:rsid w:val="001044CA"/>
    <w:rsid w:val="001045AC"/>
    <w:rsid w:val="001045B6"/>
    <w:rsid w:val="00104658"/>
    <w:rsid w:val="00104664"/>
    <w:rsid w:val="001046C3"/>
    <w:rsid w:val="001046C6"/>
    <w:rsid w:val="0010475E"/>
    <w:rsid w:val="00104761"/>
    <w:rsid w:val="0010479E"/>
    <w:rsid w:val="0010484F"/>
    <w:rsid w:val="001048B5"/>
    <w:rsid w:val="001048B7"/>
    <w:rsid w:val="001048E1"/>
    <w:rsid w:val="00104922"/>
    <w:rsid w:val="001049AA"/>
    <w:rsid w:val="001049AE"/>
    <w:rsid w:val="001049B2"/>
    <w:rsid w:val="001049B5"/>
    <w:rsid w:val="001049DE"/>
    <w:rsid w:val="00104A78"/>
    <w:rsid w:val="00104AC0"/>
    <w:rsid w:val="00104B59"/>
    <w:rsid w:val="00104B5A"/>
    <w:rsid w:val="00104BD1"/>
    <w:rsid w:val="00104BE9"/>
    <w:rsid w:val="00104C12"/>
    <w:rsid w:val="00104C1A"/>
    <w:rsid w:val="00104C29"/>
    <w:rsid w:val="00104C3E"/>
    <w:rsid w:val="00104C41"/>
    <w:rsid w:val="00104C9A"/>
    <w:rsid w:val="00104D3D"/>
    <w:rsid w:val="00104D48"/>
    <w:rsid w:val="00104D5B"/>
    <w:rsid w:val="00104D7E"/>
    <w:rsid w:val="00104EE6"/>
    <w:rsid w:val="00104F16"/>
    <w:rsid w:val="00104F1E"/>
    <w:rsid w:val="00104F1F"/>
    <w:rsid w:val="00104F8E"/>
    <w:rsid w:val="00104FB9"/>
    <w:rsid w:val="00104FBB"/>
    <w:rsid w:val="00104FD1"/>
    <w:rsid w:val="00105066"/>
    <w:rsid w:val="00105070"/>
    <w:rsid w:val="001050DC"/>
    <w:rsid w:val="00105138"/>
    <w:rsid w:val="0010517E"/>
    <w:rsid w:val="00105192"/>
    <w:rsid w:val="001051A5"/>
    <w:rsid w:val="001051DC"/>
    <w:rsid w:val="001051FA"/>
    <w:rsid w:val="001052BD"/>
    <w:rsid w:val="00105377"/>
    <w:rsid w:val="00105418"/>
    <w:rsid w:val="0010541B"/>
    <w:rsid w:val="00105430"/>
    <w:rsid w:val="00105460"/>
    <w:rsid w:val="001054C9"/>
    <w:rsid w:val="0010556B"/>
    <w:rsid w:val="00105593"/>
    <w:rsid w:val="001055F2"/>
    <w:rsid w:val="00105616"/>
    <w:rsid w:val="00105621"/>
    <w:rsid w:val="0010565B"/>
    <w:rsid w:val="00105697"/>
    <w:rsid w:val="00105776"/>
    <w:rsid w:val="001057BF"/>
    <w:rsid w:val="001057CA"/>
    <w:rsid w:val="0010582F"/>
    <w:rsid w:val="00105844"/>
    <w:rsid w:val="00105862"/>
    <w:rsid w:val="00105874"/>
    <w:rsid w:val="0010588E"/>
    <w:rsid w:val="00105901"/>
    <w:rsid w:val="00105925"/>
    <w:rsid w:val="0010593E"/>
    <w:rsid w:val="001059D9"/>
    <w:rsid w:val="00105AAC"/>
    <w:rsid w:val="00105ACB"/>
    <w:rsid w:val="00105AD8"/>
    <w:rsid w:val="00105B1C"/>
    <w:rsid w:val="00105B23"/>
    <w:rsid w:val="00105CAB"/>
    <w:rsid w:val="00105D01"/>
    <w:rsid w:val="00105D4C"/>
    <w:rsid w:val="00105D64"/>
    <w:rsid w:val="00105DD9"/>
    <w:rsid w:val="00105E50"/>
    <w:rsid w:val="00105EA0"/>
    <w:rsid w:val="00105EB3"/>
    <w:rsid w:val="00105F11"/>
    <w:rsid w:val="00105F71"/>
    <w:rsid w:val="00105F7C"/>
    <w:rsid w:val="00105FB3"/>
    <w:rsid w:val="0010608A"/>
    <w:rsid w:val="0010609D"/>
    <w:rsid w:val="001060D4"/>
    <w:rsid w:val="001060E4"/>
    <w:rsid w:val="001060EF"/>
    <w:rsid w:val="001060FE"/>
    <w:rsid w:val="001060FF"/>
    <w:rsid w:val="00106110"/>
    <w:rsid w:val="0010617B"/>
    <w:rsid w:val="0010618B"/>
    <w:rsid w:val="001061F3"/>
    <w:rsid w:val="00106231"/>
    <w:rsid w:val="00106235"/>
    <w:rsid w:val="001062E4"/>
    <w:rsid w:val="001062F1"/>
    <w:rsid w:val="00106366"/>
    <w:rsid w:val="0010636B"/>
    <w:rsid w:val="0010639C"/>
    <w:rsid w:val="001063AA"/>
    <w:rsid w:val="00106440"/>
    <w:rsid w:val="0010649A"/>
    <w:rsid w:val="00106549"/>
    <w:rsid w:val="0010655C"/>
    <w:rsid w:val="00106595"/>
    <w:rsid w:val="001065DB"/>
    <w:rsid w:val="001066B1"/>
    <w:rsid w:val="001066E9"/>
    <w:rsid w:val="001066EE"/>
    <w:rsid w:val="0010674C"/>
    <w:rsid w:val="0010675B"/>
    <w:rsid w:val="00106760"/>
    <w:rsid w:val="001067F8"/>
    <w:rsid w:val="00106808"/>
    <w:rsid w:val="0010680D"/>
    <w:rsid w:val="00106819"/>
    <w:rsid w:val="0010682B"/>
    <w:rsid w:val="0010686F"/>
    <w:rsid w:val="001068DF"/>
    <w:rsid w:val="00106935"/>
    <w:rsid w:val="001069B6"/>
    <w:rsid w:val="00106A21"/>
    <w:rsid w:val="00106A98"/>
    <w:rsid w:val="00106AB4"/>
    <w:rsid w:val="00106B29"/>
    <w:rsid w:val="00106BA1"/>
    <w:rsid w:val="00106BAA"/>
    <w:rsid w:val="00106C14"/>
    <w:rsid w:val="00106C1F"/>
    <w:rsid w:val="00106C7D"/>
    <w:rsid w:val="00106C9C"/>
    <w:rsid w:val="00106CDF"/>
    <w:rsid w:val="00106D8A"/>
    <w:rsid w:val="00106DDA"/>
    <w:rsid w:val="00106DF7"/>
    <w:rsid w:val="00106E03"/>
    <w:rsid w:val="00106E71"/>
    <w:rsid w:val="00106E7D"/>
    <w:rsid w:val="00106E80"/>
    <w:rsid w:val="00106EB8"/>
    <w:rsid w:val="00106EBA"/>
    <w:rsid w:val="00106EC0"/>
    <w:rsid w:val="00106F12"/>
    <w:rsid w:val="00106F15"/>
    <w:rsid w:val="00106F44"/>
    <w:rsid w:val="00106F7F"/>
    <w:rsid w:val="00106FD2"/>
    <w:rsid w:val="00107004"/>
    <w:rsid w:val="001070E1"/>
    <w:rsid w:val="00107184"/>
    <w:rsid w:val="00107200"/>
    <w:rsid w:val="00107289"/>
    <w:rsid w:val="001072E8"/>
    <w:rsid w:val="00107358"/>
    <w:rsid w:val="001073B7"/>
    <w:rsid w:val="001073C6"/>
    <w:rsid w:val="001073E2"/>
    <w:rsid w:val="00107409"/>
    <w:rsid w:val="001074FB"/>
    <w:rsid w:val="00107528"/>
    <w:rsid w:val="0010754E"/>
    <w:rsid w:val="001075CF"/>
    <w:rsid w:val="00107612"/>
    <w:rsid w:val="00107628"/>
    <w:rsid w:val="00107655"/>
    <w:rsid w:val="00107680"/>
    <w:rsid w:val="00107691"/>
    <w:rsid w:val="001076BC"/>
    <w:rsid w:val="001076D3"/>
    <w:rsid w:val="001076D4"/>
    <w:rsid w:val="0010771E"/>
    <w:rsid w:val="0010779C"/>
    <w:rsid w:val="001077E6"/>
    <w:rsid w:val="0010785C"/>
    <w:rsid w:val="00107863"/>
    <w:rsid w:val="00107871"/>
    <w:rsid w:val="001078ED"/>
    <w:rsid w:val="00107927"/>
    <w:rsid w:val="00107938"/>
    <w:rsid w:val="00107A1C"/>
    <w:rsid w:val="00107A42"/>
    <w:rsid w:val="00107AAE"/>
    <w:rsid w:val="00107B04"/>
    <w:rsid w:val="00107B20"/>
    <w:rsid w:val="00107B52"/>
    <w:rsid w:val="00107B73"/>
    <w:rsid w:val="00107B80"/>
    <w:rsid w:val="00107BC8"/>
    <w:rsid w:val="00107BE2"/>
    <w:rsid w:val="00107C03"/>
    <w:rsid w:val="00107C9F"/>
    <w:rsid w:val="00107CAA"/>
    <w:rsid w:val="00107CD3"/>
    <w:rsid w:val="00107D05"/>
    <w:rsid w:val="00107D37"/>
    <w:rsid w:val="00107D61"/>
    <w:rsid w:val="00107DA2"/>
    <w:rsid w:val="00107DBE"/>
    <w:rsid w:val="00107DC0"/>
    <w:rsid w:val="00107DD3"/>
    <w:rsid w:val="00107EB6"/>
    <w:rsid w:val="00107ECA"/>
    <w:rsid w:val="00107F40"/>
    <w:rsid w:val="00107FBB"/>
    <w:rsid w:val="00107FF8"/>
    <w:rsid w:val="00110082"/>
    <w:rsid w:val="0011008B"/>
    <w:rsid w:val="001100A2"/>
    <w:rsid w:val="001100AE"/>
    <w:rsid w:val="001100D7"/>
    <w:rsid w:val="00110158"/>
    <w:rsid w:val="00110190"/>
    <w:rsid w:val="001101AE"/>
    <w:rsid w:val="0011022C"/>
    <w:rsid w:val="00110293"/>
    <w:rsid w:val="001102AE"/>
    <w:rsid w:val="001102C1"/>
    <w:rsid w:val="00110351"/>
    <w:rsid w:val="00110359"/>
    <w:rsid w:val="0011035C"/>
    <w:rsid w:val="001103C1"/>
    <w:rsid w:val="001103DF"/>
    <w:rsid w:val="001104B6"/>
    <w:rsid w:val="001104FE"/>
    <w:rsid w:val="00110547"/>
    <w:rsid w:val="001105AB"/>
    <w:rsid w:val="001105E2"/>
    <w:rsid w:val="001106A3"/>
    <w:rsid w:val="001106DE"/>
    <w:rsid w:val="0011083A"/>
    <w:rsid w:val="0011089C"/>
    <w:rsid w:val="0011089D"/>
    <w:rsid w:val="001108D8"/>
    <w:rsid w:val="001108E3"/>
    <w:rsid w:val="001108E9"/>
    <w:rsid w:val="001108FB"/>
    <w:rsid w:val="0011091E"/>
    <w:rsid w:val="0011091F"/>
    <w:rsid w:val="0011094E"/>
    <w:rsid w:val="001109A4"/>
    <w:rsid w:val="00110B06"/>
    <w:rsid w:val="00110B52"/>
    <w:rsid w:val="00110B63"/>
    <w:rsid w:val="00110B6D"/>
    <w:rsid w:val="00110B81"/>
    <w:rsid w:val="00110BED"/>
    <w:rsid w:val="00110C30"/>
    <w:rsid w:val="00110C50"/>
    <w:rsid w:val="00110D40"/>
    <w:rsid w:val="00110D68"/>
    <w:rsid w:val="00110D71"/>
    <w:rsid w:val="00110E5B"/>
    <w:rsid w:val="00110E6F"/>
    <w:rsid w:val="00110E70"/>
    <w:rsid w:val="00110EB7"/>
    <w:rsid w:val="00110EEC"/>
    <w:rsid w:val="00110EFB"/>
    <w:rsid w:val="00110F1C"/>
    <w:rsid w:val="00110F86"/>
    <w:rsid w:val="00110FB3"/>
    <w:rsid w:val="00110FC8"/>
    <w:rsid w:val="00111014"/>
    <w:rsid w:val="0011102B"/>
    <w:rsid w:val="00111042"/>
    <w:rsid w:val="001110DB"/>
    <w:rsid w:val="001110EE"/>
    <w:rsid w:val="0011113F"/>
    <w:rsid w:val="00111174"/>
    <w:rsid w:val="001111A9"/>
    <w:rsid w:val="00111277"/>
    <w:rsid w:val="001112AD"/>
    <w:rsid w:val="001112F3"/>
    <w:rsid w:val="0011130B"/>
    <w:rsid w:val="00111329"/>
    <w:rsid w:val="00111369"/>
    <w:rsid w:val="00111391"/>
    <w:rsid w:val="0011139D"/>
    <w:rsid w:val="001113B1"/>
    <w:rsid w:val="00111435"/>
    <w:rsid w:val="00111443"/>
    <w:rsid w:val="0011145C"/>
    <w:rsid w:val="001114CF"/>
    <w:rsid w:val="001114F6"/>
    <w:rsid w:val="00111544"/>
    <w:rsid w:val="0011157E"/>
    <w:rsid w:val="0011158F"/>
    <w:rsid w:val="001115F7"/>
    <w:rsid w:val="001115F9"/>
    <w:rsid w:val="00111656"/>
    <w:rsid w:val="0011165F"/>
    <w:rsid w:val="001116C0"/>
    <w:rsid w:val="00111729"/>
    <w:rsid w:val="0011176E"/>
    <w:rsid w:val="00111829"/>
    <w:rsid w:val="001118F4"/>
    <w:rsid w:val="00111921"/>
    <w:rsid w:val="0011193C"/>
    <w:rsid w:val="0011194C"/>
    <w:rsid w:val="00111964"/>
    <w:rsid w:val="00111A82"/>
    <w:rsid w:val="00111B1B"/>
    <w:rsid w:val="00111BA0"/>
    <w:rsid w:val="00111BBA"/>
    <w:rsid w:val="00111BC7"/>
    <w:rsid w:val="00111BE0"/>
    <w:rsid w:val="00111BE3"/>
    <w:rsid w:val="00111BE9"/>
    <w:rsid w:val="00111BF6"/>
    <w:rsid w:val="00111C2A"/>
    <w:rsid w:val="00111C64"/>
    <w:rsid w:val="00111C6F"/>
    <w:rsid w:val="00111CB6"/>
    <w:rsid w:val="00111CDA"/>
    <w:rsid w:val="00111D00"/>
    <w:rsid w:val="00111D38"/>
    <w:rsid w:val="00111D56"/>
    <w:rsid w:val="00111D82"/>
    <w:rsid w:val="00111DB0"/>
    <w:rsid w:val="00111DF6"/>
    <w:rsid w:val="00111E88"/>
    <w:rsid w:val="00111EBE"/>
    <w:rsid w:val="00111F2F"/>
    <w:rsid w:val="00111F68"/>
    <w:rsid w:val="00111F85"/>
    <w:rsid w:val="00111F88"/>
    <w:rsid w:val="00111FB9"/>
    <w:rsid w:val="00111FD3"/>
    <w:rsid w:val="00112135"/>
    <w:rsid w:val="0011213A"/>
    <w:rsid w:val="00112158"/>
    <w:rsid w:val="001121E1"/>
    <w:rsid w:val="0011226D"/>
    <w:rsid w:val="00112307"/>
    <w:rsid w:val="00112333"/>
    <w:rsid w:val="00112382"/>
    <w:rsid w:val="00112390"/>
    <w:rsid w:val="0011242D"/>
    <w:rsid w:val="00112433"/>
    <w:rsid w:val="00112435"/>
    <w:rsid w:val="00112493"/>
    <w:rsid w:val="001124AB"/>
    <w:rsid w:val="00112554"/>
    <w:rsid w:val="0011257B"/>
    <w:rsid w:val="001125B3"/>
    <w:rsid w:val="001125C9"/>
    <w:rsid w:val="0011263B"/>
    <w:rsid w:val="0011265D"/>
    <w:rsid w:val="00112695"/>
    <w:rsid w:val="001126BD"/>
    <w:rsid w:val="001126C3"/>
    <w:rsid w:val="001126C8"/>
    <w:rsid w:val="0011271B"/>
    <w:rsid w:val="0011277D"/>
    <w:rsid w:val="00112829"/>
    <w:rsid w:val="00112834"/>
    <w:rsid w:val="001128A1"/>
    <w:rsid w:val="001128C9"/>
    <w:rsid w:val="0011291F"/>
    <w:rsid w:val="001129C4"/>
    <w:rsid w:val="00112A22"/>
    <w:rsid w:val="00112A30"/>
    <w:rsid w:val="00112A4B"/>
    <w:rsid w:val="00112B40"/>
    <w:rsid w:val="00112B6E"/>
    <w:rsid w:val="00112B9B"/>
    <w:rsid w:val="00112BE3"/>
    <w:rsid w:val="00112BF3"/>
    <w:rsid w:val="00112C08"/>
    <w:rsid w:val="00112C31"/>
    <w:rsid w:val="00112C6E"/>
    <w:rsid w:val="00112CD7"/>
    <w:rsid w:val="00112D0F"/>
    <w:rsid w:val="00112DEA"/>
    <w:rsid w:val="00112DFB"/>
    <w:rsid w:val="00112E3E"/>
    <w:rsid w:val="00112E75"/>
    <w:rsid w:val="00112E99"/>
    <w:rsid w:val="00112EC5"/>
    <w:rsid w:val="00112EEB"/>
    <w:rsid w:val="00112EF1"/>
    <w:rsid w:val="00112F11"/>
    <w:rsid w:val="00112F34"/>
    <w:rsid w:val="00112F4E"/>
    <w:rsid w:val="00112F7C"/>
    <w:rsid w:val="00112F84"/>
    <w:rsid w:val="00112F8B"/>
    <w:rsid w:val="00112F97"/>
    <w:rsid w:val="00112FE9"/>
    <w:rsid w:val="00113031"/>
    <w:rsid w:val="0011305B"/>
    <w:rsid w:val="00113064"/>
    <w:rsid w:val="0011308D"/>
    <w:rsid w:val="00113094"/>
    <w:rsid w:val="001130AF"/>
    <w:rsid w:val="001130F4"/>
    <w:rsid w:val="00113141"/>
    <w:rsid w:val="00113198"/>
    <w:rsid w:val="001131D3"/>
    <w:rsid w:val="001131E3"/>
    <w:rsid w:val="001131F9"/>
    <w:rsid w:val="00113206"/>
    <w:rsid w:val="00113255"/>
    <w:rsid w:val="0011326D"/>
    <w:rsid w:val="00113282"/>
    <w:rsid w:val="00113293"/>
    <w:rsid w:val="001132CD"/>
    <w:rsid w:val="0011331A"/>
    <w:rsid w:val="0011336E"/>
    <w:rsid w:val="0011338D"/>
    <w:rsid w:val="001133C6"/>
    <w:rsid w:val="0011341A"/>
    <w:rsid w:val="001134B1"/>
    <w:rsid w:val="001134D3"/>
    <w:rsid w:val="00113509"/>
    <w:rsid w:val="0011353E"/>
    <w:rsid w:val="00113542"/>
    <w:rsid w:val="0011354B"/>
    <w:rsid w:val="00113568"/>
    <w:rsid w:val="0011356F"/>
    <w:rsid w:val="001135A6"/>
    <w:rsid w:val="00113632"/>
    <w:rsid w:val="001136AD"/>
    <w:rsid w:val="001136D9"/>
    <w:rsid w:val="001136E8"/>
    <w:rsid w:val="00113704"/>
    <w:rsid w:val="00113755"/>
    <w:rsid w:val="00113765"/>
    <w:rsid w:val="001137FD"/>
    <w:rsid w:val="001137FE"/>
    <w:rsid w:val="00113809"/>
    <w:rsid w:val="00113818"/>
    <w:rsid w:val="0011385F"/>
    <w:rsid w:val="001138A6"/>
    <w:rsid w:val="001138E8"/>
    <w:rsid w:val="0011397A"/>
    <w:rsid w:val="0011398C"/>
    <w:rsid w:val="00113A43"/>
    <w:rsid w:val="00113ACE"/>
    <w:rsid w:val="00113B76"/>
    <w:rsid w:val="00113BB1"/>
    <w:rsid w:val="00113C65"/>
    <w:rsid w:val="00113C6A"/>
    <w:rsid w:val="00113C96"/>
    <w:rsid w:val="00113CFE"/>
    <w:rsid w:val="00113D07"/>
    <w:rsid w:val="00113D55"/>
    <w:rsid w:val="00113DBB"/>
    <w:rsid w:val="00113DE4"/>
    <w:rsid w:val="00113E02"/>
    <w:rsid w:val="00113EAD"/>
    <w:rsid w:val="00113F47"/>
    <w:rsid w:val="00113FDE"/>
    <w:rsid w:val="00114040"/>
    <w:rsid w:val="0011408B"/>
    <w:rsid w:val="001140C9"/>
    <w:rsid w:val="001140D5"/>
    <w:rsid w:val="001140D6"/>
    <w:rsid w:val="0011412C"/>
    <w:rsid w:val="001141A2"/>
    <w:rsid w:val="001141E5"/>
    <w:rsid w:val="0011422B"/>
    <w:rsid w:val="00114296"/>
    <w:rsid w:val="001142D2"/>
    <w:rsid w:val="00114327"/>
    <w:rsid w:val="00114356"/>
    <w:rsid w:val="001143B9"/>
    <w:rsid w:val="001143CA"/>
    <w:rsid w:val="0011447C"/>
    <w:rsid w:val="0011447D"/>
    <w:rsid w:val="0011448F"/>
    <w:rsid w:val="001144B9"/>
    <w:rsid w:val="00114568"/>
    <w:rsid w:val="00114578"/>
    <w:rsid w:val="0011458D"/>
    <w:rsid w:val="001145A2"/>
    <w:rsid w:val="00114628"/>
    <w:rsid w:val="00114630"/>
    <w:rsid w:val="0011463B"/>
    <w:rsid w:val="0011466B"/>
    <w:rsid w:val="00114679"/>
    <w:rsid w:val="00114694"/>
    <w:rsid w:val="001146A2"/>
    <w:rsid w:val="0011472D"/>
    <w:rsid w:val="0011472E"/>
    <w:rsid w:val="00114776"/>
    <w:rsid w:val="0011478B"/>
    <w:rsid w:val="00114790"/>
    <w:rsid w:val="001148E5"/>
    <w:rsid w:val="0011491E"/>
    <w:rsid w:val="00114A0B"/>
    <w:rsid w:val="00114A10"/>
    <w:rsid w:val="00114A78"/>
    <w:rsid w:val="00114A91"/>
    <w:rsid w:val="00114AB2"/>
    <w:rsid w:val="00114B1F"/>
    <w:rsid w:val="00114BA8"/>
    <w:rsid w:val="00114C22"/>
    <w:rsid w:val="00114C3E"/>
    <w:rsid w:val="00114C5D"/>
    <w:rsid w:val="00114CB9"/>
    <w:rsid w:val="00114CBD"/>
    <w:rsid w:val="00114D16"/>
    <w:rsid w:val="00114DC7"/>
    <w:rsid w:val="00114E41"/>
    <w:rsid w:val="00114E4A"/>
    <w:rsid w:val="00114E6F"/>
    <w:rsid w:val="00114EFF"/>
    <w:rsid w:val="00114F37"/>
    <w:rsid w:val="00114F73"/>
    <w:rsid w:val="00114FA1"/>
    <w:rsid w:val="00114FB9"/>
    <w:rsid w:val="0011503B"/>
    <w:rsid w:val="00115042"/>
    <w:rsid w:val="00115062"/>
    <w:rsid w:val="001150FF"/>
    <w:rsid w:val="00115135"/>
    <w:rsid w:val="001151B2"/>
    <w:rsid w:val="001151BE"/>
    <w:rsid w:val="001151D8"/>
    <w:rsid w:val="001151E5"/>
    <w:rsid w:val="00115229"/>
    <w:rsid w:val="00115231"/>
    <w:rsid w:val="0011528C"/>
    <w:rsid w:val="0011530B"/>
    <w:rsid w:val="0011537A"/>
    <w:rsid w:val="001153B5"/>
    <w:rsid w:val="00115404"/>
    <w:rsid w:val="00115407"/>
    <w:rsid w:val="00115459"/>
    <w:rsid w:val="00115479"/>
    <w:rsid w:val="00115518"/>
    <w:rsid w:val="0011553E"/>
    <w:rsid w:val="001155FA"/>
    <w:rsid w:val="0011562A"/>
    <w:rsid w:val="00115649"/>
    <w:rsid w:val="00115652"/>
    <w:rsid w:val="00115673"/>
    <w:rsid w:val="00115676"/>
    <w:rsid w:val="001156F2"/>
    <w:rsid w:val="00115701"/>
    <w:rsid w:val="00115752"/>
    <w:rsid w:val="00115753"/>
    <w:rsid w:val="001157A2"/>
    <w:rsid w:val="001157E0"/>
    <w:rsid w:val="001157E8"/>
    <w:rsid w:val="0011584C"/>
    <w:rsid w:val="001158A6"/>
    <w:rsid w:val="001158F0"/>
    <w:rsid w:val="0011593F"/>
    <w:rsid w:val="0011597F"/>
    <w:rsid w:val="0011598B"/>
    <w:rsid w:val="001159BB"/>
    <w:rsid w:val="001159BC"/>
    <w:rsid w:val="001159DF"/>
    <w:rsid w:val="001159F1"/>
    <w:rsid w:val="00115A15"/>
    <w:rsid w:val="00115AF3"/>
    <w:rsid w:val="00115BAE"/>
    <w:rsid w:val="00115BBF"/>
    <w:rsid w:val="00115BE3"/>
    <w:rsid w:val="00115C15"/>
    <w:rsid w:val="00115C1D"/>
    <w:rsid w:val="00115C22"/>
    <w:rsid w:val="00115CB4"/>
    <w:rsid w:val="00115CE1"/>
    <w:rsid w:val="00115CEC"/>
    <w:rsid w:val="00115D15"/>
    <w:rsid w:val="00115DC6"/>
    <w:rsid w:val="00115DCB"/>
    <w:rsid w:val="00115E24"/>
    <w:rsid w:val="00115E45"/>
    <w:rsid w:val="00115E74"/>
    <w:rsid w:val="00115EAC"/>
    <w:rsid w:val="00115ED6"/>
    <w:rsid w:val="00115F16"/>
    <w:rsid w:val="00115F53"/>
    <w:rsid w:val="00115F5E"/>
    <w:rsid w:val="00115F80"/>
    <w:rsid w:val="00115FA9"/>
    <w:rsid w:val="00116006"/>
    <w:rsid w:val="00116034"/>
    <w:rsid w:val="00116059"/>
    <w:rsid w:val="001160AD"/>
    <w:rsid w:val="00116105"/>
    <w:rsid w:val="00116112"/>
    <w:rsid w:val="00116135"/>
    <w:rsid w:val="00116150"/>
    <w:rsid w:val="0011616C"/>
    <w:rsid w:val="00116177"/>
    <w:rsid w:val="001161BE"/>
    <w:rsid w:val="00116276"/>
    <w:rsid w:val="001162B5"/>
    <w:rsid w:val="001162B8"/>
    <w:rsid w:val="001162BB"/>
    <w:rsid w:val="001162E8"/>
    <w:rsid w:val="001162F4"/>
    <w:rsid w:val="00116341"/>
    <w:rsid w:val="001163A9"/>
    <w:rsid w:val="001163D8"/>
    <w:rsid w:val="001163E0"/>
    <w:rsid w:val="001163E8"/>
    <w:rsid w:val="001163FD"/>
    <w:rsid w:val="00116410"/>
    <w:rsid w:val="00116452"/>
    <w:rsid w:val="00116459"/>
    <w:rsid w:val="00116471"/>
    <w:rsid w:val="00116479"/>
    <w:rsid w:val="001164E3"/>
    <w:rsid w:val="00116533"/>
    <w:rsid w:val="00116537"/>
    <w:rsid w:val="0011653A"/>
    <w:rsid w:val="00116584"/>
    <w:rsid w:val="0011658E"/>
    <w:rsid w:val="001165A8"/>
    <w:rsid w:val="001165D5"/>
    <w:rsid w:val="00116614"/>
    <w:rsid w:val="001167AC"/>
    <w:rsid w:val="0011680E"/>
    <w:rsid w:val="00116824"/>
    <w:rsid w:val="00116899"/>
    <w:rsid w:val="001168DF"/>
    <w:rsid w:val="001169AC"/>
    <w:rsid w:val="001169BA"/>
    <w:rsid w:val="00116A2D"/>
    <w:rsid w:val="00116A2E"/>
    <w:rsid w:val="00116AE5"/>
    <w:rsid w:val="00116B5E"/>
    <w:rsid w:val="00116B6F"/>
    <w:rsid w:val="00116BB5"/>
    <w:rsid w:val="00116CCD"/>
    <w:rsid w:val="00116D2D"/>
    <w:rsid w:val="00116D97"/>
    <w:rsid w:val="00116DE9"/>
    <w:rsid w:val="00116E05"/>
    <w:rsid w:val="00116E91"/>
    <w:rsid w:val="00116ED5"/>
    <w:rsid w:val="00116F25"/>
    <w:rsid w:val="00116F3D"/>
    <w:rsid w:val="00116F6D"/>
    <w:rsid w:val="00116F6E"/>
    <w:rsid w:val="00116FB2"/>
    <w:rsid w:val="00117005"/>
    <w:rsid w:val="00117057"/>
    <w:rsid w:val="00117088"/>
    <w:rsid w:val="001170A2"/>
    <w:rsid w:val="001170ED"/>
    <w:rsid w:val="001170F2"/>
    <w:rsid w:val="001170FB"/>
    <w:rsid w:val="00117118"/>
    <w:rsid w:val="00117186"/>
    <w:rsid w:val="0011718B"/>
    <w:rsid w:val="00117199"/>
    <w:rsid w:val="00117285"/>
    <w:rsid w:val="001172C0"/>
    <w:rsid w:val="001172FB"/>
    <w:rsid w:val="00117311"/>
    <w:rsid w:val="00117352"/>
    <w:rsid w:val="00117370"/>
    <w:rsid w:val="00117384"/>
    <w:rsid w:val="001173A0"/>
    <w:rsid w:val="0011744F"/>
    <w:rsid w:val="0011747A"/>
    <w:rsid w:val="00117512"/>
    <w:rsid w:val="00117516"/>
    <w:rsid w:val="00117519"/>
    <w:rsid w:val="0011756B"/>
    <w:rsid w:val="001175CA"/>
    <w:rsid w:val="001175D6"/>
    <w:rsid w:val="001175EE"/>
    <w:rsid w:val="00117676"/>
    <w:rsid w:val="001176F2"/>
    <w:rsid w:val="00117730"/>
    <w:rsid w:val="0011773B"/>
    <w:rsid w:val="001177DD"/>
    <w:rsid w:val="00117844"/>
    <w:rsid w:val="00117886"/>
    <w:rsid w:val="00117909"/>
    <w:rsid w:val="00117987"/>
    <w:rsid w:val="00117A2A"/>
    <w:rsid w:val="00117A60"/>
    <w:rsid w:val="00117A98"/>
    <w:rsid w:val="00117AB4"/>
    <w:rsid w:val="00117B5E"/>
    <w:rsid w:val="00117B8B"/>
    <w:rsid w:val="00117B9B"/>
    <w:rsid w:val="00117BBB"/>
    <w:rsid w:val="00117C1F"/>
    <w:rsid w:val="00117C8B"/>
    <w:rsid w:val="00117CB2"/>
    <w:rsid w:val="00117CD0"/>
    <w:rsid w:val="00117D08"/>
    <w:rsid w:val="00117D4E"/>
    <w:rsid w:val="00117DF1"/>
    <w:rsid w:val="00117E31"/>
    <w:rsid w:val="00117ED3"/>
    <w:rsid w:val="00117F57"/>
    <w:rsid w:val="00117F5C"/>
    <w:rsid w:val="00120008"/>
    <w:rsid w:val="0012001B"/>
    <w:rsid w:val="0012007B"/>
    <w:rsid w:val="00120090"/>
    <w:rsid w:val="00120093"/>
    <w:rsid w:val="00120131"/>
    <w:rsid w:val="001201F8"/>
    <w:rsid w:val="001201FA"/>
    <w:rsid w:val="001202AB"/>
    <w:rsid w:val="001202D5"/>
    <w:rsid w:val="0012030F"/>
    <w:rsid w:val="00120341"/>
    <w:rsid w:val="001203A5"/>
    <w:rsid w:val="00120403"/>
    <w:rsid w:val="0012046F"/>
    <w:rsid w:val="00120487"/>
    <w:rsid w:val="001204BC"/>
    <w:rsid w:val="001204EE"/>
    <w:rsid w:val="001204FA"/>
    <w:rsid w:val="001205BD"/>
    <w:rsid w:val="00120624"/>
    <w:rsid w:val="00120644"/>
    <w:rsid w:val="001206A5"/>
    <w:rsid w:val="0012074D"/>
    <w:rsid w:val="001207FA"/>
    <w:rsid w:val="00120810"/>
    <w:rsid w:val="00120819"/>
    <w:rsid w:val="00120839"/>
    <w:rsid w:val="00120882"/>
    <w:rsid w:val="00120929"/>
    <w:rsid w:val="00120959"/>
    <w:rsid w:val="00120A40"/>
    <w:rsid w:val="00120A53"/>
    <w:rsid w:val="00120AD1"/>
    <w:rsid w:val="00120AD3"/>
    <w:rsid w:val="00120B36"/>
    <w:rsid w:val="00120B7D"/>
    <w:rsid w:val="00120BB0"/>
    <w:rsid w:val="00120BB4"/>
    <w:rsid w:val="00120BB9"/>
    <w:rsid w:val="00120BC9"/>
    <w:rsid w:val="00120C1B"/>
    <w:rsid w:val="00120C43"/>
    <w:rsid w:val="00120CD5"/>
    <w:rsid w:val="00120DD0"/>
    <w:rsid w:val="00120DD7"/>
    <w:rsid w:val="00120DF7"/>
    <w:rsid w:val="00120E41"/>
    <w:rsid w:val="00120E4D"/>
    <w:rsid w:val="00120E8D"/>
    <w:rsid w:val="00120EAD"/>
    <w:rsid w:val="00120EC5"/>
    <w:rsid w:val="00120EDA"/>
    <w:rsid w:val="00120EEA"/>
    <w:rsid w:val="00120F04"/>
    <w:rsid w:val="00120FC6"/>
    <w:rsid w:val="00121001"/>
    <w:rsid w:val="00121006"/>
    <w:rsid w:val="0012101D"/>
    <w:rsid w:val="0012101E"/>
    <w:rsid w:val="00121031"/>
    <w:rsid w:val="00121087"/>
    <w:rsid w:val="00121096"/>
    <w:rsid w:val="00121140"/>
    <w:rsid w:val="00121144"/>
    <w:rsid w:val="00121152"/>
    <w:rsid w:val="001211DD"/>
    <w:rsid w:val="0012122F"/>
    <w:rsid w:val="0012126C"/>
    <w:rsid w:val="0012127E"/>
    <w:rsid w:val="00121318"/>
    <w:rsid w:val="0012136C"/>
    <w:rsid w:val="00121370"/>
    <w:rsid w:val="001213A0"/>
    <w:rsid w:val="001213EF"/>
    <w:rsid w:val="001213FA"/>
    <w:rsid w:val="00121437"/>
    <w:rsid w:val="00121451"/>
    <w:rsid w:val="00121466"/>
    <w:rsid w:val="00121468"/>
    <w:rsid w:val="0012147B"/>
    <w:rsid w:val="00121495"/>
    <w:rsid w:val="001214B4"/>
    <w:rsid w:val="001214D9"/>
    <w:rsid w:val="0012150B"/>
    <w:rsid w:val="00121544"/>
    <w:rsid w:val="001215B7"/>
    <w:rsid w:val="001215DA"/>
    <w:rsid w:val="00121610"/>
    <w:rsid w:val="0012165D"/>
    <w:rsid w:val="00121696"/>
    <w:rsid w:val="001216D6"/>
    <w:rsid w:val="001217B6"/>
    <w:rsid w:val="001217FB"/>
    <w:rsid w:val="00121816"/>
    <w:rsid w:val="00121840"/>
    <w:rsid w:val="00121841"/>
    <w:rsid w:val="00121898"/>
    <w:rsid w:val="00121964"/>
    <w:rsid w:val="00121A04"/>
    <w:rsid w:val="00121A05"/>
    <w:rsid w:val="00121B33"/>
    <w:rsid w:val="00121B5A"/>
    <w:rsid w:val="00121B8A"/>
    <w:rsid w:val="00121B8C"/>
    <w:rsid w:val="00121C06"/>
    <w:rsid w:val="00121C0A"/>
    <w:rsid w:val="00121C94"/>
    <w:rsid w:val="00121CC5"/>
    <w:rsid w:val="00121D6B"/>
    <w:rsid w:val="00121DE4"/>
    <w:rsid w:val="00121E06"/>
    <w:rsid w:val="00121E61"/>
    <w:rsid w:val="00121EB0"/>
    <w:rsid w:val="00121FD9"/>
    <w:rsid w:val="00122051"/>
    <w:rsid w:val="0012205A"/>
    <w:rsid w:val="00122064"/>
    <w:rsid w:val="0012209D"/>
    <w:rsid w:val="001220C9"/>
    <w:rsid w:val="001220E1"/>
    <w:rsid w:val="0012213E"/>
    <w:rsid w:val="001221EC"/>
    <w:rsid w:val="00122250"/>
    <w:rsid w:val="00122281"/>
    <w:rsid w:val="001222BD"/>
    <w:rsid w:val="00122333"/>
    <w:rsid w:val="0012235F"/>
    <w:rsid w:val="001223B9"/>
    <w:rsid w:val="001223E8"/>
    <w:rsid w:val="0012243A"/>
    <w:rsid w:val="00122459"/>
    <w:rsid w:val="0012247B"/>
    <w:rsid w:val="00122491"/>
    <w:rsid w:val="001224B1"/>
    <w:rsid w:val="001224BF"/>
    <w:rsid w:val="0012250B"/>
    <w:rsid w:val="0012254D"/>
    <w:rsid w:val="001225AC"/>
    <w:rsid w:val="0012260E"/>
    <w:rsid w:val="00122642"/>
    <w:rsid w:val="00122655"/>
    <w:rsid w:val="001226E1"/>
    <w:rsid w:val="0012270D"/>
    <w:rsid w:val="00122744"/>
    <w:rsid w:val="00122747"/>
    <w:rsid w:val="00122763"/>
    <w:rsid w:val="001227F4"/>
    <w:rsid w:val="001227F7"/>
    <w:rsid w:val="0012282A"/>
    <w:rsid w:val="00122838"/>
    <w:rsid w:val="00122847"/>
    <w:rsid w:val="00122871"/>
    <w:rsid w:val="0012287D"/>
    <w:rsid w:val="001228A9"/>
    <w:rsid w:val="0012294C"/>
    <w:rsid w:val="00122957"/>
    <w:rsid w:val="00122966"/>
    <w:rsid w:val="0012298C"/>
    <w:rsid w:val="001229B7"/>
    <w:rsid w:val="001229BB"/>
    <w:rsid w:val="001229F8"/>
    <w:rsid w:val="001229FA"/>
    <w:rsid w:val="00122A51"/>
    <w:rsid w:val="00122A82"/>
    <w:rsid w:val="00122B47"/>
    <w:rsid w:val="00122B5B"/>
    <w:rsid w:val="00122BA2"/>
    <w:rsid w:val="00122BDA"/>
    <w:rsid w:val="00122C81"/>
    <w:rsid w:val="00122CFE"/>
    <w:rsid w:val="00122D5C"/>
    <w:rsid w:val="00122E09"/>
    <w:rsid w:val="00122E15"/>
    <w:rsid w:val="00122E7A"/>
    <w:rsid w:val="00122EBE"/>
    <w:rsid w:val="00122EE7"/>
    <w:rsid w:val="00122F1B"/>
    <w:rsid w:val="00122F75"/>
    <w:rsid w:val="00122FDB"/>
    <w:rsid w:val="00123035"/>
    <w:rsid w:val="00123085"/>
    <w:rsid w:val="001230A0"/>
    <w:rsid w:val="00123188"/>
    <w:rsid w:val="0012318C"/>
    <w:rsid w:val="00123228"/>
    <w:rsid w:val="0012322A"/>
    <w:rsid w:val="001232D9"/>
    <w:rsid w:val="00123326"/>
    <w:rsid w:val="0012332B"/>
    <w:rsid w:val="00123358"/>
    <w:rsid w:val="00123370"/>
    <w:rsid w:val="001233E2"/>
    <w:rsid w:val="00123437"/>
    <w:rsid w:val="0012344C"/>
    <w:rsid w:val="00123473"/>
    <w:rsid w:val="001234AF"/>
    <w:rsid w:val="001234B3"/>
    <w:rsid w:val="001234E6"/>
    <w:rsid w:val="001234F8"/>
    <w:rsid w:val="0012350E"/>
    <w:rsid w:val="00123570"/>
    <w:rsid w:val="001235AD"/>
    <w:rsid w:val="001235B1"/>
    <w:rsid w:val="001235B4"/>
    <w:rsid w:val="001235CB"/>
    <w:rsid w:val="001235D0"/>
    <w:rsid w:val="00123633"/>
    <w:rsid w:val="001236D3"/>
    <w:rsid w:val="00123709"/>
    <w:rsid w:val="00123782"/>
    <w:rsid w:val="00123792"/>
    <w:rsid w:val="00123794"/>
    <w:rsid w:val="001237B8"/>
    <w:rsid w:val="001237D0"/>
    <w:rsid w:val="00123814"/>
    <w:rsid w:val="00123893"/>
    <w:rsid w:val="0012389D"/>
    <w:rsid w:val="001238CA"/>
    <w:rsid w:val="001238DB"/>
    <w:rsid w:val="0012394B"/>
    <w:rsid w:val="0012399B"/>
    <w:rsid w:val="00123A0A"/>
    <w:rsid w:val="00123A33"/>
    <w:rsid w:val="00123AE3"/>
    <w:rsid w:val="00123B0E"/>
    <w:rsid w:val="00123C33"/>
    <w:rsid w:val="00123C52"/>
    <w:rsid w:val="00123C77"/>
    <w:rsid w:val="00123C94"/>
    <w:rsid w:val="00123CB6"/>
    <w:rsid w:val="00123D08"/>
    <w:rsid w:val="00123D28"/>
    <w:rsid w:val="00123D52"/>
    <w:rsid w:val="00123D88"/>
    <w:rsid w:val="00123D8E"/>
    <w:rsid w:val="00123E07"/>
    <w:rsid w:val="00123E22"/>
    <w:rsid w:val="00123E66"/>
    <w:rsid w:val="00123EB0"/>
    <w:rsid w:val="00123EB2"/>
    <w:rsid w:val="00123F5E"/>
    <w:rsid w:val="00123F80"/>
    <w:rsid w:val="00123F97"/>
    <w:rsid w:val="0012404A"/>
    <w:rsid w:val="00124118"/>
    <w:rsid w:val="0012412C"/>
    <w:rsid w:val="001241EC"/>
    <w:rsid w:val="00124317"/>
    <w:rsid w:val="00124324"/>
    <w:rsid w:val="0012433E"/>
    <w:rsid w:val="001243B1"/>
    <w:rsid w:val="001243B3"/>
    <w:rsid w:val="001243F0"/>
    <w:rsid w:val="001243F8"/>
    <w:rsid w:val="001244AA"/>
    <w:rsid w:val="001244F2"/>
    <w:rsid w:val="001244FD"/>
    <w:rsid w:val="0012453C"/>
    <w:rsid w:val="00124593"/>
    <w:rsid w:val="001245B2"/>
    <w:rsid w:val="001245C3"/>
    <w:rsid w:val="001246BC"/>
    <w:rsid w:val="001246C2"/>
    <w:rsid w:val="001246E2"/>
    <w:rsid w:val="001246F7"/>
    <w:rsid w:val="00124751"/>
    <w:rsid w:val="0012477A"/>
    <w:rsid w:val="001247DF"/>
    <w:rsid w:val="00124819"/>
    <w:rsid w:val="00124890"/>
    <w:rsid w:val="0012492F"/>
    <w:rsid w:val="0012495A"/>
    <w:rsid w:val="001249B9"/>
    <w:rsid w:val="001249C3"/>
    <w:rsid w:val="001249CE"/>
    <w:rsid w:val="001249E2"/>
    <w:rsid w:val="00124A18"/>
    <w:rsid w:val="00124A21"/>
    <w:rsid w:val="00124A6C"/>
    <w:rsid w:val="00124A7D"/>
    <w:rsid w:val="00124A7F"/>
    <w:rsid w:val="00124A8D"/>
    <w:rsid w:val="00124A97"/>
    <w:rsid w:val="00124BAB"/>
    <w:rsid w:val="00124BB4"/>
    <w:rsid w:val="00124BC0"/>
    <w:rsid w:val="00124C3E"/>
    <w:rsid w:val="00124C5E"/>
    <w:rsid w:val="00124C6D"/>
    <w:rsid w:val="00124C88"/>
    <w:rsid w:val="00124C91"/>
    <w:rsid w:val="00124CB4"/>
    <w:rsid w:val="00124D15"/>
    <w:rsid w:val="00124D62"/>
    <w:rsid w:val="00124DC6"/>
    <w:rsid w:val="00124DD6"/>
    <w:rsid w:val="00124E3A"/>
    <w:rsid w:val="00124E6D"/>
    <w:rsid w:val="00124EB8"/>
    <w:rsid w:val="00124EBD"/>
    <w:rsid w:val="00124EF2"/>
    <w:rsid w:val="00124F0F"/>
    <w:rsid w:val="00124F5D"/>
    <w:rsid w:val="00125027"/>
    <w:rsid w:val="00125046"/>
    <w:rsid w:val="00125074"/>
    <w:rsid w:val="00125094"/>
    <w:rsid w:val="001250D1"/>
    <w:rsid w:val="001250EA"/>
    <w:rsid w:val="001250FD"/>
    <w:rsid w:val="00125127"/>
    <w:rsid w:val="00125153"/>
    <w:rsid w:val="00125209"/>
    <w:rsid w:val="00125230"/>
    <w:rsid w:val="0012525D"/>
    <w:rsid w:val="001252B2"/>
    <w:rsid w:val="001252D0"/>
    <w:rsid w:val="0012531D"/>
    <w:rsid w:val="00125344"/>
    <w:rsid w:val="0012534F"/>
    <w:rsid w:val="001253EB"/>
    <w:rsid w:val="0012540B"/>
    <w:rsid w:val="0012540C"/>
    <w:rsid w:val="0012542D"/>
    <w:rsid w:val="00125437"/>
    <w:rsid w:val="00125462"/>
    <w:rsid w:val="001254A5"/>
    <w:rsid w:val="001254AF"/>
    <w:rsid w:val="001254B3"/>
    <w:rsid w:val="00125502"/>
    <w:rsid w:val="001255A4"/>
    <w:rsid w:val="0012569F"/>
    <w:rsid w:val="001256B5"/>
    <w:rsid w:val="00125717"/>
    <w:rsid w:val="00125768"/>
    <w:rsid w:val="001257A8"/>
    <w:rsid w:val="001257F3"/>
    <w:rsid w:val="00125814"/>
    <w:rsid w:val="00125835"/>
    <w:rsid w:val="0012583D"/>
    <w:rsid w:val="00125940"/>
    <w:rsid w:val="0012595D"/>
    <w:rsid w:val="00125992"/>
    <w:rsid w:val="001259C5"/>
    <w:rsid w:val="00125A32"/>
    <w:rsid w:val="00125A41"/>
    <w:rsid w:val="00125A70"/>
    <w:rsid w:val="00125A7B"/>
    <w:rsid w:val="00125A8F"/>
    <w:rsid w:val="00125AA7"/>
    <w:rsid w:val="00125AB2"/>
    <w:rsid w:val="00125ABF"/>
    <w:rsid w:val="00125B70"/>
    <w:rsid w:val="00125B8C"/>
    <w:rsid w:val="00125C21"/>
    <w:rsid w:val="00125C46"/>
    <w:rsid w:val="00125CBD"/>
    <w:rsid w:val="00125CBE"/>
    <w:rsid w:val="00125CDD"/>
    <w:rsid w:val="00125D1E"/>
    <w:rsid w:val="00125D2A"/>
    <w:rsid w:val="00125D66"/>
    <w:rsid w:val="00125D6B"/>
    <w:rsid w:val="00125DEE"/>
    <w:rsid w:val="00125E0D"/>
    <w:rsid w:val="00125E32"/>
    <w:rsid w:val="00125EAC"/>
    <w:rsid w:val="00125EC8"/>
    <w:rsid w:val="00125EEA"/>
    <w:rsid w:val="00125F30"/>
    <w:rsid w:val="00125F7E"/>
    <w:rsid w:val="00125FB1"/>
    <w:rsid w:val="00125FD4"/>
    <w:rsid w:val="00126026"/>
    <w:rsid w:val="00126091"/>
    <w:rsid w:val="001260B2"/>
    <w:rsid w:val="001260F9"/>
    <w:rsid w:val="00126114"/>
    <w:rsid w:val="0012619D"/>
    <w:rsid w:val="001261D9"/>
    <w:rsid w:val="001262D5"/>
    <w:rsid w:val="0012638B"/>
    <w:rsid w:val="0012638D"/>
    <w:rsid w:val="0012644F"/>
    <w:rsid w:val="0012648B"/>
    <w:rsid w:val="001264B5"/>
    <w:rsid w:val="001264E0"/>
    <w:rsid w:val="001264E7"/>
    <w:rsid w:val="001264EF"/>
    <w:rsid w:val="00126558"/>
    <w:rsid w:val="001265CD"/>
    <w:rsid w:val="00126603"/>
    <w:rsid w:val="00126617"/>
    <w:rsid w:val="00126631"/>
    <w:rsid w:val="00126797"/>
    <w:rsid w:val="0012679D"/>
    <w:rsid w:val="001267CB"/>
    <w:rsid w:val="001267E1"/>
    <w:rsid w:val="001267FE"/>
    <w:rsid w:val="00126838"/>
    <w:rsid w:val="0012683D"/>
    <w:rsid w:val="0012685A"/>
    <w:rsid w:val="00126875"/>
    <w:rsid w:val="001268F5"/>
    <w:rsid w:val="00126910"/>
    <w:rsid w:val="001269DF"/>
    <w:rsid w:val="001269F9"/>
    <w:rsid w:val="00126A3B"/>
    <w:rsid w:val="00126A3E"/>
    <w:rsid w:val="00126A59"/>
    <w:rsid w:val="00126AFD"/>
    <w:rsid w:val="00126B18"/>
    <w:rsid w:val="00126B70"/>
    <w:rsid w:val="00126B96"/>
    <w:rsid w:val="00126BBB"/>
    <w:rsid w:val="00126BDE"/>
    <w:rsid w:val="00126BEC"/>
    <w:rsid w:val="00126C25"/>
    <w:rsid w:val="00126CC2"/>
    <w:rsid w:val="00126CDF"/>
    <w:rsid w:val="00126CE5"/>
    <w:rsid w:val="00126D73"/>
    <w:rsid w:val="00126D7C"/>
    <w:rsid w:val="00126D9E"/>
    <w:rsid w:val="00126DC5"/>
    <w:rsid w:val="00126E2D"/>
    <w:rsid w:val="00126E76"/>
    <w:rsid w:val="00126EF6"/>
    <w:rsid w:val="00126F83"/>
    <w:rsid w:val="00126F89"/>
    <w:rsid w:val="00126FA4"/>
    <w:rsid w:val="00127018"/>
    <w:rsid w:val="0012701B"/>
    <w:rsid w:val="0012705A"/>
    <w:rsid w:val="001270E8"/>
    <w:rsid w:val="00127129"/>
    <w:rsid w:val="00127141"/>
    <w:rsid w:val="001271E1"/>
    <w:rsid w:val="0012721F"/>
    <w:rsid w:val="0012724A"/>
    <w:rsid w:val="0012729B"/>
    <w:rsid w:val="001272A2"/>
    <w:rsid w:val="001272CB"/>
    <w:rsid w:val="00127302"/>
    <w:rsid w:val="00127322"/>
    <w:rsid w:val="00127334"/>
    <w:rsid w:val="001273BA"/>
    <w:rsid w:val="001273D1"/>
    <w:rsid w:val="001273F3"/>
    <w:rsid w:val="00127472"/>
    <w:rsid w:val="0012754F"/>
    <w:rsid w:val="001275B1"/>
    <w:rsid w:val="0012760E"/>
    <w:rsid w:val="00127671"/>
    <w:rsid w:val="0012768D"/>
    <w:rsid w:val="001276E7"/>
    <w:rsid w:val="001276F9"/>
    <w:rsid w:val="00127768"/>
    <w:rsid w:val="001277DB"/>
    <w:rsid w:val="001277DF"/>
    <w:rsid w:val="001277F6"/>
    <w:rsid w:val="0012781F"/>
    <w:rsid w:val="00127847"/>
    <w:rsid w:val="001278B1"/>
    <w:rsid w:val="00127909"/>
    <w:rsid w:val="0012791C"/>
    <w:rsid w:val="00127932"/>
    <w:rsid w:val="00127936"/>
    <w:rsid w:val="00127938"/>
    <w:rsid w:val="00127941"/>
    <w:rsid w:val="00127963"/>
    <w:rsid w:val="001279BB"/>
    <w:rsid w:val="001279DA"/>
    <w:rsid w:val="00127A28"/>
    <w:rsid w:val="00127A2B"/>
    <w:rsid w:val="00127A2C"/>
    <w:rsid w:val="00127A2E"/>
    <w:rsid w:val="00127A3F"/>
    <w:rsid w:val="00127A60"/>
    <w:rsid w:val="00127A67"/>
    <w:rsid w:val="00127A6B"/>
    <w:rsid w:val="00127A78"/>
    <w:rsid w:val="00127AB2"/>
    <w:rsid w:val="00127B32"/>
    <w:rsid w:val="00127B4F"/>
    <w:rsid w:val="00127B78"/>
    <w:rsid w:val="00127C90"/>
    <w:rsid w:val="00127CB0"/>
    <w:rsid w:val="00127CEF"/>
    <w:rsid w:val="00127D5A"/>
    <w:rsid w:val="00127DE9"/>
    <w:rsid w:val="00127DED"/>
    <w:rsid w:val="00127E77"/>
    <w:rsid w:val="00127EBC"/>
    <w:rsid w:val="00127EDA"/>
    <w:rsid w:val="00127EE0"/>
    <w:rsid w:val="00127EFA"/>
    <w:rsid w:val="00127F00"/>
    <w:rsid w:val="00127F4C"/>
    <w:rsid w:val="00127F97"/>
    <w:rsid w:val="00127FC3"/>
    <w:rsid w:val="00130017"/>
    <w:rsid w:val="00130039"/>
    <w:rsid w:val="00130052"/>
    <w:rsid w:val="00130072"/>
    <w:rsid w:val="00130093"/>
    <w:rsid w:val="001300A0"/>
    <w:rsid w:val="001300A2"/>
    <w:rsid w:val="001300C3"/>
    <w:rsid w:val="001300F1"/>
    <w:rsid w:val="001300F4"/>
    <w:rsid w:val="001300FA"/>
    <w:rsid w:val="00130127"/>
    <w:rsid w:val="00130133"/>
    <w:rsid w:val="00130150"/>
    <w:rsid w:val="00130167"/>
    <w:rsid w:val="00130191"/>
    <w:rsid w:val="00130267"/>
    <w:rsid w:val="00130283"/>
    <w:rsid w:val="001302F5"/>
    <w:rsid w:val="0013030F"/>
    <w:rsid w:val="0013031E"/>
    <w:rsid w:val="00130364"/>
    <w:rsid w:val="00130374"/>
    <w:rsid w:val="001303B6"/>
    <w:rsid w:val="001303BB"/>
    <w:rsid w:val="001303D9"/>
    <w:rsid w:val="00130466"/>
    <w:rsid w:val="00130476"/>
    <w:rsid w:val="00130490"/>
    <w:rsid w:val="001304E5"/>
    <w:rsid w:val="00130571"/>
    <w:rsid w:val="00130586"/>
    <w:rsid w:val="00130598"/>
    <w:rsid w:val="001305E6"/>
    <w:rsid w:val="00130662"/>
    <w:rsid w:val="001306CE"/>
    <w:rsid w:val="001306D0"/>
    <w:rsid w:val="00130754"/>
    <w:rsid w:val="001307A7"/>
    <w:rsid w:val="001307B8"/>
    <w:rsid w:val="001307D3"/>
    <w:rsid w:val="001307EB"/>
    <w:rsid w:val="0013080C"/>
    <w:rsid w:val="0013081A"/>
    <w:rsid w:val="0013081F"/>
    <w:rsid w:val="00130892"/>
    <w:rsid w:val="001308A3"/>
    <w:rsid w:val="00130921"/>
    <w:rsid w:val="001309EF"/>
    <w:rsid w:val="001309F3"/>
    <w:rsid w:val="00130A65"/>
    <w:rsid w:val="00130A71"/>
    <w:rsid w:val="00130AEF"/>
    <w:rsid w:val="00130B10"/>
    <w:rsid w:val="00130B48"/>
    <w:rsid w:val="00130B5F"/>
    <w:rsid w:val="00130B71"/>
    <w:rsid w:val="00130BF7"/>
    <w:rsid w:val="00130BFC"/>
    <w:rsid w:val="00130C91"/>
    <w:rsid w:val="00130CD5"/>
    <w:rsid w:val="00130D7B"/>
    <w:rsid w:val="00130DFA"/>
    <w:rsid w:val="00130DFC"/>
    <w:rsid w:val="00130E77"/>
    <w:rsid w:val="00130E7E"/>
    <w:rsid w:val="00130EDB"/>
    <w:rsid w:val="00130F0E"/>
    <w:rsid w:val="00130F3E"/>
    <w:rsid w:val="00130F77"/>
    <w:rsid w:val="00130FA8"/>
    <w:rsid w:val="00130FD7"/>
    <w:rsid w:val="0013105E"/>
    <w:rsid w:val="001310DE"/>
    <w:rsid w:val="001310E9"/>
    <w:rsid w:val="001310F3"/>
    <w:rsid w:val="0013119E"/>
    <w:rsid w:val="0013119F"/>
    <w:rsid w:val="001311B7"/>
    <w:rsid w:val="001311D9"/>
    <w:rsid w:val="00131201"/>
    <w:rsid w:val="00131238"/>
    <w:rsid w:val="001312A0"/>
    <w:rsid w:val="0013130C"/>
    <w:rsid w:val="0013136C"/>
    <w:rsid w:val="001313D3"/>
    <w:rsid w:val="001313F8"/>
    <w:rsid w:val="0013145B"/>
    <w:rsid w:val="00131474"/>
    <w:rsid w:val="00131476"/>
    <w:rsid w:val="001314AC"/>
    <w:rsid w:val="00131505"/>
    <w:rsid w:val="00131545"/>
    <w:rsid w:val="001315FA"/>
    <w:rsid w:val="001316B9"/>
    <w:rsid w:val="001316DA"/>
    <w:rsid w:val="00131721"/>
    <w:rsid w:val="00131795"/>
    <w:rsid w:val="00131832"/>
    <w:rsid w:val="0013185C"/>
    <w:rsid w:val="00131865"/>
    <w:rsid w:val="00131915"/>
    <w:rsid w:val="0013195B"/>
    <w:rsid w:val="00131991"/>
    <w:rsid w:val="0013199F"/>
    <w:rsid w:val="001319F8"/>
    <w:rsid w:val="001319FD"/>
    <w:rsid w:val="00131A90"/>
    <w:rsid w:val="00131AC0"/>
    <w:rsid w:val="00131B2E"/>
    <w:rsid w:val="00131B5B"/>
    <w:rsid w:val="00131BEB"/>
    <w:rsid w:val="00131BED"/>
    <w:rsid w:val="00131C04"/>
    <w:rsid w:val="00131C1B"/>
    <w:rsid w:val="00131C26"/>
    <w:rsid w:val="00131C89"/>
    <w:rsid w:val="00131C9D"/>
    <w:rsid w:val="00131CF1"/>
    <w:rsid w:val="00131D1A"/>
    <w:rsid w:val="00131D1B"/>
    <w:rsid w:val="00131D77"/>
    <w:rsid w:val="00131D78"/>
    <w:rsid w:val="00131D98"/>
    <w:rsid w:val="00131DC9"/>
    <w:rsid w:val="00131DE7"/>
    <w:rsid w:val="00131E88"/>
    <w:rsid w:val="00131EA2"/>
    <w:rsid w:val="00131F28"/>
    <w:rsid w:val="00131F29"/>
    <w:rsid w:val="00131F4D"/>
    <w:rsid w:val="00131F5D"/>
    <w:rsid w:val="00131F69"/>
    <w:rsid w:val="00131F74"/>
    <w:rsid w:val="00131FBA"/>
    <w:rsid w:val="001320AF"/>
    <w:rsid w:val="001320DA"/>
    <w:rsid w:val="00132118"/>
    <w:rsid w:val="00132228"/>
    <w:rsid w:val="001322AA"/>
    <w:rsid w:val="001322AD"/>
    <w:rsid w:val="001322BA"/>
    <w:rsid w:val="001322E2"/>
    <w:rsid w:val="0013231F"/>
    <w:rsid w:val="0013234C"/>
    <w:rsid w:val="001323B4"/>
    <w:rsid w:val="001323F1"/>
    <w:rsid w:val="00132423"/>
    <w:rsid w:val="00132425"/>
    <w:rsid w:val="00132470"/>
    <w:rsid w:val="0013249B"/>
    <w:rsid w:val="001324F5"/>
    <w:rsid w:val="00132509"/>
    <w:rsid w:val="0013252D"/>
    <w:rsid w:val="00132573"/>
    <w:rsid w:val="00132580"/>
    <w:rsid w:val="00132619"/>
    <w:rsid w:val="0013261D"/>
    <w:rsid w:val="00132643"/>
    <w:rsid w:val="0013264C"/>
    <w:rsid w:val="00132659"/>
    <w:rsid w:val="00132660"/>
    <w:rsid w:val="001326AC"/>
    <w:rsid w:val="00132726"/>
    <w:rsid w:val="0013275E"/>
    <w:rsid w:val="0013281E"/>
    <w:rsid w:val="001328B8"/>
    <w:rsid w:val="001328FF"/>
    <w:rsid w:val="00132925"/>
    <w:rsid w:val="0013293A"/>
    <w:rsid w:val="00132966"/>
    <w:rsid w:val="00132973"/>
    <w:rsid w:val="001329D3"/>
    <w:rsid w:val="001329D7"/>
    <w:rsid w:val="00132A5C"/>
    <w:rsid w:val="00132A84"/>
    <w:rsid w:val="00132AF7"/>
    <w:rsid w:val="00132AFF"/>
    <w:rsid w:val="00132B8D"/>
    <w:rsid w:val="00132BAE"/>
    <w:rsid w:val="00132BDC"/>
    <w:rsid w:val="00132C51"/>
    <w:rsid w:val="00132C6D"/>
    <w:rsid w:val="00132CAC"/>
    <w:rsid w:val="00132E41"/>
    <w:rsid w:val="00132E4F"/>
    <w:rsid w:val="00132E59"/>
    <w:rsid w:val="00132E5E"/>
    <w:rsid w:val="00132E70"/>
    <w:rsid w:val="00132EE3"/>
    <w:rsid w:val="00132F9D"/>
    <w:rsid w:val="00132FF7"/>
    <w:rsid w:val="0013300C"/>
    <w:rsid w:val="00133015"/>
    <w:rsid w:val="0013303E"/>
    <w:rsid w:val="0013304A"/>
    <w:rsid w:val="0013305D"/>
    <w:rsid w:val="001330B2"/>
    <w:rsid w:val="001330CB"/>
    <w:rsid w:val="00133119"/>
    <w:rsid w:val="00133147"/>
    <w:rsid w:val="00133190"/>
    <w:rsid w:val="001331B7"/>
    <w:rsid w:val="001331D2"/>
    <w:rsid w:val="001331D5"/>
    <w:rsid w:val="001331F5"/>
    <w:rsid w:val="001331FB"/>
    <w:rsid w:val="0013321B"/>
    <w:rsid w:val="00133267"/>
    <w:rsid w:val="001332BA"/>
    <w:rsid w:val="001332ED"/>
    <w:rsid w:val="0013336A"/>
    <w:rsid w:val="00133376"/>
    <w:rsid w:val="001333C7"/>
    <w:rsid w:val="001333E8"/>
    <w:rsid w:val="001334B1"/>
    <w:rsid w:val="001334BD"/>
    <w:rsid w:val="001334C0"/>
    <w:rsid w:val="001334C6"/>
    <w:rsid w:val="001334DB"/>
    <w:rsid w:val="00133529"/>
    <w:rsid w:val="0013369A"/>
    <w:rsid w:val="00133710"/>
    <w:rsid w:val="00133781"/>
    <w:rsid w:val="001337A8"/>
    <w:rsid w:val="00133822"/>
    <w:rsid w:val="001338D5"/>
    <w:rsid w:val="001338E9"/>
    <w:rsid w:val="001339EC"/>
    <w:rsid w:val="00133A3B"/>
    <w:rsid w:val="00133A8B"/>
    <w:rsid w:val="00133B52"/>
    <w:rsid w:val="00133C23"/>
    <w:rsid w:val="00133C4F"/>
    <w:rsid w:val="00133CAA"/>
    <w:rsid w:val="00133CD6"/>
    <w:rsid w:val="00133CF2"/>
    <w:rsid w:val="00133D10"/>
    <w:rsid w:val="00133D33"/>
    <w:rsid w:val="00133D85"/>
    <w:rsid w:val="00133DEF"/>
    <w:rsid w:val="00133DF9"/>
    <w:rsid w:val="00133E18"/>
    <w:rsid w:val="00133E87"/>
    <w:rsid w:val="00133EAE"/>
    <w:rsid w:val="00133EFF"/>
    <w:rsid w:val="00133F0E"/>
    <w:rsid w:val="00133F4F"/>
    <w:rsid w:val="00133F7A"/>
    <w:rsid w:val="00133F9A"/>
    <w:rsid w:val="00133FA6"/>
    <w:rsid w:val="00133FCA"/>
    <w:rsid w:val="00133FEB"/>
    <w:rsid w:val="00133FF4"/>
    <w:rsid w:val="0013403A"/>
    <w:rsid w:val="00134049"/>
    <w:rsid w:val="00134057"/>
    <w:rsid w:val="00134060"/>
    <w:rsid w:val="001340B3"/>
    <w:rsid w:val="001340F7"/>
    <w:rsid w:val="00134107"/>
    <w:rsid w:val="00134120"/>
    <w:rsid w:val="0013415B"/>
    <w:rsid w:val="001342CC"/>
    <w:rsid w:val="001342F1"/>
    <w:rsid w:val="00134347"/>
    <w:rsid w:val="0013437A"/>
    <w:rsid w:val="001343CC"/>
    <w:rsid w:val="001343D4"/>
    <w:rsid w:val="001343E7"/>
    <w:rsid w:val="0013447C"/>
    <w:rsid w:val="00134480"/>
    <w:rsid w:val="0013448D"/>
    <w:rsid w:val="001344AC"/>
    <w:rsid w:val="001344DA"/>
    <w:rsid w:val="001344FE"/>
    <w:rsid w:val="0013451D"/>
    <w:rsid w:val="00134534"/>
    <w:rsid w:val="00134584"/>
    <w:rsid w:val="0013458E"/>
    <w:rsid w:val="001345CC"/>
    <w:rsid w:val="001345F2"/>
    <w:rsid w:val="0013463D"/>
    <w:rsid w:val="00134663"/>
    <w:rsid w:val="00134664"/>
    <w:rsid w:val="0013468D"/>
    <w:rsid w:val="0013469C"/>
    <w:rsid w:val="00134708"/>
    <w:rsid w:val="0013476D"/>
    <w:rsid w:val="00134776"/>
    <w:rsid w:val="00134785"/>
    <w:rsid w:val="0013478E"/>
    <w:rsid w:val="001348C3"/>
    <w:rsid w:val="001348D7"/>
    <w:rsid w:val="001348F7"/>
    <w:rsid w:val="001348F8"/>
    <w:rsid w:val="001348FD"/>
    <w:rsid w:val="00134912"/>
    <w:rsid w:val="00134938"/>
    <w:rsid w:val="001349A4"/>
    <w:rsid w:val="001349F7"/>
    <w:rsid w:val="00134ADB"/>
    <w:rsid w:val="00134AFE"/>
    <w:rsid w:val="00134B4D"/>
    <w:rsid w:val="00134B70"/>
    <w:rsid w:val="00134B7F"/>
    <w:rsid w:val="00134B8B"/>
    <w:rsid w:val="00134BA2"/>
    <w:rsid w:val="00134C16"/>
    <w:rsid w:val="00134C92"/>
    <w:rsid w:val="00134CCA"/>
    <w:rsid w:val="00134D2B"/>
    <w:rsid w:val="00134D40"/>
    <w:rsid w:val="00134D53"/>
    <w:rsid w:val="00134D71"/>
    <w:rsid w:val="00134DD4"/>
    <w:rsid w:val="00134E90"/>
    <w:rsid w:val="00134EAA"/>
    <w:rsid w:val="00134EC8"/>
    <w:rsid w:val="00134EFF"/>
    <w:rsid w:val="00134F02"/>
    <w:rsid w:val="00134F12"/>
    <w:rsid w:val="00134F49"/>
    <w:rsid w:val="00134F67"/>
    <w:rsid w:val="00134F9E"/>
    <w:rsid w:val="00135112"/>
    <w:rsid w:val="0013511B"/>
    <w:rsid w:val="0013512D"/>
    <w:rsid w:val="0013513A"/>
    <w:rsid w:val="001351B3"/>
    <w:rsid w:val="001353CA"/>
    <w:rsid w:val="00135470"/>
    <w:rsid w:val="001354E7"/>
    <w:rsid w:val="001354F1"/>
    <w:rsid w:val="00135552"/>
    <w:rsid w:val="0013557F"/>
    <w:rsid w:val="00135595"/>
    <w:rsid w:val="0013559B"/>
    <w:rsid w:val="00135626"/>
    <w:rsid w:val="00135667"/>
    <w:rsid w:val="00135681"/>
    <w:rsid w:val="001356F6"/>
    <w:rsid w:val="001356FA"/>
    <w:rsid w:val="00135750"/>
    <w:rsid w:val="0013575B"/>
    <w:rsid w:val="00135760"/>
    <w:rsid w:val="00135788"/>
    <w:rsid w:val="0013579D"/>
    <w:rsid w:val="001357ED"/>
    <w:rsid w:val="00135803"/>
    <w:rsid w:val="001358D7"/>
    <w:rsid w:val="001358FC"/>
    <w:rsid w:val="00135932"/>
    <w:rsid w:val="001359A3"/>
    <w:rsid w:val="001359D1"/>
    <w:rsid w:val="00135AA1"/>
    <w:rsid w:val="00135AAC"/>
    <w:rsid w:val="00135AC1"/>
    <w:rsid w:val="00135AEB"/>
    <w:rsid w:val="00135B26"/>
    <w:rsid w:val="00135B6F"/>
    <w:rsid w:val="00135B75"/>
    <w:rsid w:val="00135B83"/>
    <w:rsid w:val="00135BAA"/>
    <w:rsid w:val="00135BE9"/>
    <w:rsid w:val="00135BF5"/>
    <w:rsid w:val="00135C47"/>
    <w:rsid w:val="00135C4A"/>
    <w:rsid w:val="00135CA4"/>
    <w:rsid w:val="00135CBB"/>
    <w:rsid w:val="00135CED"/>
    <w:rsid w:val="00135CFD"/>
    <w:rsid w:val="00135D4C"/>
    <w:rsid w:val="00135D59"/>
    <w:rsid w:val="00135D67"/>
    <w:rsid w:val="00135D6E"/>
    <w:rsid w:val="00135D9B"/>
    <w:rsid w:val="00135DF9"/>
    <w:rsid w:val="00135E32"/>
    <w:rsid w:val="00135E8F"/>
    <w:rsid w:val="00135E92"/>
    <w:rsid w:val="00135F66"/>
    <w:rsid w:val="00135F6E"/>
    <w:rsid w:val="00135FC8"/>
    <w:rsid w:val="00135FDD"/>
    <w:rsid w:val="00135FE6"/>
    <w:rsid w:val="00135FFD"/>
    <w:rsid w:val="001360B2"/>
    <w:rsid w:val="001360BA"/>
    <w:rsid w:val="00136152"/>
    <w:rsid w:val="00136164"/>
    <w:rsid w:val="001361D1"/>
    <w:rsid w:val="001361E5"/>
    <w:rsid w:val="00136270"/>
    <w:rsid w:val="0013639C"/>
    <w:rsid w:val="001363CA"/>
    <w:rsid w:val="001363F5"/>
    <w:rsid w:val="00136463"/>
    <w:rsid w:val="00136497"/>
    <w:rsid w:val="0013649E"/>
    <w:rsid w:val="00136506"/>
    <w:rsid w:val="00136508"/>
    <w:rsid w:val="00136582"/>
    <w:rsid w:val="001365A0"/>
    <w:rsid w:val="001365EB"/>
    <w:rsid w:val="00136604"/>
    <w:rsid w:val="0013670B"/>
    <w:rsid w:val="00136727"/>
    <w:rsid w:val="001367A6"/>
    <w:rsid w:val="001367D4"/>
    <w:rsid w:val="001367EB"/>
    <w:rsid w:val="00136803"/>
    <w:rsid w:val="0013684A"/>
    <w:rsid w:val="0013686C"/>
    <w:rsid w:val="001368AF"/>
    <w:rsid w:val="001368FA"/>
    <w:rsid w:val="001368FB"/>
    <w:rsid w:val="0013694C"/>
    <w:rsid w:val="0013698C"/>
    <w:rsid w:val="001369C0"/>
    <w:rsid w:val="001369C6"/>
    <w:rsid w:val="001369ED"/>
    <w:rsid w:val="00136A11"/>
    <w:rsid w:val="00136A70"/>
    <w:rsid w:val="00136AF1"/>
    <w:rsid w:val="00136AF6"/>
    <w:rsid w:val="00136B3F"/>
    <w:rsid w:val="00136B71"/>
    <w:rsid w:val="00136BBA"/>
    <w:rsid w:val="00136BC2"/>
    <w:rsid w:val="00136BE7"/>
    <w:rsid w:val="00136BF0"/>
    <w:rsid w:val="00136CA8"/>
    <w:rsid w:val="00136CAE"/>
    <w:rsid w:val="00136CF8"/>
    <w:rsid w:val="00136D58"/>
    <w:rsid w:val="00136D6D"/>
    <w:rsid w:val="00136D6E"/>
    <w:rsid w:val="00136D74"/>
    <w:rsid w:val="00136DC7"/>
    <w:rsid w:val="00136DE5"/>
    <w:rsid w:val="00136E46"/>
    <w:rsid w:val="00136E5A"/>
    <w:rsid w:val="00136EDF"/>
    <w:rsid w:val="00136F01"/>
    <w:rsid w:val="00136F75"/>
    <w:rsid w:val="00136F84"/>
    <w:rsid w:val="00136FBD"/>
    <w:rsid w:val="0013702B"/>
    <w:rsid w:val="001370E2"/>
    <w:rsid w:val="0013712A"/>
    <w:rsid w:val="00137194"/>
    <w:rsid w:val="0013728D"/>
    <w:rsid w:val="00137377"/>
    <w:rsid w:val="00137420"/>
    <w:rsid w:val="0013743D"/>
    <w:rsid w:val="00137444"/>
    <w:rsid w:val="001374CD"/>
    <w:rsid w:val="001374FD"/>
    <w:rsid w:val="00137537"/>
    <w:rsid w:val="0013753D"/>
    <w:rsid w:val="0013759B"/>
    <w:rsid w:val="001375E1"/>
    <w:rsid w:val="001375F3"/>
    <w:rsid w:val="00137632"/>
    <w:rsid w:val="001376B8"/>
    <w:rsid w:val="001376E1"/>
    <w:rsid w:val="00137715"/>
    <w:rsid w:val="00137721"/>
    <w:rsid w:val="00137764"/>
    <w:rsid w:val="0013776B"/>
    <w:rsid w:val="001377BA"/>
    <w:rsid w:val="0013785C"/>
    <w:rsid w:val="0013785D"/>
    <w:rsid w:val="00137861"/>
    <w:rsid w:val="001378A5"/>
    <w:rsid w:val="00137990"/>
    <w:rsid w:val="00137999"/>
    <w:rsid w:val="001379AF"/>
    <w:rsid w:val="001379B6"/>
    <w:rsid w:val="00137A07"/>
    <w:rsid w:val="00137A34"/>
    <w:rsid w:val="00137AA5"/>
    <w:rsid w:val="00137B6A"/>
    <w:rsid w:val="00137B6D"/>
    <w:rsid w:val="00137B74"/>
    <w:rsid w:val="00137B78"/>
    <w:rsid w:val="00137BD5"/>
    <w:rsid w:val="00137C5D"/>
    <w:rsid w:val="00137CB7"/>
    <w:rsid w:val="00137D10"/>
    <w:rsid w:val="00137D45"/>
    <w:rsid w:val="00137D80"/>
    <w:rsid w:val="00137DDC"/>
    <w:rsid w:val="00137E8A"/>
    <w:rsid w:val="00137EE2"/>
    <w:rsid w:val="00137F1F"/>
    <w:rsid w:val="00137F2B"/>
    <w:rsid w:val="00137F35"/>
    <w:rsid w:val="00137F46"/>
    <w:rsid w:val="00140018"/>
    <w:rsid w:val="0014003A"/>
    <w:rsid w:val="001400BF"/>
    <w:rsid w:val="00140158"/>
    <w:rsid w:val="0014019B"/>
    <w:rsid w:val="00140206"/>
    <w:rsid w:val="00140249"/>
    <w:rsid w:val="0014029F"/>
    <w:rsid w:val="001402AB"/>
    <w:rsid w:val="001402DC"/>
    <w:rsid w:val="001402EA"/>
    <w:rsid w:val="001402F2"/>
    <w:rsid w:val="001402F7"/>
    <w:rsid w:val="0014038D"/>
    <w:rsid w:val="001403AF"/>
    <w:rsid w:val="001403C9"/>
    <w:rsid w:val="001403FA"/>
    <w:rsid w:val="00140424"/>
    <w:rsid w:val="00140468"/>
    <w:rsid w:val="00140481"/>
    <w:rsid w:val="001404CC"/>
    <w:rsid w:val="00140509"/>
    <w:rsid w:val="00140539"/>
    <w:rsid w:val="0014053E"/>
    <w:rsid w:val="00140549"/>
    <w:rsid w:val="00140557"/>
    <w:rsid w:val="00140618"/>
    <w:rsid w:val="0014062A"/>
    <w:rsid w:val="0014064C"/>
    <w:rsid w:val="00140652"/>
    <w:rsid w:val="001406BB"/>
    <w:rsid w:val="00140700"/>
    <w:rsid w:val="0014076C"/>
    <w:rsid w:val="00140770"/>
    <w:rsid w:val="00140813"/>
    <w:rsid w:val="0014088C"/>
    <w:rsid w:val="0014090C"/>
    <w:rsid w:val="0014092B"/>
    <w:rsid w:val="0014095E"/>
    <w:rsid w:val="00140965"/>
    <w:rsid w:val="0014098B"/>
    <w:rsid w:val="00140A68"/>
    <w:rsid w:val="00140AE7"/>
    <w:rsid w:val="00140BAF"/>
    <w:rsid w:val="00140BE8"/>
    <w:rsid w:val="00140C74"/>
    <w:rsid w:val="00140CB9"/>
    <w:rsid w:val="00140CDD"/>
    <w:rsid w:val="00140CFC"/>
    <w:rsid w:val="00140D3E"/>
    <w:rsid w:val="00140D4C"/>
    <w:rsid w:val="00140D60"/>
    <w:rsid w:val="00140D77"/>
    <w:rsid w:val="00140DB0"/>
    <w:rsid w:val="00140DD2"/>
    <w:rsid w:val="00140DDA"/>
    <w:rsid w:val="00140DDE"/>
    <w:rsid w:val="00140DE2"/>
    <w:rsid w:val="00140DE3"/>
    <w:rsid w:val="00140E0A"/>
    <w:rsid w:val="00140E19"/>
    <w:rsid w:val="00140E1A"/>
    <w:rsid w:val="00140E1D"/>
    <w:rsid w:val="00140E30"/>
    <w:rsid w:val="00140E36"/>
    <w:rsid w:val="00140EEA"/>
    <w:rsid w:val="00140EF8"/>
    <w:rsid w:val="00140F00"/>
    <w:rsid w:val="00140F2C"/>
    <w:rsid w:val="00140F89"/>
    <w:rsid w:val="0014102C"/>
    <w:rsid w:val="00141061"/>
    <w:rsid w:val="00141075"/>
    <w:rsid w:val="0014107E"/>
    <w:rsid w:val="00141089"/>
    <w:rsid w:val="00141143"/>
    <w:rsid w:val="0014118E"/>
    <w:rsid w:val="00141195"/>
    <w:rsid w:val="0014124E"/>
    <w:rsid w:val="001412CB"/>
    <w:rsid w:val="001412CE"/>
    <w:rsid w:val="00141325"/>
    <w:rsid w:val="00141354"/>
    <w:rsid w:val="0014136A"/>
    <w:rsid w:val="00141388"/>
    <w:rsid w:val="001413BD"/>
    <w:rsid w:val="001413C6"/>
    <w:rsid w:val="00141401"/>
    <w:rsid w:val="00141413"/>
    <w:rsid w:val="00141455"/>
    <w:rsid w:val="00141483"/>
    <w:rsid w:val="001414BD"/>
    <w:rsid w:val="001414DD"/>
    <w:rsid w:val="00141555"/>
    <w:rsid w:val="001415D0"/>
    <w:rsid w:val="001415E6"/>
    <w:rsid w:val="001415FD"/>
    <w:rsid w:val="00141602"/>
    <w:rsid w:val="001416A2"/>
    <w:rsid w:val="001416A3"/>
    <w:rsid w:val="001416B9"/>
    <w:rsid w:val="001416F2"/>
    <w:rsid w:val="00141734"/>
    <w:rsid w:val="00141787"/>
    <w:rsid w:val="00141810"/>
    <w:rsid w:val="0014181B"/>
    <w:rsid w:val="00141841"/>
    <w:rsid w:val="00141877"/>
    <w:rsid w:val="0014188A"/>
    <w:rsid w:val="001418C8"/>
    <w:rsid w:val="001418D0"/>
    <w:rsid w:val="00141978"/>
    <w:rsid w:val="00141A66"/>
    <w:rsid w:val="00141B20"/>
    <w:rsid w:val="00141B41"/>
    <w:rsid w:val="00141B58"/>
    <w:rsid w:val="00141B9F"/>
    <w:rsid w:val="00141BA4"/>
    <w:rsid w:val="00141BEA"/>
    <w:rsid w:val="00141C2F"/>
    <w:rsid w:val="00141CA1"/>
    <w:rsid w:val="00141CC6"/>
    <w:rsid w:val="00141D54"/>
    <w:rsid w:val="00141D85"/>
    <w:rsid w:val="00141DCB"/>
    <w:rsid w:val="00141DCE"/>
    <w:rsid w:val="00141DE3"/>
    <w:rsid w:val="00141E29"/>
    <w:rsid w:val="00141E40"/>
    <w:rsid w:val="00141E56"/>
    <w:rsid w:val="00141EE4"/>
    <w:rsid w:val="00141FA7"/>
    <w:rsid w:val="00142065"/>
    <w:rsid w:val="00142074"/>
    <w:rsid w:val="001420AE"/>
    <w:rsid w:val="001420B7"/>
    <w:rsid w:val="001420DE"/>
    <w:rsid w:val="0014213C"/>
    <w:rsid w:val="0014215A"/>
    <w:rsid w:val="00142218"/>
    <w:rsid w:val="00142220"/>
    <w:rsid w:val="00142221"/>
    <w:rsid w:val="00142241"/>
    <w:rsid w:val="00142258"/>
    <w:rsid w:val="0014226B"/>
    <w:rsid w:val="001422F4"/>
    <w:rsid w:val="00142319"/>
    <w:rsid w:val="0014231E"/>
    <w:rsid w:val="00142359"/>
    <w:rsid w:val="001423AC"/>
    <w:rsid w:val="0014240F"/>
    <w:rsid w:val="001424B1"/>
    <w:rsid w:val="001424E0"/>
    <w:rsid w:val="001424F6"/>
    <w:rsid w:val="00142536"/>
    <w:rsid w:val="00142567"/>
    <w:rsid w:val="001425C4"/>
    <w:rsid w:val="001425EF"/>
    <w:rsid w:val="00142616"/>
    <w:rsid w:val="00142696"/>
    <w:rsid w:val="001426C6"/>
    <w:rsid w:val="00142714"/>
    <w:rsid w:val="00142721"/>
    <w:rsid w:val="00142725"/>
    <w:rsid w:val="0014275B"/>
    <w:rsid w:val="00142840"/>
    <w:rsid w:val="00142891"/>
    <w:rsid w:val="00142896"/>
    <w:rsid w:val="001428E6"/>
    <w:rsid w:val="0014290B"/>
    <w:rsid w:val="001429B5"/>
    <w:rsid w:val="001429DD"/>
    <w:rsid w:val="00142A99"/>
    <w:rsid w:val="00142B27"/>
    <w:rsid w:val="00142B56"/>
    <w:rsid w:val="00142B7A"/>
    <w:rsid w:val="00142B9D"/>
    <w:rsid w:val="00142BC6"/>
    <w:rsid w:val="00142BEC"/>
    <w:rsid w:val="00142C27"/>
    <w:rsid w:val="00142C28"/>
    <w:rsid w:val="00142C3F"/>
    <w:rsid w:val="00142C65"/>
    <w:rsid w:val="00142D57"/>
    <w:rsid w:val="00142DAF"/>
    <w:rsid w:val="00142DC2"/>
    <w:rsid w:val="00142DE8"/>
    <w:rsid w:val="00142E14"/>
    <w:rsid w:val="00142E29"/>
    <w:rsid w:val="00142E82"/>
    <w:rsid w:val="00142E92"/>
    <w:rsid w:val="00142E93"/>
    <w:rsid w:val="00142EC6"/>
    <w:rsid w:val="00142EE8"/>
    <w:rsid w:val="00142F73"/>
    <w:rsid w:val="00143031"/>
    <w:rsid w:val="0014304D"/>
    <w:rsid w:val="0014316F"/>
    <w:rsid w:val="00143187"/>
    <w:rsid w:val="00143267"/>
    <w:rsid w:val="00143282"/>
    <w:rsid w:val="0014332F"/>
    <w:rsid w:val="00143345"/>
    <w:rsid w:val="00143389"/>
    <w:rsid w:val="0014345E"/>
    <w:rsid w:val="0014347F"/>
    <w:rsid w:val="001434D2"/>
    <w:rsid w:val="001434D8"/>
    <w:rsid w:val="00143538"/>
    <w:rsid w:val="00143551"/>
    <w:rsid w:val="00143555"/>
    <w:rsid w:val="00143597"/>
    <w:rsid w:val="001435BA"/>
    <w:rsid w:val="00143652"/>
    <w:rsid w:val="00143673"/>
    <w:rsid w:val="00143699"/>
    <w:rsid w:val="001436B6"/>
    <w:rsid w:val="001436FB"/>
    <w:rsid w:val="00143718"/>
    <w:rsid w:val="0014372C"/>
    <w:rsid w:val="0014374C"/>
    <w:rsid w:val="0014376C"/>
    <w:rsid w:val="00143784"/>
    <w:rsid w:val="00143870"/>
    <w:rsid w:val="001438CB"/>
    <w:rsid w:val="001438D4"/>
    <w:rsid w:val="001438DB"/>
    <w:rsid w:val="001438FE"/>
    <w:rsid w:val="00143906"/>
    <w:rsid w:val="0014394E"/>
    <w:rsid w:val="0014397C"/>
    <w:rsid w:val="0014399B"/>
    <w:rsid w:val="001439BB"/>
    <w:rsid w:val="001439C7"/>
    <w:rsid w:val="00143A07"/>
    <w:rsid w:val="00143A0F"/>
    <w:rsid w:val="00143A16"/>
    <w:rsid w:val="00143A49"/>
    <w:rsid w:val="00143A56"/>
    <w:rsid w:val="00143A7B"/>
    <w:rsid w:val="00143B3D"/>
    <w:rsid w:val="00143BD4"/>
    <w:rsid w:val="00143C2D"/>
    <w:rsid w:val="00143C35"/>
    <w:rsid w:val="00143CD3"/>
    <w:rsid w:val="00143CD4"/>
    <w:rsid w:val="00143D27"/>
    <w:rsid w:val="00143D7D"/>
    <w:rsid w:val="00143DB5"/>
    <w:rsid w:val="00143DC5"/>
    <w:rsid w:val="00143DDF"/>
    <w:rsid w:val="00143E4C"/>
    <w:rsid w:val="00143E55"/>
    <w:rsid w:val="00143EAD"/>
    <w:rsid w:val="00143ECC"/>
    <w:rsid w:val="00143ED6"/>
    <w:rsid w:val="00143EDD"/>
    <w:rsid w:val="00143F28"/>
    <w:rsid w:val="00143FF5"/>
    <w:rsid w:val="0014401C"/>
    <w:rsid w:val="0014402F"/>
    <w:rsid w:val="00144071"/>
    <w:rsid w:val="001440C1"/>
    <w:rsid w:val="00144115"/>
    <w:rsid w:val="0014417C"/>
    <w:rsid w:val="00144244"/>
    <w:rsid w:val="0014425E"/>
    <w:rsid w:val="0014437F"/>
    <w:rsid w:val="00144478"/>
    <w:rsid w:val="00144492"/>
    <w:rsid w:val="00144493"/>
    <w:rsid w:val="001445A7"/>
    <w:rsid w:val="001445B9"/>
    <w:rsid w:val="0014466C"/>
    <w:rsid w:val="00144684"/>
    <w:rsid w:val="00144688"/>
    <w:rsid w:val="00144690"/>
    <w:rsid w:val="00144693"/>
    <w:rsid w:val="00144702"/>
    <w:rsid w:val="00144714"/>
    <w:rsid w:val="00144753"/>
    <w:rsid w:val="00144785"/>
    <w:rsid w:val="001447B0"/>
    <w:rsid w:val="001447CD"/>
    <w:rsid w:val="001447E7"/>
    <w:rsid w:val="00144809"/>
    <w:rsid w:val="0014483A"/>
    <w:rsid w:val="00144851"/>
    <w:rsid w:val="001448C6"/>
    <w:rsid w:val="00144915"/>
    <w:rsid w:val="00144987"/>
    <w:rsid w:val="001449A8"/>
    <w:rsid w:val="00144AC9"/>
    <w:rsid w:val="00144AD0"/>
    <w:rsid w:val="00144ADE"/>
    <w:rsid w:val="00144B14"/>
    <w:rsid w:val="00144B88"/>
    <w:rsid w:val="00144B89"/>
    <w:rsid w:val="00144B92"/>
    <w:rsid w:val="00144BEB"/>
    <w:rsid w:val="00144C2B"/>
    <w:rsid w:val="00144C38"/>
    <w:rsid w:val="00144CA3"/>
    <w:rsid w:val="00144D59"/>
    <w:rsid w:val="00144D5D"/>
    <w:rsid w:val="00144D85"/>
    <w:rsid w:val="00144DB1"/>
    <w:rsid w:val="00144DC8"/>
    <w:rsid w:val="00144E00"/>
    <w:rsid w:val="00144E01"/>
    <w:rsid w:val="00144E07"/>
    <w:rsid w:val="00144E5A"/>
    <w:rsid w:val="00144E8B"/>
    <w:rsid w:val="00144ED1"/>
    <w:rsid w:val="00144EE1"/>
    <w:rsid w:val="00144FEF"/>
    <w:rsid w:val="00145022"/>
    <w:rsid w:val="0014502E"/>
    <w:rsid w:val="0014508F"/>
    <w:rsid w:val="001450C2"/>
    <w:rsid w:val="001450E5"/>
    <w:rsid w:val="0014516A"/>
    <w:rsid w:val="001451A5"/>
    <w:rsid w:val="001451CA"/>
    <w:rsid w:val="0014521F"/>
    <w:rsid w:val="0014527B"/>
    <w:rsid w:val="001452A2"/>
    <w:rsid w:val="0014532F"/>
    <w:rsid w:val="00145351"/>
    <w:rsid w:val="00145357"/>
    <w:rsid w:val="00145390"/>
    <w:rsid w:val="0014547F"/>
    <w:rsid w:val="0014548B"/>
    <w:rsid w:val="00145494"/>
    <w:rsid w:val="001454D1"/>
    <w:rsid w:val="00145559"/>
    <w:rsid w:val="001455DF"/>
    <w:rsid w:val="00145672"/>
    <w:rsid w:val="001456A1"/>
    <w:rsid w:val="001456B8"/>
    <w:rsid w:val="001456BB"/>
    <w:rsid w:val="001456D0"/>
    <w:rsid w:val="0014570B"/>
    <w:rsid w:val="00145713"/>
    <w:rsid w:val="00145742"/>
    <w:rsid w:val="0014575E"/>
    <w:rsid w:val="001457B6"/>
    <w:rsid w:val="001457DF"/>
    <w:rsid w:val="001457F2"/>
    <w:rsid w:val="00145828"/>
    <w:rsid w:val="0014593D"/>
    <w:rsid w:val="0014595F"/>
    <w:rsid w:val="001459A1"/>
    <w:rsid w:val="00145A57"/>
    <w:rsid w:val="00145A65"/>
    <w:rsid w:val="00145A6C"/>
    <w:rsid w:val="00145B16"/>
    <w:rsid w:val="00145B99"/>
    <w:rsid w:val="00145C00"/>
    <w:rsid w:val="00145C2D"/>
    <w:rsid w:val="00145CA6"/>
    <w:rsid w:val="00145CB3"/>
    <w:rsid w:val="00145CD3"/>
    <w:rsid w:val="00145D1A"/>
    <w:rsid w:val="00145D4D"/>
    <w:rsid w:val="00145E0B"/>
    <w:rsid w:val="00145E4B"/>
    <w:rsid w:val="00145EA7"/>
    <w:rsid w:val="00145F29"/>
    <w:rsid w:val="00145F57"/>
    <w:rsid w:val="00145FC5"/>
    <w:rsid w:val="00146080"/>
    <w:rsid w:val="00146099"/>
    <w:rsid w:val="001460A5"/>
    <w:rsid w:val="001460C7"/>
    <w:rsid w:val="001460CB"/>
    <w:rsid w:val="00146186"/>
    <w:rsid w:val="001461A0"/>
    <w:rsid w:val="001461F5"/>
    <w:rsid w:val="0014622E"/>
    <w:rsid w:val="00146280"/>
    <w:rsid w:val="0014630E"/>
    <w:rsid w:val="0014634E"/>
    <w:rsid w:val="00146376"/>
    <w:rsid w:val="00146420"/>
    <w:rsid w:val="00146531"/>
    <w:rsid w:val="0014654B"/>
    <w:rsid w:val="0014657F"/>
    <w:rsid w:val="001465B7"/>
    <w:rsid w:val="001465BD"/>
    <w:rsid w:val="00146623"/>
    <w:rsid w:val="00146646"/>
    <w:rsid w:val="001466EE"/>
    <w:rsid w:val="001466FA"/>
    <w:rsid w:val="00146700"/>
    <w:rsid w:val="00146727"/>
    <w:rsid w:val="001467A0"/>
    <w:rsid w:val="001467C8"/>
    <w:rsid w:val="0014684E"/>
    <w:rsid w:val="0014685C"/>
    <w:rsid w:val="00146865"/>
    <w:rsid w:val="001468D7"/>
    <w:rsid w:val="0014691F"/>
    <w:rsid w:val="00146A76"/>
    <w:rsid w:val="00146AB6"/>
    <w:rsid w:val="00146AB8"/>
    <w:rsid w:val="00146B05"/>
    <w:rsid w:val="00146B36"/>
    <w:rsid w:val="00146B5B"/>
    <w:rsid w:val="00146BF7"/>
    <w:rsid w:val="00146C5F"/>
    <w:rsid w:val="00146CB4"/>
    <w:rsid w:val="00146CB6"/>
    <w:rsid w:val="00146D16"/>
    <w:rsid w:val="00146D87"/>
    <w:rsid w:val="00146DD4"/>
    <w:rsid w:val="00146DDC"/>
    <w:rsid w:val="00146DF4"/>
    <w:rsid w:val="00146E2D"/>
    <w:rsid w:val="00146E5D"/>
    <w:rsid w:val="00146E6A"/>
    <w:rsid w:val="00146E84"/>
    <w:rsid w:val="00146EB3"/>
    <w:rsid w:val="00146EBF"/>
    <w:rsid w:val="00146EE2"/>
    <w:rsid w:val="00146F32"/>
    <w:rsid w:val="00146F6D"/>
    <w:rsid w:val="00146FA5"/>
    <w:rsid w:val="00147005"/>
    <w:rsid w:val="00147019"/>
    <w:rsid w:val="00147022"/>
    <w:rsid w:val="00147034"/>
    <w:rsid w:val="0014704A"/>
    <w:rsid w:val="0014704B"/>
    <w:rsid w:val="0014709B"/>
    <w:rsid w:val="001470C2"/>
    <w:rsid w:val="001470C7"/>
    <w:rsid w:val="001470DA"/>
    <w:rsid w:val="001470EE"/>
    <w:rsid w:val="001470EF"/>
    <w:rsid w:val="001470F6"/>
    <w:rsid w:val="001471FF"/>
    <w:rsid w:val="0014723E"/>
    <w:rsid w:val="0014725B"/>
    <w:rsid w:val="0014727C"/>
    <w:rsid w:val="001472AE"/>
    <w:rsid w:val="00147307"/>
    <w:rsid w:val="00147308"/>
    <w:rsid w:val="00147319"/>
    <w:rsid w:val="0014734B"/>
    <w:rsid w:val="001473B2"/>
    <w:rsid w:val="001473D9"/>
    <w:rsid w:val="0014742F"/>
    <w:rsid w:val="00147454"/>
    <w:rsid w:val="00147482"/>
    <w:rsid w:val="0014751D"/>
    <w:rsid w:val="0014751E"/>
    <w:rsid w:val="00147525"/>
    <w:rsid w:val="00147642"/>
    <w:rsid w:val="001476A6"/>
    <w:rsid w:val="00147704"/>
    <w:rsid w:val="00147706"/>
    <w:rsid w:val="00147733"/>
    <w:rsid w:val="001477C1"/>
    <w:rsid w:val="00147834"/>
    <w:rsid w:val="00147862"/>
    <w:rsid w:val="00147865"/>
    <w:rsid w:val="00147911"/>
    <w:rsid w:val="00147932"/>
    <w:rsid w:val="00147952"/>
    <w:rsid w:val="00147AF8"/>
    <w:rsid w:val="00147B09"/>
    <w:rsid w:val="00147B30"/>
    <w:rsid w:val="00147B4D"/>
    <w:rsid w:val="00147BDA"/>
    <w:rsid w:val="00147BDB"/>
    <w:rsid w:val="00147D41"/>
    <w:rsid w:val="00147D8E"/>
    <w:rsid w:val="00147E09"/>
    <w:rsid w:val="00147E37"/>
    <w:rsid w:val="00147E71"/>
    <w:rsid w:val="00147E9E"/>
    <w:rsid w:val="00147F02"/>
    <w:rsid w:val="00147F23"/>
    <w:rsid w:val="00147FC4"/>
    <w:rsid w:val="0015003A"/>
    <w:rsid w:val="00150059"/>
    <w:rsid w:val="0015005C"/>
    <w:rsid w:val="00150078"/>
    <w:rsid w:val="00150132"/>
    <w:rsid w:val="0015019A"/>
    <w:rsid w:val="0015023A"/>
    <w:rsid w:val="001502C1"/>
    <w:rsid w:val="00150325"/>
    <w:rsid w:val="00150335"/>
    <w:rsid w:val="0015033E"/>
    <w:rsid w:val="0015034E"/>
    <w:rsid w:val="00150373"/>
    <w:rsid w:val="00150374"/>
    <w:rsid w:val="00150378"/>
    <w:rsid w:val="0015039B"/>
    <w:rsid w:val="001503AD"/>
    <w:rsid w:val="001503BE"/>
    <w:rsid w:val="00150431"/>
    <w:rsid w:val="00150435"/>
    <w:rsid w:val="001504CF"/>
    <w:rsid w:val="001504E8"/>
    <w:rsid w:val="00150549"/>
    <w:rsid w:val="00150551"/>
    <w:rsid w:val="001505D8"/>
    <w:rsid w:val="00150624"/>
    <w:rsid w:val="001506EA"/>
    <w:rsid w:val="001506FB"/>
    <w:rsid w:val="0015071A"/>
    <w:rsid w:val="0015077F"/>
    <w:rsid w:val="00150791"/>
    <w:rsid w:val="001507E7"/>
    <w:rsid w:val="001507FC"/>
    <w:rsid w:val="0015081B"/>
    <w:rsid w:val="0015082C"/>
    <w:rsid w:val="00150853"/>
    <w:rsid w:val="00150872"/>
    <w:rsid w:val="00150876"/>
    <w:rsid w:val="0015099E"/>
    <w:rsid w:val="001509DA"/>
    <w:rsid w:val="00150A7B"/>
    <w:rsid w:val="00150A8C"/>
    <w:rsid w:val="00150A9C"/>
    <w:rsid w:val="00150B05"/>
    <w:rsid w:val="00150B76"/>
    <w:rsid w:val="00150BCC"/>
    <w:rsid w:val="00150C25"/>
    <w:rsid w:val="00150C69"/>
    <w:rsid w:val="00150D34"/>
    <w:rsid w:val="00150D48"/>
    <w:rsid w:val="00150D5B"/>
    <w:rsid w:val="00150E46"/>
    <w:rsid w:val="00150E5A"/>
    <w:rsid w:val="00150E62"/>
    <w:rsid w:val="00150EA9"/>
    <w:rsid w:val="00150F9D"/>
    <w:rsid w:val="00151031"/>
    <w:rsid w:val="001510FC"/>
    <w:rsid w:val="00151111"/>
    <w:rsid w:val="001511B7"/>
    <w:rsid w:val="0015124E"/>
    <w:rsid w:val="00151250"/>
    <w:rsid w:val="00151272"/>
    <w:rsid w:val="00151280"/>
    <w:rsid w:val="00151293"/>
    <w:rsid w:val="001512C2"/>
    <w:rsid w:val="00151310"/>
    <w:rsid w:val="0015132D"/>
    <w:rsid w:val="00151358"/>
    <w:rsid w:val="00151396"/>
    <w:rsid w:val="001513DD"/>
    <w:rsid w:val="00151402"/>
    <w:rsid w:val="0015140F"/>
    <w:rsid w:val="00151413"/>
    <w:rsid w:val="00151424"/>
    <w:rsid w:val="001514C3"/>
    <w:rsid w:val="001514CB"/>
    <w:rsid w:val="001514CD"/>
    <w:rsid w:val="001514FE"/>
    <w:rsid w:val="00151533"/>
    <w:rsid w:val="00151560"/>
    <w:rsid w:val="001515AA"/>
    <w:rsid w:val="001515E0"/>
    <w:rsid w:val="001515FB"/>
    <w:rsid w:val="0015160E"/>
    <w:rsid w:val="00151660"/>
    <w:rsid w:val="001516D1"/>
    <w:rsid w:val="001516EC"/>
    <w:rsid w:val="00151717"/>
    <w:rsid w:val="0015171D"/>
    <w:rsid w:val="00151744"/>
    <w:rsid w:val="001517AF"/>
    <w:rsid w:val="001517B2"/>
    <w:rsid w:val="00151838"/>
    <w:rsid w:val="00151845"/>
    <w:rsid w:val="0015185A"/>
    <w:rsid w:val="001518C2"/>
    <w:rsid w:val="001518F5"/>
    <w:rsid w:val="00151A25"/>
    <w:rsid w:val="00151A45"/>
    <w:rsid w:val="00151A84"/>
    <w:rsid w:val="00151AA4"/>
    <w:rsid w:val="00151ADC"/>
    <w:rsid w:val="00151B3F"/>
    <w:rsid w:val="00151B66"/>
    <w:rsid w:val="00151B97"/>
    <w:rsid w:val="00151BC6"/>
    <w:rsid w:val="00151C31"/>
    <w:rsid w:val="00151C73"/>
    <w:rsid w:val="00151C75"/>
    <w:rsid w:val="00151CAB"/>
    <w:rsid w:val="00151CE7"/>
    <w:rsid w:val="00151D35"/>
    <w:rsid w:val="00151D43"/>
    <w:rsid w:val="00151E5A"/>
    <w:rsid w:val="00151E71"/>
    <w:rsid w:val="00151EB1"/>
    <w:rsid w:val="00151EBB"/>
    <w:rsid w:val="00151EE4"/>
    <w:rsid w:val="00151EE8"/>
    <w:rsid w:val="00151EE9"/>
    <w:rsid w:val="00151F17"/>
    <w:rsid w:val="00151FC6"/>
    <w:rsid w:val="00151FEE"/>
    <w:rsid w:val="0015202B"/>
    <w:rsid w:val="00152053"/>
    <w:rsid w:val="00152118"/>
    <w:rsid w:val="00152171"/>
    <w:rsid w:val="00152175"/>
    <w:rsid w:val="001521D1"/>
    <w:rsid w:val="0015225A"/>
    <w:rsid w:val="00152343"/>
    <w:rsid w:val="00152383"/>
    <w:rsid w:val="001523D4"/>
    <w:rsid w:val="0015249D"/>
    <w:rsid w:val="001524BA"/>
    <w:rsid w:val="001524FC"/>
    <w:rsid w:val="00152562"/>
    <w:rsid w:val="0015259F"/>
    <w:rsid w:val="001525CA"/>
    <w:rsid w:val="001525CB"/>
    <w:rsid w:val="001525E4"/>
    <w:rsid w:val="00152628"/>
    <w:rsid w:val="00152650"/>
    <w:rsid w:val="00152652"/>
    <w:rsid w:val="00152682"/>
    <w:rsid w:val="00152701"/>
    <w:rsid w:val="0015273F"/>
    <w:rsid w:val="001527B2"/>
    <w:rsid w:val="001527C4"/>
    <w:rsid w:val="001527FF"/>
    <w:rsid w:val="00152825"/>
    <w:rsid w:val="0015284F"/>
    <w:rsid w:val="0015285A"/>
    <w:rsid w:val="00152864"/>
    <w:rsid w:val="001528F3"/>
    <w:rsid w:val="00152949"/>
    <w:rsid w:val="00152967"/>
    <w:rsid w:val="0015299D"/>
    <w:rsid w:val="001529D3"/>
    <w:rsid w:val="001529E8"/>
    <w:rsid w:val="001529EB"/>
    <w:rsid w:val="00152A00"/>
    <w:rsid w:val="00152A4B"/>
    <w:rsid w:val="00152A5E"/>
    <w:rsid w:val="00152A62"/>
    <w:rsid w:val="00152ADF"/>
    <w:rsid w:val="00152B2B"/>
    <w:rsid w:val="00152B81"/>
    <w:rsid w:val="00152BB1"/>
    <w:rsid w:val="00152BC3"/>
    <w:rsid w:val="00152BDA"/>
    <w:rsid w:val="00152C1A"/>
    <w:rsid w:val="00152CF0"/>
    <w:rsid w:val="00152D05"/>
    <w:rsid w:val="00152D13"/>
    <w:rsid w:val="00152D23"/>
    <w:rsid w:val="00152D68"/>
    <w:rsid w:val="00152D97"/>
    <w:rsid w:val="00152DF0"/>
    <w:rsid w:val="00152E9E"/>
    <w:rsid w:val="00152F45"/>
    <w:rsid w:val="00152F4B"/>
    <w:rsid w:val="00152F64"/>
    <w:rsid w:val="00152F88"/>
    <w:rsid w:val="00152FF9"/>
    <w:rsid w:val="00153052"/>
    <w:rsid w:val="001530AB"/>
    <w:rsid w:val="001530D7"/>
    <w:rsid w:val="001530DE"/>
    <w:rsid w:val="0015311D"/>
    <w:rsid w:val="00153138"/>
    <w:rsid w:val="00153193"/>
    <w:rsid w:val="001531C3"/>
    <w:rsid w:val="0015321C"/>
    <w:rsid w:val="0015321F"/>
    <w:rsid w:val="00153244"/>
    <w:rsid w:val="001532BD"/>
    <w:rsid w:val="001532C8"/>
    <w:rsid w:val="00153393"/>
    <w:rsid w:val="0015346D"/>
    <w:rsid w:val="0015349F"/>
    <w:rsid w:val="001534A4"/>
    <w:rsid w:val="001534D4"/>
    <w:rsid w:val="0015351A"/>
    <w:rsid w:val="0015356E"/>
    <w:rsid w:val="001535CE"/>
    <w:rsid w:val="0015360B"/>
    <w:rsid w:val="00153625"/>
    <w:rsid w:val="00153647"/>
    <w:rsid w:val="001536F8"/>
    <w:rsid w:val="0015376E"/>
    <w:rsid w:val="00153798"/>
    <w:rsid w:val="001537BD"/>
    <w:rsid w:val="001537D3"/>
    <w:rsid w:val="00153834"/>
    <w:rsid w:val="00153854"/>
    <w:rsid w:val="0015385C"/>
    <w:rsid w:val="00153890"/>
    <w:rsid w:val="001538B2"/>
    <w:rsid w:val="001538D8"/>
    <w:rsid w:val="001538EF"/>
    <w:rsid w:val="00153906"/>
    <w:rsid w:val="0015390D"/>
    <w:rsid w:val="0015392A"/>
    <w:rsid w:val="00153981"/>
    <w:rsid w:val="001539B2"/>
    <w:rsid w:val="00153A0B"/>
    <w:rsid w:val="00153A12"/>
    <w:rsid w:val="00153A16"/>
    <w:rsid w:val="00153A75"/>
    <w:rsid w:val="00153ACC"/>
    <w:rsid w:val="00153B42"/>
    <w:rsid w:val="00153BA8"/>
    <w:rsid w:val="00153C1D"/>
    <w:rsid w:val="00153C20"/>
    <w:rsid w:val="00153C24"/>
    <w:rsid w:val="00153C3B"/>
    <w:rsid w:val="00153C4B"/>
    <w:rsid w:val="00153CCF"/>
    <w:rsid w:val="00153E2B"/>
    <w:rsid w:val="00153E48"/>
    <w:rsid w:val="00153E5E"/>
    <w:rsid w:val="00153E65"/>
    <w:rsid w:val="00153E93"/>
    <w:rsid w:val="00153ECB"/>
    <w:rsid w:val="00153ED3"/>
    <w:rsid w:val="00153F18"/>
    <w:rsid w:val="00153F21"/>
    <w:rsid w:val="00153F4C"/>
    <w:rsid w:val="00153F7A"/>
    <w:rsid w:val="00153F8A"/>
    <w:rsid w:val="00153FBD"/>
    <w:rsid w:val="00154041"/>
    <w:rsid w:val="0015404B"/>
    <w:rsid w:val="0015405F"/>
    <w:rsid w:val="001540B3"/>
    <w:rsid w:val="001540BE"/>
    <w:rsid w:val="001540CC"/>
    <w:rsid w:val="001540E1"/>
    <w:rsid w:val="001541EE"/>
    <w:rsid w:val="001541FC"/>
    <w:rsid w:val="00154201"/>
    <w:rsid w:val="00154207"/>
    <w:rsid w:val="00154238"/>
    <w:rsid w:val="00154273"/>
    <w:rsid w:val="001542AB"/>
    <w:rsid w:val="001542DF"/>
    <w:rsid w:val="0015434D"/>
    <w:rsid w:val="00154376"/>
    <w:rsid w:val="001543B4"/>
    <w:rsid w:val="001543CE"/>
    <w:rsid w:val="001543D4"/>
    <w:rsid w:val="00154422"/>
    <w:rsid w:val="0015442C"/>
    <w:rsid w:val="00154468"/>
    <w:rsid w:val="00154471"/>
    <w:rsid w:val="00154488"/>
    <w:rsid w:val="00154513"/>
    <w:rsid w:val="00154530"/>
    <w:rsid w:val="0015455C"/>
    <w:rsid w:val="00154582"/>
    <w:rsid w:val="001545DA"/>
    <w:rsid w:val="001545E2"/>
    <w:rsid w:val="00154611"/>
    <w:rsid w:val="00154648"/>
    <w:rsid w:val="00154662"/>
    <w:rsid w:val="00154675"/>
    <w:rsid w:val="001546A5"/>
    <w:rsid w:val="001546ED"/>
    <w:rsid w:val="001546F6"/>
    <w:rsid w:val="0015478B"/>
    <w:rsid w:val="001547F4"/>
    <w:rsid w:val="00154855"/>
    <w:rsid w:val="0015485E"/>
    <w:rsid w:val="001548DE"/>
    <w:rsid w:val="00154948"/>
    <w:rsid w:val="0015498A"/>
    <w:rsid w:val="00154A0C"/>
    <w:rsid w:val="00154A91"/>
    <w:rsid w:val="00154AC8"/>
    <w:rsid w:val="00154AF3"/>
    <w:rsid w:val="00154B05"/>
    <w:rsid w:val="00154B10"/>
    <w:rsid w:val="00154B34"/>
    <w:rsid w:val="00154B72"/>
    <w:rsid w:val="00154BAD"/>
    <w:rsid w:val="00154BD5"/>
    <w:rsid w:val="00154BFF"/>
    <w:rsid w:val="00154C16"/>
    <w:rsid w:val="00154C45"/>
    <w:rsid w:val="00154C8D"/>
    <w:rsid w:val="00154CC4"/>
    <w:rsid w:val="00154CE3"/>
    <w:rsid w:val="00154D10"/>
    <w:rsid w:val="00154D26"/>
    <w:rsid w:val="00154D45"/>
    <w:rsid w:val="00154D6A"/>
    <w:rsid w:val="00154DAF"/>
    <w:rsid w:val="00154DFF"/>
    <w:rsid w:val="00154E2C"/>
    <w:rsid w:val="00154E63"/>
    <w:rsid w:val="00154E77"/>
    <w:rsid w:val="00154E7E"/>
    <w:rsid w:val="00154F48"/>
    <w:rsid w:val="00154F4A"/>
    <w:rsid w:val="00154FC2"/>
    <w:rsid w:val="00154FEF"/>
    <w:rsid w:val="00154FFE"/>
    <w:rsid w:val="00155048"/>
    <w:rsid w:val="0015506F"/>
    <w:rsid w:val="0015509E"/>
    <w:rsid w:val="001550B4"/>
    <w:rsid w:val="001550DF"/>
    <w:rsid w:val="00155114"/>
    <w:rsid w:val="00155136"/>
    <w:rsid w:val="0015517A"/>
    <w:rsid w:val="00155186"/>
    <w:rsid w:val="0015518F"/>
    <w:rsid w:val="001551A4"/>
    <w:rsid w:val="001551DD"/>
    <w:rsid w:val="001551EE"/>
    <w:rsid w:val="0015521E"/>
    <w:rsid w:val="00155321"/>
    <w:rsid w:val="0015536C"/>
    <w:rsid w:val="00155371"/>
    <w:rsid w:val="001553A9"/>
    <w:rsid w:val="00155459"/>
    <w:rsid w:val="0015546A"/>
    <w:rsid w:val="00155476"/>
    <w:rsid w:val="0015549C"/>
    <w:rsid w:val="001554C2"/>
    <w:rsid w:val="00155517"/>
    <w:rsid w:val="0015560A"/>
    <w:rsid w:val="00155618"/>
    <w:rsid w:val="0015567A"/>
    <w:rsid w:val="00155696"/>
    <w:rsid w:val="00155697"/>
    <w:rsid w:val="00155701"/>
    <w:rsid w:val="0015577C"/>
    <w:rsid w:val="0015580D"/>
    <w:rsid w:val="0015580E"/>
    <w:rsid w:val="0015582B"/>
    <w:rsid w:val="0015582C"/>
    <w:rsid w:val="0015586C"/>
    <w:rsid w:val="0015588B"/>
    <w:rsid w:val="001558B8"/>
    <w:rsid w:val="001558C7"/>
    <w:rsid w:val="0015593D"/>
    <w:rsid w:val="0015598C"/>
    <w:rsid w:val="00155999"/>
    <w:rsid w:val="001559D7"/>
    <w:rsid w:val="001559E9"/>
    <w:rsid w:val="00155A05"/>
    <w:rsid w:val="00155A4E"/>
    <w:rsid w:val="00155A59"/>
    <w:rsid w:val="00155A6F"/>
    <w:rsid w:val="00155ACD"/>
    <w:rsid w:val="00155AF6"/>
    <w:rsid w:val="00155B2E"/>
    <w:rsid w:val="00155B34"/>
    <w:rsid w:val="00155B9C"/>
    <w:rsid w:val="00155B9E"/>
    <w:rsid w:val="00155C0B"/>
    <w:rsid w:val="00155C26"/>
    <w:rsid w:val="00155C50"/>
    <w:rsid w:val="00155D50"/>
    <w:rsid w:val="00155D63"/>
    <w:rsid w:val="00155E1C"/>
    <w:rsid w:val="00155E6F"/>
    <w:rsid w:val="00155E8C"/>
    <w:rsid w:val="00155F04"/>
    <w:rsid w:val="00155F3D"/>
    <w:rsid w:val="00155F48"/>
    <w:rsid w:val="00155F67"/>
    <w:rsid w:val="00155F8E"/>
    <w:rsid w:val="00155FC4"/>
    <w:rsid w:val="00155FCE"/>
    <w:rsid w:val="00155FDD"/>
    <w:rsid w:val="00156051"/>
    <w:rsid w:val="00156058"/>
    <w:rsid w:val="001560C3"/>
    <w:rsid w:val="001560D3"/>
    <w:rsid w:val="001560DA"/>
    <w:rsid w:val="0015611E"/>
    <w:rsid w:val="0015612F"/>
    <w:rsid w:val="001561B6"/>
    <w:rsid w:val="001561C9"/>
    <w:rsid w:val="001561D5"/>
    <w:rsid w:val="001561DC"/>
    <w:rsid w:val="00156209"/>
    <w:rsid w:val="001562B4"/>
    <w:rsid w:val="0015636A"/>
    <w:rsid w:val="00156391"/>
    <w:rsid w:val="0015639C"/>
    <w:rsid w:val="00156468"/>
    <w:rsid w:val="0015646D"/>
    <w:rsid w:val="0015654D"/>
    <w:rsid w:val="0015655D"/>
    <w:rsid w:val="001565BD"/>
    <w:rsid w:val="001565EB"/>
    <w:rsid w:val="00156673"/>
    <w:rsid w:val="0015669F"/>
    <w:rsid w:val="001566BC"/>
    <w:rsid w:val="00156796"/>
    <w:rsid w:val="0015681C"/>
    <w:rsid w:val="00156833"/>
    <w:rsid w:val="00156851"/>
    <w:rsid w:val="00156878"/>
    <w:rsid w:val="001568C4"/>
    <w:rsid w:val="00156900"/>
    <w:rsid w:val="00156920"/>
    <w:rsid w:val="00156922"/>
    <w:rsid w:val="00156983"/>
    <w:rsid w:val="001569A8"/>
    <w:rsid w:val="001569B0"/>
    <w:rsid w:val="00156A0E"/>
    <w:rsid w:val="00156A2C"/>
    <w:rsid w:val="00156A40"/>
    <w:rsid w:val="00156A8E"/>
    <w:rsid w:val="00156AC9"/>
    <w:rsid w:val="00156B2C"/>
    <w:rsid w:val="00156B8A"/>
    <w:rsid w:val="00156C33"/>
    <w:rsid w:val="00156CA9"/>
    <w:rsid w:val="00156CBC"/>
    <w:rsid w:val="00156D1B"/>
    <w:rsid w:val="00156D56"/>
    <w:rsid w:val="00156EBD"/>
    <w:rsid w:val="00156F1E"/>
    <w:rsid w:val="00156F71"/>
    <w:rsid w:val="00156FA2"/>
    <w:rsid w:val="0015701C"/>
    <w:rsid w:val="0015704B"/>
    <w:rsid w:val="00157070"/>
    <w:rsid w:val="00157076"/>
    <w:rsid w:val="001570A0"/>
    <w:rsid w:val="0015711C"/>
    <w:rsid w:val="0015715E"/>
    <w:rsid w:val="00157181"/>
    <w:rsid w:val="00157199"/>
    <w:rsid w:val="001571AD"/>
    <w:rsid w:val="001571C2"/>
    <w:rsid w:val="00157217"/>
    <w:rsid w:val="0015723D"/>
    <w:rsid w:val="0015727C"/>
    <w:rsid w:val="001572D3"/>
    <w:rsid w:val="0015731E"/>
    <w:rsid w:val="00157339"/>
    <w:rsid w:val="00157357"/>
    <w:rsid w:val="00157359"/>
    <w:rsid w:val="001573B3"/>
    <w:rsid w:val="001573D9"/>
    <w:rsid w:val="001573DC"/>
    <w:rsid w:val="00157408"/>
    <w:rsid w:val="00157442"/>
    <w:rsid w:val="00157477"/>
    <w:rsid w:val="00157484"/>
    <w:rsid w:val="00157500"/>
    <w:rsid w:val="00157521"/>
    <w:rsid w:val="00157591"/>
    <w:rsid w:val="001575B0"/>
    <w:rsid w:val="001575C9"/>
    <w:rsid w:val="00157628"/>
    <w:rsid w:val="0015762E"/>
    <w:rsid w:val="00157632"/>
    <w:rsid w:val="00157670"/>
    <w:rsid w:val="00157673"/>
    <w:rsid w:val="0015767A"/>
    <w:rsid w:val="00157695"/>
    <w:rsid w:val="001576FD"/>
    <w:rsid w:val="001576FF"/>
    <w:rsid w:val="00157743"/>
    <w:rsid w:val="00157776"/>
    <w:rsid w:val="0015787C"/>
    <w:rsid w:val="001578AD"/>
    <w:rsid w:val="001578D9"/>
    <w:rsid w:val="00157965"/>
    <w:rsid w:val="001579E7"/>
    <w:rsid w:val="00157AA9"/>
    <w:rsid w:val="00157AED"/>
    <w:rsid w:val="00157B02"/>
    <w:rsid w:val="00157B27"/>
    <w:rsid w:val="00157B2F"/>
    <w:rsid w:val="00157B51"/>
    <w:rsid w:val="00157BCB"/>
    <w:rsid w:val="00157CA3"/>
    <w:rsid w:val="00157CA5"/>
    <w:rsid w:val="00157CDB"/>
    <w:rsid w:val="00157D20"/>
    <w:rsid w:val="00157D5D"/>
    <w:rsid w:val="00157DD5"/>
    <w:rsid w:val="00157DFC"/>
    <w:rsid w:val="00157E22"/>
    <w:rsid w:val="00157E52"/>
    <w:rsid w:val="00157EC4"/>
    <w:rsid w:val="00157F2C"/>
    <w:rsid w:val="00157F36"/>
    <w:rsid w:val="00157FC8"/>
    <w:rsid w:val="00160018"/>
    <w:rsid w:val="0016003A"/>
    <w:rsid w:val="0016008F"/>
    <w:rsid w:val="001600AA"/>
    <w:rsid w:val="00160119"/>
    <w:rsid w:val="0016014B"/>
    <w:rsid w:val="0016025D"/>
    <w:rsid w:val="00160318"/>
    <w:rsid w:val="0016031E"/>
    <w:rsid w:val="00160351"/>
    <w:rsid w:val="001603A3"/>
    <w:rsid w:val="001603DF"/>
    <w:rsid w:val="0016041E"/>
    <w:rsid w:val="00160450"/>
    <w:rsid w:val="001604A2"/>
    <w:rsid w:val="00160504"/>
    <w:rsid w:val="001605FC"/>
    <w:rsid w:val="001606E3"/>
    <w:rsid w:val="001606E4"/>
    <w:rsid w:val="00160722"/>
    <w:rsid w:val="00160764"/>
    <w:rsid w:val="00160767"/>
    <w:rsid w:val="0016077F"/>
    <w:rsid w:val="0016079F"/>
    <w:rsid w:val="00160823"/>
    <w:rsid w:val="001608C8"/>
    <w:rsid w:val="0016097D"/>
    <w:rsid w:val="0016099A"/>
    <w:rsid w:val="001609E1"/>
    <w:rsid w:val="00160A22"/>
    <w:rsid w:val="00160A2C"/>
    <w:rsid w:val="00160A92"/>
    <w:rsid w:val="00160B76"/>
    <w:rsid w:val="00160BA0"/>
    <w:rsid w:val="00160BBF"/>
    <w:rsid w:val="00160C00"/>
    <w:rsid w:val="00160C16"/>
    <w:rsid w:val="00160CBE"/>
    <w:rsid w:val="00160CE0"/>
    <w:rsid w:val="00160D62"/>
    <w:rsid w:val="00160D76"/>
    <w:rsid w:val="00160D78"/>
    <w:rsid w:val="00160DC0"/>
    <w:rsid w:val="00160E44"/>
    <w:rsid w:val="00160EEB"/>
    <w:rsid w:val="00160EF1"/>
    <w:rsid w:val="00160F0B"/>
    <w:rsid w:val="00160F79"/>
    <w:rsid w:val="00160FC2"/>
    <w:rsid w:val="00160FEA"/>
    <w:rsid w:val="00160FF4"/>
    <w:rsid w:val="00161014"/>
    <w:rsid w:val="00161044"/>
    <w:rsid w:val="00161072"/>
    <w:rsid w:val="001610D7"/>
    <w:rsid w:val="00161129"/>
    <w:rsid w:val="00161160"/>
    <w:rsid w:val="001611AD"/>
    <w:rsid w:val="00161252"/>
    <w:rsid w:val="0016125C"/>
    <w:rsid w:val="00161297"/>
    <w:rsid w:val="001612A8"/>
    <w:rsid w:val="00161325"/>
    <w:rsid w:val="00161359"/>
    <w:rsid w:val="001613C2"/>
    <w:rsid w:val="0016142C"/>
    <w:rsid w:val="0016149C"/>
    <w:rsid w:val="001614CF"/>
    <w:rsid w:val="00161525"/>
    <w:rsid w:val="001615A5"/>
    <w:rsid w:val="00161661"/>
    <w:rsid w:val="001617B0"/>
    <w:rsid w:val="001617C6"/>
    <w:rsid w:val="001618C1"/>
    <w:rsid w:val="001618DE"/>
    <w:rsid w:val="001619B8"/>
    <w:rsid w:val="001619E4"/>
    <w:rsid w:val="00161A05"/>
    <w:rsid w:val="00161A2B"/>
    <w:rsid w:val="00161A45"/>
    <w:rsid w:val="00161A92"/>
    <w:rsid w:val="00161AC8"/>
    <w:rsid w:val="00161B17"/>
    <w:rsid w:val="00161B9E"/>
    <w:rsid w:val="00161BA5"/>
    <w:rsid w:val="00161BD5"/>
    <w:rsid w:val="00161C0F"/>
    <w:rsid w:val="00161C86"/>
    <w:rsid w:val="00161D0E"/>
    <w:rsid w:val="00161D11"/>
    <w:rsid w:val="00161D26"/>
    <w:rsid w:val="00161DC1"/>
    <w:rsid w:val="00161DFC"/>
    <w:rsid w:val="00161E0F"/>
    <w:rsid w:val="00161E62"/>
    <w:rsid w:val="00161E8E"/>
    <w:rsid w:val="00161ECD"/>
    <w:rsid w:val="00161F0E"/>
    <w:rsid w:val="00161F57"/>
    <w:rsid w:val="00161F62"/>
    <w:rsid w:val="0016203E"/>
    <w:rsid w:val="001620EE"/>
    <w:rsid w:val="0016218C"/>
    <w:rsid w:val="001621DD"/>
    <w:rsid w:val="00162245"/>
    <w:rsid w:val="00162287"/>
    <w:rsid w:val="0016229F"/>
    <w:rsid w:val="0016230D"/>
    <w:rsid w:val="0016231A"/>
    <w:rsid w:val="0016236F"/>
    <w:rsid w:val="001623DC"/>
    <w:rsid w:val="001623F6"/>
    <w:rsid w:val="0016242E"/>
    <w:rsid w:val="00162449"/>
    <w:rsid w:val="0016246B"/>
    <w:rsid w:val="00162474"/>
    <w:rsid w:val="00162493"/>
    <w:rsid w:val="001624AE"/>
    <w:rsid w:val="001624B8"/>
    <w:rsid w:val="001624CD"/>
    <w:rsid w:val="00162577"/>
    <w:rsid w:val="00162630"/>
    <w:rsid w:val="00162662"/>
    <w:rsid w:val="00162686"/>
    <w:rsid w:val="001626D5"/>
    <w:rsid w:val="00162711"/>
    <w:rsid w:val="0016275E"/>
    <w:rsid w:val="0016283F"/>
    <w:rsid w:val="001628C5"/>
    <w:rsid w:val="001628CC"/>
    <w:rsid w:val="001628D5"/>
    <w:rsid w:val="001628E2"/>
    <w:rsid w:val="001628FB"/>
    <w:rsid w:val="00162926"/>
    <w:rsid w:val="00162971"/>
    <w:rsid w:val="0016299C"/>
    <w:rsid w:val="00162A21"/>
    <w:rsid w:val="00162AC0"/>
    <w:rsid w:val="00162B51"/>
    <w:rsid w:val="00162B6A"/>
    <w:rsid w:val="00162BDC"/>
    <w:rsid w:val="00162CCD"/>
    <w:rsid w:val="00162D70"/>
    <w:rsid w:val="00162E0C"/>
    <w:rsid w:val="00162E6B"/>
    <w:rsid w:val="00162E87"/>
    <w:rsid w:val="00162E89"/>
    <w:rsid w:val="00162E8A"/>
    <w:rsid w:val="00162EB4"/>
    <w:rsid w:val="00162EFE"/>
    <w:rsid w:val="00162F08"/>
    <w:rsid w:val="00162F1D"/>
    <w:rsid w:val="00162F9D"/>
    <w:rsid w:val="00162FBB"/>
    <w:rsid w:val="00162FCE"/>
    <w:rsid w:val="00162FD7"/>
    <w:rsid w:val="00163045"/>
    <w:rsid w:val="00163088"/>
    <w:rsid w:val="0016312C"/>
    <w:rsid w:val="00163184"/>
    <w:rsid w:val="00163207"/>
    <w:rsid w:val="00163209"/>
    <w:rsid w:val="0016321B"/>
    <w:rsid w:val="00163227"/>
    <w:rsid w:val="00163276"/>
    <w:rsid w:val="001632D5"/>
    <w:rsid w:val="001632FF"/>
    <w:rsid w:val="00163336"/>
    <w:rsid w:val="0016340E"/>
    <w:rsid w:val="0016349F"/>
    <w:rsid w:val="001634A9"/>
    <w:rsid w:val="001634BA"/>
    <w:rsid w:val="00163518"/>
    <w:rsid w:val="0016356F"/>
    <w:rsid w:val="001635D4"/>
    <w:rsid w:val="0016369E"/>
    <w:rsid w:val="001636A9"/>
    <w:rsid w:val="001636B8"/>
    <w:rsid w:val="001636C2"/>
    <w:rsid w:val="001636EC"/>
    <w:rsid w:val="001636FF"/>
    <w:rsid w:val="00163726"/>
    <w:rsid w:val="00163738"/>
    <w:rsid w:val="0016374B"/>
    <w:rsid w:val="00163766"/>
    <w:rsid w:val="0016379F"/>
    <w:rsid w:val="001637C4"/>
    <w:rsid w:val="00163833"/>
    <w:rsid w:val="0016384E"/>
    <w:rsid w:val="00163860"/>
    <w:rsid w:val="00163865"/>
    <w:rsid w:val="0016386D"/>
    <w:rsid w:val="001638D2"/>
    <w:rsid w:val="0016391B"/>
    <w:rsid w:val="001639BF"/>
    <w:rsid w:val="00163A62"/>
    <w:rsid w:val="00163A65"/>
    <w:rsid w:val="00163A6A"/>
    <w:rsid w:val="00163A9A"/>
    <w:rsid w:val="00163B2F"/>
    <w:rsid w:val="00163B4C"/>
    <w:rsid w:val="00163B7F"/>
    <w:rsid w:val="00163B94"/>
    <w:rsid w:val="00163B97"/>
    <w:rsid w:val="00163BB7"/>
    <w:rsid w:val="00163BCB"/>
    <w:rsid w:val="00163C57"/>
    <w:rsid w:val="00163C7D"/>
    <w:rsid w:val="00163C7E"/>
    <w:rsid w:val="00163C96"/>
    <w:rsid w:val="00163D47"/>
    <w:rsid w:val="00163D79"/>
    <w:rsid w:val="00163DDC"/>
    <w:rsid w:val="00163DEB"/>
    <w:rsid w:val="00163E04"/>
    <w:rsid w:val="00163EAE"/>
    <w:rsid w:val="00163EE3"/>
    <w:rsid w:val="00163EFC"/>
    <w:rsid w:val="00163F1B"/>
    <w:rsid w:val="00163F25"/>
    <w:rsid w:val="00163FA0"/>
    <w:rsid w:val="00164006"/>
    <w:rsid w:val="001640A1"/>
    <w:rsid w:val="001640AA"/>
    <w:rsid w:val="001640BE"/>
    <w:rsid w:val="001640DF"/>
    <w:rsid w:val="001640E1"/>
    <w:rsid w:val="00164104"/>
    <w:rsid w:val="00164130"/>
    <w:rsid w:val="00164174"/>
    <w:rsid w:val="0016419F"/>
    <w:rsid w:val="0016427A"/>
    <w:rsid w:val="0016427D"/>
    <w:rsid w:val="0016428B"/>
    <w:rsid w:val="001642AD"/>
    <w:rsid w:val="001642C5"/>
    <w:rsid w:val="001642C6"/>
    <w:rsid w:val="001642FE"/>
    <w:rsid w:val="0016431C"/>
    <w:rsid w:val="0016431E"/>
    <w:rsid w:val="00164338"/>
    <w:rsid w:val="0016435C"/>
    <w:rsid w:val="001643BE"/>
    <w:rsid w:val="00164421"/>
    <w:rsid w:val="001644D6"/>
    <w:rsid w:val="00164541"/>
    <w:rsid w:val="0016454B"/>
    <w:rsid w:val="00164566"/>
    <w:rsid w:val="0016456C"/>
    <w:rsid w:val="00164612"/>
    <w:rsid w:val="00164614"/>
    <w:rsid w:val="0016464B"/>
    <w:rsid w:val="00164655"/>
    <w:rsid w:val="0016466A"/>
    <w:rsid w:val="00164688"/>
    <w:rsid w:val="001646FC"/>
    <w:rsid w:val="00164707"/>
    <w:rsid w:val="00164727"/>
    <w:rsid w:val="00164766"/>
    <w:rsid w:val="0016479F"/>
    <w:rsid w:val="001647AA"/>
    <w:rsid w:val="001647CC"/>
    <w:rsid w:val="001647D8"/>
    <w:rsid w:val="0016485A"/>
    <w:rsid w:val="0016486D"/>
    <w:rsid w:val="001648E1"/>
    <w:rsid w:val="001648F2"/>
    <w:rsid w:val="00164920"/>
    <w:rsid w:val="001649B0"/>
    <w:rsid w:val="001649CD"/>
    <w:rsid w:val="001649D7"/>
    <w:rsid w:val="001649FC"/>
    <w:rsid w:val="00164A1A"/>
    <w:rsid w:val="00164A1E"/>
    <w:rsid w:val="00164A34"/>
    <w:rsid w:val="00164A45"/>
    <w:rsid w:val="00164A87"/>
    <w:rsid w:val="00164A8E"/>
    <w:rsid w:val="00164B5D"/>
    <w:rsid w:val="00164BA6"/>
    <w:rsid w:val="00164BAB"/>
    <w:rsid w:val="00164C56"/>
    <w:rsid w:val="00164C83"/>
    <w:rsid w:val="00164CB1"/>
    <w:rsid w:val="00164CD0"/>
    <w:rsid w:val="00164D03"/>
    <w:rsid w:val="00164D73"/>
    <w:rsid w:val="00164DE1"/>
    <w:rsid w:val="00164E30"/>
    <w:rsid w:val="00164E3D"/>
    <w:rsid w:val="00164E9D"/>
    <w:rsid w:val="00164F36"/>
    <w:rsid w:val="00164FA9"/>
    <w:rsid w:val="00164FB2"/>
    <w:rsid w:val="00164FE5"/>
    <w:rsid w:val="00164FF2"/>
    <w:rsid w:val="00165010"/>
    <w:rsid w:val="00165026"/>
    <w:rsid w:val="00165033"/>
    <w:rsid w:val="0016503C"/>
    <w:rsid w:val="00165064"/>
    <w:rsid w:val="001650EA"/>
    <w:rsid w:val="00165141"/>
    <w:rsid w:val="00165159"/>
    <w:rsid w:val="00165172"/>
    <w:rsid w:val="00165188"/>
    <w:rsid w:val="001651C3"/>
    <w:rsid w:val="001651F5"/>
    <w:rsid w:val="0016520C"/>
    <w:rsid w:val="00165275"/>
    <w:rsid w:val="0016530B"/>
    <w:rsid w:val="00165325"/>
    <w:rsid w:val="0016534B"/>
    <w:rsid w:val="00165371"/>
    <w:rsid w:val="001653D8"/>
    <w:rsid w:val="00165464"/>
    <w:rsid w:val="001654EB"/>
    <w:rsid w:val="00165533"/>
    <w:rsid w:val="0016555A"/>
    <w:rsid w:val="0016558A"/>
    <w:rsid w:val="00165661"/>
    <w:rsid w:val="00165667"/>
    <w:rsid w:val="001656BB"/>
    <w:rsid w:val="00165702"/>
    <w:rsid w:val="00165718"/>
    <w:rsid w:val="0016572E"/>
    <w:rsid w:val="0016575A"/>
    <w:rsid w:val="001657AE"/>
    <w:rsid w:val="001657C0"/>
    <w:rsid w:val="001657CD"/>
    <w:rsid w:val="0016581A"/>
    <w:rsid w:val="0016585E"/>
    <w:rsid w:val="0016587B"/>
    <w:rsid w:val="0016589D"/>
    <w:rsid w:val="0016589F"/>
    <w:rsid w:val="001658DF"/>
    <w:rsid w:val="001658ED"/>
    <w:rsid w:val="00165909"/>
    <w:rsid w:val="00165975"/>
    <w:rsid w:val="0016599F"/>
    <w:rsid w:val="001659A3"/>
    <w:rsid w:val="001659C7"/>
    <w:rsid w:val="00165A60"/>
    <w:rsid w:val="00165B43"/>
    <w:rsid w:val="00165B46"/>
    <w:rsid w:val="00165B5C"/>
    <w:rsid w:val="00165BCB"/>
    <w:rsid w:val="00165BDF"/>
    <w:rsid w:val="00165BF9"/>
    <w:rsid w:val="00165C1D"/>
    <w:rsid w:val="00165C3A"/>
    <w:rsid w:val="00165CAF"/>
    <w:rsid w:val="00165CBF"/>
    <w:rsid w:val="00165CC6"/>
    <w:rsid w:val="00165D8C"/>
    <w:rsid w:val="00165DE5"/>
    <w:rsid w:val="00165EE2"/>
    <w:rsid w:val="00165F3D"/>
    <w:rsid w:val="00165FBA"/>
    <w:rsid w:val="00165FBB"/>
    <w:rsid w:val="00166042"/>
    <w:rsid w:val="00166057"/>
    <w:rsid w:val="0016609C"/>
    <w:rsid w:val="001660EC"/>
    <w:rsid w:val="00166121"/>
    <w:rsid w:val="00166171"/>
    <w:rsid w:val="001661FB"/>
    <w:rsid w:val="00166271"/>
    <w:rsid w:val="0016628D"/>
    <w:rsid w:val="001662BA"/>
    <w:rsid w:val="001662FF"/>
    <w:rsid w:val="00166351"/>
    <w:rsid w:val="00166372"/>
    <w:rsid w:val="00166390"/>
    <w:rsid w:val="001663C8"/>
    <w:rsid w:val="00166461"/>
    <w:rsid w:val="0016649B"/>
    <w:rsid w:val="0016649C"/>
    <w:rsid w:val="001664AB"/>
    <w:rsid w:val="0016652C"/>
    <w:rsid w:val="00166561"/>
    <w:rsid w:val="001665D4"/>
    <w:rsid w:val="001665E7"/>
    <w:rsid w:val="00166674"/>
    <w:rsid w:val="00166690"/>
    <w:rsid w:val="00166701"/>
    <w:rsid w:val="00166741"/>
    <w:rsid w:val="001667D6"/>
    <w:rsid w:val="001667F4"/>
    <w:rsid w:val="00166879"/>
    <w:rsid w:val="0016688B"/>
    <w:rsid w:val="00166983"/>
    <w:rsid w:val="00166A35"/>
    <w:rsid w:val="00166A46"/>
    <w:rsid w:val="00166AAE"/>
    <w:rsid w:val="00166AD2"/>
    <w:rsid w:val="00166AEA"/>
    <w:rsid w:val="00166AFF"/>
    <w:rsid w:val="00166B77"/>
    <w:rsid w:val="00166BF2"/>
    <w:rsid w:val="00166BF8"/>
    <w:rsid w:val="00166C40"/>
    <w:rsid w:val="00166C70"/>
    <w:rsid w:val="00166CAA"/>
    <w:rsid w:val="00166CD5"/>
    <w:rsid w:val="00166D22"/>
    <w:rsid w:val="00166DBC"/>
    <w:rsid w:val="00166E1A"/>
    <w:rsid w:val="00166E5F"/>
    <w:rsid w:val="00166EA8"/>
    <w:rsid w:val="00166ED4"/>
    <w:rsid w:val="00166F10"/>
    <w:rsid w:val="00166F72"/>
    <w:rsid w:val="00166F82"/>
    <w:rsid w:val="0016709A"/>
    <w:rsid w:val="0016713B"/>
    <w:rsid w:val="0016714F"/>
    <w:rsid w:val="00167153"/>
    <w:rsid w:val="00167187"/>
    <w:rsid w:val="00167197"/>
    <w:rsid w:val="0016719E"/>
    <w:rsid w:val="00167253"/>
    <w:rsid w:val="00167354"/>
    <w:rsid w:val="0016739B"/>
    <w:rsid w:val="001673CE"/>
    <w:rsid w:val="0016741C"/>
    <w:rsid w:val="00167458"/>
    <w:rsid w:val="001674F3"/>
    <w:rsid w:val="0016755F"/>
    <w:rsid w:val="00167560"/>
    <w:rsid w:val="0016758B"/>
    <w:rsid w:val="0016759E"/>
    <w:rsid w:val="00167614"/>
    <w:rsid w:val="0016762C"/>
    <w:rsid w:val="0016766A"/>
    <w:rsid w:val="0016767C"/>
    <w:rsid w:val="00167685"/>
    <w:rsid w:val="00167787"/>
    <w:rsid w:val="001677A6"/>
    <w:rsid w:val="001677C7"/>
    <w:rsid w:val="00167809"/>
    <w:rsid w:val="00167855"/>
    <w:rsid w:val="00167927"/>
    <w:rsid w:val="00167962"/>
    <w:rsid w:val="001679D3"/>
    <w:rsid w:val="00167A21"/>
    <w:rsid w:val="00167A65"/>
    <w:rsid w:val="00167A9C"/>
    <w:rsid w:val="00167AE3"/>
    <w:rsid w:val="00167B9F"/>
    <w:rsid w:val="00167BFC"/>
    <w:rsid w:val="00167C27"/>
    <w:rsid w:val="00167C68"/>
    <w:rsid w:val="00167C71"/>
    <w:rsid w:val="00167CE2"/>
    <w:rsid w:val="00167D74"/>
    <w:rsid w:val="00167DE3"/>
    <w:rsid w:val="00167E5C"/>
    <w:rsid w:val="00167EDA"/>
    <w:rsid w:val="00167EE6"/>
    <w:rsid w:val="00167EFA"/>
    <w:rsid w:val="00167EFC"/>
    <w:rsid w:val="00167F1A"/>
    <w:rsid w:val="00167F1C"/>
    <w:rsid w:val="00167F3E"/>
    <w:rsid w:val="00167FC4"/>
    <w:rsid w:val="0017009F"/>
    <w:rsid w:val="001700B2"/>
    <w:rsid w:val="00170164"/>
    <w:rsid w:val="00170178"/>
    <w:rsid w:val="00170179"/>
    <w:rsid w:val="001701AA"/>
    <w:rsid w:val="001701ED"/>
    <w:rsid w:val="00170218"/>
    <w:rsid w:val="0017022A"/>
    <w:rsid w:val="00170241"/>
    <w:rsid w:val="00170249"/>
    <w:rsid w:val="00170260"/>
    <w:rsid w:val="001702C2"/>
    <w:rsid w:val="001702E7"/>
    <w:rsid w:val="0017030C"/>
    <w:rsid w:val="00170358"/>
    <w:rsid w:val="00170370"/>
    <w:rsid w:val="00170416"/>
    <w:rsid w:val="0017046D"/>
    <w:rsid w:val="00170476"/>
    <w:rsid w:val="0017049E"/>
    <w:rsid w:val="001704B2"/>
    <w:rsid w:val="001704E4"/>
    <w:rsid w:val="001704E6"/>
    <w:rsid w:val="0017057D"/>
    <w:rsid w:val="00170658"/>
    <w:rsid w:val="00170659"/>
    <w:rsid w:val="00170713"/>
    <w:rsid w:val="00170714"/>
    <w:rsid w:val="00170770"/>
    <w:rsid w:val="00170787"/>
    <w:rsid w:val="0017079B"/>
    <w:rsid w:val="001707CB"/>
    <w:rsid w:val="001707CC"/>
    <w:rsid w:val="00170809"/>
    <w:rsid w:val="001708BE"/>
    <w:rsid w:val="001708EF"/>
    <w:rsid w:val="0017093A"/>
    <w:rsid w:val="0017094D"/>
    <w:rsid w:val="001709A6"/>
    <w:rsid w:val="001709BD"/>
    <w:rsid w:val="00170A82"/>
    <w:rsid w:val="00170AB8"/>
    <w:rsid w:val="00170AF7"/>
    <w:rsid w:val="00170B97"/>
    <w:rsid w:val="00170B9B"/>
    <w:rsid w:val="00170BC0"/>
    <w:rsid w:val="00170BD9"/>
    <w:rsid w:val="00170C36"/>
    <w:rsid w:val="00170CAF"/>
    <w:rsid w:val="00170D7B"/>
    <w:rsid w:val="00170D9C"/>
    <w:rsid w:val="00170E14"/>
    <w:rsid w:val="00170E43"/>
    <w:rsid w:val="00170E84"/>
    <w:rsid w:val="00170E9E"/>
    <w:rsid w:val="00170ECA"/>
    <w:rsid w:val="00170ECC"/>
    <w:rsid w:val="00170ED0"/>
    <w:rsid w:val="00170EDD"/>
    <w:rsid w:val="00170F17"/>
    <w:rsid w:val="00170F1C"/>
    <w:rsid w:val="00170F4A"/>
    <w:rsid w:val="00170F67"/>
    <w:rsid w:val="00170F88"/>
    <w:rsid w:val="00170FDB"/>
    <w:rsid w:val="00170FEE"/>
    <w:rsid w:val="00171058"/>
    <w:rsid w:val="00171069"/>
    <w:rsid w:val="001710B4"/>
    <w:rsid w:val="001710B8"/>
    <w:rsid w:val="001710E5"/>
    <w:rsid w:val="001710E9"/>
    <w:rsid w:val="0017111C"/>
    <w:rsid w:val="001711E2"/>
    <w:rsid w:val="00171248"/>
    <w:rsid w:val="0017124D"/>
    <w:rsid w:val="00171377"/>
    <w:rsid w:val="0017137C"/>
    <w:rsid w:val="00171382"/>
    <w:rsid w:val="00171392"/>
    <w:rsid w:val="001713B2"/>
    <w:rsid w:val="0017146F"/>
    <w:rsid w:val="001714AF"/>
    <w:rsid w:val="001714C6"/>
    <w:rsid w:val="001714E0"/>
    <w:rsid w:val="001714F3"/>
    <w:rsid w:val="001715DC"/>
    <w:rsid w:val="00171655"/>
    <w:rsid w:val="00171667"/>
    <w:rsid w:val="00171738"/>
    <w:rsid w:val="00171791"/>
    <w:rsid w:val="001717A1"/>
    <w:rsid w:val="001717C0"/>
    <w:rsid w:val="00171819"/>
    <w:rsid w:val="001718DD"/>
    <w:rsid w:val="001718F4"/>
    <w:rsid w:val="001719CB"/>
    <w:rsid w:val="00171A39"/>
    <w:rsid w:val="00171A77"/>
    <w:rsid w:val="00171A9C"/>
    <w:rsid w:val="00171AE0"/>
    <w:rsid w:val="00171B04"/>
    <w:rsid w:val="00171C11"/>
    <w:rsid w:val="00171C56"/>
    <w:rsid w:val="00171C5C"/>
    <w:rsid w:val="00171CEE"/>
    <w:rsid w:val="00171D18"/>
    <w:rsid w:val="00171D3A"/>
    <w:rsid w:val="00171DE6"/>
    <w:rsid w:val="00171E30"/>
    <w:rsid w:val="00171EFF"/>
    <w:rsid w:val="00171F1E"/>
    <w:rsid w:val="00171FAA"/>
    <w:rsid w:val="00171FB1"/>
    <w:rsid w:val="00171FB6"/>
    <w:rsid w:val="0017205A"/>
    <w:rsid w:val="001720CF"/>
    <w:rsid w:val="001720D0"/>
    <w:rsid w:val="001720F0"/>
    <w:rsid w:val="00172138"/>
    <w:rsid w:val="0017214D"/>
    <w:rsid w:val="001721C9"/>
    <w:rsid w:val="00172249"/>
    <w:rsid w:val="001722D3"/>
    <w:rsid w:val="0017236E"/>
    <w:rsid w:val="001723FA"/>
    <w:rsid w:val="00172400"/>
    <w:rsid w:val="00172450"/>
    <w:rsid w:val="00172484"/>
    <w:rsid w:val="0017248D"/>
    <w:rsid w:val="00172491"/>
    <w:rsid w:val="00172497"/>
    <w:rsid w:val="001724DC"/>
    <w:rsid w:val="00172516"/>
    <w:rsid w:val="0017253A"/>
    <w:rsid w:val="0017255E"/>
    <w:rsid w:val="00172586"/>
    <w:rsid w:val="001725AE"/>
    <w:rsid w:val="001725DF"/>
    <w:rsid w:val="0017265C"/>
    <w:rsid w:val="0017274C"/>
    <w:rsid w:val="001727C7"/>
    <w:rsid w:val="001727E4"/>
    <w:rsid w:val="001728A1"/>
    <w:rsid w:val="001728B0"/>
    <w:rsid w:val="00172922"/>
    <w:rsid w:val="00172940"/>
    <w:rsid w:val="00172975"/>
    <w:rsid w:val="001729A9"/>
    <w:rsid w:val="00172A0B"/>
    <w:rsid w:val="00172AE2"/>
    <w:rsid w:val="00172B1F"/>
    <w:rsid w:val="00172BF1"/>
    <w:rsid w:val="00172DC8"/>
    <w:rsid w:val="00172DF9"/>
    <w:rsid w:val="00172E67"/>
    <w:rsid w:val="00172F28"/>
    <w:rsid w:val="00172F44"/>
    <w:rsid w:val="00172FA9"/>
    <w:rsid w:val="00172FFC"/>
    <w:rsid w:val="0017304A"/>
    <w:rsid w:val="0017304D"/>
    <w:rsid w:val="00173061"/>
    <w:rsid w:val="00173148"/>
    <w:rsid w:val="001731A3"/>
    <w:rsid w:val="00173229"/>
    <w:rsid w:val="00173234"/>
    <w:rsid w:val="0017328E"/>
    <w:rsid w:val="00173293"/>
    <w:rsid w:val="001732A7"/>
    <w:rsid w:val="0017330D"/>
    <w:rsid w:val="00173324"/>
    <w:rsid w:val="00173370"/>
    <w:rsid w:val="001733A4"/>
    <w:rsid w:val="001733AC"/>
    <w:rsid w:val="00173416"/>
    <w:rsid w:val="00173418"/>
    <w:rsid w:val="00173430"/>
    <w:rsid w:val="00173431"/>
    <w:rsid w:val="00173443"/>
    <w:rsid w:val="0017347C"/>
    <w:rsid w:val="00173533"/>
    <w:rsid w:val="00173561"/>
    <w:rsid w:val="0017356E"/>
    <w:rsid w:val="001736E2"/>
    <w:rsid w:val="0017373F"/>
    <w:rsid w:val="001737C8"/>
    <w:rsid w:val="00173839"/>
    <w:rsid w:val="00173931"/>
    <w:rsid w:val="001739A7"/>
    <w:rsid w:val="001739BA"/>
    <w:rsid w:val="00173A1E"/>
    <w:rsid w:val="00173A46"/>
    <w:rsid w:val="00173A88"/>
    <w:rsid w:val="00173A9F"/>
    <w:rsid w:val="00173AAA"/>
    <w:rsid w:val="00173AB0"/>
    <w:rsid w:val="00173B1E"/>
    <w:rsid w:val="00173BB8"/>
    <w:rsid w:val="00173C60"/>
    <w:rsid w:val="00173D2B"/>
    <w:rsid w:val="00173DD1"/>
    <w:rsid w:val="00173E44"/>
    <w:rsid w:val="00173E85"/>
    <w:rsid w:val="00173F00"/>
    <w:rsid w:val="00173F1E"/>
    <w:rsid w:val="00174037"/>
    <w:rsid w:val="001740A5"/>
    <w:rsid w:val="001740BE"/>
    <w:rsid w:val="00174106"/>
    <w:rsid w:val="0017416E"/>
    <w:rsid w:val="00174257"/>
    <w:rsid w:val="001742C2"/>
    <w:rsid w:val="001742C6"/>
    <w:rsid w:val="001742EF"/>
    <w:rsid w:val="00174359"/>
    <w:rsid w:val="0017436C"/>
    <w:rsid w:val="0017439F"/>
    <w:rsid w:val="001743F6"/>
    <w:rsid w:val="00174416"/>
    <w:rsid w:val="00174419"/>
    <w:rsid w:val="0017443D"/>
    <w:rsid w:val="00174498"/>
    <w:rsid w:val="001744C1"/>
    <w:rsid w:val="001744C2"/>
    <w:rsid w:val="001744F7"/>
    <w:rsid w:val="001745A8"/>
    <w:rsid w:val="0017463E"/>
    <w:rsid w:val="0017464E"/>
    <w:rsid w:val="0017467C"/>
    <w:rsid w:val="0017470B"/>
    <w:rsid w:val="0017471F"/>
    <w:rsid w:val="0017474C"/>
    <w:rsid w:val="00174763"/>
    <w:rsid w:val="0017480A"/>
    <w:rsid w:val="00174837"/>
    <w:rsid w:val="00174883"/>
    <w:rsid w:val="0017493E"/>
    <w:rsid w:val="00174972"/>
    <w:rsid w:val="00174A2E"/>
    <w:rsid w:val="00174A82"/>
    <w:rsid w:val="00174A9C"/>
    <w:rsid w:val="00174AA8"/>
    <w:rsid w:val="00174ACC"/>
    <w:rsid w:val="00174B0D"/>
    <w:rsid w:val="00174B6D"/>
    <w:rsid w:val="00174B73"/>
    <w:rsid w:val="00174B91"/>
    <w:rsid w:val="00174BBF"/>
    <w:rsid w:val="00174BE7"/>
    <w:rsid w:val="00174BF1"/>
    <w:rsid w:val="00174C5E"/>
    <w:rsid w:val="00174C8E"/>
    <w:rsid w:val="00174CFC"/>
    <w:rsid w:val="00174D3F"/>
    <w:rsid w:val="00174D41"/>
    <w:rsid w:val="00174D7D"/>
    <w:rsid w:val="00174DD8"/>
    <w:rsid w:val="00174E16"/>
    <w:rsid w:val="00174E65"/>
    <w:rsid w:val="00174E82"/>
    <w:rsid w:val="00174E9B"/>
    <w:rsid w:val="00174F5A"/>
    <w:rsid w:val="00174F76"/>
    <w:rsid w:val="00174F7F"/>
    <w:rsid w:val="00174F81"/>
    <w:rsid w:val="00174FA7"/>
    <w:rsid w:val="00174FC8"/>
    <w:rsid w:val="00175076"/>
    <w:rsid w:val="001750B6"/>
    <w:rsid w:val="001750C0"/>
    <w:rsid w:val="001750C1"/>
    <w:rsid w:val="00175133"/>
    <w:rsid w:val="001751D0"/>
    <w:rsid w:val="00175207"/>
    <w:rsid w:val="00175239"/>
    <w:rsid w:val="00175249"/>
    <w:rsid w:val="001752D6"/>
    <w:rsid w:val="001752F1"/>
    <w:rsid w:val="0017532B"/>
    <w:rsid w:val="00175336"/>
    <w:rsid w:val="00175359"/>
    <w:rsid w:val="00175425"/>
    <w:rsid w:val="00175447"/>
    <w:rsid w:val="00175477"/>
    <w:rsid w:val="00175497"/>
    <w:rsid w:val="001754DD"/>
    <w:rsid w:val="00175573"/>
    <w:rsid w:val="00175593"/>
    <w:rsid w:val="001755CC"/>
    <w:rsid w:val="00175662"/>
    <w:rsid w:val="001756EE"/>
    <w:rsid w:val="00175752"/>
    <w:rsid w:val="00175768"/>
    <w:rsid w:val="0017576D"/>
    <w:rsid w:val="00175789"/>
    <w:rsid w:val="001757BE"/>
    <w:rsid w:val="0017587F"/>
    <w:rsid w:val="001758B6"/>
    <w:rsid w:val="001758DE"/>
    <w:rsid w:val="001758E7"/>
    <w:rsid w:val="00175926"/>
    <w:rsid w:val="00175943"/>
    <w:rsid w:val="0017595A"/>
    <w:rsid w:val="00175973"/>
    <w:rsid w:val="001759C1"/>
    <w:rsid w:val="001759D8"/>
    <w:rsid w:val="00175AD7"/>
    <w:rsid w:val="00175B19"/>
    <w:rsid w:val="00175B60"/>
    <w:rsid w:val="00175B82"/>
    <w:rsid w:val="00175B90"/>
    <w:rsid w:val="00175B9C"/>
    <w:rsid w:val="00175CC7"/>
    <w:rsid w:val="00175CC8"/>
    <w:rsid w:val="00175CDE"/>
    <w:rsid w:val="00175CF0"/>
    <w:rsid w:val="00175D0C"/>
    <w:rsid w:val="00175DA5"/>
    <w:rsid w:val="00175DFE"/>
    <w:rsid w:val="00175E3C"/>
    <w:rsid w:val="00175E6D"/>
    <w:rsid w:val="00175E83"/>
    <w:rsid w:val="00175F18"/>
    <w:rsid w:val="00175F3C"/>
    <w:rsid w:val="00176023"/>
    <w:rsid w:val="001760F8"/>
    <w:rsid w:val="00176116"/>
    <w:rsid w:val="00176134"/>
    <w:rsid w:val="0017613C"/>
    <w:rsid w:val="0017615C"/>
    <w:rsid w:val="0017616E"/>
    <w:rsid w:val="00176179"/>
    <w:rsid w:val="0017617A"/>
    <w:rsid w:val="001761C0"/>
    <w:rsid w:val="00176233"/>
    <w:rsid w:val="00176237"/>
    <w:rsid w:val="0017624B"/>
    <w:rsid w:val="00176252"/>
    <w:rsid w:val="00176268"/>
    <w:rsid w:val="00176341"/>
    <w:rsid w:val="00176356"/>
    <w:rsid w:val="001763C5"/>
    <w:rsid w:val="00176412"/>
    <w:rsid w:val="00176456"/>
    <w:rsid w:val="0017653C"/>
    <w:rsid w:val="00176563"/>
    <w:rsid w:val="001765B9"/>
    <w:rsid w:val="0017662F"/>
    <w:rsid w:val="00176692"/>
    <w:rsid w:val="001766C7"/>
    <w:rsid w:val="00176711"/>
    <w:rsid w:val="0017673A"/>
    <w:rsid w:val="001767D4"/>
    <w:rsid w:val="00176926"/>
    <w:rsid w:val="001769FF"/>
    <w:rsid w:val="00176A6B"/>
    <w:rsid w:val="00176A8D"/>
    <w:rsid w:val="00176AB5"/>
    <w:rsid w:val="00176B05"/>
    <w:rsid w:val="00176B41"/>
    <w:rsid w:val="00176B46"/>
    <w:rsid w:val="00176B56"/>
    <w:rsid w:val="00176BA7"/>
    <w:rsid w:val="00176C0F"/>
    <w:rsid w:val="00176C1A"/>
    <w:rsid w:val="00176C49"/>
    <w:rsid w:val="00176CC7"/>
    <w:rsid w:val="00176CD1"/>
    <w:rsid w:val="00176DC5"/>
    <w:rsid w:val="00176E7E"/>
    <w:rsid w:val="00176F80"/>
    <w:rsid w:val="00176FC8"/>
    <w:rsid w:val="00176FFD"/>
    <w:rsid w:val="00177095"/>
    <w:rsid w:val="0017714B"/>
    <w:rsid w:val="001771A6"/>
    <w:rsid w:val="001771D4"/>
    <w:rsid w:val="001772CB"/>
    <w:rsid w:val="001772CD"/>
    <w:rsid w:val="001772F1"/>
    <w:rsid w:val="001772FA"/>
    <w:rsid w:val="00177313"/>
    <w:rsid w:val="0017735F"/>
    <w:rsid w:val="001773DB"/>
    <w:rsid w:val="0017741A"/>
    <w:rsid w:val="00177456"/>
    <w:rsid w:val="0017747E"/>
    <w:rsid w:val="001774B4"/>
    <w:rsid w:val="00177500"/>
    <w:rsid w:val="0017750E"/>
    <w:rsid w:val="00177528"/>
    <w:rsid w:val="0017755B"/>
    <w:rsid w:val="00177604"/>
    <w:rsid w:val="0017761D"/>
    <w:rsid w:val="00177664"/>
    <w:rsid w:val="001776B6"/>
    <w:rsid w:val="0017773B"/>
    <w:rsid w:val="00177744"/>
    <w:rsid w:val="0017780D"/>
    <w:rsid w:val="00177810"/>
    <w:rsid w:val="00177840"/>
    <w:rsid w:val="00177885"/>
    <w:rsid w:val="00177897"/>
    <w:rsid w:val="001778A1"/>
    <w:rsid w:val="001778CD"/>
    <w:rsid w:val="001778ED"/>
    <w:rsid w:val="0017795D"/>
    <w:rsid w:val="0017797A"/>
    <w:rsid w:val="001779B9"/>
    <w:rsid w:val="00177A51"/>
    <w:rsid w:val="00177AA5"/>
    <w:rsid w:val="00177AE1"/>
    <w:rsid w:val="00177AE9"/>
    <w:rsid w:val="00177B21"/>
    <w:rsid w:val="00177B88"/>
    <w:rsid w:val="00177BFC"/>
    <w:rsid w:val="00177C1F"/>
    <w:rsid w:val="00177C4B"/>
    <w:rsid w:val="00177C66"/>
    <w:rsid w:val="00177CDE"/>
    <w:rsid w:val="00177D04"/>
    <w:rsid w:val="00177D25"/>
    <w:rsid w:val="00177D63"/>
    <w:rsid w:val="00177D65"/>
    <w:rsid w:val="00177DD8"/>
    <w:rsid w:val="00177E8F"/>
    <w:rsid w:val="00177EC4"/>
    <w:rsid w:val="00177EDA"/>
    <w:rsid w:val="00177F3B"/>
    <w:rsid w:val="00177F6C"/>
    <w:rsid w:val="00177F77"/>
    <w:rsid w:val="00177FA7"/>
    <w:rsid w:val="0018001B"/>
    <w:rsid w:val="0018006F"/>
    <w:rsid w:val="0018008A"/>
    <w:rsid w:val="0018009E"/>
    <w:rsid w:val="001800A8"/>
    <w:rsid w:val="001800F3"/>
    <w:rsid w:val="001801F5"/>
    <w:rsid w:val="00180209"/>
    <w:rsid w:val="001802B7"/>
    <w:rsid w:val="00180314"/>
    <w:rsid w:val="00180318"/>
    <w:rsid w:val="00180372"/>
    <w:rsid w:val="0018038F"/>
    <w:rsid w:val="001803B8"/>
    <w:rsid w:val="001803E2"/>
    <w:rsid w:val="0018040C"/>
    <w:rsid w:val="00180411"/>
    <w:rsid w:val="001804A8"/>
    <w:rsid w:val="00180508"/>
    <w:rsid w:val="00180568"/>
    <w:rsid w:val="001805F0"/>
    <w:rsid w:val="0018066A"/>
    <w:rsid w:val="0018066D"/>
    <w:rsid w:val="0018067E"/>
    <w:rsid w:val="0018068D"/>
    <w:rsid w:val="001806DA"/>
    <w:rsid w:val="0018072E"/>
    <w:rsid w:val="001807A3"/>
    <w:rsid w:val="001807C3"/>
    <w:rsid w:val="00180829"/>
    <w:rsid w:val="00180842"/>
    <w:rsid w:val="00180853"/>
    <w:rsid w:val="001808AF"/>
    <w:rsid w:val="001808C1"/>
    <w:rsid w:val="001808F2"/>
    <w:rsid w:val="00180902"/>
    <w:rsid w:val="0018091E"/>
    <w:rsid w:val="001809CA"/>
    <w:rsid w:val="00180A4B"/>
    <w:rsid w:val="00180A51"/>
    <w:rsid w:val="00180AB9"/>
    <w:rsid w:val="00180B1C"/>
    <w:rsid w:val="00180B5A"/>
    <w:rsid w:val="00180B77"/>
    <w:rsid w:val="00180C18"/>
    <w:rsid w:val="00180C69"/>
    <w:rsid w:val="00180C9F"/>
    <w:rsid w:val="00180CA1"/>
    <w:rsid w:val="00180CBA"/>
    <w:rsid w:val="00180CEF"/>
    <w:rsid w:val="00180D10"/>
    <w:rsid w:val="00180D17"/>
    <w:rsid w:val="00180E0B"/>
    <w:rsid w:val="00180E29"/>
    <w:rsid w:val="00180E61"/>
    <w:rsid w:val="00180EB8"/>
    <w:rsid w:val="00180ED9"/>
    <w:rsid w:val="00180F75"/>
    <w:rsid w:val="00180FA2"/>
    <w:rsid w:val="00180FAA"/>
    <w:rsid w:val="00180FD6"/>
    <w:rsid w:val="00181004"/>
    <w:rsid w:val="00181042"/>
    <w:rsid w:val="00181086"/>
    <w:rsid w:val="001810DF"/>
    <w:rsid w:val="001810F9"/>
    <w:rsid w:val="00181101"/>
    <w:rsid w:val="00181179"/>
    <w:rsid w:val="00181191"/>
    <w:rsid w:val="0018121B"/>
    <w:rsid w:val="00181257"/>
    <w:rsid w:val="00181262"/>
    <w:rsid w:val="00181277"/>
    <w:rsid w:val="001812B8"/>
    <w:rsid w:val="001812E5"/>
    <w:rsid w:val="001812E7"/>
    <w:rsid w:val="001812EB"/>
    <w:rsid w:val="001813E6"/>
    <w:rsid w:val="0018143A"/>
    <w:rsid w:val="001814A2"/>
    <w:rsid w:val="00181582"/>
    <w:rsid w:val="001815F1"/>
    <w:rsid w:val="00181674"/>
    <w:rsid w:val="00181721"/>
    <w:rsid w:val="0018173E"/>
    <w:rsid w:val="00181758"/>
    <w:rsid w:val="001817A1"/>
    <w:rsid w:val="001817AC"/>
    <w:rsid w:val="001817E4"/>
    <w:rsid w:val="00181828"/>
    <w:rsid w:val="00181864"/>
    <w:rsid w:val="00181927"/>
    <w:rsid w:val="00181983"/>
    <w:rsid w:val="00181A0E"/>
    <w:rsid w:val="00181A4D"/>
    <w:rsid w:val="00181A8E"/>
    <w:rsid w:val="00181AC2"/>
    <w:rsid w:val="00181ACB"/>
    <w:rsid w:val="00181ACF"/>
    <w:rsid w:val="00181ADF"/>
    <w:rsid w:val="00181B0F"/>
    <w:rsid w:val="00181B72"/>
    <w:rsid w:val="00181BA3"/>
    <w:rsid w:val="00181BE3"/>
    <w:rsid w:val="00181C04"/>
    <w:rsid w:val="00181C05"/>
    <w:rsid w:val="00181C78"/>
    <w:rsid w:val="00181D29"/>
    <w:rsid w:val="00181D39"/>
    <w:rsid w:val="00181D3B"/>
    <w:rsid w:val="00181D84"/>
    <w:rsid w:val="00181D8A"/>
    <w:rsid w:val="00181D93"/>
    <w:rsid w:val="00181DA4"/>
    <w:rsid w:val="00181DAC"/>
    <w:rsid w:val="00181DBC"/>
    <w:rsid w:val="00181DD2"/>
    <w:rsid w:val="00181DD9"/>
    <w:rsid w:val="00181DDA"/>
    <w:rsid w:val="00181DEE"/>
    <w:rsid w:val="00181E22"/>
    <w:rsid w:val="00181E96"/>
    <w:rsid w:val="00181E9D"/>
    <w:rsid w:val="00181ECA"/>
    <w:rsid w:val="00181F7D"/>
    <w:rsid w:val="00181F97"/>
    <w:rsid w:val="00181FB1"/>
    <w:rsid w:val="00182064"/>
    <w:rsid w:val="001820D1"/>
    <w:rsid w:val="0018210E"/>
    <w:rsid w:val="00182166"/>
    <w:rsid w:val="001821BC"/>
    <w:rsid w:val="00182290"/>
    <w:rsid w:val="001822B7"/>
    <w:rsid w:val="001822FF"/>
    <w:rsid w:val="0018236E"/>
    <w:rsid w:val="00182463"/>
    <w:rsid w:val="00182482"/>
    <w:rsid w:val="001824AC"/>
    <w:rsid w:val="001824EE"/>
    <w:rsid w:val="001825EF"/>
    <w:rsid w:val="0018263A"/>
    <w:rsid w:val="0018263B"/>
    <w:rsid w:val="001826D3"/>
    <w:rsid w:val="001826D6"/>
    <w:rsid w:val="00182715"/>
    <w:rsid w:val="001827A8"/>
    <w:rsid w:val="001827B6"/>
    <w:rsid w:val="00182850"/>
    <w:rsid w:val="001828D6"/>
    <w:rsid w:val="001828FF"/>
    <w:rsid w:val="00182933"/>
    <w:rsid w:val="00182A34"/>
    <w:rsid w:val="00182AA8"/>
    <w:rsid w:val="00182B74"/>
    <w:rsid w:val="00182B8C"/>
    <w:rsid w:val="00182BD9"/>
    <w:rsid w:val="00182D27"/>
    <w:rsid w:val="00182D50"/>
    <w:rsid w:val="00182D7C"/>
    <w:rsid w:val="00182D99"/>
    <w:rsid w:val="00182DDC"/>
    <w:rsid w:val="00182E04"/>
    <w:rsid w:val="00182E38"/>
    <w:rsid w:val="00182F0B"/>
    <w:rsid w:val="00182F23"/>
    <w:rsid w:val="00182F2E"/>
    <w:rsid w:val="00182F93"/>
    <w:rsid w:val="00182FAC"/>
    <w:rsid w:val="00182FB4"/>
    <w:rsid w:val="00182FCE"/>
    <w:rsid w:val="00182FD3"/>
    <w:rsid w:val="00182FE8"/>
    <w:rsid w:val="0018302C"/>
    <w:rsid w:val="00183044"/>
    <w:rsid w:val="00183062"/>
    <w:rsid w:val="00183077"/>
    <w:rsid w:val="0018310F"/>
    <w:rsid w:val="00183187"/>
    <w:rsid w:val="00183197"/>
    <w:rsid w:val="001831A5"/>
    <w:rsid w:val="001831AE"/>
    <w:rsid w:val="001831ED"/>
    <w:rsid w:val="001831F5"/>
    <w:rsid w:val="0018321E"/>
    <w:rsid w:val="00183376"/>
    <w:rsid w:val="001833BC"/>
    <w:rsid w:val="001833F0"/>
    <w:rsid w:val="001833FC"/>
    <w:rsid w:val="0018343E"/>
    <w:rsid w:val="001834A1"/>
    <w:rsid w:val="00183532"/>
    <w:rsid w:val="00183536"/>
    <w:rsid w:val="00183594"/>
    <w:rsid w:val="0018359C"/>
    <w:rsid w:val="001835EB"/>
    <w:rsid w:val="001835ED"/>
    <w:rsid w:val="00183607"/>
    <w:rsid w:val="00183663"/>
    <w:rsid w:val="0018366B"/>
    <w:rsid w:val="001836A4"/>
    <w:rsid w:val="001836A6"/>
    <w:rsid w:val="001836AA"/>
    <w:rsid w:val="001836BD"/>
    <w:rsid w:val="001836DA"/>
    <w:rsid w:val="00183789"/>
    <w:rsid w:val="0018378A"/>
    <w:rsid w:val="00183793"/>
    <w:rsid w:val="001837B2"/>
    <w:rsid w:val="001837E8"/>
    <w:rsid w:val="001837E9"/>
    <w:rsid w:val="001837F8"/>
    <w:rsid w:val="001837FF"/>
    <w:rsid w:val="0018380D"/>
    <w:rsid w:val="00183904"/>
    <w:rsid w:val="00183955"/>
    <w:rsid w:val="00183A0C"/>
    <w:rsid w:val="00183A6B"/>
    <w:rsid w:val="00183A95"/>
    <w:rsid w:val="00183ACE"/>
    <w:rsid w:val="00183AF5"/>
    <w:rsid w:val="00183AF8"/>
    <w:rsid w:val="00183AFD"/>
    <w:rsid w:val="00183B02"/>
    <w:rsid w:val="00183BE4"/>
    <w:rsid w:val="00183C40"/>
    <w:rsid w:val="00183CDE"/>
    <w:rsid w:val="00183D37"/>
    <w:rsid w:val="00183D46"/>
    <w:rsid w:val="00183D6E"/>
    <w:rsid w:val="00183E7F"/>
    <w:rsid w:val="00183F74"/>
    <w:rsid w:val="00183F76"/>
    <w:rsid w:val="00183F92"/>
    <w:rsid w:val="00183F93"/>
    <w:rsid w:val="0018400C"/>
    <w:rsid w:val="00184035"/>
    <w:rsid w:val="001840C1"/>
    <w:rsid w:val="00184120"/>
    <w:rsid w:val="001841C1"/>
    <w:rsid w:val="001841EA"/>
    <w:rsid w:val="001841EF"/>
    <w:rsid w:val="00184227"/>
    <w:rsid w:val="00184253"/>
    <w:rsid w:val="001842B9"/>
    <w:rsid w:val="001842C1"/>
    <w:rsid w:val="001842DA"/>
    <w:rsid w:val="00184302"/>
    <w:rsid w:val="00184347"/>
    <w:rsid w:val="00184359"/>
    <w:rsid w:val="00184369"/>
    <w:rsid w:val="001843A4"/>
    <w:rsid w:val="001843B0"/>
    <w:rsid w:val="00184484"/>
    <w:rsid w:val="001844C1"/>
    <w:rsid w:val="001844D2"/>
    <w:rsid w:val="0018452B"/>
    <w:rsid w:val="0018452E"/>
    <w:rsid w:val="00184638"/>
    <w:rsid w:val="0018464B"/>
    <w:rsid w:val="0018464E"/>
    <w:rsid w:val="00184659"/>
    <w:rsid w:val="001846F7"/>
    <w:rsid w:val="0018472A"/>
    <w:rsid w:val="0018472D"/>
    <w:rsid w:val="0018474A"/>
    <w:rsid w:val="0018481A"/>
    <w:rsid w:val="0018481E"/>
    <w:rsid w:val="00184866"/>
    <w:rsid w:val="001848D6"/>
    <w:rsid w:val="001848E9"/>
    <w:rsid w:val="00184903"/>
    <w:rsid w:val="00184913"/>
    <w:rsid w:val="0018492D"/>
    <w:rsid w:val="0018497F"/>
    <w:rsid w:val="00184986"/>
    <w:rsid w:val="001849A3"/>
    <w:rsid w:val="00184AA8"/>
    <w:rsid w:val="00184AA9"/>
    <w:rsid w:val="00184AB9"/>
    <w:rsid w:val="00184BD1"/>
    <w:rsid w:val="00184C8A"/>
    <w:rsid w:val="00184CB1"/>
    <w:rsid w:val="00184D01"/>
    <w:rsid w:val="00184D29"/>
    <w:rsid w:val="00184D9A"/>
    <w:rsid w:val="00184DB4"/>
    <w:rsid w:val="00184E0A"/>
    <w:rsid w:val="00184E9A"/>
    <w:rsid w:val="00184F4B"/>
    <w:rsid w:val="00184F80"/>
    <w:rsid w:val="00184F81"/>
    <w:rsid w:val="00184FC3"/>
    <w:rsid w:val="00184FF0"/>
    <w:rsid w:val="00185039"/>
    <w:rsid w:val="001850BD"/>
    <w:rsid w:val="001850F0"/>
    <w:rsid w:val="00185100"/>
    <w:rsid w:val="001851D8"/>
    <w:rsid w:val="00185284"/>
    <w:rsid w:val="001852B1"/>
    <w:rsid w:val="001852FF"/>
    <w:rsid w:val="00185334"/>
    <w:rsid w:val="00185341"/>
    <w:rsid w:val="0018534A"/>
    <w:rsid w:val="0018536B"/>
    <w:rsid w:val="001853A8"/>
    <w:rsid w:val="001853AE"/>
    <w:rsid w:val="001853D6"/>
    <w:rsid w:val="00185411"/>
    <w:rsid w:val="0018556F"/>
    <w:rsid w:val="00185587"/>
    <w:rsid w:val="001855A0"/>
    <w:rsid w:val="0018560D"/>
    <w:rsid w:val="0018563A"/>
    <w:rsid w:val="0018565D"/>
    <w:rsid w:val="00185664"/>
    <w:rsid w:val="00185675"/>
    <w:rsid w:val="00185696"/>
    <w:rsid w:val="001856E1"/>
    <w:rsid w:val="00185704"/>
    <w:rsid w:val="00185789"/>
    <w:rsid w:val="00185790"/>
    <w:rsid w:val="001857E7"/>
    <w:rsid w:val="001857FE"/>
    <w:rsid w:val="00185826"/>
    <w:rsid w:val="00185835"/>
    <w:rsid w:val="001858A0"/>
    <w:rsid w:val="001858BD"/>
    <w:rsid w:val="001858C3"/>
    <w:rsid w:val="001858CE"/>
    <w:rsid w:val="00185981"/>
    <w:rsid w:val="00185991"/>
    <w:rsid w:val="00185A0B"/>
    <w:rsid w:val="00185A34"/>
    <w:rsid w:val="00185AE9"/>
    <w:rsid w:val="00185B04"/>
    <w:rsid w:val="00185B47"/>
    <w:rsid w:val="00185B65"/>
    <w:rsid w:val="00185B90"/>
    <w:rsid w:val="00185BE6"/>
    <w:rsid w:val="00185BE8"/>
    <w:rsid w:val="00185C55"/>
    <w:rsid w:val="00185CAD"/>
    <w:rsid w:val="00185CF4"/>
    <w:rsid w:val="00185CFE"/>
    <w:rsid w:val="00185D22"/>
    <w:rsid w:val="00185D4E"/>
    <w:rsid w:val="00185E07"/>
    <w:rsid w:val="00185E48"/>
    <w:rsid w:val="00185E52"/>
    <w:rsid w:val="00185E8A"/>
    <w:rsid w:val="00185E8C"/>
    <w:rsid w:val="00185ED2"/>
    <w:rsid w:val="00185EF7"/>
    <w:rsid w:val="00185F1D"/>
    <w:rsid w:val="00185F7F"/>
    <w:rsid w:val="00185FAF"/>
    <w:rsid w:val="00185FF6"/>
    <w:rsid w:val="00186018"/>
    <w:rsid w:val="00186080"/>
    <w:rsid w:val="001860A7"/>
    <w:rsid w:val="001860FC"/>
    <w:rsid w:val="001860FD"/>
    <w:rsid w:val="0018611B"/>
    <w:rsid w:val="0018612C"/>
    <w:rsid w:val="00186146"/>
    <w:rsid w:val="001861D7"/>
    <w:rsid w:val="001861E5"/>
    <w:rsid w:val="001863BE"/>
    <w:rsid w:val="001863C3"/>
    <w:rsid w:val="001863EC"/>
    <w:rsid w:val="00186418"/>
    <w:rsid w:val="00186500"/>
    <w:rsid w:val="00186509"/>
    <w:rsid w:val="00186512"/>
    <w:rsid w:val="0018654A"/>
    <w:rsid w:val="00186564"/>
    <w:rsid w:val="001865CB"/>
    <w:rsid w:val="001865FC"/>
    <w:rsid w:val="0018664B"/>
    <w:rsid w:val="00186673"/>
    <w:rsid w:val="001866C8"/>
    <w:rsid w:val="001866D5"/>
    <w:rsid w:val="0018672D"/>
    <w:rsid w:val="00186784"/>
    <w:rsid w:val="00186795"/>
    <w:rsid w:val="001867CB"/>
    <w:rsid w:val="0018680F"/>
    <w:rsid w:val="0018689D"/>
    <w:rsid w:val="001868AE"/>
    <w:rsid w:val="001868B1"/>
    <w:rsid w:val="001868E6"/>
    <w:rsid w:val="00186901"/>
    <w:rsid w:val="00186957"/>
    <w:rsid w:val="001869EF"/>
    <w:rsid w:val="00186AAF"/>
    <w:rsid w:val="00186AED"/>
    <w:rsid w:val="00186B11"/>
    <w:rsid w:val="00186B5C"/>
    <w:rsid w:val="00186B5F"/>
    <w:rsid w:val="00186BAF"/>
    <w:rsid w:val="00186BB8"/>
    <w:rsid w:val="00186BFF"/>
    <w:rsid w:val="00186C51"/>
    <w:rsid w:val="00186CDD"/>
    <w:rsid w:val="00186CE6"/>
    <w:rsid w:val="00186D0C"/>
    <w:rsid w:val="00186DA8"/>
    <w:rsid w:val="00186E31"/>
    <w:rsid w:val="00186E5E"/>
    <w:rsid w:val="00186E62"/>
    <w:rsid w:val="00186E91"/>
    <w:rsid w:val="00186EAA"/>
    <w:rsid w:val="00186EBF"/>
    <w:rsid w:val="00186F34"/>
    <w:rsid w:val="00186F43"/>
    <w:rsid w:val="00186FBE"/>
    <w:rsid w:val="00186FD2"/>
    <w:rsid w:val="0018707C"/>
    <w:rsid w:val="001870A0"/>
    <w:rsid w:val="001870D2"/>
    <w:rsid w:val="001870EE"/>
    <w:rsid w:val="001870FB"/>
    <w:rsid w:val="0018713E"/>
    <w:rsid w:val="00187151"/>
    <w:rsid w:val="00187156"/>
    <w:rsid w:val="00187174"/>
    <w:rsid w:val="00187181"/>
    <w:rsid w:val="001871C3"/>
    <w:rsid w:val="001871FA"/>
    <w:rsid w:val="00187307"/>
    <w:rsid w:val="0018732E"/>
    <w:rsid w:val="00187358"/>
    <w:rsid w:val="00187367"/>
    <w:rsid w:val="0018738B"/>
    <w:rsid w:val="001873C7"/>
    <w:rsid w:val="0018741F"/>
    <w:rsid w:val="00187452"/>
    <w:rsid w:val="001874A6"/>
    <w:rsid w:val="001874A9"/>
    <w:rsid w:val="001874F1"/>
    <w:rsid w:val="00187576"/>
    <w:rsid w:val="0018757C"/>
    <w:rsid w:val="00187676"/>
    <w:rsid w:val="00187697"/>
    <w:rsid w:val="001876C1"/>
    <w:rsid w:val="001876F8"/>
    <w:rsid w:val="00187724"/>
    <w:rsid w:val="00187755"/>
    <w:rsid w:val="00187762"/>
    <w:rsid w:val="00187764"/>
    <w:rsid w:val="001877F3"/>
    <w:rsid w:val="0018781E"/>
    <w:rsid w:val="00187897"/>
    <w:rsid w:val="001878DF"/>
    <w:rsid w:val="001878EA"/>
    <w:rsid w:val="0018795F"/>
    <w:rsid w:val="001879EC"/>
    <w:rsid w:val="00187A0B"/>
    <w:rsid w:val="00187A0D"/>
    <w:rsid w:val="00187A53"/>
    <w:rsid w:val="00187B39"/>
    <w:rsid w:val="00187B84"/>
    <w:rsid w:val="00187BAD"/>
    <w:rsid w:val="00187BD2"/>
    <w:rsid w:val="00187C23"/>
    <w:rsid w:val="00187C32"/>
    <w:rsid w:val="00187C42"/>
    <w:rsid w:val="00187C9B"/>
    <w:rsid w:val="00187D13"/>
    <w:rsid w:val="00187D62"/>
    <w:rsid w:val="00187D94"/>
    <w:rsid w:val="00187DA9"/>
    <w:rsid w:val="00187DC6"/>
    <w:rsid w:val="00187E21"/>
    <w:rsid w:val="00187E7C"/>
    <w:rsid w:val="00187EBD"/>
    <w:rsid w:val="00187F02"/>
    <w:rsid w:val="00187FD5"/>
    <w:rsid w:val="0019009C"/>
    <w:rsid w:val="001900FC"/>
    <w:rsid w:val="00190126"/>
    <w:rsid w:val="0019014F"/>
    <w:rsid w:val="0019015D"/>
    <w:rsid w:val="00190160"/>
    <w:rsid w:val="00190190"/>
    <w:rsid w:val="001901D8"/>
    <w:rsid w:val="00190202"/>
    <w:rsid w:val="00190239"/>
    <w:rsid w:val="00190245"/>
    <w:rsid w:val="001902B5"/>
    <w:rsid w:val="001902CD"/>
    <w:rsid w:val="001902EE"/>
    <w:rsid w:val="001902F1"/>
    <w:rsid w:val="001903CC"/>
    <w:rsid w:val="00190467"/>
    <w:rsid w:val="00190556"/>
    <w:rsid w:val="00190573"/>
    <w:rsid w:val="00190585"/>
    <w:rsid w:val="001905A1"/>
    <w:rsid w:val="00190626"/>
    <w:rsid w:val="00190635"/>
    <w:rsid w:val="00190674"/>
    <w:rsid w:val="00190697"/>
    <w:rsid w:val="001906E3"/>
    <w:rsid w:val="00190751"/>
    <w:rsid w:val="001907B8"/>
    <w:rsid w:val="001907DF"/>
    <w:rsid w:val="001907F5"/>
    <w:rsid w:val="001908CD"/>
    <w:rsid w:val="0019094A"/>
    <w:rsid w:val="0019096A"/>
    <w:rsid w:val="0019098E"/>
    <w:rsid w:val="001909D3"/>
    <w:rsid w:val="00190A59"/>
    <w:rsid w:val="00190AC1"/>
    <w:rsid w:val="00190ADF"/>
    <w:rsid w:val="00190AE2"/>
    <w:rsid w:val="00190AE6"/>
    <w:rsid w:val="00190B33"/>
    <w:rsid w:val="00190B9E"/>
    <w:rsid w:val="00190BEE"/>
    <w:rsid w:val="00190C0C"/>
    <w:rsid w:val="00190C53"/>
    <w:rsid w:val="00190C8F"/>
    <w:rsid w:val="00190CF5"/>
    <w:rsid w:val="00190CF9"/>
    <w:rsid w:val="00190D78"/>
    <w:rsid w:val="00190E73"/>
    <w:rsid w:val="00190E80"/>
    <w:rsid w:val="00190EB4"/>
    <w:rsid w:val="00190F97"/>
    <w:rsid w:val="00191018"/>
    <w:rsid w:val="00191035"/>
    <w:rsid w:val="00191038"/>
    <w:rsid w:val="00191069"/>
    <w:rsid w:val="001910DE"/>
    <w:rsid w:val="00191137"/>
    <w:rsid w:val="0019114E"/>
    <w:rsid w:val="00191163"/>
    <w:rsid w:val="001911BD"/>
    <w:rsid w:val="0019127F"/>
    <w:rsid w:val="00191299"/>
    <w:rsid w:val="0019129D"/>
    <w:rsid w:val="001912A0"/>
    <w:rsid w:val="00191390"/>
    <w:rsid w:val="0019145A"/>
    <w:rsid w:val="00191499"/>
    <w:rsid w:val="001914BE"/>
    <w:rsid w:val="001914C1"/>
    <w:rsid w:val="0019154A"/>
    <w:rsid w:val="00191569"/>
    <w:rsid w:val="001915B6"/>
    <w:rsid w:val="00191615"/>
    <w:rsid w:val="0019162C"/>
    <w:rsid w:val="00191668"/>
    <w:rsid w:val="0019168F"/>
    <w:rsid w:val="001916BC"/>
    <w:rsid w:val="001917E9"/>
    <w:rsid w:val="00191810"/>
    <w:rsid w:val="001918B8"/>
    <w:rsid w:val="001918CC"/>
    <w:rsid w:val="001918E7"/>
    <w:rsid w:val="0019199E"/>
    <w:rsid w:val="00191AA0"/>
    <w:rsid w:val="00191AC4"/>
    <w:rsid w:val="00191ADD"/>
    <w:rsid w:val="00191AE0"/>
    <w:rsid w:val="00191AE2"/>
    <w:rsid w:val="00191B5E"/>
    <w:rsid w:val="00191BA2"/>
    <w:rsid w:val="00191BEC"/>
    <w:rsid w:val="00191C06"/>
    <w:rsid w:val="00191C0D"/>
    <w:rsid w:val="00191C2C"/>
    <w:rsid w:val="00191CC8"/>
    <w:rsid w:val="00191D15"/>
    <w:rsid w:val="00191D3E"/>
    <w:rsid w:val="00191D50"/>
    <w:rsid w:val="00191DA2"/>
    <w:rsid w:val="00191E3E"/>
    <w:rsid w:val="00191E64"/>
    <w:rsid w:val="00191EAA"/>
    <w:rsid w:val="00191EB3"/>
    <w:rsid w:val="00191ED3"/>
    <w:rsid w:val="00191F08"/>
    <w:rsid w:val="00191F31"/>
    <w:rsid w:val="00191F42"/>
    <w:rsid w:val="00191F81"/>
    <w:rsid w:val="00191F9E"/>
    <w:rsid w:val="00192001"/>
    <w:rsid w:val="00192076"/>
    <w:rsid w:val="001920C5"/>
    <w:rsid w:val="00192134"/>
    <w:rsid w:val="00192135"/>
    <w:rsid w:val="00192192"/>
    <w:rsid w:val="001921F2"/>
    <w:rsid w:val="001922A1"/>
    <w:rsid w:val="00192343"/>
    <w:rsid w:val="0019234A"/>
    <w:rsid w:val="00192378"/>
    <w:rsid w:val="001923EA"/>
    <w:rsid w:val="00192418"/>
    <w:rsid w:val="00192419"/>
    <w:rsid w:val="001924F9"/>
    <w:rsid w:val="00192548"/>
    <w:rsid w:val="00192580"/>
    <w:rsid w:val="001925E5"/>
    <w:rsid w:val="001925EA"/>
    <w:rsid w:val="00192637"/>
    <w:rsid w:val="0019266C"/>
    <w:rsid w:val="001926A4"/>
    <w:rsid w:val="00192801"/>
    <w:rsid w:val="00192845"/>
    <w:rsid w:val="001928A2"/>
    <w:rsid w:val="001928FB"/>
    <w:rsid w:val="00192973"/>
    <w:rsid w:val="00192979"/>
    <w:rsid w:val="00192A63"/>
    <w:rsid w:val="00192AA8"/>
    <w:rsid w:val="00192ACE"/>
    <w:rsid w:val="00192B4D"/>
    <w:rsid w:val="00192B67"/>
    <w:rsid w:val="00192BAE"/>
    <w:rsid w:val="00192BCE"/>
    <w:rsid w:val="00192BD6"/>
    <w:rsid w:val="00192BFE"/>
    <w:rsid w:val="00192C05"/>
    <w:rsid w:val="00192C07"/>
    <w:rsid w:val="00192C0D"/>
    <w:rsid w:val="00192CAF"/>
    <w:rsid w:val="00192CB5"/>
    <w:rsid w:val="00192CBE"/>
    <w:rsid w:val="00192CD1"/>
    <w:rsid w:val="00192D68"/>
    <w:rsid w:val="00192D9D"/>
    <w:rsid w:val="00192DCF"/>
    <w:rsid w:val="00192E7E"/>
    <w:rsid w:val="00192EE7"/>
    <w:rsid w:val="00192EF4"/>
    <w:rsid w:val="00192F42"/>
    <w:rsid w:val="00192FEA"/>
    <w:rsid w:val="00193069"/>
    <w:rsid w:val="00193104"/>
    <w:rsid w:val="00193109"/>
    <w:rsid w:val="00193110"/>
    <w:rsid w:val="00193130"/>
    <w:rsid w:val="001931D8"/>
    <w:rsid w:val="0019323F"/>
    <w:rsid w:val="0019324C"/>
    <w:rsid w:val="0019324D"/>
    <w:rsid w:val="00193271"/>
    <w:rsid w:val="0019327B"/>
    <w:rsid w:val="001932A4"/>
    <w:rsid w:val="001932A9"/>
    <w:rsid w:val="001932C3"/>
    <w:rsid w:val="001932CA"/>
    <w:rsid w:val="001932F3"/>
    <w:rsid w:val="001932FD"/>
    <w:rsid w:val="00193304"/>
    <w:rsid w:val="0019330D"/>
    <w:rsid w:val="0019347A"/>
    <w:rsid w:val="001934A8"/>
    <w:rsid w:val="001934AB"/>
    <w:rsid w:val="001934D1"/>
    <w:rsid w:val="001934F4"/>
    <w:rsid w:val="001934F9"/>
    <w:rsid w:val="0019353B"/>
    <w:rsid w:val="00193563"/>
    <w:rsid w:val="001935C3"/>
    <w:rsid w:val="001935D0"/>
    <w:rsid w:val="00193704"/>
    <w:rsid w:val="00193721"/>
    <w:rsid w:val="001937D0"/>
    <w:rsid w:val="00193889"/>
    <w:rsid w:val="001938A5"/>
    <w:rsid w:val="001939A7"/>
    <w:rsid w:val="001939CE"/>
    <w:rsid w:val="001939F4"/>
    <w:rsid w:val="00193A66"/>
    <w:rsid w:val="00193A74"/>
    <w:rsid w:val="00193B5A"/>
    <w:rsid w:val="00193BCC"/>
    <w:rsid w:val="00193C02"/>
    <w:rsid w:val="00193C27"/>
    <w:rsid w:val="00193D60"/>
    <w:rsid w:val="00193DAF"/>
    <w:rsid w:val="00193E7A"/>
    <w:rsid w:val="00193F0F"/>
    <w:rsid w:val="00193F25"/>
    <w:rsid w:val="00193FA9"/>
    <w:rsid w:val="00194016"/>
    <w:rsid w:val="001940B7"/>
    <w:rsid w:val="00194139"/>
    <w:rsid w:val="001941BB"/>
    <w:rsid w:val="001941C9"/>
    <w:rsid w:val="00194297"/>
    <w:rsid w:val="001942AE"/>
    <w:rsid w:val="001942FC"/>
    <w:rsid w:val="00194358"/>
    <w:rsid w:val="00194398"/>
    <w:rsid w:val="00194457"/>
    <w:rsid w:val="00194459"/>
    <w:rsid w:val="0019445E"/>
    <w:rsid w:val="001944F5"/>
    <w:rsid w:val="00194510"/>
    <w:rsid w:val="0019455D"/>
    <w:rsid w:val="00194572"/>
    <w:rsid w:val="00194582"/>
    <w:rsid w:val="001945A0"/>
    <w:rsid w:val="001945A4"/>
    <w:rsid w:val="001945B5"/>
    <w:rsid w:val="001946A8"/>
    <w:rsid w:val="001946EB"/>
    <w:rsid w:val="00194738"/>
    <w:rsid w:val="0019473A"/>
    <w:rsid w:val="00194764"/>
    <w:rsid w:val="00194783"/>
    <w:rsid w:val="00194788"/>
    <w:rsid w:val="001947B1"/>
    <w:rsid w:val="001947C8"/>
    <w:rsid w:val="00194823"/>
    <w:rsid w:val="00194850"/>
    <w:rsid w:val="0019489C"/>
    <w:rsid w:val="001948C1"/>
    <w:rsid w:val="00194907"/>
    <w:rsid w:val="00194961"/>
    <w:rsid w:val="00194988"/>
    <w:rsid w:val="0019499A"/>
    <w:rsid w:val="001949A3"/>
    <w:rsid w:val="00194A1F"/>
    <w:rsid w:val="00194A2F"/>
    <w:rsid w:val="00194A95"/>
    <w:rsid w:val="00194AB8"/>
    <w:rsid w:val="00194AC8"/>
    <w:rsid w:val="00194B11"/>
    <w:rsid w:val="00194B1C"/>
    <w:rsid w:val="00194BB3"/>
    <w:rsid w:val="00194BB7"/>
    <w:rsid w:val="00194BFB"/>
    <w:rsid w:val="00194C02"/>
    <w:rsid w:val="00194C0E"/>
    <w:rsid w:val="00194C4A"/>
    <w:rsid w:val="00194CF9"/>
    <w:rsid w:val="00194CFE"/>
    <w:rsid w:val="00194D0B"/>
    <w:rsid w:val="00194E38"/>
    <w:rsid w:val="00194EC7"/>
    <w:rsid w:val="00194F30"/>
    <w:rsid w:val="00194F6C"/>
    <w:rsid w:val="0019504F"/>
    <w:rsid w:val="0019507F"/>
    <w:rsid w:val="001950E4"/>
    <w:rsid w:val="00195105"/>
    <w:rsid w:val="0019516B"/>
    <w:rsid w:val="001951F2"/>
    <w:rsid w:val="0019521E"/>
    <w:rsid w:val="0019523E"/>
    <w:rsid w:val="00195267"/>
    <w:rsid w:val="001952B9"/>
    <w:rsid w:val="001952C7"/>
    <w:rsid w:val="00195381"/>
    <w:rsid w:val="001954DD"/>
    <w:rsid w:val="00195516"/>
    <w:rsid w:val="00195565"/>
    <w:rsid w:val="00195598"/>
    <w:rsid w:val="001955A0"/>
    <w:rsid w:val="001955B0"/>
    <w:rsid w:val="001955CC"/>
    <w:rsid w:val="001955FE"/>
    <w:rsid w:val="001956BD"/>
    <w:rsid w:val="00195705"/>
    <w:rsid w:val="0019574E"/>
    <w:rsid w:val="00195768"/>
    <w:rsid w:val="00195795"/>
    <w:rsid w:val="001957DE"/>
    <w:rsid w:val="00195870"/>
    <w:rsid w:val="0019591C"/>
    <w:rsid w:val="00195929"/>
    <w:rsid w:val="00195940"/>
    <w:rsid w:val="0019597F"/>
    <w:rsid w:val="00195989"/>
    <w:rsid w:val="001959BA"/>
    <w:rsid w:val="001959D3"/>
    <w:rsid w:val="00195A3C"/>
    <w:rsid w:val="00195A45"/>
    <w:rsid w:val="00195A7F"/>
    <w:rsid w:val="00195B05"/>
    <w:rsid w:val="00195B5B"/>
    <w:rsid w:val="00195B6B"/>
    <w:rsid w:val="00195BBF"/>
    <w:rsid w:val="00195BD2"/>
    <w:rsid w:val="00195BE3"/>
    <w:rsid w:val="00195C34"/>
    <w:rsid w:val="00195C68"/>
    <w:rsid w:val="00195CB1"/>
    <w:rsid w:val="00195CE3"/>
    <w:rsid w:val="00195CF9"/>
    <w:rsid w:val="00195D16"/>
    <w:rsid w:val="00195D78"/>
    <w:rsid w:val="00195D7F"/>
    <w:rsid w:val="00195DC7"/>
    <w:rsid w:val="00195DDE"/>
    <w:rsid w:val="00195DF4"/>
    <w:rsid w:val="00195EE4"/>
    <w:rsid w:val="00195EE6"/>
    <w:rsid w:val="00195F58"/>
    <w:rsid w:val="00195F9B"/>
    <w:rsid w:val="00195FB3"/>
    <w:rsid w:val="00196009"/>
    <w:rsid w:val="00196014"/>
    <w:rsid w:val="00196034"/>
    <w:rsid w:val="0019603E"/>
    <w:rsid w:val="00196047"/>
    <w:rsid w:val="00196048"/>
    <w:rsid w:val="0019604D"/>
    <w:rsid w:val="00196081"/>
    <w:rsid w:val="001960D2"/>
    <w:rsid w:val="0019615C"/>
    <w:rsid w:val="00196187"/>
    <w:rsid w:val="001961BD"/>
    <w:rsid w:val="001961C8"/>
    <w:rsid w:val="001962B1"/>
    <w:rsid w:val="001962CC"/>
    <w:rsid w:val="001962CF"/>
    <w:rsid w:val="00196395"/>
    <w:rsid w:val="00196398"/>
    <w:rsid w:val="001963C5"/>
    <w:rsid w:val="001963E6"/>
    <w:rsid w:val="00196400"/>
    <w:rsid w:val="00196453"/>
    <w:rsid w:val="00196483"/>
    <w:rsid w:val="0019651E"/>
    <w:rsid w:val="00196524"/>
    <w:rsid w:val="00196582"/>
    <w:rsid w:val="001965AF"/>
    <w:rsid w:val="001965BB"/>
    <w:rsid w:val="001965E3"/>
    <w:rsid w:val="00196611"/>
    <w:rsid w:val="00196726"/>
    <w:rsid w:val="00196728"/>
    <w:rsid w:val="0019674F"/>
    <w:rsid w:val="00196780"/>
    <w:rsid w:val="0019682B"/>
    <w:rsid w:val="00196860"/>
    <w:rsid w:val="00196868"/>
    <w:rsid w:val="001968DD"/>
    <w:rsid w:val="00196902"/>
    <w:rsid w:val="0019694B"/>
    <w:rsid w:val="0019697C"/>
    <w:rsid w:val="00196984"/>
    <w:rsid w:val="00196A0A"/>
    <w:rsid w:val="00196A1A"/>
    <w:rsid w:val="00196A2C"/>
    <w:rsid w:val="00196A79"/>
    <w:rsid w:val="00196AB8"/>
    <w:rsid w:val="00196AC8"/>
    <w:rsid w:val="00196AE0"/>
    <w:rsid w:val="00196AEE"/>
    <w:rsid w:val="00196B59"/>
    <w:rsid w:val="00196BD6"/>
    <w:rsid w:val="00196D4B"/>
    <w:rsid w:val="00196D83"/>
    <w:rsid w:val="00196E13"/>
    <w:rsid w:val="00196E1F"/>
    <w:rsid w:val="00196E60"/>
    <w:rsid w:val="00196F86"/>
    <w:rsid w:val="00196FFD"/>
    <w:rsid w:val="001970AF"/>
    <w:rsid w:val="00197112"/>
    <w:rsid w:val="0019714D"/>
    <w:rsid w:val="0019717A"/>
    <w:rsid w:val="001971E3"/>
    <w:rsid w:val="0019730C"/>
    <w:rsid w:val="00197330"/>
    <w:rsid w:val="00197361"/>
    <w:rsid w:val="0019738E"/>
    <w:rsid w:val="0019739F"/>
    <w:rsid w:val="001973BB"/>
    <w:rsid w:val="001973D4"/>
    <w:rsid w:val="0019745E"/>
    <w:rsid w:val="001974F9"/>
    <w:rsid w:val="00197670"/>
    <w:rsid w:val="00197672"/>
    <w:rsid w:val="00197730"/>
    <w:rsid w:val="00197772"/>
    <w:rsid w:val="00197779"/>
    <w:rsid w:val="001977AE"/>
    <w:rsid w:val="001977D3"/>
    <w:rsid w:val="00197805"/>
    <w:rsid w:val="00197810"/>
    <w:rsid w:val="00197829"/>
    <w:rsid w:val="0019782E"/>
    <w:rsid w:val="001978A6"/>
    <w:rsid w:val="001978D7"/>
    <w:rsid w:val="001978E7"/>
    <w:rsid w:val="001978FA"/>
    <w:rsid w:val="0019794B"/>
    <w:rsid w:val="0019795F"/>
    <w:rsid w:val="00197962"/>
    <w:rsid w:val="001979A3"/>
    <w:rsid w:val="001979DA"/>
    <w:rsid w:val="00197A18"/>
    <w:rsid w:val="00197B7B"/>
    <w:rsid w:val="00197BA7"/>
    <w:rsid w:val="00197BB0"/>
    <w:rsid w:val="00197BB5"/>
    <w:rsid w:val="00197C3D"/>
    <w:rsid w:val="00197C82"/>
    <w:rsid w:val="00197D0B"/>
    <w:rsid w:val="00197D2E"/>
    <w:rsid w:val="00197D73"/>
    <w:rsid w:val="00197D7A"/>
    <w:rsid w:val="00197D87"/>
    <w:rsid w:val="00197DDF"/>
    <w:rsid w:val="00197E0C"/>
    <w:rsid w:val="00197E59"/>
    <w:rsid w:val="00197E62"/>
    <w:rsid w:val="00197EA1"/>
    <w:rsid w:val="00197EB4"/>
    <w:rsid w:val="00197F34"/>
    <w:rsid w:val="00197F7D"/>
    <w:rsid w:val="001A007B"/>
    <w:rsid w:val="001A0090"/>
    <w:rsid w:val="001A00CC"/>
    <w:rsid w:val="001A010E"/>
    <w:rsid w:val="001A0118"/>
    <w:rsid w:val="001A0142"/>
    <w:rsid w:val="001A014A"/>
    <w:rsid w:val="001A01EA"/>
    <w:rsid w:val="001A026D"/>
    <w:rsid w:val="001A0289"/>
    <w:rsid w:val="001A0293"/>
    <w:rsid w:val="001A0393"/>
    <w:rsid w:val="001A0394"/>
    <w:rsid w:val="001A03CA"/>
    <w:rsid w:val="001A046B"/>
    <w:rsid w:val="001A050E"/>
    <w:rsid w:val="001A05B7"/>
    <w:rsid w:val="001A05E0"/>
    <w:rsid w:val="001A05F0"/>
    <w:rsid w:val="001A062C"/>
    <w:rsid w:val="001A0679"/>
    <w:rsid w:val="001A06D1"/>
    <w:rsid w:val="001A06F0"/>
    <w:rsid w:val="001A071F"/>
    <w:rsid w:val="001A0790"/>
    <w:rsid w:val="001A07B7"/>
    <w:rsid w:val="001A081C"/>
    <w:rsid w:val="001A081F"/>
    <w:rsid w:val="001A0853"/>
    <w:rsid w:val="001A0921"/>
    <w:rsid w:val="001A0934"/>
    <w:rsid w:val="001A095F"/>
    <w:rsid w:val="001A0A04"/>
    <w:rsid w:val="001A0A10"/>
    <w:rsid w:val="001A0A21"/>
    <w:rsid w:val="001A0A29"/>
    <w:rsid w:val="001A0A67"/>
    <w:rsid w:val="001A0A6B"/>
    <w:rsid w:val="001A0A6C"/>
    <w:rsid w:val="001A0A9C"/>
    <w:rsid w:val="001A0AA1"/>
    <w:rsid w:val="001A0AC2"/>
    <w:rsid w:val="001A0AFB"/>
    <w:rsid w:val="001A0B0F"/>
    <w:rsid w:val="001A0B65"/>
    <w:rsid w:val="001A0B7F"/>
    <w:rsid w:val="001A0C2C"/>
    <w:rsid w:val="001A0C5D"/>
    <w:rsid w:val="001A0CD1"/>
    <w:rsid w:val="001A0D5A"/>
    <w:rsid w:val="001A0D62"/>
    <w:rsid w:val="001A0D9A"/>
    <w:rsid w:val="001A0DBD"/>
    <w:rsid w:val="001A0DC3"/>
    <w:rsid w:val="001A0DEF"/>
    <w:rsid w:val="001A0E45"/>
    <w:rsid w:val="001A0E46"/>
    <w:rsid w:val="001A0E4D"/>
    <w:rsid w:val="001A0EB9"/>
    <w:rsid w:val="001A0EBE"/>
    <w:rsid w:val="001A10B7"/>
    <w:rsid w:val="001A10C1"/>
    <w:rsid w:val="001A10CA"/>
    <w:rsid w:val="001A10D7"/>
    <w:rsid w:val="001A1151"/>
    <w:rsid w:val="001A11C7"/>
    <w:rsid w:val="001A11D0"/>
    <w:rsid w:val="001A11D7"/>
    <w:rsid w:val="001A11E7"/>
    <w:rsid w:val="001A1213"/>
    <w:rsid w:val="001A126F"/>
    <w:rsid w:val="001A12B5"/>
    <w:rsid w:val="001A12E7"/>
    <w:rsid w:val="001A1308"/>
    <w:rsid w:val="001A1393"/>
    <w:rsid w:val="001A144B"/>
    <w:rsid w:val="001A1450"/>
    <w:rsid w:val="001A1451"/>
    <w:rsid w:val="001A147F"/>
    <w:rsid w:val="001A14F3"/>
    <w:rsid w:val="001A1514"/>
    <w:rsid w:val="001A158F"/>
    <w:rsid w:val="001A15B8"/>
    <w:rsid w:val="001A15EA"/>
    <w:rsid w:val="001A1612"/>
    <w:rsid w:val="001A163A"/>
    <w:rsid w:val="001A1683"/>
    <w:rsid w:val="001A16BA"/>
    <w:rsid w:val="001A1726"/>
    <w:rsid w:val="001A17CB"/>
    <w:rsid w:val="001A17CE"/>
    <w:rsid w:val="001A17D8"/>
    <w:rsid w:val="001A17EC"/>
    <w:rsid w:val="001A180F"/>
    <w:rsid w:val="001A181B"/>
    <w:rsid w:val="001A183E"/>
    <w:rsid w:val="001A1879"/>
    <w:rsid w:val="001A18A3"/>
    <w:rsid w:val="001A192C"/>
    <w:rsid w:val="001A1969"/>
    <w:rsid w:val="001A19D1"/>
    <w:rsid w:val="001A19F1"/>
    <w:rsid w:val="001A1A01"/>
    <w:rsid w:val="001A1AAF"/>
    <w:rsid w:val="001A1AC0"/>
    <w:rsid w:val="001A1B02"/>
    <w:rsid w:val="001A1B68"/>
    <w:rsid w:val="001A1B8F"/>
    <w:rsid w:val="001A1BAE"/>
    <w:rsid w:val="001A1C51"/>
    <w:rsid w:val="001A1C71"/>
    <w:rsid w:val="001A1CD8"/>
    <w:rsid w:val="001A1D7C"/>
    <w:rsid w:val="001A1DF1"/>
    <w:rsid w:val="001A1E33"/>
    <w:rsid w:val="001A1E5E"/>
    <w:rsid w:val="001A1E63"/>
    <w:rsid w:val="001A1E70"/>
    <w:rsid w:val="001A1E7B"/>
    <w:rsid w:val="001A1F1C"/>
    <w:rsid w:val="001A1F5C"/>
    <w:rsid w:val="001A1FB0"/>
    <w:rsid w:val="001A208B"/>
    <w:rsid w:val="001A210B"/>
    <w:rsid w:val="001A214B"/>
    <w:rsid w:val="001A21BB"/>
    <w:rsid w:val="001A21D9"/>
    <w:rsid w:val="001A227B"/>
    <w:rsid w:val="001A2288"/>
    <w:rsid w:val="001A22C5"/>
    <w:rsid w:val="001A22C7"/>
    <w:rsid w:val="001A233C"/>
    <w:rsid w:val="001A2376"/>
    <w:rsid w:val="001A241B"/>
    <w:rsid w:val="001A2428"/>
    <w:rsid w:val="001A2431"/>
    <w:rsid w:val="001A2495"/>
    <w:rsid w:val="001A24BE"/>
    <w:rsid w:val="001A259E"/>
    <w:rsid w:val="001A25D5"/>
    <w:rsid w:val="001A25DE"/>
    <w:rsid w:val="001A25E0"/>
    <w:rsid w:val="001A261E"/>
    <w:rsid w:val="001A26CE"/>
    <w:rsid w:val="001A2736"/>
    <w:rsid w:val="001A275F"/>
    <w:rsid w:val="001A27C4"/>
    <w:rsid w:val="001A27DC"/>
    <w:rsid w:val="001A27E0"/>
    <w:rsid w:val="001A27E6"/>
    <w:rsid w:val="001A27F7"/>
    <w:rsid w:val="001A2832"/>
    <w:rsid w:val="001A286F"/>
    <w:rsid w:val="001A28D7"/>
    <w:rsid w:val="001A28F5"/>
    <w:rsid w:val="001A28FB"/>
    <w:rsid w:val="001A290E"/>
    <w:rsid w:val="001A2936"/>
    <w:rsid w:val="001A29B8"/>
    <w:rsid w:val="001A29D9"/>
    <w:rsid w:val="001A2A31"/>
    <w:rsid w:val="001A2ACA"/>
    <w:rsid w:val="001A2B22"/>
    <w:rsid w:val="001A2B71"/>
    <w:rsid w:val="001A2BC8"/>
    <w:rsid w:val="001A2BCD"/>
    <w:rsid w:val="001A2C2B"/>
    <w:rsid w:val="001A2D81"/>
    <w:rsid w:val="001A2DC9"/>
    <w:rsid w:val="001A2E30"/>
    <w:rsid w:val="001A2EA6"/>
    <w:rsid w:val="001A2EC6"/>
    <w:rsid w:val="001A2EDA"/>
    <w:rsid w:val="001A2EFB"/>
    <w:rsid w:val="001A2F8E"/>
    <w:rsid w:val="001A3026"/>
    <w:rsid w:val="001A307F"/>
    <w:rsid w:val="001A309F"/>
    <w:rsid w:val="001A30B6"/>
    <w:rsid w:val="001A30C1"/>
    <w:rsid w:val="001A30E6"/>
    <w:rsid w:val="001A30EE"/>
    <w:rsid w:val="001A3113"/>
    <w:rsid w:val="001A3175"/>
    <w:rsid w:val="001A3189"/>
    <w:rsid w:val="001A31E8"/>
    <w:rsid w:val="001A3238"/>
    <w:rsid w:val="001A325A"/>
    <w:rsid w:val="001A3262"/>
    <w:rsid w:val="001A328C"/>
    <w:rsid w:val="001A329C"/>
    <w:rsid w:val="001A32B4"/>
    <w:rsid w:val="001A32C9"/>
    <w:rsid w:val="001A3341"/>
    <w:rsid w:val="001A33CE"/>
    <w:rsid w:val="001A33DD"/>
    <w:rsid w:val="001A3400"/>
    <w:rsid w:val="001A3411"/>
    <w:rsid w:val="001A3453"/>
    <w:rsid w:val="001A345C"/>
    <w:rsid w:val="001A3470"/>
    <w:rsid w:val="001A3483"/>
    <w:rsid w:val="001A3489"/>
    <w:rsid w:val="001A34F0"/>
    <w:rsid w:val="001A3509"/>
    <w:rsid w:val="001A353C"/>
    <w:rsid w:val="001A3540"/>
    <w:rsid w:val="001A3563"/>
    <w:rsid w:val="001A35C7"/>
    <w:rsid w:val="001A35DB"/>
    <w:rsid w:val="001A3614"/>
    <w:rsid w:val="001A366D"/>
    <w:rsid w:val="001A36B7"/>
    <w:rsid w:val="001A370B"/>
    <w:rsid w:val="001A3712"/>
    <w:rsid w:val="001A3717"/>
    <w:rsid w:val="001A3718"/>
    <w:rsid w:val="001A3796"/>
    <w:rsid w:val="001A37E5"/>
    <w:rsid w:val="001A381A"/>
    <w:rsid w:val="001A3829"/>
    <w:rsid w:val="001A3947"/>
    <w:rsid w:val="001A39D5"/>
    <w:rsid w:val="001A39EF"/>
    <w:rsid w:val="001A3A41"/>
    <w:rsid w:val="001A3A6D"/>
    <w:rsid w:val="001A3A91"/>
    <w:rsid w:val="001A3A9B"/>
    <w:rsid w:val="001A3AC0"/>
    <w:rsid w:val="001A3AC2"/>
    <w:rsid w:val="001A3B63"/>
    <w:rsid w:val="001A3B9A"/>
    <w:rsid w:val="001A3C43"/>
    <w:rsid w:val="001A3C4A"/>
    <w:rsid w:val="001A3CF1"/>
    <w:rsid w:val="001A3D0A"/>
    <w:rsid w:val="001A3D28"/>
    <w:rsid w:val="001A3D2F"/>
    <w:rsid w:val="001A3DEB"/>
    <w:rsid w:val="001A3E22"/>
    <w:rsid w:val="001A3E2F"/>
    <w:rsid w:val="001A3EA4"/>
    <w:rsid w:val="001A3EB6"/>
    <w:rsid w:val="001A3F0F"/>
    <w:rsid w:val="001A4027"/>
    <w:rsid w:val="001A4059"/>
    <w:rsid w:val="001A40F6"/>
    <w:rsid w:val="001A414D"/>
    <w:rsid w:val="001A4197"/>
    <w:rsid w:val="001A41AF"/>
    <w:rsid w:val="001A41ED"/>
    <w:rsid w:val="001A4247"/>
    <w:rsid w:val="001A427B"/>
    <w:rsid w:val="001A428E"/>
    <w:rsid w:val="001A4349"/>
    <w:rsid w:val="001A4366"/>
    <w:rsid w:val="001A4463"/>
    <w:rsid w:val="001A44A2"/>
    <w:rsid w:val="001A450B"/>
    <w:rsid w:val="001A453B"/>
    <w:rsid w:val="001A4556"/>
    <w:rsid w:val="001A458F"/>
    <w:rsid w:val="001A4592"/>
    <w:rsid w:val="001A45AF"/>
    <w:rsid w:val="001A45FC"/>
    <w:rsid w:val="001A4637"/>
    <w:rsid w:val="001A466E"/>
    <w:rsid w:val="001A4698"/>
    <w:rsid w:val="001A4763"/>
    <w:rsid w:val="001A476A"/>
    <w:rsid w:val="001A476F"/>
    <w:rsid w:val="001A4831"/>
    <w:rsid w:val="001A48B4"/>
    <w:rsid w:val="001A48B8"/>
    <w:rsid w:val="001A4901"/>
    <w:rsid w:val="001A4922"/>
    <w:rsid w:val="001A493A"/>
    <w:rsid w:val="001A4945"/>
    <w:rsid w:val="001A4953"/>
    <w:rsid w:val="001A49BB"/>
    <w:rsid w:val="001A4A00"/>
    <w:rsid w:val="001A4AD8"/>
    <w:rsid w:val="001A4B11"/>
    <w:rsid w:val="001A4BA7"/>
    <w:rsid w:val="001A4BF3"/>
    <w:rsid w:val="001A4C6D"/>
    <w:rsid w:val="001A4CAD"/>
    <w:rsid w:val="001A4CD0"/>
    <w:rsid w:val="001A4D01"/>
    <w:rsid w:val="001A4D14"/>
    <w:rsid w:val="001A4D17"/>
    <w:rsid w:val="001A4D1A"/>
    <w:rsid w:val="001A4DD6"/>
    <w:rsid w:val="001A4E5B"/>
    <w:rsid w:val="001A4E9C"/>
    <w:rsid w:val="001A4EAF"/>
    <w:rsid w:val="001A4EB4"/>
    <w:rsid w:val="001A4EE4"/>
    <w:rsid w:val="001A4EEB"/>
    <w:rsid w:val="001A4EF2"/>
    <w:rsid w:val="001A4F3F"/>
    <w:rsid w:val="001A4F55"/>
    <w:rsid w:val="001A4F94"/>
    <w:rsid w:val="001A4FB7"/>
    <w:rsid w:val="001A5043"/>
    <w:rsid w:val="001A50CC"/>
    <w:rsid w:val="001A517B"/>
    <w:rsid w:val="001A5191"/>
    <w:rsid w:val="001A519C"/>
    <w:rsid w:val="001A51AD"/>
    <w:rsid w:val="001A51F3"/>
    <w:rsid w:val="001A5259"/>
    <w:rsid w:val="001A527A"/>
    <w:rsid w:val="001A52AB"/>
    <w:rsid w:val="001A52DB"/>
    <w:rsid w:val="001A531F"/>
    <w:rsid w:val="001A5326"/>
    <w:rsid w:val="001A5370"/>
    <w:rsid w:val="001A53F9"/>
    <w:rsid w:val="001A540D"/>
    <w:rsid w:val="001A5417"/>
    <w:rsid w:val="001A544B"/>
    <w:rsid w:val="001A54BD"/>
    <w:rsid w:val="001A551A"/>
    <w:rsid w:val="001A556D"/>
    <w:rsid w:val="001A560A"/>
    <w:rsid w:val="001A5657"/>
    <w:rsid w:val="001A5660"/>
    <w:rsid w:val="001A5674"/>
    <w:rsid w:val="001A56AC"/>
    <w:rsid w:val="001A56BC"/>
    <w:rsid w:val="001A56ED"/>
    <w:rsid w:val="001A5748"/>
    <w:rsid w:val="001A574F"/>
    <w:rsid w:val="001A5753"/>
    <w:rsid w:val="001A5758"/>
    <w:rsid w:val="001A5762"/>
    <w:rsid w:val="001A579B"/>
    <w:rsid w:val="001A57C0"/>
    <w:rsid w:val="001A57D5"/>
    <w:rsid w:val="001A57DB"/>
    <w:rsid w:val="001A57F3"/>
    <w:rsid w:val="001A57F9"/>
    <w:rsid w:val="001A58A2"/>
    <w:rsid w:val="001A58AD"/>
    <w:rsid w:val="001A58C7"/>
    <w:rsid w:val="001A58CE"/>
    <w:rsid w:val="001A5910"/>
    <w:rsid w:val="001A5938"/>
    <w:rsid w:val="001A5975"/>
    <w:rsid w:val="001A5A1A"/>
    <w:rsid w:val="001A5A8A"/>
    <w:rsid w:val="001A5A9C"/>
    <w:rsid w:val="001A5B00"/>
    <w:rsid w:val="001A5B57"/>
    <w:rsid w:val="001A5B9D"/>
    <w:rsid w:val="001A5BE5"/>
    <w:rsid w:val="001A5C44"/>
    <w:rsid w:val="001A5C8B"/>
    <w:rsid w:val="001A5C9D"/>
    <w:rsid w:val="001A5D32"/>
    <w:rsid w:val="001A5D43"/>
    <w:rsid w:val="001A5DC6"/>
    <w:rsid w:val="001A5E5B"/>
    <w:rsid w:val="001A5E84"/>
    <w:rsid w:val="001A5E9E"/>
    <w:rsid w:val="001A5EEA"/>
    <w:rsid w:val="001A5EFB"/>
    <w:rsid w:val="001A5F0E"/>
    <w:rsid w:val="001A5F0F"/>
    <w:rsid w:val="001A5F2E"/>
    <w:rsid w:val="001A5F41"/>
    <w:rsid w:val="001A5F59"/>
    <w:rsid w:val="001A5FBF"/>
    <w:rsid w:val="001A6064"/>
    <w:rsid w:val="001A60BF"/>
    <w:rsid w:val="001A60C4"/>
    <w:rsid w:val="001A60D2"/>
    <w:rsid w:val="001A60D9"/>
    <w:rsid w:val="001A611F"/>
    <w:rsid w:val="001A61A2"/>
    <w:rsid w:val="001A61BE"/>
    <w:rsid w:val="001A626C"/>
    <w:rsid w:val="001A627D"/>
    <w:rsid w:val="001A6320"/>
    <w:rsid w:val="001A6334"/>
    <w:rsid w:val="001A637B"/>
    <w:rsid w:val="001A63EF"/>
    <w:rsid w:val="001A63F6"/>
    <w:rsid w:val="001A63FF"/>
    <w:rsid w:val="001A6405"/>
    <w:rsid w:val="001A647C"/>
    <w:rsid w:val="001A658E"/>
    <w:rsid w:val="001A65DA"/>
    <w:rsid w:val="001A665A"/>
    <w:rsid w:val="001A66A8"/>
    <w:rsid w:val="001A66BD"/>
    <w:rsid w:val="001A6725"/>
    <w:rsid w:val="001A681B"/>
    <w:rsid w:val="001A6867"/>
    <w:rsid w:val="001A6916"/>
    <w:rsid w:val="001A6950"/>
    <w:rsid w:val="001A695D"/>
    <w:rsid w:val="001A699B"/>
    <w:rsid w:val="001A69AA"/>
    <w:rsid w:val="001A69D2"/>
    <w:rsid w:val="001A69F3"/>
    <w:rsid w:val="001A6A06"/>
    <w:rsid w:val="001A6A6E"/>
    <w:rsid w:val="001A6ADA"/>
    <w:rsid w:val="001A6AF3"/>
    <w:rsid w:val="001A6B75"/>
    <w:rsid w:val="001A6B86"/>
    <w:rsid w:val="001A6C3D"/>
    <w:rsid w:val="001A6C7D"/>
    <w:rsid w:val="001A6C7F"/>
    <w:rsid w:val="001A6CAA"/>
    <w:rsid w:val="001A6CEA"/>
    <w:rsid w:val="001A6D33"/>
    <w:rsid w:val="001A6D41"/>
    <w:rsid w:val="001A6DA4"/>
    <w:rsid w:val="001A6E64"/>
    <w:rsid w:val="001A6E6D"/>
    <w:rsid w:val="001A6E70"/>
    <w:rsid w:val="001A6EC8"/>
    <w:rsid w:val="001A6F3E"/>
    <w:rsid w:val="001A6F54"/>
    <w:rsid w:val="001A6FBA"/>
    <w:rsid w:val="001A6FEF"/>
    <w:rsid w:val="001A7034"/>
    <w:rsid w:val="001A7060"/>
    <w:rsid w:val="001A70F7"/>
    <w:rsid w:val="001A7124"/>
    <w:rsid w:val="001A712E"/>
    <w:rsid w:val="001A7150"/>
    <w:rsid w:val="001A7171"/>
    <w:rsid w:val="001A71B5"/>
    <w:rsid w:val="001A71DA"/>
    <w:rsid w:val="001A725B"/>
    <w:rsid w:val="001A72BA"/>
    <w:rsid w:val="001A72C3"/>
    <w:rsid w:val="001A72CA"/>
    <w:rsid w:val="001A72E7"/>
    <w:rsid w:val="001A72F0"/>
    <w:rsid w:val="001A736A"/>
    <w:rsid w:val="001A738F"/>
    <w:rsid w:val="001A7419"/>
    <w:rsid w:val="001A742B"/>
    <w:rsid w:val="001A743F"/>
    <w:rsid w:val="001A7448"/>
    <w:rsid w:val="001A744C"/>
    <w:rsid w:val="001A7453"/>
    <w:rsid w:val="001A745A"/>
    <w:rsid w:val="001A745F"/>
    <w:rsid w:val="001A749D"/>
    <w:rsid w:val="001A74BE"/>
    <w:rsid w:val="001A7537"/>
    <w:rsid w:val="001A7538"/>
    <w:rsid w:val="001A75C0"/>
    <w:rsid w:val="001A7638"/>
    <w:rsid w:val="001A7685"/>
    <w:rsid w:val="001A76AC"/>
    <w:rsid w:val="001A773A"/>
    <w:rsid w:val="001A77BF"/>
    <w:rsid w:val="001A77F1"/>
    <w:rsid w:val="001A77F5"/>
    <w:rsid w:val="001A780C"/>
    <w:rsid w:val="001A782F"/>
    <w:rsid w:val="001A7897"/>
    <w:rsid w:val="001A79D0"/>
    <w:rsid w:val="001A7A30"/>
    <w:rsid w:val="001A7A75"/>
    <w:rsid w:val="001A7A7E"/>
    <w:rsid w:val="001A7A92"/>
    <w:rsid w:val="001A7AE1"/>
    <w:rsid w:val="001A7B45"/>
    <w:rsid w:val="001A7B8C"/>
    <w:rsid w:val="001A7BFF"/>
    <w:rsid w:val="001A7C55"/>
    <w:rsid w:val="001A7D2C"/>
    <w:rsid w:val="001A7D72"/>
    <w:rsid w:val="001A7E90"/>
    <w:rsid w:val="001A7ED9"/>
    <w:rsid w:val="001A7F12"/>
    <w:rsid w:val="001A7F20"/>
    <w:rsid w:val="001A7F60"/>
    <w:rsid w:val="001A7FA9"/>
    <w:rsid w:val="001A7FAE"/>
    <w:rsid w:val="001A7FB8"/>
    <w:rsid w:val="001A7FED"/>
    <w:rsid w:val="001B0035"/>
    <w:rsid w:val="001B00EE"/>
    <w:rsid w:val="001B016D"/>
    <w:rsid w:val="001B01BF"/>
    <w:rsid w:val="001B01CC"/>
    <w:rsid w:val="001B01E1"/>
    <w:rsid w:val="001B01FF"/>
    <w:rsid w:val="001B0226"/>
    <w:rsid w:val="001B025D"/>
    <w:rsid w:val="001B02F6"/>
    <w:rsid w:val="001B031E"/>
    <w:rsid w:val="001B033E"/>
    <w:rsid w:val="001B0357"/>
    <w:rsid w:val="001B0364"/>
    <w:rsid w:val="001B0391"/>
    <w:rsid w:val="001B03A5"/>
    <w:rsid w:val="001B03D0"/>
    <w:rsid w:val="001B03EB"/>
    <w:rsid w:val="001B0417"/>
    <w:rsid w:val="001B043F"/>
    <w:rsid w:val="001B048A"/>
    <w:rsid w:val="001B04AA"/>
    <w:rsid w:val="001B04E6"/>
    <w:rsid w:val="001B04E9"/>
    <w:rsid w:val="001B0507"/>
    <w:rsid w:val="001B05F8"/>
    <w:rsid w:val="001B0673"/>
    <w:rsid w:val="001B0694"/>
    <w:rsid w:val="001B06D2"/>
    <w:rsid w:val="001B0771"/>
    <w:rsid w:val="001B07B0"/>
    <w:rsid w:val="001B07CA"/>
    <w:rsid w:val="001B080D"/>
    <w:rsid w:val="001B0893"/>
    <w:rsid w:val="001B0894"/>
    <w:rsid w:val="001B08BC"/>
    <w:rsid w:val="001B090C"/>
    <w:rsid w:val="001B090E"/>
    <w:rsid w:val="001B09C5"/>
    <w:rsid w:val="001B0A09"/>
    <w:rsid w:val="001B0A48"/>
    <w:rsid w:val="001B0A54"/>
    <w:rsid w:val="001B0A5A"/>
    <w:rsid w:val="001B0B23"/>
    <w:rsid w:val="001B0B63"/>
    <w:rsid w:val="001B0B7F"/>
    <w:rsid w:val="001B0B8A"/>
    <w:rsid w:val="001B0B93"/>
    <w:rsid w:val="001B0BB9"/>
    <w:rsid w:val="001B0BD3"/>
    <w:rsid w:val="001B0CF9"/>
    <w:rsid w:val="001B0CFB"/>
    <w:rsid w:val="001B0D27"/>
    <w:rsid w:val="001B0D70"/>
    <w:rsid w:val="001B0D7D"/>
    <w:rsid w:val="001B0D92"/>
    <w:rsid w:val="001B0E17"/>
    <w:rsid w:val="001B0E20"/>
    <w:rsid w:val="001B0E74"/>
    <w:rsid w:val="001B0E77"/>
    <w:rsid w:val="001B0EA5"/>
    <w:rsid w:val="001B0ED1"/>
    <w:rsid w:val="001B0EE5"/>
    <w:rsid w:val="001B0F08"/>
    <w:rsid w:val="001B0F1A"/>
    <w:rsid w:val="001B0F46"/>
    <w:rsid w:val="001B0F90"/>
    <w:rsid w:val="001B103C"/>
    <w:rsid w:val="001B10D1"/>
    <w:rsid w:val="001B1131"/>
    <w:rsid w:val="001B1140"/>
    <w:rsid w:val="001B1147"/>
    <w:rsid w:val="001B116A"/>
    <w:rsid w:val="001B11BE"/>
    <w:rsid w:val="001B11F4"/>
    <w:rsid w:val="001B11F6"/>
    <w:rsid w:val="001B121A"/>
    <w:rsid w:val="001B1246"/>
    <w:rsid w:val="001B12C4"/>
    <w:rsid w:val="001B130A"/>
    <w:rsid w:val="001B1390"/>
    <w:rsid w:val="001B139C"/>
    <w:rsid w:val="001B13BA"/>
    <w:rsid w:val="001B13CD"/>
    <w:rsid w:val="001B146A"/>
    <w:rsid w:val="001B147A"/>
    <w:rsid w:val="001B14B8"/>
    <w:rsid w:val="001B14E9"/>
    <w:rsid w:val="001B1508"/>
    <w:rsid w:val="001B1524"/>
    <w:rsid w:val="001B1565"/>
    <w:rsid w:val="001B1582"/>
    <w:rsid w:val="001B15D4"/>
    <w:rsid w:val="001B15D6"/>
    <w:rsid w:val="001B15E4"/>
    <w:rsid w:val="001B15EE"/>
    <w:rsid w:val="001B15FD"/>
    <w:rsid w:val="001B1620"/>
    <w:rsid w:val="001B1638"/>
    <w:rsid w:val="001B1690"/>
    <w:rsid w:val="001B1754"/>
    <w:rsid w:val="001B181C"/>
    <w:rsid w:val="001B1864"/>
    <w:rsid w:val="001B18CC"/>
    <w:rsid w:val="001B18E7"/>
    <w:rsid w:val="001B18FC"/>
    <w:rsid w:val="001B194A"/>
    <w:rsid w:val="001B194B"/>
    <w:rsid w:val="001B197D"/>
    <w:rsid w:val="001B19E9"/>
    <w:rsid w:val="001B1BD4"/>
    <w:rsid w:val="001B1C00"/>
    <w:rsid w:val="001B1C13"/>
    <w:rsid w:val="001B1C32"/>
    <w:rsid w:val="001B1C3B"/>
    <w:rsid w:val="001B1C4C"/>
    <w:rsid w:val="001B1C52"/>
    <w:rsid w:val="001B1CB7"/>
    <w:rsid w:val="001B1CEF"/>
    <w:rsid w:val="001B1D9C"/>
    <w:rsid w:val="001B1E18"/>
    <w:rsid w:val="001B1E7F"/>
    <w:rsid w:val="001B1E9F"/>
    <w:rsid w:val="001B1F39"/>
    <w:rsid w:val="001B1F98"/>
    <w:rsid w:val="001B1FA6"/>
    <w:rsid w:val="001B206F"/>
    <w:rsid w:val="001B20F7"/>
    <w:rsid w:val="001B2120"/>
    <w:rsid w:val="001B212F"/>
    <w:rsid w:val="001B2176"/>
    <w:rsid w:val="001B21E9"/>
    <w:rsid w:val="001B2213"/>
    <w:rsid w:val="001B2240"/>
    <w:rsid w:val="001B2316"/>
    <w:rsid w:val="001B2376"/>
    <w:rsid w:val="001B2386"/>
    <w:rsid w:val="001B23BD"/>
    <w:rsid w:val="001B23D7"/>
    <w:rsid w:val="001B23F4"/>
    <w:rsid w:val="001B2458"/>
    <w:rsid w:val="001B25BB"/>
    <w:rsid w:val="001B2654"/>
    <w:rsid w:val="001B265D"/>
    <w:rsid w:val="001B267E"/>
    <w:rsid w:val="001B26A6"/>
    <w:rsid w:val="001B275B"/>
    <w:rsid w:val="001B27BA"/>
    <w:rsid w:val="001B27BC"/>
    <w:rsid w:val="001B27D1"/>
    <w:rsid w:val="001B2813"/>
    <w:rsid w:val="001B2836"/>
    <w:rsid w:val="001B286D"/>
    <w:rsid w:val="001B2885"/>
    <w:rsid w:val="001B2958"/>
    <w:rsid w:val="001B295C"/>
    <w:rsid w:val="001B29DB"/>
    <w:rsid w:val="001B29F3"/>
    <w:rsid w:val="001B2A54"/>
    <w:rsid w:val="001B2A75"/>
    <w:rsid w:val="001B2A86"/>
    <w:rsid w:val="001B2ABC"/>
    <w:rsid w:val="001B2AC2"/>
    <w:rsid w:val="001B2B36"/>
    <w:rsid w:val="001B2BFD"/>
    <w:rsid w:val="001B2C00"/>
    <w:rsid w:val="001B2C50"/>
    <w:rsid w:val="001B2CCC"/>
    <w:rsid w:val="001B2D58"/>
    <w:rsid w:val="001B2DB2"/>
    <w:rsid w:val="001B2DC3"/>
    <w:rsid w:val="001B2DC5"/>
    <w:rsid w:val="001B2DC7"/>
    <w:rsid w:val="001B2DCB"/>
    <w:rsid w:val="001B2E2C"/>
    <w:rsid w:val="001B2E44"/>
    <w:rsid w:val="001B2E56"/>
    <w:rsid w:val="001B2E6E"/>
    <w:rsid w:val="001B2E9E"/>
    <w:rsid w:val="001B2EAA"/>
    <w:rsid w:val="001B2ED3"/>
    <w:rsid w:val="001B2FAF"/>
    <w:rsid w:val="001B2FDB"/>
    <w:rsid w:val="001B307F"/>
    <w:rsid w:val="001B30B5"/>
    <w:rsid w:val="001B30BB"/>
    <w:rsid w:val="001B30BE"/>
    <w:rsid w:val="001B30E6"/>
    <w:rsid w:val="001B3146"/>
    <w:rsid w:val="001B3158"/>
    <w:rsid w:val="001B3167"/>
    <w:rsid w:val="001B316B"/>
    <w:rsid w:val="001B3178"/>
    <w:rsid w:val="001B3190"/>
    <w:rsid w:val="001B31D8"/>
    <w:rsid w:val="001B31F6"/>
    <w:rsid w:val="001B3218"/>
    <w:rsid w:val="001B3243"/>
    <w:rsid w:val="001B32F8"/>
    <w:rsid w:val="001B3349"/>
    <w:rsid w:val="001B3365"/>
    <w:rsid w:val="001B3370"/>
    <w:rsid w:val="001B33DD"/>
    <w:rsid w:val="001B3439"/>
    <w:rsid w:val="001B3445"/>
    <w:rsid w:val="001B3472"/>
    <w:rsid w:val="001B34BA"/>
    <w:rsid w:val="001B34EF"/>
    <w:rsid w:val="001B34FA"/>
    <w:rsid w:val="001B354C"/>
    <w:rsid w:val="001B358C"/>
    <w:rsid w:val="001B358D"/>
    <w:rsid w:val="001B35FA"/>
    <w:rsid w:val="001B3698"/>
    <w:rsid w:val="001B3754"/>
    <w:rsid w:val="001B378C"/>
    <w:rsid w:val="001B37A3"/>
    <w:rsid w:val="001B37F6"/>
    <w:rsid w:val="001B3818"/>
    <w:rsid w:val="001B382D"/>
    <w:rsid w:val="001B3857"/>
    <w:rsid w:val="001B3899"/>
    <w:rsid w:val="001B38CE"/>
    <w:rsid w:val="001B3951"/>
    <w:rsid w:val="001B39CF"/>
    <w:rsid w:val="001B39F8"/>
    <w:rsid w:val="001B3A02"/>
    <w:rsid w:val="001B3A16"/>
    <w:rsid w:val="001B3B6D"/>
    <w:rsid w:val="001B3BC0"/>
    <w:rsid w:val="001B3C06"/>
    <w:rsid w:val="001B3C68"/>
    <w:rsid w:val="001B3CCA"/>
    <w:rsid w:val="001B3CEC"/>
    <w:rsid w:val="001B3DB0"/>
    <w:rsid w:val="001B3E05"/>
    <w:rsid w:val="001B3E16"/>
    <w:rsid w:val="001B3E8D"/>
    <w:rsid w:val="001B3ECA"/>
    <w:rsid w:val="001B3ECB"/>
    <w:rsid w:val="001B3ED5"/>
    <w:rsid w:val="001B3ED6"/>
    <w:rsid w:val="001B3EE5"/>
    <w:rsid w:val="001B3F42"/>
    <w:rsid w:val="001B3F5B"/>
    <w:rsid w:val="001B3FA1"/>
    <w:rsid w:val="001B3FBA"/>
    <w:rsid w:val="001B3FBE"/>
    <w:rsid w:val="001B3FD8"/>
    <w:rsid w:val="001B3FDD"/>
    <w:rsid w:val="001B3FF1"/>
    <w:rsid w:val="001B3FF3"/>
    <w:rsid w:val="001B401B"/>
    <w:rsid w:val="001B403F"/>
    <w:rsid w:val="001B4072"/>
    <w:rsid w:val="001B4087"/>
    <w:rsid w:val="001B40BE"/>
    <w:rsid w:val="001B40F5"/>
    <w:rsid w:val="001B413D"/>
    <w:rsid w:val="001B4175"/>
    <w:rsid w:val="001B4198"/>
    <w:rsid w:val="001B41F5"/>
    <w:rsid w:val="001B4212"/>
    <w:rsid w:val="001B4269"/>
    <w:rsid w:val="001B42BF"/>
    <w:rsid w:val="001B4323"/>
    <w:rsid w:val="001B4361"/>
    <w:rsid w:val="001B4366"/>
    <w:rsid w:val="001B4393"/>
    <w:rsid w:val="001B43CC"/>
    <w:rsid w:val="001B43E4"/>
    <w:rsid w:val="001B440F"/>
    <w:rsid w:val="001B443C"/>
    <w:rsid w:val="001B4445"/>
    <w:rsid w:val="001B44C0"/>
    <w:rsid w:val="001B45BD"/>
    <w:rsid w:val="001B45F4"/>
    <w:rsid w:val="001B460E"/>
    <w:rsid w:val="001B46E5"/>
    <w:rsid w:val="001B46ED"/>
    <w:rsid w:val="001B471D"/>
    <w:rsid w:val="001B4763"/>
    <w:rsid w:val="001B4790"/>
    <w:rsid w:val="001B47AD"/>
    <w:rsid w:val="001B47BB"/>
    <w:rsid w:val="001B4841"/>
    <w:rsid w:val="001B4870"/>
    <w:rsid w:val="001B48E1"/>
    <w:rsid w:val="001B4910"/>
    <w:rsid w:val="001B491D"/>
    <w:rsid w:val="001B4981"/>
    <w:rsid w:val="001B4A9E"/>
    <w:rsid w:val="001B4AE7"/>
    <w:rsid w:val="001B4B0C"/>
    <w:rsid w:val="001B4B27"/>
    <w:rsid w:val="001B4BBA"/>
    <w:rsid w:val="001B4C26"/>
    <w:rsid w:val="001B4C31"/>
    <w:rsid w:val="001B4C5B"/>
    <w:rsid w:val="001B4D13"/>
    <w:rsid w:val="001B4D25"/>
    <w:rsid w:val="001B4D41"/>
    <w:rsid w:val="001B4D6A"/>
    <w:rsid w:val="001B4D89"/>
    <w:rsid w:val="001B4DDA"/>
    <w:rsid w:val="001B4DEF"/>
    <w:rsid w:val="001B4DFA"/>
    <w:rsid w:val="001B4E56"/>
    <w:rsid w:val="001B4EA3"/>
    <w:rsid w:val="001B4EDC"/>
    <w:rsid w:val="001B4F02"/>
    <w:rsid w:val="001B4F05"/>
    <w:rsid w:val="001B4F74"/>
    <w:rsid w:val="001B4F7B"/>
    <w:rsid w:val="001B4FA5"/>
    <w:rsid w:val="001B4FC1"/>
    <w:rsid w:val="001B4FF2"/>
    <w:rsid w:val="001B4FFB"/>
    <w:rsid w:val="001B503B"/>
    <w:rsid w:val="001B50E9"/>
    <w:rsid w:val="001B5151"/>
    <w:rsid w:val="001B5153"/>
    <w:rsid w:val="001B519F"/>
    <w:rsid w:val="001B51B8"/>
    <w:rsid w:val="001B5217"/>
    <w:rsid w:val="001B522E"/>
    <w:rsid w:val="001B52C1"/>
    <w:rsid w:val="001B535F"/>
    <w:rsid w:val="001B5362"/>
    <w:rsid w:val="001B53AE"/>
    <w:rsid w:val="001B53DB"/>
    <w:rsid w:val="001B5406"/>
    <w:rsid w:val="001B5407"/>
    <w:rsid w:val="001B540A"/>
    <w:rsid w:val="001B5452"/>
    <w:rsid w:val="001B5460"/>
    <w:rsid w:val="001B5477"/>
    <w:rsid w:val="001B5495"/>
    <w:rsid w:val="001B54D8"/>
    <w:rsid w:val="001B550F"/>
    <w:rsid w:val="001B5590"/>
    <w:rsid w:val="001B55A5"/>
    <w:rsid w:val="001B55FF"/>
    <w:rsid w:val="001B560A"/>
    <w:rsid w:val="001B5632"/>
    <w:rsid w:val="001B56C6"/>
    <w:rsid w:val="001B56F6"/>
    <w:rsid w:val="001B570E"/>
    <w:rsid w:val="001B5717"/>
    <w:rsid w:val="001B5734"/>
    <w:rsid w:val="001B574F"/>
    <w:rsid w:val="001B5799"/>
    <w:rsid w:val="001B57E8"/>
    <w:rsid w:val="001B5804"/>
    <w:rsid w:val="001B5808"/>
    <w:rsid w:val="001B5833"/>
    <w:rsid w:val="001B5864"/>
    <w:rsid w:val="001B58A3"/>
    <w:rsid w:val="001B5909"/>
    <w:rsid w:val="001B5985"/>
    <w:rsid w:val="001B5A13"/>
    <w:rsid w:val="001B5A14"/>
    <w:rsid w:val="001B5A19"/>
    <w:rsid w:val="001B5A1D"/>
    <w:rsid w:val="001B5A80"/>
    <w:rsid w:val="001B5AB7"/>
    <w:rsid w:val="001B5B61"/>
    <w:rsid w:val="001B5BC3"/>
    <w:rsid w:val="001B5BDA"/>
    <w:rsid w:val="001B5BF7"/>
    <w:rsid w:val="001B5C74"/>
    <w:rsid w:val="001B5CD4"/>
    <w:rsid w:val="001B5CE0"/>
    <w:rsid w:val="001B5E3A"/>
    <w:rsid w:val="001B5E5D"/>
    <w:rsid w:val="001B5EC1"/>
    <w:rsid w:val="001B5ED2"/>
    <w:rsid w:val="001B5F03"/>
    <w:rsid w:val="001B5F35"/>
    <w:rsid w:val="001B5FCD"/>
    <w:rsid w:val="001B6040"/>
    <w:rsid w:val="001B608A"/>
    <w:rsid w:val="001B610C"/>
    <w:rsid w:val="001B61A9"/>
    <w:rsid w:val="001B6349"/>
    <w:rsid w:val="001B6358"/>
    <w:rsid w:val="001B635B"/>
    <w:rsid w:val="001B637A"/>
    <w:rsid w:val="001B63B8"/>
    <w:rsid w:val="001B6416"/>
    <w:rsid w:val="001B6435"/>
    <w:rsid w:val="001B64E4"/>
    <w:rsid w:val="001B6504"/>
    <w:rsid w:val="001B6512"/>
    <w:rsid w:val="001B655E"/>
    <w:rsid w:val="001B65EF"/>
    <w:rsid w:val="001B66D0"/>
    <w:rsid w:val="001B66E3"/>
    <w:rsid w:val="001B6717"/>
    <w:rsid w:val="001B673A"/>
    <w:rsid w:val="001B674C"/>
    <w:rsid w:val="001B675B"/>
    <w:rsid w:val="001B684B"/>
    <w:rsid w:val="001B6869"/>
    <w:rsid w:val="001B687A"/>
    <w:rsid w:val="001B68D8"/>
    <w:rsid w:val="001B6A0F"/>
    <w:rsid w:val="001B6B26"/>
    <w:rsid w:val="001B6B65"/>
    <w:rsid w:val="001B6BB8"/>
    <w:rsid w:val="001B6BCC"/>
    <w:rsid w:val="001B6BEE"/>
    <w:rsid w:val="001B6BFB"/>
    <w:rsid w:val="001B6BFD"/>
    <w:rsid w:val="001B6C18"/>
    <w:rsid w:val="001B6C60"/>
    <w:rsid w:val="001B6C75"/>
    <w:rsid w:val="001B6CCE"/>
    <w:rsid w:val="001B6CDA"/>
    <w:rsid w:val="001B6D4E"/>
    <w:rsid w:val="001B6D63"/>
    <w:rsid w:val="001B6DF8"/>
    <w:rsid w:val="001B6DFB"/>
    <w:rsid w:val="001B6E02"/>
    <w:rsid w:val="001B6E96"/>
    <w:rsid w:val="001B6EE4"/>
    <w:rsid w:val="001B6F07"/>
    <w:rsid w:val="001B6F2E"/>
    <w:rsid w:val="001B6FF6"/>
    <w:rsid w:val="001B7082"/>
    <w:rsid w:val="001B7177"/>
    <w:rsid w:val="001B7195"/>
    <w:rsid w:val="001B71AA"/>
    <w:rsid w:val="001B71B8"/>
    <w:rsid w:val="001B7239"/>
    <w:rsid w:val="001B7272"/>
    <w:rsid w:val="001B72D1"/>
    <w:rsid w:val="001B7308"/>
    <w:rsid w:val="001B730E"/>
    <w:rsid w:val="001B7404"/>
    <w:rsid w:val="001B7423"/>
    <w:rsid w:val="001B756D"/>
    <w:rsid w:val="001B7597"/>
    <w:rsid w:val="001B75B9"/>
    <w:rsid w:val="001B75C5"/>
    <w:rsid w:val="001B75D4"/>
    <w:rsid w:val="001B76E9"/>
    <w:rsid w:val="001B7718"/>
    <w:rsid w:val="001B7814"/>
    <w:rsid w:val="001B7847"/>
    <w:rsid w:val="001B78EE"/>
    <w:rsid w:val="001B7972"/>
    <w:rsid w:val="001B7987"/>
    <w:rsid w:val="001B7A5D"/>
    <w:rsid w:val="001B7AD2"/>
    <w:rsid w:val="001B7B81"/>
    <w:rsid w:val="001B7B92"/>
    <w:rsid w:val="001B7BB5"/>
    <w:rsid w:val="001B7BBE"/>
    <w:rsid w:val="001B7C81"/>
    <w:rsid w:val="001B7CA0"/>
    <w:rsid w:val="001B7CA3"/>
    <w:rsid w:val="001B7CAF"/>
    <w:rsid w:val="001B7CC5"/>
    <w:rsid w:val="001B7CD9"/>
    <w:rsid w:val="001B7CFC"/>
    <w:rsid w:val="001B7DBD"/>
    <w:rsid w:val="001B7E13"/>
    <w:rsid w:val="001B7E15"/>
    <w:rsid w:val="001B7EAB"/>
    <w:rsid w:val="001B7F16"/>
    <w:rsid w:val="001B7F3D"/>
    <w:rsid w:val="001B7FEB"/>
    <w:rsid w:val="001C0049"/>
    <w:rsid w:val="001C0092"/>
    <w:rsid w:val="001C0112"/>
    <w:rsid w:val="001C013B"/>
    <w:rsid w:val="001C01C3"/>
    <w:rsid w:val="001C01C8"/>
    <w:rsid w:val="001C01F0"/>
    <w:rsid w:val="001C028F"/>
    <w:rsid w:val="001C02F6"/>
    <w:rsid w:val="001C035B"/>
    <w:rsid w:val="001C03DC"/>
    <w:rsid w:val="001C0401"/>
    <w:rsid w:val="001C042F"/>
    <w:rsid w:val="001C0452"/>
    <w:rsid w:val="001C0466"/>
    <w:rsid w:val="001C04D2"/>
    <w:rsid w:val="001C05A8"/>
    <w:rsid w:val="001C05B1"/>
    <w:rsid w:val="001C05C8"/>
    <w:rsid w:val="001C05D3"/>
    <w:rsid w:val="001C05D9"/>
    <w:rsid w:val="001C05F0"/>
    <w:rsid w:val="001C0632"/>
    <w:rsid w:val="001C0698"/>
    <w:rsid w:val="001C0783"/>
    <w:rsid w:val="001C0797"/>
    <w:rsid w:val="001C08A3"/>
    <w:rsid w:val="001C08CE"/>
    <w:rsid w:val="001C08DA"/>
    <w:rsid w:val="001C08EB"/>
    <w:rsid w:val="001C092B"/>
    <w:rsid w:val="001C0962"/>
    <w:rsid w:val="001C096E"/>
    <w:rsid w:val="001C0A01"/>
    <w:rsid w:val="001C0A06"/>
    <w:rsid w:val="001C0A0F"/>
    <w:rsid w:val="001C0AE1"/>
    <w:rsid w:val="001C0AF4"/>
    <w:rsid w:val="001C0B19"/>
    <w:rsid w:val="001C0B5D"/>
    <w:rsid w:val="001C0B68"/>
    <w:rsid w:val="001C0B86"/>
    <w:rsid w:val="001C0BA5"/>
    <w:rsid w:val="001C0BAC"/>
    <w:rsid w:val="001C0BB6"/>
    <w:rsid w:val="001C0C0E"/>
    <w:rsid w:val="001C0C23"/>
    <w:rsid w:val="001C0CC4"/>
    <w:rsid w:val="001C0CC8"/>
    <w:rsid w:val="001C0CF9"/>
    <w:rsid w:val="001C0D69"/>
    <w:rsid w:val="001C0DD5"/>
    <w:rsid w:val="001C0DDC"/>
    <w:rsid w:val="001C0DF8"/>
    <w:rsid w:val="001C0E0F"/>
    <w:rsid w:val="001C0F53"/>
    <w:rsid w:val="001C0F55"/>
    <w:rsid w:val="001C0FD7"/>
    <w:rsid w:val="001C0FE2"/>
    <w:rsid w:val="001C1021"/>
    <w:rsid w:val="001C102A"/>
    <w:rsid w:val="001C1068"/>
    <w:rsid w:val="001C108E"/>
    <w:rsid w:val="001C10B7"/>
    <w:rsid w:val="001C10BA"/>
    <w:rsid w:val="001C114A"/>
    <w:rsid w:val="001C114D"/>
    <w:rsid w:val="001C1163"/>
    <w:rsid w:val="001C1188"/>
    <w:rsid w:val="001C11A7"/>
    <w:rsid w:val="001C11AB"/>
    <w:rsid w:val="001C11F6"/>
    <w:rsid w:val="001C1231"/>
    <w:rsid w:val="001C125B"/>
    <w:rsid w:val="001C1280"/>
    <w:rsid w:val="001C12D6"/>
    <w:rsid w:val="001C12D7"/>
    <w:rsid w:val="001C1308"/>
    <w:rsid w:val="001C135C"/>
    <w:rsid w:val="001C138F"/>
    <w:rsid w:val="001C13F7"/>
    <w:rsid w:val="001C142A"/>
    <w:rsid w:val="001C1435"/>
    <w:rsid w:val="001C1436"/>
    <w:rsid w:val="001C1465"/>
    <w:rsid w:val="001C14B7"/>
    <w:rsid w:val="001C14E4"/>
    <w:rsid w:val="001C14F0"/>
    <w:rsid w:val="001C154B"/>
    <w:rsid w:val="001C1584"/>
    <w:rsid w:val="001C15F9"/>
    <w:rsid w:val="001C1617"/>
    <w:rsid w:val="001C168A"/>
    <w:rsid w:val="001C1768"/>
    <w:rsid w:val="001C176C"/>
    <w:rsid w:val="001C17EC"/>
    <w:rsid w:val="001C17F5"/>
    <w:rsid w:val="001C184A"/>
    <w:rsid w:val="001C1862"/>
    <w:rsid w:val="001C18BC"/>
    <w:rsid w:val="001C18C4"/>
    <w:rsid w:val="001C18CD"/>
    <w:rsid w:val="001C18D9"/>
    <w:rsid w:val="001C18E1"/>
    <w:rsid w:val="001C18EE"/>
    <w:rsid w:val="001C18FD"/>
    <w:rsid w:val="001C1986"/>
    <w:rsid w:val="001C198B"/>
    <w:rsid w:val="001C19A1"/>
    <w:rsid w:val="001C19D8"/>
    <w:rsid w:val="001C1A08"/>
    <w:rsid w:val="001C1A70"/>
    <w:rsid w:val="001C1ADB"/>
    <w:rsid w:val="001C1B02"/>
    <w:rsid w:val="001C1B61"/>
    <w:rsid w:val="001C1BAE"/>
    <w:rsid w:val="001C1BD8"/>
    <w:rsid w:val="001C1C8E"/>
    <w:rsid w:val="001C1CB9"/>
    <w:rsid w:val="001C1D3D"/>
    <w:rsid w:val="001C1D9D"/>
    <w:rsid w:val="001C1DB5"/>
    <w:rsid w:val="001C1DC3"/>
    <w:rsid w:val="001C1DC4"/>
    <w:rsid w:val="001C1E1F"/>
    <w:rsid w:val="001C1E4C"/>
    <w:rsid w:val="001C1E84"/>
    <w:rsid w:val="001C1EEB"/>
    <w:rsid w:val="001C1F2A"/>
    <w:rsid w:val="001C1F73"/>
    <w:rsid w:val="001C1FF2"/>
    <w:rsid w:val="001C2013"/>
    <w:rsid w:val="001C2034"/>
    <w:rsid w:val="001C2057"/>
    <w:rsid w:val="001C2070"/>
    <w:rsid w:val="001C20A6"/>
    <w:rsid w:val="001C20BA"/>
    <w:rsid w:val="001C2154"/>
    <w:rsid w:val="001C2179"/>
    <w:rsid w:val="001C21CF"/>
    <w:rsid w:val="001C21D5"/>
    <w:rsid w:val="001C2234"/>
    <w:rsid w:val="001C228F"/>
    <w:rsid w:val="001C2296"/>
    <w:rsid w:val="001C22BC"/>
    <w:rsid w:val="001C2332"/>
    <w:rsid w:val="001C2344"/>
    <w:rsid w:val="001C2418"/>
    <w:rsid w:val="001C2438"/>
    <w:rsid w:val="001C2466"/>
    <w:rsid w:val="001C24B5"/>
    <w:rsid w:val="001C24E3"/>
    <w:rsid w:val="001C2512"/>
    <w:rsid w:val="001C25A1"/>
    <w:rsid w:val="001C25BD"/>
    <w:rsid w:val="001C2668"/>
    <w:rsid w:val="001C2671"/>
    <w:rsid w:val="001C2751"/>
    <w:rsid w:val="001C27AA"/>
    <w:rsid w:val="001C282C"/>
    <w:rsid w:val="001C283E"/>
    <w:rsid w:val="001C289D"/>
    <w:rsid w:val="001C28FD"/>
    <w:rsid w:val="001C28FE"/>
    <w:rsid w:val="001C2980"/>
    <w:rsid w:val="001C2A1E"/>
    <w:rsid w:val="001C2A99"/>
    <w:rsid w:val="001C2B35"/>
    <w:rsid w:val="001C2B49"/>
    <w:rsid w:val="001C2B6E"/>
    <w:rsid w:val="001C2B8E"/>
    <w:rsid w:val="001C2BC7"/>
    <w:rsid w:val="001C2BD0"/>
    <w:rsid w:val="001C2BF3"/>
    <w:rsid w:val="001C2C21"/>
    <w:rsid w:val="001C2C2C"/>
    <w:rsid w:val="001C2C4C"/>
    <w:rsid w:val="001C2CD6"/>
    <w:rsid w:val="001C2DBD"/>
    <w:rsid w:val="001C2DF7"/>
    <w:rsid w:val="001C2ED7"/>
    <w:rsid w:val="001C2EF2"/>
    <w:rsid w:val="001C2FEB"/>
    <w:rsid w:val="001C300E"/>
    <w:rsid w:val="001C305B"/>
    <w:rsid w:val="001C3076"/>
    <w:rsid w:val="001C3096"/>
    <w:rsid w:val="001C3144"/>
    <w:rsid w:val="001C3145"/>
    <w:rsid w:val="001C32FE"/>
    <w:rsid w:val="001C3331"/>
    <w:rsid w:val="001C334B"/>
    <w:rsid w:val="001C336D"/>
    <w:rsid w:val="001C33E0"/>
    <w:rsid w:val="001C3437"/>
    <w:rsid w:val="001C3496"/>
    <w:rsid w:val="001C34CF"/>
    <w:rsid w:val="001C34D1"/>
    <w:rsid w:val="001C34F5"/>
    <w:rsid w:val="001C3521"/>
    <w:rsid w:val="001C3532"/>
    <w:rsid w:val="001C3590"/>
    <w:rsid w:val="001C3591"/>
    <w:rsid w:val="001C3699"/>
    <w:rsid w:val="001C3777"/>
    <w:rsid w:val="001C37CF"/>
    <w:rsid w:val="001C3809"/>
    <w:rsid w:val="001C3837"/>
    <w:rsid w:val="001C384E"/>
    <w:rsid w:val="001C3853"/>
    <w:rsid w:val="001C38A1"/>
    <w:rsid w:val="001C390B"/>
    <w:rsid w:val="001C395A"/>
    <w:rsid w:val="001C3981"/>
    <w:rsid w:val="001C3A0E"/>
    <w:rsid w:val="001C3A43"/>
    <w:rsid w:val="001C3A63"/>
    <w:rsid w:val="001C3A6F"/>
    <w:rsid w:val="001C3A7A"/>
    <w:rsid w:val="001C3A7F"/>
    <w:rsid w:val="001C3A88"/>
    <w:rsid w:val="001C3A94"/>
    <w:rsid w:val="001C3AE7"/>
    <w:rsid w:val="001C3B62"/>
    <w:rsid w:val="001C3B64"/>
    <w:rsid w:val="001C3B8F"/>
    <w:rsid w:val="001C3BAC"/>
    <w:rsid w:val="001C3BAF"/>
    <w:rsid w:val="001C3BE5"/>
    <w:rsid w:val="001C3BEA"/>
    <w:rsid w:val="001C3C1A"/>
    <w:rsid w:val="001C3C35"/>
    <w:rsid w:val="001C3CAF"/>
    <w:rsid w:val="001C3D0A"/>
    <w:rsid w:val="001C3D10"/>
    <w:rsid w:val="001C3D4E"/>
    <w:rsid w:val="001C3D59"/>
    <w:rsid w:val="001C3D5E"/>
    <w:rsid w:val="001C3D67"/>
    <w:rsid w:val="001C3DA8"/>
    <w:rsid w:val="001C3E6B"/>
    <w:rsid w:val="001C3EB3"/>
    <w:rsid w:val="001C3F2E"/>
    <w:rsid w:val="001C3F49"/>
    <w:rsid w:val="001C3F81"/>
    <w:rsid w:val="001C40A6"/>
    <w:rsid w:val="001C40A8"/>
    <w:rsid w:val="001C41E0"/>
    <w:rsid w:val="001C41E1"/>
    <w:rsid w:val="001C423C"/>
    <w:rsid w:val="001C4298"/>
    <w:rsid w:val="001C42C1"/>
    <w:rsid w:val="001C42C7"/>
    <w:rsid w:val="001C42CF"/>
    <w:rsid w:val="001C42E1"/>
    <w:rsid w:val="001C42E8"/>
    <w:rsid w:val="001C43C8"/>
    <w:rsid w:val="001C43D2"/>
    <w:rsid w:val="001C43D7"/>
    <w:rsid w:val="001C4403"/>
    <w:rsid w:val="001C4409"/>
    <w:rsid w:val="001C4427"/>
    <w:rsid w:val="001C4442"/>
    <w:rsid w:val="001C4452"/>
    <w:rsid w:val="001C44A2"/>
    <w:rsid w:val="001C44DB"/>
    <w:rsid w:val="001C44E0"/>
    <w:rsid w:val="001C4553"/>
    <w:rsid w:val="001C4560"/>
    <w:rsid w:val="001C45FD"/>
    <w:rsid w:val="001C465E"/>
    <w:rsid w:val="001C4694"/>
    <w:rsid w:val="001C46A1"/>
    <w:rsid w:val="001C46A4"/>
    <w:rsid w:val="001C46B5"/>
    <w:rsid w:val="001C46C9"/>
    <w:rsid w:val="001C46F4"/>
    <w:rsid w:val="001C46F5"/>
    <w:rsid w:val="001C471F"/>
    <w:rsid w:val="001C4835"/>
    <w:rsid w:val="001C487F"/>
    <w:rsid w:val="001C48A6"/>
    <w:rsid w:val="001C498E"/>
    <w:rsid w:val="001C49B0"/>
    <w:rsid w:val="001C4A63"/>
    <w:rsid w:val="001C4A75"/>
    <w:rsid w:val="001C4A9C"/>
    <w:rsid w:val="001C4AD7"/>
    <w:rsid w:val="001C4B38"/>
    <w:rsid w:val="001C4B53"/>
    <w:rsid w:val="001C4B83"/>
    <w:rsid w:val="001C4B87"/>
    <w:rsid w:val="001C4C0E"/>
    <w:rsid w:val="001C4C1C"/>
    <w:rsid w:val="001C4C84"/>
    <w:rsid w:val="001C4CC5"/>
    <w:rsid w:val="001C4D29"/>
    <w:rsid w:val="001C4D8F"/>
    <w:rsid w:val="001C4DE6"/>
    <w:rsid w:val="001C4DF4"/>
    <w:rsid w:val="001C4DF7"/>
    <w:rsid w:val="001C4E07"/>
    <w:rsid w:val="001C4E44"/>
    <w:rsid w:val="001C4E50"/>
    <w:rsid w:val="001C4EBF"/>
    <w:rsid w:val="001C4ECA"/>
    <w:rsid w:val="001C4EDC"/>
    <w:rsid w:val="001C4EDD"/>
    <w:rsid w:val="001C4F5C"/>
    <w:rsid w:val="001C4F71"/>
    <w:rsid w:val="001C4FD2"/>
    <w:rsid w:val="001C4FFA"/>
    <w:rsid w:val="001C5030"/>
    <w:rsid w:val="001C509F"/>
    <w:rsid w:val="001C50F5"/>
    <w:rsid w:val="001C50FD"/>
    <w:rsid w:val="001C5103"/>
    <w:rsid w:val="001C510E"/>
    <w:rsid w:val="001C5174"/>
    <w:rsid w:val="001C51F7"/>
    <w:rsid w:val="001C525F"/>
    <w:rsid w:val="001C5304"/>
    <w:rsid w:val="001C532A"/>
    <w:rsid w:val="001C53DC"/>
    <w:rsid w:val="001C53EA"/>
    <w:rsid w:val="001C53ED"/>
    <w:rsid w:val="001C5494"/>
    <w:rsid w:val="001C54A5"/>
    <w:rsid w:val="001C54EF"/>
    <w:rsid w:val="001C55B5"/>
    <w:rsid w:val="001C55C2"/>
    <w:rsid w:val="001C55F2"/>
    <w:rsid w:val="001C56FD"/>
    <w:rsid w:val="001C5710"/>
    <w:rsid w:val="001C575E"/>
    <w:rsid w:val="001C5786"/>
    <w:rsid w:val="001C57B3"/>
    <w:rsid w:val="001C57BB"/>
    <w:rsid w:val="001C57D9"/>
    <w:rsid w:val="001C58A2"/>
    <w:rsid w:val="001C5970"/>
    <w:rsid w:val="001C5994"/>
    <w:rsid w:val="001C59C1"/>
    <w:rsid w:val="001C5A8E"/>
    <w:rsid w:val="001C5A9A"/>
    <w:rsid w:val="001C5AFE"/>
    <w:rsid w:val="001C5B0B"/>
    <w:rsid w:val="001C5B17"/>
    <w:rsid w:val="001C5C13"/>
    <w:rsid w:val="001C5C4B"/>
    <w:rsid w:val="001C5C4E"/>
    <w:rsid w:val="001C5C79"/>
    <w:rsid w:val="001C5D31"/>
    <w:rsid w:val="001C5D46"/>
    <w:rsid w:val="001C5D81"/>
    <w:rsid w:val="001C5D86"/>
    <w:rsid w:val="001C5D98"/>
    <w:rsid w:val="001C5DAC"/>
    <w:rsid w:val="001C5DD6"/>
    <w:rsid w:val="001C5E68"/>
    <w:rsid w:val="001C5E75"/>
    <w:rsid w:val="001C5E99"/>
    <w:rsid w:val="001C5ED2"/>
    <w:rsid w:val="001C5F29"/>
    <w:rsid w:val="001C5F8F"/>
    <w:rsid w:val="001C5FBC"/>
    <w:rsid w:val="001C60D1"/>
    <w:rsid w:val="001C60DC"/>
    <w:rsid w:val="001C60FF"/>
    <w:rsid w:val="001C6229"/>
    <w:rsid w:val="001C6249"/>
    <w:rsid w:val="001C626D"/>
    <w:rsid w:val="001C628D"/>
    <w:rsid w:val="001C6297"/>
    <w:rsid w:val="001C62AB"/>
    <w:rsid w:val="001C62B6"/>
    <w:rsid w:val="001C6342"/>
    <w:rsid w:val="001C6358"/>
    <w:rsid w:val="001C63BA"/>
    <w:rsid w:val="001C63D4"/>
    <w:rsid w:val="001C6447"/>
    <w:rsid w:val="001C6483"/>
    <w:rsid w:val="001C64B8"/>
    <w:rsid w:val="001C64CE"/>
    <w:rsid w:val="001C6507"/>
    <w:rsid w:val="001C6531"/>
    <w:rsid w:val="001C6558"/>
    <w:rsid w:val="001C659B"/>
    <w:rsid w:val="001C66DB"/>
    <w:rsid w:val="001C672A"/>
    <w:rsid w:val="001C6763"/>
    <w:rsid w:val="001C67D0"/>
    <w:rsid w:val="001C67E6"/>
    <w:rsid w:val="001C67FE"/>
    <w:rsid w:val="001C6855"/>
    <w:rsid w:val="001C6862"/>
    <w:rsid w:val="001C6870"/>
    <w:rsid w:val="001C6889"/>
    <w:rsid w:val="001C68C0"/>
    <w:rsid w:val="001C690D"/>
    <w:rsid w:val="001C6963"/>
    <w:rsid w:val="001C6969"/>
    <w:rsid w:val="001C69B9"/>
    <w:rsid w:val="001C6A3B"/>
    <w:rsid w:val="001C6A61"/>
    <w:rsid w:val="001C6A63"/>
    <w:rsid w:val="001C6A86"/>
    <w:rsid w:val="001C6ACA"/>
    <w:rsid w:val="001C6AEE"/>
    <w:rsid w:val="001C6B1E"/>
    <w:rsid w:val="001C6BE9"/>
    <w:rsid w:val="001C6BEE"/>
    <w:rsid w:val="001C6C6B"/>
    <w:rsid w:val="001C6C89"/>
    <w:rsid w:val="001C6C91"/>
    <w:rsid w:val="001C6CA4"/>
    <w:rsid w:val="001C6CF0"/>
    <w:rsid w:val="001C6CF4"/>
    <w:rsid w:val="001C6D0F"/>
    <w:rsid w:val="001C6D11"/>
    <w:rsid w:val="001C6D6D"/>
    <w:rsid w:val="001C6D85"/>
    <w:rsid w:val="001C6DEE"/>
    <w:rsid w:val="001C6E8A"/>
    <w:rsid w:val="001C6F1A"/>
    <w:rsid w:val="001C6F70"/>
    <w:rsid w:val="001C6FB0"/>
    <w:rsid w:val="001C6FC8"/>
    <w:rsid w:val="001C6FCE"/>
    <w:rsid w:val="001C7048"/>
    <w:rsid w:val="001C70E2"/>
    <w:rsid w:val="001C714C"/>
    <w:rsid w:val="001C716C"/>
    <w:rsid w:val="001C71D7"/>
    <w:rsid w:val="001C722F"/>
    <w:rsid w:val="001C723F"/>
    <w:rsid w:val="001C7305"/>
    <w:rsid w:val="001C7316"/>
    <w:rsid w:val="001C734F"/>
    <w:rsid w:val="001C7359"/>
    <w:rsid w:val="001C736B"/>
    <w:rsid w:val="001C7380"/>
    <w:rsid w:val="001C73AA"/>
    <w:rsid w:val="001C73AE"/>
    <w:rsid w:val="001C73CF"/>
    <w:rsid w:val="001C74FC"/>
    <w:rsid w:val="001C7548"/>
    <w:rsid w:val="001C75CA"/>
    <w:rsid w:val="001C75DB"/>
    <w:rsid w:val="001C7601"/>
    <w:rsid w:val="001C7700"/>
    <w:rsid w:val="001C775C"/>
    <w:rsid w:val="001C77A0"/>
    <w:rsid w:val="001C7837"/>
    <w:rsid w:val="001C78B3"/>
    <w:rsid w:val="001C78D7"/>
    <w:rsid w:val="001C7937"/>
    <w:rsid w:val="001C793B"/>
    <w:rsid w:val="001C7945"/>
    <w:rsid w:val="001C79AF"/>
    <w:rsid w:val="001C79E8"/>
    <w:rsid w:val="001C7A2E"/>
    <w:rsid w:val="001C7A47"/>
    <w:rsid w:val="001C7B3B"/>
    <w:rsid w:val="001C7C36"/>
    <w:rsid w:val="001C7C3F"/>
    <w:rsid w:val="001C7C52"/>
    <w:rsid w:val="001C7C5D"/>
    <w:rsid w:val="001C7C98"/>
    <w:rsid w:val="001C7CBB"/>
    <w:rsid w:val="001C7D4D"/>
    <w:rsid w:val="001C7D51"/>
    <w:rsid w:val="001C7DAE"/>
    <w:rsid w:val="001C7DAF"/>
    <w:rsid w:val="001C7DCF"/>
    <w:rsid w:val="001C7E3B"/>
    <w:rsid w:val="001C7E3F"/>
    <w:rsid w:val="001C7EDA"/>
    <w:rsid w:val="001C7EF7"/>
    <w:rsid w:val="001C7F1B"/>
    <w:rsid w:val="001C7F5B"/>
    <w:rsid w:val="001C7F5E"/>
    <w:rsid w:val="001C7F72"/>
    <w:rsid w:val="001C7FB2"/>
    <w:rsid w:val="001D0047"/>
    <w:rsid w:val="001D007F"/>
    <w:rsid w:val="001D0094"/>
    <w:rsid w:val="001D012B"/>
    <w:rsid w:val="001D0255"/>
    <w:rsid w:val="001D0310"/>
    <w:rsid w:val="001D034A"/>
    <w:rsid w:val="001D0371"/>
    <w:rsid w:val="001D03A7"/>
    <w:rsid w:val="001D0445"/>
    <w:rsid w:val="001D0481"/>
    <w:rsid w:val="001D04C4"/>
    <w:rsid w:val="001D0503"/>
    <w:rsid w:val="001D052D"/>
    <w:rsid w:val="001D058E"/>
    <w:rsid w:val="001D05E9"/>
    <w:rsid w:val="001D060B"/>
    <w:rsid w:val="001D065A"/>
    <w:rsid w:val="001D070E"/>
    <w:rsid w:val="001D0732"/>
    <w:rsid w:val="001D0755"/>
    <w:rsid w:val="001D0757"/>
    <w:rsid w:val="001D077A"/>
    <w:rsid w:val="001D07B4"/>
    <w:rsid w:val="001D07BC"/>
    <w:rsid w:val="001D07DF"/>
    <w:rsid w:val="001D07F3"/>
    <w:rsid w:val="001D07F8"/>
    <w:rsid w:val="001D07FA"/>
    <w:rsid w:val="001D082F"/>
    <w:rsid w:val="001D0887"/>
    <w:rsid w:val="001D0891"/>
    <w:rsid w:val="001D08D5"/>
    <w:rsid w:val="001D092C"/>
    <w:rsid w:val="001D09AC"/>
    <w:rsid w:val="001D0A0E"/>
    <w:rsid w:val="001D0AB4"/>
    <w:rsid w:val="001D0B2B"/>
    <w:rsid w:val="001D0B41"/>
    <w:rsid w:val="001D0B5B"/>
    <w:rsid w:val="001D0B72"/>
    <w:rsid w:val="001D0B75"/>
    <w:rsid w:val="001D0B87"/>
    <w:rsid w:val="001D0BA2"/>
    <w:rsid w:val="001D0BC5"/>
    <w:rsid w:val="001D0BCD"/>
    <w:rsid w:val="001D0BDF"/>
    <w:rsid w:val="001D0C14"/>
    <w:rsid w:val="001D0CDF"/>
    <w:rsid w:val="001D0CE5"/>
    <w:rsid w:val="001D0D0A"/>
    <w:rsid w:val="001D0D2B"/>
    <w:rsid w:val="001D0D5E"/>
    <w:rsid w:val="001D0D98"/>
    <w:rsid w:val="001D0E10"/>
    <w:rsid w:val="001D0E51"/>
    <w:rsid w:val="001D0E58"/>
    <w:rsid w:val="001D0EF1"/>
    <w:rsid w:val="001D0EFC"/>
    <w:rsid w:val="001D0F01"/>
    <w:rsid w:val="001D0FA9"/>
    <w:rsid w:val="001D0FAB"/>
    <w:rsid w:val="001D0FC7"/>
    <w:rsid w:val="001D1016"/>
    <w:rsid w:val="001D105D"/>
    <w:rsid w:val="001D1070"/>
    <w:rsid w:val="001D10E6"/>
    <w:rsid w:val="001D1153"/>
    <w:rsid w:val="001D1213"/>
    <w:rsid w:val="001D1243"/>
    <w:rsid w:val="001D1270"/>
    <w:rsid w:val="001D1284"/>
    <w:rsid w:val="001D12BE"/>
    <w:rsid w:val="001D1374"/>
    <w:rsid w:val="001D13A5"/>
    <w:rsid w:val="001D13B8"/>
    <w:rsid w:val="001D13BA"/>
    <w:rsid w:val="001D13CD"/>
    <w:rsid w:val="001D143C"/>
    <w:rsid w:val="001D145B"/>
    <w:rsid w:val="001D14CE"/>
    <w:rsid w:val="001D157D"/>
    <w:rsid w:val="001D15AE"/>
    <w:rsid w:val="001D15F1"/>
    <w:rsid w:val="001D1622"/>
    <w:rsid w:val="001D1660"/>
    <w:rsid w:val="001D1674"/>
    <w:rsid w:val="001D1734"/>
    <w:rsid w:val="001D174A"/>
    <w:rsid w:val="001D178C"/>
    <w:rsid w:val="001D1792"/>
    <w:rsid w:val="001D17B6"/>
    <w:rsid w:val="001D17DA"/>
    <w:rsid w:val="001D1808"/>
    <w:rsid w:val="001D183D"/>
    <w:rsid w:val="001D1872"/>
    <w:rsid w:val="001D18C2"/>
    <w:rsid w:val="001D18FB"/>
    <w:rsid w:val="001D1924"/>
    <w:rsid w:val="001D19CB"/>
    <w:rsid w:val="001D19EE"/>
    <w:rsid w:val="001D19F7"/>
    <w:rsid w:val="001D1A82"/>
    <w:rsid w:val="001D1B20"/>
    <w:rsid w:val="001D1B35"/>
    <w:rsid w:val="001D1B46"/>
    <w:rsid w:val="001D1BAA"/>
    <w:rsid w:val="001D1C16"/>
    <w:rsid w:val="001D1C1A"/>
    <w:rsid w:val="001D1C62"/>
    <w:rsid w:val="001D1CCD"/>
    <w:rsid w:val="001D1CF1"/>
    <w:rsid w:val="001D1D13"/>
    <w:rsid w:val="001D1D43"/>
    <w:rsid w:val="001D1DA2"/>
    <w:rsid w:val="001D1DAD"/>
    <w:rsid w:val="001D1DE6"/>
    <w:rsid w:val="001D1E3E"/>
    <w:rsid w:val="001D1EA9"/>
    <w:rsid w:val="001D1F05"/>
    <w:rsid w:val="001D1F06"/>
    <w:rsid w:val="001D1FB5"/>
    <w:rsid w:val="001D1FE3"/>
    <w:rsid w:val="001D2044"/>
    <w:rsid w:val="001D20F5"/>
    <w:rsid w:val="001D2160"/>
    <w:rsid w:val="001D2170"/>
    <w:rsid w:val="001D2238"/>
    <w:rsid w:val="001D227C"/>
    <w:rsid w:val="001D229E"/>
    <w:rsid w:val="001D22B0"/>
    <w:rsid w:val="001D22D8"/>
    <w:rsid w:val="001D2315"/>
    <w:rsid w:val="001D2349"/>
    <w:rsid w:val="001D23DA"/>
    <w:rsid w:val="001D240A"/>
    <w:rsid w:val="001D241E"/>
    <w:rsid w:val="001D2442"/>
    <w:rsid w:val="001D2470"/>
    <w:rsid w:val="001D2482"/>
    <w:rsid w:val="001D24A6"/>
    <w:rsid w:val="001D2516"/>
    <w:rsid w:val="001D2520"/>
    <w:rsid w:val="001D2527"/>
    <w:rsid w:val="001D2547"/>
    <w:rsid w:val="001D2565"/>
    <w:rsid w:val="001D256E"/>
    <w:rsid w:val="001D2577"/>
    <w:rsid w:val="001D258F"/>
    <w:rsid w:val="001D25D5"/>
    <w:rsid w:val="001D25D8"/>
    <w:rsid w:val="001D2664"/>
    <w:rsid w:val="001D266B"/>
    <w:rsid w:val="001D2682"/>
    <w:rsid w:val="001D2694"/>
    <w:rsid w:val="001D26D6"/>
    <w:rsid w:val="001D270C"/>
    <w:rsid w:val="001D2757"/>
    <w:rsid w:val="001D2758"/>
    <w:rsid w:val="001D275C"/>
    <w:rsid w:val="001D276F"/>
    <w:rsid w:val="001D27E0"/>
    <w:rsid w:val="001D2849"/>
    <w:rsid w:val="001D2861"/>
    <w:rsid w:val="001D28AB"/>
    <w:rsid w:val="001D28EC"/>
    <w:rsid w:val="001D2943"/>
    <w:rsid w:val="001D2971"/>
    <w:rsid w:val="001D2982"/>
    <w:rsid w:val="001D29C9"/>
    <w:rsid w:val="001D29DA"/>
    <w:rsid w:val="001D2A1D"/>
    <w:rsid w:val="001D2A2C"/>
    <w:rsid w:val="001D2A50"/>
    <w:rsid w:val="001D2AB8"/>
    <w:rsid w:val="001D2AF5"/>
    <w:rsid w:val="001D2BC5"/>
    <w:rsid w:val="001D2C19"/>
    <w:rsid w:val="001D2C8B"/>
    <w:rsid w:val="001D2CB2"/>
    <w:rsid w:val="001D2D03"/>
    <w:rsid w:val="001D2D1E"/>
    <w:rsid w:val="001D2D5B"/>
    <w:rsid w:val="001D2DA3"/>
    <w:rsid w:val="001D2DE2"/>
    <w:rsid w:val="001D2DEC"/>
    <w:rsid w:val="001D2DFB"/>
    <w:rsid w:val="001D2EDC"/>
    <w:rsid w:val="001D2F0A"/>
    <w:rsid w:val="001D2F45"/>
    <w:rsid w:val="001D2F49"/>
    <w:rsid w:val="001D2F95"/>
    <w:rsid w:val="001D2FFC"/>
    <w:rsid w:val="001D3068"/>
    <w:rsid w:val="001D3087"/>
    <w:rsid w:val="001D3088"/>
    <w:rsid w:val="001D30DA"/>
    <w:rsid w:val="001D30E3"/>
    <w:rsid w:val="001D30E9"/>
    <w:rsid w:val="001D313A"/>
    <w:rsid w:val="001D31BA"/>
    <w:rsid w:val="001D31C3"/>
    <w:rsid w:val="001D324E"/>
    <w:rsid w:val="001D325C"/>
    <w:rsid w:val="001D3275"/>
    <w:rsid w:val="001D3294"/>
    <w:rsid w:val="001D3299"/>
    <w:rsid w:val="001D32C6"/>
    <w:rsid w:val="001D3353"/>
    <w:rsid w:val="001D3362"/>
    <w:rsid w:val="001D33BA"/>
    <w:rsid w:val="001D33C8"/>
    <w:rsid w:val="001D34BF"/>
    <w:rsid w:val="001D34E7"/>
    <w:rsid w:val="001D34F4"/>
    <w:rsid w:val="001D34F7"/>
    <w:rsid w:val="001D353D"/>
    <w:rsid w:val="001D3540"/>
    <w:rsid w:val="001D354B"/>
    <w:rsid w:val="001D3615"/>
    <w:rsid w:val="001D3626"/>
    <w:rsid w:val="001D3630"/>
    <w:rsid w:val="001D3638"/>
    <w:rsid w:val="001D3648"/>
    <w:rsid w:val="001D364E"/>
    <w:rsid w:val="001D369F"/>
    <w:rsid w:val="001D36BD"/>
    <w:rsid w:val="001D36D3"/>
    <w:rsid w:val="001D370A"/>
    <w:rsid w:val="001D3723"/>
    <w:rsid w:val="001D37E6"/>
    <w:rsid w:val="001D37E9"/>
    <w:rsid w:val="001D37FD"/>
    <w:rsid w:val="001D382F"/>
    <w:rsid w:val="001D383D"/>
    <w:rsid w:val="001D38BD"/>
    <w:rsid w:val="001D3915"/>
    <w:rsid w:val="001D3919"/>
    <w:rsid w:val="001D3983"/>
    <w:rsid w:val="001D3A28"/>
    <w:rsid w:val="001D3AB1"/>
    <w:rsid w:val="001D3AB7"/>
    <w:rsid w:val="001D3B1F"/>
    <w:rsid w:val="001D3BB2"/>
    <w:rsid w:val="001D3BC1"/>
    <w:rsid w:val="001D3C23"/>
    <w:rsid w:val="001D3C64"/>
    <w:rsid w:val="001D3CD0"/>
    <w:rsid w:val="001D3CE7"/>
    <w:rsid w:val="001D3D0D"/>
    <w:rsid w:val="001D3D4A"/>
    <w:rsid w:val="001D3D57"/>
    <w:rsid w:val="001D3D99"/>
    <w:rsid w:val="001D3DCB"/>
    <w:rsid w:val="001D3DDF"/>
    <w:rsid w:val="001D3E57"/>
    <w:rsid w:val="001D3EEA"/>
    <w:rsid w:val="001D3F6F"/>
    <w:rsid w:val="001D3FE6"/>
    <w:rsid w:val="001D402A"/>
    <w:rsid w:val="001D40C4"/>
    <w:rsid w:val="001D40ED"/>
    <w:rsid w:val="001D412E"/>
    <w:rsid w:val="001D4131"/>
    <w:rsid w:val="001D4179"/>
    <w:rsid w:val="001D41ED"/>
    <w:rsid w:val="001D421D"/>
    <w:rsid w:val="001D4224"/>
    <w:rsid w:val="001D4244"/>
    <w:rsid w:val="001D42DA"/>
    <w:rsid w:val="001D4342"/>
    <w:rsid w:val="001D4359"/>
    <w:rsid w:val="001D4387"/>
    <w:rsid w:val="001D43F8"/>
    <w:rsid w:val="001D4449"/>
    <w:rsid w:val="001D4458"/>
    <w:rsid w:val="001D4529"/>
    <w:rsid w:val="001D452A"/>
    <w:rsid w:val="001D4545"/>
    <w:rsid w:val="001D45B7"/>
    <w:rsid w:val="001D45D4"/>
    <w:rsid w:val="001D4610"/>
    <w:rsid w:val="001D462D"/>
    <w:rsid w:val="001D4683"/>
    <w:rsid w:val="001D46B1"/>
    <w:rsid w:val="001D47C2"/>
    <w:rsid w:val="001D47E9"/>
    <w:rsid w:val="001D489A"/>
    <w:rsid w:val="001D489F"/>
    <w:rsid w:val="001D48A7"/>
    <w:rsid w:val="001D48CE"/>
    <w:rsid w:val="001D48E6"/>
    <w:rsid w:val="001D48F8"/>
    <w:rsid w:val="001D4936"/>
    <w:rsid w:val="001D4943"/>
    <w:rsid w:val="001D49BA"/>
    <w:rsid w:val="001D49CB"/>
    <w:rsid w:val="001D49DD"/>
    <w:rsid w:val="001D49E3"/>
    <w:rsid w:val="001D4A04"/>
    <w:rsid w:val="001D4A29"/>
    <w:rsid w:val="001D4A74"/>
    <w:rsid w:val="001D4A7B"/>
    <w:rsid w:val="001D4AB3"/>
    <w:rsid w:val="001D4AC7"/>
    <w:rsid w:val="001D4B10"/>
    <w:rsid w:val="001D4B12"/>
    <w:rsid w:val="001D4B17"/>
    <w:rsid w:val="001D4B54"/>
    <w:rsid w:val="001D4B5B"/>
    <w:rsid w:val="001D4B75"/>
    <w:rsid w:val="001D4BC2"/>
    <w:rsid w:val="001D4BEC"/>
    <w:rsid w:val="001D4BF9"/>
    <w:rsid w:val="001D4CA3"/>
    <w:rsid w:val="001D4D76"/>
    <w:rsid w:val="001D4DEE"/>
    <w:rsid w:val="001D4E29"/>
    <w:rsid w:val="001D4E6F"/>
    <w:rsid w:val="001D4F14"/>
    <w:rsid w:val="001D4F2C"/>
    <w:rsid w:val="001D4F61"/>
    <w:rsid w:val="001D4F64"/>
    <w:rsid w:val="001D4F6D"/>
    <w:rsid w:val="001D4F75"/>
    <w:rsid w:val="001D4FBF"/>
    <w:rsid w:val="001D4FD8"/>
    <w:rsid w:val="001D4FF0"/>
    <w:rsid w:val="001D4FF8"/>
    <w:rsid w:val="001D5078"/>
    <w:rsid w:val="001D50D0"/>
    <w:rsid w:val="001D50D3"/>
    <w:rsid w:val="001D5100"/>
    <w:rsid w:val="001D5109"/>
    <w:rsid w:val="001D516C"/>
    <w:rsid w:val="001D51F0"/>
    <w:rsid w:val="001D5233"/>
    <w:rsid w:val="001D527B"/>
    <w:rsid w:val="001D5297"/>
    <w:rsid w:val="001D52EA"/>
    <w:rsid w:val="001D530D"/>
    <w:rsid w:val="001D537B"/>
    <w:rsid w:val="001D5398"/>
    <w:rsid w:val="001D53F9"/>
    <w:rsid w:val="001D5408"/>
    <w:rsid w:val="001D5436"/>
    <w:rsid w:val="001D5468"/>
    <w:rsid w:val="001D5475"/>
    <w:rsid w:val="001D54FE"/>
    <w:rsid w:val="001D5565"/>
    <w:rsid w:val="001D556A"/>
    <w:rsid w:val="001D5577"/>
    <w:rsid w:val="001D55BF"/>
    <w:rsid w:val="001D560A"/>
    <w:rsid w:val="001D560E"/>
    <w:rsid w:val="001D5680"/>
    <w:rsid w:val="001D5694"/>
    <w:rsid w:val="001D569D"/>
    <w:rsid w:val="001D56F9"/>
    <w:rsid w:val="001D5735"/>
    <w:rsid w:val="001D5794"/>
    <w:rsid w:val="001D57D3"/>
    <w:rsid w:val="001D57E2"/>
    <w:rsid w:val="001D58D7"/>
    <w:rsid w:val="001D593B"/>
    <w:rsid w:val="001D5968"/>
    <w:rsid w:val="001D59A4"/>
    <w:rsid w:val="001D59DD"/>
    <w:rsid w:val="001D59F7"/>
    <w:rsid w:val="001D5A26"/>
    <w:rsid w:val="001D5A43"/>
    <w:rsid w:val="001D5AAC"/>
    <w:rsid w:val="001D5AAE"/>
    <w:rsid w:val="001D5AB6"/>
    <w:rsid w:val="001D5ADA"/>
    <w:rsid w:val="001D5AE3"/>
    <w:rsid w:val="001D5AEA"/>
    <w:rsid w:val="001D5AF9"/>
    <w:rsid w:val="001D5B18"/>
    <w:rsid w:val="001D5B2D"/>
    <w:rsid w:val="001D5C2B"/>
    <w:rsid w:val="001D5C37"/>
    <w:rsid w:val="001D5C88"/>
    <w:rsid w:val="001D5CD8"/>
    <w:rsid w:val="001D5D20"/>
    <w:rsid w:val="001D5DC2"/>
    <w:rsid w:val="001D5DDC"/>
    <w:rsid w:val="001D5E00"/>
    <w:rsid w:val="001D5E05"/>
    <w:rsid w:val="001D5E9E"/>
    <w:rsid w:val="001D5EA4"/>
    <w:rsid w:val="001D5EAC"/>
    <w:rsid w:val="001D5EC4"/>
    <w:rsid w:val="001D5ECB"/>
    <w:rsid w:val="001D5F27"/>
    <w:rsid w:val="001D5F3A"/>
    <w:rsid w:val="001D5FBD"/>
    <w:rsid w:val="001D6024"/>
    <w:rsid w:val="001D6039"/>
    <w:rsid w:val="001D603F"/>
    <w:rsid w:val="001D60CE"/>
    <w:rsid w:val="001D60D4"/>
    <w:rsid w:val="001D6143"/>
    <w:rsid w:val="001D614B"/>
    <w:rsid w:val="001D6172"/>
    <w:rsid w:val="001D61BC"/>
    <w:rsid w:val="001D6223"/>
    <w:rsid w:val="001D625D"/>
    <w:rsid w:val="001D627E"/>
    <w:rsid w:val="001D62A4"/>
    <w:rsid w:val="001D62BE"/>
    <w:rsid w:val="001D62F6"/>
    <w:rsid w:val="001D62F7"/>
    <w:rsid w:val="001D6317"/>
    <w:rsid w:val="001D6338"/>
    <w:rsid w:val="001D63A3"/>
    <w:rsid w:val="001D63BE"/>
    <w:rsid w:val="001D6455"/>
    <w:rsid w:val="001D6488"/>
    <w:rsid w:val="001D6491"/>
    <w:rsid w:val="001D64EE"/>
    <w:rsid w:val="001D6513"/>
    <w:rsid w:val="001D6596"/>
    <w:rsid w:val="001D65CB"/>
    <w:rsid w:val="001D6615"/>
    <w:rsid w:val="001D6683"/>
    <w:rsid w:val="001D66E3"/>
    <w:rsid w:val="001D66EA"/>
    <w:rsid w:val="001D6770"/>
    <w:rsid w:val="001D67BF"/>
    <w:rsid w:val="001D67E5"/>
    <w:rsid w:val="001D688E"/>
    <w:rsid w:val="001D68AF"/>
    <w:rsid w:val="001D6901"/>
    <w:rsid w:val="001D698F"/>
    <w:rsid w:val="001D6A00"/>
    <w:rsid w:val="001D6A72"/>
    <w:rsid w:val="001D6A80"/>
    <w:rsid w:val="001D6AF1"/>
    <w:rsid w:val="001D6B19"/>
    <w:rsid w:val="001D6B2F"/>
    <w:rsid w:val="001D6B40"/>
    <w:rsid w:val="001D6B42"/>
    <w:rsid w:val="001D6B70"/>
    <w:rsid w:val="001D6BFF"/>
    <w:rsid w:val="001D6C92"/>
    <w:rsid w:val="001D6CC2"/>
    <w:rsid w:val="001D6D7B"/>
    <w:rsid w:val="001D6DC9"/>
    <w:rsid w:val="001D6EAA"/>
    <w:rsid w:val="001D6FBB"/>
    <w:rsid w:val="001D7029"/>
    <w:rsid w:val="001D705F"/>
    <w:rsid w:val="001D706F"/>
    <w:rsid w:val="001D70DA"/>
    <w:rsid w:val="001D71CF"/>
    <w:rsid w:val="001D7216"/>
    <w:rsid w:val="001D726F"/>
    <w:rsid w:val="001D7284"/>
    <w:rsid w:val="001D72F0"/>
    <w:rsid w:val="001D736F"/>
    <w:rsid w:val="001D73E0"/>
    <w:rsid w:val="001D73E7"/>
    <w:rsid w:val="001D73EB"/>
    <w:rsid w:val="001D7472"/>
    <w:rsid w:val="001D7479"/>
    <w:rsid w:val="001D7489"/>
    <w:rsid w:val="001D74D2"/>
    <w:rsid w:val="001D74DF"/>
    <w:rsid w:val="001D7557"/>
    <w:rsid w:val="001D756E"/>
    <w:rsid w:val="001D7599"/>
    <w:rsid w:val="001D75E5"/>
    <w:rsid w:val="001D762A"/>
    <w:rsid w:val="001D7641"/>
    <w:rsid w:val="001D76B5"/>
    <w:rsid w:val="001D76BA"/>
    <w:rsid w:val="001D76F4"/>
    <w:rsid w:val="001D7753"/>
    <w:rsid w:val="001D77FD"/>
    <w:rsid w:val="001D7849"/>
    <w:rsid w:val="001D78C2"/>
    <w:rsid w:val="001D78CD"/>
    <w:rsid w:val="001D7937"/>
    <w:rsid w:val="001D7944"/>
    <w:rsid w:val="001D7962"/>
    <w:rsid w:val="001D7999"/>
    <w:rsid w:val="001D7A2F"/>
    <w:rsid w:val="001D7A5B"/>
    <w:rsid w:val="001D7A67"/>
    <w:rsid w:val="001D7AA6"/>
    <w:rsid w:val="001D7AB6"/>
    <w:rsid w:val="001D7ABC"/>
    <w:rsid w:val="001D7B0D"/>
    <w:rsid w:val="001D7B1D"/>
    <w:rsid w:val="001D7B35"/>
    <w:rsid w:val="001D7B9A"/>
    <w:rsid w:val="001D7B9F"/>
    <w:rsid w:val="001D7BBC"/>
    <w:rsid w:val="001D7BC4"/>
    <w:rsid w:val="001D7C2D"/>
    <w:rsid w:val="001D7C5E"/>
    <w:rsid w:val="001D7CCF"/>
    <w:rsid w:val="001D7CFA"/>
    <w:rsid w:val="001D7CFB"/>
    <w:rsid w:val="001D7D98"/>
    <w:rsid w:val="001D7DB0"/>
    <w:rsid w:val="001D7DEA"/>
    <w:rsid w:val="001D7E11"/>
    <w:rsid w:val="001D7E55"/>
    <w:rsid w:val="001D7ECB"/>
    <w:rsid w:val="001D7EDA"/>
    <w:rsid w:val="001D7F56"/>
    <w:rsid w:val="001D7F77"/>
    <w:rsid w:val="001D7F82"/>
    <w:rsid w:val="001D7F9E"/>
    <w:rsid w:val="001D7FAE"/>
    <w:rsid w:val="001E0026"/>
    <w:rsid w:val="001E00B5"/>
    <w:rsid w:val="001E00D3"/>
    <w:rsid w:val="001E0116"/>
    <w:rsid w:val="001E0141"/>
    <w:rsid w:val="001E0159"/>
    <w:rsid w:val="001E016B"/>
    <w:rsid w:val="001E01A4"/>
    <w:rsid w:val="001E01AB"/>
    <w:rsid w:val="001E01C9"/>
    <w:rsid w:val="001E01F3"/>
    <w:rsid w:val="001E0256"/>
    <w:rsid w:val="001E0351"/>
    <w:rsid w:val="001E0395"/>
    <w:rsid w:val="001E039F"/>
    <w:rsid w:val="001E03BB"/>
    <w:rsid w:val="001E0401"/>
    <w:rsid w:val="001E042C"/>
    <w:rsid w:val="001E04FE"/>
    <w:rsid w:val="001E0564"/>
    <w:rsid w:val="001E0583"/>
    <w:rsid w:val="001E0584"/>
    <w:rsid w:val="001E05BE"/>
    <w:rsid w:val="001E0604"/>
    <w:rsid w:val="001E0614"/>
    <w:rsid w:val="001E0660"/>
    <w:rsid w:val="001E069B"/>
    <w:rsid w:val="001E06C0"/>
    <w:rsid w:val="001E0718"/>
    <w:rsid w:val="001E0755"/>
    <w:rsid w:val="001E0845"/>
    <w:rsid w:val="001E086E"/>
    <w:rsid w:val="001E087F"/>
    <w:rsid w:val="001E093B"/>
    <w:rsid w:val="001E09BD"/>
    <w:rsid w:val="001E0A1D"/>
    <w:rsid w:val="001E0A21"/>
    <w:rsid w:val="001E0A51"/>
    <w:rsid w:val="001E0A54"/>
    <w:rsid w:val="001E0AAC"/>
    <w:rsid w:val="001E0AEB"/>
    <w:rsid w:val="001E0AF9"/>
    <w:rsid w:val="001E0B00"/>
    <w:rsid w:val="001E0B28"/>
    <w:rsid w:val="001E0BDC"/>
    <w:rsid w:val="001E0C6E"/>
    <w:rsid w:val="001E0C78"/>
    <w:rsid w:val="001E0CE0"/>
    <w:rsid w:val="001E0D2B"/>
    <w:rsid w:val="001E0D2D"/>
    <w:rsid w:val="001E0D92"/>
    <w:rsid w:val="001E0E49"/>
    <w:rsid w:val="001E0E53"/>
    <w:rsid w:val="001E0E83"/>
    <w:rsid w:val="001E0E8F"/>
    <w:rsid w:val="001E0E9C"/>
    <w:rsid w:val="001E0EDB"/>
    <w:rsid w:val="001E0EFF"/>
    <w:rsid w:val="001E0F02"/>
    <w:rsid w:val="001E0F58"/>
    <w:rsid w:val="001E0FB7"/>
    <w:rsid w:val="001E0FB8"/>
    <w:rsid w:val="001E1029"/>
    <w:rsid w:val="001E1058"/>
    <w:rsid w:val="001E1061"/>
    <w:rsid w:val="001E106A"/>
    <w:rsid w:val="001E10B9"/>
    <w:rsid w:val="001E1119"/>
    <w:rsid w:val="001E116B"/>
    <w:rsid w:val="001E1180"/>
    <w:rsid w:val="001E11AE"/>
    <w:rsid w:val="001E1221"/>
    <w:rsid w:val="001E1231"/>
    <w:rsid w:val="001E12C2"/>
    <w:rsid w:val="001E12F0"/>
    <w:rsid w:val="001E132F"/>
    <w:rsid w:val="001E134A"/>
    <w:rsid w:val="001E1367"/>
    <w:rsid w:val="001E1371"/>
    <w:rsid w:val="001E13BC"/>
    <w:rsid w:val="001E13CA"/>
    <w:rsid w:val="001E1434"/>
    <w:rsid w:val="001E145B"/>
    <w:rsid w:val="001E1513"/>
    <w:rsid w:val="001E151B"/>
    <w:rsid w:val="001E1531"/>
    <w:rsid w:val="001E1554"/>
    <w:rsid w:val="001E1567"/>
    <w:rsid w:val="001E15CC"/>
    <w:rsid w:val="001E15E9"/>
    <w:rsid w:val="001E15FE"/>
    <w:rsid w:val="001E1643"/>
    <w:rsid w:val="001E16AB"/>
    <w:rsid w:val="001E177C"/>
    <w:rsid w:val="001E17BE"/>
    <w:rsid w:val="001E17D0"/>
    <w:rsid w:val="001E1950"/>
    <w:rsid w:val="001E195F"/>
    <w:rsid w:val="001E1974"/>
    <w:rsid w:val="001E1A23"/>
    <w:rsid w:val="001E1A7D"/>
    <w:rsid w:val="001E1A94"/>
    <w:rsid w:val="001E1B28"/>
    <w:rsid w:val="001E1BE9"/>
    <w:rsid w:val="001E1C2C"/>
    <w:rsid w:val="001E1C4B"/>
    <w:rsid w:val="001E1CA5"/>
    <w:rsid w:val="001E1CC6"/>
    <w:rsid w:val="001E1D1B"/>
    <w:rsid w:val="001E1D9F"/>
    <w:rsid w:val="001E1DB3"/>
    <w:rsid w:val="001E1E5E"/>
    <w:rsid w:val="001E1E64"/>
    <w:rsid w:val="001E1ED7"/>
    <w:rsid w:val="001E1EE1"/>
    <w:rsid w:val="001E1EF7"/>
    <w:rsid w:val="001E1F4B"/>
    <w:rsid w:val="001E1F6B"/>
    <w:rsid w:val="001E205A"/>
    <w:rsid w:val="001E2063"/>
    <w:rsid w:val="001E20E6"/>
    <w:rsid w:val="001E213B"/>
    <w:rsid w:val="001E2152"/>
    <w:rsid w:val="001E2185"/>
    <w:rsid w:val="001E219D"/>
    <w:rsid w:val="001E21B3"/>
    <w:rsid w:val="001E21C7"/>
    <w:rsid w:val="001E2332"/>
    <w:rsid w:val="001E2335"/>
    <w:rsid w:val="001E2353"/>
    <w:rsid w:val="001E2364"/>
    <w:rsid w:val="001E2399"/>
    <w:rsid w:val="001E23A7"/>
    <w:rsid w:val="001E23C4"/>
    <w:rsid w:val="001E23E7"/>
    <w:rsid w:val="001E2499"/>
    <w:rsid w:val="001E24B9"/>
    <w:rsid w:val="001E24C6"/>
    <w:rsid w:val="001E24D6"/>
    <w:rsid w:val="001E253B"/>
    <w:rsid w:val="001E2572"/>
    <w:rsid w:val="001E2585"/>
    <w:rsid w:val="001E25B2"/>
    <w:rsid w:val="001E2627"/>
    <w:rsid w:val="001E2633"/>
    <w:rsid w:val="001E27B9"/>
    <w:rsid w:val="001E2805"/>
    <w:rsid w:val="001E2878"/>
    <w:rsid w:val="001E2884"/>
    <w:rsid w:val="001E28B6"/>
    <w:rsid w:val="001E28E0"/>
    <w:rsid w:val="001E28EE"/>
    <w:rsid w:val="001E2919"/>
    <w:rsid w:val="001E2929"/>
    <w:rsid w:val="001E295D"/>
    <w:rsid w:val="001E298A"/>
    <w:rsid w:val="001E29DD"/>
    <w:rsid w:val="001E2BD5"/>
    <w:rsid w:val="001E2C06"/>
    <w:rsid w:val="001E2CA6"/>
    <w:rsid w:val="001E2D2A"/>
    <w:rsid w:val="001E2D4C"/>
    <w:rsid w:val="001E2D91"/>
    <w:rsid w:val="001E2DAC"/>
    <w:rsid w:val="001E2E34"/>
    <w:rsid w:val="001E2E3C"/>
    <w:rsid w:val="001E2E4D"/>
    <w:rsid w:val="001E2E58"/>
    <w:rsid w:val="001E2E89"/>
    <w:rsid w:val="001E2EBD"/>
    <w:rsid w:val="001E2EC9"/>
    <w:rsid w:val="001E2F04"/>
    <w:rsid w:val="001E2F45"/>
    <w:rsid w:val="001E2F9F"/>
    <w:rsid w:val="001E2FD6"/>
    <w:rsid w:val="001E302E"/>
    <w:rsid w:val="001E31D3"/>
    <w:rsid w:val="001E321A"/>
    <w:rsid w:val="001E3257"/>
    <w:rsid w:val="001E3269"/>
    <w:rsid w:val="001E3344"/>
    <w:rsid w:val="001E334D"/>
    <w:rsid w:val="001E3389"/>
    <w:rsid w:val="001E33C0"/>
    <w:rsid w:val="001E33C1"/>
    <w:rsid w:val="001E33D1"/>
    <w:rsid w:val="001E33E4"/>
    <w:rsid w:val="001E33F0"/>
    <w:rsid w:val="001E345E"/>
    <w:rsid w:val="001E34F0"/>
    <w:rsid w:val="001E3500"/>
    <w:rsid w:val="001E35A1"/>
    <w:rsid w:val="001E35AF"/>
    <w:rsid w:val="001E35E7"/>
    <w:rsid w:val="001E35FE"/>
    <w:rsid w:val="001E3610"/>
    <w:rsid w:val="001E362F"/>
    <w:rsid w:val="001E3654"/>
    <w:rsid w:val="001E3665"/>
    <w:rsid w:val="001E36DC"/>
    <w:rsid w:val="001E3742"/>
    <w:rsid w:val="001E3774"/>
    <w:rsid w:val="001E37AF"/>
    <w:rsid w:val="001E3812"/>
    <w:rsid w:val="001E38F9"/>
    <w:rsid w:val="001E3903"/>
    <w:rsid w:val="001E391F"/>
    <w:rsid w:val="001E392D"/>
    <w:rsid w:val="001E3990"/>
    <w:rsid w:val="001E39B0"/>
    <w:rsid w:val="001E3A5B"/>
    <w:rsid w:val="001E3A9E"/>
    <w:rsid w:val="001E3AA6"/>
    <w:rsid w:val="001E3AAF"/>
    <w:rsid w:val="001E3ABE"/>
    <w:rsid w:val="001E3B4D"/>
    <w:rsid w:val="001E3B91"/>
    <w:rsid w:val="001E3D4D"/>
    <w:rsid w:val="001E3D56"/>
    <w:rsid w:val="001E3D67"/>
    <w:rsid w:val="001E3E1A"/>
    <w:rsid w:val="001E3EA4"/>
    <w:rsid w:val="001E3F0D"/>
    <w:rsid w:val="001E3F78"/>
    <w:rsid w:val="001E3FA4"/>
    <w:rsid w:val="001E3FBC"/>
    <w:rsid w:val="001E400F"/>
    <w:rsid w:val="001E401D"/>
    <w:rsid w:val="001E4052"/>
    <w:rsid w:val="001E4054"/>
    <w:rsid w:val="001E40AE"/>
    <w:rsid w:val="001E40B1"/>
    <w:rsid w:val="001E40C9"/>
    <w:rsid w:val="001E410D"/>
    <w:rsid w:val="001E4145"/>
    <w:rsid w:val="001E4156"/>
    <w:rsid w:val="001E4172"/>
    <w:rsid w:val="001E41A2"/>
    <w:rsid w:val="001E41BF"/>
    <w:rsid w:val="001E41DB"/>
    <w:rsid w:val="001E429D"/>
    <w:rsid w:val="001E42B8"/>
    <w:rsid w:val="001E42DF"/>
    <w:rsid w:val="001E4309"/>
    <w:rsid w:val="001E4346"/>
    <w:rsid w:val="001E4377"/>
    <w:rsid w:val="001E43C3"/>
    <w:rsid w:val="001E4428"/>
    <w:rsid w:val="001E4457"/>
    <w:rsid w:val="001E445E"/>
    <w:rsid w:val="001E446A"/>
    <w:rsid w:val="001E4489"/>
    <w:rsid w:val="001E44C8"/>
    <w:rsid w:val="001E4510"/>
    <w:rsid w:val="001E4515"/>
    <w:rsid w:val="001E457A"/>
    <w:rsid w:val="001E458C"/>
    <w:rsid w:val="001E4597"/>
    <w:rsid w:val="001E45EC"/>
    <w:rsid w:val="001E45FF"/>
    <w:rsid w:val="001E4605"/>
    <w:rsid w:val="001E464B"/>
    <w:rsid w:val="001E467E"/>
    <w:rsid w:val="001E46D6"/>
    <w:rsid w:val="001E4741"/>
    <w:rsid w:val="001E47A3"/>
    <w:rsid w:val="001E47A5"/>
    <w:rsid w:val="001E47C8"/>
    <w:rsid w:val="001E486C"/>
    <w:rsid w:val="001E48BE"/>
    <w:rsid w:val="001E490C"/>
    <w:rsid w:val="001E490E"/>
    <w:rsid w:val="001E4931"/>
    <w:rsid w:val="001E498E"/>
    <w:rsid w:val="001E499E"/>
    <w:rsid w:val="001E4A03"/>
    <w:rsid w:val="001E4A47"/>
    <w:rsid w:val="001E4B71"/>
    <w:rsid w:val="001E4B81"/>
    <w:rsid w:val="001E4BB7"/>
    <w:rsid w:val="001E4BD5"/>
    <w:rsid w:val="001E4BD7"/>
    <w:rsid w:val="001E4BE7"/>
    <w:rsid w:val="001E4C36"/>
    <w:rsid w:val="001E4C58"/>
    <w:rsid w:val="001E4C68"/>
    <w:rsid w:val="001E4CAF"/>
    <w:rsid w:val="001E4CCD"/>
    <w:rsid w:val="001E4CF1"/>
    <w:rsid w:val="001E4D0D"/>
    <w:rsid w:val="001E4D58"/>
    <w:rsid w:val="001E4D7F"/>
    <w:rsid w:val="001E4E18"/>
    <w:rsid w:val="001E4E23"/>
    <w:rsid w:val="001E4E33"/>
    <w:rsid w:val="001E4E47"/>
    <w:rsid w:val="001E4EE2"/>
    <w:rsid w:val="001E4F16"/>
    <w:rsid w:val="001E4F64"/>
    <w:rsid w:val="001E4F8C"/>
    <w:rsid w:val="001E4FB8"/>
    <w:rsid w:val="001E5001"/>
    <w:rsid w:val="001E5028"/>
    <w:rsid w:val="001E5043"/>
    <w:rsid w:val="001E5044"/>
    <w:rsid w:val="001E5048"/>
    <w:rsid w:val="001E50CA"/>
    <w:rsid w:val="001E51AE"/>
    <w:rsid w:val="001E51D1"/>
    <w:rsid w:val="001E523E"/>
    <w:rsid w:val="001E5270"/>
    <w:rsid w:val="001E5278"/>
    <w:rsid w:val="001E52C6"/>
    <w:rsid w:val="001E5321"/>
    <w:rsid w:val="001E5367"/>
    <w:rsid w:val="001E5397"/>
    <w:rsid w:val="001E53A1"/>
    <w:rsid w:val="001E53B0"/>
    <w:rsid w:val="001E53BE"/>
    <w:rsid w:val="001E53FF"/>
    <w:rsid w:val="001E5426"/>
    <w:rsid w:val="001E548E"/>
    <w:rsid w:val="001E54B7"/>
    <w:rsid w:val="001E54BC"/>
    <w:rsid w:val="001E5541"/>
    <w:rsid w:val="001E5546"/>
    <w:rsid w:val="001E5554"/>
    <w:rsid w:val="001E5567"/>
    <w:rsid w:val="001E556A"/>
    <w:rsid w:val="001E5586"/>
    <w:rsid w:val="001E55B7"/>
    <w:rsid w:val="001E55F3"/>
    <w:rsid w:val="001E5607"/>
    <w:rsid w:val="001E5685"/>
    <w:rsid w:val="001E5694"/>
    <w:rsid w:val="001E56CA"/>
    <w:rsid w:val="001E56FE"/>
    <w:rsid w:val="001E570E"/>
    <w:rsid w:val="001E5767"/>
    <w:rsid w:val="001E57F2"/>
    <w:rsid w:val="001E5818"/>
    <w:rsid w:val="001E5891"/>
    <w:rsid w:val="001E58FF"/>
    <w:rsid w:val="001E5906"/>
    <w:rsid w:val="001E594A"/>
    <w:rsid w:val="001E5963"/>
    <w:rsid w:val="001E5964"/>
    <w:rsid w:val="001E59B6"/>
    <w:rsid w:val="001E59F3"/>
    <w:rsid w:val="001E5A08"/>
    <w:rsid w:val="001E5A1A"/>
    <w:rsid w:val="001E5A35"/>
    <w:rsid w:val="001E5AA8"/>
    <w:rsid w:val="001E5ABC"/>
    <w:rsid w:val="001E5B59"/>
    <w:rsid w:val="001E5B78"/>
    <w:rsid w:val="001E5BD9"/>
    <w:rsid w:val="001E5BEB"/>
    <w:rsid w:val="001E5BF2"/>
    <w:rsid w:val="001E5C21"/>
    <w:rsid w:val="001E5C64"/>
    <w:rsid w:val="001E5CBC"/>
    <w:rsid w:val="001E5CCB"/>
    <w:rsid w:val="001E5D34"/>
    <w:rsid w:val="001E5DA2"/>
    <w:rsid w:val="001E5DBB"/>
    <w:rsid w:val="001E5E3D"/>
    <w:rsid w:val="001E5E47"/>
    <w:rsid w:val="001E5E4B"/>
    <w:rsid w:val="001E5EB4"/>
    <w:rsid w:val="001E5ED3"/>
    <w:rsid w:val="001E5ED7"/>
    <w:rsid w:val="001E5F02"/>
    <w:rsid w:val="001E5F15"/>
    <w:rsid w:val="001E5FE0"/>
    <w:rsid w:val="001E6019"/>
    <w:rsid w:val="001E60E3"/>
    <w:rsid w:val="001E60FD"/>
    <w:rsid w:val="001E611A"/>
    <w:rsid w:val="001E6151"/>
    <w:rsid w:val="001E6171"/>
    <w:rsid w:val="001E61AE"/>
    <w:rsid w:val="001E61E2"/>
    <w:rsid w:val="001E6215"/>
    <w:rsid w:val="001E6261"/>
    <w:rsid w:val="001E6264"/>
    <w:rsid w:val="001E62E0"/>
    <w:rsid w:val="001E62E1"/>
    <w:rsid w:val="001E6315"/>
    <w:rsid w:val="001E6385"/>
    <w:rsid w:val="001E63B0"/>
    <w:rsid w:val="001E63CE"/>
    <w:rsid w:val="001E63E4"/>
    <w:rsid w:val="001E642C"/>
    <w:rsid w:val="001E6432"/>
    <w:rsid w:val="001E6446"/>
    <w:rsid w:val="001E6457"/>
    <w:rsid w:val="001E648F"/>
    <w:rsid w:val="001E6536"/>
    <w:rsid w:val="001E65A4"/>
    <w:rsid w:val="001E65B2"/>
    <w:rsid w:val="001E65B7"/>
    <w:rsid w:val="001E65C1"/>
    <w:rsid w:val="001E65C7"/>
    <w:rsid w:val="001E65DA"/>
    <w:rsid w:val="001E65EC"/>
    <w:rsid w:val="001E66C4"/>
    <w:rsid w:val="001E66D8"/>
    <w:rsid w:val="001E6760"/>
    <w:rsid w:val="001E679F"/>
    <w:rsid w:val="001E67AE"/>
    <w:rsid w:val="001E67C2"/>
    <w:rsid w:val="001E67D6"/>
    <w:rsid w:val="001E6819"/>
    <w:rsid w:val="001E681C"/>
    <w:rsid w:val="001E6890"/>
    <w:rsid w:val="001E6899"/>
    <w:rsid w:val="001E68C4"/>
    <w:rsid w:val="001E68E3"/>
    <w:rsid w:val="001E690A"/>
    <w:rsid w:val="001E6978"/>
    <w:rsid w:val="001E69A8"/>
    <w:rsid w:val="001E69E7"/>
    <w:rsid w:val="001E6A3F"/>
    <w:rsid w:val="001E6A63"/>
    <w:rsid w:val="001E6AE9"/>
    <w:rsid w:val="001E6B01"/>
    <w:rsid w:val="001E6B02"/>
    <w:rsid w:val="001E6B8B"/>
    <w:rsid w:val="001E6B9A"/>
    <w:rsid w:val="001E6BC1"/>
    <w:rsid w:val="001E6BF1"/>
    <w:rsid w:val="001E6C54"/>
    <w:rsid w:val="001E6C69"/>
    <w:rsid w:val="001E6CB0"/>
    <w:rsid w:val="001E6D41"/>
    <w:rsid w:val="001E6D64"/>
    <w:rsid w:val="001E6D70"/>
    <w:rsid w:val="001E6DF0"/>
    <w:rsid w:val="001E6E1E"/>
    <w:rsid w:val="001E6E5B"/>
    <w:rsid w:val="001E6E63"/>
    <w:rsid w:val="001E6EC2"/>
    <w:rsid w:val="001E6EF4"/>
    <w:rsid w:val="001E6F10"/>
    <w:rsid w:val="001E6F55"/>
    <w:rsid w:val="001E6F58"/>
    <w:rsid w:val="001E6F95"/>
    <w:rsid w:val="001E6FA3"/>
    <w:rsid w:val="001E6FAE"/>
    <w:rsid w:val="001E6FBE"/>
    <w:rsid w:val="001E6FE2"/>
    <w:rsid w:val="001E7023"/>
    <w:rsid w:val="001E707D"/>
    <w:rsid w:val="001E707F"/>
    <w:rsid w:val="001E70B3"/>
    <w:rsid w:val="001E7169"/>
    <w:rsid w:val="001E71C9"/>
    <w:rsid w:val="001E71CA"/>
    <w:rsid w:val="001E7275"/>
    <w:rsid w:val="001E72EB"/>
    <w:rsid w:val="001E72F4"/>
    <w:rsid w:val="001E72F9"/>
    <w:rsid w:val="001E7379"/>
    <w:rsid w:val="001E748F"/>
    <w:rsid w:val="001E749D"/>
    <w:rsid w:val="001E74A6"/>
    <w:rsid w:val="001E74AB"/>
    <w:rsid w:val="001E74DE"/>
    <w:rsid w:val="001E7520"/>
    <w:rsid w:val="001E75C6"/>
    <w:rsid w:val="001E75FB"/>
    <w:rsid w:val="001E7604"/>
    <w:rsid w:val="001E760B"/>
    <w:rsid w:val="001E7612"/>
    <w:rsid w:val="001E763E"/>
    <w:rsid w:val="001E7653"/>
    <w:rsid w:val="001E766F"/>
    <w:rsid w:val="001E76AD"/>
    <w:rsid w:val="001E76B0"/>
    <w:rsid w:val="001E76B5"/>
    <w:rsid w:val="001E7750"/>
    <w:rsid w:val="001E775B"/>
    <w:rsid w:val="001E77AD"/>
    <w:rsid w:val="001E782F"/>
    <w:rsid w:val="001E7884"/>
    <w:rsid w:val="001E78B2"/>
    <w:rsid w:val="001E78E4"/>
    <w:rsid w:val="001E7902"/>
    <w:rsid w:val="001E7941"/>
    <w:rsid w:val="001E794A"/>
    <w:rsid w:val="001E797E"/>
    <w:rsid w:val="001E7984"/>
    <w:rsid w:val="001E79D6"/>
    <w:rsid w:val="001E79DA"/>
    <w:rsid w:val="001E7A16"/>
    <w:rsid w:val="001E7A4B"/>
    <w:rsid w:val="001E7A5E"/>
    <w:rsid w:val="001E7AA2"/>
    <w:rsid w:val="001E7AA8"/>
    <w:rsid w:val="001E7ACF"/>
    <w:rsid w:val="001E7AF5"/>
    <w:rsid w:val="001E7B00"/>
    <w:rsid w:val="001E7B19"/>
    <w:rsid w:val="001E7B1C"/>
    <w:rsid w:val="001E7B21"/>
    <w:rsid w:val="001E7B80"/>
    <w:rsid w:val="001E7C7C"/>
    <w:rsid w:val="001E7CED"/>
    <w:rsid w:val="001E7D11"/>
    <w:rsid w:val="001E7D49"/>
    <w:rsid w:val="001E7D6A"/>
    <w:rsid w:val="001E7DA8"/>
    <w:rsid w:val="001E7DDC"/>
    <w:rsid w:val="001E7DDF"/>
    <w:rsid w:val="001E7DF8"/>
    <w:rsid w:val="001E7E20"/>
    <w:rsid w:val="001E7E2D"/>
    <w:rsid w:val="001E7E53"/>
    <w:rsid w:val="001E7E67"/>
    <w:rsid w:val="001E7E94"/>
    <w:rsid w:val="001E7F0E"/>
    <w:rsid w:val="001E7F30"/>
    <w:rsid w:val="001E7F4B"/>
    <w:rsid w:val="001E7F7E"/>
    <w:rsid w:val="001E7FAD"/>
    <w:rsid w:val="001E7FC7"/>
    <w:rsid w:val="001F0004"/>
    <w:rsid w:val="001F00E4"/>
    <w:rsid w:val="001F0139"/>
    <w:rsid w:val="001F01CD"/>
    <w:rsid w:val="001F01FE"/>
    <w:rsid w:val="001F020A"/>
    <w:rsid w:val="001F021E"/>
    <w:rsid w:val="001F0267"/>
    <w:rsid w:val="001F0285"/>
    <w:rsid w:val="001F0368"/>
    <w:rsid w:val="001F03B9"/>
    <w:rsid w:val="001F03BD"/>
    <w:rsid w:val="001F03D2"/>
    <w:rsid w:val="001F04B3"/>
    <w:rsid w:val="001F04D9"/>
    <w:rsid w:val="001F0538"/>
    <w:rsid w:val="001F057D"/>
    <w:rsid w:val="001F0646"/>
    <w:rsid w:val="001F06CD"/>
    <w:rsid w:val="001F06EF"/>
    <w:rsid w:val="001F0780"/>
    <w:rsid w:val="001F0790"/>
    <w:rsid w:val="001F0812"/>
    <w:rsid w:val="001F081F"/>
    <w:rsid w:val="001F0869"/>
    <w:rsid w:val="001F095C"/>
    <w:rsid w:val="001F0964"/>
    <w:rsid w:val="001F096E"/>
    <w:rsid w:val="001F0991"/>
    <w:rsid w:val="001F09BB"/>
    <w:rsid w:val="001F09EA"/>
    <w:rsid w:val="001F0A67"/>
    <w:rsid w:val="001F0AD3"/>
    <w:rsid w:val="001F0B49"/>
    <w:rsid w:val="001F0BB0"/>
    <w:rsid w:val="001F0BD9"/>
    <w:rsid w:val="001F0C6E"/>
    <w:rsid w:val="001F0CBF"/>
    <w:rsid w:val="001F0DC5"/>
    <w:rsid w:val="001F0DC6"/>
    <w:rsid w:val="001F0DD5"/>
    <w:rsid w:val="001F0DD9"/>
    <w:rsid w:val="001F0E65"/>
    <w:rsid w:val="001F0EEF"/>
    <w:rsid w:val="001F0FE7"/>
    <w:rsid w:val="001F1083"/>
    <w:rsid w:val="001F109F"/>
    <w:rsid w:val="001F10B6"/>
    <w:rsid w:val="001F10E1"/>
    <w:rsid w:val="001F1147"/>
    <w:rsid w:val="001F118B"/>
    <w:rsid w:val="001F11BC"/>
    <w:rsid w:val="001F11C3"/>
    <w:rsid w:val="001F11C9"/>
    <w:rsid w:val="001F1250"/>
    <w:rsid w:val="001F133D"/>
    <w:rsid w:val="001F1435"/>
    <w:rsid w:val="001F1506"/>
    <w:rsid w:val="001F153B"/>
    <w:rsid w:val="001F1585"/>
    <w:rsid w:val="001F15A1"/>
    <w:rsid w:val="001F15CF"/>
    <w:rsid w:val="001F15D2"/>
    <w:rsid w:val="001F15F0"/>
    <w:rsid w:val="001F160A"/>
    <w:rsid w:val="001F1614"/>
    <w:rsid w:val="001F161D"/>
    <w:rsid w:val="001F1636"/>
    <w:rsid w:val="001F166E"/>
    <w:rsid w:val="001F17B7"/>
    <w:rsid w:val="001F1867"/>
    <w:rsid w:val="001F18A8"/>
    <w:rsid w:val="001F18B8"/>
    <w:rsid w:val="001F199A"/>
    <w:rsid w:val="001F19A1"/>
    <w:rsid w:val="001F19AD"/>
    <w:rsid w:val="001F1A49"/>
    <w:rsid w:val="001F1AAF"/>
    <w:rsid w:val="001F1AB1"/>
    <w:rsid w:val="001F1AC4"/>
    <w:rsid w:val="001F1AD1"/>
    <w:rsid w:val="001F1AF1"/>
    <w:rsid w:val="001F1B00"/>
    <w:rsid w:val="001F1BD2"/>
    <w:rsid w:val="001F1BD7"/>
    <w:rsid w:val="001F1C9F"/>
    <w:rsid w:val="001F1CEA"/>
    <w:rsid w:val="001F1CFB"/>
    <w:rsid w:val="001F1D0E"/>
    <w:rsid w:val="001F1DBD"/>
    <w:rsid w:val="001F1DF6"/>
    <w:rsid w:val="001F1E55"/>
    <w:rsid w:val="001F1E73"/>
    <w:rsid w:val="001F1F05"/>
    <w:rsid w:val="001F1F12"/>
    <w:rsid w:val="001F1F28"/>
    <w:rsid w:val="001F1F44"/>
    <w:rsid w:val="001F1FAB"/>
    <w:rsid w:val="001F2050"/>
    <w:rsid w:val="001F2068"/>
    <w:rsid w:val="001F209B"/>
    <w:rsid w:val="001F20C7"/>
    <w:rsid w:val="001F20DA"/>
    <w:rsid w:val="001F2104"/>
    <w:rsid w:val="001F2105"/>
    <w:rsid w:val="001F211F"/>
    <w:rsid w:val="001F2138"/>
    <w:rsid w:val="001F2146"/>
    <w:rsid w:val="001F2163"/>
    <w:rsid w:val="001F21BE"/>
    <w:rsid w:val="001F21EC"/>
    <w:rsid w:val="001F2222"/>
    <w:rsid w:val="001F222B"/>
    <w:rsid w:val="001F2265"/>
    <w:rsid w:val="001F226D"/>
    <w:rsid w:val="001F22D6"/>
    <w:rsid w:val="001F22EB"/>
    <w:rsid w:val="001F2330"/>
    <w:rsid w:val="001F234A"/>
    <w:rsid w:val="001F2352"/>
    <w:rsid w:val="001F23A6"/>
    <w:rsid w:val="001F23CF"/>
    <w:rsid w:val="001F23F1"/>
    <w:rsid w:val="001F240D"/>
    <w:rsid w:val="001F2419"/>
    <w:rsid w:val="001F2429"/>
    <w:rsid w:val="001F243E"/>
    <w:rsid w:val="001F249E"/>
    <w:rsid w:val="001F24A9"/>
    <w:rsid w:val="001F2550"/>
    <w:rsid w:val="001F2562"/>
    <w:rsid w:val="001F256D"/>
    <w:rsid w:val="001F25D1"/>
    <w:rsid w:val="001F25E5"/>
    <w:rsid w:val="001F2632"/>
    <w:rsid w:val="001F2639"/>
    <w:rsid w:val="001F2689"/>
    <w:rsid w:val="001F2691"/>
    <w:rsid w:val="001F272B"/>
    <w:rsid w:val="001F274F"/>
    <w:rsid w:val="001F279B"/>
    <w:rsid w:val="001F27D5"/>
    <w:rsid w:val="001F27EA"/>
    <w:rsid w:val="001F2818"/>
    <w:rsid w:val="001F2862"/>
    <w:rsid w:val="001F288D"/>
    <w:rsid w:val="001F2913"/>
    <w:rsid w:val="001F295F"/>
    <w:rsid w:val="001F2973"/>
    <w:rsid w:val="001F29C0"/>
    <w:rsid w:val="001F29D8"/>
    <w:rsid w:val="001F2A09"/>
    <w:rsid w:val="001F2A1A"/>
    <w:rsid w:val="001F2ABA"/>
    <w:rsid w:val="001F2AD1"/>
    <w:rsid w:val="001F2B05"/>
    <w:rsid w:val="001F2B2B"/>
    <w:rsid w:val="001F2B57"/>
    <w:rsid w:val="001F2B58"/>
    <w:rsid w:val="001F2B73"/>
    <w:rsid w:val="001F2B7C"/>
    <w:rsid w:val="001F2C19"/>
    <w:rsid w:val="001F2C32"/>
    <w:rsid w:val="001F2C42"/>
    <w:rsid w:val="001F2CA2"/>
    <w:rsid w:val="001F2CB7"/>
    <w:rsid w:val="001F2CBF"/>
    <w:rsid w:val="001F2CC4"/>
    <w:rsid w:val="001F2CD6"/>
    <w:rsid w:val="001F2D43"/>
    <w:rsid w:val="001F2D55"/>
    <w:rsid w:val="001F2DA4"/>
    <w:rsid w:val="001F2DF8"/>
    <w:rsid w:val="001F2E18"/>
    <w:rsid w:val="001F2E38"/>
    <w:rsid w:val="001F2E5E"/>
    <w:rsid w:val="001F2E92"/>
    <w:rsid w:val="001F2F31"/>
    <w:rsid w:val="001F2FEB"/>
    <w:rsid w:val="001F301B"/>
    <w:rsid w:val="001F3065"/>
    <w:rsid w:val="001F30A8"/>
    <w:rsid w:val="001F30C0"/>
    <w:rsid w:val="001F30C5"/>
    <w:rsid w:val="001F30FA"/>
    <w:rsid w:val="001F310A"/>
    <w:rsid w:val="001F313B"/>
    <w:rsid w:val="001F315C"/>
    <w:rsid w:val="001F3199"/>
    <w:rsid w:val="001F3216"/>
    <w:rsid w:val="001F3292"/>
    <w:rsid w:val="001F330F"/>
    <w:rsid w:val="001F3340"/>
    <w:rsid w:val="001F3373"/>
    <w:rsid w:val="001F3377"/>
    <w:rsid w:val="001F33A5"/>
    <w:rsid w:val="001F33FB"/>
    <w:rsid w:val="001F343C"/>
    <w:rsid w:val="001F34D5"/>
    <w:rsid w:val="001F34E2"/>
    <w:rsid w:val="001F3503"/>
    <w:rsid w:val="001F35FD"/>
    <w:rsid w:val="001F3657"/>
    <w:rsid w:val="001F3718"/>
    <w:rsid w:val="001F371A"/>
    <w:rsid w:val="001F3738"/>
    <w:rsid w:val="001F375B"/>
    <w:rsid w:val="001F375E"/>
    <w:rsid w:val="001F37A2"/>
    <w:rsid w:val="001F37DD"/>
    <w:rsid w:val="001F381E"/>
    <w:rsid w:val="001F3826"/>
    <w:rsid w:val="001F388A"/>
    <w:rsid w:val="001F38DC"/>
    <w:rsid w:val="001F392B"/>
    <w:rsid w:val="001F3970"/>
    <w:rsid w:val="001F398C"/>
    <w:rsid w:val="001F3A52"/>
    <w:rsid w:val="001F3A84"/>
    <w:rsid w:val="001F3ABE"/>
    <w:rsid w:val="001F3AE9"/>
    <w:rsid w:val="001F3AEA"/>
    <w:rsid w:val="001F3BA4"/>
    <w:rsid w:val="001F3BDD"/>
    <w:rsid w:val="001F3C67"/>
    <w:rsid w:val="001F3D1B"/>
    <w:rsid w:val="001F3E58"/>
    <w:rsid w:val="001F3E61"/>
    <w:rsid w:val="001F3EF2"/>
    <w:rsid w:val="001F3F2C"/>
    <w:rsid w:val="001F3F8B"/>
    <w:rsid w:val="001F3FA3"/>
    <w:rsid w:val="001F3FAF"/>
    <w:rsid w:val="001F3FBE"/>
    <w:rsid w:val="001F3FBF"/>
    <w:rsid w:val="001F3FC0"/>
    <w:rsid w:val="001F3FC2"/>
    <w:rsid w:val="001F3FDF"/>
    <w:rsid w:val="001F4065"/>
    <w:rsid w:val="001F4080"/>
    <w:rsid w:val="001F408B"/>
    <w:rsid w:val="001F40B6"/>
    <w:rsid w:val="001F40D9"/>
    <w:rsid w:val="001F40FB"/>
    <w:rsid w:val="001F4117"/>
    <w:rsid w:val="001F4143"/>
    <w:rsid w:val="001F4145"/>
    <w:rsid w:val="001F41C3"/>
    <w:rsid w:val="001F420D"/>
    <w:rsid w:val="001F4244"/>
    <w:rsid w:val="001F425B"/>
    <w:rsid w:val="001F42C5"/>
    <w:rsid w:val="001F42FF"/>
    <w:rsid w:val="001F432F"/>
    <w:rsid w:val="001F43F1"/>
    <w:rsid w:val="001F452E"/>
    <w:rsid w:val="001F458A"/>
    <w:rsid w:val="001F45A5"/>
    <w:rsid w:val="001F45A8"/>
    <w:rsid w:val="001F45B1"/>
    <w:rsid w:val="001F45C0"/>
    <w:rsid w:val="001F465D"/>
    <w:rsid w:val="001F46B5"/>
    <w:rsid w:val="001F4787"/>
    <w:rsid w:val="001F47A8"/>
    <w:rsid w:val="001F47C4"/>
    <w:rsid w:val="001F480C"/>
    <w:rsid w:val="001F4859"/>
    <w:rsid w:val="001F485C"/>
    <w:rsid w:val="001F487F"/>
    <w:rsid w:val="001F488E"/>
    <w:rsid w:val="001F48A1"/>
    <w:rsid w:val="001F4900"/>
    <w:rsid w:val="001F491E"/>
    <w:rsid w:val="001F4975"/>
    <w:rsid w:val="001F49CC"/>
    <w:rsid w:val="001F49E0"/>
    <w:rsid w:val="001F49E9"/>
    <w:rsid w:val="001F4A2E"/>
    <w:rsid w:val="001F4A5E"/>
    <w:rsid w:val="001F4AA5"/>
    <w:rsid w:val="001F4B00"/>
    <w:rsid w:val="001F4B1E"/>
    <w:rsid w:val="001F4B6B"/>
    <w:rsid w:val="001F4BAD"/>
    <w:rsid w:val="001F4C18"/>
    <w:rsid w:val="001F4CAB"/>
    <w:rsid w:val="001F4CE3"/>
    <w:rsid w:val="001F4D00"/>
    <w:rsid w:val="001F4D6E"/>
    <w:rsid w:val="001F4D7D"/>
    <w:rsid w:val="001F4D8F"/>
    <w:rsid w:val="001F4DFA"/>
    <w:rsid w:val="001F4E24"/>
    <w:rsid w:val="001F4E29"/>
    <w:rsid w:val="001F4E2D"/>
    <w:rsid w:val="001F4E36"/>
    <w:rsid w:val="001F4E8C"/>
    <w:rsid w:val="001F4EC9"/>
    <w:rsid w:val="001F4EE6"/>
    <w:rsid w:val="001F4F99"/>
    <w:rsid w:val="001F5002"/>
    <w:rsid w:val="001F50F6"/>
    <w:rsid w:val="001F5103"/>
    <w:rsid w:val="001F5104"/>
    <w:rsid w:val="001F5126"/>
    <w:rsid w:val="001F51A2"/>
    <w:rsid w:val="001F5242"/>
    <w:rsid w:val="001F524B"/>
    <w:rsid w:val="001F5294"/>
    <w:rsid w:val="001F52F2"/>
    <w:rsid w:val="001F5397"/>
    <w:rsid w:val="001F5434"/>
    <w:rsid w:val="001F5438"/>
    <w:rsid w:val="001F543F"/>
    <w:rsid w:val="001F5449"/>
    <w:rsid w:val="001F549B"/>
    <w:rsid w:val="001F549D"/>
    <w:rsid w:val="001F54A4"/>
    <w:rsid w:val="001F5529"/>
    <w:rsid w:val="001F5541"/>
    <w:rsid w:val="001F55A3"/>
    <w:rsid w:val="001F5696"/>
    <w:rsid w:val="001F56C8"/>
    <w:rsid w:val="001F56CF"/>
    <w:rsid w:val="001F56D3"/>
    <w:rsid w:val="001F5711"/>
    <w:rsid w:val="001F5734"/>
    <w:rsid w:val="001F573A"/>
    <w:rsid w:val="001F575C"/>
    <w:rsid w:val="001F5762"/>
    <w:rsid w:val="001F5765"/>
    <w:rsid w:val="001F576F"/>
    <w:rsid w:val="001F5781"/>
    <w:rsid w:val="001F5796"/>
    <w:rsid w:val="001F581F"/>
    <w:rsid w:val="001F586D"/>
    <w:rsid w:val="001F58B4"/>
    <w:rsid w:val="001F58C7"/>
    <w:rsid w:val="001F5904"/>
    <w:rsid w:val="001F5931"/>
    <w:rsid w:val="001F5935"/>
    <w:rsid w:val="001F5970"/>
    <w:rsid w:val="001F5999"/>
    <w:rsid w:val="001F59C1"/>
    <w:rsid w:val="001F59D9"/>
    <w:rsid w:val="001F59DE"/>
    <w:rsid w:val="001F59E7"/>
    <w:rsid w:val="001F5A17"/>
    <w:rsid w:val="001F5AD0"/>
    <w:rsid w:val="001F5ADE"/>
    <w:rsid w:val="001F5B51"/>
    <w:rsid w:val="001F5B5D"/>
    <w:rsid w:val="001F5B85"/>
    <w:rsid w:val="001F5B86"/>
    <w:rsid w:val="001F5BBA"/>
    <w:rsid w:val="001F5BDD"/>
    <w:rsid w:val="001F5BE4"/>
    <w:rsid w:val="001F5C3E"/>
    <w:rsid w:val="001F5D4F"/>
    <w:rsid w:val="001F5DB5"/>
    <w:rsid w:val="001F5DF9"/>
    <w:rsid w:val="001F5E12"/>
    <w:rsid w:val="001F5E17"/>
    <w:rsid w:val="001F5E31"/>
    <w:rsid w:val="001F5E6E"/>
    <w:rsid w:val="001F5F03"/>
    <w:rsid w:val="001F5F11"/>
    <w:rsid w:val="001F604A"/>
    <w:rsid w:val="001F60C8"/>
    <w:rsid w:val="001F610C"/>
    <w:rsid w:val="001F610F"/>
    <w:rsid w:val="001F6122"/>
    <w:rsid w:val="001F6179"/>
    <w:rsid w:val="001F61D8"/>
    <w:rsid w:val="001F6226"/>
    <w:rsid w:val="001F62BC"/>
    <w:rsid w:val="001F62E4"/>
    <w:rsid w:val="001F62E7"/>
    <w:rsid w:val="001F632D"/>
    <w:rsid w:val="001F6332"/>
    <w:rsid w:val="001F634F"/>
    <w:rsid w:val="001F636E"/>
    <w:rsid w:val="001F637E"/>
    <w:rsid w:val="001F63C3"/>
    <w:rsid w:val="001F63D5"/>
    <w:rsid w:val="001F642F"/>
    <w:rsid w:val="001F6462"/>
    <w:rsid w:val="001F64D7"/>
    <w:rsid w:val="001F64FB"/>
    <w:rsid w:val="001F6574"/>
    <w:rsid w:val="001F65A4"/>
    <w:rsid w:val="001F661D"/>
    <w:rsid w:val="001F663C"/>
    <w:rsid w:val="001F66A8"/>
    <w:rsid w:val="001F66B4"/>
    <w:rsid w:val="001F66D0"/>
    <w:rsid w:val="001F6756"/>
    <w:rsid w:val="001F6780"/>
    <w:rsid w:val="001F67FE"/>
    <w:rsid w:val="001F686B"/>
    <w:rsid w:val="001F686C"/>
    <w:rsid w:val="001F6873"/>
    <w:rsid w:val="001F68E6"/>
    <w:rsid w:val="001F68E9"/>
    <w:rsid w:val="001F6955"/>
    <w:rsid w:val="001F69B9"/>
    <w:rsid w:val="001F6A1C"/>
    <w:rsid w:val="001F6A67"/>
    <w:rsid w:val="001F6A93"/>
    <w:rsid w:val="001F6AB4"/>
    <w:rsid w:val="001F6AE6"/>
    <w:rsid w:val="001F6B1C"/>
    <w:rsid w:val="001F6B36"/>
    <w:rsid w:val="001F6B74"/>
    <w:rsid w:val="001F6BBC"/>
    <w:rsid w:val="001F6BD1"/>
    <w:rsid w:val="001F6BEE"/>
    <w:rsid w:val="001F6BFA"/>
    <w:rsid w:val="001F6C06"/>
    <w:rsid w:val="001F6C2A"/>
    <w:rsid w:val="001F6C3D"/>
    <w:rsid w:val="001F6C6C"/>
    <w:rsid w:val="001F6C70"/>
    <w:rsid w:val="001F6D91"/>
    <w:rsid w:val="001F6DC3"/>
    <w:rsid w:val="001F6DF6"/>
    <w:rsid w:val="001F6E17"/>
    <w:rsid w:val="001F6E9B"/>
    <w:rsid w:val="001F6EC3"/>
    <w:rsid w:val="001F6EC9"/>
    <w:rsid w:val="001F6F2D"/>
    <w:rsid w:val="001F6F49"/>
    <w:rsid w:val="001F6F7F"/>
    <w:rsid w:val="001F6FA0"/>
    <w:rsid w:val="001F6FB0"/>
    <w:rsid w:val="001F6FB4"/>
    <w:rsid w:val="001F6FF9"/>
    <w:rsid w:val="001F7081"/>
    <w:rsid w:val="001F70B0"/>
    <w:rsid w:val="001F71B2"/>
    <w:rsid w:val="001F7215"/>
    <w:rsid w:val="001F721A"/>
    <w:rsid w:val="001F726A"/>
    <w:rsid w:val="001F728B"/>
    <w:rsid w:val="001F72C0"/>
    <w:rsid w:val="001F72C6"/>
    <w:rsid w:val="001F7342"/>
    <w:rsid w:val="001F738D"/>
    <w:rsid w:val="001F73CB"/>
    <w:rsid w:val="001F7400"/>
    <w:rsid w:val="001F74B8"/>
    <w:rsid w:val="001F74E4"/>
    <w:rsid w:val="001F7522"/>
    <w:rsid w:val="001F7598"/>
    <w:rsid w:val="001F75A7"/>
    <w:rsid w:val="001F7615"/>
    <w:rsid w:val="001F7616"/>
    <w:rsid w:val="001F7675"/>
    <w:rsid w:val="001F767B"/>
    <w:rsid w:val="001F76A2"/>
    <w:rsid w:val="001F76F5"/>
    <w:rsid w:val="001F76FA"/>
    <w:rsid w:val="001F77A6"/>
    <w:rsid w:val="001F77BF"/>
    <w:rsid w:val="001F7801"/>
    <w:rsid w:val="001F7814"/>
    <w:rsid w:val="001F7860"/>
    <w:rsid w:val="001F7871"/>
    <w:rsid w:val="001F78CA"/>
    <w:rsid w:val="001F7902"/>
    <w:rsid w:val="001F7938"/>
    <w:rsid w:val="001F79FD"/>
    <w:rsid w:val="001F7A9F"/>
    <w:rsid w:val="001F7B75"/>
    <w:rsid w:val="001F7B77"/>
    <w:rsid w:val="001F7B94"/>
    <w:rsid w:val="001F7BCA"/>
    <w:rsid w:val="001F7BE2"/>
    <w:rsid w:val="001F7BEB"/>
    <w:rsid w:val="001F7C43"/>
    <w:rsid w:val="001F7C49"/>
    <w:rsid w:val="001F7C4C"/>
    <w:rsid w:val="001F7C6E"/>
    <w:rsid w:val="001F7D17"/>
    <w:rsid w:val="001F7D2D"/>
    <w:rsid w:val="001F7D3E"/>
    <w:rsid w:val="001F7D84"/>
    <w:rsid w:val="001F7DA1"/>
    <w:rsid w:val="001F7DB1"/>
    <w:rsid w:val="001F7DF2"/>
    <w:rsid w:val="001F7E1C"/>
    <w:rsid w:val="001F7EC3"/>
    <w:rsid w:val="001F7EE9"/>
    <w:rsid w:val="001F7F57"/>
    <w:rsid w:val="001F7F7E"/>
    <w:rsid w:val="00200004"/>
    <w:rsid w:val="0020005D"/>
    <w:rsid w:val="00200086"/>
    <w:rsid w:val="0020008A"/>
    <w:rsid w:val="00200172"/>
    <w:rsid w:val="0020018A"/>
    <w:rsid w:val="00200209"/>
    <w:rsid w:val="0020020E"/>
    <w:rsid w:val="00200227"/>
    <w:rsid w:val="0020024E"/>
    <w:rsid w:val="00200289"/>
    <w:rsid w:val="0020028D"/>
    <w:rsid w:val="002002A4"/>
    <w:rsid w:val="0020035E"/>
    <w:rsid w:val="002003CC"/>
    <w:rsid w:val="002003F9"/>
    <w:rsid w:val="00200426"/>
    <w:rsid w:val="0020043F"/>
    <w:rsid w:val="0020049D"/>
    <w:rsid w:val="002004AE"/>
    <w:rsid w:val="002004BC"/>
    <w:rsid w:val="0020062A"/>
    <w:rsid w:val="002006B1"/>
    <w:rsid w:val="002006C2"/>
    <w:rsid w:val="002006F5"/>
    <w:rsid w:val="0020071B"/>
    <w:rsid w:val="00200744"/>
    <w:rsid w:val="00200761"/>
    <w:rsid w:val="00200794"/>
    <w:rsid w:val="002007E3"/>
    <w:rsid w:val="002007E5"/>
    <w:rsid w:val="00200817"/>
    <w:rsid w:val="00200821"/>
    <w:rsid w:val="00200830"/>
    <w:rsid w:val="0020087F"/>
    <w:rsid w:val="00200892"/>
    <w:rsid w:val="00200941"/>
    <w:rsid w:val="00200956"/>
    <w:rsid w:val="002009FA"/>
    <w:rsid w:val="00200A39"/>
    <w:rsid w:val="00200A3D"/>
    <w:rsid w:val="00200A5B"/>
    <w:rsid w:val="00200A72"/>
    <w:rsid w:val="00200A81"/>
    <w:rsid w:val="00200A90"/>
    <w:rsid w:val="00200AB5"/>
    <w:rsid w:val="00200AB9"/>
    <w:rsid w:val="00200AF2"/>
    <w:rsid w:val="00200B0D"/>
    <w:rsid w:val="00200B8F"/>
    <w:rsid w:val="00200C26"/>
    <w:rsid w:val="00200C32"/>
    <w:rsid w:val="00200C4A"/>
    <w:rsid w:val="00200C51"/>
    <w:rsid w:val="00200C5F"/>
    <w:rsid w:val="00200C63"/>
    <w:rsid w:val="00200C8B"/>
    <w:rsid w:val="00200D3D"/>
    <w:rsid w:val="00200D59"/>
    <w:rsid w:val="00200D7B"/>
    <w:rsid w:val="00200D87"/>
    <w:rsid w:val="00200DDD"/>
    <w:rsid w:val="00200DEF"/>
    <w:rsid w:val="00200E02"/>
    <w:rsid w:val="00200E17"/>
    <w:rsid w:val="00200E22"/>
    <w:rsid w:val="00200EAB"/>
    <w:rsid w:val="00200EF8"/>
    <w:rsid w:val="00200F31"/>
    <w:rsid w:val="00200F40"/>
    <w:rsid w:val="00200F4D"/>
    <w:rsid w:val="00200F88"/>
    <w:rsid w:val="0020106F"/>
    <w:rsid w:val="002010B4"/>
    <w:rsid w:val="002010DB"/>
    <w:rsid w:val="00201159"/>
    <w:rsid w:val="00201243"/>
    <w:rsid w:val="0020127E"/>
    <w:rsid w:val="002012E9"/>
    <w:rsid w:val="00201370"/>
    <w:rsid w:val="002013A2"/>
    <w:rsid w:val="002013CF"/>
    <w:rsid w:val="002013D6"/>
    <w:rsid w:val="00201400"/>
    <w:rsid w:val="00201446"/>
    <w:rsid w:val="00201488"/>
    <w:rsid w:val="0020149E"/>
    <w:rsid w:val="002014F0"/>
    <w:rsid w:val="00201528"/>
    <w:rsid w:val="002015D7"/>
    <w:rsid w:val="00201644"/>
    <w:rsid w:val="002016CD"/>
    <w:rsid w:val="0020175C"/>
    <w:rsid w:val="002017CE"/>
    <w:rsid w:val="0020181B"/>
    <w:rsid w:val="00201871"/>
    <w:rsid w:val="002018C1"/>
    <w:rsid w:val="002018CC"/>
    <w:rsid w:val="002018D2"/>
    <w:rsid w:val="00201945"/>
    <w:rsid w:val="0020198D"/>
    <w:rsid w:val="002019C6"/>
    <w:rsid w:val="00201A5A"/>
    <w:rsid w:val="00201A9D"/>
    <w:rsid w:val="00201AB9"/>
    <w:rsid w:val="00201AD2"/>
    <w:rsid w:val="00201AD3"/>
    <w:rsid w:val="00201B12"/>
    <w:rsid w:val="00201B49"/>
    <w:rsid w:val="00201B91"/>
    <w:rsid w:val="00201BD4"/>
    <w:rsid w:val="00201BFB"/>
    <w:rsid w:val="00201C28"/>
    <w:rsid w:val="00201C70"/>
    <w:rsid w:val="00201DB2"/>
    <w:rsid w:val="00201DEB"/>
    <w:rsid w:val="00201E0A"/>
    <w:rsid w:val="00201E46"/>
    <w:rsid w:val="00201E65"/>
    <w:rsid w:val="00201EDD"/>
    <w:rsid w:val="00201EE1"/>
    <w:rsid w:val="00201EE3"/>
    <w:rsid w:val="00201EF4"/>
    <w:rsid w:val="00201F6C"/>
    <w:rsid w:val="00201FCF"/>
    <w:rsid w:val="0020210E"/>
    <w:rsid w:val="00202166"/>
    <w:rsid w:val="0020217A"/>
    <w:rsid w:val="0020223A"/>
    <w:rsid w:val="0020232F"/>
    <w:rsid w:val="0020237D"/>
    <w:rsid w:val="00202391"/>
    <w:rsid w:val="002023B4"/>
    <w:rsid w:val="00202474"/>
    <w:rsid w:val="00202501"/>
    <w:rsid w:val="0020259F"/>
    <w:rsid w:val="002025CC"/>
    <w:rsid w:val="002025FF"/>
    <w:rsid w:val="0020262D"/>
    <w:rsid w:val="00202635"/>
    <w:rsid w:val="00202640"/>
    <w:rsid w:val="0020265F"/>
    <w:rsid w:val="002026A3"/>
    <w:rsid w:val="002026A6"/>
    <w:rsid w:val="002026EC"/>
    <w:rsid w:val="00202703"/>
    <w:rsid w:val="00202716"/>
    <w:rsid w:val="00202736"/>
    <w:rsid w:val="0020279A"/>
    <w:rsid w:val="002027CC"/>
    <w:rsid w:val="00202836"/>
    <w:rsid w:val="00202838"/>
    <w:rsid w:val="00202942"/>
    <w:rsid w:val="00202960"/>
    <w:rsid w:val="0020298D"/>
    <w:rsid w:val="00202A39"/>
    <w:rsid w:val="00202A3C"/>
    <w:rsid w:val="00202ABB"/>
    <w:rsid w:val="00202AFA"/>
    <w:rsid w:val="00202B09"/>
    <w:rsid w:val="00202BE7"/>
    <w:rsid w:val="00202C5B"/>
    <w:rsid w:val="00202C8D"/>
    <w:rsid w:val="00202C9C"/>
    <w:rsid w:val="00202CCB"/>
    <w:rsid w:val="00202CD5"/>
    <w:rsid w:val="00202CF6"/>
    <w:rsid w:val="00202D46"/>
    <w:rsid w:val="00202DC9"/>
    <w:rsid w:val="00202DD2"/>
    <w:rsid w:val="00202DFA"/>
    <w:rsid w:val="00202E2F"/>
    <w:rsid w:val="00202E45"/>
    <w:rsid w:val="00202E56"/>
    <w:rsid w:val="00202F1C"/>
    <w:rsid w:val="00202F82"/>
    <w:rsid w:val="00202F95"/>
    <w:rsid w:val="00203002"/>
    <w:rsid w:val="00203014"/>
    <w:rsid w:val="00203060"/>
    <w:rsid w:val="002030A3"/>
    <w:rsid w:val="002030FC"/>
    <w:rsid w:val="00203184"/>
    <w:rsid w:val="00203185"/>
    <w:rsid w:val="00203186"/>
    <w:rsid w:val="002031D3"/>
    <w:rsid w:val="0020321E"/>
    <w:rsid w:val="002032C3"/>
    <w:rsid w:val="00203338"/>
    <w:rsid w:val="0020335D"/>
    <w:rsid w:val="0020338F"/>
    <w:rsid w:val="002033B0"/>
    <w:rsid w:val="002033FC"/>
    <w:rsid w:val="0020342C"/>
    <w:rsid w:val="00203451"/>
    <w:rsid w:val="0020349F"/>
    <w:rsid w:val="00203537"/>
    <w:rsid w:val="00203590"/>
    <w:rsid w:val="002035CD"/>
    <w:rsid w:val="002035EB"/>
    <w:rsid w:val="00203614"/>
    <w:rsid w:val="00203642"/>
    <w:rsid w:val="00203656"/>
    <w:rsid w:val="002036DC"/>
    <w:rsid w:val="002036E8"/>
    <w:rsid w:val="002036ED"/>
    <w:rsid w:val="00203706"/>
    <w:rsid w:val="00203757"/>
    <w:rsid w:val="0020378F"/>
    <w:rsid w:val="002037ED"/>
    <w:rsid w:val="00203852"/>
    <w:rsid w:val="00203853"/>
    <w:rsid w:val="00203855"/>
    <w:rsid w:val="0020388B"/>
    <w:rsid w:val="002038D6"/>
    <w:rsid w:val="002038E2"/>
    <w:rsid w:val="002039AA"/>
    <w:rsid w:val="002039D3"/>
    <w:rsid w:val="00203A26"/>
    <w:rsid w:val="00203A2D"/>
    <w:rsid w:val="00203A81"/>
    <w:rsid w:val="00203A86"/>
    <w:rsid w:val="00203A8E"/>
    <w:rsid w:val="00203AA0"/>
    <w:rsid w:val="00203B3F"/>
    <w:rsid w:val="00203B61"/>
    <w:rsid w:val="00203BCA"/>
    <w:rsid w:val="00203BD0"/>
    <w:rsid w:val="00203C95"/>
    <w:rsid w:val="00203CF2"/>
    <w:rsid w:val="00203CFB"/>
    <w:rsid w:val="00203D60"/>
    <w:rsid w:val="00203D76"/>
    <w:rsid w:val="00203E98"/>
    <w:rsid w:val="00203EC2"/>
    <w:rsid w:val="00203F09"/>
    <w:rsid w:val="00203FAC"/>
    <w:rsid w:val="00203FF4"/>
    <w:rsid w:val="00204022"/>
    <w:rsid w:val="00204034"/>
    <w:rsid w:val="0020404F"/>
    <w:rsid w:val="0020411C"/>
    <w:rsid w:val="00204128"/>
    <w:rsid w:val="0020412A"/>
    <w:rsid w:val="0020419D"/>
    <w:rsid w:val="002041F6"/>
    <w:rsid w:val="00204285"/>
    <w:rsid w:val="002042E5"/>
    <w:rsid w:val="0020430D"/>
    <w:rsid w:val="0020433C"/>
    <w:rsid w:val="00204380"/>
    <w:rsid w:val="0020438C"/>
    <w:rsid w:val="002043D8"/>
    <w:rsid w:val="002044AA"/>
    <w:rsid w:val="002044B4"/>
    <w:rsid w:val="002044F3"/>
    <w:rsid w:val="00204506"/>
    <w:rsid w:val="00204509"/>
    <w:rsid w:val="00204552"/>
    <w:rsid w:val="0020455F"/>
    <w:rsid w:val="00204590"/>
    <w:rsid w:val="00204595"/>
    <w:rsid w:val="002045C1"/>
    <w:rsid w:val="00204647"/>
    <w:rsid w:val="00204672"/>
    <w:rsid w:val="00204694"/>
    <w:rsid w:val="002046E2"/>
    <w:rsid w:val="002046FE"/>
    <w:rsid w:val="00204700"/>
    <w:rsid w:val="00204708"/>
    <w:rsid w:val="00204727"/>
    <w:rsid w:val="00204734"/>
    <w:rsid w:val="0020474C"/>
    <w:rsid w:val="0020476E"/>
    <w:rsid w:val="00204796"/>
    <w:rsid w:val="002047C8"/>
    <w:rsid w:val="002047F3"/>
    <w:rsid w:val="002047F6"/>
    <w:rsid w:val="0020489E"/>
    <w:rsid w:val="00204912"/>
    <w:rsid w:val="0020492B"/>
    <w:rsid w:val="00204948"/>
    <w:rsid w:val="0020494B"/>
    <w:rsid w:val="002049B3"/>
    <w:rsid w:val="00204A14"/>
    <w:rsid w:val="00204A29"/>
    <w:rsid w:val="00204A8B"/>
    <w:rsid w:val="00204A97"/>
    <w:rsid w:val="00204A9A"/>
    <w:rsid w:val="00204AEA"/>
    <w:rsid w:val="00204B11"/>
    <w:rsid w:val="00204B54"/>
    <w:rsid w:val="00204BDA"/>
    <w:rsid w:val="00204BEF"/>
    <w:rsid w:val="00204CCE"/>
    <w:rsid w:val="00204D0E"/>
    <w:rsid w:val="00204D2C"/>
    <w:rsid w:val="00204D38"/>
    <w:rsid w:val="00204D91"/>
    <w:rsid w:val="00204E99"/>
    <w:rsid w:val="00204E9A"/>
    <w:rsid w:val="00204EC9"/>
    <w:rsid w:val="00204EDA"/>
    <w:rsid w:val="00204F2F"/>
    <w:rsid w:val="00204F4F"/>
    <w:rsid w:val="00204F64"/>
    <w:rsid w:val="00204FF3"/>
    <w:rsid w:val="00204FFA"/>
    <w:rsid w:val="0020500F"/>
    <w:rsid w:val="00205057"/>
    <w:rsid w:val="0020506C"/>
    <w:rsid w:val="002050CD"/>
    <w:rsid w:val="002050F9"/>
    <w:rsid w:val="00205169"/>
    <w:rsid w:val="00205190"/>
    <w:rsid w:val="002051FE"/>
    <w:rsid w:val="0020525A"/>
    <w:rsid w:val="0020529B"/>
    <w:rsid w:val="002052DB"/>
    <w:rsid w:val="00205391"/>
    <w:rsid w:val="00205402"/>
    <w:rsid w:val="00205470"/>
    <w:rsid w:val="00205494"/>
    <w:rsid w:val="002054AD"/>
    <w:rsid w:val="002054E5"/>
    <w:rsid w:val="002054F9"/>
    <w:rsid w:val="0020551D"/>
    <w:rsid w:val="0020552F"/>
    <w:rsid w:val="002055EF"/>
    <w:rsid w:val="00205608"/>
    <w:rsid w:val="00205639"/>
    <w:rsid w:val="00205714"/>
    <w:rsid w:val="0020571C"/>
    <w:rsid w:val="00205773"/>
    <w:rsid w:val="002057A6"/>
    <w:rsid w:val="0020582D"/>
    <w:rsid w:val="00205973"/>
    <w:rsid w:val="002059B6"/>
    <w:rsid w:val="00205A4E"/>
    <w:rsid w:val="00205A8F"/>
    <w:rsid w:val="00205ABD"/>
    <w:rsid w:val="00205AF8"/>
    <w:rsid w:val="00205B7F"/>
    <w:rsid w:val="00205B8D"/>
    <w:rsid w:val="00205C7B"/>
    <w:rsid w:val="00205C8D"/>
    <w:rsid w:val="00205C95"/>
    <w:rsid w:val="00205C9D"/>
    <w:rsid w:val="00205D38"/>
    <w:rsid w:val="00205D50"/>
    <w:rsid w:val="00205D79"/>
    <w:rsid w:val="00205DCD"/>
    <w:rsid w:val="00205DF0"/>
    <w:rsid w:val="00205DFF"/>
    <w:rsid w:val="00205E79"/>
    <w:rsid w:val="00205E81"/>
    <w:rsid w:val="00205EB4"/>
    <w:rsid w:val="00205ECD"/>
    <w:rsid w:val="00205F8E"/>
    <w:rsid w:val="00205FA2"/>
    <w:rsid w:val="00205FF5"/>
    <w:rsid w:val="00206025"/>
    <w:rsid w:val="0020604B"/>
    <w:rsid w:val="00206119"/>
    <w:rsid w:val="00206120"/>
    <w:rsid w:val="00206176"/>
    <w:rsid w:val="002061A9"/>
    <w:rsid w:val="002061DD"/>
    <w:rsid w:val="00206228"/>
    <w:rsid w:val="0020627B"/>
    <w:rsid w:val="002062CB"/>
    <w:rsid w:val="002062F8"/>
    <w:rsid w:val="002063A2"/>
    <w:rsid w:val="002063D8"/>
    <w:rsid w:val="002063F1"/>
    <w:rsid w:val="00206409"/>
    <w:rsid w:val="0020641A"/>
    <w:rsid w:val="002064B4"/>
    <w:rsid w:val="0020657C"/>
    <w:rsid w:val="002065BB"/>
    <w:rsid w:val="00206631"/>
    <w:rsid w:val="0020667E"/>
    <w:rsid w:val="00206685"/>
    <w:rsid w:val="002066A0"/>
    <w:rsid w:val="002066DE"/>
    <w:rsid w:val="00206702"/>
    <w:rsid w:val="00206706"/>
    <w:rsid w:val="00206708"/>
    <w:rsid w:val="00206793"/>
    <w:rsid w:val="00206808"/>
    <w:rsid w:val="00206815"/>
    <w:rsid w:val="00206832"/>
    <w:rsid w:val="00206836"/>
    <w:rsid w:val="00206839"/>
    <w:rsid w:val="0020683B"/>
    <w:rsid w:val="002068C1"/>
    <w:rsid w:val="002068FE"/>
    <w:rsid w:val="0020691F"/>
    <w:rsid w:val="00206964"/>
    <w:rsid w:val="0020696A"/>
    <w:rsid w:val="002069FE"/>
    <w:rsid w:val="00206A3D"/>
    <w:rsid w:val="00206A59"/>
    <w:rsid w:val="00206A88"/>
    <w:rsid w:val="00206A8E"/>
    <w:rsid w:val="00206AFA"/>
    <w:rsid w:val="00206B90"/>
    <w:rsid w:val="00206BE1"/>
    <w:rsid w:val="00206C24"/>
    <w:rsid w:val="00206C57"/>
    <w:rsid w:val="00206C70"/>
    <w:rsid w:val="00206C86"/>
    <w:rsid w:val="00206C92"/>
    <w:rsid w:val="00206CA6"/>
    <w:rsid w:val="00206D3A"/>
    <w:rsid w:val="00206D3E"/>
    <w:rsid w:val="00206D9C"/>
    <w:rsid w:val="00206E06"/>
    <w:rsid w:val="00206E5B"/>
    <w:rsid w:val="00206F14"/>
    <w:rsid w:val="00206F2F"/>
    <w:rsid w:val="00206FD7"/>
    <w:rsid w:val="00206FDB"/>
    <w:rsid w:val="00206FE1"/>
    <w:rsid w:val="00206FED"/>
    <w:rsid w:val="00207046"/>
    <w:rsid w:val="00207066"/>
    <w:rsid w:val="0020706D"/>
    <w:rsid w:val="002070CD"/>
    <w:rsid w:val="0020717E"/>
    <w:rsid w:val="0020719F"/>
    <w:rsid w:val="002071F0"/>
    <w:rsid w:val="002071F8"/>
    <w:rsid w:val="00207230"/>
    <w:rsid w:val="0020729E"/>
    <w:rsid w:val="002072C7"/>
    <w:rsid w:val="002072DA"/>
    <w:rsid w:val="00207313"/>
    <w:rsid w:val="0020738E"/>
    <w:rsid w:val="00207434"/>
    <w:rsid w:val="00207484"/>
    <w:rsid w:val="002074CC"/>
    <w:rsid w:val="00207506"/>
    <w:rsid w:val="0020756D"/>
    <w:rsid w:val="00207577"/>
    <w:rsid w:val="0020758F"/>
    <w:rsid w:val="00207590"/>
    <w:rsid w:val="002076A4"/>
    <w:rsid w:val="002076AF"/>
    <w:rsid w:val="002076EC"/>
    <w:rsid w:val="0020778B"/>
    <w:rsid w:val="002077BB"/>
    <w:rsid w:val="0020786F"/>
    <w:rsid w:val="002078EF"/>
    <w:rsid w:val="00207930"/>
    <w:rsid w:val="00207943"/>
    <w:rsid w:val="0020799A"/>
    <w:rsid w:val="002079EC"/>
    <w:rsid w:val="00207A0F"/>
    <w:rsid w:val="00207A2C"/>
    <w:rsid w:val="00207A64"/>
    <w:rsid w:val="00207AD4"/>
    <w:rsid w:val="00207B0C"/>
    <w:rsid w:val="00207B19"/>
    <w:rsid w:val="00207B52"/>
    <w:rsid w:val="00207BB4"/>
    <w:rsid w:val="00207BEC"/>
    <w:rsid w:val="00207C13"/>
    <w:rsid w:val="00207C79"/>
    <w:rsid w:val="00207CB6"/>
    <w:rsid w:val="00207D64"/>
    <w:rsid w:val="00207DDF"/>
    <w:rsid w:val="00207DFE"/>
    <w:rsid w:val="00207E04"/>
    <w:rsid w:val="00207EC8"/>
    <w:rsid w:val="00207ED3"/>
    <w:rsid w:val="00207EF3"/>
    <w:rsid w:val="00207F0D"/>
    <w:rsid w:val="00207F1B"/>
    <w:rsid w:val="00207F43"/>
    <w:rsid w:val="00207F57"/>
    <w:rsid w:val="00207F75"/>
    <w:rsid w:val="00207F88"/>
    <w:rsid w:val="00207F94"/>
    <w:rsid w:val="00210088"/>
    <w:rsid w:val="0021009D"/>
    <w:rsid w:val="002100B6"/>
    <w:rsid w:val="002100BE"/>
    <w:rsid w:val="002100C5"/>
    <w:rsid w:val="002100E3"/>
    <w:rsid w:val="00210112"/>
    <w:rsid w:val="0021012A"/>
    <w:rsid w:val="00210176"/>
    <w:rsid w:val="00210197"/>
    <w:rsid w:val="002101E2"/>
    <w:rsid w:val="002101F0"/>
    <w:rsid w:val="00210217"/>
    <w:rsid w:val="00210257"/>
    <w:rsid w:val="002102CE"/>
    <w:rsid w:val="00210312"/>
    <w:rsid w:val="00210319"/>
    <w:rsid w:val="00210343"/>
    <w:rsid w:val="00210350"/>
    <w:rsid w:val="00210367"/>
    <w:rsid w:val="00210412"/>
    <w:rsid w:val="0021043A"/>
    <w:rsid w:val="0021047D"/>
    <w:rsid w:val="002104DC"/>
    <w:rsid w:val="0021056D"/>
    <w:rsid w:val="0021060D"/>
    <w:rsid w:val="0021063F"/>
    <w:rsid w:val="00210641"/>
    <w:rsid w:val="002106A0"/>
    <w:rsid w:val="00210738"/>
    <w:rsid w:val="00210782"/>
    <w:rsid w:val="0021078E"/>
    <w:rsid w:val="0021078F"/>
    <w:rsid w:val="002107A7"/>
    <w:rsid w:val="002107B4"/>
    <w:rsid w:val="002108A6"/>
    <w:rsid w:val="002108C7"/>
    <w:rsid w:val="002108E9"/>
    <w:rsid w:val="0021096E"/>
    <w:rsid w:val="002109A1"/>
    <w:rsid w:val="00210AA7"/>
    <w:rsid w:val="00210AE9"/>
    <w:rsid w:val="00210B53"/>
    <w:rsid w:val="00210B58"/>
    <w:rsid w:val="00210B9A"/>
    <w:rsid w:val="00210C7E"/>
    <w:rsid w:val="00210C94"/>
    <w:rsid w:val="00210CBA"/>
    <w:rsid w:val="00210D2B"/>
    <w:rsid w:val="00210D39"/>
    <w:rsid w:val="00210D5D"/>
    <w:rsid w:val="00210DA3"/>
    <w:rsid w:val="00210DA5"/>
    <w:rsid w:val="00210DDA"/>
    <w:rsid w:val="00210E32"/>
    <w:rsid w:val="00210E33"/>
    <w:rsid w:val="00210E46"/>
    <w:rsid w:val="00210E70"/>
    <w:rsid w:val="00210E81"/>
    <w:rsid w:val="00210EEC"/>
    <w:rsid w:val="00210EFE"/>
    <w:rsid w:val="00210F17"/>
    <w:rsid w:val="00210FFE"/>
    <w:rsid w:val="00211014"/>
    <w:rsid w:val="00211070"/>
    <w:rsid w:val="0021109B"/>
    <w:rsid w:val="002110E6"/>
    <w:rsid w:val="002110F5"/>
    <w:rsid w:val="002110F8"/>
    <w:rsid w:val="00211111"/>
    <w:rsid w:val="00211133"/>
    <w:rsid w:val="0021115F"/>
    <w:rsid w:val="0021117C"/>
    <w:rsid w:val="002111DE"/>
    <w:rsid w:val="002111EF"/>
    <w:rsid w:val="00211240"/>
    <w:rsid w:val="0021129C"/>
    <w:rsid w:val="002112B0"/>
    <w:rsid w:val="00211334"/>
    <w:rsid w:val="0021136A"/>
    <w:rsid w:val="002113BD"/>
    <w:rsid w:val="00211407"/>
    <w:rsid w:val="00211484"/>
    <w:rsid w:val="002114AA"/>
    <w:rsid w:val="002114AE"/>
    <w:rsid w:val="002114C5"/>
    <w:rsid w:val="00211533"/>
    <w:rsid w:val="00211549"/>
    <w:rsid w:val="002115E1"/>
    <w:rsid w:val="00211656"/>
    <w:rsid w:val="0021176B"/>
    <w:rsid w:val="00211781"/>
    <w:rsid w:val="002117B5"/>
    <w:rsid w:val="002117CF"/>
    <w:rsid w:val="002117FD"/>
    <w:rsid w:val="00211821"/>
    <w:rsid w:val="0021184D"/>
    <w:rsid w:val="0021185D"/>
    <w:rsid w:val="00211946"/>
    <w:rsid w:val="0021194C"/>
    <w:rsid w:val="00211953"/>
    <w:rsid w:val="00211968"/>
    <w:rsid w:val="002119D6"/>
    <w:rsid w:val="002119F8"/>
    <w:rsid w:val="00211A01"/>
    <w:rsid w:val="00211AB8"/>
    <w:rsid w:val="00211ADB"/>
    <w:rsid w:val="00211B89"/>
    <w:rsid w:val="00211BE0"/>
    <w:rsid w:val="00211C3A"/>
    <w:rsid w:val="00211C62"/>
    <w:rsid w:val="00211C88"/>
    <w:rsid w:val="00211CC6"/>
    <w:rsid w:val="00211CE4"/>
    <w:rsid w:val="00211D0A"/>
    <w:rsid w:val="00211D1E"/>
    <w:rsid w:val="00211D1F"/>
    <w:rsid w:val="00211D2F"/>
    <w:rsid w:val="00211D6E"/>
    <w:rsid w:val="00211D98"/>
    <w:rsid w:val="00211DAD"/>
    <w:rsid w:val="00211DCF"/>
    <w:rsid w:val="00211DD8"/>
    <w:rsid w:val="00211E2B"/>
    <w:rsid w:val="00211E38"/>
    <w:rsid w:val="00211EB7"/>
    <w:rsid w:val="00211EF2"/>
    <w:rsid w:val="00211F28"/>
    <w:rsid w:val="00211F29"/>
    <w:rsid w:val="00211F2E"/>
    <w:rsid w:val="00211F8E"/>
    <w:rsid w:val="00211FD8"/>
    <w:rsid w:val="00212041"/>
    <w:rsid w:val="002120C5"/>
    <w:rsid w:val="002121A2"/>
    <w:rsid w:val="00212219"/>
    <w:rsid w:val="00212258"/>
    <w:rsid w:val="00212264"/>
    <w:rsid w:val="0021228A"/>
    <w:rsid w:val="002122E5"/>
    <w:rsid w:val="00212347"/>
    <w:rsid w:val="00212363"/>
    <w:rsid w:val="00212428"/>
    <w:rsid w:val="0021244A"/>
    <w:rsid w:val="00212504"/>
    <w:rsid w:val="00212548"/>
    <w:rsid w:val="0021255B"/>
    <w:rsid w:val="0021257B"/>
    <w:rsid w:val="00212585"/>
    <w:rsid w:val="00212595"/>
    <w:rsid w:val="002125D1"/>
    <w:rsid w:val="002125E4"/>
    <w:rsid w:val="002125E5"/>
    <w:rsid w:val="0021261C"/>
    <w:rsid w:val="00212622"/>
    <w:rsid w:val="00212764"/>
    <w:rsid w:val="002127C7"/>
    <w:rsid w:val="002127C9"/>
    <w:rsid w:val="0021288F"/>
    <w:rsid w:val="002128B3"/>
    <w:rsid w:val="002128E5"/>
    <w:rsid w:val="002128FA"/>
    <w:rsid w:val="00212905"/>
    <w:rsid w:val="00212990"/>
    <w:rsid w:val="002129E6"/>
    <w:rsid w:val="00212A31"/>
    <w:rsid w:val="00212A7F"/>
    <w:rsid w:val="00212AA2"/>
    <w:rsid w:val="00212AD6"/>
    <w:rsid w:val="00212B3E"/>
    <w:rsid w:val="00212B48"/>
    <w:rsid w:val="00212BCA"/>
    <w:rsid w:val="00212C2B"/>
    <w:rsid w:val="00212CA6"/>
    <w:rsid w:val="00212CEA"/>
    <w:rsid w:val="00212D0D"/>
    <w:rsid w:val="00212D0E"/>
    <w:rsid w:val="00212D78"/>
    <w:rsid w:val="00212E5A"/>
    <w:rsid w:val="00212F3B"/>
    <w:rsid w:val="00212FBD"/>
    <w:rsid w:val="00212FCF"/>
    <w:rsid w:val="00212FEA"/>
    <w:rsid w:val="00212FFA"/>
    <w:rsid w:val="00213001"/>
    <w:rsid w:val="00213069"/>
    <w:rsid w:val="002131CF"/>
    <w:rsid w:val="002131FA"/>
    <w:rsid w:val="00213219"/>
    <w:rsid w:val="002132C7"/>
    <w:rsid w:val="002132E7"/>
    <w:rsid w:val="002132E9"/>
    <w:rsid w:val="002132F2"/>
    <w:rsid w:val="00213331"/>
    <w:rsid w:val="0021334F"/>
    <w:rsid w:val="0021335B"/>
    <w:rsid w:val="00213364"/>
    <w:rsid w:val="002133C0"/>
    <w:rsid w:val="00213478"/>
    <w:rsid w:val="00213485"/>
    <w:rsid w:val="002134A5"/>
    <w:rsid w:val="002134F3"/>
    <w:rsid w:val="0021353B"/>
    <w:rsid w:val="002135CC"/>
    <w:rsid w:val="00213732"/>
    <w:rsid w:val="00213775"/>
    <w:rsid w:val="002137B5"/>
    <w:rsid w:val="002137E9"/>
    <w:rsid w:val="00213804"/>
    <w:rsid w:val="00213864"/>
    <w:rsid w:val="00213866"/>
    <w:rsid w:val="00213869"/>
    <w:rsid w:val="002138BD"/>
    <w:rsid w:val="002138F5"/>
    <w:rsid w:val="002138F9"/>
    <w:rsid w:val="0021391F"/>
    <w:rsid w:val="00213931"/>
    <w:rsid w:val="0021393F"/>
    <w:rsid w:val="0021394B"/>
    <w:rsid w:val="0021399F"/>
    <w:rsid w:val="00213A9C"/>
    <w:rsid w:val="00213AEB"/>
    <w:rsid w:val="00213B18"/>
    <w:rsid w:val="00213B52"/>
    <w:rsid w:val="00213B64"/>
    <w:rsid w:val="00213B80"/>
    <w:rsid w:val="00213BF1"/>
    <w:rsid w:val="00213C22"/>
    <w:rsid w:val="00213C37"/>
    <w:rsid w:val="00213C76"/>
    <w:rsid w:val="00213CEE"/>
    <w:rsid w:val="00213D88"/>
    <w:rsid w:val="00213D95"/>
    <w:rsid w:val="00213E07"/>
    <w:rsid w:val="00213E0A"/>
    <w:rsid w:val="00213E52"/>
    <w:rsid w:val="00213ECA"/>
    <w:rsid w:val="00213ED1"/>
    <w:rsid w:val="00213EDD"/>
    <w:rsid w:val="00213F33"/>
    <w:rsid w:val="00213F40"/>
    <w:rsid w:val="00213F4C"/>
    <w:rsid w:val="00214024"/>
    <w:rsid w:val="002140A7"/>
    <w:rsid w:val="002140F4"/>
    <w:rsid w:val="0021416B"/>
    <w:rsid w:val="002141B8"/>
    <w:rsid w:val="00214287"/>
    <w:rsid w:val="00214293"/>
    <w:rsid w:val="002142D1"/>
    <w:rsid w:val="002142F4"/>
    <w:rsid w:val="00214370"/>
    <w:rsid w:val="00214384"/>
    <w:rsid w:val="002143B4"/>
    <w:rsid w:val="00214472"/>
    <w:rsid w:val="002144B4"/>
    <w:rsid w:val="00214587"/>
    <w:rsid w:val="00214588"/>
    <w:rsid w:val="00214596"/>
    <w:rsid w:val="002145AA"/>
    <w:rsid w:val="002145C9"/>
    <w:rsid w:val="0021462E"/>
    <w:rsid w:val="00214640"/>
    <w:rsid w:val="00214675"/>
    <w:rsid w:val="0021469D"/>
    <w:rsid w:val="002146C4"/>
    <w:rsid w:val="00214703"/>
    <w:rsid w:val="00214733"/>
    <w:rsid w:val="002147A6"/>
    <w:rsid w:val="002147D3"/>
    <w:rsid w:val="002147DA"/>
    <w:rsid w:val="00214814"/>
    <w:rsid w:val="00214852"/>
    <w:rsid w:val="002148C7"/>
    <w:rsid w:val="002148E9"/>
    <w:rsid w:val="0021490F"/>
    <w:rsid w:val="0021498B"/>
    <w:rsid w:val="002149C7"/>
    <w:rsid w:val="002149CC"/>
    <w:rsid w:val="00214AEE"/>
    <w:rsid w:val="00214B7E"/>
    <w:rsid w:val="00214BA8"/>
    <w:rsid w:val="00214BD9"/>
    <w:rsid w:val="00214C0D"/>
    <w:rsid w:val="00214C21"/>
    <w:rsid w:val="00214C3B"/>
    <w:rsid w:val="00214C6D"/>
    <w:rsid w:val="00214C75"/>
    <w:rsid w:val="00214CD3"/>
    <w:rsid w:val="00214CDF"/>
    <w:rsid w:val="00214CF3"/>
    <w:rsid w:val="00214D99"/>
    <w:rsid w:val="00214DE0"/>
    <w:rsid w:val="00214DFF"/>
    <w:rsid w:val="00214E82"/>
    <w:rsid w:val="00214E9B"/>
    <w:rsid w:val="00214EEC"/>
    <w:rsid w:val="00214F2C"/>
    <w:rsid w:val="00214F52"/>
    <w:rsid w:val="00214F58"/>
    <w:rsid w:val="00214FD1"/>
    <w:rsid w:val="00214FF6"/>
    <w:rsid w:val="00214FFA"/>
    <w:rsid w:val="00215028"/>
    <w:rsid w:val="0021504D"/>
    <w:rsid w:val="00215080"/>
    <w:rsid w:val="00215088"/>
    <w:rsid w:val="0021508E"/>
    <w:rsid w:val="00215151"/>
    <w:rsid w:val="0021515C"/>
    <w:rsid w:val="0021518F"/>
    <w:rsid w:val="0021519C"/>
    <w:rsid w:val="0021521D"/>
    <w:rsid w:val="00215238"/>
    <w:rsid w:val="002152C5"/>
    <w:rsid w:val="002152F9"/>
    <w:rsid w:val="00215326"/>
    <w:rsid w:val="00215337"/>
    <w:rsid w:val="0021537C"/>
    <w:rsid w:val="002153BB"/>
    <w:rsid w:val="002154AA"/>
    <w:rsid w:val="00215509"/>
    <w:rsid w:val="0021551F"/>
    <w:rsid w:val="002155C3"/>
    <w:rsid w:val="0021560E"/>
    <w:rsid w:val="0021561C"/>
    <w:rsid w:val="00215637"/>
    <w:rsid w:val="00215771"/>
    <w:rsid w:val="00215775"/>
    <w:rsid w:val="0021579A"/>
    <w:rsid w:val="002157A1"/>
    <w:rsid w:val="002157A3"/>
    <w:rsid w:val="002157B7"/>
    <w:rsid w:val="002157C2"/>
    <w:rsid w:val="00215874"/>
    <w:rsid w:val="00215878"/>
    <w:rsid w:val="002158E4"/>
    <w:rsid w:val="00215937"/>
    <w:rsid w:val="00215940"/>
    <w:rsid w:val="00215A0D"/>
    <w:rsid w:val="00215A0F"/>
    <w:rsid w:val="00215A25"/>
    <w:rsid w:val="00215A94"/>
    <w:rsid w:val="00215AAD"/>
    <w:rsid w:val="00215AD4"/>
    <w:rsid w:val="00215AD6"/>
    <w:rsid w:val="00215AF6"/>
    <w:rsid w:val="00215B1B"/>
    <w:rsid w:val="00215B29"/>
    <w:rsid w:val="00215B61"/>
    <w:rsid w:val="00215BB1"/>
    <w:rsid w:val="00215BE0"/>
    <w:rsid w:val="00215C46"/>
    <w:rsid w:val="00215C58"/>
    <w:rsid w:val="00215C7A"/>
    <w:rsid w:val="00215C7F"/>
    <w:rsid w:val="00215C8F"/>
    <w:rsid w:val="00215CEA"/>
    <w:rsid w:val="00215D6E"/>
    <w:rsid w:val="00215D7C"/>
    <w:rsid w:val="00215D93"/>
    <w:rsid w:val="00215E4F"/>
    <w:rsid w:val="00215E53"/>
    <w:rsid w:val="00215E62"/>
    <w:rsid w:val="00215E8C"/>
    <w:rsid w:val="00215F3A"/>
    <w:rsid w:val="00215F56"/>
    <w:rsid w:val="00215FEC"/>
    <w:rsid w:val="0021603A"/>
    <w:rsid w:val="0021604F"/>
    <w:rsid w:val="0021609B"/>
    <w:rsid w:val="0021611E"/>
    <w:rsid w:val="00216259"/>
    <w:rsid w:val="00216320"/>
    <w:rsid w:val="002163D6"/>
    <w:rsid w:val="00216406"/>
    <w:rsid w:val="0021646C"/>
    <w:rsid w:val="002164A2"/>
    <w:rsid w:val="002164C9"/>
    <w:rsid w:val="0021658A"/>
    <w:rsid w:val="002165E2"/>
    <w:rsid w:val="00216657"/>
    <w:rsid w:val="0021668D"/>
    <w:rsid w:val="002166D1"/>
    <w:rsid w:val="002166DA"/>
    <w:rsid w:val="00216741"/>
    <w:rsid w:val="00216771"/>
    <w:rsid w:val="002167E0"/>
    <w:rsid w:val="00216839"/>
    <w:rsid w:val="002168D6"/>
    <w:rsid w:val="00216902"/>
    <w:rsid w:val="00216911"/>
    <w:rsid w:val="00216983"/>
    <w:rsid w:val="002169F7"/>
    <w:rsid w:val="00216A0A"/>
    <w:rsid w:val="00216A70"/>
    <w:rsid w:val="00216A97"/>
    <w:rsid w:val="00216B33"/>
    <w:rsid w:val="00216B37"/>
    <w:rsid w:val="00216B44"/>
    <w:rsid w:val="00216BA6"/>
    <w:rsid w:val="00216BD8"/>
    <w:rsid w:val="00216C43"/>
    <w:rsid w:val="00216C5B"/>
    <w:rsid w:val="00216CDC"/>
    <w:rsid w:val="00216D6B"/>
    <w:rsid w:val="00216DA3"/>
    <w:rsid w:val="00216DB0"/>
    <w:rsid w:val="00216DC8"/>
    <w:rsid w:val="00216E23"/>
    <w:rsid w:val="00216E7B"/>
    <w:rsid w:val="00216E80"/>
    <w:rsid w:val="00216EB8"/>
    <w:rsid w:val="00216EFD"/>
    <w:rsid w:val="00216F43"/>
    <w:rsid w:val="00216F56"/>
    <w:rsid w:val="00216F69"/>
    <w:rsid w:val="00216F79"/>
    <w:rsid w:val="00216F9E"/>
    <w:rsid w:val="00216FEC"/>
    <w:rsid w:val="0021704F"/>
    <w:rsid w:val="00217072"/>
    <w:rsid w:val="0021714D"/>
    <w:rsid w:val="002171DB"/>
    <w:rsid w:val="00217279"/>
    <w:rsid w:val="0021732C"/>
    <w:rsid w:val="0021733C"/>
    <w:rsid w:val="0021735B"/>
    <w:rsid w:val="00217361"/>
    <w:rsid w:val="002173B5"/>
    <w:rsid w:val="00217421"/>
    <w:rsid w:val="00217481"/>
    <w:rsid w:val="00217489"/>
    <w:rsid w:val="002174BB"/>
    <w:rsid w:val="0021756F"/>
    <w:rsid w:val="002175A5"/>
    <w:rsid w:val="00217693"/>
    <w:rsid w:val="002176DA"/>
    <w:rsid w:val="00217742"/>
    <w:rsid w:val="00217752"/>
    <w:rsid w:val="002177B9"/>
    <w:rsid w:val="002177C7"/>
    <w:rsid w:val="0021780D"/>
    <w:rsid w:val="00217831"/>
    <w:rsid w:val="002178CD"/>
    <w:rsid w:val="002178D7"/>
    <w:rsid w:val="002178F2"/>
    <w:rsid w:val="002179AC"/>
    <w:rsid w:val="002179C6"/>
    <w:rsid w:val="002179EE"/>
    <w:rsid w:val="002179F2"/>
    <w:rsid w:val="00217A51"/>
    <w:rsid w:val="00217AD4"/>
    <w:rsid w:val="00217B12"/>
    <w:rsid w:val="00217BA7"/>
    <w:rsid w:val="00217BCC"/>
    <w:rsid w:val="00217CAA"/>
    <w:rsid w:val="00217CD1"/>
    <w:rsid w:val="00217D1F"/>
    <w:rsid w:val="00217DBA"/>
    <w:rsid w:val="00217E6C"/>
    <w:rsid w:val="00217E91"/>
    <w:rsid w:val="00217EC3"/>
    <w:rsid w:val="00217ECF"/>
    <w:rsid w:val="00217EFF"/>
    <w:rsid w:val="00217F0F"/>
    <w:rsid w:val="00217FE2"/>
    <w:rsid w:val="00217FE9"/>
    <w:rsid w:val="002186D4"/>
    <w:rsid w:val="00220013"/>
    <w:rsid w:val="00220038"/>
    <w:rsid w:val="00220039"/>
    <w:rsid w:val="002200E8"/>
    <w:rsid w:val="0022012E"/>
    <w:rsid w:val="0022013E"/>
    <w:rsid w:val="002201E1"/>
    <w:rsid w:val="002201FB"/>
    <w:rsid w:val="0022022C"/>
    <w:rsid w:val="002202E8"/>
    <w:rsid w:val="0022030C"/>
    <w:rsid w:val="00220310"/>
    <w:rsid w:val="00220317"/>
    <w:rsid w:val="0022032D"/>
    <w:rsid w:val="00220332"/>
    <w:rsid w:val="0022034A"/>
    <w:rsid w:val="002203C6"/>
    <w:rsid w:val="00220486"/>
    <w:rsid w:val="002204B8"/>
    <w:rsid w:val="00220574"/>
    <w:rsid w:val="0022057D"/>
    <w:rsid w:val="002205E2"/>
    <w:rsid w:val="00220645"/>
    <w:rsid w:val="002206D7"/>
    <w:rsid w:val="002206DD"/>
    <w:rsid w:val="002206EC"/>
    <w:rsid w:val="0022071E"/>
    <w:rsid w:val="00220727"/>
    <w:rsid w:val="0022072F"/>
    <w:rsid w:val="00220748"/>
    <w:rsid w:val="00220754"/>
    <w:rsid w:val="00220763"/>
    <w:rsid w:val="002207E7"/>
    <w:rsid w:val="00220807"/>
    <w:rsid w:val="00220821"/>
    <w:rsid w:val="00220849"/>
    <w:rsid w:val="00220855"/>
    <w:rsid w:val="00220856"/>
    <w:rsid w:val="00220894"/>
    <w:rsid w:val="002208A5"/>
    <w:rsid w:val="002208BE"/>
    <w:rsid w:val="002208F5"/>
    <w:rsid w:val="00220947"/>
    <w:rsid w:val="0022094D"/>
    <w:rsid w:val="00220950"/>
    <w:rsid w:val="00220994"/>
    <w:rsid w:val="002209CF"/>
    <w:rsid w:val="00220A22"/>
    <w:rsid w:val="00220A8C"/>
    <w:rsid w:val="00220AB1"/>
    <w:rsid w:val="00220B09"/>
    <w:rsid w:val="00220BBE"/>
    <w:rsid w:val="00220C13"/>
    <w:rsid w:val="00220C20"/>
    <w:rsid w:val="00220C56"/>
    <w:rsid w:val="00220CDD"/>
    <w:rsid w:val="00220D2A"/>
    <w:rsid w:val="00220D90"/>
    <w:rsid w:val="00220DC8"/>
    <w:rsid w:val="00220EEC"/>
    <w:rsid w:val="00220EED"/>
    <w:rsid w:val="00220F28"/>
    <w:rsid w:val="00220F2F"/>
    <w:rsid w:val="00220F41"/>
    <w:rsid w:val="00220FC2"/>
    <w:rsid w:val="00220FC3"/>
    <w:rsid w:val="00220FCD"/>
    <w:rsid w:val="00221013"/>
    <w:rsid w:val="0022101C"/>
    <w:rsid w:val="0022103D"/>
    <w:rsid w:val="0022106E"/>
    <w:rsid w:val="00221086"/>
    <w:rsid w:val="002210F6"/>
    <w:rsid w:val="002211CC"/>
    <w:rsid w:val="002211ED"/>
    <w:rsid w:val="0022122B"/>
    <w:rsid w:val="00221269"/>
    <w:rsid w:val="002212C6"/>
    <w:rsid w:val="002212ED"/>
    <w:rsid w:val="002212FF"/>
    <w:rsid w:val="0022133B"/>
    <w:rsid w:val="002213B2"/>
    <w:rsid w:val="002213CC"/>
    <w:rsid w:val="0022143F"/>
    <w:rsid w:val="0022145B"/>
    <w:rsid w:val="00221474"/>
    <w:rsid w:val="0022147F"/>
    <w:rsid w:val="002214E6"/>
    <w:rsid w:val="002214F3"/>
    <w:rsid w:val="0022154A"/>
    <w:rsid w:val="0022159B"/>
    <w:rsid w:val="002215DC"/>
    <w:rsid w:val="0022169B"/>
    <w:rsid w:val="002216B8"/>
    <w:rsid w:val="002216D8"/>
    <w:rsid w:val="00221795"/>
    <w:rsid w:val="002217AB"/>
    <w:rsid w:val="00221824"/>
    <w:rsid w:val="0022182B"/>
    <w:rsid w:val="0022183E"/>
    <w:rsid w:val="00221935"/>
    <w:rsid w:val="0022197D"/>
    <w:rsid w:val="00221988"/>
    <w:rsid w:val="002219A5"/>
    <w:rsid w:val="002219FC"/>
    <w:rsid w:val="00221A1D"/>
    <w:rsid w:val="00221A20"/>
    <w:rsid w:val="00221A57"/>
    <w:rsid w:val="00221A8C"/>
    <w:rsid w:val="00221AD7"/>
    <w:rsid w:val="00221B23"/>
    <w:rsid w:val="00221B7E"/>
    <w:rsid w:val="00221B93"/>
    <w:rsid w:val="00221BA0"/>
    <w:rsid w:val="00221C1C"/>
    <w:rsid w:val="00221C34"/>
    <w:rsid w:val="00221C3B"/>
    <w:rsid w:val="00221C92"/>
    <w:rsid w:val="00221CD7"/>
    <w:rsid w:val="00221D11"/>
    <w:rsid w:val="00221D5F"/>
    <w:rsid w:val="00221D70"/>
    <w:rsid w:val="00221D9B"/>
    <w:rsid w:val="00221DC2"/>
    <w:rsid w:val="00221DFB"/>
    <w:rsid w:val="00221E84"/>
    <w:rsid w:val="00221F42"/>
    <w:rsid w:val="00221F70"/>
    <w:rsid w:val="00221F79"/>
    <w:rsid w:val="00221F85"/>
    <w:rsid w:val="00221FE5"/>
    <w:rsid w:val="0022200D"/>
    <w:rsid w:val="00222032"/>
    <w:rsid w:val="00222058"/>
    <w:rsid w:val="00222167"/>
    <w:rsid w:val="002221BE"/>
    <w:rsid w:val="00222209"/>
    <w:rsid w:val="0022227C"/>
    <w:rsid w:val="0022228F"/>
    <w:rsid w:val="002222A2"/>
    <w:rsid w:val="002222D4"/>
    <w:rsid w:val="002222E2"/>
    <w:rsid w:val="002222EB"/>
    <w:rsid w:val="00222309"/>
    <w:rsid w:val="002223A8"/>
    <w:rsid w:val="002223F5"/>
    <w:rsid w:val="002223F6"/>
    <w:rsid w:val="00222423"/>
    <w:rsid w:val="00222442"/>
    <w:rsid w:val="002224BA"/>
    <w:rsid w:val="002224D2"/>
    <w:rsid w:val="002224EB"/>
    <w:rsid w:val="00222526"/>
    <w:rsid w:val="002225B7"/>
    <w:rsid w:val="002225D6"/>
    <w:rsid w:val="002225EF"/>
    <w:rsid w:val="0022265D"/>
    <w:rsid w:val="002226B5"/>
    <w:rsid w:val="0022270F"/>
    <w:rsid w:val="00222782"/>
    <w:rsid w:val="00222796"/>
    <w:rsid w:val="0022279E"/>
    <w:rsid w:val="0022284C"/>
    <w:rsid w:val="0022297C"/>
    <w:rsid w:val="002229B5"/>
    <w:rsid w:val="002229CA"/>
    <w:rsid w:val="002229FA"/>
    <w:rsid w:val="00222A1D"/>
    <w:rsid w:val="00222A35"/>
    <w:rsid w:val="00222A93"/>
    <w:rsid w:val="00222AEF"/>
    <w:rsid w:val="00222AFE"/>
    <w:rsid w:val="00222B40"/>
    <w:rsid w:val="00222BB0"/>
    <w:rsid w:val="00222BFC"/>
    <w:rsid w:val="00222C07"/>
    <w:rsid w:val="00222C57"/>
    <w:rsid w:val="00222C59"/>
    <w:rsid w:val="00222D6D"/>
    <w:rsid w:val="00222DDC"/>
    <w:rsid w:val="00222DF1"/>
    <w:rsid w:val="00222E37"/>
    <w:rsid w:val="00222E8B"/>
    <w:rsid w:val="00222ED6"/>
    <w:rsid w:val="00222F2A"/>
    <w:rsid w:val="00222F4C"/>
    <w:rsid w:val="00222F83"/>
    <w:rsid w:val="00222F87"/>
    <w:rsid w:val="00222FD7"/>
    <w:rsid w:val="00223087"/>
    <w:rsid w:val="002230BB"/>
    <w:rsid w:val="0022314C"/>
    <w:rsid w:val="00223154"/>
    <w:rsid w:val="00223179"/>
    <w:rsid w:val="0022320E"/>
    <w:rsid w:val="00223256"/>
    <w:rsid w:val="0022327D"/>
    <w:rsid w:val="002232E8"/>
    <w:rsid w:val="0022334D"/>
    <w:rsid w:val="00223395"/>
    <w:rsid w:val="002233DE"/>
    <w:rsid w:val="00223405"/>
    <w:rsid w:val="00223435"/>
    <w:rsid w:val="0022346F"/>
    <w:rsid w:val="00223470"/>
    <w:rsid w:val="00223503"/>
    <w:rsid w:val="002235BC"/>
    <w:rsid w:val="002235FD"/>
    <w:rsid w:val="00223625"/>
    <w:rsid w:val="002236E6"/>
    <w:rsid w:val="00223758"/>
    <w:rsid w:val="0022376C"/>
    <w:rsid w:val="0022377E"/>
    <w:rsid w:val="0022378F"/>
    <w:rsid w:val="002237ED"/>
    <w:rsid w:val="0022383F"/>
    <w:rsid w:val="0022385E"/>
    <w:rsid w:val="00223868"/>
    <w:rsid w:val="00223893"/>
    <w:rsid w:val="00223894"/>
    <w:rsid w:val="002238A5"/>
    <w:rsid w:val="002238BA"/>
    <w:rsid w:val="002238DD"/>
    <w:rsid w:val="0022396B"/>
    <w:rsid w:val="00223974"/>
    <w:rsid w:val="00223AEF"/>
    <w:rsid w:val="00223B4A"/>
    <w:rsid w:val="00223B8E"/>
    <w:rsid w:val="00223BCA"/>
    <w:rsid w:val="00223C13"/>
    <w:rsid w:val="00223C18"/>
    <w:rsid w:val="00223C33"/>
    <w:rsid w:val="00223C4C"/>
    <w:rsid w:val="00223C55"/>
    <w:rsid w:val="00223C6F"/>
    <w:rsid w:val="00223C7C"/>
    <w:rsid w:val="00223CDB"/>
    <w:rsid w:val="00223CFD"/>
    <w:rsid w:val="00223D10"/>
    <w:rsid w:val="00223D26"/>
    <w:rsid w:val="00223D39"/>
    <w:rsid w:val="00223DA8"/>
    <w:rsid w:val="00223E02"/>
    <w:rsid w:val="00223E0B"/>
    <w:rsid w:val="00223E48"/>
    <w:rsid w:val="00223ED8"/>
    <w:rsid w:val="00223EDC"/>
    <w:rsid w:val="00223F22"/>
    <w:rsid w:val="00223F7E"/>
    <w:rsid w:val="00223F85"/>
    <w:rsid w:val="00223F8D"/>
    <w:rsid w:val="00223F9E"/>
    <w:rsid w:val="00223FE2"/>
    <w:rsid w:val="00224099"/>
    <w:rsid w:val="002240A5"/>
    <w:rsid w:val="00224118"/>
    <w:rsid w:val="00224121"/>
    <w:rsid w:val="00224189"/>
    <w:rsid w:val="002241A0"/>
    <w:rsid w:val="002241B9"/>
    <w:rsid w:val="002241E1"/>
    <w:rsid w:val="0022424B"/>
    <w:rsid w:val="002242DE"/>
    <w:rsid w:val="00224308"/>
    <w:rsid w:val="0022430C"/>
    <w:rsid w:val="0022432E"/>
    <w:rsid w:val="0022434D"/>
    <w:rsid w:val="0022437B"/>
    <w:rsid w:val="002243F0"/>
    <w:rsid w:val="00224458"/>
    <w:rsid w:val="002244CE"/>
    <w:rsid w:val="002244CF"/>
    <w:rsid w:val="002244F9"/>
    <w:rsid w:val="00224547"/>
    <w:rsid w:val="0022455E"/>
    <w:rsid w:val="002245B6"/>
    <w:rsid w:val="002245BA"/>
    <w:rsid w:val="002245C6"/>
    <w:rsid w:val="002245CF"/>
    <w:rsid w:val="002245D3"/>
    <w:rsid w:val="002245DC"/>
    <w:rsid w:val="0022460B"/>
    <w:rsid w:val="0022463F"/>
    <w:rsid w:val="002246F1"/>
    <w:rsid w:val="0022472D"/>
    <w:rsid w:val="00224773"/>
    <w:rsid w:val="0022479B"/>
    <w:rsid w:val="002247E5"/>
    <w:rsid w:val="00224834"/>
    <w:rsid w:val="002248D8"/>
    <w:rsid w:val="00224924"/>
    <w:rsid w:val="0022499E"/>
    <w:rsid w:val="00224A46"/>
    <w:rsid w:val="00224A6D"/>
    <w:rsid w:val="00224A6E"/>
    <w:rsid w:val="00224AA1"/>
    <w:rsid w:val="00224AE4"/>
    <w:rsid w:val="00224B2A"/>
    <w:rsid w:val="00224B47"/>
    <w:rsid w:val="00224B77"/>
    <w:rsid w:val="00224B8E"/>
    <w:rsid w:val="00224C33"/>
    <w:rsid w:val="00224C60"/>
    <w:rsid w:val="00224C67"/>
    <w:rsid w:val="00224CA2"/>
    <w:rsid w:val="00224CD5"/>
    <w:rsid w:val="00224CE7"/>
    <w:rsid w:val="00224D2A"/>
    <w:rsid w:val="00224D66"/>
    <w:rsid w:val="00224D6F"/>
    <w:rsid w:val="00224DE8"/>
    <w:rsid w:val="00224DEC"/>
    <w:rsid w:val="00224E2A"/>
    <w:rsid w:val="00224E62"/>
    <w:rsid w:val="00224E7B"/>
    <w:rsid w:val="00224EFB"/>
    <w:rsid w:val="00224F96"/>
    <w:rsid w:val="00225003"/>
    <w:rsid w:val="00225017"/>
    <w:rsid w:val="002250C1"/>
    <w:rsid w:val="002250D5"/>
    <w:rsid w:val="00225122"/>
    <w:rsid w:val="00225164"/>
    <w:rsid w:val="00225181"/>
    <w:rsid w:val="002251D5"/>
    <w:rsid w:val="0022531E"/>
    <w:rsid w:val="0022532B"/>
    <w:rsid w:val="0022532D"/>
    <w:rsid w:val="00225396"/>
    <w:rsid w:val="002253D1"/>
    <w:rsid w:val="00225404"/>
    <w:rsid w:val="00225463"/>
    <w:rsid w:val="0022547B"/>
    <w:rsid w:val="002254A8"/>
    <w:rsid w:val="002254C3"/>
    <w:rsid w:val="002254C5"/>
    <w:rsid w:val="002254C6"/>
    <w:rsid w:val="002254FB"/>
    <w:rsid w:val="00225510"/>
    <w:rsid w:val="00225558"/>
    <w:rsid w:val="00225587"/>
    <w:rsid w:val="00225598"/>
    <w:rsid w:val="002255D9"/>
    <w:rsid w:val="002255F0"/>
    <w:rsid w:val="00225654"/>
    <w:rsid w:val="00225666"/>
    <w:rsid w:val="00225671"/>
    <w:rsid w:val="00225676"/>
    <w:rsid w:val="002256BB"/>
    <w:rsid w:val="00225737"/>
    <w:rsid w:val="00225756"/>
    <w:rsid w:val="00225778"/>
    <w:rsid w:val="0022577F"/>
    <w:rsid w:val="00225802"/>
    <w:rsid w:val="00225846"/>
    <w:rsid w:val="00225911"/>
    <w:rsid w:val="00225923"/>
    <w:rsid w:val="00225929"/>
    <w:rsid w:val="00225970"/>
    <w:rsid w:val="00225A14"/>
    <w:rsid w:val="00225A60"/>
    <w:rsid w:val="00225A65"/>
    <w:rsid w:val="00225A6C"/>
    <w:rsid w:val="00225A71"/>
    <w:rsid w:val="00225A73"/>
    <w:rsid w:val="00225B03"/>
    <w:rsid w:val="00225B41"/>
    <w:rsid w:val="00225B4F"/>
    <w:rsid w:val="00225B6D"/>
    <w:rsid w:val="00225BA3"/>
    <w:rsid w:val="00225C6F"/>
    <w:rsid w:val="00225CB0"/>
    <w:rsid w:val="00225CC7"/>
    <w:rsid w:val="00225D0F"/>
    <w:rsid w:val="00225D2A"/>
    <w:rsid w:val="00225E8C"/>
    <w:rsid w:val="00225EA1"/>
    <w:rsid w:val="00225F1E"/>
    <w:rsid w:val="00225F99"/>
    <w:rsid w:val="00225FAE"/>
    <w:rsid w:val="00225FCB"/>
    <w:rsid w:val="00225FEA"/>
    <w:rsid w:val="0022600F"/>
    <w:rsid w:val="00226023"/>
    <w:rsid w:val="0022605E"/>
    <w:rsid w:val="0022607F"/>
    <w:rsid w:val="0022608D"/>
    <w:rsid w:val="0022613C"/>
    <w:rsid w:val="0022617A"/>
    <w:rsid w:val="00226223"/>
    <w:rsid w:val="0022625C"/>
    <w:rsid w:val="0022627B"/>
    <w:rsid w:val="002262B6"/>
    <w:rsid w:val="002262FE"/>
    <w:rsid w:val="00226331"/>
    <w:rsid w:val="00226387"/>
    <w:rsid w:val="0022640B"/>
    <w:rsid w:val="002264AF"/>
    <w:rsid w:val="002264B8"/>
    <w:rsid w:val="002265D5"/>
    <w:rsid w:val="002265D9"/>
    <w:rsid w:val="002265E2"/>
    <w:rsid w:val="002266E3"/>
    <w:rsid w:val="0022672D"/>
    <w:rsid w:val="00226736"/>
    <w:rsid w:val="0022673D"/>
    <w:rsid w:val="0022673F"/>
    <w:rsid w:val="00226741"/>
    <w:rsid w:val="0022676F"/>
    <w:rsid w:val="002267BB"/>
    <w:rsid w:val="0022683B"/>
    <w:rsid w:val="00226882"/>
    <w:rsid w:val="002268B2"/>
    <w:rsid w:val="002268BD"/>
    <w:rsid w:val="00226920"/>
    <w:rsid w:val="00226926"/>
    <w:rsid w:val="0022697D"/>
    <w:rsid w:val="002269E6"/>
    <w:rsid w:val="00226A89"/>
    <w:rsid w:val="00226A9A"/>
    <w:rsid w:val="00226B51"/>
    <w:rsid w:val="00226B9B"/>
    <w:rsid w:val="00226BBE"/>
    <w:rsid w:val="00226BE6"/>
    <w:rsid w:val="00226C5E"/>
    <w:rsid w:val="00226C95"/>
    <w:rsid w:val="00226CD5"/>
    <w:rsid w:val="00226D69"/>
    <w:rsid w:val="00226DCC"/>
    <w:rsid w:val="00226E11"/>
    <w:rsid w:val="00226E44"/>
    <w:rsid w:val="00226EFE"/>
    <w:rsid w:val="00226F05"/>
    <w:rsid w:val="00226F13"/>
    <w:rsid w:val="00226FC9"/>
    <w:rsid w:val="00227011"/>
    <w:rsid w:val="00227049"/>
    <w:rsid w:val="0022705E"/>
    <w:rsid w:val="00227076"/>
    <w:rsid w:val="002270B6"/>
    <w:rsid w:val="00227107"/>
    <w:rsid w:val="0022716D"/>
    <w:rsid w:val="00227221"/>
    <w:rsid w:val="00227226"/>
    <w:rsid w:val="0022722B"/>
    <w:rsid w:val="0022728A"/>
    <w:rsid w:val="002272BE"/>
    <w:rsid w:val="00227308"/>
    <w:rsid w:val="00227310"/>
    <w:rsid w:val="0022737B"/>
    <w:rsid w:val="002273BA"/>
    <w:rsid w:val="002273E5"/>
    <w:rsid w:val="0022743C"/>
    <w:rsid w:val="002274CE"/>
    <w:rsid w:val="002275BD"/>
    <w:rsid w:val="002275C6"/>
    <w:rsid w:val="002275EC"/>
    <w:rsid w:val="00227612"/>
    <w:rsid w:val="0022767C"/>
    <w:rsid w:val="0022769B"/>
    <w:rsid w:val="0022769D"/>
    <w:rsid w:val="002276AB"/>
    <w:rsid w:val="002276DD"/>
    <w:rsid w:val="00227765"/>
    <w:rsid w:val="00227788"/>
    <w:rsid w:val="002277AE"/>
    <w:rsid w:val="002277EC"/>
    <w:rsid w:val="00227874"/>
    <w:rsid w:val="0022788E"/>
    <w:rsid w:val="002278D9"/>
    <w:rsid w:val="002278DD"/>
    <w:rsid w:val="00227962"/>
    <w:rsid w:val="00227999"/>
    <w:rsid w:val="002279A8"/>
    <w:rsid w:val="00227A0D"/>
    <w:rsid w:val="00227A35"/>
    <w:rsid w:val="00227A4B"/>
    <w:rsid w:val="00227A69"/>
    <w:rsid w:val="00227A9B"/>
    <w:rsid w:val="00227A9D"/>
    <w:rsid w:val="00227AAE"/>
    <w:rsid w:val="00227AC7"/>
    <w:rsid w:val="00227B22"/>
    <w:rsid w:val="00227B2D"/>
    <w:rsid w:val="00227B31"/>
    <w:rsid w:val="00227B36"/>
    <w:rsid w:val="00227B5F"/>
    <w:rsid w:val="00227BDE"/>
    <w:rsid w:val="00227C1C"/>
    <w:rsid w:val="00227D16"/>
    <w:rsid w:val="00227D1C"/>
    <w:rsid w:val="00227D73"/>
    <w:rsid w:val="00227D9F"/>
    <w:rsid w:val="00227DEF"/>
    <w:rsid w:val="00227DF6"/>
    <w:rsid w:val="00227E69"/>
    <w:rsid w:val="00227EDF"/>
    <w:rsid w:val="00227F68"/>
    <w:rsid w:val="00227F6C"/>
    <w:rsid w:val="0023000B"/>
    <w:rsid w:val="00230027"/>
    <w:rsid w:val="00230045"/>
    <w:rsid w:val="002300B2"/>
    <w:rsid w:val="002300E9"/>
    <w:rsid w:val="0023015B"/>
    <w:rsid w:val="00230165"/>
    <w:rsid w:val="0023018B"/>
    <w:rsid w:val="00230249"/>
    <w:rsid w:val="00230264"/>
    <w:rsid w:val="0023029C"/>
    <w:rsid w:val="002302AD"/>
    <w:rsid w:val="002302C6"/>
    <w:rsid w:val="002302F1"/>
    <w:rsid w:val="00230304"/>
    <w:rsid w:val="00230307"/>
    <w:rsid w:val="00230317"/>
    <w:rsid w:val="00230383"/>
    <w:rsid w:val="0023039B"/>
    <w:rsid w:val="0023039C"/>
    <w:rsid w:val="002303CA"/>
    <w:rsid w:val="002303D4"/>
    <w:rsid w:val="002303E8"/>
    <w:rsid w:val="002303FE"/>
    <w:rsid w:val="0023042F"/>
    <w:rsid w:val="00230457"/>
    <w:rsid w:val="00230469"/>
    <w:rsid w:val="00230486"/>
    <w:rsid w:val="0023048D"/>
    <w:rsid w:val="002305B0"/>
    <w:rsid w:val="002305B8"/>
    <w:rsid w:val="002305ED"/>
    <w:rsid w:val="00230679"/>
    <w:rsid w:val="002306A3"/>
    <w:rsid w:val="002306BC"/>
    <w:rsid w:val="00230719"/>
    <w:rsid w:val="0023073A"/>
    <w:rsid w:val="0023077B"/>
    <w:rsid w:val="002307E6"/>
    <w:rsid w:val="0023082F"/>
    <w:rsid w:val="0023084E"/>
    <w:rsid w:val="00230876"/>
    <w:rsid w:val="00230885"/>
    <w:rsid w:val="002308C1"/>
    <w:rsid w:val="00230957"/>
    <w:rsid w:val="00230963"/>
    <w:rsid w:val="0023096D"/>
    <w:rsid w:val="002309AD"/>
    <w:rsid w:val="002309C7"/>
    <w:rsid w:val="002309F1"/>
    <w:rsid w:val="002309F5"/>
    <w:rsid w:val="00230A5C"/>
    <w:rsid w:val="00230A83"/>
    <w:rsid w:val="00230A87"/>
    <w:rsid w:val="00230AA4"/>
    <w:rsid w:val="00230ADE"/>
    <w:rsid w:val="00230C35"/>
    <w:rsid w:val="00230C3E"/>
    <w:rsid w:val="00230C62"/>
    <w:rsid w:val="00230CB3"/>
    <w:rsid w:val="00230CC6"/>
    <w:rsid w:val="00230CE4"/>
    <w:rsid w:val="00230D7A"/>
    <w:rsid w:val="00230D87"/>
    <w:rsid w:val="00230E1D"/>
    <w:rsid w:val="00230E31"/>
    <w:rsid w:val="00230E46"/>
    <w:rsid w:val="00230E6F"/>
    <w:rsid w:val="00230EFB"/>
    <w:rsid w:val="00230F19"/>
    <w:rsid w:val="00230F28"/>
    <w:rsid w:val="00230F92"/>
    <w:rsid w:val="00230FC4"/>
    <w:rsid w:val="00230FE2"/>
    <w:rsid w:val="00230FF1"/>
    <w:rsid w:val="00231091"/>
    <w:rsid w:val="002310F3"/>
    <w:rsid w:val="00231127"/>
    <w:rsid w:val="00231130"/>
    <w:rsid w:val="00231156"/>
    <w:rsid w:val="00231157"/>
    <w:rsid w:val="00231162"/>
    <w:rsid w:val="0023116F"/>
    <w:rsid w:val="0023117C"/>
    <w:rsid w:val="002311A3"/>
    <w:rsid w:val="002311D0"/>
    <w:rsid w:val="0023123C"/>
    <w:rsid w:val="00231246"/>
    <w:rsid w:val="002312FB"/>
    <w:rsid w:val="002313DF"/>
    <w:rsid w:val="0023140F"/>
    <w:rsid w:val="0023141D"/>
    <w:rsid w:val="00231430"/>
    <w:rsid w:val="002314CA"/>
    <w:rsid w:val="002314CB"/>
    <w:rsid w:val="00231544"/>
    <w:rsid w:val="0023154C"/>
    <w:rsid w:val="0023155A"/>
    <w:rsid w:val="00231587"/>
    <w:rsid w:val="002315A6"/>
    <w:rsid w:val="002315E3"/>
    <w:rsid w:val="002316A8"/>
    <w:rsid w:val="002316B3"/>
    <w:rsid w:val="002316FF"/>
    <w:rsid w:val="00231793"/>
    <w:rsid w:val="00231821"/>
    <w:rsid w:val="0023182E"/>
    <w:rsid w:val="002318B3"/>
    <w:rsid w:val="0023195C"/>
    <w:rsid w:val="0023196A"/>
    <w:rsid w:val="002319D3"/>
    <w:rsid w:val="002319FF"/>
    <w:rsid w:val="00231A3F"/>
    <w:rsid w:val="00231AA7"/>
    <w:rsid w:val="00231B48"/>
    <w:rsid w:val="00231B5F"/>
    <w:rsid w:val="00231B93"/>
    <w:rsid w:val="00231BAB"/>
    <w:rsid w:val="00231BB9"/>
    <w:rsid w:val="00231BC6"/>
    <w:rsid w:val="00231BE2"/>
    <w:rsid w:val="00231BE4"/>
    <w:rsid w:val="00231BF9"/>
    <w:rsid w:val="00231C3D"/>
    <w:rsid w:val="00231C9E"/>
    <w:rsid w:val="00231CC9"/>
    <w:rsid w:val="00231D19"/>
    <w:rsid w:val="00231D2A"/>
    <w:rsid w:val="00231DCE"/>
    <w:rsid w:val="00231E92"/>
    <w:rsid w:val="00231F30"/>
    <w:rsid w:val="00231F6F"/>
    <w:rsid w:val="0023204A"/>
    <w:rsid w:val="00232062"/>
    <w:rsid w:val="00232093"/>
    <w:rsid w:val="00232159"/>
    <w:rsid w:val="002321EF"/>
    <w:rsid w:val="0023220E"/>
    <w:rsid w:val="002322BE"/>
    <w:rsid w:val="002322ED"/>
    <w:rsid w:val="00232336"/>
    <w:rsid w:val="00232342"/>
    <w:rsid w:val="002323A9"/>
    <w:rsid w:val="00232403"/>
    <w:rsid w:val="00232404"/>
    <w:rsid w:val="0023244F"/>
    <w:rsid w:val="00232460"/>
    <w:rsid w:val="002324B0"/>
    <w:rsid w:val="00232511"/>
    <w:rsid w:val="00232520"/>
    <w:rsid w:val="0023252E"/>
    <w:rsid w:val="00232583"/>
    <w:rsid w:val="002325C4"/>
    <w:rsid w:val="002325D1"/>
    <w:rsid w:val="002325D4"/>
    <w:rsid w:val="002325DB"/>
    <w:rsid w:val="0023263F"/>
    <w:rsid w:val="00232651"/>
    <w:rsid w:val="002326DB"/>
    <w:rsid w:val="002326DF"/>
    <w:rsid w:val="0023284F"/>
    <w:rsid w:val="00232870"/>
    <w:rsid w:val="002328F4"/>
    <w:rsid w:val="00232914"/>
    <w:rsid w:val="0023291D"/>
    <w:rsid w:val="0023292F"/>
    <w:rsid w:val="0023297E"/>
    <w:rsid w:val="002329C5"/>
    <w:rsid w:val="00232A0A"/>
    <w:rsid w:val="00232A49"/>
    <w:rsid w:val="00232A4A"/>
    <w:rsid w:val="00232A61"/>
    <w:rsid w:val="00232A82"/>
    <w:rsid w:val="00232B3F"/>
    <w:rsid w:val="00232B4D"/>
    <w:rsid w:val="00232B85"/>
    <w:rsid w:val="00232BBD"/>
    <w:rsid w:val="00232BBF"/>
    <w:rsid w:val="00232C07"/>
    <w:rsid w:val="00232C75"/>
    <w:rsid w:val="00232C7E"/>
    <w:rsid w:val="00232CA1"/>
    <w:rsid w:val="00232D1C"/>
    <w:rsid w:val="00232D9D"/>
    <w:rsid w:val="00232DA3"/>
    <w:rsid w:val="00232E12"/>
    <w:rsid w:val="00232E22"/>
    <w:rsid w:val="00232E99"/>
    <w:rsid w:val="00232ECE"/>
    <w:rsid w:val="00232EF3"/>
    <w:rsid w:val="00232F35"/>
    <w:rsid w:val="00232FCB"/>
    <w:rsid w:val="00232FE8"/>
    <w:rsid w:val="00233050"/>
    <w:rsid w:val="00233053"/>
    <w:rsid w:val="00233060"/>
    <w:rsid w:val="00233098"/>
    <w:rsid w:val="002330E7"/>
    <w:rsid w:val="002330E8"/>
    <w:rsid w:val="0023313F"/>
    <w:rsid w:val="0023320B"/>
    <w:rsid w:val="00233222"/>
    <w:rsid w:val="0023327F"/>
    <w:rsid w:val="002332B5"/>
    <w:rsid w:val="002332C6"/>
    <w:rsid w:val="002333B5"/>
    <w:rsid w:val="002333FE"/>
    <w:rsid w:val="00233482"/>
    <w:rsid w:val="002334C0"/>
    <w:rsid w:val="002334DF"/>
    <w:rsid w:val="0023352B"/>
    <w:rsid w:val="00233533"/>
    <w:rsid w:val="0023357F"/>
    <w:rsid w:val="00233592"/>
    <w:rsid w:val="002335A4"/>
    <w:rsid w:val="00233682"/>
    <w:rsid w:val="002336AC"/>
    <w:rsid w:val="002336CE"/>
    <w:rsid w:val="002336DE"/>
    <w:rsid w:val="0023377F"/>
    <w:rsid w:val="00233788"/>
    <w:rsid w:val="0023379C"/>
    <w:rsid w:val="002337C8"/>
    <w:rsid w:val="0023382A"/>
    <w:rsid w:val="00233848"/>
    <w:rsid w:val="0023386F"/>
    <w:rsid w:val="00233898"/>
    <w:rsid w:val="00233904"/>
    <w:rsid w:val="00233906"/>
    <w:rsid w:val="00233921"/>
    <w:rsid w:val="00233970"/>
    <w:rsid w:val="00233A09"/>
    <w:rsid w:val="00233A3B"/>
    <w:rsid w:val="00233A5A"/>
    <w:rsid w:val="00233B0A"/>
    <w:rsid w:val="00233B21"/>
    <w:rsid w:val="00233B46"/>
    <w:rsid w:val="00233B4D"/>
    <w:rsid w:val="00233B63"/>
    <w:rsid w:val="00233B79"/>
    <w:rsid w:val="00233BF1"/>
    <w:rsid w:val="00233C32"/>
    <w:rsid w:val="00233C39"/>
    <w:rsid w:val="00233C4E"/>
    <w:rsid w:val="00233C6A"/>
    <w:rsid w:val="00233C94"/>
    <w:rsid w:val="00233D38"/>
    <w:rsid w:val="00233D92"/>
    <w:rsid w:val="00233DBB"/>
    <w:rsid w:val="00233DDD"/>
    <w:rsid w:val="00233DFD"/>
    <w:rsid w:val="00233E24"/>
    <w:rsid w:val="00233E54"/>
    <w:rsid w:val="00233EFA"/>
    <w:rsid w:val="00233F1B"/>
    <w:rsid w:val="00233F6A"/>
    <w:rsid w:val="00233F84"/>
    <w:rsid w:val="00233FE5"/>
    <w:rsid w:val="00233FEA"/>
    <w:rsid w:val="00234030"/>
    <w:rsid w:val="00234083"/>
    <w:rsid w:val="0023408A"/>
    <w:rsid w:val="0023411E"/>
    <w:rsid w:val="0023420E"/>
    <w:rsid w:val="002342EA"/>
    <w:rsid w:val="0023432D"/>
    <w:rsid w:val="00234394"/>
    <w:rsid w:val="0023439B"/>
    <w:rsid w:val="0023449A"/>
    <w:rsid w:val="002344D7"/>
    <w:rsid w:val="00234534"/>
    <w:rsid w:val="0023453A"/>
    <w:rsid w:val="002345F4"/>
    <w:rsid w:val="00234610"/>
    <w:rsid w:val="0023464C"/>
    <w:rsid w:val="002346F2"/>
    <w:rsid w:val="002346FB"/>
    <w:rsid w:val="0023474D"/>
    <w:rsid w:val="0023475B"/>
    <w:rsid w:val="0023476A"/>
    <w:rsid w:val="00234798"/>
    <w:rsid w:val="002347DF"/>
    <w:rsid w:val="0023492A"/>
    <w:rsid w:val="00234974"/>
    <w:rsid w:val="002349B3"/>
    <w:rsid w:val="002349BD"/>
    <w:rsid w:val="00234A66"/>
    <w:rsid w:val="00234A84"/>
    <w:rsid w:val="00234AFE"/>
    <w:rsid w:val="00234B5C"/>
    <w:rsid w:val="00234B7F"/>
    <w:rsid w:val="00234BAB"/>
    <w:rsid w:val="00234BB1"/>
    <w:rsid w:val="00234BF0"/>
    <w:rsid w:val="00234BFF"/>
    <w:rsid w:val="00234C16"/>
    <w:rsid w:val="00234C91"/>
    <w:rsid w:val="00234E05"/>
    <w:rsid w:val="00234E17"/>
    <w:rsid w:val="00234E3D"/>
    <w:rsid w:val="00234E67"/>
    <w:rsid w:val="00234E9E"/>
    <w:rsid w:val="00234F49"/>
    <w:rsid w:val="00234F7B"/>
    <w:rsid w:val="00234F9F"/>
    <w:rsid w:val="00234FC8"/>
    <w:rsid w:val="0023505B"/>
    <w:rsid w:val="0023508F"/>
    <w:rsid w:val="002350AE"/>
    <w:rsid w:val="0023514B"/>
    <w:rsid w:val="00235154"/>
    <w:rsid w:val="002351A1"/>
    <w:rsid w:val="002351D8"/>
    <w:rsid w:val="00235297"/>
    <w:rsid w:val="0023529D"/>
    <w:rsid w:val="002352B4"/>
    <w:rsid w:val="002352C2"/>
    <w:rsid w:val="0023532A"/>
    <w:rsid w:val="0023535F"/>
    <w:rsid w:val="0023537B"/>
    <w:rsid w:val="00235395"/>
    <w:rsid w:val="002353C4"/>
    <w:rsid w:val="002353E2"/>
    <w:rsid w:val="0023541A"/>
    <w:rsid w:val="002354BC"/>
    <w:rsid w:val="002354BF"/>
    <w:rsid w:val="002354D0"/>
    <w:rsid w:val="00235559"/>
    <w:rsid w:val="00235584"/>
    <w:rsid w:val="002355B1"/>
    <w:rsid w:val="002355B9"/>
    <w:rsid w:val="002355E5"/>
    <w:rsid w:val="00235625"/>
    <w:rsid w:val="00235640"/>
    <w:rsid w:val="00235641"/>
    <w:rsid w:val="002356AA"/>
    <w:rsid w:val="00235715"/>
    <w:rsid w:val="0023572D"/>
    <w:rsid w:val="00235766"/>
    <w:rsid w:val="0023576A"/>
    <w:rsid w:val="00235798"/>
    <w:rsid w:val="002357C3"/>
    <w:rsid w:val="00235825"/>
    <w:rsid w:val="0023584C"/>
    <w:rsid w:val="00235865"/>
    <w:rsid w:val="00235883"/>
    <w:rsid w:val="002358A2"/>
    <w:rsid w:val="002358C3"/>
    <w:rsid w:val="002358C4"/>
    <w:rsid w:val="002358D4"/>
    <w:rsid w:val="002358D9"/>
    <w:rsid w:val="00235911"/>
    <w:rsid w:val="0023598C"/>
    <w:rsid w:val="00235992"/>
    <w:rsid w:val="00235A17"/>
    <w:rsid w:val="00235A82"/>
    <w:rsid w:val="00235AA2"/>
    <w:rsid w:val="00235AE4"/>
    <w:rsid w:val="00235AED"/>
    <w:rsid w:val="00235B0F"/>
    <w:rsid w:val="00235B7E"/>
    <w:rsid w:val="00235C69"/>
    <w:rsid w:val="00235D37"/>
    <w:rsid w:val="00235D48"/>
    <w:rsid w:val="00235D99"/>
    <w:rsid w:val="00235DE7"/>
    <w:rsid w:val="00235E05"/>
    <w:rsid w:val="00235E0C"/>
    <w:rsid w:val="00235E29"/>
    <w:rsid w:val="00235E35"/>
    <w:rsid w:val="00235E40"/>
    <w:rsid w:val="00235E85"/>
    <w:rsid w:val="00235E8A"/>
    <w:rsid w:val="00235F63"/>
    <w:rsid w:val="00235F78"/>
    <w:rsid w:val="00235FB3"/>
    <w:rsid w:val="00235FCA"/>
    <w:rsid w:val="00235FDA"/>
    <w:rsid w:val="00236058"/>
    <w:rsid w:val="00236137"/>
    <w:rsid w:val="00236144"/>
    <w:rsid w:val="00236170"/>
    <w:rsid w:val="002361A1"/>
    <w:rsid w:val="00236266"/>
    <w:rsid w:val="0023626D"/>
    <w:rsid w:val="0023637F"/>
    <w:rsid w:val="0023649A"/>
    <w:rsid w:val="002364C7"/>
    <w:rsid w:val="002364C9"/>
    <w:rsid w:val="002364E6"/>
    <w:rsid w:val="0023650C"/>
    <w:rsid w:val="002365A4"/>
    <w:rsid w:val="002365BC"/>
    <w:rsid w:val="002365D3"/>
    <w:rsid w:val="002365F7"/>
    <w:rsid w:val="0023661C"/>
    <w:rsid w:val="00236623"/>
    <w:rsid w:val="002366AB"/>
    <w:rsid w:val="002366B4"/>
    <w:rsid w:val="002366DA"/>
    <w:rsid w:val="002366DC"/>
    <w:rsid w:val="002366E1"/>
    <w:rsid w:val="0023679A"/>
    <w:rsid w:val="002367CD"/>
    <w:rsid w:val="002367EC"/>
    <w:rsid w:val="0023682E"/>
    <w:rsid w:val="00236846"/>
    <w:rsid w:val="00236852"/>
    <w:rsid w:val="0023685C"/>
    <w:rsid w:val="002368C2"/>
    <w:rsid w:val="002369B5"/>
    <w:rsid w:val="00236A04"/>
    <w:rsid w:val="00236A6B"/>
    <w:rsid w:val="00236A6C"/>
    <w:rsid w:val="00236ABD"/>
    <w:rsid w:val="00236AC3"/>
    <w:rsid w:val="00236AD7"/>
    <w:rsid w:val="00236AE9"/>
    <w:rsid w:val="00236B0E"/>
    <w:rsid w:val="00236B1D"/>
    <w:rsid w:val="00236B3F"/>
    <w:rsid w:val="00236B8C"/>
    <w:rsid w:val="00236B95"/>
    <w:rsid w:val="00236BDE"/>
    <w:rsid w:val="00236C25"/>
    <w:rsid w:val="00236C79"/>
    <w:rsid w:val="00236D22"/>
    <w:rsid w:val="00236D30"/>
    <w:rsid w:val="00236D8C"/>
    <w:rsid w:val="00236D91"/>
    <w:rsid w:val="00236DB8"/>
    <w:rsid w:val="00236DC3"/>
    <w:rsid w:val="00236E0A"/>
    <w:rsid w:val="00236E5A"/>
    <w:rsid w:val="00236E7C"/>
    <w:rsid w:val="00236E9A"/>
    <w:rsid w:val="00236EBE"/>
    <w:rsid w:val="00236F1D"/>
    <w:rsid w:val="00236F45"/>
    <w:rsid w:val="00236F63"/>
    <w:rsid w:val="00236F74"/>
    <w:rsid w:val="00236FAA"/>
    <w:rsid w:val="00236FC6"/>
    <w:rsid w:val="00236FC8"/>
    <w:rsid w:val="0023709E"/>
    <w:rsid w:val="002370A1"/>
    <w:rsid w:val="002370FB"/>
    <w:rsid w:val="00237168"/>
    <w:rsid w:val="0023719E"/>
    <w:rsid w:val="002371D6"/>
    <w:rsid w:val="00237206"/>
    <w:rsid w:val="0023724D"/>
    <w:rsid w:val="0023728C"/>
    <w:rsid w:val="002372EC"/>
    <w:rsid w:val="0023730F"/>
    <w:rsid w:val="0023732E"/>
    <w:rsid w:val="00237333"/>
    <w:rsid w:val="0023738C"/>
    <w:rsid w:val="002373A0"/>
    <w:rsid w:val="002373AD"/>
    <w:rsid w:val="002373C2"/>
    <w:rsid w:val="00237437"/>
    <w:rsid w:val="00237484"/>
    <w:rsid w:val="002374ED"/>
    <w:rsid w:val="00237505"/>
    <w:rsid w:val="00237548"/>
    <w:rsid w:val="00237579"/>
    <w:rsid w:val="002375C4"/>
    <w:rsid w:val="00237622"/>
    <w:rsid w:val="00237667"/>
    <w:rsid w:val="0023766B"/>
    <w:rsid w:val="0023770B"/>
    <w:rsid w:val="0023773F"/>
    <w:rsid w:val="00237753"/>
    <w:rsid w:val="002377BE"/>
    <w:rsid w:val="00237846"/>
    <w:rsid w:val="00237856"/>
    <w:rsid w:val="002378F4"/>
    <w:rsid w:val="00237962"/>
    <w:rsid w:val="00237A03"/>
    <w:rsid w:val="00237A2F"/>
    <w:rsid w:val="00237A38"/>
    <w:rsid w:val="00237A61"/>
    <w:rsid w:val="00237A77"/>
    <w:rsid w:val="00237A7B"/>
    <w:rsid w:val="00237A88"/>
    <w:rsid w:val="00237A92"/>
    <w:rsid w:val="00237ABF"/>
    <w:rsid w:val="00237B0F"/>
    <w:rsid w:val="00237B1B"/>
    <w:rsid w:val="00237B55"/>
    <w:rsid w:val="00237B56"/>
    <w:rsid w:val="00237C1B"/>
    <w:rsid w:val="00237C44"/>
    <w:rsid w:val="00237C6F"/>
    <w:rsid w:val="00237C82"/>
    <w:rsid w:val="00237D81"/>
    <w:rsid w:val="00237D83"/>
    <w:rsid w:val="00237D87"/>
    <w:rsid w:val="00237DC0"/>
    <w:rsid w:val="00237DC5"/>
    <w:rsid w:val="00237DEF"/>
    <w:rsid w:val="00237E02"/>
    <w:rsid w:val="00237E28"/>
    <w:rsid w:val="00237ED6"/>
    <w:rsid w:val="00237F1B"/>
    <w:rsid w:val="00237F21"/>
    <w:rsid w:val="00237F5B"/>
    <w:rsid w:val="00237F9D"/>
    <w:rsid w:val="00237FA4"/>
    <w:rsid w:val="00237FAD"/>
    <w:rsid w:val="00237FF9"/>
    <w:rsid w:val="0024004D"/>
    <w:rsid w:val="002400A6"/>
    <w:rsid w:val="002401C9"/>
    <w:rsid w:val="00240239"/>
    <w:rsid w:val="00240240"/>
    <w:rsid w:val="00240261"/>
    <w:rsid w:val="00240273"/>
    <w:rsid w:val="002402A9"/>
    <w:rsid w:val="002402B1"/>
    <w:rsid w:val="002402B2"/>
    <w:rsid w:val="002402FD"/>
    <w:rsid w:val="00240305"/>
    <w:rsid w:val="00240335"/>
    <w:rsid w:val="00240364"/>
    <w:rsid w:val="0024036D"/>
    <w:rsid w:val="00240377"/>
    <w:rsid w:val="00240434"/>
    <w:rsid w:val="0024047A"/>
    <w:rsid w:val="002404B7"/>
    <w:rsid w:val="00240520"/>
    <w:rsid w:val="002405ED"/>
    <w:rsid w:val="002405F5"/>
    <w:rsid w:val="00240600"/>
    <w:rsid w:val="00240656"/>
    <w:rsid w:val="00240661"/>
    <w:rsid w:val="002406A1"/>
    <w:rsid w:val="002406EE"/>
    <w:rsid w:val="00240733"/>
    <w:rsid w:val="0024073E"/>
    <w:rsid w:val="00240743"/>
    <w:rsid w:val="00240744"/>
    <w:rsid w:val="0024079F"/>
    <w:rsid w:val="002407F8"/>
    <w:rsid w:val="0024081C"/>
    <w:rsid w:val="00240857"/>
    <w:rsid w:val="00240872"/>
    <w:rsid w:val="002408C3"/>
    <w:rsid w:val="00240908"/>
    <w:rsid w:val="0024094C"/>
    <w:rsid w:val="002409EE"/>
    <w:rsid w:val="002409F2"/>
    <w:rsid w:val="00240A38"/>
    <w:rsid w:val="00240A41"/>
    <w:rsid w:val="00240A67"/>
    <w:rsid w:val="00240ACD"/>
    <w:rsid w:val="00240B72"/>
    <w:rsid w:val="00240BFF"/>
    <w:rsid w:val="00240C48"/>
    <w:rsid w:val="00240C95"/>
    <w:rsid w:val="00240CF4"/>
    <w:rsid w:val="00240D36"/>
    <w:rsid w:val="00240E27"/>
    <w:rsid w:val="00240E4D"/>
    <w:rsid w:val="00240F49"/>
    <w:rsid w:val="00240FAB"/>
    <w:rsid w:val="00241011"/>
    <w:rsid w:val="0024103E"/>
    <w:rsid w:val="00241063"/>
    <w:rsid w:val="002410B5"/>
    <w:rsid w:val="002410C2"/>
    <w:rsid w:val="0024111B"/>
    <w:rsid w:val="0024115F"/>
    <w:rsid w:val="0024116C"/>
    <w:rsid w:val="0024127D"/>
    <w:rsid w:val="002412A7"/>
    <w:rsid w:val="002412F1"/>
    <w:rsid w:val="00241371"/>
    <w:rsid w:val="0024137A"/>
    <w:rsid w:val="0024147C"/>
    <w:rsid w:val="00241578"/>
    <w:rsid w:val="0024157B"/>
    <w:rsid w:val="002415A9"/>
    <w:rsid w:val="002415B5"/>
    <w:rsid w:val="002415B9"/>
    <w:rsid w:val="002415E8"/>
    <w:rsid w:val="00241642"/>
    <w:rsid w:val="00241700"/>
    <w:rsid w:val="00241706"/>
    <w:rsid w:val="00241798"/>
    <w:rsid w:val="00241809"/>
    <w:rsid w:val="00241836"/>
    <w:rsid w:val="00241875"/>
    <w:rsid w:val="0024192C"/>
    <w:rsid w:val="00241996"/>
    <w:rsid w:val="002419C1"/>
    <w:rsid w:val="002419CF"/>
    <w:rsid w:val="00241A03"/>
    <w:rsid w:val="00241A1C"/>
    <w:rsid w:val="00241A41"/>
    <w:rsid w:val="00241A63"/>
    <w:rsid w:val="00241AD4"/>
    <w:rsid w:val="00241AEE"/>
    <w:rsid w:val="00241B05"/>
    <w:rsid w:val="00241B14"/>
    <w:rsid w:val="00241B73"/>
    <w:rsid w:val="00241B9A"/>
    <w:rsid w:val="00241BB0"/>
    <w:rsid w:val="00241BB8"/>
    <w:rsid w:val="00241BC9"/>
    <w:rsid w:val="00241BCF"/>
    <w:rsid w:val="00241C3B"/>
    <w:rsid w:val="00241C4F"/>
    <w:rsid w:val="00241D59"/>
    <w:rsid w:val="00241D5B"/>
    <w:rsid w:val="00241D93"/>
    <w:rsid w:val="00241DF9"/>
    <w:rsid w:val="00241DFD"/>
    <w:rsid w:val="00241E51"/>
    <w:rsid w:val="00241EC5"/>
    <w:rsid w:val="00241ED4"/>
    <w:rsid w:val="00241F50"/>
    <w:rsid w:val="00241F53"/>
    <w:rsid w:val="00241F60"/>
    <w:rsid w:val="00241F6E"/>
    <w:rsid w:val="00241FB7"/>
    <w:rsid w:val="00241FD7"/>
    <w:rsid w:val="00242040"/>
    <w:rsid w:val="00242045"/>
    <w:rsid w:val="002420C6"/>
    <w:rsid w:val="00242124"/>
    <w:rsid w:val="00242199"/>
    <w:rsid w:val="002421C1"/>
    <w:rsid w:val="002421C3"/>
    <w:rsid w:val="002421EC"/>
    <w:rsid w:val="002421FD"/>
    <w:rsid w:val="00242327"/>
    <w:rsid w:val="0024236E"/>
    <w:rsid w:val="0024237C"/>
    <w:rsid w:val="0024238D"/>
    <w:rsid w:val="002423A3"/>
    <w:rsid w:val="002423DF"/>
    <w:rsid w:val="002423FF"/>
    <w:rsid w:val="00242464"/>
    <w:rsid w:val="0024246A"/>
    <w:rsid w:val="0024255F"/>
    <w:rsid w:val="002425B9"/>
    <w:rsid w:val="002425CA"/>
    <w:rsid w:val="00242664"/>
    <w:rsid w:val="00242688"/>
    <w:rsid w:val="002426B7"/>
    <w:rsid w:val="002427B6"/>
    <w:rsid w:val="002427BC"/>
    <w:rsid w:val="002427F8"/>
    <w:rsid w:val="0024281B"/>
    <w:rsid w:val="00242840"/>
    <w:rsid w:val="00242853"/>
    <w:rsid w:val="00242899"/>
    <w:rsid w:val="002428B3"/>
    <w:rsid w:val="002428DF"/>
    <w:rsid w:val="0024296F"/>
    <w:rsid w:val="0024297A"/>
    <w:rsid w:val="0024298B"/>
    <w:rsid w:val="002429F0"/>
    <w:rsid w:val="00242A31"/>
    <w:rsid w:val="00242AA7"/>
    <w:rsid w:val="00242AE1"/>
    <w:rsid w:val="00242BD3"/>
    <w:rsid w:val="00242C07"/>
    <w:rsid w:val="00242C50"/>
    <w:rsid w:val="00242C8C"/>
    <w:rsid w:val="00242CF8"/>
    <w:rsid w:val="00242DBB"/>
    <w:rsid w:val="00242DC6"/>
    <w:rsid w:val="00242DDD"/>
    <w:rsid w:val="00242E11"/>
    <w:rsid w:val="00242E15"/>
    <w:rsid w:val="00242E3C"/>
    <w:rsid w:val="00242E72"/>
    <w:rsid w:val="00242E8E"/>
    <w:rsid w:val="00242E9E"/>
    <w:rsid w:val="00242EB5"/>
    <w:rsid w:val="00242EF2"/>
    <w:rsid w:val="00242F65"/>
    <w:rsid w:val="00243052"/>
    <w:rsid w:val="00243064"/>
    <w:rsid w:val="002430C8"/>
    <w:rsid w:val="00243179"/>
    <w:rsid w:val="00243198"/>
    <w:rsid w:val="002431DD"/>
    <w:rsid w:val="00243211"/>
    <w:rsid w:val="00243275"/>
    <w:rsid w:val="0024328F"/>
    <w:rsid w:val="002432A8"/>
    <w:rsid w:val="002432AF"/>
    <w:rsid w:val="0024331E"/>
    <w:rsid w:val="0024338C"/>
    <w:rsid w:val="0024339C"/>
    <w:rsid w:val="002433C5"/>
    <w:rsid w:val="0024346B"/>
    <w:rsid w:val="00243481"/>
    <w:rsid w:val="00243485"/>
    <w:rsid w:val="002434CC"/>
    <w:rsid w:val="002434D9"/>
    <w:rsid w:val="00243508"/>
    <w:rsid w:val="00243520"/>
    <w:rsid w:val="002435AA"/>
    <w:rsid w:val="00243607"/>
    <w:rsid w:val="0024361C"/>
    <w:rsid w:val="00243625"/>
    <w:rsid w:val="0024363C"/>
    <w:rsid w:val="002436ED"/>
    <w:rsid w:val="0024370B"/>
    <w:rsid w:val="00243717"/>
    <w:rsid w:val="00243729"/>
    <w:rsid w:val="00243751"/>
    <w:rsid w:val="00243769"/>
    <w:rsid w:val="002437CE"/>
    <w:rsid w:val="002437E2"/>
    <w:rsid w:val="0024380C"/>
    <w:rsid w:val="0024381E"/>
    <w:rsid w:val="002438DE"/>
    <w:rsid w:val="00243918"/>
    <w:rsid w:val="00243962"/>
    <w:rsid w:val="002439AE"/>
    <w:rsid w:val="002439BB"/>
    <w:rsid w:val="002439F8"/>
    <w:rsid w:val="00243AA1"/>
    <w:rsid w:val="00243AF0"/>
    <w:rsid w:val="00243AF1"/>
    <w:rsid w:val="00243B42"/>
    <w:rsid w:val="00243B53"/>
    <w:rsid w:val="00243B6F"/>
    <w:rsid w:val="00243B72"/>
    <w:rsid w:val="00243BC7"/>
    <w:rsid w:val="00243BD2"/>
    <w:rsid w:val="00243D01"/>
    <w:rsid w:val="00243D19"/>
    <w:rsid w:val="00243D4F"/>
    <w:rsid w:val="00243DAE"/>
    <w:rsid w:val="00243E0B"/>
    <w:rsid w:val="00243E2E"/>
    <w:rsid w:val="00243E52"/>
    <w:rsid w:val="00243F29"/>
    <w:rsid w:val="00243F9B"/>
    <w:rsid w:val="00243FB3"/>
    <w:rsid w:val="00244004"/>
    <w:rsid w:val="0024402B"/>
    <w:rsid w:val="00244030"/>
    <w:rsid w:val="0024405C"/>
    <w:rsid w:val="0024415A"/>
    <w:rsid w:val="00244176"/>
    <w:rsid w:val="002441C1"/>
    <w:rsid w:val="002441F3"/>
    <w:rsid w:val="00244208"/>
    <w:rsid w:val="00244210"/>
    <w:rsid w:val="00244271"/>
    <w:rsid w:val="00244328"/>
    <w:rsid w:val="002443BC"/>
    <w:rsid w:val="002443E0"/>
    <w:rsid w:val="00244433"/>
    <w:rsid w:val="00244479"/>
    <w:rsid w:val="002444E7"/>
    <w:rsid w:val="002445B3"/>
    <w:rsid w:val="0024465C"/>
    <w:rsid w:val="00244664"/>
    <w:rsid w:val="002446B2"/>
    <w:rsid w:val="002446DF"/>
    <w:rsid w:val="0024470D"/>
    <w:rsid w:val="0024473F"/>
    <w:rsid w:val="00244746"/>
    <w:rsid w:val="0024475B"/>
    <w:rsid w:val="00244783"/>
    <w:rsid w:val="00244816"/>
    <w:rsid w:val="0024483D"/>
    <w:rsid w:val="0024485B"/>
    <w:rsid w:val="002448E5"/>
    <w:rsid w:val="002448F0"/>
    <w:rsid w:val="0024490F"/>
    <w:rsid w:val="00244935"/>
    <w:rsid w:val="0024498B"/>
    <w:rsid w:val="0024499E"/>
    <w:rsid w:val="00244A30"/>
    <w:rsid w:val="00244AD3"/>
    <w:rsid w:val="00244B00"/>
    <w:rsid w:val="00244B10"/>
    <w:rsid w:val="00244B2E"/>
    <w:rsid w:val="00244BC0"/>
    <w:rsid w:val="00244C0C"/>
    <w:rsid w:val="00244C4F"/>
    <w:rsid w:val="00244C62"/>
    <w:rsid w:val="00244C80"/>
    <w:rsid w:val="00244C84"/>
    <w:rsid w:val="00244CCC"/>
    <w:rsid w:val="00244D3D"/>
    <w:rsid w:val="00244DAC"/>
    <w:rsid w:val="00244DC8"/>
    <w:rsid w:val="00244E29"/>
    <w:rsid w:val="00244E7E"/>
    <w:rsid w:val="00244EF6"/>
    <w:rsid w:val="00244F20"/>
    <w:rsid w:val="00244F24"/>
    <w:rsid w:val="00244F75"/>
    <w:rsid w:val="00244F7F"/>
    <w:rsid w:val="0024502A"/>
    <w:rsid w:val="00245041"/>
    <w:rsid w:val="002450C2"/>
    <w:rsid w:val="002450FA"/>
    <w:rsid w:val="0024519F"/>
    <w:rsid w:val="002451E2"/>
    <w:rsid w:val="0024524B"/>
    <w:rsid w:val="00245286"/>
    <w:rsid w:val="0024528E"/>
    <w:rsid w:val="002452A5"/>
    <w:rsid w:val="002452A9"/>
    <w:rsid w:val="00245338"/>
    <w:rsid w:val="0024534C"/>
    <w:rsid w:val="0024535B"/>
    <w:rsid w:val="00245361"/>
    <w:rsid w:val="00245385"/>
    <w:rsid w:val="002453FC"/>
    <w:rsid w:val="0024548F"/>
    <w:rsid w:val="002455B3"/>
    <w:rsid w:val="002455BA"/>
    <w:rsid w:val="002455CF"/>
    <w:rsid w:val="0024560F"/>
    <w:rsid w:val="0024567B"/>
    <w:rsid w:val="002456C3"/>
    <w:rsid w:val="002456CD"/>
    <w:rsid w:val="002456E0"/>
    <w:rsid w:val="002456E8"/>
    <w:rsid w:val="0024575D"/>
    <w:rsid w:val="0024577F"/>
    <w:rsid w:val="002458AF"/>
    <w:rsid w:val="00245908"/>
    <w:rsid w:val="00245916"/>
    <w:rsid w:val="0024595F"/>
    <w:rsid w:val="00245972"/>
    <w:rsid w:val="0024597D"/>
    <w:rsid w:val="00245984"/>
    <w:rsid w:val="002459BE"/>
    <w:rsid w:val="00245A23"/>
    <w:rsid w:val="00245A57"/>
    <w:rsid w:val="00245A5E"/>
    <w:rsid w:val="00245A84"/>
    <w:rsid w:val="00245AE6"/>
    <w:rsid w:val="00245AE7"/>
    <w:rsid w:val="00245AF0"/>
    <w:rsid w:val="00245B32"/>
    <w:rsid w:val="00245B3F"/>
    <w:rsid w:val="00245B4D"/>
    <w:rsid w:val="00245B70"/>
    <w:rsid w:val="00245B77"/>
    <w:rsid w:val="00245C16"/>
    <w:rsid w:val="00245C21"/>
    <w:rsid w:val="00245C25"/>
    <w:rsid w:val="00245C55"/>
    <w:rsid w:val="00245CAD"/>
    <w:rsid w:val="00245D88"/>
    <w:rsid w:val="00245DA8"/>
    <w:rsid w:val="00245DAB"/>
    <w:rsid w:val="00245E3C"/>
    <w:rsid w:val="00245E3D"/>
    <w:rsid w:val="00245E68"/>
    <w:rsid w:val="00245EDC"/>
    <w:rsid w:val="00245EE3"/>
    <w:rsid w:val="00245F5A"/>
    <w:rsid w:val="00245F78"/>
    <w:rsid w:val="00245F87"/>
    <w:rsid w:val="00245FB6"/>
    <w:rsid w:val="00246038"/>
    <w:rsid w:val="00246076"/>
    <w:rsid w:val="002460BE"/>
    <w:rsid w:val="002460F6"/>
    <w:rsid w:val="002460F9"/>
    <w:rsid w:val="0024610E"/>
    <w:rsid w:val="00246128"/>
    <w:rsid w:val="0024614C"/>
    <w:rsid w:val="002461EF"/>
    <w:rsid w:val="00246344"/>
    <w:rsid w:val="00246519"/>
    <w:rsid w:val="00246534"/>
    <w:rsid w:val="0024657D"/>
    <w:rsid w:val="002465C5"/>
    <w:rsid w:val="0024662B"/>
    <w:rsid w:val="002466D5"/>
    <w:rsid w:val="002466DD"/>
    <w:rsid w:val="0024671D"/>
    <w:rsid w:val="00246731"/>
    <w:rsid w:val="0024678D"/>
    <w:rsid w:val="002467B9"/>
    <w:rsid w:val="00246877"/>
    <w:rsid w:val="002468E5"/>
    <w:rsid w:val="0024693A"/>
    <w:rsid w:val="00246950"/>
    <w:rsid w:val="00246964"/>
    <w:rsid w:val="0024698C"/>
    <w:rsid w:val="00246A13"/>
    <w:rsid w:val="00246A3C"/>
    <w:rsid w:val="00246A6C"/>
    <w:rsid w:val="00246A80"/>
    <w:rsid w:val="00246B48"/>
    <w:rsid w:val="00246B60"/>
    <w:rsid w:val="00246BBC"/>
    <w:rsid w:val="00246BDE"/>
    <w:rsid w:val="00246C5B"/>
    <w:rsid w:val="00246C71"/>
    <w:rsid w:val="00246CFD"/>
    <w:rsid w:val="00246D53"/>
    <w:rsid w:val="00246E44"/>
    <w:rsid w:val="00246E4C"/>
    <w:rsid w:val="00246E50"/>
    <w:rsid w:val="00246EA0"/>
    <w:rsid w:val="00246EA1"/>
    <w:rsid w:val="00246ED1"/>
    <w:rsid w:val="00246F02"/>
    <w:rsid w:val="00246F77"/>
    <w:rsid w:val="00246F9F"/>
    <w:rsid w:val="00246FD3"/>
    <w:rsid w:val="00247031"/>
    <w:rsid w:val="0024706C"/>
    <w:rsid w:val="0024712F"/>
    <w:rsid w:val="00247156"/>
    <w:rsid w:val="002471B7"/>
    <w:rsid w:val="002471EE"/>
    <w:rsid w:val="00247244"/>
    <w:rsid w:val="0024726C"/>
    <w:rsid w:val="0024728C"/>
    <w:rsid w:val="0024729C"/>
    <w:rsid w:val="002472A5"/>
    <w:rsid w:val="0024730E"/>
    <w:rsid w:val="00247343"/>
    <w:rsid w:val="0024734E"/>
    <w:rsid w:val="0024736B"/>
    <w:rsid w:val="00247380"/>
    <w:rsid w:val="002473BA"/>
    <w:rsid w:val="002473E2"/>
    <w:rsid w:val="00247424"/>
    <w:rsid w:val="0024745F"/>
    <w:rsid w:val="0024749F"/>
    <w:rsid w:val="002474B1"/>
    <w:rsid w:val="002474E8"/>
    <w:rsid w:val="00247519"/>
    <w:rsid w:val="00247580"/>
    <w:rsid w:val="00247643"/>
    <w:rsid w:val="002476A4"/>
    <w:rsid w:val="002476B6"/>
    <w:rsid w:val="002476EA"/>
    <w:rsid w:val="0024773F"/>
    <w:rsid w:val="0024775F"/>
    <w:rsid w:val="0024776F"/>
    <w:rsid w:val="00247776"/>
    <w:rsid w:val="0024783F"/>
    <w:rsid w:val="00247883"/>
    <w:rsid w:val="002478D0"/>
    <w:rsid w:val="002478E3"/>
    <w:rsid w:val="00247914"/>
    <w:rsid w:val="0024793D"/>
    <w:rsid w:val="002479D1"/>
    <w:rsid w:val="002479FB"/>
    <w:rsid w:val="00247A0B"/>
    <w:rsid w:val="00247A4C"/>
    <w:rsid w:val="00247AC4"/>
    <w:rsid w:val="00247AEE"/>
    <w:rsid w:val="00247B07"/>
    <w:rsid w:val="00247B70"/>
    <w:rsid w:val="00247B85"/>
    <w:rsid w:val="00247BA8"/>
    <w:rsid w:val="00247C25"/>
    <w:rsid w:val="00247C8D"/>
    <w:rsid w:val="00247D26"/>
    <w:rsid w:val="00247D7D"/>
    <w:rsid w:val="00247DCD"/>
    <w:rsid w:val="00247DDF"/>
    <w:rsid w:val="00247E42"/>
    <w:rsid w:val="00247EB2"/>
    <w:rsid w:val="00247EBA"/>
    <w:rsid w:val="00247ED0"/>
    <w:rsid w:val="00247EE4"/>
    <w:rsid w:val="00247F15"/>
    <w:rsid w:val="00247F1B"/>
    <w:rsid w:val="00247F32"/>
    <w:rsid w:val="00247F48"/>
    <w:rsid w:val="00247F57"/>
    <w:rsid w:val="00247F64"/>
    <w:rsid w:val="00247FDA"/>
    <w:rsid w:val="00247FE2"/>
    <w:rsid w:val="00250050"/>
    <w:rsid w:val="0025007E"/>
    <w:rsid w:val="00250093"/>
    <w:rsid w:val="0025009B"/>
    <w:rsid w:val="00250109"/>
    <w:rsid w:val="00250143"/>
    <w:rsid w:val="00250162"/>
    <w:rsid w:val="002501E2"/>
    <w:rsid w:val="0025024A"/>
    <w:rsid w:val="00250317"/>
    <w:rsid w:val="0025031F"/>
    <w:rsid w:val="00250336"/>
    <w:rsid w:val="0025034B"/>
    <w:rsid w:val="0025037B"/>
    <w:rsid w:val="00250385"/>
    <w:rsid w:val="002503AF"/>
    <w:rsid w:val="002503DB"/>
    <w:rsid w:val="002503DC"/>
    <w:rsid w:val="002503F0"/>
    <w:rsid w:val="002503F1"/>
    <w:rsid w:val="0025040C"/>
    <w:rsid w:val="0025046F"/>
    <w:rsid w:val="002504A8"/>
    <w:rsid w:val="0025050C"/>
    <w:rsid w:val="00250523"/>
    <w:rsid w:val="0025058C"/>
    <w:rsid w:val="002505C9"/>
    <w:rsid w:val="0025061B"/>
    <w:rsid w:val="00250696"/>
    <w:rsid w:val="002506B0"/>
    <w:rsid w:val="002506EE"/>
    <w:rsid w:val="0025070D"/>
    <w:rsid w:val="00250760"/>
    <w:rsid w:val="00250791"/>
    <w:rsid w:val="002507FD"/>
    <w:rsid w:val="00250812"/>
    <w:rsid w:val="00250861"/>
    <w:rsid w:val="002508B5"/>
    <w:rsid w:val="002508F3"/>
    <w:rsid w:val="00250919"/>
    <w:rsid w:val="00250A4A"/>
    <w:rsid w:val="00250A5E"/>
    <w:rsid w:val="00250A71"/>
    <w:rsid w:val="00250AA9"/>
    <w:rsid w:val="00250AAE"/>
    <w:rsid w:val="00250AE2"/>
    <w:rsid w:val="00250B7A"/>
    <w:rsid w:val="00250BBF"/>
    <w:rsid w:val="00250C19"/>
    <w:rsid w:val="00250CB9"/>
    <w:rsid w:val="00250CD6"/>
    <w:rsid w:val="00250D2E"/>
    <w:rsid w:val="00250D36"/>
    <w:rsid w:val="00250D42"/>
    <w:rsid w:val="00250D63"/>
    <w:rsid w:val="00250D8E"/>
    <w:rsid w:val="00250DB2"/>
    <w:rsid w:val="00250E15"/>
    <w:rsid w:val="00250E43"/>
    <w:rsid w:val="00250E67"/>
    <w:rsid w:val="00250ED3"/>
    <w:rsid w:val="00250ED9"/>
    <w:rsid w:val="00250F13"/>
    <w:rsid w:val="00250FCA"/>
    <w:rsid w:val="00250FEA"/>
    <w:rsid w:val="00251018"/>
    <w:rsid w:val="00251036"/>
    <w:rsid w:val="0025104A"/>
    <w:rsid w:val="00251068"/>
    <w:rsid w:val="002510C1"/>
    <w:rsid w:val="002510F7"/>
    <w:rsid w:val="0025113A"/>
    <w:rsid w:val="002511A0"/>
    <w:rsid w:val="002511E1"/>
    <w:rsid w:val="00251213"/>
    <w:rsid w:val="0025127B"/>
    <w:rsid w:val="002512AB"/>
    <w:rsid w:val="002512AD"/>
    <w:rsid w:val="002512B3"/>
    <w:rsid w:val="00251308"/>
    <w:rsid w:val="00251363"/>
    <w:rsid w:val="002513AE"/>
    <w:rsid w:val="002513C8"/>
    <w:rsid w:val="002513DC"/>
    <w:rsid w:val="00251454"/>
    <w:rsid w:val="00251463"/>
    <w:rsid w:val="00251469"/>
    <w:rsid w:val="00251470"/>
    <w:rsid w:val="00251494"/>
    <w:rsid w:val="002514A4"/>
    <w:rsid w:val="002514B1"/>
    <w:rsid w:val="002514ED"/>
    <w:rsid w:val="00251507"/>
    <w:rsid w:val="00251556"/>
    <w:rsid w:val="00251597"/>
    <w:rsid w:val="002515A0"/>
    <w:rsid w:val="002515BA"/>
    <w:rsid w:val="002515BB"/>
    <w:rsid w:val="00251644"/>
    <w:rsid w:val="00251676"/>
    <w:rsid w:val="00251683"/>
    <w:rsid w:val="002516E6"/>
    <w:rsid w:val="0025174E"/>
    <w:rsid w:val="00251776"/>
    <w:rsid w:val="002517A2"/>
    <w:rsid w:val="002517E2"/>
    <w:rsid w:val="002517EB"/>
    <w:rsid w:val="002517F0"/>
    <w:rsid w:val="00251833"/>
    <w:rsid w:val="00251837"/>
    <w:rsid w:val="0025187D"/>
    <w:rsid w:val="0025189D"/>
    <w:rsid w:val="002518A6"/>
    <w:rsid w:val="00251910"/>
    <w:rsid w:val="00251960"/>
    <w:rsid w:val="002519D7"/>
    <w:rsid w:val="002519EC"/>
    <w:rsid w:val="00251A18"/>
    <w:rsid w:val="00251A24"/>
    <w:rsid w:val="00251A31"/>
    <w:rsid w:val="00251A4C"/>
    <w:rsid w:val="00251A51"/>
    <w:rsid w:val="00251A5B"/>
    <w:rsid w:val="00251ABB"/>
    <w:rsid w:val="00251AEE"/>
    <w:rsid w:val="00251B22"/>
    <w:rsid w:val="00251B59"/>
    <w:rsid w:val="00251B70"/>
    <w:rsid w:val="00251B83"/>
    <w:rsid w:val="00251BBB"/>
    <w:rsid w:val="00251BBE"/>
    <w:rsid w:val="00251C4B"/>
    <w:rsid w:val="00251C8A"/>
    <w:rsid w:val="00251CC3"/>
    <w:rsid w:val="00251CE9"/>
    <w:rsid w:val="00251DC7"/>
    <w:rsid w:val="00251E1D"/>
    <w:rsid w:val="00251E20"/>
    <w:rsid w:val="00251E35"/>
    <w:rsid w:val="00251E5D"/>
    <w:rsid w:val="00251E74"/>
    <w:rsid w:val="00251E77"/>
    <w:rsid w:val="00251F5A"/>
    <w:rsid w:val="00251F89"/>
    <w:rsid w:val="0025206A"/>
    <w:rsid w:val="0025212A"/>
    <w:rsid w:val="0025217A"/>
    <w:rsid w:val="002521A6"/>
    <w:rsid w:val="00252269"/>
    <w:rsid w:val="002522A9"/>
    <w:rsid w:val="0025232F"/>
    <w:rsid w:val="00252399"/>
    <w:rsid w:val="002523C0"/>
    <w:rsid w:val="0025240B"/>
    <w:rsid w:val="00252441"/>
    <w:rsid w:val="00252457"/>
    <w:rsid w:val="002524DC"/>
    <w:rsid w:val="002524FC"/>
    <w:rsid w:val="00252509"/>
    <w:rsid w:val="00252570"/>
    <w:rsid w:val="0025257A"/>
    <w:rsid w:val="00252580"/>
    <w:rsid w:val="0025265B"/>
    <w:rsid w:val="00252661"/>
    <w:rsid w:val="00252670"/>
    <w:rsid w:val="0025267A"/>
    <w:rsid w:val="002526F3"/>
    <w:rsid w:val="00252752"/>
    <w:rsid w:val="00252789"/>
    <w:rsid w:val="00252817"/>
    <w:rsid w:val="002528BE"/>
    <w:rsid w:val="00252989"/>
    <w:rsid w:val="002529D4"/>
    <w:rsid w:val="00252A50"/>
    <w:rsid w:val="00252A82"/>
    <w:rsid w:val="00252ACF"/>
    <w:rsid w:val="00252AF2"/>
    <w:rsid w:val="00252B0B"/>
    <w:rsid w:val="00252B1B"/>
    <w:rsid w:val="00252C02"/>
    <w:rsid w:val="00252D1C"/>
    <w:rsid w:val="00252D28"/>
    <w:rsid w:val="00252D64"/>
    <w:rsid w:val="00252DBE"/>
    <w:rsid w:val="00252DD3"/>
    <w:rsid w:val="00252F34"/>
    <w:rsid w:val="00252F79"/>
    <w:rsid w:val="00252F88"/>
    <w:rsid w:val="00252FB6"/>
    <w:rsid w:val="00252FD9"/>
    <w:rsid w:val="00253011"/>
    <w:rsid w:val="00253081"/>
    <w:rsid w:val="002530CE"/>
    <w:rsid w:val="002530E5"/>
    <w:rsid w:val="002530E9"/>
    <w:rsid w:val="002530F0"/>
    <w:rsid w:val="00253176"/>
    <w:rsid w:val="002531BB"/>
    <w:rsid w:val="00253277"/>
    <w:rsid w:val="002532AC"/>
    <w:rsid w:val="002532E0"/>
    <w:rsid w:val="002532F1"/>
    <w:rsid w:val="00253323"/>
    <w:rsid w:val="0025335D"/>
    <w:rsid w:val="002533F0"/>
    <w:rsid w:val="00253412"/>
    <w:rsid w:val="00253462"/>
    <w:rsid w:val="002534BF"/>
    <w:rsid w:val="00253548"/>
    <w:rsid w:val="0025357B"/>
    <w:rsid w:val="00253593"/>
    <w:rsid w:val="002535B2"/>
    <w:rsid w:val="002535DC"/>
    <w:rsid w:val="002535F9"/>
    <w:rsid w:val="00253627"/>
    <w:rsid w:val="00253630"/>
    <w:rsid w:val="00253686"/>
    <w:rsid w:val="00253697"/>
    <w:rsid w:val="0025371A"/>
    <w:rsid w:val="0025375B"/>
    <w:rsid w:val="0025376F"/>
    <w:rsid w:val="0025378B"/>
    <w:rsid w:val="002537DE"/>
    <w:rsid w:val="002537E3"/>
    <w:rsid w:val="002537EF"/>
    <w:rsid w:val="002537F1"/>
    <w:rsid w:val="0025383A"/>
    <w:rsid w:val="0025389F"/>
    <w:rsid w:val="002538EC"/>
    <w:rsid w:val="002538FE"/>
    <w:rsid w:val="00253A1F"/>
    <w:rsid w:val="00253A3C"/>
    <w:rsid w:val="00253A82"/>
    <w:rsid w:val="00253A99"/>
    <w:rsid w:val="00253AEB"/>
    <w:rsid w:val="00253AF2"/>
    <w:rsid w:val="00253B49"/>
    <w:rsid w:val="00253B68"/>
    <w:rsid w:val="00253B87"/>
    <w:rsid w:val="00253BAD"/>
    <w:rsid w:val="00253BE2"/>
    <w:rsid w:val="00253C10"/>
    <w:rsid w:val="00253C97"/>
    <w:rsid w:val="00253CF8"/>
    <w:rsid w:val="00253D35"/>
    <w:rsid w:val="00253D36"/>
    <w:rsid w:val="00253D69"/>
    <w:rsid w:val="00253D7D"/>
    <w:rsid w:val="00253D8D"/>
    <w:rsid w:val="00253DC9"/>
    <w:rsid w:val="00253DF9"/>
    <w:rsid w:val="00253E08"/>
    <w:rsid w:val="00253EBE"/>
    <w:rsid w:val="00253F02"/>
    <w:rsid w:val="00253F3B"/>
    <w:rsid w:val="00253F72"/>
    <w:rsid w:val="00253FB2"/>
    <w:rsid w:val="00253FB9"/>
    <w:rsid w:val="00253FEC"/>
    <w:rsid w:val="00254008"/>
    <w:rsid w:val="002540BA"/>
    <w:rsid w:val="002540BB"/>
    <w:rsid w:val="002540CB"/>
    <w:rsid w:val="002540EC"/>
    <w:rsid w:val="002540EE"/>
    <w:rsid w:val="00254124"/>
    <w:rsid w:val="0025412B"/>
    <w:rsid w:val="002541F0"/>
    <w:rsid w:val="00254222"/>
    <w:rsid w:val="00254276"/>
    <w:rsid w:val="002542A5"/>
    <w:rsid w:val="00254418"/>
    <w:rsid w:val="00254446"/>
    <w:rsid w:val="00254465"/>
    <w:rsid w:val="0025446B"/>
    <w:rsid w:val="002544A6"/>
    <w:rsid w:val="00254527"/>
    <w:rsid w:val="00254556"/>
    <w:rsid w:val="002545C4"/>
    <w:rsid w:val="0025460C"/>
    <w:rsid w:val="0025460D"/>
    <w:rsid w:val="00254640"/>
    <w:rsid w:val="0025469D"/>
    <w:rsid w:val="002546E1"/>
    <w:rsid w:val="00254701"/>
    <w:rsid w:val="0025472A"/>
    <w:rsid w:val="00254798"/>
    <w:rsid w:val="002547B5"/>
    <w:rsid w:val="002547C3"/>
    <w:rsid w:val="002547CF"/>
    <w:rsid w:val="002547DE"/>
    <w:rsid w:val="00254906"/>
    <w:rsid w:val="00254910"/>
    <w:rsid w:val="0025494F"/>
    <w:rsid w:val="00254991"/>
    <w:rsid w:val="002549EC"/>
    <w:rsid w:val="00254A4E"/>
    <w:rsid w:val="00254A60"/>
    <w:rsid w:val="00254ADE"/>
    <w:rsid w:val="00254AE6"/>
    <w:rsid w:val="00254B09"/>
    <w:rsid w:val="00254B3F"/>
    <w:rsid w:val="00254B4C"/>
    <w:rsid w:val="00254B8D"/>
    <w:rsid w:val="00254B8E"/>
    <w:rsid w:val="00254BA4"/>
    <w:rsid w:val="00254BB1"/>
    <w:rsid w:val="00254BC4"/>
    <w:rsid w:val="00254BC6"/>
    <w:rsid w:val="00254C19"/>
    <w:rsid w:val="00254C28"/>
    <w:rsid w:val="00254CF3"/>
    <w:rsid w:val="00254D15"/>
    <w:rsid w:val="00254D1D"/>
    <w:rsid w:val="00254D3C"/>
    <w:rsid w:val="00254D82"/>
    <w:rsid w:val="00254DC2"/>
    <w:rsid w:val="00254DDC"/>
    <w:rsid w:val="00254E65"/>
    <w:rsid w:val="00254E67"/>
    <w:rsid w:val="00254E7C"/>
    <w:rsid w:val="00254EEE"/>
    <w:rsid w:val="00254F6D"/>
    <w:rsid w:val="00254FB5"/>
    <w:rsid w:val="00255010"/>
    <w:rsid w:val="0025503F"/>
    <w:rsid w:val="00255042"/>
    <w:rsid w:val="0025504C"/>
    <w:rsid w:val="0025509B"/>
    <w:rsid w:val="002550E5"/>
    <w:rsid w:val="0025516B"/>
    <w:rsid w:val="002551B3"/>
    <w:rsid w:val="0025526F"/>
    <w:rsid w:val="00255278"/>
    <w:rsid w:val="0025529C"/>
    <w:rsid w:val="00255450"/>
    <w:rsid w:val="002554A3"/>
    <w:rsid w:val="002554F8"/>
    <w:rsid w:val="00255536"/>
    <w:rsid w:val="00255592"/>
    <w:rsid w:val="002555F0"/>
    <w:rsid w:val="0025567B"/>
    <w:rsid w:val="00255702"/>
    <w:rsid w:val="0025577E"/>
    <w:rsid w:val="00255846"/>
    <w:rsid w:val="00255857"/>
    <w:rsid w:val="00255884"/>
    <w:rsid w:val="0025589C"/>
    <w:rsid w:val="002558FB"/>
    <w:rsid w:val="002558FC"/>
    <w:rsid w:val="00255931"/>
    <w:rsid w:val="0025593E"/>
    <w:rsid w:val="002559B2"/>
    <w:rsid w:val="002559C0"/>
    <w:rsid w:val="00255A04"/>
    <w:rsid w:val="00255A33"/>
    <w:rsid w:val="00255A6B"/>
    <w:rsid w:val="00255A83"/>
    <w:rsid w:val="00255A9F"/>
    <w:rsid w:val="00255AE3"/>
    <w:rsid w:val="00255AF5"/>
    <w:rsid w:val="00255B25"/>
    <w:rsid w:val="00255B71"/>
    <w:rsid w:val="00255BDA"/>
    <w:rsid w:val="00255C21"/>
    <w:rsid w:val="00255C23"/>
    <w:rsid w:val="00255C50"/>
    <w:rsid w:val="00255C95"/>
    <w:rsid w:val="00255CC1"/>
    <w:rsid w:val="00255D25"/>
    <w:rsid w:val="00255D67"/>
    <w:rsid w:val="00255DAE"/>
    <w:rsid w:val="00255DF8"/>
    <w:rsid w:val="00255E45"/>
    <w:rsid w:val="00255E6C"/>
    <w:rsid w:val="00255E72"/>
    <w:rsid w:val="00255E7F"/>
    <w:rsid w:val="00255EA3"/>
    <w:rsid w:val="00255EB5"/>
    <w:rsid w:val="00255EC5"/>
    <w:rsid w:val="00255F12"/>
    <w:rsid w:val="00255F54"/>
    <w:rsid w:val="00255F9F"/>
    <w:rsid w:val="00255FD9"/>
    <w:rsid w:val="00255FED"/>
    <w:rsid w:val="00256025"/>
    <w:rsid w:val="0025607E"/>
    <w:rsid w:val="00256082"/>
    <w:rsid w:val="00256086"/>
    <w:rsid w:val="0025609B"/>
    <w:rsid w:val="0025611A"/>
    <w:rsid w:val="0025614F"/>
    <w:rsid w:val="0025615A"/>
    <w:rsid w:val="00256170"/>
    <w:rsid w:val="00256171"/>
    <w:rsid w:val="002561A3"/>
    <w:rsid w:val="002561DB"/>
    <w:rsid w:val="0025629B"/>
    <w:rsid w:val="002562F2"/>
    <w:rsid w:val="00256308"/>
    <w:rsid w:val="00256328"/>
    <w:rsid w:val="00256486"/>
    <w:rsid w:val="00256520"/>
    <w:rsid w:val="0025652C"/>
    <w:rsid w:val="00256538"/>
    <w:rsid w:val="002565BB"/>
    <w:rsid w:val="002565E4"/>
    <w:rsid w:val="002565F9"/>
    <w:rsid w:val="0025671E"/>
    <w:rsid w:val="0025676A"/>
    <w:rsid w:val="0025677D"/>
    <w:rsid w:val="0025678B"/>
    <w:rsid w:val="0025679F"/>
    <w:rsid w:val="00256809"/>
    <w:rsid w:val="00256848"/>
    <w:rsid w:val="00256869"/>
    <w:rsid w:val="00256885"/>
    <w:rsid w:val="002568BA"/>
    <w:rsid w:val="002568F1"/>
    <w:rsid w:val="00256930"/>
    <w:rsid w:val="00256987"/>
    <w:rsid w:val="002569B4"/>
    <w:rsid w:val="002569BC"/>
    <w:rsid w:val="002569E1"/>
    <w:rsid w:val="00256A27"/>
    <w:rsid w:val="00256A69"/>
    <w:rsid w:val="00256A70"/>
    <w:rsid w:val="00256B7A"/>
    <w:rsid w:val="00256BA1"/>
    <w:rsid w:val="00256BBD"/>
    <w:rsid w:val="00256BF2"/>
    <w:rsid w:val="00256CA8"/>
    <w:rsid w:val="00256CEE"/>
    <w:rsid w:val="00256D93"/>
    <w:rsid w:val="00256DBE"/>
    <w:rsid w:val="00256DE5"/>
    <w:rsid w:val="00256E03"/>
    <w:rsid w:val="00256E15"/>
    <w:rsid w:val="00256E2A"/>
    <w:rsid w:val="00256E39"/>
    <w:rsid w:val="00256E45"/>
    <w:rsid w:val="00256EBD"/>
    <w:rsid w:val="00256ED3"/>
    <w:rsid w:val="00256ED8"/>
    <w:rsid w:val="00256EFE"/>
    <w:rsid w:val="00256F55"/>
    <w:rsid w:val="00256F8C"/>
    <w:rsid w:val="00256FB1"/>
    <w:rsid w:val="00257091"/>
    <w:rsid w:val="002570B2"/>
    <w:rsid w:val="002570E0"/>
    <w:rsid w:val="002570F8"/>
    <w:rsid w:val="002570FE"/>
    <w:rsid w:val="002571CC"/>
    <w:rsid w:val="00257208"/>
    <w:rsid w:val="00257242"/>
    <w:rsid w:val="00257258"/>
    <w:rsid w:val="002572B5"/>
    <w:rsid w:val="00257305"/>
    <w:rsid w:val="002573FA"/>
    <w:rsid w:val="0025740B"/>
    <w:rsid w:val="00257433"/>
    <w:rsid w:val="00257458"/>
    <w:rsid w:val="00257496"/>
    <w:rsid w:val="002574FB"/>
    <w:rsid w:val="00257503"/>
    <w:rsid w:val="0025755C"/>
    <w:rsid w:val="00257567"/>
    <w:rsid w:val="0025768E"/>
    <w:rsid w:val="00257697"/>
    <w:rsid w:val="002576B3"/>
    <w:rsid w:val="002576CF"/>
    <w:rsid w:val="00257722"/>
    <w:rsid w:val="00257733"/>
    <w:rsid w:val="0025775E"/>
    <w:rsid w:val="00257787"/>
    <w:rsid w:val="00257790"/>
    <w:rsid w:val="002577B1"/>
    <w:rsid w:val="00257829"/>
    <w:rsid w:val="00257871"/>
    <w:rsid w:val="0025789D"/>
    <w:rsid w:val="002578CC"/>
    <w:rsid w:val="00257914"/>
    <w:rsid w:val="00257972"/>
    <w:rsid w:val="002579B9"/>
    <w:rsid w:val="00257A7C"/>
    <w:rsid w:val="00257A7E"/>
    <w:rsid w:val="00257B27"/>
    <w:rsid w:val="00257B36"/>
    <w:rsid w:val="00257B38"/>
    <w:rsid w:val="00257CA9"/>
    <w:rsid w:val="00257CFA"/>
    <w:rsid w:val="00257D4D"/>
    <w:rsid w:val="00257DD8"/>
    <w:rsid w:val="00257DE7"/>
    <w:rsid w:val="00257E07"/>
    <w:rsid w:val="00257E52"/>
    <w:rsid w:val="00257E9E"/>
    <w:rsid w:val="00257F10"/>
    <w:rsid w:val="00257F20"/>
    <w:rsid w:val="00257F73"/>
    <w:rsid w:val="00257FA9"/>
    <w:rsid w:val="00260002"/>
    <w:rsid w:val="0026006B"/>
    <w:rsid w:val="002600AE"/>
    <w:rsid w:val="002600B6"/>
    <w:rsid w:val="002600D6"/>
    <w:rsid w:val="00260121"/>
    <w:rsid w:val="00260196"/>
    <w:rsid w:val="002601C2"/>
    <w:rsid w:val="00260266"/>
    <w:rsid w:val="002602AD"/>
    <w:rsid w:val="002602D8"/>
    <w:rsid w:val="002602D9"/>
    <w:rsid w:val="002602E6"/>
    <w:rsid w:val="0026038D"/>
    <w:rsid w:val="002603BD"/>
    <w:rsid w:val="002603F5"/>
    <w:rsid w:val="00260418"/>
    <w:rsid w:val="0026041C"/>
    <w:rsid w:val="00260434"/>
    <w:rsid w:val="0026056A"/>
    <w:rsid w:val="00260583"/>
    <w:rsid w:val="0026058B"/>
    <w:rsid w:val="00260620"/>
    <w:rsid w:val="002606AC"/>
    <w:rsid w:val="002606FA"/>
    <w:rsid w:val="00260717"/>
    <w:rsid w:val="00260719"/>
    <w:rsid w:val="00260773"/>
    <w:rsid w:val="0026079F"/>
    <w:rsid w:val="002607F1"/>
    <w:rsid w:val="00260851"/>
    <w:rsid w:val="00260878"/>
    <w:rsid w:val="00260884"/>
    <w:rsid w:val="0026088D"/>
    <w:rsid w:val="0026091F"/>
    <w:rsid w:val="00260925"/>
    <w:rsid w:val="00260932"/>
    <w:rsid w:val="00260955"/>
    <w:rsid w:val="0026095F"/>
    <w:rsid w:val="0026097F"/>
    <w:rsid w:val="002609C9"/>
    <w:rsid w:val="002609CE"/>
    <w:rsid w:val="002609E9"/>
    <w:rsid w:val="00260A40"/>
    <w:rsid w:val="00260A92"/>
    <w:rsid w:val="00260B2F"/>
    <w:rsid w:val="00260B4F"/>
    <w:rsid w:val="00260BC7"/>
    <w:rsid w:val="00260BE3"/>
    <w:rsid w:val="00260C08"/>
    <w:rsid w:val="00260C30"/>
    <w:rsid w:val="00260C39"/>
    <w:rsid w:val="00260C46"/>
    <w:rsid w:val="00260C4A"/>
    <w:rsid w:val="00260C86"/>
    <w:rsid w:val="00260D05"/>
    <w:rsid w:val="00260D72"/>
    <w:rsid w:val="00260DED"/>
    <w:rsid w:val="00260E1D"/>
    <w:rsid w:val="00260E6A"/>
    <w:rsid w:val="00260ED5"/>
    <w:rsid w:val="00260EFF"/>
    <w:rsid w:val="00260F0F"/>
    <w:rsid w:val="00260F2E"/>
    <w:rsid w:val="00260F31"/>
    <w:rsid w:val="00260F3B"/>
    <w:rsid w:val="00260F61"/>
    <w:rsid w:val="00260F69"/>
    <w:rsid w:val="00260FE1"/>
    <w:rsid w:val="00261034"/>
    <w:rsid w:val="00261038"/>
    <w:rsid w:val="00261068"/>
    <w:rsid w:val="0026107F"/>
    <w:rsid w:val="002610E6"/>
    <w:rsid w:val="002611B5"/>
    <w:rsid w:val="002611FC"/>
    <w:rsid w:val="00261215"/>
    <w:rsid w:val="0026121D"/>
    <w:rsid w:val="00261321"/>
    <w:rsid w:val="00261358"/>
    <w:rsid w:val="002613FC"/>
    <w:rsid w:val="002613FE"/>
    <w:rsid w:val="00261496"/>
    <w:rsid w:val="002614AA"/>
    <w:rsid w:val="00261511"/>
    <w:rsid w:val="00261539"/>
    <w:rsid w:val="00261592"/>
    <w:rsid w:val="00261605"/>
    <w:rsid w:val="0026160B"/>
    <w:rsid w:val="00261758"/>
    <w:rsid w:val="002617E3"/>
    <w:rsid w:val="0026180E"/>
    <w:rsid w:val="0026185B"/>
    <w:rsid w:val="0026187C"/>
    <w:rsid w:val="0026189E"/>
    <w:rsid w:val="00261903"/>
    <w:rsid w:val="0026190F"/>
    <w:rsid w:val="00261923"/>
    <w:rsid w:val="00261943"/>
    <w:rsid w:val="0026196D"/>
    <w:rsid w:val="00261A6D"/>
    <w:rsid w:val="00261B8E"/>
    <w:rsid w:val="00261BA3"/>
    <w:rsid w:val="00261BB8"/>
    <w:rsid w:val="00261BC6"/>
    <w:rsid w:val="00261BCF"/>
    <w:rsid w:val="00261C1C"/>
    <w:rsid w:val="00261C41"/>
    <w:rsid w:val="00261C9A"/>
    <w:rsid w:val="00261D15"/>
    <w:rsid w:val="00261DB3"/>
    <w:rsid w:val="00261DBC"/>
    <w:rsid w:val="00261F0A"/>
    <w:rsid w:val="00261F0E"/>
    <w:rsid w:val="00261F32"/>
    <w:rsid w:val="00261F35"/>
    <w:rsid w:val="00261F93"/>
    <w:rsid w:val="00261F9E"/>
    <w:rsid w:val="0026200D"/>
    <w:rsid w:val="00262015"/>
    <w:rsid w:val="0026202E"/>
    <w:rsid w:val="0026203D"/>
    <w:rsid w:val="00262059"/>
    <w:rsid w:val="00262060"/>
    <w:rsid w:val="00262085"/>
    <w:rsid w:val="0026208E"/>
    <w:rsid w:val="002620F9"/>
    <w:rsid w:val="0026211A"/>
    <w:rsid w:val="00262124"/>
    <w:rsid w:val="0026212D"/>
    <w:rsid w:val="00262155"/>
    <w:rsid w:val="0026216A"/>
    <w:rsid w:val="00262174"/>
    <w:rsid w:val="002621D3"/>
    <w:rsid w:val="002621DF"/>
    <w:rsid w:val="00262246"/>
    <w:rsid w:val="0026224E"/>
    <w:rsid w:val="002622C3"/>
    <w:rsid w:val="0026233E"/>
    <w:rsid w:val="002623C3"/>
    <w:rsid w:val="002623E0"/>
    <w:rsid w:val="002623FC"/>
    <w:rsid w:val="0026240C"/>
    <w:rsid w:val="00262416"/>
    <w:rsid w:val="00262488"/>
    <w:rsid w:val="002624C2"/>
    <w:rsid w:val="002624E1"/>
    <w:rsid w:val="002624FD"/>
    <w:rsid w:val="0026255C"/>
    <w:rsid w:val="00262584"/>
    <w:rsid w:val="0026258C"/>
    <w:rsid w:val="0026259D"/>
    <w:rsid w:val="00262602"/>
    <w:rsid w:val="0026264C"/>
    <w:rsid w:val="00262657"/>
    <w:rsid w:val="002626AB"/>
    <w:rsid w:val="00262715"/>
    <w:rsid w:val="0026272F"/>
    <w:rsid w:val="00262741"/>
    <w:rsid w:val="0026277C"/>
    <w:rsid w:val="00262807"/>
    <w:rsid w:val="00262839"/>
    <w:rsid w:val="002628E0"/>
    <w:rsid w:val="00262901"/>
    <w:rsid w:val="0026292D"/>
    <w:rsid w:val="002629A7"/>
    <w:rsid w:val="00262A06"/>
    <w:rsid w:val="00262A14"/>
    <w:rsid w:val="00262A69"/>
    <w:rsid w:val="00262AAE"/>
    <w:rsid w:val="00262AC8"/>
    <w:rsid w:val="00262AFF"/>
    <w:rsid w:val="00262B4B"/>
    <w:rsid w:val="00262C14"/>
    <w:rsid w:val="00262C2F"/>
    <w:rsid w:val="00262C8B"/>
    <w:rsid w:val="00262D17"/>
    <w:rsid w:val="00262D2B"/>
    <w:rsid w:val="00262D47"/>
    <w:rsid w:val="00262DCF"/>
    <w:rsid w:val="00262E3C"/>
    <w:rsid w:val="00262E46"/>
    <w:rsid w:val="00262E5D"/>
    <w:rsid w:val="00262E78"/>
    <w:rsid w:val="00262F12"/>
    <w:rsid w:val="00262F48"/>
    <w:rsid w:val="00262F61"/>
    <w:rsid w:val="00262F8D"/>
    <w:rsid w:val="00262FD1"/>
    <w:rsid w:val="00262FD7"/>
    <w:rsid w:val="00262FEE"/>
    <w:rsid w:val="00263007"/>
    <w:rsid w:val="00263010"/>
    <w:rsid w:val="0026306B"/>
    <w:rsid w:val="002630E0"/>
    <w:rsid w:val="002630ED"/>
    <w:rsid w:val="0026315C"/>
    <w:rsid w:val="002631AD"/>
    <w:rsid w:val="0026320E"/>
    <w:rsid w:val="0026320F"/>
    <w:rsid w:val="00263218"/>
    <w:rsid w:val="00263232"/>
    <w:rsid w:val="00263242"/>
    <w:rsid w:val="00263248"/>
    <w:rsid w:val="00263280"/>
    <w:rsid w:val="002632BC"/>
    <w:rsid w:val="002632D7"/>
    <w:rsid w:val="002632DC"/>
    <w:rsid w:val="002632E1"/>
    <w:rsid w:val="00263310"/>
    <w:rsid w:val="00263376"/>
    <w:rsid w:val="002633AA"/>
    <w:rsid w:val="002633D3"/>
    <w:rsid w:val="002633E3"/>
    <w:rsid w:val="00263485"/>
    <w:rsid w:val="002634A6"/>
    <w:rsid w:val="00263509"/>
    <w:rsid w:val="0026352C"/>
    <w:rsid w:val="00263535"/>
    <w:rsid w:val="00263551"/>
    <w:rsid w:val="00263578"/>
    <w:rsid w:val="0026359B"/>
    <w:rsid w:val="002635AE"/>
    <w:rsid w:val="0026366B"/>
    <w:rsid w:val="00263690"/>
    <w:rsid w:val="002636B9"/>
    <w:rsid w:val="002636C3"/>
    <w:rsid w:val="002636F0"/>
    <w:rsid w:val="0026372E"/>
    <w:rsid w:val="002637A1"/>
    <w:rsid w:val="002637AE"/>
    <w:rsid w:val="002637B0"/>
    <w:rsid w:val="002637C1"/>
    <w:rsid w:val="002637C2"/>
    <w:rsid w:val="00263837"/>
    <w:rsid w:val="0026391B"/>
    <w:rsid w:val="0026393B"/>
    <w:rsid w:val="00263944"/>
    <w:rsid w:val="00263977"/>
    <w:rsid w:val="0026397F"/>
    <w:rsid w:val="0026399D"/>
    <w:rsid w:val="002639CB"/>
    <w:rsid w:val="002639E8"/>
    <w:rsid w:val="002639FD"/>
    <w:rsid w:val="00263A1E"/>
    <w:rsid w:val="00263A77"/>
    <w:rsid w:val="00263A89"/>
    <w:rsid w:val="00263AB6"/>
    <w:rsid w:val="00263AF0"/>
    <w:rsid w:val="00263AF6"/>
    <w:rsid w:val="00263B12"/>
    <w:rsid w:val="00263B2B"/>
    <w:rsid w:val="00263B8D"/>
    <w:rsid w:val="00263BAF"/>
    <w:rsid w:val="00263C09"/>
    <w:rsid w:val="00263C9D"/>
    <w:rsid w:val="00263CC3"/>
    <w:rsid w:val="00263D1D"/>
    <w:rsid w:val="00263D20"/>
    <w:rsid w:val="00263DB4"/>
    <w:rsid w:val="00263DB7"/>
    <w:rsid w:val="00263E11"/>
    <w:rsid w:val="00263E97"/>
    <w:rsid w:val="00263EE1"/>
    <w:rsid w:val="00263EFF"/>
    <w:rsid w:val="00263F3E"/>
    <w:rsid w:val="00263F48"/>
    <w:rsid w:val="00263F54"/>
    <w:rsid w:val="00263F99"/>
    <w:rsid w:val="00263FD7"/>
    <w:rsid w:val="00263FFF"/>
    <w:rsid w:val="00264008"/>
    <w:rsid w:val="00264021"/>
    <w:rsid w:val="00264054"/>
    <w:rsid w:val="0026405E"/>
    <w:rsid w:val="0026407F"/>
    <w:rsid w:val="002640C6"/>
    <w:rsid w:val="002640D1"/>
    <w:rsid w:val="00264192"/>
    <w:rsid w:val="002641A4"/>
    <w:rsid w:val="002641BF"/>
    <w:rsid w:val="00264204"/>
    <w:rsid w:val="00264242"/>
    <w:rsid w:val="002642EE"/>
    <w:rsid w:val="00264313"/>
    <w:rsid w:val="00264337"/>
    <w:rsid w:val="00264344"/>
    <w:rsid w:val="00264416"/>
    <w:rsid w:val="00264417"/>
    <w:rsid w:val="0026442C"/>
    <w:rsid w:val="00264434"/>
    <w:rsid w:val="002644CB"/>
    <w:rsid w:val="00264507"/>
    <w:rsid w:val="00264521"/>
    <w:rsid w:val="00264546"/>
    <w:rsid w:val="00264567"/>
    <w:rsid w:val="00264584"/>
    <w:rsid w:val="002645C5"/>
    <w:rsid w:val="002645E6"/>
    <w:rsid w:val="0026463A"/>
    <w:rsid w:val="002646AC"/>
    <w:rsid w:val="002646B1"/>
    <w:rsid w:val="00264701"/>
    <w:rsid w:val="00264706"/>
    <w:rsid w:val="00264713"/>
    <w:rsid w:val="00264754"/>
    <w:rsid w:val="002647F7"/>
    <w:rsid w:val="00264816"/>
    <w:rsid w:val="0026481B"/>
    <w:rsid w:val="002648FA"/>
    <w:rsid w:val="002649C1"/>
    <w:rsid w:val="002649F5"/>
    <w:rsid w:val="00264A2B"/>
    <w:rsid w:val="00264A5E"/>
    <w:rsid w:val="00264A6C"/>
    <w:rsid w:val="00264AA9"/>
    <w:rsid w:val="00264ACE"/>
    <w:rsid w:val="00264B38"/>
    <w:rsid w:val="00264B59"/>
    <w:rsid w:val="00264BBF"/>
    <w:rsid w:val="00264C2E"/>
    <w:rsid w:val="00264D08"/>
    <w:rsid w:val="00264D82"/>
    <w:rsid w:val="00264D99"/>
    <w:rsid w:val="00264DDD"/>
    <w:rsid w:val="00264E02"/>
    <w:rsid w:val="00264E34"/>
    <w:rsid w:val="00264E85"/>
    <w:rsid w:val="00264EAE"/>
    <w:rsid w:val="00264F5D"/>
    <w:rsid w:val="00264F7D"/>
    <w:rsid w:val="00264F92"/>
    <w:rsid w:val="00264FB9"/>
    <w:rsid w:val="00264FBF"/>
    <w:rsid w:val="0026502C"/>
    <w:rsid w:val="00265068"/>
    <w:rsid w:val="002650ED"/>
    <w:rsid w:val="00265109"/>
    <w:rsid w:val="00265142"/>
    <w:rsid w:val="00265168"/>
    <w:rsid w:val="0026518A"/>
    <w:rsid w:val="002651C0"/>
    <w:rsid w:val="002651D0"/>
    <w:rsid w:val="002651E6"/>
    <w:rsid w:val="00265202"/>
    <w:rsid w:val="00265215"/>
    <w:rsid w:val="00265277"/>
    <w:rsid w:val="00265279"/>
    <w:rsid w:val="002652E7"/>
    <w:rsid w:val="00265366"/>
    <w:rsid w:val="002653C7"/>
    <w:rsid w:val="0026544F"/>
    <w:rsid w:val="00265467"/>
    <w:rsid w:val="00265514"/>
    <w:rsid w:val="002655BB"/>
    <w:rsid w:val="002655D4"/>
    <w:rsid w:val="0026562A"/>
    <w:rsid w:val="0026563A"/>
    <w:rsid w:val="00265650"/>
    <w:rsid w:val="0026565A"/>
    <w:rsid w:val="00265665"/>
    <w:rsid w:val="002656DB"/>
    <w:rsid w:val="002656E0"/>
    <w:rsid w:val="0026570D"/>
    <w:rsid w:val="00265736"/>
    <w:rsid w:val="0026573C"/>
    <w:rsid w:val="00265745"/>
    <w:rsid w:val="002657A8"/>
    <w:rsid w:val="002657D6"/>
    <w:rsid w:val="00265854"/>
    <w:rsid w:val="00265868"/>
    <w:rsid w:val="0026586A"/>
    <w:rsid w:val="00265880"/>
    <w:rsid w:val="00265891"/>
    <w:rsid w:val="002658C9"/>
    <w:rsid w:val="00265907"/>
    <w:rsid w:val="00265912"/>
    <w:rsid w:val="00265962"/>
    <w:rsid w:val="00265996"/>
    <w:rsid w:val="002659A8"/>
    <w:rsid w:val="002659DB"/>
    <w:rsid w:val="00265A0E"/>
    <w:rsid w:val="00265A88"/>
    <w:rsid w:val="00265A9C"/>
    <w:rsid w:val="00265AA3"/>
    <w:rsid w:val="00265AAB"/>
    <w:rsid w:val="00265B0A"/>
    <w:rsid w:val="00265BA4"/>
    <w:rsid w:val="00265BF6"/>
    <w:rsid w:val="00265C85"/>
    <w:rsid w:val="00265C99"/>
    <w:rsid w:val="00265CA2"/>
    <w:rsid w:val="00265D04"/>
    <w:rsid w:val="00265DCA"/>
    <w:rsid w:val="00265DD2"/>
    <w:rsid w:val="00265E9B"/>
    <w:rsid w:val="00265EA4"/>
    <w:rsid w:val="00265F15"/>
    <w:rsid w:val="00265F3A"/>
    <w:rsid w:val="00265F3F"/>
    <w:rsid w:val="00265F80"/>
    <w:rsid w:val="00266031"/>
    <w:rsid w:val="00266130"/>
    <w:rsid w:val="0026616E"/>
    <w:rsid w:val="002661C1"/>
    <w:rsid w:val="002661C8"/>
    <w:rsid w:val="0026624C"/>
    <w:rsid w:val="002662EE"/>
    <w:rsid w:val="00266314"/>
    <w:rsid w:val="00266321"/>
    <w:rsid w:val="00266349"/>
    <w:rsid w:val="00266362"/>
    <w:rsid w:val="0026637A"/>
    <w:rsid w:val="00266440"/>
    <w:rsid w:val="00266482"/>
    <w:rsid w:val="00266573"/>
    <w:rsid w:val="002665B3"/>
    <w:rsid w:val="002665D4"/>
    <w:rsid w:val="002665F9"/>
    <w:rsid w:val="00266625"/>
    <w:rsid w:val="00266682"/>
    <w:rsid w:val="002666E0"/>
    <w:rsid w:val="00266702"/>
    <w:rsid w:val="0026676D"/>
    <w:rsid w:val="00266792"/>
    <w:rsid w:val="002667E2"/>
    <w:rsid w:val="00266827"/>
    <w:rsid w:val="002668A9"/>
    <w:rsid w:val="002668F2"/>
    <w:rsid w:val="00266911"/>
    <w:rsid w:val="0026691D"/>
    <w:rsid w:val="0026695B"/>
    <w:rsid w:val="00266968"/>
    <w:rsid w:val="0026698A"/>
    <w:rsid w:val="002669E4"/>
    <w:rsid w:val="00266A28"/>
    <w:rsid w:val="00266A32"/>
    <w:rsid w:val="00266A5B"/>
    <w:rsid w:val="00266AAC"/>
    <w:rsid w:val="00266AC1"/>
    <w:rsid w:val="00266AD8"/>
    <w:rsid w:val="00266AF0"/>
    <w:rsid w:val="00266B55"/>
    <w:rsid w:val="00266B74"/>
    <w:rsid w:val="00266BA3"/>
    <w:rsid w:val="00266BC0"/>
    <w:rsid w:val="00266C00"/>
    <w:rsid w:val="00266C45"/>
    <w:rsid w:val="00266C70"/>
    <w:rsid w:val="00266C87"/>
    <w:rsid w:val="00266C88"/>
    <w:rsid w:val="00266CB5"/>
    <w:rsid w:val="00266CD0"/>
    <w:rsid w:val="00266CFC"/>
    <w:rsid w:val="00266D62"/>
    <w:rsid w:val="00266D9D"/>
    <w:rsid w:val="00266E51"/>
    <w:rsid w:val="00266E5D"/>
    <w:rsid w:val="00266E63"/>
    <w:rsid w:val="00266E8F"/>
    <w:rsid w:val="00266E9A"/>
    <w:rsid w:val="00266F14"/>
    <w:rsid w:val="00266F89"/>
    <w:rsid w:val="00266FAB"/>
    <w:rsid w:val="0026705D"/>
    <w:rsid w:val="002670C7"/>
    <w:rsid w:val="0026716C"/>
    <w:rsid w:val="00267187"/>
    <w:rsid w:val="00267272"/>
    <w:rsid w:val="00267290"/>
    <w:rsid w:val="002672DA"/>
    <w:rsid w:val="002672DE"/>
    <w:rsid w:val="0026735D"/>
    <w:rsid w:val="00267425"/>
    <w:rsid w:val="00267468"/>
    <w:rsid w:val="00267474"/>
    <w:rsid w:val="002675B1"/>
    <w:rsid w:val="002675B3"/>
    <w:rsid w:val="0026762C"/>
    <w:rsid w:val="0026764D"/>
    <w:rsid w:val="00267654"/>
    <w:rsid w:val="0026768F"/>
    <w:rsid w:val="0026778F"/>
    <w:rsid w:val="0026783A"/>
    <w:rsid w:val="00267861"/>
    <w:rsid w:val="00267863"/>
    <w:rsid w:val="00267880"/>
    <w:rsid w:val="002678A7"/>
    <w:rsid w:val="002678CD"/>
    <w:rsid w:val="0026795C"/>
    <w:rsid w:val="00267960"/>
    <w:rsid w:val="00267987"/>
    <w:rsid w:val="002679DD"/>
    <w:rsid w:val="002679E2"/>
    <w:rsid w:val="00267A02"/>
    <w:rsid w:val="00267A69"/>
    <w:rsid w:val="00267AC5"/>
    <w:rsid w:val="00267B88"/>
    <w:rsid w:val="00267C55"/>
    <w:rsid w:val="00267C8D"/>
    <w:rsid w:val="00267CC1"/>
    <w:rsid w:val="00267D00"/>
    <w:rsid w:val="00267D51"/>
    <w:rsid w:val="00267D6B"/>
    <w:rsid w:val="00267DB9"/>
    <w:rsid w:val="00267E0B"/>
    <w:rsid w:val="00267E5C"/>
    <w:rsid w:val="00267EA1"/>
    <w:rsid w:val="00267EB7"/>
    <w:rsid w:val="00267EC7"/>
    <w:rsid w:val="00267F1E"/>
    <w:rsid w:val="00267F4B"/>
    <w:rsid w:val="00267F9D"/>
    <w:rsid w:val="00267FAF"/>
    <w:rsid w:val="00267FD1"/>
    <w:rsid w:val="0027001D"/>
    <w:rsid w:val="00270115"/>
    <w:rsid w:val="00270135"/>
    <w:rsid w:val="00270141"/>
    <w:rsid w:val="00270269"/>
    <w:rsid w:val="00270363"/>
    <w:rsid w:val="002703AE"/>
    <w:rsid w:val="0027042A"/>
    <w:rsid w:val="0027042C"/>
    <w:rsid w:val="0027045B"/>
    <w:rsid w:val="00270492"/>
    <w:rsid w:val="002704F0"/>
    <w:rsid w:val="00270503"/>
    <w:rsid w:val="00270550"/>
    <w:rsid w:val="00270562"/>
    <w:rsid w:val="00270573"/>
    <w:rsid w:val="002705D2"/>
    <w:rsid w:val="002705FF"/>
    <w:rsid w:val="00270647"/>
    <w:rsid w:val="00270688"/>
    <w:rsid w:val="0027076C"/>
    <w:rsid w:val="002707B5"/>
    <w:rsid w:val="00270802"/>
    <w:rsid w:val="00270885"/>
    <w:rsid w:val="002708C4"/>
    <w:rsid w:val="002708F2"/>
    <w:rsid w:val="002709C0"/>
    <w:rsid w:val="002709E0"/>
    <w:rsid w:val="00270A49"/>
    <w:rsid w:val="00270AD1"/>
    <w:rsid w:val="00270AD9"/>
    <w:rsid w:val="00270B7C"/>
    <w:rsid w:val="00270BC4"/>
    <w:rsid w:val="00270BE5"/>
    <w:rsid w:val="00270C19"/>
    <w:rsid w:val="00270C41"/>
    <w:rsid w:val="00270C6B"/>
    <w:rsid w:val="00270C7C"/>
    <w:rsid w:val="00270C8F"/>
    <w:rsid w:val="00270CE8"/>
    <w:rsid w:val="00270D55"/>
    <w:rsid w:val="00270DC3"/>
    <w:rsid w:val="00270DCA"/>
    <w:rsid w:val="00270DE2"/>
    <w:rsid w:val="00270E17"/>
    <w:rsid w:val="00270E63"/>
    <w:rsid w:val="00270EDC"/>
    <w:rsid w:val="00270F10"/>
    <w:rsid w:val="00270F34"/>
    <w:rsid w:val="00270F4F"/>
    <w:rsid w:val="00270F97"/>
    <w:rsid w:val="00270FDB"/>
    <w:rsid w:val="00271035"/>
    <w:rsid w:val="00271057"/>
    <w:rsid w:val="0027107A"/>
    <w:rsid w:val="00271102"/>
    <w:rsid w:val="00271161"/>
    <w:rsid w:val="00271192"/>
    <w:rsid w:val="00271225"/>
    <w:rsid w:val="002712E2"/>
    <w:rsid w:val="00271324"/>
    <w:rsid w:val="00271326"/>
    <w:rsid w:val="0027137C"/>
    <w:rsid w:val="002713EE"/>
    <w:rsid w:val="00271401"/>
    <w:rsid w:val="00271447"/>
    <w:rsid w:val="002714B8"/>
    <w:rsid w:val="002714FF"/>
    <w:rsid w:val="0027152C"/>
    <w:rsid w:val="0027153B"/>
    <w:rsid w:val="00271598"/>
    <w:rsid w:val="002715B1"/>
    <w:rsid w:val="002715DB"/>
    <w:rsid w:val="002716B3"/>
    <w:rsid w:val="002716CF"/>
    <w:rsid w:val="002716D5"/>
    <w:rsid w:val="002717A3"/>
    <w:rsid w:val="002717C5"/>
    <w:rsid w:val="00271834"/>
    <w:rsid w:val="00271962"/>
    <w:rsid w:val="0027197C"/>
    <w:rsid w:val="0027198A"/>
    <w:rsid w:val="002719AD"/>
    <w:rsid w:val="002719C8"/>
    <w:rsid w:val="002719CB"/>
    <w:rsid w:val="002719FD"/>
    <w:rsid w:val="00271A27"/>
    <w:rsid w:val="00271A51"/>
    <w:rsid w:val="00271A8D"/>
    <w:rsid w:val="00271B1D"/>
    <w:rsid w:val="00271B70"/>
    <w:rsid w:val="00271C79"/>
    <w:rsid w:val="00271C98"/>
    <w:rsid w:val="00271CB9"/>
    <w:rsid w:val="00271CDF"/>
    <w:rsid w:val="00271CE0"/>
    <w:rsid w:val="00271CEA"/>
    <w:rsid w:val="00271D15"/>
    <w:rsid w:val="00271D1F"/>
    <w:rsid w:val="00271E39"/>
    <w:rsid w:val="00271E5B"/>
    <w:rsid w:val="00271E7F"/>
    <w:rsid w:val="00271F42"/>
    <w:rsid w:val="00271F53"/>
    <w:rsid w:val="00272064"/>
    <w:rsid w:val="002720CB"/>
    <w:rsid w:val="002720D1"/>
    <w:rsid w:val="00272109"/>
    <w:rsid w:val="0027215F"/>
    <w:rsid w:val="00272160"/>
    <w:rsid w:val="002721E2"/>
    <w:rsid w:val="00272218"/>
    <w:rsid w:val="00272281"/>
    <w:rsid w:val="0027231B"/>
    <w:rsid w:val="0027231E"/>
    <w:rsid w:val="00272372"/>
    <w:rsid w:val="002723DE"/>
    <w:rsid w:val="002723E6"/>
    <w:rsid w:val="002723FE"/>
    <w:rsid w:val="002723FF"/>
    <w:rsid w:val="00272420"/>
    <w:rsid w:val="00272423"/>
    <w:rsid w:val="00272431"/>
    <w:rsid w:val="0027244F"/>
    <w:rsid w:val="0027245A"/>
    <w:rsid w:val="002724A7"/>
    <w:rsid w:val="00272513"/>
    <w:rsid w:val="00272525"/>
    <w:rsid w:val="002725C8"/>
    <w:rsid w:val="002725EA"/>
    <w:rsid w:val="002725F7"/>
    <w:rsid w:val="0027261F"/>
    <w:rsid w:val="002726C1"/>
    <w:rsid w:val="002726C6"/>
    <w:rsid w:val="00272777"/>
    <w:rsid w:val="002727F3"/>
    <w:rsid w:val="00272828"/>
    <w:rsid w:val="00272872"/>
    <w:rsid w:val="00272884"/>
    <w:rsid w:val="002728CD"/>
    <w:rsid w:val="002728D3"/>
    <w:rsid w:val="00272945"/>
    <w:rsid w:val="002729C5"/>
    <w:rsid w:val="002729CB"/>
    <w:rsid w:val="00272A49"/>
    <w:rsid w:val="00272A72"/>
    <w:rsid w:val="00272AD0"/>
    <w:rsid w:val="00272BB9"/>
    <w:rsid w:val="00272BD4"/>
    <w:rsid w:val="00272BF5"/>
    <w:rsid w:val="00272C44"/>
    <w:rsid w:val="00272CC7"/>
    <w:rsid w:val="00272CEF"/>
    <w:rsid w:val="00272D0A"/>
    <w:rsid w:val="00272D71"/>
    <w:rsid w:val="00272D79"/>
    <w:rsid w:val="00272D97"/>
    <w:rsid w:val="00272DD6"/>
    <w:rsid w:val="00272DE4"/>
    <w:rsid w:val="00272DFE"/>
    <w:rsid w:val="00272E95"/>
    <w:rsid w:val="00272EB4"/>
    <w:rsid w:val="00272EBA"/>
    <w:rsid w:val="00272EC3"/>
    <w:rsid w:val="00272FF3"/>
    <w:rsid w:val="0027306C"/>
    <w:rsid w:val="0027309F"/>
    <w:rsid w:val="0027312A"/>
    <w:rsid w:val="00273138"/>
    <w:rsid w:val="00273140"/>
    <w:rsid w:val="00273206"/>
    <w:rsid w:val="0027320D"/>
    <w:rsid w:val="0027321F"/>
    <w:rsid w:val="00273255"/>
    <w:rsid w:val="00273273"/>
    <w:rsid w:val="00273328"/>
    <w:rsid w:val="0027337A"/>
    <w:rsid w:val="002733FA"/>
    <w:rsid w:val="00273407"/>
    <w:rsid w:val="002734A0"/>
    <w:rsid w:val="00273642"/>
    <w:rsid w:val="002736D0"/>
    <w:rsid w:val="002736F1"/>
    <w:rsid w:val="002736F6"/>
    <w:rsid w:val="002737A2"/>
    <w:rsid w:val="002737A4"/>
    <w:rsid w:val="002737B8"/>
    <w:rsid w:val="002737DD"/>
    <w:rsid w:val="002737E5"/>
    <w:rsid w:val="0027381A"/>
    <w:rsid w:val="0027381C"/>
    <w:rsid w:val="00273834"/>
    <w:rsid w:val="00273845"/>
    <w:rsid w:val="00273896"/>
    <w:rsid w:val="002738FB"/>
    <w:rsid w:val="0027395D"/>
    <w:rsid w:val="002739BE"/>
    <w:rsid w:val="00273BD2"/>
    <w:rsid w:val="00273C1C"/>
    <w:rsid w:val="00273C5E"/>
    <w:rsid w:val="00273C73"/>
    <w:rsid w:val="00273C87"/>
    <w:rsid w:val="00273CA6"/>
    <w:rsid w:val="00273CEB"/>
    <w:rsid w:val="00273D7D"/>
    <w:rsid w:val="00273E0B"/>
    <w:rsid w:val="00273E0E"/>
    <w:rsid w:val="00273E75"/>
    <w:rsid w:val="00273EBD"/>
    <w:rsid w:val="00273F01"/>
    <w:rsid w:val="00273F6B"/>
    <w:rsid w:val="00273F7E"/>
    <w:rsid w:val="00273FAF"/>
    <w:rsid w:val="00273FB1"/>
    <w:rsid w:val="00274061"/>
    <w:rsid w:val="00274073"/>
    <w:rsid w:val="002740C4"/>
    <w:rsid w:val="002741B0"/>
    <w:rsid w:val="002741CA"/>
    <w:rsid w:val="0027430D"/>
    <w:rsid w:val="00274331"/>
    <w:rsid w:val="0027433F"/>
    <w:rsid w:val="00274390"/>
    <w:rsid w:val="002743B3"/>
    <w:rsid w:val="0027445B"/>
    <w:rsid w:val="0027445E"/>
    <w:rsid w:val="00274463"/>
    <w:rsid w:val="002744AF"/>
    <w:rsid w:val="0027453C"/>
    <w:rsid w:val="00274540"/>
    <w:rsid w:val="00274561"/>
    <w:rsid w:val="00274572"/>
    <w:rsid w:val="002745D1"/>
    <w:rsid w:val="002745EB"/>
    <w:rsid w:val="0027461B"/>
    <w:rsid w:val="00274669"/>
    <w:rsid w:val="002746BD"/>
    <w:rsid w:val="002746C8"/>
    <w:rsid w:val="0027471F"/>
    <w:rsid w:val="0027476C"/>
    <w:rsid w:val="00274779"/>
    <w:rsid w:val="0027478F"/>
    <w:rsid w:val="002748C2"/>
    <w:rsid w:val="002748D1"/>
    <w:rsid w:val="002748D3"/>
    <w:rsid w:val="002748DC"/>
    <w:rsid w:val="0027490D"/>
    <w:rsid w:val="002749B7"/>
    <w:rsid w:val="002749ED"/>
    <w:rsid w:val="00274A67"/>
    <w:rsid w:val="00274A6F"/>
    <w:rsid w:val="00274ADB"/>
    <w:rsid w:val="00274B25"/>
    <w:rsid w:val="00274B2C"/>
    <w:rsid w:val="00274B7B"/>
    <w:rsid w:val="00274C7F"/>
    <w:rsid w:val="00274CEB"/>
    <w:rsid w:val="00274D09"/>
    <w:rsid w:val="00274D47"/>
    <w:rsid w:val="00274D6F"/>
    <w:rsid w:val="00274D89"/>
    <w:rsid w:val="00274DD2"/>
    <w:rsid w:val="00274E41"/>
    <w:rsid w:val="00274E99"/>
    <w:rsid w:val="00274EB9"/>
    <w:rsid w:val="00274F0A"/>
    <w:rsid w:val="00275021"/>
    <w:rsid w:val="00275080"/>
    <w:rsid w:val="00275081"/>
    <w:rsid w:val="002750FF"/>
    <w:rsid w:val="00275103"/>
    <w:rsid w:val="00275119"/>
    <w:rsid w:val="00275128"/>
    <w:rsid w:val="00275171"/>
    <w:rsid w:val="002751F2"/>
    <w:rsid w:val="002751F3"/>
    <w:rsid w:val="00275291"/>
    <w:rsid w:val="002752D7"/>
    <w:rsid w:val="00275308"/>
    <w:rsid w:val="00275437"/>
    <w:rsid w:val="002754AA"/>
    <w:rsid w:val="00275507"/>
    <w:rsid w:val="0027551B"/>
    <w:rsid w:val="002755DE"/>
    <w:rsid w:val="002755E3"/>
    <w:rsid w:val="002755E7"/>
    <w:rsid w:val="00275610"/>
    <w:rsid w:val="0027565E"/>
    <w:rsid w:val="0027567B"/>
    <w:rsid w:val="00275681"/>
    <w:rsid w:val="002756E0"/>
    <w:rsid w:val="00275723"/>
    <w:rsid w:val="00275750"/>
    <w:rsid w:val="0027576C"/>
    <w:rsid w:val="002757C3"/>
    <w:rsid w:val="00275808"/>
    <w:rsid w:val="00275825"/>
    <w:rsid w:val="002758BB"/>
    <w:rsid w:val="002758E6"/>
    <w:rsid w:val="00275926"/>
    <w:rsid w:val="00275A68"/>
    <w:rsid w:val="00275B65"/>
    <w:rsid w:val="00275B92"/>
    <w:rsid w:val="00275C0E"/>
    <w:rsid w:val="00275C13"/>
    <w:rsid w:val="00275C32"/>
    <w:rsid w:val="00275C62"/>
    <w:rsid w:val="00275CE8"/>
    <w:rsid w:val="00275D20"/>
    <w:rsid w:val="00275D44"/>
    <w:rsid w:val="00275D59"/>
    <w:rsid w:val="00275DFA"/>
    <w:rsid w:val="00275E41"/>
    <w:rsid w:val="00275E52"/>
    <w:rsid w:val="00275EC8"/>
    <w:rsid w:val="00275ECC"/>
    <w:rsid w:val="00275EE9"/>
    <w:rsid w:val="00275EF2"/>
    <w:rsid w:val="00275F09"/>
    <w:rsid w:val="00275F6F"/>
    <w:rsid w:val="00275F7F"/>
    <w:rsid w:val="0027602F"/>
    <w:rsid w:val="0027612E"/>
    <w:rsid w:val="00276135"/>
    <w:rsid w:val="0027614A"/>
    <w:rsid w:val="0027614F"/>
    <w:rsid w:val="0027617B"/>
    <w:rsid w:val="002761D4"/>
    <w:rsid w:val="002761E2"/>
    <w:rsid w:val="00276228"/>
    <w:rsid w:val="002762C3"/>
    <w:rsid w:val="002762ED"/>
    <w:rsid w:val="00276350"/>
    <w:rsid w:val="002763B0"/>
    <w:rsid w:val="002763B2"/>
    <w:rsid w:val="002763B9"/>
    <w:rsid w:val="00276426"/>
    <w:rsid w:val="00276469"/>
    <w:rsid w:val="002764A1"/>
    <w:rsid w:val="002764EB"/>
    <w:rsid w:val="002765C5"/>
    <w:rsid w:val="002765CA"/>
    <w:rsid w:val="002765CF"/>
    <w:rsid w:val="002765E6"/>
    <w:rsid w:val="00276656"/>
    <w:rsid w:val="00276697"/>
    <w:rsid w:val="002766A6"/>
    <w:rsid w:val="00276705"/>
    <w:rsid w:val="0027670F"/>
    <w:rsid w:val="0027671B"/>
    <w:rsid w:val="0027673C"/>
    <w:rsid w:val="00276750"/>
    <w:rsid w:val="002767CE"/>
    <w:rsid w:val="002767D6"/>
    <w:rsid w:val="002767E8"/>
    <w:rsid w:val="00276830"/>
    <w:rsid w:val="00276847"/>
    <w:rsid w:val="002768CC"/>
    <w:rsid w:val="00276954"/>
    <w:rsid w:val="00276956"/>
    <w:rsid w:val="002769AF"/>
    <w:rsid w:val="002769D2"/>
    <w:rsid w:val="002769E0"/>
    <w:rsid w:val="002769F2"/>
    <w:rsid w:val="00276A82"/>
    <w:rsid w:val="00276A8A"/>
    <w:rsid w:val="00276AE6"/>
    <w:rsid w:val="00276AF7"/>
    <w:rsid w:val="00276B10"/>
    <w:rsid w:val="00276B73"/>
    <w:rsid w:val="00276B79"/>
    <w:rsid w:val="00276BBA"/>
    <w:rsid w:val="00276BE9"/>
    <w:rsid w:val="00276C08"/>
    <w:rsid w:val="00276C52"/>
    <w:rsid w:val="00276CE4"/>
    <w:rsid w:val="00276D0D"/>
    <w:rsid w:val="00276DBA"/>
    <w:rsid w:val="00276E0A"/>
    <w:rsid w:val="00276E5E"/>
    <w:rsid w:val="00276ED1"/>
    <w:rsid w:val="00276ED4"/>
    <w:rsid w:val="00276F0C"/>
    <w:rsid w:val="00276F0E"/>
    <w:rsid w:val="00276FB5"/>
    <w:rsid w:val="00276FBC"/>
    <w:rsid w:val="0027703F"/>
    <w:rsid w:val="0027707C"/>
    <w:rsid w:val="00277099"/>
    <w:rsid w:val="00277143"/>
    <w:rsid w:val="0027716C"/>
    <w:rsid w:val="00277202"/>
    <w:rsid w:val="0027730B"/>
    <w:rsid w:val="00277346"/>
    <w:rsid w:val="002773D1"/>
    <w:rsid w:val="00277426"/>
    <w:rsid w:val="0027742E"/>
    <w:rsid w:val="0027745D"/>
    <w:rsid w:val="00277485"/>
    <w:rsid w:val="002774C9"/>
    <w:rsid w:val="002774D2"/>
    <w:rsid w:val="002774E9"/>
    <w:rsid w:val="002774ED"/>
    <w:rsid w:val="00277551"/>
    <w:rsid w:val="00277580"/>
    <w:rsid w:val="002775BE"/>
    <w:rsid w:val="002775F6"/>
    <w:rsid w:val="0027760F"/>
    <w:rsid w:val="00277628"/>
    <w:rsid w:val="00277669"/>
    <w:rsid w:val="0027766B"/>
    <w:rsid w:val="00277688"/>
    <w:rsid w:val="002776C2"/>
    <w:rsid w:val="002776F0"/>
    <w:rsid w:val="00277708"/>
    <w:rsid w:val="00277740"/>
    <w:rsid w:val="0027774F"/>
    <w:rsid w:val="0027779B"/>
    <w:rsid w:val="002777FD"/>
    <w:rsid w:val="00277805"/>
    <w:rsid w:val="0027781D"/>
    <w:rsid w:val="0027787E"/>
    <w:rsid w:val="00277881"/>
    <w:rsid w:val="002778C7"/>
    <w:rsid w:val="002778CA"/>
    <w:rsid w:val="00277985"/>
    <w:rsid w:val="002779BB"/>
    <w:rsid w:val="002779CC"/>
    <w:rsid w:val="002779EB"/>
    <w:rsid w:val="00277A9E"/>
    <w:rsid w:val="00277AC7"/>
    <w:rsid w:val="00277B48"/>
    <w:rsid w:val="00277B4D"/>
    <w:rsid w:val="00277B61"/>
    <w:rsid w:val="00277B72"/>
    <w:rsid w:val="00277C85"/>
    <w:rsid w:val="00277D02"/>
    <w:rsid w:val="00277D2F"/>
    <w:rsid w:val="00277D5D"/>
    <w:rsid w:val="00277D8E"/>
    <w:rsid w:val="00277DAE"/>
    <w:rsid w:val="00277F05"/>
    <w:rsid w:val="00277F07"/>
    <w:rsid w:val="00277FC5"/>
    <w:rsid w:val="00277FE5"/>
    <w:rsid w:val="00277FFD"/>
    <w:rsid w:val="00280013"/>
    <w:rsid w:val="00280022"/>
    <w:rsid w:val="00280037"/>
    <w:rsid w:val="002800D0"/>
    <w:rsid w:val="002800DE"/>
    <w:rsid w:val="00280106"/>
    <w:rsid w:val="00280125"/>
    <w:rsid w:val="00280134"/>
    <w:rsid w:val="0028013D"/>
    <w:rsid w:val="00280144"/>
    <w:rsid w:val="00280180"/>
    <w:rsid w:val="00280197"/>
    <w:rsid w:val="0028026B"/>
    <w:rsid w:val="002802AD"/>
    <w:rsid w:val="002802ED"/>
    <w:rsid w:val="00280412"/>
    <w:rsid w:val="00280423"/>
    <w:rsid w:val="00280439"/>
    <w:rsid w:val="002804C4"/>
    <w:rsid w:val="002804E9"/>
    <w:rsid w:val="002804F4"/>
    <w:rsid w:val="00280519"/>
    <w:rsid w:val="0028053F"/>
    <w:rsid w:val="00280554"/>
    <w:rsid w:val="002805AD"/>
    <w:rsid w:val="002805AF"/>
    <w:rsid w:val="002805F1"/>
    <w:rsid w:val="0028061A"/>
    <w:rsid w:val="00280628"/>
    <w:rsid w:val="00280656"/>
    <w:rsid w:val="0028067D"/>
    <w:rsid w:val="002806A5"/>
    <w:rsid w:val="002806C6"/>
    <w:rsid w:val="00280703"/>
    <w:rsid w:val="0028070A"/>
    <w:rsid w:val="0028076A"/>
    <w:rsid w:val="002807AF"/>
    <w:rsid w:val="002807B3"/>
    <w:rsid w:val="00280889"/>
    <w:rsid w:val="002808A9"/>
    <w:rsid w:val="002808BC"/>
    <w:rsid w:val="0028092D"/>
    <w:rsid w:val="002809B4"/>
    <w:rsid w:val="00280A2A"/>
    <w:rsid w:val="00280A46"/>
    <w:rsid w:val="00280A75"/>
    <w:rsid w:val="00280A98"/>
    <w:rsid w:val="00280ACF"/>
    <w:rsid w:val="00280B10"/>
    <w:rsid w:val="00280B68"/>
    <w:rsid w:val="00280BE5"/>
    <w:rsid w:val="00280CD7"/>
    <w:rsid w:val="00280CEA"/>
    <w:rsid w:val="00280D05"/>
    <w:rsid w:val="00280D2D"/>
    <w:rsid w:val="00280D88"/>
    <w:rsid w:val="00280DA2"/>
    <w:rsid w:val="00280DE2"/>
    <w:rsid w:val="00280E40"/>
    <w:rsid w:val="00280E51"/>
    <w:rsid w:val="00280E76"/>
    <w:rsid w:val="00280E8D"/>
    <w:rsid w:val="00280ECC"/>
    <w:rsid w:val="00280ECE"/>
    <w:rsid w:val="00280EF5"/>
    <w:rsid w:val="00280F2B"/>
    <w:rsid w:val="00280F2D"/>
    <w:rsid w:val="00280FC0"/>
    <w:rsid w:val="0028104E"/>
    <w:rsid w:val="00281060"/>
    <w:rsid w:val="002810CA"/>
    <w:rsid w:val="002810DB"/>
    <w:rsid w:val="002810E1"/>
    <w:rsid w:val="00281105"/>
    <w:rsid w:val="0028116A"/>
    <w:rsid w:val="0028116D"/>
    <w:rsid w:val="0028119A"/>
    <w:rsid w:val="002811D3"/>
    <w:rsid w:val="002811F7"/>
    <w:rsid w:val="002812B6"/>
    <w:rsid w:val="002812C6"/>
    <w:rsid w:val="002812D9"/>
    <w:rsid w:val="002812EE"/>
    <w:rsid w:val="00281313"/>
    <w:rsid w:val="00281323"/>
    <w:rsid w:val="0028135B"/>
    <w:rsid w:val="002813E0"/>
    <w:rsid w:val="00281434"/>
    <w:rsid w:val="0028144D"/>
    <w:rsid w:val="0028146A"/>
    <w:rsid w:val="00281594"/>
    <w:rsid w:val="002815AC"/>
    <w:rsid w:val="002815AF"/>
    <w:rsid w:val="002815E0"/>
    <w:rsid w:val="002815EA"/>
    <w:rsid w:val="00281654"/>
    <w:rsid w:val="00281657"/>
    <w:rsid w:val="00281665"/>
    <w:rsid w:val="0028168F"/>
    <w:rsid w:val="002816A5"/>
    <w:rsid w:val="002816A6"/>
    <w:rsid w:val="00281720"/>
    <w:rsid w:val="00281770"/>
    <w:rsid w:val="0028180F"/>
    <w:rsid w:val="00281812"/>
    <w:rsid w:val="00281834"/>
    <w:rsid w:val="0028186A"/>
    <w:rsid w:val="0028186F"/>
    <w:rsid w:val="00281871"/>
    <w:rsid w:val="0028190A"/>
    <w:rsid w:val="0028192E"/>
    <w:rsid w:val="00281954"/>
    <w:rsid w:val="00281994"/>
    <w:rsid w:val="002819BC"/>
    <w:rsid w:val="00281A09"/>
    <w:rsid w:val="00281AC8"/>
    <w:rsid w:val="00281AF6"/>
    <w:rsid w:val="00281B0C"/>
    <w:rsid w:val="00281BAE"/>
    <w:rsid w:val="00281BB7"/>
    <w:rsid w:val="00281BCE"/>
    <w:rsid w:val="00281BD6"/>
    <w:rsid w:val="00281C58"/>
    <w:rsid w:val="00281C66"/>
    <w:rsid w:val="00281C67"/>
    <w:rsid w:val="00281C77"/>
    <w:rsid w:val="00281C9A"/>
    <w:rsid w:val="00281CD3"/>
    <w:rsid w:val="00281CDD"/>
    <w:rsid w:val="00281D49"/>
    <w:rsid w:val="00281DD5"/>
    <w:rsid w:val="00281E10"/>
    <w:rsid w:val="00281E25"/>
    <w:rsid w:val="00281E38"/>
    <w:rsid w:val="00281E39"/>
    <w:rsid w:val="00281E71"/>
    <w:rsid w:val="00281EAB"/>
    <w:rsid w:val="00281FE9"/>
    <w:rsid w:val="0028201C"/>
    <w:rsid w:val="0028201E"/>
    <w:rsid w:val="0028205E"/>
    <w:rsid w:val="00282063"/>
    <w:rsid w:val="00282074"/>
    <w:rsid w:val="002820C9"/>
    <w:rsid w:val="002820FC"/>
    <w:rsid w:val="00282113"/>
    <w:rsid w:val="0028211A"/>
    <w:rsid w:val="00282147"/>
    <w:rsid w:val="00282175"/>
    <w:rsid w:val="00282199"/>
    <w:rsid w:val="002821AF"/>
    <w:rsid w:val="00282255"/>
    <w:rsid w:val="0028227A"/>
    <w:rsid w:val="00282282"/>
    <w:rsid w:val="00282318"/>
    <w:rsid w:val="00282342"/>
    <w:rsid w:val="002823E4"/>
    <w:rsid w:val="0028241E"/>
    <w:rsid w:val="00282422"/>
    <w:rsid w:val="0028247E"/>
    <w:rsid w:val="002824A4"/>
    <w:rsid w:val="002824B8"/>
    <w:rsid w:val="002824F0"/>
    <w:rsid w:val="00282519"/>
    <w:rsid w:val="0028252B"/>
    <w:rsid w:val="00282563"/>
    <w:rsid w:val="00282580"/>
    <w:rsid w:val="0028262C"/>
    <w:rsid w:val="0028264F"/>
    <w:rsid w:val="00282664"/>
    <w:rsid w:val="00282665"/>
    <w:rsid w:val="0028272F"/>
    <w:rsid w:val="00282754"/>
    <w:rsid w:val="0028275B"/>
    <w:rsid w:val="0028276E"/>
    <w:rsid w:val="002827B4"/>
    <w:rsid w:val="002827C0"/>
    <w:rsid w:val="002827D3"/>
    <w:rsid w:val="00282888"/>
    <w:rsid w:val="002828EA"/>
    <w:rsid w:val="002828ED"/>
    <w:rsid w:val="00282942"/>
    <w:rsid w:val="00282986"/>
    <w:rsid w:val="0028298D"/>
    <w:rsid w:val="002829F2"/>
    <w:rsid w:val="002829FA"/>
    <w:rsid w:val="00282A0E"/>
    <w:rsid w:val="00282A25"/>
    <w:rsid w:val="00282A47"/>
    <w:rsid w:val="00282B63"/>
    <w:rsid w:val="00282BB8"/>
    <w:rsid w:val="00282BC8"/>
    <w:rsid w:val="00282C26"/>
    <w:rsid w:val="00282C3B"/>
    <w:rsid w:val="00282C3C"/>
    <w:rsid w:val="00282C87"/>
    <w:rsid w:val="00282CD2"/>
    <w:rsid w:val="00282D19"/>
    <w:rsid w:val="00282D42"/>
    <w:rsid w:val="00282E09"/>
    <w:rsid w:val="00282E54"/>
    <w:rsid w:val="00282ED7"/>
    <w:rsid w:val="00282EF9"/>
    <w:rsid w:val="00282F8B"/>
    <w:rsid w:val="0028300B"/>
    <w:rsid w:val="0028300F"/>
    <w:rsid w:val="0028305D"/>
    <w:rsid w:val="002830C2"/>
    <w:rsid w:val="00283158"/>
    <w:rsid w:val="0028315B"/>
    <w:rsid w:val="002831AC"/>
    <w:rsid w:val="0028325F"/>
    <w:rsid w:val="00283296"/>
    <w:rsid w:val="002832A4"/>
    <w:rsid w:val="002832BA"/>
    <w:rsid w:val="00283309"/>
    <w:rsid w:val="00283312"/>
    <w:rsid w:val="00283323"/>
    <w:rsid w:val="0028335E"/>
    <w:rsid w:val="00283362"/>
    <w:rsid w:val="00283437"/>
    <w:rsid w:val="0028344D"/>
    <w:rsid w:val="00283460"/>
    <w:rsid w:val="002834E0"/>
    <w:rsid w:val="00283519"/>
    <w:rsid w:val="0028364A"/>
    <w:rsid w:val="00283654"/>
    <w:rsid w:val="0028366E"/>
    <w:rsid w:val="002836AD"/>
    <w:rsid w:val="002836B2"/>
    <w:rsid w:val="002836C0"/>
    <w:rsid w:val="00283719"/>
    <w:rsid w:val="00283722"/>
    <w:rsid w:val="002837E3"/>
    <w:rsid w:val="00283805"/>
    <w:rsid w:val="0028383E"/>
    <w:rsid w:val="00283927"/>
    <w:rsid w:val="00283967"/>
    <w:rsid w:val="002839A5"/>
    <w:rsid w:val="002839EA"/>
    <w:rsid w:val="00283A1F"/>
    <w:rsid w:val="00283AA5"/>
    <w:rsid w:val="00283B56"/>
    <w:rsid w:val="00283BBB"/>
    <w:rsid w:val="00283BEA"/>
    <w:rsid w:val="00283C06"/>
    <w:rsid w:val="00283C7D"/>
    <w:rsid w:val="00283C84"/>
    <w:rsid w:val="00283C93"/>
    <w:rsid w:val="00283C9D"/>
    <w:rsid w:val="00283CB6"/>
    <w:rsid w:val="00283DA3"/>
    <w:rsid w:val="00283DD3"/>
    <w:rsid w:val="00283E09"/>
    <w:rsid w:val="00283E74"/>
    <w:rsid w:val="00283E96"/>
    <w:rsid w:val="00283EC6"/>
    <w:rsid w:val="00283EE2"/>
    <w:rsid w:val="00283EEC"/>
    <w:rsid w:val="00283EEF"/>
    <w:rsid w:val="00283F02"/>
    <w:rsid w:val="00283F35"/>
    <w:rsid w:val="00283F86"/>
    <w:rsid w:val="0028403B"/>
    <w:rsid w:val="00284068"/>
    <w:rsid w:val="00284072"/>
    <w:rsid w:val="00284091"/>
    <w:rsid w:val="0028412C"/>
    <w:rsid w:val="00284145"/>
    <w:rsid w:val="002841B1"/>
    <w:rsid w:val="002841DC"/>
    <w:rsid w:val="00284242"/>
    <w:rsid w:val="00284291"/>
    <w:rsid w:val="002842CC"/>
    <w:rsid w:val="00284399"/>
    <w:rsid w:val="002843C7"/>
    <w:rsid w:val="002843E1"/>
    <w:rsid w:val="002843E3"/>
    <w:rsid w:val="00284401"/>
    <w:rsid w:val="00284410"/>
    <w:rsid w:val="0028447B"/>
    <w:rsid w:val="002844DB"/>
    <w:rsid w:val="00284514"/>
    <w:rsid w:val="002845B5"/>
    <w:rsid w:val="002845BD"/>
    <w:rsid w:val="00284621"/>
    <w:rsid w:val="00284657"/>
    <w:rsid w:val="00284681"/>
    <w:rsid w:val="00284746"/>
    <w:rsid w:val="0028476D"/>
    <w:rsid w:val="0028476F"/>
    <w:rsid w:val="002847B2"/>
    <w:rsid w:val="002847FE"/>
    <w:rsid w:val="0028489C"/>
    <w:rsid w:val="002848A4"/>
    <w:rsid w:val="002848C5"/>
    <w:rsid w:val="002848D4"/>
    <w:rsid w:val="002848D6"/>
    <w:rsid w:val="0028490C"/>
    <w:rsid w:val="0028497E"/>
    <w:rsid w:val="00284A33"/>
    <w:rsid w:val="00284A72"/>
    <w:rsid w:val="00284A7B"/>
    <w:rsid w:val="00284A85"/>
    <w:rsid w:val="00284AD3"/>
    <w:rsid w:val="00284B21"/>
    <w:rsid w:val="00284B2D"/>
    <w:rsid w:val="00284BB3"/>
    <w:rsid w:val="00284C1A"/>
    <w:rsid w:val="00284C42"/>
    <w:rsid w:val="00284D49"/>
    <w:rsid w:val="00284D7A"/>
    <w:rsid w:val="00284D9F"/>
    <w:rsid w:val="00284DBC"/>
    <w:rsid w:val="00284DF0"/>
    <w:rsid w:val="00284E5C"/>
    <w:rsid w:val="00284E65"/>
    <w:rsid w:val="00284E6B"/>
    <w:rsid w:val="00284EB5"/>
    <w:rsid w:val="00284EE3"/>
    <w:rsid w:val="00284F4E"/>
    <w:rsid w:val="00284F90"/>
    <w:rsid w:val="00284FA2"/>
    <w:rsid w:val="00284FA7"/>
    <w:rsid w:val="0028508E"/>
    <w:rsid w:val="00285185"/>
    <w:rsid w:val="00285186"/>
    <w:rsid w:val="00285221"/>
    <w:rsid w:val="0028523A"/>
    <w:rsid w:val="00285255"/>
    <w:rsid w:val="002852A3"/>
    <w:rsid w:val="00285316"/>
    <w:rsid w:val="0028538B"/>
    <w:rsid w:val="00285428"/>
    <w:rsid w:val="00285469"/>
    <w:rsid w:val="00285489"/>
    <w:rsid w:val="00285515"/>
    <w:rsid w:val="0028551B"/>
    <w:rsid w:val="00285532"/>
    <w:rsid w:val="002855F9"/>
    <w:rsid w:val="00285639"/>
    <w:rsid w:val="00285663"/>
    <w:rsid w:val="002856C5"/>
    <w:rsid w:val="002856DC"/>
    <w:rsid w:val="00285831"/>
    <w:rsid w:val="00285935"/>
    <w:rsid w:val="00285970"/>
    <w:rsid w:val="0028598F"/>
    <w:rsid w:val="00285992"/>
    <w:rsid w:val="002859EB"/>
    <w:rsid w:val="00285A14"/>
    <w:rsid w:val="00285A41"/>
    <w:rsid w:val="00285A84"/>
    <w:rsid w:val="00285AFA"/>
    <w:rsid w:val="00285B32"/>
    <w:rsid w:val="00285B8D"/>
    <w:rsid w:val="00285BBD"/>
    <w:rsid w:val="00285C74"/>
    <w:rsid w:val="00285C98"/>
    <w:rsid w:val="00285CA3"/>
    <w:rsid w:val="00285CB7"/>
    <w:rsid w:val="00285CD1"/>
    <w:rsid w:val="00285CE2"/>
    <w:rsid w:val="00285D1B"/>
    <w:rsid w:val="00285D29"/>
    <w:rsid w:val="00285D31"/>
    <w:rsid w:val="00285D75"/>
    <w:rsid w:val="00285DE4"/>
    <w:rsid w:val="00285DE8"/>
    <w:rsid w:val="00285EA7"/>
    <w:rsid w:val="00285EA9"/>
    <w:rsid w:val="00285F40"/>
    <w:rsid w:val="00285F8E"/>
    <w:rsid w:val="00285FAB"/>
    <w:rsid w:val="00285FDC"/>
    <w:rsid w:val="00286015"/>
    <w:rsid w:val="00286038"/>
    <w:rsid w:val="0028603C"/>
    <w:rsid w:val="00286090"/>
    <w:rsid w:val="0028609A"/>
    <w:rsid w:val="002860DC"/>
    <w:rsid w:val="00286120"/>
    <w:rsid w:val="002861A3"/>
    <w:rsid w:val="002861C2"/>
    <w:rsid w:val="002861F5"/>
    <w:rsid w:val="002862A4"/>
    <w:rsid w:val="002862B1"/>
    <w:rsid w:val="002862C2"/>
    <w:rsid w:val="00286366"/>
    <w:rsid w:val="002863F5"/>
    <w:rsid w:val="00286402"/>
    <w:rsid w:val="00286441"/>
    <w:rsid w:val="00286462"/>
    <w:rsid w:val="00286493"/>
    <w:rsid w:val="002864B1"/>
    <w:rsid w:val="00286501"/>
    <w:rsid w:val="00286567"/>
    <w:rsid w:val="00286586"/>
    <w:rsid w:val="0028659D"/>
    <w:rsid w:val="002865B7"/>
    <w:rsid w:val="00286638"/>
    <w:rsid w:val="0028664C"/>
    <w:rsid w:val="002866B0"/>
    <w:rsid w:val="002866ED"/>
    <w:rsid w:val="00286707"/>
    <w:rsid w:val="00286799"/>
    <w:rsid w:val="002867F7"/>
    <w:rsid w:val="002868AB"/>
    <w:rsid w:val="002868D2"/>
    <w:rsid w:val="00286933"/>
    <w:rsid w:val="0028698E"/>
    <w:rsid w:val="002869DD"/>
    <w:rsid w:val="00286A10"/>
    <w:rsid w:val="00286A19"/>
    <w:rsid w:val="00286A49"/>
    <w:rsid w:val="00286A61"/>
    <w:rsid w:val="00286A6D"/>
    <w:rsid w:val="00286B79"/>
    <w:rsid w:val="00286C77"/>
    <w:rsid w:val="00286CD4"/>
    <w:rsid w:val="00286CE6"/>
    <w:rsid w:val="00286D73"/>
    <w:rsid w:val="00286D95"/>
    <w:rsid w:val="00286DC5"/>
    <w:rsid w:val="00286DE2"/>
    <w:rsid w:val="00286E31"/>
    <w:rsid w:val="00286E8C"/>
    <w:rsid w:val="00286EA8"/>
    <w:rsid w:val="00286F45"/>
    <w:rsid w:val="00286F53"/>
    <w:rsid w:val="00286F59"/>
    <w:rsid w:val="00286F94"/>
    <w:rsid w:val="00286FFE"/>
    <w:rsid w:val="00287058"/>
    <w:rsid w:val="00287070"/>
    <w:rsid w:val="002871CD"/>
    <w:rsid w:val="002871F1"/>
    <w:rsid w:val="00287208"/>
    <w:rsid w:val="00287292"/>
    <w:rsid w:val="002872AC"/>
    <w:rsid w:val="002872AE"/>
    <w:rsid w:val="0028731B"/>
    <w:rsid w:val="00287362"/>
    <w:rsid w:val="0028739C"/>
    <w:rsid w:val="002873AE"/>
    <w:rsid w:val="002873DB"/>
    <w:rsid w:val="0028740A"/>
    <w:rsid w:val="00287412"/>
    <w:rsid w:val="00287475"/>
    <w:rsid w:val="002874A9"/>
    <w:rsid w:val="002874C6"/>
    <w:rsid w:val="002875C4"/>
    <w:rsid w:val="0028764D"/>
    <w:rsid w:val="0028766C"/>
    <w:rsid w:val="002876BD"/>
    <w:rsid w:val="002876F0"/>
    <w:rsid w:val="00287723"/>
    <w:rsid w:val="0028773A"/>
    <w:rsid w:val="00287744"/>
    <w:rsid w:val="00287792"/>
    <w:rsid w:val="0028781B"/>
    <w:rsid w:val="00287829"/>
    <w:rsid w:val="00287834"/>
    <w:rsid w:val="00287840"/>
    <w:rsid w:val="0028787F"/>
    <w:rsid w:val="0028788B"/>
    <w:rsid w:val="002878D4"/>
    <w:rsid w:val="002878F8"/>
    <w:rsid w:val="002878FD"/>
    <w:rsid w:val="00287972"/>
    <w:rsid w:val="0028799A"/>
    <w:rsid w:val="002879CA"/>
    <w:rsid w:val="00287AFD"/>
    <w:rsid w:val="00287B9F"/>
    <w:rsid w:val="00287BB5"/>
    <w:rsid w:val="00287BCF"/>
    <w:rsid w:val="00287C19"/>
    <w:rsid w:val="00287C30"/>
    <w:rsid w:val="00287C7F"/>
    <w:rsid w:val="00287CA2"/>
    <w:rsid w:val="00287CA5"/>
    <w:rsid w:val="00287CC4"/>
    <w:rsid w:val="00287D16"/>
    <w:rsid w:val="00287D2D"/>
    <w:rsid w:val="00287D69"/>
    <w:rsid w:val="00287D89"/>
    <w:rsid w:val="00287DAA"/>
    <w:rsid w:val="00287E24"/>
    <w:rsid w:val="00287E52"/>
    <w:rsid w:val="00287E73"/>
    <w:rsid w:val="00287EBF"/>
    <w:rsid w:val="00287ED4"/>
    <w:rsid w:val="00287EFE"/>
    <w:rsid w:val="00287F11"/>
    <w:rsid w:val="00287F48"/>
    <w:rsid w:val="00287F6F"/>
    <w:rsid w:val="00290061"/>
    <w:rsid w:val="0029008B"/>
    <w:rsid w:val="002900BA"/>
    <w:rsid w:val="0029012B"/>
    <w:rsid w:val="00290173"/>
    <w:rsid w:val="0029020C"/>
    <w:rsid w:val="00290259"/>
    <w:rsid w:val="002902BF"/>
    <w:rsid w:val="002902F8"/>
    <w:rsid w:val="0029033A"/>
    <w:rsid w:val="00290351"/>
    <w:rsid w:val="00290354"/>
    <w:rsid w:val="00290417"/>
    <w:rsid w:val="00290442"/>
    <w:rsid w:val="00290475"/>
    <w:rsid w:val="00290476"/>
    <w:rsid w:val="00290480"/>
    <w:rsid w:val="002904D3"/>
    <w:rsid w:val="00290546"/>
    <w:rsid w:val="00290554"/>
    <w:rsid w:val="00290561"/>
    <w:rsid w:val="0029057B"/>
    <w:rsid w:val="002905B7"/>
    <w:rsid w:val="0029061E"/>
    <w:rsid w:val="00290685"/>
    <w:rsid w:val="00290729"/>
    <w:rsid w:val="00290798"/>
    <w:rsid w:val="00290856"/>
    <w:rsid w:val="00290868"/>
    <w:rsid w:val="00290872"/>
    <w:rsid w:val="00290894"/>
    <w:rsid w:val="0029093E"/>
    <w:rsid w:val="00290966"/>
    <w:rsid w:val="00290971"/>
    <w:rsid w:val="0029097B"/>
    <w:rsid w:val="002909F6"/>
    <w:rsid w:val="00290A2F"/>
    <w:rsid w:val="00290A43"/>
    <w:rsid w:val="00290A81"/>
    <w:rsid w:val="00290AA7"/>
    <w:rsid w:val="00290B7B"/>
    <w:rsid w:val="00290BF7"/>
    <w:rsid w:val="00290C24"/>
    <w:rsid w:val="00290C28"/>
    <w:rsid w:val="00290D18"/>
    <w:rsid w:val="00290D1A"/>
    <w:rsid w:val="00290DEA"/>
    <w:rsid w:val="00290E0A"/>
    <w:rsid w:val="00290E6C"/>
    <w:rsid w:val="00290E73"/>
    <w:rsid w:val="00290E9A"/>
    <w:rsid w:val="00290ED8"/>
    <w:rsid w:val="00290EDB"/>
    <w:rsid w:val="00290F3A"/>
    <w:rsid w:val="00290F57"/>
    <w:rsid w:val="00290F5B"/>
    <w:rsid w:val="00290F66"/>
    <w:rsid w:val="00290F8A"/>
    <w:rsid w:val="00290FEE"/>
    <w:rsid w:val="00290FF5"/>
    <w:rsid w:val="0029106D"/>
    <w:rsid w:val="00291114"/>
    <w:rsid w:val="00291124"/>
    <w:rsid w:val="00291131"/>
    <w:rsid w:val="0029113A"/>
    <w:rsid w:val="0029113C"/>
    <w:rsid w:val="002911C4"/>
    <w:rsid w:val="00291219"/>
    <w:rsid w:val="0029124E"/>
    <w:rsid w:val="002912C9"/>
    <w:rsid w:val="00291305"/>
    <w:rsid w:val="0029132A"/>
    <w:rsid w:val="00291334"/>
    <w:rsid w:val="002913BD"/>
    <w:rsid w:val="0029142E"/>
    <w:rsid w:val="00291441"/>
    <w:rsid w:val="00291456"/>
    <w:rsid w:val="00291457"/>
    <w:rsid w:val="00291493"/>
    <w:rsid w:val="002914DB"/>
    <w:rsid w:val="00291533"/>
    <w:rsid w:val="002915CC"/>
    <w:rsid w:val="00291616"/>
    <w:rsid w:val="00291633"/>
    <w:rsid w:val="002916A9"/>
    <w:rsid w:val="002916F2"/>
    <w:rsid w:val="00291737"/>
    <w:rsid w:val="0029175C"/>
    <w:rsid w:val="00291780"/>
    <w:rsid w:val="00291786"/>
    <w:rsid w:val="002917A0"/>
    <w:rsid w:val="00291824"/>
    <w:rsid w:val="00291835"/>
    <w:rsid w:val="00291867"/>
    <w:rsid w:val="00291886"/>
    <w:rsid w:val="002918AA"/>
    <w:rsid w:val="002918AD"/>
    <w:rsid w:val="002918CF"/>
    <w:rsid w:val="002918F1"/>
    <w:rsid w:val="00291900"/>
    <w:rsid w:val="00291945"/>
    <w:rsid w:val="00291961"/>
    <w:rsid w:val="002919AD"/>
    <w:rsid w:val="002919EE"/>
    <w:rsid w:val="00291A02"/>
    <w:rsid w:val="00291A97"/>
    <w:rsid w:val="00291ABE"/>
    <w:rsid w:val="00291ACC"/>
    <w:rsid w:val="00291B0B"/>
    <w:rsid w:val="00291B27"/>
    <w:rsid w:val="00291B6C"/>
    <w:rsid w:val="00291BAB"/>
    <w:rsid w:val="00291BB2"/>
    <w:rsid w:val="00291BE3"/>
    <w:rsid w:val="00291C09"/>
    <w:rsid w:val="00291C68"/>
    <w:rsid w:val="00291D86"/>
    <w:rsid w:val="00291DE4"/>
    <w:rsid w:val="00291E31"/>
    <w:rsid w:val="00291E38"/>
    <w:rsid w:val="00291E70"/>
    <w:rsid w:val="00291E9B"/>
    <w:rsid w:val="00291ED9"/>
    <w:rsid w:val="00291F28"/>
    <w:rsid w:val="00291F9A"/>
    <w:rsid w:val="00291FDB"/>
    <w:rsid w:val="00291FE1"/>
    <w:rsid w:val="00291FE4"/>
    <w:rsid w:val="0029201A"/>
    <w:rsid w:val="0029201B"/>
    <w:rsid w:val="0029208D"/>
    <w:rsid w:val="002920DE"/>
    <w:rsid w:val="002920F8"/>
    <w:rsid w:val="0029211F"/>
    <w:rsid w:val="0029217A"/>
    <w:rsid w:val="0029218D"/>
    <w:rsid w:val="002921B3"/>
    <w:rsid w:val="002921FF"/>
    <w:rsid w:val="00292238"/>
    <w:rsid w:val="00292254"/>
    <w:rsid w:val="0029225C"/>
    <w:rsid w:val="00292266"/>
    <w:rsid w:val="0029226F"/>
    <w:rsid w:val="00292272"/>
    <w:rsid w:val="002922E1"/>
    <w:rsid w:val="002922F5"/>
    <w:rsid w:val="00292363"/>
    <w:rsid w:val="00292367"/>
    <w:rsid w:val="00292380"/>
    <w:rsid w:val="002923C2"/>
    <w:rsid w:val="002923D4"/>
    <w:rsid w:val="00292416"/>
    <w:rsid w:val="00292423"/>
    <w:rsid w:val="0029245C"/>
    <w:rsid w:val="0029248E"/>
    <w:rsid w:val="002924C1"/>
    <w:rsid w:val="002924D6"/>
    <w:rsid w:val="00292596"/>
    <w:rsid w:val="00292718"/>
    <w:rsid w:val="0029271D"/>
    <w:rsid w:val="00292774"/>
    <w:rsid w:val="002927DC"/>
    <w:rsid w:val="002927FA"/>
    <w:rsid w:val="00292807"/>
    <w:rsid w:val="0029283B"/>
    <w:rsid w:val="00292884"/>
    <w:rsid w:val="002928D1"/>
    <w:rsid w:val="0029294A"/>
    <w:rsid w:val="00292993"/>
    <w:rsid w:val="002929A1"/>
    <w:rsid w:val="002929D8"/>
    <w:rsid w:val="00292A0F"/>
    <w:rsid w:val="00292AC5"/>
    <w:rsid w:val="00292B36"/>
    <w:rsid w:val="00292B55"/>
    <w:rsid w:val="00292B76"/>
    <w:rsid w:val="00292B7A"/>
    <w:rsid w:val="00292B92"/>
    <w:rsid w:val="00292BE8"/>
    <w:rsid w:val="00292C8D"/>
    <w:rsid w:val="00292C99"/>
    <w:rsid w:val="00292CCF"/>
    <w:rsid w:val="00292D04"/>
    <w:rsid w:val="00292D47"/>
    <w:rsid w:val="00292EA1"/>
    <w:rsid w:val="00292EDB"/>
    <w:rsid w:val="00292F36"/>
    <w:rsid w:val="00292F42"/>
    <w:rsid w:val="00292F55"/>
    <w:rsid w:val="00292F5A"/>
    <w:rsid w:val="00292F93"/>
    <w:rsid w:val="0029303C"/>
    <w:rsid w:val="00293081"/>
    <w:rsid w:val="002930A4"/>
    <w:rsid w:val="002930B9"/>
    <w:rsid w:val="00293117"/>
    <w:rsid w:val="00293183"/>
    <w:rsid w:val="00293227"/>
    <w:rsid w:val="002932A0"/>
    <w:rsid w:val="0029334F"/>
    <w:rsid w:val="0029336A"/>
    <w:rsid w:val="002933BB"/>
    <w:rsid w:val="0029341C"/>
    <w:rsid w:val="0029342B"/>
    <w:rsid w:val="00293439"/>
    <w:rsid w:val="0029343E"/>
    <w:rsid w:val="00293487"/>
    <w:rsid w:val="0029351E"/>
    <w:rsid w:val="002935BC"/>
    <w:rsid w:val="0029360A"/>
    <w:rsid w:val="002936A6"/>
    <w:rsid w:val="002936A7"/>
    <w:rsid w:val="00293727"/>
    <w:rsid w:val="00293785"/>
    <w:rsid w:val="002937AA"/>
    <w:rsid w:val="0029383B"/>
    <w:rsid w:val="002938C7"/>
    <w:rsid w:val="0029390D"/>
    <w:rsid w:val="0029392E"/>
    <w:rsid w:val="0029397D"/>
    <w:rsid w:val="00293992"/>
    <w:rsid w:val="002939AE"/>
    <w:rsid w:val="002939C0"/>
    <w:rsid w:val="002939D0"/>
    <w:rsid w:val="002939F7"/>
    <w:rsid w:val="00293A38"/>
    <w:rsid w:val="00293A48"/>
    <w:rsid w:val="00293B19"/>
    <w:rsid w:val="00293B21"/>
    <w:rsid w:val="00293BA4"/>
    <w:rsid w:val="00293C05"/>
    <w:rsid w:val="00293C36"/>
    <w:rsid w:val="00293CF3"/>
    <w:rsid w:val="00293D51"/>
    <w:rsid w:val="00293D5D"/>
    <w:rsid w:val="00293D6B"/>
    <w:rsid w:val="00293D7D"/>
    <w:rsid w:val="00293DCD"/>
    <w:rsid w:val="00293E16"/>
    <w:rsid w:val="00293E3F"/>
    <w:rsid w:val="00293E8D"/>
    <w:rsid w:val="00293EA1"/>
    <w:rsid w:val="00293F19"/>
    <w:rsid w:val="00293F2D"/>
    <w:rsid w:val="00293F65"/>
    <w:rsid w:val="00293FB3"/>
    <w:rsid w:val="00293FDA"/>
    <w:rsid w:val="00293FF8"/>
    <w:rsid w:val="00293FFF"/>
    <w:rsid w:val="00294026"/>
    <w:rsid w:val="00294082"/>
    <w:rsid w:val="002940A9"/>
    <w:rsid w:val="0029410C"/>
    <w:rsid w:val="002941D0"/>
    <w:rsid w:val="002941D2"/>
    <w:rsid w:val="00294292"/>
    <w:rsid w:val="002942B7"/>
    <w:rsid w:val="0029431C"/>
    <w:rsid w:val="00294347"/>
    <w:rsid w:val="00294385"/>
    <w:rsid w:val="0029438B"/>
    <w:rsid w:val="002943CF"/>
    <w:rsid w:val="002943D0"/>
    <w:rsid w:val="002943E0"/>
    <w:rsid w:val="00294418"/>
    <w:rsid w:val="00294452"/>
    <w:rsid w:val="0029448A"/>
    <w:rsid w:val="002944B2"/>
    <w:rsid w:val="002944C0"/>
    <w:rsid w:val="002944C4"/>
    <w:rsid w:val="00294535"/>
    <w:rsid w:val="0029459F"/>
    <w:rsid w:val="002945BC"/>
    <w:rsid w:val="002945FE"/>
    <w:rsid w:val="00294646"/>
    <w:rsid w:val="0029466F"/>
    <w:rsid w:val="00294673"/>
    <w:rsid w:val="002946C0"/>
    <w:rsid w:val="002946C3"/>
    <w:rsid w:val="00294711"/>
    <w:rsid w:val="0029477F"/>
    <w:rsid w:val="002947EA"/>
    <w:rsid w:val="00294968"/>
    <w:rsid w:val="0029498F"/>
    <w:rsid w:val="002949C3"/>
    <w:rsid w:val="002949C8"/>
    <w:rsid w:val="002949E8"/>
    <w:rsid w:val="002949E9"/>
    <w:rsid w:val="00294A2E"/>
    <w:rsid w:val="00294A58"/>
    <w:rsid w:val="00294A87"/>
    <w:rsid w:val="00294AB6"/>
    <w:rsid w:val="00294B45"/>
    <w:rsid w:val="00294B5B"/>
    <w:rsid w:val="00294B5C"/>
    <w:rsid w:val="00294B9F"/>
    <w:rsid w:val="00294BB6"/>
    <w:rsid w:val="00294BCC"/>
    <w:rsid w:val="00294BCD"/>
    <w:rsid w:val="00294BCF"/>
    <w:rsid w:val="00294BF0"/>
    <w:rsid w:val="00294C0E"/>
    <w:rsid w:val="00294C59"/>
    <w:rsid w:val="00294C71"/>
    <w:rsid w:val="00294D26"/>
    <w:rsid w:val="00294D39"/>
    <w:rsid w:val="00294D4C"/>
    <w:rsid w:val="00294D79"/>
    <w:rsid w:val="00294E53"/>
    <w:rsid w:val="00294E5C"/>
    <w:rsid w:val="00294E90"/>
    <w:rsid w:val="00294ED3"/>
    <w:rsid w:val="00294FD1"/>
    <w:rsid w:val="00294FF6"/>
    <w:rsid w:val="00295087"/>
    <w:rsid w:val="0029509B"/>
    <w:rsid w:val="002950B2"/>
    <w:rsid w:val="0029515A"/>
    <w:rsid w:val="0029517C"/>
    <w:rsid w:val="002951C3"/>
    <w:rsid w:val="002951CB"/>
    <w:rsid w:val="002951E4"/>
    <w:rsid w:val="00295201"/>
    <w:rsid w:val="0029520D"/>
    <w:rsid w:val="00295266"/>
    <w:rsid w:val="00295277"/>
    <w:rsid w:val="002952FE"/>
    <w:rsid w:val="00295326"/>
    <w:rsid w:val="00295338"/>
    <w:rsid w:val="0029535C"/>
    <w:rsid w:val="00295378"/>
    <w:rsid w:val="00295379"/>
    <w:rsid w:val="002953B3"/>
    <w:rsid w:val="002953B9"/>
    <w:rsid w:val="002953BB"/>
    <w:rsid w:val="0029543C"/>
    <w:rsid w:val="00295491"/>
    <w:rsid w:val="002954DF"/>
    <w:rsid w:val="00295515"/>
    <w:rsid w:val="00295532"/>
    <w:rsid w:val="00295563"/>
    <w:rsid w:val="0029561C"/>
    <w:rsid w:val="00295641"/>
    <w:rsid w:val="0029566F"/>
    <w:rsid w:val="0029569B"/>
    <w:rsid w:val="002956B5"/>
    <w:rsid w:val="00295809"/>
    <w:rsid w:val="002958CD"/>
    <w:rsid w:val="002958CF"/>
    <w:rsid w:val="00295900"/>
    <w:rsid w:val="00295926"/>
    <w:rsid w:val="00295962"/>
    <w:rsid w:val="002959A3"/>
    <w:rsid w:val="00295A4A"/>
    <w:rsid w:val="00295A96"/>
    <w:rsid w:val="00295AA1"/>
    <w:rsid w:val="00295ACF"/>
    <w:rsid w:val="00295AF4"/>
    <w:rsid w:val="00295B0F"/>
    <w:rsid w:val="00295B70"/>
    <w:rsid w:val="00295BA2"/>
    <w:rsid w:val="00295BC9"/>
    <w:rsid w:val="00295BF2"/>
    <w:rsid w:val="00295C86"/>
    <w:rsid w:val="00295D71"/>
    <w:rsid w:val="00295DF3"/>
    <w:rsid w:val="00295EE9"/>
    <w:rsid w:val="00295EEF"/>
    <w:rsid w:val="00295F29"/>
    <w:rsid w:val="00295F35"/>
    <w:rsid w:val="00295F44"/>
    <w:rsid w:val="00295F54"/>
    <w:rsid w:val="00295F71"/>
    <w:rsid w:val="00295F72"/>
    <w:rsid w:val="00295F9D"/>
    <w:rsid w:val="00295FAC"/>
    <w:rsid w:val="00296079"/>
    <w:rsid w:val="002960F4"/>
    <w:rsid w:val="00296126"/>
    <w:rsid w:val="00296189"/>
    <w:rsid w:val="002961BD"/>
    <w:rsid w:val="002961E9"/>
    <w:rsid w:val="0029623C"/>
    <w:rsid w:val="0029626B"/>
    <w:rsid w:val="0029627E"/>
    <w:rsid w:val="00296309"/>
    <w:rsid w:val="0029634F"/>
    <w:rsid w:val="002963A7"/>
    <w:rsid w:val="002963B3"/>
    <w:rsid w:val="00296453"/>
    <w:rsid w:val="002964CF"/>
    <w:rsid w:val="002964D1"/>
    <w:rsid w:val="002964E3"/>
    <w:rsid w:val="00296505"/>
    <w:rsid w:val="00296530"/>
    <w:rsid w:val="0029653A"/>
    <w:rsid w:val="0029662D"/>
    <w:rsid w:val="002966F3"/>
    <w:rsid w:val="00296775"/>
    <w:rsid w:val="00296796"/>
    <w:rsid w:val="0029679D"/>
    <w:rsid w:val="002968A6"/>
    <w:rsid w:val="002968D9"/>
    <w:rsid w:val="0029694B"/>
    <w:rsid w:val="0029695F"/>
    <w:rsid w:val="0029697C"/>
    <w:rsid w:val="002969D1"/>
    <w:rsid w:val="002969D8"/>
    <w:rsid w:val="002969DA"/>
    <w:rsid w:val="002969DE"/>
    <w:rsid w:val="00296A2E"/>
    <w:rsid w:val="00296A40"/>
    <w:rsid w:val="00296A7B"/>
    <w:rsid w:val="00296A8C"/>
    <w:rsid w:val="00296AA3"/>
    <w:rsid w:val="00296AFF"/>
    <w:rsid w:val="00296B1D"/>
    <w:rsid w:val="00296B26"/>
    <w:rsid w:val="00296B60"/>
    <w:rsid w:val="00296BF5"/>
    <w:rsid w:val="00296D01"/>
    <w:rsid w:val="00296D2B"/>
    <w:rsid w:val="00296D35"/>
    <w:rsid w:val="00296D6D"/>
    <w:rsid w:val="00296D70"/>
    <w:rsid w:val="00296DC6"/>
    <w:rsid w:val="00296E74"/>
    <w:rsid w:val="00296EC9"/>
    <w:rsid w:val="00296EE8"/>
    <w:rsid w:val="00296EED"/>
    <w:rsid w:val="00296F38"/>
    <w:rsid w:val="00296F3E"/>
    <w:rsid w:val="00296F43"/>
    <w:rsid w:val="00296F55"/>
    <w:rsid w:val="00296FCC"/>
    <w:rsid w:val="00297055"/>
    <w:rsid w:val="0029709E"/>
    <w:rsid w:val="002970D8"/>
    <w:rsid w:val="00297107"/>
    <w:rsid w:val="00297109"/>
    <w:rsid w:val="0029712D"/>
    <w:rsid w:val="00297133"/>
    <w:rsid w:val="0029717A"/>
    <w:rsid w:val="0029719E"/>
    <w:rsid w:val="002971B9"/>
    <w:rsid w:val="002971BC"/>
    <w:rsid w:val="0029722A"/>
    <w:rsid w:val="00297236"/>
    <w:rsid w:val="00297267"/>
    <w:rsid w:val="0029726B"/>
    <w:rsid w:val="002972A7"/>
    <w:rsid w:val="00297321"/>
    <w:rsid w:val="00297329"/>
    <w:rsid w:val="00297338"/>
    <w:rsid w:val="00297355"/>
    <w:rsid w:val="002973AF"/>
    <w:rsid w:val="002973BD"/>
    <w:rsid w:val="0029741F"/>
    <w:rsid w:val="0029743C"/>
    <w:rsid w:val="002974CB"/>
    <w:rsid w:val="002974E3"/>
    <w:rsid w:val="002974F8"/>
    <w:rsid w:val="00297511"/>
    <w:rsid w:val="0029751A"/>
    <w:rsid w:val="00297544"/>
    <w:rsid w:val="00297569"/>
    <w:rsid w:val="0029765D"/>
    <w:rsid w:val="00297665"/>
    <w:rsid w:val="002976FE"/>
    <w:rsid w:val="0029770D"/>
    <w:rsid w:val="00297725"/>
    <w:rsid w:val="00297743"/>
    <w:rsid w:val="00297745"/>
    <w:rsid w:val="0029775B"/>
    <w:rsid w:val="002977EB"/>
    <w:rsid w:val="002977F7"/>
    <w:rsid w:val="002978CF"/>
    <w:rsid w:val="002978D6"/>
    <w:rsid w:val="002979EC"/>
    <w:rsid w:val="00297A5A"/>
    <w:rsid w:val="00297A9A"/>
    <w:rsid w:val="00297ABC"/>
    <w:rsid w:val="00297AF1"/>
    <w:rsid w:val="00297BD0"/>
    <w:rsid w:val="00297BEE"/>
    <w:rsid w:val="00297C42"/>
    <w:rsid w:val="00297C74"/>
    <w:rsid w:val="00297CAA"/>
    <w:rsid w:val="00297CC7"/>
    <w:rsid w:val="00297CD4"/>
    <w:rsid w:val="00297CE2"/>
    <w:rsid w:val="00297D36"/>
    <w:rsid w:val="00297DE7"/>
    <w:rsid w:val="00297E3F"/>
    <w:rsid w:val="00297E70"/>
    <w:rsid w:val="00297E7A"/>
    <w:rsid w:val="00297E98"/>
    <w:rsid w:val="00297F0F"/>
    <w:rsid w:val="00297F2B"/>
    <w:rsid w:val="00297F59"/>
    <w:rsid w:val="00297F85"/>
    <w:rsid w:val="00297FCA"/>
    <w:rsid w:val="002A0012"/>
    <w:rsid w:val="002A0020"/>
    <w:rsid w:val="002A0069"/>
    <w:rsid w:val="002A00A9"/>
    <w:rsid w:val="002A00E4"/>
    <w:rsid w:val="002A01C2"/>
    <w:rsid w:val="002A01E0"/>
    <w:rsid w:val="002A022F"/>
    <w:rsid w:val="002A025B"/>
    <w:rsid w:val="002A034D"/>
    <w:rsid w:val="002A0362"/>
    <w:rsid w:val="002A0486"/>
    <w:rsid w:val="002A04D6"/>
    <w:rsid w:val="002A0524"/>
    <w:rsid w:val="002A0560"/>
    <w:rsid w:val="002A05F2"/>
    <w:rsid w:val="002A0637"/>
    <w:rsid w:val="002A065C"/>
    <w:rsid w:val="002A068B"/>
    <w:rsid w:val="002A06D6"/>
    <w:rsid w:val="002A06E8"/>
    <w:rsid w:val="002A0708"/>
    <w:rsid w:val="002A0723"/>
    <w:rsid w:val="002A074F"/>
    <w:rsid w:val="002A0767"/>
    <w:rsid w:val="002A0788"/>
    <w:rsid w:val="002A0797"/>
    <w:rsid w:val="002A07E5"/>
    <w:rsid w:val="002A0802"/>
    <w:rsid w:val="002A0815"/>
    <w:rsid w:val="002A0828"/>
    <w:rsid w:val="002A0890"/>
    <w:rsid w:val="002A08DE"/>
    <w:rsid w:val="002A090E"/>
    <w:rsid w:val="002A0929"/>
    <w:rsid w:val="002A09BA"/>
    <w:rsid w:val="002A09D8"/>
    <w:rsid w:val="002A0A14"/>
    <w:rsid w:val="002A0A94"/>
    <w:rsid w:val="002A0AAE"/>
    <w:rsid w:val="002A0AB7"/>
    <w:rsid w:val="002A0AC7"/>
    <w:rsid w:val="002A0ACF"/>
    <w:rsid w:val="002A0ADA"/>
    <w:rsid w:val="002A0B74"/>
    <w:rsid w:val="002A0BDF"/>
    <w:rsid w:val="002A0BED"/>
    <w:rsid w:val="002A0C2C"/>
    <w:rsid w:val="002A0CBD"/>
    <w:rsid w:val="002A0CC7"/>
    <w:rsid w:val="002A0CF2"/>
    <w:rsid w:val="002A0D24"/>
    <w:rsid w:val="002A0D2A"/>
    <w:rsid w:val="002A0DD4"/>
    <w:rsid w:val="002A0E93"/>
    <w:rsid w:val="002A0E9B"/>
    <w:rsid w:val="002A0EC5"/>
    <w:rsid w:val="002A0F15"/>
    <w:rsid w:val="002A0F2E"/>
    <w:rsid w:val="002A0F3C"/>
    <w:rsid w:val="002A0F44"/>
    <w:rsid w:val="002A0F4C"/>
    <w:rsid w:val="002A0FFB"/>
    <w:rsid w:val="002A1017"/>
    <w:rsid w:val="002A102A"/>
    <w:rsid w:val="002A10A3"/>
    <w:rsid w:val="002A10DC"/>
    <w:rsid w:val="002A11A4"/>
    <w:rsid w:val="002A11D4"/>
    <w:rsid w:val="002A12A5"/>
    <w:rsid w:val="002A1347"/>
    <w:rsid w:val="002A140A"/>
    <w:rsid w:val="002A1415"/>
    <w:rsid w:val="002A141F"/>
    <w:rsid w:val="002A142A"/>
    <w:rsid w:val="002A1450"/>
    <w:rsid w:val="002A14CC"/>
    <w:rsid w:val="002A14E9"/>
    <w:rsid w:val="002A1559"/>
    <w:rsid w:val="002A1577"/>
    <w:rsid w:val="002A15BD"/>
    <w:rsid w:val="002A15FD"/>
    <w:rsid w:val="002A160A"/>
    <w:rsid w:val="002A16BD"/>
    <w:rsid w:val="002A16D1"/>
    <w:rsid w:val="002A16F8"/>
    <w:rsid w:val="002A1743"/>
    <w:rsid w:val="002A1790"/>
    <w:rsid w:val="002A17AC"/>
    <w:rsid w:val="002A17C5"/>
    <w:rsid w:val="002A17F9"/>
    <w:rsid w:val="002A1802"/>
    <w:rsid w:val="002A1857"/>
    <w:rsid w:val="002A1898"/>
    <w:rsid w:val="002A18A6"/>
    <w:rsid w:val="002A18F6"/>
    <w:rsid w:val="002A18FB"/>
    <w:rsid w:val="002A1937"/>
    <w:rsid w:val="002A1992"/>
    <w:rsid w:val="002A19EE"/>
    <w:rsid w:val="002A19F2"/>
    <w:rsid w:val="002A19FD"/>
    <w:rsid w:val="002A1A4B"/>
    <w:rsid w:val="002A1A85"/>
    <w:rsid w:val="002A1A89"/>
    <w:rsid w:val="002A1A94"/>
    <w:rsid w:val="002A1B0D"/>
    <w:rsid w:val="002A1BFA"/>
    <w:rsid w:val="002A1C2C"/>
    <w:rsid w:val="002A1C30"/>
    <w:rsid w:val="002A1C44"/>
    <w:rsid w:val="002A1C5A"/>
    <w:rsid w:val="002A1CB9"/>
    <w:rsid w:val="002A1CF2"/>
    <w:rsid w:val="002A1D38"/>
    <w:rsid w:val="002A1D6A"/>
    <w:rsid w:val="002A1D81"/>
    <w:rsid w:val="002A1D90"/>
    <w:rsid w:val="002A1F4A"/>
    <w:rsid w:val="002A1F9E"/>
    <w:rsid w:val="002A1FC4"/>
    <w:rsid w:val="002A2028"/>
    <w:rsid w:val="002A2069"/>
    <w:rsid w:val="002A20A9"/>
    <w:rsid w:val="002A2111"/>
    <w:rsid w:val="002A2113"/>
    <w:rsid w:val="002A211B"/>
    <w:rsid w:val="002A2137"/>
    <w:rsid w:val="002A2173"/>
    <w:rsid w:val="002A2207"/>
    <w:rsid w:val="002A223E"/>
    <w:rsid w:val="002A2247"/>
    <w:rsid w:val="002A22D8"/>
    <w:rsid w:val="002A22DB"/>
    <w:rsid w:val="002A2321"/>
    <w:rsid w:val="002A2364"/>
    <w:rsid w:val="002A23CE"/>
    <w:rsid w:val="002A2444"/>
    <w:rsid w:val="002A2529"/>
    <w:rsid w:val="002A252B"/>
    <w:rsid w:val="002A2548"/>
    <w:rsid w:val="002A2580"/>
    <w:rsid w:val="002A25B7"/>
    <w:rsid w:val="002A2601"/>
    <w:rsid w:val="002A2612"/>
    <w:rsid w:val="002A2691"/>
    <w:rsid w:val="002A27A4"/>
    <w:rsid w:val="002A2806"/>
    <w:rsid w:val="002A2843"/>
    <w:rsid w:val="002A285C"/>
    <w:rsid w:val="002A287C"/>
    <w:rsid w:val="002A28B1"/>
    <w:rsid w:val="002A28F8"/>
    <w:rsid w:val="002A2905"/>
    <w:rsid w:val="002A293C"/>
    <w:rsid w:val="002A29D9"/>
    <w:rsid w:val="002A2A03"/>
    <w:rsid w:val="002A2A86"/>
    <w:rsid w:val="002A2ADC"/>
    <w:rsid w:val="002A2AF6"/>
    <w:rsid w:val="002A2B0F"/>
    <w:rsid w:val="002A2B56"/>
    <w:rsid w:val="002A2C68"/>
    <w:rsid w:val="002A2C9A"/>
    <w:rsid w:val="002A2D0A"/>
    <w:rsid w:val="002A2D3F"/>
    <w:rsid w:val="002A2D4D"/>
    <w:rsid w:val="002A2D5B"/>
    <w:rsid w:val="002A2D78"/>
    <w:rsid w:val="002A2D7C"/>
    <w:rsid w:val="002A2D80"/>
    <w:rsid w:val="002A2DCC"/>
    <w:rsid w:val="002A2E8A"/>
    <w:rsid w:val="002A2EAA"/>
    <w:rsid w:val="002A2F28"/>
    <w:rsid w:val="002A2FB9"/>
    <w:rsid w:val="002A2FE3"/>
    <w:rsid w:val="002A2FE7"/>
    <w:rsid w:val="002A3038"/>
    <w:rsid w:val="002A305C"/>
    <w:rsid w:val="002A30C6"/>
    <w:rsid w:val="002A30C8"/>
    <w:rsid w:val="002A30D2"/>
    <w:rsid w:val="002A30F6"/>
    <w:rsid w:val="002A30FD"/>
    <w:rsid w:val="002A31B9"/>
    <w:rsid w:val="002A320C"/>
    <w:rsid w:val="002A32B3"/>
    <w:rsid w:val="002A3315"/>
    <w:rsid w:val="002A3317"/>
    <w:rsid w:val="002A332B"/>
    <w:rsid w:val="002A3366"/>
    <w:rsid w:val="002A33CC"/>
    <w:rsid w:val="002A3428"/>
    <w:rsid w:val="002A344E"/>
    <w:rsid w:val="002A3459"/>
    <w:rsid w:val="002A3461"/>
    <w:rsid w:val="002A349C"/>
    <w:rsid w:val="002A3559"/>
    <w:rsid w:val="002A355D"/>
    <w:rsid w:val="002A35BE"/>
    <w:rsid w:val="002A3607"/>
    <w:rsid w:val="002A3628"/>
    <w:rsid w:val="002A3643"/>
    <w:rsid w:val="002A376C"/>
    <w:rsid w:val="002A3789"/>
    <w:rsid w:val="002A378F"/>
    <w:rsid w:val="002A3796"/>
    <w:rsid w:val="002A3799"/>
    <w:rsid w:val="002A37E5"/>
    <w:rsid w:val="002A3813"/>
    <w:rsid w:val="002A388C"/>
    <w:rsid w:val="002A38BE"/>
    <w:rsid w:val="002A39A6"/>
    <w:rsid w:val="002A39E3"/>
    <w:rsid w:val="002A3A13"/>
    <w:rsid w:val="002A3A39"/>
    <w:rsid w:val="002A3A3C"/>
    <w:rsid w:val="002A3A4B"/>
    <w:rsid w:val="002A3A50"/>
    <w:rsid w:val="002A3A61"/>
    <w:rsid w:val="002A3A7B"/>
    <w:rsid w:val="002A3B08"/>
    <w:rsid w:val="002A3B12"/>
    <w:rsid w:val="002A3B24"/>
    <w:rsid w:val="002A3BD4"/>
    <w:rsid w:val="002A3BFD"/>
    <w:rsid w:val="002A3C83"/>
    <w:rsid w:val="002A3CC5"/>
    <w:rsid w:val="002A3CEF"/>
    <w:rsid w:val="002A3D14"/>
    <w:rsid w:val="002A3D5B"/>
    <w:rsid w:val="002A3E15"/>
    <w:rsid w:val="002A3E98"/>
    <w:rsid w:val="002A3EC7"/>
    <w:rsid w:val="002A3EE7"/>
    <w:rsid w:val="002A3EF2"/>
    <w:rsid w:val="002A3F4B"/>
    <w:rsid w:val="002A3FAD"/>
    <w:rsid w:val="002A3FC5"/>
    <w:rsid w:val="002A3FDE"/>
    <w:rsid w:val="002A3FE3"/>
    <w:rsid w:val="002A4024"/>
    <w:rsid w:val="002A4058"/>
    <w:rsid w:val="002A405C"/>
    <w:rsid w:val="002A4096"/>
    <w:rsid w:val="002A40E6"/>
    <w:rsid w:val="002A413C"/>
    <w:rsid w:val="002A414A"/>
    <w:rsid w:val="002A416B"/>
    <w:rsid w:val="002A4179"/>
    <w:rsid w:val="002A41F8"/>
    <w:rsid w:val="002A421F"/>
    <w:rsid w:val="002A4259"/>
    <w:rsid w:val="002A42B2"/>
    <w:rsid w:val="002A42C0"/>
    <w:rsid w:val="002A42E4"/>
    <w:rsid w:val="002A435A"/>
    <w:rsid w:val="002A4363"/>
    <w:rsid w:val="002A43B1"/>
    <w:rsid w:val="002A4491"/>
    <w:rsid w:val="002A449C"/>
    <w:rsid w:val="002A44A0"/>
    <w:rsid w:val="002A44E8"/>
    <w:rsid w:val="002A4516"/>
    <w:rsid w:val="002A4550"/>
    <w:rsid w:val="002A45A8"/>
    <w:rsid w:val="002A45AB"/>
    <w:rsid w:val="002A45FE"/>
    <w:rsid w:val="002A4654"/>
    <w:rsid w:val="002A4660"/>
    <w:rsid w:val="002A46AF"/>
    <w:rsid w:val="002A46C7"/>
    <w:rsid w:val="002A46E3"/>
    <w:rsid w:val="002A475C"/>
    <w:rsid w:val="002A475F"/>
    <w:rsid w:val="002A4858"/>
    <w:rsid w:val="002A4909"/>
    <w:rsid w:val="002A491E"/>
    <w:rsid w:val="002A492D"/>
    <w:rsid w:val="002A4941"/>
    <w:rsid w:val="002A4958"/>
    <w:rsid w:val="002A49CA"/>
    <w:rsid w:val="002A49E4"/>
    <w:rsid w:val="002A4AAD"/>
    <w:rsid w:val="002A4AED"/>
    <w:rsid w:val="002A4B26"/>
    <w:rsid w:val="002A4B63"/>
    <w:rsid w:val="002A4BCD"/>
    <w:rsid w:val="002A4BF6"/>
    <w:rsid w:val="002A4C5D"/>
    <w:rsid w:val="002A4C76"/>
    <w:rsid w:val="002A4CA0"/>
    <w:rsid w:val="002A4CE8"/>
    <w:rsid w:val="002A4D63"/>
    <w:rsid w:val="002A4D6D"/>
    <w:rsid w:val="002A4DA3"/>
    <w:rsid w:val="002A4DC9"/>
    <w:rsid w:val="002A4DDD"/>
    <w:rsid w:val="002A4E87"/>
    <w:rsid w:val="002A4ED0"/>
    <w:rsid w:val="002A4F89"/>
    <w:rsid w:val="002A4F98"/>
    <w:rsid w:val="002A4F99"/>
    <w:rsid w:val="002A4FA5"/>
    <w:rsid w:val="002A4FB3"/>
    <w:rsid w:val="002A4FCB"/>
    <w:rsid w:val="002A503B"/>
    <w:rsid w:val="002A5049"/>
    <w:rsid w:val="002A504C"/>
    <w:rsid w:val="002A507C"/>
    <w:rsid w:val="002A50A4"/>
    <w:rsid w:val="002A50AA"/>
    <w:rsid w:val="002A50B4"/>
    <w:rsid w:val="002A50E9"/>
    <w:rsid w:val="002A50EA"/>
    <w:rsid w:val="002A50EF"/>
    <w:rsid w:val="002A50FD"/>
    <w:rsid w:val="002A519B"/>
    <w:rsid w:val="002A523F"/>
    <w:rsid w:val="002A524B"/>
    <w:rsid w:val="002A526A"/>
    <w:rsid w:val="002A52B5"/>
    <w:rsid w:val="002A52E7"/>
    <w:rsid w:val="002A5321"/>
    <w:rsid w:val="002A5325"/>
    <w:rsid w:val="002A5376"/>
    <w:rsid w:val="002A53AA"/>
    <w:rsid w:val="002A53DB"/>
    <w:rsid w:val="002A543B"/>
    <w:rsid w:val="002A546D"/>
    <w:rsid w:val="002A547A"/>
    <w:rsid w:val="002A5486"/>
    <w:rsid w:val="002A551C"/>
    <w:rsid w:val="002A558D"/>
    <w:rsid w:val="002A55D9"/>
    <w:rsid w:val="002A561E"/>
    <w:rsid w:val="002A56B1"/>
    <w:rsid w:val="002A5729"/>
    <w:rsid w:val="002A5734"/>
    <w:rsid w:val="002A5745"/>
    <w:rsid w:val="002A5785"/>
    <w:rsid w:val="002A57B1"/>
    <w:rsid w:val="002A57C8"/>
    <w:rsid w:val="002A57D6"/>
    <w:rsid w:val="002A57E8"/>
    <w:rsid w:val="002A5826"/>
    <w:rsid w:val="002A5857"/>
    <w:rsid w:val="002A5896"/>
    <w:rsid w:val="002A58C5"/>
    <w:rsid w:val="002A5932"/>
    <w:rsid w:val="002A59B2"/>
    <w:rsid w:val="002A59C8"/>
    <w:rsid w:val="002A59E4"/>
    <w:rsid w:val="002A5A92"/>
    <w:rsid w:val="002A5AAD"/>
    <w:rsid w:val="002A5ACE"/>
    <w:rsid w:val="002A5B1D"/>
    <w:rsid w:val="002A5B2D"/>
    <w:rsid w:val="002A5BAF"/>
    <w:rsid w:val="002A5BC1"/>
    <w:rsid w:val="002A5BC8"/>
    <w:rsid w:val="002A5BFE"/>
    <w:rsid w:val="002A5C16"/>
    <w:rsid w:val="002A5C43"/>
    <w:rsid w:val="002A5CAF"/>
    <w:rsid w:val="002A5CB5"/>
    <w:rsid w:val="002A5CEB"/>
    <w:rsid w:val="002A5CF8"/>
    <w:rsid w:val="002A5D08"/>
    <w:rsid w:val="002A5D71"/>
    <w:rsid w:val="002A5D80"/>
    <w:rsid w:val="002A5D97"/>
    <w:rsid w:val="002A5E0D"/>
    <w:rsid w:val="002A5E31"/>
    <w:rsid w:val="002A5E5A"/>
    <w:rsid w:val="002A5E5C"/>
    <w:rsid w:val="002A5E6D"/>
    <w:rsid w:val="002A5E71"/>
    <w:rsid w:val="002A5E8B"/>
    <w:rsid w:val="002A5FC2"/>
    <w:rsid w:val="002A5FC5"/>
    <w:rsid w:val="002A6035"/>
    <w:rsid w:val="002A608B"/>
    <w:rsid w:val="002A609E"/>
    <w:rsid w:val="002A60A6"/>
    <w:rsid w:val="002A6174"/>
    <w:rsid w:val="002A61A9"/>
    <w:rsid w:val="002A61D1"/>
    <w:rsid w:val="002A622E"/>
    <w:rsid w:val="002A625A"/>
    <w:rsid w:val="002A627A"/>
    <w:rsid w:val="002A62A0"/>
    <w:rsid w:val="002A62CC"/>
    <w:rsid w:val="002A6352"/>
    <w:rsid w:val="002A63CE"/>
    <w:rsid w:val="002A63FE"/>
    <w:rsid w:val="002A642D"/>
    <w:rsid w:val="002A644C"/>
    <w:rsid w:val="002A6456"/>
    <w:rsid w:val="002A6536"/>
    <w:rsid w:val="002A65A6"/>
    <w:rsid w:val="002A6723"/>
    <w:rsid w:val="002A675E"/>
    <w:rsid w:val="002A6794"/>
    <w:rsid w:val="002A67A1"/>
    <w:rsid w:val="002A6830"/>
    <w:rsid w:val="002A6832"/>
    <w:rsid w:val="002A687E"/>
    <w:rsid w:val="002A68D5"/>
    <w:rsid w:val="002A6966"/>
    <w:rsid w:val="002A6982"/>
    <w:rsid w:val="002A698C"/>
    <w:rsid w:val="002A69DD"/>
    <w:rsid w:val="002A6A61"/>
    <w:rsid w:val="002A6AF1"/>
    <w:rsid w:val="002A6B5B"/>
    <w:rsid w:val="002A6B7A"/>
    <w:rsid w:val="002A6BD6"/>
    <w:rsid w:val="002A6C30"/>
    <w:rsid w:val="002A6C6D"/>
    <w:rsid w:val="002A6C73"/>
    <w:rsid w:val="002A6CB1"/>
    <w:rsid w:val="002A6CCC"/>
    <w:rsid w:val="002A6D00"/>
    <w:rsid w:val="002A6DB1"/>
    <w:rsid w:val="002A6DC8"/>
    <w:rsid w:val="002A6DDA"/>
    <w:rsid w:val="002A6DEF"/>
    <w:rsid w:val="002A6DF1"/>
    <w:rsid w:val="002A6E06"/>
    <w:rsid w:val="002A6E27"/>
    <w:rsid w:val="002A6E46"/>
    <w:rsid w:val="002A6F4E"/>
    <w:rsid w:val="002A6F6D"/>
    <w:rsid w:val="002A6F8A"/>
    <w:rsid w:val="002A700D"/>
    <w:rsid w:val="002A701A"/>
    <w:rsid w:val="002A70CA"/>
    <w:rsid w:val="002A70DC"/>
    <w:rsid w:val="002A70F0"/>
    <w:rsid w:val="002A7146"/>
    <w:rsid w:val="002A7150"/>
    <w:rsid w:val="002A715B"/>
    <w:rsid w:val="002A7168"/>
    <w:rsid w:val="002A7199"/>
    <w:rsid w:val="002A7247"/>
    <w:rsid w:val="002A72CF"/>
    <w:rsid w:val="002A72E9"/>
    <w:rsid w:val="002A72EE"/>
    <w:rsid w:val="002A7327"/>
    <w:rsid w:val="002A734B"/>
    <w:rsid w:val="002A73BD"/>
    <w:rsid w:val="002A7470"/>
    <w:rsid w:val="002A74A7"/>
    <w:rsid w:val="002A74B1"/>
    <w:rsid w:val="002A74C0"/>
    <w:rsid w:val="002A74F8"/>
    <w:rsid w:val="002A7501"/>
    <w:rsid w:val="002A7502"/>
    <w:rsid w:val="002A755D"/>
    <w:rsid w:val="002A75C0"/>
    <w:rsid w:val="002A75F1"/>
    <w:rsid w:val="002A764B"/>
    <w:rsid w:val="002A7655"/>
    <w:rsid w:val="002A766F"/>
    <w:rsid w:val="002A7683"/>
    <w:rsid w:val="002A76C8"/>
    <w:rsid w:val="002A76EB"/>
    <w:rsid w:val="002A76FE"/>
    <w:rsid w:val="002A7734"/>
    <w:rsid w:val="002A7770"/>
    <w:rsid w:val="002A778E"/>
    <w:rsid w:val="002A77AD"/>
    <w:rsid w:val="002A77E0"/>
    <w:rsid w:val="002A77F1"/>
    <w:rsid w:val="002A7848"/>
    <w:rsid w:val="002A78CB"/>
    <w:rsid w:val="002A78EB"/>
    <w:rsid w:val="002A7927"/>
    <w:rsid w:val="002A7942"/>
    <w:rsid w:val="002A795F"/>
    <w:rsid w:val="002A7A56"/>
    <w:rsid w:val="002A7AD6"/>
    <w:rsid w:val="002A7AE5"/>
    <w:rsid w:val="002A7AE6"/>
    <w:rsid w:val="002A7AE7"/>
    <w:rsid w:val="002A7B27"/>
    <w:rsid w:val="002A7B4E"/>
    <w:rsid w:val="002A7B6C"/>
    <w:rsid w:val="002A7B8B"/>
    <w:rsid w:val="002A7B8C"/>
    <w:rsid w:val="002A7B93"/>
    <w:rsid w:val="002A7CBF"/>
    <w:rsid w:val="002A7CEA"/>
    <w:rsid w:val="002A7D72"/>
    <w:rsid w:val="002A7D8A"/>
    <w:rsid w:val="002A7DD2"/>
    <w:rsid w:val="002A7E07"/>
    <w:rsid w:val="002A7E46"/>
    <w:rsid w:val="002A7E47"/>
    <w:rsid w:val="002A7E51"/>
    <w:rsid w:val="002A7EE4"/>
    <w:rsid w:val="002A7F0E"/>
    <w:rsid w:val="002A7F23"/>
    <w:rsid w:val="002A7FDD"/>
    <w:rsid w:val="002B000F"/>
    <w:rsid w:val="002B0027"/>
    <w:rsid w:val="002B0088"/>
    <w:rsid w:val="002B0198"/>
    <w:rsid w:val="002B01B4"/>
    <w:rsid w:val="002B01CE"/>
    <w:rsid w:val="002B01E3"/>
    <w:rsid w:val="002B024F"/>
    <w:rsid w:val="002B0275"/>
    <w:rsid w:val="002B02A2"/>
    <w:rsid w:val="002B02DA"/>
    <w:rsid w:val="002B02E2"/>
    <w:rsid w:val="002B033C"/>
    <w:rsid w:val="002B03D5"/>
    <w:rsid w:val="002B047A"/>
    <w:rsid w:val="002B04BF"/>
    <w:rsid w:val="002B0513"/>
    <w:rsid w:val="002B0561"/>
    <w:rsid w:val="002B06D0"/>
    <w:rsid w:val="002B06DD"/>
    <w:rsid w:val="002B06E7"/>
    <w:rsid w:val="002B06F9"/>
    <w:rsid w:val="002B073D"/>
    <w:rsid w:val="002B07CD"/>
    <w:rsid w:val="002B0818"/>
    <w:rsid w:val="002B082F"/>
    <w:rsid w:val="002B0833"/>
    <w:rsid w:val="002B0917"/>
    <w:rsid w:val="002B0A6E"/>
    <w:rsid w:val="002B0A88"/>
    <w:rsid w:val="002B0AC3"/>
    <w:rsid w:val="002B0ACF"/>
    <w:rsid w:val="002B0B35"/>
    <w:rsid w:val="002B0B91"/>
    <w:rsid w:val="002B0BD0"/>
    <w:rsid w:val="002B0BE9"/>
    <w:rsid w:val="002B0C83"/>
    <w:rsid w:val="002B0CB0"/>
    <w:rsid w:val="002B0CF1"/>
    <w:rsid w:val="002B0D11"/>
    <w:rsid w:val="002B0D3B"/>
    <w:rsid w:val="002B0D5D"/>
    <w:rsid w:val="002B0D7C"/>
    <w:rsid w:val="002B0D88"/>
    <w:rsid w:val="002B0E32"/>
    <w:rsid w:val="002B0E47"/>
    <w:rsid w:val="002B0E9A"/>
    <w:rsid w:val="002B0EC8"/>
    <w:rsid w:val="002B0F03"/>
    <w:rsid w:val="002B0F0C"/>
    <w:rsid w:val="002B0F39"/>
    <w:rsid w:val="002B0F5D"/>
    <w:rsid w:val="002B0FE5"/>
    <w:rsid w:val="002B0FF7"/>
    <w:rsid w:val="002B101F"/>
    <w:rsid w:val="002B108C"/>
    <w:rsid w:val="002B10DC"/>
    <w:rsid w:val="002B10F8"/>
    <w:rsid w:val="002B111C"/>
    <w:rsid w:val="002B11CD"/>
    <w:rsid w:val="002B1205"/>
    <w:rsid w:val="002B125E"/>
    <w:rsid w:val="002B1270"/>
    <w:rsid w:val="002B12A4"/>
    <w:rsid w:val="002B12DD"/>
    <w:rsid w:val="002B1314"/>
    <w:rsid w:val="002B1318"/>
    <w:rsid w:val="002B133F"/>
    <w:rsid w:val="002B13B3"/>
    <w:rsid w:val="002B14A2"/>
    <w:rsid w:val="002B14A9"/>
    <w:rsid w:val="002B1510"/>
    <w:rsid w:val="002B153B"/>
    <w:rsid w:val="002B158D"/>
    <w:rsid w:val="002B15A1"/>
    <w:rsid w:val="002B15B0"/>
    <w:rsid w:val="002B15C4"/>
    <w:rsid w:val="002B15EF"/>
    <w:rsid w:val="002B1607"/>
    <w:rsid w:val="002B1625"/>
    <w:rsid w:val="002B1631"/>
    <w:rsid w:val="002B1662"/>
    <w:rsid w:val="002B16DC"/>
    <w:rsid w:val="002B16F1"/>
    <w:rsid w:val="002B1774"/>
    <w:rsid w:val="002B17F6"/>
    <w:rsid w:val="002B1838"/>
    <w:rsid w:val="002B1843"/>
    <w:rsid w:val="002B186B"/>
    <w:rsid w:val="002B1896"/>
    <w:rsid w:val="002B18D0"/>
    <w:rsid w:val="002B190E"/>
    <w:rsid w:val="002B1987"/>
    <w:rsid w:val="002B19A9"/>
    <w:rsid w:val="002B1AA1"/>
    <w:rsid w:val="002B1AB6"/>
    <w:rsid w:val="002B1ADB"/>
    <w:rsid w:val="002B1AE5"/>
    <w:rsid w:val="002B1B08"/>
    <w:rsid w:val="002B1B0C"/>
    <w:rsid w:val="002B1B5E"/>
    <w:rsid w:val="002B1BA7"/>
    <w:rsid w:val="002B1BE2"/>
    <w:rsid w:val="002B1BF6"/>
    <w:rsid w:val="002B1C42"/>
    <w:rsid w:val="002B1CC5"/>
    <w:rsid w:val="002B1CED"/>
    <w:rsid w:val="002B1D18"/>
    <w:rsid w:val="002B1D9B"/>
    <w:rsid w:val="002B1D9F"/>
    <w:rsid w:val="002B1DD8"/>
    <w:rsid w:val="002B1DED"/>
    <w:rsid w:val="002B1DF1"/>
    <w:rsid w:val="002B1E04"/>
    <w:rsid w:val="002B1E1E"/>
    <w:rsid w:val="002B1E2F"/>
    <w:rsid w:val="002B1E4F"/>
    <w:rsid w:val="002B1EA3"/>
    <w:rsid w:val="002B1EC0"/>
    <w:rsid w:val="002B1EF8"/>
    <w:rsid w:val="002B1F16"/>
    <w:rsid w:val="002B1FA3"/>
    <w:rsid w:val="002B1FBE"/>
    <w:rsid w:val="002B1FE4"/>
    <w:rsid w:val="002B1FF5"/>
    <w:rsid w:val="002B1FF9"/>
    <w:rsid w:val="002B2017"/>
    <w:rsid w:val="002B20EB"/>
    <w:rsid w:val="002B212B"/>
    <w:rsid w:val="002B212F"/>
    <w:rsid w:val="002B214D"/>
    <w:rsid w:val="002B217C"/>
    <w:rsid w:val="002B2194"/>
    <w:rsid w:val="002B222D"/>
    <w:rsid w:val="002B2262"/>
    <w:rsid w:val="002B2299"/>
    <w:rsid w:val="002B22C6"/>
    <w:rsid w:val="002B2330"/>
    <w:rsid w:val="002B233B"/>
    <w:rsid w:val="002B2379"/>
    <w:rsid w:val="002B2437"/>
    <w:rsid w:val="002B244E"/>
    <w:rsid w:val="002B247C"/>
    <w:rsid w:val="002B2486"/>
    <w:rsid w:val="002B24BE"/>
    <w:rsid w:val="002B2515"/>
    <w:rsid w:val="002B2530"/>
    <w:rsid w:val="002B25E1"/>
    <w:rsid w:val="002B2622"/>
    <w:rsid w:val="002B263C"/>
    <w:rsid w:val="002B2680"/>
    <w:rsid w:val="002B26CD"/>
    <w:rsid w:val="002B2703"/>
    <w:rsid w:val="002B2746"/>
    <w:rsid w:val="002B27B1"/>
    <w:rsid w:val="002B27CC"/>
    <w:rsid w:val="002B27D8"/>
    <w:rsid w:val="002B2802"/>
    <w:rsid w:val="002B2877"/>
    <w:rsid w:val="002B297B"/>
    <w:rsid w:val="002B2995"/>
    <w:rsid w:val="002B2A07"/>
    <w:rsid w:val="002B2A12"/>
    <w:rsid w:val="002B2A28"/>
    <w:rsid w:val="002B2A4D"/>
    <w:rsid w:val="002B2A50"/>
    <w:rsid w:val="002B2AEA"/>
    <w:rsid w:val="002B2B0A"/>
    <w:rsid w:val="002B2B3A"/>
    <w:rsid w:val="002B2BEF"/>
    <w:rsid w:val="002B2C14"/>
    <w:rsid w:val="002B2C81"/>
    <w:rsid w:val="002B2DD1"/>
    <w:rsid w:val="002B2E0F"/>
    <w:rsid w:val="002B2E41"/>
    <w:rsid w:val="002B2E47"/>
    <w:rsid w:val="002B2ED0"/>
    <w:rsid w:val="002B2EF1"/>
    <w:rsid w:val="002B2F37"/>
    <w:rsid w:val="002B2F5E"/>
    <w:rsid w:val="002B2F66"/>
    <w:rsid w:val="002B2F9C"/>
    <w:rsid w:val="002B2FA1"/>
    <w:rsid w:val="002B2FF0"/>
    <w:rsid w:val="002B302F"/>
    <w:rsid w:val="002B30FA"/>
    <w:rsid w:val="002B310D"/>
    <w:rsid w:val="002B313C"/>
    <w:rsid w:val="002B31C7"/>
    <w:rsid w:val="002B31EA"/>
    <w:rsid w:val="002B3252"/>
    <w:rsid w:val="002B3271"/>
    <w:rsid w:val="002B3310"/>
    <w:rsid w:val="002B3355"/>
    <w:rsid w:val="002B3380"/>
    <w:rsid w:val="002B3406"/>
    <w:rsid w:val="002B340E"/>
    <w:rsid w:val="002B34AE"/>
    <w:rsid w:val="002B34C0"/>
    <w:rsid w:val="002B34F9"/>
    <w:rsid w:val="002B356E"/>
    <w:rsid w:val="002B358F"/>
    <w:rsid w:val="002B35DB"/>
    <w:rsid w:val="002B369F"/>
    <w:rsid w:val="002B36E4"/>
    <w:rsid w:val="002B3783"/>
    <w:rsid w:val="002B378D"/>
    <w:rsid w:val="002B37D1"/>
    <w:rsid w:val="002B37F7"/>
    <w:rsid w:val="002B3810"/>
    <w:rsid w:val="002B38C8"/>
    <w:rsid w:val="002B38FB"/>
    <w:rsid w:val="002B39A2"/>
    <w:rsid w:val="002B39E1"/>
    <w:rsid w:val="002B39E6"/>
    <w:rsid w:val="002B3AAA"/>
    <w:rsid w:val="002B3BB7"/>
    <w:rsid w:val="002B3C22"/>
    <w:rsid w:val="002B3C2E"/>
    <w:rsid w:val="002B3D1D"/>
    <w:rsid w:val="002B3D3B"/>
    <w:rsid w:val="002B3D50"/>
    <w:rsid w:val="002B3D70"/>
    <w:rsid w:val="002B3D7A"/>
    <w:rsid w:val="002B3D99"/>
    <w:rsid w:val="002B3DF7"/>
    <w:rsid w:val="002B3E72"/>
    <w:rsid w:val="002B3E78"/>
    <w:rsid w:val="002B3E7C"/>
    <w:rsid w:val="002B3E7D"/>
    <w:rsid w:val="002B3FB9"/>
    <w:rsid w:val="002B4044"/>
    <w:rsid w:val="002B4081"/>
    <w:rsid w:val="002B4083"/>
    <w:rsid w:val="002B408E"/>
    <w:rsid w:val="002B40A0"/>
    <w:rsid w:val="002B410B"/>
    <w:rsid w:val="002B413D"/>
    <w:rsid w:val="002B41A7"/>
    <w:rsid w:val="002B41AE"/>
    <w:rsid w:val="002B41F3"/>
    <w:rsid w:val="002B42EF"/>
    <w:rsid w:val="002B43DC"/>
    <w:rsid w:val="002B43E4"/>
    <w:rsid w:val="002B4400"/>
    <w:rsid w:val="002B4451"/>
    <w:rsid w:val="002B4468"/>
    <w:rsid w:val="002B4479"/>
    <w:rsid w:val="002B4499"/>
    <w:rsid w:val="002B44F6"/>
    <w:rsid w:val="002B4509"/>
    <w:rsid w:val="002B4532"/>
    <w:rsid w:val="002B45C9"/>
    <w:rsid w:val="002B460E"/>
    <w:rsid w:val="002B461E"/>
    <w:rsid w:val="002B465E"/>
    <w:rsid w:val="002B4660"/>
    <w:rsid w:val="002B4698"/>
    <w:rsid w:val="002B4738"/>
    <w:rsid w:val="002B4743"/>
    <w:rsid w:val="002B475D"/>
    <w:rsid w:val="002B4777"/>
    <w:rsid w:val="002B479B"/>
    <w:rsid w:val="002B47AD"/>
    <w:rsid w:val="002B47ED"/>
    <w:rsid w:val="002B4852"/>
    <w:rsid w:val="002B48D1"/>
    <w:rsid w:val="002B48D4"/>
    <w:rsid w:val="002B48DC"/>
    <w:rsid w:val="002B492B"/>
    <w:rsid w:val="002B4979"/>
    <w:rsid w:val="002B4983"/>
    <w:rsid w:val="002B4995"/>
    <w:rsid w:val="002B49A1"/>
    <w:rsid w:val="002B4A39"/>
    <w:rsid w:val="002B4ACE"/>
    <w:rsid w:val="002B4AE5"/>
    <w:rsid w:val="002B4B19"/>
    <w:rsid w:val="002B4B45"/>
    <w:rsid w:val="002B4C23"/>
    <w:rsid w:val="002B4C4A"/>
    <w:rsid w:val="002B4CCD"/>
    <w:rsid w:val="002B4CDB"/>
    <w:rsid w:val="002B4CF9"/>
    <w:rsid w:val="002B4D0C"/>
    <w:rsid w:val="002B4D1B"/>
    <w:rsid w:val="002B4DC0"/>
    <w:rsid w:val="002B4DDD"/>
    <w:rsid w:val="002B4DE8"/>
    <w:rsid w:val="002B4E36"/>
    <w:rsid w:val="002B4E99"/>
    <w:rsid w:val="002B4EB5"/>
    <w:rsid w:val="002B4FF7"/>
    <w:rsid w:val="002B4FFD"/>
    <w:rsid w:val="002B5041"/>
    <w:rsid w:val="002B5064"/>
    <w:rsid w:val="002B5073"/>
    <w:rsid w:val="002B5089"/>
    <w:rsid w:val="002B50BA"/>
    <w:rsid w:val="002B50EB"/>
    <w:rsid w:val="002B5126"/>
    <w:rsid w:val="002B518E"/>
    <w:rsid w:val="002B51A7"/>
    <w:rsid w:val="002B51D6"/>
    <w:rsid w:val="002B5248"/>
    <w:rsid w:val="002B5272"/>
    <w:rsid w:val="002B52FF"/>
    <w:rsid w:val="002B530A"/>
    <w:rsid w:val="002B531F"/>
    <w:rsid w:val="002B5383"/>
    <w:rsid w:val="002B5389"/>
    <w:rsid w:val="002B53C6"/>
    <w:rsid w:val="002B53C7"/>
    <w:rsid w:val="002B5446"/>
    <w:rsid w:val="002B545B"/>
    <w:rsid w:val="002B552A"/>
    <w:rsid w:val="002B554E"/>
    <w:rsid w:val="002B55F1"/>
    <w:rsid w:val="002B55FA"/>
    <w:rsid w:val="002B5612"/>
    <w:rsid w:val="002B5615"/>
    <w:rsid w:val="002B5626"/>
    <w:rsid w:val="002B5641"/>
    <w:rsid w:val="002B566F"/>
    <w:rsid w:val="002B5717"/>
    <w:rsid w:val="002B5759"/>
    <w:rsid w:val="002B5811"/>
    <w:rsid w:val="002B5836"/>
    <w:rsid w:val="002B5896"/>
    <w:rsid w:val="002B5971"/>
    <w:rsid w:val="002B5993"/>
    <w:rsid w:val="002B5A39"/>
    <w:rsid w:val="002B5A88"/>
    <w:rsid w:val="002B5A94"/>
    <w:rsid w:val="002B5B22"/>
    <w:rsid w:val="002B5B66"/>
    <w:rsid w:val="002B5B8F"/>
    <w:rsid w:val="002B5B97"/>
    <w:rsid w:val="002B5BA0"/>
    <w:rsid w:val="002B5BDD"/>
    <w:rsid w:val="002B5C32"/>
    <w:rsid w:val="002B5C48"/>
    <w:rsid w:val="002B5C62"/>
    <w:rsid w:val="002B5C7F"/>
    <w:rsid w:val="002B5C8C"/>
    <w:rsid w:val="002B5CD5"/>
    <w:rsid w:val="002B5CE1"/>
    <w:rsid w:val="002B5D08"/>
    <w:rsid w:val="002B5D2B"/>
    <w:rsid w:val="002B5D5F"/>
    <w:rsid w:val="002B5DE5"/>
    <w:rsid w:val="002B5E40"/>
    <w:rsid w:val="002B5F17"/>
    <w:rsid w:val="002B5F3C"/>
    <w:rsid w:val="002B5F48"/>
    <w:rsid w:val="002B5F70"/>
    <w:rsid w:val="002B5FD5"/>
    <w:rsid w:val="002B6011"/>
    <w:rsid w:val="002B608F"/>
    <w:rsid w:val="002B60F4"/>
    <w:rsid w:val="002B6104"/>
    <w:rsid w:val="002B6149"/>
    <w:rsid w:val="002B614D"/>
    <w:rsid w:val="002B61AC"/>
    <w:rsid w:val="002B6208"/>
    <w:rsid w:val="002B6255"/>
    <w:rsid w:val="002B6289"/>
    <w:rsid w:val="002B629C"/>
    <w:rsid w:val="002B62B8"/>
    <w:rsid w:val="002B6456"/>
    <w:rsid w:val="002B64B5"/>
    <w:rsid w:val="002B6524"/>
    <w:rsid w:val="002B6587"/>
    <w:rsid w:val="002B65CB"/>
    <w:rsid w:val="002B65D5"/>
    <w:rsid w:val="002B6621"/>
    <w:rsid w:val="002B6645"/>
    <w:rsid w:val="002B6646"/>
    <w:rsid w:val="002B669F"/>
    <w:rsid w:val="002B671C"/>
    <w:rsid w:val="002B6795"/>
    <w:rsid w:val="002B67B1"/>
    <w:rsid w:val="002B67BA"/>
    <w:rsid w:val="002B67E5"/>
    <w:rsid w:val="002B6909"/>
    <w:rsid w:val="002B6971"/>
    <w:rsid w:val="002B6976"/>
    <w:rsid w:val="002B69B1"/>
    <w:rsid w:val="002B6A35"/>
    <w:rsid w:val="002B6A84"/>
    <w:rsid w:val="002B6ACF"/>
    <w:rsid w:val="002B6AD9"/>
    <w:rsid w:val="002B6B38"/>
    <w:rsid w:val="002B6B4C"/>
    <w:rsid w:val="002B6BB1"/>
    <w:rsid w:val="002B6BB6"/>
    <w:rsid w:val="002B6BC5"/>
    <w:rsid w:val="002B6BCA"/>
    <w:rsid w:val="002B6BD7"/>
    <w:rsid w:val="002B6BDF"/>
    <w:rsid w:val="002B6C0A"/>
    <w:rsid w:val="002B6C0B"/>
    <w:rsid w:val="002B6C4E"/>
    <w:rsid w:val="002B6CD4"/>
    <w:rsid w:val="002B6CE9"/>
    <w:rsid w:val="002B6CFA"/>
    <w:rsid w:val="002B6D50"/>
    <w:rsid w:val="002B6D5B"/>
    <w:rsid w:val="002B6D93"/>
    <w:rsid w:val="002B6E21"/>
    <w:rsid w:val="002B6E77"/>
    <w:rsid w:val="002B6EFC"/>
    <w:rsid w:val="002B6F3E"/>
    <w:rsid w:val="002B6F53"/>
    <w:rsid w:val="002B6FB9"/>
    <w:rsid w:val="002B702F"/>
    <w:rsid w:val="002B70B8"/>
    <w:rsid w:val="002B70D3"/>
    <w:rsid w:val="002B7113"/>
    <w:rsid w:val="002B7175"/>
    <w:rsid w:val="002B71A3"/>
    <w:rsid w:val="002B7269"/>
    <w:rsid w:val="002B7281"/>
    <w:rsid w:val="002B72FA"/>
    <w:rsid w:val="002B7344"/>
    <w:rsid w:val="002B7380"/>
    <w:rsid w:val="002B73F3"/>
    <w:rsid w:val="002B7439"/>
    <w:rsid w:val="002B7455"/>
    <w:rsid w:val="002B74A8"/>
    <w:rsid w:val="002B7505"/>
    <w:rsid w:val="002B7574"/>
    <w:rsid w:val="002B757C"/>
    <w:rsid w:val="002B758F"/>
    <w:rsid w:val="002B759B"/>
    <w:rsid w:val="002B7645"/>
    <w:rsid w:val="002B769D"/>
    <w:rsid w:val="002B7715"/>
    <w:rsid w:val="002B77DB"/>
    <w:rsid w:val="002B77FB"/>
    <w:rsid w:val="002B7892"/>
    <w:rsid w:val="002B78A0"/>
    <w:rsid w:val="002B78C2"/>
    <w:rsid w:val="002B78D8"/>
    <w:rsid w:val="002B79C1"/>
    <w:rsid w:val="002B79CC"/>
    <w:rsid w:val="002B79D1"/>
    <w:rsid w:val="002B7A4C"/>
    <w:rsid w:val="002B7AA9"/>
    <w:rsid w:val="002B7AFB"/>
    <w:rsid w:val="002B7B0D"/>
    <w:rsid w:val="002B7B2F"/>
    <w:rsid w:val="002B7B3D"/>
    <w:rsid w:val="002B7BB4"/>
    <w:rsid w:val="002B7BD2"/>
    <w:rsid w:val="002B7BD7"/>
    <w:rsid w:val="002B7BEA"/>
    <w:rsid w:val="002B7C40"/>
    <w:rsid w:val="002B7C73"/>
    <w:rsid w:val="002B7CD6"/>
    <w:rsid w:val="002B7CE9"/>
    <w:rsid w:val="002B7D75"/>
    <w:rsid w:val="002B7DAF"/>
    <w:rsid w:val="002B7E3B"/>
    <w:rsid w:val="002B7E5A"/>
    <w:rsid w:val="002B7E6B"/>
    <w:rsid w:val="002B7EC1"/>
    <w:rsid w:val="002B7EF1"/>
    <w:rsid w:val="002B7F4E"/>
    <w:rsid w:val="002B7F7E"/>
    <w:rsid w:val="002B7F8C"/>
    <w:rsid w:val="002B7FAF"/>
    <w:rsid w:val="002C002E"/>
    <w:rsid w:val="002C0062"/>
    <w:rsid w:val="002C009A"/>
    <w:rsid w:val="002C00A6"/>
    <w:rsid w:val="002C00C3"/>
    <w:rsid w:val="002C0130"/>
    <w:rsid w:val="002C0160"/>
    <w:rsid w:val="002C01AF"/>
    <w:rsid w:val="002C01F2"/>
    <w:rsid w:val="002C0207"/>
    <w:rsid w:val="002C022A"/>
    <w:rsid w:val="002C0265"/>
    <w:rsid w:val="002C0276"/>
    <w:rsid w:val="002C02D6"/>
    <w:rsid w:val="002C02F4"/>
    <w:rsid w:val="002C0430"/>
    <w:rsid w:val="002C047F"/>
    <w:rsid w:val="002C05C3"/>
    <w:rsid w:val="002C0613"/>
    <w:rsid w:val="002C0628"/>
    <w:rsid w:val="002C06B1"/>
    <w:rsid w:val="002C06C7"/>
    <w:rsid w:val="002C06D5"/>
    <w:rsid w:val="002C0730"/>
    <w:rsid w:val="002C0733"/>
    <w:rsid w:val="002C07B5"/>
    <w:rsid w:val="002C07DA"/>
    <w:rsid w:val="002C07E4"/>
    <w:rsid w:val="002C0814"/>
    <w:rsid w:val="002C0825"/>
    <w:rsid w:val="002C0887"/>
    <w:rsid w:val="002C09CD"/>
    <w:rsid w:val="002C09F2"/>
    <w:rsid w:val="002C09F6"/>
    <w:rsid w:val="002C09FC"/>
    <w:rsid w:val="002C0A3A"/>
    <w:rsid w:val="002C0A41"/>
    <w:rsid w:val="002C0AF6"/>
    <w:rsid w:val="002C0B33"/>
    <w:rsid w:val="002C0B39"/>
    <w:rsid w:val="002C0BD0"/>
    <w:rsid w:val="002C0BFA"/>
    <w:rsid w:val="002C0CD4"/>
    <w:rsid w:val="002C0CD6"/>
    <w:rsid w:val="002C0D34"/>
    <w:rsid w:val="002C0D6A"/>
    <w:rsid w:val="002C0D71"/>
    <w:rsid w:val="002C0D75"/>
    <w:rsid w:val="002C0D79"/>
    <w:rsid w:val="002C0DB8"/>
    <w:rsid w:val="002C0DE5"/>
    <w:rsid w:val="002C0DE9"/>
    <w:rsid w:val="002C0DEE"/>
    <w:rsid w:val="002C0E0E"/>
    <w:rsid w:val="002C0E1D"/>
    <w:rsid w:val="002C0E43"/>
    <w:rsid w:val="002C0E76"/>
    <w:rsid w:val="002C0E88"/>
    <w:rsid w:val="002C0ED2"/>
    <w:rsid w:val="002C0F3B"/>
    <w:rsid w:val="002C0F72"/>
    <w:rsid w:val="002C0FA3"/>
    <w:rsid w:val="002C1082"/>
    <w:rsid w:val="002C1086"/>
    <w:rsid w:val="002C10D5"/>
    <w:rsid w:val="002C1144"/>
    <w:rsid w:val="002C11D0"/>
    <w:rsid w:val="002C1240"/>
    <w:rsid w:val="002C1270"/>
    <w:rsid w:val="002C1276"/>
    <w:rsid w:val="002C12CF"/>
    <w:rsid w:val="002C12EE"/>
    <w:rsid w:val="002C1300"/>
    <w:rsid w:val="002C1314"/>
    <w:rsid w:val="002C135D"/>
    <w:rsid w:val="002C13FB"/>
    <w:rsid w:val="002C145D"/>
    <w:rsid w:val="002C1489"/>
    <w:rsid w:val="002C14E7"/>
    <w:rsid w:val="002C1559"/>
    <w:rsid w:val="002C155F"/>
    <w:rsid w:val="002C15C5"/>
    <w:rsid w:val="002C15EE"/>
    <w:rsid w:val="002C1605"/>
    <w:rsid w:val="002C1610"/>
    <w:rsid w:val="002C163A"/>
    <w:rsid w:val="002C16CA"/>
    <w:rsid w:val="002C16D6"/>
    <w:rsid w:val="002C1707"/>
    <w:rsid w:val="002C176C"/>
    <w:rsid w:val="002C176E"/>
    <w:rsid w:val="002C17D4"/>
    <w:rsid w:val="002C1867"/>
    <w:rsid w:val="002C1875"/>
    <w:rsid w:val="002C1876"/>
    <w:rsid w:val="002C18B7"/>
    <w:rsid w:val="002C1903"/>
    <w:rsid w:val="002C19B2"/>
    <w:rsid w:val="002C19D9"/>
    <w:rsid w:val="002C1A14"/>
    <w:rsid w:val="002C1A45"/>
    <w:rsid w:val="002C1A5B"/>
    <w:rsid w:val="002C1ADE"/>
    <w:rsid w:val="002C1AEC"/>
    <w:rsid w:val="002C1B03"/>
    <w:rsid w:val="002C1B96"/>
    <w:rsid w:val="002C1C13"/>
    <w:rsid w:val="002C1C75"/>
    <w:rsid w:val="002C1CD7"/>
    <w:rsid w:val="002C1D51"/>
    <w:rsid w:val="002C1E06"/>
    <w:rsid w:val="002C1E89"/>
    <w:rsid w:val="002C1EDB"/>
    <w:rsid w:val="002C1F50"/>
    <w:rsid w:val="002C1F89"/>
    <w:rsid w:val="002C1FAB"/>
    <w:rsid w:val="002C1FBF"/>
    <w:rsid w:val="002C2022"/>
    <w:rsid w:val="002C2023"/>
    <w:rsid w:val="002C203F"/>
    <w:rsid w:val="002C2096"/>
    <w:rsid w:val="002C20B4"/>
    <w:rsid w:val="002C20D1"/>
    <w:rsid w:val="002C211B"/>
    <w:rsid w:val="002C212D"/>
    <w:rsid w:val="002C21EB"/>
    <w:rsid w:val="002C2202"/>
    <w:rsid w:val="002C222A"/>
    <w:rsid w:val="002C2236"/>
    <w:rsid w:val="002C2249"/>
    <w:rsid w:val="002C2270"/>
    <w:rsid w:val="002C2273"/>
    <w:rsid w:val="002C22D5"/>
    <w:rsid w:val="002C22D7"/>
    <w:rsid w:val="002C2324"/>
    <w:rsid w:val="002C234D"/>
    <w:rsid w:val="002C23C3"/>
    <w:rsid w:val="002C23C7"/>
    <w:rsid w:val="002C23E2"/>
    <w:rsid w:val="002C23E8"/>
    <w:rsid w:val="002C24C2"/>
    <w:rsid w:val="002C24CB"/>
    <w:rsid w:val="002C255E"/>
    <w:rsid w:val="002C259C"/>
    <w:rsid w:val="002C25B2"/>
    <w:rsid w:val="002C25DB"/>
    <w:rsid w:val="002C2625"/>
    <w:rsid w:val="002C2654"/>
    <w:rsid w:val="002C276E"/>
    <w:rsid w:val="002C27DA"/>
    <w:rsid w:val="002C285C"/>
    <w:rsid w:val="002C2866"/>
    <w:rsid w:val="002C28FB"/>
    <w:rsid w:val="002C291F"/>
    <w:rsid w:val="002C2947"/>
    <w:rsid w:val="002C2994"/>
    <w:rsid w:val="002C29F6"/>
    <w:rsid w:val="002C2A14"/>
    <w:rsid w:val="002C2A31"/>
    <w:rsid w:val="002C2AE2"/>
    <w:rsid w:val="002C2AEB"/>
    <w:rsid w:val="002C2B07"/>
    <w:rsid w:val="002C2B76"/>
    <w:rsid w:val="002C2B93"/>
    <w:rsid w:val="002C2CCB"/>
    <w:rsid w:val="002C2D7B"/>
    <w:rsid w:val="002C2DC4"/>
    <w:rsid w:val="002C2DF4"/>
    <w:rsid w:val="002C2E0C"/>
    <w:rsid w:val="002C2EEE"/>
    <w:rsid w:val="002C2F6C"/>
    <w:rsid w:val="002C3003"/>
    <w:rsid w:val="002C3019"/>
    <w:rsid w:val="002C305E"/>
    <w:rsid w:val="002C3076"/>
    <w:rsid w:val="002C30CF"/>
    <w:rsid w:val="002C30F2"/>
    <w:rsid w:val="002C314A"/>
    <w:rsid w:val="002C3187"/>
    <w:rsid w:val="002C31BA"/>
    <w:rsid w:val="002C3223"/>
    <w:rsid w:val="002C3249"/>
    <w:rsid w:val="002C3252"/>
    <w:rsid w:val="002C327D"/>
    <w:rsid w:val="002C331A"/>
    <w:rsid w:val="002C335F"/>
    <w:rsid w:val="002C3371"/>
    <w:rsid w:val="002C33E7"/>
    <w:rsid w:val="002C3460"/>
    <w:rsid w:val="002C350D"/>
    <w:rsid w:val="002C3511"/>
    <w:rsid w:val="002C3525"/>
    <w:rsid w:val="002C35A3"/>
    <w:rsid w:val="002C35BF"/>
    <w:rsid w:val="002C35CC"/>
    <w:rsid w:val="002C365A"/>
    <w:rsid w:val="002C3666"/>
    <w:rsid w:val="002C36B6"/>
    <w:rsid w:val="002C36C0"/>
    <w:rsid w:val="002C36D3"/>
    <w:rsid w:val="002C376A"/>
    <w:rsid w:val="002C3779"/>
    <w:rsid w:val="002C377A"/>
    <w:rsid w:val="002C37DD"/>
    <w:rsid w:val="002C37ED"/>
    <w:rsid w:val="002C382B"/>
    <w:rsid w:val="002C383F"/>
    <w:rsid w:val="002C3868"/>
    <w:rsid w:val="002C38F8"/>
    <w:rsid w:val="002C3913"/>
    <w:rsid w:val="002C392E"/>
    <w:rsid w:val="002C397B"/>
    <w:rsid w:val="002C39BE"/>
    <w:rsid w:val="002C3AC7"/>
    <w:rsid w:val="002C3B3D"/>
    <w:rsid w:val="002C3B4E"/>
    <w:rsid w:val="002C3B78"/>
    <w:rsid w:val="002C3B8E"/>
    <w:rsid w:val="002C3BA8"/>
    <w:rsid w:val="002C3BB2"/>
    <w:rsid w:val="002C3D6D"/>
    <w:rsid w:val="002C3DF2"/>
    <w:rsid w:val="002C3E31"/>
    <w:rsid w:val="002C3E8E"/>
    <w:rsid w:val="002C3E98"/>
    <w:rsid w:val="002C3FAF"/>
    <w:rsid w:val="002C4036"/>
    <w:rsid w:val="002C4052"/>
    <w:rsid w:val="002C4056"/>
    <w:rsid w:val="002C408D"/>
    <w:rsid w:val="002C40E4"/>
    <w:rsid w:val="002C4130"/>
    <w:rsid w:val="002C4156"/>
    <w:rsid w:val="002C416A"/>
    <w:rsid w:val="002C41DF"/>
    <w:rsid w:val="002C4209"/>
    <w:rsid w:val="002C427D"/>
    <w:rsid w:val="002C4284"/>
    <w:rsid w:val="002C433C"/>
    <w:rsid w:val="002C4349"/>
    <w:rsid w:val="002C43C9"/>
    <w:rsid w:val="002C43D4"/>
    <w:rsid w:val="002C44CE"/>
    <w:rsid w:val="002C451C"/>
    <w:rsid w:val="002C4608"/>
    <w:rsid w:val="002C4644"/>
    <w:rsid w:val="002C4674"/>
    <w:rsid w:val="002C4689"/>
    <w:rsid w:val="002C468B"/>
    <w:rsid w:val="002C4730"/>
    <w:rsid w:val="002C4739"/>
    <w:rsid w:val="002C4740"/>
    <w:rsid w:val="002C47B5"/>
    <w:rsid w:val="002C482B"/>
    <w:rsid w:val="002C4837"/>
    <w:rsid w:val="002C4919"/>
    <w:rsid w:val="002C4986"/>
    <w:rsid w:val="002C49CF"/>
    <w:rsid w:val="002C4A08"/>
    <w:rsid w:val="002C4A15"/>
    <w:rsid w:val="002C4A68"/>
    <w:rsid w:val="002C4A9B"/>
    <w:rsid w:val="002C4AA2"/>
    <w:rsid w:val="002C4AC8"/>
    <w:rsid w:val="002C4B24"/>
    <w:rsid w:val="002C4B52"/>
    <w:rsid w:val="002C4B90"/>
    <w:rsid w:val="002C4C26"/>
    <w:rsid w:val="002C4C67"/>
    <w:rsid w:val="002C4CDD"/>
    <w:rsid w:val="002C4D5A"/>
    <w:rsid w:val="002C4D91"/>
    <w:rsid w:val="002C4E0E"/>
    <w:rsid w:val="002C4E10"/>
    <w:rsid w:val="002C4E37"/>
    <w:rsid w:val="002C4E87"/>
    <w:rsid w:val="002C4E95"/>
    <w:rsid w:val="002C4EE0"/>
    <w:rsid w:val="002C4EFE"/>
    <w:rsid w:val="002C4FCB"/>
    <w:rsid w:val="002C4FE6"/>
    <w:rsid w:val="002C4FF8"/>
    <w:rsid w:val="002C5097"/>
    <w:rsid w:val="002C511B"/>
    <w:rsid w:val="002C513F"/>
    <w:rsid w:val="002C514A"/>
    <w:rsid w:val="002C5153"/>
    <w:rsid w:val="002C5239"/>
    <w:rsid w:val="002C529D"/>
    <w:rsid w:val="002C52B5"/>
    <w:rsid w:val="002C52B9"/>
    <w:rsid w:val="002C52C0"/>
    <w:rsid w:val="002C52E5"/>
    <w:rsid w:val="002C531C"/>
    <w:rsid w:val="002C532C"/>
    <w:rsid w:val="002C539C"/>
    <w:rsid w:val="002C539F"/>
    <w:rsid w:val="002C53AF"/>
    <w:rsid w:val="002C542B"/>
    <w:rsid w:val="002C5483"/>
    <w:rsid w:val="002C54A0"/>
    <w:rsid w:val="002C54DE"/>
    <w:rsid w:val="002C54E3"/>
    <w:rsid w:val="002C5568"/>
    <w:rsid w:val="002C5576"/>
    <w:rsid w:val="002C5582"/>
    <w:rsid w:val="002C5611"/>
    <w:rsid w:val="002C5638"/>
    <w:rsid w:val="002C5645"/>
    <w:rsid w:val="002C567F"/>
    <w:rsid w:val="002C5684"/>
    <w:rsid w:val="002C5693"/>
    <w:rsid w:val="002C56D4"/>
    <w:rsid w:val="002C570C"/>
    <w:rsid w:val="002C573C"/>
    <w:rsid w:val="002C5753"/>
    <w:rsid w:val="002C5786"/>
    <w:rsid w:val="002C57EE"/>
    <w:rsid w:val="002C583B"/>
    <w:rsid w:val="002C589E"/>
    <w:rsid w:val="002C596B"/>
    <w:rsid w:val="002C5979"/>
    <w:rsid w:val="002C59BE"/>
    <w:rsid w:val="002C5A37"/>
    <w:rsid w:val="002C5ACA"/>
    <w:rsid w:val="002C5ADA"/>
    <w:rsid w:val="002C5AF0"/>
    <w:rsid w:val="002C5B24"/>
    <w:rsid w:val="002C5B62"/>
    <w:rsid w:val="002C5B68"/>
    <w:rsid w:val="002C5C1A"/>
    <w:rsid w:val="002C5C6F"/>
    <w:rsid w:val="002C5C95"/>
    <w:rsid w:val="002C5CD3"/>
    <w:rsid w:val="002C5CE2"/>
    <w:rsid w:val="002C5D32"/>
    <w:rsid w:val="002C5D55"/>
    <w:rsid w:val="002C5DB6"/>
    <w:rsid w:val="002C5DDE"/>
    <w:rsid w:val="002C5DE4"/>
    <w:rsid w:val="002C5DEF"/>
    <w:rsid w:val="002C5F18"/>
    <w:rsid w:val="002C5FFB"/>
    <w:rsid w:val="002C605F"/>
    <w:rsid w:val="002C6061"/>
    <w:rsid w:val="002C6073"/>
    <w:rsid w:val="002C6090"/>
    <w:rsid w:val="002C6097"/>
    <w:rsid w:val="002C60CE"/>
    <w:rsid w:val="002C60D4"/>
    <w:rsid w:val="002C612D"/>
    <w:rsid w:val="002C6161"/>
    <w:rsid w:val="002C61B0"/>
    <w:rsid w:val="002C61B6"/>
    <w:rsid w:val="002C6210"/>
    <w:rsid w:val="002C629A"/>
    <w:rsid w:val="002C629B"/>
    <w:rsid w:val="002C62A2"/>
    <w:rsid w:val="002C62D7"/>
    <w:rsid w:val="002C6333"/>
    <w:rsid w:val="002C634A"/>
    <w:rsid w:val="002C634F"/>
    <w:rsid w:val="002C638A"/>
    <w:rsid w:val="002C642B"/>
    <w:rsid w:val="002C647F"/>
    <w:rsid w:val="002C6490"/>
    <w:rsid w:val="002C64A7"/>
    <w:rsid w:val="002C64C7"/>
    <w:rsid w:val="002C64DD"/>
    <w:rsid w:val="002C6536"/>
    <w:rsid w:val="002C65E8"/>
    <w:rsid w:val="002C6603"/>
    <w:rsid w:val="002C662C"/>
    <w:rsid w:val="002C66E9"/>
    <w:rsid w:val="002C6784"/>
    <w:rsid w:val="002C6800"/>
    <w:rsid w:val="002C6848"/>
    <w:rsid w:val="002C685A"/>
    <w:rsid w:val="002C6895"/>
    <w:rsid w:val="002C68F7"/>
    <w:rsid w:val="002C6903"/>
    <w:rsid w:val="002C69C4"/>
    <w:rsid w:val="002C6A08"/>
    <w:rsid w:val="002C6A38"/>
    <w:rsid w:val="002C6A5A"/>
    <w:rsid w:val="002C6AC9"/>
    <w:rsid w:val="002C6B2C"/>
    <w:rsid w:val="002C6B5A"/>
    <w:rsid w:val="002C6BBF"/>
    <w:rsid w:val="002C6C8B"/>
    <w:rsid w:val="002C6CCC"/>
    <w:rsid w:val="002C6CD1"/>
    <w:rsid w:val="002C6CE7"/>
    <w:rsid w:val="002C6CF3"/>
    <w:rsid w:val="002C6D1D"/>
    <w:rsid w:val="002C6DA1"/>
    <w:rsid w:val="002C6DC5"/>
    <w:rsid w:val="002C6DC9"/>
    <w:rsid w:val="002C6EB9"/>
    <w:rsid w:val="002C6EFD"/>
    <w:rsid w:val="002C6F00"/>
    <w:rsid w:val="002C6F4D"/>
    <w:rsid w:val="002C6FA0"/>
    <w:rsid w:val="002C6FA3"/>
    <w:rsid w:val="002C6FFA"/>
    <w:rsid w:val="002C7025"/>
    <w:rsid w:val="002C7138"/>
    <w:rsid w:val="002C7194"/>
    <w:rsid w:val="002C71E4"/>
    <w:rsid w:val="002C720E"/>
    <w:rsid w:val="002C7210"/>
    <w:rsid w:val="002C7252"/>
    <w:rsid w:val="002C72EC"/>
    <w:rsid w:val="002C7301"/>
    <w:rsid w:val="002C7316"/>
    <w:rsid w:val="002C737A"/>
    <w:rsid w:val="002C737E"/>
    <w:rsid w:val="002C73B8"/>
    <w:rsid w:val="002C7401"/>
    <w:rsid w:val="002C744C"/>
    <w:rsid w:val="002C7499"/>
    <w:rsid w:val="002C749C"/>
    <w:rsid w:val="002C74A4"/>
    <w:rsid w:val="002C7544"/>
    <w:rsid w:val="002C75B9"/>
    <w:rsid w:val="002C763E"/>
    <w:rsid w:val="002C7646"/>
    <w:rsid w:val="002C7670"/>
    <w:rsid w:val="002C7698"/>
    <w:rsid w:val="002C76DF"/>
    <w:rsid w:val="002C76F0"/>
    <w:rsid w:val="002C76FD"/>
    <w:rsid w:val="002C772C"/>
    <w:rsid w:val="002C77A4"/>
    <w:rsid w:val="002C7808"/>
    <w:rsid w:val="002C7812"/>
    <w:rsid w:val="002C783B"/>
    <w:rsid w:val="002C7867"/>
    <w:rsid w:val="002C7869"/>
    <w:rsid w:val="002C791C"/>
    <w:rsid w:val="002C7929"/>
    <w:rsid w:val="002C792F"/>
    <w:rsid w:val="002C796B"/>
    <w:rsid w:val="002C796E"/>
    <w:rsid w:val="002C7976"/>
    <w:rsid w:val="002C798F"/>
    <w:rsid w:val="002C79A4"/>
    <w:rsid w:val="002C79AF"/>
    <w:rsid w:val="002C79B8"/>
    <w:rsid w:val="002C79C5"/>
    <w:rsid w:val="002C7AE2"/>
    <w:rsid w:val="002C7AEE"/>
    <w:rsid w:val="002C7B1D"/>
    <w:rsid w:val="002C7B45"/>
    <w:rsid w:val="002C7B89"/>
    <w:rsid w:val="002C7BEC"/>
    <w:rsid w:val="002C7C35"/>
    <w:rsid w:val="002C7C7F"/>
    <w:rsid w:val="002C7D2C"/>
    <w:rsid w:val="002C7D41"/>
    <w:rsid w:val="002C7D84"/>
    <w:rsid w:val="002C7DD2"/>
    <w:rsid w:val="002C7E01"/>
    <w:rsid w:val="002C7E12"/>
    <w:rsid w:val="002C7E3A"/>
    <w:rsid w:val="002C7E8C"/>
    <w:rsid w:val="002C7EB5"/>
    <w:rsid w:val="002C7F0B"/>
    <w:rsid w:val="002C7F93"/>
    <w:rsid w:val="002C7FAD"/>
    <w:rsid w:val="002C7FE3"/>
    <w:rsid w:val="002D0028"/>
    <w:rsid w:val="002D003F"/>
    <w:rsid w:val="002D00A0"/>
    <w:rsid w:val="002D00A2"/>
    <w:rsid w:val="002D00B1"/>
    <w:rsid w:val="002D00BB"/>
    <w:rsid w:val="002D00C8"/>
    <w:rsid w:val="002D0114"/>
    <w:rsid w:val="002D011B"/>
    <w:rsid w:val="002D0167"/>
    <w:rsid w:val="002D019E"/>
    <w:rsid w:val="002D01D2"/>
    <w:rsid w:val="002D020D"/>
    <w:rsid w:val="002D021E"/>
    <w:rsid w:val="002D0243"/>
    <w:rsid w:val="002D0265"/>
    <w:rsid w:val="002D026B"/>
    <w:rsid w:val="002D02E9"/>
    <w:rsid w:val="002D0304"/>
    <w:rsid w:val="002D0381"/>
    <w:rsid w:val="002D03CF"/>
    <w:rsid w:val="002D03D4"/>
    <w:rsid w:val="002D03F2"/>
    <w:rsid w:val="002D042C"/>
    <w:rsid w:val="002D0453"/>
    <w:rsid w:val="002D046A"/>
    <w:rsid w:val="002D04B6"/>
    <w:rsid w:val="002D054A"/>
    <w:rsid w:val="002D0596"/>
    <w:rsid w:val="002D0602"/>
    <w:rsid w:val="002D0603"/>
    <w:rsid w:val="002D0647"/>
    <w:rsid w:val="002D0652"/>
    <w:rsid w:val="002D067F"/>
    <w:rsid w:val="002D069D"/>
    <w:rsid w:val="002D06B3"/>
    <w:rsid w:val="002D070A"/>
    <w:rsid w:val="002D072F"/>
    <w:rsid w:val="002D0733"/>
    <w:rsid w:val="002D0734"/>
    <w:rsid w:val="002D0786"/>
    <w:rsid w:val="002D07C0"/>
    <w:rsid w:val="002D07FE"/>
    <w:rsid w:val="002D0885"/>
    <w:rsid w:val="002D090A"/>
    <w:rsid w:val="002D090D"/>
    <w:rsid w:val="002D0920"/>
    <w:rsid w:val="002D0A0B"/>
    <w:rsid w:val="002D0A27"/>
    <w:rsid w:val="002D0A30"/>
    <w:rsid w:val="002D0A52"/>
    <w:rsid w:val="002D0AFE"/>
    <w:rsid w:val="002D0B03"/>
    <w:rsid w:val="002D0B4B"/>
    <w:rsid w:val="002D0B60"/>
    <w:rsid w:val="002D0C2B"/>
    <w:rsid w:val="002D0C2C"/>
    <w:rsid w:val="002D0C53"/>
    <w:rsid w:val="002D0CE4"/>
    <w:rsid w:val="002D0CE8"/>
    <w:rsid w:val="002D0CEF"/>
    <w:rsid w:val="002D0DC3"/>
    <w:rsid w:val="002D0E08"/>
    <w:rsid w:val="002D0E13"/>
    <w:rsid w:val="002D0F03"/>
    <w:rsid w:val="002D0F12"/>
    <w:rsid w:val="002D0F83"/>
    <w:rsid w:val="002D0F90"/>
    <w:rsid w:val="002D0FCF"/>
    <w:rsid w:val="002D1003"/>
    <w:rsid w:val="002D103E"/>
    <w:rsid w:val="002D110D"/>
    <w:rsid w:val="002D1164"/>
    <w:rsid w:val="002D1193"/>
    <w:rsid w:val="002D11F9"/>
    <w:rsid w:val="002D120D"/>
    <w:rsid w:val="002D1230"/>
    <w:rsid w:val="002D12B9"/>
    <w:rsid w:val="002D12D7"/>
    <w:rsid w:val="002D1338"/>
    <w:rsid w:val="002D13A1"/>
    <w:rsid w:val="002D13AE"/>
    <w:rsid w:val="002D13C5"/>
    <w:rsid w:val="002D1518"/>
    <w:rsid w:val="002D1520"/>
    <w:rsid w:val="002D154C"/>
    <w:rsid w:val="002D1558"/>
    <w:rsid w:val="002D1608"/>
    <w:rsid w:val="002D1656"/>
    <w:rsid w:val="002D16FA"/>
    <w:rsid w:val="002D172A"/>
    <w:rsid w:val="002D1753"/>
    <w:rsid w:val="002D1792"/>
    <w:rsid w:val="002D17C4"/>
    <w:rsid w:val="002D17E1"/>
    <w:rsid w:val="002D1815"/>
    <w:rsid w:val="002D182E"/>
    <w:rsid w:val="002D1873"/>
    <w:rsid w:val="002D1893"/>
    <w:rsid w:val="002D18EE"/>
    <w:rsid w:val="002D1979"/>
    <w:rsid w:val="002D198E"/>
    <w:rsid w:val="002D1A25"/>
    <w:rsid w:val="002D1B53"/>
    <w:rsid w:val="002D1B72"/>
    <w:rsid w:val="002D1BBC"/>
    <w:rsid w:val="002D1BE6"/>
    <w:rsid w:val="002D1C5A"/>
    <w:rsid w:val="002D1C75"/>
    <w:rsid w:val="002D1C7B"/>
    <w:rsid w:val="002D1C7E"/>
    <w:rsid w:val="002D1D27"/>
    <w:rsid w:val="002D1D2B"/>
    <w:rsid w:val="002D1D2F"/>
    <w:rsid w:val="002D1D54"/>
    <w:rsid w:val="002D1E45"/>
    <w:rsid w:val="002D1E8D"/>
    <w:rsid w:val="002D1E9D"/>
    <w:rsid w:val="002D1EA8"/>
    <w:rsid w:val="002D1EC8"/>
    <w:rsid w:val="002D1ED9"/>
    <w:rsid w:val="002D1EE2"/>
    <w:rsid w:val="002D1FC5"/>
    <w:rsid w:val="002D1FED"/>
    <w:rsid w:val="002D20A5"/>
    <w:rsid w:val="002D21A1"/>
    <w:rsid w:val="002D21D5"/>
    <w:rsid w:val="002D21D9"/>
    <w:rsid w:val="002D21DD"/>
    <w:rsid w:val="002D2209"/>
    <w:rsid w:val="002D220A"/>
    <w:rsid w:val="002D221D"/>
    <w:rsid w:val="002D22BF"/>
    <w:rsid w:val="002D22C5"/>
    <w:rsid w:val="002D22FA"/>
    <w:rsid w:val="002D234E"/>
    <w:rsid w:val="002D237D"/>
    <w:rsid w:val="002D245B"/>
    <w:rsid w:val="002D245E"/>
    <w:rsid w:val="002D24BA"/>
    <w:rsid w:val="002D24E6"/>
    <w:rsid w:val="002D254C"/>
    <w:rsid w:val="002D25BB"/>
    <w:rsid w:val="002D25F4"/>
    <w:rsid w:val="002D273D"/>
    <w:rsid w:val="002D28B5"/>
    <w:rsid w:val="002D2935"/>
    <w:rsid w:val="002D29ED"/>
    <w:rsid w:val="002D2BA4"/>
    <w:rsid w:val="002D2BAE"/>
    <w:rsid w:val="002D2BBB"/>
    <w:rsid w:val="002D2C26"/>
    <w:rsid w:val="002D2C2C"/>
    <w:rsid w:val="002D2C9C"/>
    <w:rsid w:val="002D2D9B"/>
    <w:rsid w:val="002D2DD4"/>
    <w:rsid w:val="002D2DDC"/>
    <w:rsid w:val="002D2DF6"/>
    <w:rsid w:val="002D2E0C"/>
    <w:rsid w:val="002D2E23"/>
    <w:rsid w:val="002D2E39"/>
    <w:rsid w:val="002D2E82"/>
    <w:rsid w:val="002D2EC3"/>
    <w:rsid w:val="002D2EC9"/>
    <w:rsid w:val="002D2ECA"/>
    <w:rsid w:val="002D2F06"/>
    <w:rsid w:val="002D2F1B"/>
    <w:rsid w:val="002D2F24"/>
    <w:rsid w:val="002D2F29"/>
    <w:rsid w:val="002D2F2E"/>
    <w:rsid w:val="002D2FAD"/>
    <w:rsid w:val="002D2FD9"/>
    <w:rsid w:val="002D304C"/>
    <w:rsid w:val="002D304D"/>
    <w:rsid w:val="002D3071"/>
    <w:rsid w:val="002D30B8"/>
    <w:rsid w:val="002D3109"/>
    <w:rsid w:val="002D3151"/>
    <w:rsid w:val="002D315B"/>
    <w:rsid w:val="002D3180"/>
    <w:rsid w:val="002D3280"/>
    <w:rsid w:val="002D32D5"/>
    <w:rsid w:val="002D32E3"/>
    <w:rsid w:val="002D330D"/>
    <w:rsid w:val="002D33A7"/>
    <w:rsid w:val="002D33EC"/>
    <w:rsid w:val="002D33EF"/>
    <w:rsid w:val="002D3432"/>
    <w:rsid w:val="002D34A7"/>
    <w:rsid w:val="002D34DE"/>
    <w:rsid w:val="002D3542"/>
    <w:rsid w:val="002D3558"/>
    <w:rsid w:val="002D3582"/>
    <w:rsid w:val="002D3599"/>
    <w:rsid w:val="002D3636"/>
    <w:rsid w:val="002D3672"/>
    <w:rsid w:val="002D36A2"/>
    <w:rsid w:val="002D36E1"/>
    <w:rsid w:val="002D36E7"/>
    <w:rsid w:val="002D3703"/>
    <w:rsid w:val="002D3722"/>
    <w:rsid w:val="002D37DB"/>
    <w:rsid w:val="002D3801"/>
    <w:rsid w:val="002D38A3"/>
    <w:rsid w:val="002D38C9"/>
    <w:rsid w:val="002D3940"/>
    <w:rsid w:val="002D399F"/>
    <w:rsid w:val="002D39B1"/>
    <w:rsid w:val="002D39B2"/>
    <w:rsid w:val="002D39DB"/>
    <w:rsid w:val="002D3A38"/>
    <w:rsid w:val="002D3A50"/>
    <w:rsid w:val="002D3A73"/>
    <w:rsid w:val="002D3A7A"/>
    <w:rsid w:val="002D3A9A"/>
    <w:rsid w:val="002D3A9F"/>
    <w:rsid w:val="002D3AC3"/>
    <w:rsid w:val="002D3AC5"/>
    <w:rsid w:val="002D3B2B"/>
    <w:rsid w:val="002D3C5A"/>
    <w:rsid w:val="002D3C8B"/>
    <w:rsid w:val="002D3CE4"/>
    <w:rsid w:val="002D3CE9"/>
    <w:rsid w:val="002D3D3E"/>
    <w:rsid w:val="002D406A"/>
    <w:rsid w:val="002D406F"/>
    <w:rsid w:val="002D40BF"/>
    <w:rsid w:val="002D40D4"/>
    <w:rsid w:val="002D40DD"/>
    <w:rsid w:val="002D4172"/>
    <w:rsid w:val="002D41C4"/>
    <w:rsid w:val="002D421F"/>
    <w:rsid w:val="002D42CD"/>
    <w:rsid w:val="002D42D2"/>
    <w:rsid w:val="002D4329"/>
    <w:rsid w:val="002D432C"/>
    <w:rsid w:val="002D433F"/>
    <w:rsid w:val="002D4345"/>
    <w:rsid w:val="002D4362"/>
    <w:rsid w:val="002D437C"/>
    <w:rsid w:val="002D438B"/>
    <w:rsid w:val="002D43D3"/>
    <w:rsid w:val="002D43DF"/>
    <w:rsid w:val="002D43FF"/>
    <w:rsid w:val="002D4462"/>
    <w:rsid w:val="002D446B"/>
    <w:rsid w:val="002D44F0"/>
    <w:rsid w:val="002D4545"/>
    <w:rsid w:val="002D4550"/>
    <w:rsid w:val="002D455B"/>
    <w:rsid w:val="002D4620"/>
    <w:rsid w:val="002D4632"/>
    <w:rsid w:val="002D4644"/>
    <w:rsid w:val="002D472D"/>
    <w:rsid w:val="002D47AF"/>
    <w:rsid w:val="002D4815"/>
    <w:rsid w:val="002D48C8"/>
    <w:rsid w:val="002D48E3"/>
    <w:rsid w:val="002D4932"/>
    <w:rsid w:val="002D493D"/>
    <w:rsid w:val="002D496D"/>
    <w:rsid w:val="002D497E"/>
    <w:rsid w:val="002D49B4"/>
    <w:rsid w:val="002D49C0"/>
    <w:rsid w:val="002D49D3"/>
    <w:rsid w:val="002D4A66"/>
    <w:rsid w:val="002D4A8F"/>
    <w:rsid w:val="002D4A93"/>
    <w:rsid w:val="002D4ACD"/>
    <w:rsid w:val="002D4AFB"/>
    <w:rsid w:val="002D4B26"/>
    <w:rsid w:val="002D4B27"/>
    <w:rsid w:val="002D4B84"/>
    <w:rsid w:val="002D4B88"/>
    <w:rsid w:val="002D4BEE"/>
    <w:rsid w:val="002D4C86"/>
    <w:rsid w:val="002D4D35"/>
    <w:rsid w:val="002D4D56"/>
    <w:rsid w:val="002D4D61"/>
    <w:rsid w:val="002D4D69"/>
    <w:rsid w:val="002D4D76"/>
    <w:rsid w:val="002D4E12"/>
    <w:rsid w:val="002D4E2B"/>
    <w:rsid w:val="002D4E6F"/>
    <w:rsid w:val="002D4E7D"/>
    <w:rsid w:val="002D4ED8"/>
    <w:rsid w:val="002D4F4E"/>
    <w:rsid w:val="002D4F62"/>
    <w:rsid w:val="002D5107"/>
    <w:rsid w:val="002D5195"/>
    <w:rsid w:val="002D523A"/>
    <w:rsid w:val="002D5257"/>
    <w:rsid w:val="002D528B"/>
    <w:rsid w:val="002D52D2"/>
    <w:rsid w:val="002D5356"/>
    <w:rsid w:val="002D539C"/>
    <w:rsid w:val="002D53FD"/>
    <w:rsid w:val="002D541B"/>
    <w:rsid w:val="002D5478"/>
    <w:rsid w:val="002D54AA"/>
    <w:rsid w:val="002D54B8"/>
    <w:rsid w:val="002D54BF"/>
    <w:rsid w:val="002D54C9"/>
    <w:rsid w:val="002D5537"/>
    <w:rsid w:val="002D5556"/>
    <w:rsid w:val="002D556C"/>
    <w:rsid w:val="002D5577"/>
    <w:rsid w:val="002D5615"/>
    <w:rsid w:val="002D5688"/>
    <w:rsid w:val="002D56B4"/>
    <w:rsid w:val="002D573C"/>
    <w:rsid w:val="002D575B"/>
    <w:rsid w:val="002D5786"/>
    <w:rsid w:val="002D5820"/>
    <w:rsid w:val="002D585A"/>
    <w:rsid w:val="002D5888"/>
    <w:rsid w:val="002D58B7"/>
    <w:rsid w:val="002D58DD"/>
    <w:rsid w:val="002D58F9"/>
    <w:rsid w:val="002D594D"/>
    <w:rsid w:val="002D596A"/>
    <w:rsid w:val="002D59ED"/>
    <w:rsid w:val="002D59FA"/>
    <w:rsid w:val="002D5A14"/>
    <w:rsid w:val="002D5A23"/>
    <w:rsid w:val="002D5AAF"/>
    <w:rsid w:val="002D5B33"/>
    <w:rsid w:val="002D5B4A"/>
    <w:rsid w:val="002D5B9D"/>
    <w:rsid w:val="002D5BAF"/>
    <w:rsid w:val="002D5C2A"/>
    <w:rsid w:val="002D5CAC"/>
    <w:rsid w:val="002D5CBD"/>
    <w:rsid w:val="002D5D5B"/>
    <w:rsid w:val="002D5DA7"/>
    <w:rsid w:val="002D5DB7"/>
    <w:rsid w:val="002D5DF0"/>
    <w:rsid w:val="002D5E2A"/>
    <w:rsid w:val="002D5E4D"/>
    <w:rsid w:val="002D5E8D"/>
    <w:rsid w:val="002D5ED4"/>
    <w:rsid w:val="002D5F0D"/>
    <w:rsid w:val="002D5F8F"/>
    <w:rsid w:val="002D5FD5"/>
    <w:rsid w:val="002D5FD7"/>
    <w:rsid w:val="002D6027"/>
    <w:rsid w:val="002D602E"/>
    <w:rsid w:val="002D60F9"/>
    <w:rsid w:val="002D61B9"/>
    <w:rsid w:val="002D61F1"/>
    <w:rsid w:val="002D6201"/>
    <w:rsid w:val="002D6228"/>
    <w:rsid w:val="002D626F"/>
    <w:rsid w:val="002D627D"/>
    <w:rsid w:val="002D6302"/>
    <w:rsid w:val="002D633C"/>
    <w:rsid w:val="002D6371"/>
    <w:rsid w:val="002D63C0"/>
    <w:rsid w:val="002D63CE"/>
    <w:rsid w:val="002D63D1"/>
    <w:rsid w:val="002D63D9"/>
    <w:rsid w:val="002D63DD"/>
    <w:rsid w:val="002D63FB"/>
    <w:rsid w:val="002D645F"/>
    <w:rsid w:val="002D6493"/>
    <w:rsid w:val="002D64EA"/>
    <w:rsid w:val="002D64FB"/>
    <w:rsid w:val="002D652D"/>
    <w:rsid w:val="002D6545"/>
    <w:rsid w:val="002D6584"/>
    <w:rsid w:val="002D6597"/>
    <w:rsid w:val="002D65DB"/>
    <w:rsid w:val="002D6619"/>
    <w:rsid w:val="002D6627"/>
    <w:rsid w:val="002D6696"/>
    <w:rsid w:val="002D66D7"/>
    <w:rsid w:val="002D66E0"/>
    <w:rsid w:val="002D6731"/>
    <w:rsid w:val="002D6760"/>
    <w:rsid w:val="002D6779"/>
    <w:rsid w:val="002D677E"/>
    <w:rsid w:val="002D678E"/>
    <w:rsid w:val="002D6801"/>
    <w:rsid w:val="002D6816"/>
    <w:rsid w:val="002D6817"/>
    <w:rsid w:val="002D68A7"/>
    <w:rsid w:val="002D68AC"/>
    <w:rsid w:val="002D68E7"/>
    <w:rsid w:val="002D6902"/>
    <w:rsid w:val="002D6993"/>
    <w:rsid w:val="002D69AA"/>
    <w:rsid w:val="002D6A53"/>
    <w:rsid w:val="002D6AA6"/>
    <w:rsid w:val="002D6AF2"/>
    <w:rsid w:val="002D6B09"/>
    <w:rsid w:val="002D6B63"/>
    <w:rsid w:val="002D6B7F"/>
    <w:rsid w:val="002D6BCC"/>
    <w:rsid w:val="002D6BD4"/>
    <w:rsid w:val="002D6C3A"/>
    <w:rsid w:val="002D6C7B"/>
    <w:rsid w:val="002D6C8A"/>
    <w:rsid w:val="002D6CBF"/>
    <w:rsid w:val="002D6D29"/>
    <w:rsid w:val="002D6D8D"/>
    <w:rsid w:val="002D6D95"/>
    <w:rsid w:val="002D6DC5"/>
    <w:rsid w:val="002D6DD7"/>
    <w:rsid w:val="002D6EC3"/>
    <w:rsid w:val="002D6EE6"/>
    <w:rsid w:val="002D6FCD"/>
    <w:rsid w:val="002D6FF4"/>
    <w:rsid w:val="002D7018"/>
    <w:rsid w:val="002D703E"/>
    <w:rsid w:val="002D703F"/>
    <w:rsid w:val="002D7048"/>
    <w:rsid w:val="002D707F"/>
    <w:rsid w:val="002D7096"/>
    <w:rsid w:val="002D70EC"/>
    <w:rsid w:val="002D70F1"/>
    <w:rsid w:val="002D7132"/>
    <w:rsid w:val="002D713C"/>
    <w:rsid w:val="002D716E"/>
    <w:rsid w:val="002D71C5"/>
    <w:rsid w:val="002D71D3"/>
    <w:rsid w:val="002D7210"/>
    <w:rsid w:val="002D7229"/>
    <w:rsid w:val="002D722D"/>
    <w:rsid w:val="002D7235"/>
    <w:rsid w:val="002D725B"/>
    <w:rsid w:val="002D72D8"/>
    <w:rsid w:val="002D72DA"/>
    <w:rsid w:val="002D736F"/>
    <w:rsid w:val="002D73E7"/>
    <w:rsid w:val="002D7431"/>
    <w:rsid w:val="002D7453"/>
    <w:rsid w:val="002D749E"/>
    <w:rsid w:val="002D74A2"/>
    <w:rsid w:val="002D74DE"/>
    <w:rsid w:val="002D74E3"/>
    <w:rsid w:val="002D74FA"/>
    <w:rsid w:val="002D7512"/>
    <w:rsid w:val="002D7523"/>
    <w:rsid w:val="002D758E"/>
    <w:rsid w:val="002D75AE"/>
    <w:rsid w:val="002D75E7"/>
    <w:rsid w:val="002D7609"/>
    <w:rsid w:val="002D760B"/>
    <w:rsid w:val="002D7669"/>
    <w:rsid w:val="002D7687"/>
    <w:rsid w:val="002D76B1"/>
    <w:rsid w:val="002D76EC"/>
    <w:rsid w:val="002D770F"/>
    <w:rsid w:val="002D7740"/>
    <w:rsid w:val="002D7780"/>
    <w:rsid w:val="002D779B"/>
    <w:rsid w:val="002D77CB"/>
    <w:rsid w:val="002D77FD"/>
    <w:rsid w:val="002D7819"/>
    <w:rsid w:val="002D786C"/>
    <w:rsid w:val="002D7885"/>
    <w:rsid w:val="002D79A4"/>
    <w:rsid w:val="002D79B2"/>
    <w:rsid w:val="002D7A3F"/>
    <w:rsid w:val="002D7B62"/>
    <w:rsid w:val="002D7B82"/>
    <w:rsid w:val="002D7B84"/>
    <w:rsid w:val="002D7B99"/>
    <w:rsid w:val="002D7BB0"/>
    <w:rsid w:val="002D7C1D"/>
    <w:rsid w:val="002D7C21"/>
    <w:rsid w:val="002D7C26"/>
    <w:rsid w:val="002D7C2D"/>
    <w:rsid w:val="002D7D24"/>
    <w:rsid w:val="002D7D40"/>
    <w:rsid w:val="002D7D41"/>
    <w:rsid w:val="002D7D5F"/>
    <w:rsid w:val="002D7D9C"/>
    <w:rsid w:val="002D7DE1"/>
    <w:rsid w:val="002D7E01"/>
    <w:rsid w:val="002D7E26"/>
    <w:rsid w:val="002D7E91"/>
    <w:rsid w:val="002D7F1F"/>
    <w:rsid w:val="002D7F95"/>
    <w:rsid w:val="002D7FD8"/>
    <w:rsid w:val="002E0042"/>
    <w:rsid w:val="002E00EB"/>
    <w:rsid w:val="002E0122"/>
    <w:rsid w:val="002E012D"/>
    <w:rsid w:val="002E015D"/>
    <w:rsid w:val="002E015F"/>
    <w:rsid w:val="002E0209"/>
    <w:rsid w:val="002E0236"/>
    <w:rsid w:val="002E0253"/>
    <w:rsid w:val="002E0266"/>
    <w:rsid w:val="002E033A"/>
    <w:rsid w:val="002E0342"/>
    <w:rsid w:val="002E036E"/>
    <w:rsid w:val="002E039D"/>
    <w:rsid w:val="002E03B7"/>
    <w:rsid w:val="002E03F2"/>
    <w:rsid w:val="002E0536"/>
    <w:rsid w:val="002E05B4"/>
    <w:rsid w:val="002E063F"/>
    <w:rsid w:val="002E064F"/>
    <w:rsid w:val="002E0668"/>
    <w:rsid w:val="002E073C"/>
    <w:rsid w:val="002E073F"/>
    <w:rsid w:val="002E07B6"/>
    <w:rsid w:val="002E07E3"/>
    <w:rsid w:val="002E08DE"/>
    <w:rsid w:val="002E08E6"/>
    <w:rsid w:val="002E08FA"/>
    <w:rsid w:val="002E0900"/>
    <w:rsid w:val="002E0902"/>
    <w:rsid w:val="002E093E"/>
    <w:rsid w:val="002E096F"/>
    <w:rsid w:val="002E09FD"/>
    <w:rsid w:val="002E0A2E"/>
    <w:rsid w:val="002E0ABE"/>
    <w:rsid w:val="002E0AD6"/>
    <w:rsid w:val="002E0AE2"/>
    <w:rsid w:val="002E0AF8"/>
    <w:rsid w:val="002E0B3D"/>
    <w:rsid w:val="002E0BEF"/>
    <w:rsid w:val="002E0C1D"/>
    <w:rsid w:val="002E0C27"/>
    <w:rsid w:val="002E0C28"/>
    <w:rsid w:val="002E0D05"/>
    <w:rsid w:val="002E0D35"/>
    <w:rsid w:val="002E0D7C"/>
    <w:rsid w:val="002E0D8C"/>
    <w:rsid w:val="002E0D97"/>
    <w:rsid w:val="002E0DE4"/>
    <w:rsid w:val="002E0DF8"/>
    <w:rsid w:val="002E0EA3"/>
    <w:rsid w:val="002E1019"/>
    <w:rsid w:val="002E1046"/>
    <w:rsid w:val="002E10CC"/>
    <w:rsid w:val="002E11CE"/>
    <w:rsid w:val="002E120B"/>
    <w:rsid w:val="002E12AA"/>
    <w:rsid w:val="002E1390"/>
    <w:rsid w:val="002E13D1"/>
    <w:rsid w:val="002E13DE"/>
    <w:rsid w:val="002E1416"/>
    <w:rsid w:val="002E141C"/>
    <w:rsid w:val="002E1473"/>
    <w:rsid w:val="002E147E"/>
    <w:rsid w:val="002E15BD"/>
    <w:rsid w:val="002E15D0"/>
    <w:rsid w:val="002E1621"/>
    <w:rsid w:val="002E16FB"/>
    <w:rsid w:val="002E170E"/>
    <w:rsid w:val="002E1818"/>
    <w:rsid w:val="002E1845"/>
    <w:rsid w:val="002E1863"/>
    <w:rsid w:val="002E18AC"/>
    <w:rsid w:val="002E18E1"/>
    <w:rsid w:val="002E18E5"/>
    <w:rsid w:val="002E18E6"/>
    <w:rsid w:val="002E194F"/>
    <w:rsid w:val="002E1983"/>
    <w:rsid w:val="002E1AA8"/>
    <w:rsid w:val="002E1AB6"/>
    <w:rsid w:val="002E1AB7"/>
    <w:rsid w:val="002E1B10"/>
    <w:rsid w:val="002E1B5E"/>
    <w:rsid w:val="002E1B94"/>
    <w:rsid w:val="002E1BF9"/>
    <w:rsid w:val="002E1C34"/>
    <w:rsid w:val="002E1C3F"/>
    <w:rsid w:val="002E1C47"/>
    <w:rsid w:val="002E1C5A"/>
    <w:rsid w:val="002E1C89"/>
    <w:rsid w:val="002E1CA0"/>
    <w:rsid w:val="002E1CFC"/>
    <w:rsid w:val="002E1D50"/>
    <w:rsid w:val="002E1D5C"/>
    <w:rsid w:val="002E1D81"/>
    <w:rsid w:val="002E1DE2"/>
    <w:rsid w:val="002E1E27"/>
    <w:rsid w:val="002E1E33"/>
    <w:rsid w:val="002E1E67"/>
    <w:rsid w:val="002E1E73"/>
    <w:rsid w:val="002E1ED3"/>
    <w:rsid w:val="002E1F6E"/>
    <w:rsid w:val="002E1F97"/>
    <w:rsid w:val="002E1FE2"/>
    <w:rsid w:val="002E2038"/>
    <w:rsid w:val="002E2089"/>
    <w:rsid w:val="002E20B0"/>
    <w:rsid w:val="002E2197"/>
    <w:rsid w:val="002E219F"/>
    <w:rsid w:val="002E2213"/>
    <w:rsid w:val="002E22FD"/>
    <w:rsid w:val="002E2344"/>
    <w:rsid w:val="002E237F"/>
    <w:rsid w:val="002E23EB"/>
    <w:rsid w:val="002E2415"/>
    <w:rsid w:val="002E243E"/>
    <w:rsid w:val="002E244B"/>
    <w:rsid w:val="002E2467"/>
    <w:rsid w:val="002E2472"/>
    <w:rsid w:val="002E24E2"/>
    <w:rsid w:val="002E250A"/>
    <w:rsid w:val="002E2519"/>
    <w:rsid w:val="002E2569"/>
    <w:rsid w:val="002E25AD"/>
    <w:rsid w:val="002E2639"/>
    <w:rsid w:val="002E263E"/>
    <w:rsid w:val="002E269B"/>
    <w:rsid w:val="002E2761"/>
    <w:rsid w:val="002E2764"/>
    <w:rsid w:val="002E277B"/>
    <w:rsid w:val="002E277C"/>
    <w:rsid w:val="002E27EF"/>
    <w:rsid w:val="002E282F"/>
    <w:rsid w:val="002E2880"/>
    <w:rsid w:val="002E2886"/>
    <w:rsid w:val="002E28A7"/>
    <w:rsid w:val="002E28BC"/>
    <w:rsid w:val="002E28C5"/>
    <w:rsid w:val="002E290E"/>
    <w:rsid w:val="002E292E"/>
    <w:rsid w:val="002E2966"/>
    <w:rsid w:val="002E296B"/>
    <w:rsid w:val="002E2AC3"/>
    <w:rsid w:val="002E2AE3"/>
    <w:rsid w:val="002E2B0C"/>
    <w:rsid w:val="002E2B0F"/>
    <w:rsid w:val="002E2B34"/>
    <w:rsid w:val="002E2B86"/>
    <w:rsid w:val="002E2C06"/>
    <w:rsid w:val="002E2C21"/>
    <w:rsid w:val="002E2C38"/>
    <w:rsid w:val="002E2C3D"/>
    <w:rsid w:val="002E2C50"/>
    <w:rsid w:val="002E2C57"/>
    <w:rsid w:val="002E2D09"/>
    <w:rsid w:val="002E2D90"/>
    <w:rsid w:val="002E2E00"/>
    <w:rsid w:val="002E2E6D"/>
    <w:rsid w:val="002E2E81"/>
    <w:rsid w:val="002E2EBF"/>
    <w:rsid w:val="002E2ED5"/>
    <w:rsid w:val="002E2FBA"/>
    <w:rsid w:val="002E2FBE"/>
    <w:rsid w:val="002E304D"/>
    <w:rsid w:val="002E307F"/>
    <w:rsid w:val="002E30DB"/>
    <w:rsid w:val="002E311B"/>
    <w:rsid w:val="002E3132"/>
    <w:rsid w:val="002E3176"/>
    <w:rsid w:val="002E3218"/>
    <w:rsid w:val="002E32BB"/>
    <w:rsid w:val="002E32CD"/>
    <w:rsid w:val="002E333E"/>
    <w:rsid w:val="002E33EA"/>
    <w:rsid w:val="002E34D6"/>
    <w:rsid w:val="002E34D8"/>
    <w:rsid w:val="002E34F4"/>
    <w:rsid w:val="002E3508"/>
    <w:rsid w:val="002E3538"/>
    <w:rsid w:val="002E3557"/>
    <w:rsid w:val="002E357C"/>
    <w:rsid w:val="002E357F"/>
    <w:rsid w:val="002E3589"/>
    <w:rsid w:val="002E35CD"/>
    <w:rsid w:val="002E35DD"/>
    <w:rsid w:val="002E35FD"/>
    <w:rsid w:val="002E365B"/>
    <w:rsid w:val="002E3679"/>
    <w:rsid w:val="002E368C"/>
    <w:rsid w:val="002E3694"/>
    <w:rsid w:val="002E36A8"/>
    <w:rsid w:val="002E36AF"/>
    <w:rsid w:val="002E3710"/>
    <w:rsid w:val="002E373B"/>
    <w:rsid w:val="002E376A"/>
    <w:rsid w:val="002E37CE"/>
    <w:rsid w:val="002E3858"/>
    <w:rsid w:val="002E38DE"/>
    <w:rsid w:val="002E393F"/>
    <w:rsid w:val="002E3954"/>
    <w:rsid w:val="002E3984"/>
    <w:rsid w:val="002E39B3"/>
    <w:rsid w:val="002E3A00"/>
    <w:rsid w:val="002E3A5F"/>
    <w:rsid w:val="002E3A78"/>
    <w:rsid w:val="002E3A90"/>
    <w:rsid w:val="002E3AEC"/>
    <w:rsid w:val="002E3AED"/>
    <w:rsid w:val="002E3AF6"/>
    <w:rsid w:val="002E3B07"/>
    <w:rsid w:val="002E3B45"/>
    <w:rsid w:val="002E3B53"/>
    <w:rsid w:val="002E3C0E"/>
    <w:rsid w:val="002E3C25"/>
    <w:rsid w:val="002E3D13"/>
    <w:rsid w:val="002E3D65"/>
    <w:rsid w:val="002E3DB2"/>
    <w:rsid w:val="002E3DEC"/>
    <w:rsid w:val="002E3E13"/>
    <w:rsid w:val="002E3EAA"/>
    <w:rsid w:val="002E3F18"/>
    <w:rsid w:val="002E3F22"/>
    <w:rsid w:val="002E3F73"/>
    <w:rsid w:val="002E3FDB"/>
    <w:rsid w:val="002E3FF0"/>
    <w:rsid w:val="002E400A"/>
    <w:rsid w:val="002E4041"/>
    <w:rsid w:val="002E4055"/>
    <w:rsid w:val="002E40A0"/>
    <w:rsid w:val="002E40BF"/>
    <w:rsid w:val="002E40C1"/>
    <w:rsid w:val="002E4145"/>
    <w:rsid w:val="002E418F"/>
    <w:rsid w:val="002E4200"/>
    <w:rsid w:val="002E4298"/>
    <w:rsid w:val="002E42EF"/>
    <w:rsid w:val="002E43E7"/>
    <w:rsid w:val="002E4441"/>
    <w:rsid w:val="002E4505"/>
    <w:rsid w:val="002E4507"/>
    <w:rsid w:val="002E4585"/>
    <w:rsid w:val="002E459C"/>
    <w:rsid w:val="002E45B0"/>
    <w:rsid w:val="002E45F1"/>
    <w:rsid w:val="002E45F3"/>
    <w:rsid w:val="002E45FB"/>
    <w:rsid w:val="002E46D9"/>
    <w:rsid w:val="002E4720"/>
    <w:rsid w:val="002E474C"/>
    <w:rsid w:val="002E4780"/>
    <w:rsid w:val="002E4788"/>
    <w:rsid w:val="002E479B"/>
    <w:rsid w:val="002E47C3"/>
    <w:rsid w:val="002E47C8"/>
    <w:rsid w:val="002E4826"/>
    <w:rsid w:val="002E488C"/>
    <w:rsid w:val="002E4894"/>
    <w:rsid w:val="002E48A2"/>
    <w:rsid w:val="002E490F"/>
    <w:rsid w:val="002E4910"/>
    <w:rsid w:val="002E4A49"/>
    <w:rsid w:val="002E4A53"/>
    <w:rsid w:val="002E4A8E"/>
    <w:rsid w:val="002E4ADE"/>
    <w:rsid w:val="002E4AE2"/>
    <w:rsid w:val="002E4AE9"/>
    <w:rsid w:val="002E4B0A"/>
    <w:rsid w:val="002E4B2D"/>
    <w:rsid w:val="002E4B6E"/>
    <w:rsid w:val="002E4BF7"/>
    <w:rsid w:val="002E4C10"/>
    <w:rsid w:val="002E4C2E"/>
    <w:rsid w:val="002E4C3B"/>
    <w:rsid w:val="002E4CA5"/>
    <w:rsid w:val="002E4CB4"/>
    <w:rsid w:val="002E4D96"/>
    <w:rsid w:val="002E4E26"/>
    <w:rsid w:val="002E4E4A"/>
    <w:rsid w:val="002E4EF8"/>
    <w:rsid w:val="002E4F2A"/>
    <w:rsid w:val="002E4F3B"/>
    <w:rsid w:val="002E5025"/>
    <w:rsid w:val="002E5068"/>
    <w:rsid w:val="002E50A7"/>
    <w:rsid w:val="002E50DC"/>
    <w:rsid w:val="002E51C0"/>
    <w:rsid w:val="002E5235"/>
    <w:rsid w:val="002E52F1"/>
    <w:rsid w:val="002E5310"/>
    <w:rsid w:val="002E5341"/>
    <w:rsid w:val="002E53A6"/>
    <w:rsid w:val="002E53C3"/>
    <w:rsid w:val="002E547A"/>
    <w:rsid w:val="002E54E5"/>
    <w:rsid w:val="002E54F9"/>
    <w:rsid w:val="002E5509"/>
    <w:rsid w:val="002E553C"/>
    <w:rsid w:val="002E554F"/>
    <w:rsid w:val="002E559C"/>
    <w:rsid w:val="002E559D"/>
    <w:rsid w:val="002E55D5"/>
    <w:rsid w:val="002E5633"/>
    <w:rsid w:val="002E5694"/>
    <w:rsid w:val="002E5697"/>
    <w:rsid w:val="002E56B3"/>
    <w:rsid w:val="002E570E"/>
    <w:rsid w:val="002E5713"/>
    <w:rsid w:val="002E5723"/>
    <w:rsid w:val="002E576A"/>
    <w:rsid w:val="002E57AC"/>
    <w:rsid w:val="002E57C6"/>
    <w:rsid w:val="002E5828"/>
    <w:rsid w:val="002E5831"/>
    <w:rsid w:val="002E5854"/>
    <w:rsid w:val="002E5863"/>
    <w:rsid w:val="002E5880"/>
    <w:rsid w:val="002E5893"/>
    <w:rsid w:val="002E592D"/>
    <w:rsid w:val="002E593A"/>
    <w:rsid w:val="002E5944"/>
    <w:rsid w:val="002E594B"/>
    <w:rsid w:val="002E595C"/>
    <w:rsid w:val="002E5993"/>
    <w:rsid w:val="002E5A21"/>
    <w:rsid w:val="002E5A23"/>
    <w:rsid w:val="002E5A69"/>
    <w:rsid w:val="002E5A8B"/>
    <w:rsid w:val="002E5AB7"/>
    <w:rsid w:val="002E5ACF"/>
    <w:rsid w:val="002E5AF0"/>
    <w:rsid w:val="002E5AFF"/>
    <w:rsid w:val="002E5C35"/>
    <w:rsid w:val="002E5CAA"/>
    <w:rsid w:val="002E5CCD"/>
    <w:rsid w:val="002E5D8F"/>
    <w:rsid w:val="002E5DA5"/>
    <w:rsid w:val="002E5DB0"/>
    <w:rsid w:val="002E5DBD"/>
    <w:rsid w:val="002E5EB2"/>
    <w:rsid w:val="002E5EFD"/>
    <w:rsid w:val="002E5F95"/>
    <w:rsid w:val="002E5FC8"/>
    <w:rsid w:val="002E5FF9"/>
    <w:rsid w:val="002E606B"/>
    <w:rsid w:val="002E6097"/>
    <w:rsid w:val="002E60D1"/>
    <w:rsid w:val="002E6180"/>
    <w:rsid w:val="002E6190"/>
    <w:rsid w:val="002E61B8"/>
    <w:rsid w:val="002E6241"/>
    <w:rsid w:val="002E62BA"/>
    <w:rsid w:val="002E6300"/>
    <w:rsid w:val="002E6469"/>
    <w:rsid w:val="002E64AB"/>
    <w:rsid w:val="002E64EC"/>
    <w:rsid w:val="002E6516"/>
    <w:rsid w:val="002E651E"/>
    <w:rsid w:val="002E65BF"/>
    <w:rsid w:val="002E65F3"/>
    <w:rsid w:val="002E661F"/>
    <w:rsid w:val="002E6639"/>
    <w:rsid w:val="002E6671"/>
    <w:rsid w:val="002E6675"/>
    <w:rsid w:val="002E6745"/>
    <w:rsid w:val="002E675F"/>
    <w:rsid w:val="002E6785"/>
    <w:rsid w:val="002E6786"/>
    <w:rsid w:val="002E679B"/>
    <w:rsid w:val="002E67BF"/>
    <w:rsid w:val="002E6816"/>
    <w:rsid w:val="002E6835"/>
    <w:rsid w:val="002E6861"/>
    <w:rsid w:val="002E6952"/>
    <w:rsid w:val="002E69DD"/>
    <w:rsid w:val="002E6A4F"/>
    <w:rsid w:val="002E6A50"/>
    <w:rsid w:val="002E6A55"/>
    <w:rsid w:val="002E6A77"/>
    <w:rsid w:val="002E6ABF"/>
    <w:rsid w:val="002E6AEF"/>
    <w:rsid w:val="002E6AFD"/>
    <w:rsid w:val="002E6B4E"/>
    <w:rsid w:val="002E6B51"/>
    <w:rsid w:val="002E6C04"/>
    <w:rsid w:val="002E6C31"/>
    <w:rsid w:val="002E6C7C"/>
    <w:rsid w:val="002E6C80"/>
    <w:rsid w:val="002E6CB6"/>
    <w:rsid w:val="002E6CFE"/>
    <w:rsid w:val="002E6D49"/>
    <w:rsid w:val="002E6D8F"/>
    <w:rsid w:val="002E6DE3"/>
    <w:rsid w:val="002E6DE8"/>
    <w:rsid w:val="002E6E64"/>
    <w:rsid w:val="002E6E87"/>
    <w:rsid w:val="002E6ED5"/>
    <w:rsid w:val="002E6EEA"/>
    <w:rsid w:val="002E6EEF"/>
    <w:rsid w:val="002E6F09"/>
    <w:rsid w:val="002E6F2C"/>
    <w:rsid w:val="002E6F56"/>
    <w:rsid w:val="002E6F61"/>
    <w:rsid w:val="002E6F75"/>
    <w:rsid w:val="002E6F8C"/>
    <w:rsid w:val="002E6F90"/>
    <w:rsid w:val="002E6FAF"/>
    <w:rsid w:val="002E70C4"/>
    <w:rsid w:val="002E70C5"/>
    <w:rsid w:val="002E70DB"/>
    <w:rsid w:val="002E7112"/>
    <w:rsid w:val="002E7114"/>
    <w:rsid w:val="002E7121"/>
    <w:rsid w:val="002E7124"/>
    <w:rsid w:val="002E718C"/>
    <w:rsid w:val="002E718D"/>
    <w:rsid w:val="002E719C"/>
    <w:rsid w:val="002E71BC"/>
    <w:rsid w:val="002E71F1"/>
    <w:rsid w:val="002E71F3"/>
    <w:rsid w:val="002E7278"/>
    <w:rsid w:val="002E72F6"/>
    <w:rsid w:val="002E73B6"/>
    <w:rsid w:val="002E73C4"/>
    <w:rsid w:val="002E7409"/>
    <w:rsid w:val="002E749A"/>
    <w:rsid w:val="002E74ED"/>
    <w:rsid w:val="002E7525"/>
    <w:rsid w:val="002E7528"/>
    <w:rsid w:val="002E7544"/>
    <w:rsid w:val="002E7563"/>
    <w:rsid w:val="002E758C"/>
    <w:rsid w:val="002E75F9"/>
    <w:rsid w:val="002E764B"/>
    <w:rsid w:val="002E765E"/>
    <w:rsid w:val="002E76A0"/>
    <w:rsid w:val="002E76E4"/>
    <w:rsid w:val="002E777C"/>
    <w:rsid w:val="002E7784"/>
    <w:rsid w:val="002E77AD"/>
    <w:rsid w:val="002E78B6"/>
    <w:rsid w:val="002E7938"/>
    <w:rsid w:val="002E794D"/>
    <w:rsid w:val="002E795A"/>
    <w:rsid w:val="002E7A56"/>
    <w:rsid w:val="002E7A5F"/>
    <w:rsid w:val="002E7A7F"/>
    <w:rsid w:val="002E7A84"/>
    <w:rsid w:val="002E7A9D"/>
    <w:rsid w:val="002E7A9F"/>
    <w:rsid w:val="002E7AAB"/>
    <w:rsid w:val="002E7ACA"/>
    <w:rsid w:val="002E7AF2"/>
    <w:rsid w:val="002E7B1D"/>
    <w:rsid w:val="002E7B5A"/>
    <w:rsid w:val="002E7B9C"/>
    <w:rsid w:val="002E7BED"/>
    <w:rsid w:val="002E7C7E"/>
    <w:rsid w:val="002E7CA1"/>
    <w:rsid w:val="002E7CD0"/>
    <w:rsid w:val="002E7D35"/>
    <w:rsid w:val="002E7D4E"/>
    <w:rsid w:val="002E7DDA"/>
    <w:rsid w:val="002E7E2C"/>
    <w:rsid w:val="002E7ED0"/>
    <w:rsid w:val="002E7F1D"/>
    <w:rsid w:val="002F0062"/>
    <w:rsid w:val="002F00CD"/>
    <w:rsid w:val="002F0100"/>
    <w:rsid w:val="002F0174"/>
    <w:rsid w:val="002F019B"/>
    <w:rsid w:val="002F0289"/>
    <w:rsid w:val="002F030E"/>
    <w:rsid w:val="002F0373"/>
    <w:rsid w:val="002F0387"/>
    <w:rsid w:val="002F03AB"/>
    <w:rsid w:val="002F03D3"/>
    <w:rsid w:val="002F040C"/>
    <w:rsid w:val="002F0467"/>
    <w:rsid w:val="002F050B"/>
    <w:rsid w:val="002F0552"/>
    <w:rsid w:val="002F05B8"/>
    <w:rsid w:val="002F05E7"/>
    <w:rsid w:val="002F0600"/>
    <w:rsid w:val="002F0621"/>
    <w:rsid w:val="002F064B"/>
    <w:rsid w:val="002F06BD"/>
    <w:rsid w:val="002F06E9"/>
    <w:rsid w:val="002F072F"/>
    <w:rsid w:val="002F0734"/>
    <w:rsid w:val="002F0736"/>
    <w:rsid w:val="002F0767"/>
    <w:rsid w:val="002F07A0"/>
    <w:rsid w:val="002F07AE"/>
    <w:rsid w:val="002F07FC"/>
    <w:rsid w:val="002F08A1"/>
    <w:rsid w:val="002F08D8"/>
    <w:rsid w:val="002F08E5"/>
    <w:rsid w:val="002F08E7"/>
    <w:rsid w:val="002F08FA"/>
    <w:rsid w:val="002F091C"/>
    <w:rsid w:val="002F094D"/>
    <w:rsid w:val="002F0992"/>
    <w:rsid w:val="002F09E8"/>
    <w:rsid w:val="002F0A46"/>
    <w:rsid w:val="002F0A4E"/>
    <w:rsid w:val="002F0A82"/>
    <w:rsid w:val="002F0A97"/>
    <w:rsid w:val="002F0ABA"/>
    <w:rsid w:val="002F0AFA"/>
    <w:rsid w:val="002F0B06"/>
    <w:rsid w:val="002F0B7C"/>
    <w:rsid w:val="002F0C44"/>
    <w:rsid w:val="002F0C56"/>
    <w:rsid w:val="002F0C8E"/>
    <w:rsid w:val="002F0CE2"/>
    <w:rsid w:val="002F0CF0"/>
    <w:rsid w:val="002F0D3A"/>
    <w:rsid w:val="002F0D7D"/>
    <w:rsid w:val="002F0D99"/>
    <w:rsid w:val="002F0DD0"/>
    <w:rsid w:val="002F0DD6"/>
    <w:rsid w:val="002F0E53"/>
    <w:rsid w:val="002F0E5A"/>
    <w:rsid w:val="002F0EC3"/>
    <w:rsid w:val="002F0ECD"/>
    <w:rsid w:val="002F0F87"/>
    <w:rsid w:val="002F0FCB"/>
    <w:rsid w:val="002F1015"/>
    <w:rsid w:val="002F103A"/>
    <w:rsid w:val="002F1053"/>
    <w:rsid w:val="002F107D"/>
    <w:rsid w:val="002F112A"/>
    <w:rsid w:val="002F11F5"/>
    <w:rsid w:val="002F1274"/>
    <w:rsid w:val="002F12B5"/>
    <w:rsid w:val="002F12BE"/>
    <w:rsid w:val="002F12D7"/>
    <w:rsid w:val="002F12F6"/>
    <w:rsid w:val="002F12F9"/>
    <w:rsid w:val="002F1341"/>
    <w:rsid w:val="002F1362"/>
    <w:rsid w:val="002F1383"/>
    <w:rsid w:val="002F13FD"/>
    <w:rsid w:val="002F13FE"/>
    <w:rsid w:val="002F1428"/>
    <w:rsid w:val="002F1467"/>
    <w:rsid w:val="002F1483"/>
    <w:rsid w:val="002F14D9"/>
    <w:rsid w:val="002F1518"/>
    <w:rsid w:val="002F1614"/>
    <w:rsid w:val="002F1636"/>
    <w:rsid w:val="002F1651"/>
    <w:rsid w:val="002F16B8"/>
    <w:rsid w:val="002F16E9"/>
    <w:rsid w:val="002F170B"/>
    <w:rsid w:val="002F170E"/>
    <w:rsid w:val="002F173A"/>
    <w:rsid w:val="002F1752"/>
    <w:rsid w:val="002F177F"/>
    <w:rsid w:val="002F17D0"/>
    <w:rsid w:val="002F17F7"/>
    <w:rsid w:val="002F183C"/>
    <w:rsid w:val="002F185F"/>
    <w:rsid w:val="002F18B9"/>
    <w:rsid w:val="002F191D"/>
    <w:rsid w:val="002F1935"/>
    <w:rsid w:val="002F1A1C"/>
    <w:rsid w:val="002F1A41"/>
    <w:rsid w:val="002F1A4C"/>
    <w:rsid w:val="002F1A52"/>
    <w:rsid w:val="002F1A66"/>
    <w:rsid w:val="002F1AB2"/>
    <w:rsid w:val="002F1B17"/>
    <w:rsid w:val="002F1B39"/>
    <w:rsid w:val="002F1B5E"/>
    <w:rsid w:val="002F1B9E"/>
    <w:rsid w:val="002F1BC6"/>
    <w:rsid w:val="002F1BEA"/>
    <w:rsid w:val="002F1C64"/>
    <w:rsid w:val="002F1C7C"/>
    <w:rsid w:val="002F1C85"/>
    <w:rsid w:val="002F1CDD"/>
    <w:rsid w:val="002F1CE2"/>
    <w:rsid w:val="002F1D2A"/>
    <w:rsid w:val="002F1D74"/>
    <w:rsid w:val="002F1D8E"/>
    <w:rsid w:val="002F1DA3"/>
    <w:rsid w:val="002F1F35"/>
    <w:rsid w:val="002F1F3D"/>
    <w:rsid w:val="002F1F56"/>
    <w:rsid w:val="002F1F9C"/>
    <w:rsid w:val="002F2009"/>
    <w:rsid w:val="002F20AA"/>
    <w:rsid w:val="002F2123"/>
    <w:rsid w:val="002F2129"/>
    <w:rsid w:val="002F21F6"/>
    <w:rsid w:val="002F220D"/>
    <w:rsid w:val="002F2214"/>
    <w:rsid w:val="002F2245"/>
    <w:rsid w:val="002F2284"/>
    <w:rsid w:val="002F22CC"/>
    <w:rsid w:val="002F22E3"/>
    <w:rsid w:val="002F2315"/>
    <w:rsid w:val="002F232D"/>
    <w:rsid w:val="002F2382"/>
    <w:rsid w:val="002F2431"/>
    <w:rsid w:val="002F2453"/>
    <w:rsid w:val="002F246A"/>
    <w:rsid w:val="002F24C6"/>
    <w:rsid w:val="002F2516"/>
    <w:rsid w:val="002F2550"/>
    <w:rsid w:val="002F2572"/>
    <w:rsid w:val="002F257A"/>
    <w:rsid w:val="002F25B9"/>
    <w:rsid w:val="002F25CA"/>
    <w:rsid w:val="002F25E2"/>
    <w:rsid w:val="002F25F4"/>
    <w:rsid w:val="002F25FA"/>
    <w:rsid w:val="002F2634"/>
    <w:rsid w:val="002F2666"/>
    <w:rsid w:val="002F266D"/>
    <w:rsid w:val="002F26BC"/>
    <w:rsid w:val="002F2747"/>
    <w:rsid w:val="002F27EA"/>
    <w:rsid w:val="002F2841"/>
    <w:rsid w:val="002F2892"/>
    <w:rsid w:val="002F290B"/>
    <w:rsid w:val="002F2959"/>
    <w:rsid w:val="002F29FD"/>
    <w:rsid w:val="002F2AA5"/>
    <w:rsid w:val="002F2AC0"/>
    <w:rsid w:val="002F2AF7"/>
    <w:rsid w:val="002F2B46"/>
    <w:rsid w:val="002F2B64"/>
    <w:rsid w:val="002F2C40"/>
    <w:rsid w:val="002F2C51"/>
    <w:rsid w:val="002F2C9B"/>
    <w:rsid w:val="002F2D54"/>
    <w:rsid w:val="002F2D6B"/>
    <w:rsid w:val="002F2E46"/>
    <w:rsid w:val="002F2E69"/>
    <w:rsid w:val="002F2E73"/>
    <w:rsid w:val="002F2E87"/>
    <w:rsid w:val="002F2E9A"/>
    <w:rsid w:val="002F2EFE"/>
    <w:rsid w:val="002F2F2C"/>
    <w:rsid w:val="002F2F42"/>
    <w:rsid w:val="002F2FB8"/>
    <w:rsid w:val="002F2FD6"/>
    <w:rsid w:val="002F2FF0"/>
    <w:rsid w:val="002F3057"/>
    <w:rsid w:val="002F3065"/>
    <w:rsid w:val="002F3079"/>
    <w:rsid w:val="002F3129"/>
    <w:rsid w:val="002F316D"/>
    <w:rsid w:val="002F3196"/>
    <w:rsid w:val="002F31B5"/>
    <w:rsid w:val="002F31BA"/>
    <w:rsid w:val="002F3256"/>
    <w:rsid w:val="002F3297"/>
    <w:rsid w:val="002F32AB"/>
    <w:rsid w:val="002F32E7"/>
    <w:rsid w:val="002F330D"/>
    <w:rsid w:val="002F335F"/>
    <w:rsid w:val="002F336F"/>
    <w:rsid w:val="002F3372"/>
    <w:rsid w:val="002F3413"/>
    <w:rsid w:val="002F344F"/>
    <w:rsid w:val="002F3463"/>
    <w:rsid w:val="002F3487"/>
    <w:rsid w:val="002F353A"/>
    <w:rsid w:val="002F3579"/>
    <w:rsid w:val="002F359A"/>
    <w:rsid w:val="002F35A3"/>
    <w:rsid w:val="002F35FC"/>
    <w:rsid w:val="002F368A"/>
    <w:rsid w:val="002F36DB"/>
    <w:rsid w:val="002F3709"/>
    <w:rsid w:val="002F3757"/>
    <w:rsid w:val="002F377F"/>
    <w:rsid w:val="002F3792"/>
    <w:rsid w:val="002F37B4"/>
    <w:rsid w:val="002F3836"/>
    <w:rsid w:val="002F3853"/>
    <w:rsid w:val="002F3857"/>
    <w:rsid w:val="002F3871"/>
    <w:rsid w:val="002F38C8"/>
    <w:rsid w:val="002F38F5"/>
    <w:rsid w:val="002F3992"/>
    <w:rsid w:val="002F39FD"/>
    <w:rsid w:val="002F3A65"/>
    <w:rsid w:val="002F3A7B"/>
    <w:rsid w:val="002F3A9E"/>
    <w:rsid w:val="002F3B4E"/>
    <w:rsid w:val="002F3B6D"/>
    <w:rsid w:val="002F3B91"/>
    <w:rsid w:val="002F3BF9"/>
    <w:rsid w:val="002F3CA1"/>
    <w:rsid w:val="002F3CD7"/>
    <w:rsid w:val="002F3CEA"/>
    <w:rsid w:val="002F3CF1"/>
    <w:rsid w:val="002F3DA1"/>
    <w:rsid w:val="002F3DEE"/>
    <w:rsid w:val="002F3E0A"/>
    <w:rsid w:val="002F3E52"/>
    <w:rsid w:val="002F3EAB"/>
    <w:rsid w:val="002F3F0A"/>
    <w:rsid w:val="002F3FE1"/>
    <w:rsid w:val="002F3FE4"/>
    <w:rsid w:val="002F408B"/>
    <w:rsid w:val="002F41D0"/>
    <w:rsid w:val="002F426F"/>
    <w:rsid w:val="002F42A0"/>
    <w:rsid w:val="002F42FB"/>
    <w:rsid w:val="002F4341"/>
    <w:rsid w:val="002F435F"/>
    <w:rsid w:val="002F4365"/>
    <w:rsid w:val="002F43AC"/>
    <w:rsid w:val="002F43BD"/>
    <w:rsid w:val="002F443E"/>
    <w:rsid w:val="002F4442"/>
    <w:rsid w:val="002F4460"/>
    <w:rsid w:val="002F44EF"/>
    <w:rsid w:val="002F4556"/>
    <w:rsid w:val="002F45AB"/>
    <w:rsid w:val="002F45C8"/>
    <w:rsid w:val="002F45F7"/>
    <w:rsid w:val="002F46E1"/>
    <w:rsid w:val="002F474F"/>
    <w:rsid w:val="002F4793"/>
    <w:rsid w:val="002F4794"/>
    <w:rsid w:val="002F47EC"/>
    <w:rsid w:val="002F480F"/>
    <w:rsid w:val="002F48AF"/>
    <w:rsid w:val="002F49D3"/>
    <w:rsid w:val="002F49F0"/>
    <w:rsid w:val="002F4A45"/>
    <w:rsid w:val="002F4AC7"/>
    <w:rsid w:val="002F4B1C"/>
    <w:rsid w:val="002F4BDA"/>
    <w:rsid w:val="002F4C14"/>
    <w:rsid w:val="002F4C45"/>
    <w:rsid w:val="002F4CBF"/>
    <w:rsid w:val="002F4D01"/>
    <w:rsid w:val="002F4D47"/>
    <w:rsid w:val="002F4E23"/>
    <w:rsid w:val="002F4E8A"/>
    <w:rsid w:val="002F4EBD"/>
    <w:rsid w:val="002F4F1A"/>
    <w:rsid w:val="002F4F1D"/>
    <w:rsid w:val="002F5072"/>
    <w:rsid w:val="002F5079"/>
    <w:rsid w:val="002F511B"/>
    <w:rsid w:val="002F518F"/>
    <w:rsid w:val="002F51B6"/>
    <w:rsid w:val="002F51FA"/>
    <w:rsid w:val="002F522A"/>
    <w:rsid w:val="002F5276"/>
    <w:rsid w:val="002F529E"/>
    <w:rsid w:val="002F5314"/>
    <w:rsid w:val="002F5346"/>
    <w:rsid w:val="002F5355"/>
    <w:rsid w:val="002F53F2"/>
    <w:rsid w:val="002F5402"/>
    <w:rsid w:val="002F5426"/>
    <w:rsid w:val="002F543D"/>
    <w:rsid w:val="002F54EF"/>
    <w:rsid w:val="002F54F0"/>
    <w:rsid w:val="002F5520"/>
    <w:rsid w:val="002F5549"/>
    <w:rsid w:val="002F556B"/>
    <w:rsid w:val="002F5650"/>
    <w:rsid w:val="002F569D"/>
    <w:rsid w:val="002F56B2"/>
    <w:rsid w:val="002F5712"/>
    <w:rsid w:val="002F57BD"/>
    <w:rsid w:val="002F57CF"/>
    <w:rsid w:val="002F5894"/>
    <w:rsid w:val="002F5896"/>
    <w:rsid w:val="002F58C7"/>
    <w:rsid w:val="002F58F5"/>
    <w:rsid w:val="002F58FB"/>
    <w:rsid w:val="002F592E"/>
    <w:rsid w:val="002F593A"/>
    <w:rsid w:val="002F59A6"/>
    <w:rsid w:val="002F59FB"/>
    <w:rsid w:val="002F59FF"/>
    <w:rsid w:val="002F5A3F"/>
    <w:rsid w:val="002F5AC6"/>
    <w:rsid w:val="002F5C13"/>
    <w:rsid w:val="002F5C7F"/>
    <w:rsid w:val="002F5C88"/>
    <w:rsid w:val="002F5CAC"/>
    <w:rsid w:val="002F5D44"/>
    <w:rsid w:val="002F5D8F"/>
    <w:rsid w:val="002F5D93"/>
    <w:rsid w:val="002F5E09"/>
    <w:rsid w:val="002F5E68"/>
    <w:rsid w:val="002F5EAE"/>
    <w:rsid w:val="002F5EC2"/>
    <w:rsid w:val="002F5FBF"/>
    <w:rsid w:val="002F602B"/>
    <w:rsid w:val="002F6081"/>
    <w:rsid w:val="002F60C0"/>
    <w:rsid w:val="002F60EE"/>
    <w:rsid w:val="002F618D"/>
    <w:rsid w:val="002F618F"/>
    <w:rsid w:val="002F6236"/>
    <w:rsid w:val="002F6251"/>
    <w:rsid w:val="002F62A1"/>
    <w:rsid w:val="002F63D1"/>
    <w:rsid w:val="002F641B"/>
    <w:rsid w:val="002F6489"/>
    <w:rsid w:val="002F64BC"/>
    <w:rsid w:val="002F64BE"/>
    <w:rsid w:val="002F657B"/>
    <w:rsid w:val="002F65BD"/>
    <w:rsid w:val="002F65C3"/>
    <w:rsid w:val="002F6605"/>
    <w:rsid w:val="002F6675"/>
    <w:rsid w:val="002F66D1"/>
    <w:rsid w:val="002F66F1"/>
    <w:rsid w:val="002F6722"/>
    <w:rsid w:val="002F6729"/>
    <w:rsid w:val="002F6745"/>
    <w:rsid w:val="002F6807"/>
    <w:rsid w:val="002F6852"/>
    <w:rsid w:val="002F68B8"/>
    <w:rsid w:val="002F6901"/>
    <w:rsid w:val="002F692A"/>
    <w:rsid w:val="002F6941"/>
    <w:rsid w:val="002F6A38"/>
    <w:rsid w:val="002F6A3D"/>
    <w:rsid w:val="002F6A6D"/>
    <w:rsid w:val="002F6A6E"/>
    <w:rsid w:val="002F6AAC"/>
    <w:rsid w:val="002F6AF4"/>
    <w:rsid w:val="002F6AF6"/>
    <w:rsid w:val="002F6B12"/>
    <w:rsid w:val="002F6B1B"/>
    <w:rsid w:val="002F6B3E"/>
    <w:rsid w:val="002F6B56"/>
    <w:rsid w:val="002F6B8B"/>
    <w:rsid w:val="002F6C03"/>
    <w:rsid w:val="002F6C2F"/>
    <w:rsid w:val="002F6C95"/>
    <w:rsid w:val="002F6CA9"/>
    <w:rsid w:val="002F6D1D"/>
    <w:rsid w:val="002F6D31"/>
    <w:rsid w:val="002F6D49"/>
    <w:rsid w:val="002F6DBF"/>
    <w:rsid w:val="002F6DC2"/>
    <w:rsid w:val="002F6DCC"/>
    <w:rsid w:val="002F6DEE"/>
    <w:rsid w:val="002F6E17"/>
    <w:rsid w:val="002F6E80"/>
    <w:rsid w:val="002F6E83"/>
    <w:rsid w:val="002F6EE3"/>
    <w:rsid w:val="002F6EF8"/>
    <w:rsid w:val="002F6F5A"/>
    <w:rsid w:val="002F6FE9"/>
    <w:rsid w:val="002F7012"/>
    <w:rsid w:val="002F7020"/>
    <w:rsid w:val="002F7084"/>
    <w:rsid w:val="002F70A1"/>
    <w:rsid w:val="002F70A6"/>
    <w:rsid w:val="002F70B6"/>
    <w:rsid w:val="002F70BD"/>
    <w:rsid w:val="002F70DE"/>
    <w:rsid w:val="002F7111"/>
    <w:rsid w:val="002F7130"/>
    <w:rsid w:val="002F714E"/>
    <w:rsid w:val="002F7155"/>
    <w:rsid w:val="002F716E"/>
    <w:rsid w:val="002F71AE"/>
    <w:rsid w:val="002F71B6"/>
    <w:rsid w:val="002F71F0"/>
    <w:rsid w:val="002F7268"/>
    <w:rsid w:val="002F72CD"/>
    <w:rsid w:val="002F73EA"/>
    <w:rsid w:val="002F7453"/>
    <w:rsid w:val="002F7498"/>
    <w:rsid w:val="002F749F"/>
    <w:rsid w:val="002F74D2"/>
    <w:rsid w:val="002F74DF"/>
    <w:rsid w:val="002F74E7"/>
    <w:rsid w:val="002F754F"/>
    <w:rsid w:val="002F755F"/>
    <w:rsid w:val="002F75E1"/>
    <w:rsid w:val="002F7616"/>
    <w:rsid w:val="002F7685"/>
    <w:rsid w:val="002F7688"/>
    <w:rsid w:val="002F76DD"/>
    <w:rsid w:val="002F7749"/>
    <w:rsid w:val="002F777D"/>
    <w:rsid w:val="002F77BA"/>
    <w:rsid w:val="002F77DB"/>
    <w:rsid w:val="002F784F"/>
    <w:rsid w:val="002F785F"/>
    <w:rsid w:val="002F7871"/>
    <w:rsid w:val="002F787B"/>
    <w:rsid w:val="002F78C4"/>
    <w:rsid w:val="002F78DC"/>
    <w:rsid w:val="002F7913"/>
    <w:rsid w:val="002F791B"/>
    <w:rsid w:val="002F7A4E"/>
    <w:rsid w:val="002F7A53"/>
    <w:rsid w:val="002F7AA7"/>
    <w:rsid w:val="002F7AB7"/>
    <w:rsid w:val="002F7ABB"/>
    <w:rsid w:val="002F7ADA"/>
    <w:rsid w:val="002F7B0E"/>
    <w:rsid w:val="002F7B6B"/>
    <w:rsid w:val="002F7BBC"/>
    <w:rsid w:val="002F7C16"/>
    <w:rsid w:val="002F7C83"/>
    <w:rsid w:val="002F7D04"/>
    <w:rsid w:val="002F7D07"/>
    <w:rsid w:val="002F7D13"/>
    <w:rsid w:val="002F7D6B"/>
    <w:rsid w:val="002F7D6C"/>
    <w:rsid w:val="002F7D6E"/>
    <w:rsid w:val="002F7DAA"/>
    <w:rsid w:val="002F7DB7"/>
    <w:rsid w:val="002F7DD0"/>
    <w:rsid w:val="002F7E20"/>
    <w:rsid w:val="002F7E40"/>
    <w:rsid w:val="002F7E70"/>
    <w:rsid w:val="002F7EB1"/>
    <w:rsid w:val="002F7F7B"/>
    <w:rsid w:val="002F7F8B"/>
    <w:rsid w:val="002F7FEB"/>
    <w:rsid w:val="00300042"/>
    <w:rsid w:val="00300077"/>
    <w:rsid w:val="0030008B"/>
    <w:rsid w:val="003000E1"/>
    <w:rsid w:val="00300156"/>
    <w:rsid w:val="003001AE"/>
    <w:rsid w:val="003001DB"/>
    <w:rsid w:val="00300216"/>
    <w:rsid w:val="0030029C"/>
    <w:rsid w:val="003002A1"/>
    <w:rsid w:val="003002DA"/>
    <w:rsid w:val="00300345"/>
    <w:rsid w:val="00300360"/>
    <w:rsid w:val="0030037F"/>
    <w:rsid w:val="003003CD"/>
    <w:rsid w:val="0030040E"/>
    <w:rsid w:val="00300411"/>
    <w:rsid w:val="00300430"/>
    <w:rsid w:val="0030045F"/>
    <w:rsid w:val="003004AF"/>
    <w:rsid w:val="003004BA"/>
    <w:rsid w:val="0030053D"/>
    <w:rsid w:val="003005BE"/>
    <w:rsid w:val="003005F2"/>
    <w:rsid w:val="0030066F"/>
    <w:rsid w:val="00300692"/>
    <w:rsid w:val="003006DB"/>
    <w:rsid w:val="003006EE"/>
    <w:rsid w:val="0030074E"/>
    <w:rsid w:val="0030078E"/>
    <w:rsid w:val="003007D8"/>
    <w:rsid w:val="00300806"/>
    <w:rsid w:val="0030087F"/>
    <w:rsid w:val="003008AA"/>
    <w:rsid w:val="003008F1"/>
    <w:rsid w:val="00300917"/>
    <w:rsid w:val="0030094C"/>
    <w:rsid w:val="003009BF"/>
    <w:rsid w:val="00300A0F"/>
    <w:rsid w:val="00300A20"/>
    <w:rsid w:val="00300AF8"/>
    <w:rsid w:val="00300B12"/>
    <w:rsid w:val="00300B54"/>
    <w:rsid w:val="00300B63"/>
    <w:rsid w:val="00300B8C"/>
    <w:rsid w:val="00300B99"/>
    <w:rsid w:val="00300BA5"/>
    <w:rsid w:val="00300BAA"/>
    <w:rsid w:val="00300BCB"/>
    <w:rsid w:val="00300BE6"/>
    <w:rsid w:val="00300BF5"/>
    <w:rsid w:val="00300C1A"/>
    <w:rsid w:val="00300C62"/>
    <w:rsid w:val="00300C81"/>
    <w:rsid w:val="00300C91"/>
    <w:rsid w:val="00300CED"/>
    <w:rsid w:val="00300D19"/>
    <w:rsid w:val="00300D9C"/>
    <w:rsid w:val="00300DDE"/>
    <w:rsid w:val="00300DF6"/>
    <w:rsid w:val="00300E0A"/>
    <w:rsid w:val="00300E10"/>
    <w:rsid w:val="00300E23"/>
    <w:rsid w:val="00300E57"/>
    <w:rsid w:val="00300E87"/>
    <w:rsid w:val="00300E92"/>
    <w:rsid w:val="00300EEE"/>
    <w:rsid w:val="00300F0A"/>
    <w:rsid w:val="00300F79"/>
    <w:rsid w:val="00300FE7"/>
    <w:rsid w:val="0030107B"/>
    <w:rsid w:val="00301135"/>
    <w:rsid w:val="00301136"/>
    <w:rsid w:val="00301161"/>
    <w:rsid w:val="00301176"/>
    <w:rsid w:val="003011D1"/>
    <w:rsid w:val="00301222"/>
    <w:rsid w:val="00301240"/>
    <w:rsid w:val="00301297"/>
    <w:rsid w:val="003012C5"/>
    <w:rsid w:val="003012D6"/>
    <w:rsid w:val="00301304"/>
    <w:rsid w:val="00301363"/>
    <w:rsid w:val="0030137A"/>
    <w:rsid w:val="003013C3"/>
    <w:rsid w:val="00301492"/>
    <w:rsid w:val="003014B6"/>
    <w:rsid w:val="003014D5"/>
    <w:rsid w:val="00301501"/>
    <w:rsid w:val="00301563"/>
    <w:rsid w:val="00301591"/>
    <w:rsid w:val="003016C8"/>
    <w:rsid w:val="003016D2"/>
    <w:rsid w:val="0030170F"/>
    <w:rsid w:val="00301720"/>
    <w:rsid w:val="003017AD"/>
    <w:rsid w:val="00301810"/>
    <w:rsid w:val="0030189A"/>
    <w:rsid w:val="003018D1"/>
    <w:rsid w:val="0030193F"/>
    <w:rsid w:val="00301941"/>
    <w:rsid w:val="00301984"/>
    <w:rsid w:val="003019C8"/>
    <w:rsid w:val="00301A9D"/>
    <w:rsid w:val="00301AA7"/>
    <w:rsid w:val="00301B33"/>
    <w:rsid w:val="00301B8A"/>
    <w:rsid w:val="00301BBD"/>
    <w:rsid w:val="00301C08"/>
    <w:rsid w:val="00301C10"/>
    <w:rsid w:val="00301C42"/>
    <w:rsid w:val="00301C7D"/>
    <w:rsid w:val="00301C8A"/>
    <w:rsid w:val="00301CC8"/>
    <w:rsid w:val="00301D0F"/>
    <w:rsid w:val="00301DAE"/>
    <w:rsid w:val="00301DDC"/>
    <w:rsid w:val="00301DE8"/>
    <w:rsid w:val="00301E39"/>
    <w:rsid w:val="00301E42"/>
    <w:rsid w:val="00301ED5"/>
    <w:rsid w:val="00301F12"/>
    <w:rsid w:val="00301F1B"/>
    <w:rsid w:val="00301F20"/>
    <w:rsid w:val="00301F40"/>
    <w:rsid w:val="00301F55"/>
    <w:rsid w:val="00301F61"/>
    <w:rsid w:val="00301FD8"/>
    <w:rsid w:val="00301FE8"/>
    <w:rsid w:val="00302096"/>
    <w:rsid w:val="003020C7"/>
    <w:rsid w:val="003020FD"/>
    <w:rsid w:val="00302147"/>
    <w:rsid w:val="0030217D"/>
    <w:rsid w:val="00302258"/>
    <w:rsid w:val="0030229F"/>
    <w:rsid w:val="00302300"/>
    <w:rsid w:val="00302323"/>
    <w:rsid w:val="0030232D"/>
    <w:rsid w:val="00302333"/>
    <w:rsid w:val="0030234E"/>
    <w:rsid w:val="003023A4"/>
    <w:rsid w:val="0030246F"/>
    <w:rsid w:val="003024C4"/>
    <w:rsid w:val="003024FC"/>
    <w:rsid w:val="0030252B"/>
    <w:rsid w:val="00302534"/>
    <w:rsid w:val="003025A5"/>
    <w:rsid w:val="003025D9"/>
    <w:rsid w:val="0030261F"/>
    <w:rsid w:val="00302676"/>
    <w:rsid w:val="003026D4"/>
    <w:rsid w:val="003026D7"/>
    <w:rsid w:val="003026F5"/>
    <w:rsid w:val="0030274E"/>
    <w:rsid w:val="00302772"/>
    <w:rsid w:val="003027FE"/>
    <w:rsid w:val="00302801"/>
    <w:rsid w:val="00302831"/>
    <w:rsid w:val="00302898"/>
    <w:rsid w:val="003028C6"/>
    <w:rsid w:val="003028D6"/>
    <w:rsid w:val="003028FE"/>
    <w:rsid w:val="0030290E"/>
    <w:rsid w:val="00302991"/>
    <w:rsid w:val="003029BC"/>
    <w:rsid w:val="00302A10"/>
    <w:rsid w:val="00302A2E"/>
    <w:rsid w:val="00302A6F"/>
    <w:rsid w:val="00302AA3"/>
    <w:rsid w:val="00302AC3"/>
    <w:rsid w:val="00302AD4"/>
    <w:rsid w:val="00302AEE"/>
    <w:rsid w:val="00302AFF"/>
    <w:rsid w:val="00302B07"/>
    <w:rsid w:val="00302B98"/>
    <w:rsid w:val="00302BA1"/>
    <w:rsid w:val="00302BE0"/>
    <w:rsid w:val="00302BED"/>
    <w:rsid w:val="00302BF8"/>
    <w:rsid w:val="00302C7F"/>
    <w:rsid w:val="00302D40"/>
    <w:rsid w:val="00302D7B"/>
    <w:rsid w:val="00302D81"/>
    <w:rsid w:val="00302E00"/>
    <w:rsid w:val="00302E5C"/>
    <w:rsid w:val="00302EB4"/>
    <w:rsid w:val="00302EF5"/>
    <w:rsid w:val="00302F0B"/>
    <w:rsid w:val="00303065"/>
    <w:rsid w:val="00303073"/>
    <w:rsid w:val="00303076"/>
    <w:rsid w:val="003030B8"/>
    <w:rsid w:val="003030BB"/>
    <w:rsid w:val="0030310B"/>
    <w:rsid w:val="00303111"/>
    <w:rsid w:val="00303149"/>
    <w:rsid w:val="0030329D"/>
    <w:rsid w:val="0030331D"/>
    <w:rsid w:val="00303361"/>
    <w:rsid w:val="00303418"/>
    <w:rsid w:val="00303457"/>
    <w:rsid w:val="0030352F"/>
    <w:rsid w:val="00303586"/>
    <w:rsid w:val="00303588"/>
    <w:rsid w:val="003035C4"/>
    <w:rsid w:val="003035F5"/>
    <w:rsid w:val="00303623"/>
    <w:rsid w:val="00303635"/>
    <w:rsid w:val="00303675"/>
    <w:rsid w:val="00303696"/>
    <w:rsid w:val="003036DC"/>
    <w:rsid w:val="00303732"/>
    <w:rsid w:val="0030379A"/>
    <w:rsid w:val="003037B4"/>
    <w:rsid w:val="003037BA"/>
    <w:rsid w:val="003037C1"/>
    <w:rsid w:val="00303826"/>
    <w:rsid w:val="0030385F"/>
    <w:rsid w:val="0030386E"/>
    <w:rsid w:val="0030389D"/>
    <w:rsid w:val="003038B1"/>
    <w:rsid w:val="00303915"/>
    <w:rsid w:val="003039A7"/>
    <w:rsid w:val="003039BD"/>
    <w:rsid w:val="00303B55"/>
    <w:rsid w:val="00303B71"/>
    <w:rsid w:val="00303B9A"/>
    <w:rsid w:val="00303BB7"/>
    <w:rsid w:val="00303BC2"/>
    <w:rsid w:val="00303BF5"/>
    <w:rsid w:val="00303BFE"/>
    <w:rsid w:val="00303C57"/>
    <w:rsid w:val="00303C77"/>
    <w:rsid w:val="00303C95"/>
    <w:rsid w:val="00303D0B"/>
    <w:rsid w:val="00303D6C"/>
    <w:rsid w:val="00303E06"/>
    <w:rsid w:val="00303E11"/>
    <w:rsid w:val="00303E1A"/>
    <w:rsid w:val="00303EB5"/>
    <w:rsid w:val="00303EF8"/>
    <w:rsid w:val="00303F51"/>
    <w:rsid w:val="00303F8D"/>
    <w:rsid w:val="003040E3"/>
    <w:rsid w:val="00304162"/>
    <w:rsid w:val="003041AE"/>
    <w:rsid w:val="003041B6"/>
    <w:rsid w:val="003041C9"/>
    <w:rsid w:val="003041F6"/>
    <w:rsid w:val="00304221"/>
    <w:rsid w:val="00304239"/>
    <w:rsid w:val="00304296"/>
    <w:rsid w:val="003042C3"/>
    <w:rsid w:val="00304301"/>
    <w:rsid w:val="0030432A"/>
    <w:rsid w:val="00304341"/>
    <w:rsid w:val="003043C3"/>
    <w:rsid w:val="003044BA"/>
    <w:rsid w:val="003045D3"/>
    <w:rsid w:val="003045E3"/>
    <w:rsid w:val="00304604"/>
    <w:rsid w:val="0030460A"/>
    <w:rsid w:val="00304627"/>
    <w:rsid w:val="0030469B"/>
    <w:rsid w:val="003046A1"/>
    <w:rsid w:val="0030474F"/>
    <w:rsid w:val="00304808"/>
    <w:rsid w:val="00304888"/>
    <w:rsid w:val="00304895"/>
    <w:rsid w:val="003048A4"/>
    <w:rsid w:val="003049D0"/>
    <w:rsid w:val="003049FA"/>
    <w:rsid w:val="00304B12"/>
    <w:rsid w:val="00304B28"/>
    <w:rsid w:val="00304B32"/>
    <w:rsid w:val="00304B99"/>
    <w:rsid w:val="00304BDC"/>
    <w:rsid w:val="00304C83"/>
    <w:rsid w:val="00304C9B"/>
    <w:rsid w:val="00304CAA"/>
    <w:rsid w:val="00304D34"/>
    <w:rsid w:val="00304D36"/>
    <w:rsid w:val="00304D76"/>
    <w:rsid w:val="00304D96"/>
    <w:rsid w:val="00304DD4"/>
    <w:rsid w:val="00304E11"/>
    <w:rsid w:val="00304E24"/>
    <w:rsid w:val="00304E95"/>
    <w:rsid w:val="00304F59"/>
    <w:rsid w:val="00304F77"/>
    <w:rsid w:val="00304FB8"/>
    <w:rsid w:val="00305006"/>
    <w:rsid w:val="00305087"/>
    <w:rsid w:val="0030508B"/>
    <w:rsid w:val="003050E1"/>
    <w:rsid w:val="003050F2"/>
    <w:rsid w:val="003050F5"/>
    <w:rsid w:val="00305124"/>
    <w:rsid w:val="0030512B"/>
    <w:rsid w:val="0030514C"/>
    <w:rsid w:val="0030514E"/>
    <w:rsid w:val="00305165"/>
    <w:rsid w:val="00305184"/>
    <w:rsid w:val="003051E6"/>
    <w:rsid w:val="003051F3"/>
    <w:rsid w:val="00305283"/>
    <w:rsid w:val="00305294"/>
    <w:rsid w:val="003052A6"/>
    <w:rsid w:val="003052AF"/>
    <w:rsid w:val="003052B1"/>
    <w:rsid w:val="003052B2"/>
    <w:rsid w:val="003052D8"/>
    <w:rsid w:val="003052D9"/>
    <w:rsid w:val="0030534C"/>
    <w:rsid w:val="0030536A"/>
    <w:rsid w:val="00305374"/>
    <w:rsid w:val="0030538A"/>
    <w:rsid w:val="003053A0"/>
    <w:rsid w:val="00305457"/>
    <w:rsid w:val="00305477"/>
    <w:rsid w:val="003054EE"/>
    <w:rsid w:val="003054F6"/>
    <w:rsid w:val="003055A3"/>
    <w:rsid w:val="003055C6"/>
    <w:rsid w:val="00305613"/>
    <w:rsid w:val="0030568E"/>
    <w:rsid w:val="00305692"/>
    <w:rsid w:val="00305698"/>
    <w:rsid w:val="0030569D"/>
    <w:rsid w:val="003056B9"/>
    <w:rsid w:val="003056DC"/>
    <w:rsid w:val="0030577F"/>
    <w:rsid w:val="003057FC"/>
    <w:rsid w:val="00305818"/>
    <w:rsid w:val="00305838"/>
    <w:rsid w:val="0030587C"/>
    <w:rsid w:val="003058A4"/>
    <w:rsid w:val="0030592E"/>
    <w:rsid w:val="00305998"/>
    <w:rsid w:val="0030599D"/>
    <w:rsid w:val="003059EE"/>
    <w:rsid w:val="003059F8"/>
    <w:rsid w:val="00305A3D"/>
    <w:rsid w:val="00305A6E"/>
    <w:rsid w:val="00305ADB"/>
    <w:rsid w:val="00305B24"/>
    <w:rsid w:val="00305B43"/>
    <w:rsid w:val="00305B5E"/>
    <w:rsid w:val="00305C0B"/>
    <w:rsid w:val="00305C3C"/>
    <w:rsid w:val="00305CA6"/>
    <w:rsid w:val="00305D40"/>
    <w:rsid w:val="00305D8E"/>
    <w:rsid w:val="00305DE4"/>
    <w:rsid w:val="00305E50"/>
    <w:rsid w:val="00305E59"/>
    <w:rsid w:val="00305F7A"/>
    <w:rsid w:val="00305FA5"/>
    <w:rsid w:val="00305FDD"/>
    <w:rsid w:val="00306017"/>
    <w:rsid w:val="00306018"/>
    <w:rsid w:val="0030604E"/>
    <w:rsid w:val="00306091"/>
    <w:rsid w:val="003060CB"/>
    <w:rsid w:val="003061CF"/>
    <w:rsid w:val="003061FD"/>
    <w:rsid w:val="0030628B"/>
    <w:rsid w:val="003062CE"/>
    <w:rsid w:val="003062F0"/>
    <w:rsid w:val="00306313"/>
    <w:rsid w:val="00306314"/>
    <w:rsid w:val="00306315"/>
    <w:rsid w:val="00306380"/>
    <w:rsid w:val="00306392"/>
    <w:rsid w:val="003063C7"/>
    <w:rsid w:val="003063D7"/>
    <w:rsid w:val="00306442"/>
    <w:rsid w:val="00306494"/>
    <w:rsid w:val="003064A0"/>
    <w:rsid w:val="003064DB"/>
    <w:rsid w:val="003064E7"/>
    <w:rsid w:val="003064E9"/>
    <w:rsid w:val="0030652D"/>
    <w:rsid w:val="00306566"/>
    <w:rsid w:val="0030658A"/>
    <w:rsid w:val="003065A1"/>
    <w:rsid w:val="003065CF"/>
    <w:rsid w:val="003065E6"/>
    <w:rsid w:val="00306618"/>
    <w:rsid w:val="00306686"/>
    <w:rsid w:val="003066FC"/>
    <w:rsid w:val="00306707"/>
    <w:rsid w:val="00306756"/>
    <w:rsid w:val="00306779"/>
    <w:rsid w:val="00306840"/>
    <w:rsid w:val="00306927"/>
    <w:rsid w:val="00306945"/>
    <w:rsid w:val="0030694F"/>
    <w:rsid w:val="00306953"/>
    <w:rsid w:val="003069DA"/>
    <w:rsid w:val="003069F5"/>
    <w:rsid w:val="00306B36"/>
    <w:rsid w:val="00306BB1"/>
    <w:rsid w:val="00306BCE"/>
    <w:rsid w:val="00306C1C"/>
    <w:rsid w:val="00306D09"/>
    <w:rsid w:val="00306D8E"/>
    <w:rsid w:val="00306E12"/>
    <w:rsid w:val="00306E15"/>
    <w:rsid w:val="00306E8A"/>
    <w:rsid w:val="00306E9F"/>
    <w:rsid w:val="00306ED1"/>
    <w:rsid w:val="00306EEF"/>
    <w:rsid w:val="00306F8E"/>
    <w:rsid w:val="00307074"/>
    <w:rsid w:val="0030712F"/>
    <w:rsid w:val="0030716A"/>
    <w:rsid w:val="0030716D"/>
    <w:rsid w:val="00307222"/>
    <w:rsid w:val="0030724E"/>
    <w:rsid w:val="0030725E"/>
    <w:rsid w:val="00307275"/>
    <w:rsid w:val="0030727D"/>
    <w:rsid w:val="0030727E"/>
    <w:rsid w:val="003072A5"/>
    <w:rsid w:val="00307346"/>
    <w:rsid w:val="00307356"/>
    <w:rsid w:val="003073A9"/>
    <w:rsid w:val="00307412"/>
    <w:rsid w:val="0030741B"/>
    <w:rsid w:val="003074B9"/>
    <w:rsid w:val="00307519"/>
    <w:rsid w:val="00307541"/>
    <w:rsid w:val="00307548"/>
    <w:rsid w:val="0030756A"/>
    <w:rsid w:val="0030756B"/>
    <w:rsid w:val="0030758F"/>
    <w:rsid w:val="00307607"/>
    <w:rsid w:val="0030768A"/>
    <w:rsid w:val="003076A4"/>
    <w:rsid w:val="003076A7"/>
    <w:rsid w:val="003076DD"/>
    <w:rsid w:val="003076E6"/>
    <w:rsid w:val="003076FA"/>
    <w:rsid w:val="0030771D"/>
    <w:rsid w:val="003077FC"/>
    <w:rsid w:val="00307809"/>
    <w:rsid w:val="00307814"/>
    <w:rsid w:val="003078C0"/>
    <w:rsid w:val="003078D2"/>
    <w:rsid w:val="00307907"/>
    <w:rsid w:val="00307910"/>
    <w:rsid w:val="00307964"/>
    <w:rsid w:val="003079A8"/>
    <w:rsid w:val="003079BF"/>
    <w:rsid w:val="003079C4"/>
    <w:rsid w:val="003079CF"/>
    <w:rsid w:val="003079D1"/>
    <w:rsid w:val="00307A9D"/>
    <w:rsid w:val="00307B26"/>
    <w:rsid w:val="00307B81"/>
    <w:rsid w:val="00307BB5"/>
    <w:rsid w:val="00307C44"/>
    <w:rsid w:val="00307C47"/>
    <w:rsid w:val="00307C59"/>
    <w:rsid w:val="00307C75"/>
    <w:rsid w:val="00307CA0"/>
    <w:rsid w:val="00307CA1"/>
    <w:rsid w:val="00307CBC"/>
    <w:rsid w:val="00307CD7"/>
    <w:rsid w:val="00307D96"/>
    <w:rsid w:val="00307DB5"/>
    <w:rsid w:val="00307F26"/>
    <w:rsid w:val="00307F2F"/>
    <w:rsid w:val="00307F35"/>
    <w:rsid w:val="00307F42"/>
    <w:rsid w:val="00307F62"/>
    <w:rsid w:val="00307F81"/>
    <w:rsid w:val="00310068"/>
    <w:rsid w:val="003100C3"/>
    <w:rsid w:val="00310157"/>
    <w:rsid w:val="0031018F"/>
    <w:rsid w:val="003101B0"/>
    <w:rsid w:val="003101B1"/>
    <w:rsid w:val="003101F3"/>
    <w:rsid w:val="00310223"/>
    <w:rsid w:val="003102A0"/>
    <w:rsid w:val="003102BD"/>
    <w:rsid w:val="00310322"/>
    <w:rsid w:val="0031032C"/>
    <w:rsid w:val="00310340"/>
    <w:rsid w:val="0031038F"/>
    <w:rsid w:val="003103A3"/>
    <w:rsid w:val="003103DF"/>
    <w:rsid w:val="00310410"/>
    <w:rsid w:val="0031042D"/>
    <w:rsid w:val="0031045A"/>
    <w:rsid w:val="003104BF"/>
    <w:rsid w:val="00310591"/>
    <w:rsid w:val="0031061C"/>
    <w:rsid w:val="003106A4"/>
    <w:rsid w:val="003106D7"/>
    <w:rsid w:val="00310753"/>
    <w:rsid w:val="00310799"/>
    <w:rsid w:val="0031080E"/>
    <w:rsid w:val="00310863"/>
    <w:rsid w:val="0031087D"/>
    <w:rsid w:val="00310891"/>
    <w:rsid w:val="0031090C"/>
    <w:rsid w:val="00310914"/>
    <w:rsid w:val="00310931"/>
    <w:rsid w:val="00310963"/>
    <w:rsid w:val="00310A80"/>
    <w:rsid w:val="00310B22"/>
    <w:rsid w:val="00310B34"/>
    <w:rsid w:val="00310B35"/>
    <w:rsid w:val="00310B57"/>
    <w:rsid w:val="00310B68"/>
    <w:rsid w:val="00310BC5"/>
    <w:rsid w:val="00310BCE"/>
    <w:rsid w:val="00310BEF"/>
    <w:rsid w:val="00310C07"/>
    <w:rsid w:val="00310C10"/>
    <w:rsid w:val="00310C1F"/>
    <w:rsid w:val="00310C50"/>
    <w:rsid w:val="00310C9B"/>
    <w:rsid w:val="00310C9D"/>
    <w:rsid w:val="00310C9E"/>
    <w:rsid w:val="00310CA0"/>
    <w:rsid w:val="00310CCF"/>
    <w:rsid w:val="00310D0B"/>
    <w:rsid w:val="00310D29"/>
    <w:rsid w:val="00310D40"/>
    <w:rsid w:val="00310D62"/>
    <w:rsid w:val="00310DA7"/>
    <w:rsid w:val="00310DFA"/>
    <w:rsid w:val="00310E24"/>
    <w:rsid w:val="00310E5B"/>
    <w:rsid w:val="00310ED2"/>
    <w:rsid w:val="00310EDC"/>
    <w:rsid w:val="00310F17"/>
    <w:rsid w:val="00310F20"/>
    <w:rsid w:val="003110AD"/>
    <w:rsid w:val="003111E1"/>
    <w:rsid w:val="00311200"/>
    <w:rsid w:val="00311228"/>
    <w:rsid w:val="00311240"/>
    <w:rsid w:val="00311258"/>
    <w:rsid w:val="003112BD"/>
    <w:rsid w:val="00311329"/>
    <w:rsid w:val="003113F4"/>
    <w:rsid w:val="003114BB"/>
    <w:rsid w:val="00311523"/>
    <w:rsid w:val="00311552"/>
    <w:rsid w:val="00311593"/>
    <w:rsid w:val="00311596"/>
    <w:rsid w:val="003115E2"/>
    <w:rsid w:val="00311697"/>
    <w:rsid w:val="003116C1"/>
    <w:rsid w:val="003116D6"/>
    <w:rsid w:val="00311843"/>
    <w:rsid w:val="00311854"/>
    <w:rsid w:val="0031185B"/>
    <w:rsid w:val="00311874"/>
    <w:rsid w:val="003118E1"/>
    <w:rsid w:val="0031190E"/>
    <w:rsid w:val="00311956"/>
    <w:rsid w:val="0031197F"/>
    <w:rsid w:val="00311A3B"/>
    <w:rsid w:val="00311A63"/>
    <w:rsid w:val="00311AF1"/>
    <w:rsid w:val="00311B1A"/>
    <w:rsid w:val="00311B31"/>
    <w:rsid w:val="00311B8C"/>
    <w:rsid w:val="00311BA3"/>
    <w:rsid w:val="00311BC6"/>
    <w:rsid w:val="00311C28"/>
    <w:rsid w:val="00311CB5"/>
    <w:rsid w:val="00311CC9"/>
    <w:rsid w:val="00311D1D"/>
    <w:rsid w:val="00311D9F"/>
    <w:rsid w:val="00311E1E"/>
    <w:rsid w:val="00311F01"/>
    <w:rsid w:val="00311F13"/>
    <w:rsid w:val="00311F1E"/>
    <w:rsid w:val="00311F33"/>
    <w:rsid w:val="00311FD8"/>
    <w:rsid w:val="0031201F"/>
    <w:rsid w:val="0031206C"/>
    <w:rsid w:val="0031208B"/>
    <w:rsid w:val="00312093"/>
    <w:rsid w:val="00312094"/>
    <w:rsid w:val="00312166"/>
    <w:rsid w:val="00312168"/>
    <w:rsid w:val="003121B3"/>
    <w:rsid w:val="003121D2"/>
    <w:rsid w:val="003121D6"/>
    <w:rsid w:val="003121E2"/>
    <w:rsid w:val="0031220E"/>
    <w:rsid w:val="0031226C"/>
    <w:rsid w:val="0031226D"/>
    <w:rsid w:val="003122C6"/>
    <w:rsid w:val="003122CC"/>
    <w:rsid w:val="003122F1"/>
    <w:rsid w:val="00312330"/>
    <w:rsid w:val="00312359"/>
    <w:rsid w:val="0031236C"/>
    <w:rsid w:val="00312372"/>
    <w:rsid w:val="00312398"/>
    <w:rsid w:val="0031239B"/>
    <w:rsid w:val="003123C2"/>
    <w:rsid w:val="003123C5"/>
    <w:rsid w:val="00312430"/>
    <w:rsid w:val="00312466"/>
    <w:rsid w:val="00312573"/>
    <w:rsid w:val="003125B4"/>
    <w:rsid w:val="003125B8"/>
    <w:rsid w:val="003125C0"/>
    <w:rsid w:val="003125E0"/>
    <w:rsid w:val="003125FF"/>
    <w:rsid w:val="003126D1"/>
    <w:rsid w:val="00312823"/>
    <w:rsid w:val="00312865"/>
    <w:rsid w:val="003129C9"/>
    <w:rsid w:val="00312A0C"/>
    <w:rsid w:val="00312A51"/>
    <w:rsid w:val="00312A6A"/>
    <w:rsid w:val="00312AEE"/>
    <w:rsid w:val="00312BEA"/>
    <w:rsid w:val="00312BF5"/>
    <w:rsid w:val="00312C0C"/>
    <w:rsid w:val="00312C4E"/>
    <w:rsid w:val="00312C52"/>
    <w:rsid w:val="00312C5F"/>
    <w:rsid w:val="00312D99"/>
    <w:rsid w:val="00312DEB"/>
    <w:rsid w:val="00312DFD"/>
    <w:rsid w:val="00312E2F"/>
    <w:rsid w:val="00312E39"/>
    <w:rsid w:val="00312E66"/>
    <w:rsid w:val="00312E84"/>
    <w:rsid w:val="00312E99"/>
    <w:rsid w:val="00312EA2"/>
    <w:rsid w:val="00312ECF"/>
    <w:rsid w:val="00312F45"/>
    <w:rsid w:val="00312F6F"/>
    <w:rsid w:val="00312FCA"/>
    <w:rsid w:val="00313039"/>
    <w:rsid w:val="003130F1"/>
    <w:rsid w:val="0031311E"/>
    <w:rsid w:val="00313188"/>
    <w:rsid w:val="00313192"/>
    <w:rsid w:val="003131A8"/>
    <w:rsid w:val="00313261"/>
    <w:rsid w:val="003132D4"/>
    <w:rsid w:val="0031330A"/>
    <w:rsid w:val="003133CA"/>
    <w:rsid w:val="00313405"/>
    <w:rsid w:val="00313490"/>
    <w:rsid w:val="003134FC"/>
    <w:rsid w:val="00313524"/>
    <w:rsid w:val="0031358E"/>
    <w:rsid w:val="00313597"/>
    <w:rsid w:val="003135B8"/>
    <w:rsid w:val="0031361C"/>
    <w:rsid w:val="00313625"/>
    <w:rsid w:val="0031362D"/>
    <w:rsid w:val="00313664"/>
    <w:rsid w:val="00313671"/>
    <w:rsid w:val="0031369B"/>
    <w:rsid w:val="003136A2"/>
    <w:rsid w:val="0031370D"/>
    <w:rsid w:val="0031371E"/>
    <w:rsid w:val="0031376B"/>
    <w:rsid w:val="003137EC"/>
    <w:rsid w:val="00313811"/>
    <w:rsid w:val="0031381F"/>
    <w:rsid w:val="0031385E"/>
    <w:rsid w:val="00313865"/>
    <w:rsid w:val="00313958"/>
    <w:rsid w:val="00313A0F"/>
    <w:rsid w:val="00313B60"/>
    <w:rsid w:val="00313B95"/>
    <w:rsid w:val="00313BCA"/>
    <w:rsid w:val="00313C45"/>
    <w:rsid w:val="00313D4B"/>
    <w:rsid w:val="00313DAA"/>
    <w:rsid w:val="00313DC5"/>
    <w:rsid w:val="00313DE4"/>
    <w:rsid w:val="00313DF0"/>
    <w:rsid w:val="00313E0E"/>
    <w:rsid w:val="00313E3A"/>
    <w:rsid w:val="00313E4F"/>
    <w:rsid w:val="00313EC3"/>
    <w:rsid w:val="00313EE6"/>
    <w:rsid w:val="00313FE7"/>
    <w:rsid w:val="00313FF0"/>
    <w:rsid w:val="0031405E"/>
    <w:rsid w:val="003140B9"/>
    <w:rsid w:val="003140F4"/>
    <w:rsid w:val="00314128"/>
    <w:rsid w:val="0031412A"/>
    <w:rsid w:val="003141DA"/>
    <w:rsid w:val="00314242"/>
    <w:rsid w:val="00314243"/>
    <w:rsid w:val="00314250"/>
    <w:rsid w:val="003143C4"/>
    <w:rsid w:val="0031442A"/>
    <w:rsid w:val="0031443E"/>
    <w:rsid w:val="00314441"/>
    <w:rsid w:val="00314464"/>
    <w:rsid w:val="0031446D"/>
    <w:rsid w:val="00314481"/>
    <w:rsid w:val="003144F3"/>
    <w:rsid w:val="003144F6"/>
    <w:rsid w:val="00314558"/>
    <w:rsid w:val="003145CA"/>
    <w:rsid w:val="003145D3"/>
    <w:rsid w:val="003145D5"/>
    <w:rsid w:val="003145E1"/>
    <w:rsid w:val="003145EC"/>
    <w:rsid w:val="0031460C"/>
    <w:rsid w:val="0031464F"/>
    <w:rsid w:val="00314652"/>
    <w:rsid w:val="00314702"/>
    <w:rsid w:val="0031478C"/>
    <w:rsid w:val="003147E1"/>
    <w:rsid w:val="00314833"/>
    <w:rsid w:val="00314847"/>
    <w:rsid w:val="003148F4"/>
    <w:rsid w:val="0031497B"/>
    <w:rsid w:val="00314981"/>
    <w:rsid w:val="003149EF"/>
    <w:rsid w:val="00314A41"/>
    <w:rsid w:val="00314A48"/>
    <w:rsid w:val="00314AA6"/>
    <w:rsid w:val="00314AF1"/>
    <w:rsid w:val="00314BC9"/>
    <w:rsid w:val="00314C59"/>
    <w:rsid w:val="00314C9F"/>
    <w:rsid w:val="00314CF6"/>
    <w:rsid w:val="00314E0A"/>
    <w:rsid w:val="00314E2D"/>
    <w:rsid w:val="00314EBB"/>
    <w:rsid w:val="00314F01"/>
    <w:rsid w:val="00314F4B"/>
    <w:rsid w:val="00314F57"/>
    <w:rsid w:val="00314F61"/>
    <w:rsid w:val="00314F75"/>
    <w:rsid w:val="00314FA0"/>
    <w:rsid w:val="00314FB1"/>
    <w:rsid w:val="00315019"/>
    <w:rsid w:val="003150EE"/>
    <w:rsid w:val="003150FF"/>
    <w:rsid w:val="00315155"/>
    <w:rsid w:val="00315196"/>
    <w:rsid w:val="003151A7"/>
    <w:rsid w:val="003151F9"/>
    <w:rsid w:val="0031520B"/>
    <w:rsid w:val="00315218"/>
    <w:rsid w:val="003152D2"/>
    <w:rsid w:val="003152EB"/>
    <w:rsid w:val="00315314"/>
    <w:rsid w:val="0031534D"/>
    <w:rsid w:val="00315355"/>
    <w:rsid w:val="00315363"/>
    <w:rsid w:val="003153C6"/>
    <w:rsid w:val="003153CB"/>
    <w:rsid w:val="00315414"/>
    <w:rsid w:val="0031541D"/>
    <w:rsid w:val="0031543B"/>
    <w:rsid w:val="00315474"/>
    <w:rsid w:val="0031558C"/>
    <w:rsid w:val="0031559F"/>
    <w:rsid w:val="003155B3"/>
    <w:rsid w:val="003155C5"/>
    <w:rsid w:val="003155CB"/>
    <w:rsid w:val="003155DC"/>
    <w:rsid w:val="00315613"/>
    <w:rsid w:val="0031564F"/>
    <w:rsid w:val="00315675"/>
    <w:rsid w:val="003156B4"/>
    <w:rsid w:val="003156CD"/>
    <w:rsid w:val="003156E8"/>
    <w:rsid w:val="003156E9"/>
    <w:rsid w:val="003156F7"/>
    <w:rsid w:val="0031571D"/>
    <w:rsid w:val="00315731"/>
    <w:rsid w:val="00315735"/>
    <w:rsid w:val="0031577B"/>
    <w:rsid w:val="003157B2"/>
    <w:rsid w:val="003157BB"/>
    <w:rsid w:val="003157F0"/>
    <w:rsid w:val="003157FD"/>
    <w:rsid w:val="00315828"/>
    <w:rsid w:val="0031582A"/>
    <w:rsid w:val="0031591B"/>
    <w:rsid w:val="00315981"/>
    <w:rsid w:val="003159FD"/>
    <w:rsid w:val="00315A1E"/>
    <w:rsid w:val="00315A40"/>
    <w:rsid w:val="00315A6B"/>
    <w:rsid w:val="00315A9D"/>
    <w:rsid w:val="00315AA3"/>
    <w:rsid w:val="00315ACE"/>
    <w:rsid w:val="00315AE6"/>
    <w:rsid w:val="00315B50"/>
    <w:rsid w:val="00315BA2"/>
    <w:rsid w:val="00315BB2"/>
    <w:rsid w:val="00315C12"/>
    <w:rsid w:val="00315C3C"/>
    <w:rsid w:val="00315CE4"/>
    <w:rsid w:val="00315D14"/>
    <w:rsid w:val="00315D29"/>
    <w:rsid w:val="00315D4B"/>
    <w:rsid w:val="00315E1D"/>
    <w:rsid w:val="00315E5D"/>
    <w:rsid w:val="00315E63"/>
    <w:rsid w:val="00315E8E"/>
    <w:rsid w:val="00315E8F"/>
    <w:rsid w:val="00315E9F"/>
    <w:rsid w:val="00315F49"/>
    <w:rsid w:val="00315FB9"/>
    <w:rsid w:val="00315FF9"/>
    <w:rsid w:val="0031602D"/>
    <w:rsid w:val="0031602F"/>
    <w:rsid w:val="00316077"/>
    <w:rsid w:val="0031609E"/>
    <w:rsid w:val="003160B2"/>
    <w:rsid w:val="003160DB"/>
    <w:rsid w:val="00316140"/>
    <w:rsid w:val="003161A2"/>
    <w:rsid w:val="003161CB"/>
    <w:rsid w:val="00316216"/>
    <w:rsid w:val="00316226"/>
    <w:rsid w:val="0031629D"/>
    <w:rsid w:val="003162C2"/>
    <w:rsid w:val="00316327"/>
    <w:rsid w:val="003163A7"/>
    <w:rsid w:val="003163B2"/>
    <w:rsid w:val="00316441"/>
    <w:rsid w:val="00316495"/>
    <w:rsid w:val="0031657B"/>
    <w:rsid w:val="00316651"/>
    <w:rsid w:val="00316682"/>
    <w:rsid w:val="00316694"/>
    <w:rsid w:val="0031669D"/>
    <w:rsid w:val="003166DC"/>
    <w:rsid w:val="00316735"/>
    <w:rsid w:val="0031679E"/>
    <w:rsid w:val="003167DF"/>
    <w:rsid w:val="00316808"/>
    <w:rsid w:val="0031682E"/>
    <w:rsid w:val="00316868"/>
    <w:rsid w:val="00316A25"/>
    <w:rsid w:val="00316A3E"/>
    <w:rsid w:val="00316A92"/>
    <w:rsid w:val="00316ADF"/>
    <w:rsid w:val="00316AEC"/>
    <w:rsid w:val="00316B20"/>
    <w:rsid w:val="00316BB2"/>
    <w:rsid w:val="00316BB4"/>
    <w:rsid w:val="00316BE2"/>
    <w:rsid w:val="00316BEA"/>
    <w:rsid w:val="00316C12"/>
    <w:rsid w:val="00316C34"/>
    <w:rsid w:val="00316C5E"/>
    <w:rsid w:val="00316C8A"/>
    <w:rsid w:val="00316CF6"/>
    <w:rsid w:val="00316D23"/>
    <w:rsid w:val="00316D3E"/>
    <w:rsid w:val="00316D97"/>
    <w:rsid w:val="00316E78"/>
    <w:rsid w:val="00316E7C"/>
    <w:rsid w:val="00316E8B"/>
    <w:rsid w:val="00316ED3"/>
    <w:rsid w:val="00316F43"/>
    <w:rsid w:val="00316F58"/>
    <w:rsid w:val="00316FE3"/>
    <w:rsid w:val="0031702D"/>
    <w:rsid w:val="0031705B"/>
    <w:rsid w:val="00317070"/>
    <w:rsid w:val="003170D3"/>
    <w:rsid w:val="00317164"/>
    <w:rsid w:val="0031719B"/>
    <w:rsid w:val="0031728A"/>
    <w:rsid w:val="00317297"/>
    <w:rsid w:val="003172CA"/>
    <w:rsid w:val="003172CC"/>
    <w:rsid w:val="00317341"/>
    <w:rsid w:val="00317389"/>
    <w:rsid w:val="00317392"/>
    <w:rsid w:val="00317398"/>
    <w:rsid w:val="00317423"/>
    <w:rsid w:val="0031744F"/>
    <w:rsid w:val="0031746F"/>
    <w:rsid w:val="00317495"/>
    <w:rsid w:val="00317496"/>
    <w:rsid w:val="003174C0"/>
    <w:rsid w:val="003175C0"/>
    <w:rsid w:val="00317674"/>
    <w:rsid w:val="0031769D"/>
    <w:rsid w:val="003176A0"/>
    <w:rsid w:val="003176CA"/>
    <w:rsid w:val="003176F8"/>
    <w:rsid w:val="00317727"/>
    <w:rsid w:val="0031776D"/>
    <w:rsid w:val="00317848"/>
    <w:rsid w:val="00317851"/>
    <w:rsid w:val="00317857"/>
    <w:rsid w:val="00317933"/>
    <w:rsid w:val="0031793D"/>
    <w:rsid w:val="00317943"/>
    <w:rsid w:val="003179C5"/>
    <w:rsid w:val="00317AC4"/>
    <w:rsid w:val="00317AE4"/>
    <w:rsid w:val="00317AF9"/>
    <w:rsid w:val="00317B21"/>
    <w:rsid w:val="00317B8C"/>
    <w:rsid w:val="00317BC1"/>
    <w:rsid w:val="00317BDE"/>
    <w:rsid w:val="00317C31"/>
    <w:rsid w:val="00317C9B"/>
    <w:rsid w:val="00317CBF"/>
    <w:rsid w:val="00317D1B"/>
    <w:rsid w:val="00317DBB"/>
    <w:rsid w:val="00317EA2"/>
    <w:rsid w:val="00317EB4"/>
    <w:rsid w:val="00317EC1"/>
    <w:rsid w:val="00317EE6"/>
    <w:rsid w:val="00317F21"/>
    <w:rsid w:val="00317F93"/>
    <w:rsid w:val="00320028"/>
    <w:rsid w:val="00320049"/>
    <w:rsid w:val="00320059"/>
    <w:rsid w:val="003200D9"/>
    <w:rsid w:val="003200DE"/>
    <w:rsid w:val="003200E9"/>
    <w:rsid w:val="003200FA"/>
    <w:rsid w:val="0032017E"/>
    <w:rsid w:val="003201A9"/>
    <w:rsid w:val="003201AF"/>
    <w:rsid w:val="003201E2"/>
    <w:rsid w:val="00320204"/>
    <w:rsid w:val="00320222"/>
    <w:rsid w:val="003202D2"/>
    <w:rsid w:val="0032032E"/>
    <w:rsid w:val="0032034A"/>
    <w:rsid w:val="00320378"/>
    <w:rsid w:val="00320397"/>
    <w:rsid w:val="003203BF"/>
    <w:rsid w:val="00320409"/>
    <w:rsid w:val="0032047A"/>
    <w:rsid w:val="0032049C"/>
    <w:rsid w:val="003204A3"/>
    <w:rsid w:val="0032054A"/>
    <w:rsid w:val="00320590"/>
    <w:rsid w:val="00320674"/>
    <w:rsid w:val="003206D1"/>
    <w:rsid w:val="0032076E"/>
    <w:rsid w:val="00320802"/>
    <w:rsid w:val="0032080F"/>
    <w:rsid w:val="00320817"/>
    <w:rsid w:val="0032083B"/>
    <w:rsid w:val="0032083D"/>
    <w:rsid w:val="0032084D"/>
    <w:rsid w:val="00320882"/>
    <w:rsid w:val="003208A5"/>
    <w:rsid w:val="003208BC"/>
    <w:rsid w:val="00320939"/>
    <w:rsid w:val="00320993"/>
    <w:rsid w:val="003209DE"/>
    <w:rsid w:val="00320A0A"/>
    <w:rsid w:val="00320A0D"/>
    <w:rsid w:val="00320A20"/>
    <w:rsid w:val="00320A31"/>
    <w:rsid w:val="00320A3A"/>
    <w:rsid w:val="00320A72"/>
    <w:rsid w:val="00320AB0"/>
    <w:rsid w:val="00320AEE"/>
    <w:rsid w:val="00320B3C"/>
    <w:rsid w:val="00320B5F"/>
    <w:rsid w:val="00320C29"/>
    <w:rsid w:val="00320C6A"/>
    <w:rsid w:val="00320CDA"/>
    <w:rsid w:val="00320CF5"/>
    <w:rsid w:val="00320D5E"/>
    <w:rsid w:val="00320DCF"/>
    <w:rsid w:val="00320E68"/>
    <w:rsid w:val="00320E7D"/>
    <w:rsid w:val="00320E7E"/>
    <w:rsid w:val="00320E8F"/>
    <w:rsid w:val="00320EDF"/>
    <w:rsid w:val="00320F70"/>
    <w:rsid w:val="00320F72"/>
    <w:rsid w:val="00320FB6"/>
    <w:rsid w:val="00320FE0"/>
    <w:rsid w:val="00320FF6"/>
    <w:rsid w:val="00321001"/>
    <w:rsid w:val="00321016"/>
    <w:rsid w:val="0032106B"/>
    <w:rsid w:val="003210F6"/>
    <w:rsid w:val="00321167"/>
    <w:rsid w:val="00321282"/>
    <w:rsid w:val="003212EC"/>
    <w:rsid w:val="00321310"/>
    <w:rsid w:val="00321334"/>
    <w:rsid w:val="00321391"/>
    <w:rsid w:val="003213D8"/>
    <w:rsid w:val="00321427"/>
    <w:rsid w:val="00321496"/>
    <w:rsid w:val="003214BB"/>
    <w:rsid w:val="0032152F"/>
    <w:rsid w:val="00321562"/>
    <w:rsid w:val="0032156F"/>
    <w:rsid w:val="003215BF"/>
    <w:rsid w:val="00321611"/>
    <w:rsid w:val="0032165E"/>
    <w:rsid w:val="003216AB"/>
    <w:rsid w:val="003216C0"/>
    <w:rsid w:val="003216D2"/>
    <w:rsid w:val="00321760"/>
    <w:rsid w:val="003217AF"/>
    <w:rsid w:val="00321811"/>
    <w:rsid w:val="0032182B"/>
    <w:rsid w:val="003218DB"/>
    <w:rsid w:val="003218F1"/>
    <w:rsid w:val="00321912"/>
    <w:rsid w:val="0032192B"/>
    <w:rsid w:val="00321945"/>
    <w:rsid w:val="0032198C"/>
    <w:rsid w:val="003219C6"/>
    <w:rsid w:val="00321A8B"/>
    <w:rsid w:val="00321B5F"/>
    <w:rsid w:val="00321B60"/>
    <w:rsid w:val="00321B8E"/>
    <w:rsid w:val="00321B8F"/>
    <w:rsid w:val="00321C1C"/>
    <w:rsid w:val="00321C68"/>
    <w:rsid w:val="00321C9C"/>
    <w:rsid w:val="00321CC8"/>
    <w:rsid w:val="00321D65"/>
    <w:rsid w:val="00321D8E"/>
    <w:rsid w:val="00321EC0"/>
    <w:rsid w:val="00321EC3"/>
    <w:rsid w:val="00321EE0"/>
    <w:rsid w:val="00321F33"/>
    <w:rsid w:val="00321F76"/>
    <w:rsid w:val="00321F95"/>
    <w:rsid w:val="00321FB0"/>
    <w:rsid w:val="00321FE8"/>
    <w:rsid w:val="00321FE9"/>
    <w:rsid w:val="00322019"/>
    <w:rsid w:val="003220B8"/>
    <w:rsid w:val="00322115"/>
    <w:rsid w:val="00322160"/>
    <w:rsid w:val="00322178"/>
    <w:rsid w:val="00322197"/>
    <w:rsid w:val="003221C5"/>
    <w:rsid w:val="00322201"/>
    <w:rsid w:val="00322286"/>
    <w:rsid w:val="00322289"/>
    <w:rsid w:val="003222C3"/>
    <w:rsid w:val="003222FF"/>
    <w:rsid w:val="0032231B"/>
    <w:rsid w:val="00322372"/>
    <w:rsid w:val="0032237C"/>
    <w:rsid w:val="003223DE"/>
    <w:rsid w:val="003223EE"/>
    <w:rsid w:val="0032241F"/>
    <w:rsid w:val="00322422"/>
    <w:rsid w:val="00322439"/>
    <w:rsid w:val="0032245B"/>
    <w:rsid w:val="003224CF"/>
    <w:rsid w:val="003224FA"/>
    <w:rsid w:val="003225E8"/>
    <w:rsid w:val="0032260A"/>
    <w:rsid w:val="0032260B"/>
    <w:rsid w:val="00322619"/>
    <w:rsid w:val="003226B0"/>
    <w:rsid w:val="003226E2"/>
    <w:rsid w:val="00322783"/>
    <w:rsid w:val="0032279C"/>
    <w:rsid w:val="0032279E"/>
    <w:rsid w:val="003227A7"/>
    <w:rsid w:val="003227BB"/>
    <w:rsid w:val="00322819"/>
    <w:rsid w:val="0032287D"/>
    <w:rsid w:val="003228A4"/>
    <w:rsid w:val="003228AA"/>
    <w:rsid w:val="00322909"/>
    <w:rsid w:val="0032293E"/>
    <w:rsid w:val="00322965"/>
    <w:rsid w:val="0032297F"/>
    <w:rsid w:val="003229DE"/>
    <w:rsid w:val="003229F3"/>
    <w:rsid w:val="00322A2E"/>
    <w:rsid w:val="00322AE7"/>
    <w:rsid w:val="00322B1D"/>
    <w:rsid w:val="00322B34"/>
    <w:rsid w:val="00322B4C"/>
    <w:rsid w:val="00322B56"/>
    <w:rsid w:val="00322BB9"/>
    <w:rsid w:val="00322C32"/>
    <w:rsid w:val="00322C3A"/>
    <w:rsid w:val="00322C82"/>
    <w:rsid w:val="00322D41"/>
    <w:rsid w:val="00322E02"/>
    <w:rsid w:val="00322EE8"/>
    <w:rsid w:val="00322F33"/>
    <w:rsid w:val="00322FD1"/>
    <w:rsid w:val="00322FD3"/>
    <w:rsid w:val="0032302D"/>
    <w:rsid w:val="0032303D"/>
    <w:rsid w:val="00323061"/>
    <w:rsid w:val="0032306B"/>
    <w:rsid w:val="003230C6"/>
    <w:rsid w:val="003230DC"/>
    <w:rsid w:val="003230EF"/>
    <w:rsid w:val="003230F2"/>
    <w:rsid w:val="003230FC"/>
    <w:rsid w:val="0032313D"/>
    <w:rsid w:val="00323159"/>
    <w:rsid w:val="00323190"/>
    <w:rsid w:val="003231A5"/>
    <w:rsid w:val="003231E6"/>
    <w:rsid w:val="003231F5"/>
    <w:rsid w:val="003232DB"/>
    <w:rsid w:val="0032331F"/>
    <w:rsid w:val="00323348"/>
    <w:rsid w:val="00323369"/>
    <w:rsid w:val="00323373"/>
    <w:rsid w:val="003233AF"/>
    <w:rsid w:val="003233D1"/>
    <w:rsid w:val="003233D6"/>
    <w:rsid w:val="003233E6"/>
    <w:rsid w:val="0032349E"/>
    <w:rsid w:val="003234B2"/>
    <w:rsid w:val="003234DF"/>
    <w:rsid w:val="00323545"/>
    <w:rsid w:val="00323552"/>
    <w:rsid w:val="0032359F"/>
    <w:rsid w:val="003235B5"/>
    <w:rsid w:val="003235BD"/>
    <w:rsid w:val="00323645"/>
    <w:rsid w:val="003236BE"/>
    <w:rsid w:val="003236CD"/>
    <w:rsid w:val="003236DB"/>
    <w:rsid w:val="0032374D"/>
    <w:rsid w:val="00323783"/>
    <w:rsid w:val="003237AA"/>
    <w:rsid w:val="003237CD"/>
    <w:rsid w:val="003237FB"/>
    <w:rsid w:val="00323815"/>
    <w:rsid w:val="00323817"/>
    <w:rsid w:val="0032383E"/>
    <w:rsid w:val="0032386C"/>
    <w:rsid w:val="003238B0"/>
    <w:rsid w:val="00323907"/>
    <w:rsid w:val="00323926"/>
    <w:rsid w:val="00323941"/>
    <w:rsid w:val="003239CB"/>
    <w:rsid w:val="00323A03"/>
    <w:rsid w:val="00323A66"/>
    <w:rsid w:val="00323A81"/>
    <w:rsid w:val="00323B04"/>
    <w:rsid w:val="00323B7D"/>
    <w:rsid w:val="00323B9A"/>
    <w:rsid w:val="00323BDC"/>
    <w:rsid w:val="00323C01"/>
    <w:rsid w:val="00323C0B"/>
    <w:rsid w:val="00323C7A"/>
    <w:rsid w:val="00323C87"/>
    <w:rsid w:val="00323CA0"/>
    <w:rsid w:val="00323D23"/>
    <w:rsid w:val="00323D7C"/>
    <w:rsid w:val="00323D8A"/>
    <w:rsid w:val="00323DB0"/>
    <w:rsid w:val="00323DCD"/>
    <w:rsid w:val="00323DD5"/>
    <w:rsid w:val="00323E0E"/>
    <w:rsid w:val="00323E75"/>
    <w:rsid w:val="00323EBB"/>
    <w:rsid w:val="00323EE6"/>
    <w:rsid w:val="00323EE8"/>
    <w:rsid w:val="00323F77"/>
    <w:rsid w:val="00323F78"/>
    <w:rsid w:val="00324018"/>
    <w:rsid w:val="0032403D"/>
    <w:rsid w:val="0032406F"/>
    <w:rsid w:val="0032407C"/>
    <w:rsid w:val="003240CC"/>
    <w:rsid w:val="003240DE"/>
    <w:rsid w:val="003240EF"/>
    <w:rsid w:val="0032415A"/>
    <w:rsid w:val="00324181"/>
    <w:rsid w:val="003241D0"/>
    <w:rsid w:val="003241ED"/>
    <w:rsid w:val="00324263"/>
    <w:rsid w:val="003242AB"/>
    <w:rsid w:val="00324380"/>
    <w:rsid w:val="003243CB"/>
    <w:rsid w:val="00324490"/>
    <w:rsid w:val="003244E8"/>
    <w:rsid w:val="003244F9"/>
    <w:rsid w:val="00324502"/>
    <w:rsid w:val="00324528"/>
    <w:rsid w:val="00324537"/>
    <w:rsid w:val="0032459A"/>
    <w:rsid w:val="003245A9"/>
    <w:rsid w:val="003245C8"/>
    <w:rsid w:val="003245D4"/>
    <w:rsid w:val="0032468F"/>
    <w:rsid w:val="003246A4"/>
    <w:rsid w:val="003246CB"/>
    <w:rsid w:val="00324782"/>
    <w:rsid w:val="003247E7"/>
    <w:rsid w:val="00324801"/>
    <w:rsid w:val="003248A7"/>
    <w:rsid w:val="00324917"/>
    <w:rsid w:val="0032491A"/>
    <w:rsid w:val="00324973"/>
    <w:rsid w:val="003249A9"/>
    <w:rsid w:val="003249FE"/>
    <w:rsid w:val="00324B0D"/>
    <w:rsid w:val="00324B59"/>
    <w:rsid w:val="00324C67"/>
    <w:rsid w:val="00324CAE"/>
    <w:rsid w:val="00324CC1"/>
    <w:rsid w:val="00324CDB"/>
    <w:rsid w:val="00324DF5"/>
    <w:rsid w:val="00324EC0"/>
    <w:rsid w:val="00324ED2"/>
    <w:rsid w:val="00324EDD"/>
    <w:rsid w:val="00324F00"/>
    <w:rsid w:val="00324F1D"/>
    <w:rsid w:val="00324F39"/>
    <w:rsid w:val="00324F48"/>
    <w:rsid w:val="00324F5C"/>
    <w:rsid w:val="00325010"/>
    <w:rsid w:val="003250A6"/>
    <w:rsid w:val="003250A9"/>
    <w:rsid w:val="003250B0"/>
    <w:rsid w:val="00325163"/>
    <w:rsid w:val="0032518F"/>
    <w:rsid w:val="003251DF"/>
    <w:rsid w:val="003251F5"/>
    <w:rsid w:val="00325247"/>
    <w:rsid w:val="00325284"/>
    <w:rsid w:val="003252D4"/>
    <w:rsid w:val="003252E3"/>
    <w:rsid w:val="003252E4"/>
    <w:rsid w:val="00325305"/>
    <w:rsid w:val="0032532C"/>
    <w:rsid w:val="00325334"/>
    <w:rsid w:val="00325366"/>
    <w:rsid w:val="003253BB"/>
    <w:rsid w:val="00325442"/>
    <w:rsid w:val="00325507"/>
    <w:rsid w:val="00325606"/>
    <w:rsid w:val="00325648"/>
    <w:rsid w:val="003256BB"/>
    <w:rsid w:val="003256D2"/>
    <w:rsid w:val="003256D4"/>
    <w:rsid w:val="003256DB"/>
    <w:rsid w:val="003256F2"/>
    <w:rsid w:val="00325796"/>
    <w:rsid w:val="003257C2"/>
    <w:rsid w:val="003257D2"/>
    <w:rsid w:val="00325861"/>
    <w:rsid w:val="0032588F"/>
    <w:rsid w:val="003258CE"/>
    <w:rsid w:val="003258DF"/>
    <w:rsid w:val="0032591D"/>
    <w:rsid w:val="00325922"/>
    <w:rsid w:val="00325933"/>
    <w:rsid w:val="003259F3"/>
    <w:rsid w:val="00325A23"/>
    <w:rsid w:val="00325A27"/>
    <w:rsid w:val="00325A8E"/>
    <w:rsid w:val="00325ABF"/>
    <w:rsid w:val="00325ACF"/>
    <w:rsid w:val="00325B26"/>
    <w:rsid w:val="00325B84"/>
    <w:rsid w:val="00325BAE"/>
    <w:rsid w:val="00325C47"/>
    <w:rsid w:val="00325C4C"/>
    <w:rsid w:val="00325C8F"/>
    <w:rsid w:val="00325CA3"/>
    <w:rsid w:val="00325D02"/>
    <w:rsid w:val="00325D04"/>
    <w:rsid w:val="00325D4B"/>
    <w:rsid w:val="00325D7A"/>
    <w:rsid w:val="00325D7C"/>
    <w:rsid w:val="00325D99"/>
    <w:rsid w:val="00325E3E"/>
    <w:rsid w:val="00325E4E"/>
    <w:rsid w:val="00325EA1"/>
    <w:rsid w:val="00325EA9"/>
    <w:rsid w:val="00325EBF"/>
    <w:rsid w:val="00325ECB"/>
    <w:rsid w:val="00325ED3"/>
    <w:rsid w:val="00325EF1"/>
    <w:rsid w:val="00325EF3"/>
    <w:rsid w:val="00325F11"/>
    <w:rsid w:val="00325F87"/>
    <w:rsid w:val="00325FC9"/>
    <w:rsid w:val="00326049"/>
    <w:rsid w:val="0032604F"/>
    <w:rsid w:val="003260FD"/>
    <w:rsid w:val="00326196"/>
    <w:rsid w:val="0032619E"/>
    <w:rsid w:val="003261EE"/>
    <w:rsid w:val="00326211"/>
    <w:rsid w:val="0032626D"/>
    <w:rsid w:val="00326297"/>
    <w:rsid w:val="003262DA"/>
    <w:rsid w:val="003262DB"/>
    <w:rsid w:val="0032632D"/>
    <w:rsid w:val="003263EA"/>
    <w:rsid w:val="0032640E"/>
    <w:rsid w:val="00326456"/>
    <w:rsid w:val="003264AD"/>
    <w:rsid w:val="003264D5"/>
    <w:rsid w:val="0032651B"/>
    <w:rsid w:val="0032653C"/>
    <w:rsid w:val="0032654C"/>
    <w:rsid w:val="00326552"/>
    <w:rsid w:val="003265DC"/>
    <w:rsid w:val="003265E0"/>
    <w:rsid w:val="0032661C"/>
    <w:rsid w:val="0032663F"/>
    <w:rsid w:val="00326674"/>
    <w:rsid w:val="0032669A"/>
    <w:rsid w:val="003266A9"/>
    <w:rsid w:val="003266B2"/>
    <w:rsid w:val="003266B4"/>
    <w:rsid w:val="003266BF"/>
    <w:rsid w:val="0032676D"/>
    <w:rsid w:val="00326783"/>
    <w:rsid w:val="003267A5"/>
    <w:rsid w:val="003267A7"/>
    <w:rsid w:val="003267B9"/>
    <w:rsid w:val="0032684C"/>
    <w:rsid w:val="003268E0"/>
    <w:rsid w:val="003268F0"/>
    <w:rsid w:val="00326919"/>
    <w:rsid w:val="00326924"/>
    <w:rsid w:val="00326925"/>
    <w:rsid w:val="00326947"/>
    <w:rsid w:val="0032694A"/>
    <w:rsid w:val="00326962"/>
    <w:rsid w:val="0032697D"/>
    <w:rsid w:val="003269BE"/>
    <w:rsid w:val="00326A27"/>
    <w:rsid w:val="00326A76"/>
    <w:rsid w:val="00326B06"/>
    <w:rsid w:val="00326B0C"/>
    <w:rsid w:val="00326B28"/>
    <w:rsid w:val="00326B37"/>
    <w:rsid w:val="00326B40"/>
    <w:rsid w:val="00326C03"/>
    <w:rsid w:val="00326C39"/>
    <w:rsid w:val="00326C53"/>
    <w:rsid w:val="00326D1D"/>
    <w:rsid w:val="00326D84"/>
    <w:rsid w:val="00326D85"/>
    <w:rsid w:val="00326DD3"/>
    <w:rsid w:val="00326E9A"/>
    <w:rsid w:val="00326EBB"/>
    <w:rsid w:val="00326EF4"/>
    <w:rsid w:val="00326F16"/>
    <w:rsid w:val="00326F38"/>
    <w:rsid w:val="00326F8D"/>
    <w:rsid w:val="0032706F"/>
    <w:rsid w:val="00327194"/>
    <w:rsid w:val="003271FB"/>
    <w:rsid w:val="00327216"/>
    <w:rsid w:val="0032724B"/>
    <w:rsid w:val="003272C7"/>
    <w:rsid w:val="0032735D"/>
    <w:rsid w:val="003273E6"/>
    <w:rsid w:val="0032742C"/>
    <w:rsid w:val="0032742D"/>
    <w:rsid w:val="0032743F"/>
    <w:rsid w:val="0032749E"/>
    <w:rsid w:val="00327512"/>
    <w:rsid w:val="00327546"/>
    <w:rsid w:val="00327556"/>
    <w:rsid w:val="00327580"/>
    <w:rsid w:val="0032759B"/>
    <w:rsid w:val="003275C6"/>
    <w:rsid w:val="00327672"/>
    <w:rsid w:val="00327684"/>
    <w:rsid w:val="003276E0"/>
    <w:rsid w:val="00327701"/>
    <w:rsid w:val="00327720"/>
    <w:rsid w:val="00327764"/>
    <w:rsid w:val="0032776C"/>
    <w:rsid w:val="00327781"/>
    <w:rsid w:val="00327846"/>
    <w:rsid w:val="00327896"/>
    <w:rsid w:val="00327897"/>
    <w:rsid w:val="003278C7"/>
    <w:rsid w:val="003278EE"/>
    <w:rsid w:val="00327981"/>
    <w:rsid w:val="003279B0"/>
    <w:rsid w:val="00327A01"/>
    <w:rsid w:val="00327A33"/>
    <w:rsid w:val="00327A4D"/>
    <w:rsid w:val="00327A51"/>
    <w:rsid w:val="00327AFF"/>
    <w:rsid w:val="00327B1E"/>
    <w:rsid w:val="00327B3D"/>
    <w:rsid w:val="00327B45"/>
    <w:rsid w:val="00327B5A"/>
    <w:rsid w:val="00327B67"/>
    <w:rsid w:val="00327BE7"/>
    <w:rsid w:val="00327C64"/>
    <w:rsid w:val="00327CFE"/>
    <w:rsid w:val="00327D21"/>
    <w:rsid w:val="00327DBB"/>
    <w:rsid w:val="00327DC3"/>
    <w:rsid w:val="00327E04"/>
    <w:rsid w:val="00327E0B"/>
    <w:rsid w:val="00327E95"/>
    <w:rsid w:val="00327E96"/>
    <w:rsid w:val="00327F0E"/>
    <w:rsid w:val="00327FAA"/>
    <w:rsid w:val="00327FC4"/>
    <w:rsid w:val="00327FE2"/>
    <w:rsid w:val="00330037"/>
    <w:rsid w:val="0033009A"/>
    <w:rsid w:val="003300DB"/>
    <w:rsid w:val="00330117"/>
    <w:rsid w:val="003301D9"/>
    <w:rsid w:val="003302F6"/>
    <w:rsid w:val="0033032E"/>
    <w:rsid w:val="003303A8"/>
    <w:rsid w:val="003303B2"/>
    <w:rsid w:val="003303D5"/>
    <w:rsid w:val="003303DF"/>
    <w:rsid w:val="00330445"/>
    <w:rsid w:val="00330458"/>
    <w:rsid w:val="00330468"/>
    <w:rsid w:val="00330485"/>
    <w:rsid w:val="0033048B"/>
    <w:rsid w:val="0033048D"/>
    <w:rsid w:val="003304D3"/>
    <w:rsid w:val="00330555"/>
    <w:rsid w:val="0033059A"/>
    <w:rsid w:val="00330639"/>
    <w:rsid w:val="003307F5"/>
    <w:rsid w:val="0033081D"/>
    <w:rsid w:val="0033085C"/>
    <w:rsid w:val="003308E1"/>
    <w:rsid w:val="0033094C"/>
    <w:rsid w:val="0033095B"/>
    <w:rsid w:val="0033096F"/>
    <w:rsid w:val="003309E5"/>
    <w:rsid w:val="00330A0A"/>
    <w:rsid w:val="00330A4C"/>
    <w:rsid w:val="00330A9C"/>
    <w:rsid w:val="00330AA4"/>
    <w:rsid w:val="00330AB0"/>
    <w:rsid w:val="00330AC7"/>
    <w:rsid w:val="00330ADE"/>
    <w:rsid w:val="00330B1D"/>
    <w:rsid w:val="00330B5A"/>
    <w:rsid w:val="00330BCA"/>
    <w:rsid w:val="00330C03"/>
    <w:rsid w:val="00330C5D"/>
    <w:rsid w:val="00330D89"/>
    <w:rsid w:val="00330DC6"/>
    <w:rsid w:val="00330DCD"/>
    <w:rsid w:val="00330E0F"/>
    <w:rsid w:val="00330E10"/>
    <w:rsid w:val="00330EE0"/>
    <w:rsid w:val="00330F07"/>
    <w:rsid w:val="00330F3D"/>
    <w:rsid w:val="00330F9F"/>
    <w:rsid w:val="00330FA8"/>
    <w:rsid w:val="00330FBB"/>
    <w:rsid w:val="003310D9"/>
    <w:rsid w:val="003310F0"/>
    <w:rsid w:val="00331103"/>
    <w:rsid w:val="00331120"/>
    <w:rsid w:val="00331144"/>
    <w:rsid w:val="0033114B"/>
    <w:rsid w:val="00331160"/>
    <w:rsid w:val="00331175"/>
    <w:rsid w:val="00331189"/>
    <w:rsid w:val="003311BC"/>
    <w:rsid w:val="003311CE"/>
    <w:rsid w:val="003311D3"/>
    <w:rsid w:val="003311F5"/>
    <w:rsid w:val="00331238"/>
    <w:rsid w:val="0033123A"/>
    <w:rsid w:val="00331241"/>
    <w:rsid w:val="0033124C"/>
    <w:rsid w:val="0033124F"/>
    <w:rsid w:val="00331278"/>
    <w:rsid w:val="003312A8"/>
    <w:rsid w:val="003312D7"/>
    <w:rsid w:val="00331369"/>
    <w:rsid w:val="0033138C"/>
    <w:rsid w:val="00331399"/>
    <w:rsid w:val="003313CD"/>
    <w:rsid w:val="003313D1"/>
    <w:rsid w:val="003313D9"/>
    <w:rsid w:val="003313E1"/>
    <w:rsid w:val="0033146D"/>
    <w:rsid w:val="003314B1"/>
    <w:rsid w:val="003314DF"/>
    <w:rsid w:val="00331501"/>
    <w:rsid w:val="00331517"/>
    <w:rsid w:val="00331543"/>
    <w:rsid w:val="00331564"/>
    <w:rsid w:val="0033156D"/>
    <w:rsid w:val="003315A8"/>
    <w:rsid w:val="003315E9"/>
    <w:rsid w:val="003315FA"/>
    <w:rsid w:val="0033163B"/>
    <w:rsid w:val="00331653"/>
    <w:rsid w:val="003316F8"/>
    <w:rsid w:val="00331705"/>
    <w:rsid w:val="00331728"/>
    <w:rsid w:val="00331734"/>
    <w:rsid w:val="0033174C"/>
    <w:rsid w:val="00331790"/>
    <w:rsid w:val="003317DD"/>
    <w:rsid w:val="00331943"/>
    <w:rsid w:val="003319E2"/>
    <w:rsid w:val="00331A1E"/>
    <w:rsid w:val="00331A26"/>
    <w:rsid w:val="00331A5F"/>
    <w:rsid w:val="00331A6C"/>
    <w:rsid w:val="00331A8E"/>
    <w:rsid w:val="00331AB6"/>
    <w:rsid w:val="00331B78"/>
    <w:rsid w:val="00331B7F"/>
    <w:rsid w:val="00331BBA"/>
    <w:rsid w:val="00331C3D"/>
    <w:rsid w:val="00331C4F"/>
    <w:rsid w:val="00331C58"/>
    <w:rsid w:val="00331CD0"/>
    <w:rsid w:val="00331CFC"/>
    <w:rsid w:val="00331D0C"/>
    <w:rsid w:val="00331D35"/>
    <w:rsid w:val="00331E87"/>
    <w:rsid w:val="00331F60"/>
    <w:rsid w:val="00331F84"/>
    <w:rsid w:val="00331FF9"/>
    <w:rsid w:val="00332025"/>
    <w:rsid w:val="003320AB"/>
    <w:rsid w:val="003320D7"/>
    <w:rsid w:val="003320EE"/>
    <w:rsid w:val="003321B2"/>
    <w:rsid w:val="003321D2"/>
    <w:rsid w:val="003321E2"/>
    <w:rsid w:val="003321EE"/>
    <w:rsid w:val="003321EF"/>
    <w:rsid w:val="003321F4"/>
    <w:rsid w:val="003323CC"/>
    <w:rsid w:val="0033248B"/>
    <w:rsid w:val="0033248E"/>
    <w:rsid w:val="003324BA"/>
    <w:rsid w:val="003324C1"/>
    <w:rsid w:val="003324F4"/>
    <w:rsid w:val="0033250B"/>
    <w:rsid w:val="00332537"/>
    <w:rsid w:val="0033254E"/>
    <w:rsid w:val="00332562"/>
    <w:rsid w:val="003325E9"/>
    <w:rsid w:val="003325EB"/>
    <w:rsid w:val="00332629"/>
    <w:rsid w:val="00332646"/>
    <w:rsid w:val="0033264A"/>
    <w:rsid w:val="00332684"/>
    <w:rsid w:val="0033271A"/>
    <w:rsid w:val="003327B1"/>
    <w:rsid w:val="0033282A"/>
    <w:rsid w:val="00332853"/>
    <w:rsid w:val="00332860"/>
    <w:rsid w:val="003328CC"/>
    <w:rsid w:val="003328CE"/>
    <w:rsid w:val="00332913"/>
    <w:rsid w:val="00332957"/>
    <w:rsid w:val="00332A1D"/>
    <w:rsid w:val="00332A4E"/>
    <w:rsid w:val="00332A67"/>
    <w:rsid w:val="00332A74"/>
    <w:rsid w:val="00332B81"/>
    <w:rsid w:val="00332BC0"/>
    <w:rsid w:val="00332C1F"/>
    <w:rsid w:val="00332D7D"/>
    <w:rsid w:val="00332D85"/>
    <w:rsid w:val="00332DDD"/>
    <w:rsid w:val="00332E34"/>
    <w:rsid w:val="00332E36"/>
    <w:rsid w:val="00332E76"/>
    <w:rsid w:val="00332E91"/>
    <w:rsid w:val="00332EF4"/>
    <w:rsid w:val="00332EFF"/>
    <w:rsid w:val="00332F58"/>
    <w:rsid w:val="00332F78"/>
    <w:rsid w:val="00332F87"/>
    <w:rsid w:val="00332F95"/>
    <w:rsid w:val="00332F9C"/>
    <w:rsid w:val="00332FED"/>
    <w:rsid w:val="00333044"/>
    <w:rsid w:val="0033304C"/>
    <w:rsid w:val="00333082"/>
    <w:rsid w:val="003330C0"/>
    <w:rsid w:val="003330D9"/>
    <w:rsid w:val="003330E3"/>
    <w:rsid w:val="00333111"/>
    <w:rsid w:val="0033311F"/>
    <w:rsid w:val="0033315D"/>
    <w:rsid w:val="00333174"/>
    <w:rsid w:val="00333241"/>
    <w:rsid w:val="00333258"/>
    <w:rsid w:val="00333272"/>
    <w:rsid w:val="00333291"/>
    <w:rsid w:val="00333303"/>
    <w:rsid w:val="00333352"/>
    <w:rsid w:val="0033335F"/>
    <w:rsid w:val="0033337F"/>
    <w:rsid w:val="003333AB"/>
    <w:rsid w:val="00333430"/>
    <w:rsid w:val="00333442"/>
    <w:rsid w:val="00333452"/>
    <w:rsid w:val="003334A0"/>
    <w:rsid w:val="003334CE"/>
    <w:rsid w:val="00333551"/>
    <w:rsid w:val="0033359A"/>
    <w:rsid w:val="003335D0"/>
    <w:rsid w:val="00333615"/>
    <w:rsid w:val="00333619"/>
    <w:rsid w:val="00333660"/>
    <w:rsid w:val="00333702"/>
    <w:rsid w:val="00333710"/>
    <w:rsid w:val="0033374E"/>
    <w:rsid w:val="003337CD"/>
    <w:rsid w:val="003337DB"/>
    <w:rsid w:val="00333815"/>
    <w:rsid w:val="0033385E"/>
    <w:rsid w:val="0033393E"/>
    <w:rsid w:val="003339A9"/>
    <w:rsid w:val="00333A0C"/>
    <w:rsid w:val="00333A40"/>
    <w:rsid w:val="00333A89"/>
    <w:rsid w:val="00333A93"/>
    <w:rsid w:val="00333B11"/>
    <w:rsid w:val="00333BDC"/>
    <w:rsid w:val="00333BFA"/>
    <w:rsid w:val="00333C0D"/>
    <w:rsid w:val="00333C0F"/>
    <w:rsid w:val="00333C3D"/>
    <w:rsid w:val="00333C43"/>
    <w:rsid w:val="00333C5D"/>
    <w:rsid w:val="00333CEE"/>
    <w:rsid w:val="00333D15"/>
    <w:rsid w:val="00333E23"/>
    <w:rsid w:val="00333E2E"/>
    <w:rsid w:val="00333E54"/>
    <w:rsid w:val="00333E7D"/>
    <w:rsid w:val="00333EB0"/>
    <w:rsid w:val="00333F1C"/>
    <w:rsid w:val="00333F47"/>
    <w:rsid w:val="00333F4E"/>
    <w:rsid w:val="00333F77"/>
    <w:rsid w:val="00333F9B"/>
    <w:rsid w:val="0033402D"/>
    <w:rsid w:val="00334040"/>
    <w:rsid w:val="0033404E"/>
    <w:rsid w:val="0033405D"/>
    <w:rsid w:val="00334062"/>
    <w:rsid w:val="003340A6"/>
    <w:rsid w:val="003340CD"/>
    <w:rsid w:val="003340E7"/>
    <w:rsid w:val="00334141"/>
    <w:rsid w:val="003341A8"/>
    <w:rsid w:val="003341CD"/>
    <w:rsid w:val="00334201"/>
    <w:rsid w:val="00334248"/>
    <w:rsid w:val="00334289"/>
    <w:rsid w:val="003342A6"/>
    <w:rsid w:val="003342C1"/>
    <w:rsid w:val="003342E8"/>
    <w:rsid w:val="003342F9"/>
    <w:rsid w:val="00334331"/>
    <w:rsid w:val="00334343"/>
    <w:rsid w:val="00334499"/>
    <w:rsid w:val="00334515"/>
    <w:rsid w:val="003345B2"/>
    <w:rsid w:val="003345C7"/>
    <w:rsid w:val="003345D5"/>
    <w:rsid w:val="003345DC"/>
    <w:rsid w:val="00334661"/>
    <w:rsid w:val="003346AD"/>
    <w:rsid w:val="003346B1"/>
    <w:rsid w:val="003346B5"/>
    <w:rsid w:val="003346D5"/>
    <w:rsid w:val="0033471C"/>
    <w:rsid w:val="00334764"/>
    <w:rsid w:val="00334796"/>
    <w:rsid w:val="0033479F"/>
    <w:rsid w:val="003347BC"/>
    <w:rsid w:val="003347DF"/>
    <w:rsid w:val="003348D3"/>
    <w:rsid w:val="003348DB"/>
    <w:rsid w:val="0033492F"/>
    <w:rsid w:val="00334956"/>
    <w:rsid w:val="003349FE"/>
    <w:rsid w:val="00334A48"/>
    <w:rsid w:val="00334A76"/>
    <w:rsid w:val="00334A7A"/>
    <w:rsid w:val="00334B60"/>
    <w:rsid w:val="00334B86"/>
    <w:rsid w:val="00334B8B"/>
    <w:rsid w:val="00334BA1"/>
    <w:rsid w:val="00334BF8"/>
    <w:rsid w:val="00334C63"/>
    <w:rsid w:val="00334C9B"/>
    <w:rsid w:val="00334CBA"/>
    <w:rsid w:val="00334CEF"/>
    <w:rsid w:val="00334D1D"/>
    <w:rsid w:val="00334D81"/>
    <w:rsid w:val="00334DD1"/>
    <w:rsid w:val="00334E29"/>
    <w:rsid w:val="00334E5A"/>
    <w:rsid w:val="00334FBD"/>
    <w:rsid w:val="00334FC2"/>
    <w:rsid w:val="00334FE2"/>
    <w:rsid w:val="00335087"/>
    <w:rsid w:val="003350E2"/>
    <w:rsid w:val="00335183"/>
    <w:rsid w:val="00335184"/>
    <w:rsid w:val="003351C3"/>
    <w:rsid w:val="00335238"/>
    <w:rsid w:val="00335405"/>
    <w:rsid w:val="00335409"/>
    <w:rsid w:val="0033540F"/>
    <w:rsid w:val="0033542D"/>
    <w:rsid w:val="0033542E"/>
    <w:rsid w:val="00335530"/>
    <w:rsid w:val="0033554A"/>
    <w:rsid w:val="00335619"/>
    <w:rsid w:val="00335630"/>
    <w:rsid w:val="0033564F"/>
    <w:rsid w:val="0033566D"/>
    <w:rsid w:val="003356A2"/>
    <w:rsid w:val="00335711"/>
    <w:rsid w:val="0033572A"/>
    <w:rsid w:val="0033572C"/>
    <w:rsid w:val="0033573C"/>
    <w:rsid w:val="00335772"/>
    <w:rsid w:val="003357D3"/>
    <w:rsid w:val="003358AC"/>
    <w:rsid w:val="003358AD"/>
    <w:rsid w:val="003358DD"/>
    <w:rsid w:val="00335902"/>
    <w:rsid w:val="00335975"/>
    <w:rsid w:val="003359A7"/>
    <w:rsid w:val="003359BE"/>
    <w:rsid w:val="003359CD"/>
    <w:rsid w:val="00335A04"/>
    <w:rsid w:val="00335A32"/>
    <w:rsid w:val="00335A8F"/>
    <w:rsid w:val="00335AD0"/>
    <w:rsid w:val="00335AF6"/>
    <w:rsid w:val="00335B10"/>
    <w:rsid w:val="00335B47"/>
    <w:rsid w:val="00335B70"/>
    <w:rsid w:val="00335B7D"/>
    <w:rsid w:val="00335C2E"/>
    <w:rsid w:val="00335C31"/>
    <w:rsid w:val="00335C7B"/>
    <w:rsid w:val="00335D4E"/>
    <w:rsid w:val="00335D83"/>
    <w:rsid w:val="00335D8F"/>
    <w:rsid w:val="00335DD2"/>
    <w:rsid w:val="00335E26"/>
    <w:rsid w:val="00335E65"/>
    <w:rsid w:val="00335F6B"/>
    <w:rsid w:val="00335F87"/>
    <w:rsid w:val="00335F8F"/>
    <w:rsid w:val="00335FE8"/>
    <w:rsid w:val="00336047"/>
    <w:rsid w:val="003360A7"/>
    <w:rsid w:val="003360D0"/>
    <w:rsid w:val="00336186"/>
    <w:rsid w:val="003361A1"/>
    <w:rsid w:val="00336261"/>
    <w:rsid w:val="00336287"/>
    <w:rsid w:val="00336350"/>
    <w:rsid w:val="00336359"/>
    <w:rsid w:val="0033637D"/>
    <w:rsid w:val="003363A2"/>
    <w:rsid w:val="003363D3"/>
    <w:rsid w:val="003363E5"/>
    <w:rsid w:val="00336437"/>
    <w:rsid w:val="00336439"/>
    <w:rsid w:val="0033646E"/>
    <w:rsid w:val="003364A4"/>
    <w:rsid w:val="003364F5"/>
    <w:rsid w:val="00336512"/>
    <w:rsid w:val="00336523"/>
    <w:rsid w:val="0033652F"/>
    <w:rsid w:val="00336534"/>
    <w:rsid w:val="00336586"/>
    <w:rsid w:val="003365E9"/>
    <w:rsid w:val="0033664C"/>
    <w:rsid w:val="00336659"/>
    <w:rsid w:val="00336664"/>
    <w:rsid w:val="0033668F"/>
    <w:rsid w:val="003366BD"/>
    <w:rsid w:val="003366CE"/>
    <w:rsid w:val="0033672E"/>
    <w:rsid w:val="00336774"/>
    <w:rsid w:val="00336781"/>
    <w:rsid w:val="00336793"/>
    <w:rsid w:val="00336805"/>
    <w:rsid w:val="00336831"/>
    <w:rsid w:val="003368F5"/>
    <w:rsid w:val="0033695A"/>
    <w:rsid w:val="003369E1"/>
    <w:rsid w:val="00336A53"/>
    <w:rsid w:val="00336A77"/>
    <w:rsid w:val="00336AA0"/>
    <w:rsid w:val="00336AA1"/>
    <w:rsid w:val="00336AB4"/>
    <w:rsid w:val="00336B45"/>
    <w:rsid w:val="00336B9F"/>
    <w:rsid w:val="00336BD5"/>
    <w:rsid w:val="00336BF1"/>
    <w:rsid w:val="00336C30"/>
    <w:rsid w:val="00336CB8"/>
    <w:rsid w:val="00336CC9"/>
    <w:rsid w:val="00336CD9"/>
    <w:rsid w:val="00336D1E"/>
    <w:rsid w:val="00336D86"/>
    <w:rsid w:val="00336D91"/>
    <w:rsid w:val="00336D9E"/>
    <w:rsid w:val="00336DB0"/>
    <w:rsid w:val="00336DB3"/>
    <w:rsid w:val="00336DB5"/>
    <w:rsid w:val="00336EB5"/>
    <w:rsid w:val="00336EF4"/>
    <w:rsid w:val="00336F30"/>
    <w:rsid w:val="00336F5C"/>
    <w:rsid w:val="00336FF5"/>
    <w:rsid w:val="00337029"/>
    <w:rsid w:val="00337036"/>
    <w:rsid w:val="003370C5"/>
    <w:rsid w:val="00337147"/>
    <w:rsid w:val="00337153"/>
    <w:rsid w:val="003371E3"/>
    <w:rsid w:val="003371E5"/>
    <w:rsid w:val="003372BC"/>
    <w:rsid w:val="00337329"/>
    <w:rsid w:val="00337350"/>
    <w:rsid w:val="00337363"/>
    <w:rsid w:val="00337423"/>
    <w:rsid w:val="00337457"/>
    <w:rsid w:val="00337490"/>
    <w:rsid w:val="003374EE"/>
    <w:rsid w:val="0033756F"/>
    <w:rsid w:val="0033757A"/>
    <w:rsid w:val="003375B1"/>
    <w:rsid w:val="003375C1"/>
    <w:rsid w:val="00337628"/>
    <w:rsid w:val="0033766D"/>
    <w:rsid w:val="003376A5"/>
    <w:rsid w:val="003376AB"/>
    <w:rsid w:val="00337710"/>
    <w:rsid w:val="00337729"/>
    <w:rsid w:val="0033778B"/>
    <w:rsid w:val="00337831"/>
    <w:rsid w:val="00337849"/>
    <w:rsid w:val="0033789E"/>
    <w:rsid w:val="003378AE"/>
    <w:rsid w:val="003378B6"/>
    <w:rsid w:val="003378EB"/>
    <w:rsid w:val="003378FE"/>
    <w:rsid w:val="0033790F"/>
    <w:rsid w:val="00337948"/>
    <w:rsid w:val="00337950"/>
    <w:rsid w:val="00337957"/>
    <w:rsid w:val="00337983"/>
    <w:rsid w:val="003379BF"/>
    <w:rsid w:val="00337AA8"/>
    <w:rsid w:val="00337B02"/>
    <w:rsid w:val="00337B27"/>
    <w:rsid w:val="00337BE5"/>
    <w:rsid w:val="00337C03"/>
    <w:rsid w:val="00337C52"/>
    <w:rsid w:val="00337C73"/>
    <w:rsid w:val="00337CCA"/>
    <w:rsid w:val="00337CE2"/>
    <w:rsid w:val="00337CFE"/>
    <w:rsid w:val="00337D29"/>
    <w:rsid w:val="00337DA1"/>
    <w:rsid w:val="00337DEA"/>
    <w:rsid w:val="00337E47"/>
    <w:rsid w:val="00337E9F"/>
    <w:rsid w:val="00337EB1"/>
    <w:rsid w:val="00337EBA"/>
    <w:rsid w:val="00337F92"/>
    <w:rsid w:val="00337F95"/>
    <w:rsid w:val="00337F9D"/>
    <w:rsid w:val="00340016"/>
    <w:rsid w:val="00340065"/>
    <w:rsid w:val="003400B0"/>
    <w:rsid w:val="003400D7"/>
    <w:rsid w:val="003400E0"/>
    <w:rsid w:val="0034011E"/>
    <w:rsid w:val="0034012A"/>
    <w:rsid w:val="00340277"/>
    <w:rsid w:val="003402BF"/>
    <w:rsid w:val="003402CC"/>
    <w:rsid w:val="003402E3"/>
    <w:rsid w:val="00340344"/>
    <w:rsid w:val="003403C1"/>
    <w:rsid w:val="003403EC"/>
    <w:rsid w:val="00340422"/>
    <w:rsid w:val="00340445"/>
    <w:rsid w:val="0034045D"/>
    <w:rsid w:val="00340489"/>
    <w:rsid w:val="003404B2"/>
    <w:rsid w:val="003404EC"/>
    <w:rsid w:val="003404FF"/>
    <w:rsid w:val="0034050C"/>
    <w:rsid w:val="00340519"/>
    <w:rsid w:val="00340526"/>
    <w:rsid w:val="00340538"/>
    <w:rsid w:val="00340561"/>
    <w:rsid w:val="00340608"/>
    <w:rsid w:val="0034063C"/>
    <w:rsid w:val="0034069F"/>
    <w:rsid w:val="003406A5"/>
    <w:rsid w:val="003406CC"/>
    <w:rsid w:val="003406FD"/>
    <w:rsid w:val="00340747"/>
    <w:rsid w:val="0034079E"/>
    <w:rsid w:val="0034084F"/>
    <w:rsid w:val="0034088C"/>
    <w:rsid w:val="003408A5"/>
    <w:rsid w:val="00340900"/>
    <w:rsid w:val="00340923"/>
    <w:rsid w:val="00340928"/>
    <w:rsid w:val="0034094C"/>
    <w:rsid w:val="00340A57"/>
    <w:rsid w:val="00340A89"/>
    <w:rsid w:val="00340AB8"/>
    <w:rsid w:val="00340AEE"/>
    <w:rsid w:val="00340AF0"/>
    <w:rsid w:val="00340AFD"/>
    <w:rsid w:val="00340AFE"/>
    <w:rsid w:val="00340B15"/>
    <w:rsid w:val="00340B43"/>
    <w:rsid w:val="00340B88"/>
    <w:rsid w:val="00340C02"/>
    <w:rsid w:val="00340C22"/>
    <w:rsid w:val="00340C55"/>
    <w:rsid w:val="00340D51"/>
    <w:rsid w:val="00340E03"/>
    <w:rsid w:val="00340E05"/>
    <w:rsid w:val="00340E09"/>
    <w:rsid w:val="00340E79"/>
    <w:rsid w:val="00340EC2"/>
    <w:rsid w:val="00340EC7"/>
    <w:rsid w:val="00340EEA"/>
    <w:rsid w:val="00340F33"/>
    <w:rsid w:val="00340F87"/>
    <w:rsid w:val="00340FC1"/>
    <w:rsid w:val="00340FED"/>
    <w:rsid w:val="00340FFA"/>
    <w:rsid w:val="0034103A"/>
    <w:rsid w:val="00341045"/>
    <w:rsid w:val="0034104D"/>
    <w:rsid w:val="00341100"/>
    <w:rsid w:val="0034110E"/>
    <w:rsid w:val="0034111B"/>
    <w:rsid w:val="003411A2"/>
    <w:rsid w:val="003411DC"/>
    <w:rsid w:val="0034120C"/>
    <w:rsid w:val="00341230"/>
    <w:rsid w:val="003412AE"/>
    <w:rsid w:val="003412B6"/>
    <w:rsid w:val="003412FC"/>
    <w:rsid w:val="0034132E"/>
    <w:rsid w:val="00341332"/>
    <w:rsid w:val="0034136A"/>
    <w:rsid w:val="003413BA"/>
    <w:rsid w:val="003413CD"/>
    <w:rsid w:val="003413F2"/>
    <w:rsid w:val="00341410"/>
    <w:rsid w:val="0034141D"/>
    <w:rsid w:val="0034141F"/>
    <w:rsid w:val="0034147E"/>
    <w:rsid w:val="00341540"/>
    <w:rsid w:val="00341545"/>
    <w:rsid w:val="00341555"/>
    <w:rsid w:val="00341569"/>
    <w:rsid w:val="00341577"/>
    <w:rsid w:val="003415E6"/>
    <w:rsid w:val="003415EC"/>
    <w:rsid w:val="00341623"/>
    <w:rsid w:val="003416BB"/>
    <w:rsid w:val="003416BE"/>
    <w:rsid w:val="003416BF"/>
    <w:rsid w:val="003417F2"/>
    <w:rsid w:val="003417FA"/>
    <w:rsid w:val="0034181C"/>
    <w:rsid w:val="0034186F"/>
    <w:rsid w:val="003418F9"/>
    <w:rsid w:val="003418FA"/>
    <w:rsid w:val="00341921"/>
    <w:rsid w:val="0034193C"/>
    <w:rsid w:val="00341964"/>
    <w:rsid w:val="0034198C"/>
    <w:rsid w:val="00341AFB"/>
    <w:rsid w:val="00341B3D"/>
    <w:rsid w:val="00341BB1"/>
    <w:rsid w:val="00341BB9"/>
    <w:rsid w:val="00341BC0"/>
    <w:rsid w:val="00341BE9"/>
    <w:rsid w:val="00341D9F"/>
    <w:rsid w:val="00341DDE"/>
    <w:rsid w:val="00341E89"/>
    <w:rsid w:val="00341EB6"/>
    <w:rsid w:val="00341EE6"/>
    <w:rsid w:val="00341F06"/>
    <w:rsid w:val="00341F34"/>
    <w:rsid w:val="00341F5C"/>
    <w:rsid w:val="00341FD7"/>
    <w:rsid w:val="00341FE0"/>
    <w:rsid w:val="00341FF5"/>
    <w:rsid w:val="00342000"/>
    <w:rsid w:val="0034201B"/>
    <w:rsid w:val="0034202C"/>
    <w:rsid w:val="00342035"/>
    <w:rsid w:val="00342042"/>
    <w:rsid w:val="003420C2"/>
    <w:rsid w:val="003420CC"/>
    <w:rsid w:val="00342168"/>
    <w:rsid w:val="00342190"/>
    <w:rsid w:val="003421C9"/>
    <w:rsid w:val="0034220B"/>
    <w:rsid w:val="00342252"/>
    <w:rsid w:val="003422D2"/>
    <w:rsid w:val="0034232F"/>
    <w:rsid w:val="0034239E"/>
    <w:rsid w:val="003423BD"/>
    <w:rsid w:val="003423BE"/>
    <w:rsid w:val="003423BF"/>
    <w:rsid w:val="003423E4"/>
    <w:rsid w:val="00342418"/>
    <w:rsid w:val="0034245F"/>
    <w:rsid w:val="00342487"/>
    <w:rsid w:val="003424F2"/>
    <w:rsid w:val="0034252E"/>
    <w:rsid w:val="003425A3"/>
    <w:rsid w:val="0034264B"/>
    <w:rsid w:val="003426BB"/>
    <w:rsid w:val="003426C2"/>
    <w:rsid w:val="003426E2"/>
    <w:rsid w:val="003426E9"/>
    <w:rsid w:val="0034277A"/>
    <w:rsid w:val="003427AC"/>
    <w:rsid w:val="0034280A"/>
    <w:rsid w:val="00342816"/>
    <w:rsid w:val="00342825"/>
    <w:rsid w:val="00342869"/>
    <w:rsid w:val="003428F3"/>
    <w:rsid w:val="00342947"/>
    <w:rsid w:val="0034298A"/>
    <w:rsid w:val="0034298B"/>
    <w:rsid w:val="003429CF"/>
    <w:rsid w:val="00342A09"/>
    <w:rsid w:val="00342A38"/>
    <w:rsid w:val="00342A46"/>
    <w:rsid w:val="00342A5B"/>
    <w:rsid w:val="00342A96"/>
    <w:rsid w:val="00342AAB"/>
    <w:rsid w:val="00342AB5"/>
    <w:rsid w:val="00342AB7"/>
    <w:rsid w:val="00342AF2"/>
    <w:rsid w:val="00342B5D"/>
    <w:rsid w:val="00342B77"/>
    <w:rsid w:val="00342BA2"/>
    <w:rsid w:val="00342D1F"/>
    <w:rsid w:val="00342D65"/>
    <w:rsid w:val="00342D8D"/>
    <w:rsid w:val="00342DC5"/>
    <w:rsid w:val="00342DF1"/>
    <w:rsid w:val="00342E15"/>
    <w:rsid w:val="00342E2D"/>
    <w:rsid w:val="00342E4D"/>
    <w:rsid w:val="00342EF1"/>
    <w:rsid w:val="00342F46"/>
    <w:rsid w:val="00342F6D"/>
    <w:rsid w:val="00342FF0"/>
    <w:rsid w:val="00343012"/>
    <w:rsid w:val="00343017"/>
    <w:rsid w:val="00343048"/>
    <w:rsid w:val="0034305D"/>
    <w:rsid w:val="003430DD"/>
    <w:rsid w:val="003430DF"/>
    <w:rsid w:val="00343116"/>
    <w:rsid w:val="0034315A"/>
    <w:rsid w:val="003431E3"/>
    <w:rsid w:val="0034320A"/>
    <w:rsid w:val="0034322C"/>
    <w:rsid w:val="003432E8"/>
    <w:rsid w:val="00343305"/>
    <w:rsid w:val="0034333F"/>
    <w:rsid w:val="0034335B"/>
    <w:rsid w:val="0034337C"/>
    <w:rsid w:val="0034337F"/>
    <w:rsid w:val="0034339B"/>
    <w:rsid w:val="003433A4"/>
    <w:rsid w:val="00343449"/>
    <w:rsid w:val="00343454"/>
    <w:rsid w:val="003434B7"/>
    <w:rsid w:val="003434BA"/>
    <w:rsid w:val="003434BB"/>
    <w:rsid w:val="003434FE"/>
    <w:rsid w:val="00343511"/>
    <w:rsid w:val="00343588"/>
    <w:rsid w:val="003435EA"/>
    <w:rsid w:val="00343614"/>
    <w:rsid w:val="0034367E"/>
    <w:rsid w:val="00343705"/>
    <w:rsid w:val="00343712"/>
    <w:rsid w:val="00343715"/>
    <w:rsid w:val="00343725"/>
    <w:rsid w:val="00343754"/>
    <w:rsid w:val="0034375C"/>
    <w:rsid w:val="00343782"/>
    <w:rsid w:val="003437A0"/>
    <w:rsid w:val="003437B9"/>
    <w:rsid w:val="003437EB"/>
    <w:rsid w:val="003437F1"/>
    <w:rsid w:val="003437F5"/>
    <w:rsid w:val="0034383D"/>
    <w:rsid w:val="00343859"/>
    <w:rsid w:val="0034387A"/>
    <w:rsid w:val="00343896"/>
    <w:rsid w:val="00343902"/>
    <w:rsid w:val="00343955"/>
    <w:rsid w:val="00343992"/>
    <w:rsid w:val="003439B1"/>
    <w:rsid w:val="003439BF"/>
    <w:rsid w:val="00343A0B"/>
    <w:rsid w:val="00343A0D"/>
    <w:rsid w:val="00343A29"/>
    <w:rsid w:val="00343A70"/>
    <w:rsid w:val="00343A79"/>
    <w:rsid w:val="00343B0D"/>
    <w:rsid w:val="00343B80"/>
    <w:rsid w:val="00343BD1"/>
    <w:rsid w:val="00343BF8"/>
    <w:rsid w:val="00343C1B"/>
    <w:rsid w:val="00343C34"/>
    <w:rsid w:val="00343C3A"/>
    <w:rsid w:val="00343C53"/>
    <w:rsid w:val="00343C57"/>
    <w:rsid w:val="00343C5B"/>
    <w:rsid w:val="00343C85"/>
    <w:rsid w:val="00343CB9"/>
    <w:rsid w:val="00343D01"/>
    <w:rsid w:val="00343D1F"/>
    <w:rsid w:val="00343D88"/>
    <w:rsid w:val="00343E8C"/>
    <w:rsid w:val="00343EBC"/>
    <w:rsid w:val="00343F38"/>
    <w:rsid w:val="00343F49"/>
    <w:rsid w:val="00343F8D"/>
    <w:rsid w:val="00343FA8"/>
    <w:rsid w:val="00343FB8"/>
    <w:rsid w:val="00343FE4"/>
    <w:rsid w:val="00344099"/>
    <w:rsid w:val="003440D7"/>
    <w:rsid w:val="0034412C"/>
    <w:rsid w:val="0034413C"/>
    <w:rsid w:val="0034416A"/>
    <w:rsid w:val="00344176"/>
    <w:rsid w:val="00344187"/>
    <w:rsid w:val="00344216"/>
    <w:rsid w:val="0034421D"/>
    <w:rsid w:val="00344236"/>
    <w:rsid w:val="0034427C"/>
    <w:rsid w:val="003442E6"/>
    <w:rsid w:val="003443B9"/>
    <w:rsid w:val="00344409"/>
    <w:rsid w:val="00344436"/>
    <w:rsid w:val="00344491"/>
    <w:rsid w:val="0034450C"/>
    <w:rsid w:val="00344512"/>
    <w:rsid w:val="00344516"/>
    <w:rsid w:val="00344688"/>
    <w:rsid w:val="003446A0"/>
    <w:rsid w:val="003446E6"/>
    <w:rsid w:val="00344792"/>
    <w:rsid w:val="003447A0"/>
    <w:rsid w:val="0034480A"/>
    <w:rsid w:val="0034481A"/>
    <w:rsid w:val="00344831"/>
    <w:rsid w:val="00344834"/>
    <w:rsid w:val="003448D4"/>
    <w:rsid w:val="00344917"/>
    <w:rsid w:val="0034494C"/>
    <w:rsid w:val="003449D9"/>
    <w:rsid w:val="003449DD"/>
    <w:rsid w:val="003449E4"/>
    <w:rsid w:val="00344A02"/>
    <w:rsid w:val="00344A3C"/>
    <w:rsid w:val="00344A8F"/>
    <w:rsid w:val="00344AA7"/>
    <w:rsid w:val="00344B8F"/>
    <w:rsid w:val="00344BC1"/>
    <w:rsid w:val="00344BD2"/>
    <w:rsid w:val="00344C49"/>
    <w:rsid w:val="00344C80"/>
    <w:rsid w:val="00344CCA"/>
    <w:rsid w:val="00344D3A"/>
    <w:rsid w:val="00344D69"/>
    <w:rsid w:val="00344D96"/>
    <w:rsid w:val="00344DAF"/>
    <w:rsid w:val="00344DDF"/>
    <w:rsid w:val="00344DF7"/>
    <w:rsid w:val="00344DFF"/>
    <w:rsid w:val="00344E21"/>
    <w:rsid w:val="00344E24"/>
    <w:rsid w:val="00344E56"/>
    <w:rsid w:val="00344E6F"/>
    <w:rsid w:val="00344F28"/>
    <w:rsid w:val="00344F52"/>
    <w:rsid w:val="00344FB7"/>
    <w:rsid w:val="00345060"/>
    <w:rsid w:val="0034509D"/>
    <w:rsid w:val="003450F2"/>
    <w:rsid w:val="003450FE"/>
    <w:rsid w:val="00345107"/>
    <w:rsid w:val="0034515D"/>
    <w:rsid w:val="00345161"/>
    <w:rsid w:val="00345189"/>
    <w:rsid w:val="0034526F"/>
    <w:rsid w:val="00345285"/>
    <w:rsid w:val="003452D2"/>
    <w:rsid w:val="003452E0"/>
    <w:rsid w:val="003452E8"/>
    <w:rsid w:val="0034531A"/>
    <w:rsid w:val="00345348"/>
    <w:rsid w:val="00345447"/>
    <w:rsid w:val="00345508"/>
    <w:rsid w:val="00345513"/>
    <w:rsid w:val="0034552D"/>
    <w:rsid w:val="0034555A"/>
    <w:rsid w:val="00345560"/>
    <w:rsid w:val="003456A0"/>
    <w:rsid w:val="00345715"/>
    <w:rsid w:val="00345749"/>
    <w:rsid w:val="003457F2"/>
    <w:rsid w:val="00345809"/>
    <w:rsid w:val="00345873"/>
    <w:rsid w:val="003458BE"/>
    <w:rsid w:val="00345944"/>
    <w:rsid w:val="00345954"/>
    <w:rsid w:val="003459B5"/>
    <w:rsid w:val="003459CC"/>
    <w:rsid w:val="003459D1"/>
    <w:rsid w:val="003459EC"/>
    <w:rsid w:val="00345A4A"/>
    <w:rsid w:val="00345A84"/>
    <w:rsid w:val="00345A96"/>
    <w:rsid w:val="00345B0F"/>
    <w:rsid w:val="00345B32"/>
    <w:rsid w:val="00345B64"/>
    <w:rsid w:val="00345BE3"/>
    <w:rsid w:val="00345BF8"/>
    <w:rsid w:val="00345C30"/>
    <w:rsid w:val="00345CA7"/>
    <w:rsid w:val="00345CBF"/>
    <w:rsid w:val="00345CE8"/>
    <w:rsid w:val="00345CF7"/>
    <w:rsid w:val="00345CFF"/>
    <w:rsid w:val="00345DE4"/>
    <w:rsid w:val="00345E06"/>
    <w:rsid w:val="00345E2A"/>
    <w:rsid w:val="00345EA7"/>
    <w:rsid w:val="00345F12"/>
    <w:rsid w:val="00345FFA"/>
    <w:rsid w:val="0034605B"/>
    <w:rsid w:val="003460A8"/>
    <w:rsid w:val="00346106"/>
    <w:rsid w:val="00346107"/>
    <w:rsid w:val="00346116"/>
    <w:rsid w:val="00346251"/>
    <w:rsid w:val="003462B6"/>
    <w:rsid w:val="003462B7"/>
    <w:rsid w:val="00346345"/>
    <w:rsid w:val="00346407"/>
    <w:rsid w:val="00346461"/>
    <w:rsid w:val="003464F0"/>
    <w:rsid w:val="00346532"/>
    <w:rsid w:val="00346534"/>
    <w:rsid w:val="00346541"/>
    <w:rsid w:val="00346551"/>
    <w:rsid w:val="00346561"/>
    <w:rsid w:val="0034657E"/>
    <w:rsid w:val="0034659A"/>
    <w:rsid w:val="003465A4"/>
    <w:rsid w:val="003465AD"/>
    <w:rsid w:val="003465E5"/>
    <w:rsid w:val="00346703"/>
    <w:rsid w:val="00346742"/>
    <w:rsid w:val="0034674D"/>
    <w:rsid w:val="0034675B"/>
    <w:rsid w:val="0034677D"/>
    <w:rsid w:val="003467C6"/>
    <w:rsid w:val="003467CD"/>
    <w:rsid w:val="003467D8"/>
    <w:rsid w:val="00346806"/>
    <w:rsid w:val="0034680A"/>
    <w:rsid w:val="0034681D"/>
    <w:rsid w:val="00346834"/>
    <w:rsid w:val="00346846"/>
    <w:rsid w:val="003468C4"/>
    <w:rsid w:val="00346918"/>
    <w:rsid w:val="003469BA"/>
    <w:rsid w:val="003469CD"/>
    <w:rsid w:val="003469E1"/>
    <w:rsid w:val="003469FC"/>
    <w:rsid w:val="00346A3F"/>
    <w:rsid w:val="00346A58"/>
    <w:rsid w:val="00346ADC"/>
    <w:rsid w:val="00346B0D"/>
    <w:rsid w:val="00346B1F"/>
    <w:rsid w:val="00346B40"/>
    <w:rsid w:val="00346B7D"/>
    <w:rsid w:val="00346CAC"/>
    <w:rsid w:val="00346CAE"/>
    <w:rsid w:val="00346CD5"/>
    <w:rsid w:val="00346CFE"/>
    <w:rsid w:val="00346D52"/>
    <w:rsid w:val="00346D5B"/>
    <w:rsid w:val="00346D76"/>
    <w:rsid w:val="00346E14"/>
    <w:rsid w:val="00346EB8"/>
    <w:rsid w:val="00346EF4"/>
    <w:rsid w:val="00346F49"/>
    <w:rsid w:val="00346F5E"/>
    <w:rsid w:val="00346F97"/>
    <w:rsid w:val="00346FC1"/>
    <w:rsid w:val="00346FC6"/>
    <w:rsid w:val="00346FD4"/>
    <w:rsid w:val="00347013"/>
    <w:rsid w:val="00347022"/>
    <w:rsid w:val="00347034"/>
    <w:rsid w:val="00347082"/>
    <w:rsid w:val="00347090"/>
    <w:rsid w:val="003470A2"/>
    <w:rsid w:val="003470DB"/>
    <w:rsid w:val="00347163"/>
    <w:rsid w:val="00347178"/>
    <w:rsid w:val="003471A6"/>
    <w:rsid w:val="003471CD"/>
    <w:rsid w:val="00347216"/>
    <w:rsid w:val="003472B7"/>
    <w:rsid w:val="0034730B"/>
    <w:rsid w:val="0034734B"/>
    <w:rsid w:val="00347373"/>
    <w:rsid w:val="003473DD"/>
    <w:rsid w:val="003473EE"/>
    <w:rsid w:val="0034742F"/>
    <w:rsid w:val="00347436"/>
    <w:rsid w:val="00347437"/>
    <w:rsid w:val="0034743C"/>
    <w:rsid w:val="00347452"/>
    <w:rsid w:val="00347482"/>
    <w:rsid w:val="003474EB"/>
    <w:rsid w:val="00347504"/>
    <w:rsid w:val="00347517"/>
    <w:rsid w:val="00347522"/>
    <w:rsid w:val="00347542"/>
    <w:rsid w:val="003475C5"/>
    <w:rsid w:val="00347631"/>
    <w:rsid w:val="00347656"/>
    <w:rsid w:val="003476A1"/>
    <w:rsid w:val="003476CD"/>
    <w:rsid w:val="003476DC"/>
    <w:rsid w:val="003476F0"/>
    <w:rsid w:val="0034771E"/>
    <w:rsid w:val="0034772C"/>
    <w:rsid w:val="0034776E"/>
    <w:rsid w:val="0034777D"/>
    <w:rsid w:val="0034778C"/>
    <w:rsid w:val="003477F4"/>
    <w:rsid w:val="0034781D"/>
    <w:rsid w:val="003478E2"/>
    <w:rsid w:val="003478F1"/>
    <w:rsid w:val="003478F4"/>
    <w:rsid w:val="003478FF"/>
    <w:rsid w:val="00347959"/>
    <w:rsid w:val="003479CA"/>
    <w:rsid w:val="00347A18"/>
    <w:rsid w:val="00347A4A"/>
    <w:rsid w:val="00347A85"/>
    <w:rsid w:val="00347A87"/>
    <w:rsid w:val="00347A96"/>
    <w:rsid w:val="00347A9B"/>
    <w:rsid w:val="00347AE1"/>
    <w:rsid w:val="00347B1E"/>
    <w:rsid w:val="00347B97"/>
    <w:rsid w:val="00347C3D"/>
    <w:rsid w:val="00347C47"/>
    <w:rsid w:val="00347D51"/>
    <w:rsid w:val="00347D9A"/>
    <w:rsid w:val="00347DA6"/>
    <w:rsid w:val="00347DCE"/>
    <w:rsid w:val="00347DEA"/>
    <w:rsid w:val="00347E23"/>
    <w:rsid w:val="00347E64"/>
    <w:rsid w:val="00347EDD"/>
    <w:rsid w:val="00347EEA"/>
    <w:rsid w:val="00347EF8"/>
    <w:rsid w:val="00347F02"/>
    <w:rsid w:val="00347F50"/>
    <w:rsid w:val="00347F62"/>
    <w:rsid w:val="00347F70"/>
    <w:rsid w:val="00347FB3"/>
    <w:rsid w:val="00347FBD"/>
    <w:rsid w:val="00347FD4"/>
    <w:rsid w:val="00347FD8"/>
    <w:rsid w:val="00347FE7"/>
    <w:rsid w:val="00350028"/>
    <w:rsid w:val="00350031"/>
    <w:rsid w:val="00350071"/>
    <w:rsid w:val="00350099"/>
    <w:rsid w:val="003500E9"/>
    <w:rsid w:val="003501B0"/>
    <w:rsid w:val="003501B6"/>
    <w:rsid w:val="003501CA"/>
    <w:rsid w:val="003501CE"/>
    <w:rsid w:val="003501FD"/>
    <w:rsid w:val="00350232"/>
    <w:rsid w:val="00350237"/>
    <w:rsid w:val="00350274"/>
    <w:rsid w:val="00350313"/>
    <w:rsid w:val="0035032B"/>
    <w:rsid w:val="0035038F"/>
    <w:rsid w:val="003503F7"/>
    <w:rsid w:val="0035042E"/>
    <w:rsid w:val="00350437"/>
    <w:rsid w:val="0035046E"/>
    <w:rsid w:val="0035047B"/>
    <w:rsid w:val="003504D8"/>
    <w:rsid w:val="003504E0"/>
    <w:rsid w:val="00350587"/>
    <w:rsid w:val="0035058E"/>
    <w:rsid w:val="003505F0"/>
    <w:rsid w:val="0035063C"/>
    <w:rsid w:val="0035066F"/>
    <w:rsid w:val="003506B7"/>
    <w:rsid w:val="00350771"/>
    <w:rsid w:val="00350796"/>
    <w:rsid w:val="003507CB"/>
    <w:rsid w:val="0035085E"/>
    <w:rsid w:val="0035087F"/>
    <w:rsid w:val="00350986"/>
    <w:rsid w:val="003509AE"/>
    <w:rsid w:val="003509D1"/>
    <w:rsid w:val="003509EA"/>
    <w:rsid w:val="00350A37"/>
    <w:rsid w:val="00350A38"/>
    <w:rsid w:val="00350A41"/>
    <w:rsid w:val="00350AB4"/>
    <w:rsid w:val="00350ABC"/>
    <w:rsid w:val="00350AC8"/>
    <w:rsid w:val="00350B5E"/>
    <w:rsid w:val="00350B6C"/>
    <w:rsid w:val="00350BBA"/>
    <w:rsid w:val="00350C09"/>
    <w:rsid w:val="00350C72"/>
    <w:rsid w:val="00350C83"/>
    <w:rsid w:val="00350CAD"/>
    <w:rsid w:val="00350CC3"/>
    <w:rsid w:val="00350CC8"/>
    <w:rsid w:val="00350CD6"/>
    <w:rsid w:val="00350D37"/>
    <w:rsid w:val="00350D6F"/>
    <w:rsid w:val="00350DBE"/>
    <w:rsid w:val="00350DDA"/>
    <w:rsid w:val="00350E0C"/>
    <w:rsid w:val="00350E0D"/>
    <w:rsid w:val="00350EA3"/>
    <w:rsid w:val="00350EFC"/>
    <w:rsid w:val="00350F4D"/>
    <w:rsid w:val="00350FF6"/>
    <w:rsid w:val="00350FF9"/>
    <w:rsid w:val="00350FFC"/>
    <w:rsid w:val="0035103B"/>
    <w:rsid w:val="003510C1"/>
    <w:rsid w:val="003510E3"/>
    <w:rsid w:val="00351108"/>
    <w:rsid w:val="00351118"/>
    <w:rsid w:val="0035111F"/>
    <w:rsid w:val="00351134"/>
    <w:rsid w:val="00351170"/>
    <w:rsid w:val="0035119C"/>
    <w:rsid w:val="0035119D"/>
    <w:rsid w:val="003511DA"/>
    <w:rsid w:val="00351237"/>
    <w:rsid w:val="0035126D"/>
    <w:rsid w:val="003512A1"/>
    <w:rsid w:val="0035134C"/>
    <w:rsid w:val="00351362"/>
    <w:rsid w:val="003513AD"/>
    <w:rsid w:val="00351474"/>
    <w:rsid w:val="0035149F"/>
    <w:rsid w:val="003514E3"/>
    <w:rsid w:val="003514EF"/>
    <w:rsid w:val="003514F0"/>
    <w:rsid w:val="003514F7"/>
    <w:rsid w:val="00351505"/>
    <w:rsid w:val="003515B6"/>
    <w:rsid w:val="003515E1"/>
    <w:rsid w:val="00351641"/>
    <w:rsid w:val="0035167D"/>
    <w:rsid w:val="00351680"/>
    <w:rsid w:val="003517F1"/>
    <w:rsid w:val="003517FA"/>
    <w:rsid w:val="003518DA"/>
    <w:rsid w:val="00351903"/>
    <w:rsid w:val="00351925"/>
    <w:rsid w:val="00351932"/>
    <w:rsid w:val="0035196C"/>
    <w:rsid w:val="0035199A"/>
    <w:rsid w:val="003519F5"/>
    <w:rsid w:val="00351A6D"/>
    <w:rsid w:val="00351A7E"/>
    <w:rsid w:val="00351AFB"/>
    <w:rsid w:val="00351B58"/>
    <w:rsid w:val="00351B74"/>
    <w:rsid w:val="00351BE4"/>
    <w:rsid w:val="00351C0C"/>
    <w:rsid w:val="00351C64"/>
    <w:rsid w:val="00351C72"/>
    <w:rsid w:val="00351CAD"/>
    <w:rsid w:val="00351D2F"/>
    <w:rsid w:val="00351D7D"/>
    <w:rsid w:val="00351DE5"/>
    <w:rsid w:val="00351DFB"/>
    <w:rsid w:val="00351E15"/>
    <w:rsid w:val="00351E21"/>
    <w:rsid w:val="00351E86"/>
    <w:rsid w:val="00351EDA"/>
    <w:rsid w:val="00351F52"/>
    <w:rsid w:val="00351F99"/>
    <w:rsid w:val="00351FAA"/>
    <w:rsid w:val="00351FAE"/>
    <w:rsid w:val="00352053"/>
    <w:rsid w:val="00352086"/>
    <w:rsid w:val="003520B6"/>
    <w:rsid w:val="003520DF"/>
    <w:rsid w:val="003520F2"/>
    <w:rsid w:val="00352115"/>
    <w:rsid w:val="0035213F"/>
    <w:rsid w:val="0035217E"/>
    <w:rsid w:val="00352182"/>
    <w:rsid w:val="0035220C"/>
    <w:rsid w:val="00352217"/>
    <w:rsid w:val="00352244"/>
    <w:rsid w:val="00352266"/>
    <w:rsid w:val="00352291"/>
    <w:rsid w:val="00352324"/>
    <w:rsid w:val="00352331"/>
    <w:rsid w:val="00352396"/>
    <w:rsid w:val="003524A7"/>
    <w:rsid w:val="003524D8"/>
    <w:rsid w:val="00352504"/>
    <w:rsid w:val="00352524"/>
    <w:rsid w:val="00352531"/>
    <w:rsid w:val="00352532"/>
    <w:rsid w:val="00352546"/>
    <w:rsid w:val="003525AE"/>
    <w:rsid w:val="003525D7"/>
    <w:rsid w:val="00352635"/>
    <w:rsid w:val="003527BC"/>
    <w:rsid w:val="0035280F"/>
    <w:rsid w:val="00352846"/>
    <w:rsid w:val="00352864"/>
    <w:rsid w:val="003528C7"/>
    <w:rsid w:val="00352970"/>
    <w:rsid w:val="0035298A"/>
    <w:rsid w:val="00352B68"/>
    <w:rsid w:val="00352BD3"/>
    <w:rsid w:val="00352CC4"/>
    <w:rsid w:val="00352CCF"/>
    <w:rsid w:val="00352D61"/>
    <w:rsid w:val="00352D82"/>
    <w:rsid w:val="00352DF9"/>
    <w:rsid w:val="00352DFF"/>
    <w:rsid w:val="00352E57"/>
    <w:rsid w:val="00352E6C"/>
    <w:rsid w:val="00352E70"/>
    <w:rsid w:val="00352EA5"/>
    <w:rsid w:val="00352EF6"/>
    <w:rsid w:val="00352F06"/>
    <w:rsid w:val="00352F17"/>
    <w:rsid w:val="00352F38"/>
    <w:rsid w:val="0035301E"/>
    <w:rsid w:val="0035312D"/>
    <w:rsid w:val="0035313D"/>
    <w:rsid w:val="003531F8"/>
    <w:rsid w:val="003531F9"/>
    <w:rsid w:val="003532AB"/>
    <w:rsid w:val="003532AD"/>
    <w:rsid w:val="003532B2"/>
    <w:rsid w:val="003532DE"/>
    <w:rsid w:val="00353325"/>
    <w:rsid w:val="00353330"/>
    <w:rsid w:val="00353338"/>
    <w:rsid w:val="00353340"/>
    <w:rsid w:val="00353376"/>
    <w:rsid w:val="00353396"/>
    <w:rsid w:val="00353397"/>
    <w:rsid w:val="003533D3"/>
    <w:rsid w:val="003533F2"/>
    <w:rsid w:val="003534A3"/>
    <w:rsid w:val="003534B1"/>
    <w:rsid w:val="003534D8"/>
    <w:rsid w:val="00353533"/>
    <w:rsid w:val="0035353A"/>
    <w:rsid w:val="003535C7"/>
    <w:rsid w:val="003535D3"/>
    <w:rsid w:val="003535F9"/>
    <w:rsid w:val="0035364A"/>
    <w:rsid w:val="0035365B"/>
    <w:rsid w:val="0035366B"/>
    <w:rsid w:val="00353721"/>
    <w:rsid w:val="00353744"/>
    <w:rsid w:val="00353781"/>
    <w:rsid w:val="00353786"/>
    <w:rsid w:val="003537A0"/>
    <w:rsid w:val="0035387E"/>
    <w:rsid w:val="003538F8"/>
    <w:rsid w:val="0035392F"/>
    <w:rsid w:val="00353959"/>
    <w:rsid w:val="00353A16"/>
    <w:rsid w:val="00353A83"/>
    <w:rsid w:val="00353B86"/>
    <w:rsid w:val="00353D0A"/>
    <w:rsid w:val="00353D0E"/>
    <w:rsid w:val="00353D47"/>
    <w:rsid w:val="00353D53"/>
    <w:rsid w:val="00353DCD"/>
    <w:rsid w:val="00353E42"/>
    <w:rsid w:val="00353E54"/>
    <w:rsid w:val="00353E6E"/>
    <w:rsid w:val="00353EDA"/>
    <w:rsid w:val="00353EDB"/>
    <w:rsid w:val="00353EDF"/>
    <w:rsid w:val="00353F21"/>
    <w:rsid w:val="00353F79"/>
    <w:rsid w:val="00353FCE"/>
    <w:rsid w:val="003540A7"/>
    <w:rsid w:val="003540CB"/>
    <w:rsid w:val="003540D4"/>
    <w:rsid w:val="003540E9"/>
    <w:rsid w:val="00354119"/>
    <w:rsid w:val="00354145"/>
    <w:rsid w:val="00354178"/>
    <w:rsid w:val="00354188"/>
    <w:rsid w:val="003541C1"/>
    <w:rsid w:val="003541C7"/>
    <w:rsid w:val="003542B5"/>
    <w:rsid w:val="003542F3"/>
    <w:rsid w:val="00354336"/>
    <w:rsid w:val="0035437B"/>
    <w:rsid w:val="003543A4"/>
    <w:rsid w:val="003543FA"/>
    <w:rsid w:val="00354417"/>
    <w:rsid w:val="0035441B"/>
    <w:rsid w:val="0035442B"/>
    <w:rsid w:val="00354455"/>
    <w:rsid w:val="00354457"/>
    <w:rsid w:val="00354461"/>
    <w:rsid w:val="0035446C"/>
    <w:rsid w:val="0035449C"/>
    <w:rsid w:val="003544AD"/>
    <w:rsid w:val="003544BB"/>
    <w:rsid w:val="003544EB"/>
    <w:rsid w:val="003544EE"/>
    <w:rsid w:val="00354547"/>
    <w:rsid w:val="003545C4"/>
    <w:rsid w:val="003546D7"/>
    <w:rsid w:val="00354704"/>
    <w:rsid w:val="0035471B"/>
    <w:rsid w:val="0035475D"/>
    <w:rsid w:val="003547C0"/>
    <w:rsid w:val="003547E7"/>
    <w:rsid w:val="00354823"/>
    <w:rsid w:val="00354854"/>
    <w:rsid w:val="0035486B"/>
    <w:rsid w:val="00354888"/>
    <w:rsid w:val="00354899"/>
    <w:rsid w:val="0035489F"/>
    <w:rsid w:val="003548F5"/>
    <w:rsid w:val="0035493F"/>
    <w:rsid w:val="003549B9"/>
    <w:rsid w:val="00354A58"/>
    <w:rsid w:val="00354A99"/>
    <w:rsid w:val="00354AFA"/>
    <w:rsid w:val="00354B80"/>
    <w:rsid w:val="00354B93"/>
    <w:rsid w:val="00354BE2"/>
    <w:rsid w:val="00354C09"/>
    <w:rsid w:val="00354C1E"/>
    <w:rsid w:val="00354C48"/>
    <w:rsid w:val="00354C79"/>
    <w:rsid w:val="00354D78"/>
    <w:rsid w:val="00354DC5"/>
    <w:rsid w:val="00354DD5"/>
    <w:rsid w:val="00354DDF"/>
    <w:rsid w:val="00354E07"/>
    <w:rsid w:val="00354E5E"/>
    <w:rsid w:val="00354EAE"/>
    <w:rsid w:val="00354F51"/>
    <w:rsid w:val="00354F67"/>
    <w:rsid w:val="00355034"/>
    <w:rsid w:val="0035503C"/>
    <w:rsid w:val="0035504B"/>
    <w:rsid w:val="00355098"/>
    <w:rsid w:val="00355099"/>
    <w:rsid w:val="0035509E"/>
    <w:rsid w:val="003550AF"/>
    <w:rsid w:val="00355110"/>
    <w:rsid w:val="0035511B"/>
    <w:rsid w:val="0035515A"/>
    <w:rsid w:val="003551A3"/>
    <w:rsid w:val="003551B6"/>
    <w:rsid w:val="003551E6"/>
    <w:rsid w:val="0035522F"/>
    <w:rsid w:val="003552E3"/>
    <w:rsid w:val="00355356"/>
    <w:rsid w:val="00355366"/>
    <w:rsid w:val="00355386"/>
    <w:rsid w:val="003553CC"/>
    <w:rsid w:val="003553F6"/>
    <w:rsid w:val="0035540D"/>
    <w:rsid w:val="00355491"/>
    <w:rsid w:val="003554B6"/>
    <w:rsid w:val="003554EB"/>
    <w:rsid w:val="0035554E"/>
    <w:rsid w:val="0035556A"/>
    <w:rsid w:val="0035556B"/>
    <w:rsid w:val="00355576"/>
    <w:rsid w:val="00355595"/>
    <w:rsid w:val="00355669"/>
    <w:rsid w:val="003556A0"/>
    <w:rsid w:val="003556C9"/>
    <w:rsid w:val="003556EE"/>
    <w:rsid w:val="00355752"/>
    <w:rsid w:val="00355785"/>
    <w:rsid w:val="00355828"/>
    <w:rsid w:val="00355890"/>
    <w:rsid w:val="0035592A"/>
    <w:rsid w:val="0035596B"/>
    <w:rsid w:val="00355990"/>
    <w:rsid w:val="003559AF"/>
    <w:rsid w:val="003559B3"/>
    <w:rsid w:val="003559CA"/>
    <w:rsid w:val="00355A3E"/>
    <w:rsid w:val="00355A8E"/>
    <w:rsid w:val="00355AD2"/>
    <w:rsid w:val="00355AF9"/>
    <w:rsid w:val="00355B2B"/>
    <w:rsid w:val="00355B5E"/>
    <w:rsid w:val="00355B64"/>
    <w:rsid w:val="00355BAF"/>
    <w:rsid w:val="00355BEA"/>
    <w:rsid w:val="00355BFD"/>
    <w:rsid w:val="00355C33"/>
    <w:rsid w:val="00355C70"/>
    <w:rsid w:val="00355C77"/>
    <w:rsid w:val="00355C92"/>
    <w:rsid w:val="00355CA5"/>
    <w:rsid w:val="00355CBC"/>
    <w:rsid w:val="00355D16"/>
    <w:rsid w:val="00355D2B"/>
    <w:rsid w:val="00355D2E"/>
    <w:rsid w:val="00355D73"/>
    <w:rsid w:val="00355D81"/>
    <w:rsid w:val="00355DAB"/>
    <w:rsid w:val="00355E00"/>
    <w:rsid w:val="00355E5B"/>
    <w:rsid w:val="00355E62"/>
    <w:rsid w:val="00355E71"/>
    <w:rsid w:val="00355E91"/>
    <w:rsid w:val="00355EE7"/>
    <w:rsid w:val="0035601A"/>
    <w:rsid w:val="00356066"/>
    <w:rsid w:val="003560F2"/>
    <w:rsid w:val="00356146"/>
    <w:rsid w:val="00356156"/>
    <w:rsid w:val="00356185"/>
    <w:rsid w:val="003561AA"/>
    <w:rsid w:val="003561C6"/>
    <w:rsid w:val="00356256"/>
    <w:rsid w:val="0035625F"/>
    <w:rsid w:val="00356289"/>
    <w:rsid w:val="003562B6"/>
    <w:rsid w:val="003562E7"/>
    <w:rsid w:val="003562F2"/>
    <w:rsid w:val="00356302"/>
    <w:rsid w:val="0035633F"/>
    <w:rsid w:val="0035635D"/>
    <w:rsid w:val="00356360"/>
    <w:rsid w:val="00356380"/>
    <w:rsid w:val="00356386"/>
    <w:rsid w:val="003563BC"/>
    <w:rsid w:val="003563F2"/>
    <w:rsid w:val="00356409"/>
    <w:rsid w:val="0035640C"/>
    <w:rsid w:val="00356508"/>
    <w:rsid w:val="00356556"/>
    <w:rsid w:val="0035655A"/>
    <w:rsid w:val="00356567"/>
    <w:rsid w:val="003565B2"/>
    <w:rsid w:val="003566B6"/>
    <w:rsid w:val="00356765"/>
    <w:rsid w:val="0035676F"/>
    <w:rsid w:val="00356779"/>
    <w:rsid w:val="00356780"/>
    <w:rsid w:val="00356784"/>
    <w:rsid w:val="003567A6"/>
    <w:rsid w:val="003567C6"/>
    <w:rsid w:val="0035686F"/>
    <w:rsid w:val="0035687F"/>
    <w:rsid w:val="00356917"/>
    <w:rsid w:val="003569A7"/>
    <w:rsid w:val="003569BC"/>
    <w:rsid w:val="003569C4"/>
    <w:rsid w:val="00356A55"/>
    <w:rsid w:val="00356AC6"/>
    <w:rsid w:val="00356ADC"/>
    <w:rsid w:val="00356AE2"/>
    <w:rsid w:val="00356B07"/>
    <w:rsid w:val="00356B0A"/>
    <w:rsid w:val="00356BB2"/>
    <w:rsid w:val="00356BD5"/>
    <w:rsid w:val="00356BEC"/>
    <w:rsid w:val="00356C01"/>
    <w:rsid w:val="00356C10"/>
    <w:rsid w:val="00356C89"/>
    <w:rsid w:val="00356D1D"/>
    <w:rsid w:val="00356E39"/>
    <w:rsid w:val="00356E40"/>
    <w:rsid w:val="00356EA3"/>
    <w:rsid w:val="00356EFB"/>
    <w:rsid w:val="00356F1A"/>
    <w:rsid w:val="00356F73"/>
    <w:rsid w:val="00356F86"/>
    <w:rsid w:val="00356F93"/>
    <w:rsid w:val="00356F94"/>
    <w:rsid w:val="00356FEA"/>
    <w:rsid w:val="00356FFC"/>
    <w:rsid w:val="0035703D"/>
    <w:rsid w:val="00357096"/>
    <w:rsid w:val="003570A2"/>
    <w:rsid w:val="00357178"/>
    <w:rsid w:val="003571CD"/>
    <w:rsid w:val="003571ED"/>
    <w:rsid w:val="003571EE"/>
    <w:rsid w:val="00357274"/>
    <w:rsid w:val="00357280"/>
    <w:rsid w:val="00357288"/>
    <w:rsid w:val="0035735A"/>
    <w:rsid w:val="003573A1"/>
    <w:rsid w:val="003573CE"/>
    <w:rsid w:val="0035757E"/>
    <w:rsid w:val="0035758E"/>
    <w:rsid w:val="003575C1"/>
    <w:rsid w:val="00357637"/>
    <w:rsid w:val="00357659"/>
    <w:rsid w:val="00357694"/>
    <w:rsid w:val="0035780B"/>
    <w:rsid w:val="00357833"/>
    <w:rsid w:val="00357864"/>
    <w:rsid w:val="00357893"/>
    <w:rsid w:val="0035789A"/>
    <w:rsid w:val="003578AC"/>
    <w:rsid w:val="0035790D"/>
    <w:rsid w:val="00357944"/>
    <w:rsid w:val="00357990"/>
    <w:rsid w:val="003579D1"/>
    <w:rsid w:val="00357A21"/>
    <w:rsid w:val="00357A35"/>
    <w:rsid w:val="00357A76"/>
    <w:rsid w:val="00357A98"/>
    <w:rsid w:val="00357AC7"/>
    <w:rsid w:val="00357BB0"/>
    <w:rsid w:val="00357BD4"/>
    <w:rsid w:val="00357CAE"/>
    <w:rsid w:val="00357D33"/>
    <w:rsid w:val="00357DD4"/>
    <w:rsid w:val="00357DEB"/>
    <w:rsid w:val="00357DF9"/>
    <w:rsid w:val="00357E7C"/>
    <w:rsid w:val="00357E80"/>
    <w:rsid w:val="00357E91"/>
    <w:rsid w:val="00357EC0"/>
    <w:rsid w:val="00357F11"/>
    <w:rsid w:val="00357F25"/>
    <w:rsid w:val="00357F64"/>
    <w:rsid w:val="00357FA6"/>
    <w:rsid w:val="00357FAF"/>
    <w:rsid w:val="00357FF9"/>
    <w:rsid w:val="0036003C"/>
    <w:rsid w:val="0036006C"/>
    <w:rsid w:val="00360080"/>
    <w:rsid w:val="0036008D"/>
    <w:rsid w:val="0036009E"/>
    <w:rsid w:val="003600CC"/>
    <w:rsid w:val="00360168"/>
    <w:rsid w:val="0036017C"/>
    <w:rsid w:val="0036018F"/>
    <w:rsid w:val="00360199"/>
    <w:rsid w:val="0036019C"/>
    <w:rsid w:val="003601FD"/>
    <w:rsid w:val="0036020B"/>
    <w:rsid w:val="0036023F"/>
    <w:rsid w:val="003602BF"/>
    <w:rsid w:val="003602E9"/>
    <w:rsid w:val="0036033E"/>
    <w:rsid w:val="0036039F"/>
    <w:rsid w:val="00360402"/>
    <w:rsid w:val="00360422"/>
    <w:rsid w:val="0036043C"/>
    <w:rsid w:val="00360475"/>
    <w:rsid w:val="00360573"/>
    <w:rsid w:val="003605A0"/>
    <w:rsid w:val="00360632"/>
    <w:rsid w:val="00360637"/>
    <w:rsid w:val="0036069D"/>
    <w:rsid w:val="003606AE"/>
    <w:rsid w:val="003606F6"/>
    <w:rsid w:val="00360702"/>
    <w:rsid w:val="0036074D"/>
    <w:rsid w:val="003607AB"/>
    <w:rsid w:val="003607F7"/>
    <w:rsid w:val="003608BE"/>
    <w:rsid w:val="003608E7"/>
    <w:rsid w:val="003608EB"/>
    <w:rsid w:val="003608EC"/>
    <w:rsid w:val="003609AA"/>
    <w:rsid w:val="00360A14"/>
    <w:rsid w:val="00360A4B"/>
    <w:rsid w:val="00360AFC"/>
    <w:rsid w:val="00360B68"/>
    <w:rsid w:val="00360B94"/>
    <w:rsid w:val="00360BC0"/>
    <w:rsid w:val="00360BDC"/>
    <w:rsid w:val="00360BEA"/>
    <w:rsid w:val="00360C44"/>
    <w:rsid w:val="00360C4B"/>
    <w:rsid w:val="00360CC7"/>
    <w:rsid w:val="00360CEC"/>
    <w:rsid w:val="00360CFA"/>
    <w:rsid w:val="00360D62"/>
    <w:rsid w:val="00360D7F"/>
    <w:rsid w:val="00360D85"/>
    <w:rsid w:val="00360DC6"/>
    <w:rsid w:val="00360E18"/>
    <w:rsid w:val="00360E7D"/>
    <w:rsid w:val="00360EC0"/>
    <w:rsid w:val="00360ECE"/>
    <w:rsid w:val="00360F7F"/>
    <w:rsid w:val="00361017"/>
    <w:rsid w:val="00361024"/>
    <w:rsid w:val="00361033"/>
    <w:rsid w:val="00361053"/>
    <w:rsid w:val="003610C4"/>
    <w:rsid w:val="00361117"/>
    <w:rsid w:val="00361124"/>
    <w:rsid w:val="0036112C"/>
    <w:rsid w:val="0036115F"/>
    <w:rsid w:val="00361168"/>
    <w:rsid w:val="00361169"/>
    <w:rsid w:val="00361175"/>
    <w:rsid w:val="003612A9"/>
    <w:rsid w:val="00361318"/>
    <w:rsid w:val="0036136C"/>
    <w:rsid w:val="0036137A"/>
    <w:rsid w:val="003613AA"/>
    <w:rsid w:val="00361463"/>
    <w:rsid w:val="00361484"/>
    <w:rsid w:val="003614BC"/>
    <w:rsid w:val="00361507"/>
    <w:rsid w:val="00361528"/>
    <w:rsid w:val="003615B7"/>
    <w:rsid w:val="0036165C"/>
    <w:rsid w:val="00361660"/>
    <w:rsid w:val="0036170B"/>
    <w:rsid w:val="00361734"/>
    <w:rsid w:val="003617AB"/>
    <w:rsid w:val="003618B2"/>
    <w:rsid w:val="003618C9"/>
    <w:rsid w:val="0036192C"/>
    <w:rsid w:val="00361953"/>
    <w:rsid w:val="00361957"/>
    <w:rsid w:val="0036195D"/>
    <w:rsid w:val="00361960"/>
    <w:rsid w:val="0036197A"/>
    <w:rsid w:val="003619E5"/>
    <w:rsid w:val="00361A7F"/>
    <w:rsid w:val="00361A80"/>
    <w:rsid w:val="00361AC3"/>
    <w:rsid w:val="00361AD2"/>
    <w:rsid w:val="00361B0F"/>
    <w:rsid w:val="00361B39"/>
    <w:rsid w:val="00361B47"/>
    <w:rsid w:val="00361BCA"/>
    <w:rsid w:val="00361BDD"/>
    <w:rsid w:val="00361C5E"/>
    <w:rsid w:val="00361C93"/>
    <w:rsid w:val="00361CA4"/>
    <w:rsid w:val="00361CBA"/>
    <w:rsid w:val="00361D1E"/>
    <w:rsid w:val="00361D65"/>
    <w:rsid w:val="00361D84"/>
    <w:rsid w:val="00361E1D"/>
    <w:rsid w:val="00361E6D"/>
    <w:rsid w:val="00361EB2"/>
    <w:rsid w:val="00361EF5"/>
    <w:rsid w:val="00361EFE"/>
    <w:rsid w:val="00361F03"/>
    <w:rsid w:val="00361F1C"/>
    <w:rsid w:val="00361F95"/>
    <w:rsid w:val="00361FA8"/>
    <w:rsid w:val="00361FD4"/>
    <w:rsid w:val="00362004"/>
    <w:rsid w:val="00362052"/>
    <w:rsid w:val="003620A3"/>
    <w:rsid w:val="003620F0"/>
    <w:rsid w:val="003621B2"/>
    <w:rsid w:val="00362228"/>
    <w:rsid w:val="00362261"/>
    <w:rsid w:val="003622A9"/>
    <w:rsid w:val="003623E2"/>
    <w:rsid w:val="00362450"/>
    <w:rsid w:val="00362464"/>
    <w:rsid w:val="0036247B"/>
    <w:rsid w:val="003624A7"/>
    <w:rsid w:val="003624AA"/>
    <w:rsid w:val="003624C8"/>
    <w:rsid w:val="00362505"/>
    <w:rsid w:val="0036250F"/>
    <w:rsid w:val="00362520"/>
    <w:rsid w:val="0036252F"/>
    <w:rsid w:val="00362607"/>
    <w:rsid w:val="00362687"/>
    <w:rsid w:val="00362688"/>
    <w:rsid w:val="003626D5"/>
    <w:rsid w:val="003626D6"/>
    <w:rsid w:val="0036274C"/>
    <w:rsid w:val="00362761"/>
    <w:rsid w:val="00362819"/>
    <w:rsid w:val="0036281A"/>
    <w:rsid w:val="0036281B"/>
    <w:rsid w:val="00362843"/>
    <w:rsid w:val="003628BA"/>
    <w:rsid w:val="003628C0"/>
    <w:rsid w:val="003628DF"/>
    <w:rsid w:val="003628F1"/>
    <w:rsid w:val="0036291F"/>
    <w:rsid w:val="00362930"/>
    <w:rsid w:val="00362932"/>
    <w:rsid w:val="0036295A"/>
    <w:rsid w:val="003629D1"/>
    <w:rsid w:val="003629F0"/>
    <w:rsid w:val="00362A4F"/>
    <w:rsid w:val="00362B3B"/>
    <w:rsid w:val="00362B41"/>
    <w:rsid w:val="00362B45"/>
    <w:rsid w:val="00362BAB"/>
    <w:rsid w:val="00362C4B"/>
    <w:rsid w:val="00362C78"/>
    <w:rsid w:val="00362CE4"/>
    <w:rsid w:val="00362D21"/>
    <w:rsid w:val="00362D43"/>
    <w:rsid w:val="00362D97"/>
    <w:rsid w:val="00362DA4"/>
    <w:rsid w:val="00362E18"/>
    <w:rsid w:val="00362E50"/>
    <w:rsid w:val="00362E6A"/>
    <w:rsid w:val="00362E76"/>
    <w:rsid w:val="00362ECE"/>
    <w:rsid w:val="00362EF8"/>
    <w:rsid w:val="00362EFE"/>
    <w:rsid w:val="00362F28"/>
    <w:rsid w:val="00362FC3"/>
    <w:rsid w:val="00363024"/>
    <w:rsid w:val="00363053"/>
    <w:rsid w:val="00363072"/>
    <w:rsid w:val="00363099"/>
    <w:rsid w:val="003630C0"/>
    <w:rsid w:val="003630D3"/>
    <w:rsid w:val="003630D6"/>
    <w:rsid w:val="003630E8"/>
    <w:rsid w:val="0036311E"/>
    <w:rsid w:val="00363147"/>
    <w:rsid w:val="0036314A"/>
    <w:rsid w:val="00363152"/>
    <w:rsid w:val="0036316C"/>
    <w:rsid w:val="0036318B"/>
    <w:rsid w:val="003631BC"/>
    <w:rsid w:val="003631C0"/>
    <w:rsid w:val="003631CE"/>
    <w:rsid w:val="003631CF"/>
    <w:rsid w:val="003631D6"/>
    <w:rsid w:val="00363283"/>
    <w:rsid w:val="003632A5"/>
    <w:rsid w:val="003632B8"/>
    <w:rsid w:val="003632B9"/>
    <w:rsid w:val="003632F7"/>
    <w:rsid w:val="00363311"/>
    <w:rsid w:val="00363335"/>
    <w:rsid w:val="00363360"/>
    <w:rsid w:val="003633A1"/>
    <w:rsid w:val="003633C9"/>
    <w:rsid w:val="00363439"/>
    <w:rsid w:val="00363451"/>
    <w:rsid w:val="00363494"/>
    <w:rsid w:val="003634CA"/>
    <w:rsid w:val="003634E6"/>
    <w:rsid w:val="00363515"/>
    <w:rsid w:val="003635BD"/>
    <w:rsid w:val="003635D0"/>
    <w:rsid w:val="003635DF"/>
    <w:rsid w:val="00363637"/>
    <w:rsid w:val="00363646"/>
    <w:rsid w:val="00363716"/>
    <w:rsid w:val="00363761"/>
    <w:rsid w:val="0036376D"/>
    <w:rsid w:val="003637F2"/>
    <w:rsid w:val="003637FA"/>
    <w:rsid w:val="00363861"/>
    <w:rsid w:val="003638F1"/>
    <w:rsid w:val="003639A7"/>
    <w:rsid w:val="003639B3"/>
    <w:rsid w:val="003639C7"/>
    <w:rsid w:val="00363A01"/>
    <w:rsid w:val="00363A0F"/>
    <w:rsid w:val="00363B01"/>
    <w:rsid w:val="00363B73"/>
    <w:rsid w:val="00363BB8"/>
    <w:rsid w:val="00363C27"/>
    <w:rsid w:val="00363C2B"/>
    <w:rsid w:val="00363C65"/>
    <w:rsid w:val="00363CA0"/>
    <w:rsid w:val="00363D6D"/>
    <w:rsid w:val="00363DAE"/>
    <w:rsid w:val="00363DE9"/>
    <w:rsid w:val="00363E17"/>
    <w:rsid w:val="00363E5C"/>
    <w:rsid w:val="00363E60"/>
    <w:rsid w:val="00363F17"/>
    <w:rsid w:val="00363F2E"/>
    <w:rsid w:val="00363F9D"/>
    <w:rsid w:val="00363FBC"/>
    <w:rsid w:val="0036400A"/>
    <w:rsid w:val="00364064"/>
    <w:rsid w:val="00364097"/>
    <w:rsid w:val="003640FB"/>
    <w:rsid w:val="00364197"/>
    <w:rsid w:val="003641B2"/>
    <w:rsid w:val="003641D9"/>
    <w:rsid w:val="00364241"/>
    <w:rsid w:val="00364264"/>
    <w:rsid w:val="003642D9"/>
    <w:rsid w:val="003642EA"/>
    <w:rsid w:val="00364316"/>
    <w:rsid w:val="0036432F"/>
    <w:rsid w:val="0036434D"/>
    <w:rsid w:val="0036436F"/>
    <w:rsid w:val="00364370"/>
    <w:rsid w:val="0036439D"/>
    <w:rsid w:val="00364422"/>
    <w:rsid w:val="00364474"/>
    <w:rsid w:val="00364487"/>
    <w:rsid w:val="00364550"/>
    <w:rsid w:val="0036455D"/>
    <w:rsid w:val="0036460B"/>
    <w:rsid w:val="00364685"/>
    <w:rsid w:val="003646D8"/>
    <w:rsid w:val="00364726"/>
    <w:rsid w:val="00364734"/>
    <w:rsid w:val="0036477F"/>
    <w:rsid w:val="003647D1"/>
    <w:rsid w:val="003647E0"/>
    <w:rsid w:val="00364824"/>
    <w:rsid w:val="003648A3"/>
    <w:rsid w:val="0036491E"/>
    <w:rsid w:val="0036493C"/>
    <w:rsid w:val="00364978"/>
    <w:rsid w:val="003649C3"/>
    <w:rsid w:val="003649CC"/>
    <w:rsid w:val="003649FE"/>
    <w:rsid w:val="00364A2C"/>
    <w:rsid w:val="00364B1A"/>
    <w:rsid w:val="00364B5B"/>
    <w:rsid w:val="00364B69"/>
    <w:rsid w:val="00364B98"/>
    <w:rsid w:val="00364B9B"/>
    <w:rsid w:val="00364C08"/>
    <w:rsid w:val="00364C88"/>
    <w:rsid w:val="00364CF8"/>
    <w:rsid w:val="00364D04"/>
    <w:rsid w:val="00364D62"/>
    <w:rsid w:val="00364D8E"/>
    <w:rsid w:val="00364DD6"/>
    <w:rsid w:val="00364DD8"/>
    <w:rsid w:val="00364DE4"/>
    <w:rsid w:val="00364E19"/>
    <w:rsid w:val="00364E52"/>
    <w:rsid w:val="00364E5B"/>
    <w:rsid w:val="00364E8D"/>
    <w:rsid w:val="00364EAB"/>
    <w:rsid w:val="00364EC9"/>
    <w:rsid w:val="00364ED3"/>
    <w:rsid w:val="00364EEA"/>
    <w:rsid w:val="00364EF4"/>
    <w:rsid w:val="00364F0A"/>
    <w:rsid w:val="00364F41"/>
    <w:rsid w:val="00364F51"/>
    <w:rsid w:val="00364F5B"/>
    <w:rsid w:val="00364F5D"/>
    <w:rsid w:val="00364FA5"/>
    <w:rsid w:val="00364FC3"/>
    <w:rsid w:val="0036504A"/>
    <w:rsid w:val="003650BB"/>
    <w:rsid w:val="003650E3"/>
    <w:rsid w:val="00365101"/>
    <w:rsid w:val="0036519B"/>
    <w:rsid w:val="003651F7"/>
    <w:rsid w:val="0036521B"/>
    <w:rsid w:val="00365265"/>
    <w:rsid w:val="00365287"/>
    <w:rsid w:val="003652B9"/>
    <w:rsid w:val="003652E4"/>
    <w:rsid w:val="003652FA"/>
    <w:rsid w:val="0036537D"/>
    <w:rsid w:val="003653B3"/>
    <w:rsid w:val="003653CA"/>
    <w:rsid w:val="003653E6"/>
    <w:rsid w:val="00365473"/>
    <w:rsid w:val="0036548C"/>
    <w:rsid w:val="003654F0"/>
    <w:rsid w:val="003654F1"/>
    <w:rsid w:val="00365584"/>
    <w:rsid w:val="00365597"/>
    <w:rsid w:val="003655D1"/>
    <w:rsid w:val="003655D9"/>
    <w:rsid w:val="003655EF"/>
    <w:rsid w:val="00365656"/>
    <w:rsid w:val="00365676"/>
    <w:rsid w:val="0036569C"/>
    <w:rsid w:val="003656A6"/>
    <w:rsid w:val="00365706"/>
    <w:rsid w:val="0036578E"/>
    <w:rsid w:val="003657BF"/>
    <w:rsid w:val="003657CC"/>
    <w:rsid w:val="0036585B"/>
    <w:rsid w:val="00365867"/>
    <w:rsid w:val="00365887"/>
    <w:rsid w:val="003658B1"/>
    <w:rsid w:val="003658E8"/>
    <w:rsid w:val="003658F8"/>
    <w:rsid w:val="0036599D"/>
    <w:rsid w:val="003659DE"/>
    <w:rsid w:val="003659F0"/>
    <w:rsid w:val="003659F6"/>
    <w:rsid w:val="00365A1B"/>
    <w:rsid w:val="00365A5A"/>
    <w:rsid w:val="00365A65"/>
    <w:rsid w:val="00365AD9"/>
    <w:rsid w:val="00365B35"/>
    <w:rsid w:val="00365B64"/>
    <w:rsid w:val="00365B8A"/>
    <w:rsid w:val="00365BE7"/>
    <w:rsid w:val="00365BF8"/>
    <w:rsid w:val="00365CDA"/>
    <w:rsid w:val="00365D01"/>
    <w:rsid w:val="00365D53"/>
    <w:rsid w:val="00365DDA"/>
    <w:rsid w:val="00365DF8"/>
    <w:rsid w:val="00365EA7"/>
    <w:rsid w:val="00365EEF"/>
    <w:rsid w:val="00365F1E"/>
    <w:rsid w:val="00365F29"/>
    <w:rsid w:val="00365F40"/>
    <w:rsid w:val="00365FB2"/>
    <w:rsid w:val="00365FDD"/>
    <w:rsid w:val="00365FFE"/>
    <w:rsid w:val="0036602C"/>
    <w:rsid w:val="00366030"/>
    <w:rsid w:val="003660BB"/>
    <w:rsid w:val="003660CD"/>
    <w:rsid w:val="003660FB"/>
    <w:rsid w:val="00366116"/>
    <w:rsid w:val="00366125"/>
    <w:rsid w:val="00366178"/>
    <w:rsid w:val="00366242"/>
    <w:rsid w:val="00366280"/>
    <w:rsid w:val="00366283"/>
    <w:rsid w:val="0036628B"/>
    <w:rsid w:val="003662CF"/>
    <w:rsid w:val="00366343"/>
    <w:rsid w:val="003663FD"/>
    <w:rsid w:val="00366402"/>
    <w:rsid w:val="0036643E"/>
    <w:rsid w:val="003664C2"/>
    <w:rsid w:val="003665BB"/>
    <w:rsid w:val="003665D6"/>
    <w:rsid w:val="003665E8"/>
    <w:rsid w:val="003665E9"/>
    <w:rsid w:val="00366647"/>
    <w:rsid w:val="00366656"/>
    <w:rsid w:val="00366662"/>
    <w:rsid w:val="00366684"/>
    <w:rsid w:val="003666AB"/>
    <w:rsid w:val="003666BD"/>
    <w:rsid w:val="0036673D"/>
    <w:rsid w:val="0036679B"/>
    <w:rsid w:val="003667AF"/>
    <w:rsid w:val="00366815"/>
    <w:rsid w:val="003668D8"/>
    <w:rsid w:val="003668DA"/>
    <w:rsid w:val="00366945"/>
    <w:rsid w:val="0036696A"/>
    <w:rsid w:val="003669F9"/>
    <w:rsid w:val="00366A28"/>
    <w:rsid w:val="00366A9A"/>
    <w:rsid w:val="00366AB8"/>
    <w:rsid w:val="00366B00"/>
    <w:rsid w:val="00366B1C"/>
    <w:rsid w:val="00366B2C"/>
    <w:rsid w:val="00366C5B"/>
    <w:rsid w:val="00366C8F"/>
    <w:rsid w:val="00366CF7"/>
    <w:rsid w:val="00366D27"/>
    <w:rsid w:val="00366D82"/>
    <w:rsid w:val="00366E1A"/>
    <w:rsid w:val="00366E1D"/>
    <w:rsid w:val="00366E22"/>
    <w:rsid w:val="00366E4A"/>
    <w:rsid w:val="00366E4B"/>
    <w:rsid w:val="00366E53"/>
    <w:rsid w:val="00366E57"/>
    <w:rsid w:val="00366EC2"/>
    <w:rsid w:val="00366EFD"/>
    <w:rsid w:val="00366F2C"/>
    <w:rsid w:val="00366F80"/>
    <w:rsid w:val="00366F86"/>
    <w:rsid w:val="00366FC1"/>
    <w:rsid w:val="00367012"/>
    <w:rsid w:val="0036703D"/>
    <w:rsid w:val="0036704D"/>
    <w:rsid w:val="003670AF"/>
    <w:rsid w:val="003670BA"/>
    <w:rsid w:val="003670DB"/>
    <w:rsid w:val="003670E2"/>
    <w:rsid w:val="003670F7"/>
    <w:rsid w:val="003671B7"/>
    <w:rsid w:val="003671D8"/>
    <w:rsid w:val="0036724C"/>
    <w:rsid w:val="0036725E"/>
    <w:rsid w:val="0036727F"/>
    <w:rsid w:val="00367284"/>
    <w:rsid w:val="0036739B"/>
    <w:rsid w:val="003673D1"/>
    <w:rsid w:val="00367405"/>
    <w:rsid w:val="00367410"/>
    <w:rsid w:val="003674DE"/>
    <w:rsid w:val="00367530"/>
    <w:rsid w:val="00367583"/>
    <w:rsid w:val="003675B4"/>
    <w:rsid w:val="003676A6"/>
    <w:rsid w:val="003676AB"/>
    <w:rsid w:val="00367700"/>
    <w:rsid w:val="0036780A"/>
    <w:rsid w:val="0036780C"/>
    <w:rsid w:val="0036780D"/>
    <w:rsid w:val="00367971"/>
    <w:rsid w:val="00367998"/>
    <w:rsid w:val="00367A33"/>
    <w:rsid w:val="00367AE8"/>
    <w:rsid w:val="00367AED"/>
    <w:rsid w:val="00367B26"/>
    <w:rsid w:val="00367B87"/>
    <w:rsid w:val="00367B91"/>
    <w:rsid w:val="00367BBC"/>
    <w:rsid w:val="00367C00"/>
    <w:rsid w:val="00367C16"/>
    <w:rsid w:val="00367C28"/>
    <w:rsid w:val="00367CB9"/>
    <w:rsid w:val="00367CEA"/>
    <w:rsid w:val="00367D7B"/>
    <w:rsid w:val="00367D96"/>
    <w:rsid w:val="00367DB3"/>
    <w:rsid w:val="00367DF9"/>
    <w:rsid w:val="00367E01"/>
    <w:rsid w:val="00367E9F"/>
    <w:rsid w:val="00367ECB"/>
    <w:rsid w:val="00367F44"/>
    <w:rsid w:val="00367FAA"/>
    <w:rsid w:val="00367FE9"/>
    <w:rsid w:val="00367FF3"/>
    <w:rsid w:val="0037007A"/>
    <w:rsid w:val="003700D4"/>
    <w:rsid w:val="003700F6"/>
    <w:rsid w:val="003700FD"/>
    <w:rsid w:val="00370119"/>
    <w:rsid w:val="0037013F"/>
    <w:rsid w:val="00370146"/>
    <w:rsid w:val="00370186"/>
    <w:rsid w:val="003701DF"/>
    <w:rsid w:val="003701E7"/>
    <w:rsid w:val="0037022C"/>
    <w:rsid w:val="00370235"/>
    <w:rsid w:val="00370238"/>
    <w:rsid w:val="0037027F"/>
    <w:rsid w:val="003702AF"/>
    <w:rsid w:val="003702B5"/>
    <w:rsid w:val="003703E8"/>
    <w:rsid w:val="00370403"/>
    <w:rsid w:val="0037040F"/>
    <w:rsid w:val="00370460"/>
    <w:rsid w:val="00370471"/>
    <w:rsid w:val="003704F5"/>
    <w:rsid w:val="00370508"/>
    <w:rsid w:val="00370548"/>
    <w:rsid w:val="00370593"/>
    <w:rsid w:val="0037064F"/>
    <w:rsid w:val="00370675"/>
    <w:rsid w:val="003706CE"/>
    <w:rsid w:val="003706D8"/>
    <w:rsid w:val="0037081E"/>
    <w:rsid w:val="00370964"/>
    <w:rsid w:val="0037096C"/>
    <w:rsid w:val="003709DD"/>
    <w:rsid w:val="003709F1"/>
    <w:rsid w:val="00370AA2"/>
    <w:rsid w:val="00370AF7"/>
    <w:rsid w:val="00370B63"/>
    <w:rsid w:val="00370B6D"/>
    <w:rsid w:val="00370BAE"/>
    <w:rsid w:val="00370BC5"/>
    <w:rsid w:val="00370BC9"/>
    <w:rsid w:val="00370BCB"/>
    <w:rsid w:val="00370BF4"/>
    <w:rsid w:val="00370C12"/>
    <w:rsid w:val="00370C45"/>
    <w:rsid w:val="00370CC4"/>
    <w:rsid w:val="00370CDC"/>
    <w:rsid w:val="00370CFC"/>
    <w:rsid w:val="00370D1D"/>
    <w:rsid w:val="00370D61"/>
    <w:rsid w:val="00370DC9"/>
    <w:rsid w:val="00370DE4"/>
    <w:rsid w:val="00370E67"/>
    <w:rsid w:val="00370E97"/>
    <w:rsid w:val="00370E9D"/>
    <w:rsid w:val="00370EA3"/>
    <w:rsid w:val="00370EC9"/>
    <w:rsid w:val="00370EE0"/>
    <w:rsid w:val="00370EFB"/>
    <w:rsid w:val="00370EFC"/>
    <w:rsid w:val="00370F10"/>
    <w:rsid w:val="00370F13"/>
    <w:rsid w:val="00371043"/>
    <w:rsid w:val="00371061"/>
    <w:rsid w:val="00371087"/>
    <w:rsid w:val="00371090"/>
    <w:rsid w:val="00371151"/>
    <w:rsid w:val="00371159"/>
    <w:rsid w:val="003711CE"/>
    <w:rsid w:val="003711E7"/>
    <w:rsid w:val="00371268"/>
    <w:rsid w:val="0037128B"/>
    <w:rsid w:val="00371299"/>
    <w:rsid w:val="003712CF"/>
    <w:rsid w:val="003712DC"/>
    <w:rsid w:val="0037133D"/>
    <w:rsid w:val="0037133F"/>
    <w:rsid w:val="003713DC"/>
    <w:rsid w:val="003713E1"/>
    <w:rsid w:val="00371482"/>
    <w:rsid w:val="003714AB"/>
    <w:rsid w:val="0037152D"/>
    <w:rsid w:val="00371559"/>
    <w:rsid w:val="00371562"/>
    <w:rsid w:val="00371563"/>
    <w:rsid w:val="00371600"/>
    <w:rsid w:val="00371611"/>
    <w:rsid w:val="00371683"/>
    <w:rsid w:val="003716AF"/>
    <w:rsid w:val="003716CA"/>
    <w:rsid w:val="00371702"/>
    <w:rsid w:val="00371732"/>
    <w:rsid w:val="0037178E"/>
    <w:rsid w:val="003717A1"/>
    <w:rsid w:val="003717C3"/>
    <w:rsid w:val="0037189D"/>
    <w:rsid w:val="003718C9"/>
    <w:rsid w:val="00371959"/>
    <w:rsid w:val="0037199D"/>
    <w:rsid w:val="003719B8"/>
    <w:rsid w:val="00371A4A"/>
    <w:rsid w:val="00371A92"/>
    <w:rsid w:val="00371A94"/>
    <w:rsid w:val="00371AB6"/>
    <w:rsid w:val="00371AE0"/>
    <w:rsid w:val="00371B2B"/>
    <w:rsid w:val="00371B63"/>
    <w:rsid w:val="00371B9D"/>
    <w:rsid w:val="00371BAE"/>
    <w:rsid w:val="00371BF3"/>
    <w:rsid w:val="00371C37"/>
    <w:rsid w:val="00371C3A"/>
    <w:rsid w:val="00371C72"/>
    <w:rsid w:val="00371C74"/>
    <w:rsid w:val="00371C7A"/>
    <w:rsid w:val="00371C8C"/>
    <w:rsid w:val="00371CAC"/>
    <w:rsid w:val="00371D3F"/>
    <w:rsid w:val="00371D88"/>
    <w:rsid w:val="00371DFC"/>
    <w:rsid w:val="00371E40"/>
    <w:rsid w:val="00371E63"/>
    <w:rsid w:val="00371EA0"/>
    <w:rsid w:val="00371EAC"/>
    <w:rsid w:val="00371EB0"/>
    <w:rsid w:val="00371EEE"/>
    <w:rsid w:val="00371F1D"/>
    <w:rsid w:val="00371F48"/>
    <w:rsid w:val="00371F73"/>
    <w:rsid w:val="00371F93"/>
    <w:rsid w:val="0037201A"/>
    <w:rsid w:val="0037201F"/>
    <w:rsid w:val="0037209D"/>
    <w:rsid w:val="003721CB"/>
    <w:rsid w:val="00372260"/>
    <w:rsid w:val="00372266"/>
    <w:rsid w:val="0037227F"/>
    <w:rsid w:val="0037229E"/>
    <w:rsid w:val="003722CA"/>
    <w:rsid w:val="00372341"/>
    <w:rsid w:val="003723A6"/>
    <w:rsid w:val="003723B7"/>
    <w:rsid w:val="003723F8"/>
    <w:rsid w:val="0037242C"/>
    <w:rsid w:val="00372459"/>
    <w:rsid w:val="0037249E"/>
    <w:rsid w:val="003724D9"/>
    <w:rsid w:val="003724E4"/>
    <w:rsid w:val="00372514"/>
    <w:rsid w:val="00372569"/>
    <w:rsid w:val="0037258F"/>
    <w:rsid w:val="003725EC"/>
    <w:rsid w:val="003725F5"/>
    <w:rsid w:val="0037262C"/>
    <w:rsid w:val="003726E1"/>
    <w:rsid w:val="0037270D"/>
    <w:rsid w:val="00372729"/>
    <w:rsid w:val="00372740"/>
    <w:rsid w:val="00372794"/>
    <w:rsid w:val="003727A0"/>
    <w:rsid w:val="003727CE"/>
    <w:rsid w:val="0037286B"/>
    <w:rsid w:val="00372906"/>
    <w:rsid w:val="0037293E"/>
    <w:rsid w:val="00372997"/>
    <w:rsid w:val="003729CB"/>
    <w:rsid w:val="003729D1"/>
    <w:rsid w:val="00372A5A"/>
    <w:rsid w:val="00372A87"/>
    <w:rsid w:val="00372AE8"/>
    <w:rsid w:val="00372B6D"/>
    <w:rsid w:val="00372B8F"/>
    <w:rsid w:val="00372BE7"/>
    <w:rsid w:val="00372BE8"/>
    <w:rsid w:val="00372C5E"/>
    <w:rsid w:val="00372C85"/>
    <w:rsid w:val="00372D38"/>
    <w:rsid w:val="00372DB3"/>
    <w:rsid w:val="00372DCF"/>
    <w:rsid w:val="00372DD6"/>
    <w:rsid w:val="00372DFE"/>
    <w:rsid w:val="00372E42"/>
    <w:rsid w:val="00372E5E"/>
    <w:rsid w:val="00372ED2"/>
    <w:rsid w:val="00372EEF"/>
    <w:rsid w:val="00372FA4"/>
    <w:rsid w:val="00372FDF"/>
    <w:rsid w:val="00372FF0"/>
    <w:rsid w:val="0037308F"/>
    <w:rsid w:val="003730B6"/>
    <w:rsid w:val="003730CE"/>
    <w:rsid w:val="00373145"/>
    <w:rsid w:val="0037315F"/>
    <w:rsid w:val="003731B0"/>
    <w:rsid w:val="003731EA"/>
    <w:rsid w:val="00373238"/>
    <w:rsid w:val="0037325A"/>
    <w:rsid w:val="00373288"/>
    <w:rsid w:val="003732A8"/>
    <w:rsid w:val="003732C2"/>
    <w:rsid w:val="003732E4"/>
    <w:rsid w:val="003732FF"/>
    <w:rsid w:val="00373310"/>
    <w:rsid w:val="0037336E"/>
    <w:rsid w:val="003733D7"/>
    <w:rsid w:val="003733F5"/>
    <w:rsid w:val="0037348A"/>
    <w:rsid w:val="003734CB"/>
    <w:rsid w:val="00373552"/>
    <w:rsid w:val="0037355E"/>
    <w:rsid w:val="00373586"/>
    <w:rsid w:val="003735D9"/>
    <w:rsid w:val="003735FC"/>
    <w:rsid w:val="00373698"/>
    <w:rsid w:val="003736C4"/>
    <w:rsid w:val="003736F0"/>
    <w:rsid w:val="00373713"/>
    <w:rsid w:val="0037371B"/>
    <w:rsid w:val="00373720"/>
    <w:rsid w:val="003737AD"/>
    <w:rsid w:val="003737F2"/>
    <w:rsid w:val="00373839"/>
    <w:rsid w:val="00373914"/>
    <w:rsid w:val="00373927"/>
    <w:rsid w:val="0037394E"/>
    <w:rsid w:val="00373965"/>
    <w:rsid w:val="00373991"/>
    <w:rsid w:val="003739E2"/>
    <w:rsid w:val="00373A68"/>
    <w:rsid w:val="00373AC7"/>
    <w:rsid w:val="00373AFC"/>
    <w:rsid w:val="00373B18"/>
    <w:rsid w:val="00373B1C"/>
    <w:rsid w:val="00373B5D"/>
    <w:rsid w:val="00373B8C"/>
    <w:rsid w:val="00373BBE"/>
    <w:rsid w:val="00373BC4"/>
    <w:rsid w:val="00373BEF"/>
    <w:rsid w:val="00373CA2"/>
    <w:rsid w:val="00373CBE"/>
    <w:rsid w:val="00373D1F"/>
    <w:rsid w:val="00373D21"/>
    <w:rsid w:val="00373DDC"/>
    <w:rsid w:val="00373E2F"/>
    <w:rsid w:val="00373E4E"/>
    <w:rsid w:val="00373EA2"/>
    <w:rsid w:val="00373EB6"/>
    <w:rsid w:val="00373F3B"/>
    <w:rsid w:val="00373F70"/>
    <w:rsid w:val="00373F7C"/>
    <w:rsid w:val="00374034"/>
    <w:rsid w:val="0037403D"/>
    <w:rsid w:val="0037404A"/>
    <w:rsid w:val="003740C4"/>
    <w:rsid w:val="003740F9"/>
    <w:rsid w:val="00374165"/>
    <w:rsid w:val="003741AF"/>
    <w:rsid w:val="003741BA"/>
    <w:rsid w:val="003741BE"/>
    <w:rsid w:val="003741D3"/>
    <w:rsid w:val="0037423C"/>
    <w:rsid w:val="00374244"/>
    <w:rsid w:val="0037427A"/>
    <w:rsid w:val="00374344"/>
    <w:rsid w:val="00374417"/>
    <w:rsid w:val="0037447A"/>
    <w:rsid w:val="0037447C"/>
    <w:rsid w:val="003744A7"/>
    <w:rsid w:val="003744DA"/>
    <w:rsid w:val="003744FE"/>
    <w:rsid w:val="00374524"/>
    <w:rsid w:val="00374528"/>
    <w:rsid w:val="0037456B"/>
    <w:rsid w:val="00374578"/>
    <w:rsid w:val="0037463B"/>
    <w:rsid w:val="0037465F"/>
    <w:rsid w:val="0037473D"/>
    <w:rsid w:val="00374756"/>
    <w:rsid w:val="00374762"/>
    <w:rsid w:val="00374769"/>
    <w:rsid w:val="0037476C"/>
    <w:rsid w:val="003747AC"/>
    <w:rsid w:val="003747C7"/>
    <w:rsid w:val="00374824"/>
    <w:rsid w:val="00374834"/>
    <w:rsid w:val="00374853"/>
    <w:rsid w:val="00374861"/>
    <w:rsid w:val="0037488E"/>
    <w:rsid w:val="003748D9"/>
    <w:rsid w:val="003748DE"/>
    <w:rsid w:val="003748E0"/>
    <w:rsid w:val="003748E7"/>
    <w:rsid w:val="003749A7"/>
    <w:rsid w:val="003749D9"/>
    <w:rsid w:val="00374A29"/>
    <w:rsid w:val="00374A38"/>
    <w:rsid w:val="00374ABF"/>
    <w:rsid w:val="00374B0C"/>
    <w:rsid w:val="00374B28"/>
    <w:rsid w:val="00374B3D"/>
    <w:rsid w:val="00374B44"/>
    <w:rsid w:val="00374B47"/>
    <w:rsid w:val="00374B50"/>
    <w:rsid w:val="00374BA6"/>
    <w:rsid w:val="00374BB6"/>
    <w:rsid w:val="00374BF5"/>
    <w:rsid w:val="00374C0D"/>
    <w:rsid w:val="00374C26"/>
    <w:rsid w:val="00374C4C"/>
    <w:rsid w:val="00374C59"/>
    <w:rsid w:val="00374C6C"/>
    <w:rsid w:val="00374C86"/>
    <w:rsid w:val="00374CA7"/>
    <w:rsid w:val="00374CD3"/>
    <w:rsid w:val="00374D1C"/>
    <w:rsid w:val="00374D5F"/>
    <w:rsid w:val="00374E04"/>
    <w:rsid w:val="00374E85"/>
    <w:rsid w:val="00374ECC"/>
    <w:rsid w:val="00374ED6"/>
    <w:rsid w:val="00374F29"/>
    <w:rsid w:val="00374FF9"/>
    <w:rsid w:val="00375032"/>
    <w:rsid w:val="00375040"/>
    <w:rsid w:val="00375050"/>
    <w:rsid w:val="00375052"/>
    <w:rsid w:val="0037509F"/>
    <w:rsid w:val="003750A5"/>
    <w:rsid w:val="003750FD"/>
    <w:rsid w:val="00375169"/>
    <w:rsid w:val="003751A4"/>
    <w:rsid w:val="003751AA"/>
    <w:rsid w:val="003751B2"/>
    <w:rsid w:val="003751B8"/>
    <w:rsid w:val="003751E1"/>
    <w:rsid w:val="003751F0"/>
    <w:rsid w:val="003751F3"/>
    <w:rsid w:val="00375221"/>
    <w:rsid w:val="00375237"/>
    <w:rsid w:val="003752A6"/>
    <w:rsid w:val="00375382"/>
    <w:rsid w:val="003753A7"/>
    <w:rsid w:val="003753CA"/>
    <w:rsid w:val="003753FD"/>
    <w:rsid w:val="00375431"/>
    <w:rsid w:val="00375554"/>
    <w:rsid w:val="0037556C"/>
    <w:rsid w:val="0037559F"/>
    <w:rsid w:val="003755B0"/>
    <w:rsid w:val="00375630"/>
    <w:rsid w:val="00375651"/>
    <w:rsid w:val="00375666"/>
    <w:rsid w:val="00375681"/>
    <w:rsid w:val="003756A5"/>
    <w:rsid w:val="003756BD"/>
    <w:rsid w:val="003756E0"/>
    <w:rsid w:val="00375700"/>
    <w:rsid w:val="00375727"/>
    <w:rsid w:val="0037579A"/>
    <w:rsid w:val="003757A6"/>
    <w:rsid w:val="003757CD"/>
    <w:rsid w:val="00375805"/>
    <w:rsid w:val="00375818"/>
    <w:rsid w:val="00375825"/>
    <w:rsid w:val="00375828"/>
    <w:rsid w:val="0037586C"/>
    <w:rsid w:val="003758F2"/>
    <w:rsid w:val="0037593B"/>
    <w:rsid w:val="00375946"/>
    <w:rsid w:val="0037596A"/>
    <w:rsid w:val="003759C9"/>
    <w:rsid w:val="003759EE"/>
    <w:rsid w:val="003759FE"/>
    <w:rsid w:val="00375A5D"/>
    <w:rsid w:val="00375A62"/>
    <w:rsid w:val="00375A6E"/>
    <w:rsid w:val="00375AA2"/>
    <w:rsid w:val="00375AC2"/>
    <w:rsid w:val="00375AE8"/>
    <w:rsid w:val="00375B2E"/>
    <w:rsid w:val="00375B32"/>
    <w:rsid w:val="00375BBB"/>
    <w:rsid w:val="00375BCF"/>
    <w:rsid w:val="00375BD2"/>
    <w:rsid w:val="00375BF3"/>
    <w:rsid w:val="00375BFC"/>
    <w:rsid w:val="00375C57"/>
    <w:rsid w:val="00375C88"/>
    <w:rsid w:val="00375C8B"/>
    <w:rsid w:val="00375D20"/>
    <w:rsid w:val="00375D7B"/>
    <w:rsid w:val="00375D97"/>
    <w:rsid w:val="00375DAB"/>
    <w:rsid w:val="00375DCB"/>
    <w:rsid w:val="00375E04"/>
    <w:rsid w:val="00375EC2"/>
    <w:rsid w:val="00375F15"/>
    <w:rsid w:val="00375F61"/>
    <w:rsid w:val="00375F86"/>
    <w:rsid w:val="00376088"/>
    <w:rsid w:val="003760E3"/>
    <w:rsid w:val="00376146"/>
    <w:rsid w:val="00376281"/>
    <w:rsid w:val="003762D3"/>
    <w:rsid w:val="0037641C"/>
    <w:rsid w:val="0037646F"/>
    <w:rsid w:val="003764C0"/>
    <w:rsid w:val="0037651C"/>
    <w:rsid w:val="00376565"/>
    <w:rsid w:val="003765B5"/>
    <w:rsid w:val="003765D5"/>
    <w:rsid w:val="003765E5"/>
    <w:rsid w:val="0037660B"/>
    <w:rsid w:val="003766AA"/>
    <w:rsid w:val="00376770"/>
    <w:rsid w:val="0037678E"/>
    <w:rsid w:val="003767C1"/>
    <w:rsid w:val="003767C5"/>
    <w:rsid w:val="003767E4"/>
    <w:rsid w:val="0037681A"/>
    <w:rsid w:val="003768F2"/>
    <w:rsid w:val="0037691D"/>
    <w:rsid w:val="0037694A"/>
    <w:rsid w:val="003769BA"/>
    <w:rsid w:val="003769CD"/>
    <w:rsid w:val="003769DD"/>
    <w:rsid w:val="003769F6"/>
    <w:rsid w:val="00376B80"/>
    <w:rsid w:val="00376BB7"/>
    <w:rsid w:val="00376C2D"/>
    <w:rsid w:val="00376C37"/>
    <w:rsid w:val="00376D09"/>
    <w:rsid w:val="00376D26"/>
    <w:rsid w:val="00376D72"/>
    <w:rsid w:val="00376DFE"/>
    <w:rsid w:val="00376EF4"/>
    <w:rsid w:val="00376F3C"/>
    <w:rsid w:val="00376F76"/>
    <w:rsid w:val="00377029"/>
    <w:rsid w:val="00377092"/>
    <w:rsid w:val="003770CC"/>
    <w:rsid w:val="003770FE"/>
    <w:rsid w:val="0037717D"/>
    <w:rsid w:val="003772B6"/>
    <w:rsid w:val="003772F1"/>
    <w:rsid w:val="00377316"/>
    <w:rsid w:val="0037732B"/>
    <w:rsid w:val="00377395"/>
    <w:rsid w:val="003773B7"/>
    <w:rsid w:val="003773E9"/>
    <w:rsid w:val="003773F5"/>
    <w:rsid w:val="00377408"/>
    <w:rsid w:val="0037740B"/>
    <w:rsid w:val="0037740E"/>
    <w:rsid w:val="003775BC"/>
    <w:rsid w:val="003776B1"/>
    <w:rsid w:val="003776B5"/>
    <w:rsid w:val="003776FB"/>
    <w:rsid w:val="003777A6"/>
    <w:rsid w:val="003777A9"/>
    <w:rsid w:val="003777F6"/>
    <w:rsid w:val="0037781E"/>
    <w:rsid w:val="0037783C"/>
    <w:rsid w:val="00377845"/>
    <w:rsid w:val="003778A3"/>
    <w:rsid w:val="003778A9"/>
    <w:rsid w:val="003778E6"/>
    <w:rsid w:val="003778E8"/>
    <w:rsid w:val="00377952"/>
    <w:rsid w:val="00377A34"/>
    <w:rsid w:val="00377AC8"/>
    <w:rsid w:val="00377AF2"/>
    <w:rsid w:val="00377B1D"/>
    <w:rsid w:val="00377B2E"/>
    <w:rsid w:val="00377B3B"/>
    <w:rsid w:val="00377B73"/>
    <w:rsid w:val="00377B8A"/>
    <w:rsid w:val="00377B99"/>
    <w:rsid w:val="00377C0F"/>
    <w:rsid w:val="00377C34"/>
    <w:rsid w:val="00377C85"/>
    <w:rsid w:val="00377C98"/>
    <w:rsid w:val="00377D4B"/>
    <w:rsid w:val="00377D5A"/>
    <w:rsid w:val="00377D93"/>
    <w:rsid w:val="00377D9E"/>
    <w:rsid w:val="00377E1F"/>
    <w:rsid w:val="00377E58"/>
    <w:rsid w:val="00377EA3"/>
    <w:rsid w:val="00377EB3"/>
    <w:rsid w:val="00377EF2"/>
    <w:rsid w:val="00377F83"/>
    <w:rsid w:val="00377F8C"/>
    <w:rsid w:val="00377FE5"/>
    <w:rsid w:val="00377FE9"/>
    <w:rsid w:val="00380011"/>
    <w:rsid w:val="0038005F"/>
    <w:rsid w:val="003800E7"/>
    <w:rsid w:val="00380124"/>
    <w:rsid w:val="00380170"/>
    <w:rsid w:val="00380292"/>
    <w:rsid w:val="003802F0"/>
    <w:rsid w:val="0038031B"/>
    <w:rsid w:val="0038036D"/>
    <w:rsid w:val="003803DC"/>
    <w:rsid w:val="0038040E"/>
    <w:rsid w:val="0038049D"/>
    <w:rsid w:val="003804B9"/>
    <w:rsid w:val="003804F7"/>
    <w:rsid w:val="00380509"/>
    <w:rsid w:val="0038050B"/>
    <w:rsid w:val="00380510"/>
    <w:rsid w:val="003805F8"/>
    <w:rsid w:val="00380617"/>
    <w:rsid w:val="003806AE"/>
    <w:rsid w:val="003806B5"/>
    <w:rsid w:val="003806E1"/>
    <w:rsid w:val="003806E8"/>
    <w:rsid w:val="003806F2"/>
    <w:rsid w:val="003807EB"/>
    <w:rsid w:val="0038081F"/>
    <w:rsid w:val="00380848"/>
    <w:rsid w:val="0038088C"/>
    <w:rsid w:val="003808B4"/>
    <w:rsid w:val="003808E7"/>
    <w:rsid w:val="00380900"/>
    <w:rsid w:val="00380961"/>
    <w:rsid w:val="00380966"/>
    <w:rsid w:val="003809B1"/>
    <w:rsid w:val="003809DD"/>
    <w:rsid w:val="003809F4"/>
    <w:rsid w:val="00380A3C"/>
    <w:rsid w:val="00380ADE"/>
    <w:rsid w:val="00380AE4"/>
    <w:rsid w:val="00380AFE"/>
    <w:rsid w:val="00380B5C"/>
    <w:rsid w:val="00380B5F"/>
    <w:rsid w:val="00380BD1"/>
    <w:rsid w:val="00380CAF"/>
    <w:rsid w:val="00380D3F"/>
    <w:rsid w:val="00380D78"/>
    <w:rsid w:val="00380D97"/>
    <w:rsid w:val="00380DB3"/>
    <w:rsid w:val="00380E3E"/>
    <w:rsid w:val="00380E44"/>
    <w:rsid w:val="00380F2B"/>
    <w:rsid w:val="00380F79"/>
    <w:rsid w:val="00380FEA"/>
    <w:rsid w:val="00380FED"/>
    <w:rsid w:val="00381005"/>
    <w:rsid w:val="00381025"/>
    <w:rsid w:val="0038103A"/>
    <w:rsid w:val="0038104D"/>
    <w:rsid w:val="00381050"/>
    <w:rsid w:val="0038108E"/>
    <w:rsid w:val="00381109"/>
    <w:rsid w:val="00381116"/>
    <w:rsid w:val="0038117E"/>
    <w:rsid w:val="003811DD"/>
    <w:rsid w:val="003811EC"/>
    <w:rsid w:val="003811FB"/>
    <w:rsid w:val="00381204"/>
    <w:rsid w:val="0038120F"/>
    <w:rsid w:val="0038127C"/>
    <w:rsid w:val="003812AF"/>
    <w:rsid w:val="003812F9"/>
    <w:rsid w:val="0038135B"/>
    <w:rsid w:val="00381385"/>
    <w:rsid w:val="003813C2"/>
    <w:rsid w:val="003814AA"/>
    <w:rsid w:val="003815CE"/>
    <w:rsid w:val="00381683"/>
    <w:rsid w:val="003816CD"/>
    <w:rsid w:val="0038174D"/>
    <w:rsid w:val="00381757"/>
    <w:rsid w:val="0038177A"/>
    <w:rsid w:val="00381784"/>
    <w:rsid w:val="003817A5"/>
    <w:rsid w:val="003817EF"/>
    <w:rsid w:val="0038181D"/>
    <w:rsid w:val="00381836"/>
    <w:rsid w:val="00381856"/>
    <w:rsid w:val="003818DB"/>
    <w:rsid w:val="0038191E"/>
    <w:rsid w:val="0038197C"/>
    <w:rsid w:val="003819A4"/>
    <w:rsid w:val="00381A29"/>
    <w:rsid w:val="00381A5B"/>
    <w:rsid w:val="00381A7B"/>
    <w:rsid w:val="00381AA4"/>
    <w:rsid w:val="00381AC2"/>
    <w:rsid w:val="00381AC8"/>
    <w:rsid w:val="00381AF7"/>
    <w:rsid w:val="00381B81"/>
    <w:rsid w:val="00381BA1"/>
    <w:rsid w:val="00381BAE"/>
    <w:rsid w:val="00381C09"/>
    <w:rsid w:val="00381CAC"/>
    <w:rsid w:val="00381CE1"/>
    <w:rsid w:val="00381D0D"/>
    <w:rsid w:val="00381D70"/>
    <w:rsid w:val="00381E09"/>
    <w:rsid w:val="00381E33"/>
    <w:rsid w:val="00381E52"/>
    <w:rsid w:val="00381EA4"/>
    <w:rsid w:val="00381F91"/>
    <w:rsid w:val="00381FB6"/>
    <w:rsid w:val="00381FE9"/>
    <w:rsid w:val="00382000"/>
    <w:rsid w:val="0038202B"/>
    <w:rsid w:val="00382033"/>
    <w:rsid w:val="0038204C"/>
    <w:rsid w:val="0038216B"/>
    <w:rsid w:val="003821A3"/>
    <w:rsid w:val="003821B0"/>
    <w:rsid w:val="003821CB"/>
    <w:rsid w:val="003821CD"/>
    <w:rsid w:val="0038220B"/>
    <w:rsid w:val="00382244"/>
    <w:rsid w:val="00382264"/>
    <w:rsid w:val="0038227B"/>
    <w:rsid w:val="0038234F"/>
    <w:rsid w:val="00382368"/>
    <w:rsid w:val="003823A9"/>
    <w:rsid w:val="00382412"/>
    <w:rsid w:val="00382468"/>
    <w:rsid w:val="00382486"/>
    <w:rsid w:val="00382496"/>
    <w:rsid w:val="00382498"/>
    <w:rsid w:val="003824AF"/>
    <w:rsid w:val="003824CD"/>
    <w:rsid w:val="003824EF"/>
    <w:rsid w:val="003824F2"/>
    <w:rsid w:val="00382508"/>
    <w:rsid w:val="00382618"/>
    <w:rsid w:val="00382620"/>
    <w:rsid w:val="00382642"/>
    <w:rsid w:val="00382649"/>
    <w:rsid w:val="00382672"/>
    <w:rsid w:val="00382677"/>
    <w:rsid w:val="0038269D"/>
    <w:rsid w:val="003826BD"/>
    <w:rsid w:val="003826C4"/>
    <w:rsid w:val="00382722"/>
    <w:rsid w:val="00382764"/>
    <w:rsid w:val="0038279D"/>
    <w:rsid w:val="003827D1"/>
    <w:rsid w:val="003827EA"/>
    <w:rsid w:val="00382800"/>
    <w:rsid w:val="0038289B"/>
    <w:rsid w:val="00382947"/>
    <w:rsid w:val="003829BE"/>
    <w:rsid w:val="00382A51"/>
    <w:rsid w:val="00382A5F"/>
    <w:rsid w:val="00382AD7"/>
    <w:rsid w:val="00382AD8"/>
    <w:rsid w:val="00382B3D"/>
    <w:rsid w:val="00382B3F"/>
    <w:rsid w:val="00382C96"/>
    <w:rsid w:val="00382D1C"/>
    <w:rsid w:val="00382DAE"/>
    <w:rsid w:val="00382DC1"/>
    <w:rsid w:val="00382DD0"/>
    <w:rsid w:val="00382E13"/>
    <w:rsid w:val="00382E83"/>
    <w:rsid w:val="00382E9A"/>
    <w:rsid w:val="00382EC8"/>
    <w:rsid w:val="00382EFD"/>
    <w:rsid w:val="00382F08"/>
    <w:rsid w:val="00382F2C"/>
    <w:rsid w:val="00382FF3"/>
    <w:rsid w:val="00383009"/>
    <w:rsid w:val="0038302F"/>
    <w:rsid w:val="003830A0"/>
    <w:rsid w:val="003830DF"/>
    <w:rsid w:val="0038312A"/>
    <w:rsid w:val="00383142"/>
    <w:rsid w:val="00383144"/>
    <w:rsid w:val="00383159"/>
    <w:rsid w:val="00383161"/>
    <w:rsid w:val="003831A4"/>
    <w:rsid w:val="003831AF"/>
    <w:rsid w:val="003831F2"/>
    <w:rsid w:val="0038324E"/>
    <w:rsid w:val="00383273"/>
    <w:rsid w:val="003832EA"/>
    <w:rsid w:val="003832F0"/>
    <w:rsid w:val="003832F9"/>
    <w:rsid w:val="0038331C"/>
    <w:rsid w:val="00383462"/>
    <w:rsid w:val="003834AC"/>
    <w:rsid w:val="003834DB"/>
    <w:rsid w:val="003834EA"/>
    <w:rsid w:val="003834F4"/>
    <w:rsid w:val="00383561"/>
    <w:rsid w:val="00383565"/>
    <w:rsid w:val="00383568"/>
    <w:rsid w:val="003835BD"/>
    <w:rsid w:val="003835F3"/>
    <w:rsid w:val="00383646"/>
    <w:rsid w:val="0038365B"/>
    <w:rsid w:val="003836C6"/>
    <w:rsid w:val="00383738"/>
    <w:rsid w:val="0038375C"/>
    <w:rsid w:val="003837EF"/>
    <w:rsid w:val="00383895"/>
    <w:rsid w:val="00383912"/>
    <w:rsid w:val="003839E4"/>
    <w:rsid w:val="003839F3"/>
    <w:rsid w:val="00383A01"/>
    <w:rsid w:val="00383A13"/>
    <w:rsid w:val="00383A32"/>
    <w:rsid w:val="00383B3D"/>
    <w:rsid w:val="00383B60"/>
    <w:rsid w:val="00383B87"/>
    <w:rsid w:val="00383B8B"/>
    <w:rsid w:val="00383B9B"/>
    <w:rsid w:val="00383BA2"/>
    <w:rsid w:val="00383BCE"/>
    <w:rsid w:val="00383BDD"/>
    <w:rsid w:val="00383CA5"/>
    <w:rsid w:val="00383CB1"/>
    <w:rsid w:val="00383CDB"/>
    <w:rsid w:val="00383D12"/>
    <w:rsid w:val="00383D85"/>
    <w:rsid w:val="00383D96"/>
    <w:rsid w:val="00383DA7"/>
    <w:rsid w:val="00383E7B"/>
    <w:rsid w:val="00383EA6"/>
    <w:rsid w:val="00383F80"/>
    <w:rsid w:val="00383FBA"/>
    <w:rsid w:val="00383FC7"/>
    <w:rsid w:val="00383FDC"/>
    <w:rsid w:val="00384008"/>
    <w:rsid w:val="0038403D"/>
    <w:rsid w:val="00384065"/>
    <w:rsid w:val="003840FC"/>
    <w:rsid w:val="003840FD"/>
    <w:rsid w:val="0038412C"/>
    <w:rsid w:val="0038417F"/>
    <w:rsid w:val="00384284"/>
    <w:rsid w:val="0038429C"/>
    <w:rsid w:val="003842EF"/>
    <w:rsid w:val="003842F9"/>
    <w:rsid w:val="00384327"/>
    <w:rsid w:val="0038433C"/>
    <w:rsid w:val="0038433F"/>
    <w:rsid w:val="00384357"/>
    <w:rsid w:val="003843A2"/>
    <w:rsid w:val="003843F2"/>
    <w:rsid w:val="0038445A"/>
    <w:rsid w:val="0038449B"/>
    <w:rsid w:val="003844A5"/>
    <w:rsid w:val="003844AE"/>
    <w:rsid w:val="003844C5"/>
    <w:rsid w:val="0038450E"/>
    <w:rsid w:val="00384563"/>
    <w:rsid w:val="0038457C"/>
    <w:rsid w:val="003845A2"/>
    <w:rsid w:val="003845B7"/>
    <w:rsid w:val="0038463A"/>
    <w:rsid w:val="0038466A"/>
    <w:rsid w:val="0038467A"/>
    <w:rsid w:val="003846B1"/>
    <w:rsid w:val="003846D5"/>
    <w:rsid w:val="003846E3"/>
    <w:rsid w:val="0038476D"/>
    <w:rsid w:val="003847BD"/>
    <w:rsid w:val="00384904"/>
    <w:rsid w:val="00384931"/>
    <w:rsid w:val="00384953"/>
    <w:rsid w:val="00384968"/>
    <w:rsid w:val="003849A2"/>
    <w:rsid w:val="003849BD"/>
    <w:rsid w:val="00384A5B"/>
    <w:rsid w:val="00384B83"/>
    <w:rsid w:val="00384B9C"/>
    <w:rsid w:val="00384BF3"/>
    <w:rsid w:val="00384C07"/>
    <w:rsid w:val="00384C7B"/>
    <w:rsid w:val="00384CD7"/>
    <w:rsid w:val="00384CFB"/>
    <w:rsid w:val="00384D2C"/>
    <w:rsid w:val="00384D3F"/>
    <w:rsid w:val="00384E3F"/>
    <w:rsid w:val="00384EA9"/>
    <w:rsid w:val="00384EED"/>
    <w:rsid w:val="00384EF3"/>
    <w:rsid w:val="00384F0E"/>
    <w:rsid w:val="00384F88"/>
    <w:rsid w:val="00385021"/>
    <w:rsid w:val="0038506F"/>
    <w:rsid w:val="00385089"/>
    <w:rsid w:val="003850A6"/>
    <w:rsid w:val="0038517B"/>
    <w:rsid w:val="00385182"/>
    <w:rsid w:val="003851C7"/>
    <w:rsid w:val="003851DF"/>
    <w:rsid w:val="003851E4"/>
    <w:rsid w:val="003851F7"/>
    <w:rsid w:val="00385290"/>
    <w:rsid w:val="0038531F"/>
    <w:rsid w:val="0038533B"/>
    <w:rsid w:val="0038541C"/>
    <w:rsid w:val="00385463"/>
    <w:rsid w:val="0038549A"/>
    <w:rsid w:val="00385530"/>
    <w:rsid w:val="00385545"/>
    <w:rsid w:val="0038559D"/>
    <w:rsid w:val="003855B7"/>
    <w:rsid w:val="0038563C"/>
    <w:rsid w:val="0038563D"/>
    <w:rsid w:val="0038564F"/>
    <w:rsid w:val="003856AF"/>
    <w:rsid w:val="003856B7"/>
    <w:rsid w:val="003856C7"/>
    <w:rsid w:val="00385714"/>
    <w:rsid w:val="0038574A"/>
    <w:rsid w:val="003857A3"/>
    <w:rsid w:val="00385808"/>
    <w:rsid w:val="00385858"/>
    <w:rsid w:val="00385921"/>
    <w:rsid w:val="00385972"/>
    <w:rsid w:val="00385997"/>
    <w:rsid w:val="00385999"/>
    <w:rsid w:val="003859AB"/>
    <w:rsid w:val="003859FF"/>
    <w:rsid w:val="00385A01"/>
    <w:rsid w:val="00385A6C"/>
    <w:rsid w:val="00385A9F"/>
    <w:rsid w:val="00385B2F"/>
    <w:rsid w:val="00385B33"/>
    <w:rsid w:val="00385BBE"/>
    <w:rsid w:val="00385C07"/>
    <w:rsid w:val="00385C6C"/>
    <w:rsid w:val="00385CAB"/>
    <w:rsid w:val="00385CE6"/>
    <w:rsid w:val="00385D0D"/>
    <w:rsid w:val="00385D55"/>
    <w:rsid w:val="00385D75"/>
    <w:rsid w:val="00385D81"/>
    <w:rsid w:val="00385D98"/>
    <w:rsid w:val="00385DA9"/>
    <w:rsid w:val="00385DAC"/>
    <w:rsid w:val="00385E85"/>
    <w:rsid w:val="00385F69"/>
    <w:rsid w:val="00385FCC"/>
    <w:rsid w:val="00386038"/>
    <w:rsid w:val="00386059"/>
    <w:rsid w:val="00386074"/>
    <w:rsid w:val="00386126"/>
    <w:rsid w:val="00386153"/>
    <w:rsid w:val="0038615F"/>
    <w:rsid w:val="003861B0"/>
    <w:rsid w:val="0038621E"/>
    <w:rsid w:val="00386270"/>
    <w:rsid w:val="00386271"/>
    <w:rsid w:val="0038628D"/>
    <w:rsid w:val="003862D2"/>
    <w:rsid w:val="003862DC"/>
    <w:rsid w:val="00386320"/>
    <w:rsid w:val="00386327"/>
    <w:rsid w:val="0038636A"/>
    <w:rsid w:val="00386387"/>
    <w:rsid w:val="003863A7"/>
    <w:rsid w:val="003863B3"/>
    <w:rsid w:val="003863C7"/>
    <w:rsid w:val="00386433"/>
    <w:rsid w:val="003864EE"/>
    <w:rsid w:val="00386534"/>
    <w:rsid w:val="0038655C"/>
    <w:rsid w:val="00386561"/>
    <w:rsid w:val="0038660B"/>
    <w:rsid w:val="00386657"/>
    <w:rsid w:val="00386660"/>
    <w:rsid w:val="003866E4"/>
    <w:rsid w:val="003866E8"/>
    <w:rsid w:val="0038670C"/>
    <w:rsid w:val="00386765"/>
    <w:rsid w:val="00386766"/>
    <w:rsid w:val="003867B0"/>
    <w:rsid w:val="003867CD"/>
    <w:rsid w:val="003867E9"/>
    <w:rsid w:val="0038687A"/>
    <w:rsid w:val="003868E0"/>
    <w:rsid w:val="00386A03"/>
    <w:rsid w:val="00386A81"/>
    <w:rsid w:val="00386A9C"/>
    <w:rsid w:val="00386AA7"/>
    <w:rsid w:val="00386AC2"/>
    <w:rsid w:val="00386B25"/>
    <w:rsid w:val="00386B30"/>
    <w:rsid w:val="00386B5B"/>
    <w:rsid w:val="00386BC4"/>
    <w:rsid w:val="00386C2F"/>
    <w:rsid w:val="00386CCD"/>
    <w:rsid w:val="00386CE1"/>
    <w:rsid w:val="00386D02"/>
    <w:rsid w:val="00386D04"/>
    <w:rsid w:val="00386D55"/>
    <w:rsid w:val="00386D73"/>
    <w:rsid w:val="00386DA6"/>
    <w:rsid w:val="00386E58"/>
    <w:rsid w:val="00386E70"/>
    <w:rsid w:val="00386EDA"/>
    <w:rsid w:val="00386EED"/>
    <w:rsid w:val="00386FE7"/>
    <w:rsid w:val="00386FF0"/>
    <w:rsid w:val="00387008"/>
    <w:rsid w:val="00387015"/>
    <w:rsid w:val="00387083"/>
    <w:rsid w:val="003870A3"/>
    <w:rsid w:val="003870B5"/>
    <w:rsid w:val="003870DA"/>
    <w:rsid w:val="003870F8"/>
    <w:rsid w:val="00387111"/>
    <w:rsid w:val="00387130"/>
    <w:rsid w:val="0038716F"/>
    <w:rsid w:val="003871BC"/>
    <w:rsid w:val="00387294"/>
    <w:rsid w:val="003873C7"/>
    <w:rsid w:val="003873D8"/>
    <w:rsid w:val="00387417"/>
    <w:rsid w:val="00387440"/>
    <w:rsid w:val="00387474"/>
    <w:rsid w:val="0038747E"/>
    <w:rsid w:val="003874E0"/>
    <w:rsid w:val="00387536"/>
    <w:rsid w:val="0038756D"/>
    <w:rsid w:val="003875D0"/>
    <w:rsid w:val="003875D4"/>
    <w:rsid w:val="003875EA"/>
    <w:rsid w:val="003875F9"/>
    <w:rsid w:val="00387621"/>
    <w:rsid w:val="00387677"/>
    <w:rsid w:val="00387684"/>
    <w:rsid w:val="00387699"/>
    <w:rsid w:val="003876C7"/>
    <w:rsid w:val="003876E7"/>
    <w:rsid w:val="003876F7"/>
    <w:rsid w:val="0038778E"/>
    <w:rsid w:val="003877A7"/>
    <w:rsid w:val="00387835"/>
    <w:rsid w:val="00387866"/>
    <w:rsid w:val="00387880"/>
    <w:rsid w:val="0038789A"/>
    <w:rsid w:val="003878A3"/>
    <w:rsid w:val="003878B3"/>
    <w:rsid w:val="003878D0"/>
    <w:rsid w:val="003878DE"/>
    <w:rsid w:val="00387904"/>
    <w:rsid w:val="00387A45"/>
    <w:rsid w:val="00387A4D"/>
    <w:rsid w:val="00387A59"/>
    <w:rsid w:val="00387A86"/>
    <w:rsid w:val="00387A88"/>
    <w:rsid w:val="00387A90"/>
    <w:rsid w:val="00387AFF"/>
    <w:rsid w:val="00387B23"/>
    <w:rsid w:val="00387B80"/>
    <w:rsid w:val="00387BAF"/>
    <w:rsid w:val="00387BD6"/>
    <w:rsid w:val="00387C04"/>
    <w:rsid w:val="00387C23"/>
    <w:rsid w:val="00387CDA"/>
    <w:rsid w:val="00387CE8"/>
    <w:rsid w:val="00387D05"/>
    <w:rsid w:val="00387D32"/>
    <w:rsid w:val="00387E68"/>
    <w:rsid w:val="00387EB7"/>
    <w:rsid w:val="00387F31"/>
    <w:rsid w:val="00387F9F"/>
    <w:rsid w:val="00387FC0"/>
    <w:rsid w:val="00390060"/>
    <w:rsid w:val="003900A2"/>
    <w:rsid w:val="003900B4"/>
    <w:rsid w:val="003900C4"/>
    <w:rsid w:val="003900F1"/>
    <w:rsid w:val="00390122"/>
    <w:rsid w:val="0039013F"/>
    <w:rsid w:val="0039016A"/>
    <w:rsid w:val="00390171"/>
    <w:rsid w:val="0039018B"/>
    <w:rsid w:val="0039019D"/>
    <w:rsid w:val="003901D6"/>
    <w:rsid w:val="00390208"/>
    <w:rsid w:val="0039020F"/>
    <w:rsid w:val="00390265"/>
    <w:rsid w:val="00390268"/>
    <w:rsid w:val="00390276"/>
    <w:rsid w:val="003902D6"/>
    <w:rsid w:val="0039031E"/>
    <w:rsid w:val="00390322"/>
    <w:rsid w:val="0039037A"/>
    <w:rsid w:val="0039042E"/>
    <w:rsid w:val="0039049B"/>
    <w:rsid w:val="003904DC"/>
    <w:rsid w:val="00390556"/>
    <w:rsid w:val="00390558"/>
    <w:rsid w:val="0039056F"/>
    <w:rsid w:val="00390573"/>
    <w:rsid w:val="003905A4"/>
    <w:rsid w:val="003905E2"/>
    <w:rsid w:val="003905EB"/>
    <w:rsid w:val="00390635"/>
    <w:rsid w:val="0039066F"/>
    <w:rsid w:val="00390688"/>
    <w:rsid w:val="003906E4"/>
    <w:rsid w:val="00390719"/>
    <w:rsid w:val="00390728"/>
    <w:rsid w:val="0039073A"/>
    <w:rsid w:val="00390741"/>
    <w:rsid w:val="00390797"/>
    <w:rsid w:val="003907EF"/>
    <w:rsid w:val="00390817"/>
    <w:rsid w:val="0039083F"/>
    <w:rsid w:val="00390854"/>
    <w:rsid w:val="00390857"/>
    <w:rsid w:val="00390872"/>
    <w:rsid w:val="003908AF"/>
    <w:rsid w:val="003908E9"/>
    <w:rsid w:val="003908F6"/>
    <w:rsid w:val="00390917"/>
    <w:rsid w:val="0039098D"/>
    <w:rsid w:val="003909E7"/>
    <w:rsid w:val="00390A0C"/>
    <w:rsid w:val="00390A70"/>
    <w:rsid w:val="00390A77"/>
    <w:rsid w:val="00390A7C"/>
    <w:rsid w:val="00390A8B"/>
    <w:rsid w:val="00390ABD"/>
    <w:rsid w:val="00390ADA"/>
    <w:rsid w:val="00390BA2"/>
    <w:rsid w:val="00390BAC"/>
    <w:rsid w:val="00390BC1"/>
    <w:rsid w:val="00390C1C"/>
    <w:rsid w:val="00390CC2"/>
    <w:rsid w:val="00390D56"/>
    <w:rsid w:val="00390DB8"/>
    <w:rsid w:val="00390DC5"/>
    <w:rsid w:val="00390ED7"/>
    <w:rsid w:val="00390F3B"/>
    <w:rsid w:val="00390F97"/>
    <w:rsid w:val="00390F9E"/>
    <w:rsid w:val="00390FB9"/>
    <w:rsid w:val="00390FCD"/>
    <w:rsid w:val="00391038"/>
    <w:rsid w:val="00391048"/>
    <w:rsid w:val="00391050"/>
    <w:rsid w:val="00391053"/>
    <w:rsid w:val="00391059"/>
    <w:rsid w:val="00391083"/>
    <w:rsid w:val="003910DB"/>
    <w:rsid w:val="0039112B"/>
    <w:rsid w:val="00391130"/>
    <w:rsid w:val="00391197"/>
    <w:rsid w:val="003911C1"/>
    <w:rsid w:val="003912EF"/>
    <w:rsid w:val="003912FA"/>
    <w:rsid w:val="00391357"/>
    <w:rsid w:val="0039135F"/>
    <w:rsid w:val="00391376"/>
    <w:rsid w:val="003913AC"/>
    <w:rsid w:val="0039140B"/>
    <w:rsid w:val="0039140F"/>
    <w:rsid w:val="00391480"/>
    <w:rsid w:val="00391487"/>
    <w:rsid w:val="003914CC"/>
    <w:rsid w:val="00391518"/>
    <w:rsid w:val="00391520"/>
    <w:rsid w:val="0039154C"/>
    <w:rsid w:val="00391595"/>
    <w:rsid w:val="00391597"/>
    <w:rsid w:val="00391599"/>
    <w:rsid w:val="003915D6"/>
    <w:rsid w:val="003915EA"/>
    <w:rsid w:val="0039164B"/>
    <w:rsid w:val="0039165B"/>
    <w:rsid w:val="00391660"/>
    <w:rsid w:val="00391664"/>
    <w:rsid w:val="00391679"/>
    <w:rsid w:val="003916B0"/>
    <w:rsid w:val="003916C7"/>
    <w:rsid w:val="0039171C"/>
    <w:rsid w:val="0039176E"/>
    <w:rsid w:val="00391771"/>
    <w:rsid w:val="003917A3"/>
    <w:rsid w:val="003917E4"/>
    <w:rsid w:val="00391806"/>
    <w:rsid w:val="00391809"/>
    <w:rsid w:val="00391875"/>
    <w:rsid w:val="00391877"/>
    <w:rsid w:val="003918AE"/>
    <w:rsid w:val="003918B0"/>
    <w:rsid w:val="003918CE"/>
    <w:rsid w:val="00391950"/>
    <w:rsid w:val="00391951"/>
    <w:rsid w:val="003919C5"/>
    <w:rsid w:val="003919E6"/>
    <w:rsid w:val="003919F9"/>
    <w:rsid w:val="00391A2B"/>
    <w:rsid w:val="00391A59"/>
    <w:rsid w:val="00391A62"/>
    <w:rsid w:val="00391A6B"/>
    <w:rsid w:val="00391AA2"/>
    <w:rsid w:val="00391AB0"/>
    <w:rsid w:val="00391AE5"/>
    <w:rsid w:val="00391B15"/>
    <w:rsid w:val="00391B2E"/>
    <w:rsid w:val="00391B30"/>
    <w:rsid w:val="00391BCF"/>
    <w:rsid w:val="00391BDC"/>
    <w:rsid w:val="00391BDD"/>
    <w:rsid w:val="00391C00"/>
    <w:rsid w:val="00391C5A"/>
    <w:rsid w:val="00391C65"/>
    <w:rsid w:val="00391C90"/>
    <w:rsid w:val="00391D25"/>
    <w:rsid w:val="00391D2E"/>
    <w:rsid w:val="00391D48"/>
    <w:rsid w:val="00391DAC"/>
    <w:rsid w:val="00391DBA"/>
    <w:rsid w:val="00391DE4"/>
    <w:rsid w:val="00391E14"/>
    <w:rsid w:val="00391E99"/>
    <w:rsid w:val="00391EBD"/>
    <w:rsid w:val="00391EC0"/>
    <w:rsid w:val="00391EF7"/>
    <w:rsid w:val="00391F62"/>
    <w:rsid w:val="00392008"/>
    <w:rsid w:val="00392059"/>
    <w:rsid w:val="00392077"/>
    <w:rsid w:val="003920C1"/>
    <w:rsid w:val="0039216A"/>
    <w:rsid w:val="0039218E"/>
    <w:rsid w:val="00392199"/>
    <w:rsid w:val="003921DE"/>
    <w:rsid w:val="0039226A"/>
    <w:rsid w:val="00392289"/>
    <w:rsid w:val="003922E9"/>
    <w:rsid w:val="0039230E"/>
    <w:rsid w:val="00392374"/>
    <w:rsid w:val="00392375"/>
    <w:rsid w:val="003923A9"/>
    <w:rsid w:val="003923B5"/>
    <w:rsid w:val="00392423"/>
    <w:rsid w:val="0039248C"/>
    <w:rsid w:val="003924A1"/>
    <w:rsid w:val="003924B0"/>
    <w:rsid w:val="003924D4"/>
    <w:rsid w:val="003924E0"/>
    <w:rsid w:val="0039252E"/>
    <w:rsid w:val="00392546"/>
    <w:rsid w:val="003925A7"/>
    <w:rsid w:val="003925E2"/>
    <w:rsid w:val="003925F8"/>
    <w:rsid w:val="00392690"/>
    <w:rsid w:val="003926C5"/>
    <w:rsid w:val="0039273C"/>
    <w:rsid w:val="00392789"/>
    <w:rsid w:val="003927D2"/>
    <w:rsid w:val="003927F9"/>
    <w:rsid w:val="0039285C"/>
    <w:rsid w:val="0039286A"/>
    <w:rsid w:val="0039286B"/>
    <w:rsid w:val="00392870"/>
    <w:rsid w:val="00392906"/>
    <w:rsid w:val="0039292A"/>
    <w:rsid w:val="00392958"/>
    <w:rsid w:val="00392A44"/>
    <w:rsid w:val="00392A4B"/>
    <w:rsid w:val="00392A5E"/>
    <w:rsid w:val="00392A98"/>
    <w:rsid w:val="00392B33"/>
    <w:rsid w:val="00392B79"/>
    <w:rsid w:val="00392BA2"/>
    <w:rsid w:val="00392BA8"/>
    <w:rsid w:val="00392BC6"/>
    <w:rsid w:val="00392BF5"/>
    <w:rsid w:val="00392C09"/>
    <w:rsid w:val="00392C27"/>
    <w:rsid w:val="00392C7A"/>
    <w:rsid w:val="00392C89"/>
    <w:rsid w:val="00392CC7"/>
    <w:rsid w:val="00392CFC"/>
    <w:rsid w:val="00392D1B"/>
    <w:rsid w:val="00392D52"/>
    <w:rsid w:val="00392D5D"/>
    <w:rsid w:val="00392D86"/>
    <w:rsid w:val="00392DC4"/>
    <w:rsid w:val="00392E21"/>
    <w:rsid w:val="00392E39"/>
    <w:rsid w:val="00392E5F"/>
    <w:rsid w:val="00392EFD"/>
    <w:rsid w:val="00392F3F"/>
    <w:rsid w:val="00392F57"/>
    <w:rsid w:val="00392F63"/>
    <w:rsid w:val="00393024"/>
    <w:rsid w:val="00393048"/>
    <w:rsid w:val="0039304B"/>
    <w:rsid w:val="0039306B"/>
    <w:rsid w:val="00393130"/>
    <w:rsid w:val="003931E9"/>
    <w:rsid w:val="00393211"/>
    <w:rsid w:val="003932A9"/>
    <w:rsid w:val="003932C1"/>
    <w:rsid w:val="00393321"/>
    <w:rsid w:val="0039334B"/>
    <w:rsid w:val="00393387"/>
    <w:rsid w:val="003933CF"/>
    <w:rsid w:val="003933F9"/>
    <w:rsid w:val="00393404"/>
    <w:rsid w:val="003934FC"/>
    <w:rsid w:val="00393553"/>
    <w:rsid w:val="00393564"/>
    <w:rsid w:val="0039359A"/>
    <w:rsid w:val="003935E9"/>
    <w:rsid w:val="003935F4"/>
    <w:rsid w:val="0039361C"/>
    <w:rsid w:val="003936EC"/>
    <w:rsid w:val="0039370D"/>
    <w:rsid w:val="003937F7"/>
    <w:rsid w:val="003937FC"/>
    <w:rsid w:val="00393826"/>
    <w:rsid w:val="00393887"/>
    <w:rsid w:val="003938C7"/>
    <w:rsid w:val="003938DD"/>
    <w:rsid w:val="00393920"/>
    <w:rsid w:val="00393974"/>
    <w:rsid w:val="00393992"/>
    <w:rsid w:val="00393A3E"/>
    <w:rsid w:val="00393A7A"/>
    <w:rsid w:val="00393A98"/>
    <w:rsid w:val="00393AAF"/>
    <w:rsid w:val="00393ACA"/>
    <w:rsid w:val="00393B0A"/>
    <w:rsid w:val="00393B30"/>
    <w:rsid w:val="00393B56"/>
    <w:rsid w:val="00393C72"/>
    <w:rsid w:val="00393C7C"/>
    <w:rsid w:val="00393C8D"/>
    <w:rsid w:val="00393C94"/>
    <w:rsid w:val="00393C9E"/>
    <w:rsid w:val="00393CCC"/>
    <w:rsid w:val="00393CFD"/>
    <w:rsid w:val="00393D10"/>
    <w:rsid w:val="00393D59"/>
    <w:rsid w:val="00393D5A"/>
    <w:rsid w:val="00393D9A"/>
    <w:rsid w:val="00393DB7"/>
    <w:rsid w:val="00393DD2"/>
    <w:rsid w:val="00393E0A"/>
    <w:rsid w:val="00393E1B"/>
    <w:rsid w:val="00393E78"/>
    <w:rsid w:val="00393E8D"/>
    <w:rsid w:val="00393EF2"/>
    <w:rsid w:val="00393F14"/>
    <w:rsid w:val="00393F27"/>
    <w:rsid w:val="00393F6D"/>
    <w:rsid w:val="00393FE4"/>
    <w:rsid w:val="00394024"/>
    <w:rsid w:val="0039402B"/>
    <w:rsid w:val="00394033"/>
    <w:rsid w:val="0039407A"/>
    <w:rsid w:val="003940B3"/>
    <w:rsid w:val="003940BA"/>
    <w:rsid w:val="003940BB"/>
    <w:rsid w:val="003940C2"/>
    <w:rsid w:val="00394109"/>
    <w:rsid w:val="0039412C"/>
    <w:rsid w:val="00394131"/>
    <w:rsid w:val="0039414B"/>
    <w:rsid w:val="003941DA"/>
    <w:rsid w:val="0039420D"/>
    <w:rsid w:val="0039423A"/>
    <w:rsid w:val="0039424C"/>
    <w:rsid w:val="00394251"/>
    <w:rsid w:val="0039425B"/>
    <w:rsid w:val="0039427B"/>
    <w:rsid w:val="003942B9"/>
    <w:rsid w:val="00394354"/>
    <w:rsid w:val="0039436E"/>
    <w:rsid w:val="00394396"/>
    <w:rsid w:val="003943C3"/>
    <w:rsid w:val="00394407"/>
    <w:rsid w:val="00394491"/>
    <w:rsid w:val="003944AD"/>
    <w:rsid w:val="003944D1"/>
    <w:rsid w:val="00394526"/>
    <w:rsid w:val="0039455E"/>
    <w:rsid w:val="00394561"/>
    <w:rsid w:val="0039458C"/>
    <w:rsid w:val="00394631"/>
    <w:rsid w:val="003946BD"/>
    <w:rsid w:val="003946BE"/>
    <w:rsid w:val="003946D9"/>
    <w:rsid w:val="003946F6"/>
    <w:rsid w:val="003946FE"/>
    <w:rsid w:val="0039474F"/>
    <w:rsid w:val="00394792"/>
    <w:rsid w:val="003947A9"/>
    <w:rsid w:val="003947C4"/>
    <w:rsid w:val="003947CE"/>
    <w:rsid w:val="003947ED"/>
    <w:rsid w:val="0039480F"/>
    <w:rsid w:val="00394833"/>
    <w:rsid w:val="00394894"/>
    <w:rsid w:val="00394895"/>
    <w:rsid w:val="0039492B"/>
    <w:rsid w:val="003949D9"/>
    <w:rsid w:val="00394A28"/>
    <w:rsid w:val="00394A36"/>
    <w:rsid w:val="00394AA6"/>
    <w:rsid w:val="00394B15"/>
    <w:rsid w:val="00394B67"/>
    <w:rsid w:val="00394B73"/>
    <w:rsid w:val="00394B78"/>
    <w:rsid w:val="00394B9F"/>
    <w:rsid w:val="00394C68"/>
    <w:rsid w:val="00394C78"/>
    <w:rsid w:val="00394C95"/>
    <w:rsid w:val="00394CAD"/>
    <w:rsid w:val="00394D47"/>
    <w:rsid w:val="00394D4A"/>
    <w:rsid w:val="00394D76"/>
    <w:rsid w:val="00394D7B"/>
    <w:rsid w:val="00394D91"/>
    <w:rsid w:val="00394DCC"/>
    <w:rsid w:val="00394E15"/>
    <w:rsid w:val="00394EC2"/>
    <w:rsid w:val="00394EF4"/>
    <w:rsid w:val="00394F17"/>
    <w:rsid w:val="00394F1D"/>
    <w:rsid w:val="00394F5D"/>
    <w:rsid w:val="00394FEB"/>
    <w:rsid w:val="00395031"/>
    <w:rsid w:val="00395055"/>
    <w:rsid w:val="00395093"/>
    <w:rsid w:val="003951C3"/>
    <w:rsid w:val="0039526F"/>
    <w:rsid w:val="0039533B"/>
    <w:rsid w:val="00395360"/>
    <w:rsid w:val="0039539B"/>
    <w:rsid w:val="003953B4"/>
    <w:rsid w:val="003953C3"/>
    <w:rsid w:val="003953CB"/>
    <w:rsid w:val="003953FC"/>
    <w:rsid w:val="00395413"/>
    <w:rsid w:val="00395428"/>
    <w:rsid w:val="00395441"/>
    <w:rsid w:val="0039546E"/>
    <w:rsid w:val="00395477"/>
    <w:rsid w:val="003954A9"/>
    <w:rsid w:val="003954CE"/>
    <w:rsid w:val="00395509"/>
    <w:rsid w:val="00395580"/>
    <w:rsid w:val="003955AB"/>
    <w:rsid w:val="003955D5"/>
    <w:rsid w:val="003955FD"/>
    <w:rsid w:val="00395616"/>
    <w:rsid w:val="0039563B"/>
    <w:rsid w:val="00395790"/>
    <w:rsid w:val="003957BA"/>
    <w:rsid w:val="00395800"/>
    <w:rsid w:val="00395842"/>
    <w:rsid w:val="0039584D"/>
    <w:rsid w:val="003958AC"/>
    <w:rsid w:val="00395979"/>
    <w:rsid w:val="003959DE"/>
    <w:rsid w:val="003959E8"/>
    <w:rsid w:val="003959F9"/>
    <w:rsid w:val="00395A6D"/>
    <w:rsid w:val="00395A94"/>
    <w:rsid w:val="00395AC1"/>
    <w:rsid w:val="00395AD0"/>
    <w:rsid w:val="00395ADA"/>
    <w:rsid w:val="00395ADE"/>
    <w:rsid w:val="00395C4A"/>
    <w:rsid w:val="00395C9D"/>
    <w:rsid w:val="00395D87"/>
    <w:rsid w:val="00395DBD"/>
    <w:rsid w:val="00395E39"/>
    <w:rsid w:val="00395E42"/>
    <w:rsid w:val="00395E8F"/>
    <w:rsid w:val="00395ECC"/>
    <w:rsid w:val="00395F76"/>
    <w:rsid w:val="00395F8C"/>
    <w:rsid w:val="00395FCD"/>
    <w:rsid w:val="00395FCF"/>
    <w:rsid w:val="00395FEF"/>
    <w:rsid w:val="00395FFD"/>
    <w:rsid w:val="00396033"/>
    <w:rsid w:val="00396061"/>
    <w:rsid w:val="00396103"/>
    <w:rsid w:val="00396110"/>
    <w:rsid w:val="00396135"/>
    <w:rsid w:val="00396185"/>
    <w:rsid w:val="003961B3"/>
    <w:rsid w:val="003961F1"/>
    <w:rsid w:val="00396213"/>
    <w:rsid w:val="0039623C"/>
    <w:rsid w:val="0039628A"/>
    <w:rsid w:val="003962C1"/>
    <w:rsid w:val="003962F5"/>
    <w:rsid w:val="00396334"/>
    <w:rsid w:val="00396370"/>
    <w:rsid w:val="003963E1"/>
    <w:rsid w:val="00396428"/>
    <w:rsid w:val="00396485"/>
    <w:rsid w:val="00396518"/>
    <w:rsid w:val="0039656D"/>
    <w:rsid w:val="00396590"/>
    <w:rsid w:val="003965F8"/>
    <w:rsid w:val="0039660D"/>
    <w:rsid w:val="0039666D"/>
    <w:rsid w:val="00396678"/>
    <w:rsid w:val="003966C3"/>
    <w:rsid w:val="003966F5"/>
    <w:rsid w:val="00396807"/>
    <w:rsid w:val="00396816"/>
    <w:rsid w:val="00396944"/>
    <w:rsid w:val="00396956"/>
    <w:rsid w:val="003969E9"/>
    <w:rsid w:val="00396A28"/>
    <w:rsid w:val="00396A6D"/>
    <w:rsid w:val="00396A8E"/>
    <w:rsid w:val="00396AAA"/>
    <w:rsid w:val="00396ABC"/>
    <w:rsid w:val="00396CC2"/>
    <w:rsid w:val="00396D06"/>
    <w:rsid w:val="00396D0B"/>
    <w:rsid w:val="00396D5B"/>
    <w:rsid w:val="00396DB9"/>
    <w:rsid w:val="00396DD1"/>
    <w:rsid w:val="00396E36"/>
    <w:rsid w:val="00396E60"/>
    <w:rsid w:val="00396E76"/>
    <w:rsid w:val="00396EA5"/>
    <w:rsid w:val="00396EC8"/>
    <w:rsid w:val="00396F1E"/>
    <w:rsid w:val="00396F3A"/>
    <w:rsid w:val="00396F43"/>
    <w:rsid w:val="00396F4A"/>
    <w:rsid w:val="00396F72"/>
    <w:rsid w:val="00396F93"/>
    <w:rsid w:val="00397036"/>
    <w:rsid w:val="0039706C"/>
    <w:rsid w:val="00397078"/>
    <w:rsid w:val="003970BD"/>
    <w:rsid w:val="0039711E"/>
    <w:rsid w:val="003971B8"/>
    <w:rsid w:val="003971C3"/>
    <w:rsid w:val="0039737A"/>
    <w:rsid w:val="00397384"/>
    <w:rsid w:val="00397388"/>
    <w:rsid w:val="003973F0"/>
    <w:rsid w:val="003974E4"/>
    <w:rsid w:val="0039753A"/>
    <w:rsid w:val="00397540"/>
    <w:rsid w:val="0039757F"/>
    <w:rsid w:val="00397591"/>
    <w:rsid w:val="00397686"/>
    <w:rsid w:val="003976FF"/>
    <w:rsid w:val="0039770C"/>
    <w:rsid w:val="00397710"/>
    <w:rsid w:val="0039776E"/>
    <w:rsid w:val="00397797"/>
    <w:rsid w:val="003977AA"/>
    <w:rsid w:val="003977DA"/>
    <w:rsid w:val="00397825"/>
    <w:rsid w:val="0039784A"/>
    <w:rsid w:val="00397891"/>
    <w:rsid w:val="0039789E"/>
    <w:rsid w:val="003978D5"/>
    <w:rsid w:val="0039791A"/>
    <w:rsid w:val="00397927"/>
    <w:rsid w:val="00397933"/>
    <w:rsid w:val="0039798C"/>
    <w:rsid w:val="003979B9"/>
    <w:rsid w:val="003979C6"/>
    <w:rsid w:val="003979DF"/>
    <w:rsid w:val="003979FC"/>
    <w:rsid w:val="00397AC8"/>
    <w:rsid w:val="00397AE1"/>
    <w:rsid w:val="00397B3D"/>
    <w:rsid w:val="00397B5A"/>
    <w:rsid w:val="00397BA8"/>
    <w:rsid w:val="00397BF3"/>
    <w:rsid w:val="00397C10"/>
    <w:rsid w:val="00397C1C"/>
    <w:rsid w:val="00397D19"/>
    <w:rsid w:val="00397D20"/>
    <w:rsid w:val="00397D61"/>
    <w:rsid w:val="00397DF2"/>
    <w:rsid w:val="00397E2A"/>
    <w:rsid w:val="00397EBF"/>
    <w:rsid w:val="00397EEA"/>
    <w:rsid w:val="00397F48"/>
    <w:rsid w:val="003A0046"/>
    <w:rsid w:val="003A008F"/>
    <w:rsid w:val="003A011D"/>
    <w:rsid w:val="003A0126"/>
    <w:rsid w:val="003A014B"/>
    <w:rsid w:val="003A0177"/>
    <w:rsid w:val="003A0187"/>
    <w:rsid w:val="003A01CC"/>
    <w:rsid w:val="003A01DE"/>
    <w:rsid w:val="003A022F"/>
    <w:rsid w:val="003A0235"/>
    <w:rsid w:val="003A0243"/>
    <w:rsid w:val="003A0245"/>
    <w:rsid w:val="003A0292"/>
    <w:rsid w:val="003A0296"/>
    <w:rsid w:val="003A02D2"/>
    <w:rsid w:val="003A032A"/>
    <w:rsid w:val="003A032D"/>
    <w:rsid w:val="003A03D3"/>
    <w:rsid w:val="003A0462"/>
    <w:rsid w:val="003A0496"/>
    <w:rsid w:val="003A04AA"/>
    <w:rsid w:val="003A0524"/>
    <w:rsid w:val="003A05E8"/>
    <w:rsid w:val="003A0625"/>
    <w:rsid w:val="003A0662"/>
    <w:rsid w:val="003A06FA"/>
    <w:rsid w:val="003A0712"/>
    <w:rsid w:val="003A0787"/>
    <w:rsid w:val="003A088C"/>
    <w:rsid w:val="003A0912"/>
    <w:rsid w:val="003A0987"/>
    <w:rsid w:val="003A09AA"/>
    <w:rsid w:val="003A09D3"/>
    <w:rsid w:val="003A0A2F"/>
    <w:rsid w:val="003A0AD9"/>
    <w:rsid w:val="003A0AE6"/>
    <w:rsid w:val="003A0AF4"/>
    <w:rsid w:val="003A0B1A"/>
    <w:rsid w:val="003A0BFB"/>
    <w:rsid w:val="003A0C76"/>
    <w:rsid w:val="003A0C9E"/>
    <w:rsid w:val="003A0CB6"/>
    <w:rsid w:val="003A0CEE"/>
    <w:rsid w:val="003A0D48"/>
    <w:rsid w:val="003A0D69"/>
    <w:rsid w:val="003A0D84"/>
    <w:rsid w:val="003A0D89"/>
    <w:rsid w:val="003A0DC8"/>
    <w:rsid w:val="003A0E9D"/>
    <w:rsid w:val="003A0EA4"/>
    <w:rsid w:val="003A0EB0"/>
    <w:rsid w:val="003A0EC3"/>
    <w:rsid w:val="003A0ED0"/>
    <w:rsid w:val="003A0F0B"/>
    <w:rsid w:val="003A0F79"/>
    <w:rsid w:val="003A0FB8"/>
    <w:rsid w:val="003A0FCC"/>
    <w:rsid w:val="003A0FE6"/>
    <w:rsid w:val="003A0FF1"/>
    <w:rsid w:val="003A1035"/>
    <w:rsid w:val="003A1060"/>
    <w:rsid w:val="003A107C"/>
    <w:rsid w:val="003A10EC"/>
    <w:rsid w:val="003A110C"/>
    <w:rsid w:val="003A1187"/>
    <w:rsid w:val="003A1193"/>
    <w:rsid w:val="003A11B3"/>
    <w:rsid w:val="003A11E8"/>
    <w:rsid w:val="003A121A"/>
    <w:rsid w:val="003A1220"/>
    <w:rsid w:val="003A1260"/>
    <w:rsid w:val="003A1275"/>
    <w:rsid w:val="003A127E"/>
    <w:rsid w:val="003A128E"/>
    <w:rsid w:val="003A12B3"/>
    <w:rsid w:val="003A12D9"/>
    <w:rsid w:val="003A1310"/>
    <w:rsid w:val="003A1311"/>
    <w:rsid w:val="003A1314"/>
    <w:rsid w:val="003A1388"/>
    <w:rsid w:val="003A13C9"/>
    <w:rsid w:val="003A145D"/>
    <w:rsid w:val="003A14A5"/>
    <w:rsid w:val="003A14BE"/>
    <w:rsid w:val="003A14F9"/>
    <w:rsid w:val="003A150A"/>
    <w:rsid w:val="003A1532"/>
    <w:rsid w:val="003A1574"/>
    <w:rsid w:val="003A1590"/>
    <w:rsid w:val="003A1632"/>
    <w:rsid w:val="003A1683"/>
    <w:rsid w:val="003A172A"/>
    <w:rsid w:val="003A1735"/>
    <w:rsid w:val="003A178D"/>
    <w:rsid w:val="003A17BC"/>
    <w:rsid w:val="003A17D8"/>
    <w:rsid w:val="003A17DB"/>
    <w:rsid w:val="003A187E"/>
    <w:rsid w:val="003A18BF"/>
    <w:rsid w:val="003A1923"/>
    <w:rsid w:val="003A1936"/>
    <w:rsid w:val="003A1967"/>
    <w:rsid w:val="003A196E"/>
    <w:rsid w:val="003A1A01"/>
    <w:rsid w:val="003A1A1F"/>
    <w:rsid w:val="003A1A39"/>
    <w:rsid w:val="003A1A63"/>
    <w:rsid w:val="003A1A8F"/>
    <w:rsid w:val="003A1B27"/>
    <w:rsid w:val="003A1B67"/>
    <w:rsid w:val="003A1BB6"/>
    <w:rsid w:val="003A1BCA"/>
    <w:rsid w:val="003A1BD5"/>
    <w:rsid w:val="003A1C01"/>
    <w:rsid w:val="003A1C20"/>
    <w:rsid w:val="003A1C3F"/>
    <w:rsid w:val="003A1D1F"/>
    <w:rsid w:val="003A1D28"/>
    <w:rsid w:val="003A1D5D"/>
    <w:rsid w:val="003A1D80"/>
    <w:rsid w:val="003A1DCD"/>
    <w:rsid w:val="003A1E0D"/>
    <w:rsid w:val="003A1E3C"/>
    <w:rsid w:val="003A1E40"/>
    <w:rsid w:val="003A1E5D"/>
    <w:rsid w:val="003A1EEE"/>
    <w:rsid w:val="003A1EF3"/>
    <w:rsid w:val="003A1F0D"/>
    <w:rsid w:val="003A1F0F"/>
    <w:rsid w:val="003A1F92"/>
    <w:rsid w:val="003A1FDB"/>
    <w:rsid w:val="003A2049"/>
    <w:rsid w:val="003A2060"/>
    <w:rsid w:val="003A20A4"/>
    <w:rsid w:val="003A20E3"/>
    <w:rsid w:val="003A218B"/>
    <w:rsid w:val="003A21CF"/>
    <w:rsid w:val="003A21EB"/>
    <w:rsid w:val="003A2212"/>
    <w:rsid w:val="003A2244"/>
    <w:rsid w:val="003A2273"/>
    <w:rsid w:val="003A2291"/>
    <w:rsid w:val="003A22BF"/>
    <w:rsid w:val="003A2321"/>
    <w:rsid w:val="003A235D"/>
    <w:rsid w:val="003A2373"/>
    <w:rsid w:val="003A2407"/>
    <w:rsid w:val="003A2415"/>
    <w:rsid w:val="003A2432"/>
    <w:rsid w:val="003A2448"/>
    <w:rsid w:val="003A2454"/>
    <w:rsid w:val="003A24FD"/>
    <w:rsid w:val="003A2517"/>
    <w:rsid w:val="003A2535"/>
    <w:rsid w:val="003A25BB"/>
    <w:rsid w:val="003A2603"/>
    <w:rsid w:val="003A262E"/>
    <w:rsid w:val="003A2668"/>
    <w:rsid w:val="003A26AF"/>
    <w:rsid w:val="003A26EB"/>
    <w:rsid w:val="003A2753"/>
    <w:rsid w:val="003A2765"/>
    <w:rsid w:val="003A2843"/>
    <w:rsid w:val="003A28B1"/>
    <w:rsid w:val="003A292C"/>
    <w:rsid w:val="003A2940"/>
    <w:rsid w:val="003A2953"/>
    <w:rsid w:val="003A29AC"/>
    <w:rsid w:val="003A29B7"/>
    <w:rsid w:val="003A29ED"/>
    <w:rsid w:val="003A2A53"/>
    <w:rsid w:val="003A2B5E"/>
    <w:rsid w:val="003A2BF7"/>
    <w:rsid w:val="003A2BFD"/>
    <w:rsid w:val="003A2C03"/>
    <w:rsid w:val="003A2C99"/>
    <w:rsid w:val="003A2CB2"/>
    <w:rsid w:val="003A2CD2"/>
    <w:rsid w:val="003A2D1D"/>
    <w:rsid w:val="003A2D26"/>
    <w:rsid w:val="003A2D48"/>
    <w:rsid w:val="003A2D52"/>
    <w:rsid w:val="003A2D9A"/>
    <w:rsid w:val="003A2DA9"/>
    <w:rsid w:val="003A2DAA"/>
    <w:rsid w:val="003A2DB9"/>
    <w:rsid w:val="003A2DC3"/>
    <w:rsid w:val="003A2DF0"/>
    <w:rsid w:val="003A2E35"/>
    <w:rsid w:val="003A2EB1"/>
    <w:rsid w:val="003A2EEA"/>
    <w:rsid w:val="003A2F66"/>
    <w:rsid w:val="003A2F81"/>
    <w:rsid w:val="003A2F91"/>
    <w:rsid w:val="003A2FFA"/>
    <w:rsid w:val="003A3007"/>
    <w:rsid w:val="003A300C"/>
    <w:rsid w:val="003A3017"/>
    <w:rsid w:val="003A3083"/>
    <w:rsid w:val="003A30AF"/>
    <w:rsid w:val="003A31AD"/>
    <w:rsid w:val="003A31E3"/>
    <w:rsid w:val="003A31EB"/>
    <w:rsid w:val="003A3207"/>
    <w:rsid w:val="003A335D"/>
    <w:rsid w:val="003A3367"/>
    <w:rsid w:val="003A337A"/>
    <w:rsid w:val="003A3387"/>
    <w:rsid w:val="003A338F"/>
    <w:rsid w:val="003A344C"/>
    <w:rsid w:val="003A3458"/>
    <w:rsid w:val="003A350B"/>
    <w:rsid w:val="003A3531"/>
    <w:rsid w:val="003A35AD"/>
    <w:rsid w:val="003A3605"/>
    <w:rsid w:val="003A3632"/>
    <w:rsid w:val="003A3638"/>
    <w:rsid w:val="003A369D"/>
    <w:rsid w:val="003A370C"/>
    <w:rsid w:val="003A372B"/>
    <w:rsid w:val="003A377D"/>
    <w:rsid w:val="003A3810"/>
    <w:rsid w:val="003A3877"/>
    <w:rsid w:val="003A3891"/>
    <w:rsid w:val="003A38AC"/>
    <w:rsid w:val="003A38B8"/>
    <w:rsid w:val="003A38ED"/>
    <w:rsid w:val="003A38FF"/>
    <w:rsid w:val="003A3968"/>
    <w:rsid w:val="003A3995"/>
    <w:rsid w:val="003A3A06"/>
    <w:rsid w:val="003A3AAB"/>
    <w:rsid w:val="003A3B31"/>
    <w:rsid w:val="003A3B3A"/>
    <w:rsid w:val="003A3B53"/>
    <w:rsid w:val="003A3B93"/>
    <w:rsid w:val="003A3C09"/>
    <w:rsid w:val="003A3C0A"/>
    <w:rsid w:val="003A3C37"/>
    <w:rsid w:val="003A3CB0"/>
    <w:rsid w:val="003A3CB1"/>
    <w:rsid w:val="003A3CB9"/>
    <w:rsid w:val="003A3CDD"/>
    <w:rsid w:val="003A3CF9"/>
    <w:rsid w:val="003A3D29"/>
    <w:rsid w:val="003A3D82"/>
    <w:rsid w:val="003A3DCE"/>
    <w:rsid w:val="003A3DD5"/>
    <w:rsid w:val="003A3DF4"/>
    <w:rsid w:val="003A3E40"/>
    <w:rsid w:val="003A3E47"/>
    <w:rsid w:val="003A3EC3"/>
    <w:rsid w:val="003A3F00"/>
    <w:rsid w:val="003A3F14"/>
    <w:rsid w:val="003A3F24"/>
    <w:rsid w:val="003A3F9B"/>
    <w:rsid w:val="003A4021"/>
    <w:rsid w:val="003A40DB"/>
    <w:rsid w:val="003A411F"/>
    <w:rsid w:val="003A4137"/>
    <w:rsid w:val="003A4148"/>
    <w:rsid w:val="003A4172"/>
    <w:rsid w:val="003A41B6"/>
    <w:rsid w:val="003A41C7"/>
    <w:rsid w:val="003A4293"/>
    <w:rsid w:val="003A42AB"/>
    <w:rsid w:val="003A42FA"/>
    <w:rsid w:val="003A430B"/>
    <w:rsid w:val="003A43AA"/>
    <w:rsid w:val="003A43E9"/>
    <w:rsid w:val="003A4469"/>
    <w:rsid w:val="003A4517"/>
    <w:rsid w:val="003A456F"/>
    <w:rsid w:val="003A457A"/>
    <w:rsid w:val="003A45EC"/>
    <w:rsid w:val="003A45FD"/>
    <w:rsid w:val="003A4677"/>
    <w:rsid w:val="003A46A6"/>
    <w:rsid w:val="003A476D"/>
    <w:rsid w:val="003A486E"/>
    <w:rsid w:val="003A4883"/>
    <w:rsid w:val="003A4890"/>
    <w:rsid w:val="003A48CF"/>
    <w:rsid w:val="003A48F4"/>
    <w:rsid w:val="003A48F5"/>
    <w:rsid w:val="003A49BB"/>
    <w:rsid w:val="003A49DD"/>
    <w:rsid w:val="003A4A5B"/>
    <w:rsid w:val="003A4ACF"/>
    <w:rsid w:val="003A4AFC"/>
    <w:rsid w:val="003A4B15"/>
    <w:rsid w:val="003A4B2B"/>
    <w:rsid w:val="003A4B71"/>
    <w:rsid w:val="003A4BBE"/>
    <w:rsid w:val="003A4BC3"/>
    <w:rsid w:val="003A4BDF"/>
    <w:rsid w:val="003A4C95"/>
    <w:rsid w:val="003A4CA2"/>
    <w:rsid w:val="003A4CC6"/>
    <w:rsid w:val="003A4CE4"/>
    <w:rsid w:val="003A4CF1"/>
    <w:rsid w:val="003A4D00"/>
    <w:rsid w:val="003A4D63"/>
    <w:rsid w:val="003A4D67"/>
    <w:rsid w:val="003A4DC1"/>
    <w:rsid w:val="003A4DCB"/>
    <w:rsid w:val="003A4DD3"/>
    <w:rsid w:val="003A4F0B"/>
    <w:rsid w:val="003A4F4A"/>
    <w:rsid w:val="003A4F67"/>
    <w:rsid w:val="003A4F6D"/>
    <w:rsid w:val="003A4F9E"/>
    <w:rsid w:val="003A4FDE"/>
    <w:rsid w:val="003A5075"/>
    <w:rsid w:val="003A5080"/>
    <w:rsid w:val="003A5098"/>
    <w:rsid w:val="003A509D"/>
    <w:rsid w:val="003A50DB"/>
    <w:rsid w:val="003A50FB"/>
    <w:rsid w:val="003A5117"/>
    <w:rsid w:val="003A5118"/>
    <w:rsid w:val="003A5125"/>
    <w:rsid w:val="003A5129"/>
    <w:rsid w:val="003A512F"/>
    <w:rsid w:val="003A5149"/>
    <w:rsid w:val="003A5189"/>
    <w:rsid w:val="003A5223"/>
    <w:rsid w:val="003A5230"/>
    <w:rsid w:val="003A5243"/>
    <w:rsid w:val="003A5256"/>
    <w:rsid w:val="003A5290"/>
    <w:rsid w:val="003A52A5"/>
    <w:rsid w:val="003A5306"/>
    <w:rsid w:val="003A5313"/>
    <w:rsid w:val="003A5344"/>
    <w:rsid w:val="003A5380"/>
    <w:rsid w:val="003A53A8"/>
    <w:rsid w:val="003A53C7"/>
    <w:rsid w:val="003A5443"/>
    <w:rsid w:val="003A54A8"/>
    <w:rsid w:val="003A54C7"/>
    <w:rsid w:val="003A5599"/>
    <w:rsid w:val="003A559E"/>
    <w:rsid w:val="003A569D"/>
    <w:rsid w:val="003A57A0"/>
    <w:rsid w:val="003A5824"/>
    <w:rsid w:val="003A5838"/>
    <w:rsid w:val="003A58AC"/>
    <w:rsid w:val="003A5947"/>
    <w:rsid w:val="003A597C"/>
    <w:rsid w:val="003A59A6"/>
    <w:rsid w:val="003A59F2"/>
    <w:rsid w:val="003A5A0D"/>
    <w:rsid w:val="003A5A6D"/>
    <w:rsid w:val="003A5AD1"/>
    <w:rsid w:val="003A5AFA"/>
    <w:rsid w:val="003A5B20"/>
    <w:rsid w:val="003A5B22"/>
    <w:rsid w:val="003A5B36"/>
    <w:rsid w:val="003A5B64"/>
    <w:rsid w:val="003A5B6E"/>
    <w:rsid w:val="003A5B82"/>
    <w:rsid w:val="003A5BE8"/>
    <w:rsid w:val="003A5C6B"/>
    <w:rsid w:val="003A5CA8"/>
    <w:rsid w:val="003A5CC6"/>
    <w:rsid w:val="003A5CDC"/>
    <w:rsid w:val="003A5CEC"/>
    <w:rsid w:val="003A5D8B"/>
    <w:rsid w:val="003A5E4E"/>
    <w:rsid w:val="003A5EA5"/>
    <w:rsid w:val="003A5EAA"/>
    <w:rsid w:val="003A5EB1"/>
    <w:rsid w:val="003A5EFB"/>
    <w:rsid w:val="003A5F06"/>
    <w:rsid w:val="003A5F1A"/>
    <w:rsid w:val="003A6024"/>
    <w:rsid w:val="003A6049"/>
    <w:rsid w:val="003A604D"/>
    <w:rsid w:val="003A6071"/>
    <w:rsid w:val="003A608E"/>
    <w:rsid w:val="003A6096"/>
    <w:rsid w:val="003A60A6"/>
    <w:rsid w:val="003A60DF"/>
    <w:rsid w:val="003A6122"/>
    <w:rsid w:val="003A615D"/>
    <w:rsid w:val="003A6164"/>
    <w:rsid w:val="003A6195"/>
    <w:rsid w:val="003A6196"/>
    <w:rsid w:val="003A619F"/>
    <w:rsid w:val="003A61E0"/>
    <w:rsid w:val="003A6248"/>
    <w:rsid w:val="003A624F"/>
    <w:rsid w:val="003A6286"/>
    <w:rsid w:val="003A62EF"/>
    <w:rsid w:val="003A6302"/>
    <w:rsid w:val="003A6325"/>
    <w:rsid w:val="003A6392"/>
    <w:rsid w:val="003A639E"/>
    <w:rsid w:val="003A63B1"/>
    <w:rsid w:val="003A63D5"/>
    <w:rsid w:val="003A6415"/>
    <w:rsid w:val="003A6447"/>
    <w:rsid w:val="003A64A7"/>
    <w:rsid w:val="003A64DA"/>
    <w:rsid w:val="003A655F"/>
    <w:rsid w:val="003A6572"/>
    <w:rsid w:val="003A6680"/>
    <w:rsid w:val="003A66AF"/>
    <w:rsid w:val="003A66D4"/>
    <w:rsid w:val="003A66E7"/>
    <w:rsid w:val="003A66F6"/>
    <w:rsid w:val="003A671A"/>
    <w:rsid w:val="003A672E"/>
    <w:rsid w:val="003A678F"/>
    <w:rsid w:val="003A689E"/>
    <w:rsid w:val="003A68D0"/>
    <w:rsid w:val="003A68D5"/>
    <w:rsid w:val="003A68D6"/>
    <w:rsid w:val="003A68DC"/>
    <w:rsid w:val="003A69C0"/>
    <w:rsid w:val="003A69D7"/>
    <w:rsid w:val="003A69E6"/>
    <w:rsid w:val="003A6A20"/>
    <w:rsid w:val="003A6ADA"/>
    <w:rsid w:val="003A6B29"/>
    <w:rsid w:val="003A6B71"/>
    <w:rsid w:val="003A6B88"/>
    <w:rsid w:val="003A6BB7"/>
    <w:rsid w:val="003A6BCB"/>
    <w:rsid w:val="003A6BD4"/>
    <w:rsid w:val="003A6BE9"/>
    <w:rsid w:val="003A6C3B"/>
    <w:rsid w:val="003A6C62"/>
    <w:rsid w:val="003A6CC7"/>
    <w:rsid w:val="003A6D4E"/>
    <w:rsid w:val="003A6DD3"/>
    <w:rsid w:val="003A6E70"/>
    <w:rsid w:val="003A6E71"/>
    <w:rsid w:val="003A6E98"/>
    <w:rsid w:val="003A6EFA"/>
    <w:rsid w:val="003A6F27"/>
    <w:rsid w:val="003A6F51"/>
    <w:rsid w:val="003A6F8A"/>
    <w:rsid w:val="003A6FA5"/>
    <w:rsid w:val="003A6FC8"/>
    <w:rsid w:val="003A7021"/>
    <w:rsid w:val="003A70FA"/>
    <w:rsid w:val="003A7218"/>
    <w:rsid w:val="003A7280"/>
    <w:rsid w:val="003A731B"/>
    <w:rsid w:val="003A73CA"/>
    <w:rsid w:val="003A7416"/>
    <w:rsid w:val="003A741E"/>
    <w:rsid w:val="003A7435"/>
    <w:rsid w:val="003A744F"/>
    <w:rsid w:val="003A745B"/>
    <w:rsid w:val="003A7482"/>
    <w:rsid w:val="003A74B9"/>
    <w:rsid w:val="003A756A"/>
    <w:rsid w:val="003A7608"/>
    <w:rsid w:val="003A769F"/>
    <w:rsid w:val="003A76EF"/>
    <w:rsid w:val="003A76FB"/>
    <w:rsid w:val="003A77AD"/>
    <w:rsid w:val="003A77E1"/>
    <w:rsid w:val="003A7857"/>
    <w:rsid w:val="003A78BE"/>
    <w:rsid w:val="003A7928"/>
    <w:rsid w:val="003A7956"/>
    <w:rsid w:val="003A796F"/>
    <w:rsid w:val="003A7984"/>
    <w:rsid w:val="003A799A"/>
    <w:rsid w:val="003A79A8"/>
    <w:rsid w:val="003A79CF"/>
    <w:rsid w:val="003A79DA"/>
    <w:rsid w:val="003A79E9"/>
    <w:rsid w:val="003A7A4E"/>
    <w:rsid w:val="003A7A4F"/>
    <w:rsid w:val="003A7AEE"/>
    <w:rsid w:val="003A7B3F"/>
    <w:rsid w:val="003A7B67"/>
    <w:rsid w:val="003A7B76"/>
    <w:rsid w:val="003A7B98"/>
    <w:rsid w:val="003A7C07"/>
    <w:rsid w:val="003A7C7F"/>
    <w:rsid w:val="003A7C96"/>
    <w:rsid w:val="003A7CEE"/>
    <w:rsid w:val="003A7D64"/>
    <w:rsid w:val="003A7D94"/>
    <w:rsid w:val="003A7DCE"/>
    <w:rsid w:val="003A7DD3"/>
    <w:rsid w:val="003A7DF1"/>
    <w:rsid w:val="003A7E06"/>
    <w:rsid w:val="003A7E6D"/>
    <w:rsid w:val="003A7E73"/>
    <w:rsid w:val="003A7F41"/>
    <w:rsid w:val="003A7F51"/>
    <w:rsid w:val="003B0005"/>
    <w:rsid w:val="003B0039"/>
    <w:rsid w:val="003B003D"/>
    <w:rsid w:val="003B009B"/>
    <w:rsid w:val="003B01CE"/>
    <w:rsid w:val="003B01EF"/>
    <w:rsid w:val="003B0214"/>
    <w:rsid w:val="003B0271"/>
    <w:rsid w:val="003B02A8"/>
    <w:rsid w:val="003B0300"/>
    <w:rsid w:val="003B033E"/>
    <w:rsid w:val="003B0349"/>
    <w:rsid w:val="003B0384"/>
    <w:rsid w:val="003B0396"/>
    <w:rsid w:val="003B0412"/>
    <w:rsid w:val="003B042C"/>
    <w:rsid w:val="003B04A5"/>
    <w:rsid w:val="003B04E4"/>
    <w:rsid w:val="003B05DA"/>
    <w:rsid w:val="003B05DF"/>
    <w:rsid w:val="003B05E9"/>
    <w:rsid w:val="003B0606"/>
    <w:rsid w:val="003B0680"/>
    <w:rsid w:val="003B068C"/>
    <w:rsid w:val="003B06B9"/>
    <w:rsid w:val="003B06F2"/>
    <w:rsid w:val="003B07D2"/>
    <w:rsid w:val="003B081E"/>
    <w:rsid w:val="003B085A"/>
    <w:rsid w:val="003B08C9"/>
    <w:rsid w:val="003B08DE"/>
    <w:rsid w:val="003B08FA"/>
    <w:rsid w:val="003B0905"/>
    <w:rsid w:val="003B0A02"/>
    <w:rsid w:val="003B0A05"/>
    <w:rsid w:val="003B0A08"/>
    <w:rsid w:val="003B0A19"/>
    <w:rsid w:val="003B0A53"/>
    <w:rsid w:val="003B0AC9"/>
    <w:rsid w:val="003B0BDA"/>
    <w:rsid w:val="003B0BEC"/>
    <w:rsid w:val="003B0C01"/>
    <w:rsid w:val="003B0C2F"/>
    <w:rsid w:val="003B0C86"/>
    <w:rsid w:val="003B0C9C"/>
    <w:rsid w:val="003B0CE9"/>
    <w:rsid w:val="003B0D1C"/>
    <w:rsid w:val="003B0D83"/>
    <w:rsid w:val="003B0D94"/>
    <w:rsid w:val="003B0DCC"/>
    <w:rsid w:val="003B0EED"/>
    <w:rsid w:val="003B0EFC"/>
    <w:rsid w:val="003B0F2F"/>
    <w:rsid w:val="003B0FC6"/>
    <w:rsid w:val="003B0FCA"/>
    <w:rsid w:val="003B1066"/>
    <w:rsid w:val="003B107A"/>
    <w:rsid w:val="003B1085"/>
    <w:rsid w:val="003B1089"/>
    <w:rsid w:val="003B10A4"/>
    <w:rsid w:val="003B1198"/>
    <w:rsid w:val="003B11B9"/>
    <w:rsid w:val="003B125F"/>
    <w:rsid w:val="003B12B4"/>
    <w:rsid w:val="003B12B8"/>
    <w:rsid w:val="003B12D5"/>
    <w:rsid w:val="003B12F1"/>
    <w:rsid w:val="003B130F"/>
    <w:rsid w:val="003B1386"/>
    <w:rsid w:val="003B13B8"/>
    <w:rsid w:val="003B13DF"/>
    <w:rsid w:val="003B13E5"/>
    <w:rsid w:val="003B1412"/>
    <w:rsid w:val="003B144D"/>
    <w:rsid w:val="003B1454"/>
    <w:rsid w:val="003B1486"/>
    <w:rsid w:val="003B1499"/>
    <w:rsid w:val="003B150B"/>
    <w:rsid w:val="003B1577"/>
    <w:rsid w:val="003B1582"/>
    <w:rsid w:val="003B1599"/>
    <w:rsid w:val="003B15C4"/>
    <w:rsid w:val="003B1675"/>
    <w:rsid w:val="003B16F7"/>
    <w:rsid w:val="003B173E"/>
    <w:rsid w:val="003B1745"/>
    <w:rsid w:val="003B1757"/>
    <w:rsid w:val="003B1773"/>
    <w:rsid w:val="003B179A"/>
    <w:rsid w:val="003B17BD"/>
    <w:rsid w:val="003B1855"/>
    <w:rsid w:val="003B186F"/>
    <w:rsid w:val="003B1875"/>
    <w:rsid w:val="003B1879"/>
    <w:rsid w:val="003B1886"/>
    <w:rsid w:val="003B188B"/>
    <w:rsid w:val="003B18A2"/>
    <w:rsid w:val="003B18B6"/>
    <w:rsid w:val="003B18E0"/>
    <w:rsid w:val="003B1914"/>
    <w:rsid w:val="003B192B"/>
    <w:rsid w:val="003B193F"/>
    <w:rsid w:val="003B1943"/>
    <w:rsid w:val="003B198C"/>
    <w:rsid w:val="003B1A17"/>
    <w:rsid w:val="003B1A20"/>
    <w:rsid w:val="003B1AE0"/>
    <w:rsid w:val="003B1AF6"/>
    <w:rsid w:val="003B1B11"/>
    <w:rsid w:val="003B1B88"/>
    <w:rsid w:val="003B1B91"/>
    <w:rsid w:val="003B1B92"/>
    <w:rsid w:val="003B1CC5"/>
    <w:rsid w:val="003B1D3E"/>
    <w:rsid w:val="003B1D72"/>
    <w:rsid w:val="003B1DB3"/>
    <w:rsid w:val="003B1DD3"/>
    <w:rsid w:val="003B1E2A"/>
    <w:rsid w:val="003B1E2F"/>
    <w:rsid w:val="003B1E30"/>
    <w:rsid w:val="003B1E3F"/>
    <w:rsid w:val="003B1E63"/>
    <w:rsid w:val="003B1E79"/>
    <w:rsid w:val="003B1E81"/>
    <w:rsid w:val="003B1EEE"/>
    <w:rsid w:val="003B1F76"/>
    <w:rsid w:val="003B1F83"/>
    <w:rsid w:val="003B1FB0"/>
    <w:rsid w:val="003B2036"/>
    <w:rsid w:val="003B2183"/>
    <w:rsid w:val="003B21AF"/>
    <w:rsid w:val="003B21C5"/>
    <w:rsid w:val="003B2227"/>
    <w:rsid w:val="003B224B"/>
    <w:rsid w:val="003B2261"/>
    <w:rsid w:val="003B22B9"/>
    <w:rsid w:val="003B22E5"/>
    <w:rsid w:val="003B22E7"/>
    <w:rsid w:val="003B2309"/>
    <w:rsid w:val="003B249B"/>
    <w:rsid w:val="003B2549"/>
    <w:rsid w:val="003B25C7"/>
    <w:rsid w:val="003B2613"/>
    <w:rsid w:val="003B264D"/>
    <w:rsid w:val="003B26CC"/>
    <w:rsid w:val="003B26CF"/>
    <w:rsid w:val="003B26F2"/>
    <w:rsid w:val="003B271B"/>
    <w:rsid w:val="003B271C"/>
    <w:rsid w:val="003B2727"/>
    <w:rsid w:val="003B2797"/>
    <w:rsid w:val="003B27F0"/>
    <w:rsid w:val="003B27FF"/>
    <w:rsid w:val="003B28AD"/>
    <w:rsid w:val="003B28BA"/>
    <w:rsid w:val="003B28CE"/>
    <w:rsid w:val="003B28E5"/>
    <w:rsid w:val="003B28FC"/>
    <w:rsid w:val="003B29A9"/>
    <w:rsid w:val="003B29F1"/>
    <w:rsid w:val="003B2A42"/>
    <w:rsid w:val="003B2AC3"/>
    <w:rsid w:val="003B2ADC"/>
    <w:rsid w:val="003B2B2E"/>
    <w:rsid w:val="003B2B41"/>
    <w:rsid w:val="003B2B88"/>
    <w:rsid w:val="003B2B92"/>
    <w:rsid w:val="003B2BE8"/>
    <w:rsid w:val="003B2BF5"/>
    <w:rsid w:val="003B2C3F"/>
    <w:rsid w:val="003B2C76"/>
    <w:rsid w:val="003B2CDB"/>
    <w:rsid w:val="003B2DAE"/>
    <w:rsid w:val="003B2DC4"/>
    <w:rsid w:val="003B2DCB"/>
    <w:rsid w:val="003B2E0C"/>
    <w:rsid w:val="003B2E68"/>
    <w:rsid w:val="003B2E73"/>
    <w:rsid w:val="003B2E7A"/>
    <w:rsid w:val="003B2E88"/>
    <w:rsid w:val="003B2EA4"/>
    <w:rsid w:val="003B2F3A"/>
    <w:rsid w:val="003B2F5E"/>
    <w:rsid w:val="003B2F84"/>
    <w:rsid w:val="003B3034"/>
    <w:rsid w:val="003B3072"/>
    <w:rsid w:val="003B308F"/>
    <w:rsid w:val="003B30E6"/>
    <w:rsid w:val="003B30EE"/>
    <w:rsid w:val="003B310C"/>
    <w:rsid w:val="003B3126"/>
    <w:rsid w:val="003B3128"/>
    <w:rsid w:val="003B3145"/>
    <w:rsid w:val="003B31AC"/>
    <w:rsid w:val="003B31CD"/>
    <w:rsid w:val="003B31EB"/>
    <w:rsid w:val="003B31FD"/>
    <w:rsid w:val="003B3277"/>
    <w:rsid w:val="003B32CC"/>
    <w:rsid w:val="003B330B"/>
    <w:rsid w:val="003B3385"/>
    <w:rsid w:val="003B33D5"/>
    <w:rsid w:val="003B33DF"/>
    <w:rsid w:val="003B3440"/>
    <w:rsid w:val="003B34BE"/>
    <w:rsid w:val="003B34F2"/>
    <w:rsid w:val="003B3593"/>
    <w:rsid w:val="003B35E4"/>
    <w:rsid w:val="003B36DD"/>
    <w:rsid w:val="003B3713"/>
    <w:rsid w:val="003B37D9"/>
    <w:rsid w:val="003B3861"/>
    <w:rsid w:val="003B3889"/>
    <w:rsid w:val="003B38D7"/>
    <w:rsid w:val="003B3933"/>
    <w:rsid w:val="003B3959"/>
    <w:rsid w:val="003B398F"/>
    <w:rsid w:val="003B399D"/>
    <w:rsid w:val="003B39B3"/>
    <w:rsid w:val="003B3A95"/>
    <w:rsid w:val="003B3AAD"/>
    <w:rsid w:val="003B3ACF"/>
    <w:rsid w:val="003B3AF2"/>
    <w:rsid w:val="003B3B3B"/>
    <w:rsid w:val="003B3B4A"/>
    <w:rsid w:val="003B3B84"/>
    <w:rsid w:val="003B3B8C"/>
    <w:rsid w:val="003B3B90"/>
    <w:rsid w:val="003B3BDA"/>
    <w:rsid w:val="003B3C3A"/>
    <w:rsid w:val="003B3C48"/>
    <w:rsid w:val="003B3D2F"/>
    <w:rsid w:val="003B3D33"/>
    <w:rsid w:val="003B3D41"/>
    <w:rsid w:val="003B3D4C"/>
    <w:rsid w:val="003B3DA7"/>
    <w:rsid w:val="003B3DDD"/>
    <w:rsid w:val="003B3E52"/>
    <w:rsid w:val="003B3E58"/>
    <w:rsid w:val="003B3E7A"/>
    <w:rsid w:val="003B3EC3"/>
    <w:rsid w:val="003B3F77"/>
    <w:rsid w:val="003B3F84"/>
    <w:rsid w:val="003B3FA3"/>
    <w:rsid w:val="003B3FA8"/>
    <w:rsid w:val="003B4120"/>
    <w:rsid w:val="003B4198"/>
    <w:rsid w:val="003B41F5"/>
    <w:rsid w:val="003B4220"/>
    <w:rsid w:val="003B4240"/>
    <w:rsid w:val="003B4249"/>
    <w:rsid w:val="003B427C"/>
    <w:rsid w:val="003B4289"/>
    <w:rsid w:val="003B4298"/>
    <w:rsid w:val="003B42FC"/>
    <w:rsid w:val="003B4344"/>
    <w:rsid w:val="003B43D2"/>
    <w:rsid w:val="003B43D3"/>
    <w:rsid w:val="003B4444"/>
    <w:rsid w:val="003B4558"/>
    <w:rsid w:val="003B466C"/>
    <w:rsid w:val="003B4673"/>
    <w:rsid w:val="003B468A"/>
    <w:rsid w:val="003B46C1"/>
    <w:rsid w:val="003B479A"/>
    <w:rsid w:val="003B47E5"/>
    <w:rsid w:val="003B482C"/>
    <w:rsid w:val="003B482D"/>
    <w:rsid w:val="003B486C"/>
    <w:rsid w:val="003B487D"/>
    <w:rsid w:val="003B48C0"/>
    <w:rsid w:val="003B4904"/>
    <w:rsid w:val="003B49B7"/>
    <w:rsid w:val="003B49CF"/>
    <w:rsid w:val="003B4A7A"/>
    <w:rsid w:val="003B4AA0"/>
    <w:rsid w:val="003B4B54"/>
    <w:rsid w:val="003B4BE1"/>
    <w:rsid w:val="003B4C15"/>
    <w:rsid w:val="003B4C1B"/>
    <w:rsid w:val="003B4C44"/>
    <w:rsid w:val="003B4C90"/>
    <w:rsid w:val="003B4CBC"/>
    <w:rsid w:val="003B4CCB"/>
    <w:rsid w:val="003B4D08"/>
    <w:rsid w:val="003B4D1E"/>
    <w:rsid w:val="003B4D7E"/>
    <w:rsid w:val="003B4D97"/>
    <w:rsid w:val="003B4DBF"/>
    <w:rsid w:val="003B4DEE"/>
    <w:rsid w:val="003B4DF5"/>
    <w:rsid w:val="003B4E58"/>
    <w:rsid w:val="003B4EAA"/>
    <w:rsid w:val="003B4EB6"/>
    <w:rsid w:val="003B4EC7"/>
    <w:rsid w:val="003B4F29"/>
    <w:rsid w:val="003B4F36"/>
    <w:rsid w:val="003B4F61"/>
    <w:rsid w:val="003B4FC9"/>
    <w:rsid w:val="003B4FE0"/>
    <w:rsid w:val="003B4FF0"/>
    <w:rsid w:val="003B500C"/>
    <w:rsid w:val="003B5011"/>
    <w:rsid w:val="003B505D"/>
    <w:rsid w:val="003B5071"/>
    <w:rsid w:val="003B5097"/>
    <w:rsid w:val="003B5119"/>
    <w:rsid w:val="003B513E"/>
    <w:rsid w:val="003B5147"/>
    <w:rsid w:val="003B5204"/>
    <w:rsid w:val="003B5236"/>
    <w:rsid w:val="003B5309"/>
    <w:rsid w:val="003B532A"/>
    <w:rsid w:val="003B5338"/>
    <w:rsid w:val="003B533E"/>
    <w:rsid w:val="003B5398"/>
    <w:rsid w:val="003B544F"/>
    <w:rsid w:val="003B54ED"/>
    <w:rsid w:val="003B5507"/>
    <w:rsid w:val="003B5534"/>
    <w:rsid w:val="003B5539"/>
    <w:rsid w:val="003B554E"/>
    <w:rsid w:val="003B5561"/>
    <w:rsid w:val="003B56FE"/>
    <w:rsid w:val="003B5740"/>
    <w:rsid w:val="003B5754"/>
    <w:rsid w:val="003B578C"/>
    <w:rsid w:val="003B579A"/>
    <w:rsid w:val="003B57A0"/>
    <w:rsid w:val="003B57F4"/>
    <w:rsid w:val="003B5821"/>
    <w:rsid w:val="003B5835"/>
    <w:rsid w:val="003B5838"/>
    <w:rsid w:val="003B58AB"/>
    <w:rsid w:val="003B58B3"/>
    <w:rsid w:val="003B5949"/>
    <w:rsid w:val="003B596E"/>
    <w:rsid w:val="003B59BD"/>
    <w:rsid w:val="003B59D1"/>
    <w:rsid w:val="003B59E2"/>
    <w:rsid w:val="003B5A10"/>
    <w:rsid w:val="003B5A5A"/>
    <w:rsid w:val="003B5A70"/>
    <w:rsid w:val="003B5A83"/>
    <w:rsid w:val="003B5AE1"/>
    <w:rsid w:val="003B5B3E"/>
    <w:rsid w:val="003B5B4B"/>
    <w:rsid w:val="003B5B5D"/>
    <w:rsid w:val="003B5B7F"/>
    <w:rsid w:val="003B5B8A"/>
    <w:rsid w:val="003B5B9C"/>
    <w:rsid w:val="003B5C50"/>
    <w:rsid w:val="003B5C9F"/>
    <w:rsid w:val="003B5D10"/>
    <w:rsid w:val="003B5D1D"/>
    <w:rsid w:val="003B5D24"/>
    <w:rsid w:val="003B5D84"/>
    <w:rsid w:val="003B5D8F"/>
    <w:rsid w:val="003B5DA0"/>
    <w:rsid w:val="003B5DAC"/>
    <w:rsid w:val="003B5DC8"/>
    <w:rsid w:val="003B5E0D"/>
    <w:rsid w:val="003B5E1D"/>
    <w:rsid w:val="003B5E4E"/>
    <w:rsid w:val="003B5E56"/>
    <w:rsid w:val="003B5EC4"/>
    <w:rsid w:val="003B5F08"/>
    <w:rsid w:val="003B5F0B"/>
    <w:rsid w:val="003B5F1C"/>
    <w:rsid w:val="003B5FC9"/>
    <w:rsid w:val="003B600E"/>
    <w:rsid w:val="003B6026"/>
    <w:rsid w:val="003B60A8"/>
    <w:rsid w:val="003B60EF"/>
    <w:rsid w:val="003B60F6"/>
    <w:rsid w:val="003B61CE"/>
    <w:rsid w:val="003B6212"/>
    <w:rsid w:val="003B624E"/>
    <w:rsid w:val="003B6311"/>
    <w:rsid w:val="003B6319"/>
    <w:rsid w:val="003B6326"/>
    <w:rsid w:val="003B63A6"/>
    <w:rsid w:val="003B646B"/>
    <w:rsid w:val="003B64A5"/>
    <w:rsid w:val="003B64DD"/>
    <w:rsid w:val="003B6532"/>
    <w:rsid w:val="003B6576"/>
    <w:rsid w:val="003B65EB"/>
    <w:rsid w:val="003B6602"/>
    <w:rsid w:val="003B667D"/>
    <w:rsid w:val="003B671F"/>
    <w:rsid w:val="003B6723"/>
    <w:rsid w:val="003B6788"/>
    <w:rsid w:val="003B678B"/>
    <w:rsid w:val="003B6842"/>
    <w:rsid w:val="003B6880"/>
    <w:rsid w:val="003B6887"/>
    <w:rsid w:val="003B688C"/>
    <w:rsid w:val="003B68DF"/>
    <w:rsid w:val="003B6958"/>
    <w:rsid w:val="003B69B6"/>
    <w:rsid w:val="003B6A15"/>
    <w:rsid w:val="003B6A44"/>
    <w:rsid w:val="003B6AF0"/>
    <w:rsid w:val="003B6B03"/>
    <w:rsid w:val="003B6B30"/>
    <w:rsid w:val="003B6B59"/>
    <w:rsid w:val="003B6BA0"/>
    <w:rsid w:val="003B6CBF"/>
    <w:rsid w:val="003B6CFC"/>
    <w:rsid w:val="003B6D78"/>
    <w:rsid w:val="003B6DFF"/>
    <w:rsid w:val="003B6E05"/>
    <w:rsid w:val="003B6E0E"/>
    <w:rsid w:val="003B6E21"/>
    <w:rsid w:val="003B6E63"/>
    <w:rsid w:val="003B6E93"/>
    <w:rsid w:val="003B6E99"/>
    <w:rsid w:val="003B6F0E"/>
    <w:rsid w:val="003B6F14"/>
    <w:rsid w:val="003B6F1D"/>
    <w:rsid w:val="003B6F5C"/>
    <w:rsid w:val="003B6F7A"/>
    <w:rsid w:val="003B6F97"/>
    <w:rsid w:val="003B6FC5"/>
    <w:rsid w:val="003B6FC7"/>
    <w:rsid w:val="003B7095"/>
    <w:rsid w:val="003B70A0"/>
    <w:rsid w:val="003B712A"/>
    <w:rsid w:val="003B714E"/>
    <w:rsid w:val="003B71B2"/>
    <w:rsid w:val="003B71DC"/>
    <w:rsid w:val="003B71E5"/>
    <w:rsid w:val="003B723A"/>
    <w:rsid w:val="003B7259"/>
    <w:rsid w:val="003B72D0"/>
    <w:rsid w:val="003B7357"/>
    <w:rsid w:val="003B7364"/>
    <w:rsid w:val="003B7390"/>
    <w:rsid w:val="003B73F0"/>
    <w:rsid w:val="003B7403"/>
    <w:rsid w:val="003B7409"/>
    <w:rsid w:val="003B7477"/>
    <w:rsid w:val="003B747C"/>
    <w:rsid w:val="003B74EA"/>
    <w:rsid w:val="003B75C2"/>
    <w:rsid w:val="003B75C4"/>
    <w:rsid w:val="003B7602"/>
    <w:rsid w:val="003B764B"/>
    <w:rsid w:val="003B7672"/>
    <w:rsid w:val="003B76A6"/>
    <w:rsid w:val="003B7730"/>
    <w:rsid w:val="003B773E"/>
    <w:rsid w:val="003B779E"/>
    <w:rsid w:val="003B77B7"/>
    <w:rsid w:val="003B77D1"/>
    <w:rsid w:val="003B77D9"/>
    <w:rsid w:val="003B783C"/>
    <w:rsid w:val="003B7880"/>
    <w:rsid w:val="003B78AC"/>
    <w:rsid w:val="003B78BB"/>
    <w:rsid w:val="003B7927"/>
    <w:rsid w:val="003B7990"/>
    <w:rsid w:val="003B79AE"/>
    <w:rsid w:val="003B79DE"/>
    <w:rsid w:val="003B7A1F"/>
    <w:rsid w:val="003B7A6E"/>
    <w:rsid w:val="003B7AA1"/>
    <w:rsid w:val="003B7ADD"/>
    <w:rsid w:val="003B7AE1"/>
    <w:rsid w:val="003B7B43"/>
    <w:rsid w:val="003B7B52"/>
    <w:rsid w:val="003B7B7A"/>
    <w:rsid w:val="003B7B9F"/>
    <w:rsid w:val="003B7BF8"/>
    <w:rsid w:val="003B7C03"/>
    <w:rsid w:val="003B7C16"/>
    <w:rsid w:val="003B7C23"/>
    <w:rsid w:val="003B7C26"/>
    <w:rsid w:val="003B7C36"/>
    <w:rsid w:val="003B7C6E"/>
    <w:rsid w:val="003B7C90"/>
    <w:rsid w:val="003B7C91"/>
    <w:rsid w:val="003B7CBE"/>
    <w:rsid w:val="003B7DB6"/>
    <w:rsid w:val="003B7E22"/>
    <w:rsid w:val="003B7E3B"/>
    <w:rsid w:val="003B7E50"/>
    <w:rsid w:val="003B7E71"/>
    <w:rsid w:val="003B7EC8"/>
    <w:rsid w:val="003B7EEA"/>
    <w:rsid w:val="003B7EF4"/>
    <w:rsid w:val="003B7F4E"/>
    <w:rsid w:val="003B7F59"/>
    <w:rsid w:val="003B7FE1"/>
    <w:rsid w:val="003B7FE2"/>
    <w:rsid w:val="003C002F"/>
    <w:rsid w:val="003C0041"/>
    <w:rsid w:val="003C007E"/>
    <w:rsid w:val="003C0080"/>
    <w:rsid w:val="003C012D"/>
    <w:rsid w:val="003C01AD"/>
    <w:rsid w:val="003C01DF"/>
    <w:rsid w:val="003C0241"/>
    <w:rsid w:val="003C0262"/>
    <w:rsid w:val="003C026B"/>
    <w:rsid w:val="003C0271"/>
    <w:rsid w:val="003C02C6"/>
    <w:rsid w:val="003C02CE"/>
    <w:rsid w:val="003C0300"/>
    <w:rsid w:val="003C031B"/>
    <w:rsid w:val="003C0330"/>
    <w:rsid w:val="003C0336"/>
    <w:rsid w:val="003C033C"/>
    <w:rsid w:val="003C0345"/>
    <w:rsid w:val="003C0357"/>
    <w:rsid w:val="003C0368"/>
    <w:rsid w:val="003C036D"/>
    <w:rsid w:val="003C03A3"/>
    <w:rsid w:val="003C03AD"/>
    <w:rsid w:val="003C03ED"/>
    <w:rsid w:val="003C0431"/>
    <w:rsid w:val="003C04BF"/>
    <w:rsid w:val="003C04CA"/>
    <w:rsid w:val="003C0524"/>
    <w:rsid w:val="003C0597"/>
    <w:rsid w:val="003C06D6"/>
    <w:rsid w:val="003C07EA"/>
    <w:rsid w:val="003C0842"/>
    <w:rsid w:val="003C086A"/>
    <w:rsid w:val="003C08D8"/>
    <w:rsid w:val="003C08F4"/>
    <w:rsid w:val="003C0994"/>
    <w:rsid w:val="003C09A4"/>
    <w:rsid w:val="003C0A2D"/>
    <w:rsid w:val="003C0A64"/>
    <w:rsid w:val="003C0C41"/>
    <w:rsid w:val="003C0C90"/>
    <w:rsid w:val="003C0CC5"/>
    <w:rsid w:val="003C0D1E"/>
    <w:rsid w:val="003C0DB4"/>
    <w:rsid w:val="003C0E08"/>
    <w:rsid w:val="003C0E78"/>
    <w:rsid w:val="003C0ED1"/>
    <w:rsid w:val="003C0EF9"/>
    <w:rsid w:val="003C0F21"/>
    <w:rsid w:val="003C0F3E"/>
    <w:rsid w:val="003C0F53"/>
    <w:rsid w:val="003C0F74"/>
    <w:rsid w:val="003C0FBE"/>
    <w:rsid w:val="003C0FC2"/>
    <w:rsid w:val="003C0FF2"/>
    <w:rsid w:val="003C108A"/>
    <w:rsid w:val="003C1095"/>
    <w:rsid w:val="003C10A2"/>
    <w:rsid w:val="003C10BF"/>
    <w:rsid w:val="003C10E7"/>
    <w:rsid w:val="003C10F6"/>
    <w:rsid w:val="003C1173"/>
    <w:rsid w:val="003C118D"/>
    <w:rsid w:val="003C11DD"/>
    <w:rsid w:val="003C1257"/>
    <w:rsid w:val="003C125E"/>
    <w:rsid w:val="003C1271"/>
    <w:rsid w:val="003C127B"/>
    <w:rsid w:val="003C1284"/>
    <w:rsid w:val="003C12A5"/>
    <w:rsid w:val="003C12F4"/>
    <w:rsid w:val="003C133E"/>
    <w:rsid w:val="003C13CE"/>
    <w:rsid w:val="003C13E1"/>
    <w:rsid w:val="003C13E4"/>
    <w:rsid w:val="003C14C2"/>
    <w:rsid w:val="003C14FB"/>
    <w:rsid w:val="003C154D"/>
    <w:rsid w:val="003C159A"/>
    <w:rsid w:val="003C15A8"/>
    <w:rsid w:val="003C15AA"/>
    <w:rsid w:val="003C15E4"/>
    <w:rsid w:val="003C15F7"/>
    <w:rsid w:val="003C1643"/>
    <w:rsid w:val="003C1674"/>
    <w:rsid w:val="003C1677"/>
    <w:rsid w:val="003C16A3"/>
    <w:rsid w:val="003C16AB"/>
    <w:rsid w:val="003C16B2"/>
    <w:rsid w:val="003C1729"/>
    <w:rsid w:val="003C1733"/>
    <w:rsid w:val="003C177A"/>
    <w:rsid w:val="003C1796"/>
    <w:rsid w:val="003C17A7"/>
    <w:rsid w:val="003C1936"/>
    <w:rsid w:val="003C1978"/>
    <w:rsid w:val="003C19B8"/>
    <w:rsid w:val="003C1A1C"/>
    <w:rsid w:val="003C1A25"/>
    <w:rsid w:val="003C1A71"/>
    <w:rsid w:val="003C1AA6"/>
    <w:rsid w:val="003C1AF0"/>
    <w:rsid w:val="003C1B30"/>
    <w:rsid w:val="003C1B58"/>
    <w:rsid w:val="003C1B8C"/>
    <w:rsid w:val="003C1BA0"/>
    <w:rsid w:val="003C1BC9"/>
    <w:rsid w:val="003C1C8D"/>
    <w:rsid w:val="003C1C8F"/>
    <w:rsid w:val="003C1D09"/>
    <w:rsid w:val="003C1D53"/>
    <w:rsid w:val="003C1D58"/>
    <w:rsid w:val="003C1D7A"/>
    <w:rsid w:val="003C1D9E"/>
    <w:rsid w:val="003C1DB1"/>
    <w:rsid w:val="003C1E20"/>
    <w:rsid w:val="003C1E5C"/>
    <w:rsid w:val="003C1E61"/>
    <w:rsid w:val="003C1E6F"/>
    <w:rsid w:val="003C1E73"/>
    <w:rsid w:val="003C1EBE"/>
    <w:rsid w:val="003C1EF9"/>
    <w:rsid w:val="003C1F07"/>
    <w:rsid w:val="003C1F16"/>
    <w:rsid w:val="003C1F85"/>
    <w:rsid w:val="003C1F95"/>
    <w:rsid w:val="003C1F99"/>
    <w:rsid w:val="003C1FA7"/>
    <w:rsid w:val="003C1FC0"/>
    <w:rsid w:val="003C1FD7"/>
    <w:rsid w:val="003C1FE4"/>
    <w:rsid w:val="003C205C"/>
    <w:rsid w:val="003C20D3"/>
    <w:rsid w:val="003C2133"/>
    <w:rsid w:val="003C2150"/>
    <w:rsid w:val="003C2157"/>
    <w:rsid w:val="003C217F"/>
    <w:rsid w:val="003C221F"/>
    <w:rsid w:val="003C2295"/>
    <w:rsid w:val="003C22E9"/>
    <w:rsid w:val="003C2329"/>
    <w:rsid w:val="003C2393"/>
    <w:rsid w:val="003C23A9"/>
    <w:rsid w:val="003C23C0"/>
    <w:rsid w:val="003C2414"/>
    <w:rsid w:val="003C2436"/>
    <w:rsid w:val="003C2443"/>
    <w:rsid w:val="003C249E"/>
    <w:rsid w:val="003C24A4"/>
    <w:rsid w:val="003C24C2"/>
    <w:rsid w:val="003C24DA"/>
    <w:rsid w:val="003C258B"/>
    <w:rsid w:val="003C2648"/>
    <w:rsid w:val="003C2694"/>
    <w:rsid w:val="003C26AD"/>
    <w:rsid w:val="003C26B7"/>
    <w:rsid w:val="003C26B9"/>
    <w:rsid w:val="003C272D"/>
    <w:rsid w:val="003C2755"/>
    <w:rsid w:val="003C2768"/>
    <w:rsid w:val="003C279C"/>
    <w:rsid w:val="003C27DF"/>
    <w:rsid w:val="003C27ED"/>
    <w:rsid w:val="003C286A"/>
    <w:rsid w:val="003C2890"/>
    <w:rsid w:val="003C28D2"/>
    <w:rsid w:val="003C28F2"/>
    <w:rsid w:val="003C2946"/>
    <w:rsid w:val="003C297A"/>
    <w:rsid w:val="003C2AD4"/>
    <w:rsid w:val="003C2B1E"/>
    <w:rsid w:val="003C2BB1"/>
    <w:rsid w:val="003C2BBF"/>
    <w:rsid w:val="003C2C11"/>
    <w:rsid w:val="003C2C4A"/>
    <w:rsid w:val="003C2C7F"/>
    <w:rsid w:val="003C2D4E"/>
    <w:rsid w:val="003C2E03"/>
    <w:rsid w:val="003C2E60"/>
    <w:rsid w:val="003C2E9E"/>
    <w:rsid w:val="003C2E9F"/>
    <w:rsid w:val="003C2EA6"/>
    <w:rsid w:val="003C2EBF"/>
    <w:rsid w:val="003C2EC3"/>
    <w:rsid w:val="003C2EED"/>
    <w:rsid w:val="003C2FBC"/>
    <w:rsid w:val="003C3008"/>
    <w:rsid w:val="003C3020"/>
    <w:rsid w:val="003C3036"/>
    <w:rsid w:val="003C30BE"/>
    <w:rsid w:val="003C30C3"/>
    <w:rsid w:val="003C30DE"/>
    <w:rsid w:val="003C313C"/>
    <w:rsid w:val="003C31BF"/>
    <w:rsid w:val="003C31C9"/>
    <w:rsid w:val="003C31F2"/>
    <w:rsid w:val="003C3279"/>
    <w:rsid w:val="003C32E2"/>
    <w:rsid w:val="003C32F4"/>
    <w:rsid w:val="003C330A"/>
    <w:rsid w:val="003C331B"/>
    <w:rsid w:val="003C334B"/>
    <w:rsid w:val="003C33A0"/>
    <w:rsid w:val="003C33AC"/>
    <w:rsid w:val="003C33F2"/>
    <w:rsid w:val="003C3446"/>
    <w:rsid w:val="003C3470"/>
    <w:rsid w:val="003C34C6"/>
    <w:rsid w:val="003C34E6"/>
    <w:rsid w:val="003C352B"/>
    <w:rsid w:val="003C3535"/>
    <w:rsid w:val="003C3571"/>
    <w:rsid w:val="003C3639"/>
    <w:rsid w:val="003C364E"/>
    <w:rsid w:val="003C3690"/>
    <w:rsid w:val="003C3695"/>
    <w:rsid w:val="003C36BD"/>
    <w:rsid w:val="003C3704"/>
    <w:rsid w:val="003C3737"/>
    <w:rsid w:val="003C376D"/>
    <w:rsid w:val="003C37A0"/>
    <w:rsid w:val="003C3852"/>
    <w:rsid w:val="003C3897"/>
    <w:rsid w:val="003C38CF"/>
    <w:rsid w:val="003C392D"/>
    <w:rsid w:val="003C3960"/>
    <w:rsid w:val="003C3993"/>
    <w:rsid w:val="003C39C6"/>
    <w:rsid w:val="003C39D9"/>
    <w:rsid w:val="003C39F7"/>
    <w:rsid w:val="003C3A0F"/>
    <w:rsid w:val="003C3A36"/>
    <w:rsid w:val="003C3A40"/>
    <w:rsid w:val="003C3AA1"/>
    <w:rsid w:val="003C3AB3"/>
    <w:rsid w:val="003C3AE5"/>
    <w:rsid w:val="003C3AEA"/>
    <w:rsid w:val="003C3B89"/>
    <w:rsid w:val="003C3BDA"/>
    <w:rsid w:val="003C3BDD"/>
    <w:rsid w:val="003C3C07"/>
    <w:rsid w:val="003C3C40"/>
    <w:rsid w:val="003C3C58"/>
    <w:rsid w:val="003C3C9E"/>
    <w:rsid w:val="003C3CBF"/>
    <w:rsid w:val="003C3CD7"/>
    <w:rsid w:val="003C3D5E"/>
    <w:rsid w:val="003C3E64"/>
    <w:rsid w:val="003C3E79"/>
    <w:rsid w:val="003C3EFB"/>
    <w:rsid w:val="003C3F2A"/>
    <w:rsid w:val="003C3F2B"/>
    <w:rsid w:val="003C3F7E"/>
    <w:rsid w:val="003C3F94"/>
    <w:rsid w:val="003C3F96"/>
    <w:rsid w:val="003C3FD7"/>
    <w:rsid w:val="003C3FE6"/>
    <w:rsid w:val="003C4044"/>
    <w:rsid w:val="003C409B"/>
    <w:rsid w:val="003C40C6"/>
    <w:rsid w:val="003C411D"/>
    <w:rsid w:val="003C4155"/>
    <w:rsid w:val="003C415C"/>
    <w:rsid w:val="003C41A1"/>
    <w:rsid w:val="003C41EF"/>
    <w:rsid w:val="003C420F"/>
    <w:rsid w:val="003C4236"/>
    <w:rsid w:val="003C423E"/>
    <w:rsid w:val="003C4269"/>
    <w:rsid w:val="003C4271"/>
    <w:rsid w:val="003C42B1"/>
    <w:rsid w:val="003C4325"/>
    <w:rsid w:val="003C4327"/>
    <w:rsid w:val="003C43EF"/>
    <w:rsid w:val="003C4446"/>
    <w:rsid w:val="003C444C"/>
    <w:rsid w:val="003C4470"/>
    <w:rsid w:val="003C449C"/>
    <w:rsid w:val="003C44A2"/>
    <w:rsid w:val="003C44C8"/>
    <w:rsid w:val="003C44FB"/>
    <w:rsid w:val="003C450B"/>
    <w:rsid w:val="003C4587"/>
    <w:rsid w:val="003C45BC"/>
    <w:rsid w:val="003C45D9"/>
    <w:rsid w:val="003C45FA"/>
    <w:rsid w:val="003C4639"/>
    <w:rsid w:val="003C4670"/>
    <w:rsid w:val="003C468B"/>
    <w:rsid w:val="003C46AC"/>
    <w:rsid w:val="003C4875"/>
    <w:rsid w:val="003C48FB"/>
    <w:rsid w:val="003C4971"/>
    <w:rsid w:val="003C49BD"/>
    <w:rsid w:val="003C4A0F"/>
    <w:rsid w:val="003C4A2E"/>
    <w:rsid w:val="003C4A52"/>
    <w:rsid w:val="003C4A80"/>
    <w:rsid w:val="003C4A97"/>
    <w:rsid w:val="003C4AAF"/>
    <w:rsid w:val="003C4AD9"/>
    <w:rsid w:val="003C4B2F"/>
    <w:rsid w:val="003C4B3F"/>
    <w:rsid w:val="003C4BA4"/>
    <w:rsid w:val="003C4BCD"/>
    <w:rsid w:val="003C4BE0"/>
    <w:rsid w:val="003C4C05"/>
    <w:rsid w:val="003C4C22"/>
    <w:rsid w:val="003C4C7A"/>
    <w:rsid w:val="003C4D9F"/>
    <w:rsid w:val="003C4DE6"/>
    <w:rsid w:val="003C4E1C"/>
    <w:rsid w:val="003C4E9C"/>
    <w:rsid w:val="003C4EEF"/>
    <w:rsid w:val="003C4F22"/>
    <w:rsid w:val="003C4F62"/>
    <w:rsid w:val="003C4FA8"/>
    <w:rsid w:val="003C4FF8"/>
    <w:rsid w:val="003C501B"/>
    <w:rsid w:val="003C504A"/>
    <w:rsid w:val="003C5091"/>
    <w:rsid w:val="003C50DF"/>
    <w:rsid w:val="003C5147"/>
    <w:rsid w:val="003C516C"/>
    <w:rsid w:val="003C51A9"/>
    <w:rsid w:val="003C51AD"/>
    <w:rsid w:val="003C51ED"/>
    <w:rsid w:val="003C521D"/>
    <w:rsid w:val="003C5285"/>
    <w:rsid w:val="003C52BF"/>
    <w:rsid w:val="003C52CA"/>
    <w:rsid w:val="003C530F"/>
    <w:rsid w:val="003C532A"/>
    <w:rsid w:val="003C53A2"/>
    <w:rsid w:val="003C53DA"/>
    <w:rsid w:val="003C54C9"/>
    <w:rsid w:val="003C54E8"/>
    <w:rsid w:val="003C54EB"/>
    <w:rsid w:val="003C5533"/>
    <w:rsid w:val="003C55D4"/>
    <w:rsid w:val="003C5674"/>
    <w:rsid w:val="003C56EC"/>
    <w:rsid w:val="003C56F5"/>
    <w:rsid w:val="003C56F9"/>
    <w:rsid w:val="003C5725"/>
    <w:rsid w:val="003C57AD"/>
    <w:rsid w:val="003C57D0"/>
    <w:rsid w:val="003C580A"/>
    <w:rsid w:val="003C5841"/>
    <w:rsid w:val="003C5847"/>
    <w:rsid w:val="003C586F"/>
    <w:rsid w:val="003C587A"/>
    <w:rsid w:val="003C587E"/>
    <w:rsid w:val="003C5899"/>
    <w:rsid w:val="003C58C5"/>
    <w:rsid w:val="003C58D4"/>
    <w:rsid w:val="003C5920"/>
    <w:rsid w:val="003C5969"/>
    <w:rsid w:val="003C5977"/>
    <w:rsid w:val="003C5A23"/>
    <w:rsid w:val="003C5ACD"/>
    <w:rsid w:val="003C5B32"/>
    <w:rsid w:val="003C5BF3"/>
    <w:rsid w:val="003C5C25"/>
    <w:rsid w:val="003C5C5C"/>
    <w:rsid w:val="003C5C84"/>
    <w:rsid w:val="003C5C99"/>
    <w:rsid w:val="003C5CF4"/>
    <w:rsid w:val="003C5D1F"/>
    <w:rsid w:val="003C5D4B"/>
    <w:rsid w:val="003C5DD0"/>
    <w:rsid w:val="003C5E74"/>
    <w:rsid w:val="003C5E86"/>
    <w:rsid w:val="003C5EAA"/>
    <w:rsid w:val="003C5ECC"/>
    <w:rsid w:val="003C5FF0"/>
    <w:rsid w:val="003C6044"/>
    <w:rsid w:val="003C6089"/>
    <w:rsid w:val="003C60CD"/>
    <w:rsid w:val="003C60D4"/>
    <w:rsid w:val="003C615C"/>
    <w:rsid w:val="003C62A3"/>
    <w:rsid w:val="003C62AD"/>
    <w:rsid w:val="003C62F7"/>
    <w:rsid w:val="003C636A"/>
    <w:rsid w:val="003C63DD"/>
    <w:rsid w:val="003C641C"/>
    <w:rsid w:val="003C6448"/>
    <w:rsid w:val="003C6497"/>
    <w:rsid w:val="003C65D0"/>
    <w:rsid w:val="003C65ED"/>
    <w:rsid w:val="003C6680"/>
    <w:rsid w:val="003C6690"/>
    <w:rsid w:val="003C66C7"/>
    <w:rsid w:val="003C6747"/>
    <w:rsid w:val="003C675A"/>
    <w:rsid w:val="003C67D8"/>
    <w:rsid w:val="003C6882"/>
    <w:rsid w:val="003C68E5"/>
    <w:rsid w:val="003C6957"/>
    <w:rsid w:val="003C69D5"/>
    <w:rsid w:val="003C69DE"/>
    <w:rsid w:val="003C69E4"/>
    <w:rsid w:val="003C6A22"/>
    <w:rsid w:val="003C6A3D"/>
    <w:rsid w:val="003C6AE2"/>
    <w:rsid w:val="003C6BB7"/>
    <w:rsid w:val="003C6BE8"/>
    <w:rsid w:val="003C6C1F"/>
    <w:rsid w:val="003C6C2E"/>
    <w:rsid w:val="003C6C3E"/>
    <w:rsid w:val="003C6C40"/>
    <w:rsid w:val="003C6C7A"/>
    <w:rsid w:val="003C6C92"/>
    <w:rsid w:val="003C6CF9"/>
    <w:rsid w:val="003C6DA7"/>
    <w:rsid w:val="003C6DAA"/>
    <w:rsid w:val="003C6DBE"/>
    <w:rsid w:val="003C6DF1"/>
    <w:rsid w:val="003C6DFE"/>
    <w:rsid w:val="003C6E11"/>
    <w:rsid w:val="003C6E4F"/>
    <w:rsid w:val="003C6EA8"/>
    <w:rsid w:val="003C6EDE"/>
    <w:rsid w:val="003C6F62"/>
    <w:rsid w:val="003C6F95"/>
    <w:rsid w:val="003C6FF9"/>
    <w:rsid w:val="003C706E"/>
    <w:rsid w:val="003C7094"/>
    <w:rsid w:val="003C70E2"/>
    <w:rsid w:val="003C710B"/>
    <w:rsid w:val="003C7139"/>
    <w:rsid w:val="003C7162"/>
    <w:rsid w:val="003C7196"/>
    <w:rsid w:val="003C7197"/>
    <w:rsid w:val="003C71B3"/>
    <w:rsid w:val="003C71E6"/>
    <w:rsid w:val="003C7299"/>
    <w:rsid w:val="003C729A"/>
    <w:rsid w:val="003C72CB"/>
    <w:rsid w:val="003C736F"/>
    <w:rsid w:val="003C73BD"/>
    <w:rsid w:val="003C7485"/>
    <w:rsid w:val="003C74ED"/>
    <w:rsid w:val="003C75AF"/>
    <w:rsid w:val="003C7673"/>
    <w:rsid w:val="003C7697"/>
    <w:rsid w:val="003C7698"/>
    <w:rsid w:val="003C76CA"/>
    <w:rsid w:val="003C7705"/>
    <w:rsid w:val="003C7727"/>
    <w:rsid w:val="003C7743"/>
    <w:rsid w:val="003C7777"/>
    <w:rsid w:val="003C77CB"/>
    <w:rsid w:val="003C7837"/>
    <w:rsid w:val="003C7880"/>
    <w:rsid w:val="003C7912"/>
    <w:rsid w:val="003C793F"/>
    <w:rsid w:val="003C79A2"/>
    <w:rsid w:val="003C79B7"/>
    <w:rsid w:val="003C79D0"/>
    <w:rsid w:val="003C79DB"/>
    <w:rsid w:val="003C7A33"/>
    <w:rsid w:val="003C7A89"/>
    <w:rsid w:val="003C7AB9"/>
    <w:rsid w:val="003C7B92"/>
    <w:rsid w:val="003C7BEE"/>
    <w:rsid w:val="003C7BFC"/>
    <w:rsid w:val="003C7C7B"/>
    <w:rsid w:val="003C7C9C"/>
    <w:rsid w:val="003C7CE3"/>
    <w:rsid w:val="003C7CEB"/>
    <w:rsid w:val="003C7CF6"/>
    <w:rsid w:val="003C7D13"/>
    <w:rsid w:val="003C7D21"/>
    <w:rsid w:val="003C7D4E"/>
    <w:rsid w:val="003C7D61"/>
    <w:rsid w:val="003C7D9D"/>
    <w:rsid w:val="003C7DBF"/>
    <w:rsid w:val="003C7DDE"/>
    <w:rsid w:val="003C7E4E"/>
    <w:rsid w:val="003C7E95"/>
    <w:rsid w:val="003C7EB8"/>
    <w:rsid w:val="003C7EFA"/>
    <w:rsid w:val="003C7F01"/>
    <w:rsid w:val="003C7F11"/>
    <w:rsid w:val="003D0043"/>
    <w:rsid w:val="003D005B"/>
    <w:rsid w:val="003D007E"/>
    <w:rsid w:val="003D00A7"/>
    <w:rsid w:val="003D0168"/>
    <w:rsid w:val="003D019C"/>
    <w:rsid w:val="003D01D9"/>
    <w:rsid w:val="003D01EB"/>
    <w:rsid w:val="003D0242"/>
    <w:rsid w:val="003D0255"/>
    <w:rsid w:val="003D0291"/>
    <w:rsid w:val="003D0340"/>
    <w:rsid w:val="003D0396"/>
    <w:rsid w:val="003D0426"/>
    <w:rsid w:val="003D04F1"/>
    <w:rsid w:val="003D053B"/>
    <w:rsid w:val="003D054D"/>
    <w:rsid w:val="003D0598"/>
    <w:rsid w:val="003D05AF"/>
    <w:rsid w:val="003D05D1"/>
    <w:rsid w:val="003D060D"/>
    <w:rsid w:val="003D064F"/>
    <w:rsid w:val="003D0743"/>
    <w:rsid w:val="003D075A"/>
    <w:rsid w:val="003D079C"/>
    <w:rsid w:val="003D07BF"/>
    <w:rsid w:val="003D081F"/>
    <w:rsid w:val="003D0833"/>
    <w:rsid w:val="003D08A3"/>
    <w:rsid w:val="003D08C6"/>
    <w:rsid w:val="003D08E6"/>
    <w:rsid w:val="003D093C"/>
    <w:rsid w:val="003D098A"/>
    <w:rsid w:val="003D0B0C"/>
    <w:rsid w:val="003D0B28"/>
    <w:rsid w:val="003D0BAE"/>
    <w:rsid w:val="003D0BBC"/>
    <w:rsid w:val="003D0BF6"/>
    <w:rsid w:val="003D0D06"/>
    <w:rsid w:val="003D0D37"/>
    <w:rsid w:val="003D0DA5"/>
    <w:rsid w:val="003D0DE9"/>
    <w:rsid w:val="003D0E5D"/>
    <w:rsid w:val="003D0E66"/>
    <w:rsid w:val="003D0E99"/>
    <w:rsid w:val="003D0E9B"/>
    <w:rsid w:val="003D0EB4"/>
    <w:rsid w:val="003D0ED2"/>
    <w:rsid w:val="003D0EDE"/>
    <w:rsid w:val="003D0F1E"/>
    <w:rsid w:val="003D0F6E"/>
    <w:rsid w:val="003D0F77"/>
    <w:rsid w:val="003D0FC8"/>
    <w:rsid w:val="003D0FD4"/>
    <w:rsid w:val="003D10E8"/>
    <w:rsid w:val="003D10EA"/>
    <w:rsid w:val="003D1141"/>
    <w:rsid w:val="003D1193"/>
    <w:rsid w:val="003D11D5"/>
    <w:rsid w:val="003D1231"/>
    <w:rsid w:val="003D123C"/>
    <w:rsid w:val="003D123E"/>
    <w:rsid w:val="003D12A0"/>
    <w:rsid w:val="003D134B"/>
    <w:rsid w:val="003D134D"/>
    <w:rsid w:val="003D1352"/>
    <w:rsid w:val="003D1366"/>
    <w:rsid w:val="003D1391"/>
    <w:rsid w:val="003D13FE"/>
    <w:rsid w:val="003D1409"/>
    <w:rsid w:val="003D1422"/>
    <w:rsid w:val="003D1436"/>
    <w:rsid w:val="003D145E"/>
    <w:rsid w:val="003D145F"/>
    <w:rsid w:val="003D1478"/>
    <w:rsid w:val="003D14B3"/>
    <w:rsid w:val="003D14D6"/>
    <w:rsid w:val="003D14FD"/>
    <w:rsid w:val="003D1534"/>
    <w:rsid w:val="003D1537"/>
    <w:rsid w:val="003D15BD"/>
    <w:rsid w:val="003D1623"/>
    <w:rsid w:val="003D162B"/>
    <w:rsid w:val="003D162F"/>
    <w:rsid w:val="003D1687"/>
    <w:rsid w:val="003D1735"/>
    <w:rsid w:val="003D1780"/>
    <w:rsid w:val="003D17D9"/>
    <w:rsid w:val="003D1935"/>
    <w:rsid w:val="003D1945"/>
    <w:rsid w:val="003D19EE"/>
    <w:rsid w:val="003D1A74"/>
    <w:rsid w:val="003D1AC9"/>
    <w:rsid w:val="003D1AEB"/>
    <w:rsid w:val="003D1C13"/>
    <w:rsid w:val="003D1CAF"/>
    <w:rsid w:val="003D1CE1"/>
    <w:rsid w:val="003D1D2D"/>
    <w:rsid w:val="003D1D39"/>
    <w:rsid w:val="003D1D99"/>
    <w:rsid w:val="003D1E25"/>
    <w:rsid w:val="003D1E2D"/>
    <w:rsid w:val="003D1ECD"/>
    <w:rsid w:val="003D1ED5"/>
    <w:rsid w:val="003D1EEA"/>
    <w:rsid w:val="003D1F28"/>
    <w:rsid w:val="003D1F64"/>
    <w:rsid w:val="003D1F7A"/>
    <w:rsid w:val="003D1FBA"/>
    <w:rsid w:val="003D1FD1"/>
    <w:rsid w:val="003D20DD"/>
    <w:rsid w:val="003D2189"/>
    <w:rsid w:val="003D218B"/>
    <w:rsid w:val="003D21B9"/>
    <w:rsid w:val="003D225E"/>
    <w:rsid w:val="003D2285"/>
    <w:rsid w:val="003D22C8"/>
    <w:rsid w:val="003D2336"/>
    <w:rsid w:val="003D2357"/>
    <w:rsid w:val="003D23B4"/>
    <w:rsid w:val="003D24C9"/>
    <w:rsid w:val="003D2548"/>
    <w:rsid w:val="003D25E5"/>
    <w:rsid w:val="003D2656"/>
    <w:rsid w:val="003D26AA"/>
    <w:rsid w:val="003D26BA"/>
    <w:rsid w:val="003D2712"/>
    <w:rsid w:val="003D2731"/>
    <w:rsid w:val="003D273A"/>
    <w:rsid w:val="003D2756"/>
    <w:rsid w:val="003D27E1"/>
    <w:rsid w:val="003D27F3"/>
    <w:rsid w:val="003D28B0"/>
    <w:rsid w:val="003D2901"/>
    <w:rsid w:val="003D2942"/>
    <w:rsid w:val="003D2965"/>
    <w:rsid w:val="003D29DA"/>
    <w:rsid w:val="003D2A25"/>
    <w:rsid w:val="003D2A2D"/>
    <w:rsid w:val="003D2A42"/>
    <w:rsid w:val="003D2AB2"/>
    <w:rsid w:val="003D2B08"/>
    <w:rsid w:val="003D2B46"/>
    <w:rsid w:val="003D2B5D"/>
    <w:rsid w:val="003D2B92"/>
    <w:rsid w:val="003D2B9A"/>
    <w:rsid w:val="003D2BC3"/>
    <w:rsid w:val="003D2BD8"/>
    <w:rsid w:val="003D2BDA"/>
    <w:rsid w:val="003D2CC0"/>
    <w:rsid w:val="003D2D2E"/>
    <w:rsid w:val="003D2D83"/>
    <w:rsid w:val="003D2D96"/>
    <w:rsid w:val="003D2D9D"/>
    <w:rsid w:val="003D2DE9"/>
    <w:rsid w:val="003D2E1A"/>
    <w:rsid w:val="003D2E1F"/>
    <w:rsid w:val="003D2E8E"/>
    <w:rsid w:val="003D2E9A"/>
    <w:rsid w:val="003D2F13"/>
    <w:rsid w:val="003D2F1B"/>
    <w:rsid w:val="003D2FBD"/>
    <w:rsid w:val="003D2FD0"/>
    <w:rsid w:val="003D2FD6"/>
    <w:rsid w:val="003D3070"/>
    <w:rsid w:val="003D30A0"/>
    <w:rsid w:val="003D30C1"/>
    <w:rsid w:val="003D30C2"/>
    <w:rsid w:val="003D3197"/>
    <w:rsid w:val="003D31AA"/>
    <w:rsid w:val="003D31B2"/>
    <w:rsid w:val="003D3220"/>
    <w:rsid w:val="003D3221"/>
    <w:rsid w:val="003D3261"/>
    <w:rsid w:val="003D326D"/>
    <w:rsid w:val="003D327F"/>
    <w:rsid w:val="003D32DA"/>
    <w:rsid w:val="003D330D"/>
    <w:rsid w:val="003D3368"/>
    <w:rsid w:val="003D3397"/>
    <w:rsid w:val="003D3485"/>
    <w:rsid w:val="003D34EB"/>
    <w:rsid w:val="003D3520"/>
    <w:rsid w:val="003D353D"/>
    <w:rsid w:val="003D3556"/>
    <w:rsid w:val="003D355D"/>
    <w:rsid w:val="003D35BE"/>
    <w:rsid w:val="003D3705"/>
    <w:rsid w:val="003D3736"/>
    <w:rsid w:val="003D3895"/>
    <w:rsid w:val="003D38A6"/>
    <w:rsid w:val="003D3999"/>
    <w:rsid w:val="003D3A5D"/>
    <w:rsid w:val="003D3AB2"/>
    <w:rsid w:val="003D3AFB"/>
    <w:rsid w:val="003D3B0C"/>
    <w:rsid w:val="003D3B2C"/>
    <w:rsid w:val="003D3B50"/>
    <w:rsid w:val="003D3B75"/>
    <w:rsid w:val="003D3B82"/>
    <w:rsid w:val="003D3BB0"/>
    <w:rsid w:val="003D3BE7"/>
    <w:rsid w:val="003D3C37"/>
    <w:rsid w:val="003D3CD2"/>
    <w:rsid w:val="003D3CDE"/>
    <w:rsid w:val="003D3D4F"/>
    <w:rsid w:val="003D3D6B"/>
    <w:rsid w:val="003D3DCC"/>
    <w:rsid w:val="003D3DD7"/>
    <w:rsid w:val="003D3E01"/>
    <w:rsid w:val="003D3E93"/>
    <w:rsid w:val="003D3EAB"/>
    <w:rsid w:val="003D3F05"/>
    <w:rsid w:val="003D3F2E"/>
    <w:rsid w:val="003D3FAD"/>
    <w:rsid w:val="003D3FE1"/>
    <w:rsid w:val="003D4000"/>
    <w:rsid w:val="003D4017"/>
    <w:rsid w:val="003D403F"/>
    <w:rsid w:val="003D407F"/>
    <w:rsid w:val="003D40CF"/>
    <w:rsid w:val="003D415E"/>
    <w:rsid w:val="003D416F"/>
    <w:rsid w:val="003D417F"/>
    <w:rsid w:val="003D419B"/>
    <w:rsid w:val="003D41B8"/>
    <w:rsid w:val="003D41D5"/>
    <w:rsid w:val="003D4278"/>
    <w:rsid w:val="003D42CC"/>
    <w:rsid w:val="003D42D6"/>
    <w:rsid w:val="003D43F9"/>
    <w:rsid w:val="003D4429"/>
    <w:rsid w:val="003D443C"/>
    <w:rsid w:val="003D44B1"/>
    <w:rsid w:val="003D4515"/>
    <w:rsid w:val="003D454A"/>
    <w:rsid w:val="003D4795"/>
    <w:rsid w:val="003D4798"/>
    <w:rsid w:val="003D4861"/>
    <w:rsid w:val="003D48A9"/>
    <w:rsid w:val="003D48F4"/>
    <w:rsid w:val="003D48F6"/>
    <w:rsid w:val="003D4A92"/>
    <w:rsid w:val="003D4AE6"/>
    <w:rsid w:val="003D4B15"/>
    <w:rsid w:val="003D4B43"/>
    <w:rsid w:val="003D4B77"/>
    <w:rsid w:val="003D4BB4"/>
    <w:rsid w:val="003D4BC9"/>
    <w:rsid w:val="003D4C39"/>
    <w:rsid w:val="003D4C64"/>
    <w:rsid w:val="003D4C6A"/>
    <w:rsid w:val="003D4CB3"/>
    <w:rsid w:val="003D4D66"/>
    <w:rsid w:val="003D4DBC"/>
    <w:rsid w:val="003D4E2E"/>
    <w:rsid w:val="003D4E4D"/>
    <w:rsid w:val="003D4E5C"/>
    <w:rsid w:val="003D4EBB"/>
    <w:rsid w:val="003D4F1D"/>
    <w:rsid w:val="003D4F3E"/>
    <w:rsid w:val="003D4F41"/>
    <w:rsid w:val="003D4FCB"/>
    <w:rsid w:val="003D4FCC"/>
    <w:rsid w:val="003D4FE7"/>
    <w:rsid w:val="003D509F"/>
    <w:rsid w:val="003D50F6"/>
    <w:rsid w:val="003D5119"/>
    <w:rsid w:val="003D51D7"/>
    <w:rsid w:val="003D51DE"/>
    <w:rsid w:val="003D5200"/>
    <w:rsid w:val="003D5223"/>
    <w:rsid w:val="003D5227"/>
    <w:rsid w:val="003D5296"/>
    <w:rsid w:val="003D53D4"/>
    <w:rsid w:val="003D542D"/>
    <w:rsid w:val="003D5446"/>
    <w:rsid w:val="003D549D"/>
    <w:rsid w:val="003D5510"/>
    <w:rsid w:val="003D5535"/>
    <w:rsid w:val="003D5546"/>
    <w:rsid w:val="003D5553"/>
    <w:rsid w:val="003D5556"/>
    <w:rsid w:val="003D55BA"/>
    <w:rsid w:val="003D5606"/>
    <w:rsid w:val="003D5629"/>
    <w:rsid w:val="003D5683"/>
    <w:rsid w:val="003D5697"/>
    <w:rsid w:val="003D571C"/>
    <w:rsid w:val="003D5721"/>
    <w:rsid w:val="003D57B8"/>
    <w:rsid w:val="003D57DC"/>
    <w:rsid w:val="003D5910"/>
    <w:rsid w:val="003D5915"/>
    <w:rsid w:val="003D5938"/>
    <w:rsid w:val="003D59A7"/>
    <w:rsid w:val="003D5A28"/>
    <w:rsid w:val="003D5A2D"/>
    <w:rsid w:val="003D5A7B"/>
    <w:rsid w:val="003D5ADA"/>
    <w:rsid w:val="003D5AFE"/>
    <w:rsid w:val="003D5B37"/>
    <w:rsid w:val="003D5B52"/>
    <w:rsid w:val="003D5B5A"/>
    <w:rsid w:val="003D5B5B"/>
    <w:rsid w:val="003D5B7E"/>
    <w:rsid w:val="003D5C6C"/>
    <w:rsid w:val="003D5C6D"/>
    <w:rsid w:val="003D5C85"/>
    <w:rsid w:val="003D5DF8"/>
    <w:rsid w:val="003D5DF9"/>
    <w:rsid w:val="003D5E03"/>
    <w:rsid w:val="003D5EE8"/>
    <w:rsid w:val="003D5EFC"/>
    <w:rsid w:val="003D5F19"/>
    <w:rsid w:val="003D5F31"/>
    <w:rsid w:val="003D5F99"/>
    <w:rsid w:val="003D5FD2"/>
    <w:rsid w:val="003D6091"/>
    <w:rsid w:val="003D60A0"/>
    <w:rsid w:val="003D613F"/>
    <w:rsid w:val="003D61D2"/>
    <w:rsid w:val="003D622D"/>
    <w:rsid w:val="003D6233"/>
    <w:rsid w:val="003D624F"/>
    <w:rsid w:val="003D629F"/>
    <w:rsid w:val="003D6324"/>
    <w:rsid w:val="003D6328"/>
    <w:rsid w:val="003D63A5"/>
    <w:rsid w:val="003D63E3"/>
    <w:rsid w:val="003D63E7"/>
    <w:rsid w:val="003D63F8"/>
    <w:rsid w:val="003D6400"/>
    <w:rsid w:val="003D6423"/>
    <w:rsid w:val="003D6449"/>
    <w:rsid w:val="003D6525"/>
    <w:rsid w:val="003D6547"/>
    <w:rsid w:val="003D6584"/>
    <w:rsid w:val="003D659E"/>
    <w:rsid w:val="003D6738"/>
    <w:rsid w:val="003D6780"/>
    <w:rsid w:val="003D679F"/>
    <w:rsid w:val="003D682A"/>
    <w:rsid w:val="003D6869"/>
    <w:rsid w:val="003D6955"/>
    <w:rsid w:val="003D69AF"/>
    <w:rsid w:val="003D6A9D"/>
    <w:rsid w:val="003D6ABD"/>
    <w:rsid w:val="003D6B13"/>
    <w:rsid w:val="003D6B1C"/>
    <w:rsid w:val="003D6B1F"/>
    <w:rsid w:val="003D6BF4"/>
    <w:rsid w:val="003D6C0E"/>
    <w:rsid w:val="003D6C36"/>
    <w:rsid w:val="003D6C94"/>
    <w:rsid w:val="003D6CC9"/>
    <w:rsid w:val="003D6D49"/>
    <w:rsid w:val="003D6D8B"/>
    <w:rsid w:val="003D6DEA"/>
    <w:rsid w:val="003D6E2D"/>
    <w:rsid w:val="003D6F79"/>
    <w:rsid w:val="003D6FB1"/>
    <w:rsid w:val="003D705A"/>
    <w:rsid w:val="003D70D7"/>
    <w:rsid w:val="003D7148"/>
    <w:rsid w:val="003D7159"/>
    <w:rsid w:val="003D71CD"/>
    <w:rsid w:val="003D72CF"/>
    <w:rsid w:val="003D72F7"/>
    <w:rsid w:val="003D73C3"/>
    <w:rsid w:val="003D7415"/>
    <w:rsid w:val="003D74DE"/>
    <w:rsid w:val="003D7500"/>
    <w:rsid w:val="003D75C0"/>
    <w:rsid w:val="003D765D"/>
    <w:rsid w:val="003D76D5"/>
    <w:rsid w:val="003D76D7"/>
    <w:rsid w:val="003D7719"/>
    <w:rsid w:val="003D774D"/>
    <w:rsid w:val="003D77DA"/>
    <w:rsid w:val="003D788D"/>
    <w:rsid w:val="003D78EB"/>
    <w:rsid w:val="003D79AE"/>
    <w:rsid w:val="003D79C2"/>
    <w:rsid w:val="003D7A32"/>
    <w:rsid w:val="003D7A6C"/>
    <w:rsid w:val="003D7AEE"/>
    <w:rsid w:val="003D7B1D"/>
    <w:rsid w:val="003D7BFC"/>
    <w:rsid w:val="003D7C45"/>
    <w:rsid w:val="003D7C7C"/>
    <w:rsid w:val="003D7C8E"/>
    <w:rsid w:val="003D7D19"/>
    <w:rsid w:val="003D7D75"/>
    <w:rsid w:val="003D7DA4"/>
    <w:rsid w:val="003D7DE8"/>
    <w:rsid w:val="003D7E70"/>
    <w:rsid w:val="003D7EA7"/>
    <w:rsid w:val="003D7F01"/>
    <w:rsid w:val="003D7F56"/>
    <w:rsid w:val="003D7F95"/>
    <w:rsid w:val="003D7FAB"/>
    <w:rsid w:val="003E0072"/>
    <w:rsid w:val="003E0099"/>
    <w:rsid w:val="003E017B"/>
    <w:rsid w:val="003E01FE"/>
    <w:rsid w:val="003E0222"/>
    <w:rsid w:val="003E0225"/>
    <w:rsid w:val="003E027D"/>
    <w:rsid w:val="003E029A"/>
    <w:rsid w:val="003E02D5"/>
    <w:rsid w:val="003E02F4"/>
    <w:rsid w:val="003E038F"/>
    <w:rsid w:val="003E03AA"/>
    <w:rsid w:val="003E0406"/>
    <w:rsid w:val="003E0412"/>
    <w:rsid w:val="003E04BE"/>
    <w:rsid w:val="003E0566"/>
    <w:rsid w:val="003E057E"/>
    <w:rsid w:val="003E0597"/>
    <w:rsid w:val="003E05A6"/>
    <w:rsid w:val="003E0639"/>
    <w:rsid w:val="003E064E"/>
    <w:rsid w:val="003E06E1"/>
    <w:rsid w:val="003E0768"/>
    <w:rsid w:val="003E077C"/>
    <w:rsid w:val="003E07C2"/>
    <w:rsid w:val="003E07C3"/>
    <w:rsid w:val="003E07EF"/>
    <w:rsid w:val="003E07F1"/>
    <w:rsid w:val="003E07FE"/>
    <w:rsid w:val="003E0803"/>
    <w:rsid w:val="003E0844"/>
    <w:rsid w:val="003E086B"/>
    <w:rsid w:val="003E08E2"/>
    <w:rsid w:val="003E08E5"/>
    <w:rsid w:val="003E0905"/>
    <w:rsid w:val="003E0910"/>
    <w:rsid w:val="003E0929"/>
    <w:rsid w:val="003E0937"/>
    <w:rsid w:val="003E093F"/>
    <w:rsid w:val="003E094E"/>
    <w:rsid w:val="003E096A"/>
    <w:rsid w:val="003E09E4"/>
    <w:rsid w:val="003E0A18"/>
    <w:rsid w:val="003E0AB4"/>
    <w:rsid w:val="003E0ADB"/>
    <w:rsid w:val="003E0B56"/>
    <w:rsid w:val="003E0BCC"/>
    <w:rsid w:val="003E0BD4"/>
    <w:rsid w:val="003E0BDB"/>
    <w:rsid w:val="003E0BFA"/>
    <w:rsid w:val="003E0C41"/>
    <w:rsid w:val="003E0C84"/>
    <w:rsid w:val="003E0C98"/>
    <w:rsid w:val="003E0CDC"/>
    <w:rsid w:val="003E0D0A"/>
    <w:rsid w:val="003E0D10"/>
    <w:rsid w:val="003E0D1C"/>
    <w:rsid w:val="003E0D54"/>
    <w:rsid w:val="003E0D82"/>
    <w:rsid w:val="003E0D83"/>
    <w:rsid w:val="003E0D9E"/>
    <w:rsid w:val="003E0E2F"/>
    <w:rsid w:val="003E0E3B"/>
    <w:rsid w:val="003E0E49"/>
    <w:rsid w:val="003E0E54"/>
    <w:rsid w:val="003E0EFB"/>
    <w:rsid w:val="003E0F22"/>
    <w:rsid w:val="003E0F3C"/>
    <w:rsid w:val="003E0F69"/>
    <w:rsid w:val="003E0FB7"/>
    <w:rsid w:val="003E105A"/>
    <w:rsid w:val="003E113A"/>
    <w:rsid w:val="003E1147"/>
    <w:rsid w:val="003E115A"/>
    <w:rsid w:val="003E116D"/>
    <w:rsid w:val="003E1178"/>
    <w:rsid w:val="003E11B6"/>
    <w:rsid w:val="003E1222"/>
    <w:rsid w:val="003E1294"/>
    <w:rsid w:val="003E12F3"/>
    <w:rsid w:val="003E12F4"/>
    <w:rsid w:val="003E136B"/>
    <w:rsid w:val="003E138D"/>
    <w:rsid w:val="003E13DB"/>
    <w:rsid w:val="003E144B"/>
    <w:rsid w:val="003E1475"/>
    <w:rsid w:val="003E14BE"/>
    <w:rsid w:val="003E14C4"/>
    <w:rsid w:val="003E14EC"/>
    <w:rsid w:val="003E1506"/>
    <w:rsid w:val="003E15AC"/>
    <w:rsid w:val="003E15F2"/>
    <w:rsid w:val="003E1617"/>
    <w:rsid w:val="003E1618"/>
    <w:rsid w:val="003E1696"/>
    <w:rsid w:val="003E16B1"/>
    <w:rsid w:val="003E16C8"/>
    <w:rsid w:val="003E1786"/>
    <w:rsid w:val="003E17F8"/>
    <w:rsid w:val="003E181E"/>
    <w:rsid w:val="003E1839"/>
    <w:rsid w:val="003E18D1"/>
    <w:rsid w:val="003E1932"/>
    <w:rsid w:val="003E196C"/>
    <w:rsid w:val="003E199D"/>
    <w:rsid w:val="003E19DA"/>
    <w:rsid w:val="003E1A3F"/>
    <w:rsid w:val="003E1A79"/>
    <w:rsid w:val="003E1AB1"/>
    <w:rsid w:val="003E1AB9"/>
    <w:rsid w:val="003E1B10"/>
    <w:rsid w:val="003E1B1A"/>
    <w:rsid w:val="003E1B98"/>
    <w:rsid w:val="003E1C00"/>
    <w:rsid w:val="003E1C12"/>
    <w:rsid w:val="003E1C4E"/>
    <w:rsid w:val="003E1C6E"/>
    <w:rsid w:val="003E1CA0"/>
    <w:rsid w:val="003E1CE5"/>
    <w:rsid w:val="003E1D61"/>
    <w:rsid w:val="003E1D69"/>
    <w:rsid w:val="003E1E7A"/>
    <w:rsid w:val="003E1F3A"/>
    <w:rsid w:val="003E1F80"/>
    <w:rsid w:val="003E1FBA"/>
    <w:rsid w:val="003E2044"/>
    <w:rsid w:val="003E20C0"/>
    <w:rsid w:val="003E2133"/>
    <w:rsid w:val="003E219E"/>
    <w:rsid w:val="003E21A9"/>
    <w:rsid w:val="003E21D0"/>
    <w:rsid w:val="003E2204"/>
    <w:rsid w:val="003E227F"/>
    <w:rsid w:val="003E22F0"/>
    <w:rsid w:val="003E239D"/>
    <w:rsid w:val="003E23A0"/>
    <w:rsid w:val="003E241D"/>
    <w:rsid w:val="003E2458"/>
    <w:rsid w:val="003E249C"/>
    <w:rsid w:val="003E24AB"/>
    <w:rsid w:val="003E25B4"/>
    <w:rsid w:val="003E2687"/>
    <w:rsid w:val="003E26E7"/>
    <w:rsid w:val="003E2727"/>
    <w:rsid w:val="003E272D"/>
    <w:rsid w:val="003E2768"/>
    <w:rsid w:val="003E2785"/>
    <w:rsid w:val="003E2787"/>
    <w:rsid w:val="003E280B"/>
    <w:rsid w:val="003E280D"/>
    <w:rsid w:val="003E2843"/>
    <w:rsid w:val="003E288A"/>
    <w:rsid w:val="003E289C"/>
    <w:rsid w:val="003E28F0"/>
    <w:rsid w:val="003E29AB"/>
    <w:rsid w:val="003E29F9"/>
    <w:rsid w:val="003E2A2D"/>
    <w:rsid w:val="003E2ADB"/>
    <w:rsid w:val="003E2AF1"/>
    <w:rsid w:val="003E2B2C"/>
    <w:rsid w:val="003E2B7B"/>
    <w:rsid w:val="003E2B92"/>
    <w:rsid w:val="003E2B99"/>
    <w:rsid w:val="003E2BA4"/>
    <w:rsid w:val="003E2C41"/>
    <w:rsid w:val="003E2D14"/>
    <w:rsid w:val="003E2D25"/>
    <w:rsid w:val="003E2D31"/>
    <w:rsid w:val="003E2D34"/>
    <w:rsid w:val="003E2DC0"/>
    <w:rsid w:val="003E2E20"/>
    <w:rsid w:val="003E2E72"/>
    <w:rsid w:val="003E2E83"/>
    <w:rsid w:val="003E2ECA"/>
    <w:rsid w:val="003E2ED3"/>
    <w:rsid w:val="003E2ED9"/>
    <w:rsid w:val="003E2F38"/>
    <w:rsid w:val="003E2F4D"/>
    <w:rsid w:val="003E2FF8"/>
    <w:rsid w:val="003E3001"/>
    <w:rsid w:val="003E3058"/>
    <w:rsid w:val="003E306A"/>
    <w:rsid w:val="003E306F"/>
    <w:rsid w:val="003E3107"/>
    <w:rsid w:val="003E3112"/>
    <w:rsid w:val="003E319B"/>
    <w:rsid w:val="003E319E"/>
    <w:rsid w:val="003E31CB"/>
    <w:rsid w:val="003E3236"/>
    <w:rsid w:val="003E323C"/>
    <w:rsid w:val="003E32C1"/>
    <w:rsid w:val="003E32EE"/>
    <w:rsid w:val="003E3325"/>
    <w:rsid w:val="003E3330"/>
    <w:rsid w:val="003E3334"/>
    <w:rsid w:val="003E3360"/>
    <w:rsid w:val="003E336F"/>
    <w:rsid w:val="003E33FC"/>
    <w:rsid w:val="003E341E"/>
    <w:rsid w:val="003E34A5"/>
    <w:rsid w:val="003E34A9"/>
    <w:rsid w:val="003E34D8"/>
    <w:rsid w:val="003E34F4"/>
    <w:rsid w:val="003E357E"/>
    <w:rsid w:val="003E35BE"/>
    <w:rsid w:val="003E3694"/>
    <w:rsid w:val="003E3704"/>
    <w:rsid w:val="003E371C"/>
    <w:rsid w:val="003E377D"/>
    <w:rsid w:val="003E3864"/>
    <w:rsid w:val="003E386F"/>
    <w:rsid w:val="003E387F"/>
    <w:rsid w:val="003E38E5"/>
    <w:rsid w:val="003E38F1"/>
    <w:rsid w:val="003E3989"/>
    <w:rsid w:val="003E39B1"/>
    <w:rsid w:val="003E3A0D"/>
    <w:rsid w:val="003E3A5B"/>
    <w:rsid w:val="003E3AA3"/>
    <w:rsid w:val="003E3AE3"/>
    <w:rsid w:val="003E3B22"/>
    <w:rsid w:val="003E3BDD"/>
    <w:rsid w:val="003E3C4E"/>
    <w:rsid w:val="003E3C5C"/>
    <w:rsid w:val="003E3C91"/>
    <w:rsid w:val="003E3C98"/>
    <w:rsid w:val="003E3CE8"/>
    <w:rsid w:val="003E3D4B"/>
    <w:rsid w:val="003E3D51"/>
    <w:rsid w:val="003E3E5D"/>
    <w:rsid w:val="003E3E86"/>
    <w:rsid w:val="003E3EBA"/>
    <w:rsid w:val="003E3EE8"/>
    <w:rsid w:val="003E3F16"/>
    <w:rsid w:val="003E3F23"/>
    <w:rsid w:val="003E3F6F"/>
    <w:rsid w:val="003E3F85"/>
    <w:rsid w:val="003E3FA2"/>
    <w:rsid w:val="003E4082"/>
    <w:rsid w:val="003E4089"/>
    <w:rsid w:val="003E40FD"/>
    <w:rsid w:val="003E4119"/>
    <w:rsid w:val="003E4125"/>
    <w:rsid w:val="003E4165"/>
    <w:rsid w:val="003E41D7"/>
    <w:rsid w:val="003E4307"/>
    <w:rsid w:val="003E4344"/>
    <w:rsid w:val="003E4352"/>
    <w:rsid w:val="003E43B6"/>
    <w:rsid w:val="003E449D"/>
    <w:rsid w:val="003E4548"/>
    <w:rsid w:val="003E455F"/>
    <w:rsid w:val="003E458E"/>
    <w:rsid w:val="003E45DF"/>
    <w:rsid w:val="003E45F2"/>
    <w:rsid w:val="003E4698"/>
    <w:rsid w:val="003E46C2"/>
    <w:rsid w:val="003E46D1"/>
    <w:rsid w:val="003E4758"/>
    <w:rsid w:val="003E47B1"/>
    <w:rsid w:val="003E47ED"/>
    <w:rsid w:val="003E4814"/>
    <w:rsid w:val="003E4878"/>
    <w:rsid w:val="003E48F3"/>
    <w:rsid w:val="003E4934"/>
    <w:rsid w:val="003E4959"/>
    <w:rsid w:val="003E49CD"/>
    <w:rsid w:val="003E49DB"/>
    <w:rsid w:val="003E49F5"/>
    <w:rsid w:val="003E4A17"/>
    <w:rsid w:val="003E4AB0"/>
    <w:rsid w:val="003E4ABC"/>
    <w:rsid w:val="003E4B38"/>
    <w:rsid w:val="003E4B45"/>
    <w:rsid w:val="003E4B6B"/>
    <w:rsid w:val="003E4B6E"/>
    <w:rsid w:val="003E4C18"/>
    <w:rsid w:val="003E4C8C"/>
    <w:rsid w:val="003E4D40"/>
    <w:rsid w:val="003E4DE2"/>
    <w:rsid w:val="003E4E35"/>
    <w:rsid w:val="003E4E60"/>
    <w:rsid w:val="003E4E9C"/>
    <w:rsid w:val="003E4E9E"/>
    <w:rsid w:val="003E4EA2"/>
    <w:rsid w:val="003E4EAD"/>
    <w:rsid w:val="003E4F1F"/>
    <w:rsid w:val="003E4F77"/>
    <w:rsid w:val="003E501B"/>
    <w:rsid w:val="003E5065"/>
    <w:rsid w:val="003E508C"/>
    <w:rsid w:val="003E508E"/>
    <w:rsid w:val="003E5094"/>
    <w:rsid w:val="003E50A5"/>
    <w:rsid w:val="003E50C2"/>
    <w:rsid w:val="003E50C3"/>
    <w:rsid w:val="003E512B"/>
    <w:rsid w:val="003E514E"/>
    <w:rsid w:val="003E5178"/>
    <w:rsid w:val="003E51D0"/>
    <w:rsid w:val="003E51DA"/>
    <w:rsid w:val="003E51EB"/>
    <w:rsid w:val="003E5216"/>
    <w:rsid w:val="003E5221"/>
    <w:rsid w:val="003E5262"/>
    <w:rsid w:val="003E5268"/>
    <w:rsid w:val="003E52A4"/>
    <w:rsid w:val="003E52B9"/>
    <w:rsid w:val="003E52DE"/>
    <w:rsid w:val="003E5307"/>
    <w:rsid w:val="003E534F"/>
    <w:rsid w:val="003E5390"/>
    <w:rsid w:val="003E53EC"/>
    <w:rsid w:val="003E54D0"/>
    <w:rsid w:val="003E54DE"/>
    <w:rsid w:val="003E5530"/>
    <w:rsid w:val="003E559A"/>
    <w:rsid w:val="003E559E"/>
    <w:rsid w:val="003E55A2"/>
    <w:rsid w:val="003E55AC"/>
    <w:rsid w:val="003E55FA"/>
    <w:rsid w:val="003E55FB"/>
    <w:rsid w:val="003E563E"/>
    <w:rsid w:val="003E56A6"/>
    <w:rsid w:val="003E570C"/>
    <w:rsid w:val="003E5723"/>
    <w:rsid w:val="003E57C1"/>
    <w:rsid w:val="003E57C2"/>
    <w:rsid w:val="003E57E0"/>
    <w:rsid w:val="003E5883"/>
    <w:rsid w:val="003E5897"/>
    <w:rsid w:val="003E58B8"/>
    <w:rsid w:val="003E5911"/>
    <w:rsid w:val="003E5913"/>
    <w:rsid w:val="003E5917"/>
    <w:rsid w:val="003E591E"/>
    <w:rsid w:val="003E596E"/>
    <w:rsid w:val="003E5971"/>
    <w:rsid w:val="003E5997"/>
    <w:rsid w:val="003E59D7"/>
    <w:rsid w:val="003E59FF"/>
    <w:rsid w:val="003E5B1D"/>
    <w:rsid w:val="003E5B45"/>
    <w:rsid w:val="003E5C33"/>
    <w:rsid w:val="003E5CB8"/>
    <w:rsid w:val="003E5CD6"/>
    <w:rsid w:val="003E5CDC"/>
    <w:rsid w:val="003E5D7A"/>
    <w:rsid w:val="003E5DE5"/>
    <w:rsid w:val="003E5EFB"/>
    <w:rsid w:val="003E5FAC"/>
    <w:rsid w:val="003E6037"/>
    <w:rsid w:val="003E6083"/>
    <w:rsid w:val="003E60B1"/>
    <w:rsid w:val="003E6247"/>
    <w:rsid w:val="003E62D9"/>
    <w:rsid w:val="003E62E7"/>
    <w:rsid w:val="003E6312"/>
    <w:rsid w:val="003E6379"/>
    <w:rsid w:val="003E6388"/>
    <w:rsid w:val="003E6451"/>
    <w:rsid w:val="003E6454"/>
    <w:rsid w:val="003E64A5"/>
    <w:rsid w:val="003E64C3"/>
    <w:rsid w:val="003E6506"/>
    <w:rsid w:val="003E6569"/>
    <w:rsid w:val="003E6598"/>
    <w:rsid w:val="003E65E1"/>
    <w:rsid w:val="003E6623"/>
    <w:rsid w:val="003E6696"/>
    <w:rsid w:val="003E66A1"/>
    <w:rsid w:val="003E6708"/>
    <w:rsid w:val="003E670A"/>
    <w:rsid w:val="003E673A"/>
    <w:rsid w:val="003E67B4"/>
    <w:rsid w:val="003E67BC"/>
    <w:rsid w:val="003E67D1"/>
    <w:rsid w:val="003E67DF"/>
    <w:rsid w:val="003E67E2"/>
    <w:rsid w:val="003E67EB"/>
    <w:rsid w:val="003E6916"/>
    <w:rsid w:val="003E691A"/>
    <w:rsid w:val="003E697B"/>
    <w:rsid w:val="003E69A0"/>
    <w:rsid w:val="003E69BE"/>
    <w:rsid w:val="003E69C5"/>
    <w:rsid w:val="003E69D2"/>
    <w:rsid w:val="003E69D3"/>
    <w:rsid w:val="003E69F2"/>
    <w:rsid w:val="003E6A02"/>
    <w:rsid w:val="003E6A66"/>
    <w:rsid w:val="003E6A80"/>
    <w:rsid w:val="003E6AA6"/>
    <w:rsid w:val="003E6ABD"/>
    <w:rsid w:val="003E6B96"/>
    <w:rsid w:val="003E6BC2"/>
    <w:rsid w:val="003E6BD3"/>
    <w:rsid w:val="003E6BDB"/>
    <w:rsid w:val="003E6CA3"/>
    <w:rsid w:val="003E6CEE"/>
    <w:rsid w:val="003E6D4B"/>
    <w:rsid w:val="003E6E58"/>
    <w:rsid w:val="003E6EE5"/>
    <w:rsid w:val="003E6EEB"/>
    <w:rsid w:val="003E6F16"/>
    <w:rsid w:val="003E6F59"/>
    <w:rsid w:val="003E6F7E"/>
    <w:rsid w:val="003E6FF3"/>
    <w:rsid w:val="003E703F"/>
    <w:rsid w:val="003E705D"/>
    <w:rsid w:val="003E70B0"/>
    <w:rsid w:val="003E7123"/>
    <w:rsid w:val="003E7175"/>
    <w:rsid w:val="003E7189"/>
    <w:rsid w:val="003E71AC"/>
    <w:rsid w:val="003E71BD"/>
    <w:rsid w:val="003E71C1"/>
    <w:rsid w:val="003E71CA"/>
    <w:rsid w:val="003E7207"/>
    <w:rsid w:val="003E7251"/>
    <w:rsid w:val="003E7272"/>
    <w:rsid w:val="003E7299"/>
    <w:rsid w:val="003E7308"/>
    <w:rsid w:val="003E73D1"/>
    <w:rsid w:val="003E73FB"/>
    <w:rsid w:val="003E7430"/>
    <w:rsid w:val="003E744C"/>
    <w:rsid w:val="003E7453"/>
    <w:rsid w:val="003E7458"/>
    <w:rsid w:val="003E7478"/>
    <w:rsid w:val="003E749B"/>
    <w:rsid w:val="003E74AD"/>
    <w:rsid w:val="003E7609"/>
    <w:rsid w:val="003E7679"/>
    <w:rsid w:val="003E7698"/>
    <w:rsid w:val="003E7768"/>
    <w:rsid w:val="003E7785"/>
    <w:rsid w:val="003E778E"/>
    <w:rsid w:val="003E77B5"/>
    <w:rsid w:val="003E786B"/>
    <w:rsid w:val="003E789E"/>
    <w:rsid w:val="003E78CF"/>
    <w:rsid w:val="003E791C"/>
    <w:rsid w:val="003E793A"/>
    <w:rsid w:val="003E7A2A"/>
    <w:rsid w:val="003E7A4E"/>
    <w:rsid w:val="003E7B72"/>
    <w:rsid w:val="003E7C68"/>
    <w:rsid w:val="003E7C90"/>
    <w:rsid w:val="003E7D44"/>
    <w:rsid w:val="003E7DFE"/>
    <w:rsid w:val="003E7E2D"/>
    <w:rsid w:val="003E7E36"/>
    <w:rsid w:val="003E7E4D"/>
    <w:rsid w:val="003E7E54"/>
    <w:rsid w:val="003E7ED7"/>
    <w:rsid w:val="003E7F2A"/>
    <w:rsid w:val="003E7F86"/>
    <w:rsid w:val="003E7FC0"/>
    <w:rsid w:val="003E7FC6"/>
    <w:rsid w:val="003E7FD3"/>
    <w:rsid w:val="003F00BC"/>
    <w:rsid w:val="003F00CE"/>
    <w:rsid w:val="003F0130"/>
    <w:rsid w:val="003F01AD"/>
    <w:rsid w:val="003F024A"/>
    <w:rsid w:val="003F0268"/>
    <w:rsid w:val="003F02E8"/>
    <w:rsid w:val="003F0391"/>
    <w:rsid w:val="003F03B5"/>
    <w:rsid w:val="003F047D"/>
    <w:rsid w:val="003F049E"/>
    <w:rsid w:val="003F04A0"/>
    <w:rsid w:val="003F04A9"/>
    <w:rsid w:val="003F054A"/>
    <w:rsid w:val="003F0569"/>
    <w:rsid w:val="003F05F7"/>
    <w:rsid w:val="003F0619"/>
    <w:rsid w:val="003F06F1"/>
    <w:rsid w:val="003F06FA"/>
    <w:rsid w:val="003F0732"/>
    <w:rsid w:val="003F07FF"/>
    <w:rsid w:val="003F0863"/>
    <w:rsid w:val="003F08A7"/>
    <w:rsid w:val="003F08B7"/>
    <w:rsid w:val="003F08E3"/>
    <w:rsid w:val="003F08F1"/>
    <w:rsid w:val="003F0950"/>
    <w:rsid w:val="003F096B"/>
    <w:rsid w:val="003F097B"/>
    <w:rsid w:val="003F09A8"/>
    <w:rsid w:val="003F09E0"/>
    <w:rsid w:val="003F0A40"/>
    <w:rsid w:val="003F0A60"/>
    <w:rsid w:val="003F0A6F"/>
    <w:rsid w:val="003F0A85"/>
    <w:rsid w:val="003F0B08"/>
    <w:rsid w:val="003F0B92"/>
    <w:rsid w:val="003F0B9C"/>
    <w:rsid w:val="003F0BD3"/>
    <w:rsid w:val="003F0BD8"/>
    <w:rsid w:val="003F0BF2"/>
    <w:rsid w:val="003F0C1B"/>
    <w:rsid w:val="003F0C42"/>
    <w:rsid w:val="003F0C47"/>
    <w:rsid w:val="003F0CA8"/>
    <w:rsid w:val="003F0CA9"/>
    <w:rsid w:val="003F0D01"/>
    <w:rsid w:val="003F0D34"/>
    <w:rsid w:val="003F0D42"/>
    <w:rsid w:val="003F0DA6"/>
    <w:rsid w:val="003F0E71"/>
    <w:rsid w:val="003F0E74"/>
    <w:rsid w:val="003F0E88"/>
    <w:rsid w:val="003F0EFC"/>
    <w:rsid w:val="003F0F00"/>
    <w:rsid w:val="003F0F2A"/>
    <w:rsid w:val="003F0F47"/>
    <w:rsid w:val="003F0F6C"/>
    <w:rsid w:val="003F1039"/>
    <w:rsid w:val="003F109E"/>
    <w:rsid w:val="003F10CE"/>
    <w:rsid w:val="003F10E3"/>
    <w:rsid w:val="003F1110"/>
    <w:rsid w:val="003F1199"/>
    <w:rsid w:val="003F11A8"/>
    <w:rsid w:val="003F120B"/>
    <w:rsid w:val="003F1210"/>
    <w:rsid w:val="003F1237"/>
    <w:rsid w:val="003F129C"/>
    <w:rsid w:val="003F12C7"/>
    <w:rsid w:val="003F12E9"/>
    <w:rsid w:val="003F1302"/>
    <w:rsid w:val="003F1371"/>
    <w:rsid w:val="003F145F"/>
    <w:rsid w:val="003F1475"/>
    <w:rsid w:val="003F149F"/>
    <w:rsid w:val="003F14AD"/>
    <w:rsid w:val="003F15A6"/>
    <w:rsid w:val="003F15CD"/>
    <w:rsid w:val="003F15D4"/>
    <w:rsid w:val="003F165E"/>
    <w:rsid w:val="003F16D3"/>
    <w:rsid w:val="003F1776"/>
    <w:rsid w:val="003F17B7"/>
    <w:rsid w:val="003F17DF"/>
    <w:rsid w:val="003F18AB"/>
    <w:rsid w:val="003F1915"/>
    <w:rsid w:val="003F191B"/>
    <w:rsid w:val="003F198D"/>
    <w:rsid w:val="003F19BF"/>
    <w:rsid w:val="003F19D2"/>
    <w:rsid w:val="003F1A0D"/>
    <w:rsid w:val="003F1A3E"/>
    <w:rsid w:val="003F1A4E"/>
    <w:rsid w:val="003F1A5D"/>
    <w:rsid w:val="003F1A6F"/>
    <w:rsid w:val="003F1A88"/>
    <w:rsid w:val="003F1ABE"/>
    <w:rsid w:val="003F1AF2"/>
    <w:rsid w:val="003F1BC1"/>
    <w:rsid w:val="003F1C09"/>
    <w:rsid w:val="003F1C6F"/>
    <w:rsid w:val="003F1CFE"/>
    <w:rsid w:val="003F1D23"/>
    <w:rsid w:val="003F1D46"/>
    <w:rsid w:val="003F1D9D"/>
    <w:rsid w:val="003F1E42"/>
    <w:rsid w:val="003F1E5D"/>
    <w:rsid w:val="003F1E7E"/>
    <w:rsid w:val="003F1EA2"/>
    <w:rsid w:val="003F1EA3"/>
    <w:rsid w:val="003F1F07"/>
    <w:rsid w:val="003F2008"/>
    <w:rsid w:val="003F2085"/>
    <w:rsid w:val="003F208E"/>
    <w:rsid w:val="003F20BB"/>
    <w:rsid w:val="003F2142"/>
    <w:rsid w:val="003F21A1"/>
    <w:rsid w:val="003F21AA"/>
    <w:rsid w:val="003F21BD"/>
    <w:rsid w:val="003F21C9"/>
    <w:rsid w:val="003F2311"/>
    <w:rsid w:val="003F2391"/>
    <w:rsid w:val="003F23D9"/>
    <w:rsid w:val="003F24E6"/>
    <w:rsid w:val="003F252E"/>
    <w:rsid w:val="003F259A"/>
    <w:rsid w:val="003F25B9"/>
    <w:rsid w:val="003F25D0"/>
    <w:rsid w:val="003F2638"/>
    <w:rsid w:val="003F26A3"/>
    <w:rsid w:val="003F26AC"/>
    <w:rsid w:val="003F26BC"/>
    <w:rsid w:val="003F26BF"/>
    <w:rsid w:val="003F26D0"/>
    <w:rsid w:val="003F26D1"/>
    <w:rsid w:val="003F26F4"/>
    <w:rsid w:val="003F26FC"/>
    <w:rsid w:val="003F26FE"/>
    <w:rsid w:val="003F2728"/>
    <w:rsid w:val="003F276E"/>
    <w:rsid w:val="003F27A4"/>
    <w:rsid w:val="003F288D"/>
    <w:rsid w:val="003F2892"/>
    <w:rsid w:val="003F2931"/>
    <w:rsid w:val="003F2978"/>
    <w:rsid w:val="003F2980"/>
    <w:rsid w:val="003F2A17"/>
    <w:rsid w:val="003F2AE3"/>
    <w:rsid w:val="003F2AE7"/>
    <w:rsid w:val="003F2AEA"/>
    <w:rsid w:val="003F2AF0"/>
    <w:rsid w:val="003F2B22"/>
    <w:rsid w:val="003F2BCC"/>
    <w:rsid w:val="003F2C3E"/>
    <w:rsid w:val="003F2CB4"/>
    <w:rsid w:val="003F2CB7"/>
    <w:rsid w:val="003F2D13"/>
    <w:rsid w:val="003F2D30"/>
    <w:rsid w:val="003F2D53"/>
    <w:rsid w:val="003F2D71"/>
    <w:rsid w:val="003F2D72"/>
    <w:rsid w:val="003F2D9A"/>
    <w:rsid w:val="003F2DCA"/>
    <w:rsid w:val="003F2E31"/>
    <w:rsid w:val="003F2E42"/>
    <w:rsid w:val="003F2E4C"/>
    <w:rsid w:val="003F2E52"/>
    <w:rsid w:val="003F2F26"/>
    <w:rsid w:val="003F2F60"/>
    <w:rsid w:val="003F2F7C"/>
    <w:rsid w:val="003F2F92"/>
    <w:rsid w:val="003F2FB0"/>
    <w:rsid w:val="003F300D"/>
    <w:rsid w:val="003F3019"/>
    <w:rsid w:val="003F3054"/>
    <w:rsid w:val="003F30A3"/>
    <w:rsid w:val="003F30D3"/>
    <w:rsid w:val="003F30DD"/>
    <w:rsid w:val="003F3163"/>
    <w:rsid w:val="003F3178"/>
    <w:rsid w:val="003F31B4"/>
    <w:rsid w:val="003F31F0"/>
    <w:rsid w:val="003F3214"/>
    <w:rsid w:val="003F322A"/>
    <w:rsid w:val="003F3230"/>
    <w:rsid w:val="003F324C"/>
    <w:rsid w:val="003F32B0"/>
    <w:rsid w:val="003F32E4"/>
    <w:rsid w:val="003F336E"/>
    <w:rsid w:val="003F3370"/>
    <w:rsid w:val="003F337F"/>
    <w:rsid w:val="003F3380"/>
    <w:rsid w:val="003F33AF"/>
    <w:rsid w:val="003F33C4"/>
    <w:rsid w:val="003F33E1"/>
    <w:rsid w:val="003F342F"/>
    <w:rsid w:val="003F3480"/>
    <w:rsid w:val="003F34D3"/>
    <w:rsid w:val="003F3500"/>
    <w:rsid w:val="003F3641"/>
    <w:rsid w:val="003F365D"/>
    <w:rsid w:val="003F369D"/>
    <w:rsid w:val="003F3758"/>
    <w:rsid w:val="003F3765"/>
    <w:rsid w:val="003F3771"/>
    <w:rsid w:val="003F377C"/>
    <w:rsid w:val="003F37E3"/>
    <w:rsid w:val="003F38B8"/>
    <w:rsid w:val="003F38D0"/>
    <w:rsid w:val="003F3924"/>
    <w:rsid w:val="003F3954"/>
    <w:rsid w:val="003F3963"/>
    <w:rsid w:val="003F396A"/>
    <w:rsid w:val="003F397C"/>
    <w:rsid w:val="003F39D8"/>
    <w:rsid w:val="003F39E4"/>
    <w:rsid w:val="003F3A2B"/>
    <w:rsid w:val="003F3A4E"/>
    <w:rsid w:val="003F3AF5"/>
    <w:rsid w:val="003F3B16"/>
    <w:rsid w:val="003F3B2A"/>
    <w:rsid w:val="003F3B2D"/>
    <w:rsid w:val="003F3BB2"/>
    <w:rsid w:val="003F3C05"/>
    <w:rsid w:val="003F3C25"/>
    <w:rsid w:val="003F3CB4"/>
    <w:rsid w:val="003F3CDD"/>
    <w:rsid w:val="003F3D05"/>
    <w:rsid w:val="003F3D07"/>
    <w:rsid w:val="003F3D1F"/>
    <w:rsid w:val="003F3D91"/>
    <w:rsid w:val="003F3DCE"/>
    <w:rsid w:val="003F3E5C"/>
    <w:rsid w:val="003F3E8C"/>
    <w:rsid w:val="003F3E8E"/>
    <w:rsid w:val="003F3EF8"/>
    <w:rsid w:val="003F3F2E"/>
    <w:rsid w:val="003F3F68"/>
    <w:rsid w:val="003F3FDD"/>
    <w:rsid w:val="003F3FE7"/>
    <w:rsid w:val="003F3FF2"/>
    <w:rsid w:val="003F4038"/>
    <w:rsid w:val="003F403F"/>
    <w:rsid w:val="003F404A"/>
    <w:rsid w:val="003F40ED"/>
    <w:rsid w:val="003F40F4"/>
    <w:rsid w:val="003F413A"/>
    <w:rsid w:val="003F415E"/>
    <w:rsid w:val="003F4201"/>
    <w:rsid w:val="003F430D"/>
    <w:rsid w:val="003F4339"/>
    <w:rsid w:val="003F433C"/>
    <w:rsid w:val="003F43DE"/>
    <w:rsid w:val="003F43DF"/>
    <w:rsid w:val="003F4412"/>
    <w:rsid w:val="003F442F"/>
    <w:rsid w:val="003F44A2"/>
    <w:rsid w:val="003F44F7"/>
    <w:rsid w:val="003F4618"/>
    <w:rsid w:val="003F4636"/>
    <w:rsid w:val="003F467C"/>
    <w:rsid w:val="003F471D"/>
    <w:rsid w:val="003F4745"/>
    <w:rsid w:val="003F4796"/>
    <w:rsid w:val="003F47FD"/>
    <w:rsid w:val="003F4828"/>
    <w:rsid w:val="003F484A"/>
    <w:rsid w:val="003F4861"/>
    <w:rsid w:val="003F487C"/>
    <w:rsid w:val="003F4894"/>
    <w:rsid w:val="003F48D1"/>
    <w:rsid w:val="003F48F1"/>
    <w:rsid w:val="003F494A"/>
    <w:rsid w:val="003F4960"/>
    <w:rsid w:val="003F4976"/>
    <w:rsid w:val="003F497A"/>
    <w:rsid w:val="003F49C0"/>
    <w:rsid w:val="003F49C5"/>
    <w:rsid w:val="003F49D5"/>
    <w:rsid w:val="003F49DD"/>
    <w:rsid w:val="003F4A8A"/>
    <w:rsid w:val="003F4AC7"/>
    <w:rsid w:val="003F4ACD"/>
    <w:rsid w:val="003F4ACF"/>
    <w:rsid w:val="003F4AD5"/>
    <w:rsid w:val="003F4B19"/>
    <w:rsid w:val="003F4C11"/>
    <w:rsid w:val="003F4C23"/>
    <w:rsid w:val="003F4C4D"/>
    <w:rsid w:val="003F4C67"/>
    <w:rsid w:val="003F4CF7"/>
    <w:rsid w:val="003F4D85"/>
    <w:rsid w:val="003F4D98"/>
    <w:rsid w:val="003F4E39"/>
    <w:rsid w:val="003F4E4A"/>
    <w:rsid w:val="003F4E94"/>
    <w:rsid w:val="003F4EBB"/>
    <w:rsid w:val="003F4F1D"/>
    <w:rsid w:val="003F4F1F"/>
    <w:rsid w:val="003F4FB6"/>
    <w:rsid w:val="003F4FF8"/>
    <w:rsid w:val="003F510D"/>
    <w:rsid w:val="003F5156"/>
    <w:rsid w:val="003F5245"/>
    <w:rsid w:val="003F5257"/>
    <w:rsid w:val="003F5292"/>
    <w:rsid w:val="003F52D8"/>
    <w:rsid w:val="003F535B"/>
    <w:rsid w:val="003F5393"/>
    <w:rsid w:val="003F53A4"/>
    <w:rsid w:val="003F541F"/>
    <w:rsid w:val="003F5464"/>
    <w:rsid w:val="003F548B"/>
    <w:rsid w:val="003F54C0"/>
    <w:rsid w:val="003F54E5"/>
    <w:rsid w:val="003F5530"/>
    <w:rsid w:val="003F55AC"/>
    <w:rsid w:val="003F55F3"/>
    <w:rsid w:val="003F5603"/>
    <w:rsid w:val="003F56AE"/>
    <w:rsid w:val="003F56D8"/>
    <w:rsid w:val="003F5744"/>
    <w:rsid w:val="003F5780"/>
    <w:rsid w:val="003F578A"/>
    <w:rsid w:val="003F57A8"/>
    <w:rsid w:val="003F57BE"/>
    <w:rsid w:val="003F5806"/>
    <w:rsid w:val="003F5856"/>
    <w:rsid w:val="003F5867"/>
    <w:rsid w:val="003F5920"/>
    <w:rsid w:val="003F592E"/>
    <w:rsid w:val="003F5951"/>
    <w:rsid w:val="003F59C4"/>
    <w:rsid w:val="003F59FD"/>
    <w:rsid w:val="003F5A14"/>
    <w:rsid w:val="003F5A46"/>
    <w:rsid w:val="003F5AB8"/>
    <w:rsid w:val="003F5BA1"/>
    <w:rsid w:val="003F5BD9"/>
    <w:rsid w:val="003F5BEB"/>
    <w:rsid w:val="003F5C23"/>
    <w:rsid w:val="003F5C7E"/>
    <w:rsid w:val="003F5CB0"/>
    <w:rsid w:val="003F5D42"/>
    <w:rsid w:val="003F5D85"/>
    <w:rsid w:val="003F5E25"/>
    <w:rsid w:val="003F5E5C"/>
    <w:rsid w:val="003F5E78"/>
    <w:rsid w:val="003F5F35"/>
    <w:rsid w:val="003F5F86"/>
    <w:rsid w:val="003F5F99"/>
    <w:rsid w:val="003F5FA8"/>
    <w:rsid w:val="003F6018"/>
    <w:rsid w:val="003F60B8"/>
    <w:rsid w:val="003F6179"/>
    <w:rsid w:val="003F61A5"/>
    <w:rsid w:val="003F61B1"/>
    <w:rsid w:val="003F61E1"/>
    <w:rsid w:val="003F61FC"/>
    <w:rsid w:val="003F6207"/>
    <w:rsid w:val="003F6224"/>
    <w:rsid w:val="003F6239"/>
    <w:rsid w:val="003F6276"/>
    <w:rsid w:val="003F62D8"/>
    <w:rsid w:val="003F62F2"/>
    <w:rsid w:val="003F6321"/>
    <w:rsid w:val="003F6326"/>
    <w:rsid w:val="003F636F"/>
    <w:rsid w:val="003F6431"/>
    <w:rsid w:val="003F6494"/>
    <w:rsid w:val="003F64B6"/>
    <w:rsid w:val="003F64C3"/>
    <w:rsid w:val="003F64E7"/>
    <w:rsid w:val="003F6522"/>
    <w:rsid w:val="003F6593"/>
    <w:rsid w:val="003F6599"/>
    <w:rsid w:val="003F65D5"/>
    <w:rsid w:val="003F661A"/>
    <w:rsid w:val="003F662E"/>
    <w:rsid w:val="003F663D"/>
    <w:rsid w:val="003F66B0"/>
    <w:rsid w:val="003F6742"/>
    <w:rsid w:val="003F6763"/>
    <w:rsid w:val="003F67A9"/>
    <w:rsid w:val="003F6841"/>
    <w:rsid w:val="003F68E5"/>
    <w:rsid w:val="003F68FC"/>
    <w:rsid w:val="003F696A"/>
    <w:rsid w:val="003F6980"/>
    <w:rsid w:val="003F69E4"/>
    <w:rsid w:val="003F6A60"/>
    <w:rsid w:val="003F6AAA"/>
    <w:rsid w:val="003F6B11"/>
    <w:rsid w:val="003F6B4C"/>
    <w:rsid w:val="003F6B61"/>
    <w:rsid w:val="003F6BBF"/>
    <w:rsid w:val="003F6BD0"/>
    <w:rsid w:val="003F6BF9"/>
    <w:rsid w:val="003F6C8D"/>
    <w:rsid w:val="003F6D10"/>
    <w:rsid w:val="003F6D71"/>
    <w:rsid w:val="003F6D75"/>
    <w:rsid w:val="003F6D82"/>
    <w:rsid w:val="003F6D8D"/>
    <w:rsid w:val="003F6D93"/>
    <w:rsid w:val="003F6DAF"/>
    <w:rsid w:val="003F6E10"/>
    <w:rsid w:val="003F6E97"/>
    <w:rsid w:val="003F6EC0"/>
    <w:rsid w:val="003F6EE5"/>
    <w:rsid w:val="003F6F2B"/>
    <w:rsid w:val="003F6F3A"/>
    <w:rsid w:val="003F6F6F"/>
    <w:rsid w:val="003F6F7E"/>
    <w:rsid w:val="003F6F83"/>
    <w:rsid w:val="003F7010"/>
    <w:rsid w:val="003F70CA"/>
    <w:rsid w:val="003F711B"/>
    <w:rsid w:val="003F7145"/>
    <w:rsid w:val="003F71D8"/>
    <w:rsid w:val="003F71DF"/>
    <w:rsid w:val="003F721B"/>
    <w:rsid w:val="003F726E"/>
    <w:rsid w:val="003F7399"/>
    <w:rsid w:val="003F73A6"/>
    <w:rsid w:val="003F73C5"/>
    <w:rsid w:val="003F73ED"/>
    <w:rsid w:val="003F7417"/>
    <w:rsid w:val="003F742D"/>
    <w:rsid w:val="003F7440"/>
    <w:rsid w:val="003F744A"/>
    <w:rsid w:val="003F74BC"/>
    <w:rsid w:val="003F74FE"/>
    <w:rsid w:val="003F7506"/>
    <w:rsid w:val="003F7545"/>
    <w:rsid w:val="003F7665"/>
    <w:rsid w:val="003F7686"/>
    <w:rsid w:val="003F76AC"/>
    <w:rsid w:val="003F770E"/>
    <w:rsid w:val="003F771F"/>
    <w:rsid w:val="003F7729"/>
    <w:rsid w:val="003F774A"/>
    <w:rsid w:val="003F778E"/>
    <w:rsid w:val="003F77DB"/>
    <w:rsid w:val="003F77F5"/>
    <w:rsid w:val="003F7847"/>
    <w:rsid w:val="003F7855"/>
    <w:rsid w:val="003F78B2"/>
    <w:rsid w:val="003F78BF"/>
    <w:rsid w:val="003F78C0"/>
    <w:rsid w:val="003F78E9"/>
    <w:rsid w:val="003F795E"/>
    <w:rsid w:val="003F79A6"/>
    <w:rsid w:val="003F79A7"/>
    <w:rsid w:val="003F79B9"/>
    <w:rsid w:val="003F7A47"/>
    <w:rsid w:val="003F7AB7"/>
    <w:rsid w:val="003F7AE4"/>
    <w:rsid w:val="003F7AEE"/>
    <w:rsid w:val="003F7B0E"/>
    <w:rsid w:val="003F7B3C"/>
    <w:rsid w:val="003F7B66"/>
    <w:rsid w:val="003F7B95"/>
    <w:rsid w:val="003F7BAC"/>
    <w:rsid w:val="003F7BD4"/>
    <w:rsid w:val="003F7BD8"/>
    <w:rsid w:val="003F7C6F"/>
    <w:rsid w:val="003F7CA6"/>
    <w:rsid w:val="003F7CE6"/>
    <w:rsid w:val="003F7D28"/>
    <w:rsid w:val="003F7D2F"/>
    <w:rsid w:val="003F7D31"/>
    <w:rsid w:val="003F7D84"/>
    <w:rsid w:val="003F7E2D"/>
    <w:rsid w:val="003F7E3D"/>
    <w:rsid w:val="003F7E5A"/>
    <w:rsid w:val="003F7EA4"/>
    <w:rsid w:val="003F7EC6"/>
    <w:rsid w:val="003F7F1A"/>
    <w:rsid w:val="003F7F28"/>
    <w:rsid w:val="003F7F4D"/>
    <w:rsid w:val="003F7F56"/>
    <w:rsid w:val="003F7FC1"/>
    <w:rsid w:val="004000CA"/>
    <w:rsid w:val="004000F5"/>
    <w:rsid w:val="0040011E"/>
    <w:rsid w:val="0040014F"/>
    <w:rsid w:val="00400173"/>
    <w:rsid w:val="00400219"/>
    <w:rsid w:val="004002A6"/>
    <w:rsid w:val="0040039E"/>
    <w:rsid w:val="00400428"/>
    <w:rsid w:val="00400453"/>
    <w:rsid w:val="0040046A"/>
    <w:rsid w:val="00400556"/>
    <w:rsid w:val="0040061E"/>
    <w:rsid w:val="00400635"/>
    <w:rsid w:val="00400650"/>
    <w:rsid w:val="00400652"/>
    <w:rsid w:val="004006BB"/>
    <w:rsid w:val="004006DE"/>
    <w:rsid w:val="004006E3"/>
    <w:rsid w:val="0040075A"/>
    <w:rsid w:val="0040078D"/>
    <w:rsid w:val="004007BB"/>
    <w:rsid w:val="0040085F"/>
    <w:rsid w:val="00400864"/>
    <w:rsid w:val="00400872"/>
    <w:rsid w:val="0040088B"/>
    <w:rsid w:val="00400988"/>
    <w:rsid w:val="004009B8"/>
    <w:rsid w:val="00400A07"/>
    <w:rsid w:val="00400A14"/>
    <w:rsid w:val="00400A93"/>
    <w:rsid w:val="00400AD3"/>
    <w:rsid w:val="00400B3C"/>
    <w:rsid w:val="00400B8E"/>
    <w:rsid w:val="00400BE1"/>
    <w:rsid w:val="00400C11"/>
    <w:rsid w:val="00400C51"/>
    <w:rsid w:val="00400C87"/>
    <w:rsid w:val="00400CEE"/>
    <w:rsid w:val="00400D17"/>
    <w:rsid w:val="00400E81"/>
    <w:rsid w:val="00400EA9"/>
    <w:rsid w:val="00400F07"/>
    <w:rsid w:val="00400F0A"/>
    <w:rsid w:val="00400F66"/>
    <w:rsid w:val="00400FE6"/>
    <w:rsid w:val="00400FF8"/>
    <w:rsid w:val="00401034"/>
    <w:rsid w:val="00401143"/>
    <w:rsid w:val="004011C1"/>
    <w:rsid w:val="00401218"/>
    <w:rsid w:val="0040125D"/>
    <w:rsid w:val="00401269"/>
    <w:rsid w:val="00401289"/>
    <w:rsid w:val="0040128C"/>
    <w:rsid w:val="00401293"/>
    <w:rsid w:val="004012EA"/>
    <w:rsid w:val="004012EB"/>
    <w:rsid w:val="0040133B"/>
    <w:rsid w:val="00401371"/>
    <w:rsid w:val="004013EB"/>
    <w:rsid w:val="00401492"/>
    <w:rsid w:val="004014C0"/>
    <w:rsid w:val="00401627"/>
    <w:rsid w:val="0040162A"/>
    <w:rsid w:val="00401661"/>
    <w:rsid w:val="004016A9"/>
    <w:rsid w:val="004016C8"/>
    <w:rsid w:val="004016D0"/>
    <w:rsid w:val="00401735"/>
    <w:rsid w:val="00401737"/>
    <w:rsid w:val="00401798"/>
    <w:rsid w:val="004017F8"/>
    <w:rsid w:val="0040184E"/>
    <w:rsid w:val="00401871"/>
    <w:rsid w:val="00401875"/>
    <w:rsid w:val="004018B8"/>
    <w:rsid w:val="00401923"/>
    <w:rsid w:val="00401941"/>
    <w:rsid w:val="0040199A"/>
    <w:rsid w:val="004019CF"/>
    <w:rsid w:val="00401A64"/>
    <w:rsid w:val="00401A68"/>
    <w:rsid w:val="00401B25"/>
    <w:rsid w:val="00401B93"/>
    <w:rsid w:val="00401BC9"/>
    <w:rsid w:val="00401BDC"/>
    <w:rsid w:val="00401BEB"/>
    <w:rsid w:val="00401C3F"/>
    <w:rsid w:val="00401DB3"/>
    <w:rsid w:val="00401DEC"/>
    <w:rsid w:val="00401DEE"/>
    <w:rsid w:val="00401DF4"/>
    <w:rsid w:val="00401E07"/>
    <w:rsid w:val="00401E0D"/>
    <w:rsid w:val="00401E1B"/>
    <w:rsid w:val="00401E2B"/>
    <w:rsid w:val="00401EBA"/>
    <w:rsid w:val="00401F24"/>
    <w:rsid w:val="00401F4B"/>
    <w:rsid w:val="00402090"/>
    <w:rsid w:val="004020EF"/>
    <w:rsid w:val="004020F3"/>
    <w:rsid w:val="00402114"/>
    <w:rsid w:val="00402184"/>
    <w:rsid w:val="004021BA"/>
    <w:rsid w:val="00402258"/>
    <w:rsid w:val="004022AC"/>
    <w:rsid w:val="00402310"/>
    <w:rsid w:val="00402331"/>
    <w:rsid w:val="0040237C"/>
    <w:rsid w:val="004023A4"/>
    <w:rsid w:val="004023B1"/>
    <w:rsid w:val="004023CD"/>
    <w:rsid w:val="00402458"/>
    <w:rsid w:val="00402473"/>
    <w:rsid w:val="00402499"/>
    <w:rsid w:val="004024D2"/>
    <w:rsid w:val="00402591"/>
    <w:rsid w:val="004025BD"/>
    <w:rsid w:val="00402611"/>
    <w:rsid w:val="0040261D"/>
    <w:rsid w:val="00402628"/>
    <w:rsid w:val="00402670"/>
    <w:rsid w:val="00402702"/>
    <w:rsid w:val="00402721"/>
    <w:rsid w:val="0040279C"/>
    <w:rsid w:val="004027F1"/>
    <w:rsid w:val="004027F2"/>
    <w:rsid w:val="00402868"/>
    <w:rsid w:val="00402871"/>
    <w:rsid w:val="004028A6"/>
    <w:rsid w:val="004028C1"/>
    <w:rsid w:val="004028D5"/>
    <w:rsid w:val="004028E3"/>
    <w:rsid w:val="004028E5"/>
    <w:rsid w:val="004028F2"/>
    <w:rsid w:val="00402925"/>
    <w:rsid w:val="00402942"/>
    <w:rsid w:val="00402976"/>
    <w:rsid w:val="0040299B"/>
    <w:rsid w:val="00402A08"/>
    <w:rsid w:val="00402A5B"/>
    <w:rsid w:val="00402B32"/>
    <w:rsid w:val="00402B47"/>
    <w:rsid w:val="00402BF6"/>
    <w:rsid w:val="00402C2C"/>
    <w:rsid w:val="00402C8F"/>
    <w:rsid w:val="00402C95"/>
    <w:rsid w:val="00402CE1"/>
    <w:rsid w:val="00402D0C"/>
    <w:rsid w:val="00402D37"/>
    <w:rsid w:val="00402DBC"/>
    <w:rsid w:val="00402E39"/>
    <w:rsid w:val="00402E41"/>
    <w:rsid w:val="00402EB9"/>
    <w:rsid w:val="00402EFD"/>
    <w:rsid w:val="00402F7E"/>
    <w:rsid w:val="00402FA5"/>
    <w:rsid w:val="00402FE8"/>
    <w:rsid w:val="00403004"/>
    <w:rsid w:val="0040305F"/>
    <w:rsid w:val="00403098"/>
    <w:rsid w:val="004030E7"/>
    <w:rsid w:val="00403112"/>
    <w:rsid w:val="00403189"/>
    <w:rsid w:val="004031A8"/>
    <w:rsid w:val="0040323F"/>
    <w:rsid w:val="0040331A"/>
    <w:rsid w:val="0040332F"/>
    <w:rsid w:val="00403376"/>
    <w:rsid w:val="0040341C"/>
    <w:rsid w:val="004034C0"/>
    <w:rsid w:val="004034D8"/>
    <w:rsid w:val="00403500"/>
    <w:rsid w:val="00403504"/>
    <w:rsid w:val="00403537"/>
    <w:rsid w:val="00403547"/>
    <w:rsid w:val="00403558"/>
    <w:rsid w:val="00403655"/>
    <w:rsid w:val="00403682"/>
    <w:rsid w:val="004036AF"/>
    <w:rsid w:val="004036CD"/>
    <w:rsid w:val="0040375F"/>
    <w:rsid w:val="00403807"/>
    <w:rsid w:val="0040390C"/>
    <w:rsid w:val="00403939"/>
    <w:rsid w:val="00403964"/>
    <w:rsid w:val="00403A23"/>
    <w:rsid w:val="00403A86"/>
    <w:rsid w:val="00403A98"/>
    <w:rsid w:val="00403ACB"/>
    <w:rsid w:val="00403AE0"/>
    <w:rsid w:val="00403AFD"/>
    <w:rsid w:val="00403DE9"/>
    <w:rsid w:val="00403E34"/>
    <w:rsid w:val="00403E83"/>
    <w:rsid w:val="00403E8A"/>
    <w:rsid w:val="00403E94"/>
    <w:rsid w:val="00403EE8"/>
    <w:rsid w:val="00403F4D"/>
    <w:rsid w:val="00403F88"/>
    <w:rsid w:val="00403FCB"/>
    <w:rsid w:val="00403FFE"/>
    <w:rsid w:val="00404004"/>
    <w:rsid w:val="00404052"/>
    <w:rsid w:val="0040409F"/>
    <w:rsid w:val="004040B0"/>
    <w:rsid w:val="00404105"/>
    <w:rsid w:val="00404119"/>
    <w:rsid w:val="00404128"/>
    <w:rsid w:val="0040416A"/>
    <w:rsid w:val="00404186"/>
    <w:rsid w:val="0040418E"/>
    <w:rsid w:val="0040418F"/>
    <w:rsid w:val="004041E1"/>
    <w:rsid w:val="00404240"/>
    <w:rsid w:val="00404264"/>
    <w:rsid w:val="004042C1"/>
    <w:rsid w:val="00404311"/>
    <w:rsid w:val="00404313"/>
    <w:rsid w:val="0040434C"/>
    <w:rsid w:val="00404369"/>
    <w:rsid w:val="004043C4"/>
    <w:rsid w:val="004043F1"/>
    <w:rsid w:val="004043F4"/>
    <w:rsid w:val="00404481"/>
    <w:rsid w:val="0040451A"/>
    <w:rsid w:val="004045DE"/>
    <w:rsid w:val="004045EA"/>
    <w:rsid w:val="00404603"/>
    <w:rsid w:val="0040460C"/>
    <w:rsid w:val="00404676"/>
    <w:rsid w:val="0040469B"/>
    <w:rsid w:val="004046C3"/>
    <w:rsid w:val="004046DA"/>
    <w:rsid w:val="004046E6"/>
    <w:rsid w:val="004046F5"/>
    <w:rsid w:val="0040470B"/>
    <w:rsid w:val="00404739"/>
    <w:rsid w:val="004047F7"/>
    <w:rsid w:val="0040480A"/>
    <w:rsid w:val="0040484B"/>
    <w:rsid w:val="0040486A"/>
    <w:rsid w:val="004048CD"/>
    <w:rsid w:val="004048D5"/>
    <w:rsid w:val="00404914"/>
    <w:rsid w:val="0040494D"/>
    <w:rsid w:val="004049DF"/>
    <w:rsid w:val="00404A00"/>
    <w:rsid w:val="00404A7D"/>
    <w:rsid w:val="00404AB6"/>
    <w:rsid w:val="00404AC1"/>
    <w:rsid w:val="00404B2F"/>
    <w:rsid w:val="00404B3D"/>
    <w:rsid w:val="00404B85"/>
    <w:rsid w:val="00404BC8"/>
    <w:rsid w:val="00404BFC"/>
    <w:rsid w:val="00404C19"/>
    <w:rsid w:val="00404C25"/>
    <w:rsid w:val="00404C87"/>
    <w:rsid w:val="00404C99"/>
    <w:rsid w:val="00404CC5"/>
    <w:rsid w:val="00404CD5"/>
    <w:rsid w:val="00404CE8"/>
    <w:rsid w:val="00404D25"/>
    <w:rsid w:val="00404D61"/>
    <w:rsid w:val="00404DB7"/>
    <w:rsid w:val="00404DD4"/>
    <w:rsid w:val="00404DD8"/>
    <w:rsid w:val="00404E1D"/>
    <w:rsid w:val="00404EEE"/>
    <w:rsid w:val="00404F05"/>
    <w:rsid w:val="00404F0E"/>
    <w:rsid w:val="00404F24"/>
    <w:rsid w:val="00405009"/>
    <w:rsid w:val="0040504C"/>
    <w:rsid w:val="00405057"/>
    <w:rsid w:val="00405064"/>
    <w:rsid w:val="004050AB"/>
    <w:rsid w:val="004050B9"/>
    <w:rsid w:val="004050DC"/>
    <w:rsid w:val="0040512A"/>
    <w:rsid w:val="004051E7"/>
    <w:rsid w:val="00405233"/>
    <w:rsid w:val="0040523C"/>
    <w:rsid w:val="00405253"/>
    <w:rsid w:val="00405266"/>
    <w:rsid w:val="0040527D"/>
    <w:rsid w:val="00405301"/>
    <w:rsid w:val="00405325"/>
    <w:rsid w:val="00405342"/>
    <w:rsid w:val="004053B9"/>
    <w:rsid w:val="004053E7"/>
    <w:rsid w:val="00405486"/>
    <w:rsid w:val="004054A1"/>
    <w:rsid w:val="004054FB"/>
    <w:rsid w:val="004055CF"/>
    <w:rsid w:val="004055EC"/>
    <w:rsid w:val="004055F2"/>
    <w:rsid w:val="004056D3"/>
    <w:rsid w:val="00405736"/>
    <w:rsid w:val="00405780"/>
    <w:rsid w:val="004057CA"/>
    <w:rsid w:val="0040580B"/>
    <w:rsid w:val="0040584F"/>
    <w:rsid w:val="00405877"/>
    <w:rsid w:val="004058E5"/>
    <w:rsid w:val="0040591A"/>
    <w:rsid w:val="00405953"/>
    <w:rsid w:val="004059BE"/>
    <w:rsid w:val="00405A03"/>
    <w:rsid w:val="00405A61"/>
    <w:rsid w:val="00405ABB"/>
    <w:rsid w:val="00405B0B"/>
    <w:rsid w:val="00405B92"/>
    <w:rsid w:val="00405BB6"/>
    <w:rsid w:val="00405BC5"/>
    <w:rsid w:val="00405C2D"/>
    <w:rsid w:val="00405CA6"/>
    <w:rsid w:val="00405CCA"/>
    <w:rsid w:val="00405CDA"/>
    <w:rsid w:val="00405D12"/>
    <w:rsid w:val="00405D3C"/>
    <w:rsid w:val="00405D91"/>
    <w:rsid w:val="00405E11"/>
    <w:rsid w:val="00405E43"/>
    <w:rsid w:val="00405EC2"/>
    <w:rsid w:val="00405F10"/>
    <w:rsid w:val="00405FBE"/>
    <w:rsid w:val="00406033"/>
    <w:rsid w:val="0040607A"/>
    <w:rsid w:val="004060A7"/>
    <w:rsid w:val="00406117"/>
    <w:rsid w:val="0040612A"/>
    <w:rsid w:val="004061C1"/>
    <w:rsid w:val="004061C2"/>
    <w:rsid w:val="004061C3"/>
    <w:rsid w:val="004062C6"/>
    <w:rsid w:val="004062D1"/>
    <w:rsid w:val="004062E0"/>
    <w:rsid w:val="004062E8"/>
    <w:rsid w:val="004063D7"/>
    <w:rsid w:val="004063DD"/>
    <w:rsid w:val="0040642C"/>
    <w:rsid w:val="0040645B"/>
    <w:rsid w:val="00406471"/>
    <w:rsid w:val="004064BF"/>
    <w:rsid w:val="00406577"/>
    <w:rsid w:val="004065A4"/>
    <w:rsid w:val="00406647"/>
    <w:rsid w:val="004066A9"/>
    <w:rsid w:val="004067BB"/>
    <w:rsid w:val="004067BC"/>
    <w:rsid w:val="004067EB"/>
    <w:rsid w:val="004068D5"/>
    <w:rsid w:val="004068EC"/>
    <w:rsid w:val="0040690D"/>
    <w:rsid w:val="00406920"/>
    <w:rsid w:val="00406948"/>
    <w:rsid w:val="00406994"/>
    <w:rsid w:val="004069DC"/>
    <w:rsid w:val="004069F4"/>
    <w:rsid w:val="004069F9"/>
    <w:rsid w:val="004069FC"/>
    <w:rsid w:val="00406A89"/>
    <w:rsid w:val="00406AB1"/>
    <w:rsid w:val="00406B38"/>
    <w:rsid w:val="00406B39"/>
    <w:rsid w:val="00406BA8"/>
    <w:rsid w:val="00406BB5"/>
    <w:rsid w:val="00406CCB"/>
    <w:rsid w:val="00406D05"/>
    <w:rsid w:val="00406DD8"/>
    <w:rsid w:val="00406E0D"/>
    <w:rsid w:val="00406E3B"/>
    <w:rsid w:val="00406E72"/>
    <w:rsid w:val="00406E79"/>
    <w:rsid w:val="00406E98"/>
    <w:rsid w:val="00406EC6"/>
    <w:rsid w:val="00406F0C"/>
    <w:rsid w:val="00406F2D"/>
    <w:rsid w:val="00406FB9"/>
    <w:rsid w:val="00407003"/>
    <w:rsid w:val="004070E0"/>
    <w:rsid w:val="00407126"/>
    <w:rsid w:val="0040716B"/>
    <w:rsid w:val="0040717C"/>
    <w:rsid w:val="00407186"/>
    <w:rsid w:val="00407226"/>
    <w:rsid w:val="00407424"/>
    <w:rsid w:val="0040742E"/>
    <w:rsid w:val="00407452"/>
    <w:rsid w:val="0040748C"/>
    <w:rsid w:val="004074F0"/>
    <w:rsid w:val="00407516"/>
    <w:rsid w:val="004075FC"/>
    <w:rsid w:val="00407606"/>
    <w:rsid w:val="00407608"/>
    <w:rsid w:val="0040765F"/>
    <w:rsid w:val="00407688"/>
    <w:rsid w:val="004076D3"/>
    <w:rsid w:val="0040773D"/>
    <w:rsid w:val="004077EA"/>
    <w:rsid w:val="00407861"/>
    <w:rsid w:val="00407867"/>
    <w:rsid w:val="004078CF"/>
    <w:rsid w:val="0040798C"/>
    <w:rsid w:val="00407A00"/>
    <w:rsid w:val="00407A28"/>
    <w:rsid w:val="00407A8D"/>
    <w:rsid w:val="00407AB5"/>
    <w:rsid w:val="00407B90"/>
    <w:rsid w:val="00407C20"/>
    <w:rsid w:val="00407C24"/>
    <w:rsid w:val="00407C63"/>
    <w:rsid w:val="00407C92"/>
    <w:rsid w:val="00407CFD"/>
    <w:rsid w:val="00407D05"/>
    <w:rsid w:val="00407D15"/>
    <w:rsid w:val="00407D27"/>
    <w:rsid w:val="00407D41"/>
    <w:rsid w:val="00407DA2"/>
    <w:rsid w:val="00407DD2"/>
    <w:rsid w:val="00407E05"/>
    <w:rsid w:val="00407F06"/>
    <w:rsid w:val="0041001C"/>
    <w:rsid w:val="0041007D"/>
    <w:rsid w:val="00410103"/>
    <w:rsid w:val="0041032A"/>
    <w:rsid w:val="0041032F"/>
    <w:rsid w:val="0041037D"/>
    <w:rsid w:val="004103AE"/>
    <w:rsid w:val="004103ED"/>
    <w:rsid w:val="004104E0"/>
    <w:rsid w:val="0041051B"/>
    <w:rsid w:val="00410559"/>
    <w:rsid w:val="00410597"/>
    <w:rsid w:val="00410598"/>
    <w:rsid w:val="004105CE"/>
    <w:rsid w:val="00410661"/>
    <w:rsid w:val="00410672"/>
    <w:rsid w:val="0041067B"/>
    <w:rsid w:val="004106BF"/>
    <w:rsid w:val="0041071A"/>
    <w:rsid w:val="00410743"/>
    <w:rsid w:val="00410748"/>
    <w:rsid w:val="00410792"/>
    <w:rsid w:val="004107A5"/>
    <w:rsid w:val="0041089F"/>
    <w:rsid w:val="004108C1"/>
    <w:rsid w:val="004108E5"/>
    <w:rsid w:val="0041094F"/>
    <w:rsid w:val="00410959"/>
    <w:rsid w:val="00410964"/>
    <w:rsid w:val="004109CC"/>
    <w:rsid w:val="00410A2C"/>
    <w:rsid w:val="00410A7A"/>
    <w:rsid w:val="00410AA4"/>
    <w:rsid w:val="00410ABE"/>
    <w:rsid w:val="00410B1B"/>
    <w:rsid w:val="00410B70"/>
    <w:rsid w:val="00410B8F"/>
    <w:rsid w:val="00410C23"/>
    <w:rsid w:val="00410C4B"/>
    <w:rsid w:val="00410C7F"/>
    <w:rsid w:val="00410D1F"/>
    <w:rsid w:val="00410DA8"/>
    <w:rsid w:val="00410E44"/>
    <w:rsid w:val="00410E91"/>
    <w:rsid w:val="00410EA3"/>
    <w:rsid w:val="00410EA8"/>
    <w:rsid w:val="00410EB9"/>
    <w:rsid w:val="00410ECA"/>
    <w:rsid w:val="00410EE7"/>
    <w:rsid w:val="00410F2E"/>
    <w:rsid w:val="00410F7C"/>
    <w:rsid w:val="00410F97"/>
    <w:rsid w:val="00410FAE"/>
    <w:rsid w:val="00410FED"/>
    <w:rsid w:val="00411019"/>
    <w:rsid w:val="0041102A"/>
    <w:rsid w:val="00411036"/>
    <w:rsid w:val="00411085"/>
    <w:rsid w:val="00411092"/>
    <w:rsid w:val="004110B1"/>
    <w:rsid w:val="004110BA"/>
    <w:rsid w:val="004110F4"/>
    <w:rsid w:val="00411146"/>
    <w:rsid w:val="00411159"/>
    <w:rsid w:val="004111A9"/>
    <w:rsid w:val="004111D5"/>
    <w:rsid w:val="0041123E"/>
    <w:rsid w:val="0041125B"/>
    <w:rsid w:val="00411294"/>
    <w:rsid w:val="0041129B"/>
    <w:rsid w:val="004112CE"/>
    <w:rsid w:val="004112F6"/>
    <w:rsid w:val="0041130C"/>
    <w:rsid w:val="0041137E"/>
    <w:rsid w:val="0041139A"/>
    <w:rsid w:val="004113D4"/>
    <w:rsid w:val="00411419"/>
    <w:rsid w:val="00411448"/>
    <w:rsid w:val="0041144B"/>
    <w:rsid w:val="00411488"/>
    <w:rsid w:val="004114B5"/>
    <w:rsid w:val="004114C8"/>
    <w:rsid w:val="004114F2"/>
    <w:rsid w:val="00411500"/>
    <w:rsid w:val="00411576"/>
    <w:rsid w:val="00411586"/>
    <w:rsid w:val="0041158A"/>
    <w:rsid w:val="004115F3"/>
    <w:rsid w:val="00411623"/>
    <w:rsid w:val="004116DE"/>
    <w:rsid w:val="004116EF"/>
    <w:rsid w:val="00411725"/>
    <w:rsid w:val="004117A1"/>
    <w:rsid w:val="004117F4"/>
    <w:rsid w:val="00411866"/>
    <w:rsid w:val="00411867"/>
    <w:rsid w:val="004118B5"/>
    <w:rsid w:val="0041190A"/>
    <w:rsid w:val="004119AC"/>
    <w:rsid w:val="004119CC"/>
    <w:rsid w:val="004119E9"/>
    <w:rsid w:val="00411AC8"/>
    <w:rsid w:val="00411ACB"/>
    <w:rsid w:val="00411ADB"/>
    <w:rsid w:val="00411AE0"/>
    <w:rsid w:val="00411B13"/>
    <w:rsid w:val="00411B26"/>
    <w:rsid w:val="00411B80"/>
    <w:rsid w:val="00411C1A"/>
    <w:rsid w:val="00411C42"/>
    <w:rsid w:val="00411C56"/>
    <w:rsid w:val="00411CDC"/>
    <w:rsid w:val="00411CE9"/>
    <w:rsid w:val="00411CF6"/>
    <w:rsid w:val="00411D09"/>
    <w:rsid w:val="00411D59"/>
    <w:rsid w:val="00411E49"/>
    <w:rsid w:val="00411E50"/>
    <w:rsid w:val="00411E90"/>
    <w:rsid w:val="00411EB6"/>
    <w:rsid w:val="00411EC0"/>
    <w:rsid w:val="00411ED4"/>
    <w:rsid w:val="00411EE4"/>
    <w:rsid w:val="00411F18"/>
    <w:rsid w:val="00411F4F"/>
    <w:rsid w:val="00411F66"/>
    <w:rsid w:val="00411F6C"/>
    <w:rsid w:val="00411F91"/>
    <w:rsid w:val="00411F9C"/>
    <w:rsid w:val="0041211A"/>
    <w:rsid w:val="0041215E"/>
    <w:rsid w:val="004121BC"/>
    <w:rsid w:val="004121BF"/>
    <w:rsid w:val="004121D9"/>
    <w:rsid w:val="0041222D"/>
    <w:rsid w:val="00412255"/>
    <w:rsid w:val="0041225F"/>
    <w:rsid w:val="0041227A"/>
    <w:rsid w:val="00412291"/>
    <w:rsid w:val="0041229E"/>
    <w:rsid w:val="004122DE"/>
    <w:rsid w:val="00412304"/>
    <w:rsid w:val="00412349"/>
    <w:rsid w:val="00412356"/>
    <w:rsid w:val="00412461"/>
    <w:rsid w:val="004124A7"/>
    <w:rsid w:val="004124D1"/>
    <w:rsid w:val="00412512"/>
    <w:rsid w:val="00412567"/>
    <w:rsid w:val="004125DE"/>
    <w:rsid w:val="00412609"/>
    <w:rsid w:val="00412688"/>
    <w:rsid w:val="004126DF"/>
    <w:rsid w:val="0041274F"/>
    <w:rsid w:val="004127A0"/>
    <w:rsid w:val="004127EF"/>
    <w:rsid w:val="00412864"/>
    <w:rsid w:val="0041287B"/>
    <w:rsid w:val="0041289B"/>
    <w:rsid w:val="004128B5"/>
    <w:rsid w:val="0041291B"/>
    <w:rsid w:val="0041293F"/>
    <w:rsid w:val="00412942"/>
    <w:rsid w:val="00412944"/>
    <w:rsid w:val="0041296C"/>
    <w:rsid w:val="004129F7"/>
    <w:rsid w:val="00412AB1"/>
    <w:rsid w:val="00412C15"/>
    <w:rsid w:val="00412C25"/>
    <w:rsid w:val="00412C3E"/>
    <w:rsid w:val="00412C71"/>
    <w:rsid w:val="00412CDC"/>
    <w:rsid w:val="00412CE6"/>
    <w:rsid w:val="00412D60"/>
    <w:rsid w:val="00412DB0"/>
    <w:rsid w:val="00412E61"/>
    <w:rsid w:val="00412F55"/>
    <w:rsid w:val="00412F77"/>
    <w:rsid w:val="0041308F"/>
    <w:rsid w:val="004130AD"/>
    <w:rsid w:val="004130CD"/>
    <w:rsid w:val="004130F0"/>
    <w:rsid w:val="00413100"/>
    <w:rsid w:val="00413112"/>
    <w:rsid w:val="00413148"/>
    <w:rsid w:val="0041316D"/>
    <w:rsid w:val="004131BF"/>
    <w:rsid w:val="00413251"/>
    <w:rsid w:val="004132A7"/>
    <w:rsid w:val="004132DF"/>
    <w:rsid w:val="004132FE"/>
    <w:rsid w:val="004133B0"/>
    <w:rsid w:val="004133B6"/>
    <w:rsid w:val="004133DC"/>
    <w:rsid w:val="0041340B"/>
    <w:rsid w:val="00413454"/>
    <w:rsid w:val="00413494"/>
    <w:rsid w:val="004134A3"/>
    <w:rsid w:val="00413557"/>
    <w:rsid w:val="0041359A"/>
    <w:rsid w:val="004135CC"/>
    <w:rsid w:val="004135EC"/>
    <w:rsid w:val="0041363A"/>
    <w:rsid w:val="004136F4"/>
    <w:rsid w:val="00413759"/>
    <w:rsid w:val="00413814"/>
    <w:rsid w:val="00413833"/>
    <w:rsid w:val="0041397F"/>
    <w:rsid w:val="00413A23"/>
    <w:rsid w:val="00413A63"/>
    <w:rsid w:val="00413A9E"/>
    <w:rsid w:val="00413AC1"/>
    <w:rsid w:val="00413B9F"/>
    <w:rsid w:val="00413BD5"/>
    <w:rsid w:val="00413BF0"/>
    <w:rsid w:val="00413C42"/>
    <w:rsid w:val="00413C66"/>
    <w:rsid w:val="00413CB5"/>
    <w:rsid w:val="00413CBC"/>
    <w:rsid w:val="00413CCB"/>
    <w:rsid w:val="00413CCD"/>
    <w:rsid w:val="00413CFD"/>
    <w:rsid w:val="00413D3B"/>
    <w:rsid w:val="00413D4D"/>
    <w:rsid w:val="00413E0E"/>
    <w:rsid w:val="00413E0F"/>
    <w:rsid w:val="00413E38"/>
    <w:rsid w:val="00413E3A"/>
    <w:rsid w:val="00413E52"/>
    <w:rsid w:val="00413E90"/>
    <w:rsid w:val="00413EB1"/>
    <w:rsid w:val="00413ED4"/>
    <w:rsid w:val="00413F20"/>
    <w:rsid w:val="00413F3E"/>
    <w:rsid w:val="00414009"/>
    <w:rsid w:val="00414027"/>
    <w:rsid w:val="0041407C"/>
    <w:rsid w:val="0041408E"/>
    <w:rsid w:val="004140B3"/>
    <w:rsid w:val="00414133"/>
    <w:rsid w:val="0041413A"/>
    <w:rsid w:val="0041413B"/>
    <w:rsid w:val="0041419E"/>
    <w:rsid w:val="004142B9"/>
    <w:rsid w:val="004142FE"/>
    <w:rsid w:val="0041436C"/>
    <w:rsid w:val="004143C2"/>
    <w:rsid w:val="00414492"/>
    <w:rsid w:val="004144C4"/>
    <w:rsid w:val="004144C8"/>
    <w:rsid w:val="00414510"/>
    <w:rsid w:val="00414568"/>
    <w:rsid w:val="00414587"/>
    <w:rsid w:val="0041459B"/>
    <w:rsid w:val="0041464A"/>
    <w:rsid w:val="0041464E"/>
    <w:rsid w:val="0041475C"/>
    <w:rsid w:val="004147ED"/>
    <w:rsid w:val="004147F7"/>
    <w:rsid w:val="00414805"/>
    <w:rsid w:val="00414811"/>
    <w:rsid w:val="0041483E"/>
    <w:rsid w:val="0041486A"/>
    <w:rsid w:val="00414904"/>
    <w:rsid w:val="00414976"/>
    <w:rsid w:val="004149AD"/>
    <w:rsid w:val="00414A17"/>
    <w:rsid w:val="00414A36"/>
    <w:rsid w:val="00414A97"/>
    <w:rsid w:val="00414A9D"/>
    <w:rsid w:val="00414AFC"/>
    <w:rsid w:val="00414B00"/>
    <w:rsid w:val="00414B6B"/>
    <w:rsid w:val="00414C82"/>
    <w:rsid w:val="00414CE5"/>
    <w:rsid w:val="00414CF5"/>
    <w:rsid w:val="00414D2F"/>
    <w:rsid w:val="00414E4F"/>
    <w:rsid w:val="00414E91"/>
    <w:rsid w:val="00414F00"/>
    <w:rsid w:val="00414F38"/>
    <w:rsid w:val="00414F58"/>
    <w:rsid w:val="00414FA2"/>
    <w:rsid w:val="00414FCB"/>
    <w:rsid w:val="00414FF3"/>
    <w:rsid w:val="00414FFC"/>
    <w:rsid w:val="00415017"/>
    <w:rsid w:val="0041506B"/>
    <w:rsid w:val="00415080"/>
    <w:rsid w:val="0041509E"/>
    <w:rsid w:val="004150A8"/>
    <w:rsid w:val="0041510A"/>
    <w:rsid w:val="00415115"/>
    <w:rsid w:val="00415124"/>
    <w:rsid w:val="00415126"/>
    <w:rsid w:val="00415174"/>
    <w:rsid w:val="004151A9"/>
    <w:rsid w:val="004151BC"/>
    <w:rsid w:val="00415272"/>
    <w:rsid w:val="00415296"/>
    <w:rsid w:val="004152A5"/>
    <w:rsid w:val="0041532B"/>
    <w:rsid w:val="0041534C"/>
    <w:rsid w:val="0041538A"/>
    <w:rsid w:val="0041539C"/>
    <w:rsid w:val="004153AC"/>
    <w:rsid w:val="004153DC"/>
    <w:rsid w:val="004153E3"/>
    <w:rsid w:val="00415403"/>
    <w:rsid w:val="0041540A"/>
    <w:rsid w:val="00415545"/>
    <w:rsid w:val="00415559"/>
    <w:rsid w:val="00415575"/>
    <w:rsid w:val="004155CA"/>
    <w:rsid w:val="0041564E"/>
    <w:rsid w:val="00415668"/>
    <w:rsid w:val="00415679"/>
    <w:rsid w:val="00415700"/>
    <w:rsid w:val="00415706"/>
    <w:rsid w:val="0041571E"/>
    <w:rsid w:val="00415746"/>
    <w:rsid w:val="0041583E"/>
    <w:rsid w:val="00415863"/>
    <w:rsid w:val="0041591E"/>
    <w:rsid w:val="00415955"/>
    <w:rsid w:val="0041595C"/>
    <w:rsid w:val="004159A0"/>
    <w:rsid w:val="004159C4"/>
    <w:rsid w:val="00415A57"/>
    <w:rsid w:val="00415A9A"/>
    <w:rsid w:val="00415ACC"/>
    <w:rsid w:val="00415AD2"/>
    <w:rsid w:val="00415BAC"/>
    <w:rsid w:val="00415BD4"/>
    <w:rsid w:val="00415C50"/>
    <w:rsid w:val="00415CB0"/>
    <w:rsid w:val="00415CB2"/>
    <w:rsid w:val="00415CED"/>
    <w:rsid w:val="00415D3C"/>
    <w:rsid w:val="00415D97"/>
    <w:rsid w:val="00415DD9"/>
    <w:rsid w:val="00415F4F"/>
    <w:rsid w:val="00415F97"/>
    <w:rsid w:val="00415FB7"/>
    <w:rsid w:val="00415FF9"/>
    <w:rsid w:val="00416045"/>
    <w:rsid w:val="00416051"/>
    <w:rsid w:val="0041605F"/>
    <w:rsid w:val="004160CF"/>
    <w:rsid w:val="00416161"/>
    <w:rsid w:val="00416252"/>
    <w:rsid w:val="00416299"/>
    <w:rsid w:val="004162CC"/>
    <w:rsid w:val="0041631D"/>
    <w:rsid w:val="0041635A"/>
    <w:rsid w:val="0041635B"/>
    <w:rsid w:val="00416389"/>
    <w:rsid w:val="004163B1"/>
    <w:rsid w:val="00416418"/>
    <w:rsid w:val="00416424"/>
    <w:rsid w:val="0041645C"/>
    <w:rsid w:val="004164DC"/>
    <w:rsid w:val="0041650F"/>
    <w:rsid w:val="0041651D"/>
    <w:rsid w:val="00416531"/>
    <w:rsid w:val="0041655E"/>
    <w:rsid w:val="00416567"/>
    <w:rsid w:val="004165B3"/>
    <w:rsid w:val="004165DD"/>
    <w:rsid w:val="00416601"/>
    <w:rsid w:val="00416603"/>
    <w:rsid w:val="0041662A"/>
    <w:rsid w:val="0041663B"/>
    <w:rsid w:val="0041667A"/>
    <w:rsid w:val="004166B2"/>
    <w:rsid w:val="00416704"/>
    <w:rsid w:val="0041678E"/>
    <w:rsid w:val="004167A3"/>
    <w:rsid w:val="004167BC"/>
    <w:rsid w:val="004167DE"/>
    <w:rsid w:val="004167F5"/>
    <w:rsid w:val="0041685E"/>
    <w:rsid w:val="00416892"/>
    <w:rsid w:val="004168A4"/>
    <w:rsid w:val="004168AD"/>
    <w:rsid w:val="004168DE"/>
    <w:rsid w:val="00416906"/>
    <w:rsid w:val="00416923"/>
    <w:rsid w:val="00416986"/>
    <w:rsid w:val="0041699C"/>
    <w:rsid w:val="004169D3"/>
    <w:rsid w:val="00416A0D"/>
    <w:rsid w:val="00416AA6"/>
    <w:rsid w:val="00416AD2"/>
    <w:rsid w:val="00416AEB"/>
    <w:rsid w:val="00416AFF"/>
    <w:rsid w:val="00416B36"/>
    <w:rsid w:val="00416BBB"/>
    <w:rsid w:val="00416BD9"/>
    <w:rsid w:val="00416C9B"/>
    <w:rsid w:val="00416CE0"/>
    <w:rsid w:val="00416CEF"/>
    <w:rsid w:val="00416CF8"/>
    <w:rsid w:val="00416DB0"/>
    <w:rsid w:val="00416DF0"/>
    <w:rsid w:val="00416E13"/>
    <w:rsid w:val="00416E36"/>
    <w:rsid w:val="00416E88"/>
    <w:rsid w:val="00416F2E"/>
    <w:rsid w:val="00416F65"/>
    <w:rsid w:val="00416F6A"/>
    <w:rsid w:val="00416F8C"/>
    <w:rsid w:val="00416FD6"/>
    <w:rsid w:val="00416FDF"/>
    <w:rsid w:val="00416FE4"/>
    <w:rsid w:val="00416FE9"/>
    <w:rsid w:val="00417034"/>
    <w:rsid w:val="00417086"/>
    <w:rsid w:val="004170F4"/>
    <w:rsid w:val="00417149"/>
    <w:rsid w:val="004171AE"/>
    <w:rsid w:val="0041727B"/>
    <w:rsid w:val="004172A7"/>
    <w:rsid w:val="00417352"/>
    <w:rsid w:val="00417415"/>
    <w:rsid w:val="0041743A"/>
    <w:rsid w:val="0041748E"/>
    <w:rsid w:val="004174A5"/>
    <w:rsid w:val="004174B6"/>
    <w:rsid w:val="0041758D"/>
    <w:rsid w:val="004175E9"/>
    <w:rsid w:val="0041764D"/>
    <w:rsid w:val="00417660"/>
    <w:rsid w:val="0041769B"/>
    <w:rsid w:val="004176BB"/>
    <w:rsid w:val="00417730"/>
    <w:rsid w:val="0041774F"/>
    <w:rsid w:val="0041775F"/>
    <w:rsid w:val="004177B0"/>
    <w:rsid w:val="004177E6"/>
    <w:rsid w:val="00417850"/>
    <w:rsid w:val="00417894"/>
    <w:rsid w:val="0041789A"/>
    <w:rsid w:val="00417950"/>
    <w:rsid w:val="004179A1"/>
    <w:rsid w:val="004179B9"/>
    <w:rsid w:val="004179E9"/>
    <w:rsid w:val="00417A39"/>
    <w:rsid w:val="00417A3F"/>
    <w:rsid w:val="00417A56"/>
    <w:rsid w:val="00417AB4"/>
    <w:rsid w:val="00417B1E"/>
    <w:rsid w:val="00417B22"/>
    <w:rsid w:val="00417B46"/>
    <w:rsid w:val="00417BB5"/>
    <w:rsid w:val="00417C1A"/>
    <w:rsid w:val="00417C2B"/>
    <w:rsid w:val="00417C90"/>
    <w:rsid w:val="00417CC5"/>
    <w:rsid w:val="00417D3B"/>
    <w:rsid w:val="00417DDA"/>
    <w:rsid w:val="00417DE0"/>
    <w:rsid w:val="00417E4A"/>
    <w:rsid w:val="00417E5B"/>
    <w:rsid w:val="00417EDC"/>
    <w:rsid w:val="00417EE3"/>
    <w:rsid w:val="00417F1F"/>
    <w:rsid w:val="00417F79"/>
    <w:rsid w:val="00417FB1"/>
    <w:rsid w:val="0042000B"/>
    <w:rsid w:val="0042009C"/>
    <w:rsid w:val="004200A4"/>
    <w:rsid w:val="00420158"/>
    <w:rsid w:val="0042015E"/>
    <w:rsid w:val="00420222"/>
    <w:rsid w:val="00420230"/>
    <w:rsid w:val="00420237"/>
    <w:rsid w:val="0042023B"/>
    <w:rsid w:val="00420283"/>
    <w:rsid w:val="004202F3"/>
    <w:rsid w:val="00420308"/>
    <w:rsid w:val="00420342"/>
    <w:rsid w:val="00420367"/>
    <w:rsid w:val="004203C3"/>
    <w:rsid w:val="004203C5"/>
    <w:rsid w:val="0042043E"/>
    <w:rsid w:val="00420458"/>
    <w:rsid w:val="00420463"/>
    <w:rsid w:val="004204BA"/>
    <w:rsid w:val="004204C3"/>
    <w:rsid w:val="004204C8"/>
    <w:rsid w:val="004204EF"/>
    <w:rsid w:val="00420503"/>
    <w:rsid w:val="00420558"/>
    <w:rsid w:val="0042058F"/>
    <w:rsid w:val="00420590"/>
    <w:rsid w:val="004206C4"/>
    <w:rsid w:val="004206C6"/>
    <w:rsid w:val="0042072C"/>
    <w:rsid w:val="0042077C"/>
    <w:rsid w:val="00420787"/>
    <w:rsid w:val="004207C6"/>
    <w:rsid w:val="004207E3"/>
    <w:rsid w:val="004207F5"/>
    <w:rsid w:val="00420843"/>
    <w:rsid w:val="0042087E"/>
    <w:rsid w:val="00420889"/>
    <w:rsid w:val="00420890"/>
    <w:rsid w:val="004208D7"/>
    <w:rsid w:val="00420921"/>
    <w:rsid w:val="00420936"/>
    <w:rsid w:val="00420A4C"/>
    <w:rsid w:val="00420A72"/>
    <w:rsid w:val="00420A80"/>
    <w:rsid w:val="00420A8B"/>
    <w:rsid w:val="00420A9E"/>
    <w:rsid w:val="00420AB3"/>
    <w:rsid w:val="00420AD1"/>
    <w:rsid w:val="00420BEA"/>
    <w:rsid w:val="00420D10"/>
    <w:rsid w:val="00420D2B"/>
    <w:rsid w:val="00420D82"/>
    <w:rsid w:val="00420DDC"/>
    <w:rsid w:val="00420E0F"/>
    <w:rsid w:val="00420E14"/>
    <w:rsid w:val="00420E2F"/>
    <w:rsid w:val="00420E3C"/>
    <w:rsid w:val="00420E9E"/>
    <w:rsid w:val="00420F2D"/>
    <w:rsid w:val="004210AA"/>
    <w:rsid w:val="004210B1"/>
    <w:rsid w:val="004210E5"/>
    <w:rsid w:val="0042113A"/>
    <w:rsid w:val="00421144"/>
    <w:rsid w:val="0042115B"/>
    <w:rsid w:val="004211C5"/>
    <w:rsid w:val="00421209"/>
    <w:rsid w:val="00421211"/>
    <w:rsid w:val="004212CD"/>
    <w:rsid w:val="00421302"/>
    <w:rsid w:val="0042131B"/>
    <w:rsid w:val="00421329"/>
    <w:rsid w:val="004213B4"/>
    <w:rsid w:val="004213C2"/>
    <w:rsid w:val="004213CE"/>
    <w:rsid w:val="0042141C"/>
    <w:rsid w:val="00421455"/>
    <w:rsid w:val="004214CC"/>
    <w:rsid w:val="004214D9"/>
    <w:rsid w:val="004214E6"/>
    <w:rsid w:val="00421543"/>
    <w:rsid w:val="004216AF"/>
    <w:rsid w:val="004216C8"/>
    <w:rsid w:val="004216D5"/>
    <w:rsid w:val="00421729"/>
    <w:rsid w:val="00421819"/>
    <w:rsid w:val="0042181A"/>
    <w:rsid w:val="0042183C"/>
    <w:rsid w:val="00421854"/>
    <w:rsid w:val="004218E6"/>
    <w:rsid w:val="00421A07"/>
    <w:rsid w:val="00421A3E"/>
    <w:rsid w:val="00421A92"/>
    <w:rsid w:val="00421AA9"/>
    <w:rsid w:val="00421B46"/>
    <w:rsid w:val="00421B64"/>
    <w:rsid w:val="00421B93"/>
    <w:rsid w:val="00421BBC"/>
    <w:rsid w:val="00421C03"/>
    <w:rsid w:val="00421C65"/>
    <w:rsid w:val="00421CE6"/>
    <w:rsid w:val="00421D88"/>
    <w:rsid w:val="00421DE0"/>
    <w:rsid w:val="00421DF5"/>
    <w:rsid w:val="00421F5F"/>
    <w:rsid w:val="00421F65"/>
    <w:rsid w:val="00421FC2"/>
    <w:rsid w:val="00421FCD"/>
    <w:rsid w:val="004220BC"/>
    <w:rsid w:val="004220DB"/>
    <w:rsid w:val="004220E6"/>
    <w:rsid w:val="00422129"/>
    <w:rsid w:val="0042224E"/>
    <w:rsid w:val="00422254"/>
    <w:rsid w:val="00422265"/>
    <w:rsid w:val="00422267"/>
    <w:rsid w:val="004222CE"/>
    <w:rsid w:val="00422303"/>
    <w:rsid w:val="0042231C"/>
    <w:rsid w:val="0042232B"/>
    <w:rsid w:val="00422354"/>
    <w:rsid w:val="0042236F"/>
    <w:rsid w:val="0042237F"/>
    <w:rsid w:val="004223A4"/>
    <w:rsid w:val="004223E7"/>
    <w:rsid w:val="0042245F"/>
    <w:rsid w:val="00422467"/>
    <w:rsid w:val="004224AD"/>
    <w:rsid w:val="004224E2"/>
    <w:rsid w:val="004224F4"/>
    <w:rsid w:val="00422541"/>
    <w:rsid w:val="0042259E"/>
    <w:rsid w:val="00422649"/>
    <w:rsid w:val="004226DF"/>
    <w:rsid w:val="00422733"/>
    <w:rsid w:val="0042276E"/>
    <w:rsid w:val="00422780"/>
    <w:rsid w:val="00422782"/>
    <w:rsid w:val="0042279A"/>
    <w:rsid w:val="004227DA"/>
    <w:rsid w:val="0042283A"/>
    <w:rsid w:val="00422849"/>
    <w:rsid w:val="0042286A"/>
    <w:rsid w:val="004228BD"/>
    <w:rsid w:val="004228D4"/>
    <w:rsid w:val="00422945"/>
    <w:rsid w:val="00422947"/>
    <w:rsid w:val="00422960"/>
    <w:rsid w:val="004229BD"/>
    <w:rsid w:val="004229E2"/>
    <w:rsid w:val="00422A1F"/>
    <w:rsid w:val="00422A89"/>
    <w:rsid w:val="00422A92"/>
    <w:rsid w:val="00422AA6"/>
    <w:rsid w:val="00422ADF"/>
    <w:rsid w:val="00422AF3"/>
    <w:rsid w:val="00422BC8"/>
    <w:rsid w:val="00422C87"/>
    <w:rsid w:val="00422D53"/>
    <w:rsid w:val="00422D7A"/>
    <w:rsid w:val="00422E0D"/>
    <w:rsid w:val="00422EB5"/>
    <w:rsid w:val="00422F57"/>
    <w:rsid w:val="00422F91"/>
    <w:rsid w:val="00422F9F"/>
    <w:rsid w:val="00422FE4"/>
    <w:rsid w:val="004230B4"/>
    <w:rsid w:val="0042310D"/>
    <w:rsid w:val="0042314B"/>
    <w:rsid w:val="0042315D"/>
    <w:rsid w:val="00423170"/>
    <w:rsid w:val="00423197"/>
    <w:rsid w:val="0042319D"/>
    <w:rsid w:val="004231D5"/>
    <w:rsid w:val="004231D8"/>
    <w:rsid w:val="004231ED"/>
    <w:rsid w:val="00423225"/>
    <w:rsid w:val="00423304"/>
    <w:rsid w:val="00423331"/>
    <w:rsid w:val="0042334E"/>
    <w:rsid w:val="0042338E"/>
    <w:rsid w:val="004233BF"/>
    <w:rsid w:val="00423411"/>
    <w:rsid w:val="0042342E"/>
    <w:rsid w:val="00423430"/>
    <w:rsid w:val="00423431"/>
    <w:rsid w:val="00423455"/>
    <w:rsid w:val="004234F3"/>
    <w:rsid w:val="0042356A"/>
    <w:rsid w:val="004236A5"/>
    <w:rsid w:val="004236BB"/>
    <w:rsid w:val="00423731"/>
    <w:rsid w:val="004237E7"/>
    <w:rsid w:val="00423815"/>
    <w:rsid w:val="00423825"/>
    <w:rsid w:val="0042389C"/>
    <w:rsid w:val="0042397E"/>
    <w:rsid w:val="004239FA"/>
    <w:rsid w:val="00423A63"/>
    <w:rsid w:val="00423A97"/>
    <w:rsid w:val="00423AAE"/>
    <w:rsid w:val="00423AF0"/>
    <w:rsid w:val="00423B12"/>
    <w:rsid w:val="00423B37"/>
    <w:rsid w:val="00423BF9"/>
    <w:rsid w:val="00423BFB"/>
    <w:rsid w:val="00423D26"/>
    <w:rsid w:val="00423DCE"/>
    <w:rsid w:val="00423E68"/>
    <w:rsid w:val="00423E81"/>
    <w:rsid w:val="00423ED2"/>
    <w:rsid w:val="00423F21"/>
    <w:rsid w:val="00423F71"/>
    <w:rsid w:val="00423FE3"/>
    <w:rsid w:val="00423FE6"/>
    <w:rsid w:val="00423FFD"/>
    <w:rsid w:val="00424033"/>
    <w:rsid w:val="00424061"/>
    <w:rsid w:val="0042406F"/>
    <w:rsid w:val="00424072"/>
    <w:rsid w:val="004241D6"/>
    <w:rsid w:val="00424211"/>
    <w:rsid w:val="004242CD"/>
    <w:rsid w:val="00424344"/>
    <w:rsid w:val="00424357"/>
    <w:rsid w:val="00424360"/>
    <w:rsid w:val="004243FC"/>
    <w:rsid w:val="00424413"/>
    <w:rsid w:val="00424457"/>
    <w:rsid w:val="004244E2"/>
    <w:rsid w:val="00424551"/>
    <w:rsid w:val="00424556"/>
    <w:rsid w:val="004245CD"/>
    <w:rsid w:val="00424617"/>
    <w:rsid w:val="00424642"/>
    <w:rsid w:val="004246E4"/>
    <w:rsid w:val="00424775"/>
    <w:rsid w:val="0042479C"/>
    <w:rsid w:val="004247C9"/>
    <w:rsid w:val="00424886"/>
    <w:rsid w:val="004248CC"/>
    <w:rsid w:val="004248E3"/>
    <w:rsid w:val="004248FF"/>
    <w:rsid w:val="004249A1"/>
    <w:rsid w:val="004249DC"/>
    <w:rsid w:val="004249F0"/>
    <w:rsid w:val="004249F8"/>
    <w:rsid w:val="00424A13"/>
    <w:rsid w:val="00424A19"/>
    <w:rsid w:val="00424A70"/>
    <w:rsid w:val="00424A9D"/>
    <w:rsid w:val="00424AB5"/>
    <w:rsid w:val="00424AF5"/>
    <w:rsid w:val="00424BB2"/>
    <w:rsid w:val="00424C07"/>
    <w:rsid w:val="00424C60"/>
    <w:rsid w:val="00424C62"/>
    <w:rsid w:val="00424C6B"/>
    <w:rsid w:val="00424CA2"/>
    <w:rsid w:val="00424CD6"/>
    <w:rsid w:val="00424CE0"/>
    <w:rsid w:val="00424CE9"/>
    <w:rsid w:val="00424CEF"/>
    <w:rsid w:val="00424E94"/>
    <w:rsid w:val="00424FD8"/>
    <w:rsid w:val="00425073"/>
    <w:rsid w:val="0042510E"/>
    <w:rsid w:val="00425136"/>
    <w:rsid w:val="0042513A"/>
    <w:rsid w:val="004251C4"/>
    <w:rsid w:val="004251F8"/>
    <w:rsid w:val="00425227"/>
    <w:rsid w:val="0042523D"/>
    <w:rsid w:val="00425245"/>
    <w:rsid w:val="00425266"/>
    <w:rsid w:val="0042527F"/>
    <w:rsid w:val="0042528C"/>
    <w:rsid w:val="004252AD"/>
    <w:rsid w:val="004252F2"/>
    <w:rsid w:val="004252FF"/>
    <w:rsid w:val="0042532F"/>
    <w:rsid w:val="0042539A"/>
    <w:rsid w:val="004253B3"/>
    <w:rsid w:val="0042545E"/>
    <w:rsid w:val="0042547B"/>
    <w:rsid w:val="004254B7"/>
    <w:rsid w:val="00425512"/>
    <w:rsid w:val="00425544"/>
    <w:rsid w:val="00425552"/>
    <w:rsid w:val="0042556E"/>
    <w:rsid w:val="004255A4"/>
    <w:rsid w:val="004255E9"/>
    <w:rsid w:val="0042562F"/>
    <w:rsid w:val="00425640"/>
    <w:rsid w:val="00425650"/>
    <w:rsid w:val="00425656"/>
    <w:rsid w:val="00425663"/>
    <w:rsid w:val="0042566D"/>
    <w:rsid w:val="0042568F"/>
    <w:rsid w:val="0042570B"/>
    <w:rsid w:val="00425754"/>
    <w:rsid w:val="0042578F"/>
    <w:rsid w:val="00425813"/>
    <w:rsid w:val="0042582A"/>
    <w:rsid w:val="0042582C"/>
    <w:rsid w:val="00425871"/>
    <w:rsid w:val="00425885"/>
    <w:rsid w:val="004258EA"/>
    <w:rsid w:val="0042598C"/>
    <w:rsid w:val="004259BB"/>
    <w:rsid w:val="00425A10"/>
    <w:rsid w:val="00425A33"/>
    <w:rsid w:val="00425A9B"/>
    <w:rsid w:val="00425AB2"/>
    <w:rsid w:val="00425B02"/>
    <w:rsid w:val="00425B2A"/>
    <w:rsid w:val="00425B59"/>
    <w:rsid w:val="00425C6B"/>
    <w:rsid w:val="00425C6D"/>
    <w:rsid w:val="00425D88"/>
    <w:rsid w:val="00425D9D"/>
    <w:rsid w:val="00425DCA"/>
    <w:rsid w:val="00425DCF"/>
    <w:rsid w:val="00425E67"/>
    <w:rsid w:val="00425EEC"/>
    <w:rsid w:val="00425EFD"/>
    <w:rsid w:val="00425F09"/>
    <w:rsid w:val="00425FAB"/>
    <w:rsid w:val="0042607E"/>
    <w:rsid w:val="0042614F"/>
    <w:rsid w:val="00426161"/>
    <w:rsid w:val="00426196"/>
    <w:rsid w:val="004261BA"/>
    <w:rsid w:val="004261C1"/>
    <w:rsid w:val="004261FA"/>
    <w:rsid w:val="004261FC"/>
    <w:rsid w:val="00426229"/>
    <w:rsid w:val="0042627B"/>
    <w:rsid w:val="004262E3"/>
    <w:rsid w:val="004262E6"/>
    <w:rsid w:val="004262EF"/>
    <w:rsid w:val="004262FB"/>
    <w:rsid w:val="0042631F"/>
    <w:rsid w:val="00426327"/>
    <w:rsid w:val="00426328"/>
    <w:rsid w:val="00426342"/>
    <w:rsid w:val="00426360"/>
    <w:rsid w:val="004263BB"/>
    <w:rsid w:val="004263BD"/>
    <w:rsid w:val="004263F5"/>
    <w:rsid w:val="00426410"/>
    <w:rsid w:val="00426498"/>
    <w:rsid w:val="004264F2"/>
    <w:rsid w:val="00426528"/>
    <w:rsid w:val="0042652E"/>
    <w:rsid w:val="00426543"/>
    <w:rsid w:val="00426566"/>
    <w:rsid w:val="00426589"/>
    <w:rsid w:val="004265A3"/>
    <w:rsid w:val="004265F7"/>
    <w:rsid w:val="0042669F"/>
    <w:rsid w:val="004266AA"/>
    <w:rsid w:val="004266DA"/>
    <w:rsid w:val="004266DE"/>
    <w:rsid w:val="00426723"/>
    <w:rsid w:val="0042674A"/>
    <w:rsid w:val="0042678B"/>
    <w:rsid w:val="00426809"/>
    <w:rsid w:val="00426839"/>
    <w:rsid w:val="0042684E"/>
    <w:rsid w:val="0042687B"/>
    <w:rsid w:val="004268A4"/>
    <w:rsid w:val="004268D9"/>
    <w:rsid w:val="004268E3"/>
    <w:rsid w:val="00426986"/>
    <w:rsid w:val="004269AE"/>
    <w:rsid w:val="00426A3A"/>
    <w:rsid w:val="00426B22"/>
    <w:rsid w:val="00426B30"/>
    <w:rsid w:val="00426B95"/>
    <w:rsid w:val="00426BBE"/>
    <w:rsid w:val="00426BCD"/>
    <w:rsid w:val="00426C1F"/>
    <w:rsid w:val="00426CB3"/>
    <w:rsid w:val="00426CC0"/>
    <w:rsid w:val="00426CED"/>
    <w:rsid w:val="00426D59"/>
    <w:rsid w:val="00426D62"/>
    <w:rsid w:val="00426DBE"/>
    <w:rsid w:val="00426DCF"/>
    <w:rsid w:val="00426E8A"/>
    <w:rsid w:val="00426E8D"/>
    <w:rsid w:val="00426EB6"/>
    <w:rsid w:val="00426F04"/>
    <w:rsid w:val="00426F82"/>
    <w:rsid w:val="00427038"/>
    <w:rsid w:val="00427075"/>
    <w:rsid w:val="004270C5"/>
    <w:rsid w:val="004270C7"/>
    <w:rsid w:val="004270F5"/>
    <w:rsid w:val="00427115"/>
    <w:rsid w:val="00427119"/>
    <w:rsid w:val="004271BB"/>
    <w:rsid w:val="004271E3"/>
    <w:rsid w:val="004271EA"/>
    <w:rsid w:val="0042724B"/>
    <w:rsid w:val="0042727E"/>
    <w:rsid w:val="00427306"/>
    <w:rsid w:val="0042730D"/>
    <w:rsid w:val="00427321"/>
    <w:rsid w:val="0042735D"/>
    <w:rsid w:val="004273CD"/>
    <w:rsid w:val="004273E6"/>
    <w:rsid w:val="00427401"/>
    <w:rsid w:val="00427411"/>
    <w:rsid w:val="0042741D"/>
    <w:rsid w:val="004274A4"/>
    <w:rsid w:val="004274AE"/>
    <w:rsid w:val="004274F6"/>
    <w:rsid w:val="00427520"/>
    <w:rsid w:val="0042752C"/>
    <w:rsid w:val="00427531"/>
    <w:rsid w:val="00427569"/>
    <w:rsid w:val="00427614"/>
    <w:rsid w:val="00427675"/>
    <w:rsid w:val="00427683"/>
    <w:rsid w:val="004276C9"/>
    <w:rsid w:val="004276D8"/>
    <w:rsid w:val="004276E3"/>
    <w:rsid w:val="004276F1"/>
    <w:rsid w:val="004276F5"/>
    <w:rsid w:val="00427704"/>
    <w:rsid w:val="00427761"/>
    <w:rsid w:val="00427776"/>
    <w:rsid w:val="004277EC"/>
    <w:rsid w:val="00427805"/>
    <w:rsid w:val="0042783E"/>
    <w:rsid w:val="00427852"/>
    <w:rsid w:val="004278E2"/>
    <w:rsid w:val="00427904"/>
    <w:rsid w:val="00427920"/>
    <w:rsid w:val="00427922"/>
    <w:rsid w:val="004279B5"/>
    <w:rsid w:val="004279DB"/>
    <w:rsid w:val="004279E4"/>
    <w:rsid w:val="00427A08"/>
    <w:rsid w:val="00427A29"/>
    <w:rsid w:val="00427B31"/>
    <w:rsid w:val="00427B6C"/>
    <w:rsid w:val="00427B90"/>
    <w:rsid w:val="00427BC3"/>
    <w:rsid w:val="00427BDB"/>
    <w:rsid w:val="00427BF4"/>
    <w:rsid w:val="00427C10"/>
    <w:rsid w:val="00427C5A"/>
    <w:rsid w:val="00427CBB"/>
    <w:rsid w:val="00427D18"/>
    <w:rsid w:val="00427DC7"/>
    <w:rsid w:val="00427DEF"/>
    <w:rsid w:val="00427ECB"/>
    <w:rsid w:val="00427EF0"/>
    <w:rsid w:val="00427F6E"/>
    <w:rsid w:val="00427FE5"/>
    <w:rsid w:val="0043001F"/>
    <w:rsid w:val="004300A4"/>
    <w:rsid w:val="004300BB"/>
    <w:rsid w:val="00430122"/>
    <w:rsid w:val="00430159"/>
    <w:rsid w:val="004301AE"/>
    <w:rsid w:val="004301B6"/>
    <w:rsid w:val="004301C9"/>
    <w:rsid w:val="004301CA"/>
    <w:rsid w:val="004301E8"/>
    <w:rsid w:val="00430201"/>
    <w:rsid w:val="00430209"/>
    <w:rsid w:val="00430236"/>
    <w:rsid w:val="00430282"/>
    <w:rsid w:val="004302FD"/>
    <w:rsid w:val="00430378"/>
    <w:rsid w:val="00430380"/>
    <w:rsid w:val="00430494"/>
    <w:rsid w:val="004304B1"/>
    <w:rsid w:val="00430516"/>
    <w:rsid w:val="00430520"/>
    <w:rsid w:val="00430526"/>
    <w:rsid w:val="00430649"/>
    <w:rsid w:val="00430704"/>
    <w:rsid w:val="00430708"/>
    <w:rsid w:val="0043071D"/>
    <w:rsid w:val="00430764"/>
    <w:rsid w:val="00430793"/>
    <w:rsid w:val="004307B9"/>
    <w:rsid w:val="004307C2"/>
    <w:rsid w:val="004307C4"/>
    <w:rsid w:val="00430803"/>
    <w:rsid w:val="0043086D"/>
    <w:rsid w:val="004308AF"/>
    <w:rsid w:val="004308D2"/>
    <w:rsid w:val="004308F4"/>
    <w:rsid w:val="0043090E"/>
    <w:rsid w:val="0043091A"/>
    <w:rsid w:val="00430953"/>
    <w:rsid w:val="00430957"/>
    <w:rsid w:val="00430995"/>
    <w:rsid w:val="004309BA"/>
    <w:rsid w:val="00430A29"/>
    <w:rsid w:val="00430AC5"/>
    <w:rsid w:val="00430AFE"/>
    <w:rsid w:val="00430B0A"/>
    <w:rsid w:val="00430B41"/>
    <w:rsid w:val="00430B9C"/>
    <w:rsid w:val="00430BA8"/>
    <w:rsid w:val="00430BB3"/>
    <w:rsid w:val="00430BB5"/>
    <w:rsid w:val="00430BB8"/>
    <w:rsid w:val="00430BD7"/>
    <w:rsid w:val="00430BF4"/>
    <w:rsid w:val="00430C27"/>
    <w:rsid w:val="00430C9F"/>
    <w:rsid w:val="00430CD8"/>
    <w:rsid w:val="00430D13"/>
    <w:rsid w:val="00430D26"/>
    <w:rsid w:val="00430D54"/>
    <w:rsid w:val="00430D71"/>
    <w:rsid w:val="00430E19"/>
    <w:rsid w:val="00430E1B"/>
    <w:rsid w:val="00430E2C"/>
    <w:rsid w:val="00430EC9"/>
    <w:rsid w:val="00430EF3"/>
    <w:rsid w:val="00430F3E"/>
    <w:rsid w:val="00430F49"/>
    <w:rsid w:val="0043100B"/>
    <w:rsid w:val="00431023"/>
    <w:rsid w:val="00431034"/>
    <w:rsid w:val="0043103C"/>
    <w:rsid w:val="00431045"/>
    <w:rsid w:val="0043105C"/>
    <w:rsid w:val="004310C2"/>
    <w:rsid w:val="004310CF"/>
    <w:rsid w:val="00431102"/>
    <w:rsid w:val="00431106"/>
    <w:rsid w:val="0043114F"/>
    <w:rsid w:val="00431177"/>
    <w:rsid w:val="0043118F"/>
    <w:rsid w:val="00431193"/>
    <w:rsid w:val="00431197"/>
    <w:rsid w:val="0043128F"/>
    <w:rsid w:val="004312A7"/>
    <w:rsid w:val="004312EE"/>
    <w:rsid w:val="0043138C"/>
    <w:rsid w:val="0043142D"/>
    <w:rsid w:val="00431448"/>
    <w:rsid w:val="00431499"/>
    <w:rsid w:val="004314C3"/>
    <w:rsid w:val="004314E1"/>
    <w:rsid w:val="0043157F"/>
    <w:rsid w:val="0043158C"/>
    <w:rsid w:val="004315D4"/>
    <w:rsid w:val="0043166C"/>
    <w:rsid w:val="00431705"/>
    <w:rsid w:val="00431761"/>
    <w:rsid w:val="00431785"/>
    <w:rsid w:val="00431786"/>
    <w:rsid w:val="004317D3"/>
    <w:rsid w:val="00431847"/>
    <w:rsid w:val="00431890"/>
    <w:rsid w:val="00431898"/>
    <w:rsid w:val="004318F0"/>
    <w:rsid w:val="00431920"/>
    <w:rsid w:val="004319B5"/>
    <w:rsid w:val="00431A14"/>
    <w:rsid w:val="00431A68"/>
    <w:rsid w:val="00431A6D"/>
    <w:rsid w:val="00431B37"/>
    <w:rsid w:val="00431B4E"/>
    <w:rsid w:val="00431B78"/>
    <w:rsid w:val="00431BAC"/>
    <w:rsid w:val="00431C7A"/>
    <w:rsid w:val="00431CC7"/>
    <w:rsid w:val="00431CDE"/>
    <w:rsid w:val="00431D58"/>
    <w:rsid w:val="00431D8E"/>
    <w:rsid w:val="00431DA5"/>
    <w:rsid w:val="00431DC7"/>
    <w:rsid w:val="00431E31"/>
    <w:rsid w:val="00431EBD"/>
    <w:rsid w:val="00431ED2"/>
    <w:rsid w:val="00431F2F"/>
    <w:rsid w:val="00431F58"/>
    <w:rsid w:val="00431F8F"/>
    <w:rsid w:val="00431FCD"/>
    <w:rsid w:val="00432050"/>
    <w:rsid w:val="004320F7"/>
    <w:rsid w:val="00432199"/>
    <w:rsid w:val="004321DE"/>
    <w:rsid w:val="004322A7"/>
    <w:rsid w:val="004322DF"/>
    <w:rsid w:val="0043235F"/>
    <w:rsid w:val="0043237E"/>
    <w:rsid w:val="004323B8"/>
    <w:rsid w:val="004323C0"/>
    <w:rsid w:val="004323FC"/>
    <w:rsid w:val="0043243A"/>
    <w:rsid w:val="0043243C"/>
    <w:rsid w:val="0043244D"/>
    <w:rsid w:val="00432461"/>
    <w:rsid w:val="0043247C"/>
    <w:rsid w:val="00432513"/>
    <w:rsid w:val="004325BF"/>
    <w:rsid w:val="00432611"/>
    <w:rsid w:val="00432647"/>
    <w:rsid w:val="00432659"/>
    <w:rsid w:val="004326B2"/>
    <w:rsid w:val="004326D7"/>
    <w:rsid w:val="004326E2"/>
    <w:rsid w:val="004327B5"/>
    <w:rsid w:val="004327D7"/>
    <w:rsid w:val="00432811"/>
    <w:rsid w:val="0043282D"/>
    <w:rsid w:val="00432843"/>
    <w:rsid w:val="004328B9"/>
    <w:rsid w:val="004328DC"/>
    <w:rsid w:val="004328E9"/>
    <w:rsid w:val="004328F2"/>
    <w:rsid w:val="0043294C"/>
    <w:rsid w:val="00432A0C"/>
    <w:rsid w:val="00432A1A"/>
    <w:rsid w:val="00432A3A"/>
    <w:rsid w:val="00432A4B"/>
    <w:rsid w:val="00432A6F"/>
    <w:rsid w:val="00432ADE"/>
    <w:rsid w:val="00432B30"/>
    <w:rsid w:val="00432B5D"/>
    <w:rsid w:val="00432B6C"/>
    <w:rsid w:val="00432BB9"/>
    <w:rsid w:val="00432C0C"/>
    <w:rsid w:val="00432C27"/>
    <w:rsid w:val="00432C69"/>
    <w:rsid w:val="00432C9D"/>
    <w:rsid w:val="00432CE3"/>
    <w:rsid w:val="00432D05"/>
    <w:rsid w:val="00432D49"/>
    <w:rsid w:val="00432D62"/>
    <w:rsid w:val="00432DA2"/>
    <w:rsid w:val="00432DAA"/>
    <w:rsid w:val="00432DCB"/>
    <w:rsid w:val="00432DDB"/>
    <w:rsid w:val="00432DFF"/>
    <w:rsid w:val="00432E2D"/>
    <w:rsid w:val="00432E72"/>
    <w:rsid w:val="00432E77"/>
    <w:rsid w:val="00432EAD"/>
    <w:rsid w:val="00432EB9"/>
    <w:rsid w:val="00432EBB"/>
    <w:rsid w:val="00432F07"/>
    <w:rsid w:val="00432F4A"/>
    <w:rsid w:val="00432F50"/>
    <w:rsid w:val="00432F6B"/>
    <w:rsid w:val="00432FB1"/>
    <w:rsid w:val="00433130"/>
    <w:rsid w:val="00433167"/>
    <w:rsid w:val="004331CF"/>
    <w:rsid w:val="00433205"/>
    <w:rsid w:val="0043320E"/>
    <w:rsid w:val="004332D7"/>
    <w:rsid w:val="004332F3"/>
    <w:rsid w:val="00433336"/>
    <w:rsid w:val="00433362"/>
    <w:rsid w:val="00433366"/>
    <w:rsid w:val="00433405"/>
    <w:rsid w:val="00433446"/>
    <w:rsid w:val="004334C9"/>
    <w:rsid w:val="00433608"/>
    <w:rsid w:val="00433618"/>
    <w:rsid w:val="0043368F"/>
    <w:rsid w:val="004336D8"/>
    <w:rsid w:val="0043370B"/>
    <w:rsid w:val="00433750"/>
    <w:rsid w:val="0043382A"/>
    <w:rsid w:val="00433844"/>
    <w:rsid w:val="0043385E"/>
    <w:rsid w:val="004338A7"/>
    <w:rsid w:val="004338C2"/>
    <w:rsid w:val="00433924"/>
    <w:rsid w:val="00433959"/>
    <w:rsid w:val="0043396B"/>
    <w:rsid w:val="00433A1D"/>
    <w:rsid w:val="00433A63"/>
    <w:rsid w:val="00433AC5"/>
    <w:rsid w:val="00433ACD"/>
    <w:rsid w:val="00433B22"/>
    <w:rsid w:val="00433B2C"/>
    <w:rsid w:val="00433B66"/>
    <w:rsid w:val="00433B9D"/>
    <w:rsid w:val="00433BCF"/>
    <w:rsid w:val="00433BD3"/>
    <w:rsid w:val="00433BD6"/>
    <w:rsid w:val="00433BDD"/>
    <w:rsid w:val="00433BF6"/>
    <w:rsid w:val="00433C17"/>
    <w:rsid w:val="00433C1D"/>
    <w:rsid w:val="00433C2D"/>
    <w:rsid w:val="00433CD1"/>
    <w:rsid w:val="00433CFF"/>
    <w:rsid w:val="00433D9B"/>
    <w:rsid w:val="00433D9C"/>
    <w:rsid w:val="00433E0F"/>
    <w:rsid w:val="00433E16"/>
    <w:rsid w:val="00433E1C"/>
    <w:rsid w:val="00433EAD"/>
    <w:rsid w:val="00433F1A"/>
    <w:rsid w:val="00433F30"/>
    <w:rsid w:val="00433F3F"/>
    <w:rsid w:val="00433FB2"/>
    <w:rsid w:val="00434015"/>
    <w:rsid w:val="00434017"/>
    <w:rsid w:val="004340AF"/>
    <w:rsid w:val="00434181"/>
    <w:rsid w:val="004341D6"/>
    <w:rsid w:val="004341D9"/>
    <w:rsid w:val="0043429A"/>
    <w:rsid w:val="004342A7"/>
    <w:rsid w:val="00434358"/>
    <w:rsid w:val="004343C1"/>
    <w:rsid w:val="00434502"/>
    <w:rsid w:val="00434532"/>
    <w:rsid w:val="00434547"/>
    <w:rsid w:val="0043455C"/>
    <w:rsid w:val="0043457F"/>
    <w:rsid w:val="004345A1"/>
    <w:rsid w:val="004345AA"/>
    <w:rsid w:val="004345C5"/>
    <w:rsid w:val="004345E8"/>
    <w:rsid w:val="00434679"/>
    <w:rsid w:val="00434692"/>
    <w:rsid w:val="004346CA"/>
    <w:rsid w:val="004346E8"/>
    <w:rsid w:val="0043470B"/>
    <w:rsid w:val="00434769"/>
    <w:rsid w:val="00434800"/>
    <w:rsid w:val="00434825"/>
    <w:rsid w:val="00434835"/>
    <w:rsid w:val="00434837"/>
    <w:rsid w:val="0043483B"/>
    <w:rsid w:val="0043484F"/>
    <w:rsid w:val="0043486F"/>
    <w:rsid w:val="004348A0"/>
    <w:rsid w:val="004348D1"/>
    <w:rsid w:val="0043495B"/>
    <w:rsid w:val="004349BA"/>
    <w:rsid w:val="004349E0"/>
    <w:rsid w:val="00434A0B"/>
    <w:rsid w:val="00434A47"/>
    <w:rsid w:val="00434A69"/>
    <w:rsid w:val="00434B56"/>
    <w:rsid w:val="00434B92"/>
    <w:rsid w:val="00434BCF"/>
    <w:rsid w:val="00434C3D"/>
    <w:rsid w:val="00434C89"/>
    <w:rsid w:val="00434CB9"/>
    <w:rsid w:val="00434CDF"/>
    <w:rsid w:val="00434CE4"/>
    <w:rsid w:val="00434D04"/>
    <w:rsid w:val="00434D35"/>
    <w:rsid w:val="00434D51"/>
    <w:rsid w:val="00434D77"/>
    <w:rsid w:val="00434DA1"/>
    <w:rsid w:val="00434DBD"/>
    <w:rsid w:val="00434DFA"/>
    <w:rsid w:val="00434EBB"/>
    <w:rsid w:val="00434F06"/>
    <w:rsid w:val="00434F15"/>
    <w:rsid w:val="00434F19"/>
    <w:rsid w:val="00434F1D"/>
    <w:rsid w:val="00434FA4"/>
    <w:rsid w:val="00435031"/>
    <w:rsid w:val="00435127"/>
    <w:rsid w:val="00435141"/>
    <w:rsid w:val="004351B8"/>
    <w:rsid w:val="004351E4"/>
    <w:rsid w:val="00435243"/>
    <w:rsid w:val="00435256"/>
    <w:rsid w:val="00435269"/>
    <w:rsid w:val="004352AE"/>
    <w:rsid w:val="004352B0"/>
    <w:rsid w:val="004352B1"/>
    <w:rsid w:val="004352BC"/>
    <w:rsid w:val="00435311"/>
    <w:rsid w:val="00435347"/>
    <w:rsid w:val="00435416"/>
    <w:rsid w:val="00435436"/>
    <w:rsid w:val="0043549F"/>
    <w:rsid w:val="004354E7"/>
    <w:rsid w:val="004354E8"/>
    <w:rsid w:val="004354F8"/>
    <w:rsid w:val="00435537"/>
    <w:rsid w:val="00435562"/>
    <w:rsid w:val="004355EA"/>
    <w:rsid w:val="00435604"/>
    <w:rsid w:val="0043561F"/>
    <w:rsid w:val="00435633"/>
    <w:rsid w:val="00435657"/>
    <w:rsid w:val="00435733"/>
    <w:rsid w:val="00435741"/>
    <w:rsid w:val="004357F4"/>
    <w:rsid w:val="004358FF"/>
    <w:rsid w:val="0043590E"/>
    <w:rsid w:val="0043593E"/>
    <w:rsid w:val="0043594E"/>
    <w:rsid w:val="0043595B"/>
    <w:rsid w:val="00435972"/>
    <w:rsid w:val="0043598A"/>
    <w:rsid w:val="004359B9"/>
    <w:rsid w:val="00435A39"/>
    <w:rsid w:val="00435A46"/>
    <w:rsid w:val="00435AA8"/>
    <w:rsid w:val="00435AEC"/>
    <w:rsid w:val="00435BBD"/>
    <w:rsid w:val="00435BE4"/>
    <w:rsid w:val="00435C54"/>
    <w:rsid w:val="00435C71"/>
    <w:rsid w:val="00435CEF"/>
    <w:rsid w:val="00435D0B"/>
    <w:rsid w:val="00435D15"/>
    <w:rsid w:val="00435D5B"/>
    <w:rsid w:val="00435D63"/>
    <w:rsid w:val="00435D79"/>
    <w:rsid w:val="00435DC1"/>
    <w:rsid w:val="00435E15"/>
    <w:rsid w:val="00435E20"/>
    <w:rsid w:val="00435E59"/>
    <w:rsid w:val="00435EAE"/>
    <w:rsid w:val="00435EEB"/>
    <w:rsid w:val="00435FB4"/>
    <w:rsid w:val="00435FD9"/>
    <w:rsid w:val="00435FEA"/>
    <w:rsid w:val="00435FF4"/>
    <w:rsid w:val="004360A5"/>
    <w:rsid w:val="00436143"/>
    <w:rsid w:val="00436160"/>
    <w:rsid w:val="00436184"/>
    <w:rsid w:val="00436198"/>
    <w:rsid w:val="004361B5"/>
    <w:rsid w:val="00436245"/>
    <w:rsid w:val="004362C0"/>
    <w:rsid w:val="004362C2"/>
    <w:rsid w:val="004362C7"/>
    <w:rsid w:val="004362FE"/>
    <w:rsid w:val="0043632A"/>
    <w:rsid w:val="0043632D"/>
    <w:rsid w:val="0043632F"/>
    <w:rsid w:val="00436332"/>
    <w:rsid w:val="00436340"/>
    <w:rsid w:val="00436406"/>
    <w:rsid w:val="0043645B"/>
    <w:rsid w:val="00436480"/>
    <w:rsid w:val="004364EB"/>
    <w:rsid w:val="00436502"/>
    <w:rsid w:val="004365C6"/>
    <w:rsid w:val="0043665E"/>
    <w:rsid w:val="0043666D"/>
    <w:rsid w:val="004366AF"/>
    <w:rsid w:val="00436717"/>
    <w:rsid w:val="00436741"/>
    <w:rsid w:val="004367B6"/>
    <w:rsid w:val="004367C8"/>
    <w:rsid w:val="004367EC"/>
    <w:rsid w:val="00436835"/>
    <w:rsid w:val="0043685A"/>
    <w:rsid w:val="00436876"/>
    <w:rsid w:val="004368CA"/>
    <w:rsid w:val="004368D6"/>
    <w:rsid w:val="0043690F"/>
    <w:rsid w:val="00436930"/>
    <w:rsid w:val="00436942"/>
    <w:rsid w:val="00436948"/>
    <w:rsid w:val="00436956"/>
    <w:rsid w:val="00436957"/>
    <w:rsid w:val="00436A05"/>
    <w:rsid w:val="00436A33"/>
    <w:rsid w:val="00436A3A"/>
    <w:rsid w:val="00436A51"/>
    <w:rsid w:val="00436B5C"/>
    <w:rsid w:val="00436BCC"/>
    <w:rsid w:val="00436BDA"/>
    <w:rsid w:val="00436C26"/>
    <w:rsid w:val="00436C33"/>
    <w:rsid w:val="00436C46"/>
    <w:rsid w:val="00436C8B"/>
    <w:rsid w:val="00436C9A"/>
    <w:rsid w:val="00436CAD"/>
    <w:rsid w:val="00436CD1"/>
    <w:rsid w:val="00436CFF"/>
    <w:rsid w:val="00436D32"/>
    <w:rsid w:val="00436DA8"/>
    <w:rsid w:val="00436E1E"/>
    <w:rsid w:val="00436EA2"/>
    <w:rsid w:val="00436EFE"/>
    <w:rsid w:val="00436F2F"/>
    <w:rsid w:val="00436F56"/>
    <w:rsid w:val="00436F64"/>
    <w:rsid w:val="00436F83"/>
    <w:rsid w:val="00436FB8"/>
    <w:rsid w:val="00436FBF"/>
    <w:rsid w:val="00436FE1"/>
    <w:rsid w:val="00437007"/>
    <w:rsid w:val="00437014"/>
    <w:rsid w:val="00437026"/>
    <w:rsid w:val="00437098"/>
    <w:rsid w:val="0043709F"/>
    <w:rsid w:val="004370D7"/>
    <w:rsid w:val="004370DC"/>
    <w:rsid w:val="0043710A"/>
    <w:rsid w:val="004371B3"/>
    <w:rsid w:val="0043722E"/>
    <w:rsid w:val="00437268"/>
    <w:rsid w:val="00437306"/>
    <w:rsid w:val="00437312"/>
    <w:rsid w:val="00437385"/>
    <w:rsid w:val="004373D0"/>
    <w:rsid w:val="004373EE"/>
    <w:rsid w:val="004374CB"/>
    <w:rsid w:val="00437554"/>
    <w:rsid w:val="00437638"/>
    <w:rsid w:val="0043763B"/>
    <w:rsid w:val="00437669"/>
    <w:rsid w:val="0043767A"/>
    <w:rsid w:val="004376E9"/>
    <w:rsid w:val="004376EA"/>
    <w:rsid w:val="0043770B"/>
    <w:rsid w:val="0043772E"/>
    <w:rsid w:val="0043774B"/>
    <w:rsid w:val="0043777E"/>
    <w:rsid w:val="004377F1"/>
    <w:rsid w:val="0043782B"/>
    <w:rsid w:val="00437881"/>
    <w:rsid w:val="00437883"/>
    <w:rsid w:val="00437896"/>
    <w:rsid w:val="004378D5"/>
    <w:rsid w:val="004378DC"/>
    <w:rsid w:val="00437913"/>
    <w:rsid w:val="004379C9"/>
    <w:rsid w:val="004379E6"/>
    <w:rsid w:val="004379EF"/>
    <w:rsid w:val="00437A03"/>
    <w:rsid w:val="00437A26"/>
    <w:rsid w:val="00437A38"/>
    <w:rsid w:val="00437B33"/>
    <w:rsid w:val="00437B49"/>
    <w:rsid w:val="00437C55"/>
    <w:rsid w:val="00437C67"/>
    <w:rsid w:val="00437C73"/>
    <w:rsid w:val="00437CDC"/>
    <w:rsid w:val="00437D6E"/>
    <w:rsid w:val="00437D89"/>
    <w:rsid w:val="00437DD1"/>
    <w:rsid w:val="00437E53"/>
    <w:rsid w:val="00437E57"/>
    <w:rsid w:val="00437E5E"/>
    <w:rsid w:val="00437E78"/>
    <w:rsid w:val="00437E8A"/>
    <w:rsid w:val="00437ED1"/>
    <w:rsid w:val="00437EF6"/>
    <w:rsid w:val="00437F55"/>
    <w:rsid w:val="0043DE42"/>
    <w:rsid w:val="0044003E"/>
    <w:rsid w:val="0044005A"/>
    <w:rsid w:val="004400AE"/>
    <w:rsid w:val="004400E0"/>
    <w:rsid w:val="00440119"/>
    <w:rsid w:val="00440126"/>
    <w:rsid w:val="00440224"/>
    <w:rsid w:val="004402A8"/>
    <w:rsid w:val="0044031F"/>
    <w:rsid w:val="0044032F"/>
    <w:rsid w:val="00440341"/>
    <w:rsid w:val="0044034C"/>
    <w:rsid w:val="00440368"/>
    <w:rsid w:val="00440371"/>
    <w:rsid w:val="00440375"/>
    <w:rsid w:val="004403A1"/>
    <w:rsid w:val="004403BA"/>
    <w:rsid w:val="004403C1"/>
    <w:rsid w:val="004403CA"/>
    <w:rsid w:val="004403F6"/>
    <w:rsid w:val="0044040A"/>
    <w:rsid w:val="0044047D"/>
    <w:rsid w:val="004404E7"/>
    <w:rsid w:val="004404F3"/>
    <w:rsid w:val="004405CB"/>
    <w:rsid w:val="004405D4"/>
    <w:rsid w:val="0044061B"/>
    <w:rsid w:val="00440630"/>
    <w:rsid w:val="004406CC"/>
    <w:rsid w:val="0044075A"/>
    <w:rsid w:val="00440779"/>
    <w:rsid w:val="004407D2"/>
    <w:rsid w:val="004407FE"/>
    <w:rsid w:val="0044087D"/>
    <w:rsid w:val="0044088E"/>
    <w:rsid w:val="004408FB"/>
    <w:rsid w:val="00440939"/>
    <w:rsid w:val="00440963"/>
    <w:rsid w:val="0044096E"/>
    <w:rsid w:val="00440978"/>
    <w:rsid w:val="004409A6"/>
    <w:rsid w:val="004409D1"/>
    <w:rsid w:val="004409FD"/>
    <w:rsid w:val="00440A50"/>
    <w:rsid w:val="00440A56"/>
    <w:rsid w:val="00440B3E"/>
    <w:rsid w:val="00440B4B"/>
    <w:rsid w:val="00440B8B"/>
    <w:rsid w:val="00440B98"/>
    <w:rsid w:val="00440BA6"/>
    <w:rsid w:val="00440BAB"/>
    <w:rsid w:val="00440BB6"/>
    <w:rsid w:val="00440C23"/>
    <w:rsid w:val="00440C2B"/>
    <w:rsid w:val="00440C4C"/>
    <w:rsid w:val="00440C90"/>
    <w:rsid w:val="00440CD2"/>
    <w:rsid w:val="00440D20"/>
    <w:rsid w:val="00440D21"/>
    <w:rsid w:val="00440D2A"/>
    <w:rsid w:val="00440DA9"/>
    <w:rsid w:val="00440DF3"/>
    <w:rsid w:val="00440E71"/>
    <w:rsid w:val="00440E87"/>
    <w:rsid w:val="00440E9A"/>
    <w:rsid w:val="00440EC5"/>
    <w:rsid w:val="00440EDC"/>
    <w:rsid w:val="00440EE5"/>
    <w:rsid w:val="00440F1F"/>
    <w:rsid w:val="00440F29"/>
    <w:rsid w:val="00440F52"/>
    <w:rsid w:val="00441137"/>
    <w:rsid w:val="00441146"/>
    <w:rsid w:val="004411EC"/>
    <w:rsid w:val="0044127C"/>
    <w:rsid w:val="00441320"/>
    <w:rsid w:val="00441332"/>
    <w:rsid w:val="004413EE"/>
    <w:rsid w:val="00441412"/>
    <w:rsid w:val="00441449"/>
    <w:rsid w:val="00441488"/>
    <w:rsid w:val="004414B7"/>
    <w:rsid w:val="004414C5"/>
    <w:rsid w:val="00441526"/>
    <w:rsid w:val="00441590"/>
    <w:rsid w:val="00441593"/>
    <w:rsid w:val="00441630"/>
    <w:rsid w:val="00441651"/>
    <w:rsid w:val="004416AC"/>
    <w:rsid w:val="004416CF"/>
    <w:rsid w:val="004416D8"/>
    <w:rsid w:val="004416E2"/>
    <w:rsid w:val="00441700"/>
    <w:rsid w:val="00441781"/>
    <w:rsid w:val="004417E5"/>
    <w:rsid w:val="0044180E"/>
    <w:rsid w:val="00441886"/>
    <w:rsid w:val="0044188C"/>
    <w:rsid w:val="0044189E"/>
    <w:rsid w:val="0044189F"/>
    <w:rsid w:val="00441976"/>
    <w:rsid w:val="004419B9"/>
    <w:rsid w:val="004419EB"/>
    <w:rsid w:val="004419F6"/>
    <w:rsid w:val="00441A22"/>
    <w:rsid w:val="00441A32"/>
    <w:rsid w:val="00441A33"/>
    <w:rsid w:val="00441A65"/>
    <w:rsid w:val="00441AC3"/>
    <w:rsid w:val="00441AC4"/>
    <w:rsid w:val="00441B9A"/>
    <w:rsid w:val="00441BA7"/>
    <w:rsid w:val="00441BEC"/>
    <w:rsid w:val="00441C31"/>
    <w:rsid w:val="00441C94"/>
    <w:rsid w:val="00441CCF"/>
    <w:rsid w:val="00441D00"/>
    <w:rsid w:val="00441D1F"/>
    <w:rsid w:val="00441DA0"/>
    <w:rsid w:val="00441DB3"/>
    <w:rsid w:val="00441E64"/>
    <w:rsid w:val="00441F00"/>
    <w:rsid w:val="00441F27"/>
    <w:rsid w:val="00441F5A"/>
    <w:rsid w:val="00441FB8"/>
    <w:rsid w:val="00441FDA"/>
    <w:rsid w:val="00442002"/>
    <w:rsid w:val="00442008"/>
    <w:rsid w:val="0044201F"/>
    <w:rsid w:val="00442072"/>
    <w:rsid w:val="004420CB"/>
    <w:rsid w:val="004420F7"/>
    <w:rsid w:val="00442125"/>
    <w:rsid w:val="0044212E"/>
    <w:rsid w:val="00442130"/>
    <w:rsid w:val="0044215D"/>
    <w:rsid w:val="0044216C"/>
    <w:rsid w:val="0044216D"/>
    <w:rsid w:val="004421EB"/>
    <w:rsid w:val="0044220A"/>
    <w:rsid w:val="0044229F"/>
    <w:rsid w:val="004422AE"/>
    <w:rsid w:val="004422EF"/>
    <w:rsid w:val="004423F0"/>
    <w:rsid w:val="00442407"/>
    <w:rsid w:val="00442524"/>
    <w:rsid w:val="00442582"/>
    <w:rsid w:val="004425EB"/>
    <w:rsid w:val="00442668"/>
    <w:rsid w:val="0044266B"/>
    <w:rsid w:val="00442679"/>
    <w:rsid w:val="004426AC"/>
    <w:rsid w:val="004426BD"/>
    <w:rsid w:val="004426EB"/>
    <w:rsid w:val="00442714"/>
    <w:rsid w:val="00442817"/>
    <w:rsid w:val="0044292B"/>
    <w:rsid w:val="00442975"/>
    <w:rsid w:val="004429B1"/>
    <w:rsid w:val="004429BB"/>
    <w:rsid w:val="004429CA"/>
    <w:rsid w:val="004429FF"/>
    <w:rsid w:val="00442A1D"/>
    <w:rsid w:val="00442A63"/>
    <w:rsid w:val="00442B05"/>
    <w:rsid w:val="00442B16"/>
    <w:rsid w:val="00442B2F"/>
    <w:rsid w:val="00442BAC"/>
    <w:rsid w:val="00442BCB"/>
    <w:rsid w:val="00442BD2"/>
    <w:rsid w:val="00442BEB"/>
    <w:rsid w:val="00442BF6"/>
    <w:rsid w:val="00442BFC"/>
    <w:rsid w:val="00442C4D"/>
    <w:rsid w:val="00442C6C"/>
    <w:rsid w:val="00442C95"/>
    <w:rsid w:val="00442D20"/>
    <w:rsid w:val="00442E3B"/>
    <w:rsid w:val="00442E54"/>
    <w:rsid w:val="00442E5E"/>
    <w:rsid w:val="00443036"/>
    <w:rsid w:val="00443043"/>
    <w:rsid w:val="00443062"/>
    <w:rsid w:val="0044308C"/>
    <w:rsid w:val="0044308E"/>
    <w:rsid w:val="004430B9"/>
    <w:rsid w:val="004430C2"/>
    <w:rsid w:val="004430F9"/>
    <w:rsid w:val="004430FB"/>
    <w:rsid w:val="004430FD"/>
    <w:rsid w:val="00443132"/>
    <w:rsid w:val="00443133"/>
    <w:rsid w:val="00443142"/>
    <w:rsid w:val="00443185"/>
    <w:rsid w:val="00443197"/>
    <w:rsid w:val="004431A4"/>
    <w:rsid w:val="004431C1"/>
    <w:rsid w:val="004431CA"/>
    <w:rsid w:val="004431D8"/>
    <w:rsid w:val="00443208"/>
    <w:rsid w:val="00443246"/>
    <w:rsid w:val="0044324C"/>
    <w:rsid w:val="00443266"/>
    <w:rsid w:val="004432B5"/>
    <w:rsid w:val="00443309"/>
    <w:rsid w:val="0044335F"/>
    <w:rsid w:val="00443399"/>
    <w:rsid w:val="0044339E"/>
    <w:rsid w:val="00443474"/>
    <w:rsid w:val="00443492"/>
    <w:rsid w:val="004434CE"/>
    <w:rsid w:val="004434DD"/>
    <w:rsid w:val="0044352A"/>
    <w:rsid w:val="00443593"/>
    <w:rsid w:val="004435EE"/>
    <w:rsid w:val="004435F1"/>
    <w:rsid w:val="004436A7"/>
    <w:rsid w:val="00443719"/>
    <w:rsid w:val="00443722"/>
    <w:rsid w:val="00443796"/>
    <w:rsid w:val="004437AB"/>
    <w:rsid w:val="004437DB"/>
    <w:rsid w:val="0044380B"/>
    <w:rsid w:val="00443894"/>
    <w:rsid w:val="00443968"/>
    <w:rsid w:val="0044397B"/>
    <w:rsid w:val="004439D8"/>
    <w:rsid w:val="00443ACB"/>
    <w:rsid w:val="00443B44"/>
    <w:rsid w:val="00443B6E"/>
    <w:rsid w:val="00443B83"/>
    <w:rsid w:val="00443B9C"/>
    <w:rsid w:val="00443BD3"/>
    <w:rsid w:val="00443BDA"/>
    <w:rsid w:val="00443C26"/>
    <w:rsid w:val="00443C46"/>
    <w:rsid w:val="00443C50"/>
    <w:rsid w:val="00443C55"/>
    <w:rsid w:val="00443C69"/>
    <w:rsid w:val="00443C75"/>
    <w:rsid w:val="00443CAE"/>
    <w:rsid w:val="00443D01"/>
    <w:rsid w:val="00443D4D"/>
    <w:rsid w:val="00443D4F"/>
    <w:rsid w:val="00443D5F"/>
    <w:rsid w:val="00443D91"/>
    <w:rsid w:val="00443D9E"/>
    <w:rsid w:val="00443DCD"/>
    <w:rsid w:val="00443E0F"/>
    <w:rsid w:val="00443E30"/>
    <w:rsid w:val="00443E5D"/>
    <w:rsid w:val="00443F73"/>
    <w:rsid w:val="00443F95"/>
    <w:rsid w:val="0044401D"/>
    <w:rsid w:val="00444044"/>
    <w:rsid w:val="00444067"/>
    <w:rsid w:val="004440A5"/>
    <w:rsid w:val="0044413D"/>
    <w:rsid w:val="00444146"/>
    <w:rsid w:val="0044417C"/>
    <w:rsid w:val="004441CA"/>
    <w:rsid w:val="0044424D"/>
    <w:rsid w:val="0044427F"/>
    <w:rsid w:val="00444296"/>
    <w:rsid w:val="00444302"/>
    <w:rsid w:val="00444341"/>
    <w:rsid w:val="00444358"/>
    <w:rsid w:val="0044435D"/>
    <w:rsid w:val="0044437E"/>
    <w:rsid w:val="00444387"/>
    <w:rsid w:val="0044438C"/>
    <w:rsid w:val="004443C0"/>
    <w:rsid w:val="0044444A"/>
    <w:rsid w:val="00444469"/>
    <w:rsid w:val="004444C6"/>
    <w:rsid w:val="004445D6"/>
    <w:rsid w:val="004445D8"/>
    <w:rsid w:val="0044461D"/>
    <w:rsid w:val="00444636"/>
    <w:rsid w:val="004446C0"/>
    <w:rsid w:val="004446C9"/>
    <w:rsid w:val="0044473C"/>
    <w:rsid w:val="00444768"/>
    <w:rsid w:val="00444796"/>
    <w:rsid w:val="00444797"/>
    <w:rsid w:val="00444876"/>
    <w:rsid w:val="004448CF"/>
    <w:rsid w:val="00444970"/>
    <w:rsid w:val="004449FF"/>
    <w:rsid w:val="00444A44"/>
    <w:rsid w:val="00444A5F"/>
    <w:rsid w:val="00444A89"/>
    <w:rsid w:val="00444B44"/>
    <w:rsid w:val="00444B47"/>
    <w:rsid w:val="00444BEA"/>
    <w:rsid w:val="00444BFF"/>
    <w:rsid w:val="00444C31"/>
    <w:rsid w:val="00444C7E"/>
    <w:rsid w:val="00444D1A"/>
    <w:rsid w:val="00444D1B"/>
    <w:rsid w:val="00444D26"/>
    <w:rsid w:val="00444D27"/>
    <w:rsid w:val="00444D41"/>
    <w:rsid w:val="00444E27"/>
    <w:rsid w:val="00444E56"/>
    <w:rsid w:val="00444EA2"/>
    <w:rsid w:val="00444ED9"/>
    <w:rsid w:val="00444EE8"/>
    <w:rsid w:val="00444EEA"/>
    <w:rsid w:val="00444EEB"/>
    <w:rsid w:val="00444F11"/>
    <w:rsid w:val="00444F18"/>
    <w:rsid w:val="00444F31"/>
    <w:rsid w:val="0044501F"/>
    <w:rsid w:val="00445037"/>
    <w:rsid w:val="004450B9"/>
    <w:rsid w:val="004450F9"/>
    <w:rsid w:val="00445141"/>
    <w:rsid w:val="00445172"/>
    <w:rsid w:val="0044523C"/>
    <w:rsid w:val="0044524F"/>
    <w:rsid w:val="004452B3"/>
    <w:rsid w:val="004452DA"/>
    <w:rsid w:val="00445330"/>
    <w:rsid w:val="00445366"/>
    <w:rsid w:val="004453CB"/>
    <w:rsid w:val="004453ED"/>
    <w:rsid w:val="0044541D"/>
    <w:rsid w:val="0044548B"/>
    <w:rsid w:val="00445497"/>
    <w:rsid w:val="004454D1"/>
    <w:rsid w:val="004454DC"/>
    <w:rsid w:val="0044558C"/>
    <w:rsid w:val="004455E9"/>
    <w:rsid w:val="004455F2"/>
    <w:rsid w:val="004455FE"/>
    <w:rsid w:val="00445670"/>
    <w:rsid w:val="004456B8"/>
    <w:rsid w:val="0044570E"/>
    <w:rsid w:val="0044574A"/>
    <w:rsid w:val="0044576F"/>
    <w:rsid w:val="00445940"/>
    <w:rsid w:val="004459B3"/>
    <w:rsid w:val="004459CB"/>
    <w:rsid w:val="00445A07"/>
    <w:rsid w:val="00445A18"/>
    <w:rsid w:val="00445ABE"/>
    <w:rsid w:val="00445AC5"/>
    <w:rsid w:val="00445AE6"/>
    <w:rsid w:val="00445B1C"/>
    <w:rsid w:val="00445B58"/>
    <w:rsid w:val="00445B62"/>
    <w:rsid w:val="00445BAE"/>
    <w:rsid w:val="00445BDE"/>
    <w:rsid w:val="00445C10"/>
    <w:rsid w:val="00445C1E"/>
    <w:rsid w:val="00445C99"/>
    <w:rsid w:val="00445CD7"/>
    <w:rsid w:val="00445CDC"/>
    <w:rsid w:val="00445DDC"/>
    <w:rsid w:val="00445E27"/>
    <w:rsid w:val="00445E41"/>
    <w:rsid w:val="00445EA6"/>
    <w:rsid w:val="00445EB6"/>
    <w:rsid w:val="00445EEC"/>
    <w:rsid w:val="00445F81"/>
    <w:rsid w:val="00445FC1"/>
    <w:rsid w:val="00445FCA"/>
    <w:rsid w:val="00445FD0"/>
    <w:rsid w:val="0044603E"/>
    <w:rsid w:val="004460D3"/>
    <w:rsid w:val="00446107"/>
    <w:rsid w:val="00446108"/>
    <w:rsid w:val="0044611A"/>
    <w:rsid w:val="00446126"/>
    <w:rsid w:val="00446127"/>
    <w:rsid w:val="00446144"/>
    <w:rsid w:val="0044619A"/>
    <w:rsid w:val="004461B7"/>
    <w:rsid w:val="004461D7"/>
    <w:rsid w:val="0044621F"/>
    <w:rsid w:val="00446221"/>
    <w:rsid w:val="0044630E"/>
    <w:rsid w:val="004463BC"/>
    <w:rsid w:val="004463D1"/>
    <w:rsid w:val="00446418"/>
    <w:rsid w:val="0044644F"/>
    <w:rsid w:val="00446457"/>
    <w:rsid w:val="0044647A"/>
    <w:rsid w:val="004464BA"/>
    <w:rsid w:val="004464DD"/>
    <w:rsid w:val="0044658C"/>
    <w:rsid w:val="004465D1"/>
    <w:rsid w:val="00446670"/>
    <w:rsid w:val="004466A7"/>
    <w:rsid w:val="004466CA"/>
    <w:rsid w:val="004466FC"/>
    <w:rsid w:val="00446778"/>
    <w:rsid w:val="004467A6"/>
    <w:rsid w:val="00446812"/>
    <w:rsid w:val="0044682A"/>
    <w:rsid w:val="00446906"/>
    <w:rsid w:val="0044691F"/>
    <w:rsid w:val="00446920"/>
    <w:rsid w:val="0044698A"/>
    <w:rsid w:val="004469A2"/>
    <w:rsid w:val="004469BB"/>
    <w:rsid w:val="004469D1"/>
    <w:rsid w:val="004469E9"/>
    <w:rsid w:val="00446A96"/>
    <w:rsid w:val="00446ADA"/>
    <w:rsid w:val="00446B1D"/>
    <w:rsid w:val="00446B82"/>
    <w:rsid w:val="00446BDF"/>
    <w:rsid w:val="00446C82"/>
    <w:rsid w:val="00446CAE"/>
    <w:rsid w:val="00446CCF"/>
    <w:rsid w:val="00446CFE"/>
    <w:rsid w:val="00446D50"/>
    <w:rsid w:val="00446D51"/>
    <w:rsid w:val="00446D5F"/>
    <w:rsid w:val="00446D8A"/>
    <w:rsid w:val="00446DC7"/>
    <w:rsid w:val="00446DD0"/>
    <w:rsid w:val="00446E08"/>
    <w:rsid w:val="00446E48"/>
    <w:rsid w:val="00446EC2"/>
    <w:rsid w:val="00446ECE"/>
    <w:rsid w:val="00446EDD"/>
    <w:rsid w:val="00446F28"/>
    <w:rsid w:val="00446F57"/>
    <w:rsid w:val="00446FAE"/>
    <w:rsid w:val="00447007"/>
    <w:rsid w:val="00447072"/>
    <w:rsid w:val="0044709D"/>
    <w:rsid w:val="0044709E"/>
    <w:rsid w:val="00447118"/>
    <w:rsid w:val="00447152"/>
    <w:rsid w:val="00447161"/>
    <w:rsid w:val="00447163"/>
    <w:rsid w:val="0044719D"/>
    <w:rsid w:val="004471D5"/>
    <w:rsid w:val="004471DC"/>
    <w:rsid w:val="0044724F"/>
    <w:rsid w:val="00447251"/>
    <w:rsid w:val="00447287"/>
    <w:rsid w:val="004472BE"/>
    <w:rsid w:val="004472D7"/>
    <w:rsid w:val="0044735E"/>
    <w:rsid w:val="00447376"/>
    <w:rsid w:val="0044738F"/>
    <w:rsid w:val="00447398"/>
    <w:rsid w:val="004473C5"/>
    <w:rsid w:val="004474B8"/>
    <w:rsid w:val="004474DA"/>
    <w:rsid w:val="0044755C"/>
    <w:rsid w:val="0044762C"/>
    <w:rsid w:val="00447633"/>
    <w:rsid w:val="004476D0"/>
    <w:rsid w:val="004476F5"/>
    <w:rsid w:val="004476FA"/>
    <w:rsid w:val="00447724"/>
    <w:rsid w:val="0044774D"/>
    <w:rsid w:val="004477B1"/>
    <w:rsid w:val="00447817"/>
    <w:rsid w:val="0044782A"/>
    <w:rsid w:val="0044784B"/>
    <w:rsid w:val="004478ED"/>
    <w:rsid w:val="00447913"/>
    <w:rsid w:val="00447919"/>
    <w:rsid w:val="00447926"/>
    <w:rsid w:val="0044792C"/>
    <w:rsid w:val="00447948"/>
    <w:rsid w:val="004479B2"/>
    <w:rsid w:val="00447A17"/>
    <w:rsid w:val="00447B7E"/>
    <w:rsid w:val="00447BB0"/>
    <w:rsid w:val="00447BBA"/>
    <w:rsid w:val="00447BD3"/>
    <w:rsid w:val="00447BF5"/>
    <w:rsid w:val="00447BFD"/>
    <w:rsid w:val="00447C03"/>
    <w:rsid w:val="00447CEC"/>
    <w:rsid w:val="00447D30"/>
    <w:rsid w:val="00447D9A"/>
    <w:rsid w:val="00447E33"/>
    <w:rsid w:val="00447E3F"/>
    <w:rsid w:val="00447EA7"/>
    <w:rsid w:val="00447EAE"/>
    <w:rsid w:val="00447F11"/>
    <w:rsid w:val="00447FA1"/>
    <w:rsid w:val="00450053"/>
    <w:rsid w:val="004500A1"/>
    <w:rsid w:val="004500A4"/>
    <w:rsid w:val="004500B4"/>
    <w:rsid w:val="004500C2"/>
    <w:rsid w:val="00450143"/>
    <w:rsid w:val="0045014B"/>
    <w:rsid w:val="004501EB"/>
    <w:rsid w:val="00450272"/>
    <w:rsid w:val="00450281"/>
    <w:rsid w:val="004502BF"/>
    <w:rsid w:val="004502CC"/>
    <w:rsid w:val="004502D9"/>
    <w:rsid w:val="00450345"/>
    <w:rsid w:val="00450376"/>
    <w:rsid w:val="0045037D"/>
    <w:rsid w:val="0045037F"/>
    <w:rsid w:val="004503F9"/>
    <w:rsid w:val="00450425"/>
    <w:rsid w:val="0045043A"/>
    <w:rsid w:val="00450492"/>
    <w:rsid w:val="004504A2"/>
    <w:rsid w:val="004504A6"/>
    <w:rsid w:val="004504C1"/>
    <w:rsid w:val="0045054E"/>
    <w:rsid w:val="004505CA"/>
    <w:rsid w:val="004505FC"/>
    <w:rsid w:val="00450617"/>
    <w:rsid w:val="00450657"/>
    <w:rsid w:val="004506B7"/>
    <w:rsid w:val="004506DB"/>
    <w:rsid w:val="0045071F"/>
    <w:rsid w:val="00450790"/>
    <w:rsid w:val="0045079A"/>
    <w:rsid w:val="004507A7"/>
    <w:rsid w:val="004507C2"/>
    <w:rsid w:val="004507F1"/>
    <w:rsid w:val="0045082C"/>
    <w:rsid w:val="00450975"/>
    <w:rsid w:val="004509A3"/>
    <w:rsid w:val="004509AC"/>
    <w:rsid w:val="004509FE"/>
    <w:rsid w:val="00450A35"/>
    <w:rsid w:val="00450A97"/>
    <w:rsid w:val="00450AD7"/>
    <w:rsid w:val="00450B95"/>
    <w:rsid w:val="00450BE1"/>
    <w:rsid w:val="00450C67"/>
    <w:rsid w:val="00450CC2"/>
    <w:rsid w:val="00450D3A"/>
    <w:rsid w:val="00450E13"/>
    <w:rsid w:val="00450E17"/>
    <w:rsid w:val="00450E2F"/>
    <w:rsid w:val="00450E5B"/>
    <w:rsid w:val="00450E65"/>
    <w:rsid w:val="00450E79"/>
    <w:rsid w:val="00450EA3"/>
    <w:rsid w:val="00450EB9"/>
    <w:rsid w:val="00450EEA"/>
    <w:rsid w:val="00450F6D"/>
    <w:rsid w:val="00450FD6"/>
    <w:rsid w:val="00450FE8"/>
    <w:rsid w:val="0045104C"/>
    <w:rsid w:val="004510E6"/>
    <w:rsid w:val="0045116F"/>
    <w:rsid w:val="00451222"/>
    <w:rsid w:val="0045125C"/>
    <w:rsid w:val="00451274"/>
    <w:rsid w:val="0045128E"/>
    <w:rsid w:val="00451292"/>
    <w:rsid w:val="0045129C"/>
    <w:rsid w:val="004512CE"/>
    <w:rsid w:val="0045132C"/>
    <w:rsid w:val="004513E1"/>
    <w:rsid w:val="00451445"/>
    <w:rsid w:val="00451459"/>
    <w:rsid w:val="00451480"/>
    <w:rsid w:val="00451482"/>
    <w:rsid w:val="004514A1"/>
    <w:rsid w:val="004514A3"/>
    <w:rsid w:val="004514C1"/>
    <w:rsid w:val="004514E8"/>
    <w:rsid w:val="00451535"/>
    <w:rsid w:val="004515C5"/>
    <w:rsid w:val="0045162A"/>
    <w:rsid w:val="00451639"/>
    <w:rsid w:val="00451690"/>
    <w:rsid w:val="004516BE"/>
    <w:rsid w:val="00451720"/>
    <w:rsid w:val="0045180D"/>
    <w:rsid w:val="00451868"/>
    <w:rsid w:val="004518B3"/>
    <w:rsid w:val="00451914"/>
    <w:rsid w:val="00451976"/>
    <w:rsid w:val="00451990"/>
    <w:rsid w:val="00451992"/>
    <w:rsid w:val="0045199C"/>
    <w:rsid w:val="00451A49"/>
    <w:rsid w:val="00451A85"/>
    <w:rsid w:val="00451B78"/>
    <w:rsid w:val="00451B82"/>
    <w:rsid w:val="00451BC2"/>
    <w:rsid w:val="00451C1D"/>
    <w:rsid w:val="00451C58"/>
    <w:rsid w:val="00451C91"/>
    <w:rsid w:val="00451D30"/>
    <w:rsid w:val="00451D3F"/>
    <w:rsid w:val="00451D50"/>
    <w:rsid w:val="00451D84"/>
    <w:rsid w:val="00451D86"/>
    <w:rsid w:val="00451DB8"/>
    <w:rsid w:val="00451DD1"/>
    <w:rsid w:val="00451E95"/>
    <w:rsid w:val="00451EC3"/>
    <w:rsid w:val="00451EEC"/>
    <w:rsid w:val="00451F43"/>
    <w:rsid w:val="00451F7A"/>
    <w:rsid w:val="00451F94"/>
    <w:rsid w:val="00451FC1"/>
    <w:rsid w:val="00451FDA"/>
    <w:rsid w:val="00451FF4"/>
    <w:rsid w:val="00452071"/>
    <w:rsid w:val="004520C6"/>
    <w:rsid w:val="00452159"/>
    <w:rsid w:val="0045215E"/>
    <w:rsid w:val="00452168"/>
    <w:rsid w:val="00452203"/>
    <w:rsid w:val="00452238"/>
    <w:rsid w:val="00452253"/>
    <w:rsid w:val="004522F0"/>
    <w:rsid w:val="00452338"/>
    <w:rsid w:val="00452352"/>
    <w:rsid w:val="0045237D"/>
    <w:rsid w:val="004523D2"/>
    <w:rsid w:val="0045241D"/>
    <w:rsid w:val="004524F1"/>
    <w:rsid w:val="00452518"/>
    <w:rsid w:val="0045257E"/>
    <w:rsid w:val="004525BC"/>
    <w:rsid w:val="004525C6"/>
    <w:rsid w:val="004525E9"/>
    <w:rsid w:val="00452605"/>
    <w:rsid w:val="00452625"/>
    <w:rsid w:val="004526F5"/>
    <w:rsid w:val="0045270C"/>
    <w:rsid w:val="00452745"/>
    <w:rsid w:val="00452750"/>
    <w:rsid w:val="004527AF"/>
    <w:rsid w:val="00452804"/>
    <w:rsid w:val="0045281A"/>
    <w:rsid w:val="00452884"/>
    <w:rsid w:val="004528E7"/>
    <w:rsid w:val="004529E1"/>
    <w:rsid w:val="00452A02"/>
    <w:rsid w:val="00452A08"/>
    <w:rsid w:val="00452A75"/>
    <w:rsid w:val="00452A78"/>
    <w:rsid w:val="00452A7E"/>
    <w:rsid w:val="00452AA6"/>
    <w:rsid w:val="00452AB8"/>
    <w:rsid w:val="00452AB9"/>
    <w:rsid w:val="00452B11"/>
    <w:rsid w:val="00452B2C"/>
    <w:rsid w:val="00452B41"/>
    <w:rsid w:val="00452B67"/>
    <w:rsid w:val="00452BA0"/>
    <w:rsid w:val="00452BFC"/>
    <w:rsid w:val="00452BFE"/>
    <w:rsid w:val="00452C07"/>
    <w:rsid w:val="00452C13"/>
    <w:rsid w:val="00452C24"/>
    <w:rsid w:val="00452C8A"/>
    <w:rsid w:val="00452D5F"/>
    <w:rsid w:val="00452D7D"/>
    <w:rsid w:val="00452D81"/>
    <w:rsid w:val="00452E1D"/>
    <w:rsid w:val="00452E21"/>
    <w:rsid w:val="00452E3C"/>
    <w:rsid w:val="00452F10"/>
    <w:rsid w:val="0045303F"/>
    <w:rsid w:val="00453044"/>
    <w:rsid w:val="004530D0"/>
    <w:rsid w:val="00453114"/>
    <w:rsid w:val="00453186"/>
    <w:rsid w:val="004532FA"/>
    <w:rsid w:val="0045345B"/>
    <w:rsid w:val="004534C0"/>
    <w:rsid w:val="0045352D"/>
    <w:rsid w:val="00453535"/>
    <w:rsid w:val="00453566"/>
    <w:rsid w:val="0045357F"/>
    <w:rsid w:val="004535FC"/>
    <w:rsid w:val="00453623"/>
    <w:rsid w:val="00453668"/>
    <w:rsid w:val="0045366C"/>
    <w:rsid w:val="0045368B"/>
    <w:rsid w:val="004536F9"/>
    <w:rsid w:val="00453716"/>
    <w:rsid w:val="00453724"/>
    <w:rsid w:val="00453725"/>
    <w:rsid w:val="00453782"/>
    <w:rsid w:val="004537D1"/>
    <w:rsid w:val="004537E3"/>
    <w:rsid w:val="004538B2"/>
    <w:rsid w:val="004538CB"/>
    <w:rsid w:val="004538EC"/>
    <w:rsid w:val="0045394E"/>
    <w:rsid w:val="00453995"/>
    <w:rsid w:val="004539C0"/>
    <w:rsid w:val="004539DE"/>
    <w:rsid w:val="00453A05"/>
    <w:rsid w:val="00453AFD"/>
    <w:rsid w:val="00453B65"/>
    <w:rsid w:val="00453BB3"/>
    <w:rsid w:val="00453BD5"/>
    <w:rsid w:val="00453CD1"/>
    <w:rsid w:val="00453CDE"/>
    <w:rsid w:val="00453DAA"/>
    <w:rsid w:val="00453DB8"/>
    <w:rsid w:val="00453E32"/>
    <w:rsid w:val="00453E3D"/>
    <w:rsid w:val="00453E69"/>
    <w:rsid w:val="00453E87"/>
    <w:rsid w:val="00453ED3"/>
    <w:rsid w:val="00453F3D"/>
    <w:rsid w:val="00453F41"/>
    <w:rsid w:val="00453F91"/>
    <w:rsid w:val="00453F92"/>
    <w:rsid w:val="00453FFA"/>
    <w:rsid w:val="00454063"/>
    <w:rsid w:val="00454097"/>
    <w:rsid w:val="004540F3"/>
    <w:rsid w:val="00454202"/>
    <w:rsid w:val="0045425A"/>
    <w:rsid w:val="0045425D"/>
    <w:rsid w:val="004542A0"/>
    <w:rsid w:val="004542D1"/>
    <w:rsid w:val="0045431A"/>
    <w:rsid w:val="0045433F"/>
    <w:rsid w:val="0045434B"/>
    <w:rsid w:val="0045434D"/>
    <w:rsid w:val="004543C1"/>
    <w:rsid w:val="004543DD"/>
    <w:rsid w:val="004543EE"/>
    <w:rsid w:val="00454400"/>
    <w:rsid w:val="00454458"/>
    <w:rsid w:val="00454582"/>
    <w:rsid w:val="004545EA"/>
    <w:rsid w:val="0045460D"/>
    <w:rsid w:val="0045468C"/>
    <w:rsid w:val="004546D7"/>
    <w:rsid w:val="00454702"/>
    <w:rsid w:val="0045471F"/>
    <w:rsid w:val="00454771"/>
    <w:rsid w:val="004547A6"/>
    <w:rsid w:val="004547B3"/>
    <w:rsid w:val="004547B4"/>
    <w:rsid w:val="004547BB"/>
    <w:rsid w:val="004547BC"/>
    <w:rsid w:val="004547D0"/>
    <w:rsid w:val="004547EC"/>
    <w:rsid w:val="00454831"/>
    <w:rsid w:val="0045489D"/>
    <w:rsid w:val="004548F3"/>
    <w:rsid w:val="0045491A"/>
    <w:rsid w:val="00454952"/>
    <w:rsid w:val="0045495E"/>
    <w:rsid w:val="0045498D"/>
    <w:rsid w:val="00454A2D"/>
    <w:rsid w:val="00454A68"/>
    <w:rsid w:val="00454A9F"/>
    <w:rsid w:val="00454B2C"/>
    <w:rsid w:val="00454B80"/>
    <w:rsid w:val="00454B8C"/>
    <w:rsid w:val="00454BBC"/>
    <w:rsid w:val="00454BCA"/>
    <w:rsid w:val="00454BD7"/>
    <w:rsid w:val="00454BE0"/>
    <w:rsid w:val="00454C09"/>
    <w:rsid w:val="00454C0D"/>
    <w:rsid w:val="00454C79"/>
    <w:rsid w:val="00454D36"/>
    <w:rsid w:val="00454D6B"/>
    <w:rsid w:val="00454DBC"/>
    <w:rsid w:val="00454E3B"/>
    <w:rsid w:val="00454E48"/>
    <w:rsid w:val="00454E87"/>
    <w:rsid w:val="00454ECA"/>
    <w:rsid w:val="00454EED"/>
    <w:rsid w:val="0045507D"/>
    <w:rsid w:val="004550B7"/>
    <w:rsid w:val="004550C0"/>
    <w:rsid w:val="004550DF"/>
    <w:rsid w:val="0045511E"/>
    <w:rsid w:val="00455219"/>
    <w:rsid w:val="004552A3"/>
    <w:rsid w:val="004552D6"/>
    <w:rsid w:val="004552F5"/>
    <w:rsid w:val="0045535F"/>
    <w:rsid w:val="00455362"/>
    <w:rsid w:val="00455384"/>
    <w:rsid w:val="004553AE"/>
    <w:rsid w:val="004553EC"/>
    <w:rsid w:val="004553F3"/>
    <w:rsid w:val="00455413"/>
    <w:rsid w:val="00455437"/>
    <w:rsid w:val="00455438"/>
    <w:rsid w:val="00455551"/>
    <w:rsid w:val="004555AE"/>
    <w:rsid w:val="004555BA"/>
    <w:rsid w:val="0045563A"/>
    <w:rsid w:val="00455653"/>
    <w:rsid w:val="00455660"/>
    <w:rsid w:val="00455673"/>
    <w:rsid w:val="004556E0"/>
    <w:rsid w:val="004556E5"/>
    <w:rsid w:val="00455707"/>
    <w:rsid w:val="0045573A"/>
    <w:rsid w:val="0045576E"/>
    <w:rsid w:val="0045578E"/>
    <w:rsid w:val="0045579F"/>
    <w:rsid w:val="004557D7"/>
    <w:rsid w:val="004557EA"/>
    <w:rsid w:val="0045580F"/>
    <w:rsid w:val="00455846"/>
    <w:rsid w:val="00455852"/>
    <w:rsid w:val="00455894"/>
    <w:rsid w:val="00455896"/>
    <w:rsid w:val="004558BB"/>
    <w:rsid w:val="004558CA"/>
    <w:rsid w:val="004558EC"/>
    <w:rsid w:val="0045595A"/>
    <w:rsid w:val="004559A2"/>
    <w:rsid w:val="004559C1"/>
    <w:rsid w:val="004559DB"/>
    <w:rsid w:val="004559FC"/>
    <w:rsid w:val="00455A4E"/>
    <w:rsid w:val="00455A7A"/>
    <w:rsid w:val="00455B33"/>
    <w:rsid w:val="00455B4A"/>
    <w:rsid w:val="00455B76"/>
    <w:rsid w:val="00455C1F"/>
    <w:rsid w:val="00455C6F"/>
    <w:rsid w:val="00455CA1"/>
    <w:rsid w:val="00455CB2"/>
    <w:rsid w:val="00455D47"/>
    <w:rsid w:val="00455D6C"/>
    <w:rsid w:val="00455D81"/>
    <w:rsid w:val="00455DE6"/>
    <w:rsid w:val="00455E81"/>
    <w:rsid w:val="00455EF9"/>
    <w:rsid w:val="00455F1C"/>
    <w:rsid w:val="00455FDB"/>
    <w:rsid w:val="00455FFB"/>
    <w:rsid w:val="00455FFE"/>
    <w:rsid w:val="00456014"/>
    <w:rsid w:val="00456065"/>
    <w:rsid w:val="004560AB"/>
    <w:rsid w:val="004560D7"/>
    <w:rsid w:val="004561A9"/>
    <w:rsid w:val="004561FD"/>
    <w:rsid w:val="00456282"/>
    <w:rsid w:val="004562A3"/>
    <w:rsid w:val="004562AE"/>
    <w:rsid w:val="00456349"/>
    <w:rsid w:val="00456398"/>
    <w:rsid w:val="004563C1"/>
    <w:rsid w:val="004563EB"/>
    <w:rsid w:val="0045641D"/>
    <w:rsid w:val="0045646D"/>
    <w:rsid w:val="004564D6"/>
    <w:rsid w:val="004564DC"/>
    <w:rsid w:val="00456540"/>
    <w:rsid w:val="00456561"/>
    <w:rsid w:val="00456615"/>
    <w:rsid w:val="0045661C"/>
    <w:rsid w:val="00456637"/>
    <w:rsid w:val="00456670"/>
    <w:rsid w:val="0045667E"/>
    <w:rsid w:val="004566EC"/>
    <w:rsid w:val="004566ED"/>
    <w:rsid w:val="00456737"/>
    <w:rsid w:val="0045673A"/>
    <w:rsid w:val="0045679C"/>
    <w:rsid w:val="004567C0"/>
    <w:rsid w:val="004567C8"/>
    <w:rsid w:val="004567D1"/>
    <w:rsid w:val="004567D9"/>
    <w:rsid w:val="00456854"/>
    <w:rsid w:val="00456860"/>
    <w:rsid w:val="00456949"/>
    <w:rsid w:val="0045699F"/>
    <w:rsid w:val="004569E7"/>
    <w:rsid w:val="00456A09"/>
    <w:rsid w:val="00456A0F"/>
    <w:rsid w:val="00456A3E"/>
    <w:rsid w:val="00456A4F"/>
    <w:rsid w:val="00456A6C"/>
    <w:rsid w:val="00456A85"/>
    <w:rsid w:val="00456A8D"/>
    <w:rsid w:val="00456AB6"/>
    <w:rsid w:val="00456B1D"/>
    <w:rsid w:val="00456B3F"/>
    <w:rsid w:val="00456B5A"/>
    <w:rsid w:val="00456B85"/>
    <w:rsid w:val="00456C2C"/>
    <w:rsid w:val="00456C36"/>
    <w:rsid w:val="00456C83"/>
    <w:rsid w:val="00456C88"/>
    <w:rsid w:val="00456C97"/>
    <w:rsid w:val="00456CD4"/>
    <w:rsid w:val="00456CDE"/>
    <w:rsid w:val="00456D3D"/>
    <w:rsid w:val="00456D71"/>
    <w:rsid w:val="00456D79"/>
    <w:rsid w:val="00456DF9"/>
    <w:rsid w:val="00456E4C"/>
    <w:rsid w:val="00456E6B"/>
    <w:rsid w:val="00456F1F"/>
    <w:rsid w:val="00456F24"/>
    <w:rsid w:val="00456F8F"/>
    <w:rsid w:val="00457034"/>
    <w:rsid w:val="00457039"/>
    <w:rsid w:val="004570CA"/>
    <w:rsid w:val="00457107"/>
    <w:rsid w:val="00457151"/>
    <w:rsid w:val="00457183"/>
    <w:rsid w:val="0045723A"/>
    <w:rsid w:val="004572A5"/>
    <w:rsid w:val="004572B8"/>
    <w:rsid w:val="004572C8"/>
    <w:rsid w:val="004572CC"/>
    <w:rsid w:val="004572F2"/>
    <w:rsid w:val="004572FA"/>
    <w:rsid w:val="00457310"/>
    <w:rsid w:val="00457353"/>
    <w:rsid w:val="00457366"/>
    <w:rsid w:val="00457392"/>
    <w:rsid w:val="004573E4"/>
    <w:rsid w:val="004573FA"/>
    <w:rsid w:val="00457442"/>
    <w:rsid w:val="00457495"/>
    <w:rsid w:val="004574C2"/>
    <w:rsid w:val="004574FB"/>
    <w:rsid w:val="00457561"/>
    <w:rsid w:val="00457581"/>
    <w:rsid w:val="00457592"/>
    <w:rsid w:val="0045759A"/>
    <w:rsid w:val="0045760E"/>
    <w:rsid w:val="00457692"/>
    <w:rsid w:val="004576BD"/>
    <w:rsid w:val="004576C3"/>
    <w:rsid w:val="004576E0"/>
    <w:rsid w:val="0045770C"/>
    <w:rsid w:val="004578A7"/>
    <w:rsid w:val="00457A1D"/>
    <w:rsid w:val="00457AD1"/>
    <w:rsid w:val="00457B44"/>
    <w:rsid w:val="00457B4D"/>
    <w:rsid w:val="00457B7B"/>
    <w:rsid w:val="00457BC2"/>
    <w:rsid w:val="00457C0C"/>
    <w:rsid w:val="00457C5B"/>
    <w:rsid w:val="00457CDE"/>
    <w:rsid w:val="00457D2D"/>
    <w:rsid w:val="00457DBC"/>
    <w:rsid w:val="00457DD2"/>
    <w:rsid w:val="00457E33"/>
    <w:rsid w:val="00457E68"/>
    <w:rsid w:val="00457E86"/>
    <w:rsid w:val="00457E96"/>
    <w:rsid w:val="00457EA1"/>
    <w:rsid w:val="00457EDA"/>
    <w:rsid w:val="00457EDC"/>
    <w:rsid w:val="00457F15"/>
    <w:rsid w:val="00457F79"/>
    <w:rsid w:val="00457F91"/>
    <w:rsid w:val="00457FDC"/>
    <w:rsid w:val="00457FF5"/>
    <w:rsid w:val="00460068"/>
    <w:rsid w:val="00460070"/>
    <w:rsid w:val="0046009F"/>
    <w:rsid w:val="004600BB"/>
    <w:rsid w:val="004600EE"/>
    <w:rsid w:val="00460111"/>
    <w:rsid w:val="00460112"/>
    <w:rsid w:val="0046011B"/>
    <w:rsid w:val="0046017E"/>
    <w:rsid w:val="004601A1"/>
    <w:rsid w:val="00460241"/>
    <w:rsid w:val="00460280"/>
    <w:rsid w:val="004602E8"/>
    <w:rsid w:val="00460314"/>
    <w:rsid w:val="004603A6"/>
    <w:rsid w:val="00460475"/>
    <w:rsid w:val="00460480"/>
    <w:rsid w:val="00460489"/>
    <w:rsid w:val="0046048C"/>
    <w:rsid w:val="004604B2"/>
    <w:rsid w:val="004604BE"/>
    <w:rsid w:val="004604D0"/>
    <w:rsid w:val="0046055A"/>
    <w:rsid w:val="004605BE"/>
    <w:rsid w:val="00460616"/>
    <w:rsid w:val="00460633"/>
    <w:rsid w:val="00460672"/>
    <w:rsid w:val="004606B0"/>
    <w:rsid w:val="004606C4"/>
    <w:rsid w:val="004606DB"/>
    <w:rsid w:val="004606E2"/>
    <w:rsid w:val="004606E7"/>
    <w:rsid w:val="0046072B"/>
    <w:rsid w:val="004607E8"/>
    <w:rsid w:val="0046081E"/>
    <w:rsid w:val="00460831"/>
    <w:rsid w:val="00460839"/>
    <w:rsid w:val="00460869"/>
    <w:rsid w:val="004608B4"/>
    <w:rsid w:val="004608D0"/>
    <w:rsid w:val="004608DE"/>
    <w:rsid w:val="004608E1"/>
    <w:rsid w:val="004609F0"/>
    <w:rsid w:val="00460A17"/>
    <w:rsid w:val="00460A22"/>
    <w:rsid w:val="00460ACD"/>
    <w:rsid w:val="00460B1C"/>
    <w:rsid w:val="00460B98"/>
    <w:rsid w:val="00460C94"/>
    <w:rsid w:val="00460CF5"/>
    <w:rsid w:val="00460D00"/>
    <w:rsid w:val="00460D08"/>
    <w:rsid w:val="00460DAB"/>
    <w:rsid w:val="00460DD2"/>
    <w:rsid w:val="00460DF0"/>
    <w:rsid w:val="00460E39"/>
    <w:rsid w:val="00460E7D"/>
    <w:rsid w:val="00460F9D"/>
    <w:rsid w:val="00460FD5"/>
    <w:rsid w:val="00460FD9"/>
    <w:rsid w:val="00460FE2"/>
    <w:rsid w:val="00461005"/>
    <w:rsid w:val="0046104D"/>
    <w:rsid w:val="004610D1"/>
    <w:rsid w:val="00461155"/>
    <w:rsid w:val="0046115C"/>
    <w:rsid w:val="0046117F"/>
    <w:rsid w:val="00461246"/>
    <w:rsid w:val="00461267"/>
    <w:rsid w:val="0046130F"/>
    <w:rsid w:val="00461337"/>
    <w:rsid w:val="00461397"/>
    <w:rsid w:val="004613D5"/>
    <w:rsid w:val="004613EA"/>
    <w:rsid w:val="004613F2"/>
    <w:rsid w:val="0046146E"/>
    <w:rsid w:val="004614A5"/>
    <w:rsid w:val="004614D3"/>
    <w:rsid w:val="0046156B"/>
    <w:rsid w:val="004615AE"/>
    <w:rsid w:val="004615BC"/>
    <w:rsid w:val="00461610"/>
    <w:rsid w:val="0046162A"/>
    <w:rsid w:val="0046163B"/>
    <w:rsid w:val="00461659"/>
    <w:rsid w:val="00461674"/>
    <w:rsid w:val="0046168C"/>
    <w:rsid w:val="004616BD"/>
    <w:rsid w:val="004616C7"/>
    <w:rsid w:val="004617B3"/>
    <w:rsid w:val="004617C6"/>
    <w:rsid w:val="004617D5"/>
    <w:rsid w:val="00461824"/>
    <w:rsid w:val="00461828"/>
    <w:rsid w:val="00461898"/>
    <w:rsid w:val="004618C2"/>
    <w:rsid w:val="00461925"/>
    <w:rsid w:val="0046195A"/>
    <w:rsid w:val="00461999"/>
    <w:rsid w:val="004619DE"/>
    <w:rsid w:val="00461A13"/>
    <w:rsid w:val="00461A4D"/>
    <w:rsid w:val="00461A64"/>
    <w:rsid w:val="00461A7C"/>
    <w:rsid w:val="00461ABD"/>
    <w:rsid w:val="00461ACE"/>
    <w:rsid w:val="00461AE1"/>
    <w:rsid w:val="00461B09"/>
    <w:rsid w:val="00461B4E"/>
    <w:rsid w:val="00461B9A"/>
    <w:rsid w:val="00461C11"/>
    <w:rsid w:val="00461C38"/>
    <w:rsid w:val="00461C83"/>
    <w:rsid w:val="00461CD3"/>
    <w:rsid w:val="00461D01"/>
    <w:rsid w:val="00461D4B"/>
    <w:rsid w:val="00461D7D"/>
    <w:rsid w:val="00461D83"/>
    <w:rsid w:val="00461DA9"/>
    <w:rsid w:val="00461E2E"/>
    <w:rsid w:val="00461E3D"/>
    <w:rsid w:val="00461E4D"/>
    <w:rsid w:val="00461EA9"/>
    <w:rsid w:val="00461EFC"/>
    <w:rsid w:val="00461EFE"/>
    <w:rsid w:val="00461F78"/>
    <w:rsid w:val="00461FA4"/>
    <w:rsid w:val="00461FD5"/>
    <w:rsid w:val="00461FEB"/>
    <w:rsid w:val="00461FFF"/>
    <w:rsid w:val="00462024"/>
    <w:rsid w:val="0046206D"/>
    <w:rsid w:val="0046207A"/>
    <w:rsid w:val="0046208C"/>
    <w:rsid w:val="00462124"/>
    <w:rsid w:val="0046216A"/>
    <w:rsid w:val="0046217D"/>
    <w:rsid w:val="004621DC"/>
    <w:rsid w:val="00462274"/>
    <w:rsid w:val="004622EA"/>
    <w:rsid w:val="0046234B"/>
    <w:rsid w:val="00462381"/>
    <w:rsid w:val="0046239F"/>
    <w:rsid w:val="004623EC"/>
    <w:rsid w:val="00462415"/>
    <w:rsid w:val="00462418"/>
    <w:rsid w:val="0046242D"/>
    <w:rsid w:val="0046243B"/>
    <w:rsid w:val="00462453"/>
    <w:rsid w:val="00462468"/>
    <w:rsid w:val="0046246C"/>
    <w:rsid w:val="0046247E"/>
    <w:rsid w:val="0046248D"/>
    <w:rsid w:val="004624B8"/>
    <w:rsid w:val="004624DE"/>
    <w:rsid w:val="004624E3"/>
    <w:rsid w:val="004624EE"/>
    <w:rsid w:val="004624FA"/>
    <w:rsid w:val="00462561"/>
    <w:rsid w:val="004625A9"/>
    <w:rsid w:val="004625B4"/>
    <w:rsid w:val="004625BA"/>
    <w:rsid w:val="004625BE"/>
    <w:rsid w:val="004625E5"/>
    <w:rsid w:val="004625E7"/>
    <w:rsid w:val="0046261A"/>
    <w:rsid w:val="00462640"/>
    <w:rsid w:val="0046264E"/>
    <w:rsid w:val="004626B4"/>
    <w:rsid w:val="0046270D"/>
    <w:rsid w:val="0046271F"/>
    <w:rsid w:val="00462768"/>
    <w:rsid w:val="0046278A"/>
    <w:rsid w:val="0046280F"/>
    <w:rsid w:val="00462839"/>
    <w:rsid w:val="00462851"/>
    <w:rsid w:val="00462870"/>
    <w:rsid w:val="004628A6"/>
    <w:rsid w:val="004628BF"/>
    <w:rsid w:val="004628D9"/>
    <w:rsid w:val="004628E6"/>
    <w:rsid w:val="00462911"/>
    <w:rsid w:val="00462931"/>
    <w:rsid w:val="00462994"/>
    <w:rsid w:val="004629D9"/>
    <w:rsid w:val="004629F7"/>
    <w:rsid w:val="00462A21"/>
    <w:rsid w:val="00462A70"/>
    <w:rsid w:val="00462AD5"/>
    <w:rsid w:val="00462AE0"/>
    <w:rsid w:val="00462AF8"/>
    <w:rsid w:val="00462AFF"/>
    <w:rsid w:val="00462B1D"/>
    <w:rsid w:val="00462B7A"/>
    <w:rsid w:val="00462BA6"/>
    <w:rsid w:val="00462CB8"/>
    <w:rsid w:val="00462D18"/>
    <w:rsid w:val="00462D2D"/>
    <w:rsid w:val="00462D61"/>
    <w:rsid w:val="00462D7A"/>
    <w:rsid w:val="00462DDF"/>
    <w:rsid w:val="00462DE5"/>
    <w:rsid w:val="00462EA2"/>
    <w:rsid w:val="00462EB6"/>
    <w:rsid w:val="00462F8C"/>
    <w:rsid w:val="0046307E"/>
    <w:rsid w:val="004630AE"/>
    <w:rsid w:val="00463105"/>
    <w:rsid w:val="0046310D"/>
    <w:rsid w:val="00463137"/>
    <w:rsid w:val="00463164"/>
    <w:rsid w:val="004631D9"/>
    <w:rsid w:val="00463237"/>
    <w:rsid w:val="004632D8"/>
    <w:rsid w:val="00463343"/>
    <w:rsid w:val="00463486"/>
    <w:rsid w:val="004634E0"/>
    <w:rsid w:val="004634F0"/>
    <w:rsid w:val="00463528"/>
    <w:rsid w:val="0046360C"/>
    <w:rsid w:val="0046362C"/>
    <w:rsid w:val="004636B9"/>
    <w:rsid w:val="004636CA"/>
    <w:rsid w:val="004636EE"/>
    <w:rsid w:val="0046374D"/>
    <w:rsid w:val="00463768"/>
    <w:rsid w:val="0046376C"/>
    <w:rsid w:val="00463794"/>
    <w:rsid w:val="004637AC"/>
    <w:rsid w:val="004637AE"/>
    <w:rsid w:val="004637FC"/>
    <w:rsid w:val="00463862"/>
    <w:rsid w:val="0046387F"/>
    <w:rsid w:val="004638E0"/>
    <w:rsid w:val="004639A1"/>
    <w:rsid w:val="004639AA"/>
    <w:rsid w:val="004639C7"/>
    <w:rsid w:val="00463A18"/>
    <w:rsid w:val="00463A1A"/>
    <w:rsid w:val="00463A30"/>
    <w:rsid w:val="00463AAA"/>
    <w:rsid w:val="00463B3E"/>
    <w:rsid w:val="00463B8E"/>
    <w:rsid w:val="00463B92"/>
    <w:rsid w:val="00463BAA"/>
    <w:rsid w:val="00463BDC"/>
    <w:rsid w:val="00463C05"/>
    <w:rsid w:val="00463C0A"/>
    <w:rsid w:val="00463C39"/>
    <w:rsid w:val="00463C4E"/>
    <w:rsid w:val="00463D1B"/>
    <w:rsid w:val="00463D32"/>
    <w:rsid w:val="00463D3A"/>
    <w:rsid w:val="00463D72"/>
    <w:rsid w:val="00463D84"/>
    <w:rsid w:val="00463DB2"/>
    <w:rsid w:val="00463DC6"/>
    <w:rsid w:val="00463E3F"/>
    <w:rsid w:val="00463E54"/>
    <w:rsid w:val="00463E60"/>
    <w:rsid w:val="00463EBC"/>
    <w:rsid w:val="00463EF6"/>
    <w:rsid w:val="00463F6B"/>
    <w:rsid w:val="00463F82"/>
    <w:rsid w:val="00463FDD"/>
    <w:rsid w:val="00464075"/>
    <w:rsid w:val="004640AC"/>
    <w:rsid w:val="004640C5"/>
    <w:rsid w:val="004640DD"/>
    <w:rsid w:val="0046410A"/>
    <w:rsid w:val="00464133"/>
    <w:rsid w:val="0046413C"/>
    <w:rsid w:val="004641D3"/>
    <w:rsid w:val="004641E3"/>
    <w:rsid w:val="00464278"/>
    <w:rsid w:val="00464346"/>
    <w:rsid w:val="00464355"/>
    <w:rsid w:val="0046435F"/>
    <w:rsid w:val="00464364"/>
    <w:rsid w:val="00464414"/>
    <w:rsid w:val="0046441F"/>
    <w:rsid w:val="00464462"/>
    <w:rsid w:val="00464468"/>
    <w:rsid w:val="0046446F"/>
    <w:rsid w:val="00464551"/>
    <w:rsid w:val="0046457F"/>
    <w:rsid w:val="004645CC"/>
    <w:rsid w:val="004645D2"/>
    <w:rsid w:val="004645F2"/>
    <w:rsid w:val="00464610"/>
    <w:rsid w:val="0046469E"/>
    <w:rsid w:val="00464721"/>
    <w:rsid w:val="00464748"/>
    <w:rsid w:val="0046475F"/>
    <w:rsid w:val="0046477B"/>
    <w:rsid w:val="004647D8"/>
    <w:rsid w:val="004647E4"/>
    <w:rsid w:val="00464842"/>
    <w:rsid w:val="0046488F"/>
    <w:rsid w:val="004648A8"/>
    <w:rsid w:val="00464903"/>
    <w:rsid w:val="0046492D"/>
    <w:rsid w:val="0046494B"/>
    <w:rsid w:val="00464972"/>
    <w:rsid w:val="00464998"/>
    <w:rsid w:val="004649D2"/>
    <w:rsid w:val="004649F5"/>
    <w:rsid w:val="00464A1C"/>
    <w:rsid w:val="00464A24"/>
    <w:rsid w:val="00464A28"/>
    <w:rsid w:val="00464A32"/>
    <w:rsid w:val="00464A82"/>
    <w:rsid w:val="00464A84"/>
    <w:rsid w:val="00464A93"/>
    <w:rsid w:val="00464ABE"/>
    <w:rsid w:val="00464B13"/>
    <w:rsid w:val="00464B24"/>
    <w:rsid w:val="00464B83"/>
    <w:rsid w:val="00464B9E"/>
    <w:rsid w:val="00464BAC"/>
    <w:rsid w:val="00464BD4"/>
    <w:rsid w:val="00464BDF"/>
    <w:rsid w:val="00464BE2"/>
    <w:rsid w:val="00464C20"/>
    <w:rsid w:val="00464C82"/>
    <w:rsid w:val="00464CB5"/>
    <w:rsid w:val="00464CBB"/>
    <w:rsid w:val="00464D03"/>
    <w:rsid w:val="00464D38"/>
    <w:rsid w:val="00464D62"/>
    <w:rsid w:val="00464DCC"/>
    <w:rsid w:val="00464E15"/>
    <w:rsid w:val="00464E27"/>
    <w:rsid w:val="00464EF3"/>
    <w:rsid w:val="00464F52"/>
    <w:rsid w:val="00464F91"/>
    <w:rsid w:val="00464FD4"/>
    <w:rsid w:val="00464FDE"/>
    <w:rsid w:val="00464FF4"/>
    <w:rsid w:val="00465003"/>
    <w:rsid w:val="00465016"/>
    <w:rsid w:val="00465025"/>
    <w:rsid w:val="0046502C"/>
    <w:rsid w:val="0046507B"/>
    <w:rsid w:val="00465093"/>
    <w:rsid w:val="00465154"/>
    <w:rsid w:val="00465198"/>
    <w:rsid w:val="004651B9"/>
    <w:rsid w:val="0046527C"/>
    <w:rsid w:val="00465288"/>
    <w:rsid w:val="004652A7"/>
    <w:rsid w:val="00465328"/>
    <w:rsid w:val="00465380"/>
    <w:rsid w:val="004653CB"/>
    <w:rsid w:val="004653DB"/>
    <w:rsid w:val="004654D9"/>
    <w:rsid w:val="00465508"/>
    <w:rsid w:val="0046554D"/>
    <w:rsid w:val="0046557C"/>
    <w:rsid w:val="0046558E"/>
    <w:rsid w:val="004655A6"/>
    <w:rsid w:val="004655DC"/>
    <w:rsid w:val="004655EE"/>
    <w:rsid w:val="0046560C"/>
    <w:rsid w:val="00465716"/>
    <w:rsid w:val="0046572B"/>
    <w:rsid w:val="0046572D"/>
    <w:rsid w:val="0046573C"/>
    <w:rsid w:val="00465746"/>
    <w:rsid w:val="004657A5"/>
    <w:rsid w:val="00465817"/>
    <w:rsid w:val="00465853"/>
    <w:rsid w:val="004658B1"/>
    <w:rsid w:val="00465967"/>
    <w:rsid w:val="00465990"/>
    <w:rsid w:val="004659B4"/>
    <w:rsid w:val="00465A01"/>
    <w:rsid w:val="00465A38"/>
    <w:rsid w:val="00465A4F"/>
    <w:rsid w:val="00465A7F"/>
    <w:rsid w:val="00465A8E"/>
    <w:rsid w:val="00465AE2"/>
    <w:rsid w:val="00465AE9"/>
    <w:rsid w:val="00465B5B"/>
    <w:rsid w:val="00465B63"/>
    <w:rsid w:val="00465B9E"/>
    <w:rsid w:val="00465BD7"/>
    <w:rsid w:val="00465BE5"/>
    <w:rsid w:val="00465C2F"/>
    <w:rsid w:val="00465C7C"/>
    <w:rsid w:val="00465CC5"/>
    <w:rsid w:val="00465CFF"/>
    <w:rsid w:val="00465D20"/>
    <w:rsid w:val="00465D86"/>
    <w:rsid w:val="00465D8A"/>
    <w:rsid w:val="00465DDD"/>
    <w:rsid w:val="00465DEE"/>
    <w:rsid w:val="00465E5B"/>
    <w:rsid w:val="00465E71"/>
    <w:rsid w:val="00465E78"/>
    <w:rsid w:val="00465F5A"/>
    <w:rsid w:val="00465FB6"/>
    <w:rsid w:val="00466033"/>
    <w:rsid w:val="0046606A"/>
    <w:rsid w:val="0046606D"/>
    <w:rsid w:val="004661BE"/>
    <w:rsid w:val="004661D0"/>
    <w:rsid w:val="004661D9"/>
    <w:rsid w:val="00466216"/>
    <w:rsid w:val="0046625F"/>
    <w:rsid w:val="004662AC"/>
    <w:rsid w:val="004662CA"/>
    <w:rsid w:val="00466323"/>
    <w:rsid w:val="00466360"/>
    <w:rsid w:val="00466367"/>
    <w:rsid w:val="004663A8"/>
    <w:rsid w:val="004663CD"/>
    <w:rsid w:val="00466441"/>
    <w:rsid w:val="0046645C"/>
    <w:rsid w:val="00466489"/>
    <w:rsid w:val="00466503"/>
    <w:rsid w:val="0046652D"/>
    <w:rsid w:val="00466531"/>
    <w:rsid w:val="0046658A"/>
    <w:rsid w:val="004665ED"/>
    <w:rsid w:val="004665F4"/>
    <w:rsid w:val="00466654"/>
    <w:rsid w:val="004666B9"/>
    <w:rsid w:val="00466781"/>
    <w:rsid w:val="00466783"/>
    <w:rsid w:val="004667E2"/>
    <w:rsid w:val="0046680F"/>
    <w:rsid w:val="00466822"/>
    <w:rsid w:val="00466839"/>
    <w:rsid w:val="0046684A"/>
    <w:rsid w:val="0046684E"/>
    <w:rsid w:val="00466917"/>
    <w:rsid w:val="00466977"/>
    <w:rsid w:val="004669B6"/>
    <w:rsid w:val="00466A08"/>
    <w:rsid w:val="00466A2B"/>
    <w:rsid w:val="00466A91"/>
    <w:rsid w:val="00466BBF"/>
    <w:rsid w:val="00466C78"/>
    <w:rsid w:val="00466CD4"/>
    <w:rsid w:val="00466D0E"/>
    <w:rsid w:val="00466DA8"/>
    <w:rsid w:val="00466DF3"/>
    <w:rsid w:val="00466E85"/>
    <w:rsid w:val="00466E8B"/>
    <w:rsid w:val="00466E9D"/>
    <w:rsid w:val="00466EBE"/>
    <w:rsid w:val="00466F40"/>
    <w:rsid w:val="00466F9D"/>
    <w:rsid w:val="00467012"/>
    <w:rsid w:val="00467042"/>
    <w:rsid w:val="0046704C"/>
    <w:rsid w:val="00467074"/>
    <w:rsid w:val="004670AF"/>
    <w:rsid w:val="004670B3"/>
    <w:rsid w:val="00467101"/>
    <w:rsid w:val="004671E7"/>
    <w:rsid w:val="00467206"/>
    <w:rsid w:val="0046721E"/>
    <w:rsid w:val="0046724D"/>
    <w:rsid w:val="004672D0"/>
    <w:rsid w:val="00467314"/>
    <w:rsid w:val="004673DE"/>
    <w:rsid w:val="0046744A"/>
    <w:rsid w:val="0046745C"/>
    <w:rsid w:val="0046750F"/>
    <w:rsid w:val="00467526"/>
    <w:rsid w:val="0046757B"/>
    <w:rsid w:val="004675B6"/>
    <w:rsid w:val="004676AC"/>
    <w:rsid w:val="004676F5"/>
    <w:rsid w:val="0046777F"/>
    <w:rsid w:val="004677DC"/>
    <w:rsid w:val="004677E6"/>
    <w:rsid w:val="0046782F"/>
    <w:rsid w:val="0046783C"/>
    <w:rsid w:val="00467846"/>
    <w:rsid w:val="00467877"/>
    <w:rsid w:val="00467913"/>
    <w:rsid w:val="0046796F"/>
    <w:rsid w:val="00467976"/>
    <w:rsid w:val="00467A15"/>
    <w:rsid w:val="00467A47"/>
    <w:rsid w:val="00467A63"/>
    <w:rsid w:val="00467A9D"/>
    <w:rsid w:val="00467AFA"/>
    <w:rsid w:val="00467B31"/>
    <w:rsid w:val="00467B59"/>
    <w:rsid w:val="00467C04"/>
    <w:rsid w:val="00467C89"/>
    <w:rsid w:val="00467CCA"/>
    <w:rsid w:val="00467D6E"/>
    <w:rsid w:val="00467D73"/>
    <w:rsid w:val="00467D7F"/>
    <w:rsid w:val="00467E03"/>
    <w:rsid w:val="00467E94"/>
    <w:rsid w:val="00467E9A"/>
    <w:rsid w:val="00467EA1"/>
    <w:rsid w:val="00467EBF"/>
    <w:rsid w:val="00467EC6"/>
    <w:rsid w:val="00467EEF"/>
    <w:rsid w:val="00467F63"/>
    <w:rsid w:val="00467FB7"/>
    <w:rsid w:val="0047003E"/>
    <w:rsid w:val="00470185"/>
    <w:rsid w:val="0047018A"/>
    <w:rsid w:val="004701B3"/>
    <w:rsid w:val="004701FE"/>
    <w:rsid w:val="0047020A"/>
    <w:rsid w:val="0047030F"/>
    <w:rsid w:val="00470312"/>
    <w:rsid w:val="0047032B"/>
    <w:rsid w:val="0047035C"/>
    <w:rsid w:val="00470408"/>
    <w:rsid w:val="0047041D"/>
    <w:rsid w:val="004704FA"/>
    <w:rsid w:val="00470519"/>
    <w:rsid w:val="0047051C"/>
    <w:rsid w:val="00470529"/>
    <w:rsid w:val="004705F3"/>
    <w:rsid w:val="0047062E"/>
    <w:rsid w:val="0047066C"/>
    <w:rsid w:val="00470672"/>
    <w:rsid w:val="004706C5"/>
    <w:rsid w:val="004706DA"/>
    <w:rsid w:val="00470720"/>
    <w:rsid w:val="00470721"/>
    <w:rsid w:val="0047077E"/>
    <w:rsid w:val="004707D2"/>
    <w:rsid w:val="004707DD"/>
    <w:rsid w:val="004707E7"/>
    <w:rsid w:val="00470815"/>
    <w:rsid w:val="00470855"/>
    <w:rsid w:val="0047086B"/>
    <w:rsid w:val="0047087D"/>
    <w:rsid w:val="004708BE"/>
    <w:rsid w:val="004708E1"/>
    <w:rsid w:val="00470937"/>
    <w:rsid w:val="0047093C"/>
    <w:rsid w:val="004709E7"/>
    <w:rsid w:val="00470A2A"/>
    <w:rsid w:val="00470A48"/>
    <w:rsid w:val="00470A4D"/>
    <w:rsid w:val="00470A97"/>
    <w:rsid w:val="00470ADC"/>
    <w:rsid w:val="00470B76"/>
    <w:rsid w:val="00470BEC"/>
    <w:rsid w:val="00470C81"/>
    <w:rsid w:val="00470C8A"/>
    <w:rsid w:val="00470CAE"/>
    <w:rsid w:val="00470CE9"/>
    <w:rsid w:val="00470D0C"/>
    <w:rsid w:val="00470D1D"/>
    <w:rsid w:val="00470D23"/>
    <w:rsid w:val="00470D5D"/>
    <w:rsid w:val="00470DA1"/>
    <w:rsid w:val="00470E22"/>
    <w:rsid w:val="00470E26"/>
    <w:rsid w:val="00470E38"/>
    <w:rsid w:val="00470E76"/>
    <w:rsid w:val="004710D2"/>
    <w:rsid w:val="00471187"/>
    <w:rsid w:val="004711E4"/>
    <w:rsid w:val="00471277"/>
    <w:rsid w:val="00471361"/>
    <w:rsid w:val="0047139E"/>
    <w:rsid w:val="004713EA"/>
    <w:rsid w:val="004713F8"/>
    <w:rsid w:val="0047142F"/>
    <w:rsid w:val="00471430"/>
    <w:rsid w:val="0047145B"/>
    <w:rsid w:val="004714CE"/>
    <w:rsid w:val="004714DC"/>
    <w:rsid w:val="00471525"/>
    <w:rsid w:val="00471615"/>
    <w:rsid w:val="00471706"/>
    <w:rsid w:val="00471780"/>
    <w:rsid w:val="004717AE"/>
    <w:rsid w:val="004717D7"/>
    <w:rsid w:val="00471832"/>
    <w:rsid w:val="00471869"/>
    <w:rsid w:val="0047186B"/>
    <w:rsid w:val="0047198B"/>
    <w:rsid w:val="004719C2"/>
    <w:rsid w:val="00471A4F"/>
    <w:rsid w:val="00471AFE"/>
    <w:rsid w:val="00471B37"/>
    <w:rsid w:val="00471B5A"/>
    <w:rsid w:val="00471B84"/>
    <w:rsid w:val="00471CA6"/>
    <w:rsid w:val="00471D20"/>
    <w:rsid w:val="00471D80"/>
    <w:rsid w:val="00471D87"/>
    <w:rsid w:val="00471D96"/>
    <w:rsid w:val="00471DD1"/>
    <w:rsid w:val="00471DE1"/>
    <w:rsid w:val="00471DE6"/>
    <w:rsid w:val="00471E21"/>
    <w:rsid w:val="00471ED5"/>
    <w:rsid w:val="00471F45"/>
    <w:rsid w:val="00471F6F"/>
    <w:rsid w:val="00471F98"/>
    <w:rsid w:val="00471FA6"/>
    <w:rsid w:val="00471FFA"/>
    <w:rsid w:val="00472026"/>
    <w:rsid w:val="00472058"/>
    <w:rsid w:val="00472075"/>
    <w:rsid w:val="004720DB"/>
    <w:rsid w:val="00472126"/>
    <w:rsid w:val="00472266"/>
    <w:rsid w:val="0047227D"/>
    <w:rsid w:val="0047229C"/>
    <w:rsid w:val="00472317"/>
    <w:rsid w:val="00472368"/>
    <w:rsid w:val="00472395"/>
    <w:rsid w:val="00472443"/>
    <w:rsid w:val="0047249C"/>
    <w:rsid w:val="004724AD"/>
    <w:rsid w:val="0047250B"/>
    <w:rsid w:val="0047256C"/>
    <w:rsid w:val="00472595"/>
    <w:rsid w:val="00472625"/>
    <w:rsid w:val="00472638"/>
    <w:rsid w:val="004726BE"/>
    <w:rsid w:val="004726DB"/>
    <w:rsid w:val="004727B1"/>
    <w:rsid w:val="00472844"/>
    <w:rsid w:val="0047284A"/>
    <w:rsid w:val="00472864"/>
    <w:rsid w:val="0047288A"/>
    <w:rsid w:val="004728B1"/>
    <w:rsid w:val="00472949"/>
    <w:rsid w:val="00472999"/>
    <w:rsid w:val="004729B6"/>
    <w:rsid w:val="00472A6E"/>
    <w:rsid w:val="00472B18"/>
    <w:rsid w:val="00472B57"/>
    <w:rsid w:val="00472B8B"/>
    <w:rsid w:val="00472B8E"/>
    <w:rsid w:val="00472BB7"/>
    <w:rsid w:val="00472BB9"/>
    <w:rsid w:val="00472BF3"/>
    <w:rsid w:val="00472CCD"/>
    <w:rsid w:val="00472D09"/>
    <w:rsid w:val="00472D33"/>
    <w:rsid w:val="00472DA6"/>
    <w:rsid w:val="00472DA9"/>
    <w:rsid w:val="00472E0D"/>
    <w:rsid w:val="00472E14"/>
    <w:rsid w:val="00472E85"/>
    <w:rsid w:val="00472EFE"/>
    <w:rsid w:val="00472F31"/>
    <w:rsid w:val="00472F44"/>
    <w:rsid w:val="00472F69"/>
    <w:rsid w:val="00472F9B"/>
    <w:rsid w:val="00472FF9"/>
    <w:rsid w:val="0047301A"/>
    <w:rsid w:val="00473025"/>
    <w:rsid w:val="00473035"/>
    <w:rsid w:val="0047307B"/>
    <w:rsid w:val="00473085"/>
    <w:rsid w:val="00473088"/>
    <w:rsid w:val="00473137"/>
    <w:rsid w:val="00473149"/>
    <w:rsid w:val="00473192"/>
    <w:rsid w:val="004731DB"/>
    <w:rsid w:val="00473229"/>
    <w:rsid w:val="00473259"/>
    <w:rsid w:val="004732E8"/>
    <w:rsid w:val="00473315"/>
    <w:rsid w:val="00473389"/>
    <w:rsid w:val="004733E4"/>
    <w:rsid w:val="00473412"/>
    <w:rsid w:val="00473431"/>
    <w:rsid w:val="0047345E"/>
    <w:rsid w:val="004734A1"/>
    <w:rsid w:val="004734EB"/>
    <w:rsid w:val="0047351B"/>
    <w:rsid w:val="0047352F"/>
    <w:rsid w:val="00473546"/>
    <w:rsid w:val="00473592"/>
    <w:rsid w:val="00473643"/>
    <w:rsid w:val="0047365A"/>
    <w:rsid w:val="004736C0"/>
    <w:rsid w:val="0047371A"/>
    <w:rsid w:val="004737AC"/>
    <w:rsid w:val="00473803"/>
    <w:rsid w:val="0047381C"/>
    <w:rsid w:val="00473862"/>
    <w:rsid w:val="0047388E"/>
    <w:rsid w:val="004738AD"/>
    <w:rsid w:val="004738D1"/>
    <w:rsid w:val="00473937"/>
    <w:rsid w:val="004739DF"/>
    <w:rsid w:val="00473A08"/>
    <w:rsid w:val="00473A53"/>
    <w:rsid w:val="00473A59"/>
    <w:rsid w:val="00473ACE"/>
    <w:rsid w:val="00473B28"/>
    <w:rsid w:val="00473BD5"/>
    <w:rsid w:val="00473BE2"/>
    <w:rsid w:val="00473BE7"/>
    <w:rsid w:val="00473C41"/>
    <w:rsid w:val="00473C66"/>
    <w:rsid w:val="00473CB0"/>
    <w:rsid w:val="00473D0C"/>
    <w:rsid w:val="00473D1D"/>
    <w:rsid w:val="00473DDC"/>
    <w:rsid w:val="00473E70"/>
    <w:rsid w:val="00473EAC"/>
    <w:rsid w:val="00473F48"/>
    <w:rsid w:val="00473F77"/>
    <w:rsid w:val="00474062"/>
    <w:rsid w:val="00474080"/>
    <w:rsid w:val="004740B2"/>
    <w:rsid w:val="004740B4"/>
    <w:rsid w:val="00474106"/>
    <w:rsid w:val="00474125"/>
    <w:rsid w:val="00474214"/>
    <w:rsid w:val="00474239"/>
    <w:rsid w:val="00474283"/>
    <w:rsid w:val="00474285"/>
    <w:rsid w:val="004742A8"/>
    <w:rsid w:val="004742D1"/>
    <w:rsid w:val="004742F1"/>
    <w:rsid w:val="00474369"/>
    <w:rsid w:val="00474371"/>
    <w:rsid w:val="004743F0"/>
    <w:rsid w:val="004743F8"/>
    <w:rsid w:val="004744E4"/>
    <w:rsid w:val="0047452A"/>
    <w:rsid w:val="00474576"/>
    <w:rsid w:val="004745B8"/>
    <w:rsid w:val="004745DC"/>
    <w:rsid w:val="004745EE"/>
    <w:rsid w:val="0047460B"/>
    <w:rsid w:val="00474656"/>
    <w:rsid w:val="0047467D"/>
    <w:rsid w:val="00474686"/>
    <w:rsid w:val="004746F6"/>
    <w:rsid w:val="0047470D"/>
    <w:rsid w:val="0047477D"/>
    <w:rsid w:val="00474807"/>
    <w:rsid w:val="00474838"/>
    <w:rsid w:val="00474875"/>
    <w:rsid w:val="00474951"/>
    <w:rsid w:val="0047496D"/>
    <w:rsid w:val="0047496F"/>
    <w:rsid w:val="0047497D"/>
    <w:rsid w:val="004749E3"/>
    <w:rsid w:val="004749E9"/>
    <w:rsid w:val="00474A18"/>
    <w:rsid w:val="00474AAB"/>
    <w:rsid w:val="00474AE5"/>
    <w:rsid w:val="00474AF8"/>
    <w:rsid w:val="00474B1D"/>
    <w:rsid w:val="00474B7E"/>
    <w:rsid w:val="00474BC7"/>
    <w:rsid w:val="00474BC9"/>
    <w:rsid w:val="00474BE7"/>
    <w:rsid w:val="00474C5C"/>
    <w:rsid w:val="00474C8A"/>
    <w:rsid w:val="00474C96"/>
    <w:rsid w:val="00474D16"/>
    <w:rsid w:val="00474E03"/>
    <w:rsid w:val="00474E4E"/>
    <w:rsid w:val="00474E51"/>
    <w:rsid w:val="00474E83"/>
    <w:rsid w:val="00474E94"/>
    <w:rsid w:val="00474EB9"/>
    <w:rsid w:val="00474F3D"/>
    <w:rsid w:val="00474F88"/>
    <w:rsid w:val="00474FCF"/>
    <w:rsid w:val="0047500E"/>
    <w:rsid w:val="0047502E"/>
    <w:rsid w:val="004750F9"/>
    <w:rsid w:val="00475112"/>
    <w:rsid w:val="0047513A"/>
    <w:rsid w:val="0047514E"/>
    <w:rsid w:val="00475158"/>
    <w:rsid w:val="00475182"/>
    <w:rsid w:val="00475184"/>
    <w:rsid w:val="0047530D"/>
    <w:rsid w:val="00475316"/>
    <w:rsid w:val="00475354"/>
    <w:rsid w:val="004753F6"/>
    <w:rsid w:val="00475445"/>
    <w:rsid w:val="00475446"/>
    <w:rsid w:val="00475487"/>
    <w:rsid w:val="004754A9"/>
    <w:rsid w:val="004754AF"/>
    <w:rsid w:val="00475504"/>
    <w:rsid w:val="00475560"/>
    <w:rsid w:val="004755B8"/>
    <w:rsid w:val="00475634"/>
    <w:rsid w:val="0047565B"/>
    <w:rsid w:val="00475660"/>
    <w:rsid w:val="00475698"/>
    <w:rsid w:val="00475719"/>
    <w:rsid w:val="0047586F"/>
    <w:rsid w:val="0047588E"/>
    <w:rsid w:val="004758F8"/>
    <w:rsid w:val="004758FF"/>
    <w:rsid w:val="00475909"/>
    <w:rsid w:val="00475933"/>
    <w:rsid w:val="0047595F"/>
    <w:rsid w:val="004759C7"/>
    <w:rsid w:val="004759F0"/>
    <w:rsid w:val="004759F9"/>
    <w:rsid w:val="00475A21"/>
    <w:rsid w:val="00475A28"/>
    <w:rsid w:val="00475A92"/>
    <w:rsid w:val="00475AC8"/>
    <w:rsid w:val="00475B60"/>
    <w:rsid w:val="00475B76"/>
    <w:rsid w:val="00475B9A"/>
    <w:rsid w:val="00475BB1"/>
    <w:rsid w:val="00475BBA"/>
    <w:rsid w:val="00475C04"/>
    <w:rsid w:val="00475C2E"/>
    <w:rsid w:val="00475C82"/>
    <w:rsid w:val="00475D41"/>
    <w:rsid w:val="00475D58"/>
    <w:rsid w:val="00475D8A"/>
    <w:rsid w:val="00475DCD"/>
    <w:rsid w:val="00475E14"/>
    <w:rsid w:val="00475EAF"/>
    <w:rsid w:val="00475ED8"/>
    <w:rsid w:val="00475F1C"/>
    <w:rsid w:val="00475F40"/>
    <w:rsid w:val="00475F7F"/>
    <w:rsid w:val="00475FFA"/>
    <w:rsid w:val="00476058"/>
    <w:rsid w:val="004760BD"/>
    <w:rsid w:val="004760C4"/>
    <w:rsid w:val="00476135"/>
    <w:rsid w:val="00476159"/>
    <w:rsid w:val="0047617C"/>
    <w:rsid w:val="00476181"/>
    <w:rsid w:val="00476197"/>
    <w:rsid w:val="0047624A"/>
    <w:rsid w:val="00476270"/>
    <w:rsid w:val="004762C3"/>
    <w:rsid w:val="00476309"/>
    <w:rsid w:val="00476314"/>
    <w:rsid w:val="0047631C"/>
    <w:rsid w:val="00476327"/>
    <w:rsid w:val="00476348"/>
    <w:rsid w:val="0047634D"/>
    <w:rsid w:val="004763CF"/>
    <w:rsid w:val="0047642C"/>
    <w:rsid w:val="00476431"/>
    <w:rsid w:val="0047647B"/>
    <w:rsid w:val="004764B8"/>
    <w:rsid w:val="004764E0"/>
    <w:rsid w:val="0047650F"/>
    <w:rsid w:val="0047653E"/>
    <w:rsid w:val="0047658B"/>
    <w:rsid w:val="004765B6"/>
    <w:rsid w:val="0047660F"/>
    <w:rsid w:val="00476622"/>
    <w:rsid w:val="00476623"/>
    <w:rsid w:val="00476677"/>
    <w:rsid w:val="0047668F"/>
    <w:rsid w:val="00476692"/>
    <w:rsid w:val="004766A4"/>
    <w:rsid w:val="004766AA"/>
    <w:rsid w:val="004766CC"/>
    <w:rsid w:val="004766DB"/>
    <w:rsid w:val="00476707"/>
    <w:rsid w:val="00476744"/>
    <w:rsid w:val="004767B1"/>
    <w:rsid w:val="004767C7"/>
    <w:rsid w:val="004767EB"/>
    <w:rsid w:val="00476822"/>
    <w:rsid w:val="004768F4"/>
    <w:rsid w:val="00476903"/>
    <w:rsid w:val="00476909"/>
    <w:rsid w:val="00476950"/>
    <w:rsid w:val="00476968"/>
    <w:rsid w:val="0047697D"/>
    <w:rsid w:val="004769A9"/>
    <w:rsid w:val="004769B0"/>
    <w:rsid w:val="004769B7"/>
    <w:rsid w:val="00476A13"/>
    <w:rsid w:val="00476A21"/>
    <w:rsid w:val="00476A2A"/>
    <w:rsid w:val="00476B2B"/>
    <w:rsid w:val="00476B9D"/>
    <w:rsid w:val="00476BA9"/>
    <w:rsid w:val="00476C41"/>
    <w:rsid w:val="00476C43"/>
    <w:rsid w:val="00476C95"/>
    <w:rsid w:val="00476C98"/>
    <w:rsid w:val="00476CD5"/>
    <w:rsid w:val="00476CF7"/>
    <w:rsid w:val="00476D2F"/>
    <w:rsid w:val="00476D86"/>
    <w:rsid w:val="00476E3D"/>
    <w:rsid w:val="00476F2D"/>
    <w:rsid w:val="00476F2F"/>
    <w:rsid w:val="00476F9E"/>
    <w:rsid w:val="0047707E"/>
    <w:rsid w:val="0047709C"/>
    <w:rsid w:val="00477127"/>
    <w:rsid w:val="0047718E"/>
    <w:rsid w:val="00477190"/>
    <w:rsid w:val="004771B2"/>
    <w:rsid w:val="004771F8"/>
    <w:rsid w:val="004772B0"/>
    <w:rsid w:val="004772C9"/>
    <w:rsid w:val="00477313"/>
    <w:rsid w:val="0047737F"/>
    <w:rsid w:val="004773B2"/>
    <w:rsid w:val="004773D8"/>
    <w:rsid w:val="004773ED"/>
    <w:rsid w:val="00477402"/>
    <w:rsid w:val="00477492"/>
    <w:rsid w:val="004774A4"/>
    <w:rsid w:val="004774DB"/>
    <w:rsid w:val="004774F3"/>
    <w:rsid w:val="00477523"/>
    <w:rsid w:val="0047756C"/>
    <w:rsid w:val="0047758D"/>
    <w:rsid w:val="004775AD"/>
    <w:rsid w:val="004775E3"/>
    <w:rsid w:val="004775E9"/>
    <w:rsid w:val="004776D5"/>
    <w:rsid w:val="00477721"/>
    <w:rsid w:val="00477799"/>
    <w:rsid w:val="004777A3"/>
    <w:rsid w:val="004777B4"/>
    <w:rsid w:val="00477809"/>
    <w:rsid w:val="0047781C"/>
    <w:rsid w:val="0047782F"/>
    <w:rsid w:val="00477855"/>
    <w:rsid w:val="00477873"/>
    <w:rsid w:val="0047788F"/>
    <w:rsid w:val="004778A3"/>
    <w:rsid w:val="004778AE"/>
    <w:rsid w:val="004778C6"/>
    <w:rsid w:val="004778FA"/>
    <w:rsid w:val="00477911"/>
    <w:rsid w:val="00477998"/>
    <w:rsid w:val="0047799F"/>
    <w:rsid w:val="00477AF2"/>
    <w:rsid w:val="00477AF6"/>
    <w:rsid w:val="00477B31"/>
    <w:rsid w:val="00477B86"/>
    <w:rsid w:val="00477BAC"/>
    <w:rsid w:val="00477BBF"/>
    <w:rsid w:val="00477C0F"/>
    <w:rsid w:val="00477C65"/>
    <w:rsid w:val="00477C87"/>
    <w:rsid w:val="00477D4A"/>
    <w:rsid w:val="00477D54"/>
    <w:rsid w:val="00477D94"/>
    <w:rsid w:val="00477DED"/>
    <w:rsid w:val="00477E15"/>
    <w:rsid w:val="00477E4F"/>
    <w:rsid w:val="00477E51"/>
    <w:rsid w:val="00477EB3"/>
    <w:rsid w:val="00477F08"/>
    <w:rsid w:val="00477F41"/>
    <w:rsid w:val="00477F6C"/>
    <w:rsid w:val="00477F86"/>
    <w:rsid w:val="00480057"/>
    <w:rsid w:val="0048005B"/>
    <w:rsid w:val="004800BD"/>
    <w:rsid w:val="004800D9"/>
    <w:rsid w:val="00480108"/>
    <w:rsid w:val="00480119"/>
    <w:rsid w:val="00480185"/>
    <w:rsid w:val="00480195"/>
    <w:rsid w:val="004801A3"/>
    <w:rsid w:val="0048021A"/>
    <w:rsid w:val="00480239"/>
    <w:rsid w:val="0048027B"/>
    <w:rsid w:val="0048028E"/>
    <w:rsid w:val="00480294"/>
    <w:rsid w:val="004802AA"/>
    <w:rsid w:val="00480341"/>
    <w:rsid w:val="0048036F"/>
    <w:rsid w:val="0048045F"/>
    <w:rsid w:val="00480475"/>
    <w:rsid w:val="0048048F"/>
    <w:rsid w:val="004804B6"/>
    <w:rsid w:val="004804E5"/>
    <w:rsid w:val="00480537"/>
    <w:rsid w:val="00480547"/>
    <w:rsid w:val="0048058C"/>
    <w:rsid w:val="004805A6"/>
    <w:rsid w:val="00480610"/>
    <w:rsid w:val="00480656"/>
    <w:rsid w:val="004806C9"/>
    <w:rsid w:val="004806FE"/>
    <w:rsid w:val="00480737"/>
    <w:rsid w:val="00480786"/>
    <w:rsid w:val="0048080C"/>
    <w:rsid w:val="0048095D"/>
    <w:rsid w:val="0048098A"/>
    <w:rsid w:val="00480999"/>
    <w:rsid w:val="004809B5"/>
    <w:rsid w:val="00480A4B"/>
    <w:rsid w:val="00480AB9"/>
    <w:rsid w:val="00480AF8"/>
    <w:rsid w:val="00480B29"/>
    <w:rsid w:val="00480B65"/>
    <w:rsid w:val="00480B78"/>
    <w:rsid w:val="00480C22"/>
    <w:rsid w:val="00480C70"/>
    <w:rsid w:val="00480C75"/>
    <w:rsid w:val="00480C8A"/>
    <w:rsid w:val="00480C8C"/>
    <w:rsid w:val="00480D39"/>
    <w:rsid w:val="00480D41"/>
    <w:rsid w:val="00480D6D"/>
    <w:rsid w:val="00480D7B"/>
    <w:rsid w:val="00480DCB"/>
    <w:rsid w:val="00480DDA"/>
    <w:rsid w:val="00480DF7"/>
    <w:rsid w:val="00480E6C"/>
    <w:rsid w:val="00480ED6"/>
    <w:rsid w:val="00480F46"/>
    <w:rsid w:val="00480F6F"/>
    <w:rsid w:val="00480FC9"/>
    <w:rsid w:val="00480FE7"/>
    <w:rsid w:val="00481008"/>
    <w:rsid w:val="0048105C"/>
    <w:rsid w:val="00481093"/>
    <w:rsid w:val="0048110C"/>
    <w:rsid w:val="0048113B"/>
    <w:rsid w:val="00481159"/>
    <w:rsid w:val="0048116A"/>
    <w:rsid w:val="004811BC"/>
    <w:rsid w:val="004811C5"/>
    <w:rsid w:val="00481214"/>
    <w:rsid w:val="00481278"/>
    <w:rsid w:val="0048127B"/>
    <w:rsid w:val="004812A6"/>
    <w:rsid w:val="004812AB"/>
    <w:rsid w:val="00481327"/>
    <w:rsid w:val="00481331"/>
    <w:rsid w:val="00481398"/>
    <w:rsid w:val="004813DE"/>
    <w:rsid w:val="00481418"/>
    <w:rsid w:val="0048143F"/>
    <w:rsid w:val="0048144D"/>
    <w:rsid w:val="004814B0"/>
    <w:rsid w:val="004814D0"/>
    <w:rsid w:val="00481527"/>
    <w:rsid w:val="00481538"/>
    <w:rsid w:val="00481544"/>
    <w:rsid w:val="0048156E"/>
    <w:rsid w:val="00481570"/>
    <w:rsid w:val="004815D3"/>
    <w:rsid w:val="004815E0"/>
    <w:rsid w:val="0048162C"/>
    <w:rsid w:val="0048167C"/>
    <w:rsid w:val="004816AA"/>
    <w:rsid w:val="004816BB"/>
    <w:rsid w:val="0048172B"/>
    <w:rsid w:val="0048177C"/>
    <w:rsid w:val="00481790"/>
    <w:rsid w:val="004817B8"/>
    <w:rsid w:val="004817BD"/>
    <w:rsid w:val="004817CE"/>
    <w:rsid w:val="00481834"/>
    <w:rsid w:val="00481849"/>
    <w:rsid w:val="0048186C"/>
    <w:rsid w:val="00481886"/>
    <w:rsid w:val="0048188B"/>
    <w:rsid w:val="004818B0"/>
    <w:rsid w:val="004818CA"/>
    <w:rsid w:val="0048194D"/>
    <w:rsid w:val="00481950"/>
    <w:rsid w:val="004819A9"/>
    <w:rsid w:val="004819C7"/>
    <w:rsid w:val="004819DD"/>
    <w:rsid w:val="00481A1B"/>
    <w:rsid w:val="00481A82"/>
    <w:rsid w:val="00481A8A"/>
    <w:rsid w:val="00481AA2"/>
    <w:rsid w:val="00481AB0"/>
    <w:rsid w:val="00481B2B"/>
    <w:rsid w:val="00481BD4"/>
    <w:rsid w:val="00481C04"/>
    <w:rsid w:val="00481C08"/>
    <w:rsid w:val="00481C7A"/>
    <w:rsid w:val="00481CFE"/>
    <w:rsid w:val="00481D86"/>
    <w:rsid w:val="00481DCD"/>
    <w:rsid w:val="00481DDD"/>
    <w:rsid w:val="00481E2A"/>
    <w:rsid w:val="00481E96"/>
    <w:rsid w:val="00481EB3"/>
    <w:rsid w:val="00481EDA"/>
    <w:rsid w:val="00481F05"/>
    <w:rsid w:val="00481F3B"/>
    <w:rsid w:val="00482095"/>
    <w:rsid w:val="004820F7"/>
    <w:rsid w:val="00482165"/>
    <w:rsid w:val="00482181"/>
    <w:rsid w:val="004821AB"/>
    <w:rsid w:val="004821D5"/>
    <w:rsid w:val="004821E4"/>
    <w:rsid w:val="004821F3"/>
    <w:rsid w:val="00482211"/>
    <w:rsid w:val="00482223"/>
    <w:rsid w:val="0048225A"/>
    <w:rsid w:val="004822EC"/>
    <w:rsid w:val="004822F0"/>
    <w:rsid w:val="0048231F"/>
    <w:rsid w:val="00482334"/>
    <w:rsid w:val="0048235C"/>
    <w:rsid w:val="004823BD"/>
    <w:rsid w:val="004823CF"/>
    <w:rsid w:val="00482443"/>
    <w:rsid w:val="0048244E"/>
    <w:rsid w:val="00482477"/>
    <w:rsid w:val="0048248F"/>
    <w:rsid w:val="004824B3"/>
    <w:rsid w:val="004824BD"/>
    <w:rsid w:val="004824CD"/>
    <w:rsid w:val="004824E9"/>
    <w:rsid w:val="004824EF"/>
    <w:rsid w:val="00482520"/>
    <w:rsid w:val="00482565"/>
    <w:rsid w:val="004825A2"/>
    <w:rsid w:val="004825C2"/>
    <w:rsid w:val="004825CA"/>
    <w:rsid w:val="004825CE"/>
    <w:rsid w:val="0048260F"/>
    <w:rsid w:val="00482640"/>
    <w:rsid w:val="00482643"/>
    <w:rsid w:val="00482660"/>
    <w:rsid w:val="00482688"/>
    <w:rsid w:val="0048268F"/>
    <w:rsid w:val="004826FE"/>
    <w:rsid w:val="00482702"/>
    <w:rsid w:val="00482708"/>
    <w:rsid w:val="0048273E"/>
    <w:rsid w:val="0048288E"/>
    <w:rsid w:val="004828BD"/>
    <w:rsid w:val="00482943"/>
    <w:rsid w:val="0048294B"/>
    <w:rsid w:val="0048297D"/>
    <w:rsid w:val="00482999"/>
    <w:rsid w:val="004829CE"/>
    <w:rsid w:val="00482A64"/>
    <w:rsid w:val="00482A93"/>
    <w:rsid w:val="00482AC2"/>
    <w:rsid w:val="00482B41"/>
    <w:rsid w:val="00482B4E"/>
    <w:rsid w:val="00482BB3"/>
    <w:rsid w:val="00482C10"/>
    <w:rsid w:val="00482C15"/>
    <w:rsid w:val="00482CB6"/>
    <w:rsid w:val="00482CF8"/>
    <w:rsid w:val="00482D29"/>
    <w:rsid w:val="00482DD5"/>
    <w:rsid w:val="00482DF8"/>
    <w:rsid w:val="00482E0E"/>
    <w:rsid w:val="00482EB6"/>
    <w:rsid w:val="00482EC2"/>
    <w:rsid w:val="00482ED4"/>
    <w:rsid w:val="00482F3C"/>
    <w:rsid w:val="00482F4E"/>
    <w:rsid w:val="00482F9A"/>
    <w:rsid w:val="00483003"/>
    <w:rsid w:val="00483019"/>
    <w:rsid w:val="0048307B"/>
    <w:rsid w:val="00483088"/>
    <w:rsid w:val="004830AC"/>
    <w:rsid w:val="004830C2"/>
    <w:rsid w:val="004830C9"/>
    <w:rsid w:val="004830D6"/>
    <w:rsid w:val="004830E4"/>
    <w:rsid w:val="004830EF"/>
    <w:rsid w:val="00483120"/>
    <w:rsid w:val="004831A7"/>
    <w:rsid w:val="004831D0"/>
    <w:rsid w:val="004831DE"/>
    <w:rsid w:val="00483218"/>
    <w:rsid w:val="0048322A"/>
    <w:rsid w:val="00483232"/>
    <w:rsid w:val="004832B2"/>
    <w:rsid w:val="004832ED"/>
    <w:rsid w:val="004832F1"/>
    <w:rsid w:val="004832F2"/>
    <w:rsid w:val="00483357"/>
    <w:rsid w:val="00483366"/>
    <w:rsid w:val="0048336B"/>
    <w:rsid w:val="00483378"/>
    <w:rsid w:val="004833A2"/>
    <w:rsid w:val="004833BB"/>
    <w:rsid w:val="0048342F"/>
    <w:rsid w:val="00483463"/>
    <w:rsid w:val="004834BB"/>
    <w:rsid w:val="004834C2"/>
    <w:rsid w:val="00483524"/>
    <w:rsid w:val="004835E7"/>
    <w:rsid w:val="0048360C"/>
    <w:rsid w:val="00483626"/>
    <w:rsid w:val="00483651"/>
    <w:rsid w:val="0048367F"/>
    <w:rsid w:val="004836C6"/>
    <w:rsid w:val="004836FE"/>
    <w:rsid w:val="00483789"/>
    <w:rsid w:val="004837B4"/>
    <w:rsid w:val="004837D8"/>
    <w:rsid w:val="004837E0"/>
    <w:rsid w:val="004837E3"/>
    <w:rsid w:val="004837FD"/>
    <w:rsid w:val="0048382D"/>
    <w:rsid w:val="0048383F"/>
    <w:rsid w:val="004838B9"/>
    <w:rsid w:val="0048398E"/>
    <w:rsid w:val="004839A2"/>
    <w:rsid w:val="004839CC"/>
    <w:rsid w:val="00483A55"/>
    <w:rsid w:val="00483B7A"/>
    <w:rsid w:val="00483B99"/>
    <w:rsid w:val="00483BB5"/>
    <w:rsid w:val="00483BDC"/>
    <w:rsid w:val="00483BF2"/>
    <w:rsid w:val="00483C05"/>
    <w:rsid w:val="00483C1D"/>
    <w:rsid w:val="00483C3F"/>
    <w:rsid w:val="00483C50"/>
    <w:rsid w:val="00483CC0"/>
    <w:rsid w:val="00483DED"/>
    <w:rsid w:val="00483E03"/>
    <w:rsid w:val="00483E58"/>
    <w:rsid w:val="00483E7C"/>
    <w:rsid w:val="00483F16"/>
    <w:rsid w:val="00483F2A"/>
    <w:rsid w:val="00483F37"/>
    <w:rsid w:val="00483FBF"/>
    <w:rsid w:val="00483FCD"/>
    <w:rsid w:val="004840DD"/>
    <w:rsid w:val="0048416C"/>
    <w:rsid w:val="00484203"/>
    <w:rsid w:val="0048421F"/>
    <w:rsid w:val="00484269"/>
    <w:rsid w:val="004842B7"/>
    <w:rsid w:val="004842D9"/>
    <w:rsid w:val="00484319"/>
    <w:rsid w:val="0048433F"/>
    <w:rsid w:val="00484389"/>
    <w:rsid w:val="004843C6"/>
    <w:rsid w:val="004843D2"/>
    <w:rsid w:val="0048445A"/>
    <w:rsid w:val="0048447D"/>
    <w:rsid w:val="00484496"/>
    <w:rsid w:val="004844BE"/>
    <w:rsid w:val="004844C2"/>
    <w:rsid w:val="00484510"/>
    <w:rsid w:val="0048453F"/>
    <w:rsid w:val="00484541"/>
    <w:rsid w:val="0048455A"/>
    <w:rsid w:val="004845AC"/>
    <w:rsid w:val="0048463B"/>
    <w:rsid w:val="00484693"/>
    <w:rsid w:val="004846D7"/>
    <w:rsid w:val="0048475F"/>
    <w:rsid w:val="004847D9"/>
    <w:rsid w:val="0048484C"/>
    <w:rsid w:val="0048488C"/>
    <w:rsid w:val="004848FD"/>
    <w:rsid w:val="00484908"/>
    <w:rsid w:val="004849A3"/>
    <w:rsid w:val="004849CF"/>
    <w:rsid w:val="00484A00"/>
    <w:rsid w:val="00484A4D"/>
    <w:rsid w:val="00484A6D"/>
    <w:rsid w:val="00484A8C"/>
    <w:rsid w:val="00484AC4"/>
    <w:rsid w:val="00484AE5"/>
    <w:rsid w:val="00484B46"/>
    <w:rsid w:val="00484B50"/>
    <w:rsid w:val="00484B58"/>
    <w:rsid w:val="00484B96"/>
    <w:rsid w:val="00484BD7"/>
    <w:rsid w:val="00484C92"/>
    <w:rsid w:val="00484CB8"/>
    <w:rsid w:val="00484CC3"/>
    <w:rsid w:val="00484D41"/>
    <w:rsid w:val="00484DC1"/>
    <w:rsid w:val="00484E50"/>
    <w:rsid w:val="00484FEF"/>
    <w:rsid w:val="0048507A"/>
    <w:rsid w:val="0048509E"/>
    <w:rsid w:val="004850E0"/>
    <w:rsid w:val="0048510E"/>
    <w:rsid w:val="00485152"/>
    <w:rsid w:val="0048515A"/>
    <w:rsid w:val="0048515F"/>
    <w:rsid w:val="00485183"/>
    <w:rsid w:val="004852B4"/>
    <w:rsid w:val="004852BE"/>
    <w:rsid w:val="004852C7"/>
    <w:rsid w:val="004852DF"/>
    <w:rsid w:val="00485308"/>
    <w:rsid w:val="00485322"/>
    <w:rsid w:val="00485386"/>
    <w:rsid w:val="004853C4"/>
    <w:rsid w:val="00485457"/>
    <w:rsid w:val="00485478"/>
    <w:rsid w:val="004854C5"/>
    <w:rsid w:val="00485577"/>
    <w:rsid w:val="004855AF"/>
    <w:rsid w:val="00485601"/>
    <w:rsid w:val="00485614"/>
    <w:rsid w:val="0048565D"/>
    <w:rsid w:val="004856AF"/>
    <w:rsid w:val="00485739"/>
    <w:rsid w:val="0048574A"/>
    <w:rsid w:val="0048575B"/>
    <w:rsid w:val="004857AB"/>
    <w:rsid w:val="004857D4"/>
    <w:rsid w:val="0048587A"/>
    <w:rsid w:val="004858B4"/>
    <w:rsid w:val="004858D5"/>
    <w:rsid w:val="00485946"/>
    <w:rsid w:val="0048597D"/>
    <w:rsid w:val="00485988"/>
    <w:rsid w:val="004859E1"/>
    <w:rsid w:val="00485A2B"/>
    <w:rsid w:val="00485A56"/>
    <w:rsid w:val="00485A9E"/>
    <w:rsid w:val="00485B0A"/>
    <w:rsid w:val="00485B3B"/>
    <w:rsid w:val="00485B7F"/>
    <w:rsid w:val="00485B8C"/>
    <w:rsid w:val="00485B97"/>
    <w:rsid w:val="00485BEB"/>
    <w:rsid w:val="00485C0D"/>
    <w:rsid w:val="00485C82"/>
    <w:rsid w:val="00485C93"/>
    <w:rsid w:val="00485CB8"/>
    <w:rsid w:val="00485DC8"/>
    <w:rsid w:val="00485DCE"/>
    <w:rsid w:val="00485E09"/>
    <w:rsid w:val="00485E1A"/>
    <w:rsid w:val="00485E33"/>
    <w:rsid w:val="00485E44"/>
    <w:rsid w:val="00485EC8"/>
    <w:rsid w:val="00485EE4"/>
    <w:rsid w:val="00485F96"/>
    <w:rsid w:val="00485FFB"/>
    <w:rsid w:val="00486006"/>
    <w:rsid w:val="00486085"/>
    <w:rsid w:val="004860C1"/>
    <w:rsid w:val="00486119"/>
    <w:rsid w:val="00486158"/>
    <w:rsid w:val="004861D1"/>
    <w:rsid w:val="004861F1"/>
    <w:rsid w:val="00486200"/>
    <w:rsid w:val="00486223"/>
    <w:rsid w:val="00486280"/>
    <w:rsid w:val="004862FA"/>
    <w:rsid w:val="0048631B"/>
    <w:rsid w:val="00486326"/>
    <w:rsid w:val="0048632E"/>
    <w:rsid w:val="00486422"/>
    <w:rsid w:val="00486438"/>
    <w:rsid w:val="0048644A"/>
    <w:rsid w:val="0048649B"/>
    <w:rsid w:val="0048649E"/>
    <w:rsid w:val="004864A2"/>
    <w:rsid w:val="004864C5"/>
    <w:rsid w:val="00486529"/>
    <w:rsid w:val="0048652E"/>
    <w:rsid w:val="00486545"/>
    <w:rsid w:val="00486696"/>
    <w:rsid w:val="004866AD"/>
    <w:rsid w:val="004866FD"/>
    <w:rsid w:val="00486722"/>
    <w:rsid w:val="0048672F"/>
    <w:rsid w:val="0048673E"/>
    <w:rsid w:val="0048673F"/>
    <w:rsid w:val="00486775"/>
    <w:rsid w:val="004867A0"/>
    <w:rsid w:val="004867AA"/>
    <w:rsid w:val="004867D9"/>
    <w:rsid w:val="0048682D"/>
    <w:rsid w:val="00486931"/>
    <w:rsid w:val="004869E3"/>
    <w:rsid w:val="004869F2"/>
    <w:rsid w:val="004869FE"/>
    <w:rsid w:val="00486A69"/>
    <w:rsid w:val="00486A7B"/>
    <w:rsid w:val="00486AE8"/>
    <w:rsid w:val="00486B4F"/>
    <w:rsid w:val="00486B68"/>
    <w:rsid w:val="00486B79"/>
    <w:rsid w:val="00486B85"/>
    <w:rsid w:val="00486C3D"/>
    <w:rsid w:val="00486C4E"/>
    <w:rsid w:val="00486C63"/>
    <w:rsid w:val="00486C85"/>
    <w:rsid w:val="00486C8B"/>
    <w:rsid w:val="00486D22"/>
    <w:rsid w:val="00486D48"/>
    <w:rsid w:val="00486DDD"/>
    <w:rsid w:val="00486E27"/>
    <w:rsid w:val="00486E83"/>
    <w:rsid w:val="00486F9C"/>
    <w:rsid w:val="00486FD8"/>
    <w:rsid w:val="0048703B"/>
    <w:rsid w:val="004870D0"/>
    <w:rsid w:val="004870EB"/>
    <w:rsid w:val="0048711B"/>
    <w:rsid w:val="0048719A"/>
    <w:rsid w:val="004871D8"/>
    <w:rsid w:val="00487224"/>
    <w:rsid w:val="0048724D"/>
    <w:rsid w:val="004872DB"/>
    <w:rsid w:val="00487363"/>
    <w:rsid w:val="00487385"/>
    <w:rsid w:val="004873FB"/>
    <w:rsid w:val="0048740F"/>
    <w:rsid w:val="00487473"/>
    <w:rsid w:val="004874C6"/>
    <w:rsid w:val="004874CB"/>
    <w:rsid w:val="0048756B"/>
    <w:rsid w:val="00487582"/>
    <w:rsid w:val="004875C2"/>
    <w:rsid w:val="004875CE"/>
    <w:rsid w:val="0048767D"/>
    <w:rsid w:val="004876AB"/>
    <w:rsid w:val="004876F6"/>
    <w:rsid w:val="00487700"/>
    <w:rsid w:val="0048775C"/>
    <w:rsid w:val="00487772"/>
    <w:rsid w:val="00487779"/>
    <w:rsid w:val="00487789"/>
    <w:rsid w:val="0048778E"/>
    <w:rsid w:val="00487793"/>
    <w:rsid w:val="00487804"/>
    <w:rsid w:val="00487811"/>
    <w:rsid w:val="00487836"/>
    <w:rsid w:val="004878A3"/>
    <w:rsid w:val="00487987"/>
    <w:rsid w:val="004879A1"/>
    <w:rsid w:val="004879CB"/>
    <w:rsid w:val="00487A30"/>
    <w:rsid w:val="00487A59"/>
    <w:rsid w:val="00487A66"/>
    <w:rsid w:val="00487B85"/>
    <w:rsid w:val="00487B9F"/>
    <w:rsid w:val="00487C35"/>
    <w:rsid w:val="00487C4D"/>
    <w:rsid w:val="00487C85"/>
    <w:rsid w:val="00487CA8"/>
    <w:rsid w:val="00487D8A"/>
    <w:rsid w:val="00487E4B"/>
    <w:rsid w:val="00487ED3"/>
    <w:rsid w:val="00487EE0"/>
    <w:rsid w:val="00487F63"/>
    <w:rsid w:val="00487F6C"/>
    <w:rsid w:val="00487FA1"/>
    <w:rsid w:val="00487FA8"/>
    <w:rsid w:val="00487FB6"/>
    <w:rsid w:val="0049001F"/>
    <w:rsid w:val="0049006C"/>
    <w:rsid w:val="00490145"/>
    <w:rsid w:val="0049014F"/>
    <w:rsid w:val="0049017C"/>
    <w:rsid w:val="004901E6"/>
    <w:rsid w:val="00490255"/>
    <w:rsid w:val="00490257"/>
    <w:rsid w:val="004902E8"/>
    <w:rsid w:val="0049031F"/>
    <w:rsid w:val="0049032E"/>
    <w:rsid w:val="00490343"/>
    <w:rsid w:val="004903AA"/>
    <w:rsid w:val="004903F4"/>
    <w:rsid w:val="00490466"/>
    <w:rsid w:val="004904D5"/>
    <w:rsid w:val="00490515"/>
    <w:rsid w:val="0049052E"/>
    <w:rsid w:val="00490590"/>
    <w:rsid w:val="004905A8"/>
    <w:rsid w:val="004905E7"/>
    <w:rsid w:val="00490628"/>
    <w:rsid w:val="00490648"/>
    <w:rsid w:val="0049066C"/>
    <w:rsid w:val="0049067C"/>
    <w:rsid w:val="00490689"/>
    <w:rsid w:val="00490692"/>
    <w:rsid w:val="00490697"/>
    <w:rsid w:val="004906B8"/>
    <w:rsid w:val="00490726"/>
    <w:rsid w:val="00490733"/>
    <w:rsid w:val="004907EB"/>
    <w:rsid w:val="00490876"/>
    <w:rsid w:val="00490927"/>
    <w:rsid w:val="00490932"/>
    <w:rsid w:val="0049093F"/>
    <w:rsid w:val="0049094B"/>
    <w:rsid w:val="004909F7"/>
    <w:rsid w:val="00490A30"/>
    <w:rsid w:val="00490ABC"/>
    <w:rsid w:val="00490BC2"/>
    <w:rsid w:val="00490BF3"/>
    <w:rsid w:val="00490C30"/>
    <w:rsid w:val="00490C63"/>
    <w:rsid w:val="00490C86"/>
    <w:rsid w:val="00490CEA"/>
    <w:rsid w:val="00490D4F"/>
    <w:rsid w:val="00490D5B"/>
    <w:rsid w:val="00490D6A"/>
    <w:rsid w:val="00490DA3"/>
    <w:rsid w:val="00490E19"/>
    <w:rsid w:val="00490EE5"/>
    <w:rsid w:val="00490F32"/>
    <w:rsid w:val="00490FA8"/>
    <w:rsid w:val="00490FC4"/>
    <w:rsid w:val="00490FCC"/>
    <w:rsid w:val="00490FCD"/>
    <w:rsid w:val="00490FF0"/>
    <w:rsid w:val="004910F6"/>
    <w:rsid w:val="0049114C"/>
    <w:rsid w:val="004911D4"/>
    <w:rsid w:val="004911E6"/>
    <w:rsid w:val="00491263"/>
    <w:rsid w:val="0049126D"/>
    <w:rsid w:val="004912A2"/>
    <w:rsid w:val="004912BE"/>
    <w:rsid w:val="0049138A"/>
    <w:rsid w:val="0049139C"/>
    <w:rsid w:val="00491447"/>
    <w:rsid w:val="00491448"/>
    <w:rsid w:val="00491487"/>
    <w:rsid w:val="004914E7"/>
    <w:rsid w:val="0049152A"/>
    <w:rsid w:val="0049152D"/>
    <w:rsid w:val="00491534"/>
    <w:rsid w:val="00491595"/>
    <w:rsid w:val="004915D0"/>
    <w:rsid w:val="0049161E"/>
    <w:rsid w:val="00491622"/>
    <w:rsid w:val="00491626"/>
    <w:rsid w:val="00491636"/>
    <w:rsid w:val="00491677"/>
    <w:rsid w:val="0049167F"/>
    <w:rsid w:val="004916C1"/>
    <w:rsid w:val="00491717"/>
    <w:rsid w:val="0049172C"/>
    <w:rsid w:val="004917B3"/>
    <w:rsid w:val="004917CF"/>
    <w:rsid w:val="004917F7"/>
    <w:rsid w:val="00491811"/>
    <w:rsid w:val="00491863"/>
    <w:rsid w:val="004918E4"/>
    <w:rsid w:val="004918EF"/>
    <w:rsid w:val="00491993"/>
    <w:rsid w:val="004919A3"/>
    <w:rsid w:val="004919BE"/>
    <w:rsid w:val="004919D9"/>
    <w:rsid w:val="004919E5"/>
    <w:rsid w:val="004919FF"/>
    <w:rsid w:val="00491A37"/>
    <w:rsid w:val="00491A5B"/>
    <w:rsid w:val="00491AE5"/>
    <w:rsid w:val="00491AE9"/>
    <w:rsid w:val="00491AFB"/>
    <w:rsid w:val="00491B4E"/>
    <w:rsid w:val="00491B51"/>
    <w:rsid w:val="00491B9A"/>
    <w:rsid w:val="00491BA1"/>
    <w:rsid w:val="00491BB7"/>
    <w:rsid w:val="00491BC9"/>
    <w:rsid w:val="00491BDB"/>
    <w:rsid w:val="00491BEE"/>
    <w:rsid w:val="00491C24"/>
    <w:rsid w:val="00491CC3"/>
    <w:rsid w:val="00491DB1"/>
    <w:rsid w:val="00491DB4"/>
    <w:rsid w:val="00491E22"/>
    <w:rsid w:val="00491E62"/>
    <w:rsid w:val="00491E8C"/>
    <w:rsid w:val="00491ED0"/>
    <w:rsid w:val="00491F36"/>
    <w:rsid w:val="00491F41"/>
    <w:rsid w:val="00491F49"/>
    <w:rsid w:val="00491F87"/>
    <w:rsid w:val="0049202F"/>
    <w:rsid w:val="00492093"/>
    <w:rsid w:val="00492097"/>
    <w:rsid w:val="004920EC"/>
    <w:rsid w:val="004921C5"/>
    <w:rsid w:val="00492204"/>
    <w:rsid w:val="00492210"/>
    <w:rsid w:val="00492288"/>
    <w:rsid w:val="004922BE"/>
    <w:rsid w:val="0049230B"/>
    <w:rsid w:val="00492321"/>
    <w:rsid w:val="0049233F"/>
    <w:rsid w:val="0049236D"/>
    <w:rsid w:val="0049237F"/>
    <w:rsid w:val="00492386"/>
    <w:rsid w:val="00492423"/>
    <w:rsid w:val="0049245E"/>
    <w:rsid w:val="004924DB"/>
    <w:rsid w:val="00492520"/>
    <w:rsid w:val="0049255A"/>
    <w:rsid w:val="00492571"/>
    <w:rsid w:val="004925C3"/>
    <w:rsid w:val="004925D6"/>
    <w:rsid w:val="004926AC"/>
    <w:rsid w:val="0049270A"/>
    <w:rsid w:val="0049273E"/>
    <w:rsid w:val="0049274E"/>
    <w:rsid w:val="004927BF"/>
    <w:rsid w:val="004927C5"/>
    <w:rsid w:val="004927E0"/>
    <w:rsid w:val="00492803"/>
    <w:rsid w:val="0049282A"/>
    <w:rsid w:val="00492847"/>
    <w:rsid w:val="004928C4"/>
    <w:rsid w:val="004928DE"/>
    <w:rsid w:val="00492911"/>
    <w:rsid w:val="00492941"/>
    <w:rsid w:val="0049296A"/>
    <w:rsid w:val="0049296B"/>
    <w:rsid w:val="00492971"/>
    <w:rsid w:val="0049297A"/>
    <w:rsid w:val="004929B8"/>
    <w:rsid w:val="004929C3"/>
    <w:rsid w:val="004929D8"/>
    <w:rsid w:val="00492A52"/>
    <w:rsid w:val="00492A6B"/>
    <w:rsid w:val="00492A7A"/>
    <w:rsid w:val="00492A7F"/>
    <w:rsid w:val="00492AF2"/>
    <w:rsid w:val="00492B88"/>
    <w:rsid w:val="00492BB3"/>
    <w:rsid w:val="00492BE0"/>
    <w:rsid w:val="00492CA1"/>
    <w:rsid w:val="00492D67"/>
    <w:rsid w:val="00492DE1"/>
    <w:rsid w:val="00492E1C"/>
    <w:rsid w:val="00492E28"/>
    <w:rsid w:val="00492E8E"/>
    <w:rsid w:val="00492EB0"/>
    <w:rsid w:val="00492ECA"/>
    <w:rsid w:val="00492EE1"/>
    <w:rsid w:val="00492EFE"/>
    <w:rsid w:val="00492FBE"/>
    <w:rsid w:val="00492FEC"/>
    <w:rsid w:val="00493021"/>
    <w:rsid w:val="00493169"/>
    <w:rsid w:val="004931AD"/>
    <w:rsid w:val="004931DF"/>
    <w:rsid w:val="004931E3"/>
    <w:rsid w:val="00493257"/>
    <w:rsid w:val="004932C4"/>
    <w:rsid w:val="004932C6"/>
    <w:rsid w:val="004932D9"/>
    <w:rsid w:val="004932F9"/>
    <w:rsid w:val="00493383"/>
    <w:rsid w:val="00493457"/>
    <w:rsid w:val="00493501"/>
    <w:rsid w:val="00493504"/>
    <w:rsid w:val="0049351A"/>
    <w:rsid w:val="0049358F"/>
    <w:rsid w:val="00493603"/>
    <w:rsid w:val="00493608"/>
    <w:rsid w:val="00493610"/>
    <w:rsid w:val="0049363D"/>
    <w:rsid w:val="00493671"/>
    <w:rsid w:val="00493731"/>
    <w:rsid w:val="0049377A"/>
    <w:rsid w:val="00493824"/>
    <w:rsid w:val="00493846"/>
    <w:rsid w:val="00493898"/>
    <w:rsid w:val="004938B6"/>
    <w:rsid w:val="004938DF"/>
    <w:rsid w:val="004938E0"/>
    <w:rsid w:val="0049391E"/>
    <w:rsid w:val="00493954"/>
    <w:rsid w:val="0049395F"/>
    <w:rsid w:val="00493960"/>
    <w:rsid w:val="00493993"/>
    <w:rsid w:val="0049399F"/>
    <w:rsid w:val="004939BF"/>
    <w:rsid w:val="00493A5C"/>
    <w:rsid w:val="00493A66"/>
    <w:rsid w:val="00493A9C"/>
    <w:rsid w:val="00493B66"/>
    <w:rsid w:val="00493BA6"/>
    <w:rsid w:val="00493C01"/>
    <w:rsid w:val="00493C1F"/>
    <w:rsid w:val="00493C58"/>
    <w:rsid w:val="00493C9E"/>
    <w:rsid w:val="00493D14"/>
    <w:rsid w:val="00493D63"/>
    <w:rsid w:val="00493D77"/>
    <w:rsid w:val="00493DC9"/>
    <w:rsid w:val="00493DD2"/>
    <w:rsid w:val="00493DDA"/>
    <w:rsid w:val="00493E0C"/>
    <w:rsid w:val="00493E6C"/>
    <w:rsid w:val="00493EFB"/>
    <w:rsid w:val="00493F40"/>
    <w:rsid w:val="00493FD3"/>
    <w:rsid w:val="00493FE6"/>
    <w:rsid w:val="0049404F"/>
    <w:rsid w:val="004940B9"/>
    <w:rsid w:val="00494135"/>
    <w:rsid w:val="0049413B"/>
    <w:rsid w:val="00494150"/>
    <w:rsid w:val="0049416D"/>
    <w:rsid w:val="00494170"/>
    <w:rsid w:val="004941C2"/>
    <w:rsid w:val="0049420C"/>
    <w:rsid w:val="00494247"/>
    <w:rsid w:val="0049425F"/>
    <w:rsid w:val="004942A4"/>
    <w:rsid w:val="004942E9"/>
    <w:rsid w:val="00494336"/>
    <w:rsid w:val="00494348"/>
    <w:rsid w:val="00494370"/>
    <w:rsid w:val="00494389"/>
    <w:rsid w:val="00494398"/>
    <w:rsid w:val="00494401"/>
    <w:rsid w:val="00494456"/>
    <w:rsid w:val="004944B2"/>
    <w:rsid w:val="004945A8"/>
    <w:rsid w:val="00494666"/>
    <w:rsid w:val="004946A6"/>
    <w:rsid w:val="004946EF"/>
    <w:rsid w:val="004947B0"/>
    <w:rsid w:val="004947D6"/>
    <w:rsid w:val="004947EC"/>
    <w:rsid w:val="00494863"/>
    <w:rsid w:val="00494867"/>
    <w:rsid w:val="00494884"/>
    <w:rsid w:val="004948B3"/>
    <w:rsid w:val="004948FD"/>
    <w:rsid w:val="00494939"/>
    <w:rsid w:val="0049497D"/>
    <w:rsid w:val="0049498E"/>
    <w:rsid w:val="00494993"/>
    <w:rsid w:val="00494A32"/>
    <w:rsid w:val="00494A39"/>
    <w:rsid w:val="00494B1A"/>
    <w:rsid w:val="00494B4B"/>
    <w:rsid w:val="00494C00"/>
    <w:rsid w:val="00494C03"/>
    <w:rsid w:val="00494C28"/>
    <w:rsid w:val="00494C99"/>
    <w:rsid w:val="00494D06"/>
    <w:rsid w:val="00494D9A"/>
    <w:rsid w:val="00494E62"/>
    <w:rsid w:val="00494EA4"/>
    <w:rsid w:val="00494F0F"/>
    <w:rsid w:val="00494F95"/>
    <w:rsid w:val="00495042"/>
    <w:rsid w:val="004950F2"/>
    <w:rsid w:val="00495126"/>
    <w:rsid w:val="0049516E"/>
    <w:rsid w:val="00495179"/>
    <w:rsid w:val="00495194"/>
    <w:rsid w:val="004951A4"/>
    <w:rsid w:val="004951CA"/>
    <w:rsid w:val="004951DA"/>
    <w:rsid w:val="0049520C"/>
    <w:rsid w:val="0049526D"/>
    <w:rsid w:val="0049528D"/>
    <w:rsid w:val="00495335"/>
    <w:rsid w:val="00495389"/>
    <w:rsid w:val="004953B4"/>
    <w:rsid w:val="004953C3"/>
    <w:rsid w:val="004953DC"/>
    <w:rsid w:val="004953E6"/>
    <w:rsid w:val="0049546C"/>
    <w:rsid w:val="00495473"/>
    <w:rsid w:val="0049547E"/>
    <w:rsid w:val="004954AE"/>
    <w:rsid w:val="004954B0"/>
    <w:rsid w:val="004954C3"/>
    <w:rsid w:val="004954C4"/>
    <w:rsid w:val="004954CF"/>
    <w:rsid w:val="004954F9"/>
    <w:rsid w:val="00495504"/>
    <w:rsid w:val="00495557"/>
    <w:rsid w:val="00495592"/>
    <w:rsid w:val="004955AA"/>
    <w:rsid w:val="004955CE"/>
    <w:rsid w:val="00495605"/>
    <w:rsid w:val="0049563D"/>
    <w:rsid w:val="00495688"/>
    <w:rsid w:val="004956AF"/>
    <w:rsid w:val="00495730"/>
    <w:rsid w:val="0049573F"/>
    <w:rsid w:val="00495751"/>
    <w:rsid w:val="004957B7"/>
    <w:rsid w:val="004958A2"/>
    <w:rsid w:val="004958E8"/>
    <w:rsid w:val="0049594A"/>
    <w:rsid w:val="00495964"/>
    <w:rsid w:val="00495971"/>
    <w:rsid w:val="004959A1"/>
    <w:rsid w:val="004959B2"/>
    <w:rsid w:val="004959E7"/>
    <w:rsid w:val="004959F3"/>
    <w:rsid w:val="00495A13"/>
    <w:rsid w:val="00495A21"/>
    <w:rsid w:val="00495A6D"/>
    <w:rsid w:val="00495AA1"/>
    <w:rsid w:val="00495BA0"/>
    <w:rsid w:val="00495BB6"/>
    <w:rsid w:val="00495BC3"/>
    <w:rsid w:val="00495BF3"/>
    <w:rsid w:val="00495C0B"/>
    <w:rsid w:val="00495C11"/>
    <w:rsid w:val="00495C38"/>
    <w:rsid w:val="00495CAD"/>
    <w:rsid w:val="00495CE4"/>
    <w:rsid w:val="00495DF0"/>
    <w:rsid w:val="00495DFE"/>
    <w:rsid w:val="00495E4F"/>
    <w:rsid w:val="00495E62"/>
    <w:rsid w:val="00495F0D"/>
    <w:rsid w:val="00495F42"/>
    <w:rsid w:val="00495F4E"/>
    <w:rsid w:val="00495F59"/>
    <w:rsid w:val="00495F71"/>
    <w:rsid w:val="00495FAC"/>
    <w:rsid w:val="00495FD3"/>
    <w:rsid w:val="00496008"/>
    <w:rsid w:val="00496047"/>
    <w:rsid w:val="0049613E"/>
    <w:rsid w:val="004961DF"/>
    <w:rsid w:val="0049620B"/>
    <w:rsid w:val="00496251"/>
    <w:rsid w:val="004962A5"/>
    <w:rsid w:val="004962BA"/>
    <w:rsid w:val="004962FB"/>
    <w:rsid w:val="00496315"/>
    <w:rsid w:val="00496399"/>
    <w:rsid w:val="00496401"/>
    <w:rsid w:val="00496492"/>
    <w:rsid w:val="004964A1"/>
    <w:rsid w:val="004964B1"/>
    <w:rsid w:val="004964D4"/>
    <w:rsid w:val="004964D6"/>
    <w:rsid w:val="004964EB"/>
    <w:rsid w:val="00496564"/>
    <w:rsid w:val="00496575"/>
    <w:rsid w:val="0049657E"/>
    <w:rsid w:val="0049658D"/>
    <w:rsid w:val="004965DD"/>
    <w:rsid w:val="004965EA"/>
    <w:rsid w:val="004965FB"/>
    <w:rsid w:val="004966A2"/>
    <w:rsid w:val="004966CD"/>
    <w:rsid w:val="00496755"/>
    <w:rsid w:val="00496771"/>
    <w:rsid w:val="00496846"/>
    <w:rsid w:val="0049685E"/>
    <w:rsid w:val="004968C4"/>
    <w:rsid w:val="004968F3"/>
    <w:rsid w:val="004968F8"/>
    <w:rsid w:val="00496956"/>
    <w:rsid w:val="0049695C"/>
    <w:rsid w:val="004969F2"/>
    <w:rsid w:val="00496A0F"/>
    <w:rsid w:val="00496B55"/>
    <w:rsid w:val="00496BF0"/>
    <w:rsid w:val="00496C36"/>
    <w:rsid w:val="00496C42"/>
    <w:rsid w:val="00496C54"/>
    <w:rsid w:val="00496C73"/>
    <w:rsid w:val="00496CCA"/>
    <w:rsid w:val="00496CD5"/>
    <w:rsid w:val="00496D0D"/>
    <w:rsid w:val="00496DD9"/>
    <w:rsid w:val="00496DE8"/>
    <w:rsid w:val="00496E07"/>
    <w:rsid w:val="00496E4D"/>
    <w:rsid w:val="00496ED8"/>
    <w:rsid w:val="00496EE7"/>
    <w:rsid w:val="00496F5C"/>
    <w:rsid w:val="00496F70"/>
    <w:rsid w:val="00496FA5"/>
    <w:rsid w:val="00496FD7"/>
    <w:rsid w:val="00496FF3"/>
    <w:rsid w:val="00497066"/>
    <w:rsid w:val="00497073"/>
    <w:rsid w:val="004970B6"/>
    <w:rsid w:val="004970C9"/>
    <w:rsid w:val="00497162"/>
    <w:rsid w:val="0049716B"/>
    <w:rsid w:val="004971C1"/>
    <w:rsid w:val="004972A8"/>
    <w:rsid w:val="004972B4"/>
    <w:rsid w:val="004972BC"/>
    <w:rsid w:val="004972D5"/>
    <w:rsid w:val="00497322"/>
    <w:rsid w:val="00497388"/>
    <w:rsid w:val="0049739D"/>
    <w:rsid w:val="00497405"/>
    <w:rsid w:val="00497420"/>
    <w:rsid w:val="0049744E"/>
    <w:rsid w:val="004974B1"/>
    <w:rsid w:val="004975E2"/>
    <w:rsid w:val="0049760D"/>
    <w:rsid w:val="00497652"/>
    <w:rsid w:val="00497675"/>
    <w:rsid w:val="00497683"/>
    <w:rsid w:val="00497755"/>
    <w:rsid w:val="0049778D"/>
    <w:rsid w:val="00497797"/>
    <w:rsid w:val="004977E8"/>
    <w:rsid w:val="004977EF"/>
    <w:rsid w:val="00497801"/>
    <w:rsid w:val="00497830"/>
    <w:rsid w:val="0049786B"/>
    <w:rsid w:val="0049787D"/>
    <w:rsid w:val="004978DF"/>
    <w:rsid w:val="004978F9"/>
    <w:rsid w:val="0049796A"/>
    <w:rsid w:val="0049799B"/>
    <w:rsid w:val="004979B3"/>
    <w:rsid w:val="004979D3"/>
    <w:rsid w:val="004979D9"/>
    <w:rsid w:val="004979E3"/>
    <w:rsid w:val="004979FC"/>
    <w:rsid w:val="00497A46"/>
    <w:rsid w:val="00497B0D"/>
    <w:rsid w:val="00497B43"/>
    <w:rsid w:val="00497B6C"/>
    <w:rsid w:val="00497BFC"/>
    <w:rsid w:val="00497C51"/>
    <w:rsid w:val="00497D67"/>
    <w:rsid w:val="00497DB4"/>
    <w:rsid w:val="00497E00"/>
    <w:rsid w:val="00497E31"/>
    <w:rsid w:val="00497E39"/>
    <w:rsid w:val="00497E60"/>
    <w:rsid w:val="00497E7D"/>
    <w:rsid w:val="00497EB0"/>
    <w:rsid w:val="00497F10"/>
    <w:rsid w:val="00497F1F"/>
    <w:rsid w:val="004A0006"/>
    <w:rsid w:val="004A00A2"/>
    <w:rsid w:val="004A00CB"/>
    <w:rsid w:val="004A0112"/>
    <w:rsid w:val="004A012F"/>
    <w:rsid w:val="004A013D"/>
    <w:rsid w:val="004A01B9"/>
    <w:rsid w:val="004A01C0"/>
    <w:rsid w:val="004A01D2"/>
    <w:rsid w:val="004A0255"/>
    <w:rsid w:val="004A026C"/>
    <w:rsid w:val="004A0294"/>
    <w:rsid w:val="004A0304"/>
    <w:rsid w:val="004A0368"/>
    <w:rsid w:val="004A04C1"/>
    <w:rsid w:val="004A04C9"/>
    <w:rsid w:val="004A04D0"/>
    <w:rsid w:val="004A052D"/>
    <w:rsid w:val="004A0561"/>
    <w:rsid w:val="004A0592"/>
    <w:rsid w:val="004A05A9"/>
    <w:rsid w:val="004A05B5"/>
    <w:rsid w:val="004A060E"/>
    <w:rsid w:val="004A0617"/>
    <w:rsid w:val="004A061C"/>
    <w:rsid w:val="004A064E"/>
    <w:rsid w:val="004A065C"/>
    <w:rsid w:val="004A065D"/>
    <w:rsid w:val="004A0676"/>
    <w:rsid w:val="004A0694"/>
    <w:rsid w:val="004A06EF"/>
    <w:rsid w:val="004A0703"/>
    <w:rsid w:val="004A070D"/>
    <w:rsid w:val="004A0756"/>
    <w:rsid w:val="004A07B8"/>
    <w:rsid w:val="004A07C0"/>
    <w:rsid w:val="004A089C"/>
    <w:rsid w:val="004A0917"/>
    <w:rsid w:val="004A0999"/>
    <w:rsid w:val="004A09A1"/>
    <w:rsid w:val="004A0A3F"/>
    <w:rsid w:val="004A0ADA"/>
    <w:rsid w:val="004A0AF1"/>
    <w:rsid w:val="004A0AF4"/>
    <w:rsid w:val="004A0B0B"/>
    <w:rsid w:val="004A0B14"/>
    <w:rsid w:val="004A0B1B"/>
    <w:rsid w:val="004A0B7E"/>
    <w:rsid w:val="004A0B9F"/>
    <w:rsid w:val="004A0BB2"/>
    <w:rsid w:val="004A0C0E"/>
    <w:rsid w:val="004A0C69"/>
    <w:rsid w:val="004A0C90"/>
    <w:rsid w:val="004A0C99"/>
    <w:rsid w:val="004A0CAF"/>
    <w:rsid w:val="004A0CBD"/>
    <w:rsid w:val="004A0D06"/>
    <w:rsid w:val="004A0DB8"/>
    <w:rsid w:val="004A0DDE"/>
    <w:rsid w:val="004A0E17"/>
    <w:rsid w:val="004A0E7E"/>
    <w:rsid w:val="004A0ED4"/>
    <w:rsid w:val="004A0F41"/>
    <w:rsid w:val="004A0F52"/>
    <w:rsid w:val="004A0F6A"/>
    <w:rsid w:val="004A0FCC"/>
    <w:rsid w:val="004A1019"/>
    <w:rsid w:val="004A1037"/>
    <w:rsid w:val="004A105A"/>
    <w:rsid w:val="004A1096"/>
    <w:rsid w:val="004A10C1"/>
    <w:rsid w:val="004A1112"/>
    <w:rsid w:val="004A11AB"/>
    <w:rsid w:val="004A11E5"/>
    <w:rsid w:val="004A121A"/>
    <w:rsid w:val="004A1228"/>
    <w:rsid w:val="004A1250"/>
    <w:rsid w:val="004A1309"/>
    <w:rsid w:val="004A131D"/>
    <w:rsid w:val="004A131E"/>
    <w:rsid w:val="004A1320"/>
    <w:rsid w:val="004A1347"/>
    <w:rsid w:val="004A135F"/>
    <w:rsid w:val="004A137F"/>
    <w:rsid w:val="004A1395"/>
    <w:rsid w:val="004A13E1"/>
    <w:rsid w:val="004A13EB"/>
    <w:rsid w:val="004A13F7"/>
    <w:rsid w:val="004A14CD"/>
    <w:rsid w:val="004A14E7"/>
    <w:rsid w:val="004A14F1"/>
    <w:rsid w:val="004A15C0"/>
    <w:rsid w:val="004A1641"/>
    <w:rsid w:val="004A1689"/>
    <w:rsid w:val="004A16CB"/>
    <w:rsid w:val="004A1723"/>
    <w:rsid w:val="004A1761"/>
    <w:rsid w:val="004A178A"/>
    <w:rsid w:val="004A1803"/>
    <w:rsid w:val="004A1831"/>
    <w:rsid w:val="004A1909"/>
    <w:rsid w:val="004A1974"/>
    <w:rsid w:val="004A1982"/>
    <w:rsid w:val="004A19CE"/>
    <w:rsid w:val="004A19F7"/>
    <w:rsid w:val="004A1A0B"/>
    <w:rsid w:val="004A1AB2"/>
    <w:rsid w:val="004A1B02"/>
    <w:rsid w:val="004A1B11"/>
    <w:rsid w:val="004A1B67"/>
    <w:rsid w:val="004A1BAC"/>
    <w:rsid w:val="004A1BB5"/>
    <w:rsid w:val="004A1C80"/>
    <w:rsid w:val="004A1CA6"/>
    <w:rsid w:val="004A1CBB"/>
    <w:rsid w:val="004A1CC9"/>
    <w:rsid w:val="004A1CFF"/>
    <w:rsid w:val="004A1DB2"/>
    <w:rsid w:val="004A1E4A"/>
    <w:rsid w:val="004A1F03"/>
    <w:rsid w:val="004A1F15"/>
    <w:rsid w:val="004A1F1F"/>
    <w:rsid w:val="004A1F8A"/>
    <w:rsid w:val="004A1FB0"/>
    <w:rsid w:val="004A1FCE"/>
    <w:rsid w:val="004A1FD3"/>
    <w:rsid w:val="004A2007"/>
    <w:rsid w:val="004A204E"/>
    <w:rsid w:val="004A2065"/>
    <w:rsid w:val="004A20EB"/>
    <w:rsid w:val="004A211F"/>
    <w:rsid w:val="004A215D"/>
    <w:rsid w:val="004A2162"/>
    <w:rsid w:val="004A2194"/>
    <w:rsid w:val="004A2287"/>
    <w:rsid w:val="004A22C7"/>
    <w:rsid w:val="004A22E4"/>
    <w:rsid w:val="004A2343"/>
    <w:rsid w:val="004A2351"/>
    <w:rsid w:val="004A236E"/>
    <w:rsid w:val="004A237F"/>
    <w:rsid w:val="004A239A"/>
    <w:rsid w:val="004A240F"/>
    <w:rsid w:val="004A2420"/>
    <w:rsid w:val="004A2421"/>
    <w:rsid w:val="004A24AA"/>
    <w:rsid w:val="004A24B4"/>
    <w:rsid w:val="004A24F0"/>
    <w:rsid w:val="004A2504"/>
    <w:rsid w:val="004A2548"/>
    <w:rsid w:val="004A25A4"/>
    <w:rsid w:val="004A25A5"/>
    <w:rsid w:val="004A25AC"/>
    <w:rsid w:val="004A26B7"/>
    <w:rsid w:val="004A274B"/>
    <w:rsid w:val="004A27D4"/>
    <w:rsid w:val="004A2837"/>
    <w:rsid w:val="004A2880"/>
    <w:rsid w:val="004A28DA"/>
    <w:rsid w:val="004A2920"/>
    <w:rsid w:val="004A2951"/>
    <w:rsid w:val="004A2977"/>
    <w:rsid w:val="004A29B2"/>
    <w:rsid w:val="004A29F6"/>
    <w:rsid w:val="004A2A28"/>
    <w:rsid w:val="004A2A5F"/>
    <w:rsid w:val="004A2A73"/>
    <w:rsid w:val="004A2AA3"/>
    <w:rsid w:val="004A2AF5"/>
    <w:rsid w:val="004A2B10"/>
    <w:rsid w:val="004A2B1E"/>
    <w:rsid w:val="004A2B1F"/>
    <w:rsid w:val="004A2B45"/>
    <w:rsid w:val="004A2BA2"/>
    <w:rsid w:val="004A2BB0"/>
    <w:rsid w:val="004A2BE1"/>
    <w:rsid w:val="004A2CA2"/>
    <w:rsid w:val="004A2D1B"/>
    <w:rsid w:val="004A2D29"/>
    <w:rsid w:val="004A2D3B"/>
    <w:rsid w:val="004A2D72"/>
    <w:rsid w:val="004A2D8A"/>
    <w:rsid w:val="004A2E4D"/>
    <w:rsid w:val="004A2E60"/>
    <w:rsid w:val="004A2EB6"/>
    <w:rsid w:val="004A2F3D"/>
    <w:rsid w:val="004A3036"/>
    <w:rsid w:val="004A3054"/>
    <w:rsid w:val="004A3059"/>
    <w:rsid w:val="004A30C7"/>
    <w:rsid w:val="004A3131"/>
    <w:rsid w:val="004A3146"/>
    <w:rsid w:val="004A31B5"/>
    <w:rsid w:val="004A31CE"/>
    <w:rsid w:val="004A3200"/>
    <w:rsid w:val="004A326C"/>
    <w:rsid w:val="004A326E"/>
    <w:rsid w:val="004A32DB"/>
    <w:rsid w:val="004A3308"/>
    <w:rsid w:val="004A334A"/>
    <w:rsid w:val="004A33EC"/>
    <w:rsid w:val="004A342C"/>
    <w:rsid w:val="004A342F"/>
    <w:rsid w:val="004A345A"/>
    <w:rsid w:val="004A348A"/>
    <w:rsid w:val="004A34A7"/>
    <w:rsid w:val="004A34F4"/>
    <w:rsid w:val="004A3588"/>
    <w:rsid w:val="004A35E6"/>
    <w:rsid w:val="004A3612"/>
    <w:rsid w:val="004A36D2"/>
    <w:rsid w:val="004A36F6"/>
    <w:rsid w:val="004A3739"/>
    <w:rsid w:val="004A374D"/>
    <w:rsid w:val="004A37B2"/>
    <w:rsid w:val="004A380D"/>
    <w:rsid w:val="004A3851"/>
    <w:rsid w:val="004A3863"/>
    <w:rsid w:val="004A387E"/>
    <w:rsid w:val="004A38A0"/>
    <w:rsid w:val="004A38AD"/>
    <w:rsid w:val="004A3921"/>
    <w:rsid w:val="004A395C"/>
    <w:rsid w:val="004A3A64"/>
    <w:rsid w:val="004A3A96"/>
    <w:rsid w:val="004A3ACF"/>
    <w:rsid w:val="004A3BAB"/>
    <w:rsid w:val="004A3C8E"/>
    <w:rsid w:val="004A3CC3"/>
    <w:rsid w:val="004A3D09"/>
    <w:rsid w:val="004A3D79"/>
    <w:rsid w:val="004A3DB4"/>
    <w:rsid w:val="004A3DE6"/>
    <w:rsid w:val="004A3E4A"/>
    <w:rsid w:val="004A3E60"/>
    <w:rsid w:val="004A3E77"/>
    <w:rsid w:val="004A3E7D"/>
    <w:rsid w:val="004A3E7F"/>
    <w:rsid w:val="004A3E85"/>
    <w:rsid w:val="004A3EBB"/>
    <w:rsid w:val="004A3EEB"/>
    <w:rsid w:val="004A3FB7"/>
    <w:rsid w:val="004A4028"/>
    <w:rsid w:val="004A4078"/>
    <w:rsid w:val="004A4091"/>
    <w:rsid w:val="004A40EE"/>
    <w:rsid w:val="004A41BB"/>
    <w:rsid w:val="004A41DA"/>
    <w:rsid w:val="004A420F"/>
    <w:rsid w:val="004A4289"/>
    <w:rsid w:val="004A4298"/>
    <w:rsid w:val="004A42D6"/>
    <w:rsid w:val="004A4328"/>
    <w:rsid w:val="004A433F"/>
    <w:rsid w:val="004A43FA"/>
    <w:rsid w:val="004A4431"/>
    <w:rsid w:val="004A445E"/>
    <w:rsid w:val="004A4477"/>
    <w:rsid w:val="004A448B"/>
    <w:rsid w:val="004A44A5"/>
    <w:rsid w:val="004A44EE"/>
    <w:rsid w:val="004A44F2"/>
    <w:rsid w:val="004A4582"/>
    <w:rsid w:val="004A45C8"/>
    <w:rsid w:val="004A4680"/>
    <w:rsid w:val="004A468D"/>
    <w:rsid w:val="004A468E"/>
    <w:rsid w:val="004A46CF"/>
    <w:rsid w:val="004A46D6"/>
    <w:rsid w:val="004A4711"/>
    <w:rsid w:val="004A471D"/>
    <w:rsid w:val="004A4736"/>
    <w:rsid w:val="004A473F"/>
    <w:rsid w:val="004A476E"/>
    <w:rsid w:val="004A47C7"/>
    <w:rsid w:val="004A47D6"/>
    <w:rsid w:val="004A4886"/>
    <w:rsid w:val="004A48D1"/>
    <w:rsid w:val="004A48EA"/>
    <w:rsid w:val="004A4908"/>
    <w:rsid w:val="004A492C"/>
    <w:rsid w:val="004A4931"/>
    <w:rsid w:val="004A495E"/>
    <w:rsid w:val="004A4996"/>
    <w:rsid w:val="004A49A8"/>
    <w:rsid w:val="004A4B1F"/>
    <w:rsid w:val="004A4B50"/>
    <w:rsid w:val="004A4B80"/>
    <w:rsid w:val="004A4BA5"/>
    <w:rsid w:val="004A4C13"/>
    <w:rsid w:val="004A4C3F"/>
    <w:rsid w:val="004A4D42"/>
    <w:rsid w:val="004A4DA4"/>
    <w:rsid w:val="004A4E62"/>
    <w:rsid w:val="004A4E71"/>
    <w:rsid w:val="004A4EAE"/>
    <w:rsid w:val="004A4EC8"/>
    <w:rsid w:val="004A4F34"/>
    <w:rsid w:val="004A4F9C"/>
    <w:rsid w:val="004A4FB6"/>
    <w:rsid w:val="004A4FB8"/>
    <w:rsid w:val="004A502E"/>
    <w:rsid w:val="004A5086"/>
    <w:rsid w:val="004A50E2"/>
    <w:rsid w:val="004A5149"/>
    <w:rsid w:val="004A5173"/>
    <w:rsid w:val="004A5221"/>
    <w:rsid w:val="004A527B"/>
    <w:rsid w:val="004A52CB"/>
    <w:rsid w:val="004A52EF"/>
    <w:rsid w:val="004A5331"/>
    <w:rsid w:val="004A5338"/>
    <w:rsid w:val="004A53C3"/>
    <w:rsid w:val="004A5502"/>
    <w:rsid w:val="004A554A"/>
    <w:rsid w:val="004A5647"/>
    <w:rsid w:val="004A56BA"/>
    <w:rsid w:val="004A5701"/>
    <w:rsid w:val="004A5789"/>
    <w:rsid w:val="004A57BD"/>
    <w:rsid w:val="004A57D5"/>
    <w:rsid w:val="004A57F7"/>
    <w:rsid w:val="004A5818"/>
    <w:rsid w:val="004A583F"/>
    <w:rsid w:val="004A5866"/>
    <w:rsid w:val="004A5884"/>
    <w:rsid w:val="004A5914"/>
    <w:rsid w:val="004A594A"/>
    <w:rsid w:val="004A59B7"/>
    <w:rsid w:val="004A5A0F"/>
    <w:rsid w:val="004A5A18"/>
    <w:rsid w:val="004A5A31"/>
    <w:rsid w:val="004A5A56"/>
    <w:rsid w:val="004A5A7D"/>
    <w:rsid w:val="004A5A8F"/>
    <w:rsid w:val="004A5AB1"/>
    <w:rsid w:val="004A5ACA"/>
    <w:rsid w:val="004A5B14"/>
    <w:rsid w:val="004A5C0C"/>
    <w:rsid w:val="004A5C30"/>
    <w:rsid w:val="004A5C62"/>
    <w:rsid w:val="004A5D2E"/>
    <w:rsid w:val="004A5D3A"/>
    <w:rsid w:val="004A5D9B"/>
    <w:rsid w:val="004A5DA1"/>
    <w:rsid w:val="004A5DE1"/>
    <w:rsid w:val="004A5DF0"/>
    <w:rsid w:val="004A5E0C"/>
    <w:rsid w:val="004A5E1C"/>
    <w:rsid w:val="004A5E8C"/>
    <w:rsid w:val="004A5EF7"/>
    <w:rsid w:val="004A5F0C"/>
    <w:rsid w:val="004A5F19"/>
    <w:rsid w:val="004A5F46"/>
    <w:rsid w:val="004A5F4E"/>
    <w:rsid w:val="004A5FDF"/>
    <w:rsid w:val="004A6017"/>
    <w:rsid w:val="004A6021"/>
    <w:rsid w:val="004A605D"/>
    <w:rsid w:val="004A608B"/>
    <w:rsid w:val="004A60F9"/>
    <w:rsid w:val="004A612E"/>
    <w:rsid w:val="004A6167"/>
    <w:rsid w:val="004A61D1"/>
    <w:rsid w:val="004A61F6"/>
    <w:rsid w:val="004A61F8"/>
    <w:rsid w:val="004A626F"/>
    <w:rsid w:val="004A6275"/>
    <w:rsid w:val="004A6277"/>
    <w:rsid w:val="004A62BA"/>
    <w:rsid w:val="004A62F0"/>
    <w:rsid w:val="004A630F"/>
    <w:rsid w:val="004A632D"/>
    <w:rsid w:val="004A6364"/>
    <w:rsid w:val="004A6378"/>
    <w:rsid w:val="004A63DC"/>
    <w:rsid w:val="004A6421"/>
    <w:rsid w:val="004A6491"/>
    <w:rsid w:val="004A654C"/>
    <w:rsid w:val="004A65BF"/>
    <w:rsid w:val="004A65DE"/>
    <w:rsid w:val="004A666D"/>
    <w:rsid w:val="004A6694"/>
    <w:rsid w:val="004A66CC"/>
    <w:rsid w:val="004A6733"/>
    <w:rsid w:val="004A675A"/>
    <w:rsid w:val="004A67C1"/>
    <w:rsid w:val="004A67F1"/>
    <w:rsid w:val="004A6836"/>
    <w:rsid w:val="004A687F"/>
    <w:rsid w:val="004A68EF"/>
    <w:rsid w:val="004A6955"/>
    <w:rsid w:val="004A69B7"/>
    <w:rsid w:val="004A69BD"/>
    <w:rsid w:val="004A69D8"/>
    <w:rsid w:val="004A6A13"/>
    <w:rsid w:val="004A6A79"/>
    <w:rsid w:val="004A6ADD"/>
    <w:rsid w:val="004A6AE9"/>
    <w:rsid w:val="004A6B15"/>
    <w:rsid w:val="004A6B20"/>
    <w:rsid w:val="004A6B5C"/>
    <w:rsid w:val="004A6B83"/>
    <w:rsid w:val="004A6B8D"/>
    <w:rsid w:val="004A6C43"/>
    <w:rsid w:val="004A6C44"/>
    <w:rsid w:val="004A6C47"/>
    <w:rsid w:val="004A6C6A"/>
    <w:rsid w:val="004A6CE2"/>
    <w:rsid w:val="004A6CE5"/>
    <w:rsid w:val="004A6D0D"/>
    <w:rsid w:val="004A6D3A"/>
    <w:rsid w:val="004A6DD3"/>
    <w:rsid w:val="004A6DF7"/>
    <w:rsid w:val="004A6EC1"/>
    <w:rsid w:val="004A6EC6"/>
    <w:rsid w:val="004A6EF0"/>
    <w:rsid w:val="004A6EFA"/>
    <w:rsid w:val="004A6F35"/>
    <w:rsid w:val="004A6F4C"/>
    <w:rsid w:val="004A6FC4"/>
    <w:rsid w:val="004A6FDF"/>
    <w:rsid w:val="004A6FEF"/>
    <w:rsid w:val="004A7033"/>
    <w:rsid w:val="004A705C"/>
    <w:rsid w:val="004A706B"/>
    <w:rsid w:val="004A7108"/>
    <w:rsid w:val="004A71C8"/>
    <w:rsid w:val="004A726C"/>
    <w:rsid w:val="004A741F"/>
    <w:rsid w:val="004A7448"/>
    <w:rsid w:val="004A74D9"/>
    <w:rsid w:val="004A7589"/>
    <w:rsid w:val="004A76BD"/>
    <w:rsid w:val="004A7723"/>
    <w:rsid w:val="004A776F"/>
    <w:rsid w:val="004A781E"/>
    <w:rsid w:val="004A7859"/>
    <w:rsid w:val="004A78B8"/>
    <w:rsid w:val="004A79B2"/>
    <w:rsid w:val="004A79BD"/>
    <w:rsid w:val="004A7A19"/>
    <w:rsid w:val="004A7A5C"/>
    <w:rsid w:val="004A7AF0"/>
    <w:rsid w:val="004A7B14"/>
    <w:rsid w:val="004A7B2D"/>
    <w:rsid w:val="004A7B48"/>
    <w:rsid w:val="004A7B97"/>
    <w:rsid w:val="004A7C12"/>
    <w:rsid w:val="004A7C1E"/>
    <w:rsid w:val="004A7C2A"/>
    <w:rsid w:val="004A7C7F"/>
    <w:rsid w:val="004A7CF9"/>
    <w:rsid w:val="004A7D2B"/>
    <w:rsid w:val="004A7D91"/>
    <w:rsid w:val="004A7DF6"/>
    <w:rsid w:val="004A7E02"/>
    <w:rsid w:val="004A7E07"/>
    <w:rsid w:val="004A7E6E"/>
    <w:rsid w:val="004A7E76"/>
    <w:rsid w:val="004A7EBA"/>
    <w:rsid w:val="004A7ECE"/>
    <w:rsid w:val="004A7ED4"/>
    <w:rsid w:val="004A7EF9"/>
    <w:rsid w:val="004A7F2B"/>
    <w:rsid w:val="004A7F62"/>
    <w:rsid w:val="004A7F90"/>
    <w:rsid w:val="004B006A"/>
    <w:rsid w:val="004B00AF"/>
    <w:rsid w:val="004B00BC"/>
    <w:rsid w:val="004B00E6"/>
    <w:rsid w:val="004B00E7"/>
    <w:rsid w:val="004B011A"/>
    <w:rsid w:val="004B0121"/>
    <w:rsid w:val="004B0158"/>
    <w:rsid w:val="004B02D4"/>
    <w:rsid w:val="004B0365"/>
    <w:rsid w:val="004B038B"/>
    <w:rsid w:val="004B03AA"/>
    <w:rsid w:val="004B046F"/>
    <w:rsid w:val="004B04C3"/>
    <w:rsid w:val="004B0517"/>
    <w:rsid w:val="004B057D"/>
    <w:rsid w:val="004B0584"/>
    <w:rsid w:val="004B058B"/>
    <w:rsid w:val="004B0590"/>
    <w:rsid w:val="004B05B5"/>
    <w:rsid w:val="004B05E2"/>
    <w:rsid w:val="004B0603"/>
    <w:rsid w:val="004B0654"/>
    <w:rsid w:val="004B0682"/>
    <w:rsid w:val="004B06ED"/>
    <w:rsid w:val="004B0732"/>
    <w:rsid w:val="004B075E"/>
    <w:rsid w:val="004B0783"/>
    <w:rsid w:val="004B0819"/>
    <w:rsid w:val="004B085F"/>
    <w:rsid w:val="004B086D"/>
    <w:rsid w:val="004B08A7"/>
    <w:rsid w:val="004B08CF"/>
    <w:rsid w:val="004B0939"/>
    <w:rsid w:val="004B0A8D"/>
    <w:rsid w:val="004B0A9C"/>
    <w:rsid w:val="004B0B06"/>
    <w:rsid w:val="004B0B3F"/>
    <w:rsid w:val="004B0B95"/>
    <w:rsid w:val="004B0B9A"/>
    <w:rsid w:val="004B0BD2"/>
    <w:rsid w:val="004B0BF5"/>
    <w:rsid w:val="004B0C33"/>
    <w:rsid w:val="004B0C41"/>
    <w:rsid w:val="004B0C92"/>
    <w:rsid w:val="004B0CF4"/>
    <w:rsid w:val="004B0D2A"/>
    <w:rsid w:val="004B0DA4"/>
    <w:rsid w:val="004B0DBC"/>
    <w:rsid w:val="004B0DF4"/>
    <w:rsid w:val="004B0E5F"/>
    <w:rsid w:val="004B0E6B"/>
    <w:rsid w:val="004B0E6E"/>
    <w:rsid w:val="004B0E78"/>
    <w:rsid w:val="004B0E87"/>
    <w:rsid w:val="004B0EE5"/>
    <w:rsid w:val="004B0F6B"/>
    <w:rsid w:val="004B0F79"/>
    <w:rsid w:val="004B0FB9"/>
    <w:rsid w:val="004B1004"/>
    <w:rsid w:val="004B1015"/>
    <w:rsid w:val="004B103E"/>
    <w:rsid w:val="004B1048"/>
    <w:rsid w:val="004B1075"/>
    <w:rsid w:val="004B1095"/>
    <w:rsid w:val="004B10B4"/>
    <w:rsid w:val="004B10B5"/>
    <w:rsid w:val="004B10E0"/>
    <w:rsid w:val="004B10EC"/>
    <w:rsid w:val="004B112B"/>
    <w:rsid w:val="004B1203"/>
    <w:rsid w:val="004B122E"/>
    <w:rsid w:val="004B1270"/>
    <w:rsid w:val="004B130D"/>
    <w:rsid w:val="004B131C"/>
    <w:rsid w:val="004B1370"/>
    <w:rsid w:val="004B1403"/>
    <w:rsid w:val="004B1460"/>
    <w:rsid w:val="004B148C"/>
    <w:rsid w:val="004B14F2"/>
    <w:rsid w:val="004B14F5"/>
    <w:rsid w:val="004B152B"/>
    <w:rsid w:val="004B1542"/>
    <w:rsid w:val="004B1574"/>
    <w:rsid w:val="004B157F"/>
    <w:rsid w:val="004B1589"/>
    <w:rsid w:val="004B1596"/>
    <w:rsid w:val="004B164E"/>
    <w:rsid w:val="004B16E2"/>
    <w:rsid w:val="004B17A3"/>
    <w:rsid w:val="004B1815"/>
    <w:rsid w:val="004B182F"/>
    <w:rsid w:val="004B1846"/>
    <w:rsid w:val="004B185A"/>
    <w:rsid w:val="004B190E"/>
    <w:rsid w:val="004B192A"/>
    <w:rsid w:val="004B1936"/>
    <w:rsid w:val="004B193B"/>
    <w:rsid w:val="004B1A15"/>
    <w:rsid w:val="004B1A70"/>
    <w:rsid w:val="004B1A83"/>
    <w:rsid w:val="004B1AB9"/>
    <w:rsid w:val="004B1AC8"/>
    <w:rsid w:val="004B1ADD"/>
    <w:rsid w:val="004B1BE2"/>
    <w:rsid w:val="004B1BF8"/>
    <w:rsid w:val="004B1C38"/>
    <w:rsid w:val="004B1C99"/>
    <w:rsid w:val="004B1CD4"/>
    <w:rsid w:val="004B1D3F"/>
    <w:rsid w:val="004B1DB1"/>
    <w:rsid w:val="004B1E08"/>
    <w:rsid w:val="004B1E71"/>
    <w:rsid w:val="004B1EA2"/>
    <w:rsid w:val="004B1EC4"/>
    <w:rsid w:val="004B1F57"/>
    <w:rsid w:val="004B1F5E"/>
    <w:rsid w:val="004B1F99"/>
    <w:rsid w:val="004B1FD3"/>
    <w:rsid w:val="004B1FD7"/>
    <w:rsid w:val="004B1FDC"/>
    <w:rsid w:val="004B1FF3"/>
    <w:rsid w:val="004B2019"/>
    <w:rsid w:val="004B207E"/>
    <w:rsid w:val="004B2098"/>
    <w:rsid w:val="004B20B3"/>
    <w:rsid w:val="004B214E"/>
    <w:rsid w:val="004B21A6"/>
    <w:rsid w:val="004B21AC"/>
    <w:rsid w:val="004B2240"/>
    <w:rsid w:val="004B22A3"/>
    <w:rsid w:val="004B22B8"/>
    <w:rsid w:val="004B22ED"/>
    <w:rsid w:val="004B2318"/>
    <w:rsid w:val="004B2335"/>
    <w:rsid w:val="004B236D"/>
    <w:rsid w:val="004B2391"/>
    <w:rsid w:val="004B239E"/>
    <w:rsid w:val="004B241C"/>
    <w:rsid w:val="004B2459"/>
    <w:rsid w:val="004B245A"/>
    <w:rsid w:val="004B2563"/>
    <w:rsid w:val="004B25A9"/>
    <w:rsid w:val="004B262E"/>
    <w:rsid w:val="004B271C"/>
    <w:rsid w:val="004B27D5"/>
    <w:rsid w:val="004B27E2"/>
    <w:rsid w:val="004B2818"/>
    <w:rsid w:val="004B2840"/>
    <w:rsid w:val="004B2848"/>
    <w:rsid w:val="004B286A"/>
    <w:rsid w:val="004B286C"/>
    <w:rsid w:val="004B28AA"/>
    <w:rsid w:val="004B28AF"/>
    <w:rsid w:val="004B28E5"/>
    <w:rsid w:val="004B2902"/>
    <w:rsid w:val="004B2926"/>
    <w:rsid w:val="004B298C"/>
    <w:rsid w:val="004B29D1"/>
    <w:rsid w:val="004B29DF"/>
    <w:rsid w:val="004B2B69"/>
    <w:rsid w:val="004B2BCC"/>
    <w:rsid w:val="004B2C6D"/>
    <w:rsid w:val="004B2CD7"/>
    <w:rsid w:val="004B2D06"/>
    <w:rsid w:val="004B2D28"/>
    <w:rsid w:val="004B2D3D"/>
    <w:rsid w:val="004B2D88"/>
    <w:rsid w:val="004B2D91"/>
    <w:rsid w:val="004B2DE1"/>
    <w:rsid w:val="004B2E1B"/>
    <w:rsid w:val="004B2E30"/>
    <w:rsid w:val="004B2E68"/>
    <w:rsid w:val="004B2F6A"/>
    <w:rsid w:val="004B2F91"/>
    <w:rsid w:val="004B2F9A"/>
    <w:rsid w:val="004B3005"/>
    <w:rsid w:val="004B3027"/>
    <w:rsid w:val="004B30DF"/>
    <w:rsid w:val="004B31B6"/>
    <w:rsid w:val="004B3215"/>
    <w:rsid w:val="004B3257"/>
    <w:rsid w:val="004B327A"/>
    <w:rsid w:val="004B3288"/>
    <w:rsid w:val="004B328B"/>
    <w:rsid w:val="004B32C4"/>
    <w:rsid w:val="004B3312"/>
    <w:rsid w:val="004B3328"/>
    <w:rsid w:val="004B3418"/>
    <w:rsid w:val="004B3421"/>
    <w:rsid w:val="004B3427"/>
    <w:rsid w:val="004B3434"/>
    <w:rsid w:val="004B348E"/>
    <w:rsid w:val="004B3492"/>
    <w:rsid w:val="004B34A1"/>
    <w:rsid w:val="004B34F8"/>
    <w:rsid w:val="004B3557"/>
    <w:rsid w:val="004B35DD"/>
    <w:rsid w:val="004B3653"/>
    <w:rsid w:val="004B366E"/>
    <w:rsid w:val="004B36F4"/>
    <w:rsid w:val="004B37CC"/>
    <w:rsid w:val="004B380D"/>
    <w:rsid w:val="004B3850"/>
    <w:rsid w:val="004B3864"/>
    <w:rsid w:val="004B3993"/>
    <w:rsid w:val="004B3B29"/>
    <w:rsid w:val="004B3B3B"/>
    <w:rsid w:val="004B3B70"/>
    <w:rsid w:val="004B3B73"/>
    <w:rsid w:val="004B3B9F"/>
    <w:rsid w:val="004B3BF8"/>
    <w:rsid w:val="004B3C1A"/>
    <w:rsid w:val="004B3C5D"/>
    <w:rsid w:val="004B3CB3"/>
    <w:rsid w:val="004B3CDB"/>
    <w:rsid w:val="004B3CE9"/>
    <w:rsid w:val="004B3CF1"/>
    <w:rsid w:val="004B3D5C"/>
    <w:rsid w:val="004B3DA9"/>
    <w:rsid w:val="004B3E8A"/>
    <w:rsid w:val="004B3F7C"/>
    <w:rsid w:val="004B3FFE"/>
    <w:rsid w:val="004B4076"/>
    <w:rsid w:val="004B4078"/>
    <w:rsid w:val="004B4080"/>
    <w:rsid w:val="004B40A2"/>
    <w:rsid w:val="004B40AB"/>
    <w:rsid w:val="004B40FB"/>
    <w:rsid w:val="004B4125"/>
    <w:rsid w:val="004B4154"/>
    <w:rsid w:val="004B4172"/>
    <w:rsid w:val="004B4184"/>
    <w:rsid w:val="004B418B"/>
    <w:rsid w:val="004B4214"/>
    <w:rsid w:val="004B4222"/>
    <w:rsid w:val="004B426D"/>
    <w:rsid w:val="004B4280"/>
    <w:rsid w:val="004B4324"/>
    <w:rsid w:val="004B435D"/>
    <w:rsid w:val="004B438E"/>
    <w:rsid w:val="004B445C"/>
    <w:rsid w:val="004B44D5"/>
    <w:rsid w:val="004B453B"/>
    <w:rsid w:val="004B464F"/>
    <w:rsid w:val="004B4683"/>
    <w:rsid w:val="004B46DD"/>
    <w:rsid w:val="004B47FD"/>
    <w:rsid w:val="004B487D"/>
    <w:rsid w:val="004B488B"/>
    <w:rsid w:val="004B48A1"/>
    <w:rsid w:val="004B48AA"/>
    <w:rsid w:val="004B48BC"/>
    <w:rsid w:val="004B48F9"/>
    <w:rsid w:val="004B498B"/>
    <w:rsid w:val="004B4A12"/>
    <w:rsid w:val="004B4A95"/>
    <w:rsid w:val="004B4AB7"/>
    <w:rsid w:val="004B4AC1"/>
    <w:rsid w:val="004B4B18"/>
    <w:rsid w:val="004B4B2D"/>
    <w:rsid w:val="004B4B5D"/>
    <w:rsid w:val="004B4B82"/>
    <w:rsid w:val="004B4BA9"/>
    <w:rsid w:val="004B4C1B"/>
    <w:rsid w:val="004B4C30"/>
    <w:rsid w:val="004B4C48"/>
    <w:rsid w:val="004B4C7A"/>
    <w:rsid w:val="004B4CBD"/>
    <w:rsid w:val="004B4D1A"/>
    <w:rsid w:val="004B4DF6"/>
    <w:rsid w:val="004B4E05"/>
    <w:rsid w:val="004B4E54"/>
    <w:rsid w:val="004B4E94"/>
    <w:rsid w:val="004B4F01"/>
    <w:rsid w:val="004B4F10"/>
    <w:rsid w:val="004B4F18"/>
    <w:rsid w:val="004B4F37"/>
    <w:rsid w:val="004B4F6D"/>
    <w:rsid w:val="004B4FE2"/>
    <w:rsid w:val="004B5017"/>
    <w:rsid w:val="004B5037"/>
    <w:rsid w:val="004B50C4"/>
    <w:rsid w:val="004B5113"/>
    <w:rsid w:val="004B515C"/>
    <w:rsid w:val="004B51D8"/>
    <w:rsid w:val="004B5237"/>
    <w:rsid w:val="004B524B"/>
    <w:rsid w:val="004B531A"/>
    <w:rsid w:val="004B5343"/>
    <w:rsid w:val="004B534E"/>
    <w:rsid w:val="004B5415"/>
    <w:rsid w:val="004B5447"/>
    <w:rsid w:val="004B54F5"/>
    <w:rsid w:val="004B5545"/>
    <w:rsid w:val="004B5573"/>
    <w:rsid w:val="004B55C7"/>
    <w:rsid w:val="004B55F9"/>
    <w:rsid w:val="004B564B"/>
    <w:rsid w:val="004B5692"/>
    <w:rsid w:val="004B572B"/>
    <w:rsid w:val="004B5818"/>
    <w:rsid w:val="004B592B"/>
    <w:rsid w:val="004B5956"/>
    <w:rsid w:val="004B595F"/>
    <w:rsid w:val="004B59AE"/>
    <w:rsid w:val="004B59B7"/>
    <w:rsid w:val="004B59FE"/>
    <w:rsid w:val="004B5A0E"/>
    <w:rsid w:val="004B5A20"/>
    <w:rsid w:val="004B5A2F"/>
    <w:rsid w:val="004B5AA8"/>
    <w:rsid w:val="004B5ACB"/>
    <w:rsid w:val="004B5ACF"/>
    <w:rsid w:val="004B5AFA"/>
    <w:rsid w:val="004B5B1C"/>
    <w:rsid w:val="004B5B89"/>
    <w:rsid w:val="004B5B91"/>
    <w:rsid w:val="004B5BAA"/>
    <w:rsid w:val="004B5BAC"/>
    <w:rsid w:val="004B5BC0"/>
    <w:rsid w:val="004B5BCF"/>
    <w:rsid w:val="004B5D67"/>
    <w:rsid w:val="004B5DA7"/>
    <w:rsid w:val="004B5E55"/>
    <w:rsid w:val="004B5E91"/>
    <w:rsid w:val="004B5EC0"/>
    <w:rsid w:val="004B5F8A"/>
    <w:rsid w:val="004B5FAF"/>
    <w:rsid w:val="004B5FF3"/>
    <w:rsid w:val="004B609B"/>
    <w:rsid w:val="004B60CE"/>
    <w:rsid w:val="004B60D4"/>
    <w:rsid w:val="004B612D"/>
    <w:rsid w:val="004B6175"/>
    <w:rsid w:val="004B6278"/>
    <w:rsid w:val="004B62E3"/>
    <w:rsid w:val="004B62EF"/>
    <w:rsid w:val="004B631D"/>
    <w:rsid w:val="004B63BE"/>
    <w:rsid w:val="004B63CE"/>
    <w:rsid w:val="004B6433"/>
    <w:rsid w:val="004B6461"/>
    <w:rsid w:val="004B6480"/>
    <w:rsid w:val="004B64BE"/>
    <w:rsid w:val="004B64C5"/>
    <w:rsid w:val="004B6565"/>
    <w:rsid w:val="004B6574"/>
    <w:rsid w:val="004B65CC"/>
    <w:rsid w:val="004B667A"/>
    <w:rsid w:val="004B668A"/>
    <w:rsid w:val="004B66ED"/>
    <w:rsid w:val="004B670E"/>
    <w:rsid w:val="004B6722"/>
    <w:rsid w:val="004B678F"/>
    <w:rsid w:val="004B67BC"/>
    <w:rsid w:val="004B67D9"/>
    <w:rsid w:val="004B6827"/>
    <w:rsid w:val="004B682E"/>
    <w:rsid w:val="004B683E"/>
    <w:rsid w:val="004B6865"/>
    <w:rsid w:val="004B686D"/>
    <w:rsid w:val="004B6896"/>
    <w:rsid w:val="004B6897"/>
    <w:rsid w:val="004B68F4"/>
    <w:rsid w:val="004B6935"/>
    <w:rsid w:val="004B69B8"/>
    <w:rsid w:val="004B6A0A"/>
    <w:rsid w:val="004B6A2A"/>
    <w:rsid w:val="004B6A52"/>
    <w:rsid w:val="004B6A59"/>
    <w:rsid w:val="004B6A63"/>
    <w:rsid w:val="004B6AD6"/>
    <w:rsid w:val="004B6AF5"/>
    <w:rsid w:val="004B6B3F"/>
    <w:rsid w:val="004B6BA5"/>
    <w:rsid w:val="004B6BDF"/>
    <w:rsid w:val="004B6BE7"/>
    <w:rsid w:val="004B6C1C"/>
    <w:rsid w:val="004B6C43"/>
    <w:rsid w:val="004B6CC8"/>
    <w:rsid w:val="004B6CF9"/>
    <w:rsid w:val="004B6D28"/>
    <w:rsid w:val="004B6D59"/>
    <w:rsid w:val="004B6D87"/>
    <w:rsid w:val="004B6D93"/>
    <w:rsid w:val="004B6DBD"/>
    <w:rsid w:val="004B6DC1"/>
    <w:rsid w:val="004B6E38"/>
    <w:rsid w:val="004B6E47"/>
    <w:rsid w:val="004B6E72"/>
    <w:rsid w:val="004B6E91"/>
    <w:rsid w:val="004B6ECB"/>
    <w:rsid w:val="004B6FEE"/>
    <w:rsid w:val="004B6FF3"/>
    <w:rsid w:val="004B7062"/>
    <w:rsid w:val="004B707F"/>
    <w:rsid w:val="004B7080"/>
    <w:rsid w:val="004B7092"/>
    <w:rsid w:val="004B70ED"/>
    <w:rsid w:val="004B70F7"/>
    <w:rsid w:val="004B70F8"/>
    <w:rsid w:val="004B7120"/>
    <w:rsid w:val="004B7152"/>
    <w:rsid w:val="004B71F6"/>
    <w:rsid w:val="004B72C0"/>
    <w:rsid w:val="004B72E4"/>
    <w:rsid w:val="004B731A"/>
    <w:rsid w:val="004B7343"/>
    <w:rsid w:val="004B7360"/>
    <w:rsid w:val="004B7380"/>
    <w:rsid w:val="004B73F1"/>
    <w:rsid w:val="004B7459"/>
    <w:rsid w:val="004B758B"/>
    <w:rsid w:val="004B7592"/>
    <w:rsid w:val="004B75AE"/>
    <w:rsid w:val="004B767B"/>
    <w:rsid w:val="004B76BD"/>
    <w:rsid w:val="004B77EB"/>
    <w:rsid w:val="004B78B2"/>
    <w:rsid w:val="004B79EC"/>
    <w:rsid w:val="004B7A11"/>
    <w:rsid w:val="004B7A5E"/>
    <w:rsid w:val="004B7A61"/>
    <w:rsid w:val="004B7B61"/>
    <w:rsid w:val="004B7B98"/>
    <w:rsid w:val="004B7C5D"/>
    <w:rsid w:val="004B7C7B"/>
    <w:rsid w:val="004B7CF2"/>
    <w:rsid w:val="004B7CF6"/>
    <w:rsid w:val="004B7D7F"/>
    <w:rsid w:val="004B7DE4"/>
    <w:rsid w:val="004B7E43"/>
    <w:rsid w:val="004B7E79"/>
    <w:rsid w:val="004B7EE9"/>
    <w:rsid w:val="004B7FB8"/>
    <w:rsid w:val="004B7FE2"/>
    <w:rsid w:val="004B7FF3"/>
    <w:rsid w:val="004C0027"/>
    <w:rsid w:val="004C003E"/>
    <w:rsid w:val="004C00C1"/>
    <w:rsid w:val="004C00D9"/>
    <w:rsid w:val="004C013B"/>
    <w:rsid w:val="004C018C"/>
    <w:rsid w:val="004C01EC"/>
    <w:rsid w:val="004C01F3"/>
    <w:rsid w:val="004C0216"/>
    <w:rsid w:val="004C02D0"/>
    <w:rsid w:val="004C031F"/>
    <w:rsid w:val="004C033F"/>
    <w:rsid w:val="004C0348"/>
    <w:rsid w:val="004C039E"/>
    <w:rsid w:val="004C03C0"/>
    <w:rsid w:val="004C0422"/>
    <w:rsid w:val="004C0452"/>
    <w:rsid w:val="004C045F"/>
    <w:rsid w:val="004C0599"/>
    <w:rsid w:val="004C05EE"/>
    <w:rsid w:val="004C05F2"/>
    <w:rsid w:val="004C063B"/>
    <w:rsid w:val="004C065D"/>
    <w:rsid w:val="004C06F7"/>
    <w:rsid w:val="004C0703"/>
    <w:rsid w:val="004C0743"/>
    <w:rsid w:val="004C0748"/>
    <w:rsid w:val="004C075A"/>
    <w:rsid w:val="004C075E"/>
    <w:rsid w:val="004C0760"/>
    <w:rsid w:val="004C076C"/>
    <w:rsid w:val="004C0785"/>
    <w:rsid w:val="004C082A"/>
    <w:rsid w:val="004C0864"/>
    <w:rsid w:val="004C0916"/>
    <w:rsid w:val="004C094F"/>
    <w:rsid w:val="004C095E"/>
    <w:rsid w:val="004C0A61"/>
    <w:rsid w:val="004C0AAF"/>
    <w:rsid w:val="004C0ABA"/>
    <w:rsid w:val="004C0AEC"/>
    <w:rsid w:val="004C0AF5"/>
    <w:rsid w:val="004C0B18"/>
    <w:rsid w:val="004C0C21"/>
    <w:rsid w:val="004C0C3C"/>
    <w:rsid w:val="004C0C3D"/>
    <w:rsid w:val="004C0CCA"/>
    <w:rsid w:val="004C0D21"/>
    <w:rsid w:val="004C0D52"/>
    <w:rsid w:val="004C0D8E"/>
    <w:rsid w:val="004C0D9C"/>
    <w:rsid w:val="004C0E0B"/>
    <w:rsid w:val="004C0E7B"/>
    <w:rsid w:val="004C0EAE"/>
    <w:rsid w:val="004C0EFD"/>
    <w:rsid w:val="004C0F29"/>
    <w:rsid w:val="004C0F58"/>
    <w:rsid w:val="004C0F63"/>
    <w:rsid w:val="004C0FAB"/>
    <w:rsid w:val="004C0FBF"/>
    <w:rsid w:val="004C0FCD"/>
    <w:rsid w:val="004C0FEF"/>
    <w:rsid w:val="004C1059"/>
    <w:rsid w:val="004C106A"/>
    <w:rsid w:val="004C108E"/>
    <w:rsid w:val="004C11D3"/>
    <w:rsid w:val="004C1229"/>
    <w:rsid w:val="004C129F"/>
    <w:rsid w:val="004C12AC"/>
    <w:rsid w:val="004C12B8"/>
    <w:rsid w:val="004C1395"/>
    <w:rsid w:val="004C13A6"/>
    <w:rsid w:val="004C13F6"/>
    <w:rsid w:val="004C13FF"/>
    <w:rsid w:val="004C1487"/>
    <w:rsid w:val="004C148F"/>
    <w:rsid w:val="004C14BA"/>
    <w:rsid w:val="004C14DA"/>
    <w:rsid w:val="004C156E"/>
    <w:rsid w:val="004C157F"/>
    <w:rsid w:val="004C1588"/>
    <w:rsid w:val="004C1593"/>
    <w:rsid w:val="004C1646"/>
    <w:rsid w:val="004C1689"/>
    <w:rsid w:val="004C16FE"/>
    <w:rsid w:val="004C1716"/>
    <w:rsid w:val="004C1722"/>
    <w:rsid w:val="004C1734"/>
    <w:rsid w:val="004C174E"/>
    <w:rsid w:val="004C1755"/>
    <w:rsid w:val="004C1776"/>
    <w:rsid w:val="004C178C"/>
    <w:rsid w:val="004C17BF"/>
    <w:rsid w:val="004C17E8"/>
    <w:rsid w:val="004C1837"/>
    <w:rsid w:val="004C184E"/>
    <w:rsid w:val="004C1858"/>
    <w:rsid w:val="004C18EB"/>
    <w:rsid w:val="004C192C"/>
    <w:rsid w:val="004C1933"/>
    <w:rsid w:val="004C195B"/>
    <w:rsid w:val="004C19BB"/>
    <w:rsid w:val="004C19E1"/>
    <w:rsid w:val="004C1A97"/>
    <w:rsid w:val="004C1AA9"/>
    <w:rsid w:val="004C1AAA"/>
    <w:rsid w:val="004C1AC2"/>
    <w:rsid w:val="004C1B02"/>
    <w:rsid w:val="004C1B49"/>
    <w:rsid w:val="004C1B55"/>
    <w:rsid w:val="004C1BEC"/>
    <w:rsid w:val="004C1BF1"/>
    <w:rsid w:val="004C1C34"/>
    <w:rsid w:val="004C1CBD"/>
    <w:rsid w:val="004C1D47"/>
    <w:rsid w:val="004C1D4F"/>
    <w:rsid w:val="004C1DB1"/>
    <w:rsid w:val="004C1DCE"/>
    <w:rsid w:val="004C1E93"/>
    <w:rsid w:val="004C1EFE"/>
    <w:rsid w:val="004C1EFF"/>
    <w:rsid w:val="004C1F84"/>
    <w:rsid w:val="004C1F89"/>
    <w:rsid w:val="004C203E"/>
    <w:rsid w:val="004C2069"/>
    <w:rsid w:val="004C2143"/>
    <w:rsid w:val="004C221A"/>
    <w:rsid w:val="004C2225"/>
    <w:rsid w:val="004C2229"/>
    <w:rsid w:val="004C2265"/>
    <w:rsid w:val="004C2267"/>
    <w:rsid w:val="004C2276"/>
    <w:rsid w:val="004C22C0"/>
    <w:rsid w:val="004C2372"/>
    <w:rsid w:val="004C23A6"/>
    <w:rsid w:val="004C23EB"/>
    <w:rsid w:val="004C24CE"/>
    <w:rsid w:val="004C24F2"/>
    <w:rsid w:val="004C24FC"/>
    <w:rsid w:val="004C2502"/>
    <w:rsid w:val="004C2531"/>
    <w:rsid w:val="004C2555"/>
    <w:rsid w:val="004C25F9"/>
    <w:rsid w:val="004C262E"/>
    <w:rsid w:val="004C2630"/>
    <w:rsid w:val="004C265C"/>
    <w:rsid w:val="004C26B4"/>
    <w:rsid w:val="004C2797"/>
    <w:rsid w:val="004C27AE"/>
    <w:rsid w:val="004C2833"/>
    <w:rsid w:val="004C2841"/>
    <w:rsid w:val="004C2882"/>
    <w:rsid w:val="004C289B"/>
    <w:rsid w:val="004C2907"/>
    <w:rsid w:val="004C2984"/>
    <w:rsid w:val="004C29BC"/>
    <w:rsid w:val="004C2A0A"/>
    <w:rsid w:val="004C2A31"/>
    <w:rsid w:val="004C2AF4"/>
    <w:rsid w:val="004C2AF7"/>
    <w:rsid w:val="004C2AFB"/>
    <w:rsid w:val="004C2B51"/>
    <w:rsid w:val="004C2B8A"/>
    <w:rsid w:val="004C2B96"/>
    <w:rsid w:val="004C2BD2"/>
    <w:rsid w:val="004C2CC5"/>
    <w:rsid w:val="004C2CD2"/>
    <w:rsid w:val="004C2D48"/>
    <w:rsid w:val="004C2D68"/>
    <w:rsid w:val="004C2E42"/>
    <w:rsid w:val="004C2E46"/>
    <w:rsid w:val="004C2F94"/>
    <w:rsid w:val="004C2FAA"/>
    <w:rsid w:val="004C2FC2"/>
    <w:rsid w:val="004C2FF9"/>
    <w:rsid w:val="004C3097"/>
    <w:rsid w:val="004C311B"/>
    <w:rsid w:val="004C3160"/>
    <w:rsid w:val="004C31AD"/>
    <w:rsid w:val="004C31C4"/>
    <w:rsid w:val="004C329B"/>
    <w:rsid w:val="004C3332"/>
    <w:rsid w:val="004C3374"/>
    <w:rsid w:val="004C3390"/>
    <w:rsid w:val="004C345A"/>
    <w:rsid w:val="004C347F"/>
    <w:rsid w:val="004C34DB"/>
    <w:rsid w:val="004C3530"/>
    <w:rsid w:val="004C35C3"/>
    <w:rsid w:val="004C3659"/>
    <w:rsid w:val="004C365E"/>
    <w:rsid w:val="004C368A"/>
    <w:rsid w:val="004C36AD"/>
    <w:rsid w:val="004C3729"/>
    <w:rsid w:val="004C3757"/>
    <w:rsid w:val="004C3763"/>
    <w:rsid w:val="004C37B7"/>
    <w:rsid w:val="004C3883"/>
    <w:rsid w:val="004C3884"/>
    <w:rsid w:val="004C3923"/>
    <w:rsid w:val="004C3955"/>
    <w:rsid w:val="004C399F"/>
    <w:rsid w:val="004C39D8"/>
    <w:rsid w:val="004C3B39"/>
    <w:rsid w:val="004C3BC2"/>
    <w:rsid w:val="004C3C46"/>
    <w:rsid w:val="004C3CEC"/>
    <w:rsid w:val="004C3D18"/>
    <w:rsid w:val="004C3D7E"/>
    <w:rsid w:val="004C3D9B"/>
    <w:rsid w:val="004C3DCA"/>
    <w:rsid w:val="004C3DDE"/>
    <w:rsid w:val="004C3E0D"/>
    <w:rsid w:val="004C3E30"/>
    <w:rsid w:val="004C3E60"/>
    <w:rsid w:val="004C3EA9"/>
    <w:rsid w:val="004C3ECE"/>
    <w:rsid w:val="004C3EE9"/>
    <w:rsid w:val="004C3F07"/>
    <w:rsid w:val="004C3F55"/>
    <w:rsid w:val="004C3F72"/>
    <w:rsid w:val="004C408A"/>
    <w:rsid w:val="004C410C"/>
    <w:rsid w:val="004C414B"/>
    <w:rsid w:val="004C414D"/>
    <w:rsid w:val="004C4193"/>
    <w:rsid w:val="004C424D"/>
    <w:rsid w:val="004C4293"/>
    <w:rsid w:val="004C429B"/>
    <w:rsid w:val="004C42B4"/>
    <w:rsid w:val="004C42C1"/>
    <w:rsid w:val="004C4362"/>
    <w:rsid w:val="004C438D"/>
    <w:rsid w:val="004C443D"/>
    <w:rsid w:val="004C447B"/>
    <w:rsid w:val="004C450D"/>
    <w:rsid w:val="004C455D"/>
    <w:rsid w:val="004C4591"/>
    <w:rsid w:val="004C4713"/>
    <w:rsid w:val="004C47FC"/>
    <w:rsid w:val="004C4860"/>
    <w:rsid w:val="004C4885"/>
    <w:rsid w:val="004C48A4"/>
    <w:rsid w:val="004C48A9"/>
    <w:rsid w:val="004C4953"/>
    <w:rsid w:val="004C4976"/>
    <w:rsid w:val="004C49BB"/>
    <w:rsid w:val="004C4A2C"/>
    <w:rsid w:val="004C4A73"/>
    <w:rsid w:val="004C4A90"/>
    <w:rsid w:val="004C4B2C"/>
    <w:rsid w:val="004C4B2F"/>
    <w:rsid w:val="004C4B49"/>
    <w:rsid w:val="004C4C0D"/>
    <w:rsid w:val="004C4C23"/>
    <w:rsid w:val="004C4C2E"/>
    <w:rsid w:val="004C4C4C"/>
    <w:rsid w:val="004C4C85"/>
    <w:rsid w:val="004C4D62"/>
    <w:rsid w:val="004C4DDA"/>
    <w:rsid w:val="004C4E6F"/>
    <w:rsid w:val="004C4EB3"/>
    <w:rsid w:val="004C4ED1"/>
    <w:rsid w:val="004C5075"/>
    <w:rsid w:val="004C50BC"/>
    <w:rsid w:val="004C50DE"/>
    <w:rsid w:val="004C50F4"/>
    <w:rsid w:val="004C50FF"/>
    <w:rsid w:val="004C5265"/>
    <w:rsid w:val="004C52D6"/>
    <w:rsid w:val="004C53BB"/>
    <w:rsid w:val="004C53E6"/>
    <w:rsid w:val="004C540A"/>
    <w:rsid w:val="004C542C"/>
    <w:rsid w:val="004C5434"/>
    <w:rsid w:val="004C544A"/>
    <w:rsid w:val="004C5489"/>
    <w:rsid w:val="004C54B5"/>
    <w:rsid w:val="004C54D8"/>
    <w:rsid w:val="004C55F5"/>
    <w:rsid w:val="004C5629"/>
    <w:rsid w:val="004C5661"/>
    <w:rsid w:val="004C5666"/>
    <w:rsid w:val="004C567B"/>
    <w:rsid w:val="004C5686"/>
    <w:rsid w:val="004C56E6"/>
    <w:rsid w:val="004C56F7"/>
    <w:rsid w:val="004C576E"/>
    <w:rsid w:val="004C5771"/>
    <w:rsid w:val="004C577E"/>
    <w:rsid w:val="004C5889"/>
    <w:rsid w:val="004C5946"/>
    <w:rsid w:val="004C5991"/>
    <w:rsid w:val="004C5A1D"/>
    <w:rsid w:val="004C5A2E"/>
    <w:rsid w:val="004C5AB9"/>
    <w:rsid w:val="004C5B0B"/>
    <w:rsid w:val="004C5B35"/>
    <w:rsid w:val="004C5B77"/>
    <w:rsid w:val="004C5BFE"/>
    <w:rsid w:val="004C5C0B"/>
    <w:rsid w:val="004C5C6B"/>
    <w:rsid w:val="004C5C6F"/>
    <w:rsid w:val="004C5C91"/>
    <w:rsid w:val="004C5D06"/>
    <w:rsid w:val="004C5D12"/>
    <w:rsid w:val="004C5D37"/>
    <w:rsid w:val="004C5DD4"/>
    <w:rsid w:val="004C5E4C"/>
    <w:rsid w:val="004C5E7A"/>
    <w:rsid w:val="004C5EBC"/>
    <w:rsid w:val="004C5EF2"/>
    <w:rsid w:val="004C5F47"/>
    <w:rsid w:val="004C5F5F"/>
    <w:rsid w:val="004C5F96"/>
    <w:rsid w:val="004C5FF3"/>
    <w:rsid w:val="004C602D"/>
    <w:rsid w:val="004C6030"/>
    <w:rsid w:val="004C6075"/>
    <w:rsid w:val="004C607D"/>
    <w:rsid w:val="004C60C0"/>
    <w:rsid w:val="004C60FD"/>
    <w:rsid w:val="004C6122"/>
    <w:rsid w:val="004C6150"/>
    <w:rsid w:val="004C615D"/>
    <w:rsid w:val="004C6177"/>
    <w:rsid w:val="004C61B7"/>
    <w:rsid w:val="004C61FE"/>
    <w:rsid w:val="004C6235"/>
    <w:rsid w:val="004C62D0"/>
    <w:rsid w:val="004C62F5"/>
    <w:rsid w:val="004C631E"/>
    <w:rsid w:val="004C6370"/>
    <w:rsid w:val="004C646B"/>
    <w:rsid w:val="004C6470"/>
    <w:rsid w:val="004C6515"/>
    <w:rsid w:val="004C65AA"/>
    <w:rsid w:val="004C661F"/>
    <w:rsid w:val="004C6638"/>
    <w:rsid w:val="004C663B"/>
    <w:rsid w:val="004C6718"/>
    <w:rsid w:val="004C6740"/>
    <w:rsid w:val="004C6772"/>
    <w:rsid w:val="004C6777"/>
    <w:rsid w:val="004C6779"/>
    <w:rsid w:val="004C67A9"/>
    <w:rsid w:val="004C67CA"/>
    <w:rsid w:val="004C683B"/>
    <w:rsid w:val="004C683E"/>
    <w:rsid w:val="004C688F"/>
    <w:rsid w:val="004C6897"/>
    <w:rsid w:val="004C68BE"/>
    <w:rsid w:val="004C6919"/>
    <w:rsid w:val="004C69C2"/>
    <w:rsid w:val="004C69DF"/>
    <w:rsid w:val="004C6A21"/>
    <w:rsid w:val="004C6A8E"/>
    <w:rsid w:val="004C6ABC"/>
    <w:rsid w:val="004C6B8F"/>
    <w:rsid w:val="004C6BDA"/>
    <w:rsid w:val="004C6BEC"/>
    <w:rsid w:val="004C6BF1"/>
    <w:rsid w:val="004C6C05"/>
    <w:rsid w:val="004C6C35"/>
    <w:rsid w:val="004C6C85"/>
    <w:rsid w:val="004C6CA3"/>
    <w:rsid w:val="004C6D30"/>
    <w:rsid w:val="004C6D50"/>
    <w:rsid w:val="004C6D57"/>
    <w:rsid w:val="004C6D7E"/>
    <w:rsid w:val="004C6D98"/>
    <w:rsid w:val="004C6E2D"/>
    <w:rsid w:val="004C6E8D"/>
    <w:rsid w:val="004C6EA3"/>
    <w:rsid w:val="004C6EF3"/>
    <w:rsid w:val="004C6EFC"/>
    <w:rsid w:val="004C6F64"/>
    <w:rsid w:val="004C6F68"/>
    <w:rsid w:val="004C6F92"/>
    <w:rsid w:val="004C6FA7"/>
    <w:rsid w:val="004C7028"/>
    <w:rsid w:val="004C7041"/>
    <w:rsid w:val="004C7095"/>
    <w:rsid w:val="004C70EE"/>
    <w:rsid w:val="004C70F2"/>
    <w:rsid w:val="004C7112"/>
    <w:rsid w:val="004C7226"/>
    <w:rsid w:val="004C726A"/>
    <w:rsid w:val="004C72C4"/>
    <w:rsid w:val="004C72C8"/>
    <w:rsid w:val="004C72D7"/>
    <w:rsid w:val="004C7345"/>
    <w:rsid w:val="004C7374"/>
    <w:rsid w:val="004C7377"/>
    <w:rsid w:val="004C7451"/>
    <w:rsid w:val="004C74CA"/>
    <w:rsid w:val="004C7512"/>
    <w:rsid w:val="004C753D"/>
    <w:rsid w:val="004C75B4"/>
    <w:rsid w:val="004C75B9"/>
    <w:rsid w:val="004C766B"/>
    <w:rsid w:val="004C76D1"/>
    <w:rsid w:val="004C76D3"/>
    <w:rsid w:val="004C76F0"/>
    <w:rsid w:val="004C770B"/>
    <w:rsid w:val="004C772A"/>
    <w:rsid w:val="004C773A"/>
    <w:rsid w:val="004C774C"/>
    <w:rsid w:val="004C7760"/>
    <w:rsid w:val="004C7765"/>
    <w:rsid w:val="004C77B7"/>
    <w:rsid w:val="004C77B8"/>
    <w:rsid w:val="004C77D7"/>
    <w:rsid w:val="004C77E9"/>
    <w:rsid w:val="004C77F3"/>
    <w:rsid w:val="004C7804"/>
    <w:rsid w:val="004C7895"/>
    <w:rsid w:val="004C78B3"/>
    <w:rsid w:val="004C7965"/>
    <w:rsid w:val="004C79B9"/>
    <w:rsid w:val="004C79DC"/>
    <w:rsid w:val="004C79E6"/>
    <w:rsid w:val="004C7A85"/>
    <w:rsid w:val="004C7A9C"/>
    <w:rsid w:val="004C7AA4"/>
    <w:rsid w:val="004C7AAE"/>
    <w:rsid w:val="004C7B10"/>
    <w:rsid w:val="004C7B44"/>
    <w:rsid w:val="004C7B72"/>
    <w:rsid w:val="004C7B99"/>
    <w:rsid w:val="004C7BE4"/>
    <w:rsid w:val="004C7C71"/>
    <w:rsid w:val="004C7C9C"/>
    <w:rsid w:val="004C7CA5"/>
    <w:rsid w:val="004C7CAB"/>
    <w:rsid w:val="004C7CB5"/>
    <w:rsid w:val="004C7CC0"/>
    <w:rsid w:val="004C7D04"/>
    <w:rsid w:val="004C7D45"/>
    <w:rsid w:val="004C7D4B"/>
    <w:rsid w:val="004C7D4D"/>
    <w:rsid w:val="004C7D59"/>
    <w:rsid w:val="004C7D7E"/>
    <w:rsid w:val="004C7D86"/>
    <w:rsid w:val="004C7DA8"/>
    <w:rsid w:val="004C7DB1"/>
    <w:rsid w:val="004C7DE7"/>
    <w:rsid w:val="004C7E23"/>
    <w:rsid w:val="004C7E52"/>
    <w:rsid w:val="004C7E55"/>
    <w:rsid w:val="004C7E7F"/>
    <w:rsid w:val="004C7EC4"/>
    <w:rsid w:val="004C7EED"/>
    <w:rsid w:val="004C7EF7"/>
    <w:rsid w:val="004C7F01"/>
    <w:rsid w:val="004C7F05"/>
    <w:rsid w:val="004C7FAE"/>
    <w:rsid w:val="004D0021"/>
    <w:rsid w:val="004D0075"/>
    <w:rsid w:val="004D00C9"/>
    <w:rsid w:val="004D00F9"/>
    <w:rsid w:val="004D0133"/>
    <w:rsid w:val="004D013D"/>
    <w:rsid w:val="004D019F"/>
    <w:rsid w:val="004D01A0"/>
    <w:rsid w:val="004D01B1"/>
    <w:rsid w:val="004D023A"/>
    <w:rsid w:val="004D0280"/>
    <w:rsid w:val="004D0389"/>
    <w:rsid w:val="004D03A5"/>
    <w:rsid w:val="004D0436"/>
    <w:rsid w:val="004D0447"/>
    <w:rsid w:val="004D04A5"/>
    <w:rsid w:val="004D053E"/>
    <w:rsid w:val="004D0544"/>
    <w:rsid w:val="004D0590"/>
    <w:rsid w:val="004D05A2"/>
    <w:rsid w:val="004D05B0"/>
    <w:rsid w:val="004D061C"/>
    <w:rsid w:val="004D0694"/>
    <w:rsid w:val="004D06FC"/>
    <w:rsid w:val="004D06FE"/>
    <w:rsid w:val="004D0732"/>
    <w:rsid w:val="004D073B"/>
    <w:rsid w:val="004D0743"/>
    <w:rsid w:val="004D07AB"/>
    <w:rsid w:val="004D07D2"/>
    <w:rsid w:val="004D0804"/>
    <w:rsid w:val="004D0862"/>
    <w:rsid w:val="004D0867"/>
    <w:rsid w:val="004D08BF"/>
    <w:rsid w:val="004D0996"/>
    <w:rsid w:val="004D09BF"/>
    <w:rsid w:val="004D09E2"/>
    <w:rsid w:val="004D0A7B"/>
    <w:rsid w:val="004D0A8C"/>
    <w:rsid w:val="004D0B29"/>
    <w:rsid w:val="004D0B3C"/>
    <w:rsid w:val="004D0B47"/>
    <w:rsid w:val="004D0BFC"/>
    <w:rsid w:val="004D0C2B"/>
    <w:rsid w:val="004D0C49"/>
    <w:rsid w:val="004D0C4F"/>
    <w:rsid w:val="004D0CB0"/>
    <w:rsid w:val="004D0D14"/>
    <w:rsid w:val="004D0DCB"/>
    <w:rsid w:val="004D0DDD"/>
    <w:rsid w:val="004D0DFD"/>
    <w:rsid w:val="004D0EA5"/>
    <w:rsid w:val="004D0EC6"/>
    <w:rsid w:val="004D0F83"/>
    <w:rsid w:val="004D0FD6"/>
    <w:rsid w:val="004D107E"/>
    <w:rsid w:val="004D10D8"/>
    <w:rsid w:val="004D1101"/>
    <w:rsid w:val="004D1133"/>
    <w:rsid w:val="004D1255"/>
    <w:rsid w:val="004D1282"/>
    <w:rsid w:val="004D1283"/>
    <w:rsid w:val="004D12D5"/>
    <w:rsid w:val="004D134D"/>
    <w:rsid w:val="004D1389"/>
    <w:rsid w:val="004D13CE"/>
    <w:rsid w:val="004D13E1"/>
    <w:rsid w:val="004D1466"/>
    <w:rsid w:val="004D146D"/>
    <w:rsid w:val="004D14B7"/>
    <w:rsid w:val="004D14DF"/>
    <w:rsid w:val="004D155B"/>
    <w:rsid w:val="004D1578"/>
    <w:rsid w:val="004D1599"/>
    <w:rsid w:val="004D15AD"/>
    <w:rsid w:val="004D1611"/>
    <w:rsid w:val="004D16C1"/>
    <w:rsid w:val="004D1732"/>
    <w:rsid w:val="004D1790"/>
    <w:rsid w:val="004D1816"/>
    <w:rsid w:val="004D1961"/>
    <w:rsid w:val="004D19C3"/>
    <w:rsid w:val="004D1A0E"/>
    <w:rsid w:val="004D1A41"/>
    <w:rsid w:val="004D1AAD"/>
    <w:rsid w:val="004D1AC9"/>
    <w:rsid w:val="004D1AFD"/>
    <w:rsid w:val="004D1AFF"/>
    <w:rsid w:val="004D1B42"/>
    <w:rsid w:val="004D1BC1"/>
    <w:rsid w:val="004D1BC3"/>
    <w:rsid w:val="004D1C84"/>
    <w:rsid w:val="004D1CA6"/>
    <w:rsid w:val="004D1CCD"/>
    <w:rsid w:val="004D1CEF"/>
    <w:rsid w:val="004D1DAE"/>
    <w:rsid w:val="004D1E33"/>
    <w:rsid w:val="004D1EC1"/>
    <w:rsid w:val="004D1F45"/>
    <w:rsid w:val="004D1F5A"/>
    <w:rsid w:val="004D1F82"/>
    <w:rsid w:val="004D1FCC"/>
    <w:rsid w:val="004D2012"/>
    <w:rsid w:val="004D2056"/>
    <w:rsid w:val="004D2060"/>
    <w:rsid w:val="004D207D"/>
    <w:rsid w:val="004D2096"/>
    <w:rsid w:val="004D20E3"/>
    <w:rsid w:val="004D211E"/>
    <w:rsid w:val="004D214E"/>
    <w:rsid w:val="004D21BA"/>
    <w:rsid w:val="004D21FE"/>
    <w:rsid w:val="004D224F"/>
    <w:rsid w:val="004D22A7"/>
    <w:rsid w:val="004D22D8"/>
    <w:rsid w:val="004D234A"/>
    <w:rsid w:val="004D23A2"/>
    <w:rsid w:val="004D23C6"/>
    <w:rsid w:val="004D23E5"/>
    <w:rsid w:val="004D241A"/>
    <w:rsid w:val="004D24A0"/>
    <w:rsid w:val="004D24BD"/>
    <w:rsid w:val="004D24CF"/>
    <w:rsid w:val="004D2527"/>
    <w:rsid w:val="004D2539"/>
    <w:rsid w:val="004D2569"/>
    <w:rsid w:val="004D258B"/>
    <w:rsid w:val="004D2624"/>
    <w:rsid w:val="004D2659"/>
    <w:rsid w:val="004D2671"/>
    <w:rsid w:val="004D2710"/>
    <w:rsid w:val="004D2757"/>
    <w:rsid w:val="004D279A"/>
    <w:rsid w:val="004D2836"/>
    <w:rsid w:val="004D28C9"/>
    <w:rsid w:val="004D28F6"/>
    <w:rsid w:val="004D294E"/>
    <w:rsid w:val="004D2B3B"/>
    <w:rsid w:val="004D2B8B"/>
    <w:rsid w:val="004D2BA2"/>
    <w:rsid w:val="004D2BAE"/>
    <w:rsid w:val="004D2BF6"/>
    <w:rsid w:val="004D2C04"/>
    <w:rsid w:val="004D2C14"/>
    <w:rsid w:val="004D2C4E"/>
    <w:rsid w:val="004D2C6B"/>
    <w:rsid w:val="004D2C8C"/>
    <w:rsid w:val="004D2CCD"/>
    <w:rsid w:val="004D2D31"/>
    <w:rsid w:val="004D2D5C"/>
    <w:rsid w:val="004D2E04"/>
    <w:rsid w:val="004D2E81"/>
    <w:rsid w:val="004D2E85"/>
    <w:rsid w:val="004D2EE0"/>
    <w:rsid w:val="004D2F47"/>
    <w:rsid w:val="004D2FA0"/>
    <w:rsid w:val="004D2FA7"/>
    <w:rsid w:val="004D2FF7"/>
    <w:rsid w:val="004D2FF9"/>
    <w:rsid w:val="004D3000"/>
    <w:rsid w:val="004D3013"/>
    <w:rsid w:val="004D302E"/>
    <w:rsid w:val="004D304C"/>
    <w:rsid w:val="004D3063"/>
    <w:rsid w:val="004D3095"/>
    <w:rsid w:val="004D30B2"/>
    <w:rsid w:val="004D30B5"/>
    <w:rsid w:val="004D30B8"/>
    <w:rsid w:val="004D30C2"/>
    <w:rsid w:val="004D30F9"/>
    <w:rsid w:val="004D310F"/>
    <w:rsid w:val="004D3173"/>
    <w:rsid w:val="004D3317"/>
    <w:rsid w:val="004D3354"/>
    <w:rsid w:val="004D3382"/>
    <w:rsid w:val="004D3393"/>
    <w:rsid w:val="004D3395"/>
    <w:rsid w:val="004D33CD"/>
    <w:rsid w:val="004D33D1"/>
    <w:rsid w:val="004D3461"/>
    <w:rsid w:val="004D349B"/>
    <w:rsid w:val="004D3503"/>
    <w:rsid w:val="004D3519"/>
    <w:rsid w:val="004D3546"/>
    <w:rsid w:val="004D354B"/>
    <w:rsid w:val="004D355E"/>
    <w:rsid w:val="004D358C"/>
    <w:rsid w:val="004D35D4"/>
    <w:rsid w:val="004D3617"/>
    <w:rsid w:val="004D3674"/>
    <w:rsid w:val="004D367B"/>
    <w:rsid w:val="004D367C"/>
    <w:rsid w:val="004D3682"/>
    <w:rsid w:val="004D3701"/>
    <w:rsid w:val="004D378B"/>
    <w:rsid w:val="004D3809"/>
    <w:rsid w:val="004D3824"/>
    <w:rsid w:val="004D382E"/>
    <w:rsid w:val="004D385E"/>
    <w:rsid w:val="004D386A"/>
    <w:rsid w:val="004D38B5"/>
    <w:rsid w:val="004D38E8"/>
    <w:rsid w:val="004D392D"/>
    <w:rsid w:val="004D39AD"/>
    <w:rsid w:val="004D39CA"/>
    <w:rsid w:val="004D3A25"/>
    <w:rsid w:val="004D3A3D"/>
    <w:rsid w:val="004D3A71"/>
    <w:rsid w:val="004D3A7C"/>
    <w:rsid w:val="004D3AF0"/>
    <w:rsid w:val="004D3B3E"/>
    <w:rsid w:val="004D3B59"/>
    <w:rsid w:val="004D3C01"/>
    <w:rsid w:val="004D3CA7"/>
    <w:rsid w:val="004D3CF9"/>
    <w:rsid w:val="004D3D09"/>
    <w:rsid w:val="004D3D25"/>
    <w:rsid w:val="004D3D2D"/>
    <w:rsid w:val="004D3D8B"/>
    <w:rsid w:val="004D3D91"/>
    <w:rsid w:val="004D3DA1"/>
    <w:rsid w:val="004D3DDA"/>
    <w:rsid w:val="004D3E0E"/>
    <w:rsid w:val="004D3E22"/>
    <w:rsid w:val="004D3E27"/>
    <w:rsid w:val="004D3E2D"/>
    <w:rsid w:val="004D3ECC"/>
    <w:rsid w:val="004D3F6E"/>
    <w:rsid w:val="004D3F7F"/>
    <w:rsid w:val="004D3F86"/>
    <w:rsid w:val="004D4039"/>
    <w:rsid w:val="004D4041"/>
    <w:rsid w:val="004D405A"/>
    <w:rsid w:val="004D405E"/>
    <w:rsid w:val="004D40DC"/>
    <w:rsid w:val="004D4137"/>
    <w:rsid w:val="004D413B"/>
    <w:rsid w:val="004D4152"/>
    <w:rsid w:val="004D418D"/>
    <w:rsid w:val="004D41CF"/>
    <w:rsid w:val="004D425A"/>
    <w:rsid w:val="004D4262"/>
    <w:rsid w:val="004D427F"/>
    <w:rsid w:val="004D42F7"/>
    <w:rsid w:val="004D42F9"/>
    <w:rsid w:val="004D4398"/>
    <w:rsid w:val="004D4449"/>
    <w:rsid w:val="004D4472"/>
    <w:rsid w:val="004D4478"/>
    <w:rsid w:val="004D448D"/>
    <w:rsid w:val="004D44A7"/>
    <w:rsid w:val="004D44AE"/>
    <w:rsid w:val="004D452C"/>
    <w:rsid w:val="004D4576"/>
    <w:rsid w:val="004D4585"/>
    <w:rsid w:val="004D4588"/>
    <w:rsid w:val="004D4607"/>
    <w:rsid w:val="004D4673"/>
    <w:rsid w:val="004D46B5"/>
    <w:rsid w:val="004D4762"/>
    <w:rsid w:val="004D476B"/>
    <w:rsid w:val="004D47D0"/>
    <w:rsid w:val="004D4826"/>
    <w:rsid w:val="004D4870"/>
    <w:rsid w:val="004D487B"/>
    <w:rsid w:val="004D48C1"/>
    <w:rsid w:val="004D48D4"/>
    <w:rsid w:val="004D495E"/>
    <w:rsid w:val="004D4990"/>
    <w:rsid w:val="004D49F5"/>
    <w:rsid w:val="004D4A2D"/>
    <w:rsid w:val="004D4A89"/>
    <w:rsid w:val="004D4A8A"/>
    <w:rsid w:val="004D4AC5"/>
    <w:rsid w:val="004D4AEF"/>
    <w:rsid w:val="004D4B14"/>
    <w:rsid w:val="004D4B2B"/>
    <w:rsid w:val="004D4C16"/>
    <w:rsid w:val="004D4C9B"/>
    <w:rsid w:val="004D4D07"/>
    <w:rsid w:val="004D4D94"/>
    <w:rsid w:val="004D4DCF"/>
    <w:rsid w:val="004D4DEA"/>
    <w:rsid w:val="004D4DF5"/>
    <w:rsid w:val="004D4EFB"/>
    <w:rsid w:val="004D4F4C"/>
    <w:rsid w:val="004D4F94"/>
    <w:rsid w:val="004D5002"/>
    <w:rsid w:val="004D5011"/>
    <w:rsid w:val="004D5062"/>
    <w:rsid w:val="004D5084"/>
    <w:rsid w:val="004D50BF"/>
    <w:rsid w:val="004D5142"/>
    <w:rsid w:val="004D5147"/>
    <w:rsid w:val="004D5236"/>
    <w:rsid w:val="004D52D4"/>
    <w:rsid w:val="004D535C"/>
    <w:rsid w:val="004D535E"/>
    <w:rsid w:val="004D53A6"/>
    <w:rsid w:val="004D53F2"/>
    <w:rsid w:val="004D5474"/>
    <w:rsid w:val="004D54F0"/>
    <w:rsid w:val="004D54FD"/>
    <w:rsid w:val="004D5522"/>
    <w:rsid w:val="004D5581"/>
    <w:rsid w:val="004D55AF"/>
    <w:rsid w:val="004D55BB"/>
    <w:rsid w:val="004D561F"/>
    <w:rsid w:val="004D5621"/>
    <w:rsid w:val="004D5639"/>
    <w:rsid w:val="004D565A"/>
    <w:rsid w:val="004D5687"/>
    <w:rsid w:val="004D56C4"/>
    <w:rsid w:val="004D56ED"/>
    <w:rsid w:val="004D572D"/>
    <w:rsid w:val="004D5744"/>
    <w:rsid w:val="004D57AC"/>
    <w:rsid w:val="004D57B5"/>
    <w:rsid w:val="004D57B9"/>
    <w:rsid w:val="004D57DF"/>
    <w:rsid w:val="004D5940"/>
    <w:rsid w:val="004D59E9"/>
    <w:rsid w:val="004D5A41"/>
    <w:rsid w:val="004D5A54"/>
    <w:rsid w:val="004D5A57"/>
    <w:rsid w:val="004D5ABA"/>
    <w:rsid w:val="004D5AD3"/>
    <w:rsid w:val="004D5ADB"/>
    <w:rsid w:val="004D5AE3"/>
    <w:rsid w:val="004D5B20"/>
    <w:rsid w:val="004D5B77"/>
    <w:rsid w:val="004D5B96"/>
    <w:rsid w:val="004D5BC2"/>
    <w:rsid w:val="004D5C8F"/>
    <w:rsid w:val="004D5CA5"/>
    <w:rsid w:val="004D5D57"/>
    <w:rsid w:val="004D5D89"/>
    <w:rsid w:val="004D5D97"/>
    <w:rsid w:val="004D5DCC"/>
    <w:rsid w:val="004D5E48"/>
    <w:rsid w:val="004D5E5B"/>
    <w:rsid w:val="004D5F66"/>
    <w:rsid w:val="004D602D"/>
    <w:rsid w:val="004D603D"/>
    <w:rsid w:val="004D607E"/>
    <w:rsid w:val="004D60BA"/>
    <w:rsid w:val="004D6132"/>
    <w:rsid w:val="004D6136"/>
    <w:rsid w:val="004D6167"/>
    <w:rsid w:val="004D617F"/>
    <w:rsid w:val="004D618C"/>
    <w:rsid w:val="004D61F1"/>
    <w:rsid w:val="004D6253"/>
    <w:rsid w:val="004D6297"/>
    <w:rsid w:val="004D6308"/>
    <w:rsid w:val="004D63AF"/>
    <w:rsid w:val="004D63D4"/>
    <w:rsid w:val="004D63FD"/>
    <w:rsid w:val="004D6412"/>
    <w:rsid w:val="004D641E"/>
    <w:rsid w:val="004D6437"/>
    <w:rsid w:val="004D648B"/>
    <w:rsid w:val="004D650C"/>
    <w:rsid w:val="004D6538"/>
    <w:rsid w:val="004D6545"/>
    <w:rsid w:val="004D6563"/>
    <w:rsid w:val="004D6579"/>
    <w:rsid w:val="004D65BE"/>
    <w:rsid w:val="004D65C9"/>
    <w:rsid w:val="004D65F0"/>
    <w:rsid w:val="004D6650"/>
    <w:rsid w:val="004D66E2"/>
    <w:rsid w:val="004D6712"/>
    <w:rsid w:val="004D6731"/>
    <w:rsid w:val="004D67A2"/>
    <w:rsid w:val="004D67CF"/>
    <w:rsid w:val="004D67E9"/>
    <w:rsid w:val="004D682D"/>
    <w:rsid w:val="004D688B"/>
    <w:rsid w:val="004D6893"/>
    <w:rsid w:val="004D6929"/>
    <w:rsid w:val="004D6969"/>
    <w:rsid w:val="004D696A"/>
    <w:rsid w:val="004D696D"/>
    <w:rsid w:val="004D698D"/>
    <w:rsid w:val="004D69A2"/>
    <w:rsid w:val="004D69BB"/>
    <w:rsid w:val="004D69CE"/>
    <w:rsid w:val="004D6A45"/>
    <w:rsid w:val="004D6A49"/>
    <w:rsid w:val="004D6AA6"/>
    <w:rsid w:val="004D6AC3"/>
    <w:rsid w:val="004D6AD2"/>
    <w:rsid w:val="004D6B5E"/>
    <w:rsid w:val="004D6BCF"/>
    <w:rsid w:val="004D6BED"/>
    <w:rsid w:val="004D6C66"/>
    <w:rsid w:val="004D6CD1"/>
    <w:rsid w:val="004D6CDA"/>
    <w:rsid w:val="004D6CF1"/>
    <w:rsid w:val="004D6CFD"/>
    <w:rsid w:val="004D6D61"/>
    <w:rsid w:val="004D6D93"/>
    <w:rsid w:val="004D6DCE"/>
    <w:rsid w:val="004D6DE9"/>
    <w:rsid w:val="004D6E23"/>
    <w:rsid w:val="004D6E26"/>
    <w:rsid w:val="004D6E64"/>
    <w:rsid w:val="004D6E8F"/>
    <w:rsid w:val="004D6EA5"/>
    <w:rsid w:val="004D6ED9"/>
    <w:rsid w:val="004D6EFC"/>
    <w:rsid w:val="004D6F9B"/>
    <w:rsid w:val="004D701D"/>
    <w:rsid w:val="004D7034"/>
    <w:rsid w:val="004D70BE"/>
    <w:rsid w:val="004D711C"/>
    <w:rsid w:val="004D7128"/>
    <w:rsid w:val="004D7138"/>
    <w:rsid w:val="004D715E"/>
    <w:rsid w:val="004D71A7"/>
    <w:rsid w:val="004D71E6"/>
    <w:rsid w:val="004D72E1"/>
    <w:rsid w:val="004D72ED"/>
    <w:rsid w:val="004D733C"/>
    <w:rsid w:val="004D73C7"/>
    <w:rsid w:val="004D73D7"/>
    <w:rsid w:val="004D73DC"/>
    <w:rsid w:val="004D745B"/>
    <w:rsid w:val="004D7498"/>
    <w:rsid w:val="004D74C3"/>
    <w:rsid w:val="004D750B"/>
    <w:rsid w:val="004D7514"/>
    <w:rsid w:val="004D757D"/>
    <w:rsid w:val="004D758B"/>
    <w:rsid w:val="004D759A"/>
    <w:rsid w:val="004D7640"/>
    <w:rsid w:val="004D7676"/>
    <w:rsid w:val="004D76A7"/>
    <w:rsid w:val="004D76B3"/>
    <w:rsid w:val="004D76DF"/>
    <w:rsid w:val="004D7723"/>
    <w:rsid w:val="004D7732"/>
    <w:rsid w:val="004D7755"/>
    <w:rsid w:val="004D778D"/>
    <w:rsid w:val="004D778E"/>
    <w:rsid w:val="004D779C"/>
    <w:rsid w:val="004D7809"/>
    <w:rsid w:val="004D7840"/>
    <w:rsid w:val="004D787A"/>
    <w:rsid w:val="004D789F"/>
    <w:rsid w:val="004D78BA"/>
    <w:rsid w:val="004D78D8"/>
    <w:rsid w:val="004D7918"/>
    <w:rsid w:val="004D7919"/>
    <w:rsid w:val="004D7954"/>
    <w:rsid w:val="004D7986"/>
    <w:rsid w:val="004D7999"/>
    <w:rsid w:val="004D79B8"/>
    <w:rsid w:val="004D79D0"/>
    <w:rsid w:val="004D7A0E"/>
    <w:rsid w:val="004D7A92"/>
    <w:rsid w:val="004D7AD8"/>
    <w:rsid w:val="004D7B6E"/>
    <w:rsid w:val="004D7B88"/>
    <w:rsid w:val="004D7B93"/>
    <w:rsid w:val="004D7BFC"/>
    <w:rsid w:val="004D7C34"/>
    <w:rsid w:val="004D7CC4"/>
    <w:rsid w:val="004D7D08"/>
    <w:rsid w:val="004D7D1E"/>
    <w:rsid w:val="004D7DA2"/>
    <w:rsid w:val="004D7DD1"/>
    <w:rsid w:val="004D7DEC"/>
    <w:rsid w:val="004D7E1C"/>
    <w:rsid w:val="004D7E1F"/>
    <w:rsid w:val="004D7E47"/>
    <w:rsid w:val="004D7E51"/>
    <w:rsid w:val="004D7EDD"/>
    <w:rsid w:val="004D7EF0"/>
    <w:rsid w:val="004D7F72"/>
    <w:rsid w:val="004D7F79"/>
    <w:rsid w:val="004E001B"/>
    <w:rsid w:val="004E0024"/>
    <w:rsid w:val="004E0079"/>
    <w:rsid w:val="004E00AD"/>
    <w:rsid w:val="004E00B2"/>
    <w:rsid w:val="004E00B7"/>
    <w:rsid w:val="004E00FC"/>
    <w:rsid w:val="004E0123"/>
    <w:rsid w:val="004E020C"/>
    <w:rsid w:val="004E0229"/>
    <w:rsid w:val="004E02EE"/>
    <w:rsid w:val="004E02F6"/>
    <w:rsid w:val="004E0306"/>
    <w:rsid w:val="004E0368"/>
    <w:rsid w:val="004E036C"/>
    <w:rsid w:val="004E0378"/>
    <w:rsid w:val="004E0398"/>
    <w:rsid w:val="004E039D"/>
    <w:rsid w:val="004E0436"/>
    <w:rsid w:val="004E0441"/>
    <w:rsid w:val="004E046C"/>
    <w:rsid w:val="004E049A"/>
    <w:rsid w:val="004E04E2"/>
    <w:rsid w:val="004E04ED"/>
    <w:rsid w:val="004E0507"/>
    <w:rsid w:val="004E054E"/>
    <w:rsid w:val="004E063C"/>
    <w:rsid w:val="004E0652"/>
    <w:rsid w:val="004E066C"/>
    <w:rsid w:val="004E06B3"/>
    <w:rsid w:val="004E06D3"/>
    <w:rsid w:val="004E06FA"/>
    <w:rsid w:val="004E0744"/>
    <w:rsid w:val="004E07D5"/>
    <w:rsid w:val="004E0815"/>
    <w:rsid w:val="004E084A"/>
    <w:rsid w:val="004E0857"/>
    <w:rsid w:val="004E0897"/>
    <w:rsid w:val="004E08D1"/>
    <w:rsid w:val="004E09DC"/>
    <w:rsid w:val="004E0A09"/>
    <w:rsid w:val="004E0A5D"/>
    <w:rsid w:val="004E0A8A"/>
    <w:rsid w:val="004E0A8F"/>
    <w:rsid w:val="004E0AAA"/>
    <w:rsid w:val="004E0AAC"/>
    <w:rsid w:val="004E0B2D"/>
    <w:rsid w:val="004E0B53"/>
    <w:rsid w:val="004E0B59"/>
    <w:rsid w:val="004E0BBA"/>
    <w:rsid w:val="004E0BD5"/>
    <w:rsid w:val="004E0C01"/>
    <w:rsid w:val="004E0C30"/>
    <w:rsid w:val="004E0C4A"/>
    <w:rsid w:val="004E0CAA"/>
    <w:rsid w:val="004E0CC8"/>
    <w:rsid w:val="004E0CEB"/>
    <w:rsid w:val="004E0CF2"/>
    <w:rsid w:val="004E0D29"/>
    <w:rsid w:val="004E0D69"/>
    <w:rsid w:val="004E0E35"/>
    <w:rsid w:val="004E0E40"/>
    <w:rsid w:val="004E0E89"/>
    <w:rsid w:val="004E0EF1"/>
    <w:rsid w:val="004E0F46"/>
    <w:rsid w:val="004E0FC1"/>
    <w:rsid w:val="004E0FF1"/>
    <w:rsid w:val="004E1010"/>
    <w:rsid w:val="004E1049"/>
    <w:rsid w:val="004E1060"/>
    <w:rsid w:val="004E1073"/>
    <w:rsid w:val="004E1096"/>
    <w:rsid w:val="004E10BF"/>
    <w:rsid w:val="004E10D0"/>
    <w:rsid w:val="004E10D9"/>
    <w:rsid w:val="004E1116"/>
    <w:rsid w:val="004E114D"/>
    <w:rsid w:val="004E11A4"/>
    <w:rsid w:val="004E11BB"/>
    <w:rsid w:val="004E11EA"/>
    <w:rsid w:val="004E1205"/>
    <w:rsid w:val="004E126D"/>
    <w:rsid w:val="004E12B6"/>
    <w:rsid w:val="004E12B7"/>
    <w:rsid w:val="004E1324"/>
    <w:rsid w:val="004E133B"/>
    <w:rsid w:val="004E133E"/>
    <w:rsid w:val="004E139F"/>
    <w:rsid w:val="004E1407"/>
    <w:rsid w:val="004E140F"/>
    <w:rsid w:val="004E143C"/>
    <w:rsid w:val="004E148D"/>
    <w:rsid w:val="004E14D9"/>
    <w:rsid w:val="004E1525"/>
    <w:rsid w:val="004E155F"/>
    <w:rsid w:val="004E1575"/>
    <w:rsid w:val="004E1587"/>
    <w:rsid w:val="004E15A4"/>
    <w:rsid w:val="004E15D2"/>
    <w:rsid w:val="004E15F9"/>
    <w:rsid w:val="004E1601"/>
    <w:rsid w:val="004E1641"/>
    <w:rsid w:val="004E1655"/>
    <w:rsid w:val="004E16F2"/>
    <w:rsid w:val="004E1716"/>
    <w:rsid w:val="004E1727"/>
    <w:rsid w:val="004E177F"/>
    <w:rsid w:val="004E1785"/>
    <w:rsid w:val="004E181D"/>
    <w:rsid w:val="004E1827"/>
    <w:rsid w:val="004E1830"/>
    <w:rsid w:val="004E1835"/>
    <w:rsid w:val="004E1836"/>
    <w:rsid w:val="004E18C8"/>
    <w:rsid w:val="004E18D9"/>
    <w:rsid w:val="004E1938"/>
    <w:rsid w:val="004E1941"/>
    <w:rsid w:val="004E196A"/>
    <w:rsid w:val="004E197E"/>
    <w:rsid w:val="004E199E"/>
    <w:rsid w:val="004E19A2"/>
    <w:rsid w:val="004E19B2"/>
    <w:rsid w:val="004E1AC4"/>
    <w:rsid w:val="004E1AEF"/>
    <w:rsid w:val="004E1B90"/>
    <w:rsid w:val="004E1BAF"/>
    <w:rsid w:val="004E1BE3"/>
    <w:rsid w:val="004E1BE5"/>
    <w:rsid w:val="004E1BF0"/>
    <w:rsid w:val="004E1C08"/>
    <w:rsid w:val="004E1C0E"/>
    <w:rsid w:val="004E1C46"/>
    <w:rsid w:val="004E1C48"/>
    <w:rsid w:val="004E1CD1"/>
    <w:rsid w:val="004E1CDE"/>
    <w:rsid w:val="004E1D1A"/>
    <w:rsid w:val="004E1D35"/>
    <w:rsid w:val="004E1DE8"/>
    <w:rsid w:val="004E1E02"/>
    <w:rsid w:val="004E1E1A"/>
    <w:rsid w:val="004E1E25"/>
    <w:rsid w:val="004E1E44"/>
    <w:rsid w:val="004E1E60"/>
    <w:rsid w:val="004E1ED5"/>
    <w:rsid w:val="004E1ED7"/>
    <w:rsid w:val="004E1F1C"/>
    <w:rsid w:val="004E1F25"/>
    <w:rsid w:val="004E1F2C"/>
    <w:rsid w:val="004E1F4E"/>
    <w:rsid w:val="004E1FC3"/>
    <w:rsid w:val="004E2019"/>
    <w:rsid w:val="004E2027"/>
    <w:rsid w:val="004E2053"/>
    <w:rsid w:val="004E20D1"/>
    <w:rsid w:val="004E2118"/>
    <w:rsid w:val="004E2161"/>
    <w:rsid w:val="004E217D"/>
    <w:rsid w:val="004E218E"/>
    <w:rsid w:val="004E21CD"/>
    <w:rsid w:val="004E2219"/>
    <w:rsid w:val="004E2231"/>
    <w:rsid w:val="004E225E"/>
    <w:rsid w:val="004E2290"/>
    <w:rsid w:val="004E22D1"/>
    <w:rsid w:val="004E22FE"/>
    <w:rsid w:val="004E2353"/>
    <w:rsid w:val="004E235C"/>
    <w:rsid w:val="004E237E"/>
    <w:rsid w:val="004E239B"/>
    <w:rsid w:val="004E23B3"/>
    <w:rsid w:val="004E2435"/>
    <w:rsid w:val="004E243E"/>
    <w:rsid w:val="004E2441"/>
    <w:rsid w:val="004E24B0"/>
    <w:rsid w:val="004E24CD"/>
    <w:rsid w:val="004E24D7"/>
    <w:rsid w:val="004E2501"/>
    <w:rsid w:val="004E25AB"/>
    <w:rsid w:val="004E25C9"/>
    <w:rsid w:val="004E25CA"/>
    <w:rsid w:val="004E25CF"/>
    <w:rsid w:val="004E261D"/>
    <w:rsid w:val="004E2731"/>
    <w:rsid w:val="004E2751"/>
    <w:rsid w:val="004E2794"/>
    <w:rsid w:val="004E27A5"/>
    <w:rsid w:val="004E27D8"/>
    <w:rsid w:val="004E27DE"/>
    <w:rsid w:val="004E2813"/>
    <w:rsid w:val="004E284B"/>
    <w:rsid w:val="004E289B"/>
    <w:rsid w:val="004E2982"/>
    <w:rsid w:val="004E29A8"/>
    <w:rsid w:val="004E29BD"/>
    <w:rsid w:val="004E29C2"/>
    <w:rsid w:val="004E2A1E"/>
    <w:rsid w:val="004E2A42"/>
    <w:rsid w:val="004E2A9E"/>
    <w:rsid w:val="004E2AB7"/>
    <w:rsid w:val="004E2AC2"/>
    <w:rsid w:val="004E2B4C"/>
    <w:rsid w:val="004E2BA2"/>
    <w:rsid w:val="004E2BAE"/>
    <w:rsid w:val="004E2BC6"/>
    <w:rsid w:val="004E2C07"/>
    <w:rsid w:val="004E2C13"/>
    <w:rsid w:val="004E2C87"/>
    <w:rsid w:val="004E2CC7"/>
    <w:rsid w:val="004E2CD3"/>
    <w:rsid w:val="004E2CEF"/>
    <w:rsid w:val="004E2CFD"/>
    <w:rsid w:val="004E2D0D"/>
    <w:rsid w:val="004E2D25"/>
    <w:rsid w:val="004E2D32"/>
    <w:rsid w:val="004E2D37"/>
    <w:rsid w:val="004E2D73"/>
    <w:rsid w:val="004E2D9A"/>
    <w:rsid w:val="004E2E0F"/>
    <w:rsid w:val="004E2E1A"/>
    <w:rsid w:val="004E2E75"/>
    <w:rsid w:val="004E2E92"/>
    <w:rsid w:val="004E2F6C"/>
    <w:rsid w:val="004E2FEF"/>
    <w:rsid w:val="004E301F"/>
    <w:rsid w:val="004E3023"/>
    <w:rsid w:val="004E3027"/>
    <w:rsid w:val="004E302E"/>
    <w:rsid w:val="004E3058"/>
    <w:rsid w:val="004E30CC"/>
    <w:rsid w:val="004E30EB"/>
    <w:rsid w:val="004E311F"/>
    <w:rsid w:val="004E3129"/>
    <w:rsid w:val="004E313A"/>
    <w:rsid w:val="004E3148"/>
    <w:rsid w:val="004E3209"/>
    <w:rsid w:val="004E320C"/>
    <w:rsid w:val="004E3213"/>
    <w:rsid w:val="004E332F"/>
    <w:rsid w:val="004E33B3"/>
    <w:rsid w:val="004E33CB"/>
    <w:rsid w:val="004E33DC"/>
    <w:rsid w:val="004E3466"/>
    <w:rsid w:val="004E34C8"/>
    <w:rsid w:val="004E34F8"/>
    <w:rsid w:val="004E3597"/>
    <w:rsid w:val="004E359D"/>
    <w:rsid w:val="004E36C0"/>
    <w:rsid w:val="004E36E6"/>
    <w:rsid w:val="004E3706"/>
    <w:rsid w:val="004E372B"/>
    <w:rsid w:val="004E376E"/>
    <w:rsid w:val="004E3774"/>
    <w:rsid w:val="004E379B"/>
    <w:rsid w:val="004E37AB"/>
    <w:rsid w:val="004E37B1"/>
    <w:rsid w:val="004E37DB"/>
    <w:rsid w:val="004E3827"/>
    <w:rsid w:val="004E38C4"/>
    <w:rsid w:val="004E3914"/>
    <w:rsid w:val="004E392D"/>
    <w:rsid w:val="004E3971"/>
    <w:rsid w:val="004E39FC"/>
    <w:rsid w:val="004E3A58"/>
    <w:rsid w:val="004E3A59"/>
    <w:rsid w:val="004E3A64"/>
    <w:rsid w:val="004E3B42"/>
    <w:rsid w:val="004E3BBC"/>
    <w:rsid w:val="004E3BBD"/>
    <w:rsid w:val="004E3BEF"/>
    <w:rsid w:val="004E3C34"/>
    <w:rsid w:val="004E3C44"/>
    <w:rsid w:val="004E3C69"/>
    <w:rsid w:val="004E3CA9"/>
    <w:rsid w:val="004E3CCA"/>
    <w:rsid w:val="004E3D10"/>
    <w:rsid w:val="004E3D6A"/>
    <w:rsid w:val="004E3D70"/>
    <w:rsid w:val="004E3D72"/>
    <w:rsid w:val="004E3DCC"/>
    <w:rsid w:val="004E3DCD"/>
    <w:rsid w:val="004E3DFC"/>
    <w:rsid w:val="004E3E53"/>
    <w:rsid w:val="004E3E7C"/>
    <w:rsid w:val="004E3E96"/>
    <w:rsid w:val="004E3ECE"/>
    <w:rsid w:val="004E3F74"/>
    <w:rsid w:val="004E3F88"/>
    <w:rsid w:val="004E3F8A"/>
    <w:rsid w:val="004E3FC1"/>
    <w:rsid w:val="004E4093"/>
    <w:rsid w:val="004E4097"/>
    <w:rsid w:val="004E4100"/>
    <w:rsid w:val="004E4113"/>
    <w:rsid w:val="004E4116"/>
    <w:rsid w:val="004E4139"/>
    <w:rsid w:val="004E4195"/>
    <w:rsid w:val="004E41E7"/>
    <w:rsid w:val="004E42BB"/>
    <w:rsid w:val="004E4385"/>
    <w:rsid w:val="004E4392"/>
    <w:rsid w:val="004E4399"/>
    <w:rsid w:val="004E43C9"/>
    <w:rsid w:val="004E43D3"/>
    <w:rsid w:val="004E4434"/>
    <w:rsid w:val="004E446D"/>
    <w:rsid w:val="004E4487"/>
    <w:rsid w:val="004E44CE"/>
    <w:rsid w:val="004E450C"/>
    <w:rsid w:val="004E4520"/>
    <w:rsid w:val="004E4552"/>
    <w:rsid w:val="004E45CF"/>
    <w:rsid w:val="004E45D8"/>
    <w:rsid w:val="004E4657"/>
    <w:rsid w:val="004E468C"/>
    <w:rsid w:val="004E46FE"/>
    <w:rsid w:val="004E470B"/>
    <w:rsid w:val="004E472E"/>
    <w:rsid w:val="004E4741"/>
    <w:rsid w:val="004E4760"/>
    <w:rsid w:val="004E4779"/>
    <w:rsid w:val="004E479B"/>
    <w:rsid w:val="004E47B6"/>
    <w:rsid w:val="004E47D3"/>
    <w:rsid w:val="004E4855"/>
    <w:rsid w:val="004E486F"/>
    <w:rsid w:val="004E48ED"/>
    <w:rsid w:val="004E4938"/>
    <w:rsid w:val="004E4984"/>
    <w:rsid w:val="004E499B"/>
    <w:rsid w:val="004E49EB"/>
    <w:rsid w:val="004E4A43"/>
    <w:rsid w:val="004E4AC9"/>
    <w:rsid w:val="004E4AF7"/>
    <w:rsid w:val="004E4B58"/>
    <w:rsid w:val="004E4BA7"/>
    <w:rsid w:val="004E4BE3"/>
    <w:rsid w:val="004E4C03"/>
    <w:rsid w:val="004E4C21"/>
    <w:rsid w:val="004E4C39"/>
    <w:rsid w:val="004E4C4A"/>
    <w:rsid w:val="004E4C4E"/>
    <w:rsid w:val="004E4CCA"/>
    <w:rsid w:val="004E4CFE"/>
    <w:rsid w:val="004E4D65"/>
    <w:rsid w:val="004E4D9B"/>
    <w:rsid w:val="004E4E42"/>
    <w:rsid w:val="004E4E57"/>
    <w:rsid w:val="004E4E82"/>
    <w:rsid w:val="004E4EDE"/>
    <w:rsid w:val="004E4F9F"/>
    <w:rsid w:val="004E4FA0"/>
    <w:rsid w:val="004E4FBA"/>
    <w:rsid w:val="004E50DA"/>
    <w:rsid w:val="004E50DC"/>
    <w:rsid w:val="004E512F"/>
    <w:rsid w:val="004E5168"/>
    <w:rsid w:val="004E516A"/>
    <w:rsid w:val="004E51EE"/>
    <w:rsid w:val="004E5232"/>
    <w:rsid w:val="004E52F9"/>
    <w:rsid w:val="004E5327"/>
    <w:rsid w:val="004E5367"/>
    <w:rsid w:val="004E536D"/>
    <w:rsid w:val="004E5399"/>
    <w:rsid w:val="004E540F"/>
    <w:rsid w:val="004E54A9"/>
    <w:rsid w:val="004E5540"/>
    <w:rsid w:val="004E559D"/>
    <w:rsid w:val="004E55A5"/>
    <w:rsid w:val="004E55CA"/>
    <w:rsid w:val="004E562A"/>
    <w:rsid w:val="004E565C"/>
    <w:rsid w:val="004E57AF"/>
    <w:rsid w:val="004E584A"/>
    <w:rsid w:val="004E586D"/>
    <w:rsid w:val="004E5881"/>
    <w:rsid w:val="004E58E4"/>
    <w:rsid w:val="004E5918"/>
    <w:rsid w:val="004E5985"/>
    <w:rsid w:val="004E59A3"/>
    <w:rsid w:val="004E5A2D"/>
    <w:rsid w:val="004E5AC4"/>
    <w:rsid w:val="004E5ADF"/>
    <w:rsid w:val="004E5AE3"/>
    <w:rsid w:val="004E5B19"/>
    <w:rsid w:val="004E5B59"/>
    <w:rsid w:val="004E5B6B"/>
    <w:rsid w:val="004E5BA7"/>
    <w:rsid w:val="004E5BEE"/>
    <w:rsid w:val="004E5CA8"/>
    <w:rsid w:val="004E5CB7"/>
    <w:rsid w:val="004E5CD3"/>
    <w:rsid w:val="004E5CE9"/>
    <w:rsid w:val="004E5D19"/>
    <w:rsid w:val="004E5D28"/>
    <w:rsid w:val="004E5D73"/>
    <w:rsid w:val="004E5E6F"/>
    <w:rsid w:val="004E5E89"/>
    <w:rsid w:val="004E5E93"/>
    <w:rsid w:val="004E5F1E"/>
    <w:rsid w:val="004E5F43"/>
    <w:rsid w:val="004E5FB8"/>
    <w:rsid w:val="004E5FCE"/>
    <w:rsid w:val="004E5FFA"/>
    <w:rsid w:val="004E6066"/>
    <w:rsid w:val="004E607E"/>
    <w:rsid w:val="004E608A"/>
    <w:rsid w:val="004E6182"/>
    <w:rsid w:val="004E61C0"/>
    <w:rsid w:val="004E61C3"/>
    <w:rsid w:val="004E6246"/>
    <w:rsid w:val="004E6247"/>
    <w:rsid w:val="004E6279"/>
    <w:rsid w:val="004E627A"/>
    <w:rsid w:val="004E630C"/>
    <w:rsid w:val="004E6394"/>
    <w:rsid w:val="004E63DE"/>
    <w:rsid w:val="004E641D"/>
    <w:rsid w:val="004E6449"/>
    <w:rsid w:val="004E64B7"/>
    <w:rsid w:val="004E6525"/>
    <w:rsid w:val="004E6558"/>
    <w:rsid w:val="004E6575"/>
    <w:rsid w:val="004E6590"/>
    <w:rsid w:val="004E6596"/>
    <w:rsid w:val="004E65C9"/>
    <w:rsid w:val="004E663D"/>
    <w:rsid w:val="004E6646"/>
    <w:rsid w:val="004E6680"/>
    <w:rsid w:val="004E66C0"/>
    <w:rsid w:val="004E66DB"/>
    <w:rsid w:val="004E66EF"/>
    <w:rsid w:val="004E6704"/>
    <w:rsid w:val="004E673F"/>
    <w:rsid w:val="004E67AA"/>
    <w:rsid w:val="004E67C4"/>
    <w:rsid w:val="004E6819"/>
    <w:rsid w:val="004E6836"/>
    <w:rsid w:val="004E6863"/>
    <w:rsid w:val="004E6881"/>
    <w:rsid w:val="004E6A42"/>
    <w:rsid w:val="004E6BAF"/>
    <w:rsid w:val="004E6C1A"/>
    <w:rsid w:val="004E6C6D"/>
    <w:rsid w:val="004E6CA3"/>
    <w:rsid w:val="004E6D67"/>
    <w:rsid w:val="004E6DA3"/>
    <w:rsid w:val="004E6DAE"/>
    <w:rsid w:val="004E6EC1"/>
    <w:rsid w:val="004E6ECA"/>
    <w:rsid w:val="004E6ED2"/>
    <w:rsid w:val="004E6F08"/>
    <w:rsid w:val="004E6F89"/>
    <w:rsid w:val="004E6FD9"/>
    <w:rsid w:val="004E6FFE"/>
    <w:rsid w:val="004E70A6"/>
    <w:rsid w:val="004E70CD"/>
    <w:rsid w:val="004E70D5"/>
    <w:rsid w:val="004E7137"/>
    <w:rsid w:val="004E713B"/>
    <w:rsid w:val="004E716B"/>
    <w:rsid w:val="004E7256"/>
    <w:rsid w:val="004E7272"/>
    <w:rsid w:val="004E72C1"/>
    <w:rsid w:val="004E72D8"/>
    <w:rsid w:val="004E7350"/>
    <w:rsid w:val="004E73E0"/>
    <w:rsid w:val="004E73EA"/>
    <w:rsid w:val="004E742C"/>
    <w:rsid w:val="004E7449"/>
    <w:rsid w:val="004E744C"/>
    <w:rsid w:val="004E748B"/>
    <w:rsid w:val="004E74B3"/>
    <w:rsid w:val="004E74C4"/>
    <w:rsid w:val="004E74D0"/>
    <w:rsid w:val="004E74DC"/>
    <w:rsid w:val="004E753D"/>
    <w:rsid w:val="004E75B1"/>
    <w:rsid w:val="004E761F"/>
    <w:rsid w:val="004E766F"/>
    <w:rsid w:val="004E7722"/>
    <w:rsid w:val="004E7734"/>
    <w:rsid w:val="004E77DD"/>
    <w:rsid w:val="004E77E7"/>
    <w:rsid w:val="004E78AF"/>
    <w:rsid w:val="004E78B0"/>
    <w:rsid w:val="004E78F3"/>
    <w:rsid w:val="004E791F"/>
    <w:rsid w:val="004E7A35"/>
    <w:rsid w:val="004E7A80"/>
    <w:rsid w:val="004E7AB3"/>
    <w:rsid w:val="004E7AD0"/>
    <w:rsid w:val="004E7AF0"/>
    <w:rsid w:val="004E7B4F"/>
    <w:rsid w:val="004E7B79"/>
    <w:rsid w:val="004E7BCB"/>
    <w:rsid w:val="004E7BD9"/>
    <w:rsid w:val="004E7BFD"/>
    <w:rsid w:val="004E7C2C"/>
    <w:rsid w:val="004E7C58"/>
    <w:rsid w:val="004E7C6B"/>
    <w:rsid w:val="004E7C8D"/>
    <w:rsid w:val="004E7CAD"/>
    <w:rsid w:val="004E7CBD"/>
    <w:rsid w:val="004E7D1E"/>
    <w:rsid w:val="004E7D2C"/>
    <w:rsid w:val="004E7D59"/>
    <w:rsid w:val="004E7D7C"/>
    <w:rsid w:val="004E7D91"/>
    <w:rsid w:val="004E7DFA"/>
    <w:rsid w:val="004E7E37"/>
    <w:rsid w:val="004E7E3D"/>
    <w:rsid w:val="004E7E9A"/>
    <w:rsid w:val="004E7EAB"/>
    <w:rsid w:val="004E7EB0"/>
    <w:rsid w:val="004E7EC6"/>
    <w:rsid w:val="004E7ECC"/>
    <w:rsid w:val="004E7ED7"/>
    <w:rsid w:val="004E7EFE"/>
    <w:rsid w:val="004E7F01"/>
    <w:rsid w:val="004E7FA9"/>
    <w:rsid w:val="004F0033"/>
    <w:rsid w:val="004F00DB"/>
    <w:rsid w:val="004F0102"/>
    <w:rsid w:val="004F012F"/>
    <w:rsid w:val="004F015C"/>
    <w:rsid w:val="004F0162"/>
    <w:rsid w:val="004F0168"/>
    <w:rsid w:val="004F0171"/>
    <w:rsid w:val="004F0176"/>
    <w:rsid w:val="004F021F"/>
    <w:rsid w:val="004F0221"/>
    <w:rsid w:val="004F029D"/>
    <w:rsid w:val="004F02B6"/>
    <w:rsid w:val="004F032D"/>
    <w:rsid w:val="004F0336"/>
    <w:rsid w:val="004F0363"/>
    <w:rsid w:val="004F03B7"/>
    <w:rsid w:val="004F03C0"/>
    <w:rsid w:val="004F03C7"/>
    <w:rsid w:val="004F0402"/>
    <w:rsid w:val="004F0403"/>
    <w:rsid w:val="004F046B"/>
    <w:rsid w:val="004F0478"/>
    <w:rsid w:val="004F04CF"/>
    <w:rsid w:val="004F0505"/>
    <w:rsid w:val="004F050C"/>
    <w:rsid w:val="004F0524"/>
    <w:rsid w:val="004F0536"/>
    <w:rsid w:val="004F05CE"/>
    <w:rsid w:val="004F0616"/>
    <w:rsid w:val="004F0631"/>
    <w:rsid w:val="004F065A"/>
    <w:rsid w:val="004F0662"/>
    <w:rsid w:val="004F070F"/>
    <w:rsid w:val="004F0777"/>
    <w:rsid w:val="004F07C5"/>
    <w:rsid w:val="004F0832"/>
    <w:rsid w:val="004F08BC"/>
    <w:rsid w:val="004F091F"/>
    <w:rsid w:val="004F0938"/>
    <w:rsid w:val="004F0998"/>
    <w:rsid w:val="004F09EE"/>
    <w:rsid w:val="004F09F8"/>
    <w:rsid w:val="004F0A7B"/>
    <w:rsid w:val="004F0A95"/>
    <w:rsid w:val="004F0A99"/>
    <w:rsid w:val="004F0AB0"/>
    <w:rsid w:val="004F0B42"/>
    <w:rsid w:val="004F0C3D"/>
    <w:rsid w:val="004F0CA6"/>
    <w:rsid w:val="004F0CAC"/>
    <w:rsid w:val="004F0CC4"/>
    <w:rsid w:val="004F0CD3"/>
    <w:rsid w:val="004F0CFF"/>
    <w:rsid w:val="004F0D0B"/>
    <w:rsid w:val="004F0D39"/>
    <w:rsid w:val="004F0D3B"/>
    <w:rsid w:val="004F0D67"/>
    <w:rsid w:val="004F0D9B"/>
    <w:rsid w:val="004F0E04"/>
    <w:rsid w:val="004F0E39"/>
    <w:rsid w:val="004F0E58"/>
    <w:rsid w:val="004F0E82"/>
    <w:rsid w:val="004F0E97"/>
    <w:rsid w:val="004F0F01"/>
    <w:rsid w:val="004F0F4A"/>
    <w:rsid w:val="004F0F57"/>
    <w:rsid w:val="004F0F69"/>
    <w:rsid w:val="004F0FB5"/>
    <w:rsid w:val="004F0FC1"/>
    <w:rsid w:val="004F0FC3"/>
    <w:rsid w:val="004F0FD1"/>
    <w:rsid w:val="004F1009"/>
    <w:rsid w:val="004F1029"/>
    <w:rsid w:val="004F102A"/>
    <w:rsid w:val="004F102B"/>
    <w:rsid w:val="004F1030"/>
    <w:rsid w:val="004F1057"/>
    <w:rsid w:val="004F105C"/>
    <w:rsid w:val="004F10EE"/>
    <w:rsid w:val="004F1180"/>
    <w:rsid w:val="004F11DD"/>
    <w:rsid w:val="004F1206"/>
    <w:rsid w:val="004F122F"/>
    <w:rsid w:val="004F126F"/>
    <w:rsid w:val="004F12BB"/>
    <w:rsid w:val="004F12CD"/>
    <w:rsid w:val="004F12E6"/>
    <w:rsid w:val="004F1369"/>
    <w:rsid w:val="004F1376"/>
    <w:rsid w:val="004F13A5"/>
    <w:rsid w:val="004F13F4"/>
    <w:rsid w:val="004F1432"/>
    <w:rsid w:val="004F1512"/>
    <w:rsid w:val="004F156F"/>
    <w:rsid w:val="004F1594"/>
    <w:rsid w:val="004F159A"/>
    <w:rsid w:val="004F15AE"/>
    <w:rsid w:val="004F1657"/>
    <w:rsid w:val="004F168D"/>
    <w:rsid w:val="004F16EB"/>
    <w:rsid w:val="004F1721"/>
    <w:rsid w:val="004F1743"/>
    <w:rsid w:val="004F180B"/>
    <w:rsid w:val="004F1825"/>
    <w:rsid w:val="004F182A"/>
    <w:rsid w:val="004F182D"/>
    <w:rsid w:val="004F1850"/>
    <w:rsid w:val="004F1852"/>
    <w:rsid w:val="004F1867"/>
    <w:rsid w:val="004F187A"/>
    <w:rsid w:val="004F18E8"/>
    <w:rsid w:val="004F18EA"/>
    <w:rsid w:val="004F18F9"/>
    <w:rsid w:val="004F1900"/>
    <w:rsid w:val="004F1902"/>
    <w:rsid w:val="004F199C"/>
    <w:rsid w:val="004F19C0"/>
    <w:rsid w:val="004F1A1C"/>
    <w:rsid w:val="004F1A8B"/>
    <w:rsid w:val="004F1ABF"/>
    <w:rsid w:val="004F1AEC"/>
    <w:rsid w:val="004F1B0E"/>
    <w:rsid w:val="004F1B40"/>
    <w:rsid w:val="004F1B5A"/>
    <w:rsid w:val="004F1B83"/>
    <w:rsid w:val="004F1BBE"/>
    <w:rsid w:val="004F1C1E"/>
    <w:rsid w:val="004F1C37"/>
    <w:rsid w:val="004F1C5E"/>
    <w:rsid w:val="004F1C7E"/>
    <w:rsid w:val="004F1D0A"/>
    <w:rsid w:val="004F1D13"/>
    <w:rsid w:val="004F1D23"/>
    <w:rsid w:val="004F1D96"/>
    <w:rsid w:val="004F1E15"/>
    <w:rsid w:val="004F1E68"/>
    <w:rsid w:val="004F1E8B"/>
    <w:rsid w:val="004F1EBB"/>
    <w:rsid w:val="004F1EDE"/>
    <w:rsid w:val="004F1EE6"/>
    <w:rsid w:val="004F1F32"/>
    <w:rsid w:val="004F1F63"/>
    <w:rsid w:val="004F1F82"/>
    <w:rsid w:val="004F1FBA"/>
    <w:rsid w:val="004F2007"/>
    <w:rsid w:val="004F2082"/>
    <w:rsid w:val="004F20B0"/>
    <w:rsid w:val="004F20B8"/>
    <w:rsid w:val="004F210E"/>
    <w:rsid w:val="004F2127"/>
    <w:rsid w:val="004F2185"/>
    <w:rsid w:val="004F2221"/>
    <w:rsid w:val="004F2257"/>
    <w:rsid w:val="004F231B"/>
    <w:rsid w:val="004F238D"/>
    <w:rsid w:val="004F23FA"/>
    <w:rsid w:val="004F2409"/>
    <w:rsid w:val="004F242D"/>
    <w:rsid w:val="004F245C"/>
    <w:rsid w:val="004F2471"/>
    <w:rsid w:val="004F247D"/>
    <w:rsid w:val="004F2543"/>
    <w:rsid w:val="004F2545"/>
    <w:rsid w:val="004F2595"/>
    <w:rsid w:val="004F25EA"/>
    <w:rsid w:val="004F2656"/>
    <w:rsid w:val="004F277A"/>
    <w:rsid w:val="004F278D"/>
    <w:rsid w:val="004F289D"/>
    <w:rsid w:val="004F2914"/>
    <w:rsid w:val="004F292E"/>
    <w:rsid w:val="004F293E"/>
    <w:rsid w:val="004F2967"/>
    <w:rsid w:val="004F2968"/>
    <w:rsid w:val="004F2971"/>
    <w:rsid w:val="004F29CD"/>
    <w:rsid w:val="004F2A88"/>
    <w:rsid w:val="004F2A8A"/>
    <w:rsid w:val="004F2AB7"/>
    <w:rsid w:val="004F2AC9"/>
    <w:rsid w:val="004F2B29"/>
    <w:rsid w:val="004F2B78"/>
    <w:rsid w:val="004F2C28"/>
    <w:rsid w:val="004F2C4E"/>
    <w:rsid w:val="004F2CCA"/>
    <w:rsid w:val="004F2D1E"/>
    <w:rsid w:val="004F2D79"/>
    <w:rsid w:val="004F2D87"/>
    <w:rsid w:val="004F2DA4"/>
    <w:rsid w:val="004F2E03"/>
    <w:rsid w:val="004F2E24"/>
    <w:rsid w:val="004F2E40"/>
    <w:rsid w:val="004F2E7D"/>
    <w:rsid w:val="004F2EE9"/>
    <w:rsid w:val="004F2F3F"/>
    <w:rsid w:val="004F2F4F"/>
    <w:rsid w:val="004F2FB0"/>
    <w:rsid w:val="004F2FCD"/>
    <w:rsid w:val="004F3018"/>
    <w:rsid w:val="004F305C"/>
    <w:rsid w:val="004F3061"/>
    <w:rsid w:val="004F30E3"/>
    <w:rsid w:val="004F311B"/>
    <w:rsid w:val="004F316F"/>
    <w:rsid w:val="004F31E7"/>
    <w:rsid w:val="004F31F7"/>
    <w:rsid w:val="004F320B"/>
    <w:rsid w:val="004F3215"/>
    <w:rsid w:val="004F325B"/>
    <w:rsid w:val="004F32F2"/>
    <w:rsid w:val="004F346D"/>
    <w:rsid w:val="004F3476"/>
    <w:rsid w:val="004F35AB"/>
    <w:rsid w:val="004F3619"/>
    <w:rsid w:val="004F3620"/>
    <w:rsid w:val="004F362A"/>
    <w:rsid w:val="004F3670"/>
    <w:rsid w:val="004F3696"/>
    <w:rsid w:val="004F3702"/>
    <w:rsid w:val="004F3780"/>
    <w:rsid w:val="004F37F4"/>
    <w:rsid w:val="004F3808"/>
    <w:rsid w:val="004F3814"/>
    <w:rsid w:val="004F38B2"/>
    <w:rsid w:val="004F38C2"/>
    <w:rsid w:val="004F38E1"/>
    <w:rsid w:val="004F39F2"/>
    <w:rsid w:val="004F39FC"/>
    <w:rsid w:val="004F3A39"/>
    <w:rsid w:val="004F3A42"/>
    <w:rsid w:val="004F3AA9"/>
    <w:rsid w:val="004F3AB5"/>
    <w:rsid w:val="004F3B50"/>
    <w:rsid w:val="004F3B91"/>
    <w:rsid w:val="004F3BFC"/>
    <w:rsid w:val="004F3C24"/>
    <w:rsid w:val="004F3C72"/>
    <w:rsid w:val="004F3C91"/>
    <w:rsid w:val="004F3D3E"/>
    <w:rsid w:val="004F3D80"/>
    <w:rsid w:val="004F3E16"/>
    <w:rsid w:val="004F3E2C"/>
    <w:rsid w:val="004F3E46"/>
    <w:rsid w:val="004F3EFF"/>
    <w:rsid w:val="004F3F0E"/>
    <w:rsid w:val="004F3F25"/>
    <w:rsid w:val="004F3F48"/>
    <w:rsid w:val="004F3F4F"/>
    <w:rsid w:val="004F3F94"/>
    <w:rsid w:val="004F3F9A"/>
    <w:rsid w:val="004F4001"/>
    <w:rsid w:val="004F405E"/>
    <w:rsid w:val="004F4067"/>
    <w:rsid w:val="004F4123"/>
    <w:rsid w:val="004F4185"/>
    <w:rsid w:val="004F4197"/>
    <w:rsid w:val="004F421C"/>
    <w:rsid w:val="004F4220"/>
    <w:rsid w:val="004F4231"/>
    <w:rsid w:val="004F4272"/>
    <w:rsid w:val="004F4274"/>
    <w:rsid w:val="004F4325"/>
    <w:rsid w:val="004F4434"/>
    <w:rsid w:val="004F446E"/>
    <w:rsid w:val="004F44A7"/>
    <w:rsid w:val="004F4509"/>
    <w:rsid w:val="004F4533"/>
    <w:rsid w:val="004F4538"/>
    <w:rsid w:val="004F453F"/>
    <w:rsid w:val="004F456A"/>
    <w:rsid w:val="004F45EB"/>
    <w:rsid w:val="004F477E"/>
    <w:rsid w:val="004F47B9"/>
    <w:rsid w:val="004F47EF"/>
    <w:rsid w:val="004F4816"/>
    <w:rsid w:val="004F4864"/>
    <w:rsid w:val="004F48ED"/>
    <w:rsid w:val="004F4911"/>
    <w:rsid w:val="004F49DF"/>
    <w:rsid w:val="004F4A49"/>
    <w:rsid w:val="004F4A7C"/>
    <w:rsid w:val="004F4ABB"/>
    <w:rsid w:val="004F4AEB"/>
    <w:rsid w:val="004F4B2B"/>
    <w:rsid w:val="004F4B85"/>
    <w:rsid w:val="004F4C2C"/>
    <w:rsid w:val="004F4D16"/>
    <w:rsid w:val="004F4DB7"/>
    <w:rsid w:val="004F4DC4"/>
    <w:rsid w:val="004F4DF6"/>
    <w:rsid w:val="004F4E5E"/>
    <w:rsid w:val="004F4E87"/>
    <w:rsid w:val="004F4E89"/>
    <w:rsid w:val="004F4EA4"/>
    <w:rsid w:val="004F4EB7"/>
    <w:rsid w:val="004F4EC1"/>
    <w:rsid w:val="004F4EC3"/>
    <w:rsid w:val="004F4EE2"/>
    <w:rsid w:val="004F4EE3"/>
    <w:rsid w:val="004F4EE7"/>
    <w:rsid w:val="004F4EE8"/>
    <w:rsid w:val="004F4F1C"/>
    <w:rsid w:val="004F4F61"/>
    <w:rsid w:val="004F4F71"/>
    <w:rsid w:val="004F4F9C"/>
    <w:rsid w:val="004F4FAA"/>
    <w:rsid w:val="004F4FCD"/>
    <w:rsid w:val="004F4FDA"/>
    <w:rsid w:val="004F4FE6"/>
    <w:rsid w:val="004F50A5"/>
    <w:rsid w:val="004F513E"/>
    <w:rsid w:val="004F5158"/>
    <w:rsid w:val="004F517A"/>
    <w:rsid w:val="004F51F6"/>
    <w:rsid w:val="004F5222"/>
    <w:rsid w:val="004F5281"/>
    <w:rsid w:val="004F52EA"/>
    <w:rsid w:val="004F52FB"/>
    <w:rsid w:val="004F5314"/>
    <w:rsid w:val="004F5317"/>
    <w:rsid w:val="004F5325"/>
    <w:rsid w:val="004F533C"/>
    <w:rsid w:val="004F5340"/>
    <w:rsid w:val="004F5360"/>
    <w:rsid w:val="004F53C2"/>
    <w:rsid w:val="004F53C4"/>
    <w:rsid w:val="004F53E9"/>
    <w:rsid w:val="004F5422"/>
    <w:rsid w:val="004F54D0"/>
    <w:rsid w:val="004F55C0"/>
    <w:rsid w:val="004F5640"/>
    <w:rsid w:val="004F56A6"/>
    <w:rsid w:val="004F56E5"/>
    <w:rsid w:val="004F5730"/>
    <w:rsid w:val="004F5755"/>
    <w:rsid w:val="004F5845"/>
    <w:rsid w:val="004F5865"/>
    <w:rsid w:val="004F590A"/>
    <w:rsid w:val="004F592F"/>
    <w:rsid w:val="004F5938"/>
    <w:rsid w:val="004F595D"/>
    <w:rsid w:val="004F5987"/>
    <w:rsid w:val="004F598D"/>
    <w:rsid w:val="004F59EE"/>
    <w:rsid w:val="004F59F4"/>
    <w:rsid w:val="004F5A0E"/>
    <w:rsid w:val="004F5A54"/>
    <w:rsid w:val="004F5ACF"/>
    <w:rsid w:val="004F5AE4"/>
    <w:rsid w:val="004F5AE8"/>
    <w:rsid w:val="004F5B2B"/>
    <w:rsid w:val="004F5B2F"/>
    <w:rsid w:val="004F5B55"/>
    <w:rsid w:val="004F5B8B"/>
    <w:rsid w:val="004F5BDD"/>
    <w:rsid w:val="004F5BF3"/>
    <w:rsid w:val="004F5C04"/>
    <w:rsid w:val="004F5C20"/>
    <w:rsid w:val="004F5C6E"/>
    <w:rsid w:val="004F5CBF"/>
    <w:rsid w:val="004F5CC5"/>
    <w:rsid w:val="004F5CDA"/>
    <w:rsid w:val="004F5D02"/>
    <w:rsid w:val="004F5D53"/>
    <w:rsid w:val="004F5D57"/>
    <w:rsid w:val="004F5D58"/>
    <w:rsid w:val="004F5D8A"/>
    <w:rsid w:val="004F5EDF"/>
    <w:rsid w:val="004F5EF3"/>
    <w:rsid w:val="004F5F9A"/>
    <w:rsid w:val="004F5FC1"/>
    <w:rsid w:val="004F6017"/>
    <w:rsid w:val="004F6052"/>
    <w:rsid w:val="004F607C"/>
    <w:rsid w:val="004F6081"/>
    <w:rsid w:val="004F60C7"/>
    <w:rsid w:val="004F60E5"/>
    <w:rsid w:val="004F60F2"/>
    <w:rsid w:val="004F615D"/>
    <w:rsid w:val="004F6167"/>
    <w:rsid w:val="004F6178"/>
    <w:rsid w:val="004F6186"/>
    <w:rsid w:val="004F6288"/>
    <w:rsid w:val="004F62DF"/>
    <w:rsid w:val="004F6322"/>
    <w:rsid w:val="004F63DF"/>
    <w:rsid w:val="004F653E"/>
    <w:rsid w:val="004F6552"/>
    <w:rsid w:val="004F6631"/>
    <w:rsid w:val="004F66B9"/>
    <w:rsid w:val="004F66C4"/>
    <w:rsid w:val="004F66CF"/>
    <w:rsid w:val="004F66D4"/>
    <w:rsid w:val="004F66FF"/>
    <w:rsid w:val="004F6702"/>
    <w:rsid w:val="004F6720"/>
    <w:rsid w:val="004F672D"/>
    <w:rsid w:val="004F67A0"/>
    <w:rsid w:val="004F67A7"/>
    <w:rsid w:val="004F67C9"/>
    <w:rsid w:val="004F67DE"/>
    <w:rsid w:val="004F67EF"/>
    <w:rsid w:val="004F680E"/>
    <w:rsid w:val="004F685C"/>
    <w:rsid w:val="004F6869"/>
    <w:rsid w:val="004F687D"/>
    <w:rsid w:val="004F689D"/>
    <w:rsid w:val="004F68D0"/>
    <w:rsid w:val="004F68DF"/>
    <w:rsid w:val="004F68F9"/>
    <w:rsid w:val="004F6900"/>
    <w:rsid w:val="004F692E"/>
    <w:rsid w:val="004F6932"/>
    <w:rsid w:val="004F6938"/>
    <w:rsid w:val="004F693A"/>
    <w:rsid w:val="004F694F"/>
    <w:rsid w:val="004F695D"/>
    <w:rsid w:val="004F6988"/>
    <w:rsid w:val="004F69A1"/>
    <w:rsid w:val="004F69C8"/>
    <w:rsid w:val="004F69C9"/>
    <w:rsid w:val="004F6A91"/>
    <w:rsid w:val="004F6AB3"/>
    <w:rsid w:val="004F6ACC"/>
    <w:rsid w:val="004F6AF2"/>
    <w:rsid w:val="004F6BB8"/>
    <w:rsid w:val="004F6BD5"/>
    <w:rsid w:val="004F6C7A"/>
    <w:rsid w:val="004F6CC9"/>
    <w:rsid w:val="004F6CE5"/>
    <w:rsid w:val="004F6D0D"/>
    <w:rsid w:val="004F6D0E"/>
    <w:rsid w:val="004F6D58"/>
    <w:rsid w:val="004F6DFB"/>
    <w:rsid w:val="004F6EA1"/>
    <w:rsid w:val="004F6EE6"/>
    <w:rsid w:val="004F6EF9"/>
    <w:rsid w:val="004F6EFE"/>
    <w:rsid w:val="004F6F5C"/>
    <w:rsid w:val="004F6FAE"/>
    <w:rsid w:val="004F6FDC"/>
    <w:rsid w:val="004F6FDE"/>
    <w:rsid w:val="004F6FF4"/>
    <w:rsid w:val="004F7082"/>
    <w:rsid w:val="004F70B6"/>
    <w:rsid w:val="004F70BE"/>
    <w:rsid w:val="004F70CE"/>
    <w:rsid w:val="004F70D3"/>
    <w:rsid w:val="004F7174"/>
    <w:rsid w:val="004F7196"/>
    <w:rsid w:val="004F71B9"/>
    <w:rsid w:val="004F71C7"/>
    <w:rsid w:val="004F71E5"/>
    <w:rsid w:val="004F724E"/>
    <w:rsid w:val="004F7260"/>
    <w:rsid w:val="004F7325"/>
    <w:rsid w:val="004F7327"/>
    <w:rsid w:val="004F7346"/>
    <w:rsid w:val="004F7366"/>
    <w:rsid w:val="004F737F"/>
    <w:rsid w:val="004F73A4"/>
    <w:rsid w:val="004F742F"/>
    <w:rsid w:val="004F7432"/>
    <w:rsid w:val="004F744A"/>
    <w:rsid w:val="004F744C"/>
    <w:rsid w:val="004F7472"/>
    <w:rsid w:val="004F7539"/>
    <w:rsid w:val="004F7552"/>
    <w:rsid w:val="004F755C"/>
    <w:rsid w:val="004F7592"/>
    <w:rsid w:val="004F75B2"/>
    <w:rsid w:val="004F75B9"/>
    <w:rsid w:val="004F75D8"/>
    <w:rsid w:val="004F75F8"/>
    <w:rsid w:val="004F7634"/>
    <w:rsid w:val="004F763B"/>
    <w:rsid w:val="004F76B2"/>
    <w:rsid w:val="004F773D"/>
    <w:rsid w:val="004F7758"/>
    <w:rsid w:val="004F77B6"/>
    <w:rsid w:val="004F77F3"/>
    <w:rsid w:val="004F78B0"/>
    <w:rsid w:val="004F791E"/>
    <w:rsid w:val="004F79A3"/>
    <w:rsid w:val="004F79BF"/>
    <w:rsid w:val="004F79E6"/>
    <w:rsid w:val="004F7A08"/>
    <w:rsid w:val="004F7A62"/>
    <w:rsid w:val="004F7A7F"/>
    <w:rsid w:val="004F7A98"/>
    <w:rsid w:val="004F7B4D"/>
    <w:rsid w:val="004F7BCA"/>
    <w:rsid w:val="004F7BCC"/>
    <w:rsid w:val="004F7C9F"/>
    <w:rsid w:val="004F7D4D"/>
    <w:rsid w:val="004F7DD9"/>
    <w:rsid w:val="004F7E1D"/>
    <w:rsid w:val="004F7E8F"/>
    <w:rsid w:val="004F7EB2"/>
    <w:rsid w:val="004F7F3E"/>
    <w:rsid w:val="004F7F5D"/>
    <w:rsid w:val="004F7F63"/>
    <w:rsid w:val="004F7F68"/>
    <w:rsid w:val="004F7F72"/>
    <w:rsid w:val="004F7FE4"/>
    <w:rsid w:val="0050002C"/>
    <w:rsid w:val="00500041"/>
    <w:rsid w:val="005000BC"/>
    <w:rsid w:val="00500182"/>
    <w:rsid w:val="005001B4"/>
    <w:rsid w:val="005001F6"/>
    <w:rsid w:val="0050025D"/>
    <w:rsid w:val="00500276"/>
    <w:rsid w:val="005002D4"/>
    <w:rsid w:val="005002ED"/>
    <w:rsid w:val="0050034B"/>
    <w:rsid w:val="00500396"/>
    <w:rsid w:val="0050039B"/>
    <w:rsid w:val="005003BB"/>
    <w:rsid w:val="0050040F"/>
    <w:rsid w:val="0050041B"/>
    <w:rsid w:val="00500426"/>
    <w:rsid w:val="0050044A"/>
    <w:rsid w:val="0050045D"/>
    <w:rsid w:val="0050046A"/>
    <w:rsid w:val="00500484"/>
    <w:rsid w:val="00500497"/>
    <w:rsid w:val="005004C3"/>
    <w:rsid w:val="005004F9"/>
    <w:rsid w:val="005005FE"/>
    <w:rsid w:val="0050060E"/>
    <w:rsid w:val="00500655"/>
    <w:rsid w:val="0050065C"/>
    <w:rsid w:val="00500676"/>
    <w:rsid w:val="005006A3"/>
    <w:rsid w:val="005006B6"/>
    <w:rsid w:val="005006DB"/>
    <w:rsid w:val="005006E1"/>
    <w:rsid w:val="00500712"/>
    <w:rsid w:val="00500736"/>
    <w:rsid w:val="0050074C"/>
    <w:rsid w:val="00500845"/>
    <w:rsid w:val="00500854"/>
    <w:rsid w:val="00500892"/>
    <w:rsid w:val="0050095E"/>
    <w:rsid w:val="005009D7"/>
    <w:rsid w:val="005009E2"/>
    <w:rsid w:val="00500A08"/>
    <w:rsid w:val="00500AF6"/>
    <w:rsid w:val="00500B25"/>
    <w:rsid w:val="00500B30"/>
    <w:rsid w:val="00500B63"/>
    <w:rsid w:val="00500BEF"/>
    <w:rsid w:val="00500BF9"/>
    <w:rsid w:val="00500C16"/>
    <w:rsid w:val="00500CAD"/>
    <w:rsid w:val="00500CD4"/>
    <w:rsid w:val="00500DE5"/>
    <w:rsid w:val="00500E0D"/>
    <w:rsid w:val="00500E10"/>
    <w:rsid w:val="00500E7D"/>
    <w:rsid w:val="00500E84"/>
    <w:rsid w:val="00500E9C"/>
    <w:rsid w:val="00500EE7"/>
    <w:rsid w:val="00500EEC"/>
    <w:rsid w:val="00500F06"/>
    <w:rsid w:val="00500F5B"/>
    <w:rsid w:val="0050100E"/>
    <w:rsid w:val="0050106C"/>
    <w:rsid w:val="005010AE"/>
    <w:rsid w:val="005010EB"/>
    <w:rsid w:val="00501116"/>
    <w:rsid w:val="005011A6"/>
    <w:rsid w:val="005011B8"/>
    <w:rsid w:val="005011C1"/>
    <w:rsid w:val="0050132B"/>
    <w:rsid w:val="0050133F"/>
    <w:rsid w:val="005013A3"/>
    <w:rsid w:val="005013D8"/>
    <w:rsid w:val="00501419"/>
    <w:rsid w:val="0050148D"/>
    <w:rsid w:val="0050154E"/>
    <w:rsid w:val="0050158C"/>
    <w:rsid w:val="005015B2"/>
    <w:rsid w:val="005015C0"/>
    <w:rsid w:val="005015C3"/>
    <w:rsid w:val="005015ED"/>
    <w:rsid w:val="0050161B"/>
    <w:rsid w:val="0050166E"/>
    <w:rsid w:val="005016A0"/>
    <w:rsid w:val="0050173A"/>
    <w:rsid w:val="00501760"/>
    <w:rsid w:val="005017A0"/>
    <w:rsid w:val="00501819"/>
    <w:rsid w:val="0050181C"/>
    <w:rsid w:val="0050183E"/>
    <w:rsid w:val="0050187D"/>
    <w:rsid w:val="005018A6"/>
    <w:rsid w:val="005018D6"/>
    <w:rsid w:val="005018FF"/>
    <w:rsid w:val="0050194D"/>
    <w:rsid w:val="00501976"/>
    <w:rsid w:val="00501989"/>
    <w:rsid w:val="005019B8"/>
    <w:rsid w:val="00501A19"/>
    <w:rsid w:val="00501A38"/>
    <w:rsid w:val="00501A91"/>
    <w:rsid w:val="00501B11"/>
    <w:rsid w:val="00501BDD"/>
    <w:rsid w:val="00501C4D"/>
    <w:rsid w:val="00501D00"/>
    <w:rsid w:val="00501D38"/>
    <w:rsid w:val="00501E0B"/>
    <w:rsid w:val="00501E9F"/>
    <w:rsid w:val="00501EAB"/>
    <w:rsid w:val="00501EB8"/>
    <w:rsid w:val="00501ED6"/>
    <w:rsid w:val="00501F1F"/>
    <w:rsid w:val="00501F76"/>
    <w:rsid w:val="00501FDC"/>
    <w:rsid w:val="00501FF7"/>
    <w:rsid w:val="00502060"/>
    <w:rsid w:val="0050209E"/>
    <w:rsid w:val="0050222E"/>
    <w:rsid w:val="00502235"/>
    <w:rsid w:val="00502241"/>
    <w:rsid w:val="005022AE"/>
    <w:rsid w:val="00502336"/>
    <w:rsid w:val="0050233D"/>
    <w:rsid w:val="00502401"/>
    <w:rsid w:val="00502412"/>
    <w:rsid w:val="0050245B"/>
    <w:rsid w:val="005024AF"/>
    <w:rsid w:val="005024BF"/>
    <w:rsid w:val="00502548"/>
    <w:rsid w:val="0050260E"/>
    <w:rsid w:val="0050263C"/>
    <w:rsid w:val="00502659"/>
    <w:rsid w:val="00502699"/>
    <w:rsid w:val="0050269E"/>
    <w:rsid w:val="005026C0"/>
    <w:rsid w:val="005026C4"/>
    <w:rsid w:val="00502708"/>
    <w:rsid w:val="0050274A"/>
    <w:rsid w:val="00502764"/>
    <w:rsid w:val="005027B1"/>
    <w:rsid w:val="005027B5"/>
    <w:rsid w:val="005027CA"/>
    <w:rsid w:val="005027F4"/>
    <w:rsid w:val="0050280A"/>
    <w:rsid w:val="0050283E"/>
    <w:rsid w:val="0050288D"/>
    <w:rsid w:val="0050289B"/>
    <w:rsid w:val="005028AF"/>
    <w:rsid w:val="005028BC"/>
    <w:rsid w:val="00502910"/>
    <w:rsid w:val="00502953"/>
    <w:rsid w:val="00502995"/>
    <w:rsid w:val="00502A44"/>
    <w:rsid w:val="00502A6F"/>
    <w:rsid w:val="00502A7A"/>
    <w:rsid w:val="00502A9F"/>
    <w:rsid w:val="00502ABD"/>
    <w:rsid w:val="00502AC0"/>
    <w:rsid w:val="00502AD4"/>
    <w:rsid w:val="00502AD9"/>
    <w:rsid w:val="00502AE1"/>
    <w:rsid w:val="00502B6E"/>
    <w:rsid w:val="00502B83"/>
    <w:rsid w:val="00502B85"/>
    <w:rsid w:val="00502BAE"/>
    <w:rsid w:val="00502BC8"/>
    <w:rsid w:val="00502C02"/>
    <w:rsid w:val="00502D3D"/>
    <w:rsid w:val="00502D4B"/>
    <w:rsid w:val="00502D88"/>
    <w:rsid w:val="00502DA0"/>
    <w:rsid w:val="00502DAB"/>
    <w:rsid w:val="00502E05"/>
    <w:rsid w:val="00502E1B"/>
    <w:rsid w:val="00502E24"/>
    <w:rsid w:val="00502E26"/>
    <w:rsid w:val="00502EAD"/>
    <w:rsid w:val="00502EE7"/>
    <w:rsid w:val="00502F28"/>
    <w:rsid w:val="00502F2D"/>
    <w:rsid w:val="00502F71"/>
    <w:rsid w:val="00502F7B"/>
    <w:rsid w:val="00502FD5"/>
    <w:rsid w:val="00502FE8"/>
    <w:rsid w:val="005030C8"/>
    <w:rsid w:val="005031A8"/>
    <w:rsid w:val="00503214"/>
    <w:rsid w:val="0050321B"/>
    <w:rsid w:val="00503231"/>
    <w:rsid w:val="00503242"/>
    <w:rsid w:val="00503268"/>
    <w:rsid w:val="00503273"/>
    <w:rsid w:val="00503278"/>
    <w:rsid w:val="005032F3"/>
    <w:rsid w:val="005032F9"/>
    <w:rsid w:val="005033B7"/>
    <w:rsid w:val="005033F9"/>
    <w:rsid w:val="00503409"/>
    <w:rsid w:val="0050351E"/>
    <w:rsid w:val="0050353B"/>
    <w:rsid w:val="005035C0"/>
    <w:rsid w:val="00503607"/>
    <w:rsid w:val="00503673"/>
    <w:rsid w:val="00503679"/>
    <w:rsid w:val="0050367A"/>
    <w:rsid w:val="005036A2"/>
    <w:rsid w:val="005036D5"/>
    <w:rsid w:val="0050372D"/>
    <w:rsid w:val="0050376F"/>
    <w:rsid w:val="005037E1"/>
    <w:rsid w:val="0050389D"/>
    <w:rsid w:val="0050393B"/>
    <w:rsid w:val="00503948"/>
    <w:rsid w:val="0050396F"/>
    <w:rsid w:val="005039A7"/>
    <w:rsid w:val="005039C8"/>
    <w:rsid w:val="005039E5"/>
    <w:rsid w:val="00503A37"/>
    <w:rsid w:val="00503A3D"/>
    <w:rsid w:val="00503A50"/>
    <w:rsid w:val="00503A6A"/>
    <w:rsid w:val="00503A95"/>
    <w:rsid w:val="00503B39"/>
    <w:rsid w:val="00503BB9"/>
    <w:rsid w:val="00503BBD"/>
    <w:rsid w:val="00503C16"/>
    <w:rsid w:val="00503C38"/>
    <w:rsid w:val="00503CA8"/>
    <w:rsid w:val="00503D46"/>
    <w:rsid w:val="00503D56"/>
    <w:rsid w:val="00503D99"/>
    <w:rsid w:val="00503DC5"/>
    <w:rsid w:val="00503DDA"/>
    <w:rsid w:val="00503DDB"/>
    <w:rsid w:val="00503E7B"/>
    <w:rsid w:val="00503EEC"/>
    <w:rsid w:val="00503F04"/>
    <w:rsid w:val="00503F91"/>
    <w:rsid w:val="00503F9D"/>
    <w:rsid w:val="00503FA2"/>
    <w:rsid w:val="00503FB8"/>
    <w:rsid w:val="00504034"/>
    <w:rsid w:val="0050406E"/>
    <w:rsid w:val="00504091"/>
    <w:rsid w:val="005040B9"/>
    <w:rsid w:val="005040D4"/>
    <w:rsid w:val="00504105"/>
    <w:rsid w:val="00504119"/>
    <w:rsid w:val="00504124"/>
    <w:rsid w:val="00504145"/>
    <w:rsid w:val="00504167"/>
    <w:rsid w:val="00504214"/>
    <w:rsid w:val="00504220"/>
    <w:rsid w:val="00504224"/>
    <w:rsid w:val="005042C5"/>
    <w:rsid w:val="00504375"/>
    <w:rsid w:val="005043F4"/>
    <w:rsid w:val="00504453"/>
    <w:rsid w:val="00504498"/>
    <w:rsid w:val="005044D9"/>
    <w:rsid w:val="00504578"/>
    <w:rsid w:val="005045C7"/>
    <w:rsid w:val="005045FB"/>
    <w:rsid w:val="0050468E"/>
    <w:rsid w:val="0050468F"/>
    <w:rsid w:val="005046C2"/>
    <w:rsid w:val="00504787"/>
    <w:rsid w:val="00504791"/>
    <w:rsid w:val="005047A3"/>
    <w:rsid w:val="005047D4"/>
    <w:rsid w:val="005047FB"/>
    <w:rsid w:val="00504824"/>
    <w:rsid w:val="00504934"/>
    <w:rsid w:val="00504972"/>
    <w:rsid w:val="005049BD"/>
    <w:rsid w:val="00504A08"/>
    <w:rsid w:val="00504A5F"/>
    <w:rsid w:val="00504A60"/>
    <w:rsid w:val="00504A74"/>
    <w:rsid w:val="00504A89"/>
    <w:rsid w:val="00504AFF"/>
    <w:rsid w:val="00504B13"/>
    <w:rsid w:val="00504B61"/>
    <w:rsid w:val="00504BB0"/>
    <w:rsid w:val="00504BDB"/>
    <w:rsid w:val="00504BED"/>
    <w:rsid w:val="00504C18"/>
    <w:rsid w:val="00504C30"/>
    <w:rsid w:val="00504CAF"/>
    <w:rsid w:val="00504CB5"/>
    <w:rsid w:val="00504CDD"/>
    <w:rsid w:val="00504DCF"/>
    <w:rsid w:val="00504E1B"/>
    <w:rsid w:val="00504E4B"/>
    <w:rsid w:val="00504F65"/>
    <w:rsid w:val="00504F6B"/>
    <w:rsid w:val="00504F7F"/>
    <w:rsid w:val="00504FC7"/>
    <w:rsid w:val="00505001"/>
    <w:rsid w:val="00505010"/>
    <w:rsid w:val="0050502C"/>
    <w:rsid w:val="0050505F"/>
    <w:rsid w:val="00505064"/>
    <w:rsid w:val="005050F6"/>
    <w:rsid w:val="005050FF"/>
    <w:rsid w:val="00505162"/>
    <w:rsid w:val="00505181"/>
    <w:rsid w:val="005051FB"/>
    <w:rsid w:val="00505235"/>
    <w:rsid w:val="00505255"/>
    <w:rsid w:val="00505271"/>
    <w:rsid w:val="00505272"/>
    <w:rsid w:val="00505281"/>
    <w:rsid w:val="005052C6"/>
    <w:rsid w:val="00505326"/>
    <w:rsid w:val="00505340"/>
    <w:rsid w:val="005053A2"/>
    <w:rsid w:val="005053A4"/>
    <w:rsid w:val="00505405"/>
    <w:rsid w:val="00505498"/>
    <w:rsid w:val="005054A3"/>
    <w:rsid w:val="005054BB"/>
    <w:rsid w:val="005054C3"/>
    <w:rsid w:val="005054D5"/>
    <w:rsid w:val="00505549"/>
    <w:rsid w:val="00505555"/>
    <w:rsid w:val="00505568"/>
    <w:rsid w:val="0050564B"/>
    <w:rsid w:val="00505670"/>
    <w:rsid w:val="005056C5"/>
    <w:rsid w:val="005056CF"/>
    <w:rsid w:val="005056D2"/>
    <w:rsid w:val="00505712"/>
    <w:rsid w:val="00505717"/>
    <w:rsid w:val="005057A2"/>
    <w:rsid w:val="005057B6"/>
    <w:rsid w:val="005057C0"/>
    <w:rsid w:val="005057C1"/>
    <w:rsid w:val="005057E0"/>
    <w:rsid w:val="005057EF"/>
    <w:rsid w:val="00505813"/>
    <w:rsid w:val="00505886"/>
    <w:rsid w:val="005058F7"/>
    <w:rsid w:val="00505906"/>
    <w:rsid w:val="0050592B"/>
    <w:rsid w:val="0050597D"/>
    <w:rsid w:val="005059E1"/>
    <w:rsid w:val="00505A08"/>
    <w:rsid w:val="00505A69"/>
    <w:rsid w:val="00505B6F"/>
    <w:rsid w:val="00505BD6"/>
    <w:rsid w:val="00505BFC"/>
    <w:rsid w:val="00505C19"/>
    <w:rsid w:val="00505CBC"/>
    <w:rsid w:val="00505CCF"/>
    <w:rsid w:val="00505D10"/>
    <w:rsid w:val="00505D85"/>
    <w:rsid w:val="00505D97"/>
    <w:rsid w:val="00505D9F"/>
    <w:rsid w:val="00505DBB"/>
    <w:rsid w:val="00505DCF"/>
    <w:rsid w:val="00505F10"/>
    <w:rsid w:val="00505FC0"/>
    <w:rsid w:val="00505FC3"/>
    <w:rsid w:val="00506023"/>
    <w:rsid w:val="00506045"/>
    <w:rsid w:val="005060A0"/>
    <w:rsid w:val="005060B5"/>
    <w:rsid w:val="0050610A"/>
    <w:rsid w:val="0050613B"/>
    <w:rsid w:val="00506181"/>
    <w:rsid w:val="005061B1"/>
    <w:rsid w:val="00506293"/>
    <w:rsid w:val="005062F2"/>
    <w:rsid w:val="00506304"/>
    <w:rsid w:val="00506363"/>
    <w:rsid w:val="005063C6"/>
    <w:rsid w:val="0050646A"/>
    <w:rsid w:val="005064AE"/>
    <w:rsid w:val="005064DE"/>
    <w:rsid w:val="00506549"/>
    <w:rsid w:val="00506566"/>
    <w:rsid w:val="00506596"/>
    <w:rsid w:val="005065D7"/>
    <w:rsid w:val="005065D9"/>
    <w:rsid w:val="005065ED"/>
    <w:rsid w:val="00506626"/>
    <w:rsid w:val="00506662"/>
    <w:rsid w:val="00506698"/>
    <w:rsid w:val="0050669F"/>
    <w:rsid w:val="005066C7"/>
    <w:rsid w:val="00506716"/>
    <w:rsid w:val="0050673E"/>
    <w:rsid w:val="00506761"/>
    <w:rsid w:val="00506764"/>
    <w:rsid w:val="00506804"/>
    <w:rsid w:val="0050690E"/>
    <w:rsid w:val="0050691B"/>
    <w:rsid w:val="00506933"/>
    <w:rsid w:val="00506947"/>
    <w:rsid w:val="0050698A"/>
    <w:rsid w:val="005069CD"/>
    <w:rsid w:val="005069DB"/>
    <w:rsid w:val="00506A13"/>
    <w:rsid w:val="00506A14"/>
    <w:rsid w:val="00506A15"/>
    <w:rsid w:val="00506A38"/>
    <w:rsid w:val="00506A43"/>
    <w:rsid w:val="00506A74"/>
    <w:rsid w:val="00506A89"/>
    <w:rsid w:val="00506AB0"/>
    <w:rsid w:val="00506AE4"/>
    <w:rsid w:val="00506AEE"/>
    <w:rsid w:val="00506B04"/>
    <w:rsid w:val="00506B69"/>
    <w:rsid w:val="00506BD5"/>
    <w:rsid w:val="00506C28"/>
    <w:rsid w:val="00506C56"/>
    <w:rsid w:val="00506D2C"/>
    <w:rsid w:val="00506D2E"/>
    <w:rsid w:val="00506D51"/>
    <w:rsid w:val="00506D62"/>
    <w:rsid w:val="00506D80"/>
    <w:rsid w:val="00506D81"/>
    <w:rsid w:val="00506D91"/>
    <w:rsid w:val="00506DB3"/>
    <w:rsid w:val="00506DC4"/>
    <w:rsid w:val="00506DC5"/>
    <w:rsid w:val="00506DCC"/>
    <w:rsid w:val="00506DF7"/>
    <w:rsid w:val="00506E03"/>
    <w:rsid w:val="00506E20"/>
    <w:rsid w:val="00506E85"/>
    <w:rsid w:val="00506E88"/>
    <w:rsid w:val="00506E8A"/>
    <w:rsid w:val="00506E9B"/>
    <w:rsid w:val="00506EBB"/>
    <w:rsid w:val="00506EF0"/>
    <w:rsid w:val="00506F05"/>
    <w:rsid w:val="00506FA3"/>
    <w:rsid w:val="00507034"/>
    <w:rsid w:val="005070D6"/>
    <w:rsid w:val="00507122"/>
    <w:rsid w:val="00507186"/>
    <w:rsid w:val="005071BA"/>
    <w:rsid w:val="005071D3"/>
    <w:rsid w:val="005071E0"/>
    <w:rsid w:val="0050721A"/>
    <w:rsid w:val="00507223"/>
    <w:rsid w:val="0050723F"/>
    <w:rsid w:val="0050727A"/>
    <w:rsid w:val="005072E9"/>
    <w:rsid w:val="00507392"/>
    <w:rsid w:val="005073A9"/>
    <w:rsid w:val="005073C1"/>
    <w:rsid w:val="005074A5"/>
    <w:rsid w:val="00507538"/>
    <w:rsid w:val="00507576"/>
    <w:rsid w:val="005075EF"/>
    <w:rsid w:val="00507618"/>
    <w:rsid w:val="00507621"/>
    <w:rsid w:val="00507625"/>
    <w:rsid w:val="00507647"/>
    <w:rsid w:val="0050764B"/>
    <w:rsid w:val="00507671"/>
    <w:rsid w:val="00507723"/>
    <w:rsid w:val="0050777D"/>
    <w:rsid w:val="00507784"/>
    <w:rsid w:val="005077B8"/>
    <w:rsid w:val="005077CC"/>
    <w:rsid w:val="005077CE"/>
    <w:rsid w:val="00507824"/>
    <w:rsid w:val="00507856"/>
    <w:rsid w:val="005078C4"/>
    <w:rsid w:val="005078D4"/>
    <w:rsid w:val="00507906"/>
    <w:rsid w:val="00507968"/>
    <w:rsid w:val="00507996"/>
    <w:rsid w:val="005079D2"/>
    <w:rsid w:val="00507A00"/>
    <w:rsid w:val="00507A41"/>
    <w:rsid w:val="00507A45"/>
    <w:rsid w:val="00507A6E"/>
    <w:rsid w:val="00507AAF"/>
    <w:rsid w:val="00507AB0"/>
    <w:rsid w:val="00507B6C"/>
    <w:rsid w:val="00507BF4"/>
    <w:rsid w:val="00507BF8"/>
    <w:rsid w:val="00507C56"/>
    <w:rsid w:val="00507C59"/>
    <w:rsid w:val="00507C87"/>
    <w:rsid w:val="00507C9C"/>
    <w:rsid w:val="00507CB2"/>
    <w:rsid w:val="00507D99"/>
    <w:rsid w:val="00507DBA"/>
    <w:rsid w:val="00507DC7"/>
    <w:rsid w:val="00507DDF"/>
    <w:rsid w:val="00507E30"/>
    <w:rsid w:val="00507E37"/>
    <w:rsid w:val="00507E45"/>
    <w:rsid w:val="00507E89"/>
    <w:rsid w:val="00507EC4"/>
    <w:rsid w:val="00507ED1"/>
    <w:rsid w:val="00507ED8"/>
    <w:rsid w:val="00507EE5"/>
    <w:rsid w:val="00507F0E"/>
    <w:rsid w:val="00507F7F"/>
    <w:rsid w:val="00507F8D"/>
    <w:rsid w:val="00507F8F"/>
    <w:rsid w:val="00507FD4"/>
    <w:rsid w:val="00507FED"/>
    <w:rsid w:val="00510029"/>
    <w:rsid w:val="005100C5"/>
    <w:rsid w:val="005100CE"/>
    <w:rsid w:val="005100E3"/>
    <w:rsid w:val="005100E4"/>
    <w:rsid w:val="005100F0"/>
    <w:rsid w:val="0051010B"/>
    <w:rsid w:val="00510126"/>
    <w:rsid w:val="0051012A"/>
    <w:rsid w:val="00510137"/>
    <w:rsid w:val="00510157"/>
    <w:rsid w:val="00510158"/>
    <w:rsid w:val="00510159"/>
    <w:rsid w:val="0051028B"/>
    <w:rsid w:val="0051028D"/>
    <w:rsid w:val="005102B6"/>
    <w:rsid w:val="005102CC"/>
    <w:rsid w:val="005102E7"/>
    <w:rsid w:val="00510316"/>
    <w:rsid w:val="0051035B"/>
    <w:rsid w:val="00510413"/>
    <w:rsid w:val="00510444"/>
    <w:rsid w:val="00510465"/>
    <w:rsid w:val="0051050B"/>
    <w:rsid w:val="00510566"/>
    <w:rsid w:val="005105BD"/>
    <w:rsid w:val="005105C7"/>
    <w:rsid w:val="005105D8"/>
    <w:rsid w:val="005105DE"/>
    <w:rsid w:val="005105E7"/>
    <w:rsid w:val="005105EC"/>
    <w:rsid w:val="00510691"/>
    <w:rsid w:val="0051078B"/>
    <w:rsid w:val="005107A4"/>
    <w:rsid w:val="005107BD"/>
    <w:rsid w:val="005107E2"/>
    <w:rsid w:val="0051081E"/>
    <w:rsid w:val="00510822"/>
    <w:rsid w:val="005108B5"/>
    <w:rsid w:val="005108DE"/>
    <w:rsid w:val="00510900"/>
    <w:rsid w:val="00510938"/>
    <w:rsid w:val="00510A0A"/>
    <w:rsid w:val="00510A4B"/>
    <w:rsid w:val="00510A6D"/>
    <w:rsid w:val="00510B10"/>
    <w:rsid w:val="00510B16"/>
    <w:rsid w:val="00510C25"/>
    <w:rsid w:val="00510C8E"/>
    <w:rsid w:val="00510C95"/>
    <w:rsid w:val="00510CF5"/>
    <w:rsid w:val="00510D0A"/>
    <w:rsid w:val="00510D48"/>
    <w:rsid w:val="00510D5E"/>
    <w:rsid w:val="00510D63"/>
    <w:rsid w:val="00510D70"/>
    <w:rsid w:val="00510D75"/>
    <w:rsid w:val="00510DB8"/>
    <w:rsid w:val="00510DDF"/>
    <w:rsid w:val="00510E70"/>
    <w:rsid w:val="00510EDA"/>
    <w:rsid w:val="00510EE2"/>
    <w:rsid w:val="00510EEA"/>
    <w:rsid w:val="00510F07"/>
    <w:rsid w:val="00510F59"/>
    <w:rsid w:val="00510F5F"/>
    <w:rsid w:val="00510F60"/>
    <w:rsid w:val="00510F9D"/>
    <w:rsid w:val="00510FDF"/>
    <w:rsid w:val="00510FF5"/>
    <w:rsid w:val="00511008"/>
    <w:rsid w:val="0051100E"/>
    <w:rsid w:val="0051101B"/>
    <w:rsid w:val="0051102E"/>
    <w:rsid w:val="0051104C"/>
    <w:rsid w:val="005110DC"/>
    <w:rsid w:val="00511119"/>
    <w:rsid w:val="00511121"/>
    <w:rsid w:val="00511123"/>
    <w:rsid w:val="00511161"/>
    <w:rsid w:val="005111FB"/>
    <w:rsid w:val="00511221"/>
    <w:rsid w:val="00511250"/>
    <w:rsid w:val="00511300"/>
    <w:rsid w:val="0051135E"/>
    <w:rsid w:val="005113BA"/>
    <w:rsid w:val="005113C3"/>
    <w:rsid w:val="0051147F"/>
    <w:rsid w:val="0051149D"/>
    <w:rsid w:val="00511508"/>
    <w:rsid w:val="0051153D"/>
    <w:rsid w:val="005115C2"/>
    <w:rsid w:val="005115CB"/>
    <w:rsid w:val="005115E1"/>
    <w:rsid w:val="00511610"/>
    <w:rsid w:val="0051168A"/>
    <w:rsid w:val="005116C2"/>
    <w:rsid w:val="0051170C"/>
    <w:rsid w:val="0051172C"/>
    <w:rsid w:val="00511758"/>
    <w:rsid w:val="005117B5"/>
    <w:rsid w:val="005117C1"/>
    <w:rsid w:val="005117C9"/>
    <w:rsid w:val="0051182B"/>
    <w:rsid w:val="005118A7"/>
    <w:rsid w:val="0051196A"/>
    <w:rsid w:val="00511974"/>
    <w:rsid w:val="0051198C"/>
    <w:rsid w:val="00511A14"/>
    <w:rsid w:val="00511B1F"/>
    <w:rsid w:val="00511C1F"/>
    <w:rsid w:val="00511CAA"/>
    <w:rsid w:val="00511D20"/>
    <w:rsid w:val="00511D7E"/>
    <w:rsid w:val="00511DBE"/>
    <w:rsid w:val="00511DD3"/>
    <w:rsid w:val="00511DDF"/>
    <w:rsid w:val="00511E02"/>
    <w:rsid w:val="00511E1A"/>
    <w:rsid w:val="00511E6D"/>
    <w:rsid w:val="00511E90"/>
    <w:rsid w:val="00511EB9"/>
    <w:rsid w:val="00511F2F"/>
    <w:rsid w:val="00511F6A"/>
    <w:rsid w:val="00511F76"/>
    <w:rsid w:val="00511FAD"/>
    <w:rsid w:val="00511FEF"/>
    <w:rsid w:val="0051202E"/>
    <w:rsid w:val="00512042"/>
    <w:rsid w:val="00512046"/>
    <w:rsid w:val="00512085"/>
    <w:rsid w:val="00512087"/>
    <w:rsid w:val="0051208F"/>
    <w:rsid w:val="005120B3"/>
    <w:rsid w:val="00512181"/>
    <w:rsid w:val="005121D9"/>
    <w:rsid w:val="0051228D"/>
    <w:rsid w:val="005122D6"/>
    <w:rsid w:val="005122E5"/>
    <w:rsid w:val="0051230F"/>
    <w:rsid w:val="0051248B"/>
    <w:rsid w:val="00512497"/>
    <w:rsid w:val="005124B0"/>
    <w:rsid w:val="00512527"/>
    <w:rsid w:val="0051274B"/>
    <w:rsid w:val="00512754"/>
    <w:rsid w:val="0051275B"/>
    <w:rsid w:val="00512768"/>
    <w:rsid w:val="0051276A"/>
    <w:rsid w:val="00512795"/>
    <w:rsid w:val="005127D3"/>
    <w:rsid w:val="0051288D"/>
    <w:rsid w:val="00512922"/>
    <w:rsid w:val="0051292E"/>
    <w:rsid w:val="0051294E"/>
    <w:rsid w:val="0051295A"/>
    <w:rsid w:val="005129C2"/>
    <w:rsid w:val="00512A06"/>
    <w:rsid w:val="00512A3C"/>
    <w:rsid w:val="00512A4D"/>
    <w:rsid w:val="00512A7F"/>
    <w:rsid w:val="00512ABF"/>
    <w:rsid w:val="00512ACB"/>
    <w:rsid w:val="00512B35"/>
    <w:rsid w:val="00512B64"/>
    <w:rsid w:val="00512BF4"/>
    <w:rsid w:val="00512C27"/>
    <w:rsid w:val="00512C3B"/>
    <w:rsid w:val="00512CBF"/>
    <w:rsid w:val="00512D01"/>
    <w:rsid w:val="00512D30"/>
    <w:rsid w:val="00512D36"/>
    <w:rsid w:val="00512D4E"/>
    <w:rsid w:val="00512DD0"/>
    <w:rsid w:val="00512E0C"/>
    <w:rsid w:val="00512E56"/>
    <w:rsid w:val="00512E9D"/>
    <w:rsid w:val="00512EEC"/>
    <w:rsid w:val="00512F0A"/>
    <w:rsid w:val="00512F2E"/>
    <w:rsid w:val="00512F7A"/>
    <w:rsid w:val="00512FCE"/>
    <w:rsid w:val="0051301D"/>
    <w:rsid w:val="005130A8"/>
    <w:rsid w:val="00513104"/>
    <w:rsid w:val="0051311D"/>
    <w:rsid w:val="0051312D"/>
    <w:rsid w:val="005131A2"/>
    <w:rsid w:val="005131D3"/>
    <w:rsid w:val="005131D9"/>
    <w:rsid w:val="00513214"/>
    <w:rsid w:val="0051328F"/>
    <w:rsid w:val="00513342"/>
    <w:rsid w:val="005134D5"/>
    <w:rsid w:val="005134EE"/>
    <w:rsid w:val="005134EF"/>
    <w:rsid w:val="005134F7"/>
    <w:rsid w:val="0051355A"/>
    <w:rsid w:val="005135A2"/>
    <w:rsid w:val="00513639"/>
    <w:rsid w:val="00513686"/>
    <w:rsid w:val="0051368D"/>
    <w:rsid w:val="00513699"/>
    <w:rsid w:val="005136BD"/>
    <w:rsid w:val="005136EC"/>
    <w:rsid w:val="0051371D"/>
    <w:rsid w:val="00513741"/>
    <w:rsid w:val="00513745"/>
    <w:rsid w:val="0051379F"/>
    <w:rsid w:val="005137B6"/>
    <w:rsid w:val="005137F1"/>
    <w:rsid w:val="0051392E"/>
    <w:rsid w:val="00513948"/>
    <w:rsid w:val="00513967"/>
    <w:rsid w:val="00513987"/>
    <w:rsid w:val="005139BE"/>
    <w:rsid w:val="00513A84"/>
    <w:rsid w:val="00513AA2"/>
    <w:rsid w:val="00513AA6"/>
    <w:rsid w:val="00513AE0"/>
    <w:rsid w:val="00513AE4"/>
    <w:rsid w:val="00513AFC"/>
    <w:rsid w:val="00513B0E"/>
    <w:rsid w:val="00513B5D"/>
    <w:rsid w:val="00513BDD"/>
    <w:rsid w:val="00513BFB"/>
    <w:rsid w:val="00513C2F"/>
    <w:rsid w:val="00513CA9"/>
    <w:rsid w:val="00513CE5"/>
    <w:rsid w:val="00513D01"/>
    <w:rsid w:val="00513D1B"/>
    <w:rsid w:val="00513D76"/>
    <w:rsid w:val="00513D97"/>
    <w:rsid w:val="00513E07"/>
    <w:rsid w:val="00513F3C"/>
    <w:rsid w:val="0051402E"/>
    <w:rsid w:val="0051405A"/>
    <w:rsid w:val="0051408F"/>
    <w:rsid w:val="005140A0"/>
    <w:rsid w:val="005140AB"/>
    <w:rsid w:val="005140C9"/>
    <w:rsid w:val="00514106"/>
    <w:rsid w:val="00514124"/>
    <w:rsid w:val="00514191"/>
    <w:rsid w:val="005141CC"/>
    <w:rsid w:val="00514204"/>
    <w:rsid w:val="00514256"/>
    <w:rsid w:val="0051430C"/>
    <w:rsid w:val="00514342"/>
    <w:rsid w:val="00514378"/>
    <w:rsid w:val="0051437C"/>
    <w:rsid w:val="00514434"/>
    <w:rsid w:val="00514448"/>
    <w:rsid w:val="0051445C"/>
    <w:rsid w:val="0051448D"/>
    <w:rsid w:val="00514497"/>
    <w:rsid w:val="005144B3"/>
    <w:rsid w:val="0051453F"/>
    <w:rsid w:val="00514561"/>
    <w:rsid w:val="00514642"/>
    <w:rsid w:val="005146F8"/>
    <w:rsid w:val="0051474D"/>
    <w:rsid w:val="00514753"/>
    <w:rsid w:val="0051475B"/>
    <w:rsid w:val="005147A3"/>
    <w:rsid w:val="00514875"/>
    <w:rsid w:val="005148D9"/>
    <w:rsid w:val="005148F8"/>
    <w:rsid w:val="0051492F"/>
    <w:rsid w:val="005149CF"/>
    <w:rsid w:val="005149DB"/>
    <w:rsid w:val="00514A50"/>
    <w:rsid w:val="00514A69"/>
    <w:rsid w:val="00514A83"/>
    <w:rsid w:val="00514AB6"/>
    <w:rsid w:val="00514AE4"/>
    <w:rsid w:val="00514B26"/>
    <w:rsid w:val="00514B71"/>
    <w:rsid w:val="00514B95"/>
    <w:rsid w:val="00514C26"/>
    <w:rsid w:val="00514D70"/>
    <w:rsid w:val="00514D77"/>
    <w:rsid w:val="00514D87"/>
    <w:rsid w:val="00514E1F"/>
    <w:rsid w:val="00514EB5"/>
    <w:rsid w:val="00514EE4"/>
    <w:rsid w:val="00514F61"/>
    <w:rsid w:val="00514F7F"/>
    <w:rsid w:val="00514FC1"/>
    <w:rsid w:val="00514FF5"/>
    <w:rsid w:val="0051502E"/>
    <w:rsid w:val="005150CD"/>
    <w:rsid w:val="00515165"/>
    <w:rsid w:val="00515225"/>
    <w:rsid w:val="00515233"/>
    <w:rsid w:val="00515286"/>
    <w:rsid w:val="00515305"/>
    <w:rsid w:val="0051533A"/>
    <w:rsid w:val="005153DA"/>
    <w:rsid w:val="00515415"/>
    <w:rsid w:val="00515436"/>
    <w:rsid w:val="00515492"/>
    <w:rsid w:val="005154E7"/>
    <w:rsid w:val="005154ED"/>
    <w:rsid w:val="0051551C"/>
    <w:rsid w:val="00515546"/>
    <w:rsid w:val="00515554"/>
    <w:rsid w:val="00515594"/>
    <w:rsid w:val="005155AC"/>
    <w:rsid w:val="005155EF"/>
    <w:rsid w:val="005155F8"/>
    <w:rsid w:val="00515618"/>
    <w:rsid w:val="00515640"/>
    <w:rsid w:val="00515658"/>
    <w:rsid w:val="005156AF"/>
    <w:rsid w:val="005156BB"/>
    <w:rsid w:val="005156D8"/>
    <w:rsid w:val="0051572D"/>
    <w:rsid w:val="0051577A"/>
    <w:rsid w:val="005157ED"/>
    <w:rsid w:val="005157FB"/>
    <w:rsid w:val="00515800"/>
    <w:rsid w:val="00515838"/>
    <w:rsid w:val="0051586B"/>
    <w:rsid w:val="00515870"/>
    <w:rsid w:val="00515934"/>
    <w:rsid w:val="0051594C"/>
    <w:rsid w:val="0051595C"/>
    <w:rsid w:val="005159BF"/>
    <w:rsid w:val="00515A0E"/>
    <w:rsid w:val="00515A1E"/>
    <w:rsid w:val="00515A8B"/>
    <w:rsid w:val="00515AAC"/>
    <w:rsid w:val="00515AAD"/>
    <w:rsid w:val="00515AB6"/>
    <w:rsid w:val="00515AE3"/>
    <w:rsid w:val="00515AED"/>
    <w:rsid w:val="00515B0B"/>
    <w:rsid w:val="00515B92"/>
    <w:rsid w:val="00515BA4"/>
    <w:rsid w:val="00515C35"/>
    <w:rsid w:val="00515C60"/>
    <w:rsid w:val="00515CA0"/>
    <w:rsid w:val="00515CE1"/>
    <w:rsid w:val="00515CEB"/>
    <w:rsid w:val="00515D33"/>
    <w:rsid w:val="00515D96"/>
    <w:rsid w:val="00515D9C"/>
    <w:rsid w:val="00515DDC"/>
    <w:rsid w:val="00515DF2"/>
    <w:rsid w:val="00515E42"/>
    <w:rsid w:val="00515EA6"/>
    <w:rsid w:val="00515ED3"/>
    <w:rsid w:val="00515EEC"/>
    <w:rsid w:val="00515F45"/>
    <w:rsid w:val="00515F60"/>
    <w:rsid w:val="00515F62"/>
    <w:rsid w:val="00515FA7"/>
    <w:rsid w:val="00515FAD"/>
    <w:rsid w:val="00515FC7"/>
    <w:rsid w:val="00515FD3"/>
    <w:rsid w:val="0051602F"/>
    <w:rsid w:val="0051604F"/>
    <w:rsid w:val="005160F2"/>
    <w:rsid w:val="005160FD"/>
    <w:rsid w:val="0051610B"/>
    <w:rsid w:val="005161AA"/>
    <w:rsid w:val="005161FD"/>
    <w:rsid w:val="0051621D"/>
    <w:rsid w:val="0051621E"/>
    <w:rsid w:val="0051621F"/>
    <w:rsid w:val="00516262"/>
    <w:rsid w:val="0051630B"/>
    <w:rsid w:val="0051631E"/>
    <w:rsid w:val="0051637C"/>
    <w:rsid w:val="00516402"/>
    <w:rsid w:val="0051643C"/>
    <w:rsid w:val="0051643D"/>
    <w:rsid w:val="00516450"/>
    <w:rsid w:val="0051646F"/>
    <w:rsid w:val="005164B5"/>
    <w:rsid w:val="005164C3"/>
    <w:rsid w:val="0051653E"/>
    <w:rsid w:val="00516578"/>
    <w:rsid w:val="0051660C"/>
    <w:rsid w:val="00516642"/>
    <w:rsid w:val="005166AB"/>
    <w:rsid w:val="005166E5"/>
    <w:rsid w:val="005166FA"/>
    <w:rsid w:val="00516718"/>
    <w:rsid w:val="00516771"/>
    <w:rsid w:val="0051678C"/>
    <w:rsid w:val="005167CC"/>
    <w:rsid w:val="005167F2"/>
    <w:rsid w:val="005168D6"/>
    <w:rsid w:val="00516962"/>
    <w:rsid w:val="005169BF"/>
    <w:rsid w:val="005169F5"/>
    <w:rsid w:val="00516A36"/>
    <w:rsid w:val="00516A72"/>
    <w:rsid w:val="00516AEF"/>
    <w:rsid w:val="00516AF2"/>
    <w:rsid w:val="00516B14"/>
    <w:rsid w:val="00516B47"/>
    <w:rsid w:val="00516C84"/>
    <w:rsid w:val="00516C91"/>
    <w:rsid w:val="00516CAE"/>
    <w:rsid w:val="00516D4B"/>
    <w:rsid w:val="00516D7C"/>
    <w:rsid w:val="00516D81"/>
    <w:rsid w:val="00516DAF"/>
    <w:rsid w:val="00516DE2"/>
    <w:rsid w:val="00516E00"/>
    <w:rsid w:val="00516E12"/>
    <w:rsid w:val="00516E64"/>
    <w:rsid w:val="00516E6F"/>
    <w:rsid w:val="00516EB5"/>
    <w:rsid w:val="00516EB8"/>
    <w:rsid w:val="00516EBA"/>
    <w:rsid w:val="00516EDD"/>
    <w:rsid w:val="00516FEB"/>
    <w:rsid w:val="0051706F"/>
    <w:rsid w:val="00517080"/>
    <w:rsid w:val="00517087"/>
    <w:rsid w:val="0051709A"/>
    <w:rsid w:val="005170EC"/>
    <w:rsid w:val="0051713C"/>
    <w:rsid w:val="00517184"/>
    <w:rsid w:val="00517198"/>
    <w:rsid w:val="005171FA"/>
    <w:rsid w:val="00517321"/>
    <w:rsid w:val="0051732C"/>
    <w:rsid w:val="0051732E"/>
    <w:rsid w:val="00517390"/>
    <w:rsid w:val="005173E1"/>
    <w:rsid w:val="00517433"/>
    <w:rsid w:val="005174B1"/>
    <w:rsid w:val="005174D6"/>
    <w:rsid w:val="00517576"/>
    <w:rsid w:val="00517578"/>
    <w:rsid w:val="005175FD"/>
    <w:rsid w:val="00517630"/>
    <w:rsid w:val="0051766A"/>
    <w:rsid w:val="005176C6"/>
    <w:rsid w:val="005176CA"/>
    <w:rsid w:val="005176DA"/>
    <w:rsid w:val="005176F5"/>
    <w:rsid w:val="005176F8"/>
    <w:rsid w:val="00517714"/>
    <w:rsid w:val="00517736"/>
    <w:rsid w:val="0051776B"/>
    <w:rsid w:val="005177F2"/>
    <w:rsid w:val="00517819"/>
    <w:rsid w:val="0051782C"/>
    <w:rsid w:val="005178B0"/>
    <w:rsid w:val="005178C0"/>
    <w:rsid w:val="005178C4"/>
    <w:rsid w:val="005178DB"/>
    <w:rsid w:val="00517930"/>
    <w:rsid w:val="00517992"/>
    <w:rsid w:val="005179A1"/>
    <w:rsid w:val="005179BC"/>
    <w:rsid w:val="005179BF"/>
    <w:rsid w:val="005179D2"/>
    <w:rsid w:val="005179FF"/>
    <w:rsid w:val="00517A8F"/>
    <w:rsid w:val="00517ACE"/>
    <w:rsid w:val="00517AF4"/>
    <w:rsid w:val="00517B27"/>
    <w:rsid w:val="00517B70"/>
    <w:rsid w:val="00517B9C"/>
    <w:rsid w:val="00517BBE"/>
    <w:rsid w:val="00517C2C"/>
    <w:rsid w:val="00517C7D"/>
    <w:rsid w:val="00517C8A"/>
    <w:rsid w:val="00517D0B"/>
    <w:rsid w:val="00517D16"/>
    <w:rsid w:val="00517D32"/>
    <w:rsid w:val="00517D3C"/>
    <w:rsid w:val="00517D44"/>
    <w:rsid w:val="00517D66"/>
    <w:rsid w:val="00517DD5"/>
    <w:rsid w:val="00517DE3"/>
    <w:rsid w:val="00517E09"/>
    <w:rsid w:val="00517E60"/>
    <w:rsid w:val="00517E91"/>
    <w:rsid w:val="00517ED9"/>
    <w:rsid w:val="00517F33"/>
    <w:rsid w:val="00517FC3"/>
    <w:rsid w:val="00517FC7"/>
    <w:rsid w:val="00517FF8"/>
    <w:rsid w:val="00520020"/>
    <w:rsid w:val="0052004C"/>
    <w:rsid w:val="00520058"/>
    <w:rsid w:val="00520096"/>
    <w:rsid w:val="005200B6"/>
    <w:rsid w:val="005200CC"/>
    <w:rsid w:val="005200D1"/>
    <w:rsid w:val="005200DF"/>
    <w:rsid w:val="005200F7"/>
    <w:rsid w:val="0052011F"/>
    <w:rsid w:val="0052013F"/>
    <w:rsid w:val="0052015E"/>
    <w:rsid w:val="00520196"/>
    <w:rsid w:val="0052019C"/>
    <w:rsid w:val="00520290"/>
    <w:rsid w:val="0052030E"/>
    <w:rsid w:val="0052032F"/>
    <w:rsid w:val="00520374"/>
    <w:rsid w:val="0052040F"/>
    <w:rsid w:val="00520415"/>
    <w:rsid w:val="0052041C"/>
    <w:rsid w:val="00520447"/>
    <w:rsid w:val="00520461"/>
    <w:rsid w:val="00520503"/>
    <w:rsid w:val="00520515"/>
    <w:rsid w:val="00520574"/>
    <w:rsid w:val="00520604"/>
    <w:rsid w:val="00520621"/>
    <w:rsid w:val="00520623"/>
    <w:rsid w:val="0052063F"/>
    <w:rsid w:val="0052068E"/>
    <w:rsid w:val="00520699"/>
    <w:rsid w:val="005206AB"/>
    <w:rsid w:val="005206D7"/>
    <w:rsid w:val="00520790"/>
    <w:rsid w:val="0052079C"/>
    <w:rsid w:val="005207F1"/>
    <w:rsid w:val="005207F7"/>
    <w:rsid w:val="00520803"/>
    <w:rsid w:val="0052082F"/>
    <w:rsid w:val="00520854"/>
    <w:rsid w:val="005208CD"/>
    <w:rsid w:val="005209D5"/>
    <w:rsid w:val="00520A16"/>
    <w:rsid w:val="00520A2A"/>
    <w:rsid w:val="00520A85"/>
    <w:rsid w:val="00520B35"/>
    <w:rsid w:val="00520B3B"/>
    <w:rsid w:val="00520C06"/>
    <w:rsid w:val="00520C3F"/>
    <w:rsid w:val="00520C40"/>
    <w:rsid w:val="00520C70"/>
    <w:rsid w:val="00520C8F"/>
    <w:rsid w:val="00520CA4"/>
    <w:rsid w:val="00520CB5"/>
    <w:rsid w:val="00520CEB"/>
    <w:rsid w:val="00520DB2"/>
    <w:rsid w:val="00520E1B"/>
    <w:rsid w:val="00520E28"/>
    <w:rsid w:val="00520EB3"/>
    <w:rsid w:val="00520EC4"/>
    <w:rsid w:val="00520FDC"/>
    <w:rsid w:val="0052105A"/>
    <w:rsid w:val="00521061"/>
    <w:rsid w:val="005210A5"/>
    <w:rsid w:val="00521137"/>
    <w:rsid w:val="0052114C"/>
    <w:rsid w:val="00521153"/>
    <w:rsid w:val="005211E6"/>
    <w:rsid w:val="005211FB"/>
    <w:rsid w:val="00521246"/>
    <w:rsid w:val="0052124C"/>
    <w:rsid w:val="00521250"/>
    <w:rsid w:val="0052128B"/>
    <w:rsid w:val="0052128D"/>
    <w:rsid w:val="00521324"/>
    <w:rsid w:val="00521386"/>
    <w:rsid w:val="005213B7"/>
    <w:rsid w:val="0052143B"/>
    <w:rsid w:val="00521446"/>
    <w:rsid w:val="005214BF"/>
    <w:rsid w:val="00521536"/>
    <w:rsid w:val="005215A2"/>
    <w:rsid w:val="005215A7"/>
    <w:rsid w:val="005215D1"/>
    <w:rsid w:val="0052162A"/>
    <w:rsid w:val="0052162D"/>
    <w:rsid w:val="00521697"/>
    <w:rsid w:val="005216BA"/>
    <w:rsid w:val="005216C2"/>
    <w:rsid w:val="005216D0"/>
    <w:rsid w:val="005216E8"/>
    <w:rsid w:val="00521730"/>
    <w:rsid w:val="00521749"/>
    <w:rsid w:val="00521765"/>
    <w:rsid w:val="005217B3"/>
    <w:rsid w:val="005217FE"/>
    <w:rsid w:val="00521861"/>
    <w:rsid w:val="0052186D"/>
    <w:rsid w:val="00521903"/>
    <w:rsid w:val="00521905"/>
    <w:rsid w:val="00521946"/>
    <w:rsid w:val="00521A48"/>
    <w:rsid w:val="00521A68"/>
    <w:rsid w:val="00521A82"/>
    <w:rsid w:val="00521A90"/>
    <w:rsid w:val="00521AD5"/>
    <w:rsid w:val="00521AEB"/>
    <w:rsid w:val="00521B3C"/>
    <w:rsid w:val="00521B98"/>
    <w:rsid w:val="00521C21"/>
    <w:rsid w:val="00521C46"/>
    <w:rsid w:val="00521C5B"/>
    <w:rsid w:val="00521CC9"/>
    <w:rsid w:val="00521CD3"/>
    <w:rsid w:val="00521D21"/>
    <w:rsid w:val="00521D76"/>
    <w:rsid w:val="00521E35"/>
    <w:rsid w:val="00521E4B"/>
    <w:rsid w:val="00521E62"/>
    <w:rsid w:val="00521EC4"/>
    <w:rsid w:val="00521EE6"/>
    <w:rsid w:val="00521F1C"/>
    <w:rsid w:val="00521F78"/>
    <w:rsid w:val="00521F8D"/>
    <w:rsid w:val="00521F9E"/>
    <w:rsid w:val="00521FA6"/>
    <w:rsid w:val="00521FF3"/>
    <w:rsid w:val="0052203C"/>
    <w:rsid w:val="00522088"/>
    <w:rsid w:val="005220D1"/>
    <w:rsid w:val="005220F0"/>
    <w:rsid w:val="0052212C"/>
    <w:rsid w:val="0052217A"/>
    <w:rsid w:val="005221AA"/>
    <w:rsid w:val="005221B6"/>
    <w:rsid w:val="00522219"/>
    <w:rsid w:val="00522285"/>
    <w:rsid w:val="005222BA"/>
    <w:rsid w:val="00522329"/>
    <w:rsid w:val="00522361"/>
    <w:rsid w:val="005223B2"/>
    <w:rsid w:val="005223D1"/>
    <w:rsid w:val="0052246D"/>
    <w:rsid w:val="005224A3"/>
    <w:rsid w:val="005224F4"/>
    <w:rsid w:val="00522552"/>
    <w:rsid w:val="005225E8"/>
    <w:rsid w:val="00522674"/>
    <w:rsid w:val="005226C4"/>
    <w:rsid w:val="00522704"/>
    <w:rsid w:val="00522705"/>
    <w:rsid w:val="005227C2"/>
    <w:rsid w:val="005227D4"/>
    <w:rsid w:val="00522839"/>
    <w:rsid w:val="00522890"/>
    <w:rsid w:val="005228A0"/>
    <w:rsid w:val="005228A3"/>
    <w:rsid w:val="005228D0"/>
    <w:rsid w:val="005228F7"/>
    <w:rsid w:val="00522922"/>
    <w:rsid w:val="00522933"/>
    <w:rsid w:val="0052294B"/>
    <w:rsid w:val="00522959"/>
    <w:rsid w:val="00522968"/>
    <w:rsid w:val="0052296B"/>
    <w:rsid w:val="00522986"/>
    <w:rsid w:val="0052299D"/>
    <w:rsid w:val="005229A1"/>
    <w:rsid w:val="005229AA"/>
    <w:rsid w:val="005229F8"/>
    <w:rsid w:val="00522A7B"/>
    <w:rsid w:val="00522AA7"/>
    <w:rsid w:val="00522AC0"/>
    <w:rsid w:val="00522AEC"/>
    <w:rsid w:val="00522B03"/>
    <w:rsid w:val="00522B4C"/>
    <w:rsid w:val="00522B4E"/>
    <w:rsid w:val="00522BB2"/>
    <w:rsid w:val="00522C0F"/>
    <w:rsid w:val="00522C2B"/>
    <w:rsid w:val="00522C58"/>
    <w:rsid w:val="00522C84"/>
    <w:rsid w:val="00522CA2"/>
    <w:rsid w:val="00522D40"/>
    <w:rsid w:val="00522D67"/>
    <w:rsid w:val="00522D87"/>
    <w:rsid w:val="00522E11"/>
    <w:rsid w:val="00522E4E"/>
    <w:rsid w:val="00522E5C"/>
    <w:rsid w:val="00522E92"/>
    <w:rsid w:val="00522F07"/>
    <w:rsid w:val="00522FB9"/>
    <w:rsid w:val="0052306A"/>
    <w:rsid w:val="00523077"/>
    <w:rsid w:val="005230B2"/>
    <w:rsid w:val="00523110"/>
    <w:rsid w:val="00523192"/>
    <w:rsid w:val="0052319E"/>
    <w:rsid w:val="005231DB"/>
    <w:rsid w:val="005231FA"/>
    <w:rsid w:val="00523213"/>
    <w:rsid w:val="00523231"/>
    <w:rsid w:val="00523274"/>
    <w:rsid w:val="005232B7"/>
    <w:rsid w:val="00523349"/>
    <w:rsid w:val="005233A9"/>
    <w:rsid w:val="00523411"/>
    <w:rsid w:val="00523418"/>
    <w:rsid w:val="00523442"/>
    <w:rsid w:val="00523474"/>
    <w:rsid w:val="005234D8"/>
    <w:rsid w:val="005234E3"/>
    <w:rsid w:val="00523563"/>
    <w:rsid w:val="005235CF"/>
    <w:rsid w:val="00523648"/>
    <w:rsid w:val="00523660"/>
    <w:rsid w:val="005236A1"/>
    <w:rsid w:val="005236C6"/>
    <w:rsid w:val="00523704"/>
    <w:rsid w:val="0052372B"/>
    <w:rsid w:val="005237EF"/>
    <w:rsid w:val="0052383D"/>
    <w:rsid w:val="005238F0"/>
    <w:rsid w:val="005239D0"/>
    <w:rsid w:val="00523A16"/>
    <w:rsid w:val="00523A1C"/>
    <w:rsid w:val="00523A5F"/>
    <w:rsid w:val="00523A9C"/>
    <w:rsid w:val="00523ABB"/>
    <w:rsid w:val="00523B01"/>
    <w:rsid w:val="00523B10"/>
    <w:rsid w:val="00523B6B"/>
    <w:rsid w:val="00523B6D"/>
    <w:rsid w:val="00523BAA"/>
    <w:rsid w:val="00523BAC"/>
    <w:rsid w:val="00523BF6"/>
    <w:rsid w:val="00523CB5"/>
    <w:rsid w:val="00523CBB"/>
    <w:rsid w:val="00523CF2"/>
    <w:rsid w:val="00523D2A"/>
    <w:rsid w:val="00523D42"/>
    <w:rsid w:val="00523D9F"/>
    <w:rsid w:val="00523E17"/>
    <w:rsid w:val="00523E20"/>
    <w:rsid w:val="00523E45"/>
    <w:rsid w:val="00523F26"/>
    <w:rsid w:val="00524077"/>
    <w:rsid w:val="005240A2"/>
    <w:rsid w:val="005240AC"/>
    <w:rsid w:val="00524104"/>
    <w:rsid w:val="00524163"/>
    <w:rsid w:val="00524176"/>
    <w:rsid w:val="005241A0"/>
    <w:rsid w:val="005241A3"/>
    <w:rsid w:val="005241CC"/>
    <w:rsid w:val="005241F0"/>
    <w:rsid w:val="0052422F"/>
    <w:rsid w:val="00524249"/>
    <w:rsid w:val="00524342"/>
    <w:rsid w:val="00524370"/>
    <w:rsid w:val="005243FC"/>
    <w:rsid w:val="00524464"/>
    <w:rsid w:val="00524471"/>
    <w:rsid w:val="005244C2"/>
    <w:rsid w:val="005244CF"/>
    <w:rsid w:val="0052453D"/>
    <w:rsid w:val="00524553"/>
    <w:rsid w:val="005245CC"/>
    <w:rsid w:val="005245E9"/>
    <w:rsid w:val="0052467E"/>
    <w:rsid w:val="00524687"/>
    <w:rsid w:val="005246ED"/>
    <w:rsid w:val="00524711"/>
    <w:rsid w:val="00524759"/>
    <w:rsid w:val="005247C6"/>
    <w:rsid w:val="00524813"/>
    <w:rsid w:val="00524832"/>
    <w:rsid w:val="00524858"/>
    <w:rsid w:val="005248C0"/>
    <w:rsid w:val="00524928"/>
    <w:rsid w:val="00524947"/>
    <w:rsid w:val="00524A39"/>
    <w:rsid w:val="00524A3B"/>
    <w:rsid w:val="00524A6D"/>
    <w:rsid w:val="00524AA3"/>
    <w:rsid w:val="00524AA8"/>
    <w:rsid w:val="00524B0C"/>
    <w:rsid w:val="00524B13"/>
    <w:rsid w:val="00524B72"/>
    <w:rsid w:val="00524B7B"/>
    <w:rsid w:val="00524B9A"/>
    <w:rsid w:val="00524BE7"/>
    <w:rsid w:val="00524C0B"/>
    <w:rsid w:val="00524C4F"/>
    <w:rsid w:val="00524C71"/>
    <w:rsid w:val="00524C7B"/>
    <w:rsid w:val="00524D8A"/>
    <w:rsid w:val="00524DCF"/>
    <w:rsid w:val="00524DE0"/>
    <w:rsid w:val="00524E0E"/>
    <w:rsid w:val="00524E82"/>
    <w:rsid w:val="00524ECF"/>
    <w:rsid w:val="00524F02"/>
    <w:rsid w:val="00524F58"/>
    <w:rsid w:val="00524FB1"/>
    <w:rsid w:val="00525038"/>
    <w:rsid w:val="00525045"/>
    <w:rsid w:val="005250B8"/>
    <w:rsid w:val="005250EF"/>
    <w:rsid w:val="0052515D"/>
    <w:rsid w:val="005251A5"/>
    <w:rsid w:val="00525284"/>
    <w:rsid w:val="005252A9"/>
    <w:rsid w:val="00525319"/>
    <w:rsid w:val="00525350"/>
    <w:rsid w:val="0052536C"/>
    <w:rsid w:val="005253BF"/>
    <w:rsid w:val="005255F4"/>
    <w:rsid w:val="00525684"/>
    <w:rsid w:val="00525780"/>
    <w:rsid w:val="00525832"/>
    <w:rsid w:val="00525847"/>
    <w:rsid w:val="005258C6"/>
    <w:rsid w:val="005258CF"/>
    <w:rsid w:val="00525A00"/>
    <w:rsid w:val="00525A47"/>
    <w:rsid w:val="00525A67"/>
    <w:rsid w:val="00525A97"/>
    <w:rsid w:val="00525AC7"/>
    <w:rsid w:val="00525ADE"/>
    <w:rsid w:val="00525AE2"/>
    <w:rsid w:val="00525B1F"/>
    <w:rsid w:val="00525B54"/>
    <w:rsid w:val="00525B61"/>
    <w:rsid w:val="00525B62"/>
    <w:rsid w:val="00525BA8"/>
    <w:rsid w:val="00525BD0"/>
    <w:rsid w:val="00525C3D"/>
    <w:rsid w:val="00525C62"/>
    <w:rsid w:val="00525CAE"/>
    <w:rsid w:val="00525CDE"/>
    <w:rsid w:val="00525D76"/>
    <w:rsid w:val="00525DEE"/>
    <w:rsid w:val="00525DF2"/>
    <w:rsid w:val="00525E02"/>
    <w:rsid w:val="00525E85"/>
    <w:rsid w:val="00525E8E"/>
    <w:rsid w:val="00525EC3"/>
    <w:rsid w:val="00525ED7"/>
    <w:rsid w:val="00525F3F"/>
    <w:rsid w:val="00525F5A"/>
    <w:rsid w:val="00525FB4"/>
    <w:rsid w:val="00525FD0"/>
    <w:rsid w:val="00525FD5"/>
    <w:rsid w:val="00525FF4"/>
    <w:rsid w:val="00525FFD"/>
    <w:rsid w:val="00526037"/>
    <w:rsid w:val="005260A3"/>
    <w:rsid w:val="005260C9"/>
    <w:rsid w:val="00526142"/>
    <w:rsid w:val="00526154"/>
    <w:rsid w:val="005261A6"/>
    <w:rsid w:val="005261F2"/>
    <w:rsid w:val="005261FC"/>
    <w:rsid w:val="0052621F"/>
    <w:rsid w:val="00526282"/>
    <w:rsid w:val="0052632A"/>
    <w:rsid w:val="00526330"/>
    <w:rsid w:val="0052635A"/>
    <w:rsid w:val="00526362"/>
    <w:rsid w:val="00526378"/>
    <w:rsid w:val="005263D7"/>
    <w:rsid w:val="005263E6"/>
    <w:rsid w:val="00526421"/>
    <w:rsid w:val="00526465"/>
    <w:rsid w:val="00526467"/>
    <w:rsid w:val="00526468"/>
    <w:rsid w:val="005264B1"/>
    <w:rsid w:val="005264CC"/>
    <w:rsid w:val="00526502"/>
    <w:rsid w:val="0052651E"/>
    <w:rsid w:val="00526532"/>
    <w:rsid w:val="00526549"/>
    <w:rsid w:val="00526620"/>
    <w:rsid w:val="00526623"/>
    <w:rsid w:val="005266CF"/>
    <w:rsid w:val="005266F9"/>
    <w:rsid w:val="0052670A"/>
    <w:rsid w:val="00526741"/>
    <w:rsid w:val="00526790"/>
    <w:rsid w:val="00526791"/>
    <w:rsid w:val="005267A2"/>
    <w:rsid w:val="0052681B"/>
    <w:rsid w:val="00526846"/>
    <w:rsid w:val="0052687D"/>
    <w:rsid w:val="00526923"/>
    <w:rsid w:val="00526940"/>
    <w:rsid w:val="00526A04"/>
    <w:rsid w:val="00526A38"/>
    <w:rsid w:val="00526A4A"/>
    <w:rsid w:val="00526A93"/>
    <w:rsid w:val="00526AC7"/>
    <w:rsid w:val="00526ACF"/>
    <w:rsid w:val="00526B1F"/>
    <w:rsid w:val="00526B20"/>
    <w:rsid w:val="00526B89"/>
    <w:rsid w:val="00526C25"/>
    <w:rsid w:val="00526C7E"/>
    <w:rsid w:val="00526CC3"/>
    <w:rsid w:val="00526D8D"/>
    <w:rsid w:val="00526DA2"/>
    <w:rsid w:val="00526DBA"/>
    <w:rsid w:val="00526E54"/>
    <w:rsid w:val="00526E73"/>
    <w:rsid w:val="00526EB3"/>
    <w:rsid w:val="00526ECC"/>
    <w:rsid w:val="00526F27"/>
    <w:rsid w:val="00526F76"/>
    <w:rsid w:val="0052705F"/>
    <w:rsid w:val="00527068"/>
    <w:rsid w:val="00527078"/>
    <w:rsid w:val="005270CC"/>
    <w:rsid w:val="0052718B"/>
    <w:rsid w:val="005271BA"/>
    <w:rsid w:val="0052726C"/>
    <w:rsid w:val="005272AE"/>
    <w:rsid w:val="005272BD"/>
    <w:rsid w:val="005272C3"/>
    <w:rsid w:val="005272E5"/>
    <w:rsid w:val="00527313"/>
    <w:rsid w:val="00527358"/>
    <w:rsid w:val="00527391"/>
    <w:rsid w:val="00527393"/>
    <w:rsid w:val="00527394"/>
    <w:rsid w:val="005273C1"/>
    <w:rsid w:val="005273C2"/>
    <w:rsid w:val="005273FB"/>
    <w:rsid w:val="0052743D"/>
    <w:rsid w:val="00527480"/>
    <w:rsid w:val="00527493"/>
    <w:rsid w:val="005274A6"/>
    <w:rsid w:val="005274A9"/>
    <w:rsid w:val="0052753F"/>
    <w:rsid w:val="005275E5"/>
    <w:rsid w:val="00527682"/>
    <w:rsid w:val="00527691"/>
    <w:rsid w:val="005276A0"/>
    <w:rsid w:val="005276DA"/>
    <w:rsid w:val="005276DD"/>
    <w:rsid w:val="005277B3"/>
    <w:rsid w:val="005277C3"/>
    <w:rsid w:val="005277E0"/>
    <w:rsid w:val="005277EF"/>
    <w:rsid w:val="005277FE"/>
    <w:rsid w:val="005278AA"/>
    <w:rsid w:val="005278E2"/>
    <w:rsid w:val="00527904"/>
    <w:rsid w:val="00527930"/>
    <w:rsid w:val="00527962"/>
    <w:rsid w:val="00527A12"/>
    <w:rsid w:val="00527A63"/>
    <w:rsid w:val="00527A87"/>
    <w:rsid w:val="00527ABA"/>
    <w:rsid w:val="00527B07"/>
    <w:rsid w:val="00527BB0"/>
    <w:rsid w:val="00527BB7"/>
    <w:rsid w:val="00527C27"/>
    <w:rsid w:val="00527C2A"/>
    <w:rsid w:val="00527C52"/>
    <w:rsid w:val="00527E52"/>
    <w:rsid w:val="00527E54"/>
    <w:rsid w:val="00527E73"/>
    <w:rsid w:val="00527F85"/>
    <w:rsid w:val="00527F96"/>
    <w:rsid w:val="00527FCB"/>
    <w:rsid w:val="00527FCE"/>
    <w:rsid w:val="00527FDD"/>
    <w:rsid w:val="00527FE5"/>
    <w:rsid w:val="00530029"/>
    <w:rsid w:val="00530063"/>
    <w:rsid w:val="00530109"/>
    <w:rsid w:val="005301A1"/>
    <w:rsid w:val="005301A2"/>
    <w:rsid w:val="005302BA"/>
    <w:rsid w:val="005302D9"/>
    <w:rsid w:val="005302EA"/>
    <w:rsid w:val="005302ED"/>
    <w:rsid w:val="00530327"/>
    <w:rsid w:val="00530397"/>
    <w:rsid w:val="00530413"/>
    <w:rsid w:val="00530465"/>
    <w:rsid w:val="005304E0"/>
    <w:rsid w:val="005304F5"/>
    <w:rsid w:val="00530516"/>
    <w:rsid w:val="0053058B"/>
    <w:rsid w:val="005305D8"/>
    <w:rsid w:val="005305DB"/>
    <w:rsid w:val="00530601"/>
    <w:rsid w:val="0053060E"/>
    <w:rsid w:val="00530624"/>
    <w:rsid w:val="005306D0"/>
    <w:rsid w:val="005306DF"/>
    <w:rsid w:val="00530722"/>
    <w:rsid w:val="00530737"/>
    <w:rsid w:val="005307D4"/>
    <w:rsid w:val="005307FB"/>
    <w:rsid w:val="0053080A"/>
    <w:rsid w:val="005308AF"/>
    <w:rsid w:val="005308D4"/>
    <w:rsid w:val="00530936"/>
    <w:rsid w:val="00530975"/>
    <w:rsid w:val="00530988"/>
    <w:rsid w:val="00530A85"/>
    <w:rsid w:val="00530AB9"/>
    <w:rsid w:val="00530AC6"/>
    <w:rsid w:val="00530B02"/>
    <w:rsid w:val="00530B32"/>
    <w:rsid w:val="00530B39"/>
    <w:rsid w:val="00530B51"/>
    <w:rsid w:val="00530B52"/>
    <w:rsid w:val="00530BDE"/>
    <w:rsid w:val="00530CCA"/>
    <w:rsid w:val="00530CF3"/>
    <w:rsid w:val="00530D09"/>
    <w:rsid w:val="00530D21"/>
    <w:rsid w:val="00530D3A"/>
    <w:rsid w:val="00530D41"/>
    <w:rsid w:val="00530D47"/>
    <w:rsid w:val="00530D5D"/>
    <w:rsid w:val="00530DC2"/>
    <w:rsid w:val="00530DE6"/>
    <w:rsid w:val="00530E15"/>
    <w:rsid w:val="00530E8D"/>
    <w:rsid w:val="00530EA1"/>
    <w:rsid w:val="00530F03"/>
    <w:rsid w:val="00530F5F"/>
    <w:rsid w:val="00530FA3"/>
    <w:rsid w:val="00530FEE"/>
    <w:rsid w:val="00531003"/>
    <w:rsid w:val="00531007"/>
    <w:rsid w:val="0053106B"/>
    <w:rsid w:val="00531084"/>
    <w:rsid w:val="005310B4"/>
    <w:rsid w:val="005310D9"/>
    <w:rsid w:val="00531142"/>
    <w:rsid w:val="00531145"/>
    <w:rsid w:val="005311A3"/>
    <w:rsid w:val="005311F0"/>
    <w:rsid w:val="00531320"/>
    <w:rsid w:val="005313BB"/>
    <w:rsid w:val="00531407"/>
    <w:rsid w:val="00531463"/>
    <w:rsid w:val="00531485"/>
    <w:rsid w:val="005314A6"/>
    <w:rsid w:val="005314D0"/>
    <w:rsid w:val="005314FA"/>
    <w:rsid w:val="0053156B"/>
    <w:rsid w:val="0053159B"/>
    <w:rsid w:val="005315E5"/>
    <w:rsid w:val="005315EB"/>
    <w:rsid w:val="00531608"/>
    <w:rsid w:val="00531623"/>
    <w:rsid w:val="0053173A"/>
    <w:rsid w:val="00531745"/>
    <w:rsid w:val="0053174B"/>
    <w:rsid w:val="00531759"/>
    <w:rsid w:val="0053177D"/>
    <w:rsid w:val="00531806"/>
    <w:rsid w:val="0053182F"/>
    <w:rsid w:val="005318A5"/>
    <w:rsid w:val="005318B7"/>
    <w:rsid w:val="0053195C"/>
    <w:rsid w:val="00531997"/>
    <w:rsid w:val="005319CC"/>
    <w:rsid w:val="00531A27"/>
    <w:rsid w:val="00531A65"/>
    <w:rsid w:val="00531AF8"/>
    <w:rsid w:val="00531B77"/>
    <w:rsid w:val="00531C11"/>
    <w:rsid w:val="00531C78"/>
    <w:rsid w:val="00531CF7"/>
    <w:rsid w:val="00531D80"/>
    <w:rsid w:val="00531D82"/>
    <w:rsid w:val="00531DAE"/>
    <w:rsid w:val="00531DB6"/>
    <w:rsid w:val="00531E40"/>
    <w:rsid w:val="00531E60"/>
    <w:rsid w:val="00531E95"/>
    <w:rsid w:val="00531EA2"/>
    <w:rsid w:val="00531EB1"/>
    <w:rsid w:val="00531F3F"/>
    <w:rsid w:val="00531F62"/>
    <w:rsid w:val="00531FCA"/>
    <w:rsid w:val="00532016"/>
    <w:rsid w:val="00532056"/>
    <w:rsid w:val="005320A6"/>
    <w:rsid w:val="005320BA"/>
    <w:rsid w:val="005320E9"/>
    <w:rsid w:val="005320F4"/>
    <w:rsid w:val="00532200"/>
    <w:rsid w:val="0053221C"/>
    <w:rsid w:val="00532256"/>
    <w:rsid w:val="00532291"/>
    <w:rsid w:val="00532367"/>
    <w:rsid w:val="0053237F"/>
    <w:rsid w:val="00532382"/>
    <w:rsid w:val="005323CD"/>
    <w:rsid w:val="005323DC"/>
    <w:rsid w:val="00532449"/>
    <w:rsid w:val="00532455"/>
    <w:rsid w:val="005324B7"/>
    <w:rsid w:val="005324E1"/>
    <w:rsid w:val="0053254F"/>
    <w:rsid w:val="00532582"/>
    <w:rsid w:val="005325E9"/>
    <w:rsid w:val="00532614"/>
    <w:rsid w:val="0053261A"/>
    <w:rsid w:val="0053264C"/>
    <w:rsid w:val="00532694"/>
    <w:rsid w:val="005327BC"/>
    <w:rsid w:val="00532825"/>
    <w:rsid w:val="0053284F"/>
    <w:rsid w:val="00532868"/>
    <w:rsid w:val="00532870"/>
    <w:rsid w:val="005328AA"/>
    <w:rsid w:val="005328C4"/>
    <w:rsid w:val="00532901"/>
    <w:rsid w:val="00532959"/>
    <w:rsid w:val="00532978"/>
    <w:rsid w:val="0053297F"/>
    <w:rsid w:val="00532990"/>
    <w:rsid w:val="005329C5"/>
    <w:rsid w:val="005329FC"/>
    <w:rsid w:val="005329FF"/>
    <w:rsid w:val="00532A28"/>
    <w:rsid w:val="00532A6E"/>
    <w:rsid w:val="00532BB7"/>
    <w:rsid w:val="00532C13"/>
    <w:rsid w:val="00532C17"/>
    <w:rsid w:val="00532C24"/>
    <w:rsid w:val="00532C62"/>
    <w:rsid w:val="00532CB1"/>
    <w:rsid w:val="00532CB6"/>
    <w:rsid w:val="00532CCC"/>
    <w:rsid w:val="00532CED"/>
    <w:rsid w:val="00532D18"/>
    <w:rsid w:val="00532D1A"/>
    <w:rsid w:val="00532D22"/>
    <w:rsid w:val="00532D62"/>
    <w:rsid w:val="00532DE2"/>
    <w:rsid w:val="00532E09"/>
    <w:rsid w:val="00532E4C"/>
    <w:rsid w:val="00532EA9"/>
    <w:rsid w:val="00532EAF"/>
    <w:rsid w:val="00532EDD"/>
    <w:rsid w:val="00532FA7"/>
    <w:rsid w:val="00533030"/>
    <w:rsid w:val="00533048"/>
    <w:rsid w:val="0053309B"/>
    <w:rsid w:val="00533136"/>
    <w:rsid w:val="00533178"/>
    <w:rsid w:val="00533196"/>
    <w:rsid w:val="005331D9"/>
    <w:rsid w:val="005331F8"/>
    <w:rsid w:val="00533227"/>
    <w:rsid w:val="00533257"/>
    <w:rsid w:val="00533269"/>
    <w:rsid w:val="00533286"/>
    <w:rsid w:val="00533297"/>
    <w:rsid w:val="005332F0"/>
    <w:rsid w:val="00533318"/>
    <w:rsid w:val="00533344"/>
    <w:rsid w:val="005333F4"/>
    <w:rsid w:val="0053347F"/>
    <w:rsid w:val="0053348C"/>
    <w:rsid w:val="005334AD"/>
    <w:rsid w:val="005334D3"/>
    <w:rsid w:val="005334DE"/>
    <w:rsid w:val="00533515"/>
    <w:rsid w:val="0053352B"/>
    <w:rsid w:val="00533568"/>
    <w:rsid w:val="0053356F"/>
    <w:rsid w:val="00533570"/>
    <w:rsid w:val="0053359A"/>
    <w:rsid w:val="00533647"/>
    <w:rsid w:val="005336EB"/>
    <w:rsid w:val="0053371F"/>
    <w:rsid w:val="0053372C"/>
    <w:rsid w:val="00533749"/>
    <w:rsid w:val="0053392E"/>
    <w:rsid w:val="0053394C"/>
    <w:rsid w:val="00533955"/>
    <w:rsid w:val="00533AE6"/>
    <w:rsid w:val="00533BE3"/>
    <w:rsid w:val="00533C53"/>
    <w:rsid w:val="00533C5B"/>
    <w:rsid w:val="00533C63"/>
    <w:rsid w:val="00533C77"/>
    <w:rsid w:val="00533D5B"/>
    <w:rsid w:val="00533DBF"/>
    <w:rsid w:val="00533E8F"/>
    <w:rsid w:val="00533E9A"/>
    <w:rsid w:val="00533F3F"/>
    <w:rsid w:val="00533FC7"/>
    <w:rsid w:val="00534055"/>
    <w:rsid w:val="0053410E"/>
    <w:rsid w:val="0053415D"/>
    <w:rsid w:val="00534165"/>
    <w:rsid w:val="0053416C"/>
    <w:rsid w:val="00534239"/>
    <w:rsid w:val="0053423D"/>
    <w:rsid w:val="00534249"/>
    <w:rsid w:val="00534285"/>
    <w:rsid w:val="00534292"/>
    <w:rsid w:val="005342B4"/>
    <w:rsid w:val="005342F1"/>
    <w:rsid w:val="00534319"/>
    <w:rsid w:val="00534321"/>
    <w:rsid w:val="00534329"/>
    <w:rsid w:val="0053443B"/>
    <w:rsid w:val="0053445E"/>
    <w:rsid w:val="0053446B"/>
    <w:rsid w:val="0053449A"/>
    <w:rsid w:val="00534542"/>
    <w:rsid w:val="00534577"/>
    <w:rsid w:val="0053462D"/>
    <w:rsid w:val="00534639"/>
    <w:rsid w:val="0053464E"/>
    <w:rsid w:val="005346CB"/>
    <w:rsid w:val="005346D8"/>
    <w:rsid w:val="005346E6"/>
    <w:rsid w:val="0053472B"/>
    <w:rsid w:val="005347E5"/>
    <w:rsid w:val="00534823"/>
    <w:rsid w:val="00534826"/>
    <w:rsid w:val="005348A0"/>
    <w:rsid w:val="005348AE"/>
    <w:rsid w:val="00534915"/>
    <w:rsid w:val="00534976"/>
    <w:rsid w:val="005349D1"/>
    <w:rsid w:val="00534A27"/>
    <w:rsid w:val="00534A54"/>
    <w:rsid w:val="00534A86"/>
    <w:rsid w:val="00534AC5"/>
    <w:rsid w:val="00534BDD"/>
    <w:rsid w:val="00534D5F"/>
    <w:rsid w:val="00534DC1"/>
    <w:rsid w:val="00534DEF"/>
    <w:rsid w:val="00534F78"/>
    <w:rsid w:val="0053500F"/>
    <w:rsid w:val="00535036"/>
    <w:rsid w:val="0053503A"/>
    <w:rsid w:val="005350A1"/>
    <w:rsid w:val="00535259"/>
    <w:rsid w:val="00535276"/>
    <w:rsid w:val="00535289"/>
    <w:rsid w:val="005352B1"/>
    <w:rsid w:val="005352BD"/>
    <w:rsid w:val="005352C1"/>
    <w:rsid w:val="005352D7"/>
    <w:rsid w:val="005352FC"/>
    <w:rsid w:val="005353C8"/>
    <w:rsid w:val="005353F7"/>
    <w:rsid w:val="00535423"/>
    <w:rsid w:val="00535544"/>
    <w:rsid w:val="00535599"/>
    <w:rsid w:val="0053560F"/>
    <w:rsid w:val="0053562E"/>
    <w:rsid w:val="00535651"/>
    <w:rsid w:val="00535652"/>
    <w:rsid w:val="00535674"/>
    <w:rsid w:val="005356E6"/>
    <w:rsid w:val="005356F9"/>
    <w:rsid w:val="0053570D"/>
    <w:rsid w:val="0053570E"/>
    <w:rsid w:val="0053570F"/>
    <w:rsid w:val="00535734"/>
    <w:rsid w:val="00535739"/>
    <w:rsid w:val="0053579E"/>
    <w:rsid w:val="00535879"/>
    <w:rsid w:val="005358A5"/>
    <w:rsid w:val="005358BF"/>
    <w:rsid w:val="005358E1"/>
    <w:rsid w:val="00535935"/>
    <w:rsid w:val="00535998"/>
    <w:rsid w:val="00535AE6"/>
    <w:rsid w:val="00535B17"/>
    <w:rsid w:val="00535C96"/>
    <w:rsid w:val="00535CC8"/>
    <w:rsid w:val="00535CCC"/>
    <w:rsid w:val="00535D6E"/>
    <w:rsid w:val="00535DA3"/>
    <w:rsid w:val="00535DA4"/>
    <w:rsid w:val="00535DCB"/>
    <w:rsid w:val="00535DD2"/>
    <w:rsid w:val="00535EEA"/>
    <w:rsid w:val="00535F40"/>
    <w:rsid w:val="00535FB2"/>
    <w:rsid w:val="00535FC2"/>
    <w:rsid w:val="00535FC3"/>
    <w:rsid w:val="00535FE1"/>
    <w:rsid w:val="00536030"/>
    <w:rsid w:val="0053603C"/>
    <w:rsid w:val="00536049"/>
    <w:rsid w:val="0053604E"/>
    <w:rsid w:val="00536073"/>
    <w:rsid w:val="0053608C"/>
    <w:rsid w:val="005360B8"/>
    <w:rsid w:val="005360BA"/>
    <w:rsid w:val="005360D9"/>
    <w:rsid w:val="00536102"/>
    <w:rsid w:val="0053610E"/>
    <w:rsid w:val="00536150"/>
    <w:rsid w:val="0053624B"/>
    <w:rsid w:val="0053626F"/>
    <w:rsid w:val="005362C9"/>
    <w:rsid w:val="005362DD"/>
    <w:rsid w:val="005362E5"/>
    <w:rsid w:val="00536304"/>
    <w:rsid w:val="00536376"/>
    <w:rsid w:val="00536379"/>
    <w:rsid w:val="00536464"/>
    <w:rsid w:val="00536472"/>
    <w:rsid w:val="005364B7"/>
    <w:rsid w:val="005364CB"/>
    <w:rsid w:val="005364F6"/>
    <w:rsid w:val="0053650D"/>
    <w:rsid w:val="00536529"/>
    <w:rsid w:val="0053653B"/>
    <w:rsid w:val="005365C8"/>
    <w:rsid w:val="00536663"/>
    <w:rsid w:val="00536688"/>
    <w:rsid w:val="005366A4"/>
    <w:rsid w:val="005366C2"/>
    <w:rsid w:val="005366CB"/>
    <w:rsid w:val="005366FF"/>
    <w:rsid w:val="00536715"/>
    <w:rsid w:val="00536741"/>
    <w:rsid w:val="00536783"/>
    <w:rsid w:val="005367AE"/>
    <w:rsid w:val="005367C0"/>
    <w:rsid w:val="00536958"/>
    <w:rsid w:val="0053695D"/>
    <w:rsid w:val="005369A4"/>
    <w:rsid w:val="005369DD"/>
    <w:rsid w:val="005369F2"/>
    <w:rsid w:val="00536AC9"/>
    <w:rsid w:val="00536ACF"/>
    <w:rsid w:val="00536AD3"/>
    <w:rsid w:val="00536ADA"/>
    <w:rsid w:val="00536B7F"/>
    <w:rsid w:val="00536BDA"/>
    <w:rsid w:val="00536BF7"/>
    <w:rsid w:val="00536BFF"/>
    <w:rsid w:val="00536C0A"/>
    <w:rsid w:val="00536C5B"/>
    <w:rsid w:val="00536C5E"/>
    <w:rsid w:val="00536C64"/>
    <w:rsid w:val="00536D4C"/>
    <w:rsid w:val="00536D51"/>
    <w:rsid w:val="00536E01"/>
    <w:rsid w:val="00536E51"/>
    <w:rsid w:val="00536EF1"/>
    <w:rsid w:val="00536F04"/>
    <w:rsid w:val="00536FD2"/>
    <w:rsid w:val="00536FE5"/>
    <w:rsid w:val="00537006"/>
    <w:rsid w:val="0053702D"/>
    <w:rsid w:val="00537108"/>
    <w:rsid w:val="0053718C"/>
    <w:rsid w:val="005371B2"/>
    <w:rsid w:val="005371C5"/>
    <w:rsid w:val="005371D8"/>
    <w:rsid w:val="00537203"/>
    <w:rsid w:val="0053725A"/>
    <w:rsid w:val="005372F0"/>
    <w:rsid w:val="00537356"/>
    <w:rsid w:val="00537373"/>
    <w:rsid w:val="005373A6"/>
    <w:rsid w:val="00537408"/>
    <w:rsid w:val="00537486"/>
    <w:rsid w:val="00537499"/>
    <w:rsid w:val="005374E2"/>
    <w:rsid w:val="00537503"/>
    <w:rsid w:val="00537585"/>
    <w:rsid w:val="0053759A"/>
    <w:rsid w:val="005375D5"/>
    <w:rsid w:val="00537607"/>
    <w:rsid w:val="00537676"/>
    <w:rsid w:val="00537697"/>
    <w:rsid w:val="00537724"/>
    <w:rsid w:val="00537748"/>
    <w:rsid w:val="0053777C"/>
    <w:rsid w:val="005377AF"/>
    <w:rsid w:val="005377C0"/>
    <w:rsid w:val="005377FB"/>
    <w:rsid w:val="00537804"/>
    <w:rsid w:val="00537814"/>
    <w:rsid w:val="00537836"/>
    <w:rsid w:val="00537879"/>
    <w:rsid w:val="005378E5"/>
    <w:rsid w:val="00537982"/>
    <w:rsid w:val="005379EC"/>
    <w:rsid w:val="00537A51"/>
    <w:rsid w:val="00537A6D"/>
    <w:rsid w:val="00537AAF"/>
    <w:rsid w:val="00537B33"/>
    <w:rsid w:val="00537BA0"/>
    <w:rsid w:val="00537BF4"/>
    <w:rsid w:val="00537C0E"/>
    <w:rsid w:val="00537CD9"/>
    <w:rsid w:val="00537CF0"/>
    <w:rsid w:val="00537DD6"/>
    <w:rsid w:val="00537DDE"/>
    <w:rsid w:val="00537E03"/>
    <w:rsid w:val="00537E05"/>
    <w:rsid w:val="00537E7F"/>
    <w:rsid w:val="00537EEC"/>
    <w:rsid w:val="00537F2F"/>
    <w:rsid w:val="00537F78"/>
    <w:rsid w:val="00540010"/>
    <w:rsid w:val="00540050"/>
    <w:rsid w:val="00540054"/>
    <w:rsid w:val="00540057"/>
    <w:rsid w:val="0054005D"/>
    <w:rsid w:val="0054005E"/>
    <w:rsid w:val="00540061"/>
    <w:rsid w:val="005400A1"/>
    <w:rsid w:val="005400C5"/>
    <w:rsid w:val="005400E9"/>
    <w:rsid w:val="0054011A"/>
    <w:rsid w:val="00540145"/>
    <w:rsid w:val="0054020F"/>
    <w:rsid w:val="0054024C"/>
    <w:rsid w:val="00540258"/>
    <w:rsid w:val="00540264"/>
    <w:rsid w:val="0054033F"/>
    <w:rsid w:val="0054034B"/>
    <w:rsid w:val="0054035E"/>
    <w:rsid w:val="00540384"/>
    <w:rsid w:val="005403A1"/>
    <w:rsid w:val="005403BD"/>
    <w:rsid w:val="00540410"/>
    <w:rsid w:val="00540434"/>
    <w:rsid w:val="00540470"/>
    <w:rsid w:val="0054047D"/>
    <w:rsid w:val="005404C6"/>
    <w:rsid w:val="005404F0"/>
    <w:rsid w:val="0054055C"/>
    <w:rsid w:val="005405E1"/>
    <w:rsid w:val="005405E3"/>
    <w:rsid w:val="005405F8"/>
    <w:rsid w:val="00540639"/>
    <w:rsid w:val="00540704"/>
    <w:rsid w:val="00540715"/>
    <w:rsid w:val="0054075E"/>
    <w:rsid w:val="00540768"/>
    <w:rsid w:val="005407DF"/>
    <w:rsid w:val="00540803"/>
    <w:rsid w:val="0054084B"/>
    <w:rsid w:val="00540866"/>
    <w:rsid w:val="005408A3"/>
    <w:rsid w:val="005408B8"/>
    <w:rsid w:val="005408BD"/>
    <w:rsid w:val="0054096B"/>
    <w:rsid w:val="00540984"/>
    <w:rsid w:val="005409B2"/>
    <w:rsid w:val="005409CA"/>
    <w:rsid w:val="005409E3"/>
    <w:rsid w:val="00540A5C"/>
    <w:rsid w:val="00540A69"/>
    <w:rsid w:val="00540ACB"/>
    <w:rsid w:val="00540B0C"/>
    <w:rsid w:val="00540B5D"/>
    <w:rsid w:val="00540B62"/>
    <w:rsid w:val="00540BAE"/>
    <w:rsid w:val="00540BCC"/>
    <w:rsid w:val="00540C05"/>
    <w:rsid w:val="00540C08"/>
    <w:rsid w:val="00540C13"/>
    <w:rsid w:val="00540C6D"/>
    <w:rsid w:val="00540CBD"/>
    <w:rsid w:val="00540CC5"/>
    <w:rsid w:val="00540CEE"/>
    <w:rsid w:val="00540D1F"/>
    <w:rsid w:val="00540D7D"/>
    <w:rsid w:val="00540D95"/>
    <w:rsid w:val="00540E39"/>
    <w:rsid w:val="00540E3F"/>
    <w:rsid w:val="00540E45"/>
    <w:rsid w:val="00540E8D"/>
    <w:rsid w:val="00540E9A"/>
    <w:rsid w:val="00540ED0"/>
    <w:rsid w:val="00540EDF"/>
    <w:rsid w:val="00540F06"/>
    <w:rsid w:val="00540F26"/>
    <w:rsid w:val="00540F44"/>
    <w:rsid w:val="00540F4E"/>
    <w:rsid w:val="00540F5D"/>
    <w:rsid w:val="00540F6C"/>
    <w:rsid w:val="00540FA3"/>
    <w:rsid w:val="00540FB9"/>
    <w:rsid w:val="00540FE5"/>
    <w:rsid w:val="00541008"/>
    <w:rsid w:val="0054104D"/>
    <w:rsid w:val="00541095"/>
    <w:rsid w:val="005410F2"/>
    <w:rsid w:val="00541115"/>
    <w:rsid w:val="00541136"/>
    <w:rsid w:val="00541166"/>
    <w:rsid w:val="0054117C"/>
    <w:rsid w:val="0054117D"/>
    <w:rsid w:val="0054117F"/>
    <w:rsid w:val="005411C1"/>
    <w:rsid w:val="005411E8"/>
    <w:rsid w:val="0054120A"/>
    <w:rsid w:val="00541220"/>
    <w:rsid w:val="005412EF"/>
    <w:rsid w:val="00541307"/>
    <w:rsid w:val="00541367"/>
    <w:rsid w:val="00541410"/>
    <w:rsid w:val="0054144D"/>
    <w:rsid w:val="005414E6"/>
    <w:rsid w:val="00541596"/>
    <w:rsid w:val="005415F0"/>
    <w:rsid w:val="0054166B"/>
    <w:rsid w:val="00541754"/>
    <w:rsid w:val="00541757"/>
    <w:rsid w:val="005417F1"/>
    <w:rsid w:val="005417F9"/>
    <w:rsid w:val="00541852"/>
    <w:rsid w:val="00541868"/>
    <w:rsid w:val="00541905"/>
    <w:rsid w:val="00541927"/>
    <w:rsid w:val="00541937"/>
    <w:rsid w:val="0054196A"/>
    <w:rsid w:val="00541989"/>
    <w:rsid w:val="005419C4"/>
    <w:rsid w:val="00541A96"/>
    <w:rsid w:val="00541AA5"/>
    <w:rsid w:val="00541AC9"/>
    <w:rsid w:val="00541B62"/>
    <w:rsid w:val="00541BAC"/>
    <w:rsid w:val="00541BB3"/>
    <w:rsid w:val="00541C9C"/>
    <w:rsid w:val="00541CD7"/>
    <w:rsid w:val="00541D99"/>
    <w:rsid w:val="00541DAE"/>
    <w:rsid w:val="00541E6A"/>
    <w:rsid w:val="00541EC6"/>
    <w:rsid w:val="00541F04"/>
    <w:rsid w:val="00541F7F"/>
    <w:rsid w:val="00541FAD"/>
    <w:rsid w:val="00541FC6"/>
    <w:rsid w:val="0054202C"/>
    <w:rsid w:val="00542068"/>
    <w:rsid w:val="00542114"/>
    <w:rsid w:val="00542126"/>
    <w:rsid w:val="005421EA"/>
    <w:rsid w:val="0054220F"/>
    <w:rsid w:val="00542215"/>
    <w:rsid w:val="00542279"/>
    <w:rsid w:val="005422CE"/>
    <w:rsid w:val="0054238E"/>
    <w:rsid w:val="005423B1"/>
    <w:rsid w:val="005423F4"/>
    <w:rsid w:val="0054240A"/>
    <w:rsid w:val="00542413"/>
    <w:rsid w:val="005424D6"/>
    <w:rsid w:val="005424E4"/>
    <w:rsid w:val="005424ED"/>
    <w:rsid w:val="00542517"/>
    <w:rsid w:val="0054254C"/>
    <w:rsid w:val="00542582"/>
    <w:rsid w:val="00542627"/>
    <w:rsid w:val="00542679"/>
    <w:rsid w:val="00542698"/>
    <w:rsid w:val="005427BE"/>
    <w:rsid w:val="0054281F"/>
    <w:rsid w:val="00542894"/>
    <w:rsid w:val="00542900"/>
    <w:rsid w:val="0054292A"/>
    <w:rsid w:val="0054293E"/>
    <w:rsid w:val="00542972"/>
    <w:rsid w:val="00542988"/>
    <w:rsid w:val="00542997"/>
    <w:rsid w:val="005429CD"/>
    <w:rsid w:val="005429F3"/>
    <w:rsid w:val="00542A08"/>
    <w:rsid w:val="00542A2E"/>
    <w:rsid w:val="00542A82"/>
    <w:rsid w:val="00542AE4"/>
    <w:rsid w:val="00542B22"/>
    <w:rsid w:val="00542B70"/>
    <w:rsid w:val="00542B80"/>
    <w:rsid w:val="00542B90"/>
    <w:rsid w:val="00542C51"/>
    <w:rsid w:val="00542C5C"/>
    <w:rsid w:val="00542C8D"/>
    <w:rsid w:val="00542CA2"/>
    <w:rsid w:val="00542CC3"/>
    <w:rsid w:val="00542DB0"/>
    <w:rsid w:val="00542EA8"/>
    <w:rsid w:val="00542EF6"/>
    <w:rsid w:val="00542F46"/>
    <w:rsid w:val="00542F87"/>
    <w:rsid w:val="00542FAA"/>
    <w:rsid w:val="00542FBC"/>
    <w:rsid w:val="00543037"/>
    <w:rsid w:val="0054303E"/>
    <w:rsid w:val="0054304C"/>
    <w:rsid w:val="0054308B"/>
    <w:rsid w:val="005430EE"/>
    <w:rsid w:val="0054316B"/>
    <w:rsid w:val="00543176"/>
    <w:rsid w:val="005431FB"/>
    <w:rsid w:val="00543270"/>
    <w:rsid w:val="005432CB"/>
    <w:rsid w:val="00543335"/>
    <w:rsid w:val="00543373"/>
    <w:rsid w:val="00543377"/>
    <w:rsid w:val="005433E4"/>
    <w:rsid w:val="00543461"/>
    <w:rsid w:val="0054348D"/>
    <w:rsid w:val="005434A5"/>
    <w:rsid w:val="005434D5"/>
    <w:rsid w:val="005434FF"/>
    <w:rsid w:val="00543512"/>
    <w:rsid w:val="00543532"/>
    <w:rsid w:val="005435F3"/>
    <w:rsid w:val="00543632"/>
    <w:rsid w:val="0054364A"/>
    <w:rsid w:val="00543653"/>
    <w:rsid w:val="00543675"/>
    <w:rsid w:val="00543685"/>
    <w:rsid w:val="0054368D"/>
    <w:rsid w:val="00543694"/>
    <w:rsid w:val="005436DD"/>
    <w:rsid w:val="005436F4"/>
    <w:rsid w:val="005436F6"/>
    <w:rsid w:val="00543816"/>
    <w:rsid w:val="00543849"/>
    <w:rsid w:val="00543864"/>
    <w:rsid w:val="0054388F"/>
    <w:rsid w:val="00543893"/>
    <w:rsid w:val="005438C9"/>
    <w:rsid w:val="00543A36"/>
    <w:rsid w:val="00543A38"/>
    <w:rsid w:val="00543A59"/>
    <w:rsid w:val="00543A78"/>
    <w:rsid w:val="00543AAF"/>
    <w:rsid w:val="00543AF1"/>
    <w:rsid w:val="00543B23"/>
    <w:rsid w:val="00543B56"/>
    <w:rsid w:val="00543B9E"/>
    <w:rsid w:val="00543BB0"/>
    <w:rsid w:val="00543BD7"/>
    <w:rsid w:val="00543C45"/>
    <w:rsid w:val="00543C7A"/>
    <w:rsid w:val="00543C84"/>
    <w:rsid w:val="00543D00"/>
    <w:rsid w:val="00543D0B"/>
    <w:rsid w:val="00543D2A"/>
    <w:rsid w:val="00543DA2"/>
    <w:rsid w:val="00543DC8"/>
    <w:rsid w:val="00543DE5"/>
    <w:rsid w:val="00543E0B"/>
    <w:rsid w:val="00543E35"/>
    <w:rsid w:val="00543E4F"/>
    <w:rsid w:val="00543ED5"/>
    <w:rsid w:val="00543F00"/>
    <w:rsid w:val="00543F17"/>
    <w:rsid w:val="00543F85"/>
    <w:rsid w:val="00544017"/>
    <w:rsid w:val="00544022"/>
    <w:rsid w:val="00544045"/>
    <w:rsid w:val="0054406C"/>
    <w:rsid w:val="0054406F"/>
    <w:rsid w:val="005440AB"/>
    <w:rsid w:val="005440AF"/>
    <w:rsid w:val="005440C3"/>
    <w:rsid w:val="005440DD"/>
    <w:rsid w:val="005440FB"/>
    <w:rsid w:val="0054412C"/>
    <w:rsid w:val="00544185"/>
    <w:rsid w:val="0054418B"/>
    <w:rsid w:val="0054419D"/>
    <w:rsid w:val="005441A9"/>
    <w:rsid w:val="005442AD"/>
    <w:rsid w:val="005442BC"/>
    <w:rsid w:val="0054433A"/>
    <w:rsid w:val="00544360"/>
    <w:rsid w:val="005443A9"/>
    <w:rsid w:val="005443B0"/>
    <w:rsid w:val="005443CF"/>
    <w:rsid w:val="00544467"/>
    <w:rsid w:val="005444B2"/>
    <w:rsid w:val="005444FC"/>
    <w:rsid w:val="0054456F"/>
    <w:rsid w:val="005445E4"/>
    <w:rsid w:val="0054481C"/>
    <w:rsid w:val="0054485B"/>
    <w:rsid w:val="00544866"/>
    <w:rsid w:val="0054486A"/>
    <w:rsid w:val="005448C1"/>
    <w:rsid w:val="005448F2"/>
    <w:rsid w:val="00544900"/>
    <w:rsid w:val="0054496C"/>
    <w:rsid w:val="0054496F"/>
    <w:rsid w:val="005449AB"/>
    <w:rsid w:val="005449B1"/>
    <w:rsid w:val="005449E4"/>
    <w:rsid w:val="00544A56"/>
    <w:rsid w:val="00544A5E"/>
    <w:rsid w:val="00544A8D"/>
    <w:rsid w:val="00544A99"/>
    <w:rsid w:val="00544ABC"/>
    <w:rsid w:val="00544AE2"/>
    <w:rsid w:val="00544AE9"/>
    <w:rsid w:val="00544AEA"/>
    <w:rsid w:val="00544B02"/>
    <w:rsid w:val="00544B7E"/>
    <w:rsid w:val="00544B95"/>
    <w:rsid w:val="00544BF1"/>
    <w:rsid w:val="00544C2C"/>
    <w:rsid w:val="00544C9D"/>
    <w:rsid w:val="00544CB1"/>
    <w:rsid w:val="00544D0E"/>
    <w:rsid w:val="00544D25"/>
    <w:rsid w:val="00544D75"/>
    <w:rsid w:val="00544D84"/>
    <w:rsid w:val="00544DAD"/>
    <w:rsid w:val="00544DD9"/>
    <w:rsid w:val="00544E46"/>
    <w:rsid w:val="00544E91"/>
    <w:rsid w:val="00544E9D"/>
    <w:rsid w:val="00544F22"/>
    <w:rsid w:val="00544F48"/>
    <w:rsid w:val="00544FBC"/>
    <w:rsid w:val="00544FF6"/>
    <w:rsid w:val="00545036"/>
    <w:rsid w:val="00545099"/>
    <w:rsid w:val="005450DB"/>
    <w:rsid w:val="005450E5"/>
    <w:rsid w:val="005451B4"/>
    <w:rsid w:val="005451E0"/>
    <w:rsid w:val="00545209"/>
    <w:rsid w:val="00545216"/>
    <w:rsid w:val="005452CA"/>
    <w:rsid w:val="005452D2"/>
    <w:rsid w:val="00545337"/>
    <w:rsid w:val="0054541C"/>
    <w:rsid w:val="00545439"/>
    <w:rsid w:val="005454C2"/>
    <w:rsid w:val="00545531"/>
    <w:rsid w:val="0054554E"/>
    <w:rsid w:val="0054555D"/>
    <w:rsid w:val="0054557E"/>
    <w:rsid w:val="00545593"/>
    <w:rsid w:val="005455E4"/>
    <w:rsid w:val="0054566C"/>
    <w:rsid w:val="005456AB"/>
    <w:rsid w:val="005456DE"/>
    <w:rsid w:val="00545707"/>
    <w:rsid w:val="00545737"/>
    <w:rsid w:val="00545757"/>
    <w:rsid w:val="00545789"/>
    <w:rsid w:val="0054579F"/>
    <w:rsid w:val="005457BD"/>
    <w:rsid w:val="00545813"/>
    <w:rsid w:val="0054581F"/>
    <w:rsid w:val="0054582A"/>
    <w:rsid w:val="00545877"/>
    <w:rsid w:val="005458FF"/>
    <w:rsid w:val="00545906"/>
    <w:rsid w:val="005459B4"/>
    <w:rsid w:val="005459F2"/>
    <w:rsid w:val="00545A00"/>
    <w:rsid w:val="00545A09"/>
    <w:rsid w:val="00545A88"/>
    <w:rsid w:val="00545BB2"/>
    <w:rsid w:val="00545BC1"/>
    <w:rsid w:val="00545C41"/>
    <w:rsid w:val="00545C55"/>
    <w:rsid w:val="00545CA7"/>
    <w:rsid w:val="00545CAD"/>
    <w:rsid w:val="00545D03"/>
    <w:rsid w:val="00545D0C"/>
    <w:rsid w:val="00545D39"/>
    <w:rsid w:val="00545D56"/>
    <w:rsid w:val="00545DBE"/>
    <w:rsid w:val="00545DCE"/>
    <w:rsid w:val="00545DFD"/>
    <w:rsid w:val="00545E76"/>
    <w:rsid w:val="00545E9D"/>
    <w:rsid w:val="00545EFB"/>
    <w:rsid w:val="00545F28"/>
    <w:rsid w:val="00545FB0"/>
    <w:rsid w:val="00545FDF"/>
    <w:rsid w:val="00546028"/>
    <w:rsid w:val="00546046"/>
    <w:rsid w:val="005460A7"/>
    <w:rsid w:val="005460B2"/>
    <w:rsid w:val="005460CE"/>
    <w:rsid w:val="005460EA"/>
    <w:rsid w:val="00546112"/>
    <w:rsid w:val="00546157"/>
    <w:rsid w:val="00546180"/>
    <w:rsid w:val="005461EB"/>
    <w:rsid w:val="0054624F"/>
    <w:rsid w:val="00546283"/>
    <w:rsid w:val="005462E7"/>
    <w:rsid w:val="0054632F"/>
    <w:rsid w:val="0054637F"/>
    <w:rsid w:val="00546384"/>
    <w:rsid w:val="0054638C"/>
    <w:rsid w:val="005463C3"/>
    <w:rsid w:val="0054642D"/>
    <w:rsid w:val="0054648A"/>
    <w:rsid w:val="005464F3"/>
    <w:rsid w:val="00546577"/>
    <w:rsid w:val="00546596"/>
    <w:rsid w:val="005465A8"/>
    <w:rsid w:val="005465BB"/>
    <w:rsid w:val="005465BE"/>
    <w:rsid w:val="005465D7"/>
    <w:rsid w:val="0054660A"/>
    <w:rsid w:val="00546663"/>
    <w:rsid w:val="00546681"/>
    <w:rsid w:val="00546686"/>
    <w:rsid w:val="005466BB"/>
    <w:rsid w:val="005466D8"/>
    <w:rsid w:val="0054670F"/>
    <w:rsid w:val="0054675D"/>
    <w:rsid w:val="0054678E"/>
    <w:rsid w:val="005467A2"/>
    <w:rsid w:val="005467B0"/>
    <w:rsid w:val="00546816"/>
    <w:rsid w:val="00546875"/>
    <w:rsid w:val="00546887"/>
    <w:rsid w:val="005468CF"/>
    <w:rsid w:val="0054690B"/>
    <w:rsid w:val="0054690F"/>
    <w:rsid w:val="00546967"/>
    <w:rsid w:val="00546A38"/>
    <w:rsid w:val="00546A53"/>
    <w:rsid w:val="00546A6D"/>
    <w:rsid w:val="00546A72"/>
    <w:rsid w:val="00546A88"/>
    <w:rsid w:val="00546B85"/>
    <w:rsid w:val="00546B95"/>
    <w:rsid w:val="00546CA3"/>
    <w:rsid w:val="00546E08"/>
    <w:rsid w:val="00546E0F"/>
    <w:rsid w:val="00546E51"/>
    <w:rsid w:val="00546E62"/>
    <w:rsid w:val="00546E66"/>
    <w:rsid w:val="00546F0B"/>
    <w:rsid w:val="00546F19"/>
    <w:rsid w:val="00546F6A"/>
    <w:rsid w:val="00546F94"/>
    <w:rsid w:val="00546FED"/>
    <w:rsid w:val="00546FFB"/>
    <w:rsid w:val="00547024"/>
    <w:rsid w:val="0054702A"/>
    <w:rsid w:val="0054706E"/>
    <w:rsid w:val="00547077"/>
    <w:rsid w:val="0054707A"/>
    <w:rsid w:val="005470B4"/>
    <w:rsid w:val="005470B5"/>
    <w:rsid w:val="005470CB"/>
    <w:rsid w:val="005470D1"/>
    <w:rsid w:val="00547129"/>
    <w:rsid w:val="0054714D"/>
    <w:rsid w:val="0054715B"/>
    <w:rsid w:val="00547160"/>
    <w:rsid w:val="005471A0"/>
    <w:rsid w:val="005471C7"/>
    <w:rsid w:val="005471D7"/>
    <w:rsid w:val="005471DD"/>
    <w:rsid w:val="005471F0"/>
    <w:rsid w:val="0054724F"/>
    <w:rsid w:val="0054727C"/>
    <w:rsid w:val="005472D9"/>
    <w:rsid w:val="00547371"/>
    <w:rsid w:val="00547459"/>
    <w:rsid w:val="0054747F"/>
    <w:rsid w:val="0054752F"/>
    <w:rsid w:val="00547548"/>
    <w:rsid w:val="0054754D"/>
    <w:rsid w:val="0054756F"/>
    <w:rsid w:val="005475A6"/>
    <w:rsid w:val="005475E5"/>
    <w:rsid w:val="0054761A"/>
    <w:rsid w:val="00547621"/>
    <w:rsid w:val="00547636"/>
    <w:rsid w:val="00547659"/>
    <w:rsid w:val="005476B4"/>
    <w:rsid w:val="0054776B"/>
    <w:rsid w:val="0054781C"/>
    <w:rsid w:val="00547836"/>
    <w:rsid w:val="0054783A"/>
    <w:rsid w:val="0054789A"/>
    <w:rsid w:val="005478A0"/>
    <w:rsid w:val="005478C2"/>
    <w:rsid w:val="00547948"/>
    <w:rsid w:val="0054799D"/>
    <w:rsid w:val="005479AC"/>
    <w:rsid w:val="005479B7"/>
    <w:rsid w:val="00547ACC"/>
    <w:rsid w:val="00547B59"/>
    <w:rsid w:val="00547B7C"/>
    <w:rsid w:val="00547BDB"/>
    <w:rsid w:val="00547BFC"/>
    <w:rsid w:val="00547C08"/>
    <w:rsid w:val="00547C25"/>
    <w:rsid w:val="00547C35"/>
    <w:rsid w:val="00547C88"/>
    <w:rsid w:val="00547D01"/>
    <w:rsid w:val="00547D0C"/>
    <w:rsid w:val="00547D28"/>
    <w:rsid w:val="00547D4A"/>
    <w:rsid w:val="00547D5D"/>
    <w:rsid w:val="00547D68"/>
    <w:rsid w:val="00547D71"/>
    <w:rsid w:val="00547DB7"/>
    <w:rsid w:val="00547DE5"/>
    <w:rsid w:val="00547E8E"/>
    <w:rsid w:val="00547EF3"/>
    <w:rsid w:val="00547F45"/>
    <w:rsid w:val="00547F47"/>
    <w:rsid w:val="00547F4F"/>
    <w:rsid w:val="00547FC2"/>
    <w:rsid w:val="00547FC8"/>
    <w:rsid w:val="00547FDE"/>
    <w:rsid w:val="0055001B"/>
    <w:rsid w:val="0055009A"/>
    <w:rsid w:val="0055009F"/>
    <w:rsid w:val="005500D5"/>
    <w:rsid w:val="00550174"/>
    <w:rsid w:val="005501AA"/>
    <w:rsid w:val="005501BE"/>
    <w:rsid w:val="005501C1"/>
    <w:rsid w:val="005501DF"/>
    <w:rsid w:val="00550274"/>
    <w:rsid w:val="005502B3"/>
    <w:rsid w:val="005502E4"/>
    <w:rsid w:val="0055034C"/>
    <w:rsid w:val="00550384"/>
    <w:rsid w:val="0055041E"/>
    <w:rsid w:val="005504BB"/>
    <w:rsid w:val="005505B2"/>
    <w:rsid w:val="005505BA"/>
    <w:rsid w:val="005505C2"/>
    <w:rsid w:val="0055060B"/>
    <w:rsid w:val="0055063F"/>
    <w:rsid w:val="00550643"/>
    <w:rsid w:val="0055071D"/>
    <w:rsid w:val="00550724"/>
    <w:rsid w:val="0055072F"/>
    <w:rsid w:val="00550856"/>
    <w:rsid w:val="005508F7"/>
    <w:rsid w:val="00550914"/>
    <w:rsid w:val="00550972"/>
    <w:rsid w:val="00550975"/>
    <w:rsid w:val="0055099B"/>
    <w:rsid w:val="005509BC"/>
    <w:rsid w:val="005509BF"/>
    <w:rsid w:val="00550A38"/>
    <w:rsid w:val="00550A55"/>
    <w:rsid w:val="00550A57"/>
    <w:rsid w:val="00550AA5"/>
    <w:rsid w:val="00550AAA"/>
    <w:rsid w:val="00550B32"/>
    <w:rsid w:val="00550B48"/>
    <w:rsid w:val="00550B8C"/>
    <w:rsid w:val="00550BA0"/>
    <w:rsid w:val="00550BD8"/>
    <w:rsid w:val="00550BDF"/>
    <w:rsid w:val="00550BFF"/>
    <w:rsid w:val="00550C78"/>
    <w:rsid w:val="00550CE6"/>
    <w:rsid w:val="00550D10"/>
    <w:rsid w:val="00550DA0"/>
    <w:rsid w:val="00550DC4"/>
    <w:rsid w:val="00550DDD"/>
    <w:rsid w:val="00550DFA"/>
    <w:rsid w:val="00550DFE"/>
    <w:rsid w:val="00550E5D"/>
    <w:rsid w:val="00550EA1"/>
    <w:rsid w:val="00550EA7"/>
    <w:rsid w:val="00550EC1"/>
    <w:rsid w:val="00550F6A"/>
    <w:rsid w:val="00550FED"/>
    <w:rsid w:val="0055107F"/>
    <w:rsid w:val="0055109B"/>
    <w:rsid w:val="005510F6"/>
    <w:rsid w:val="0055110D"/>
    <w:rsid w:val="0055111A"/>
    <w:rsid w:val="00551169"/>
    <w:rsid w:val="005511C9"/>
    <w:rsid w:val="005511E1"/>
    <w:rsid w:val="005512F4"/>
    <w:rsid w:val="00551382"/>
    <w:rsid w:val="00551398"/>
    <w:rsid w:val="005513B9"/>
    <w:rsid w:val="0055146F"/>
    <w:rsid w:val="0055148D"/>
    <w:rsid w:val="005514DE"/>
    <w:rsid w:val="00551502"/>
    <w:rsid w:val="00551517"/>
    <w:rsid w:val="0055153D"/>
    <w:rsid w:val="0055156C"/>
    <w:rsid w:val="00551584"/>
    <w:rsid w:val="00551593"/>
    <w:rsid w:val="005515B9"/>
    <w:rsid w:val="00551648"/>
    <w:rsid w:val="0055164C"/>
    <w:rsid w:val="005516B5"/>
    <w:rsid w:val="005516DA"/>
    <w:rsid w:val="00551748"/>
    <w:rsid w:val="005517BF"/>
    <w:rsid w:val="005517DB"/>
    <w:rsid w:val="00551807"/>
    <w:rsid w:val="00551871"/>
    <w:rsid w:val="00551882"/>
    <w:rsid w:val="0055188C"/>
    <w:rsid w:val="0055192B"/>
    <w:rsid w:val="00551938"/>
    <w:rsid w:val="0055193E"/>
    <w:rsid w:val="00551950"/>
    <w:rsid w:val="00551979"/>
    <w:rsid w:val="00551985"/>
    <w:rsid w:val="005519BA"/>
    <w:rsid w:val="005519D1"/>
    <w:rsid w:val="00551A05"/>
    <w:rsid w:val="00551A4D"/>
    <w:rsid w:val="00551A95"/>
    <w:rsid w:val="00551ABF"/>
    <w:rsid w:val="00551AC1"/>
    <w:rsid w:val="00551B7A"/>
    <w:rsid w:val="00551BD6"/>
    <w:rsid w:val="00551C97"/>
    <w:rsid w:val="00551C9C"/>
    <w:rsid w:val="00551CCC"/>
    <w:rsid w:val="00551D93"/>
    <w:rsid w:val="00551D99"/>
    <w:rsid w:val="00551DF3"/>
    <w:rsid w:val="00551DF4"/>
    <w:rsid w:val="00551DFC"/>
    <w:rsid w:val="00551E8F"/>
    <w:rsid w:val="00551ED9"/>
    <w:rsid w:val="00551F1C"/>
    <w:rsid w:val="00551F6C"/>
    <w:rsid w:val="00551FD4"/>
    <w:rsid w:val="00551FEB"/>
    <w:rsid w:val="00551FED"/>
    <w:rsid w:val="00552008"/>
    <w:rsid w:val="00552069"/>
    <w:rsid w:val="0055207B"/>
    <w:rsid w:val="005520F5"/>
    <w:rsid w:val="00552173"/>
    <w:rsid w:val="00552261"/>
    <w:rsid w:val="005522AB"/>
    <w:rsid w:val="00552384"/>
    <w:rsid w:val="005523BB"/>
    <w:rsid w:val="005523C8"/>
    <w:rsid w:val="005523FA"/>
    <w:rsid w:val="0055240E"/>
    <w:rsid w:val="00552438"/>
    <w:rsid w:val="00552451"/>
    <w:rsid w:val="0055247B"/>
    <w:rsid w:val="005524A9"/>
    <w:rsid w:val="00552503"/>
    <w:rsid w:val="00552507"/>
    <w:rsid w:val="0055254F"/>
    <w:rsid w:val="00552557"/>
    <w:rsid w:val="00552559"/>
    <w:rsid w:val="00552566"/>
    <w:rsid w:val="005525D5"/>
    <w:rsid w:val="0055262D"/>
    <w:rsid w:val="00552666"/>
    <w:rsid w:val="0055275E"/>
    <w:rsid w:val="0055276E"/>
    <w:rsid w:val="00552825"/>
    <w:rsid w:val="005528C9"/>
    <w:rsid w:val="00552925"/>
    <w:rsid w:val="00552944"/>
    <w:rsid w:val="00552948"/>
    <w:rsid w:val="00552956"/>
    <w:rsid w:val="0055298B"/>
    <w:rsid w:val="005529D4"/>
    <w:rsid w:val="005529FA"/>
    <w:rsid w:val="00552A41"/>
    <w:rsid w:val="00552A7B"/>
    <w:rsid w:val="00552AC1"/>
    <w:rsid w:val="00552AC6"/>
    <w:rsid w:val="00552ADC"/>
    <w:rsid w:val="00552BDD"/>
    <w:rsid w:val="00552C0D"/>
    <w:rsid w:val="00552C23"/>
    <w:rsid w:val="00552C59"/>
    <w:rsid w:val="00552D49"/>
    <w:rsid w:val="00552D63"/>
    <w:rsid w:val="00552DAF"/>
    <w:rsid w:val="00552E7D"/>
    <w:rsid w:val="00553003"/>
    <w:rsid w:val="00553014"/>
    <w:rsid w:val="00553017"/>
    <w:rsid w:val="00553028"/>
    <w:rsid w:val="00553029"/>
    <w:rsid w:val="00553039"/>
    <w:rsid w:val="0055309B"/>
    <w:rsid w:val="00553109"/>
    <w:rsid w:val="0055311E"/>
    <w:rsid w:val="00553129"/>
    <w:rsid w:val="0055316B"/>
    <w:rsid w:val="0055319D"/>
    <w:rsid w:val="00553200"/>
    <w:rsid w:val="00553241"/>
    <w:rsid w:val="0055331A"/>
    <w:rsid w:val="00553482"/>
    <w:rsid w:val="005534DE"/>
    <w:rsid w:val="005534DF"/>
    <w:rsid w:val="0055355B"/>
    <w:rsid w:val="0055355C"/>
    <w:rsid w:val="005535AB"/>
    <w:rsid w:val="005535D1"/>
    <w:rsid w:val="0055366C"/>
    <w:rsid w:val="005536A2"/>
    <w:rsid w:val="00553719"/>
    <w:rsid w:val="00553729"/>
    <w:rsid w:val="0055376D"/>
    <w:rsid w:val="00553791"/>
    <w:rsid w:val="005537A5"/>
    <w:rsid w:val="005537BC"/>
    <w:rsid w:val="0055380C"/>
    <w:rsid w:val="00553851"/>
    <w:rsid w:val="0055389F"/>
    <w:rsid w:val="005538FA"/>
    <w:rsid w:val="0055394F"/>
    <w:rsid w:val="0055396F"/>
    <w:rsid w:val="00553973"/>
    <w:rsid w:val="00553979"/>
    <w:rsid w:val="00553988"/>
    <w:rsid w:val="005539C5"/>
    <w:rsid w:val="005539CD"/>
    <w:rsid w:val="005539E1"/>
    <w:rsid w:val="00553A04"/>
    <w:rsid w:val="00553A49"/>
    <w:rsid w:val="00553A61"/>
    <w:rsid w:val="00553A9B"/>
    <w:rsid w:val="00553BCF"/>
    <w:rsid w:val="00553C25"/>
    <w:rsid w:val="00553C63"/>
    <w:rsid w:val="00553CA1"/>
    <w:rsid w:val="00553CD0"/>
    <w:rsid w:val="00553D38"/>
    <w:rsid w:val="00553E08"/>
    <w:rsid w:val="00553E57"/>
    <w:rsid w:val="00553E6B"/>
    <w:rsid w:val="00553E88"/>
    <w:rsid w:val="00553F3B"/>
    <w:rsid w:val="00553F55"/>
    <w:rsid w:val="00553FE8"/>
    <w:rsid w:val="00553FEB"/>
    <w:rsid w:val="00554025"/>
    <w:rsid w:val="00554053"/>
    <w:rsid w:val="00554064"/>
    <w:rsid w:val="005540BD"/>
    <w:rsid w:val="00554111"/>
    <w:rsid w:val="0055411E"/>
    <w:rsid w:val="00554120"/>
    <w:rsid w:val="00554132"/>
    <w:rsid w:val="0055414B"/>
    <w:rsid w:val="00554177"/>
    <w:rsid w:val="005541D7"/>
    <w:rsid w:val="005541EE"/>
    <w:rsid w:val="00554216"/>
    <w:rsid w:val="0055421C"/>
    <w:rsid w:val="0055422A"/>
    <w:rsid w:val="00554361"/>
    <w:rsid w:val="00554382"/>
    <w:rsid w:val="005543A6"/>
    <w:rsid w:val="005543BA"/>
    <w:rsid w:val="005543FB"/>
    <w:rsid w:val="00554400"/>
    <w:rsid w:val="00554451"/>
    <w:rsid w:val="00554452"/>
    <w:rsid w:val="0055446E"/>
    <w:rsid w:val="00554484"/>
    <w:rsid w:val="005544AF"/>
    <w:rsid w:val="00554501"/>
    <w:rsid w:val="0055458D"/>
    <w:rsid w:val="005545A0"/>
    <w:rsid w:val="005545BF"/>
    <w:rsid w:val="005545D2"/>
    <w:rsid w:val="00554640"/>
    <w:rsid w:val="00554723"/>
    <w:rsid w:val="00554745"/>
    <w:rsid w:val="00554751"/>
    <w:rsid w:val="00554844"/>
    <w:rsid w:val="0055485D"/>
    <w:rsid w:val="005548EC"/>
    <w:rsid w:val="005549DA"/>
    <w:rsid w:val="00554AA4"/>
    <w:rsid w:val="00554AD9"/>
    <w:rsid w:val="00554B38"/>
    <w:rsid w:val="00554B75"/>
    <w:rsid w:val="00554BF0"/>
    <w:rsid w:val="00554C32"/>
    <w:rsid w:val="00554C7B"/>
    <w:rsid w:val="00554C81"/>
    <w:rsid w:val="00554C83"/>
    <w:rsid w:val="00554CA7"/>
    <w:rsid w:val="00554CE7"/>
    <w:rsid w:val="00554D9D"/>
    <w:rsid w:val="00554DFE"/>
    <w:rsid w:val="00554E11"/>
    <w:rsid w:val="00554E43"/>
    <w:rsid w:val="00554E76"/>
    <w:rsid w:val="00554E93"/>
    <w:rsid w:val="00554EAB"/>
    <w:rsid w:val="00554EBE"/>
    <w:rsid w:val="00554F07"/>
    <w:rsid w:val="00554F16"/>
    <w:rsid w:val="00554F65"/>
    <w:rsid w:val="00554F9E"/>
    <w:rsid w:val="0055508E"/>
    <w:rsid w:val="00555197"/>
    <w:rsid w:val="00555200"/>
    <w:rsid w:val="0055520A"/>
    <w:rsid w:val="0055524F"/>
    <w:rsid w:val="00555280"/>
    <w:rsid w:val="005552EA"/>
    <w:rsid w:val="0055536A"/>
    <w:rsid w:val="005553F8"/>
    <w:rsid w:val="00555403"/>
    <w:rsid w:val="00555431"/>
    <w:rsid w:val="00555451"/>
    <w:rsid w:val="0055546A"/>
    <w:rsid w:val="005554F1"/>
    <w:rsid w:val="00555525"/>
    <w:rsid w:val="0055555E"/>
    <w:rsid w:val="005555C0"/>
    <w:rsid w:val="005555EF"/>
    <w:rsid w:val="00555612"/>
    <w:rsid w:val="00555619"/>
    <w:rsid w:val="005556C5"/>
    <w:rsid w:val="00555762"/>
    <w:rsid w:val="00555771"/>
    <w:rsid w:val="00555779"/>
    <w:rsid w:val="005557C6"/>
    <w:rsid w:val="005557C8"/>
    <w:rsid w:val="005557DB"/>
    <w:rsid w:val="00555807"/>
    <w:rsid w:val="005558B7"/>
    <w:rsid w:val="005558C0"/>
    <w:rsid w:val="005558D2"/>
    <w:rsid w:val="005558EB"/>
    <w:rsid w:val="00555956"/>
    <w:rsid w:val="00555981"/>
    <w:rsid w:val="00555990"/>
    <w:rsid w:val="00555A09"/>
    <w:rsid w:val="00555A32"/>
    <w:rsid w:val="00555A38"/>
    <w:rsid w:val="00555A3E"/>
    <w:rsid w:val="00555A4B"/>
    <w:rsid w:val="00555A74"/>
    <w:rsid w:val="00555A7F"/>
    <w:rsid w:val="00555A88"/>
    <w:rsid w:val="00555AA0"/>
    <w:rsid w:val="00555AB3"/>
    <w:rsid w:val="00555ADC"/>
    <w:rsid w:val="00555B58"/>
    <w:rsid w:val="00555B88"/>
    <w:rsid w:val="00555BE2"/>
    <w:rsid w:val="00555C25"/>
    <w:rsid w:val="00555C9B"/>
    <w:rsid w:val="00555CD6"/>
    <w:rsid w:val="00555CE7"/>
    <w:rsid w:val="00555CE8"/>
    <w:rsid w:val="00555D1C"/>
    <w:rsid w:val="00555D57"/>
    <w:rsid w:val="00555D69"/>
    <w:rsid w:val="00555E65"/>
    <w:rsid w:val="00555E72"/>
    <w:rsid w:val="00555ECC"/>
    <w:rsid w:val="00555EEB"/>
    <w:rsid w:val="00555F0A"/>
    <w:rsid w:val="00555F6E"/>
    <w:rsid w:val="00555F78"/>
    <w:rsid w:val="00555F81"/>
    <w:rsid w:val="00555FBB"/>
    <w:rsid w:val="00555FDD"/>
    <w:rsid w:val="00556009"/>
    <w:rsid w:val="00556022"/>
    <w:rsid w:val="00556062"/>
    <w:rsid w:val="00556087"/>
    <w:rsid w:val="00556096"/>
    <w:rsid w:val="0055613B"/>
    <w:rsid w:val="00556144"/>
    <w:rsid w:val="00556194"/>
    <w:rsid w:val="0055626E"/>
    <w:rsid w:val="00556295"/>
    <w:rsid w:val="0055630A"/>
    <w:rsid w:val="005563B4"/>
    <w:rsid w:val="005563E2"/>
    <w:rsid w:val="005563F4"/>
    <w:rsid w:val="00556420"/>
    <w:rsid w:val="00556495"/>
    <w:rsid w:val="005564EC"/>
    <w:rsid w:val="005564F8"/>
    <w:rsid w:val="005564FC"/>
    <w:rsid w:val="0055657C"/>
    <w:rsid w:val="00556589"/>
    <w:rsid w:val="005565AC"/>
    <w:rsid w:val="0055661D"/>
    <w:rsid w:val="0055662B"/>
    <w:rsid w:val="00556679"/>
    <w:rsid w:val="005566A0"/>
    <w:rsid w:val="005566E5"/>
    <w:rsid w:val="0055670B"/>
    <w:rsid w:val="00556725"/>
    <w:rsid w:val="00556732"/>
    <w:rsid w:val="00556766"/>
    <w:rsid w:val="005567C1"/>
    <w:rsid w:val="005567FF"/>
    <w:rsid w:val="00556827"/>
    <w:rsid w:val="005568CD"/>
    <w:rsid w:val="005568D3"/>
    <w:rsid w:val="0055691B"/>
    <w:rsid w:val="005569F0"/>
    <w:rsid w:val="00556A07"/>
    <w:rsid w:val="00556A2A"/>
    <w:rsid w:val="00556A7F"/>
    <w:rsid w:val="00556AA0"/>
    <w:rsid w:val="00556AF2"/>
    <w:rsid w:val="00556B38"/>
    <w:rsid w:val="00556BBE"/>
    <w:rsid w:val="00556BBF"/>
    <w:rsid w:val="00556BC1"/>
    <w:rsid w:val="00556C12"/>
    <w:rsid w:val="00556C4E"/>
    <w:rsid w:val="00556C5F"/>
    <w:rsid w:val="00556D01"/>
    <w:rsid w:val="00556D1C"/>
    <w:rsid w:val="00556D21"/>
    <w:rsid w:val="00556D34"/>
    <w:rsid w:val="00556DDD"/>
    <w:rsid w:val="00556DEE"/>
    <w:rsid w:val="00556DF7"/>
    <w:rsid w:val="00556E03"/>
    <w:rsid w:val="00556E52"/>
    <w:rsid w:val="00556E69"/>
    <w:rsid w:val="00556EB4"/>
    <w:rsid w:val="00556F7F"/>
    <w:rsid w:val="00556F82"/>
    <w:rsid w:val="00556FB0"/>
    <w:rsid w:val="00557022"/>
    <w:rsid w:val="00557024"/>
    <w:rsid w:val="005570FC"/>
    <w:rsid w:val="00557121"/>
    <w:rsid w:val="00557162"/>
    <w:rsid w:val="005571F2"/>
    <w:rsid w:val="005571FF"/>
    <w:rsid w:val="00557269"/>
    <w:rsid w:val="0055726C"/>
    <w:rsid w:val="00557275"/>
    <w:rsid w:val="00557281"/>
    <w:rsid w:val="00557286"/>
    <w:rsid w:val="0055728B"/>
    <w:rsid w:val="005572AA"/>
    <w:rsid w:val="005572C4"/>
    <w:rsid w:val="0055732A"/>
    <w:rsid w:val="00557432"/>
    <w:rsid w:val="00557496"/>
    <w:rsid w:val="00557514"/>
    <w:rsid w:val="00557519"/>
    <w:rsid w:val="0055757F"/>
    <w:rsid w:val="005575C5"/>
    <w:rsid w:val="00557604"/>
    <w:rsid w:val="0055761C"/>
    <w:rsid w:val="00557627"/>
    <w:rsid w:val="00557652"/>
    <w:rsid w:val="00557669"/>
    <w:rsid w:val="0055766C"/>
    <w:rsid w:val="00557680"/>
    <w:rsid w:val="0055769D"/>
    <w:rsid w:val="005576B5"/>
    <w:rsid w:val="00557715"/>
    <w:rsid w:val="005577F6"/>
    <w:rsid w:val="00557864"/>
    <w:rsid w:val="005578B0"/>
    <w:rsid w:val="00557990"/>
    <w:rsid w:val="0055799C"/>
    <w:rsid w:val="005579E1"/>
    <w:rsid w:val="00557A0F"/>
    <w:rsid w:val="00557A41"/>
    <w:rsid w:val="00557A7A"/>
    <w:rsid w:val="00557AB5"/>
    <w:rsid w:val="00557AB7"/>
    <w:rsid w:val="00557B1C"/>
    <w:rsid w:val="00557BF2"/>
    <w:rsid w:val="00557BF4"/>
    <w:rsid w:val="00557C70"/>
    <w:rsid w:val="00557D77"/>
    <w:rsid w:val="00557DB1"/>
    <w:rsid w:val="00557E00"/>
    <w:rsid w:val="00557E30"/>
    <w:rsid w:val="00557E54"/>
    <w:rsid w:val="00557E99"/>
    <w:rsid w:val="00560073"/>
    <w:rsid w:val="00560086"/>
    <w:rsid w:val="0056008D"/>
    <w:rsid w:val="005600DA"/>
    <w:rsid w:val="005600E7"/>
    <w:rsid w:val="0056017D"/>
    <w:rsid w:val="005601EF"/>
    <w:rsid w:val="00560293"/>
    <w:rsid w:val="005602BC"/>
    <w:rsid w:val="00560338"/>
    <w:rsid w:val="0056033E"/>
    <w:rsid w:val="00560370"/>
    <w:rsid w:val="0056038A"/>
    <w:rsid w:val="005603E8"/>
    <w:rsid w:val="005603FC"/>
    <w:rsid w:val="0056041D"/>
    <w:rsid w:val="00560451"/>
    <w:rsid w:val="00560462"/>
    <w:rsid w:val="0056052B"/>
    <w:rsid w:val="00560558"/>
    <w:rsid w:val="00560578"/>
    <w:rsid w:val="005605C4"/>
    <w:rsid w:val="005606AE"/>
    <w:rsid w:val="00560847"/>
    <w:rsid w:val="005608A3"/>
    <w:rsid w:val="00560930"/>
    <w:rsid w:val="0056094F"/>
    <w:rsid w:val="00560991"/>
    <w:rsid w:val="005609D2"/>
    <w:rsid w:val="00560AB8"/>
    <w:rsid w:val="00560AEC"/>
    <w:rsid w:val="00560B31"/>
    <w:rsid w:val="00560B81"/>
    <w:rsid w:val="00560B97"/>
    <w:rsid w:val="00560BA9"/>
    <w:rsid w:val="00560C3A"/>
    <w:rsid w:val="00560C86"/>
    <w:rsid w:val="00560CE0"/>
    <w:rsid w:val="00560CF8"/>
    <w:rsid w:val="00560D39"/>
    <w:rsid w:val="00560D43"/>
    <w:rsid w:val="00560D46"/>
    <w:rsid w:val="00560D51"/>
    <w:rsid w:val="00560D62"/>
    <w:rsid w:val="00560D77"/>
    <w:rsid w:val="00560D90"/>
    <w:rsid w:val="00560DA2"/>
    <w:rsid w:val="00560DF2"/>
    <w:rsid w:val="00560E91"/>
    <w:rsid w:val="00560E92"/>
    <w:rsid w:val="00560ECC"/>
    <w:rsid w:val="00560EDC"/>
    <w:rsid w:val="00560EF1"/>
    <w:rsid w:val="00560EF3"/>
    <w:rsid w:val="00561035"/>
    <w:rsid w:val="0056103F"/>
    <w:rsid w:val="00561079"/>
    <w:rsid w:val="005610A0"/>
    <w:rsid w:val="005610B7"/>
    <w:rsid w:val="005610E2"/>
    <w:rsid w:val="0056113F"/>
    <w:rsid w:val="0056114C"/>
    <w:rsid w:val="00561156"/>
    <w:rsid w:val="0056116E"/>
    <w:rsid w:val="0056118A"/>
    <w:rsid w:val="005611CC"/>
    <w:rsid w:val="0056120A"/>
    <w:rsid w:val="00561326"/>
    <w:rsid w:val="0056137B"/>
    <w:rsid w:val="00561393"/>
    <w:rsid w:val="0056142A"/>
    <w:rsid w:val="005614B4"/>
    <w:rsid w:val="00561526"/>
    <w:rsid w:val="00561554"/>
    <w:rsid w:val="00561595"/>
    <w:rsid w:val="0056162D"/>
    <w:rsid w:val="0056164A"/>
    <w:rsid w:val="00561709"/>
    <w:rsid w:val="0056174D"/>
    <w:rsid w:val="00561781"/>
    <w:rsid w:val="005617DD"/>
    <w:rsid w:val="0056183B"/>
    <w:rsid w:val="0056183D"/>
    <w:rsid w:val="00561888"/>
    <w:rsid w:val="005618B3"/>
    <w:rsid w:val="005618BB"/>
    <w:rsid w:val="005618DF"/>
    <w:rsid w:val="0056192A"/>
    <w:rsid w:val="005619D6"/>
    <w:rsid w:val="00561A46"/>
    <w:rsid w:val="00561A58"/>
    <w:rsid w:val="00561A84"/>
    <w:rsid w:val="00561A98"/>
    <w:rsid w:val="00561AD1"/>
    <w:rsid w:val="00561B09"/>
    <w:rsid w:val="00561B1E"/>
    <w:rsid w:val="00561B47"/>
    <w:rsid w:val="00561B48"/>
    <w:rsid w:val="00561B52"/>
    <w:rsid w:val="00561C03"/>
    <w:rsid w:val="00561C1D"/>
    <w:rsid w:val="00561C1F"/>
    <w:rsid w:val="00561C36"/>
    <w:rsid w:val="00561C5F"/>
    <w:rsid w:val="00561CD5"/>
    <w:rsid w:val="00561CFC"/>
    <w:rsid w:val="00561D24"/>
    <w:rsid w:val="00561D71"/>
    <w:rsid w:val="00561DCB"/>
    <w:rsid w:val="00561DF1"/>
    <w:rsid w:val="00561E7A"/>
    <w:rsid w:val="00561E7C"/>
    <w:rsid w:val="00561EBC"/>
    <w:rsid w:val="00561EF1"/>
    <w:rsid w:val="00561F34"/>
    <w:rsid w:val="00561F49"/>
    <w:rsid w:val="00561F4D"/>
    <w:rsid w:val="00561F6E"/>
    <w:rsid w:val="00561F6F"/>
    <w:rsid w:val="00561F78"/>
    <w:rsid w:val="00561FC7"/>
    <w:rsid w:val="00561FDD"/>
    <w:rsid w:val="0056206E"/>
    <w:rsid w:val="0056208A"/>
    <w:rsid w:val="00562099"/>
    <w:rsid w:val="005620BE"/>
    <w:rsid w:val="005620EA"/>
    <w:rsid w:val="00562168"/>
    <w:rsid w:val="00562179"/>
    <w:rsid w:val="005621CC"/>
    <w:rsid w:val="005621F1"/>
    <w:rsid w:val="005621FA"/>
    <w:rsid w:val="00562213"/>
    <w:rsid w:val="00562229"/>
    <w:rsid w:val="00562232"/>
    <w:rsid w:val="0056223A"/>
    <w:rsid w:val="00562280"/>
    <w:rsid w:val="00562290"/>
    <w:rsid w:val="005622C6"/>
    <w:rsid w:val="0056231F"/>
    <w:rsid w:val="00562367"/>
    <w:rsid w:val="00562392"/>
    <w:rsid w:val="005623F4"/>
    <w:rsid w:val="00562408"/>
    <w:rsid w:val="0056251A"/>
    <w:rsid w:val="0056255A"/>
    <w:rsid w:val="00562588"/>
    <w:rsid w:val="005625A3"/>
    <w:rsid w:val="005625C7"/>
    <w:rsid w:val="005625DC"/>
    <w:rsid w:val="005625E3"/>
    <w:rsid w:val="005625F6"/>
    <w:rsid w:val="00562610"/>
    <w:rsid w:val="00562696"/>
    <w:rsid w:val="005626AF"/>
    <w:rsid w:val="005626B1"/>
    <w:rsid w:val="0056270F"/>
    <w:rsid w:val="00562726"/>
    <w:rsid w:val="00562747"/>
    <w:rsid w:val="005627F0"/>
    <w:rsid w:val="005627F8"/>
    <w:rsid w:val="00562825"/>
    <w:rsid w:val="00562838"/>
    <w:rsid w:val="0056285E"/>
    <w:rsid w:val="005628AE"/>
    <w:rsid w:val="0056291F"/>
    <w:rsid w:val="0056296C"/>
    <w:rsid w:val="005629EF"/>
    <w:rsid w:val="00562A1A"/>
    <w:rsid w:val="00562A4D"/>
    <w:rsid w:val="00562A61"/>
    <w:rsid w:val="00562A8D"/>
    <w:rsid w:val="00562AB0"/>
    <w:rsid w:val="00562ADE"/>
    <w:rsid w:val="00562ADF"/>
    <w:rsid w:val="00562AF6"/>
    <w:rsid w:val="00562BB0"/>
    <w:rsid w:val="00562BC7"/>
    <w:rsid w:val="00562C57"/>
    <w:rsid w:val="00562CA1"/>
    <w:rsid w:val="00562D27"/>
    <w:rsid w:val="00562D34"/>
    <w:rsid w:val="00562D61"/>
    <w:rsid w:val="00562D70"/>
    <w:rsid w:val="00562DAB"/>
    <w:rsid w:val="00562E6B"/>
    <w:rsid w:val="00562E87"/>
    <w:rsid w:val="00562EAB"/>
    <w:rsid w:val="00562EEE"/>
    <w:rsid w:val="00562F0B"/>
    <w:rsid w:val="00562F19"/>
    <w:rsid w:val="00562F1C"/>
    <w:rsid w:val="00562F49"/>
    <w:rsid w:val="00562F81"/>
    <w:rsid w:val="00563006"/>
    <w:rsid w:val="00563189"/>
    <w:rsid w:val="00563209"/>
    <w:rsid w:val="00563399"/>
    <w:rsid w:val="005633FF"/>
    <w:rsid w:val="00563465"/>
    <w:rsid w:val="00563485"/>
    <w:rsid w:val="005634CE"/>
    <w:rsid w:val="005634D6"/>
    <w:rsid w:val="0056354E"/>
    <w:rsid w:val="0056357B"/>
    <w:rsid w:val="005635BD"/>
    <w:rsid w:val="005635BF"/>
    <w:rsid w:val="00563618"/>
    <w:rsid w:val="00563624"/>
    <w:rsid w:val="0056372E"/>
    <w:rsid w:val="00563805"/>
    <w:rsid w:val="00563815"/>
    <w:rsid w:val="00563854"/>
    <w:rsid w:val="0056385A"/>
    <w:rsid w:val="00563881"/>
    <w:rsid w:val="005638BC"/>
    <w:rsid w:val="00563909"/>
    <w:rsid w:val="00563986"/>
    <w:rsid w:val="005639CD"/>
    <w:rsid w:val="005639D4"/>
    <w:rsid w:val="005639EF"/>
    <w:rsid w:val="00563AF5"/>
    <w:rsid w:val="00563AFA"/>
    <w:rsid w:val="00563B05"/>
    <w:rsid w:val="00563BA6"/>
    <w:rsid w:val="00563C08"/>
    <w:rsid w:val="00563C89"/>
    <w:rsid w:val="00563CF9"/>
    <w:rsid w:val="00563D61"/>
    <w:rsid w:val="00563D66"/>
    <w:rsid w:val="00563D7F"/>
    <w:rsid w:val="00563DF1"/>
    <w:rsid w:val="00563E03"/>
    <w:rsid w:val="00563E0D"/>
    <w:rsid w:val="00563E12"/>
    <w:rsid w:val="00563E2A"/>
    <w:rsid w:val="00563E63"/>
    <w:rsid w:val="00563E8C"/>
    <w:rsid w:val="00563F08"/>
    <w:rsid w:val="00563F4A"/>
    <w:rsid w:val="00563F70"/>
    <w:rsid w:val="00563FD7"/>
    <w:rsid w:val="0056401F"/>
    <w:rsid w:val="0056410A"/>
    <w:rsid w:val="0056410B"/>
    <w:rsid w:val="0056415C"/>
    <w:rsid w:val="00564181"/>
    <w:rsid w:val="005641D5"/>
    <w:rsid w:val="005642BE"/>
    <w:rsid w:val="005642CB"/>
    <w:rsid w:val="00564337"/>
    <w:rsid w:val="005643EE"/>
    <w:rsid w:val="00564420"/>
    <w:rsid w:val="0056448E"/>
    <w:rsid w:val="005644AF"/>
    <w:rsid w:val="005644C6"/>
    <w:rsid w:val="0056451C"/>
    <w:rsid w:val="00564532"/>
    <w:rsid w:val="00564548"/>
    <w:rsid w:val="0056454F"/>
    <w:rsid w:val="0056459E"/>
    <w:rsid w:val="00564605"/>
    <w:rsid w:val="00564646"/>
    <w:rsid w:val="0056465A"/>
    <w:rsid w:val="00564672"/>
    <w:rsid w:val="00564676"/>
    <w:rsid w:val="00564696"/>
    <w:rsid w:val="005646CD"/>
    <w:rsid w:val="00564744"/>
    <w:rsid w:val="0056474A"/>
    <w:rsid w:val="0056475F"/>
    <w:rsid w:val="00564780"/>
    <w:rsid w:val="005647B8"/>
    <w:rsid w:val="005647EA"/>
    <w:rsid w:val="0056480E"/>
    <w:rsid w:val="0056485B"/>
    <w:rsid w:val="005648EC"/>
    <w:rsid w:val="0056491C"/>
    <w:rsid w:val="00564987"/>
    <w:rsid w:val="00564997"/>
    <w:rsid w:val="00564A4B"/>
    <w:rsid w:val="00564A86"/>
    <w:rsid w:val="00564AFC"/>
    <w:rsid w:val="00564B0C"/>
    <w:rsid w:val="00564B10"/>
    <w:rsid w:val="00564BE6"/>
    <w:rsid w:val="00564BF1"/>
    <w:rsid w:val="00564C00"/>
    <w:rsid w:val="00564C1A"/>
    <w:rsid w:val="00564C8B"/>
    <w:rsid w:val="00564CE0"/>
    <w:rsid w:val="00564CF5"/>
    <w:rsid w:val="00564CFA"/>
    <w:rsid w:val="00564D2C"/>
    <w:rsid w:val="00564D5F"/>
    <w:rsid w:val="00564D62"/>
    <w:rsid w:val="00564D6D"/>
    <w:rsid w:val="00564D90"/>
    <w:rsid w:val="00564DA5"/>
    <w:rsid w:val="00564DAC"/>
    <w:rsid w:val="00564DE0"/>
    <w:rsid w:val="00564E1B"/>
    <w:rsid w:val="00564E64"/>
    <w:rsid w:val="00564E6C"/>
    <w:rsid w:val="00564E7B"/>
    <w:rsid w:val="00564E84"/>
    <w:rsid w:val="00564F30"/>
    <w:rsid w:val="005650A4"/>
    <w:rsid w:val="005650E9"/>
    <w:rsid w:val="0056512C"/>
    <w:rsid w:val="00565146"/>
    <w:rsid w:val="00565196"/>
    <w:rsid w:val="005651C6"/>
    <w:rsid w:val="005651DD"/>
    <w:rsid w:val="0056525A"/>
    <w:rsid w:val="00565264"/>
    <w:rsid w:val="00565274"/>
    <w:rsid w:val="00565281"/>
    <w:rsid w:val="0056529D"/>
    <w:rsid w:val="00565302"/>
    <w:rsid w:val="0056530D"/>
    <w:rsid w:val="00565320"/>
    <w:rsid w:val="00565355"/>
    <w:rsid w:val="00565389"/>
    <w:rsid w:val="005653F1"/>
    <w:rsid w:val="0056540E"/>
    <w:rsid w:val="005654B6"/>
    <w:rsid w:val="005654D1"/>
    <w:rsid w:val="005654D4"/>
    <w:rsid w:val="0056551F"/>
    <w:rsid w:val="0056554C"/>
    <w:rsid w:val="00565562"/>
    <w:rsid w:val="00565575"/>
    <w:rsid w:val="005655FE"/>
    <w:rsid w:val="005656FA"/>
    <w:rsid w:val="00565715"/>
    <w:rsid w:val="00565764"/>
    <w:rsid w:val="00565767"/>
    <w:rsid w:val="0056577D"/>
    <w:rsid w:val="005657BC"/>
    <w:rsid w:val="005657D7"/>
    <w:rsid w:val="00565802"/>
    <w:rsid w:val="00565815"/>
    <w:rsid w:val="00565861"/>
    <w:rsid w:val="005658B5"/>
    <w:rsid w:val="00565905"/>
    <w:rsid w:val="0056591D"/>
    <w:rsid w:val="0056594A"/>
    <w:rsid w:val="00565996"/>
    <w:rsid w:val="005659E8"/>
    <w:rsid w:val="00565A03"/>
    <w:rsid w:val="00565A09"/>
    <w:rsid w:val="00565A2E"/>
    <w:rsid w:val="00565A73"/>
    <w:rsid w:val="00565A9D"/>
    <w:rsid w:val="00565ACC"/>
    <w:rsid w:val="00565AFB"/>
    <w:rsid w:val="00565B8E"/>
    <w:rsid w:val="00565BC6"/>
    <w:rsid w:val="00565C1C"/>
    <w:rsid w:val="00565D07"/>
    <w:rsid w:val="00565DA3"/>
    <w:rsid w:val="00565DA7"/>
    <w:rsid w:val="00565DB2"/>
    <w:rsid w:val="00565DB4"/>
    <w:rsid w:val="00565E36"/>
    <w:rsid w:val="00565E38"/>
    <w:rsid w:val="00565E58"/>
    <w:rsid w:val="00565E72"/>
    <w:rsid w:val="00565E9F"/>
    <w:rsid w:val="00565EA1"/>
    <w:rsid w:val="00565EA3"/>
    <w:rsid w:val="00565EF2"/>
    <w:rsid w:val="00565EF7"/>
    <w:rsid w:val="00565F53"/>
    <w:rsid w:val="0056600C"/>
    <w:rsid w:val="00566035"/>
    <w:rsid w:val="0056605C"/>
    <w:rsid w:val="0056606C"/>
    <w:rsid w:val="00566092"/>
    <w:rsid w:val="0056611D"/>
    <w:rsid w:val="00566175"/>
    <w:rsid w:val="005661F6"/>
    <w:rsid w:val="0056626D"/>
    <w:rsid w:val="005662C5"/>
    <w:rsid w:val="005662E4"/>
    <w:rsid w:val="005662FB"/>
    <w:rsid w:val="00566303"/>
    <w:rsid w:val="0056637D"/>
    <w:rsid w:val="0056639D"/>
    <w:rsid w:val="005663D6"/>
    <w:rsid w:val="00566419"/>
    <w:rsid w:val="0056642A"/>
    <w:rsid w:val="005664D5"/>
    <w:rsid w:val="005664F6"/>
    <w:rsid w:val="005664FE"/>
    <w:rsid w:val="00566555"/>
    <w:rsid w:val="005665C8"/>
    <w:rsid w:val="005665E2"/>
    <w:rsid w:val="005665F8"/>
    <w:rsid w:val="00566616"/>
    <w:rsid w:val="0056664E"/>
    <w:rsid w:val="005666AE"/>
    <w:rsid w:val="005666C7"/>
    <w:rsid w:val="0056671D"/>
    <w:rsid w:val="0056672D"/>
    <w:rsid w:val="00566739"/>
    <w:rsid w:val="00566758"/>
    <w:rsid w:val="005667A1"/>
    <w:rsid w:val="005667CD"/>
    <w:rsid w:val="00566836"/>
    <w:rsid w:val="0056684D"/>
    <w:rsid w:val="00566869"/>
    <w:rsid w:val="005668AB"/>
    <w:rsid w:val="0056690C"/>
    <w:rsid w:val="0056694E"/>
    <w:rsid w:val="00566973"/>
    <w:rsid w:val="005669E4"/>
    <w:rsid w:val="00566A49"/>
    <w:rsid w:val="00566A66"/>
    <w:rsid w:val="00566B4B"/>
    <w:rsid w:val="00566BA9"/>
    <w:rsid w:val="00566BF4"/>
    <w:rsid w:val="00566C00"/>
    <w:rsid w:val="00566C3E"/>
    <w:rsid w:val="00566C57"/>
    <w:rsid w:val="00566CB8"/>
    <w:rsid w:val="00566CE8"/>
    <w:rsid w:val="00566D28"/>
    <w:rsid w:val="00566D37"/>
    <w:rsid w:val="00566D6F"/>
    <w:rsid w:val="00566D83"/>
    <w:rsid w:val="00566D99"/>
    <w:rsid w:val="00566E41"/>
    <w:rsid w:val="00566E6F"/>
    <w:rsid w:val="00566F06"/>
    <w:rsid w:val="00566FB8"/>
    <w:rsid w:val="00567013"/>
    <w:rsid w:val="00567014"/>
    <w:rsid w:val="0056703B"/>
    <w:rsid w:val="0056703D"/>
    <w:rsid w:val="005670AF"/>
    <w:rsid w:val="005670CE"/>
    <w:rsid w:val="005671E3"/>
    <w:rsid w:val="00567204"/>
    <w:rsid w:val="0056722F"/>
    <w:rsid w:val="00567296"/>
    <w:rsid w:val="005672DC"/>
    <w:rsid w:val="005673BE"/>
    <w:rsid w:val="00567402"/>
    <w:rsid w:val="00567408"/>
    <w:rsid w:val="0056740C"/>
    <w:rsid w:val="0056740F"/>
    <w:rsid w:val="00567418"/>
    <w:rsid w:val="00567467"/>
    <w:rsid w:val="005674E3"/>
    <w:rsid w:val="005674FC"/>
    <w:rsid w:val="0056753D"/>
    <w:rsid w:val="0056756F"/>
    <w:rsid w:val="0056757D"/>
    <w:rsid w:val="005675BD"/>
    <w:rsid w:val="005675E1"/>
    <w:rsid w:val="0056764C"/>
    <w:rsid w:val="00567664"/>
    <w:rsid w:val="0056768B"/>
    <w:rsid w:val="005676A4"/>
    <w:rsid w:val="005676BC"/>
    <w:rsid w:val="005676ED"/>
    <w:rsid w:val="00567749"/>
    <w:rsid w:val="00567753"/>
    <w:rsid w:val="005677B8"/>
    <w:rsid w:val="005677FC"/>
    <w:rsid w:val="00567852"/>
    <w:rsid w:val="00567853"/>
    <w:rsid w:val="0056787A"/>
    <w:rsid w:val="0056787D"/>
    <w:rsid w:val="005678D2"/>
    <w:rsid w:val="00567947"/>
    <w:rsid w:val="0056795E"/>
    <w:rsid w:val="00567996"/>
    <w:rsid w:val="005679F9"/>
    <w:rsid w:val="00567A62"/>
    <w:rsid w:val="00567AA9"/>
    <w:rsid w:val="00567AC6"/>
    <w:rsid w:val="00567B54"/>
    <w:rsid w:val="00567B76"/>
    <w:rsid w:val="00567BE2"/>
    <w:rsid w:val="00567C63"/>
    <w:rsid w:val="00567C8D"/>
    <w:rsid w:val="00567CCE"/>
    <w:rsid w:val="00567D04"/>
    <w:rsid w:val="00567D72"/>
    <w:rsid w:val="00567DB6"/>
    <w:rsid w:val="00567E66"/>
    <w:rsid w:val="00567F00"/>
    <w:rsid w:val="00567FAB"/>
    <w:rsid w:val="00567FEF"/>
    <w:rsid w:val="0057001D"/>
    <w:rsid w:val="0057007C"/>
    <w:rsid w:val="005700AB"/>
    <w:rsid w:val="00570120"/>
    <w:rsid w:val="00570128"/>
    <w:rsid w:val="00570187"/>
    <w:rsid w:val="005701C8"/>
    <w:rsid w:val="005701CA"/>
    <w:rsid w:val="005701E0"/>
    <w:rsid w:val="00570252"/>
    <w:rsid w:val="005702CC"/>
    <w:rsid w:val="00570304"/>
    <w:rsid w:val="0057030B"/>
    <w:rsid w:val="005703B9"/>
    <w:rsid w:val="005703F0"/>
    <w:rsid w:val="0057040E"/>
    <w:rsid w:val="00570454"/>
    <w:rsid w:val="00570455"/>
    <w:rsid w:val="0057049B"/>
    <w:rsid w:val="005704B9"/>
    <w:rsid w:val="005704F6"/>
    <w:rsid w:val="005705BD"/>
    <w:rsid w:val="00570669"/>
    <w:rsid w:val="00570721"/>
    <w:rsid w:val="00570726"/>
    <w:rsid w:val="00570739"/>
    <w:rsid w:val="00570763"/>
    <w:rsid w:val="0057076B"/>
    <w:rsid w:val="005707B0"/>
    <w:rsid w:val="005707B9"/>
    <w:rsid w:val="005707C5"/>
    <w:rsid w:val="005707F4"/>
    <w:rsid w:val="00570858"/>
    <w:rsid w:val="00570885"/>
    <w:rsid w:val="005708C8"/>
    <w:rsid w:val="005708CC"/>
    <w:rsid w:val="00570929"/>
    <w:rsid w:val="0057093D"/>
    <w:rsid w:val="00570950"/>
    <w:rsid w:val="0057096D"/>
    <w:rsid w:val="005709C6"/>
    <w:rsid w:val="005709DC"/>
    <w:rsid w:val="005709F3"/>
    <w:rsid w:val="00570A19"/>
    <w:rsid w:val="00570A3C"/>
    <w:rsid w:val="00570A6C"/>
    <w:rsid w:val="00570A93"/>
    <w:rsid w:val="00570A9C"/>
    <w:rsid w:val="00570B02"/>
    <w:rsid w:val="00570B5D"/>
    <w:rsid w:val="00570B8A"/>
    <w:rsid w:val="00570C76"/>
    <w:rsid w:val="00570CE6"/>
    <w:rsid w:val="00570D73"/>
    <w:rsid w:val="00570DB9"/>
    <w:rsid w:val="00570DBD"/>
    <w:rsid w:val="00570DD5"/>
    <w:rsid w:val="00570DF8"/>
    <w:rsid w:val="00570E30"/>
    <w:rsid w:val="00570E4F"/>
    <w:rsid w:val="00570EA9"/>
    <w:rsid w:val="00570FB0"/>
    <w:rsid w:val="00570FE2"/>
    <w:rsid w:val="00571049"/>
    <w:rsid w:val="005710A2"/>
    <w:rsid w:val="005710DF"/>
    <w:rsid w:val="00571110"/>
    <w:rsid w:val="00571138"/>
    <w:rsid w:val="00571192"/>
    <w:rsid w:val="0057119E"/>
    <w:rsid w:val="0057123C"/>
    <w:rsid w:val="005712D6"/>
    <w:rsid w:val="00571300"/>
    <w:rsid w:val="0057137F"/>
    <w:rsid w:val="005713F8"/>
    <w:rsid w:val="00571456"/>
    <w:rsid w:val="00571487"/>
    <w:rsid w:val="005714C7"/>
    <w:rsid w:val="005714DF"/>
    <w:rsid w:val="005714EB"/>
    <w:rsid w:val="0057160E"/>
    <w:rsid w:val="00571683"/>
    <w:rsid w:val="005716CB"/>
    <w:rsid w:val="005716E2"/>
    <w:rsid w:val="0057171A"/>
    <w:rsid w:val="00571771"/>
    <w:rsid w:val="005717C3"/>
    <w:rsid w:val="00571820"/>
    <w:rsid w:val="005718C0"/>
    <w:rsid w:val="005718DE"/>
    <w:rsid w:val="00571964"/>
    <w:rsid w:val="0057199F"/>
    <w:rsid w:val="005719AB"/>
    <w:rsid w:val="005719D0"/>
    <w:rsid w:val="00571A0F"/>
    <w:rsid w:val="00571A20"/>
    <w:rsid w:val="00571A58"/>
    <w:rsid w:val="00571A66"/>
    <w:rsid w:val="00571A7F"/>
    <w:rsid w:val="00571AC8"/>
    <w:rsid w:val="00571B01"/>
    <w:rsid w:val="00571B45"/>
    <w:rsid w:val="00571BAA"/>
    <w:rsid w:val="00571BB5"/>
    <w:rsid w:val="00571BC4"/>
    <w:rsid w:val="00571BC5"/>
    <w:rsid w:val="00571C31"/>
    <w:rsid w:val="00571C55"/>
    <w:rsid w:val="00571C97"/>
    <w:rsid w:val="00571CAC"/>
    <w:rsid w:val="00571D1D"/>
    <w:rsid w:val="00571D44"/>
    <w:rsid w:val="00571DA0"/>
    <w:rsid w:val="00571E1F"/>
    <w:rsid w:val="00571E84"/>
    <w:rsid w:val="00571ECA"/>
    <w:rsid w:val="00571F4D"/>
    <w:rsid w:val="00571F65"/>
    <w:rsid w:val="00571F70"/>
    <w:rsid w:val="00571FD6"/>
    <w:rsid w:val="0057200E"/>
    <w:rsid w:val="0057205C"/>
    <w:rsid w:val="005720A1"/>
    <w:rsid w:val="005720AC"/>
    <w:rsid w:val="005720DE"/>
    <w:rsid w:val="005720E3"/>
    <w:rsid w:val="00572127"/>
    <w:rsid w:val="0057218D"/>
    <w:rsid w:val="00572273"/>
    <w:rsid w:val="005722A5"/>
    <w:rsid w:val="005722FC"/>
    <w:rsid w:val="00572382"/>
    <w:rsid w:val="005723E5"/>
    <w:rsid w:val="0057243B"/>
    <w:rsid w:val="005724BE"/>
    <w:rsid w:val="005724DE"/>
    <w:rsid w:val="005724F8"/>
    <w:rsid w:val="0057252E"/>
    <w:rsid w:val="005725C5"/>
    <w:rsid w:val="0057268C"/>
    <w:rsid w:val="005726A9"/>
    <w:rsid w:val="005726AA"/>
    <w:rsid w:val="00572720"/>
    <w:rsid w:val="00572750"/>
    <w:rsid w:val="0057276C"/>
    <w:rsid w:val="0057284E"/>
    <w:rsid w:val="005728C3"/>
    <w:rsid w:val="00572975"/>
    <w:rsid w:val="005729A3"/>
    <w:rsid w:val="005729AC"/>
    <w:rsid w:val="005729CC"/>
    <w:rsid w:val="005729E6"/>
    <w:rsid w:val="00572A23"/>
    <w:rsid w:val="00572A8E"/>
    <w:rsid w:val="00572AE5"/>
    <w:rsid w:val="00572AE8"/>
    <w:rsid w:val="00572B00"/>
    <w:rsid w:val="00572B0A"/>
    <w:rsid w:val="00572B11"/>
    <w:rsid w:val="00572B23"/>
    <w:rsid w:val="00572B2E"/>
    <w:rsid w:val="00572B71"/>
    <w:rsid w:val="00572B77"/>
    <w:rsid w:val="00572BBF"/>
    <w:rsid w:val="00572CB7"/>
    <w:rsid w:val="00572CEF"/>
    <w:rsid w:val="00572CF5"/>
    <w:rsid w:val="00572D35"/>
    <w:rsid w:val="00572D89"/>
    <w:rsid w:val="00572DAB"/>
    <w:rsid w:val="00572DD9"/>
    <w:rsid w:val="00572E60"/>
    <w:rsid w:val="00572E63"/>
    <w:rsid w:val="00572EAB"/>
    <w:rsid w:val="00572F7A"/>
    <w:rsid w:val="00572FC9"/>
    <w:rsid w:val="005730C1"/>
    <w:rsid w:val="005730D1"/>
    <w:rsid w:val="00573131"/>
    <w:rsid w:val="005731D5"/>
    <w:rsid w:val="005731FC"/>
    <w:rsid w:val="0057324D"/>
    <w:rsid w:val="00573272"/>
    <w:rsid w:val="00573296"/>
    <w:rsid w:val="005732BC"/>
    <w:rsid w:val="005732C5"/>
    <w:rsid w:val="0057330B"/>
    <w:rsid w:val="00573342"/>
    <w:rsid w:val="00573353"/>
    <w:rsid w:val="00573382"/>
    <w:rsid w:val="0057338C"/>
    <w:rsid w:val="005733A7"/>
    <w:rsid w:val="005733DF"/>
    <w:rsid w:val="005733ED"/>
    <w:rsid w:val="00573405"/>
    <w:rsid w:val="00573419"/>
    <w:rsid w:val="00573484"/>
    <w:rsid w:val="005734BD"/>
    <w:rsid w:val="005734E3"/>
    <w:rsid w:val="005734EC"/>
    <w:rsid w:val="0057359C"/>
    <w:rsid w:val="0057363F"/>
    <w:rsid w:val="0057371C"/>
    <w:rsid w:val="0057372D"/>
    <w:rsid w:val="0057373A"/>
    <w:rsid w:val="00573768"/>
    <w:rsid w:val="005737C8"/>
    <w:rsid w:val="0057388E"/>
    <w:rsid w:val="005738FE"/>
    <w:rsid w:val="00573958"/>
    <w:rsid w:val="00573968"/>
    <w:rsid w:val="005739D5"/>
    <w:rsid w:val="00573A1B"/>
    <w:rsid w:val="00573A32"/>
    <w:rsid w:val="00573A3E"/>
    <w:rsid w:val="00573A61"/>
    <w:rsid w:val="00573AD6"/>
    <w:rsid w:val="00573AF4"/>
    <w:rsid w:val="00573B2A"/>
    <w:rsid w:val="00573B53"/>
    <w:rsid w:val="00573B83"/>
    <w:rsid w:val="00573B92"/>
    <w:rsid w:val="00573BC0"/>
    <w:rsid w:val="00573C49"/>
    <w:rsid w:val="00573C57"/>
    <w:rsid w:val="00573C7B"/>
    <w:rsid w:val="00573D05"/>
    <w:rsid w:val="00573D07"/>
    <w:rsid w:val="00573DD8"/>
    <w:rsid w:val="00573E04"/>
    <w:rsid w:val="00573E16"/>
    <w:rsid w:val="00573E26"/>
    <w:rsid w:val="00573E58"/>
    <w:rsid w:val="00573E63"/>
    <w:rsid w:val="00573E6C"/>
    <w:rsid w:val="00573E81"/>
    <w:rsid w:val="00573E88"/>
    <w:rsid w:val="00573ECE"/>
    <w:rsid w:val="00573F16"/>
    <w:rsid w:val="00573FEF"/>
    <w:rsid w:val="00574000"/>
    <w:rsid w:val="0057424D"/>
    <w:rsid w:val="0057432D"/>
    <w:rsid w:val="00574397"/>
    <w:rsid w:val="005743C0"/>
    <w:rsid w:val="005743EE"/>
    <w:rsid w:val="0057441A"/>
    <w:rsid w:val="005744F7"/>
    <w:rsid w:val="00574515"/>
    <w:rsid w:val="00574563"/>
    <w:rsid w:val="00574580"/>
    <w:rsid w:val="005745A5"/>
    <w:rsid w:val="005745C2"/>
    <w:rsid w:val="005745DB"/>
    <w:rsid w:val="005745E8"/>
    <w:rsid w:val="0057462A"/>
    <w:rsid w:val="00574664"/>
    <w:rsid w:val="0057466A"/>
    <w:rsid w:val="005746AA"/>
    <w:rsid w:val="005746F6"/>
    <w:rsid w:val="00574733"/>
    <w:rsid w:val="0057475A"/>
    <w:rsid w:val="0057475C"/>
    <w:rsid w:val="00574842"/>
    <w:rsid w:val="0057484E"/>
    <w:rsid w:val="0057494D"/>
    <w:rsid w:val="00574954"/>
    <w:rsid w:val="00574970"/>
    <w:rsid w:val="00574990"/>
    <w:rsid w:val="005749F8"/>
    <w:rsid w:val="00574A1D"/>
    <w:rsid w:val="00574A3F"/>
    <w:rsid w:val="00574AC4"/>
    <w:rsid w:val="00574AD7"/>
    <w:rsid w:val="00574AFB"/>
    <w:rsid w:val="00574B3E"/>
    <w:rsid w:val="00574C05"/>
    <w:rsid w:val="00574C07"/>
    <w:rsid w:val="00574C33"/>
    <w:rsid w:val="00574C3B"/>
    <w:rsid w:val="00574C47"/>
    <w:rsid w:val="00574C92"/>
    <w:rsid w:val="00574CB3"/>
    <w:rsid w:val="00574CC1"/>
    <w:rsid w:val="00574D14"/>
    <w:rsid w:val="00574D21"/>
    <w:rsid w:val="00574D6E"/>
    <w:rsid w:val="00574DCF"/>
    <w:rsid w:val="00574E3B"/>
    <w:rsid w:val="00574E67"/>
    <w:rsid w:val="00574EA2"/>
    <w:rsid w:val="00574EC3"/>
    <w:rsid w:val="00574ED8"/>
    <w:rsid w:val="00574F42"/>
    <w:rsid w:val="00574F88"/>
    <w:rsid w:val="00574FA1"/>
    <w:rsid w:val="00574FC9"/>
    <w:rsid w:val="00574FF7"/>
    <w:rsid w:val="00574FFD"/>
    <w:rsid w:val="00575062"/>
    <w:rsid w:val="0057510F"/>
    <w:rsid w:val="0057513F"/>
    <w:rsid w:val="00575181"/>
    <w:rsid w:val="005751EB"/>
    <w:rsid w:val="005751FB"/>
    <w:rsid w:val="00575248"/>
    <w:rsid w:val="0057524B"/>
    <w:rsid w:val="00575261"/>
    <w:rsid w:val="00575281"/>
    <w:rsid w:val="005752DA"/>
    <w:rsid w:val="0057533E"/>
    <w:rsid w:val="00575399"/>
    <w:rsid w:val="005753E4"/>
    <w:rsid w:val="0057542B"/>
    <w:rsid w:val="00575438"/>
    <w:rsid w:val="00575473"/>
    <w:rsid w:val="005754FB"/>
    <w:rsid w:val="00575531"/>
    <w:rsid w:val="00575539"/>
    <w:rsid w:val="005755E8"/>
    <w:rsid w:val="00575656"/>
    <w:rsid w:val="0057567A"/>
    <w:rsid w:val="0057569A"/>
    <w:rsid w:val="005756DE"/>
    <w:rsid w:val="00575793"/>
    <w:rsid w:val="005757C7"/>
    <w:rsid w:val="00575819"/>
    <w:rsid w:val="00575822"/>
    <w:rsid w:val="00575827"/>
    <w:rsid w:val="005758A4"/>
    <w:rsid w:val="005758B5"/>
    <w:rsid w:val="00575908"/>
    <w:rsid w:val="00575909"/>
    <w:rsid w:val="00575A3C"/>
    <w:rsid w:val="00575A49"/>
    <w:rsid w:val="00575B09"/>
    <w:rsid w:val="00575B39"/>
    <w:rsid w:val="00575B71"/>
    <w:rsid w:val="00575B72"/>
    <w:rsid w:val="00575BB7"/>
    <w:rsid w:val="00575C0D"/>
    <w:rsid w:val="00575C40"/>
    <w:rsid w:val="00575C6D"/>
    <w:rsid w:val="00575CB5"/>
    <w:rsid w:val="00575D1D"/>
    <w:rsid w:val="00575D73"/>
    <w:rsid w:val="00575D94"/>
    <w:rsid w:val="00575D9B"/>
    <w:rsid w:val="00575DB9"/>
    <w:rsid w:val="00575DEC"/>
    <w:rsid w:val="00575DF8"/>
    <w:rsid w:val="00575E02"/>
    <w:rsid w:val="00575E6E"/>
    <w:rsid w:val="00575EE6"/>
    <w:rsid w:val="00575EEC"/>
    <w:rsid w:val="00575FB1"/>
    <w:rsid w:val="00575FB4"/>
    <w:rsid w:val="00575FD5"/>
    <w:rsid w:val="00575FF8"/>
    <w:rsid w:val="00576046"/>
    <w:rsid w:val="005760E6"/>
    <w:rsid w:val="00576113"/>
    <w:rsid w:val="00576121"/>
    <w:rsid w:val="00576123"/>
    <w:rsid w:val="00576167"/>
    <w:rsid w:val="00576184"/>
    <w:rsid w:val="00576188"/>
    <w:rsid w:val="00576237"/>
    <w:rsid w:val="00576242"/>
    <w:rsid w:val="00576278"/>
    <w:rsid w:val="00576284"/>
    <w:rsid w:val="00576321"/>
    <w:rsid w:val="0057633E"/>
    <w:rsid w:val="0057633F"/>
    <w:rsid w:val="00576392"/>
    <w:rsid w:val="005763AC"/>
    <w:rsid w:val="005763D5"/>
    <w:rsid w:val="005763DE"/>
    <w:rsid w:val="005763FD"/>
    <w:rsid w:val="00576405"/>
    <w:rsid w:val="0057642C"/>
    <w:rsid w:val="00576447"/>
    <w:rsid w:val="00576460"/>
    <w:rsid w:val="005764E0"/>
    <w:rsid w:val="00576506"/>
    <w:rsid w:val="00576630"/>
    <w:rsid w:val="00576646"/>
    <w:rsid w:val="0057665B"/>
    <w:rsid w:val="0057666F"/>
    <w:rsid w:val="005766AC"/>
    <w:rsid w:val="005766D8"/>
    <w:rsid w:val="005766EB"/>
    <w:rsid w:val="0057672A"/>
    <w:rsid w:val="00576751"/>
    <w:rsid w:val="005767C0"/>
    <w:rsid w:val="005767EB"/>
    <w:rsid w:val="00576814"/>
    <w:rsid w:val="00576833"/>
    <w:rsid w:val="005768C3"/>
    <w:rsid w:val="005768F7"/>
    <w:rsid w:val="00576923"/>
    <w:rsid w:val="00576981"/>
    <w:rsid w:val="005769F8"/>
    <w:rsid w:val="00576A01"/>
    <w:rsid w:val="00576ABD"/>
    <w:rsid w:val="00576B07"/>
    <w:rsid w:val="00576BC6"/>
    <w:rsid w:val="00576C54"/>
    <w:rsid w:val="00576CC7"/>
    <w:rsid w:val="00576CD4"/>
    <w:rsid w:val="00576CDD"/>
    <w:rsid w:val="00576D17"/>
    <w:rsid w:val="00576E17"/>
    <w:rsid w:val="00576E74"/>
    <w:rsid w:val="00576E90"/>
    <w:rsid w:val="00576ED7"/>
    <w:rsid w:val="00576EDE"/>
    <w:rsid w:val="00576FBC"/>
    <w:rsid w:val="00576FFA"/>
    <w:rsid w:val="005770AC"/>
    <w:rsid w:val="005770AF"/>
    <w:rsid w:val="00577124"/>
    <w:rsid w:val="0057717E"/>
    <w:rsid w:val="00577180"/>
    <w:rsid w:val="005771C8"/>
    <w:rsid w:val="005771E7"/>
    <w:rsid w:val="005771F6"/>
    <w:rsid w:val="00577376"/>
    <w:rsid w:val="005773DA"/>
    <w:rsid w:val="00577466"/>
    <w:rsid w:val="0057746C"/>
    <w:rsid w:val="00577473"/>
    <w:rsid w:val="005774AD"/>
    <w:rsid w:val="005774B0"/>
    <w:rsid w:val="005774F1"/>
    <w:rsid w:val="00577540"/>
    <w:rsid w:val="005775A1"/>
    <w:rsid w:val="005775CB"/>
    <w:rsid w:val="005775EB"/>
    <w:rsid w:val="0057761A"/>
    <w:rsid w:val="005776C7"/>
    <w:rsid w:val="00577732"/>
    <w:rsid w:val="00577747"/>
    <w:rsid w:val="0057775B"/>
    <w:rsid w:val="005777CF"/>
    <w:rsid w:val="0057782D"/>
    <w:rsid w:val="00577844"/>
    <w:rsid w:val="00577850"/>
    <w:rsid w:val="0057788A"/>
    <w:rsid w:val="005778D7"/>
    <w:rsid w:val="005778F9"/>
    <w:rsid w:val="00577929"/>
    <w:rsid w:val="00577945"/>
    <w:rsid w:val="00577954"/>
    <w:rsid w:val="005779A6"/>
    <w:rsid w:val="00577A03"/>
    <w:rsid w:val="00577A1B"/>
    <w:rsid w:val="00577A1D"/>
    <w:rsid w:val="00577A92"/>
    <w:rsid w:val="00577AC7"/>
    <w:rsid w:val="00577B55"/>
    <w:rsid w:val="00577BB8"/>
    <w:rsid w:val="00577C17"/>
    <w:rsid w:val="00577C2C"/>
    <w:rsid w:val="00577C6D"/>
    <w:rsid w:val="00577C98"/>
    <w:rsid w:val="00577CA7"/>
    <w:rsid w:val="00577CF7"/>
    <w:rsid w:val="00577D58"/>
    <w:rsid w:val="00577DAE"/>
    <w:rsid w:val="00577E14"/>
    <w:rsid w:val="00577E2B"/>
    <w:rsid w:val="00577E56"/>
    <w:rsid w:val="00577EA5"/>
    <w:rsid w:val="00577EA7"/>
    <w:rsid w:val="00577EB2"/>
    <w:rsid w:val="00577F0A"/>
    <w:rsid w:val="00577F25"/>
    <w:rsid w:val="00577F54"/>
    <w:rsid w:val="00577F94"/>
    <w:rsid w:val="00577FA5"/>
    <w:rsid w:val="00580085"/>
    <w:rsid w:val="00580089"/>
    <w:rsid w:val="005800BF"/>
    <w:rsid w:val="00580106"/>
    <w:rsid w:val="00580169"/>
    <w:rsid w:val="00580172"/>
    <w:rsid w:val="00580173"/>
    <w:rsid w:val="005801D0"/>
    <w:rsid w:val="00580261"/>
    <w:rsid w:val="005802D3"/>
    <w:rsid w:val="00580344"/>
    <w:rsid w:val="005803B3"/>
    <w:rsid w:val="005803B7"/>
    <w:rsid w:val="005803E5"/>
    <w:rsid w:val="00580406"/>
    <w:rsid w:val="0058041A"/>
    <w:rsid w:val="00580422"/>
    <w:rsid w:val="0058048A"/>
    <w:rsid w:val="005805AD"/>
    <w:rsid w:val="00580678"/>
    <w:rsid w:val="005806C6"/>
    <w:rsid w:val="005806D6"/>
    <w:rsid w:val="00580746"/>
    <w:rsid w:val="0058075F"/>
    <w:rsid w:val="00580857"/>
    <w:rsid w:val="00580876"/>
    <w:rsid w:val="005808E8"/>
    <w:rsid w:val="005808F4"/>
    <w:rsid w:val="00580904"/>
    <w:rsid w:val="0058091E"/>
    <w:rsid w:val="0058093B"/>
    <w:rsid w:val="00580986"/>
    <w:rsid w:val="005809B1"/>
    <w:rsid w:val="00580A2B"/>
    <w:rsid w:val="00580A9A"/>
    <w:rsid w:val="00580B0D"/>
    <w:rsid w:val="00580B20"/>
    <w:rsid w:val="00580BA5"/>
    <w:rsid w:val="00580BB6"/>
    <w:rsid w:val="00580C3F"/>
    <w:rsid w:val="00580C43"/>
    <w:rsid w:val="00580C6E"/>
    <w:rsid w:val="00580C91"/>
    <w:rsid w:val="00580CD1"/>
    <w:rsid w:val="00580CDE"/>
    <w:rsid w:val="00580D86"/>
    <w:rsid w:val="00580D89"/>
    <w:rsid w:val="00580DC0"/>
    <w:rsid w:val="00580E39"/>
    <w:rsid w:val="00580E7C"/>
    <w:rsid w:val="00580E88"/>
    <w:rsid w:val="00580EB0"/>
    <w:rsid w:val="00580ECB"/>
    <w:rsid w:val="00580FAD"/>
    <w:rsid w:val="0058101A"/>
    <w:rsid w:val="00581054"/>
    <w:rsid w:val="005810A0"/>
    <w:rsid w:val="00581116"/>
    <w:rsid w:val="0058111E"/>
    <w:rsid w:val="00581135"/>
    <w:rsid w:val="00581156"/>
    <w:rsid w:val="005811E5"/>
    <w:rsid w:val="005811F4"/>
    <w:rsid w:val="00581207"/>
    <w:rsid w:val="00581230"/>
    <w:rsid w:val="0058123D"/>
    <w:rsid w:val="0058129A"/>
    <w:rsid w:val="005812D8"/>
    <w:rsid w:val="0058138F"/>
    <w:rsid w:val="005813B2"/>
    <w:rsid w:val="005813EC"/>
    <w:rsid w:val="00581479"/>
    <w:rsid w:val="005814E0"/>
    <w:rsid w:val="00581520"/>
    <w:rsid w:val="00581534"/>
    <w:rsid w:val="00581553"/>
    <w:rsid w:val="00581579"/>
    <w:rsid w:val="005815AD"/>
    <w:rsid w:val="005815E6"/>
    <w:rsid w:val="005815FE"/>
    <w:rsid w:val="00581608"/>
    <w:rsid w:val="00581612"/>
    <w:rsid w:val="00581665"/>
    <w:rsid w:val="005816D6"/>
    <w:rsid w:val="0058173A"/>
    <w:rsid w:val="00581792"/>
    <w:rsid w:val="00581838"/>
    <w:rsid w:val="00581856"/>
    <w:rsid w:val="00581931"/>
    <w:rsid w:val="00581932"/>
    <w:rsid w:val="005819FD"/>
    <w:rsid w:val="00581A00"/>
    <w:rsid w:val="00581A76"/>
    <w:rsid w:val="00581A8B"/>
    <w:rsid w:val="00581AE6"/>
    <w:rsid w:val="00581AFC"/>
    <w:rsid w:val="00581B21"/>
    <w:rsid w:val="00581B23"/>
    <w:rsid w:val="00581B6D"/>
    <w:rsid w:val="00581C34"/>
    <w:rsid w:val="00581C3E"/>
    <w:rsid w:val="00581C72"/>
    <w:rsid w:val="00581CA9"/>
    <w:rsid w:val="00581CC5"/>
    <w:rsid w:val="00581D4A"/>
    <w:rsid w:val="00581D59"/>
    <w:rsid w:val="00581DA1"/>
    <w:rsid w:val="00581DA6"/>
    <w:rsid w:val="00581DB0"/>
    <w:rsid w:val="00581E9F"/>
    <w:rsid w:val="00581EDE"/>
    <w:rsid w:val="00581EEF"/>
    <w:rsid w:val="00581F66"/>
    <w:rsid w:val="005820ED"/>
    <w:rsid w:val="0058214C"/>
    <w:rsid w:val="0058216D"/>
    <w:rsid w:val="005821A8"/>
    <w:rsid w:val="005821C3"/>
    <w:rsid w:val="005821E4"/>
    <w:rsid w:val="0058227D"/>
    <w:rsid w:val="00582296"/>
    <w:rsid w:val="005822F0"/>
    <w:rsid w:val="00582312"/>
    <w:rsid w:val="0058235A"/>
    <w:rsid w:val="0058238A"/>
    <w:rsid w:val="0058239B"/>
    <w:rsid w:val="005823AF"/>
    <w:rsid w:val="005823C0"/>
    <w:rsid w:val="005823FF"/>
    <w:rsid w:val="00582408"/>
    <w:rsid w:val="00582415"/>
    <w:rsid w:val="0058241F"/>
    <w:rsid w:val="00582486"/>
    <w:rsid w:val="005824ED"/>
    <w:rsid w:val="005824F0"/>
    <w:rsid w:val="00582513"/>
    <w:rsid w:val="005825AF"/>
    <w:rsid w:val="005825C2"/>
    <w:rsid w:val="005825CA"/>
    <w:rsid w:val="005825FA"/>
    <w:rsid w:val="0058262A"/>
    <w:rsid w:val="0058269D"/>
    <w:rsid w:val="0058273E"/>
    <w:rsid w:val="00582815"/>
    <w:rsid w:val="00582830"/>
    <w:rsid w:val="0058283A"/>
    <w:rsid w:val="00582851"/>
    <w:rsid w:val="00582870"/>
    <w:rsid w:val="0058288D"/>
    <w:rsid w:val="005828AA"/>
    <w:rsid w:val="0058292D"/>
    <w:rsid w:val="005829BE"/>
    <w:rsid w:val="00582A82"/>
    <w:rsid w:val="00582B1D"/>
    <w:rsid w:val="00582B55"/>
    <w:rsid w:val="00582B77"/>
    <w:rsid w:val="00582B9D"/>
    <w:rsid w:val="00582BEF"/>
    <w:rsid w:val="00582C9F"/>
    <w:rsid w:val="00582CA7"/>
    <w:rsid w:val="00582D58"/>
    <w:rsid w:val="00582D9D"/>
    <w:rsid w:val="00582DBA"/>
    <w:rsid w:val="00582DE3"/>
    <w:rsid w:val="00582E13"/>
    <w:rsid w:val="00582E35"/>
    <w:rsid w:val="00582F2F"/>
    <w:rsid w:val="00582F43"/>
    <w:rsid w:val="00582F62"/>
    <w:rsid w:val="00582FBC"/>
    <w:rsid w:val="00582FCD"/>
    <w:rsid w:val="00583030"/>
    <w:rsid w:val="005830C6"/>
    <w:rsid w:val="005830DA"/>
    <w:rsid w:val="0058312B"/>
    <w:rsid w:val="0058313A"/>
    <w:rsid w:val="00583140"/>
    <w:rsid w:val="00583192"/>
    <w:rsid w:val="005831AB"/>
    <w:rsid w:val="005831DD"/>
    <w:rsid w:val="005831FF"/>
    <w:rsid w:val="0058320C"/>
    <w:rsid w:val="00583216"/>
    <w:rsid w:val="00583252"/>
    <w:rsid w:val="00583258"/>
    <w:rsid w:val="0058327F"/>
    <w:rsid w:val="005832A3"/>
    <w:rsid w:val="005832AA"/>
    <w:rsid w:val="0058333C"/>
    <w:rsid w:val="0058336E"/>
    <w:rsid w:val="005833C8"/>
    <w:rsid w:val="005833D5"/>
    <w:rsid w:val="00583443"/>
    <w:rsid w:val="0058344E"/>
    <w:rsid w:val="0058346F"/>
    <w:rsid w:val="00583480"/>
    <w:rsid w:val="00583589"/>
    <w:rsid w:val="0058358F"/>
    <w:rsid w:val="005835B3"/>
    <w:rsid w:val="005835B7"/>
    <w:rsid w:val="005835D0"/>
    <w:rsid w:val="00583611"/>
    <w:rsid w:val="00583627"/>
    <w:rsid w:val="0058367D"/>
    <w:rsid w:val="005836D8"/>
    <w:rsid w:val="0058372C"/>
    <w:rsid w:val="00583796"/>
    <w:rsid w:val="005837C9"/>
    <w:rsid w:val="005837D2"/>
    <w:rsid w:val="005837DC"/>
    <w:rsid w:val="005838AC"/>
    <w:rsid w:val="005838DA"/>
    <w:rsid w:val="00583916"/>
    <w:rsid w:val="0058394E"/>
    <w:rsid w:val="0058396D"/>
    <w:rsid w:val="0058396F"/>
    <w:rsid w:val="00583975"/>
    <w:rsid w:val="005839AD"/>
    <w:rsid w:val="005839C9"/>
    <w:rsid w:val="005839CE"/>
    <w:rsid w:val="00583A11"/>
    <w:rsid w:val="00583A72"/>
    <w:rsid w:val="00583A9E"/>
    <w:rsid w:val="00583AC4"/>
    <w:rsid w:val="00583B23"/>
    <w:rsid w:val="00583B58"/>
    <w:rsid w:val="00583B68"/>
    <w:rsid w:val="00583BE8"/>
    <w:rsid w:val="00583C29"/>
    <w:rsid w:val="00583C5B"/>
    <w:rsid w:val="00583C70"/>
    <w:rsid w:val="00583C92"/>
    <w:rsid w:val="00583D34"/>
    <w:rsid w:val="00583DD1"/>
    <w:rsid w:val="00583E70"/>
    <w:rsid w:val="00583E7A"/>
    <w:rsid w:val="00583EC9"/>
    <w:rsid w:val="00583EDD"/>
    <w:rsid w:val="00583F59"/>
    <w:rsid w:val="00583FBD"/>
    <w:rsid w:val="00583FBE"/>
    <w:rsid w:val="00584000"/>
    <w:rsid w:val="0058401D"/>
    <w:rsid w:val="0058404C"/>
    <w:rsid w:val="005840A4"/>
    <w:rsid w:val="005840E6"/>
    <w:rsid w:val="00584100"/>
    <w:rsid w:val="00584138"/>
    <w:rsid w:val="005841D9"/>
    <w:rsid w:val="005841E9"/>
    <w:rsid w:val="00584236"/>
    <w:rsid w:val="00584291"/>
    <w:rsid w:val="00584298"/>
    <w:rsid w:val="005842A5"/>
    <w:rsid w:val="005842AA"/>
    <w:rsid w:val="005842C0"/>
    <w:rsid w:val="005842E5"/>
    <w:rsid w:val="005842FF"/>
    <w:rsid w:val="0058436E"/>
    <w:rsid w:val="00584382"/>
    <w:rsid w:val="005843B2"/>
    <w:rsid w:val="005843B7"/>
    <w:rsid w:val="005843F5"/>
    <w:rsid w:val="005843F7"/>
    <w:rsid w:val="00584424"/>
    <w:rsid w:val="00584511"/>
    <w:rsid w:val="00584547"/>
    <w:rsid w:val="0058455E"/>
    <w:rsid w:val="00584576"/>
    <w:rsid w:val="005845B7"/>
    <w:rsid w:val="0058464F"/>
    <w:rsid w:val="00584672"/>
    <w:rsid w:val="00584677"/>
    <w:rsid w:val="005846F1"/>
    <w:rsid w:val="00584730"/>
    <w:rsid w:val="00584782"/>
    <w:rsid w:val="00584830"/>
    <w:rsid w:val="00584876"/>
    <w:rsid w:val="00584897"/>
    <w:rsid w:val="005848AB"/>
    <w:rsid w:val="005848FC"/>
    <w:rsid w:val="00584906"/>
    <w:rsid w:val="0058495F"/>
    <w:rsid w:val="00584995"/>
    <w:rsid w:val="00584996"/>
    <w:rsid w:val="005849F6"/>
    <w:rsid w:val="00584A00"/>
    <w:rsid w:val="00584A20"/>
    <w:rsid w:val="00584A39"/>
    <w:rsid w:val="00584A50"/>
    <w:rsid w:val="00584A63"/>
    <w:rsid w:val="00584A7F"/>
    <w:rsid w:val="00584A8D"/>
    <w:rsid w:val="00584A90"/>
    <w:rsid w:val="00584AE9"/>
    <w:rsid w:val="00584B15"/>
    <w:rsid w:val="00584B2D"/>
    <w:rsid w:val="00584B42"/>
    <w:rsid w:val="00584B50"/>
    <w:rsid w:val="00584BBD"/>
    <w:rsid w:val="00584C71"/>
    <w:rsid w:val="00584D29"/>
    <w:rsid w:val="00584D56"/>
    <w:rsid w:val="00584D94"/>
    <w:rsid w:val="00584E05"/>
    <w:rsid w:val="00584E1B"/>
    <w:rsid w:val="00584E69"/>
    <w:rsid w:val="00584E7B"/>
    <w:rsid w:val="00584E9F"/>
    <w:rsid w:val="00584EEF"/>
    <w:rsid w:val="00584F4D"/>
    <w:rsid w:val="00585043"/>
    <w:rsid w:val="00585050"/>
    <w:rsid w:val="00585074"/>
    <w:rsid w:val="00585076"/>
    <w:rsid w:val="0058508E"/>
    <w:rsid w:val="005850B2"/>
    <w:rsid w:val="005850B8"/>
    <w:rsid w:val="00585107"/>
    <w:rsid w:val="00585152"/>
    <w:rsid w:val="005851CB"/>
    <w:rsid w:val="005851D0"/>
    <w:rsid w:val="005851F4"/>
    <w:rsid w:val="0058523B"/>
    <w:rsid w:val="0058523F"/>
    <w:rsid w:val="0058529A"/>
    <w:rsid w:val="00585368"/>
    <w:rsid w:val="005853E5"/>
    <w:rsid w:val="005853F1"/>
    <w:rsid w:val="00585413"/>
    <w:rsid w:val="0058541F"/>
    <w:rsid w:val="0058544D"/>
    <w:rsid w:val="00585490"/>
    <w:rsid w:val="005854D4"/>
    <w:rsid w:val="005854E9"/>
    <w:rsid w:val="005854EF"/>
    <w:rsid w:val="005854F3"/>
    <w:rsid w:val="005855AC"/>
    <w:rsid w:val="005855AF"/>
    <w:rsid w:val="005855B5"/>
    <w:rsid w:val="005855C1"/>
    <w:rsid w:val="0058563F"/>
    <w:rsid w:val="00585652"/>
    <w:rsid w:val="00585675"/>
    <w:rsid w:val="00585712"/>
    <w:rsid w:val="0058573E"/>
    <w:rsid w:val="00585749"/>
    <w:rsid w:val="005857C8"/>
    <w:rsid w:val="005857D2"/>
    <w:rsid w:val="005858E3"/>
    <w:rsid w:val="005858EF"/>
    <w:rsid w:val="0058590F"/>
    <w:rsid w:val="00585943"/>
    <w:rsid w:val="005859AE"/>
    <w:rsid w:val="005859C7"/>
    <w:rsid w:val="005859D2"/>
    <w:rsid w:val="005859E4"/>
    <w:rsid w:val="00585A47"/>
    <w:rsid w:val="00585A65"/>
    <w:rsid w:val="00585A69"/>
    <w:rsid w:val="00585A7B"/>
    <w:rsid w:val="00585A89"/>
    <w:rsid w:val="00585AA5"/>
    <w:rsid w:val="00585B25"/>
    <w:rsid w:val="00585B29"/>
    <w:rsid w:val="00585B97"/>
    <w:rsid w:val="00585BAC"/>
    <w:rsid w:val="00585BBD"/>
    <w:rsid w:val="00585BDB"/>
    <w:rsid w:val="00585BE6"/>
    <w:rsid w:val="00585CD1"/>
    <w:rsid w:val="00585CD7"/>
    <w:rsid w:val="00585D2D"/>
    <w:rsid w:val="00585D99"/>
    <w:rsid w:val="00585DBD"/>
    <w:rsid w:val="00585DD5"/>
    <w:rsid w:val="00585DE7"/>
    <w:rsid w:val="00585DEB"/>
    <w:rsid w:val="00585F68"/>
    <w:rsid w:val="00585F73"/>
    <w:rsid w:val="00585FDD"/>
    <w:rsid w:val="00586001"/>
    <w:rsid w:val="00586004"/>
    <w:rsid w:val="00586045"/>
    <w:rsid w:val="00586061"/>
    <w:rsid w:val="0058607C"/>
    <w:rsid w:val="00586091"/>
    <w:rsid w:val="00586092"/>
    <w:rsid w:val="005860D7"/>
    <w:rsid w:val="00586129"/>
    <w:rsid w:val="00586230"/>
    <w:rsid w:val="00586238"/>
    <w:rsid w:val="00586299"/>
    <w:rsid w:val="005862C1"/>
    <w:rsid w:val="00586359"/>
    <w:rsid w:val="0058637D"/>
    <w:rsid w:val="0058638B"/>
    <w:rsid w:val="005863B7"/>
    <w:rsid w:val="005863BC"/>
    <w:rsid w:val="005863C6"/>
    <w:rsid w:val="005863FA"/>
    <w:rsid w:val="00586486"/>
    <w:rsid w:val="00586496"/>
    <w:rsid w:val="00586503"/>
    <w:rsid w:val="00586538"/>
    <w:rsid w:val="00586556"/>
    <w:rsid w:val="0058655B"/>
    <w:rsid w:val="0058657E"/>
    <w:rsid w:val="005865CA"/>
    <w:rsid w:val="00586621"/>
    <w:rsid w:val="00586666"/>
    <w:rsid w:val="005866D0"/>
    <w:rsid w:val="0058678B"/>
    <w:rsid w:val="005867B1"/>
    <w:rsid w:val="005867EA"/>
    <w:rsid w:val="005867F4"/>
    <w:rsid w:val="005867F7"/>
    <w:rsid w:val="005867FB"/>
    <w:rsid w:val="0058684C"/>
    <w:rsid w:val="00586852"/>
    <w:rsid w:val="00586900"/>
    <w:rsid w:val="0058690F"/>
    <w:rsid w:val="005869BF"/>
    <w:rsid w:val="00586A9D"/>
    <w:rsid w:val="00586AC8"/>
    <w:rsid w:val="00586CC3"/>
    <w:rsid w:val="00586CE8"/>
    <w:rsid w:val="00586CF3"/>
    <w:rsid w:val="00586D39"/>
    <w:rsid w:val="00586D61"/>
    <w:rsid w:val="00586DA2"/>
    <w:rsid w:val="00586DEB"/>
    <w:rsid w:val="00586E56"/>
    <w:rsid w:val="00586E84"/>
    <w:rsid w:val="00586E88"/>
    <w:rsid w:val="00586E98"/>
    <w:rsid w:val="00586EA3"/>
    <w:rsid w:val="00586F80"/>
    <w:rsid w:val="00586FA7"/>
    <w:rsid w:val="00587010"/>
    <w:rsid w:val="00587020"/>
    <w:rsid w:val="00587022"/>
    <w:rsid w:val="00587034"/>
    <w:rsid w:val="005870E8"/>
    <w:rsid w:val="00587117"/>
    <w:rsid w:val="0058713C"/>
    <w:rsid w:val="005871A2"/>
    <w:rsid w:val="005871C0"/>
    <w:rsid w:val="00587224"/>
    <w:rsid w:val="0058722C"/>
    <w:rsid w:val="00587231"/>
    <w:rsid w:val="0058725F"/>
    <w:rsid w:val="00587261"/>
    <w:rsid w:val="00587272"/>
    <w:rsid w:val="00587384"/>
    <w:rsid w:val="0058739C"/>
    <w:rsid w:val="005873C9"/>
    <w:rsid w:val="005873CE"/>
    <w:rsid w:val="0058740B"/>
    <w:rsid w:val="00587425"/>
    <w:rsid w:val="005874C4"/>
    <w:rsid w:val="005874D2"/>
    <w:rsid w:val="005874E2"/>
    <w:rsid w:val="00587502"/>
    <w:rsid w:val="0058757C"/>
    <w:rsid w:val="00587615"/>
    <w:rsid w:val="00587621"/>
    <w:rsid w:val="00587637"/>
    <w:rsid w:val="00587677"/>
    <w:rsid w:val="0058767F"/>
    <w:rsid w:val="005876A4"/>
    <w:rsid w:val="005877C7"/>
    <w:rsid w:val="00587877"/>
    <w:rsid w:val="005878A6"/>
    <w:rsid w:val="005878AF"/>
    <w:rsid w:val="005879BC"/>
    <w:rsid w:val="005879FB"/>
    <w:rsid w:val="00587A08"/>
    <w:rsid w:val="00587A29"/>
    <w:rsid w:val="00587A48"/>
    <w:rsid w:val="00587A62"/>
    <w:rsid w:val="00587AB9"/>
    <w:rsid w:val="00587B29"/>
    <w:rsid w:val="00587B36"/>
    <w:rsid w:val="00587BB2"/>
    <w:rsid w:val="00587C4A"/>
    <w:rsid w:val="00587C5C"/>
    <w:rsid w:val="00587D19"/>
    <w:rsid w:val="00587D1C"/>
    <w:rsid w:val="00587D48"/>
    <w:rsid w:val="00587D9C"/>
    <w:rsid w:val="00587DBB"/>
    <w:rsid w:val="00587DF8"/>
    <w:rsid w:val="00587E10"/>
    <w:rsid w:val="00587E6F"/>
    <w:rsid w:val="00587E91"/>
    <w:rsid w:val="00587EB5"/>
    <w:rsid w:val="00587F1E"/>
    <w:rsid w:val="00587F52"/>
    <w:rsid w:val="00587F58"/>
    <w:rsid w:val="00587FA1"/>
    <w:rsid w:val="00590015"/>
    <w:rsid w:val="0059001D"/>
    <w:rsid w:val="0059005D"/>
    <w:rsid w:val="0059006F"/>
    <w:rsid w:val="0059008F"/>
    <w:rsid w:val="005900E1"/>
    <w:rsid w:val="005900F2"/>
    <w:rsid w:val="00590113"/>
    <w:rsid w:val="0059016B"/>
    <w:rsid w:val="005901B8"/>
    <w:rsid w:val="005901FB"/>
    <w:rsid w:val="00590260"/>
    <w:rsid w:val="00590273"/>
    <w:rsid w:val="005902D1"/>
    <w:rsid w:val="005902D2"/>
    <w:rsid w:val="005902FD"/>
    <w:rsid w:val="0059033A"/>
    <w:rsid w:val="0059033B"/>
    <w:rsid w:val="005903B1"/>
    <w:rsid w:val="005903FD"/>
    <w:rsid w:val="0059048D"/>
    <w:rsid w:val="0059049D"/>
    <w:rsid w:val="005904B3"/>
    <w:rsid w:val="005904D1"/>
    <w:rsid w:val="005904D7"/>
    <w:rsid w:val="00590527"/>
    <w:rsid w:val="0059056F"/>
    <w:rsid w:val="00590598"/>
    <w:rsid w:val="005905A4"/>
    <w:rsid w:val="005905B7"/>
    <w:rsid w:val="00590642"/>
    <w:rsid w:val="0059067F"/>
    <w:rsid w:val="005906A4"/>
    <w:rsid w:val="005906A5"/>
    <w:rsid w:val="00590708"/>
    <w:rsid w:val="00590714"/>
    <w:rsid w:val="0059071B"/>
    <w:rsid w:val="0059073E"/>
    <w:rsid w:val="00590742"/>
    <w:rsid w:val="00590767"/>
    <w:rsid w:val="005907C1"/>
    <w:rsid w:val="00590854"/>
    <w:rsid w:val="00590862"/>
    <w:rsid w:val="00590870"/>
    <w:rsid w:val="00590872"/>
    <w:rsid w:val="005908AE"/>
    <w:rsid w:val="005908E9"/>
    <w:rsid w:val="00590905"/>
    <w:rsid w:val="005909FB"/>
    <w:rsid w:val="00590A28"/>
    <w:rsid w:val="00590A68"/>
    <w:rsid w:val="00590AB3"/>
    <w:rsid w:val="00590AB8"/>
    <w:rsid w:val="00590AE1"/>
    <w:rsid w:val="00590AFD"/>
    <w:rsid w:val="00590B00"/>
    <w:rsid w:val="00590B64"/>
    <w:rsid w:val="00590B78"/>
    <w:rsid w:val="00590BD8"/>
    <w:rsid w:val="00590BFF"/>
    <w:rsid w:val="00590C57"/>
    <w:rsid w:val="00590C6E"/>
    <w:rsid w:val="00590D04"/>
    <w:rsid w:val="00590D05"/>
    <w:rsid w:val="00590D0C"/>
    <w:rsid w:val="00590EBA"/>
    <w:rsid w:val="0059102C"/>
    <w:rsid w:val="00591093"/>
    <w:rsid w:val="00591098"/>
    <w:rsid w:val="0059109B"/>
    <w:rsid w:val="0059109C"/>
    <w:rsid w:val="005910BE"/>
    <w:rsid w:val="005910E5"/>
    <w:rsid w:val="00591108"/>
    <w:rsid w:val="00591224"/>
    <w:rsid w:val="00591229"/>
    <w:rsid w:val="00591260"/>
    <w:rsid w:val="00591287"/>
    <w:rsid w:val="005912C2"/>
    <w:rsid w:val="005912D4"/>
    <w:rsid w:val="00591369"/>
    <w:rsid w:val="005913A3"/>
    <w:rsid w:val="005913C4"/>
    <w:rsid w:val="005913D9"/>
    <w:rsid w:val="00591414"/>
    <w:rsid w:val="00591454"/>
    <w:rsid w:val="00591465"/>
    <w:rsid w:val="005914C4"/>
    <w:rsid w:val="0059150A"/>
    <w:rsid w:val="00591534"/>
    <w:rsid w:val="00591633"/>
    <w:rsid w:val="00591677"/>
    <w:rsid w:val="00591681"/>
    <w:rsid w:val="005916F7"/>
    <w:rsid w:val="0059173F"/>
    <w:rsid w:val="00591745"/>
    <w:rsid w:val="005917C6"/>
    <w:rsid w:val="005917CB"/>
    <w:rsid w:val="00591839"/>
    <w:rsid w:val="00591869"/>
    <w:rsid w:val="00591895"/>
    <w:rsid w:val="005918E8"/>
    <w:rsid w:val="00591990"/>
    <w:rsid w:val="00591A39"/>
    <w:rsid w:val="00591AA3"/>
    <w:rsid w:val="00591AA6"/>
    <w:rsid w:val="00591B94"/>
    <w:rsid w:val="00591B9B"/>
    <w:rsid w:val="00591BF7"/>
    <w:rsid w:val="00591C8F"/>
    <w:rsid w:val="00591D7A"/>
    <w:rsid w:val="00591DB4"/>
    <w:rsid w:val="00591E7C"/>
    <w:rsid w:val="00591E99"/>
    <w:rsid w:val="00591EA3"/>
    <w:rsid w:val="00591EDA"/>
    <w:rsid w:val="00591EFC"/>
    <w:rsid w:val="00591F04"/>
    <w:rsid w:val="00591F29"/>
    <w:rsid w:val="00591F4D"/>
    <w:rsid w:val="00591F54"/>
    <w:rsid w:val="00591F78"/>
    <w:rsid w:val="00591FB7"/>
    <w:rsid w:val="00591FCE"/>
    <w:rsid w:val="00591FD3"/>
    <w:rsid w:val="00591FDC"/>
    <w:rsid w:val="0059202F"/>
    <w:rsid w:val="005920E0"/>
    <w:rsid w:val="00592142"/>
    <w:rsid w:val="005921B2"/>
    <w:rsid w:val="0059220D"/>
    <w:rsid w:val="00592220"/>
    <w:rsid w:val="0059225A"/>
    <w:rsid w:val="005922BC"/>
    <w:rsid w:val="005922D8"/>
    <w:rsid w:val="0059235B"/>
    <w:rsid w:val="005923B5"/>
    <w:rsid w:val="005923DA"/>
    <w:rsid w:val="005923E1"/>
    <w:rsid w:val="00592446"/>
    <w:rsid w:val="005924E0"/>
    <w:rsid w:val="00592548"/>
    <w:rsid w:val="00592598"/>
    <w:rsid w:val="00592639"/>
    <w:rsid w:val="005926F1"/>
    <w:rsid w:val="00592751"/>
    <w:rsid w:val="00592755"/>
    <w:rsid w:val="00592791"/>
    <w:rsid w:val="005927A3"/>
    <w:rsid w:val="005927AC"/>
    <w:rsid w:val="005927B7"/>
    <w:rsid w:val="005927C4"/>
    <w:rsid w:val="005927CA"/>
    <w:rsid w:val="005927E5"/>
    <w:rsid w:val="00592821"/>
    <w:rsid w:val="00592836"/>
    <w:rsid w:val="00592859"/>
    <w:rsid w:val="00592874"/>
    <w:rsid w:val="0059287B"/>
    <w:rsid w:val="00592894"/>
    <w:rsid w:val="005928A9"/>
    <w:rsid w:val="005928E3"/>
    <w:rsid w:val="0059294D"/>
    <w:rsid w:val="0059296D"/>
    <w:rsid w:val="00592984"/>
    <w:rsid w:val="005929A6"/>
    <w:rsid w:val="005929AC"/>
    <w:rsid w:val="005929D4"/>
    <w:rsid w:val="00592A21"/>
    <w:rsid w:val="00592AF0"/>
    <w:rsid w:val="00592AFC"/>
    <w:rsid w:val="00592B1E"/>
    <w:rsid w:val="00592BA1"/>
    <w:rsid w:val="00592BBA"/>
    <w:rsid w:val="00592BF9"/>
    <w:rsid w:val="00592C0C"/>
    <w:rsid w:val="00592C69"/>
    <w:rsid w:val="00592D14"/>
    <w:rsid w:val="00592D1E"/>
    <w:rsid w:val="00592D4D"/>
    <w:rsid w:val="00592D7C"/>
    <w:rsid w:val="00592DCB"/>
    <w:rsid w:val="00592DFB"/>
    <w:rsid w:val="00592E87"/>
    <w:rsid w:val="00592EA2"/>
    <w:rsid w:val="00592EBC"/>
    <w:rsid w:val="00592EBE"/>
    <w:rsid w:val="00592F24"/>
    <w:rsid w:val="00592F4D"/>
    <w:rsid w:val="00592F6F"/>
    <w:rsid w:val="00592FB9"/>
    <w:rsid w:val="00593048"/>
    <w:rsid w:val="0059304C"/>
    <w:rsid w:val="005930DE"/>
    <w:rsid w:val="005930E0"/>
    <w:rsid w:val="00593124"/>
    <w:rsid w:val="0059312C"/>
    <w:rsid w:val="0059314F"/>
    <w:rsid w:val="00593161"/>
    <w:rsid w:val="00593173"/>
    <w:rsid w:val="0059317D"/>
    <w:rsid w:val="0059319D"/>
    <w:rsid w:val="00593219"/>
    <w:rsid w:val="00593365"/>
    <w:rsid w:val="00593379"/>
    <w:rsid w:val="005933D5"/>
    <w:rsid w:val="00593444"/>
    <w:rsid w:val="0059345D"/>
    <w:rsid w:val="005934C7"/>
    <w:rsid w:val="0059358D"/>
    <w:rsid w:val="0059358F"/>
    <w:rsid w:val="00593596"/>
    <w:rsid w:val="00593615"/>
    <w:rsid w:val="00593650"/>
    <w:rsid w:val="00593655"/>
    <w:rsid w:val="005936E2"/>
    <w:rsid w:val="0059372F"/>
    <w:rsid w:val="005937A6"/>
    <w:rsid w:val="005937E5"/>
    <w:rsid w:val="00593850"/>
    <w:rsid w:val="005938CB"/>
    <w:rsid w:val="005938CC"/>
    <w:rsid w:val="0059392D"/>
    <w:rsid w:val="00593A7F"/>
    <w:rsid w:val="00593AF1"/>
    <w:rsid w:val="00593BAE"/>
    <w:rsid w:val="00593BE7"/>
    <w:rsid w:val="00593C78"/>
    <w:rsid w:val="00593C79"/>
    <w:rsid w:val="00593D4B"/>
    <w:rsid w:val="00593D69"/>
    <w:rsid w:val="00593D7E"/>
    <w:rsid w:val="00593DC4"/>
    <w:rsid w:val="00593DE2"/>
    <w:rsid w:val="00593E53"/>
    <w:rsid w:val="00593E74"/>
    <w:rsid w:val="00593E79"/>
    <w:rsid w:val="00593F3F"/>
    <w:rsid w:val="00593F53"/>
    <w:rsid w:val="00593F6F"/>
    <w:rsid w:val="00593F70"/>
    <w:rsid w:val="00594120"/>
    <w:rsid w:val="00594122"/>
    <w:rsid w:val="0059415E"/>
    <w:rsid w:val="0059416D"/>
    <w:rsid w:val="005941C0"/>
    <w:rsid w:val="005941C9"/>
    <w:rsid w:val="005941FF"/>
    <w:rsid w:val="00594225"/>
    <w:rsid w:val="00594282"/>
    <w:rsid w:val="005942AF"/>
    <w:rsid w:val="005942BA"/>
    <w:rsid w:val="005942BF"/>
    <w:rsid w:val="005942EB"/>
    <w:rsid w:val="00594336"/>
    <w:rsid w:val="0059437F"/>
    <w:rsid w:val="005943A4"/>
    <w:rsid w:val="00594407"/>
    <w:rsid w:val="00594470"/>
    <w:rsid w:val="005944B0"/>
    <w:rsid w:val="005944D6"/>
    <w:rsid w:val="0059451F"/>
    <w:rsid w:val="00594529"/>
    <w:rsid w:val="0059455A"/>
    <w:rsid w:val="0059461A"/>
    <w:rsid w:val="0059469F"/>
    <w:rsid w:val="005946BC"/>
    <w:rsid w:val="005946E2"/>
    <w:rsid w:val="005946E6"/>
    <w:rsid w:val="005946F8"/>
    <w:rsid w:val="00594721"/>
    <w:rsid w:val="00594728"/>
    <w:rsid w:val="005947B8"/>
    <w:rsid w:val="005947BF"/>
    <w:rsid w:val="00594823"/>
    <w:rsid w:val="0059482B"/>
    <w:rsid w:val="00594837"/>
    <w:rsid w:val="00594851"/>
    <w:rsid w:val="00594885"/>
    <w:rsid w:val="005948E0"/>
    <w:rsid w:val="00594987"/>
    <w:rsid w:val="00594991"/>
    <w:rsid w:val="00594995"/>
    <w:rsid w:val="005949F6"/>
    <w:rsid w:val="00594A1F"/>
    <w:rsid w:val="00594A51"/>
    <w:rsid w:val="00594A5D"/>
    <w:rsid w:val="00594A7A"/>
    <w:rsid w:val="00594A9A"/>
    <w:rsid w:val="00594AD2"/>
    <w:rsid w:val="00594B13"/>
    <w:rsid w:val="00594B57"/>
    <w:rsid w:val="00594BF7"/>
    <w:rsid w:val="00594C01"/>
    <w:rsid w:val="00594C05"/>
    <w:rsid w:val="00594C60"/>
    <w:rsid w:val="00594C9C"/>
    <w:rsid w:val="00594CD3"/>
    <w:rsid w:val="00594D0D"/>
    <w:rsid w:val="00594DC3"/>
    <w:rsid w:val="00594DD9"/>
    <w:rsid w:val="00594E1C"/>
    <w:rsid w:val="00594E23"/>
    <w:rsid w:val="00594E2F"/>
    <w:rsid w:val="00594E5A"/>
    <w:rsid w:val="00594E9F"/>
    <w:rsid w:val="00594EDA"/>
    <w:rsid w:val="00594F36"/>
    <w:rsid w:val="00594F9B"/>
    <w:rsid w:val="00594FEF"/>
    <w:rsid w:val="0059504A"/>
    <w:rsid w:val="0059505C"/>
    <w:rsid w:val="0059506C"/>
    <w:rsid w:val="00595072"/>
    <w:rsid w:val="005950C7"/>
    <w:rsid w:val="005950FC"/>
    <w:rsid w:val="00595120"/>
    <w:rsid w:val="00595125"/>
    <w:rsid w:val="00595180"/>
    <w:rsid w:val="005951D0"/>
    <w:rsid w:val="005951D8"/>
    <w:rsid w:val="005952DE"/>
    <w:rsid w:val="00595326"/>
    <w:rsid w:val="0059537B"/>
    <w:rsid w:val="00595381"/>
    <w:rsid w:val="00595396"/>
    <w:rsid w:val="0059543F"/>
    <w:rsid w:val="00595461"/>
    <w:rsid w:val="0059548F"/>
    <w:rsid w:val="005954D7"/>
    <w:rsid w:val="00595542"/>
    <w:rsid w:val="00595566"/>
    <w:rsid w:val="0059557A"/>
    <w:rsid w:val="00595598"/>
    <w:rsid w:val="00595654"/>
    <w:rsid w:val="0059565F"/>
    <w:rsid w:val="00595686"/>
    <w:rsid w:val="005956BE"/>
    <w:rsid w:val="005956E5"/>
    <w:rsid w:val="005956E6"/>
    <w:rsid w:val="005956EE"/>
    <w:rsid w:val="00595709"/>
    <w:rsid w:val="005957B6"/>
    <w:rsid w:val="005957CF"/>
    <w:rsid w:val="005957DE"/>
    <w:rsid w:val="005957DF"/>
    <w:rsid w:val="005957E4"/>
    <w:rsid w:val="00595877"/>
    <w:rsid w:val="00595892"/>
    <w:rsid w:val="005958A4"/>
    <w:rsid w:val="00595924"/>
    <w:rsid w:val="0059595C"/>
    <w:rsid w:val="00595976"/>
    <w:rsid w:val="0059598D"/>
    <w:rsid w:val="00595A40"/>
    <w:rsid w:val="00595A41"/>
    <w:rsid w:val="00595AD4"/>
    <w:rsid w:val="00595B39"/>
    <w:rsid w:val="00595C0B"/>
    <w:rsid w:val="00595C71"/>
    <w:rsid w:val="00595D21"/>
    <w:rsid w:val="00595D41"/>
    <w:rsid w:val="00595D51"/>
    <w:rsid w:val="00595D7B"/>
    <w:rsid w:val="00595E1C"/>
    <w:rsid w:val="00595E70"/>
    <w:rsid w:val="00595E72"/>
    <w:rsid w:val="00595E74"/>
    <w:rsid w:val="00595ED7"/>
    <w:rsid w:val="00595F11"/>
    <w:rsid w:val="00595F37"/>
    <w:rsid w:val="00595FC0"/>
    <w:rsid w:val="0059602E"/>
    <w:rsid w:val="005960F7"/>
    <w:rsid w:val="005960FF"/>
    <w:rsid w:val="0059621B"/>
    <w:rsid w:val="00596230"/>
    <w:rsid w:val="00596250"/>
    <w:rsid w:val="005962D3"/>
    <w:rsid w:val="00596305"/>
    <w:rsid w:val="00596309"/>
    <w:rsid w:val="0059634D"/>
    <w:rsid w:val="0059636A"/>
    <w:rsid w:val="00596390"/>
    <w:rsid w:val="00596395"/>
    <w:rsid w:val="005963DE"/>
    <w:rsid w:val="00596444"/>
    <w:rsid w:val="00596447"/>
    <w:rsid w:val="0059646B"/>
    <w:rsid w:val="005964DA"/>
    <w:rsid w:val="005964F0"/>
    <w:rsid w:val="00596564"/>
    <w:rsid w:val="00596565"/>
    <w:rsid w:val="005965AB"/>
    <w:rsid w:val="005965B5"/>
    <w:rsid w:val="005965C6"/>
    <w:rsid w:val="005965D0"/>
    <w:rsid w:val="0059662A"/>
    <w:rsid w:val="005966AE"/>
    <w:rsid w:val="005966F5"/>
    <w:rsid w:val="00596719"/>
    <w:rsid w:val="0059672E"/>
    <w:rsid w:val="005967B7"/>
    <w:rsid w:val="0059685E"/>
    <w:rsid w:val="005968C6"/>
    <w:rsid w:val="00596918"/>
    <w:rsid w:val="0059694B"/>
    <w:rsid w:val="00596973"/>
    <w:rsid w:val="005969B2"/>
    <w:rsid w:val="005969FE"/>
    <w:rsid w:val="00596A34"/>
    <w:rsid w:val="00596B34"/>
    <w:rsid w:val="00596B95"/>
    <w:rsid w:val="00596BC3"/>
    <w:rsid w:val="00596C0C"/>
    <w:rsid w:val="00596C4F"/>
    <w:rsid w:val="00596C9E"/>
    <w:rsid w:val="00596CF8"/>
    <w:rsid w:val="00596D35"/>
    <w:rsid w:val="00596D96"/>
    <w:rsid w:val="00596E80"/>
    <w:rsid w:val="00596F52"/>
    <w:rsid w:val="00596F85"/>
    <w:rsid w:val="0059705E"/>
    <w:rsid w:val="0059707A"/>
    <w:rsid w:val="0059709E"/>
    <w:rsid w:val="005970A2"/>
    <w:rsid w:val="005970F6"/>
    <w:rsid w:val="00597144"/>
    <w:rsid w:val="00597146"/>
    <w:rsid w:val="00597153"/>
    <w:rsid w:val="0059716A"/>
    <w:rsid w:val="00597175"/>
    <w:rsid w:val="005971FC"/>
    <w:rsid w:val="00597228"/>
    <w:rsid w:val="0059722C"/>
    <w:rsid w:val="0059725F"/>
    <w:rsid w:val="0059728A"/>
    <w:rsid w:val="005972BA"/>
    <w:rsid w:val="005972C8"/>
    <w:rsid w:val="005972D6"/>
    <w:rsid w:val="0059736A"/>
    <w:rsid w:val="00597371"/>
    <w:rsid w:val="00597373"/>
    <w:rsid w:val="00597375"/>
    <w:rsid w:val="00597384"/>
    <w:rsid w:val="00597406"/>
    <w:rsid w:val="00597476"/>
    <w:rsid w:val="00597488"/>
    <w:rsid w:val="005974EF"/>
    <w:rsid w:val="0059753D"/>
    <w:rsid w:val="0059754B"/>
    <w:rsid w:val="00597566"/>
    <w:rsid w:val="0059759B"/>
    <w:rsid w:val="005975AB"/>
    <w:rsid w:val="005975E5"/>
    <w:rsid w:val="005976B9"/>
    <w:rsid w:val="005976D6"/>
    <w:rsid w:val="00597705"/>
    <w:rsid w:val="00597706"/>
    <w:rsid w:val="00597709"/>
    <w:rsid w:val="005977E9"/>
    <w:rsid w:val="00597836"/>
    <w:rsid w:val="00597869"/>
    <w:rsid w:val="0059786E"/>
    <w:rsid w:val="00597A38"/>
    <w:rsid w:val="00597A52"/>
    <w:rsid w:val="00597A6D"/>
    <w:rsid w:val="00597AB5"/>
    <w:rsid w:val="00597ACC"/>
    <w:rsid w:val="00597AEA"/>
    <w:rsid w:val="00597B16"/>
    <w:rsid w:val="00597B4C"/>
    <w:rsid w:val="00597B90"/>
    <w:rsid w:val="00597B91"/>
    <w:rsid w:val="00597CBA"/>
    <w:rsid w:val="00597D1C"/>
    <w:rsid w:val="00597D32"/>
    <w:rsid w:val="00597D71"/>
    <w:rsid w:val="00597D9E"/>
    <w:rsid w:val="00597DE2"/>
    <w:rsid w:val="00597E59"/>
    <w:rsid w:val="00597EA4"/>
    <w:rsid w:val="00597ED9"/>
    <w:rsid w:val="00597F0D"/>
    <w:rsid w:val="00597F16"/>
    <w:rsid w:val="00597F29"/>
    <w:rsid w:val="00597F42"/>
    <w:rsid w:val="00597F9B"/>
    <w:rsid w:val="00597FA7"/>
    <w:rsid w:val="00597FA9"/>
    <w:rsid w:val="00597FC5"/>
    <w:rsid w:val="005A0064"/>
    <w:rsid w:val="005A00CF"/>
    <w:rsid w:val="005A0135"/>
    <w:rsid w:val="005A0161"/>
    <w:rsid w:val="005A0167"/>
    <w:rsid w:val="005A019E"/>
    <w:rsid w:val="005A01FF"/>
    <w:rsid w:val="005A0202"/>
    <w:rsid w:val="005A0203"/>
    <w:rsid w:val="005A020A"/>
    <w:rsid w:val="005A0210"/>
    <w:rsid w:val="005A0365"/>
    <w:rsid w:val="005A03C1"/>
    <w:rsid w:val="005A041B"/>
    <w:rsid w:val="005A044E"/>
    <w:rsid w:val="005A0451"/>
    <w:rsid w:val="005A0462"/>
    <w:rsid w:val="005A0482"/>
    <w:rsid w:val="005A04BB"/>
    <w:rsid w:val="005A05A6"/>
    <w:rsid w:val="005A060F"/>
    <w:rsid w:val="005A067B"/>
    <w:rsid w:val="005A06A6"/>
    <w:rsid w:val="005A06AA"/>
    <w:rsid w:val="005A06AC"/>
    <w:rsid w:val="005A06FD"/>
    <w:rsid w:val="005A074E"/>
    <w:rsid w:val="005A0764"/>
    <w:rsid w:val="005A0777"/>
    <w:rsid w:val="005A07C1"/>
    <w:rsid w:val="005A0806"/>
    <w:rsid w:val="005A082C"/>
    <w:rsid w:val="005A089B"/>
    <w:rsid w:val="005A089E"/>
    <w:rsid w:val="005A08A4"/>
    <w:rsid w:val="005A0975"/>
    <w:rsid w:val="005A0991"/>
    <w:rsid w:val="005A09EE"/>
    <w:rsid w:val="005A0A41"/>
    <w:rsid w:val="005A0ABC"/>
    <w:rsid w:val="005A0AD6"/>
    <w:rsid w:val="005A0B27"/>
    <w:rsid w:val="005A0B44"/>
    <w:rsid w:val="005A0B58"/>
    <w:rsid w:val="005A0C62"/>
    <w:rsid w:val="005A0C6B"/>
    <w:rsid w:val="005A0C75"/>
    <w:rsid w:val="005A0C8B"/>
    <w:rsid w:val="005A0CA3"/>
    <w:rsid w:val="005A0CCE"/>
    <w:rsid w:val="005A0D55"/>
    <w:rsid w:val="005A0D86"/>
    <w:rsid w:val="005A0E13"/>
    <w:rsid w:val="005A0E80"/>
    <w:rsid w:val="005A0EE0"/>
    <w:rsid w:val="005A0F0F"/>
    <w:rsid w:val="005A0F9C"/>
    <w:rsid w:val="005A0FC5"/>
    <w:rsid w:val="005A0FC7"/>
    <w:rsid w:val="005A1035"/>
    <w:rsid w:val="005A107E"/>
    <w:rsid w:val="005A1089"/>
    <w:rsid w:val="005A10F7"/>
    <w:rsid w:val="005A1146"/>
    <w:rsid w:val="005A1149"/>
    <w:rsid w:val="005A11AC"/>
    <w:rsid w:val="005A11CE"/>
    <w:rsid w:val="005A11F9"/>
    <w:rsid w:val="005A1208"/>
    <w:rsid w:val="005A1245"/>
    <w:rsid w:val="005A12EC"/>
    <w:rsid w:val="005A1318"/>
    <w:rsid w:val="005A1335"/>
    <w:rsid w:val="005A1398"/>
    <w:rsid w:val="005A139D"/>
    <w:rsid w:val="005A13A9"/>
    <w:rsid w:val="005A145F"/>
    <w:rsid w:val="005A14D2"/>
    <w:rsid w:val="005A14FD"/>
    <w:rsid w:val="005A153A"/>
    <w:rsid w:val="005A15FE"/>
    <w:rsid w:val="005A1655"/>
    <w:rsid w:val="005A16CA"/>
    <w:rsid w:val="005A16D4"/>
    <w:rsid w:val="005A16E3"/>
    <w:rsid w:val="005A17BA"/>
    <w:rsid w:val="005A17BF"/>
    <w:rsid w:val="005A1819"/>
    <w:rsid w:val="005A1834"/>
    <w:rsid w:val="005A1874"/>
    <w:rsid w:val="005A1893"/>
    <w:rsid w:val="005A189F"/>
    <w:rsid w:val="005A18A1"/>
    <w:rsid w:val="005A18A4"/>
    <w:rsid w:val="005A18B0"/>
    <w:rsid w:val="005A18C9"/>
    <w:rsid w:val="005A1901"/>
    <w:rsid w:val="005A1904"/>
    <w:rsid w:val="005A1907"/>
    <w:rsid w:val="005A190B"/>
    <w:rsid w:val="005A191A"/>
    <w:rsid w:val="005A1985"/>
    <w:rsid w:val="005A1998"/>
    <w:rsid w:val="005A1A02"/>
    <w:rsid w:val="005A1A64"/>
    <w:rsid w:val="005A1A8C"/>
    <w:rsid w:val="005A1ABB"/>
    <w:rsid w:val="005A1B59"/>
    <w:rsid w:val="005A1BCB"/>
    <w:rsid w:val="005A1C8D"/>
    <w:rsid w:val="005A1C8F"/>
    <w:rsid w:val="005A1CE3"/>
    <w:rsid w:val="005A1D11"/>
    <w:rsid w:val="005A1D2D"/>
    <w:rsid w:val="005A1D56"/>
    <w:rsid w:val="005A1D72"/>
    <w:rsid w:val="005A1DC6"/>
    <w:rsid w:val="005A1E61"/>
    <w:rsid w:val="005A1F08"/>
    <w:rsid w:val="005A1F1E"/>
    <w:rsid w:val="005A1F26"/>
    <w:rsid w:val="005A1F72"/>
    <w:rsid w:val="005A201C"/>
    <w:rsid w:val="005A208A"/>
    <w:rsid w:val="005A2093"/>
    <w:rsid w:val="005A2132"/>
    <w:rsid w:val="005A2182"/>
    <w:rsid w:val="005A223B"/>
    <w:rsid w:val="005A2261"/>
    <w:rsid w:val="005A2272"/>
    <w:rsid w:val="005A22F7"/>
    <w:rsid w:val="005A2381"/>
    <w:rsid w:val="005A2399"/>
    <w:rsid w:val="005A23B3"/>
    <w:rsid w:val="005A23F4"/>
    <w:rsid w:val="005A249C"/>
    <w:rsid w:val="005A252B"/>
    <w:rsid w:val="005A254F"/>
    <w:rsid w:val="005A2565"/>
    <w:rsid w:val="005A257C"/>
    <w:rsid w:val="005A26B3"/>
    <w:rsid w:val="005A2722"/>
    <w:rsid w:val="005A272C"/>
    <w:rsid w:val="005A2745"/>
    <w:rsid w:val="005A27D0"/>
    <w:rsid w:val="005A27D7"/>
    <w:rsid w:val="005A28BF"/>
    <w:rsid w:val="005A2911"/>
    <w:rsid w:val="005A2942"/>
    <w:rsid w:val="005A2974"/>
    <w:rsid w:val="005A29AC"/>
    <w:rsid w:val="005A29EC"/>
    <w:rsid w:val="005A2A15"/>
    <w:rsid w:val="005A2A56"/>
    <w:rsid w:val="005A2AA8"/>
    <w:rsid w:val="005A2AF8"/>
    <w:rsid w:val="005A2AFE"/>
    <w:rsid w:val="005A2B8F"/>
    <w:rsid w:val="005A2C07"/>
    <w:rsid w:val="005A2C57"/>
    <w:rsid w:val="005A2D32"/>
    <w:rsid w:val="005A2D67"/>
    <w:rsid w:val="005A2D6C"/>
    <w:rsid w:val="005A2D76"/>
    <w:rsid w:val="005A2E43"/>
    <w:rsid w:val="005A2E66"/>
    <w:rsid w:val="005A2EF8"/>
    <w:rsid w:val="005A2F31"/>
    <w:rsid w:val="005A2F7C"/>
    <w:rsid w:val="005A2FEA"/>
    <w:rsid w:val="005A30B1"/>
    <w:rsid w:val="005A30DB"/>
    <w:rsid w:val="005A311D"/>
    <w:rsid w:val="005A3188"/>
    <w:rsid w:val="005A321B"/>
    <w:rsid w:val="005A32A6"/>
    <w:rsid w:val="005A333F"/>
    <w:rsid w:val="005A3340"/>
    <w:rsid w:val="005A33A4"/>
    <w:rsid w:val="005A33AB"/>
    <w:rsid w:val="005A33DB"/>
    <w:rsid w:val="005A33E5"/>
    <w:rsid w:val="005A33F1"/>
    <w:rsid w:val="005A33FD"/>
    <w:rsid w:val="005A3448"/>
    <w:rsid w:val="005A3457"/>
    <w:rsid w:val="005A3468"/>
    <w:rsid w:val="005A34D5"/>
    <w:rsid w:val="005A34F6"/>
    <w:rsid w:val="005A34FF"/>
    <w:rsid w:val="005A3504"/>
    <w:rsid w:val="005A3507"/>
    <w:rsid w:val="005A3543"/>
    <w:rsid w:val="005A35D0"/>
    <w:rsid w:val="005A35FA"/>
    <w:rsid w:val="005A3652"/>
    <w:rsid w:val="005A369B"/>
    <w:rsid w:val="005A3721"/>
    <w:rsid w:val="005A3726"/>
    <w:rsid w:val="005A3727"/>
    <w:rsid w:val="005A3733"/>
    <w:rsid w:val="005A37A4"/>
    <w:rsid w:val="005A37FF"/>
    <w:rsid w:val="005A3815"/>
    <w:rsid w:val="005A38A2"/>
    <w:rsid w:val="005A38E1"/>
    <w:rsid w:val="005A38F3"/>
    <w:rsid w:val="005A3919"/>
    <w:rsid w:val="005A3953"/>
    <w:rsid w:val="005A3A2E"/>
    <w:rsid w:val="005A3AA6"/>
    <w:rsid w:val="005A3AF2"/>
    <w:rsid w:val="005A3B75"/>
    <w:rsid w:val="005A3BAB"/>
    <w:rsid w:val="005A3BEB"/>
    <w:rsid w:val="005A3C00"/>
    <w:rsid w:val="005A3C1B"/>
    <w:rsid w:val="005A3C32"/>
    <w:rsid w:val="005A3C84"/>
    <w:rsid w:val="005A3C9F"/>
    <w:rsid w:val="005A3CDC"/>
    <w:rsid w:val="005A3D06"/>
    <w:rsid w:val="005A3D38"/>
    <w:rsid w:val="005A3D45"/>
    <w:rsid w:val="005A3DCC"/>
    <w:rsid w:val="005A3E14"/>
    <w:rsid w:val="005A3E35"/>
    <w:rsid w:val="005A3E5F"/>
    <w:rsid w:val="005A3E95"/>
    <w:rsid w:val="005A3FFE"/>
    <w:rsid w:val="005A40CB"/>
    <w:rsid w:val="005A4198"/>
    <w:rsid w:val="005A41A4"/>
    <w:rsid w:val="005A41BA"/>
    <w:rsid w:val="005A4234"/>
    <w:rsid w:val="005A423A"/>
    <w:rsid w:val="005A4253"/>
    <w:rsid w:val="005A426B"/>
    <w:rsid w:val="005A426C"/>
    <w:rsid w:val="005A426E"/>
    <w:rsid w:val="005A4274"/>
    <w:rsid w:val="005A4286"/>
    <w:rsid w:val="005A42F3"/>
    <w:rsid w:val="005A4305"/>
    <w:rsid w:val="005A4311"/>
    <w:rsid w:val="005A4328"/>
    <w:rsid w:val="005A432A"/>
    <w:rsid w:val="005A44A5"/>
    <w:rsid w:val="005A44B5"/>
    <w:rsid w:val="005A44DF"/>
    <w:rsid w:val="005A452B"/>
    <w:rsid w:val="005A458B"/>
    <w:rsid w:val="005A4643"/>
    <w:rsid w:val="005A4649"/>
    <w:rsid w:val="005A4691"/>
    <w:rsid w:val="005A4695"/>
    <w:rsid w:val="005A4751"/>
    <w:rsid w:val="005A4758"/>
    <w:rsid w:val="005A4788"/>
    <w:rsid w:val="005A47BE"/>
    <w:rsid w:val="005A482D"/>
    <w:rsid w:val="005A487A"/>
    <w:rsid w:val="005A4898"/>
    <w:rsid w:val="005A49D6"/>
    <w:rsid w:val="005A4A50"/>
    <w:rsid w:val="005A4A5E"/>
    <w:rsid w:val="005A4A93"/>
    <w:rsid w:val="005A4AA2"/>
    <w:rsid w:val="005A4AB1"/>
    <w:rsid w:val="005A4AEE"/>
    <w:rsid w:val="005A4B03"/>
    <w:rsid w:val="005A4B34"/>
    <w:rsid w:val="005A4B63"/>
    <w:rsid w:val="005A4B68"/>
    <w:rsid w:val="005A4B75"/>
    <w:rsid w:val="005A4B82"/>
    <w:rsid w:val="005A4BC3"/>
    <w:rsid w:val="005A4BCA"/>
    <w:rsid w:val="005A4BE8"/>
    <w:rsid w:val="005A4C1C"/>
    <w:rsid w:val="005A4C23"/>
    <w:rsid w:val="005A4C67"/>
    <w:rsid w:val="005A4C89"/>
    <w:rsid w:val="005A4D47"/>
    <w:rsid w:val="005A4D8C"/>
    <w:rsid w:val="005A4D8F"/>
    <w:rsid w:val="005A4D90"/>
    <w:rsid w:val="005A4D99"/>
    <w:rsid w:val="005A4E33"/>
    <w:rsid w:val="005A4E5B"/>
    <w:rsid w:val="005A4EA3"/>
    <w:rsid w:val="005A4EAF"/>
    <w:rsid w:val="005A4ED4"/>
    <w:rsid w:val="005A4EF3"/>
    <w:rsid w:val="005A4F10"/>
    <w:rsid w:val="005A4F87"/>
    <w:rsid w:val="005A4F89"/>
    <w:rsid w:val="005A5060"/>
    <w:rsid w:val="005A506F"/>
    <w:rsid w:val="005A5082"/>
    <w:rsid w:val="005A50DF"/>
    <w:rsid w:val="005A512F"/>
    <w:rsid w:val="005A5132"/>
    <w:rsid w:val="005A518F"/>
    <w:rsid w:val="005A519E"/>
    <w:rsid w:val="005A51C3"/>
    <w:rsid w:val="005A5225"/>
    <w:rsid w:val="005A52B0"/>
    <w:rsid w:val="005A52DE"/>
    <w:rsid w:val="005A533C"/>
    <w:rsid w:val="005A53ED"/>
    <w:rsid w:val="005A54F9"/>
    <w:rsid w:val="005A554E"/>
    <w:rsid w:val="005A5599"/>
    <w:rsid w:val="005A55C1"/>
    <w:rsid w:val="005A5620"/>
    <w:rsid w:val="005A5666"/>
    <w:rsid w:val="005A5694"/>
    <w:rsid w:val="005A5720"/>
    <w:rsid w:val="005A5721"/>
    <w:rsid w:val="005A5739"/>
    <w:rsid w:val="005A5745"/>
    <w:rsid w:val="005A574F"/>
    <w:rsid w:val="005A57A3"/>
    <w:rsid w:val="005A57E2"/>
    <w:rsid w:val="005A57E5"/>
    <w:rsid w:val="005A5816"/>
    <w:rsid w:val="005A581A"/>
    <w:rsid w:val="005A5822"/>
    <w:rsid w:val="005A58C2"/>
    <w:rsid w:val="005A58DA"/>
    <w:rsid w:val="005A58E0"/>
    <w:rsid w:val="005A5919"/>
    <w:rsid w:val="005A5941"/>
    <w:rsid w:val="005A598B"/>
    <w:rsid w:val="005A59B2"/>
    <w:rsid w:val="005A5A4D"/>
    <w:rsid w:val="005A5A79"/>
    <w:rsid w:val="005A5AAB"/>
    <w:rsid w:val="005A5AFA"/>
    <w:rsid w:val="005A5B59"/>
    <w:rsid w:val="005A5BAB"/>
    <w:rsid w:val="005A5BD0"/>
    <w:rsid w:val="005A5BD8"/>
    <w:rsid w:val="005A5BE2"/>
    <w:rsid w:val="005A5C08"/>
    <w:rsid w:val="005A5C8B"/>
    <w:rsid w:val="005A5C97"/>
    <w:rsid w:val="005A5CBE"/>
    <w:rsid w:val="005A5CCD"/>
    <w:rsid w:val="005A5D74"/>
    <w:rsid w:val="005A5D7D"/>
    <w:rsid w:val="005A5D93"/>
    <w:rsid w:val="005A5DC1"/>
    <w:rsid w:val="005A5E0E"/>
    <w:rsid w:val="005A5E43"/>
    <w:rsid w:val="005A5EAD"/>
    <w:rsid w:val="005A5ECF"/>
    <w:rsid w:val="005A5EF7"/>
    <w:rsid w:val="005A5F28"/>
    <w:rsid w:val="005A5F99"/>
    <w:rsid w:val="005A6087"/>
    <w:rsid w:val="005A60B3"/>
    <w:rsid w:val="005A6121"/>
    <w:rsid w:val="005A617E"/>
    <w:rsid w:val="005A61CA"/>
    <w:rsid w:val="005A61F0"/>
    <w:rsid w:val="005A61F6"/>
    <w:rsid w:val="005A6227"/>
    <w:rsid w:val="005A625F"/>
    <w:rsid w:val="005A6281"/>
    <w:rsid w:val="005A6295"/>
    <w:rsid w:val="005A62DA"/>
    <w:rsid w:val="005A62E4"/>
    <w:rsid w:val="005A62E7"/>
    <w:rsid w:val="005A6309"/>
    <w:rsid w:val="005A6328"/>
    <w:rsid w:val="005A6386"/>
    <w:rsid w:val="005A641A"/>
    <w:rsid w:val="005A6425"/>
    <w:rsid w:val="005A6444"/>
    <w:rsid w:val="005A6474"/>
    <w:rsid w:val="005A652E"/>
    <w:rsid w:val="005A6542"/>
    <w:rsid w:val="005A6649"/>
    <w:rsid w:val="005A6668"/>
    <w:rsid w:val="005A668D"/>
    <w:rsid w:val="005A66F9"/>
    <w:rsid w:val="005A67C0"/>
    <w:rsid w:val="005A67DE"/>
    <w:rsid w:val="005A6889"/>
    <w:rsid w:val="005A699A"/>
    <w:rsid w:val="005A69B0"/>
    <w:rsid w:val="005A69B3"/>
    <w:rsid w:val="005A6A00"/>
    <w:rsid w:val="005A6A3B"/>
    <w:rsid w:val="005A6A4D"/>
    <w:rsid w:val="005A6B23"/>
    <w:rsid w:val="005A6B56"/>
    <w:rsid w:val="005A6B80"/>
    <w:rsid w:val="005A6BB1"/>
    <w:rsid w:val="005A6BDA"/>
    <w:rsid w:val="005A6BEE"/>
    <w:rsid w:val="005A6BFF"/>
    <w:rsid w:val="005A6C8E"/>
    <w:rsid w:val="005A6CAD"/>
    <w:rsid w:val="005A6D11"/>
    <w:rsid w:val="005A6D1D"/>
    <w:rsid w:val="005A6D39"/>
    <w:rsid w:val="005A6D68"/>
    <w:rsid w:val="005A6D6B"/>
    <w:rsid w:val="005A6D7B"/>
    <w:rsid w:val="005A6DD6"/>
    <w:rsid w:val="005A6DF5"/>
    <w:rsid w:val="005A6E6A"/>
    <w:rsid w:val="005A6E6D"/>
    <w:rsid w:val="005A6E96"/>
    <w:rsid w:val="005A6EA7"/>
    <w:rsid w:val="005A6EB7"/>
    <w:rsid w:val="005A6ED6"/>
    <w:rsid w:val="005A6EE3"/>
    <w:rsid w:val="005A6EF8"/>
    <w:rsid w:val="005A6F80"/>
    <w:rsid w:val="005A6F9A"/>
    <w:rsid w:val="005A6FB4"/>
    <w:rsid w:val="005A701C"/>
    <w:rsid w:val="005A703F"/>
    <w:rsid w:val="005A7063"/>
    <w:rsid w:val="005A713F"/>
    <w:rsid w:val="005A7304"/>
    <w:rsid w:val="005A7372"/>
    <w:rsid w:val="005A73B7"/>
    <w:rsid w:val="005A73F1"/>
    <w:rsid w:val="005A7404"/>
    <w:rsid w:val="005A7442"/>
    <w:rsid w:val="005A74FF"/>
    <w:rsid w:val="005A7584"/>
    <w:rsid w:val="005A758C"/>
    <w:rsid w:val="005A75E2"/>
    <w:rsid w:val="005A75EE"/>
    <w:rsid w:val="005A7602"/>
    <w:rsid w:val="005A763A"/>
    <w:rsid w:val="005A7676"/>
    <w:rsid w:val="005A767E"/>
    <w:rsid w:val="005A7705"/>
    <w:rsid w:val="005A7791"/>
    <w:rsid w:val="005A7795"/>
    <w:rsid w:val="005A77B1"/>
    <w:rsid w:val="005A7927"/>
    <w:rsid w:val="005A7987"/>
    <w:rsid w:val="005A79AC"/>
    <w:rsid w:val="005A79E1"/>
    <w:rsid w:val="005A7AA6"/>
    <w:rsid w:val="005A7B32"/>
    <w:rsid w:val="005A7B50"/>
    <w:rsid w:val="005A7BD0"/>
    <w:rsid w:val="005A7BDA"/>
    <w:rsid w:val="005A7C00"/>
    <w:rsid w:val="005A7D28"/>
    <w:rsid w:val="005A7D2D"/>
    <w:rsid w:val="005A7D71"/>
    <w:rsid w:val="005A7D9A"/>
    <w:rsid w:val="005A7DC3"/>
    <w:rsid w:val="005A7DCB"/>
    <w:rsid w:val="005A7E11"/>
    <w:rsid w:val="005A7F0A"/>
    <w:rsid w:val="005A7FC4"/>
    <w:rsid w:val="005A7FED"/>
    <w:rsid w:val="005A7FF4"/>
    <w:rsid w:val="005B000E"/>
    <w:rsid w:val="005B0057"/>
    <w:rsid w:val="005B00C5"/>
    <w:rsid w:val="005B00D5"/>
    <w:rsid w:val="005B00EA"/>
    <w:rsid w:val="005B0183"/>
    <w:rsid w:val="005B01F3"/>
    <w:rsid w:val="005B01FE"/>
    <w:rsid w:val="005B0203"/>
    <w:rsid w:val="005B0211"/>
    <w:rsid w:val="005B026D"/>
    <w:rsid w:val="005B0306"/>
    <w:rsid w:val="005B0328"/>
    <w:rsid w:val="005B038F"/>
    <w:rsid w:val="005B03DF"/>
    <w:rsid w:val="005B03FE"/>
    <w:rsid w:val="005B047B"/>
    <w:rsid w:val="005B0491"/>
    <w:rsid w:val="005B0494"/>
    <w:rsid w:val="005B055D"/>
    <w:rsid w:val="005B05A6"/>
    <w:rsid w:val="005B05CA"/>
    <w:rsid w:val="005B05CC"/>
    <w:rsid w:val="005B0689"/>
    <w:rsid w:val="005B0692"/>
    <w:rsid w:val="005B06AE"/>
    <w:rsid w:val="005B0718"/>
    <w:rsid w:val="005B071B"/>
    <w:rsid w:val="005B076D"/>
    <w:rsid w:val="005B0774"/>
    <w:rsid w:val="005B0781"/>
    <w:rsid w:val="005B07BC"/>
    <w:rsid w:val="005B07E5"/>
    <w:rsid w:val="005B07FB"/>
    <w:rsid w:val="005B0839"/>
    <w:rsid w:val="005B0863"/>
    <w:rsid w:val="005B0978"/>
    <w:rsid w:val="005B0986"/>
    <w:rsid w:val="005B09DD"/>
    <w:rsid w:val="005B0A64"/>
    <w:rsid w:val="005B0A9D"/>
    <w:rsid w:val="005B0ACD"/>
    <w:rsid w:val="005B0AFA"/>
    <w:rsid w:val="005B0B22"/>
    <w:rsid w:val="005B0B35"/>
    <w:rsid w:val="005B0B3A"/>
    <w:rsid w:val="005B0BFA"/>
    <w:rsid w:val="005B0D2F"/>
    <w:rsid w:val="005B0D41"/>
    <w:rsid w:val="005B0D57"/>
    <w:rsid w:val="005B0DAB"/>
    <w:rsid w:val="005B0E1F"/>
    <w:rsid w:val="005B0E35"/>
    <w:rsid w:val="005B0E47"/>
    <w:rsid w:val="005B0E84"/>
    <w:rsid w:val="005B0EF3"/>
    <w:rsid w:val="005B0F0F"/>
    <w:rsid w:val="005B0F25"/>
    <w:rsid w:val="005B0FB4"/>
    <w:rsid w:val="005B0FD1"/>
    <w:rsid w:val="005B100B"/>
    <w:rsid w:val="005B1014"/>
    <w:rsid w:val="005B103C"/>
    <w:rsid w:val="005B1042"/>
    <w:rsid w:val="005B108F"/>
    <w:rsid w:val="005B1098"/>
    <w:rsid w:val="005B10F2"/>
    <w:rsid w:val="005B11E3"/>
    <w:rsid w:val="005B129C"/>
    <w:rsid w:val="005B12DB"/>
    <w:rsid w:val="005B1335"/>
    <w:rsid w:val="005B1345"/>
    <w:rsid w:val="005B1366"/>
    <w:rsid w:val="005B13C5"/>
    <w:rsid w:val="005B1462"/>
    <w:rsid w:val="005B1492"/>
    <w:rsid w:val="005B149D"/>
    <w:rsid w:val="005B14A1"/>
    <w:rsid w:val="005B14F4"/>
    <w:rsid w:val="005B14FF"/>
    <w:rsid w:val="005B1517"/>
    <w:rsid w:val="005B1519"/>
    <w:rsid w:val="005B155B"/>
    <w:rsid w:val="005B1563"/>
    <w:rsid w:val="005B15E7"/>
    <w:rsid w:val="005B15E8"/>
    <w:rsid w:val="005B163F"/>
    <w:rsid w:val="005B16B2"/>
    <w:rsid w:val="005B16F7"/>
    <w:rsid w:val="005B1714"/>
    <w:rsid w:val="005B174C"/>
    <w:rsid w:val="005B179B"/>
    <w:rsid w:val="005B17C6"/>
    <w:rsid w:val="005B17DF"/>
    <w:rsid w:val="005B1804"/>
    <w:rsid w:val="005B181A"/>
    <w:rsid w:val="005B181E"/>
    <w:rsid w:val="005B1836"/>
    <w:rsid w:val="005B1840"/>
    <w:rsid w:val="005B1869"/>
    <w:rsid w:val="005B187F"/>
    <w:rsid w:val="005B190D"/>
    <w:rsid w:val="005B1925"/>
    <w:rsid w:val="005B1927"/>
    <w:rsid w:val="005B1977"/>
    <w:rsid w:val="005B19F0"/>
    <w:rsid w:val="005B1A53"/>
    <w:rsid w:val="005B1AAC"/>
    <w:rsid w:val="005B1AB4"/>
    <w:rsid w:val="005B1AF1"/>
    <w:rsid w:val="005B1B31"/>
    <w:rsid w:val="005B1B45"/>
    <w:rsid w:val="005B1C09"/>
    <w:rsid w:val="005B1CA6"/>
    <w:rsid w:val="005B1CAA"/>
    <w:rsid w:val="005B1D60"/>
    <w:rsid w:val="005B1D74"/>
    <w:rsid w:val="005B1D75"/>
    <w:rsid w:val="005B1DE2"/>
    <w:rsid w:val="005B1E8C"/>
    <w:rsid w:val="005B1EEC"/>
    <w:rsid w:val="005B1F0A"/>
    <w:rsid w:val="005B1F3E"/>
    <w:rsid w:val="005B1F63"/>
    <w:rsid w:val="005B1FBD"/>
    <w:rsid w:val="005B1FFF"/>
    <w:rsid w:val="005B2071"/>
    <w:rsid w:val="005B2089"/>
    <w:rsid w:val="005B20AF"/>
    <w:rsid w:val="005B20C0"/>
    <w:rsid w:val="005B2124"/>
    <w:rsid w:val="005B2146"/>
    <w:rsid w:val="005B2157"/>
    <w:rsid w:val="005B215A"/>
    <w:rsid w:val="005B21CD"/>
    <w:rsid w:val="005B2298"/>
    <w:rsid w:val="005B22CD"/>
    <w:rsid w:val="005B22F1"/>
    <w:rsid w:val="005B22FE"/>
    <w:rsid w:val="005B232A"/>
    <w:rsid w:val="005B2340"/>
    <w:rsid w:val="005B237E"/>
    <w:rsid w:val="005B2387"/>
    <w:rsid w:val="005B23CE"/>
    <w:rsid w:val="005B2439"/>
    <w:rsid w:val="005B248C"/>
    <w:rsid w:val="005B24ED"/>
    <w:rsid w:val="005B25DA"/>
    <w:rsid w:val="005B25F7"/>
    <w:rsid w:val="005B2664"/>
    <w:rsid w:val="005B2672"/>
    <w:rsid w:val="005B26D7"/>
    <w:rsid w:val="005B26F6"/>
    <w:rsid w:val="005B275D"/>
    <w:rsid w:val="005B27F6"/>
    <w:rsid w:val="005B27FC"/>
    <w:rsid w:val="005B288D"/>
    <w:rsid w:val="005B28B4"/>
    <w:rsid w:val="005B28DC"/>
    <w:rsid w:val="005B2973"/>
    <w:rsid w:val="005B2A5E"/>
    <w:rsid w:val="005B2A6B"/>
    <w:rsid w:val="005B2AB0"/>
    <w:rsid w:val="005B2B0D"/>
    <w:rsid w:val="005B2B5D"/>
    <w:rsid w:val="005B2B6B"/>
    <w:rsid w:val="005B2C53"/>
    <w:rsid w:val="005B2C60"/>
    <w:rsid w:val="005B2C97"/>
    <w:rsid w:val="005B2CC7"/>
    <w:rsid w:val="005B2D88"/>
    <w:rsid w:val="005B2DC8"/>
    <w:rsid w:val="005B2E5E"/>
    <w:rsid w:val="005B2ED9"/>
    <w:rsid w:val="005B2F1A"/>
    <w:rsid w:val="005B2F46"/>
    <w:rsid w:val="005B305E"/>
    <w:rsid w:val="005B30E0"/>
    <w:rsid w:val="005B312B"/>
    <w:rsid w:val="005B313E"/>
    <w:rsid w:val="005B3188"/>
    <w:rsid w:val="005B31DE"/>
    <w:rsid w:val="005B3257"/>
    <w:rsid w:val="005B3293"/>
    <w:rsid w:val="005B32C7"/>
    <w:rsid w:val="005B32EF"/>
    <w:rsid w:val="005B331D"/>
    <w:rsid w:val="005B331F"/>
    <w:rsid w:val="005B332F"/>
    <w:rsid w:val="005B33CA"/>
    <w:rsid w:val="005B33DB"/>
    <w:rsid w:val="005B33E7"/>
    <w:rsid w:val="005B3416"/>
    <w:rsid w:val="005B3474"/>
    <w:rsid w:val="005B3498"/>
    <w:rsid w:val="005B34B0"/>
    <w:rsid w:val="005B34DB"/>
    <w:rsid w:val="005B34DF"/>
    <w:rsid w:val="005B3523"/>
    <w:rsid w:val="005B3545"/>
    <w:rsid w:val="005B35A1"/>
    <w:rsid w:val="005B35C1"/>
    <w:rsid w:val="005B36B5"/>
    <w:rsid w:val="005B36EA"/>
    <w:rsid w:val="005B36F8"/>
    <w:rsid w:val="005B377B"/>
    <w:rsid w:val="005B37AB"/>
    <w:rsid w:val="005B37DA"/>
    <w:rsid w:val="005B3808"/>
    <w:rsid w:val="005B3818"/>
    <w:rsid w:val="005B3830"/>
    <w:rsid w:val="005B3842"/>
    <w:rsid w:val="005B3863"/>
    <w:rsid w:val="005B3887"/>
    <w:rsid w:val="005B38E0"/>
    <w:rsid w:val="005B38F0"/>
    <w:rsid w:val="005B3A8C"/>
    <w:rsid w:val="005B3B2E"/>
    <w:rsid w:val="005B3B35"/>
    <w:rsid w:val="005B3B3E"/>
    <w:rsid w:val="005B3B40"/>
    <w:rsid w:val="005B3B46"/>
    <w:rsid w:val="005B3B96"/>
    <w:rsid w:val="005B3BAD"/>
    <w:rsid w:val="005B3BFD"/>
    <w:rsid w:val="005B3C3D"/>
    <w:rsid w:val="005B3C40"/>
    <w:rsid w:val="005B3C9A"/>
    <w:rsid w:val="005B3CCB"/>
    <w:rsid w:val="005B3CD7"/>
    <w:rsid w:val="005B3CED"/>
    <w:rsid w:val="005B3D12"/>
    <w:rsid w:val="005B3D21"/>
    <w:rsid w:val="005B3D76"/>
    <w:rsid w:val="005B3DA3"/>
    <w:rsid w:val="005B3E0B"/>
    <w:rsid w:val="005B3E25"/>
    <w:rsid w:val="005B3E3D"/>
    <w:rsid w:val="005B3E4F"/>
    <w:rsid w:val="005B3E7F"/>
    <w:rsid w:val="005B3F16"/>
    <w:rsid w:val="005B3F4B"/>
    <w:rsid w:val="005B3F62"/>
    <w:rsid w:val="005B414C"/>
    <w:rsid w:val="005B415F"/>
    <w:rsid w:val="005B41CD"/>
    <w:rsid w:val="005B41E0"/>
    <w:rsid w:val="005B4224"/>
    <w:rsid w:val="005B4265"/>
    <w:rsid w:val="005B4279"/>
    <w:rsid w:val="005B42A1"/>
    <w:rsid w:val="005B42A8"/>
    <w:rsid w:val="005B4329"/>
    <w:rsid w:val="005B4336"/>
    <w:rsid w:val="005B433E"/>
    <w:rsid w:val="005B4362"/>
    <w:rsid w:val="005B4377"/>
    <w:rsid w:val="005B437F"/>
    <w:rsid w:val="005B43BB"/>
    <w:rsid w:val="005B43BF"/>
    <w:rsid w:val="005B43D1"/>
    <w:rsid w:val="005B43FE"/>
    <w:rsid w:val="005B4412"/>
    <w:rsid w:val="005B4447"/>
    <w:rsid w:val="005B44BF"/>
    <w:rsid w:val="005B44C4"/>
    <w:rsid w:val="005B44C8"/>
    <w:rsid w:val="005B4599"/>
    <w:rsid w:val="005B45D3"/>
    <w:rsid w:val="005B45E9"/>
    <w:rsid w:val="005B45EF"/>
    <w:rsid w:val="005B4602"/>
    <w:rsid w:val="005B464E"/>
    <w:rsid w:val="005B469E"/>
    <w:rsid w:val="005B46A4"/>
    <w:rsid w:val="005B4737"/>
    <w:rsid w:val="005B47D0"/>
    <w:rsid w:val="005B47D5"/>
    <w:rsid w:val="005B4838"/>
    <w:rsid w:val="005B48DA"/>
    <w:rsid w:val="005B4954"/>
    <w:rsid w:val="005B49E7"/>
    <w:rsid w:val="005B4A03"/>
    <w:rsid w:val="005B4A3C"/>
    <w:rsid w:val="005B4AF8"/>
    <w:rsid w:val="005B4B1C"/>
    <w:rsid w:val="005B4B3B"/>
    <w:rsid w:val="005B4B4F"/>
    <w:rsid w:val="005B4B6F"/>
    <w:rsid w:val="005B4BB0"/>
    <w:rsid w:val="005B4BD9"/>
    <w:rsid w:val="005B4CC8"/>
    <w:rsid w:val="005B4D12"/>
    <w:rsid w:val="005B4D96"/>
    <w:rsid w:val="005B4D9B"/>
    <w:rsid w:val="005B4DB4"/>
    <w:rsid w:val="005B4E5C"/>
    <w:rsid w:val="005B4E98"/>
    <w:rsid w:val="005B4EC1"/>
    <w:rsid w:val="005B4ED5"/>
    <w:rsid w:val="005B4F06"/>
    <w:rsid w:val="005B4F0F"/>
    <w:rsid w:val="005B4F20"/>
    <w:rsid w:val="005B4F27"/>
    <w:rsid w:val="005B4F35"/>
    <w:rsid w:val="005B4F47"/>
    <w:rsid w:val="005B4FB5"/>
    <w:rsid w:val="005B4FB9"/>
    <w:rsid w:val="005B5004"/>
    <w:rsid w:val="005B5021"/>
    <w:rsid w:val="005B5044"/>
    <w:rsid w:val="005B50FE"/>
    <w:rsid w:val="005B510F"/>
    <w:rsid w:val="005B512A"/>
    <w:rsid w:val="005B5196"/>
    <w:rsid w:val="005B51A2"/>
    <w:rsid w:val="005B52A2"/>
    <w:rsid w:val="005B52AE"/>
    <w:rsid w:val="005B5314"/>
    <w:rsid w:val="005B5320"/>
    <w:rsid w:val="005B53D9"/>
    <w:rsid w:val="005B53F5"/>
    <w:rsid w:val="005B54A9"/>
    <w:rsid w:val="005B55B0"/>
    <w:rsid w:val="005B55BA"/>
    <w:rsid w:val="005B55FE"/>
    <w:rsid w:val="005B5620"/>
    <w:rsid w:val="005B566D"/>
    <w:rsid w:val="005B56A7"/>
    <w:rsid w:val="005B5729"/>
    <w:rsid w:val="005B5761"/>
    <w:rsid w:val="005B57EB"/>
    <w:rsid w:val="005B580C"/>
    <w:rsid w:val="005B5814"/>
    <w:rsid w:val="005B5859"/>
    <w:rsid w:val="005B587B"/>
    <w:rsid w:val="005B58A1"/>
    <w:rsid w:val="005B58D2"/>
    <w:rsid w:val="005B591D"/>
    <w:rsid w:val="005B592A"/>
    <w:rsid w:val="005B59EB"/>
    <w:rsid w:val="005B5A0F"/>
    <w:rsid w:val="005B5A1F"/>
    <w:rsid w:val="005B5A28"/>
    <w:rsid w:val="005B5A47"/>
    <w:rsid w:val="005B5AAA"/>
    <w:rsid w:val="005B5B11"/>
    <w:rsid w:val="005B5B12"/>
    <w:rsid w:val="005B5B1B"/>
    <w:rsid w:val="005B5BA6"/>
    <w:rsid w:val="005B5BCD"/>
    <w:rsid w:val="005B5C02"/>
    <w:rsid w:val="005B5C7C"/>
    <w:rsid w:val="005B5C99"/>
    <w:rsid w:val="005B5CAE"/>
    <w:rsid w:val="005B5D0D"/>
    <w:rsid w:val="005B5D5A"/>
    <w:rsid w:val="005B5D7A"/>
    <w:rsid w:val="005B5D8F"/>
    <w:rsid w:val="005B5DC0"/>
    <w:rsid w:val="005B5DDF"/>
    <w:rsid w:val="005B5DE4"/>
    <w:rsid w:val="005B5E3D"/>
    <w:rsid w:val="005B5E51"/>
    <w:rsid w:val="005B5E7B"/>
    <w:rsid w:val="005B5EB6"/>
    <w:rsid w:val="005B5EEE"/>
    <w:rsid w:val="005B5EF8"/>
    <w:rsid w:val="005B5F1E"/>
    <w:rsid w:val="005B5F24"/>
    <w:rsid w:val="005B603B"/>
    <w:rsid w:val="005B6087"/>
    <w:rsid w:val="005B60BF"/>
    <w:rsid w:val="005B60E6"/>
    <w:rsid w:val="005B61B6"/>
    <w:rsid w:val="005B61EB"/>
    <w:rsid w:val="005B62A8"/>
    <w:rsid w:val="005B62D0"/>
    <w:rsid w:val="005B6397"/>
    <w:rsid w:val="005B63D2"/>
    <w:rsid w:val="005B63D6"/>
    <w:rsid w:val="005B63DF"/>
    <w:rsid w:val="005B643C"/>
    <w:rsid w:val="005B6492"/>
    <w:rsid w:val="005B64B0"/>
    <w:rsid w:val="005B64EC"/>
    <w:rsid w:val="005B64F3"/>
    <w:rsid w:val="005B652F"/>
    <w:rsid w:val="005B6549"/>
    <w:rsid w:val="005B65A2"/>
    <w:rsid w:val="005B65BA"/>
    <w:rsid w:val="005B65C2"/>
    <w:rsid w:val="005B6609"/>
    <w:rsid w:val="005B6612"/>
    <w:rsid w:val="005B6672"/>
    <w:rsid w:val="005B672C"/>
    <w:rsid w:val="005B6753"/>
    <w:rsid w:val="005B67E9"/>
    <w:rsid w:val="005B67F5"/>
    <w:rsid w:val="005B6843"/>
    <w:rsid w:val="005B6864"/>
    <w:rsid w:val="005B6875"/>
    <w:rsid w:val="005B6883"/>
    <w:rsid w:val="005B68AF"/>
    <w:rsid w:val="005B6933"/>
    <w:rsid w:val="005B694D"/>
    <w:rsid w:val="005B6981"/>
    <w:rsid w:val="005B6983"/>
    <w:rsid w:val="005B6997"/>
    <w:rsid w:val="005B69B2"/>
    <w:rsid w:val="005B6A21"/>
    <w:rsid w:val="005B6A8D"/>
    <w:rsid w:val="005B6AA5"/>
    <w:rsid w:val="005B6AD4"/>
    <w:rsid w:val="005B6AD6"/>
    <w:rsid w:val="005B6B04"/>
    <w:rsid w:val="005B6B56"/>
    <w:rsid w:val="005B6B8D"/>
    <w:rsid w:val="005B6BB9"/>
    <w:rsid w:val="005B6BD4"/>
    <w:rsid w:val="005B6CB4"/>
    <w:rsid w:val="005B6CF3"/>
    <w:rsid w:val="005B6D12"/>
    <w:rsid w:val="005B6D55"/>
    <w:rsid w:val="005B6D6B"/>
    <w:rsid w:val="005B6E25"/>
    <w:rsid w:val="005B6E4B"/>
    <w:rsid w:val="005B6E52"/>
    <w:rsid w:val="005B6E67"/>
    <w:rsid w:val="005B6E72"/>
    <w:rsid w:val="005B6EBD"/>
    <w:rsid w:val="005B6EC4"/>
    <w:rsid w:val="005B6EDC"/>
    <w:rsid w:val="005B6EF3"/>
    <w:rsid w:val="005B6F58"/>
    <w:rsid w:val="005B6FCE"/>
    <w:rsid w:val="005B6FDB"/>
    <w:rsid w:val="005B6FEB"/>
    <w:rsid w:val="005B7012"/>
    <w:rsid w:val="005B7026"/>
    <w:rsid w:val="005B7035"/>
    <w:rsid w:val="005B7156"/>
    <w:rsid w:val="005B7161"/>
    <w:rsid w:val="005B71A6"/>
    <w:rsid w:val="005B71D5"/>
    <w:rsid w:val="005B7219"/>
    <w:rsid w:val="005B722A"/>
    <w:rsid w:val="005B728F"/>
    <w:rsid w:val="005B7299"/>
    <w:rsid w:val="005B72C7"/>
    <w:rsid w:val="005B72D3"/>
    <w:rsid w:val="005B7305"/>
    <w:rsid w:val="005B7352"/>
    <w:rsid w:val="005B73C2"/>
    <w:rsid w:val="005B7437"/>
    <w:rsid w:val="005B749E"/>
    <w:rsid w:val="005B750D"/>
    <w:rsid w:val="005B7512"/>
    <w:rsid w:val="005B752D"/>
    <w:rsid w:val="005B755C"/>
    <w:rsid w:val="005B758D"/>
    <w:rsid w:val="005B75AA"/>
    <w:rsid w:val="005B75BA"/>
    <w:rsid w:val="005B75F2"/>
    <w:rsid w:val="005B7660"/>
    <w:rsid w:val="005B7686"/>
    <w:rsid w:val="005B76D0"/>
    <w:rsid w:val="005B76D7"/>
    <w:rsid w:val="005B7712"/>
    <w:rsid w:val="005B7759"/>
    <w:rsid w:val="005B778F"/>
    <w:rsid w:val="005B77D3"/>
    <w:rsid w:val="005B77E3"/>
    <w:rsid w:val="005B788C"/>
    <w:rsid w:val="005B78A3"/>
    <w:rsid w:val="005B78F5"/>
    <w:rsid w:val="005B793F"/>
    <w:rsid w:val="005B7940"/>
    <w:rsid w:val="005B79A0"/>
    <w:rsid w:val="005B79F1"/>
    <w:rsid w:val="005B7A01"/>
    <w:rsid w:val="005B7A36"/>
    <w:rsid w:val="005B7A46"/>
    <w:rsid w:val="005B7A66"/>
    <w:rsid w:val="005B7AB9"/>
    <w:rsid w:val="005B7ABB"/>
    <w:rsid w:val="005B7B32"/>
    <w:rsid w:val="005B7B6B"/>
    <w:rsid w:val="005B7BD4"/>
    <w:rsid w:val="005B7BF1"/>
    <w:rsid w:val="005B7C31"/>
    <w:rsid w:val="005B7C63"/>
    <w:rsid w:val="005B7CCA"/>
    <w:rsid w:val="005B7D05"/>
    <w:rsid w:val="005B7D0D"/>
    <w:rsid w:val="005B7D16"/>
    <w:rsid w:val="005B7DDC"/>
    <w:rsid w:val="005B7DE8"/>
    <w:rsid w:val="005B7E03"/>
    <w:rsid w:val="005B7E3B"/>
    <w:rsid w:val="005B7EA1"/>
    <w:rsid w:val="005B7EAE"/>
    <w:rsid w:val="005B7ED2"/>
    <w:rsid w:val="005B7EFC"/>
    <w:rsid w:val="005B7F62"/>
    <w:rsid w:val="005B7FC5"/>
    <w:rsid w:val="005C0024"/>
    <w:rsid w:val="005C0034"/>
    <w:rsid w:val="005C00E6"/>
    <w:rsid w:val="005C0135"/>
    <w:rsid w:val="005C0205"/>
    <w:rsid w:val="005C0223"/>
    <w:rsid w:val="005C0258"/>
    <w:rsid w:val="005C025F"/>
    <w:rsid w:val="005C0265"/>
    <w:rsid w:val="005C02F2"/>
    <w:rsid w:val="005C0309"/>
    <w:rsid w:val="005C0347"/>
    <w:rsid w:val="005C036A"/>
    <w:rsid w:val="005C0389"/>
    <w:rsid w:val="005C03BB"/>
    <w:rsid w:val="005C03F8"/>
    <w:rsid w:val="005C0421"/>
    <w:rsid w:val="005C042E"/>
    <w:rsid w:val="005C0457"/>
    <w:rsid w:val="005C04E7"/>
    <w:rsid w:val="005C04EE"/>
    <w:rsid w:val="005C0572"/>
    <w:rsid w:val="005C05C5"/>
    <w:rsid w:val="005C05CF"/>
    <w:rsid w:val="005C0671"/>
    <w:rsid w:val="005C0761"/>
    <w:rsid w:val="005C0796"/>
    <w:rsid w:val="005C07A0"/>
    <w:rsid w:val="005C07C1"/>
    <w:rsid w:val="005C07D6"/>
    <w:rsid w:val="005C07E2"/>
    <w:rsid w:val="005C0872"/>
    <w:rsid w:val="005C08E7"/>
    <w:rsid w:val="005C08E9"/>
    <w:rsid w:val="005C0935"/>
    <w:rsid w:val="005C09B3"/>
    <w:rsid w:val="005C09E1"/>
    <w:rsid w:val="005C0A11"/>
    <w:rsid w:val="005C0A45"/>
    <w:rsid w:val="005C0A84"/>
    <w:rsid w:val="005C0AAE"/>
    <w:rsid w:val="005C0ABC"/>
    <w:rsid w:val="005C0B24"/>
    <w:rsid w:val="005C0B49"/>
    <w:rsid w:val="005C0B72"/>
    <w:rsid w:val="005C0BCE"/>
    <w:rsid w:val="005C0C2E"/>
    <w:rsid w:val="005C0CC1"/>
    <w:rsid w:val="005C0D3C"/>
    <w:rsid w:val="005C0D65"/>
    <w:rsid w:val="005C0D69"/>
    <w:rsid w:val="005C0D9E"/>
    <w:rsid w:val="005C0E28"/>
    <w:rsid w:val="005C0E41"/>
    <w:rsid w:val="005C0F4F"/>
    <w:rsid w:val="005C0F82"/>
    <w:rsid w:val="005C0FA1"/>
    <w:rsid w:val="005C0FC0"/>
    <w:rsid w:val="005C1055"/>
    <w:rsid w:val="005C1172"/>
    <w:rsid w:val="005C117F"/>
    <w:rsid w:val="005C1213"/>
    <w:rsid w:val="005C1276"/>
    <w:rsid w:val="005C128B"/>
    <w:rsid w:val="005C12D8"/>
    <w:rsid w:val="005C12F5"/>
    <w:rsid w:val="005C1317"/>
    <w:rsid w:val="005C1393"/>
    <w:rsid w:val="005C139B"/>
    <w:rsid w:val="005C13E2"/>
    <w:rsid w:val="005C1404"/>
    <w:rsid w:val="005C1464"/>
    <w:rsid w:val="005C1490"/>
    <w:rsid w:val="005C156F"/>
    <w:rsid w:val="005C1580"/>
    <w:rsid w:val="005C15A0"/>
    <w:rsid w:val="005C15D9"/>
    <w:rsid w:val="005C15DE"/>
    <w:rsid w:val="005C160E"/>
    <w:rsid w:val="005C1630"/>
    <w:rsid w:val="005C1660"/>
    <w:rsid w:val="005C167A"/>
    <w:rsid w:val="005C16F9"/>
    <w:rsid w:val="005C172F"/>
    <w:rsid w:val="005C1785"/>
    <w:rsid w:val="005C17AB"/>
    <w:rsid w:val="005C17BE"/>
    <w:rsid w:val="005C1808"/>
    <w:rsid w:val="005C18AB"/>
    <w:rsid w:val="005C1935"/>
    <w:rsid w:val="005C19D6"/>
    <w:rsid w:val="005C19FF"/>
    <w:rsid w:val="005C1A1D"/>
    <w:rsid w:val="005C1A2F"/>
    <w:rsid w:val="005C1A7F"/>
    <w:rsid w:val="005C1A94"/>
    <w:rsid w:val="005C1AAE"/>
    <w:rsid w:val="005C1B50"/>
    <w:rsid w:val="005C1B59"/>
    <w:rsid w:val="005C1B74"/>
    <w:rsid w:val="005C1B81"/>
    <w:rsid w:val="005C1B8D"/>
    <w:rsid w:val="005C1BEF"/>
    <w:rsid w:val="005C1C0C"/>
    <w:rsid w:val="005C1C44"/>
    <w:rsid w:val="005C1CAB"/>
    <w:rsid w:val="005C1CAD"/>
    <w:rsid w:val="005C1CCA"/>
    <w:rsid w:val="005C1D09"/>
    <w:rsid w:val="005C1D24"/>
    <w:rsid w:val="005C1D2A"/>
    <w:rsid w:val="005C1D69"/>
    <w:rsid w:val="005C1DAB"/>
    <w:rsid w:val="005C1E43"/>
    <w:rsid w:val="005C1E45"/>
    <w:rsid w:val="005C1E77"/>
    <w:rsid w:val="005C1EB6"/>
    <w:rsid w:val="005C1EDC"/>
    <w:rsid w:val="005C1F09"/>
    <w:rsid w:val="005C1F68"/>
    <w:rsid w:val="005C1F81"/>
    <w:rsid w:val="005C1F94"/>
    <w:rsid w:val="005C1F95"/>
    <w:rsid w:val="005C1FAA"/>
    <w:rsid w:val="005C1FC3"/>
    <w:rsid w:val="005C2026"/>
    <w:rsid w:val="005C204E"/>
    <w:rsid w:val="005C20C6"/>
    <w:rsid w:val="005C20E8"/>
    <w:rsid w:val="005C2103"/>
    <w:rsid w:val="005C2190"/>
    <w:rsid w:val="005C21C8"/>
    <w:rsid w:val="005C21DD"/>
    <w:rsid w:val="005C21E5"/>
    <w:rsid w:val="005C2235"/>
    <w:rsid w:val="005C228B"/>
    <w:rsid w:val="005C22E9"/>
    <w:rsid w:val="005C23D1"/>
    <w:rsid w:val="005C2459"/>
    <w:rsid w:val="005C24A0"/>
    <w:rsid w:val="005C25BA"/>
    <w:rsid w:val="005C25D7"/>
    <w:rsid w:val="005C2623"/>
    <w:rsid w:val="005C2648"/>
    <w:rsid w:val="005C2650"/>
    <w:rsid w:val="005C266E"/>
    <w:rsid w:val="005C26EA"/>
    <w:rsid w:val="005C26F3"/>
    <w:rsid w:val="005C277E"/>
    <w:rsid w:val="005C27BF"/>
    <w:rsid w:val="005C28C6"/>
    <w:rsid w:val="005C291F"/>
    <w:rsid w:val="005C2956"/>
    <w:rsid w:val="005C29B0"/>
    <w:rsid w:val="005C29DD"/>
    <w:rsid w:val="005C29E0"/>
    <w:rsid w:val="005C2A75"/>
    <w:rsid w:val="005C2AC4"/>
    <w:rsid w:val="005C2B1C"/>
    <w:rsid w:val="005C2B41"/>
    <w:rsid w:val="005C2B70"/>
    <w:rsid w:val="005C2B7D"/>
    <w:rsid w:val="005C2BBB"/>
    <w:rsid w:val="005C2BC1"/>
    <w:rsid w:val="005C2BF7"/>
    <w:rsid w:val="005C2C23"/>
    <w:rsid w:val="005C2C6D"/>
    <w:rsid w:val="005C2C87"/>
    <w:rsid w:val="005C2CB6"/>
    <w:rsid w:val="005C2CFA"/>
    <w:rsid w:val="005C2D1B"/>
    <w:rsid w:val="005C2D23"/>
    <w:rsid w:val="005C2D40"/>
    <w:rsid w:val="005C2D69"/>
    <w:rsid w:val="005C2DAA"/>
    <w:rsid w:val="005C2E05"/>
    <w:rsid w:val="005C2E16"/>
    <w:rsid w:val="005C2E62"/>
    <w:rsid w:val="005C2ED4"/>
    <w:rsid w:val="005C2F93"/>
    <w:rsid w:val="005C302A"/>
    <w:rsid w:val="005C305E"/>
    <w:rsid w:val="005C3128"/>
    <w:rsid w:val="005C3133"/>
    <w:rsid w:val="005C3211"/>
    <w:rsid w:val="005C3299"/>
    <w:rsid w:val="005C3308"/>
    <w:rsid w:val="005C3309"/>
    <w:rsid w:val="005C332A"/>
    <w:rsid w:val="005C3373"/>
    <w:rsid w:val="005C3393"/>
    <w:rsid w:val="005C33C6"/>
    <w:rsid w:val="005C341D"/>
    <w:rsid w:val="005C344C"/>
    <w:rsid w:val="005C351F"/>
    <w:rsid w:val="005C353A"/>
    <w:rsid w:val="005C35C4"/>
    <w:rsid w:val="005C35D9"/>
    <w:rsid w:val="005C35E8"/>
    <w:rsid w:val="005C35E9"/>
    <w:rsid w:val="005C3676"/>
    <w:rsid w:val="005C3696"/>
    <w:rsid w:val="005C36E3"/>
    <w:rsid w:val="005C3709"/>
    <w:rsid w:val="005C3712"/>
    <w:rsid w:val="005C378F"/>
    <w:rsid w:val="005C3790"/>
    <w:rsid w:val="005C379B"/>
    <w:rsid w:val="005C37BD"/>
    <w:rsid w:val="005C37F6"/>
    <w:rsid w:val="005C382B"/>
    <w:rsid w:val="005C3897"/>
    <w:rsid w:val="005C38B8"/>
    <w:rsid w:val="005C3955"/>
    <w:rsid w:val="005C396C"/>
    <w:rsid w:val="005C3A2C"/>
    <w:rsid w:val="005C3A3A"/>
    <w:rsid w:val="005C3A42"/>
    <w:rsid w:val="005C3A4E"/>
    <w:rsid w:val="005C3A7D"/>
    <w:rsid w:val="005C3A8F"/>
    <w:rsid w:val="005C3AA0"/>
    <w:rsid w:val="005C3AFF"/>
    <w:rsid w:val="005C3B41"/>
    <w:rsid w:val="005C3BC3"/>
    <w:rsid w:val="005C3C32"/>
    <w:rsid w:val="005C3CF3"/>
    <w:rsid w:val="005C3D41"/>
    <w:rsid w:val="005C3E56"/>
    <w:rsid w:val="005C3E7D"/>
    <w:rsid w:val="005C3EBF"/>
    <w:rsid w:val="005C3EEE"/>
    <w:rsid w:val="005C3EFC"/>
    <w:rsid w:val="005C3FA9"/>
    <w:rsid w:val="005C3FCD"/>
    <w:rsid w:val="005C4048"/>
    <w:rsid w:val="005C4091"/>
    <w:rsid w:val="005C411B"/>
    <w:rsid w:val="005C4199"/>
    <w:rsid w:val="005C41C1"/>
    <w:rsid w:val="005C42B2"/>
    <w:rsid w:val="005C42F2"/>
    <w:rsid w:val="005C42F3"/>
    <w:rsid w:val="005C4305"/>
    <w:rsid w:val="005C435D"/>
    <w:rsid w:val="005C4385"/>
    <w:rsid w:val="005C439D"/>
    <w:rsid w:val="005C43D6"/>
    <w:rsid w:val="005C43E5"/>
    <w:rsid w:val="005C4433"/>
    <w:rsid w:val="005C4455"/>
    <w:rsid w:val="005C4490"/>
    <w:rsid w:val="005C44DC"/>
    <w:rsid w:val="005C453D"/>
    <w:rsid w:val="005C4593"/>
    <w:rsid w:val="005C459E"/>
    <w:rsid w:val="005C45A3"/>
    <w:rsid w:val="005C45AE"/>
    <w:rsid w:val="005C45D3"/>
    <w:rsid w:val="005C45EA"/>
    <w:rsid w:val="005C46DF"/>
    <w:rsid w:val="005C4742"/>
    <w:rsid w:val="005C47AC"/>
    <w:rsid w:val="005C4882"/>
    <w:rsid w:val="005C4906"/>
    <w:rsid w:val="005C4910"/>
    <w:rsid w:val="005C4926"/>
    <w:rsid w:val="005C493D"/>
    <w:rsid w:val="005C493F"/>
    <w:rsid w:val="005C497E"/>
    <w:rsid w:val="005C4999"/>
    <w:rsid w:val="005C49FC"/>
    <w:rsid w:val="005C4A02"/>
    <w:rsid w:val="005C4A59"/>
    <w:rsid w:val="005C4B1C"/>
    <w:rsid w:val="005C4B87"/>
    <w:rsid w:val="005C4B8B"/>
    <w:rsid w:val="005C4BDC"/>
    <w:rsid w:val="005C4C1B"/>
    <w:rsid w:val="005C4CD5"/>
    <w:rsid w:val="005C4CEB"/>
    <w:rsid w:val="005C4D3D"/>
    <w:rsid w:val="005C4D50"/>
    <w:rsid w:val="005C4D9A"/>
    <w:rsid w:val="005C4DAE"/>
    <w:rsid w:val="005C4E3A"/>
    <w:rsid w:val="005C4E3D"/>
    <w:rsid w:val="005C4E6D"/>
    <w:rsid w:val="005C4E78"/>
    <w:rsid w:val="005C4EB5"/>
    <w:rsid w:val="005C4ED5"/>
    <w:rsid w:val="005C4F2C"/>
    <w:rsid w:val="005C4F5D"/>
    <w:rsid w:val="005C4F8C"/>
    <w:rsid w:val="005C4FA7"/>
    <w:rsid w:val="005C4FEF"/>
    <w:rsid w:val="005C5000"/>
    <w:rsid w:val="005C5008"/>
    <w:rsid w:val="005C501C"/>
    <w:rsid w:val="005C502A"/>
    <w:rsid w:val="005C503A"/>
    <w:rsid w:val="005C5110"/>
    <w:rsid w:val="005C5118"/>
    <w:rsid w:val="005C5150"/>
    <w:rsid w:val="005C5168"/>
    <w:rsid w:val="005C5181"/>
    <w:rsid w:val="005C5249"/>
    <w:rsid w:val="005C5250"/>
    <w:rsid w:val="005C52C0"/>
    <w:rsid w:val="005C52EC"/>
    <w:rsid w:val="005C52F7"/>
    <w:rsid w:val="005C530D"/>
    <w:rsid w:val="005C5373"/>
    <w:rsid w:val="005C53CC"/>
    <w:rsid w:val="005C53D7"/>
    <w:rsid w:val="005C53F0"/>
    <w:rsid w:val="005C53FD"/>
    <w:rsid w:val="005C5408"/>
    <w:rsid w:val="005C5409"/>
    <w:rsid w:val="005C542A"/>
    <w:rsid w:val="005C5442"/>
    <w:rsid w:val="005C544B"/>
    <w:rsid w:val="005C5493"/>
    <w:rsid w:val="005C54AB"/>
    <w:rsid w:val="005C54D9"/>
    <w:rsid w:val="005C5610"/>
    <w:rsid w:val="005C5654"/>
    <w:rsid w:val="005C5658"/>
    <w:rsid w:val="005C5693"/>
    <w:rsid w:val="005C56F4"/>
    <w:rsid w:val="005C571E"/>
    <w:rsid w:val="005C57CD"/>
    <w:rsid w:val="005C57D1"/>
    <w:rsid w:val="005C57EC"/>
    <w:rsid w:val="005C581E"/>
    <w:rsid w:val="005C58DE"/>
    <w:rsid w:val="005C58FF"/>
    <w:rsid w:val="005C5902"/>
    <w:rsid w:val="005C599C"/>
    <w:rsid w:val="005C5A32"/>
    <w:rsid w:val="005C5A61"/>
    <w:rsid w:val="005C5A7D"/>
    <w:rsid w:val="005C5AAE"/>
    <w:rsid w:val="005C5AEB"/>
    <w:rsid w:val="005C5AF0"/>
    <w:rsid w:val="005C5B3A"/>
    <w:rsid w:val="005C5B8A"/>
    <w:rsid w:val="005C5BF7"/>
    <w:rsid w:val="005C5C1F"/>
    <w:rsid w:val="005C5C4B"/>
    <w:rsid w:val="005C5CB9"/>
    <w:rsid w:val="005C5CE1"/>
    <w:rsid w:val="005C5CF1"/>
    <w:rsid w:val="005C5D0B"/>
    <w:rsid w:val="005C5D20"/>
    <w:rsid w:val="005C5D44"/>
    <w:rsid w:val="005C5D4C"/>
    <w:rsid w:val="005C5D97"/>
    <w:rsid w:val="005C5EBB"/>
    <w:rsid w:val="005C5EC1"/>
    <w:rsid w:val="005C5EC9"/>
    <w:rsid w:val="005C5ED0"/>
    <w:rsid w:val="005C5F34"/>
    <w:rsid w:val="005C5F96"/>
    <w:rsid w:val="005C600C"/>
    <w:rsid w:val="005C6027"/>
    <w:rsid w:val="005C607B"/>
    <w:rsid w:val="005C60D8"/>
    <w:rsid w:val="005C61E9"/>
    <w:rsid w:val="005C6234"/>
    <w:rsid w:val="005C6249"/>
    <w:rsid w:val="005C6251"/>
    <w:rsid w:val="005C626A"/>
    <w:rsid w:val="005C629F"/>
    <w:rsid w:val="005C62C3"/>
    <w:rsid w:val="005C62D5"/>
    <w:rsid w:val="005C62D9"/>
    <w:rsid w:val="005C6305"/>
    <w:rsid w:val="005C6319"/>
    <w:rsid w:val="005C6332"/>
    <w:rsid w:val="005C633D"/>
    <w:rsid w:val="005C6394"/>
    <w:rsid w:val="005C63BF"/>
    <w:rsid w:val="005C63FD"/>
    <w:rsid w:val="005C6412"/>
    <w:rsid w:val="005C64B3"/>
    <w:rsid w:val="005C64C1"/>
    <w:rsid w:val="005C64E8"/>
    <w:rsid w:val="005C653C"/>
    <w:rsid w:val="005C655E"/>
    <w:rsid w:val="005C655F"/>
    <w:rsid w:val="005C6574"/>
    <w:rsid w:val="005C65CA"/>
    <w:rsid w:val="005C65D7"/>
    <w:rsid w:val="005C662F"/>
    <w:rsid w:val="005C6669"/>
    <w:rsid w:val="005C667C"/>
    <w:rsid w:val="005C66B9"/>
    <w:rsid w:val="005C66F5"/>
    <w:rsid w:val="005C671E"/>
    <w:rsid w:val="005C6735"/>
    <w:rsid w:val="005C678F"/>
    <w:rsid w:val="005C6791"/>
    <w:rsid w:val="005C6794"/>
    <w:rsid w:val="005C679E"/>
    <w:rsid w:val="005C683A"/>
    <w:rsid w:val="005C68D0"/>
    <w:rsid w:val="005C68F9"/>
    <w:rsid w:val="005C6903"/>
    <w:rsid w:val="005C693C"/>
    <w:rsid w:val="005C6995"/>
    <w:rsid w:val="005C69D5"/>
    <w:rsid w:val="005C69E9"/>
    <w:rsid w:val="005C6A49"/>
    <w:rsid w:val="005C6A5C"/>
    <w:rsid w:val="005C6B67"/>
    <w:rsid w:val="005C6BBE"/>
    <w:rsid w:val="005C6BF1"/>
    <w:rsid w:val="005C6C09"/>
    <w:rsid w:val="005C6C30"/>
    <w:rsid w:val="005C6C3D"/>
    <w:rsid w:val="005C6C45"/>
    <w:rsid w:val="005C6C4D"/>
    <w:rsid w:val="005C6CA2"/>
    <w:rsid w:val="005C6D57"/>
    <w:rsid w:val="005C6DF1"/>
    <w:rsid w:val="005C6E14"/>
    <w:rsid w:val="005C6E42"/>
    <w:rsid w:val="005C6E8F"/>
    <w:rsid w:val="005C6ED6"/>
    <w:rsid w:val="005C6EEF"/>
    <w:rsid w:val="005C6F41"/>
    <w:rsid w:val="005C6F48"/>
    <w:rsid w:val="005C6FA8"/>
    <w:rsid w:val="005C703E"/>
    <w:rsid w:val="005C705E"/>
    <w:rsid w:val="005C70A7"/>
    <w:rsid w:val="005C70D6"/>
    <w:rsid w:val="005C70DB"/>
    <w:rsid w:val="005C70EF"/>
    <w:rsid w:val="005C7124"/>
    <w:rsid w:val="005C7135"/>
    <w:rsid w:val="005C715D"/>
    <w:rsid w:val="005C71D5"/>
    <w:rsid w:val="005C7305"/>
    <w:rsid w:val="005C7339"/>
    <w:rsid w:val="005C739A"/>
    <w:rsid w:val="005C73C3"/>
    <w:rsid w:val="005C73C5"/>
    <w:rsid w:val="005C7450"/>
    <w:rsid w:val="005C746C"/>
    <w:rsid w:val="005C74DC"/>
    <w:rsid w:val="005C751A"/>
    <w:rsid w:val="005C7550"/>
    <w:rsid w:val="005C757E"/>
    <w:rsid w:val="005C75C7"/>
    <w:rsid w:val="005C7678"/>
    <w:rsid w:val="005C768A"/>
    <w:rsid w:val="005C7699"/>
    <w:rsid w:val="005C76BA"/>
    <w:rsid w:val="005C76BC"/>
    <w:rsid w:val="005C7714"/>
    <w:rsid w:val="005C771D"/>
    <w:rsid w:val="005C772A"/>
    <w:rsid w:val="005C7773"/>
    <w:rsid w:val="005C7775"/>
    <w:rsid w:val="005C77FD"/>
    <w:rsid w:val="005C78F6"/>
    <w:rsid w:val="005C7911"/>
    <w:rsid w:val="005C793B"/>
    <w:rsid w:val="005C7958"/>
    <w:rsid w:val="005C799D"/>
    <w:rsid w:val="005C79A4"/>
    <w:rsid w:val="005C79CE"/>
    <w:rsid w:val="005C7A4D"/>
    <w:rsid w:val="005C7A83"/>
    <w:rsid w:val="005C7AE2"/>
    <w:rsid w:val="005C7AE8"/>
    <w:rsid w:val="005C7BB6"/>
    <w:rsid w:val="005C7BF8"/>
    <w:rsid w:val="005C7C44"/>
    <w:rsid w:val="005C7C58"/>
    <w:rsid w:val="005C7C68"/>
    <w:rsid w:val="005C7DA0"/>
    <w:rsid w:val="005C7DFE"/>
    <w:rsid w:val="005C7E96"/>
    <w:rsid w:val="005C7EBD"/>
    <w:rsid w:val="005C7ECD"/>
    <w:rsid w:val="005C7F61"/>
    <w:rsid w:val="005C7F8E"/>
    <w:rsid w:val="005C7FE2"/>
    <w:rsid w:val="005D0011"/>
    <w:rsid w:val="005D0079"/>
    <w:rsid w:val="005D0105"/>
    <w:rsid w:val="005D019C"/>
    <w:rsid w:val="005D01B2"/>
    <w:rsid w:val="005D022C"/>
    <w:rsid w:val="005D024D"/>
    <w:rsid w:val="005D0291"/>
    <w:rsid w:val="005D0335"/>
    <w:rsid w:val="005D0394"/>
    <w:rsid w:val="005D0417"/>
    <w:rsid w:val="005D0454"/>
    <w:rsid w:val="005D048A"/>
    <w:rsid w:val="005D04AD"/>
    <w:rsid w:val="005D04BD"/>
    <w:rsid w:val="005D04D5"/>
    <w:rsid w:val="005D04DF"/>
    <w:rsid w:val="005D055C"/>
    <w:rsid w:val="005D066F"/>
    <w:rsid w:val="005D0672"/>
    <w:rsid w:val="005D06EB"/>
    <w:rsid w:val="005D0706"/>
    <w:rsid w:val="005D0712"/>
    <w:rsid w:val="005D077A"/>
    <w:rsid w:val="005D0783"/>
    <w:rsid w:val="005D089D"/>
    <w:rsid w:val="005D08A5"/>
    <w:rsid w:val="005D08AD"/>
    <w:rsid w:val="005D091B"/>
    <w:rsid w:val="005D0926"/>
    <w:rsid w:val="005D09AC"/>
    <w:rsid w:val="005D0ADC"/>
    <w:rsid w:val="005D0AE7"/>
    <w:rsid w:val="005D0B05"/>
    <w:rsid w:val="005D0B7B"/>
    <w:rsid w:val="005D0C6F"/>
    <w:rsid w:val="005D0C91"/>
    <w:rsid w:val="005D0CB9"/>
    <w:rsid w:val="005D0CD8"/>
    <w:rsid w:val="005D0CDA"/>
    <w:rsid w:val="005D0CE4"/>
    <w:rsid w:val="005D0CFC"/>
    <w:rsid w:val="005D0D4E"/>
    <w:rsid w:val="005D0E4D"/>
    <w:rsid w:val="005D0E7B"/>
    <w:rsid w:val="005D0EEC"/>
    <w:rsid w:val="005D0F46"/>
    <w:rsid w:val="005D0F50"/>
    <w:rsid w:val="005D0F83"/>
    <w:rsid w:val="005D0FDB"/>
    <w:rsid w:val="005D0FE1"/>
    <w:rsid w:val="005D1005"/>
    <w:rsid w:val="005D1008"/>
    <w:rsid w:val="005D107D"/>
    <w:rsid w:val="005D10C4"/>
    <w:rsid w:val="005D113E"/>
    <w:rsid w:val="005D114A"/>
    <w:rsid w:val="005D1158"/>
    <w:rsid w:val="005D1171"/>
    <w:rsid w:val="005D118F"/>
    <w:rsid w:val="005D12CB"/>
    <w:rsid w:val="005D12CC"/>
    <w:rsid w:val="005D12CD"/>
    <w:rsid w:val="005D12CF"/>
    <w:rsid w:val="005D131C"/>
    <w:rsid w:val="005D13F6"/>
    <w:rsid w:val="005D13FA"/>
    <w:rsid w:val="005D1475"/>
    <w:rsid w:val="005D148D"/>
    <w:rsid w:val="005D149D"/>
    <w:rsid w:val="005D14EF"/>
    <w:rsid w:val="005D155D"/>
    <w:rsid w:val="005D15B3"/>
    <w:rsid w:val="005D15C4"/>
    <w:rsid w:val="005D15DD"/>
    <w:rsid w:val="005D160E"/>
    <w:rsid w:val="005D1657"/>
    <w:rsid w:val="005D1662"/>
    <w:rsid w:val="005D1679"/>
    <w:rsid w:val="005D16A3"/>
    <w:rsid w:val="005D16C9"/>
    <w:rsid w:val="005D171E"/>
    <w:rsid w:val="005D17A5"/>
    <w:rsid w:val="005D186C"/>
    <w:rsid w:val="005D1910"/>
    <w:rsid w:val="005D196C"/>
    <w:rsid w:val="005D19A2"/>
    <w:rsid w:val="005D19BA"/>
    <w:rsid w:val="005D19E2"/>
    <w:rsid w:val="005D1A0B"/>
    <w:rsid w:val="005D1A1A"/>
    <w:rsid w:val="005D1A30"/>
    <w:rsid w:val="005D1A3A"/>
    <w:rsid w:val="005D1A43"/>
    <w:rsid w:val="005D1A6F"/>
    <w:rsid w:val="005D1A84"/>
    <w:rsid w:val="005D1AC1"/>
    <w:rsid w:val="005D1AD2"/>
    <w:rsid w:val="005D1B02"/>
    <w:rsid w:val="005D1B5C"/>
    <w:rsid w:val="005D1B60"/>
    <w:rsid w:val="005D1B74"/>
    <w:rsid w:val="005D1C47"/>
    <w:rsid w:val="005D1D5A"/>
    <w:rsid w:val="005D1D93"/>
    <w:rsid w:val="005D1DCF"/>
    <w:rsid w:val="005D1E84"/>
    <w:rsid w:val="005D1EDD"/>
    <w:rsid w:val="005D1EF3"/>
    <w:rsid w:val="005D1F50"/>
    <w:rsid w:val="005D1FB3"/>
    <w:rsid w:val="005D1FB8"/>
    <w:rsid w:val="005D1FFB"/>
    <w:rsid w:val="005D2025"/>
    <w:rsid w:val="005D2047"/>
    <w:rsid w:val="005D206F"/>
    <w:rsid w:val="005D2070"/>
    <w:rsid w:val="005D20A2"/>
    <w:rsid w:val="005D214F"/>
    <w:rsid w:val="005D2150"/>
    <w:rsid w:val="005D215D"/>
    <w:rsid w:val="005D2185"/>
    <w:rsid w:val="005D219F"/>
    <w:rsid w:val="005D2201"/>
    <w:rsid w:val="005D2292"/>
    <w:rsid w:val="005D2307"/>
    <w:rsid w:val="005D2347"/>
    <w:rsid w:val="005D2397"/>
    <w:rsid w:val="005D23CA"/>
    <w:rsid w:val="005D2428"/>
    <w:rsid w:val="005D242A"/>
    <w:rsid w:val="005D2443"/>
    <w:rsid w:val="005D24E0"/>
    <w:rsid w:val="005D24F5"/>
    <w:rsid w:val="005D251D"/>
    <w:rsid w:val="005D2559"/>
    <w:rsid w:val="005D25A6"/>
    <w:rsid w:val="005D25AF"/>
    <w:rsid w:val="005D2613"/>
    <w:rsid w:val="005D2652"/>
    <w:rsid w:val="005D2684"/>
    <w:rsid w:val="005D26A0"/>
    <w:rsid w:val="005D26D5"/>
    <w:rsid w:val="005D26E7"/>
    <w:rsid w:val="005D2742"/>
    <w:rsid w:val="005D2745"/>
    <w:rsid w:val="005D274D"/>
    <w:rsid w:val="005D2750"/>
    <w:rsid w:val="005D27C8"/>
    <w:rsid w:val="005D2838"/>
    <w:rsid w:val="005D2855"/>
    <w:rsid w:val="005D2879"/>
    <w:rsid w:val="005D295E"/>
    <w:rsid w:val="005D29C1"/>
    <w:rsid w:val="005D2AC7"/>
    <w:rsid w:val="005D2B50"/>
    <w:rsid w:val="005D2BBD"/>
    <w:rsid w:val="005D2C11"/>
    <w:rsid w:val="005D2C9B"/>
    <w:rsid w:val="005D2D1E"/>
    <w:rsid w:val="005D2D63"/>
    <w:rsid w:val="005D2E3D"/>
    <w:rsid w:val="005D2E4A"/>
    <w:rsid w:val="005D2E73"/>
    <w:rsid w:val="005D2E81"/>
    <w:rsid w:val="005D2F22"/>
    <w:rsid w:val="005D2F5A"/>
    <w:rsid w:val="005D2F6E"/>
    <w:rsid w:val="005D2F8D"/>
    <w:rsid w:val="005D2F98"/>
    <w:rsid w:val="005D2FA2"/>
    <w:rsid w:val="005D2FD5"/>
    <w:rsid w:val="005D304C"/>
    <w:rsid w:val="005D3073"/>
    <w:rsid w:val="005D31B3"/>
    <w:rsid w:val="005D31FB"/>
    <w:rsid w:val="005D3211"/>
    <w:rsid w:val="005D322F"/>
    <w:rsid w:val="005D3279"/>
    <w:rsid w:val="005D327C"/>
    <w:rsid w:val="005D32B5"/>
    <w:rsid w:val="005D3384"/>
    <w:rsid w:val="005D338E"/>
    <w:rsid w:val="005D3397"/>
    <w:rsid w:val="005D3412"/>
    <w:rsid w:val="005D341A"/>
    <w:rsid w:val="005D34D8"/>
    <w:rsid w:val="005D3509"/>
    <w:rsid w:val="005D3511"/>
    <w:rsid w:val="005D352D"/>
    <w:rsid w:val="005D3537"/>
    <w:rsid w:val="005D355F"/>
    <w:rsid w:val="005D3566"/>
    <w:rsid w:val="005D3577"/>
    <w:rsid w:val="005D35E0"/>
    <w:rsid w:val="005D3622"/>
    <w:rsid w:val="005D362D"/>
    <w:rsid w:val="005D364A"/>
    <w:rsid w:val="005D3728"/>
    <w:rsid w:val="005D3787"/>
    <w:rsid w:val="005D38E6"/>
    <w:rsid w:val="005D39E2"/>
    <w:rsid w:val="005D3A79"/>
    <w:rsid w:val="005D3B55"/>
    <w:rsid w:val="005D3BC0"/>
    <w:rsid w:val="005D3BD9"/>
    <w:rsid w:val="005D3CB1"/>
    <w:rsid w:val="005D3D21"/>
    <w:rsid w:val="005D3DA2"/>
    <w:rsid w:val="005D3DB6"/>
    <w:rsid w:val="005D3DDE"/>
    <w:rsid w:val="005D3DF1"/>
    <w:rsid w:val="005D3E96"/>
    <w:rsid w:val="005D3E99"/>
    <w:rsid w:val="005D3EFE"/>
    <w:rsid w:val="005D3F9B"/>
    <w:rsid w:val="005D3FA4"/>
    <w:rsid w:val="005D3FC4"/>
    <w:rsid w:val="005D4009"/>
    <w:rsid w:val="005D4013"/>
    <w:rsid w:val="005D4097"/>
    <w:rsid w:val="005D40AF"/>
    <w:rsid w:val="005D40BE"/>
    <w:rsid w:val="005D4119"/>
    <w:rsid w:val="005D4138"/>
    <w:rsid w:val="005D4150"/>
    <w:rsid w:val="005D4174"/>
    <w:rsid w:val="005D4183"/>
    <w:rsid w:val="005D41B7"/>
    <w:rsid w:val="005D422B"/>
    <w:rsid w:val="005D4240"/>
    <w:rsid w:val="005D42BA"/>
    <w:rsid w:val="005D42C8"/>
    <w:rsid w:val="005D434C"/>
    <w:rsid w:val="005D438D"/>
    <w:rsid w:val="005D439A"/>
    <w:rsid w:val="005D43B5"/>
    <w:rsid w:val="005D44D2"/>
    <w:rsid w:val="005D450F"/>
    <w:rsid w:val="005D4554"/>
    <w:rsid w:val="005D4565"/>
    <w:rsid w:val="005D45F9"/>
    <w:rsid w:val="005D4638"/>
    <w:rsid w:val="005D46CE"/>
    <w:rsid w:val="005D4763"/>
    <w:rsid w:val="005D4791"/>
    <w:rsid w:val="005D47A1"/>
    <w:rsid w:val="005D47A2"/>
    <w:rsid w:val="005D47B6"/>
    <w:rsid w:val="005D4849"/>
    <w:rsid w:val="005D4861"/>
    <w:rsid w:val="005D486A"/>
    <w:rsid w:val="005D48BC"/>
    <w:rsid w:val="005D48D5"/>
    <w:rsid w:val="005D4909"/>
    <w:rsid w:val="005D4949"/>
    <w:rsid w:val="005D4986"/>
    <w:rsid w:val="005D4A36"/>
    <w:rsid w:val="005D4A8E"/>
    <w:rsid w:val="005D4AC2"/>
    <w:rsid w:val="005D4AF1"/>
    <w:rsid w:val="005D4B5E"/>
    <w:rsid w:val="005D4B89"/>
    <w:rsid w:val="005D4B8A"/>
    <w:rsid w:val="005D4B8E"/>
    <w:rsid w:val="005D4BAE"/>
    <w:rsid w:val="005D4BCC"/>
    <w:rsid w:val="005D4D82"/>
    <w:rsid w:val="005D4DE3"/>
    <w:rsid w:val="005D4DFF"/>
    <w:rsid w:val="005D4E04"/>
    <w:rsid w:val="005D4E30"/>
    <w:rsid w:val="005D4E37"/>
    <w:rsid w:val="005D4E4A"/>
    <w:rsid w:val="005D4ECF"/>
    <w:rsid w:val="005D4ED2"/>
    <w:rsid w:val="005D4ED3"/>
    <w:rsid w:val="005D4EE3"/>
    <w:rsid w:val="005D4F24"/>
    <w:rsid w:val="005D4F47"/>
    <w:rsid w:val="005D4F71"/>
    <w:rsid w:val="005D4FD2"/>
    <w:rsid w:val="005D5023"/>
    <w:rsid w:val="005D509E"/>
    <w:rsid w:val="005D50C9"/>
    <w:rsid w:val="005D511B"/>
    <w:rsid w:val="005D514C"/>
    <w:rsid w:val="005D5152"/>
    <w:rsid w:val="005D516F"/>
    <w:rsid w:val="005D51A1"/>
    <w:rsid w:val="005D51A7"/>
    <w:rsid w:val="005D524E"/>
    <w:rsid w:val="005D5260"/>
    <w:rsid w:val="005D52B4"/>
    <w:rsid w:val="005D52ED"/>
    <w:rsid w:val="005D5316"/>
    <w:rsid w:val="005D5374"/>
    <w:rsid w:val="005D5446"/>
    <w:rsid w:val="005D5496"/>
    <w:rsid w:val="005D54DC"/>
    <w:rsid w:val="005D557E"/>
    <w:rsid w:val="005D5595"/>
    <w:rsid w:val="005D55AC"/>
    <w:rsid w:val="005D55B0"/>
    <w:rsid w:val="005D55CC"/>
    <w:rsid w:val="005D55EB"/>
    <w:rsid w:val="005D56D6"/>
    <w:rsid w:val="005D56F0"/>
    <w:rsid w:val="005D5716"/>
    <w:rsid w:val="005D5755"/>
    <w:rsid w:val="005D578B"/>
    <w:rsid w:val="005D57AA"/>
    <w:rsid w:val="005D57BC"/>
    <w:rsid w:val="005D57BE"/>
    <w:rsid w:val="005D5974"/>
    <w:rsid w:val="005D59ED"/>
    <w:rsid w:val="005D5A1B"/>
    <w:rsid w:val="005D5A96"/>
    <w:rsid w:val="005D5ADE"/>
    <w:rsid w:val="005D5B38"/>
    <w:rsid w:val="005D5C30"/>
    <w:rsid w:val="005D5C6C"/>
    <w:rsid w:val="005D5CDB"/>
    <w:rsid w:val="005D5D32"/>
    <w:rsid w:val="005D5D95"/>
    <w:rsid w:val="005D5EC7"/>
    <w:rsid w:val="005D5EDF"/>
    <w:rsid w:val="005D5EE4"/>
    <w:rsid w:val="005D5F19"/>
    <w:rsid w:val="005D5F4B"/>
    <w:rsid w:val="005D5F4D"/>
    <w:rsid w:val="005D5F58"/>
    <w:rsid w:val="005D6051"/>
    <w:rsid w:val="005D6082"/>
    <w:rsid w:val="005D6087"/>
    <w:rsid w:val="005D608F"/>
    <w:rsid w:val="005D60F4"/>
    <w:rsid w:val="005D6147"/>
    <w:rsid w:val="005D6267"/>
    <w:rsid w:val="005D639E"/>
    <w:rsid w:val="005D63AB"/>
    <w:rsid w:val="005D6414"/>
    <w:rsid w:val="005D6422"/>
    <w:rsid w:val="005D64BA"/>
    <w:rsid w:val="005D64BD"/>
    <w:rsid w:val="005D64CE"/>
    <w:rsid w:val="005D64F9"/>
    <w:rsid w:val="005D6536"/>
    <w:rsid w:val="005D656E"/>
    <w:rsid w:val="005D6630"/>
    <w:rsid w:val="005D6653"/>
    <w:rsid w:val="005D670F"/>
    <w:rsid w:val="005D672D"/>
    <w:rsid w:val="005D6784"/>
    <w:rsid w:val="005D67A7"/>
    <w:rsid w:val="005D6800"/>
    <w:rsid w:val="005D6806"/>
    <w:rsid w:val="005D6808"/>
    <w:rsid w:val="005D6840"/>
    <w:rsid w:val="005D6857"/>
    <w:rsid w:val="005D6913"/>
    <w:rsid w:val="005D6935"/>
    <w:rsid w:val="005D6A26"/>
    <w:rsid w:val="005D6A44"/>
    <w:rsid w:val="005D6A63"/>
    <w:rsid w:val="005D6BCD"/>
    <w:rsid w:val="005D6C2F"/>
    <w:rsid w:val="005D6D3E"/>
    <w:rsid w:val="005D6D6C"/>
    <w:rsid w:val="005D6DC0"/>
    <w:rsid w:val="005D6E08"/>
    <w:rsid w:val="005D6E29"/>
    <w:rsid w:val="005D6E7C"/>
    <w:rsid w:val="005D6EE5"/>
    <w:rsid w:val="005D6EF3"/>
    <w:rsid w:val="005D6F34"/>
    <w:rsid w:val="005D6FC4"/>
    <w:rsid w:val="005D7032"/>
    <w:rsid w:val="005D7048"/>
    <w:rsid w:val="005D7053"/>
    <w:rsid w:val="005D705A"/>
    <w:rsid w:val="005D7100"/>
    <w:rsid w:val="005D71C4"/>
    <w:rsid w:val="005D71F8"/>
    <w:rsid w:val="005D71FD"/>
    <w:rsid w:val="005D7227"/>
    <w:rsid w:val="005D7302"/>
    <w:rsid w:val="005D736E"/>
    <w:rsid w:val="005D73DE"/>
    <w:rsid w:val="005D746C"/>
    <w:rsid w:val="005D7475"/>
    <w:rsid w:val="005D7492"/>
    <w:rsid w:val="005D74C4"/>
    <w:rsid w:val="005D74E3"/>
    <w:rsid w:val="005D7526"/>
    <w:rsid w:val="005D7549"/>
    <w:rsid w:val="005D755B"/>
    <w:rsid w:val="005D75DE"/>
    <w:rsid w:val="005D7688"/>
    <w:rsid w:val="005D76CD"/>
    <w:rsid w:val="005D76DB"/>
    <w:rsid w:val="005D7710"/>
    <w:rsid w:val="005D772D"/>
    <w:rsid w:val="005D782B"/>
    <w:rsid w:val="005D786E"/>
    <w:rsid w:val="005D787E"/>
    <w:rsid w:val="005D7914"/>
    <w:rsid w:val="005D7924"/>
    <w:rsid w:val="005D7928"/>
    <w:rsid w:val="005D7995"/>
    <w:rsid w:val="005D79BD"/>
    <w:rsid w:val="005D79E4"/>
    <w:rsid w:val="005D79E6"/>
    <w:rsid w:val="005D7A8D"/>
    <w:rsid w:val="005D7B17"/>
    <w:rsid w:val="005D7B48"/>
    <w:rsid w:val="005D7B54"/>
    <w:rsid w:val="005D7B7F"/>
    <w:rsid w:val="005D7B81"/>
    <w:rsid w:val="005D7B93"/>
    <w:rsid w:val="005D7B9E"/>
    <w:rsid w:val="005D7BA1"/>
    <w:rsid w:val="005D7BE6"/>
    <w:rsid w:val="005D7BEA"/>
    <w:rsid w:val="005D7C0D"/>
    <w:rsid w:val="005D7C2F"/>
    <w:rsid w:val="005D7CC5"/>
    <w:rsid w:val="005D7D03"/>
    <w:rsid w:val="005D7D05"/>
    <w:rsid w:val="005D7D84"/>
    <w:rsid w:val="005D7E43"/>
    <w:rsid w:val="005D7E7C"/>
    <w:rsid w:val="005D7E8F"/>
    <w:rsid w:val="005D7EC2"/>
    <w:rsid w:val="005D7F3D"/>
    <w:rsid w:val="005D7F64"/>
    <w:rsid w:val="005D7F87"/>
    <w:rsid w:val="005E0019"/>
    <w:rsid w:val="005E0051"/>
    <w:rsid w:val="005E00A0"/>
    <w:rsid w:val="005E0119"/>
    <w:rsid w:val="005E0122"/>
    <w:rsid w:val="005E01A2"/>
    <w:rsid w:val="005E020D"/>
    <w:rsid w:val="005E0238"/>
    <w:rsid w:val="005E0294"/>
    <w:rsid w:val="005E02DA"/>
    <w:rsid w:val="005E0314"/>
    <w:rsid w:val="005E036F"/>
    <w:rsid w:val="005E03A4"/>
    <w:rsid w:val="005E03C3"/>
    <w:rsid w:val="005E04A1"/>
    <w:rsid w:val="005E051A"/>
    <w:rsid w:val="005E052F"/>
    <w:rsid w:val="005E0549"/>
    <w:rsid w:val="005E058B"/>
    <w:rsid w:val="005E05AB"/>
    <w:rsid w:val="005E05C8"/>
    <w:rsid w:val="005E05DA"/>
    <w:rsid w:val="005E05FC"/>
    <w:rsid w:val="005E060C"/>
    <w:rsid w:val="005E0638"/>
    <w:rsid w:val="005E0681"/>
    <w:rsid w:val="005E0692"/>
    <w:rsid w:val="005E069B"/>
    <w:rsid w:val="005E06AD"/>
    <w:rsid w:val="005E0749"/>
    <w:rsid w:val="005E07A0"/>
    <w:rsid w:val="005E07D5"/>
    <w:rsid w:val="005E07FE"/>
    <w:rsid w:val="005E0830"/>
    <w:rsid w:val="005E0832"/>
    <w:rsid w:val="005E084F"/>
    <w:rsid w:val="005E08A3"/>
    <w:rsid w:val="005E08AF"/>
    <w:rsid w:val="005E08E5"/>
    <w:rsid w:val="005E09B0"/>
    <w:rsid w:val="005E0A26"/>
    <w:rsid w:val="005E0ABE"/>
    <w:rsid w:val="005E0ABF"/>
    <w:rsid w:val="005E0AC8"/>
    <w:rsid w:val="005E0ACB"/>
    <w:rsid w:val="005E0BAB"/>
    <w:rsid w:val="005E0BB7"/>
    <w:rsid w:val="005E0BBD"/>
    <w:rsid w:val="005E0CAB"/>
    <w:rsid w:val="005E0CD0"/>
    <w:rsid w:val="005E0D6D"/>
    <w:rsid w:val="005E0DEA"/>
    <w:rsid w:val="005E0E34"/>
    <w:rsid w:val="005E0E58"/>
    <w:rsid w:val="005E0E5C"/>
    <w:rsid w:val="005E0E71"/>
    <w:rsid w:val="005E0EF8"/>
    <w:rsid w:val="005E0F5D"/>
    <w:rsid w:val="005E0F92"/>
    <w:rsid w:val="005E0F9D"/>
    <w:rsid w:val="005E0FA8"/>
    <w:rsid w:val="005E0FAD"/>
    <w:rsid w:val="005E1045"/>
    <w:rsid w:val="005E1051"/>
    <w:rsid w:val="005E1058"/>
    <w:rsid w:val="005E10BB"/>
    <w:rsid w:val="005E112A"/>
    <w:rsid w:val="005E1133"/>
    <w:rsid w:val="005E117F"/>
    <w:rsid w:val="005E1185"/>
    <w:rsid w:val="005E11C0"/>
    <w:rsid w:val="005E11EF"/>
    <w:rsid w:val="005E1202"/>
    <w:rsid w:val="005E120A"/>
    <w:rsid w:val="005E1211"/>
    <w:rsid w:val="005E1230"/>
    <w:rsid w:val="005E1245"/>
    <w:rsid w:val="005E126B"/>
    <w:rsid w:val="005E12B0"/>
    <w:rsid w:val="005E12C0"/>
    <w:rsid w:val="005E12D6"/>
    <w:rsid w:val="005E1314"/>
    <w:rsid w:val="005E132F"/>
    <w:rsid w:val="005E1374"/>
    <w:rsid w:val="005E13B2"/>
    <w:rsid w:val="005E1448"/>
    <w:rsid w:val="005E1470"/>
    <w:rsid w:val="005E1533"/>
    <w:rsid w:val="005E1560"/>
    <w:rsid w:val="005E1569"/>
    <w:rsid w:val="005E1584"/>
    <w:rsid w:val="005E15E1"/>
    <w:rsid w:val="005E1614"/>
    <w:rsid w:val="005E1663"/>
    <w:rsid w:val="005E1696"/>
    <w:rsid w:val="005E16C2"/>
    <w:rsid w:val="005E1709"/>
    <w:rsid w:val="005E178C"/>
    <w:rsid w:val="005E17A9"/>
    <w:rsid w:val="005E1802"/>
    <w:rsid w:val="005E1838"/>
    <w:rsid w:val="005E188D"/>
    <w:rsid w:val="005E18DE"/>
    <w:rsid w:val="005E1921"/>
    <w:rsid w:val="005E1A99"/>
    <w:rsid w:val="005E1AC4"/>
    <w:rsid w:val="005E1AC9"/>
    <w:rsid w:val="005E1AEA"/>
    <w:rsid w:val="005E1AEF"/>
    <w:rsid w:val="005E1B0D"/>
    <w:rsid w:val="005E1B44"/>
    <w:rsid w:val="005E1BBF"/>
    <w:rsid w:val="005E1C40"/>
    <w:rsid w:val="005E1C6F"/>
    <w:rsid w:val="005E1C8B"/>
    <w:rsid w:val="005E1CDA"/>
    <w:rsid w:val="005E1CEA"/>
    <w:rsid w:val="005E1CF3"/>
    <w:rsid w:val="005E1D29"/>
    <w:rsid w:val="005E1DB7"/>
    <w:rsid w:val="005E1DEA"/>
    <w:rsid w:val="005E1DFD"/>
    <w:rsid w:val="005E1E08"/>
    <w:rsid w:val="005E1E63"/>
    <w:rsid w:val="005E1FC6"/>
    <w:rsid w:val="005E204A"/>
    <w:rsid w:val="005E2063"/>
    <w:rsid w:val="005E20A2"/>
    <w:rsid w:val="005E20AA"/>
    <w:rsid w:val="005E20CA"/>
    <w:rsid w:val="005E20D1"/>
    <w:rsid w:val="005E2141"/>
    <w:rsid w:val="005E2144"/>
    <w:rsid w:val="005E2186"/>
    <w:rsid w:val="005E2218"/>
    <w:rsid w:val="005E2253"/>
    <w:rsid w:val="005E22C1"/>
    <w:rsid w:val="005E2326"/>
    <w:rsid w:val="005E2391"/>
    <w:rsid w:val="005E23FF"/>
    <w:rsid w:val="005E2440"/>
    <w:rsid w:val="005E244E"/>
    <w:rsid w:val="005E24D2"/>
    <w:rsid w:val="005E2522"/>
    <w:rsid w:val="005E2586"/>
    <w:rsid w:val="005E258D"/>
    <w:rsid w:val="005E25B0"/>
    <w:rsid w:val="005E25D1"/>
    <w:rsid w:val="005E25EA"/>
    <w:rsid w:val="005E2625"/>
    <w:rsid w:val="005E2675"/>
    <w:rsid w:val="005E2772"/>
    <w:rsid w:val="005E27AC"/>
    <w:rsid w:val="005E2819"/>
    <w:rsid w:val="005E281D"/>
    <w:rsid w:val="005E294C"/>
    <w:rsid w:val="005E2982"/>
    <w:rsid w:val="005E299E"/>
    <w:rsid w:val="005E29C1"/>
    <w:rsid w:val="005E29EA"/>
    <w:rsid w:val="005E2A12"/>
    <w:rsid w:val="005E2AC3"/>
    <w:rsid w:val="005E2ACA"/>
    <w:rsid w:val="005E2B07"/>
    <w:rsid w:val="005E2BA9"/>
    <w:rsid w:val="005E2BB8"/>
    <w:rsid w:val="005E2BCF"/>
    <w:rsid w:val="005E2C71"/>
    <w:rsid w:val="005E2D5F"/>
    <w:rsid w:val="005E2D79"/>
    <w:rsid w:val="005E2D86"/>
    <w:rsid w:val="005E2D8F"/>
    <w:rsid w:val="005E2DD9"/>
    <w:rsid w:val="005E2DDC"/>
    <w:rsid w:val="005E2E23"/>
    <w:rsid w:val="005E2E57"/>
    <w:rsid w:val="005E2EC8"/>
    <w:rsid w:val="005E2F21"/>
    <w:rsid w:val="005E2F4B"/>
    <w:rsid w:val="005E2F4F"/>
    <w:rsid w:val="005E2F92"/>
    <w:rsid w:val="005E3015"/>
    <w:rsid w:val="005E301E"/>
    <w:rsid w:val="005E3021"/>
    <w:rsid w:val="005E3047"/>
    <w:rsid w:val="005E3094"/>
    <w:rsid w:val="005E30BF"/>
    <w:rsid w:val="005E30F8"/>
    <w:rsid w:val="005E31AE"/>
    <w:rsid w:val="005E31BD"/>
    <w:rsid w:val="005E31FE"/>
    <w:rsid w:val="005E320A"/>
    <w:rsid w:val="005E320F"/>
    <w:rsid w:val="005E3223"/>
    <w:rsid w:val="005E3232"/>
    <w:rsid w:val="005E324F"/>
    <w:rsid w:val="005E32C1"/>
    <w:rsid w:val="005E32D7"/>
    <w:rsid w:val="005E32DF"/>
    <w:rsid w:val="005E32FC"/>
    <w:rsid w:val="005E330B"/>
    <w:rsid w:val="005E338B"/>
    <w:rsid w:val="005E33E7"/>
    <w:rsid w:val="005E33F0"/>
    <w:rsid w:val="005E3407"/>
    <w:rsid w:val="005E3454"/>
    <w:rsid w:val="005E34A9"/>
    <w:rsid w:val="005E34E2"/>
    <w:rsid w:val="005E3542"/>
    <w:rsid w:val="005E3547"/>
    <w:rsid w:val="005E355E"/>
    <w:rsid w:val="005E35CF"/>
    <w:rsid w:val="005E35D8"/>
    <w:rsid w:val="005E36C4"/>
    <w:rsid w:val="005E3703"/>
    <w:rsid w:val="005E3704"/>
    <w:rsid w:val="005E379A"/>
    <w:rsid w:val="005E37B1"/>
    <w:rsid w:val="005E3808"/>
    <w:rsid w:val="005E380B"/>
    <w:rsid w:val="005E3832"/>
    <w:rsid w:val="005E3912"/>
    <w:rsid w:val="005E394D"/>
    <w:rsid w:val="005E3971"/>
    <w:rsid w:val="005E3AB3"/>
    <w:rsid w:val="005E3B71"/>
    <w:rsid w:val="005E3B94"/>
    <w:rsid w:val="005E3BB1"/>
    <w:rsid w:val="005E3BEA"/>
    <w:rsid w:val="005E3C14"/>
    <w:rsid w:val="005E3C8D"/>
    <w:rsid w:val="005E3CD2"/>
    <w:rsid w:val="005E3CD4"/>
    <w:rsid w:val="005E3D0E"/>
    <w:rsid w:val="005E3D25"/>
    <w:rsid w:val="005E3D65"/>
    <w:rsid w:val="005E3DA1"/>
    <w:rsid w:val="005E3DA4"/>
    <w:rsid w:val="005E3DB9"/>
    <w:rsid w:val="005E3DEA"/>
    <w:rsid w:val="005E3E49"/>
    <w:rsid w:val="005E3E52"/>
    <w:rsid w:val="005E3E58"/>
    <w:rsid w:val="005E3F2B"/>
    <w:rsid w:val="005E3F3C"/>
    <w:rsid w:val="005E3F63"/>
    <w:rsid w:val="005E3F72"/>
    <w:rsid w:val="005E3F7E"/>
    <w:rsid w:val="005E3F8C"/>
    <w:rsid w:val="005E3FF5"/>
    <w:rsid w:val="005E403F"/>
    <w:rsid w:val="005E409A"/>
    <w:rsid w:val="005E40BD"/>
    <w:rsid w:val="005E40BF"/>
    <w:rsid w:val="005E4111"/>
    <w:rsid w:val="005E41CE"/>
    <w:rsid w:val="005E41F4"/>
    <w:rsid w:val="005E421D"/>
    <w:rsid w:val="005E4245"/>
    <w:rsid w:val="005E424D"/>
    <w:rsid w:val="005E42A1"/>
    <w:rsid w:val="005E42FD"/>
    <w:rsid w:val="005E438D"/>
    <w:rsid w:val="005E43D8"/>
    <w:rsid w:val="005E43EA"/>
    <w:rsid w:val="005E444D"/>
    <w:rsid w:val="005E4460"/>
    <w:rsid w:val="005E4569"/>
    <w:rsid w:val="005E457C"/>
    <w:rsid w:val="005E4583"/>
    <w:rsid w:val="005E459A"/>
    <w:rsid w:val="005E45AF"/>
    <w:rsid w:val="005E45BD"/>
    <w:rsid w:val="005E467D"/>
    <w:rsid w:val="005E468B"/>
    <w:rsid w:val="005E46B8"/>
    <w:rsid w:val="005E46E5"/>
    <w:rsid w:val="005E471A"/>
    <w:rsid w:val="005E4784"/>
    <w:rsid w:val="005E479B"/>
    <w:rsid w:val="005E47AF"/>
    <w:rsid w:val="005E47E5"/>
    <w:rsid w:val="005E47FF"/>
    <w:rsid w:val="005E481F"/>
    <w:rsid w:val="005E482B"/>
    <w:rsid w:val="005E4852"/>
    <w:rsid w:val="005E487C"/>
    <w:rsid w:val="005E48C9"/>
    <w:rsid w:val="005E48F0"/>
    <w:rsid w:val="005E4916"/>
    <w:rsid w:val="005E491D"/>
    <w:rsid w:val="005E497E"/>
    <w:rsid w:val="005E4983"/>
    <w:rsid w:val="005E49C8"/>
    <w:rsid w:val="005E4A03"/>
    <w:rsid w:val="005E4A14"/>
    <w:rsid w:val="005E4A36"/>
    <w:rsid w:val="005E4A3E"/>
    <w:rsid w:val="005E4A62"/>
    <w:rsid w:val="005E4AA0"/>
    <w:rsid w:val="005E4B1C"/>
    <w:rsid w:val="005E4B1F"/>
    <w:rsid w:val="005E4B24"/>
    <w:rsid w:val="005E4B3B"/>
    <w:rsid w:val="005E4B72"/>
    <w:rsid w:val="005E4B74"/>
    <w:rsid w:val="005E4C01"/>
    <w:rsid w:val="005E4C2F"/>
    <w:rsid w:val="005E4C36"/>
    <w:rsid w:val="005E4C78"/>
    <w:rsid w:val="005E4C9F"/>
    <w:rsid w:val="005E4D08"/>
    <w:rsid w:val="005E4D6F"/>
    <w:rsid w:val="005E4DB1"/>
    <w:rsid w:val="005E4DEE"/>
    <w:rsid w:val="005E4ED5"/>
    <w:rsid w:val="005E4EE4"/>
    <w:rsid w:val="005E4FAA"/>
    <w:rsid w:val="005E4FF5"/>
    <w:rsid w:val="005E4FF9"/>
    <w:rsid w:val="005E506B"/>
    <w:rsid w:val="005E508B"/>
    <w:rsid w:val="005E50A0"/>
    <w:rsid w:val="005E50E6"/>
    <w:rsid w:val="005E50E8"/>
    <w:rsid w:val="005E50EA"/>
    <w:rsid w:val="005E516F"/>
    <w:rsid w:val="005E5174"/>
    <w:rsid w:val="005E5220"/>
    <w:rsid w:val="005E5243"/>
    <w:rsid w:val="005E5296"/>
    <w:rsid w:val="005E52A7"/>
    <w:rsid w:val="005E52A8"/>
    <w:rsid w:val="005E52B7"/>
    <w:rsid w:val="005E532F"/>
    <w:rsid w:val="005E5350"/>
    <w:rsid w:val="005E53F6"/>
    <w:rsid w:val="005E541D"/>
    <w:rsid w:val="005E5423"/>
    <w:rsid w:val="005E5435"/>
    <w:rsid w:val="005E544F"/>
    <w:rsid w:val="005E54D1"/>
    <w:rsid w:val="005E55B0"/>
    <w:rsid w:val="005E5618"/>
    <w:rsid w:val="005E5645"/>
    <w:rsid w:val="005E5652"/>
    <w:rsid w:val="005E56F6"/>
    <w:rsid w:val="005E5796"/>
    <w:rsid w:val="005E5797"/>
    <w:rsid w:val="005E57CB"/>
    <w:rsid w:val="005E57DD"/>
    <w:rsid w:val="005E57EC"/>
    <w:rsid w:val="005E580A"/>
    <w:rsid w:val="005E580E"/>
    <w:rsid w:val="005E58AC"/>
    <w:rsid w:val="005E58B4"/>
    <w:rsid w:val="005E58E6"/>
    <w:rsid w:val="005E599F"/>
    <w:rsid w:val="005E59AE"/>
    <w:rsid w:val="005E5A18"/>
    <w:rsid w:val="005E5B4D"/>
    <w:rsid w:val="005E5BD9"/>
    <w:rsid w:val="005E5C8D"/>
    <w:rsid w:val="005E5CA2"/>
    <w:rsid w:val="005E5CAD"/>
    <w:rsid w:val="005E5CC7"/>
    <w:rsid w:val="005E5CC8"/>
    <w:rsid w:val="005E5D04"/>
    <w:rsid w:val="005E5D3F"/>
    <w:rsid w:val="005E5D43"/>
    <w:rsid w:val="005E5D98"/>
    <w:rsid w:val="005E5DB6"/>
    <w:rsid w:val="005E5DE2"/>
    <w:rsid w:val="005E5E19"/>
    <w:rsid w:val="005E5E53"/>
    <w:rsid w:val="005E5E7E"/>
    <w:rsid w:val="005E5EE7"/>
    <w:rsid w:val="005E5F0C"/>
    <w:rsid w:val="005E5F6B"/>
    <w:rsid w:val="005E5FBE"/>
    <w:rsid w:val="005E5FC5"/>
    <w:rsid w:val="005E5FCE"/>
    <w:rsid w:val="005E5FEA"/>
    <w:rsid w:val="005E5FFC"/>
    <w:rsid w:val="005E6063"/>
    <w:rsid w:val="005E6093"/>
    <w:rsid w:val="005E60B6"/>
    <w:rsid w:val="005E6142"/>
    <w:rsid w:val="005E614D"/>
    <w:rsid w:val="005E6197"/>
    <w:rsid w:val="005E61A8"/>
    <w:rsid w:val="005E61B6"/>
    <w:rsid w:val="005E61F3"/>
    <w:rsid w:val="005E61FB"/>
    <w:rsid w:val="005E6200"/>
    <w:rsid w:val="005E625E"/>
    <w:rsid w:val="005E629C"/>
    <w:rsid w:val="005E62A0"/>
    <w:rsid w:val="005E62D7"/>
    <w:rsid w:val="005E6313"/>
    <w:rsid w:val="005E63A6"/>
    <w:rsid w:val="005E63BA"/>
    <w:rsid w:val="005E63CC"/>
    <w:rsid w:val="005E6413"/>
    <w:rsid w:val="005E6425"/>
    <w:rsid w:val="005E6460"/>
    <w:rsid w:val="005E64AC"/>
    <w:rsid w:val="005E6523"/>
    <w:rsid w:val="005E6525"/>
    <w:rsid w:val="005E6543"/>
    <w:rsid w:val="005E6550"/>
    <w:rsid w:val="005E6562"/>
    <w:rsid w:val="005E657F"/>
    <w:rsid w:val="005E659A"/>
    <w:rsid w:val="005E65A3"/>
    <w:rsid w:val="005E65A8"/>
    <w:rsid w:val="005E65D8"/>
    <w:rsid w:val="005E664D"/>
    <w:rsid w:val="005E676D"/>
    <w:rsid w:val="005E676E"/>
    <w:rsid w:val="005E678E"/>
    <w:rsid w:val="005E6824"/>
    <w:rsid w:val="005E683E"/>
    <w:rsid w:val="005E6871"/>
    <w:rsid w:val="005E6930"/>
    <w:rsid w:val="005E6986"/>
    <w:rsid w:val="005E698A"/>
    <w:rsid w:val="005E69B6"/>
    <w:rsid w:val="005E69F2"/>
    <w:rsid w:val="005E6ADF"/>
    <w:rsid w:val="005E6B12"/>
    <w:rsid w:val="005E6B55"/>
    <w:rsid w:val="005E6B58"/>
    <w:rsid w:val="005E6B66"/>
    <w:rsid w:val="005E6BA3"/>
    <w:rsid w:val="005E6BC4"/>
    <w:rsid w:val="005E6C21"/>
    <w:rsid w:val="005E6C22"/>
    <w:rsid w:val="005E6C9E"/>
    <w:rsid w:val="005E6CE0"/>
    <w:rsid w:val="005E6D59"/>
    <w:rsid w:val="005E6D69"/>
    <w:rsid w:val="005E6D7D"/>
    <w:rsid w:val="005E6D8C"/>
    <w:rsid w:val="005E6DEC"/>
    <w:rsid w:val="005E6E16"/>
    <w:rsid w:val="005E6E62"/>
    <w:rsid w:val="005E6E78"/>
    <w:rsid w:val="005E6F56"/>
    <w:rsid w:val="005E6F93"/>
    <w:rsid w:val="005E6FBC"/>
    <w:rsid w:val="005E7056"/>
    <w:rsid w:val="005E7060"/>
    <w:rsid w:val="005E706D"/>
    <w:rsid w:val="005E706F"/>
    <w:rsid w:val="005E70C1"/>
    <w:rsid w:val="005E70CE"/>
    <w:rsid w:val="005E7142"/>
    <w:rsid w:val="005E7148"/>
    <w:rsid w:val="005E71DE"/>
    <w:rsid w:val="005E71EA"/>
    <w:rsid w:val="005E7205"/>
    <w:rsid w:val="005E724E"/>
    <w:rsid w:val="005E727A"/>
    <w:rsid w:val="005E72B6"/>
    <w:rsid w:val="005E72CE"/>
    <w:rsid w:val="005E72ED"/>
    <w:rsid w:val="005E72F5"/>
    <w:rsid w:val="005E7318"/>
    <w:rsid w:val="005E733A"/>
    <w:rsid w:val="005E73B3"/>
    <w:rsid w:val="005E7561"/>
    <w:rsid w:val="005E75DC"/>
    <w:rsid w:val="005E75F0"/>
    <w:rsid w:val="005E762F"/>
    <w:rsid w:val="005E7684"/>
    <w:rsid w:val="005E772E"/>
    <w:rsid w:val="005E7746"/>
    <w:rsid w:val="005E774A"/>
    <w:rsid w:val="005E775D"/>
    <w:rsid w:val="005E7779"/>
    <w:rsid w:val="005E7794"/>
    <w:rsid w:val="005E7796"/>
    <w:rsid w:val="005E77B2"/>
    <w:rsid w:val="005E77CE"/>
    <w:rsid w:val="005E77D9"/>
    <w:rsid w:val="005E782F"/>
    <w:rsid w:val="005E789D"/>
    <w:rsid w:val="005E78E3"/>
    <w:rsid w:val="005E78E4"/>
    <w:rsid w:val="005E791C"/>
    <w:rsid w:val="005E79EE"/>
    <w:rsid w:val="005E7A2D"/>
    <w:rsid w:val="005E7A43"/>
    <w:rsid w:val="005E7A5D"/>
    <w:rsid w:val="005E7AC1"/>
    <w:rsid w:val="005E7B5D"/>
    <w:rsid w:val="005E7B61"/>
    <w:rsid w:val="005E7B9F"/>
    <w:rsid w:val="005E7BD5"/>
    <w:rsid w:val="005E7CEB"/>
    <w:rsid w:val="005E7D38"/>
    <w:rsid w:val="005E7DBF"/>
    <w:rsid w:val="005E7EC6"/>
    <w:rsid w:val="005E7EEB"/>
    <w:rsid w:val="005E7FAC"/>
    <w:rsid w:val="005F0060"/>
    <w:rsid w:val="005F007C"/>
    <w:rsid w:val="005F00B4"/>
    <w:rsid w:val="005F0180"/>
    <w:rsid w:val="005F01BC"/>
    <w:rsid w:val="005F01FD"/>
    <w:rsid w:val="005F0225"/>
    <w:rsid w:val="005F0367"/>
    <w:rsid w:val="005F0398"/>
    <w:rsid w:val="005F03BA"/>
    <w:rsid w:val="005F0484"/>
    <w:rsid w:val="005F04E3"/>
    <w:rsid w:val="005F0510"/>
    <w:rsid w:val="005F058B"/>
    <w:rsid w:val="005F05A0"/>
    <w:rsid w:val="005F05C1"/>
    <w:rsid w:val="005F0608"/>
    <w:rsid w:val="005F0662"/>
    <w:rsid w:val="005F06CA"/>
    <w:rsid w:val="005F06DA"/>
    <w:rsid w:val="005F06F9"/>
    <w:rsid w:val="005F070A"/>
    <w:rsid w:val="005F0763"/>
    <w:rsid w:val="005F076A"/>
    <w:rsid w:val="005F0777"/>
    <w:rsid w:val="005F07B6"/>
    <w:rsid w:val="005F0807"/>
    <w:rsid w:val="005F0861"/>
    <w:rsid w:val="005F0942"/>
    <w:rsid w:val="005F0995"/>
    <w:rsid w:val="005F09AA"/>
    <w:rsid w:val="005F09C3"/>
    <w:rsid w:val="005F09E9"/>
    <w:rsid w:val="005F0A06"/>
    <w:rsid w:val="005F0A9C"/>
    <w:rsid w:val="005F0AF6"/>
    <w:rsid w:val="005F0BBE"/>
    <w:rsid w:val="005F0BE8"/>
    <w:rsid w:val="005F0C11"/>
    <w:rsid w:val="005F0C4F"/>
    <w:rsid w:val="005F0C9A"/>
    <w:rsid w:val="005F0CB0"/>
    <w:rsid w:val="005F0CB5"/>
    <w:rsid w:val="005F0CDB"/>
    <w:rsid w:val="005F0D43"/>
    <w:rsid w:val="005F0D4B"/>
    <w:rsid w:val="005F0D57"/>
    <w:rsid w:val="005F0D79"/>
    <w:rsid w:val="005F0D98"/>
    <w:rsid w:val="005F0DB5"/>
    <w:rsid w:val="005F0DDA"/>
    <w:rsid w:val="005F0E18"/>
    <w:rsid w:val="005F0EDC"/>
    <w:rsid w:val="005F0F41"/>
    <w:rsid w:val="005F0F4A"/>
    <w:rsid w:val="005F1016"/>
    <w:rsid w:val="005F1089"/>
    <w:rsid w:val="005F10FB"/>
    <w:rsid w:val="005F1108"/>
    <w:rsid w:val="005F1119"/>
    <w:rsid w:val="005F12D2"/>
    <w:rsid w:val="005F12DD"/>
    <w:rsid w:val="005F1456"/>
    <w:rsid w:val="005F1488"/>
    <w:rsid w:val="005F14E2"/>
    <w:rsid w:val="005F15D3"/>
    <w:rsid w:val="005F1673"/>
    <w:rsid w:val="005F16E5"/>
    <w:rsid w:val="005F16F3"/>
    <w:rsid w:val="005F16FF"/>
    <w:rsid w:val="005F17AB"/>
    <w:rsid w:val="005F17AF"/>
    <w:rsid w:val="005F17B6"/>
    <w:rsid w:val="005F17DE"/>
    <w:rsid w:val="005F17F1"/>
    <w:rsid w:val="005F180F"/>
    <w:rsid w:val="005F1812"/>
    <w:rsid w:val="005F181A"/>
    <w:rsid w:val="005F1890"/>
    <w:rsid w:val="005F18C1"/>
    <w:rsid w:val="005F18C3"/>
    <w:rsid w:val="005F192C"/>
    <w:rsid w:val="005F1953"/>
    <w:rsid w:val="005F195E"/>
    <w:rsid w:val="005F19DD"/>
    <w:rsid w:val="005F19E8"/>
    <w:rsid w:val="005F19F3"/>
    <w:rsid w:val="005F1A72"/>
    <w:rsid w:val="005F1B1F"/>
    <w:rsid w:val="005F1B5A"/>
    <w:rsid w:val="005F1B60"/>
    <w:rsid w:val="005F1B6E"/>
    <w:rsid w:val="005F1B74"/>
    <w:rsid w:val="005F1B9A"/>
    <w:rsid w:val="005F1BB2"/>
    <w:rsid w:val="005F1BB6"/>
    <w:rsid w:val="005F1C47"/>
    <w:rsid w:val="005F1C94"/>
    <w:rsid w:val="005F1D16"/>
    <w:rsid w:val="005F1DCF"/>
    <w:rsid w:val="005F1E69"/>
    <w:rsid w:val="005F1EB1"/>
    <w:rsid w:val="005F1EC7"/>
    <w:rsid w:val="005F1F0C"/>
    <w:rsid w:val="005F1F2A"/>
    <w:rsid w:val="005F1F8B"/>
    <w:rsid w:val="005F1FF5"/>
    <w:rsid w:val="005F20B0"/>
    <w:rsid w:val="005F20C7"/>
    <w:rsid w:val="005F20E6"/>
    <w:rsid w:val="005F21F2"/>
    <w:rsid w:val="005F221D"/>
    <w:rsid w:val="005F221F"/>
    <w:rsid w:val="005F2221"/>
    <w:rsid w:val="005F22A4"/>
    <w:rsid w:val="005F2363"/>
    <w:rsid w:val="005F2374"/>
    <w:rsid w:val="005F2386"/>
    <w:rsid w:val="005F23D9"/>
    <w:rsid w:val="005F2419"/>
    <w:rsid w:val="005F241F"/>
    <w:rsid w:val="005F2458"/>
    <w:rsid w:val="005F248D"/>
    <w:rsid w:val="005F2580"/>
    <w:rsid w:val="005F25BF"/>
    <w:rsid w:val="005F25C2"/>
    <w:rsid w:val="005F25CD"/>
    <w:rsid w:val="005F25E3"/>
    <w:rsid w:val="005F2600"/>
    <w:rsid w:val="005F2623"/>
    <w:rsid w:val="005F264F"/>
    <w:rsid w:val="005F2658"/>
    <w:rsid w:val="005F2683"/>
    <w:rsid w:val="005F26BA"/>
    <w:rsid w:val="005F26BD"/>
    <w:rsid w:val="005F26C8"/>
    <w:rsid w:val="005F26E5"/>
    <w:rsid w:val="005F2768"/>
    <w:rsid w:val="005F27AA"/>
    <w:rsid w:val="005F27AC"/>
    <w:rsid w:val="005F27D1"/>
    <w:rsid w:val="005F27FC"/>
    <w:rsid w:val="005F28A9"/>
    <w:rsid w:val="005F28AD"/>
    <w:rsid w:val="005F28CC"/>
    <w:rsid w:val="005F2941"/>
    <w:rsid w:val="005F2945"/>
    <w:rsid w:val="005F294F"/>
    <w:rsid w:val="005F2955"/>
    <w:rsid w:val="005F2969"/>
    <w:rsid w:val="005F2A07"/>
    <w:rsid w:val="005F2A1F"/>
    <w:rsid w:val="005F2A20"/>
    <w:rsid w:val="005F2A59"/>
    <w:rsid w:val="005F2AEE"/>
    <w:rsid w:val="005F2B89"/>
    <w:rsid w:val="005F2B9F"/>
    <w:rsid w:val="005F2BA3"/>
    <w:rsid w:val="005F2C4E"/>
    <w:rsid w:val="005F2C72"/>
    <w:rsid w:val="005F2C77"/>
    <w:rsid w:val="005F2CB1"/>
    <w:rsid w:val="005F2CBB"/>
    <w:rsid w:val="005F2D4A"/>
    <w:rsid w:val="005F2D6E"/>
    <w:rsid w:val="005F2D81"/>
    <w:rsid w:val="005F2D86"/>
    <w:rsid w:val="005F2D97"/>
    <w:rsid w:val="005F2DAD"/>
    <w:rsid w:val="005F2DEB"/>
    <w:rsid w:val="005F2E28"/>
    <w:rsid w:val="005F2E69"/>
    <w:rsid w:val="005F2E7D"/>
    <w:rsid w:val="005F2EA2"/>
    <w:rsid w:val="005F2F20"/>
    <w:rsid w:val="005F2F81"/>
    <w:rsid w:val="005F2FD2"/>
    <w:rsid w:val="005F2FFE"/>
    <w:rsid w:val="005F303B"/>
    <w:rsid w:val="005F3046"/>
    <w:rsid w:val="005F3061"/>
    <w:rsid w:val="005F30C6"/>
    <w:rsid w:val="005F3180"/>
    <w:rsid w:val="005F3200"/>
    <w:rsid w:val="005F324E"/>
    <w:rsid w:val="005F326E"/>
    <w:rsid w:val="005F3294"/>
    <w:rsid w:val="005F32B5"/>
    <w:rsid w:val="005F32C8"/>
    <w:rsid w:val="005F32EF"/>
    <w:rsid w:val="005F3300"/>
    <w:rsid w:val="005F3358"/>
    <w:rsid w:val="005F338E"/>
    <w:rsid w:val="005F339F"/>
    <w:rsid w:val="005F33B1"/>
    <w:rsid w:val="005F33F9"/>
    <w:rsid w:val="005F33FA"/>
    <w:rsid w:val="005F3410"/>
    <w:rsid w:val="005F3458"/>
    <w:rsid w:val="005F3484"/>
    <w:rsid w:val="005F353F"/>
    <w:rsid w:val="005F354D"/>
    <w:rsid w:val="005F3562"/>
    <w:rsid w:val="005F356C"/>
    <w:rsid w:val="005F356D"/>
    <w:rsid w:val="005F3591"/>
    <w:rsid w:val="005F35E5"/>
    <w:rsid w:val="005F3613"/>
    <w:rsid w:val="005F3670"/>
    <w:rsid w:val="005F3674"/>
    <w:rsid w:val="005F36AD"/>
    <w:rsid w:val="005F36FC"/>
    <w:rsid w:val="005F36FD"/>
    <w:rsid w:val="005F37DB"/>
    <w:rsid w:val="005F37FB"/>
    <w:rsid w:val="005F3869"/>
    <w:rsid w:val="005F3961"/>
    <w:rsid w:val="005F3962"/>
    <w:rsid w:val="005F3989"/>
    <w:rsid w:val="005F3A4F"/>
    <w:rsid w:val="005F3A83"/>
    <w:rsid w:val="005F3AB8"/>
    <w:rsid w:val="005F3ADA"/>
    <w:rsid w:val="005F3ADC"/>
    <w:rsid w:val="005F3B1B"/>
    <w:rsid w:val="005F3B64"/>
    <w:rsid w:val="005F3B87"/>
    <w:rsid w:val="005F3BDA"/>
    <w:rsid w:val="005F3C17"/>
    <w:rsid w:val="005F3C68"/>
    <w:rsid w:val="005F3CD0"/>
    <w:rsid w:val="005F3D41"/>
    <w:rsid w:val="005F3DD7"/>
    <w:rsid w:val="005F3DD8"/>
    <w:rsid w:val="005F3E4A"/>
    <w:rsid w:val="005F3E76"/>
    <w:rsid w:val="005F3EEE"/>
    <w:rsid w:val="005F3F17"/>
    <w:rsid w:val="005F3F1F"/>
    <w:rsid w:val="005F3F21"/>
    <w:rsid w:val="005F3FF7"/>
    <w:rsid w:val="005F3FFE"/>
    <w:rsid w:val="005F400C"/>
    <w:rsid w:val="005F4041"/>
    <w:rsid w:val="005F404D"/>
    <w:rsid w:val="005F408A"/>
    <w:rsid w:val="005F4092"/>
    <w:rsid w:val="005F40BC"/>
    <w:rsid w:val="005F4106"/>
    <w:rsid w:val="005F4146"/>
    <w:rsid w:val="005F4170"/>
    <w:rsid w:val="005F418D"/>
    <w:rsid w:val="005F419E"/>
    <w:rsid w:val="005F41BA"/>
    <w:rsid w:val="005F421E"/>
    <w:rsid w:val="005F422E"/>
    <w:rsid w:val="005F4279"/>
    <w:rsid w:val="005F42B4"/>
    <w:rsid w:val="005F4306"/>
    <w:rsid w:val="005F4326"/>
    <w:rsid w:val="005F4330"/>
    <w:rsid w:val="005F437E"/>
    <w:rsid w:val="005F43D0"/>
    <w:rsid w:val="005F4405"/>
    <w:rsid w:val="005F4419"/>
    <w:rsid w:val="005F4424"/>
    <w:rsid w:val="005F44DB"/>
    <w:rsid w:val="005F44F1"/>
    <w:rsid w:val="005F455A"/>
    <w:rsid w:val="005F4583"/>
    <w:rsid w:val="005F458E"/>
    <w:rsid w:val="005F4591"/>
    <w:rsid w:val="005F45A4"/>
    <w:rsid w:val="005F45C0"/>
    <w:rsid w:val="005F460A"/>
    <w:rsid w:val="005F4640"/>
    <w:rsid w:val="005F464F"/>
    <w:rsid w:val="005F469A"/>
    <w:rsid w:val="005F46A5"/>
    <w:rsid w:val="005F46B2"/>
    <w:rsid w:val="005F46EE"/>
    <w:rsid w:val="005F4705"/>
    <w:rsid w:val="005F4781"/>
    <w:rsid w:val="005F47BC"/>
    <w:rsid w:val="005F47E0"/>
    <w:rsid w:val="005F47F6"/>
    <w:rsid w:val="005F4811"/>
    <w:rsid w:val="005F48CB"/>
    <w:rsid w:val="005F4915"/>
    <w:rsid w:val="005F4939"/>
    <w:rsid w:val="005F4947"/>
    <w:rsid w:val="005F49EC"/>
    <w:rsid w:val="005F4A26"/>
    <w:rsid w:val="005F4AC1"/>
    <w:rsid w:val="005F4AF3"/>
    <w:rsid w:val="005F4AF9"/>
    <w:rsid w:val="005F4B00"/>
    <w:rsid w:val="005F4B19"/>
    <w:rsid w:val="005F4B1E"/>
    <w:rsid w:val="005F4B41"/>
    <w:rsid w:val="005F4B7F"/>
    <w:rsid w:val="005F4BD0"/>
    <w:rsid w:val="005F4BD2"/>
    <w:rsid w:val="005F4C84"/>
    <w:rsid w:val="005F4CBA"/>
    <w:rsid w:val="005F4CC1"/>
    <w:rsid w:val="005F4D2C"/>
    <w:rsid w:val="005F4D3B"/>
    <w:rsid w:val="005F4D76"/>
    <w:rsid w:val="005F4D81"/>
    <w:rsid w:val="005F4DAE"/>
    <w:rsid w:val="005F4DD1"/>
    <w:rsid w:val="005F4DEB"/>
    <w:rsid w:val="005F4F1F"/>
    <w:rsid w:val="005F4F52"/>
    <w:rsid w:val="005F4FA0"/>
    <w:rsid w:val="005F4FC1"/>
    <w:rsid w:val="005F4FDC"/>
    <w:rsid w:val="005F4FE1"/>
    <w:rsid w:val="005F4FED"/>
    <w:rsid w:val="005F500C"/>
    <w:rsid w:val="005F5056"/>
    <w:rsid w:val="005F507F"/>
    <w:rsid w:val="005F50BE"/>
    <w:rsid w:val="005F5174"/>
    <w:rsid w:val="005F5180"/>
    <w:rsid w:val="005F51B2"/>
    <w:rsid w:val="005F52C8"/>
    <w:rsid w:val="005F531D"/>
    <w:rsid w:val="005F5325"/>
    <w:rsid w:val="005F5387"/>
    <w:rsid w:val="005F53FB"/>
    <w:rsid w:val="005F541A"/>
    <w:rsid w:val="005F54B9"/>
    <w:rsid w:val="005F54EA"/>
    <w:rsid w:val="005F5520"/>
    <w:rsid w:val="005F55B3"/>
    <w:rsid w:val="005F5630"/>
    <w:rsid w:val="005F564A"/>
    <w:rsid w:val="005F5711"/>
    <w:rsid w:val="005F574C"/>
    <w:rsid w:val="005F5792"/>
    <w:rsid w:val="005F581A"/>
    <w:rsid w:val="005F5843"/>
    <w:rsid w:val="005F5872"/>
    <w:rsid w:val="005F58C1"/>
    <w:rsid w:val="005F58E2"/>
    <w:rsid w:val="005F5913"/>
    <w:rsid w:val="005F5958"/>
    <w:rsid w:val="005F5971"/>
    <w:rsid w:val="005F599A"/>
    <w:rsid w:val="005F59A7"/>
    <w:rsid w:val="005F5A32"/>
    <w:rsid w:val="005F5A46"/>
    <w:rsid w:val="005F5A75"/>
    <w:rsid w:val="005F5ADD"/>
    <w:rsid w:val="005F5BBB"/>
    <w:rsid w:val="005F5C11"/>
    <w:rsid w:val="005F5C2D"/>
    <w:rsid w:val="005F5C47"/>
    <w:rsid w:val="005F5C88"/>
    <w:rsid w:val="005F5CE3"/>
    <w:rsid w:val="005F5CE8"/>
    <w:rsid w:val="005F5DCB"/>
    <w:rsid w:val="005F5E0E"/>
    <w:rsid w:val="005F5E1C"/>
    <w:rsid w:val="005F5E47"/>
    <w:rsid w:val="005F5ED1"/>
    <w:rsid w:val="005F5EDC"/>
    <w:rsid w:val="005F5EF6"/>
    <w:rsid w:val="005F5EFA"/>
    <w:rsid w:val="005F5F03"/>
    <w:rsid w:val="005F5F37"/>
    <w:rsid w:val="005F5F64"/>
    <w:rsid w:val="005F5F9D"/>
    <w:rsid w:val="005F5FB8"/>
    <w:rsid w:val="005F6006"/>
    <w:rsid w:val="005F600B"/>
    <w:rsid w:val="005F6016"/>
    <w:rsid w:val="005F6048"/>
    <w:rsid w:val="005F6074"/>
    <w:rsid w:val="005F6081"/>
    <w:rsid w:val="005F6091"/>
    <w:rsid w:val="005F60E6"/>
    <w:rsid w:val="005F611F"/>
    <w:rsid w:val="005F61D9"/>
    <w:rsid w:val="005F6264"/>
    <w:rsid w:val="005F62C9"/>
    <w:rsid w:val="005F6307"/>
    <w:rsid w:val="005F6325"/>
    <w:rsid w:val="005F634A"/>
    <w:rsid w:val="005F634F"/>
    <w:rsid w:val="005F6377"/>
    <w:rsid w:val="005F637B"/>
    <w:rsid w:val="005F6410"/>
    <w:rsid w:val="005F645D"/>
    <w:rsid w:val="005F645E"/>
    <w:rsid w:val="005F6461"/>
    <w:rsid w:val="005F6466"/>
    <w:rsid w:val="005F64A9"/>
    <w:rsid w:val="005F64B6"/>
    <w:rsid w:val="005F64C4"/>
    <w:rsid w:val="005F64DA"/>
    <w:rsid w:val="005F64FA"/>
    <w:rsid w:val="005F6580"/>
    <w:rsid w:val="005F65C0"/>
    <w:rsid w:val="005F6661"/>
    <w:rsid w:val="005F668B"/>
    <w:rsid w:val="005F6692"/>
    <w:rsid w:val="005F6696"/>
    <w:rsid w:val="005F66A8"/>
    <w:rsid w:val="005F6743"/>
    <w:rsid w:val="005F67D9"/>
    <w:rsid w:val="005F67F2"/>
    <w:rsid w:val="005F6805"/>
    <w:rsid w:val="005F6878"/>
    <w:rsid w:val="005F68AB"/>
    <w:rsid w:val="005F68F3"/>
    <w:rsid w:val="005F690E"/>
    <w:rsid w:val="005F699C"/>
    <w:rsid w:val="005F69AB"/>
    <w:rsid w:val="005F69AC"/>
    <w:rsid w:val="005F69BE"/>
    <w:rsid w:val="005F6A04"/>
    <w:rsid w:val="005F6A18"/>
    <w:rsid w:val="005F6A36"/>
    <w:rsid w:val="005F6A3F"/>
    <w:rsid w:val="005F6A45"/>
    <w:rsid w:val="005F6A78"/>
    <w:rsid w:val="005F6A85"/>
    <w:rsid w:val="005F6AE1"/>
    <w:rsid w:val="005F6AFB"/>
    <w:rsid w:val="005F6B26"/>
    <w:rsid w:val="005F6B56"/>
    <w:rsid w:val="005F6B59"/>
    <w:rsid w:val="005F6B6B"/>
    <w:rsid w:val="005F6B79"/>
    <w:rsid w:val="005F6B88"/>
    <w:rsid w:val="005F6BB4"/>
    <w:rsid w:val="005F6BF3"/>
    <w:rsid w:val="005F6C80"/>
    <w:rsid w:val="005F6CD0"/>
    <w:rsid w:val="005F6D3B"/>
    <w:rsid w:val="005F6D40"/>
    <w:rsid w:val="005F6DB3"/>
    <w:rsid w:val="005F6DEB"/>
    <w:rsid w:val="005F6DF2"/>
    <w:rsid w:val="005F6E1B"/>
    <w:rsid w:val="005F6E46"/>
    <w:rsid w:val="005F6EF5"/>
    <w:rsid w:val="005F6F37"/>
    <w:rsid w:val="005F6F51"/>
    <w:rsid w:val="005F6F68"/>
    <w:rsid w:val="005F7005"/>
    <w:rsid w:val="005F703C"/>
    <w:rsid w:val="005F704D"/>
    <w:rsid w:val="005F7095"/>
    <w:rsid w:val="005F7096"/>
    <w:rsid w:val="005F70CC"/>
    <w:rsid w:val="005F70E4"/>
    <w:rsid w:val="005F7100"/>
    <w:rsid w:val="005F7136"/>
    <w:rsid w:val="005F7177"/>
    <w:rsid w:val="005F719E"/>
    <w:rsid w:val="005F71CB"/>
    <w:rsid w:val="005F7209"/>
    <w:rsid w:val="005F720B"/>
    <w:rsid w:val="005F7226"/>
    <w:rsid w:val="005F723C"/>
    <w:rsid w:val="005F7264"/>
    <w:rsid w:val="005F7265"/>
    <w:rsid w:val="005F7292"/>
    <w:rsid w:val="005F72C2"/>
    <w:rsid w:val="005F72F5"/>
    <w:rsid w:val="005F72FD"/>
    <w:rsid w:val="005F730F"/>
    <w:rsid w:val="005F7334"/>
    <w:rsid w:val="005F7352"/>
    <w:rsid w:val="005F73D2"/>
    <w:rsid w:val="005F7410"/>
    <w:rsid w:val="005F741A"/>
    <w:rsid w:val="005F7476"/>
    <w:rsid w:val="005F7486"/>
    <w:rsid w:val="005F74D1"/>
    <w:rsid w:val="005F74FD"/>
    <w:rsid w:val="005F7535"/>
    <w:rsid w:val="005F7536"/>
    <w:rsid w:val="005F758F"/>
    <w:rsid w:val="005F75D6"/>
    <w:rsid w:val="005F7609"/>
    <w:rsid w:val="005F77BD"/>
    <w:rsid w:val="005F788F"/>
    <w:rsid w:val="005F7893"/>
    <w:rsid w:val="005F789E"/>
    <w:rsid w:val="005F78C2"/>
    <w:rsid w:val="005F78FF"/>
    <w:rsid w:val="005F790A"/>
    <w:rsid w:val="005F7918"/>
    <w:rsid w:val="005F7980"/>
    <w:rsid w:val="005F79BE"/>
    <w:rsid w:val="005F79CC"/>
    <w:rsid w:val="005F79D5"/>
    <w:rsid w:val="005F7A03"/>
    <w:rsid w:val="005F7A3A"/>
    <w:rsid w:val="005F7A54"/>
    <w:rsid w:val="005F7B18"/>
    <w:rsid w:val="005F7B51"/>
    <w:rsid w:val="005F7BE3"/>
    <w:rsid w:val="005F7BEA"/>
    <w:rsid w:val="005F7BEC"/>
    <w:rsid w:val="005F7C3B"/>
    <w:rsid w:val="005F7D08"/>
    <w:rsid w:val="005F7D7A"/>
    <w:rsid w:val="005F7D86"/>
    <w:rsid w:val="005F7DCC"/>
    <w:rsid w:val="005F7DF0"/>
    <w:rsid w:val="005F7E1D"/>
    <w:rsid w:val="005F7E25"/>
    <w:rsid w:val="005F7E47"/>
    <w:rsid w:val="005F7E4A"/>
    <w:rsid w:val="005F7E60"/>
    <w:rsid w:val="005F7E7E"/>
    <w:rsid w:val="005F7EE5"/>
    <w:rsid w:val="005F7F2C"/>
    <w:rsid w:val="005F7F41"/>
    <w:rsid w:val="005F7FB8"/>
    <w:rsid w:val="006000A5"/>
    <w:rsid w:val="006000A9"/>
    <w:rsid w:val="006001CE"/>
    <w:rsid w:val="00600214"/>
    <w:rsid w:val="00600318"/>
    <w:rsid w:val="00600319"/>
    <w:rsid w:val="00600357"/>
    <w:rsid w:val="00600360"/>
    <w:rsid w:val="0060036E"/>
    <w:rsid w:val="0060037C"/>
    <w:rsid w:val="0060046E"/>
    <w:rsid w:val="006004BD"/>
    <w:rsid w:val="0060051B"/>
    <w:rsid w:val="0060052A"/>
    <w:rsid w:val="00600545"/>
    <w:rsid w:val="00600591"/>
    <w:rsid w:val="0060059B"/>
    <w:rsid w:val="006005A8"/>
    <w:rsid w:val="00600606"/>
    <w:rsid w:val="00600610"/>
    <w:rsid w:val="00600619"/>
    <w:rsid w:val="00600649"/>
    <w:rsid w:val="006006A1"/>
    <w:rsid w:val="006006DC"/>
    <w:rsid w:val="006006F4"/>
    <w:rsid w:val="00600711"/>
    <w:rsid w:val="00600767"/>
    <w:rsid w:val="00600824"/>
    <w:rsid w:val="006008A6"/>
    <w:rsid w:val="006008C9"/>
    <w:rsid w:val="0060091E"/>
    <w:rsid w:val="00600935"/>
    <w:rsid w:val="00600980"/>
    <w:rsid w:val="00600987"/>
    <w:rsid w:val="006009E3"/>
    <w:rsid w:val="00600AB1"/>
    <w:rsid w:val="00600ABD"/>
    <w:rsid w:val="00600B3E"/>
    <w:rsid w:val="00600B40"/>
    <w:rsid w:val="00600B71"/>
    <w:rsid w:val="00600BA6"/>
    <w:rsid w:val="00600C42"/>
    <w:rsid w:val="00600C6D"/>
    <w:rsid w:val="00600D0B"/>
    <w:rsid w:val="00600D6A"/>
    <w:rsid w:val="00600DC6"/>
    <w:rsid w:val="00600DEE"/>
    <w:rsid w:val="00600E19"/>
    <w:rsid w:val="00600F75"/>
    <w:rsid w:val="00600FDE"/>
    <w:rsid w:val="00600FF8"/>
    <w:rsid w:val="006010EA"/>
    <w:rsid w:val="00601102"/>
    <w:rsid w:val="00601138"/>
    <w:rsid w:val="00601183"/>
    <w:rsid w:val="006011EE"/>
    <w:rsid w:val="0060127F"/>
    <w:rsid w:val="0060129B"/>
    <w:rsid w:val="006012B0"/>
    <w:rsid w:val="00601329"/>
    <w:rsid w:val="0060136D"/>
    <w:rsid w:val="00601399"/>
    <w:rsid w:val="006013E4"/>
    <w:rsid w:val="006013EC"/>
    <w:rsid w:val="00601447"/>
    <w:rsid w:val="006014A2"/>
    <w:rsid w:val="006014A4"/>
    <w:rsid w:val="006014C0"/>
    <w:rsid w:val="006014CB"/>
    <w:rsid w:val="00601534"/>
    <w:rsid w:val="0060153C"/>
    <w:rsid w:val="00601580"/>
    <w:rsid w:val="006015BC"/>
    <w:rsid w:val="006015D6"/>
    <w:rsid w:val="006015D7"/>
    <w:rsid w:val="00601624"/>
    <w:rsid w:val="00601627"/>
    <w:rsid w:val="00601649"/>
    <w:rsid w:val="0060164C"/>
    <w:rsid w:val="0060168A"/>
    <w:rsid w:val="006016B1"/>
    <w:rsid w:val="0060170F"/>
    <w:rsid w:val="00601761"/>
    <w:rsid w:val="006017EA"/>
    <w:rsid w:val="00601815"/>
    <w:rsid w:val="00601817"/>
    <w:rsid w:val="0060181B"/>
    <w:rsid w:val="00601820"/>
    <w:rsid w:val="00601876"/>
    <w:rsid w:val="006018BF"/>
    <w:rsid w:val="006018ED"/>
    <w:rsid w:val="00601955"/>
    <w:rsid w:val="006019F3"/>
    <w:rsid w:val="00601A06"/>
    <w:rsid w:val="00601A2F"/>
    <w:rsid w:val="00601A5F"/>
    <w:rsid w:val="00601A69"/>
    <w:rsid w:val="00601AAB"/>
    <w:rsid w:val="00601B06"/>
    <w:rsid w:val="00601B20"/>
    <w:rsid w:val="00601BB7"/>
    <w:rsid w:val="00601BCE"/>
    <w:rsid w:val="00601BDC"/>
    <w:rsid w:val="00601BEE"/>
    <w:rsid w:val="00601C10"/>
    <w:rsid w:val="00601C66"/>
    <w:rsid w:val="00601C9E"/>
    <w:rsid w:val="00601CEC"/>
    <w:rsid w:val="00601D14"/>
    <w:rsid w:val="00601D2C"/>
    <w:rsid w:val="00601D9F"/>
    <w:rsid w:val="00601DAD"/>
    <w:rsid w:val="00601E18"/>
    <w:rsid w:val="00601E36"/>
    <w:rsid w:val="00601E3D"/>
    <w:rsid w:val="00601E9C"/>
    <w:rsid w:val="00601EA2"/>
    <w:rsid w:val="00601EBF"/>
    <w:rsid w:val="00601F4A"/>
    <w:rsid w:val="00601F61"/>
    <w:rsid w:val="00601FB7"/>
    <w:rsid w:val="00602059"/>
    <w:rsid w:val="0060207B"/>
    <w:rsid w:val="0060208C"/>
    <w:rsid w:val="006020F4"/>
    <w:rsid w:val="0060211F"/>
    <w:rsid w:val="006021B9"/>
    <w:rsid w:val="00602216"/>
    <w:rsid w:val="0060224C"/>
    <w:rsid w:val="00602258"/>
    <w:rsid w:val="0060226A"/>
    <w:rsid w:val="0060231C"/>
    <w:rsid w:val="00602324"/>
    <w:rsid w:val="006023A3"/>
    <w:rsid w:val="006023FC"/>
    <w:rsid w:val="00602417"/>
    <w:rsid w:val="00602418"/>
    <w:rsid w:val="00602454"/>
    <w:rsid w:val="006024E7"/>
    <w:rsid w:val="006024E9"/>
    <w:rsid w:val="0060260B"/>
    <w:rsid w:val="00602629"/>
    <w:rsid w:val="00602666"/>
    <w:rsid w:val="006026B7"/>
    <w:rsid w:val="00602762"/>
    <w:rsid w:val="0060276D"/>
    <w:rsid w:val="006027C2"/>
    <w:rsid w:val="006028AC"/>
    <w:rsid w:val="006028AF"/>
    <w:rsid w:val="00602908"/>
    <w:rsid w:val="00602915"/>
    <w:rsid w:val="00602964"/>
    <w:rsid w:val="00602987"/>
    <w:rsid w:val="006029B2"/>
    <w:rsid w:val="006029BC"/>
    <w:rsid w:val="006029D9"/>
    <w:rsid w:val="006029F4"/>
    <w:rsid w:val="00602AF2"/>
    <w:rsid w:val="00602B1D"/>
    <w:rsid w:val="00602BA8"/>
    <w:rsid w:val="00602BE7"/>
    <w:rsid w:val="00602BFA"/>
    <w:rsid w:val="00602C16"/>
    <w:rsid w:val="00602CC8"/>
    <w:rsid w:val="00602CE7"/>
    <w:rsid w:val="00602CFC"/>
    <w:rsid w:val="00602D23"/>
    <w:rsid w:val="00602D2D"/>
    <w:rsid w:val="00602D45"/>
    <w:rsid w:val="00602DA9"/>
    <w:rsid w:val="00602DD1"/>
    <w:rsid w:val="00602E3F"/>
    <w:rsid w:val="00602E74"/>
    <w:rsid w:val="00602E99"/>
    <w:rsid w:val="00602EE6"/>
    <w:rsid w:val="00602F0C"/>
    <w:rsid w:val="00602F2F"/>
    <w:rsid w:val="00602FB3"/>
    <w:rsid w:val="00602FDA"/>
    <w:rsid w:val="006030C2"/>
    <w:rsid w:val="006030F1"/>
    <w:rsid w:val="006030FE"/>
    <w:rsid w:val="0060311F"/>
    <w:rsid w:val="00603168"/>
    <w:rsid w:val="006031C0"/>
    <w:rsid w:val="006031F8"/>
    <w:rsid w:val="0060324C"/>
    <w:rsid w:val="006032DB"/>
    <w:rsid w:val="006032FB"/>
    <w:rsid w:val="006033EA"/>
    <w:rsid w:val="00603421"/>
    <w:rsid w:val="00603433"/>
    <w:rsid w:val="006034CD"/>
    <w:rsid w:val="0060354A"/>
    <w:rsid w:val="006035BE"/>
    <w:rsid w:val="006035C5"/>
    <w:rsid w:val="00603625"/>
    <w:rsid w:val="0060365E"/>
    <w:rsid w:val="0060368B"/>
    <w:rsid w:val="00603755"/>
    <w:rsid w:val="00603761"/>
    <w:rsid w:val="00603785"/>
    <w:rsid w:val="00603799"/>
    <w:rsid w:val="00603828"/>
    <w:rsid w:val="00603888"/>
    <w:rsid w:val="00603897"/>
    <w:rsid w:val="00603940"/>
    <w:rsid w:val="00603953"/>
    <w:rsid w:val="0060395D"/>
    <w:rsid w:val="006039D6"/>
    <w:rsid w:val="006039E3"/>
    <w:rsid w:val="00603A01"/>
    <w:rsid w:val="00603A16"/>
    <w:rsid w:val="00603A29"/>
    <w:rsid w:val="00603A7E"/>
    <w:rsid w:val="00603A86"/>
    <w:rsid w:val="00603AA0"/>
    <w:rsid w:val="00603AB9"/>
    <w:rsid w:val="00603B0F"/>
    <w:rsid w:val="00603B25"/>
    <w:rsid w:val="00603B6D"/>
    <w:rsid w:val="00603BC4"/>
    <w:rsid w:val="00603BD2"/>
    <w:rsid w:val="00603C60"/>
    <w:rsid w:val="00603D2A"/>
    <w:rsid w:val="00603D64"/>
    <w:rsid w:val="00603E52"/>
    <w:rsid w:val="00603E8B"/>
    <w:rsid w:val="00603EA9"/>
    <w:rsid w:val="00603EF9"/>
    <w:rsid w:val="00603F00"/>
    <w:rsid w:val="00603F24"/>
    <w:rsid w:val="00604076"/>
    <w:rsid w:val="00604087"/>
    <w:rsid w:val="0060409C"/>
    <w:rsid w:val="006040F6"/>
    <w:rsid w:val="00604178"/>
    <w:rsid w:val="00604280"/>
    <w:rsid w:val="006042D5"/>
    <w:rsid w:val="006043D2"/>
    <w:rsid w:val="006043D4"/>
    <w:rsid w:val="006043E8"/>
    <w:rsid w:val="0060443A"/>
    <w:rsid w:val="0060447C"/>
    <w:rsid w:val="00604496"/>
    <w:rsid w:val="0060449E"/>
    <w:rsid w:val="006044A1"/>
    <w:rsid w:val="006044A6"/>
    <w:rsid w:val="00604513"/>
    <w:rsid w:val="00604565"/>
    <w:rsid w:val="00604583"/>
    <w:rsid w:val="006045A2"/>
    <w:rsid w:val="006045A3"/>
    <w:rsid w:val="006045D6"/>
    <w:rsid w:val="006045FC"/>
    <w:rsid w:val="00604636"/>
    <w:rsid w:val="00604691"/>
    <w:rsid w:val="00604773"/>
    <w:rsid w:val="0060478A"/>
    <w:rsid w:val="0060485D"/>
    <w:rsid w:val="006048E6"/>
    <w:rsid w:val="006048EA"/>
    <w:rsid w:val="006048F3"/>
    <w:rsid w:val="0060493D"/>
    <w:rsid w:val="00604944"/>
    <w:rsid w:val="00604947"/>
    <w:rsid w:val="006049AA"/>
    <w:rsid w:val="006049C1"/>
    <w:rsid w:val="006049CC"/>
    <w:rsid w:val="006049D0"/>
    <w:rsid w:val="00604A26"/>
    <w:rsid w:val="00604A66"/>
    <w:rsid w:val="00604AA9"/>
    <w:rsid w:val="00604AC3"/>
    <w:rsid w:val="00604AE3"/>
    <w:rsid w:val="00604AEF"/>
    <w:rsid w:val="00604BC4"/>
    <w:rsid w:val="00604C0F"/>
    <w:rsid w:val="00604CB4"/>
    <w:rsid w:val="00604DBE"/>
    <w:rsid w:val="00604DD4"/>
    <w:rsid w:val="00604E12"/>
    <w:rsid w:val="00604F17"/>
    <w:rsid w:val="00604FA9"/>
    <w:rsid w:val="00604FB8"/>
    <w:rsid w:val="0060500C"/>
    <w:rsid w:val="0060501B"/>
    <w:rsid w:val="00605051"/>
    <w:rsid w:val="0060507B"/>
    <w:rsid w:val="006050F9"/>
    <w:rsid w:val="006051BF"/>
    <w:rsid w:val="00605207"/>
    <w:rsid w:val="00605213"/>
    <w:rsid w:val="006052DB"/>
    <w:rsid w:val="00605309"/>
    <w:rsid w:val="0060537D"/>
    <w:rsid w:val="00605399"/>
    <w:rsid w:val="0060541B"/>
    <w:rsid w:val="0060549F"/>
    <w:rsid w:val="006054F3"/>
    <w:rsid w:val="00605547"/>
    <w:rsid w:val="0060555C"/>
    <w:rsid w:val="0060558F"/>
    <w:rsid w:val="0060559F"/>
    <w:rsid w:val="006055C9"/>
    <w:rsid w:val="006055DA"/>
    <w:rsid w:val="006055FC"/>
    <w:rsid w:val="00605690"/>
    <w:rsid w:val="006056BD"/>
    <w:rsid w:val="006056CC"/>
    <w:rsid w:val="006056FE"/>
    <w:rsid w:val="00605740"/>
    <w:rsid w:val="0060576D"/>
    <w:rsid w:val="006057A7"/>
    <w:rsid w:val="00605945"/>
    <w:rsid w:val="006059A8"/>
    <w:rsid w:val="00605A09"/>
    <w:rsid w:val="00605A35"/>
    <w:rsid w:val="00605A4C"/>
    <w:rsid w:val="00605A9D"/>
    <w:rsid w:val="00605ACF"/>
    <w:rsid w:val="00605AD7"/>
    <w:rsid w:val="00605AE5"/>
    <w:rsid w:val="00605AF7"/>
    <w:rsid w:val="00605B03"/>
    <w:rsid w:val="00605B14"/>
    <w:rsid w:val="00605B7C"/>
    <w:rsid w:val="00605BB5"/>
    <w:rsid w:val="00605C15"/>
    <w:rsid w:val="00605C20"/>
    <w:rsid w:val="00605C26"/>
    <w:rsid w:val="00605CED"/>
    <w:rsid w:val="00605DA3"/>
    <w:rsid w:val="00605E22"/>
    <w:rsid w:val="00605E34"/>
    <w:rsid w:val="00605E3D"/>
    <w:rsid w:val="00605E78"/>
    <w:rsid w:val="00605E94"/>
    <w:rsid w:val="00605EFC"/>
    <w:rsid w:val="00605EFD"/>
    <w:rsid w:val="00605F1C"/>
    <w:rsid w:val="00605F1F"/>
    <w:rsid w:val="00605F2A"/>
    <w:rsid w:val="00605F8E"/>
    <w:rsid w:val="00605FD2"/>
    <w:rsid w:val="00605FED"/>
    <w:rsid w:val="0060604C"/>
    <w:rsid w:val="0060607A"/>
    <w:rsid w:val="006060ED"/>
    <w:rsid w:val="0060616E"/>
    <w:rsid w:val="00606199"/>
    <w:rsid w:val="006061AF"/>
    <w:rsid w:val="006061C0"/>
    <w:rsid w:val="006061FB"/>
    <w:rsid w:val="00606218"/>
    <w:rsid w:val="00606263"/>
    <w:rsid w:val="00606295"/>
    <w:rsid w:val="006062A3"/>
    <w:rsid w:val="006062B3"/>
    <w:rsid w:val="006062DC"/>
    <w:rsid w:val="006062DD"/>
    <w:rsid w:val="0060630F"/>
    <w:rsid w:val="0060631C"/>
    <w:rsid w:val="00606366"/>
    <w:rsid w:val="006063BF"/>
    <w:rsid w:val="006063E4"/>
    <w:rsid w:val="00606416"/>
    <w:rsid w:val="00606482"/>
    <w:rsid w:val="00606547"/>
    <w:rsid w:val="0060655E"/>
    <w:rsid w:val="0060656E"/>
    <w:rsid w:val="0060657E"/>
    <w:rsid w:val="006065BB"/>
    <w:rsid w:val="0060661D"/>
    <w:rsid w:val="0060663D"/>
    <w:rsid w:val="0060668A"/>
    <w:rsid w:val="006066B5"/>
    <w:rsid w:val="006066C6"/>
    <w:rsid w:val="006066CF"/>
    <w:rsid w:val="0060673A"/>
    <w:rsid w:val="00606755"/>
    <w:rsid w:val="006067A3"/>
    <w:rsid w:val="00606818"/>
    <w:rsid w:val="00606827"/>
    <w:rsid w:val="006068CB"/>
    <w:rsid w:val="006068DA"/>
    <w:rsid w:val="0060692E"/>
    <w:rsid w:val="0060699B"/>
    <w:rsid w:val="00606A32"/>
    <w:rsid w:val="00606A80"/>
    <w:rsid w:val="00606AB2"/>
    <w:rsid w:val="00606ADB"/>
    <w:rsid w:val="00606B0C"/>
    <w:rsid w:val="00606B1C"/>
    <w:rsid w:val="00606B32"/>
    <w:rsid w:val="00606B41"/>
    <w:rsid w:val="00606B5C"/>
    <w:rsid w:val="00606B9F"/>
    <w:rsid w:val="00606C6A"/>
    <w:rsid w:val="00606C8C"/>
    <w:rsid w:val="00606C91"/>
    <w:rsid w:val="00606CDD"/>
    <w:rsid w:val="00606D2F"/>
    <w:rsid w:val="00606D37"/>
    <w:rsid w:val="00606D8A"/>
    <w:rsid w:val="00606E81"/>
    <w:rsid w:val="00606E97"/>
    <w:rsid w:val="00606EC4"/>
    <w:rsid w:val="00606ECA"/>
    <w:rsid w:val="00606F07"/>
    <w:rsid w:val="00606F14"/>
    <w:rsid w:val="00606FA3"/>
    <w:rsid w:val="00606FCE"/>
    <w:rsid w:val="00606FEF"/>
    <w:rsid w:val="00607030"/>
    <w:rsid w:val="00607085"/>
    <w:rsid w:val="00607091"/>
    <w:rsid w:val="0060710C"/>
    <w:rsid w:val="0060714C"/>
    <w:rsid w:val="006071A5"/>
    <w:rsid w:val="0060724A"/>
    <w:rsid w:val="0060726F"/>
    <w:rsid w:val="006072D9"/>
    <w:rsid w:val="006072DA"/>
    <w:rsid w:val="0060735B"/>
    <w:rsid w:val="0060736C"/>
    <w:rsid w:val="00607398"/>
    <w:rsid w:val="006073D2"/>
    <w:rsid w:val="006073F8"/>
    <w:rsid w:val="0060742F"/>
    <w:rsid w:val="0060747B"/>
    <w:rsid w:val="0060748B"/>
    <w:rsid w:val="0060749D"/>
    <w:rsid w:val="006074CC"/>
    <w:rsid w:val="006074D7"/>
    <w:rsid w:val="00607518"/>
    <w:rsid w:val="00607552"/>
    <w:rsid w:val="006075C0"/>
    <w:rsid w:val="00607659"/>
    <w:rsid w:val="00607680"/>
    <w:rsid w:val="0060769A"/>
    <w:rsid w:val="006076B4"/>
    <w:rsid w:val="006076FC"/>
    <w:rsid w:val="00607745"/>
    <w:rsid w:val="0060775F"/>
    <w:rsid w:val="0060778E"/>
    <w:rsid w:val="006077A8"/>
    <w:rsid w:val="006077F0"/>
    <w:rsid w:val="0060781F"/>
    <w:rsid w:val="006078AE"/>
    <w:rsid w:val="006078CF"/>
    <w:rsid w:val="006078DC"/>
    <w:rsid w:val="0060799A"/>
    <w:rsid w:val="00607A9E"/>
    <w:rsid w:val="00607B32"/>
    <w:rsid w:val="00607B9F"/>
    <w:rsid w:val="00607C5E"/>
    <w:rsid w:val="00607CAD"/>
    <w:rsid w:val="00607CD8"/>
    <w:rsid w:val="00607CE1"/>
    <w:rsid w:val="00607D3F"/>
    <w:rsid w:val="00607D43"/>
    <w:rsid w:val="00607DDB"/>
    <w:rsid w:val="00607E35"/>
    <w:rsid w:val="00607E6C"/>
    <w:rsid w:val="00607E80"/>
    <w:rsid w:val="00607EA0"/>
    <w:rsid w:val="00607EB0"/>
    <w:rsid w:val="00607ED0"/>
    <w:rsid w:val="00607F34"/>
    <w:rsid w:val="00607F93"/>
    <w:rsid w:val="00607FF0"/>
    <w:rsid w:val="00610018"/>
    <w:rsid w:val="00610082"/>
    <w:rsid w:val="006100CA"/>
    <w:rsid w:val="0061014A"/>
    <w:rsid w:val="006101B6"/>
    <w:rsid w:val="006101E5"/>
    <w:rsid w:val="00610230"/>
    <w:rsid w:val="00610268"/>
    <w:rsid w:val="00610278"/>
    <w:rsid w:val="006102BD"/>
    <w:rsid w:val="006102CF"/>
    <w:rsid w:val="006102FA"/>
    <w:rsid w:val="006103A4"/>
    <w:rsid w:val="006103A8"/>
    <w:rsid w:val="006103AC"/>
    <w:rsid w:val="006103AE"/>
    <w:rsid w:val="006103D7"/>
    <w:rsid w:val="0061041B"/>
    <w:rsid w:val="0061054C"/>
    <w:rsid w:val="00610569"/>
    <w:rsid w:val="0061057E"/>
    <w:rsid w:val="006105B5"/>
    <w:rsid w:val="006106BD"/>
    <w:rsid w:val="006106C3"/>
    <w:rsid w:val="006106D6"/>
    <w:rsid w:val="00610787"/>
    <w:rsid w:val="006107AF"/>
    <w:rsid w:val="006107BC"/>
    <w:rsid w:val="006107BD"/>
    <w:rsid w:val="006107DE"/>
    <w:rsid w:val="00610849"/>
    <w:rsid w:val="0061089D"/>
    <w:rsid w:val="00610924"/>
    <w:rsid w:val="00610927"/>
    <w:rsid w:val="0061094E"/>
    <w:rsid w:val="006109EB"/>
    <w:rsid w:val="00610AA4"/>
    <w:rsid w:val="00610AAF"/>
    <w:rsid w:val="00610AF5"/>
    <w:rsid w:val="00610B11"/>
    <w:rsid w:val="00610B24"/>
    <w:rsid w:val="00610B70"/>
    <w:rsid w:val="00610B86"/>
    <w:rsid w:val="00610B91"/>
    <w:rsid w:val="00610B98"/>
    <w:rsid w:val="00610BAF"/>
    <w:rsid w:val="00610C6C"/>
    <w:rsid w:val="00610D23"/>
    <w:rsid w:val="00610D7F"/>
    <w:rsid w:val="00610E58"/>
    <w:rsid w:val="00610E59"/>
    <w:rsid w:val="00610F23"/>
    <w:rsid w:val="00610F31"/>
    <w:rsid w:val="00610F4E"/>
    <w:rsid w:val="00610F89"/>
    <w:rsid w:val="006110A5"/>
    <w:rsid w:val="0061116D"/>
    <w:rsid w:val="0061126C"/>
    <w:rsid w:val="00611285"/>
    <w:rsid w:val="00611287"/>
    <w:rsid w:val="006112AD"/>
    <w:rsid w:val="006112AF"/>
    <w:rsid w:val="006112BE"/>
    <w:rsid w:val="006113B7"/>
    <w:rsid w:val="006113C3"/>
    <w:rsid w:val="006113E9"/>
    <w:rsid w:val="00611401"/>
    <w:rsid w:val="00611437"/>
    <w:rsid w:val="00611460"/>
    <w:rsid w:val="00611483"/>
    <w:rsid w:val="0061148E"/>
    <w:rsid w:val="00611518"/>
    <w:rsid w:val="00611527"/>
    <w:rsid w:val="00611541"/>
    <w:rsid w:val="00611550"/>
    <w:rsid w:val="00611581"/>
    <w:rsid w:val="00611582"/>
    <w:rsid w:val="00611606"/>
    <w:rsid w:val="00611621"/>
    <w:rsid w:val="0061163A"/>
    <w:rsid w:val="00611667"/>
    <w:rsid w:val="006116E0"/>
    <w:rsid w:val="00611745"/>
    <w:rsid w:val="00611794"/>
    <w:rsid w:val="006117E2"/>
    <w:rsid w:val="00611815"/>
    <w:rsid w:val="00611861"/>
    <w:rsid w:val="00611874"/>
    <w:rsid w:val="0061187F"/>
    <w:rsid w:val="00611914"/>
    <w:rsid w:val="0061197F"/>
    <w:rsid w:val="006119ED"/>
    <w:rsid w:val="00611A56"/>
    <w:rsid w:val="00611A5A"/>
    <w:rsid w:val="00611A8E"/>
    <w:rsid w:val="00611A9B"/>
    <w:rsid w:val="00611AA8"/>
    <w:rsid w:val="00611AF3"/>
    <w:rsid w:val="00611B12"/>
    <w:rsid w:val="00611B66"/>
    <w:rsid w:val="00611BC8"/>
    <w:rsid w:val="00611BEB"/>
    <w:rsid w:val="00611BF2"/>
    <w:rsid w:val="00611C16"/>
    <w:rsid w:val="00611C39"/>
    <w:rsid w:val="00611C48"/>
    <w:rsid w:val="00611C6E"/>
    <w:rsid w:val="00611C6F"/>
    <w:rsid w:val="00611C87"/>
    <w:rsid w:val="00611CBA"/>
    <w:rsid w:val="00611D89"/>
    <w:rsid w:val="00611E4D"/>
    <w:rsid w:val="00611E5D"/>
    <w:rsid w:val="00611EC2"/>
    <w:rsid w:val="00611ED5"/>
    <w:rsid w:val="00611EDC"/>
    <w:rsid w:val="00611EF5"/>
    <w:rsid w:val="00611F14"/>
    <w:rsid w:val="00611FC0"/>
    <w:rsid w:val="00612038"/>
    <w:rsid w:val="006120B7"/>
    <w:rsid w:val="00612107"/>
    <w:rsid w:val="006121AE"/>
    <w:rsid w:val="006121DB"/>
    <w:rsid w:val="00612208"/>
    <w:rsid w:val="006122CA"/>
    <w:rsid w:val="006122D3"/>
    <w:rsid w:val="006122FC"/>
    <w:rsid w:val="0061234C"/>
    <w:rsid w:val="00612353"/>
    <w:rsid w:val="00612369"/>
    <w:rsid w:val="00612384"/>
    <w:rsid w:val="00612396"/>
    <w:rsid w:val="006123BC"/>
    <w:rsid w:val="00612528"/>
    <w:rsid w:val="00612581"/>
    <w:rsid w:val="006125A5"/>
    <w:rsid w:val="006125DB"/>
    <w:rsid w:val="006125F7"/>
    <w:rsid w:val="0061261A"/>
    <w:rsid w:val="006126C2"/>
    <w:rsid w:val="006126CF"/>
    <w:rsid w:val="006126D3"/>
    <w:rsid w:val="0061271B"/>
    <w:rsid w:val="006127A8"/>
    <w:rsid w:val="00612822"/>
    <w:rsid w:val="00612871"/>
    <w:rsid w:val="00612895"/>
    <w:rsid w:val="00612949"/>
    <w:rsid w:val="006129A1"/>
    <w:rsid w:val="006129D8"/>
    <w:rsid w:val="006129F4"/>
    <w:rsid w:val="00612A0F"/>
    <w:rsid w:val="00612A74"/>
    <w:rsid w:val="00612A86"/>
    <w:rsid w:val="00612ABC"/>
    <w:rsid w:val="00612B2A"/>
    <w:rsid w:val="00612B70"/>
    <w:rsid w:val="00612B8F"/>
    <w:rsid w:val="00612BCE"/>
    <w:rsid w:val="00612C6C"/>
    <w:rsid w:val="00612C95"/>
    <w:rsid w:val="00612CBF"/>
    <w:rsid w:val="00612CE3"/>
    <w:rsid w:val="00612CE8"/>
    <w:rsid w:val="00612CF7"/>
    <w:rsid w:val="00612D1C"/>
    <w:rsid w:val="00612D24"/>
    <w:rsid w:val="00612D88"/>
    <w:rsid w:val="00612DC4"/>
    <w:rsid w:val="00612DE9"/>
    <w:rsid w:val="00612E30"/>
    <w:rsid w:val="00612E53"/>
    <w:rsid w:val="00612E92"/>
    <w:rsid w:val="00612E9E"/>
    <w:rsid w:val="00612EB6"/>
    <w:rsid w:val="00612EFD"/>
    <w:rsid w:val="00612F2C"/>
    <w:rsid w:val="00612F89"/>
    <w:rsid w:val="00612FC5"/>
    <w:rsid w:val="00612FEA"/>
    <w:rsid w:val="006130E4"/>
    <w:rsid w:val="006130E7"/>
    <w:rsid w:val="006130E8"/>
    <w:rsid w:val="00613103"/>
    <w:rsid w:val="00613135"/>
    <w:rsid w:val="00613148"/>
    <w:rsid w:val="00613167"/>
    <w:rsid w:val="0061317E"/>
    <w:rsid w:val="006131C7"/>
    <w:rsid w:val="006131E8"/>
    <w:rsid w:val="00613218"/>
    <w:rsid w:val="00613228"/>
    <w:rsid w:val="00613361"/>
    <w:rsid w:val="00613488"/>
    <w:rsid w:val="0061356B"/>
    <w:rsid w:val="0061357A"/>
    <w:rsid w:val="006135BF"/>
    <w:rsid w:val="006135CC"/>
    <w:rsid w:val="00613616"/>
    <w:rsid w:val="0061363B"/>
    <w:rsid w:val="00613681"/>
    <w:rsid w:val="006137B6"/>
    <w:rsid w:val="006137D3"/>
    <w:rsid w:val="00613850"/>
    <w:rsid w:val="0061388C"/>
    <w:rsid w:val="006138A7"/>
    <w:rsid w:val="006138E1"/>
    <w:rsid w:val="00613977"/>
    <w:rsid w:val="006139AE"/>
    <w:rsid w:val="00613A11"/>
    <w:rsid w:val="00613A72"/>
    <w:rsid w:val="00613B00"/>
    <w:rsid w:val="00613B03"/>
    <w:rsid w:val="00613B47"/>
    <w:rsid w:val="00613B52"/>
    <w:rsid w:val="00613B7A"/>
    <w:rsid w:val="00613BC1"/>
    <w:rsid w:val="00613BE1"/>
    <w:rsid w:val="00613BF1"/>
    <w:rsid w:val="00613C51"/>
    <w:rsid w:val="00613C81"/>
    <w:rsid w:val="00613C85"/>
    <w:rsid w:val="00613D25"/>
    <w:rsid w:val="00613D58"/>
    <w:rsid w:val="00613D7F"/>
    <w:rsid w:val="00613DC8"/>
    <w:rsid w:val="00613DDE"/>
    <w:rsid w:val="00613DE7"/>
    <w:rsid w:val="00613E7F"/>
    <w:rsid w:val="00613EA1"/>
    <w:rsid w:val="00613EA5"/>
    <w:rsid w:val="00613F1D"/>
    <w:rsid w:val="00613F8D"/>
    <w:rsid w:val="00613FE9"/>
    <w:rsid w:val="00614018"/>
    <w:rsid w:val="00614021"/>
    <w:rsid w:val="0061403E"/>
    <w:rsid w:val="00614213"/>
    <w:rsid w:val="00614226"/>
    <w:rsid w:val="00614229"/>
    <w:rsid w:val="0061424A"/>
    <w:rsid w:val="006142CF"/>
    <w:rsid w:val="0061431B"/>
    <w:rsid w:val="0061433A"/>
    <w:rsid w:val="0061436D"/>
    <w:rsid w:val="006143DD"/>
    <w:rsid w:val="006143E1"/>
    <w:rsid w:val="00614485"/>
    <w:rsid w:val="0061448F"/>
    <w:rsid w:val="0061454F"/>
    <w:rsid w:val="0061456D"/>
    <w:rsid w:val="00614590"/>
    <w:rsid w:val="00614594"/>
    <w:rsid w:val="006145A8"/>
    <w:rsid w:val="006145B1"/>
    <w:rsid w:val="006145E9"/>
    <w:rsid w:val="00614602"/>
    <w:rsid w:val="00614669"/>
    <w:rsid w:val="006146B0"/>
    <w:rsid w:val="006146BF"/>
    <w:rsid w:val="0061472B"/>
    <w:rsid w:val="00614774"/>
    <w:rsid w:val="00614788"/>
    <w:rsid w:val="00614796"/>
    <w:rsid w:val="0061482A"/>
    <w:rsid w:val="006148B2"/>
    <w:rsid w:val="00614917"/>
    <w:rsid w:val="006149F4"/>
    <w:rsid w:val="00614A16"/>
    <w:rsid w:val="00614A3C"/>
    <w:rsid w:val="00614A55"/>
    <w:rsid w:val="00614A71"/>
    <w:rsid w:val="00614ADE"/>
    <w:rsid w:val="00614AF3"/>
    <w:rsid w:val="00614B30"/>
    <w:rsid w:val="00614BAD"/>
    <w:rsid w:val="00614C3F"/>
    <w:rsid w:val="00614C84"/>
    <w:rsid w:val="00614CF4"/>
    <w:rsid w:val="00614D2F"/>
    <w:rsid w:val="00614D5E"/>
    <w:rsid w:val="00614DE1"/>
    <w:rsid w:val="00614DF0"/>
    <w:rsid w:val="00614E5A"/>
    <w:rsid w:val="00614E69"/>
    <w:rsid w:val="00614E73"/>
    <w:rsid w:val="00614EA5"/>
    <w:rsid w:val="00614EDB"/>
    <w:rsid w:val="00614F60"/>
    <w:rsid w:val="00614F63"/>
    <w:rsid w:val="00614F82"/>
    <w:rsid w:val="00614FA3"/>
    <w:rsid w:val="00614FEC"/>
    <w:rsid w:val="00615106"/>
    <w:rsid w:val="00615186"/>
    <w:rsid w:val="006151CD"/>
    <w:rsid w:val="00615285"/>
    <w:rsid w:val="0061528A"/>
    <w:rsid w:val="0061528B"/>
    <w:rsid w:val="006152B2"/>
    <w:rsid w:val="006152E0"/>
    <w:rsid w:val="00615357"/>
    <w:rsid w:val="0061535A"/>
    <w:rsid w:val="00615373"/>
    <w:rsid w:val="006153A0"/>
    <w:rsid w:val="006153A9"/>
    <w:rsid w:val="006153C4"/>
    <w:rsid w:val="006153C6"/>
    <w:rsid w:val="006153E4"/>
    <w:rsid w:val="006154BB"/>
    <w:rsid w:val="006154E5"/>
    <w:rsid w:val="006154FF"/>
    <w:rsid w:val="0061550E"/>
    <w:rsid w:val="006155F1"/>
    <w:rsid w:val="00615600"/>
    <w:rsid w:val="00615624"/>
    <w:rsid w:val="00615632"/>
    <w:rsid w:val="00615688"/>
    <w:rsid w:val="006156BB"/>
    <w:rsid w:val="006156ED"/>
    <w:rsid w:val="00615759"/>
    <w:rsid w:val="00615860"/>
    <w:rsid w:val="00615861"/>
    <w:rsid w:val="00615922"/>
    <w:rsid w:val="0061593B"/>
    <w:rsid w:val="0061595A"/>
    <w:rsid w:val="00615B6E"/>
    <w:rsid w:val="00615B70"/>
    <w:rsid w:val="00615BA0"/>
    <w:rsid w:val="00615BB4"/>
    <w:rsid w:val="00615BB5"/>
    <w:rsid w:val="00615BED"/>
    <w:rsid w:val="00615C43"/>
    <w:rsid w:val="00615C52"/>
    <w:rsid w:val="00615C85"/>
    <w:rsid w:val="00615C9E"/>
    <w:rsid w:val="00615CB6"/>
    <w:rsid w:val="00615CB7"/>
    <w:rsid w:val="00615CCA"/>
    <w:rsid w:val="00615D15"/>
    <w:rsid w:val="00615DB0"/>
    <w:rsid w:val="00615E93"/>
    <w:rsid w:val="00615EAB"/>
    <w:rsid w:val="00615ED1"/>
    <w:rsid w:val="00615F1D"/>
    <w:rsid w:val="00615F3A"/>
    <w:rsid w:val="00615F49"/>
    <w:rsid w:val="00616021"/>
    <w:rsid w:val="006160BA"/>
    <w:rsid w:val="006160D3"/>
    <w:rsid w:val="006160ED"/>
    <w:rsid w:val="006161ED"/>
    <w:rsid w:val="0061620A"/>
    <w:rsid w:val="0061620F"/>
    <w:rsid w:val="00616212"/>
    <w:rsid w:val="00616263"/>
    <w:rsid w:val="006162D7"/>
    <w:rsid w:val="00616307"/>
    <w:rsid w:val="00616319"/>
    <w:rsid w:val="006163A4"/>
    <w:rsid w:val="006164EF"/>
    <w:rsid w:val="006165BA"/>
    <w:rsid w:val="00616649"/>
    <w:rsid w:val="00616670"/>
    <w:rsid w:val="006166B9"/>
    <w:rsid w:val="006166C1"/>
    <w:rsid w:val="006166EE"/>
    <w:rsid w:val="00616774"/>
    <w:rsid w:val="0061677E"/>
    <w:rsid w:val="006167B7"/>
    <w:rsid w:val="006167D5"/>
    <w:rsid w:val="00616814"/>
    <w:rsid w:val="0061684B"/>
    <w:rsid w:val="00616860"/>
    <w:rsid w:val="00616871"/>
    <w:rsid w:val="0061688E"/>
    <w:rsid w:val="006168A7"/>
    <w:rsid w:val="006168A8"/>
    <w:rsid w:val="006168FF"/>
    <w:rsid w:val="0061692B"/>
    <w:rsid w:val="0061692F"/>
    <w:rsid w:val="0061696E"/>
    <w:rsid w:val="00616974"/>
    <w:rsid w:val="00616979"/>
    <w:rsid w:val="0061698D"/>
    <w:rsid w:val="006169A2"/>
    <w:rsid w:val="006169D8"/>
    <w:rsid w:val="006169F6"/>
    <w:rsid w:val="00616A82"/>
    <w:rsid w:val="00616B43"/>
    <w:rsid w:val="00616B83"/>
    <w:rsid w:val="00616B88"/>
    <w:rsid w:val="00616BBD"/>
    <w:rsid w:val="00616CE3"/>
    <w:rsid w:val="00616D1C"/>
    <w:rsid w:val="00616D51"/>
    <w:rsid w:val="00616D6A"/>
    <w:rsid w:val="00616DB5"/>
    <w:rsid w:val="00616DD3"/>
    <w:rsid w:val="00616EBA"/>
    <w:rsid w:val="00616EE9"/>
    <w:rsid w:val="00616F5D"/>
    <w:rsid w:val="00616FBF"/>
    <w:rsid w:val="00616FE0"/>
    <w:rsid w:val="00617098"/>
    <w:rsid w:val="00617144"/>
    <w:rsid w:val="0061717E"/>
    <w:rsid w:val="00617188"/>
    <w:rsid w:val="0061719B"/>
    <w:rsid w:val="00617215"/>
    <w:rsid w:val="00617254"/>
    <w:rsid w:val="006172F3"/>
    <w:rsid w:val="0061739E"/>
    <w:rsid w:val="006173D5"/>
    <w:rsid w:val="00617418"/>
    <w:rsid w:val="00617419"/>
    <w:rsid w:val="00617475"/>
    <w:rsid w:val="00617478"/>
    <w:rsid w:val="00617524"/>
    <w:rsid w:val="0061755A"/>
    <w:rsid w:val="0061755B"/>
    <w:rsid w:val="006175BF"/>
    <w:rsid w:val="006175E8"/>
    <w:rsid w:val="006175FB"/>
    <w:rsid w:val="00617667"/>
    <w:rsid w:val="00617691"/>
    <w:rsid w:val="006176F6"/>
    <w:rsid w:val="00617722"/>
    <w:rsid w:val="0061774F"/>
    <w:rsid w:val="00617754"/>
    <w:rsid w:val="00617945"/>
    <w:rsid w:val="006179AA"/>
    <w:rsid w:val="006179DA"/>
    <w:rsid w:val="006179E0"/>
    <w:rsid w:val="006179E8"/>
    <w:rsid w:val="00617A9F"/>
    <w:rsid w:val="00617B44"/>
    <w:rsid w:val="00617B75"/>
    <w:rsid w:val="00617B92"/>
    <w:rsid w:val="00617BB8"/>
    <w:rsid w:val="00617BD9"/>
    <w:rsid w:val="00617C6A"/>
    <w:rsid w:val="00617C96"/>
    <w:rsid w:val="00617CAA"/>
    <w:rsid w:val="00617CFA"/>
    <w:rsid w:val="00617D0F"/>
    <w:rsid w:val="00617D25"/>
    <w:rsid w:val="00617D3B"/>
    <w:rsid w:val="00617D8D"/>
    <w:rsid w:val="00617E43"/>
    <w:rsid w:val="00617E91"/>
    <w:rsid w:val="00617EFB"/>
    <w:rsid w:val="00617F10"/>
    <w:rsid w:val="00617F51"/>
    <w:rsid w:val="00617F54"/>
    <w:rsid w:val="0062007D"/>
    <w:rsid w:val="0062009E"/>
    <w:rsid w:val="00620100"/>
    <w:rsid w:val="00620102"/>
    <w:rsid w:val="00620123"/>
    <w:rsid w:val="0062017F"/>
    <w:rsid w:val="006201B7"/>
    <w:rsid w:val="0062024C"/>
    <w:rsid w:val="006202E6"/>
    <w:rsid w:val="006202F8"/>
    <w:rsid w:val="0062030A"/>
    <w:rsid w:val="00620332"/>
    <w:rsid w:val="00620336"/>
    <w:rsid w:val="0062034F"/>
    <w:rsid w:val="00620392"/>
    <w:rsid w:val="006203C1"/>
    <w:rsid w:val="006203E8"/>
    <w:rsid w:val="00620475"/>
    <w:rsid w:val="0062053B"/>
    <w:rsid w:val="006205A4"/>
    <w:rsid w:val="006205F2"/>
    <w:rsid w:val="0062062A"/>
    <w:rsid w:val="0062066C"/>
    <w:rsid w:val="00620680"/>
    <w:rsid w:val="0062069E"/>
    <w:rsid w:val="006206CB"/>
    <w:rsid w:val="0062074E"/>
    <w:rsid w:val="0062080E"/>
    <w:rsid w:val="0062082B"/>
    <w:rsid w:val="00620956"/>
    <w:rsid w:val="006209DF"/>
    <w:rsid w:val="00620A1E"/>
    <w:rsid w:val="00620A26"/>
    <w:rsid w:val="00620A43"/>
    <w:rsid w:val="00620AC1"/>
    <w:rsid w:val="00620AEF"/>
    <w:rsid w:val="00620AF1"/>
    <w:rsid w:val="00620B48"/>
    <w:rsid w:val="00620BC6"/>
    <w:rsid w:val="00620BE1"/>
    <w:rsid w:val="00620C22"/>
    <w:rsid w:val="00620CAD"/>
    <w:rsid w:val="00620D0B"/>
    <w:rsid w:val="00620D0E"/>
    <w:rsid w:val="00620D77"/>
    <w:rsid w:val="00620D89"/>
    <w:rsid w:val="00620E73"/>
    <w:rsid w:val="00620E7B"/>
    <w:rsid w:val="00620E7C"/>
    <w:rsid w:val="00620EA0"/>
    <w:rsid w:val="00620FC6"/>
    <w:rsid w:val="006210A5"/>
    <w:rsid w:val="006210FF"/>
    <w:rsid w:val="00621101"/>
    <w:rsid w:val="00621144"/>
    <w:rsid w:val="00621167"/>
    <w:rsid w:val="006211DB"/>
    <w:rsid w:val="0062126E"/>
    <w:rsid w:val="006212DF"/>
    <w:rsid w:val="00621303"/>
    <w:rsid w:val="00621305"/>
    <w:rsid w:val="0062133A"/>
    <w:rsid w:val="00621342"/>
    <w:rsid w:val="00621381"/>
    <w:rsid w:val="00621430"/>
    <w:rsid w:val="0062149E"/>
    <w:rsid w:val="006214A0"/>
    <w:rsid w:val="006214D9"/>
    <w:rsid w:val="00621514"/>
    <w:rsid w:val="00621534"/>
    <w:rsid w:val="0062154C"/>
    <w:rsid w:val="0062156C"/>
    <w:rsid w:val="00621581"/>
    <w:rsid w:val="006215BF"/>
    <w:rsid w:val="0062162F"/>
    <w:rsid w:val="00621637"/>
    <w:rsid w:val="0062165E"/>
    <w:rsid w:val="0062167A"/>
    <w:rsid w:val="00621694"/>
    <w:rsid w:val="00621742"/>
    <w:rsid w:val="0062177A"/>
    <w:rsid w:val="006217E4"/>
    <w:rsid w:val="006217F4"/>
    <w:rsid w:val="0062181B"/>
    <w:rsid w:val="0062181E"/>
    <w:rsid w:val="006218E6"/>
    <w:rsid w:val="006218FD"/>
    <w:rsid w:val="00621904"/>
    <w:rsid w:val="00621957"/>
    <w:rsid w:val="00621A4A"/>
    <w:rsid w:val="00621A99"/>
    <w:rsid w:val="00621AEA"/>
    <w:rsid w:val="00621BFD"/>
    <w:rsid w:val="00621C0B"/>
    <w:rsid w:val="00621C15"/>
    <w:rsid w:val="00621C40"/>
    <w:rsid w:val="00621C94"/>
    <w:rsid w:val="00621CD8"/>
    <w:rsid w:val="00621CE9"/>
    <w:rsid w:val="00621D3F"/>
    <w:rsid w:val="00621DEF"/>
    <w:rsid w:val="00621E73"/>
    <w:rsid w:val="00621EBD"/>
    <w:rsid w:val="00621EF9"/>
    <w:rsid w:val="00621F6F"/>
    <w:rsid w:val="00621FF6"/>
    <w:rsid w:val="00622046"/>
    <w:rsid w:val="00622048"/>
    <w:rsid w:val="00622054"/>
    <w:rsid w:val="0062209D"/>
    <w:rsid w:val="006220A1"/>
    <w:rsid w:val="006220B2"/>
    <w:rsid w:val="006220E0"/>
    <w:rsid w:val="0062211B"/>
    <w:rsid w:val="0062212F"/>
    <w:rsid w:val="00622130"/>
    <w:rsid w:val="00622153"/>
    <w:rsid w:val="00622180"/>
    <w:rsid w:val="006221A0"/>
    <w:rsid w:val="006221C5"/>
    <w:rsid w:val="00622219"/>
    <w:rsid w:val="00622239"/>
    <w:rsid w:val="006222F8"/>
    <w:rsid w:val="00622337"/>
    <w:rsid w:val="00622369"/>
    <w:rsid w:val="0062238C"/>
    <w:rsid w:val="006223EA"/>
    <w:rsid w:val="0062243C"/>
    <w:rsid w:val="0062248C"/>
    <w:rsid w:val="006224AC"/>
    <w:rsid w:val="00622511"/>
    <w:rsid w:val="0062256A"/>
    <w:rsid w:val="00622622"/>
    <w:rsid w:val="00622659"/>
    <w:rsid w:val="006227E8"/>
    <w:rsid w:val="00622819"/>
    <w:rsid w:val="0062284D"/>
    <w:rsid w:val="00622862"/>
    <w:rsid w:val="00622884"/>
    <w:rsid w:val="00622914"/>
    <w:rsid w:val="0062299A"/>
    <w:rsid w:val="006229DB"/>
    <w:rsid w:val="006229E9"/>
    <w:rsid w:val="00622A76"/>
    <w:rsid w:val="00622A8E"/>
    <w:rsid w:val="00622B03"/>
    <w:rsid w:val="00622B4F"/>
    <w:rsid w:val="00622B5B"/>
    <w:rsid w:val="00622D21"/>
    <w:rsid w:val="00622D30"/>
    <w:rsid w:val="00622DF9"/>
    <w:rsid w:val="00622E13"/>
    <w:rsid w:val="00622E22"/>
    <w:rsid w:val="00622EC0"/>
    <w:rsid w:val="00622F52"/>
    <w:rsid w:val="00622FD9"/>
    <w:rsid w:val="00622FDF"/>
    <w:rsid w:val="0062302D"/>
    <w:rsid w:val="00623062"/>
    <w:rsid w:val="00623069"/>
    <w:rsid w:val="0062308D"/>
    <w:rsid w:val="006230A5"/>
    <w:rsid w:val="00623129"/>
    <w:rsid w:val="006231E7"/>
    <w:rsid w:val="006231E8"/>
    <w:rsid w:val="006231FA"/>
    <w:rsid w:val="00623243"/>
    <w:rsid w:val="006232AC"/>
    <w:rsid w:val="006232CE"/>
    <w:rsid w:val="006232E7"/>
    <w:rsid w:val="006232EA"/>
    <w:rsid w:val="006233CC"/>
    <w:rsid w:val="00623444"/>
    <w:rsid w:val="006234E9"/>
    <w:rsid w:val="0062352E"/>
    <w:rsid w:val="00623588"/>
    <w:rsid w:val="0062359E"/>
    <w:rsid w:val="006235F9"/>
    <w:rsid w:val="0062361E"/>
    <w:rsid w:val="00623625"/>
    <w:rsid w:val="00623627"/>
    <w:rsid w:val="00623631"/>
    <w:rsid w:val="0062365F"/>
    <w:rsid w:val="0062367C"/>
    <w:rsid w:val="0062368C"/>
    <w:rsid w:val="006236A9"/>
    <w:rsid w:val="006236F3"/>
    <w:rsid w:val="00623700"/>
    <w:rsid w:val="00623759"/>
    <w:rsid w:val="00623767"/>
    <w:rsid w:val="006237A9"/>
    <w:rsid w:val="006237D7"/>
    <w:rsid w:val="00623879"/>
    <w:rsid w:val="00623894"/>
    <w:rsid w:val="006238AE"/>
    <w:rsid w:val="006238BB"/>
    <w:rsid w:val="00623943"/>
    <w:rsid w:val="00623966"/>
    <w:rsid w:val="0062397E"/>
    <w:rsid w:val="0062397F"/>
    <w:rsid w:val="00623A25"/>
    <w:rsid w:val="00623A47"/>
    <w:rsid w:val="00623A5D"/>
    <w:rsid w:val="00623A72"/>
    <w:rsid w:val="00623B2F"/>
    <w:rsid w:val="00623B5B"/>
    <w:rsid w:val="00623B95"/>
    <w:rsid w:val="00623B9D"/>
    <w:rsid w:val="00623C0E"/>
    <w:rsid w:val="00623C4B"/>
    <w:rsid w:val="00623C7D"/>
    <w:rsid w:val="00623C84"/>
    <w:rsid w:val="00623CC9"/>
    <w:rsid w:val="00623CD0"/>
    <w:rsid w:val="00623CE8"/>
    <w:rsid w:val="00623D8F"/>
    <w:rsid w:val="00623D90"/>
    <w:rsid w:val="00623E22"/>
    <w:rsid w:val="00623E3C"/>
    <w:rsid w:val="00623E56"/>
    <w:rsid w:val="00623EDF"/>
    <w:rsid w:val="00623EED"/>
    <w:rsid w:val="00623F08"/>
    <w:rsid w:val="00623F2C"/>
    <w:rsid w:val="00623F37"/>
    <w:rsid w:val="00623F3A"/>
    <w:rsid w:val="00623F54"/>
    <w:rsid w:val="00623F77"/>
    <w:rsid w:val="0062402E"/>
    <w:rsid w:val="0062403A"/>
    <w:rsid w:val="0062404E"/>
    <w:rsid w:val="00624057"/>
    <w:rsid w:val="00624063"/>
    <w:rsid w:val="006241E9"/>
    <w:rsid w:val="00624213"/>
    <w:rsid w:val="00624219"/>
    <w:rsid w:val="0062425B"/>
    <w:rsid w:val="006242A0"/>
    <w:rsid w:val="006242D3"/>
    <w:rsid w:val="006242E4"/>
    <w:rsid w:val="00624309"/>
    <w:rsid w:val="00624319"/>
    <w:rsid w:val="0062433F"/>
    <w:rsid w:val="00624346"/>
    <w:rsid w:val="006243B3"/>
    <w:rsid w:val="0062442A"/>
    <w:rsid w:val="006244D8"/>
    <w:rsid w:val="006244EB"/>
    <w:rsid w:val="00624518"/>
    <w:rsid w:val="00624534"/>
    <w:rsid w:val="0062459C"/>
    <w:rsid w:val="006245A3"/>
    <w:rsid w:val="006245D2"/>
    <w:rsid w:val="00624617"/>
    <w:rsid w:val="0062465E"/>
    <w:rsid w:val="00624676"/>
    <w:rsid w:val="00624685"/>
    <w:rsid w:val="0062469C"/>
    <w:rsid w:val="0062473E"/>
    <w:rsid w:val="0062477F"/>
    <w:rsid w:val="006247A5"/>
    <w:rsid w:val="006247BC"/>
    <w:rsid w:val="00624815"/>
    <w:rsid w:val="006248C2"/>
    <w:rsid w:val="00624979"/>
    <w:rsid w:val="00624980"/>
    <w:rsid w:val="0062499A"/>
    <w:rsid w:val="006249AA"/>
    <w:rsid w:val="006249EF"/>
    <w:rsid w:val="006249F8"/>
    <w:rsid w:val="00624A12"/>
    <w:rsid w:val="00624AAC"/>
    <w:rsid w:val="00624BD1"/>
    <w:rsid w:val="00624BF6"/>
    <w:rsid w:val="00624C19"/>
    <w:rsid w:val="00624C3D"/>
    <w:rsid w:val="00624CC7"/>
    <w:rsid w:val="00624D33"/>
    <w:rsid w:val="00624DBF"/>
    <w:rsid w:val="00624E35"/>
    <w:rsid w:val="00624F1A"/>
    <w:rsid w:val="00624FFC"/>
    <w:rsid w:val="00624FFF"/>
    <w:rsid w:val="006250DA"/>
    <w:rsid w:val="00625108"/>
    <w:rsid w:val="0062510B"/>
    <w:rsid w:val="00625193"/>
    <w:rsid w:val="00625196"/>
    <w:rsid w:val="006251E1"/>
    <w:rsid w:val="006251E8"/>
    <w:rsid w:val="00625258"/>
    <w:rsid w:val="006252CD"/>
    <w:rsid w:val="006252FB"/>
    <w:rsid w:val="0062532A"/>
    <w:rsid w:val="00625340"/>
    <w:rsid w:val="00625361"/>
    <w:rsid w:val="00625395"/>
    <w:rsid w:val="006253AA"/>
    <w:rsid w:val="006253DA"/>
    <w:rsid w:val="006254C6"/>
    <w:rsid w:val="006254E9"/>
    <w:rsid w:val="006254F5"/>
    <w:rsid w:val="00625514"/>
    <w:rsid w:val="00625595"/>
    <w:rsid w:val="006256E9"/>
    <w:rsid w:val="00625745"/>
    <w:rsid w:val="00625756"/>
    <w:rsid w:val="00625765"/>
    <w:rsid w:val="0062580D"/>
    <w:rsid w:val="0062584F"/>
    <w:rsid w:val="00625885"/>
    <w:rsid w:val="006258EB"/>
    <w:rsid w:val="0062594D"/>
    <w:rsid w:val="00625970"/>
    <w:rsid w:val="00625A48"/>
    <w:rsid w:val="00625A98"/>
    <w:rsid w:val="00625B47"/>
    <w:rsid w:val="00625B7E"/>
    <w:rsid w:val="00625B8B"/>
    <w:rsid w:val="00625BAF"/>
    <w:rsid w:val="00625C0C"/>
    <w:rsid w:val="00625C1B"/>
    <w:rsid w:val="00625C2D"/>
    <w:rsid w:val="00625C31"/>
    <w:rsid w:val="00625C3F"/>
    <w:rsid w:val="00625C81"/>
    <w:rsid w:val="00625D2D"/>
    <w:rsid w:val="00625D52"/>
    <w:rsid w:val="00625D70"/>
    <w:rsid w:val="00625DC1"/>
    <w:rsid w:val="00625DD1"/>
    <w:rsid w:val="00625DF1"/>
    <w:rsid w:val="00625ED7"/>
    <w:rsid w:val="00625F16"/>
    <w:rsid w:val="00625F28"/>
    <w:rsid w:val="00625F97"/>
    <w:rsid w:val="00626057"/>
    <w:rsid w:val="0062608A"/>
    <w:rsid w:val="0062618C"/>
    <w:rsid w:val="006261CB"/>
    <w:rsid w:val="00626241"/>
    <w:rsid w:val="0062627F"/>
    <w:rsid w:val="006262CA"/>
    <w:rsid w:val="006262E2"/>
    <w:rsid w:val="006263AF"/>
    <w:rsid w:val="006263F7"/>
    <w:rsid w:val="00626418"/>
    <w:rsid w:val="0062642B"/>
    <w:rsid w:val="0062643F"/>
    <w:rsid w:val="00626482"/>
    <w:rsid w:val="00626543"/>
    <w:rsid w:val="00626547"/>
    <w:rsid w:val="006265C3"/>
    <w:rsid w:val="006265DE"/>
    <w:rsid w:val="0062670E"/>
    <w:rsid w:val="00626797"/>
    <w:rsid w:val="006267C2"/>
    <w:rsid w:val="0062683D"/>
    <w:rsid w:val="00626855"/>
    <w:rsid w:val="006268B9"/>
    <w:rsid w:val="006268C7"/>
    <w:rsid w:val="0062690B"/>
    <w:rsid w:val="006269C5"/>
    <w:rsid w:val="00626A2B"/>
    <w:rsid w:val="00626A49"/>
    <w:rsid w:val="00626A9D"/>
    <w:rsid w:val="00626AA7"/>
    <w:rsid w:val="00626AB8"/>
    <w:rsid w:val="00626AED"/>
    <w:rsid w:val="00626B37"/>
    <w:rsid w:val="00626B6A"/>
    <w:rsid w:val="00626BA4"/>
    <w:rsid w:val="00626BC6"/>
    <w:rsid w:val="00626BED"/>
    <w:rsid w:val="00626BF2"/>
    <w:rsid w:val="00626CA1"/>
    <w:rsid w:val="00626CB3"/>
    <w:rsid w:val="00626D57"/>
    <w:rsid w:val="00626D94"/>
    <w:rsid w:val="00626DA5"/>
    <w:rsid w:val="00626DB7"/>
    <w:rsid w:val="00626E16"/>
    <w:rsid w:val="00626ED7"/>
    <w:rsid w:val="00626F9D"/>
    <w:rsid w:val="00626FE7"/>
    <w:rsid w:val="00626FE9"/>
    <w:rsid w:val="00627028"/>
    <w:rsid w:val="00627047"/>
    <w:rsid w:val="006270CF"/>
    <w:rsid w:val="006270E3"/>
    <w:rsid w:val="00627171"/>
    <w:rsid w:val="00627175"/>
    <w:rsid w:val="00627198"/>
    <w:rsid w:val="00627238"/>
    <w:rsid w:val="006272EF"/>
    <w:rsid w:val="00627307"/>
    <w:rsid w:val="00627310"/>
    <w:rsid w:val="0062732E"/>
    <w:rsid w:val="00627350"/>
    <w:rsid w:val="00627365"/>
    <w:rsid w:val="00627399"/>
    <w:rsid w:val="00627402"/>
    <w:rsid w:val="00627466"/>
    <w:rsid w:val="0062748C"/>
    <w:rsid w:val="0062749F"/>
    <w:rsid w:val="0062750D"/>
    <w:rsid w:val="00627527"/>
    <w:rsid w:val="00627536"/>
    <w:rsid w:val="00627557"/>
    <w:rsid w:val="006275BF"/>
    <w:rsid w:val="006276B6"/>
    <w:rsid w:val="006276CC"/>
    <w:rsid w:val="006276F3"/>
    <w:rsid w:val="006277A0"/>
    <w:rsid w:val="006277B7"/>
    <w:rsid w:val="006277CF"/>
    <w:rsid w:val="00627831"/>
    <w:rsid w:val="00627919"/>
    <w:rsid w:val="00627A7F"/>
    <w:rsid w:val="00627A92"/>
    <w:rsid w:val="00627AA1"/>
    <w:rsid w:val="00627AD6"/>
    <w:rsid w:val="00627AEC"/>
    <w:rsid w:val="00627B7B"/>
    <w:rsid w:val="00627BEC"/>
    <w:rsid w:val="00627BF7"/>
    <w:rsid w:val="00627C85"/>
    <w:rsid w:val="00627C9F"/>
    <w:rsid w:val="00627CA3"/>
    <w:rsid w:val="00627CCF"/>
    <w:rsid w:val="00627CDC"/>
    <w:rsid w:val="00627D34"/>
    <w:rsid w:val="00627D5C"/>
    <w:rsid w:val="00627D5F"/>
    <w:rsid w:val="00627D79"/>
    <w:rsid w:val="00627DF0"/>
    <w:rsid w:val="00627DFE"/>
    <w:rsid w:val="00627E0A"/>
    <w:rsid w:val="00627E11"/>
    <w:rsid w:val="00627E33"/>
    <w:rsid w:val="00627EC6"/>
    <w:rsid w:val="00627EE0"/>
    <w:rsid w:val="00627F23"/>
    <w:rsid w:val="00627F6C"/>
    <w:rsid w:val="00627F99"/>
    <w:rsid w:val="00627FF3"/>
    <w:rsid w:val="0063002E"/>
    <w:rsid w:val="00630063"/>
    <w:rsid w:val="0063006A"/>
    <w:rsid w:val="00630081"/>
    <w:rsid w:val="0063012D"/>
    <w:rsid w:val="006301D8"/>
    <w:rsid w:val="006301E1"/>
    <w:rsid w:val="0063021F"/>
    <w:rsid w:val="00630268"/>
    <w:rsid w:val="006302D0"/>
    <w:rsid w:val="00630328"/>
    <w:rsid w:val="0063049D"/>
    <w:rsid w:val="006304BC"/>
    <w:rsid w:val="006304E1"/>
    <w:rsid w:val="0063051B"/>
    <w:rsid w:val="00630577"/>
    <w:rsid w:val="0063057D"/>
    <w:rsid w:val="0063059E"/>
    <w:rsid w:val="0063060E"/>
    <w:rsid w:val="0063061F"/>
    <w:rsid w:val="00630621"/>
    <w:rsid w:val="006306CB"/>
    <w:rsid w:val="0063070A"/>
    <w:rsid w:val="00630767"/>
    <w:rsid w:val="006307DB"/>
    <w:rsid w:val="00630864"/>
    <w:rsid w:val="006308AF"/>
    <w:rsid w:val="006308F4"/>
    <w:rsid w:val="0063095E"/>
    <w:rsid w:val="00630987"/>
    <w:rsid w:val="006309ED"/>
    <w:rsid w:val="00630A55"/>
    <w:rsid w:val="00630A70"/>
    <w:rsid w:val="00630AC1"/>
    <w:rsid w:val="00630AFD"/>
    <w:rsid w:val="00630B18"/>
    <w:rsid w:val="00630B1C"/>
    <w:rsid w:val="00630BD5"/>
    <w:rsid w:val="00630BDC"/>
    <w:rsid w:val="00630C3B"/>
    <w:rsid w:val="00630C3F"/>
    <w:rsid w:val="00630C9C"/>
    <w:rsid w:val="00630CBF"/>
    <w:rsid w:val="00630CFE"/>
    <w:rsid w:val="00630D41"/>
    <w:rsid w:val="00630DB9"/>
    <w:rsid w:val="00630E22"/>
    <w:rsid w:val="00630E3E"/>
    <w:rsid w:val="00630EC8"/>
    <w:rsid w:val="00630F47"/>
    <w:rsid w:val="00630F75"/>
    <w:rsid w:val="00630FD0"/>
    <w:rsid w:val="0063100B"/>
    <w:rsid w:val="00631069"/>
    <w:rsid w:val="006310A4"/>
    <w:rsid w:val="006310A9"/>
    <w:rsid w:val="0063111A"/>
    <w:rsid w:val="00631154"/>
    <w:rsid w:val="006311AC"/>
    <w:rsid w:val="006311F1"/>
    <w:rsid w:val="00631259"/>
    <w:rsid w:val="0063127C"/>
    <w:rsid w:val="006312E8"/>
    <w:rsid w:val="006312F0"/>
    <w:rsid w:val="00631303"/>
    <w:rsid w:val="00631339"/>
    <w:rsid w:val="0063136B"/>
    <w:rsid w:val="006313CC"/>
    <w:rsid w:val="0063141A"/>
    <w:rsid w:val="0063141D"/>
    <w:rsid w:val="00631448"/>
    <w:rsid w:val="00631461"/>
    <w:rsid w:val="006314A7"/>
    <w:rsid w:val="006314D0"/>
    <w:rsid w:val="006314F1"/>
    <w:rsid w:val="0063154C"/>
    <w:rsid w:val="00631568"/>
    <w:rsid w:val="00631588"/>
    <w:rsid w:val="006315AD"/>
    <w:rsid w:val="006315B6"/>
    <w:rsid w:val="006315BD"/>
    <w:rsid w:val="0063160F"/>
    <w:rsid w:val="006316A5"/>
    <w:rsid w:val="00631719"/>
    <w:rsid w:val="00631734"/>
    <w:rsid w:val="00631737"/>
    <w:rsid w:val="00631747"/>
    <w:rsid w:val="00631813"/>
    <w:rsid w:val="0063184D"/>
    <w:rsid w:val="00631868"/>
    <w:rsid w:val="006318F5"/>
    <w:rsid w:val="00631932"/>
    <w:rsid w:val="0063194C"/>
    <w:rsid w:val="0063197B"/>
    <w:rsid w:val="00631A5B"/>
    <w:rsid w:val="00631A75"/>
    <w:rsid w:val="00631B0B"/>
    <w:rsid w:val="00631B3A"/>
    <w:rsid w:val="00631B3B"/>
    <w:rsid w:val="00631C0C"/>
    <w:rsid w:val="00631D1E"/>
    <w:rsid w:val="00631D50"/>
    <w:rsid w:val="00631D66"/>
    <w:rsid w:val="00631D69"/>
    <w:rsid w:val="00631D83"/>
    <w:rsid w:val="00631DB3"/>
    <w:rsid w:val="00631DE5"/>
    <w:rsid w:val="00631E00"/>
    <w:rsid w:val="00631E5A"/>
    <w:rsid w:val="00631E79"/>
    <w:rsid w:val="00631E82"/>
    <w:rsid w:val="00631F22"/>
    <w:rsid w:val="00631F55"/>
    <w:rsid w:val="00631F67"/>
    <w:rsid w:val="00631F9B"/>
    <w:rsid w:val="00631FAF"/>
    <w:rsid w:val="00631FED"/>
    <w:rsid w:val="00631FFC"/>
    <w:rsid w:val="0063203E"/>
    <w:rsid w:val="006320C6"/>
    <w:rsid w:val="00632139"/>
    <w:rsid w:val="00632190"/>
    <w:rsid w:val="006321DF"/>
    <w:rsid w:val="006321EE"/>
    <w:rsid w:val="00632249"/>
    <w:rsid w:val="006322DF"/>
    <w:rsid w:val="00632399"/>
    <w:rsid w:val="006323EA"/>
    <w:rsid w:val="00632400"/>
    <w:rsid w:val="00632405"/>
    <w:rsid w:val="0063244B"/>
    <w:rsid w:val="006324B4"/>
    <w:rsid w:val="00632544"/>
    <w:rsid w:val="006325AC"/>
    <w:rsid w:val="006325D4"/>
    <w:rsid w:val="006325EE"/>
    <w:rsid w:val="00632629"/>
    <w:rsid w:val="00632652"/>
    <w:rsid w:val="006326E2"/>
    <w:rsid w:val="00632748"/>
    <w:rsid w:val="0063274B"/>
    <w:rsid w:val="00632772"/>
    <w:rsid w:val="006327A6"/>
    <w:rsid w:val="00632848"/>
    <w:rsid w:val="006328BC"/>
    <w:rsid w:val="0063298E"/>
    <w:rsid w:val="006329ED"/>
    <w:rsid w:val="00632A05"/>
    <w:rsid w:val="00632A2D"/>
    <w:rsid w:val="00632A50"/>
    <w:rsid w:val="00632A87"/>
    <w:rsid w:val="00632B00"/>
    <w:rsid w:val="00632B24"/>
    <w:rsid w:val="00632B27"/>
    <w:rsid w:val="00632BDD"/>
    <w:rsid w:val="00632C6C"/>
    <w:rsid w:val="00632D60"/>
    <w:rsid w:val="00632D82"/>
    <w:rsid w:val="00632DE3"/>
    <w:rsid w:val="00632E50"/>
    <w:rsid w:val="00632EB8"/>
    <w:rsid w:val="00632F57"/>
    <w:rsid w:val="00632F6F"/>
    <w:rsid w:val="00632F7B"/>
    <w:rsid w:val="00632FF2"/>
    <w:rsid w:val="00633023"/>
    <w:rsid w:val="00633026"/>
    <w:rsid w:val="0063304B"/>
    <w:rsid w:val="006330AC"/>
    <w:rsid w:val="006330B9"/>
    <w:rsid w:val="006330C4"/>
    <w:rsid w:val="006330EB"/>
    <w:rsid w:val="00633113"/>
    <w:rsid w:val="00633155"/>
    <w:rsid w:val="00633167"/>
    <w:rsid w:val="006331BC"/>
    <w:rsid w:val="006331DD"/>
    <w:rsid w:val="006331FD"/>
    <w:rsid w:val="00633247"/>
    <w:rsid w:val="0063326C"/>
    <w:rsid w:val="00633270"/>
    <w:rsid w:val="0063335E"/>
    <w:rsid w:val="0063339A"/>
    <w:rsid w:val="00633413"/>
    <w:rsid w:val="0063347B"/>
    <w:rsid w:val="006334A8"/>
    <w:rsid w:val="006334F3"/>
    <w:rsid w:val="00633527"/>
    <w:rsid w:val="00633605"/>
    <w:rsid w:val="0063363A"/>
    <w:rsid w:val="00633646"/>
    <w:rsid w:val="00633676"/>
    <w:rsid w:val="006336AA"/>
    <w:rsid w:val="006336C8"/>
    <w:rsid w:val="006336F0"/>
    <w:rsid w:val="00633731"/>
    <w:rsid w:val="0063377E"/>
    <w:rsid w:val="00633843"/>
    <w:rsid w:val="0063384C"/>
    <w:rsid w:val="00633851"/>
    <w:rsid w:val="0063394D"/>
    <w:rsid w:val="00633A3C"/>
    <w:rsid w:val="00633A8A"/>
    <w:rsid w:val="00633B25"/>
    <w:rsid w:val="00633B42"/>
    <w:rsid w:val="00633B47"/>
    <w:rsid w:val="00633C2A"/>
    <w:rsid w:val="00633C3C"/>
    <w:rsid w:val="00633C59"/>
    <w:rsid w:val="00633CBE"/>
    <w:rsid w:val="00633CD2"/>
    <w:rsid w:val="00633D0F"/>
    <w:rsid w:val="00633D18"/>
    <w:rsid w:val="00633DE4"/>
    <w:rsid w:val="00633E1A"/>
    <w:rsid w:val="00633ED5"/>
    <w:rsid w:val="00633EF9"/>
    <w:rsid w:val="00633F04"/>
    <w:rsid w:val="00633F1D"/>
    <w:rsid w:val="00633F2B"/>
    <w:rsid w:val="00633F61"/>
    <w:rsid w:val="00633FB6"/>
    <w:rsid w:val="0063401A"/>
    <w:rsid w:val="00634031"/>
    <w:rsid w:val="00634136"/>
    <w:rsid w:val="00634148"/>
    <w:rsid w:val="00634236"/>
    <w:rsid w:val="0063431B"/>
    <w:rsid w:val="0063437A"/>
    <w:rsid w:val="00634389"/>
    <w:rsid w:val="00634486"/>
    <w:rsid w:val="0063448D"/>
    <w:rsid w:val="006344A9"/>
    <w:rsid w:val="006344B0"/>
    <w:rsid w:val="0063457D"/>
    <w:rsid w:val="006345A1"/>
    <w:rsid w:val="006345FA"/>
    <w:rsid w:val="0063463B"/>
    <w:rsid w:val="006346C4"/>
    <w:rsid w:val="006346D0"/>
    <w:rsid w:val="00634854"/>
    <w:rsid w:val="0063486B"/>
    <w:rsid w:val="006348CE"/>
    <w:rsid w:val="006348CF"/>
    <w:rsid w:val="0063496F"/>
    <w:rsid w:val="00634A20"/>
    <w:rsid w:val="00634A4D"/>
    <w:rsid w:val="00634A8F"/>
    <w:rsid w:val="00634AA6"/>
    <w:rsid w:val="00634AE5"/>
    <w:rsid w:val="00634B07"/>
    <w:rsid w:val="00634B3E"/>
    <w:rsid w:val="00634B83"/>
    <w:rsid w:val="00634BA9"/>
    <w:rsid w:val="00634C01"/>
    <w:rsid w:val="00634C3F"/>
    <w:rsid w:val="00634CF4"/>
    <w:rsid w:val="00634D03"/>
    <w:rsid w:val="00634DBD"/>
    <w:rsid w:val="00634DE5"/>
    <w:rsid w:val="00634E07"/>
    <w:rsid w:val="00634E16"/>
    <w:rsid w:val="00634E35"/>
    <w:rsid w:val="00634E61"/>
    <w:rsid w:val="00634E62"/>
    <w:rsid w:val="00634EAD"/>
    <w:rsid w:val="00634FAF"/>
    <w:rsid w:val="00634FD8"/>
    <w:rsid w:val="00634FDC"/>
    <w:rsid w:val="0063501B"/>
    <w:rsid w:val="0063501E"/>
    <w:rsid w:val="0063504F"/>
    <w:rsid w:val="0063509A"/>
    <w:rsid w:val="006350A5"/>
    <w:rsid w:val="006350A7"/>
    <w:rsid w:val="006350F4"/>
    <w:rsid w:val="006350F6"/>
    <w:rsid w:val="00635105"/>
    <w:rsid w:val="00635152"/>
    <w:rsid w:val="00635177"/>
    <w:rsid w:val="00635188"/>
    <w:rsid w:val="00635190"/>
    <w:rsid w:val="00635192"/>
    <w:rsid w:val="006351B3"/>
    <w:rsid w:val="006351D8"/>
    <w:rsid w:val="006351F4"/>
    <w:rsid w:val="00635235"/>
    <w:rsid w:val="0063524D"/>
    <w:rsid w:val="006352BB"/>
    <w:rsid w:val="006352EA"/>
    <w:rsid w:val="00635353"/>
    <w:rsid w:val="00635368"/>
    <w:rsid w:val="00635374"/>
    <w:rsid w:val="006353C5"/>
    <w:rsid w:val="0063541C"/>
    <w:rsid w:val="00635448"/>
    <w:rsid w:val="00635472"/>
    <w:rsid w:val="006354B0"/>
    <w:rsid w:val="006354BC"/>
    <w:rsid w:val="006354E3"/>
    <w:rsid w:val="00635515"/>
    <w:rsid w:val="00635519"/>
    <w:rsid w:val="0063554C"/>
    <w:rsid w:val="00635555"/>
    <w:rsid w:val="00635563"/>
    <w:rsid w:val="0063557F"/>
    <w:rsid w:val="006355C1"/>
    <w:rsid w:val="006355EE"/>
    <w:rsid w:val="00635655"/>
    <w:rsid w:val="0063575B"/>
    <w:rsid w:val="0063577C"/>
    <w:rsid w:val="00635788"/>
    <w:rsid w:val="006357AC"/>
    <w:rsid w:val="006357CE"/>
    <w:rsid w:val="006357E9"/>
    <w:rsid w:val="0063581F"/>
    <w:rsid w:val="00635864"/>
    <w:rsid w:val="00635882"/>
    <w:rsid w:val="006358A6"/>
    <w:rsid w:val="00635906"/>
    <w:rsid w:val="00635955"/>
    <w:rsid w:val="00635969"/>
    <w:rsid w:val="0063598E"/>
    <w:rsid w:val="006359F9"/>
    <w:rsid w:val="00635A27"/>
    <w:rsid w:val="00635A91"/>
    <w:rsid w:val="00635B45"/>
    <w:rsid w:val="00635BB4"/>
    <w:rsid w:val="00635BCF"/>
    <w:rsid w:val="00635C20"/>
    <w:rsid w:val="00635C5F"/>
    <w:rsid w:val="00635C6B"/>
    <w:rsid w:val="00635C77"/>
    <w:rsid w:val="00635CC0"/>
    <w:rsid w:val="00635CE3"/>
    <w:rsid w:val="00635D9C"/>
    <w:rsid w:val="00635E58"/>
    <w:rsid w:val="00635EA2"/>
    <w:rsid w:val="00635EB6"/>
    <w:rsid w:val="00635F38"/>
    <w:rsid w:val="00635FF4"/>
    <w:rsid w:val="00635FF7"/>
    <w:rsid w:val="00635FFE"/>
    <w:rsid w:val="00636011"/>
    <w:rsid w:val="00636021"/>
    <w:rsid w:val="006360DF"/>
    <w:rsid w:val="0063614F"/>
    <w:rsid w:val="00636164"/>
    <w:rsid w:val="00636189"/>
    <w:rsid w:val="0063628B"/>
    <w:rsid w:val="00636351"/>
    <w:rsid w:val="00636353"/>
    <w:rsid w:val="006363E3"/>
    <w:rsid w:val="006363FD"/>
    <w:rsid w:val="00636405"/>
    <w:rsid w:val="00636411"/>
    <w:rsid w:val="006364AD"/>
    <w:rsid w:val="00636500"/>
    <w:rsid w:val="00636537"/>
    <w:rsid w:val="00636550"/>
    <w:rsid w:val="00636580"/>
    <w:rsid w:val="00636627"/>
    <w:rsid w:val="00636645"/>
    <w:rsid w:val="006366A8"/>
    <w:rsid w:val="00636709"/>
    <w:rsid w:val="00636780"/>
    <w:rsid w:val="00636795"/>
    <w:rsid w:val="00636798"/>
    <w:rsid w:val="006367A4"/>
    <w:rsid w:val="006367B4"/>
    <w:rsid w:val="006367FE"/>
    <w:rsid w:val="0063688D"/>
    <w:rsid w:val="006368B0"/>
    <w:rsid w:val="00636900"/>
    <w:rsid w:val="00636940"/>
    <w:rsid w:val="00636956"/>
    <w:rsid w:val="00636963"/>
    <w:rsid w:val="00636969"/>
    <w:rsid w:val="006369C1"/>
    <w:rsid w:val="006369CA"/>
    <w:rsid w:val="00636A06"/>
    <w:rsid w:val="00636A1B"/>
    <w:rsid w:val="00636A41"/>
    <w:rsid w:val="00636A69"/>
    <w:rsid w:val="00636A83"/>
    <w:rsid w:val="00636A8C"/>
    <w:rsid w:val="00636ADC"/>
    <w:rsid w:val="00636B4F"/>
    <w:rsid w:val="00636B50"/>
    <w:rsid w:val="00636B54"/>
    <w:rsid w:val="00636B7E"/>
    <w:rsid w:val="00636B9E"/>
    <w:rsid w:val="00636BE9"/>
    <w:rsid w:val="00636BFF"/>
    <w:rsid w:val="00636C0F"/>
    <w:rsid w:val="00636C25"/>
    <w:rsid w:val="00636C78"/>
    <w:rsid w:val="00636CB1"/>
    <w:rsid w:val="00636CCF"/>
    <w:rsid w:val="00636DEB"/>
    <w:rsid w:val="00636DFC"/>
    <w:rsid w:val="00636E89"/>
    <w:rsid w:val="00636E9F"/>
    <w:rsid w:val="00636EAA"/>
    <w:rsid w:val="00636EC5"/>
    <w:rsid w:val="00636EE5"/>
    <w:rsid w:val="00636F03"/>
    <w:rsid w:val="00636F13"/>
    <w:rsid w:val="00636F4D"/>
    <w:rsid w:val="00636F87"/>
    <w:rsid w:val="00636FD5"/>
    <w:rsid w:val="00637045"/>
    <w:rsid w:val="00637059"/>
    <w:rsid w:val="00637126"/>
    <w:rsid w:val="0063714E"/>
    <w:rsid w:val="006371DF"/>
    <w:rsid w:val="006371F4"/>
    <w:rsid w:val="0063720B"/>
    <w:rsid w:val="0063724A"/>
    <w:rsid w:val="0063726A"/>
    <w:rsid w:val="00637294"/>
    <w:rsid w:val="006372AE"/>
    <w:rsid w:val="006372BB"/>
    <w:rsid w:val="006372FE"/>
    <w:rsid w:val="006373B2"/>
    <w:rsid w:val="00637410"/>
    <w:rsid w:val="00637413"/>
    <w:rsid w:val="0063742A"/>
    <w:rsid w:val="0063744A"/>
    <w:rsid w:val="00637504"/>
    <w:rsid w:val="00637559"/>
    <w:rsid w:val="006375B5"/>
    <w:rsid w:val="006375C9"/>
    <w:rsid w:val="006376A7"/>
    <w:rsid w:val="006376B5"/>
    <w:rsid w:val="006376ED"/>
    <w:rsid w:val="0063770F"/>
    <w:rsid w:val="0063776B"/>
    <w:rsid w:val="006377B3"/>
    <w:rsid w:val="006377E9"/>
    <w:rsid w:val="006377FD"/>
    <w:rsid w:val="00637876"/>
    <w:rsid w:val="006378B1"/>
    <w:rsid w:val="006378D3"/>
    <w:rsid w:val="00637919"/>
    <w:rsid w:val="006379E8"/>
    <w:rsid w:val="00637A08"/>
    <w:rsid w:val="00637AD5"/>
    <w:rsid w:val="00637AF9"/>
    <w:rsid w:val="00637B46"/>
    <w:rsid w:val="00637BF4"/>
    <w:rsid w:val="00637C66"/>
    <w:rsid w:val="00637D2D"/>
    <w:rsid w:val="00637D4C"/>
    <w:rsid w:val="00637DEB"/>
    <w:rsid w:val="00637E05"/>
    <w:rsid w:val="00637EAF"/>
    <w:rsid w:val="00637EEB"/>
    <w:rsid w:val="00637F01"/>
    <w:rsid w:val="00637F1B"/>
    <w:rsid w:val="00637F70"/>
    <w:rsid w:val="00637F81"/>
    <w:rsid w:val="00637FA1"/>
    <w:rsid w:val="00637FE7"/>
    <w:rsid w:val="00640064"/>
    <w:rsid w:val="006400E1"/>
    <w:rsid w:val="006400ED"/>
    <w:rsid w:val="00640159"/>
    <w:rsid w:val="00640190"/>
    <w:rsid w:val="006401EC"/>
    <w:rsid w:val="0064020B"/>
    <w:rsid w:val="0064023F"/>
    <w:rsid w:val="00640270"/>
    <w:rsid w:val="0064028D"/>
    <w:rsid w:val="006402A7"/>
    <w:rsid w:val="006402E6"/>
    <w:rsid w:val="0064033B"/>
    <w:rsid w:val="006403EC"/>
    <w:rsid w:val="006403F7"/>
    <w:rsid w:val="00640402"/>
    <w:rsid w:val="006404BF"/>
    <w:rsid w:val="006404CE"/>
    <w:rsid w:val="00640557"/>
    <w:rsid w:val="00640593"/>
    <w:rsid w:val="006405F7"/>
    <w:rsid w:val="0064060C"/>
    <w:rsid w:val="006406CB"/>
    <w:rsid w:val="006406EC"/>
    <w:rsid w:val="006407CD"/>
    <w:rsid w:val="006407F9"/>
    <w:rsid w:val="00640813"/>
    <w:rsid w:val="0064081C"/>
    <w:rsid w:val="00640834"/>
    <w:rsid w:val="006408E1"/>
    <w:rsid w:val="00640968"/>
    <w:rsid w:val="00640998"/>
    <w:rsid w:val="00640A32"/>
    <w:rsid w:val="00640A79"/>
    <w:rsid w:val="00640AAD"/>
    <w:rsid w:val="00640BD0"/>
    <w:rsid w:val="00640C4E"/>
    <w:rsid w:val="00640C55"/>
    <w:rsid w:val="00640C73"/>
    <w:rsid w:val="00640C96"/>
    <w:rsid w:val="00640CC0"/>
    <w:rsid w:val="00640D03"/>
    <w:rsid w:val="00640D0B"/>
    <w:rsid w:val="00640D0C"/>
    <w:rsid w:val="00640D97"/>
    <w:rsid w:val="00640DCF"/>
    <w:rsid w:val="00640DF1"/>
    <w:rsid w:val="00640E1E"/>
    <w:rsid w:val="00640E71"/>
    <w:rsid w:val="00640EFE"/>
    <w:rsid w:val="00640F1E"/>
    <w:rsid w:val="00640FA4"/>
    <w:rsid w:val="00640FA5"/>
    <w:rsid w:val="0064106E"/>
    <w:rsid w:val="0064111A"/>
    <w:rsid w:val="0064114C"/>
    <w:rsid w:val="00641155"/>
    <w:rsid w:val="0064115F"/>
    <w:rsid w:val="006411C8"/>
    <w:rsid w:val="006412E9"/>
    <w:rsid w:val="00641335"/>
    <w:rsid w:val="0064133B"/>
    <w:rsid w:val="006413B6"/>
    <w:rsid w:val="0064140E"/>
    <w:rsid w:val="00641489"/>
    <w:rsid w:val="00641510"/>
    <w:rsid w:val="00641528"/>
    <w:rsid w:val="0064157C"/>
    <w:rsid w:val="0064157D"/>
    <w:rsid w:val="006415B4"/>
    <w:rsid w:val="006415CB"/>
    <w:rsid w:val="006415DF"/>
    <w:rsid w:val="006415F1"/>
    <w:rsid w:val="00641628"/>
    <w:rsid w:val="0064162F"/>
    <w:rsid w:val="006416B9"/>
    <w:rsid w:val="006416FD"/>
    <w:rsid w:val="00641736"/>
    <w:rsid w:val="00641741"/>
    <w:rsid w:val="00641745"/>
    <w:rsid w:val="0064175E"/>
    <w:rsid w:val="006417A7"/>
    <w:rsid w:val="006417E9"/>
    <w:rsid w:val="00641832"/>
    <w:rsid w:val="0064187E"/>
    <w:rsid w:val="006418A4"/>
    <w:rsid w:val="006418F4"/>
    <w:rsid w:val="00641909"/>
    <w:rsid w:val="00641933"/>
    <w:rsid w:val="00641977"/>
    <w:rsid w:val="00641993"/>
    <w:rsid w:val="00641998"/>
    <w:rsid w:val="006419C1"/>
    <w:rsid w:val="006419DA"/>
    <w:rsid w:val="00641A4A"/>
    <w:rsid w:val="00641B22"/>
    <w:rsid w:val="00641B8A"/>
    <w:rsid w:val="00641BBC"/>
    <w:rsid w:val="00641BFF"/>
    <w:rsid w:val="00641C10"/>
    <w:rsid w:val="00641C53"/>
    <w:rsid w:val="00641D59"/>
    <w:rsid w:val="00641D6A"/>
    <w:rsid w:val="00641D71"/>
    <w:rsid w:val="00641D7C"/>
    <w:rsid w:val="00641D7D"/>
    <w:rsid w:val="00641E14"/>
    <w:rsid w:val="00641F09"/>
    <w:rsid w:val="00642055"/>
    <w:rsid w:val="00642070"/>
    <w:rsid w:val="006420AA"/>
    <w:rsid w:val="00642156"/>
    <w:rsid w:val="0064215D"/>
    <w:rsid w:val="0064219B"/>
    <w:rsid w:val="006421BB"/>
    <w:rsid w:val="006421C9"/>
    <w:rsid w:val="006421E1"/>
    <w:rsid w:val="0064220D"/>
    <w:rsid w:val="00642247"/>
    <w:rsid w:val="00642267"/>
    <w:rsid w:val="00642287"/>
    <w:rsid w:val="006422AD"/>
    <w:rsid w:val="006422CA"/>
    <w:rsid w:val="006422DB"/>
    <w:rsid w:val="0064234E"/>
    <w:rsid w:val="00642388"/>
    <w:rsid w:val="0064239F"/>
    <w:rsid w:val="006423CB"/>
    <w:rsid w:val="006424CF"/>
    <w:rsid w:val="006424E6"/>
    <w:rsid w:val="0064250C"/>
    <w:rsid w:val="00642520"/>
    <w:rsid w:val="0064259E"/>
    <w:rsid w:val="006425E6"/>
    <w:rsid w:val="006425F2"/>
    <w:rsid w:val="006425F8"/>
    <w:rsid w:val="00642608"/>
    <w:rsid w:val="0064263C"/>
    <w:rsid w:val="00642674"/>
    <w:rsid w:val="006426E1"/>
    <w:rsid w:val="006427EB"/>
    <w:rsid w:val="00642807"/>
    <w:rsid w:val="0064286E"/>
    <w:rsid w:val="00642891"/>
    <w:rsid w:val="006428C0"/>
    <w:rsid w:val="00642913"/>
    <w:rsid w:val="0064292F"/>
    <w:rsid w:val="006429A3"/>
    <w:rsid w:val="00642A16"/>
    <w:rsid w:val="00642A26"/>
    <w:rsid w:val="00642A4A"/>
    <w:rsid w:val="00642A92"/>
    <w:rsid w:val="00642B12"/>
    <w:rsid w:val="00642B21"/>
    <w:rsid w:val="00642B2E"/>
    <w:rsid w:val="00642B9C"/>
    <w:rsid w:val="00642BC1"/>
    <w:rsid w:val="00642BCA"/>
    <w:rsid w:val="00642C07"/>
    <w:rsid w:val="00642C18"/>
    <w:rsid w:val="00642C90"/>
    <w:rsid w:val="00642D15"/>
    <w:rsid w:val="00642D4D"/>
    <w:rsid w:val="00642DB2"/>
    <w:rsid w:val="00642DDA"/>
    <w:rsid w:val="00642DF9"/>
    <w:rsid w:val="00642E5E"/>
    <w:rsid w:val="00642E73"/>
    <w:rsid w:val="00642EA3"/>
    <w:rsid w:val="00642F88"/>
    <w:rsid w:val="00642FEB"/>
    <w:rsid w:val="00643031"/>
    <w:rsid w:val="0064305C"/>
    <w:rsid w:val="006430D3"/>
    <w:rsid w:val="006430E7"/>
    <w:rsid w:val="006430FF"/>
    <w:rsid w:val="0064312D"/>
    <w:rsid w:val="00643145"/>
    <w:rsid w:val="0064318F"/>
    <w:rsid w:val="006431C8"/>
    <w:rsid w:val="006431F3"/>
    <w:rsid w:val="00643205"/>
    <w:rsid w:val="00643229"/>
    <w:rsid w:val="00643296"/>
    <w:rsid w:val="006432F7"/>
    <w:rsid w:val="0064335A"/>
    <w:rsid w:val="0064340E"/>
    <w:rsid w:val="006434B2"/>
    <w:rsid w:val="00643529"/>
    <w:rsid w:val="0064353B"/>
    <w:rsid w:val="00643596"/>
    <w:rsid w:val="006435B9"/>
    <w:rsid w:val="006435EC"/>
    <w:rsid w:val="00643601"/>
    <w:rsid w:val="0064367C"/>
    <w:rsid w:val="0064371D"/>
    <w:rsid w:val="0064373D"/>
    <w:rsid w:val="0064378B"/>
    <w:rsid w:val="006437D1"/>
    <w:rsid w:val="006437E6"/>
    <w:rsid w:val="00643819"/>
    <w:rsid w:val="00643887"/>
    <w:rsid w:val="0064389B"/>
    <w:rsid w:val="006438B4"/>
    <w:rsid w:val="006438E9"/>
    <w:rsid w:val="0064391B"/>
    <w:rsid w:val="0064395C"/>
    <w:rsid w:val="00643977"/>
    <w:rsid w:val="00643984"/>
    <w:rsid w:val="006439F6"/>
    <w:rsid w:val="00643A08"/>
    <w:rsid w:val="00643A7A"/>
    <w:rsid w:val="00643B40"/>
    <w:rsid w:val="00643B90"/>
    <w:rsid w:val="00643BB0"/>
    <w:rsid w:val="00643C44"/>
    <w:rsid w:val="00643C54"/>
    <w:rsid w:val="00643C6D"/>
    <w:rsid w:val="00643D08"/>
    <w:rsid w:val="00643D1F"/>
    <w:rsid w:val="00643D2F"/>
    <w:rsid w:val="00643D59"/>
    <w:rsid w:val="00643DE3"/>
    <w:rsid w:val="00643E0D"/>
    <w:rsid w:val="00643E2B"/>
    <w:rsid w:val="00643EC9"/>
    <w:rsid w:val="00643EF7"/>
    <w:rsid w:val="00643F56"/>
    <w:rsid w:val="0064404B"/>
    <w:rsid w:val="00644059"/>
    <w:rsid w:val="0064411D"/>
    <w:rsid w:val="00644150"/>
    <w:rsid w:val="00644152"/>
    <w:rsid w:val="006441CC"/>
    <w:rsid w:val="006441F6"/>
    <w:rsid w:val="00644299"/>
    <w:rsid w:val="006442B8"/>
    <w:rsid w:val="006442C7"/>
    <w:rsid w:val="006442ED"/>
    <w:rsid w:val="006442FB"/>
    <w:rsid w:val="00644304"/>
    <w:rsid w:val="006443A3"/>
    <w:rsid w:val="006443B3"/>
    <w:rsid w:val="00644400"/>
    <w:rsid w:val="0064445F"/>
    <w:rsid w:val="00644478"/>
    <w:rsid w:val="006444F8"/>
    <w:rsid w:val="00644556"/>
    <w:rsid w:val="00644569"/>
    <w:rsid w:val="0064457C"/>
    <w:rsid w:val="006445D3"/>
    <w:rsid w:val="006445E5"/>
    <w:rsid w:val="006445F7"/>
    <w:rsid w:val="006446A2"/>
    <w:rsid w:val="0064476C"/>
    <w:rsid w:val="00644789"/>
    <w:rsid w:val="006447AD"/>
    <w:rsid w:val="006447BF"/>
    <w:rsid w:val="006447C2"/>
    <w:rsid w:val="006447CD"/>
    <w:rsid w:val="006447EC"/>
    <w:rsid w:val="00644806"/>
    <w:rsid w:val="0064485E"/>
    <w:rsid w:val="00644880"/>
    <w:rsid w:val="0064489E"/>
    <w:rsid w:val="00644976"/>
    <w:rsid w:val="006449AC"/>
    <w:rsid w:val="006449BE"/>
    <w:rsid w:val="006449DC"/>
    <w:rsid w:val="006449E5"/>
    <w:rsid w:val="006449F6"/>
    <w:rsid w:val="00644A01"/>
    <w:rsid w:val="00644A63"/>
    <w:rsid w:val="00644A7F"/>
    <w:rsid w:val="00644A94"/>
    <w:rsid w:val="00644AAB"/>
    <w:rsid w:val="00644AF7"/>
    <w:rsid w:val="00644B29"/>
    <w:rsid w:val="00644B41"/>
    <w:rsid w:val="00644B54"/>
    <w:rsid w:val="00644B56"/>
    <w:rsid w:val="00644BBF"/>
    <w:rsid w:val="00644BEA"/>
    <w:rsid w:val="00644BEE"/>
    <w:rsid w:val="00644C52"/>
    <w:rsid w:val="00644C97"/>
    <w:rsid w:val="00644CC8"/>
    <w:rsid w:val="00644CDA"/>
    <w:rsid w:val="00644D64"/>
    <w:rsid w:val="00644DB0"/>
    <w:rsid w:val="00644E0F"/>
    <w:rsid w:val="00644E1E"/>
    <w:rsid w:val="00644E29"/>
    <w:rsid w:val="00644E31"/>
    <w:rsid w:val="00644E6B"/>
    <w:rsid w:val="00644E8C"/>
    <w:rsid w:val="00644E96"/>
    <w:rsid w:val="00644EA8"/>
    <w:rsid w:val="00644EB4"/>
    <w:rsid w:val="00644EF5"/>
    <w:rsid w:val="00644F64"/>
    <w:rsid w:val="00644F91"/>
    <w:rsid w:val="00644FE8"/>
    <w:rsid w:val="006450CE"/>
    <w:rsid w:val="006450D5"/>
    <w:rsid w:val="00645127"/>
    <w:rsid w:val="00645144"/>
    <w:rsid w:val="0064518D"/>
    <w:rsid w:val="006451E4"/>
    <w:rsid w:val="00645224"/>
    <w:rsid w:val="006452B9"/>
    <w:rsid w:val="006452C6"/>
    <w:rsid w:val="006453CA"/>
    <w:rsid w:val="00645451"/>
    <w:rsid w:val="006454B5"/>
    <w:rsid w:val="006454BD"/>
    <w:rsid w:val="00645535"/>
    <w:rsid w:val="00645586"/>
    <w:rsid w:val="006455C5"/>
    <w:rsid w:val="006455FC"/>
    <w:rsid w:val="00645630"/>
    <w:rsid w:val="00645684"/>
    <w:rsid w:val="0064568C"/>
    <w:rsid w:val="0064569A"/>
    <w:rsid w:val="0064571C"/>
    <w:rsid w:val="0064573A"/>
    <w:rsid w:val="0064577D"/>
    <w:rsid w:val="0064578C"/>
    <w:rsid w:val="006457BA"/>
    <w:rsid w:val="006457E7"/>
    <w:rsid w:val="00645817"/>
    <w:rsid w:val="006458A5"/>
    <w:rsid w:val="00645901"/>
    <w:rsid w:val="00645911"/>
    <w:rsid w:val="00645915"/>
    <w:rsid w:val="0064593A"/>
    <w:rsid w:val="00645955"/>
    <w:rsid w:val="0064596D"/>
    <w:rsid w:val="00645985"/>
    <w:rsid w:val="006459FA"/>
    <w:rsid w:val="00645A19"/>
    <w:rsid w:val="00645A1E"/>
    <w:rsid w:val="00645A26"/>
    <w:rsid w:val="00645A5E"/>
    <w:rsid w:val="00645AE4"/>
    <w:rsid w:val="00645B2A"/>
    <w:rsid w:val="00645BC7"/>
    <w:rsid w:val="00645BDE"/>
    <w:rsid w:val="00645BE8"/>
    <w:rsid w:val="00645CCE"/>
    <w:rsid w:val="00645CE0"/>
    <w:rsid w:val="00645D64"/>
    <w:rsid w:val="00645D8E"/>
    <w:rsid w:val="00645DAF"/>
    <w:rsid w:val="00645E23"/>
    <w:rsid w:val="00645E35"/>
    <w:rsid w:val="00645E65"/>
    <w:rsid w:val="00645F0E"/>
    <w:rsid w:val="00645F74"/>
    <w:rsid w:val="00645F94"/>
    <w:rsid w:val="00645F97"/>
    <w:rsid w:val="00645FEF"/>
    <w:rsid w:val="00646014"/>
    <w:rsid w:val="00646019"/>
    <w:rsid w:val="00646037"/>
    <w:rsid w:val="00646107"/>
    <w:rsid w:val="00646152"/>
    <w:rsid w:val="00646195"/>
    <w:rsid w:val="00646214"/>
    <w:rsid w:val="0064624F"/>
    <w:rsid w:val="0064628F"/>
    <w:rsid w:val="00646345"/>
    <w:rsid w:val="006463D5"/>
    <w:rsid w:val="006463EF"/>
    <w:rsid w:val="0064642D"/>
    <w:rsid w:val="00646451"/>
    <w:rsid w:val="0064645B"/>
    <w:rsid w:val="006464BE"/>
    <w:rsid w:val="006464EF"/>
    <w:rsid w:val="00646533"/>
    <w:rsid w:val="00646553"/>
    <w:rsid w:val="0064657D"/>
    <w:rsid w:val="006465D8"/>
    <w:rsid w:val="00646620"/>
    <w:rsid w:val="00646668"/>
    <w:rsid w:val="006466D6"/>
    <w:rsid w:val="0064670F"/>
    <w:rsid w:val="0064671C"/>
    <w:rsid w:val="006467EB"/>
    <w:rsid w:val="00646819"/>
    <w:rsid w:val="0064685B"/>
    <w:rsid w:val="006468CC"/>
    <w:rsid w:val="006468E8"/>
    <w:rsid w:val="00646906"/>
    <w:rsid w:val="00646956"/>
    <w:rsid w:val="00646970"/>
    <w:rsid w:val="00646AA8"/>
    <w:rsid w:val="00646B2F"/>
    <w:rsid w:val="00646B3E"/>
    <w:rsid w:val="00646B8E"/>
    <w:rsid w:val="00646BE1"/>
    <w:rsid w:val="00646BFA"/>
    <w:rsid w:val="00646C24"/>
    <w:rsid w:val="00646C55"/>
    <w:rsid w:val="00646C7A"/>
    <w:rsid w:val="00646CC0"/>
    <w:rsid w:val="00646CF8"/>
    <w:rsid w:val="00646D6A"/>
    <w:rsid w:val="00646DA6"/>
    <w:rsid w:val="00646DE0"/>
    <w:rsid w:val="00646DE2"/>
    <w:rsid w:val="00646DE9"/>
    <w:rsid w:val="00646E1A"/>
    <w:rsid w:val="00646FA5"/>
    <w:rsid w:val="00646FC8"/>
    <w:rsid w:val="00646FE8"/>
    <w:rsid w:val="00647066"/>
    <w:rsid w:val="00647089"/>
    <w:rsid w:val="0064712F"/>
    <w:rsid w:val="00647183"/>
    <w:rsid w:val="0064725A"/>
    <w:rsid w:val="006472CC"/>
    <w:rsid w:val="00647347"/>
    <w:rsid w:val="0064737B"/>
    <w:rsid w:val="006473A1"/>
    <w:rsid w:val="00647417"/>
    <w:rsid w:val="0064741A"/>
    <w:rsid w:val="00647429"/>
    <w:rsid w:val="0064746E"/>
    <w:rsid w:val="006474D2"/>
    <w:rsid w:val="006474DA"/>
    <w:rsid w:val="0064750B"/>
    <w:rsid w:val="00647520"/>
    <w:rsid w:val="00647527"/>
    <w:rsid w:val="0064759A"/>
    <w:rsid w:val="006475C1"/>
    <w:rsid w:val="00647646"/>
    <w:rsid w:val="006476D8"/>
    <w:rsid w:val="006476ED"/>
    <w:rsid w:val="00647728"/>
    <w:rsid w:val="0064772E"/>
    <w:rsid w:val="006477BC"/>
    <w:rsid w:val="006477DA"/>
    <w:rsid w:val="00647816"/>
    <w:rsid w:val="0064787E"/>
    <w:rsid w:val="006478C4"/>
    <w:rsid w:val="006478F2"/>
    <w:rsid w:val="0064797D"/>
    <w:rsid w:val="00647992"/>
    <w:rsid w:val="00647994"/>
    <w:rsid w:val="006479F9"/>
    <w:rsid w:val="00647A13"/>
    <w:rsid w:val="00647A23"/>
    <w:rsid w:val="00647A67"/>
    <w:rsid w:val="00647AE9"/>
    <w:rsid w:val="00647B0E"/>
    <w:rsid w:val="00647B21"/>
    <w:rsid w:val="00647B2B"/>
    <w:rsid w:val="00647B43"/>
    <w:rsid w:val="00647B7B"/>
    <w:rsid w:val="00647BB8"/>
    <w:rsid w:val="00647BDB"/>
    <w:rsid w:val="00647C75"/>
    <w:rsid w:val="00647C80"/>
    <w:rsid w:val="00647CB9"/>
    <w:rsid w:val="00647CE0"/>
    <w:rsid w:val="00647D37"/>
    <w:rsid w:val="00647D85"/>
    <w:rsid w:val="00647DA1"/>
    <w:rsid w:val="00647DB3"/>
    <w:rsid w:val="00647DBD"/>
    <w:rsid w:val="00647DDA"/>
    <w:rsid w:val="00647E65"/>
    <w:rsid w:val="00647E73"/>
    <w:rsid w:val="00647E7E"/>
    <w:rsid w:val="00647EEE"/>
    <w:rsid w:val="00647FC7"/>
    <w:rsid w:val="0065004B"/>
    <w:rsid w:val="00650078"/>
    <w:rsid w:val="0065007A"/>
    <w:rsid w:val="00650081"/>
    <w:rsid w:val="006500B4"/>
    <w:rsid w:val="006500C7"/>
    <w:rsid w:val="006500D5"/>
    <w:rsid w:val="00650113"/>
    <w:rsid w:val="00650144"/>
    <w:rsid w:val="00650158"/>
    <w:rsid w:val="0065019D"/>
    <w:rsid w:val="006501EC"/>
    <w:rsid w:val="00650227"/>
    <w:rsid w:val="0065022F"/>
    <w:rsid w:val="00650239"/>
    <w:rsid w:val="006502A2"/>
    <w:rsid w:val="006502CB"/>
    <w:rsid w:val="006502D3"/>
    <w:rsid w:val="006503E3"/>
    <w:rsid w:val="0065048A"/>
    <w:rsid w:val="006504CE"/>
    <w:rsid w:val="006504E7"/>
    <w:rsid w:val="006504E8"/>
    <w:rsid w:val="00650552"/>
    <w:rsid w:val="006505AD"/>
    <w:rsid w:val="00650670"/>
    <w:rsid w:val="006506A9"/>
    <w:rsid w:val="006506C4"/>
    <w:rsid w:val="006506C9"/>
    <w:rsid w:val="0065078A"/>
    <w:rsid w:val="00650818"/>
    <w:rsid w:val="00650836"/>
    <w:rsid w:val="0065085F"/>
    <w:rsid w:val="0065088A"/>
    <w:rsid w:val="00650978"/>
    <w:rsid w:val="00650999"/>
    <w:rsid w:val="006509B2"/>
    <w:rsid w:val="006509DE"/>
    <w:rsid w:val="006509EB"/>
    <w:rsid w:val="00650A19"/>
    <w:rsid w:val="00650A60"/>
    <w:rsid w:val="00650A66"/>
    <w:rsid w:val="00650A6F"/>
    <w:rsid w:val="00650A7D"/>
    <w:rsid w:val="00650AED"/>
    <w:rsid w:val="00650B61"/>
    <w:rsid w:val="00650B95"/>
    <w:rsid w:val="00650BA8"/>
    <w:rsid w:val="00650C76"/>
    <w:rsid w:val="00650C8D"/>
    <w:rsid w:val="00650C99"/>
    <w:rsid w:val="00650D07"/>
    <w:rsid w:val="00650D30"/>
    <w:rsid w:val="00650DC8"/>
    <w:rsid w:val="00650DCC"/>
    <w:rsid w:val="00650DEF"/>
    <w:rsid w:val="00650DFA"/>
    <w:rsid w:val="00650E0C"/>
    <w:rsid w:val="00650ED5"/>
    <w:rsid w:val="00650F2A"/>
    <w:rsid w:val="00650F86"/>
    <w:rsid w:val="00650FCA"/>
    <w:rsid w:val="0065116B"/>
    <w:rsid w:val="006511B1"/>
    <w:rsid w:val="00651246"/>
    <w:rsid w:val="0065126F"/>
    <w:rsid w:val="006512BD"/>
    <w:rsid w:val="006512D2"/>
    <w:rsid w:val="006512D8"/>
    <w:rsid w:val="006512F8"/>
    <w:rsid w:val="0065133E"/>
    <w:rsid w:val="00651367"/>
    <w:rsid w:val="00651372"/>
    <w:rsid w:val="006513D0"/>
    <w:rsid w:val="00651406"/>
    <w:rsid w:val="0065141F"/>
    <w:rsid w:val="0065146C"/>
    <w:rsid w:val="0065148B"/>
    <w:rsid w:val="006514CC"/>
    <w:rsid w:val="006514E2"/>
    <w:rsid w:val="006514EC"/>
    <w:rsid w:val="0065152E"/>
    <w:rsid w:val="0065153F"/>
    <w:rsid w:val="00651541"/>
    <w:rsid w:val="00651552"/>
    <w:rsid w:val="0065160A"/>
    <w:rsid w:val="00651624"/>
    <w:rsid w:val="00651652"/>
    <w:rsid w:val="00651691"/>
    <w:rsid w:val="006516F1"/>
    <w:rsid w:val="00651704"/>
    <w:rsid w:val="00651706"/>
    <w:rsid w:val="00651776"/>
    <w:rsid w:val="006517D7"/>
    <w:rsid w:val="00651811"/>
    <w:rsid w:val="0065183D"/>
    <w:rsid w:val="006518A9"/>
    <w:rsid w:val="006518C9"/>
    <w:rsid w:val="006518EA"/>
    <w:rsid w:val="006518ED"/>
    <w:rsid w:val="00651945"/>
    <w:rsid w:val="00651951"/>
    <w:rsid w:val="0065195E"/>
    <w:rsid w:val="0065196D"/>
    <w:rsid w:val="00651A14"/>
    <w:rsid w:val="00651A34"/>
    <w:rsid w:val="00651A48"/>
    <w:rsid w:val="00651A9A"/>
    <w:rsid w:val="00651ACC"/>
    <w:rsid w:val="00651AED"/>
    <w:rsid w:val="00651B16"/>
    <w:rsid w:val="00651BF2"/>
    <w:rsid w:val="00651C07"/>
    <w:rsid w:val="00651C81"/>
    <w:rsid w:val="00651D38"/>
    <w:rsid w:val="00651DA8"/>
    <w:rsid w:val="00651E1B"/>
    <w:rsid w:val="00651E36"/>
    <w:rsid w:val="00651E49"/>
    <w:rsid w:val="00651EA3"/>
    <w:rsid w:val="00651EAC"/>
    <w:rsid w:val="00651EB5"/>
    <w:rsid w:val="00651F15"/>
    <w:rsid w:val="00651F1D"/>
    <w:rsid w:val="00651F2D"/>
    <w:rsid w:val="00651F49"/>
    <w:rsid w:val="00651F5B"/>
    <w:rsid w:val="00651F6C"/>
    <w:rsid w:val="0065201D"/>
    <w:rsid w:val="00652029"/>
    <w:rsid w:val="006520D1"/>
    <w:rsid w:val="006520E8"/>
    <w:rsid w:val="006520F9"/>
    <w:rsid w:val="00652119"/>
    <w:rsid w:val="006521A9"/>
    <w:rsid w:val="006521AF"/>
    <w:rsid w:val="006521B7"/>
    <w:rsid w:val="006521BA"/>
    <w:rsid w:val="006521E9"/>
    <w:rsid w:val="0065221D"/>
    <w:rsid w:val="00652279"/>
    <w:rsid w:val="0065229E"/>
    <w:rsid w:val="006522A9"/>
    <w:rsid w:val="006522DA"/>
    <w:rsid w:val="006522E2"/>
    <w:rsid w:val="006522EF"/>
    <w:rsid w:val="00652335"/>
    <w:rsid w:val="0065233D"/>
    <w:rsid w:val="0065237C"/>
    <w:rsid w:val="00652390"/>
    <w:rsid w:val="006523D8"/>
    <w:rsid w:val="006523E4"/>
    <w:rsid w:val="00652401"/>
    <w:rsid w:val="00652445"/>
    <w:rsid w:val="0065248F"/>
    <w:rsid w:val="006524B2"/>
    <w:rsid w:val="006525A9"/>
    <w:rsid w:val="00652610"/>
    <w:rsid w:val="00652672"/>
    <w:rsid w:val="006526E2"/>
    <w:rsid w:val="006526E6"/>
    <w:rsid w:val="006526EA"/>
    <w:rsid w:val="006527D9"/>
    <w:rsid w:val="00652896"/>
    <w:rsid w:val="0065289C"/>
    <w:rsid w:val="0065290C"/>
    <w:rsid w:val="00652A08"/>
    <w:rsid w:val="00652A61"/>
    <w:rsid w:val="00652B3B"/>
    <w:rsid w:val="00652BE2"/>
    <w:rsid w:val="00652C55"/>
    <w:rsid w:val="00652CF6"/>
    <w:rsid w:val="00652D44"/>
    <w:rsid w:val="00652DC4"/>
    <w:rsid w:val="00652E28"/>
    <w:rsid w:val="00652E7C"/>
    <w:rsid w:val="00652E9B"/>
    <w:rsid w:val="00652EF1"/>
    <w:rsid w:val="00652EFA"/>
    <w:rsid w:val="00652F04"/>
    <w:rsid w:val="00652F1B"/>
    <w:rsid w:val="00653016"/>
    <w:rsid w:val="00653080"/>
    <w:rsid w:val="0065310D"/>
    <w:rsid w:val="0065318D"/>
    <w:rsid w:val="006531BB"/>
    <w:rsid w:val="00653278"/>
    <w:rsid w:val="0065329E"/>
    <w:rsid w:val="0065332D"/>
    <w:rsid w:val="00653341"/>
    <w:rsid w:val="0065337D"/>
    <w:rsid w:val="0065339D"/>
    <w:rsid w:val="006533B5"/>
    <w:rsid w:val="006533CE"/>
    <w:rsid w:val="006533F4"/>
    <w:rsid w:val="00653482"/>
    <w:rsid w:val="006534B1"/>
    <w:rsid w:val="006534FF"/>
    <w:rsid w:val="00653500"/>
    <w:rsid w:val="00653519"/>
    <w:rsid w:val="00653559"/>
    <w:rsid w:val="00653659"/>
    <w:rsid w:val="006536BB"/>
    <w:rsid w:val="0065376C"/>
    <w:rsid w:val="006537A9"/>
    <w:rsid w:val="006538A1"/>
    <w:rsid w:val="006538F6"/>
    <w:rsid w:val="00653909"/>
    <w:rsid w:val="00653927"/>
    <w:rsid w:val="006539D2"/>
    <w:rsid w:val="00653BE4"/>
    <w:rsid w:val="00653BFA"/>
    <w:rsid w:val="00653CAD"/>
    <w:rsid w:val="00653CF8"/>
    <w:rsid w:val="00653D2F"/>
    <w:rsid w:val="00653D36"/>
    <w:rsid w:val="00653D50"/>
    <w:rsid w:val="00653DA7"/>
    <w:rsid w:val="00653E40"/>
    <w:rsid w:val="00653E56"/>
    <w:rsid w:val="00653F2C"/>
    <w:rsid w:val="00653F54"/>
    <w:rsid w:val="00653F89"/>
    <w:rsid w:val="00653F9C"/>
    <w:rsid w:val="00653FCD"/>
    <w:rsid w:val="00653FD9"/>
    <w:rsid w:val="00654022"/>
    <w:rsid w:val="00654078"/>
    <w:rsid w:val="00654116"/>
    <w:rsid w:val="00654150"/>
    <w:rsid w:val="0065416A"/>
    <w:rsid w:val="0065417C"/>
    <w:rsid w:val="006541F6"/>
    <w:rsid w:val="00654247"/>
    <w:rsid w:val="00654268"/>
    <w:rsid w:val="00654272"/>
    <w:rsid w:val="0065427D"/>
    <w:rsid w:val="006542CE"/>
    <w:rsid w:val="00654327"/>
    <w:rsid w:val="0065434F"/>
    <w:rsid w:val="00654377"/>
    <w:rsid w:val="006543B2"/>
    <w:rsid w:val="006543DD"/>
    <w:rsid w:val="00654443"/>
    <w:rsid w:val="00654469"/>
    <w:rsid w:val="006544A6"/>
    <w:rsid w:val="006544B7"/>
    <w:rsid w:val="006544D2"/>
    <w:rsid w:val="006544D9"/>
    <w:rsid w:val="006544DB"/>
    <w:rsid w:val="006544FB"/>
    <w:rsid w:val="00654512"/>
    <w:rsid w:val="0065452C"/>
    <w:rsid w:val="00654552"/>
    <w:rsid w:val="00654594"/>
    <w:rsid w:val="00654605"/>
    <w:rsid w:val="00654607"/>
    <w:rsid w:val="00654663"/>
    <w:rsid w:val="00654672"/>
    <w:rsid w:val="00654673"/>
    <w:rsid w:val="00654685"/>
    <w:rsid w:val="006546A3"/>
    <w:rsid w:val="006546C8"/>
    <w:rsid w:val="006546CF"/>
    <w:rsid w:val="00654728"/>
    <w:rsid w:val="0065475C"/>
    <w:rsid w:val="0065475F"/>
    <w:rsid w:val="006547F3"/>
    <w:rsid w:val="00654858"/>
    <w:rsid w:val="0065485E"/>
    <w:rsid w:val="0065485F"/>
    <w:rsid w:val="0065486A"/>
    <w:rsid w:val="006548D3"/>
    <w:rsid w:val="00654938"/>
    <w:rsid w:val="0065494D"/>
    <w:rsid w:val="00654963"/>
    <w:rsid w:val="0065496A"/>
    <w:rsid w:val="0065499F"/>
    <w:rsid w:val="00654A31"/>
    <w:rsid w:val="00654A89"/>
    <w:rsid w:val="00654AA0"/>
    <w:rsid w:val="00654AA1"/>
    <w:rsid w:val="00654AA5"/>
    <w:rsid w:val="00654AF0"/>
    <w:rsid w:val="00654B51"/>
    <w:rsid w:val="00654B6E"/>
    <w:rsid w:val="00654B96"/>
    <w:rsid w:val="00654BDB"/>
    <w:rsid w:val="00654BFB"/>
    <w:rsid w:val="00654C1A"/>
    <w:rsid w:val="00654C1E"/>
    <w:rsid w:val="00654CA6"/>
    <w:rsid w:val="00654CFA"/>
    <w:rsid w:val="00654D60"/>
    <w:rsid w:val="00654D65"/>
    <w:rsid w:val="00654D8C"/>
    <w:rsid w:val="00654D97"/>
    <w:rsid w:val="00654DCF"/>
    <w:rsid w:val="00654DE1"/>
    <w:rsid w:val="00654E22"/>
    <w:rsid w:val="00654E27"/>
    <w:rsid w:val="00654F4A"/>
    <w:rsid w:val="00654F62"/>
    <w:rsid w:val="00654F7F"/>
    <w:rsid w:val="00654FF3"/>
    <w:rsid w:val="00655034"/>
    <w:rsid w:val="006550B3"/>
    <w:rsid w:val="006550CA"/>
    <w:rsid w:val="006550FD"/>
    <w:rsid w:val="00655227"/>
    <w:rsid w:val="00655241"/>
    <w:rsid w:val="00655251"/>
    <w:rsid w:val="00655255"/>
    <w:rsid w:val="0065525A"/>
    <w:rsid w:val="00655286"/>
    <w:rsid w:val="006552C5"/>
    <w:rsid w:val="00655320"/>
    <w:rsid w:val="00655345"/>
    <w:rsid w:val="00655359"/>
    <w:rsid w:val="00655364"/>
    <w:rsid w:val="0065537A"/>
    <w:rsid w:val="00655386"/>
    <w:rsid w:val="0065545E"/>
    <w:rsid w:val="006554E1"/>
    <w:rsid w:val="006555B3"/>
    <w:rsid w:val="006555D8"/>
    <w:rsid w:val="006556B1"/>
    <w:rsid w:val="00655823"/>
    <w:rsid w:val="00655858"/>
    <w:rsid w:val="00655918"/>
    <w:rsid w:val="00655952"/>
    <w:rsid w:val="0065595A"/>
    <w:rsid w:val="00655A0B"/>
    <w:rsid w:val="00655A5C"/>
    <w:rsid w:val="00655A72"/>
    <w:rsid w:val="00655A7C"/>
    <w:rsid w:val="00655AA6"/>
    <w:rsid w:val="00655B14"/>
    <w:rsid w:val="00655B37"/>
    <w:rsid w:val="00655BE8"/>
    <w:rsid w:val="00655CD1"/>
    <w:rsid w:val="00655CDF"/>
    <w:rsid w:val="00655CE5"/>
    <w:rsid w:val="00655D2C"/>
    <w:rsid w:val="00655D4D"/>
    <w:rsid w:val="00655DC5"/>
    <w:rsid w:val="00655DC9"/>
    <w:rsid w:val="00655E86"/>
    <w:rsid w:val="00655EB1"/>
    <w:rsid w:val="00655F17"/>
    <w:rsid w:val="00655F42"/>
    <w:rsid w:val="00655F51"/>
    <w:rsid w:val="00655F73"/>
    <w:rsid w:val="00655FB3"/>
    <w:rsid w:val="006560AF"/>
    <w:rsid w:val="006560B9"/>
    <w:rsid w:val="006560EE"/>
    <w:rsid w:val="00656103"/>
    <w:rsid w:val="0065610B"/>
    <w:rsid w:val="00656111"/>
    <w:rsid w:val="00656127"/>
    <w:rsid w:val="00656158"/>
    <w:rsid w:val="006561D1"/>
    <w:rsid w:val="006561DE"/>
    <w:rsid w:val="00656200"/>
    <w:rsid w:val="00656239"/>
    <w:rsid w:val="00656270"/>
    <w:rsid w:val="006562E5"/>
    <w:rsid w:val="006562FC"/>
    <w:rsid w:val="0065631A"/>
    <w:rsid w:val="0065633B"/>
    <w:rsid w:val="006563D4"/>
    <w:rsid w:val="00656412"/>
    <w:rsid w:val="00656414"/>
    <w:rsid w:val="00656469"/>
    <w:rsid w:val="00656495"/>
    <w:rsid w:val="006564CB"/>
    <w:rsid w:val="00656519"/>
    <w:rsid w:val="00656526"/>
    <w:rsid w:val="006565B9"/>
    <w:rsid w:val="006565C8"/>
    <w:rsid w:val="006565FD"/>
    <w:rsid w:val="00656608"/>
    <w:rsid w:val="00656635"/>
    <w:rsid w:val="00656644"/>
    <w:rsid w:val="00656696"/>
    <w:rsid w:val="00656698"/>
    <w:rsid w:val="006566A0"/>
    <w:rsid w:val="006566EB"/>
    <w:rsid w:val="0065671B"/>
    <w:rsid w:val="006567D0"/>
    <w:rsid w:val="00656808"/>
    <w:rsid w:val="00656810"/>
    <w:rsid w:val="00656823"/>
    <w:rsid w:val="0065683B"/>
    <w:rsid w:val="00656863"/>
    <w:rsid w:val="006568F7"/>
    <w:rsid w:val="00656973"/>
    <w:rsid w:val="006569E5"/>
    <w:rsid w:val="00656A3A"/>
    <w:rsid w:val="00656A90"/>
    <w:rsid w:val="00656AC8"/>
    <w:rsid w:val="00656AD4"/>
    <w:rsid w:val="00656ADA"/>
    <w:rsid w:val="00656B05"/>
    <w:rsid w:val="00656BB3"/>
    <w:rsid w:val="00656BB8"/>
    <w:rsid w:val="00656C48"/>
    <w:rsid w:val="00656C6B"/>
    <w:rsid w:val="00656C71"/>
    <w:rsid w:val="00656C91"/>
    <w:rsid w:val="00656D1C"/>
    <w:rsid w:val="00656D29"/>
    <w:rsid w:val="00656D5B"/>
    <w:rsid w:val="00656D83"/>
    <w:rsid w:val="00656D94"/>
    <w:rsid w:val="00656DBA"/>
    <w:rsid w:val="00656ED5"/>
    <w:rsid w:val="00656F54"/>
    <w:rsid w:val="00656FCD"/>
    <w:rsid w:val="00656FFF"/>
    <w:rsid w:val="0065701F"/>
    <w:rsid w:val="00657086"/>
    <w:rsid w:val="006570A6"/>
    <w:rsid w:val="00657255"/>
    <w:rsid w:val="00657266"/>
    <w:rsid w:val="00657299"/>
    <w:rsid w:val="006572EC"/>
    <w:rsid w:val="00657324"/>
    <w:rsid w:val="0065732D"/>
    <w:rsid w:val="0065734C"/>
    <w:rsid w:val="00657352"/>
    <w:rsid w:val="006573B6"/>
    <w:rsid w:val="006573C8"/>
    <w:rsid w:val="0065743B"/>
    <w:rsid w:val="0065746A"/>
    <w:rsid w:val="0065749A"/>
    <w:rsid w:val="006574DC"/>
    <w:rsid w:val="006574FD"/>
    <w:rsid w:val="00657525"/>
    <w:rsid w:val="0065754D"/>
    <w:rsid w:val="00657599"/>
    <w:rsid w:val="006575C5"/>
    <w:rsid w:val="006575E0"/>
    <w:rsid w:val="0065761C"/>
    <w:rsid w:val="00657660"/>
    <w:rsid w:val="00657692"/>
    <w:rsid w:val="00657698"/>
    <w:rsid w:val="00657735"/>
    <w:rsid w:val="00657763"/>
    <w:rsid w:val="00657786"/>
    <w:rsid w:val="006577C7"/>
    <w:rsid w:val="006577F0"/>
    <w:rsid w:val="006577F6"/>
    <w:rsid w:val="006577FA"/>
    <w:rsid w:val="00657817"/>
    <w:rsid w:val="00657882"/>
    <w:rsid w:val="00657896"/>
    <w:rsid w:val="006578E1"/>
    <w:rsid w:val="0065790D"/>
    <w:rsid w:val="0065791B"/>
    <w:rsid w:val="006579B9"/>
    <w:rsid w:val="00657A44"/>
    <w:rsid w:val="00657A75"/>
    <w:rsid w:val="00657B01"/>
    <w:rsid w:val="00657B2E"/>
    <w:rsid w:val="00657B3E"/>
    <w:rsid w:val="00657BED"/>
    <w:rsid w:val="00657BEF"/>
    <w:rsid w:val="00657C02"/>
    <w:rsid w:val="00657C32"/>
    <w:rsid w:val="00657C62"/>
    <w:rsid w:val="00657C88"/>
    <w:rsid w:val="00657D57"/>
    <w:rsid w:val="00657DF8"/>
    <w:rsid w:val="00657E21"/>
    <w:rsid w:val="00657E7D"/>
    <w:rsid w:val="00657F13"/>
    <w:rsid w:val="00657F35"/>
    <w:rsid w:val="00657F75"/>
    <w:rsid w:val="00657FF4"/>
    <w:rsid w:val="00660184"/>
    <w:rsid w:val="00660189"/>
    <w:rsid w:val="006601AF"/>
    <w:rsid w:val="006601D8"/>
    <w:rsid w:val="00660226"/>
    <w:rsid w:val="0066028B"/>
    <w:rsid w:val="006602D5"/>
    <w:rsid w:val="00660430"/>
    <w:rsid w:val="0066048A"/>
    <w:rsid w:val="006605AC"/>
    <w:rsid w:val="006605B6"/>
    <w:rsid w:val="006605F3"/>
    <w:rsid w:val="00660618"/>
    <w:rsid w:val="00660631"/>
    <w:rsid w:val="00660640"/>
    <w:rsid w:val="006606A5"/>
    <w:rsid w:val="006606B8"/>
    <w:rsid w:val="006606D3"/>
    <w:rsid w:val="0066074B"/>
    <w:rsid w:val="00660761"/>
    <w:rsid w:val="0066078E"/>
    <w:rsid w:val="006607B9"/>
    <w:rsid w:val="00660853"/>
    <w:rsid w:val="0066088D"/>
    <w:rsid w:val="006608C9"/>
    <w:rsid w:val="006608D1"/>
    <w:rsid w:val="006608E6"/>
    <w:rsid w:val="00660901"/>
    <w:rsid w:val="0066099B"/>
    <w:rsid w:val="006609AD"/>
    <w:rsid w:val="006609C9"/>
    <w:rsid w:val="006609D2"/>
    <w:rsid w:val="00660A24"/>
    <w:rsid w:val="00660B16"/>
    <w:rsid w:val="00660B72"/>
    <w:rsid w:val="00660B92"/>
    <w:rsid w:val="00660B95"/>
    <w:rsid w:val="00660BA9"/>
    <w:rsid w:val="00660BBD"/>
    <w:rsid w:val="00660BC5"/>
    <w:rsid w:val="00660D37"/>
    <w:rsid w:val="00660D46"/>
    <w:rsid w:val="00660D52"/>
    <w:rsid w:val="00660D6F"/>
    <w:rsid w:val="00660D7C"/>
    <w:rsid w:val="00660D86"/>
    <w:rsid w:val="00660D8B"/>
    <w:rsid w:val="00660DBF"/>
    <w:rsid w:val="00660DCF"/>
    <w:rsid w:val="00660DE7"/>
    <w:rsid w:val="00660E3B"/>
    <w:rsid w:val="00660E42"/>
    <w:rsid w:val="00660E5A"/>
    <w:rsid w:val="00660EE3"/>
    <w:rsid w:val="00660EF7"/>
    <w:rsid w:val="00660F63"/>
    <w:rsid w:val="00660F83"/>
    <w:rsid w:val="00660F9F"/>
    <w:rsid w:val="00660FB4"/>
    <w:rsid w:val="00660FEE"/>
    <w:rsid w:val="00661008"/>
    <w:rsid w:val="00661065"/>
    <w:rsid w:val="0066109A"/>
    <w:rsid w:val="00661111"/>
    <w:rsid w:val="0066116B"/>
    <w:rsid w:val="0066116D"/>
    <w:rsid w:val="00661188"/>
    <w:rsid w:val="006611B2"/>
    <w:rsid w:val="006611DF"/>
    <w:rsid w:val="00661226"/>
    <w:rsid w:val="0066129A"/>
    <w:rsid w:val="006612D8"/>
    <w:rsid w:val="00661321"/>
    <w:rsid w:val="00661379"/>
    <w:rsid w:val="00661383"/>
    <w:rsid w:val="006613E4"/>
    <w:rsid w:val="006613FC"/>
    <w:rsid w:val="0066143D"/>
    <w:rsid w:val="00661486"/>
    <w:rsid w:val="006614C1"/>
    <w:rsid w:val="006614DC"/>
    <w:rsid w:val="00661573"/>
    <w:rsid w:val="00661584"/>
    <w:rsid w:val="006615D7"/>
    <w:rsid w:val="0066160A"/>
    <w:rsid w:val="0066161D"/>
    <w:rsid w:val="00661663"/>
    <w:rsid w:val="0066167A"/>
    <w:rsid w:val="006616C5"/>
    <w:rsid w:val="006616C7"/>
    <w:rsid w:val="0066177E"/>
    <w:rsid w:val="006617A4"/>
    <w:rsid w:val="006617E2"/>
    <w:rsid w:val="0066181D"/>
    <w:rsid w:val="00661861"/>
    <w:rsid w:val="00661864"/>
    <w:rsid w:val="00661867"/>
    <w:rsid w:val="00661905"/>
    <w:rsid w:val="00661957"/>
    <w:rsid w:val="00661984"/>
    <w:rsid w:val="006619AC"/>
    <w:rsid w:val="006619E4"/>
    <w:rsid w:val="00661A50"/>
    <w:rsid w:val="00661ACF"/>
    <w:rsid w:val="00661B56"/>
    <w:rsid w:val="00661C4A"/>
    <w:rsid w:val="00661D07"/>
    <w:rsid w:val="00661D0A"/>
    <w:rsid w:val="00661D32"/>
    <w:rsid w:val="00661D38"/>
    <w:rsid w:val="00661DD2"/>
    <w:rsid w:val="00661E19"/>
    <w:rsid w:val="00661EFD"/>
    <w:rsid w:val="00661EFF"/>
    <w:rsid w:val="00661F43"/>
    <w:rsid w:val="00661FD3"/>
    <w:rsid w:val="00662034"/>
    <w:rsid w:val="00662040"/>
    <w:rsid w:val="0066209C"/>
    <w:rsid w:val="0066209F"/>
    <w:rsid w:val="006620F4"/>
    <w:rsid w:val="0066212E"/>
    <w:rsid w:val="0066213D"/>
    <w:rsid w:val="00662174"/>
    <w:rsid w:val="006621A1"/>
    <w:rsid w:val="00662235"/>
    <w:rsid w:val="0066224A"/>
    <w:rsid w:val="006622AD"/>
    <w:rsid w:val="006622E8"/>
    <w:rsid w:val="00662370"/>
    <w:rsid w:val="00662433"/>
    <w:rsid w:val="0066243A"/>
    <w:rsid w:val="00662460"/>
    <w:rsid w:val="00662470"/>
    <w:rsid w:val="0066252D"/>
    <w:rsid w:val="00662539"/>
    <w:rsid w:val="0066257D"/>
    <w:rsid w:val="006625B7"/>
    <w:rsid w:val="006625DB"/>
    <w:rsid w:val="006625F2"/>
    <w:rsid w:val="0066267D"/>
    <w:rsid w:val="006626CD"/>
    <w:rsid w:val="006626ED"/>
    <w:rsid w:val="0066275A"/>
    <w:rsid w:val="00662764"/>
    <w:rsid w:val="00662790"/>
    <w:rsid w:val="006627B5"/>
    <w:rsid w:val="006627FA"/>
    <w:rsid w:val="006627FC"/>
    <w:rsid w:val="00662852"/>
    <w:rsid w:val="00662916"/>
    <w:rsid w:val="00662970"/>
    <w:rsid w:val="006629DD"/>
    <w:rsid w:val="00662A1F"/>
    <w:rsid w:val="00662BD1"/>
    <w:rsid w:val="00662CB3"/>
    <w:rsid w:val="00662CCB"/>
    <w:rsid w:val="00662CD4"/>
    <w:rsid w:val="00662CFF"/>
    <w:rsid w:val="00662D13"/>
    <w:rsid w:val="00662D5A"/>
    <w:rsid w:val="00662DA8"/>
    <w:rsid w:val="00662DEA"/>
    <w:rsid w:val="00662E11"/>
    <w:rsid w:val="00662EA0"/>
    <w:rsid w:val="00662EAF"/>
    <w:rsid w:val="00662F16"/>
    <w:rsid w:val="00662F25"/>
    <w:rsid w:val="00662F28"/>
    <w:rsid w:val="00662F29"/>
    <w:rsid w:val="00662F42"/>
    <w:rsid w:val="00662F6D"/>
    <w:rsid w:val="00662F94"/>
    <w:rsid w:val="0066302E"/>
    <w:rsid w:val="00663064"/>
    <w:rsid w:val="006630CC"/>
    <w:rsid w:val="006630FA"/>
    <w:rsid w:val="00663121"/>
    <w:rsid w:val="00663128"/>
    <w:rsid w:val="0066317E"/>
    <w:rsid w:val="00663226"/>
    <w:rsid w:val="0066323B"/>
    <w:rsid w:val="0066323F"/>
    <w:rsid w:val="00663325"/>
    <w:rsid w:val="00663354"/>
    <w:rsid w:val="0066335F"/>
    <w:rsid w:val="006633C8"/>
    <w:rsid w:val="006633CE"/>
    <w:rsid w:val="00663422"/>
    <w:rsid w:val="00663460"/>
    <w:rsid w:val="00663471"/>
    <w:rsid w:val="006634E3"/>
    <w:rsid w:val="006634EC"/>
    <w:rsid w:val="00663517"/>
    <w:rsid w:val="00663525"/>
    <w:rsid w:val="00663564"/>
    <w:rsid w:val="006635A5"/>
    <w:rsid w:val="00663626"/>
    <w:rsid w:val="006636AF"/>
    <w:rsid w:val="006636FA"/>
    <w:rsid w:val="0066370C"/>
    <w:rsid w:val="006637B7"/>
    <w:rsid w:val="006637F8"/>
    <w:rsid w:val="00663825"/>
    <w:rsid w:val="00663850"/>
    <w:rsid w:val="0066387E"/>
    <w:rsid w:val="006638C5"/>
    <w:rsid w:val="006638DF"/>
    <w:rsid w:val="00663939"/>
    <w:rsid w:val="00663964"/>
    <w:rsid w:val="00663985"/>
    <w:rsid w:val="006639A5"/>
    <w:rsid w:val="006639DD"/>
    <w:rsid w:val="00663A10"/>
    <w:rsid w:val="00663A46"/>
    <w:rsid w:val="00663AA0"/>
    <w:rsid w:val="00663B61"/>
    <w:rsid w:val="00663B90"/>
    <w:rsid w:val="00663BC8"/>
    <w:rsid w:val="00663BF3"/>
    <w:rsid w:val="00663C06"/>
    <w:rsid w:val="00663C12"/>
    <w:rsid w:val="00663C3F"/>
    <w:rsid w:val="00663C4D"/>
    <w:rsid w:val="00663CBD"/>
    <w:rsid w:val="00663D20"/>
    <w:rsid w:val="00663D4F"/>
    <w:rsid w:val="00663D68"/>
    <w:rsid w:val="00663D9A"/>
    <w:rsid w:val="00663D9B"/>
    <w:rsid w:val="00663E7C"/>
    <w:rsid w:val="00663E7E"/>
    <w:rsid w:val="00663E8D"/>
    <w:rsid w:val="00663EB9"/>
    <w:rsid w:val="00663F6B"/>
    <w:rsid w:val="00663FBC"/>
    <w:rsid w:val="00663FC0"/>
    <w:rsid w:val="00663FEF"/>
    <w:rsid w:val="0066402D"/>
    <w:rsid w:val="0066407F"/>
    <w:rsid w:val="006640DC"/>
    <w:rsid w:val="006640FF"/>
    <w:rsid w:val="00664119"/>
    <w:rsid w:val="00664195"/>
    <w:rsid w:val="006641B1"/>
    <w:rsid w:val="00664205"/>
    <w:rsid w:val="0066423D"/>
    <w:rsid w:val="0066425F"/>
    <w:rsid w:val="0066429D"/>
    <w:rsid w:val="006642A2"/>
    <w:rsid w:val="006642C9"/>
    <w:rsid w:val="006642D7"/>
    <w:rsid w:val="006642F1"/>
    <w:rsid w:val="00664385"/>
    <w:rsid w:val="006643A5"/>
    <w:rsid w:val="006643DC"/>
    <w:rsid w:val="006643FB"/>
    <w:rsid w:val="00664401"/>
    <w:rsid w:val="00664407"/>
    <w:rsid w:val="00664447"/>
    <w:rsid w:val="0066446E"/>
    <w:rsid w:val="0066449E"/>
    <w:rsid w:val="006644D5"/>
    <w:rsid w:val="006644E9"/>
    <w:rsid w:val="00664598"/>
    <w:rsid w:val="006645B2"/>
    <w:rsid w:val="006645CE"/>
    <w:rsid w:val="006646CC"/>
    <w:rsid w:val="0066470E"/>
    <w:rsid w:val="0066471E"/>
    <w:rsid w:val="006647B4"/>
    <w:rsid w:val="006647F1"/>
    <w:rsid w:val="00664816"/>
    <w:rsid w:val="00664820"/>
    <w:rsid w:val="0066491A"/>
    <w:rsid w:val="00664973"/>
    <w:rsid w:val="00664979"/>
    <w:rsid w:val="0066497F"/>
    <w:rsid w:val="006649A1"/>
    <w:rsid w:val="006649A2"/>
    <w:rsid w:val="006649AA"/>
    <w:rsid w:val="00664A50"/>
    <w:rsid w:val="00664A8B"/>
    <w:rsid w:val="00664B16"/>
    <w:rsid w:val="00664B1A"/>
    <w:rsid w:val="00664B1B"/>
    <w:rsid w:val="00664B6C"/>
    <w:rsid w:val="00664BC4"/>
    <w:rsid w:val="00664BD5"/>
    <w:rsid w:val="00664C1A"/>
    <w:rsid w:val="00664C28"/>
    <w:rsid w:val="00664C63"/>
    <w:rsid w:val="00664C85"/>
    <w:rsid w:val="00664D52"/>
    <w:rsid w:val="00664D84"/>
    <w:rsid w:val="00664D97"/>
    <w:rsid w:val="00664DE3"/>
    <w:rsid w:val="00664DFB"/>
    <w:rsid w:val="00664DFF"/>
    <w:rsid w:val="00664E7F"/>
    <w:rsid w:val="00664ECA"/>
    <w:rsid w:val="00664F05"/>
    <w:rsid w:val="00664FA0"/>
    <w:rsid w:val="00664FD1"/>
    <w:rsid w:val="00665013"/>
    <w:rsid w:val="0066503F"/>
    <w:rsid w:val="006650BB"/>
    <w:rsid w:val="00665127"/>
    <w:rsid w:val="0066521F"/>
    <w:rsid w:val="00665229"/>
    <w:rsid w:val="0066524B"/>
    <w:rsid w:val="006652BB"/>
    <w:rsid w:val="00665363"/>
    <w:rsid w:val="006653AB"/>
    <w:rsid w:val="006653B0"/>
    <w:rsid w:val="006653CD"/>
    <w:rsid w:val="00665469"/>
    <w:rsid w:val="006654AB"/>
    <w:rsid w:val="006654D0"/>
    <w:rsid w:val="00665501"/>
    <w:rsid w:val="00665534"/>
    <w:rsid w:val="0066555D"/>
    <w:rsid w:val="00665594"/>
    <w:rsid w:val="006655AB"/>
    <w:rsid w:val="006655B0"/>
    <w:rsid w:val="006655C7"/>
    <w:rsid w:val="006655F7"/>
    <w:rsid w:val="0066567A"/>
    <w:rsid w:val="00665680"/>
    <w:rsid w:val="006656D8"/>
    <w:rsid w:val="006657BA"/>
    <w:rsid w:val="006657DC"/>
    <w:rsid w:val="006657E9"/>
    <w:rsid w:val="006657F6"/>
    <w:rsid w:val="0066581F"/>
    <w:rsid w:val="0066587C"/>
    <w:rsid w:val="00665894"/>
    <w:rsid w:val="006658CA"/>
    <w:rsid w:val="0066591A"/>
    <w:rsid w:val="0066595B"/>
    <w:rsid w:val="00665965"/>
    <w:rsid w:val="00665A3E"/>
    <w:rsid w:val="00665A93"/>
    <w:rsid w:val="00665ADC"/>
    <w:rsid w:val="00665AF0"/>
    <w:rsid w:val="00665B14"/>
    <w:rsid w:val="00665B32"/>
    <w:rsid w:val="00665BC9"/>
    <w:rsid w:val="00665BE3"/>
    <w:rsid w:val="00665C37"/>
    <w:rsid w:val="00665C59"/>
    <w:rsid w:val="00665C9B"/>
    <w:rsid w:val="00665CA5"/>
    <w:rsid w:val="00665CAF"/>
    <w:rsid w:val="00665D66"/>
    <w:rsid w:val="00665D73"/>
    <w:rsid w:val="00665D85"/>
    <w:rsid w:val="00665DAD"/>
    <w:rsid w:val="00665DB4"/>
    <w:rsid w:val="00665DBC"/>
    <w:rsid w:val="00665DC0"/>
    <w:rsid w:val="00665DE8"/>
    <w:rsid w:val="00665DE9"/>
    <w:rsid w:val="00665E1C"/>
    <w:rsid w:val="00665E41"/>
    <w:rsid w:val="00665E58"/>
    <w:rsid w:val="00665E8F"/>
    <w:rsid w:val="00665EEC"/>
    <w:rsid w:val="00665F52"/>
    <w:rsid w:val="00665FDE"/>
    <w:rsid w:val="0066602C"/>
    <w:rsid w:val="0066606D"/>
    <w:rsid w:val="0066609D"/>
    <w:rsid w:val="006660B8"/>
    <w:rsid w:val="006660C7"/>
    <w:rsid w:val="006660CD"/>
    <w:rsid w:val="00666103"/>
    <w:rsid w:val="00666198"/>
    <w:rsid w:val="0066628A"/>
    <w:rsid w:val="006662CA"/>
    <w:rsid w:val="00666317"/>
    <w:rsid w:val="0066634A"/>
    <w:rsid w:val="00666416"/>
    <w:rsid w:val="0066645C"/>
    <w:rsid w:val="00666573"/>
    <w:rsid w:val="006665B7"/>
    <w:rsid w:val="006665D5"/>
    <w:rsid w:val="006665F2"/>
    <w:rsid w:val="00666606"/>
    <w:rsid w:val="0066661E"/>
    <w:rsid w:val="006666BF"/>
    <w:rsid w:val="006666FA"/>
    <w:rsid w:val="0066675A"/>
    <w:rsid w:val="006667A8"/>
    <w:rsid w:val="006667D5"/>
    <w:rsid w:val="006667FA"/>
    <w:rsid w:val="00666888"/>
    <w:rsid w:val="006668AE"/>
    <w:rsid w:val="006668B0"/>
    <w:rsid w:val="006668EC"/>
    <w:rsid w:val="006669A5"/>
    <w:rsid w:val="00666A1B"/>
    <w:rsid w:val="00666A8C"/>
    <w:rsid w:val="00666AB8"/>
    <w:rsid w:val="00666ACB"/>
    <w:rsid w:val="00666AF5"/>
    <w:rsid w:val="00666AFD"/>
    <w:rsid w:val="00666AFF"/>
    <w:rsid w:val="00666B28"/>
    <w:rsid w:val="00666B53"/>
    <w:rsid w:val="00666B96"/>
    <w:rsid w:val="00666C13"/>
    <w:rsid w:val="00666C2A"/>
    <w:rsid w:val="00666C43"/>
    <w:rsid w:val="00666C4D"/>
    <w:rsid w:val="00666C90"/>
    <w:rsid w:val="00666CC4"/>
    <w:rsid w:val="00666CCF"/>
    <w:rsid w:val="00666DC2"/>
    <w:rsid w:val="00666DD7"/>
    <w:rsid w:val="00666DE1"/>
    <w:rsid w:val="00666E13"/>
    <w:rsid w:val="00666E79"/>
    <w:rsid w:val="00666E8F"/>
    <w:rsid w:val="00666EFD"/>
    <w:rsid w:val="00666EFE"/>
    <w:rsid w:val="00666FF0"/>
    <w:rsid w:val="00667008"/>
    <w:rsid w:val="00667077"/>
    <w:rsid w:val="006670C0"/>
    <w:rsid w:val="006670D5"/>
    <w:rsid w:val="00667128"/>
    <w:rsid w:val="00667144"/>
    <w:rsid w:val="00667150"/>
    <w:rsid w:val="00667169"/>
    <w:rsid w:val="0066719F"/>
    <w:rsid w:val="006671BE"/>
    <w:rsid w:val="006671F0"/>
    <w:rsid w:val="006671FD"/>
    <w:rsid w:val="0066722E"/>
    <w:rsid w:val="00667242"/>
    <w:rsid w:val="00667279"/>
    <w:rsid w:val="006672C4"/>
    <w:rsid w:val="0066735C"/>
    <w:rsid w:val="006673EC"/>
    <w:rsid w:val="00667442"/>
    <w:rsid w:val="00667477"/>
    <w:rsid w:val="006674CF"/>
    <w:rsid w:val="00667558"/>
    <w:rsid w:val="006675C2"/>
    <w:rsid w:val="006675CD"/>
    <w:rsid w:val="006675E1"/>
    <w:rsid w:val="006675F3"/>
    <w:rsid w:val="0066763A"/>
    <w:rsid w:val="00667656"/>
    <w:rsid w:val="006676AE"/>
    <w:rsid w:val="006676DD"/>
    <w:rsid w:val="006676EE"/>
    <w:rsid w:val="006676F4"/>
    <w:rsid w:val="00667728"/>
    <w:rsid w:val="0066776A"/>
    <w:rsid w:val="006677B2"/>
    <w:rsid w:val="006677B7"/>
    <w:rsid w:val="00667803"/>
    <w:rsid w:val="0066788A"/>
    <w:rsid w:val="0066789C"/>
    <w:rsid w:val="006678A6"/>
    <w:rsid w:val="00667924"/>
    <w:rsid w:val="00667931"/>
    <w:rsid w:val="0066799B"/>
    <w:rsid w:val="00667A46"/>
    <w:rsid w:val="00667B3D"/>
    <w:rsid w:val="00667B51"/>
    <w:rsid w:val="00667B71"/>
    <w:rsid w:val="00667B9B"/>
    <w:rsid w:val="00667BAB"/>
    <w:rsid w:val="00667BF3"/>
    <w:rsid w:val="00667CC1"/>
    <w:rsid w:val="00667CE6"/>
    <w:rsid w:val="00667D24"/>
    <w:rsid w:val="00667D90"/>
    <w:rsid w:val="00667DC1"/>
    <w:rsid w:val="00667DEC"/>
    <w:rsid w:val="00667DEF"/>
    <w:rsid w:val="00667E69"/>
    <w:rsid w:val="00667E7B"/>
    <w:rsid w:val="00667E7C"/>
    <w:rsid w:val="00667ED1"/>
    <w:rsid w:val="00667EF9"/>
    <w:rsid w:val="00667FD5"/>
    <w:rsid w:val="00670219"/>
    <w:rsid w:val="00670231"/>
    <w:rsid w:val="00670278"/>
    <w:rsid w:val="00670308"/>
    <w:rsid w:val="0067030C"/>
    <w:rsid w:val="00670367"/>
    <w:rsid w:val="00670393"/>
    <w:rsid w:val="006703B0"/>
    <w:rsid w:val="006703C7"/>
    <w:rsid w:val="006703FE"/>
    <w:rsid w:val="00670414"/>
    <w:rsid w:val="00670417"/>
    <w:rsid w:val="0067041F"/>
    <w:rsid w:val="00670425"/>
    <w:rsid w:val="00670474"/>
    <w:rsid w:val="00670488"/>
    <w:rsid w:val="006704B4"/>
    <w:rsid w:val="006704BF"/>
    <w:rsid w:val="006704C2"/>
    <w:rsid w:val="006704CB"/>
    <w:rsid w:val="006704CF"/>
    <w:rsid w:val="00670516"/>
    <w:rsid w:val="00670524"/>
    <w:rsid w:val="00670533"/>
    <w:rsid w:val="006705A4"/>
    <w:rsid w:val="006705AC"/>
    <w:rsid w:val="006705BA"/>
    <w:rsid w:val="006705CE"/>
    <w:rsid w:val="006705F2"/>
    <w:rsid w:val="006706B0"/>
    <w:rsid w:val="006706DB"/>
    <w:rsid w:val="00670722"/>
    <w:rsid w:val="00670725"/>
    <w:rsid w:val="00670768"/>
    <w:rsid w:val="00670777"/>
    <w:rsid w:val="006707D0"/>
    <w:rsid w:val="006708CA"/>
    <w:rsid w:val="006708CE"/>
    <w:rsid w:val="00670927"/>
    <w:rsid w:val="00670967"/>
    <w:rsid w:val="00670AA0"/>
    <w:rsid w:val="00670AB3"/>
    <w:rsid w:val="00670AC7"/>
    <w:rsid w:val="00670B1A"/>
    <w:rsid w:val="00670B9E"/>
    <w:rsid w:val="00670BD1"/>
    <w:rsid w:val="00670BDF"/>
    <w:rsid w:val="00670C1D"/>
    <w:rsid w:val="00670C3F"/>
    <w:rsid w:val="00670CD2"/>
    <w:rsid w:val="00670CD7"/>
    <w:rsid w:val="00670CFB"/>
    <w:rsid w:val="00670CFD"/>
    <w:rsid w:val="00670D09"/>
    <w:rsid w:val="00670D37"/>
    <w:rsid w:val="00670D90"/>
    <w:rsid w:val="00670D9C"/>
    <w:rsid w:val="00670DEB"/>
    <w:rsid w:val="00670E32"/>
    <w:rsid w:val="00670E8A"/>
    <w:rsid w:val="00670F0B"/>
    <w:rsid w:val="00670F7A"/>
    <w:rsid w:val="00670F81"/>
    <w:rsid w:val="00670FBA"/>
    <w:rsid w:val="00671019"/>
    <w:rsid w:val="0067102B"/>
    <w:rsid w:val="0067103F"/>
    <w:rsid w:val="00671117"/>
    <w:rsid w:val="006711F0"/>
    <w:rsid w:val="0067122C"/>
    <w:rsid w:val="00671264"/>
    <w:rsid w:val="00671317"/>
    <w:rsid w:val="00671357"/>
    <w:rsid w:val="00671359"/>
    <w:rsid w:val="00671361"/>
    <w:rsid w:val="0067136A"/>
    <w:rsid w:val="0067137C"/>
    <w:rsid w:val="006713A3"/>
    <w:rsid w:val="00671406"/>
    <w:rsid w:val="0067140E"/>
    <w:rsid w:val="0067143C"/>
    <w:rsid w:val="0067143D"/>
    <w:rsid w:val="00671468"/>
    <w:rsid w:val="006714C4"/>
    <w:rsid w:val="006714FE"/>
    <w:rsid w:val="00671535"/>
    <w:rsid w:val="006715AC"/>
    <w:rsid w:val="00671655"/>
    <w:rsid w:val="0067166B"/>
    <w:rsid w:val="006716DB"/>
    <w:rsid w:val="006716EE"/>
    <w:rsid w:val="006716FF"/>
    <w:rsid w:val="0067176E"/>
    <w:rsid w:val="00671774"/>
    <w:rsid w:val="00671781"/>
    <w:rsid w:val="00671799"/>
    <w:rsid w:val="006717CA"/>
    <w:rsid w:val="006717DB"/>
    <w:rsid w:val="00671871"/>
    <w:rsid w:val="006718A7"/>
    <w:rsid w:val="006718EC"/>
    <w:rsid w:val="006718FD"/>
    <w:rsid w:val="00671918"/>
    <w:rsid w:val="00671920"/>
    <w:rsid w:val="006719A1"/>
    <w:rsid w:val="006719C9"/>
    <w:rsid w:val="006719D6"/>
    <w:rsid w:val="006719E8"/>
    <w:rsid w:val="006719EB"/>
    <w:rsid w:val="006719FB"/>
    <w:rsid w:val="006719FE"/>
    <w:rsid w:val="00671A59"/>
    <w:rsid w:val="00671A5D"/>
    <w:rsid w:val="00671A6D"/>
    <w:rsid w:val="00671A6E"/>
    <w:rsid w:val="00671A72"/>
    <w:rsid w:val="00671ACD"/>
    <w:rsid w:val="00671B01"/>
    <w:rsid w:val="00671B32"/>
    <w:rsid w:val="00671B41"/>
    <w:rsid w:val="00671B65"/>
    <w:rsid w:val="00671B6B"/>
    <w:rsid w:val="00671B6C"/>
    <w:rsid w:val="00671B93"/>
    <w:rsid w:val="00671B9D"/>
    <w:rsid w:val="00671BAE"/>
    <w:rsid w:val="00671BBA"/>
    <w:rsid w:val="00671C07"/>
    <w:rsid w:val="00671C87"/>
    <w:rsid w:val="00671C99"/>
    <w:rsid w:val="00671CF2"/>
    <w:rsid w:val="00671D22"/>
    <w:rsid w:val="00671D31"/>
    <w:rsid w:val="00671D51"/>
    <w:rsid w:val="00671D6A"/>
    <w:rsid w:val="00671D71"/>
    <w:rsid w:val="00671DC3"/>
    <w:rsid w:val="00671DCB"/>
    <w:rsid w:val="00671DEE"/>
    <w:rsid w:val="00671E0B"/>
    <w:rsid w:val="00671E39"/>
    <w:rsid w:val="00671E41"/>
    <w:rsid w:val="00671E52"/>
    <w:rsid w:val="00671EA4"/>
    <w:rsid w:val="00671EB5"/>
    <w:rsid w:val="00671EE1"/>
    <w:rsid w:val="00671F07"/>
    <w:rsid w:val="00671F12"/>
    <w:rsid w:val="00671FB6"/>
    <w:rsid w:val="00671FC0"/>
    <w:rsid w:val="00672001"/>
    <w:rsid w:val="00672047"/>
    <w:rsid w:val="006720B3"/>
    <w:rsid w:val="006720F9"/>
    <w:rsid w:val="006720FB"/>
    <w:rsid w:val="006721CE"/>
    <w:rsid w:val="0067220A"/>
    <w:rsid w:val="0067229F"/>
    <w:rsid w:val="006722D9"/>
    <w:rsid w:val="00672338"/>
    <w:rsid w:val="00672379"/>
    <w:rsid w:val="0067238E"/>
    <w:rsid w:val="006723B6"/>
    <w:rsid w:val="006723DE"/>
    <w:rsid w:val="00672403"/>
    <w:rsid w:val="00672442"/>
    <w:rsid w:val="006724D7"/>
    <w:rsid w:val="006724E2"/>
    <w:rsid w:val="0067251A"/>
    <w:rsid w:val="006725C8"/>
    <w:rsid w:val="006725CE"/>
    <w:rsid w:val="006725E3"/>
    <w:rsid w:val="00672625"/>
    <w:rsid w:val="00672628"/>
    <w:rsid w:val="006726C8"/>
    <w:rsid w:val="006726F4"/>
    <w:rsid w:val="0067277E"/>
    <w:rsid w:val="0067284D"/>
    <w:rsid w:val="006728EF"/>
    <w:rsid w:val="006729C2"/>
    <w:rsid w:val="006729CA"/>
    <w:rsid w:val="00672A13"/>
    <w:rsid w:val="00672A2F"/>
    <w:rsid w:val="00672A78"/>
    <w:rsid w:val="00672CFB"/>
    <w:rsid w:val="00672D8F"/>
    <w:rsid w:val="00672D95"/>
    <w:rsid w:val="00672DCB"/>
    <w:rsid w:val="00672DFA"/>
    <w:rsid w:val="00672DFC"/>
    <w:rsid w:val="00672F02"/>
    <w:rsid w:val="00672F2E"/>
    <w:rsid w:val="00672F32"/>
    <w:rsid w:val="00672F77"/>
    <w:rsid w:val="00672F99"/>
    <w:rsid w:val="00672FAF"/>
    <w:rsid w:val="00672FD4"/>
    <w:rsid w:val="00672FE2"/>
    <w:rsid w:val="00672FF1"/>
    <w:rsid w:val="00672FFC"/>
    <w:rsid w:val="00673048"/>
    <w:rsid w:val="006730E3"/>
    <w:rsid w:val="006730FB"/>
    <w:rsid w:val="00673101"/>
    <w:rsid w:val="00673176"/>
    <w:rsid w:val="006731BE"/>
    <w:rsid w:val="006731C7"/>
    <w:rsid w:val="0067320F"/>
    <w:rsid w:val="00673234"/>
    <w:rsid w:val="00673245"/>
    <w:rsid w:val="006732F2"/>
    <w:rsid w:val="006732FA"/>
    <w:rsid w:val="00673324"/>
    <w:rsid w:val="006733A2"/>
    <w:rsid w:val="006733E2"/>
    <w:rsid w:val="006733F0"/>
    <w:rsid w:val="006734C3"/>
    <w:rsid w:val="006734F0"/>
    <w:rsid w:val="0067359E"/>
    <w:rsid w:val="006735AA"/>
    <w:rsid w:val="006735BC"/>
    <w:rsid w:val="00673651"/>
    <w:rsid w:val="0067365D"/>
    <w:rsid w:val="0067367A"/>
    <w:rsid w:val="00673689"/>
    <w:rsid w:val="006736B1"/>
    <w:rsid w:val="00673730"/>
    <w:rsid w:val="00673812"/>
    <w:rsid w:val="006738C1"/>
    <w:rsid w:val="006738CF"/>
    <w:rsid w:val="0067394B"/>
    <w:rsid w:val="006739E9"/>
    <w:rsid w:val="00673A11"/>
    <w:rsid w:val="00673A38"/>
    <w:rsid w:val="00673A52"/>
    <w:rsid w:val="00673A83"/>
    <w:rsid w:val="00673A8F"/>
    <w:rsid w:val="00673AF3"/>
    <w:rsid w:val="00673AFC"/>
    <w:rsid w:val="00673B7D"/>
    <w:rsid w:val="00673C1B"/>
    <w:rsid w:val="00673C26"/>
    <w:rsid w:val="00673C28"/>
    <w:rsid w:val="00673C33"/>
    <w:rsid w:val="00673C49"/>
    <w:rsid w:val="00673C5C"/>
    <w:rsid w:val="00673C85"/>
    <w:rsid w:val="00673CEE"/>
    <w:rsid w:val="00673DB8"/>
    <w:rsid w:val="00673DDE"/>
    <w:rsid w:val="00673E2F"/>
    <w:rsid w:val="00673E53"/>
    <w:rsid w:val="00673F03"/>
    <w:rsid w:val="00673F52"/>
    <w:rsid w:val="00673F80"/>
    <w:rsid w:val="00673F90"/>
    <w:rsid w:val="00673FE9"/>
    <w:rsid w:val="00674026"/>
    <w:rsid w:val="00674042"/>
    <w:rsid w:val="0067405F"/>
    <w:rsid w:val="006740E0"/>
    <w:rsid w:val="006740EF"/>
    <w:rsid w:val="006740F6"/>
    <w:rsid w:val="00674102"/>
    <w:rsid w:val="0067411D"/>
    <w:rsid w:val="0067412B"/>
    <w:rsid w:val="00674179"/>
    <w:rsid w:val="006741D1"/>
    <w:rsid w:val="006741D4"/>
    <w:rsid w:val="0067420E"/>
    <w:rsid w:val="006742C1"/>
    <w:rsid w:val="006743B6"/>
    <w:rsid w:val="006743C6"/>
    <w:rsid w:val="006743F8"/>
    <w:rsid w:val="00674434"/>
    <w:rsid w:val="00674452"/>
    <w:rsid w:val="0067446D"/>
    <w:rsid w:val="006744CB"/>
    <w:rsid w:val="006744CC"/>
    <w:rsid w:val="0067456B"/>
    <w:rsid w:val="00674585"/>
    <w:rsid w:val="006745A7"/>
    <w:rsid w:val="00674636"/>
    <w:rsid w:val="00674639"/>
    <w:rsid w:val="00674696"/>
    <w:rsid w:val="006746F2"/>
    <w:rsid w:val="00674700"/>
    <w:rsid w:val="0067473C"/>
    <w:rsid w:val="00674782"/>
    <w:rsid w:val="006747F6"/>
    <w:rsid w:val="0067484A"/>
    <w:rsid w:val="00674865"/>
    <w:rsid w:val="00674969"/>
    <w:rsid w:val="00674979"/>
    <w:rsid w:val="00674984"/>
    <w:rsid w:val="00674985"/>
    <w:rsid w:val="00674989"/>
    <w:rsid w:val="006749B5"/>
    <w:rsid w:val="006749F7"/>
    <w:rsid w:val="00674A05"/>
    <w:rsid w:val="00674A40"/>
    <w:rsid w:val="00674A78"/>
    <w:rsid w:val="00674AAB"/>
    <w:rsid w:val="00674AE9"/>
    <w:rsid w:val="00674B43"/>
    <w:rsid w:val="00674B72"/>
    <w:rsid w:val="00674B77"/>
    <w:rsid w:val="00674B7C"/>
    <w:rsid w:val="00674C54"/>
    <w:rsid w:val="00674CF5"/>
    <w:rsid w:val="00674D61"/>
    <w:rsid w:val="00674D85"/>
    <w:rsid w:val="00674DEB"/>
    <w:rsid w:val="00674E76"/>
    <w:rsid w:val="00674E9B"/>
    <w:rsid w:val="00674ED5"/>
    <w:rsid w:val="00674EDB"/>
    <w:rsid w:val="00674F50"/>
    <w:rsid w:val="00674F6E"/>
    <w:rsid w:val="00674F8C"/>
    <w:rsid w:val="00674FAC"/>
    <w:rsid w:val="00674FDB"/>
    <w:rsid w:val="00675019"/>
    <w:rsid w:val="00675020"/>
    <w:rsid w:val="0067503D"/>
    <w:rsid w:val="0067505C"/>
    <w:rsid w:val="00675067"/>
    <w:rsid w:val="006750C1"/>
    <w:rsid w:val="00675131"/>
    <w:rsid w:val="006751D3"/>
    <w:rsid w:val="00675258"/>
    <w:rsid w:val="0067525B"/>
    <w:rsid w:val="00675293"/>
    <w:rsid w:val="00675307"/>
    <w:rsid w:val="006753E0"/>
    <w:rsid w:val="006753EF"/>
    <w:rsid w:val="0067545E"/>
    <w:rsid w:val="00675557"/>
    <w:rsid w:val="00675584"/>
    <w:rsid w:val="006755BE"/>
    <w:rsid w:val="006755CE"/>
    <w:rsid w:val="006755F9"/>
    <w:rsid w:val="006755FB"/>
    <w:rsid w:val="0067568B"/>
    <w:rsid w:val="0067569B"/>
    <w:rsid w:val="006756B2"/>
    <w:rsid w:val="006756D3"/>
    <w:rsid w:val="006756F0"/>
    <w:rsid w:val="0067571A"/>
    <w:rsid w:val="0067572C"/>
    <w:rsid w:val="0067572D"/>
    <w:rsid w:val="006757CC"/>
    <w:rsid w:val="00675803"/>
    <w:rsid w:val="0067581B"/>
    <w:rsid w:val="00675856"/>
    <w:rsid w:val="0067587F"/>
    <w:rsid w:val="006758AA"/>
    <w:rsid w:val="006758C2"/>
    <w:rsid w:val="006758E7"/>
    <w:rsid w:val="0067590A"/>
    <w:rsid w:val="00675938"/>
    <w:rsid w:val="00675962"/>
    <w:rsid w:val="00675963"/>
    <w:rsid w:val="0067596F"/>
    <w:rsid w:val="00675999"/>
    <w:rsid w:val="006759BF"/>
    <w:rsid w:val="006759FB"/>
    <w:rsid w:val="00675AA3"/>
    <w:rsid w:val="00675AF4"/>
    <w:rsid w:val="00675B09"/>
    <w:rsid w:val="00675B4F"/>
    <w:rsid w:val="00675B51"/>
    <w:rsid w:val="00675BF8"/>
    <w:rsid w:val="00675C33"/>
    <w:rsid w:val="00675C5C"/>
    <w:rsid w:val="00675CA7"/>
    <w:rsid w:val="00675CCA"/>
    <w:rsid w:val="00675CEA"/>
    <w:rsid w:val="00675CF4"/>
    <w:rsid w:val="00675D1A"/>
    <w:rsid w:val="00675D66"/>
    <w:rsid w:val="00675D7E"/>
    <w:rsid w:val="00675EAE"/>
    <w:rsid w:val="00675EC9"/>
    <w:rsid w:val="00675EFB"/>
    <w:rsid w:val="00675F45"/>
    <w:rsid w:val="00675F6C"/>
    <w:rsid w:val="00675F72"/>
    <w:rsid w:val="00675F7F"/>
    <w:rsid w:val="00675FB0"/>
    <w:rsid w:val="00675FD7"/>
    <w:rsid w:val="0067605B"/>
    <w:rsid w:val="006760DC"/>
    <w:rsid w:val="006760E1"/>
    <w:rsid w:val="006760E5"/>
    <w:rsid w:val="00676214"/>
    <w:rsid w:val="0067623C"/>
    <w:rsid w:val="0067629D"/>
    <w:rsid w:val="006762A6"/>
    <w:rsid w:val="006762AB"/>
    <w:rsid w:val="006762D0"/>
    <w:rsid w:val="006762E2"/>
    <w:rsid w:val="006762EF"/>
    <w:rsid w:val="006762F2"/>
    <w:rsid w:val="0067631D"/>
    <w:rsid w:val="00676325"/>
    <w:rsid w:val="00676363"/>
    <w:rsid w:val="00676371"/>
    <w:rsid w:val="006763E8"/>
    <w:rsid w:val="006764FA"/>
    <w:rsid w:val="00676503"/>
    <w:rsid w:val="0067651E"/>
    <w:rsid w:val="00676535"/>
    <w:rsid w:val="0067659B"/>
    <w:rsid w:val="006765CE"/>
    <w:rsid w:val="006765EB"/>
    <w:rsid w:val="0067666C"/>
    <w:rsid w:val="0067669C"/>
    <w:rsid w:val="0067669F"/>
    <w:rsid w:val="006766BB"/>
    <w:rsid w:val="006766C5"/>
    <w:rsid w:val="006766E7"/>
    <w:rsid w:val="00676703"/>
    <w:rsid w:val="00676720"/>
    <w:rsid w:val="0067673B"/>
    <w:rsid w:val="00676796"/>
    <w:rsid w:val="00676805"/>
    <w:rsid w:val="00676886"/>
    <w:rsid w:val="006768DD"/>
    <w:rsid w:val="006768EC"/>
    <w:rsid w:val="00676902"/>
    <w:rsid w:val="00676925"/>
    <w:rsid w:val="00676945"/>
    <w:rsid w:val="0067698F"/>
    <w:rsid w:val="00676A21"/>
    <w:rsid w:val="00676AF1"/>
    <w:rsid w:val="00676B59"/>
    <w:rsid w:val="00676BA4"/>
    <w:rsid w:val="00676BB0"/>
    <w:rsid w:val="00676BB1"/>
    <w:rsid w:val="00676BBB"/>
    <w:rsid w:val="00676C36"/>
    <w:rsid w:val="00676C5C"/>
    <w:rsid w:val="00676C82"/>
    <w:rsid w:val="00676CAD"/>
    <w:rsid w:val="00676CB7"/>
    <w:rsid w:val="00676CC9"/>
    <w:rsid w:val="00676D27"/>
    <w:rsid w:val="00676D34"/>
    <w:rsid w:val="00676DD6"/>
    <w:rsid w:val="00676DE1"/>
    <w:rsid w:val="00676E7C"/>
    <w:rsid w:val="00676EE8"/>
    <w:rsid w:val="00676F03"/>
    <w:rsid w:val="00676F64"/>
    <w:rsid w:val="00676FAA"/>
    <w:rsid w:val="00676FEB"/>
    <w:rsid w:val="00677003"/>
    <w:rsid w:val="00677008"/>
    <w:rsid w:val="0067709E"/>
    <w:rsid w:val="006770D5"/>
    <w:rsid w:val="006770F6"/>
    <w:rsid w:val="00677116"/>
    <w:rsid w:val="00677173"/>
    <w:rsid w:val="006771BE"/>
    <w:rsid w:val="00677286"/>
    <w:rsid w:val="0067731B"/>
    <w:rsid w:val="00677321"/>
    <w:rsid w:val="006774BA"/>
    <w:rsid w:val="0067752A"/>
    <w:rsid w:val="00677547"/>
    <w:rsid w:val="0067758B"/>
    <w:rsid w:val="00677596"/>
    <w:rsid w:val="00677597"/>
    <w:rsid w:val="006775F4"/>
    <w:rsid w:val="0067760D"/>
    <w:rsid w:val="00677615"/>
    <w:rsid w:val="0067761B"/>
    <w:rsid w:val="00677668"/>
    <w:rsid w:val="006776AD"/>
    <w:rsid w:val="00677716"/>
    <w:rsid w:val="00677721"/>
    <w:rsid w:val="00677760"/>
    <w:rsid w:val="00677779"/>
    <w:rsid w:val="006777A4"/>
    <w:rsid w:val="00677851"/>
    <w:rsid w:val="00677861"/>
    <w:rsid w:val="00677887"/>
    <w:rsid w:val="00677889"/>
    <w:rsid w:val="006778DA"/>
    <w:rsid w:val="006778F0"/>
    <w:rsid w:val="0067793F"/>
    <w:rsid w:val="00677948"/>
    <w:rsid w:val="00677993"/>
    <w:rsid w:val="00677A32"/>
    <w:rsid w:val="00677A4A"/>
    <w:rsid w:val="00677A74"/>
    <w:rsid w:val="00677B19"/>
    <w:rsid w:val="00677B4C"/>
    <w:rsid w:val="00677B79"/>
    <w:rsid w:val="00677BC4"/>
    <w:rsid w:val="00677C01"/>
    <w:rsid w:val="00677C49"/>
    <w:rsid w:val="00677C4A"/>
    <w:rsid w:val="00677C53"/>
    <w:rsid w:val="00677CBB"/>
    <w:rsid w:val="00677CE3"/>
    <w:rsid w:val="00677D0E"/>
    <w:rsid w:val="00677D18"/>
    <w:rsid w:val="00677D86"/>
    <w:rsid w:val="00677DB2"/>
    <w:rsid w:val="00677DC2"/>
    <w:rsid w:val="00677E01"/>
    <w:rsid w:val="00677E94"/>
    <w:rsid w:val="00677EA2"/>
    <w:rsid w:val="00677EAA"/>
    <w:rsid w:val="00677EAE"/>
    <w:rsid w:val="00677ECA"/>
    <w:rsid w:val="00677F81"/>
    <w:rsid w:val="00677FEB"/>
    <w:rsid w:val="00680029"/>
    <w:rsid w:val="00680089"/>
    <w:rsid w:val="006800E8"/>
    <w:rsid w:val="0068016D"/>
    <w:rsid w:val="00680176"/>
    <w:rsid w:val="0068017C"/>
    <w:rsid w:val="0068017D"/>
    <w:rsid w:val="0068017E"/>
    <w:rsid w:val="00680193"/>
    <w:rsid w:val="00680207"/>
    <w:rsid w:val="0068020C"/>
    <w:rsid w:val="0068024D"/>
    <w:rsid w:val="00680265"/>
    <w:rsid w:val="006802CE"/>
    <w:rsid w:val="006802D1"/>
    <w:rsid w:val="0068033B"/>
    <w:rsid w:val="006803B1"/>
    <w:rsid w:val="00680409"/>
    <w:rsid w:val="00680433"/>
    <w:rsid w:val="0068049B"/>
    <w:rsid w:val="006804AB"/>
    <w:rsid w:val="006804E1"/>
    <w:rsid w:val="00680536"/>
    <w:rsid w:val="0068055E"/>
    <w:rsid w:val="00680574"/>
    <w:rsid w:val="006805AE"/>
    <w:rsid w:val="00680679"/>
    <w:rsid w:val="006806C5"/>
    <w:rsid w:val="006806DC"/>
    <w:rsid w:val="0068073B"/>
    <w:rsid w:val="00680780"/>
    <w:rsid w:val="0068081E"/>
    <w:rsid w:val="0068086C"/>
    <w:rsid w:val="0068090A"/>
    <w:rsid w:val="00680914"/>
    <w:rsid w:val="0068094D"/>
    <w:rsid w:val="00680979"/>
    <w:rsid w:val="00680998"/>
    <w:rsid w:val="006809D3"/>
    <w:rsid w:val="006809D4"/>
    <w:rsid w:val="006809E3"/>
    <w:rsid w:val="006809EF"/>
    <w:rsid w:val="006809F8"/>
    <w:rsid w:val="00680A42"/>
    <w:rsid w:val="00680A61"/>
    <w:rsid w:val="00680ACA"/>
    <w:rsid w:val="00680ADE"/>
    <w:rsid w:val="00680AE0"/>
    <w:rsid w:val="00680AEA"/>
    <w:rsid w:val="00680B11"/>
    <w:rsid w:val="00680B2E"/>
    <w:rsid w:val="00680C01"/>
    <w:rsid w:val="00680C05"/>
    <w:rsid w:val="00680CA5"/>
    <w:rsid w:val="00680CDB"/>
    <w:rsid w:val="00680D07"/>
    <w:rsid w:val="00680D19"/>
    <w:rsid w:val="00680D2C"/>
    <w:rsid w:val="00680D4A"/>
    <w:rsid w:val="00680D58"/>
    <w:rsid w:val="00680DCE"/>
    <w:rsid w:val="00680E21"/>
    <w:rsid w:val="00680E30"/>
    <w:rsid w:val="00680E58"/>
    <w:rsid w:val="00680EC0"/>
    <w:rsid w:val="00680EE4"/>
    <w:rsid w:val="00680F3E"/>
    <w:rsid w:val="00680F81"/>
    <w:rsid w:val="00680FD5"/>
    <w:rsid w:val="00680FDB"/>
    <w:rsid w:val="00681003"/>
    <w:rsid w:val="00681066"/>
    <w:rsid w:val="00681107"/>
    <w:rsid w:val="006811C7"/>
    <w:rsid w:val="006811CD"/>
    <w:rsid w:val="00681211"/>
    <w:rsid w:val="0068121B"/>
    <w:rsid w:val="0068124F"/>
    <w:rsid w:val="0068127C"/>
    <w:rsid w:val="00681296"/>
    <w:rsid w:val="0068131E"/>
    <w:rsid w:val="00681374"/>
    <w:rsid w:val="0068137A"/>
    <w:rsid w:val="00681399"/>
    <w:rsid w:val="006813C9"/>
    <w:rsid w:val="006813ED"/>
    <w:rsid w:val="00681427"/>
    <w:rsid w:val="00681597"/>
    <w:rsid w:val="006815DA"/>
    <w:rsid w:val="006815E7"/>
    <w:rsid w:val="0068160A"/>
    <w:rsid w:val="00681639"/>
    <w:rsid w:val="0068163B"/>
    <w:rsid w:val="00681653"/>
    <w:rsid w:val="00681693"/>
    <w:rsid w:val="006816FA"/>
    <w:rsid w:val="006817B4"/>
    <w:rsid w:val="006817CA"/>
    <w:rsid w:val="0068180C"/>
    <w:rsid w:val="00681837"/>
    <w:rsid w:val="00681854"/>
    <w:rsid w:val="00681873"/>
    <w:rsid w:val="006818D6"/>
    <w:rsid w:val="00681906"/>
    <w:rsid w:val="00681936"/>
    <w:rsid w:val="00681949"/>
    <w:rsid w:val="0068196C"/>
    <w:rsid w:val="006819BC"/>
    <w:rsid w:val="00681A29"/>
    <w:rsid w:val="00681A62"/>
    <w:rsid w:val="00681A64"/>
    <w:rsid w:val="00681A7D"/>
    <w:rsid w:val="00681ACF"/>
    <w:rsid w:val="00681B13"/>
    <w:rsid w:val="00681B37"/>
    <w:rsid w:val="00681B42"/>
    <w:rsid w:val="00681B82"/>
    <w:rsid w:val="00681C7B"/>
    <w:rsid w:val="00681C82"/>
    <w:rsid w:val="00681CA4"/>
    <w:rsid w:val="00681CA6"/>
    <w:rsid w:val="00681D15"/>
    <w:rsid w:val="00681D49"/>
    <w:rsid w:val="00681D5E"/>
    <w:rsid w:val="00681D83"/>
    <w:rsid w:val="00681E36"/>
    <w:rsid w:val="00681E3C"/>
    <w:rsid w:val="00681E76"/>
    <w:rsid w:val="00681EA5"/>
    <w:rsid w:val="00681ED6"/>
    <w:rsid w:val="00681F21"/>
    <w:rsid w:val="00681F5C"/>
    <w:rsid w:val="00681F9C"/>
    <w:rsid w:val="00682074"/>
    <w:rsid w:val="006820FD"/>
    <w:rsid w:val="0068214D"/>
    <w:rsid w:val="00682165"/>
    <w:rsid w:val="00682186"/>
    <w:rsid w:val="006821C4"/>
    <w:rsid w:val="006821DC"/>
    <w:rsid w:val="006821DF"/>
    <w:rsid w:val="0068220D"/>
    <w:rsid w:val="00682239"/>
    <w:rsid w:val="00682271"/>
    <w:rsid w:val="006822A8"/>
    <w:rsid w:val="00682330"/>
    <w:rsid w:val="00682368"/>
    <w:rsid w:val="00682393"/>
    <w:rsid w:val="0068241C"/>
    <w:rsid w:val="0068244A"/>
    <w:rsid w:val="00682488"/>
    <w:rsid w:val="006824C0"/>
    <w:rsid w:val="006824EF"/>
    <w:rsid w:val="00682591"/>
    <w:rsid w:val="00682595"/>
    <w:rsid w:val="0068259E"/>
    <w:rsid w:val="006825C6"/>
    <w:rsid w:val="00682625"/>
    <w:rsid w:val="00682689"/>
    <w:rsid w:val="006826B8"/>
    <w:rsid w:val="00682715"/>
    <w:rsid w:val="0068271D"/>
    <w:rsid w:val="0068273A"/>
    <w:rsid w:val="00682754"/>
    <w:rsid w:val="00682767"/>
    <w:rsid w:val="006827B7"/>
    <w:rsid w:val="006828B1"/>
    <w:rsid w:val="00682913"/>
    <w:rsid w:val="00682926"/>
    <w:rsid w:val="00682942"/>
    <w:rsid w:val="00682976"/>
    <w:rsid w:val="0068298B"/>
    <w:rsid w:val="00682A10"/>
    <w:rsid w:val="00682A21"/>
    <w:rsid w:val="00682A72"/>
    <w:rsid w:val="00682A99"/>
    <w:rsid w:val="00682ACC"/>
    <w:rsid w:val="00682AE2"/>
    <w:rsid w:val="00682B8A"/>
    <w:rsid w:val="00682B8C"/>
    <w:rsid w:val="00682C26"/>
    <w:rsid w:val="00682C75"/>
    <w:rsid w:val="00682CA5"/>
    <w:rsid w:val="00682D07"/>
    <w:rsid w:val="00682D20"/>
    <w:rsid w:val="00682D61"/>
    <w:rsid w:val="00682D8C"/>
    <w:rsid w:val="00682DA3"/>
    <w:rsid w:val="00682E07"/>
    <w:rsid w:val="00682E15"/>
    <w:rsid w:val="00682E36"/>
    <w:rsid w:val="00682E52"/>
    <w:rsid w:val="00682F01"/>
    <w:rsid w:val="00682F20"/>
    <w:rsid w:val="00682F62"/>
    <w:rsid w:val="00682F92"/>
    <w:rsid w:val="00682FD4"/>
    <w:rsid w:val="0068304A"/>
    <w:rsid w:val="0068311B"/>
    <w:rsid w:val="00683132"/>
    <w:rsid w:val="00683164"/>
    <w:rsid w:val="0068327A"/>
    <w:rsid w:val="00683280"/>
    <w:rsid w:val="0068328E"/>
    <w:rsid w:val="006832D4"/>
    <w:rsid w:val="006832D9"/>
    <w:rsid w:val="006832DD"/>
    <w:rsid w:val="006832DE"/>
    <w:rsid w:val="006832E0"/>
    <w:rsid w:val="006832E2"/>
    <w:rsid w:val="00683322"/>
    <w:rsid w:val="0068332B"/>
    <w:rsid w:val="00683349"/>
    <w:rsid w:val="00683395"/>
    <w:rsid w:val="00683396"/>
    <w:rsid w:val="006833FB"/>
    <w:rsid w:val="00683426"/>
    <w:rsid w:val="0068344F"/>
    <w:rsid w:val="006834B0"/>
    <w:rsid w:val="006834DE"/>
    <w:rsid w:val="006834FA"/>
    <w:rsid w:val="0068357F"/>
    <w:rsid w:val="006835A7"/>
    <w:rsid w:val="006835C7"/>
    <w:rsid w:val="00683605"/>
    <w:rsid w:val="00683617"/>
    <w:rsid w:val="0068364A"/>
    <w:rsid w:val="00683677"/>
    <w:rsid w:val="00683689"/>
    <w:rsid w:val="00683699"/>
    <w:rsid w:val="00683714"/>
    <w:rsid w:val="00683797"/>
    <w:rsid w:val="006837A6"/>
    <w:rsid w:val="006837EA"/>
    <w:rsid w:val="0068388D"/>
    <w:rsid w:val="006838C5"/>
    <w:rsid w:val="006838F9"/>
    <w:rsid w:val="0068390D"/>
    <w:rsid w:val="00683918"/>
    <w:rsid w:val="0068396E"/>
    <w:rsid w:val="0068399C"/>
    <w:rsid w:val="006839F8"/>
    <w:rsid w:val="00683A3B"/>
    <w:rsid w:val="00683A51"/>
    <w:rsid w:val="00683B09"/>
    <w:rsid w:val="00683B85"/>
    <w:rsid w:val="00683BD8"/>
    <w:rsid w:val="00683D9F"/>
    <w:rsid w:val="00683DAF"/>
    <w:rsid w:val="00683EB0"/>
    <w:rsid w:val="00683EBE"/>
    <w:rsid w:val="0068400C"/>
    <w:rsid w:val="00684020"/>
    <w:rsid w:val="00684022"/>
    <w:rsid w:val="00684060"/>
    <w:rsid w:val="006840C3"/>
    <w:rsid w:val="006840ED"/>
    <w:rsid w:val="00684109"/>
    <w:rsid w:val="00684166"/>
    <w:rsid w:val="00684167"/>
    <w:rsid w:val="0068417D"/>
    <w:rsid w:val="006841A3"/>
    <w:rsid w:val="00684247"/>
    <w:rsid w:val="00684251"/>
    <w:rsid w:val="00684273"/>
    <w:rsid w:val="00684298"/>
    <w:rsid w:val="006842AC"/>
    <w:rsid w:val="006842E9"/>
    <w:rsid w:val="00684398"/>
    <w:rsid w:val="006843F3"/>
    <w:rsid w:val="00684497"/>
    <w:rsid w:val="006844DE"/>
    <w:rsid w:val="00684516"/>
    <w:rsid w:val="006846B3"/>
    <w:rsid w:val="006846CB"/>
    <w:rsid w:val="00684714"/>
    <w:rsid w:val="00684752"/>
    <w:rsid w:val="0068475A"/>
    <w:rsid w:val="00684774"/>
    <w:rsid w:val="006847C2"/>
    <w:rsid w:val="006848EF"/>
    <w:rsid w:val="0068490C"/>
    <w:rsid w:val="00684928"/>
    <w:rsid w:val="0068497C"/>
    <w:rsid w:val="00684989"/>
    <w:rsid w:val="006849A6"/>
    <w:rsid w:val="00684A0B"/>
    <w:rsid w:val="00684A22"/>
    <w:rsid w:val="00684A34"/>
    <w:rsid w:val="00684A61"/>
    <w:rsid w:val="00684A6E"/>
    <w:rsid w:val="00684AAB"/>
    <w:rsid w:val="00684AE7"/>
    <w:rsid w:val="00684B27"/>
    <w:rsid w:val="00684B2E"/>
    <w:rsid w:val="00684B4B"/>
    <w:rsid w:val="00684B8B"/>
    <w:rsid w:val="00684BA3"/>
    <w:rsid w:val="00684C77"/>
    <w:rsid w:val="00684C8C"/>
    <w:rsid w:val="00684CB3"/>
    <w:rsid w:val="00684CCA"/>
    <w:rsid w:val="00684D2B"/>
    <w:rsid w:val="00684DC1"/>
    <w:rsid w:val="00684E1E"/>
    <w:rsid w:val="00684E26"/>
    <w:rsid w:val="00684E2A"/>
    <w:rsid w:val="00684EAA"/>
    <w:rsid w:val="00684F35"/>
    <w:rsid w:val="00684F3D"/>
    <w:rsid w:val="00684FAC"/>
    <w:rsid w:val="00685062"/>
    <w:rsid w:val="00685093"/>
    <w:rsid w:val="0068513E"/>
    <w:rsid w:val="00685151"/>
    <w:rsid w:val="00685158"/>
    <w:rsid w:val="006851BA"/>
    <w:rsid w:val="006851E2"/>
    <w:rsid w:val="006851F2"/>
    <w:rsid w:val="006851FF"/>
    <w:rsid w:val="00685212"/>
    <w:rsid w:val="00685222"/>
    <w:rsid w:val="0068522C"/>
    <w:rsid w:val="00685241"/>
    <w:rsid w:val="006852B4"/>
    <w:rsid w:val="006852D6"/>
    <w:rsid w:val="006852E1"/>
    <w:rsid w:val="00685377"/>
    <w:rsid w:val="006853DC"/>
    <w:rsid w:val="00685412"/>
    <w:rsid w:val="0068548B"/>
    <w:rsid w:val="006854AE"/>
    <w:rsid w:val="00685526"/>
    <w:rsid w:val="006855A8"/>
    <w:rsid w:val="006855C6"/>
    <w:rsid w:val="006855EF"/>
    <w:rsid w:val="00685652"/>
    <w:rsid w:val="00685675"/>
    <w:rsid w:val="006856C9"/>
    <w:rsid w:val="00685874"/>
    <w:rsid w:val="00685878"/>
    <w:rsid w:val="00685884"/>
    <w:rsid w:val="00685904"/>
    <w:rsid w:val="00685926"/>
    <w:rsid w:val="0068598F"/>
    <w:rsid w:val="00685998"/>
    <w:rsid w:val="0068599A"/>
    <w:rsid w:val="006859FD"/>
    <w:rsid w:val="00685A7C"/>
    <w:rsid w:val="00685AB7"/>
    <w:rsid w:val="00685B46"/>
    <w:rsid w:val="00685BA3"/>
    <w:rsid w:val="00685BBD"/>
    <w:rsid w:val="00685BED"/>
    <w:rsid w:val="00685C74"/>
    <w:rsid w:val="00685CF2"/>
    <w:rsid w:val="00685CFE"/>
    <w:rsid w:val="00685D19"/>
    <w:rsid w:val="00685D1D"/>
    <w:rsid w:val="00685D72"/>
    <w:rsid w:val="00685D74"/>
    <w:rsid w:val="00685DDC"/>
    <w:rsid w:val="00685EAF"/>
    <w:rsid w:val="00685F2F"/>
    <w:rsid w:val="00685F54"/>
    <w:rsid w:val="00685F7C"/>
    <w:rsid w:val="00685FDB"/>
    <w:rsid w:val="00685FE8"/>
    <w:rsid w:val="00686028"/>
    <w:rsid w:val="00686043"/>
    <w:rsid w:val="00686066"/>
    <w:rsid w:val="006860C6"/>
    <w:rsid w:val="006860F6"/>
    <w:rsid w:val="0068614B"/>
    <w:rsid w:val="0068619D"/>
    <w:rsid w:val="006861C3"/>
    <w:rsid w:val="006861CA"/>
    <w:rsid w:val="006861ED"/>
    <w:rsid w:val="00686202"/>
    <w:rsid w:val="0068633C"/>
    <w:rsid w:val="0068634C"/>
    <w:rsid w:val="00686358"/>
    <w:rsid w:val="0068635E"/>
    <w:rsid w:val="00686378"/>
    <w:rsid w:val="006863F4"/>
    <w:rsid w:val="0068644E"/>
    <w:rsid w:val="0068648B"/>
    <w:rsid w:val="0068648D"/>
    <w:rsid w:val="006864CB"/>
    <w:rsid w:val="00686509"/>
    <w:rsid w:val="0068651F"/>
    <w:rsid w:val="00686540"/>
    <w:rsid w:val="00686606"/>
    <w:rsid w:val="00686627"/>
    <w:rsid w:val="0068664C"/>
    <w:rsid w:val="0068666F"/>
    <w:rsid w:val="006866A8"/>
    <w:rsid w:val="006866CC"/>
    <w:rsid w:val="00686764"/>
    <w:rsid w:val="00686795"/>
    <w:rsid w:val="006867B1"/>
    <w:rsid w:val="006867BE"/>
    <w:rsid w:val="006867D0"/>
    <w:rsid w:val="006867DA"/>
    <w:rsid w:val="00686829"/>
    <w:rsid w:val="0068685C"/>
    <w:rsid w:val="00686876"/>
    <w:rsid w:val="006868F4"/>
    <w:rsid w:val="00686954"/>
    <w:rsid w:val="006869AD"/>
    <w:rsid w:val="00686A26"/>
    <w:rsid w:val="00686A55"/>
    <w:rsid w:val="00686A80"/>
    <w:rsid w:val="00686A8E"/>
    <w:rsid w:val="00686A9E"/>
    <w:rsid w:val="00686AF9"/>
    <w:rsid w:val="00686B0F"/>
    <w:rsid w:val="00686B33"/>
    <w:rsid w:val="00686B93"/>
    <w:rsid w:val="00686BC1"/>
    <w:rsid w:val="00686BE4"/>
    <w:rsid w:val="00686C0D"/>
    <w:rsid w:val="00686C62"/>
    <w:rsid w:val="00686C93"/>
    <w:rsid w:val="00686D0F"/>
    <w:rsid w:val="00686D1D"/>
    <w:rsid w:val="00686D74"/>
    <w:rsid w:val="00686D95"/>
    <w:rsid w:val="00686E90"/>
    <w:rsid w:val="00686EBA"/>
    <w:rsid w:val="00686EBD"/>
    <w:rsid w:val="00686EE8"/>
    <w:rsid w:val="00686EED"/>
    <w:rsid w:val="00686F09"/>
    <w:rsid w:val="00686F33"/>
    <w:rsid w:val="00686F75"/>
    <w:rsid w:val="00686FD5"/>
    <w:rsid w:val="0068704F"/>
    <w:rsid w:val="0068708C"/>
    <w:rsid w:val="0068708E"/>
    <w:rsid w:val="0068712C"/>
    <w:rsid w:val="00687134"/>
    <w:rsid w:val="0068715D"/>
    <w:rsid w:val="006871A0"/>
    <w:rsid w:val="006871BB"/>
    <w:rsid w:val="006871D2"/>
    <w:rsid w:val="00687230"/>
    <w:rsid w:val="0068726D"/>
    <w:rsid w:val="0068727D"/>
    <w:rsid w:val="0068729C"/>
    <w:rsid w:val="006872CA"/>
    <w:rsid w:val="006872EB"/>
    <w:rsid w:val="00687324"/>
    <w:rsid w:val="00687370"/>
    <w:rsid w:val="0068737E"/>
    <w:rsid w:val="00687380"/>
    <w:rsid w:val="0068738F"/>
    <w:rsid w:val="0068740B"/>
    <w:rsid w:val="0068740F"/>
    <w:rsid w:val="00687440"/>
    <w:rsid w:val="006874F2"/>
    <w:rsid w:val="00687548"/>
    <w:rsid w:val="0068754E"/>
    <w:rsid w:val="00687551"/>
    <w:rsid w:val="00687576"/>
    <w:rsid w:val="00687579"/>
    <w:rsid w:val="00687610"/>
    <w:rsid w:val="0068761A"/>
    <w:rsid w:val="00687626"/>
    <w:rsid w:val="00687688"/>
    <w:rsid w:val="006876AA"/>
    <w:rsid w:val="006876FA"/>
    <w:rsid w:val="00687709"/>
    <w:rsid w:val="0068773F"/>
    <w:rsid w:val="0068777D"/>
    <w:rsid w:val="00687784"/>
    <w:rsid w:val="0068780F"/>
    <w:rsid w:val="00687819"/>
    <w:rsid w:val="0068781E"/>
    <w:rsid w:val="00687838"/>
    <w:rsid w:val="00687847"/>
    <w:rsid w:val="00687865"/>
    <w:rsid w:val="0068788B"/>
    <w:rsid w:val="0068789E"/>
    <w:rsid w:val="006878F2"/>
    <w:rsid w:val="00687932"/>
    <w:rsid w:val="00687975"/>
    <w:rsid w:val="00687992"/>
    <w:rsid w:val="006879A3"/>
    <w:rsid w:val="006879D8"/>
    <w:rsid w:val="006879DC"/>
    <w:rsid w:val="006879EF"/>
    <w:rsid w:val="00687A31"/>
    <w:rsid w:val="00687A52"/>
    <w:rsid w:val="00687AE3"/>
    <w:rsid w:val="00687AEC"/>
    <w:rsid w:val="00687B85"/>
    <w:rsid w:val="00687C09"/>
    <w:rsid w:val="00687C73"/>
    <w:rsid w:val="00687CF7"/>
    <w:rsid w:val="00687D56"/>
    <w:rsid w:val="00687DA3"/>
    <w:rsid w:val="00687DF6"/>
    <w:rsid w:val="00687E3E"/>
    <w:rsid w:val="00687E80"/>
    <w:rsid w:val="00687EDA"/>
    <w:rsid w:val="00687EDB"/>
    <w:rsid w:val="00687F1C"/>
    <w:rsid w:val="00687F28"/>
    <w:rsid w:val="00687F32"/>
    <w:rsid w:val="00687F9A"/>
    <w:rsid w:val="00687FB1"/>
    <w:rsid w:val="00687FDF"/>
    <w:rsid w:val="00690017"/>
    <w:rsid w:val="0069004E"/>
    <w:rsid w:val="00690065"/>
    <w:rsid w:val="006900BC"/>
    <w:rsid w:val="00690145"/>
    <w:rsid w:val="0069019F"/>
    <w:rsid w:val="006901D3"/>
    <w:rsid w:val="006901DA"/>
    <w:rsid w:val="00690233"/>
    <w:rsid w:val="006902EE"/>
    <w:rsid w:val="00690300"/>
    <w:rsid w:val="00690304"/>
    <w:rsid w:val="0069031A"/>
    <w:rsid w:val="006903B4"/>
    <w:rsid w:val="006903DF"/>
    <w:rsid w:val="00690494"/>
    <w:rsid w:val="006904BB"/>
    <w:rsid w:val="006904D8"/>
    <w:rsid w:val="00690511"/>
    <w:rsid w:val="00690548"/>
    <w:rsid w:val="00690577"/>
    <w:rsid w:val="006905F2"/>
    <w:rsid w:val="00690613"/>
    <w:rsid w:val="0069064D"/>
    <w:rsid w:val="006906F9"/>
    <w:rsid w:val="0069079A"/>
    <w:rsid w:val="006907A2"/>
    <w:rsid w:val="006907D9"/>
    <w:rsid w:val="00690854"/>
    <w:rsid w:val="00690946"/>
    <w:rsid w:val="006909AA"/>
    <w:rsid w:val="00690A51"/>
    <w:rsid w:val="00690A58"/>
    <w:rsid w:val="00690A5F"/>
    <w:rsid w:val="00690A92"/>
    <w:rsid w:val="00690AE8"/>
    <w:rsid w:val="00690B47"/>
    <w:rsid w:val="00690B6A"/>
    <w:rsid w:val="00690B85"/>
    <w:rsid w:val="00690BBA"/>
    <w:rsid w:val="00690C49"/>
    <w:rsid w:val="00690CD1"/>
    <w:rsid w:val="00690D4C"/>
    <w:rsid w:val="00690D8B"/>
    <w:rsid w:val="00690D9A"/>
    <w:rsid w:val="00690DB1"/>
    <w:rsid w:val="00690E2F"/>
    <w:rsid w:val="00690E35"/>
    <w:rsid w:val="00690E3E"/>
    <w:rsid w:val="00690E66"/>
    <w:rsid w:val="00690E86"/>
    <w:rsid w:val="00690F02"/>
    <w:rsid w:val="00690FBF"/>
    <w:rsid w:val="00690FF2"/>
    <w:rsid w:val="0069108A"/>
    <w:rsid w:val="006910E5"/>
    <w:rsid w:val="00691103"/>
    <w:rsid w:val="00691129"/>
    <w:rsid w:val="0069113C"/>
    <w:rsid w:val="006911B9"/>
    <w:rsid w:val="0069125B"/>
    <w:rsid w:val="006912FD"/>
    <w:rsid w:val="0069132C"/>
    <w:rsid w:val="0069134E"/>
    <w:rsid w:val="00691446"/>
    <w:rsid w:val="006914B1"/>
    <w:rsid w:val="00691555"/>
    <w:rsid w:val="006915BF"/>
    <w:rsid w:val="00691639"/>
    <w:rsid w:val="006916AA"/>
    <w:rsid w:val="006916FA"/>
    <w:rsid w:val="006916FF"/>
    <w:rsid w:val="00691744"/>
    <w:rsid w:val="00691754"/>
    <w:rsid w:val="00691759"/>
    <w:rsid w:val="0069179F"/>
    <w:rsid w:val="006917AD"/>
    <w:rsid w:val="006917AE"/>
    <w:rsid w:val="0069182F"/>
    <w:rsid w:val="00691839"/>
    <w:rsid w:val="00691878"/>
    <w:rsid w:val="0069187F"/>
    <w:rsid w:val="00691883"/>
    <w:rsid w:val="006918DC"/>
    <w:rsid w:val="00691902"/>
    <w:rsid w:val="00691903"/>
    <w:rsid w:val="006919DB"/>
    <w:rsid w:val="006919FC"/>
    <w:rsid w:val="00691A31"/>
    <w:rsid w:val="00691A4F"/>
    <w:rsid w:val="00691A58"/>
    <w:rsid w:val="00691A5F"/>
    <w:rsid w:val="00691A83"/>
    <w:rsid w:val="00691AD1"/>
    <w:rsid w:val="00691AE3"/>
    <w:rsid w:val="00691B20"/>
    <w:rsid w:val="00691B27"/>
    <w:rsid w:val="00691B52"/>
    <w:rsid w:val="00691B8D"/>
    <w:rsid w:val="00691BC7"/>
    <w:rsid w:val="00691C3A"/>
    <w:rsid w:val="00691C46"/>
    <w:rsid w:val="00691CAF"/>
    <w:rsid w:val="00691CEA"/>
    <w:rsid w:val="00691CFB"/>
    <w:rsid w:val="00691DA9"/>
    <w:rsid w:val="00691EA8"/>
    <w:rsid w:val="00691F54"/>
    <w:rsid w:val="00691F81"/>
    <w:rsid w:val="00692002"/>
    <w:rsid w:val="0069201B"/>
    <w:rsid w:val="0069201C"/>
    <w:rsid w:val="00692021"/>
    <w:rsid w:val="00692056"/>
    <w:rsid w:val="006920C7"/>
    <w:rsid w:val="006920FB"/>
    <w:rsid w:val="00692108"/>
    <w:rsid w:val="00692134"/>
    <w:rsid w:val="00692173"/>
    <w:rsid w:val="00692182"/>
    <w:rsid w:val="00692189"/>
    <w:rsid w:val="006921A4"/>
    <w:rsid w:val="00692233"/>
    <w:rsid w:val="00692291"/>
    <w:rsid w:val="006922BC"/>
    <w:rsid w:val="006922D1"/>
    <w:rsid w:val="0069237C"/>
    <w:rsid w:val="006923D2"/>
    <w:rsid w:val="006923F2"/>
    <w:rsid w:val="00692462"/>
    <w:rsid w:val="0069246C"/>
    <w:rsid w:val="0069253C"/>
    <w:rsid w:val="0069253E"/>
    <w:rsid w:val="00692560"/>
    <w:rsid w:val="006925DF"/>
    <w:rsid w:val="00692683"/>
    <w:rsid w:val="0069268D"/>
    <w:rsid w:val="006926DD"/>
    <w:rsid w:val="00692720"/>
    <w:rsid w:val="0069272D"/>
    <w:rsid w:val="0069277E"/>
    <w:rsid w:val="00692782"/>
    <w:rsid w:val="006927BB"/>
    <w:rsid w:val="00692837"/>
    <w:rsid w:val="0069286C"/>
    <w:rsid w:val="006928CC"/>
    <w:rsid w:val="006928E5"/>
    <w:rsid w:val="006928EE"/>
    <w:rsid w:val="00692916"/>
    <w:rsid w:val="0069292D"/>
    <w:rsid w:val="00692943"/>
    <w:rsid w:val="00692977"/>
    <w:rsid w:val="00692A3E"/>
    <w:rsid w:val="00692B29"/>
    <w:rsid w:val="00692C00"/>
    <w:rsid w:val="00692C41"/>
    <w:rsid w:val="00692C43"/>
    <w:rsid w:val="00692C60"/>
    <w:rsid w:val="00692C79"/>
    <w:rsid w:val="00692C9A"/>
    <w:rsid w:val="00692CD1"/>
    <w:rsid w:val="00692CFA"/>
    <w:rsid w:val="00692D1A"/>
    <w:rsid w:val="00692D3B"/>
    <w:rsid w:val="00692D5A"/>
    <w:rsid w:val="00692DBE"/>
    <w:rsid w:val="00692E4F"/>
    <w:rsid w:val="00692E5B"/>
    <w:rsid w:val="00692E64"/>
    <w:rsid w:val="00692E7B"/>
    <w:rsid w:val="00692E9B"/>
    <w:rsid w:val="00692EAD"/>
    <w:rsid w:val="00692EBA"/>
    <w:rsid w:val="00692EF2"/>
    <w:rsid w:val="00692F6C"/>
    <w:rsid w:val="00692FBF"/>
    <w:rsid w:val="00692FF7"/>
    <w:rsid w:val="00693023"/>
    <w:rsid w:val="0069304D"/>
    <w:rsid w:val="00693075"/>
    <w:rsid w:val="006930D4"/>
    <w:rsid w:val="006930DC"/>
    <w:rsid w:val="006930E7"/>
    <w:rsid w:val="00693107"/>
    <w:rsid w:val="006931AE"/>
    <w:rsid w:val="0069321F"/>
    <w:rsid w:val="00693296"/>
    <w:rsid w:val="006932A1"/>
    <w:rsid w:val="006932D9"/>
    <w:rsid w:val="0069338E"/>
    <w:rsid w:val="006933D1"/>
    <w:rsid w:val="00693422"/>
    <w:rsid w:val="00693431"/>
    <w:rsid w:val="00693489"/>
    <w:rsid w:val="006934D1"/>
    <w:rsid w:val="0069351B"/>
    <w:rsid w:val="0069354C"/>
    <w:rsid w:val="0069356C"/>
    <w:rsid w:val="0069357E"/>
    <w:rsid w:val="0069359E"/>
    <w:rsid w:val="006935F7"/>
    <w:rsid w:val="00693635"/>
    <w:rsid w:val="00693665"/>
    <w:rsid w:val="006936E8"/>
    <w:rsid w:val="0069372C"/>
    <w:rsid w:val="00693740"/>
    <w:rsid w:val="006937B9"/>
    <w:rsid w:val="006937DA"/>
    <w:rsid w:val="00693850"/>
    <w:rsid w:val="0069387A"/>
    <w:rsid w:val="006938AC"/>
    <w:rsid w:val="006938C6"/>
    <w:rsid w:val="006938F2"/>
    <w:rsid w:val="00693924"/>
    <w:rsid w:val="00693966"/>
    <w:rsid w:val="00693975"/>
    <w:rsid w:val="0069398C"/>
    <w:rsid w:val="00693991"/>
    <w:rsid w:val="006939F5"/>
    <w:rsid w:val="00693A00"/>
    <w:rsid w:val="00693A79"/>
    <w:rsid w:val="00693AA8"/>
    <w:rsid w:val="00693ADA"/>
    <w:rsid w:val="00693B52"/>
    <w:rsid w:val="00693B5B"/>
    <w:rsid w:val="00693BF8"/>
    <w:rsid w:val="00693C19"/>
    <w:rsid w:val="00693C1C"/>
    <w:rsid w:val="00693CCD"/>
    <w:rsid w:val="00693D09"/>
    <w:rsid w:val="00693D61"/>
    <w:rsid w:val="00693D8D"/>
    <w:rsid w:val="00693E0B"/>
    <w:rsid w:val="00693E33"/>
    <w:rsid w:val="00693E9F"/>
    <w:rsid w:val="00693EBB"/>
    <w:rsid w:val="00693EEA"/>
    <w:rsid w:val="00693F56"/>
    <w:rsid w:val="00694003"/>
    <w:rsid w:val="0069405D"/>
    <w:rsid w:val="0069406E"/>
    <w:rsid w:val="00694125"/>
    <w:rsid w:val="006941D4"/>
    <w:rsid w:val="006941EB"/>
    <w:rsid w:val="00694273"/>
    <w:rsid w:val="006942BC"/>
    <w:rsid w:val="006942DA"/>
    <w:rsid w:val="006942F8"/>
    <w:rsid w:val="00694301"/>
    <w:rsid w:val="00694370"/>
    <w:rsid w:val="0069439A"/>
    <w:rsid w:val="006943BE"/>
    <w:rsid w:val="006943E6"/>
    <w:rsid w:val="006943F9"/>
    <w:rsid w:val="00694431"/>
    <w:rsid w:val="00694437"/>
    <w:rsid w:val="00694455"/>
    <w:rsid w:val="00694456"/>
    <w:rsid w:val="00694460"/>
    <w:rsid w:val="00694490"/>
    <w:rsid w:val="00694497"/>
    <w:rsid w:val="006944F1"/>
    <w:rsid w:val="006944F9"/>
    <w:rsid w:val="0069455B"/>
    <w:rsid w:val="0069462C"/>
    <w:rsid w:val="00694676"/>
    <w:rsid w:val="00694703"/>
    <w:rsid w:val="00694715"/>
    <w:rsid w:val="006947F1"/>
    <w:rsid w:val="006947F5"/>
    <w:rsid w:val="00694841"/>
    <w:rsid w:val="0069489D"/>
    <w:rsid w:val="0069489F"/>
    <w:rsid w:val="006948EB"/>
    <w:rsid w:val="00694999"/>
    <w:rsid w:val="0069499D"/>
    <w:rsid w:val="00694A1E"/>
    <w:rsid w:val="00694A21"/>
    <w:rsid w:val="00694A70"/>
    <w:rsid w:val="00694A78"/>
    <w:rsid w:val="00694AA3"/>
    <w:rsid w:val="00694B9D"/>
    <w:rsid w:val="00694BB4"/>
    <w:rsid w:val="00694BDF"/>
    <w:rsid w:val="00694BF8"/>
    <w:rsid w:val="00694D3E"/>
    <w:rsid w:val="00694D4D"/>
    <w:rsid w:val="00694D52"/>
    <w:rsid w:val="00694DC5"/>
    <w:rsid w:val="00694E2D"/>
    <w:rsid w:val="00694E37"/>
    <w:rsid w:val="00694E76"/>
    <w:rsid w:val="00694EA3"/>
    <w:rsid w:val="00694EB2"/>
    <w:rsid w:val="00694ED4"/>
    <w:rsid w:val="00694EE0"/>
    <w:rsid w:val="00694F0E"/>
    <w:rsid w:val="00694F16"/>
    <w:rsid w:val="00694FC1"/>
    <w:rsid w:val="00694FEF"/>
    <w:rsid w:val="00695017"/>
    <w:rsid w:val="00695062"/>
    <w:rsid w:val="00695073"/>
    <w:rsid w:val="00695075"/>
    <w:rsid w:val="006950E3"/>
    <w:rsid w:val="0069513C"/>
    <w:rsid w:val="00695181"/>
    <w:rsid w:val="00695194"/>
    <w:rsid w:val="0069520E"/>
    <w:rsid w:val="0069524A"/>
    <w:rsid w:val="0069524E"/>
    <w:rsid w:val="006952E7"/>
    <w:rsid w:val="00695307"/>
    <w:rsid w:val="0069533D"/>
    <w:rsid w:val="00695386"/>
    <w:rsid w:val="00695393"/>
    <w:rsid w:val="00695468"/>
    <w:rsid w:val="00695493"/>
    <w:rsid w:val="006954A2"/>
    <w:rsid w:val="006955A1"/>
    <w:rsid w:val="006955E2"/>
    <w:rsid w:val="006955E4"/>
    <w:rsid w:val="006955E9"/>
    <w:rsid w:val="00695623"/>
    <w:rsid w:val="006956E6"/>
    <w:rsid w:val="0069570A"/>
    <w:rsid w:val="006957EF"/>
    <w:rsid w:val="006958AC"/>
    <w:rsid w:val="00695927"/>
    <w:rsid w:val="00695950"/>
    <w:rsid w:val="00695A1B"/>
    <w:rsid w:val="00695AC2"/>
    <w:rsid w:val="00695B6D"/>
    <w:rsid w:val="00695BC1"/>
    <w:rsid w:val="00695C04"/>
    <w:rsid w:val="00695C0F"/>
    <w:rsid w:val="00695C6D"/>
    <w:rsid w:val="00695C70"/>
    <w:rsid w:val="00695C73"/>
    <w:rsid w:val="00695CE0"/>
    <w:rsid w:val="00695D00"/>
    <w:rsid w:val="00695D4D"/>
    <w:rsid w:val="00695D65"/>
    <w:rsid w:val="00695DD6"/>
    <w:rsid w:val="00695E0E"/>
    <w:rsid w:val="00695E18"/>
    <w:rsid w:val="00695E45"/>
    <w:rsid w:val="00695EE1"/>
    <w:rsid w:val="00696043"/>
    <w:rsid w:val="00696049"/>
    <w:rsid w:val="0069604B"/>
    <w:rsid w:val="0069606D"/>
    <w:rsid w:val="00696087"/>
    <w:rsid w:val="0069609E"/>
    <w:rsid w:val="006960AA"/>
    <w:rsid w:val="006960BF"/>
    <w:rsid w:val="006960E1"/>
    <w:rsid w:val="006960EF"/>
    <w:rsid w:val="00696101"/>
    <w:rsid w:val="0069616D"/>
    <w:rsid w:val="006961C1"/>
    <w:rsid w:val="006962B0"/>
    <w:rsid w:val="00696325"/>
    <w:rsid w:val="006963AE"/>
    <w:rsid w:val="006963B2"/>
    <w:rsid w:val="006963D6"/>
    <w:rsid w:val="006963DB"/>
    <w:rsid w:val="00696408"/>
    <w:rsid w:val="00696427"/>
    <w:rsid w:val="006964C2"/>
    <w:rsid w:val="006964CD"/>
    <w:rsid w:val="00696561"/>
    <w:rsid w:val="006965B5"/>
    <w:rsid w:val="006965D6"/>
    <w:rsid w:val="0069661B"/>
    <w:rsid w:val="0069662C"/>
    <w:rsid w:val="00696664"/>
    <w:rsid w:val="006966E9"/>
    <w:rsid w:val="006966EE"/>
    <w:rsid w:val="0069674E"/>
    <w:rsid w:val="0069677B"/>
    <w:rsid w:val="006967B2"/>
    <w:rsid w:val="0069687A"/>
    <w:rsid w:val="00696A05"/>
    <w:rsid w:val="00696A24"/>
    <w:rsid w:val="00696A3E"/>
    <w:rsid w:val="00696A5C"/>
    <w:rsid w:val="00696A9A"/>
    <w:rsid w:val="00696AB4"/>
    <w:rsid w:val="00696ABA"/>
    <w:rsid w:val="00696ACF"/>
    <w:rsid w:val="00696B23"/>
    <w:rsid w:val="00696B4A"/>
    <w:rsid w:val="00696B53"/>
    <w:rsid w:val="00696B97"/>
    <w:rsid w:val="00696BA6"/>
    <w:rsid w:val="00696BBE"/>
    <w:rsid w:val="00696C2D"/>
    <w:rsid w:val="00696C44"/>
    <w:rsid w:val="00696C4A"/>
    <w:rsid w:val="00696C4B"/>
    <w:rsid w:val="00696C76"/>
    <w:rsid w:val="00696C93"/>
    <w:rsid w:val="00696E99"/>
    <w:rsid w:val="00696E9B"/>
    <w:rsid w:val="00696EA2"/>
    <w:rsid w:val="00696EC2"/>
    <w:rsid w:val="00696F41"/>
    <w:rsid w:val="00696FC0"/>
    <w:rsid w:val="0069703A"/>
    <w:rsid w:val="00697061"/>
    <w:rsid w:val="00697084"/>
    <w:rsid w:val="00697085"/>
    <w:rsid w:val="006970AD"/>
    <w:rsid w:val="006970F6"/>
    <w:rsid w:val="0069712C"/>
    <w:rsid w:val="00697136"/>
    <w:rsid w:val="00697147"/>
    <w:rsid w:val="0069720D"/>
    <w:rsid w:val="0069725E"/>
    <w:rsid w:val="00697282"/>
    <w:rsid w:val="006972D6"/>
    <w:rsid w:val="00697304"/>
    <w:rsid w:val="0069730A"/>
    <w:rsid w:val="00697313"/>
    <w:rsid w:val="00697351"/>
    <w:rsid w:val="0069736D"/>
    <w:rsid w:val="00697377"/>
    <w:rsid w:val="00697386"/>
    <w:rsid w:val="006973D7"/>
    <w:rsid w:val="006973EA"/>
    <w:rsid w:val="00697433"/>
    <w:rsid w:val="00697513"/>
    <w:rsid w:val="00697532"/>
    <w:rsid w:val="00697553"/>
    <w:rsid w:val="0069759D"/>
    <w:rsid w:val="006975D7"/>
    <w:rsid w:val="0069762C"/>
    <w:rsid w:val="0069763F"/>
    <w:rsid w:val="00697655"/>
    <w:rsid w:val="0069765D"/>
    <w:rsid w:val="00697672"/>
    <w:rsid w:val="006976DC"/>
    <w:rsid w:val="006976EE"/>
    <w:rsid w:val="00697734"/>
    <w:rsid w:val="006977CF"/>
    <w:rsid w:val="00697806"/>
    <w:rsid w:val="00697814"/>
    <w:rsid w:val="0069785C"/>
    <w:rsid w:val="006978CA"/>
    <w:rsid w:val="006978D1"/>
    <w:rsid w:val="006978EF"/>
    <w:rsid w:val="00697927"/>
    <w:rsid w:val="0069799A"/>
    <w:rsid w:val="0069799B"/>
    <w:rsid w:val="006979C8"/>
    <w:rsid w:val="006979E1"/>
    <w:rsid w:val="006979EF"/>
    <w:rsid w:val="00697AEB"/>
    <w:rsid w:val="00697AF4"/>
    <w:rsid w:val="00697B42"/>
    <w:rsid w:val="00697B5B"/>
    <w:rsid w:val="00697B8C"/>
    <w:rsid w:val="00697BBC"/>
    <w:rsid w:val="00697BBD"/>
    <w:rsid w:val="00697BD9"/>
    <w:rsid w:val="00697C1F"/>
    <w:rsid w:val="00697C3F"/>
    <w:rsid w:val="00697CB0"/>
    <w:rsid w:val="00697CBD"/>
    <w:rsid w:val="00697CC3"/>
    <w:rsid w:val="00697CF2"/>
    <w:rsid w:val="00697D1F"/>
    <w:rsid w:val="00697D54"/>
    <w:rsid w:val="00697D5F"/>
    <w:rsid w:val="00697D63"/>
    <w:rsid w:val="00697D6B"/>
    <w:rsid w:val="00697D9A"/>
    <w:rsid w:val="00697DB0"/>
    <w:rsid w:val="00697DDB"/>
    <w:rsid w:val="00697DFF"/>
    <w:rsid w:val="00697E6C"/>
    <w:rsid w:val="00697E74"/>
    <w:rsid w:val="00697ECB"/>
    <w:rsid w:val="00697ED7"/>
    <w:rsid w:val="00697F09"/>
    <w:rsid w:val="00697F81"/>
    <w:rsid w:val="00697F9F"/>
    <w:rsid w:val="00697FB5"/>
    <w:rsid w:val="00697FDB"/>
    <w:rsid w:val="006A0008"/>
    <w:rsid w:val="006A000F"/>
    <w:rsid w:val="006A0016"/>
    <w:rsid w:val="006A0050"/>
    <w:rsid w:val="006A005B"/>
    <w:rsid w:val="006A0086"/>
    <w:rsid w:val="006A00A2"/>
    <w:rsid w:val="006A00E3"/>
    <w:rsid w:val="006A0161"/>
    <w:rsid w:val="006A0166"/>
    <w:rsid w:val="006A0197"/>
    <w:rsid w:val="006A01E7"/>
    <w:rsid w:val="006A01F7"/>
    <w:rsid w:val="006A0216"/>
    <w:rsid w:val="006A025D"/>
    <w:rsid w:val="006A028E"/>
    <w:rsid w:val="006A0319"/>
    <w:rsid w:val="006A0352"/>
    <w:rsid w:val="006A0396"/>
    <w:rsid w:val="006A03E3"/>
    <w:rsid w:val="006A03EA"/>
    <w:rsid w:val="006A03F5"/>
    <w:rsid w:val="006A040E"/>
    <w:rsid w:val="006A047F"/>
    <w:rsid w:val="006A0480"/>
    <w:rsid w:val="006A0496"/>
    <w:rsid w:val="006A049F"/>
    <w:rsid w:val="006A04B7"/>
    <w:rsid w:val="006A04E4"/>
    <w:rsid w:val="006A050B"/>
    <w:rsid w:val="006A0510"/>
    <w:rsid w:val="006A051F"/>
    <w:rsid w:val="006A0605"/>
    <w:rsid w:val="006A0702"/>
    <w:rsid w:val="006A0739"/>
    <w:rsid w:val="006A075A"/>
    <w:rsid w:val="006A07E2"/>
    <w:rsid w:val="006A0848"/>
    <w:rsid w:val="006A0871"/>
    <w:rsid w:val="006A08C7"/>
    <w:rsid w:val="006A091F"/>
    <w:rsid w:val="006A0939"/>
    <w:rsid w:val="006A09BE"/>
    <w:rsid w:val="006A0ABB"/>
    <w:rsid w:val="006A0B2E"/>
    <w:rsid w:val="006A0B72"/>
    <w:rsid w:val="006A0BAF"/>
    <w:rsid w:val="006A0BB1"/>
    <w:rsid w:val="006A0BCE"/>
    <w:rsid w:val="006A0BE1"/>
    <w:rsid w:val="006A0C30"/>
    <w:rsid w:val="006A0C8B"/>
    <w:rsid w:val="006A0E05"/>
    <w:rsid w:val="006A0E1D"/>
    <w:rsid w:val="006A0E4A"/>
    <w:rsid w:val="006A0E9E"/>
    <w:rsid w:val="006A0ED9"/>
    <w:rsid w:val="006A0F3D"/>
    <w:rsid w:val="006A0F60"/>
    <w:rsid w:val="006A0F66"/>
    <w:rsid w:val="006A0F82"/>
    <w:rsid w:val="006A0F8E"/>
    <w:rsid w:val="006A0F99"/>
    <w:rsid w:val="006A0F9B"/>
    <w:rsid w:val="006A0FC7"/>
    <w:rsid w:val="006A0FC8"/>
    <w:rsid w:val="006A1015"/>
    <w:rsid w:val="006A101D"/>
    <w:rsid w:val="006A10DA"/>
    <w:rsid w:val="006A1119"/>
    <w:rsid w:val="006A1129"/>
    <w:rsid w:val="006A11C9"/>
    <w:rsid w:val="006A11EA"/>
    <w:rsid w:val="006A128B"/>
    <w:rsid w:val="006A12B6"/>
    <w:rsid w:val="006A12D6"/>
    <w:rsid w:val="006A1350"/>
    <w:rsid w:val="006A1380"/>
    <w:rsid w:val="006A1392"/>
    <w:rsid w:val="006A139F"/>
    <w:rsid w:val="006A13F4"/>
    <w:rsid w:val="006A13FC"/>
    <w:rsid w:val="006A1459"/>
    <w:rsid w:val="006A1465"/>
    <w:rsid w:val="006A1466"/>
    <w:rsid w:val="006A154F"/>
    <w:rsid w:val="006A1574"/>
    <w:rsid w:val="006A15DC"/>
    <w:rsid w:val="006A1623"/>
    <w:rsid w:val="006A1758"/>
    <w:rsid w:val="006A1797"/>
    <w:rsid w:val="006A1826"/>
    <w:rsid w:val="006A186B"/>
    <w:rsid w:val="006A187E"/>
    <w:rsid w:val="006A1942"/>
    <w:rsid w:val="006A1A27"/>
    <w:rsid w:val="006A1A47"/>
    <w:rsid w:val="006A1ABF"/>
    <w:rsid w:val="006A1B42"/>
    <w:rsid w:val="006A1B53"/>
    <w:rsid w:val="006A1B9B"/>
    <w:rsid w:val="006A1BC7"/>
    <w:rsid w:val="006A1BD1"/>
    <w:rsid w:val="006A1BFC"/>
    <w:rsid w:val="006A1C76"/>
    <w:rsid w:val="006A1C78"/>
    <w:rsid w:val="006A1C93"/>
    <w:rsid w:val="006A1D07"/>
    <w:rsid w:val="006A1D5E"/>
    <w:rsid w:val="006A1D83"/>
    <w:rsid w:val="006A1DD0"/>
    <w:rsid w:val="006A1E31"/>
    <w:rsid w:val="006A1E49"/>
    <w:rsid w:val="006A1EE4"/>
    <w:rsid w:val="006A1F31"/>
    <w:rsid w:val="006A1FF8"/>
    <w:rsid w:val="006A2027"/>
    <w:rsid w:val="006A2034"/>
    <w:rsid w:val="006A2062"/>
    <w:rsid w:val="006A2092"/>
    <w:rsid w:val="006A2105"/>
    <w:rsid w:val="006A21BA"/>
    <w:rsid w:val="006A21C0"/>
    <w:rsid w:val="006A21C7"/>
    <w:rsid w:val="006A2265"/>
    <w:rsid w:val="006A2324"/>
    <w:rsid w:val="006A237B"/>
    <w:rsid w:val="006A23A3"/>
    <w:rsid w:val="006A23C2"/>
    <w:rsid w:val="006A23D6"/>
    <w:rsid w:val="006A2463"/>
    <w:rsid w:val="006A2470"/>
    <w:rsid w:val="006A24BD"/>
    <w:rsid w:val="006A257A"/>
    <w:rsid w:val="006A259F"/>
    <w:rsid w:val="006A25AE"/>
    <w:rsid w:val="006A2600"/>
    <w:rsid w:val="006A2602"/>
    <w:rsid w:val="006A264A"/>
    <w:rsid w:val="006A264B"/>
    <w:rsid w:val="006A265C"/>
    <w:rsid w:val="006A267C"/>
    <w:rsid w:val="006A26CB"/>
    <w:rsid w:val="006A2714"/>
    <w:rsid w:val="006A2723"/>
    <w:rsid w:val="006A2765"/>
    <w:rsid w:val="006A27E1"/>
    <w:rsid w:val="006A280D"/>
    <w:rsid w:val="006A2818"/>
    <w:rsid w:val="006A2828"/>
    <w:rsid w:val="006A2847"/>
    <w:rsid w:val="006A2860"/>
    <w:rsid w:val="006A28AC"/>
    <w:rsid w:val="006A28EA"/>
    <w:rsid w:val="006A2926"/>
    <w:rsid w:val="006A29AC"/>
    <w:rsid w:val="006A2A06"/>
    <w:rsid w:val="006A2A4D"/>
    <w:rsid w:val="006A2AEE"/>
    <w:rsid w:val="006A2B09"/>
    <w:rsid w:val="006A2B5C"/>
    <w:rsid w:val="006A2B61"/>
    <w:rsid w:val="006A2BEC"/>
    <w:rsid w:val="006A2BFD"/>
    <w:rsid w:val="006A2C72"/>
    <w:rsid w:val="006A2C89"/>
    <w:rsid w:val="006A2C90"/>
    <w:rsid w:val="006A2CA1"/>
    <w:rsid w:val="006A2CD8"/>
    <w:rsid w:val="006A2D16"/>
    <w:rsid w:val="006A2D5B"/>
    <w:rsid w:val="006A2D61"/>
    <w:rsid w:val="006A2D78"/>
    <w:rsid w:val="006A2D7E"/>
    <w:rsid w:val="006A2DC9"/>
    <w:rsid w:val="006A2DE9"/>
    <w:rsid w:val="006A2EDF"/>
    <w:rsid w:val="006A2EE6"/>
    <w:rsid w:val="006A2EEA"/>
    <w:rsid w:val="006A2F1A"/>
    <w:rsid w:val="006A2F38"/>
    <w:rsid w:val="006A2F66"/>
    <w:rsid w:val="006A300D"/>
    <w:rsid w:val="006A3034"/>
    <w:rsid w:val="006A3046"/>
    <w:rsid w:val="006A3048"/>
    <w:rsid w:val="006A304E"/>
    <w:rsid w:val="006A3068"/>
    <w:rsid w:val="006A30BC"/>
    <w:rsid w:val="006A30D5"/>
    <w:rsid w:val="006A3126"/>
    <w:rsid w:val="006A316C"/>
    <w:rsid w:val="006A3185"/>
    <w:rsid w:val="006A31BA"/>
    <w:rsid w:val="006A31CA"/>
    <w:rsid w:val="006A3270"/>
    <w:rsid w:val="006A32EA"/>
    <w:rsid w:val="006A32F3"/>
    <w:rsid w:val="006A3353"/>
    <w:rsid w:val="006A3397"/>
    <w:rsid w:val="006A33C8"/>
    <w:rsid w:val="006A33E0"/>
    <w:rsid w:val="006A341A"/>
    <w:rsid w:val="006A344C"/>
    <w:rsid w:val="006A34AF"/>
    <w:rsid w:val="006A34D8"/>
    <w:rsid w:val="006A34FC"/>
    <w:rsid w:val="006A357E"/>
    <w:rsid w:val="006A35C1"/>
    <w:rsid w:val="006A35E2"/>
    <w:rsid w:val="006A3607"/>
    <w:rsid w:val="006A373F"/>
    <w:rsid w:val="006A3751"/>
    <w:rsid w:val="006A3796"/>
    <w:rsid w:val="006A3813"/>
    <w:rsid w:val="006A3829"/>
    <w:rsid w:val="006A3852"/>
    <w:rsid w:val="006A38AB"/>
    <w:rsid w:val="006A38AF"/>
    <w:rsid w:val="006A38C4"/>
    <w:rsid w:val="006A38EC"/>
    <w:rsid w:val="006A38F8"/>
    <w:rsid w:val="006A3923"/>
    <w:rsid w:val="006A3937"/>
    <w:rsid w:val="006A393B"/>
    <w:rsid w:val="006A3973"/>
    <w:rsid w:val="006A3988"/>
    <w:rsid w:val="006A39AE"/>
    <w:rsid w:val="006A3A02"/>
    <w:rsid w:val="006A3A0F"/>
    <w:rsid w:val="006A3A42"/>
    <w:rsid w:val="006A3A4B"/>
    <w:rsid w:val="006A3A7D"/>
    <w:rsid w:val="006A3A94"/>
    <w:rsid w:val="006A3A96"/>
    <w:rsid w:val="006A3B0C"/>
    <w:rsid w:val="006A3B1D"/>
    <w:rsid w:val="006A3B7B"/>
    <w:rsid w:val="006A3BDB"/>
    <w:rsid w:val="006A3C45"/>
    <w:rsid w:val="006A3C8E"/>
    <w:rsid w:val="006A3CBF"/>
    <w:rsid w:val="006A3CF6"/>
    <w:rsid w:val="006A3D2F"/>
    <w:rsid w:val="006A3D61"/>
    <w:rsid w:val="006A3D67"/>
    <w:rsid w:val="006A3E1E"/>
    <w:rsid w:val="006A3E2C"/>
    <w:rsid w:val="006A3E37"/>
    <w:rsid w:val="006A3E4D"/>
    <w:rsid w:val="006A3E56"/>
    <w:rsid w:val="006A3F48"/>
    <w:rsid w:val="006A3FCA"/>
    <w:rsid w:val="006A4011"/>
    <w:rsid w:val="006A4021"/>
    <w:rsid w:val="006A4072"/>
    <w:rsid w:val="006A40ED"/>
    <w:rsid w:val="006A4133"/>
    <w:rsid w:val="006A416B"/>
    <w:rsid w:val="006A4191"/>
    <w:rsid w:val="006A41C2"/>
    <w:rsid w:val="006A41D1"/>
    <w:rsid w:val="006A41F1"/>
    <w:rsid w:val="006A4252"/>
    <w:rsid w:val="006A42CE"/>
    <w:rsid w:val="006A42EE"/>
    <w:rsid w:val="006A4313"/>
    <w:rsid w:val="006A431A"/>
    <w:rsid w:val="006A4355"/>
    <w:rsid w:val="006A435F"/>
    <w:rsid w:val="006A43E6"/>
    <w:rsid w:val="006A43ED"/>
    <w:rsid w:val="006A43F5"/>
    <w:rsid w:val="006A442D"/>
    <w:rsid w:val="006A4471"/>
    <w:rsid w:val="006A44A1"/>
    <w:rsid w:val="006A44A5"/>
    <w:rsid w:val="006A44BB"/>
    <w:rsid w:val="006A45AA"/>
    <w:rsid w:val="006A45E6"/>
    <w:rsid w:val="006A461A"/>
    <w:rsid w:val="006A4656"/>
    <w:rsid w:val="006A4687"/>
    <w:rsid w:val="006A4688"/>
    <w:rsid w:val="006A46AD"/>
    <w:rsid w:val="006A479E"/>
    <w:rsid w:val="006A47BC"/>
    <w:rsid w:val="006A4847"/>
    <w:rsid w:val="006A4889"/>
    <w:rsid w:val="006A48A2"/>
    <w:rsid w:val="006A48B3"/>
    <w:rsid w:val="006A4914"/>
    <w:rsid w:val="006A4917"/>
    <w:rsid w:val="006A4A14"/>
    <w:rsid w:val="006A4A99"/>
    <w:rsid w:val="006A4AAE"/>
    <w:rsid w:val="006A4ABE"/>
    <w:rsid w:val="006A4AC0"/>
    <w:rsid w:val="006A4B03"/>
    <w:rsid w:val="006A4B98"/>
    <w:rsid w:val="006A4BB1"/>
    <w:rsid w:val="006A4C77"/>
    <w:rsid w:val="006A4C8C"/>
    <w:rsid w:val="006A4D16"/>
    <w:rsid w:val="006A4D1B"/>
    <w:rsid w:val="006A4D25"/>
    <w:rsid w:val="006A4D49"/>
    <w:rsid w:val="006A4D6F"/>
    <w:rsid w:val="006A4D75"/>
    <w:rsid w:val="006A4DC6"/>
    <w:rsid w:val="006A4E43"/>
    <w:rsid w:val="006A4EB2"/>
    <w:rsid w:val="006A4F7B"/>
    <w:rsid w:val="006A4F98"/>
    <w:rsid w:val="006A4FC5"/>
    <w:rsid w:val="006A4FD8"/>
    <w:rsid w:val="006A5010"/>
    <w:rsid w:val="006A5032"/>
    <w:rsid w:val="006A503B"/>
    <w:rsid w:val="006A50AB"/>
    <w:rsid w:val="006A50D3"/>
    <w:rsid w:val="006A50EE"/>
    <w:rsid w:val="006A511D"/>
    <w:rsid w:val="006A5132"/>
    <w:rsid w:val="006A514B"/>
    <w:rsid w:val="006A5171"/>
    <w:rsid w:val="006A518A"/>
    <w:rsid w:val="006A5219"/>
    <w:rsid w:val="006A5261"/>
    <w:rsid w:val="006A53B7"/>
    <w:rsid w:val="006A53E1"/>
    <w:rsid w:val="006A53FB"/>
    <w:rsid w:val="006A5422"/>
    <w:rsid w:val="006A542B"/>
    <w:rsid w:val="006A543D"/>
    <w:rsid w:val="006A5469"/>
    <w:rsid w:val="006A54C6"/>
    <w:rsid w:val="006A54DF"/>
    <w:rsid w:val="006A54E9"/>
    <w:rsid w:val="006A554B"/>
    <w:rsid w:val="006A55BC"/>
    <w:rsid w:val="006A55BE"/>
    <w:rsid w:val="006A55EF"/>
    <w:rsid w:val="006A55FB"/>
    <w:rsid w:val="006A5610"/>
    <w:rsid w:val="006A56BB"/>
    <w:rsid w:val="006A5746"/>
    <w:rsid w:val="006A575A"/>
    <w:rsid w:val="006A57AD"/>
    <w:rsid w:val="006A57F1"/>
    <w:rsid w:val="006A5803"/>
    <w:rsid w:val="006A5879"/>
    <w:rsid w:val="006A59B6"/>
    <w:rsid w:val="006A59C4"/>
    <w:rsid w:val="006A59C8"/>
    <w:rsid w:val="006A59D5"/>
    <w:rsid w:val="006A5A90"/>
    <w:rsid w:val="006A5ABF"/>
    <w:rsid w:val="006A5AE4"/>
    <w:rsid w:val="006A5AEE"/>
    <w:rsid w:val="006A5BE2"/>
    <w:rsid w:val="006A5BE7"/>
    <w:rsid w:val="006A5C3B"/>
    <w:rsid w:val="006A5C84"/>
    <w:rsid w:val="006A5CED"/>
    <w:rsid w:val="006A5D8A"/>
    <w:rsid w:val="006A5DCE"/>
    <w:rsid w:val="006A5E13"/>
    <w:rsid w:val="006A5E50"/>
    <w:rsid w:val="006A5EA1"/>
    <w:rsid w:val="006A5EA5"/>
    <w:rsid w:val="006A5EBC"/>
    <w:rsid w:val="006A5ECB"/>
    <w:rsid w:val="006A5EDD"/>
    <w:rsid w:val="006A5F28"/>
    <w:rsid w:val="006A5F68"/>
    <w:rsid w:val="006A5F6B"/>
    <w:rsid w:val="006A5F70"/>
    <w:rsid w:val="006A5FB6"/>
    <w:rsid w:val="006A5FF3"/>
    <w:rsid w:val="006A604C"/>
    <w:rsid w:val="006A6058"/>
    <w:rsid w:val="006A6094"/>
    <w:rsid w:val="006A6142"/>
    <w:rsid w:val="006A618B"/>
    <w:rsid w:val="006A61E0"/>
    <w:rsid w:val="006A6224"/>
    <w:rsid w:val="006A6263"/>
    <w:rsid w:val="006A62D3"/>
    <w:rsid w:val="006A62DA"/>
    <w:rsid w:val="006A6339"/>
    <w:rsid w:val="006A6378"/>
    <w:rsid w:val="006A63C5"/>
    <w:rsid w:val="006A63CA"/>
    <w:rsid w:val="006A63F7"/>
    <w:rsid w:val="006A640C"/>
    <w:rsid w:val="006A6415"/>
    <w:rsid w:val="006A649B"/>
    <w:rsid w:val="006A64AA"/>
    <w:rsid w:val="006A64D8"/>
    <w:rsid w:val="006A65D0"/>
    <w:rsid w:val="006A6603"/>
    <w:rsid w:val="006A660F"/>
    <w:rsid w:val="006A6660"/>
    <w:rsid w:val="006A668D"/>
    <w:rsid w:val="006A677F"/>
    <w:rsid w:val="006A6797"/>
    <w:rsid w:val="006A67F6"/>
    <w:rsid w:val="006A6844"/>
    <w:rsid w:val="006A6894"/>
    <w:rsid w:val="006A68A7"/>
    <w:rsid w:val="006A68B4"/>
    <w:rsid w:val="006A68CA"/>
    <w:rsid w:val="006A68F8"/>
    <w:rsid w:val="006A6931"/>
    <w:rsid w:val="006A695F"/>
    <w:rsid w:val="006A698D"/>
    <w:rsid w:val="006A69D0"/>
    <w:rsid w:val="006A69D1"/>
    <w:rsid w:val="006A69E1"/>
    <w:rsid w:val="006A6A52"/>
    <w:rsid w:val="006A6AB7"/>
    <w:rsid w:val="006A6AD1"/>
    <w:rsid w:val="006A6B0C"/>
    <w:rsid w:val="006A6C06"/>
    <w:rsid w:val="006A6C43"/>
    <w:rsid w:val="006A6C55"/>
    <w:rsid w:val="006A6C64"/>
    <w:rsid w:val="006A6C93"/>
    <w:rsid w:val="006A6D0D"/>
    <w:rsid w:val="006A6D72"/>
    <w:rsid w:val="006A6DAB"/>
    <w:rsid w:val="006A6DB4"/>
    <w:rsid w:val="006A6DE9"/>
    <w:rsid w:val="006A6DFC"/>
    <w:rsid w:val="006A6E5D"/>
    <w:rsid w:val="006A6E76"/>
    <w:rsid w:val="006A6EAC"/>
    <w:rsid w:val="006A6FAA"/>
    <w:rsid w:val="006A7075"/>
    <w:rsid w:val="006A70B2"/>
    <w:rsid w:val="006A710E"/>
    <w:rsid w:val="006A71B4"/>
    <w:rsid w:val="006A7240"/>
    <w:rsid w:val="006A7286"/>
    <w:rsid w:val="006A72A0"/>
    <w:rsid w:val="006A731B"/>
    <w:rsid w:val="006A734E"/>
    <w:rsid w:val="006A7390"/>
    <w:rsid w:val="006A73AA"/>
    <w:rsid w:val="006A7426"/>
    <w:rsid w:val="006A7434"/>
    <w:rsid w:val="006A7448"/>
    <w:rsid w:val="006A7462"/>
    <w:rsid w:val="006A74B3"/>
    <w:rsid w:val="006A74DC"/>
    <w:rsid w:val="006A7500"/>
    <w:rsid w:val="006A751D"/>
    <w:rsid w:val="006A7557"/>
    <w:rsid w:val="006A7570"/>
    <w:rsid w:val="006A758C"/>
    <w:rsid w:val="006A75B9"/>
    <w:rsid w:val="006A75BE"/>
    <w:rsid w:val="006A75E5"/>
    <w:rsid w:val="006A761E"/>
    <w:rsid w:val="006A77AB"/>
    <w:rsid w:val="006A77C0"/>
    <w:rsid w:val="006A77D3"/>
    <w:rsid w:val="006A77DE"/>
    <w:rsid w:val="006A7861"/>
    <w:rsid w:val="006A791B"/>
    <w:rsid w:val="006A7950"/>
    <w:rsid w:val="006A79E8"/>
    <w:rsid w:val="006A7A3A"/>
    <w:rsid w:val="006A7A46"/>
    <w:rsid w:val="006A7A6A"/>
    <w:rsid w:val="006A7A78"/>
    <w:rsid w:val="006A7B6C"/>
    <w:rsid w:val="006A7B6E"/>
    <w:rsid w:val="006A7BDA"/>
    <w:rsid w:val="006A7C0D"/>
    <w:rsid w:val="006A7C6B"/>
    <w:rsid w:val="006A7D74"/>
    <w:rsid w:val="006A7DC2"/>
    <w:rsid w:val="006A7DCA"/>
    <w:rsid w:val="006A7EEB"/>
    <w:rsid w:val="006A7FDC"/>
    <w:rsid w:val="006A7FF2"/>
    <w:rsid w:val="006B0042"/>
    <w:rsid w:val="006B007B"/>
    <w:rsid w:val="006B0096"/>
    <w:rsid w:val="006B00E9"/>
    <w:rsid w:val="006B01C1"/>
    <w:rsid w:val="006B0252"/>
    <w:rsid w:val="006B026C"/>
    <w:rsid w:val="006B0271"/>
    <w:rsid w:val="006B027E"/>
    <w:rsid w:val="006B0288"/>
    <w:rsid w:val="006B031A"/>
    <w:rsid w:val="006B0339"/>
    <w:rsid w:val="006B0344"/>
    <w:rsid w:val="006B034E"/>
    <w:rsid w:val="006B0357"/>
    <w:rsid w:val="006B0369"/>
    <w:rsid w:val="006B03EC"/>
    <w:rsid w:val="006B03F1"/>
    <w:rsid w:val="006B044C"/>
    <w:rsid w:val="006B04CE"/>
    <w:rsid w:val="006B0547"/>
    <w:rsid w:val="006B055F"/>
    <w:rsid w:val="006B05EE"/>
    <w:rsid w:val="006B0612"/>
    <w:rsid w:val="006B0617"/>
    <w:rsid w:val="006B0652"/>
    <w:rsid w:val="006B0662"/>
    <w:rsid w:val="006B066B"/>
    <w:rsid w:val="006B0686"/>
    <w:rsid w:val="006B068F"/>
    <w:rsid w:val="006B06BF"/>
    <w:rsid w:val="006B0747"/>
    <w:rsid w:val="006B077C"/>
    <w:rsid w:val="006B07EA"/>
    <w:rsid w:val="006B07EF"/>
    <w:rsid w:val="006B0861"/>
    <w:rsid w:val="006B0897"/>
    <w:rsid w:val="006B08A3"/>
    <w:rsid w:val="006B08BA"/>
    <w:rsid w:val="006B0915"/>
    <w:rsid w:val="006B0977"/>
    <w:rsid w:val="006B09A3"/>
    <w:rsid w:val="006B09DD"/>
    <w:rsid w:val="006B09E7"/>
    <w:rsid w:val="006B0A37"/>
    <w:rsid w:val="006B0AD0"/>
    <w:rsid w:val="006B0AF8"/>
    <w:rsid w:val="006B0C7C"/>
    <w:rsid w:val="006B0CE6"/>
    <w:rsid w:val="006B0F1F"/>
    <w:rsid w:val="006B0F22"/>
    <w:rsid w:val="006B0F4E"/>
    <w:rsid w:val="006B0FB4"/>
    <w:rsid w:val="006B0FB9"/>
    <w:rsid w:val="006B1055"/>
    <w:rsid w:val="006B1090"/>
    <w:rsid w:val="006B10A5"/>
    <w:rsid w:val="006B10A9"/>
    <w:rsid w:val="006B10AA"/>
    <w:rsid w:val="006B10D5"/>
    <w:rsid w:val="006B10F8"/>
    <w:rsid w:val="006B114B"/>
    <w:rsid w:val="006B1163"/>
    <w:rsid w:val="006B117F"/>
    <w:rsid w:val="006B11B4"/>
    <w:rsid w:val="006B11C9"/>
    <w:rsid w:val="006B11CA"/>
    <w:rsid w:val="006B11DC"/>
    <w:rsid w:val="006B120D"/>
    <w:rsid w:val="006B121E"/>
    <w:rsid w:val="006B1279"/>
    <w:rsid w:val="006B12B7"/>
    <w:rsid w:val="006B12B8"/>
    <w:rsid w:val="006B1312"/>
    <w:rsid w:val="006B1324"/>
    <w:rsid w:val="006B132B"/>
    <w:rsid w:val="006B1334"/>
    <w:rsid w:val="006B135C"/>
    <w:rsid w:val="006B1383"/>
    <w:rsid w:val="006B138E"/>
    <w:rsid w:val="006B13A2"/>
    <w:rsid w:val="006B13D0"/>
    <w:rsid w:val="006B1419"/>
    <w:rsid w:val="006B1427"/>
    <w:rsid w:val="006B1480"/>
    <w:rsid w:val="006B14F5"/>
    <w:rsid w:val="006B1519"/>
    <w:rsid w:val="006B156C"/>
    <w:rsid w:val="006B158F"/>
    <w:rsid w:val="006B1590"/>
    <w:rsid w:val="006B15A3"/>
    <w:rsid w:val="006B15B7"/>
    <w:rsid w:val="006B15D3"/>
    <w:rsid w:val="006B160E"/>
    <w:rsid w:val="006B171C"/>
    <w:rsid w:val="006B1721"/>
    <w:rsid w:val="006B175F"/>
    <w:rsid w:val="006B17BD"/>
    <w:rsid w:val="006B180C"/>
    <w:rsid w:val="006B19EC"/>
    <w:rsid w:val="006B1B4A"/>
    <w:rsid w:val="006B1BCA"/>
    <w:rsid w:val="006B1BEF"/>
    <w:rsid w:val="006B1BFC"/>
    <w:rsid w:val="006B1C9F"/>
    <w:rsid w:val="006B1D59"/>
    <w:rsid w:val="006B1D63"/>
    <w:rsid w:val="006B1D69"/>
    <w:rsid w:val="006B1DB4"/>
    <w:rsid w:val="006B1DED"/>
    <w:rsid w:val="006B1DF8"/>
    <w:rsid w:val="006B1E0A"/>
    <w:rsid w:val="006B1E80"/>
    <w:rsid w:val="006B1EB4"/>
    <w:rsid w:val="006B1EDC"/>
    <w:rsid w:val="006B1FF3"/>
    <w:rsid w:val="006B2069"/>
    <w:rsid w:val="006B20B8"/>
    <w:rsid w:val="006B20D4"/>
    <w:rsid w:val="006B2159"/>
    <w:rsid w:val="006B216A"/>
    <w:rsid w:val="006B2171"/>
    <w:rsid w:val="006B21A4"/>
    <w:rsid w:val="006B2212"/>
    <w:rsid w:val="006B225D"/>
    <w:rsid w:val="006B2291"/>
    <w:rsid w:val="006B2303"/>
    <w:rsid w:val="006B231D"/>
    <w:rsid w:val="006B2356"/>
    <w:rsid w:val="006B2371"/>
    <w:rsid w:val="006B237C"/>
    <w:rsid w:val="006B2385"/>
    <w:rsid w:val="006B238D"/>
    <w:rsid w:val="006B2458"/>
    <w:rsid w:val="006B2460"/>
    <w:rsid w:val="006B248B"/>
    <w:rsid w:val="006B24AA"/>
    <w:rsid w:val="006B24BD"/>
    <w:rsid w:val="006B2551"/>
    <w:rsid w:val="006B255D"/>
    <w:rsid w:val="006B2600"/>
    <w:rsid w:val="006B267F"/>
    <w:rsid w:val="006B269A"/>
    <w:rsid w:val="006B2702"/>
    <w:rsid w:val="006B272B"/>
    <w:rsid w:val="006B27B7"/>
    <w:rsid w:val="006B27D7"/>
    <w:rsid w:val="006B280E"/>
    <w:rsid w:val="006B2813"/>
    <w:rsid w:val="006B283C"/>
    <w:rsid w:val="006B2869"/>
    <w:rsid w:val="006B2886"/>
    <w:rsid w:val="006B28D6"/>
    <w:rsid w:val="006B2921"/>
    <w:rsid w:val="006B2986"/>
    <w:rsid w:val="006B2987"/>
    <w:rsid w:val="006B29A5"/>
    <w:rsid w:val="006B2A28"/>
    <w:rsid w:val="006B2A7E"/>
    <w:rsid w:val="006B2A83"/>
    <w:rsid w:val="006B2B04"/>
    <w:rsid w:val="006B2B06"/>
    <w:rsid w:val="006B2B2F"/>
    <w:rsid w:val="006B2B7E"/>
    <w:rsid w:val="006B2BB2"/>
    <w:rsid w:val="006B2C1D"/>
    <w:rsid w:val="006B2C3C"/>
    <w:rsid w:val="006B2C87"/>
    <w:rsid w:val="006B2CF2"/>
    <w:rsid w:val="006B2DAE"/>
    <w:rsid w:val="006B2DB1"/>
    <w:rsid w:val="006B2DCE"/>
    <w:rsid w:val="006B2DE7"/>
    <w:rsid w:val="006B2DF7"/>
    <w:rsid w:val="006B2E24"/>
    <w:rsid w:val="006B2E2C"/>
    <w:rsid w:val="006B2E59"/>
    <w:rsid w:val="006B2E86"/>
    <w:rsid w:val="006B2EA4"/>
    <w:rsid w:val="006B2EBB"/>
    <w:rsid w:val="006B2F59"/>
    <w:rsid w:val="006B2FE3"/>
    <w:rsid w:val="006B302F"/>
    <w:rsid w:val="006B3033"/>
    <w:rsid w:val="006B30F1"/>
    <w:rsid w:val="006B312D"/>
    <w:rsid w:val="006B314A"/>
    <w:rsid w:val="006B3157"/>
    <w:rsid w:val="006B3186"/>
    <w:rsid w:val="006B3190"/>
    <w:rsid w:val="006B31EE"/>
    <w:rsid w:val="006B3243"/>
    <w:rsid w:val="006B32D0"/>
    <w:rsid w:val="006B3330"/>
    <w:rsid w:val="006B3388"/>
    <w:rsid w:val="006B33AA"/>
    <w:rsid w:val="006B33BF"/>
    <w:rsid w:val="006B33C3"/>
    <w:rsid w:val="006B3472"/>
    <w:rsid w:val="006B3504"/>
    <w:rsid w:val="006B358C"/>
    <w:rsid w:val="006B35A4"/>
    <w:rsid w:val="006B35A9"/>
    <w:rsid w:val="006B35AE"/>
    <w:rsid w:val="006B3630"/>
    <w:rsid w:val="006B3689"/>
    <w:rsid w:val="006B369D"/>
    <w:rsid w:val="006B36A1"/>
    <w:rsid w:val="006B36B5"/>
    <w:rsid w:val="006B370E"/>
    <w:rsid w:val="006B373E"/>
    <w:rsid w:val="006B3795"/>
    <w:rsid w:val="006B379E"/>
    <w:rsid w:val="006B37FE"/>
    <w:rsid w:val="006B384B"/>
    <w:rsid w:val="006B3860"/>
    <w:rsid w:val="006B38B8"/>
    <w:rsid w:val="006B38D8"/>
    <w:rsid w:val="006B392B"/>
    <w:rsid w:val="006B392D"/>
    <w:rsid w:val="006B3960"/>
    <w:rsid w:val="006B3962"/>
    <w:rsid w:val="006B3999"/>
    <w:rsid w:val="006B39B4"/>
    <w:rsid w:val="006B39BD"/>
    <w:rsid w:val="006B3A11"/>
    <w:rsid w:val="006B3A8C"/>
    <w:rsid w:val="006B3AD7"/>
    <w:rsid w:val="006B3BB6"/>
    <w:rsid w:val="006B3C6C"/>
    <w:rsid w:val="006B3CCB"/>
    <w:rsid w:val="006B3CD5"/>
    <w:rsid w:val="006B3D47"/>
    <w:rsid w:val="006B3D6C"/>
    <w:rsid w:val="006B3D79"/>
    <w:rsid w:val="006B3D7B"/>
    <w:rsid w:val="006B3DC0"/>
    <w:rsid w:val="006B3DE4"/>
    <w:rsid w:val="006B3E65"/>
    <w:rsid w:val="006B3E7D"/>
    <w:rsid w:val="006B3E9A"/>
    <w:rsid w:val="006B3F7F"/>
    <w:rsid w:val="006B3FC8"/>
    <w:rsid w:val="006B3FD9"/>
    <w:rsid w:val="006B401F"/>
    <w:rsid w:val="006B4023"/>
    <w:rsid w:val="006B407C"/>
    <w:rsid w:val="006B4089"/>
    <w:rsid w:val="006B40BF"/>
    <w:rsid w:val="006B40E2"/>
    <w:rsid w:val="006B40F9"/>
    <w:rsid w:val="006B411F"/>
    <w:rsid w:val="006B4157"/>
    <w:rsid w:val="006B416A"/>
    <w:rsid w:val="006B417A"/>
    <w:rsid w:val="006B41EE"/>
    <w:rsid w:val="006B423B"/>
    <w:rsid w:val="006B4260"/>
    <w:rsid w:val="006B42AD"/>
    <w:rsid w:val="006B42ED"/>
    <w:rsid w:val="006B4387"/>
    <w:rsid w:val="006B44C6"/>
    <w:rsid w:val="006B45D4"/>
    <w:rsid w:val="006B45EE"/>
    <w:rsid w:val="006B461C"/>
    <w:rsid w:val="006B461E"/>
    <w:rsid w:val="006B462C"/>
    <w:rsid w:val="006B4735"/>
    <w:rsid w:val="006B477D"/>
    <w:rsid w:val="006B4780"/>
    <w:rsid w:val="006B47C6"/>
    <w:rsid w:val="006B47C8"/>
    <w:rsid w:val="006B47DC"/>
    <w:rsid w:val="006B47F4"/>
    <w:rsid w:val="006B4877"/>
    <w:rsid w:val="006B4882"/>
    <w:rsid w:val="006B48D6"/>
    <w:rsid w:val="006B48EA"/>
    <w:rsid w:val="006B491E"/>
    <w:rsid w:val="006B4931"/>
    <w:rsid w:val="006B493B"/>
    <w:rsid w:val="006B495B"/>
    <w:rsid w:val="006B497A"/>
    <w:rsid w:val="006B4982"/>
    <w:rsid w:val="006B498B"/>
    <w:rsid w:val="006B49C1"/>
    <w:rsid w:val="006B49CD"/>
    <w:rsid w:val="006B49F6"/>
    <w:rsid w:val="006B4A1A"/>
    <w:rsid w:val="006B4AB0"/>
    <w:rsid w:val="006B4ABF"/>
    <w:rsid w:val="006B4AED"/>
    <w:rsid w:val="006B4AEF"/>
    <w:rsid w:val="006B4B9A"/>
    <w:rsid w:val="006B4C08"/>
    <w:rsid w:val="006B4C3B"/>
    <w:rsid w:val="006B4C79"/>
    <w:rsid w:val="006B4CB4"/>
    <w:rsid w:val="006B4CF8"/>
    <w:rsid w:val="006B4D00"/>
    <w:rsid w:val="006B4D0D"/>
    <w:rsid w:val="006B4D21"/>
    <w:rsid w:val="006B4D22"/>
    <w:rsid w:val="006B4D29"/>
    <w:rsid w:val="006B4D33"/>
    <w:rsid w:val="006B4DAD"/>
    <w:rsid w:val="006B4DC7"/>
    <w:rsid w:val="006B4E21"/>
    <w:rsid w:val="006B4E28"/>
    <w:rsid w:val="006B4E5D"/>
    <w:rsid w:val="006B4E67"/>
    <w:rsid w:val="006B4E81"/>
    <w:rsid w:val="006B4EAC"/>
    <w:rsid w:val="006B4F4E"/>
    <w:rsid w:val="006B4F8F"/>
    <w:rsid w:val="006B4FAD"/>
    <w:rsid w:val="006B4FC2"/>
    <w:rsid w:val="006B501C"/>
    <w:rsid w:val="006B50B1"/>
    <w:rsid w:val="006B50E8"/>
    <w:rsid w:val="006B5165"/>
    <w:rsid w:val="006B517E"/>
    <w:rsid w:val="006B51B4"/>
    <w:rsid w:val="006B5221"/>
    <w:rsid w:val="006B52A2"/>
    <w:rsid w:val="006B5353"/>
    <w:rsid w:val="006B537F"/>
    <w:rsid w:val="006B53AE"/>
    <w:rsid w:val="006B53F9"/>
    <w:rsid w:val="006B5423"/>
    <w:rsid w:val="006B5487"/>
    <w:rsid w:val="006B54B0"/>
    <w:rsid w:val="006B55C0"/>
    <w:rsid w:val="006B55C8"/>
    <w:rsid w:val="006B565E"/>
    <w:rsid w:val="006B567F"/>
    <w:rsid w:val="006B56DC"/>
    <w:rsid w:val="006B56ED"/>
    <w:rsid w:val="006B5716"/>
    <w:rsid w:val="006B572A"/>
    <w:rsid w:val="006B5739"/>
    <w:rsid w:val="006B575C"/>
    <w:rsid w:val="006B5776"/>
    <w:rsid w:val="006B5785"/>
    <w:rsid w:val="006B57A8"/>
    <w:rsid w:val="006B57B7"/>
    <w:rsid w:val="006B57B8"/>
    <w:rsid w:val="006B57F4"/>
    <w:rsid w:val="006B5821"/>
    <w:rsid w:val="006B583C"/>
    <w:rsid w:val="006B5854"/>
    <w:rsid w:val="006B5870"/>
    <w:rsid w:val="006B588F"/>
    <w:rsid w:val="006B589F"/>
    <w:rsid w:val="006B58FC"/>
    <w:rsid w:val="006B5936"/>
    <w:rsid w:val="006B5967"/>
    <w:rsid w:val="006B59A3"/>
    <w:rsid w:val="006B59BA"/>
    <w:rsid w:val="006B59E2"/>
    <w:rsid w:val="006B5A13"/>
    <w:rsid w:val="006B5A30"/>
    <w:rsid w:val="006B5A7B"/>
    <w:rsid w:val="006B5AD3"/>
    <w:rsid w:val="006B5AFE"/>
    <w:rsid w:val="006B5BDA"/>
    <w:rsid w:val="006B5C69"/>
    <w:rsid w:val="006B5C8A"/>
    <w:rsid w:val="006B5C8B"/>
    <w:rsid w:val="006B5D4E"/>
    <w:rsid w:val="006B5DC3"/>
    <w:rsid w:val="006B5DF6"/>
    <w:rsid w:val="006B5E17"/>
    <w:rsid w:val="006B5E9A"/>
    <w:rsid w:val="006B5EAB"/>
    <w:rsid w:val="006B5EEF"/>
    <w:rsid w:val="006B5F31"/>
    <w:rsid w:val="006B5F55"/>
    <w:rsid w:val="006B5FAD"/>
    <w:rsid w:val="006B609C"/>
    <w:rsid w:val="006B60EC"/>
    <w:rsid w:val="006B6191"/>
    <w:rsid w:val="006B61CD"/>
    <w:rsid w:val="006B6242"/>
    <w:rsid w:val="006B6244"/>
    <w:rsid w:val="006B62CC"/>
    <w:rsid w:val="006B6301"/>
    <w:rsid w:val="006B632B"/>
    <w:rsid w:val="006B633C"/>
    <w:rsid w:val="006B63EF"/>
    <w:rsid w:val="006B6402"/>
    <w:rsid w:val="006B6479"/>
    <w:rsid w:val="006B64AD"/>
    <w:rsid w:val="006B64C2"/>
    <w:rsid w:val="006B6516"/>
    <w:rsid w:val="006B653B"/>
    <w:rsid w:val="006B65A0"/>
    <w:rsid w:val="006B6607"/>
    <w:rsid w:val="006B6632"/>
    <w:rsid w:val="006B664E"/>
    <w:rsid w:val="006B6680"/>
    <w:rsid w:val="006B66A4"/>
    <w:rsid w:val="006B66E6"/>
    <w:rsid w:val="006B66E9"/>
    <w:rsid w:val="006B674D"/>
    <w:rsid w:val="006B6817"/>
    <w:rsid w:val="006B68CE"/>
    <w:rsid w:val="006B6957"/>
    <w:rsid w:val="006B695C"/>
    <w:rsid w:val="006B69B8"/>
    <w:rsid w:val="006B69CD"/>
    <w:rsid w:val="006B69DE"/>
    <w:rsid w:val="006B6BFD"/>
    <w:rsid w:val="006B6C32"/>
    <w:rsid w:val="006B6CBB"/>
    <w:rsid w:val="006B6D05"/>
    <w:rsid w:val="006B6D0B"/>
    <w:rsid w:val="006B6D60"/>
    <w:rsid w:val="006B6D63"/>
    <w:rsid w:val="006B6DC6"/>
    <w:rsid w:val="006B6ECD"/>
    <w:rsid w:val="006B6EF1"/>
    <w:rsid w:val="006B6F51"/>
    <w:rsid w:val="006B6F57"/>
    <w:rsid w:val="006B6F5A"/>
    <w:rsid w:val="006B70AD"/>
    <w:rsid w:val="006B711D"/>
    <w:rsid w:val="006B7139"/>
    <w:rsid w:val="006B71F3"/>
    <w:rsid w:val="006B7236"/>
    <w:rsid w:val="006B7262"/>
    <w:rsid w:val="006B7264"/>
    <w:rsid w:val="006B72FD"/>
    <w:rsid w:val="006B72FF"/>
    <w:rsid w:val="006B7308"/>
    <w:rsid w:val="006B7320"/>
    <w:rsid w:val="006B733A"/>
    <w:rsid w:val="006B7354"/>
    <w:rsid w:val="006B73EC"/>
    <w:rsid w:val="006B741B"/>
    <w:rsid w:val="006B7521"/>
    <w:rsid w:val="006B7532"/>
    <w:rsid w:val="006B753F"/>
    <w:rsid w:val="006B7555"/>
    <w:rsid w:val="006B7560"/>
    <w:rsid w:val="006B75AD"/>
    <w:rsid w:val="006B75AE"/>
    <w:rsid w:val="006B75AF"/>
    <w:rsid w:val="006B75B5"/>
    <w:rsid w:val="006B7638"/>
    <w:rsid w:val="006B7665"/>
    <w:rsid w:val="006B76EF"/>
    <w:rsid w:val="006B76FC"/>
    <w:rsid w:val="006B76FE"/>
    <w:rsid w:val="006B7724"/>
    <w:rsid w:val="006B77BA"/>
    <w:rsid w:val="006B7870"/>
    <w:rsid w:val="006B78A5"/>
    <w:rsid w:val="006B78EA"/>
    <w:rsid w:val="006B7916"/>
    <w:rsid w:val="006B7935"/>
    <w:rsid w:val="006B7963"/>
    <w:rsid w:val="006B7965"/>
    <w:rsid w:val="006B7983"/>
    <w:rsid w:val="006B7AA3"/>
    <w:rsid w:val="006B7AD4"/>
    <w:rsid w:val="006B7ADB"/>
    <w:rsid w:val="006B7AF3"/>
    <w:rsid w:val="006B7B4B"/>
    <w:rsid w:val="006B7B7B"/>
    <w:rsid w:val="006B7B85"/>
    <w:rsid w:val="006B7BEC"/>
    <w:rsid w:val="006B7BF5"/>
    <w:rsid w:val="006B7C0E"/>
    <w:rsid w:val="006B7C46"/>
    <w:rsid w:val="006B7D58"/>
    <w:rsid w:val="006B7D59"/>
    <w:rsid w:val="006B7DDF"/>
    <w:rsid w:val="006B7E04"/>
    <w:rsid w:val="006B7E9B"/>
    <w:rsid w:val="006B7ED6"/>
    <w:rsid w:val="006B7EF4"/>
    <w:rsid w:val="006B7F0E"/>
    <w:rsid w:val="006B7F19"/>
    <w:rsid w:val="006B7F63"/>
    <w:rsid w:val="006B7F6F"/>
    <w:rsid w:val="006B7FB2"/>
    <w:rsid w:val="006C001E"/>
    <w:rsid w:val="006C0042"/>
    <w:rsid w:val="006C0065"/>
    <w:rsid w:val="006C0067"/>
    <w:rsid w:val="006C00AC"/>
    <w:rsid w:val="006C00EC"/>
    <w:rsid w:val="006C00F1"/>
    <w:rsid w:val="006C012A"/>
    <w:rsid w:val="006C012F"/>
    <w:rsid w:val="006C017D"/>
    <w:rsid w:val="006C0229"/>
    <w:rsid w:val="006C023E"/>
    <w:rsid w:val="006C0252"/>
    <w:rsid w:val="006C0269"/>
    <w:rsid w:val="006C02DF"/>
    <w:rsid w:val="006C034F"/>
    <w:rsid w:val="006C038B"/>
    <w:rsid w:val="006C0390"/>
    <w:rsid w:val="006C03F1"/>
    <w:rsid w:val="006C03F3"/>
    <w:rsid w:val="006C0409"/>
    <w:rsid w:val="006C040E"/>
    <w:rsid w:val="006C0413"/>
    <w:rsid w:val="006C0427"/>
    <w:rsid w:val="006C050C"/>
    <w:rsid w:val="006C0526"/>
    <w:rsid w:val="006C055D"/>
    <w:rsid w:val="006C0570"/>
    <w:rsid w:val="006C05CA"/>
    <w:rsid w:val="006C05D8"/>
    <w:rsid w:val="006C0616"/>
    <w:rsid w:val="006C064A"/>
    <w:rsid w:val="006C06DB"/>
    <w:rsid w:val="006C0717"/>
    <w:rsid w:val="006C0719"/>
    <w:rsid w:val="006C0721"/>
    <w:rsid w:val="006C0772"/>
    <w:rsid w:val="006C07AD"/>
    <w:rsid w:val="006C081B"/>
    <w:rsid w:val="006C083E"/>
    <w:rsid w:val="006C086F"/>
    <w:rsid w:val="006C088A"/>
    <w:rsid w:val="006C093F"/>
    <w:rsid w:val="006C0978"/>
    <w:rsid w:val="006C09A0"/>
    <w:rsid w:val="006C09F4"/>
    <w:rsid w:val="006C0A0F"/>
    <w:rsid w:val="006C0A28"/>
    <w:rsid w:val="006C0A41"/>
    <w:rsid w:val="006C0A56"/>
    <w:rsid w:val="006C0A65"/>
    <w:rsid w:val="006C0AAA"/>
    <w:rsid w:val="006C0AAD"/>
    <w:rsid w:val="006C0B14"/>
    <w:rsid w:val="006C0B80"/>
    <w:rsid w:val="006C0BE1"/>
    <w:rsid w:val="006C0BF2"/>
    <w:rsid w:val="006C0C8B"/>
    <w:rsid w:val="006C0CD1"/>
    <w:rsid w:val="006C0D7A"/>
    <w:rsid w:val="006C0E81"/>
    <w:rsid w:val="006C0EFE"/>
    <w:rsid w:val="006C0F4E"/>
    <w:rsid w:val="006C0FA2"/>
    <w:rsid w:val="006C0FF0"/>
    <w:rsid w:val="006C0FFB"/>
    <w:rsid w:val="006C0FFF"/>
    <w:rsid w:val="006C10AC"/>
    <w:rsid w:val="006C10EE"/>
    <w:rsid w:val="006C1106"/>
    <w:rsid w:val="006C110A"/>
    <w:rsid w:val="006C1141"/>
    <w:rsid w:val="006C1184"/>
    <w:rsid w:val="006C11DC"/>
    <w:rsid w:val="006C1261"/>
    <w:rsid w:val="006C12BD"/>
    <w:rsid w:val="006C130A"/>
    <w:rsid w:val="006C1335"/>
    <w:rsid w:val="006C13B6"/>
    <w:rsid w:val="006C13BB"/>
    <w:rsid w:val="006C13BF"/>
    <w:rsid w:val="006C13DA"/>
    <w:rsid w:val="006C1411"/>
    <w:rsid w:val="006C145E"/>
    <w:rsid w:val="006C1482"/>
    <w:rsid w:val="006C14F0"/>
    <w:rsid w:val="006C155D"/>
    <w:rsid w:val="006C157D"/>
    <w:rsid w:val="006C15F4"/>
    <w:rsid w:val="006C15FE"/>
    <w:rsid w:val="006C164F"/>
    <w:rsid w:val="006C169A"/>
    <w:rsid w:val="006C169B"/>
    <w:rsid w:val="006C16A4"/>
    <w:rsid w:val="006C16E7"/>
    <w:rsid w:val="006C170A"/>
    <w:rsid w:val="006C170B"/>
    <w:rsid w:val="006C175B"/>
    <w:rsid w:val="006C1769"/>
    <w:rsid w:val="006C17BD"/>
    <w:rsid w:val="006C17FF"/>
    <w:rsid w:val="006C181C"/>
    <w:rsid w:val="006C1828"/>
    <w:rsid w:val="006C182E"/>
    <w:rsid w:val="006C1837"/>
    <w:rsid w:val="006C1896"/>
    <w:rsid w:val="006C1899"/>
    <w:rsid w:val="006C1964"/>
    <w:rsid w:val="006C19B9"/>
    <w:rsid w:val="006C1A03"/>
    <w:rsid w:val="006C1ACE"/>
    <w:rsid w:val="006C1B78"/>
    <w:rsid w:val="006C1BF7"/>
    <w:rsid w:val="006C1C01"/>
    <w:rsid w:val="006C1C15"/>
    <w:rsid w:val="006C1C19"/>
    <w:rsid w:val="006C1C44"/>
    <w:rsid w:val="006C1CA3"/>
    <w:rsid w:val="006C1CC9"/>
    <w:rsid w:val="006C1D17"/>
    <w:rsid w:val="006C1D21"/>
    <w:rsid w:val="006C1D46"/>
    <w:rsid w:val="006C1D5C"/>
    <w:rsid w:val="006C1DF7"/>
    <w:rsid w:val="006C1E26"/>
    <w:rsid w:val="006C1E56"/>
    <w:rsid w:val="006C1E60"/>
    <w:rsid w:val="006C1FC3"/>
    <w:rsid w:val="006C200A"/>
    <w:rsid w:val="006C200F"/>
    <w:rsid w:val="006C20E2"/>
    <w:rsid w:val="006C212D"/>
    <w:rsid w:val="006C216E"/>
    <w:rsid w:val="006C219A"/>
    <w:rsid w:val="006C21D4"/>
    <w:rsid w:val="006C2260"/>
    <w:rsid w:val="006C2296"/>
    <w:rsid w:val="006C231D"/>
    <w:rsid w:val="006C2327"/>
    <w:rsid w:val="006C2382"/>
    <w:rsid w:val="006C241C"/>
    <w:rsid w:val="006C2425"/>
    <w:rsid w:val="006C2461"/>
    <w:rsid w:val="006C24AB"/>
    <w:rsid w:val="006C24C0"/>
    <w:rsid w:val="006C2520"/>
    <w:rsid w:val="006C25E8"/>
    <w:rsid w:val="006C25FC"/>
    <w:rsid w:val="006C2670"/>
    <w:rsid w:val="006C2699"/>
    <w:rsid w:val="006C2706"/>
    <w:rsid w:val="006C2738"/>
    <w:rsid w:val="006C27DA"/>
    <w:rsid w:val="006C27EE"/>
    <w:rsid w:val="006C27F9"/>
    <w:rsid w:val="006C2801"/>
    <w:rsid w:val="006C282E"/>
    <w:rsid w:val="006C2845"/>
    <w:rsid w:val="006C2887"/>
    <w:rsid w:val="006C289E"/>
    <w:rsid w:val="006C28D7"/>
    <w:rsid w:val="006C2927"/>
    <w:rsid w:val="006C2931"/>
    <w:rsid w:val="006C29AC"/>
    <w:rsid w:val="006C2A51"/>
    <w:rsid w:val="006C2AAC"/>
    <w:rsid w:val="006C2ABD"/>
    <w:rsid w:val="006C2AE7"/>
    <w:rsid w:val="006C2B0A"/>
    <w:rsid w:val="006C2B61"/>
    <w:rsid w:val="006C2B6B"/>
    <w:rsid w:val="006C2B7C"/>
    <w:rsid w:val="006C2B93"/>
    <w:rsid w:val="006C2C4A"/>
    <w:rsid w:val="006C2CD7"/>
    <w:rsid w:val="006C2CDF"/>
    <w:rsid w:val="006C2CE9"/>
    <w:rsid w:val="006C2D1C"/>
    <w:rsid w:val="006C2D2E"/>
    <w:rsid w:val="006C2D54"/>
    <w:rsid w:val="006C2D75"/>
    <w:rsid w:val="006C2E31"/>
    <w:rsid w:val="006C2E6B"/>
    <w:rsid w:val="006C2EEA"/>
    <w:rsid w:val="006C2F01"/>
    <w:rsid w:val="006C2F50"/>
    <w:rsid w:val="006C2F87"/>
    <w:rsid w:val="006C2FA1"/>
    <w:rsid w:val="006C2FC6"/>
    <w:rsid w:val="006C30CE"/>
    <w:rsid w:val="006C3104"/>
    <w:rsid w:val="006C312D"/>
    <w:rsid w:val="006C3153"/>
    <w:rsid w:val="006C316D"/>
    <w:rsid w:val="006C31F8"/>
    <w:rsid w:val="006C328F"/>
    <w:rsid w:val="006C3295"/>
    <w:rsid w:val="006C329E"/>
    <w:rsid w:val="006C32CB"/>
    <w:rsid w:val="006C3337"/>
    <w:rsid w:val="006C3342"/>
    <w:rsid w:val="006C3345"/>
    <w:rsid w:val="006C334C"/>
    <w:rsid w:val="006C3361"/>
    <w:rsid w:val="006C339E"/>
    <w:rsid w:val="006C33B6"/>
    <w:rsid w:val="006C34ED"/>
    <w:rsid w:val="006C34FE"/>
    <w:rsid w:val="006C35F5"/>
    <w:rsid w:val="006C3627"/>
    <w:rsid w:val="006C362C"/>
    <w:rsid w:val="006C375C"/>
    <w:rsid w:val="006C375E"/>
    <w:rsid w:val="006C3782"/>
    <w:rsid w:val="006C3787"/>
    <w:rsid w:val="006C37C2"/>
    <w:rsid w:val="006C37CD"/>
    <w:rsid w:val="006C385B"/>
    <w:rsid w:val="006C397D"/>
    <w:rsid w:val="006C39AE"/>
    <w:rsid w:val="006C39B5"/>
    <w:rsid w:val="006C3AA4"/>
    <w:rsid w:val="006C3AE6"/>
    <w:rsid w:val="006C3C34"/>
    <w:rsid w:val="006C3C4F"/>
    <w:rsid w:val="006C3D27"/>
    <w:rsid w:val="006C3D2B"/>
    <w:rsid w:val="006C3D3F"/>
    <w:rsid w:val="006C3D51"/>
    <w:rsid w:val="006C3DE6"/>
    <w:rsid w:val="006C3E3A"/>
    <w:rsid w:val="006C3E9C"/>
    <w:rsid w:val="006C3EEA"/>
    <w:rsid w:val="006C3EEF"/>
    <w:rsid w:val="006C3F03"/>
    <w:rsid w:val="006C3F0E"/>
    <w:rsid w:val="006C3F4D"/>
    <w:rsid w:val="006C40E0"/>
    <w:rsid w:val="006C40EF"/>
    <w:rsid w:val="006C40F6"/>
    <w:rsid w:val="006C410A"/>
    <w:rsid w:val="006C413D"/>
    <w:rsid w:val="006C4250"/>
    <w:rsid w:val="006C4265"/>
    <w:rsid w:val="006C4386"/>
    <w:rsid w:val="006C43BC"/>
    <w:rsid w:val="006C43D2"/>
    <w:rsid w:val="006C443F"/>
    <w:rsid w:val="006C4548"/>
    <w:rsid w:val="006C45E8"/>
    <w:rsid w:val="006C460A"/>
    <w:rsid w:val="006C4611"/>
    <w:rsid w:val="006C4641"/>
    <w:rsid w:val="006C4658"/>
    <w:rsid w:val="006C473E"/>
    <w:rsid w:val="006C475D"/>
    <w:rsid w:val="006C47A2"/>
    <w:rsid w:val="006C482E"/>
    <w:rsid w:val="006C486E"/>
    <w:rsid w:val="006C487E"/>
    <w:rsid w:val="006C48AA"/>
    <w:rsid w:val="006C48F2"/>
    <w:rsid w:val="006C4903"/>
    <w:rsid w:val="006C494E"/>
    <w:rsid w:val="006C4971"/>
    <w:rsid w:val="006C4AF8"/>
    <w:rsid w:val="006C4B49"/>
    <w:rsid w:val="006C4B5A"/>
    <w:rsid w:val="006C4C04"/>
    <w:rsid w:val="006C4CB5"/>
    <w:rsid w:val="006C4CFC"/>
    <w:rsid w:val="006C4CFE"/>
    <w:rsid w:val="006C4D07"/>
    <w:rsid w:val="006C4D39"/>
    <w:rsid w:val="006C4D75"/>
    <w:rsid w:val="006C4D80"/>
    <w:rsid w:val="006C4D9D"/>
    <w:rsid w:val="006C4DB9"/>
    <w:rsid w:val="006C4DE5"/>
    <w:rsid w:val="006C4E20"/>
    <w:rsid w:val="006C4E67"/>
    <w:rsid w:val="006C4E6C"/>
    <w:rsid w:val="006C4E99"/>
    <w:rsid w:val="006C4EBE"/>
    <w:rsid w:val="006C4F5D"/>
    <w:rsid w:val="006C4F7F"/>
    <w:rsid w:val="006C4FE3"/>
    <w:rsid w:val="006C503D"/>
    <w:rsid w:val="006C5051"/>
    <w:rsid w:val="006C5059"/>
    <w:rsid w:val="006C50AF"/>
    <w:rsid w:val="006C50CE"/>
    <w:rsid w:val="006C510E"/>
    <w:rsid w:val="006C5112"/>
    <w:rsid w:val="006C5285"/>
    <w:rsid w:val="006C5301"/>
    <w:rsid w:val="006C5315"/>
    <w:rsid w:val="006C53C2"/>
    <w:rsid w:val="006C5413"/>
    <w:rsid w:val="006C5490"/>
    <w:rsid w:val="006C55CC"/>
    <w:rsid w:val="006C561F"/>
    <w:rsid w:val="006C56AF"/>
    <w:rsid w:val="006C570F"/>
    <w:rsid w:val="006C5712"/>
    <w:rsid w:val="006C571E"/>
    <w:rsid w:val="006C5757"/>
    <w:rsid w:val="006C575D"/>
    <w:rsid w:val="006C576B"/>
    <w:rsid w:val="006C5786"/>
    <w:rsid w:val="006C5796"/>
    <w:rsid w:val="006C57DD"/>
    <w:rsid w:val="006C57E9"/>
    <w:rsid w:val="006C580E"/>
    <w:rsid w:val="006C582F"/>
    <w:rsid w:val="006C5830"/>
    <w:rsid w:val="006C5861"/>
    <w:rsid w:val="006C58BD"/>
    <w:rsid w:val="006C58BF"/>
    <w:rsid w:val="006C5904"/>
    <w:rsid w:val="006C595E"/>
    <w:rsid w:val="006C597B"/>
    <w:rsid w:val="006C59BE"/>
    <w:rsid w:val="006C59FA"/>
    <w:rsid w:val="006C5A40"/>
    <w:rsid w:val="006C5A5C"/>
    <w:rsid w:val="006C5A6D"/>
    <w:rsid w:val="006C5A98"/>
    <w:rsid w:val="006C5B45"/>
    <w:rsid w:val="006C5B6E"/>
    <w:rsid w:val="006C5B83"/>
    <w:rsid w:val="006C5BB1"/>
    <w:rsid w:val="006C5C3E"/>
    <w:rsid w:val="006C5C55"/>
    <w:rsid w:val="006C5CAF"/>
    <w:rsid w:val="006C5D21"/>
    <w:rsid w:val="006C5D2E"/>
    <w:rsid w:val="006C5D47"/>
    <w:rsid w:val="006C5D86"/>
    <w:rsid w:val="006C5D94"/>
    <w:rsid w:val="006C5DD1"/>
    <w:rsid w:val="006C5DD2"/>
    <w:rsid w:val="006C5E32"/>
    <w:rsid w:val="006C5E5A"/>
    <w:rsid w:val="006C5ECC"/>
    <w:rsid w:val="006C5F40"/>
    <w:rsid w:val="006C5F72"/>
    <w:rsid w:val="006C5F7C"/>
    <w:rsid w:val="006C5FEE"/>
    <w:rsid w:val="006C5FF2"/>
    <w:rsid w:val="006C6020"/>
    <w:rsid w:val="006C606F"/>
    <w:rsid w:val="006C6092"/>
    <w:rsid w:val="006C60C3"/>
    <w:rsid w:val="006C60FC"/>
    <w:rsid w:val="006C6122"/>
    <w:rsid w:val="006C617B"/>
    <w:rsid w:val="006C61C1"/>
    <w:rsid w:val="006C6223"/>
    <w:rsid w:val="006C623B"/>
    <w:rsid w:val="006C6264"/>
    <w:rsid w:val="006C6283"/>
    <w:rsid w:val="006C62A0"/>
    <w:rsid w:val="006C632B"/>
    <w:rsid w:val="006C63E7"/>
    <w:rsid w:val="006C6409"/>
    <w:rsid w:val="006C642C"/>
    <w:rsid w:val="006C6433"/>
    <w:rsid w:val="006C644D"/>
    <w:rsid w:val="006C6486"/>
    <w:rsid w:val="006C64ED"/>
    <w:rsid w:val="006C652D"/>
    <w:rsid w:val="006C6554"/>
    <w:rsid w:val="006C6555"/>
    <w:rsid w:val="006C6583"/>
    <w:rsid w:val="006C6590"/>
    <w:rsid w:val="006C65CD"/>
    <w:rsid w:val="006C663B"/>
    <w:rsid w:val="006C671C"/>
    <w:rsid w:val="006C673A"/>
    <w:rsid w:val="006C6752"/>
    <w:rsid w:val="006C67AE"/>
    <w:rsid w:val="006C67EE"/>
    <w:rsid w:val="006C6805"/>
    <w:rsid w:val="006C6806"/>
    <w:rsid w:val="006C6864"/>
    <w:rsid w:val="006C69CC"/>
    <w:rsid w:val="006C6A28"/>
    <w:rsid w:val="006C6A2B"/>
    <w:rsid w:val="006C6A51"/>
    <w:rsid w:val="006C6B3C"/>
    <w:rsid w:val="006C6B3F"/>
    <w:rsid w:val="006C6BA6"/>
    <w:rsid w:val="006C6C05"/>
    <w:rsid w:val="006C6C1B"/>
    <w:rsid w:val="006C6C1D"/>
    <w:rsid w:val="006C6C62"/>
    <w:rsid w:val="006C6C64"/>
    <w:rsid w:val="006C6C8C"/>
    <w:rsid w:val="006C6C8F"/>
    <w:rsid w:val="006C6CC2"/>
    <w:rsid w:val="006C6D30"/>
    <w:rsid w:val="006C6D92"/>
    <w:rsid w:val="006C6DC3"/>
    <w:rsid w:val="006C6EC0"/>
    <w:rsid w:val="006C6EC1"/>
    <w:rsid w:val="006C6F09"/>
    <w:rsid w:val="006C6F22"/>
    <w:rsid w:val="006C6F27"/>
    <w:rsid w:val="006C6F39"/>
    <w:rsid w:val="006C6F3C"/>
    <w:rsid w:val="006C6F4C"/>
    <w:rsid w:val="006C6FA5"/>
    <w:rsid w:val="006C6FC6"/>
    <w:rsid w:val="006C7080"/>
    <w:rsid w:val="006C708F"/>
    <w:rsid w:val="006C70CC"/>
    <w:rsid w:val="006C7110"/>
    <w:rsid w:val="006C7167"/>
    <w:rsid w:val="006C7178"/>
    <w:rsid w:val="006C7180"/>
    <w:rsid w:val="006C72AD"/>
    <w:rsid w:val="006C72FC"/>
    <w:rsid w:val="006C7379"/>
    <w:rsid w:val="006C7381"/>
    <w:rsid w:val="006C73DC"/>
    <w:rsid w:val="006C73E2"/>
    <w:rsid w:val="006C74C5"/>
    <w:rsid w:val="006C74FE"/>
    <w:rsid w:val="006C75A2"/>
    <w:rsid w:val="006C7695"/>
    <w:rsid w:val="006C769B"/>
    <w:rsid w:val="006C76D7"/>
    <w:rsid w:val="006C76D8"/>
    <w:rsid w:val="006C76DB"/>
    <w:rsid w:val="006C7767"/>
    <w:rsid w:val="006C77DF"/>
    <w:rsid w:val="006C780C"/>
    <w:rsid w:val="006C7819"/>
    <w:rsid w:val="006C789C"/>
    <w:rsid w:val="006C789D"/>
    <w:rsid w:val="006C790A"/>
    <w:rsid w:val="006C798A"/>
    <w:rsid w:val="006C7A06"/>
    <w:rsid w:val="006C7A40"/>
    <w:rsid w:val="006C7A51"/>
    <w:rsid w:val="006C7AD4"/>
    <w:rsid w:val="006C7AE9"/>
    <w:rsid w:val="006C7B0D"/>
    <w:rsid w:val="006C7B42"/>
    <w:rsid w:val="006C7B86"/>
    <w:rsid w:val="006C7B89"/>
    <w:rsid w:val="006C7BB7"/>
    <w:rsid w:val="006C7BC2"/>
    <w:rsid w:val="006C7BCE"/>
    <w:rsid w:val="006C7C18"/>
    <w:rsid w:val="006C7C29"/>
    <w:rsid w:val="006C7C75"/>
    <w:rsid w:val="006C7CC9"/>
    <w:rsid w:val="006C7D1B"/>
    <w:rsid w:val="006C7D1F"/>
    <w:rsid w:val="006C7D50"/>
    <w:rsid w:val="006C7D69"/>
    <w:rsid w:val="006C7DFA"/>
    <w:rsid w:val="006C7E07"/>
    <w:rsid w:val="006C7F2A"/>
    <w:rsid w:val="006C7F5F"/>
    <w:rsid w:val="006C7FB8"/>
    <w:rsid w:val="006C7FD4"/>
    <w:rsid w:val="006D00BB"/>
    <w:rsid w:val="006D0106"/>
    <w:rsid w:val="006D0114"/>
    <w:rsid w:val="006D021D"/>
    <w:rsid w:val="006D0222"/>
    <w:rsid w:val="006D0289"/>
    <w:rsid w:val="006D0326"/>
    <w:rsid w:val="006D033E"/>
    <w:rsid w:val="006D0354"/>
    <w:rsid w:val="006D04DE"/>
    <w:rsid w:val="006D0500"/>
    <w:rsid w:val="006D0560"/>
    <w:rsid w:val="006D06BB"/>
    <w:rsid w:val="006D06C4"/>
    <w:rsid w:val="006D07A0"/>
    <w:rsid w:val="006D07E9"/>
    <w:rsid w:val="006D083D"/>
    <w:rsid w:val="006D08B6"/>
    <w:rsid w:val="006D08CA"/>
    <w:rsid w:val="006D08E1"/>
    <w:rsid w:val="006D0937"/>
    <w:rsid w:val="006D097E"/>
    <w:rsid w:val="006D09F1"/>
    <w:rsid w:val="006D0A7D"/>
    <w:rsid w:val="006D0AC6"/>
    <w:rsid w:val="006D0B2D"/>
    <w:rsid w:val="006D0B7E"/>
    <w:rsid w:val="006D0C1B"/>
    <w:rsid w:val="006D0C39"/>
    <w:rsid w:val="006D0C44"/>
    <w:rsid w:val="006D0CBD"/>
    <w:rsid w:val="006D0DE0"/>
    <w:rsid w:val="006D0E2B"/>
    <w:rsid w:val="006D0E43"/>
    <w:rsid w:val="006D0E7B"/>
    <w:rsid w:val="006D0E98"/>
    <w:rsid w:val="006D10E8"/>
    <w:rsid w:val="006D10F8"/>
    <w:rsid w:val="006D1111"/>
    <w:rsid w:val="006D1119"/>
    <w:rsid w:val="006D1123"/>
    <w:rsid w:val="006D114D"/>
    <w:rsid w:val="006D11DD"/>
    <w:rsid w:val="006D11EF"/>
    <w:rsid w:val="006D1202"/>
    <w:rsid w:val="006D12B3"/>
    <w:rsid w:val="006D12D1"/>
    <w:rsid w:val="006D1317"/>
    <w:rsid w:val="006D133C"/>
    <w:rsid w:val="006D1383"/>
    <w:rsid w:val="006D1426"/>
    <w:rsid w:val="006D1461"/>
    <w:rsid w:val="006D1499"/>
    <w:rsid w:val="006D149F"/>
    <w:rsid w:val="006D14CF"/>
    <w:rsid w:val="006D14E9"/>
    <w:rsid w:val="006D1503"/>
    <w:rsid w:val="006D1528"/>
    <w:rsid w:val="006D155B"/>
    <w:rsid w:val="006D1570"/>
    <w:rsid w:val="006D158B"/>
    <w:rsid w:val="006D1602"/>
    <w:rsid w:val="006D1667"/>
    <w:rsid w:val="006D1670"/>
    <w:rsid w:val="006D16A0"/>
    <w:rsid w:val="006D1705"/>
    <w:rsid w:val="006D1719"/>
    <w:rsid w:val="006D1774"/>
    <w:rsid w:val="006D1799"/>
    <w:rsid w:val="006D17D4"/>
    <w:rsid w:val="006D1821"/>
    <w:rsid w:val="006D18D0"/>
    <w:rsid w:val="006D18F5"/>
    <w:rsid w:val="006D192D"/>
    <w:rsid w:val="006D1944"/>
    <w:rsid w:val="006D1977"/>
    <w:rsid w:val="006D1979"/>
    <w:rsid w:val="006D19CA"/>
    <w:rsid w:val="006D19EA"/>
    <w:rsid w:val="006D1A36"/>
    <w:rsid w:val="006D1A6D"/>
    <w:rsid w:val="006D1AE2"/>
    <w:rsid w:val="006D1AFA"/>
    <w:rsid w:val="006D1B16"/>
    <w:rsid w:val="006D1BA1"/>
    <w:rsid w:val="006D1BB3"/>
    <w:rsid w:val="006D1BC2"/>
    <w:rsid w:val="006D1BE2"/>
    <w:rsid w:val="006D1C1C"/>
    <w:rsid w:val="006D1C65"/>
    <w:rsid w:val="006D1C8A"/>
    <w:rsid w:val="006D1D03"/>
    <w:rsid w:val="006D1D14"/>
    <w:rsid w:val="006D1D3A"/>
    <w:rsid w:val="006D1D4F"/>
    <w:rsid w:val="006D1D6B"/>
    <w:rsid w:val="006D1E18"/>
    <w:rsid w:val="006D1E9C"/>
    <w:rsid w:val="006D1EF6"/>
    <w:rsid w:val="006D1F0B"/>
    <w:rsid w:val="006D1F9A"/>
    <w:rsid w:val="006D201B"/>
    <w:rsid w:val="006D209C"/>
    <w:rsid w:val="006D2157"/>
    <w:rsid w:val="006D2164"/>
    <w:rsid w:val="006D21DF"/>
    <w:rsid w:val="006D21EE"/>
    <w:rsid w:val="006D221F"/>
    <w:rsid w:val="006D2222"/>
    <w:rsid w:val="006D225E"/>
    <w:rsid w:val="006D22DA"/>
    <w:rsid w:val="006D22F6"/>
    <w:rsid w:val="006D2322"/>
    <w:rsid w:val="006D2365"/>
    <w:rsid w:val="006D23F9"/>
    <w:rsid w:val="006D2405"/>
    <w:rsid w:val="006D249D"/>
    <w:rsid w:val="006D24FF"/>
    <w:rsid w:val="006D25FF"/>
    <w:rsid w:val="006D2661"/>
    <w:rsid w:val="006D2685"/>
    <w:rsid w:val="006D26D8"/>
    <w:rsid w:val="006D26FF"/>
    <w:rsid w:val="006D2751"/>
    <w:rsid w:val="006D2870"/>
    <w:rsid w:val="006D2878"/>
    <w:rsid w:val="006D28C9"/>
    <w:rsid w:val="006D28CD"/>
    <w:rsid w:val="006D28F2"/>
    <w:rsid w:val="006D295E"/>
    <w:rsid w:val="006D29E2"/>
    <w:rsid w:val="006D2A36"/>
    <w:rsid w:val="006D2A8C"/>
    <w:rsid w:val="006D2B06"/>
    <w:rsid w:val="006D2B4D"/>
    <w:rsid w:val="006D2BB6"/>
    <w:rsid w:val="006D2C02"/>
    <w:rsid w:val="006D2C06"/>
    <w:rsid w:val="006D2C1F"/>
    <w:rsid w:val="006D2C29"/>
    <w:rsid w:val="006D2C51"/>
    <w:rsid w:val="006D2C8D"/>
    <w:rsid w:val="006D2CAA"/>
    <w:rsid w:val="006D2CF0"/>
    <w:rsid w:val="006D2D1C"/>
    <w:rsid w:val="006D2D24"/>
    <w:rsid w:val="006D2D2C"/>
    <w:rsid w:val="006D2D34"/>
    <w:rsid w:val="006D2D4F"/>
    <w:rsid w:val="006D2D94"/>
    <w:rsid w:val="006D2E25"/>
    <w:rsid w:val="006D2E40"/>
    <w:rsid w:val="006D2E58"/>
    <w:rsid w:val="006D2E5B"/>
    <w:rsid w:val="006D2E77"/>
    <w:rsid w:val="006D2F4E"/>
    <w:rsid w:val="006D2FAD"/>
    <w:rsid w:val="006D2FDC"/>
    <w:rsid w:val="006D307B"/>
    <w:rsid w:val="006D312B"/>
    <w:rsid w:val="006D3164"/>
    <w:rsid w:val="006D3180"/>
    <w:rsid w:val="006D319D"/>
    <w:rsid w:val="006D31EC"/>
    <w:rsid w:val="006D3231"/>
    <w:rsid w:val="006D327D"/>
    <w:rsid w:val="006D3297"/>
    <w:rsid w:val="006D33B2"/>
    <w:rsid w:val="006D33DD"/>
    <w:rsid w:val="006D34A4"/>
    <w:rsid w:val="006D34B1"/>
    <w:rsid w:val="006D34DC"/>
    <w:rsid w:val="006D34F1"/>
    <w:rsid w:val="006D351A"/>
    <w:rsid w:val="006D35B4"/>
    <w:rsid w:val="006D35D1"/>
    <w:rsid w:val="006D35DD"/>
    <w:rsid w:val="006D364D"/>
    <w:rsid w:val="006D36C3"/>
    <w:rsid w:val="006D36C4"/>
    <w:rsid w:val="006D36FA"/>
    <w:rsid w:val="006D3716"/>
    <w:rsid w:val="006D3734"/>
    <w:rsid w:val="006D373E"/>
    <w:rsid w:val="006D3749"/>
    <w:rsid w:val="006D3751"/>
    <w:rsid w:val="006D378C"/>
    <w:rsid w:val="006D37A6"/>
    <w:rsid w:val="006D3837"/>
    <w:rsid w:val="006D3856"/>
    <w:rsid w:val="006D388F"/>
    <w:rsid w:val="006D38A2"/>
    <w:rsid w:val="006D38C4"/>
    <w:rsid w:val="006D39B1"/>
    <w:rsid w:val="006D39CC"/>
    <w:rsid w:val="006D39E8"/>
    <w:rsid w:val="006D3B32"/>
    <w:rsid w:val="006D3B44"/>
    <w:rsid w:val="006D3B75"/>
    <w:rsid w:val="006D3BC6"/>
    <w:rsid w:val="006D3BF3"/>
    <w:rsid w:val="006D3C0A"/>
    <w:rsid w:val="006D3C0D"/>
    <w:rsid w:val="006D3C8A"/>
    <w:rsid w:val="006D3C8F"/>
    <w:rsid w:val="006D3C94"/>
    <w:rsid w:val="006D3C9D"/>
    <w:rsid w:val="006D3CEE"/>
    <w:rsid w:val="006D3CF4"/>
    <w:rsid w:val="006D3D27"/>
    <w:rsid w:val="006D3D33"/>
    <w:rsid w:val="006D3DAE"/>
    <w:rsid w:val="006D3DD4"/>
    <w:rsid w:val="006D3E2D"/>
    <w:rsid w:val="006D3E7A"/>
    <w:rsid w:val="006D3E9F"/>
    <w:rsid w:val="006D3EF9"/>
    <w:rsid w:val="006D3F0B"/>
    <w:rsid w:val="006D3FA8"/>
    <w:rsid w:val="006D3FB5"/>
    <w:rsid w:val="006D3FFA"/>
    <w:rsid w:val="006D401D"/>
    <w:rsid w:val="006D4048"/>
    <w:rsid w:val="006D405F"/>
    <w:rsid w:val="006D40C4"/>
    <w:rsid w:val="006D415A"/>
    <w:rsid w:val="006D415E"/>
    <w:rsid w:val="006D419D"/>
    <w:rsid w:val="006D422B"/>
    <w:rsid w:val="006D4247"/>
    <w:rsid w:val="006D427F"/>
    <w:rsid w:val="006D4335"/>
    <w:rsid w:val="006D4348"/>
    <w:rsid w:val="006D43B0"/>
    <w:rsid w:val="006D43DF"/>
    <w:rsid w:val="006D43F5"/>
    <w:rsid w:val="006D44BF"/>
    <w:rsid w:val="006D450E"/>
    <w:rsid w:val="006D4518"/>
    <w:rsid w:val="006D4576"/>
    <w:rsid w:val="006D459D"/>
    <w:rsid w:val="006D4604"/>
    <w:rsid w:val="006D460A"/>
    <w:rsid w:val="006D4691"/>
    <w:rsid w:val="006D4714"/>
    <w:rsid w:val="006D4777"/>
    <w:rsid w:val="006D4801"/>
    <w:rsid w:val="006D480F"/>
    <w:rsid w:val="006D483C"/>
    <w:rsid w:val="006D4885"/>
    <w:rsid w:val="006D48B4"/>
    <w:rsid w:val="006D48B6"/>
    <w:rsid w:val="006D48EA"/>
    <w:rsid w:val="006D4929"/>
    <w:rsid w:val="006D49A3"/>
    <w:rsid w:val="006D49D5"/>
    <w:rsid w:val="006D49DA"/>
    <w:rsid w:val="006D4A06"/>
    <w:rsid w:val="006D4A1C"/>
    <w:rsid w:val="006D4A37"/>
    <w:rsid w:val="006D4A3D"/>
    <w:rsid w:val="006D4ACB"/>
    <w:rsid w:val="006D4B66"/>
    <w:rsid w:val="006D4B74"/>
    <w:rsid w:val="006D4BE0"/>
    <w:rsid w:val="006D4BE2"/>
    <w:rsid w:val="006D4C11"/>
    <w:rsid w:val="006D4C33"/>
    <w:rsid w:val="006D4C64"/>
    <w:rsid w:val="006D4C6D"/>
    <w:rsid w:val="006D4C90"/>
    <w:rsid w:val="006D4C9B"/>
    <w:rsid w:val="006D4CD6"/>
    <w:rsid w:val="006D4CDA"/>
    <w:rsid w:val="006D4D39"/>
    <w:rsid w:val="006D4D81"/>
    <w:rsid w:val="006D4E4B"/>
    <w:rsid w:val="006D4E51"/>
    <w:rsid w:val="006D4E6D"/>
    <w:rsid w:val="006D4EB7"/>
    <w:rsid w:val="006D4EBE"/>
    <w:rsid w:val="006D4EC1"/>
    <w:rsid w:val="006D4F28"/>
    <w:rsid w:val="006D4F68"/>
    <w:rsid w:val="006D4F99"/>
    <w:rsid w:val="006D4FBB"/>
    <w:rsid w:val="006D5087"/>
    <w:rsid w:val="006D5088"/>
    <w:rsid w:val="006D50E3"/>
    <w:rsid w:val="006D5115"/>
    <w:rsid w:val="006D514A"/>
    <w:rsid w:val="006D5204"/>
    <w:rsid w:val="006D522B"/>
    <w:rsid w:val="006D52D0"/>
    <w:rsid w:val="006D5347"/>
    <w:rsid w:val="006D5368"/>
    <w:rsid w:val="006D53CE"/>
    <w:rsid w:val="006D5508"/>
    <w:rsid w:val="006D5534"/>
    <w:rsid w:val="006D55AD"/>
    <w:rsid w:val="006D55C5"/>
    <w:rsid w:val="006D5627"/>
    <w:rsid w:val="006D562B"/>
    <w:rsid w:val="006D5632"/>
    <w:rsid w:val="006D5642"/>
    <w:rsid w:val="006D564C"/>
    <w:rsid w:val="006D56B9"/>
    <w:rsid w:val="006D578A"/>
    <w:rsid w:val="006D57CC"/>
    <w:rsid w:val="006D57F4"/>
    <w:rsid w:val="006D5887"/>
    <w:rsid w:val="006D58A3"/>
    <w:rsid w:val="006D58E6"/>
    <w:rsid w:val="006D590C"/>
    <w:rsid w:val="006D5933"/>
    <w:rsid w:val="006D595F"/>
    <w:rsid w:val="006D596A"/>
    <w:rsid w:val="006D596B"/>
    <w:rsid w:val="006D599B"/>
    <w:rsid w:val="006D59A6"/>
    <w:rsid w:val="006D59C9"/>
    <w:rsid w:val="006D5A77"/>
    <w:rsid w:val="006D5B66"/>
    <w:rsid w:val="006D5B77"/>
    <w:rsid w:val="006D5BD1"/>
    <w:rsid w:val="006D5C1A"/>
    <w:rsid w:val="006D5C57"/>
    <w:rsid w:val="006D5C64"/>
    <w:rsid w:val="006D5C6C"/>
    <w:rsid w:val="006D5C8E"/>
    <w:rsid w:val="006D5C99"/>
    <w:rsid w:val="006D5CA6"/>
    <w:rsid w:val="006D5CAE"/>
    <w:rsid w:val="006D5CB0"/>
    <w:rsid w:val="006D5CBC"/>
    <w:rsid w:val="006D5CC8"/>
    <w:rsid w:val="006D5D3A"/>
    <w:rsid w:val="006D5DBB"/>
    <w:rsid w:val="006D5DC3"/>
    <w:rsid w:val="006D5E1C"/>
    <w:rsid w:val="006D5E30"/>
    <w:rsid w:val="006D5E33"/>
    <w:rsid w:val="006D5E75"/>
    <w:rsid w:val="006D5EB8"/>
    <w:rsid w:val="006D5EDE"/>
    <w:rsid w:val="006D5F31"/>
    <w:rsid w:val="006D5F37"/>
    <w:rsid w:val="006D5F6A"/>
    <w:rsid w:val="006D5FFF"/>
    <w:rsid w:val="006D600C"/>
    <w:rsid w:val="006D603C"/>
    <w:rsid w:val="006D6048"/>
    <w:rsid w:val="006D60D4"/>
    <w:rsid w:val="006D60EA"/>
    <w:rsid w:val="006D60FC"/>
    <w:rsid w:val="006D6163"/>
    <w:rsid w:val="006D6166"/>
    <w:rsid w:val="006D61AD"/>
    <w:rsid w:val="006D61C8"/>
    <w:rsid w:val="006D624B"/>
    <w:rsid w:val="006D6317"/>
    <w:rsid w:val="006D631D"/>
    <w:rsid w:val="006D636A"/>
    <w:rsid w:val="006D63D5"/>
    <w:rsid w:val="006D6402"/>
    <w:rsid w:val="006D6428"/>
    <w:rsid w:val="006D644F"/>
    <w:rsid w:val="006D64ED"/>
    <w:rsid w:val="006D6514"/>
    <w:rsid w:val="006D6517"/>
    <w:rsid w:val="006D651D"/>
    <w:rsid w:val="006D6548"/>
    <w:rsid w:val="006D6572"/>
    <w:rsid w:val="006D6574"/>
    <w:rsid w:val="006D659A"/>
    <w:rsid w:val="006D65A9"/>
    <w:rsid w:val="006D65E9"/>
    <w:rsid w:val="006D6603"/>
    <w:rsid w:val="006D664D"/>
    <w:rsid w:val="006D6667"/>
    <w:rsid w:val="006D6685"/>
    <w:rsid w:val="006D6694"/>
    <w:rsid w:val="006D66A4"/>
    <w:rsid w:val="006D66DE"/>
    <w:rsid w:val="006D672B"/>
    <w:rsid w:val="006D675C"/>
    <w:rsid w:val="006D67D4"/>
    <w:rsid w:val="006D67EE"/>
    <w:rsid w:val="006D67F0"/>
    <w:rsid w:val="006D682A"/>
    <w:rsid w:val="006D68A4"/>
    <w:rsid w:val="006D6914"/>
    <w:rsid w:val="006D692E"/>
    <w:rsid w:val="006D694D"/>
    <w:rsid w:val="006D6975"/>
    <w:rsid w:val="006D6A69"/>
    <w:rsid w:val="006D6ABD"/>
    <w:rsid w:val="006D6B17"/>
    <w:rsid w:val="006D6B18"/>
    <w:rsid w:val="006D6B1B"/>
    <w:rsid w:val="006D6C08"/>
    <w:rsid w:val="006D6C4C"/>
    <w:rsid w:val="006D6C6F"/>
    <w:rsid w:val="006D6C9A"/>
    <w:rsid w:val="006D6CAD"/>
    <w:rsid w:val="006D6D1B"/>
    <w:rsid w:val="006D6D38"/>
    <w:rsid w:val="006D6D56"/>
    <w:rsid w:val="006D6E1C"/>
    <w:rsid w:val="006D6E3B"/>
    <w:rsid w:val="006D6E78"/>
    <w:rsid w:val="006D6F2B"/>
    <w:rsid w:val="006D6F86"/>
    <w:rsid w:val="006D6FBE"/>
    <w:rsid w:val="006D6FE5"/>
    <w:rsid w:val="006D6FFC"/>
    <w:rsid w:val="006D702C"/>
    <w:rsid w:val="006D7148"/>
    <w:rsid w:val="006D715A"/>
    <w:rsid w:val="006D71BB"/>
    <w:rsid w:val="006D71D4"/>
    <w:rsid w:val="006D71E1"/>
    <w:rsid w:val="006D7269"/>
    <w:rsid w:val="006D7284"/>
    <w:rsid w:val="006D72B7"/>
    <w:rsid w:val="006D7351"/>
    <w:rsid w:val="006D73C9"/>
    <w:rsid w:val="006D73FD"/>
    <w:rsid w:val="006D7436"/>
    <w:rsid w:val="006D745E"/>
    <w:rsid w:val="006D7471"/>
    <w:rsid w:val="006D748E"/>
    <w:rsid w:val="006D74B3"/>
    <w:rsid w:val="006D7556"/>
    <w:rsid w:val="006D7574"/>
    <w:rsid w:val="006D75A8"/>
    <w:rsid w:val="006D75BA"/>
    <w:rsid w:val="006D7612"/>
    <w:rsid w:val="006D7685"/>
    <w:rsid w:val="006D768A"/>
    <w:rsid w:val="006D769F"/>
    <w:rsid w:val="006D76FA"/>
    <w:rsid w:val="006D7786"/>
    <w:rsid w:val="006D77B2"/>
    <w:rsid w:val="006D77CF"/>
    <w:rsid w:val="006D7847"/>
    <w:rsid w:val="006D787B"/>
    <w:rsid w:val="006D78D5"/>
    <w:rsid w:val="006D78FE"/>
    <w:rsid w:val="006D7925"/>
    <w:rsid w:val="006D792A"/>
    <w:rsid w:val="006D792D"/>
    <w:rsid w:val="006D7995"/>
    <w:rsid w:val="006D7A7A"/>
    <w:rsid w:val="006D7A7F"/>
    <w:rsid w:val="006D7AAA"/>
    <w:rsid w:val="006D7AD5"/>
    <w:rsid w:val="006D7B35"/>
    <w:rsid w:val="006D7B73"/>
    <w:rsid w:val="006D7BBB"/>
    <w:rsid w:val="006D7BC7"/>
    <w:rsid w:val="006D7BCC"/>
    <w:rsid w:val="006D7BF2"/>
    <w:rsid w:val="006D7C28"/>
    <w:rsid w:val="006D7C2D"/>
    <w:rsid w:val="006D7C4A"/>
    <w:rsid w:val="006D7C5B"/>
    <w:rsid w:val="006D7CC7"/>
    <w:rsid w:val="006D7CEE"/>
    <w:rsid w:val="006D7CF6"/>
    <w:rsid w:val="006D7D3C"/>
    <w:rsid w:val="006D7DB9"/>
    <w:rsid w:val="006D7DC2"/>
    <w:rsid w:val="006D7E0F"/>
    <w:rsid w:val="006D7E38"/>
    <w:rsid w:val="006D7E62"/>
    <w:rsid w:val="006D7EBC"/>
    <w:rsid w:val="006D7F24"/>
    <w:rsid w:val="006D7F5D"/>
    <w:rsid w:val="006D7F6F"/>
    <w:rsid w:val="006D7FED"/>
    <w:rsid w:val="006E000E"/>
    <w:rsid w:val="006E00A7"/>
    <w:rsid w:val="006E00AD"/>
    <w:rsid w:val="006E0113"/>
    <w:rsid w:val="006E0135"/>
    <w:rsid w:val="006E0199"/>
    <w:rsid w:val="006E01A9"/>
    <w:rsid w:val="006E0247"/>
    <w:rsid w:val="006E0261"/>
    <w:rsid w:val="006E0387"/>
    <w:rsid w:val="006E03C5"/>
    <w:rsid w:val="006E03FC"/>
    <w:rsid w:val="006E04C6"/>
    <w:rsid w:val="006E04DE"/>
    <w:rsid w:val="006E0511"/>
    <w:rsid w:val="006E054B"/>
    <w:rsid w:val="006E0597"/>
    <w:rsid w:val="006E059D"/>
    <w:rsid w:val="006E05D0"/>
    <w:rsid w:val="006E05E6"/>
    <w:rsid w:val="006E06A3"/>
    <w:rsid w:val="006E0715"/>
    <w:rsid w:val="006E077B"/>
    <w:rsid w:val="006E07D4"/>
    <w:rsid w:val="006E0825"/>
    <w:rsid w:val="006E083A"/>
    <w:rsid w:val="006E0849"/>
    <w:rsid w:val="006E08CE"/>
    <w:rsid w:val="006E0915"/>
    <w:rsid w:val="006E091D"/>
    <w:rsid w:val="006E091F"/>
    <w:rsid w:val="006E0975"/>
    <w:rsid w:val="006E09FB"/>
    <w:rsid w:val="006E0A3A"/>
    <w:rsid w:val="006E0A54"/>
    <w:rsid w:val="006E0AF0"/>
    <w:rsid w:val="006E0B6A"/>
    <w:rsid w:val="006E0B8B"/>
    <w:rsid w:val="006E0BC7"/>
    <w:rsid w:val="006E0BD9"/>
    <w:rsid w:val="006E0C1B"/>
    <w:rsid w:val="006E0C23"/>
    <w:rsid w:val="006E0C7B"/>
    <w:rsid w:val="006E0C9C"/>
    <w:rsid w:val="006E0CBC"/>
    <w:rsid w:val="006E0CE9"/>
    <w:rsid w:val="006E0D35"/>
    <w:rsid w:val="006E0D7D"/>
    <w:rsid w:val="006E0D92"/>
    <w:rsid w:val="006E0E08"/>
    <w:rsid w:val="006E0F54"/>
    <w:rsid w:val="006E0F9D"/>
    <w:rsid w:val="006E0FA2"/>
    <w:rsid w:val="006E0FB2"/>
    <w:rsid w:val="006E0FE4"/>
    <w:rsid w:val="006E0FFF"/>
    <w:rsid w:val="006E1027"/>
    <w:rsid w:val="006E102F"/>
    <w:rsid w:val="006E1097"/>
    <w:rsid w:val="006E10E3"/>
    <w:rsid w:val="006E10F8"/>
    <w:rsid w:val="006E1139"/>
    <w:rsid w:val="006E11B0"/>
    <w:rsid w:val="006E11EF"/>
    <w:rsid w:val="006E1207"/>
    <w:rsid w:val="006E127F"/>
    <w:rsid w:val="006E128E"/>
    <w:rsid w:val="006E129C"/>
    <w:rsid w:val="006E12B4"/>
    <w:rsid w:val="006E12CF"/>
    <w:rsid w:val="006E13A4"/>
    <w:rsid w:val="006E13F3"/>
    <w:rsid w:val="006E13F7"/>
    <w:rsid w:val="006E140A"/>
    <w:rsid w:val="006E141B"/>
    <w:rsid w:val="006E147E"/>
    <w:rsid w:val="006E1489"/>
    <w:rsid w:val="006E14C9"/>
    <w:rsid w:val="006E1524"/>
    <w:rsid w:val="006E1571"/>
    <w:rsid w:val="006E1576"/>
    <w:rsid w:val="006E15B2"/>
    <w:rsid w:val="006E15FF"/>
    <w:rsid w:val="006E170E"/>
    <w:rsid w:val="006E1731"/>
    <w:rsid w:val="006E173A"/>
    <w:rsid w:val="006E1742"/>
    <w:rsid w:val="006E178C"/>
    <w:rsid w:val="006E178E"/>
    <w:rsid w:val="006E17BC"/>
    <w:rsid w:val="006E1847"/>
    <w:rsid w:val="006E1861"/>
    <w:rsid w:val="006E18A3"/>
    <w:rsid w:val="006E195E"/>
    <w:rsid w:val="006E1975"/>
    <w:rsid w:val="006E1A76"/>
    <w:rsid w:val="006E1A7E"/>
    <w:rsid w:val="006E1AB6"/>
    <w:rsid w:val="006E1B35"/>
    <w:rsid w:val="006E1BDF"/>
    <w:rsid w:val="006E1CD1"/>
    <w:rsid w:val="006E1D33"/>
    <w:rsid w:val="006E1D3E"/>
    <w:rsid w:val="006E1DB0"/>
    <w:rsid w:val="006E1DB6"/>
    <w:rsid w:val="006E1DC6"/>
    <w:rsid w:val="006E1E0D"/>
    <w:rsid w:val="006E1E3A"/>
    <w:rsid w:val="006E1EC8"/>
    <w:rsid w:val="006E1F19"/>
    <w:rsid w:val="006E1F47"/>
    <w:rsid w:val="006E1F5E"/>
    <w:rsid w:val="006E1F69"/>
    <w:rsid w:val="006E1F6D"/>
    <w:rsid w:val="006E2021"/>
    <w:rsid w:val="006E2038"/>
    <w:rsid w:val="006E203F"/>
    <w:rsid w:val="006E20B7"/>
    <w:rsid w:val="006E20C8"/>
    <w:rsid w:val="006E2164"/>
    <w:rsid w:val="006E2178"/>
    <w:rsid w:val="006E2192"/>
    <w:rsid w:val="006E2276"/>
    <w:rsid w:val="006E22AD"/>
    <w:rsid w:val="006E22C1"/>
    <w:rsid w:val="006E22D6"/>
    <w:rsid w:val="006E22E1"/>
    <w:rsid w:val="006E2302"/>
    <w:rsid w:val="006E2397"/>
    <w:rsid w:val="006E23CD"/>
    <w:rsid w:val="006E23E5"/>
    <w:rsid w:val="006E23EA"/>
    <w:rsid w:val="006E2407"/>
    <w:rsid w:val="006E2411"/>
    <w:rsid w:val="006E24E6"/>
    <w:rsid w:val="006E2504"/>
    <w:rsid w:val="006E25E1"/>
    <w:rsid w:val="006E2623"/>
    <w:rsid w:val="006E2646"/>
    <w:rsid w:val="006E2649"/>
    <w:rsid w:val="006E264B"/>
    <w:rsid w:val="006E26D7"/>
    <w:rsid w:val="006E26E0"/>
    <w:rsid w:val="006E270E"/>
    <w:rsid w:val="006E274A"/>
    <w:rsid w:val="006E2762"/>
    <w:rsid w:val="006E27A4"/>
    <w:rsid w:val="006E27EA"/>
    <w:rsid w:val="006E27F6"/>
    <w:rsid w:val="006E28C8"/>
    <w:rsid w:val="006E28E0"/>
    <w:rsid w:val="006E2965"/>
    <w:rsid w:val="006E2970"/>
    <w:rsid w:val="006E2A02"/>
    <w:rsid w:val="006E2A08"/>
    <w:rsid w:val="006E2A5C"/>
    <w:rsid w:val="006E2AE8"/>
    <w:rsid w:val="006E2AED"/>
    <w:rsid w:val="006E2B16"/>
    <w:rsid w:val="006E2B5C"/>
    <w:rsid w:val="006E2C01"/>
    <w:rsid w:val="006E2C47"/>
    <w:rsid w:val="006E2C4F"/>
    <w:rsid w:val="006E2C88"/>
    <w:rsid w:val="006E2C98"/>
    <w:rsid w:val="006E2CC3"/>
    <w:rsid w:val="006E2CF6"/>
    <w:rsid w:val="006E2D40"/>
    <w:rsid w:val="006E2E30"/>
    <w:rsid w:val="006E2E41"/>
    <w:rsid w:val="006E2E47"/>
    <w:rsid w:val="006E2EFC"/>
    <w:rsid w:val="006E2F08"/>
    <w:rsid w:val="006E2F1E"/>
    <w:rsid w:val="006E2F46"/>
    <w:rsid w:val="006E2F4C"/>
    <w:rsid w:val="006E2F5A"/>
    <w:rsid w:val="006E3019"/>
    <w:rsid w:val="006E3068"/>
    <w:rsid w:val="006E307E"/>
    <w:rsid w:val="006E30D6"/>
    <w:rsid w:val="006E30F5"/>
    <w:rsid w:val="006E31B9"/>
    <w:rsid w:val="006E320A"/>
    <w:rsid w:val="006E324E"/>
    <w:rsid w:val="006E3250"/>
    <w:rsid w:val="006E32CA"/>
    <w:rsid w:val="006E3301"/>
    <w:rsid w:val="006E3304"/>
    <w:rsid w:val="006E331F"/>
    <w:rsid w:val="006E3332"/>
    <w:rsid w:val="006E3386"/>
    <w:rsid w:val="006E3398"/>
    <w:rsid w:val="006E33CA"/>
    <w:rsid w:val="006E33F3"/>
    <w:rsid w:val="006E3449"/>
    <w:rsid w:val="006E348B"/>
    <w:rsid w:val="006E34A1"/>
    <w:rsid w:val="006E352C"/>
    <w:rsid w:val="006E352D"/>
    <w:rsid w:val="006E3541"/>
    <w:rsid w:val="006E359C"/>
    <w:rsid w:val="006E35EF"/>
    <w:rsid w:val="006E3615"/>
    <w:rsid w:val="006E36AE"/>
    <w:rsid w:val="006E36C5"/>
    <w:rsid w:val="006E375A"/>
    <w:rsid w:val="006E376A"/>
    <w:rsid w:val="006E380C"/>
    <w:rsid w:val="006E3834"/>
    <w:rsid w:val="006E3854"/>
    <w:rsid w:val="006E38F7"/>
    <w:rsid w:val="006E3936"/>
    <w:rsid w:val="006E3949"/>
    <w:rsid w:val="006E394C"/>
    <w:rsid w:val="006E396E"/>
    <w:rsid w:val="006E396F"/>
    <w:rsid w:val="006E3993"/>
    <w:rsid w:val="006E39D8"/>
    <w:rsid w:val="006E39E5"/>
    <w:rsid w:val="006E3A53"/>
    <w:rsid w:val="006E3A6B"/>
    <w:rsid w:val="006E3AE8"/>
    <w:rsid w:val="006E3B4D"/>
    <w:rsid w:val="006E3BA0"/>
    <w:rsid w:val="006E3BE1"/>
    <w:rsid w:val="006E3C3F"/>
    <w:rsid w:val="006E3C63"/>
    <w:rsid w:val="006E3C8F"/>
    <w:rsid w:val="006E3CE8"/>
    <w:rsid w:val="006E3DD0"/>
    <w:rsid w:val="006E3E6F"/>
    <w:rsid w:val="006E3E8D"/>
    <w:rsid w:val="006E3F02"/>
    <w:rsid w:val="006E3F54"/>
    <w:rsid w:val="006E3F95"/>
    <w:rsid w:val="006E3F9D"/>
    <w:rsid w:val="006E3FB1"/>
    <w:rsid w:val="006E406D"/>
    <w:rsid w:val="006E407D"/>
    <w:rsid w:val="006E40B2"/>
    <w:rsid w:val="006E4138"/>
    <w:rsid w:val="006E415B"/>
    <w:rsid w:val="006E41BD"/>
    <w:rsid w:val="006E41C5"/>
    <w:rsid w:val="006E41C6"/>
    <w:rsid w:val="006E41DE"/>
    <w:rsid w:val="006E4239"/>
    <w:rsid w:val="006E4243"/>
    <w:rsid w:val="006E425C"/>
    <w:rsid w:val="006E42EC"/>
    <w:rsid w:val="006E4304"/>
    <w:rsid w:val="006E433C"/>
    <w:rsid w:val="006E4357"/>
    <w:rsid w:val="006E4359"/>
    <w:rsid w:val="006E447A"/>
    <w:rsid w:val="006E44A4"/>
    <w:rsid w:val="006E44AB"/>
    <w:rsid w:val="006E44CA"/>
    <w:rsid w:val="006E44D2"/>
    <w:rsid w:val="006E44D7"/>
    <w:rsid w:val="006E4551"/>
    <w:rsid w:val="006E45AE"/>
    <w:rsid w:val="006E4610"/>
    <w:rsid w:val="006E465F"/>
    <w:rsid w:val="006E4695"/>
    <w:rsid w:val="006E46A3"/>
    <w:rsid w:val="006E4787"/>
    <w:rsid w:val="006E47AD"/>
    <w:rsid w:val="006E47BE"/>
    <w:rsid w:val="006E4812"/>
    <w:rsid w:val="006E485A"/>
    <w:rsid w:val="006E4861"/>
    <w:rsid w:val="006E48C1"/>
    <w:rsid w:val="006E49E6"/>
    <w:rsid w:val="006E4B68"/>
    <w:rsid w:val="006E4B6F"/>
    <w:rsid w:val="006E4B78"/>
    <w:rsid w:val="006E4B80"/>
    <w:rsid w:val="006E4B9C"/>
    <w:rsid w:val="006E4BA8"/>
    <w:rsid w:val="006E4BB6"/>
    <w:rsid w:val="006E4BDC"/>
    <w:rsid w:val="006E4BE2"/>
    <w:rsid w:val="006E4C16"/>
    <w:rsid w:val="006E4D06"/>
    <w:rsid w:val="006E4D54"/>
    <w:rsid w:val="006E4D9C"/>
    <w:rsid w:val="006E4DDE"/>
    <w:rsid w:val="006E4E17"/>
    <w:rsid w:val="006E4E90"/>
    <w:rsid w:val="006E4EA6"/>
    <w:rsid w:val="006E4EE5"/>
    <w:rsid w:val="006E4EF3"/>
    <w:rsid w:val="006E4F2B"/>
    <w:rsid w:val="006E4F78"/>
    <w:rsid w:val="006E4FA6"/>
    <w:rsid w:val="006E4FDF"/>
    <w:rsid w:val="006E5009"/>
    <w:rsid w:val="006E5039"/>
    <w:rsid w:val="006E508B"/>
    <w:rsid w:val="006E5187"/>
    <w:rsid w:val="006E51BA"/>
    <w:rsid w:val="006E5208"/>
    <w:rsid w:val="006E5219"/>
    <w:rsid w:val="006E5299"/>
    <w:rsid w:val="006E52E6"/>
    <w:rsid w:val="006E534D"/>
    <w:rsid w:val="006E53D2"/>
    <w:rsid w:val="006E53DE"/>
    <w:rsid w:val="006E5404"/>
    <w:rsid w:val="006E5440"/>
    <w:rsid w:val="006E5445"/>
    <w:rsid w:val="006E544D"/>
    <w:rsid w:val="006E54DB"/>
    <w:rsid w:val="006E550D"/>
    <w:rsid w:val="006E557D"/>
    <w:rsid w:val="006E55AD"/>
    <w:rsid w:val="006E55F7"/>
    <w:rsid w:val="006E56B5"/>
    <w:rsid w:val="006E56C2"/>
    <w:rsid w:val="006E5844"/>
    <w:rsid w:val="006E58B9"/>
    <w:rsid w:val="006E5968"/>
    <w:rsid w:val="006E5979"/>
    <w:rsid w:val="006E5A19"/>
    <w:rsid w:val="006E5A73"/>
    <w:rsid w:val="006E5A7B"/>
    <w:rsid w:val="006E5A8E"/>
    <w:rsid w:val="006E5AE6"/>
    <w:rsid w:val="006E5B2C"/>
    <w:rsid w:val="006E5B4A"/>
    <w:rsid w:val="006E5C27"/>
    <w:rsid w:val="006E5C6B"/>
    <w:rsid w:val="006E5C78"/>
    <w:rsid w:val="006E5D10"/>
    <w:rsid w:val="006E5D65"/>
    <w:rsid w:val="006E5D81"/>
    <w:rsid w:val="006E5D8E"/>
    <w:rsid w:val="006E5D97"/>
    <w:rsid w:val="006E5E2E"/>
    <w:rsid w:val="006E5EA5"/>
    <w:rsid w:val="006E5EDF"/>
    <w:rsid w:val="006E5F38"/>
    <w:rsid w:val="006E5F7A"/>
    <w:rsid w:val="006E5FBA"/>
    <w:rsid w:val="006E6053"/>
    <w:rsid w:val="006E6060"/>
    <w:rsid w:val="006E609D"/>
    <w:rsid w:val="006E616C"/>
    <w:rsid w:val="006E616F"/>
    <w:rsid w:val="006E6174"/>
    <w:rsid w:val="006E61E6"/>
    <w:rsid w:val="006E6226"/>
    <w:rsid w:val="006E624E"/>
    <w:rsid w:val="006E62DA"/>
    <w:rsid w:val="006E62DB"/>
    <w:rsid w:val="006E62E4"/>
    <w:rsid w:val="006E6342"/>
    <w:rsid w:val="006E637B"/>
    <w:rsid w:val="006E63EA"/>
    <w:rsid w:val="006E6415"/>
    <w:rsid w:val="006E6492"/>
    <w:rsid w:val="006E658A"/>
    <w:rsid w:val="006E65A6"/>
    <w:rsid w:val="006E6628"/>
    <w:rsid w:val="006E6663"/>
    <w:rsid w:val="006E666C"/>
    <w:rsid w:val="006E6670"/>
    <w:rsid w:val="006E667C"/>
    <w:rsid w:val="006E66D8"/>
    <w:rsid w:val="006E66FD"/>
    <w:rsid w:val="006E6706"/>
    <w:rsid w:val="006E672C"/>
    <w:rsid w:val="006E6731"/>
    <w:rsid w:val="006E67A5"/>
    <w:rsid w:val="006E67C4"/>
    <w:rsid w:val="006E67E3"/>
    <w:rsid w:val="006E67F4"/>
    <w:rsid w:val="006E6809"/>
    <w:rsid w:val="006E6875"/>
    <w:rsid w:val="006E691E"/>
    <w:rsid w:val="006E6954"/>
    <w:rsid w:val="006E6A25"/>
    <w:rsid w:val="006E6A62"/>
    <w:rsid w:val="006E6AC1"/>
    <w:rsid w:val="006E6B17"/>
    <w:rsid w:val="006E6B27"/>
    <w:rsid w:val="006E6B6D"/>
    <w:rsid w:val="006E6B81"/>
    <w:rsid w:val="006E6BF1"/>
    <w:rsid w:val="006E6C3B"/>
    <w:rsid w:val="006E6C5C"/>
    <w:rsid w:val="006E6C5F"/>
    <w:rsid w:val="006E6C89"/>
    <w:rsid w:val="006E6C8D"/>
    <w:rsid w:val="006E6CBB"/>
    <w:rsid w:val="006E6CC8"/>
    <w:rsid w:val="006E6D05"/>
    <w:rsid w:val="006E6D5E"/>
    <w:rsid w:val="006E6D65"/>
    <w:rsid w:val="006E6D6B"/>
    <w:rsid w:val="006E6D71"/>
    <w:rsid w:val="006E6D8C"/>
    <w:rsid w:val="006E6DA5"/>
    <w:rsid w:val="006E6DAA"/>
    <w:rsid w:val="006E6DCB"/>
    <w:rsid w:val="006E6E07"/>
    <w:rsid w:val="006E6E43"/>
    <w:rsid w:val="006E6F48"/>
    <w:rsid w:val="006E6F8A"/>
    <w:rsid w:val="006E6F9E"/>
    <w:rsid w:val="006E7028"/>
    <w:rsid w:val="006E702D"/>
    <w:rsid w:val="006E70C2"/>
    <w:rsid w:val="006E7107"/>
    <w:rsid w:val="006E710C"/>
    <w:rsid w:val="006E711A"/>
    <w:rsid w:val="006E7161"/>
    <w:rsid w:val="006E716E"/>
    <w:rsid w:val="006E7184"/>
    <w:rsid w:val="006E71AD"/>
    <w:rsid w:val="006E71DF"/>
    <w:rsid w:val="006E72E4"/>
    <w:rsid w:val="006E7337"/>
    <w:rsid w:val="006E7384"/>
    <w:rsid w:val="006E7390"/>
    <w:rsid w:val="006E73A0"/>
    <w:rsid w:val="006E73C7"/>
    <w:rsid w:val="006E7412"/>
    <w:rsid w:val="006E7450"/>
    <w:rsid w:val="006E74AA"/>
    <w:rsid w:val="006E74AC"/>
    <w:rsid w:val="006E752F"/>
    <w:rsid w:val="006E7562"/>
    <w:rsid w:val="006E75AD"/>
    <w:rsid w:val="006E75CA"/>
    <w:rsid w:val="006E75CE"/>
    <w:rsid w:val="006E75F7"/>
    <w:rsid w:val="006E75F8"/>
    <w:rsid w:val="006E7620"/>
    <w:rsid w:val="006E7626"/>
    <w:rsid w:val="006E764D"/>
    <w:rsid w:val="006E768B"/>
    <w:rsid w:val="006E76AB"/>
    <w:rsid w:val="006E76F0"/>
    <w:rsid w:val="006E76F7"/>
    <w:rsid w:val="006E7785"/>
    <w:rsid w:val="006E7813"/>
    <w:rsid w:val="006E787A"/>
    <w:rsid w:val="006E788C"/>
    <w:rsid w:val="006E78A0"/>
    <w:rsid w:val="006E78D5"/>
    <w:rsid w:val="006E7921"/>
    <w:rsid w:val="006E7939"/>
    <w:rsid w:val="006E7962"/>
    <w:rsid w:val="006E797B"/>
    <w:rsid w:val="006E797D"/>
    <w:rsid w:val="006E7982"/>
    <w:rsid w:val="006E799E"/>
    <w:rsid w:val="006E79BD"/>
    <w:rsid w:val="006E7A20"/>
    <w:rsid w:val="006E7AF8"/>
    <w:rsid w:val="006E7BB0"/>
    <w:rsid w:val="006E7BD2"/>
    <w:rsid w:val="006E7BE5"/>
    <w:rsid w:val="006E7C60"/>
    <w:rsid w:val="006E7C71"/>
    <w:rsid w:val="006E7CA1"/>
    <w:rsid w:val="006E7CB0"/>
    <w:rsid w:val="006E7CCC"/>
    <w:rsid w:val="006E7CD7"/>
    <w:rsid w:val="006E7DCE"/>
    <w:rsid w:val="006E7DD5"/>
    <w:rsid w:val="006E7F1A"/>
    <w:rsid w:val="006E7F64"/>
    <w:rsid w:val="006E7FD6"/>
    <w:rsid w:val="006E7FDB"/>
    <w:rsid w:val="006F0059"/>
    <w:rsid w:val="006F005D"/>
    <w:rsid w:val="006F005F"/>
    <w:rsid w:val="006F0089"/>
    <w:rsid w:val="006F00FC"/>
    <w:rsid w:val="006F0114"/>
    <w:rsid w:val="006F012F"/>
    <w:rsid w:val="006F018A"/>
    <w:rsid w:val="006F01E0"/>
    <w:rsid w:val="006F0254"/>
    <w:rsid w:val="006F0262"/>
    <w:rsid w:val="006F02A2"/>
    <w:rsid w:val="006F02B6"/>
    <w:rsid w:val="006F02DB"/>
    <w:rsid w:val="006F02F0"/>
    <w:rsid w:val="006F032C"/>
    <w:rsid w:val="006F03E9"/>
    <w:rsid w:val="006F0421"/>
    <w:rsid w:val="006F042D"/>
    <w:rsid w:val="006F042F"/>
    <w:rsid w:val="006F04A4"/>
    <w:rsid w:val="006F04BC"/>
    <w:rsid w:val="006F0596"/>
    <w:rsid w:val="006F05DB"/>
    <w:rsid w:val="006F05E3"/>
    <w:rsid w:val="006F060C"/>
    <w:rsid w:val="006F0687"/>
    <w:rsid w:val="006F06AB"/>
    <w:rsid w:val="006F06B0"/>
    <w:rsid w:val="006F0763"/>
    <w:rsid w:val="006F0864"/>
    <w:rsid w:val="006F08E5"/>
    <w:rsid w:val="006F0917"/>
    <w:rsid w:val="006F0921"/>
    <w:rsid w:val="006F095A"/>
    <w:rsid w:val="006F0AC6"/>
    <w:rsid w:val="006F0BC6"/>
    <w:rsid w:val="006F0CA7"/>
    <w:rsid w:val="006F0CDB"/>
    <w:rsid w:val="006F0CE8"/>
    <w:rsid w:val="006F0D0D"/>
    <w:rsid w:val="006F0D0F"/>
    <w:rsid w:val="006F0D44"/>
    <w:rsid w:val="006F0D87"/>
    <w:rsid w:val="006F0DA9"/>
    <w:rsid w:val="006F0DDF"/>
    <w:rsid w:val="006F0DEA"/>
    <w:rsid w:val="006F0E50"/>
    <w:rsid w:val="006F0E8F"/>
    <w:rsid w:val="006F0EAE"/>
    <w:rsid w:val="006F0EF3"/>
    <w:rsid w:val="006F0F33"/>
    <w:rsid w:val="006F0F48"/>
    <w:rsid w:val="006F0F50"/>
    <w:rsid w:val="006F0F66"/>
    <w:rsid w:val="006F0FB3"/>
    <w:rsid w:val="006F0FDC"/>
    <w:rsid w:val="006F0FEA"/>
    <w:rsid w:val="006F1022"/>
    <w:rsid w:val="006F1039"/>
    <w:rsid w:val="006F1080"/>
    <w:rsid w:val="006F1097"/>
    <w:rsid w:val="006F1177"/>
    <w:rsid w:val="006F11B0"/>
    <w:rsid w:val="006F1212"/>
    <w:rsid w:val="006F1233"/>
    <w:rsid w:val="006F1267"/>
    <w:rsid w:val="006F1320"/>
    <w:rsid w:val="006F132C"/>
    <w:rsid w:val="006F1350"/>
    <w:rsid w:val="006F1390"/>
    <w:rsid w:val="006F139A"/>
    <w:rsid w:val="006F13A6"/>
    <w:rsid w:val="006F140A"/>
    <w:rsid w:val="006F1455"/>
    <w:rsid w:val="006F146D"/>
    <w:rsid w:val="006F150A"/>
    <w:rsid w:val="006F1626"/>
    <w:rsid w:val="006F1665"/>
    <w:rsid w:val="006F17D3"/>
    <w:rsid w:val="006F1848"/>
    <w:rsid w:val="006F1856"/>
    <w:rsid w:val="006F18B8"/>
    <w:rsid w:val="006F1911"/>
    <w:rsid w:val="006F193B"/>
    <w:rsid w:val="006F19B7"/>
    <w:rsid w:val="006F1A09"/>
    <w:rsid w:val="006F1AB7"/>
    <w:rsid w:val="006F1AF4"/>
    <w:rsid w:val="006F1B0D"/>
    <w:rsid w:val="006F1B2C"/>
    <w:rsid w:val="006F1B35"/>
    <w:rsid w:val="006F1B74"/>
    <w:rsid w:val="006F1B77"/>
    <w:rsid w:val="006F1C1D"/>
    <w:rsid w:val="006F1C95"/>
    <w:rsid w:val="006F1CD1"/>
    <w:rsid w:val="006F1CD4"/>
    <w:rsid w:val="006F1D01"/>
    <w:rsid w:val="006F1DD2"/>
    <w:rsid w:val="006F1E39"/>
    <w:rsid w:val="006F1E79"/>
    <w:rsid w:val="006F1E7C"/>
    <w:rsid w:val="006F1FE5"/>
    <w:rsid w:val="006F203C"/>
    <w:rsid w:val="006F20D0"/>
    <w:rsid w:val="006F2149"/>
    <w:rsid w:val="006F2165"/>
    <w:rsid w:val="006F21CC"/>
    <w:rsid w:val="006F21FC"/>
    <w:rsid w:val="006F221F"/>
    <w:rsid w:val="006F228A"/>
    <w:rsid w:val="006F22AD"/>
    <w:rsid w:val="006F22D4"/>
    <w:rsid w:val="006F2301"/>
    <w:rsid w:val="006F230C"/>
    <w:rsid w:val="006F234C"/>
    <w:rsid w:val="006F235B"/>
    <w:rsid w:val="006F2371"/>
    <w:rsid w:val="006F23AD"/>
    <w:rsid w:val="006F23D8"/>
    <w:rsid w:val="006F24AB"/>
    <w:rsid w:val="006F254C"/>
    <w:rsid w:val="006F25E3"/>
    <w:rsid w:val="006F2657"/>
    <w:rsid w:val="006F2676"/>
    <w:rsid w:val="006F26C7"/>
    <w:rsid w:val="006F270D"/>
    <w:rsid w:val="006F271D"/>
    <w:rsid w:val="006F282D"/>
    <w:rsid w:val="006F2854"/>
    <w:rsid w:val="006F28E4"/>
    <w:rsid w:val="006F2909"/>
    <w:rsid w:val="006F2996"/>
    <w:rsid w:val="006F29BC"/>
    <w:rsid w:val="006F2A3E"/>
    <w:rsid w:val="006F2A76"/>
    <w:rsid w:val="006F2AEF"/>
    <w:rsid w:val="006F2B26"/>
    <w:rsid w:val="006F2B32"/>
    <w:rsid w:val="006F2BE4"/>
    <w:rsid w:val="006F2C54"/>
    <w:rsid w:val="006F2CAB"/>
    <w:rsid w:val="006F2D23"/>
    <w:rsid w:val="006F2D37"/>
    <w:rsid w:val="006F2E02"/>
    <w:rsid w:val="006F2E15"/>
    <w:rsid w:val="006F2EA6"/>
    <w:rsid w:val="006F2EC9"/>
    <w:rsid w:val="006F2ECC"/>
    <w:rsid w:val="006F2FB7"/>
    <w:rsid w:val="006F2FDC"/>
    <w:rsid w:val="006F300D"/>
    <w:rsid w:val="006F3041"/>
    <w:rsid w:val="006F307B"/>
    <w:rsid w:val="006F30AF"/>
    <w:rsid w:val="006F3126"/>
    <w:rsid w:val="006F313A"/>
    <w:rsid w:val="006F31BA"/>
    <w:rsid w:val="006F31F4"/>
    <w:rsid w:val="006F326F"/>
    <w:rsid w:val="006F3282"/>
    <w:rsid w:val="006F330C"/>
    <w:rsid w:val="006F331D"/>
    <w:rsid w:val="006F334F"/>
    <w:rsid w:val="006F338E"/>
    <w:rsid w:val="006F33A9"/>
    <w:rsid w:val="006F33E9"/>
    <w:rsid w:val="006F3472"/>
    <w:rsid w:val="006F34C7"/>
    <w:rsid w:val="006F3515"/>
    <w:rsid w:val="006F354C"/>
    <w:rsid w:val="006F358B"/>
    <w:rsid w:val="006F3655"/>
    <w:rsid w:val="006F36FF"/>
    <w:rsid w:val="006F373F"/>
    <w:rsid w:val="006F3763"/>
    <w:rsid w:val="006F37F1"/>
    <w:rsid w:val="006F3879"/>
    <w:rsid w:val="006F38AD"/>
    <w:rsid w:val="006F38B8"/>
    <w:rsid w:val="006F38F0"/>
    <w:rsid w:val="006F38F5"/>
    <w:rsid w:val="006F3921"/>
    <w:rsid w:val="006F393A"/>
    <w:rsid w:val="006F3967"/>
    <w:rsid w:val="006F3A46"/>
    <w:rsid w:val="006F3A4D"/>
    <w:rsid w:val="006F3AE8"/>
    <w:rsid w:val="006F3AF5"/>
    <w:rsid w:val="006F3B05"/>
    <w:rsid w:val="006F3B25"/>
    <w:rsid w:val="006F3B35"/>
    <w:rsid w:val="006F3BAA"/>
    <w:rsid w:val="006F3BE1"/>
    <w:rsid w:val="006F3C1C"/>
    <w:rsid w:val="006F3C8E"/>
    <w:rsid w:val="006F3D20"/>
    <w:rsid w:val="006F3D35"/>
    <w:rsid w:val="006F3D75"/>
    <w:rsid w:val="006F3E5F"/>
    <w:rsid w:val="006F3EB5"/>
    <w:rsid w:val="006F3F0D"/>
    <w:rsid w:val="006F3F4F"/>
    <w:rsid w:val="006F3F65"/>
    <w:rsid w:val="006F3F92"/>
    <w:rsid w:val="006F3FA5"/>
    <w:rsid w:val="006F3FBC"/>
    <w:rsid w:val="006F3FC3"/>
    <w:rsid w:val="006F3FE8"/>
    <w:rsid w:val="006F401A"/>
    <w:rsid w:val="006F40B9"/>
    <w:rsid w:val="006F4131"/>
    <w:rsid w:val="006F4142"/>
    <w:rsid w:val="006F414A"/>
    <w:rsid w:val="006F41D1"/>
    <w:rsid w:val="006F41D3"/>
    <w:rsid w:val="006F41EC"/>
    <w:rsid w:val="006F41FC"/>
    <w:rsid w:val="006F4255"/>
    <w:rsid w:val="006F42A0"/>
    <w:rsid w:val="006F42A6"/>
    <w:rsid w:val="006F4373"/>
    <w:rsid w:val="006F4378"/>
    <w:rsid w:val="006F4388"/>
    <w:rsid w:val="006F440C"/>
    <w:rsid w:val="006F441F"/>
    <w:rsid w:val="006F4434"/>
    <w:rsid w:val="006F4518"/>
    <w:rsid w:val="006F4539"/>
    <w:rsid w:val="006F457E"/>
    <w:rsid w:val="006F45C2"/>
    <w:rsid w:val="006F45E2"/>
    <w:rsid w:val="006F463F"/>
    <w:rsid w:val="006F46BD"/>
    <w:rsid w:val="006F46CB"/>
    <w:rsid w:val="006F46E7"/>
    <w:rsid w:val="006F46EF"/>
    <w:rsid w:val="006F46FA"/>
    <w:rsid w:val="006F474B"/>
    <w:rsid w:val="006F474D"/>
    <w:rsid w:val="006F4778"/>
    <w:rsid w:val="006F477E"/>
    <w:rsid w:val="006F4848"/>
    <w:rsid w:val="006F484E"/>
    <w:rsid w:val="006F488D"/>
    <w:rsid w:val="006F4924"/>
    <w:rsid w:val="006F494F"/>
    <w:rsid w:val="006F4988"/>
    <w:rsid w:val="006F49BA"/>
    <w:rsid w:val="006F49DA"/>
    <w:rsid w:val="006F4A5C"/>
    <w:rsid w:val="006F4A70"/>
    <w:rsid w:val="006F4A82"/>
    <w:rsid w:val="006F4B69"/>
    <w:rsid w:val="006F4BAF"/>
    <w:rsid w:val="006F4BFA"/>
    <w:rsid w:val="006F4C04"/>
    <w:rsid w:val="006F4CC8"/>
    <w:rsid w:val="006F4CE2"/>
    <w:rsid w:val="006F4D85"/>
    <w:rsid w:val="006F4E09"/>
    <w:rsid w:val="006F4E3B"/>
    <w:rsid w:val="006F4E76"/>
    <w:rsid w:val="006F4EA0"/>
    <w:rsid w:val="006F4EA4"/>
    <w:rsid w:val="006F4ECA"/>
    <w:rsid w:val="006F4F4B"/>
    <w:rsid w:val="006F4FA7"/>
    <w:rsid w:val="006F4FDB"/>
    <w:rsid w:val="006F501C"/>
    <w:rsid w:val="006F504D"/>
    <w:rsid w:val="006F50BD"/>
    <w:rsid w:val="006F5116"/>
    <w:rsid w:val="006F511C"/>
    <w:rsid w:val="006F5137"/>
    <w:rsid w:val="006F513B"/>
    <w:rsid w:val="006F514E"/>
    <w:rsid w:val="006F5155"/>
    <w:rsid w:val="006F51C3"/>
    <w:rsid w:val="006F51E3"/>
    <w:rsid w:val="006F51FC"/>
    <w:rsid w:val="006F53A6"/>
    <w:rsid w:val="006F53E6"/>
    <w:rsid w:val="006F53F5"/>
    <w:rsid w:val="006F5489"/>
    <w:rsid w:val="006F54D8"/>
    <w:rsid w:val="006F54F6"/>
    <w:rsid w:val="006F55C5"/>
    <w:rsid w:val="006F55DA"/>
    <w:rsid w:val="006F55FA"/>
    <w:rsid w:val="006F5612"/>
    <w:rsid w:val="006F5650"/>
    <w:rsid w:val="006F5658"/>
    <w:rsid w:val="006F5664"/>
    <w:rsid w:val="006F5674"/>
    <w:rsid w:val="006F570D"/>
    <w:rsid w:val="006F579B"/>
    <w:rsid w:val="006F5823"/>
    <w:rsid w:val="006F58D2"/>
    <w:rsid w:val="006F591D"/>
    <w:rsid w:val="006F5968"/>
    <w:rsid w:val="006F59D4"/>
    <w:rsid w:val="006F5A29"/>
    <w:rsid w:val="006F5A75"/>
    <w:rsid w:val="006F5A99"/>
    <w:rsid w:val="006F5B68"/>
    <w:rsid w:val="006F5B83"/>
    <w:rsid w:val="006F5BAC"/>
    <w:rsid w:val="006F5C04"/>
    <w:rsid w:val="006F5C55"/>
    <w:rsid w:val="006F5C95"/>
    <w:rsid w:val="006F5D07"/>
    <w:rsid w:val="006F5D3D"/>
    <w:rsid w:val="006F5D6B"/>
    <w:rsid w:val="006F5D81"/>
    <w:rsid w:val="006F5E17"/>
    <w:rsid w:val="006F5E33"/>
    <w:rsid w:val="006F5E3A"/>
    <w:rsid w:val="006F5E41"/>
    <w:rsid w:val="006F5EA4"/>
    <w:rsid w:val="006F5EB8"/>
    <w:rsid w:val="006F5F09"/>
    <w:rsid w:val="006F5F1D"/>
    <w:rsid w:val="006F5FC2"/>
    <w:rsid w:val="006F6026"/>
    <w:rsid w:val="006F6035"/>
    <w:rsid w:val="006F609F"/>
    <w:rsid w:val="006F60D2"/>
    <w:rsid w:val="006F60D9"/>
    <w:rsid w:val="006F60F6"/>
    <w:rsid w:val="006F611A"/>
    <w:rsid w:val="006F614D"/>
    <w:rsid w:val="006F6180"/>
    <w:rsid w:val="006F619A"/>
    <w:rsid w:val="006F61AA"/>
    <w:rsid w:val="006F61B9"/>
    <w:rsid w:val="006F6210"/>
    <w:rsid w:val="006F6226"/>
    <w:rsid w:val="006F622F"/>
    <w:rsid w:val="006F6234"/>
    <w:rsid w:val="006F627E"/>
    <w:rsid w:val="006F62AE"/>
    <w:rsid w:val="006F62C4"/>
    <w:rsid w:val="006F62D8"/>
    <w:rsid w:val="006F6307"/>
    <w:rsid w:val="006F630E"/>
    <w:rsid w:val="006F6323"/>
    <w:rsid w:val="006F636B"/>
    <w:rsid w:val="006F63C9"/>
    <w:rsid w:val="006F63EF"/>
    <w:rsid w:val="006F640D"/>
    <w:rsid w:val="006F6488"/>
    <w:rsid w:val="006F6491"/>
    <w:rsid w:val="006F64D9"/>
    <w:rsid w:val="006F64F5"/>
    <w:rsid w:val="006F6521"/>
    <w:rsid w:val="006F65B0"/>
    <w:rsid w:val="006F65EC"/>
    <w:rsid w:val="006F6637"/>
    <w:rsid w:val="006F6655"/>
    <w:rsid w:val="006F667B"/>
    <w:rsid w:val="006F66F9"/>
    <w:rsid w:val="006F6721"/>
    <w:rsid w:val="006F673F"/>
    <w:rsid w:val="006F6768"/>
    <w:rsid w:val="006F677D"/>
    <w:rsid w:val="006F6817"/>
    <w:rsid w:val="006F681B"/>
    <w:rsid w:val="006F685D"/>
    <w:rsid w:val="006F686F"/>
    <w:rsid w:val="006F68A5"/>
    <w:rsid w:val="006F68AB"/>
    <w:rsid w:val="006F68D7"/>
    <w:rsid w:val="006F695A"/>
    <w:rsid w:val="006F69C5"/>
    <w:rsid w:val="006F6A09"/>
    <w:rsid w:val="006F6A52"/>
    <w:rsid w:val="006F6A7D"/>
    <w:rsid w:val="006F6ADB"/>
    <w:rsid w:val="006F6AE5"/>
    <w:rsid w:val="006F6B1A"/>
    <w:rsid w:val="006F6BC5"/>
    <w:rsid w:val="006F6BDE"/>
    <w:rsid w:val="006F6C89"/>
    <w:rsid w:val="006F6C94"/>
    <w:rsid w:val="006F6D4A"/>
    <w:rsid w:val="006F6D4D"/>
    <w:rsid w:val="006F6D70"/>
    <w:rsid w:val="006F6D96"/>
    <w:rsid w:val="006F6DAC"/>
    <w:rsid w:val="006F6DB1"/>
    <w:rsid w:val="006F6DD4"/>
    <w:rsid w:val="006F6E5C"/>
    <w:rsid w:val="006F6E7A"/>
    <w:rsid w:val="006F6E94"/>
    <w:rsid w:val="006F6ED6"/>
    <w:rsid w:val="006F6EF3"/>
    <w:rsid w:val="006F6EFA"/>
    <w:rsid w:val="006F6F4E"/>
    <w:rsid w:val="006F6F89"/>
    <w:rsid w:val="006F716C"/>
    <w:rsid w:val="006F71A7"/>
    <w:rsid w:val="006F71C4"/>
    <w:rsid w:val="006F71F2"/>
    <w:rsid w:val="006F725F"/>
    <w:rsid w:val="006F72B1"/>
    <w:rsid w:val="006F72C0"/>
    <w:rsid w:val="006F7314"/>
    <w:rsid w:val="006F7322"/>
    <w:rsid w:val="006F734E"/>
    <w:rsid w:val="006F7350"/>
    <w:rsid w:val="006F7357"/>
    <w:rsid w:val="006F7359"/>
    <w:rsid w:val="006F73B9"/>
    <w:rsid w:val="006F7404"/>
    <w:rsid w:val="006F740B"/>
    <w:rsid w:val="006F745A"/>
    <w:rsid w:val="006F7465"/>
    <w:rsid w:val="006F749E"/>
    <w:rsid w:val="006F74A0"/>
    <w:rsid w:val="006F7541"/>
    <w:rsid w:val="006F75AD"/>
    <w:rsid w:val="006F7630"/>
    <w:rsid w:val="006F76B6"/>
    <w:rsid w:val="006F76B9"/>
    <w:rsid w:val="006F76DF"/>
    <w:rsid w:val="006F7713"/>
    <w:rsid w:val="006F7717"/>
    <w:rsid w:val="006F774F"/>
    <w:rsid w:val="006F7794"/>
    <w:rsid w:val="006F77B7"/>
    <w:rsid w:val="006F781C"/>
    <w:rsid w:val="006F789D"/>
    <w:rsid w:val="006F78D1"/>
    <w:rsid w:val="006F7903"/>
    <w:rsid w:val="006F79B7"/>
    <w:rsid w:val="006F79E5"/>
    <w:rsid w:val="006F7A14"/>
    <w:rsid w:val="006F7A69"/>
    <w:rsid w:val="006F7A94"/>
    <w:rsid w:val="006F7B9D"/>
    <w:rsid w:val="006F7BB2"/>
    <w:rsid w:val="006F7BD3"/>
    <w:rsid w:val="006F7C4B"/>
    <w:rsid w:val="006F7C65"/>
    <w:rsid w:val="006F7CCB"/>
    <w:rsid w:val="006F7CF2"/>
    <w:rsid w:val="006F7D29"/>
    <w:rsid w:val="006F7D55"/>
    <w:rsid w:val="006F7D95"/>
    <w:rsid w:val="006F7DF2"/>
    <w:rsid w:val="006F7F95"/>
    <w:rsid w:val="006F7FB6"/>
    <w:rsid w:val="00700023"/>
    <w:rsid w:val="00700044"/>
    <w:rsid w:val="007000F9"/>
    <w:rsid w:val="0070012F"/>
    <w:rsid w:val="0070013D"/>
    <w:rsid w:val="0070013F"/>
    <w:rsid w:val="0070022F"/>
    <w:rsid w:val="00700269"/>
    <w:rsid w:val="0070030A"/>
    <w:rsid w:val="007003C6"/>
    <w:rsid w:val="007003EB"/>
    <w:rsid w:val="0070043A"/>
    <w:rsid w:val="00700477"/>
    <w:rsid w:val="007004BC"/>
    <w:rsid w:val="00700524"/>
    <w:rsid w:val="00700532"/>
    <w:rsid w:val="00700562"/>
    <w:rsid w:val="00700566"/>
    <w:rsid w:val="00700637"/>
    <w:rsid w:val="007006B4"/>
    <w:rsid w:val="007006B9"/>
    <w:rsid w:val="00700705"/>
    <w:rsid w:val="0070076B"/>
    <w:rsid w:val="00700773"/>
    <w:rsid w:val="00700780"/>
    <w:rsid w:val="007007AB"/>
    <w:rsid w:val="007007B5"/>
    <w:rsid w:val="007007E9"/>
    <w:rsid w:val="0070081A"/>
    <w:rsid w:val="00700860"/>
    <w:rsid w:val="0070086D"/>
    <w:rsid w:val="00700881"/>
    <w:rsid w:val="00700892"/>
    <w:rsid w:val="007008A7"/>
    <w:rsid w:val="007008CB"/>
    <w:rsid w:val="007008D9"/>
    <w:rsid w:val="00700914"/>
    <w:rsid w:val="0070098F"/>
    <w:rsid w:val="007009CD"/>
    <w:rsid w:val="007009D3"/>
    <w:rsid w:val="00700A59"/>
    <w:rsid w:val="00700A5B"/>
    <w:rsid w:val="00700A9A"/>
    <w:rsid w:val="00700AC6"/>
    <w:rsid w:val="00700B8F"/>
    <w:rsid w:val="00700BA9"/>
    <w:rsid w:val="00700C4B"/>
    <w:rsid w:val="00700C88"/>
    <w:rsid w:val="00700D68"/>
    <w:rsid w:val="00700DDB"/>
    <w:rsid w:val="00700E86"/>
    <w:rsid w:val="00700E89"/>
    <w:rsid w:val="00700F14"/>
    <w:rsid w:val="00700F2C"/>
    <w:rsid w:val="00700F44"/>
    <w:rsid w:val="00700F81"/>
    <w:rsid w:val="00700FE8"/>
    <w:rsid w:val="0070101E"/>
    <w:rsid w:val="00701031"/>
    <w:rsid w:val="0070108B"/>
    <w:rsid w:val="00701127"/>
    <w:rsid w:val="00701132"/>
    <w:rsid w:val="00701144"/>
    <w:rsid w:val="0070114D"/>
    <w:rsid w:val="007011B4"/>
    <w:rsid w:val="007011D8"/>
    <w:rsid w:val="00701207"/>
    <w:rsid w:val="00701220"/>
    <w:rsid w:val="0070123F"/>
    <w:rsid w:val="007012D0"/>
    <w:rsid w:val="007012E8"/>
    <w:rsid w:val="0070130B"/>
    <w:rsid w:val="0070136E"/>
    <w:rsid w:val="00701378"/>
    <w:rsid w:val="00701386"/>
    <w:rsid w:val="00701396"/>
    <w:rsid w:val="00701409"/>
    <w:rsid w:val="00701486"/>
    <w:rsid w:val="0070148A"/>
    <w:rsid w:val="007014F5"/>
    <w:rsid w:val="0070151D"/>
    <w:rsid w:val="00701531"/>
    <w:rsid w:val="00701592"/>
    <w:rsid w:val="007015C6"/>
    <w:rsid w:val="007015C7"/>
    <w:rsid w:val="00701627"/>
    <w:rsid w:val="007016AE"/>
    <w:rsid w:val="007016B1"/>
    <w:rsid w:val="007016D5"/>
    <w:rsid w:val="007016DA"/>
    <w:rsid w:val="00701707"/>
    <w:rsid w:val="0070171D"/>
    <w:rsid w:val="00701729"/>
    <w:rsid w:val="007017B5"/>
    <w:rsid w:val="007017E3"/>
    <w:rsid w:val="00701869"/>
    <w:rsid w:val="007018DE"/>
    <w:rsid w:val="00701900"/>
    <w:rsid w:val="0070195A"/>
    <w:rsid w:val="00701990"/>
    <w:rsid w:val="007019FF"/>
    <w:rsid w:val="00701A10"/>
    <w:rsid w:val="00701A1F"/>
    <w:rsid w:val="00701A90"/>
    <w:rsid w:val="00701AF7"/>
    <w:rsid w:val="00701B1E"/>
    <w:rsid w:val="00701B2D"/>
    <w:rsid w:val="00701B34"/>
    <w:rsid w:val="00701B62"/>
    <w:rsid w:val="00701B7B"/>
    <w:rsid w:val="00701C32"/>
    <w:rsid w:val="00701C33"/>
    <w:rsid w:val="00701C8E"/>
    <w:rsid w:val="00701CBE"/>
    <w:rsid w:val="00701CD9"/>
    <w:rsid w:val="00701D03"/>
    <w:rsid w:val="00701D16"/>
    <w:rsid w:val="00701D17"/>
    <w:rsid w:val="00701D79"/>
    <w:rsid w:val="00701D81"/>
    <w:rsid w:val="00701E54"/>
    <w:rsid w:val="00701E95"/>
    <w:rsid w:val="00701EC4"/>
    <w:rsid w:val="00701ECB"/>
    <w:rsid w:val="00701EFE"/>
    <w:rsid w:val="00701F0F"/>
    <w:rsid w:val="00701F29"/>
    <w:rsid w:val="00701F8E"/>
    <w:rsid w:val="00702026"/>
    <w:rsid w:val="00702047"/>
    <w:rsid w:val="00702097"/>
    <w:rsid w:val="00702116"/>
    <w:rsid w:val="00702167"/>
    <w:rsid w:val="007022F5"/>
    <w:rsid w:val="0070231F"/>
    <w:rsid w:val="0070232D"/>
    <w:rsid w:val="00702355"/>
    <w:rsid w:val="00702452"/>
    <w:rsid w:val="007024B4"/>
    <w:rsid w:val="007024FC"/>
    <w:rsid w:val="00702503"/>
    <w:rsid w:val="0070250B"/>
    <w:rsid w:val="00702614"/>
    <w:rsid w:val="0070263E"/>
    <w:rsid w:val="007026CF"/>
    <w:rsid w:val="00702710"/>
    <w:rsid w:val="0070274D"/>
    <w:rsid w:val="00702775"/>
    <w:rsid w:val="00702787"/>
    <w:rsid w:val="0070279A"/>
    <w:rsid w:val="007027C1"/>
    <w:rsid w:val="007027D3"/>
    <w:rsid w:val="007027E5"/>
    <w:rsid w:val="00702860"/>
    <w:rsid w:val="00702888"/>
    <w:rsid w:val="00702930"/>
    <w:rsid w:val="0070296F"/>
    <w:rsid w:val="00702A42"/>
    <w:rsid w:val="00702A91"/>
    <w:rsid w:val="00702B11"/>
    <w:rsid w:val="00702B1F"/>
    <w:rsid w:val="00702B2F"/>
    <w:rsid w:val="00702BA3"/>
    <w:rsid w:val="00702BBE"/>
    <w:rsid w:val="00702D15"/>
    <w:rsid w:val="00702D24"/>
    <w:rsid w:val="00702D3C"/>
    <w:rsid w:val="00702D4A"/>
    <w:rsid w:val="00702D63"/>
    <w:rsid w:val="00702DC3"/>
    <w:rsid w:val="00702DEA"/>
    <w:rsid w:val="00702E36"/>
    <w:rsid w:val="00702E7C"/>
    <w:rsid w:val="00702EA2"/>
    <w:rsid w:val="00702FAD"/>
    <w:rsid w:val="00702FD7"/>
    <w:rsid w:val="00702FED"/>
    <w:rsid w:val="00703003"/>
    <w:rsid w:val="00703031"/>
    <w:rsid w:val="007030F0"/>
    <w:rsid w:val="0070314C"/>
    <w:rsid w:val="0070316D"/>
    <w:rsid w:val="007031B2"/>
    <w:rsid w:val="007031E0"/>
    <w:rsid w:val="0070325A"/>
    <w:rsid w:val="007032D7"/>
    <w:rsid w:val="00703331"/>
    <w:rsid w:val="007033AB"/>
    <w:rsid w:val="00703410"/>
    <w:rsid w:val="00703412"/>
    <w:rsid w:val="0070349E"/>
    <w:rsid w:val="007034FE"/>
    <w:rsid w:val="00703548"/>
    <w:rsid w:val="00703571"/>
    <w:rsid w:val="00703618"/>
    <w:rsid w:val="00703656"/>
    <w:rsid w:val="00703701"/>
    <w:rsid w:val="00703736"/>
    <w:rsid w:val="0070376E"/>
    <w:rsid w:val="0070379F"/>
    <w:rsid w:val="007037A7"/>
    <w:rsid w:val="00703801"/>
    <w:rsid w:val="00703813"/>
    <w:rsid w:val="00703851"/>
    <w:rsid w:val="0070385E"/>
    <w:rsid w:val="0070387B"/>
    <w:rsid w:val="007038CD"/>
    <w:rsid w:val="007038CE"/>
    <w:rsid w:val="0070390E"/>
    <w:rsid w:val="00703978"/>
    <w:rsid w:val="007039D4"/>
    <w:rsid w:val="007039E7"/>
    <w:rsid w:val="00703A14"/>
    <w:rsid w:val="00703A15"/>
    <w:rsid w:val="00703A45"/>
    <w:rsid w:val="00703A72"/>
    <w:rsid w:val="00703AA2"/>
    <w:rsid w:val="00703AA4"/>
    <w:rsid w:val="00703AA7"/>
    <w:rsid w:val="00703B0D"/>
    <w:rsid w:val="00703B25"/>
    <w:rsid w:val="00703B65"/>
    <w:rsid w:val="00703BFB"/>
    <w:rsid w:val="00703C24"/>
    <w:rsid w:val="00703C2C"/>
    <w:rsid w:val="00703C30"/>
    <w:rsid w:val="00703C50"/>
    <w:rsid w:val="00703DDC"/>
    <w:rsid w:val="00703DEF"/>
    <w:rsid w:val="00703EA0"/>
    <w:rsid w:val="00704004"/>
    <w:rsid w:val="0070402A"/>
    <w:rsid w:val="00704075"/>
    <w:rsid w:val="007040A9"/>
    <w:rsid w:val="0070411A"/>
    <w:rsid w:val="00704181"/>
    <w:rsid w:val="007041BB"/>
    <w:rsid w:val="007041D1"/>
    <w:rsid w:val="007041E0"/>
    <w:rsid w:val="00704209"/>
    <w:rsid w:val="00704235"/>
    <w:rsid w:val="0070425F"/>
    <w:rsid w:val="00704261"/>
    <w:rsid w:val="0070428A"/>
    <w:rsid w:val="0070428D"/>
    <w:rsid w:val="007042BA"/>
    <w:rsid w:val="00704303"/>
    <w:rsid w:val="00704361"/>
    <w:rsid w:val="00704397"/>
    <w:rsid w:val="007043A4"/>
    <w:rsid w:val="00704433"/>
    <w:rsid w:val="007044E8"/>
    <w:rsid w:val="00704500"/>
    <w:rsid w:val="00704563"/>
    <w:rsid w:val="00704572"/>
    <w:rsid w:val="007045B5"/>
    <w:rsid w:val="00704610"/>
    <w:rsid w:val="0070462D"/>
    <w:rsid w:val="0070462F"/>
    <w:rsid w:val="00704683"/>
    <w:rsid w:val="007046F7"/>
    <w:rsid w:val="00704718"/>
    <w:rsid w:val="0070471C"/>
    <w:rsid w:val="007047B6"/>
    <w:rsid w:val="007047D9"/>
    <w:rsid w:val="007047F3"/>
    <w:rsid w:val="007048AB"/>
    <w:rsid w:val="007048E0"/>
    <w:rsid w:val="00704929"/>
    <w:rsid w:val="00704952"/>
    <w:rsid w:val="00704961"/>
    <w:rsid w:val="0070498D"/>
    <w:rsid w:val="00704A2C"/>
    <w:rsid w:val="00704A52"/>
    <w:rsid w:val="00704B1C"/>
    <w:rsid w:val="00704B57"/>
    <w:rsid w:val="00704BFD"/>
    <w:rsid w:val="00704C2F"/>
    <w:rsid w:val="00704C90"/>
    <w:rsid w:val="00704CE8"/>
    <w:rsid w:val="00704CFA"/>
    <w:rsid w:val="00704D6A"/>
    <w:rsid w:val="00704D74"/>
    <w:rsid w:val="00704E54"/>
    <w:rsid w:val="00704E62"/>
    <w:rsid w:val="00704E8E"/>
    <w:rsid w:val="00704E9D"/>
    <w:rsid w:val="00704F2C"/>
    <w:rsid w:val="0070501D"/>
    <w:rsid w:val="00705086"/>
    <w:rsid w:val="007050E6"/>
    <w:rsid w:val="00705104"/>
    <w:rsid w:val="0070517B"/>
    <w:rsid w:val="007051C8"/>
    <w:rsid w:val="00705211"/>
    <w:rsid w:val="00705221"/>
    <w:rsid w:val="007052D6"/>
    <w:rsid w:val="007052E9"/>
    <w:rsid w:val="00705301"/>
    <w:rsid w:val="00705358"/>
    <w:rsid w:val="00705380"/>
    <w:rsid w:val="007053C7"/>
    <w:rsid w:val="00705455"/>
    <w:rsid w:val="00705517"/>
    <w:rsid w:val="00705568"/>
    <w:rsid w:val="007055BF"/>
    <w:rsid w:val="007055D6"/>
    <w:rsid w:val="0070565C"/>
    <w:rsid w:val="007056AC"/>
    <w:rsid w:val="007056D1"/>
    <w:rsid w:val="007056D4"/>
    <w:rsid w:val="00705765"/>
    <w:rsid w:val="007057BF"/>
    <w:rsid w:val="00705850"/>
    <w:rsid w:val="0070587B"/>
    <w:rsid w:val="00705904"/>
    <w:rsid w:val="00705954"/>
    <w:rsid w:val="00705A2A"/>
    <w:rsid w:val="00705A50"/>
    <w:rsid w:val="00705AA3"/>
    <w:rsid w:val="00705B08"/>
    <w:rsid w:val="00705B7E"/>
    <w:rsid w:val="00705B84"/>
    <w:rsid w:val="00705B85"/>
    <w:rsid w:val="00705BA2"/>
    <w:rsid w:val="00705BA7"/>
    <w:rsid w:val="00705BCE"/>
    <w:rsid w:val="00705C17"/>
    <w:rsid w:val="00705C53"/>
    <w:rsid w:val="00705C95"/>
    <w:rsid w:val="00705C97"/>
    <w:rsid w:val="00705CCA"/>
    <w:rsid w:val="00705CE1"/>
    <w:rsid w:val="00705CE7"/>
    <w:rsid w:val="00705D06"/>
    <w:rsid w:val="00705D85"/>
    <w:rsid w:val="00705DA0"/>
    <w:rsid w:val="00705DF2"/>
    <w:rsid w:val="00705E0E"/>
    <w:rsid w:val="00705E23"/>
    <w:rsid w:val="00705E62"/>
    <w:rsid w:val="00705E8C"/>
    <w:rsid w:val="00705F21"/>
    <w:rsid w:val="00705FBB"/>
    <w:rsid w:val="00705FCF"/>
    <w:rsid w:val="007060AA"/>
    <w:rsid w:val="007060B8"/>
    <w:rsid w:val="00706329"/>
    <w:rsid w:val="007063E6"/>
    <w:rsid w:val="007063EE"/>
    <w:rsid w:val="00706447"/>
    <w:rsid w:val="007064A3"/>
    <w:rsid w:val="007064B4"/>
    <w:rsid w:val="007064B6"/>
    <w:rsid w:val="007064DC"/>
    <w:rsid w:val="00706579"/>
    <w:rsid w:val="007065B7"/>
    <w:rsid w:val="007065C8"/>
    <w:rsid w:val="0070660A"/>
    <w:rsid w:val="0070665B"/>
    <w:rsid w:val="0070667C"/>
    <w:rsid w:val="007066C7"/>
    <w:rsid w:val="007066CA"/>
    <w:rsid w:val="007066CF"/>
    <w:rsid w:val="00706709"/>
    <w:rsid w:val="0070673C"/>
    <w:rsid w:val="00706740"/>
    <w:rsid w:val="00706792"/>
    <w:rsid w:val="007067A3"/>
    <w:rsid w:val="0070682D"/>
    <w:rsid w:val="00706831"/>
    <w:rsid w:val="00706832"/>
    <w:rsid w:val="007068D6"/>
    <w:rsid w:val="00706935"/>
    <w:rsid w:val="007069AD"/>
    <w:rsid w:val="007069B1"/>
    <w:rsid w:val="007069B8"/>
    <w:rsid w:val="00706A5A"/>
    <w:rsid w:val="00706A77"/>
    <w:rsid w:val="00706A87"/>
    <w:rsid w:val="00706B0F"/>
    <w:rsid w:val="00706B22"/>
    <w:rsid w:val="00706C02"/>
    <w:rsid w:val="00706C17"/>
    <w:rsid w:val="00706C1B"/>
    <w:rsid w:val="00706C2F"/>
    <w:rsid w:val="00706C5E"/>
    <w:rsid w:val="00706C63"/>
    <w:rsid w:val="00706D5F"/>
    <w:rsid w:val="00706D69"/>
    <w:rsid w:val="00706D93"/>
    <w:rsid w:val="00706DC5"/>
    <w:rsid w:val="00706E2C"/>
    <w:rsid w:val="00706E9B"/>
    <w:rsid w:val="00706F09"/>
    <w:rsid w:val="00706F5D"/>
    <w:rsid w:val="00706FDC"/>
    <w:rsid w:val="00707040"/>
    <w:rsid w:val="0070706E"/>
    <w:rsid w:val="00707079"/>
    <w:rsid w:val="007070B9"/>
    <w:rsid w:val="00707139"/>
    <w:rsid w:val="00707144"/>
    <w:rsid w:val="00707151"/>
    <w:rsid w:val="00707169"/>
    <w:rsid w:val="007071B6"/>
    <w:rsid w:val="0070729B"/>
    <w:rsid w:val="007073A5"/>
    <w:rsid w:val="007073B8"/>
    <w:rsid w:val="00707404"/>
    <w:rsid w:val="0070748A"/>
    <w:rsid w:val="00707490"/>
    <w:rsid w:val="00707501"/>
    <w:rsid w:val="0070750E"/>
    <w:rsid w:val="00707532"/>
    <w:rsid w:val="00707536"/>
    <w:rsid w:val="007075B7"/>
    <w:rsid w:val="0070764F"/>
    <w:rsid w:val="00707654"/>
    <w:rsid w:val="0070768D"/>
    <w:rsid w:val="00707711"/>
    <w:rsid w:val="00707804"/>
    <w:rsid w:val="007078FA"/>
    <w:rsid w:val="00707905"/>
    <w:rsid w:val="00707949"/>
    <w:rsid w:val="0070795C"/>
    <w:rsid w:val="00707982"/>
    <w:rsid w:val="007079BD"/>
    <w:rsid w:val="007079C0"/>
    <w:rsid w:val="007079D5"/>
    <w:rsid w:val="00707A0B"/>
    <w:rsid w:val="00707A0D"/>
    <w:rsid w:val="00707A5C"/>
    <w:rsid w:val="00707AEA"/>
    <w:rsid w:val="00707B32"/>
    <w:rsid w:val="00707BEE"/>
    <w:rsid w:val="00707C30"/>
    <w:rsid w:val="00707C40"/>
    <w:rsid w:val="00707C49"/>
    <w:rsid w:val="00707C8B"/>
    <w:rsid w:val="00707CB2"/>
    <w:rsid w:val="00707CBB"/>
    <w:rsid w:val="00707DD7"/>
    <w:rsid w:val="00707DEF"/>
    <w:rsid w:val="00707E0E"/>
    <w:rsid w:val="00707E25"/>
    <w:rsid w:val="00707E48"/>
    <w:rsid w:val="00707EC0"/>
    <w:rsid w:val="00707ECF"/>
    <w:rsid w:val="00707F40"/>
    <w:rsid w:val="00707F70"/>
    <w:rsid w:val="00707F7F"/>
    <w:rsid w:val="00707FB2"/>
    <w:rsid w:val="00707FB6"/>
    <w:rsid w:val="00707FCB"/>
    <w:rsid w:val="007100C9"/>
    <w:rsid w:val="007100D4"/>
    <w:rsid w:val="007100EB"/>
    <w:rsid w:val="00710103"/>
    <w:rsid w:val="007101B7"/>
    <w:rsid w:val="007101C0"/>
    <w:rsid w:val="007101D0"/>
    <w:rsid w:val="00710232"/>
    <w:rsid w:val="007102B6"/>
    <w:rsid w:val="007102D7"/>
    <w:rsid w:val="007102E6"/>
    <w:rsid w:val="00710369"/>
    <w:rsid w:val="007103A8"/>
    <w:rsid w:val="00710414"/>
    <w:rsid w:val="0071044A"/>
    <w:rsid w:val="00710453"/>
    <w:rsid w:val="00710455"/>
    <w:rsid w:val="00710491"/>
    <w:rsid w:val="007104D8"/>
    <w:rsid w:val="0071053A"/>
    <w:rsid w:val="00710569"/>
    <w:rsid w:val="007105A4"/>
    <w:rsid w:val="00710606"/>
    <w:rsid w:val="00710618"/>
    <w:rsid w:val="00710622"/>
    <w:rsid w:val="00710680"/>
    <w:rsid w:val="00710697"/>
    <w:rsid w:val="00710708"/>
    <w:rsid w:val="00710886"/>
    <w:rsid w:val="0071095F"/>
    <w:rsid w:val="0071097C"/>
    <w:rsid w:val="007109C0"/>
    <w:rsid w:val="007109EE"/>
    <w:rsid w:val="00710A07"/>
    <w:rsid w:val="00710A65"/>
    <w:rsid w:val="00710A6A"/>
    <w:rsid w:val="00710AD4"/>
    <w:rsid w:val="00710AD8"/>
    <w:rsid w:val="00710B7D"/>
    <w:rsid w:val="00710B85"/>
    <w:rsid w:val="00710BF6"/>
    <w:rsid w:val="00710BFD"/>
    <w:rsid w:val="00710C42"/>
    <w:rsid w:val="00710C45"/>
    <w:rsid w:val="00710C57"/>
    <w:rsid w:val="00710C82"/>
    <w:rsid w:val="00710CD3"/>
    <w:rsid w:val="00710D1B"/>
    <w:rsid w:val="00710D93"/>
    <w:rsid w:val="00710DA9"/>
    <w:rsid w:val="00710E4B"/>
    <w:rsid w:val="00710E9D"/>
    <w:rsid w:val="00710EAB"/>
    <w:rsid w:val="00710EC7"/>
    <w:rsid w:val="00710ED9"/>
    <w:rsid w:val="00710F2F"/>
    <w:rsid w:val="00710F50"/>
    <w:rsid w:val="00710F59"/>
    <w:rsid w:val="00710F5C"/>
    <w:rsid w:val="00711001"/>
    <w:rsid w:val="00711055"/>
    <w:rsid w:val="0071108A"/>
    <w:rsid w:val="007110CC"/>
    <w:rsid w:val="0071110F"/>
    <w:rsid w:val="00711149"/>
    <w:rsid w:val="00711170"/>
    <w:rsid w:val="00711177"/>
    <w:rsid w:val="007111D6"/>
    <w:rsid w:val="00711219"/>
    <w:rsid w:val="00711250"/>
    <w:rsid w:val="00711268"/>
    <w:rsid w:val="0071129B"/>
    <w:rsid w:val="007112C5"/>
    <w:rsid w:val="00711321"/>
    <w:rsid w:val="00711380"/>
    <w:rsid w:val="007113F9"/>
    <w:rsid w:val="00711451"/>
    <w:rsid w:val="00711452"/>
    <w:rsid w:val="00711498"/>
    <w:rsid w:val="007114A5"/>
    <w:rsid w:val="007114AE"/>
    <w:rsid w:val="0071152B"/>
    <w:rsid w:val="00711615"/>
    <w:rsid w:val="00711621"/>
    <w:rsid w:val="0071164F"/>
    <w:rsid w:val="00711671"/>
    <w:rsid w:val="00711700"/>
    <w:rsid w:val="0071170B"/>
    <w:rsid w:val="0071176D"/>
    <w:rsid w:val="00711775"/>
    <w:rsid w:val="007117B9"/>
    <w:rsid w:val="007117E6"/>
    <w:rsid w:val="007117F8"/>
    <w:rsid w:val="00711804"/>
    <w:rsid w:val="00711895"/>
    <w:rsid w:val="007118D6"/>
    <w:rsid w:val="00711911"/>
    <w:rsid w:val="00711A12"/>
    <w:rsid w:val="00711A20"/>
    <w:rsid w:val="00711A22"/>
    <w:rsid w:val="00711A63"/>
    <w:rsid w:val="00711AA1"/>
    <w:rsid w:val="00711AAB"/>
    <w:rsid w:val="00711ADD"/>
    <w:rsid w:val="00711AE5"/>
    <w:rsid w:val="00711AEA"/>
    <w:rsid w:val="00711B1E"/>
    <w:rsid w:val="00711B1F"/>
    <w:rsid w:val="00711B33"/>
    <w:rsid w:val="00711B49"/>
    <w:rsid w:val="00711B69"/>
    <w:rsid w:val="00711C2D"/>
    <w:rsid w:val="00711CCB"/>
    <w:rsid w:val="00711CE8"/>
    <w:rsid w:val="00711CF5"/>
    <w:rsid w:val="00711DBA"/>
    <w:rsid w:val="00711E89"/>
    <w:rsid w:val="00711EC3"/>
    <w:rsid w:val="00711EE6"/>
    <w:rsid w:val="00711F9E"/>
    <w:rsid w:val="00711FCC"/>
    <w:rsid w:val="007120A6"/>
    <w:rsid w:val="007120EC"/>
    <w:rsid w:val="00712118"/>
    <w:rsid w:val="00712120"/>
    <w:rsid w:val="0071215B"/>
    <w:rsid w:val="00712174"/>
    <w:rsid w:val="00712233"/>
    <w:rsid w:val="00712250"/>
    <w:rsid w:val="0071227C"/>
    <w:rsid w:val="00712334"/>
    <w:rsid w:val="00712361"/>
    <w:rsid w:val="0071237A"/>
    <w:rsid w:val="00712391"/>
    <w:rsid w:val="007123BC"/>
    <w:rsid w:val="007123D2"/>
    <w:rsid w:val="00712455"/>
    <w:rsid w:val="0071247D"/>
    <w:rsid w:val="00712493"/>
    <w:rsid w:val="0071249D"/>
    <w:rsid w:val="007124AB"/>
    <w:rsid w:val="007124BA"/>
    <w:rsid w:val="00712536"/>
    <w:rsid w:val="007125AD"/>
    <w:rsid w:val="007125AE"/>
    <w:rsid w:val="007125D7"/>
    <w:rsid w:val="007125E4"/>
    <w:rsid w:val="00712633"/>
    <w:rsid w:val="007126CC"/>
    <w:rsid w:val="007126E8"/>
    <w:rsid w:val="0071275B"/>
    <w:rsid w:val="0071275F"/>
    <w:rsid w:val="00712774"/>
    <w:rsid w:val="0071277D"/>
    <w:rsid w:val="0071277F"/>
    <w:rsid w:val="007127AC"/>
    <w:rsid w:val="007127B4"/>
    <w:rsid w:val="007127F0"/>
    <w:rsid w:val="00712818"/>
    <w:rsid w:val="00712826"/>
    <w:rsid w:val="0071285D"/>
    <w:rsid w:val="00712926"/>
    <w:rsid w:val="00712950"/>
    <w:rsid w:val="007129A3"/>
    <w:rsid w:val="00712A2F"/>
    <w:rsid w:val="00712A70"/>
    <w:rsid w:val="00712A90"/>
    <w:rsid w:val="00712B06"/>
    <w:rsid w:val="00712B2F"/>
    <w:rsid w:val="00712B6B"/>
    <w:rsid w:val="00712B98"/>
    <w:rsid w:val="00712C44"/>
    <w:rsid w:val="00712CF8"/>
    <w:rsid w:val="00712D40"/>
    <w:rsid w:val="00712D61"/>
    <w:rsid w:val="00712EB6"/>
    <w:rsid w:val="00712ECA"/>
    <w:rsid w:val="00712F5C"/>
    <w:rsid w:val="00712F88"/>
    <w:rsid w:val="00712F93"/>
    <w:rsid w:val="00713001"/>
    <w:rsid w:val="00713075"/>
    <w:rsid w:val="007130C2"/>
    <w:rsid w:val="007130F9"/>
    <w:rsid w:val="0071312F"/>
    <w:rsid w:val="007131CF"/>
    <w:rsid w:val="00713253"/>
    <w:rsid w:val="0071328D"/>
    <w:rsid w:val="00713307"/>
    <w:rsid w:val="00713435"/>
    <w:rsid w:val="00713436"/>
    <w:rsid w:val="00713481"/>
    <w:rsid w:val="0071348B"/>
    <w:rsid w:val="007134C0"/>
    <w:rsid w:val="0071354C"/>
    <w:rsid w:val="00713562"/>
    <w:rsid w:val="007135F0"/>
    <w:rsid w:val="00713627"/>
    <w:rsid w:val="0071363D"/>
    <w:rsid w:val="007136E1"/>
    <w:rsid w:val="00713757"/>
    <w:rsid w:val="0071376E"/>
    <w:rsid w:val="007137B2"/>
    <w:rsid w:val="007137CD"/>
    <w:rsid w:val="007137E9"/>
    <w:rsid w:val="00713807"/>
    <w:rsid w:val="00713817"/>
    <w:rsid w:val="00713871"/>
    <w:rsid w:val="00713884"/>
    <w:rsid w:val="00713890"/>
    <w:rsid w:val="007138A9"/>
    <w:rsid w:val="00713905"/>
    <w:rsid w:val="007139D4"/>
    <w:rsid w:val="00713A00"/>
    <w:rsid w:val="00713A0E"/>
    <w:rsid w:val="00713A7E"/>
    <w:rsid w:val="00713ABB"/>
    <w:rsid w:val="00713AC4"/>
    <w:rsid w:val="00713AF9"/>
    <w:rsid w:val="00713B7C"/>
    <w:rsid w:val="00713BD6"/>
    <w:rsid w:val="00713C1B"/>
    <w:rsid w:val="00713C1C"/>
    <w:rsid w:val="00713C69"/>
    <w:rsid w:val="00713CB1"/>
    <w:rsid w:val="00713CE7"/>
    <w:rsid w:val="00713D04"/>
    <w:rsid w:val="00713D3F"/>
    <w:rsid w:val="00713D5B"/>
    <w:rsid w:val="00713D62"/>
    <w:rsid w:val="00713D63"/>
    <w:rsid w:val="00713D9E"/>
    <w:rsid w:val="00713DDB"/>
    <w:rsid w:val="00713E08"/>
    <w:rsid w:val="00713E0A"/>
    <w:rsid w:val="00713E46"/>
    <w:rsid w:val="00713E47"/>
    <w:rsid w:val="00713E4F"/>
    <w:rsid w:val="00713E7A"/>
    <w:rsid w:val="00713E92"/>
    <w:rsid w:val="00713EA5"/>
    <w:rsid w:val="00713ECF"/>
    <w:rsid w:val="00713F1C"/>
    <w:rsid w:val="007140E1"/>
    <w:rsid w:val="00714131"/>
    <w:rsid w:val="00714137"/>
    <w:rsid w:val="00714147"/>
    <w:rsid w:val="00714160"/>
    <w:rsid w:val="00714188"/>
    <w:rsid w:val="007141AC"/>
    <w:rsid w:val="007141D0"/>
    <w:rsid w:val="007141EF"/>
    <w:rsid w:val="0071421A"/>
    <w:rsid w:val="007142A5"/>
    <w:rsid w:val="007142DB"/>
    <w:rsid w:val="00714325"/>
    <w:rsid w:val="00714388"/>
    <w:rsid w:val="007143F8"/>
    <w:rsid w:val="00714412"/>
    <w:rsid w:val="0071441F"/>
    <w:rsid w:val="00714439"/>
    <w:rsid w:val="00714460"/>
    <w:rsid w:val="007144F7"/>
    <w:rsid w:val="0071455A"/>
    <w:rsid w:val="00714562"/>
    <w:rsid w:val="00714591"/>
    <w:rsid w:val="007145A0"/>
    <w:rsid w:val="007145F1"/>
    <w:rsid w:val="0071464C"/>
    <w:rsid w:val="00714653"/>
    <w:rsid w:val="007146D6"/>
    <w:rsid w:val="0071477C"/>
    <w:rsid w:val="007147D6"/>
    <w:rsid w:val="007147E0"/>
    <w:rsid w:val="00714822"/>
    <w:rsid w:val="00714827"/>
    <w:rsid w:val="0071485F"/>
    <w:rsid w:val="00714891"/>
    <w:rsid w:val="007148A4"/>
    <w:rsid w:val="007148AB"/>
    <w:rsid w:val="007148B7"/>
    <w:rsid w:val="007148D9"/>
    <w:rsid w:val="007148E4"/>
    <w:rsid w:val="0071495F"/>
    <w:rsid w:val="00714994"/>
    <w:rsid w:val="007149F8"/>
    <w:rsid w:val="00714A46"/>
    <w:rsid w:val="00714ACB"/>
    <w:rsid w:val="00714B05"/>
    <w:rsid w:val="00714B78"/>
    <w:rsid w:val="00714BC2"/>
    <w:rsid w:val="00714C2A"/>
    <w:rsid w:val="00714C2B"/>
    <w:rsid w:val="00714C8B"/>
    <w:rsid w:val="00714D01"/>
    <w:rsid w:val="00714D1D"/>
    <w:rsid w:val="00714D69"/>
    <w:rsid w:val="00714D6A"/>
    <w:rsid w:val="00714D80"/>
    <w:rsid w:val="00714DE6"/>
    <w:rsid w:val="00714E0E"/>
    <w:rsid w:val="00714E49"/>
    <w:rsid w:val="00714E51"/>
    <w:rsid w:val="00714E5F"/>
    <w:rsid w:val="00714EFF"/>
    <w:rsid w:val="00714F35"/>
    <w:rsid w:val="00714FE1"/>
    <w:rsid w:val="0071502A"/>
    <w:rsid w:val="0071502B"/>
    <w:rsid w:val="00715094"/>
    <w:rsid w:val="007150A0"/>
    <w:rsid w:val="00715115"/>
    <w:rsid w:val="00715119"/>
    <w:rsid w:val="0071521B"/>
    <w:rsid w:val="00715221"/>
    <w:rsid w:val="0071532F"/>
    <w:rsid w:val="00715344"/>
    <w:rsid w:val="00715351"/>
    <w:rsid w:val="0071535C"/>
    <w:rsid w:val="007153F8"/>
    <w:rsid w:val="0071542D"/>
    <w:rsid w:val="00715472"/>
    <w:rsid w:val="0071549E"/>
    <w:rsid w:val="007154E9"/>
    <w:rsid w:val="00715568"/>
    <w:rsid w:val="007155B3"/>
    <w:rsid w:val="007155B8"/>
    <w:rsid w:val="007155B9"/>
    <w:rsid w:val="007155DC"/>
    <w:rsid w:val="007155FC"/>
    <w:rsid w:val="007156A4"/>
    <w:rsid w:val="00715704"/>
    <w:rsid w:val="00715729"/>
    <w:rsid w:val="007157ED"/>
    <w:rsid w:val="0071581B"/>
    <w:rsid w:val="007158B2"/>
    <w:rsid w:val="0071591A"/>
    <w:rsid w:val="0071595F"/>
    <w:rsid w:val="0071597F"/>
    <w:rsid w:val="007159C2"/>
    <w:rsid w:val="00715A66"/>
    <w:rsid w:val="00715AEF"/>
    <w:rsid w:val="00715B04"/>
    <w:rsid w:val="00715BA0"/>
    <w:rsid w:val="00715C3A"/>
    <w:rsid w:val="00715C60"/>
    <w:rsid w:val="00715CC9"/>
    <w:rsid w:val="00715DBC"/>
    <w:rsid w:val="00715DE0"/>
    <w:rsid w:val="00715DE5"/>
    <w:rsid w:val="00715DF7"/>
    <w:rsid w:val="00715E05"/>
    <w:rsid w:val="00715E22"/>
    <w:rsid w:val="00715E46"/>
    <w:rsid w:val="00715E64"/>
    <w:rsid w:val="00715EAB"/>
    <w:rsid w:val="00715EBE"/>
    <w:rsid w:val="00715EDB"/>
    <w:rsid w:val="00715EDF"/>
    <w:rsid w:val="00715F02"/>
    <w:rsid w:val="00715F5C"/>
    <w:rsid w:val="00715F6A"/>
    <w:rsid w:val="00715F81"/>
    <w:rsid w:val="00715FC9"/>
    <w:rsid w:val="00715FF0"/>
    <w:rsid w:val="0071604A"/>
    <w:rsid w:val="0071620A"/>
    <w:rsid w:val="00716210"/>
    <w:rsid w:val="00716211"/>
    <w:rsid w:val="0071627F"/>
    <w:rsid w:val="00716284"/>
    <w:rsid w:val="00716293"/>
    <w:rsid w:val="00716295"/>
    <w:rsid w:val="0071631D"/>
    <w:rsid w:val="0071632F"/>
    <w:rsid w:val="00716351"/>
    <w:rsid w:val="00716396"/>
    <w:rsid w:val="00716409"/>
    <w:rsid w:val="007164AB"/>
    <w:rsid w:val="007164AE"/>
    <w:rsid w:val="007164BA"/>
    <w:rsid w:val="007164C0"/>
    <w:rsid w:val="007164C2"/>
    <w:rsid w:val="00716512"/>
    <w:rsid w:val="0071653F"/>
    <w:rsid w:val="00716540"/>
    <w:rsid w:val="00716579"/>
    <w:rsid w:val="00716590"/>
    <w:rsid w:val="007165FE"/>
    <w:rsid w:val="00716611"/>
    <w:rsid w:val="00716619"/>
    <w:rsid w:val="00716668"/>
    <w:rsid w:val="00716699"/>
    <w:rsid w:val="0071669A"/>
    <w:rsid w:val="007166F9"/>
    <w:rsid w:val="007167C6"/>
    <w:rsid w:val="007167FE"/>
    <w:rsid w:val="00716857"/>
    <w:rsid w:val="0071685D"/>
    <w:rsid w:val="0071687F"/>
    <w:rsid w:val="007168FF"/>
    <w:rsid w:val="00716925"/>
    <w:rsid w:val="00716929"/>
    <w:rsid w:val="00716938"/>
    <w:rsid w:val="007169DD"/>
    <w:rsid w:val="007169F1"/>
    <w:rsid w:val="00716A02"/>
    <w:rsid w:val="00716A24"/>
    <w:rsid w:val="00716ACE"/>
    <w:rsid w:val="00716AD2"/>
    <w:rsid w:val="00716B1B"/>
    <w:rsid w:val="00716B54"/>
    <w:rsid w:val="00716B81"/>
    <w:rsid w:val="00716BEA"/>
    <w:rsid w:val="00716C05"/>
    <w:rsid w:val="00716D08"/>
    <w:rsid w:val="00716D50"/>
    <w:rsid w:val="00716D8C"/>
    <w:rsid w:val="00716D97"/>
    <w:rsid w:val="00716DCC"/>
    <w:rsid w:val="00716DF7"/>
    <w:rsid w:val="00716DFE"/>
    <w:rsid w:val="00716E5D"/>
    <w:rsid w:val="00716EAB"/>
    <w:rsid w:val="00716EB0"/>
    <w:rsid w:val="00716EDD"/>
    <w:rsid w:val="00716EE3"/>
    <w:rsid w:val="00716F13"/>
    <w:rsid w:val="00716F1C"/>
    <w:rsid w:val="00716F30"/>
    <w:rsid w:val="00717019"/>
    <w:rsid w:val="00717025"/>
    <w:rsid w:val="0071705F"/>
    <w:rsid w:val="00717076"/>
    <w:rsid w:val="00717092"/>
    <w:rsid w:val="007170A7"/>
    <w:rsid w:val="007170BB"/>
    <w:rsid w:val="0071717F"/>
    <w:rsid w:val="00717181"/>
    <w:rsid w:val="00717196"/>
    <w:rsid w:val="00717199"/>
    <w:rsid w:val="0071719C"/>
    <w:rsid w:val="007171B1"/>
    <w:rsid w:val="0071720F"/>
    <w:rsid w:val="00717210"/>
    <w:rsid w:val="00717276"/>
    <w:rsid w:val="007172D2"/>
    <w:rsid w:val="007172E4"/>
    <w:rsid w:val="00717370"/>
    <w:rsid w:val="007173FD"/>
    <w:rsid w:val="00717497"/>
    <w:rsid w:val="007174D7"/>
    <w:rsid w:val="007174F1"/>
    <w:rsid w:val="00717502"/>
    <w:rsid w:val="00717527"/>
    <w:rsid w:val="0071752E"/>
    <w:rsid w:val="0071756C"/>
    <w:rsid w:val="007175A0"/>
    <w:rsid w:val="00717617"/>
    <w:rsid w:val="00717618"/>
    <w:rsid w:val="00717677"/>
    <w:rsid w:val="0071768B"/>
    <w:rsid w:val="007176AE"/>
    <w:rsid w:val="00717720"/>
    <w:rsid w:val="00717724"/>
    <w:rsid w:val="0071773D"/>
    <w:rsid w:val="00717775"/>
    <w:rsid w:val="0071784E"/>
    <w:rsid w:val="007178A8"/>
    <w:rsid w:val="007178DA"/>
    <w:rsid w:val="00717932"/>
    <w:rsid w:val="00717940"/>
    <w:rsid w:val="0071797B"/>
    <w:rsid w:val="007179B1"/>
    <w:rsid w:val="007179B7"/>
    <w:rsid w:val="00717AF6"/>
    <w:rsid w:val="00717AFB"/>
    <w:rsid w:val="00717B1D"/>
    <w:rsid w:val="00717B49"/>
    <w:rsid w:val="00717B53"/>
    <w:rsid w:val="00717C0E"/>
    <w:rsid w:val="00717C3C"/>
    <w:rsid w:val="00717C59"/>
    <w:rsid w:val="00717CCF"/>
    <w:rsid w:val="00717D30"/>
    <w:rsid w:val="00717D91"/>
    <w:rsid w:val="00717E90"/>
    <w:rsid w:val="00717EA1"/>
    <w:rsid w:val="00717F1D"/>
    <w:rsid w:val="00717F6A"/>
    <w:rsid w:val="00717FA6"/>
    <w:rsid w:val="00717FB5"/>
    <w:rsid w:val="00717FB7"/>
    <w:rsid w:val="00717FC6"/>
    <w:rsid w:val="00717FD5"/>
    <w:rsid w:val="00720026"/>
    <w:rsid w:val="00720055"/>
    <w:rsid w:val="007200B7"/>
    <w:rsid w:val="00720291"/>
    <w:rsid w:val="007202D2"/>
    <w:rsid w:val="00720366"/>
    <w:rsid w:val="007203EC"/>
    <w:rsid w:val="00720415"/>
    <w:rsid w:val="00720455"/>
    <w:rsid w:val="007204A3"/>
    <w:rsid w:val="007204B5"/>
    <w:rsid w:val="0072054F"/>
    <w:rsid w:val="0072055B"/>
    <w:rsid w:val="00720569"/>
    <w:rsid w:val="00720585"/>
    <w:rsid w:val="0072064D"/>
    <w:rsid w:val="00720663"/>
    <w:rsid w:val="00720675"/>
    <w:rsid w:val="007206A9"/>
    <w:rsid w:val="00720745"/>
    <w:rsid w:val="007207A3"/>
    <w:rsid w:val="007207C3"/>
    <w:rsid w:val="007208E9"/>
    <w:rsid w:val="0072091E"/>
    <w:rsid w:val="00720966"/>
    <w:rsid w:val="00720A82"/>
    <w:rsid w:val="00720A86"/>
    <w:rsid w:val="00720A88"/>
    <w:rsid w:val="00720A93"/>
    <w:rsid w:val="00720B73"/>
    <w:rsid w:val="00720BAF"/>
    <w:rsid w:val="00720C28"/>
    <w:rsid w:val="00720C6E"/>
    <w:rsid w:val="00720C9F"/>
    <w:rsid w:val="00720CCF"/>
    <w:rsid w:val="00720CE4"/>
    <w:rsid w:val="00720D1A"/>
    <w:rsid w:val="00720D1D"/>
    <w:rsid w:val="00720D38"/>
    <w:rsid w:val="00720D4B"/>
    <w:rsid w:val="00720D94"/>
    <w:rsid w:val="00720DB4"/>
    <w:rsid w:val="00720DBB"/>
    <w:rsid w:val="00720DD9"/>
    <w:rsid w:val="00720DE5"/>
    <w:rsid w:val="00720DF6"/>
    <w:rsid w:val="00720E02"/>
    <w:rsid w:val="00720E6F"/>
    <w:rsid w:val="00720F53"/>
    <w:rsid w:val="00720F84"/>
    <w:rsid w:val="00720FB2"/>
    <w:rsid w:val="0072102E"/>
    <w:rsid w:val="0072103B"/>
    <w:rsid w:val="0072106B"/>
    <w:rsid w:val="0072107E"/>
    <w:rsid w:val="0072109C"/>
    <w:rsid w:val="007210B2"/>
    <w:rsid w:val="00721120"/>
    <w:rsid w:val="00721156"/>
    <w:rsid w:val="00721260"/>
    <w:rsid w:val="007212E2"/>
    <w:rsid w:val="007212FC"/>
    <w:rsid w:val="00721354"/>
    <w:rsid w:val="00721374"/>
    <w:rsid w:val="007213A1"/>
    <w:rsid w:val="007213B1"/>
    <w:rsid w:val="007213DD"/>
    <w:rsid w:val="00721466"/>
    <w:rsid w:val="00721483"/>
    <w:rsid w:val="0072149A"/>
    <w:rsid w:val="0072149C"/>
    <w:rsid w:val="007214F5"/>
    <w:rsid w:val="00721502"/>
    <w:rsid w:val="00721560"/>
    <w:rsid w:val="0072160E"/>
    <w:rsid w:val="00721623"/>
    <w:rsid w:val="00721630"/>
    <w:rsid w:val="007216A8"/>
    <w:rsid w:val="007216BE"/>
    <w:rsid w:val="007216C3"/>
    <w:rsid w:val="00721708"/>
    <w:rsid w:val="00721741"/>
    <w:rsid w:val="0072177A"/>
    <w:rsid w:val="0072179E"/>
    <w:rsid w:val="007217AC"/>
    <w:rsid w:val="007217D0"/>
    <w:rsid w:val="007218AD"/>
    <w:rsid w:val="00721915"/>
    <w:rsid w:val="00721926"/>
    <w:rsid w:val="0072195C"/>
    <w:rsid w:val="00721A4B"/>
    <w:rsid w:val="00721A63"/>
    <w:rsid w:val="00721A7C"/>
    <w:rsid w:val="00721B3D"/>
    <w:rsid w:val="00721B76"/>
    <w:rsid w:val="00721B89"/>
    <w:rsid w:val="00721BBA"/>
    <w:rsid w:val="00721C13"/>
    <w:rsid w:val="00721C15"/>
    <w:rsid w:val="00721C1A"/>
    <w:rsid w:val="00721C34"/>
    <w:rsid w:val="00721C36"/>
    <w:rsid w:val="00721CD5"/>
    <w:rsid w:val="00721CE9"/>
    <w:rsid w:val="00721D2D"/>
    <w:rsid w:val="00721D4A"/>
    <w:rsid w:val="00721D84"/>
    <w:rsid w:val="00721E1C"/>
    <w:rsid w:val="00721EB4"/>
    <w:rsid w:val="00721F14"/>
    <w:rsid w:val="00721F45"/>
    <w:rsid w:val="00721F6E"/>
    <w:rsid w:val="007220A4"/>
    <w:rsid w:val="00722131"/>
    <w:rsid w:val="0072218A"/>
    <w:rsid w:val="00722193"/>
    <w:rsid w:val="007221C7"/>
    <w:rsid w:val="0072220C"/>
    <w:rsid w:val="00722222"/>
    <w:rsid w:val="00722236"/>
    <w:rsid w:val="0072224A"/>
    <w:rsid w:val="00722272"/>
    <w:rsid w:val="007223BF"/>
    <w:rsid w:val="0072240D"/>
    <w:rsid w:val="00722411"/>
    <w:rsid w:val="00722413"/>
    <w:rsid w:val="00722450"/>
    <w:rsid w:val="007224A5"/>
    <w:rsid w:val="007224B1"/>
    <w:rsid w:val="007224B4"/>
    <w:rsid w:val="00722514"/>
    <w:rsid w:val="00722524"/>
    <w:rsid w:val="00722560"/>
    <w:rsid w:val="00722575"/>
    <w:rsid w:val="007225BA"/>
    <w:rsid w:val="0072264F"/>
    <w:rsid w:val="007226AC"/>
    <w:rsid w:val="00722773"/>
    <w:rsid w:val="007227A4"/>
    <w:rsid w:val="007227B8"/>
    <w:rsid w:val="007227F8"/>
    <w:rsid w:val="0072280E"/>
    <w:rsid w:val="00722812"/>
    <w:rsid w:val="007228A5"/>
    <w:rsid w:val="007228AE"/>
    <w:rsid w:val="007228EE"/>
    <w:rsid w:val="0072295B"/>
    <w:rsid w:val="0072296F"/>
    <w:rsid w:val="007229D1"/>
    <w:rsid w:val="007229D3"/>
    <w:rsid w:val="007229F7"/>
    <w:rsid w:val="007229FD"/>
    <w:rsid w:val="00722A0C"/>
    <w:rsid w:val="00722A44"/>
    <w:rsid w:val="00722A45"/>
    <w:rsid w:val="00722A4B"/>
    <w:rsid w:val="00722A96"/>
    <w:rsid w:val="00722B25"/>
    <w:rsid w:val="00722B68"/>
    <w:rsid w:val="00722BB9"/>
    <w:rsid w:val="00722BD3"/>
    <w:rsid w:val="00722C52"/>
    <w:rsid w:val="00722C8E"/>
    <w:rsid w:val="00722C99"/>
    <w:rsid w:val="00722D8F"/>
    <w:rsid w:val="00722D92"/>
    <w:rsid w:val="00722DA1"/>
    <w:rsid w:val="00722DB9"/>
    <w:rsid w:val="00722DD5"/>
    <w:rsid w:val="00722DE7"/>
    <w:rsid w:val="00722F1D"/>
    <w:rsid w:val="0072300C"/>
    <w:rsid w:val="0072300D"/>
    <w:rsid w:val="0072303C"/>
    <w:rsid w:val="0072327A"/>
    <w:rsid w:val="00723289"/>
    <w:rsid w:val="00723291"/>
    <w:rsid w:val="007232B4"/>
    <w:rsid w:val="00723322"/>
    <w:rsid w:val="00723346"/>
    <w:rsid w:val="0072334F"/>
    <w:rsid w:val="007233A9"/>
    <w:rsid w:val="007233C8"/>
    <w:rsid w:val="00723405"/>
    <w:rsid w:val="00723488"/>
    <w:rsid w:val="007234C7"/>
    <w:rsid w:val="007234EF"/>
    <w:rsid w:val="00723544"/>
    <w:rsid w:val="00723605"/>
    <w:rsid w:val="00723609"/>
    <w:rsid w:val="00723636"/>
    <w:rsid w:val="00723678"/>
    <w:rsid w:val="0072367B"/>
    <w:rsid w:val="007236D3"/>
    <w:rsid w:val="0072372E"/>
    <w:rsid w:val="00723774"/>
    <w:rsid w:val="007237AA"/>
    <w:rsid w:val="00723891"/>
    <w:rsid w:val="007238AF"/>
    <w:rsid w:val="007238C5"/>
    <w:rsid w:val="007238CE"/>
    <w:rsid w:val="007238F0"/>
    <w:rsid w:val="00723994"/>
    <w:rsid w:val="00723A03"/>
    <w:rsid w:val="00723A3C"/>
    <w:rsid w:val="00723A62"/>
    <w:rsid w:val="00723A73"/>
    <w:rsid w:val="00723A7F"/>
    <w:rsid w:val="00723A83"/>
    <w:rsid w:val="00723B0F"/>
    <w:rsid w:val="00723B53"/>
    <w:rsid w:val="00723B56"/>
    <w:rsid w:val="00723BBA"/>
    <w:rsid w:val="00723BD5"/>
    <w:rsid w:val="00723BE8"/>
    <w:rsid w:val="00723BF6"/>
    <w:rsid w:val="00723C25"/>
    <w:rsid w:val="00723C3B"/>
    <w:rsid w:val="00723C58"/>
    <w:rsid w:val="00723D9C"/>
    <w:rsid w:val="00723DE1"/>
    <w:rsid w:val="00723DF4"/>
    <w:rsid w:val="00723E68"/>
    <w:rsid w:val="00723E78"/>
    <w:rsid w:val="00723F16"/>
    <w:rsid w:val="00723F1D"/>
    <w:rsid w:val="00723F4A"/>
    <w:rsid w:val="00723F8A"/>
    <w:rsid w:val="00723FED"/>
    <w:rsid w:val="00723FF8"/>
    <w:rsid w:val="00724059"/>
    <w:rsid w:val="0072407D"/>
    <w:rsid w:val="007240C4"/>
    <w:rsid w:val="00724103"/>
    <w:rsid w:val="00724139"/>
    <w:rsid w:val="0072419D"/>
    <w:rsid w:val="007241AC"/>
    <w:rsid w:val="007241B4"/>
    <w:rsid w:val="007241FE"/>
    <w:rsid w:val="00724217"/>
    <w:rsid w:val="00724220"/>
    <w:rsid w:val="00724268"/>
    <w:rsid w:val="0072427B"/>
    <w:rsid w:val="0072427F"/>
    <w:rsid w:val="007242F2"/>
    <w:rsid w:val="00724321"/>
    <w:rsid w:val="00724322"/>
    <w:rsid w:val="0072435C"/>
    <w:rsid w:val="007243A3"/>
    <w:rsid w:val="007243C8"/>
    <w:rsid w:val="007243E9"/>
    <w:rsid w:val="007243F0"/>
    <w:rsid w:val="00724418"/>
    <w:rsid w:val="0072448F"/>
    <w:rsid w:val="007244AA"/>
    <w:rsid w:val="007244AC"/>
    <w:rsid w:val="007244FC"/>
    <w:rsid w:val="00724507"/>
    <w:rsid w:val="00724557"/>
    <w:rsid w:val="00724570"/>
    <w:rsid w:val="00724586"/>
    <w:rsid w:val="0072459F"/>
    <w:rsid w:val="007245F5"/>
    <w:rsid w:val="007245F8"/>
    <w:rsid w:val="00724607"/>
    <w:rsid w:val="00724609"/>
    <w:rsid w:val="00724638"/>
    <w:rsid w:val="007246CF"/>
    <w:rsid w:val="007246F6"/>
    <w:rsid w:val="00724740"/>
    <w:rsid w:val="0072477A"/>
    <w:rsid w:val="0072477F"/>
    <w:rsid w:val="007247CD"/>
    <w:rsid w:val="007247D8"/>
    <w:rsid w:val="0072481E"/>
    <w:rsid w:val="0072484C"/>
    <w:rsid w:val="007248E4"/>
    <w:rsid w:val="00724A09"/>
    <w:rsid w:val="00724A0E"/>
    <w:rsid w:val="00724A20"/>
    <w:rsid w:val="00724A32"/>
    <w:rsid w:val="00724A36"/>
    <w:rsid w:val="00724A5A"/>
    <w:rsid w:val="00724ABE"/>
    <w:rsid w:val="00724B80"/>
    <w:rsid w:val="00724B91"/>
    <w:rsid w:val="00724D67"/>
    <w:rsid w:val="00724DA9"/>
    <w:rsid w:val="00724DB9"/>
    <w:rsid w:val="00724E5D"/>
    <w:rsid w:val="00724EBB"/>
    <w:rsid w:val="00724EE2"/>
    <w:rsid w:val="00724EFE"/>
    <w:rsid w:val="00724F08"/>
    <w:rsid w:val="00724F33"/>
    <w:rsid w:val="00724FBE"/>
    <w:rsid w:val="00724FD2"/>
    <w:rsid w:val="0072502B"/>
    <w:rsid w:val="00725037"/>
    <w:rsid w:val="0072505F"/>
    <w:rsid w:val="007250D8"/>
    <w:rsid w:val="007251AA"/>
    <w:rsid w:val="007251C4"/>
    <w:rsid w:val="007251C9"/>
    <w:rsid w:val="00725230"/>
    <w:rsid w:val="0072529D"/>
    <w:rsid w:val="007252D8"/>
    <w:rsid w:val="00725314"/>
    <w:rsid w:val="00725320"/>
    <w:rsid w:val="00725329"/>
    <w:rsid w:val="00725381"/>
    <w:rsid w:val="0072539D"/>
    <w:rsid w:val="0072539F"/>
    <w:rsid w:val="007253AC"/>
    <w:rsid w:val="007253EA"/>
    <w:rsid w:val="00725436"/>
    <w:rsid w:val="007254D4"/>
    <w:rsid w:val="0072553A"/>
    <w:rsid w:val="00725581"/>
    <w:rsid w:val="007255FE"/>
    <w:rsid w:val="0072563E"/>
    <w:rsid w:val="0072564A"/>
    <w:rsid w:val="0072564D"/>
    <w:rsid w:val="00725661"/>
    <w:rsid w:val="00725667"/>
    <w:rsid w:val="007256A1"/>
    <w:rsid w:val="007256D5"/>
    <w:rsid w:val="00725723"/>
    <w:rsid w:val="00725797"/>
    <w:rsid w:val="007257A2"/>
    <w:rsid w:val="0072580A"/>
    <w:rsid w:val="0072598B"/>
    <w:rsid w:val="007259D3"/>
    <w:rsid w:val="00725A03"/>
    <w:rsid w:val="00725AB1"/>
    <w:rsid w:val="00725AD3"/>
    <w:rsid w:val="00725AEF"/>
    <w:rsid w:val="00725B00"/>
    <w:rsid w:val="00725BEA"/>
    <w:rsid w:val="00725BEB"/>
    <w:rsid w:val="00725BEF"/>
    <w:rsid w:val="00725C17"/>
    <w:rsid w:val="00725C71"/>
    <w:rsid w:val="00725C78"/>
    <w:rsid w:val="00725C83"/>
    <w:rsid w:val="00725C86"/>
    <w:rsid w:val="00725CA0"/>
    <w:rsid w:val="00725CA3"/>
    <w:rsid w:val="00725D0F"/>
    <w:rsid w:val="00725D5D"/>
    <w:rsid w:val="00725DE1"/>
    <w:rsid w:val="00725E0C"/>
    <w:rsid w:val="00725E24"/>
    <w:rsid w:val="00725EAB"/>
    <w:rsid w:val="00725F6D"/>
    <w:rsid w:val="00725F7E"/>
    <w:rsid w:val="00726045"/>
    <w:rsid w:val="0072606A"/>
    <w:rsid w:val="007260CB"/>
    <w:rsid w:val="007260CE"/>
    <w:rsid w:val="007260E9"/>
    <w:rsid w:val="007261C1"/>
    <w:rsid w:val="007261FF"/>
    <w:rsid w:val="00726295"/>
    <w:rsid w:val="00726330"/>
    <w:rsid w:val="00726392"/>
    <w:rsid w:val="0072641B"/>
    <w:rsid w:val="00726431"/>
    <w:rsid w:val="00726456"/>
    <w:rsid w:val="00726493"/>
    <w:rsid w:val="007264C7"/>
    <w:rsid w:val="007265A4"/>
    <w:rsid w:val="007265AA"/>
    <w:rsid w:val="007265AE"/>
    <w:rsid w:val="007265DD"/>
    <w:rsid w:val="007265FC"/>
    <w:rsid w:val="0072666A"/>
    <w:rsid w:val="00726699"/>
    <w:rsid w:val="007266B3"/>
    <w:rsid w:val="00726716"/>
    <w:rsid w:val="007267CC"/>
    <w:rsid w:val="00726822"/>
    <w:rsid w:val="00726828"/>
    <w:rsid w:val="00726844"/>
    <w:rsid w:val="00726859"/>
    <w:rsid w:val="00726928"/>
    <w:rsid w:val="00726952"/>
    <w:rsid w:val="00726976"/>
    <w:rsid w:val="00726A9C"/>
    <w:rsid w:val="00726AC1"/>
    <w:rsid w:val="00726AFB"/>
    <w:rsid w:val="00726B68"/>
    <w:rsid w:val="00726B76"/>
    <w:rsid w:val="00726B9A"/>
    <w:rsid w:val="00726B9D"/>
    <w:rsid w:val="00726BA7"/>
    <w:rsid w:val="00726BB5"/>
    <w:rsid w:val="00726C2F"/>
    <w:rsid w:val="00726C48"/>
    <w:rsid w:val="00726C70"/>
    <w:rsid w:val="00726CB5"/>
    <w:rsid w:val="00726D0C"/>
    <w:rsid w:val="00726D30"/>
    <w:rsid w:val="00726D45"/>
    <w:rsid w:val="00726E78"/>
    <w:rsid w:val="00726EA8"/>
    <w:rsid w:val="00726FE2"/>
    <w:rsid w:val="00726FED"/>
    <w:rsid w:val="00727034"/>
    <w:rsid w:val="00727051"/>
    <w:rsid w:val="0072706B"/>
    <w:rsid w:val="007270D1"/>
    <w:rsid w:val="0072714E"/>
    <w:rsid w:val="00727164"/>
    <w:rsid w:val="00727215"/>
    <w:rsid w:val="0072721B"/>
    <w:rsid w:val="0072726C"/>
    <w:rsid w:val="007272F2"/>
    <w:rsid w:val="0072734B"/>
    <w:rsid w:val="00727363"/>
    <w:rsid w:val="0072738B"/>
    <w:rsid w:val="007273D4"/>
    <w:rsid w:val="0072744C"/>
    <w:rsid w:val="00727450"/>
    <w:rsid w:val="00727484"/>
    <w:rsid w:val="007274C4"/>
    <w:rsid w:val="007275A8"/>
    <w:rsid w:val="007275C0"/>
    <w:rsid w:val="007275DF"/>
    <w:rsid w:val="0072765C"/>
    <w:rsid w:val="0072767C"/>
    <w:rsid w:val="007276FE"/>
    <w:rsid w:val="007277E2"/>
    <w:rsid w:val="007277FB"/>
    <w:rsid w:val="007278DB"/>
    <w:rsid w:val="007278F6"/>
    <w:rsid w:val="007278F9"/>
    <w:rsid w:val="0072790D"/>
    <w:rsid w:val="00727A03"/>
    <w:rsid w:val="00727AB9"/>
    <w:rsid w:val="00727ABC"/>
    <w:rsid w:val="00727B0E"/>
    <w:rsid w:val="00727B25"/>
    <w:rsid w:val="00727B8B"/>
    <w:rsid w:val="00727BB5"/>
    <w:rsid w:val="00727BCD"/>
    <w:rsid w:val="00727BF9"/>
    <w:rsid w:val="00727C0F"/>
    <w:rsid w:val="00727C22"/>
    <w:rsid w:val="00727C39"/>
    <w:rsid w:val="00727C5B"/>
    <w:rsid w:val="00727C86"/>
    <w:rsid w:val="00727CD4"/>
    <w:rsid w:val="00727CDD"/>
    <w:rsid w:val="00727CF9"/>
    <w:rsid w:val="00727D0F"/>
    <w:rsid w:val="00727D22"/>
    <w:rsid w:val="00727D3A"/>
    <w:rsid w:val="00727D7A"/>
    <w:rsid w:val="00727D9D"/>
    <w:rsid w:val="00727DDB"/>
    <w:rsid w:val="00727E2C"/>
    <w:rsid w:val="00727E30"/>
    <w:rsid w:val="00727E55"/>
    <w:rsid w:val="00727EB5"/>
    <w:rsid w:val="00727F1E"/>
    <w:rsid w:val="00727F24"/>
    <w:rsid w:val="00727F49"/>
    <w:rsid w:val="00727F5B"/>
    <w:rsid w:val="00727F68"/>
    <w:rsid w:val="00727FD3"/>
    <w:rsid w:val="00730019"/>
    <w:rsid w:val="007300B2"/>
    <w:rsid w:val="007300CD"/>
    <w:rsid w:val="00730113"/>
    <w:rsid w:val="00730131"/>
    <w:rsid w:val="00730164"/>
    <w:rsid w:val="00730174"/>
    <w:rsid w:val="00730261"/>
    <w:rsid w:val="00730275"/>
    <w:rsid w:val="007302D9"/>
    <w:rsid w:val="00730326"/>
    <w:rsid w:val="00730408"/>
    <w:rsid w:val="0073043B"/>
    <w:rsid w:val="007304CB"/>
    <w:rsid w:val="00730531"/>
    <w:rsid w:val="0073055C"/>
    <w:rsid w:val="00730560"/>
    <w:rsid w:val="0073056F"/>
    <w:rsid w:val="00730632"/>
    <w:rsid w:val="007306D5"/>
    <w:rsid w:val="0073074E"/>
    <w:rsid w:val="007307D9"/>
    <w:rsid w:val="00730842"/>
    <w:rsid w:val="0073084E"/>
    <w:rsid w:val="007308B5"/>
    <w:rsid w:val="007308C2"/>
    <w:rsid w:val="0073092E"/>
    <w:rsid w:val="00730935"/>
    <w:rsid w:val="0073096D"/>
    <w:rsid w:val="007309B9"/>
    <w:rsid w:val="007309C0"/>
    <w:rsid w:val="007309D5"/>
    <w:rsid w:val="00730A3B"/>
    <w:rsid w:val="00730A9B"/>
    <w:rsid w:val="00730AD4"/>
    <w:rsid w:val="00730AE7"/>
    <w:rsid w:val="00730AFD"/>
    <w:rsid w:val="00730B46"/>
    <w:rsid w:val="00730B5C"/>
    <w:rsid w:val="00730CF6"/>
    <w:rsid w:val="00730D12"/>
    <w:rsid w:val="00730D28"/>
    <w:rsid w:val="00730D3D"/>
    <w:rsid w:val="00730D52"/>
    <w:rsid w:val="00730D79"/>
    <w:rsid w:val="00730E20"/>
    <w:rsid w:val="00730E35"/>
    <w:rsid w:val="00730E4A"/>
    <w:rsid w:val="00730E5A"/>
    <w:rsid w:val="00730E69"/>
    <w:rsid w:val="00730ED0"/>
    <w:rsid w:val="00730EEB"/>
    <w:rsid w:val="00730F44"/>
    <w:rsid w:val="00730F88"/>
    <w:rsid w:val="00730F8A"/>
    <w:rsid w:val="00730F8F"/>
    <w:rsid w:val="00731090"/>
    <w:rsid w:val="00731150"/>
    <w:rsid w:val="007311D8"/>
    <w:rsid w:val="00731232"/>
    <w:rsid w:val="007312D6"/>
    <w:rsid w:val="00731322"/>
    <w:rsid w:val="00731339"/>
    <w:rsid w:val="00731420"/>
    <w:rsid w:val="00731443"/>
    <w:rsid w:val="0073144C"/>
    <w:rsid w:val="00731470"/>
    <w:rsid w:val="007314DA"/>
    <w:rsid w:val="0073155E"/>
    <w:rsid w:val="0073158F"/>
    <w:rsid w:val="0073159D"/>
    <w:rsid w:val="007315A3"/>
    <w:rsid w:val="007315D5"/>
    <w:rsid w:val="007315DE"/>
    <w:rsid w:val="00731657"/>
    <w:rsid w:val="007316BB"/>
    <w:rsid w:val="007316C6"/>
    <w:rsid w:val="007316D2"/>
    <w:rsid w:val="00731730"/>
    <w:rsid w:val="00731744"/>
    <w:rsid w:val="00731745"/>
    <w:rsid w:val="00731764"/>
    <w:rsid w:val="0073179E"/>
    <w:rsid w:val="00731810"/>
    <w:rsid w:val="007318C2"/>
    <w:rsid w:val="00731986"/>
    <w:rsid w:val="007319F0"/>
    <w:rsid w:val="00731A53"/>
    <w:rsid w:val="00731A6E"/>
    <w:rsid w:val="00731B39"/>
    <w:rsid w:val="00731B96"/>
    <w:rsid w:val="00731BBB"/>
    <w:rsid w:val="00731BDE"/>
    <w:rsid w:val="00731BE9"/>
    <w:rsid w:val="00731C86"/>
    <w:rsid w:val="00731C96"/>
    <w:rsid w:val="00731C9E"/>
    <w:rsid w:val="00731D11"/>
    <w:rsid w:val="00731D76"/>
    <w:rsid w:val="00731E43"/>
    <w:rsid w:val="00731F02"/>
    <w:rsid w:val="00731FFA"/>
    <w:rsid w:val="00732032"/>
    <w:rsid w:val="00732050"/>
    <w:rsid w:val="00732100"/>
    <w:rsid w:val="0073211C"/>
    <w:rsid w:val="0073212C"/>
    <w:rsid w:val="00732182"/>
    <w:rsid w:val="007321A1"/>
    <w:rsid w:val="007321C2"/>
    <w:rsid w:val="00732237"/>
    <w:rsid w:val="0073223B"/>
    <w:rsid w:val="0073225B"/>
    <w:rsid w:val="00732276"/>
    <w:rsid w:val="00732291"/>
    <w:rsid w:val="00732292"/>
    <w:rsid w:val="007322EC"/>
    <w:rsid w:val="00732399"/>
    <w:rsid w:val="007323A9"/>
    <w:rsid w:val="007323BF"/>
    <w:rsid w:val="00732442"/>
    <w:rsid w:val="00732471"/>
    <w:rsid w:val="00732487"/>
    <w:rsid w:val="0073249B"/>
    <w:rsid w:val="007324A0"/>
    <w:rsid w:val="007324AD"/>
    <w:rsid w:val="007324D4"/>
    <w:rsid w:val="007324FE"/>
    <w:rsid w:val="00732503"/>
    <w:rsid w:val="0073250E"/>
    <w:rsid w:val="00732576"/>
    <w:rsid w:val="00732585"/>
    <w:rsid w:val="00732606"/>
    <w:rsid w:val="0073261B"/>
    <w:rsid w:val="0073262D"/>
    <w:rsid w:val="00732650"/>
    <w:rsid w:val="007326C2"/>
    <w:rsid w:val="0073270F"/>
    <w:rsid w:val="00732785"/>
    <w:rsid w:val="0073278D"/>
    <w:rsid w:val="00732836"/>
    <w:rsid w:val="00732846"/>
    <w:rsid w:val="00732847"/>
    <w:rsid w:val="00732861"/>
    <w:rsid w:val="007328CE"/>
    <w:rsid w:val="00732917"/>
    <w:rsid w:val="0073293E"/>
    <w:rsid w:val="00732954"/>
    <w:rsid w:val="00732986"/>
    <w:rsid w:val="00732999"/>
    <w:rsid w:val="007329AA"/>
    <w:rsid w:val="007329C3"/>
    <w:rsid w:val="007329EF"/>
    <w:rsid w:val="007329F4"/>
    <w:rsid w:val="00732A0F"/>
    <w:rsid w:val="00732A12"/>
    <w:rsid w:val="00732A18"/>
    <w:rsid w:val="00732A2E"/>
    <w:rsid w:val="00732A3D"/>
    <w:rsid w:val="00732A60"/>
    <w:rsid w:val="00732AD8"/>
    <w:rsid w:val="00732AEB"/>
    <w:rsid w:val="00732BCA"/>
    <w:rsid w:val="00732BDB"/>
    <w:rsid w:val="00732C49"/>
    <w:rsid w:val="00732C60"/>
    <w:rsid w:val="00732C90"/>
    <w:rsid w:val="00732CB7"/>
    <w:rsid w:val="00732CCA"/>
    <w:rsid w:val="00732D17"/>
    <w:rsid w:val="00732D41"/>
    <w:rsid w:val="00732D7E"/>
    <w:rsid w:val="00732DAA"/>
    <w:rsid w:val="00732DDE"/>
    <w:rsid w:val="00732E4D"/>
    <w:rsid w:val="00732EA9"/>
    <w:rsid w:val="00732ECF"/>
    <w:rsid w:val="00732EEC"/>
    <w:rsid w:val="00732EEF"/>
    <w:rsid w:val="00732EF7"/>
    <w:rsid w:val="00732F57"/>
    <w:rsid w:val="00732F89"/>
    <w:rsid w:val="00732F8D"/>
    <w:rsid w:val="00732FA6"/>
    <w:rsid w:val="0073305D"/>
    <w:rsid w:val="007330D2"/>
    <w:rsid w:val="007330EA"/>
    <w:rsid w:val="0073312C"/>
    <w:rsid w:val="007331F2"/>
    <w:rsid w:val="00733245"/>
    <w:rsid w:val="00733251"/>
    <w:rsid w:val="007332A9"/>
    <w:rsid w:val="007332B9"/>
    <w:rsid w:val="007332D5"/>
    <w:rsid w:val="007332FE"/>
    <w:rsid w:val="00733309"/>
    <w:rsid w:val="00733347"/>
    <w:rsid w:val="007333EC"/>
    <w:rsid w:val="00733425"/>
    <w:rsid w:val="0073346E"/>
    <w:rsid w:val="00733474"/>
    <w:rsid w:val="007334D4"/>
    <w:rsid w:val="007334D7"/>
    <w:rsid w:val="007334EE"/>
    <w:rsid w:val="0073357A"/>
    <w:rsid w:val="007335C9"/>
    <w:rsid w:val="00733602"/>
    <w:rsid w:val="0073360D"/>
    <w:rsid w:val="0073360E"/>
    <w:rsid w:val="00733628"/>
    <w:rsid w:val="0073363F"/>
    <w:rsid w:val="00733652"/>
    <w:rsid w:val="007336DE"/>
    <w:rsid w:val="00733751"/>
    <w:rsid w:val="00733763"/>
    <w:rsid w:val="007337DA"/>
    <w:rsid w:val="0073386B"/>
    <w:rsid w:val="00733893"/>
    <w:rsid w:val="007338A9"/>
    <w:rsid w:val="0073392B"/>
    <w:rsid w:val="007339FB"/>
    <w:rsid w:val="00733A45"/>
    <w:rsid w:val="00733A47"/>
    <w:rsid w:val="00733A7E"/>
    <w:rsid w:val="00733A80"/>
    <w:rsid w:val="00733AA5"/>
    <w:rsid w:val="00733AF1"/>
    <w:rsid w:val="00733B83"/>
    <w:rsid w:val="00733BDF"/>
    <w:rsid w:val="00733C29"/>
    <w:rsid w:val="00733CFD"/>
    <w:rsid w:val="00733D1F"/>
    <w:rsid w:val="00733D2C"/>
    <w:rsid w:val="00733D7D"/>
    <w:rsid w:val="00733D83"/>
    <w:rsid w:val="00733DA7"/>
    <w:rsid w:val="00733E76"/>
    <w:rsid w:val="00733EB5"/>
    <w:rsid w:val="00733ED8"/>
    <w:rsid w:val="00733F8B"/>
    <w:rsid w:val="00733FA5"/>
    <w:rsid w:val="00734013"/>
    <w:rsid w:val="0073402E"/>
    <w:rsid w:val="00734120"/>
    <w:rsid w:val="0073417C"/>
    <w:rsid w:val="007341D0"/>
    <w:rsid w:val="00734216"/>
    <w:rsid w:val="00734280"/>
    <w:rsid w:val="007342E4"/>
    <w:rsid w:val="007342E7"/>
    <w:rsid w:val="00734377"/>
    <w:rsid w:val="007343D0"/>
    <w:rsid w:val="007343F0"/>
    <w:rsid w:val="0073446F"/>
    <w:rsid w:val="00734564"/>
    <w:rsid w:val="00734596"/>
    <w:rsid w:val="007345AB"/>
    <w:rsid w:val="007345E8"/>
    <w:rsid w:val="0073466A"/>
    <w:rsid w:val="007346CA"/>
    <w:rsid w:val="00734734"/>
    <w:rsid w:val="007347E6"/>
    <w:rsid w:val="0073480E"/>
    <w:rsid w:val="0073481C"/>
    <w:rsid w:val="00734834"/>
    <w:rsid w:val="00734848"/>
    <w:rsid w:val="0073485B"/>
    <w:rsid w:val="0073486F"/>
    <w:rsid w:val="007348C0"/>
    <w:rsid w:val="007348EE"/>
    <w:rsid w:val="0073493F"/>
    <w:rsid w:val="00734992"/>
    <w:rsid w:val="007349A2"/>
    <w:rsid w:val="007349FE"/>
    <w:rsid w:val="00734A3C"/>
    <w:rsid w:val="00734A5F"/>
    <w:rsid w:val="00734A78"/>
    <w:rsid w:val="00734AD4"/>
    <w:rsid w:val="00734AF9"/>
    <w:rsid w:val="00734BCE"/>
    <w:rsid w:val="00734C21"/>
    <w:rsid w:val="00734D4A"/>
    <w:rsid w:val="00734D8D"/>
    <w:rsid w:val="00734DA0"/>
    <w:rsid w:val="00734DAA"/>
    <w:rsid w:val="00734DC7"/>
    <w:rsid w:val="00734E1A"/>
    <w:rsid w:val="00734E1F"/>
    <w:rsid w:val="00734E28"/>
    <w:rsid w:val="00734E40"/>
    <w:rsid w:val="00734E9B"/>
    <w:rsid w:val="00734EB5"/>
    <w:rsid w:val="00734ED5"/>
    <w:rsid w:val="00734EF1"/>
    <w:rsid w:val="00734EFC"/>
    <w:rsid w:val="00734F6D"/>
    <w:rsid w:val="00734F77"/>
    <w:rsid w:val="00734F9C"/>
    <w:rsid w:val="00734FA7"/>
    <w:rsid w:val="00734FBF"/>
    <w:rsid w:val="00734FD3"/>
    <w:rsid w:val="00734FDF"/>
    <w:rsid w:val="00735018"/>
    <w:rsid w:val="0073502E"/>
    <w:rsid w:val="0073506A"/>
    <w:rsid w:val="007350CB"/>
    <w:rsid w:val="00735125"/>
    <w:rsid w:val="0073513B"/>
    <w:rsid w:val="00735182"/>
    <w:rsid w:val="007351BE"/>
    <w:rsid w:val="0073521C"/>
    <w:rsid w:val="00735247"/>
    <w:rsid w:val="0073524C"/>
    <w:rsid w:val="007352AA"/>
    <w:rsid w:val="007352E7"/>
    <w:rsid w:val="007353A2"/>
    <w:rsid w:val="007353C3"/>
    <w:rsid w:val="007353CB"/>
    <w:rsid w:val="007353D1"/>
    <w:rsid w:val="00735414"/>
    <w:rsid w:val="007354BD"/>
    <w:rsid w:val="007354C3"/>
    <w:rsid w:val="007354F9"/>
    <w:rsid w:val="007355A6"/>
    <w:rsid w:val="007355A7"/>
    <w:rsid w:val="00735610"/>
    <w:rsid w:val="00735616"/>
    <w:rsid w:val="00735698"/>
    <w:rsid w:val="007356EE"/>
    <w:rsid w:val="00735733"/>
    <w:rsid w:val="0073575A"/>
    <w:rsid w:val="007357D2"/>
    <w:rsid w:val="007357F7"/>
    <w:rsid w:val="007357FF"/>
    <w:rsid w:val="00735806"/>
    <w:rsid w:val="0073587D"/>
    <w:rsid w:val="0073588F"/>
    <w:rsid w:val="007358DE"/>
    <w:rsid w:val="007358EA"/>
    <w:rsid w:val="00735945"/>
    <w:rsid w:val="0073599E"/>
    <w:rsid w:val="007359A0"/>
    <w:rsid w:val="00735A88"/>
    <w:rsid w:val="00735BC2"/>
    <w:rsid w:val="00735C1B"/>
    <w:rsid w:val="00735C95"/>
    <w:rsid w:val="00735D00"/>
    <w:rsid w:val="00735D0C"/>
    <w:rsid w:val="00735D3A"/>
    <w:rsid w:val="00735DB6"/>
    <w:rsid w:val="00735E53"/>
    <w:rsid w:val="00735EC2"/>
    <w:rsid w:val="00735F1B"/>
    <w:rsid w:val="00735F89"/>
    <w:rsid w:val="00735FCC"/>
    <w:rsid w:val="00735FD6"/>
    <w:rsid w:val="00735FDF"/>
    <w:rsid w:val="00736000"/>
    <w:rsid w:val="0073608B"/>
    <w:rsid w:val="007360B3"/>
    <w:rsid w:val="007360C3"/>
    <w:rsid w:val="00736121"/>
    <w:rsid w:val="007361E0"/>
    <w:rsid w:val="007361F5"/>
    <w:rsid w:val="007361F8"/>
    <w:rsid w:val="00736228"/>
    <w:rsid w:val="0073624A"/>
    <w:rsid w:val="00736280"/>
    <w:rsid w:val="0073628B"/>
    <w:rsid w:val="0073637F"/>
    <w:rsid w:val="00736387"/>
    <w:rsid w:val="00736389"/>
    <w:rsid w:val="0073640C"/>
    <w:rsid w:val="0073640E"/>
    <w:rsid w:val="0073648A"/>
    <w:rsid w:val="007364A0"/>
    <w:rsid w:val="00736511"/>
    <w:rsid w:val="00736519"/>
    <w:rsid w:val="007365D9"/>
    <w:rsid w:val="007365E0"/>
    <w:rsid w:val="00736602"/>
    <w:rsid w:val="00736675"/>
    <w:rsid w:val="007366B8"/>
    <w:rsid w:val="00736740"/>
    <w:rsid w:val="007367A0"/>
    <w:rsid w:val="007367AB"/>
    <w:rsid w:val="007367F6"/>
    <w:rsid w:val="00736804"/>
    <w:rsid w:val="0073681B"/>
    <w:rsid w:val="0073686D"/>
    <w:rsid w:val="007368C8"/>
    <w:rsid w:val="007368E0"/>
    <w:rsid w:val="007368FF"/>
    <w:rsid w:val="0073690A"/>
    <w:rsid w:val="00736938"/>
    <w:rsid w:val="00736947"/>
    <w:rsid w:val="007369C9"/>
    <w:rsid w:val="007369F4"/>
    <w:rsid w:val="00736A10"/>
    <w:rsid w:val="00736A6B"/>
    <w:rsid w:val="00736A82"/>
    <w:rsid w:val="00736A8C"/>
    <w:rsid w:val="00736B22"/>
    <w:rsid w:val="00736B4A"/>
    <w:rsid w:val="00736B55"/>
    <w:rsid w:val="00736CCB"/>
    <w:rsid w:val="00736D29"/>
    <w:rsid w:val="00736D83"/>
    <w:rsid w:val="00736DA5"/>
    <w:rsid w:val="00736E37"/>
    <w:rsid w:val="00736F2F"/>
    <w:rsid w:val="00736F56"/>
    <w:rsid w:val="00736FDC"/>
    <w:rsid w:val="00737027"/>
    <w:rsid w:val="0073702E"/>
    <w:rsid w:val="0073702F"/>
    <w:rsid w:val="00737053"/>
    <w:rsid w:val="0073705E"/>
    <w:rsid w:val="007370F4"/>
    <w:rsid w:val="00737107"/>
    <w:rsid w:val="0073713D"/>
    <w:rsid w:val="00737180"/>
    <w:rsid w:val="00737193"/>
    <w:rsid w:val="007371F1"/>
    <w:rsid w:val="00737201"/>
    <w:rsid w:val="0073723A"/>
    <w:rsid w:val="00737252"/>
    <w:rsid w:val="007372A9"/>
    <w:rsid w:val="007372AF"/>
    <w:rsid w:val="00737317"/>
    <w:rsid w:val="00737360"/>
    <w:rsid w:val="00737404"/>
    <w:rsid w:val="0073740B"/>
    <w:rsid w:val="0073742D"/>
    <w:rsid w:val="00737431"/>
    <w:rsid w:val="0073749F"/>
    <w:rsid w:val="0073750B"/>
    <w:rsid w:val="00737523"/>
    <w:rsid w:val="00737542"/>
    <w:rsid w:val="00737556"/>
    <w:rsid w:val="00737608"/>
    <w:rsid w:val="00737664"/>
    <w:rsid w:val="00737716"/>
    <w:rsid w:val="00737722"/>
    <w:rsid w:val="00737766"/>
    <w:rsid w:val="00737794"/>
    <w:rsid w:val="007377DA"/>
    <w:rsid w:val="0073781A"/>
    <w:rsid w:val="0073782B"/>
    <w:rsid w:val="00737850"/>
    <w:rsid w:val="00737857"/>
    <w:rsid w:val="00737861"/>
    <w:rsid w:val="007378BF"/>
    <w:rsid w:val="007378C5"/>
    <w:rsid w:val="007378F6"/>
    <w:rsid w:val="007379B9"/>
    <w:rsid w:val="007379DC"/>
    <w:rsid w:val="00737A0A"/>
    <w:rsid w:val="00737AC8"/>
    <w:rsid w:val="00737AE8"/>
    <w:rsid w:val="00737B1D"/>
    <w:rsid w:val="00737C09"/>
    <w:rsid w:val="00737CFC"/>
    <w:rsid w:val="00737D55"/>
    <w:rsid w:val="00737D79"/>
    <w:rsid w:val="00737DC0"/>
    <w:rsid w:val="00737E36"/>
    <w:rsid w:val="00737EF3"/>
    <w:rsid w:val="00737F18"/>
    <w:rsid w:val="00737F21"/>
    <w:rsid w:val="00737F3E"/>
    <w:rsid w:val="00737F95"/>
    <w:rsid w:val="00740080"/>
    <w:rsid w:val="007400D3"/>
    <w:rsid w:val="007400FB"/>
    <w:rsid w:val="00740132"/>
    <w:rsid w:val="00740193"/>
    <w:rsid w:val="007401DF"/>
    <w:rsid w:val="00740217"/>
    <w:rsid w:val="00740276"/>
    <w:rsid w:val="007402A4"/>
    <w:rsid w:val="007402CF"/>
    <w:rsid w:val="007402FA"/>
    <w:rsid w:val="0074030E"/>
    <w:rsid w:val="00740320"/>
    <w:rsid w:val="0074033D"/>
    <w:rsid w:val="00740350"/>
    <w:rsid w:val="00740365"/>
    <w:rsid w:val="007403EF"/>
    <w:rsid w:val="00740421"/>
    <w:rsid w:val="00740448"/>
    <w:rsid w:val="00740453"/>
    <w:rsid w:val="0074045E"/>
    <w:rsid w:val="00740463"/>
    <w:rsid w:val="00740470"/>
    <w:rsid w:val="00740499"/>
    <w:rsid w:val="007404A9"/>
    <w:rsid w:val="00740503"/>
    <w:rsid w:val="007405C7"/>
    <w:rsid w:val="007405CD"/>
    <w:rsid w:val="007405D2"/>
    <w:rsid w:val="00740664"/>
    <w:rsid w:val="007406D8"/>
    <w:rsid w:val="00740725"/>
    <w:rsid w:val="0074073F"/>
    <w:rsid w:val="0074076D"/>
    <w:rsid w:val="007407B5"/>
    <w:rsid w:val="007407C3"/>
    <w:rsid w:val="00740823"/>
    <w:rsid w:val="0074082D"/>
    <w:rsid w:val="007408C8"/>
    <w:rsid w:val="0074091E"/>
    <w:rsid w:val="00740A1A"/>
    <w:rsid w:val="00740A27"/>
    <w:rsid w:val="00740A65"/>
    <w:rsid w:val="00740B02"/>
    <w:rsid w:val="00740B95"/>
    <w:rsid w:val="00740BDF"/>
    <w:rsid w:val="00740C33"/>
    <w:rsid w:val="00740C52"/>
    <w:rsid w:val="00740C5D"/>
    <w:rsid w:val="00740CAB"/>
    <w:rsid w:val="00740CAE"/>
    <w:rsid w:val="00740CF5"/>
    <w:rsid w:val="00740D15"/>
    <w:rsid w:val="00740D45"/>
    <w:rsid w:val="00740DE0"/>
    <w:rsid w:val="00740E25"/>
    <w:rsid w:val="00740E61"/>
    <w:rsid w:val="00740E75"/>
    <w:rsid w:val="00740F15"/>
    <w:rsid w:val="00740F16"/>
    <w:rsid w:val="00740F40"/>
    <w:rsid w:val="00740F6F"/>
    <w:rsid w:val="00740F73"/>
    <w:rsid w:val="00740F89"/>
    <w:rsid w:val="0074100F"/>
    <w:rsid w:val="00741060"/>
    <w:rsid w:val="00741067"/>
    <w:rsid w:val="00741089"/>
    <w:rsid w:val="0074109E"/>
    <w:rsid w:val="007410CD"/>
    <w:rsid w:val="007410E0"/>
    <w:rsid w:val="0074122A"/>
    <w:rsid w:val="00741263"/>
    <w:rsid w:val="007412CD"/>
    <w:rsid w:val="00741302"/>
    <w:rsid w:val="00741331"/>
    <w:rsid w:val="007413EA"/>
    <w:rsid w:val="0074141B"/>
    <w:rsid w:val="0074146B"/>
    <w:rsid w:val="00741476"/>
    <w:rsid w:val="0074150B"/>
    <w:rsid w:val="0074151A"/>
    <w:rsid w:val="00741566"/>
    <w:rsid w:val="00741572"/>
    <w:rsid w:val="0074157D"/>
    <w:rsid w:val="00741588"/>
    <w:rsid w:val="007415B2"/>
    <w:rsid w:val="00741669"/>
    <w:rsid w:val="0074166A"/>
    <w:rsid w:val="0074167B"/>
    <w:rsid w:val="0074176C"/>
    <w:rsid w:val="00741810"/>
    <w:rsid w:val="0074181E"/>
    <w:rsid w:val="0074182A"/>
    <w:rsid w:val="00741871"/>
    <w:rsid w:val="0074189E"/>
    <w:rsid w:val="007418C1"/>
    <w:rsid w:val="007418F6"/>
    <w:rsid w:val="00741974"/>
    <w:rsid w:val="00741982"/>
    <w:rsid w:val="007419B9"/>
    <w:rsid w:val="007419BB"/>
    <w:rsid w:val="007419DC"/>
    <w:rsid w:val="007419E0"/>
    <w:rsid w:val="007419EB"/>
    <w:rsid w:val="00741A34"/>
    <w:rsid w:val="00741A77"/>
    <w:rsid w:val="00741AB5"/>
    <w:rsid w:val="00741B2B"/>
    <w:rsid w:val="00741BD0"/>
    <w:rsid w:val="00741BEF"/>
    <w:rsid w:val="00741BF2"/>
    <w:rsid w:val="00741C1C"/>
    <w:rsid w:val="00741C1D"/>
    <w:rsid w:val="00741C3D"/>
    <w:rsid w:val="00741C9E"/>
    <w:rsid w:val="00741C9F"/>
    <w:rsid w:val="00741CD9"/>
    <w:rsid w:val="00741D37"/>
    <w:rsid w:val="00741D4E"/>
    <w:rsid w:val="00741D70"/>
    <w:rsid w:val="00741D90"/>
    <w:rsid w:val="00741D91"/>
    <w:rsid w:val="00741D92"/>
    <w:rsid w:val="00741DAC"/>
    <w:rsid w:val="00741ED4"/>
    <w:rsid w:val="00741EED"/>
    <w:rsid w:val="00741EF4"/>
    <w:rsid w:val="00741F06"/>
    <w:rsid w:val="00742063"/>
    <w:rsid w:val="007420A5"/>
    <w:rsid w:val="007420AA"/>
    <w:rsid w:val="0074216E"/>
    <w:rsid w:val="00742191"/>
    <w:rsid w:val="007421EF"/>
    <w:rsid w:val="0074221C"/>
    <w:rsid w:val="0074225C"/>
    <w:rsid w:val="00742286"/>
    <w:rsid w:val="0074228C"/>
    <w:rsid w:val="00742293"/>
    <w:rsid w:val="0074233D"/>
    <w:rsid w:val="00742350"/>
    <w:rsid w:val="0074235A"/>
    <w:rsid w:val="00742395"/>
    <w:rsid w:val="00742423"/>
    <w:rsid w:val="00742485"/>
    <w:rsid w:val="0074248A"/>
    <w:rsid w:val="007424E2"/>
    <w:rsid w:val="0074251E"/>
    <w:rsid w:val="0074252F"/>
    <w:rsid w:val="00742573"/>
    <w:rsid w:val="00742577"/>
    <w:rsid w:val="00742640"/>
    <w:rsid w:val="0074273F"/>
    <w:rsid w:val="00742741"/>
    <w:rsid w:val="00742769"/>
    <w:rsid w:val="0074278A"/>
    <w:rsid w:val="0074279A"/>
    <w:rsid w:val="007427A6"/>
    <w:rsid w:val="007427E0"/>
    <w:rsid w:val="007427F4"/>
    <w:rsid w:val="0074280B"/>
    <w:rsid w:val="007428B4"/>
    <w:rsid w:val="007428E3"/>
    <w:rsid w:val="0074290D"/>
    <w:rsid w:val="0074292A"/>
    <w:rsid w:val="007429A5"/>
    <w:rsid w:val="00742A6C"/>
    <w:rsid w:val="00742A90"/>
    <w:rsid w:val="00742B17"/>
    <w:rsid w:val="00742B1A"/>
    <w:rsid w:val="00742BD6"/>
    <w:rsid w:val="00742BFF"/>
    <w:rsid w:val="00742C6C"/>
    <w:rsid w:val="00742CBF"/>
    <w:rsid w:val="00742D18"/>
    <w:rsid w:val="00742D96"/>
    <w:rsid w:val="00742DFE"/>
    <w:rsid w:val="00742E19"/>
    <w:rsid w:val="00742E55"/>
    <w:rsid w:val="00742E7A"/>
    <w:rsid w:val="00742E86"/>
    <w:rsid w:val="00742EA6"/>
    <w:rsid w:val="00742F4C"/>
    <w:rsid w:val="00742FC4"/>
    <w:rsid w:val="00743022"/>
    <w:rsid w:val="00743038"/>
    <w:rsid w:val="0074305E"/>
    <w:rsid w:val="0074312F"/>
    <w:rsid w:val="00743151"/>
    <w:rsid w:val="00743158"/>
    <w:rsid w:val="0074315C"/>
    <w:rsid w:val="007431C8"/>
    <w:rsid w:val="0074323B"/>
    <w:rsid w:val="0074325E"/>
    <w:rsid w:val="00743274"/>
    <w:rsid w:val="00743299"/>
    <w:rsid w:val="007432D8"/>
    <w:rsid w:val="007432DF"/>
    <w:rsid w:val="0074332A"/>
    <w:rsid w:val="007433AB"/>
    <w:rsid w:val="00743471"/>
    <w:rsid w:val="00743473"/>
    <w:rsid w:val="00743496"/>
    <w:rsid w:val="007434F5"/>
    <w:rsid w:val="0074350F"/>
    <w:rsid w:val="00743599"/>
    <w:rsid w:val="007435AB"/>
    <w:rsid w:val="007435AC"/>
    <w:rsid w:val="007435E4"/>
    <w:rsid w:val="00743689"/>
    <w:rsid w:val="0074369E"/>
    <w:rsid w:val="007436D2"/>
    <w:rsid w:val="007436FC"/>
    <w:rsid w:val="0074373D"/>
    <w:rsid w:val="00743786"/>
    <w:rsid w:val="007437EE"/>
    <w:rsid w:val="007437FC"/>
    <w:rsid w:val="00743877"/>
    <w:rsid w:val="0074387D"/>
    <w:rsid w:val="00743885"/>
    <w:rsid w:val="0074398F"/>
    <w:rsid w:val="007439A4"/>
    <w:rsid w:val="00743A2A"/>
    <w:rsid w:val="00743A64"/>
    <w:rsid w:val="00743A98"/>
    <w:rsid w:val="00743AA8"/>
    <w:rsid w:val="00743B00"/>
    <w:rsid w:val="00743B0C"/>
    <w:rsid w:val="00743B81"/>
    <w:rsid w:val="00743B8B"/>
    <w:rsid w:val="00743BFB"/>
    <w:rsid w:val="00743C57"/>
    <w:rsid w:val="00743C77"/>
    <w:rsid w:val="00743CB0"/>
    <w:rsid w:val="00743CE8"/>
    <w:rsid w:val="00743D20"/>
    <w:rsid w:val="00743D46"/>
    <w:rsid w:val="00743DF8"/>
    <w:rsid w:val="00743E2A"/>
    <w:rsid w:val="00743E4C"/>
    <w:rsid w:val="00743E96"/>
    <w:rsid w:val="00743ED5"/>
    <w:rsid w:val="00743F10"/>
    <w:rsid w:val="00743F1C"/>
    <w:rsid w:val="00743F4B"/>
    <w:rsid w:val="00743FBC"/>
    <w:rsid w:val="00743FF7"/>
    <w:rsid w:val="0074404E"/>
    <w:rsid w:val="00744079"/>
    <w:rsid w:val="0074407C"/>
    <w:rsid w:val="00744105"/>
    <w:rsid w:val="00744195"/>
    <w:rsid w:val="00744237"/>
    <w:rsid w:val="007442AB"/>
    <w:rsid w:val="00744302"/>
    <w:rsid w:val="00744381"/>
    <w:rsid w:val="00744410"/>
    <w:rsid w:val="0074448B"/>
    <w:rsid w:val="0074451C"/>
    <w:rsid w:val="00744563"/>
    <w:rsid w:val="00744667"/>
    <w:rsid w:val="00744690"/>
    <w:rsid w:val="007446AA"/>
    <w:rsid w:val="007446D4"/>
    <w:rsid w:val="007446E3"/>
    <w:rsid w:val="00744702"/>
    <w:rsid w:val="00744740"/>
    <w:rsid w:val="00744778"/>
    <w:rsid w:val="007447BD"/>
    <w:rsid w:val="007447C1"/>
    <w:rsid w:val="007447D0"/>
    <w:rsid w:val="007447EE"/>
    <w:rsid w:val="0074483D"/>
    <w:rsid w:val="00744877"/>
    <w:rsid w:val="0074489C"/>
    <w:rsid w:val="007448AA"/>
    <w:rsid w:val="007448B4"/>
    <w:rsid w:val="007448CF"/>
    <w:rsid w:val="00744918"/>
    <w:rsid w:val="0074494D"/>
    <w:rsid w:val="0074497D"/>
    <w:rsid w:val="00744A5A"/>
    <w:rsid w:val="00744B03"/>
    <w:rsid w:val="00744B1C"/>
    <w:rsid w:val="00744BE5"/>
    <w:rsid w:val="00744C46"/>
    <w:rsid w:val="00744C47"/>
    <w:rsid w:val="00744C63"/>
    <w:rsid w:val="00744CA3"/>
    <w:rsid w:val="00744D0A"/>
    <w:rsid w:val="00744D33"/>
    <w:rsid w:val="00744D73"/>
    <w:rsid w:val="00744D76"/>
    <w:rsid w:val="00744D77"/>
    <w:rsid w:val="00744D8A"/>
    <w:rsid w:val="00744D8E"/>
    <w:rsid w:val="00744D9B"/>
    <w:rsid w:val="00744DBE"/>
    <w:rsid w:val="00744DE5"/>
    <w:rsid w:val="00744DFE"/>
    <w:rsid w:val="00744E0F"/>
    <w:rsid w:val="00744E3A"/>
    <w:rsid w:val="00744E5D"/>
    <w:rsid w:val="00744EC3"/>
    <w:rsid w:val="00744F15"/>
    <w:rsid w:val="00744F1A"/>
    <w:rsid w:val="00744F5D"/>
    <w:rsid w:val="00744F86"/>
    <w:rsid w:val="00744FE9"/>
    <w:rsid w:val="00744FF5"/>
    <w:rsid w:val="0074500E"/>
    <w:rsid w:val="00745042"/>
    <w:rsid w:val="0074507E"/>
    <w:rsid w:val="007450FC"/>
    <w:rsid w:val="0074513E"/>
    <w:rsid w:val="0074515B"/>
    <w:rsid w:val="0074518F"/>
    <w:rsid w:val="0074521B"/>
    <w:rsid w:val="00745280"/>
    <w:rsid w:val="007452BF"/>
    <w:rsid w:val="007452CB"/>
    <w:rsid w:val="0074534B"/>
    <w:rsid w:val="00745406"/>
    <w:rsid w:val="0074548F"/>
    <w:rsid w:val="007454DC"/>
    <w:rsid w:val="00745500"/>
    <w:rsid w:val="00745505"/>
    <w:rsid w:val="00745554"/>
    <w:rsid w:val="0074559E"/>
    <w:rsid w:val="007455B5"/>
    <w:rsid w:val="00745622"/>
    <w:rsid w:val="00745625"/>
    <w:rsid w:val="007456AA"/>
    <w:rsid w:val="007456B3"/>
    <w:rsid w:val="007456DA"/>
    <w:rsid w:val="0074572F"/>
    <w:rsid w:val="00745741"/>
    <w:rsid w:val="0074574B"/>
    <w:rsid w:val="007457B4"/>
    <w:rsid w:val="007457C2"/>
    <w:rsid w:val="00745843"/>
    <w:rsid w:val="0074589B"/>
    <w:rsid w:val="00745932"/>
    <w:rsid w:val="00745953"/>
    <w:rsid w:val="00745965"/>
    <w:rsid w:val="0074599A"/>
    <w:rsid w:val="007459D8"/>
    <w:rsid w:val="00745A72"/>
    <w:rsid w:val="00745A82"/>
    <w:rsid w:val="00745A91"/>
    <w:rsid w:val="00745A99"/>
    <w:rsid w:val="00745AA0"/>
    <w:rsid w:val="00745AD2"/>
    <w:rsid w:val="00745AFE"/>
    <w:rsid w:val="00745B2A"/>
    <w:rsid w:val="00745B2B"/>
    <w:rsid w:val="00745B32"/>
    <w:rsid w:val="00745B3F"/>
    <w:rsid w:val="00745B7D"/>
    <w:rsid w:val="00745B93"/>
    <w:rsid w:val="00745B96"/>
    <w:rsid w:val="00745BCC"/>
    <w:rsid w:val="00745C8C"/>
    <w:rsid w:val="00745CA4"/>
    <w:rsid w:val="00745D24"/>
    <w:rsid w:val="00745D27"/>
    <w:rsid w:val="00745DD7"/>
    <w:rsid w:val="00745DE2"/>
    <w:rsid w:val="00745DF4"/>
    <w:rsid w:val="00745E71"/>
    <w:rsid w:val="00745EFB"/>
    <w:rsid w:val="00745F04"/>
    <w:rsid w:val="00745FA5"/>
    <w:rsid w:val="00745FB3"/>
    <w:rsid w:val="00746025"/>
    <w:rsid w:val="0074602A"/>
    <w:rsid w:val="00746053"/>
    <w:rsid w:val="00746110"/>
    <w:rsid w:val="0074623B"/>
    <w:rsid w:val="0074628E"/>
    <w:rsid w:val="007462B5"/>
    <w:rsid w:val="007462BC"/>
    <w:rsid w:val="00746346"/>
    <w:rsid w:val="007463C8"/>
    <w:rsid w:val="007463CC"/>
    <w:rsid w:val="007463F8"/>
    <w:rsid w:val="007464A8"/>
    <w:rsid w:val="00746506"/>
    <w:rsid w:val="007465B9"/>
    <w:rsid w:val="00746621"/>
    <w:rsid w:val="00746668"/>
    <w:rsid w:val="007466E4"/>
    <w:rsid w:val="007466F1"/>
    <w:rsid w:val="00746784"/>
    <w:rsid w:val="007467C6"/>
    <w:rsid w:val="007467D6"/>
    <w:rsid w:val="0074681E"/>
    <w:rsid w:val="00746831"/>
    <w:rsid w:val="0074687E"/>
    <w:rsid w:val="00746880"/>
    <w:rsid w:val="007468CF"/>
    <w:rsid w:val="0074691C"/>
    <w:rsid w:val="00746931"/>
    <w:rsid w:val="0074699F"/>
    <w:rsid w:val="007469D2"/>
    <w:rsid w:val="00746A60"/>
    <w:rsid w:val="00746AE2"/>
    <w:rsid w:val="00746B5F"/>
    <w:rsid w:val="00746B6A"/>
    <w:rsid w:val="00746B97"/>
    <w:rsid w:val="00746BDB"/>
    <w:rsid w:val="00746BE5"/>
    <w:rsid w:val="00746C09"/>
    <w:rsid w:val="00746CC2"/>
    <w:rsid w:val="00746CE8"/>
    <w:rsid w:val="00746D62"/>
    <w:rsid w:val="00746D85"/>
    <w:rsid w:val="00746D8E"/>
    <w:rsid w:val="00746DDC"/>
    <w:rsid w:val="00746E21"/>
    <w:rsid w:val="00746E2E"/>
    <w:rsid w:val="00746E37"/>
    <w:rsid w:val="00746E46"/>
    <w:rsid w:val="00746E56"/>
    <w:rsid w:val="00746E69"/>
    <w:rsid w:val="00746EA6"/>
    <w:rsid w:val="00746EEB"/>
    <w:rsid w:val="00746F08"/>
    <w:rsid w:val="00746F3D"/>
    <w:rsid w:val="00746F6C"/>
    <w:rsid w:val="00746FB3"/>
    <w:rsid w:val="00746FC3"/>
    <w:rsid w:val="00746FD6"/>
    <w:rsid w:val="00747021"/>
    <w:rsid w:val="00747105"/>
    <w:rsid w:val="00747138"/>
    <w:rsid w:val="0074713D"/>
    <w:rsid w:val="0074715F"/>
    <w:rsid w:val="007471FA"/>
    <w:rsid w:val="00747268"/>
    <w:rsid w:val="00747299"/>
    <w:rsid w:val="0074729C"/>
    <w:rsid w:val="007472D2"/>
    <w:rsid w:val="007472EA"/>
    <w:rsid w:val="007473A8"/>
    <w:rsid w:val="007473AF"/>
    <w:rsid w:val="00747404"/>
    <w:rsid w:val="0074746F"/>
    <w:rsid w:val="0074747A"/>
    <w:rsid w:val="00747501"/>
    <w:rsid w:val="0074752D"/>
    <w:rsid w:val="00747559"/>
    <w:rsid w:val="00747568"/>
    <w:rsid w:val="0074767F"/>
    <w:rsid w:val="0074770F"/>
    <w:rsid w:val="00747712"/>
    <w:rsid w:val="00747752"/>
    <w:rsid w:val="00747762"/>
    <w:rsid w:val="00747783"/>
    <w:rsid w:val="0074778F"/>
    <w:rsid w:val="007477D5"/>
    <w:rsid w:val="007477D6"/>
    <w:rsid w:val="007477E3"/>
    <w:rsid w:val="00747838"/>
    <w:rsid w:val="0074783B"/>
    <w:rsid w:val="00747898"/>
    <w:rsid w:val="0074793F"/>
    <w:rsid w:val="007479D1"/>
    <w:rsid w:val="00747A83"/>
    <w:rsid w:val="00747AC6"/>
    <w:rsid w:val="00747B35"/>
    <w:rsid w:val="00747B98"/>
    <w:rsid w:val="00747BAE"/>
    <w:rsid w:val="00747BD7"/>
    <w:rsid w:val="00747BDF"/>
    <w:rsid w:val="00747BF4"/>
    <w:rsid w:val="00747C30"/>
    <w:rsid w:val="00747C4A"/>
    <w:rsid w:val="00747C61"/>
    <w:rsid w:val="00747D07"/>
    <w:rsid w:val="00747D3D"/>
    <w:rsid w:val="00747DED"/>
    <w:rsid w:val="00747E38"/>
    <w:rsid w:val="00747E53"/>
    <w:rsid w:val="00747EA0"/>
    <w:rsid w:val="00747EA4"/>
    <w:rsid w:val="00747EAF"/>
    <w:rsid w:val="00747EE9"/>
    <w:rsid w:val="00747F8D"/>
    <w:rsid w:val="00747FC6"/>
    <w:rsid w:val="00750021"/>
    <w:rsid w:val="00750038"/>
    <w:rsid w:val="007500AF"/>
    <w:rsid w:val="007500C8"/>
    <w:rsid w:val="0075013B"/>
    <w:rsid w:val="0075018C"/>
    <w:rsid w:val="00750217"/>
    <w:rsid w:val="00750298"/>
    <w:rsid w:val="007502DB"/>
    <w:rsid w:val="007502EA"/>
    <w:rsid w:val="007502FF"/>
    <w:rsid w:val="00750330"/>
    <w:rsid w:val="00750556"/>
    <w:rsid w:val="00750592"/>
    <w:rsid w:val="007505FE"/>
    <w:rsid w:val="00750649"/>
    <w:rsid w:val="00750749"/>
    <w:rsid w:val="00750763"/>
    <w:rsid w:val="007507A0"/>
    <w:rsid w:val="007507AA"/>
    <w:rsid w:val="00750892"/>
    <w:rsid w:val="0075094E"/>
    <w:rsid w:val="0075098E"/>
    <w:rsid w:val="007509E0"/>
    <w:rsid w:val="00750A57"/>
    <w:rsid w:val="00750A7F"/>
    <w:rsid w:val="00750A92"/>
    <w:rsid w:val="00750AC5"/>
    <w:rsid w:val="00750AEA"/>
    <w:rsid w:val="00750AF8"/>
    <w:rsid w:val="00750B02"/>
    <w:rsid w:val="00750B47"/>
    <w:rsid w:val="00750B83"/>
    <w:rsid w:val="00750B8D"/>
    <w:rsid w:val="00750B9F"/>
    <w:rsid w:val="00750BA9"/>
    <w:rsid w:val="00750BEE"/>
    <w:rsid w:val="00750BF1"/>
    <w:rsid w:val="00750BFA"/>
    <w:rsid w:val="00750C14"/>
    <w:rsid w:val="00750C7F"/>
    <w:rsid w:val="00750DBC"/>
    <w:rsid w:val="00750DD6"/>
    <w:rsid w:val="00750E44"/>
    <w:rsid w:val="00750E5F"/>
    <w:rsid w:val="00750E6C"/>
    <w:rsid w:val="00750E79"/>
    <w:rsid w:val="00750EAE"/>
    <w:rsid w:val="00750EFC"/>
    <w:rsid w:val="00750F44"/>
    <w:rsid w:val="00750F50"/>
    <w:rsid w:val="00750FED"/>
    <w:rsid w:val="00751054"/>
    <w:rsid w:val="0075109E"/>
    <w:rsid w:val="007510BC"/>
    <w:rsid w:val="007510C6"/>
    <w:rsid w:val="007510EA"/>
    <w:rsid w:val="00751134"/>
    <w:rsid w:val="0075115B"/>
    <w:rsid w:val="007511FB"/>
    <w:rsid w:val="00751295"/>
    <w:rsid w:val="0075129F"/>
    <w:rsid w:val="00751380"/>
    <w:rsid w:val="00751387"/>
    <w:rsid w:val="0075139A"/>
    <w:rsid w:val="007513BC"/>
    <w:rsid w:val="007513D6"/>
    <w:rsid w:val="00751417"/>
    <w:rsid w:val="00751426"/>
    <w:rsid w:val="0075143A"/>
    <w:rsid w:val="007514C9"/>
    <w:rsid w:val="00751628"/>
    <w:rsid w:val="0075162F"/>
    <w:rsid w:val="007516D2"/>
    <w:rsid w:val="007516D3"/>
    <w:rsid w:val="00751715"/>
    <w:rsid w:val="00751729"/>
    <w:rsid w:val="00751782"/>
    <w:rsid w:val="0075179F"/>
    <w:rsid w:val="007517C6"/>
    <w:rsid w:val="007517EE"/>
    <w:rsid w:val="0075181F"/>
    <w:rsid w:val="00751826"/>
    <w:rsid w:val="007518B8"/>
    <w:rsid w:val="00751906"/>
    <w:rsid w:val="007519A2"/>
    <w:rsid w:val="007519CF"/>
    <w:rsid w:val="00751A00"/>
    <w:rsid w:val="00751A08"/>
    <w:rsid w:val="00751A1A"/>
    <w:rsid w:val="00751A29"/>
    <w:rsid w:val="00751A73"/>
    <w:rsid w:val="00751ADB"/>
    <w:rsid w:val="00751B14"/>
    <w:rsid w:val="00751B70"/>
    <w:rsid w:val="00751B85"/>
    <w:rsid w:val="00751B90"/>
    <w:rsid w:val="00751BCE"/>
    <w:rsid w:val="00751BF1"/>
    <w:rsid w:val="00751C11"/>
    <w:rsid w:val="00751C5D"/>
    <w:rsid w:val="00751CBE"/>
    <w:rsid w:val="00751CC7"/>
    <w:rsid w:val="00751CD6"/>
    <w:rsid w:val="00751D20"/>
    <w:rsid w:val="00751D33"/>
    <w:rsid w:val="00751DC7"/>
    <w:rsid w:val="00751E2A"/>
    <w:rsid w:val="00751E5E"/>
    <w:rsid w:val="00751E65"/>
    <w:rsid w:val="00751E93"/>
    <w:rsid w:val="00751EE3"/>
    <w:rsid w:val="00751EEE"/>
    <w:rsid w:val="00751F01"/>
    <w:rsid w:val="00751F38"/>
    <w:rsid w:val="00751F78"/>
    <w:rsid w:val="00751F81"/>
    <w:rsid w:val="00751FBD"/>
    <w:rsid w:val="00751FC6"/>
    <w:rsid w:val="00751FE3"/>
    <w:rsid w:val="00752011"/>
    <w:rsid w:val="0075203F"/>
    <w:rsid w:val="007521E8"/>
    <w:rsid w:val="007521FA"/>
    <w:rsid w:val="007521FF"/>
    <w:rsid w:val="00752206"/>
    <w:rsid w:val="00752222"/>
    <w:rsid w:val="00752237"/>
    <w:rsid w:val="007522D8"/>
    <w:rsid w:val="007522E9"/>
    <w:rsid w:val="0075238C"/>
    <w:rsid w:val="00752392"/>
    <w:rsid w:val="007523C9"/>
    <w:rsid w:val="00752406"/>
    <w:rsid w:val="00752551"/>
    <w:rsid w:val="0075256A"/>
    <w:rsid w:val="0075256E"/>
    <w:rsid w:val="0075257B"/>
    <w:rsid w:val="0075258A"/>
    <w:rsid w:val="00752594"/>
    <w:rsid w:val="00752636"/>
    <w:rsid w:val="00752654"/>
    <w:rsid w:val="00752790"/>
    <w:rsid w:val="007527AB"/>
    <w:rsid w:val="007527AD"/>
    <w:rsid w:val="0075290D"/>
    <w:rsid w:val="0075294C"/>
    <w:rsid w:val="0075297C"/>
    <w:rsid w:val="0075299F"/>
    <w:rsid w:val="00752A47"/>
    <w:rsid w:val="00752A4F"/>
    <w:rsid w:val="00752A91"/>
    <w:rsid w:val="00752AFB"/>
    <w:rsid w:val="00752B2E"/>
    <w:rsid w:val="00752B4B"/>
    <w:rsid w:val="00752B79"/>
    <w:rsid w:val="00752BD1"/>
    <w:rsid w:val="00752C1F"/>
    <w:rsid w:val="00752C8B"/>
    <w:rsid w:val="00752C92"/>
    <w:rsid w:val="00752C9B"/>
    <w:rsid w:val="00752D62"/>
    <w:rsid w:val="00752DAF"/>
    <w:rsid w:val="00752E47"/>
    <w:rsid w:val="00752E61"/>
    <w:rsid w:val="00752E67"/>
    <w:rsid w:val="00752E7C"/>
    <w:rsid w:val="00752E7F"/>
    <w:rsid w:val="00752EDB"/>
    <w:rsid w:val="00752EE7"/>
    <w:rsid w:val="00752F33"/>
    <w:rsid w:val="00752F71"/>
    <w:rsid w:val="00752F85"/>
    <w:rsid w:val="00753010"/>
    <w:rsid w:val="00753048"/>
    <w:rsid w:val="00753059"/>
    <w:rsid w:val="00753076"/>
    <w:rsid w:val="00753096"/>
    <w:rsid w:val="007530B2"/>
    <w:rsid w:val="007530B3"/>
    <w:rsid w:val="007530B8"/>
    <w:rsid w:val="0075317C"/>
    <w:rsid w:val="007531C8"/>
    <w:rsid w:val="007531D2"/>
    <w:rsid w:val="00753205"/>
    <w:rsid w:val="00753285"/>
    <w:rsid w:val="00753294"/>
    <w:rsid w:val="007532A0"/>
    <w:rsid w:val="007532C3"/>
    <w:rsid w:val="00753326"/>
    <w:rsid w:val="0075334B"/>
    <w:rsid w:val="00753387"/>
    <w:rsid w:val="007533C6"/>
    <w:rsid w:val="007533DB"/>
    <w:rsid w:val="0075342C"/>
    <w:rsid w:val="007534FD"/>
    <w:rsid w:val="00753535"/>
    <w:rsid w:val="0075363F"/>
    <w:rsid w:val="00753687"/>
    <w:rsid w:val="007536AE"/>
    <w:rsid w:val="007536C0"/>
    <w:rsid w:val="00753724"/>
    <w:rsid w:val="00753727"/>
    <w:rsid w:val="00753734"/>
    <w:rsid w:val="00753763"/>
    <w:rsid w:val="007537A0"/>
    <w:rsid w:val="00753827"/>
    <w:rsid w:val="00753857"/>
    <w:rsid w:val="00753878"/>
    <w:rsid w:val="0075388E"/>
    <w:rsid w:val="007538D2"/>
    <w:rsid w:val="0075391A"/>
    <w:rsid w:val="0075394C"/>
    <w:rsid w:val="00753960"/>
    <w:rsid w:val="0075397F"/>
    <w:rsid w:val="007539BF"/>
    <w:rsid w:val="007539FB"/>
    <w:rsid w:val="007539FC"/>
    <w:rsid w:val="00753A2D"/>
    <w:rsid w:val="00753A86"/>
    <w:rsid w:val="00753AEA"/>
    <w:rsid w:val="00753B6E"/>
    <w:rsid w:val="00753BAC"/>
    <w:rsid w:val="00753BC3"/>
    <w:rsid w:val="00753C04"/>
    <w:rsid w:val="00753C0B"/>
    <w:rsid w:val="00753C1B"/>
    <w:rsid w:val="00753C9C"/>
    <w:rsid w:val="00753CF3"/>
    <w:rsid w:val="00753D23"/>
    <w:rsid w:val="00753D2E"/>
    <w:rsid w:val="00753D61"/>
    <w:rsid w:val="00753D86"/>
    <w:rsid w:val="00753D9F"/>
    <w:rsid w:val="00753DB6"/>
    <w:rsid w:val="00753DED"/>
    <w:rsid w:val="00753E1A"/>
    <w:rsid w:val="00753E1B"/>
    <w:rsid w:val="00753EA9"/>
    <w:rsid w:val="00753ECC"/>
    <w:rsid w:val="00753F22"/>
    <w:rsid w:val="00753F57"/>
    <w:rsid w:val="00753FBF"/>
    <w:rsid w:val="00753FD0"/>
    <w:rsid w:val="0075402A"/>
    <w:rsid w:val="0075404E"/>
    <w:rsid w:val="007540D8"/>
    <w:rsid w:val="007540ED"/>
    <w:rsid w:val="007540F6"/>
    <w:rsid w:val="00754100"/>
    <w:rsid w:val="00754114"/>
    <w:rsid w:val="0075411B"/>
    <w:rsid w:val="00754167"/>
    <w:rsid w:val="007541C9"/>
    <w:rsid w:val="007541FB"/>
    <w:rsid w:val="00754247"/>
    <w:rsid w:val="00754259"/>
    <w:rsid w:val="00754265"/>
    <w:rsid w:val="007542A2"/>
    <w:rsid w:val="007542B4"/>
    <w:rsid w:val="007542B7"/>
    <w:rsid w:val="0075435E"/>
    <w:rsid w:val="0075436E"/>
    <w:rsid w:val="0075438B"/>
    <w:rsid w:val="00754392"/>
    <w:rsid w:val="007543C9"/>
    <w:rsid w:val="0075441B"/>
    <w:rsid w:val="0075449D"/>
    <w:rsid w:val="007544CD"/>
    <w:rsid w:val="00754510"/>
    <w:rsid w:val="00754552"/>
    <w:rsid w:val="00754585"/>
    <w:rsid w:val="007546CC"/>
    <w:rsid w:val="007546EC"/>
    <w:rsid w:val="007546F9"/>
    <w:rsid w:val="00754786"/>
    <w:rsid w:val="00754794"/>
    <w:rsid w:val="007547D6"/>
    <w:rsid w:val="007547F9"/>
    <w:rsid w:val="0075486E"/>
    <w:rsid w:val="007548C2"/>
    <w:rsid w:val="007548E3"/>
    <w:rsid w:val="0075492A"/>
    <w:rsid w:val="00754947"/>
    <w:rsid w:val="007549BD"/>
    <w:rsid w:val="00754A21"/>
    <w:rsid w:val="00754A3C"/>
    <w:rsid w:val="00754A71"/>
    <w:rsid w:val="00754A8A"/>
    <w:rsid w:val="00754A8C"/>
    <w:rsid w:val="00754AA4"/>
    <w:rsid w:val="00754B7E"/>
    <w:rsid w:val="00754BA5"/>
    <w:rsid w:val="00754C0A"/>
    <w:rsid w:val="00754C11"/>
    <w:rsid w:val="00754C41"/>
    <w:rsid w:val="00754C8D"/>
    <w:rsid w:val="00754CBF"/>
    <w:rsid w:val="00754CF9"/>
    <w:rsid w:val="00754D83"/>
    <w:rsid w:val="00754E27"/>
    <w:rsid w:val="00754E8E"/>
    <w:rsid w:val="00754EDD"/>
    <w:rsid w:val="007550AC"/>
    <w:rsid w:val="007550F7"/>
    <w:rsid w:val="00755152"/>
    <w:rsid w:val="00755153"/>
    <w:rsid w:val="0075515A"/>
    <w:rsid w:val="00755214"/>
    <w:rsid w:val="0075523A"/>
    <w:rsid w:val="00755289"/>
    <w:rsid w:val="0075529E"/>
    <w:rsid w:val="00755328"/>
    <w:rsid w:val="00755330"/>
    <w:rsid w:val="0075538A"/>
    <w:rsid w:val="00755395"/>
    <w:rsid w:val="007553F4"/>
    <w:rsid w:val="00755400"/>
    <w:rsid w:val="00755413"/>
    <w:rsid w:val="00755463"/>
    <w:rsid w:val="00755470"/>
    <w:rsid w:val="0075547C"/>
    <w:rsid w:val="0075548D"/>
    <w:rsid w:val="00755566"/>
    <w:rsid w:val="00755592"/>
    <w:rsid w:val="007555C0"/>
    <w:rsid w:val="00755676"/>
    <w:rsid w:val="007556A9"/>
    <w:rsid w:val="007556C2"/>
    <w:rsid w:val="00755700"/>
    <w:rsid w:val="0075570A"/>
    <w:rsid w:val="00755762"/>
    <w:rsid w:val="00755818"/>
    <w:rsid w:val="0075587A"/>
    <w:rsid w:val="0075588A"/>
    <w:rsid w:val="007558FA"/>
    <w:rsid w:val="0075598F"/>
    <w:rsid w:val="007559CA"/>
    <w:rsid w:val="00755A02"/>
    <w:rsid w:val="00755A5D"/>
    <w:rsid w:val="00755A6C"/>
    <w:rsid w:val="00755AF4"/>
    <w:rsid w:val="00755B5A"/>
    <w:rsid w:val="00755C00"/>
    <w:rsid w:val="00755C10"/>
    <w:rsid w:val="00755C28"/>
    <w:rsid w:val="00755C5D"/>
    <w:rsid w:val="00755CBD"/>
    <w:rsid w:val="00755D96"/>
    <w:rsid w:val="00755E82"/>
    <w:rsid w:val="00755ED2"/>
    <w:rsid w:val="00755F6E"/>
    <w:rsid w:val="00755FD4"/>
    <w:rsid w:val="00756066"/>
    <w:rsid w:val="0075606A"/>
    <w:rsid w:val="007560E3"/>
    <w:rsid w:val="007560FC"/>
    <w:rsid w:val="00756141"/>
    <w:rsid w:val="007561AA"/>
    <w:rsid w:val="0075623D"/>
    <w:rsid w:val="00756259"/>
    <w:rsid w:val="0075626B"/>
    <w:rsid w:val="00756288"/>
    <w:rsid w:val="00756313"/>
    <w:rsid w:val="00756356"/>
    <w:rsid w:val="0075639A"/>
    <w:rsid w:val="007563D3"/>
    <w:rsid w:val="0075642F"/>
    <w:rsid w:val="00756488"/>
    <w:rsid w:val="007564AF"/>
    <w:rsid w:val="007564D2"/>
    <w:rsid w:val="0075651B"/>
    <w:rsid w:val="0075652A"/>
    <w:rsid w:val="00756576"/>
    <w:rsid w:val="00756580"/>
    <w:rsid w:val="007565B2"/>
    <w:rsid w:val="00756614"/>
    <w:rsid w:val="00756628"/>
    <w:rsid w:val="007566D6"/>
    <w:rsid w:val="007566DC"/>
    <w:rsid w:val="007566DF"/>
    <w:rsid w:val="0075676E"/>
    <w:rsid w:val="0075679B"/>
    <w:rsid w:val="00756810"/>
    <w:rsid w:val="0075688D"/>
    <w:rsid w:val="007568D9"/>
    <w:rsid w:val="007568DB"/>
    <w:rsid w:val="007568E8"/>
    <w:rsid w:val="007568E9"/>
    <w:rsid w:val="0075691E"/>
    <w:rsid w:val="0075692D"/>
    <w:rsid w:val="007569E5"/>
    <w:rsid w:val="00756A44"/>
    <w:rsid w:val="00756B2F"/>
    <w:rsid w:val="00756B4B"/>
    <w:rsid w:val="00756B7A"/>
    <w:rsid w:val="00756B8E"/>
    <w:rsid w:val="00756B97"/>
    <w:rsid w:val="00756BF1"/>
    <w:rsid w:val="00756C27"/>
    <w:rsid w:val="00756C99"/>
    <w:rsid w:val="00756CE8"/>
    <w:rsid w:val="00756D59"/>
    <w:rsid w:val="00756D66"/>
    <w:rsid w:val="00756D70"/>
    <w:rsid w:val="00756D79"/>
    <w:rsid w:val="00756DE8"/>
    <w:rsid w:val="00756E45"/>
    <w:rsid w:val="00756E78"/>
    <w:rsid w:val="00756E79"/>
    <w:rsid w:val="00756E7F"/>
    <w:rsid w:val="00756E90"/>
    <w:rsid w:val="00756EE7"/>
    <w:rsid w:val="00756EEC"/>
    <w:rsid w:val="00756F1C"/>
    <w:rsid w:val="00756F28"/>
    <w:rsid w:val="00756FB8"/>
    <w:rsid w:val="00757005"/>
    <w:rsid w:val="0075701E"/>
    <w:rsid w:val="0075704B"/>
    <w:rsid w:val="00757062"/>
    <w:rsid w:val="007570E7"/>
    <w:rsid w:val="00757125"/>
    <w:rsid w:val="0075715C"/>
    <w:rsid w:val="00757221"/>
    <w:rsid w:val="0075723F"/>
    <w:rsid w:val="00757243"/>
    <w:rsid w:val="007572D9"/>
    <w:rsid w:val="00757301"/>
    <w:rsid w:val="00757382"/>
    <w:rsid w:val="0075738C"/>
    <w:rsid w:val="007573CB"/>
    <w:rsid w:val="00757439"/>
    <w:rsid w:val="0075744C"/>
    <w:rsid w:val="007574AD"/>
    <w:rsid w:val="00757511"/>
    <w:rsid w:val="00757513"/>
    <w:rsid w:val="0075752C"/>
    <w:rsid w:val="0075755D"/>
    <w:rsid w:val="0075760E"/>
    <w:rsid w:val="00757623"/>
    <w:rsid w:val="00757650"/>
    <w:rsid w:val="00757676"/>
    <w:rsid w:val="0075767C"/>
    <w:rsid w:val="00757692"/>
    <w:rsid w:val="007576E8"/>
    <w:rsid w:val="007577A2"/>
    <w:rsid w:val="007577F3"/>
    <w:rsid w:val="00757801"/>
    <w:rsid w:val="0075789A"/>
    <w:rsid w:val="007578D0"/>
    <w:rsid w:val="007578D7"/>
    <w:rsid w:val="0075791F"/>
    <w:rsid w:val="0075792E"/>
    <w:rsid w:val="00757996"/>
    <w:rsid w:val="007579B1"/>
    <w:rsid w:val="00757A0E"/>
    <w:rsid w:val="00757A13"/>
    <w:rsid w:val="00757A2E"/>
    <w:rsid w:val="00757A52"/>
    <w:rsid w:val="00757AA3"/>
    <w:rsid w:val="00757ACB"/>
    <w:rsid w:val="00757AE4"/>
    <w:rsid w:val="00757B1B"/>
    <w:rsid w:val="00757B7E"/>
    <w:rsid w:val="00757BA5"/>
    <w:rsid w:val="00757C35"/>
    <w:rsid w:val="00757C53"/>
    <w:rsid w:val="00757C74"/>
    <w:rsid w:val="00757C87"/>
    <w:rsid w:val="00757CB2"/>
    <w:rsid w:val="00757CD6"/>
    <w:rsid w:val="00757CED"/>
    <w:rsid w:val="00757D1D"/>
    <w:rsid w:val="00757D53"/>
    <w:rsid w:val="00757D92"/>
    <w:rsid w:val="00757DA5"/>
    <w:rsid w:val="00757EA3"/>
    <w:rsid w:val="00757EC7"/>
    <w:rsid w:val="00757F07"/>
    <w:rsid w:val="00757F32"/>
    <w:rsid w:val="00757F98"/>
    <w:rsid w:val="00757FC1"/>
    <w:rsid w:val="00760023"/>
    <w:rsid w:val="00760096"/>
    <w:rsid w:val="007600D3"/>
    <w:rsid w:val="00760126"/>
    <w:rsid w:val="0076013F"/>
    <w:rsid w:val="00760190"/>
    <w:rsid w:val="00760201"/>
    <w:rsid w:val="00760264"/>
    <w:rsid w:val="00760289"/>
    <w:rsid w:val="007602E8"/>
    <w:rsid w:val="0076033D"/>
    <w:rsid w:val="00760381"/>
    <w:rsid w:val="0076038E"/>
    <w:rsid w:val="00760392"/>
    <w:rsid w:val="0076044B"/>
    <w:rsid w:val="00760455"/>
    <w:rsid w:val="00760470"/>
    <w:rsid w:val="007604B1"/>
    <w:rsid w:val="007604E3"/>
    <w:rsid w:val="00760510"/>
    <w:rsid w:val="007605BD"/>
    <w:rsid w:val="007605C2"/>
    <w:rsid w:val="007605DA"/>
    <w:rsid w:val="007605E0"/>
    <w:rsid w:val="0076066D"/>
    <w:rsid w:val="00760673"/>
    <w:rsid w:val="00760677"/>
    <w:rsid w:val="00760687"/>
    <w:rsid w:val="00760703"/>
    <w:rsid w:val="0076070D"/>
    <w:rsid w:val="00760730"/>
    <w:rsid w:val="00760740"/>
    <w:rsid w:val="0076074E"/>
    <w:rsid w:val="0076077B"/>
    <w:rsid w:val="0076078F"/>
    <w:rsid w:val="00760858"/>
    <w:rsid w:val="00760860"/>
    <w:rsid w:val="0076087B"/>
    <w:rsid w:val="0076089E"/>
    <w:rsid w:val="00760946"/>
    <w:rsid w:val="00760993"/>
    <w:rsid w:val="007609DD"/>
    <w:rsid w:val="00760A32"/>
    <w:rsid w:val="00760ABE"/>
    <w:rsid w:val="00760AC3"/>
    <w:rsid w:val="00760B29"/>
    <w:rsid w:val="00760BC6"/>
    <w:rsid w:val="00760BE4"/>
    <w:rsid w:val="00760BFE"/>
    <w:rsid w:val="00760C5D"/>
    <w:rsid w:val="00760C86"/>
    <w:rsid w:val="00760CC3"/>
    <w:rsid w:val="00760CF5"/>
    <w:rsid w:val="00760D22"/>
    <w:rsid w:val="00760D34"/>
    <w:rsid w:val="00760D40"/>
    <w:rsid w:val="00760D97"/>
    <w:rsid w:val="00760DFC"/>
    <w:rsid w:val="00760E03"/>
    <w:rsid w:val="00760E4F"/>
    <w:rsid w:val="00760E51"/>
    <w:rsid w:val="00760F18"/>
    <w:rsid w:val="00760F33"/>
    <w:rsid w:val="00760F52"/>
    <w:rsid w:val="00760FD3"/>
    <w:rsid w:val="00760FE1"/>
    <w:rsid w:val="00760FE8"/>
    <w:rsid w:val="00761025"/>
    <w:rsid w:val="00761056"/>
    <w:rsid w:val="0076106D"/>
    <w:rsid w:val="007610FC"/>
    <w:rsid w:val="0076110F"/>
    <w:rsid w:val="00761114"/>
    <w:rsid w:val="007611AA"/>
    <w:rsid w:val="007611E4"/>
    <w:rsid w:val="0076122E"/>
    <w:rsid w:val="0076127C"/>
    <w:rsid w:val="0076128A"/>
    <w:rsid w:val="007612AD"/>
    <w:rsid w:val="007612E1"/>
    <w:rsid w:val="007613A0"/>
    <w:rsid w:val="007613BE"/>
    <w:rsid w:val="007613F2"/>
    <w:rsid w:val="007614A8"/>
    <w:rsid w:val="00761524"/>
    <w:rsid w:val="007615FA"/>
    <w:rsid w:val="007615FB"/>
    <w:rsid w:val="00761601"/>
    <w:rsid w:val="00761690"/>
    <w:rsid w:val="007616EC"/>
    <w:rsid w:val="007616FA"/>
    <w:rsid w:val="00761703"/>
    <w:rsid w:val="007617D6"/>
    <w:rsid w:val="007617D9"/>
    <w:rsid w:val="007617F9"/>
    <w:rsid w:val="00761800"/>
    <w:rsid w:val="0076186D"/>
    <w:rsid w:val="007618A0"/>
    <w:rsid w:val="007618CE"/>
    <w:rsid w:val="00761954"/>
    <w:rsid w:val="00761960"/>
    <w:rsid w:val="00761971"/>
    <w:rsid w:val="00761977"/>
    <w:rsid w:val="00761A21"/>
    <w:rsid w:val="00761A7B"/>
    <w:rsid w:val="00761B18"/>
    <w:rsid w:val="00761B1F"/>
    <w:rsid w:val="00761BDF"/>
    <w:rsid w:val="00761C12"/>
    <w:rsid w:val="00761C34"/>
    <w:rsid w:val="00761C47"/>
    <w:rsid w:val="00761C57"/>
    <w:rsid w:val="00761C81"/>
    <w:rsid w:val="00761CB3"/>
    <w:rsid w:val="00761D0B"/>
    <w:rsid w:val="00761D1A"/>
    <w:rsid w:val="00761D26"/>
    <w:rsid w:val="00761D91"/>
    <w:rsid w:val="00761D9D"/>
    <w:rsid w:val="00761F4C"/>
    <w:rsid w:val="0076201E"/>
    <w:rsid w:val="0076204D"/>
    <w:rsid w:val="00762050"/>
    <w:rsid w:val="00762065"/>
    <w:rsid w:val="0076213A"/>
    <w:rsid w:val="00762182"/>
    <w:rsid w:val="00762188"/>
    <w:rsid w:val="007621A9"/>
    <w:rsid w:val="007621BE"/>
    <w:rsid w:val="00762219"/>
    <w:rsid w:val="007622D7"/>
    <w:rsid w:val="007622DA"/>
    <w:rsid w:val="007622DC"/>
    <w:rsid w:val="00762332"/>
    <w:rsid w:val="00762357"/>
    <w:rsid w:val="007623F6"/>
    <w:rsid w:val="007624A8"/>
    <w:rsid w:val="007624AE"/>
    <w:rsid w:val="007624C6"/>
    <w:rsid w:val="007624DD"/>
    <w:rsid w:val="007624EB"/>
    <w:rsid w:val="0076254A"/>
    <w:rsid w:val="00762567"/>
    <w:rsid w:val="007625D2"/>
    <w:rsid w:val="007625DF"/>
    <w:rsid w:val="007625F3"/>
    <w:rsid w:val="0076269A"/>
    <w:rsid w:val="007626AF"/>
    <w:rsid w:val="0076277A"/>
    <w:rsid w:val="00762798"/>
    <w:rsid w:val="00762800"/>
    <w:rsid w:val="00762803"/>
    <w:rsid w:val="00762824"/>
    <w:rsid w:val="00762860"/>
    <w:rsid w:val="0076286D"/>
    <w:rsid w:val="0076289E"/>
    <w:rsid w:val="0076293A"/>
    <w:rsid w:val="0076293E"/>
    <w:rsid w:val="00762953"/>
    <w:rsid w:val="00762986"/>
    <w:rsid w:val="007629DB"/>
    <w:rsid w:val="007629E8"/>
    <w:rsid w:val="007629EA"/>
    <w:rsid w:val="00762A4E"/>
    <w:rsid w:val="00762A52"/>
    <w:rsid w:val="00762A64"/>
    <w:rsid w:val="00762A96"/>
    <w:rsid w:val="00762B4D"/>
    <w:rsid w:val="00762B62"/>
    <w:rsid w:val="00762BDE"/>
    <w:rsid w:val="00762BE9"/>
    <w:rsid w:val="00762CE8"/>
    <w:rsid w:val="00762CEC"/>
    <w:rsid w:val="00762CEF"/>
    <w:rsid w:val="00762D84"/>
    <w:rsid w:val="00762DA2"/>
    <w:rsid w:val="00762DD4"/>
    <w:rsid w:val="00762DEE"/>
    <w:rsid w:val="00762E74"/>
    <w:rsid w:val="00762E89"/>
    <w:rsid w:val="00762E91"/>
    <w:rsid w:val="00762EDF"/>
    <w:rsid w:val="00762EE0"/>
    <w:rsid w:val="00762F19"/>
    <w:rsid w:val="00762F35"/>
    <w:rsid w:val="00762FA4"/>
    <w:rsid w:val="00763013"/>
    <w:rsid w:val="0076311E"/>
    <w:rsid w:val="00763125"/>
    <w:rsid w:val="00763149"/>
    <w:rsid w:val="00763178"/>
    <w:rsid w:val="0076317D"/>
    <w:rsid w:val="007631A9"/>
    <w:rsid w:val="0076324B"/>
    <w:rsid w:val="00763252"/>
    <w:rsid w:val="0076327C"/>
    <w:rsid w:val="007632DE"/>
    <w:rsid w:val="00763368"/>
    <w:rsid w:val="007633AD"/>
    <w:rsid w:val="007633DD"/>
    <w:rsid w:val="0076340C"/>
    <w:rsid w:val="00763435"/>
    <w:rsid w:val="00763461"/>
    <w:rsid w:val="007634CA"/>
    <w:rsid w:val="0076351A"/>
    <w:rsid w:val="007635B1"/>
    <w:rsid w:val="0076366C"/>
    <w:rsid w:val="007637D4"/>
    <w:rsid w:val="007638C0"/>
    <w:rsid w:val="007638FF"/>
    <w:rsid w:val="00763976"/>
    <w:rsid w:val="007639CA"/>
    <w:rsid w:val="00763A5D"/>
    <w:rsid w:val="00763A9A"/>
    <w:rsid w:val="00763B2F"/>
    <w:rsid w:val="00763B7B"/>
    <w:rsid w:val="00763BD1"/>
    <w:rsid w:val="00763C4E"/>
    <w:rsid w:val="00763C53"/>
    <w:rsid w:val="00763CD8"/>
    <w:rsid w:val="00763D1D"/>
    <w:rsid w:val="00763D94"/>
    <w:rsid w:val="00763DB8"/>
    <w:rsid w:val="00763E08"/>
    <w:rsid w:val="00763E9D"/>
    <w:rsid w:val="00763ED8"/>
    <w:rsid w:val="007640A8"/>
    <w:rsid w:val="007640D3"/>
    <w:rsid w:val="0076411A"/>
    <w:rsid w:val="0076412A"/>
    <w:rsid w:val="00764144"/>
    <w:rsid w:val="0076419C"/>
    <w:rsid w:val="007641C1"/>
    <w:rsid w:val="007641D4"/>
    <w:rsid w:val="007641D9"/>
    <w:rsid w:val="007641FA"/>
    <w:rsid w:val="00764210"/>
    <w:rsid w:val="0076423B"/>
    <w:rsid w:val="0076423F"/>
    <w:rsid w:val="0076429B"/>
    <w:rsid w:val="007642A4"/>
    <w:rsid w:val="007642C8"/>
    <w:rsid w:val="007642F4"/>
    <w:rsid w:val="007643C7"/>
    <w:rsid w:val="00764469"/>
    <w:rsid w:val="0076446C"/>
    <w:rsid w:val="00764478"/>
    <w:rsid w:val="007644C1"/>
    <w:rsid w:val="007644D3"/>
    <w:rsid w:val="00764503"/>
    <w:rsid w:val="00764518"/>
    <w:rsid w:val="00764559"/>
    <w:rsid w:val="007645EB"/>
    <w:rsid w:val="007645F7"/>
    <w:rsid w:val="00764643"/>
    <w:rsid w:val="007646AF"/>
    <w:rsid w:val="007646D5"/>
    <w:rsid w:val="00764777"/>
    <w:rsid w:val="007647C5"/>
    <w:rsid w:val="007647EE"/>
    <w:rsid w:val="007648B0"/>
    <w:rsid w:val="007648E8"/>
    <w:rsid w:val="00764914"/>
    <w:rsid w:val="00764A34"/>
    <w:rsid w:val="00764A78"/>
    <w:rsid w:val="00764A7D"/>
    <w:rsid w:val="00764A80"/>
    <w:rsid w:val="00764AE5"/>
    <w:rsid w:val="00764B68"/>
    <w:rsid w:val="00764B81"/>
    <w:rsid w:val="00764B94"/>
    <w:rsid w:val="00764BFD"/>
    <w:rsid w:val="00764D66"/>
    <w:rsid w:val="00764D76"/>
    <w:rsid w:val="00764DAA"/>
    <w:rsid w:val="00764DB1"/>
    <w:rsid w:val="00764EB5"/>
    <w:rsid w:val="00764F63"/>
    <w:rsid w:val="00764F8D"/>
    <w:rsid w:val="00764FDF"/>
    <w:rsid w:val="0076505B"/>
    <w:rsid w:val="007650A4"/>
    <w:rsid w:val="007650CC"/>
    <w:rsid w:val="00765131"/>
    <w:rsid w:val="00765206"/>
    <w:rsid w:val="00765236"/>
    <w:rsid w:val="0076528E"/>
    <w:rsid w:val="007652AE"/>
    <w:rsid w:val="007652B2"/>
    <w:rsid w:val="0076540D"/>
    <w:rsid w:val="00765412"/>
    <w:rsid w:val="00765438"/>
    <w:rsid w:val="007654C2"/>
    <w:rsid w:val="007654FC"/>
    <w:rsid w:val="00765511"/>
    <w:rsid w:val="00765560"/>
    <w:rsid w:val="0076558B"/>
    <w:rsid w:val="007655D7"/>
    <w:rsid w:val="007655E8"/>
    <w:rsid w:val="0076561B"/>
    <w:rsid w:val="00765659"/>
    <w:rsid w:val="00765785"/>
    <w:rsid w:val="00765798"/>
    <w:rsid w:val="0076580F"/>
    <w:rsid w:val="00765829"/>
    <w:rsid w:val="0076584C"/>
    <w:rsid w:val="0076585C"/>
    <w:rsid w:val="007658A2"/>
    <w:rsid w:val="00765933"/>
    <w:rsid w:val="00765963"/>
    <w:rsid w:val="007659AA"/>
    <w:rsid w:val="00765A0F"/>
    <w:rsid w:val="00765A66"/>
    <w:rsid w:val="00765A82"/>
    <w:rsid w:val="00765A8A"/>
    <w:rsid w:val="00765ABA"/>
    <w:rsid w:val="00765AC4"/>
    <w:rsid w:val="00765B5D"/>
    <w:rsid w:val="00765C2C"/>
    <w:rsid w:val="00765C32"/>
    <w:rsid w:val="00765C47"/>
    <w:rsid w:val="00765CCD"/>
    <w:rsid w:val="00765CEA"/>
    <w:rsid w:val="00765D33"/>
    <w:rsid w:val="00765E72"/>
    <w:rsid w:val="00765F15"/>
    <w:rsid w:val="00765F1C"/>
    <w:rsid w:val="00765F4B"/>
    <w:rsid w:val="00765F79"/>
    <w:rsid w:val="00765F90"/>
    <w:rsid w:val="00765FC7"/>
    <w:rsid w:val="00765FC9"/>
    <w:rsid w:val="00766061"/>
    <w:rsid w:val="00766077"/>
    <w:rsid w:val="0076607B"/>
    <w:rsid w:val="0076609E"/>
    <w:rsid w:val="007660FC"/>
    <w:rsid w:val="0076613A"/>
    <w:rsid w:val="0076623E"/>
    <w:rsid w:val="0076628C"/>
    <w:rsid w:val="0076629D"/>
    <w:rsid w:val="0076631C"/>
    <w:rsid w:val="007663B2"/>
    <w:rsid w:val="007663D2"/>
    <w:rsid w:val="0076641A"/>
    <w:rsid w:val="00766427"/>
    <w:rsid w:val="00766482"/>
    <w:rsid w:val="0076650B"/>
    <w:rsid w:val="00766530"/>
    <w:rsid w:val="0076653C"/>
    <w:rsid w:val="0076653D"/>
    <w:rsid w:val="00766563"/>
    <w:rsid w:val="00766586"/>
    <w:rsid w:val="00766588"/>
    <w:rsid w:val="007665B2"/>
    <w:rsid w:val="00766626"/>
    <w:rsid w:val="00766631"/>
    <w:rsid w:val="00766658"/>
    <w:rsid w:val="007666F8"/>
    <w:rsid w:val="00766704"/>
    <w:rsid w:val="00766706"/>
    <w:rsid w:val="00766728"/>
    <w:rsid w:val="0076677F"/>
    <w:rsid w:val="00766831"/>
    <w:rsid w:val="0076683B"/>
    <w:rsid w:val="007668BF"/>
    <w:rsid w:val="007668E3"/>
    <w:rsid w:val="0076693D"/>
    <w:rsid w:val="00766983"/>
    <w:rsid w:val="0076699E"/>
    <w:rsid w:val="007669C1"/>
    <w:rsid w:val="007669E9"/>
    <w:rsid w:val="007669EA"/>
    <w:rsid w:val="00766A14"/>
    <w:rsid w:val="00766A3F"/>
    <w:rsid w:val="00766A59"/>
    <w:rsid w:val="00766A7F"/>
    <w:rsid w:val="00766AB8"/>
    <w:rsid w:val="00766AEA"/>
    <w:rsid w:val="00766B66"/>
    <w:rsid w:val="00766BD6"/>
    <w:rsid w:val="00766BDF"/>
    <w:rsid w:val="00766C01"/>
    <w:rsid w:val="00766C22"/>
    <w:rsid w:val="00766CC0"/>
    <w:rsid w:val="00766CF2"/>
    <w:rsid w:val="00766CF8"/>
    <w:rsid w:val="00766DCB"/>
    <w:rsid w:val="00766DE4"/>
    <w:rsid w:val="00766E42"/>
    <w:rsid w:val="00766E73"/>
    <w:rsid w:val="00766EAD"/>
    <w:rsid w:val="00766F00"/>
    <w:rsid w:val="00766F18"/>
    <w:rsid w:val="00766F50"/>
    <w:rsid w:val="00766F74"/>
    <w:rsid w:val="00766F80"/>
    <w:rsid w:val="00767016"/>
    <w:rsid w:val="0076701B"/>
    <w:rsid w:val="00767028"/>
    <w:rsid w:val="00767039"/>
    <w:rsid w:val="0076703B"/>
    <w:rsid w:val="007670C6"/>
    <w:rsid w:val="007671A1"/>
    <w:rsid w:val="007671B0"/>
    <w:rsid w:val="00767315"/>
    <w:rsid w:val="00767317"/>
    <w:rsid w:val="00767325"/>
    <w:rsid w:val="00767360"/>
    <w:rsid w:val="007673AB"/>
    <w:rsid w:val="00767418"/>
    <w:rsid w:val="0076742B"/>
    <w:rsid w:val="00767456"/>
    <w:rsid w:val="007674A1"/>
    <w:rsid w:val="007674AD"/>
    <w:rsid w:val="007674B7"/>
    <w:rsid w:val="007675A6"/>
    <w:rsid w:val="007675AC"/>
    <w:rsid w:val="007675C5"/>
    <w:rsid w:val="007675F9"/>
    <w:rsid w:val="007676B7"/>
    <w:rsid w:val="007676FA"/>
    <w:rsid w:val="00767702"/>
    <w:rsid w:val="00767707"/>
    <w:rsid w:val="00767747"/>
    <w:rsid w:val="00767756"/>
    <w:rsid w:val="0076784D"/>
    <w:rsid w:val="00767864"/>
    <w:rsid w:val="0076789A"/>
    <w:rsid w:val="007678BD"/>
    <w:rsid w:val="007678E9"/>
    <w:rsid w:val="007678F1"/>
    <w:rsid w:val="0076793F"/>
    <w:rsid w:val="007679C9"/>
    <w:rsid w:val="007679E9"/>
    <w:rsid w:val="007679FB"/>
    <w:rsid w:val="00767A5D"/>
    <w:rsid w:val="00767A90"/>
    <w:rsid w:val="00767AA1"/>
    <w:rsid w:val="00767B80"/>
    <w:rsid w:val="00767BEB"/>
    <w:rsid w:val="00767C46"/>
    <w:rsid w:val="00767C5A"/>
    <w:rsid w:val="00767CA1"/>
    <w:rsid w:val="00767CDA"/>
    <w:rsid w:val="00767CE3"/>
    <w:rsid w:val="00767CE9"/>
    <w:rsid w:val="00767D0C"/>
    <w:rsid w:val="00767D0F"/>
    <w:rsid w:val="00767D3B"/>
    <w:rsid w:val="00767D60"/>
    <w:rsid w:val="00767D97"/>
    <w:rsid w:val="00767E1A"/>
    <w:rsid w:val="00767E33"/>
    <w:rsid w:val="00767E40"/>
    <w:rsid w:val="00767E5D"/>
    <w:rsid w:val="00767E93"/>
    <w:rsid w:val="00767EA0"/>
    <w:rsid w:val="00767EFA"/>
    <w:rsid w:val="00767EFB"/>
    <w:rsid w:val="00767F04"/>
    <w:rsid w:val="00767FDD"/>
    <w:rsid w:val="00767FEE"/>
    <w:rsid w:val="00770036"/>
    <w:rsid w:val="00770044"/>
    <w:rsid w:val="00770093"/>
    <w:rsid w:val="0077009F"/>
    <w:rsid w:val="00770150"/>
    <w:rsid w:val="007701E8"/>
    <w:rsid w:val="0077021F"/>
    <w:rsid w:val="0077024B"/>
    <w:rsid w:val="0077024F"/>
    <w:rsid w:val="0077028D"/>
    <w:rsid w:val="007703A2"/>
    <w:rsid w:val="00770408"/>
    <w:rsid w:val="00770461"/>
    <w:rsid w:val="0077053D"/>
    <w:rsid w:val="0077053F"/>
    <w:rsid w:val="00770569"/>
    <w:rsid w:val="007705BF"/>
    <w:rsid w:val="00770606"/>
    <w:rsid w:val="0077063E"/>
    <w:rsid w:val="00770743"/>
    <w:rsid w:val="0077079D"/>
    <w:rsid w:val="007707A2"/>
    <w:rsid w:val="007707A5"/>
    <w:rsid w:val="007707DB"/>
    <w:rsid w:val="00770839"/>
    <w:rsid w:val="00770854"/>
    <w:rsid w:val="007708C0"/>
    <w:rsid w:val="00770944"/>
    <w:rsid w:val="00770953"/>
    <w:rsid w:val="0077095C"/>
    <w:rsid w:val="007709D3"/>
    <w:rsid w:val="007709E3"/>
    <w:rsid w:val="00770A13"/>
    <w:rsid w:val="00770A98"/>
    <w:rsid w:val="00770AB0"/>
    <w:rsid w:val="00770ABB"/>
    <w:rsid w:val="00770ABF"/>
    <w:rsid w:val="00770B07"/>
    <w:rsid w:val="00770B1B"/>
    <w:rsid w:val="00770B2C"/>
    <w:rsid w:val="00770B38"/>
    <w:rsid w:val="00770B44"/>
    <w:rsid w:val="00770B9B"/>
    <w:rsid w:val="00770BAF"/>
    <w:rsid w:val="00770BDC"/>
    <w:rsid w:val="00770C11"/>
    <w:rsid w:val="00770C70"/>
    <w:rsid w:val="00770CCA"/>
    <w:rsid w:val="00770CD2"/>
    <w:rsid w:val="00770CFC"/>
    <w:rsid w:val="00770D22"/>
    <w:rsid w:val="00770D3C"/>
    <w:rsid w:val="00770DD1"/>
    <w:rsid w:val="00770EE5"/>
    <w:rsid w:val="00770F23"/>
    <w:rsid w:val="00770F46"/>
    <w:rsid w:val="00771002"/>
    <w:rsid w:val="00771076"/>
    <w:rsid w:val="00771084"/>
    <w:rsid w:val="00771092"/>
    <w:rsid w:val="0077114A"/>
    <w:rsid w:val="0077117E"/>
    <w:rsid w:val="007711AE"/>
    <w:rsid w:val="007711C5"/>
    <w:rsid w:val="00771235"/>
    <w:rsid w:val="0077125B"/>
    <w:rsid w:val="00771285"/>
    <w:rsid w:val="007712E4"/>
    <w:rsid w:val="007712EF"/>
    <w:rsid w:val="00771389"/>
    <w:rsid w:val="00771400"/>
    <w:rsid w:val="0077142F"/>
    <w:rsid w:val="0077164A"/>
    <w:rsid w:val="00771665"/>
    <w:rsid w:val="0077166A"/>
    <w:rsid w:val="007716A4"/>
    <w:rsid w:val="007716BD"/>
    <w:rsid w:val="00771717"/>
    <w:rsid w:val="00771724"/>
    <w:rsid w:val="00771737"/>
    <w:rsid w:val="00771740"/>
    <w:rsid w:val="00771750"/>
    <w:rsid w:val="007717B0"/>
    <w:rsid w:val="007718A1"/>
    <w:rsid w:val="007718AF"/>
    <w:rsid w:val="007718DF"/>
    <w:rsid w:val="00771901"/>
    <w:rsid w:val="00771929"/>
    <w:rsid w:val="007719D8"/>
    <w:rsid w:val="007719EA"/>
    <w:rsid w:val="007719FA"/>
    <w:rsid w:val="00771A1D"/>
    <w:rsid w:val="00771B45"/>
    <w:rsid w:val="00771B53"/>
    <w:rsid w:val="00771BB2"/>
    <w:rsid w:val="00771BF1"/>
    <w:rsid w:val="00771C05"/>
    <w:rsid w:val="00771C15"/>
    <w:rsid w:val="00771C2F"/>
    <w:rsid w:val="00771C32"/>
    <w:rsid w:val="00771CC8"/>
    <w:rsid w:val="00771D26"/>
    <w:rsid w:val="00771D52"/>
    <w:rsid w:val="00771D61"/>
    <w:rsid w:val="00771D89"/>
    <w:rsid w:val="00771D8A"/>
    <w:rsid w:val="00771DAE"/>
    <w:rsid w:val="00771DD0"/>
    <w:rsid w:val="00771DE0"/>
    <w:rsid w:val="00771E59"/>
    <w:rsid w:val="00771E5F"/>
    <w:rsid w:val="00771E69"/>
    <w:rsid w:val="00771E9B"/>
    <w:rsid w:val="00771F43"/>
    <w:rsid w:val="00771FF4"/>
    <w:rsid w:val="00771FFB"/>
    <w:rsid w:val="0077201A"/>
    <w:rsid w:val="0077205B"/>
    <w:rsid w:val="00772068"/>
    <w:rsid w:val="00772078"/>
    <w:rsid w:val="00772089"/>
    <w:rsid w:val="007720B1"/>
    <w:rsid w:val="007720B9"/>
    <w:rsid w:val="007720FA"/>
    <w:rsid w:val="0077211F"/>
    <w:rsid w:val="007721FC"/>
    <w:rsid w:val="007722B0"/>
    <w:rsid w:val="007722EB"/>
    <w:rsid w:val="00772328"/>
    <w:rsid w:val="0077234F"/>
    <w:rsid w:val="00772466"/>
    <w:rsid w:val="00772471"/>
    <w:rsid w:val="00772523"/>
    <w:rsid w:val="00772554"/>
    <w:rsid w:val="00772570"/>
    <w:rsid w:val="007725DC"/>
    <w:rsid w:val="007725E6"/>
    <w:rsid w:val="0077263A"/>
    <w:rsid w:val="0077266F"/>
    <w:rsid w:val="007726EB"/>
    <w:rsid w:val="00772714"/>
    <w:rsid w:val="00772720"/>
    <w:rsid w:val="00772735"/>
    <w:rsid w:val="00772744"/>
    <w:rsid w:val="00772772"/>
    <w:rsid w:val="0077278A"/>
    <w:rsid w:val="00772792"/>
    <w:rsid w:val="007727BB"/>
    <w:rsid w:val="007727FB"/>
    <w:rsid w:val="0077280B"/>
    <w:rsid w:val="00772815"/>
    <w:rsid w:val="0077282F"/>
    <w:rsid w:val="00772854"/>
    <w:rsid w:val="0077285A"/>
    <w:rsid w:val="0077288A"/>
    <w:rsid w:val="00772896"/>
    <w:rsid w:val="007728B5"/>
    <w:rsid w:val="007728C3"/>
    <w:rsid w:val="007728FB"/>
    <w:rsid w:val="0077292C"/>
    <w:rsid w:val="00772991"/>
    <w:rsid w:val="007729C8"/>
    <w:rsid w:val="00772A8F"/>
    <w:rsid w:val="00772A99"/>
    <w:rsid w:val="00772ABE"/>
    <w:rsid w:val="00772B2E"/>
    <w:rsid w:val="00772B56"/>
    <w:rsid w:val="00772BAB"/>
    <w:rsid w:val="00772C04"/>
    <w:rsid w:val="00772C52"/>
    <w:rsid w:val="00772C53"/>
    <w:rsid w:val="00772CAD"/>
    <w:rsid w:val="00772CE0"/>
    <w:rsid w:val="00772D35"/>
    <w:rsid w:val="00772D41"/>
    <w:rsid w:val="00772D63"/>
    <w:rsid w:val="00772D6F"/>
    <w:rsid w:val="00772DC0"/>
    <w:rsid w:val="00772DC5"/>
    <w:rsid w:val="00772E11"/>
    <w:rsid w:val="00772F6B"/>
    <w:rsid w:val="00772FDE"/>
    <w:rsid w:val="00772FF8"/>
    <w:rsid w:val="007730B8"/>
    <w:rsid w:val="007730F2"/>
    <w:rsid w:val="0077314E"/>
    <w:rsid w:val="00773191"/>
    <w:rsid w:val="00773197"/>
    <w:rsid w:val="00773199"/>
    <w:rsid w:val="00773254"/>
    <w:rsid w:val="007732D2"/>
    <w:rsid w:val="007732E1"/>
    <w:rsid w:val="00773353"/>
    <w:rsid w:val="007733AF"/>
    <w:rsid w:val="00773423"/>
    <w:rsid w:val="00773424"/>
    <w:rsid w:val="00773574"/>
    <w:rsid w:val="0077357A"/>
    <w:rsid w:val="0077363F"/>
    <w:rsid w:val="00773723"/>
    <w:rsid w:val="00773751"/>
    <w:rsid w:val="0077377C"/>
    <w:rsid w:val="007737BB"/>
    <w:rsid w:val="007737E1"/>
    <w:rsid w:val="0077381B"/>
    <w:rsid w:val="00773892"/>
    <w:rsid w:val="007738AD"/>
    <w:rsid w:val="007738E5"/>
    <w:rsid w:val="007738EF"/>
    <w:rsid w:val="00773918"/>
    <w:rsid w:val="0077395D"/>
    <w:rsid w:val="0077397F"/>
    <w:rsid w:val="007739ED"/>
    <w:rsid w:val="00773A42"/>
    <w:rsid w:val="00773A48"/>
    <w:rsid w:val="00773AA7"/>
    <w:rsid w:val="00773AE6"/>
    <w:rsid w:val="00773AF0"/>
    <w:rsid w:val="00773B25"/>
    <w:rsid w:val="00773B2A"/>
    <w:rsid w:val="00773B34"/>
    <w:rsid w:val="00773B3F"/>
    <w:rsid w:val="00773B76"/>
    <w:rsid w:val="00773B7D"/>
    <w:rsid w:val="00773BCB"/>
    <w:rsid w:val="00773C05"/>
    <w:rsid w:val="00773C7F"/>
    <w:rsid w:val="00773C8A"/>
    <w:rsid w:val="00773C9B"/>
    <w:rsid w:val="00773D83"/>
    <w:rsid w:val="00773E7A"/>
    <w:rsid w:val="00773E88"/>
    <w:rsid w:val="00773ED0"/>
    <w:rsid w:val="00773F35"/>
    <w:rsid w:val="00773F4F"/>
    <w:rsid w:val="00773FBC"/>
    <w:rsid w:val="00774049"/>
    <w:rsid w:val="0077406B"/>
    <w:rsid w:val="007740A5"/>
    <w:rsid w:val="007740A6"/>
    <w:rsid w:val="007740D3"/>
    <w:rsid w:val="007740E3"/>
    <w:rsid w:val="00774130"/>
    <w:rsid w:val="007741C4"/>
    <w:rsid w:val="00774206"/>
    <w:rsid w:val="00774287"/>
    <w:rsid w:val="007742FD"/>
    <w:rsid w:val="007743D6"/>
    <w:rsid w:val="007743FC"/>
    <w:rsid w:val="00774415"/>
    <w:rsid w:val="00774457"/>
    <w:rsid w:val="0077448A"/>
    <w:rsid w:val="00774492"/>
    <w:rsid w:val="0077449C"/>
    <w:rsid w:val="007744FF"/>
    <w:rsid w:val="00774500"/>
    <w:rsid w:val="00774504"/>
    <w:rsid w:val="00774515"/>
    <w:rsid w:val="00774518"/>
    <w:rsid w:val="007745A4"/>
    <w:rsid w:val="007745D6"/>
    <w:rsid w:val="007746BA"/>
    <w:rsid w:val="007746F8"/>
    <w:rsid w:val="0077472B"/>
    <w:rsid w:val="00774732"/>
    <w:rsid w:val="00774781"/>
    <w:rsid w:val="007747BC"/>
    <w:rsid w:val="007747F8"/>
    <w:rsid w:val="00774846"/>
    <w:rsid w:val="007748AF"/>
    <w:rsid w:val="00774987"/>
    <w:rsid w:val="007749BC"/>
    <w:rsid w:val="00774A2A"/>
    <w:rsid w:val="00774A4F"/>
    <w:rsid w:val="00774A62"/>
    <w:rsid w:val="00774A86"/>
    <w:rsid w:val="00774AD4"/>
    <w:rsid w:val="00774ADF"/>
    <w:rsid w:val="00774AF4"/>
    <w:rsid w:val="00774B0E"/>
    <w:rsid w:val="00774B47"/>
    <w:rsid w:val="00774B87"/>
    <w:rsid w:val="00774C01"/>
    <w:rsid w:val="00774C1D"/>
    <w:rsid w:val="00774CB5"/>
    <w:rsid w:val="00774CD8"/>
    <w:rsid w:val="00774CE1"/>
    <w:rsid w:val="00774CEE"/>
    <w:rsid w:val="00774D1F"/>
    <w:rsid w:val="00774DB1"/>
    <w:rsid w:val="00774DDE"/>
    <w:rsid w:val="00774DF2"/>
    <w:rsid w:val="00774E2A"/>
    <w:rsid w:val="00774E47"/>
    <w:rsid w:val="00774E4E"/>
    <w:rsid w:val="00774EAD"/>
    <w:rsid w:val="00774EE6"/>
    <w:rsid w:val="00774F15"/>
    <w:rsid w:val="00774F2F"/>
    <w:rsid w:val="00774F6F"/>
    <w:rsid w:val="00774F80"/>
    <w:rsid w:val="00774FDD"/>
    <w:rsid w:val="00775052"/>
    <w:rsid w:val="007750A4"/>
    <w:rsid w:val="007750B4"/>
    <w:rsid w:val="00775118"/>
    <w:rsid w:val="0077513B"/>
    <w:rsid w:val="007751FD"/>
    <w:rsid w:val="0077521E"/>
    <w:rsid w:val="00775228"/>
    <w:rsid w:val="007752C1"/>
    <w:rsid w:val="007752D3"/>
    <w:rsid w:val="007752FB"/>
    <w:rsid w:val="0077530B"/>
    <w:rsid w:val="00775339"/>
    <w:rsid w:val="00775340"/>
    <w:rsid w:val="0077539E"/>
    <w:rsid w:val="007753A5"/>
    <w:rsid w:val="007753F5"/>
    <w:rsid w:val="00775419"/>
    <w:rsid w:val="00775437"/>
    <w:rsid w:val="00775463"/>
    <w:rsid w:val="0077546E"/>
    <w:rsid w:val="00775513"/>
    <w:rsid w:val="00775527"/>
    <w:rsid w:val="00775649"/>
    <w:rsid w:val="00775696"/>
    <w:rsid w:val="007756A7"/>
    <w:rsid w:val="007756FE"/>
    <w:rsid w:val="0077573F"/>
    <w:rsid w:val="00775776"/>
    <w:rsid w:val="007757A9"/>
    <w:rsid w:val="007757E6"/>
    <w:rsid w:val="0077588E"/>
    <w:rsid w:val="007758A5"/>
    <w:rsid w:val="007758BA"/>
    <w:rsid w:val="007758E5"/>
    <w:rsid w:val="00775957"/>
    <w:rsid w:val="007759B7"/>
    <w:rsid w:val="00775A16"/>
    <w:rsid w:val="00775A5D"/>
    <w:rsid w:val="00775A71"/>
    <w:rsid w:val="00775AE8"/>
    <w:rsid w:val="00775AF2"/>
    <w:rsid w:val="00775AFC"/>
    <w:rsid w:val="00775B76"/>
    <w:rsid w:val="00775B7A"/>
    <w:rsid w:val="00775C2C"/>
    <w:rsid w:val="00775D3C"/>
    <w:rsid w:val="00775D86"/>
    <w:rsid w:val="00775D87"/>
    <w:rsid w:val="00775DF4"/>
    <w:rsid w:val="00775E39"/>
    <w:rsid w:val="00775E60"/>
    <w:rsid w:val="00775E98"/>
    <w:rsid w:val="00775E9D"/>
    <w:rsid w:val="00775F0F"/>
    <w:rsid w:val="00775F2E"/>
    <w:rsid w:val="00775F45"/>
    <w:rsid w:val="00775F96"/>
    <w:rsid w:val="0077601A"/>
    <w:rsid w:val="0077603D"/>
    <w:rsid w:val="00776046"/>
    <w:rsid w:val="0077605A"/>
    <w:rsid w:val="00776097"/>
    <w:rsid w:val="0077615A"/>
    <w:rsid w:val="007761B7"/>
    <w:rsid w:val="007761C5"/>
    <w:rsid w:val="007761E1"/>
    <w:rsid w:val="007761F5"/>
    <w:rsid w:val="00776247"/>
    <w:rsid w:val="0077628A"/>
    <w:rsid w:val="0077628B"/>
    <w:rsid w:val="00776351"/>
    <w:rsid w:val="0077637B"/>
    <w:rsid w:val="007763B7"/>
    <w:rsid w:val="007763EC"/>
    <w:rsid w:val="007763EF"/>
    <w:rsid w:val="00776439"/>
    <w:rsid w:val="00776492"/>
    <w:rsid w:val="007764AE"/>
    <w:rsid w:val="007764F1"/>
    <w:rsid w:val="007764F3"/>
    <w:rsid w:val="00776564"/>
    <w:rsid w:val="007765F5"/>
    <w:rsid w:val="0077661B"/>
    <w:rsid w:val="00776699"/>
    <w:rsid w:val="00776725"/>
    <w:rsid w:val="00776741"/>
    <w:rsid w:val="0077674D"/>
    <w:rsid w:val="007767AF"/>
    <w:rsid w:val="007767DF"/>
    <w:rsid w:val="007767F1"/>
    <w:rsid w:val="00776813"/>
    <w:rsid w:val="00776818"/>
    <w:rsid w:val="00776858"/>
    <w:rsid w:val="007768EC"/>
    <w:rsid w:val="0077691C"/>
    <w:rsid w:val="00776999"/>
    <w:rsid w:val="00776A31"/>
    <w:rsid w:val="00776A56"/>
    <w:rsid w:val="00776A72"/>
    <w:rsid w:val="00776A7A"/>
    <w:rsid w:val="00776AC1"/>
    <w:rsid w:val="00776B3F"/>
    <w:rsid w:val="00776B4D"/>
    <w:rsid w:val="00776B57"/>
    <w:rsid w:val="00776BA5"/>
    <w:rsid w:val="00776BB3"/>
    <w:rsid w:val="00776C21"/>
    <w:rsid w:val="00776C2F"/>
    <w:rsid w:val="00776C7D"/>
    <w:rsid w:val="00776D2D"/>
    <w:rsid w:val="00776D56"/>
    <w:rsid w:val="00776D74"/>
    <w:rsid w:val="00776DB2"/>
    <w:rsid w:val="00776DB5"/>
    <w:rsid w:val="00776DC3"/>
    <w:rsid w:val="00776DFE"/>
    <w:rsid w:val="00776E77"/>
    <w:rsid w:val="00776E90"/>
    <w:rsid w:val="00776E94"/>
    <w:rsid w:val="00776F08"/>
    <w:rsid w:val="00776F73"/>
    <w:rsid w:val="00776FBB"/>
    <w:rsid w:val="00776FE9"/>
    <w:rsid w:val="0077702E"/>
    <w:rsid w:val="007770C5"/>
    <w:rsid w:val="007770D6"/>
    <w:rsid w:val="007770E2"/>
    <w:rsid w:val="00777166"/>
    <w:rsid w:val="007771D3"/>
    <w:rsid w:val="007771E3"/>
    <w:rsid w:val="0077721C"/>
    <w:rsid w:val="00777285"/>
    <w:rsid w:val="0077729A"/>
    <w:rsid w:val="007772AC"/>
    <w:rsid w:val="007772E8"/>
    <w:rsid w:val="00777302"/>
    <w:rsid w:val="0077731D"/>
    <w:rsid w:val="0077731F"/>
    <w:rsid w:val="00777337"/>
    <w:rsid w:val="00777341"/>
    <w:rsid w:val="00777385"/>
    <w:rsid w:val="0077739F"/>
    <w:rsid w:val="007773BE"/>
    <w:rsid w:val="007773DE"/>
    <w:rsid w:val="007773F5"/>
    <w:rsid w:val="007773FB"/>
    <w:rsid w:val="00777442"/>
    <w:rsid w:val="00777444"/>
    <w:rsid w:val="00777490"/>
    <w:rsid w:val="007774B8"/>
    <w:rsid w:val="00777538"/>
    <w:rsid w:val="00777541"/>
    <w:rsid w:val="00777560"/>
    <w:rsid w:val="00777608"/>
    <w:rsid w:val="00777624"/>
    <w:rsid w:val="007776DB"/>
    <w:rsid w:val="00777740"/>
    <w:rsid w:val="007777A2"/>
    <w:rsid w:val="007777BD"/>
    <w:rsid w:val="007777C2"/>
    <w:rsid w:val="0077780E"/>
    <w:rsid w:val="00777819"/>
    <w:rsid w:val="0077783F"/>
    <w:rsid w:val="007778C4"/>
    <w:rsid w:val="00777952"/>
    <w:rsid w:val="00777958"/>
    <w:rsid w:val="0077795C"/>
    <w:rsid w:val="007779BB"/>
    <w:rsid w:val="007779C5"/>
    <w:rsid w:val="007779D6"/>
    <w:rsid w:val="007779E3"/>
    <w:rsid w:val="00777A62"/>
    <w:rsid w:val="00777A6C"/>
    <w:rsid w:val="00777AC5"/>
    <w:rsid w:val="00777B37"/>
    <w:rsid w:val="00777B3D"/>
    <w:rsid w:val="00777B44"/>
    <w:rsid w:val="00777B63"/>
    <w:rsid w:val="00777BC1"/>
    <w:rsid w:val="00777C08"/>
    <w:rsid w:val="00777C36"/>
    <w:rsid w:val="00777C67"/>
    <w:rsid w:val="00777CAF"/>
    <w:rsid w:val="00777CB8"/>
    <w:rsid w:val="00777DC1"/>
    <w:rsid w:val="00777DD2"/>
    <w:rsid w:val="00777E56"/>
    <w:rsid w:val="00777E69"/>
    <w:rsid w:val="00777E99"/>
    <w:rsid w:val="00777EC1"/>
    <w:rsid w:val="00777EE6"/>
    <w:rsid w:val="00777F22"/>
    <w:rsid w:val="00777F5F"/>
    <w:rsid w:val="00777FF2"/>
    <w:rsid w:val="00780000"/>
    <w:rsid w:val="0078003D"/>
    <w:rsid w:val="0078005C"/>
    <w:rsid w:val="007800F0"/>
    <w:rsid w:val="007800F3"/>
    <w:rsid w:val="0078012A"/>
    <w:rsid w:val="00780142"/>
    <w:rsid w:val="00780163"/>
    <w:rsid w:val="00780194"/>
    <w:rsid w:val="007801D1"/>
    <w:rsid w:val="0078029F"/>
    <w:rsid w:val="007802D1"/>
    <w:rsid w:val="007802D7"/>
    <w:rsid w:val="007803A8"/>
    <w:rsid w:val="007803B1"/>
    <w:rsid w:val="00780416"/>
    <w:rsid w:val="00780419"/>
    <w:rsid w:val="007804C3"/>
    <w:rsid w:val="0078050A"/>
    <w:rsid w:val="00780518"/>
    <w:rsid w:val="00780567"/>
    <w:rsid w:val="007805B1"/>
    <w:rsid w:val="007805F9"/>
    <w:rsid w:val="00780646"/>
    <w:rsid w:val="00780708"/>
    <w:rsid w:val="00780741"/>
    <w:rsid w:val="00780743"/>
    <w:rsid w:val="00780798"/>
    <w:rsid w:val="007807CF"/>
    <w:rsid w:val="0078083F"/>
    <w:rsid w:val="00780937"/>
    <w:rsid w:val="00780945"/>
    <w:rsid w:val="00780963"/>
    <w:rsid w:val="00780990"/>
    <w:rsid w:val="007809AA"/>
    <w:rsid w:val="007809B3"/>
    <w:rsid w:val="007809C8"/>
    <w:rsid w:val="00780A7A"/>
    <w:rsid w:val="00780AA9"/>
    <w:rsid w:val="00780ADC"/>
    <w:rsid w:val="00780B36"/>
    <w:rsid w:val="00780B4F"/>
    <w:rsid w:val="00780B7F"/>
    <w:rsid w:val="00780B99"/>
    <w:rsid w:val="00780C68"/>
    <w:rsid w:val="00780CB6"/>
    <w:rsid w:val="00780D4A"/>
    <w:rsid w:val="00780D4B"/>
    <w:rsid w:val="00780DCA"/>
    <w:rsid w:val="00780DEF"/>
    <w:rsid w:val="00780DF9"/>
    <w:rsid w:val="00780EA2"/>
    <w:rsid w:val="00780EE2"/>
    <w:rsid w:val="00780F0E"/>
    <w:rsid w:val="00780F25"/>
    <w:rsid w:val="00780F42"/>
    <w:rsid w:val="00780F6A"/>
    <w:rsid w:val="00780F92"/>
    <w:rsid w:val="0078106A"/>
    <w:rsid w:val="00781084"/>
    <w:rsid w:val="0078109C"/>
    <w:rsid w:val="0078110C"/>
    <w:rsid w:val="0078114E"/>
    <w:rsid w:val="007811D2"/>
    <w:rsid w:val="0078120F"/>
    <w:rsid w:val="007812B2"/>
    <w:rsid w:val="007812B6"/>
    <w:rsid w:val="007812C4"/>
    <w:rsid w:val="007812D4"/>
    <w:rsid w:val="00781406"/>
    <w:rsid w:val="0078149C"/>
    <w:rsid w:val="007814E6"/>
    <w:rsid w:val="00781514"/>
    <w:rsid w:val="00781525"/>
    <w:rsid w:val="0078156B"/>
    <w:rsid w:val="00781594"/>
    <w:rsid w:val="00781668"/>
    <w:rsid w:val="0078166A"/>
    <w:rsid w:val="0078169C"/>
    <w:rsid w:val="007816BD"/>
    <w:rsid w:val="007816E6"/>
    <w:rsid w:val="0078170C"/>
    <w:rsid w:val="00781744"/>
    <w:rsid w:val="0078174F"/>
    <w:rsid w:val="00781758"/>
    <w:rsid w:val="0078177F"/>
    <w:rsid w:val="0078178F"/>
    <w:rsid w:val="0078182C"/>
    <w:rsid w:val="00781882"/>
    <w:rsid w:val="007818AA"/>
    <w:rsid w:val="0078190A"/>
    <w:rsid w:val="0078192E"/>
    <w:rsid w:val="00781966"/>
    <w:rsid w:val="00781980"/>
    <w:rsid w:val="00781A5A"/>
    <w:rsid w:val="00781AA5"/>
    <w:rsid w:val="00781AAB"/>
    <w:rsid w:val="00781AB4"/>
    <w:rsid w:val="00781AFA"/>
    <w:rsid w:val="00781B22"/>
    <w:rsid w:val="00781BB6"/>
    <w:rsid w:val="00781BE2"/>
    <w:rsid w:val="00781BF4"/>
    <w:rsid w:val="00781C24"/>
    <w:rsid w:val="00781C46"/>
    <w:rsid w:val="00781CCC"/>
    <w:rsid w:val="00781CDF"/>
    <w:rsid w:val="00781D87"/>
    <w:rsid w:val="00781DFD"/>
    <w:rsid w:val="00781E77"/>
    <w:rsid w:val="00781E8D"/>
    <w:rsid w:val="00781ECC"/>
    <w:rsid w:val="00781F0B"/>
    <w:rsid w:val="00781F44"/>
    <w:rsid w:val="00781F75"/>
    <w:rsid w:val="00781F7A"/>
    <w:rsid w:val="00781F8F"/>
    <w:rsid w:val="00782018"/>
    <w:rsid w:val="0078201C"/>
    <w:rsid w:val="00782099"/>
    <w:rsid w:val="007820A4"/>
    <w:rsid w:val="007821C7"/>
    <w:rsid w:val="007821D6"/>
    <w:rsid w:val="0078224E"/>
    <w:rsid w:val="00782290"/>
    <w:rsid w:val="0078234B"/>
    <w:rsid w:val="0078234D"/>
    <w:rsid w:val="0078235A"/>
    <w:rsid w:val="0078237B"/>
    <w:rsid w:val="00782380"/>
    <w:rsid w:val="007823AC"/>
    <w:rsid w:val="007823F2"/>
    <w:rsid w:val="007824C6"/>
    <w:rsid w:val="0078262E"/>
    <w:rsid w:val="00782633"/>
    <w:rsid w:val="0078264C"/>
    <w:rsid w:val="007826B8"/>
    <w:rsid w:val="007826FB"/>
    <w:rsid w:val="00782703"/>
    <w:rsid w:val="00782754"/>
    <w:rsid w:val="00782761"/>
    <w:rsid w:val="0078278A"/>
    <w:rsid w:val="007827DF"/>
    <w:rsid w:val="00782818"/>
    <w:rsid w:val="0078284E"/>
    <w:rsid w:val="00782852"/>
    <w:rsid w:val="0078285C"/>
    <w:rsid w:val="0078287B"/>
    <w:rsid w:val="007828C6"/>
    <w:rsid w:val="00782951"/>
    <w:rsid w:val="007829EC"/>
    <w:rsid w:val="007829F8"/>
    <w:rsid w:val="00782A2C"/>
    <w:rsid w:val="00782A70"/>
    <w:rsid w:val="00782A8E"/>
    <w:rsid w:val="00782AAB"/>
    <w:rsid w:val="00782B1F"/>
    <w:rsid w:val="00782B6F"/>
    <w:rsid w:val="00782BA3"/>
    <w:rsid w:val="00782BB4"/>
    <w:rsid w:val="00782BF0"/>
    <w:rsid w:val="00782BFB"/>
    <w:rsid w:val="00782C73"/>
    <w:rsid w:val="00782C80"/>
    <w:rsid w:val="00782CC9"/>
    <w:rsid w:val="00782CFA"/>
    <w:rsid w:val="00782D3E"/>
    <w:rsid w:val="00782D7F"/>
    <w:rsid w:val="00782D85"/>
    <w:rsid w:val="00782D91"/>
    <w:rsid w:val="00782DDB"/>
    <w:rsid w:val="00782E66"/>
    <w:rsid w:val="00782EA9"/>
    <w:rsid w:val="00782EAC"/>
    <w:rsid w:val="00782F16"/>
    <w:rsid w:val="00782F80"/>
    <w:rsid w:val="00782F8B"/>
    <w:rsid w:val="00782FDD"/>
    <w:rsid w:val="00782FED"/>
    <w:rsid w:val="0078306A"/>
    <w:rsid w:val="007830C7"/>
    <w:rsid w:val="0078317E"/>
    <w:rsid w:val="00783187"/>
    <w:rsid w:val="00783257"/>
    <w:rsid w:val="00783276"/>
    <w:rsid w:val="0078328D"/>
    <w:rsid w:val="007832C2"/>
    <w:rsid w:val="00783316"/>
    <w:rsid w:val="00783330"/>
    <w:rsid w:val="0078335F"/>
    <w:rsid w:val="0078337A"/>
    <w:rsid w:val="0078339B"/>
    <w:rsid w:val="00783446"/>
    <w:rsid w:val="00783467"/>
    <w:rsid w:val="007834C6"/>
    <w:rsid w:val="007834E9"/>
    <w:rsid w:val="0078353E"/>
    <w:rsid w:val="0078356D"/>
    <w:rsid w:val="007835B6"/>
    <w:rsid w:val="007835D7"/>
    <w:rsid w:val="00783609"/>
    <w:rsid w:val="00783712"/>
    <w:rsid w:val="00783787"/>
    <w:rsid w:val="00783851"/>
    <w:rsid w:val="007838FE"/>
    <w:rsid w:val="00783922"/>
    <w:rsid w:val="00783955"/>
    <w:rsid w:val="00783994"/>
    <w:rsid w:val="007839EA"/>
    <w:rsid w:val="00783A6A"/>
    <w:rsid w:val="00783B66"/>
    <w:rsid w:val="00783B9C"/>
    <w:rsid w:val="00783BC0"/>
    <w:rsid w:val="00783C1A"/>
    <w:rsid w:val="00783CD4"/>
    <w:rsid w:val="00783CFF"/>
    <w:rsid w:val="00783D87"/>
    <w:rsid w:val="00783DC9"/>
    <w:rsid w:val="00783E0C"/>
    <w:rsid w:val="00783E12"/>
    <w:rsid w:val="00783E9A"/>
    <w:rsid w:val="00783EDE"/>
    <w:rsid w:val="00783F0E"/>
    <w:rsid w:val="00783F98"/>
    <w:rsid w:val="00783FAF"/>
    <w:rsid w:val="00783FFC"/>
    <w:rsid w:val="00784019"/>
    <w:rsid w:val="00784084"/>
    <w:rsid w:val="007840C7"/>
    <w:rsid w:val="00784129"/>
    <w:rsid w:val="00784136"/>
    <w:rsid w:val="00784162"/>
    <w:rsid w:val="00784163"/>
    <w:rsid w:val="007841F4"/>
    <w:rsid w:val="00784242"/>
    <w:rsid w:val="0078424D"/>
    <w:rsid w:val="00784275"/>
    <w:rsid w:val="00784279"/>
    <w:rsid w:val="007842DC"/>
    <w:rsid w:val="0078430E"/>
    <w:rsid w:val="00784319"/>
    <w:rsid w:val="00784323"/>
    <w:rsid w:val="00784325"/>
    <w:rsid w:val="0078437A"/>
    <w:rsid w:val="007843D2"/>
    <w:rsid w:val="00784407"/>
    <w:rsid w:val="00784426"/>
    <w:rsid w:val="00784499"/>
    <w:rsid w:val="00784520"/>
    <w:rsid w:val="0078453E"/>
    <w:rsid w:val="0078456F"/>
    <w:rsid w:val="007845BD"/>
    <w:rsid w:val="007845F0"/>
    <w:rsid w:val="007845FB"/>
    <w:rsid w:val="00784607"/>
    <w:rsid w:val="00784658"/>
    <w:rsid w:val="007846D7"/>
    <w:rsid w:val="007846ED"/>
    <w:rsid w:val="00784708"/>
    <w:rsid w:val="00784734"/>
    <w:rsid w:val="007847B2"/>
    <w:rsid w:val="007847C7"/>
    <w:rsid w:val="007847F2"/>
    <w:rsid w:val="00784827"/>
    <w:rsid w:val="00784880"/>
    <w:rsid w:val="007848AA"/>
    <w:rsid w:val="007848AE"/>
    <w:rsid w:val="00784901"/>
    <w:rsid w:val="00784937"/>
    <w:rsid w:val="00784986"/>
    <w:rsid w:val="00784994"/>
    <w:rsid w:val="007849AF"/>
    <w:rsid w:val="007849FD"/>
    <w:rsid w:val="00784A97"/>
    <w:rsid w:val="00784AF6"/>
    <w:rsid w:val="00784B60"/>
    <w:rsid w:val="00784B64"/>
    <w:rsid w:val="00784B84"/>
    <w:rsid w:val="00784C82"/>
    <w:rsid w:val="00784CD4"/>
    <w:rsid w:val="00784CDD"/>
    <w:rsid w:val="00784D38"/>
    <w:rsid w:val="00784E12"/>
    <w:rsid w:val="00784F1D"/>
    <w:rsid w:val="00784F48"/>
    <w:rsid w:val="00784F56"/>
    <w:rsid w:val="00784F7A"/>
    <w:rsid w:val="00784F98"/>
    <w:rsid w:val="00784F99"/>
    <w:rsid w:val="00784FAC"/>
    <w:rsid w:val="00784FD3"/>
    <w:rsid w:val="00784FE7"/>
    <w:rsid w:val="00785006"/>
    <w:rsid w:val="007850F4"/>
    <w:rsid w:val="0078511E"/>
    <w:rsid w:val="00785163"/>
    <w:rsid w:val="00785199"/>
    <w:rsid w:val="0078527C"/>
    <w:rsid w:val="007852C5"/>
    <w:rsid w:val="00785351"/>
    <w:rsid w:val="00785378"/>
    <w:rsid w:val="007853B3"/>
    <w:rsid w:val="007853F8"/>
    <w:rsid w:val="00785416"/>
    <w:rsid w:val="0078545E"/>
    <w:rsid w:val="00785477"/>
    <w:rsid w:val="007854B0"/>
    <w:rsid w:val="007854C0"/>
    <w:rsid w:val="007854DF"/>
    <w:rsid w:val="00785526"/>
    <w:rsid w:val="00785549"/>
    <w:rsid w:val="00785591"/>
    <w:rsid w:val="007855B9"/>
    <w:rsid w:val="007855C8"/>
    <w:rsid w:val="00785624"/>
    <w:rsid w:val="0078562A"/>
    <w:rsid w:val="00785669"/>
    <w:rsid w:val="0078566C"/>
    <w:rsid w:val="00785686"/>
    <w:rsid w:val="00785793"/>
    <w:rsid w:val="0078584E"/>
    <w:rsid w:val="00785922"/>
    <w:rsid w:val="007859E7"/>
    <w:rsid w:val="007859FE"/>
    <w:rsid w:val="00785A45"/>
    <w:rsid w:val="00785AF8"/>
    <w:rsid w:val="00785AFE"/>
    <w:rsid w:val="00785B04"/>
    <w:rsid w:val="00785B2C"/>
    <w:rsid w:val="00785B8D"/>
    <w:rsid w:val="00785BCE"/>
    <w:rsid w:val="00785BDB"/>
    <w:rsid w:val="00785BF3"/>
    <w:rsid w:val="00785C12"/>
    <w:rsid w:val="00785CDA"/>
    <w:rsid w:val="00785D0A"/>
    <w:rsid w:val="00785D1E"/>
    <w:rsid w:val="00785D26"/>
    <w:rsid w:val="00785D44"/>
    <w:rsid w:val="00785DAA"/>
    <w:rsid w:val="00785DEE"/>
    <w:rsid w:val="00785EC2"/>
    <w:rsid w:val="00785ED3"/>
    <w:rsid w:val="00785EDA"/>
    <w:rsid w:val="00785F4D"/>
    <w:rsid w:val="00785F50"/>
    <w:rsid w:val="0078601E"/>
    <w:rsid w:val="007860B1"/>
    <w:rsid w:val="007860D4"/>
    <w:rsid w:val="0078612C"/>
    <w:rsid w:val="007861E4"/>
    <w:rsid w:val="007861FA"/>
    <w:rsid w:val="0078628D"/>
    <w:rsid w:val="007862A6"/>
    <w:rsid w:val="007862AB"/>
    <w:rsid w:val="0078635C"/>
    <w:rsid w:val="007863AB"/>
    <w:rsid w:val="007864F8"/>
    <w:rsid w:val="0078658B"/>
    <w:rsid w:val="007865C2"/>
    <w:rsid w:val="007866A9"/>
    <w:rsid w:val="007866D0"/>
    <w:rsid w:val="007866FA"/>
    <w:rsid w:val="00786703"/>
    <w:rsid w:val="00786729"/>
    <w:rsid w:val="00786764"/>
    <w:rsid w:val="00786774"/>
    <w:rsid w:val="0078679B"/>
    <w:rsid w:val="007867A4"/>
    <w:rsid w:val="007867B1"/>
    <w:rsid w:val="00786851"/>
    <w:rsid w:val="007868B2"/>
    <w:rsid w:val="0078691C"/>
    <w:rsid w:val="0078692C"/>
    <w:rsid w:val="0078694D"/>
    <w:rsid w:val="00786966"/>
    <w:rsid w:val="00786975"/>
    <w:rsid w:val="00786A3B"/>
    <w:rsid w:val="00786A5F"/>
    <w:rsid w:val="00786AF0"/>
    <w:rsid w:val="00786B05"/>
    <w:rsid w:val="00786B2E"/>
    <w:rsid w:val="00786C0B"/>
    <w:rsid w:val="00786C58"/>
    <w:rsid w:val="00786C74"/>
    <w:rsid w:val="00786CA9"/>
    <w:rsid w:val="00786DB4"/>
    <w:rsid w:val="00786DCE"/>
    <w:rsid w:val="00786DF0"/>
    <w:rsid w:val="00786E5E"/>
    <w:rsid w:val="00786E80"/>
    <w:rsid w:val="00786E86"/>
    <w:rsid w:val="00786ED5"/>
    <w:rsid w:val="00786EFE"/>
    <w:rsid w:val="00786F01"/>
    <w:rsid w:val="00786F18"/>
    <w:rsid w:val="00786F51"/>
    <w:rsid w:val="00786F8F"/>
    <w:rsid w:val="00786FDB"/>
    <w:rsid w:val="00786FFB"/>
    <w:rsid w:val="00787048"/>
    <w:rsid w:val="0078705F"/>
    <w:rsid w:val="00787080"/>
    <w:rsid w:val="007870F5"/>
    <w:rsid w:val="007870FD"/>
    <w:rsid w:val="0078715E"/>
    <w:rsid w:val="0078717F"/>
    <w:rsid w:val="00787190"/>
    <w:rsid w:val="007871D5"/>
    <w:rsid w:val="0078722D"/>
    <w:rsid w:val="00787248"/>
    <w:rsid w:val="00787282"/>
    <w:rsid w:val="00787291"/>
    <w:rsid w:val="007872B4"/>
    <w:rsid w:val="00787346"/>
    <w:rsid w:val="00787377"/>
    <w:rsid w:val="00787396"/>
    <w:rsid w:val="00787398"/>
    <w:rsid w:val="007873B4"/>
    <w:rsid w:val="007873CA"/>
    <w:rsid w:val="0078741B"/>
    <w:rsid w:val="0078747A"/>
    <w:rsid w:val="0078748E"/>
    <w:rsid w:val="007874B4"/>
    <w:rsid w:val="007874BD"/>
    <w:rsid w:val="007874D7"/>
    <w:rsid w:val="007874E7"/>
    <w:rsid w:val="00787509"/>
    <w:rsid w:val="0078750E"/>
    <w:rsid w:val="00787542"/>
    <w:rsid w:val="0078755C"/>
    <w:rsid w:val="00787563"/>
    <w:rsid w:val="00787567"/>
    <w:rsid w:val="00787659"/>
    <w:rsid w:val="00787673"/>
    <w:rsid w:val="007876F0"/>
    <w:rsid w:val="00787704"/>
    <w:rsid w:val="0078773A"/>
    <w:rsid w:val="0078773C"/>
    <w:rsid w:val="00787806"/>
    <w:rsid w:val="00787839"/>
    <w:rsid w:val="007878D1"/>
    <w:rsid w:val="007878D4"/>
    <w:rsid w:val="00787980"/>
    <w:rsid w:val="00787999"/>
    <w:rsid w:val="00787A2C"/>
    <w:rsid w:val="00787A3B"/>
    <w:rsid w:val="00787B2B"/>
    <w:rsid w:val="00787BE0"/>
    <w:rsid w:val="00787CCC"/>
    <w:rsid w:val="00787CD7"/>
    <w:rsid w:val="00787D1C"/>
    <w:rsid w:val="00787DA0"/>
    <w:rsid w:val="00787DBC"/>
    <w:rsid w:val="00787DD5"/>
    <w:rsid w:val="00787E03"/>
    <w:rsid w:val="00787E12"/>
    <w:rsid w:val="00787E18"/>
    <w:rsid w:val="00787E22"/>
    <w:rsid w:val="00787E31"/>
    <w:rsid w:val="00787E62"/>
    <w:rsid w:val="00787E76"/>
    <w:rsid w:val="00787EA6"/>
    <w:rsid w:val="00787F3F"/>
    <w:rsid w:val="00787F5D"/>
    <w:rsid w:val="00787F94"/>
    <w:rsid w:val="00787FC5"/>
    <w:rsid w:val="0079003F"/>
    <w:rsid w:val="00790077"/>
    <w:rsid w:val="007900E8"/>
    <w:rsid w:val="00790115"/>
    <w:rsid w:val="0079012F"/>
    <w:rsid w:val="00790130"/>
    <w:rsid w:val="00790142"/>
    <w:rsid w:val="007901BD"/>
    <w:rsid w:val="007901EA"/>
    <w:rsid w:val="0079020B"/>
    <w:rsid w:val="0079028C"/>
    <w:rsid w:val="007902BC"/>
    <w:rsid w:val="00790308"/>
    <w:rsid w:val="00790351"/>
    <w:rsid w:val="00790367"/>
    <w:rsid w:val="0079036D"/>
    <w:rsid w:val="0079037B"/>
    <w:rsid w:val="0079037C"/>
    <w:rsid w:val="007903A2"/>
    <w:rsid w:val="007903FB"/>
    <w:rsid w:val="0079043C"/>
    <w:rsid w:val="00790464"/>
    <w:rsid w:val="00790475"/>
    <w:rsid w:val="007904C3"/>
    <w:rsid w:val="0079050D"/>
    <w:rsid w:val="0079052A"/>
    <w:rsid w:val="0079061F"/>
    <w:rsid w:val="00790722"/>
    <w:rsid w:val="007907A2"/>
    <w:rsid w:val="0079088E"/>
    <w:rsid w:val="007908D9"/>
    <w:rsid w:val="007908FC"/>
    <w:rsid w:val="0079095D"/>
    <w:rsid w:val="00790975"/>
    <w:rsid w:val="00790976"/>
    <w:rsid w:val="00790A13"/>
    <w:rsid w:val="00790AC3"/>
    <w:rsid w:val="00790AFF"/>
    <w:rsid w:val="00790B57"/>
    <w:rsid w:val="00790B5F"/>
    <w:rsid w:val="00790BAD"/>
    <w:rsid w:val="00790C59"/>
    <w:rsid w:val="00790CA1"/>
    <w:rsid w:val="00790D3C"/>
    <w:rsid w:val="00790D43"/>
    <w:rsid w:val="00790D7A"/>
    <w:rsid w:val="00790D92"/>
    <w:rsid w:val="00790DAE"/>
    <w:rsid w:val="00790DCA"/>
    <w:rsid w:val="00790DD4"/>
    <w:rsid w:val="00790DDB"/>
    <w:rsid w:val="00790E24"/>
    <w:rsid w:val="00790E27"/>
    <w:rsid w:val="00790E5C"/>
    <w:rsid w:val="00790F1C"/>
    <w:rsid w:val="00790F48"/>
    <w:rsid w:val="00790F8C"/>
    <w:rsid w:val="00790FA5"/>
    <w:rsid w:val="00791052"/>
    <w:rsid w:val="007910AF"/>
    <w:rsid w:val="007910EC"/>
    <w:rsid w:val="00791102"/>
    <w:rsid w:val="0079113A"/>
    <w:rsid w:val="0079117A"/>
    <w:rsid w:val="007911F2"/>
    <w:rsid w:val="00791277"/>
    <w:rsid w:val="007912C1"/>
    <w:rsid w:val="007912FA"/>
    <w:rsid w:val="00791312"/>
    <w:rsid w:val="00791315"/>
    <w:rsid w:val="00791384"/>
    <w:rsid w:val="007913DE"/>
    <w:rsid w:val="0079145D"/>
    <w:rsid w:val="00791476"/>
    <w:rsid w:val="00791477"/>
    <w:rsid w:val="007914A2"/>
    <w:rsid w:val="007914B0"/>
    <w:rsid w:val="00791502"/>
    <w:rsid w:val="00791517"/>
    <w:rsid w:val="00791593"/>
    <w:rsid w:val="007915A6"/>
    <w:rsid w:val="00791659"/>
    <w:rsid w:val="007916CC"/>
    <w:rsid w:val="00791701"/>
    <w:rsid w:val="00791706"/>
    <w:rsid w:val="0079174A"/>
    <w:rsid w:val="0079177C"/>
    <w:rsid w:val="00791789"/>
    <w:rsid w:val="0079186D"/>
    <w:rsid w:val="00791897"/>
    <w:rsid w:val="007918C0"/>
    <w:rsid w:val="007918E0"/>
    <w:rsid w:val="00791922"/>
    <w:rsid w:val="00791963"/>
    <w:rsid w:val="007919AE"/>
    <w:rsid w:val="007919F4"/>
    <w:rsid w:val="00791A15"/>
    <w:rsid w:val="00791A2B"/>
    <w:rsid w:val="00791AD3"/>
    <w:rsid w:val="00791B03"/>
    <w:rsid w:val="00791B1D"/>
    <w:rsid w:val="00791B29"/>
    <w:rsid w:val="00791B51"/>
    <w:rsid w:val="00791B70"/>
    <w:rsid w:val="00791B73"/>
    <w:rsid w:val="00791B7B"/>
    <w:rsid w:val="00791B80"/>
    <w:rsid w:val="00791B81"/>
    <w:rsid w:val="00791BB9"/>
    <w:rsid w:val="00791BDD"/>
    <w:rsid w:val="00791BE2"/>
    <w:rsid w:val="00791BEF"/>
    <w:rsid w:val="00791C05"/>
    <w:rsid w:val="00791C13"/>
    <w:rsid w:val="00791C56"/>
    <w:rsid w:val="00791CB3"/>
    <w:rsid w:val="00791CC3"/>
    <w:rsid w:val="00791D5B"/>
    <w:rsid w:val="00791DB0"/>
    <w:rsid w:val="00791DC0"/>
    <w:rsid w:val="00791E0C"/>
    <w:rsid w:val="00791E10"/>
    <w:rsid w:val="00791F56"/>
    <w:rsid w:val="00791FC0"/>
    <w:rsid w:val="00791FC3"/>
    <w:rsid w:val="00792000"/>
    <w:rsid w:val="00792002"/>
    <w:rsid w:val="0079204E"/>
    <w:rsid w:val="007920BE"/>
    <w:rsid w:val="007920D9"/>
    <w:rsid w:val="007920F1"/>
    <w:rsid w:val="007920F8"/>
    <w:rsid w:val="007920FA"/>
    <w:rsid w:val="00792256"/>
    <w:rsid w:val="007922C3"/>
    <w:rsid w:val="007922F2"/>
    <w:rsid w:val="00792303"/>
    <w:rsid w:val="00792331"/>
    <w:rsid w:val="00792337"/>
    <w:rsid w:val="00792367"/>
    <w:rsid w:val="007923BA"/>
    <w:rsid w:val="007923FA"/>
    <w:rsid w:val="0079241F"/>
    <w:rsid w:val="00792467"/>
    <w:rsid w:val="007924C1"/>
    <w:rsid w:val="007924D1"/>
    <w:rsid w:val="007924F3"/>
    <w:rsid w:val="00792593"/>
    <w:rsid w:val="00792645"/>
    <w:rsid w:val="0079265A"/>
    <w:rsid w:val="007926AF"/>
    <w:rsid w:val="007926D2"/>
    <w:rsid w:val="007926D4"/>
    <w:rsid w:val="007926D9"/>
    <w:rsid w:val="00792798"/>
    <w:rsid w:val="00792832"/>
    <w:rsid w:val="00792862"/>
    <w:rsid w:val="0079288F"/>
    <w:rsid w:val="0079289D"/>
    <w:rsid w:val="007928C5"/>
    <w:rsid w:val="00792909"/>
    <w:rsid w:val="0079294C"/>
    <w:rsid w:val="00792954"/>
    <w:rsid w:val="00792957"/>
    <w:rsid w:val="00792A15"/>
    <w:rsid w:val="00792A1D"/>
    <w:rsid w:val="00792A5F"/>
    <w:rsid w:val="00792A73"/>
    <w:rsid w:val="00792AAD"/>
    <w:rsid w:val="00792AFE"/>
    <w:rsid w:val="00792B03"/>
    <w:rsid w:val="00792B82"/>
    <w:rsid w:val="00792B9B"/>
    <w:rsid w:val="00792BAA"/>
    <w:rsid w:val="00792C14"/>
    <w:rsid w:val="00792C29"/>
    <w:rsid w:val="00792C6A"/>
    <w:rsid w:val="00792C86"/>
    <w:rsid w:val="00792CB5"/>
    <w:rsid w:val="00792CC3"/>
    <w:rsid w:val="00792CCF"/>
    <w:rsid w:val="00792D2E"/>
    <w:rsid w:val="00792D63"/>
    <w:rsid w:val="00792DE8"/>
    <w:rsid w:val="00792E1A"/>
    <w:rsid w:val="00792E1B"/>
    <w:rsid w:val="00792E7D"/>
    <w:rsid w:val="00792EAD"/>
    <w:rsid w:val="00792F16"/>
    <w:rsid w:val="00792F9D"/>
    <w:rsid w:val="00792FE4"/>
    <w:rsid w:val="0079300D"/>
    <w:rsid w:val="00793040"/>
    <w:rsid w:val="00793067"/>
    <w:rsid w:val="0079308C"/>
    <w:rsid w:val="007930C6"/>
    <w:rsid w:val="0079315F"/>
    <w:rsid w:val="0079318C"/>
    <w:rsid w:val="00793223"/>
    <w:rsid w:val="0079329E"/>
    <w:rsid w:val="007932C8"/>
    <w:rsid w:val="007932F7"/>
    <w:rsid w:val="00793361"/>
    <w:rsid w:val="007933BD"/>
    <w:rsid w:val="007934ED"/>
    <w:rsid w:val="0079351F"/>
    <w:rsid w:val="00793571"/>
    <w:rsid w:val="007935B5"/>
    <w:rsid w:val="007935DC"/>
    <w:rsid w:val="00793604"/>
    <w:rsid w:val="00793644"/>
    <w:rsid w:val="00793666"/>
    <w:rsid w:val="00793695"/>
    <w:rsid w:val="007936B2"/>
    <w:rsid w:val="007936F3"/>
    <w:rsid w:val="00793715"/>
    <w:rsid w:val="00793732"/>
    <w:rsid w:val="0079374C"/>
    <w:rsid w:val="00793787"/>
    <w:rsid w:val="00793790"/>
    <w:rsid w:val="007937BA"/>
    <w:rsid w:val="007937CA"/>
    <w:rsid w:val="007937D9"/>
    <w:rsid w:val="007937DE"/>
    <w:rsid w:val="007937EB"/>
    <w:rsid w:val="00793803"/>
    <w:rsid w:val="00793849"/>
    <w:rsid w:val="00793875"/>
    <w:rsid w:val="00793897"/>
    <w:rsid w:val="00793898"/>
    <w:rsid w:val="0079389E"/>
    <w:rsid w:val="007938DA"/>
    <w:rsid w:val="007938F9"/>
    <w:rsid w:val="0079391E"/>
    <w:rsid w:val="0079393F"/>
    <w:rsid w:val="00793940"/>
    <w:rsid w:val="00793960"/>
    <w:rsid w:val="007939D4"/>
    <w:rsid w:val="00793A1C"/>
    <w:rsid w:val="00793ACC"/>
    <w:rsid w:val="00793AD1"/>
    <w:rsid w:val="00793AFD"/>
    <w:rsid w:val="00793B54"/>
    <w:rsid w:val="00793C4E"/>
    <w:rsid w:val="00793C63"/>
    <w:rsid w:val="00793D6B"/>
    <w:rsid w:val="00793E24"/>
    <w:rsid w:val="00793E85"/>
    <w:rsid w:val="00793E90"/>
    <w:rsid w:val="00793E97"/>
    <w:rsid w:val="00793EA3"/>
    <w:rsid w:val="00793ED4"/>
    <w:rsid w:val="00793EF8"/>
    <w:rsid w:val="00793F2B"/>
    <w:rsid w:val="00793F61"/>
    <w:rsid w:val="00793FCE"/>
    <w:rsid w:val="0079406D"/>
    <w:rsid w:val="0079408E"/>
    <w:rsid w:val="007940A9"/>
    <w:rsid w:val="00794111"/>
    <w:rsid w:val="0079411F"/>
    <w:rsid w:val="00794139"/>
    <w:rsid w:val="007941BD"/>
    <w:rsid w:val="0079425C"/>
    <w:rsid w:val="00794269"/>
    <w:rsid w:val="00794289"/>
    <w:rsid w:val="007942B8"/>
    <w:rsid w:val="007942EC"/>
    <w:rsid w:val="007943AE"/>
    <w:rsid w:val="007943B9"/>
    <w:rsid w:val="007943CD"/>
    <w:rsid w:val="00794470"/>
    <w:rsid w:val="007944B1"/>
    <w:rsid w:val="0079452D"/>
    <w:rsid w:val="00794695"/>
    <w:rsid w:val="007946BA"/>
    <w:rsid w:val="007946F1"/>
    <w:rsid w:val="007947F6"/>
    <w:rsid w:val="007947FE"/>
    <w:rsid w:val="0079484E"/>
    <w:rsid w:val="00794893"/>
    <w:rsid w:val="00794895"/>
    <w:rsid w:val="00794929"/>
    <w:rsid w:val="00794966"/>
    <w:rsid w:val="00794A2F"/>
    <w:rsid w:val="00794A77"/>
    <w:rsid w:val="00794A84"/>
    <w:rsid w:val="00794A97"/>
    <w:rsid w:val="00794AA5"/>
    <w:rsid w:val="00794B18"/>
    <w:rsid w:val="00794B19"/>
    <w:rsid w:val="00794B2D"/>
    <w:rsid w:val="00794B34"/>
    <w:rsid w:val="00794B64"/>
    <w:rsid w:val="00794B74"/>
    <w:rsid w:val="00794C3A"/>
    <w:rsid w:val="00794C90"/>
    <w:rsid w:val="00794D61"/>
    <w:rsid w:val="00794D67"/>
    <w:rsid w:val="00794D7D"/>
    <w:rsid w:val="00794E67"/>
    <w:rsid w:val="00794E7E"/>
    <w:rsid w:val="00794EAA"/>
    <w:rsid w:val="00794EAB"/>
    <w:rsid w:val="00794F26"/>
    <w:rsid w:val="00794F51"/>
    <w:rsid w:val="00794FA5"/>
    <w:rsid w:val="00795033"/>
    <w:rsid w:val="0079506D"/>
    <w:rsid w:val="00795097"/>
    <w:rsid w:val="007950C8"/>
    <w:rsid w:val="007950E4"/>
    <w:rsid w:val="00795107"/>
    <w:rsid w:val="0079515A"/>
    <w:rsid w:val="007951DB"/>
    <w:rsid w:val="007951E6"/>
    <w:rsid w:val="007952A0"/>
    <w:rsid w:val="0079537B"/>
    <w:rsid w:val="00795383"/>
    <w:rsid w:val="007953BF"/>
    <w:rsid w:val="007953EA"/>
    <w:rsid w:val="007953ED"/>
    <w:rsid w:val="007953F3"/>
    <w:rsid w:val="00795403"/>
    <w:rsid w:val="00795426"/>
    <w:rsid w:val="0079546E"/>
    <w:rsid w:val="00795512"/>
    <w:rsid w:val="0079552C"/>
    <w:rsid w:val="00795563"/>
    <w:rsid w:val="0079557B"/>
    <w:rsid w:val="007955AC"/>
    <w:rsid w:val="007955F8"/>
    <w:rsid w:val="00795674"/>
    <w:rsid w:val="00795681"/>
    <w:rsid w:val="0079568D"/>
    <w:rsid w:val="007956A3"/>
    <w:rsid w:val="007956C0"/>
    <w:rsid w:val="00795706"/>
    <w:rsid w:val="00795729"/>
    <w:rsid w:val="0079576F"/>
    <w:rsid w:val="0079577B"/>
    <w:rsid w:val="00795786"/>
    <w:rsid w:val="007957CC"/>
    <w:rsid w:val="0079585F"/>
    <w:rsid w:val="00795862"/>
    <w:rsid w:val="0079587D"/>
    <w:rsid w:val="00795935"/>
    <w:rsid w:val="00795998"/>
    <w:rsid w:val="007959C2"/>
    <w:rsid w:val="007959FE"/>
    <w:rsid w:val="00795A35"/>
    <w:rsid w:val="00795A48"/>
    <w:rsid w:val="00795A6B"/>
    <w:rsid w:val="00795A70"/>
    <w:rsid w:val="00795A8D"/>
    <w:rsid w:val="00795ABB"/>
    <w:rsid w:val="00795AF3"/>
    <w:rsid w:val="00795BDA"/>
    <w:rsid w:val="00795BEB"/>
    <w:rsid w:val="00795BEE"/>
    <w:rsid w:val="00795C15"/>
    <w:rsid w:val="00795C2E"/>
    <w:rsid w:val="00795C78"/>
    <w:rsid w:val="00795C9A"/>
    <w:rsid w:val="00795CAF"/>
    <w:rsid w:val="00795CB4"/>
    <w:rsid w:val="00795CC5"/>
    <w:rsid w:val="00795D2B"/>
    <w:rsid w:val="00795D5E"/>
    <w:rsid w:val="00795D5F"/>
    <w:rsid w:val="00795DD2"/>
    <w:rsid w:val="00795E2F"/>
    <w:rsid w:val="00795E7B"/>
    <w:rsid w:val="00795EC5"/>
    <w:rsid w:val="00795F0B"/>
    <w:rsid w:val="00795F4E"/>
    <w:rsid w:val="00795F8F"/>
    <w:rsid w:val="00795FD2"/>
    <w:rsid w:val="007960A8"/>
    <w:rsid w:val="007960FE"/>
    <w:rsid w:val="007961A4"/>
    <w:rsid w:val="007961B1"/>
    <w:rsid w:val="007961D1"/>
    <w:rsid w:val="00796255"/>
    <w:rsid w:val="0079626B"/>
    <w:rsid w:val="0079627A"/>
    <w:rsid w:val="00796287"/>
    <w:rsid w:val="0079628D"/>
    <w:rsid w:val="00796292"/>
    <w:rsid w:val="0079629B"/>
    <w:rsid w:val="007962B3"/>
    <w:rsid w:val="00796355"/>
    <w:rsid w:val="0079638D"/>
    <w:rsid w:val="007963FA"/>
    <w:rsid w:val="00796405"/>
    <w:rsid w:val="00796437"/>
    <w:rsid w:val="007964AA"/>
    <w:rsid w:val="007964D4"/>
    <w:rsid w:val="007964E1"/>
    <w:rsid w:val="00796504"/>
    <w:rsid w:val="00796595"/>
    <w:rsid w:val="007965A0"/>
    <w:rsid w:val="007965C8"/>
    <w:rsid w:val="007965DB"/>
    <w:rsid w:val="00796617"/>
    <w:rsid w:val="00796619"/>
    <w:rsid w:val="007966F0"/>
    <w:rsid w:val="00796709"/>
    <w:rsid w:val="0079671F"/>
    <w:rsid w:val="0079672B"/>
    <w:rsid w:val="00796742"/>
    <w:rsid w:val="0079675C"/>
    <w:rsid w:val="007967D9"/>
    <w:rsid w:val="00796823"/>
    <w:rsid w:val="0079686B"/>
    <w:rsid w:val="0079693A"/>
    <w:rsid w:val="0079696B"/>
    <w:rsid w:val="00796991"/>
    <w:rsid w:val="00796A4A"/>
    <w:rsid w:val="00796A55"/>
    <w:rsid w:val="00796A6D"/>
    <w:rsid w:val="00796A94"/>
    <w:rsid w:val="00796AE9"/>
    <w:rsid w:val="00796AEB"/>
    <w:rsid w:val="00796B22"/>
    <w:rsid w:val="00796B2B"/>
    <w:rsid w:val="00796BA7"/>
    <w:rsid w:val="00796BF8"/>
    <w:rsid w:val="00796C19"/>
    <w:rsid w:val="00796C93"/>
    <w:rsid w:val="00796CAD"/>
    <w:rsid w:val="00796D29"/>
    <w:rsid w:val="00796D4C"/>
    <w:rsid w:val="00796D87"/>
    <w:rsid w:val="00796DBF"/>
    <w:rsid w:val="00796E12"/>
    <w:rsid w:val="00796E60"/>
    <w:rsid w:val="00796ECC"/>
    <w:rsid w:val="00796ECF"/>
    <w:rsid w:val="00796F3E"/>
    <w:rsid w:val="00796FAB"/>
    <w:rsid w:val="00796FC4"/>
    <w:rsid w:val="00796FFE"/>
    <w:rsid w:val="0079702F"/>
    <w:rsid w:val="0079709A"/>
    <w:rsid w:val="007970CF"/>
    <w:rsid w:val="00797148"/>
    <w:rsid w:val="007971A7"/>
    <w:rsid w:val="00797222"/>
    <w:rsid w:val="0079730B"/>
    <w:rsid w:val="00797371"/>
    <w:rsid w:val="00797374"/>
    <w:rsid w:val="007973A3"/>
    <w:rsid w:val="007973B0"/>
    <w:rsid w:val="007973F4"/>
    <w:rsid w:val="0079740A"/>
    <w:rsid w:val="00797432"/>
    <w:rsid w:val="0079752D"/>
    <w:rsid w:val="00797531"/>
    <w:rsid w:val="00797535"/>
    <w:rsid w:val="00797558"/>
    <w:rsid w:val="0079756C"/>
    <w:rsid w:val="00797575"/>
    <w:rsid w:val="007975AC"/>
    <w:rsid w:val="007975B0"/>
    <w:rsid w:val="007975D0"/>
    <w:rsid w:val="007975D2"/>
    <w:rsid w:val="0079760A"/>
    <w:rsid w:val="007976EB"/>
    <w:rsid w:val="007976FB"/>
    <w:rsid w:val="0079779F"/>
    <w:rsid w:val="007977BA"/>
    <w:rsid w:val="0079780A"/>
    <w:rsid w:val="00797813"/>
    <w:rsid w:val="0079784A"/>
    <w:rsid w:val="007978A1"/>
    <w:rsid w:val="007978CE"/>
    <w:rsid w:val="007978FE"/>
    <w:rsid w:val="0079794F"/>
    <w:rsid w:val="00797996"/>
    <w:rsid w:val="0079799D"/>
    <w:rsid w:val="007979CB"/>
    <w:rsid w:val="007979DB"/>
    <w:rsid w:val="00797A40"/>
    <w:rsid w:val="00797A78"/>
    <w:rsid w:val="00797A9F"/>
    <w:rsid w:val="00797AAC"/>
    <w:rsid w:val="00797B3D"/>
    <w:rsid w:val="00797B6D"/>
    <w:rsid w:val="00797B71"/>
    <w:rsid w:val="00797B8C"/>
    <w:rsid w:val="00797BA3"/>
    <w:rsid w:val="00797BAA"/>
    <w:rsid w:val="00797BC9"/>
    <w:rsid w:val="00797C19"/>
    <w:rsid w:val="00797CDC"/>
    <w:rsid w:val="00797CF8"/>
    <w:rsid w:val="00797D6F"/>
    <w:rsid w:val="00797DF9"/>
    <w:rsid w:val="00797E99"/>
    <w:rsid w:val="00797EE9"/>
    <w:rsid w:val="00797F11"/>
    <w:rsid w:val="00797F4A"/>
    <w:rsid w:val="00797F95"/>
    <w:rsid w:val="007A0083"/>
    <w:rsid w:val="007A00D2"/>
    <w:rsid w:val="007A019C"/>
    <w:rsid w:val="007A01C2"/>
    <w:rsid w:val="007A01E7"/>
    <w:rsid w:val="007A02C8"/>
    <w:rsid w:val="007A02D0"/>
    <w:rsid w:val="007A02ED"/>
    <w:rsid w:val="007A031A"/>
    <w:rsid w:val="007A03D9"/>
    <w:rsid w:val="007A03DF"/>
    <w:rsid w:val="007A0402"/>
    <w:rsid w:val="007A042C"/>
    <w:rsid w:val="007A0448"/>
    <w:rsid w:val="007A044A"/>
    <w:rsid w:val="007A0470"/>
    <w:rsid w:val="007A04A4"/>
    <w:rsid w:val="007A04D3"/>
    <w:rsid w:val="007A04F2"/>
    <w:rsid w:val="007A0597"/>
    <w:rsid w:val="007A05A5"/>
    <w:rsid w:val="007A05E0"/>
    <w:rsid w:val="007A05FB"/>
    <w:rsid w:val="007A0627"/>
    <w:rsid w:val="007A063D"/>
    <w:rsid w:val="007A06AF"/>
    <w:rsid w:val="007A06D6"/>
    <w:rsid w:val="007A078D"/>
    <w:rsid w:val="007A07E4"/>
    <w:rsid w:val="007A0811"/>
    <w:rsid w:val="007A084A"/>
    <w:rsid w:val="007A084E"/>
    <w:rsid w:val="007A0924"/>
    <w:rsid w:val="007A0962"/>
    <w:rsid w:val="007A0998"/>
    <w:rsid w:val="007A09AF"/>
    <w:rsid w:val="007A09B1"/>
    <w:rsid w:val="007A09C3"/>
    <w:rsid w:val="007A09D9"/>
    <w:rsid w:val="007A0A32"/>
    <w:rsid w:val="007A0A91"/>
    <w:rsid w:val="007A0BCD"/>
    <w:rsid w:val="007A0BD1"/>
    <w:rsid w:val="007A0BED"/>
    <w:rsid w:val="007A0BFB"/>
    <w:rsid w:val="007A0C42"/>
    <w:rsid w:val="007A0C48"/>
    <w:rsid w:val="007A0C5F"/>
    <w:rsid w:val="007A0CE4"/>
    <w:rsid w:val="007A0D5A"/>
    <w:rsid w:val="007A0DF3"/>
    <w:rsid w:val="007A0E2B"/>
    <w:rsid w:val="007A0E84"/>
    <w:rsid w:val="007A0EBE"/>
    <w:rsid w:val="007A0F43"/>
    <w:rsid w:val="007A0F4B"/>
    <w:rsid w:val="007A0FC5"/>
    <w:rsid w:val="007A0FD0"/>
    <w:rsid w:val="007A0FEA"/>
    <w:rsid w:val="007A10A7"/>
    <w:rsid w:val="007A10AD"/>
    <w:rsid w:val="007A10D5"/>
    <w:rsid w:val="007A10F3"/>
    <w:rsid w:val="007A1103"/>
    <w:rsid w:val="007A116C"/>
    <w:rsid w:val="007A1171"/>
    <w:rsid w:val="007A119A"/>
    <w:rsid w:val="007A119F"/>
    <w:rsid w:val="007A11AA"/>
    <w:rsid w:val="007A11D3"/>
    <w:rsid w:val="007A12B2"/>
    <w:rsid w:val="007A12C0"/>
    <w:rsid w:val="007A12C1"/>
    <w:rsid w:val="007A13C9"/>
    <w:rsid w:val="007A14AA"/>
    <w:rsid w:val="007A14EC"/>
    <w:rsid w:val="007A1548"/>
    <w:rsid w:val="007A156B"/>
    <w:rsid w:val="007A15D6"/>
    <w:rsid w:val="007A1651"/>
    <w:rsid w:val="007A166E"/>
    <w:rsid w:val="007A169E"/>
    <w:rsid w:val="007A17E5"/>
    <w:rsid w:val="007A17EB"/>
    <w:rsid w:val="007A17EE"/>
    <w:rsid w:val="007A180E"/>
    <w:rsid w:val="007A18A2"/>
    <w:rsid w:val="007A18BE"/>
    <w:rsid w:val="007A1941"/>
    <w:rsid w:val="007A19B1"/>
    <w:rsid w:val="007A19DE"/>
    <w:rsid w:val="007A19FC"/>
    <w:rsid w:val="007A1A1E"/>
    <w:rsid w:val="007A1AB8"/>
    <w:rsid w:val="007A1B0C"/>
    <w:rsid w:val="007A1BD7"/>
    <w:rsid w:val="007A1CD8"/>
    <w:rsid w:val="007A1DE4"/>
    <w:rsid w:val="007A1EB7"/>
    <w:rsid w:val="007A1ECC"/>
    <w:rsid w:val="007A1EEB"/>
    <w:rsid w:val="007A1F57"/>
    <w:rsid w:val="007A1F90"/>
    <w:rsid w:val="007A1FCD"/>
    <w:rsid w:val="007A201A"/>
    <w:rsid w:val="007A2040"/>
    <w:rsid w:val="007A206F"/>
    <w:rsid w:val="007A20E5"/>
    <w:rsid w:val="007A212B"/>
    <w:rsid w:val="007A21FA"/>
    <w:rsid w:val="007A224D"/>
    <w:rsid w:val="007A225F"/>
    <w:rsid w:val="007A227F"/>
    <w:rsid w:val="007A22AD"/>
    <w:rsid w:val="007A22C0"/>
    <w:rsid w:val="007A2305"/>
    <w:rsid w:val="007A2306"/>
    <w:rsid w:val="007A232A"/>
    <w:rsid w:val="007A234A"/>
    <w:rsid w:val="007A23B4"/>
    <w:rsid w:val="007A24C4"/>
    <w:rsid w:val="007A24C9"/>
    <w:rsid w:val="007A24FA"/>
    <w:rsid w:val="007A2594"/>
    <w:rsid w:val="007A25C5"/>
    <w:rsid w:val="007A263A"/>
    <w:rsid w:val="007A2675"/>
    <w:rsid w:val="007A26D7"/>
    <w:rsid w:val="007A26DB"/>
    <w:rsid w:val="007A271F"/>
    <w:rsid w:val="007A275E"/>
    <w:rsid w:val="007A2799"/>
    <w:rsid w:val="007A27D7"/>
    <w:rsid w:val="007A27F3"/>
    <w:rsid w:val="007A288B"/>
    <w:rsid w:val="007A28A6"/>
    <w:rsid w:val="007A28BF"/>
    <w:rsid w:val="007A28CA"/>
    <w:rsid w:val="007A2940"/>
    <w:rsid w:val="007A2946"/>
    <w:rsid w:val="007A299D"/>
    <w:rsid w:val="007A29A3"/>
    <w:rsid w:val="007A29F4"/>
    <w:rsid w:val="007A2A22"/>
    <w:rsid w:val="007A2A67"/>
    <w:rsid w:val="007A2A7E"/>
    <w:rsid w:val="007A2A8E"/>
    <w:rsid w:val="007A2AB1"/>
    <w:rsid w:val="007A2B44"/>
    <w:rsid w:val="007A2B4A"/>
    <w:rsid w:val="007A2B4C"/>
    <w:rsid w:val="007A2BBA"/>
    <w:rsid w:val="007A2BE4"/>
    <w:rsid w:val="007A2BF5"/>
    <w:rsid w:val="007A2C5B"/>
    <w:rsid w:val="007A2C7A"/>
    <w:rsid w:val="007A2CB7"/>
    <w:rsid w:val="007A2CF4"/>
    <w:rsid w:val="007A2D01"/>
    <w:rsid w:val="007A2D1D"/>
    <w:rsid w:val="007A2D1E"/>
    <w:rsid w:val="007A2D44"/>
    <w:rsid w:val="007A2DC0"/>
    <w:rsid w:val="007A2DD4"/>
    <w:rsid w:val="007A2DD5"/>
    <w:rsid w:val="007A2E0A"/>
    <w:rsid w:val="007A2E13"/>
    <w:rsid w:val="007A2E1D"/>
    <w:rsid w:val="007A2E3C"/>
    <w:rsid w:val="007A2E40"/>
    <w:rsid w:val="007A2E6E"/>
    <w:rsid w:val="007A2EA3"/>
    <w:rsid w:val="007A2EC8"/>
    <w:rsid w:val="007A2F6D"/>
    <w:rsid w:val="007A2F71"/>
    <w:rsid w:val="007A2FA1"/>
    <w:rsid w:val="007A2FE1"/>
    <w:rsid w:val="007A2FE3"/>
    <w:rsid w:val="007A306D"/>
    <w:rsid w:val="007A309D"/>
    <w:rsid w:val="007A30A3"/>
    <w:rsid w:val="007A30B0"/>
    <w:rsid w:val="007A30B7"/>
    <w:rsid w:val="007A3152"/>
    <w:rsid w:val="007A3221"/>
    <w:rsid w:val="007A32F3"/>
    <w:rsid w:val="007A334B"/>
    <w:rsid w:val="007A33EF"/>
    <w:rsid w:val="007A3429"/>
    <w:rsid w:val="007A3437"/>
    <w:rsid w:val="007A3445"/>
    <w:rsid w:val="007A34E0"/>
    <w:rsid w:val="007A34EB"/>
    <w:rsid w:val="007A34EE"/>
    <w:rsid w:val="007A35B7"/>
    <w:rsid w:val="007A35EF"/>
    <w:rsid w:val="007A35F0"/>
    <w:rsid w:val="007A369C"/>
    <w:rsid w:val="007A36CB"/>
    <w:rsid w:val="007A36D3"/>
    <w:rsid w:val="007A36EA"/>
    <w:rsid w:val="007A36FD"/>
    <w:rsid w:val="007A3713"/>
    <w:rsid w:val="007A3739"/>
    <w:rsid w:val="007A3757"/>
    <w:rsid w:val="007A3758"/>
    <w:rsid w:val="007A3775"/>
    <w:rsid w:val="007A37B3"/>
    <w:rsid w:val="007A37DA"/>
    <w:rsid w:val="007A37E1"/>
    <w:rsid w:val="007A37E6"/>
    <w:rsid w:val="007A37F4"/>
    <w:rsid w:val="007A37F5"/>
    <w:rsid w:val="007A380B"/>
    <w:rsid w:val="007A3817"/>
    <w:rsid w:val="007A38F2"/>
    <w:rsid w:val="007A38FE"/>
    <w:rsid w:val="007A3976"/>
    <w:rsid w:val="007A3998"/>
    <w:rsid w:val="007A39AB"/>
    <w:rsid w:val="007A39C9"/>
    <w:rsid w:val="007A3A1B"/>
    <w:rsid w:val="007A3A32"/>
    <w:rsid w:val="007A3A43"/>
    <w:rsid w:val="007A3A59"/>
    <w:rsid w:val="007A3A63"/>
    <w:rsid w:val="007A3A80"/>
    <w:rsid w:val="007A3AE4"/>
    <w:rsid w:val="007A3B1A"/>
    <w:rsid w:val="007A3B35"/>
    <w:rsid w:val="007A3B79"/>
    <w:rsid w:val="007A3BCE"/>
    <w:rsid w:val="007A3BE5"/>
    <w:rsid w:val="007A3BFF"/>
    <w:rsid w:val="007A3C75"/>
    <w:rsid w:val="007A3C9B"/>
    <w:rsid w:val="007A3CA9"/>
    <w:rsid w:val="007A3CCA"/>
    <w:rsid w:val="007A3CF5"/>
    <w:rsid w:val="007A3D0F"/>
    <w:rsid w:val="007A3D22"/>
    <w:rsid w:val="007A3D27"/>
    <w:rsid w:val="007A3D9B"/>
    <w:rsid w:val="007A3E29"/>
    <w:rsid w:val="007A3E36"/>
    <w:rsid w:val="007A3E78"/>
    <w:rsid w:val="007A3EC2"/>
    <w:rsid w:val="007A3F06"/>
    <w:rsid w:val="007A3F43"/>
    <w:rsid w:val="007A3F65"/>
    <w:rsid w:val="007A4057"/>
    <w:rsid w:val="007A4138"/>
    <w:rsid w:val="007A4161"/>
    <w:rsid w:val="007A41AD"/>
    <w:rsid w:val="007A41FD"/>
    <w:rsid w:val="007A420A"/>
    <w:rsid w:val="007A4237"/>
    <w:rsid w:val="007A4247"/>
    <w:rsid w:val="007A427F"/>
    <w:rsid w:val="007A436F"/>
    <w:rsid w:val="007A437E"/>
    <w:rsid w:val="007A444C"/>
    <w:rsid w:val="007A449E"/>
    <w:rsid w:val="007A4516"/>
    <w:rsid w:val="007A4527"/>
    <w:rsid w:val="007A4579"/>
    <w:rsid w:val="007A4590"/>
    <w:rsid w:val="007A45E7"/>
    <w:rsid w:val="007A4609"/>
    <w:rsid w:val="007A4620"/>
    <w:rsid w:val="007A47C5"/>
    <w:rsid w:val="007A4805"/>
    <w:rsid w:val="007A482C"/>
    <w:rsid w:val="007A483F"/>
    <w:rsid w:val="007A4876"/>
    <w:rsid w:val="007A48FA"/>
    <w:rsid w:val="007A490F"/>
    <w:rsid w:val="007A491A"/>
    <w:rsid w:val="007A4959"/>
    <w:rsid w:val="007A4994"/>
    <w:rsid w:val="007A49CB"/>
    <w:rsid w:val="007A4A40"/>
    <w:rsid w:val="007A4AA4"/>
    <w:rsid w:val="007A4AB4"/>
    <w:rsid w:val="007A4AB9"/>
    <w:rsid w:val="007A4AD2"/>
    <w:rsid w:val="007A4AD4"/>
    <w:rsid w:val="007A4ADE"/>
    <w:rsid w:val="007A4B46"/>
    <w:rsid w:val="007A4C3A"/>
    <w:rsid w:val="007A4C40"/>
    <w:rsid w:val="007A4C75"/>
    <w:rsid w:val="007A4D26"/>
    <w:rsid w:val="007A4D35"/>
    <w:rsid w:val="007A4D4E"/>
    <w:rsid w:val="007A4D57"/>
    <w:rsid w:val="007A4D9D"/>
    <w:rsid w:val="007A4DA5"/>
    <w:rsid w:val="007A4E97"/>
    <w:rsid w:val="007A4EAD"/>
    <w:rsid w:val="007A4F3E"/>
    <w:rsid w:val="007A4F6A"/>
    <w:rsid w:val="007A4F80"/>
    <w:rsid w:val="007A4F99"/>
    <w:rsid w:val="007A4FD7"/>
    <w:rsid w:val="007A502F"/>
    <w:rsid w:val="007A5030"/>
    <w:rsid w:val="007A5096"/>
    <w:rsid w:val="007A50A4"/>
    <w:rsid w:val="007A50BC"/>
    <w:rsid w:val="007A5132"/>
    <w:rsid w:val="007A517A"/>
    <w:rsid w:val="007A51C0"/>
    <w:rsid w:val="007A51C3"/>
    <w:rsid w:val="007A51D2"/>
    <w:rsid w:val="007A5286"/>
    <w:rsid w:val="007A528F"/>
    <w:rsid w:val="007A52D1"/>
    <w:rsid w:val="007A52FC"/>
    <w:rsid w:val="007A538E"/>
    <w:rsid w:val="007A53FD"/>
    <w:rsid w:val="007A5410"/>
    <w:rsid w:val="007A5424"/>
    <w:rsid w:val="007A5432"/>
    <w:rsid w:val="007A5453"/>
    <w:rsid w:val="007A546D"/>
    <w:rsid w:val="007A54B0"/>
    <w:rsid w:val="007A556F"/>
    <w:rsid w:val="007A55D7"/>
    <w:rsid w:val="007A55DE"/>
    <w:rsid w:val="007A55EA"/>
    <w:rsid w:val="007A5622"/>
    <w:rsid w:val="007A5667"/>
    <w:rsid w:val="007A56EF"/>
    <w:rsid w:val="007A5784"/>
    <w:rsid w:val="007A57DE"/>
    <w:rsid w:val="007A57E4"/>
    <w:rsid w:val="007A5897"/>
    <w:rsid w:val="007A58C8"/>
    <w:rsid w:val="007A5900"/>
    <w:rsid w:val="007A5915"/>
    <w:rsid w:val="007A599B"/>
    <w:rsid w:val="007A5A02"/>
    <w:rsid w:val="007A5A0B"/>
    <w:rsid w:val="007A5A15"/>
    <w:rsid w:val="007A5A5B"/>
    <w:rsid w:val="007A5AE0"/>
    <w:rsid w:val="007A5B56"/>
    <w:rsid w:val="007A5B85"/>
    <w:rsid w:val="007A5BA4"/>
    <w:rsid w:val="007A5BBC"/>
    <w:rsid w:val="007A5BE8"/>
    <w:rsid w:val="007A5C2B"/>
    <w:rsid w:val="007A5D62"/>
    <w:rsid w:val="007A5DBD"/>
    <w:rsid w:val="007A5DF2"/>
    <w:rsid w:val="007A5F53"/>
    <w:rsid w:val="007A5F81"/>
    <w:rsid w:val="007A5F94"/>
    <w:rsid w:val="007A5FA3"/>
    <w:rsid w:val="007A5FEE"/>
    <w:rsid w:val="007A5FF8"/>
    <w:rsid w:val="007A6003"/>
    <w:rsid w:val="007A6069"/>
    <w:rsid w:val="007A60AA"/>
    <w:rsid w:val="007A60F0"/>
    <w:rsid w:val="007A6113"/>
    <w:rsid w:val="007A612D"/>
    <w:rsid w:val="007A613C"/>
    <w:rsid w:val="007A6159"/>
    <w:rsid w:val="007A615E"/>
    <w:rsid w:val="007A6165"/>
    <w:rsid w:val="007A6179"/>
    <w:rsid w:val="007A6229"/>
    <w:rsid w:val="007A6239"/>
    <w:rsid w:val="007A624A"/>
    <w:rsid w:val="007A6256"/>
    <w:rsid w:val="007A625A"/>
    <w:rsid w:val="007A62C6"/>
    <w:rsid w:val="007A62CC"/>
    <w:rsid w:val="007A630A"/>
    <w:rsid w:val="007A636B"/>
    <w:rsid w:val="007A638F"/>
    <w:rsid w:val="007A63B5"/>
    <w:rsid w:val="007A63D4"/>
    <w:rsid w:val="007A63FA"/>
    <w:rsid w:val="007A64BC"/>
    <w:rsid w:val="007A64C6"/>
    <w:rsid w:val="007A64FD"/>
    <w:rsid w:val="007A6573"/>
    <w:rsid w:val="007A657D"/>
    <w:rsid w:val="007A6590"/>
    <w:rsid w:val="007A65F0"/>
    <w:rsid w:val="007A6605"/>
    <w:rsid w:val="007A6608"/>
    <w:rsid w:val="007A6644"/>
    <w:rsid w:val="007A664B"/>
    <w:rsid w:val="007A6679"/>
    <w:rsid w:val="007A6699"/>
    <w:rsid w:val="007A6848"/>
    <w:rsid w:val="007A6881"/>
    <w:rsid w:val="007A6884"/>
    <w:rsid w:val="007A68C3"/>
    <w:rsid w:val="007A6918"/>
    <w:rsid w:val="007A6925"/>
    <w:rsid w:val="007A6969"/>
    <w:rsid w:val="007A698E"/>
    <w:rsid w:val="007A69BB"/>
    <w:rsid w:val="007A69E3"/>
    <w:rsid w:val="007A6A21"/>
    <w:rsid w:val="007A6A48"/>
    <w:rsid w:val="007A6A84"/>
    <w:rsid w:val="007A6ACB"/>
    <w:rsid w:val="007A6AF9"/>
    <w:rsid w:val="007A6B0E"/>
    <w:rsid w:val="007A6B21"/>
    <w:rsid w:val="007A6B52"/>
    <w:rsid w:val="007A6B7A"/>
    <w:rsid w:val="007A6B9B"/>
    <w:rsid w:val="007A6B9D"/>
    <w:rsid w:val="007A6BD1"/>
    <w:rsid w:val="007A6BD7"/>
    <w:rsid w:val="007A6C2E"/>
    <w:rsid w:val="007A6C4F"/>
    <w:rsid w:val="007A6C5C"/>
    <w:rsid w:val="007A6C6B"/>
    <w:rsid w:val="007A6CB5"/>
    <w:rsid w:val="007A6CB6"/>
    <w:rsid w:val="007A6CC9"/>
    <w:rsid w:val="007A6CCB"/>
    <w:rsid w:val="007A6CD2"/>
    <w:rsid w:val="007A6CEF"/>
    <w:rsid w:val="007A6D3A"/>
    <w:rsid w:val="007A6D42"/>
    <w:rsid w:val="007A6D7E"/>
    <w:rsid w:val="007A6DCE"/>
    <w:rsid w:val="007A6DF4"/>
    <w:rsid w:val="007A6E0A"/>
    <w:rsid w:val="007A6E0B"/>
    <w:rsid w:val="007A6E45"/>
    <w:rsid w:val="007A6E49"/>
    <w:rsid w:val="007A6EF9"/>
    <w:rsid w:val="007A6F06"/>
    <w:rsid w:val="007A6F18"/>
    <w:rsid w:val="007A6F28"/>
    <w:rsid w:val="007A6F29"/>
    <w:rsid w:val="007A6F3D"/>
    <w:rsid w:val="007A6FB7"/>
    <w:rsid w:val="007A6FD4"/>
    <w:rsid w:val="007A7016"/>
    <w:rsid w:val="007A70B2"/>
    <w:rsid w:val="007A71A4"/>
    <w:rsid w:val="007A71C0"/>
    <w:rsid w:val="007A7224"/>
    <w:rsid w:val="007A728B"/>
    <w:rsid w:val="007A7304"/>
    <w:rsid w:val="007A7328"/>
    <w:rsid w:val="007A7349"/>
    <w:rsid w:val="007A73B6"/>
    <w:rsid w:val="007A73B8"/>
    <w:rsid w:val="007A73CB"/>
    <w:rsid w:val="007A7430"/>
    <w:rsid w:val="007A7438"/>
    <w:rsid w:val="007A7498"/>
    <w:rsid w:val="007A74F0"/>
    <w:rsid w:val="007A7508"/>
    <w:rsid w:val="007A7521"/>
    <w:rsid w:val="007A7522"/>
    <w:rsid w:val="007A7526"/>
    <w:rsid w:val="007A7599"/>
    <w:rsid w:val="007A75EC"/>
    <w:rsid w:val="007A7614"/>
    <w:rsid w:val="007A768C"/>
    <w:rsid w:val="007A76A8"/>
    <w:rsid w:val="007A76CB"/>
    <w:rsid w:val="007A76F2"/>
    <w:rsid w:val="007A7715"/>
    <w:rsid w:val="007A7811"/>
    <w:rsid w:val="007A786B"/>
    <w:rsid w:val="007A78CB"/>
    <w:rsid w:val="007A78EA"/>
    <w:rsid w:val="007A7924"/>
    <w:rsid w:val="007A792D"/>
    <w:rsid w:val="007A7943"/>
    <w:rsid w:val="007A7949"/>
    <w:rsid w:val="007A794D"/>
    <w:rsid w:val="007A79EB"/>
    <w:rsid w:val="007A7A6A"/>
    <w:rsid w:val="007A7A91"/>
    <w:rsid w:val="007A7AA9"/>
    <w:rsid w:val="007A7ABA"/>
    <w:rsid w:val="007A7B27"/>
    <w:rsid w:val="007A7BB5"/>
    <w:rsid w:val="007A7C30"/>
    <w:rsid w:val="007A7C8F"/>
    <w:rsid w:val="007A7CA1"/>
    <w:rsid w:val="007A7CBD"/>
    <w:rsid w:val="007A7CC4"/>
    <w:rsid w:val="007A7D12"/>
    <w:rsid w:val="007A7D1F"/>
    <w:rsid w:val="007A7D27"/>
    <w:rsid w:val="007A7D5A"/>
    <w:rsid w:val="007A7DD1"/>
    <w:rsid w:val="007A7DE4"/>
    <w:rsid w:val="007A7E3E"/>
    <w:rsid w:val="007A7E6D"/>
    <w:rsid w:val="007A7EAC"/>
    <w:rsid w:val="007A7EE1"/>
    <w:rsid w:val="007A7EE5"/>
    <w:rsid w:val="007A7EEA"/>
    <w:rsid w:val="007A7F46"/>
    <w:rsid w:val="007A7FB3"/>
    <w:rsid w:val="007A7FC0"/>
    <w:rsid w:val="007A7FC4"/>
    <w:rsid w:val="007A7FE1"/>
    <w:rsid w:val="007B007B"/>
    <w:rsid w:val="007B014B"/>
    <w:rsid w:val="007B01E8"/>
    <w:rsid w:val="007B01EC"/>
    <w:rsid w:val="007B021D"/>
    <w:rsid w:val="007B023C"/>
    <w:rsid w:val="007B023D"/>
    <w:rsid w:val="007B0292"/>
    <w:rsid w:val="007B02A0"/>
    <w:rsid w:val="007B0390"/>
    <w:rsid w:val="007B03AB"/>
    <w:rsid w:val="007B03D9"/>
    <w:rsid w:val="007B03EB"/>
    <w:rsid w:val="007B0439"/>
    <w:rsid w:val="007B045C"/>
    <w:rsid w:val="007B0465"/>
    <w:rsid w:val="007B04DD"/>
    <w:rsid w:val="007B0513"/>
    <w:rsid w:val="007B055E"/>
    <w:rsid w:val="007B057A"/>
    <w:rsid w:val="007B05D3"/>
    <w:rsid w:val="007B060B"/>
    <w:rsid w:val="007B060C"/>
    <w:rsid w:val="007B079A"/>
    <w:rsid w:val="007B087B"/>
    <w:rsid w:val="007B0885"/>
    <w:rsid w:val="007B08C3"/>
    <w:rsid w:val="007B08DE"/>
    <w:rsid w:val="007B090E"/>
    <w:rsid w:val="007B0953"/>
    <w:rsid w:val="007B09F1"/>
    <w:rsid w:val="007B09F4"/>
    <w:rsid w:val="007B0A44"/>
    <w:rsid w:val="007B0A83"/>
    <w:rsid w:val="007B0AA0"/>
    <w:rsid w:val="007B0AD4"/>
    <w:rsid w:val="007B0AF6"/>
    <w:rsid w:val="007B0AFB"/>
    <w:rsid w:val="007B0B15"/>
    <w:rsid w:val="007B0B19"/>
    <w:rsid w:val="007B0B9C"/>
    <w:rsid w:val="007B0BBE"/>
    <w:rsid w:val="007B0C2D"/>
    <w:rsid w:val="007B0C6B"/>
    <w:rsid w:val="007B0CD2"/>
    <w:rsid w:val="007B0CDB"/>
    <w:rsid w:val="007B0CF3"/>
    <w:rsid w:val="007B0CF8"/>
    <w:rsid w:val="007B0D47"/>
    <w:rsid w:val="007B0DD4"/>
    <w:rsid w:val="007B0E03"/>
    <w:rsid w:val="007B0E18"/>
    <w:rsid w:val="007B0E27"/>
    <w:rsid w:val="007B0E2C"/>
    <w:rsid w:val="007B0E4E"/>
    <w:rsid w:val="007B0E97"/>
    <w:rsid w:val="007B0E9C"/>
    <w:rsid w:val="007B0EB6"/>
    <w:rsid w:val="007B0ECA"/>
    <w:rsid w:val="007B0F17"/>
    <w:rsid w:val="007B0F20"/>
    <w:rsid w:val="007B0F3D"/>
    <w:rsid w:val="007B0F3F"/>
    <w:rsid w:val="007B0F9F"/>
    <w:rsid w:val="007B0FCD"/>
    <w:rsid w:val="007B0FE6"/>
    <w:rsid w:val="007B1010"/>
    <w:rsid w:val="007B109B"/>
    <w:rsid w:val="007B10FB"/>
    <w:rsid w:val="007B1162"/>
    <w:rsid w:val="007B117C"/>
    <w:rsid w:val="007B1234"/>
    <w:rsid w:val="007B130F"/>
    <w:rsid w:val="007B132E"/>
    <w:rsid w:val="007B1368"/>
    <w:rsid w:val="007B1389"/>
    <w:rsid w:val="007B140F"/>
    <w:rsid w:val="007B1413"/>
    <w:rsid w:val="007B147B"/>
    <w:rsid w:val="007B14A5"/>
    <w:rsid w:val="007B14AB"/>
    <w:rsid w:val="007B14B8"/>
    <w:rsid w:val="007B14C0"/>
    <w:rsid w:val="007B1562"/>
    <w:rsid w:val="007B1574"/>
    <w:rsid w:val="007B1584"/>
    <w:rsid w:val="007B15BD"/>
    <w:rsid w:val="007B15C8"/>
    <w:rsid w:val="007B15D2"/>
    <w:rsid w:val="007B15DB"/>
    <w:rsid w:val="007B160D"/>
    <w:rsid w:val="007B1652"/>
    <w:rsid w:val="007B16F4"/>
    <w:rsid w:val="007B1741"/>
    <w:rsid w:val="007B17A6"/>
    <w:rsid w:val="007B17B7"/>
    <w:rsid w:val="007B17CF"/>
    <w:rsid w:val="007B1823"/>
    <w:rsid w:val="007B1861"/>
    <w:rsid w:val="007B18A4"/>
    <w:rsid w:val="007B18CF"/>
    <w:rsid w:val="007B18E6"/>
    <w:rsid w:val="007B19AA"/>
    <w:rsid w:val="007B19EE"/>
    <w:rsid w:val="007B1A16"/>
    <w:rsid w:val="007B1A31"/>
    <w:rsid w:val="007B1A76"/>
    <w:rsid w:val="007B1A99"/>
    <w:rsid w:val="007B1ADB"/>
    <w:rsid w:val="007B1B0E"/>
    <w:rsid w:val="007B1B1F"/>
    <w:rsid w:val="007B1B51"/>
    <w:rsid w:val="007B1B68"/>
    <w:rsid w:val="007B1B77"/>
    <w:rsid w:val="007B1BA1"/>
    <w:rsid w:val="007B1BC5"/>
    <w:rsid w:val="007B1BFE"/>
    <w:rsid w:val="007B1C45"/>
    <w:rsid w:val="007B1C75"/>
    <w:rsid w:val="007B1CC4"/>
    <w:rsid w:val="007B1D86"/>
    <w:rsid w:val="007B1DA9"/>
    <w:rsid w:val="007B1DC3"/>
    <w:rsid w:val="007B1E53"/>
    <w:rsid w:val="007B1E9E"/>
    <w:rsid w:val="007B1F92"/>
    <w:rsid w:val="007B2035"/>
    <w:rsid w:val="007B20A6"/>
    <w:rsid w:val="007B20C0"/>
    <w:rsid w:val="007B212F"/>
    <w:rsid w:val="007B2148"/>
    <w:rsid w:val="007B2170"/>
    <w:rsid w:val="007B2198"/>
    <w:rsid w:val="007B2242"/>
    <w:rsid w:val="007B227B"/>
    <w:rsid w:val="007B22F4"/>
    <w:rsid w:val="007B235D"/>
    <w:rsid w:val="007B236B"/>
    <w:rsid w:val="007B2398"/>
    <w:rsid w:val="007B23B8"/>
    <w:rsid w:val="007B2424"/>
    <w:rsid w:val="007B2430"/>
    <w:rsid w:val="007B24B7"/>
    <w:rsid w:val="007B250D"/>
    <w:rsid w:val="007B252E"/>
    <w:rsid w:val="007B254A"/>
    <w:rsid w:val="007B25DB"/>
    <w:rsid w:val="007B25E1"/>
    <w:rsid w:val="007B2601"/>
    <w:rsid w:val="007B26A7"/>
    <w:rsid w:val="007B270F"/>
    <w:rsid w:val="007B272A"/>
    <w:rsid w:val="007B276A"/>
    <w:rsid w:val="007B277F"/>
    <w:rsid w:val="007B27B1"/>
    <w:rsid w:val="007B27DC"/>
    <w:rsid w:val="007B27FF"/>
    <w:rsid w:val="007B2811"/>
    <w:rsid w:val="007B2861"/>
    <w:rsid w:val="007B2941"/>
    <w:rsid w:val="007B2948"/>
    <w:rsid w:val="007B294B"/>
    <w:rsid w:val="007B2A1C"/>
    <w:rsid w:val="007B2A3A"/>
    <w:rsid w:val="007B2A7C"/>
    <w:rsid w:val="007B2AA7"/>
    <w:rsid w:val="007B2AC9"/>
    <w:rsid w:val="007B2B20"/>
    <w:rsid w:val="007B2B5F"/>
    <w:rsid w:val="007B2B9E"/>
    <w:rsid w:val="007B2BA6"/>
    <w:rsid w:val="007B2C14"/>
    <w:rsid w:val="007B2C17"/>
    <w:rsid w:val="007B2C1A"/>
    <w:rsid w:val="007B2CA1"/>
    <w:rsid w:val="007B2CCD"/>
    <w:rsid w:val="007B2D42"/>
    <w:rsid w:val="007B2D91"/>
    <w:rsid w:val="007B2DA4"/>
    <w:rsid w:val="007B2DBA"/>
    <w:rsid w:val="007B2E56"/>
    <w:rsid w:val="007B2E98"/>
    <w:rsid w:val="007B2ED7"/>
    <w:rsid w:val="007B2F13"/>
    <w:rsid w:val="007B2FB0"/>
    <w:rsid w:val="007B2FB8"/>
    <w:rsid w:val="007B2FCA"/>
    <w:rsid w:val="007B2FDF"/>
    <w:rsid w:val="007B3018"/>
    <w:rsid w:val="007B3090"/>
    <w:rsid w:val="007B3134"/>
    <w:rsid w:val="007B31A3"/>
    <w:rsid w:val="007B326F"/>
    <w:rsid w:val="007B32BC"/>
    <w:rsid w:val="007B32C2"/>
    <w:rsid w:val="007B3323"/>
    <w:rsid w:val="007B3340"/>
    <w:rsid w:val="007B3352"/>
    <w:rsid w:val="007B3373"/>
    <w:rsid w:val="007B342B"/>
    <w:rsid w:val="007B349C"/>
    <w:rsid w:val="007B34E9"/>
    <w:rsid w:val="007B34EC"/>
    <w:rsid w:val="007B3580"/>
    <w:rsid w:val="007B3595"/>
    <w:rsid w:val="007B35DF"/>
    <w:rsid w:val="007B361A"/>
    <w:rsid w:val="007B3650"/>
    <w:rsid w:val="007B3714"/>
    <w:rsid w:val="007B3770"/>
    <w:rsid w:val="007B3787"/>
    <w:rsid w:val="007B37D6"/>
    <w:rsid w:val="007B3825"/>
    <w:rsid w:val="007B38A9"/>
    <w:rsid w:val="007B38CD"/>
    <w:rsid w:val="007B38F1"/>
    <w:rsid w:val="007B398C"/>
    <w:rsid w:val="007B39B5"/>
    <w:rsid w:val="007B39C5"/>
    <w:rsid w:val="007B39FA"/>
    <w:rsid w:val="007B39FC"/>
    <w:rsid w:val="007B3A53"/>
    <w:rsid w:val="007B3A63"/>
    <w:rsid w:val="007B3B7F"/>
    <w:rsid w:val="007B3B80"/>
    <w:rsid w:val="007B3B8B"/>
    <w:rsid w:val="007B3BAC"/>
    <w:rsid w:val="007B3BF8"/>
    <w:rsid w:val="007B3C3E"/>
    <w:rsid w:val="007B3C41"/>
    <w:rsid w:val="007B3C43"/>
    <w:rsid w:val="007B3C53"/>
    <w:rsid w:val="007B3C62"/>
    <w:rsid w:val="007B3C8C"/>
    <w:rsid w:val="007B3CB8"/>
    <w:rsid w:val="007B3CDC"/>
    <w:rsid w:val="007B3D20"/>
    <w:rsid w:val="007B3D29"/>
    <w:rsid w:val="007B3D3F"/>
    <w:rsid w:val="007B3D55"/>
    <w:rsid w:val="007B3D60"/>
    <w:rsid w:val="007B3D88"/>
    <w:rsid w:val="007B3D8D"/>
    <w:rsid w:val="007B3DC4"/>
    <w:rsid w:val="007B3E34"/>
    <w:rsid w:val="007B3E53"/>
    <w:rsid w:val="007B3E5B"/>
    <w:rsid w:val="007B3E9B"/>
    <w:rsid w:val="007B3EB6"/>
    <w:rsid w:val="007B3F03"/>
    <w:rsid w:val="007B3F7E"/>
    <w:rsid w:val="007B3F7F"/>
    <w:rsid w:val="007B3FB5"/>
    <w:rsid w:val="007B3FCB"/>
    <w:rsid w:val="007B3FDD"/>
    <w:rsid w:val="007B4088"/>
    <w:rsid w:val="007B40BF"/>
    <w:rsid w:val="007B4107"/>
    <w:rsid w:val="007B410A"/>
    <w:rsid w:val="007B4121"/>
    <w:rsid w:val="007B4174"/>
    <w:rsid w:val="007B41AD"/>
    <w:rsid w:val="007B41E1"/>
    <w:rsid w:val="007B41FC"/>
    <w:rsid w:val="007B422B"/>
    <w:rsid w:val="007B42AC"/>
    <w:rsid w:val="007B4401"/>
    <w:rsid w:val="007B443B"/>
    <w:rsid w:val="007B450E"/>
    <w:rsid w:val="007B453E"/>
    <w:rsid w:val="007B45C6"/>
    <w:rsid w:val="007B469E"/>
    <w:rsid w:val="007B46FA"/>
    <w:rsid w:val="007B47A6"/>
    <w:rsid w:val="007B47E5"/>
    <w:rsid w:val="007B47EA"/>
    <w:rsid w:val="007B485A"/>
    <w:rsid w:val="007B4880"/>
    <w:rsid w:val="007B4891"/>
    <w:rsid w:val="007B489C"/>
    <w:rsid w:val="007B48F7"/>
    <w:rsid w:val="007B4908"/>
    <w:rsid w:val="007B49FA"/>
    <w:rsid w:val="007B49FC"/>
    <w:rsid w:val="007B4A19"/>
    <w:rsid w:val="007B4A2A"/>
    <w:rsid w:val="007B4AAC"/>
    <w:rsid w:val="007B4B26"/>
    <w:rsid w:val="007B4B6D"/>
    <w:rsid w:val="007B4B71"/>
    <w:rsid w:val="007B4CA2"/>
    <w:rsid w:val="007B4CF8"/>
    <w:rsid w:val="007B4D26"/>
    <w:rsid w:val="007B4D50"/>
    <w:rsid w:val="007B4D54"/>
    <w:rsid w:val="007B4DE5"/>
    <w:rsid w:val="007B4E32"/>
    <w:rsid w:val="007B4E3E"/>
    <w:rsid w:val="007B4E82"/>
    <w:rsid w:val="007B4E9E"/>
    <w:rsid w:val="007B4F20"/>
    <w:rsid w:val="007B4F8A"/>
    <w:rsid w:val="007B500B"/>
    <w:rsid w:val="007B5011"/>
    <w:rsid w:val="007B504D"/>
    <w:rsid w:val="007B509D"/>
    <w:rsid w:val="007B50BC"/>
    <w:rsid w:val="007B5116"/>
    <w:rsid w:val="007B5125"/>
    <w:rsid w:val="007B5154"/>
    <w:rsid w:val="007B5171"/>
    <w:rsid w:val="007B51E0"/>
    <w:rsid w:val="007B5208"/>
    <w:rsid w:val="007B5233"/>
    <w:rsid w:val="007B5248"/>
    <w:rsid w:val="007B526A"/>
    <w:rsid w:val="007B52F8"/>
    <w:rsid w:val="007B5317"/>
    <w:rsid w:val="007B5356"/>
    <w:rsid w:val="007B53AD"/>
    <w:rsid w:val="007B53B0"/>
    <w:rsid w:val="007B53E1"/>
    <w:rsid w:val="007B54B4"/>
    <w:rsid w:val="007B54E4"/>
    <w:rsid w:val="007B5578"/>
    <w:rsid w:val="007B55C0"/>
    <w:rsid w:val="007B55D9"/>
    <w:rsid w:val="007B5788"/>
    <w:rsid w:val="007B57C1"/>
    <w:rsid w:val="007B57C9"/>
    <w:rsid w:val="007B5865"/>
    <w:rsid w:val="007B58A9"/>
    <w:rsid w:val="007B58F0"/>
    <w:rsid w:val="007B595D"/>
    <w:rsid w:val="007B59AE"/>
    <w:rsid w:val="007B59BD"/>
    <w:rsid w:val="007B59F2"/>
    <w:rsid w:val="007B5A2D"/>
    <w:rsid w:val="007B5A38"/>
    <w:rsid w:val="007B5AFE"/>
    <w:rsid w:val="007B5B48"/>
    <w:rsid w:val="007B5B5F"/>
    <w:rsid w:val="007B5B7B"/>
    <w:rsid w:val="007B5BB9"/>
    <w:rsid w:val="007B5C7B"/>
    <w:rsid w:val="007B5C9C"/>
    <w:rsid w:val="007B5D41"/>
    <w:rsid w:val="007B5D8F"/>
    <w:rsid w:val="007B5DD2"/>
    <w:rsid w:val="007B5E4B"/>
    <w:rsid w:val="007B5E9E"/>
    <w:rsid w:val="007B5ED8"/>
    <w:rsid w:val="007B5F1A"/>
    <w:rsid w:val="007B5F69"/>
    <w:rsid w:val="007B5F75"/>
    <w:rsid w:val="007B5F81"/>
    <w:rsid w:val="007B5F8D"/>
    <w:rsid w:val="007B5F97"/>
    <w:rsid w:val="007B6013"/>
    <w:rsid w:val="007B608D"/>
    <w:rsid w:val="007B60F4"/>
    <w:rsid w:val="007B6111"/>
    <w:rsid w:val="007B6122"/>
    <w:rsid w:val="007B61B8"/>
    <w:rsid w:val="007B61B9"/>
    <w:rsid w:val="007B61FD"/>
    <w:rsid w:val="007B621A"/>
    <w:rsid w:val="007B621C"/>
    <w:rsid w:val="007B625A"/>
    <w:rsid w:val="007B6290"/>
    <w:rsid w:val="007B6291"/>
    <w:rsid w:val="007B6315"/>
    <w:rsid w:val="007B6337"/>
    <w:rsid w:val="007B63B4"/>
    <w:rsid w:val="007B63EA"/>
    <w:rsid w:val="007B646F"/>
    <w:rsid w:val="007B650F"/>
    <w:rsid w:val="007B65E0"/>
    <w:rsid w:val="007B65E9"/>
    <w:rsid w:val="007B6606"/>
    <w:rsid w:val="007B660E"/>
    <w:rsid w:val="007B670B"/>
    <w:rsid w:val="007B6751"/>
    <w:rsid w:val="007B67A0"/>
    <w:rsid w:val="007B67E4"/>
    <w:rsid w:val="007B67F6"/>
    <w:rsid w:val="007B6814"/>
    <w:rsid w:val="007B6838"/>
    <w:rsid w:val="007B687B"/>
    <w:rsid w:val="007B6890"/>
    <w:rsid w:val="007B68E2"/>
    <w:rsid w:val="007B68E3"/>
    <w:rsid w:val="007B6940"/>
    <w:rsid w:val="007B69C8"/>
    <w:rsid w:val="007B6A0D"/>
    <w:rsid w:val="007B6A48"/>
    <w:rsid w:val="007B6A5A"/>
    <w:rsid w:val="007B6B17"/>
    <w:rsid w:val="007B6B99"/>
    <w:rsid w:val="007B6BAF"/>
    <w:rsid w:val="007B6BC7"/>
    <w:rsid w:val="007B6C16"/>
    <w:rsid w:val="007B6C78"/>
    <w:rsid w:val="007B6CDD"/>
    <w:rsid w:val="007B6CE1"/>
    <w:rsid w:val="007B6CE5"/>
    <w:rsid w:val="007B6D3E"/>
    <w:rsid w:val="007B6D8B"/>
    <w:rsid w:val="007B6DDD"/>
    <w:rsid w:val="007B6DE1"/>
    <w:rsid w:val="007B6E40"/>
    <w:rsid w:val="007B6E93"/>
    <w:rsid w:val="007B6EA2"/>
    <w:rsid w:val="007B6EAF"/>
    <w:rsid w:val="007B6ED9"/>
    <w:rsid w:val="007B6F09"/>
    <w:rsid w:val="007B6F0E"/>
    <w:rsid w:val="007B6F35"/>
    <w:rsid w:val="007B6F83"/>
    <w:rsid w:val="007B6FDE"/>
    <w:rsid w:val="007B6FE5"/>
    <w:rsid w:val="007B7057"/>
    <w:rsid w:val="007B7079"/>
    <w:rsid w:val="007B70AD"/>
    <w:rsid w:val="007B7108"/>
    <w:rsid w:val="007B711C"/>
    <w:rsid w:val="007B7121"/>
    <w:rsid w:val="007B7182"/>
    <w:rsid w:val="007B71B4"/>
    <w:rsid w:val="007B71EF"/>
    <w:rsid w:val="007B7214"/>
    <w:rsid w:val="007B72EE"/>
    <w:rsid w:val="007B72FE"/>
    <w:rsid w:val="007B730A"/>
    <w:rsid w:val="007B7328"/>
    <w:rsid w:val="007B732B"/>
    <w:rsid w:val="007B732C"/>
    <w:rsid w:val="007B733E"/>
    <w:rsid w:val="007B7342"/>
    <w:rsid w:val="007B73CB"/>
    <w:rsid w:val="007B73CC"/>
    <w:rsid w:val="007B73D4"/>
    <w:rsid w:val="007B7447"/>
    <w:rsid w:val="007B7464"/>
    <w:rsid w:val="007B7576"/>
    <w:rsid w:val="007B75D8"/>
    <w:rsid w:val="007B761E"/>
    <w:rsid w:val="007B764F"/>
    <w:rsid w:val="007B7665"/>
    <w:rsid w:val="007B769F"/>
    <w:rsid w:val="007B76C8"/>
    <w:rsid w:val="007B7708"/>
    <w:rsid w:val="007B7722"/>
    <w:rsid w:val="007B7737"/>
    <w:rsid w:val="007B7757"/>
    <w:rsid w:val="007B786E"/>
    <w:rsid w:val="007B787B"/>
    <w:rsid w:val="007B78D9"/>
    <w:rsid w:val="007B7936"/>
    <w:rsid w:val="007B793C"/>
    <w:rsid w:val="007B7947"/>
    <w:rsid w:val="007B799C"/>
    <w:rsid w:val="007B79B3"/>
    <w:rsid w:val="007B79FD"/>
    <w:rsid w:val="007B7A41"/>
    <w:rsid w:val="007B7B00"/>
    <w:rsid w:val="007B7B06"/>
    <w:rsid w:val="007B7B36"/>
    <w:rsid w:val="007B7BB9"/>
    <w:rsid w:val="007B7BC2"/>
    <w:rsid w:val="007B7C77"/>
    <w:rsid w:val="007B7C79"/>
    <w:rsid w:val="007B7CA7"/>
    <w:rsid w:val="007B7CAB"/>
    <w:rsid w:val="007B7D25"/>
    <w:rsid w:val="007B7D96"/>
    <w:rsid w:val="007B7DB0"/>
    <w:rsid w:val="007B7DCA"/>
    <w:rsid w:val="007B7E7B"/>
    <w:rsid w:val="007B7EBB"/>
    <w:rsid w:val="007B7F10"/>
    <w:rsid w:val="007B7F7F"/>
    <w:rsid w:val="007C002F"/>
    <w:rsid w:val="007C004F"/>
    <w:rsid w:val="007C0073"/>
    <w:rsid w:val="007C0078"/>
    <w:rsid w:val="007C00F4"/>
    <w:rsid w:val="007C010A"/>
    <w:rsid w:val="007C011D"/>
    <w:rsid w:val="007C014D"/>
    <w:rsid w:val="007C0192"/>
    <w:rsid w:val="007C01DB"/>
    <w:rsid w:val="007C01EC"/>
    <w:rsid w:val="007C01F0"/>
    <w:rsid w:val="007C01F5"/>
    <w:rsid w:val="007C028E"/>
    <w:rsid w:val="007C02F3"/>
    <w:rsid w:val="007C0314"/>
    <w:rsid w:val="007C0328"/>
    <w:rsid w:val="007C033C"/>
    <w:rsid w:val="007C0355"/>
    <w:rsid w:val="007C0373"/>
    <w:rsid w:val="007C0388"/>
    <w:rsid w:val="007C03D7"/>
    <w:rsid w:val="007C0405"/>
    <w:rsid w:val="007C04A5"/>
    <w:rsid w:val="007C04A9"/>
    <w:rsid w:val="007C04D4"/>
    <w:rsid w:val="007C0513"/>
    <w:rsid w:val="007C0518"/>
    <w:rsid w:val="007C051A"/>
    <w:rsid w:val="007C05A5"/>
    <w:rsid w:val="007C05C3"/>
    <w:rsid w:val="007C0610"/>
    <w:rsid w:val="007C0642"/>
    <w:rsid w:val="007C0665"/>
    <w:rsid w:val="007C067F"/>
    <w:rsid w:val="007C0717"/>
    <w:rsid w:val="007C078A"/>
    <w:rsid w:val="007C0799"/>
    <w:rsid w:val="007C07DD"/>
    <w:rsid w:val="007C08C6"/>
    <w:rsid w:val="007C0976"/>
    <w:rsid w:val="007C09A4"/>
    <w:rsid w:val="007C09B5"/>
    <w:rsid w:val="007C0A08"/>
    <w:rsid w:val="007C0AC0"/>
    <w:rsid w:val="007C0B59"/>
    <w:rsid w:val="007C0B89"/>
    <w:rsid w:val="007C0CB6"/>
    <w:rsid w:val="007C0CE8"/>
    <w:rsid w:val="007C0D91"/>
    <w:rsid w:val="007C0E0E"/>
    <w:rsid w:val="007C0EF4"/>
    <w:rsid w:val="007C0F03"/>
    <w:rsid w:val="007C0F35"/>
    <w:rsid w:val="007C0F50"/>
    <w:rsid w:val="007C0F6A"/>
    <w:rsid w:val="007C0FBA"/>
    <w:rsid w:val="007C0FDA"/>
    <w:rsid w:val="007C0FE1"/>
    <w:rsid w:val="007C1030"/>
    <w:rsid w:val="007C10B5"/>
    <w:rsid w:val="007C10D6"/>
    <w:rsid w:val="007C10F3"/>
    <w:rsid w:val="007C1144"/>
    <w:rsid w:val="007C117F"/>
    <w:rsid w:val="007C118E"/>
    <w:rsid w:val="007C1252"/>
    <w:rsid w:val="007C12C6"/>
    <w:rsid w:val="007C12F7"/>
    <w:rsid w:val="007C13CA"/>
    <w:rsid w:val="007C13F1"/>
    <w:rsid w:val="007C13FF"/>
    <w:rsid w:val="007C1459"/>
    <w:rsid w:val="007C14D2"/>
    <w:rsid w:val="007C14E8"/>
    <w:rsid w:val="007C151B"/>
    <w:rsid w:val="007C1520"/>
    <w:rsid w:val="007C153A"/>
    <w:rsid w:val="007C154B"/>
    <w:rsid w:val="007C1575"/>
    <w:rsid w:val="007C15D9"/>
    <w:rsid w:val="007C15E5"/>
    <w:rsid w:val="007C1602"/>
    <w:rsid w:val="007C1605"/>
    <w:rsid w:val="007C162B"/>
    <w:rsid w:val="007C1632"/>
    <w:rsid w:val="007C16C6"/>
    <w:rsid w:val="007C1722"/>
    <w:rsid w:val="007C172E"/>
    <w:rsid w:val="007C1755"/>
    <w:rsid w:val="007C17A0"/>
    <w:rsid w:val="007C17A1"/>
    <w:rsid w:val="007C17D5"/>
    <w:rsid w:val="007C17DF"/>
    <w:rsid w:val="007C17E4"/>
    <w:rsid w:val="007C17F3"/>
    <w:rsid w:val="007C187B"/>
    <w:rsid w:val="007C18A9"/>
    <w:rsid w:val="007C18DC"/>
    <w:rsid w:val="007C1977"/>
    <w:rsid w:val="007C19DE"/>
    <w:rsid w:val="007C19F3"/>
    <w:rsid w:val="007C1A41"/>
    <w:rsid w:val="007C1A78"/>
    <w:rsid w:val="007C1A86"/>
    <w:rsid w:val="007C1ADD"/>
    <w:rsid w:val="007C1AF8"/>
    <w:rsid w:val="007C1B84"/>
    <w:rsid w:val="007C1C53"/>
    <w:rsid w:val="007C1C72"/>
    <w:rsid w:val="007C1CDB"/>
    <w:rsid w:val="007C1D7B"/>
    <w:rsid w:val="007C1DAC"/>
    <w:rsid w:val="007C1DCC"/>
    <w:rsid w:val="007C1DE5"/>
    <w:rsid w:val="007C1E5D"/>
    <w:rsid w:val="007C1EE0"/>
    <w:rsid w:val="007C1EEB"/>
    <w:rsid w:val="007C1F0E"/>
    <w:rsid w:val="007C1FE8"/>
    <w:rsid w:val="007C201D"/>
    <w:rsid w:val="007C204E"/>
    <w:rsid w:val="007C2059"/>
    <w:rsid w:val="007C20E9"/>
    <w:rsid w:val="007C2150"/>
    <w:rsid w:val="007C2215"/>
    <w:rsid w:val="007C226D"/>
    <w:rsid w:val="007C226F"/>
    <w:rsid w:val="007C22CD"/>
    <w:rsid w:val="007C22DA"/>
    <w:rsid w:val="007C22E9"/>
    <w:rsid w:val="007C2328"/>
    <w:rsid w:val="007C2356"/>
    <w:rsid w:val="007C2365"/>
    <w:rsid w:val="007C239E"/>
    <w:rsid w:val="007C23A4"/>
    <w:rsid w:val="007C23C5"/>
    <w:rsid w:val="007C241C"/>
    <w:rsid w:val="007C2483"/>
    <w:rsid w:val="007C2532"/>
    <w:rsid w:val="007C25FB"/>
    <w:rsid w:val="007C2611"/>
    <w:rsid w:val="007C26AA"/>
    <w:rsid w:val="007C26B6"/>
    <w:rsid w:val="007C2751"/>
    <w:rsid w:val="007C275C"/>
    <w:rsid w:val="007C276B"/>
    <w:rsid w:val="007C279D"/>
    <w:rsid w:val="007C27C3"/>
    <w:rsid w:val="007C2802"/>
    <w:rsid w:val="007C2840"/>
    <w:rsid w:val="007C2852"/>
    <w:rsid w:val="007C2884"/>
    <w:rsid w:val="007C28E2"/>
    <w:rsid w:val="007C291F"/>
    <w:rsid w:val="007C2925"/>
    <w:rsid w:val="007C292D"/>
    <w:rsid w:val="007C293C"/>
    <w:rsid w:val="007C2983"/>
    <w:rsid w:val="007C29A2"/>
    <w:rsid w:val="007C29AD"/>
    <w:rsid w:val="007C29B8"/>
    <w:rsid w:val="007C29CA"/>
    <w:rsid w:val="007C29EB"/>
    <w:rsid w:val="007C2A7A"/>
    <w:rsid w:val="007C2AA8"/>
    <w:rsid w:val="007C2B27"/>
    <w:rsid w:val="007C2BAA"/>
    <w:rsid w:val="007C2BE4"/>
    <w:rsid w:val="007C2BE8"/>
    <w:rsid w:val="007C2BEB"/>
    <w:rsid w:val="007C2C18"/>
    <w:rsid w:val="007C2C3A"/>
    <w:rsid w:val="007C2C72"/>
    <w:rsid w:val="007C2D44"/>
    <w:rsid w:val="007C2D60"/>
    <w:rsid w:val="007C2DEE"/>
    <w:rsid w:val="007C2DF8"/>
    <w:rsid w:val="007C2E17"/>
    <w:rsid w:val="007C2E2C"/>
    <w:rsid w:val="007C2E8A"/>
    <w:rsid w:val="007C2E9D"/>
    <w:rsid w:val="007C2E9F"/>
    <w:rsid w:val="007C2EDD"/>
    <w:rsid w:val="007C2F2E"/>
    <w:rsid w:val="007C2F3B"/>
    <w:rsid w:val="007C2F55"/>
    <w:rsid w:val="007C2FE4"/>
    <w:rsid w:val="007C3032"/>
    <w:rsid w:val="007C30D8"/>
    <w:rsid w:val="007C310A"/>
    <w:rsid w:val="007C3115"/>
    <w:rsid w:val="007C3147"/>
    <w:rsid w:val="007C3148"/>
    <w:rsid w:val="007C31D3"/>
    <w:rsid w:val="007C31F5"/>
    <w:rsid w:val="007C3246"/>
    <w:rsid w:val="007C328A"/>
    <w:rsid w:val="007C32C6"/>
    <w:rsid w:val="007C32E6"/>
    <w:rsid w:val="007C3372"/>
    <w:rsid w:val="007C3382"/>
    <w:rsid w:val="007C3425"/>
    <w:rsid w:val="007C3435"/>
    <w:rsid w:val="007C347D"/>
    <w:rsid w:val="007C34C4"/>
    <w:rsid w:val="007C34E2"/>
    <w:rsid w:val="007C34F3"/>
    <w:rsid w:val="007C3557"/>
    <w:rsid w:val="007C3585"/>
    <w:rsid w:val="007C35CD"/>
    <w:rsid w:val="007C3618"/>
    <w:rsid w:val="007C367A"/>
    <w:rsid w:val="007C36A2"/>
    <w:rsid w:val="007C36E4"/>
    <w:rsid w:val="007C3702"/>
    <w:rsid w:val="007C3727"/>
    <w:rsid w:val="007C3794"/>
    <w:rsid w:val="007C382D"/>
    <w:rsid w:val="007C3853"/>
    <w:rsid w:val="007C385B"/>
    <w:rsid w:val="007C3869"/>
    <w:rsid w:val="007C38BB"/>
    <w:rsid w:val="007C38D5"/>
    <w:rsid w:val="007C38D9"/>
    <w:rsid w:val="007C3947"/>
    <w:rsid w:val="007C3988"/>
    <w:rsid w:val="007C39A8"/>
    <w:rsid w:val="007C39C6"/>
    <w:rsid w:val="007C3A1B"/>
    <w:rsid w:val="007C3A55"/>
    <w:rsid w:val="007C3A9F"/>
    <w:rsid w:val="007C3AAF"/>
    <w:rsid w:val="007C3AC3"/>
    <w:rsid w:val="007C3AE6"/>
    <w:rsid w:val="007C3B95"/>
    <w:rsid w:val="007C3B9D"/>
    <w:rsid w:val="007C3C19"/>
    <w:rsid w:val="007C3C9D"/>
    <w:rsid w:val="007C3CC4"/>
    <w:rsid w:val="007C3CFC"/>
    <w:rsid w:val="007C3D81"/>
    <w:rsid w:val="007C3D96"/>
    <w:rsid w:val="007C3DD0"/>
    <w:rsid w:val="007C3DD7"/>
    <w:rsid w:val="007C3E06"/>
    <w:rsid w:val="007C3EAB"/>
    <w:rsid w:val="007C3EB0"/>
    <w:rsid w:val="007C3F40"/>
    <w:rsid w:val="007C3F55"/>
    <w:rsid w:val="007C3F75"/>
    <w:rsid w:val="007C3FA5"/>
    <w:rsid w:val="007C3FBD"/>
    <w:rsid w:val="007C4025"/>
    <w:rsid w:val="007C40B1"/>
    <w:rsid w:val="007C40E3"/>
    <w:rsid w:val="007C41F0"/>
    <w:rsid w:val="007C424F"/>
    <w:rsid w:val="007C4285"/>
    <w:rsid w:val="007C42B7"/>
    <w:rsid w:val="007C42FE"/>
    <w:rsid w:val="007C4349"/>
    <w:rsid w:val="007C434D"/>
    <w:rsid w:val="007C4357"/>
    <w:rsid w:val="007C43EF"/>
    <w:rsid w:val="007C43FD"/>
    <w:rsid w:val="007C441D"/>
    <w:rsid w:val="007C447F"/>
    <w:rsid w:val="007C44C6"/>
    <w:rsid w:val="007C44DF"/>
    <w:rsid w:val="007C454A"/>
    <w:rsid w:val="007C4586"/>
    <w:rsid w:val="007C4589"/>
    <w:rsid w:val="007C458A"/>
    <w:rsid w:val="007C45AC"/>
    <w:rsid w:val="007C4664"/>
    <w:rsid w:val="007C46A7"/>
    <w:rsid w:val="007C46DD"/>
    <w:rsid w:val="007C4720"/>
    <w:rsid w:val="007C4731"/>
    <w:rsid w:val="007C4762"/>
    <w:rsid w:val="007C4769"/>
    <w:rsid w:val="007C4784"/>
    <w:rsid w:val="007C47C7"/>
    <w:rsid w:val="007C480F"/>
    <w:rsid w:val="007C489B"/>
    <w:rsid w:val="007C4951"/>
    <w:rsid w:val="007C4983"/>
    <w:rsid w:val="007C4A8B"/>
    <w:rsid w:val="007C4A9D"/>
    <w:rsid w:val="007C4AAC"/>
    <w:rsid w:val="007C4AB2"/>
    <w:rsid w:val="007C4B1B"/>
    <w:rsid w:val="007C4B32"/>
    <w:rsid w:val="007C4B36"/>
    <w:rsid w:val="007C4B45"/>
    <w:rsid w:val="007C4BE5"/>
    <w:rsid w:val="007C4C53"/>
    <w:rsid w:val="007C4C71"/>
    <w:rsid w:val="007C4C7B"/>
    <w:rsid w:val="007C4CA0"/>
    <w:rsid w:val="007C4CB9"/>
    <w:rsid w:val="007C4D06"/>
    <w:rsid w:val="007C4D3C"/>
    <w:rsid w:val="007C4D3D"/>
    <w:rsid w:val="007C4D98"/>
    <w:rsid w:val="007C4DC4"/>
    <w:rsid w:val="007C4DC8"/>
    <w:rsid w:val="007C4DF4"/>
    <w:rsid w:val="007C4E19"/>
    <w:rsid w:val="007C4E94"/>
    <w:rsid w:val="007C4EFA"/>
    <w:rsid w:val="007C4F07"/>
    <w:rsid w:val="007C4F96"/>
    <w:rsid w:val="007C5058"/>
    <w:rsid w:val="007C507C"/>
    <w:rsid w:val="007C5085"/>
    <w:rsid w:val="007C510F"/>
    <w:rsid w:val="007C5115"/>
    <w:rsid w:val="007C512A"/>
    <w:rsid w:val="007C513C"/>
    <w:rsid w:val="007C51CC"/>
    <w:rsid w:val="007C527E"/>
    <w:rsid w:val="007C52E7"/>
    <w:rsid w:val="007C52F4"/>
    <w:rsid w:val="007C52F8"/>
    <w:rsid w:val="007C5307"/>
    <w:rsid w:val="007C532E"/>
    <w:rsid w:val="007C53CD"/>
    <w:rsid w:val="007C540B"/>
    <w:rsid w:val="007C549D"/>
    <w:rsid w:val="007C54F3"/>
    <w:rsid w:val="007C54F6"/>
    <w:rsid w:val="007C564D"/>
    <w:rsid w:val="007C5665"/>
    <w:rsid w:val="007C567D"/>
    <w:rsid w:val="007C568C"/>
    <w:rsid w:val="007C56B4"/>
    <w:rsid w:val="007C56BD"/>
    <w:rsid w:val="007C5776"/>
    <w:rsid w:val="007C5788"/>
    <w:rsid w:val="007C57B4"/>
    <w:rsid w:val="007C57DB"/>
    <w:rsid w:val="007C57E0"/>
    <w:rsid w:val="007C5847"/>
    <w:rsid w:val="007C58DB"/>
    <w:rsid w:val="007C58FA"/>
    <w:rsid w:val="007C58FD"/>
    <w:rsid w:val="007C58FF"/>
    <w:rsid w:val="007C591A"/>
    <w:rsid w:val="007C593C"/>
    <w:rsid w:val="007C595F"/>
    <w:rsid w:val="007C5961"/>
    <w:rsid w:val="007C59C6"/>
    <w:rsid w:val="007C5A22"/>
    <w:rsid w:val="007C5AA0"/>
    <w:rsid w:val="007C5AFE"/>
    <w:rsid w:val="007C5B1E"/>
    <w:rsid w:val="007C5B36"/>
    <w:rsid w:val="007C5B39"/>
    <w:rsid w:val="007C5BB2"/>
    <w:rsid w:val="007C5BFC"/>
    <w:rsid w:val="007C5BFE"/>
    <w:rsid w:val="007C5C39"/>
    <w:rsid w:val="007C5C4C"/>
    <w:rsid w:val="007C5C56"/>
    <w:rsid w:val="007C5C77"/>
    <w:rsid w:val="007C5C9F"/>
    <w:rsid w:val="007C5CB5"/>
    <w:rsid w:val="007C5CE9"/>
    <w:rsid w:val="007C5D1C"/>
    <w:rsid w:val="007C5D1D"/>
    <w:rsid w:val="007C5DF7"/>
    <w:rsid w:val="007C5E16"/>
    <w:rsid w:val="007C5E5A"/>
    <w:rsid w:val="007C5E65"/>
    <w:rsid w:val="007C5E69"/>
    <w:rsid w:val="007C5E99"/>
    <w:rsid w:val="007C5E9B"/>
    <w:rsid w:val="007C5EFC"/>
    <w:rsid w:val="007C5F4B"/>
    <w:rsid w:val="007C5FCE"/>
    <w:rsid w:val="007C5FDA"/>
    <w:rsid w:val="007C5FEA"/>
    <w:rsid w:val="007C6029"/>
    <w:rsid w:val="007C603F"/>
    <w:rsid w:val="007C607B"/>
    <w:rsid w:val="007C6146"/>
    <w:rsid w:val="007C619B"/>
    <w:rsid w:val="007C61C9"/>
    <w:rsid w:val="007C61FD"/>
    <w:rsid w:val="007C621C"/>
    <w:rsid w:val="007C621F"/>
    <w:rsid w:val="007C6248"/>
    <w:rsid w:val="007C624A"/>
    <w:rsid w:val="007C6277"/>
    <w:rsid w:val="007C62AB"/>
    <w:rsid w:val="007C6398"/>
    <w:rsid w:val="007C63F1"/>
    <w:rsid w:val="007C6422"/>
    <w:rsid w:val="007C6462"/>
    <w:rsid w:val="007C6499"/>
    <w:rsid w:val="007C64A8"/>
    <w:rsid w:val="007C64EE"/>
    <w:rsid w:val="007C650E"/>
    <w:rsid w:val="007C651F"/>
    <w:rsid w:val="007C6525"/>
    <w:rsid w:val="007C6564"/>
    <w:rsid w:val="007C65D4"/>
    <w:rsid w:val="007C6694"/>
    <w:rsid w:val="007C6759"/>
    <w:rsid w:val="007C6786"/>
    <w:rsid w:val="007C678A"/>
    <w:rsid w:val="007C67C3"/>
    <w:rsid w:val="007C67D7"/>
    <w:rsid w:val="007C686D"/>
    <w:rsid w:val="007C688B"/>
    <w:rsid w:val="007C68DF"/>
    <w:rsid w:val="007C697A"/>
    <w:rsid w:val="007C69A2"/>
    <w:rsid w:val="007C69DA"/>
    <w:rsid w:val="007C6B03"/>
    <w:rsid w:val="007C6B6C"/>
    <w:rsid w:val="007C6B8D"/>
    <w:rsid w:val="007C6BC3"/>
    <w:rsid w:val="007C6BFE"/>
    <w:rsid w:val="007C6C3A"/>
    <w:rsid w:val="007C6C6A"/>
    <w:rsid w:val="007C6D66"/>
    <w:rsid w:val="007C6D88"/>
    <w:rsid w:val="007C6D9C"/>
    <w:rsid w:val="007C6DDA"/>
    <w:rsid w:val="007C6DED"/>
    <w:rsid w:val="007C6EEA"/>
    <w:rsid w:val="007C6F0C"/>
    <w:rsid w:val="007C6F26"/>
    <w:rsid w:val="007C6F70"/>
    <w:rsid w:val="007C6F72"/>
    <w:rsid w:val="007C6F90"/>
    <w:rsid w:val="007C6F9E"/>
    <w:rsid w:val="007C7029"/>
    <w:rsid w:val="007C7035"/>
    <w:rsid w:val="007C7039"/>
    <w:rsid w:val="007C7040"/>
    <w:rsid w:val="007C70DC"/>
    <w:rsid w:val="007C70FD"/>
    <w:rsid w:val="007C7126"/>
    <w:rsid w:val="007C71F6"/>
    <w:rsid w:val="007C7214"/>
    <w:rsid w:val="007C721B"/>
    <w:rsid w:val="007C723B"/>
    <w:rsid w:val="007C725A"/>
    <w:rsid w:val="007C727B"/>
    <w:rsid w:val="007C7294"/>
    <w:rsid w:val="007C7319"/>
    <w:rsid w:val="007C744F"/>
    <w:rsid w:val="007C7467"/>
    <w:rsid w:val="007C747E"/>
    <w:rsid w:val="007C7497"/>
    <w:rsid w:val="007C74C9"/>
    <w:rsid w:val="007C74D7"/>
    <w:rsid w:val="007C755A"/>
    <w:rsid w:val="007C7593"/>
    <w:rsid w:val="007C7599"/>
    <w:rsid w:val="007C766C"/>
    <w:rsid w:val="007C76DC"/>
    <w:rsid w:val="007C76EB"/>
    <w:rsid w:val="007C76F9"/>
    <w:rsid w:val="007C7714"/>
    <w:rsid w:val="007C7730"/>
    <w:rsid w:val="007C77F7"/>
    <w:rsid w:val="007C7803"/>
    <w:rsid w:val="007C7848"/>
    <w:rsid w:val="007C7894"/>
    <w:rsid w:val="007C7933"/>
    <w:rsid w:val="007C79F1"/>
    <w:rsid w:val="007C7A1F"/>
    <w:rsid w:val="007C7A2B"/>
    <w:rsid w:val="007C7A32"/>
    <w:rsid w:val="007C7A6B"/>
    <w:rsid w:val="007C7A83"/>
    <w:rsid w:val="007C7AF4"/>
    <w:rsid w:val="007C7B81"/>
    <w:rsid w:val="007C7BAD"/>
    <w:rsid w:val="007C7C1D"/>
    <w:rsid w:val="007C7C8D"/>
    <w:rsid w:val="007C7CC1"/>
    <w:rsid w:val="007C7CD8"/>
    <w:rsid w:val="007C7D01"/>
    <w:rsid w:val="007C7D4F"/>
    <w:rsid w:val="007C7D9E"/>
    <w:rsid w:val="007C7DB2"/>
    <w:rsid w:val="007C7E14"/>
    <w:rsid w:val="007C7E39"/>
    <w:rsid w:val="007C7E4F"/>
    <w:rsid w:val="007C7E61"/>
    <w:rsid w:val="007C7EF8"/>
    <w:rsid w:val="007C7F28"/>
    <w:rsid w:val="007C7F4E"/>
    <w:rsid w:val="007C7F86"/>
    <w:rsid w:val="007C7FA2"/>
    <w:rsid w:val="007D0006"/>
    <w:rsid w:val="007D001F"/>
    <w:rsid w:val="007D0085"/>
    <w:rsid w:val="007D0096"/>
    <w:rsid w:val="007D00C5"/>
    <w:rsid w:val="007D00FA"/>
    <w:rsid w:val="007D00FE"/>
    <w:rsid w:val="007D0105"/>
    <w:rsid w:val="007D0112"/>
    <w:rsid w:val="007D01CE"/>
    <w:rsid w:val="007D0216"/>
    <w:rsid w:val="007D027A"/>
    <w:rsid w:val="007D0294"/>
    <w:rsid w:val="007D0303"/>
    <w:rsid w:val="007D041E"/>
    <w:rsid w:val="007D044F"/>
    <w:rsid w:val="007D048A"/>
    <w:rsid w:val="007D048D"/>
    <w:rsid w:val="007D0501"/>
    <w:rsid w:val="007D054D"/>
    <w:rsid w:val="007D0585"/>
    <w:rsid w:val="007D05C4"/>
    <w:rsid w:val="007D05C9"/>
    <w:rsid w:val="007D05F1"/>
    <w:rsid w:val="007D065D"/>
    <w:rsid w:val="007D067E"/>
    <w:rsid w:val="007D0699"/>
    <w:rsid w:val="007D069C"/>
    <w:rsid w:val="007D06D6"/>
    <w:rsid w:val="007D06FE"/>
    <w:rsid w:val="007D072A"/>
    <w:rsid w:val="007D0760"/>
    <w:rsid w:val="007D0778"/>
    <w:rsid w:val="007D0797"/>
    <w:rsid w:val="007D07C9"/>
    <w:rsid w:val="007D084C"/>
    <w:rsid w:val="007D0899"/>
    <w:rsid w:val="007D08CF"/>
    <w:rsid w:val="007D0910"/>
    <w:rsid w:val="007D0929"/>
    <w:rsid w:val="007D0935"/>
    <w:rsid w:val="007D093D"/>
    <w:rsid w:val="007D0954"/>
    <w:rsid w:val="007D096A"/>
    <w:rsid w:val="007D096C"/>
    <w:rsid w:val="007D0994"/>
    <w:rsid w:val="007D09C6"/>
    <w:rsid w:val="007D0A08"/>
    <w:rsid w:val="007D0A87"/>
    <w:rsid w:val="007D0A9E"/>
    <w:rsid w:val="007D0AC4"/>
    <w:rsid w:val="007D0B02"/>
    <w:rsid w:val="007D0B4F"/>
    <w:rsid w:val="007D0B71"/>
    <w:rsid w:val="007D0BA5"/>
    <w:rsid w:val="007D0C04"/>
    <w:rsid w:val="007D0C0F"/>
    <w:rsid w:val="007D0C15"/>
    <w:rsid w:val="007D0C55"/>
    <w:rsid w:val="007D0C67"/>
    <w:rsid w:val="007D0C69"/>
    <w:rsid w:val="007D0C99"/>
    <w:rsid w:val="007D0CC1"/>
    <w:rsid w:val="007D0CFD"/>
    <w:rsid w:val="007D0D0D"/>
    <w:rsid w:val="007D0D1A"/>
    <w:rsid w:val="007D0D29"/>
    <w:rsid w:val="007D0D42"/>
    <w:rsid w:val="007D0D43"/>
    <w:rsid w:val="007D0DF5"/>
    <w:rsid w:val="007D0E34"/>
    <w:rsid w:val="007D0E74"/>
    <w:rsid w:val="007D0E7A"/>
    <w:rsid w:val="007D0E83"/>
    <w:rsid w:val="007D0E84"/>
    <w:rsid w:val="007D0F12"/>
    <w:rsid w:val="007D0F6D"/>
    <w:rsid w:val="007D1031"/>
    <w:rsid w:val="007D1062"/>
    <w:rsid w:val="007D1073"/>
    <w:rsid w:val="007D11A8"/>
    <w:rsid w:val="007D11E6"/>
    <w:rsid w:val="007D11FB"/>
    <w:rsid w:val="007D1288"/>
    <w:rsid w:val="007D12BE"/>
    <w:rsid w:val="007D12F1"/>
    <w:rsid w:val="007D1339"/>
    <w:rsid w:val="007D133E"/>
    <w:rsid w:val="007D13CB"/>
    <w:rsid w:val="007D13E4"/>
    <w:rsid w:val="007D14EE"/>
    <w:rsid w:val="007D1572"/>
    <w:rsid w:val="007D1581"/>
    <w:rsid w:val="007D167A"/>
    <w:rsid w:val="007D16B0"/>
    <w:rsid w:val="007D176F"/>
    <w:rsid w:val="007D1772"/>
    <w:rsid w:val="007D17C4"/>
    <w:rsid w:val="007D1806"/>
    <w:rsid w:val="007D1817"/>
    <w:rsid w:val="007D1840"/>
    <w:rsid w:val="007D185E"/>
    <w:rsid w:val="007D1868"/>
    <w:rsid w:val="007D18AC"/>
    <w:rsid w:val="007D1904"/>
    <w:rsid w:val="007D1961"/>
    <w:rsid w:val="007D1A38"/>
    <w:rsid w:val="007D1A41"/>
    <w:rsid w:val="007D1A55"/>
    <w:rsid w:val="007D1A71"/>
    <w:rsid w:val="007D1AAF"/>
    <w:rsid w:val="007D1AE3"/>
    <w:rsid w:val="007D1AFC"/>
    <w:rsid w:val="007D1BA7"/>
    <w:rsid w:val="007D1BB3"/>
    <w:rsid w:val="007D1BF6"/>
    <w:rsid w:val="007D1CA5"/>
    <w:rsid w:val="007D1CEB"/>
    <w:rsid w:val="007D1D0A"/>
    <w:rsid w:val="007D1D48"/>
    <w:rsid w:val="007D1D7B"/>
    <w:rsid w:val="007D1D8A"/>
    <w:rsid w:val="007D1DE3"/>
    <w:rsid w:val="007D1EEC"/>
    <w:rsid w:val="007D1F52"/>
    <w:rsid w:val="007D1F64"/>
    <w:rsid w:val="007D2026"/>
    <w:rsid w:val="007D2048"/>
    <w:rsid w:val="007D20CD"/>
    <w:rsid w:val="007D20D6"/>
    <w:rsid w:val="007D20FD"/>
    <w:rsid w:val="007D211A"/>
    <w:rsid w:val="007D217E"/>
    <w:rsid w:val="007D2232"/>
    <w:rsid w:val="007D22A4"/>
    <w:rsid w:val="007D2317"/>
    <w:rsid w:val="007D2381"/>
    <w:rsid w:val="007D248B"/>
    <w:rsid w:val="007D24BB"/>
    <w:rsid w:val="007D2587"/>
    <w:rsid w:val="007D2596"/>
    <w:rsid w:val="007D25A5"/>
    <w:rsid w:val="007D25B3"/>
    <w:rsid w:val="007D25E3"/>
    <w:rsid w:val="007D25FA"/>
    <w:rsid w:val="007D2627"/>
    <w:rsid w:val="007D26AF"/>
    <w:rsid w:val="007D26B3"/>
    <w:rsid w:val="007D26C8"/>
    <w:rsid w:val="007D2738"/>
    <w:rsid w:val="007D273E"/>
    <w:rsid w:val="007D2746"/>
    <w:rsid w:val="007D2780"/>
    <w:rsid w:val="007D2793"/>
    <w:rsid w:val="007D27AF"/>
    <w:rsid w:val="007D27FD"/>
    <w:rsid w:val="007D2814"/>
    <w:rsid w:val="007D2884"/>
    <w:rsid w:val="007D2A44"/>
    <w:rsid w:val="007D2B18"/>
    <w:rsid w:val="007D2B19"/>
    <w:rsid w:val="007D2C03"/>
    <w:rsid w:val="007D2C6C"/>
    <w:rsid w:val="007D2CE7"/>
    <w:rsid w:val="007D2CEC"/>
    <w:rsid w:val="007D2D2B"/>
    <w:rsid w:val="007D2D2E"/>
    <w:rsid w:val="007D2D49"/>
    <w:rsid w:val="007D2D67"/>
    <w:rsid w:val="007D2DBE"/>
    <w:rsid w:val="007D2DC2"/>
    <w:rsid w:val="007D2E82"/>
    <w:rsid w:val="007D2E90"/>
    <w:rsid w:val="007D2F10"/>
    <w:rsid w:val="007D2F3D"/>
    <w:rsid w:val="007D2FBC"/>
    <w:rsid w:val="007D2FF0"/>
    <w:rsid w:val="007D3070"/>
    <w:rsid w:val="007D307E"/>
    <w:rsid w:val="007D3098"/>
    <w:rsid w:val="007D30AD"/>
    <w:rsid w:val="007D3145"/>
    <w:rsid w:val="007D315B"/>
    <w:rsid w:val="007D32E7"/>
    <w:rsid w:val="007D32EA"/>
    <w:rsid w:val="007D32FB"/>
    <w:rsid w:val="007D3374"/>
    <w:rsid w:val="007D3375"/>
    <w:rsid w:val="007D3410"/>
    <w:rsid w:val="007D34B8"/>
    <w:rsid w:val="007D34FC"/>
    <w:rsid w:val="007D350B"/>
    <w:rsid w:val="007D35F0"/>
    <w:rsid w:val="007D35F8"/>
    <w:rsid w:val="007D3621"/>
    <w:rsid w:val="007D3686"/>
    <w:rsid w:val="007D36C8"/>
    <w:rsid w:val="007D371B"/>
    <w:rsid w:val="007D3729"/>
    <w:rsid w:val="007D3740"/>
    <w:rsid w:val="007D377A"/>
    <w:rsid w:val="007D37F5"/>
    <w:rsid w:val="007D3803"/>
    <w:rsid w:val="007D3806"/>
    <w:rsid w:val="007D38A0"/>
    <w:rsid w:val="007D38CD"/>
    <w:rsid w:val="007D390C"/>
    <w:rsid w:val="007D3925"/>
    <w:rsid w:val="007D399E"/>
    <w:rsid w:val="007D39BC"/>
    <w:rsid w:val="007D39C7"/>
    <w:rsid w:val="007D39E1"/>
    <w:rsid w:val="007D3A17"/>
    <w:rsid w:val="007D3A1F"/>
    <w:rsid w:val="007D3A3A"/>
    <w:rsid w:val="007D3A49"/>
    <w:rsid w:val="007D3A4B"/>
    <w:rsid w:val="007D3AEC"/>
    <w:rsid w:val="007D3B4E"/>
    <w:rsid w:val="007D3B8A"/>
    <w:rsid w:val="007D3C14"/>
    <w:rsid w:val="007D3C4B"/>
    <w:rsid w:val="007D3C50"/>
    <w:rsid w:val="007D3C7D"/>
    <w:rsid w:val="007D3C8E"/>
    <w:rsid w:val="007D3C9D"/>
    <w:rsid w:val="007D3CD7"/>
    <w:rsid w:val="007D3D13"/>
    <w:rsid w:val="007D3D3D"/>
    <w:rsid w:val="007D3E55"/>
    <w:rsid w:val="007D3E70"/>
    <w:rsid w:val="007D3EA2"/>
    <w:rsid w:val="007D3EDF"/>
    <w:rsid w:val="007D3F04"/>
    <w:rsid w:val="007D3F16"/>
    <w:rsid w:val="007D3F5B"/>
    <w:rsid w:val="007D3F8D"/>
    <w:rsid w:val="007D40A6"/>
    <w:rsid w:val="007D40D1"/>
    <w:rsid w:val="007D40EA"/>
    <w:rsid w:val="007D411D"/>
    <w:rsid w:val="007D411E"/>
    <w:rsid w:val="007D4157"/>
    <w:rsid w:val="007D417C"/>
    <w:rsid w:val="007D41BC"/>
    <w:rsid w:val="007D41D2"/>
    <w:rsid w:val="007D41DF"/>
    <w:rsid w:val="007D427D"/>
    <w:rsid w:val="007D428D"/>
    <w:rsid w:val="007D428F"/>
    <w:rsid w:val="007D4304"/>
    <w:rsid w:val="007D43D5"/>
    <w:rsid w:val="007D43F5"/>
    <w:rsid w:val="007D4413"/>
    <w:rsid w:val="007D4509"/>
    <w:rsid w:val="007D457A"/>
    <w:rsid w:val="007D459D"/>
    <w:rsid w:val="007D4604"/>
    <w:rsid w:val="007D4626"/>
    <w:rsid w:val="007D4671"/>
    <w:rsid w:val="007D4690"/>
    <w:rsid w:val="007D469A"/>
    <w:rsid w:val="007D46EB"/>
    <w:rsid w:val="007D46EC"/>
    <w:rsid w:val="007D46F4"/>
    <w:rsid w:val="007D4714"/>
    <w:rsid w:val="007D47A0"/>
    <w:rsid w:val="007D47D0"/>
    <w:rsid w:val="007D47D4"/>
    <w:rsid w:val="007D47EE"/>
    <w:rsid w:val="007D4807"/>
    <w:rsid w:val="007D480E"/>
    <w:rsid w:val="007D48A2"/>
    <w:rsid w:val="007D48BF"/>
    <w:rsid w:val="007D4905"/>
    <w:rsid w:val="007D4967"/>
    <w:rsid w:val="007D49AA"/>
    <w:rsid w:val="007D49B7"/>
    <w:rsid w:val="007D49F0"/>
    <w:rsid w:val="007D4A40"/>
    <w:rsid w:val="007D4A4C"/>
    <w:rsid w:val="007D4AC5"/>
    <w:rsid w:val="007D4B9C"/>
    <w:rsid w:val="007D4C15"/>
    <w:rsid w:val="007D4C1B"/>
    <w:rsid w:val="007D4C64"/>
    <w:rsid w:val="007D4CAE"/>
    <w:rsid w:val="007D4CC7"/>
    <w:rsid w:val="007D4CD9"/>
    <w:rsid w:val="007D4CE3"/>
    <w:rsid w:val="007D4D32"/>
    <w:rsid w:val="007D4D63"/>
    <w:rsid w:val="007D4D64"/>
    <w:rsid w:val="007D4DB9"/>
    <w:rsid w:val="007D4DC4"/>
    <w:rsid w:val="007D4E3E"/>
    <w:rsid w:val="007D4ED7"/>
    <w:rsid w:val="007D4EDB"/>
    <w:rsid w:val="007D4F76"/>
    <w:rsid w:val="007D4FF5"/>
    <w:rsid w:val="007D5007"/>
    <w:rsid w:val="007D50A1"/>
    <w:rsid w:val="007D50BA"/>
    <w:rsid w:val="007D5138"/>
    <w:rsid w:val="007D517E"/>
    <w:rsid w:val="007D5207"/>
    <w:rsid w:val="007D5246"/>
    <w:rsid w:val="007D524B"/>
    <w:rsid w:val="007D527E"/>
    <w:rsid w:val="007D52A5"/>
    <w:rsid w:val="007D534A"/>
    <w:rsid w:val="007D5408"/>
    <w:rsid w:val="007D5441"/>
    <w:rsid w:val="007D5445"/>
    <w:rsid w:val="007D5472"/>
    <w:rsid w:val="007D5492"/>
    <w:rsid w:val="007D5496"/>
    <w:rsid w:val="007D54D4"/>
    <w:rsid w:val="007D55AA"/>
    <w:rsid w:val="007D5677"/>
    <w:rsid w:val="007D56A1"/>
    <w:rsid w:val="007D56F6"/>
    <w:rsid w:val="007D56FD"/>
    <w:rsid w:val="007D5779"/>
    <w:rsid w:val="007D578C"/>
    <w:rsid w:val="007D57B5"/>
    <w:rsid w:val="007D57EA"/>
    <w:rsid w:val="007D57F2"/>
    <w:rsid w:val="007D57FF"/>
    <w:rsid w:val="007D583E"/>
    <w:rsid w:val="007D584E"/>
    <w:rsid w:val="007D5858"/>
    <w:rsid w:val="007D58CC"/>
    <w:rsid w:val="007D58FE"/>
    <w:rsid w:val="007D5963"/>
    <w:rsid w:val="007D5A04"/>
    <w:rsid w:val="007D5A34"/>
    <w:rsid w:val="007D5AA1"/>
    <w:rsid w:val="007D5B53"/>
    <w:rsid w:val="007D5C26"/>
    <w:rsid w:val="007D5C2F"/>
    <w:rsid w:val="007D5C3F"/>
    <w:rsid w:val="007D5C6A"/>
    <w:rsid w:val="007D5E42"/>
    <w:rsid w:val="007D5E5C"/>
    <w:rsid w:val="007D5E9A"/>
    <w:rsid w:val="007D5EA1"/>
    <w:rsid w:val="007D5EAF"/>
    <w:rsid w:val="007D5EF7"/>
    <w:rsid w:val="007D5F17"/>
    <w:rsid w:val="007D5F18"/>
    <w:rsid w:val="007D5F24"/>
    <w:rsid w:val="007D5F27"/>
    <w:rsid w:val="007D5F82"/>
    <w:rsid w:val="007D60F5"/>
    <w:rsid w:val="007D610C"/>
    <w:rsid w:val="007D6128"/>
    <w:rsid w:val="007D6147"/>
    <w:rsid w:val="007D6160"/>
    <w:rsid w:val="007D6205"/>
    <w:rsid w:val="007D6229"/>
    <w:rsid w:val="007D626E"/>
    <w:rsid w:val="007D627D"/>
    <w:rsid w:val="007D627E"/>
    <w:rsid w:val="007D6292"/>
    <w:rsid w:val="007D62AE"/>
    <w:rsid w:val="007D62AF"/>
    <w:rsid w:val="007D62F5"/>
    <w:rsid w:val="007D6320"/>
    <w:rsid w:val="007D63BC"/>
    <w:rsid w:val="007D63C3"/>
    <w:rsid w:val="007D63C4"/>
    <w:rsid w:val="007D63F2"/>
    <w:rsid w:val="007D645E"/>
    <w:rsid w:val="007D648B"/>
    <w:rsid w:val="007D649D"/>
    <w:rsid w:val="007D64AC"/>
    <w:rsid w:val="007D64C1"/>
    <w:rsid w:val="007D65E3"/>
    <w:rsid w:val="007D65E9"/>
    <w:rsid w:val="007D6638"/>
    <w:rsid w:val="007D6698"/>
    <w:rsid w:val="007D669F"/>
    <w:rsid w:val="007D678C"/>
    <w:rsid w:val="007D67CD"/>
    <w:rsid w:val="007D6811"/>
    <w:rsid w:val="007D6818"/>
    <w:rsid w:val="007D6841"/>
    <w:rsid w:val="007D6867"/>
    <w:rsid w:val="007D6952"/>
    <w:rsid w:val="007D6A06"/>
    <w:rsid w:val="007D6A47"/>
    <w:rsid w:val="007D6AB0"/>
    <w:rsid w:val="007D6ADA"/>
    <w:rsid w:val="007D6B2F"/>
    <w:rsid w:val="007D6B3F"/>
    <w:rsid w:val="007D6B9D"/>
    <w:rsid w:val="007D6CBD"/>
    <w:rsid w:val="007D6CFC"/>
    <w:rsid w:val="007D6D28"/>
    <w:rsid w:val="007D6D3F"/>
    <w:rsid w:val="007D6D57"/>
    <w:rsid w:val="007D6E05"/>
    <w:rsid w:val="007D6E64"/>
    <w:rsid w:val="007D6E6F"/>
    <w:rsid w:val="007D6F32"/>
    <w:rsid w:val="007D6F3E"/>
    <w:rsid w:val="007D6F69"/>
    <w:rsid w:val="007D6F9F"/>
    <w:rsid w:val="007D6FA8"/>
    <w:rsid w:val="007D6FBD"/>
    <w:rsid w:val="007D6FBF"/>
    <w:rsid w:val="007D702D"/>
    <w:rsid w:val="007D702E"/>
    <w:rsid w:val="007D7032"/>
    <w:rsid w:val="007D703B"/>
    <w:rsid w:val="007D70D8"/>
    <w:rsid w:val="007D710B"/>
    <w:rsid w:val="007D712B"/>
    <w:rsid w:val="007D71A9"/>
    <w:rsid w:val="007D71B2"/>
    <w:rsid w:val="007D71C4"/>
    <w:rsid w:val="007D7269"/>
    <w:rsid w:val="007D72B4"/>
    <w:rsid w:val="007D72B9"/>
    <w:rsid w:val="007D72F4"/>
    <w:rsid w:val="007D736A"/>
    <w:rsid w:val="007D7376"/>
    <w:rsid w:val="007D73C8"/>
    <w:rsid w:val="007D73E7"/>
    <w:rsid w:val="007D7471"/>
    <w:rsid w:val="007D7492"/>
    <w:rsid w:val="007D74D0"/>
    <w:rsid w:val="007D754E"/>
    <w:rsid w:val="007D755B"/>
    <w:rsid w:val="007D7591"/>
    <w:rsid w:val="007D75C4"/>
    <w:rsid w:val="007D75C8"/>
    <w:rsid w:val="007D75DA"/>
    <w:rsid w:val="007D75EC"/>
    <w:rsid w:val="007D76B8"/>
    <w:rsid w:val="007D76BC"/>
    <w:rsid w:val="007D76E4"/>
    <w:rsid w:val="007D76F9"/>
    <w:rsid w:val="007D7705"/>
    <w:rsid w:val="007D77D3"/>
    <w:rsid w:val="007D7859"/>
    <w:rsid w:val="007D7892"/>
    <w:rsid w:val="007D78F9"/>
    <w:rsid w:val="007D793A"/>
    <w:rsid w:val="007D795D"/>
    <w:rsid w:val="007D79B7"/>
    <w:rsid w:val="007D79CD"/>
    <w:rsid w:val="007D79E8"/>
    <w:rsid w:val="007D7A00"/>
    <w:rsid w:val="007D7A3E"/>
    <w:rsid w:val="007D7A58"/>
    <w:rsid w:val="007D7A78"/>
    <w:rsid w:val="007D7AB7"/>
    <w:rsid w:val="007D7ADE"/>
    <w:rsid w:val="007D7B0D"/>
    <w:rsid w:val="007D7BA9"/>
    <w:rsid w:val="007D7BC9"/>
    <w:rsid w:val="007D7C92"/>
    <w:rsid w:val="007D7CD5"/>
    <w:rsid w:val="007D7CEA"/>
    <w:rsid w:val="007D7D3B"/>
    <w:rsid w:val="007D7EA9"/>
    <w:rsid w:val="007D7EBE"/>
    <w:rsid w:val="007D7F18"/>
    <w:rsid w:val="007D7F1C"/>
    <w:rsid w:val="007D7F45"/>
    <w:rsid w:val="007D7F7F"/>
    <w:rsid w:val="007E00B7"/>
    <w:rsid w:val="007E0146"/>
    <w:rsid w:val="007E0196"/>
    <w:rsid w:val="007E01D7"/>
    <w:rsid w:val="007E0232"/>
    <w:rsid w:val="007E0259"/>
    <w:rsid w:val="007E0275"/>
    <w:rsid w:val="007E02D5"/>
    <w:rsid w:val="007E02E0"/>
    <w:rsid w:val="007E0336"/>
    <w:rsid w:val="007E037B"/>
    <w:rsid w:val="007E03DB"/>
    <w:rsid w:val="007E03E5"/>
    <w:rsid w:val="007E0403"/>
    <w:rsid w:val="007E043B"/>
    <w:rsid w:val="007E047D"/>
    <w:rsid w:val="007E049E"/>
    <w:rsid w:val="007E0510"/>
    <w:rsid w:val="007E0516"/>
    <w:rsid w:val="007E0599"/>
    <w:rsid w:val="007E05C7"/>
    <w:rsid w:val="007E0659"/>
    <w:rsid w:val="007E065B"/>
    <w:rsid w:val="007E071C"/>
    <w:rsid w:val="007E0744"/>
    <w:rsid w:val="007E0798"/>
    <w:rsid w:val="007E07A2"/>
    <w:rsid w:val="007E080F"/>
    <w:rsid w:val="007E088F"/>
    <w:rsid w:val="007E08AA"/>
    <w:rsid w:val="007E08D8"/>
    <w:rsid w:val="007E08DC"/>
    <w:rsid w:val="007E08F1"/>
    <w:rsid w:val="007E08F6"/>
    <w:rsid w:val="007E091C"/>
    <w:rsid w:val="007E092F"/>
    <w:rsid w:val="007E096A"/>
    <w:rsid w:val="007E0988"/>
    <w:rsid w:val="007E0997"/>
    <w:rsid w:val="007E09C1"/>
    <w:rsid w:val="007E09F9"/>
    <w:rsid w:val="007E0A1A"/>
    <w:rsid w:val="007E0A64"/>
    <w:rsid w:val="007E0B64"/>
    <w:rsid w:val="007E0BA2"/>
    <w:rsid w:val="007E0BCD"/>
    <w:rsid w:val="007E0C39"/>
    <w:rsid w:val="007E0C55"/>
    <w:rsid w:val="007E0C7D"/>
    <w:rsid w:val="007E0CAB"/>
    <w:rsid w:val="007E0D2D"/>
    <w:rsid w:val="007E0D63"/>
    <w:rsid w:val="007E0D92"/>
    <w:rsid w:val="007E0DC9"/>
    <w:rsid w:val="007E0E42"/>
    <w:rsid w:val="007E0E53"/>
    <w:rsid w:val="007E0E67"/>
    <w:rsid w:val="007E0E99"/>
    <w:rsid w:val="007E0ED3"/>
    <w:rsid w:val="007E0F35"/>
    <w:rsid w:val="007E0F5B"/>
    <w:rsid w:val="007E0F6C"/>
    <w:rsid w:val="007E0F77"/>
    <w:rsid w:val="007E1009"/>
    <w:rsid w:val="007E1018"/>
    <w:rsid w:val="007E1044"/>
    <w:rsid w:val="007E104F"/>
    <w:rsid w:val="007E105C"/>
    <w:rsid w:val="007E1085"/>
    <w:rsid w:val="007E10EF"/>
    <w:rsid w:val="007E1188"/>
    <w:rsid w:val="007E11BB"/>
    <w:rsid w:val="007E11CE"/>
    <w:rsid w:val="007E127B"/>
    <w:rsid w:val="007E1284"/>
    <w:rsid w:val="007E12B2"/>
    <w:rsid w:val="007E12B8"/>
    <w:rsid w:val="007E12C4"/>
    <w:rsid w:val="007E12D7"/>
    <w:rsid w:val="007E12D9"/>
    <w:rsid w:val="007E130D"/>
    <w:rsid w:val="007E132D"/>
    <w:rsid w:val="007E133D"/>
    <w:rsid w:val="007E1344"/>
    <w:rsid w:val="007E1367"/>
    <w:rsid w:val="007E138F"/>
    <w:rsid w:val="007E13B6"/>
    <w:rsid w:val="007E13BA"/>
    <w:rsid w:val="007E13E2"/>
    <w:rsid w:val="007E13F2"/>
    <w:rsid w:val="007E14C7"/>
    <w:rsid w:val="007E14E6"/>
    <w:rsid w:val="007E14EE"/>
    <w:rsid w:val="007E15A2"/>
    <w:rsid w:val="007E15A8"/>
    <w:rsid w:val="007E15AA"/>
    <w:rsid w:val="007E15AB"/>
    <w:rsid w:val="007E15D7"/>
    <w:rsid w:val="007E1603"/>
    <w:rsid w:val="007E1674"/>
    <w:rsid w:val="007E16AD"/>
    <w:rsid w:val="007E16BE"/>
    <w:rsid w:val="007E16DE"/>
    <w:rsid w:val="007E1737"/>
    <w:rsid w:val="007E17C4"/>
    <w:rsid w:val="007E17E9"/>
    <w:rsid w:val="007E1828"/>
    <w:rsid w:val="007E1872"/>
    <w:rsid w:val="007E18BD"/>
    <w:rsid w:val="007E18E0"/>
    <w:rsid w:val="007E18F6"/>
    <w:rsid w:val="007E190C"/>
    <w:rsid w:val="007E197D"/>
    <w:rsid w:val="007E1997"/>
    <w:rsid w:val="007E19DB"/>
    <w:rsid w:val="007E1A00"/>
    <w:rsid w:val="007E1A38"/>
    <w:rsid w:val="007E1AA6"/>
    <w:rsid w:val="007E1AD4"/>
    <w:rsid w:val="007E1B0B"/>
    <w:rsid w:val="007E1B1C"/>
    <w:rsid w:val="007E1B8D"/>
    <w:rsid w:val="007E1B94"/>
    <w:rsid w:val="007E1BF7"/>
    <w:rsid w:val="007E1C2B"/>
    <w:rsid w:val="007E1C76"/>
    <w:rsid w:val="007E1C7D"/>
    <w:rsid w:val="007E1CC9"/>
    <w:rsid w:val="007E1D20"/>
    <w:rsid w:val="007E1D59"/>
    <w:rsid w:val="007E1E2F"/>
    <w:rsid w:val="007E1E53"/>
    <w:rsid w:val="007E1EA1"/>
    <w:rsid w:val="007E1F1A"/>
    <w:rsid w:val="007E1F1D"/>
    <w:rsid w:val="007E1F28"/>
    <w:rsid w:val="007E1FB7"/>
    <w:rsid w:val="007E20CD"/>
    <w:rsid w:val="007E20F0"/>
    <w:rsid w:val="007E20FC"/>
    <w:rsid w:val="007E2122"/>
    <w:rsid w:val="007E213B"/>
    <w:rsid w:val="007E2176"/>
    <w:rsid w:val="007E21CD"/>
    <w:rsid w:val="007E2226"/>
    <w:rsid w:val="007E2229"/>
    <w:rsid w:val="007E2261"/>
    <w:rsid w:val="007E22C9"/>
    <w:rsid w:val="007E22E3"/>
    <w:rsid w:val="007E2302"/>
    <w:rsid w:val="007E2318"/>
    <w:rsid w:val="007E2358"/>
    <w:rsid w:val="007E2391"/>
    <w:rsid w:val="007E23B4"/>
    <w:rsid w:val="007E244B"/>
    <w:rsid w:val="007E244C"/>
    <w:rsid w:val="007E2478"/>
    <w:rsid w:val="007E247D"/>
    <w:rsid w:val="007E2499"/>
    <w:rsid w:val="007E2514"/>
    <w:rsid w:val="007E258B"/>
    <w:rsid w:val="007E25B6"/>
    <w:rsid w:val="007E2604"/>
    <w:rsid w:val="007E262B"/>
    <w:rsid w:val="007E262C"/>
    <w:rsid w:val="007E2632"/>
    <w:rsid w:val="007E266F"/>
    <w:rsid w:val="007E26BB"/>
    <w:rsid w:val="007E27D0"/>
    <w:rsid w:val="007E2863"/>
    <w:rsid w:val="007E28AA"/>
    <w:rsid w:val="007E28F4"/>
    <w:rsid w:val="007E2958"/>
    <w:rsid w:val="007E2A58"/>
    <w:rsid w:val="007E2ACB"/>
    <w:rsid w:val="007E2B55"/>
    <w:rsid w:val="007E2B79"/>
    <w:rsid w:val="007E2BBA"/>
    <w:rsid w:val="007E2BE3"/>
    <w:rsid w:val="007E2C5B"/>
    <w:rsid w:val="007E2C7B"/>
    <w:rsid w:val="007E2D4B"/>
    <w:rsid w:val="007E2D4D"/>
    <w:rsid w:val="007E2D9F"/>
    <w:rsid w:val="007E2E99"/>
    <w:rsid w:val="007E2EEF"/>
    <w:rsid w:val="007E2F09"/>
    <w:rsid w:val="007E2F25"/>
    <w:rsid w:val="007E2F77"/>
    <w:rsid w:val="007E2F7B"/>
    <w:rsid w:val="007E2F9E"/>
    <w:rsid w:val="007E2FA8"/>
    <w:rsid w:val="007E301A"/>
    <w:rsid w:val="007E3044"/>
    <w:rsid w:val="007E306D"/>
    <w:rsid w:val="007E3107"/>
    <w:rsid w:val="007E310F"/>
    <w:rsid w:val="007E3134"/>
    <w:rsid w:val="007E3137"/>
    <w:rsid w:val="007E3141"/>
    <w:rsid w:val="007E31D4"/>
    <w:rsid w:val="007E3220"/>
    <w:rsid w:val="007E330C"/>
    <w:rsid w:val="007E3326"/>
    <w:rsid w:val="007E3335"/>
    <w:rsid w:val="007E3340"/>
    <w:rsid w:val="007E3378"/>
    <w:rsid w:val="007E3395"/>
    <w:rsid w:val="007E33C3"/>
    <w:rsid w:val="007E33D3"/>
    <w:rsid w:val="007E33D5"/>
    <w:rsid w:val="007E3443"/>
    <w:rsid w:val="007E346E"/>
    <w:rsid w:val="007E34A4"/>
    <w:rsid w:val="007E34B3"/>
    <w:rsid w:val="007E34BC"/>
    <w:rsid w:val="007E34E5"/>
    <w:rsid w:val="007E34FC"/>
    <w:rsid w:val="007E3535"/>
    <w:rsid w:val="007E3609"/>
    <w:rsid w:val="007E369D"/>
    <w:rsid w:val="007E3733"/>
    <w:rsid w:val="007E373A"/>
    <w:rsid w:val="007E38E3"/>
    <w:rsid w:val="007E3903"/>
    <w:rsid w:val="007E391C"/>
    <w:rsid w:val="007E3975"/>
    <w:rsid w:val="007E3A30"/>
    <w:rsid w:val="007E3A41"/>
    <w:rsid w:val="007E3A6A"/>
    <w:rsid w:val="007E3AA3"/>
    <w:rsid w:val="007E3AE3"/>
    <w:rsid w:val="007E3AE9"/>
    <w:rsid w:val="007E3AEF"/>
    <w:rsid w:val="007E3B21"/>
    <w:rsid w:val="007E3BA3"/>
    <w:rsid w:val="007E3BC9"/>
    <w:rsid w:val="007E3BE1"/>
    <w:rsid w:val="007E3C39"/>
    <w:rsid w:val="007E3C45"/>
    <w:rsid w:val="007E3C4A"/>
    <w:rsid w:val="007E3C9D"/>
    <w:rsid w:val="007E3CA1"/>
    <w:rsid w:val="007E3CA3"/>
    <w:rsid w:val="007E3CBC"/>
    <w:rsid w:val="007E3CE7"/>
    <w:rsid w:val="007E3CF2"/>
    <w:rsid w:val="007E3D6C"/>
    <w:rsid w:val="007E3E33"/>
    <w:rsid w:val="007E3EEF"/>
    <w:rsid w:val="007E3F12"/>
    <w:rsid w:val="007E3F33"/>
    <w:rsid w:val="007E3F48"/>
    <w:rsid w:val="007E3F91"/>
    <w:rsid w:val="007E3FAB"/>
    <w:rsid w:val="007E4079"/>
    <w:rsid w:val="007E4106"/>
    <w:rsid w:val="007E4147"/>
    <w:rsid w:val="007E4192"/>
    <w:rsid w:val="007E41D8"/>
    <w:rsid w:val="007E41EF"/>
    <w:rsid w:val="007E424B"/>
    <w:rsid w:val="007E4285"/>
    <w:rsid w:val="007E430B"/>
    <w:rsid w:val="007E4352"/>
    <w:rsid w:val="007E435D"/>
    <w:rsid w:val="007E4390"/>
    <w:rsid w:val="007E443E"/>
    <w:rsid w:val="007E4453"/>
    <w:rsid w:val="007E446F"/>
    <w:rsid w:val="007E448D"/>
    <w:rsid w:val="007E449F"/>
    <w:rsid w:val="007E44B3"/>
    <w:rsid w:val="007E44C5"/>
    <w:rsid w:val="007E44D8"/>
    <w:rsid w:val="007E44FF"/>
    <w:rsid w:val="007E4512"/>
    <w:rsid w:val="007E452E"/>
    <w:rsid w:val="007E45E2"/>
    <w:rsid w:val="007E4609"/>
    <w:rsid w:val="007E4619"/>
    <w:rsid w:val="007E4650"/>
    <w:rsid w:val="007E465D"/>
    <w:rsid w:val="007E4663"/>
    <w:rsid w:val="007E4682"/>
    <w:rsid w:val="007E4686"/>
    <w:rsid w:val="007E469F"/>
    <w:rsid w:val="007E46BE"/>
    <w:rsid w:val="007E4734"/>
    <w:rsid w:val="007E4773"/>
    <w:rsid w:val="007E47DB"/>
    <w:rsid w:val="007E47E9"/>
    <w:rsid w:val="007E4869"/>
    <w:rsid w:val="007E4872"/>
    <w:rsid w:val="007E487B"/>
    <w:rsid w:val="007E4886"/>
    <w:rsid w:val="007E48AC"/>
    <w:rsid w:val="007E4919"/>
    <w:rsid w:val="007E499D"/>
    <w:rsid w:val="007E49A2"/>
    <w:rsid w:val="007E49D9"/>
    <w:rsid w:val="007E4A1D"/>
    <w:rsid w:val="007E4BA1"/>
    <w:rsid w:val="007E4BBF"/>
    <w:rsid w:val="007E4BC1"/>
    <w:rsid w:val="007E4C2D"/>
    <w:rsid w:val="007E4C6F"/>
    <w:rsid w:val="007E4CB3"/>
    <w:rsid w:val="007E4CBC"/>
    <w:rsid w:val="007E4CF1"/>
    <w:rsid w:val="007E4D05"/>
    <w:rsid w:val="007E4D34"/>
    <w:rsid w:val="007E4D5E"/>
    <w:rsid w:val="007E4D7B"/>
    <w:rsid w:val="007E4D7D"/>
    <w:rsid w:val="007E4D8B"/>
    <w:rsid w:val="007E4DE9"/>
    <w:rsid w:val="007E4DFF"/>
    <w:rsid w:val="007E4E4B"/>
    <w:rsid w:val="007E4E95"/>
    <w:rsid w:val="007E4EC5"/>
    <w:rsid w:val="007E4EE7"/>
    <w:rsid w:val="007E4F06"/>
    <w:rsid w:val="007E4F24"/>
    <w:rsid w:val="007E4FE1"/>
    <w:rsid w:val="007E4FE6"/>
    <w:rsid w:val="007E501F"/>
    <w:rsid w:val="007E5024"/>
    <w:rsid w:val="007E5034"/>
    <w:rsid w:val="007E504B"/>
    <w:rsid w:val="007E5074"/>
    <w:rsid w:val="007E508A"/>
    <w:rsid w:val="007E50C7"/>
    <w:rsid w:val="007E50F0"/>
    <w:rsid w:val="007E5158"/>
    <w:rsid w:val="007E5216"/>
    <w:rsid w:val="007E526F"/>
    <w:rsid w:val="007E529A"/>
    <w:rsid w:val="007E52D7"/>
    <w:rsid w:val="007E52E7"/>
    <w:rsid w:val="007E532F"/>
    <w:rsid w:val="007E5342"/>
    <w:rsid w:val="007E5355"/>
    <w:rsid w:val="007E5384"/>
    <w:rsid w:val="007E53EC"/>
    <w:rsid w:val="007E53ED"/>
    <w:rsid w:val="007E5458"/>
    <w:rsid w:val="007E545A"/>
    <w:rsid w:val="007E5529"/>
    <w:rsid w:val="007E55DA"/>
    <w:rsid w:val="007E55DE"/>
    <w:rsid w:val="007E56AB"/>
    <w:rsid w:val="007E56CC"/>
    <w:rsid w:val="007E571D"/>
    <w:rsid w:val="007E578A"/>
    <w:rsid w:val="007E586F"/>
    <w:rsid w:val="007E5885"/>
    <w:rsid w:val="007E588E"/>
    <w:rsid w:val="007E58F1"/>
    <w:rsid w:val="007E5940"/>
    <w:rsid w:val="007E595C"/>
    <w:rsid w:val="007E5995"/>
    <w:rsid w:val="007E59BC"/>
    <w:rsid w:val="007E5A06"/>
    <w:rsid w:val="007E5A41"/>
    <w:rsid w:val="007E5A5F"/>
    <w:rsid w:val="007E5AA1"/>
    <w:rsid w:val="007E5AD4"/>
    <w:rsid w:val="007E5B32"/>
    <w:rsid w:val="007E5B68"/>
    <w:rsid w:val="007E5B74"/>
    <w:rsid w:val="007E5BAF"/>
    <w:rsid w:val="007E5BFA"/>
    <w:rsid w:val="007E5C18"/>
    <w:rsid w:val="007E5C36"/>
    <w:rsid w:val="007E5CE3"/>
    <w:rsid w:val="007E5D56"/>
    <w:rsid w:val="007E5D89"/>
    <w:rsid w:val="007E5DFD"/>
    <w:rsid w:val="007E5E1E"/>
    <w:rsid w:val="007E5E25"/>
    <w:rsid w:val="007E5E9D"/>
    <w:rsid w:val="007E5F22"/>
    <w:rsid w:val="007E5F28"/>
    <w:rsid w:val="007E5F4F"/>
    <w:rsid w:val="007E5F52"/>
    <w:rsid w:val="007E5FBC"/>
    <w:rsid w:val="007E604C"/>
    <w:rsid w:val="007E607F"/>
    <w:rsid w:val="007E60D9"/>
    <w:rsid w:val="007E60E9"/>
    <w:rsid w:val="007E6145"/>
    <w:rsid w:val="007E616C"/>
    <w:rsid w:val="007E61A3"/>
    <w:rsid w:val="007E61CD"/>
    <w:rsid w:val="007E6238"/>
    <w:rsid w:val="007E6277"/>
    <w:rsid w:val="007E62A6"/>
    <w:rsid w:val="007E630C"/>
    <w:rsid w:val="007E6370"/>
    <w:rsid w:val="007E640E"/>
    <w:rsid w:val="007E6427"/>
    <w:rsid w:val="007E644A"/>
    <w:rsid w:val="007E644B"/>
    <w:rsid w:val="007E6510"/>
    <w:rsid w:val="007E6586"/>
    <w:rsid w:val="007E6649"/>
    <w:rsid w:val="007E6659"/>
    <w:rsid w:val="007E666C"/>
    <w:rsid w:val="007E6721"/>
    <w:rsid w:val="007E6728"/>
    <w:rsid w:val="007E674F"/>
    <w:rsid w:val="007E67CC"/>
    <w:rsid w:val="007E67D7"/>
    <w:rsid w:val="007E681E"/>
    <w:rsid w:val="007E6828"/>
    <w:rsid w:val="007E6889"/>
    <w:rsid w:val="007E68CB"/>
    <w:rsid w:val="007E68F8"/>
    <w:rsid w:val="007E68FF"/>
    <w:rsid w:val="007E694F"/>
    <w:rsid w:val="007E6A12"/>
    <w:rsid w:val="007E6A1D"/>
    <w:rsid w:val="007E6A2A"/>
    <w:rsid w:val="007E6AE9"/>
    <w:rsid w:val="007E6AF6"/>
    <w:rsid w:val="007E6B42"/>
    <w:rsid w:val="007E6C80"/>
    <w:rsid w:val="007E6CAE"/>
    <w:rsid w:val="007E6CF2"/>
    <w:rsid w:val="007E6D8B"/>
    <w:rsid w:val="007E6DB2"/>
    <w:rsid w:val="007E6DB4"/>
    <w:rsid w:val="007E6DD6"/>
    <w:rsid w:val="007E6E8A"/>
    <w:rsid w:val="007E6FD1"/>
    <w:rsid w:val="007E7004"/>
    <w:rsid w:val="007E7016"/>
    <w:rsid w:val="007E7134"/>
    <w:rsid w:val="007E7135"/>
    <w:rsid w:val="007E7168"/>
    <w:rsid w:val="007E719A"/>
    <w:rsid w:val="007E71A1"/>
    <w:rsid w:val="007E7206"/>
    <w:rsid w:val="007E7229"/>
    <w:rsid w:val="007E7257"/>
    <w:rsid w:val="007E725D"/>
    <w:rsid w:val="007E73C4"/>
    <w:rsid w:val="007E7435"/>
    <w:rsid w:val="007E7499"/>
    <w:rsid w:val="007E74A4"/>
    <w:rsid w:val="007E751A"/>
    <w:rsid w:val="007E7547"/>
    <w:rsid w:val="007E757D"/>
    <w:rsid w:val="007E7623"/>
    <w:rsid w:val="007E762E"/>
    <w:rsid w:val="007E7692"/>
    <w:rsid w:val="007E76C3"/>
    <w:rsid w:val="007E76E6"/>
    <w:rsid w:val="007E7762"/>
    <w:rsid w:val="007E776D"/>
    <w:rsid w:val="007E7781"/>
    <w:rsid w:val="007E778C"/>
    <w:rsid w:val="007E782C"/>
    <w:rsid w:val="007E7850"/>
    <w:rsid w:val="007E795F"/>
    <w:rsid w:val="007E79FC"/>
    <w:rsid w:val="007E7A10"/>
    <w:rsid w:val="007E7A2A"/>
    <w:rsid w:val="007E7A60"/>
    <w:rsid w:val="007E7AEA"/>
    <w:rsid w:val="007E7B15"/>
    <w:rsid w:val="007E7B89"/>
    <w:rsid w:val="007E7B8D"/>
    <w:rsid w:val="007E7B9D"/>
    <w:rsid w:val="007E7BE7"/>
    <w:rsid w:val="007E7C48"/>
    <w:rsid w:val="007E7CB1"/>
    <w:rsid w:val="007E7CB4"/>
    <w:rsid w:val="007E7D15"/>
    <w:rsid w:val="007E7D85"/>
    <w:rsid w:val="007E7DA7"/>
    <w:rsid w:val="007E7DE1"/>
    <w:rsid w:val="007E7EE1"/>
    <w:rsid w:val="007E7EF3"/>
    <w:rsid w:val="007E7EFD"/>
    <w:rsid w:val="007E7F16"/>
    <w:rsid w:val="007E7F55"/>
    <w:rsid w:val="007E7F5B"/>
    <w:rsid w:val="007E7F8B"/>
    <w:rsid w:val="007E7F97"/>
    <w:rsid w:val="007E7FA9"/>
    <w:rsid w:val="007E7FAF"/>
    <w:rsid w:val="007E7FC9"/>
    <w:rsid w:val="007E7FDB"/>
    <w:rsid w:val="007F001F"/>
    <w:rsid w:val="007F0076"/>
    <w:rsid w:val="007F0100"/>
    <w:rsid w:val="007F0164"/>
    <w:rsid w:val="007F0178"/>
    <w:rsid w:val="007F0201"/>
    <w:rsid w:val="007F0221"/>
    <w:rsid w:val="007F0257"/>
    <w:rsid w:val="007F02F2"/>
    <w:rsid w:val="007F0325"/>
    <w:rsid w:val="007F034A"/>
    <w:rsid w:val="007F0354"/>
    <w:rsid w:val="007F03B9"/>
    <w:rsid w:val="007F03BD"/>
    <w:rsid w:val="007F0456"/>
    <w:rsid w:val="007F049D"/>
    <w:rsid w:val="007F04AF"/>
    <w:rsid w:val="007F04DF"/>
    <w:rsid w:val="007F0520"/>
    <w:rsid w:val="007F053D"/>
    <w:rsid w:val="007F0574"/>
    <w:rsid w:val="007F0588"/>
    <w:rsid w:val="007F05B3"/>
    <w:rsid w:val="007F05BA"/>
    <w:rsid w:val="007F05D0"/>
    <w:rsid w:val="007F0638"/>
    <w:rsid w:val="007F0674"/>
    <w:rsid w:val="007F06A0"/>
    <w:rsid w:val="007F06DD"/>
    <w:rsid w:val="007F074C"/>
    <w:rsid w:val="007F0786"/>
    <w:rsid w:val="007F07B5"/>
    <w:rsid w:val="007F07D1"/>
    <w:rsid w:val="007F07DA"/>
    <w:rsid w:val="007F0809"/>
    <w:rsid w:val="007F0856"/>
    <w:rsid w:val="007F0862"/>
    <w:rsid w:val="007F08B8"/>
    <w:rsid w:val="007F091C"/>
    <w:rsid w:val="007F0930"/>
    <w:rsid w:val="007F0939"/>
    <w:rsid w:val="007F0967"/>
    <w:rsid w:val="007F0A62"/>
    <w:rsid w:val="007F0A7F"/>
    <w:rsid w:val="007F0AAA"/>
    <w:rsid w:val="007F0B05"/>
    <w:rsid w:val="007F0B8D"/>
    <w:rsid w:val="007F0BA9"/>
    <w:rsid w:val="007F0BBA"/>
    <w:rsid w:val="007F0C03"/>
    <w:rsid w:val="007F0C21"/>
    <w:rsid w:val="007F0D23"/>
    <w:rsid w:val="007F0D2F"/>
    <w:rsid w:val="007F0D5A"/>
    <w:rsid w:val="007F0D86"/>
    <w:rsid w:val="007F0DB2"/>
    <w:rsid w:val="007F0E5F"/>
    <w:rsid w:val="007F0E98"/>
    <w:rsid w:val="007F0F0E"/>
    <w:rsid w:val="007F0F1C"/>
    <w:rsid w:val="007F0F20"/>
    <w:rsid w:val="007F0F39"/>
    <w:rsid w:val="007F0FF3"/>
    <w:rsid w:val="007F100A"/>
    <w:rsid w:val="007F1162"/>
    <w:rsid w:val="007F1166"/>
    <w:rsid w:val="007F1182"/>
    <w:rsid w:val="007F11F9"/>
    <w:rsid w:val="007F1270"/>
    <w:rsid w:val="007F12A5"/>
    <w:rsid w:val="007F12C0"/>
    <w:rsid w:val="007F12C3"/>
    <w:rsid w:val="007F12CC"/>
    <w:rsid w:val="007F12E0"/>
    <w:rsid w:val="007F12F0"/>
    <w:rsid w:val="007F137E"/>
    <w:rsid w:val="007F1386"/>
    <w:rsid w:val="007F139F"/>
    <w:rsid w:val="007F13E9"/>
    <w:rsid w:val="007F140F"/>
    <w:rsid w:val="007F14A5"/>
    <w:rsid w:val="007F14B3"/>
    <w:rsid w:val="007F14C0"/>
    <w:rsid w:val="007F1531"/>
    <w:rsid w:val="007F1685"/>
    <w:rsid w:val="007F168C"/>
    <w:rsid w:val="007F16BC"/>
    <w:rsid w:val="007F16DC"/>
    <w:rsid w:val="007F16E9"/>
    <w:rsid w:val="007F1704"/>
    <w:rsid w:val="007F1707"/>
    <w:rsid w:val="007F17B3"/>
    <w:rsid w:val="007F17B8"/>
    <w:rsid w:val="007F1805"/>
    <w:rsid w:val="007F181F"/>
    <w:rsid w:val="007F1832"/>
    <w:rsid w:val="007F1849"/>
    <w:rsid w:val="007F1913"/>
    <w:rsid w:val="007F1928"/>
    <w:rsid w:val="007F1976"/>
    <w:rsid w:val="007F198E"/>
    <w:rsid w:val="007F19CE"/>
    <w:rsid w:val="007F1A58"/>
    <w:rsid w:val="007F1AE3"/>
    <w:rsid w:val="007F1AED"/>
    <w:rsid w:val="007F1B71"/>
    <w:rsid w:val="007F1BFB"/>
    <w:rsid w:val="007F1C47"/>
    <w:rsid w:val="007F1C81"/>
    <w:rsid w:val="007F1D22"/>
    <w:rsid w:val="007F1D57"/>
    <w:rsid w:val="007F1D66"/>
    <w:rsid w:val="007F1DBF"/>
    <w:rsid w:val="007F1E2B"/>
    <w:rsid w:val="007F1F52"/>
    <w:rsid w:val="007F1F83"/>
    <w:rsid w:val="007F1FA8"/>
    <w:rsid w:val="007F1FDB"/>
    <w:rsid w:val="007F20C7"/>
    <w:rsid w:val="007F20CA"/>
    <w:rsid w:val="007F210D"/>
    <w:rsid w:val="007F215E"/>
    <w:rsid w:val="007F225C"/>
    <w:rsid w:val="007F228A"/>
    <w:rsid w:val="007F228C"/>
    <w:rsid w:val="007F2297"/>
    <w:rsid w:val="007F22C8"/>
    <w:rsid w:val="007F22E4"/>
    <w:rsid w:val="007F236C"/>
    <w:rsid w:val="007F236D"/>
    <w:rsid w:val="007F2431"/>
    <w:rsid w:val="007F24A4"/>
    <w:rsid w:val="007F24E3"/>
    <w:rsid w:val="007F24FD"/>
    <w:rsid w:val="007F251D"/>
    <w:rsid w:val="007F25A3"/>
    <w:rsid w:val="007F25A7"/>
    <w:rsid w:val="007F25AF"/>
    <w:rsid w:val="007F25C0"/>
    <w:rsid w:val="007F25DF"/>
    <w:rsid w:val="007F2677"/>
    <w:rsid w:val="007F26BC"/>
    <w:rsid w:val="007F26D2"/>
    <w:rsid w:val="007F26D4"/>
    <w:rsid w:val="007F2754"/>
    <w:rsid w:val="007F27A1"/>
    <w:rsid w:val="007F2837"/>
    <w:rsid w:val="007F283D"/>
    <w:rsid w:val="007F2848"/>
    <w:rsid w:val="007F287B"/>
    <w:rsid w:val="007F28BB"/>
    <w:rsid w:val="007F28EE"/>
    <w:rsid w:val="007F28FA"/>
    <w:rsid w:val="007F2913"/>
    <w:rsid w:val="007F2934"/>
    <w:rsid w:val="007F2991"/>
    <w:rsid w:val="007F2994"/>
    <w:rsid w:val="007F29F6"/>
    <w:rsid w:val="007F2A0E"/>
    <w:rsid w:val="007F2A17"/>
    <w:rsid w:val="007F2A61"/>
    <w:rsid w:val="007F2AE1"/>
    <w:rsid w:val="007F2AE9"/>
    <w:rsid w:val="007F2AF1"/>
    <w:rsid w:val="007F2B03"/>
    <w:rsid w:val="007F2B18"/>
    <w:rsid w:val="007F2B60"/>
    <w:rsid w:val="007F2B6A"/>
    <w:rsid w:val="007F2BE2"/>
    <w:rsid w:val="007F2BEE"/>
    <w:rsid w:val="007F2BF3"/>
    <w:rsid w:val="007F2C7F"/>
    <w:rsid w:val="007F2CCB"/>
    <w:rsid w:val="007F2CFE"/>
    <w:rsid w:val="007F2D34"/>
    <w:rsid w:val="007F2D7B"/>
    <w:rsid w:val="007F2E99"/>
    <w:rsid w:val="007F2E9A"/>
    <w:rsid w:val="007F2EA3"/>
    <w:rsid w:val="007F2EFA"/>
    <w:rsid w:val="007F2EFF"/>
    <w:rsid w:val="007F2F46"/>
    <w:rsid w:val="007F2F94"/>
    <w:rsid w:val="007F2FD3"/>
    <w:rsid w:val="007F303F"/>
    <w:rsid w:val="007F3046"/>
    <w:rsid w:val="007F304D"/>
    <w:rsid w:val="007F3083"/>
    <w:rsid w:val="007F311C"/>
    <w:rsid w:val="007F312F"/>
    <w:rsid w:val="007F3133"/>
    <w:rsid w:val="007F3134"/>
    <w:rsid w:val="007F318F"/>
    <w:rsid w:val="007F31A9"/>
    <w:rsid w:val="007F31BA"/>
    <w:rsid w:val="007F31CB"/>
    <w:rsid w:val="007F31F5"/>
    <w:rsid w:val="007F31FD"/>
    <w:rsid w:val="007F31FE"/>
    <w:rsid w:val="007F320C"/>
    <w:rsid w:val="007F32C2"/>
    <w:rsid w:val="007F32CF"/>
    <w:rsid w:val="007F333F"/>
    <w:rsid w:val="007F335F"/>
    <w:rsid w:val="007F33C6"/>
    <w:rsid w:val="007F33FC"/>
    <w:rsid w:val="007F3430"/>
    <w:rsid w:val="007F3491"/>
    <w:rsid w:val="007F349D"/>
    <w:rsid w:val="007F34DF"/>
    <w:rsid w:val="007F34EF"/>
    <w:rsid w:val="007F355A"/>
    <w:rsid w:val="007F3598"/>
    <w:rsid w:val="007F35A0"/>
    <w:rsid w:val="007F35AD"/>
    <w:rsid w:val="007F3629"/>
    <w:rsid w:val="007F367C"/>
    <w:rsid w:val="007F369E"/>
    <w:rsid w:val="007F36C7"/>
    <w:rsid w:val="007F36F7"/>
    <w:rsid w:val="007F3721"/>
    <w:rsid w:val="007F379B"/>
    <w:rsid w:val="007F37C1"/>
    <w:rsid w:val="007F383C"/>
    <w:rsid w:val="007F3854"/>
    <w:rsid w:val="007F3866"/>
    <w:rsid w:val="007F3875"/>
    <w:rsid w:val="007F3890"/>
    <w:rsid w:val="007F38E8"/>
    <w:rsid w:val="007F390F"/>
    <w:rsid w:val="007F3968"/>
    <w:rsid w:val="007F3984"/>
    <w:rsid w:val="007F39AD"/>
    <w:rsid w:val="007F3ACA"/>
    <w:rsid w:val="007F3ACD"/>
    <w:rsid w:val="007F3ADA"/>
    <w:rsid w:val="007F3ADD"/>
    <w:rsid w:val="007F3AFA"/>
    <w:rsid w:val="007F3B20"/>
    <w:rsid w:val="007F3B22"/>
    <w:rsid w:val="007F3B7C"/>
    <w:rsid w:val="007F3B85"/>
    <w:rsid w:val="007F3BC6"/>
    <w:rsid w:val="007F3C24"/>
    <w:rsid w:val="007F3C41"/>
    <w:rsid w:val="007F3C93"/>
    <w:rsid w:val="007F3C98"/>
    <w:rsid w:val="007F3CA6"/>
    <w:rsid w:val="007F3CB2"/>
    <w:rsid w:val="007F3CD7"/>
    <w:rsid w:val="007F3D04"/>
    <w:rsid w:val="007F3D97"/>
    <w:rsid w:val="007F3DA3"/>
    <w:rsid w:val="007F3DB8"/>
    <w:rsid w:val="007F3DE1"/>
    <w:rsid w:val="007F3DF8"/>
    <w:rsid w:val="007F3E08"/>
    <w:rsid w:val="007F3E3D"/>
    <w:rsid w:val="007F3E45"/>
    <w:rsid w:val="007F3E91"/>
    <w:rsid w:val="007F3EB3"/>
    <w:rsid w:val="007F3ECC"/>
    <w:rsid w:val="007F3F05"/>
    <w:rsid w:val="007F3F2A"/>
    <w:rsid w:val="007F3F5F"/>
    <w:rsid w:val="007F3F70"/>
    <w:rsid w:val="007F400A"/>
    <w:rsid w:val="007F4095"/>
    <w:rsid w:val="007F40F7"/>
    <w:rsid w:val="007F41C0"/>
    <w:rsid w:val="007F41E9"/>
    <w:rsid w:val="007F425C"/>
    <w:rsid w:val="007F42A3"/>
    <w:rsid w:val="007F42C5"/>
    <w:rsid w:val="007F42D0"/>
    <w:rsid w:val="007F42F3"/>
    <w:rsid w:val="007F4320"/>
    <w:rsid w:val="007F43AB"/>
    <w:rsid w:val="007F4405"/>
    <w:rsid w:val="007F448C"/>
    <w:rsid w:val="007F44FF"/>
    <w:rsid w:val="007F4517"/>
    <w:rsid w:val="007F458C"/>
    <w:rsid w:val="007F45F0"/>
    <w:rsid w:val="007F462E"/>
    <w:rsid w:val="007F469E"/>
    <w:rsid w:val="007F46E9"/>
    <w:rsid w:val="007F46EB"/>
    <w:rsid w:val="007F470B"/>
    <w:rsid w:val="007F473B"/>
    <w:rsid w:val="007F47C2"/>
    <w:rsid w:val="007F481B"/>
    <w:rsid w:val="007F4896"/>
    <w:rsid w:val="007F48CB"/>
    <w:rsid w:val="007F492A"/>
    <w:rsid w:val="007F494B"/>
    <w:rsid w:val="007F4AB7"/>
    <w:rsid w:val="007F4ADA"/>
    <w:rsid w:val="007F4B18"/>
    <w:rsid w:val="007F4B9E"/>
    <w:rsid w:val="007F4C0F"/>
    <w:rsid w:val="007F4C1E"/>
    <w:rsid w:val="007F4C6A"/>
    <w:rsid w:val="007F4C98"/>
    <w:rsid w:val="007F4CDF"/>
    <w:rsid w:val="007F4CF1"/>
    <w:rsid w:val="007F4D14"/>
    <w:rsid w:val="007F4D1C"/>
    <w:rsid w:val="007F4D3B"/>
    <w:rsid w:val="007F4D5C"/>
    <w:rsid w:val="007F4D77"/>
    <w:rsid w:val="007F4D83"/>
    <w:rsid w:val="007F4D99"/>
    <w:rsid w:val="007F4DE6"/>
    <w:rsid w:val="007F4E3A"/>
    <w:rsid w:val="007F4E86"/>
    <w:rsid w:val="007F4E93"/>
    <w:rsid w:val="007F4EE3"/>
    <w:rsid w:val="007F4F59"/>
    <w:rsid w:val="007F4F95"/>
    <w:rsid w:val="007F4F9D"/>
    <w:rsid w:val="007F5046"/>
    <w:rsid w:val="007F509A"/>
    <w:rsid w:val="007F50A3"/>
    <w:rsid w:val="007F50B0"/>
    <w:rsid w:val="007F50F8"/>
    <w:rsid w:val="007F5149"/>
    <w:rsid w:val="007F5183"/>
    <w:rsid w:val="007F518D"/>
    <w:rsid w:val="007F51AC"/>
    <w:rsid w:val="007F51F8"/>
    <w:rsid w:val="007F5201"/>
    <w:rsid w:val="007F5235"/>
    <w:rsid w:val="007F5281"/>
    <w:rsid w:val="007F528A"/>
    <w:rsid w:val="007F5338"/>
    <w:rsid w:val="007F53A1"/>
    <w:rsid w:val="007F5535"/>
    <w:rsid w:val="007F553A"/>
    <w:rsid w:val="007F5577"/>
    <w:rsid w:val="007F5590"/>
    <w:rsid w:val="007F563A"/>
    <w:rsid w:val="007F5654"/>
    <w:rsid w:val="007F56B8"/>
    <w:rsid w:val="007F56EB"/>
    <w:rsid w:val="007F56ED"/>
    <w:rsid w:val="007F56FF"/>
    <w:rsid w:val="007F5703"/>
    <w:rsid w:val="007F5733"/>
    <w:rsid w:val="007F575A"/>
    <w:rsid w:val="007F57CE"/>
    <w:rsid w:val="007F57EB"/>
    <w:rsid w:val="007F57F1"/>
    <w:rsid w:val="007F581F"/>
    <w:rsid w:val="007F5824"/>
    <w:rsid w:val="007F58C2"/>
    <w:rsid w:val="007F58E5"/>
    <w:rsid w:val="007F5955"/>
    <w:rsid w:val="007F5967"/>
    <w:rsid w:val="007F59A9"/>
    <w:rsid w:val="007F59DE"/>
    <w:rsid w:val="007F5A16"/>
    <w:rsid w:val="007F5A28"/>
    <w:rsid w:val="007F5A62"/>
    <w:rsid w:val="007F5B10"/>
    <w:rsid w:val="007F5BA9"/>
    <w:rsid w:val="007F5CA5"/>
    <w:rsid w:val="007F5CA6"/>
    <w:rsid w:val="007F5CD2"/>
    <w:rsid w:val="007F5CF7"/>
    <w:rsid w:val="007F5E32"/>
    <w:rsid w:val="007F5E3D"/>
    <w:rsid w:val="007F5E65"/>
    <w:rsid w:val="007F5E92"/>
    <w:rsid w:val="007F5EFF"/>
    <w:rsid w:val="007F5F06"/>
    <w:rsid w:val="007F5F92"/>
    <w:rsid w:val="007F5FD8"/>
    <w:rsid w:val="007F603E"/>
    <w:rsid w:val="007F6057"/>
    <w:rsid w:val="007F605C"/>
    <w:rsid w:val="007F6086"/>
    <w:rsid w:val="007F60C0"/>
    <w:rsid w:val="007F611E"/>
    <w:rsid w:val="007F613C"/>
    <w:rsid w:val="007F6188"/>
    <w:rsid w:val="007F61C7"/>
    <w:rsid w:val="007F61CD"/>
    <w:rsid w:val="007F61D4"/>
    <w:rsid w:val="007F61F8"/>
    <w:rsid w:val="007F620A"/>
    <w:rsid w:val="007F622F"/>
    <w:rsid w:val="007F6246"/>
    <w:rsid w:val="007F62F6"/>
    <w:rsid w:val="007F6328"/>
    <w:rsid w:val="007F6401"/>
    <w:rsid w:val="007F646B"/>
    <w:rsid w:val="007F64AD"/>
    <w:rsid w:val="007F64D5"/>
    <w:rsid w:val="007F64E9"/>
    <w:rsid w:val="007F650A"/>
    <w:rsid w:val="007F6566"/>
    <w:rsid w:val="007F6595"/>
    <w:rsid w:val="007F65AD"/>
    <w:rsid w:val="007F65B8"/>
    <w:rsid w:val="007F65DA"/>
    <w:rsid w:val="007F660F"/>
    <w:rsid w:val="007F6667"/>
    <w:rsid w:val="007F6718"/>
    <w:rsid w:val="007F671A"/>
    <w:rsid w:val="007F6735"/>
    <w:rsid w:val="007F67B4"/>
    <w:rsid w:val="007F67E5"/>
    <w:rsid w:val="007F680B"/>
    <w:rsid w:val="007F6822"/>
    <w:rsid w:val="007F6883"/>
    <w:rsid w:val="007F68C0"/>
    <w:rsid w:val="007F68F2"/>
    <w:rsid w:val="007F698D"/>
    <w:rsid w:val="007F6A57"/>
    <w:rsid w:val="007F6A6E"/>
    <w:rsid w:val="007F6AE6"/>
    <w:rsid w:val="007F6B3C"/>
    <w:rsid w:val="007F6B6B"/>
    <w:rsid w:val="007F6B6C"/>
    <w:rsid w:val="007F6BCC"/>
    <w:rsid w:val="007F6C08"/>
    <w:rsid w:val="007F6C48"/>
    <w:rsid w:val="007F6C5F"/>
    <w:rsid w:val="007F6C6F"/>
    <w:rsid w:val="007F6CA4"/>
    <w:rsid w:val="007F6CB2"/>
    <w:rsid w:val="007F6CB3"/>
    <w:rsid w:val="007F6CB5"/>
    <w:rsid w:val="007F6D16"/>
    <w:rsid w:val="007F6D73"/>
    <w:rsid w:val="007F6E1C"/>
    <w:rsid w:val="007F6EBA"/>
    <w:rsid w:val="007F6ED7"/>
    <w:rsid w:val="007F6EE0"/>
    <w:rsid w:val="007F6F6E"/>
    <w:rsid w:val="007F6F73"/>
    <w:rsid w:val="007F6F7E"/>
    <w:rsid w:val="007F6F88"/>
    <w:rsid w:val="007F6FFA"/>
    <w:rsid w:val="007F704D"/>
    <w:rsid w:val="007F70BF"/>
    <w:rsid w:val="007F70E8"/>
    <w:rsid w:val="007F7137"/>
    <w:rsid w:val="007F71C8"/>
    <w:rsid w:val="007F71DE"/>
    <w:rsid w:val="007F71DF"/>
    <w:rsid w:val="007F720A"/>
    <w:rsid w:val="007F7212"/>
    <w:rsid w:val="007F7224"/>
    <w:rsid w:val="007F7242"/>
    <w:rsid w:val="007F7264"/>
    <w:rsid w:val="007F726D"/>
    <w:rsid w:val="007F7291"/>
    <w:rsid w:val="007F7364"/>
    <w:rsid w:val="007F73C4"/>
    <w:rsid w:val="007F73E6"/>
    <w:rsid w:val="007F73FF"/>
    <w:rsid w:val="007F7406"/>
    <w:rsid w:val="007F7407"/>
    <w:rsid w:val="007F7416"/>
    <w:rsid w:val="007F7450"/>
    <w:rsid w:val="007F7497"/>
    <w:rsid w:val="007F74C5"/>
    <w:rsid w:val="007F74F7"/>
    <w:rsid w:val="007F75F8"/>
    <w:rsid w:val="007F7609"/>
    <w:rsid w:val="007F761D"/>
    <w:rsid w:val="007F766F"/>
    <w:rsid w:val="007F76DD"/>
    <w:rsid w:val="007F76ED"/>
    <w:rsid w:val="007F7703"/>
    <w:rsid w:val="007F7746"/>
    <w:rsid w:val="007F77DC"/>
    <w:rsid w:val="007F77E1"/>
    <w:rsid w:val="007F783C"/>
    <w:rsid w:val="007F78AA"/>
    <w:rsid w:val="007F78BB"/>
    <w:rsid w:val="007F78F0"/>
    <w:rsid w:val="007F78FE"/>
    <w:rsid w:val="007F7909"/>
    <w:rsid w:val="007F7977"/>
    <w:rsid w:val="007F7A25"/>
    <w:rsid w:val="007F7A2B"/>
    <w:rsid w:val="007F7A78"/>
    <w:rsid w:val="007F7AEF"/>
    <w:rsid w:val="007F7AF5"/>
    <w:rsid w:val="007F7B04"/>
    <w:rsid w:val="007F7B30"/>
    <w:rsid w:val="007F7B49"/>
    <w:rsid w:val="007F7B8A"/>
    <w:rsid w:val="007F7BAB"/>
    <w:rsid w:val="007F7BDE"/>
    <w:rsid w:val="007F7C3F"/>
    <w:rsid w:val="007F7C4C"/>
    <w:rsid w:val="007F7C57"/>
    <w:rsid w:val="007F7C66"/>
    <w:rsid w:val="007F7CDF"/>
    <w:rsid w:val="007F7D01"/>
    <w:rsid w:val="007F7D85"/>
    <w:rsid w:val="007F7DB7"/>
    <w:rsid w:val="007F7DD6"/>
    <w:rsid w:val="007F7EBD"/>
    <w:rsid w:val="007F7EBE"/>
    <w:rsid w:val="007F7EE9"/>
    <w:rsid w:val="007F7F17"/>
    <w:rsid w:val="007F7F4F"/>
    <w:rsid w:val="007F7FE4"/>
    <w:rsid w:val="00800017"/>
    <w:rsid w:val="0080004D"/>
    <w:rsid w:val="008000F3"/>
    <w:rsid w:val="008001F2"/>
    <w:rsid w:val="00800211"/>
    <w:rsid w:val="00800213"/>
    <w:rsid w:val="00800221"/>
    <w:rsid w:val="008002A6"/>
    <w:rsid w:val="008002B0"/>
    <w:rsid w:val="0080034D"/>
    <w:rsid w:val="00800360"/>
    <w:rsid w:val="00800402"/>
    <w:rsid w:val="00800422"/>
    <w:rsid w:val="0080044C"/>
    <w:rsid w:val="00800468"/>
    <w:rsid w:val="00800470"/>
    <w:rsid w:val="008004B6"/>
    <w:rsid w:val="008004B7"/>
    <w:rsid w:val="008004DF"/>
    <w:rsid w:val="008004E6"/>
    <w:rsid w:val="008004E9"/>
    <w:rsid w:val="00800514"/>
    <w:rsid w:val="0080051D"/>
    <w:rsid w:val="00800533"/>
    <w:rsid w:val="008005B5"/>
    <w:rsid w:val="00800681"/>
    <w:rsid w:val="00800698"/>
    <w:rsid w:val="008006B9"/>
    <w:rsid w:val="008006C5"/>
    <w:rsid w:val="008006D6"/>
    <w:rsid w:val="0080071F"/>
    <w:rsid w:val="00800782"/>
    <w:rsid w:val="00800799"/>
    <w:rsid w:val="008007CB"/>
    <w:rsid w:val="00800817"/>
    <w:rsid w:val="00800822"/>
    <w:rsid w:val="00800865"/>
    <w:rsid w:val="00800871"/>
    <w:rsid w:val="00800912"/>
    <w:rsid w:val="0080099D"/>
    <w:rsid w:val="008009CF"/>
    <w:rsid w:val="00800A3C"/>
    <w:rsid w:val="00800A49"/>
    <w:rsid w:val="00800A61"/>
    <w:rsid w:val="00800A7D"/>
    <w:rsid w:val="00800AB3"/>
    <w:rsid w:val="00800B19"/>
    <w:rsid w:val="00800B3B"/>
    <w:rsid w:val="00800B57"/>
    <w:rsid w:val="00800B97"/>
    <w:rsid w:val="00800C45"/>
    <w:rsid w:val="00800D03"/>
    <w:rsid w:val="00800D0F"/>
    <w:rsid w:val="00800D28"/>
    <w:rsid w:val="00800D29"/>
    <w:rsid w:val="00800D3C"/>
    <w:rsid w:val="00800D59"/>
    <w:rsid w:val="00800E06"/>
    <w:rsid w:val="00800ECA"/>
    <w:rsid w:val="00800ED4"/>
    <w:rsid w:val="00800EF3"/>
    <w:rsid w:val="00800F8A"/>
    <w:rsid w:val="00800F92"/>
    <w:rsid w:val="00800FAA"/>
    <w:rsid w:val="00800FCA"/>
    <w:rsid w:val="0080103D"/>
    <w:rsid w:val="0080107D"/>
    <w:rsid w:val="008010B3"/>
    <w:rsid w:val="008010CA"/>
    <w:rsid w:val="008010D9"/>
    <w:rsid w:val="008010FC"/>
    <w:rsid w:val="0080111C"/>
    <w:rsid w:val="00801154"/>
    <w:rsid w:val="00801175"/>
    <w:rsid w:val="0080118B"/>
    <w:rsid w:val="00801291"/>
    <w:rsid w:val="008012E1"/>
    <w:rsid w:val="0080130B"/>
    <w:rsid w:val="00801314"/>
    <w:rsid w:val="00801321"/>
    <w:rsid w:val="00801351"/>
    <w:rsid w:val="0080136A"/>
    <w:rsid w:val="00801389"/>
    <w:rsid w:val="0080139F"/>
    <w:rsid w:val="008013D3"/>
    <w:rsid w:val="008013F3"/>
    <w:rsid w:val="00801456"/>
    <w:rsid w:val="008014B1"/>
    <w:rsid w:val="008014C9"/>
    <w:rsid w:val="008014D2"/>
    <w:rsid w:val="008014FE"/>
    <w:rsid w:val="00801509"/>
    <w:rsid w:val="00801521"/>
    <w:rsid w:val="00801575"/>
    <w:rsid w:val="008015FD"/>
    <w:rsid w:val="00801612"/>
    <w:rsid w:val="0080162B"/>
    <w:rsid w:val="00801667"/>
    <w:rsid w:val="00801683"/>
    <w:rsid w:val="0080177E"/>
    <w:rsid w:val="008017B7"/>
    <w:rsid w:val="008017CB"/>
    <w:rsid w:val="00801804"/>
    <w:rsid w:val="00801808"/>
    <w:rsid w:val="008018B6"/>
    <w:rsid w:val="0080191F"/>
    <w:rsid w:val="00801937"/>
    <w:rsid w:val="0080193B"/>
    <w:rsid w:val="00801989"/>
    <w:rsid w:val="00801A85"/>
    <w:rsid w:val="00801B0E"/>
    <w:rsid w:val="00801B1B"/>
    <w:rsid w:val="00801B36"/>
    <w:rsid w:val="00801B52"/>
    <w:rsid w:val="00801B5F"/>
    <w:rsid w:val="00801B6D"/>
    <w:rsid w:val="00801B6F"/>
    <w:rsid w:val="00801BCD"/>
    <w:rsid w:val="00801BE4"/>
    <w:rsid w:val="00801C31"/>
    <w:rsid w:val="00801C36"/>
    <w:rsid w:val="00801C53"/>
    <w:rsid w:val="00801C6B"/>
    <w:rsid w:val="00801C7E"/>
    <w:rsid w:val="00801C8D"/>
    <w:rsid w:val="00801C92"/>
    <w:rsid w:val="00801D91"/>
    <w:rsid w:val="00801D96"/>
    <w:rsid w:val="00801D9B"/>
    <w:rsid w:val="00801DB1"/>
    <w:rsid w:val="00801DC8"/>
    <w:rsid w:val="00801F92"/>
    <w:rsid w:val="00801FAB"/>
    <w:rsid w:val="00801FC6"/>
    <w:rsid w:val="0080200C"/>
    <w:rsid w:val="00802045"/>
    <w:rsid w:val="0080205E"/>
    <w:rsid w:val="00802072"/>
    <w:rsid w:val="008020B5"/>
    <w:rsid w:val="008020C8"/>
    <w:rsid w:val="008020CB"/>
    <w:rsid w:val="008020E5"/>
    <w:rsid w:val="008020EF"/>
    <w:rsid w:val="008020F0"/>
    <w:rsid w:val="00802133"/>
    <w:rsid w:val="0080214B"/>
    <w:rsid w:val="00802194"/>
    <w:rsid w:val="008021D5"/>
    <w:rsid w:val="00802286"/>
    <w:rsid w:val="00802315"/>
    <w:rsid w:val="00802322"/>
    <w:rsid w:val="008023D9"/>
    <w:rsid w:val="008023FE"/>
    <w:rsid w:val="00802412"/>
    <w:rsid w:val="008024A9"/>
    <w:rsid w:val="008024CE"/>
    <w:rsid w:val="008025BE"/>
    <w:rsid w:val="008025E6"/>
    <w:rsid w:val="008025FD"/>
    <w:rsid w:val="00802609"/>
    <w:rsid w:val="00802658"/>
    <w:rsid w:val="008026C3"/>
    <w:rsid w:val="00802788"/>
    <w:rsid w:val="008027D2"/>
    <w:rsid w:val="008027E2"/>
    <w:rsid w:val="008027F0"/>
    <w:rsid w:val="00802820"/>
    <w:rsid w:val="0080288D"/>
    <w:rsid w:val="0080289D"/>
    <w:rsid w:val="008028A4"/>
    <w:rsid w:val="008028BA"/>
    <w:rsid w:val="008028BF"/>
    <w:rsid w:val="008028E3"/>
    <w:rsid w:val="008028F0"/>
    <w:rsid w:val="0080291C"/>
    <w:rsid w:val="00802932"/>
    <w:rsid w:val="0080293A"/>
    <w:rsid w:val="00802963"/>
    <w:rsid w:val="0080298B"/>
    <w:rsid w:val="0080299D"/>
    <w:rsid w:val="008029C7"/>
    <w:rsid w:val="008029D7"/>
    <w:rsid w:val="00802A20"/>
    <w:rsid w:val="00802A9A"/>
    <w:rsid w:val="00802AE3"/>
    <w:rsid w:val="00802AEA"/>
    <w:rsid w:val="00802AF3"/>
    <w:rsid w:val="00802B72"/>
    <w:rsid w:val="00802B80"/>
    <w:rsid w:val="00802BA3"/>
    <w:rsid w:val="00802C29"/>
    <w:rsid w:val="00802C44"/>
    <w:rsid w:val="00802C93"/>
    <w:rsid w:val="00802D19"/>
    <w:rsid w:val="00802D73"/>
    <w:rsid w:val="00802DA3"/>
    <w:rsid w:val="00802DD6"/>
    <w:rsid w:val="00802DDA"/>
    <w:rsid w:val="00802E16"/>
    <w:rsid w:val="00802E5D"/>
    <w:rsid w:val="00802EC2"/>
    <w:rsid w:val="00802F03"/>
    <w:rsid w:val="00802F62"/>
    <w:rsid w:val="00802FF8"/>
    <w:rsid w:val="00803000"/>
    <w:rsid w:val="00803072"/>
    <w:rsid w:val="00803094"/>
    <w:rsid w:val="008030BC"/>
    <w:rsid w:val="008030E0"/>
    <w:rsid w:val="0080311A"/>
    <w:rsid w:val="0080312B"/>
    <w:rsid w:val="00803196"/>
    <w:rsid w:val="0080319A"/>
    <w:rsid w:val="008031A5"/>
    <w:rsid w:val="008031BA"/>
    <w:rsid w:val="008031CC"/>
    <w:rsid w:val="0080324D"/>
    <w:rsid w:val="00803252"/>
    <w:rsid w:val="00803341"/>
    <w:rsid w:val="00803371"/>
    <w:rsid w:val="0080337F"/>
    <w:rsid w:val="008033DB"/>
    <w:rsid w:val="0080342A"/>
    <w:rsid w:val="00803435"/>
    <w:rsid w:val="00803450"/>
    <w:rsid w:val="00803571"/>
    <w:rsid w:val="008035E1"/>
    <w:rsid w:val="008035F2"/>
    <w:rsid w:val="00803635"/>
    <w:rsid w:val="00803659"/>
    <w:rsid w:val="0080365E"/>
    <w:rsid w:val="00803688"/>
    <w:rsid w:val="008037A2"/>
    <w:rsid w:val="008037A7"/>
    <w:rsid w:val="008037F8"/>
    <w:rsid w:val="008037F9"/>
    <w:rsid w:val="0080386E"/>
    <w:rsid w:val="008038DB"/>
    <w:rsid w:val="008038EC"/>
    <w:rsid w:val="008038EF"/>
    <w:rsid w:val="008038FD"/>
    <w:rsid w:val="00803904"/>
    <w:rsid w:val="0080390A"/>
    <w:rsid w:val="0080391E"/>
    <w:rsid w:val="00803985"/>
    <w:rsid w:val="0080399E"/>
    <w:rsid w:val="008039B2"/>
    <w:rsid w:val="00803A75"/>
    <w:rsid w:val="00803A82"/>
    <w:rsid w:val="00803A99"/>
    <w:rsid w:val="00803AA9"/>
    <w:rsid w:val="00803ACA"/>
    <w:rsid w:val="00803AE0"/>
    <w:rsid w:val="00803AEA"/>
    <w:rsid w:val="00803B25"/>
    <w:rsid w:val="00803C8C"/>
    <w:rsid w:val="00803CEC"/>
    <w:rsid w:val="00803D66"/>
    <w:rsid w:val="00803D73"/>
    <w:rsid w:val="00803D8F"/>
    <w:rsid w:val="00803DCF"/>
    <w:rsid w:val="00803E4C"/>
    <w:rsid w:val="00803E56"/>
    <w:rsid w:val="00803EAD"/>
    <w:rsid w:val="00803F1D"/>
    <w:rsid w:val="0080400D"/>
    <w:rsid w:val="00804036"/>
    <w:rsid w:val="008040F1"/>
    <w:rsid w:val="008040F5"/>
    <w:rsid w:val="0080410B"/>
    <w:rsid w:val="00804137"/>
    <w:rsid w:val="0080419E"/>
    <w:rsid w:val="008041D9"/>
    <w:rsid w:val="008041F2"/>
    <w:rsid w:val="008041F4"/>
    <w:rsid w:val="00804228"/>
    <w:rsid w:val="008042B3"/>
    <w:rsid w:val="008042CB"/>
    <w:rsid w:val="008042DB"/>
    <w:rsid w:val="0080431B"/>
    <w:rsid w:val="00804328"/>
    <w:rsid w:val="00804360"/>
    <w:rsid w:val="008043A1"/>
    <w:rsid w:val="008043A3"/>
    <w:rsid w:val="008043A6"/>
    <w:rsid w:val="008043AB"/>
    <w:rsid w:val="008043DC"/>
    <w:rsid w:val="008043E7"/>
    <w:rsid w:val="00804453"/>
    <w:rsid w:val="00804471"/>
    <w:rsid w:val="0080448E"/>
    <w:rsid w:val="008044BF"/>
    <w:rsid w:val="008044DC"/>
    <w:rsid w:val="0080451C"/>
    <w:rsid w:val="0080457C"/>
    <w:rsid w:val="008045B4"/>
    <w:rsid w:val="008045B9"/>
    <w:rsid w:val="008045FA"/>
    <w:rsid w:val="00804620"/>
    <w:rsid w:val="00804631"/>
    <w:rsid w:val="008046A5"/>
    <w:rsid w:val="008046B1"/>
    <w:rsid w:val="008046CF"/>
    <w:rsid w:val="008046E4"/>
    <w:rsid w:val="00804751"/>
    <w:rsid w:val="008047A5"/>
    <w:rsid w:val="008047B8"/>
    <w:rsid w:val="008047CD"/>
    <w:rsid w:val="008047E6"/>
    <w:rsid w:val="00804818"/>
    <w:rsid w:val="00804897"/>
    <w:rsid w:val="008048EC"/>
    <w:rsid w:val="008048F4"/>
    <w:rsid w:val="00804943"/>
    <w:rsid w:val="008049A1"/>
    <w:rsid w:val="008049CB"/>
    <w:rsid w:val="00804A22"/>
    <w:rsid w:val="00804A37"/>
    <w:rsid w:val="00804A4A"/>
    <w:rsid w:val="00804A82"/>
    <w:rsid w:val="00804ABA"/>
    <w:rsid w:val="00804B17"/>
    <w:rsid w:val="00804B34"/>
    <w:rsid w:val="00804B85"/>
    <w:rsid w:val="00804B87"/>
    <w:rsid w:val="00804C3B"/>
    <w:rsid w:val="00804C5D"/>
    <w:rsid w:val="00804C9D"/>
    <w:rsid w:val="00804D0B"/>
    <w:rsid w:val="00804D96"/>
    <w:rsid w:val="00804E1B"/>
    <w:rsid w:val="00804E2D"/>
    <w:rsid w:val="00804E80"/>
    <w:rsid w:val="00804EDC"/>
    <w:rsid w:val="00804F38"/>
    <w:rsid w:val="00804F3D"/>
    <w:rsid w:val="00804F4D"/>
    <w:rsid w:val="0080502E"/>
    <w:rsid w:val="00805033"/>
    <w:rsid w:val="0080509D"/>
    <w:rsid w:val="008050B8"/>
    <w:rsid w:val="008050CF"/>
    <w:rsid w:val="008050DD"/>
    <w:rsid w:val="008050DE"/>
    <w:rsid w:val="008051BF"/>
    <w:rsid w:val="008051EE"/>
    <w:rsid w:val="0080521C"/>
    <w:rsid w:val="00805235"/>
    <w:rsid w:val="00805295"/>
    <w:rsid w:val="008052DF"/>
    <w:rsid w:val="00805307"/>
    <w:rsid w:val="0080539C"/>
    <w:rsid w:val="008053F0"/>
    <w:rsid w:val="008053FA"/>
    <w:rsid w:val="00805444"/>
    <w:rsid w:val="00805446"/>
    <w:rsid w:val="00805508"/>
    <w:rsid w:val="0080555C"/>
    <w:rsid w:val="00805563"/>
    <w:rsid w:val="008055A0"/>
    <w:rsid w:val="00805639"/>
    <w:rsid w:val="0080566C"/>
    <w:rsid w:val="00805672"/>
    <w:rsid w:val="00805688"/>
    <w:rsid w:val="00805699"/>
    <w:rsid w:val="008056A2"/>
    <w:rsid w:val="00805700"/>
    <w:rsid w:val="0080571D"/>
    <w:rsid w:val="0080571E"/>
    <w:rsid w:val="00805745"/>
    <w:rsid w:val="0080578C"/>
    <w:rsid w:val="00805791"/>
    <w:rsid w:val="008057B2"/>
    <w:rsid w:val="008057F8"/>
    <w:rsid w:val="0080583F"/>
    <w:rsid w:val="0080585C"/>
    <w:rsid w:val="0080587E"/>
    <w:rsid w:val="008058CB"/>
    <w:rsid w:val="008058DD"/>
    <w:rsid w:val="00805914"/>
    <w:rsid w:val="0080593F"/>
    <w:rsid w:val="00805966"/>
    <w:rsid w:val="0080598C"/>
    <w:rsid w:val="008059A4"/>
    <w:rsid w:val="008059CE"/>
    <w:rsid w:val="008059E5"/>
    <w:rsid w:val="00805A0B"/>
    <w:rsid w:val="00805AAE"/>
    <w:rsid w:val="00805AC4"/>
    <w:rsid w:val="00805ACA"/>
    <w:rsid w:val="00805BC0"/>
    <w:rsid w:val="00805C31"/>
    <w:rsid w:val="00805D0F"/>
    <w:rsid w:val="00805D47"/>
    <w:rsid w:val="00805D4E"/>
    <w:rsid w:val="00805D8D"/>
    <w:rsid w:val="00805DAD"/>
    <w:rsid w:val="00805DAE"/>
    <w:rsid w:val="00805DB8"/>
    <w:rsid w:val="00805DEB"/>
    <w:rsid w:val="00805E21"/>
    <w:rsid w:val="00805EB4"/>
    <w:rsid w:val="00805F2E"/>
    <w:rsid w:val="00805F75"/>
    <w:rsid w:val="00805FCE"/>
    <w:rsid w:val="00805FF3"/>
    <w:rsid w:val="00806038"/>
    <w:rsid w:val="008060F0"/>
    <w:rsid w:val="00806115"/>
    <w:rsid w:val="0080613A"/>
    <w:rsid w:val="0080614F"/>
    <w:rsid w:val="008061CF"/>
    <w:rsid w:val="0080625A"/>
    <w:rsid w:val="00806295"/>
    <w:rsid w:val="00806371"/>
    <w:rsid w:val="0080645E"/>
    <w:rsid w:val="0080646A"/>
    <w:rsid w:val="0080648B"/>
    <w:rsid w:val="00806538"/>
    <w:rsid w:val="00806558"/>
    <w:rsid w:val="00806592"/>
    <w:rsid w:val="0080659D"/>
    <w:rsid w:val="008065B6"/>
    <w:rsid w:val="008065CF"/>
    <w:rsid w:val="00806616"/>
    <w:rsid w:val="00806626"/>
    <w:rsid w:val="008066BC"/>
    <w:rsid w:val="008066F3"/>
    <w:rsid w:val="008066FA"/>
    <w:rsid w:val="00806701"/>
    <w:rsid w:val="008068AB"/>
    <w:rsid w:val="008068EA"/>
    <w:rsid w:val="0080690E"/>
    <w:rsid w:val="00806992"/>
    <w:rsid w:val="00806A70"/>
    <w:rsid w:val="00806AD1"/>
    <w:rsid w:val="00806ADF"/>
    <w:rsid w:val="00806AE6"/>
    <w:rsid w:val="00806AFC"/>
    <w:rsid w:val="00806B1C"/>
    <w:rsid w:val="00806B30"/>
    <w:rsid w:val="00806B42"/>
    <w:rsid w:val="00806C1C"/>
    <w:rsid w:val="00806C3A"/>
    <w:rsid w:val="00806C54"/>
    <w:rsid w:val="00806D10"/>
    <w:rsid w:val="00806DF8"/>
    <w:rsid w:val="00806E6A"/>
    <w:rsid w:val="00806E6C"/>
    <w:rsid w:val="00806EB3"/>
    <w:rsid w:val="00806EBF"/>
    <w:rsid w:val="00806EDE"/>
    <w:rsid w:val="00806EEA"/>
    <w:rsid w:val="00806F85"/>
    <w:rsid w:val="00806F8B"/>
    <w:rsid w:val="00806F98"/>
    <w:rsid w:val="00806FFD"/>
    <w:rsid w:val="00807012"/>
    <w:rsid w:val="00807014"/>
    <w:rsid w:val="0080704C"/>
    <w:rsid w:val="00807063"/>
    <w:rsid w:val="00807153"/>
    <w:rsid w:val="0080715D"/>
    <w:rsid w:val="008071D8"/>
    <w:rsid w:val="0080723B"/>
    <w:rsid w:val="00807246"/>
    <w:rsid w:val="00807259"/>
    <w:rsid w:val="00807279"/>
    <w:rsid w:val="008072DE"/>
    <w:rsid w:val="00807328"/>
    <w:rsid w:val="0080734B"/>
    <w:rsid w:val="0080737C"/>
    <w:rsid w:val="00807443"/>
    <w:rsid w:val="00807464"/>
    <w:rsid w:val="00807474"/>
    <w:rsid w:val="00807479"/>
    <w:rsid w:val="008074BF"/>
    <w:rsid w:val="0080750D"/>
    <w:rsid w:val="00807523"/>
    <w:rsid w:val="00807580"/>
    <w:rsid w:val="008075BF"/>
    <w:rsid w:val="00807698"/>
    <w:rsid w:val="008076AC"/>
    <w:rsid w:val="008076F7"/>
    <w:rsid w:val="0080780A"/>
    <w:rsid w:val="00807826"/>
    <w:rsid w:val="0080786A"/>
    <w:rsid w:val="00807882"/>
    <w:rsid w:val="008078C1"/>
    <w:rsid w:val="008078F0"/>
    <w:rsid w:val="0080797D"/>
    <w:rsid w:val="008079AE"/>
    <w:rsid w:val="008079D9"/>
    <w:rsid w:val="00807A02"/>
    <w:rsid w:val="00807A07"/>
    <w:rsid w:val="00807B28"/>
    <w:rsid w:val="00807B29"/>
    <w:rsid w:val="00807B52"/>
    <w:rsid w:val="00807B79"/>
    <w:rsid w:val="00807B8F"/>
    <w:rsid w:val="00807BDB"/>
    <w:rsid w:val="00807C56"/>
    <w:rsid w:val="00807C8D"/>
    <w:rsid w:val="00807CBD"/>
    <w:rsid w:val="00807CFA"/>
    <w:rsid w:val="00807D1E"/>
    <w:rsid w:val="00807D36"/>
    <w:rsid w:val="00807D96"/>
    <w:rsid w:val="00807E17"/>
    <w:rsid w:val="00807E18"/>
    <w:rsid w:val="00807E1E"/>
    <w:rsid w:val="00807EC6"/>
    <w:rsid w:val="00807F0E"/>
    <w:rsid w:val="00807F23"/>
    <w:rsid w:val="00807F56"/>
    <w:rsid w:val="00807FA0"/>
    <w:rsid w:val="0081012B"/>
    <w:rsid w:val="008101EE"/>
    <w:rsid w:val="00810248"/>
    <w:rsid w:val="008102CB"/>
    <w:rsid w:val="008102EE"/>
    <w:rsid w:val="008103C2"/>
    <w:rsid w:val="008103CB"/>
    <w:rsid w:val="0081042C"/>
    <w:rsid w:val="008104D7"/>
    <w:rsid w:val="008104EA"/>
    <w:rsid w:val="00810537"/>
    <w:rsid w:val="00810589"/>
    <w:rsid w:val="0081066B"/>
    <w:rsid w:val="0081069C"/>
    <w:rsid w:val="008106CF"/>
    <w:rsid w:val="008106DC"/>
    <w:rsid w:val="0081075B"/>
    <w:rsid w:val="008107AF"/>
    <w:rsid w:val="008107C8"/>
    <w:rsid w:val="008107D4"/>
    <w:rsid w:val="008107E3"/>
    <w:rsid w:val="008107F7"/>
    <w:rsid w:val="008108AB"/>
    <w:rsid w:val="008108BA"/>
    <w:rsid w:val="00810906"/>
    <w:rsid w:val="0081093F"/>
    <w:rsid w:val="00810984"/>
    <w:rsid w:val="008109C6"/>
    <w:rsid w:val="00810A17"/>
    <w:rsid w:val="00810A7F"/>
    <w:rsid w:val="00810AB9"/>
    <w:rsid w:val="00810AD9"/>
    <w:rsid w:val="00810B08"/>
    <w:rsid w:val="00810B42"/>
    <w:rsid w:val="00810B78"/>
    <w:rsid w:val="00810C18"/>
    <w:rsid w:val="00810C6C"/>
    <w:rsid w:val="00810CBD"/>
    <w:rsid w:val="00810CBF"/>
    <w:rsid w:val="00810CF2"/>
    <w:rsid w:val="00810CF8"/>
    <w:rsid w:val="00810D4C"/>
    <w:rsid w:val="00810DA0"/>
    <w:rsid w:val="00810DCE"/>
    <w:rsid w:val="00810E29"/>
    <w:rsid w:val="00810E65"/>
    <w:rsid w:val="00810EB8"/>
    <w:rsid w:val="00810EBB"/>
    <w:rsid w:val="00810ED1"/>
    <w:rsid w:val="00810EDA"/>
    <w:rsid w:val="00810EF9"/>
    <w:rsid w:val="00810F48"/>
    <w:rsid w:val="00810F63"/>
    <w:rsid w:val="00810FC9"/>
    <w:rsid w:val="00811083"/>
    <w:rsid w:val="008110A2"/>
    <w:rsid w:val="008110D1"/>
    <w:rsid w:val="008110EA"/>
    <w:rsid w:val="00811122"/>
    <w:rsid w:val="00811148"/>
    <w:rsid w:val="00811150"/>
    <w:rsid w:val="0081116A"/>
    <w:rsid w:val="0081119A"/>
    <w:rsid w:val="0081119E"/>
    <w:rsid w:val="008112CF"/>
    <w:rsid w:val="00811337"/>
    <w:rsid w:val="0081138B"/>
    <w:rsid w:val="0081138C"/>
    <w:rsid w:val="008113C5"/>
    <w:rsid w:val="00811462"/>
    <w:rsid w:val="00811492"/>
    <w:rsid w:val="008114A6"/>
    <w:rsid w:val="008114A8"/>
    <w:rsid w:val="008114D6"/>
    <w:rsid w:val="0081152D"/>
    <w:rsid w:val="00811551"/>
    <w:rsid w:val="008115BA"/>
    <w:rsid w:val="00811659"/>
    <w:rsid w:val="00811673"/>
    <w:rsid w:val="00811687"/>
    <w:rsid w:val="008116B4"/>
    <w:rsid w:val="00811713"/>
    <w:rsid w:val="0081172D"/>
    <w:rsid w:val="0081173E"/>
    <w:rsid w:val="00811752"/>
    <w:rsid w:val="008117C5"/>
    <w:rsid w:val="00811838"/>
    <w:rsid w:val="008118EC"/>
    <w:rsid w:val="00811960"/>
    <w:rsid w:val="00811B12"/>
    <w:rsid w:val="00811BB7"/>
    <w:rsid w:val="00811BC6"/>
    <w:rsid w:val="00811C25"/>
    <w:rsid w:val="00811CAC"/>
    <w:rsid w:val="00811CF0"/>
    <w:rsid w:val="00811D0C"/>
    <w:rsid w:val="00811D4C"/>
    <w:rsid w:val="00811D59"/>
    <w:rsid w:val="00811D5E"/>
    <w:rsid w:val="00811D87"/>
    <w:rsid w:val="00811DCC"/>
    <w:rsid w:val="00811DD3"/>
    <w:rsid w:val="00811DF4"/>
    <w:rsid w:val="00811E13"/>
    <w:rsid w:val="00811E59"/>
    <w:rsid w:val="00811E72"/>
    <w:rsid w:val="00811E9C"/>
    <w:rsid w:val="00811F38"/>
    <w:rsid w:val="00811F3E"/>
    <w:rsid w:val="00811F4D"/>
    <w:rsid w:val="00811F70"/>
    <w:rsid w:val="00812035"/>
    <w:rsid w:val="00812049"/>
    <w:rsid w:val="0081205A"/>
    <w:rsid w:val="0081206E"/>
    <w:rsid w:val="00812077"/>
    <w:rsid w:val="0081211C"/>
    <w:rsid w:val="00812121"/>
    <w:rsid w:val="0081212B"/>
    <w:rsid w:val="00812173"/>
    <w:rsid w:val="0081224A"/>
    <w:rsid w:val="0081229A"/>
    <w:rsid w:val="008122BC"/>
    <w:rsid w:val="008122DA"/>
    <w:rsid w:val="008122DB"/>
    <w:rsid w:val="0081235B"/>
    <w:rsid w:val="00812399"/>
    <w:rsid w:val="00812457"/>
    <w:rsid w:val="00812463"/>
    <w:rsid w:val="00812493"/>
    <w:rsid w:val="00812592"/>
    <w:rsid w:val="008125C3"/>
    <w:rsid w:val="008125E2"/>
    <w:rsid w:val="0081260D"/>
    <w:rsid w:val="008126AB"/>
    <w:rsid w:val="008126B2"/>
    <w:rsid w:val="008126CC"/>
    <w:rsid w:val="008127AB"/>
    <w:rsid w:val="00812809"/>
    <w:rsid w:val="00812825"/>
    <w:rsid w:val="0081284F"/>
    <w:rsid w:val="0081285A"/>
    <w:rsid w:val="00812870"/>
    <w:rsid w:val="00812A0C"/>
    <w:rsid w:val="00812A8F"/>
    <w:rsid w:val="00812BDB"/>
    <w:rsid w:val="00812D0C"/>
    <w:rsid w:val="00812D63"/>
    <w:rsid w:val="00812D6E"/>
    <w:rsid w:val="00812DB0"/>
    <w:rsid w:val="00812DBF"/>
    <w:rsid w:val="00812E56"/>
    <w:rsid w:val="00812E5B"/>
    <w:rsid w:val="00812E5E"/>
    <w:rsid w:val="00812E8A"/>
    <w:rsid w:val="00812F71"/>
    <w:rsid w:val="00812F92"/>
    <w:rsid w:val="00812F9C"/>
    <w:rsid w:val="00812FC4"/>
    <w:rsid w:val="00813020"/>
    <w:rsid w:val="00813081"/>
    <w:rsid w:val="008130BE"/>
    <w:rsid w:val="00813119"/>
    <w:rsid w:val="0081311E"/>
    <w:rsid w:val="00813123"/>
    <w:rsid w:val="00813129"/>
    <w:rsid w:val="0081318C"/>
    <w:rsid w:val="008131CF"/>
    <w:rsid w:val="008131F4"/>
    <w:rsid w:val="00813204"/>
    <w:rsid w:val="008132CF"/>
    <w:rsid w:val="00813344"/>
    <w:rsid w:val="008133DA"/>
    <w:rsid w:val="008134D9"/>
    <w:rsid w:val="008134DD"/>
    <w:rsid w:val="008134F6"/>
    <w:rsid w:val="0081356B"/>
    <w:rsid w:val="0081357F"/>
    <w:rsid w:val="0081358D"/>
    <w:rsid w:val="00813590"/>
    <w:rsid w:val="0081359E"/>
    <w:rsid w:val="008135BC"/>
    <w:rsid w:val="008135CA"/>
    <w:rsid w:val="00813604"/>
    <w:rsid w:val="0081362D"/>
    <w:rsid w:val="008136BF"/>
    <w:rsid w:val="008136E9"/>
    <w:rsid w:val="008137F8"/>
    <w:rsid w:val="00813859"/>
    <w:rsid w:val="008138B9"/>
    <w:rsid w:val="0081392F"/>
    <w:rsid w:val="0081394A"/>
    <w:rsid w:val="0081396C"/>
    <w:rsid w:val="0081398D"/>
    <w:rsid w:val="0081398E"/>
    <w:rsid w:val="00813996"/>
    <w:rsid w:val="008139D6"/>
    <w:rsid w:val="008139FB"/>
    <w:rsid w:val="00813A88"/>
    <w:rsid w:val="00813B72"/>
    <w:rsid w:val="00813B9C"/>
    <w:rsid w:val="00813C10"/>
    <w:rsid w:val="00813C6F"/>
    <w:rsid w:val="00813CC8"/>
    <w:rsid w:val="00813CEF"/>
    <w:rsid w:val="00813D13"/>
    <w:rsid w:val="00813D3D"/>
    <w:rsid w:val="00813D68"/>
    <w:rsid w:val="00813D73"/>
    <w:rsid w:val="00813DC6"/>
    <w:rsid w:val="00813DCF"/>
    <w:rsid w:val="00813DDD"/>
    <w:rsid w:val="00813E47"/>
    <w:rsid w:val="00813E83"/>
    <w:rsid w:val="00813EE2"/>
    <w:rsid w:val="00813F02"/>
    <w:rsid w:val="00813F7D"/>
    <w:rsid w:val="00813FBD"/>
    <w:rsid w:val="00813FFE"/>
    <w:rsid w:val="0081409D"/>
    <w:rsid w:val="008140B4"/>
    <w:rsid w:val="008140D0"/>
    <w:rsid w:val="008140FE"/>
    <w:rsid w:val="008141CD"/>
    <w:rsid w:val="008141DA"/>
    <w:rsid w:val="008141E4"/>
    <w:rsid w:val="0081420A"/>
    <w:rsid w:val="008142A6"/>
    <w:rsid w:val="00814396"/>
    <w:rsid w:val="008143BA"/>
    <w:rsid w:val="008144E6"/>
    <w:rsid w:val="00814584"/>
    <w:rsid w:val="008145B1"/>
    <w:rsid w:val="00814606"/>
    <w:rsid w:val="0081460E"/>
    <w:rsid w:val="0081467C"/>
    <w:rsid w:val="0081468C"/>
    <w:rsid w:val="008146DE"/>
    <w:rsid w:val="0081470E"/>
    <w:rsid w:val="00814724"/>
    <w:rsid w:val="00814735"/>
    <w:rsid w:val="00814768"/>
    <w:rsid w:val="008147EE"/>
    <w:rsid w:val="00814835"/>
    <w:rsid w:val="008148EE"/>
    <w:rsid w:val="008148F7"/>
    <w:rsid w:val="00814952"/>
    <w:rsid w:val="00814959"/>
    <w:rsid w:val="0081495C"/>
    <w:rsid w:val="00814960"/>
    <w:rsid w:val="00814A7A"/>
    <w:rsid w:val="00814B1B"/>
    <w:rsid w:val="00814B2A"/>
    <w:rsid w:val="00814B9B"/>
    <w:rsid w:val="00814BA6"/>
    <w:rsid w:val="00814C1A"/>
    <w:rsid w:val="00814C59"/>
    <w:rsid w:val="00814CA6"/>
    <w:rsid w:val="00814CDE"/>
    <w:rsid w:val="00814D39"/>
    <w:rsid w:val="00814D51"/>
    <w:rsid w:val="00814D7C"/>
    <w:rsid w:val="00814DBB"/>
    <w:rsid w:val="00814DC1"/>
    <w:rsid w:val="00814E39"/>
    <w:rsid w:val="00814E50"/>
    <w:rsid w:val="00814F3C"/>
    <w:rsid w:val="00814F4B"/>
    <w:rsid w:val="00814F8A"/>
    <w:rsid w:val="00814FD0"/>
    <w:rsid w:val="0081509B"/>
    <w:rsid w:val="00815127"/>
    <w:rsid w:val="0081513A"/>
    <w:rsid w:val="008151DE"/>
    <w:rsid w:val="0081523C"/>
    <w:rsid w:val="0081528A"/>
    <w:rsid w:val="008152C5"/>
    <w:rsid w:val="00815349"/>
    <w:rsid w:val="00815418"/>
    <w:rsid w:val="0081548E"/>
    <w:rsid w:val="00815490"/>
    <w:rsid w:val="008154D8"/>
    <w:rsid w:val="0081555A"/>
    <w:rsid w:val="0081558C"/>
    <w:rsid w:val="0081559D"/>
    <w:rsid w:val="008155CC"/>
    <w:rsid w:val="008155D3"/>
    <w:rsid w:val="008155D6"/>
    <w:rsid w:val="008155DF"/>
    <w:rsid w:val="008155F0"/>
    <w:rsid w:val="00815608"/>
    <w:rsid w:val="00815667"/>
    <w:rsid w:val="008156FC"/>
    <w:rsid w:val="0081571C"/>
    <w:rsid w:val="0081572D"/>
    <w:rsid w:val="00815767"/>
    <w:rsid w:val="0081577A"/>
    <w:rsid w:val="008157AE"/>
    <w:rsid w:val="008157C7"/>
    <w:rsid w:val="0081586F"/>
    <w:rsid w:val="0081587D"/>
    <w:rsid w:val="00815917"/>
    <w:rsid w:val="0081592B"/>
    <w:rsid w:val="0081598E"/>
    <w:rsid w:val="00815997"/>
    <w:rsid w:val="008159D9"/>
    <w:rsid w:val="00815A06"/>
    <w:rsid w:val="00815A52"/>
    <w:rsid w:val="00815A6B"/>
    <w:rsid w:val="00815AAB"/>
    <w:rsid w:val="00815ADB"/>
    <w:rsid w:val="00815AF6"/>
    <w:rsid w:val="00815B33"/>
    <w:rsid w:val="00815B39"/>
    <w:rsid w:val="00815B6A"/>
    <w:rsid w:val="00815CC0"/>
    <w:rsid w:val="00815CC6"/>
    <w:rsid w:val="00815CDC"/>
    <w:rsid w:val="00815D00"/>
    <w:rsid w:val="00815D42"/>
    <w:rsid w:val="00815D4B"/>
    <w:rsid w:val="00815D4F"/>
    <w:rsid w:val="00815DB2"/>
    <w:rsid w:val="00815DD6"/>
    <w:rsid w:val="00815DE6"/>
    <w:rsid w:val="00815E61"/>
    <w:rsid w:val="00815EAC"/>
    <w:rsid w:val="00815EB5"/>
    <w:rsid w:val="00815EF4"/>
    <w:rsid w:val="00815F63"/>
    <w:rsid w:val="00815F8F"/>
    <w:rsid w:val="00815FEE"/>
    <w:rsid w:val="00815FF4"/>
    <w:rsid w:val="0081602C"/>
    <w:rsid w:val="00816035"/>
    <w:rsid w:val="00816047"/>
    <w:rsid w:val="0081605F"/>
    <w:rsid w:val="00816068"/>
    <w:rsid w:val="0081608A"/>
    <w:rsid w:val="008160A1"/>
    <w:rsid w:val="008160B5"/>
    <w:rsid w:val="008160FD"/>
    <w:rsid w:val="00816100"/>
    <w:rsid w:val="0081614B"/>
    <w:rsid w:val="008161C3"/>
    <w:rsid w:val="008161DC"/>
    <w:rsid w:val="008161FD"/>
    <w:rsid w:val="008161FE"/>
    <w:rsid w:val="0081630A"/>
    <w:rsid w:val="00816316"/>
    <w:rsid w:val="0081631F"/>
    <w:rsid w:val="0081635C"/>
    <w:rsid w:val="0081639C"/>
    <w:rsid w:val="008163A9"/>
    <w:rsid w:val="00816418"/>
    <w:rsid w:val="008164A5"/>
    <w:rsid w:val="008164AC"/>
    <w:rsid w:val="008164D4"/>
    <w:rsid w:val="008164EF"/>
    <w:rsid w:val="0081653C"/>
    <w:rsid w:val="00816547"/>
    <w:rsid w:val="00816548"/>
    <w:rsid w:val="00816614"/>
    <w:rsid w:val="008166AC"/>
    <w:rsid w:val="008167C2"/>
    <w:rsid w:val="008167E2"/>
    <w:rsid w:val="008167E3"/>
    <w:rsid w:val="008167ED"/>
    <w:rsid w:val="008167F9"/>
    <w:rsid w:val="00816825"/>
    <w:rsid w:val="00816835"/>
    <w:rsid w:val="008168BD"/>
    <w:rsid w:val="008168E5"/>
    <w:rsid w:val="0081691C"/>
    <w:rsid w:val="008169BE"/>
    <w:rsid w:val="00816A6A"/>
    <w:rsid w:val="00816A7C"/>
    <w:rsid w:val="00816C00"/>
    <w:rsid w:val="00816C49"/>
    <w:rsid w:val="00816C73"/>
    <w:rsid w:val="00816C9D"/>
    <w:rsid w:val="00816CA3"/>
    <w:rsid w:val="00816CD5"/>
    <w:rsid w:val="00816CF3"/>
    <w:rsid w:val="00816D11"/>
    <w:rsid w:val="00816E16"/>
    <w:rsid w:val="00816E1B"/>
    <w:rsid w:val="00816E88"/>
    <w:rsid w:val="00816EE9"/>
    <w:rsid w:val="00816F65"/>
    <w:rsid w:val="00816F8F"/>
    <w:rsid w:val="00816F92"/>
    <w:rsid w:val="00817011"/>
    <w:rsid w:val="0081704B"/>
    <w:rsid w:val="008170C3"/>
    <w:rsid w:val="008171C3"/>
    <w:rsid w:val="00817209"/>
    <w:rsid w:val="0081722E"/>
    <w:rsid w:val="0081731D"/>
    <w:rsid w:val="0081734C"/>
    <w:rsid w:val="00817363"/>
    <w:rsid w:val="0081738A"/>
    <w:rsid w:val="008173ED"/>
    <w:rsid w:val="00817459"/>
    <w:rsid w:val="00817471"/>
    <w:rsid w:val="0081747A"/>
    <w:rsid w:val="00817496"/>
    <w:rsid w:val="008174AD"/>
    <w:rsid w:val="00817502"/>
    <w:rsid w:val="00817555"/>
    <w:rsid w:val="00817580"/>
    <w:rsid w:val="008175C6"/>
    <w:rsid w:val="008175D7"/>
    <w:rsid w:val="008175EF"/>
    <w:rsid w:val="00817616"/>
    <w:rsid w:val="00817716"/>
    <w:rsid w:val="0081777D"/>
    <w:rsid w:val="0081782E"/>
    <w:rsid w:val="0081789D"/>
    <w:rsid w:val="008178A3"/>
    <w:rsid w:val="0081790F"/>
    <w:rsid w:val="0081793E"/>
    <w:rsid w:val="008179C2"/>
    <w:rsid w:val="008179D5"/>
    <w:rsid w:val="008179F3"/>
    <w:rsid w:val="00817A3B"/>
    <w:rsid w:val="00817A48"/>
    <w:rsid w:val="00817B3D"/>
    <w:rsid w:val="00817B62"/>
    <w:rsid w:val="00817B64"/>
    <w:rsid w:val="00817BBF"/>
    <w:rsid w:val="00817C07"/>
    <w:rsid w:val="00817C53"/>
    <w:rsid w:val="00817DCB"/>
    <w:rsid w:val="00817E01"/>
    <w:rsid w:val="00817E48"/>
    <w:rsid w:val="00817E4C"/>
    <w:rsid w:val="00817ED6"/>
    <w:rsid w:val="00817EE9"/>
    <w:rsid w:val="00817F36"/>
    <w:rsid w:val="00820006"/>
    <w:rsid w:val="0082000B"/>
    <w:rsid w:val="0082008C"/>
    <w:rsid w:val="00820091"/>
    <w:rsid w:val="008200CA"/>
    <w:rsid w:val="008200F0"/>
    <w:rsid w:val="008200F9"/>
    <w:rsid w:val="00820118"/>
    <w:rsid w:val="00820125"/>
    <w:rsid w:val="00820145"/>
    <w:rsid w:val="008201AC"/>
    <w:rsid w:val="00820221"/>
    <w:rsid w:val="008202A0"/>
    <w:rsid w:val="008203C1"/>
    <w:rsid w:val="008204A1"/>
    <w:rsid w:val="008204F7"/>
    <w:rsid w:val="008204FC"/>
    <w:rsid w:val="00820512"/>
    <w:rsid w:val="008205CD"/>
    <w:rsid w:val="008205E7"/>
    <w:rsid w:val="0082060F"/>
    <w:rsid w:val="00820633"/>
    <w:rsid w:val="008206E5"/>
    <w:rsid w:val="00820707"/>
    <w:rsid w:val="00820749"/>
    <w:rsid w:val="00820764"/>
    <w:rsid w:val="0082076C"/>
    <w:rsid w:val="00820781"/>
    <w:rsid w:val="0082079E"/>
    <w:rsid w:val="008207C8"/>
    <w:rsid w:val="008207DA"/>
    <w:rsid w:val="008207FC"/>
    <w:rsid w:val="00820809"/>
    <w:rsid w:val="008208DE"/>
    <w:rsid w:val="0082090D"/>
    <w:rsid w:val="00820970"/>
    <w:rsid w:val="00820A14"/>
    <w:rsid w:val="00820A1D"/>
    <w:rsid w:val="00820A57"/>
    <w:rsid w:val="00820A82"/>
    <w:rsid w:val="00820AA6"/>
    <w:rsid w:val="00820ABF"/>
    <w:rsid w:val="00820AE4"/>
    <w:rsid w:val="00820AEF"/>
    <w:rsid w:val="00820B95"/>
    <w:rsid w:val="00820B98"/>
    <w:rsid w:val="00820BF6"/>
    <w:rsid w:val="00820C1C"/>
    <w:rsid w:val="00820C52"/>
    <w:rsid w:val="00820C58"/>
    <w:rsid w:val="00820C6C"/>
    <w:rsid w:val="00820C8D"/>
    <w:rsid w:val="00820CAB"/>
    <w:rsid w:val="00820CCA"/>
    <w:rsid w:val="00820CF3"/>
    <w:rsid w:val="00820D13"/>
    <w:rsid w:val="00820D28"/>
    <w:rsid w:val="00820D4F"/>
    <w:rsid w:val="00820DF2"/>
    <w:rsid w:val="00820E59"/>
    <w:rsid w:val="00820EC5"/>
    <w:rsid w:val="00820EDF"/>
    <w:rsid w:val="00820F25"/>
    <w:rsid w:val="00820F31"/>
    <w:rsid w:val="00820F52"/>
    <w:rsid w:val="00820F5A"/>
    <w:rsid w:val="00821012"/>
    <w:rsid w:val="0082105E"/>
    <w:rsid w:val="0082109A"/>
    <w:rsid w:val="008210D9"/>
    <w:rsid w:val="00821120"/>
    <w:rsid w:val="008211BE"/>
    <w:rsid w:val="008211DB"/>
    <w:rsid w:val="008211E1"/>
    <w:rsid w:val="00821247"/>
    <w:rsid w:val="008212D1"/>
    <w:rsid w:val="008212E0"/>
    <w:rsid w:val="008213C9"/>
    <w:rsid w:val="00821405"/>
    <w:rsid w:val="0082141A"/>
    <w:rsid w:val="00821488"/>
    <w:rsid w:val="008214B2"/>
    <w:rsid w:val="008214F7"/>
    <w:rsid w:val="0082152E"/>
    <w:rsid w:val="0082153A"/>
    <w:rsid w:val="0082154E"/>
    <w:rsid w:val="0082161C"/>
    <w:rsid w:val="0082165B"/>
    <w:rsid w:val="00821671"/>
    <w:rsid w:val="0082167C"/>
    <w:rsid w:val="00821689"/>
    <w:rsid w:val="008216D1"/>
    <w:rsid w:val="008216F6"/>
    <w:rsid w:val="00821726"/>
    <w:rsid w:val="00821768"/>
    <w:rsid w:val="00821779"/>
    <w:rsid w:val="008217E1"/>
    <w:rsid w:val="008217FF"/>
    <w:rsid w:val="00821821"/>
    <w:rsid w:val="0082187A"/>
    <w:rsid w:val="008218ED"/>
    <w:rsid w:val="0082198F"/>
    <w:rsid w:val="00821993"/>
    <w:rsid w:val="008219DA"/>
    <w:rsid w:val="00821A33"/>
    <w:rsid w:val="00821A59"/>
    <w:rsid w:val="00821B67"/>
    <w:rsid w:val="00821B95"/>
    <w:rsid w:val="00821C0A"/>
    <w:rsid w:val="00821C18"/>
    <w:rsid w:val="00821C65"/>
    <w:rsid w:val="00821CA3"/>
    <w:rsid w:val="00821D52"/>
    <w:rsid w:val="00821DAB"/>
    <w:rsid w:val="00821E41"/>
    <w:rsid w:val="00821E92"/>
    <w:rsid w:val="00821EB9"/>
    <w:rsid w:val="00821ECF"/>
    <w:rsid w:val="00821EE1"/>
    <w:rsid w:val="00821F0A"/>
    <w:rsid w:val="00821F5B"/>
    <w:rsid w:val="00821F73"/>
    <w:rsid w:val="00821F82"/>
    <w:rsid w:val="00821FAB"/>
    <w:rsid w:val="00822002"/>
    <w:rsid w:val="0082200B"/>
    <w:rsid w:val="0082201E"/>
    <w:rsid w:val="0082205E"/>
    <w:rsid w:val="0082206C"/>
    <w:rsid w:val="00822121"/>
    <w:rsid w:val="00822146"/>
    <w:rsid w:val="00822184"/>
    <w:rsid w:val="0082219A"/>
    <w:rsid w:val="008221A4"/>
    <w:rsid w:val="00822236"/>
    <w:rsid w:val="00822242"/>
    <w:rsid w:val="00822248"/>
    <w:rsid w:val="00822254"/>
    <w:rsid w:val="00822279"/>
    <w:rsid w:val="008222F8"/>
    <w:rsid w:val="00822354"/>
    <w:rsid w:val="00822368"/>
    <w:rsid w:val="0082244B"/>
    <w:rsid w:val="00822510"/>
    <w:rsid w:val="00822524"/>
    <w:rsid w:val="00822527"/>
    <w:rsid w:val="00822542"/>
    <w:rsid w:val="0082258A"/>
    <w:rsid w:val="008225BA"/>
    <w:rsid w:val="008225D2"/>
    <w:rsid w:val="00822600"/>
    <w:rsid w:val="0082262D"/>
    <w:rsid w:val="0082263A"/>
    <w:rsid w:val="00822668"/>
    <w:rsid w:val="00822673"/>
    <w:rsid w:val="0082272D"/>
    <w:rsid w:val="0082273B"/>
    <w:rsid w:val="00822774"/>
    <w:rsid w:val="008227EB"/>
    <w:rsid w:val="0082281F"/>
    <w:rsid w:val="0082287E"/>
    <w:rsid w:val="0082288E"/>
    <w:rsid w:val="008228B7"/>
    <w:rsid w:val="00822968"/>
    <w:rsid w:val="008229E7"/>
    <w:rsid w:val="00822A1A"/>
    <w:rsid w:val="00822A2E"/>
    <w:rsid w:val="00822A7F"/>
    <w:rsid w:val="00822AF2"/>
    <w:rsid w:val="00822AF6"/>
    <w:rsid w:val="00822B5E"/>
    <w:rsid w:val="00822B68"/>
    <w:rsid w:val="00822BEB"/>
    <w:rsid w:val="00822C45"/>
    <w:rsid w:val="00822C47"/>
    <w:rsid w:val="00822C91"/>
    <w:rsid w:val="00822CE5"/>
    <w:rsid w:val="00822DDA"/>
    <w:rsid w:val="00822DE1"/>
    <w:rsid w:val="00822DFA"/>
    <w:rsid w:val="00822E15"/>
    <w:rsid w:val="00822E2F"/>
    <w:rsid w:val="00822E5A"/>
    <w:rsid w:val="00822F5E"/>
    <w:rsid w:val="00822FF2"/>
    <w:rsid w:val="0082300D"/>
    <w:rsid w:val="0082301C"/>
    <w:rsid w:val="00823074"/>
    <w:rsid w:val="0082307C"/>
    <w:rsid w:val="00823089"/>
    <w:rsid w:val="008230CA"/>
    <w:rsid w:val="008230F6"/>
    <w:rsid w:val="0082313E"/>
    <w:rsid w:val="008231A8"/>
    <w:rsid w:val="008231D3"/>
    <w:rsid w:val="00823217"/>
    <w:rsid w:val="00823282"/>
    <w:rsid w:val="00823303"/>
    <w:rsid w:val="00823369"/>
    <w:rsid w:val="00823381"/>
    <w:rsid w:val="00823390"/>
    <w:rsid w:val="00823421"/>
    <w:rsid w:val="00823422"/>
    <w:rsid w:val="008234E6"/>
    <w:rsid w:val="00823552"/>
    <w:rsid w:val="00823558"/>
    <w:rsid w:val="00823594"/>
    <w:rsid w:val="008235C7"/>
    <w:rsid w:val="008235D3"/>
    <w:rsid w:val="008235EF"/>
    <w:rsid w:val="00823605"/>
    <w:rsid w:val="00823640"/>
    <w:rsid w:val="008236A6"/>
    <w:rsid w:val="0082374D"/>
    <w:rsid w:val="00823790"/>
    <w:rsid w:val="008237A7"/>
    <w:rsid w:val="008237CC"/>
    <w:rsid w:val="008237D0"/>
    <w:rsid w:val="008237E2"/>
    <w:rsid w:val="00823820"/>
    <w:rsid w:val="0082387A"/>
    <w:rsid w:val="0082387E"/>
    <w:rsid w:val="008238B7"/>
    <w:rsid w:val="008238E9"/>
    <w:rsid w:val="008238FE"/>
    <w:rsid w:val="008239CE"/>
    <w:rsid w:val="008239FC"/>
    <w:rsid w:val="00823A64"/>
    <w:rsid w:val="00823AD8"/>
    <w:rsid w:val="00823B20"/>
    <w:rsid w:val="00823B67"/>
    <w:rsid w:val="00823B92"/>
    <w:rsid w:val="00823BB9"/>
    <w:rsid w:val="00823BBC"/>
    <w:rsid w:val="00823C0E"/>
    <w:rsid w:val="00823C29"/>
    <w:rsid w:val="00823C58"/>
    <w:rsid w:val="00823C7F"/>
    <w:rsid w:val="00823D51"/>
    <w:rsid w:val="00823E36"/>
    <w:rsid w:val="00823E5C"/>
    <w:rsid w:val="00823E66"/>
    <w:rsid w:val="00823E8F"/>
    <w:rsid w:val="00823ECD"/>
    <w:rsid w:val="00823EF3"/>
    <w:rsid w:val="00823F54"/>
    <w:rsid w:val="00823F7A"/>
    <w:rsid w:val="00824012"/>
    <w:rsid w:val="0082401B"/>
    <w:rsid w:val="008240CC"/>
    <w:rsid w:val="008240DA"/>
    <w:rsid w:val="0082411E"/>
    <w:rsid w:val="0082417D"/>
    <w:rsid w:val="008241BF"/>
    <w:rsid w:val="008241D2"/>
    <w:rsid w:val="008241D4"/>
    <w:rsid w:val="0082422D"/>
    <w:rsid w:val="0082428D"/>
    <w:rsid w:val="008242AD"/>
    <w:rsid w:val="008242F2"/>
    <w:rsid w:val="008243A5"/>
    <w:rsid w:val="008243D5"/>
    <w:rsid w:val="00824409"/>
    <w:rsid w:val="00824420"/>
    <w:rsid w:val="0082455B"/>
    <w:rsid w:val="008245BD"/>
    <w:rsid w:val="0082469D"/>
    <w:rsid w:val="008246A3"/>
    <w:rsid w:val="008246AD"/>
    <w:rsid w:val="008246F1"/>
    <w:rsid w:val="008246F5"/>
    <w:rsid w:val="0082476A"/>
    <w:rsid w:val="008247A9"/>
    <w:rsid w:val="008247AA"/>
    <w:rsid w:val="00824836"/>
    <w:rsid w:val="008248A1"/>
    <w:rsid w:val="008248A6"/>
    <w:rsid w:val="008248DA"/>
    <w:rsid w:val="008248FE"/>
    <w:rsid w:val="0082491A"/>
    <w:rsid w:val="008249D6"/>
    <w:rsid w:val="008249F9"/>
    <w:rsid w:val="00824A15"/>
    <w:rsid w:val="00824A55"/>
    <w:rsid w:val="00824ABE"/>
    <w:rsid w:val="00824AC6"/>
    <w:rsid w:val="00824ADD"/>
    <w:rsid w:val="00824B02"/>
    <w:rsid w:val="00824BE9"/>
    <w:rsid w:val="00824C07"/>
    <w:rsid w:val="00824C40"/>
    <w:rsid w:val="00824C49"/>
    <w:rsid w:val="00824CA7"/>
    <w:rsid w:val="00824CB8"/>
    <w:rsid w:val="00824D55"/>
    <w:rsid w:val="00824E20"/>
    <w:rsid w:val="00824ED2"/>
    <w:rsid w:val="00824EF7"/>
    <w:rsid w:val="00824F02"/>
    <w:rsid w:val="00824F40"/>
    <w:rsid w:val="00824F97"/>
    <w:rsid w:val="00824FB4"/>
    <w:rsid w:val="008250E3"/>
    <w:rsid w:val="008250E9"/>
    <w:rsid w:val="00825145"/>
    <w:rsid w:val="00825204"/>
    <w:rsid w:val="00825224"/>
    <w:rsid w:val="0082524F"/>
    <w:rsid w:val="00825269"/>
    <w:rsid w:val="008252E9"/>
    <w:rsid w:val="008252EC"/>
    <w:rsid w:val="008252F0"/>
    <w:rsid w:val="008252F4"/>
    <w:rsid w:val="00825324"/>
    <w:rsid w:val="00825346"/>
    <w:rsid w:val="00825369"/>
    <w:rsid w:val="0082541B"/>
    <w:rsid w:val="00825428"/>
    <w:rsid w:val="0082547E"/>
    <w:rsid w:val="00825498"/>
    <w:rsid w:val="0082549B"/>
    <w:rsid w:val="008254DA"/>
    <w:rsid w:val="008254F0"/>
    <w:rsid w:val="00825570"/>
    <w:rsid w:val="008255F6"/>
    <w:rsid w:val="0082565C"/>
    <w:rsid w:val="0082566D"/>
    <w:rsid w:val="00825685"/>
    <w:rsid w:val="00825687"/>
    <w:rsid w:val="00825697"/>
    <w:rsid w:val="008256AC"/>
    <w:rsid w:val="008256B3"/>
    <w:rsid w:val="00825732"/>
    <w:rsid w:val="0082575D"/>
    <w:rsid w:val="00825783"/>
    <w:rsid w:val="0082579C"/>
    <w:rsid w:val="008257BA"/>
    <w:rsid w:val="00825804"/>
    <w:rsid w:val="00825815"/>
    <w:rsid w:val="00825911"/>
    <w:rsid w:val="0082591A"/>
    <w:rsid w:val="008259A9"/>
    <w:rsid w:val="008259AC"/>
    <w:rsid w:val="008259D6"/>
    <w:rsid w:val="00825A46"/>
    <w:rsid w:val="00825A52"/>
    <w:rsid w:val="00825A5B"/>
    <w:rsid w:val="00825A72"/>
    <w:rsid w:val="00825B2B"/>
    <w:rsid w:val="00825B3C"/>
    <w:rsid w:val="00825B8B"/>
    <w:rsid w:val="00825B9E"/>
    <w:rsid w:val="00825C05"/>
    <w:rsid w:val="00825C0F"/>
    <w:rsid w:val="00825C1A"/>
    <w:rsid w:val="00825C1B"/>
    <w:rsid w:val="00825C65"/>
    <w:rsid w:val="00825D2F"/>
    <w:rsid w:val="00825DDC"/>
    <w:rsid w:val="00825E0D"/>
    <w:rsid w:val="00825EA3"/>
    <w:rsid w:val="00825EB2"/>
    <w:rsid w:val="00825F77"/>
    <w:rsid w:val="00825FAF"/>
    <w:rsid w:val="00825FF6"/>
    <w:rsid w:val="00825FFA"/>
    <w:rsid w:val="00826061"/>
    <w:rsid w:val="00826092"/>
    <w:rsid w:val="008260D7"/>
    <w:rsid w:val="008260EA"/>
    <w:rsid w:val="00826100"/>
    <w:rsid w:val="00826138"/>
    <w:rsid w:val="0082613A"/>
    <w:rsid w:val="008261A3"/>
    <w:rsid w:val="00826223"/>
    <w:rsid w:val="00826233"/>
    <w:rsid w:val="0082623B"/>
    <w:rsid w:val="00826274"/>
    <w:rsid w:val="008262E4"/>
    <w:rsid w:val="0082630A"/>
    <w:rsid w:val="00826339"/>
    <w:rsid w:val="00826360"/>
    <w:rsid w:val="0082639D"/>
    <w:rsid w:val="008263FF"/>
    <w:rsid w:val="00826479"/>
    <w:rsid w:val="00826508"/>
    <w:rsid w:val="00826509"/>
    <w:rsid w:val="00826593"/>
    <w:rsid w:val="008265B9"/>
    <w:rsid w:val="008265C2"/>
    <w:rsid w:val="008265F4"/>
    <w:rsid w:val="0082662B"/>
    <w:rsid w:val="008266B0"/>
    <w:rsid w:val="00826726"/>
    <w:rsid w:val="0082678B"/>
    <w:rsid w:val="008267D7"/>
    <w:rsid w:val="008267E8"/>
    <w:rsid w:val="00826850"/>
    <w:rsid w:val="0082689C"/>
    <w:rsid w:val="008268D0"/>
    <w:rsid w:val="008268EE"/>
    <w:rsid w:val="008268F9"/>
    <w:rsid w:val="00826944"/>
    <w:rsid w:val="008269AD"/>
    <w:rsid w:val="008269CC"/>
    <w:rsid w:val="008269E6"/>
    <w:rsid w:val="00826A8C"/>
    <w:rsid w:val="00826A9A"/>
    <w:rsid w:val="00826AAB"/>
    <w:rsid w:val="00826AE8"/>
    <w:rsid w:val="00826AF8"/>
    <w:rsid w:val="00826B5F"/>
    <w:rsid w:val="00826CB1"/>
    <w:rsid w:val="00826D00"/>
    <w:rsid w:val="00826D55"/>
    <w:rsid w:val="00826D72"/>
    <w:rsid w:val="00826D7C"/>
    <w:rsid w:val="00826D91"/>
    <w:rsid w:val="00826DE7"/>
    <w:rsid w:val="00826E0D"/>
    <w:rsid w:val="00826E21"/>
    <w:rsid w:val="00826E2D"/>
    <w:rsid w:val="00826E3E"/>
    <w:rsid w:val="00826E43"/>
    <w:rsid w:val="00826E71"/>
    <w:rsid w:val="00826E73"/>
    <w:rsid w:val="00826E79"/>
    <w:rsid w:val="00826E85"/>
    <w:rsid w:val="00826ECB"/>
    <w:rsid w:val="00826EFB"/>
    <w:rsid w:val="00826FA9"/>
    <w:rsid w:val="0082701B"/>
    <w:rsid w:val="008270CB"/>
    <w:rsid w:val="008270D9"/>
    <w:rsid w:val="008270EA"/>
    <w:rsid w:val="00827198"/>
    <w:rsid w:val="00827206"/>
    <w:rsid w:val="00827210"/>
    <w:rsid w:val="0082722C"/>
    <w:rsid w:val="0082725C"/>
    <w:rsid w:val="00827281"/>
    <w:rsid w:val="008272A2"/>
    <w:rsid w:val="008272AD"/>
    <w:rsid w:val="008272B8"/>
    <w:rsid w:val="008272CE"/>
    <w:rsid w:val="00827390"/>
    <w:rsid w:val="00827391"/>
    <w:rsid w:val="00827494"/>
    <w:rsid w:val="00827498"/>
    <w:rsid w:val="008274E3"/>
    <w:rsid w:val="008274EB"/>
    <w:rsid w:val="008274EC"/>
    <w:rsid w:val="008275AA"/>
    <w:rsid w:val="00827629"/>
    <w:rsid w:val="0082765D"/>
    <w:rsid w:val="00827689"/>
    <w:rsid w:val="00827697"/>
    <w:rsid w:val="008276BE"/>
    <w:rsid w:val="00827741"/>
    <w:rsid w:val="00827756"/>
    <w:rsid w:val="008277EB"/>
    <w:rsid w:val="00827856"/>
    <w:rsid w:val="0082788E"/>
    <w:rsid w:val="0082788F"/>
    <w:rsid w:val="008278CF"/>
    <w:rsid w:val="008278D1"/>
    <w:rsid w:val="00827930"/>
    <w:rsid w:val="00827B1E"/>
    <w:rsid w:val="00827B1F"/>
    <w:rsid w:val="00827B95"/>
    <w:rsid w:val="00827BB5"/>
    <w:rsid w:val="00827BF8"/>
    <w:rsid w:val="00827C79"/>
    <w:rsid w:val="00827C86"/>
    <w:rsid w:val="00827C92"/>
    <w:rsid w:val="00827D04"/>
    <w:rsid w:val="00827D7B"/>
    <w:rsid w:val="00827DC7"/>
    <w:rsid w:val="00827DE3"/>
    <w:rsid w:val="00827E08"/>
    <w:rsid w:val="00827E10"/>
    <w:rsid w:val="00827E88"/>
    <w:rsid w:val="00827ED2"/>
    <w:rsid w:val="00827EDA"/>
    <w:rsid w:val="00827EE8"/>
    <w:rsid w:val="00827F66"/>
    <w:rsid w:val="00827F73"/>
    <w:rsid w:val="00827F77"/>
    <w:rsid w:val="00827FB0"/>
    <w:rsid w:val="00827FF9"/>
    <w:rsid w:val="0083002D"/>
    <w:rsid w:val="00830065"/>
    <w:rsid w:val="008300B0"/>
    <w:rsid w:val="008300BE"/>
    <w:rsid w:val="008300E2"/>
    <w:rsid w:val="00830125"/>
    <w:rsid w:val="0083015E"/>
    <w:rsid w:val="008301AE"/>
    <w:rsid w:val="0083025C"/>
    <w:rsid w:val="008302B9"/>
    <w:rsid w:val="008302C7"/>
    <w:rsid w:val="008302D4"/>
    <w:rsid w:val="00830351"/>
    <w:rsid w:val="0083035B"/>
    <w:rsid w:val="008303D2"/>
    <w:rsid w:val="008303EC"/>
    <w:rsid w:val="00830491"/>
    <w:rsid w:val="00830511"/>
    <w:rsid w:val="008305B9"/>
    <w:rsid w:val="008305F1"/>
    <w:rsid w:val="00830603"/>
    <w:rsid w:val="00830620"/>
    <w:rsid w:val="00830672"/>
    <w:rsid w:val="00830686"/>
    <w:rsid w:val="008306A9"/>
    <w:rsid w:val="008306C4"/>
    <w:rsid w:val="0083074C"/>
    <w:rsid w:val="008307CA"/>
    <w:rsid w:val="00830835"/>
    <w:rsid w:val="00830875"/>
    <w:rsid w:val="00830889"/>
    <w:rsid w:val="008308A7"/>
    <w:rsid w:val="0083096D"/>
    <w:rsid w:val="00830974"/>
    <w:rsid w:val="008309C3"/>
    <w:rsid w:val="008309ED"/>
    <w:rsid w:val="008309F6"/>
    <w:rsid w:val="008309F8"/>
    <w:rsid w:val="00830A1F"/>
    <w:rsid w:val="00830AF7"/>
    <w:rsid w:val="00830C11"/>
    <w:rsid w:val="00830C2B"/>
    <w:rsid w:val="00830C68"/>
    <w:rsid w:val="00830C7B"/>
    <w:rsid w:val="00830C87"/>
    <w:rsid w:val="00830C95"/>
    <w:rsid w:val="00830C9F"/>
    <w:rsid w:val="00830CDC"/>
    <w:rsid w:val="00830DD5"/>
    <w:rsid w:val="00830E2D"/>
    <w:rsid w:val="00830E4B"/>
    <w:rsid w:val="00830F0D"/>
    <w:rsid w:val="00830F19"/>
    <w:rsid w:val="00830F2C"/>
    <w:rsid w:val="00830F32"/>
    <w:rsid w:val="00830F51"/>
    <w:rsid w:val="00830F82"/>
    <w:rsid w:val="00830F93"/>
    <w:rsid w:val="00830FDB"/>
    <w:rsid w:val="00831051"/>
    <w:rsid w:val="00831052"/>
    <w:rsid w:val="00831087"/>
    <w:rsid w:val="008310F0"/>
    <w:rsid w:val="0083119C"/>
    <w:rsid w:val="008311CD"/>
    <w:rsid w:val="0083120C"/>
    <w:rsid w:val="00831287"/>
    <w:rsid w:val="0083128D"/>
    <w:rsid w:val="00831300"/>
    <w:rsid w:val="0083130B"/>
    <w:rsid w:val="00831325"/>
    <w:rsid w:val="00831345"/>
    <w:rsid w:val="00831354"/>
    <w:rsid w:val="0083138A"/>
    <w:rsid w:val="0083142B"/>
    <w:rsid w:val="0083145B"/>
    <w:rsid w:val="008314BC"/>
    <w:rsid w:val="0083155A"/>
    <w:rsid w:val="0083155B"/>
    <w:rsid w:val="0083157B"/>
    <w:rsid w:val="00831584"/>
    <w:rsid w:val="008315DB"/>
    <w:rsid w:val="008315E4"/>
    <w:rsid w:val="008315FB"/>
    <w:rsid w:val="008316E5"/>
    <w:rsid w:val="0083170E"/>
    <w:rsid w:val="00831741"/>
    <w:rsid w:val="0083174B"/>
    <w:rsid w:val="008317B7"/>
    <w:rsid w:val="008317BF"/>
    <w:rsid w:val="008318DB"/>
    <w:rsid w:val="00831975"/>
    <w:rsid w:val="008319AC"/>
    <w:rsid w:val="008319D4"/>
    <w:rsid w:val="00831A4F"/>
    <w:rsid w:val="00831AA0"/>
    <w:rsid w:val="00831B18"/>
    <w:rsid w:val="00831B89"/>
    <w:rsid w:val="00831BDA"/>
    <w:rsid w:val="00831C48"/>
    <w:rsid w:val="00831C56"/>
    <w:rsid w:val="00831CB6"/>
    <w:rsid w:val="00831D2B"/>
    <w:rsid w:val="00831DAD"/>
    <w:rsid w:val="00831DF1"/>
    <w:rsid w:val="00831E11"/>
    <w:rsid w:val="00831E49"/>
    <w:rsid w:val="00831EB4"/>
    <w:rsid w:val="00831ECC"/>
    <w:rsid w:val="00831F72"/>
    <w:rsid w:val="00831FD0"/>
    <w:rsid w:val="00831FD6"/>
    <w:rsid w:val="00831FD8"/>
    <w:rsid w:val="00831FDC"/>
    <w:rsid w:val="00832074"/>
    <w:rsid w:val="008320AF"/>
    <w:rsid w:val="008320C0"/>
    <w:rsid w:val="008320C3"/>
    <w:rsid w:val="008320E6"/>
    <w:rsid w:val="0083211F"/>
    <w:rsid w:val="0083216F"/>
    <w:rsid w:val="00832171"/>
    <w:rsid w:val="0083217F"/>
    <w:rsid w:val="00832203"/>
    <w:rsid w:val="0083222C"/>
    <w:rsid w:val="0083224F"/>
    <w:rsid w:val="0083229E"/>
    <w:rsid w:val="008322B5"/>
    <w:rsid w:val="008322E0"/>
    <w:rsid w:val="008323BA"/>
    <w:rsid w:val="008323CE"/>
    <w:rsid w:val="0083243F"/>
    <w:rsid w:val="00832482"/>
    <w:rsid w:val="008324B8"/>
    <w:rsid w:val="008324E5"/>
    <w:rsid w:val="00832594"/>
    <w:rsid w:val="008325EE"/>
    <w:rsid w:val="008325F4"/>
    <w:rsid w:val="00832615"/>
    <w:rsid w:val="00832651"/>
    <w:rsid w:val="0083265B"/>
    <w:rsid w:val="008326F3"/>
    <w:rsid w:val="00832719"/>
    <w:rsid w:val="0083279C"/>
    <w:rsid w:val="008327E7"/>
    <w:rsid w:val="0083282C"/>
    <w:rsid w:val="00832872"/>
    <w:rsid w:val="008328AE"/>
    <w:rsid w:val="008328DE"/>
    <w:rsid w:val="00832900"/>
    <w:rsid w:val="0083290C"/>
    <w:rsid w:val="0083293B"/>
    <w:rsid w:val="0083293D"/>
    <w:rsid w:val="0083295A"/>
    <w:rsid w:val="00832980"/>
    <w:rsid w:val="008329AB"/>
    <w:rsid w:val="00832A8D"/>
    <w:rsid w:val="00832A96"/>
    <w:rsid w:val="00832ACA"/>
    <w:rsid w:val="00832AFF"/>
    <w:rsid w:val="00832B37"/>
    <w:rsid w:val="00832B89"/>
    <w:rsid w:val="00832BE3"/>
    <w:rsid w:val="00832C00"/>
    <w:rsid w:val="00832C11"/>
    <w:rsid w:val="00832C92"/>
    <w:rsid w:val="00832CA9"/>
    <w:rsid w:val="00832CDD"/>
    <w:rsid w:val="00832DED"/>
    <w:rsid w:val="00832E7E"/>
    <w:rsid w:val="00832E86"/>
    <w:rsid w:val="00832EAC"/>
    <w:rsid w:val="00832F22"/>
    <w:rsid w:val="00832F5E"/>
    <w:rsid w:val="0083306D"/>
    <w:rsid w:val="008330B5"/>
    <w:rsid w:val="00833116"/>
    <w:rsid w:val="00833125"/>
    <w:rsid w:val="008331FD"/>
    <w:rsid w:val="0083320D"/>
    <w:rsid w:val="00833236"/>
    <w:rsid w:val="0083328F"/>
    <w:rsid w:val="008332E8"/>
    <w:rsid w:val="008332F8"/>
    <w:rsid w:val="0083331B"/>
    <w:rsid w:val="0083339B"/>
    <w:rsid w:val="008333A6"/>
    <w:rsid w:val="0083341C"/>
    <w:rsid w:val="00833466"/>
    <w:rsid w:val="00833494"/>
    <w:rsid w:val="00833592"/>
    <w:rsid w:val="0083359F"/>
    <w:rsid w:val="008335DA"/>
    <w:rsid w:val="008335E1"/>
    <w:rsid w:val="0083363C"/>
    <w:rsid w:val="00833645"/>
    <w:rsid w:val="00833718"/>
    <w:rsid w:val="0083371C"/>
    <w:rsid w:val="0083371D"/>
    <w:rsid w:val="0083374C"/>
    <w:rsid w:val="00833757"/>
    <w:rsid w:val="0083378B"/>
    <w:rsid w:val="008337CF"/>
    <w:rsid w:val="0083383E"/>
    <w:rsid w:val="00833846"/>
    <w:rsid w:val="00833849"/>
    <w:rsid w:val="00833885"/>
    <w:rsid w:val="0083389A"/>
    <w:rsid w:val="008338F1"/>
    <w:rsid w:val="008338F3"/>
    <w:rsid w:val="0083390C"/>
    <w:rsid w:val="0083395B"/>
    <w:rsid w:val="0083397B"/>
    <w:rsid w:val="008339B9"/>
    <w:rsid w:val="00833A98"/>
    <w:rsid w:val="00833ABC"/>
    <w:rsid w:val="00833AF6"/>
    <w:rsid w:val="00833BAF"/>
    <w:rsid w:val="00833BEB"/>
    <w:rsid w:val="00833BF5"/>
    <w:rsid w:val="00833C53"/>
    <w:rsid w:val="00833C9D"/>
    <w:rsid w:val="00833CB0"/>
    <w:rsid w:val="00833CB9"/>
    <w:rsid w:val="00833CD2"/>
    <w:rsid w:val="00833D45"/>
    <w:rsid w:val="00833D50"/>
    <w:rsid w:val="00833DA1"/>
    <w:rsid w:val="00833DA5"/>
    <w:rsid w:val="00833DAB"/>
    <w:rsid w:val="00833DB6"/>
    <w:rsid w:val="00833DD9"/>
    <w:rsid w:val="00833DED"/>
    <w:rsid w:val="00833DFF"/>
    <w:rsid w:val="00833E1D"/>
    <w:rsid w:val="00833E5A"/>
    <w:rsid w:val="00833EC0"/>
    <w:rsid w:val="00833EF5"/>
    <w:rsid w:val="00833F56"/>
    <w:rsid w:val="00833FAD"/>
    <w:rsid w:val="00833FF0"/>
    <w:rsid w:val="0083405F"/>
    <w:rsid w:val="0083406C"/>
    <w:rsid w:val="008340B9"/>
    <w:rsid w:val="008340E3"/>
    <w:rsid w:val="008340EB"/>
    <w:rsid w:val="0083413C"/>
    <w:rsid w:val="008341B0"/>
    <w:rsid w:val="008341B7"/>
    <w:rsid w:val="008341C1"/>
    <w:rsid w:val="00834236"/>
    <w:rsid w:val="0083426F"/>
    <w:rsid w:val="00834278"/>
    <w:rsid w:val="0083427D"/>
    <w:rsid w:val="0083428D"/>
    <w:rsid w:val="008342AF"/>
    <w:rsid w:val="008342C3"/>
    <w:rsid w:val="008342F2"/>
    <w:rsid w:val="008342F5"/>
    <w:rsid w:val="0083432F"/>
    <w:rsid w:val="0083433E"/>
    <w:rsid w:val="008343A1"/>
    <w:rsid w:val="008343A3"/>
    <w:rsid w:val="008343AF"/>
    <w:rsid w:val="0083446C"/>
    <w:rsid w:val="0083447A"/>
    <w:rsid w:val="0083449A"/>
    <w:rsid w:val="00834508"/>
    <w:rsid w:val="00834518"/>
    <w:rsid w:val="0083451B"/>
    <w:rsid w:val="0083458A"/>
    <w:rsid w:val="008345D1"/>
    <w:rsid w:val="00834606"/>
    <w:rsid w:val="00834655"/>
    <w:rsid w:val="008346BD"/>
    <w:rsid w:val="008346C7"/>
    <w:rsid w:val="008346ED"/>
    <w:rsid w:val="008346F2"/>
    <w:rsid w:val="008346F5"/>
    <w:rsid w:val="008347A3"/>
    <w:rsid w:val="008347BB"/>
    <w:rsid w:val="008347BF"/>
    <w:rsid w:val="0083483A"/>
    <w:rsid w:val="00834861"/>
    <w:rsid w:val="00834870"/>
    <w:rsid w:val="00834878"/>
    <w:rsid w:val="008348CB"/>
    <w:rsid w:val="00834908"/>
    <w:rsid w:val="00834933"/>
    <w:rsid w:val="00834940"/>
    <w:rsid w:val="008349A9"/>
    <w:rsid w:val="00834A00"/>
    <w:rsid w:val="00834A22"/>
    <w:rsid w:val="00834B59"/>
    <w:rsid w:val="00834B99"/>
    <w:rsid w:val="00834C74"/>
    <w:rsid w:val="00834CA7"/>
    <w:rsid w:val="00834CCB"/>
    <w:rsid w:val="00834D78"/>
    <w:rsid w:val="00834E36"/>
    <w:rsid w:val="00834E41"/>
    <w:rsid w:val="00834E96"/>
    <w:rsid w:val="00835006"/>
    <w:rsid w:val="00835047"/>
    <w:rsid w:val="00835112"/>
    <w:rsid w:val="00835114"/>
    <w:rsid w:val="0083511C"/>
    <w:rsid w:val="0083512B"/>
    <w:rsid w:val="0083513A"/>
    <w:rsid w:val="0083515C"/>
    <w:rsid w:val="0083516C"/>
    <w:rsid w:val="008351AB"/>
    <w:rsid w:val="008351D4"/>
    <w:rsid w:val="00835223"/>
    <w:rsid w:val="0083528C"/>
    <w:rsid w:val="008352BA"/>
    <w:rsid w:val="008352C0"/>
    <w:rsid w:val="008352DA"/>
    <w:rsid w:val="00835307"/>
    <w:rsid w:val="0083530B"/>
    <w:rsid w:val="00835375"/>
    <w:rsid w:val="008354CC"/>
    <w:rsid w:val="008354F1"/>
    <w:rsid w:val="00835501"/>
    <w:rsid w:val="00835506"/>
    <w:rsid w:val="008355B3"/>
    <w:rsid w:val="008355BA"/>
    <w:rsid w:val="008355DC"/>
    <w:rsid w:val="00835613"/>
    <w:rsid w:val="0083563C"/>
    <w:rsid w:val="008356C6"/>
    <w:rsid w:val="008356D1"/>
    <w:rsid w:val="00835715"/>
    <w:rsid w:val="00835736"/>
    <w:rsid w:val="00835755"/>
    <w:rsid w:val="0083575A"/>
    <w:rsid w:val="00835855"/>
    <w:rsid w:val="0083598E"/>
    <w:rsid w:val="00835994"/>
    <w:rsid w:val="008359AE"/>
    <w:rsid w:val="008359C8"/>
    <w:rsid w:val="00835A61"/>
    <w:rsid w:val="00835A62"/>
    <w:rsid w:val="00835A63"/>
    <w:rsid w:val="00835A6E"/>
    <w:rsid w:val="00835A8D"/>
    <w:rsid w:val="00835B3A"/>
    <w:rsid w:val="00835B5B"/>
    <w:rsid w:val="00835B9A"/>
    <w:rsid w:val="00835BBB"/>
    <w:rsid w:val="00835BBC"/>
    <w:rsid w:val="00835BE1"/>
    <w:rsid w:val="00835BF6"/>
    <w:rsid w:val="00835BF8"/>
    <w:rsid w:val="00835CF0"/>
    <w:rsid w:val="00835CFD"/>
    <w:rsid w:val="00835D42"/>
    <w:rsid w:val="00835D45"/>
    <w:rsid w:val="00835D58"/>
    <w:rsid w:val="00835D84"/>
    <w:rsid w:val="00835D8D"/>
    <w:rsid w:val="00835DFA"/>
    <w:rsid w:val="00835E2B"/>
    <w:rsid w:val="00835E2D"/>
    <w:rsid w:val="00835EAC"/>
    <w:rsid w:val="00835EF7"/>
    <w:rsid w:val="00835FFA"/>
    <w:rsid w:val="00836054"/>
    <w:rsid w:val="00836057"/>
    <w:rsid w:val="00836078"/>
    <w:rsid w:val="0083607E"/>
    <w:rsid w:val="00836080"/>
    <w:rsid w:val="008360C6"/>
    <w:rsid w:val="008360CB"/>
    <w:rsid w:val="008360E0"/>
    <w:rsid w:val="008360EE"/>
    <w:rsid w:val="00836208"/>
    <w:rsid w:val="00836278"/>
    <w:rsid w:val="00836287"/>
    <w:rsid w:val="008362D6"/>
    <w:rsid w:val="0083634F"/>
    <w:rsid w:val="0083635C"/>
    <w:rsid w:val="00836380"/>
    <w:rsid w:val="008363B4"/>
    <w:rsid w:val="008363E0"/>
    <w:rsid w:val="0083640E"/>
    <w:rsid w:val="00836431"/>
    <w:rsid w:val="0083646C"/>
    <w:rsid w:val="008364B1"/>
    <w:rsid w:val="00836588"/>
    <w:rsid w:val="0083663C"/>
    <w:rsid w:val="008366E8"/>
    <w:rsid w:val="008366FF"/>
    <w:rsid w:val="0083675A"/>
    <w:rsid w:val="008367A3"/>
    <w:rsid w:val="008367A9"/>
    <w:rsid w:val="008367B5"/>
    <w:rsid w:val="008367C6"/>
    <w:rsid w:val="008367DA"/>
    <w:rsid w:val="00836802"/>
    <w:rsid w:val="00836858"/>
    <w:rsid w:val="00836888"/>
    <w:rsid w:val="0083688E"/>
    <w:rsid w:val="008368D5"/>
    <w:rsid w:val="008368D6"/>
    <w:rsid w:val="008368E7"/>
    <w:rsid w:val="00836901"/>
    <w:rsid w:val="00836944"/>
    <w:rsid w:val="0083696D"/>
    <w:rsid w:val="0083696F"/>
    <w:rsid w:val="008369AC"/>
    <w:rsid w:val="00836A18"/>
    <w:rsid w:val="00836A23"/>
    <w:rsid w:val="00836A36"/>
    <w:rsid w:val="00836A49"/>
    <w:rsid w:val="00836AFE"/>
    <w:rsid w:val="00836B35"/>
    <w:rsid w:val="00836BB3"/>
    <w:rsid w:val="00836BE1"/>
    <w:rsid w:val="00836C0C"/>
    <w:rsid w:val="00836C4F"/>
    <w:rsid w:val="00836C5C"/>
    <w:rsid w:val="00836C94"/>
    <w:rsid w:val="00836CBE"/>
    <w:rsid w:val="00836E2B"/>
    <w:rsid w:val="00836E38"/>
    <w:rsid w:val="00836E78"/>
    <w:rsid w:val="00836EEB"/>
    <w:rsid w:val="00836F5E"/>
    <w:rsid w:val="00836F61"/>
    <w:rsid w:val="00836F8A"/>
    <w:rsid w:val="0083700A"/>
    <w:rsid w:val="00837032"/>
    <w:rsid w:val="0083705A"/>
    <w:rsid w:val="008370AB"/>
    <w:rsid w:val="008370AD"/>
    <w:rsid w:val="0083711E"/>
    <w:rsid w:val="0083722E"/>
    <w:rsid w:val="008372FD"/>
    <w:rsid w:val="0083731C"/>
    <w:rsid w:val="0083734D"/>
    <w:rsid w:val="0083734E"/>
    <w:rsid w:val="0083735D"/>
    <w:rsid w:val="00837366"/>
    <w:rsid w:val="008373B5"/>
    <w:rsid w:val="008373E1"/>
    <w:rsid w:val="008373FE"/>
    <w:rsid w:val="00837431"/>
    <w:rsid w:val="00837484"/>
    <w:rsid w:val="008374A2"/>
    <w:rsid w:val="008374C3"/>
    <w:rsid w:val="008374C8"/>
    <w:rsid w:val="00837671"/>
    <w:rsid w:val="008376AB"/>
    <w:rsid w:val="008376DB"/>
    <w:rsid w:val="008376EF"/>
    <w:rsid w:val="008376FE"/>
    <w:rsid w:val="0083770D"/>
    <w:rsid w:val="0083778C"/>
    <w:rsid w:val="008377B8"/>
    <w:rsid w:val="008377DB"/>
    <w:rsid w:val="008377FC"/>
    <w:rsid w:val="0083781C"/>
    <w:rsid w:val="00837893"/>
    <w:rsid w:val="008378E9"/>
    <w:rsid w:val="00837A2F"/>
    <w:rsid w:val="00837AAA"/>
    <w:rsid w:val="00837AE0"/>
    <w:rsid w:val="00837B1D"/>
    <w:rsid w:val="00837B47"/>
    <w:rsid w:val="00837B89"/>
    <w:rsid w:val="00837B94"/>
    <w:rsid w:val="00837BCC"/>
    <w:rsid w:val="00837BE3"/>
    <w:rsid w:val="00837BE5"/>
    <w:rsid w:val="00837BF8"/>
    <w:rsid w:val="00837C88"/>
    <w:rsid w:val="00837CA6"/>
    <w:rsid w:val="00837CC0"/>
    <w:rsid w:val="00837CE1"/>
    <w:rsid w:val="00837D93"/>
    <w:rsid w:val="00837DC4"/>
    <w:rsid w:val="00837E20"/>
    <w:rsid w:val="00837F15"/>
    <w:rsid w:val="00837F67"/>
    <w:rsid w:val="00837F81"/>
    <w:rsid w:val="00837FB9"/>
    <w:rsid w:val="00837FD2"/>
    <w:rsid w:val="00837FDB"/>
    <w:rsid w:val="00837FEC"/>
    <w:rsid w:val="00840003"/>
    <w:rsid w:val="00840007"/>
    <w:rsid w:val="0084005B"/>
    <w:rsid w:val="008400BB"/>
    <w:rsid w:val="008400C4"/>
    <w:rsid w:val="008400D3"/>
    <w:rsid w:val="008400E8"/>
    <w:rsid w:val="008400ED"/>
    <w:rsid w:val="00840101"/>
    <w:rsid w:val="00840107"/>
    <w:rsid w:val="0084014C"/>
    <w:rsid w:val="0084014D"/>
    <w:rsid w:val="0084023D"/>
    <w:rsid w:val="008402A4"/>
    <w:rsid w:val="008402B3"/>
    <w:rsid w:val="00840310"/>
    <w:rsid w:val="00840341"/>
    <w:rsid w:val="00840360"/>
    <w:rsid w:val="00840398"/>
    <w:rsid w:val="008403E5"/>
    <w:rsid w:val="008403EA"/>
    <w:rsid w:val="00840486"/>
    <w:rsid w:val="008404B3"/>
    <w:rsid w:val="00840542"/>
    <w:rsid w:val="00840556"/>
    <w:rsid w:val="0084056C"/>
    <w:rsid w:val="0084056E"/>
    <w:rsid w:val="00840577"/>
    <w:rsid w:val="00840594"/>
    <w:rsid w:val="0084059B"/>
    <w:rsid w:val="008405F1"/>
    <w:rsid w:val="00840616"/>
    <w:rsid w:val="00840641"/>
    <w:rsid w:val="0084066C"/>
    <w:rsid w:val="008406D0"/>
    <w:rsid w:val="008406E4"/>
    <w:rsid w:val="0084070E"/>
    <w:rsid w:val="00840722"/>
    <w:rsid w:val="0084072C"/>
    <w:rsid w:val="008407A4"/>
    <w:rsid w:val="008407BF"/>
    <w:rsid w:val="00840870"/>
    <w:rsid w:val="00840885"/>
    <w:rsid w:val="008408A9"/>
    <w:rsid w:val="00840924"/>
    <w:rsid w:val="00840A23"/>
    <w:rsid w:val="00840AE6"/>
    <w:rsid w:val="00840AF3"/>
    <w:rsid w:val="00840AFE"/>
    <w:rsid w:val="00840B65"/>
    <w:rsid w:val="00840B72"/>
    <w:rsid w:val="00840B7C"/>
    <w:rsid w:val="00840BCD"/>
    <w:rsid w:val="00840BD0"/>
    <w:rsid w:val="00840BD9"/>
    <w:rsid w:val="00840BF3"/>
    <w:rsid w:val="00840C87"/>
    <w:rsid w:val="00840CF8"/>
    <w:rsid w:val="00840D0D"/>
    <w:rsid w:val="00840DB3"/>
    <w:rsid w:val="00840DC4"/>
    <w:rsid w:val="00840DC7"/>
    <w:rsid w:val="00840DDB"/>
    <w:rsid w:val="00840F19"/>
    <w:rsid w:val="00840F9D"/>
    <w:rsid w:val="008410D3"/>
    <w:rsid w:val="008410FD"/>
    <w:rsid w:val="00841182"/>
    <w:rsid w:val="008411B2"/>
    <w:rsid w:val="008411BD"/>
    <w:rsid w:val="00841221"/>
    <w:rsid w:val="00841262"/>
    <w:rsid w:val="00841265"/>
    <w:rsid w:val="00841277"/>
    <w:rsid w:val="008412A0"/>
    <w:rsid w:val="008412BD"/>
    <w:rsid w:val="008412F6"/>
    <w:rsid w:val="00841384"/>
    <w:rsid w:val="008413A1"/>
    <w:rsid w:val="008413F1"/>
    <w:rsid w:val="008413F5"/>
    <w:rsid w:val="008413F6"/>
    <w:rsid w:val="0084150D"/>
    <w:rsid w:val="00841552"/>
    <w:rsid w:val="00841592"/>
    <w:rsid w:val="008415BE"/>
    <w:rsid w:val="008415FB"/>
    <w:rsid w:val="0084167F"/>
    <w:rsid w:val="00841687"/>
    <w:rsid w:val="0084170F"/>
    <w:rsid w:val="0084171F"/>
    <w:rsid w:val="00841778"/>
    <w:rsid w:val="008417D7"/>
    <w:rsid w:val="008417EE"/>
    <w:rsid w:val="008417F9"/>
    <w:rsid w:val="00841802"/>
    <w:rsid w:val="008418A1"/>
    <w:rsid w:val="008418BE"/>
    <w:rsid w:val="008418BF"/>
    <w:rsid w:val="008418C9"/>
    <w:rsid w:val="008418EC"/>
    <w:rsid w:val="00841921"/>
    <w:rsid w:val="00841949"/>
    <w:rsid w:val="00841993"/>
    <w:rsid w:val="008419C1"/>
    <w:rsid w:val="008419C6"/>
    <w:rsid w:val="008419F0"/>
    <w:rsid w:val="00841A39"/>
    <w:rsid w:val="00841B51"/>
    <w:rsid w:val="00841B69"/>
    <w:rsid w:val="00841B91"/>
    <w:rsid w:val="00841BA6"/>
    <w:rsid w:val="00841BE8"/>
    <w:rsid w:val="00841C4B"/>
    <w:rsid w:val="00841CC1"/>
    <w:rsid w:val="00841D12"/>
    <w:rsid w:val="00841D20"/>
    <w:rsid w:val="00841D61"/>
    <w:rsid w:val="00841D93"/>
    <w:rsid w:val="00841DDC"/>
    <w:rsid w:val="00841E01"/>
    <w:rsid w:val="00841E82"/>
    <w:rsid w:val="00841EDC"/>
    <w:rsid w:val="00841F32"/>
    <w:rsid w:val="00841FAE"/>
    <w:rsid w:val="00842028"/>
    <w:rsid w:val="0084208D"/>
    <w:rsid w:val="008420DC"/>
    <w:rsid w:val="0084214D"/>
    <w:rsid w:val="00842187"/>
    <w:rsid w:val="00842188"/>
    <w:rsid w:val="00842192"/>
    <w:rsid w:val="008421C7"/>
    <w:rsid w:val="00842240"/>
    <w:rsid w:val="00842288"/>
    <w:rsid w:val="00842294"/>
    <w:rsid w:val="008422BD"/>
    <w:rsid w:val="008422D2"/>
    <w:rsid w:val="0084239F"/>
    <w:rsid w:val="008423AB"/>
    <w:rsid w:val="008424A2"/>
    <w:rsid w:val="008424F8"/>
    <w:rsid w:val="0084250E"/>
    <w:rsid w:val="00842589"/>
    <w:rsid w:val="00842594"/>
    <w:rsid w:val="008425C3"/>
    <w:rsid w:val="00842661"/>
    <w:rsid w:val="008426DF"/>
    <w:rsid w:val="00842701"/>
    <w:rsid w:val="00842781"/>
    <w:rsid w:val="008427AA"/>
    <w:rsid w:val="00842820"/>
    <w:rsid w:val="00842825"/>
    <w:rsid w:val="0084285D"/>
    <w:rsid w:val="00842899"/>
    <w:rsid w:val="0084289A"/>
    <w:rsid w:val="008428B4"/>
    <w:rsid w:val="00842924"/>
    <w:rsid w:val="00842934"/>
    <w:rsid w:val="0084293A"/>
    <w:rsid w:val="00842944"/>
    <w:rsid w:val="00842958"/>
    <w:rsid w:val="00842A48"/>
    <w:rsid w:val="00842ABE"/>
    <w:rsid w:val="00842AC1"/>
    <w:rsid w:val="00842B26"/>
    <w:rsid w:val="00842B3A"/>
    <w:rsid w:val="00842B3C"/>
    <w:rsid w:val="00842C86"/>
    <w:rsid w:val="00842C9F"/>
    <w:rsid w:val="00842D12"/>
    <w:rsid w:val="00842D24"/>
    <w:rsid w:val="00842D90"/>
    <w:rsid w:val="00842DF2"/>
    <w:rsid w:val="00842E02"/>
    <w:rsid w:val="00842E76"/>
    <w:rsid w:val="00842EE6"/>
    <w:rsid w:val="00842F23"/>
    <w:rsid w:val="00842F28"/>
    <w:rsid w:val="00842F67"/>
    <w:rsid w:val="00842F8A"/>
    <w:rsid w:val="00842FE1"/>
    <w:rsid w:val="00843004"/>
    <w:rsid w:val="00843039"/>
    <w:rsid w:val="0084304F"/>
    <w:rsid w:val="00843078"/>
    <w:rsid w:val="0084315A"/>
    <w:rsid w:val="00843165"/>
    <w:rsid w:val="008431EA"/>
    <w:rsid w:val="00843211"/>
    <w:rsid w:val="0084325E"/>
    <w:rsid w:val="008432B5"/>
    <w:rsid w:val="00843319"/>
    <w:rsid w:val="00843341"/>
    <w:rsid w:val="0084337B"/>
    <w:rsid w:val="0084339C"/>
    <w:rsid w:val="00843461"/>
    <w:rsid w:val="008434F8"/>
    <w:rsid w:val="00843523"/>
    <w:rsid w:val="0084358A"/>
    <w:rsid w:val="008435B0"/>
    <w:rsid w:val="0084364A"/>
    <w:rsid w:val="00843684"/>
    <w:rsid w:val="00843722"/>
    <w:rsid w:val="00843791"/>
    <w:rsid w:val="008437F1"/>
    <w:rsid w:val="0084381B"/>
    <w:rsid w:val="00843836"/>
    <w:rsid w:val="00843859"/>
    <w:rsid w:val="00843861"/>
    <w:rsid w:val="0084387F"/>
    <w:rsid w:val="00843883"/>
    <w:rsid w:val="00843890"/>
    <w:rsid w:val="008438A6"/>
    <w:rsid w:val="0084396B"/>
    <w:rsid w:val="00843994"/>
    <w:rsid w:val="008439A1"/>
    <w:rsid w:val="00843A61"/>
    <w:rsid w:val="00843A95"/>
    <w:rsid w:val="00843B4B"/>
    <w:rsid w:val="00843B4F"/>
    <w:rsid w:val="00843B8F"/>
    <w:rsid w:val="00843BE1"/>
    <w:rsid w:val="00843BF2"/>
    <w:rsid w:val="00843C4C"/>
    <w:rsid w:val="00843CC3"/>
    <w:rsid w:val="00843D04"/>
    <w:rsid w:val="00843D09"/>
    <w:rsid w:val="00843D17"/>
    <w:rsid w:val="00843D1D"/>
    <w:rsid w:val="00843D49"/>
    <w:rsid w:val="00843D7C"/>
    <w:rsid w:val="00843DA6"/>
    <w:rsid w:val="00843DD0"/>
    <w:rsid w:val="00843DD9"/>
    <w:rsid w:val="00843DE1"/>
    <w:rsid w:val="00843E1D"/>
    <w:rsid w:val="00843E1F"/>
    <w:rsid w:val="00843E83"/>
    <w:rsid w:val="00843EAB"/>
    <w:rsid w:val="00843EBB"/>
    <w:rsid w:val="00843ECF"/>
    <w:rsid w:val="00843EEA"/>
    <w:rsid w:val="00843F0F"/>
    <w:rsid w:val="00843F1E"/>
    <w:rsid w:val="00843F78"/>
    <w:rsid w:val="00843FAD"/>
    <w:rsid w:val="00843FF9"/>
    <w:rsid w:val="00843FFF"/>
    <w:rsid w:val="00844000"/>
    <w:rsid w:val="0084401E"/>
    <w:rsid w:val="008440BA"/>
    <w:rsid w:val="008440D0"/>
    <w:rsid w:val="008440E1"/>
    <w:rsid w:val="00844165"/>
    <w:rsid w:val="00844209"/>
    <w:rsid w:val="0084421C"/>
    <w:rsid w:val="00844220"/>
    <w:rsid w:val="008442E8"/>
    <w:rsid w:val="008442FD"/>
    <w:rsid w:val="00844357"/>
    <w:rsid w:val="00844374"/>
    <w:rsid w:val="0084437F"/>
    <w:rsid w:val="00844382"/>
    <w:rsid w:val="00844402"/>
    <w:rsid w:val="00844499"/>
    <w:rsid w:val="008444C0"/>
    <w:rsid w:val="008445DA"/>
    <w:rsid w:val="0084468D"/>
    <w:rsid w:val="008446D7"/>
    <w:rsid w:val="00844702"/>
    <w:rsid w:val="0084472E"/>
    <w:rsid w:val="008447AC"/>
    <w:rsid w:val="008447BA"/>
    <w:rsid w:val="008447EE"/>
    <w:rsid w:val="0084481F"/>
    <w:rsid w:val="0084485A"/>
    <w:rsid w:val="008448C3"/>
    <w:rsid w:val="0084492D"/>
    <w:rsid w:val="0084495C"/>
    <w:rsid w:val="0084496D"/>
    <w:rsid w:val="008449E1"/>
    <w:rsid w:val="00844A22"/>
    <w:rsid w:val="00844A6A"/>
    <w:rsid w:val="00844A9C"/>
    <w:rsid w:val="00844B47"/>
    <w:rsid w:val="00844BB3"/>
    <w:rsid w:val="00844C0C"/>
    <w:rsid w:val="00844CF8"/>
    <w:rsid w:val="00844D5B"/>
    <w:rsid w:val="00844DAD"/>
    <w:rsid w:val="00844E00"/>
    <w:rsid w:val="00844E09"/>
    <w:rsid w:val="00844E21"/>
    <w:rsid w:val="00844E2F"/>
    <w:rsid w:val="00844E4C"/>
    <w:rsid w:val="00844E68"/>
    <w:rsid w:val="00844EF7"/>
    <w:rsid w:val="00844F2D"/>
    <w:rsid w:val="00844F77"/>
    <w:rsid w:val="00844FB7"/>
    <w:rsid w:val="00844FCD"/>
    <w:rsid w:val="0084504A"/>
    <w:rsid w:val="008450D7"/>
    <w:rsid w:val="00845125"/>
    <w:rsid w:val="0084516B"/>
    <w:rsid w:val="008451AE"/>
    <w:rsid w:val="00845245"/>
    <w:rsid w:val="0084525A"/>
    <w:rsid w:val="0084528B"/>
    <w:rsid w:val="008452B1"/>
    <w:rsid w:val="00845386"/>
    <w:rsid w:val="00845390"/>
    <w:rsid w:val="008453D2"/>
    <w:rsid w:val="008453FB"/>
    <w:rsid w:val="0084545E"/>
    <w:rsid w:val="0084549D"/>
    <w:rsid w:val="00845503"/>
    <w:rsid w:val="00845580"/>
    <w:rsid w:val="00845598"/>
    <w:rsid w:val="008455A0"/>
    <w:rsid w:val="008455CB"/>
    <w:rsid w:val="00845625"/>
    <w:rsid w:val="00845641"/>
    <w:rsid w:val="00845677"/>
    <w:rsid w:val="00845725"/>
    <w:rsid w:val="00845727"/>
    <w:rsid w:val="00845755"/>
    <w:rsid w:val="00845760"/>
    <w:rsid w:val="008457B1"/>
    <w:rsid w:val="008457E8"/>
    <w:rsid w:val="008458CE"/>
    <w:rsid w:val="008458F6"/>
    <w:rsid w:val="00845914"/>
    <w:rsid w:val="00845934"/>
    <w:rsid w:val="00845938"/>
    <w:rsid w:val="008459CE"/>
    <w:rsid w:val="00845A2D"/>
    <w:rsid w:val="00845A36"/>
    <w:rsid w:val="00845A3E"/>
    <w:rsid w:val="00845A7E"/>
    <w:rsid w:val="00845AC0"/>
    <w:rsid w:val="00845B37"/>
    <w:rsid w:val="00845B4C"/>
    <w:rsid w:val="00845C5A"/>
    <w:rsid w:val="00845C62"/>
    <w:rsid w:val="00845CFB"/>
    <w:rsid w:val="00845D6F"/>
    <w:rsid w:val="00845DBC"/>
    <w:rsid w:val="00845DED"/>
    <w:rsid w:val="00845E11"/>
    <w:rsid w:val="00845E75"/>
    <w:rsid w:val="00845EA0"/>
    <w:rsid w:val="00845EAC"/>
    <w:rsid w:val="00845F61"/>
    <w:rsid w:val="00845FB0"/>
    <w:rsid w:val="00846026"/>
    <w:rsid w:val="00846047"/>
    <w:rsid w:val="0084609D"/>
    <w:rsid w:val="0084609F"/>
    <w:rsid w:val="008460B9"/>
    <w:rsid w:val="008460F0"/>
    <w:rsid w:val="008461E2"/>
    <w:rsid w:val="008461FE"/>
    <w:rsid w:val="00846221"/>
    <w:rsid w:val="008462BB"/>
    <w:rsid w:val="00846378"/>
    <w:rsid w:val="00846390"/>
    <w:rsid w:val="008463F9"/>
    <w:rsid w:val="008464DE"/>
    <w:rsid w:val="008464EB"/>
    <w:rsid w:val="00846500"/>
    <w:rsid w:val="0084650D"/>
    <w:rsid w:val="0084656E"/>
    <w:rsid w:val="008465DB"/>
    <w:rsid w:val="00846636"/>
    <w:rsid w:val="00846647"/>
    <w:rsid w:val="00846662"/>
    <w:rsid w:val="0084668F"/>
    <w:rsid w:val="008466A5"/>
    <w:rsid w:val="008466AD"/>
    <w:rsid w:val="0084672A"/>
    <w:rsid w:val="0084672E"/>
    <w:rsid w:val="00846758"/>
    <w:rsid w:val="00846765"/>
    <w:rsid w:val="0084677C"/>
    <w:rsid w:val="0084685D"/>
    <w:rsid w:val="00846861"/>
    <w:rsid w:val="008468A6"/>
    <w:rsid w:val="0084696D"/>
    <w:rsid w:val="00846990"/>
    <w:rsid w:val="008469DD"/>
    <w:rsid w:val="00846A37"/>
    <w:rsid w:val="00846A67"/>
    <w:rsid w:val="00846A8A"/>
    <w:rsid w:val="00846AE6"/>
    <w:rsid w:val="00846B55"/>
    <w:rsid w:val="00846B86"/>
    <w:rsid w:val="00846BBF"/>
    <w:rsid w:val="00846C1D"/>
    <w:rsid w:val="00846C2B"/>
    <w:rsid w:val="00846C42"/>
    <w:rsid w:val="00846CD8"/>
    <w:rsid w:val="00846CDC"/>
    <w:rsid w:val="00846D34"/>
    <w:rsid w:val="00846D75"/>
    <w:rsid w:val="00846D76"/>
    <w:rsid w:val="00846D8C"/>
    <w:rsid w:val="00846EC9"/>
    <w:rsid w:val="00846F25"/>
    <w:rsid w:val="00846F42"/>
    <w:rsid w:val="00846FA0"/>
    <w:rsid w:val="00846FB9"/>
    <w:rsid w:val="00846FBE"/>
    <w:rsid w:val="0084700E"/>
    <w:rsid w:val="0084703F"/>
    <w:rsid w:val="0084707C"/>
    <w:rsid w:val="008470DA"/>
    <w:rsid w:val="008470E1"/>
    <w:rsid w:val="00847101"/>
    <w:rsid w:val="00847155"/>
    <w:rsid w:val="00847200"/>
    <w:rsid w:val="00847216"/>
    <w:rsid w:val="00847254"/>
    <w:rsid w:val="00847258"/>
    <w:rsid w:val="00847271"/>
    <w:rsid w:val="008472C4"/>
    <w:rsid w:val="008472F4"/>
    <w:rsid w:val="0084731C"/>
    <w:rsid w:val="00847329"/>
    <w:rsid w:val="0084732C"/>
    <w:rsid w:val="008473E8"/>
    <w:rsid w:val="00847440"/>
    <w:rsid w:val="0084744E"/>
    <w:rsid w:val="00847457"/>
    <w:rsid w:val="008474AA"/>
    <w:rsid w:val="008474B3"/>
    <w:rsid w:val="008474F9"/>
    <w:rsid w:val="00847513"/>
    <w:rsid w:val="00847569"/>
    <w:rsid w:val="008475B2"/>
    <w:rsid w:val="00847644"/>
    <w:rsid w:val="00847664"/>
    <w:rsid w:val="008476AF"/>
    <w:rsid w:val="008476F8"/>
    <w:rsid w:val="00847708"/>
    <w:rsid w:val="0084773B"/>
    <w:rsid w:val="00847796"/>
    <w:rsid w:val="008477DB"/>
    <w:rsid w:val="008477F6"/>
    <w:rsid w:val="00847828"/>
    <w:rsid w:val="008478A8"/>
    <w:rsid w:val="008478B6"/>
    <w:rsid w:val="008478BB"/>
    <w:rsid w:val="008478D6"/>
    <w:rsid w:val="0084796C"/>
    <w:rsid w:val="0084799B"/>
    <w:rsid w:val="008479A1"/>
    <w:rsid w:val="00847A0E"/>
    <w:rsid w:val="00847A2B"/>
    <w:rsid w:val="00847A69"/>
    <w:rsid w:val="00847A6E"/>
    <w:rsid w:val="00847A86"/>
    <w:rsid w:val="00847AAC"/>
    <w:rsid w:val="00847ADF"/>
    <w:rsid w:val="00847B2D"/>
    <w:rsid w:val="00847B2F"/>
    <w:rsid w:val="00847B60"/>
    <w:rsid w:val="00847B7A"/>
    <w:rsid w:val="00847B97"/>
    <w:rsid w:val="00847BD7"/>
    <w:rsid w:val="00847C17"/>
    <w:rsid w:val="00847C77"/>
    <w:rsid w:val="00847C78"/>
    <w:rsid w:val="00847CCB"/>
    <w:rsid w:val="00847CDF"/>
    <w:rsid w:val="00847D02"/>
    <w:rsid w:val="00847D5B"/>
    <w:rsid w:val="00847DAD"/>
    <w:rsid w:val="00847DC0"/>
    <w:rsid w:val="00847E3B"/>
    <w:rsid w:val="00847E5F"/>
    <w:rsid w:val="00847E82"/>
    <w:rsid w:val="00847E9E"/>
    <w:rsid w:val="00847EDB"/>
    <w:rsid w:val="00847EDF"/>
    <w:rsid w:val="00847EE1"/>
    <w:rsid w:val="00847EF5"/>
    <w:rsid w:val="00847F09"/>
    <w:rsid w:val="00847F4B"/>
    <w:rsid w:val="00847F58"/>
    <w:rsid w:val="00847F91"/>
    <w:rsid w:val="00847FC3"/>
    <w:rsid w:val="00847FDE"/>
    <w:rsid w:val="00847FE0"/>
    <w:rsid w:val="00850022"/>
    <w:rsid w:val="00850032"/>
    <w:rsid w:val="00850037"/>
    <w:rsid w:val="0085005A"/>
    <w:rsid w:val="00850062"/>
    <w:rsid w:val="00850099"/>
    <w:rsid w:val="008500AA"/>
    <w:rsid w:val="0085010C"/>
    <w:rsid w:val="00850139"/>
    <w:rsid w:val="008501B3"/>
    <w:rsid w:val="008501C6"/>
    <w:rsid w:val="00850202"/>
    <w:rsid w:val="0085023F"/>
    <w:rsid w:val="008502BA"/>
    <w:rsid w:val="0085030C"/>
    <w:rsid w:val="0085031E"/>
    <w:rsid w:val="0085032D"/>
    <w:rsid w:val="0085038E"/>
    <w:rsid w:val="008503A2"/>
    <w:rsid w:val="008503A5"/>
    <w:rsid w:val="008503E3"/>
    <w:rsid w:val="0085040B"/>
    <w:rsid w:val="00850488"/>
    <w:rsid w:val="008504EC"/>
    <w:rsid w:val="008505A1"/>
    <w:rsid w:val="0085060B"/>
    <w:rsid w:val="00850633"/>
    <w:rsid w:val="0085064C"/>
    <w:rsid w:val="008506A1"/>
    <w:rsid w:val="0085073E"/>
    <w:rsid w:val="00850773"/>
    <w:rsid w:val="00850783"/>
    <w:rsid w:val="0085079F"/>
    <w:rsid w:val="008507A4"/>
    <w:rsid w:val="008507ED"/>
    <w:rsid w:val="0085083D"/>
    <w:rsid w:val="008508A1"/>
    <w:rsid w:val="00850940"/>
    <w:rsid w:val="008509A7"/>
    <w:rsid w:val="008509B0"/>
    <w:rsid w:val="008509CA"/>
    <w:rsid w:val="008509CF"/>
    <w:rsid w:val="008509D6"/>
    <w:rsid w:val="00850A3B"/>
    <w:rsid w:val="00850A49"/>
    <w:rsid w:val="00850AA5"/>
    <w:rsid w:val="00850AD7"/>
    <w:rsid w:val="00850BCA"/>
    <w:rsid w:val="00850C75"/>
    <w:rsid w:val="00850C92"/>
    <w:rsid w:val="00850CB4"/>
    <w:rsid w:val="00850D2E"/>
    <w:rsid w:val="00850D3D"/>
    <w:rsid w:val="00850D46"/>
    <w:rsid w:val="00850E0D"/>
    <w:rsid w:val="00850E79"/>
    <w:rsid w:val="00850EA8"/>
    <w:rsid w:val="00850EF2"/>
    <w:rsid w:val="00850EFA"/>
    <w:rsid w:val="00850F04"/>
    <w:rsid w:val="00850F55"/>
    <w:rsid w:val="00850F67"/>
    <w:rsid w:val="00850F6A"/>
    <w:rsid w:val="00850FAC"/>
    <w:rsid w:val="00850FDF"/>
    <w:rsid w:val="0085101D"/>
    <w:rsid w:val="0085102D"/>
    <w:rsid w:val="00851046"/>
    <w:rsid w:val="00851077"/>
    <w:rsid w:val="008510D1"/>
    <w:rsid w:val="00851104"/>
    <w:rsid w:val="0085110E"/>
    <w:rsid w:val="00851131"/>
    <w:rsid w:val="00851177"/>
    <w:rsid w:val="008511BA"/>
    <w:rsid w:val="0085120D"/>
    <w:rsid w:val="0085127A"/>
    <w:rsid w:val="008512DC"/>
    <w:rsid w:val="00851355"/>
    <w:rsid w:val="00851398"/>
    <w:rsid w:val="008513AA"/>
    <w:rsid w:val="00851448"/>
    <w:rsid w:val="0085146C"/>
    <w:rsid w:val="00851480"/>
    <w:rsid w:val="0085148A"/>
    <w:rsid w:val="008514BE"/>
    <w:rsid w:val="00851553"/>
    <w:rsid w:val="00851570"/>
    <w:rsid w:val="00851593"/>
    <w:rsid w:val="008515C5"/>
    <w:rsid w:val="00851619"/>
    <w:rsid w:val="00851640"/>
    <w:rsid w:val="00851659"/>
    <w:rsid w:val="00851681"/>
    <w:rsid w:val="008516B2"/>
    <w:rsid w:val="008516F9"/>
    <w:rsid w:val="00851739"/>
    <w:rsid w:val="0085174D"/>
    <w:rsid w:val="00851773"/>
    <w:rsid w:val="00851781"/>
    <w:rsid w:val="0085183C"/>
    <w:rsid w:val="0085189A"/>
    <w:rsid w:val="0085189B"/>
    <w:rsid w:val="008518AC"/>
    <w:rsid w:val="008518BE"/>
    <w:rsid w:val="00851900"/>
    <w:rsid w:val="00851947"/>
    <w:rsid w:val="00851958"/>
    <w:rsid w:val="00851982"/>
    <w:rsid w:val="00851984"/>
    <w:rsid w:val="0085198B"/>
    <w:rsid w:val="008519D3"/>
    <w:rsid w:val="00851A29"/>
    <w:rsid w:val="00851A2D"/>
    <w:rsid w:val="00851A52"/>
    <w:rsid w:val="00851A5F"/>
    <w:rsid w:val="00851AB8"/>
    <w:rsid w:val="00851AC2"/>
    <w:rsid w:val="00851AC5"/>
    <w:rsid w:val="00851AC8"/>
    <w:rsid w:val="00851AD4"/>
    <w:rsid w:val="00851B28"/>
    <w:rsid w:val="00851B4A"/>
    <w:rsid w:val="00851BA4"/>
    <w:rsid w:val="00851BF1"/>
    <w:rsid w:val="00851C0E"/>
    <w:rsid w:val="00851C35"/>
    <w:rsid w:val="00851D26"/>
    <w:rsid w:val="00851DB0"/>
    <w:rsid w:val="00851EB2"/>
    <w:rsid w:val="00851EF5"/>
    <w:rsid w:val="00851F00"/>
    <w:rsid w:val="00852003"/>
    <w:rsid w:val="0085202F"/>
    <w:rsid w:val="00852103"/>
    <w:rsid w:val="0085212D"/>
    <w:rsid w:val="00852146"/>
    <w:rsid w:val="00852194"/>
    <w:rsid w:val="0085221E"/>
    <w:rsid w:val="00852221"/>
    <w:rsid w:val="00852266"/>
    <w:rsid w:val="008522E6"/>
    <w:rsid w:val="008523D8"/>
    <w:rsid w:val="008523DE"/>
    <w:rsid w:val="00852401"/>
    <w:rsid w:val="00852417"/>
    <w:rsid w:val="00852440"/>
    <w:rsid w:val="008524A6"/>
    <w:rsid w:val="0085250F"/>
    <w:rsid w:val="0085269B"/>
    <w:rsid w:val="0085269E"/>
    <w:rsid w:val="00852710"/>
    <w:rsid w:val="0085272A"/>
    <w:rsid w:val="008527CD"/>
    <w:rsid w:val="008527F1"/>
    <w:rsid w:val="00852830"/>
    <w:rsid w:val="008528BA"/>
    <w:rsid w:val="00852913"/>
    <w:rsid w:val="00852918"/>
    <w:rsid w:val="00852931"/>
    <w:rsid w:val="00852936"/>
    <w:rsid w:val="00852964"/>
    <w:rsid w:val="00852989"/>
    <w:rsid w:val="0085298E"/>
    <w:rsid w:val="00852A0B"/>
    <w:rsid w:val="00852AA0"/>
    <w:rsid w:val="00852AD9"/>
    <w:rsid w:val="00852AE6"/>
    <w:rsid w:val="00852B11"/>
    <w:rsid w:val="00852B2E"/>
    <w:rsid w:val="00852B7C"/>
    <w:rsid w:val="00852BB0"/>
    <w:rsid w:val="00852C00"/>
    <w:rsid w:val="00852C09"/>
    <w:rsid w:val="00852C30"/>
    <w:rsid w:val="00852CB5"/>
    <w:rsid w:val="00852CC6"/>
    <w:rsid w:val="00852D37"/>
    <w:rsid w:val="00852E9B"/>
    <w:rsid w:val="00852EA5"/>
    <w:rsid w:val="00852F5C"/>
    <w:rsid w:val="00852F6B"/>
    <w:rsid w:val="00852F97"/>
    <w:rsid w:val="00853026"/>
    <w:rsid w:val="00853065"/>
    <w:rsid w:val="0085311E"/>
    <w:rsid w:val="0085317C"/>
    <w:rsid w:val="00853193"/>
    <w:rsid w:val="008531BF"/>
    <w:rsid w:val="008531DE"/>
    <w:rsid w:val="00853217"/>
    <w:rsid w:val="0085321D"/>
    <w:rsid w:val="0085323B"/>
    <w:rsid w:val="008532CD"/>
    <w:rsid w:val="008532DC"/>
    <w:rsid w:val="008532E4"/>
    <w:rsid w:val="008532E7"/>
    <w:rsid w:val="0085333A"/>
    <w:rsid w:val="00853381"/>
    <w:rsid w:val="008533AE"/>
    <w:rsid w:val="0085341F"/>
    <w:rsid w:val="00853427"/>
    <w:rsid w:val="0085345D"/>
    <w:rsid w:val="0085346A"/>
    <w:rsid w:val="008534C1"/>
    <w:rsid w:val="0085350D"/>
    <w:rsid w:val="0085355A"/>
    <w:rsid w:val="00853560"/>
    <w:rsid w:val="008535D0"/>
    <w:rsid w:val="00853611"/>
    <w:rsid w:val="00853619"/>
    <w:rsid w:val="008536F6"/>
    <w:rsid w:val="0085375E"/>
    <w:rsid w:val="00853793"/>
    <w:rsid w:val="008537E0"/>
    <w:rsid w:val="0085380D"/>
    <w:rsid w:val="00853828"/>
    <w:rsid w:val="0085387A"/>
    <w:rsid w:val="008538B7"/>
    <w:rsid w:val="008538DD"/>
    <w:rsid w:val="00853991"/>
    <w:rsid w:val="008539AA"/>
    <w:rsid w:val="008539AF"/>
    <w:rsid w:val="00853A49"/>
    <w:rsid w:val="00853A78"/>
    <w:rsid w:val="00853AE7"/>
    <w:rsid w:val="00853C24"/>
    <w:rsid w:val="00853C54"/>
    <w:rsid w:val="00853CCD"/>
    <w:rsid w:val="00853CE8"/>
    <w:rsid w:val="00853DC0"/>
    <w:rsid w:val="00853DDC"/>
    <w:rsid w:val="00853DE2"/>
    <w:rsid w:val="00853E3C"/>
    <w:rsid w:val="00853E58"/>
    <w:rsid w:val="00853E8A"/>
    <w:rsid w:val="00853EB6"/>
    <w:rsid w:val="00853EDB"/>
    <w:rsid w:val="00853EF3"/>
    <w:rsid w:val="00853F34"/>
    <w:rsid w:val="00853FA0"/>
    <w:rsid w:val="00853FC6"/>
    <w:rsid w:val="00853FCE"/>
    <w:rsid w:val="00854016"/>
    <w:rsid w:val="00854104"/>
    <w:rsid w:val="0085412E"/>
    <w:rsid w:val="00854169"/>
    <w:rsid w:val="0085418D"/>
    <w:rsid w:val="00854379"/>
    <w:rsid w:val="00854399"/>
    <w:rsid w:val="008543F1"/>
    <w:rsid w:val="00854459"/>
    <w:rsid w:val="0085447A"/>
    <w:rsid w:val="0085454C"/>
    <w:rsid w:val="0085460F"/>
    <w:rsid w:val="00854677"/>
    <w:rsid w:val="008546BE"/>
    <w:rsid w:val="00854724"/>
    <w:rsid w:val="0085472E"/>
    <w:rsid w:val="0085473F"/>
    <w:rsid w:val="0085479A"/>
    <w:rsid w:val="008547A4"/>
    <w:rsid w:val="008547DC"/>
    <w:rsid w:val="008547E8"/>
    <w:rsid w:val="0085483D"/>
    <w:rsid w:val="0085490C"/>
    <w:rsid w:val="00854948"/>
    <w:rsid w:val="0085495F"/>
    <w:rsid w:val="00854A2B"/>
    <w:rsid w:val="00854A6D"/>
    <w:rsid w:val="00854A72"/>
    <w:rsid w:val="00854A9F"/>
    <w:rsid w:val="00854AC4"/>
    <w:rsid w:val="00854ADD"/>
    <w:rsid w:val="00854B0B"/>
    <w:rsid w:val="00854B4F"/>
    <w:rsid w:val="00854B77"/>
    <w:rsid w:val="00854B83"/>
    <w:rsid w:val="00854BDC"/>
    <w:rsid w:val="00854C8C"/>
    <w:rsid w:val="00854CE0"/>
    <w:rsid w:val="00854D0D"/>
    <w:rsid w:val="00854D14"/>
    <w:rsid w:val="00854D65"/>
    <w:rsid w:val="00854D93"/>
    <w:rsid w:val="00854E04"/>
    <w:rsid w:val="00854E2B"/>
    <w:rsid w:val="00854E62"/>
    <w:rsid w:val="00854E98"/>
    <w:rsid w:val="00854EF0"/>
    <w:rsid w:val="00854F2F"/>
    <w:rsid w:val="00854F55"/>
    <w:rsid w:val="00854F63"/>
    <w:rsid w:val="00854FDD"/>
    <w:rsid w:val="00855031"/>
    <w:rsid w:val="00855045"/>
    <w:rsid w:val="00855079"/>
    <w:rsid w:val="00855085"/>
    <w:rsid w:val="008550AC"/>
    <w:rsid w:val="008550B3"/>
    <w:rsid w:val="008550F8"/>
    <w:rsid w:val="0085513F"/>
    <w:rsid w:val="00855168"/>
    <w:rsid w:val="008551B2"/>
    <w:rsid w:val="008551BC"/>
    <w:rsid w:val="008551D9"/>
    <w:rsid w:val="00855219"/>
    <w:rsid w:val="0085529A"/>
    <w:rsid w:val="008552E8"/>
    <w:rsid w:val="00855392"/>
    <w:rsid w:val="008553B4"/>
    <w:rsid w:val="008554AD"/>
    <w:rsid w:val="0085561A"/>
    <w:rsid w:val="0085566D"/>
    <w:rsid w:val="00855678"/>
    <w:rsid w:val="008556AA"/>
    <w:rsid w:val="008556B0"/>
    <w:rsid w:val="008556D8"/>
    <w:rsid w:val="008556F3"/>
    <w:rsid w:val="00855737"/>
    <w:rsid w:val="0085575E"/>
    <w:rsid w:val="0085576A"/>
    <w:rsid w:val="008557A6"/>
    <w:rsid w:val="008557B9"/>
    <w:rsid w:val="008557E9"/>
    <w:rsid w:val="008557FB"/>
    <w:rsid w:val="00855807"/>
    <w:rsid w:val="00855818"/>
    <w:rsid w:val="00855874"/>
    <w:rsid w:val="00855882"/>
    <w:rsid w:val="00855916"/>
    <w:rsid w:val="0085591E"/>
    <w:rsid w:val="0085593C"/>
    <w:rsid w:val="008559A8"/>
    <w:rsid w:val="008559E0"/>
    <w:rsid w:val="00855A19"/>
    <w:rsid w:val="00855A2F"/>
    <w:rsid w:val="00855A99"/>
    <w:rsid w:val="00855BAD"/>
    <w:rsid w:val="00855BB6"/>
    <w:rsid w:val="00855BF3"/>
    <w:rsid w:val="00855C38"/>
    <w:rsid w:val="00855C3A"/>
    <w:rsid w:val="00855C50"/>
    <w:rsid w:val="00855C9A"/>
    <w:rsid w:val="00855CEA"/>
    <w:rsid w:val="00855CEC"/>
    <w:rsid w:val="00855D46"/>
    <w:rsid w:val="00855D5B"/>
    <w:rsid w:val="00855E82"/>
    <w:rsid w:val="00855EE9"/>
    <w:rsid w:val="00855F7B"/>
    <w:rsid w:val="00855FB2"/>
    <w:rsid w:val="00855FD0"/>
    <w:rsid w:val="00856020"/>
    <w:rsid w:val="00856026"/>
    <w:rsid w:val="00856065"/>
    <w:rsid w:val="008560B2"/>
    <w:rsid w:val="00856134"/>
    <w:rsid w:val="008561B1"/>
    <w:rsid w:val="00856299"/>
    <w:rsid w:val="00856306"/>
    <w:rsid w:val="00856311"/>
    <w:rsid w:val="00856347"/>
    <w:rsid w:val="008563D3"/>
    <w:rsid w:val="008563D6"/>
    <w:rsid w:val="0085647D"/>
    <w:rsid w:val="0085649C"/>
    <w:rsid w:val="008564B9"/>
    <w:rsid w:val="00856526"/>
    <w:rsid w:val="00856586"/>
    <w:rsid w:val="00856714"/>
    <w:rsid w:val="00856785"/>
    <w:rsid w:val="00856869"/>
    <w:rsid w:val="00856874"/>
    <w:rsid w:val="008568E9"/>
    <w:rsid w:val="00856908"/>
    <w:rsid w:val="0085690A"/>
    <w:rsid w:val="0085691D"/>
    <w:rsid w:val="00856937"/>
    <w:rsid w:val="0085697C"/>
    <w:rsid w:val="00856994"/>
    <w:rsid w:val="008569E0"/>
    <w:rsid w:val="00856AF6"/>
    <w:rsid w:val="00856AFF"/>
    <w:rsid w:val="00856B88"/>
    <w:rsid w:val="00856B9B"/>
    <w:rsid w:val="00856BAF"/>
    <w:rsid w:val="00856BCB"/>
    <w:rsid w:val="00856C21"/>
    <w:rsid w:val="00856C23"/>
    <w:rsid w:val="00856CEE"/>
    <w:rsid w:val="00856D36"/>
    <w:rsid w:val="00856D6A"/>
    <w:rsid w:val="00856D7B"/>
    <w:rsid w:val="00856E27"/>
    <w:rsid w:val="00856E3A"/>
    <w:rsid w:val="00856E7A"/>
    <w:rsid w:val="00856EB5"/>
    <w:rsid w:val="00856F77"/>
    <w:rsid w:val="0085702F"/>
    <w:rsid w:val="0085707C"/>
    <w:rsid w:val="00857084"/>
    <w:rsid w:val="008570D1"/>
    <w:rsid w:val="0085711E"/>
    <w:rsid w:val="0085716D"/>
    <w:rsid w:val="008571BB"/>
    <w:rsid w:val="00857251"/>
    <w:rsid w:val="008572A8"/>
    <w:rsid w:val="00857301"/>
    <w:rsid w:val="00857309"/>
    <w:rsid w:val="00857354"/>
    <w:rsid w:val="0085738C"/>
    <w:rsid w:val="008573A0"/>
    <w:rsid w:val="008573E3"/>
    <w:rsid w:val="00857470"/>
    <w:rsid w:val="008574D6"/>
    <w:rsid w:val="008574FC"/>
    <w:rsid w:val="0085756E"/>
    <w:rsid w:val="00857599"/>
    <w:rsid w:val="008575C4"/>
    <w:rsid w:val="008575C7"/>
    <w:rsid w:val="008575D7"/>
    <w:rsid w:val="00857626"/>
    <w:rsid w:val="008576A6"/>
    <w:rsid w:val="008576E7"/>
    <w:rsid w:val="00857718"/>
    <w:rsid w:val="0085776B"/>
    <w:rsid w:val="00857780"/>
    <w:rsid w:val="008577DA"/>
    <w:rsid w:val="008577EE"/>
    <w:rsid w:val="0085780E"/>
    <w:rsid w:val="00857823"/>
    <w:rsid w:val="00857831"/>
    <w:rsid w:val="00857867"/>
    <w:rsid w:val="00857897"/>
    <w:rsid w:val="008578C6"/>
    <w:rsid w:val="0085791B"/>
    <w:rsid w:val="00857948"/>
    <w:rsid w:val="0085797E"/>
    <w:rsid w:val="008579CF"/>
    <w:rsid w:val="00857A7C"/>
    <w:rsid w:val="00857B00"/>
    <w:rsid w:val="00857B31"/>
    <w:rsid w:val="00857B93"/>
    <w:rsid w:val="00857B9E"/>
    <w:rsid w:val="00857BBE"/>
    <w:rsid w:val="00857C39"/>
    <w:rsid w:val="00857C4A"/>
    <w:rsid w:val="00857D0B"/>
    <w:rsid w:val="00857D27"/>
    <w:rsid w:val="00857D41"/>
    <w:rsid w:val="00857D5B"/>
    <w:rsid w:val="00857D9D"/>
    <w:rsid w:val="00857DE7"/>
    <w:rsid w:val="00857EAD"/>
    <w:rsid w:val="00857ED1"/>
    <w:rsid w:val="00857F00"/>
    <w:rsid w:val="0086005B"/>
    <w:rsid w:val="0086009A"/>
    <w:rsid w:val="0086009B"/>
    <w:rsid w:val="008600D2"/>
    <w:rsid w:val="0086015A"/>
    <w:rsid w:val="008601C4"/>
    <w:rsid w:val="008601DD"/>
    <w:rsid w:val="008601F9"/>
    <w:rsid w:val="008602BC"/>
    <w:rsid w:val="00860305"/>
    <w:rsid w:val="00860340"/>
    <w:rsid w:val="0086035D"/>
    <w:rsid w:val="00860379"/>
    <w:rsid w:val="008603AB"/>
    <w:rsid w:val="008603B2"/>
    <w:rsid w:val="008603D8"/>
    <w:rsid w:val="0086042A"/>
    <w:rsid w:val="00860479"/>
    <w:rsid w:val="008604B3"/>
    <w:rsid w:val="008604B9"/>
    <w:rsid w:val="00860500"/>
    <w:rsid w:val="0086050E"/>
    <w:rsid w:val="0086053B"/>
    <w:rsid w:val="00860582"/>
    <w:rsid w:val="008605BF"/>
    <w:rsid w:val="008605DD"/>
    <w:rsid w:val="008605EC"/>
    <w:rsid w:val="008605EE"/>
    <w:rsid w:val="00860600"/>
    <w:rsid w:val="0086060B"/>
    <w:rsid w:val="00860624"/>
    <w:rsid w:val="00860663"/>
    <w:rsid w:val="00860676"/>
    <w:rsid w:val="008606BF"/>
    <w:rsid w:val="00860709"/>
    <w:rsid w:val="0086071C"/>
    <w:rsid w:val="008607DD"/>
    <w:rsid w:val="0086082A"/>
    <w:rsid w:val="00860849"/>
    <w:rsid w:val="00860934"/>
    <w:rsid w:val="00860946"/>
    <w:rsid w:val="00860975"/>
    <w:rsid w:val="00860995"/>
    <w:rsid w:val="008609A5"/>
    <w:rsid w:val="008609AC"/>
    <w:rsid w:val="008609BC"/>
    <w:rsid w:val="00860A04"/>
    <w:rsid w:val="00860A12"/>
    <w:rsid w:val="00860A18"/>
    <w:rsid w:val="00860A1E"/>
    <w:rsid w:val="00860A3E"/>
    <w:rsid w:val="00860AA4"/>
    <w:rsid w:val="00860AB5"/>
    <w:rsid w:val="00860BA7"/>
    <w:rsid w:val="00860BF3"/>
    <w:rsid w:val="00860CEE"/>
    <w:rsid w:val="00860D44"/>
    <w:rsid w:val="00860DD4"/>
    <w:rsid w:val="00860DE5"/>
    <w:rsid w:val="00860DF0"/>
    <w:rsid w:val="00860ED2"/>
    <w:rsid w:val="00860EDD"/>
    <w:rsid w:val="00860EDE"/>
    <w:rsid w:val="00860F56"/>
    <w:rsid w:val="00860F63"/>
    <w:rsid w:val="00860F75"/>
    <w:rsid w:val="00860FFA"/>
    <w:rsid w:val="00861016"/>
    <w:rsid w:val="00861030"/>
    <w:rsid w:val="00861041"/>
    <w:rsid w:val="00861046"/>
    <w:rsid w:val="00861074"/>
    <w:rsid w:val="008610B9"/>
    <w:rsid w:val="008610BA"/>
    <w:rsid w:val="008610FE"/>
    <w:rsid w:val="00861124"/>
    <w:rsid w:val="00861167"/>
    <w:rsid w:val="00861221"/>
    <w:rsid w:val="00861241"/>
    <w:rsid w:val="00861258"/>
    <w:rsid w:val="0086125D"/>
    <w:rsid w:val="00861262"/>
    <w:rsid w:val="0086126E"/>
    <w:rsid w:val="00861340"/>
    <w:rsid w:val="00861362"/>
    <w:rsid w:val="008613C4"/>
    <w:rsid w:val="00861406"/>
    <w:rsid w:val="00861444"/>
    <w:rsid w:val="00861460"/>
    <w:rsid w:val="008614F2"/>
    <w:rsid w:val="00861558"/>
    <w:rsid w:val="0086155A"/>
    <w:rsid w:val="0086157D"/>
    <w:rsid w:val="0086158A"/>
    <w:rsid w:val="00861592"/>
    <w:rsid w:val="00861601"/>
    <w:rsid w:val="0086167F"/>
    <w:rsid w:val="0086169C"/>
    <w:rsid w:val="008616A7"/>
    <w:rsid w:val="008616CB"/>
    <w:rsid w:val="0086171E"/>
    <w:rsid w:val="00861761"/>
    <w:rsid w:val="00861789"/>
    <w:rsid w:val="0086179F"/>
    <w:rsid w:val="008617B7"/>
    <w:rsid w:val="008617F6"/>
    <w:rsid w:val="0086182B"/>
    <w:rsid w:val="0086183A"/>
    <w:rsid w:val="008618FB"/>
    <w:rsid w:val="0086195B"/>
    <w:rsid w:val="00861982"/>
    <w:rsid w:val="008619CD"/>
    <w:rsid w:val="00861A54"/>
    <w:rsid w:val="00861A6E"/>
    <w:rsid w:val="00861AA9"/>
    <w:rsid w:val="00861ACC"/>
    <w:rsid w:val="00861AEE"/>
    <w:rsid w:val="00861B27"/>
    <w:rsid w:val="00861BA2"/>
    <w:rsid w:val="00861C1B"/>
    <w:rsid w:val="00861CC1"/>
    <w:rsid w:val="00861D0A"/>
    <w:rsid w:val="00861D28"/>
    <w:rsid w:val="00861D40"/>
    <w:rsid w:val="00861D7D"/>
    <w:rsid w:val="00861DDE"/>
    <w:rsid w:val="00861DEE"/>
    <w:rsid w:val="00861E11"/>
    <w:rsid w:val="00861ECE"/>
    <w:rsid w:val="00861ECF"/>
    <w:rsid w:val="00861EE6"/>
    <w:rsid w:val="00861EFF"/>
    <w:rsid w:val="00861F11"/>
    <w:rsid w:val="00861F2D"/>
    <w:rsid w:val="00861F4D"/>
    <w:rsid w:val="00861F90"/>
    <w:rsid w:val="008620AA"/>
    <w:rsid w:val="00862156"/>
    <w:rsid w:val="00862159"/>
    <w:rsid w:val="00862163"/>
    <w:rsid w:val="00862166"/>
    <w:rsid w:val="00862242"/>
    <w:rsid w:val="008622D9"/>
    <w:rsid w:val="008622DD"/>
    <w:rsid w:val="008622DF"/>
    <w:rsid w:val="00862321"/>
    <w:rsid w:val="00862364"/>
    <w:rsid w:val="00862377"/>
    <w:rsid w:val="008623A6"/>
    <w:rsid w:val="008623C1"/>
    <w:rsid w:val="008623C5"/>
    <w:rsid w:val="008623C7"/>
    <w:rsid w:val="0086243B"/>
    <w:rsid w:val="00862484"/>
    <w:rsid w:val="0086249C"/>
    <w:rsid w:val="008624D7"/>
    <w:rsid w:val="008624E9"/>
    <w:rsid w:val="008624F3"/>
    <w:rsid w:val="00862533"/>
    <w:rsid w:val="0086253D"/>
    <w:rsid w:val="00862581"/>
    <w:rsid w:val="00862584"/>
    <w:rsid w:val="008625DA"/>
    <w:rsid w:val="008625E5"/>
    <w:rsid w:val="0086262B"/>
    <w:rsid w:val="008626B6"/>
    <w:rsid w:val="00862755"/>
    <w:rsid w:val="0086276B"/>
    <w:rsid w:val="008627D6"/>
    <w:rsid w:val="00862800"/>
    <w:rsid w:val="00862835"/>
    <w:rsid w:val="00862843"/>
    <w:rsid w:val="00862918"/>
    <w:rsid w:val="0086297A"/>
    <w:rsid w:val="00862982"/>
    <w:rsid w:val="008629F5"/>
    <w:rsid w:val="00862A06"/>
    <w:rsid w:val="00862A20"/>
    <w:rsid w:val="00862A6F"/>
    <w:rsid w:val="00862A80"/>
    <w:rsid w:val="00862A82"/>
    <w:rsid w:val="00862A8C"/>
    <w:rsid w:val="00862AA6"/>
    <w:rsid w:val="00862AE5"/>
    <w:rsid w:val="00862B07"/>
    <w:rsid w:val="00862BC4"/>
    <w:rsid w:val="00862BF6"/>
    <w:rsid w:val="00862C64"/>
    <w:rsid w:val="00862CA6"/>
    <w:rsid w:val="00862CB5"/>
    <w:rsid w:val="00862D21"/>
    <w:rsid w:val="00862D87"/>
    <w:rsid w:val="00862DA1"/>
    <w:rsid w:val="00862DA2"/>
    <w:rsid w:val="00862DB4"/>
    <w:rsid w:val="00862EF8"/>
    <w:rsid w:val="00862F49"/>
    <w:rsid w:val="00862FC8"/>
    <w:rsid w:val="00862FFB"/>
    <w:rsid w:val="00863015"/>
    <w:rsid w:val="0086306A"/>
    <w:rsid w:val="00863097"/>
    <w:rsid w:val="008630D4"/>
    <w:rsid w:val="008630F2"/>
    <w:rsid w:val="00863107"/>
    <w:rsid w:val="00863128"/>
    <w:rsid w:val="0086312D"/>
    <w:rsid w:val="0086317B"/>
    <w:rsid w:val="0086317C"/>
    <w:rsid w:val="0086317D"/>
    <w:rsid w:val="00863211"/>
    <w:rsid w:val="0086321A"/>
    <w:rsid w:val="00863235"/>
    <w:rsid w:val="00863243"/>
    <w:rsid w:val="0086324D"/>
    <w:rsid w:val="008632D8"/>
    <w:rsid w:val="008632F0"/>
    <w:rsid w:val="008632FD"/>
    <w:rsid w:val="00863350"/>
    <w:rsid w:val="008633B3"/>
    <w:rsid w:val="00863403"/>
    <w:rsid w:val="00863467"/>
    <w:rsid w:val="00863545"/>
    <w:rsid w:val="00863570"/>
    <w:rsid w:val="008635CF"/>
    <w:rsid w:val="008635D2"/>
    <w:rsid w:val="008635E4"/>
    <w:rsid w:val="008635EA"/>
    <w:rsid w:val="008635F6"/>
    <w:rsid w:val="00863605"/>
    <w:rsid w:val="00863655"/>
    <w:rsid w:val="00863686"/>
    <w:rsid w:val="00863750"/>
    <w:rsid w:val="00863761"/>
    <w:rsid w:val="00863882"/>
    <w:rsid w:val="00863895"/>
    <w:rsid w:val="00863975"/>
    <w:rsid w:val="0086399D"/>
    <w:rsid w:val="008639BD"/>
    <w:rsid w:val="00863A04"/>
    <w:rsid w:val="00863A45"/>
    <w:rsid w:val="00863A63"/>
    <w:rsid w:val="00863A81"/>
    <w:rsid w:val="00863AC5"/>
    <w:rsid w:val="00863B08"/>
    <w:rsid w:val="00863B0A"/>
    <w:rsid w:val="00863B6A"/>
    <w:rsid w:val="00863BC1"/>
    <w:rsid w:val="00863BD6"/>
    <w:rsid w:val="00863C0E"/>
    <w:rsid w:val="00863C44"/>
    <w:rsid w:val="00863C75"/>
    <w:rsid w:val="00863C91"/>
    <w:rsid w:val="00863CB0"/>
    <w:rsid w:val="00863CBC"/>
    <w:rsid w:val="00863CCF"/>
    <w:rsid w:val="00863CD4"/>
    <w:rsid w:val="00863CFB"/>
    <w:rsid w:val="00863D0A"/>
    <w:rsid w:val="00863D55"/>
    <w:rsid w:val="00863D9B"/>
    <w:rsid w:val="00863DCF"/>
    <w:rsid w:val="00863DD7"/>
    <w:rsid w:val="00863E2D"/>
    <w:rsid w:val="00863E43"/>
    <w:rsid w:val="00863EA9"/>
    <w:rsid w:val="00863EB0"/>
    <w:rsid w:val="00863EEE"/>
    <w:rsid w:val="00863F08"/>
    <w:rsid w:val="00863F29"/>
    <w:rsid w:val="00863F3D"/>
    <w:rsid w:val="00863FE0"/>
    <w:rsid w:val="00863FEB"/>
    <w:rsid w:val="00863FF3"/>
    <w:rsid w:val="0086403E"/>
    <w:rsid w:val="00864097"/>
    <w:rsid w:val="008640EC"/>
    <w:rsid w:val="0086411D"/>
    <w:rsid w:val="008641F0"/>
    <w:rsid w:val="00864267"/>
    <w:rsid w:val="0086427C"/>
    <w:rsid w:val="00864281"/>
    <w:rsid w:val="008642D6"/>
    <w:rsid w:val="008642E1"/>
    <w:rsid w:val="00864357"/>
    <w:rsid w:val="00864398"/>
    <w:rsid w:val="0086439A"/>
    <w:rsid w:val="00864477"/>
    <w:rsid w:val="0086447E"/>
    <w:rsid w:val="00864485"/>
    <w:rsid w:val="008644D5"/>
    <w:rsid w:val="008644EA"/>
    <w:rsid w:val="0086450E"/>
    <w:rsid w:val="0086451A"/>
    <w:rsid w:val="008645CD"/>
    <w:rsid w:val="00864651"/>
    <w:rsid w:val="00864654"/>
    <w:rsid w:val="00864675"/>
    <w:rsid w:val="0086467E"/>
    <w:rsid w:val="008646F0"/>
    <w:rsid w:val="00864751"/>
    <w:rsid w:val="0086475E"/>
    <w:rsid w:val="008647D3"/>
    <w:rsid w:val="008647D5"/>
    <w:rsid w:val="008647E2"/>
    <w:rsid w:val="008648FA"/>
    <w:rsid w:val="0086492F"/>
    <w:rsid w:val="00864959"/>
    <w:rsid w:val="00864962"/>
    <w:rsid w:val="00864991"/>
    <w:rsid w:val="0086499D"/>
    <w:rsid w:val="00864A15"/>
    <w:rsid w:val="00864A53"/>
    <w:rsid w:val="00864AFA"/>
    <w:rsid w:val="00864B62"/>
    <w:rsid w:val="00864C2C"/>
    <w:rsid w:val="00864CE5"/>
    <w:rsid w:val="00864D01"/>
    <w:rsid w:val="00864D57"/>
    <w:rsid w:val="00864D75"/>
    <w:rsid w:val="00864D7A"/>
    <w:rsid w:val="00864DA1"/>
    <w:rsid w:val="00864E5E"/>
    <w:rsid w:val="00864E80"/>
    <w:rsid w:val="00864EF2"/>
    <w:rsid w:val="00864F02"/>
    <w:rsid w:val="00864F68"/>
    <w:rsid w:val="00864F70"/>
    <w:rsid w:val="00864FE7"/>
    <w:rsid w:val="0086501B"/>
    <w:rsid w:val="0086502B"/>
    <w:rsid w:val="008650C4"/>
    <w:rsid w:val="008650F7"/>
    <w:rsid w:val="00865138"/>
    <w:rsid w:val="0086513A"/>
    <w:rsid w:val="00865141"/>
    <w:rsid w:val="00865178"/>
    <w:rsid w:val="00865185"/>
    <w:rsid w:val="008651A0"/>
    <w:rsid w:val="00865239"/>
    <w:rsid w:val="008652DC"/>
    <w:rsid w:val="008652DF"/>
    <w:rsid w:val="0086532D"/>
    <w:rsid w:val="00865347"/>
    <w:rsid w:val="0086534E"/>
    <w:rsid w:val="00865398"/>
    <w:rsid w:val="008653EB"/>
    <w:rsid w:val="00865406"/>
    <w:rsid w:val="00865565"/>
    <w:rsid w:val="0086556D"/>
    <w:rsid w:val="008655EF"/>
    <w:rsid w:val="00865612"/>
    <w:rsid w:val="0086562C"/>
    <w:rsid w:val="00865642"/>
    <w:rsid w:val="00865694"/>
    <w:rsid w:val="008656A0"/>
    <w:rsid w:val="008656AD"/>
    <w:rsid w:val="00865718"/>
    <w:rsid w:val="00865773"/>
    <w:rsid w:val="00865777"/>
    <w:rsid w:val="008657A9"/>
    <w:rsid w:val="008657C2"/>
    <w:rsid w:val="0086585E"/>
    <w:rsid w:val="008658D3"/>
    <w:rsid w:val="0086590E"/>
    <w:rsid w:val="0086592D"/>
    <w:rsid w:val="0086595D"/>
    <w:rsid w:val="008659AC"/>
    <w:rsid w:val="00865A11"/>
    <w:rsid w:val="00865A19"/>
    <w:rsid w:val="00865A1D"/>
    <w:rsid w:val="00865A7A"/>
    <w:rsid w:val="00865B32"/>
    <w:rsid w:val="00865B71"/>
    <w:rsid w:val="00865BE8"/>
    <w:rsid w:val="00865C12"/>
    <w:rsid w:val="00865CC9"/>
    <w:rsid w:val="00865CE0"/>
    <w:rsid w:val="00865D23"/>
    <w:rsid w:val="00865D2A"/>
    <w:rsid w:val="00865D8E"/>
    <w:rsid w:val="00865D99"/>
    <w:rsid w:val="00865DAD"/>
    <w:rsid w:val="00865DCE"/>
    <w:rsid w:val="00865E3C"/>
    <w:rsid w:val="00865E68"/>
    <w:rsid w:val="00865E85"/>
    <w:rsid w:val="00865EA3"/>
    <w:rsid w:val="00865ED3"/>
    <w:rsid w:val="00865EFB"/>
    <w:rsid w:val="00865F30"/>
    <w:rsid w:val="00865F33"/>
    <w:rsid w:val="00865F38"/>
    <w:rsid w:val="00865F46"/>
    <w:rsid w:val="00865F73"/>
    <w:rsid w:val="00865FA0"/>
    <w:rsid w:val="00865FBC"/>
    <w:rsid w:val="00865FCB"/>
    <w:rsid w:val="00866040"/>
    <w:rsid w:val="008660A8"/>
    <w:rsid w:val="008660B5"/>
    <w:rsid w:val="008660E9"/>
    <w:rsid w:val="0086615D"/>
    <w:rsid w:val="00866162"/>
    <w:rsid w:val="00866186"/>
    <w:rsid w:val="00866225"/>
    <w:rsid w:val="0086627C"/>
    <w:rsid w:val="00866288"/>
    <w:rsid w:val="00866292"/>
    <w:rsid w:val="0086637C"/>
    <w:rsid w:val="0086638C"/>
    <w:rsid w:val="008663D7"/>
    <w:rsid w:val="00866400"/>
    <w:rsid w:val="00866403"/>
    <w:rsid w:val="0086648A"/>
    <w:rsid w:val="00866529"/>
    <w:rsid w:val="008665B0"/>
    <w:rsid w:val="008665C9"/>
    <w:rsid w:val="008665E9"/>
    <w:rsid w:val="0086661D"/>
    <w:rsid w:val="0086663D"/>
    <w:rsid w:val="0086664E"/>
    <w:rsid w:val="00866650"/>
    <w:rsid w:val="0086669C"/>
    <w:rsid w:val="008666BF"/>
    <w:rsid w:val="008666E7"/>
    <w:rsid w:val="008666EE"/>
    <w:rsid w:val="00866709"/>
    <w:rsid w:val="00866755"/>
    <w:rsid w:val="0086676A"/>
    <w:rsid w:val="0086677B"/>
    <w:rsid w:val="0086685E"/>
    <w:rsid w:val="008668A4"/>
    <w:rsid w:val="008668B5"/>
    <w:rsid w:val="008668E8"/>
    <w:rsid w:val="00866939"/>
    <w:rsid w:val="00866A3C"/>
    <w:rsid w:val="00866A3E"/>
    <w:rsid w:val="00866A68"/>
    <w:rsid w:val="00866A7A"/>
    <w:rsid w:val="00866A7B"/>
    <w:rsid w:val="00866ADC"/>
    <w:rsid w:val="00866B33"/>
    <w:rsid w:val="00866B6D"/>
    <w:rsid w:val="00866B6E"/>
    <w:rsid w:val="00866B91"/>
    <w:rsid w:val="00866BE5"/>
    <w:rsid w:val="00866BF4"/>
    <w:rsid w:val="00866C15"/>
    <w:rsid w:val="00866C40"/>
    <w:rsid w:val="00866C96"/>
    <w:rsid w:val="00866C97"/>
    <w:rsid w:val="00866CD2"/>
    <w:rsid w:val="00866D3E"/>
    <w:rsid w:val="00866E5B"/>
    <w:rsid w:val="00866E96"/>
    <w:rsid w:val="00866EAE"/>
    <w:rsid w:val="00866EC2"/>
    <w:rsid w:val="00866EFC"/>
    <w:rsid w:val="00866F03"/>
    <w:rsid w:val="00866F92"/>
    <w:rsid w:val="0086702E"/>
    <w:rsid w:val="00867048"/>
    <w:rsid w:val="0086708D"/>
    <w:rsid w:val="008670BF"/>
    <w:rsid w:val="008670C7"/>
    <w:rsid w:val="0086711B"/>
    <w:rsid w:val="0086717C"/>
    <w:rsid w:val="00867194"/>
    <w:rsid w:val="00867197"/>
    <w:rsid w:val="00867214"/>
    <w:rsid w:val="00867215"/>
    <w:rsid w:val="00867244"/>
    <w:rsid w:val="00867245"/>
    <w:rsid w:val="00867277"/>
    <w:rsid w:val="00867296"/>
    <w:rsid w:val="0086731E"/>
    <w:rsid w:val="00867339"/>
    <w:rsid w:val="00867369"/>
    <w:rsid w:val="008673DF"/>
    <w:rsid w:val="00867404"/>
    <w:rsid w:val="00867481"/>
    <w:rsid w:val="008674EC"/>
    <w:rsid w:val="0086756C"/>
    <w:rsid w:val="008675C9"/>
    <w:rsid w:val="008675E9"/>
    <w:rsid w:val="0086763B"/>
    <w:rsid w:val="0086765A"/>
    <w:rsid w:val="0086768A"/>
    <w:rsid w:val="00867749"/>
    <w:rsid w:val="00867809"/>
    <w:rsid w:val="0086788C"/>
    <w:rsid w:val="008678E5"/>
    <w:rsid w:val="00867971"/>
    <w:rsid w:val="008679BF"/>
    <w:rsid w:val="008679DB"/>
    <w:rsid w:val="008679EE"/>
    <w:rsid w:val="00867A2C"/>
    <w:rsid w:val="00867A45"/>
    <w:rsid w:val="00867A5B"/>
    <w:rsid w:val="00867AEF"/>
    <w:rsid w:val="00867AFC"/>
    <w:rsid w:val="00867B2E"/>
    <w:rsid w:val="00867B50"/>
    <w:rsid w:val="00867B61"/>
    <w:rsid w:val="00867B6A"/>
    <w:rsid w:val="00867BD1"/>
    <w:rsid w:val="00867BFA"/>
    <w:rsid w:val="00867CF3"/>
    <w:rsid w:val="00867D36"/>
    <w:rsid w:val="00867DCF"/>
    <w:rsid w:val="00867E42"/>
    <w:rsid w:val="00867EDF"/>
    <w:rsid w:val="00867F8B"/>
    <w:rsid w:val="00867FE0"/>
    <w:rsid w:val="0087000F"/>
    <w:rsid w:val="008700A2"/>
    <w:rsid w:val="00870120"/>
    <w:rsid w:val="00870149"/>
    <w:rsid w:val="00870156"/>
    <w:rsid w:val="0087017B"/>
    <w:rsid w:val="008701A1"/>
    <w:rsid w:val="008701B8"/>
    <w:rsid w:val="008701C7"/>
    <w:rsid w:val="00870341"/>
    <w:rsid w:val="00870373"/>
    <w:rsid w:val="008703A9"/>
    <w:rsid w:val="008703CA"/>
    <w:rsid w:val="0087046F"/>
    <w:rsid w:val="008704E5"/>
    <w:rsid w:val="008705FA"/>
    <w:rsid w:val="00870659"/>
    <w:rsid w:val="00870681"/>
    <w:rsid w:val="00870683"/>
    <w:rsid w:val="00870704"/>
    <w:rsid w:val="00870718"/>
    <w:rsid w:val="00870884"/>
    <w:rsid w:val="008708F2"/>
    <w:rsid w:val="00870956"/>
    <w:rsid w:val="00870970"/>
    <w:rsid w:val="0087099E"/>
    <w:rsid w:val="008709DE"/>
    <w:rsid w:val="00870A33"/>
    <w:rsid w:val="00870A5E"/>
    <w:rsid w:val="00870AFF"/>
    <w:rsid w:val="00870B22"/>
    <w:rsid w:val="00870B6C"/>
    <w:rsid w:val="00870C2C"/>
    <w:rsid w:val="00870D0D"/>
    <w:rsid w:val="00870D8A"/>
    <w:rsid w:val="00870DAC"/>
    <w:rsid w:val="00870EB2"/>
    <w:rsid w:val="00870F86"/>
    <w:rsid w:val="00870FB6"/>
    <w:rsid w:val="00870FC5"/>
    <w:rsid w:val="00870FF7"/>
    <w:rsid w:val="00871054"/>
    <w:rsid w:val="00871055"/>
    <w:rsid w:val="00871068"/>
    <w:rsid w:val="008710F6"/>
    <w:rsid w:val="00871121"/>
    <w:rsid w:val="00871184"/>
    <w:rsid w:val="00871189"/>
    <w:rsid w:val="00871193"/>
    <w:rsid w:val="008711AC"/>
    <w:rsid w:val="008711B8"/>
    <w:rsid w:val="008711CF"/>
    <w:rsid w:val="00871256"/>
    <w:rsid w:val="0087127F"/>
    <w:rsid w:val="008712C1"/>
    <w:rsid w:val="008712E7"/>
    <w:rsid w:val="00871333"/>
    <w:rsid w:val="00871334"/>
    <w:rsid w:val="0087135F"/>
    <w:rsid w:val="0087138F"/>
    <w:rsid w:val="00871445"/>
    <w:rsid w:val="008714A2"/>
    <w:rsid w:val="008714F3"/>
    <w:rsid w:val="00871547"/>
    <w:rsid w:val="00871554"/>
    <w:rsid w:val="00871563"/>
    <w:rsid w:val="0087156B"/>
    <w:rsid w:val="008715A2"/>
    <w:rsid w:val="008716DF"/>
    <w:rsid w:val="008716E1"/>
    <w:rsid w:val="00871706"/>
    <w:rsid w:val="00871717"/>
    <w:rsid w:val="00871791"/>
    <w:rsid w:val="008717A7"/>
    <w:rsid w:val="008717E4"/>
    <w:rsid w:val="008717F6"/>
    <w:rsid w:val="0087185C"/>
    <w:rsid w:val="00871874"/>
    <w:rsid w:val="0087187E"/>
    <w:rsid w:val="00871896"/>
    <w:rsid w:val="00871997"/>
    <w:rsid w:val="008719C9"/>
    <w:rsid w:val="008719F9"/>
    <w:rsid w:val="00871A50"/>
    <w:rsid w:val="00871A86"/>
    <w:rsid w:val="00871A8A"/>
    <w:rsid w:val="00871A8E"/>
    <w:rsid w:val="00871AD1"/>
    <w:rsid w:val="00871B22"/>
    <w:rsid w:val="00871B24"/>
    <w:rsid w:val="00871B50"/>
    <w:rsid w:val="00871B77"/>
    <w:rsid w:val="00871BFC"/>
    <w:rsid w:val="00871C07"/>
    <w:rsid w:val="00871C4F"/>
    <w:rsid w:val="00871CF9"/>
    <w:rsid w:val="00871DA9"/>
    <w:rsid w:val="00871DB2"/>
    <w:rsid w:val="00871E2D"/>
    <w:rsid w:val="00871E5B"/>
    <w:rsid w:val="00871E99"/>
    <w:rsid w:val="00871F5A"/>
    <w:rsid w:val="00871F6B"/>
    <w:rsid w:val="00871FEB"/>
    <w:rsid w:val="0087203C"/>
    <w:rsid w:val="008720B7"/>
    <w:rsid w:val="0087216F"/>
    <w:rsid w:val="008721E3"/>
    <w:rsid w:val="008721E8"/>
    <w:rsid w:val="0087225C"/>
    <w:rsid w:val="00872286"/>
    <w:rsid w:val="008722B4"/>
    <w:rsid w:val="008722FF"/>
    <w:rsid w:val="00872309"/>
    <w:rsid w:val="00872319"/>
    <w:rsid w:val="00872373"/>
    <w:rsid w:val="008723CF"/>
    <w:rsid w:val="008723DA"/>
    <w:rsid w:val="008723DC"/>
    <w:rsid w:val="0087240E"/>
    <w:rsid w:val="00872445"/>
    <w:rsid w:val="0087247E"/>
    <w:rsid w:val="008724A1"/>
    <w:rsid w:val="008724AB"/>
    <w:rsid w:val="008724C0"/>
    <w:rsid w:val="008724D0"/>
    <w:rsid w:val="00872555"/>
    <w:rsid w:val="008725BB"/>
    <w:rsid w:val="008725F9"/>
    <w:rsid w:val="00872612"/>
    <w:rsid w:val="0087262C"/>
    <w:rsid w:val="0087264A"/>
    <w:rsid w:val="00872698"/>
    <w:rsid w:val="008726BC"/>
    <w:rsid w:val="0087279D"/>
    <w:rsid w:val="008727BA"/>
    <w:rsid w:val="008727C0"/>
    <w:rsid w:val="008727C9"/>
    <w:rsid w:val="008727FA"/>
    <w:rsid w:val="00872864"/>
    <w:rsid w:val="008728C0"/>
    <w:rsid w:val="0087290A"/>
    <w:rsid w:val="008729A5"/>
    <w:rsid w:val="008729BA"/>
    <w:rsid w:val="00872A48"/>
    <w:rsid w:val="00872A68"/>
    <w:rsid w:val="00872AFE"/>
    <w:rsid w:val="00872B06"/>
    <w:rsid w:val="00872B23"/>
    <w:rsid w:val="00872B2F"/>
    <w:rsid w:val="00872BC1"/>
    <w:rsid w:val="00872BCB"/>
    <w:rsid w:val="00872BCE"/>
    <w:rsid w:val="00872CD5"/>
    <w:rsid w:val="00872D3B"/>
    <w:rsid w:val="00872D49"/>
    <w:rsid w:val="00872D7C"/>
    <w:rsid w:val="00872DD0"/>
    <w:rsid w:val="00872E2B"/>
    <w:rsid w:val="00872E3A"/>
    <w:rsid w:val="00872E91"/>
    <w:rsid w:val="00872EFC"/>
    <w:rsid w:val="00872EFF"/>
    <w:rsid w:val="00872FB3"/>
    <w:rsid w:val="0087301E"/>
    <w:rsid w:val="00873098"/>
    <w:rsid w:val="008730B2"/>
    <w:rsid w:val="008730B8"/>
    <w:rsid w:val="008730E5"/>
    <w:rsid w:val="00873148"/>
    <w:rsid w:val="0087315A"/>
    <w:rsid w:val="008731D6"/>
    <w:rsid w:val="008732CA"/>
    <w:rsid w:val="008732E4"/>
    <w:rsid w:val="00873318"/>
    <w:rsid w:val="0087331D"/>
    <w:rsid w:val="0087333D"/>
    <w:rsid w:val="00873411"/>
    <w:rsid w:val="0087341A"/>
    <w:rsid w:val="008734E2"/>
    <w:rsid w:val="0087350A"/>
    <w:rsid w:val="0087350C"/>
    <w:rsid w:val="0087351C"/>
    <w:rsid w:val="0087358C"/>
    <w:rsid w:val="00873609"/>
    <w:rsid w:val="00873623"/>
    <w:rsid w:val="008736AD"/>
    <w:rsid w:val="0087370C"/>
    <w:rsid w:val="0087370F"/>
    <w:rsid w:val="0087372E"/>
    <w:rsid w:val="00873750"/>
    <w:rsid w:val="00873754"/>
    <w:rsid w:val="00873768"/>
    <w:rsid w:val="00873791"/>
    <w:rsid w:val="00873810"/>
    <w:rsid w:val="0087381B"/>
    <w:rsid w:val="00873827"/>
    <w:rsid w:val="00873893"/>
    <w:rsid w:val="00873924"/>
    <w:rsid w:val="00873929"/>
    <w:rsid w:val="0087392B"/>
    <w:rsid w:val="0087392E"/>
    <w:rsid w:val="0087397A"/>
    <w:rsid w:val="008739A4"/>
    <w:rsid w:val="00873A93"/>
    <w:rsid w:val="00873ADB"/>
    <w:rsid w:val="00873B25"/>
    <w:rsid w:val="00873B31"/>
    <w:rsid w:val="00873B74"/>
    <w:rsid w:val="00873B81"/>
    <w:rsid w:val="00873BA9"/>
    <w:rsid w:val="00873BB2"/>
    <w:rsid w:val="00873C03"/>
    <w:rsid w:val="00873CB2"/>
    <w:rsid w:val="00873CBC"/>
    <w:rsid w:val="00873CCE"/>
    <w:rsid w:val="00873CDF"/>
    <w:rsid w:val="00873D4D"/>
    <w:rsid w:val="00873DB8"/>
    <w:rsid w:val="00873DC0"/>
    <w:rsid w:val="00873DD9"/>
    <w:rsid w:val="00873DEE"/>
    <w:rsid w:val="00873E0A"/>
    <w:rsid w:val="00873EB5"/>
    <w:rsid w:val="00873ED7"/>
    <w:rsid w:val="00873EEF"/>
    <w:rsid w:val="00873F05"/>
    <w:rsid w:val="00873F3C"/>
    <w:rsid w:val="00873FAD"/>
    <w:rsid w:val="00873FDA"/>
    <w:rsid w:val="00874017"/>
    <w:rsid w:val="0087406F"/>
    <w:rsid w:val="0087409A"/>
    <w:rsid w:val="00874143"/>
    <w:rsid w:val="00874176"/>
    <w:rsid w:val="008741C9"/>
    <w:rsid w:val="008741CE"/>
    <w:rsid w:val="00874292"/>
    <w:rsid w:val="008742E9"/>
    <w:rsid w:val="00874331"/>
    <w:rsid w:val="00874335"/>
    <w:rsid w:val="0087433F"/>
    <w:rsid w:val="00874372"/>
    <w:rsid w:val="0087437C"/>
    <w:rsid w:val="00874394"/>
    <w:rsid w:val="008743DD"/>
    <w:rsid w:val="00874442"/>
    <w:rsid w:val="00874454"/>
    <w:rsid w:val="00874460"/>
    <w:rsid w:val="00874474"/>
    <w:rsid w:val="0087447B"/>
    <w:rsid w:val="008744B9"/>
    <w:rsid w:val="008744F4"/>
    <w:rsid w:val="00874564"/>
    <w:rsid w:val="00874565"/>
    <w:rsid w:val="008745D3"/>
    <w:rsid w:val="008745D6"/>
    <w:rsid w:val="008746BC"/>
    <w:rsid w:val="008746F1"/>
    <w:rsid w:val="00874709"/>
    <w:rsid w:val="00874732"/>
    <w:rsid w:val="0087478F"/>
    <w:rsid w:val="008747B1"/>
    <w:rsid w:val="008747D1"/>
    <w:rsid w:val="008747D4"/>
    <w:rsid w:val="008747D7"/>
    <w:rsid w:val="0087480E"/>
    <w:rsid w:val="00874838"/>
    <w:rsid w:val="008748B0"/>
    <w:rsid w:val="008748F7"/>
    <w:rsid w:val="008748F9"/>
    <w:rsid w:val="00874916"/>
    <w:rsid w:val="0087495E"/>
    <w:rsid w:val="00874969"/>
    <w:rsid w:val="008749E9"/>
    <w:rsid w:val="008749F6"/>
    <w:rsid w:val="00874A6E"/>
    <w:rsid w:val="00874A9F"/>
    <w:rsid w:val="00874AD1"/>
    <w:rsid w:val="00874B0D"/>
    <w:rsid w:val="00874B85"/>
    <w:rsid w:val="00874B8F"/>
    <w:rsid w:val="00874BCE"/>
    <w:rsid w:val="00874C0B"/>
    <w:rsid w:val="00874C32"/>
    <w:rsid w:val="00874C68"/>
    <w:rsid w:val="00874CCC"/>
    <w:rsid w:val="00874CED"/>
    <w:rsid w:val="00874D7D"/>
    <w:rsid w:val="00874D86"/>
    <w:rsid w:val="00874DC1"/>
    <w:rsid w:val="00874E26"/>
    <w:rsid w:val="00874E4D"/>
    <w:rsid w:val="00874E5D"/>
    <w:rsid w:val="00874E64"/>
    <w:rsid w:val="00874E73"/>
    <w:rsid w:val="00874E76"/>
    <w:rsid w:val="00874EE9"/>
    <w:rsid w:val="00874F08"/>
    <w:rsid w:val="00874F61"/>
    <w:rsid w:val="00874F63"/>
    <w:rsid w:val="00874F65"/>
    <w:rsid w:val="00874FE2"/>
    <w:rsid w:val="0087503A"/>
    <w:rsid w:val="00875102"/>
    <w:rsid w:val="00875145"/>
    <w:rsid w:val="00875199"/>
    <w:rsid w:val="008751A4"/>
    <w:rsid w:val="008751BE"/>
    <w:rsid w:val="008751CE"/>
    <w:rsid w:val="008751F0"/>
    <w:rsid w:val="00875202"/>
    <w:rsid w:val="00875203"/>
    <w:rsid w:val="0087522E"/>
    <w:rsid w:val="00875237"/>
    <w:rsid w:val="008752B1"/>
    <w:rsid w:val="008752D1"/>
    <w:rsid w:val="008752E4"/>
    <w:rsid w:val="00875348"/>
    <w:rsid w:val="0087536B"/>
    <w:rsid w:val="0087536D"/>
    <w:rsid w:val="008753A9"/>
    <w:rsid w:val="008753EE"/>
    <w:rsid w:val="00875432"/>
    <w:rsid w:val="008754C6"/>
    <w:rsid w:val="008754F1"/>
    <w:rsid w:val="00875529"/>
    <w:rsid w:val="00875544"/>
    <w:rsid w:val="00875548"/>
    <w:rsid w:val="0087554B"/>
    <w:rsid w:val="0087556B"/>
    <w:rsid w:val="008755B0"/>
    <w:rsid w:val="008755C0"/>
    <w:rsid w:val="00875625"/>
    <w:rsid w:val="00875630"/>
    <w:rsid w:val="00875636"/>
    <w:rsid w:val="0087568A"/>
    <w:rsid w:val="008756A0"/>
    <w:rsid w:val="008756F3"/>
    <w:rsid w:val="00875776"/>
    <w:rsid w:val="008757A4"/>
    <w:rsid w:val="008757BA"/>
    <w:rsid w:val="008757D7"/>
    <w:rsid w:val="008757E9"/>
    <w:rsid w:val="00875872"/>
    <w:rsid w:val="00875876"/>
    <w:rsid w:val="008758D5"/>
    <w:rsid w:val="008758E6"/>
    <w:rsid w:val="008758EB"/>
    <w:rsid w:val="00875989"/>
    <w:rsid w:val="0087598B"/>
    <w:rsid w:val="0087599B"/>
    <w:rsid w:val="008759AD"/>
    <w:rsid w:val="008759B3"/>
    <w:rsid w:val="00875A36"/>
    <w:rsid w:val="00875A48"/>
    <w:rsid w:val="00875AC2"/>
    <w:rsid w:val="00875B05"/>
    <w:rsid w:val="00875B5E"/>
    <w:rsid w:val="00875B61"/>
    <w:rsid w:val="00875B69"/>
    <w:rsid w:val="00875BE1"/>
    <w:rsid w:val="00875BF9"/>
    <w:rsid w:val="00875C26"/>
    <w:rsid w:val="00875C34"/>
    <w:rsid w:val="00875C45"/>
    <w:rsid w:val="00875CD3"/>
    <w:rsid w:val="00875CF1"/>
    <w:rsid w:val="00875D37"/>
    <w:rsid w:val="00875D56"/>
    <w:rsid w:val="00875D72"/>
    <w:rsid w:val="00875D98"/>
    <w:rsid w:val="00875DA4"/>
    <w:rsid w:val="00875DEE"/>
    <w:rsid w:val="00875E05"/>
    <w:rsid w:val="00875E3F"/>
    <w:rsid w:val="00875EA1"/>
    <w:rsid w:val="00875EB9"/>
    <w:rsid w:val="00875ECD"/>
    <w:rsid w:val="00875EF8"/>
    <w:rsid w:val="00875F0D"/>
    <w:rsid w:val="00875F57"/>
    <w:rsid w:val="00875FD5"/>
    <w:rsid w:val="00875FF5"/>
    <w:rsid w:val="00876021"/>
    <w:rsid w:val="00876044"/>
    <w:rsid w:val="0087605E"/>
    <w:rsid w:val="0087608C"/>
    <w:rsid w:val="008760B8"/>
    <w:rsid w:val="008760E6"/>
    <w:rsid w:val="008760E7"/>
    <w:rsid w:val="0087610E"/>
    <w:rsid w:val="00876193"/>
    <w:rsid w:val="0087623D"/>
    <w:rsid w:val="0087625F"/>
    <w:rsid w:val="008762D6"/>
    <w:rsid w:val="008762E8"/>
    <w:rsid w:val="008763CC"/>
    <w:rsid w:val="00876406"/>
    <w:rsid w:val="00876421"/>
    <w:rsid w:val="0087643B"/>
    <w:rsid w:val="0087646A"/>
    <w:rsid w:val="0087647C"/>
    <w:rsid w:val="00876482"/>
    <w:rsid w:val="00876487"/>
    <w:rsid w:val="008764AD"/>
    <w:rsid w:val="008764B2"/>
    <w:rsid w:val="008764CD"/>
    <w:rsid w:val="008764E9"/>
    <w:rsid w:val="008764EB"/>
    <w:rsid w:val="0087651A"/>
    <w:rsid w:val="0087651D"/>
    <w:rsid w:val="008765B9"/>
    <w:rsid w:val="008765DF"/>
    <w:rsid w:val="008765EB"/>
    <w:rsid w:val="0087661E"/>
    <w:rsid w:val="00876626"/>
    <w:rsid w:val="00876644"/>
    <w:rsid w:val="0087666B"/>
    <w:rsid w:val="008766A1"/>
    <w:rsid w:val="008766B0"/>
    <w:rsid w:val="008766E3"/>
    <w:rsid w:val="00876706"/>
    <w:rsid w:val="008767AA"/>
    <w:rsid w:val="0087689D"/>
    <w:rsid w:val="008768A4"/>
    <w:rsid w:val="008768A9"/>
    <w:rsid w:val="008768C8"/>
    <w:rsid w:val="008768CB"/>
    <w:rsid w:val="00876953"/>
    <w:rsid w:val="008769E8"/>
    <w:rsid w:val="00876A3E"/>
    <w:rsid w:val="00876A5A"/>
    <w:rsid w:val="00876A86"/>
    <w:rsid w:val="00876B2B"/>
    <w:rsid w:val="00876B47"/>
    <w:rsid w:val="00876B4C"/>
    <w:rsid w:val="00876B7B"/>
    <w:rsid w:val="00876B7C"/>
    <w:rsid w:val="00876B88"/>
    <w:rsid w:val="00876BB8"/>
    <w:rsid w:val="00876BC8"/>
    <w:rsid w:val="00876C0C"/>
    <w:rsid w:val="00876C2D"/>
    <w:rsid w:val="00876C8A"/>
    <w:rsid w:val="00876CB7"/>
    <w:rsid w:val="00876CEC"/>
    <w:rsid w:val="00876D24"/>
    <w:rsid w:val="00876D42"/>
    <w:rsid w:val="00876D48"/>
    <w:rsid w:val="00876D4F"/>
    <w:rsid w:val="00876D78"/>
    <w:rsid w:val="00876D7A"/>
    <w:rsid w:val="00876E0C"/>
    <w:rsid w:val="00876E1C"/>
    <w:rsid w:val="00876F4D"/>
    <w:rsid w:val="00876F5F"/>
    <w:rsid w:val="00876FC6"/>
    <w:rsid w:val="00876FD3"/>
    <w:rsid w:val="00876FD6"/>
    <w:rsid w:val="00876FFE"/>
    <w:rsid w:val="0087705D"/>
    <w:rsid w:val="0087706F"/>
    <w:rsid w:val="00877076"/>
    <w:rsid w:val="0087707F"/>
    <w:rsid w:val="00877085"/>
    <w:rsid w:val="00877167"/>
    <w:rsid w:val="00877181"/>
    <w:rsid w:val="00877192"/>
    <w:rsid w:val="00877207"/>
    <w:rsid w:val="0087724A"/>
    <w:rsid w:val="0087725A"/>
    <w:rsid w:val="0087727B"/>
    <w:rsid w:val="00877302"/>
    <w:rsid w:val="00877333"/>
    <w:rsid w:val="00877362"/>
    <w:rsid w:val="0087736F"/>
    <w:rsid w:val="008773A3"/>
    <w:rsid w:val="0087744D"/>
    <w:rsid w:val="0087748F"/>
    <w:rsid w:val="008774E1"/>
    <w:rsid w:val="00877506"/>
    <w:rsid w:val="00877565"/>
    <w:rsid w:val="00877585"/>
    <w:rsid w:val="00877587"/>
    <w:rsid w:val="008775D6"/>
    <w:rsid w:val="00877616"/>
    <w:rsid w:val="00877618"/>
    <w:rsid w:val="00877629"/>
    <w:rsid w:val="00877642"/>
    <w:rsid w:val="0087766B"/>
    <w:rsid w:val="00877684"/>
    <w:rsid w:val="008776BC"/>
    <w:rsid w:val="008776C9"/>
    <w:rsid w:val="008777DE"/>
    <w:rsid w:val="008777F7"/>
    <w:rsid w:val="0087783C"/>
    <w:rsid w:val="0087786E"/>
    <w:rsid w:val="008778DA"/>
    <w:rsid w:val="008778E3"/>
    <w:rsid w:val="00877901"/>
    <w:rsid w:val="00877902"/>
    <w:rsid w:val="00877935"/>
    <w:rsid w:val="00877980"/>
    <w:rsid w:val="008779E5"/>
    <w:rsid w:val="008779F6"/>
    <w:rsid w:val="00877A63"/>
    <w:rsid w:val="00877AAA"/>
    <w:rsid w:val="00877ABA"/>
    <w:rsid w:val="00877B88"/>
    <w:rsid w:val="00877B91"/>
    <w:rsid w:val="00877BB5"/>
    <w:rsid w:val="00877BEE"/>
    <w:rsid w:val="00877C09"/>
    <w:rsid w:val="00877C51"/>
    <w:rsid w:val="00877C90"/>
    <w:rsid w:val="00877C9D"/>
    <w:rsid w:val="00877CE5"/>
    <w:rsid w:val="00877CE8"/>
    <w:rsid w:val="00877D51"/>
    <w:rsid w:val="00877D63"/>
    <w:rsid w:val="00877E96"/>
    <w:rsid w:val="00877EF9"/>
    <w:rsid w:val="00877F2A"/>
    <w:rsid w:val="00877F2F"/>
    <w:rsid w:val="00877F32"/>
    <w:rsid w:val="00877F59"/>
    <w:rsid w:val="00877FDF"/>
    <w:rsid w:val="00877FF9"/>
    <w:rsid w:val="00880062"/>
    <w:rsid w:val="00880073"/>
    <w:rsid w:val="008800AA"/>
    <w:rsid w:val="008800B0"/>
    <w:rsid w:val="008800C6"/>
    <w:rsid w:val="008800C8"/>
    <w:rsid w:val="00880195"/>
    <w:rsid w:val="00880216"/>
    <w:rsid w:val="008802A9"/>
    <w:rsid w:val="008802AC"/>
    <w:rsid w:val="008802D9"/>
    <w:rsid w:val="008802EF"/>
    <w:rsid w:val="00880320"/>
    <w:rsid w:val="00880322"/>
    <w:rsid w:val="00880348"/>
    <w:rsid w:val="00880371"/>
    <w:rsid w:val="008803E4"/>
    <w:rsid w:val="00880409"/>
    <w:rsid w:val="0088044D"/>
    <w:rsid w:val="008805AB"/>
    <w:rsid w:val="008805EC"/>
    <w:rsid w:val="008805FA"/>
    <w:rsid w:val="00880656"/>
    <w:rsid w:val="0088070B"/>
    <w:rsid w:val="00880741"/>
    <w:rsid w:val="00880742"/>
    <w:rsid w:val="0088079F"/>
    <w:rsid w:val="008807FC"/>
    <w:rsid w:val="00880834"/>
    <w:rsid w:val="0088084F"/>
    <w:rsid w:val="008808C3"/>
    <w:rsid w:val="00880925"/>
    <w:rsid w:val="00880944"/>
    <w:rsid w:val="00880965"/>
    <w:rsid w:val="00880A32"/>
    <w:rsid w:val="00880A43"/>
    <w:rsid w:val="00880A98"/>
    <w:rsid w:val="00880B2A"/>
    <w:rsid w:val="00880B8F"/>
    <w:rsid w:val="00880BE4"/>
    <w:rsid w:val="00880C16"/>
    <w:rsid w:val="00880C57"/>
    <w:rsid w:val="00880C7F"/>
    <w:rsid w:val="00880C8F"/>
    <w:rsid w:val="00880CCC"/>
    <w:rsid w:val="00880CD3"/>
    <w:rsid w:val="00880D33"/>
    <w:rsid w:val="00880D52"/>
    <w:rsid w:val="00880E29"/>
    <w:rsid w:val="00880E46"/>
    <w:rsid w:val="00880E9F"/>
    <w:rsid w:val="00880EA5"/>
    <w:rsid w:val="00880EB0"/>
    <w:rsid w:val="00880F51"/>
    <w:rsid w:val="00880FA6"/>
    <w:rsid w:val="00881017"/>
    <w:rsid w:val="00881029"/>
    <w:rsid w:val="00881040"/>
    <w:rsid w:val="00881073"/>
    <w:rsid w:val="00881173"/>
    <w:rsid w:val="0088118B"/>
    <w:rsid w:val="008811AB"/>
    <w:rsid w:val="008811F9"/>
    <w:rsid w:val="0088122A"/>
    <w:rsid w:val="0088124C"/>
    <w:rsid w:val="00881290"/>
    <w:rsid w:val="008812E0"/>
    <w:rsid w:val="0088140F"/>
    <w:rsid w:val="0088148A"/>
    <w:rsid w:val="008814A9"/>
    <w:rsid w:val="00881548"/>
    <w:rsid w:val="00881551"/>
    <w:rsid w:val="00881574"/>
    <w:rsid w:val="008815D9"/>
    <w:rsid w:val="008815EB"/>
    <w:rsid w:val="0088161C"/>
    <w:rsid w:val="00881651"/>
    <w:rsid w:val="0088165E"/>
    <w:rsid w:val="00881679"/>
    <w:rsid w:val="008816A4"/>
    <w:rsid w:val="008816C2"/>
    <w:rsid w:val="00881732"/>
    <w:rsid w:val="0088179D"/>
    <w:rsid w:val="008817A2"/>
    <w:rsid w:val="008817BD"/>
    <w:rsid w:val="00881833"/>
    <w:rsid w:val="008818A9"/>
    <w:rsid w:val="008818C8"/>
    <w:rsid w:val="008818DC"/>
    <w:rsid w:val="008818E3"/>
    <w:rsid w:val="0088196E"/>
    <w:rsid w:val="0088198A"/>
    <w:rsid w:val="008819D9"/>
    <w:rsid w:val="00881A8F"/>
    <w:rsid w:val="00881B2A"/>
    <w:rsid w:val="00881B7C"/>
    <w:rsid w:val="00881B8A"/>
    <w:rsid w:val="00881BED"/>
    <w:rsid w:val="00881C1D"/>
    <w:rsid w:val="00881C2E"/>
    <w:rsid w:val="00881C52"/>
    <w:rsid w:val="00881CDC"/>
    <w:rsid w:val="00881D2A"/>
    <w:rsid w:val="00881DA1"/>
    <w:rsid w:val="00881E13"/>
    <w:rsid w:val="00881E2C"/>
    <w:rsid w:val="00881E79"/>
    <w:rsid w:val="00881ED1"/>
    <w:rsid w:val="00881EEF"/>
    <w:rsid w:val="00881F39"/>
    <w:rsid w:val="00881F48"/>
    <w:rsid w:val="00881F88"/>
    <w:rsid w:val="00881FD6"/>
    <w:rsid w:val="00882077"/>
    <w:rsid w:val="008820D5"/>
    <w:rsid w:val="008820FF"/>
    <w:rsid w:val="008821A7"/>
    <w:rsid w:val="008821C6"/>
    <w:rsid w:val="0088220F"/>
    <w:rsid w:val="0088222E"/>
    <w:rsid w:val="00882246"/>
    <w:rsid w:val="00882291"/>
    <w:rsid w:val="008822E8"/>
    <w:rsid w:val="008822E9"/>
    <w:rsid w:val="0088238F"/>
    <w:rsid w:val="00882390"/>
    <w:rsid w:val="008823B4"/>
    <w:rsid w:val="008823B9"/>
    <w:rsid w:val="00882463"/>
    <w:rsid w:val="0088249F"/>
    <w:rsid w:val="008824CF"/>
    <w:rsid w:val="008824DE"/>
    <w:rsid w:val="008825C2"/>
    <w:rsid w:val="00882634"/>
    <w:rsid w:val="0088267E"/>
    <w:rsid w:val="0088268D"/>
    <w:rsid w:val="0088279A"/>
    <w:rsid w:val="008827AD"/>
    <w:rsid w:val="008827EB"/>
    <w:rsid w:val="0088283C"/>
    <w:rsid w:val="0088289F"/>
    <w:rsid w:val="008828A0"/>
    <w:rsid w:val="008828C7"/>
    <w:rsid w:val="00882969"/>
    <w:rsid w:val="008829C1"/>
    <w:rsid w:val="008829D0"/>
    <w:rsid w:val="008829E7"/>
    <w:rsid w:val="00882A2B"/>
    <w:rsid w:val="00882AFC"/>
    <w:rsid w:val="00882C09"/>
    <w:rsid w:val="00882C1F"/>
    <w:rsid w:val="00882C6D"/>
    <w:rsid w:val="00882D99"/>
    <w:rsid w:val="00882DFC"/>
    <w:rsid w:val="00882E42"/>
    <w:rsid w:val="00882E5C"/>
    <w:rsid w:val="00882E6D"/>
    <w:rsid w:val="00882E6E"/>
    <w:rsid w:val="00882E77"/>
    <w:rsid w:val="00882EA8"/>
    <w:rsid w:val="00882EFC"/>
    <w:rsid w:val="00882F38"/>
    <w:rsid w:val="00882F3A"/>
    <w:rsid w:val="00882F94"/>
    <w:rsid w:val="00883009"/>
    <w:rsid w:val="00883060"/>
    <w:rsid w:val="00883089"/>
    <w:rsid w:val="008830A2"/>
    <w:rsid w:val="0088310F"/>
    <w:rsid w:val="0088313F"/>
    <w:rsid w:val="008831D5"/>
    <w:rsid w:val="00883218"/>
    <w:rsid w:val="00883246"/>
    <w:rsid w:val="00883268"/>
    <w:rsid w:val="008832FE"/>
    <w:rsid w:val="00883307"/>
    <w:rsid w:val="0088330D"/>
    <w:rsid w:val="00883365"/>
    <w:rsid w:val="00883376"/>
    <w:rsid w:val="008833F4"/>
    <w:rsid w:val="00883412"/>
    <w:rsid w:val="00883470"/>
    <w:rsid w:val="0088348C"/>
    <w:rsid w:val="00883526"/>
    <w:rsid w:val="008835A4"/>
    <w:rsid w:val="008835AE"/>
    <w:rsid w:val="008835BB"/>
    <w:rsid w:val="00883601"/>
    <w:rsid w:val="008837DD"/>
    <w:rsid w:val="008837F4"/>
    <w:rsid w:val="00883800"/>
    <w:rsid w:val="00883836"/>
    <w:rsid w:val="008838A6"/>
    <w:rsid w:val="008838AF"/>
    <w:rsid w:val="008838C0"/>
    <w:rsid w:val="00883931"/>
    <w:rsid w:val="0088398B"/>
    <w:rsid w:val="0088399C"/>
    <w:rsid w:val="008839B8"/>
    <w:rsid w:val="00883A40"/>
    <w:rsid w:val="00883A4C"/>
    <w:rsid w:val="00883AC2"/>
    <w:rsid w:val="00883B1C"/>
    <w:rsid w:val="00883B1E"/>
    <w:rsid w:val="00883B2F"/>
    <w:rsid w:val="00883B6E"/>
    <w:rsid w:val="00883B80"/>
    <w:rsid w:val="00883B8E"/>
    <w:rsid w:val="00883CA5"/>
    <w:rsid w:val="00883CEC"/>
    <w:rsid w:val="00883D43"/>
    <w:rsid w:val="00883D61"/>
    <w:rsid w:val="00883E42"/>
    <w:rsid w:val="00883E58"/>
    <w:rsid w:val="00883E5A"/>
    <w:rsid w:val="00883F0C"/>
    <w:rsid w:val="00883F17"/>
    <w:rsid w:val="00883F38"/>
    <w:rsid w:val="00883F3F"/>
    <w:rsid w:val="00883F6D"/>
    <w:rsid w:val="00883F7F"/>
    <w:rsid w:val="00883F8A"/>
    <w:rsid w:val="00883FAE"/>
    <w:rsid w:val="00883FB2"/>
    <w:rsid w:val="00883FCC"/>
    <w:rsid w:val="00883FE2"/>
    <w:rsid w:val="00883FE9"/>
    <w:rsid w:val="008840A5"/>
    <w:rsid w:val="00884145"/>
    <w:rsid w:val="008841E7"/>
    <w:rsid w:val="00884200"/>
    <w:rsid w:val="00884208"/>
    <w:rsid w:val="00884214"/>
    <w:rsid w:val="0088422B"/>
    <w:rsid w:val="00884261"/>
    <w:rsid w:val="008842C0"/>
    <w:rsid w:val="00884318"/>
    <w:rsid w:val="00884320"/>
    <w:rsid w:val="00884393"/>
    <w:rsid w:val="00884465"/>
    <w:rsid w:val="00884478"/>
    <w:rsid w:val="00884482"/>
    <w:rsid w:val="0088449D"/>
    <w:rsid w:val="008844A5"/>
    <w:rsid w:val="008844E2"/>
    <w:rsid w:val="00884536"/>
    <w:rsid w:val="00884545"/>
    <w:rsid w:val="0088454F"/>
    <w:rsid w:val="0088462E"/>
    <w:rsid w:val="00884660"/>
    <w:rsid w:val="00884670"/>
    <w:rsid w:val="00884691"/>
    <w:rsid w:val="008846B3"/>
    <w:rsid w:val="008846B8"/>
    <w:rsid w:val="008846BB"/>
    <w:rsid w:val="00884721"/>
    <w:rsid w:val="0088473E"/>
    <w:rsid w:val="00884775"/>
    <w:rsid w:val="0088477C"/>
    <w:rsid w:val="008847B6"/>
    <w:rsid w:val="0088480B"/>
    <w:rsid w:val="00884825"/>
    <w:rsid w:val="0088482B"/>
    <w:rsid w:val="00884887"/>
    <w:rsid w:val="008848D9"/>
    <w:rsid w:val="008848F3"/>
    <w:rsid w:val="00884913"/>
    <w:rsid w:val="0088491D"/>
    <w:rsid w:val="008849C0"/>
    <w:rsid w:val="008849CD"/>
    <w:rsid w:val="008849DB"/>
    <w:rsid w:val="00884AB5"/>
    <w:rsid w:val="00884AB8"/>
    <w:rsid w:val="00884B1C"/>
    <w:rsid w:val="00884B2F"/>
    <w:rsid w:val="00884B91"/>
    <w:rsid w:val="00884BDE"/>
    <w:rsid w:val="00884C6A"/>
    <w:rsid w:val="00884C80"/>
    <w:rsid w:val="00884CB1"/>
    <w:rsid w:val="00884D18"/>
    <w:rsid w:val="00884D2A"/>
    <w:rsid w:val="00884D8C"/>
    <w:rsid w:val="00884E67"/>
    <w:rsid w:val="00884E74"/>
    <w:rsid w:val="00884E8E"/>
    <w:rsid w:val="00884EAC"/>
    <w:rsid w:val="00884ECA"/>
    <w:rsid w:val="00884EE7"/>
    <w:rsid w:val="00884EED"/>
    <w:rsid w:val="00884EF7"/>
    <w:rsid w:val="00884F31"/>
    <w:rsid w:val="00884F5E"/>
    <w:rsid w:val="00884FA7"/>
    <w:rsid w:val="00884FD7"/>
    <w:rsid w:val="00884FD8"/>
    <w:rsid w:val="00884FFA"/>
    <w:rsid w:val="0088500C"/>
    <w:rsid w:val="00885024"/>
    <w:rsid w:val="0088502F"/>
    <w:rsid w:val="0088503C"/>
    <w:rsid w:val="00885052"/>
    <w:rsid w:val="00885067"/>
    <w:rsid w:val="0088506D"/>
    <w:rsid w:val="0088512D"/>
    <w:rsid w:val="008851BA"/>
    <w:rsid w:val="008851C1"/>
    <w:rsid w:val="00885240"/>
    <w:rsid w:val="00885260"/>
    <w:rsid w:val="0088533A"/>
    <w:rsid w:val="00885343"/>
    <w:rsid w:val="0088537B"/>
    <w:rsid w:val="008853C3"/>
    <w:rsid w:val="00885446"/>
    <w:rsid w:val="0088546B"/>
    <w:rsid w:val="0088546F"/>
    <w:rsid w:val="00885485"/>
    <w:rsid w:val="008854B3"/>
    <w:rsid w:val="00885506"/>
    <w:rsid w:val="0088551C"/>
    <w:rsid w:val="00885537"/>
    <w:rsid w:val="008855C5"/>
    <w:rsid w:val="0088565D"/>
    <w:rsid w:val="0088566D"/>
    <w:rsid w:val="00885673"/>
    <w:rsid w:val="0088567A"/>
    <w:rsid w:val="008856B1"/>
    <w:rsid w:val="00885717"/>
    <w:rsid w:val="0088571C"/>
    <w:rsid w:val="00885721"/>
    <w:rsid w:val="0088572A"/>
    <w:rsid w:val="00885768"/>
    <w:rsid w:val="00885795"/>
    <w:rsid w:val="008857BB"/>
    <w:rsid w:val="008857DC"/>
    <w:rsid w:val="00885800"/>
    <w:rsid w:val="00885915"/>
    <w:rsid w:val="00885946"/>
    <w:rsid w:val="00885A9C"/>
    <w:rsid w:val="00885ABD"/>
    <w:rsid w:val="00885AC0"/>
    <w:rsid w:val="00885B20"/>
    <w:rsid w:val="00885B8A"/>
    <w:rsid w:val="00885BCA"/>
    <w:rsid w:val="00885BCF"/>
    <w:rsid w:val="00885BF7"/>
    <w:rsid w:val="00885C33"/>
    <w:rsid w:val="00885CAA"/>
    <w:rsid w:val="00885CE6"/>
    <w:rsid w:val="00885CE9"/>
    <w:rsid w:val="00885D94"/>
    <w:rsid w:val="00885D96"/>
    <w:rsid w:val="00885DA6"/>
    <w:rsid w:val="00885E48"/>
    <w:rsid w:val="00885E6F"/>
    <w:rsid w:val="00885E73"/>
    <w:rsid w:val="00885F40"/>
    <w:rsid w:val="00885F6A"/>
    <w:rsid w:val="00885FA6"/>
    <w:rsid w:val="00885FEC"/>
    <w:rsid w:val="00886041"/>
    <w:rsid w:val="00886044"/>
    <w:rsid w:val="0088604C"/>
    <w:rsid w:val="0088609C"/>
    <w:rsid w:val="008860A4"/>
    <w:rsid w:val="00886106"/>
    <w:rsid w:val="00886107"/>
    <w:rsid w:val="00886136"/>
    <w:rsid w:val="00886146"/>
    <w:rsid w:val="00886199"/>
    <w:rsid w:val="008861BD"/>
    <w:rsid w:val="0088620B"/>
    <w:rsid w:val="00886272"/>
    <w:rsid w:val="008862C4"/>
    <w:rsid w:val="008862E3"/>
    <w:rsid w:val="00886302"/>
    <w:rsid w:val="0088637B"/>
    <w:rsid w:val="008863AA"/>
    <w:rsid w:val="008863CF"/>
    <w:rsid w:val="008863F7"/>
    <w:rsid w:val="00886408"/>
    <w:rsid w:val="00886419"/>
    <w:rsid w:val="00886451"/>
    <w:rsid w:val="00886463"/>
    <w:rsid w:val="00886480"/>
    <w:rsid w:val="0088648C"/>
    <w:rsid w:val="0088658D"/>
    <w:rsid w:val="0088666F"/>
    <w:rsid w:val="008866A1"/>
    <w:rsid w:val="008866D5"/>
    <w:rsid w:val="008866F3"/>
    <w:rsid w:val="0088670E"/>
    <w:rsid w:val="00886736"/>
    <w:rsid w:val="0088676E"/>
    <w:rsid w:val="00886783"/>
    <w:rsid w:val="008867BF"/>
    <w:rsid w:val="00886848"/>
    <w:rsid w:val="0088686E"/>
    <w:rsid w:val="00886871"/>
    <w:rsid w:val="0088687E"/>
    <w:rsid w:val="008869ED"/>
    <w:rsid w:val="00886A36"/>
    <w:rsid w:val="00886A4A"/>
    <w:rsid w:val="00886AE2"/>
    <w:rsid w:val="00886AF0"/>
    <w:rsid w:val="00886AF5"/>
    <w:rsid w:val="00886B54"/>
    <w:rsid w:val="00886BB0"/>
    <w:rsid w:val="00886BCF"/>
    <w:rsid w:val="00886BDA"/>
    <w:rsid w:val="00886BFD"/>
    <w:rsid w:val="00886C38"/>
    <w:rsid w:val="00886D09"/>
    <w:rsid w:val="00886D57"/>
    <w:rsid w:val="00886E26"/>
    <w:rsid w:val="00886E42"/>
    <w:rsid w:val="00886E44"/>
    <w:rsid w:val="00886E7D"/>
    <w:rsid w:val="00886ECF"/>
    <w:rsid w:val="00886ED1"/>
    <w:rsid w:val="00886F88"/>
    <w:rsid w:val="00886FC5"/>
    <w:rsid w:val="00886FCF"/>
    <w:rsid w:val="00886FF0"/>
    <w:rsid w:val="00886FF1"/>
    <w:rsid w:val="0088700A"/>
    <w:rsid w:val="0088700E"/>
    <w:rsid w:val="00887035"/>
    <w:rsid w:val="0088707F"/>
    <w:rsid w:val="008870BC"/>
    <w:rsid w:val="008870EA"/>
    <w:rsid w:val="008870ED"/>
    <w:rsid w:val="008870F4"/>
    <w:rsid w:val="0088710C"/>
    <w:rsid w:val="0088717D"/>
    <w:rsid w:val="008871BA"/>
    <w:rsid w:val="00887279"/>
    <w:rsid w:val="008872BD"/>
    <w:rsid w:val="008872E6"/>
    <w:rsid w:val="00887311"/>
    <w:rsid w:val="008873CE"/>
    <w:rsid w:val="008873D4"/>
    <w:rsid w:val="00887413"/>
    <w:rsid w:val="00887432"/>
    <w:rsid w:val="00887528"/>
    <w:rsid w:val="008875EA"/>
    <w:rsid w:val="00887691"/>
    <w:rsid w:val="008876E4"/>
    <w:rsid w:val="00887702"/>
    <w:rsid w:val="00887723"/>
    <w:rsid w:val="00887725"/>
    <w:rsid w:val="0088773F"/>
    <w:rsid w:val="008877BB"/>
    <w:rsid w:val="00887818"/>
    <w:rsid w:val="00887863"/>
    <w:rsid w:val="00887880"/>
    <w:rsid w:val="008878A9"/>
    <w:rsid w:val="0088796C"/>
    <w:rsid w:val="00887988"/>
    <w:rsid w:val="008879CB"/>
    <w:rsid w:val="008879E4"/>
    <w:rsid w:val="00887A50"/>
    <w:rsid w:val="00887A88"/>
    <w:rsid w:val="00887AFD"/>
    <w:rsid w:val="00887B25"/>
    <w:rsid w:val="00887B59"/>
    <w:rsid w:val="00887B64"/>
    <w:rsid w:val="00887B8B"/>
    <w:rsid w:val="00887BC8"/>
    <w:rsid w:val="00887CB8"/>
    <w:rsid w:val="00887CDE"/>
    <w:rsid w:val="00887D03"/>
    <w:rsid w:val="00887D21"/>
    <w:rsid w:val="00887D2B"/>
    <w:rsid w:val="00887D6C"/>
    <w:rsid w:val="00887D92"/>
    <w:rsid w:val="00887DA6"/>
    <w:rsid w:val="00887E25"/>
    <w:rsid w:val="00887E50"/>
    <w:rsid w:val="00887EB3"/>
    <w:rsid w:val="00887FA7"/>
    <w:rsid w:val="00887FD9"/>
    <w:rsid w:val="00890077"/>
    <w:rsid w:val="008900A0"/>
    <w:rsid w:val="008900C2"/>
    <w:rsid w:val="00890126"/>
    <w:rsid w:val="00890131"/>
    <w:rsid w:val="00890158"/>
    <w:rsid w:val="0089015C"/>
    <w:rsid w:val="00890197"/>
    <w:rsid w:val="00890239"/>
    <w:rsid w:val="00890242"/>
    <w:rsid w:val="00890302"/>
    <w:rsid w:val="0089032D"/>
    <w:rsid w:val="008903A1"/>
    <w:rsid w:val="008903CD"/>
    <w:rsid w:val="00890423"/>
    <w:rsid w:val="0089044B"/>
    <w:rsid w:val="008904A3"/>
    <w:rsid w:val="008904CF"/>
    <w:rsid w:val="0089050E"/>
    <w:rsid w:val="0089068A"/>
    <w:rsid w:val="008906AA"/>
    <w:rsid w:val="008906EA"/>
    <w:rsid w:val="00890709"/>
    <w:rsid w:val="00890728"/>
    <w:rsid w:val="0089073B"/>
    <w:rsid w:val="00890765"/>
    <w:rsid w:val="008907F2"/>
    <w:rsid w:val="008908A3"/>
    <w:rsid w:val="00890A11"/>
    <w:rsid w:val="00890A24"/>
    <w:rsid w:val="00890AB7"/>
    <w:rsid w:val="00890B63"/>
    <w:rsid w:val="00890C25"/>
    <w:rsid w:val="00890C57"/>
    <w:rsid w:val="00890C64"/>
    <w:rsid w:val="00890C80"/>
    <w:rsid w:val="00890C89"/>
    <w:rsid w:val="00890C8D"/>
    <w:rsid w:val="00890CA2"/>
    <w:rsid w:val="00890CC1"/>
    <w:rsid w:val="00890CDE"/>
    <w:rsid w:val="00890D18"/>
    <w:rsid w:val="00890D22"/>
    <w:rsid w:val="00890D36"/>
    <w:rsid w:val="00890D51"/>
    <w:rsid w:val="00890D74"/>
    <w:rsid w:val="00890D82"/>
    <w:rsid w:val="00890DAA"/>
    <w:rsid w:val="00890EE9"/>
    <w:rsid w:val="00890F0D"/>
    <w:rsid w:val="00890F59"/>
    <w:rsid w:val="00890F62"/>
    <w:rsid w:val="00890F7C"/>
    <w:rsid w:val="00890F89"/>
    <w:rsid w:val="0089100D"/>
    <w:rsid w:val="00891020"/>
    <w:rsid w:val="00891064"/>
    <w:rsid w:val="0089110D"/>
    <w:rsid w:val="0089117C"/>
    <w:rsid w:val="00891197"/>
    <w:rsid w:val="00891198"/>
    <w:rsid w:val="008911A6"/>
    <w:rsid w:val="008911BD"/>
    <w:rsid w:val="008912E2"/>
    <w:rsid w:val="00891329"/>
    <w:rsid w:val="0089133A"/>
    <w:rsid w:val="0089133E"/>
    <w:rsid w:val="00891364"/>
    <w:rsid w:val="008913CD"/>
    <w:rsid w:val="008913D6"/>
    <w:rsid w:val="008914F8"/>
    <w:rsid w:val="00891575"/>
    <w:rsid w:val="008915D6"/>
    <w:rsid w:val="008915EA"/>
    <w:rsid w:val="0089160B"/>
    <w:rsid w:val="0089165D"/>
    <w:rsid w:val="00891666"/>
    <w:rsid w:val="0089177A"/>
    <w:rsid w:val="008917C4"/>
    <w:rsid w:val="008917FA"/>
    <w:rsid w:val="0089189D"/>
    <w:rsid w:val="0089189F"/>
    <w:rsid w:val="008918CF"/>
    <w:rsid w:val="008918E1"/>
    <w:rsid w:val="008919F5"/>
    <w:rsid w:val="00891A35"/>
    <w:rsid w:val="00891A64"/>
    <w:rsid w:val="00891A8E"/>
    <w:rsid w:val="00891A90"/>
    <w:rsid w:val="00891AA8"/>
    <w:rsid w:val="00891ACE"/>
    <w:rsid w:val="00891AE2"/>
    <w:rsid w:val="00891B3C"/>
    <w:rsid w:val="00891B64"/>
    <w:rsid w:val="00891B7B"/>
    <w:rsid w:val="00891BA5"/>
    <w:rsid w:val="00891C69"/>
    <w:rsid w:val="00891CB1"/>
    <w:rsid w:val="00891CD1"/>
    <w:rsid w:val="00891CF2"/>
    <w:rsid w:val="00891CF8"/>
    <w:rsid w:val="00891D03"/>
    <w:rsid w:val="00891D39"/>
    <w:rsid w:val="00891E0E"/>
    <w:rsid w:val="00891E32"/>
    <w:rsid w:val="00891E72"/>
    <w:rsid w:val="00891F06"/>
    <w:rsid w:val="00891F5D"/>
    <w:rsid w:val="00891F7E"/>
    <w:rsid w:val="00891FB4"/>
    <w:rsid w:val="00892024"/>
    <w:rsid w:val="0089210F"/>
    <w:rsid w:val="00892129"/>
    <w:rsid w:val="008921AB"/>
    <w:rsid w:val="008921E5"/>
    <w:rsid w:val="00892233"/>
    <w:rsid w:val="008922BE"/>
    <w:rsid w:val="008922C8"/>
    <w:rsid w:val="008922CB"/>
    <w:rsid w:val="008922D6"/>
    <w:rsid w:val="0089231F"/>
    <w:rsid w:val="00892334"/>
    <w:rsid w:val="008923AD"/>
    <w:rsid w:val="008923FE"/>
    <w:rsid w:val="00892499"/>
    <w:rsid w:val="008924CA"/>
    <w:rsid w:val="008924D9"/>
    <w:rsid w:val="00892507"/>
    <w:rsid w:val="00892565"/>
    <w:rsid w:val="00892648"/>
    <w:rsid w:val="00892663"/>
    <w:rsid w:val="008926B6"/>
    <w:rsid w:val="008926C7"/>
    <w:rsid w:val="00892720"/>
    <w:rsid w:val="00892747"/>
    <w:rsid w:val="0089275B"/>
    <w:rsid w:val="008927CC"/>
    <w:rsid w:val="00892812"/>
    <w:rsid w:val="0089287A"/>
    <w:rsid w:val="008928E7"/>
    <w:rsid w:val="008928F9"/>
    <w:rsid w:val="0089290A"/>
    <w:rsid w:val="00892979"/>
    <w:rsid w:val="008929D1"/>
    <w:rsid w:val="00892A9E"/>
    <w:rsid w:val="00892AA8"/>
    <w:rsid w:val="00892ADB"/>
    <w:rsid w:val="00892AE5"/>
    <w:rsid w:val="00892B53"/>
    <w:rsid w:val="00892C35"/>
    <w:rsid w:val="00892C80"/>
    <w:rsid w:val="00892CF5"/>
    <w:rsid w:val="00892D23"/>
    <w:rsid w:val="00892D53"/>
    <w:rsid w:val="00892E1B"/>
    <w:rsid w:val="00892E1C"/>
    <w:rsid w:val="00892E58"/>
    <w:rsid w:val="00892E5B"/>
    <w:rsid w:val="00892E78"/>
    <w:rsid w:val="00892E86"/>
    <w:rsid w:val="00892EAB"/>
    <w:rsid w:val="00892ED7"/>
    <w:rsid w:val="00893057"/>
    <w:rsid w:val="0089306B"/>
    <w:rsid w:val="0089310C"/>
    <w:rsid w:val="00893132"/>
    <w:rsid w:val="0089316A"/>
    <w:rsid w:val="00893179"/>
    <w:rsid w:val="008931FE"/>
    <w:rsid w:val="00893216"/>
    <w:rsid w:val="00893239"/>
    <w:rsid w:val="00893289"/>
    <w:rsid w:val="008932D9"/>
    <w:rsid w:val="008932FE"/>
    <w:rsid w:val="00893378"/>
    <w:rsid w:val="0089338E"/>
    <w:rsid w:val="008933E6"/>
    <w:rsid w:val="008933FE"/>
    <w:rsid w:val="00893490"/>
    <w:rsid w:val="00893511"/>
    <w:rsid w:val="0089354B"/>
    <w:rsid w:val="00893602"/>
    <w:rsid w:val="00893607"/>
    <w:rsid w:val="0089362C"/>
    <w:rsid w:val="008936BA"/>
    <w:rsid w:val="00893753"/>
    <w:rsid w:val="0089376F"/>
    <w:rsid w:val="0089378C"/>
    <w:rsid w:val="008937AE"/>
    <w:rsid w:val="008937C1"/>
    <w:rsid w:val="0089380C"/>
    <w:rsid w:val="00893848"/>
    <w:rsid w:val="00893866"/>
    <w:rsid w:val="00893875"/>
    <w:rsid w:val="008938FF"/>
    <w:rsid w:val="0089390F"/>
    <w:rsid w:val="00893979"/>
    <w:rsid w:val="00893990"/>
    <w:rsid w:val="008939F7"/>
    <w:rsid w:val="00893A10"/>
    <w:rsid w:val="00893A95"/>
    <w:rsid w:val="00893ADE"/>
    <w:rsid w:val="00893C0A"/>
    <w:rsid w:val="00893C3B"/>
    <w:rsid w:val="00893D74"/>
    <w:rsid w:val="00893DAA"/>
    <w:rsid w:val="00893DAF"/>
    <w:rsid w:val="00893DEB"/>
    <w:rsid w:val="00893DF5"/>
    <w:rsid w:val="00893E53"/>
    <w:rsid w:val="00893E63"/>
    <w:rsid w:val="00893EE9"/>
    <w:rsid w:val="00893F01"/>
    <w:rsid w:val="00893F33"/>
    <w:rsid w:val="00893F4C"/>
    <w:rsid w:val="00893F4E"/>
    <w:rsid w:val="00893F52"/>
    <w:rsid w:val="00893F57"/>
    <w:rsid w:val="00893F5B"/>
    <w:rsid w:val="00893F86"/>
    <w:rsid w:val="00893FFC"/>
    <w:rsid w:val="0089404F"/>
    <w:rsid w:val="00894124"/>
    <w:rsid w:val="00894205"/>
    <w:rsid w:val="00894241"/>
    <w:rsid w:val="00894260"/>
    <w:rsid w:val="00894276"/>
    <w:rsid w:val="008942C8"/>
    <w:rsid w:val="008942F7"/>
    <w:rsid w:val="00894323"/>
    <w:rsid w:val="00894359"/>
    <w:rsid w:val="00894439"/>
    <w:rsid w:val="0089443B"/>
    <w:rsid w:val="00894444"/>
    <w:rsid w:val="00894465"/>
    <w:rsid w:val="008944DA"/>
    <w:rsid w:val="0089456E"/>
    <w:rsid w:val="00894581"/>
    <w:rsid w:val="008945BF"/>
    <w:rsid w:val="008945DF"/>
    <w:rsid w:val="0089462C"/>
    <w:rsid w:val="008946EA"/>
    <w:rsid w:val="00894751"/>
    <w:rsid w:val="00894759"/>
    <w:rsid w:val="00894765"/>
    <w:rsid w:val="0089477D"/>
    <w:rsid w:val="008947AB"/>
    <w:rsid w:val="008947E5"/>
    <w:rsid w:val="0089482A"/>
    <w:rsid w:val="00894842"/>
    <w:rsid w:val="0089488A"/>
    <w:rsid w:val="0089490D"/>
    <w:rsid w:val="00894926"/>
    <w:rsid w:val="00894938"/>
    <w:rsid w:val="00894946"/>
    <w:rsid w:val="008949A7"/>
    <w:rsid w:val="008949AC"/>
    <w:rsid w:val="008949E5"/>
    <w:rsid w:val="008949F0"/>
    <w:rsid w:val="00894A10"/>
    <w:rsid w:val="00894A2B"/>
    <w:rsid w:val="00894A2D"/>
    <w:rsid w:val="00894A37"/>
    <w:rsid w:val="00894A61"/>
    <w:rsid w:val="00894A77"/>
    <w:rsid w:val="00894A7A"/>
    <w:rsid w:val="00894AA6"/>
    <w:rsid w:val="00894ABB"/>
    <w:rsid w:val="00894B95"/>
    <w:rsid w:val="00894BC5"/>
    <w:rsid w:val="00894BD2"/>
    <w:rsid w:val="00894C21"/>
    <w:rsid w:val="00894C22"/>
    <w:rsid w:val="00894C26"/>
    <w:rsid w:val="00894C3D"/>
    <w:rsid w:val="00894C47"/>
    <w:rsid w:val="00894CB6"/>
    <w:rsid w:val="00894D0F"/>
    <w:rsid w:val="00894D5F"/>
    <w:rsid w:val="00894D6E"/>
    <w:rsid w:val="00894D6F"/>
    <w:rsid w:val="00894D8F"/>
    <w:rsid w:val="00894DAC"/>
    <w:rsid w:val="00894DF3"/>
    <w:rsid w:val="00894E71"/>
    <w:rsid w:val="00894E8F"/>
    <w:rsid w:val="00894EE0"/>
    <w:rsid w:val="00894EE8"/>
    <w:rsid w:val="00894F21"/>
    <w:rsid w:val="00894F24"/>
    <w:rsid w:val="00894F28"/>
    <w:rsid w:val="00894F49"/>
    <w:rsid w:val="00894FF6"/>
    <w:rsid w:val="0089501C"/>
    <w:rsid w:val="00895028"/>
    <w:rsid w:val="00895029"/>
    <w:rsid w:val="0089508E"/>
    <w:rsid w:val="00895091"/>
    <w:rsid w:val="00895115"/>
    <w:rsid w:val="00895163"/>
    <w:rsid w:val="00895198"/>
    <w:rsid w:val="008951F3"/>
    <w:rsid w:val="00895210"/>
    <w:rsid w:val="00895232"/>
    <w:rsid w:val="0089527F"/>
    <w:rsid w:val="00895297"/>
    <w:rsid w:val="008952BF"/>
    <w:rsid w:val="008952CE"/>
    <w:rsid w:val="00895344"/>
    <w:rsid w:val="00895355"/>
    <w:rsid w:val="00895387"/>
    <w:rsid w:val="008953CA"/>
    <w:rsid w:val="00895449"/>
    <w:rsid w:val="008954B9"/>
    <w:rsid w:val="008954D8"/>
    <w:rsid w:val="00895531"/>
    <w:rsid w:val="008955FD"/>
    <w:rsid w:val="00895630"/>
    <w:rsid w:val="0089564A"/>
    <w:rsid w:val="0089565B"/>
    <w:rsid w:val="00895693"/>
    <w:rsid w:val="008956AD"/>
    <w:rsid w:val="008956B7"/>
    <w:rsid w:val="008956B8"/>
    <w:rsid w:val="008956BD"/>
    <w:rsid w:val="00895707"/>
    <w:rsid w:val="00895769"/>
    <w:rsid w:val="008957E5"/>
    <w:rsid w:val="008957ED"/>
    <w:rsid w:val="008957F8"/>
    <w:rsid w:val="00895836"/>
    <w:rsid w:val="00895854"/>
    <w:rsid w:val="00895882"/>
    <w:rsid w:val="008958DD"/>
    <w:rsid w:val="0089590C"/>
    <w:rsid w:val="00895918"/>
    <w:rsid w:val="00895987"/>
    <w:rsid w:val="008959E8"/>
    <w:rsid w:val="00895A0B"/>
    <w:rsid w:val="00895A32"/>
    <w:rsid w:val="00895A3A"/>
    <w:rsid w:val="00895A41"/>
    <w:rsid w:val="00895AA5"/>
    <w:rsid w:val="00895AE9"/>
    <w:rsid w:val="00895AF9"/>
    <w:rsid w:val="00895BB2"/>
    <w:rsid w:val="00895BDE"/>
    <w:rsid w:val="00895C17"/>
    <w:rsid w:val="00895C2E"/>
    <w:rsid w:val="00895C37"/>
    <w:rsid w:val="00895DA9"/>
    <w:rsid w:val="00895DD0"/>
    <w:rsid w:val="00895E18"/>
    <w:rsid w:val="00895EDE"/>
    <w:rsid w:val="00895EE9"/>
    <w:rsid w:val="00895F0B"/>
    <w:rsid w:val="00895F20"/>
    <w:rsid w:val="00895F39"/>
    <w:rsid w:val="00895F57"/>
    <w:rsid w:val="00895F6D"/>
    <w:rsid w:val="00895F86"/>
    <w:rsid w:val="00895F94"/>
    <w:rsid w:val="00895FA2"/>
    <w:rsid w:val="00895FB4"/>
    <w:rsid w:val="00895FCA"/>
    <w:rsid w:val="00895FEA"/>
    <w:rsid w:val="00896031"/>
    <w:rsid w:val="0089605E"/>
    <w:rsid w:val="00896088"/>
    <w:rsid w:val="008960A0"/>
    <w:rsid w:val="008960C3"/>
    <w:rsid w:val="0089610C"/>
    <w:rsid w:val="0089619F"/>
    <w:rsid w:val="0089624C"/>
    <w:rsid w:val="00896264"/>
    <w:rsid w:val="00896317"/>
    <w:rsid w:val="008963C4"/>
    <w:rsid w:val="00896408"/>
    <w:rsid w:val="00896428"/>
    <w:rsid w:val="008965F8"/>
    <w:rsid w:val="00896644"/>
    <w:rsid w:val="0089668D"/>
    <w:rsid w:val="008966CE"/>
    <w:rsid w:val="00896724"/>
    <w:rsid w:val="00896740"/>
    <w:rsid w:val="008967A1"/>
    <w:rsid w:val="00896804"/>
    <w:rsid w:val="0089682E"/>
    <w:rsid w:val="0089683B"/>
    <w:rsid w:val="0089684E"/>
    <w:rsid w:val="0089685B"/>
    <w:rsid w:val="0089685C"/>
    <w:rsid w:val="00896865"/>
    <w:rsid w:val="0089687D"/>
    <w:rsid w:val="008968A3"/>
    <w:rsid w:val="008968EB"/>
    <w:rsid w:val="00896940"/>
    <w:rsid w:val="00896967"/>
    <w:rsid w:val="00896976"/>
    <w:rsid w:val="008969B7"/>
    <w:rsid w:val="008969ED"/>
    <w:rsid w:val="00896A41"/>
    <w:rsid w:val="00896A4B"/>
    <w:rsid w:val="00896A7C"/>
    <w:rsid w:val="00896AA3"/>
    <w:rsid w:val="00896B1A"/>
    <w:rsid w:val="00896B33"/>
    <w:rsid w:val="00896B59"/>
    <w:rsid w:val="00896B61"/>
    <w:rsid w:val="00896B77"/>
    <w:rsid w:val="00896BDD"/>
    <w:rsid w:val="00896C00"/>
    <w:rsid w:val="00896C31"/>
    <w:rsid w:val="00896C68"/>
    <w:rsid w:val="00896CAC"/>
    <w:rsid w:val="00896CCC"/>
    <w:rsid w:val="00896CE5"/>
    <w:rsid w:val="00896CED"/>
    <w:rsid w:val="00896CF7"/>
    <w:rsid w:val="00896D0E"/>
    <w:rsid w:val="00896D2E"/>
    <w:rsid w:val="00896DDC"/>
    <w:rsid w:val="00896DE1"/>
    <w:rsid w:val="00896FA0"/>
    <w:rsid w:val="00896FC8"/>
    <w:rsid w:val="00896FE4"/>
    <w:rsid w:val="00896FFD"/>
    <w:rsid w:val="008970A1"/>
    <w:rsid w:val="008970AD"/>
    <w:rsid w:val="008970C2"/>
    <w:rsid w:val="0089710E"/>
    <w:rsid w:val="0089711D"/>
    <w:rsid w:val="00897132"/>
    <w:rsid w:val="00897176"/>
    <w:rsid w:val="0089725B"/>
    <w:rsid w:val="00897268"/>
    <w:rsid w:val="00897275"/>
    <w:rsid w:val="00897298"/>
    <w:rsid w:val="008972B6"/>
    <w:rsid w:val="0089732B"/>
    <w:rsid w:val="00897345"/>
    <w:rsid w:val="008973E1"/>
    <w:rsid w:val="008973F8"/>
    <w:rsid w:val="008974F9"/>
    <w:rsid w:val="0089750A"/>
    <w:rsid w:val="00897520"/>
    <w:rsid w:val="00897546"/>
    <w:rsid w:val="00897547"/>
    <w:rsid w:val="0089755B"/>
    <w:rsid w:val="00897574"/>
    <w:rsid w:val="008975BD"/>
    <w:rsid w:val="0089760C"/>
    <w:rsid w:val="0089766D"/>
    <w:rsid w:val="008976F9"/>
    <w:rsid w:val="00897740"/>
    <w:rsid w:val="00897781"/>
    <w:rsid w:val="008977D5"/>
    <w:rsid w:val="008977D8"/>
    <w:rsid w:val="008977E1"/>
    <w:rsid w:val="008977E2"/>
    <w:rsid w:val="0089782D"/>
    <w:rsid w:val="00897868"/>
    <w:rsid w:val="008978A2"/>
    <w:rsid w:val="008978AD"/>
    <w:rsid w:val="008978F2"/>
    <w:rsid w:val="00897904"/>
    <w:rsid w:val="00897905"/>
    <w:rsid w:val="00897907"/>
    <w:rsid w:val="00897916"/>
    <w:rsid w:val="00897926"/>
    <w:rsid w:val="0089796F"/>
    <w:rsid w:val="008979A1"/>
    <w:rsid w:val="008979CC"/>
    <w:rsid w:val="00897A36"/>
    <w:rsid w:val="00897B1C"/>
    <w:rsid w:val="00897B6B"/>
    <w:rsid w:val="00897BDD"/>
    <w:rsid w:val="00897C3B"/>
    <w:rsid w:val="00897C4B"/>
    <w:rsid w:val="00897C63"/>
    <w:rsid w:val="00897C82"/>
    <w:rsid w:val="00897CF1"/>
    <w:rsid w:val="00897D6D"/>
    <w:rsid w:val="00897DF2"/>
    <w:rsid w:val="00897E34"/>
    <w:rsid w:val="00897EA9"/>
    <w:rsid w:val="00897FD2"/>
    <w:rsid w:val="008A0064"/>
    <w:rsid w:val="008A006C"/>
    <w:rsid w:val="008A0120"/>
    <w:rsid w:val="008A0137"/>
    <w:rsid w:val="008A0138"/>
    <w:rsid w:val="008A01CE"/>
    <w:rsid w:val="008A020F"/>
    <w:rsid w:val="008A02B9"/>
    <w:rsid w:val="008A02CE"/>
    <w:rsid w:val="008A02EF"/>
    <w:rsid w:val="008A02F1"/>
    <w:rsid w:val="008A0339"/>
    <w:rsid w:val="008A035C"/>
    <w:rsid w:val="008A03E1"/>
    <w:rsid w:val="008A0424"/>
    <w:rsid w:val="008A0496"/>
    <w:rsid w:val="008A0539"/>
    <w:rsid w:val="008A061C"/>
    <w:rsid w:val="008A0656"/>
    <w:rsid w:val="008A065C"/>
    <w:rsid w:val="008A06B4"/>
    <w:rsid w:val="008A06ED"/>
    <w:rsid w:val="008A0705"/>
    <w:rsid w:val="008A0706"/>
    <w:rsid w:val="008A0719"/>
    <w:rsid w:val="008A072F"/>
    <w:rsid w:val="008A0763"/>
    <w:rsid w:val="008A0837"/>
    <w:rsid w:val="008A0839"/>
    <w:rsid w:val="008A0856"/>
    <w:rsid w:val="008A085F"/>
    <w:rsid w:val="008A086C"/>
    <w:rsid w:val="008A08F3"/>
    <w:rsid w:val="008A0A12"/>
    <w:rsid w:val="008A0A69"/>
    <w:rsid w:val="008A0ACA"/>
    <w:rsid w:val="008A0AE0"/>
    <w:rsid w:val="008A0B38"/>
    <w:rsid w:val="008A0B58"/>
    <w:rsid w:val="008A0BEA"/>
    <w:rsid w:val="008A0C3A"/>
    <w:rsid w:val="008A0C6B"/>
    <w:rsid w:val="008A0CCD"/>
    <w:rsid w:val="008A0CD4"/>
    <w:rsid w:val="008A0D45"/>
    <w:rsid w:val="008A0D78"/>
    <w:rsid w:val="008A0DB8"/>
    <w:rsid w:val="008A0DBE"/>
    <w:rsid w:val="008A0EC9"/>
    <w:rsid w:val="008A0ECA"/>
    <w:rsid w:val="008A0F44"/>
    <w:rsid w:val="008A0F92"/>
    <w:rsid w:val="008A0F9F"/>
    <w:rsid w:val="008A0FF9"/>
    <w:rsid w:val="008A1017"/>
    <w:rsid w:val="008A1034"/>
    <w:rsid w:val="008A10FF"/>
    <w:rsid w:val="008A1132"/>
    <w:rsid w:val="008A1195"/>
    <w:rsid w:val="008A119E"/>
    <w:rsid w:val="008A11D1"/>
    <w:rsid w:val="008A11F6"/>
    <w:rsid w:val="008A1203"/>
    <w:rsid w:val="008A1210"/>
    <w:rsid w:val="008A1216"/>
    <w:rsid w:val="008A121A"/>
    <w:rsid w:val="008A121F"/>
    <w:rsid w:val="008A1220"/>
    <w:rsid w:val="008A1273"/>
    <w:rsid w:val="008A1278"/>
    <w:rsid w:val="008A12F5"/>
    <w:rsid w:val="008A1356"/>
    <w:rsid w:val="008A1380"/>
    <w:rsid w:val="008A1394"/>
    <w:rsid w:val="008A1412"/>
    <w:rsid w:val="008A1416"/>
    <w:rsid w:val="008A145C"/>
    <w:rsid w:val="008A148C"/>
    <w:rsid w:val="008A149C"/>
    <w:rsid w:val="008A149E"/>
    <w:rsid w:val="008A14A6"/>
    <w:rsid w:val="008A14C9"/>
    <w:rsid w:val="008A155D"/>
    <w:rsid w:val="008A1591"/>
    <w:rsid w:val="008A15FF"/>
    <w:rsid w:val="008A1615"/>
    <w:rsid w:val="008A161D"/>
    <w:rsid w:val="008A1623"/>
    <w:rsid w:val="008A16B1"/>
    <w:rsid w:val="008A16DD"/>
    <w:rsid w:val="008A171A"/>
    <w:rsid w:val="008A1761"/>
    <w:rsid w:val="008A1769"/>
    <w:rsid w:val="008A1773"/>
    <w:rsid w:val="008A1779"/>
    <w:rsid w:val="008A17BC"/>
    <w:rsid w:val="008A17C1"/>
    <w:rsid w:val="008A1825"/>
    <w:rsid w:val="008A186F"/>
    <w:rsid w:val="008A18BB"/>
    <w:rsid w:val="008A18F3"/>
    <w:rsid w:val="008A19FE"/>
    <w:rsid w:val="008A1A5B"/>
    <w:rsid w:val="008A1B21"/>
    <w:rsid w:val="008A1B92"/>
    <w:rsid w:val="008A1C6B"/>
    <w:rsid w:val="008A1C8E"/>
    <w:rsid w:val="008A1CAF"/>
    <w:rsid w:val="008A1D5D"/>
    <w:rsid w:val="008A1E45"/>
    <w:rsid w:val="008A1EA2"/>
    <w:rsid w:val="008A1F54"/>
    <w:rsid w:val="008A1F6A"/>
    <w:rsid w:val="008A1F76"/>
    <w:rsid w:val="008A1FB9"/>
    <w:rsid w:val="008A1FCB"/>
    <w:rsid w:val="008A1FE1"/>
    <w:rsid w:val="008A1FF1"/>
    <w:rsid w:val="008A2028"/>
    <w:rsid w:val="008A2029"/>
    <w:rsid w:val="008A202F"/>
    <w:rsid w:val="008A2035"/>
    <w:rsid w:val="008A2039"/>
    <w:rsid w:val="008A2083"/>
    <w:rsid w:val="008A211C"/>
    <w:rsid w:val="008A2125"/>
    <w:rsid w:val="008A2136"/>
    <w:rsid w:val="008A216A"/>
    <w:rsid w:val="008A21A2"/>
    <w:rsid w:val="008A21B2"/>
    <w:rsid w:val="008A21B9"/>
    <w:rsid w:val="008A2247"/>
    <w:rsid w:val="008A228F"/>
    <w:rsid w:val="008A2298"/>
    <w:rsid w:val="008A22AA"/>
    <w:rsid w:val="008A22BA"/>
    <w:rsid w:val="008A22CA"/>
    <w:rsid w:val="008A22E0"/>
    <w:rsid w:val="008A2317"/>
    <w:rsid w:val="008A237C"/>
    <w:rsid w:val="008A23AF"/>
    <w:rsid w:val="008A23B0"/>
    <w:rsid w:val="008A248E"/>
    <w:rsid w:val="008A24EB"/>
    <w:rsid w:val="008A253F"/>
    <w:rsid w:val="008A2571"/>
    <w:rsid w:val="008A25C5"/>
    <w:rsid w:val="008A25E6"/>
    <w:rsid w:val="008A260B"/>
    <w:rsid w:val="008A26B8"/>
    <w:rsid w:val="008A26E1"/>
    <w:rsid w:val="008A27B4"/>
    <w:rsid w:val="008A27E6"/>
    <w:rsid w:val="008A2859"/>
    <w:rsid w:val="008A28C0"/>
    <w:rsid w:val="008A28C4"/>
    <w:rsid w:val="008A28EA"/>
    <w:rsid w:val="008A2914"/>
    <w:rsid w:val="008A2A03"/>
    <w:rsid w:val="008A2A55"/>
    <w:rsid w:val="008A2B67"/>
    <w:rsid w:val="008A2BBB"/>
    <w:rsid w:val="008A2BC4"/>
    <w:rsid w:val="008A2BFA"/>
    <w:rsid w:val="008A2C53"/>
    <w:rsid w:val="008A2C7A"/>
    <w:rsid w:val="008A2C9D"/>
    <w:rsid w:val="008A2CBD"/>
    <w:rsid w:val="008A2D04"/>
    <w:rsid w:val="008A2D40"/>
    <w:rsid w:val="008A2D6B"/>
    <w:rsid w:val="008A2D98"/>
    <w:rsid w:val="008A2E2F"/>
    <w:rsid w:val="008A2E3A"/>
    <w:rsid w:val="008A2E59"/>
    <w:rsid w:val="008A2E9D"/>
    <w:rsid w:val="008A2EF3"/>
    <w:rsid w:val="008A2F40"/>
    <w:rsid w:val="008A2F52"/>
    <w:rsid w:val="008A2FBC"/>
    <w:rsid w:val="008A302C"/>
    <w:rsid w:val="008A3045"/>
    <w:rsid w:val="008A3066"/>
    <w:rsid w:val="008A3088"/>
    <w:rsid w:val="008A309E"/>
    <w:rsid w:val="008A30C4"/>
    <w:rsid w:val="008A3122"/>
    <w:rsid w:val="008A313E"/>
    <w:rsid w:val="008A3141"/>
    <w:rsid w:val="008A31E7"/>
    <w:rsid w:val="008A31E9"/>
    <w:rsid w:val="008A3237"/>
    <w:rsid w:val="008A3333"/>
    <w:rsid w:val="008A33B4"/>
    <w:rsid w:val="008A33F7"/>
    <w:rsid w:val="008A340A"/>
    <w:rsid w:val="008A3447"/>
    <w:rsid w:val="008A34E9"/>
    <w:rsid w:val="008A34F0"/>
    <w:rsid w:val="008A350B"/>
    <w:rsid w:val="008A3526"/>
    <w:rsid w:val="008A35ED"/>
    <w:rsid w:val="008A362D"/>
    <w:rsid w:val="008A3660"/>
    <w:rsid w:val="008A3662"/>
    <w:rsid w:val="008A3676"/>
    <w:rsid w:val="008A3691"/>
    <w:rsid w:val="008A36B0"/>
    <w:rsid w:val="008A36F5"/>
    <w:rsid w:val="008A3767"/>
    <w:rsid w:val="008A37E8"/>
    <w:rsid w:val="008A3809"/>
    <w:rsid w:val="008A380A"/>
    <w:rsid w:val="008A380D"/>
    <w:rsid w:val="008A3875"/>
    <w:rsid w:val="008A390E"/>
    <w:rsid w:val="008A3978"/>
    <w:rsid w:val="008A39CA"/>
    <w:rsid w:val="008A39F0"/>
    <w:rsid w:val="008A39FF"/>
    <w:rsid w:val="008A3A06"/>
    <w:rsid w:val="008A3A0E"/>
    <w:rsid w:val="008A3A10"/>
    <w:rsid w:val="008A3A79"/>
    <w:rsid w:val="008A3A86"/>
    <w:rsid w:val="008A3AA3"/>
    <w:rsid w:val="008A3AAB"/>
    <w:rsid w:val="008A3ADC"/>
    <w:rsid w:val="008A3B09"/>
    <w:rsid w:val="008A3B2B"/>
    <w:rsid w:val="008A3B77"/>
    <w:rsid w:val="008A3B9A"/>
    <w:rsid w:val="008A3BD2"/>
    <w:rsid w:val="008A3C30"/>
    <w:rsid w:val="008A3C7F"/>
    <w:rsid w:val="008A3CD6"/>
    <w:rsid w:val="008A3E04"/>
    <w:rsid w:val="008A3E3A"/>
    <w:rsid w:val="008A3E3B"/>
    <w:rsid w:val="008A3E5B"/>
    <w:rsid w:val="008A3E81"/>
    <w:rsid w:val="008A3E94"/>
    <w:rsid w:val="008A3FC3"/>
    <w:rsid w:val="008A4032"/>
    <w:rsid w:val="008A411C"/>
    <w:rsid w:val="008A413C"/>
    <w:rsid w:val="008A416E"/>
    <w:rsid w:val="008A4175"/>
    <w:rsid w:val="008A4199"/>
    <w:rsid w:val="008A41AB"/>
    <w:rsid w:val="008A41AF"/>
    <w:rsid w:val="008A41DA"/>
    <w:rsid w:val="008A422E"/>
    <w:rsid w:val="008A4241"/>
    <w:rsid w:val="008A425D"/>
    <w:rsid w:val="008A426D"/>
    <w:rsid w:val="008A42B1"/>
    <w:rsid w:val="008A42E6"/>
    <w:rsid w:val="008A434F"/>
    <w:rsid w:val="008A436E"/>
    <w:rsid w:val="008A4421"/>
    <w:rsid w:val="008A4429"/>
    <w:rsid w:val="008A44CB"/>
    <w:rsid w:val="008A44F7"/>
    <w:rsid w:val="008A4580"/>
    <w:rsid w:val="008A4678"/>
    <w:rsid w:val="008A475F"/>
    <w:rsid w:val="008A4794"/>
    <w:rsid w:val="008A479E"/>
    <w:rsid w:val="008A47D4"/>
    <w:rsid w:val="008A4832"/>
    <w:rsid w:val="008A4864"/>
    <w:rsid w:val="008A4892"/>
    <w:rsid w:val="008A48EF"/>
    <w:rsid w:val="008A490A"/>
    <w:rsid w:val="008A4929"/>
    <w:rsid w:val="008A4931"/>
    <w:rsid w:val="008A49A4"/>
    <w:rsid w:val="008A49BE"/>
    <w:rsid w:val="008A4A75"/>
    <w:rsid w:val="008A4ACB"/>
    <w:rsid w:val="008A4AFE"/>
    <w:rsid w:val="008A4B72"/>
    <w:rsid w:val="008A4CCF"/>
    <w:rsid w:val="008A4CE6"/>
    <w:rsid w:val="008A4D3F"/>
    <w:rsid w:val="008A4E0D"/>
    <w:rsid w:val="008A4E71"/>
    <w:rsid w:val="008A4EB5"/>
    <w:rsid w:val="008A4EF8"/>
    <w:rsid w:val="008A4F16"/>
    <w:rsid w:val="008A4F1B"/>
    <w:rsid w:val="008A4F38"/>
    <w:rsid w:val="008A4F4F"/>
    <w:rsid w:val="008A506B"/>
    <w:rsid w:val="008A51DD"/>
    <w:rsid w:val="008A5245"/>
    <w:rsid w:val="008A529F"/>
    <w:rsid w:val="008A52A6"/>
    <w:rsid w:val="008A52CB"/>
    <w:rsid w:val="008A52DB"/>
    <w:rsid w:val="008A5323"/>
    <w:rsid w:val="008A534C"/>
    <w:rsid w:val="008A537A"/>
    <w:rsid w:val="008A5468"/>
    <w:rsid w:val="008A54E1"/>
    <w:rsid w:val="008A5509"/>
    <w:rsid w:val="008A553C"/>
    <w:rsid w:val="008A555D"/>
    <w:rsid w:val="008A5602"/>
    <w:rsid w:val="008A5609"/>
    <w:rsid w:val="008A5622"/>
    <w:rsid w:val="008A5649"/>
    <w:rsid w:val="008A5659"/>
    <w:rsid w:val="008A5674"/>
    <w:rsid w:val="008A5677"/>
    <w:rsid w:val="008A56A8"/>
    <w:rsid w:val="008A56C9"/>
    <w:rsid w:val="008A571F"/>
    <w:rsid w:val="008A572E"/>
    <w:rsid w:val="008A5761"/>
    <w:rsid w:val="008A5769"/>
    <w:rsid w:val="008A5792"/>
    <w:rsid w:val="008A582D"/>
    <w:rsid w:val="008A5847"/>
    <w:rsid w:val="008A5898"/>
    <w:rsid w:val="008A58D7"/>
    <w:rsid w:val="008A5933"/>
    <w:rsid w:val="008A594B"/>
    <w:rsid w:val="008A5A8E"/>
    <w:rsid w:val="008A5A8F"/>
    <w:rsid w:val="008A5AA4"/>
    <w:rsid w:val="008A5AEE"/>
    <w:rsid w:val="008A5B0A"/>
    <w:rsid w:val="008A5B12"/>
    <w:rsid w:val="008A5B26"/>
    <w:rsid w:val="008A5B68"/>
    <w:rsid w:val="008A5B75"/>
    <w:rsid w:val="008A5B82"/>
    <w:rsid w:val="008A5B89"/>
    <w:rsid w:val="008A5C94"/>
    <w:rsid w:val="008A5C9B"/>
    <w:rsid w:val="008A5CB1"/>
    <w:rsid w:val="008A5CB3"/>
    <w:rsid w:val="008A5CB7"/>
    <w:rsid w:val="008A5CC9"/>
    <w:rsid w:val="008A5CE8"/>
    <w:rsid w:val="008A5D3C"/>
    <w:rsid w:val="008A5D43"/>
    <w:rsid w:val="008A5D70"/>
    <w:rsid w:val="008A5DD8"/>
    <w:rsid w:val="008A5DF1"/>
    <w:rsid w:val="008A5E1A"/>
    <w:rsid w:val="008A5EC3"/>
    <w:rsid w:val="008A5EE2"/>
    <w:rsid w:val="008A5EFB"/>
    <w:rsid w:val="008A5F21"/>
    <w:rsid w:val="008A5F9D"/>
    <w:rsid w:val="008A5FEA"/>
    <w:rsid w:val="008A6084"/>
    <w:rsid w:val="008A60EA"/>
    <w:rsid w:val="008A6170"/>
    <w:rsid w:val="008A61A5"/>
    <w:rsid w:val="008A61C0"/>
    <w:rsid w:val="008A61F2"/>
    <w:rsid w:val="008A61FF"/>
    <w:rsid w:val="008A625C"/>
    <w:rsid w:val="008A62F9"/>
    <w:rsid w:val="008A630C"/>
    <w:rsid w:val="008A6323"/>
    <w:rsid w:val="008A6384"/>
    <w:rsid w:val="008A63D1"/>
    <w:rsid w:val="008A63DC"/>
    <w:rsid w:val="008A642A"/>
    <w:rsid w:val="008A6437"/>
    <w:rsid w:val="008A6439"/>
    <w:rsid w:val="008A643F"/>
    <w:rsid w:val="008A64D6"/>
    <w:rsid w:val="008A64F4"/>
    <w:rsid w:val="008A6582"/>
    <w:rsid w:val="008A6589"/>
    <w:rsid w:val="008A65EC"/>
    <w:rsid w:val="008A65FF"/>
    <w:rsid w:val="008A6610"/>
    <w:rsid w:val="008A6654"/>
    <w:rsid w:val="008A665E"/>
    <w:rsid w:val="008A6680"/>
    <w:rsid w:val="008A66C5"/>
    <w:rsid w:val="008A6709"/>
    <w:rsid w:val="008A6724"/>
    <w:rsid w:val="008A675D"/>
    <w:rsid w:val="008A67B7"/>
    <w:rsid w:val="008A6874"/>
    <w:rsid w:val="008A688F"/>
    <w:rsid w:val="008A6901"/>
    <w:rsid w:val="008A691B"/>
    <w:rsid w:val="008A6964"/>
    <w:rsid w:val="008A697B"/>
    <w:rsid w:val="008A6986"/>
    <w:rsid w:val="008A69AC"/>
    <w:rsid w:val="008A6A58"/>
    <w:rsid w:val="008A6A5E"/>
    <w:rsid w:val="008A6A6B"/>
    <w:rsid w:val="008A6AAB"/>
    <w:rsid w:val="008A6ABF"/>
    <w:rsid w:val="008A6AF0"/>
    <w:rsid w:val="008A6B2B"/>
    <w:rsid w:val="008A6B38"/>
    <w:rsid w:val="008A6B39"/>
    <w:rsid w:val="008A6B6D"/>
    <w:rsid w:val="008A6B74"/>
    <w:rsid w:val="008A6B85"/>
    <w:rsid w:val="008A6C03"/>
    <w:rsid w:val="008A6C39"/>
    <w:rsid w:val="008A6CB5"/>
    <w:rsid w:val="008A6CEC"/>
    <w:rsid w:val="008A6D20"/>
    <w:rsid w:val="008A6D9F"/>
    <w:rsid w:val="008A6DD1"/>
    <w:rsid w:val="008A6E7C"/>
    <w:rsid w:val="008A6EA8"/>
    <w:rsid w:val="008A6EA9"/>
    <w:rsid w:val="008A6FE1"/>
    <w:rsid w:val="008A7048"/>
    <w:rsid w:val="008A7094"/>
    <w:rsid w:val="008A709C"/>
    <w:rsid w:val="008A70B9"/>
    <w:rsid w:val="008A7123"/>
    <w:rsid w:val="008A7159"/>
    <w:rsid w:val="008A71BA"/>
    <w:rsid w:val="008A71C5"/>
    <w:rsid w:val="008A71E2"/>
    <w:rsid w:val="008A71F9"/>
    <w:rsid w:val="008A7213"/>
    <w:rsid w:val="008A725C"/>
    <w:rsid w:val="008A72FF"/>
    <w:rsid w:val="008A7318"/>
    <w:rsid w:val="008A73ED"/>
    <w:rsid w:val="008A73FA"/>
    <w:rsid w:val="008A73FE"/>
    <w:rsid w:val="008A73FF"/>
    <w:rsid w:val="008A7465"/>
    <w:rsid w:val="008A7481"/>
    <w:rsid w:val="008A7484"/>
    <w:rsid w:val="008A7515"/>
    <w:rsid w:val="008A756F"/>
    <w:rsid w:val="008A7585"/>
    <w:rsid w:val="008A75B7"/>
    <w:rsid w:val="008A75DA"/>
    <w:rsid w:val="008A765D"/>
    <w:rsid w:val="008A769C"/>
    <w:rsid w:val="008A76AB"/>
    <w:rsid w:val="008A76DF"/>
    <w:rsid w:val="008A76E4"/>
    <w:rsid w:val="008A7714"/>
    <w:rsid w:val="008A7826"/>
    <w:rsid w:val="008A7861"/>
    <w:rsid w:val="008A787B"/>
    <w:rsid w:val="008A78B2"/>
    <w:rsid w:val="008A79AE"/>
    <w:rsid w:val="008A79D8"/>
    <w:rsid w:val="008A7A0A"/>
    <w:rsid w:val="008A7A1C"/>
    <w:rsid w:val="008A7A9C"/>
    <w:rsid w:val="008A7AD4"/>
    <w:rsid w:val="008A7B56"/>
    <w:rsid w:val="008A7BBC"/>
    <w:rsid w:val="008A7C7A"/>
    <w:rsid w:val="008A7C84"/>
    <w:rsid w:val="008A7C8D"/>
    <w:rsid w:val="008A7CDB"/>
    <w:rsid w:val="008A7D6D"/>
    <w:rsid w:val="008A7DC3"/>
    <w:rsid w:val="008A7E28"/>
    <w:rsid w:val="008A7E44"/>
    <w:rsid w:val="008A7E90"/>
    <w:rsid w:val="008A7E91"/>
    <w:rsid w:val="008A7ED4"/>
    <w:rsid w:val="008A7EF5"/>
    <w:rsid w:val="008A7FA5"/>
    <w:rsid w:val="008A7FD9"/>
    <w:rsid w:val="008A7FF3"/>
    <w:rsid w:val="008B0027"/>
    <w:rsid w:val="008B0042"/>
    <w:rsid w:val="008B00D7"/>
    <w:rsid w:val="008B0130"/>
    <w:rsid w:val="008B017E"/>
    <w:rsid w:val="008B01A7"/>
    <w:rsid w:val="008B01D7"/>
    <w:rsid w:val="008B0225"/>
    <w:rsid w:val="008B026C"/>
    <w:rsid w:val="008B028B"/>
    <w:rsid w:val="008B02A1"/>
    <w:rsid w:val="008B02AE"/>
    <w:rsid w:val="008B02B0"/>
    <w:rsid w:val="008B0428"/>
    <w:rsid w:val="008B0443"/>
    <w:rsid w:val="008B0449"/>
    <w:rsid w:val="008B0477"/>
    <w:rsid w:val="008B054E"/>
    <w:rsid w:val="008B059C"/>
    <w:rsid w:val="008B05E2"/>
    <w:rsid w:val="008B0627"/>
    <w:rsid w:val="008B06B8"/>
    <w:rsid w:val="008B06EC"/>
    <w:rsid w:val="008B071F"/>
    <w:rsid w:val="008B0722"/>
    <w:rsid w:val="008B07C1"/>
    <w:rsid w:val="008B07E6"/>
    <w:rsid w:val="008B07F2"/>
    <w:rsid w:val="008B0812"/>
    <w:rsid w:val="008B0870"/>
    <w:rsid w:val="008B0881"/>
    <w:rsid w:val="008B08D8"/>
    <w:rsid w:val="008B0922"/>
    <w:rsid w:val="008B097A"/>
    <w:rsid w:val="008B0986"/>
    <w:rsid w:val="008B09B2"/>
    <w:rsid w:val="008B09F3"/>
    <w:rsid w:val="008B09FB"/>
    <w:rsid w:val="008B0ADD"/>
    <w:rsid w:val="008B0C4C"/>
    <w:rsid w:val="008B0C9A"/>
    <w:rsid w:val="008B0D17"/>
    <w:rsid w:val="008B0D84"/>
    <w:rsid w:val="008B0D88"/>
    <w:rsid w:val="008B0DF4"/>
    <w:rsid w:val="008B0E33"/>
    <w:rsid w:val="008B0E94"/>
    <w:rsid w:val="008B0EC0"/>
    <w:rsid w:val="008B0EC6"/>
    <w:rsid w:val="008B0EE6"/>
    <w:rsid w:val="008B0EFD"/>
    <w:rsid w:val="008B0F03"/>
    <w:rsid w:val="008B0F2B"/>
    <w:rsid w:val="008B0F5C"/>
    <w:rsid w:val="008B0F90"/>
    <w:rsid w:val="008B0F9C"/>
    <w:rsid w:val="008B0FAF"/>
    <w:rsid w:val="008B1051"/>
    <w:rsid w:val="008B10A8"/>
    <w:rsid w:val="008B1110"/>
    <w:rsid w:val="008B112F"/>
    <w:rsid w:val="008B1145"/>
    <w:rsid w:val="008B1154"/>
    <w:rsid w:val="008B1193"/>
    <w:rsid w:val="008B1194"/>
    <w:rsid w:val="008B1195"/>
    <w:rsid w:val="008B11EA"/>
    <w:rsid w:val="008B120E"/>
    <w:rsid w:val="008B125E"/>
    <w:rsid w:val="008B127C"/>
    <w:rsid w:val="008B12A5"/>
    <w:rsid w:val="008B12CC"/>
    <w:rsid w:val="008B12D8"/>
    <w:rsid w:val="008B13DF"/>
    <w:rsid w:val="008B145C"/>
    <w:rsid w:val="008B14A0"/>
    <w:rsid w:val="008B14DD"/>
    <w:rsid w:val="008B150E"/>
    <w:rsid w:val="008B1599"/>
    <w:rsid w:val="008B1657"/>
    <w:rsid w:val="008B1681"/>
    <w:rsid w:val="008B1713"/>
    <w:rsid w:val="008B1727"/>
    <w:rsid w:val="008B17BA"/>
    <w:rsid w:val="008B17D4"/>
    <w:rsid w:val="008B17E0"/>
    <w:rsid w:val="008B1806"/>
    <w:rsid w:val="008B1830"/>
    <w:rsid w:val="008B1873"/>
    <w:rsid w:val="008B1885"/>
    <w:rsid w:val="008B1906"/>
    <w:rsid w:val="008B1910"/>
    <w:rsid w:val="008B1926"/>
    <w:rsid w:val="008B1968"/>
    <w:rsid w:val="008B1A6F"/>
    <w:rsid w:val="008B1AF8"/>
    <w:rsid w:val="008B1B28"/>
    <w:rsid w:val="008B1B38"/>
    <w:rsid w:val="008B1B53"/>
    <w:rsid w:val="008B1B9F"/>
    <w:rsid w:val="008B1BAC"/>
    <w:rsid w:val="008B1BCE"/>
    <w:rsid w:val="008B1CB7"/>
    <w:rsid w:val="008B1D02"/>
    <w:rsid w:val="008B1D39"/>
    <w:rsid w:val="008B1D52"/>
    <w:rsid w:val="008B1D53"/>
    <w:rsid w:val="008B1D73"/>
    <w:rsid w:val="008B1D7E"/>
    <w:rsid w:val="008B1DB0"/>
    <w:rsid w:val="008B1E14"/>
    <w:rsid w:val="008B1E29"/>
    <w:rsid w:val="008B1E9C"/>
    <w:rsid w:val="008B1ED9"/>
    <w:rsid w:val="008B1EE4"/>
    <w:rsid w:val="008B1EFB"/>
    <w:rsid w:val="008B1F65"/>
    <w:rsid w:val="008B1FCD"/>
    <w:rsid w:val="008B1FD7"/>
    <w:rsid w:val="008B1FF2"/>
    <w:rsid w:val="008B2034"/>
    <w:rsid w:val="008B207D"/>
    <w:rsid w:val="008B2088"/>
    <w:rsid w:val="008B20DF"/>
    <w:rsid w:val="008B2100"/>
    <w:rsid w:val="008B2130"/>
    <w:rsid w:val="008B2176"/>
    <w:rsid w:val="008B21CA"/>
    <w:rsid w:val="008B231B"/>
    <w:rsid w:val="008B2338"/>
    <w:rsid w:val="008B233C"/>
    <w:rsid w:val="008B2342"/>
    <w:rsid w:val="008B234B"/>
    <w:rsid w:val="008B2355"/>
    <w:rsid w:val="008B2397"/>
    <w:rsid w:val="008B24A9"/>
    <w:rsid w:val="008B24DD"/>
    <w:rsid w:val="008B24E4"/>
    <w:rsid w:val="008B2512"/>
    <w:rsid w:val="008B253E"/>
    <w:rsid w:val="008B254F"/>
    <w:rsid w:val="008B255F"/>
    <w:rsid w:val="008B2592"/>
    <w:rsid w:val="008B259D"/>
    <w:rsid w:val="008B25BB"/>
    <w:rsid w:val="008B25C9"/>
    <w:rsid w:val="008B2611"/>
    <w:rsid w:val="008B26AA"/>
    <w:rsid w:val="008B270E"/>
    <w:rsid w:val="008B270F"/>
    <w:rsid w:val="008B2795"/>
    <w:rsid w:val="008B281B"/>
    <w:rsid w:val="008B2849"/>
    <w:rsid w:val="008B289D"/>
    <w:rsid w:val="008B28A5"/>
    <w:rsid w:val="008B28DF"/>
    <w:rsid w:val="008B2914"/>
    <w:rsid w:val="008B29AB"/>
    <w:rsid w:val="008B29E2"/>
    <w:rsid w:val="008B29FA"/>
    <w:rsid w:val="008B2A4E"/>
    <w:rsid w:val="008B2A67"/>
    <w:rsid w:val="008B2A72"/>
    <w:rsid w:val="008B2A9A"/>
    <w:rsid w:val="008B2AAF"/>
    <w:rsid w:val="008B2AD3"/>
    <w:rsid w:val="008B2ADB"/>
    <w:rsid w:val="008B2B0E"/>
    <w:rsid w:val="008B2B89"/>
    <w:rsid w:val="008B2BD4"/>
    <w:rsid w:val="008B2C48"/>
    <w:rsid w:val="008B2C51"/>
    <w:rsid w:val="008B2C5B"/>
    <w:rsid w:val="008B2C6D"/>
    <w:rsid w:val="008B2D43"/>
    <w:rsid w:val="008B2D5B"/>
    <w:rsid w:val="008B2D68"/>
    <w:rsid w:val="008B2D6A"/>
    <w:rsid w:val="008B2DD5"/>
    <w:rsid w:val="008B2DD8"/>
    <w:rsid w:val="008B2E45"/>
    <w:rsid w:val="008B2E71"/>
    <w:rsid w:val="008B2E75"/>
    <w:rsid w:val="008B2EA7"/>
    <w:rsid w:val="008B2EEE"/>
    <w:rsid w:val="008B2EF4"/>
    <w:rsid w:val="008B2F06"/>
    <w:rsid w:val="008B2F93"/>
    <w:rsid w:val="008B3096"/>
    <w:rsid w:val="008B30D5"/>
    <w:rsid w:val="008B30E6"/>
    <w:rsid w:val="008B31D4"/>
    <w:rsid w:val="008B31F0"/>
    <w:rsid w:val="008B320E"/>
    <w:rsid w:val="008B3231"/>
    <w:rsid w:val="008B3298"/>
    <w:rsid w:val="008B32AF"/>
    <w:rsid w:val="008B333F"/>
    <w:rsid w:val="008B339E"/>
    <w:rsid w:val="008B33D2"/>
    <w:rsid w:val="008B341D"/>
    <w:rsid w:val="008B342E"/>
    <w:rsid w:val="008B3499"/>
    <w:rsid w:val="008B34AB"/>
    <w:rsid w:val="008B34C2"/>
    <w:rsid w:val="008B356C"/>
    <w:rsid w:val="008B35B0"/>
    <w:rsid w:val="008B3613"/>
    <w:rsid w:val="008B363F"/>
    <w:rsid w:val="008B366F"/>
    <w:rsid w:val="008B3736"/>
    <w:rsid w:val="008B3761"/>
    <w:rsid w:val="008B378F"/>
    <w:rsid w:val="008B37B1"/>
    <w:rsid w:val="008B37EA"/>
    <w:rsid w:val="008B37EE"/>
    <w:rsid w:val="008B37FD"/>
    <w:rsid w:val="008B3820"/>
    <w:rsid w:val="008B3836"/>
    <w:rsid w:val="008B3844"/>
    <w:rsid w:val="008B386E"/>
    <w:rsid w:val="008B398B"/>
    <w:rsid w:val="008B399E"/>
    <w:rsid w:val="008B3A5E"/>
    <w:rsid w:val="008B3A76"/>
    <w:rsid w:val="008B3AA6"/>
    <w:rsid w:val="008B3ABA"/>
    <w:rsid w:val="008B3B34"/>
    <w:rsid w:val="008B3B48"/>
    <w:rsid w:val="008B3BAF"/>
    <w:rsid w:val="008B3BDA"/>
    <w:rsid w:val="008B3C18"/>
    <w:rsid w:val="008B3CFD"/>
    <w:rsid w:val="008B3D21"/>
    <w:rsid w:val="008B3D5B"/>
    <w:rsid w:val="008B3D85"/>
    <w:rsid w:val="008B3DC5"/>
    <w:rsid w:val="008B3DDE"/>
    <w:rsid w:val="008B3E59"/>
    <w:rsid w:val="008B3E63"/>
    <w:rsid w:val="008B3E83"/>
    <w:rsid w:val="008B3F0D"/>
    <w:rsid w:val="008B3F12"/>
    <w:rsid w:val="008B3F8F"/>
    <w:rsid w:val="008B3F9B"/>
    <w:rsid w:val="008B4024"/>
    <w:rsid w:val="008B4028"/>
    <w:rsid w:val="008B40F4"/>
    <w:rsid w:val="008B414C"/>
    <w:rsid w:val="008B4154"/>
    <w:rsid w:val="008B4163"/>
    <w:rsid w:val="008B4168"/>
    <w:rsid w:val="008B41B1"/>
    <w:rsid w:val="008B4212"/>
    <w:rsid w:val="008B42B8"/>
    <w:rsid w:val="008B42D5"/>
    <w:rsid w:val="008B431A"/>
    <w:rsid w:val="008B4389"/>
    <w:rsid w:val="008B438D"/>
    <w:rsid w:val="008B439B"/>
    <w:rsid w:val="008B43AF"/>
    <w:rsid w:val="008B43BA"/>
    <w:rsid w:val="008B4428"/>
    <w:rsid w:val="008B442E"/>
    <w:rsid w:val="008B443F"/>
    <w:rsid w:val="008B4494"/>
    <w:rsid w:val="008B44BE"/>
    <w:rsid w:val="008B450B"/>
    <w:rsid w:val="008B455C"/>
    <w:rsid w:val="008B45BB"/>
    <w:rsid w:val="008B4650"/>
    <w:rsid w:val="008B4663"/>
    <w:rsid w:val="008B469E"/>
    <w:rsid w:val="008B46E8"/>
    <w:rsid w:val="008B4700"/>
    <w:rsid w:val="008B470E"/>
    <w:rsid w:val="008B4715"/>
    <w:rsid w:val="008B4739"/>
    <w:rsid w:val="008B4742"/>
    <w:rsid w:val="008B477C"/>
    <w:rsid w:val="008B47AA"/>
    <w:rsid w:val="008B47B8"/>
    <w:rsid w:val="008B4812"/>
    <w:rsid w:val="008B4820"/>
    <w:rsid w:val="008B4862"/>
    <w:rsid w:val="008B4879"/>
    <w:rsid w:val="008B487E"/>
    <w:rsid w:val="008B4910"/>
    <w:rsid w:val="008B494E"/>
    <w:rsid w:val="008B4956"/>
    <w:rsid w:val="008B4982"/>
    <w:rsid w:val="008B4999"/>
    <w:rsid w:val="008B49DA"/>
    <w:rsid w:val="008B49EE"/>
    <w:rsid w:val="008B4A4A"/>
    <w:rsid w:val="008B4A7C"/>
    <w:rsid w:val="008B4AA4"/>
    <w:rsid w:val="008B4BF2"/>
    <w:rsid w:val="008B4C25"/>
    <w:rsid w:val="008B4C4D"/>
    <w:rsid w:val="008B4C9D"/>
    <w:rsid w:val="008B4CD4"/>
    <w:rsid w:val="008B4CE3"/>
    <w:rsid w:val="008B4D94"/>
    <w:rsid w:val="008B4E2F"/>
    <w:rsid w:val="008B4E76"/>
    <w:rsid w:val="008B4E9E"/>
    <w:rsid w:val="008B4EBE"/>
    <w:rsid w:val="008B4EC6"/>
    <w:rsid w:val="008B4F04"/>
    <w:rsid w:val="008B4F49"/>
    <w:rsid w:val="008B4F4E"/>
    <w:rsid w:val="008B4FA2"/>
    <w:rsid w:val="008B4FEE"/>
    <w:rsid w:val="008B5049"/>
    <w:rsid w:val="008B5069"/>
    <w:rsid w:val="008B507B"/>
    <w:rsid w:val="008B50B4"/>
    <w:rsid w:val="008B519A"/>
    <w:rsid w:val="008B51B9"/>
    <w:rsid w:val="008B5208"/>
    <w:rsid w:val="008B520C"/>
    <w:rsid w:val="008B5221"/>
    <w:rsid w:val="008B5228"/>
    <w:rsid w:val="008B5259"/>
    <w:rsid w:val="008B527A"/>
    <w:rsid w:val="008B52DB"/>
    <w:rsid w:val="008B52E0"/>
    <w:rsid w:val="008B52F6"/>
    <w:rsid w:val="008B530A"/>
    <w:rsid w:val="008B531B"/>
    <w:rsid w:val="008B531E"/>
    <w:rsid w:val="008B53E2"/>
    <w:rsid w:val="008B5482"/>
    <w:rsid w:val="008B548B"/>
    <w:rsid w:val="008B54B3"/>
    <w:rsid w:val="008B54F3"/>
    <w:rsid w:val="008B5504"/>
    <w:rsid w:val="008B55A7"/>
    <w:rsid w:val="008B561F"/>
    <w:rsid w:val="008B566E"/>
    <w:rsid w:val="008B5721"/>
    <w:rsid w:val="008B573C"/>
    <w:rsid w:val="008B573E"/>
    <w:rsid w:val="008B57F4"/>
    <w:rsid w:val="008B5816"/>
    <w:rsid w:val="008B588E"/>
    <w:rsid w:val="008B58F2"/>
    <w:rsid w:val="008B5933"/>
    <w:rsid w:val="008B59D0"/>
    <w:rsid w:val="008B5A32"/>
    <w:rsid w:val="008B5A4E"/>
    <w:rsid w:val="008B5A67"/>
    <w:rsid w:val="008B5A75"/>
    <w:rsid w:val="008B5A85"/>
    <w:rsid w:val="008B5AE9"/>
    <w:rsid w:val="008B5B0F"/>
    <w:rsid w:val="008B5B44"/>
    <w:rsid w:val="008B5B50"/>
    <w:rsid w:val="008B5B78"/>
    <w:rsid w:val="008B5BA7"/>
    <w:rsid w:val="008B5BC3"/>
    <w:rsid w:val="008B5BC6"/>
    <w:rsid w:val="008B5CBA"/>
    <w:rsid w:val="008B5CCC"/>
    <w:rsid w:val="008B5CEC"/>
    <w:rsid w:val="008B5CF1"/>
    <w:rsid w:val="008B5DD6"/>
    <w:rsid w:val="008B5DF4"/>
    <w:rsid w:val="008B5EED"/>
    <w:rsid w:val="008B5F33"/>
    <w:rsid w:val="008B5F8E"/>
    <w:rsid w:val="008B5FF8"/>
    <w:rsid w:val="008B601F"/>
    <w:rsid w:val="008B603A"/>
    <w:rsid w:val="008B609D"/>
    <w:rsid w:val="008B60AD"/>
    <w:rsid w:val="008B60C0"/>
    <w:rsid w:val="008B613E"/>
    <w:rsid w:val="008B614F"/>
    <w:rsid w:val="008B61E1"/>
    <w:rsid w:val="008B626C"/>
    <w:rsid w:val="008B6279"/>
    <w:rsid w:val="008B62BB"/>
    <w:rsid w:val="008B633E"/>
    <w:rsid w:val="008B6359"/>
    <w:rsid w:val="008B63DD"/>
    <w:rsid w:val="008B63F3"/>
    <w:rsid w:val="008B647D"/>
    <w:rsid w:val="008B64E8"/>
    <w:rsid w:val="008B64EA"/>
    <w:rsid w:val="008B652D"/>
    <w:rsid w:val="008B65F8"/>
    <w:rsid w:val="008B660A"/>
    <w:rsid w:val="008B6639"/>
    <w:rsid w:val="008B66A6"/>
    <w:rsid w:val="008B66A7"/>
    <w:rsid w:val="008B66E8"/>
    <w:rsid w:val="008B6733"/>
    <w:rsid w:val="008B67E9"/>
    <w:rsid w:val="008B6840"/>
    <w:rsid w:val="008B684C"/>
    <w:rsid w:val="008B687C"/>
    <w:rsid w:val="008B68C6"/>
    <w:rsid w:val="008B6914"/>
    <w:rsid w:val="008B693D"/>
    <w:rsid w:val="008B69CD"/>
    <w:rsid w:val="008B6A7D"/>
    <w:rsid w:val="008B6A94"/>
    <w:rsid w:val="008B6AEF"/>
    <w:rsid w:val="008B6AF4"/>
    <w:rsid w:val="008B6B19"/>
    <w:rsid w:val="008B6B9B"/>
    <w:rsid w:val="008B6BCE"/>
    <w:rsid w:val="008B6BE1"/>
    <w:rsid w:val="008B6C6B"/>
    <w:rsid w:val="008B6CC0"/>
    <w:rsid w:val="008B6CF0"/>
    <w:rsid w:val="008B6D95"/>
    <w:rsid w:val="008B6E3D"/>
    <w:rsid w:val="008B6F7F"/>
    <w:rsid w:val="008B6FBC"/>
    <w:rsid w:val="008B6FDD"/>
    <w:rsid w:val="008B6FF2"/>
    <w:rsid w:val="008B7025"/>
    <w:rsid w:val="008B7056"/>
    <w:rsid w:val="008B7073"/>
    <w:rsid w:val="008B709C"/>
    <w:rsid w:val="008B71D1"/>
    <w:rsid w:val="008B7208"/>
    <w:rsid w:val="008B7245"/>
    <w:rsid w:val="008B729C"/>
    <w:rsid w:val="008B736A"/>
    <w:rsid w:val="008B73A1"/>
    <w:rsid w:val="008B7426"/>
    <w:rsid w:val="008B7433"/>
    <w:rsid w:val="008B7440"/>
    <w:rsid w:val="008B7466"/>
    <w:rsid w:val="008B7486"/>
    <w:rsid w:val="008B74A7"/>
    <w:rsid w:val="008B752D"/>
    <w:rsid w:val="008B7593"/>
    <w:rsid w:val="008B7598"/>
    <w:rsid w:val="008B75D4"/>
    <w:rsid w:val="008B760F"/>
    <w:rsid w:val="008B762E"/>
    <w:rsid w:val="008B768D"/>
    <w:rsid w:val="008B76C7"/>
    <w:rsid w:val="008B770F"/>
    <w:rsid w:val="008B7718"/>
    <w:rsid w:val="008B7738"/>
    <w:rsid w:val="008B7772"/>
    <w:rsid w:val="008B7857"/>
    <w:rsid w:val="008B78D1"/>
    <w:rsid w:val="008B78F0"/>
    <w:rsid w:val="008B7915"/>
    <w:rsid w:val="008B798E"/>
    <w:rsid w:val="008B79ED"/>
    <w:rsid w:val="008B7A55"/>
    <w:rsid w:val="008B7A78"/>
    <w:rsid w:val="008B7AAA"/>
    <w:rsid w:val="008B7B3B"/>
    <w:rsid w:val="008B7B63"/>
    <w:rsid w:val="008B7B64"/>
    <w:rsid w:val="008B7BAD"/>
    <w:rsid w:val="008B7BAE"/>
    <w:rsid w:val="008B7BC6"/>
    <w:rsid w:val="008B7BE2"/>
    <w:rsid w:val="008B7CB9"/>
    <w:rsid w:val="008B7CBD"/>
    <w:rsid w:val="008B7CEA"/>
    <w:rsid w:val="008B7D30"/>
    <w:rsid w:val="008B7D4C"/>
    <w:rsid w:val="008B7EAC"/>
    <w:rsid w:val="008B7EE9"/>
    <w:rsid w:val="008B7FA6"/>
    <w:rsid w:val="008B7FDE"/>
    <w:rsid w:val="008B7FFB"/>
    <w:rsid w:val="008C0010"/>
    <w:rsid w:val="008C0021"/>
    <w:rsid w:val="008C0080"/>
    <w:rsid w:val="008C0083"/>
    <w:rsid w:val="008C00A1"/>
    <w:rsid w:val="008C00B3"/>
    <w:rsid w:val="008C00B5"/>
    <w:rsid w:val="008C00BE"/>
    <w:rsid w:val="008C0106"/>
    <w:rsid w:val="008C014C"/>
    <w:rsid w:val="008C01B5"/>
    <w:rsid w:val="008C024E"/>
    <w:rsid w:val="008C0250"/>
    <w:rsid w:val="008C0275"/>
    <w:rsid w:val="008C028E"/>
    <w:rsid w:val="008C029C"/>
    <w:rsid w:val="008C02C9"/>
    <w:rsid w:val="008C02FE"/>
    <w:rsid w:val="008C0321"/>
    <w:rsid w:val="008C0346"/>
    <w:rsid w:val="008C03C8"/>
    <w:rsid w:val="008C0423"/>
    <w:rsid w:val="008C04B5"/>
    <w:rsid w:val="008C04E0"/>
    <w:rsid w:val="008C0523"/>
    <w:rsid w:val="008C0535"/>
    <w:rsid w:val="008C0565"/>
    <w:rsid w:val="008C056F"/>
    <w:rsid w:val="008C059D"/>
    <w:rsid w:val="008C05AD"/>
    <w:rsid w:val="008C0602"/>
    <w:rsid w:val="008C0630"/>
    <w:rsid w:val="008C06A1"/>
    <w:rsid w:val="008C0715"/>
    <w:rsid w:val="008C0752"/>
    <w:rsid w:val="008C07D2"/>
    <w:rsid w:val="008C09A7"/>
    <w:rsid w:val="008C09B4"/>
    <w:rsid w:val="008C09D7"/>
    <w:rsid w:val="008C09DA"/>
    <w:rsid w:val="008C0A02"/>
    <w:rsid w:val="008C0A37"/>
    <w:rsid w:val="008C0A5E"/>
    <w:rsid w:val="008C0ABA"/>
    <w:rsid w:val="008C0AC5"/>
    <w:rsid w:val="008C0AD6"/>
    <w:rsid w:val="008C0B43"/>
    <w:rsid w:val="008C0B49"/>
    <w:rsid w:val="008C0BC1"/>
    <w:rsid w:val="008C0BE5"/>
    <w:rsid w:val="008C0C0C"/>
    <w:rsid w:val="008C0C11"/>
    <w:rsid w:val="008C0C75"/>
    <w:rsid w:val="008C0D43"/>
    <w:rsid w:val="008C0D99"/>
    <w:rsid w:val="008C0E06"/>
    <w:rsid w:val="008C0E1A"/>
    <w:rsid w:val="008C0F5A"/>
    <w:rsid w:val="008C0F99"/>
    <w:rsid w:val="008C1007"/>
    <w:rsid w:val="008C1012"/>
    <w:rsid w:val="008C1028"/>
    <w:rsid w:val="008C1041"/>
    <w:rsid w:val="008C1053"/>
    <w:rsid w:val="008C1079"/>
    <w:rsid w:val="008C1084"/>
    <w:rsid w:val="008C10F8"/>
    <w:rsid w:val="008C1169"/>
    <w:rsid w:val="008C11D0"/>
    <w:rsid w:val="008C1279"/>
    <w:rsid w:val="008C1342"/>
    <w:rsid w:val="008C1369"/>
    <w:rsid w:val="008C13B6"/>
    <w:rsid w:val="008C13F4"/>
    <w:rsid w:val="008C1489"/>
    <w:rsid w:val="008C1499"/>
    <w:rsid w:val="008C149F"/>
    <w:rsid w:val="008C14CD"/>
    <w:rsid w:val="008C14CE"/>
    <w:rsid w:val="008C14E2"/>
    <w:rsid w:val="008C1564"/>
    <w:rsid w:val="008C1566"/>
    <w:rsid w:val="008C1582"/>
    <w:rsid w:val="008C15E6"/>
    <w:rsid w:val="008C163A"/>
    <w:rsid w:val="008C1656"/>
    <w:rsid w:val="008C16AB"/>
    <w:rsid w:val="008C16B1"/>
    <w:rsid w:val="008C16B3"/>
    <w:rsid w:val="008C16BE"/>
    <w:rsid w:val="008C16E8"/>
    <w:rsid w:val="008C16FC"/>
    <w:rsid w:val="008C1716"/>
    <w:rsid w:val="008C1739"/>
    <w:rsid w:val="008C177E"/>
    <w:rsid w:val="008C183A"/>
    <w:rsid w:val="008C185C"/>
    <w:rsid w:val="008C1875"/>
    <w:rsid w:val="008C1897"/>
    <w:rsid w:val="008C18C4"/>
    <w:rsid w:val="008C18D7"/>
    <w:rsid w:val="008C191D"/>
    <w:rsid w:val="008C1920"/>
    <w:rsid w:val="008C196D"/>
    <w:rsid w:val="008C19BB"/>
    <w:rsid w:val="008C19DC"/>
    <w:rsid w:val="008C1AB1"/>
    <w:rsid w:val="008C1B0F"/>
    <w:rsid w:val="008C1B69"/>
    <w:rsid w:val="008C1B85"/>
    <w:rsid w:val="008C1BCC"/>
    <w:rsid w:val="008C1CF1"/>
    <w:rsid w:val="008C1CF2"/>
    <w:rsid w:val="008C1D38"/>
    <w:rsid w:val="008C1D74"/>
    <w:rsid w:val="008C1D76"/>
    <w:rsid w:val="008C1DBA"/>
    <w:rsid w:val="008C1DE7"/>
    <w:rsid w:val="008C1E3D"/>
    <w:rsid w:val="008C1E6B"/>
    <w:rsid w:val="008C1E95"/>
    <w:rsid w:val="008C1EB9"/>
    <w:rsid w:val="008C1EEC"/>
    <w:rsid w:val="008C1F26"/>
    <w:rsid w:val="008C1F7B"/>
    <w:rsid w:val="008C1F98"/>
    <w:rsid w:val="008C1F9D"/>
    <w:rsid w:val="008C1FA1"/>
    <w:rsid w:val="008C1FB1"/>
    <w:rsid w:val="008C1FC7"/>
    <w:rsid w:val="008C1FD5"/>
    <w:rsid w:val="008C2002"/>
    <w:rsid w:val="008C2004"/>
    <w:rsid w:val="008C200B"/>
    <w:rsid w:val="008C200E"/>
    <w:rsid w:val="008C2076"/>
    <w:rsid w:val="008C2084"/>
    <w:rsid w:val="008C20AC"/>
    <w:rsid w:val="008C211D"/>
    <w:rsid w:val="008C2132"/>
    <w:rsid w:val="008C2196"/>
    <w:rsid w:val="008C21E1"/>
    <w:rsid w:val="008C2289"/>
    <w:rsid w:val="008C22AA"/>
    <w:rsid w:val="008C22ED"/>
    <w:rsid w:val="008C22EF"/>
    <w:rsid w:val="008C2323"/>
    <w:rsid w:val="008C2339"/>
    <w:rsid w:val="008C23DF"/>
    <w:rsid w:val="008C23FD"/>
    <w:rsid w:val="008C25B2"/>
    <w:rsid w:val="008C25B8"/>
    <w:rsid w:val="008C25BA"/>
    <w:rsid w:val="008C26B8"/>
    <w:rsid w:val="008C2769"/>
    <w:rsid w:val="008C27ED"/>
    <w:rsid w:val="008C285E"/>
    <w:rsid w:val="008C289D"/>
    <w:rsid w:val="008C28C8"/>
    <w:rsid w:val="008C290C"/>
    <w:rsid w:val="008C293E"/>
    <w:rsid w:val="008C2950"/>
    <w:rsid w:val="008C295E"/>
    <w:rsid w:val="008C29E2"/>
    <w:rsid w:val="008C2AB2"/>
    <w:rsid w:val="008C2B1B"/>
    <w:rsid w:val="008C2B44"/>
    <w:rsid w:val="008C2BF3"/>
    <w:rsid w:val="008C2BF8"/>
    <w:rsid w:val="008C2C8B"/>
    <w:rsid w:val="008C2D51"/>
    <w:rsid w:val="008C2D88"/>
    <w:rsid w:val="008C2DB7"/>
    <w:rsid w:val="008C2DD9"/>
    <w:rsid w:val="008C2E0C"/>
    <w:rsid w:val="008C2FC6"/>
    <w:rsid w:val="008C3003"/>
    <w:rsid w:val="008C3051"/>
    <w:rsid w:val="008C30E3"/>
    <w:rsid w:val="008C310B"/>
    <w:rsid w:val="008C31A4"/>
    <w:rsid w:val="008C31AE"/>
    <w:rsid w:val="008C31ED"/>
    <w:rsid w:val="008C3242"/>
    <w:rsid w:val="008C3261"/>
    <w:rsid w:val="008C32DC"/>
    <w:rsid w:val="008C332D"/>
    <w:rsid w:val="008C3366"/>
    <w:rsid w:val="008C3367"/>
    <w:rsid w:val="008C341B"/>
    <w:rsid w:val="008C342E"/>
    <w:rsid w:val="008C348F"/>
    <w:rsid w:val="008C34DD"/>
    <w:rsid w:val="008C34F5"/>
    <w:rsid w:val="008C3591"/>
    <w:rsid w:val="008C35F1"/>
    <w:rsid w:val="008C3629"/>
    <w:rsid w:val="008C3657"/>
    <w:rsid w:val="008C3669"/>
    <w:rsid w:val="008C3678"/>
    <w:rsid w:val="008C3706"/>
    <w:rsid w:val="008C372C"/>
    <w:rsid w:val="008C37C8"/>
    <w:rsid w:val="008C3806"/>
    <w:rsid w:val="008C382F"/>
    <w:rsid w:val="008C387B"/>
    <w:rsid w:val="008C388E"/>
    <w:rsid w:val="008C3897"/>
    <w:rsid w:val="008C38DA"/>
    <w:rsid w:val="008C3905"/>
    <w:rsid w:val="008C399A"/>
    <w:rsid w:val="008C3A1A"/>
    <w:rsid w:val="008C3A61"/>
    <w:rsid w:val="008C3A8B"/>
    <w:rsid w:val="008C3B0B"/>
    <w:rsid w:val="008C3B60"/>
    <w:rsid w:val="008C3B6A"/>
    <w:rsid w:val="008C3B6E"/>
    <w:rsid w:val="008C3B80"/>
    <w:rsid w:val="008C3BB1"/>
    <w:rsid w:val="008C3BE1"/>
    <w:rsid w:val="008C3BE6"/>
    <w:rsid w:val="008C3C07"/>
    <w:rsid w:val="008C3C29"/>
    <w:rsid w:val="008C3C41"/>
    <w:rsid w:val="008C3CC5"/>
    <w:rsid w:val="008C3CC9"/>
    <w:rsid w:val="008C3CF0"/>
    <w:rsid w:val="008C3D25"/>
    <w:rsid w:val="008C3D61"/>
    <w:rsid w:val="008C3D9D"/>
    <w:rsid w:val="008C3E30"/>
    <w:rsid w:val="008C3F0E"/>
    <w:rsid w:val="008C3F23"/>
    <w:rsid w:val="008C3F38"/>
    <w:rsid w:val="008C3F5F"/>
    <w:rsid w:val="008C3F62"/>
    <w:rsid w:val="008C3F8D"/>
    <w:rsid w:val="008C4029"/>
    <w:rsid w:val="008C4097"/>
    <w:rsid w:val="008C40EE"/>
    <w:rsid w:val="008C4168"/>
    <w:rsid w:val="008C4194"/>
    <w:rsid w:val="008C4231"/>
    <w:rsid w:val="008C4271"/>
    <w:rsid w:val="008C42DC"/>
    <w:rsid w:val="008C4308"/>
    <w:rsid w:val="008C4396"/>
    <w:rsid w:val="008C4403"/>
    <w:rsid w:val="008C44C4"/>
    <w:rsid w:val="008C44D3"/>
    <w:rsid w:val="008C44ED"/>
    <w:rsid w:val="008C44F0"/>
    <w:rsid w:val="008C4533"/>
    <w:rsid w:val="008C459D"/>
    <w:rsid w:val="008C45AD"/>
    <w:rsid w:val="008C46E0"/>
    <w:rsid w:val="008C4710"/>
    <w:rsid w:val="008C473D"/>
    <w:rsid w:val="008C4757"/>
    <w:rsid w:val="008C4794"/>
    <w:rsid w:val="008C479E"/>
    <w:rsid w:val="008C47B4"/>
    <w:rsid w:val="008C4809"/>
    <w:rsid w:val="008C4812"/>
    <w:rsid w:val="008C4896"/>
    <w:rsid w:val="008C49B2"/>
    <w:rsid w:val="008C49E1"/>
    <w:rsid w:val="008C49F5"/>
    <w:rsid w:val="008C4A01"/>
    <w:rsid w:val="008C4A06"/>
    <w:rsid w:val="008C4A3A"/>
    <w:rsid w:val="008C4A4F"/>
    <w:rsid w:val="008C4A70"/>
    <w:rsid w:val="008C4A77"/>
    <w:rsid w:val="008C4AA7"/>
    <w:rsid w:val="008C4ABF"/>
    <w:rsid w:val="008C4B14"/>
    <w:rsid w:val="008C4BAA"/>
    <w:rsid w:val="008C4BB7"/>
    <w:rsid w:val="008C4BDE"/>
    <w:rsid w:val="008C4BF8"/>
    <w:rsid w:val="008C4C6A"/>
    <w:rsid w:val="008C4C80"/>
    <w:rsid w:val="008C4CC5"/>
    <w:rsid w:val="008C4CCA"/>
    <w:rsid w:val="008C4D57"/>
    <w:rsid w:val="008C4D7B"/>
    <w:rsid w:val="008C4DD1"/>
    <w:rsid w:val="008C4DD6"/>
    <w:rsid w:val="008C4DD8"/>
    <w:rsid w:val="008C4E21"/>
    <w:rsid w:val="008C4E4E"/>
    <w:rsid w:val="008C4F83"/>
    <w:rsid w:val="008C4FE3"/>
    <w:rsid w:val="008C4FE5"/>
    <w:rsid w:val="008C4FED"/>
    <w:rsid w:val="008C5009"/>
    <w:rsid w:val="008C5044"/>
    <w:rsid w:val="008C5068"/>
    <w:rsid w:val="008C50E3"/>
    <w:rsid w:val="008C50FF"/>
    <w:rsid w:val="008C51B5"/>
    <w:rsid w:val="008C51D4"/>
    <w:rsid w:val="008C528B"/>
    <w:rsid w:val="008C5291"/>
    <w:rsid w:val="008C534B"/>
    <w:rsid w:val="008C53BA"/>
    <w:rsid w:val="008C53D2"/>
    <w:rsid w:val="008C53F0"/>
    <w:rsid w:val="008C5400"/>
    <w:rsid w:val="008C5407"/>
    <w:rsid w:val="008C542E"/>
    <w:rsid w:val="008C5499"/>
    <w:rsid w:val="008C555D"/>
    <w:rsid w:val="008C556F"/>
    <w:rsid w:val="008C5576"/>
    <w:rsid w:val="008C55AD"/>
    <w:rsid w:val="008C560D"/>
    <w:rsid w:val="008C565E"/>
    <w:rsid w:val="008C5685"/>
    <w:rsid w:val="008C56A2"/>
    <w:rsid w:val="008C5776"/>
    <w:rsid w:val="008C5808"/>
    <w:rsid w:val="008C5813"/>
    <w:rsid w:val="008C5836"/>
    <w:rsid w:val="008C583E"/>
    <w:rsid w:val="008C58F4"/>
    <w:rsid w:val="008C59E3"/>
    <w:rsid w:val="008C5A1C"/>
    <w:rsid w:val="008C5A38"/>
    <w:rsid w:val="008C5A76"/>
    <w:rsid w:val="008C5AE5"/>
    <w:rsid w:val="008C5AFB"/>
    <w:rsid w:val="008C5B1E"/>
    <w:rsid w:val="008C5B2E"/>
    <w:rsid w:val="008C5B2F"/>
    <w:rsid w:val="008C5BFD"/>
    <w:rsid w:val="008C5C2F"/>
    <w:rsid w:val="008C5C32"/>
    <w:rsid w:val="008C5C85"/>
    <w:rsid w:val="008C5CA4"/>
    <w:rsid w:val="008C5CB6"/>
    <w:rsid w:val="008C5D08"/>
    <w:rsid w:val="008C5E96"/>
    <w:rsid w:val="008C5EE4"/>
    <w:rsid w:val="008C5F47"/>
    <w:rsid w:val="008C5F5D"/>
    <w:rsid w:val="008C5FA5"/>
    <w:rsid w:val="008C5FA6"/>
    <w:rsid w:val="008C600E"/>
    <w:rsid w:val="008C6017"/>
    <w:rsid w:val="008C6065"/>
    <w:rsid w:val="008C606D"/>
    <w:rsid w:val="008C6119"/>
    <w:rsid w:val="008C613B"/>
    <w:rsid w:val="008C613F"/>
    <w:rsid w:val="008C6195"/>
    <w:rsid w:val="008C61E1"/>
    <w:rsid w:val="008C624D"/>
    <w:rsid w:val="008C62A9"/>
    <w:rsid w:val="008C630E"/>
    <w:rsid w:val="008C633B"/>
    <w:rsid w:val="008C6373"/>
    <w:rsid w:val="008C63E1"/>
    <w:rsid w:val="008C63EB"/>
    <w:rsid w:val="008C6400"/>
    <w:rsid w:val="008C6419"/>
    <w:rsid w:val="008C6434"/>
    <w:rsid w:val="008C643A"/>
    <w:rsid w:val="008C6440"/>
    <w:rsid w:val="008C647F"/>
    <w:rsid w:val="008C64A3"/>
    <w:rsid w:val="008C64A8"/>
    <w:rsid w:val="008C64DC"/>
    <w:rsid w:val="008C6531"/>
    <w:rsid w:val="008C6551"/>
    <w:rsid w:val="008C664E"/>
    <w:rsid w:val="008C665F"/>
    <w:rsid w:val="008C670A"/>
    <w:rsid w:val="008C670D"/>
    <w:rsid w:val="008C6752"/>
    <w:rsid w:val="008C67A2"/>
    <w:rsid w:val="008C67F5"/>
    <w:rsid w:val="008C6877"/>
    <w:rsid w:val="008C68A5"/>
    <w:rsid w:val="008C68BE"/>
    <w:rsid w:val="008C6915"/>
    <w:rsid w:val="008C691A"/>
    <w:rsid w:val="008C6953"/>
    <w:rsid w:val="008C696A"/>
    <w:rsid w:val="008C6A7E"/>
    <w:rsid w:val="008C6AAD"/>
    <w:rsid w:val="008C6B54"/>
    <w:rsid w:val="008C6C4A"/>
    <w:rsid w:val="008C6CC1"/>
    <w:rsid w:val="008C6CCA"/>
    <w:rsid w:val="008C6D02"/>
    <w:rsid w:val="008C6D36"/>
    <w:rsid w:val="008C6EFF"/>
    <w:rsid w:val="008C6F23"/>
    <w:rsid w:val="008C6FA0"/>
    <w:rsid w:val="008C6FF2"/>
    <w:rsid w:val="008C7026"/>
    <w:rsid w:val="008C7085"/>
    <w:rsid w:val="008C70B2"/>
    <w:rsid w:val="008C70BE"/>
    <w:rsid w:val="008C70C9"/>
    <w:rsid w:val="008C70E4"/>
    <w:rsid w:val="008C7154"/>
    <w:rsid w:val="008C71AD"/>
    <w:rsid w:val="008C71C4"/>
    <w:rsid w:val="008C71E1"/>
    <w:rsid w:val="008C7207"/>
    <w:rsid w:val="008C721D"/>
    <w:rsid w:val="008C7282"/>
    <w:rsid w:val="008C72EA"/>
    <w:rsid w:val="008C72F8"/>
    <w:rsid w:val="008C72FF"/>
    <w:rsid w:val="008C7327"/>
    <w:rsid w:val="008C7328"/>
    <w:rsid w:val="008C7353"/>
    <w:rsid w:val="008C7357"/>
    <w:rsid w:val="008C737E"/>
    <w:rsid w:val="008C73C9"/>
    <w:rsid w:val="008C73DF"/>
    <w:rsid w:val="008C740C"/>
    <w:rsid w:val="008C7435"/>
    <w:rsid w:val="008C74D3"/>
    <w:rsid w:val="008C74FE"/>
    <w:rsid w:val="008C7517"/>
    <w:rsid w:val="008C7565"/>
    <w:rsid w:val="008C7571"/>
    <w:rsid w:val="008C7721"/>
    <w:rsid w:val="008C77C5"/>
    <w:rsid w:val="008C7824"/>
    <w:rsid w:val="008C7848"/>
    <w:rsid w:val="008C7849"/>
    <w:rsid w:val="008C784E"/>
    <w:rsid w:val="008C78D2"/>
    <w:rsid w:val="008C78F7"/>
    <w:rsid w:val="008C793E"/>
    <w:rsid w:val="008C7943"/>
    <w:rsid w:val="008C7987"/>
    <w:rsid w:val="008C799C"/>
    <w:rsid w:val="008C79BA"/>
    <w:rsid w:val="008C7A7D"/>
    <w:rsid w:val="008C7AF7"/>
    <w:rsid w:val="008C7B29"/>
    <w:rsid w:val="008C7C42"/>
    <w:rsid w:val="008C7CFC"/>
    <w:rsid w:val="008C7D2C"/>
    <w:rsid w:val="008C7D5C"/>
    <w:rsid w:val="008C7DCE"/>
    <w:rsid w:val="008C7E0C"/>
    <w:rsid w:val="008C7E73"/>
    <w:rsid w:val="008C7E82"/>
    <w:rsid w:val="008C7EF9"/>
    <w:rsid w:val="008C7EFE"/>
    <w:rsid w:val="008C7F34"/>
    <w:rsid w:val="008C7F8B"/>
    <w:rsid w:val="008D000A"/>
    <w:rsid w:val="008D00A1"/>
    <w:rsid w:val="008D00B3"/>
    <w:rsid w:val="008D018A"/>
    <w:rsid w:val="008D0190"/>
    <w:rsid w:val="008D01D3"/>
    <w:rsid w:val="008D0209"/>
    <w:rsid w:val="008D0256"/>
    <w:rsid w:val="008D026E"/>
    <w:rsid w:val="008D0283"/>
    <w:rsid w:val="008D0312"/>
    <w:rsid w:val="008D0323"/>
    <w:rsid w:val="008D03C2"/>
    <w:rsid w:val="008D03CD"/>
    <w:rsid w:val="008D0422"/>
    <w:rsid w:val="008D0463"/>
    <w:rsid w:val="008D0483"/>
    <w:rsid w:val="008D049A"/>
    <w:rsid w:val="008D04A4"/>
    <w:rsid w:val="008D04AC"/>
    <w:rsid w:val="008D0544"/>
    <w:rsid w:val="008D0578"/>
    <w:rsid w:val="008D05C5"/>
    <w:rsid w:val="008D064A"/>
    <w:rsid w:val="008D06B2"/>
    <w:rsid w:val="008D06C4"/>
    <w:rsid w:val="008D06CA"/>
    <w:rsid w:val="008D06CB"/>
    <w:rsid w:val="008D06CD"/>
    <w:rsid w:val="008D072F"/>
    <w:rsid w:val="008D073B"/>
    <w:rsid w:val="008D0787"/>
    <w:rsid w:val="008D07E5"/>
    <w:rsid w:val="008D081C"/>
    <w:rsid w:val="008D082C"/>
    <w:rsid w:val="008D0845"/>
    <w:rsid w:val="008D084E"/>
    <w:rsid w:val="008D085E"/>
    <w:rsid w:val="008D08D7"/>
    <w:rsid w:val="008D08DD"/>
    <w:rsid w:val="008D0928"/>
    <w:rsid w:val="008D09B1"/>
    <w:rsid w:val="008D0A31"/>
    <w:rsid w:val="008D0A54"/>
    <w:rsid w:val="008D0A9B"/>
    <w:rsid w:val="008D0B14"/>
    <w:rsid w:val="008D0B49"/>
    <w:rsid w:val="008D0BDC"/>
    <w:rsid w:val="008D0BFA"/>
    <w:rsid w:val="008D0C51"/>
    <w:rsid w:val="008D0C76"/>
    <w:rsid w:val="008D0CD8"/>
    <w:rsid w:val="008D0D78"/>
    <w:rsid w:val="008D0D9B"/>
    <w:rsid w:val="008D0DCE"/>
    <w:rsid w:val="008D0E67"/>
    <w:rsid w:val="008D0EB8"/>
    <w:rsid w:val="008D0EC7"/>
    <w:rsid w:val="008D0EE2"/>
    <w:rsid w:val="008D0F05"/>
    <w:rsid w:val="008D0F18"/>
    <w:rsid w:val="008D0F40"/>
    <w:rsid w:val="008D0F65"/>
    <w:rsid w:val="008D0F88"/>
    <w:rsid w:val="008D0FA7"/>
    <w:rsid w:val="008D0FC1"/>
    <w:rsid w:val="008D10BC"/>
    <w:rsid w:val="008D10C5"/>
    <w:rsid w:val="008D10DD"/>
    <w:rsid w:val="008D1179"/>
    <w:rsid w:val="008D11C6"/>
    <w:rsid w:val="008D11F3"/>
    <w:rsid w:val="008D127B"/>
    <w:rsid w:val="008D1283"/>
    <w:rsid w:val="008D1289"/>
    <w:rsid w:val="008D12C7"/>
    <w:rsid w:val="008D12D3"/>
    <w:rsid w:val="008D1396"/>
    <w:rsid w:val="008D13A2"/>
    <w:rsid w:val="008D13A3"/>
    <w:rsid w:val="008D13E6"/>
    <w:rsid w:val="008D1405"/>
    <w:rsid w:val="008D147C"/>
    <w:rsid w:val="008D1487"/>
    <w:rsid w:val="008D14A7"/>
    <w:rsid w:val="008D14C6"/>
    <w:rsid w:val="008D1529"/>
    <w:rsid w:val="008D1549"/>
    <w:rsid w:val="008D1705"/>
    <w:rsid w:val="008D1709"/>
    <w:rsid w:val="008D1761"/>
    <w:rsid w:val="008D1774"/>
    <w:rsid w:val="008D17F6"/>
    <w:rsid w:val="008D1849"/>
    <w:rsid w:val="008D1867"/>
    <w:rsid w:val="008D187F"/>
    <w:rsid w:val="008D18E1"/>
    <w:rsid w:val="008D18E6"/>
    <w:rsid w:val="008D1929"/>
    <w:rsid w:val="008D194B"/>
    <w:rsid w:val="008D1994"/>
    <w:rsid w:val="008D19A5"/>
    <w:rsid w:val="008D19B3"/>
    <w:rsid w:val="008D19E3"/>
    <w:rsid w:val="008D1A3B"/>
    <w:rsid w:val="008D1A76"/>
    <w:rsid w:val="008D1A91"/>
    <w:rsid w:val="008D1AE1"/>
    <w:rsid w:val="008D1AEE"/>
    <w:rsid w:val="008D1B21"/>
    <w:rsid w:val="008D1B5A"/>
    <w:rsid w:val="008D1BA7"/>
    <w:rsid w:val="008D1BF8"/>
    <w:rsid w:val="008D1C8E"/>
    <w:rsid w:val="008D1CA4"/>
    <w:rsid w:val="008D1CD8"/>
    <w:rsid w:val="008D1D26"/>
    <w:rsid w:val="008D1D8A"/>
    <w:rsid w:val="008D1E44"/>
    <w:rsid w:val="008D1ECB"/>
    <w:rsid w:val="008D1F0A"/>
    <w:rsid w:val="008D1F34"/>
    <w:rsid w:val="008D1F41"/>
    <w:rsid w:val="008D1F58"/>
    <w:rsid w:val="008D1F7E"/>
    <w:rsid w:val="008D1F96"/>
    <w:rsid w:val="008D1F9D"/>
    <w:rsid w:val="008D1FE5"/>
    <w:rsid w:val="008D1FE8"/>
    <w:rsid w:val="008D2026"/>
    <w:rsid w:val="008D2041"/>
    <w:rsid w:val="008D206E"/>
    <w:rsid w:val="008D207A"/>
    <w:rsid w:val="008D2096"/>
    <w:rsid w:val="008D2129"/>
    <w:rsid w:val="008D2144"/>
    <w:rsid w:val="008D2145"/>
    <w:rsid w:val="008D21BA"/>
    <w:rsid w:val="008D21D7"/>
    <w:rsid w:val="008D2204"/>
    <w:rsid w:val="008D2242"/>
    <w:rsid w:val="008D2305"/>
    <w:rsid w:val="008D2357"/>
    <w:rsid w:val="008D23C8"/>
    <w:rsid w:val="008D23DC"/>
    <w:rsid w:val="008D2415"/>
    <w:rsid w:val="008D2517"/>
    <w:rsid w:val="008D2519"/>
    <w:rsid w:val="008D255D"/>
    <w:rsid w:val="008D2565"/>
    <w:rsid w:val="008D262E"/>
    <w:rsid w:val="008D2657"/>
    <w:rsid w:val="008D268A"/>
    <w:rsid w:val="008D285C"/>
    <w:rsid w:val="008D2910"/>
    <w:rsid w:val="008D291D"/>
    <w:rsid w:val="008D296F"/>
    <w:rsid w:val="008D29A5"/>
    <w:rsid w:val="008D29D6"/>
    <w:rsid w:val="008D2A0D"/>
    <w:rsid w:val="008D2A1A"/>
    <w:rsid w:val="008D2A4D"/>
    <w:rsid w:val="008D2AB8"/>
    <w:rsid w:val="008D2B47"/>
    <w:rsid w:val="008D2B88"/>
    <w:rsid w:val="008D2B91"/>
    <w:rsid w:val="008D2BA3"/>
    <w:rsid w:val="008D2C7B"/>
    <w:rsid w:val="008D2CB6"/>
    <w:rsid w:val="008D2CC8"/>
    <w:rsid w:val="008D2D7E"/>
    <w:rsid w:val="008D2DD9"/>
    <w:rsid w:val="008D2E81"/>
    <w:rsid w:val="008D2E85"/>
    <w:rsid w:val="008D2E9F"/>
    <w:rsid w:val="008D2EFA"/>
    <w:rsid w:val="008D2F07"/>
    <w:rsid w:val="008D2F47"/>
    <w:rsid w:val="008D2F8A"/>
    <w:rsid w:val="008D309B"/>
    <w:rsid w:val="008D30D1"/>
    <w:rsid w:val="008D31A2"/>
    <w:rsid w:val="008D31B3"/>
    <w:rsid w:val="008D31C8"/>
    <w:rsid w:val="008D3211"/>
    <w:rsid w:val="008D3268"/>
    <w:rsid w:val="008D3348"/>
    <w:rsid w:val="008D3354"/>
    <w:rsid w:val="008D3383"/>
    <w:rsid w:val="008D3384"/>
    <w:rsid w:val="008D3388"/>
    <w:rsid w:val="008D34A6"/>
    <w:rsid w:val="008D34B8"/>
    <w:rsid w:val="008D35C2"/>
    <w:rsid w:val="008D35D4"/>
    <w:rsid w:val="008D35DC"/>
    <w:rsid w:val="008D35F3"/>
    <w:rsid w:val="008D3617"/>
    <w:rsid w:val="008D3640"/>
    <w:rsid w:val="008D3643"/>
    <w:rsid w:val="008D3690"/>
    <w:rsid w:val="008D36C9"/>
    <w:rsid w:val="008D37C8"/>
    <w:rsid w:val="008D37EF"/>
    <w:rsid w:val="008D3800"/>
    <w:rsid w:val="008D380D"/>
    <w:rsid w:val="008D382D"/>
    <w:rsid w:val="008D3839"/>
    <w:rsid w:val="008D38E0"/>
    <w:rsid w:val="008D38FD"/>
    <w:rsid w:val="008D390E"/>
    <w:rsid w:val="008D393F"/>
    <w:rsid w:val="008D3954"/>
    <w:rsid w:val="008D3971"/>
    <w:rsid w:val="008D39A5"/>
    <w:rsid w:val="008D3A59"/>
    <w:rsid w:val="008D3A86"/>
    <w:rsid w:val="008D3ABB"/>
    <w:rsid w:val="008D3B33"/>
    <w:rsid w:val="008D3B86"/>
    <w:rsid w:val="008D3BBE"/>
    <w:rsid w:val="008D3BEA"/>
    <w:rsid w:val="008D3C38"/>
    <w:rsid w:val="008D3C3D"/>
    <w:rsid w:val="008D3C73"/>
    <w:rsid w:val="008D3C88"/>
    <w:rsid w:val="008D3CDE"/>
    <w:rsid w:val="008D3D19"/>
    <w:rsid w:val="008D3D63"/>
    <w:rsid w:val="008D3D73"/>
    <w:rsid w:val="008D3D75"/>
    <w:rsid w:val="008D3DBA"/>
    <w:rsid w:val="008D3E10"/>
    <w:rsid w:val="008D3E53"/>
    <w:rsid w:val="008D3EE8"/>
    <w:rsid w:val="008D3F00"/>
    <w:rsid w:val="008D3F05"/>
    <w:rsid w:val="008D3F07"/>
    <w:rsid w:val="008D3FA8"/>
    <w:rsid w:val="008D3FD4"/>
    <w:rsid w:val="008D3FDA"/>
    <w:rsid w:val="008D4006"/>
    <w:rsid w:val="008D401C"/>
    <w:rsid w:val="008D4035"/>
    <w:rsid w:val="008D403B"/>
    <w:rsid w:val="008D4060"/>
    <w:rsid w:val="008D407E"/>
    <w:rsid w:val="008D40F7"/>
    <w:rsid w:val="008D4104"/>
    <w:rsid w:val="008D4119"/>
    <w:rsid w:val="008D41D7"/>
    <w:rsid w:val="008D4214"/>
    <w:rsid w:val="008D4230"/>
    <w:rsid w:val="008D4233"/>
    <w:rsid w:val="008D4260"/>
    <w:rsid w:val="008D4316"/>
    <w:rsid w:val="008D435C"/>
    <w:rsid w:val="008D43FF"/>
    <w:rsid w:val="008D446D"/>
    <w:rsid w:val="008D4491"/>
    <w:rsid w:val="008D44C0"/>
    <w:rsid w:val="008D452D"/>
    <w:rsid w:val="008D4537"/>
    <w:rsid w:val="008D4597"/>
    <w:rsid w:val="008D4623"/>
    <w:rsid w:val="008D46BE"/>
    <w:rsid w:val="008D46EC"/>
    <w:rsid w:val="008D4748"/>
    <w:rsid w:val="008D4789"/>
    <w:rsid w:val="008D47E0"/>
    <w:rsid w:val="008D4834"/>
    <w:rsid w:val="008D488E"/>
    <w:rsid w:val="008D48D2"/>
    <w:rsid w:val="008D48D6"/>
    <w:rsid w:val="008D48DA"/>
    <w:rsid w:val="008D491C"/>
    <w:rsid w:val="008D492B"/>
    <w:rsid w:val="008D4934"/>
    <w:rsid w:val="008D493E"/>
    <w:rsid w:val="008D4A31"/>
    <w:rsid w:val="008D4A5A"/>
    <w:rsid w:val="008D4ABF"/>
    <w:rsid w:val="008D4ACF"/>
    <w:rsid w:val="008D4B4F"/>
    <w:rsid w:val="008D4B5E"/>
    <w:rsid w:val="008D4B8B"/>
    <w:rsid w:val="008D4B9E"/>
    <w:rsid w:val="008D4BDA"/>
    <w:rsid w:val="008D4BEA"/>
    <w:rsid w:val="008D4BF3"/>
    <w:rsid w:val="008D4BFE"/>
    <w:rsid w:val="008D4C67"/>
    <w:rsid w:val="008D4C79"/>
    <w:rsid w:val="008D4CAC"/>
    <w:rsid w:val="008D4D07"/>
    <w:rsid w:val="008D4D13"/>
    <w:rsid w:val="008D4D70"/>
    <w:rsid w:val="008D4D8A"/>
    <w:rsid w:val="008D4DE3"/>
    <w:rsid w:val="008D4E02"/>
    <w:rsid w:val="008D4E14"/>
    <w:rsid w:val="008D4E85"/>
    <w:rsid w:val="008D4EDB"/>
    <w:rsid w:val="008D4EE1"/>
    <w:rsid w:val="008D4F3E"/>
    <w:rsid w:val="008D4FDA"/>
    <w:rsid w:val="008D4FE0"/>
    <w:rsid w:val="008D5074"/>
    <w:rsid w:val="008D509E"/>
    <w:rsid w:val="008D50E6"/>
    <w:rsid w:val="008D5134"/>
    <w:rsid w:val="008D5136"/>
    <w:rsid w:val="008D5174"/>
    <w:rsid w:val="008D520E"/>
    <w:rsid w:val="008D521B"/>
    <w:rsid w:val="008D5236"/>
    <w:rsid w:val="008D523D"/>
    <w:rsid w:val="008D5278"/>
    <w:rsid w:val="008D52BB"/>
    <w:rsid w:val="008D52BE"/>
    <w:rsid w:val="008D52C9"/>
    <w:rsid w:val="008D52E8"/>
    <w:rsid w:val="008D52FF"/>
    <w:rsid w:val="008D5312"/>
    <w:rsid w:val="008D5324"/>
    <w:rsid w:val="008D5328"/>
    <w:rsid w:val="008D53B5"/>
    <w:rsid w:val="008D53D9"/>
    <w:rsid w:val="008D5472"/>
    <w:rsid w:val="008D54D6"/>
    <w:rsid w:val="008D5506"/>
    <w:rsid w:val="008D551F"/>
    <w:rsid w:val="008D5580"/>
    <w:rsid w:val="008D55C0"/>
    <w:rsid w:val="008D55EA"/>
    <w:rsid w:val="008D5610"/>
    <w:rsid w:val="008D5650"/>
    <w:rsid w:val="008D5744"/>
    <w:rsid w:val="008D574C"/>
    <w:rsid w:val="008D5790"/>
    <w:rsid w:val="008D57B0"/>
    <w:rsid w:val="008D5805"/>
    <w:rsid w:val="008D5859"/>
    <w:rsid w:val="008D588D"/>
    <w:rsid w:val="008D58A9"/>
    <w:rsid w:val="008D58B1"/>
    <w:rsid w:val="008D58B7"/>
    <w:rsid w:val="008D5917"/>
    <w:rsid w:val="008D593B"/>
    <w:rsid w:val="008D5941"/>
    <w:rsid w:val="008D597D"/>
    <w:rsid w:val="008D5A0A"/>
    <w:rsid w:val="008D5A1E"/>
    <w:rsid w:val="008D5A26"/>
    <w:rsid w:val="008D5A32"/>
    <w:rsid w:val="008D5A6E"/>
    <w:rsid w:val="008D5AE6"/>
    <w:rsid w:val="008D5AEB"/>
    <w:rsid w:val="008D5B17"/>
    <w:rsid w:val="008D5B40"/>
    <w:rsid w:val="008D5B4A"/>
    <w:rsid w:val="008D5B6A"/>
    <w:rsid w:val="008D5C2D"/>
    <w:rsid w:val="008D5C5A"/>
    <w:rsid w:val="008D5CBA"/>
    <w:rsid w:val="008D5CCD"/>
    <w:rsid w:val="008D5D79"/>
    <w:rsid w:val="008D5D7D"/>
    <w:rsid w:val="008D5DC8"/>
    <w:rsid w:val="008D5E2D"/>
    <w:rsid w:val="008D5E6F"/>
    <w:rsid w:val="008D5E98"/>
    <w:rsid w:val="008D5EA4"/>
    <w:rsid w:val="008D5EB5"/>
    <w:rsid w:val="008D5F0A"/>
    <w:rsid w:val="008D5F17"/>
    <w:rsid w:val="008D5F31"/>
    <w:rsid w:val="008D5F6D"/>
    <w:rsid w:val="008D6060"/>
    <w:rsid w:val="008D6074"/>
    <w:rsid w:val="008D6075"/>
    <w:rsid w:val="008D607A"/>
    <w:rsid w:val="008D60B8"/>
    <w:rsid w:val="008D60BE"/>
    <w:rsid w:val="008D60DB"/>
    <w:rsid w:val="008D60E9"/>
    <w:rsid w:val="008D6196"/>
    <w:rsid w:val="008D61EF"/>
    <w:rsid w:val="008D61F2"/>
    <w:rsid w:val="008D61F9"/>
    <w:rsid w:val="008D620C"/>
    <w:rsid w:val="008D620F"/>
    <w:rsid w:val="008D6231"/>
    <w:rsid w:val="008D6271"/>
    <w:rsid w:val="008D62A2"/>
    <w:rsid w:val="008D631F"/>
    <w:rsid w:val="008D63CD"/>
    <w:rsid w:val="008D6454"/>
    <w:rsid w:val="008D648F"/>
    <w:rsid w:val="008D649E"/>
    <w:rsid w:val="008D6505"/>
    <w:rsid w:val="008D6529"/>
    <w:rsid w:val="008D6563"/>
    <w:rsid w:val="008D6698"/>
    <w:rsid w:val="008D669B"/>
    <w:rsid w:val="008D66B5"/>
    <w:rsid w:val="008D66CA"/>
    <w:rsid w:val="008D673B"/>
    <w:rsid w:val="008D673F"/>
    <w:rsid w:val="008D6748"/>
    <w:rsid w:val="008D674C"/>
    <w:rsid w:val="008D678D"/>
    <w:rsid w:val="008D679C"/>
    <w:rsid w:val="008D6845"/>
    <w:rsid w:val="008D6846"/>
    <w:rsid w:val="008D691C"/>
    <w:rsid w:val="008D6974"/>
    <w:rsid w:val="008D6A0F"/>
    <w:rsid w:val="008D6A7E"/>
    <w:rsid w:val="008D6A91"/>
    <w:rsid w:val="008D6B42"/>
    <w:rsid w:val="008D6B44"/>
    <w:rsid w:val="008D6B50"/>
    <w:rsid w:val="008D6B71"/>
    <w:rsid w:val="008D6B7C"/>
    <w:rsid w:val="008D6B90"/>
    <w:rsid w:val="008D6B9A"/>
    <w:rsid w:val="008D6C18"/>
    <w:rsid w:val="008D6D24"/>
    <w:rsid w:val="008D6D48"/>
    <w:rsid w:val="008D6D96"/>
    <w:rsid w:val="008D6D97"/>
    <w:rsid w:val="008D6DF5"/>
    <w:rsid w:val="008D6E18"/>
    <w:rsid w:val="008D6E24"/>
    <w:rsid w:val="008D6E2E"/>
    <w:rsid w:val="008D6E4D"/>
    <w:rsid w:val="008D6E98"/>
    <w:rsid w:val="008D6EA6"/>
    <w:rsid w:val="008D6F21"/>
    <w:rsid w:val="008D6F2D"/>
    <w:rsid w:val="008D6F91"/>
    <w:rsid w:val="008D6FD5"/>
    <w:rsid w:val="008D701F"/>
    <w:rsid w:val="008D7034"/>
    <w:rsid w:val="008D705B"/>
    <w:rsid w:val="008D7064"/>
    <w:rsid w:val="008D7218"/>
    <w:rsid w:val="008D72DD"/>
    <w:rsid w:val="008D72FC"/>
    <w:rsid w:val="008D7355"/>
    <w:rsid w:val="008D73ED"/>
    <w:rsid w:val="008D73FE"/>
    <w:rsid w:val="008D7400"/>
    <w:rsid w:val="008D7409"/>
    <w:rsid w:val="008D7423"/>
    <w:rsid w:val="008D7454"/>
    <w:rsid w:val="008D7458"/>
    <w:rsid w:val="008D7521"/>
    <w:rsid w:val="008D7522"/>
    <w:rsid w:val="008D7671"/>
    <w:rsid w:val="008D77F7"/>
    <w:rsid w:val="008D7830"/>
    <w:rsid w:val="008D7847"/>
    <w:rsid w:val="008D7882"/>
    <w:rsid w:val="008D78CB"/>
    <w:rsid w:val="008D78F5"/>
    <w:rsid w:val="008D78FA"/>
    <w:rsid w:val="008D7935"/>
    <w:rsid w:val="008D7942"/>
    <w:rsid w:val="008D7980"/>
    <w:rsid w:val="008D79CA"/>
    <w:rsid w:val="008D79D6"/>
    <w:rsid w:val="008D79E0"/>
    <w:rsid w:val="008D79EA"/>
    <w:rsid w:val="008D7A48"/>
    <w:rsid w:val="008D7A49"/>
    <w:rsid w:val="008D7A56"/>
    <w:rsid w:val="008D7ABF"/>
    <w:rsid w:val="008D7AE0"/>
    <w:rsid w:val="008D7AFA"/>
    <w:rsid w:val="008D7B80"/>
    <w:rsid w:val="008D7B8A"/>
    <w:rsid w:val="008D7B93"/>
    <w:rsid w:val="008D7C48"/>
    <w:rsid w:val="008D7C54"/>
    <w:rsid w:val="008D7C56"/>
    <w:rsid w:val="008D7CB0"/>
    <w:rsid w:val="008D7CDD"/>
    <w:rsid w:val="008D7DC3"/>
    <w:rsid w:val="008D7E45"/>
    <w:rsid w:val="008D7E48"/>
    <w:rsid w:val="008D7E6E"/>
    <w:rsid w:val="008D7E71"/>
    <w:rsid w:val="008D7EC5"/>
    <w:rsid w:val="008D7F10"/>
    <w:rsid w:val="008D7F37"/>
    <w:rsid w:val="008D7F38"/>
    <w:rsid w:val="008D7F7C"/>
    <w:rsid w:val="008D7FA7"/>
    <w:rsid w:val="008D7FBE"/>
    <w:rsid w:val="008D7FCC"/>
    <w:rsid w:val="008E0023"/>
    <w:rsid w:val="008E008F"/>
    <w:rsid w:val="008E0091"/>
    <w:rsid w:val="008E00E5"/>
    <w:rsid w:val="008E010B"/>
    <w:rsid w:val="008E01CA"/>
    <w:rsid w:val="008E01D1"/>
    <w:rsid w:val="008E01D6"/>
    <w:rsid w:val="008E0228"/>
    <w:rsid w:val="008E0246"/>
    <w:rsid w:val="008E0263"/>
    <w:rsid w:val="008E02F3"/>
    <w:rsid w:val="008E035B"/>
    <w:rsid w:val="008E03A9"/>
    <w:rsid w:val="008E042D"/>
    <w:rsid w:val="008E043E"/>
    <w:rsid w:val="008E0448"/>
    <w:rsid w:val="008E0468"/>
    <w:rsid w:val="008E0497"/>
    <w:rsid w:val="008E04D2"/>
    <w:rsid w:val="008E0506"/>
    <w:rsid w:val="008E051D"/>
    <w:rsid w:val="008E065F"/>
    <w:rsid w:val="008E0678"/>
    <w:rsid w:val="008E06D7"/>
    <w:rsid w:val="008E0715"/>
    <w:rsid w:val="008E0771"/>
    <w:rsid w:val="008E07AB"/>
    <w:rsid w:val="008E07B7"/>
    <w:rsid w:val="008E0827"/>
    <w:rsid w:val="008E088B"/>
    <w:rsid w:val="008E089A"/>
    <w:rsid w:val="008E08C2"/>
    <w:rsid w:val="008E08C9"/>
    <w:rsid w:val="008E08D3"/>
    <w:rsid w:val="008E08E8"/>
    <w:rsid w:val="008E08EB"/>
    <w:rsid w:val="008E0947"/>
    <w:rsid w:val="008E0950"/>
    <w:rsid w:val="008E0964"/>
    <w:rsid w:val="008E09AA"/>
    <w:rsid w:val="008E0A21"/>
    <w:rsid w:val="008E0A53"/>
    <w:rsid w:val="008E0A94"/>
    <w:rsid w:val="008E0B1C"/>
    <w:rsid w:val="008E0B43"/>
    <w:rsid w:val="008E0B80"/>
    <w:rsid w:val="008E0C0A"/>
    <w:rsid w:val="008E0C2F"/>
    <w:rsid w:val="008E0C57"/>
    <w:rsid w:val="008E0C6E"/>
    <w:rsid w:val="008E0C85"/>
    <w:rsid w:val="008E0C91"/>
    <w:rsid w:val="008E0D0B"/>
    <w:rsid w:val="008E0D30"/>
    <w:rsid w:val="008E0D56"/>
    <w:rsid w:val="008E0D85"/>
    <w:rsid w:val="008E0DCC"/>
    <w:rsid w:val="008E0DEE"/>
    <w:rsid w:val="008E0E0E"/>
    <w:rsid w:val="008E0E87"/>
    <w:rsid w:val="008E0EC5"/>
    <w:rsid w:val="008E0ED1"/>
    <w:rsid w:val="008E0EDF"/>
    <w:rsid w:val="008E0EE6"/>
    <w:rsid w:val="008E0F03"/>
    <w:rsid w:val="008E0F1F"/>
    <w:rsid w:val="008E0F35"/>
    <w:rsid w:val="008E0F7A"/>
    <w:rsid w:val="008E0FFC"/>
    <w:rsid w:val="008E100B"/>
    <w:rsid w:val="008E1050"/>
    <w:rsid w:val="008E10BB"/>
    <w:rsid w:val="008E10FA"/>
    <w:rsid w:val="008E116C"/>
    <w:rsid w:val="008E117D"/>
    <w:rsid w:val="008E11C7"/>
    <w:rsid w:val="008E120F"/>
    <w:rsid w:val="008E1226"/>
    <w:rsid w:val="008E1240"/>
    <w:rsid w:val="008E1292"/>
    <w:rsid w:val="008E12A1"/>
    <w:rsid w:val="008E12B6"/>
    <w:rsid w:val="008E1327"/>
    <w:rsid w:val="008E140B"/>
    <w:rsid w:val="008E1417"/>
    <w:rsid w:val="008E1441"/>
    <w:rsid w:val="008E1478"/>
    <w:rsid w:val="008E1483"/>
    <w:rsid w:val="008E14B3"/>
    <w:rsid w:val="008E154C"/>
    <w:rsid w:val="008E155D"/>
    <w:rsid w:val="008E1565"/>
    <w:rsid w:val="008E1569"/>
    <w:rsid w:val="008E159F"/>
    <w:rsid w:val="008E15DE"/>
    <w:rsid w:val="008E161B"/>
    <w:rsid w:val="008E163E"/>
    <w:rsid w:val="008E1649"/>
    <w:rsid w:val="008E165B"/>
    <w:rsid w:val="008E16B3"/>
    <w:rsid w:val="008E1738"/>
    <w:rsid w:val="008E1768"/>
    <w:rsid w:val="008E17A7"/>
    <w:rsid w:val="008E17C3"/>
    <w:rsid w:val="008E1805"/>
    <w:rsid w:val="008E181C"/>
    <w:rsid w:val="008E183E"/>
    <w:rsid w:val="008E1875"/>
    <w:rsid w:val="008E1876"/>
    <w:rsid w:val="008E1915"/>
    <w:rsid w:val="008E1946"/>
    <w:rsid w:val="008E1950"/>
    <w:rsid w:val="008E19AD"/>
    <w:rsid w:val="008E1A1A"/>
    <w:rsid w:val="008E1A4A"/>
    <w:rsid w:val="008E1AC0"/>
    <w:rsid w:val="008E1AC4"/>
    <w:rsid w:val="008E1B0C"/>
    <w:rsid w:val="008E1BCC"/>
    <w:rsid w:val="008E1BDC"/>
    <w:rsid w:val="008E1CF7"/>
    <w:rsid w:val="008E1D36"/>
    <w:rsid w:val="008E1D97"/>
    <w:rsid w:val="008E1DE3"/>
    <w:rsid w:val="008E1E10"/>
    <w:rsid w:val="008E1E8E"/>
    <w:rsid w:val="008E1EFD"/>
    <w:rsid w:val="008E1F1E"/>
    <w:rsid w:val="008E1F35"/>
    <w:rsid w:val="008E1F9B"/>
    <w:rsid w:val="008E2009"/>
    <w:rsid w:val="008E20E6"/>
    <w:rsid w:val="008E20F0"/>
    <w:rsid w:val="008E2154"/>
    <w:rsid w:val="008E215E"/>
    <w:rsid w:val="008E21BD"/>
    <w:rsid w:val="008E21C1"/>
    <w:rsid w:val="008E21D1"/>
    <w:rsid w:val="008E21D2"/>
    <w:rsid w:val="008E21E6"/>
    <w:rsid w:val="008E224E"/>
    <w:rsid w:val="008E225F"/>
    <w:rsid w:val="008E2297"/>
    <w:rsid w:val="008E232B"/>
    <w:rsid w:val="008E234F"/>
    <w:rsid w:val="008E2370"/>
    <w:rsid w:val="008E23E1"/>
    <w:rsid w:val="008E2497"/>
    <w:rsid w:val="008E249E"/>
    <w:rsid w:val="008E24D8"/>
    <w:rsid w:val="008E25B4"/>
    <w:rsid w:val="008E25DD"/>
    <w:rsid w:val="008E26CD"/>
    <w:rsid w:val="008E26CF"/>
    <w:rsid w:val="008E2715"/>
    <w:rsid w:val="008E2736"/>
    <w:rsid w:val="008E2794"/>
    <w:rsid w:val="008E27B2"/>
    <w:rsid w:val="008E2867"/>
    <w:rsid w:val="008E28EB"/>
    <w:rsid w:val="008E29E3"/>
    <w:rsid w:val="008E29EE"/>
    <w:rsid w:val="008E2A0B"/>
    <w:rsid w:val="008E2AA5"/>
    <w:rsid w:val="008E2ABF"/>
    <w:rsid w:val="008E2B47"/>
    <w:rsid w:val="008E2B8D"/>
    <w:rsid w:val="008E2BB7"/>
    <w:rsid w:val="008E2BD3"/>
    <w:rsid w:val="008E2BEF"/>
    <w:rsid w:val="008E2C0F"/>
    <w:rsid w:val="008E2C29"/>
    <w:rsid w:val="008E2C4F"/>
    <w:rsid w:val="008E2C73"/>
    <w:rsid w:val="008E2CAE"/>
    <w:rsid w:val="008E2D40"/>
    <w:rsid w:val="008E2D84"/>
    <w:rsid w:val="008E2DB9"/>
    <w:rsid w:val="008E2E27"/>
    <w:rsid w:val="008E2E4D"/>
    <w:rsid w:val="008E2F91"/>
    <w:rsid w:val="008E30A3"/>
    <w:rsid w:val="008E30EA"/>
    <w:rsid w:val="008E3115"/>
    <w:rsid w:val="008E3136"/>
    <w:rsid w:val="008E31C8"/>
    <w:rsid w:val="008E31FA"/>
    <w:rsid w:val="008E320A"/>
    <w:rsid w:val="008E3222"/>
    <w:rsid w:val="008E3261"/>
    <w:rsid w:val="008E3269"/>
    <w:rsid w:val="008E3363"/>
    <w:rsid w:val="008E33D6"/>
    <w:rsid w:val="008E3536"/>
    <w:rsid w:val="008E3540"/>
    <w:rsid w:val="008E359E"/>
    <w:rsid w:val="008E35D7"/>
    <w:rsid w:val="008E361E"/>
    <w:rsid w:val="008E36A0"/>
    <w:rsid w:val="008E3775"/>
    <w:rsid w:val="008E37A4"/>
    <w:rsid w:val="008E37DC"/>
    <w:rsid w:val="008E3828"/>
    <w:rsid w:val="008E3862"/>
    <w:rsid w:val="008E3885"/>
    <w:rsid w:val="008E38C6"/>
    <w:rsid w:val="008E38C8"/>
    <w:rsid w:val="008E3924"/>
    <w:rsid w:val="008E3941"/>
    <w:rsid w:val="008E3942"/>
    <w:rsid w:val="008E3966"/>
    <w:rsid w:val="008E39A0"/>
    <w:rsid w:val="008E39D1"/>
    <w:rsid w:val="008E39D2"/>
    <w:rsid w:val="008E39FB"/>
    <w:rsid w:val="008E3A74"/>
    <w:rsid w:val="008E3AD5"/>
    <w:rsid w:val="008E3B4B"/>
    <w:rsid w:val="008E3B53"/>
    <w:rsid w:val="008E3BED"/>
    <w:rsid w:val="008E3C64"/>
    <w:rsid w:val="008E3CAA"/>
    <w:rsid w:val="008E3CF2"/>
    <w:rsid w:val="008E3D15"/>
    <w:rsid w:val="008E3D2F"/>
    <w:rsid w:val="008E3D72"/>
    <w:rsid w:val="008E3DE1"/>
    <w:rsid w:val="008E3DF2"/>
    <w:rsid w:val="008E3E56"/>
    <w:rsid w:val="008E3F5D"/>
    <w:rsid w:val="008E3F62"/>
    <w:rsid w:val="008E3F66"/>
    <w:rsid w:val="008E3FD7"/>
    <w:rsid w:val="008E404B"/>
    <w:rsid w:val="008E405F"/>
    <w:rsid w:val="008E4089"/>
    <w:rsid w:val="008E40D2"/>
    <w:rsid w:val="008E4108"/>
    <w:rsid w:val="008E413F"/>
    <w:rsid w:val="008E41FE"/>
    <w:rsid w:val="008E4211"/>
    <w:rsid w:val="008E42FB"/>
    <w:rsid w:val="008E4317"/>
    <w:rsid w:val="008E435C"/>
    <w:rsid w:val="008E438A"/>
    <w:rsid w:val="008E438C"/>
    <w:rsid w:val="008E4394"/>
    <w:rsid w:val="008E43AF"/>
    <w:rsid w:val="008E4427"/>
    <w:rsid w:val="008E4469"/>
    <w:rsid w:val="008E449C"/>
    <w:rsid w:val="008E44C1"/>
    <w:rsid w:val="008E44FA"/>
    <w:rsid w:val="008E4524"/>
    <w:rsid w:val="008E4526"/>
    <w:rsid w:val="008E454C"/>
    <w:rsid w:val="008E4551"/>
    <w:rsid w:val="008E4574"/>
    <w:rsid w:val="008E4590"/>
    <w:rsid w:val="008E4593"/>
    <w:rsid w:val="008E45D9"/>
    <w:rsid w:val="008E45F0"/>
    <w:rsid w:val="008E4615"/>
    <w:rsid w:val="008E465C"/>
    <w:rsid w:val="008E4670"/>
    <w:rsid w:val="008E4674"/>
    <w:rsid w:val="008E4677"/>
    <w:rsid w:val="008E46A8"/>
    <w:rsid w:val="008E46C3"/>
    <w:rsid w:val="008E46E6"/>
    <w:rsid w:val="008E470D"/>
    <w:rsid w:val="008E474A"/>
    <w:rsid w:val="008E477F"/>
    <w:rsid w:val="008E4838"/>
    <w:rsid w:val="008E485D"/>
    <w:rsid w:val="008E4890"/>
    <w:rsid w:val="008E48C0"/>
    <w:rsid w:val="008E48CD"/>
    <w:rsid w:val="008E493D"/>
    <w:rsid w:val="008E4995"/>
    <w:rsid w:val="008E49B7"/>
    <w:rsid w:val="008E4A3B"/>
    <w:rsid w:val="008E4A68"/>
    <w:rsid w:val="008E4AA1"/>
    <w:rsid w:val="008E4B24"/>
    <w:rsid w:val="008E4B75"/>
    <w:rsid w:val="008E4B78"/>
    <w:rsid w:val="008E4BBF"/>
    <w:rsid w:val="008E4CE6"/>
    <w:rsid w:val="008E4CFD"/>
    <w:rsid w:val="008E4D1B"/>
    <w:rsid w:val="008E4DEB"/>
    <w:rsid w:val="008E4E11"/>
    <w:rsid w:val="008E4E17"/>
    <w:rsid w:val="008E4E4B"/>
    <w:rsid w:val="008E4E98"/>
    <w:rsid w:val="008E4E9E"/>
    <w:rsid w:val="008E4EF0"/>
    <w:rsid w:val="008E4F40"/>
    <w:rsid w:val="008E4F74"/>
    <w:rsid w:val="008E4FAA"/>
    <w:rsid w:val="008E4FAB"/>
    <w:rsid w:val="008E4FAE"/>
    <w:rsid w:val="008E4FC8"/>
    <w:rsid w:val="008E5015"/>
    <w:rsid w:val="008E5019"/>
    <w:rsid w:val="008E5043"/>
    <w:rsid w:val="008E5046"/>
    <w:rsid w:val="008E5070"/>
    <w:rsid w:val="008E509A"/>
    <w:rsid w:val="008E50AD"/>
    <w:rsid w:val="008E50F8"/>
    <w:rsid w:val="008E5103"/>
    <w:rsid w:val="008E5119"/>
    <w:rsid w:val="008E5132"/>
    <w:rsid w:val="008E5245"/>
    <w:rsid w:val="008E524C"/>
    <w:rsid w:val="008E52A6"/>
    <w:rsid w:val="008E52B3"/>
    <w:rsid w:val="008E52BF"/>
    <w:rsid w:val="008E5369"/>
    <w:rsid w:val="008E53E6"/>
    <w:rsid w:val="008E53FE"/>
    <w:rsid w:val="008E540B"/>
    <w:rsid w:val="008E5495"/>
    <w:rsid w:val="008E54D3"/>
    <w:rsid w:val="008E54EE"/>
    <w:rsid w:val="008E5536"/>
    <w:rsid w:val="008E55B3"/>
    <w:rsid w:val="008E55D1"/>
    <w:rsid w:val="008E5616"/>
    <w:rsid w:val="008E5643"/>
    <w:rsid w:val="008E5650"/>
    <w:rsid w:val="008E56C0"/>
    <w:rsid w:val="008E5702"/>
    <w:rsid w:val="008E570C"/>
    <w:rsid w:val="008E572C"/>
    <w:rsid w:val="008E5755"/>
    <w:rsid w:val="008E5769"/>
    <w:rsid w:val="008E5774"/>
    <w:rsid w:val="008E5795"/>
    <w:rsid w:val="008E57B4"/>
    <w:rsid w:val="008E57D3"/>
    <w:rsid w:val="008E5825"/>
    <w:rsid w:val="008E5843"/>
    <w:rsid w:val="008E5871"/>
    <w:rsid w:val="008E58C0"/>
    <w:rsid w:val="008E58ED"/>
    <w:rsid w:val="008E58FD"/>
    <w:rsid w:val="008E5918"/>
    <w:rsid w:val="008E594C"/>
    <w:rsid w:val="008E5984"/>
    <w:rsid w:val="008E5989"/>
    <w:rsid w:val="008E59AB"/>
    <w:rsid w:val="008E59E1"/>
    <w:rsid w:val="008E5A31"/>
    <w:rsid w:val="008E5A8F"/>
    <w:rsid w:val="008E5B19"/>
    <w:rsid w:val="008E5B2E"/>
    <w:rsid w:val="008E5BA0"/>
    <w:rsid w:val="008E5BA7"/>
    <w:rsid w:val="008E5BF6"/>
    <w:rsid w:val="008E5BFF"/>
    <w:rsid w:val="008E5C78"/>
    <w:rsid w:val="008E5C7C"/>
    <w:rsid w:val="008E5CAE"/>
    <w:rsid w:val="008E5D5C"/>
    <w:rsid w:val="008E5DA0"/>
    <w:rsid w:val="008E5E98"/>
    <w:rsid w:val="008E5EEF"/>
    <w:rsid w:val="008E5F77"/>
    <w:rsid w:val="008E5FB8"/>
    <w:rsid w:val="008E5FCE"/>
    <w:rsid w:val="008E5FF8"/>
    <w:rsid w:val="008E600D"/>
    <w:rsid w:val="008E606D"/>
    <w:rsid w:val="008E60D3"/>
    <w:rsid w:val="008E6107"/>
    <w:rsid w:val="008E6145"/>
    <w:rsid w:val="008E614F"/>
    <w:rsid w:val="008E61B5"/>
    <w:rsid w:val="008E622D"/>
    <w:rsid w:val="008E631E"/>
    <w:rsid w:val="008E633E"/>
    <w:rsid w:val="008E63EC"/>
    <w:rsid w:val="008E64C9"/>
    <w:rsid w:val="008E64DF"/>
    <w:rsid w:val="008E65B0"/>
    <w:rsid w:val="008E65B1"/>
    <w:rsid w:val="008E65BE"/>
    <w:rsid w:val="008E6668"/>
    <w:rsid w:val="008E6715"/>
    <w:rsid w:val="008E672B"/>
    <w:rsid w:val="008E672C"/>
    <w:rsid w:val="008E6754"/>
    <w:rsid w:val="008E67D3"/>
    <w:rsid w:val="008E687C"/>
    <w:rsid w:val="008E6891"/>
    <w:rsid w:val="008E68AD"/>
    <w:rsid w:val="008E697C"/>
    <w:rsid w:val="008E69AB"/>
    <w:rsid w:val="008E69E5"/>
    <w:rsid w:val="008E6A7C"/>
    <w:rsid w:val="008E6A87"/>
    <w:rsid w:val="008E6AAC"/>
    <w:rsid w:val="008E6AC9"/>
    <w:rsid w:val="008E6AE8"/>
    <w:rsid w:val="008E6B15"/>
    <w:rsid w:val="008E6B5A"/>
    <w:rsid w:val="008E6BD2"/>
    <w:rsid w:val="008E6BF9"/>
    <w:rsid w:val="008E6C59"/>
    <w:rsid w:val="008E6C83"/>
    <w:rsid w:val="008E6CF5"/>
    <w:rsid w:val="008E6D29"/>
    <w:rsid w:val="008E6D71"/>
    <w:rsid w:val="008E6D75"/>
    <w:rsid w:val="008E6DC1"/>
    <w:rsid w:val="008E6E40"/>
    <w:rsid w:val="008E6E57"/>
    <w:rsid w:val="008E6E6F"/>
    <w:rsid w:val="008E6EA8"/>
    <w:rsid w:val="008E6EB3"/>
    <w:rsid w:val="008E6EBA"/>
    <w:rsid w:val="008E7020"/>
    <w:rsid w:val="008E7032"/>
    <w:rsid w:val="008E703C"/>
    <w:rsid w:val="008E70C9"/>
    <w:rsid w:val="008E70F8"/>
    <w:rsid w:val="008E7111"/>
    <w:rsid w:val="008E713B"/>
    <w:rsid w:val="008E714A"/>
    <w:rsid w:val="008E71CC"/>
    <w:rsid w:val="008E71D7"/>
    <w:rsid w:val="008E71E2"/>
    <w:rsid w:val="008E7249"/>
    <w:rsid w:val="008E7273"/>
    <w:rsid w:val="008E727E"/>
    <w:rsid w:val="008E72C2"/>
    <w:rsid w:val="008E72E5"/>
    <w:rsid w:val="008E73A7"/>
    <w:rsid w:val="008E73A8"/>
    <w:rsid w:val="008E73B7"/>
    <w:rsid w:val="008E73BF"/>
    <w:rsid w:val="008E73EA"/>
    <w:rsid w:val="008E7404"/>
    <w:rsid w:val="008E7429"/>
    <w:rsid w:val="008E742A"/>
    <w:rsid w:val="008E7498"/>
    <w:rsid w:val="008E749A"/>
    <w:rsid w:val="008E75BD"/>
    <w:rsid w:val="008E75C4"/>
    <w:rsid w:val="008E75EC"/>
    <w:rsid w:val="008E76D3"/>
    <w:rsid w:val="008E76DE"/>
    <w:rsid w:val="008E770D"/>
    <w:rsid w:val="008E77BB"/>
    <w:rsid w:val="008E77C7"/>
    <w:rsid w:val="008E77D5"/>
    <w:rsid w:val="008E7801"/>
    <w:rsid w:val="008E789C"/>
    <w:rsid w:val="008E7902"/>
    <w:rsid w:val="008E7933"/>
    <w:rsid w:val="008E7A20"/>
    <w:rsid w:val="008E7A31"/>
    <w:rsid w:val="008E7A89"/>
    <w:rsid w:val="008E7B34"/>
    <w:rsid w:val="008E7B84"/>
    <w:rsid w:val="008E7BA7"/>
    <w:rsid w:val="008E7BE3"/>
    <w:rsid w:val="008E7C6C"/>
    <w:rsid w:val="008E7CD3"/>
    <w:rsid w:val="008E7D0D"/>
    <w:rsid w:val="008E7D70"/>
    <w:rsid w:val="008E7D96"/>
    <w:rsid w:val="008E7DCE"/>
    <w:rsid w:val="008E7DFA"/>
    <w:rsid w:val="008E7E03"/>
    <w:rsid w:val="008E7E08"/>
    <w:rsid w:val="008E7E24"/>
    <w:rsid w:val="008E7E8A"/>
    <w:rsid w:val="008E7E8F"/>
    <w:rsid w:val="008E7F04"/>
    <w:rsid w:val="008E7F09"/>
    <w:rsid w:val="008E7F1E"/>
    <w:rsid w:val="008E7FE9"/>
    <w:rsid w:val="008F000D"/>
    <w:rsid w:val="008F002E"/>
    <w:rsid w:val="008F0051"/>
    <w:rsid w:val="008F0081"/>
    <w:rsid w:val="008F00CB"/>
    <w:rsid w:val="008F00FD"/>
    <w:rsid w:val="008F013E"/>
    <w:rsid w:val="008F0143"/>
    <w:rsid w:val="008F018C"/>
    <w:rsid w:val="008F01E0"/>
    <w:rsid w:val="008F0223"/>
    <w:rsid w:val="008F029E"/>
    <w:rsid w:val="008F02A0"/>
    <w:rsid w:val="008F02C9"/>
    <w:rsid w:val="008F02F7"/>
    <w:rsid w:val="008F02FB"/>
    <w:rsid w:val="008F0313"/>
    <w:rsid w:val="008F0321"/>
    <w:rsid w:val="008F036C"/>
    <w:rsid w:val="008F03A7"/>
    <w:rsid w:val="008F0415"/>
    <w:rsid w:val="008F055A"/>
    <w:rsid w:val="008F056C"/>
    <w:rsid w:val="008F0583"/>
    <w:rsid w:val="008F065B"/>
    <w:rsid w:val="008F0683"/>
    <w:rsid w:val="008F06FC"/>
    <w:rsid w:val="008F0762"/>
    <w:rsid w:val="008F079E"/>
    <w:rsid w:val="008F07CF"/>
    <w:rsid w:val="008F07F3"/>
    <w:rsid w:val="008F080C"/>
    <w:rsid w:val="008F0842"/>
    <w:rsid w:val="008F085C"/>
    <w:rsid w:val="008F0863"/>
    <w:rsid w:val="008F0867"/>
    <w:rsid w:val="008F086A"/>
    <w:rsid w:val="008F087F"/>
    <w:rsid w:val="008F0885"/>
    <w:rsid w:val="008F0903"/>
    <w:rsid w:val="008F0914"/>
    <w:rsid w:val="008F0926"/>
    <w:rsid w:val="008F096D"/>
    <w:rsid w:val="008F0981"/>
    <w:rsid w:val="008F09F2"/>
    <w:rsid w:val="008F0A03"/>
    <w:rsid w:val="008F0A45"/>
    <w:rsid w:val="008F0A68"/>
    <w:rsid w:val="008F0A94"/>
    <w:rsid w:val="008F0AB0"/>
    <w:rsid w:val="008F0AC3"/>
    <w:rsid w:val="008F0AD4"/>
    <w:rsid w:val="008F0B2C"/>
    <w:rsid w:val="008F0B4A"/>
    <w:rsid w:val="008F0B92"/>
    <w:rsid w:val="008F0BB0"/>
    <w:rsid w:val="008F0BEC"/>
    <w:rsid w:val="008F0BFE"/>
    <w:rsid w:val="008F0C3D"/>
    <w:rsid w:val="008F0C7F"/>
    <w:rsid w:val="008F0CF7"/>
    <w:rsid w:val="008F0D4A"/>
    <w:rsid w:val="008F0D56"/>
    <w:rsid w:val="008F0D7C"/>
    <w:rsid w:val="008F0D81"/>
    <w:rsid w:val="008F0DC6"/>
    <w:rsid w:val="008F0E3B"/>
    <w:rsid w:val="008F0E41"/>
    <w:rsid w:val="008F0E58"/>
    <w:rsid w:val="008F0F01"/>
    <w:rsid w:val="008F0F13"/>
    <w:rsid w:val="008F0F48"/>
    <w:rsid w:val="008F0F7F"/>
    <w:rsid w:val="008F1025"/>
    <w:rsid w:val="008F1053"/>
    <w:rsid w:val="008F1079"/>
    <w:rsid w:val="008F10A3"/>
    <w:rsid w:val="008F10FF"/>
    <w:rsid w:val="008F11A5"/>
    <w:rsid w:val="008F11BC"/>
    <w:rsid w:val="008F1235"/>
    <w:rsid w:val="008F1291"/>
    <w:rsid w:val="008F12F3"/>
    <w:rsid w:val="008F12F6"/>
    <w:rsid w:val="008F1373"/>
    <w:rsid w:val="008F13D1"/>
    <w:rsid w:val="008F1435"/>
    <w:rsid w:val="008F150B"/>
    <w:rsid w:val="008F1523"/>
    <w:rsid w:val="008F152D"/>
    <w:rsid w:val="008F1606"/>
    <w:rsid w:val="008F1624"/>
    <w:rsid w:val="008F1651"/>
    <w:rsid w:val="008F1661"/>
    <w:rsid w:val="008F169A"/>
    <w:rsid w:val="008F16C7"/>
    <w:rsid w:val="008F1706"/>
    <w:rsid w:val="008F174F"/>
    <w:rsid w:val="008F1798"/>
    <w:rsid w:val="008F185A"/>
    <w:rsid w:val="008F1897"/>
    <w:rsid w:val="008F18D2"/>
    <w:rsid w:val="008F197A"/>
    <w:rsid w:val="008F1989"/>
    <w:rsid w:val="008F1998"/>
    <w:rsid w:val="008F1999"/>
    <w:rsid w:val="008F19F7"/>
    <w:rsid w:val="008F19FE"/>
    <w:rsid w:val="008F1A72"/>
    <w:rsid w:val="008F1AA2"/>
    <w:rsid w:val="008F1AC5"/>
    <w:rsid w:val="008F1AD0"/>
    <w:rsid w:val="008F1B69"/>
    <w:rsid w:val="008F1B93"/>
    <w:rsid w:val="008F1BBC"/>
    <w:rsid w:val="008F1BC5"/>
    <w:rsid w:val="008F1BF7"/>
    <w:rsid w:val="008F1C21"/>
    <w:rsid w:val="008F1C3B"/>
    <w:rsid w:val="008F1C56"/>
    <w:rsid w:val="008F1C61"/>
    <w:rsid w:val="008F1D04"/>
    <w:rsid w:val="008F1D12"/>
    <w:rsid w:val="008F1D92"/>
    <w:rsid w:val="008F1D95"/>
    <w:rsid w:val="008F1DD2"/>
    <w:rsid w:val="008F1E85"/>
    <w:rsid w:val="008F1EB3"/>
    <w:rsid w:val="008F1ED4"/>
    <w:rsid w:val="008F1EE2"/>
    <w:rsid w:val="008F1F34"/>
    <w:rsid w:val="008F2093"/>
    <w:rsid w:val="008F209D"/>
    <w:rsid w:val="008F20F1"/>
    <w:rsid w:val="008F2105"/>
    <w:rsid w:val="008F211A"/>
    <w:rsid w:val="008F2132"/>
    <w:rsid w:val="008F21B9"/>
    <w:rsid w:val="008F21F0"/>
    <w:rsid w:val="008F21F8"/>
    <w:rsid w:val="008F223E"/>
    <w:rsid w:val="008F22BA"/>
    <w:rsid w:val="008F22E1"/>
    <w:rsid w:val="008F231C"/>
    <w:rsid w:val="008F2376"/>
    <w:rsid w:val="008F23B5"/>
    <w:rsid w:val="008F247F"/>
    <w:rsid w:val="008F249F"/>
    <w:rsid w:val="008F24B1"/>
    <w:rsid w:val="008F24C8"/>
    <w:rsid w:val="008F24E4"/>
    <w:rsid w:val="008F2516"/>
    <w:rsid w:val="008F2528"/>
    <w:rsid w:val="008F2538"/>
    <w:rsid w:val="008F255D"/>
    <w:rsid w:val="008F2597"/>
    <w:rsid w:val="008F259C"/>
    <w:rsid w:val="008F2652"/>
    <w:rsid w:val="008F265F"/>
    <w:rsid w:val="008F2674"/>
    <w:rsid w:val="008F26EE"/>
    <w:rsid w:val="008F2795"/>
    <w:rsid w:val="008F27E4"/>
    <w:rsid w:val="008F2804"/>
    <w:rsid w:val="008F2844"/>
    <w:rsid w:val="008F287B"/>
    <w:rsid w:val="008F28ED"/>
    <w:rsid w:val="008F2901"/>
    <w:rsid w:val="008F2969"/>
    <w:rsid w:val="008F2977"/>
    <w:rsid w:val="008F298D"/>
    <w:rsid w:val="008F29A9"/>
    <w:rsid w:val="008F29D1"/>
    <w:rsid w:val="008F29DD"/>
    <w:rsid w:val="008F2A5E"/>
    <w:rsid w:val="008F2A60"/>
    <w:rsid w:val="008F2A68"/>
    <w:rsid w:val="008F2ACA"/>
    <w:rsid w:val="008F2BBC"/>
    <w:rsid w:val="008F2D0D"/>
    <w:rsid w:val="008F2D7D"/>
    <w:rsid w:val="008F2DFD"/>
    <w:rsid w:val="008F2E08"/>
    <w:rsid w:val="008F2E28"/>
    <w:rsid w:val="008F2E4E"/>
    <w:rsid w:val="008F2E85"/>
    <w:rsid w:val="008F2E96"/>
    <w:rsid w:val="008F2EF0"/>
    <w:rsid w:val="008F2F64"/>
    <w:rsid w:val="008F3008"/>
    <w:rsid w:val="008F3009"/>
    <w:rsid w:val="008F3052"/>
    <w:rsid w:val="008F30A5"/>
    <w:rsid w:val="008F30BA"/>
    <w:rsid w:val="008F3134"/>
    <w:rsid w:val="008F3172"/>
    <w:rsid w:val="008F31C0"/>
    <w:rsid w:val="008F3216"/>
    <w:rsid w:val="008F321F"/>
    <w:rsid w:val="008F3268"/>
    <w:rsid w:val="008F3278"/>
    <w:rsid w:val="008F32B5"/>
    <w:rsid w:val="008F32E6"/>
    <w:rsid w:val="008F3336"/>
    <w:rsid w:val="008F3378"/>
    <w:rsid w:val="008F343F"/>
    <w:rsid w:val="008F3489"/>
    <w:rsid w:val="008F34B8"/>
    <w:rsid w:val="008F3516"/>
    <w:rsid w:val="008F3548"/>
    <w:rsid w:val="008F3565"/>
    <w:rsid w:val="008F3598"/>
    <w:rsid w:val="008F3609"/>
    <w:rsid w:val="008F3644"/>
    <w:rsid w:val="008F368E"/>
    <w:rsid w:val="008F36B0"/>
    <w:rsid w:val="008F372E"/>
    <w:rsid w:val="008F373A"/>
    <w:rsid w:val="008F37EB"/>
    <w:rsid w:val="008F38AC"/>
    <w:rsid w:val="008F38EB"/>
    <w:rsid w:val="008F3910"/>
    <w:rsid w:val="008F395F"/>
    <w:rsid w:val="008F398B"/>
    <w:rsid w:val="008F39DA"/>
    <w:rsid w:val="008F39F7"/>
    <w:rsid w:val="008F3A0A"/>
    <w:rsid w:val="008F3A3D"/>
    <w:rsid w:val="008F3A82"/>
    <w:rsid w:val="008F3B26"/>
    <w:rsid w:val="008F3B35"/>
    <w:rsid w:val="008F3B6A"/>
    <w:rsid w:val="008F3BB9"/>
    <w:rsid w:val="008F3C0E"/>
    <w:rsid w:val="008F3C31"/>
    <w:rsid w:val="008F3C3C"/>
    <w:rsid w:val="008F3C56"/>
    <w:rsid w:val="008F3C9D"/>
    <w:rsid w:val="008F3CFF"/>
    <w:rsid w:val="008F3D5D"/>
    <w:rsid w:val="008F3D89"/>
    <w:rsid w:val="008F3E1D"/>
    <w:rsid w:val="008F3F1E"/>
    <w:rsid w:val="008F3F2C"/>
    <w:rsid w:val="008F3F38"/>
    <w:rsid w:val="008F3F75"/>
    <w:rsid w:val="008F3FCD"/>
    <w:rsid w:val="008F4002"/>
    <w:rsid w:val="008F40AB"/>
    <w:rsid w:val="008F410F"/>
    <w:rsid w:val="008F4111"/>
    <w:rsid w:val="008F4144"/>
    <w:rsid w:val="008F41AE"/>
    <w:rsid w:val="008F41BD"/>
    <w:rsid w:val="008F41E1"/>
    <w:rsid w:val="008F4275"/>
    <w:rsid w:val="008F431B"/>
    <w:rsid w:val="008F434B"/>
    <w:rsid w:val="008F4383"/>
    <w:rsid w:val="008F43A4"/>
    <w:rsid w:val="008F43DE"/>
    <w:rsid w:val="008F44DC"/>
    <w:rsid w:val="008F4538"/>
    <w:rsid w:val="008F45AF"/>
    <w:rsid w:val="008F460B"/>
    <w:rsid w:val="008F468D"/>
    <w:rsid w:val="008F476A"/>
    <w:rsid w:val="008F478D"/>
    <w:rsid w:val="008F47CB"/>
    <w:rsid w:val="008F4882"/>
    <w:rsid w:val="008F48FC"/>
    <w:rsid w:val="008F4912"/>
    <w:rsid w:val="008F49A1"/>
    <w:rsid w:val="008F49B3"/>
    <w:rsid w:val="008F49E8"/>
    <w:rsid w:val="008F49FA"/>
    <w:rsid w:val="008F4A16"/>
    <w:rsid w:val="008F4A59"/>
    <w:rsid w:val="008F4A65"/>
    <w:rsid w:val="008F4B1C"/>
    <w:rsid w:val="008F4B20"/>
    <w:rsid w:val="008F4B4A"/>
    <w:rsid w:val="008F4B73"/>
    <w:rsid w:val="008F4B91"/>
    <w:rsid w:val="008F4B97"/>
    <w:rsid w:val="008F4D30"/>
    <w:rsid w:val="008F4D5D"/>
    <w:rsid w:val="008F4D5F"/>
    <w:rsid w:val="008F4D6F"/>
    <w:rsid w:val="008F4DA9"/>
    <w:rsid w:val="008F4E56"/>
    <w:rsid w:val="008F4EC0"/>
    <w:rsid w:val="008F4ECA"/>
    <w:rsid w:val="008F4F19"/>
    <w:rsid w:val="008F4F2C"/>
    <w:rsid w:val="008F4FA0"/>
    <w:rsid w:val="008F4FBC"/>
    <w:rsid w:val="008F4FF0"/>
    <w:rsid w:val="008F5012"/>
    <w:rsid w:val="008F5025"/>
    <w:rsid w:val="008F5039"/>
    <w:rsid w:val="008F5050"/>
    <w:rsid w:val="008F511A"/>
    <w:rsid w:val="008F512C"/>
    <w:rsid w:val="008F51CC"/>
    <w:rsid w:val="008F522E"/>
    <w:rsid w:val="008F5280"/>
    <w:rsid w:val="008F52C6"/>
    <w:rsid w:val="008F53CD"/>
    <w:rsid w:val="008F53D2"/>
    <w:rsid w:val="008F5426"/>
    <w:rsid w:val="008F5436"/>
    <w:rsid w:val="008F54A9"/>
    <w:rsid w:val="008F54AF"/>
    <w:rsid w:val="008F551C"/>
    <w:rsid w:val="008F554B"/>
    <w:rsid w:val="008F5555"/>
    <w:rsid w:val="008F5564"/>
    <w:rsid w:val="008F5594"/>
    <w:rsid w:val="008F559D"/>
    <w:rsid w:val="008F55B6"/>
    <w:rsid w:val="008F55B7"/>
    <w:rsid w:val="008F55CF"/>
    <w:rsid w:val="008F5649"/>
    <w:rsid w:val="008F567B"/>
    <w:rsid w:val="008F56FE"/>
    <w:rsid w:val="008F57D6"/>
    <w:rsid w:val="008F57DF"/>
    <w:rsid w:val="008F57F1"/>
    <w:rsid w:val="008F5882"/>
    <w:rsid w:val="008F5985"/>
    <w:rsid w:val="008F59EC"/>
    <w:rsid w:val="008F5A17"/>
    <w:rsid w:val="008F5A26"/>
    <w:rsid w:val="008F5A34"/>
    <w:rsid w:val="008F5A92"/>
    <w:rsid w:val="008F5AC9"/>
    <w:rsid w:val="008F5ACA"/>
    <w:rsid w:val="008F5AFF"/>
    <w:rsid w:val="008F5B2A"/>
    <w:rsid w:val="008F5B32"/>
    <w:rsid w:val="008F5B55"/>
    <w:rsid w:val="008F5B8D"/>
    <w:rsid w:val="008F5BEE"/>
    <w:rsid w:val="008F5BF7"/>
    <w:rsid w:val="008F5C69"/>
    <w:rsid w:val="008F5CD0"/>
    <w:rsid w:val="008F5CE3"/>
    <w:rsid w:val="008F5CF4"/>
    <w:rsid w:val="008F5D26"/>
    <w:rsid w:val="008F5D29"/>
    <w:rsid w:val="008F5D35"/>
    <w:rsid w:val="008F5D66"/>
    <w:rsid w:val="008F5D7B"/>
    <w:rsid w:val="008F5DAF"/>
    <w:rsid w:val="008F5ED9"/>
    <w:rsid w:val="008F5EED"/>
    <w:rsid w:val="008F5EF3"/>
    <w:rsid w:val="008F5F9F"/>
    <w:rsid w:val="008F6061"/>
    <w:rsid w:val="008F60F1"/>
    <w:rsid w:val="008F613C"/>
    <w:rsid w:val="008F6153"/>
    <w:rsid w:val="008F616B"/>
    <w:rsid w:val="008F618C"/>
    <w:rsid w:val="008F6195"/>
    <w:rsid w:val="008F61AE"/>
    <w:rsid w:val="008F6216"/>
    <w:rsid w:val="008F6275"/>
    <w:rsid w:val="008F6288"/>
    <w:rsid w:val="008F62AF"/>
    <w:rsid w:val="008F62BF"/>
    <w:rsid w:val="008F62EB"/>
    <w:rsid w:val="008F630A"/>
    <w:rsid w:val="008F63C1"/>
    <w:rsid w:val="008F63F2"/>
    <w:rsid w:val="008F644F"/>
    <w:rsid w:val="008F647B"/>
    <w:rsid w:val="008F6494"/>
    <w:rsid w:val="008F64BE"/>
    <w:rsid w:val="008F651D"/>
    <w:rsid w:val="008F653A"/>
    <w:rsid w:val="008F6554"/>
    <w:rsid w:val="008F6583"/>
    <w:rsid w:val="008F6586"/>
    <w:rsid w:val="008F660C"/>
    <w:rsid w:val="008F662B"/>
    <w:rsid w:val="008F665F"/>
    <w:rsid w:val="008F6664"/>
    <w:rsid w:val="008F6675"/>
    <w:rsid w:val="008F668E"/>
    <w:rsid w:val="008F66A8"/>
    <w:rsid w:val="008F66AC"/>
    <w:rsid w:val="008F671B"/>
    <w:rsid w:val="008F674D"/>
    <w:rsid w:val="008F682D"/>
    <w:rsid w:val="008F6857"/>
    <w:rsid w:val="008F6859"/>
    <w:rsid w:val="008F685F"/>
    <w:rsid w:val="008F6886"/>
    <w:rsid w:val="008F68AE"/>
    <w:rsid w:val="008F69CE"/>
    <w:rsid w:val="008F69ED"/>
    <w:rsid w:val="008F6A14"/>
    <w:rsid w:val="008F6A87"/>
    <w:rsid w:val="008F6B3B"/>
    <w:rsid w:val="008F6B9B"/>
    <w:rsid w:val="008F6BAB"/>
    <w:rsid w:val="008F6BC1"/>
    <w:rsid w:val="008F6BD0"/>
    <w:rsid w:val="008F6C40"/>
    <w:rsid w:val="008F6CD0"/>
    <w:rsid w:val="008F6D02"/>
    <w:rsid w:val="008F6D63"/>
    <w:rsid w:val="008F6D67"/>
    <w:rsid w:val="008F6D68"/>
    <w:rsid w:val="008F6DCC"/>
    <w:rsid w:val="008F6E00"/>
    <w:rsid w:val="008F6E41"/>
    <w:rsid w:val="008F6E5B"/>
    <w:rsid w:val="008F6E67"/>
    <w:rsid w:val="008F6F3A"/>
    <w:rsid w:val="008F6FAD"/>
    <w:rsid w:val="008F6FD1"/>
    <w:rsid w:val="008F7020"/>
    <w:rsid w:val="008F7022"/>
    <w:rsid w:val="008F7054"/>
    <w:rsid w:val="008F706D"/>
    <w:rsid w:val="008F7126"/>
    <w:rsid w:val="008F712A"/>
    <w:rsid w:val="008F7161"/>
    <w:rsid w:val="008F71C8"/>
    <w:rsid w:val="008F71E0"/>
    <w:rsid w:val="008F724D"/>
    <w:rsid w:val="008F7256"/>
    <w:rsid w:val="008F72EB"/>
    <w:rsid w:val="008F7301"/>
    <w:rsid w:val="008F744E"/>
    <w:rsid w:val="008F7463"/>
    <w:rsid w:val="008F747E"/>
    <w:rsid w:val="008F74AE"/>
    <w:rsid w:val="008F74C2"/>
    <w:rsid w:val="008F74CA"/>
    <w:rsid w:val="008F74D5"/>
    <w:rsid w:val="008F750B"/>
    <w:rsid w:val="008F75F4"/>
    <w:rsid w:val="008F76A2"/>
    <w:rsid w:val="008F7722"/>
    <w:rsid w:val="008F7723"/>
    <w:rsid w:val="008F772F"/>
    <w:rsid w:val="008F77B0"/>
    <w:rsid w:val="008F7848"/>
    <w:rsid w:val="008F78A8"/>
    <w:rsid w:val="008F78FF"/>
    <w:rsid w:val="008F7958"/>
    <w:rsid w:val="008F79AC"/>
    <w:rsid w:val="008F79ED"/>
    <w:rsid w:val="008F7A25"/>
    <w:rsid w:val="008F7B01"/>
    <w:rsid w:val="008F7B2E"/>
    <w:rsid w:val="008F7B3D"/>
    <w:rsid w:val="008F7B42"/>
    <w:rsid w:val="008F7B81"/>
    <w:rsid w:val="008F7C91"/>
    <w:rsid w:val="008F7C9B"/>
    <w:rsid w:val="008F7CB2"/>
    <w:rsid w:val="008F7D51"/>
    <w:rsid w:val="008F7D5C"/>
    <w:rsid w:val="008F7D6F"/>
    <w:rsid w:val="008F7D77"/>
    <w:rsid w:val="008F7DB8"/>
    <w:rsid w:val="008F7DDC"/>
    <w:rsid w:val="008F7E16"/>
    <w:rsid w:val="008F7E75"/>
    <w:rsid w:val="008F7EF7"/>
    <w:rsid w:val="008F7F11"/>
    <w:rsid w:val="008F7F46"/>
    <w:rsid w:val="008F7F4F"/>
    <w:rsid w:val="008F7F65"/>
    <w:rsid w:val="008F7F6B"/>
    <w:rsid w:val="008F7F7F"/>
    <w:rsid w:val="008F7F83"/>
    <w:rsid w:val="008F7FC9"/>
    <w:rsid w:val="008F7FD1"/>
    <w:rsid w:val="008F7FF2"/>
    <w:rsid w:val="009000DA"/>
    <w:rsid w:val="00900117"/>
    <w:rsid w:val="009001A2"/>
    <w:rsid w:val="00900204"/>
    <w:rsid w:val="009002BD"/>
    <w:rsid w:val="009002DE"/>
    <w:rsid w:val="0090030C"/>
    <w:rsid w:val="009003DF"/>
    <w:rsid w:val="00900411"/>
    <w:rsid w:val="0090041E"/>
    <w:rsid w:val="00900443"/>
    <w:rsid w:val="00900495"/>
    <w:rsid w:val="009004A0"/>
    <w:rsid w:val="009004A8"/>
    <w:rsid w:val="009004C0"/>
    <w:rsid w:val="009004E2"/>
    <w:rsid w:val="009004E7"/>
    <w:rsid w:val="00900557"/>
    <w:rsid w:val="0090055A"/>
    <w:rsid w:val="009005B3"/>
    <w:rsid w:val="009005D2"/>
    <w:rsid w:val="009005EA"/>
    <w:rsid w:val="0090060B"/>
    <w:rsid w:val="00900610"/>
    <w:rsid w:val="0090063B"/>
    <w:rsid w:val="00900695"/>
    <w:rsid w:val="009006EA"/>
    <w:rsid w:val="0090071B"/>
    <w:rsid w:val="009007AF"/>
    <w:rsid w:val="009007F6"/>
    <w:rsid w:val="0090080D"/>
    <w:rsid w:val="00900832"/>
    <w:rsid w:val="0090086E"/>
    <w:rsid w:val="00900896"/>
    <w:rsid w:val="009008A0"/>
    <w:rsid w:val="009008A7"/>
    <w:rsid w:val="009008B4"/>
    <w:rsid w:val="009008CE"/>
    <w:rsid w:val="0090091C"/>
    <w:rsid w:val="00900988"/>
    <w:rsid w:val="009009C3"/>
    <w:rsid w:val="009009E8"/>
    <w:rsid w:val="009009EE"/>
    <w:rsid w:val="009009F0"/>
    <w:rsid w:val="00900A2F"/>
    <w:rsid w:val="00900A44"/>
    <w:rsid w:val="00900A81"/>
    <w:rsid w:val="00900A92"/>
    <w:rsid w:val="00900A9D"/>
    <w:rsid w:val="00900ABF"/>
    <w:rsid w:val="00900B8B"/>
    <w:rsid w:val="00900C01"/>
    <w:rsid w:val="00900C27"/>
    <w:rsid w:val="00900C43"/>
    <w:rsid w:val="00900CCC"/>
    <w:rsid w:val="00900CDC"/>
    <w:rsid w:val="00900D06"/>
    <w:rsid w:val="00900D08"/>
    <w:rsid w:val="00900DA1"/>
    <w:rsid w:val="00900DED"/>
    <w:rsid w:val="00900E1C"/>
    <w:rsid w:val="00900E57"/>
    <w:rsid w:val="00900E61"/>
    <w:rsid w:val="00900E62"/>
    <w:rsid w:val="00900E6C"/>
    <w:rsid w:val="00900E8F"/>
    <w:rsid w:val="00900EF2"/>
    <w:rsid w:val="00900F0E"/>
    <w:rsid w:val="00900F0F"/>
    <w:rsid w:val="00900F12"/>
    <w:rsid w:val="00900F49"/>
    <w:rsid w:val="00900FA3"/>
    <w:rsid w:val="0090101E"/>
    <w:rsid w:val="0090101F"/>
    <w:rsid w:val="009010B9"/>
    <w:rsid w:val="009010F8"/>
    <w:rsid w:val="0090110A"/>
    <w:rsid w:val="00901152"/>
    <w:rsid w:val="0090115B"/>
    <w:rsid w:val="009011A9"/>
    <w:rsid w:val="009011D1"/>
    <w:rsid w:val="009011F6"/>
    <w:rsid w:val="009012AF"/>
    <w:rsid w:val="009012BB"/>
    <w:rsid w:val="00901350"/>
    <w:rsid w:val="00901373"/>
    <w:rsid w:val="00901396"/>
    <w:rsid w:val="009013B3"/>
    <w:rsid w:val="009013DF"/>
    <w:rsid w:val="009013FE"/>
    <w:rsid w:val="00901465"/>
    <w:rsid w:val="00901481"/>
    <w:rsid w:val="00901538"/>
    <w:rsid w:val="0090153C"/>
    <w:rsid w:val="009015CD"/>
    <w:rsid w:val="009015F3"/>
    <w:rsid w:val="00901618"/>
    <w:rsid w:val="00901627"/>
    <w:rsid w:val="009016AC"/>
    <w:rsid w:val="00901769"/>
    <w:rsid w:val="0090178A"/>
    <w:rsid w:val="009017F8"/>
    <w:rsid w:val="0090182A"/>
    <w:rsid w:val="00901938"/>
    <w:rsid w:val="00901A28"/>
    <w:rsid w:val="00901A96"/>
    <w:rsid w:val="00901AA5"/>
    <w:rsid w:val="00901B33"/>
    <w:rsid w:val="00901B73"/>
    <w:rsid w:val="00901B77"/>
    <w:rsid w:val="00901B86"/>
    <w:rsid w:val="00901BF3"/>
    <w:rsid w:val="00901C5A"/>
    <w:rsid w:val="00901C68"/>
    <w:rsid w:val="00901CAE"/>
    <w:rsid w:val="00901CBB"/>
    <w:rsid w:val="00901CF9"/>
    <w:rsid w:val="00901D3C"/>
    <w:rsid w:val="00901DF1"/>
    <w:rsid w:val="00901DFF"/>
    <w:rsid w:val="00901E21"/>
    <w:rsid w:val="00901E2B"/>
    <w:rsid w:val="00901EB0"/>
    <w:rsid w:val="00901EC4"/>
    <w:rsid w:val="00901F50"/>
    <w:rsid w:val="00901F59"/>
    <w:rsid w:val="00901F70"/>
    <w:rsid w:val="00901FD0"/>
    <w:rsid w:val="0090200F"/>
    <w:rsid w:val="00902017"/>
    <w:rsid w:val="0090201F"/>
    <w:rsid w:val="0090206D"/>
    <w:rsid w:val="009020B8"/>
    <w:rsid w:val="009021B4"/>
    <w:rsid w:val="00902245"/>
    <w:rsid w:val="009022D6"/>
    <w:rsid w:val="009022D7"/>
    <w:rsid w:val="009022F8"/>
    <w:rsid w:val="00902317"/>
    <w:rsid w:val="0090231B"/>
    <w:rsid w:val="00902338"/>
    <w:rsid w:val="0090234B"/>
    <w:rsid w:val="0090234C"/>
    <w:rsid w:val="009023E1"/>
    <w:rsid w:val="009023F8"/>
    <w:rsid w:val="009023FE"/>
    <w:rsid w:val="00902407"/>
    <w:rsid w:val="00902433"/>
    <w:rsid w:val="009024CF"/>
    <w:rsid w:val="009024DC"/>
    <w:rsid w:val="009024F4"/>
    <w:rsid w:val="00902522"/>
    <w:rsid w:val="00902582"/>
    <w:rsid w:val="0090258E"/>
    <w:rsid w:val="009025D2"/>
    <w:rsid w:val="009026AC"/>
    <w:rsid w:val="009026D1"/>
    <w:rsid w:val="009026E1"/>
    <w:rsid w:val="00902782"/>
    <w:rsid w:val="009027F4"/>
    <w:rsid w:val="00902805"/>
    <w:rsid w:val="00902810"/>
    <w:rsid w:val="00902811"/>
    <w:rsid w:val="00902815"/>
    <w:rsid w:val="00902894"/>
    <w:rsid w:val="009028B0"/>
    <w:rsid w:val="0090294A"/>
    <w:rsid w:val="0090297B"/>
    <w:rsid w:val="00902A40"/>
    <w:rsid w:val="00902A4F"/>
    <w:rsid w:val="00902AFC"/>
    <w:rsid w:val="00902B02"/>
    <w:rsid w:val="00902B12"/>
    <w:rsid w:val="00902B7E"/>
    <w:rsid w:val="00902C5D"/>
    <w:rsid w:val="00902D44"/>
    <w:rsid w:val="00902DBB"/>
    <w:rsid w:val="00902DE9"/>
    <w:rsid w:val="00902E5F"/>
    <w:rsid w:val="00902E6B"/>
    <w:rsid w:val="00902ED5"/>
    <w:rsid w:val="00902FAF"/>
    <w:rsid w:val="0090304E"/>
    <w:rsid w:val="009030B0"/>
    <w:rsid w:val="009031E2"/>
    <w:rsid w:val="0090320D"/>
    <w:rsid w:val="009032A3"/>
    <w:rsid w:val="009032ED"/>
    <w:rsid w:val="0090335E"/>
    <w:rsid w:val="009033B0"/>
    <w:rsid w:val="009033DB"/>
    <w:rsid w:val="009033EC"/>
    <w:rsid w:val="00903415"/>
    <w:rsid w:val="0090349D"/>
    <w:rsid w:val="009034F4"/>
    <w:rsid w:val="009034FC"/>
    <w:rsid w:val="00903556"/>
    <w:rsid w:val="009035A4"/>
    <w:rsid w:val="00903608"/>
    <w:rsid w:val="00903613"/>
    <w:rsid w:val="00903654"/>
    <w:rsid w:val="0090366A"/>
    <w:rsid w:val="009036B0"/>
    <w:rsid w:val="009036DF"/>
    <w:rsid w:val="009036F9"/>
    <w:rsid w:val="009036FD"/>
    <w:rsid w:val="0090371D"/>
    <w:rsid w:val="00903740"/>
    <w:rsid w:val="00903753"/>
    <w:rsid w:val="0090378A"/>
    <w:rsid w:val="00903794"/>
    <w:rsid w:val="009037EF"/>
    <w:rsid w:val="0090380D"/>
    <w:rsid w:val="00903855"/>
    <w:rsid w:val="00903866"/>
    <w:rsid w:val="00903895"/>
    <w:rsid w:val="009038DA"/>
    <w:rsid w:val="0090393F"/>
    <w:rsid w:val="00903A49"/>
    <w:rsid w:val="00903A81"/>
    <w:rsid w:val="00903A84"/>
    <w:rsid w:val="00903AA5"/>
    <w:rsid w:val="00903AB0"/>
    <w:rsid w:val="00903BA6"/>
    <w:rsid w:val="00903BE6"/>
    <w:rsid w:val="00903C51"/>
    <w:rsid w:val="00903C60"/>
    <w:rsid w:val="00903C80"/>
    <w:rsid w:val="00903C8B"/>
    <w:rsid w:val="00903C8F"/>
    <w:rsid w:val="00903CF7"/>
    <w:rsid w:val="00903D15"/>
    <w:rsid w:val="00903D5C"/>
    <w:rsid w:val="00903D65"/>
    <w:rsid w:val="00903D7E"/>
    <w:rsid w:val="00903DC1"/>
    <w:rsid w:val="00903DC9"/>
    <w:rsid w:val="00903DCE"/>
    <w:rsid w:val="00903E1A"/>
    <w:rsid w:val="00903E27"/>
    <w:rsid w:val="00903E4B"/>
    <w:rsid w:val="00903E97"/>
    <w:rsid w:val="00903EB3"/>
    <w:rsid w:val="00903EFA"/>
    <w:rsid w:val="00903F41"/>
    <w:rsid w:val="00903F9E"/>
    <w:rsid w:val="00903FCB"/>
    <w:rsid w:val="00903FCE"/>
    <w:rsid w:val="00903FD2"/>
    <w:rsid w:val="00904047"/>
    <w:rsid w:val="0090405A"/>
    <w:rsid w:val="00904083"/>
    <w:rsid w:val="009040A8"/>
    <w:rsid w:val="009040C1"/>
    <w:rsid w:val="009040D4"/>
    <w:rsid w:val="0090410C"/>
    <w:rsid w:val="00904122"/>
    <w:rsid w:val="0090421E"/>
    <w:rsid w:val="00904293"/>
    <w:rsid w:val="009042DF"/>
    <w:rsid w:val="009042E8"/>
    <w:rsid w:val="009042FF"/>
    <w:rsid w:val="009043C7"/>
    <w:rsid w:val="00904416"/>
    <w:rsid w:val="0090444B"/>
    <w:rsid w:val="00904486"/>
    <w:rsid w:val="0090449B"/>
    <w:rsid w:val="009044C0"/>
    <w:rsid w:val="009044CB"/>
    <w:rsid w:val="0090458D"/>
    <w:rsid w:val="009045BD"/>
    <w:rsid w:val="00904677"/>
    <w:rsid w:val="0090469D"/>
    <w:rsid w:val="009046C0"/>
    <w:rsid w:val="009046E6"/>
    <w:rsid w:val="00904735"/>
    <w:rsid w:val="00904837"/>
    <w:rsid w:val="0090486F"/>
    <w:rsid w:val="00904937"/>
    <w:rsid w:val="0090493D"/>
    <w:rsid w:val="0090497D"/>
    <w:rsid w:val="00904991"/>
    <w:rsid w:val="009049BF"/>
    <w:rsid w:val="00904A20"/>
    <w:rsid w:val="00904A23"/>
    <w:rsid w:val="00904A41"/>
    <w:rsid w:val="00904A62"/>
    <w:rsid w:val="00904AAB"/>
    <w:rsid w:val="00904AB6"/>
    <w:rsid w:val="00904ABA"/>
    <w:rsid w:val="00904AE8"/>
    <w:rsid w:val="00904AFA"/>
    <w:rsid w:val="00904AFC"/>
    <w:rsid w:val="00904B18"/>
    <w:rsid w:val="00904B1E"/>
    <w:rsid w:val="00904B73"/>
    <w:rsid w:val="00904BC0"/>
    <w:rsid w:val="00904BDD"/>
    <w:rsid w:val="00904BFE"/>
    <w:rsid w:val="00904C14"/>
    <w:rsid w:val="00904C1E"/>
    <w:rsid w:val="00904C68"/>
    <w:rsid w:val="00904CC6"/>
    <w:rsid w:val="00904CF5"/>
    <w:rsid w:val="00904D1F"/>
    <w:rsid w:val="00904D22"/>
    <w:rsid w:val="00904DB4"/>
    <w:rsid w:val="00904E28"/>
    <w:rsid w:val="00904E37"/>
    <w:rsid w:val="00904E70"/>
    <w:rsid w:val="00904EC8"/>
    <w:rsid w:val="00904EDC"/>
    <w:rsid w:val="00904F03"/>
    <w:rsid w:val="00904F69"/>
    <w:rsid w:val="00904F80"/>
    <w:rsid w:val="00904F93"/>
    <w:rsid w:val="00904FD6"/>
    <w:rsid w:val="009050B8"/>
    <w:rsid w:val="00905133"/>
    <w:rsid w:val="0090516D"/>
    <w:rsid w:val="009051B7"/>
    <w:rsid w:val="009051BC"/>
    <w:rsid w:val="009051E7"/>
    <w:rsid w:val="00905212"/>
    <w:rsid w:val="0090522A"/>
    <w:rsid w:val="00905246"/>
    <w:rsid w:val="0090527B"/>
    <w:rsid w:val="0090532C"/>
    <w:rsid w:val="00905347"/>
    <w:rsid w:val="00905359"/>
    <w:rsid w:val="00905417"/>
    <w:rsid w:val="00905430"/>
    <w:rsid w:val="0090546C"/>
    <w:rsid w:val="0090549A"/>
    <w:rsid w:val="009054BA"/>
    <w:rsid w:val="0090553B"/>
    <w:rsid w:val="0090557F"/>
    <w:rsid w:val="00905585"/>
    <w:rsid w:val="009055F4"/>
    <w:rsid w:val="00905604"/>
    <w:rsid w:val="0090563B"/>
    <w:rsid w:val="009056B5"/>
    <w:rsid w:val="009057B5"/>
    <w:rsid w:val="009057DE"/>
    <w:rsid w:val="00905855"/>
    <w:rsid w:val="009058C8"/>
    <w:rsid w:val="009059BE"/>
    <w:rsid w:val="00905A40"/>
    <w:rsid w:val="00905A81"/>
    <w:rsid w:val="00905ABC"/>
    <w:rsid w:val="00905B00"/>
    <w:rsid w:val="00905B94"/>
    <w:rsid w:val="00905BB8"/>
    <w:rsid w:val="00905BE1"/>
    <w:rsid w:val="00905C14"/>
    <w:rsid w:val="00905C24"/>
    <w:rsid w:val="00905C30"/>
    <w:rsid w:val="00905C9C"/>
    <w:rsid w:val="00905CCE"/>
    <w:rsid w:val="00905CFF"/>
    <w:rsid w:val="00905D7A"/>
    <w:rsid w:val="00905E27"/>
    <w:rsid w:val="00905E94"/>
    <w:rsid w:val="00905ED4"/>
    <w:rsid w:val="00905FBF"/>
    <w:rsid w:val="00905FDC"/>
    <w:rsid w:val="00906015"/>
    <w:rsid w:val="0090602D"/>
    <w:rsid w:val="00906125"/>
    <w:rsid w:val="0090613C"/>
    <w:rsid w:val="00906190"/>
    <w:rsid w:val="00906210"/>
    <w:rsid w:val="00906247"/>
    <w:rsid w:val="0090628C"/>
    <w:rsid w:val="009062B6"/>
    <w:rsid w:val="00906304"/>
    <w:rsid w:val="0090637C"/>
    <w:rsid w:val="009063E2"/>
    <w:rsid w:val="009063E8"/>
    <w:rsid w:val="00906456"/>
    <w:rsid w:val="009064A3"/>
    <w:rsid w:val="00906508"/>
    <w:rsid w:val="00906516"/>
    <w:rsid w:val="00906517"/>
    <w:rsid w:val="00906544"/>
    <w:rsid w:val="00906577"/>
    <w:rsid w:val="00906598"/>
    <w:rsid w:val="00906774"/>
    <w:rsid w:val="00906777"/>
    <w:rsid w:val="00906786"/>
    <w:rsid w:val="0090681A"/>
    <w:rsid w:val="00906823"/>
    <w:rsid w:val="0090684A"/>
    <w:rsid w:val="00906895"/>
    <w:rsid w:val="009069FB"/>
    <w:rsid w:val="00906A44"/>
    <w:rsid w:val="00906A4C"/>
    <w:rsid w:val="00906ACE"/>
    <w:rsid w:val="00906AF4"/>
    <w:rsid w:val="00906AFB"/>
    <w:rsid w:val="00906B3C"/>
    <w:rsid w:val="00906B68"/>
    <w:rsid w:val="00906B6E"/>
    <w:rsid w:val="00906B7B"/>
    <w:rsid w:val="00906B8D"/>
    <w:rsid w:val="00906BB0"/>
    <w:rsid w:val="00906BBC"/>
    <w:rsid w:val="00906BC6"/>
    <w:rsid w:val="00906BCA"/>
    <w:rsid w:val="00906BEF"/>
    <w:rsid w:val="00906BF4"/>
    <w:rsid w:val="00906C28"/>
    <w:rsid w:val="00906CC5"/>
    <w:rsid w:val="00906CE6"/>
    <w:rsid w:val="00906CEC"/>
    <w:rsid w:val="00906D0B"/>
    <w:rsid w:val="00906D32"/>
    <w:rsid w:val="00906D69"/>
    <w:rsid w:val="00906D97"/>
    <w:rsid w:val="00906DAE"/>
    <w:rsid w:val="00906DED"/>
    <w:rsid w:val="00906DF8"/>
    <w:rsid w:val="00906E68"/>
    <w:rsid w:val="00906E81"/>
    <w:rsid w:val="00906EA1"/>
    <w:rsid w:val="00906F89"/>
    <w:rsid w:val="0090701E"/>
    <w:rsid w:val="0090706E"/>
    <w:rsid w:val="00907094"/>
    <w:rsid w:val="00907097"/>
    <w:rsid w:val="0090709E"/>
    <w:rsid w:val="009070AC"/>
    <w:rsid w:val="0090716F"/>
    <w:rsid w:val="0090718E"/>
    <w:rsid w:val="009071E7"/>
    <w:rsid w:val="00907265"/>
    <w:rsid w:val="00907288"/>
    <w:rsid w:val="009072EB"/>
    <w:rsid w:val="009072FC"/>
    <w:rsid w:val="0090733E"/>
    <w:rsid w:val="00907430"/>
    <w:rsid w:val="0090750B"/>
    <w:rsid w:val="00907510"/>
    <w:rsid w:val="009075B0"/>
    <w:rsid w:val="009075F2"/>
    <w:rsid w:val="00907649"/>
    <w:rsid w:val="00907658"/>
    <w:rsid w:val="009076C3"/>
    <w:rsid w:val="009076E2"/>
    <w:rsid w:val="009076EC"/>
    <w:rsid w:val="0090771A"/>
    <w:rsid w:val="00907754"/>
    <w:rsid w:val="00907790"/>
    <w:rsid w:val="00907797"/>
    <w:rsid w:val="009077C9"/>
    <w:rsid w:val="00907843"/>
    <w:rsid w:val="0090784B"/>
    <w:rsid w:val="00907870"/>
    <w:rsid w:val="00907875"/>
    <w:rsid w:val="00907887"/>
    <w:rsid w:val="009078A1"/>
    <w:rsid w:val="009078AD"/>
    <w:rsid w:val="009078BD"/>
    <w:rsid w:val="009078F0"/>
    <w:rsid w:val="009078F5"/>
    <w:rsid w:val="0090792D"/>
    <w:rsid w:val="00907945"/>
    <w:rsid w:val="00907988"/>
    <w:rsid w:val="009079CA"/>
    <w:rsid w:val="00907A1F"/>
    <w:rsid w:val="00907A4E"/>
    <w:rsid w:val="00907A83"/>
    <w:rsid w:val="00907A84"/>
    <w:rsid w:val="00907B03"/>
    <w:rsid w:val="00907B55"/>
    <w:rsid w:val="00907B6F"/>
    <w:rsid w:val="00907BAE"/>
    <w:rsid w:val="00907BFB"/>
    <w:rsid w:val="00907C33"/>
    <w:rsid w:val="00907C67"/>
    <w:rsid w:val="00907C7B"/>
    <w:rsid w:val="00907CE4"/>
    <w:rsid w:val="00907D12"/>
    <w:rsid w:val="00907D44"/>
    <w:rsid w:val="00907D4A"/>
    <w:rsid w:val="00907D78"/>
    <w:rsid w:val="00907D7E"/>
    <w:rsid w:val="00907EC5"/>
    <w:rsid w:val="00907F01"/>
    <w:rsid w:val="00907F1A"/>
    <w:rsid w:val="00907F25"/>
    <w:rsid w:val="00907F5A"/>
    <w:rsid w:val="00907FD6"/>
    <w:rsid w:val="00910019"/>
    <w:rsid w:val="009100BB"/>
    <w:rsid w:val="009100C5"/>
    <w:rsid w:val="0091010A"/>
    <w:rsid w:val="00910145"/>
    <w:rsid w:val="00910157"/>
    <w:rsid w:val="0091016B"/>
    <w:rsid w:val="009101DC"/>
    <w:rsid w:val="0091025C"/>
    <w:rsid w:val="0091026F"/>
    <w:rsid w:val="009102D6"/>
    <w:rsid w:val="009102F0"/>
    <w:rsid w:val="009102FF"/>
    <w:rsid w:val="00910314"/>
    <w:rsid w:val="009103E6"/>
    <w:rsid w:val="009103F8"/>
    <w:rsid w:val="00910452"/>
    <w:rsid w:val="009104BE"/>
    <w:rsid w:val="009104F9"/>
    <w:rsid w:val="009105AA"/>
    <w:rsid w:val="009105B2"/>
    <w:rsid w:val="009105F1"/>
    <w:rsid w:val="009105FA"/>
    <w:rsid w:val="00910609"/>
    <w:rsid w:val="0091065A"/>
    <w:rsid w:val="009106A0"/>
    <w:rsid w:val="009106B3"/>
    <w:rsid w:val="0091070E"/>
    <w:rsid w:val="00910724"/>
    <w:rsid w:val="009107A1"/>
    <w:rsid w:val="009107BA"/>
    <w:rsid w:val="009107F2"/>
    <w:rsid w:val="009108DD"/>
    <w:rsid w:val="00910934"/>
    <w:rsid w:val="00910951"/>
    <w:rsid w:val="00910959"/>
    <w:rsid w:val="00910971"/>
    <w:rsid w:val="009109A7"/>
    <w:rsid w:val="009109F0"/>
    <w:rsid w:val="00910A2A"/>
    <w:rsid w:val="00910AF6"/>
    <w:rsid w:val="00910B01"/>
    <w:rsid w:val="00910B3A"/>
    <w:rsid w:val="00910B6D"/>
    <w:rsid w:val="00910B78"/>
    <w:rsid w:val="00910B7B"/>
    <w:rsid w:val="00910BE4"/>
    <w:rsid w:val="00910C04"/>
    <w:rsid w:val="00910C0E"/>
    <w:rsid w:val="00910C35"/>
    <w:rsid w:val="00910C41"/>
    <w:rsid w:val="00910D1D"/>
    <w:rsid w:val="00910D3D"/>
    <w:rsid w:val="00910D46"/>
    <w:rsid w:val="00910D59"/>
    <w:rsid w:val="00910D9B"/>
    <w:rsid w:val="00910E75"/>
    <w:rsid w:val="00910E8E"/>
    <w:rsid w:val="00910EFB"/>
    <w:rsid w:val="00910F09"/>
    <w:rsid w:val="00910F2A"/>
    <w:rsid w:val="00910F85"/>
    <w:rsid w:val="00910FC8"/>
    <w:rsid w:val="00910FE9"/>
    <w:rsid w:val="0091101F"/>
    <w:rsid w:val="00911083"/>
    <w:rsid w:val="009110C9"/>
    <w:rsid w:val="0091116F"/>
    <w:rsid w:val="009111BC"/>
    <w:rsid w:val="009111C4"/>
    <w:rsid w:val="00911212"/>
    <w:rsid w:val="009112AD"/>
    <w:rsid w:val="0091132F"/>
    <w:rsid w:val="0091133E"/>
    <w:rsid w:val="009113B7"/>
    <w:rsid w:val="009113C8"/>
    <w:rsid w:val="009113D2"/>
    <w:rsid w:val="0091144C"/>
    <w:rsid w:val="009114B9"/>
    <w:rsid w:val="009114DA"/>
    <w:rsid w:val="00911507"/>
    <w:rsid w:val="00911512"/>
    <w:rsid w:val="00911518"/>
    <w:rsid w:val="0091164C"/>
    <w:rsid w:val="00911661"/>
    <w:rsid w:val="009116B7"/>
    <w:rsid w:val="00911711"/>
    <w:rsid w:val="00911712"/>
    <w:rsid w:val="00911752"/>
    <w:rsid w:val="00911778"/>
    <w:rsid w:val="0091177F"/>
    <w:rsid w:val="00911790"/>
    <w:rsid w:val="00911799"/>
    <w:rsid w:val="0091182C"/>
    <w:rsid w:val="0091188A"/>
    <w:rsid w:val="009118B5"/>
    <w:rsid w:val="00911907"/>
    <w:rsid w:val="00911949"/>
    <w:rsid w:val="00911955"/>
    <w:rsid w:val="009119EC"/>
    <w:rsid w:val="00911A51"/>
    <w:rsid w:val="00911A64"/>
    <w:rsid w:val="00911A89"/>
    <w:rsid w:val="00911ACC"/>
    <w:rsid w:val="00911ADF"/>
    <w:rsid w:val="00911B0F"/>
    <w:rsid w:val="00911B3B"/>
    <w:rsid w:val="00911C4C"/>
    <w:rsid w:val="00911C62"/>
    <w:rsid w:val="00911CA0"/>
    <w:rsid w:val="00911CA2"/>
    <w:rsid w:val="00911CAC"/>
    <w:rsid w:val="00911CF5"/>
    <w:rsid w:val="00911D06"/>
    <w:rsid w:val="00911D62"/>
    <w:rsid w:val="00911D8E"/>
    <w:rsid w:val="00911DC8"/>
    <w:rsid w:val="00911DD3"/>
    <w:rsid w:val="00911DDD"/>
    <w:rsid w:val="00911E21"/>
    <w:rsid w:val="00911E3E"/>
    <w:rsid w:val="00911E59"/>
    <w:rsid w:val="00911F51"/>
    <w:rsid w:val="00911F7B"/>
    <w:rsid w:val="00911FA6"/>
    <w:rsid w:val="00912077"/>
    <w:rsid w:val="00912084"/>
    <w:rsid w:val="009120B8"/>
    <w:rsid w:val="009120DB"/>
    <w:rsid w:val="00912161"/>
    <w:rsid w:val="0091217B"/>
    <w:rsid w:val="00912209"/>
    <w:rsid w:val="00912237"/>
    <w:rsid w:val="009122B8"/>
    <w:rsid w:val="009122CB"/>
    <w:rsid w:val="00912331"/>
    <w:rsid w:val="00912340"/>
    <w:rsid w:val="00912385"/>
    <w:rsid w:val="009123C1"/>
    <w:rsid w:val="009123C9"/>
    <w:rsid w:val="00912405"/>
    <w:rsid w:val="0091245F"/>
    <w:rsid w:val="00912496"/>
    <w:rsid w:val="00912558"/>
    <w:rsid w:val="00912566"/>
    <w:rsid w:val="0091256B"/>
    <w:rsid w:val="00912584"/>
    <w:rsid w:val="0091258C"/>
    <w:rsid w:val="00912592"/>
    <w:rsid w:val="009126E8"/>
    <w:rsid w:val="0091270A"/>
    <w:rsid w:val="00912737"/>
    <w:rsid w:val="00912743"/>
    <w:rsid w:val="009127B2"/>
    <w:rsid w:val="009127EB"/>
    <w:rsid w:val="00912860"/>
    <w:rsid w:val="00912878"/>
    <w:rsid w:val="00912887"/>
    <w:rsid w:val="00912899"/>
    <w:rsid w:val="009128D2"/>
    <w:rsid w:val="009128E8"/>
    <w:rsid w:val="0091293B"/>
    <w:rsid w:val="00912983"/>
    <w:rsid w:val="0091298A"/>
    <w:rsid w:val="009129A8"/>
    <w:rsid w:val="009129FE"/>
    <w:rsid w:val="00912A29"/>
    <w:rsid w:val="00912A5C"/>
    <w:rsid w:val="00912AE5"/>
    <w:rsid w:val="00912B32"/>
    <w:rsid w:val="00912B74"/>
    <w:rsid w:val="00912BA1"/>
    <w:rsid w:val="00912BE7"/>
    <w:rsid w:val="00912C3E"/>
    <w:rsid w:val="00912C64"/>
    <w:rsid w:val="00912C99"/>
    <w:rsid w:val="00912D85"/>
    <w:rsid w:val="00912E2D"/>
    <w:rsid w:val="00912E50"/>
    <w:rsid w:val="00912E8C"/>
    <w:rsid w:val="00912EA1"/>
    <w:rsid w:val="00912F55"/>
    <w:rsid w:val="00912FAB"/>
    <w:rsid w:val="00912FC4"/>
    <w:rsid w:val="00912FF5"/>
    <w:rsid w:val="00912FF6"/>
    <w:rsid w:val="00913019"/>
    <w:rsid w:val="00913026"/>
    <w:rsid w:val="0091308A"/>
    <w:rsid w:val="0091308B"/>
    <w:rsid w:val="009130F0"/>
    <w:rsid w:val="0091315D"/>
    <w:rsid w:val="009131D3"/>
    <w:rsid w:val="009131E5"/>
    <w:rsid w:val="00913223"/>
    <w:rsid w:val="0091323A"/>
    <w:rsid w:val="00913247"/>
    <w:rsid w:val="009132A6"/>
    <w:rsid w:val="009132D0"/>
    <w:rsid w:val="00913333"/>
    <w:rsid w:val="0091333E"/>
    <w:rsid w:val="0091336B"/>
    <w:rsid w:val="00913384"/>
    <w:rsid w:val="009133CE"/>
    <w:rsid w:val="009133E7"/>
    <w:rsid w:val="00913425"/>
    <w:rsid w:val="0091346F"/>
    <w:rsid w:val="0091347C"/>
    <w:rsid w:val="0091347D"/>
    <w:rsid w:val="0091349E"/>
    <w:rsid w:val="009134D8"/>
    <w:rsid w:val="009134FF"/>
    <w:rsid w:val="0091362D"/>
    <w:rsid w:val="00913642"/>
    <w:rsid w:val="00913699"/>
    <w:rsid w:val="009136AC"/>
    <w:rsid w:val="009136BC"/>
    <w:rsid w:val="00913702"/>
    <w:rsid w:val="00913723"/>
    <w:rsid w:val="00913759"/>
    <w:rsid w:val="00913817"/>
    <w:rsid w:val="00913831"/>
    <w:rsid w:val="009138B7"/>
    <w:rsid w:val="00913918"/>
    <w:rsid w:val="00913999"/>
    <w:rsid w:val="009139F7"/>
    <w:rsid w:val="00913A0A"/>
    <w:rsid w:val="00913A23"/>
    <w:rsid w:val="00913A26"/>
    <w:rsid w:val="00913A3C"/>
    <w:rsid w:val="00913A88"/>
    <w:rsid w:val="00913AB4"/>
    <w:rsid w:val="00913B37"/>
    <w:rsid w:val="00913BAA"/>
    <w:rsid w:val="00913BC7"/>
    <w:rsid w:val="00913BC8"/>
    <w:rsid w:val="00913C37"/>
    <w:rsid w:val="00913C6E"/>
    <w:rsid w:val="00913CD7"/>
    <w:rsid w:val="00913D09"/>
    <w:rsid w:val="00913D2B"/>
    <w:rsid w:val="00913D85"/>
    <w:rsid w:val="00913DCB"/>
    <w:rsid w:val="00913E3D"/>
    <w:rsid w:val="00913E6B"/>
    <w:rsid w:val="00913E9C"/>
    <w:rsid w:val="00913EAD"/>
    <w:rsid w:val="00913F2C"/>
    <w:rsid w:val="00913F41"/>
    <w:rsid w:val="00913F45"/>
    <w:rsid w:val="00913F66"/>
    <w:rsid w:val="00913F84"/>
    <w:rsid w:val="0091401E"/>
    <w:rsid w:val="00914142"/>
    <w:rsid w:val="00914143"/>
    <w:rsid w:val="009141A1"/>
    <w:rsid w:val="009141F0"/>
    <w:rsid w:val="00914294"/>
    <w:rsid w:val="009142F9"/>
    <w:rsid w:val="009142FA"/>
    <w:rsid w:val="009142FD"/>
    <w:rsid w:val="0091436C"/>
    <w:rsid w:val="0091437D"/>
    <w:rsid w:val="009143F9"/>
    <w:rsid w:val="0091442C"/>
    <w:rsid w:val="00914495"/>
    <w:rsid w:val="009144E0"/>
    <w:rsid w:val="0091454A"/>
    <w:rsid w:val="0091455A"/>
    <w:rsid w:val="00914588"/>
    <w:rsid w:val="009145BE"/>
    <w:rsid w:val="009145EE"/>
    <w:rsid w:val="009145F2"/>
    <w:rsid w:val="00914630"/>
    <w:rsid w:val="00914644"/>
    <w:rsid w:val="0091467C"/>
    <w:rsid w:val="009146F8"/>
    <w:rsid w:val="00914702"/>
    <w:rsid w:val="00914707"/>
    <w:rsid w:val="0091470D"/>
    <w:rsid w:val="00914768"/>
    <w:rsid w:val="0091479A"/>
    <w:rsid w:val="00914805"/>
    <w:rsid w:val="0091482B"/>
    <w:rsid w:val="009148A9"/>
    <w:rsid w:val="009148AF"/>
    <w:rsid w:val="009148DA"/>
    <w:rsid w:val="0091499A"/>
    <w:rsid w:val="00914A85"/>
    <w:rsid w:val="00914AB8"/>
    <w:rsid w:val="00914AC2"/>
    <w:rsid w:val="00914ACA"/>
    <w:rsid w:val="00914AEE"/>
    <w:rsid w:val="00914B1E"/>
    <w:rsid w:val="00914B1F"/>
    <w:rsid w:val="00914B33"/>
    <w:rsid w:val="00914BA7"/>
    <w:rsid w:val="00914C54"/>
    <w:rsid w:val="00914C55"/>
    <w:rsid w:val="00914C62"/>
    <w:rsid w:val="00914CA9"/>
    <w:rsid w:val="00914DC6"/>
    <w:rsid w:val="00914DD6"/>
    <w:rsid w:val="00914E53"/>
    <w:rsid w:val="00914E5D"/>
    <w:rsid w:val="00914EAE"/>
    <w:rsid w:val="00914F1C"/>
    <w:rsid w:val="00914F6F"/>
    <w:rsid w:val="00914FAA"/>
    <w:rsid w:val="0091500B"/>
    <w:rsid w:val="00915088"/>
    <w:rsid w:val="009150D8"/>
    <w:rsid w:val="00915104"/>
    <w:rsid w:val="00915118"/>
    <w:rsid w:val="0091511B"/>
    <w:rsid w:val="009151D2"/>
    <w:rsid w:val="00915201"/>
    <w:rsid w:val="0091527C"/>
    <w:rsid w:val="009152BE"/>
    <w:rsid w:val="009152D5"/>
    <w:rsid w:val="009152F3"/>
    <w:rsid w:val="00915327"/>
    <w:rsid w:val="00915330"/>
    <w:rsid w:val="0091536F"/>
    <w:rsid w:val="0091537B"/>
    <w:rsid w:val="00915394"/>
    <w:rsid w:val="009153A3"/>
    <w:rsid w:val="009153B6"/>
    <w:rsid w:val="00915406"/>
    <w:rsid w:val="00915420"/>
    <w:rsid w:val="00915422"/>
    <w:rsid w:val="00915459"/>
    <w:rsid w:val="009154BB"/>
    <w:rsid w:val="009154C9"/>
    <w:rsid w:val="00915645"/>
    <w:rsid w:val="00915675"/>
    <w:rsid w:val="009156BB"/>
    <w:rsid w:val="009156D6"/>
    <w:rsid w:val="0091570D"/>
    <w:rsid w:val="00915721"/>
    <w:rsid w:val="00915732"/>
    <w:rsid w:val="009157D3"/>
    <w:rsid w:val="009158C3"/>
    <w:rsid w:val="00915902"/>
    <w:rsid w:val="0091594B"/>
    <w:rsid w:val="00915967"/>
    <w:rsid w:val="00915A07"/>
    <w:rsid w:val="00915A60"/>
    <w:rsid w:val="00915AA1"/>
    <w:rsid w:val="00915ABE"/>
    <w:rsid w:val="00915AFD"/>
    <w:rsid w:val="00915B42"/>
    <w:rsid w:val="00915C5B"/>
    <w:rsid w:val="00915CE5"/>
    <w:rsid w:val="00915CF8"/>
    <w:rsid w:val="00915D33"/>
    <w:rsid w:val="00915EE2"/>
    <w:rsid w:val="00915EED"/>
    <w:rsid w:val="00915F00"/>
    <w:rsid w:val="00915FB9"/>
    <w:rsid w:val="00915FDC"/>
    <w:rsid w:val="00915FEB"/>
    <w:rsid w:val="00916022"/>
    <w:rsid w:val="00916172"/>
    <w:rsid w:val="009161F6"/>
    <w:rsid w:val="0091621C"/>
    <w:rsid w:val="00916299"/>
    <w:rsid w:val="009162C5"/>
    <w:rsid w:val="009162EB"/>
    <w:rsid w:val="00916318"/>
    <w:rsid w:val="0091636D"/>
    <w:rsid w:val="00916385"/>
    <w:rsid w:val="009163EA"/>
    <w:rsid w:val="00916409"/>
    <w:rsid w:val="0091640C"/>
    <w:rsid w:val="00916434"/>
    <w:rsid w:val="0091652D"/>
    <w:rsid w:val="00916551"/>
    <w:rsid w:val="009166B4"/>
    <w:rsid w:val="009166BD"/>
    <w:rsid w:val="00916736"/>
    <w:rsid w:val="0091677C"/>
    <w:rsid w:val="0091679A"/>
    <w:rsid w:val="00916853"/>
    <w:rsid w:val="0091686E"/>
    <w:rsid w:val="009168A1"/>
    <w:rsid w:val="009168B2"/>
    <w:rsid w:val="009168DD"/>
    <w:rsid w:val="009168F1"/>
    <w:rsid w:val="00916917"/>
    <w:rsid w:val="00916991"/>
    <w:rsid w:val="009169A4"/>
    <w:rsid w:val="009169B2"/>
    <w:rsid w:val="009169B3"/>
    <w:rsid w:val="009169BE"/>
    <w:rsid w:val="009169DA"/>
    <w:rsid w:val="009169FD"/>
    <w:rsid w:val="00916AB9"/>
    <w:rsid w:val="00916B14"/>
    <w:rsid w:val="00916B65"/>
    <w:rsid w:val="00916BC8"/>
    <w:rsid w:val="00916C22"/>
    <w:rsid w:val="00916C3E"/>
    <w:rsid w:val="00916C56"/>
    <w:rsid w:val="00916C5E"/>
    <w:rsid w:val="00916CA8"/>
    <w:rsid w:val="00916CF9"/>
    <w:rsid w:val="00916D4B"/>
    <w:rsid w:val="00916D54"/>
    <w:rsid w:val="00916D62"/>
    <w:rsid w:val="00916E17"/>
    <w:rsid w:val="00916F2F"/>
    <w:rsid w:val="00916F92"/>
    <w:rsid w:val="00916F94"/>
    <w:rsid w:val="00917065"/>
    <w:rsid w:val="00917088"/>
    <w:rsid w:val="0091709F"/>
    <w:rsid w:val="009170C8"/>
    <w:rsid w:val="00917171"/>
    <w:rsid w:val="0091722C"/>
    <w:rsid w:val="00917255"/>
    <w:rsid w:val="00917264"/>
    <w:rsid w:val="009172AB"/>
    <w:rsid w:val="009172AC"/>
    <w:rsid w:val="009172D0"/>
    <w:rsid w:val="00917329"/>
    <w:rsid w:val="00917346"/>
    <w:rsid w:val="009173A9"/>
    <w:rsid w:val="00917434"/>
    <w:rsid w:val="00917439"/>
    <w:rsid w:val="009174D2"/>
    <w:rsid w:val="009174EE"/>
    <w:rsid w:val="009175DE"/>
    <w:rsid w:val="00917674"/>
    <w:rsid w:val="009176B5"/>
    <w:rsid w:val="0091773E"/>
    <w:rsid w:val="009177BC"/>
    <w:rsid w:val="0091788C"/>
    <w:rsid w:val="009178D7"/>
    <w:rsid w:val="00917993"/>
    <w:rsid w:val="009179A3"/>
    <w:rsid w:val="009179C4"/>
    <w:rsid w:val="009179C7"/>
    <w:rsid w:val="00917A03"/>
    <w:rsid w:val="00917A04"/>
    <w:rsid w:val="00917A10"/>
    <w:rsid w:val="00917A2B"/>
    <w:rsid w:val="00917A50"/>
    <w:rsid w:val="00917B1A"/>
    <w:rsid w:val="00917B45"/>
    <w:rsid w:val="00917BA7"/>
    <w:rsid w:val="00917C04"/>
    <w:rsid w:val="00917CA2"/>
    <w:rsid w:val="00917CA8"/>
    <w:rsid w:val="00917CD1"/>
    <w:rsid w:val="00917D20"/>
    <w:rsid w:val="00917D38"/>
    <w:rsid w:val="00917D67"/>
    <w:rsid w:val="00917DC2"/>
    <w:rsid w:val="00917DE5"/>
    <w:rsid w:val="00917E29"/>
    <w:rsid w:val="00917E4E"/>
    <w:rsid w:val="00917ED7"/>
    <w:rsid w:val="00917EDA"/>
    <w:rsid w:val="00917F97"/>
    <w:rsid w:val="00917FCA"/>
    <w:rsid w:val="00917FCB"/>
    <w:rsid w:val="00917FEC"/>
    <w:rsid w:val="00917FED"/>
    <w:rsid w:val="009200AB"/>
    <w:rsid w:val="00920110"/>
    <w:rsid w:val="0092017C"/>
    <w:rsid w:val="00920190"/>
    <w:rsid w:val="009201C8"/>
    <w:rsid w:val="009201D8"/>
    <w:rsid w:val="009201EB"/>
    <w:rsid w:val="00920201"/>
    <w:rsid w:val="00920250"/>
    <w:rsid w:val="009202B7"/>
    <w:rsid w:val="009202E4"/>
    <w:rsid w:val="009202E9"/>
    <w:rsid w:val="009202FB"/>
    <w:rsid w:val="00920332"/>
    <w:rsid w:val="009203B6"/>
    <w:rsid w:val="009203CC"/>
    <w:rsid w:val="00920406"/>
    <w:rsid w:val="0092047C"/>
    <w:rsid w:val="009204A6"/>
    <w:rsid w:val="00920556"/>
    <w:rsid w:val="009205AC"/>
    <w:rsid w:val="0092060A"/>
    <w:rsid w:val="0092068A"/>
    <w:rsid w:val="009206C2"/>
    <w:rsid w:val="009206CC"/>
    <w:rsid w:val="009207DC"/>
    <w:rsid w:val="0092082A"/>
    <w:rsid w:val="0092083A"/>
    <w:rsid w:val="00920870"/>
    <w:rsid w:val="009208A9"/>
    <w:rsid w:val="009208C4"/>
    <w:rsid w:val="009208D7"/>
    <w:rsid w:val="00920981"/>
    <w:rsid w:val="00920A12"/>
    <w:rsid w:val="00920A7A"/>
    <w:rsid w:val="00920A7F"/>
    <w:rsid w:val="00920AF3"/>
    <w:rsid w:val="00920AF8"/>
    <w:rsid w:val="00920B4B"/>
    <w:rsid w:val="00920B65"/>
    <w:rsid w:val="00920B83"/>
    <w:rsid w:val="00920BCD"/>
    <w:rsid w:val="00920BDC"/>
    <w:rsid w:val="00920BF3"/>
    <w:rsid w:val="00920BFC"/>
    <w:rsid w:val="00920C05"/>
    <w:rsid w:val="00920C3B"/>
    <w:rsid w:val="00920C82"/>
    <w:rsid w:val="00920CAF"/>
    <w:rsid w:val="00920CFC"/>
    <w:rsid w:val="00920D01"/>
    <w:rsid w:val="00920DC8"/>
    <w:rsid w:val="00920DCD"/>
    <w:rsid w:val="00920E0A"/>
    <w:rsid w:val="00920E2A"/>
    <w:rsid w:val="00920EAC"/>
    <w:rsid w:val="00920ED3"/>
    <w:rsid w:val="00920EEA"/>
    <w:rsid w:val="00920F36"/>
    <w:rsid w:val="00920F44"/>
    <w:rsid w:val="00920F51"/>
    <w:rsid w:val="00920F70"/>
    <w:rsid w:val="00920F8A"/>
    <w:rsid w:val="00920FDB"/>
    <w:rsid w:val="00921017"/>
    <w:rsid w:val="00921020"/>
    <w:rsid w:val="00921050"/>
    <w:rsid w:val="00921056"/>
    <w:rsid w:val="00921058"/>
    <w:rsid w:val="009210D2"/>
    <w:rsid w:val="00921177"/>
    <w:rsid w:val="0092121E"/>
    <w:rsid w:val="00921235"/>
    <w:rsid w:val="00921295"/>
    <w:rsid w:val="009212B4"/>
    <w:rsid w:val="009212DC"/>
    <w:rsid w:val="009212E0"/>
    <w:rsid w:val="009213A0"/>
    <w:rsid w:val="0092143C"/>
    <w:rsid w:val="00921467"/>
    <w:rsid w:val="009214F5"/>
    <w:rsid w:val="009215A6"/>
    <w:rsid w:val="009215C4"/>
    <w:rsid w:val="009215E7"/>
    <w:rsid w:val="009215F4"/>
    <w:rsid w:val="0092163A"/>
    <w:rsid w:val="0092164C"/>
    <w:rsid w:val="009216B6"/>
    <w:rsid w:val="009216BF"/>
    <w:rsid w:val="009216D9"/>
    <w:rsid w:val="00921704"/>
    <w:rsid w:val="0092171F"/>
    <w:rsid w:val="0092178D"/>
    <w:rsid w:val="009217AD"/>
    <w:rsid w:val="0092183A"/>
    <w:rsid w:val="009218AC"/>
    <w:rsid w:val="00921932"/>
    <w:rsid w:val="0092199A"/>
    <w:rsid w:val="009219C7"/>
    <w:rsid w:val="009219E3"/>
    <w:rsid w:val="009219FF"/>
    <w:rsid w:val="00921A1C"/>
    <w:rsid w:val="00921A2C"/>
    <w:rsid w:val="00921A39"/>
    <w:rsid w:val="00921A4C"/>
    <w:rsid w:val="00921A69"/>
    <w:rsid w:val="00921ADC"/>
    <w:rsid w:val="00921B30"/>
    <w:rsid w:val="00921B7E"/>
    <w:rsid w:val="00921BFD"/>
    <w:rsid w:val="00921C8D"/>
    <w:rsid w:val="00921D00"/>
    <w:rsid w:val="00921D13"/>
    <w:rsid w:val="00921D2D"/>
    <w:rsid w:val="00921D30"/>
    <w:rsid w:val="00921D36"/>
    <w:rsid w:val="00921D4C"/>
    <w:rsid w:val="00921D6B"/>
    <w:rsid w:val="00921D6D"/>
    <w:rsid w:val="00921E23"/>
    <w:rsid w:val="00921E30"/>
    <w:rsid w:val="00921E4A"/>
    <w:rsid w:val="00921E59"/>
    <w:rsid w:val="00921E5A"/>
    <w:rsid w:val="00921EC6"/>
    <w:rsid w:val="00921F0A"/>
    <w:rsid w:val="00921F68"/>
    <w:rsid w:val="00922014"/>
    <w:rsid w:val="00922036"/>
    <w:rsid w:val="00922040"/>
    <w:rsid w:val="00922051"/>
    <w:rsid w:val="009220C9"/>
    <w:rsid w:val="009220EC"/>
    <w:rsid w:val="00922156"/>
    <w:rsid w:val="0092217A"/>
    <w:rsid w:val="0092221F"/>
    <w:rsid w:val="00922270"/>
    <w:rsid w:val="00922271"/>
    <w:rsid w:val="009222EE"/>
    <w:rsid w:val="009224EE"/>
    <w:rsid w:val="00922559"/>
    <w:rsid w:val="0092256A"/>
    <w:rsid w:val="0092258C"/>
    <w:rsid w:val="009226B8"/>
    <w:rsid w:val="00922755"/>
    <w:rsid w:val="00922833"/>
    <w:rsid w:val="00922872"/>
    <w:rsid w:val="00922874"/>
    <w:rsid w:val="009228A7"/>
    <w:rsid w:val="00922910"/>
    <w:rsid w:val="00922920"/>
    <w:rsid w:val="00922964"/>
    <w:rsid w:val="00922977"/>
    <w:rsid w:val="0092298D"/>
    <w:rsid w:val="009229E6"/>
    <w:rsid w:val="00922AD9"/>
    <w:rsid w:val="00922B0A"/>
    <w:rsid w:val="00922B40"/>
    <w:rsid w:val="00922B55"/>
    <w:rsid w:val="00922B60"/>
    <w:rsid w:val="00922B67"/>
    <w:rsid w:val="00922B90"/>
    <w:rsid w:val="00922C05"/>
    <w:rsid w:val="00922C27"/>
    <w:rsid w:val="00922C52"/>
    <w:rsid w:val="00922C5F"/>
    <w:rsid w:val="00922C9B"/>
    <w:rsid w:val="00922CCB"/>
    <w:rsid w:val="00922CE0"/>
    <w:rsid w:val="00922CE8"/>
    <w:rsid w:val="00922CEA"/>
    <w:rsid w:val="00922CF7"/>
    <w:rsid w:val="00922D07"/>
    <w:rsid w:val="00922D1C"/>
    <w:rsid w:val="00922D4C"/>
    <w:rsid w:val="00922DAD"/>
    <w:rsid w:val="00922DB6"/>
    <w:rsid w:val="00922E0D"/>
    <w:rsid w:val="00922F0D"/>
    <w:rsid w:val="00922F97"/>
    <w:rsid w:val="00922FCE"/>
    <w:rsid w:val="00922FF9"/>
    <w:rsid w:val="00923039"/>
    <w:rsid w:val="0092306F"/>
    <w:rsid w:val="009230AC"/>
    <w:rsid w:val="009230BB"/>
    <w:rsid w:val="009230F8"/>
    <w:rsid w:val="00923137"/>
    <w:rsid w:val="009231AE"/>
    <w:rsid w:val="009231B6"/>
    <w:rsid w:val="009231F6"/>
    <w:rsid w:val="00923210"/>
    <w:rsid w:val="0092327D"/>
    <w:rsid w:val="00923328"/>
    <w:rsid w:val="009233C2"/>
    <w:rsid w:val="00923405"/>
    <w:rsid w:val="00923444"/>
    <w:rsid w:val="009234A7"/>
    <w:rsid w:val="00923549"/>
    <w:rsid w:val="00923571"/>
    <w:rsid w:val="009235C2"/>
    <w:rsid w:val="009235E2"/>
    <w:rsid w:val="00923647"/>
    <w:rsid w:val="00923654"/>
    <w:rsid w:val="0092366C"/>
    <w:rsid w:val="0092372B"/>
    <w:rsid w:val="00923740"/>
    <w:rsid w:val="00923754"/>
    <w:rsid w:val="009237A7"/>
    <w:rsid w:val="009237D7"/>
    <w:rsid w:val="00923886"/>
    <w:rsid w:val="0092389D"/>
    <w:rsid w:val="009238C2"/>
    <w:rsid w:val="00923949"/>
    <w:rsid w:val="009239CC"/>
    <w:rsid w:val="009239E0"/>
    <w:rsid w:val="00923A17"/>
    <w:rsid w:val="00923A2C"/>
    <w:rsid w:val="00923A41"/>
    <w:rsid w:val="00923AAA"/>
    <w:rsid w:val="00923B40"/>
    <w:rsid w:val="00923BD0"/>
    <w:rsid w:val="00923C6C"/>
    <w:rsid w:val="00923C82"/>
    <w:rsid w:val="00923CA8"/>
    <w:rsid w:val="00923D10"/>
    <w:rsid w:val="00923D61"/>
    <w:rsid w:val="00923D98"/>
    <w:rsid w:val="00923DB2"/>
    <w:rsid w:val="00923DD2"/>
    <w:rsid w:val="00923E09"/>
    <w:rsid w:val="00923E22"/>
    <w:rsid w:val="00923E56"/>
    <w:rsid w:val="00923E62"/>
    <w:rsid w:val="00923ECD"/>
    <w:rsid w:val="00923F0F"/>
    <w:rsid w:val="00923F12"/>
    <w:rsid w:val="00923F34"/>
    <w:rsid w:val="00923F4D"/>
    <w:rsid w:val="00923F4E"/>
    <w:rsid w:val="00923FE9"/>
    <w:rsid w:val="00924016"/>
    <w:rsid w:val="0092409D"/>
    <w:rsid w:val="009240FA"/>
    <w:rsid w:val="00924204"/>
    <w:rsid w:val="0092424F"/>
    <w:rsid w:val="0092428D"/>
    <w:rsid w:val="0092429B"/>
    <w:rsid w:val="0092429D"/>
    <w:rsid w:val="00924323"/>
    <w:rsid w:val="00924561"/>
    <w:rsid w:val="009245B1"/>
    <w:rsid w:val="0092461C"/>
    <w:rsid w:val="0092462B"/>
    <w:rsid w:val="0092462F"/>
    <w:rsid w:val="0092465B"/>
    <w:rsid w:val="00924674"/>
    <w:rsid w:val="009246C2"/>
    <w:rsid w:val="009246FE"/>
    <w:rsid w:val="0092470F"/>
    <w:rsid w:val="00924731"/>
    <w:rsid w:val="00924742"/>
    <w:rsid w:val="00924772"/>
    <w:rsid w:val="0092479D"/>
    <w:rsid w:val="009247B7"/>
    <w:rsid w:val="009247D9"/>
    <w:rsid w:val="009247F4"/>
    <w:rsid w:val="00924870"/>
    <w:rsid w:val="00924874"/>
    <w:rsid w:val="0092487A"/>
    <w:rsid w:val="00924993"/>
    <w:rsid w:val="00924A68"/>
    <w:rsid w:val="00924A9A"/>
    <w:rsid w:val="00924AB8"/>
    <w:rsid w:val="00924ABF"/>
    <w:rsid w:val="00924AC4"/>
    <w:rsid w:val="00924AE4"/>
    <w:rsid w:val="00924B21"/>
    <w:rsid w:val="00924B5B"/>
    <w:rsid w:val="00924BB6"/>
    <w:rsid w:val="00924C24"/>
    <w:rsid w:val="00924C3D"/>
    <w:rsid w:val="00924CE4"/>
    <w:rsid w:val="00924D02"/>
    <w:rsid w:val="00924D29"/>
    <w:rsid w:val="00924D41"/>
    <w:rsid w:val="00924DC4"/>
    <w:rsid w:val="00924DDF"/>
    <w:rsid w:val="00924E30"/>
    <w:rsid w:val="00924F1B"/>
    <w:rsid w:val="00924F7B"/>
    <w:rsid w:val="00924FA6"/>
    <w:rsid w:val="00924FAA"/>
    <w:rsid w:val="00924FB4"/>
    <w:rsid w:val="0092500B"/>
    <w:rsid w:val="0092503B"/>
    <w:rsid w:val="00925072"/>
    <w:rsid w:val="009250F5"/>
    <w:rsid w:val="00925114"/>
    <w:rsid w:val="009251A2"/>
    <w:rsid w:val="009251B1"/>
    <w:rsid w:val="009251B4"/>
    <w:rsid w:val="0092524B"/>
    <w:rsid w:val="0092530E"/>
    <w:rsid w:val="0092537C"/>
    <w:rsid w:val="009253A6"/>
    <w:rsid w:val="009253AA"/>
    <w:rsid w:val="009253DC"/>
    <w:rsid w:val="00925406"/>
    <w:rsid w:val="0092544D"/>
    <w:rsid w:val="00925463"/>
    <w:rsid w:val="009254C1"/>
    <w:rsid w:val="00925512"/>
    <w:rsid w:val="00925592"/>
    <w:rsid w:val="009255BC"/>
    <w:rsid w:val="009255FF"/>
    <w:rsid w:val="00925642"/>
    <w:rsid w:val="0092564C"/>
    <w:rsid w:val="00925679"/>
    <w:rsid w:val="00925685"/>
    <w:rsid w:val="009256DB"/>
    <w:rsid w:val="0092570B"/>
    <w:rsid w:val="00925717"/>
    <w:rsid w:val="009257C7"/>
    <w:rsid w:val="009257D1"/>
    <w:rsid w:val="009257F9"/>
    <w:rsid w:val="00925821"/>
    <w:rsid w:val="00925833"/>
    <w:rsid w:val="00925855"/>
    <w:rsid w:val="00925861"/>
    <w:rsid w:val="00925869"/>
    <w:rsid w:val="00925875"/>
    <w:rsid w:val="009258A7"/>
    <w:rsid w:val="00925958"/>
    <w:rsid w:val="009259BD"/>
    <w:rsid w:val="00925A07"/>
    <w:rsid w:val="00925A33"/>
    <w:rsid w:val="00925A3A"/>
    <w:rsid w:val="00925A44"/>
    <w:rsid w:val="00925A88"/>
    <w:rsid w:val="00925AA5"/>
    <w:rsid w:val="00925ABD"/>
    <w:rsid w:val="00925AEC"/>
    <w:rsid w:val="00925AFA"/>
    <w:rsid w:val="00925B98"/>
    <w:rsid w:val="00925B9A"/>
    <w:rsid w:val="00925C17"/>
    <w:rsid w:val="00925C21"/>
    <w:rsid w:val="00925CA3"/>
    <w:rsid w:val="00925DBD"/>
    <w:rsid w:val="00925DD1"/>
    <w:rsid w:val="00925DE6"/>
    <w:rsid w:val="00925E0A"/>
    <w:rsid w:val="00925E2D"/>
    <w:rsid w:val="00925E54"/>
    <w:rsid w:val="00925EBC"/>
    <w:rsid w:val="00925EE8"/>
    <w:rsid w:val="00925FA0"/>
    <w:rsid w:val="00925FEF"/>
    <w:rsid w:val="00926020"/>
    <w:rsid w:val="0092602A"/>
    <w:rsid w:val="0092607D"/>
    <w:rsid w:val="00926089"/>
    <w:rsid w:val="00926151"/>
    <w:rsid w:val="00926167"/>
    <w:rsid w:val="009261A1"/>
    <w:rsid w:val="009261BE"/>
    <w:rsid w:val="009261C8"/>
    <w:rsid w:val="009261F7"/>
    <w:rsid w:val="00926212"/>
    <w:rsid w:val="00926232"/>
    <w:rsid w:val="0092628C"/>
    <w:rsid w:val="0092629C"/>
    <w:rsid w:val="009262F7"/>
    <w:rsid w:val="00926491"/>
    <w:rsid w:val="0092649F"/>
    <w:rsid w:val="009264BB"/>
    <w:rsid w:val="009264E6"/>
    <w:rsid w:val="009264EA"/>
    <w:rsid w:val="00926502"/>
    <w:rsid w:val="00926549"/>
    <w:rsid w:val="00926572"/>
    <w:rsid w:val="0092658F"/>
    <w:rsid w:val="009265ED"/>
    <w:rsid w:val="00926695"/>
    <w:rsid w:val="009266BA"/>
    <w:rsid w:val="009266C9"/>
    <w:rsid w:val="009266E4"/>
    <w:rsid w:val="009266EB"/>
    <w:rsid w:val="0092670D"/>
    <w:rsid w:val="0092679E"/>
    <w:rsid w:val="009267C7"/>
    <w:rsid w:val="009267D7"/>
    <w:rsid w:val="00926815"/>
    <w:rsid w:val="0092687F"/>
    <w:rsid w:val="00926935"/>
    <w:rsid w:val="0092698D"/>
    <w:rsid w:val="00926997"/>
    <w:rsid w:val="009269A1"/>
    <w:rsid w:val="009269BB"/>
    <w:rsid w:val="00926A66"/>
    <w:rsid w:val="00926AA7"/>
    <w:rsid w:val="00926AB9"/>
    <w:rsid w:val="00926B2B"/>
    <w:rsid w:val="00926B3A"/>
    <w:rsid w:val="00926BBB"/>
    <w:rsid w:val="00926C6C"/>
    <w:rsid w:val="00926C98"/>
    <w:rsid w:val="00926CC4"/>
    <w:rsid w:val="00926D72"/>
    <w:rsid w:val="00926DAF"/>
    <w:rsid w:val="00926DF7"/>
    <w:rsid w:val="00926DF9"/>
    <w:rsid w:val="00926E34"/>
    <w:rsid w:val="00926E37"/>
    <w:rsid w:val="00926E7C"/>
    <w:rsid w:val="00926F54"/>
    <w:rsid w:val="00926F5D"/>
    <w:rsid w:val="00926F79"/>
    <w:rsid w:val="00926F86"/>
    <w:rsid w:val="00926FB4"/>
    <w:rsid w:val="00926FCB"/>
    <w:rsid w:val="00927032"/>
    <w:rsid w:val="00927034"/>
    <w:rsid w:val="0092707C"/>
    <w:rsid w:val="009270FD"/>
    <w:rsid w:val="00927115"/>
    <w:rsid w:val="00927191"/>
    <w:rsid w:val="00927219"/>
    <w:rsid w:val="00927231"/>
    <w:rsid w:val="0092723C"/>
    <w:rsid w:val="00927250"/>
    <w:rsid w:val="00927258"/>
    <w:rsid w:val="009272CE"/>
    <w:rsid w:val="0092736F"/>
    <w:rsid w:val="00927386"/>
    <w:rsid w:val="009273AC"/>
    <w:rsid w:val="009273CA"/>
    <w:rsid w:val="009273EF"/>
    <w:rsid w:val="0092744F"/>
    <w:rsid w:val="00927453"/>
    <w:rsid w:val="00927456"/>
    <w:rsid w:val="0092749C"/>
    <w:rsid w:val="009274D4"/>
    <w:rsid w:val="009274D7"/>
    <w:rsid w:val="00927504"/>
    <w:rsid w:val="00927524"/>
    <w:rsid w:val="0092757A"/>
    <w:rsid w:val="00927649"/>
    <w:rsid w:val="00927679"/>
    <w:rsid w:val="009276B7"/>
    <w:rsid w:val="00927752"/>
    <w:rsid w:val="00927791"/>
    <w:rsid w:val="009277D2"/>
    <w:rsid w:val="00927858"/>
    <w:rsid w:val="00927877"/>
    <w:rsid w:val="0092789E"/>
    <w:rsid w:val="009278B7"/>
    <w:rsid w:val="009278D5"/>
    <w:rsid w:val="009278D7"/>
    <w:rsid w:val="00927902"/>
    <w:rsid w:val="0092794E"/>
    <w:rsid w:val="00927957"/>
    <w:rsid w:val="009279BD"/>
    <w:rsid w:val="009279CB"/>
    <w:rsid w:val="00927A02"/>
    <w:rsid w:val="00927A61"/>
    <w:rsid w:val="00927A99"/>
    <w:rsid w:val="00927ACF"/>
    <w:rsid w:val="00927B19"/>
    <w:rsid w:val="00927B46"/>
    <w:rsid w:val="00927B50"/>
    <w:rsid w:val="00927B5F"/>
    <w:rsid w:val="00927B85"/>
    <w:rsid w:val="00927BC9"/>
    <w:rsid w:val="00927C53"/>
    <w:rsid w:val="00927C5C"/>
    <w:rsid w:val="00927D7A"/>
    <w:rsid w:val="00927E9C"/>
    <w:rsid w:val="00927EDC"/>
    <w:rsid w:val="00927EF2"/>
    <w:rsid w:val="00927F75"/>
    <w:rsid w:val="00927FAD"/>
    <w:rsid w:val="00930051"/>
    <w:rsid w:val="00930079"/>
    <w:rsid w:val="00930095"/>
    <w:rsid w:val="009300AF"/>
    <w:rsid w:val="00930157"/>
    <w:rsid w:val="00930269"/>
    <w:rsid w:val="00930275"/>
    <w:rsid w:val="00930287"/>
    <w:rsid w:val="009302A3"/>
    <w:rsid w:val="00930321"/>
    <w:rsid w:val="00930333"/>
    <w:rsid w:val="00930345"/>
    <w:rsid w:val="0093037D"/>
    <w:rsid w:val="0093037E"/>
    <w:rsid w:val="009303AA"/>
    <w:rsid w:val="009303DF"/>
    <w:rsid w:val="00930419"/>
    <w:rsid w:val="0093048A"/>
    <w:rsid w:val="009304B2"/>
    <w:rsid w:val="0093058F"/>
    <w:rsid w:val="009305B3"/>
    <w:rsid w:val="009305FC"/>
    <w:rsid w:val="00930604"/>
    <w:rsid w:val="00930639"/>
    <w:rsid w:val="009306AA"/>
    <w:rsid w:val="0093076B"/>
    <w:rsid w:val="00930779"/>
    <w:rsid w:val="009307CE"/>
    <w:rsid w:val="009307D1"/>
    <w:rsid w:val="009307D2"/>
    <w:rsid w:val="009307EB"/>
    <w:rsid w:val="00930813"/>
    <w:rsid w:val="00930854"/>
    <w:rsid w:val="00930872"/>
    <w:rsid w:val="0093089D"/>
    <w:rsid w:val="009308D9"/>
    <w:rsid w:val="009308F0"/>
    <w:rsid w:val="009308F2"/>
    <w:rsid w:val="00930907"/>
    <w:rsid w:val="00930972"/>
    <w:rsid w:val="009309A2"/>
    <w:rsid w:val="009309E6"/>
    <w:rsid w:val="009309FD"/>
    <w:rsid w:val="00930A64"/>
    <w:rsid w:val="00930A8E"/>
    <w:rsid w:val="00930A99"/>
    <w:rsid w:val="00930AA8"/>
    <w:rsid w:val="00930ADD"/>
    <w:rsid w:val="00930BAF"/>
    <w:rsid w:val="00930BE3"/>
    <w:rsid w:val="00930DD9"/>
    <w:rsid w:val="00930DEB"/>
    <w:rsid w:val="00930E73"/>
    <w:rsid w:val="00930EB6"/>
    <w:rsid w:val="00930ED5"/>
    <w:rsid w:val="00930EF7"/>
    <w:rsid w:val="00930F0E"/>
    <w:rsid w:val="00930F1B"/>
    <w:rsid w:val="00930F82"/>
    <w:rsid w:val="00930F8E"/>
    <w:rsid w:val="00930FB5"/>
    <w:rsid w:val="0093103C"/>
    <w:rsid w:val="0093104F"/>
    <w:rsid w:val="0093106A"/>
    <w:rsid w:val="00931093"/>
    <w:rsid w:val="00931178"/>
    <w:rsid w:val="00931230"/>
    <w:rsid w:val="00931282"/>
    <w:rsid w:val="0093128E"/>
    <w:rsid w:val="0093128F"/>
    <w:rsid w:val="009312AF"/>
    <w:rsid w:val="009312B5"/>
    <w:rsid w:val="00931308"/>
    <w:rsid w:val="009313CD"/>
    <w:rsid w:val="009313F4"/>
    <w:rsid w:val="00931442"/>
    <w:rsid w:val="00931456"/>
    <w:rsid w:val="00931476"/>
    <w:rsid w:val="009314A6"/>
    <w:rsid w:val="00931647"/>
    <w:rsid w:val="009316B6"/>
    <w:rsid w:val="009316F8"/>
    <w:rsid w:val="0093175D"/>
    <w:rsid w:val="00931771"/>
    <w:rsid w:val="0093179E"/>
    <w:rsid w:val="009317DC"/>
    <w:rsid w:val="00931808"/>
    <w:rsid w:val="0093182A"/>
    <w:rsid w:val="0093182B"/>
    <w:rsid w:val="00931855"/>
    <w:rsid w:val="0093192D"/>
    <w:rsid w:val="0093193E"/>
    <w:rsid w:val="00931948"/>
    <w:rsid w:val="00931966"/>
    <w:rsid w:val="009319B3"/>
    <w:rsid w:val="009319D4"/>
    <w:rsid w:val="00931AE7"/>
    <w:rsid w:val="00931B6C"/>
    <w:rsid w:val="00931B87"/>
    <w:rsid w:val="00931BB1"/>
    <w:rsid w:val="00931BC6"/>
    <w:rsid w:val="00931C36"/>
    <w:rsid w:val="00931C58"/>
    <w:rsid w:val="00931C7D"/>
    <w:rsid w:val="00931CC0"/>
    <w:rsid w:val="00931D1F"/>
    <w:rsid w:val="00931DCD"/>
    <w:rsid w:val="00931E2D"/>
    <w:rsid w:val="00931E37"/>
    <w:rsid w:val="00931E3C"/>
    <w:rsid w:val="00931E9D"/>
    <w:rsid w:val="00931EAC"/>
    <w:rsid w:val="00931F16"/>
    <w:rsid w:val="00931F51"/>
    <w:rsid w:val="00931F53"/>
    <w:rsid w:val="00931F5A"/>
    <w:rsid w:val="00931FFE"/>
    <w:rsid w:val="00932023"/>
    <w:rsid w:val="00932057"/>
    <w:rsid w:val="0093205C"/>
    <w:rsid w:val="00932090"/>
    <w:rsid w:val="00932104"/>
    <w:rsid w:val="00932111"/>
    <w:rsid w:val="00932113"/>
    <w:rsid w:val="00932159"/>
    <w:rsid w:val="00932189"/>
    <w:rsid w:val="009321FF"/>
    <w:rsid w:val="00932235"/>
    <w:rsid w:val="0093224C"/>
    <w:rsid w:val="00932270"/>
    <w:rsid w:val="0093227E"/>
    <w:rsid w:val="009322EF"/>
    <w:rsid w:val="00932323"/>
    <w:rsid w:val="009323CF"/>
    <w:rsid w:val="00932472"/>
    <w:rsid w:val="009324CA"/>
    <w:rsid w:val="009324DC"/>
    <w:rsid w:val="0093250C"/>
    <w:rsid w:val="0093251B"/>
    <w:rsid w:val="00932619"/>
    <w:rsid w:val="00932646"/>
    <w:rsid w:val="00932695"/>
    <w:rsid w:val="009326B8"/>
    <w:rsid w:val="0093275A"/>
    <w:rsid w:val="009327B0"/>
    <w:rsid w:val="009327E3"/>
    <w:rsid w:val="009327ED"/>
    <w:rsid w:val="00932831"/>
    <w:rsid w:val="0093283F"/>
    <w:rsid w:val="00932850"/>
    <w:rsid w:val="0093288C"/>
    <w:rsid w:val="0093288F"/>
    <w:rsid w:val="009328E1"/>
    <w:rsid w:val="00932904"/>
    <w:rsid w:val="0093290D"/>
    <w:rsid w:val="0093298A"/>
    <w:rsid w:val="009329CA"/>
    <w:rsid w:val="00932A10"/>
    <w:rsid w:val="00932A38"/>
    <w:rsid w:val="00932A59"/>
    <w:rsid w:val="00932A77"/>
    <w:rsid w:val="00932A89"/>
    <w:rsid w:val="00932ACF"/>
    <w:rsid w:val="00932B07"/>
    <w:rsid w:val="00932B0D"/>
    <w:rsid w:val="00932B20"/>
    <w:rsid w:val="00932B28"/>
    <w:rsid w:val="00932B67"/>
    <w:rsid w:val="00932B6B"/>
    <w:rsid w:val="00932B82"/>
    <w:rsid w:val="00932BA2"/>
    <w:rsid w:val="00932CA3"/>
    <w:rsid w:val="00932CCF"/>
    <w:rsid w:val="00932CDB"/>
    <w:rsid w:val="00932D68"/>
    <w:rsid w:val="00932DA5"/>
    <w:rsid w:val="00932DFA"/>
    <w:rsid w:val="00932E64"/>
    <w:rsid w:val="00932E69"/>
    <w:rsid w:val="00932E86"/>
    <w:rsid w:val="00932EB5"/>
    <w:rsid w:val="00932F2C"/>
    <w:rsid w:val="00932F41"/>
    <w:rsid w:val="00932F7C"/>
    <w:rsid w:val="00932F82"/>
    <w:rsid w:val="00932FCF"/>
    <w:rsid w:val="0093309E"/>
    <w:rsid w:val="009330B9"/>
    <w:rsid w:val="009330BA"/>
    <w:rsid w:val="009330C0"/>
    <w:rsid w:val="009330DF"/>
    <w:rsid w:val="0093313C"/>
    <w:rsid w:val="00933145"/>
    <w:rsid w:val="0093316D"/>
    <w:rsid w:val="009331AE"/>
    <w:rsid w:val="009331DA"/>
    <w:rsid w:val="00933235"/>
    <w:rsid w:val="00933263"/>
    <w:rsid w:val="009332A5"/>
    <w:rsid w:val="009332BE"/>
    <w:rsid w:val="009332EF"/>
    <w:rsid w:val="00933347"/>
    <w:rsid w:val="00933348"/>
    <w:rsid w:val="009333D3"/>
    <w:rsid w:val="0093340E"/>
    <w:rsid w:val="0093342F"/>
    <w:rsid w:val="00933453"/>
    <w:rsid w:val="00933474"/>
    <w:rsid w:val="00933482"/>
    <w:rsid w:val="009334C4"/>
    <w:rsid w:val="009334C5"/>
    <w:rsid w:val="00933500"/>
    <w:rsid w:val="0093351C"/>
    <w:rsid w:val="0093351D"/>
    <w:rsid w:val="00933543"/>
    <w:rsid w:val="009335FF"/>
    <w:rsid w:val="0093360E"/>
    <w:rsid w:val="009336E0"/>
    <w:rsid w:val="0093370A"/>
    <w:rsid w:val="0093371B"/>
    <w:rsid w:val="00933745"/>
    <w:rsid w:val="009337C2"/>
    <w:rsid w:val="009337D7"/>
    <w:rsid w:val="009337DE"/>
    <w:rsid w:val="009337E7"/>
    <w:rsid w:val="00933849"/>
    <w:rsid w:val="00933851"/>
    <w:rsid w:val="0093389D"/>
    <w:rsid w:val="009338CA"/>
    <w:rsid w:val="009339D8"/>
    <w:rsid w:val="009339DE"/>
    <w:rsid w:val="00933A36"/>
    <w:rsid w:val="00933A8F"/>
    <w:rsid w:val="00933AE0"/>
    <w:rsid w:val="00933AFF"/>
    <w:rsid w:val="00933BA3"/>
    <w:rsid w:val="00933BDB"/>
    <w:rsid w:val="00933C03"/>
    <w:rsid w:val="00933C1E"/>
    <w:rsid w:val="00933C26"/>
    <w:rsid w:val="00933C2D"/>
    <w:rsid w:val="00933C37"/>
    <w:rsid w:val="00933C40"/>
    <w:rsid w:val="00933C47"/>
    <w:rsid w:val="00933C6A"/>
    <w:rsid w:val="00933CD7"/>
    <w:rsid w:val="00933D13"/>
    <w:rsid w:val="00933D30"/>
    <w:rsid w:val="00933D7D"/>
    <w:rsid w:val="00933D95"/>
    <w:rsid w:val="00933D98"/>
    <w:rsid w:val="00933E22"/>
    <w:rsid w:val="00933E49"/>
    <w:rsid w:val="00933EBB"/>
    <w:rsid w:val="00933EDE"/>
    <w:rsid w:val="00933F25"/>
    <w:rsid w:val="00933F59"/>
    <w:rsid w:val="00933F75"/>
    <w:rsid w:val="00933F9A"/>
    <w:rsid w:val="00933FAC"/>
    <w:rsid w:val="00933FE2"/>
    <w:rsid w:val="009340D1"/>
    <w:rsid w:val="009340F7"/>
    <w:rsid w:val="0093410F"/>
    <w:rsid w:val="00934140"/>
    <w:rsid w:val="00934172"/>
    <w:rsid w:val="009341A6"/>
    <w:rsid w:val="009341D3"/>
    <w:rsid w:val="009341D9"/>
    <w:rsid w:val="009341DF"/>
    <w:rsid w:val="009341ED"/>
    <w:rsid w:val="00934271"/>
    <w:rsid w:val="009342EB"/>
    <w:rsid w:val="00934313"/>
    <w:rsid w:val="009343FB"/>
    <w:rsid w:val="00934434"/>
    <w:rsid w:val="00934447"/>
    <w:rsid w:val="0093444B"/>
    <w:rsid w:val="00934451"/>
    <w:rsid w:val="0093448E"/>
    <w:rsid w:val="00934536"/>
    <w:rsid w:val="009345A2"/>
    <w:rsid w:val="0093461F"/>
    <w:rsid w:val="00934644"/>
    <w:rsid w:val="00934664"/>
    <w:rsid w:val="009346F3"/>
    <w:rsid w:val="00934734"/>
    <w:rsid w:val="00934752"/>
    <w:rsid w:val="00934781"/>
    <w:rsid w:val="009347A7"/>
    <w:rsid w:val="009347B3"/>
    <w:rsid w:val="009347C3"/>
    <w:rsid w:val="00934857"/>
    <w:rsid w:val="0093486B"/>
    <w:rsid w:val="00934887"/>
    <w:rsid w:val="009348EE"/>
    <w:rsid w:val="00934952"/>
    <w:rsid w:val="009349B7"/>
    <w:rsid w:val="009349DE"/>
    <w:rsid w:val="009349E1"/>
    <w:rsid w:val="009349E3"/>
    <w:rsid w:val="00934AD1"/>
    <w:rsid w:val="00934AF7"/>
    <w:rsid w:val="00934B11"/>
    <w:rsid w:val="00934B36"/>
    <w:rsid w:val="00934B58"/>
    <w:rsid w:val="00934BB7"/>
    <w:rsid w:val="00934C78"/>
    <w:rsid w:val="00934C99"/>
    <w:rsid w:val="00934C9A"/>
    <w:rsid w:val="00934CBF"/>
    <w:rsid w:val="00934CCE"/>
    <w:rsid w:val="00934D2F"/>
    <w:rsid w:val="00934D87"/>
    <w:rsid w:val="00934DB8"/>
    <w:rsid w:val="00934DCE"/>
    <w:rsid w:val="00934E28"/>
    <w:rsid w:val="00934E2F"/>
    <w:rsid w:val="00934E33"/>
    <w:rsid w:val="00934E56"/>
    <w:rsid w:val="00934FBD"/>
    <w:rsid w:val="00934FD5"/>
    <w:rsid w:val="00935089"/>
    <w:rsid w:val="009350A3"/>
    <w:rsid w:val="00935115"/>
    <w:rsid w:val="00935119"/>
    <w:rsid w:val="00935121"/>
    <w:rsid w:val="009351BA"/>
    <w:rsid w:val="009351BE"/>
    <w:rsid w:val="009351CD"/>
    <w:rsid w:val="009351D7"/>
    <w:rsid w:val="00935217"/>
    <w:rsid w:val="00935250"/>
    <w:rsid w:val="009352A5"/>
    <w:rsid w:val="0093535B"/>
    <w:rsid w:val="00935371"/>
    <w:rsid w:val="00935430"/>
    <w:rsid w:val="0093546C"/>
    <w:rsid w:val="0093546F"/>
    <w:rsid w:val="00935497"/>
    <w:rsid w:val="009354A3"/>
    <w:rsid w:val="00935524"/>
    <w:rsid w:val="00935538"/>
    <w:rsid w:val="00935579"/>
    <w:rsid w:val="009355CE"/>
    <w:rsid w:val="00935649"/>
    <w:rsid w:val="0093565A"/>
    <w:rsid w:val="00935682"/>
    <w:rsid w:val="00935690"/>
    <w:rsid w:val="009356B5"/>
    <w:rsid w:val="009356D2"/>
    <w:rsid w:val="0093571E"/>
    <w:rsid w:val="00935733"/>
    <w:rsid w:val="0093573A"/>
    <w:rsid w:val="00935754"/>
    <w:rsid w:val="009358E8"/>
    <w:rsid w:val="00935911"/>
    <w:rsid w:val="00935977"/>
    <w:rsid w:val="009359CA"/>
    <w:rsid w:val="00935A1C"/>
    <w:rsid w:val="00935A4A"/>
    <w:rsid w:val="00935A56"/>
    <w:rsid w:val="00935A5C"/>
    <w:rsid w:val="00935ABC"/>
    <w:rsid w:val="00935AC0"/>
    <w:rsid w:val="00935AE0"/>
    <w:rsid w:val="00935B14"/>
    <w:rsid w:val="00935B29"/>
    <w:rsid w:val="00935B7E"/>
    <w:rsid w:val="00935BEF"/>
    <w:rsid w:val="00935C3C"/>
    <w:rsid w:val="00935CA1"/>
    <w:rsid w:val="00935CB7"/>
    <w:rsid w:val="00935DC3"/>
    <w:rsid w:val="00935DFB"/>
    <w:rsid w:val="00935EB0"/>
    <w:rsid w:val="00935ED3"/>
    <w:rsid w:val="00935F64"/>
    <w:rsid w:val="00935F8A"/>
    <w:rsid w:val="00935FB1"/>
    <w:rsid w:val="00935FCD"/>
    <w:rsid w:val="00935FFA"/>
    <w:rsid w:val="0093603C"/>
    <w:rsid w:val="0093607C"/>
    <w:rsid w:val="009360FE"/>
    <w:rsid w:val="00936128"/>
    <w:rsid w:val="00936189"/>
    <w:rsid w:val="00936194"/>
    <w:rsid w:val="009361D7"/>
    <w:rsid w:val="009361E7"/>
    <w:rsid w:val="009361EC"/>
    <w:rsid w:val="0093625D"/>
    <w:rsid w:val="00936269"/>
    <w:rsid w:val="00936277"/>
    <w:rsid w:val="009362BB"/>
    <w:rsid w:val="009362D6"/>
    <w:rsid w:val="009362EF"/>
    <w:rsid w:val="009362FE"/>
    <w:rsid w:val="00936309"/>
    <w:rsid w:val="009363A8"/>
    <w:rsid w:val="00936456"/>
    <w:rsid w:val="009365CA"/>
    <w:rsid w:val="009365ED"/>
    <w:rsid w:val="00936619"/>
    <w:rsid w:val="0093665D"/>
    <w:rsid w:val="009366A9"/>
    <w:rsid w:val="00936748"/>
    <w:rsid w:val="00936776"/>
    <w:rsid w:val="0093682A"/>
    <w:rsid w:val="00936878"/>
    <w:rsid w:val="00936879"/>
    <w:rsid w:val="00936890"/>
    <w:rsid w:val="0093689C"/>
    <w:rsid w:val="009368AA"/>
    <w:rsid w:val="009368B0"/>
    <w:rsid w:val="009368D9"/>
    <w:rsid w:val="00936929"/>
    <w:rsid w:val="009369C6"/>
    <w:rsid w:val="00936A4E"/>
    <w:rsid w:val="00936A64"/>
    <w:rsid w:val="00936ABB"/>
    <w:rsid w:val="00936C38"/>
    <w:rsid w:val="00936C67"/>
    <w:rsid w:val="00936C9B"/>
    <w:rsid w:val="00936CAA"/>
    <w:rsid w:val="00936CDA"/>
    <w:rsid w:val="00936CEC"/>
    <w:rsid w:val="00936CF8"/>
    <w:rsid w:val="00936D19"/>
    <w:rsid w:val="00936D20"/>
    <w:rsid w:val="00936D7A"/>
    <w:rsid w:val="00936DC5"/>
    <w:rsid w:val="00936E85"/>
    <w:rsid w:val="00936F1A"/>
    <w:rsid w:val="00936FCC"/>
    <w:rsid w:val="00936FCF"/>
    <w:rsid w:val="0093701C"/>
    <w:rsid w:val="00937057"/>
    <w:rsid w:val="0093708A"/>
    <w:rsid w:val="009370CD"/>
    <w:rsid w:val="009370CF"/>
    <w:rsid w:val="009370D4"/>
    <w:rsid w:val="009370E9"/>
    <w:rsid w:val="009371C1"/>
    <w:rsid w:val="009371D3"/>
    <w:rsid w:val="00937242"/>
    <w:rsid w:val="00937267"/>
    <w:rsid w:val="00937296"/>
    <w:rsid w:val="00937338"/>
    <w:rsid w:val="00937349"/>
    <w:rsid w:val="0093734B"/>
    <w:rsid w:val="0093738D"/>
    <w:rsid w:val="0093739A"/>
    <w:rsid w:val="009373D3"/>
    <w:rsid w:val="00937407"/>
    <w:rsid w:val="0093747B"/>
    <w:rsid w:val="0093749F"/>
    <w:rsid w:val="00937519"/>
    <w:rsid w:val="009375B0"/>
    <w:rsid w:val="009375C6"/>
    <w:rsid w:val="00937612"/>
    <w:rsid w:val="0093763A"/>
    <w:rsid w:val="0093767E"/>
    <w:rsid w:val="009376D3"/>
    <w:rsid w:val="0093773E"/>
    <w:rsid w:val="009377C1"/>
    <w:rsid w:val="009377C8"/>
    <w:rsid w:val="009377F4"/>
    <w:rsid w:val="00937815"/>
    <w:rsid w:val="00937892"/>
    <w:rsid w:val="009378D0"/>
    <w:rsid w:val="00937902"/>
    <w:rsid w:val="00937905"/>
    <w:rsid w:val="00937919"/>
    <w:rsid w:val="009379F1"/>
    <w:rsid w:val="00937A00"/>
    <w:rsid w:val="00937A66"/>
    <w:rsid w:val="00937A72"/>
    <w:rsid w:val="00937AC1"/>
    <w:rsid w:val="00937BFF"/>
    <w:rsid w:val="00937C46"/>
    <w:rsid w:val="00937C4E"/>
    <w:rsid w:val="00937CB1"/>
    <w:rsid w:val="00937CB5"/>
    <w:rsid w:val="00937CD2"/>
    <w:rsid w:val="00937CE1"/>
    <w:rsid w:val="00937CE3"/>
    <w:rsid w:val="00937CF2"/>
    <w:rsid w:val="00937D03"/>
    <w:rsid w:val="00937D27"/>
    <w:rsid w:val="00937E18"/>
    <w:rsid w:val="00937E6E"/>
    <w:rsid w:val="00937F10"/>
    <w:rsid w:val="00937F12"/>
    <w:rsid w:val="00937F6A"/>
    <w:rsid w:val="00937FAF"/>
    <w:rsid w:val="00937FE5"/>
    <w:rsid w:val="00937FF2"/>
    <w:rsid w:val="00940010"/>
    <w:rsid w:val="009400E7"/>
    <w:rsid w:val="0094010B"/>
    <w:rsid w:val="0094018D"/>
    <w:rsid w:val="0094019C"/>
    <w:rsid w:val="0094019E"/>
    <w:rsid w:val="009401DE"/>
    <w:rsid w:val="009401F7"/>
    <w:rsid w:val="0094028C"/>
    <w:rsid w:val="009402AA"/>
    <w:rsid w:val="009402C6"/>
    <w:rsid w:val="009402CB"/>
    <w:rsid w:val="0094045B"/>
    <w:rsid w:val="00940490"/>
    <w:rsid w:val="00940513"/>
    <w:rsid w:val="009405A9"/>
    <w:rsid w:val="009405CE"/>
    <w:rsid w:val="009405D3"/>
    <w:rsid w:val="009405D5"/>
    <w:rsid w:val="009405E3"/>
    <w:rsid w:val="00940625"/>
    <w:rsid w:val="00940677"/>
    <w:rsid w:val="009406EE"/>
    <w:rsid w:val="00940732"/>
    <w:rsid w:val="0094076B"/>
    <w:rsid w:val="00940782"/>
    <w:rsid w:val="0094079C"/>
    <w:rsid w:val="009407B7"/>
    <w:rsid w:val="009407C2"/>
    <w:rsid w:val="009407ED"/>
    <w:rsid w:val="0094083B"/>
    <w:rsid w:val="00940911"/>
    <w:rsid w:val="009409C3"/>
    <w:rsid w:val="009409DC"/>
    <w:rsid w:val="009409F2"/>
    <w:rsid w:val="00940A6B"/>
    <w:rsid w:val="00940AA7"/>
    <w:rsid w:val="00940AB8"/>
    <w:rsid w:val="00940ACB"/>
    <w:rsid w:val="00940ADB"/>
    <w:rsid w:val="00940B21"/>
    <w:rsid w:val="00940B57"/>
    <w:rsid w:val="00940B6E"/>
    <w:rsid w:val="00940B76"/>
    <w:rsid w:val="00940B96"/>
    <w:rsid w:val="00940BBE"/>
    <w:rsid w:val="00940C80"/>
    <w:rsid w:val="00940C86"/>
    <w:rsid w:val="00940C8D"/>
    <w:rsid w:val="00940CF0"/>
    <w:rsid w:val="00940D45"/>
    <w:rsid w:val="00940D84"/>
    <w:rsid w:val="00940D8D"/>
    <w:rsid w:val="00940DC9"/>
    <w:rsid w:val="00940DFC"/>
    <w:rsid w:val="00940E57"/>
    <w:rsid w:val="00940E84"/>
    <w:rsid w:val="00940EB7"/>
    <w:rsid w:val="00940F7B"/>
    <w:rsid w:val="00940FA0"/>
    <w:rsid w:val="00940FA2"/>
    <w:rsid w:val="00940FAC"/>
    <w:rsid w:val="00940FBA"/>
    <w:rsid w:val="00940FF9"/>
    <w:rsid w:val="0094102A"/>
    <w:rsid w:val="00941031"/>
    <w:rsid w:val="00941068"/>
    <w:rsid w:val="0094106A"/>
    <w:rsid w:val="0094108A"/>
    <w:rsid w:val="0094111F"/>
    <w:rsid w:val="00941144"/>
    <w:rsid w:val="00941152"/>
    <w:rsid w:val="00941180"/>
    <w:rsid w:val="0094118A"/>
    <w:rsid w:val="009411E8"/>
    <w:rsid w:val="009411F9"/>
    <w:rsid w:val="00941203"/>
    <w:rsid w:val="00941205"/>
    <w:rsid w:val="0094126E"/>
    <w:rsid w:val="00941292"/>
    <w:rsid w:val="009412D7"/>
    <w:rsid w:val="00941350"/>
    <w:rsid w:val="009413EE"/>
    <w:rsid w:val="0094140E"/>
    <w:rsid w:val="009414E9"/>
    <w:rsid w:val="0094155C"/>
    <w:rsid w:val="009415A5"/>
    <w:rsid w:val="009415AC"/>
    <w:rsid w:val="00941609"/>
    <w:rsid w:val="0094160D"/>
    <w:rsid w:val="009416A0"/>
    <w:rsid w:val="00941704"/>
    <w:rsid w:val="00941786"/>
    <w:rsid w:val="0094178D"/>
    <w:rsid w:val="009417FC"/>
    <w:rsid w:val="0094180A"/>
    <w:rsid w:val="0094183D"/>
    <w:rsid w:val="0094188C"/>
    <w:rsid w:val="009418A6"/>
    <w:rsid w:val="009418BE"/>
    <w:rsid w:val="0094190A"/>
    <w:rsid w:val="00941922"/>
    <w:rsid w:val="009419D8"/>
    <w:rsid w:val="00941A09"/>
    <w:rsid w:val="00941A18"/>
    <w:rsid w:val="00941A22"/>
    <w:rsid w:val="00941B1E"/>
    <w:rsid w:val="00941B57"/>
    <w:rsid w:val="00941C14"/>
    <w:rsid w:val="00941C97"/>
    <w:rsid w:val="00941C98"/>
    <w:rsid w:val="00941CF9"/>
    <w:rsid w:val="00941D36"/>
    <w:rsid w:val="00941D5A"/>
    <w:rsid w:val="00941DB2"/>
    <w:rsid w:val="00941E7B"/>
    <w:rsid w:val="00941EF8"/>
    <w:rsid w:val="00941F4F"/>
    <w:rsid w:val="00941F63"/>
    <w:rsid w:val="00941F90"/>
    <w:rsid w:val="00941FC1"/>
    <w:rsid w:val="00941FE2"/>
    <w:rsid w:val="00941FE3"/>
    <w:rsid w:val="00942062"/>
    <w:rsid w:val="009420B3"/>
    <w:rsid w:val="009420EF"/>
    <w:rsid w:val="0094212A"/>
    <w:rsid w:val="00942144"/>
    <w:rsid w:val="009421AB"/>
    <w:rsid w:val="009421D8"/>
    <w:rsid w:val="0094222E"/>
    <w:rsid w:val="0094226B"/>
    <w:rsid w:val="00942289"/>
    <w:rsid w:val="0094228D"/>
    <w:rsid w:val="009422E4"/>
    <w:rsid w:val="00942388"/>
    <w:rsid w:val="009423A5"/>
    <w:rsid w:val="009423C4"/>
    <w:rsid w:val="009423CB"/>
    <w:rsid w:val="00942430"/>
    <w:rsid w:val="00942468"/>
    <w:rsid w:val="00942501"/>
    <w:rsid w:val="00942571"/>
    <w:rsid w:val="00942594"/>
    <w:rsid w:val="009425A2"/>
    <w:rsid w:val="009425A3"/>
    <w:rsid w:val="00942665"/>
    <w:rsid w:val="009426DF"/>
    <w:rsid w:val="00942730"/>
    <w:rsid w:val="0094275E"/>
    <w:rsid w:val="00942836"/>
    <w:rsid w:val="0094284C"/>
    <w:rsid w:val="00942850"/>
    <w:rsid w:val="0094286E"/>
    <w:rsid w:val="00942895"/>
    <w:rsid w:val="00942930"/>
    <w:rsid w:val="00942933"/>
    <w:rsid w:val="00942984"/>
    <w:rsid w:val="00942987"/>
    <w:rsid w:val="009429AF"/>
    <w:rsid w:val="009429E5"/>
    <w:rsid w:val="009429F9"/>
    <w:rsid w:val="00942A3A"/>
    <w:rsid w:val="00942A4F"/>
    <w:rsid w:val="00942A60"/>
    <w:rsid w:val="00942A9E"/>
    <w:rsid w:val="00942AE5"/>
    <w:rsid w:val="00942B42"/>
    <w:rsid w:val="00942B5E"/>
    <w:rsid w:val="00942BB0"/>
    <w:rsid w:val="00942C6E"/>
    <w:rsid w:val="00942D15"/>
    <w:rsid w:val="00942D35"/>
    <w:rsid w:val="00942E10"/>
    <w:rsid w:val="00942E81"/>
    <w:rsid w:val="00942E9C"/>
    <w:rsid w:val="00942ED1"/>
    <w:rsid w:val="00942EE8"/>
    <w:rsid w:val="00942F51"/>
    <w:rsid w:val="00942F55"/>
    <w:rsid w:val="00942F6A"/>
    <w:rsid w:val="00942FA0"/>
    <w:rsid w:val="00942FA4"/>
    <w:rsid w:val="00942FB5"/>
    <w:rsid w:val="00942FE5"/>
    <w:rsid w:val="00942FF8"/>
    <w:rsid w:val="00943006"/>
    <w:rsid w:val="00943016"/>
    <w:rsid w:val="0094305C"/>
    <w:rsid w:val="00943120"/>
    <w:rsid w:val="00943183"/>
    <w:rsid w:val="009431C0"/>
    <w:rsid w:val="009431DF"/>
    <w:rsid w:val="009431E0"/>
    <w:rsid w:val="009431F1"/>
    <w:rsid w:val="009432EE"/>
    <w:rsid w:val="00943326"/>
    <w:rsid w:val="0094336D"/>
    <w:rsid w:val="0094336F"/>
    <w:rsid w:val="0094339B"/>
    <w:rsid w:val="009433AC"/>
    <w:rsid w:val="0094343E"/>
    <w:rsid w:val="009434BD"/>
    <w:rsid w:val="009434D2"/>
    <w:rsid w:val="009434E9"/>
    <w:rsid w:val="009434F5"/>
    <w:rsid w:val="009434FF"/>
    <w:rsid w:val="00943502"/>
    <w:rsid w:val="00943571"/>
    <w:rsid w:val="00943572"/>
    <w:rsid w:val="009435A0"/>
    <w:rsid w:val="009435AC"/>
    <w:rsid w:val="009435B5"/>
    <w:rsid w:val="00943667"/>
    <w:rsid w:val="00943771"/>
    <w:rsid w:val="0094383D"/>
    <w:rsid w:val="009438F8"/>
    <w:rsid w:val="00943941"/>
    <w:rsid w:val="00943995"/>
    <w:rsid w:val="009439A5"/>
    <w:rsid w:val="00943A06"/>
    <w:rsid w:val="00943A2D"/>
    <w:rsid w:val="00943A5A"/>
    <w:rsid w:val="00943A6A"/>
    <w:rsid w:val="00943AE2"/>
    <w:rsid w:val="00943AF4"/>
    <w:rsid w:val="00943B76"/>
    <w:rsid w:val="00943BC4"/>
    <w:rsid w:val="00943C54"/>
    <w:rsid w:val="00943CDF"/>
    <w:rsid w:val="00943CFA"/>
    <w:rsid w:val="00943D1D"/>
    <w:rsid w:val="00943D21"/>
    <w:rsid w:val="00943D91"/>
    <w:rsid w:val="00943DDF"/>
    <w:rsid w:val="00943DFD"/>
    <w:rsid w:val="00943DFF"/>
    <w:rsid w:val="00943E7D"/>
    <w:rsid w:val="00943EE0"/>
    <w:rsid w:val="00943F9B"/>
    <w:rsid w:val="00943FAD"/>
    <w:rsid w:val="00943FBC"/>
    <w:rsid w:val="00943FE3"/>
    <w:rsid w:val="00943FE7"/>
    <w:rsid w:val="0094404C"/>
    <w:rsid w:val="00944067"/>
    <w:rsid w:val="00944078"/>
    <w:rsid w:val="00944101"/>
    <w:rsid w:val="0094410B"/>
    <w:rsid w:val="0094411A"/>
    <w:rsid w:val="00944178"/>
    <w:rsid w:val="009441E4"/>
    <w:rsid w:val="009441EF"/>
    <w:rsid w:val="0094424C"/>
    <w:rsid w:val="00944261"/>
    <w:rsid w:val="009442C6"/>
    <w:rsid w:val="00944306"/>
    <w:rsid w:val="00944362"/>
    <w:rsid w:val="009443B9"/>
    <w:rsid w:val="009444BC"/>
    <w:rsid w:val="00944562"/>
    <w:rsid w:val="0094456D"/>
    <w:rsid w:val="00944612"/>
    <w:rsid w:val="00944695"/>
    <w:rsid w:val="009446DB"/>
    <w:rsid w:val="00944737"/>
    <w:rsid w:val="009447F5"/>
    <w:rsid w:val="00944827"/>
    <w:rsid w:val="0094486B"/>
    <w:rsid w:val="009448E7"/>
    <w:rsid w:val="009448F2"/>
    <w:rsid w:val="00944906"/>
    <w:rsid w:val="00944913"/>
    <w:rsid w:val="00944955"/>
    <w:rsid w:val="009449BD"/>
    <w:rsid w:val="009449D5"/>
    <w:rsid w:val="00944A06"/>
    <w:rsid w:val="00944A2D"/>
    <w:rsid w:val="00944A5E"/>
    <w:rsid w:val="00944AE4"/>
    <w:rsid w:val="00944B20"/>
    <w:rsid w:val="00944B29"/>
    <w:rsid w:val="00944B2D"/>
    <w:rsid w:val="00944B42"/>
    <w:rsid w:val="00944B59"/>
    <w:rsid w:val="00944BDE"/>
    <w:rsid w:val="00944C73"/>
    <w:rsid w:val="00944CBD"/>
    <w:rsid w:val="00944CF2"/>
    <w:rsid w:val="00944D3D"/>
    <w:rsid w:val="00944D49"/>
    <w:rsid w:val="00944D97"/>
    <w:rsid w:val="00944DA0"/>
    <w:rsid w:val="00944DCF"/>
    <w:rsid w:val="00944DE6"/>
    <w:rsid w:val="00944DF3"/>
    <w:rsid w:val="00944E0C"/>
    <w:rsid w:val="00944E98"/>
    <w:rsid w:val="00944F01"/>
    <w:rsid w:val="00944F2D"/>
    <w:rsid w:val="00944F35"/>
    <w:rsid w:val="00944F5D"/>
    <w:rsid w:val="00944F5E"/>
    <w:rsid w:val="00944F74"/>
    <w:rsid w:val="00944F95"/>
    <w:rsid w:val="00945056"/>
    <w:rsid w:val="00945099"/>
    <w:rsid w:val="009450B9"/>
    <w:rsid w:val="00945124"/>
    <w:rsid w:val="00945128"/>
    <w:rsid w:val="0094520F"/>
    <w:rsid w:val="0094521D"/>
    <w:rsid w:val="0094525F"/>
    <w:rsid w:val="00945298"/>
    <w:rsid w:val="009452B8"/>
    <w:rsid w:val="00945302"/>
    <w:rsid w:val="00945309"/>
    <w:rsid w:val="00945361"/>
    <w:rsid w:val="0094545C"/>
    <w:rsid w:val="009454A5"/>
    <w:rsid w:val="009454B1"/>
    <w:rsid w:val="009454D8"/>
    <w:rsid w:val="00945508"/>
    <w:rsid w:val="00945509"/>
    <w:rsid w:val="0094550F"/>
    <w:rsid w:val="0094552C"/>
    <w:rsid w:val="00945554"/>
    <w:rsid w:val="009455AA"/>
    <w:rsid w:val="0094563B"/>
    <w:rsid w:val="0094564E"/>
    <w:rsid w:val="0094566B"/>
    <w:rsid w:val="0094567D"/>
    <w:rsid w:val="00945713"/>
    <w:rsid w:val="0094577D"/>
    <w:rsid w:val="0094578D"/>
    <w:rsid w:val="009457E0"/>
    <w:rsid w:val="00945805"/>
    <w:rsid w:val="009458A0"/>
    <w:rsid w:val="009458B6"/>
    <w:rsid w:val="009458CE"/>
    <w:rsid w:val="00945976"/>
    <w:rsid w:val="00945994"/>
    <w:rsid w:val="00945A24"/>
    <w:rsid w:val="00945A47"/>
    <w:rsid w:val="00945A71"/>
    <w:rsid w:val="00945A7C"/>
    <w:rsid w:val="00945B48"/>
    <w:rsid w:val="00945C01"/>
    <w:rsid w:val="00945D11"/>
    <w:rsid w:val="00945DE5"/>
    <w:rsid w:val="00945E60"/>
    <w:rsid w:val="00945E9B"/>
    <w:rsid w:val="00945EDA"/>
    <w:rsid w:val="00945EDD"/>
    <w:rsid w:val="00945F48"/>
    <w:rsid w:val="00945F8C"/>
    <w:rsid w:val="0094600A"/>
    <w:rsid w:val="00946011"/>
    <w:rsid w:val="0094605A"/>
    <w:rsid w:val="00946065"/>
    <w:rsid w:val="009460C6"/>
    <w:rsid w:val="009460E6"/>
    <w:rsid w:val="0094618A"/>
    <w:rsid w:val="009461AD"/>
    <w:rsid w:val="009461ED"/>
    <w:rsid w:val="0094624C"/>
    <w:rsid w:val="00946253"/>
    <w:rsid w:val="0094627F"/>
    <w:rsid w:val="009462B4"/>
    <w:rsid w:val="009462B8"/>
    <w:rsid w:val="009462DA"/>
    <w:rsid w:val="009462DF"/>
    <w:rsid w:val="009462EF"/>
    <w:rsid w:val="009462FA"/>
    <w:rsid w:val="00946374"/>
    <w:rsid w:val="0094637E"/>
    <w:rsid w:val="009463AF"/>
    <w:rsid w:val="009463C5"/>
    <w:rsid w:val="009463DE"/>
    <w:rsid w:val="00946412"/>
    <w:rsid w:val="00946442"/>
    <w:rsid w:val="009464C9"/>
    <w:rsid w:val="009465B1"/>
    <w:rsid w:val="009465EC"/>
    <w:rsid w:val="00946683"/>
    <w:rsid w:val="00946687"/>
    <w:rsid w:val="0094669E"/>
    <w:rsid w:val="009466AD"/>
    <w:rsid w:val="009466E4"/>
    <w:rsid w:val="00946723"/>
    <w:rsid w:val="0094677B"/>
    <w:rsid w:val="00946795"/>
    <w:rsid w:val="009467BB"/>
    <w:rsid w:val="00946823"/>
    <w:rsid w:val="00946838"/>
    <w:rsid w:val="0094684F"/>
    <w:rsid w:val="0094689D"/>
    <w:rsid w:val="009468A6"/>
    <w:rsid w:val="009468DF"/>
    <w:rsid w:val="00946969"/>
    <w:rsid w:val="009469F9"/>
    <w:rsid w:val="00946B29"/>
    <w:rsid w:val="00946B81"/>
    <w:rsid w:val="00946B8C"/>
    <w:rsid w:val="00946BB3"/>
    <w:rsid w:val="00946BB6"/>
    <w:rsid w:val="00946BF0"/>
    <w:rsid w:val="00946BF1"/>
    <w:rsid w:val="00946C08"/>
    <w:rsid w:val="00946D1F"/>
    <w:rsid w:val="00946D37"/>
    <w:rsid w:val="00946D6A"/>
    <w:rsid w:val="00946E56"/>
    <w:rsid w:val="00946E65"/>
    <w:rsid w:val="00946E91"/>
    <w:rsid w:val="00946E97"/>
    <w:rsid w:val="00946EA0"/>
    <w:rsid w:val="00946EDC"/>
    <w:rsid w:val="00946EE0"/>
    <w:rsid w:val="00946F57"/>
    <w:rsid w:val="00946F84"/>
    <w:rsid w:val="00946FA3"/>
    <w:rsid w:val="00946FB5"/>
    <w:rsid w:val="00946FC1"/>
    <w:rsid w:val="00946FE7"/>
    <w:rsid w:val="00947049"/>
    <w:rsid w:val="00947070"/>
    <w:rsid w:val="009470B3"/>
    <w:rsid w:val="00947147"/>
    <w:rsid w:val="00947172"/>
    <w:rsid w:val="00947269"/>
    <w:rsid w:val="009472A3"/>
    <w:rsid w:val="009472C5"/>
    <w:rsid w:val="009472E3"/>
    <w:rsid w:val="0094730B"/>
    <w:rsid w:val="0094732A"/>
    <w:rsid w:val="009473BE"/>
    <w:rsid w:val="009473D6"/>
    <w:rsid w:val="009473F9"/>
    <w:rsid w:val="009473FC"/>
    <w:rsid w:val="009474D2"/>
    <w:rsid w:val="009474E6"/>
    <w:rsid w:val="00947507"/>
    <w:rsid w:val="00947511"/>
    <w:rsid w:val="0094754A"/>
    <w:rsid w:val="009475BF"/>
    <w:rsid w:val="009475EB"/>
    <w:rsid w:val="009475EC"/>
    <w:rsid w:val="009475F7"/>
    <w:rsid w:val="00947601"/>
    <w:rsid w:val="00947689"/>
    <w:rsid w:val="0094769A"/>
    <w:rsid w:val="009476D9"/>
    <w:rsid w:val="009477B5"/>
    <w:rsid w:val="009477D8"/>
    <w:rsid w:val="00947875"/>
    <w:rsid w:val="009478A5"/>
    <w:rsid w:val="009478AB"/>
    <w:rsid w:val="009478DC"/>
    <w:rsid w:val="009478DF"/>
    <w:rsid w:val="009479C1"/>
    <w:rsid w:val="009479C3"/>
    <w:rsid w:val="009479E1"/>
    <w:rsid w:val="009479F5"/>
    <w:rsid w:val="00947A1F"/>
    <w:rsid w:val="00947A37"/>
    <w:rsid w:val="00947A86"/>
    <w:rsid w:val="00947AEB"/>
    <w:rsid w:val="00947B51"/>
    <w:rsid w:val="00947BC3"/>
    <w:rsid w:val="00947BE3"/>
    <w:rsid w:val="00947C09"/>
    <w:rsid w:val="00947C0A"/>
    <w:rsid w:val="00947C39"/>
    <w:rsid w:val="00947CFF"/>
    <w:rsid w:val="00947D07"/>
    <w:rsid w:val="00947D46"/>
    <w:rsid w:val="00947DEC"/>
    <w:rsid w:val="00947E3D"/>
    <w:rsid w:val="00947EAA"/>
    <w:rsid w:val="00947F1C"/>
    <w:rsid w:val="00947FE6"/>
    <w:rsid w:val="0095001F"/>
    <w:rsid w:val="00950034"/>
    <w:rsid w:val="0095004D"/>
    <w:rsid w:val="00950068"/>
    <w:rsid w:val="009501DE"/>
    <w:rsid w:val="0095021B"/>
    <w:rsid w:val="009502C2"/>
    <w:rsid w:val="009502E7"/>
    <w:rsid w:val="00950306"/>
    <w:rsid w:val="009503C7"/>
    <w:rsid w:val="00950449"/>
    <w:rsid w:val="0095044A"/>
    <w:rsid w:val="00950473"/>
    <w:rsid w:val="0095047C"/>
    <w:rsid w:val="009504A0"/>
    <w:rsid w:val="009504F9"/>
    <w:rsid w:val="00950597"/>
    <w:rsid w:val="0095059D"/>
    <w:rsid w:val="00950645"/>
    <w:rsid w:val="00950651"/>
    <w:rsid w:val="0095066D"/>
    <w:rsid w:val="00950686"/>
    <w:rsid w:val="009506F3"/>
    <w:rsid w:val="0095073B"/>
    <w:rsid w:val="00950804"/>
    <w:rsid w:val="009508AC"/>
    <w:rsid w:val="009508C8"/>
    <w:rsid w:val="009508D2"/>
    <w:rsid w:val="009509CF"/>
    <w:rsid w:val="009509D9"/>
    <w:rsid w:val="009509EA"/>
    <w:rsid w:val="00950A5F"/>
    <w:rsid w:val="00950A76"/>
    <w:rsid w:val="00950BBF"/>
    <w:rsid w:val="00950BD5"/>
    <w:rsid w:val="00950BDE"/>
    <w:rsid w:val="00950BF6"/>
    <w:rsid w:val="00950C0C"/>
    <w:rsid w:val="00950C27"/>
    <w:rsid w:val="00950C4B"/>
    <w:rsid w:val="00950CE7"/>
    <w:rsid w:val="00950D1E"/>
    <w:rsid w:val="00950D52"/>
    <w:rsid w:val="00950D68"/>
    <w:rsid w:val="00950DF5"/>
    <w:rsid w:val="00950E91"/>
    <w:rsid w:val="00950EE6"/>
    <w:rsid w:val="00950EFE"/>
    <w:rsid w:val="00950F3C"/>
    <w:rsid w:val="00950F73"/>
    <w:rsid w:val="00950F86"/>
    <w:rsid w:val="00950F9D"/>
    <w:rsid w:val="00950FBF"/>
    <w:rsid w:val="0095105C"/>
    <w:rsid w:val="0095106D"/>
    <w:rsid w:val="0095108C"/>
    <w:rsid w:val="009510CC"/>
    <w:rsid w:val="009510D6"/>
    <w:rsid w:val="009510D7"/>
    <w:rsid w:val="009511A0"/>
    <w:rsid w:val="009511A5"/>
    <w:rsid w:val="009511FB"/>
    <w:rsid w:val="0095123A"/>
    <w:rsid w:val="009512AA"/>
    <w:rsid w:val="009512CB"/>
    <w:rsid w:val="009512F1"/>
    <w:rsid w:val="009512F8"/>
    <w:rsid w:val="009512FC"/>
    <w:rsid w:val="0095130F"/>
    <w:rsid w:val="0095132B"/>
    <w:rsid w:val="00951347"/>
    <w:rsid w:val="009513C8"/>
    <w:rsid w:val="009513CF"/>
    <w:rsid w:val="009513DD"/>
    <w:rsid w:val="0095147A"/>
    <w:rsid w:val="00951484"/>
    <w:rsid w:val="009514DC"/>
    <w:rsid w:val="00951528"/>
    <w:rsid w:val="0095153C"/>
    <w:rsid w:val="0095156C"/>
    <w:rsid w:val="00951675"/>
    <w:rsid w:val="009516CC"/>
    <w:rsid w:val="009516F2"/>
    <w:rsid w:val="009516FE"/>
    <w:rsid w:val="0095171E"/>
    <w:rsid w:val="00951741"/>
    <w:rsid w:val="00951763"/>
    <w:rsid w:val="00951767"/>
    <w:rsid w:val="0095180E"/>
    <w:rsid w:val="0095184E"/>
    <w:rsid w:val="00951895"/>
    <w:rsid w:val="009518FB"/>
    <w:rsid w:val="00951932"/>
    <w:rsid w:val="00951946"/>
    <w:rsid w:val="0095196F"/>
    <w:rsid w:val="00951A21"/>
    <w:rsid w:val="00951A22"/>
    <w:rsid w:val="00951A5B"/>
    <w:rsid w:val="00951B64"/>
    <w:rsid w:val="00951C58"/>
    <w:rsid w:val="00951CAF"/>
    <w:rsid w:val="00951D05"/>
    <w:rsid w:val="00951DB6"/>
    <w:rsid w:val="00951DDB"/>
    <w:rsid w:val="00951DF1"/>
    <w:rsid w:val="00951E5B"/>
    <w:rsid w:val="00951EEC"/>
    <w:rsid w:val="00951EEF"/>
    <w:rsid w:val="00951EFB"/>
    <w:rsid w:val="00951F82"/>
    <w:rsid w:val="00951F9A"/>
    <w:rsid w:val="00952014"/>
    <w:rsid w:val="00952086"/>
    <w:rsid w:val="00952093"/>
    <w:rsid w:val="00952099"/>
    <w:rsid w:val="009520D7"/>
    <w:rsid w:val="009520F3"/>
    <w:rsid w:val="0095215B"/>
    <w:rsid w:val="0095218E"/>
    <w:rsid w:val="009521B7"/>
    <w:rsid w:val="009521B9"/>
    <w:rsid w:val="009521F0"/>
    <w:rsid w:val="0095225F"/>
    <w:rsid w:val="00952298"/>
    <w:rsid w:val="009522DD"/>
    <w:rsid w:val="009522E7"/>
    <w:rsid w:val="009522EC"/>
    <w:rsid w:val="00952394"/>
    <w:rsid w:val="00952428"/>
    <w:rsid w:val="00952430"/>
    <w:rsid w:val="00952492"/>
    <w:rsid w:val="009524AC"/>
    <w:rsid w:val="009524B2"/>
    <w:rsid w:val="009524EE"/>
    <w:rsid w:val="00952504"/>
    <w:rsid w:val="0095253D"/>
    <w:rsid w:val="0095256C"/>
    <w:rsid w:val="00952616"/>
    <w:rsid w:val="0095263B"/>
    <w:rsid w:val="0095264D"/>
    <w:rsid w:val="0095269B"/>
    <w:rsid w:val="00952709"/>
    <w:rsid w:val="0095270F"/>
    <w:rsid w:val="0095271B"/>
    <w:rsid w:val="00952732"/>
    <w:rsid w:val="00952737"/>
    <w:rsid w:val="0095276B"/>
    <w:rsid w:val="00952771"/>
    <w:rsid w:val="009527C4"/>
    <w:rsid w:val="0095287B"/>
    <w:rsid w:val="00952899"/>
    <w:rsid w:val="009528A8"/>
    <w:rsid w:val="0095293C"/>
    <w:rsid w:val="009529B6"/>
    <w:rsid w:val="009529ED"/>
    <w:rsid w:val="009529F2"/>
    <w:rsid w:val="00952A1C"/>
    <w:rsid w:val="00952A73"/>
    <w:rsid w:val="00952AB9"/>
    <w:rsid w:val="00952ADB"/>
    <w:rsid w:val="00952AF4"/>
    <w:rsid w:val="00952AFE"/>
    <w:rsid w:val="00952B09"/>
    <w:rsid w:val="00952B3D"/>
    <w:rsid w:val="00952B7B"/>
    <w:rsid w:val="00952C8E"/>
    <w:rsid w:val="00952CA7"/>
    <w:rsid w:val="00952CC4"/>
    <w:rsid w:val="00952CF1"/>
    <w:rsid w:val="00952D00"/>
    <w:rsid w:val="00952D5D"/>
    <w:rsid w:val="00952D68"/>
    <w:rsid w:val="00952D86"/>
    <w:rsid w:val="00952D8E"/>
    <w:rsid w:val="00952DF6"/>
    <w:rsid w:val="00952E54"/>
    <w:rsid w:val="00952E6C"/>
    <w:rsid w:val="00952EBA"/>
    <w:rsid w:val="00953081"/>
    <w:rsid w:val="009530CB"/>
    <w:rsid w:val="009530D6"/>
    <w:rsid w:val="009530FF"/>
    <w:rsid w:val="0095310B"/>
    <w:rsid w:val="00953148"/>
    <w:rsid w:val="0095315F"/>
    <w:rsid w:val="00953180"/>
    <w:rsid w:val="009531A5"/>
    <w:rsid w:val="009531CA"/>
    <w:rsid w:val="0095320C"/>
    <w:rsid w:val="00953296"/>
    <w:rsid w:val="00953303"/>
    <w:rsid w:val="00953330"/>
    <w:rsid w:val="00953346"/>
    <w:rsid w:val="0095336D"/>
    <w:rsid w:val="00953373"/>
    <w:rsid w:val="00953378"/>
    <w:rsid w:val="009533C4"/>
    <w:rsid w:val="009533E8"/>
    <w:rsid w:val="0095340E"/>
    <w:rsid w:val="0095344A"/>
    <w:rsid w:val="009534B9"/>
    <w:rsid w:val="00953523"/>
    <w:rsid w:val="00953542"/>
    <w:rsid w:val="00953546"/>
    <w:rsid w:val="009535D2"/>
    <w:rsid w:val="009535E2"/>
    <w:rsid w:val="00953631"/>
    <w:rsid w:val="00953645"/>
    <w:rsid w:val="009536E1"/>
    <w:rsid w:val="00953713"/>
    <w:rsid w:val="0095371B"/>
    <w:rsid w:val="0095374D"/>
    <w:rsid w:val="009537D3"/>
    <w:rsid w:val="00953837"/>
    <w:rsid w:val="0095387F"/>
    <w:rsid w:val="00953961"/>
    <w:rsid w:val="0095397F"/>
    <w:rsid w:val="00953A26"/>
    <w:rsid w:val="00953A96"/>
    <w:rsid w:val="00953B01"/>
    <w:rsid w:val="00953B05"/>
    <w:rsid w:val="00953B0A"/>
    <w:rsid w:val="00953B8A"/>
    <w:rsid w:val="00953B91"/>
    <w:rsid w:val="00953BB6"/>
    <w:rsid w:val="00953BB9"/>
    <w:rsid w:val="00953BF7"/>
    <w:rsid w:val="00953C2B"/>
    <w:rsid w:val="00953C2E"/>
    <w:rsid w:val="00953C38"/>
    <w:rsid w:val="00953C64"/>
    <w:rsid w:val="00953D4B"/>
    <w:rsid w:val="00953E31"/>
    <w:rsid w:val="00953E40"/>
    <w:rsid w:val="00953E67"/>
    <w:rsid w:val="00953E9C"/>
    <w:rsid w:val="00953F10"/>
    <w:rsid w:val="00953F22"/>
    <w:rsid w:val="00953F3B"/>
    <w:rsid w:val="00953F74"/>
    <w:rsid w:val="00953FB4"/>
    <w:rsid w:val="00954054"/>
    <w:rsid w:val="009540FF"/>
    <w:rsid w:val="009541B8"/>
    <w:rsid w:val="00954245"/>
    <w:rsid w:val="00954267"/>
    <w:rsid w:val="009542A0"/>
    <w:rsid w:val="009542A4"/>
    <w:rsid w:val="009542CA"/>
    <w:rsid w:val="009542E1"/>
    <w:rsid w:val="00954319"/>
    <w:rsid w:val="00954378"/>
    <w:rsid w:val="00954393"/>
    <w:rsid w:val="009543CB"/>
    <w:rsid w:val="009543D7"/>
    <w:rsid w:val="009543FA"/>
    <w:rsid w:val="00954427"/>
    <w:rsid w:val="00954456"/>
    <w:rsid w:val="0095445D"/>
    <w:rsid w:val="0095447D"/>
    <w:rsid w:val="0095448F"/>
    <w:rsid w:val="0095449A"/>
    <w:rsid w:val="00954536"/>
    <w:rsid w:val="00954541"/>
    <w:rsid w:val="0095455F"/>
    <w:rsid w:val="00954567"/>
    <w:rsid w:val="0095457E"/>
    <w:rsid w:val="00954585"/>
    <w:rsid w:val="0095461A"/>
    <w:rsid w:val="0095461C"/>
    <w:rsid w:val="00954638"/>
    <w:rsid w:val="00954656"/>
    <w:rsid w:val="00954691"/>
    <w:rsid w:val="00954714"/>
    <w:rsid w:val="00954746"/>
    <w:rsid w:val="009547CF"/>
    <w:rsid w:val="009547DD"/>
    <w:rsid w:val="00954827"/>
    <w:rsid w:val="0095487E"/>
    <w:rsid w:val="00954996"/>
    <w:rsid w:val="00954A37"/>
    <w:rsid w:val="00954A4B"/>
    <w:rsid w:val="00954A8A"/>
    <w:rsid w:val="00954A9D"/>
    <w:rsid w:val="00954ACA"/>
    <w:rsid w:val="00954ADC"/>
    <w:rsid w:val="00954BA3"/>
    <w:rsid w:val="00954BA6"/>
    <w:rsid w:val="00954BA9"/>
    <w:rsid w:val="00954BB4"/>
    <w:rsid w:val="00954BD3"/>
    <w:rsid w:val="00954C07"/>
    <w:rsid w:val="00954C1D"/>
    <w:rsid w:val="00954C30"/>
    <w:rsid w:val="00954C8C"/>
    <w:rsid w:val="00954CB7"/>
    <w:rsid w:val="00954CF6"/>
    <w:rsid w:val="00954CFE"/>
    <w:rsid w:val="00954D34"/>
    <w:rsid w:val="00954D69"/>
    <w:rsid w:val="00954D87"/>
    <w:rsid w:val="00954DED"/>
    <w:rsid w:val="00954DFF"/>
    <w:rsid w:val="00954EDF"/>
    <w:rsid w:val="00954EEE"/>
    <w:rsid w:val="00954F3B"/>
    <w:rsid w:val="00954F3F"/>
    <w:rsid w:val="00954F4E"/>
    <w:rsid w:val="00954FD9"/>
    <w:rsid w:val="00954FF9"/>
    <w:rsid w:val="00955016"/>
    <w:rsid w:val="00955127"/>
    <w:rsid w:val="00955155"/>
    <w:rsid w:val="00955172"/>
    <w:rsid w:val="00955189"/>
    <w:rsid w:val="0095519B"/>
    <w:rsid w:val="0095521F"/>
    <w:rsid w:val="00955224"/>
    <w:rsid w:val="00955259"/>
    <w:rsid w:val="009552EF"/>
    <w:rsid w:val="009553B9"/>
    <w:rsid w:val="00955406"/>
    <w:rsid w:val="00955488"/>
    <w:rsid w:val="00955489"/>
    <w:rsid w:val="009554B7"/>
    <w:rsid w:val="009554ED"/>
    <w:rsid w:val="0095550F"/>
    <w:rsid w:val="0095558E"/>
    <w:rsid w:val="009555B2"/>
    <w:rsid w:val="009555B3"/>
    <w:rsid w:val="009555BD"/>
    <w:rsid w:val="009556BD"/>
    <w:rsid w:val="009556C5"/>
    <w:rsid w:val="009556FD"/>
    <w:rsid w:val="00955712"/>
    <w:rsid w:val="00955742"/>
    <w:rsid w:val="00955783"/>
    <w:rsid w:val="0095579A"/>
    <w:rsid w:val="0095579B"/>
    <w:rsid w:val="009557A9"/>
    <w:rsid w:val="009557D6"/>
    <w:rsid w:val="00955818"/>
    <w:rsid w:val="0095582A"/>
    <w:rsid w:val="00955831"/>
    <w:rsid w:val="00955863"/>
    <w:rsid w:val="009558A0"/>
    <w:rsid w:val="009558E2"/>
    <w:rsid w:val="0095593D"/>
    <w:rsid w:val="00955941"/>
    <w:rsid w:val="0095598C"/>
    <w:rsid w:val="009559CD"/>
    <w:rsid w:val="00955A02"/>
    <w:rsid w:val="00955BA1"/>
    <w:rsid w:val="00955BDA"/>
    <w:rsid w:val="00955C35"/>
    <w:rsid w:val="00955C54"/>
    <w:rsid w:val="00955C58"/>
    <w:rsid w:val="00955C61"/>
    <w:rsid w:val="00955C74"/>
    <w:rsid w:val="00955C96"/>
    <w:rsid w:val="00955CAC"/>
    <w:rsid w:val="00955CD2"/>
    <w:rsid w:val="00955D0E"/>
    <w:rsid w:val="00955D29"/>
    <w:rsid w:val="00955D70"/>
    <w:rsid w:val="00955DD4"/>
    <w:rsid w:val="00955E85"/>
    <w:rsid w:val="00955F2F"/>
    <w:rsid w:val="00955F86"/>
    <w:rsid w:val="00955F8E"/>
    <w:rsid w:val="00955FA3"/>
    <w:rsid w:val="00955FC6"/>
    <w:rsid w:val="00955FC8"/>
    <w:rsid w:val="00955FCC"/>
    <w:rsid w:val="00956042"/>
    <w:rsid w:val="00956063"/>
    <w:rsid w:val="009560B5"/>
    <w:rsid w:val="009560E9"/>
    <w:rsid w:val="009561A0"/>
    <w:rsid w:val="009561E8"/>
    <w:rsid w:val="009561FD"/>
    <w:rsid w:val="00956205"/>
    <w:rsid w:val="0095624F"/>
    <w:rsid w:val="0095629E"/>
    <w:rsid w:val="009563C6"/>
    <w:rsid w:val="009563DB"/>
    <w:rsid w:val="00956466"/>
    <w:rsid w:val="009564B1"/>
    <w:rsid w:val="009564B4"/>
    <w:rsid w:val="00956636"/>
    <w:rsid w:val="0095666F"/>
    <w:rsid w:val="00956688"/>
    <w:rsid w:val="009567B5"/>
    <w:rsid w:val="00956891"/>
    <w:rsid w:val="009568B2"/>
    <w:rsid w:val="009568C4"/>
    <w:rsid w:val="009568CD"/>
    <w:rsid w:val="009568FE"/>
    <w:rsid w:val="00956934"/>
    <w:rsid w:val="0095693A"/>
    <w:rsid w:val="009569C3"/>
    <w:rsid w:val="00956A47"/>
    <w:rsid w:val="00956A53"/>
    <w:rsid w:val="00956A8F"/>
    <w:rsid w:val="00956B6E"/>
    <w:rsid w:val="00956C0B"/>
    <w:rsid w:val="00956CE7"/>
    <w:rsid w:val="00956D26"/>
    <w:rsid w:val="00956D48"/>
    <w:rsid w:val="00956DDF"/>
    <w:rsid w:val="00956E45"/>
    <w:rsid w:val="00956E5B"/>
    <w:rsid w:val="00956E8E"/>
    <w:rsid w:val="00956EA1"/>
    <w:rsid w:val="00956F1B"/>
    <w:rsid w:val="00956F8E"/>
    <w:rsid w:val="00956FA8"/>
    <w:rsid w:val="00956FF1"/>
    <w:rsid w:val="00957000"/>
    <w:rsid w:val="0095701F"/>
    <w:rsid w:val="00957036"/>
    <w:rsid w:val="0095704A"/>
    <w:rsid w:val="00957074"/>
    <w:rsid w:val="0095708D"/>
    <w:rsid w:val="009570E5"/>
    <w:rsid w:val="0095715F"/>
    <w:rsid w:val="00957177"/>
    <w:rsid w:val="0095718A"/>
    <w:rsid w:val="009571CD"/>
    <w:rsid w:val="009571EE"/>
    <w:rsid w:val="009571F7"/>
    <w:rsid w:val="0095726B"/>
    <w:rsid w:val="009572BF"/>
    <w:rsid w:val="009572F7"/>
    <w:rsid w:val="00957315"/>
    <w:rsid w:val="0095736A"/>
    <w:rsid w:val="00957376"/>
    <w:rsid w:val="009573FD"/>
    <w:rsid w:val="00957410"/>
    <w:rsid w:val="00957463"/>
    <w:rsid w:val="0095747B"/>
    <w:rsid w:val="009574F1"/>
    <w:rsid w:val="0095750A"/>
    <w:rsid w:val="009575DA"/>
    <w:rsid w:val="00957600"/>
    <w:rsid w:val="00957616"/>
    <w:rsid w:val="0095761D"/>
    <w:rsid w:val="0095764C"/>
    <w:rsid w:val="0095767A"/>
    <w:rsid w:val="009576B2"/>
    <w:rsid w:val="009576BB"/>
    <w:rsid w:val="00957718"/>
    <w:rsid w:val="00957725"/>
    <w:rsid w:val="00957731"/>
    <w:rsid w:val="00957773"/>
    <w:rsid w:val="0095782F"/>
    <w:rsid w:val="009578BC"/>
    <w:rsid w:val="009578C0"/>
    <w:rsid w:val="00957908"/>
    <w:rsid w:val="0095796F"/>
    <w:rsid w:val="009579A0"/>
    <w:rsid w:val="00957A05"/>
    <w:rsid w:val="00957A8B"/>
    <w:rsid w:val="00957AC3"/>
    <w:rsid w:val="00957B5C"/>
    <w:rsid w:val="00957B65"/>
    <w:rsid w:val="00957B77"/>
    <w:rsid w:val="00957B81"/>
    <w:rsid w:val="00957BB4"/>
    <w:rsid w:val="00957BC1"/>
    <w:rsid w:val="00957BC3"/>
    <w:rsid w:val="00957BD5"/>
    <w:rsid w:val="00957BFF"/>
    <w:rsid w:val="00957C45"/>
    <w:rsid w:val="00957C47"/>
    <w:rsid w:val="00957C79"/>
    <w:rsid w:val="00957CEC"/>
    <w:rsid w:val="00957D27"/>
    <w:rsid w:val="00957D72"/>
    <w:rsid w:val="00957D88"/>
    <w:rsid w:val="00957DC1"/>
    <w:rsid w:val="00957DDF"/>
    <w:rsid w:val="00957E6C"/>
    <w:rsid w:val="00957ED8"/>
    <w:rsid w:val="00957EFA"/>
    <w:rsid w:val="00957F44"/>
    <w:rsid w:val="00957F69"/>
    <w:rsid w:val="00957F81"/>
    <w:rsid w:val="00957F82"/>
    <w:rsid w:val="00957F9D"/>
    <w:rsid w:val="00957FA8"/>
    <w:rsid w:val="00957FCE"/>
    <w:rsid w:val="00960025"/>
    <w:rsid w:val="00960030"/>
    <w:rsid w:val="00960054"/>
    <w:rsid w:val="009600DA"/>
    <w:rsid w:val="0096014B"/>
    <w:rsid w:val="00960165"/>
    <w:rsid w:val="00960189"/>
    <w:rsid w:val="009601DC"/>
    <w:rsid w:val="00960236"/>
    <w:rsid w:val="00960266"/>
    <w:rsid w:val="00960293"/>
    <w:rsid w:val="0096031C"/>
    <w:rsid w:val="00960360"/>
    <w:rsid w:val="009603D9"/>
    <w:rsid w:val="00960403"/>
    <w:rsid w:val="00960404"/>
    <w:rsid w:val="0096041D"/>
    <w:rsid w:val="00960467"/>
    <w:rsid w:val="009604CE"/>
    <w:rsid w:val="009604E7"/>
    <w:rsid w:val="009604EB"/>
    <w:rsid w:val="009604F3"/>
    <w:rsid w:val="00960528"/>
    <w:rsid w:val="00960562"/>
    <w:rsid w:val="009605CF"/>
    <w:rsid w:val="0096060B"/>
    <w:rsid w:val="0096062D"/>
    <w:rsid w:val="009606A5"/>
    <w:rsid w:val="009606F6"/>
    <w:rsid w:val="00960793"/>
    <w:rsid w:val="00960811"/>
    <w:rsid w:val="00960820"/>
    <w:rsid w:val="00960821"/>
    <w:rsid w:val="00960833"/>
    <w:rsid w:val="00960834"/>
    <w:rsid w:val="00960847"/>
    <w:rsid w:val="009608BE"/>
    <w:rsid w:val="009608D8"/>
    <w:rsid w:val="00960980"/>
    <w:rsid w:val="00960992"/>
    <w:rsid w:val="00960A80"/>
    <w:rsid w:val="00960B3D"/>
    <w:rsid w:val="00960B49"/>
    <w:rsid w:val="00960B5C"/>
    <w:rsid w:val="00960B66"/>
    <w:rsid w:val="00960B68"/>
    <w:rsid w:val="00960B8A"/>
    <w:rsid w:val="00960B95"/>
    <w:rsid w:val="00960B9B"/>
    <w:rsid w:val="00960BA1"/>
    <w:rsid w:val="00960BA3"/>
    <w:rsid w:val="00960BE7"/>
    <w:rsid w:val="00960BF6"/>
    <w:rsid w:val="00960CAF"/>
    <w:rsid w:val="00960CCC"/>
    <w:rsid w:val="00960CD2"/>
    <w:rsid w:val="00960D0E"/>
    <w:rsid w:val="00960D14"/>
    <w:rsid w:val="00960D3F"/>
    <w:rsid w:val="00960D6E"/>
    <w:rsid w:val="00960E5E"/>
    <w:rsid w:val="00960E79"/>
    <w:rsid w:val="00960E87"/>
    <w:rsid w:val="00960E94"/>
    <w:rsid w:val="00960EE8"/>
    <w:rsid w:val="00960F08"/>
    <w:rsid w:val="00960F15"/>
    <w:rsid w:val="00960F1F"/>
    <w:rsid w:val="00960F35"/>
    <w:rsid w:val="00960F3B"/>
    <w:rsid w:val="00960F55"/>
    <w:rsid w:val="00960FB5"/>
    <w:rsid w:val="00960FDD"/>
    <w:rsid w:val="00961015"/>
    <w:rsid w:val="0096102E"/>
    <w:rsid w:val="0096114C"/>
    <w:rsid w:val="0096116F"/>
    <w:rsid w:val="009611DA"/>
    <w:rsid w:val="009611F1"/>
    <w:rsid w:val="009611F8"/>
    <w:rsid w:val="00961276"/>
    <w:rsid w:val="00961325"/>
    <w:rsid w:val="0096133A"/>
    <w:rsid w:val="00961390"/>
    <w:rsid w:val="009613C1"/>
    <w:rsid w:val="0096148C"/>
    <w:rsid w:val="00961530"/>
    <w:rsid w:val="00961548"/>
    <w:rsid w:val="0096159D"/>
    <w:rsid w:val="009615E0"/>
    <w:rsid w:val="009615E7"/>
    <w:rsid w:val="0096175A"/>
    <w:rsid w:val="009617F2"/>
    <w:rsid w:val="00961890"/>
    <w:rsid w:val="009618AB"/>
    <w:rsid w:val="00961938"/>
    <w:rsid w:val="0096198D"/>
    <w:rsid w:val="00961999"/>
    <w:rsid w:val="009619C1"/>
    <w:rsid w:val="009619D1"/>
    <w:rsid w:val="009619E5"/>
    <w:rsid w:val="00961A1E"/>
    <w:rsid w:val="00961A7E"/>
    <w:rsid w:val="00961B44"/>
    <w:rsid w:val="00961B48"/>
    <w:rsid w:val="00961B93"/>
    <w:rsid w:val="00961B9A"/>
    <w:rsid w:val="00961BAB"/>
    <w:rsid w:val="00961BB1"/>
    <w:rsid w:val="00961BB2"/>
    <w:rsid w:val="00961C0E"/>
    <w:rsid w:val="00961C35"/>
    <w:rsid w:val="00961C45"/>
    <w:rsid w:val="00961C5D"/>
    <w:rsid w:val="00961CBB"/>
    <w:rsid w:val="00961CD8"/>
    <w:rsid w:val="00961D3C"/>
    <w:rsid w:val="00961DA8"/>
    <w:rsid w:val="00961DC0"/>
    <w:rsid w:val="00961E19"/>
    <w:rsid w:val="00961E26"/>
    <w:rsid w:val="00961E41"/>
    <w:rsid w:val="00961E4C"/>
    <w:rsid w:val="00961EEE"/>
    <w:rsid w:val="00961F4B"/>
    <w:rsid w:val="00961FAE"/>
    <w:rsid w:val="00961FB0"/>
    <w:rsid w:val="00961FD0"/>
    <w:rsid w:val="0096200F"/>
    <w:rsid w:val="00962012"/>
    <w:rsid w:val="0096207A"/>
    <w:rsid w:val="009620BA"/>
    <w:rsid w:val="00962112"/>
    <w:rsid w:val="0096212F"/>
    <w:rsid w:val="0096214E"/>
    <w:rsid w:val="00962164"/>
    <w:rsid w:val="0096217D"/>
    <w:rsid w:val="0096218F"/>
    <w:rsid w:val="0096219E"/>
    <w:rsid w:val="009621DA"/>
    <w:rsid w:val="00962236"/>
    <w:rsid w:val="00962299"/>
    <w:rsid w:val="009622F7"/>
    <w:rsid w:val="00962310"/>
    <w:rsid w:val="00962343"/>
    <w:rsid w:val="009623A4"/>
    <w:rsid w:val="009623CE"/>
    <w:rsid w:val="009623D2"/>
    <w:rsid w:val="0096243D"/>
    <w:rsid w:val="009624B4"/>
    <w:rsid w:val="009624BD"/>
    <w:rsid w:val="00962561"/>
    <w:rsid w:val="009625DA"/>
    <w:rsid w:val="0096260C"/>
    <w:rsid w:val="0096261D"/>
    <w:rsid w:val="00962769"/>
    <w:rsid w:val="00962772"/>
    <w:rsid w:val="00962790"/>
    <w:rsid w:val="009627EE"/>
    <w:rsid w:val="00962813"/>
    <w:rsid w:val="00962815"/>
    <w:rsid w:val="0096283C"/>
    <w:rsid w:val="009628BE"/>
    <w:rsid w:val="009628F8"/>
    <w:rsid w:val="00962901"/>
    <w:rsid w:val="00962954"/>
    <w:rsid w:val="0096295A"/>
    <w:rsid w:val="00962989"/>
    <w:rsid w:val="009629AA"/>
    <w:rsid w:val="00962A07"/>
    <w:rsid w:val="00962A09"/>
    <w:rsid w:val="00962AD3"/>
    <w:rsid w:val="00962B09"/>
    <w:rsid w:val="00962B1C"/>
    <w:rsid w:val="00962B6A"/>
    <w:rsid w:val="00962BF8"/>
    <w:rsid w:val="00962C04"/>
    <w:rsid w:val="00962C15"/>
    <w:rsid w:val="00962C37"/>
    <w:rsid w:val="00962C99"/>
    <w:rsid w:val="00962CCA"/>
    <w:rsid w:val="00962E5F"/>
    <w:rsid w:val="00962EAD"/>
    <w:rsid w:val="00962EB9"/>
    <w:rsid w:val="00962EE6"/>
    <w:rsid w:val="00962F1A"/>
    <w:rsid w:val="00962F3B"/>
    <w:rsid w:val="00962F6A"/>
    <w:rsid w:val="00962F9E"/>
    <w:rsid w:val="00962FA4"/>
    <w:rsid w:val="00963008"/>
    <w:rsid w:val="00963061"/>
    <w:rsid w:val="009630DE"/>
    <w:rsid w:val="00963108"/>
    <w:rsid w:val="00963122"/>
    <w:rsid w:val="0096314C"/>
    <w:rsid w:val="00963196"/>
    <w:rsid w:val="009631BA"/>
    <w:rsid w:val="009631E4"/>
    <w:rsid w:val="00963310"/>
    <w:rsid w:val="00963365"/>
    <w:rsid w:val="009633EA"/>
    <w:rsid w:val="00963419"/>
    <w:rsid w:val="00963460"/>
    <w:rsid w:val="009634BA"/>
    <w:rsid w:val="009634FB"/>
    <w:rsid w:val="0096353D"/>
    <w:rsid w:val="00963545"/>
    <w:rsid w:val="009635C0"/>
    <w:rsid w:val="009635DB"/>
    <w:rsid w:val="00963601"/>
    <w:rsid w:val="00963611"/>
    <w:rsid w:val="00963656"/>
    <w:rsid w:val="009636B0"/>
    <w:rsid w:val="009636E5"/>
    <w:rsid w:val="00963703"/>
    <w:rsid w:val="00963715"/>
    <w:rsid w:val="00963725"/>
    <w:rsid w:val="0096373C"/>
    <w:rsid w:val="009637D3"/>
    <w:rsid w:val="00963802"/>
    <w:rsid w:val="0096381B"/>
    <w:rsid w:val="00963874"/>
    <w:rsid w:val="0096388A"/>
    <w:rsid w:val="00963892"/>
    <w:rsid w:val="009638DA"/>
    <w:rsid w:val="00963913"/>
    <w:rsid w:val="009639A3"/>
    <w:rsid w:val="009639C4"/>
    <w:rsid w:val="009639C8"/>
    <w:rsid w:val="009639F6"/>
    <w:rsid w:val="00963A1D"/>
    <w:rsid w:val="00963A29"/>
    <w:rsid w:val="00963A3F"/>
    <w:rsid w:val="00963A4D"/>
    <w:rsid w:val="00963AAC"/>
    <w:rsid w:val="00963BCE"/>
    <w:rsid w:val="00963BF7"/>
    <w:rsid w:val="00963BFE"/>
    <w:rsid w:val="00963C37"/>
    <w:rsid w:val="00963C67"/>
    <w:rsid w:val="00963C9A"/>
    <w:rsid w:val="00963CCB"/>
    <w:rsid w:val="00963CD3"/>
    <w:rsid w:val="00963CF8"/>
    <w:rsid w:val="00963D21"/>
    <w:rsid w:val="00963D2D"/>
    <w:rsid w:val="00963D51"/>
    <w:rsid w:val="00963DA4"/>
    <w:rsid w:val="00963DAE"/>
    <w:rsid w:val="00963DE8"/>
    <w:rsid w:val="00963E02"/>
    <w:rsid w:val="00963E11"/>
    <w:rsid w:val="00963E17"/>
    <w:rsid w:val="00963E27"/>
    <w:rsid w:val="00963E2C"/>
    <w:rsid w:val="00963E86"/>
    <w:rsid w:val="00963F79"/>
    <w:rsid w:val="0096407C"/>
    <w:rsid w:val="009640B8"/>
    <w:rsid w:val="009640C5"/>
    <w:rsid w:val="009640F4"/>
    <w:rsid w:val="0096412A"/>
    <w:rsid w:val="0096412D"/>
    <w:rsid w:val="00964153"/>
    <w:rsid w:val="00964242"/>
    <w:rsid w:val="009642FD"/>
    <w:rsid w:val="00964388"/>
    <w:rsid w:val="009643AA"/>
    <w:rsid w:val="009643B0"/>
    <w:rsid w:val="009643C7"/>
    <w:rsid w:val="009644D5"/>
    <w:rsid w:val="009644F1"/>
    <w:rsid w:val="009645C5"/>
    <w:rsid w:val="009645E8"/>
    <w:rsid w:val="00964616"/>
    <w:rsid w:val="0096463F"/>
    <w:rsid w:val="00964667"/>
    <w:rsid w:val="00964680"/>
    <w:rsid w:val="009646BB"/>
    <w:rsid w:val="009646C9"/>
    <w:rsid w:val="00964706"/>
    <w:rsid w:val="00964729"/>
    <w:rsid w:val="0096479E"/>
    <w:rsid w:val="0096494F"/>
    <w:rsid w:val="00964960"/>
    <w:rsid w:val="00964A42"/>
    <w:rsid w:val="00964A5A"/>
    <w:rsid w:val="00964AC9"/>
    <w:rsid w:val="00964B16"/>
    <w:rsid w:val="00964B1B"/>
    <w:rsid w:val="00964B60"/>
    <w:rsid w:val="00964BF3"/>
    <w:rsid w:val="00964C18"/>
    <w:rsid w:val="00964CFA"/>
    <w:rsid w:val="00964D16"/>
    <w:rsid w:val="00964D21"/>
    <w:rsid w:val="00964D4C"/>
    <w:rsid w:val="00964E5B"/>
    <w:rsid w:val="00964EC5"/>
    <w:rsid w:val="00964EC6"/>
    <w:rsid w:val="00964F1F"/>
    <w:rsid w:val="00964F3F"/>
    <w:rsid w:val="00964F4E"/>
    <w:rsid w:val="00964F4F"/>
    <w:rsid w:val="00964F88"/>
    <w:rsid w:val="00964FCD"/>
    <w:rsid w:val="00964FDA"/>
    <w:rsid w:val="0096509F"/>
    <w:rsid w:val="009650DC"/>
    <w:rsid w:val="00965100"/>
    <w:rsid w:val="0096516A"/>
    <w:rsid w:val="0096516D"/>
    <w:rsid w:val="009651E0"/>
    <w:rsid w:val="0096529A"/>
    <w:rsid w:val="009652BC"/>
    <w:rsid w:val="00965325"/>
    <w:rsid w:val="0096537D"/>
    <w:rsid w:val="00965459"/>
    <w:rsid w:val="009654C9"/>
    <w:rsid w:val="009654EE"/>
    <w:rsid w:val="009654F9"/>
    <w:rsid w:val="00965559"/>
    <w:rsid w:val="009655C7"/>
    <w:rsid w:val="009655D2"/>
    <w:rsid w:val="00965612"/>
    <w:rsid w:val="00965613"/>
    <w:rsid w:val="0096562A"/>
    <w:rsid w:val="00965760"/>
    <w:rsid w:val="00965779"/>
    <w:rsid w:val="009657E8"/>
    <w:rsid w:val="00965812"/>
    <w:rsid w:val="0096581C"/>
    <w:rsid w:val="00965870"/>
    <w:rsid w:val="009658E3"/>
    <w:rsid w:val="00965929"/>
    <w:rsid w:val="00965954"/>
    <w:rsid w:val="00965955"/>
    <w:rsid w:val="00965998"/>
    <w:rsid w:val="009659C7"/>
    <w:rsid w:val="009659F6"/>
    <w:rsid w:val="00965A7B"/>
    <w:rsid w:val="00965A91"/>
    <w:rsid w:val="00965A9C"/>
    <w:rsid w:val="00965ABF"/>
    <w:rsid w:val="00965B54"/>
    <w:rsid w:val="00965B8E"/>
    <w:rsid w:val="00965B9E"/>
    <w:rsid w:val="00965BB0"/>
    <w:rsid w:val="00965D03"/>
    <w:rsid w:val="00965D4E"/>
    <w:rsid w:val="00965D83"/>
    <w:rsid w:val="00965DA0"/>
    <w:rsid w:val="00965E09"/>
    <w:rsid w:val="00965E86"/>
    <w:rsid w:val="00965F15"/>
    <w:rsid w:val="00965FF8"/>
    <w:rsid w:val="00966018"/>
    <w:rsid w:val="0096601C"/>
    <w:rsid w:val="009660DE"/>
    <w:rsid w:val="009660FB"/>
    <w:rsid w:val="00966182"/>
    <w:rsid w:val="0096621A"/>
    <w:rsid w:val="0096627C"/>
    <w:rsid w:val="009662BB"/>
    <w:rsid w:val="0096630C"/>
    <w:rsid w:val="0096633F"/>
    <w:rsid w:val="00966382"/>
    <w:rsid w:val="00966386"/>
    <w:rsid w:val="009663A9"/>
    <w:rsid w:val="009663D0"/>
    <w:rsid w:val="00966450"/>
    <w:rsid w:val="00966495"/>
    <w:rsid w:val="0096649D"/>
    <w:rsid w:val="009664D7"/>
    <w:rsid w:val="00966546"/>
    <w:rsid w:val="0096655E"/>
    <w:rsid w:val="00966566"/>
    <w:rsid w:val="009665B5"/>
    <w:rsid w:val="009665B7"/>
    <w:rsid w:val="009665C5"/>
    <w:rsid w:val="0096661B"/>
    <w:rsid w:val="00966641"/>
    <w:rsid w:val="00966647"/>
    <w:rsid w:val="009666B1"/>
    <w:rsid w:val="009666B5"/>
    <w:rsid w:val="00966714"/>
    <w:rsid w:val="009667ED"/>
    <w:rsid w:val="009667F3"/>
    <w:rsid w:val="0096683D"/>
    <w:rsid w:val="00966867"/>
    <w:rsid w:val="0096687E"/>
    <w:rsid w:val="009668A3"/>
    <w:rsid w:val="0096698F"/>
    <w:rsid w:val="009669A8"/>
    <w:rsid w:val="009669B2"/>
    <w:rsid w:val="009669FC"/>
    <w:rsid w:val="00966A30"/>
    <w:rsid w:val="00966A39"/>
    <w:rsid w:val="00966AA6"/>
    <w:rsid w:val="00966AB4"/>
    <w:rsid w:val="00966B8B"/>
    <w:rsid w:val="00966BC5"/>
    <w:rsid w:val="00966BF3"/>
    <w:rsid w:val="00966C07"/>
    <w:rsid w:val="00966C30"/>
    <w:rsid w:val="00966CEC"/>
    <w:rsid w:val="00966D50"/>
    <w:rsid w:val="00966D82"/>
    <w:rsid w:val="00966E79"/>
    <w:rsid w:val="00966E92"/>
    <w:rsid w:val="00966E97"/>
    <w:rsid w:val="00966EB1"/>
    <w:rsid w:val="00966EF8"/>
    <w:rsid w:val="00966F51"/>
    <w:rsid w:val="00966F5F"/>
    <w:rsid w:val="00966FDB"/>
    <w:rsid w:val="00966FF4"/>
    <w:rsid w:val="0096701A"/>
    <w:rsid w:val="00967039"/>
    <w:rsid w:val="0096706C"/>
    <w:rsid w:val="00967092"/>
    <w:rsid w:val="0096715A"/>
    <w:rsid w:val="0096719A"/>
    <w:rsid w:val="00967205"/>
    <w:rsid w:val="00967245"/>
    <w:rsid w:val="00967265"/>
    <w:rsid w:val="00967267"/>
    <w:rsid w:val="00967295"/>
    <w:rsid w:val="0096729C"/>
    <w:rsid w:val="009672BE"/>
    <w:rsid w:val="00967355"/>
    <w:rsid w:val="00967415"/>
    <w:rsid w:val="00967469"/>
    <w:rsid w:val="00967471"/>
    <w:rsid w:val="00967477"/>
    <w:rsid w:val="00967490"/>
    <w:rsid w:val="0096750B"/>
    <w:rsid w:val="00967540"/>
    <w:rsid w:val="009675D6"/>
    <w:rsid w:val="00967711"/>
    <w:rsid w:val="00967717"/>
    <w:rsid w:val="0096771C"/>
    <w:rsid w:val="0096779C"/>
    <w:rsid w:val="009677C9"/>
    <w:rsid w:val="00967842"/>
    <w:rsid w:val="009678B1"/>
    <w:rsid w:val="00967949"/>
    <w:rsid w:val="00967974"/>
    <w:rsid w:val="009679B3"/>
    <w:rsid w:val="00967A53"/>
    <w:rsid w:val="00967A58"/>
    <w:rsid w:val="00967A5E"/>
    <w:rsid w:val="00967AC6"/>
    <w:rsid w:val="00967B27"/>
    <w:rsid w:val="00967BAF"/>
    <w:rsid w:val="00967C66"/>
    <w:rsid w:val="00967C80"/>
    <w:rsid w:val="00967D47"/>
    <w:rsid w:val="00967E21"/>
    <w:rsid w:val="00967E2F"/>
    <w:rsid w:val="00967EA3"/>
    <w:rsid w:val="00967ECD"/>
    <w:rsid w:val="00967F2B"/>
    <w:rsid w:val="00970025"/>
    <w:rsid w:val="0097008D"/>
    <w:rsid w:val="0097009E"/>
    <w:rsid w:val="0097009F"/>
    <w:rsid w:val="009700A9"/>
    <w:rsid w:val="009700F0"/>
    <w:rsid w:val="00970143"/>
    <w:rsid w:val="00970157"/>
    <w:rsid w:val="00970175"/>
    <w:rsid w:val="009701E1"/>
    <w:rsid w:val="00970214"/>
    <w:rsid w:val="0097021D"/>
    <w:rsid w:val="00970240"/>
    <w:rsid w:val="009702CB"/>
    <w:rsid w:val="009702DF"/>
    <w:rsid w:val="009702F8"/>
    <w:rsid w:val="00970331"/>
    <w:rsid w:val="009703CB"/>
    <w:rsid w:val="00970433"/>
    <w:rsid w:val="00970442"/>
    <w:rsid w:val="009704DE"/>
    <w:rsid w:val="009704F6"/>
    <w:rsid w:val="0097054C"/>
    <w:rsid w:val="00970614"/>
    <w:rsid w:val="00970671"/>
    <w:rsid w:val="009706BF"/>
    <w:rsid w:val="009706D6"/>
    <w:rsid w:val="0097076D"/>
    <w:rsid w:val="00970770"/>
    <w:rsid w:val="00970787"/>
    <w:rsid w:val="00970794"/>
    <w:rsid w:val="00970796"/>
    <w:rsid w:val="009707C7"/>
    <w:rsid w:val="009707D9"/>
    <w:rsid w:val="00970825"/>
    <w:rsid w:val="0097083D"/>
    <w:rsid w:val="00970851"/>
    <w:rsid w:val="0097085A"/>
    <w:rsid w:val="009708DA"/>
    <w:rsid w:val="0097093F"/>
    <w:rsid w:val="00970968"/>
    <w:rsid w:val="00970980"/>
    <w:rsid w:val="00970A8F"/>
    <w:rsid w:val="00970B42"/>
    <w:rsid w:val="00970B5E"/>
    <w:rsid w:val="00970B9C"/>
    <w:rsid w:val="00970C12"/>
    <w:rsid w:val="00970C1F"/>
    <w:rsid w:val="00970C53"/>
    <w:rsid w:val="00970C87"/>
    <w:rsid w:val="00970D0C"/>
    <w:rsid w:val="00970D20"/>
    <w:rsid w:val="00970DFC"/>
    <w:rsid w:val="00970DFF"/>
    <w:rsid w:val="00970E10"/>
    <w:rsid w:val="00970E77"/>
    <w:rsid w:val="00970F24"/>
    <w:rsid w:val="00970F28"/>
    <w:rsid w:val="00970F7C"/>
    <w:rsid w:val="00970FD6"/>
    <w:rsid w:val="00970FF6"/>
    <w:rsid w:val="0097101C"/>
    <w:rsid w:val="009710AE"/>
    <w:rsid w:val="009710FF"/>
    <w:rsid w:val="00971103"/>
    <w:rsid w:val="00971164"/>
    <w:rsid w:val="009711E4"/>
    <w:rsid w:val="00971238"/>
    <w:rsid w:val="00971241"/>
    <w:rsid w:val="00971287"/>
    <w:rsid w:val="009712AA"/>
    <w:rsid w:val="00971350"/>
    <w:rsid w:val="00971369"/>
    <w:rsid w:val="009713D1"/>
    <w:rsid w:val="0097141A"/>
    <w:rsid w:val="00971420"/>
    <w:rsid w:val="00971492"/>
    <w:rsid w:val="00971496"/>
    <w:rsid w:val="009714A1"/>
    <w:rsid w:val="009714B9"/>
    <w:rsid w:val="00971537"/>
    <w:rsid w:val="0097165A"/>
    <w:rsid w:val="0097169A"/>
    <w:rsid w:val="009716AB"/>
    <w:rsid w:val="009716AD"/>
    <w:rsid w:val="009716B2"/>
    <w:rsid w:val="009716BA"/>
    <w:rsid w:val="009716D5"/>
    <w:rsid w:val="00971731"/>
    <w:rsid w:val="0097177E"/>
    <w:rsid w:val="009717A9"/>
    <w:rsid w:val="00971830"/>
    <w:rsid w:val="00971840"/>
    <w:rsid w:val="00971845"/>
    <w:rsid w:val="00971885"/>
    <w:rsid w:val="00971895"/>
    <w:rsid w:val="009718CA"/>
    <w:rsid w:val="009718D0"/>
    <w:rsid w:val="00971901"/>
    <w:rsid w:val="00971920"/>
    <w:rsid w:val="00971941"/>
    <w:rsid w:val="00971980"/>
    <w:rsid w:val="009719DF"/>
    <w:rsid w:val="00971A0B"/>
    <w:rsid w:val="00971A0E"/>
    <w:rsid w:val="00971AC1"/>
    <w:rsid w:val="00971AC3"/>
    <w:rsid w:val="00971ADB"/>
    <w:rsid w:val="00971ADE"/>
    <w:rsid w:val="00971B15"/>
    <w:rsid w:val="00971B7E"/>
    <w:rsid w:val="00971BB0"/>
    <w:rsid w:val="00971C22"/>
    <w:rsid w:val="00971C76"/>
    <w:rsid w:val="00971C86"/>
    <w:rsid w:val="00971C8C"/>
    <w:rsid w:val="00971CB2"/>
    <w:rsid w:val="00971CD5"/>
    <w:rsid w:val="00971CF7"/>
    <w:rsid w:val="00971D02"/>
    <w:rsid w:val="00971D71"/>
    <w:rsid w:val="00971D91"/>
    <w:rsid w:val="00971DF6"/>
    <w:rsid w:val="00971E05"/>
    <w:rsid w:val="00971E1D"/>
    <w:rsid w:val="00971E69"/>
    <w:rsid w:val="00971EE9"/>
    <w:rsid w:val="00971EEB"/>
    <w:rsid w:val="00971EF5"/>
    <w:rsid w:val="00971F0D"/>
    <w:rsid w:val="00971F1A"/>
    <w:rsid w:val="00971F60"/>
    <w:rsid w:val="00971F69"/>
    <w:rsid w:val="00971F71"/>
    <w:rsid w:val="00971F7C"/>
    <w:rsid w:val="00971F88"/>
    <w:rsid w:val="00971F97"/>
    <w:rsid w:val="00971FE0"/>
    <w:rsid w:val="0097212F"/>
    <w:rsid w:val="009721EF"/>
    <w:rsid w:val="00972205"/>
    <w:rsid w:val="00972210"/>
    <w:rsid w:val="0097221B"/>
    <w:rsid w:val="00972385"/>
    <w:rsid w:val="0097238E"/>
    <w:rsid w:val="009723B7"/>
    <w:rsid w:val="009723F2"/>
    <w:rsid w:val="0097243F"/>
    <w:rsid w:val="00972528"/>
    <w:rsid w:val="0097253C"/>
    <w:rsid w:val="00972569"/>
    <w:rsid w:val="00972585"/>
    <w:rsid w:val="00972595"/>
    <w:rsid w:val="009725A2"/>
    <w:rsid w:val="009725D9"/>
    <w:rsid w:val="00972631"/>
    <w:rsid w:val="00972668"/>
    <w:rsid w:val="00972703"/>
    <w:rsid w:val="0097276F"/>
    <w:rsid w:val="0097277A"/>
    <w:rsid w:val="009727D3"/>
    <w:rsid w:val="009728ED"/>
    <w:rsid w:val="00972900"/>
    <w:rsid w:val="00972921"/>
    <w:rsid w:val="00972983"/>
    <w:rsid w:val="00972996"/>
    <w:rsid w:val="0097299B"/>
    <w:rsid w:val="009729EB"/>
    <w:rsid w:val="009729EC"/>
    <w:rsid w:val="00972A14"/>
    <w:rsid w:val="00972A28"/>
    <w:rsid w:val="00972A69"/>
    <w:rsid w:val="00972B51"/>
    <w:rsid w:val="00972B5C"/>
    <w:rsid w:val="00972B60"/>
    <w:rsid w:val="00972B7E"/>
    <w:rsid w:val="00972BCD"/>
    <w:rsid w:val="00972BF6"/>
    <w:rsid w:val="00972C2E"/>
    <w:rsid w:val="00972C3E"/>
    <w:rsid w:val="00972C73"/>
    <w:rsid w:val="00972CA8"/>
    <w:rsid w:val="00972CCB"/>
    <w:rsid w:val="00972CCE"/>
    <w:rsid w:val="00972CF6"/>
    <w:rsid w:val="00972CFC"/>
    <w:rsid w:val="00972D28"/>
    <w:rsid w:val="00972D5D"/>
    <w:rsid w:val="00972DAF"/>
    <w:rsid w:val="00972DB6"/>
    <w:rsid w:val="00972E18"/>
    <w:rsid w:val="00972E24"/>
    <w:rsid w:val="00972E54"/>
    <w:rsid w:val="00972E6C"/>
    <w:rsid w:val="00972E7A"/>
    <w:rsid w:val="00972F0A"/>
    <w:rsid w:val="00972F33"/>
    <w:rsid w:val="00972F38"/>
    <w:rsid w:val="00972F65"/>
    <w:rsid w:val="00972F6B"/>
    <w:rsid w:val="00972F92"/>
    <w:rsid w:val="00972FD6"/>
    <w:rsid w:val="00973086"/>
    <w:rsid w:val="009730E0"/>
    <w:rsid w:val="00973110"/>
    <w:rsid w:val="009731BB"/>
    <w:rsid w:val="009731C7"/>
    <w:rsid w:val="00973204"/>
    <w:rsid w:val="00973208"/>
    <w:rsid w:val="0097321C"/>
    <w:rsid w:val="00973292"/>
    <w:rsid w:val="009732BC"/>
    <w:rsid w:val="00973301"/>
    <w:rsid w:val="00973346"/>
    <w:rsid w:val="00973356"/>
    <w:rsid w:val="009733CE"/>
    <w:rsid w:val="009734E1"/>
    <w:rsid w:val="00973546"/>
    <w:rsid w:val="009735B5"/>
    <w:rsid w:val="009735BA"/>
    <w:rsid w:val="009735E3"/>
    <w:rsid w:val="009735F0"/>
    <w:rsid w:val="00973605"/>
    <w:rsid w:val="0097360D"/>
    <w:rsid w:val="00973617"/>
    <w:rsid w:val="00973654"/>
    <w:rsid w:val="0097377A"/>
    <w:rsid w:val="009737A2"/>
    <w:rsid w:val="009737AA"/>
    <w:rsid w:val="009737FE"/>
    <w:rsid w:val="0097380B"/>
    <w:rsid w:val="00973827"/>
    <w:rsid w:val="009738D3"/>
    <w:rsid w:val="009738D9"/>
    <w:rsid w:val="009738DD"/>
    <w:rsid w:val="009738EB"/>
    <w:rsid w:val="0097396F"/>
    <w:rsid w:val="00973ACF"/>
    <w:rsid w:val="00973B5B"/>
    <w:rsid w:val="00973B6E"/>
    <w:rsid w:val="00973BC3"/>
    <w:rsid w:val="00973BDF"/>
    <w:rsid w:val="00973C13"/>
    <w:rsid w:val="00973C96"/>
    <w:rsid w:val="00973CED"/>
    <w:rsid w:val="00973CF2"/>
    <w:rsid w:val="00973D12"/>
    <w:rsid w:val="00973D76"/>
    <w:rsid w:val="00973D88"/>
    <w:rsid w:val="00973DBD"/>
    <w:rsid w:val="00973E51"/>
    <w:rsid w:val="00973E91"/>
    <w:rsid w:val="00973EF3"/>
    <w:rsid w:val="00973F0C"/>
    <w:rsid w:val="00973F57"/>
    <w:rsid w:val="00973F90"/>
    <w:rsid w:val="00973F95"/>
    <w:rsid w:val="00973FBE"/>
    <w:rsid w:val="00974100"/>
    <w:rsid w:val="00974127"/>
    <w:rsid w:val="00974146"/>
    <w:rsid w:val="0097415A"/>
    <w:rsid w:val="0097422A"/>
    <w:rsid w:val="0097428F"/>
    <w:rsid w:val="00974396"/>
    <w:rsid w:val="00974408"/>
    <w:rsid w:val="0097440C"/>
    <w:rsid w:val="0097442E"/>
    <w:rsid w:val="0097444E"/>
    <w:rsid w:val="0097448B"/>
    <w:rsid w:val="009744C3"/>
    <w:rsid w:val="0097450C"/>
    <w:rsid w:val="00974516"/>
    <w:rsid w:val="0097456B"/>
    <w:rsid w:val="00974572"/>
    <w:rsid w:val="0097457F"/>
    <w:rsid w:val="00974591"/>
    <w:rsid w:val="00974597"/>
    <w:rsid w:val="009745A2"/>
    <w:rsid w:val="009745F5"/>
    <w:rsid w:val="00974677"/>
    <w:rsid w:val="0097469E"/>
    <w:rsid w:val="009746B2"/>
    <w:rsid w:val="00974716"/>
    <w:rsid w:val="00974721"/>
    <w:rsid w:val="00974743"/>
    <w:rsid w:val="009747B0"/>
    <w:rsid w:val="00974815"/>
    <w:rsid w:val="00974885"/>
    <w:rsid w:val="009748A3"/>
    <w:rsid w:val="009748B2"/>
    <w:rsid w:val="009748B4"/>
    <w:rsid w:val="009748D4"/>
    <w:rsid w:val="00974920"/>
    <w:rsid w:val="00974947"/>
    <w:rsid w:val="0097495F"/>
    <w:rsid w:val="00974976"/>
    <w:rsid w:val="00974985"/>
    <w:rsid w:val="0097499A"/>
    <w:rsid w:val="009749B7"/>
    <w:rsid w:val="00974A11"/>
    <w:rsid w:val="00974A1A"/>
    <w:rsid w:val="00974AE3"/>
    <w:rsid w:val="00974B00"/>
    <w:rsid w:val="00974B3D"/>
    <w:rsid w:val="00974B46"/>
    <w:rsid w:val="00974B91"/>
    <w:rsid w:val="00974BE0"/>
    <w:rsid w:val="00974BF0"/>
    <w:rsid w:val="00974C7F"/>
    <w:rsid w:val="00974CBA"/>
    <w:rsid w:val="00974CF5"/>
    <w:rsid w:val="00974D2B"/>
    <w:rsid w:val="00974D5D"/>
    <w:rsid w:val="00974D63"/>
    <w:rsid w:val="00974DE7"/>
    <w:rsid w:val="00974E6A"/>
    <w:rsid w:val="00974F20"/>
    <w:rsid w:val="00974F26"/>
    <w:rsid w:val="00974F45"/>
    <w:rsid w:val="00974F6D"/>
    <w:rsid w:val="00975044"/>
    <w:rsid w:val="00975080"/>
    <w:rsid w:val="0097509E"/>
    <w:rsid w:val="009750F9"/>
    <w:rsid w:val="00975104"/>
    <w:rsid w:val="0097519E"/>
    <w:rsid w:val="0097529C"/>
    <w:rsid w:val="009752A6"/>
    <w:rsid w:val="009752AF"/>
    <w:rsid w:val="009752B5"/>
    <w:rsid w:val="009752EF"/>
    <w:rsid w:val="00975326"/>
    <w:rsid w:val="00975332"/>
    <w:rsid w:val="009753C8"/>
    <w:rsid w:val="0097542A"/>
    <w:rsid w:val="0097543F"/>
    <w:rsid w:val="00975490"/>
    <w:rsid w:val="00975499"/>
    <w:rsid w:val="009754B8"/>
    <w:rsid w:val="009754BA"/>
    <w:rsid w:val="009754E2"/>
    <w:rsid w:val="00975558"/>
    <w:rsid w:val="00975572"/>
    <w:rsid w:val="00975573"/>
    <w:rsid w:val="009755C8"/>
    <w:rsid w:val="0097562D"/>
    <w:rsid w:val="00975640"/>
    <w:rsid w:val="00975686"/>
    <w:rsid w:val="009756A0"/>
    <w:rsid w:val="009756D0"/>
    <w:rsid w:val="00975736"/>
    <w:rsid w:val="00975765"/>
    <w:rsid w:val="009757D5"/>
    <w:rsid w:val="009757E8"/>
    <w:rsid w:val="009757F2"/>
    <w:rsid w:val="00975821"/>
    <w:rsid w:val="00975970"/>
    <w:rsid w:val="009759B6"/>
    <w:rsid w:val="00975A4D"/>
    <w:rsid w:val="00975A61"/>
    <w:rsid w:val="00975A98"/>
    <w:rsid w:val="00975A99"/>
    <w:rsid w:val="00975AB9"/>
    <w:rsid w:val="00975AD5"/>
    <w:rsid w:val="00975B44"/>
    <w:rsid w:val="00975B65"/>
    <w:rsid w:val="00975B76"/>
    <w:rsid w:val="00975C00"/>
    <w:rsid w:val="00975C23"/>
    <w:rsid w:val="00975C29"/>
    <w:rsid w:val="00975C2C"/>
    <w:rsid w:val="00975C31"/>
    <w:rsid w:val="00975C43"/>
    <w:rsid w:val="00975C4A"/>
    <w:rsid w:val="00975C5E"/>
    <w:rsid w:val="00975C72"/>
    <w:rsid w:val="00975CB3"/>
    <w:rsid w:val="00975CB8"/>
    <w:rsid w:val="00975CCE"/>
    <w:rsid w:val="00975D3F"/>
    <w:rsid w:val="00975D82"/>
    <w:rsid w:val="00975E02"/>
    <w:rsid w:val="00975E43"/>
    <w:rsid w:val="00975EB2"/>
    <w:rsid w:val="00975ED5"/>
    <w:rsid w:val="00975EEF"/>
    <w:rsid w:val="00975FE5"/>
    <w:rsid w:val="00975FE6"/>
    <w:rsid w:val="00975FE8"/>
    <w:rsid w:val="00975FEC"/>
    <w:rsid w:val="0097605F"/>
    <w:rsid w:val="009761B0"/>
    <w:rsid w:val="009761CE"/>
    <w:rsid w:val="00976244"/>
    <w:rsid w:val="00976257"/>
    <w:rsid w:val="0097627F"/>
    <w:rsid w:val="00976282"/>
    <w:rsid w:val="009762AC"/>
    <w:rsid w:val="00976300"/>
    <w:rsid w:val="00976336"/>
    <w:rsid w:val="009763BD"/>
    <w:rsid w:val="009763D8"/>
    <w:rsid w:val="00976414"/>
    <w:rsid w:val="0097648D"/>
    <w:rsid w:val="00976500"/>
    <w:rsid w:val="00976566"/>
    <w:rsid w:val="0097656E"/>
    <w:rsid w:val="009765B8"/>
    <w:rsid w:val="009765C8"/>
    <w:rsid w:val="009765CD"/>
    <w:rsid w:val="009765F6"/>
    <w:rsid w:val="00976605"/>
    <w:rsid w:val="00976660"/>
    <w:rsid w:val="00976665"/>
    <w:rsid w:val="00976670"/>
    <w:rsid w:val="0097669B"/>
    <w:rsid w:val="0097669E"/>
    <w:rsid w:val="009766C4"/>
    <w:rsid w:val="009766D7"/>
    <w:rsid w:val="009766E3"/>
    <w:rsid w:val="00976703"/>
    <w:rsid w:val="00976709"/>
    <w:rsid w:val="00976726"/>
    <w:rsid w:val="0097677F"/>
    <w:rsid w:val="0097678F"/>
    <w:rsid w:val="0097679A"/>
    <w:rsid w:val="00976822"/>
    <w:rsid w:val="00976857"/>
    <w:rsid w:val="009768A4"/>
    <w:rsid w:val="00976912"/>
    <w:rsid w:val="0097695F"/>
    <w:rsid w:val="0097696C"/>
    <w:rsid w:val="0097699C"/>
    <w:rsid w:val="009769BD"/>
    <w:rsid w:val="009769F0"/>
    <w:rsid w:val="00976A01"/>
    <w:rsid w:val="00976A17"/>
    <w:rsid w:val="00976A48"/>
    <w:rsid w:val="00976B09"/>
    <w:rsid w:val="00976B60"/>
    <w:rsid w:val="00976B65"/>
    <w:rsid w:val="00976B79"/>
    <w:rsid w:val="00976BF0"/>
    <w:rsid w:val="00976BF3"/>
    <w:rsid w:val="00976C54"/>
    <w:rsid w:val="00976D73"/>
    <w:rsid w:val="00976DB1"/>
    <w:rsid w:val="00976E04"/>
    <w:rsid w:val="00976E42"/>
    <w:rsid w:val="00976E88"/>
    <w:rsid w:val="00976E94"/>
    <w:rsid w:val="00976EE2"/>
    <w:rsid w:val="00976EF4"/>
    <w:rsid w:val="0097708E"/>
    <w:rsid w:val="00977170"/>
    <w:rsid w:val="009771B6"/>
    <w:rsid w:val="009771D1"/>
    <w:rsid w:val="009771E0"/>
    <w:rsid w:val="00977398"/>
    <w:rsid w:val="0097739C"/>
    <w:rsid w:val="009773E9"/>
    <w:rsid w:val="0097741D"/>
    <w:rsid w:val="00977423"/>
    <w:rsid w:val="00977428"/>
    <w:rsid w:val="00977436"/>
    <w:rsid w:val="00977442"/>
    <w:rsid w:val="00977486"/>
    <w:rsid w:val="00977497"/>
    <w:rsid w:val="009774EA"/>
    <w:rsid w:val="00977553"/>
    <w:rsid w:val="00977587"/>
    <w:rsid w:val="00977599"/>
    <w:rsid w:val="009775FC"/>
    <w:rsid w:val="00977671"/>
    <w:rsid w:val="00977683"/>
    <w:rsid w:val="009776AB"/>
    <w:rsid w:val="009776B1"/>
    <w:rsid w:val="009778C1"/>
    <w:rsid w:val="009778D3"/>
    <w:rsid w:val="009778EB"/>
    <w:rsid w:val="0097790F"/>
    <w:rsid w:val="00977932"/>
    <w:rsid w:val="009779B1"/>
    <w:rsid w:val="009779B4"/>
    <w:rsid w:val="009779C2"/>
    <w:rsid w:val="00977A0A"/>
    <w:rsid w:val="00977B1B"/>
    <w:rsid w:val="00977B78"/>
    <w:rsid w:val="00977B93"/>
    <w:rsid w:val="00977B9F"/>
    <w:rsid w:val="00977BA1"/>
    <w:rsid w:val="00977BCC"/>
    <w:rsid w:val="00977BDF"/>
    <w:rsid w:val="00977BE9"/>
    <w:rsid w:val="00977C96"/>
    <w:rsid w:val="00977CDB"/>
    <w:rsid w:val="00977CEE"/>
    <w:rsid w:val="00977D0E"/>
    <w:rsid w:val="00977D55"/>
    <w:rsid w:val="00977D69"/>
    <w:rsid w:val="00977D9D"/>
    <w:rsid w:val="00977DB2"/>
    <w:rsid w:val="00977E04"/>
    <w:rsid w:val="00977E55"/>
    <w:rsid w:val="00977E6C"/>
    <w:rsid w:val="00977F21"/>
    <w:rsid w:val="00977F56"/>
    <w:rsid w:val="00980072"/>
    <w:rsid w:val="009800B6"/>
    <w:rsid w:val="00980110"/>
    <w:rsid w:val="0098011F"/>
    <w:rsid w:val="00980136"/>
    <w:rsid w:val="0098013D"/>
    <w:rsid w:val="009801A8"/>
    <w:rsid w:val="00980214"/>
    <w:rsid w:val="0098027E"/>
    <w:rsid w:val="009802CA"/>
    <w:rsid w:val="00980300"/>
    <w:rsid w:val="0098041A"/>
    <w:rsid w:val="00980496"/>
    <w:rsid w:val="009804ED"/>
    <w:rsid w:val="00980524"/>
    <w:rsid w:val="00980579"/>
    <w:rsid w:val="0098057F"/>
    <w:rsid w:val="00980593"/>
    <w:rsid w:val="00980598"/>
    <w:rsid w:val="0098061F"/>
    <w:rsid w:val="0098062D"/>
    <w:rsid w:val="00980634"/>
    <w:rsid w:val="00980642"/>
    <w:rsid w:val="0098064F"/>
    <w:rsid w:val="0098069D"/>
    <w:rsid w:val="009806D4"/>
    <w:rsid w:val="009806D6"/>
    <w:rsid w:val="0098071B"/>
    <w:rsid w:val="009807B7"/>
    <w:rsid w:val="009807CB"/>
    <w:rsid w:val="009807D2"/>
    <w:rsid w:val="009807F2"/>
    <w:rsid w:val="00980835"/>
    <w:rsid w:val="0098087C"/>
    <w:rsid w:val="0098087E"/>
    <w:rsid w:val="009808A8"/>
    <w:rsid w:val="00980920"/>
    <w:rsid w:val="00980A1E"/>
    <w:rsid w:val="00980ABB"/>
    <w:rsid w:val="00980AD8"/>
    <w:rsid w:val="00980AE5"/>
    <w:rsid w:val="00980B97"/>
    <w:rsid w:val="00980BCC"/>
    <w:rsid w:val="00980C07"/>
    <w:rsid w:val="00980C37"/>
    <w:rsid w:val="00980C46"/>
    <w:rsid w:val="00980CAA"/>
    <w:rsid w:val="00980CEB"/>
    <w:rsid w:val="00980D63"/>
    <w:rsid w:val="00980D66"/>
    <w:rsid w:val="00980D76"/>
    <w:rsid w:val="00980D77"/>
    <w:rsid w:val="00980D7B"/>
    <w:rsid w:val="00980DFC"/>
    <w:rsid w:val="00980E73"/>
    <w:rsid w:val="00980ED4"/>
    <w:rsid w:val="00980F8B"/>
    <w:rsid w:val="00980FC4"/>
    <w:rsid w:val="0098104E"/>
    <w:rsid w:val="009810CF"/>
    <w:rsid w:val="009810FE"/>
    <w:rsid w:val="00981113"/>
    <w:rsid w:val="00981118"/>
    <w:rsid w:val="00981148"/>
    <w:rsid w:val="00981181"/>
    <w:rsid w:val="009811A9"/>
    <w:rsid w:val="009811B6"/>
    <w:rsid w:val="009811E1"/>
    <w:rsid w:val="00981224"/>
    <w:rsid w:val="00981234"/>
    <w:rsid w:val="0098126E"/>
    <w:rsid w:val="009812DE"/>
    <w:rsid w:val="00981375"/>
    <w:rsid w:val="009813A8"/>
    <w:rsid w:val="0098142B"/>
    <w:rsid w:val="009814F0"/>
    <w:rsid w:val="009814F8"/>
    <w:rsid w:val="00981535"/>
    <w:rsid w:val="0098153D"/>
    <w:rsid w:val="00981590"/>
    <w:rsid w:val="009815BC"/>
    <w:rsid w:val="009815C7"/>
    <w:rsid w:val="0098163E"/>
    <w:rsid w:val="0098174B"/>
    <w:rsid w:val="0098174C"/>
    <w:rsid w:val="00981758"/>
    <w:rsid w:val="009817B3"/>
    <w:rsid w:val="009817EC"/>
    <w:rsid w:val="009817ED"/>
    <w:rsid w:val="00981878"/>
    <w:rsid w:val="00981880"/>
    <w:rsid w:val="00981887"/>
    <w:rsid w:val="009818C8"/>
    <w:rsid w:val="00981902"/>
    <w:rsid w:val="00981958"/>
    <w:rsid w:val="00981975"/>
    <w:rsid w:val="00981988"/>
    <w:rsid w:val="009819A1"/>
    <w:rsid w:val="009819F6"/>
    <w:rsid w:val="00981A1F"/>
    <w:rsid w:val="00981A26"/>
    <w:rsid w:val="00981A2E"/>
    <w:rsid w:val="00981A30"/>
    <w:rsid w:val="00981AEA"/>
    <w:rsid w:val="00981B67"/>
    <w:rsid w:val="00981BE1"/>
    <w:rsid w:val="00981C06"/>
    <w:rsid w:val="00981C0A"/>
    <w:rsid w:val="00981C13"/>
    <w:rsid w:val="00981C5E"/>
    <w:rsid w:val="00981C96"/>
    <w:rsid w:val="00981D58"/>
    <w:rsid w:val="00981D9C"/>
    <w:rsid w:val="00981E43"/>
    <w:rsid w:val="00981E6E"/>
    <w:rsid w:val="00981E9A"/>
    <w:rsid w:val="00981EA1"/>
    <w:rsid w:val="00981EC7"/>
    <w:rsid w:val="00981F4C"/>
    <w:rsid w:val="00981F56"/>
    <w:rsid w:val="00981F7E"/>
    <w:rsid w:val="00981F8A"/>
    <w:rsid w:val="00981F8E"/>
    <w:rsid w:val="00981FE9"/>
    <w:rsid w:val="0098203D"/>
    <w:rsid w:val="00982045"/>
    <w:rsid w:val="0098204A"/>
    <w:rsid w:val="00982073"/>
    <w:rsid w:val="009820C8"/>
    <w:rsid w:val="009820E4"/>
    <w:rsid w:val="009820E7"/>
    <w:rsid w:val="00982140"/>
    <w:rsid w:val="00982144"/>
    <w:rsid w:val="0098214B"/>
    <w:rsid w:val="00982156"/>
    <w:rsid w:val="0098216F"/>
    <w:rsid w:val="00982179"/>
    <w:rsid w:val="0098218F"/>
    <w:rsid w:val="009821B9"/>
    <w:rsid w:val="009821E7"/>
    <w:rsid w:val="00982247"/>
    <w:rsid w:val="009822BD"/>
    <w:rsid w:val="009822F1"/>
    <w:rsid w:val="00982309"/>
    <w:rsid w:val="00982349"/>
    <w:rsid w:val="009823C7"/>
    <w:rsid w:val="009823D4"/>
    <w:rsid w:val="009824C9"/>
    <w:rsid w:val="009824F5"/>
    <w:rsid w:val="0098253E"/>
    <w:rsid w:val="00982542"/>
    <w:rsid w:val="00982581"/>
    <w:rsid w:val="009825BD"/>
    <w:rsid w:val="0098261C"/>
    <w:rsid w:val="009826A7"/>
    <w:rsid w:val="009826C3"/>
    <w:rsid w:val="009826E3"/>
    <w:rsid w:val="009827E2"/>
    <w:rsid w:val="00982832"/>
    <w:rsid w:val="0098295E"/>
    <w:rsid w:val="00982A33"/>
    <w:rsid w:val="00982A51"/>
    <w:rsid w:val="00982AB8"/>
    <w:rsid w:val="00982AC4"/>
    <w:rsid w:val="00982AC5"/>
    <w:rsid w:val="00982B81"/>
    <w:rsid w:val="00982BD0"/>
    <w:rsid w:val="00982BEF"/>
    <w:rsid w:val="00982C0D"/>
    <w:rsid w:val="00982C11"/>
    <w:rsid w:val="00982C46"/>
    <w:rsid w:val="00982C75"/>
    <w:rsid w:val="00982CD3"/>
    <w:rsid w:val="00982CDF"/>
    <w:rsid w:val="00982D18"/>
    <w:rsid w:val="00982D89"/>
    <w:rsid w:val="00982DBA"/>
    <w:rsid w:val="00982DE5"/>
    <w:rsid w:val="00982EAA"/>
    <w:rsid w:val="00982F69"/>
    <w:rsid w:val="00982F8A"/>
    <w:rsid w:val="00982FDC"/>
    <w:rsid w:val="00982FED"/>
    <w:rsid w:val="0098300C"/>
    <w:rsid w:val="00983053"/>
    <w:rsid w:val="009830E1"/>
    <w:rsid w:val="009830EF"/>
    <w:rsid w:val="00983114"/>
    <w:rsid w:val="0098311E"/>
    <w:rsid w:val="0098314A"/>
    <w:rsid w:val="0098317D"/>
    <w:rsid w:val="0098321B"/>
    <w:rsid w:val="00983267"/>
    <w:rsid w:val="00983280"/>
    <w:rsid w:val="009832BC"/>
    <w:rsid w:val="009832C6"/>
    <w:rsid w:val="00983316"/>
    <w:rsid w:val="00983368"/>
    <w:rsid w:val="009833B4"/>
    <w:rsid w:val="009833CE"/>
    <w:rsid w:val="009833F7"/>
    <w:rsid w:val="00983405"/>
    <w:rsid w:val="009834CC"/>
    <w:rsid w:val="0098356C"/>
    <w:rsid w:val="0098360D"/>
    <w:rsid w:val="00983651"/>
    <w:rsid w:val="009836BC"/>
    <w:rsid w:val="009836C4"/>
    <w:rsid w:val="00983733"/>
    <w:rsid w:val="00983751"/>
    <w:rsid w:val="0098376E"/>
    <w:rsid w:val="00983843"/>
    <w:rsid w:val="00983849"/>
    <w:rsid w:val="00983889"/>
    <w:rsid w:val="00983A3F"/>
    <w:rsid w:val="00983A47"/>
    <w:rsid w:val="00983AAA"/>
    <w:rsid w:val="00983ACB"/>
    <w:rsid w:val="00983B07"/>
    <w:rsid w:val="00983B15"/>
    <w:rsid w:val="00983B27"/>
    <w:rsid w:val="00983B64"/>
    <w:rsid w:val="00983B6B"/>
    <w:rsid w:val="00983C1A"/>
    <w:rsid w:val="00983CA7"/>
    <w:rsid w:val="00983CFD"/>
    <w:rsid w:val="00983D0C"/>
    <w:rsid w:val="00983D52"/>
    <w:rsid w:val="00983D6F"/>
    <w:rsid w:val="00983DD8"/>
    <w:rsid w:val="00983E1F"/>
    <w:rsid w:val="00983E3D"/>
    <w:rsid w:val="00983EA0"/>
    <w:rsid w:val="00983EB9"/>
    <w:rsid w:val="00983F22"/>
    <w:rsid w:val="00983F53"/>
    <w:rsid w:val="00983F5D"/>
    <w:rsid w:val="00983F7E"/>
    <w:rsid w:val="00984033"/>
    <w:rsid w:val="009840EA"/>
    <w:rsid w:val="00984189"/>
    <w:rsid w:val="009841EC"/>
    <w:rsid w:val="00984204"/>
    <w:rsid w:val="00984213"/>
    <w:rsid w:val="0098424D"/>
    <w:rsid w:val="00984273"/>
    <w:rsid w:val="009842AF"/>
    <w:rsid w:val="0098434F"/>
    <w:rsid w:val="0098438C"/>
    <w:rsid w:val="0098439F"/>
    <w:rsid w:val="009843F3"/>
    <w:rsid w:val="00984407"/>
    <w:rsid w:val="009844F7"/>
    <w:rsid w:val="00984551"/>
    <w:rsid w:val="00984589"/>
    <w:rsid w:val="00984591"/>
    <w:rsid w:val="009845C4"/>
    <w:rsid w:val="00984627"/>
    <w:rsid w:val="00984635"/>
    <w:rsid w:val="0098469E"/>
    <w:rsid w:val="009846B5"/>
    <w:rsid w:val="00984702"/>
    <w:rsid w:val="00984706"/>
    <w:rsid w:val="0098472C"/>
    <w:rsid w:val="00984733"/>
    <w:rsid w:val="00984766"/>
    <w:rsid w:val="00984792"/>
    <w:rsid w:val="009847B2"/>
    <w:rsid w:val="009847E9"/>
    <w:rsid w:val="009847EF"/>
    <w:rsid w:val="009847FA"/>
    <w:rsid w:val="00984842"/>
    <w:rsid w:val="0098484C"/>
    <w:rsid w:val="00984850"/>
    <w:rsid w:val="009848B0"/>
    <w:rsid w:val="0098490C"/>
    <w:rsid w:val="0098492B"/>
    <w:rsid w:val="0098494E"/>
    <w:rsid w:val="00984977"/>
    <w:rsid w:val="00984982"/>
    <w:rsid w:val="0098498A"/>
    <w:rsid w:val="00984994"/>
    <w:rsid w:val="00984ADB"/>
    <w:rsid w:val="00984AE3"/>
    <w:rsid w:val="00984B1D"/>
    <w:rsid w:val="00984B30"/>
    <w:rsid w:val="00984B4E"/>
    <w:rsid w:val="00984B58"/>
    <w:rsid w:val="00984B9E"/>
    <w:rsid w:val="00984C34"/>
    <w:rsid w:val="00984CA9"/>
    <w:rsid w:val="00984CC9"/>
    <w:rsid w:val="00984DAF"/>
    <w:rsid w:val="00984DD9"/>
    <w:rsid w:val="00984E09"/>
    <w:rsid w:val="00984EEF"/>
    <w:rsid w:val="00984F12"/>
    <w:rsid w:val="00984F87"/>
    <w:rsid w:val="00984FAA"/>
    <w:rsid w:val="00985027"/>
    <w:rsid w:val="0098503B"/>
    <w:rsid w:val="00985058"/>
    <w:rsid w:val="00985095"/>
    <w:rsid w:val="0098509D"/>
    <w:rsid w:val="009850DB"/>
    <w:rsid w:val="009850F0"/>
    <w:rsid w:val="0098510F"/>
    <w:rsid w:val="00985136"/>
    <w:rsid w:val="00985174"/>
    <w:rsid w:val="00985192"/>
    <w:rsid w:val="009851BD"/>
    <w:rsid w:val="00985256"/>
    <w:rsid w:val="00985277"/>
    <w:rsid w:val="00985327"/>
    <w:rsid w:val="0098535B"/>
    <w:rsid w:val="00985395"/>
    <w:rsid w:val="009853B3"/>
    <w:rsid w:val="00985452"/>
    <w:rsid w:val="009854D4"/>
    <w:rsid w:val="00985568"/>
    <w:rsid w:val="009855BB"/>
    <w:rsid w:val="00985643"/>
    <w:rsid w:val="00985681"/>
    <w:rsid w:val="0098573E"/>
    <w:rsid w:val="00985788"/>
    <w:rsid w:val="009857DF"/>
    <w:rsid w:val="00985805"/>
    <w:rsid w:val="00985819"/>
    <w:rsid w:val="00985833"/>
    <w:rsid w:val="009858AA"/>
    <w:rsid w:val="00985917"/>
    <w:rsid w:val="0098592E"/>
    <w:rsid w:val="00985967"/>
    <w:rsid w:val="0098597C"/>
    <w:rsid w:val="00985A04"/>
    <w:rsid w:val="00985A1A"/>
    <w:rsid w:val="00985A77"/>
    <w:rsid w:val="00985A7F"/>
    <w:rsid w:val="00985AA9"/>
    <w:rsid w:val="00985AB6"/>
    <w:rsid w:val="00985ABA"/>
    <w:rsid w:val="00985AF3"/>
    <w:rsid w:val="00985B67"/>
    <w:rsid w:val="00985C19"/>
    <w:rsid w:val="00985C32"/>
    <w:rsid w:val="00985D02"/>
    <w:rsid w:val="00985D0D"/>
    <w:rsid w:val="00985D77"/>
    <w:rsid w:val="00985D88"/>
    <w:rsid w:val="00985DDF"/>
    <w:rsid w:val="00985DED"/>
    <w:rsid w:val="00985DF2"/>
    <w:rsid w:val="00985E07"/>
    <w:rsid w:val="00985E14"/>
    <w:rsid w:val="00985E1F"/>
    <w:rsid w:val="00985F44"/>
    <w:rsid w:val="00985F5F"/>
    <w:rsid w:val="00985FAA"/>
    <w:rsid w:val="00985FB3"/>
    <w:rsid w:val="00985FC3"/>
    <w:rsid w:val="00985FC8"/>
    <w:rsid w:val="0098602F"/>
    <w:rsid w:val="009860A3"/>
    <w:rsid w:val="0098611E"/>
    <w:rsid w:val="0098611F"/>
    <w:rsid w:val="00986182"/>
    <w:rsid w:val="009861A7"/>
    <w:rsid w:val="0098629C"/>
    <w:rsid w:val="009862DD"/>
    <w:rsid w:val="009862F0"/>
    <w:rsid w:val="00986323"/>
    <w:rsid w:val="0098632B"/>
    <w:rsid w:val="009863B2"/>
    <w:rsid w:val="009863FF"/>
    <w:rsid w:val="0098644C"/>
    <w:rsid w:val="0098645C"/>
    <w:rsid w:val="00986517"/>
    <w:rsid w:val="0098656F"/>
    <w:rsid w:val="0098659D"/>
    <w:rsid w:val="009865BD"/>
    <w:rsid w:val="00986604"/>
    <w:rsid w:val="00986605"/>
    <w:rsid w:val="0098661B"/>
    <w:rsid w:val="00986622"/>
    <w:rsid w:val="00986677"/>
    <w:rsid w:val="00986694"/>
    <w:rsid w:val="009866CD"/>
    <w:rsid w:val="00986787"/>
    <w:rsid w:val="0098687D"/>
    <w:rsid w:val="009868F9"/>
    <w:rsid w:val="009869CF"/>
    <w:rsid w:val="009869FA"/>
    <w:rsid w:val="00986A43"/>
    <w:rsid w:val="00986A8C"/>
    <w:rsid w:val="00986AAA"/>
    <w:rsid w:val="00986B12"/>
    <w:rsid w:val="00986B87"/>
    <w:rsid w:val="00986BAB"/>
    <w:rsid w:val="00986BDD"/>
    <w:rsid w:val="00986CDE"/>
    <w:rsid w:val="00986CEA"/>
    <w:rsid w:val="00986D29"/>
    <w:rsid w:val="00986D4E"/>
    <w:rsid w:val="00986D53"/>
    <w:rsid w:val="00986D7E"/>
    <w:rsid w:val="00986D82"/>
    <w:rsid w:val="00986D96"/>
    <w:rsid w:val="00986DC1"/>
    <w:rsid w:val="00986ECA"/>
    <w:rsid w:val="00986ED7"/>
    <w:rsid w:val="00986EED"/>
    <w:rsid w:val="00986F99"/>
    <w:rsid w:val="00986FE4"/>
    <w:rsid w:val="00987075"/>
    <w:rsid w:val="00987079"/>
    <w:rsid w:val="009870A2"/>
    <w:rsid w:val="009871AD"/>
    <w:rsid w:val="009871C2"/>
    <w:rsid w:val="009871CD"/>
    <w:rsid w:val="009871F4"/>
    <w:rsid w:val="00987220"/>
    <w:rsid w:val="00987242"/>
    <w:rsid w:val="0098729E"/>
    <w:rsid w:val="009872AB"/>
    <w:rsid w:val="009872D4"/>
    <w:rsid w:val="009872DB"/>
    <w:rsid w:val="0098733C"/>
    <w:rsid w:val="0098735A"/>
    <w:rsid w:val="0098735D"/>
    <w:rsid w:val="0098735F"/>
    <w:rsid w:val="009873D8"/>
    <w:rsid w:val="009873EF"/>
    <w:rsid w:val="009873F2"/>
    <w:rsid w:val="00987408"/>
    <w:rsid w:val="0098741E"/>
    <w:rsid w:val="00987473"/>
    <w:rsid w:val="0098748D"/>
    <w:rsid w:val="009874C0"/>
    <w:rsid w:val="009874C2"/>
    <w:rsid w:val="009875AE"/>
    <w:rsid w:val="009875E3"/>
    <w:rsid w:val="009875FB"/>
    <w:rsid w:val="0098761C"/>
    <w:rsid w:val="00987661"/>
    <w:rsid w:val="0098772F"/>
    <w:rsid w:val="00987756"/>
    <w:rsid w:val="0098776F"/>
    <w:rsid w:val="0098778E"/>
    <w:rsid w:val="009877D8"/>
    <w:rsid w:val="0098780C"/>
    <w:rsid w:val="0098786C"/>
    <w:rsid w:val="009878C1"/>
    <w:rsid w:val="009878E9"/>
    <w:rsid w:val="00987915"/>
    <w:rsid w:val="0098791D"/>
    <w:rsid w:val="0098796C"/>
    <w:rsid w:val="00987984"/>
    <w:rsid w:val="0098798F"/>
    <w:rsid w:val="009879BB"/>
    <w:rsid w:val="00987A1B"/>
    <w:rsid w:val="00987A59"/>
    <w:rsid w:val="00987A77"/>
    <w:rsid w:val="00987AAC"/>
    <w:rsid w:val="00987B35"/>
    <w:rsid w:val="00987B3F"/>
    <w:rsid w:val="00987B40"/>
    <w:rsid w:val="00987B9B"/>
    <w:rsid w:val="00987BA2"/>
    <w:rsid w:val="00987BE4"/>
    <w:rsid w:val="00987C27"/>
    <w:rsid w:val="00987C5C"/>
    <w:rsid w:val="00987CA8"/>
    <w:rsid w:val="00987CAB"/>
    <w:rsid w:val="00987CC8"/>
    <w:rsid w:val="00987D41"/>
    <w:rsid w:val="00987D56"/>
    <w:rsid w:val="00987DAB"/>
    <w:rsid w:val="00987DC2"/>
    <w:rsid w:val="00987DE1"/>
    <w:rsid w:val="00987E91"/>
    <w:rsid w:val="00987F0E"/>
    <w:rsid w:val="00987F74"/>
    <w:rsid w:val="00987F8C"/>
    <w:rsid w:val="00987FB2"/>
    <w:rsid w:val="0099004C"/>
    <w:rsid w:val="00990077"/>
    <w:rsid w:val="0099007C"/>
    <w:rsid w:val="0099009E"/>
    <w:rsid w:val="009900FC"/>
    <w:rsid w:val="00990169"/>
    <w:rsid w:val="009901BC"/>
    <w:rsid w:val="00990268"/>
    <w:rsid w:val="009902A8"/>
    <w:rsid w:val="009902AB"/>
    <w:rsid w:val="009902B5"/>
    <w:rsid w:val="009902F8"/>
    <w:rsid w:val="0099032F"/>
    <w:rsid w:val="0099034C"/>
    <w:rsid w:val="00990372"/>
    <w:rsid w:val="0099037F"/>
    <w:rsid w:val="009903DB"/>
    <w:rsid w:val="00990452"/>
    <w:rsid w:val="009904A7"/>
    <w:rsid w:val="009904D2"/>
    <w:rsid w:val="0099059A"/>
    <w:rsid w:val="009905BC"/>
    <w:rsid w:val="0099060C"/>
    <w:rsid w:val="00990615"/>
    <w:rsid w:val="0099067A"/>
    <w:rsid w:val="009906AC"/>
    <w:rsid w:val="00990700"/>
    <w:rsid w:val="00990760"/>
    <w:rsid w:val="00990773"/>
    <w:rsid w:val="0099082E"/>
    <w:rsid w:val="00990866"/>
    <w:rsid w:val="0099088C"/>
    <w:rsid w:val="0099090F"/>
    <w:rsid w:val="00990911"/>
    <w:rsid w:val="0099091A"/>
    <w:rsid w:val="0099091D"/>
    <w:rsid w:val="009909F9"/>
    <w:rsid w:val="00990A30"/>
    <w:rsid w:val="00990A8C"/>
    <w:rsid w:val="00990AD5"/>
    <w:rsid w:val="00990AFD"/>
    <w:rsid w:val="00990B1D"/>
    <w:rsid w:val="00990B22"/>
    <w:rsid w:val="00990B45"/>
    <w:rsid w:val="00990B58"/>
    <w:rsid w:val="00990B5E"/>
    <w:rsid w:val="00990BAA"/>
    <w:rsid w:val="00990BD0"/>
    <w:rsid w:val="00990BEE"/>
    <w:rsid w:val="00990C66"/>
    <w:rsid w:val="00990CB4"/>
    <w:rsid w:val="00990D04"/>
    <w:rsid w:val="00990D46"/>
    <w:rsid w:val="00990DAA"/>
    <w:rsid w:val="00990DF6"/>
    <w:rsid w:val="00990E93"/>
    <w:rsid w:val="00990F60"/>
    <w:rsid w:val="00990F73"/>
    <w:rsid w:val="00990FA6"/>
    <w:rsid w:val="00990FB2"/>
    <w:rsid w:val="00991079"/>
    <w:rsid w:val="00991098"/>
    <w:rsid w:val="0099116E"/>
    <w:rsid w:val="00991175"/>
    <w:rsid w:val="0099117C"/>
    <w:rsid w:val="009911B2"/>
    <w:rsid w:val="009911F6"/>
    <w:rsid w:val="00991200"/>
    <w:rsid w:val="009912B0"/>
    <w:rsid w:val="009912D0"/>
    <w:rsid w:val="009912D4"/>
    <w:rsid w:val="009912EB"/>
    <w:rsid w:val="00991320"/>
    <w:rsid w:val="00991355"/>
    <w:rsid w:val="009913B8"/>
    <w:rsid w:val="009913F9"/>
    <w:rsid w:val="00991417"/>
    <w:rsid w:val="00991429"/>
    <w:rsid w:val="0099142F"/>
    <w:rsid w:val="00991485"/>
    <w:rsid w:val="009914B4"/>
    <w:rsid w:val="009914B8"/>
    <w:rsid w:val="009914EC"/>
    <w:rsid w:val="0099153F"/>
    <w:rsid w:val="00991573"/>
    <w:rsid w:val="00991588"/>
    <w:rsid w:val="009915D3"/>
    <w:rsid w:val="009915FD"/>
    <w:rsid w:val="00991604"/>
    <w:rsid w:val="00991626"/>
    <w:rsid w:val="0099167B"/>
    <w:rsid w:val="009916B4"/>
    <w:rsid w:val="0099176A"/>
    <w:rsid w:val="0099176C"/>
    <w:rsid w:val="0099178E"/>
    <w:rsid w:val="009917AE"/>
    <w:rsid w:val="0099184D"/>
    <w:rsid w:val="00991882"/>
    <w:rsid w:val="009918BE"/>
    <w:rsid w:val="009918BF"/>
    <w:rsid w:val="009918C0"/>
    <w:rsid w:val="009918EF"/>
    <w:rsid w:val="009918F1"/>
    <w:rsid w:val="0099190C"/>
    <w:rsid w:val="00991928"/>
    <w:rsid w:val="00991973"/>
    <w:rsid w:val="00991993"/>
    <w:rsid w:val="009919B4"/>
    <w:rsid w:val="00991AA3"/>
    <w:rsid w:val="00991ADD"/>
    <w:rsid w:val="00991AE6"/>
    <w:rsid w:val="00991B55"/>
    <w:rsid w:val="00991B94"/>
    <w:rsid w:val="00991B9D"/>
    <w:rsid w:val="00991C10"/>
    <w:rsid w:val="00991C62"/>
    <w:rsid w:val="00991C85"/>
    <w:rsid w:val="00991C9D"/>
    <w:rsid w:val="00991CA7"/>
    <w:rsid w:val="00991CCF"/>
    <w:rsid w:val="00991CE0"/>
    <w:rsid w:val="00991D1D"/>
    <w:rsid w:val="00991D55"/>
    <w:rsid w:val="00991DB6"/>
    <w:rsid w:val="00991E21"/>
    <w:rsid w:val="00991E7B"/>
    <w:rsid w:val="00991E81"/>
    <w:rsid w:val="00991E93"/>
    <w:rsid w:val="00991ECF"/>
    <w:rsid w:val="00991EDD"/>
    <w:rsid w:val="00991F3C"/>
    <w:rsid w:val="00991F49"/>
    <w:rsid w:val="00991F84"/>
    <w:rsid w:val="00991FC5"/>
    <w:rsid w:val="00991FE2"/>
    <w:rsid w:val="00991FEB"/>
    <w:rsid w:val="00991FF7"/>
    <w:rsid w:val="0099200D"/>
    <w:rsid w:val="00992081"/>
    <w:rsid w:val="00992090"/>
    <w:rsid w:val="0099210B"/>
    <w:rsid w:val="00992197"/>
    <w:rsid w:val="009921DA"/>
    <w:rsid w:val="009921EF"/>
    <w:rsid w:val="0099224B"/>
    <w:rsid w:val="00992253"/>
    <w:rsid w:val="00992270"/>
    <w:rsid w:val="009922C8"/>
    <w:rsid w:val="00992329"/>
    <w:rsid w:val="00992333"/>
    <w:rsid w:val="00992339"/>
    <w:rsid w:val="0099236E"/>
    <w:rsid w:val="0099238F"/>
    <w:rsid w:val="009923ED"/>
    <w:rsid w:val="0099241C"/>
    <w:rsid w:val="0099246A"/>
    <w:rsid w:val="009925A4"/>
    <w:rsid w:val="0099261C"/>
    <w:rsid w:val="0099263E"/>
    <w:rsid w:val="00992643"/>
    <w:rsid w:val="009926DC"/>
    <w:rsid w:val="00992747"/>
    <w:rsid w:val="009927F2"/>
    <w:rsid w:val="00992803"/>
    <w:rsid w:val="00992811"/>
    <w:rsid w:val="0099282E"/>
    <w:rsid w:val="00992861"/>
    <w:rsid w:val="00992898"/>
    <w:rsid w:val="009928A7"/>
    <w:rsid w:val="009928B3"/>
    <w:rsid w:val="009928EF"/>
    <w:rsid w:val="00992974"/>
    <w:rsid w:val="00992998"/>
    <w:rsid w:val="009929D7"/>
    <w:rsid w:val="00992A38"/>
    <w:rsid w:val="00992A80"/>
    <w:rsid w:val="00992A93"/>
    <w:rsid w:val="00992A98"/>
    <w:rsid w:val="00992AC2"/>
    <w:rsid w:val="00992ACB"/>
    <w:rsid w:val="00992AF3"/>
    <w:rsid w:val="00992B04"/>
    <w:rsid w:val="00992B23"/>
    <w:rsid w:val="00992B6D"/>
    <w:rsid w:val="00992BCE"/>
    <w:rsid w:val="00992BFA"/>
    <w:rsid w:val="00992C5F"/>
    <w:rsid w:val="00992CB1"/>
    <w:rsid w:val="00992CC7"/>
    <w:rsid w:val="00992CD0"/>
    <w:rsid w:val="00992CFD"/>
    <w:rsid w:val="00992D09"/>
    <w:rsid w:val="00992DBE"/>
    <w:rsid w:val="00992DCE"/>
    <w:rsid w:val="00992E0F"/>
    <w:rsid w:val="00992EDD"/>
    <w:rsid w:val="00992EE7"/>
    <w:rsid w:val="00992EF4"/>
    <w:rsid w:val="00992F08"/>
    <w:rsid w:val="00992F14"/>
    <w:rsid w:val="00992F82"/>
    <w:rsid w:val="00993060"/>
    <w:rsid w:val="00993097"/>
    <w:rsid w:val="009930B9"/>
    <w:rsid w:val="00993116"/>
    <w:rsid w:val="00993137"/>
    <w:rsid w:val="009931FC"/>
    <w:rsid w:val="00993220"/>
    <w:rsid w:val="009932B5"/>
    <w:rsid w:val="009932B9"/>
    <w:rsid w:val="009932CA"/>
    <w:rsid w:val="00993357"/>
    <w:rsid w:val="0099339A"/>
    <w:rsid w:val="009933A3"/>
    <w:rsid w:val="009933B0"/>
    <w:rsid w:val="009933B7"/>
    <w:rsid w:val="009933B8"/>
    <w:rsid w:val="00993439"/>
    <w:rsid w:val="0099343F"/>
    <w:rsid w:val="00993453"/>
    <w:rsid w:val="009934C4"/>
    <w:rsid w:val="009934EC"/>
    <w:rsid w:val="0099352E"/>
    <w:rsid w:val="00993557"/>
    <w:rsid w:val="0099356E"/>
    <w:rsid w:val="009935C6"/>
    <w:rsid w:val="00993642"/>
    <w:rsid w:val="009936BC"/>
    <w:rsid w:val="009936CE"/>
    <w:rsid w:val="00993707"/>
    <w:rsid w:val="0099378D"/>
    <w:rsid w:val="009937BC"/>
    <w:rsid w:val="009937DD"/>
    <w:rsid w:val="00993802"/>
    <w:rsid w:val="00993876"/>
    <w:rsid w:val="009938B8"/>
    <w:rsid w:val="00993912"/>
    <w:rsid w:val="00993913"/>
    <w:rsid w:val="00993956"/>
    <w:rsid w:val="00993A3F"/>
    <w:rsid w:val="00993A65"/>
    <w:rsid w:val="00993AC8"/>
    <w:rsid w:val="00993AE7"/>
    <w:rsid w:val="00993B41"/>
    <w:rsid w:val="00993B4B"/>
    <w:rsid w:val="00993B62"/>
    <w:rsid w:val="00993B87"/>
    <w:rsid w:val="00993BA5"/>
    <w:rsid w:val="00993C0E"/>
    <w:rsid w:val="00993CD9"/>
    <w:rsid w:val="00993D61"/>
    <w:rsid w:val="00993DBC"/>
    <w:rsid w:val="00993E63"/>
    <w:rsid w:val="00993ECD"/>
    <w:rsid w:val="00993F22"/>
    <w:rsid w:val="00993FEE"/>
    <w:rsid w:val="0099405E"/>
    <w:rsid w:val="0099406C"/>
    <w:rsid w:val="0099407D"/>
    <w:rsid w:val="009940C8"/>
    <w:rsid w:val="009940E1"/>
    <w:rsid w:val="00994177"/>
    <w:rsid w:val="00994258"/>
    <w:rsid w:val="0099434C"/>
    <w:rsid w:val="009943A8"/>
    <w:rsid w:val="009943B8"/>
    <w:rsid w:val="0099449F"/>
    <w:rsid w:val="009944B6"/>
    <w:rsid w:val="009944CE"/>
    <w:rsid w:val="0099450E"/>
    <w:rsid w:val="0099454A"/>
    <w:rsid w:val="009945E8"/>
    <w:rsid w:val="009945F7"/>
    <w:rsid w:val="009946A1"/>
    <w:rsid w:val="009946EE"/>
    <w:rsid w:val="0099474E"/>
    <w:rsid w:val="00994770"/>
    <w:rsid w:val="009947C2"/>
    <w:rsid w:val="009947EE"/>
    <w:rsid w:val="00994824"/>
    <w:rsid w:val="00994833"/>
    <w:rsid w:val="00994847"/>
    <w:rsid w:val="009948A0"/>
    <w:rsid w:val="00994902"/>
    <w:rsid w:val="00994925"/>
    <w:rsid w:val="0099493A"/>
    <w:rsid w:val="009949C8"/>
    <w:rsid w:val="00994A3C"/>
    <w:rsid w:val="00994B14"/>
    <w:rsid w:val="00994BAC"/>
    <w:rsid w:val="00994BDC"/>
    <w:rsid w:val="00994BDD"/>
    <w:rsid w:val="00994C9C"/>
    <w:rsid w:val="00994CB7"/>
    <w:rsid w:val="00994CEA"/>
    <w:rsid w:val="00994D0C"/>
    <w:rsid w:val="00994D84"/>
    <w:rsid w:val="00994D8A"/>
    <w:rsid w:val="00994D9B"/>
    <w:rsid w:val="00994DD1"/>
    <w:rsid w:val="00994E0E"/>
    <w:rsid w:val="00994E2F"/>
    <w:rsid w:val="00994E33"/>
    <w:rsid w:val="00994E79"/>
    <w:rsid w:val="00994ED8"/>
    <w:rsid w:val="00994F11"/>
    <w:rsid w:val="00994F25"/>
    <w:rsid w:val="00994F26"/>
    <w:rsid w:val="00994F29"/>
    <w:rsid w:val="00994F4F"/>
    <w:rsid w:val="00994F5D"/>
    <w:rsid w:val="00994F63"/>
    <w:rsid w:val="00994FC7"/>
    <w:rsid w:val="00994FDC"/>
    <w:rsid w:val="0099513D"/>
    <w:rsid w:val="0099515B"/>
    <w:rsid w:val="009951AB"/>
    <w:rsid w:val="0099525C"/>
    <w:rsid w:val="00995306"/>
    <w:rsid w:val="00995326"/>
    <w:rsid w:val="00995385"/>
    <w:rsid w:val="009953A6"/>
    <w:rsid w:val="009953C7"/>
    <w:rsid w:val="00995455"/>
    <w:rsid w:val="0099546A"/>
    <w:rsid w:val="009954DD"/>
    <w:rsid w:val="00995592"/>
    <w:rsid w:val="009955A9"/>
    <w:rsid w:val="00995650"/>
    <w:rsid w:val="00995652"/>
    <w:rsid w:val="009956E8"/>
    <w:rsid w:val="00995711"/>
    <w:rsid w:val="00995719"/>
    <w:rsid w:val="0099572A"/>
    <w:rsid w:val="00995814"/>
    <w:rsid w:val="0099584D"/>
    <w:rsid w:val="009958AF"/>
    <w:rsid w:val="009958B4"/>
    <w:rsid w:val="0099593F"/>
    <w:rsid w:val="00995957"/>
    <w:rsid w:val="009959F3"/>
    <w:rsid w:val="00995A55"/>
    <w:rsid w:val="00995AA8"/>
    <w:rsid w:val="00995ACE"/>
    <w:rsid w:val="00995AD7"/>
    <w:rsid w:val="00995AF8"/>
    <w:rsid w:val="00995B04"/>
    <w:rsid w:val="00995BC6"/>
    <w:rsid w:val="00995C61"/>
    <w:rsid w:val="00995C65"/>
    <w:rsid w:val="00995C6B"/>
    <w:rsid w:val="00995C8D"/>
    <w:rsid w:val="00995D5C"/>
    <w:rsid w:val="00995D61"/>
    <w:rsid w:val="00995DD5"/>
    <w:rsid w:val="00995E10"/>
    <w:rsid w:val="00995E12"/>
    <w:rsid w:val="00995E74"/>
    <w:rsid w:val="00995EA3"/>
    <w:rsid w:val="00995EA4"/>
    <w:rsid w:val="00995EC2"/>
    <w:rsid w:val="00995F14"/>
    <w:rsid w:val="00995F35"/>
    <w:rsid w:val="00995F3A"/>
    <w:rsid w:val="00995F51"/>
    <w:rsid w:val="00995F56"/>
    <w:rsid w:val="00996022"/>
    <w:rsid w:val="00996026"/>
    <w:rsid w:val="0099609D"/>
    <w:rsid w:val="009960CD"/>
    <w:rsid w:val="009960F0"/>
    <w:rsid w:val="0099613A"/>
    <w:rsid w:val="00996172"/>
    <w:rsid w:val="009961DC"/>
    <w:rsid w:val="0099635B"/>
    <w:rsid w:val="009963FE"/>
    <w:rsid w:val="0099640D"/>
    <w:rsid w:val="00996427"/>
    <w:rsid w:val="00996451"/>
    <w:rsid w:val="00996476"/>
    <w:rsid w:val="00996494"/>
    <w:rsid w:val="0099649F"/>
    <w:rsid w:val="009964C2"/>
    <w:rsid w:val="009964CC"/>
    <w:rsid w:val="009964D9"/>
    <w:rsid w:val="009964DE"/>
    <w:rsid w:val="00996519"/>
    <w:rsid w:val="00996531"/>
    <w:rsid w:val="00996583"/>
    <w:rsid w:val="009965C7"/>
    <w:rsid w:val="009965EA"/>
    <w:rsid w:val="00996616"/>
    <w:rsid w:val="00996667"/>
    <w:rsid w:val="009966FB"/>
    <w:rsid w:val="00996702"/>
    <w:rsid w:val="0099676B"/>
    <w:rsid w:val="00996793"/>
    <w:rsid w:val="009967C9"/>
    <w:rsid w:val="00996813"/>
    <w:rsid w:val="0099684C"/>
    <w:rsid w:val="00996855"/>
    <w:rsid w:val="0099689F"/>
    <w:rsid w:val="009969AE"/>
    <w:rsid w:val="00996A20"/>
    <w:rsid w:val="00996AEF"/>
    <w:rsid w:val="00996B44"/>
    <w:rsid w:val="00996B97"/>
    <w:rsid w:val="00996C0E"/>
    <w:rsid w:val="00996C3E"/>
    <w:rsid w:val="00996E8B"/>
    <w:rsid w:val="00996EAC"/>
    <w:rsid w:val="00996F24"/>
    <w:rsid w:val="00996F89"/>
    <w:rsid w:val="00996F98"/>
    <w:rsid w:val="00996FAF"/>
    <w:rsid w:val="00996FC2"/>
    <w:rsid w:val="00996FE1"/>
    <w:rsid w:val="0099708E"/>
    <w:rsid w:val="009970C4"/>
    <w:rsid w:val="009970E7"/>
    <w:rsid w:val="009970EA"/>
    <w:rsid w:val="00997173"/>
    <w:rsid w:val="00997175"/>
    <w:rsid w:val="00997198"/>
    <w:rsid w:val="0099719E"/>
    <w:rsid w:val="0099719F"/>
    <w:rsid w:val="00997202"/>
    <w:rsid w:val="00997259"/>
    <w:rsid w:val="00997264"/>
    <w:rsid w:val="00997284"/>
    <w:rsid w:val="0099729C"/>
    <w:rsid w:val="00997318"/>
    <w:rsid w:val="00997351"/>
    <w:rsid w:val="009973E5"/>
    <w:rsid w:val="009973ED"/>
    <w:rsid w:val="00997469"/>
    <w:rsid w:val="00997477"/>
    <w:rsid w:val="009974E2"/>
    <w:rsid w:val="009974F9"/>
    <w:rsid w:val="0099751D"/>
    <w:rsid w:val="0099753F"/>
    <w:rsid w:val="00997660"/>
    <w:rsid w:val="0099767C"/>
    <w:rsid w:val="0099770F"/>
    <w:rsid w:val="0099771C"/>
    <w:rsid w:val="00997759"/>
    <w:rsid w:val="00997782"/>
    <w:rsid w:val="0099778E"/>
    <w:rsid w:val="0099779F"/>
    <w:rsid w:val="009977F5"/>
    <w:rsid w:val="0099782C"/>
    <w:rsid w:val="0099785F"/>
    <w:rsid w:val="00997864"/>
    <w:rsid w:val="00997872"/>
    <w:rsid w:val="009978A6"/>
    <w:rsid w:val="009978B7"/>
    <w:rsid w:val="00997971"/>
    <w:rsid w:val="00997977"/>
    <w:rsid w:val="009979B4"/>
    <w:rsid w:val="00997ABE"/>
    <w:rsid w:val="00997B58"/>
    <w:rsid w:val="00997B62"/>
    <w:rsid w:val="00997BFC"/>
    <w:rsid w:val="00997C64"/>
    <w:rsid w:val="00997C81"/>
    <w:rsid w:val="00997C8B"/>
    <w:rsid w:val="00997C9E"/>
    <w:rsid w:val="00997CCB"/>
    <w:rsid w:val="00997CE8"/>
    <w:rsid w:val="00997D10"/>
    <w:rsid w:val="00997D4E"/>
    <w:rsid w:val="00997D50"/>
    <w:rsid w:val="00997D85"/>
    <w:rsid w:val="00997D9B"/>
    <w:rsid w:val="00997E3D"/>
    <w:rsid w:val="00997E9A"/>
    <w:rsid w:val="00997EB2"/>
    <w:rsid w:val="00997EDD"/>
    <w:rsid w:val="00997F33"/>
    <w:rsid w:val="00997F63"/>
    <w:rsid w:val="009A006F"/>
    <w:rsid w:val="009A0082"/>
    <w:rsid w:val="009A0126"/>
    <w:rsid w:val="009A013F"/>
    <w:rsid w:val="009A014A"/>
    <w:rsid w:val="009A017A"/>
    <w:rsid w:val="009A0195"/>
    <w:rsid w:val="009A01B3"/>
    <w:rsid w:val="009A01BF"/>
    <w:rsid w:val="009A01DE"/>
    <w:rsid w:val="009A0240"/>
    <w:rsid w:val="009A02D0"/>
    <w:rsid w:val="009A031D"/>
    <w:rsid w:val="009A0341"/>
    <w:rsid w:val="009A03C6"/>
    <w:rsid w:val="009A044B"/>
    <w:rsid w:val="009A0464"/>
    <w:rsid w:val="009A04F4"/>
    <w:rsid w:val="009A0509"/>
    <w:rsid w:val="009A050B"/>
    <w:rsid w:val="009A0529"/>
    <w:rsid w:val="009A0559"/>
    <w:rsid w:val="009A0567"/>
    <w:rsid w:val="009A0673"/>
    <w:rsid w:val="009A069E"/>
    <w:rsid w:val="009A06BF"/>
    <w:rsid w:val="009A06C1"/>
    <w:rsid w:val="009A074A"/>
    <w:rsid w:val="009A075A"/>
    <w:rsid w:val="009A0767"/>
    <w:rsid w:val="009A0789"/>
    <w:rsid w:val="009A07CD"/>
    <w:rsid w:val="009A07FC"/>
    <w:rsid w:val="009A0801"/>
    <w:rsid w:val="009A0817"/>
    <w:rsid w:val="009A0823"/>
    <w:rsid w:val="009A084F"/>
    <w:rsid w:val="009A085E"/>
    <w:rsid w:val="009A08A0"/>
    <w:rsid w:val="009A08A9"/>
    <w:rsid w:val="009A08CB"/>
    <w:rsid w:val="009A08D0"/>
    <w:rsid w:val="009A0920"/>
    <w:rsid w:val="009A0952"/>
    <w:rsid w:val="009A099E"/>
    <w:rsid w:val="009A09E5"/>
    <w:rsid w:val="009A0A7B"/>
    <w:rsid w:val="009A0A81"/>
    <w:rsid w:val="009A0B22"/>
    <w:rsid w:val="009A0B43"/>
    <w:rsid w:val="009A0B48"/>
    <w:rsid w:val="009A0BD6"/>
    <w:rsid w:val="009A0BF3"/>
    <w:rsid w:val="009A0C69"/>
    <w:rsid w:val="009A0CBD"/>
    <w:rsid w:val="009A0CBE"/>
    <w:rsid w:val="009A0CEB"/>
    <w:rsid w:val="009A0D7E"/>
    <w:rsid w:val="009A0D8F"/>
    <w:rsid w:val="009A0D9B"/>
    <w:rsid w:val="009A0DAB"/>
    <w:rsid w:val="009A0E21"/>
    <w:rsid w:val="009A0E4B"/>
    <w:rsid w:val="009A0E51"/>
    <w:rsid w:val="009A0EA8"/>
    <w:rsid w:val="009A0EE2"/>
    <w:rsid w:val="009A0EEE"/>
    <w:rsid w:val="009A0EFB"/>
    <w:rsid w:val="009A0F1E"/>
    <w:rsid w:val="009A0F59"/>
    <w:rsid w:val="009A0FC1"/>
    <w:rsid w:val="009A0FD8"/>
    <w:rsid w:val="009A0FDD"/>
    <w:rsid w:val="009A101D"/>
    <w:rsid w:val="009A101F"/>
    <w:rsid w:val="009A106D"/>
    <w:rsid w:val="009A1080"/>
    <w:rsid w:val="009A10A7"/>
    <w:rsid w:val="009A10AC"/>
    <w:rsid w:val="009A10C1"/>
    <w:rsid w:val="009A10FC"/>
    <w:rsid w:val="009A1112"/>
    <w:rsid w:val="009A114A"/>
    <w:rsid w:val="009A11C5"/>
    <w:rsid w:val="009A124C"/>
    <w:rsid w:val="009A1254"/>
    <w:rsid w:val="009A127C"/>
    <w:rsid w:val="009A128D"/>
    <w:rsid w:val="009A1337"/>
    <w:rsid w:val="009A1392"/>
    <w:rsid w:val="009A13B5"/>
    <w:rsid w:val="009A13C9"/>
    <w:rsid w:val="009A13CE"/>
    <w:rsid w:val="009A13F5"/>
    <w:rsid w:val="009A140D"/>
    <w:rsid w:val="009A1411"/>
    <w:rsid w:val="009A1465"/>
    <w:rsid w:val="009A1479"/>
    <w:rsid w:val="009A147A"/>
    <w:rsid w:val="009A1481"/>
    <w:rsid w:val="009A14B9"/>
    <w:rsid w:val="009A14C8"/>
    <w:rsid w:val="009A15CD"/>
    <w:rsid w:val="009A15EB"/>
    <w:rsid w:val="009A15F3"/>
    <w:rsid w:val="009A1665"/>
    <w:rsid w:val="009A16A4"/>
    <w:rsid w:val="009A16C4"/>
    <w:rsid w:val="009A176B"/>
    <w:rsid w:val="009A1770"/>
    <w:rsid w:val="009A178D"/>
    <w:rsid w:val="009A182A"/>
    <w:rsid w:val="009A193C"/>
    <w:rsid w:val="009A19EE"/>
    <w:rsid w:val="009A1A52"/>
    <w:rsid w:val="009A1A90"/>
    <w:rsid w:val="009A1ABC"/>
    <w:rsid w:val="009A1AC0"/>
    <w:rsid w:val="009A1B06"/>
    <w:rsid w:val="009A1B4F"/>
    <w:rsid w:val="009A1C45"/>
    <w:rsid w:val="009A1C48"/>
    <w:rsid w:val="009A1C57"/>
    <w:rsid w:val="009A1CB9"/>
    <w:rsid w:val="009A1CBC"/>
    <w:rsid w:val="009A1D05"/>
    <w:rsid w:val="009A1D10"/>
    <w:rsid w:val="009A1D22"/>
    <w:rsid w:val="009A1DC2"/>
    <w:rsid w:val="009A1DE0"/>
    <w:rsid w:val="009A1E73"/>
    <w:rsid w:val="009A1EC2"/>
    <w:rsid w:val="009A1ED8"/>
    <w:rsid w:val="009A1F3E"/>
    <w:rsid w:val="009A1F67"/>
    <w:rsid w:val="009A2003"/>
    <w:rsid w:val="009A203F"/>
    <w:rsid w:val="009A205B"/>
    <w:rsid w:val="009A208C"/>
    <w:rsid w:val="009A20FA"/>
    <w:rsid w:val="009A2140"/>
    <w:rsid w:val="009A2175"/>
    <w:rsid w:val="009A228C"/>
    <w:rsid w:val="009A22D3"/>
    <w:rsid w:val="009A232E"/>
    <w:rsid w:val="009A234A"/>
    <w:rsid w:val="009A234C"/>
    <w:rsid w:val="009A2363"/>
    <w:rsid w:val="009A23D4"/>
    <w:rsid w:val="009A23DA"/>
    <w:rsid w:val="009A242B"/>
    <w:rsid w:val="009A2441"/>
    <w:rsid w:val="009A249B"/>
    <w:rsid w:val="009A24D1"/>
    <w:rsid w:val="009A24FF"/>
    <w:rsid w:val="009A2504"/>
    <w:rsid w:val="009A2514"/>
    <w:rsid w:val="009A251F"/>
    <w:rsid w:val="009A254B"/>
    <w:rsid w:val="009A257F"/>
    <w:rsid w:val="009A2585"/>
    <w:rsid w:val="009A25B2"/>
    <w:rsid w:val="009A25D9"/>
    <w:rsid w:val="009A25E5"/>
    <w:rsid w:val="009A2618"/>
    <w:rsid w:val="009A2619"/>
    <w:rsid w:val="009A26F5"/>
    <w:rsid w:val="009A270E"/>
    <w:rsid w:val="009A2719"/>
    <w:rsid w:val="009A2758"/>
    <w:rsid w:val="009A2784"/>
    <w:rsid w:val="009A280B"/>
    <w:rsid w:val="009A2835"/>
    <w:rsid w:val="009A2856"/>
    <w:rsid w:val="009A2857"/>
    <w:rsid w:val="009A2858"/>
    <w:rsid w:val="009A286D"/>
    <w:rsid w:val="009A2872"/>
    <w:rsid w:val="009A2884"/>
    <w:rsid w:val="009A28C0"/>
    <w:rsid w:val="009A28FC"/>
    <w:rsid w:val="009A28FD"/>
    <w:rsid w:val="009A2905"/>
    <w:rsid w:val="009A292C"/>
    <w:rsid w:val="009A296B"/>
    <w:rsid w:val="009A2984"/>
    <w:rsid w:val="009A29DA"/>
    <w:rsid w:val="009A29E4"/>
    <w:rsid w:val="009A2A0D"/>
    <w:rsid w:val="009A2A19"/>
    <w:rsid w:val="009A2A3D"/>
    <w:rsid w:val="009A2AD3"/>
    <w:rsid w:val="009A2ADC"/>
    <w:rsid w:val="009A2AE0"/>
    <w:rsid w:val="009A2AE8"/>
    <w:rsid w:val="009A2BA1"/>
    <w:rsid w:val="009A2BAE"/>
    <w:rsid w:val="009A2BD8"/>
    <w:rsid w:val="009A2BF5"/>
    <w:rsid w:val="009A2BFE"/>
    <w:rsid w:val="009A2C21"/>
    <w:rsid w:val="009A2C64"/>
    <w:rsid w:val="009A2CE2"/>
    <w:rsid w:val="009A2DAE"/>
    <w:rsid w:val="009A2DB0"/>
    <w:rsid w:val="009A2E4D"/>
    <w:rsid w:val="009A2E84"/>
    <w:rsid w:val="009A2F1F"/>
    <w:rsid w:val="009A2F36"/>
    <w:rsid w:val="009A2F5C"/>
    <w:rsid w:val="009A2F76"/>
    <w:rsid w:val="009A2FAD"/>
    <w:rsid w:val="009A3004"/>
    <w:rsid w:val="009A3019"/>
    <w:rsid w:val="009A3065"/>
    <w:rsid w:val="009A30AD"/>
    <w:rsid w:val="009A30B1"/>
    <w:rsid w:val="009A30C6"/>
    <w:rsid w:val="009A313D"/>
    <w:rsid w:val="009A3142"/>
    <w:rsid w:val="009A3184"/>
    <w:rsid w:val="009A3199"/>
    <w:rsid w:val="009A31A6"/>
    <w:rsid w:val="009A31C6"/>
    <w:rsid w:val="009A31F2"/>
    <w:rsid w:val="009A323F"/>
    <w:rsid w:val="009A3260"/>
    <w:rsid w:val="009A32ED"/>
    <w:rsid w:val="009A336E"/>
    <w:rsid w:val="009A34E0"/>
    <w:rsid w:val="009A34EB"/>
    <w:rsid w:val="009A3529"/>
    <w:rsid w:val="009A352F"/>
    <w:rsid w:val="009A35AB"/>
    <w:rsid w:val="009A35AC"/>
    <w:rsid w:val="009A35DF"/>
    <w:rsid w:val="009A35F5"/>
    <w:rsid w:val="009A361D"/>
    <w:rsid w:val="009A3635"/>
    <w:rsid w:val="009A3685"/>
    <w:rsid w:val="009A371C"/>
    <w:rsid w:val="009A3737"/>
    <w:rsid w:val="009A3743"/>
    <w:rsid w:val="009A3748"/>
    <w:rsid w:val="009A37EC"/>
    <w:rsid w:val="009A38C3"/>
    <w:rsid w:val="009A398A"/>
    <w:rsid w:val="009A399A"/>
    <w:rsid w:val="009A39F2"/>
    <w:rsid w:val="009A3A35"/>
    <w:rsid w:val="009A3A40"/>
    <w:rsid w:val="009A3A53"/>
    <w:rsid w:val="009A3A86"/>
    <w:rsid w:val="009A3AED"/>
    <w:rsid w:val="009A3B37"/>
    <w:rsid w:val="009A3B44"/>
    <w:rsid w:val="009A3B64"/>
    <w:rsid w:val="009A3BC3"/>
    <w:rsid w:val="009A3BC9"/>
    <w:rsid w:val="009A3D13"/>
    <w:rsid w:val="009A3DE8"/>
    <w:rsid w:val="009A3E23"/>
    <w:rsid w:val="009A3E67"/>
    <w:rsid w:val="009A3EA0"/>
    <w:rsid w:val="009A3EEC"/>
    <w:rsid w:val="009A3F35"/>
    <w:rsid w:val="009A3F4C"/>
    <w:rsid w:val="009A402A"/>
    <w:rsid w:val="009A40CF"/>
    <w:rsid w:val="009A4197"/>
    <w:rsid w:val="009A41AC"/>
    <w:rsid w:val="009A41C1"/>
    <w:rsid w:val="009A423C"/>
    <w:rsid w:val="009A4253"/>
    <w:rsid w:val="009A4256"/>
    <w:rsid w:val="009A4262"/>
    <w:rsid w:val="009A42A6"/>
    <w:rsid w:val="009A42A7"/>
    <w:rsid w:val="009A42A9"/>
    <w:rsid w:val="009A42C5"/>
    <w:rsid w:val="009A4304"/>
    <w:rsid w:val="009A4310"/>
    <w:rsid w:val="009A4322"/>
    <w:rsid w:val="009A4385"/>
    <w:rsid w:val="009A43BF"/>
    <w:rsid w:val="009A43DD"/>
    <w:rsid w:val="009A441F"/>
    <w:rsid w:val="009A4441"/>
    <w:rsid w:val="009A4457"/>
    <w:rsid w:val="009A44A7"/>
    <w:rsid w:val="009A44E9"/>
    <w:rsid w:val="009A44F0"/>
    <w:rsid w:val="009A4591"/>
    <w:rsid w:val="009A45D6"/>
    <w:rsid w:val="009A464D"/>
    <w:rsid w:val="009A469D"/>
    <w:rsid w:val="009A46F0"/>
    <w:rsid w:val="009A4709"/>
    <w:rsid w:val="009A472D"/>
    <w:rsid w:val="009A4739"/>
    <w:rsid w:val="009A477E"/>
    <w:rsid w:val="009A483C"/>
    <w:rsid w:val="009A487F"/>
    <w:rsid w:val="009A488A"/>
    <w:rsid w:val="009A48AE"/>
    <w:rsid w:val="009A4908"/>
    <w:rsid w:val="009A4958"/>
    <w:rsid w:val="009A49B9"/>
    <w:rsid w:val="009A49D9"/>
    <w:rsid w:val="009A4A3D"/>
    <w:rsid w:val="009A4AD4"/>
    <w:rsid w:val="009A4AD8"/>
    <w:rsid w:val="009A4AE8"/>
    <w:rsid w:val="009A4B1D"/>
    <w:rsid w:val="009A4BA0"/>
    <w:rsid w:val="009A4BA6"/>
    <w:rsid w:val="009A4BC3"/>
    <w:rsid w:val="009A4C0C"/>
    <w:rsid w:val="009A4C23"/>
    <w:rsid w:val="009A4C40"/>
    <w:rsid w:val="009A4C7B"/>
    <w:rsid w:val="009A4C8C"/>
    <w:rsid w:val="009A4CA0"/>
    <w:rsid w:val="009A4D39"/>
    <w:rsid w:val="009A4DCB"/>
    <w:rsid w:val="009A4E9E"/>
    <w:rsid w:val="009A4EC5"/>
    <w:rsid w:val="009A4ED0"/>
    <w:rsid w:val="009A4F4D"/>
    <w:rsid w:val="009A4F6A"/>
    <w:rsid w:val="009A4FDE"/>
    <w:rsid w:val="009A502D"/>
    <w:rsid w:val="009A5145"/>
    <w:rsid w:val="009A515E"/>
    <w:rsid w:val="009A5165"/>
    <w:rsid w:val="009A5173"/>
    <w:rsid w:val="009A51D6"/>
    <w:rsid w:val="009A51E2"/>
    <w:rsid w:val="009A52FA"/>
    <w:rsid w:val="009A532E"/>
    <w:rsid w:val="009A5424"/>
    <w:rsid w:val="009A54C1"/>
    <w:rsid w:val="009A54E0"/>
    <w:rsid w:val="009A5543"/>
    <w:rsid w:val="009A5556"/>
    <w:rsid w:val="009A557B"/>
    <w:rsid w:val="009A558A"/>
    <w:rsid w:val="009A558C"/>
    <w:rsid w:val="009A5603"/>
    <w:rsid w:val="009A5625"/>
    <w:rsid w:val="009A56AD"/>
    <w:rsid w:val="009A56E3"/>
    <w:rsid w:val="009A56FE"/>
    <w:rsid w:val="009A5701"/>
    <w:rsid w:val="009A5708"/>
    <w:rsid w:val="009A572A"/>
    <w:rsid w:val="009A576D"/>
    <w:rsid w:val="009A57D7"/>
    <w:rsid w:val="009A57FB"/>
    <w:rsid w:val="009A580E"/>
    <w:rsid w:val="009A5818"/>
    <w:rsid w:val="009A5852"/>
    <w:rsid w:val="009A588C"/>
    <w:rsid w:val="009A5915"/>
    <w:rsid w:val="009A5962"/>
    <w:rsid w:val="009A59A4"/>
    <w:rsid w:val="009A5A59"/>
    <w:rsid w:val="009A5A5B"/>
    <w:rsid w:val="009A5AA1"/>
    <w:rsid w:val="009A5ADD"/>
    <w:rsid w:val="009A5AE0"/>
    <w:rsid w:val="009A5AE4"/>
    <w:rsid w:val="009A5B20"/>
    <w:rsid w:val="009A5B4B"/>
    <w:rsid w:val="009A5B5D"/>
    <w:rsid w:val="009A5B5F"/>
    <w:rsid w:val="009A5B96"/>
    <w:rsid w:val="009A5B9A"/>
    <w:rsid w:val="009A5C09"/>
    <w:rsid w:val="009A5C3A"/>
    <w:rsid w:val="009A5C70"/>
    <w:rsid w:val="009A5CB4"/>
    <w:rsid w:val="009A5CBF"/>
    <w:rsid w:val="009A5D2C"/>
    <w:rsid w:val="009A5D30"/>
    <w:rsid w:val="009A5D32"/>
    <w:rsid w:val="009A5D48"/>
    <w:rsid w:val="009A5D72"/>
    <w:rsid w:val="009A5E42"/>
    <w:rsid w:val="009A5E6B"/>
    <w:rsid w:val="009A5F0D"/>
    <w:rsid w:val="009A5F41"/>
    <w:rsid w:val="009A5F7F"/>
    <w:rsid w:val="009A5F83"/>
    <w:rsid w:val="009A5FB4"/>
    <w:rsid w:val="009A5FDF"/>
    <w:rsid w:val="009A600A"/>
    <w:rsid w:val="009A600E"/>
    <w:rsid w:val="009A605E"/>
    <w:rsid w:val="009A6080"/>
    <w:rsid w:val="009A609D"/>
    <w:rsid w:val="009A60F5"/>
    <w:rsid w:val="009A6141"/>
    <w:rsid w:val="009A6173"/>
    <w:rsid w:val="009A61A0"/>
    <w:rsid w:val="009A61F6"/>
    <w:rsid w:val="009A621B"/>
    <w:rsid w:val="009A62EA"/>
    <w:rsid w:val="009A6308"/>
    <w:rsid w:val="009A6333"/>
    <w:rsid w:val="009A6357"/>
    <w:rsid w:val="009A635D"/>
    <w:rsid w:val="009A638A"/>
    <w:rsid w:val="009A638C"/>
    <w:rsid w:val="009A63F3"/>
    <w:rsid w:val="009A63F5"/>
    <w:rsid w:val="009A642D"/>
    <w:rsid w:val="009A6472"/>
    <w:rsid w:val="009A64D8"/>
    <w:rsid w:val="009A6506"/>
    <w:rsid w:val="009A650D"/>
    <w:rsid w:val="009A6569"/>
    <w:rsid w:val="009A6592"/>
    <w:rsid w:val="009A661F"/>
    <w:rsid w:val="009A664C"/>
    <w:rsid w:val="009A664D"/>
    <w:rsid w:val="009A6668"/>
    <w:rsid w:val="009A666B"/>
    <w:rsid w:val="009A66D9"/>
    <w:rsid w:val="009A66FA"/>
    <w:rsid w:val="009A6705"/>
    <w:rsid w:val="009A671F"/>
    <w:rsid w:val="009A676F"/>
    <w:rsid w:val="009A678D"/>
    <w:rsid w:val="009A67A2"/>
    <w:rsid w:val="009A67D7"/>
    <w:rsid w:val="009A6896"/>
    <w:rsid w:val="009A68D5"/>
    <w:rsid w:val="009A693F"/>
    <w:rsid w:val="009A697C"/>
    <w:rsid w:val="009A69D0"/>
    <w:rsid w:val="009A69D6"/>
    <w:rsid w:val="009A6A10"/>
    <w:rsid w:val="009A6A24"/>
    <w:rsid w:val="009A6A4B"/>
    <w:rsid w:val="009A6AD8"/>
    <w:rsid w:val="009A6AFF"/>
    <w:rsid w:val="009A6D14"/>
    <w:rsid w:val="009A6D34"/>
    <w:rsid w:val="009A6D42"/>
    <w:rsid w:val="009A6D80"/>
    <w:rsid w:val="009A6DDB"/>
    <w:rsid w:val="009A6DFF"/>
    <w:rsid w:val="009A6E44"/>
    <w:rsid w:val="009A6E60"/>
    <w:rsid w:val="009A6F12"/>
    <w:rsid w:val="009A6F58"/>
    <w:rsid w:val="009A6F5C"/>
    <w:rsid w:val="009A7001"/>
    <w:rsid w:val="009A703A"/>
    <w:rsid w:val="009A7054"/>
    <w:rsid w:val="009A7059"/>
    <w:rsid w:val="009A705F"/>
    <w:rsid w:val="009A706A"/>
    <w:rsid w:val="009A709E"/>
    <w:rsid w:val="009A70A5"/>
    <w:rsid w:val="009A70D3"/>
    <w:rsid w:val="009A70D5"/>
    <w:rsid w:val="009A70E8"/>
    <w:rsid w:val="009A7135"/>
    <w:rsid w:val="009A71B7"/>
    <w:rsid w:val="009A71B9"/>
    <w:rsid w:val="009A7203"/>
    <w:rsid w:val="009A720E"/>
    <w:rsid w:val="009A7214"/>
    <w:rsid w:val="009A7257"/>
    <w:rsid w:val="009A72F2"/>
    <w:rsid w:val="009A7345"/>
    <w:rsid w:val="009A73F1"/>
    <w:rsid w:val="009A741F"/>
    <w:rsid w:val="009A7441"/>
    <w:rsid w:val="009A74A4"/>
    <w:rsid w:val="009A74D0"/>
    <w:rsid w:val="009A757E"/>
    <w:rsid w:val="009A7601"/>
    <w:rsid w:val="009A7602"/>
    <w:rsid w:val="009A7647"/>
    <w:rsid w:val="009A767D"/>
    <w:rsid w:val="009A7686"/>
    <w:rsid w:val="009A7689"/>
    <w:rsid w:val="009A76D1"/>
    <w:rsid w:val="009A76F8"/>
    <w:rsid w:val="009A779C"/>
    <w:rsid w:val="009A7831"/>
    <w:rsid w:val="009A7843"/>
    <w:rsid w:val="009A7893"/>
    <w:rsid w:val="009A78CB"/>
    <w:rsid w:val="009A7901"/>
    <w:rsid w:val="009A7920"/>
    <w:rsid w:val="009A7954"/>
    <w:rsid w:val="009A7976"/>
    <w:rsid w:val="009A79B4"/>
    <w:rsid w:val="009A79F1"/>
    <w:rsid w:val="009A7A12"/>
    <w:rsid w:val="009A7A95"/>
    <w:rsid w:val="009A7AF2"/>
    <w:rsid w:val="009A7B24"/>
    <w:rsid w:val="009A7B4F"/>
    <w:rsid w:val="009A7BC8"/>
    <w:rsid w:val="009A7C15"/>
    <w:rsid w:val="009A7C4C"/>
    <w:rsid w:val="009A7C81"/>
    <w:rsid w:val="009A7C96"/>
    <w:rsid w:val="009A7CAB"/>
    <w:rsid w:val="009A7D08"/>
    <w:rsid w:val="009A7D3D"/>
    <w:rsid w:val="009A7DCA"/>
    <w:rsid w:val="009A7E12"/>
    <w:rsid w:val="009A7E4D"/>
    <w:rsid w:val="009A7E61"/>
    <w:rsid w:val="009A7E94"/>
    <w:rsid w:val="009A7EA7"/>
    <w:rsid w:val="009A7F03"/>
    <w:rsid w:val="009A7F08"/>
    <w:rsid w:val="009A7F24"/>
    <w:rsid w:val="009A7F27"/>
    <w:rsid w:val="009A7FA9"/>
    <w:rsid w:val="009B0036"/>
    <w:rsid w:val="009B0041"/>
    <w:rsid w:val="009B0079"/>
    <w:rsid w:val="009B0115"/>
    <w:rsid w:val="009B013D"/>
    <w:rsid w:val="009B0173"/>
    <w:rsid w:val="009B0182"/>
    <w:rsid w:val="009B01F5"/>
    <w:rsid w:val="009B020B"/>
    <w:rsid w:val="009B020D"/>
    <w:rsid w:val="009B02CD"/>
    <w:rsid w:val="009B039D"/>
    <w:rsid w:val="009B03FA"/>
    <w:rsid w:val="009B0422"/>
    <w:rsid w:val="009B048E"/>
    <w:rsid w:val="009B04AD"/>
    <w:rsid w:val="009B04BC"/>
    <w:rsid w:val="009B04C0"/>
    <w:rsid w:val="009B04E3"/>
    <w:rsid w:val="009B04FD"/>
    <w:rsid w:val="009B0597"/>
    <w:rsid w:val="009B05B4"/>
    <w:rsid w:val="009B05C9"/>
    <w:rsid w:val="009B05CC"/>
    <w:rsid w:val="009B05D4"/>
    <w:rsid w:val="009B061D"/>
    <w:rsid w:val="009B0638"/>
    <w:rsid w:val="009B063B"/>
    <w:rsid w:val="009B0670"/>
    <w:rsid w:val="009B078C"/>
    <w:rsid w:val="009B0797"/>
    <w:rsid w:val="009B07B9"/>
    <w:rsid w:val="009B07D0"/>
    <w:rsid w:val="009B084A"/>
    <w:rsid w:val="009B0859"/>
    <w:rsid w:val="009B08CE"/>
    <w:rsid w:val="009B0905"/>
    <w:rsid w:val="009B091F"/>
    <w:rsid w:val="009B094F"/>
    <w:rsid w:val="009B0968"/>
    <w:rsid w:val="009B0981"/>
    <w:rsid w:val="009B09AF"/>
    <w:rsid w:val="009B09FB"/>
    <w:rsid w:val="009B0BAA"/>
    <w:rsid w:val="009B0BAF"/>
    <w:rsid w:val="009B0C5A"/>
    <w:rsid w:val="009B0CAA"/>
    <w:rsid w:val="009B0CE9"/>
    <w:rsid w:val="009B0D07"/>
    <w:rsid w:val="009B0D1A"/>
    <w:rsid w:val="009B0D6B"/>
    <w:rsid w:val="009B0DB9"/>
    <w:rsid w:val="009B0DC0"/>
    <w:rsid w:val="009B0DD6"/>
    <w:rsid w:val="009B0DF3"/>
    <w:rsid w:val="009B0DF5"/>
    <w:rsid w:val="009B0E07"/>
    <w:rsid w:val="009B0E2A"/>
    <w:rsid w:val="009B0E61"/>
    <w:rsid w:val="009B0E8B"/>
    <w:rsid w:val="009B0F13"/>
    <w:rsid w:val="009B0F8C"/>
    <w:rsid w:val="009B0FE6"/>
    <w:rsid w:val="009B0FEF"/>
    <w:rsid w:val="009B106F"/>
    <w:rsid w:val="009B108E"/>
    <w:rsid w:val="009B1123"/>
    <w:rsid w:val="009B1128"/>
    <w:rsid w:val="009B112A"/>
    <w:rsid w:val="009B1189"/>
    <w:rsid w:val="009B1192"/>
    <w:rsid w:val="009B11C0"/>
    <w:rsid w:val="009B1209"/>
    <w:rsid w:val="009B124D"/>
    <w:rsid w:val="009B1277"/>
    <w:rsid w:val="009B12A3"/>
    <w:rsid w:val="009B12AD"/>
    <w:rsid w:val="009B1400"/>
    <w:rsid w:val="009B1404"/>
    <w:rsid w:val="009B1532"/>
    <w:rsid w:val="009B15ED"/>
    <w:rsid w:val="009B15F2"/>
    <w:rsid w:val="009B1664"/>
    <w:rsid w:val="009B1682"/>
    <w:rsid w:val="009B16CA"/>
    <w:rsid w:val="009B16F7"/>
    <w:rsid w:val="009B176E"/>
    <w:rsid w:val="009B1821"/>
    <w:rsid w:val="009B1834"/>
    <w:rsid w:val="009B1859"/>
    <w:rsid w:val="009B18C8"/>
    <w:rsid w:val="009B18E0"/>
    <w:rsid w:val="009B18F2"/>
    <w:rsid w:val="009B18F9"/>
    <w:rsid w:val="009B1907"/>
    <w:rsid w:val="009B1916"/>
    <w:rsid w:val="009B192A"/>
    <w:rsid w:val="009B1956"/>
    <w:rsid w:val="009B195F"/>
    <w:rsid w:val="009B1993"/>
    <w:rsid w:val="009B19B6"/>
    <w:rsid w:val="009B19C6"/>
    <w:rsid w:val="009B19CE"/>
    <w:rsid w:val="009B1A49"/>
    <w:rsid w:val="009B1AB2"/>
    <w:rsid w:val="009B1ACA"/>
    <w:rsid w:val="009B1AF1"/>
    <w:rsid w:val="009B1B50"/>
    <w:rsid w:val="009B1B59"/>
    <w:rsid w:val="009B1C80"/>
    <w:rsid w:val="009B1C89"/>
    <w:rsid w:val="009B1CA2"/>
    <w:rsid w:val="009B1CC3"/>
    <w:rsid w:val="009B1CCD"/>
    <w:rsid w:val="009B1CF4"/>
    <w:rsid w:val="009B1CFE"/>
    <w:rsid w:val="009B1D19"/>
    <w:rsid w:val="009B1D3E"/>
    <w:rsid w:val="009B1D44"/>
    <w:rsid w:val="009B1D66"/>
    <w:rsid w:val="009B1D68"/>
    <w:rsid w:val="009B1DAB"/>
    <w:rsid w:val="009B1DF6"/>
    <w:rsid w:val="009B1DFE"/>
    <w:rsid w:val="009B1EA2"/>
    <w:rsid w:val="009B1EA4"/>
    <w:rsid w:val="009B1EDA"/>
    <w:rsid w:val="009B1F0F"/>
    <w:rsid w:val="009B1F3A"/>
    <w:rsid w:val="009B2005"/>
    <w:rsid w:val="009B203E"/>
    <w:rsid w:val="009B205F"/>
    <w:rsid w:val="009B207D"/>
    <w:rsid w:val="009B20BD"/>
    <w:rsid w:val="009B20FF"/>
    <w:rsid w:val="009B21B9"/>
    <w:rsid w:val="009B220C"/>
    <w:rsid w:val="009B221D"/>
    <w:rsid w:val="009B224A"/>
    <w:rsid w:val="009B2251"/>
    <w:rsid w:val="009B2261"/>
    <w:rsid w:val="009B2270"/>
    <w:rsid w:val="009B233B"/>
    <w:rsid w:val="009B2399"/>
    <w:rsid w:val="009B23AE"/>
    <w:rsid w:val="009B2485"/>
    <w:rsid w:val="009B2486"/>
    <w:rsid w:val="009B2495"/>
    <w:rsid w:val="009B24F1"/>
    <w:rsid w:val="009B254C"/>
    <w:rsid w:val="009B25AE"/>
    <w:rsid w:val="009B26F2"/>
    <w:rsid w:val="009B270B"/>
    <w:rsid w:val="009B270C"/>
    <w:rsid w:val="009B271B"/>
    <w:rsid w:val="009B2738"/>
    <w:rsid w:val="009B276C"/>
    <w:rsid w:val="009B27AE"/>
    <w:rsid w:val="009B2824"/>
    <w:rsid w:val="009B2846"/>
    <w:rsid w:val="009B2855"/>
    <w:rsid w:val="009B28A5"/>
    <w:rsid w:val="009B28BC"/>
    <w:rsid w:val="009B294E"/>
    <w:rsid w:val="009B299C"/>
    <w:rsid w:val="009B29AE"/>
    <w:rsid w:val="009B29D5"/>
    <w:rsid w:val="009B2A00"/>
    <w:rsid w:val="009B2A2D"/>
    <w:rsid w:val="009B2A38"/>
    <w:rsid w:val="009B2A63"/>
    <w:rsid w:val="009B2A86"/>
    <w:rsid w:val="009B2AB5"/>
    <w:rsid w:val="009B2ADE"/>
    <w:rsid w:val="009B2AE2"/>
    <w:rsid w:val="009B2AE5"/>
    <w:rsid w:val="009B2B69"/>
    <w:rsid w:val="009B2BD0"/>
    <w:rsid w:val="009B2BE4"/>
    <w:rsid w:val="009B2C29"/>
    <w:rsid w:val="009B2C56"/>
    <w:rsid w:val="009B2C5E"/>
    <w:rsid w:val="009B2C62"/>
    <w:rsid w:val="009B2C98"/>
    <w:rsid w:val="009B2D57"/>
    <w:rsid w:val="009B2D73"/>
    <w:rsid w:val="009B2D75"/>
    <w:rsid w:val="009B2DC3"/>
    <w:rsid w:val="009B2E4A"/>
    <w:rsid w:val="009B2F51"/>
    <w:rsid w:val="009B2F5D"/>
    <w:rsid w:val="009B2F72"/>
    <w:rsid w:val="009B2F76"/>
    <w:rsid w:val="009B2F77"/>
    <w:rsid w:val="009B2FFB"/>
    <w:rsid w:val="009B307F"/>
    <w:rsid w:val="009B3083"/>
    <w:rsid w:val="009B30B6"/>
    <w:rsid w:val="009B30CC"/>
    <w:rsid w:val="009B30D3"/>
    <w:rsid w:val="009B3103"/>
    <w:rsid w:val="009B310F"/>
    <w:rsid w:val="009B317C"/>
    <w:rsid w:val="009B31B8"/>
    <w:rsid w:val="009B3218"/>
    <w:rsid w:val="009B3247"/>
    <w:rsid w:val="009B324C"/>
    <w:rsid w:val="009B32B9"/>
    <w:rsid w:val="009B3334"/>
    <w:rsid w:val="009B3339"/>
    <w:rsid w:val="009B335C"/>
    <w:rsid w:val="009B3402"/>
    <w:rsid w:val="009B3419"/>
    <w:rsid w:val="009B3425"/>
    <w:rsid w:val="009B3471"/>
    <w:rsid w:val="009B3473"/>
    <w:rsid w:val="009B34C0"/>
    <w:rsid w:val="009B34DC"/>
    <w:rsid w:val="009B34E8"/>
    <w:rsid w:val="009B3507"/>
    <w:rsid w:val="009B3526"/>
    <w:rsid w:val="009B354A"/>
    <w:rsid w:val="009B356C"/>
    <w:rsid w:val="009B35B2"/>
    <w:rsid w:val="009B35CC"/>
    <w:rsid w:val="009B3606"/>
    <w:rsid w:val="009B362E"/>
    <w:rsid w:val="009B3630"/>
    <w:rsid w:val="009B363A"/>
    <w:rsid w:val="009B3644"/>
    <w:rsid w:val="009B366C"/>
    <w:rsid w:val="009B36F4"/>
    <w:rsid w:val="009B371B"/>
    <w:rsid w:val="009B373F"/>
    <w:rsid w:val="009B3758"/>
    <w:rsid w:val="009B377E"/>
    <w:rsid w:val="009B3796"/>
    <w:rsid w:val="009B37DA"/>
    <w:rsid w:val="009B3819"/>
    <w:rsid w:val="009B3843"/>
    <w:rsid w:val="009B392C"/>
    <w:rsid w:val="009B39A0"/>
    <w:rsid w:val="009B39D4"/>
    <w:rsid w:val="009B39EB"/>
    <w:rsid w:val="009B39ED"/>
    <w:rsid w:val="009B3A2F"/>
    <w:rsid w:val="009B3A93"/>
    <w:rsid w:val="009B3ACB"/>
    <w:rsid w:val="009B3ADD"/>
    <w:rsid w:val="009B3B1C"/>
    <w:rsid w:val="009B3B32"/>
    <w:rsid w:val="009B3BE4"/>
    <w:rsid w:val="009B3C2B"/>
    <w:rsid w:val="009B3C4C"/>
    <w:rsid w:val="009B3C4D"/>
    <w:rsid w:val="009B3CE4"/>
    <w:rsid w:val="009B3CF6"/>
    <w:rsid w:val="009B3D57"/>
    <w:rsid w:val="009B3E6C"/>
    <w:rsid w:val="009B3E8B"/>
    <w:rsid w:val="009B3ED1"/>
    <w:rsid w:val="009B3F11"/>
    <w:rsid w:val="009B3F2C"/>
    <w:rsid w:val="009B3F3D"/>
    <w:rsid w:val="009B3F7A"/>
    <w:rsid w:val="009B3FA8"/>
    <w:rsid w:val="009B3FF2"/>
    <w:rsid w:val="009B4020"/>
    <w:rsid w:val="009B407E"/>
    <w:rsid w:val="009B4084"/>
    <w:rsid w:val="009B40B0"/>
    <w:rsid w:val="009B40D2"/>
    <w:rsid w:val="009B4135"/>
    <w:rsid w:val="009B420E"/>
    <w:rsid w:val="009B421D"/>
    <w:rsid w:val="009B423A"/>
    <w:rsid w:val="009B4291"/>
    <w:rsid w:val="009B42CA"/>
    <w:rsid w:val="009B430A"/>
    <w:rsid w:val="009B4311"/>
    <w:rsid w:val="009B4336"/>
    <w:rsid w:val="009B4448"/>
    <w:rsid w:val="009B4458"/>
    <w:rsid w:val="009B4465"/>
    <w:rsid w:val="009B448A"/>
    <w:rsid w:val="009B449E"/>
    <w:rsid w:val="009B4545"/>
    <w:rsid w:val="009B45D5"/>
    <w:rsid w:val="009B4631"/>
    <w:rsid w:val="009B46F6"/>
    <w:rsid w:val="009B47F3"/>
    <w:rsid w:val="009B482D"/>
    <w:rsid w:val="009B4831"/>
    <w:rsid w:val="009B489A"/>
    <w:rsid w:val="009B48AF"/>
    <w:rsid w:val="009B48E5"/>
    <w:rsid w:val="009B4900"/>
    <w:rsid w:val="009B493E"/>
    <w:rsid w:val="009B4A18"/>
    <w:rsid w:val="009B4A56"/>
    <w:rsid w:val="009B4B54"/>
    <w:rsid w:val="009B4B70"/>
    <w:rsid w:val="009B4B7F"/>
    <w:rsid w:val="009B4C91"/>
    <w:rsid w:val="009B4CD7"/>
    <w:rsid w:val="009B4E03"/>
    <w:rsid w:val="009B4E07"/>
    <w:rsid w:val="009B4E20"/>
    <w:rsid w:val="009B4E62"/>
    <w:rsid w:val="009B4EB8"/>
    <w:rsid w:val="009B4EC9"/>
    <w:rsid w:val="009B4F3A"/>
    <w:rsid w:val="009B4F56"/>
    <w:rsid w:val="009B4F69"/>
    <w:rsid w:val="009B50CE"/>
    <w:rsid w:val="009B50F8"/>
    <w:rsid w:val="009B514A"/>
    <w:rsid w:val="009B514B"/>
    <w:rsid w:val="009B5154"/>
    <w:rsid w:val="009B51AD"/>
    <w:rsid w:val="009B51F4"/>
    <w:rsid w:val="009B5236"/>
    <w:rsid w:val="009B523B"/>
    <w:rsid w:val="009B5288"/>
    <w:rsid w:val="009B533E"/>
    <w:rsid w:val="009B534F"/>
    <w:rsid w:val="009B539A"/>
    <w:rsid w:val="009B53E3"/>
    <w:rsid w:val="009B5424"/>
    <w:rsid w:val="009B54BE"/>
    <w:rsid w:val="009B5528"/>
    <w:rsid w:val="009B555A"/>
    <w:rsid w:val="009B5590"/>
    <w:rsid w:val="009B55AE"/>
    <w:rsid w:val="009B55FA"/>
    <w:rsid w:val="009B55FB"/>
    <w:rsid w:val="009B55FF"/>
    <w:rsid w:val="009B563B"/>
    <w:rsid w:val="009B564C"/>
    <w:rsid w:val="009B5660"/>
    <w:rsid w:val="009B56E8"/>
    <w:rsid w:val="009B5732"/>
    <w:rsid w:val="009B57AA"/>
    <w:rsid w:val="009B57C0"/>
    <w:rsid w:val="009B5859"/>
    <w:rsid w:val="009B585D"/>
    <w:rsid w:val="009B5919"/>
    <w:rsid w:val="009B595A"/>
    <w:rsid w:val="009B5984"/>
    <w:rsid w:val="009B5A37"/>
    <w:rsid w:val="009B5A44"/>
    <w:rsid w:val="009B5B2E"/>
    <w:rsid w:val="009B5B3D"/>
    <w:rsid w:val="009B5B4C"/>
    <w:rsid w:val="009B5B7E"/>
    <w:rsid w:val="009B5C05"/>
    <w:rsid w:val="009B5C71"/>
    <w:rsid w:val="009B5C75"/>
    <w:rsid w:val="009B5C9E"/>
    <w:rsid w:val="009B5CA5"/>
    <w:rsid w:val="009B5CE5"/>
    <w:rsid w:val="009B5D2D"/>
    <w:rsid w:val="009B5DD2"/>
    <w:rsid w:val="009B5E25"/>
    <w:rsid w:val="009B5E82"/>
    <w:rsid w:val="009B5EB2"/>
    <w:rsid w:val="009B5FAA"/>
    <w:rsid w:val="009B5FD1"/>
    <w:rsid w:val="009B5FF7"/>
    <w:rsid w:val="009B5FFF"/>
    <w:rsid w:val="009B6042"/>
    <w:rsid w:val="009B611F"/>
    <w:rsid w:val="009B6124"/>
    <w:rsid w:val="009B6156"/>
    <w:rsid w:val="009B6205"/>
    <w:rsid w:val="009B6271"/>
    <w:rsid w:val="009B635E"/>
    <w:rsid w:val="009B6363"/>
    <w:rsid w:val="009B6406"/>
    <w:rsid w:val="009B6434"/>
    <w:rsid w:val="009B6458"/>
    <w:rsid w:val="009B64EA"/>
    <w:rsid w:val="009B64F9"/>
    <w:rsid w:val="009B6517"/>
    <w:rsid w:val="009B6599"/>
    <w:rsid w:val="009B65AD"/>
    <w:rsid w:val="009B65C5"/>
    <w:rsid w:val="009B65F9"/>
    <w:rsid w:val="009B660A"/>
    <w:rsid w:val="009B6618"/>
    <w:rsid w:val="009B6633"/>
    <w:rsid w:val="009B668A"/>
    <w:rsid w:val="009B66A9"/>
    <w:rsid w:val="009B66F4"/>
    <w:rsid w:val="009B670B"/>
    <w:rsid w:val="009B67AC"/>
    <w:rsid w:val="009B67CF"/>
    <w:rsid w:val="009B67D9"/>
    <w:rsid w:val="009B67DC"/>
    <w:rsid w:val="009B6803"/>
    <w:rsid w:val="009B6821"/>
    <w:rsid w:val="009B6868"/>
    <w:rsid w:val="009B688F"/>
    <w:rsid w:val="009B68AA"/>
    <w:rsid w:val="009B68D2"/>
    <w:rsid w:val="009B68E1"/>
    <w:rsid w:val="009B68F8"/>
    <w:rsid w:val="009B6933"/>
    <w:rsid w:val="009B6986"/>
    <w:rsid w:val="009B6995"/>
    <w:rsid w:val="009B69A9"/>
    <w:rsid w:val="009B69B3"/>
    <w:rsid w:val="009B6ADE"/>
    <w:rsid w:val="009B6B39"/>
    <w:rsid w:val="009B6BB5"/>
    <w:rsid w:val="009B6BED"/>
    <w:rsid w:val="009B6C14"/>
    <w:rsid w:val="009B6C26"/>
    <w:rsid w:val="009B6C31"/>
    <w:rsid w:val="009B6CE7"/>
    <w:rsid w:val="009B6D2F"/>
    <w:rsid w:val="009B6D48"/>
    <w:rsid w:val="009B6E4B"/>
    <w:rsid w:val="009B6E4E"/>
    <w:rsid w:val="009B6EC0"/>
    <w:rsid w:val="009B6ECE"/>
    <w:rsid w:val="009B6F07"/>
    <w:rsid w:val="009B6F2F"/>
    <w:rsid w:val="009B6FA4"/>
    <w:rsid w:val="009B6FAD"/>
    <w:rsid w:val="009B6FC8"/>
    <w:rsid w:val="009B709F"/>
    <w:rsid w:val="009B70D9"/>
    <w:rsid w:val="009B7110"/>
    <w:rsid w:val="009B7198"/>
    <w:rsid w:val="009B71EE"/>
    <w:rsid w:val="009B723E"/>
    <w:rsid w:val="009B72F8"/>
    <w:rsid w:val="009B736A"/>
    <w:rsid w:val="009B7396"/>
    <w:rsid w:val="009B73A2"/>
    <w:rsid w:val="009B7404"/>
    <w:rsid w:val="009B743B"/>
    <w:rsid w:val="009B744A"/>
    <w:rsid w:val="009B7459"/>
    <w:rsid w:val="009B7468"/>
    <w:rsid w:val="009B746B"/>
    <w:rsid w:val="009B7479"/>
    <w:rsid w:val="009B747A"/>
    <w:rsid w:val="009B749F"/>
    <w:rsid w:val="009B7525"/>
    <w:rsid w:val="009B752A"/>
    <w:rsid w:val="009B7595"/>
    <w:rsid w:val="009B75B3"/>
    <w:rsid w:val="009B75BD"/>
    <w:rsid w:val="009B7638"/>
    <w:rsid w:val="009B763F"/>
    <w:rsid w:val="009B76A7"/>
    <w:rsid w:val="009B7713"/>
    <w:rsid w:val="009B7742"/>
    <w:rsid w:val="009B7780"/>
    <w:rsid w:val="009B77A0"/>
    <w:rsid w:val="009B7823"/>
    <w:rsid w:val="009B7832"/>
    <w:rsid w:val="009B783F"/>
    <w:rsid w:val="009B78AC"/>
    <w:rsid w:val="009B78BE"/>
    <w:rsid w:val="009B79CD"/>
    <w:rsid w:val="009B7A3D"/>
    <w:rsid w:val="009B7A60"/>
    <w:rsid w:val="009B7AFA"/>
    <w:rsid w:val="009B7B85"/>
    <w:rsid w:val="009B7BFB"/>
    <w:rsid w:val="009B7C10"/>
    <w:rsid w:val="009B7C48"/>
    <w:rsid w:val="009B7CC3"/>
    <w:rsid w:val="009B7D51"/>
    <w:rsid w:val="009B7D63"/>
    <w:rsid w:val="009B7D73"/>
    <w:rsid w:val="009B7DF8"/>
    <w:rsid w:val="009B7E29"/>
    <w:rsid w:val="009B7F13"/>
    <w:rsid w:val="009B7F18"/>
    <w:rsid w:val="009B7F38"/>
    <w:rsid w:val="009B7F6A"/>
    <w:rsid w:val="009B7F8F"/>
    <w:rsid w:val="009B7F96"/>
    <w:rsid w:val="009B7FA3"/>
    <w:rsid w:val="009B7FE2"/>
    <w:rsid w:val="009C000D"/>
    <w:rsid w:val="009C0050"/>
    <w:rsid w:val="009C00B0"/>
    <w:rsid w:val="009C00F0"/>
    <w:rsid w:val="009C0116"/>
    <w:rsid w:val="009C0157"/>
    <w:rsid w:val="009C0199"/>
    <w:rsid w:val="009C019F"/>
    <w:rsid w:val="009C01FA"/>
    <w:rsid w:val="009C020C"/>
    <w:rsid w:val="009C023B"/>
    <w:rsid w:val="009C0283"/>
    <w:rsid w:val="009C02A3"/>
    <w:rsid w:val="009C035C"/>
    <w:rsid w:val="009C03B2"/>
    <w:rsid w:val="009C0474"/>
    <w:rsid w:val="009C04CA"/>
    <w:rsid w:val="009C04E9"/>
    <w:rsid w:val="009C053A"/>
    <w:rsid w:val="009C0544"/>
    <w:rsid w:val="009C054F"/>
    <w:rsid w:val="009C05C0"/>
    <w:rsid w:val="009C05C7"/>
    <w:rsid w:val="009C0606"/>
    <w:rsid w:val="009C0636"/>
    <w:rsid w:val="009C0729"/>
    <w:rsid w:val="009C07A1"/>
    <w:rsid w:val="009C07B5"/>
    <w:rsid w:val="009C07E4"/>
    <w:rsid w:val="009C0830"/>
    <w:rsid w:val="009C083D"/>
    <w:rsid w:val="009C08A5"/>
    <w:rsid w:val="009C08DA"/>
    <w:rsid w:val="009C0935"/>
    <w:rsid w:val="009C0967"/>
    <w:rsid w:val="009C099C"/>
    <w:rsid w:val="009C09BB"/>
    <w:rsid w:val="009C09C3"/>
    <w:rsid w:val="009C0A6C"/>
    <w:rsid w:val="009C0AEF"/>
    <w:rsid w:val="009C0B21"/>
    <w:rsid w:val="009C0B28"/>
    <w:rsid w:val="009C0BDB"/>
    <w:rsid w:val="009C0BED"/>
    <w:rsid w:val="009C0C0F"/>
    <w:rsid w:val="009C0C2F"/>
    <w:rsid w:val="009C0C5C"/>
    <w:rsid w:val="009C0CD1"/>
    <w:rsid w:val="009C0CDD"/>
    <w:rsid w:val="009C0DAE"/>
    <w:rsid w:val="009C0DC7"/>
    <w:rsid w:val="009C0E28"/>
    <w:rsid w:val="009C0E2D"/>
    <w:rsid w:val="009C0E89"/>
    <w:rsid w:val="009C0F1D"/>
    <w:rsid w:val="009C0F53"/>
    <w:rsid w:val="009C0F68"/>
    <w:rsid w:val="009C0F7A"/>
    <w:rsid w:val="009C0F7B"/>
    <w:rsid w:val="009C107D"/>
    <w:rsid w:val="009C10B3"/>
    <w:rsid w:val="009C10BC"/>
    <w:rsid w:val="009C1129"/>
    <w:rsid w:val="009C1130"/>
    <w:rsid w:val="009C1131"/>
    <w:rsid w:val="009C1188"/>
    <w:rsid w:val="009C11A9"/>
    <w:rsid w:val="009C1200"/>
    <w:rsid w:val="009C1201"/>
    <w:rsid w:val="009C1211"/>
    <w:rsid w:val="009C1254"/>
    <w:rsid w:val="009C12B4"/>
    <w:rsid w:val="009C12F1"/>
    <w:rsid w:val="009C130A"/>
    <w:rsid w:val="009C1358"/>
    <w:rsid w:val="009C135A"/>
    <w:rsid w:val="009C136B"/>
    <w:rsid w:val="009C13AC"/>
    <w:rsid w:val="009C13F7"/>
    <w:rsid w:val="009C148E"/>
    <w:rsid w:val="009C14ED"/>
    <w:rsid w:val="009C157D"/>
    <w:rsid w:val="009C158F"/>
    <w:rsid w:val="009C15D3"/>
    <w:rsid w:val="009C15DE"/>
    <w:rsid w:val="009C1676"/>
    <w:rsid w:val="009C176D"/>
    <w:rsid w:val="009C178A"/>
    <w:rsid w:val="009C178B"/>
    <w:rsid w:val="009C17C2"/>
    <w:rsid w:val="009C17FF"/>
    <w:rsid w:val="009C180D"/>
    <w:rsid w:val="009C185F"/>
    <w:rsid w:val="009C1886"/>
    <w:rsid w:val="009C194C"/>
    <w:rsid w:val="009C1952"/>
    <w:rsid w:val="009C1988"/>
    <w:rsid w:val="009C19E2"/>
    <w:rsid w:val="009C19EF"/>
    <w:rsid w:val="009C19F3"/>
    <w:rsid w:val="009C19FB"/>
    <w:rsid w:val="009C1A53"/>
    <w:rsid w:val="009C1A80"/>
    <w:rsid w:val="009C1AB1"/>
    <w:rsid w:val="009C1AB5"/>
    <w:rsid w:val="009C1AD8"/>
    <w:rsid w:val="009C1B49"/>
    <w:rsid w:val="009C1C07"/>
    <w:rsid w:val="009C1CFA"/>
    <w:rsid w:val="009C1D41"/>
    <w:rsid w:val="009C1D57"/>
    <w:rsid w:val="009C1D91"/>
    <w:rsid w:val="009C1E98"/>
    <w:rsid w:val="009C1EAD"/>
    <w:rsid w:val="009C1ED3"/>
    <w:rsid w:val="009C1F12"/>
    <w:rsid w:val="009C1F58"/>
    <w:rsid w:val="009C1F6B"/>
    <w:rsid w:val="009C1FAC"/>
    <w:rsid w:val="009C2018"/>
    <w:rsid w:val="009C204D"/>
    <w:rsid w:val="009C20BE"/>
    <w:rsid w:val="009C20E2"/>
    <w:rsid w:val="009C20F4"/>
    <w:rsid w:val="009C2129"/>
    <w:rsid w:val="009C212E"/>
    <w:rsid w:val="009C215E"/>
    <w:rsid w:val="009C221A"/>
    <w:rsid w:val="009C2221"/>
    <w:rsid w:val="009C2250"/>
    <w:rsid w:val="009C2280"/>
    <w:rsid w:val="009C2291"/>
    <w:rsid w:val="009C2301"/>
    <w:rsid w:val="009C23AF"/>
    <w:rsid w:val="009C23E4"/>
    <w:rsid w:val="009C2424"/>
    <w:rsid w:val="009C2480"/>
    <w:rsid w:val="009C24A6"/>
    <w:rsid w:val="009C24EB"/>
    <w:rsid w:val="009C261C"/>
    <w:rsid w:val="009C267B"/>
    <w:rsid w:val="009C26CA"/>
    <w:rsid w:val="009C274C"/>
    <w:rsid w:val="009C27B2"/>
    <w:rsid w:val="009C2834"/>
    <w:rsid w:val="009C2883"/>
    <w:rsid w:val="009C28AE"/>
    <w:rsid w:val="009C2934"/>
    <w:rsid w:val="009C29A6"/>
    <w:rsid w:val="009C29BB"/>
    <w:rsid w:val="009C2A17"/>
    <w:rsid w:val="009C2A1B"/>
    <w:rsid w:val="009C2A48"/>
    <w:rsid w:val="009C2A50"/>
    <w:rsid w:val="009C2A69"/>
    <w:rsid w:val="009C2AC3"/>
    <w:rsid w:val="009C2AF2"/>
    <w:rsid w:val="009C2B2A"/>
    <w:rsid w:val="009C2B86"/>
    <w:rsid w:val="009C2B9C"/>
    <w:rsid w:val="009C2B9F"/>
    <w:rsid w:val="009C2BA0"/>
    <w:rsid w:val="009C2BDF"/>
    <w:rsid w:val="009C2BE2"/>
    <w:rsid w:val="009C2C39"/>
    <w:rsid w:val="009C2CAF"/>
    <w:rsid w:val="009C2CD3"/>
    <w:rsid w:val="009C2CD6"/>
    <w:rsid w:val="009C2D3C"/>
    <w:rsid w:val="009C2D3E"/>
    <w:rsid w:val="009C2D9F"/>
    <w:rsid w:val="009C2DDD"/>
    <w:rsid w:val="009C2DE2"/>
    <w:rsid w:val="009C2DFD"/>
    <w:rsid w:val="009C2E16"/>
    <w:rsid w:val="009C2E1F"/>
    <w:rsid w:val="009C2E36"/>
    <w:rsid w:val="009C2E99"/>
    <w:rsid w:val="009C2EB0"/>
    <w:rsid w:val="009C2F1B"/>
    <w:rsid w:val="009C2F38"/>
    <w:rsid w:val="009C2FC2"/>
    <w:rsid w:val="009C2FC8"/>
    <w:rsid w:val="009C2FCA"/>
    <w:rsid w:val="009C3018"/>
    <w:rsid w:val="009C309C"/>
    <w:rsid w:val="009C30FC"/>
    <w:rsid w:val="009C31B7"/>
    <w:rsid w:val="009C3264"/>
    <w:rsid w:val="009C3271"/>
    <w:rsid w:val="009C32F4"/>
    <w:rsid w:val="009C3345"/>
    <w:rsid w:val="009C335C"/>
    <w:rsid w:val="009C3375"/>
    <w:rsid w:val="009C33D6"/>
    <w:rsid w:val="009C340E"/>
    <w:rsid w:val="009C3456"/>
    <w:rsid w:val="009C34CF"/>
    <w:rsid w:val="009C34FA"/>
    <w:rsid w:val="009C350C"/>
    <w:rsid w:val="009C3555"/>
    <w:rsid w:val="009C35C1"/>
    <w:rsid w:val="009C3647"/>
    <w:rsid w:val="009C36A7"/>
    <w:rsid w:val="009C36AC"/>
    <w:rsid w:val="009C36B5"/>
    <w:rsid w:val="009C36C5"/>
    <w:rsid w:val="009C36CD"/>
    <w:rsid w:val="009C36EB"/>
    <w:rsid w:val="009C371E"/>
    <w:rsid w:val="009C3732"/>
    <w:rsid w:val="009C375C"/>
    <w:rsid w:val="009C378D"/>
    <w:rsid w:val="009C3858"/>
    <w:rsid w:val="009C387E"/>
    <w:rsid w:val="009C3884"/>
    <w:rsid w:val="009C38DB"/>
    <w:rsid w:val="009C3903"/>
    <w:rsid w:val="009C3906"/>
    <w:rsid w:val="009C3987"/>
    <w:rsid w:val="009C3989"/>
    <w:rsid w:val="009C399E"/>
    <w:rsid w:val="009C39D2"/>
    <w:rsid w:val="009C3A4E"/>
    <w:rsid w:val="009C3A85"/>
    <w:rsid w:val="009C3A9E"/>
    <w:rsid w:val="009C3AB7"/>
    <w:rsid w:val="009C3B00"/>
    <w:rsid w:val="009C3B11"/>
    <w:rsid w:val="009C3B47"/>
    <w:rsid w:val="009C3BBC"/>
    <w:rsid w:val="009C3C30"/>
    <w:rsid w:val="009C3CB1"/>
    <w:rsid w:val="009C3CC3"/>
    <w:rsid w:val="009C3CCB"/>
    <w:rsid w:val="009C3D03"/>
    <w:rsid w:val="009C3D47"/>
    <w:rsid w:val="009C3DAD"/>
    <w:rsid w:val="009C3DFA"/>
    <w:rsid w:val="009C3E39"/>
    <w:rsid w:val="009C3E6C"/>
    <w:rsid w:val="009C3EA1"/>
    <w:rsid w:val="009C3F37"/>
    <w:rsid w:val="009C3F57"/>
    <w:rsid w:val="009C3F8C"/>
    <w:rsid w:val="009C3FC5"/>
    <w:rsid w:val="009C3FD5"/>
    <w:rsid w:val="009C3FDE"/>
    <w:rsid w:val="009C400C"/>
    <w:rsid w:val="009C409F"/>
    <w:rsid w:val="009C40DE"/>
    <w:rsid w:val="009C41C9"/>
    <w:rsid w:val="009C41CF"/>
    <w:rsid w:val="009C4222"/>
    <w:rsid w:val="009C42C3"/>
    <w:rsid w:val="009C42C8"/>
    <w:rsid w:val="009C42DE"/>
    <w:rsid w:val="009C4317"/>
    <w:rsid w:val="009C43C2"/>
    <w:rsid w:val="009C4434"/>
    <w:rsid w:val="009C44CF"/>
    <w:rsid w:val="009C44D6"/>
    <w:rsid w:val="009C44E0"/>
    <w:rsid w:val="009C44EA"/>
    <w:rsid w:val="009C4565"/>
    <w:rsid w:val="009C45A2"/>
    <w:rsid w:val="009C45F4"/>
    <w:rsid w:val="009C4626"/>
    <w:rsid w:val="009C4627"/>
    <w:rsid w:val="009C464C"/>
    <w:rsid w:val="009C46BA"/>
    <w:rsid w:val="009C4715"/>
    <w:rsid w:val="009C478A"/>
    <w:rsid w:val="009C47D9"/>
    <w:rsid w:val="009C484E"/>
    <w:rsid w:val="009C4890"/>
    <w:rsid w:val="009C48DC"/>
    <w:rsid w:val="009C48F4"/>
    <w:rsid w:val="009C4907"/>
    <w:rsid w:val="009C4926"/>
    <w:rsid w:val="009C4956"/>
    <w:rsid w:val="009C497F"/>
    <w:rsid w:val="009C4997"/>
    <w:rsid w:val="009C49E0"/>
    <w:rsid w:val="009C4A79"/>
    <w:rsid w:val="009C4B17"/>
    <w:rsid w:val="009C4B5C"/>
    <w:rsid w:val="009C4B6A"/>
    <w:rsid w:val="009C4BDC"/>
    <w:rsid w:val="009C4C36"/>
    <w:rsid w:val="009C4CA5"/>
    <w:rsid w:val="009C4DF0"/>
    <w:rsid w:val="009C4E66"/>
    <w:rsid w:val="009C4E76"/>
    <w:rsid w:val="009C4EA9"/>
    <w:rsid w:val="009C4EC4"/>
    <w:rsid w:val="009C4EF2"/>
    <w:rsid w:val="009C4F10"/>
    <w:rsid w:val="009C4F28"/>
    <w:rsid w:val="009C4F58"/>
    <w:rsid w:val="009C4FA6"/>
    <w:rsid w:val="009C4FBB"/>
    <w:rsid w:val="009C4FDA"/>
    <w:rsid w:val="009C500E"/>
    <w:rsid w:val="009C5012"/>
    <w:rsid w:val="009C5014"/>
    <w:rsid w:val="009C5096"/>
    <w:rsid w:val="009C50D4"/>
    <w:rsid w:val="009C50DA"/>
    <w:rsid w:val="009C50E1"/>
    <w:rsid w:val="009C50F3"/>
    <w:rsid w:val="009C5102"/>
    <w:rsid w:val="009C510E"/>
    <w:rsid w:val="009C5127"/>
    <w:rsid w:val="009C5130"/>
    <w:rsid w:val="009C5142"/>
    <w:rsid w:val="009C5143"/>
    <w:rsid w:val="009C5155"/>
    <w:rsid w:val="009C516A"/>
    <w:rsid w:val="009C517A"/>
    <w:rsid w:val="009C51C9"/>
    <w:rsid w:val="009C5206"/>
    <w:rsid w:val="009C5229"/>
    <w:rsid w:val="009C52A4"/>
    <w:rsid w:val="009C5329"/>
    <w:rsid w:val="009C533B"/>
    <w:rsid w:val="009C533E"/>
    <w:rsid w:val="009C5353"/>
    <w:rsid w:val="009C5363"/>
    <w:rsid w:val="009C5383"/>
    <w:rsid w:val="009C539B"/>
    <w:rsid w:val="009C53AE"/>
    <w:rsid w:val="009C53D2"/>
    <w:rsid w:val="009C53FB"/>
    <w:rsid w:val="009C5449"/>
    <w:rsid w:val="009C5487"/>
    <w:rsid w:val="009C5539"/>
    <w:rsid w:val="009C5542"/>
    <w:rsid w:val="009C556A"/>
    <w:rsid w:val="009C5590"/>
    <w:rsid w:val="009C559B"/>
    <w:rsid w:val="009C55A3"/>
    <w:rsid w:val="009C5621"/>
    <w:rsid w:val="009C56B3"/>
    <w:rsid w:val="009C56BD"/>
    <w:rsid w:val="009C56EB"/>
    <w:rsid w:val="009C57C1"/>
    <w:rsid w:val="009C580E"/>
    <w:rsid w:val="009C5877"/>
    <w:rsid w:val="009C58C9"/>
    <w:rsid w:val="009C58DA"/>
    <w:rsid w:val="009C593F"/>
    <w:rsid w:val="009C59BC"/>
    <w:rsid w:val="009C5A67"/>
    <w:rsid w:val="009C5AAC"/>
    <w:rsid w:val="009C5B8C"/>
    <w:rsid w:val="009C5CFC"/>
    <w:rsid w:val="009C5D8E"/>
    <w:rsid w:val="009C5DA0"/>
    <w:rsid w:val="009C5DF3"/>
    <w:rsid w:val="009C5DF9"/>
    <w:rsid w:val="009C5E65"/>
    <w:rsid w:val="009C5EA9"/>
    <w:rsid w:val="009C5EE9"/>
    <w:rsid w:val="009C5EF3"/>
    <w:rsid w:val="009C5F00"/>
    <w:rsid w:val="009C5F19"/>
    <w:rsid w:val="009C5F1F"/>
    <w:rsid w:val="009C5F68"/>
    <w:rsid w:val="009C5F87"/>
    <w:rsid w:val="009C5FF4"/>
    <w:rsid w:val="009C6050"/>
    <w:rsid w:val="009C6055"/>
    <w:rsid w:val="009C606B"/>
    <w:rsid w:val="009C606E"/>
    <w:rsid w:val="009C6086"/>
    <w:rsid w:val="009C6094"/>
    <w:rsid w:val="009C60B2"/>
    <w:rsid w:val="009C60BC"/>
    <w:rsid w:val="009C6106"/>
    <w:rsid w:val="009C61AC"/>
    <w:rsid w:val="009C61C0"/>
    <w:rsid w:val="009C61E6"/>
    <w:rsid w:val="009C61FE"/>
    <w:rsid w:val="009C6273"/>
    <w:rsid w:val="009C62CE"/>
    <w:rsid w:val="009C6327"/>
    <w:rsid w:val="009C633B"/>
    <w:rsid w:val="009C6391"/>
    <w:rsid w:val="009C64BA"/>
    <w:rsid w:val="009C64E9"/>
    <w:rsid w:val="009C652B"/>
    <w:rsid w:val="009C65BF"/>
    <w:rsid w:val="009C65D2"/>
    <w:rsid w:val="009C65FE"/>
    <w:rsid w:val="009C664E"/>
    <w:rsid w:val="009C66D4"/>
    <w:rsid w:val="009C674C"/>
    <w:rsid w:val="009C67CE"/>
    <w:rsid w:val="009C67F6"/>
    <w:rsid w:val="009C685E"/>
    <w:rsid w:val="009C6871"/>
    <w:rsid w:val="009C68A0"/>
    <w:rsid w:val="009C68D9"/>
    <w:rsid w:val="009C69BA"/>
    <w:rsid w:val="009C6A3B"/>
    <w:rsid w:val="009C6A73"/>
    <w:rsid w:val="009C6A87"/>
    <w:rsid w:val="009C6AA6"/>
    <w:rsid w:val="009C6AF5"/>
    <w:rsid w:val="009C6B5E"/>
    <w:rsid w:val="009C6BB0"/>
    <w:rsid w:val="009C6BE2"/>
    <w:rsid w:val="009C6BE4"/>
    <w:rsid w:val="009C6C2A"/>
    <w:rsid w:val="009C6C35"/>
    <w:rsid w:val="009C6C81"/>
    <w:rsid w:val="009C6CA2"/>
    <w:rsid w:val="009C6CCC"/>
    <w:rsid w:val="009C6D01"/>
    <w:rsid w:val="009C6D11"/>
    <w:rsid w:val="009C6D73"/>
    <w:rsid w:val="009C6D7E"/>
    <w:rsid w:val="009C6D7F"/>
    <w:rsid w:val="009C6D82"/>
    <w:rsid w:val="009C6D93"/>
    <w:rsid w:val="009C6DAF"/>
    <w:rsid w:val="009C6DD1"/>
    <w:rsid w:val="009C6E24"/>
    <w:rsid w:val="009C6E60"/>
    <w:rsid w:val="009C6EA3"/>
    <w:rsid w:val="009C6F54"/>
    <w:rsid w:val="009C6F55"/>
    <w:rsid w:val="009C6F5D"/>
    <w:rsid w:val="009C6FFD"/>
    <w:rsid w:val="009C703B"/>
    <w:rsid w:val="009C703E"/>
    <w:rsid w:val="009C70AE"/>
    <w:rsid w:val="009C7191"/>
    <w:rsid w:val="009C721B"/>
    <w:rsid w:val="009C722F"/>
    <w:rsid w:val="009C727D"/>
    <w:rsid w:val="009C7289"/>
    <w:rsid w:val="009C72BD"/>
    <w:rsid w:val="009C72C6"/>
    <w:rsid w:val="009C72F5"/>
    <w:rsid w:val="009C7363"/>
    <w:rsid w:val="009C73A9"/>
    <w:rsid w:val="009C73C9"/>
    <w:rsid w:val="009C7407"/>
    <w:rsid w:val="009C745C"/>
    <w:rsid w:val="009C74A7"/>
    <w:rsid w:val="009C74BF"/>
    <w:rsid w:val="009C74E6"/>
    <w:rsid w:val="009C74F9"/>
    <w:rsid w:val="009C750F"/>
    <w:rsid w:val="009C7513"/>
    <w:rsid w:val="009C7551"/>
    <w:rsid w:val="009C7569"/>
    <w:rsid w:val="009C7580"/>
    <w:rsid w:val="009C7587"/>
    <w:rsid w:val="009C759D"/>
    <w:rsid w:val="009C75AB"/>
    <w:rsid w:val="009C75FB"/>
    <w:rsid w:val="009C763E"/>
    <w:rsid w:val="009C76CB"/>
    <w:rsid w:val="009C7731"/>
    <w:rsid w:val="009C7776"/>
    <w:rsid w:val="009C779B"/>
    <w:rsid w:val="009C77AD"/>
    <w:rsid w:val="009C77E7"/>
    <w:rsid w:val="009C7804"/>
    <w:rsid w:val="009C7880"/>
    <w:rsid w:val="009C7890"/>
    <w:rsid w:val="009C78E8"/>
    <w:rsid w:val="009C790D"/>
    <w:rsid w:val="009C791D"/>
    <w:rsid w:val="009C79AD"/>
    <w:rsid w:val="009C7A10"/>
    <w:rsid w:val="009C7A1C"/>
    <w:rsid w:val="009C7A21"/>
    <w:rsid w:val="009C7A4C"/>
    <w:rsid w:val="009C7AA9"/>
    <w:rsid w:val="009C7ACD"/>
    <w:rsid w:val="009C7ADB"/>
    <w:rsid w:val="009C7B25"/>
    <w:rsid w:val="009C7BB4"/>
    <w:rsid w:val="009C7BBD"/>
    <w:rsid w:val="009C7BDD"/>
    <w:rsid w:val="009C7C51"/>
    <w:rsid w:val="009C7CAE"/>
    <w:rsid w:val="009C7D18"/>
    <w:rsid w:val="009C7D62"/>
    <w:rsid w:val="009C7D83"/>
    <w:rsid w:val="009C7DA4"/>
    <w:rsid w:val="009C7DA6"/>
    <w:rsid w:val="009C7E04"/>
    <w:rsid w:val="009C7E0C"/>
    <w:rsid w:val="009C7E11"/>
    <w:rsid w:val="009C7E2C"/>
    <w:rsid w:val="009C7E6B"/>
    <w:rsid w:val="009C7E7E"/>
    <w:rsid w:val="009C7E99"/>
    <w:rsid w:val="009C7ED2"/>
    <w:rsid w:val="009C7EF0"/>
    <w:rsid w:val="009C7F34"/>
    <w:rsid w:val="009C7F7B"/>
    <w:rsid w:val="009C7F9B"/>
    <w:rsid w:val="009C7FEB"/>
    <w:rsid w:val="009D008A"/>
    <w:rsid w:val="009D0096"/>
    <w:rsid w:val="009D00D3"/>
    <w:rsid w:val="009D00E6"/>
    <w:rsid w:val="009D0105"/>
    <w:rsid w:val="009D0152"/>
    <w:rsid w:val="009D0169"/>
    <w:rsid w:val="009D018E"/>
    <w:rsid w:val="009D0314"/>
    <w:rsid w:val="009D03B6"/>
    <w:rsid w:val="009D03BE"/>
    <w:rsid w:val="009D03F0"/>
    <w:rsid w:val="009D03F7"/>
    <w:rsid w:val="009D040D"/>
    <w:rsid w:val="009D0413"/>
    <w:rsid w:val="009D0461"/>
    <w:rsid w:val="009D0495"/>
    <w:rsid w:val="009D04B0"/>
    <w:rsid w:val="009D055A"/>
    <w:rsid w:val="009D056D"/>
    <w:rsid w:val="009D05BA"/>
    <w:rsid w:val="009D05D7"/>
    <w:rsid w:val="009D063B"/>
    <w:rsid w:val="009D0654"/>
    <w:rsid w:val="009D0687"/>
    <w:rsid w:val="009D06AB"/>
    <w:rsid w:val="009D0702"/>
    <w:rsid w:val="009D073D"/>
    <w:rsid w:val="009D07A1"/>
    <w:rsid w:val="009D07A8"/>
    <w:rsid w:val="009D0869"/>
    <w:rsid w:val="009D087D"/>
    <w:rsid w:val="009D08F6"/>
    <w:rsid w:val="009D0990"/>
    <w:rsid w:val="009D09FC"/>
    <w:rsid w:val="009D0A18"/>
    <w:rsid w:val="009D0A1E"/>
    <w:rsid w:val="009D0A50"/>
    <w:rsid w:val="009D0A81"/>
    <w:rsid w:val="009D0AA6"/>
    <w:rsid w:val="009D0AC7"/>
    <w:rsid w:val="009D0B45"/>
    <w:rsid w:val="009D0B7B"/>
    <w:rsid w:val="009D0BC7"/>
    <w:rsid w:val="009D0C07"/>
    <w:rsid w:val="009D0C0F"/>
    <w:rsid w:val="009D0C28"/>
    <w:rsid w:val="009D0C60"/>
    <w:rsid w:val="009D0C85"/>
    <w:rsid w:val="009D0D4C"/>
    <w:rsid w:val="009D0D69"/>
    <w:rsid w:val="009D0DE8"/>
    <w:rsid w:val="009D0E0D"/>
    <w:rsid w:val="009D0EB6"/>
    <w:rsid w:val="009D0EEC"/>
    <w:rsid w:val="009D0F5E"/>
    <w:rsid w:val="009D0FAE"/>
    <w:rsid w:val="009D0FEA"/>
    <w:rsid w:val="009D0FF0"/>
    <w:rsid w:val="009D1025"/>
    <w:rsid w:val="009D1084"/>
    <w:rsid w:val="009D10A5"/>
    <w:rsid w:val="009D10B5"/>
    <w:rsid w:val="009D1100"/>
    <w:rsid w:val="009D1116"/>
    <w:rsid w:val="009D120E"/>
    <w:rsid w:val="009D1228"/>
    <w:rsid w:val="009D129B"/>
    <w:rsid w:val="009D12F9"/>
    <w:rsid w:val="009D1313"/>
    <w:rsid w:val="009D1326"/>
    <w:rsid w:val="009D13B6"/>
    <w:rsid w:val="009D141D"/>
    <w:rsid w:val="009D144F"/>
    <w:rsid w:val="009D14B5"/>
    <w:rsid w:val="009D14D3"/>
    <w:rsid w:val="009D1512"/>
    <w:rsid w:val="009D1570"/>
    <w:rsid w:val="009D15A0"/>
    <w:rsid w:val="009D15FB"/>
    <w:rsid w:val="009D1629"/>
    <w:rsid w:val="009D17C4"/>
    <w:rsid w:val="009D1827"/>
    <w:rsid w:val="009D184D"/>
    <w:rsid w:val="009D1856"/>
    <w:rsid w:val="009D186B"/>
    <w:rsid w:val="009D188F"/>
    <w:rsid w:val="009D18A7"/>
    <w:rsid w:val="009D18AD"/>
    <w:rsid w:val="009D18C7"/>
    <w:rsid w:val="009D1974"/>
    <w:rsid w:val="009D1997"/>
    <w:rsid w:val="009D19F4"/>
    <w:rsid w:val="009D1A4A"/>
    <w:rsid w:val="009D1A7B"/>
    <w:rsid w:val="009D1A98"/>
    <w:rsid w:val="009D1A9F"/>
    <w:rsid w:val="009D1AAE"/>
    <w:rsid w:val="009D1AB2"/>
    <w:rsid w:val="009D1AD5"/>
    <w:rsid w:val="009D1B6D"/>
    <w:rsid w:val="009D1BDD"/>
    <w:rsid w:val="009D1C37"/>
    <w:rsid w:val="009D1C3B"/>
    <w:rsid w:val="009D1C50"/>
    <w:rsid w:val="009D1C63"/>
    <w:rsid w:val="009D1C75"/>
    <w:rsid w:val="009D1C80"/>
    <w:rsid w:val="009D1DC2"/>
    <w:rsid w:val="009D1DC4"/>
    <w:rsid w:val="009D1DE3"/>
    <w:rsid w:val="009D1E25"/>
    <w:rsid w:val="009D1E9F"/>
    <w:rsid w:val="009D1EBC"/>
    <w:rsid w:val="009D1F4C"/>
    <w:rsid w:val="009D1F66"/>
    <w:rsid w:val="009D1FAF"/>
    <w:rsid w:val="009D1FEB"/>
    <w:rsid w:val="009D2051"/>
    <w:rsid w:val="009D20A3"/>
    <w:rsid w:val="009D20AE"/>
    <w:rsid w:val="009D20B9"/>
    <w:rsid w:val="009D20BB"/>
    <w:rsid w:val="009D20F4"/>
    <w:rsid w:val="009D20FF"/>
    <w:rsid w:val="009D2108"/>
    <w:rsid w:val="009D21A9"/>
    <w:rsid w:val="009D21B1"/>
    <w:rsid w:val="009D21B4"/>
    <w:rsid w:val="009D21C2"/>
    <w:rsid w:val="009D221F"/>
    <w:rsid w:val="009D2239"/>
    <w:rsid w:val="009D2282"/>
    <w:rsid w:val="009D22D4"/>
    <w:rsid w:val="009D22EA"/>
    <w:rsid w:val="009D22FC"/>
    <w:rsid w:val="009D2325"/>
    <w:rsid w:val="009D2345"/>
    <w:rsid w:val="009D235F"/>
    <w:rsid w:val="009D2416"/>
    <w:rsid w:val="009D2479"/>
    <w:rsid w:val="009D24DA"/>
    <w:rsid w:val="009D2535"/>
    <w:rsid w:val="009D2562"/>
    <w:rsid w:val="009D2583"/>
    <w:rsid w:val="009D25D1"/>
    <w:rsid w:val="009D2641"/>
    <w:rsid w:val="009D2651"/>
    <w:rsid w:val="009D2725"/>
    <w:rsid w:val="009D27B4"/>
    <w:rsid w:val="009D27D6"/>
    <w:rsid w:val="009D27E9"/>
    <w:rsid w:val="009D2848"/>
    <w:rsid w:val="009D2912"/>
    <w:rsid w:val="009D2934"/>
    <w:rsid w:val="009D2988"/>
    <w:rsid w:val="009D29C7"/>
    <w:rsid w:val="009D29DE"/>
    <w:rsid w:val="009D29F0"/>
    <w:rsid w:val="009D29FF"/>
    <w:rsid w:val="009D2A10"/>
    <w:rsid w:val="009D2A8F"/>
    <w:rsid w:val="009D2A9A"/>
    <w:rsid w:val="009D2AD3"/>
    <w:rsid w:val="009D2B16"/>
    <w:rsid w:val="009D2B22"/>
    <w:rsid w:val="009D2B33"/>
    <w:rsid w:val="009D2BAA"/>
    <w:rsid w:val="009D2BCC"/>
    <w:rsid w:val="009D2C21"/>
    <w:rsid w:val="009D2C57"/>
    <w:rsid w:val="009D2C63"/>
    <w:rsid w:val="009D2C72"/>
    <w:rsid w:val="009D2C7E"/>
    <w:rsid w:val="009D2C83"/>
    <w:rsid w:val="009D2D19"/>
    <w:rsid w:val="009D2D22"/>
    <w:rsid w:val="009D2D56"/>
    <w:rsid w:val="009D2D8A"/>
    <w:rsid w:val="009D2E07"/>
    <w:rsid w:val="009D2ED7"/>
    <w:rsid w:val="009D2ED8"/>
    <w:rsid w:val="009D2F30"/>
    <w:rsid w:val="009D2F38"/>
    <w:rsid w:val="009D3041"/>
    <w:rsid w:val="009D306A"/>
    <w:rsid w:val="009D30B5"/>
    <w:rsid w:val="009D315B"/>
    <w:rsid w:val="009D31B9"/>
    <w:rsid w:val="009D3223"/>
    <w:rsid w:val="009D322C"/>
    <w:rsid w:val="009D3255"/>
    <w:rsid w:val="009D32A1"/>
    <w:rsid w:val="009D32B0"/>
    <w:rsid w:val="009D32C4"/>
    <w:rsid w:val="009D32C7"/>
    <w:rsid w:val="009D332F"/>
    <w:rsid w:val="009D3389"/>
    <w:rsid w:val="009D33A8"/>
    <w:rsid w:val="009D33D0"/>
    <w:rsid w:val="009D341C"/>
    <w:rsid w:val="009D343E"/>
    <w:rsid w:val="009D3459"/>
    <w:rsid w:val="009D3465"/>
    <w:rsid w:val="009D3474"/>
    <w:rsid w:val="009D3585"/>
    <w:rsid w:val="009D3606"/>
    <w:rsid w:val="009D3627"/>
    <w:rsid w:val="009D3634"/>
    <w:rsid w:val="009D369F"/>
    <w:rsid w:val="009D36A3"/>
    <w:rsid w:val="009D3783"/>
    <w:rsid w:val="009D37B9"/>
    <w:rsid w:val="009D37D5"/>
    <w:rsid w:val="009D3864"/>
    <w:rsid w:val="009D389E"/>
    <w:rsid w:val="009D38B4"/>
    <w:rsid w:val="009D3900"/>
    <w:rsid w:val="009D391C"/>
    <w:rsid w:val="009D3938"/>
    <w:rsid w:val="009D396D"/>
    <w:rsid w:val="009D3970"/>
    <w:rsid w:val="009D39A5"/>
    <w:rsid w:val="009D3AF9"/>
    <w:rsid w:val="009D3B38"/>
    <w:rsid w:val="009D3CE0"/>
    <w:rsid w:val="009D3CE2"/>
    <w:rsid w:val="009D3DB6"/>
    <w:rsid w:val="009D3E32"/>
    <w:rsid w:val="009D3E58"/>
    <w:rsid w:val="009D3E80"/>
    <w:rsid w:val="009D3F2F"/>
    <w:rsid w:val="009D3F4B"/>
    <w:rsid w:val="009D3F7C"/>
    <w:rsid w:val="009D3F99"/>
    <w:rsid w:val="009D3FAC"/>
    <w:rsid w:val="009D3FFB"/>
    <w:rsid w:val="009D4018"/>
    <w:rsid w:val="009D401B"/>
    <w:rsid w:val="009D402B"/>
    <w:rsid w:val="009D4047"/>
    <w:rsid w:val="009D40B7"/>
    <w:rsid w:val="009D4139"/>
    <w:rsid w:val="009D4193"/>
    <w:rsid w:val="009D41F7"/>
    <w:rsid w:val="009D4230"/>
    <w:rsid w:val="009D4264"/>
    <w:rsid w:val="009D426F"/>
    <w:rsid w:val="009D42CA"/>
    <w:rsid w:val="009D42E6"/>
    <w:rsid w:val="009D4318"/>
    <w:rsid w:val="009D433F"/>
    <w:rsid w:val="009D4366"/>
    <w:rsid w:val="009D43FD"/>
    <w:rsid w:val="009D442E"/>
    <w:rsid w:val="009D446B"/>
    <w:rsid w:val="009D449E"/>
    <w:rsid w:val="009D44B4"/>
    <w:rsid w:val="009D44CB"/>
    <w:rsid w:val="009D44E9"/>
    <w:rsid w:val="009D4522"/>
    <w:rsid w:val="009D45A5"/>
    <w:rsid w:val="009D45AE"/>
    <w:rsid w:val="009D45F0"/>
    <w:rsid w:val="009D4669"/>
    <w:rsid w:val="009D46AE"/>
    <w:rsid w:val="009D46B6"/>
    <w:rsid w:val="009D46F9"/>
    <w:rsid w:val="009D471C"/>
    <w:rsid w:val="009D473A"/>
    <w:rsid w:val="009D47F2"/>
    <w:rsid w:val="009D48AB"/>
    <w:rsid w:val="009D48B4"/>
    <w:rsid w:val="009D48BB"/>
    <w:rsid w:val="009D48D4"/>
    <w:rsid w:val="009D48E9"/>
    <w:rsid w:val="009D4905"/>
    <w:rsid w:val="009D4969"/>
    <w:rsid w:val="009D4998"/>
    <w:rsid w:val="009D4A31"/>
    <w:rsid w:val="009D4A3B"/>
    <w:rsid w:val="009D4A8F"/>
    <w:rsid w:val="009D4AAF"/>
    <w:rsid w:val="009D4B08"/>
    <w:rsid w:val="009D4B26"/>
    <w:rsid w:val="009D4B27"/>
    <w:rsid w:val="009D4B6F"/>
    <w:rsid w:val="009D4B7E"/>
    <w:rsid w:val="009D4C60"/>
    <w:rsid w:val="009D4C97"/>
    <w:rsid w:val="009D4D65"/>
    <w:rsid w:val="009D4D70"/>
    <w:rsid w:val="009D4DBD"/>
    <w:rsid w:val="009D4DC1"/>
    <w:rsid w:val="009D4DD2"/>
    <w:rsid w:val="009D4DFF"/>
    <w:rsid w:val="009D4E03"/>
    <w:rsid w:val="009D4E40"/>
    <w:rsid w:val="009D4E44"/>
    <w:rsid w:val="009D4E53"/>
    <w:rsid w:val="009D4E6B"/>
    <w:rsid w:val="009D4F00"/>
    <w:rsid w:val="009D4F3D"/>
    <w:rsid w:val="009D4F72"/>
    <w:rsid w:val="009D4FA9"/>
    <w:rsid w:val="009D4FE5"/>
    <w:rsid w:val="009D5072"/>
    <w:rsid w:val="009D50FB"/>
    <w:rsid w:val="009D50FF"/>
    <w:rsid w:val="009D516D"/>
    <w:rsid w:val="009D51D8"/>
    <w:rsid w:val="009D51F0"/>
    <w:rsid w:val="009D520F"/>
    <w:rsid w:val="009D52A3"/>
    <w:rsid w:val="009D52C8"/>
    <w:rsid w:val="009D536D"/>
    <w:rsid w:val="009D5391"/>
    <w:rsid w:val="009D53EF"/>
    <w:rsid w:val="009D5447"/>
    <w:rsid w:val="009D544A"/>
    <w:rsid w:val="009D551D"/>
    <w:rsid w:val="009D554D"/>
    <w:rsid w:val="009D5583"/>
    <w:rsid w:val="009D55A2"/>
    <w:rsid w:val="009D55F7"/>
    <w:rsid w:val="009D563B"/>
    <w:rsid w:val="009D563E"/>
    <w:rsid w:val="009D5657"/>
    <w:rsid w:val="009D5679"/>
    <w:rsid w:val="009D56BF"/>
    <w:rsid w:val="009D56D3"/>
    <w:rsid w:val="009D56DD"/>
    <w:rsid w:val="009D5700"/>
    <w:rsid w:val="009D570E"/>
    <w:rsid w:val="009D572F"/>
    <w:rsid w:val="009D57F1"/>
    <w:rsid w:val="009D5866"/>
    <w:rsid w:val="009D590B"/>
    <w:rsid w:val="009D5973"/>
    <w:rsid w:val="009D59AC"/>
    <w:rsid w:val="009D5A02"/>
    <w:rsid w:val="009D5A0C"/>
    <w:rsid w:val="009D5AF1"/>
    <w:rsid w:val="009D5C65"/>
    <w:rsid w:val="009D5C8C"/>
    <w:rsid w:val="009D5D10"/>
    <w:rsid w:val="009D5DCA"/>
    <w:rsid w:val="009D5E54"/>
    <w:rsid w:val="009D5E5B"/>
    <w:rsid w:val="009D5E99"/>
    <w:rsid w:val="009D5ECE"/>
    <w:rsid w:val="009D5F42"/>
    <w:rsid w:val="009D5F50"/>
    <w:rsid w:val="009D5F61"/>
    <w:rsid w:val="009D5FE1"/>
    <w:rsid w:val="009D6056"/>
    <w:rsid w:val="009D6213"/>
    <w:rsid w:val="009D626F"/>
    <w:rsid w:val="009D62AF"/>
    <w:rsid w:val="009D632F"/>
    <w:rsid w:val="009D6349"/>
    <w:rsid w:val="009D6365"/>
    <w:rsid w:val="009D63D6"/>
    <w:rsid w:val="009D6417"/>
    <w:rsid w:val="009D6438"/>
    <w:rsid w:val="009D644D"/>
    <w:rsid w:val="009D6475"/>
    <w:rsid w:val="009D6483"/>
    <w:rsid w:val="009D6494"/>
    <w:rsid w:val="009D649A"/>
    <w:rsid w:val="009D64CB"/>
    <w:rsid w:val="009D64D1"/>
    <w:rsid w:val="009D64E6"/>
    <w:rsid w:val="009D65CD"/>
    <w:rsid w:val="009D666A"/>
    <w:rsid w:val="009D6696"/>
    <w:rsid w:val="009D66B9"/>
    <w:rsid w:val="009D66C6"/>
    <w:rsid w:val="009D66D2"/>
    <w:rsid w:val="009D66DF"/>
    <w:rsid w:val="009D6707"/>
    <w:rsid w:val="009D6713"/>
    <w:rsid w:val="009D677B"/>
    <w:rsid w:val="009D67BA"/>
    <w:rsid w:val="009D67BB"/>
    <w:rsid w:val="009D6855"/>
    <w:rsid w:val="009D6860"/>
    <w:rsid w:val="009D68B8"/>
    <w:rsid w:val="009D68D3"/>
    <w:rsid w:val="009D699C"/>
    <w:rsid w:val="009D6A0F"/>
    <w:rsid w:val="009D6A1F"/>
    <w:rsid w:val="009D6A50"/>
    <w:rsid w:val="009D6AD2"/>
    <w:rsid w:val="009D6ADB"/>
    <w:rsid w:val="009D6B0C"/>
    <w:rsid w:val="009D6B6E"/>
    <w:rsid w:val="009D6C05"/>
    <w:rsid w:val="009D6C20"/>
    <w:rsid w:val="009D6C30"/>
    <w:rsid w:val="009D6C3B"/>
    <w:rsid w:val="009D6C49"/>
    <w:rsid w:val="009D6C4C"/>
    <w:rsid w:val="009D6C73"/>
    <w:rsid w:val="009D6CA0"/>
    <w:rsid w:val="009D6CBD"/>
    <w:rsid w:val="009D6D34"/>
    <w:rsid w:val="009D6D36"/>
    <w:rsid w:val="009D6D41"/>
    <w:rsid w:val="009D6DE3"/>
    <w:rsid w:val="009D6E59"/>
    <w:rsid w:val="009D6E62"/>
    <w:rsid w:val="009D6E8B"/>
    <w:rsid w:val="009D6EEF"/>
    <w:rsid w:val="009D6F18"/>
    <w:rsid w:val="009D6F53"/>
    <w:rsid w:val="009D6F6D"/>
    <w:rsid w:val="009D6FAB"/>
    <w:rsid w:val="009D6FBE"/>
    <w:rsid w:val="009D6FC7"/>
    <w:rsid w:val="009D6FCE"/>
    <w:rsid w:val="009D6FDC"/>
    <w:rsid w:val="009D702D"/>
    <w:rsid w:val="009D7054"/>
    <w:rsid w:val="009D7093"/>
    <w:rsid w:val="009D709D"/>
    <w:rsid w:val="009D70A3"/>
    <w:rsid w:val="009D70C9"/>
    <w:rsid w:val="009D70EE"/>
    <w:rsid w:val="009D715C"/>
    <w:rsid w:val="009D7163"/>
    <w:rsid w:val="009D71C9"/>
    <w:rsid w:val="009D7201"/>
    <w:rsid w:val="009D7232"/>
    <w:rsid w:val="009D72F9"/>
    <w:rsid w:val="009D7313"/>
    <w:rsid w:val="009D737D"/>
    <w:rsid w:val="009D73BF"/>
    <w:rsid w:val="009D7403"/>
    <w:rsid w:val="009D740A"/>
    <w:rsid w:val="009D7420"/>
    <w:rsid w:val="009D7436"/>
    <w:rsid w:val="009D74BB"/>
    <w:rsid w:val="009D74FD"/>
    <w:rsid w:val="009D75D3"/>
    <w:rsid w:val="009D75DB"/>
    <w:rsid w:val="009D75EC"/>
    <w:rsid w:val="009D760F"/>
    <w:rsid w:val="009D7683"/>
    <w:rsid w:val="009D76C5"/>
    <w:rsid w:val="009D76CD"/>
    <w:rsid w:val="009D7766"/>
    <w:rsid w:val="009D778B"/>
    <w:rsid w:val="009D77C8"/>
    <w:rsid w:val="009D77FA"/>
    <w:rsid w:val="009D77FF"/>
    <w:rsid w:val="009D7842"/>
    <w:rsid w:val="009D7897"/>
    <w:rsid w:val="009D78DE"/>
    <w:rsid w:val="009D78E9"/>
    <w:rsid w:val="009D79A2"/>
    <w:rsid w:val="009D79E6"/>
    <w:rsid w:val="009D7A12"/>
    <w:rsid w:val="009D7A25"/>
    <w:rsid w:val="009D7AF6"/>
    <w:rsid w:val="009D7B01"/>
    <w:rsid w:val="009D7B1A"/>
    <w:rsid w:val="009D7B20"/>
    <w:rsid w:val="009D7B56"/>
    <w:rsid w:val="009D7BA1"/>
    <w:rsid w:val="009D7BC5"/>
    <w:rsid w:val="009D7C94"/>
    <w:rsid w:val="009D7CCE"/>
    <w:rsid w:val="009D7DBC"/>
    <w:rsid w:val="009D7DFF"/>
    <w:rsid w:val="009D7E05"/>
    <w:rsid w:val="009D7E13"/>
    <w:rsid w:val="009D7EDD"/>
    <w:rsid w:val="009D7EFA"/>
    <w:rsid w:val="009D7F46"/>
    <w:rsid w:val="009D7F74"/>
    <w:rsid w:val="009D7FA9"/>
    <w:rsid w:val="009D7FBA"/>
    <w:rsid w:val="009D7FE0"/>
    <w:rsid w:val="009E0087"/>
    <w:rsid w:val="009E00C4"/>
    <w:rsid w:val="009E00DF"/>
    <w:rsid w:val="009E00E0"/>
    <w:rsid w:val="009E0189"/>
    <w:rsid w:val="009E0241"/>
    <w:rsid w:val="009E0244"/>
    <w:rsid w:val="009E025E"/>
    <w:rsid w:val="009E02B3"/>
    <w:rsid w:val="009E02B4"/>
    <w:rsid w:val="009E02C6"/>
    <w:rsid w:val="009E02D3"/>
    <w:rsid w:val="009E02EC"/>
    <w:rsid w:val="009E02ED"/>
    <w:rsid w:val="009E0321"/>
    <w:rsid w:val="009E0386"/>
    <w:rsid w:val="009E03A5"/>
    <w:rsid w:val="009E0463"/>
    <w:rsid w:val="009E0464"/>
    <w:rsid w:val="009E04B6"/>
    <w:rsid w:val="009E04C9"/>
    <w:rsid w:val="009E0595"/>
    <w:rsid w:val="009E05F3"/>
    <w:rsid w:val="009E0618"/>
    <w:rsid w:val="009E0650"/>
    <w:rsid w:val="009E06B8"/>
    <w:rsid w:val="009E06E9"/>
    <w:rsid w:val="009E06ED"/>
    <w:rsid w:val="009E06EE"/>
    <w:rsid w:val="009E0755"/>
    <w:rsid w:val="009E07AC"/>
    <w:rsid w:val="009E07F8"/>
    <w:rsid w:val="009E07FA"/>
    <w:rsid w:val="009E0879"/>
    <w:rsid w:val="009E0888"/>
    <w:rsid w:val="009E08AD"/>
    <w:rsid w:val="009E0924"/>
    <w:rsid w:val="009E094B"/>
    <w:rsid w:val="009E096A"/>
    <w:rsid w:val="009E096D"/>
    <w:rsid w:val="009E098B"/>
    <w:rsid w:val="009E09A5"/>
    <w:rsid w:val="009E09BC"/>
    <w:rsid w:val="009E0A3D"/>
    <w:rsid w:val="009E0A55"/>
    <w:rsid w:val="009E0A64"/>
    <w:rsid w:val="009E0AA7"/>
    <w:rsid w:val="009E0ACB"/>
    <w:rsid w:val="009E0B14"/>
    <w:rsid w:val="009E0B41"/>
    <w:rsid w:val="009E0B89"/>
    <w:rsid w:val="009E0BF2"/>
    <w:rsid w:val="009E0C04"/>
    <w:rsid w:val="009E0C4D"/>
    <w:rsid w:val="009E0CB8"/>
    <w:rsid w:val="009E0CC6"/>
    <w:rsid w:val="009E0D9F"/>
    <w:rsid w:val="009E0DA3"/>
    <w:rsid w:val="009E0DAF"/>
    <w:rsid w:val="009E0DE8"/>
    <w:rsid w:val="009E0E16"/>
    <w:rsid w:val="009E0E25"/>
    <w:rsid w:val="009E0E56"/>
    <w:rsid w:val="009E0E6B"/>
    <w:rsid w:val="009E0E8D"/>
    <w:rsid w:val="009E0E8F"/>
    <w:rsid w:val="009E0F07"/>
    <w:rsid w:val="009E0F5C"/>
    <w:rsid w:val="009E1058"/>
    <w:rsid w:val="009E10E0"/>
    <w:rsid w:val="009E10F3"/>
    <w:rsid w:val="009E1141"/>
    <w:rsid w:val="009E1227"/>
    <w:rsid w:val="009E1271"/>
    <w:rsid w:val="009E1283"/>
    <w:rsid w:val="009E133B"/>
    <w:rsid w:val="009E1349"/>
    <w:rsid w:val="009E1359"/>
    <w:rsid w:val="009E1395"/>
    <w:rsid w:val="009E139A"/>
    <w:rsid w:val="009E1444"/>
    <w:rsid w:val="009E1469"/>
    <w:rsid w:val="009E14DF"/>
    <w:rsid w:val="009E1598"/>
    <w:rsid w:val="009E15D5"/>
    <w:rsid w:val="009E162D"/>
    <w:rsid w:val="009E1632"/>
    <w:rsid w:val="009E1646"/>
    <w:rsid w:val="009E164C"/>
    <w:rsid w:val="009E16E9"/>
    <w:rsid w:val="009E1731"/>
    <w:rsid w:val="009E174B"/>
    <w:rsid w:val="009E177A"/>
    <w:rsid w:val="009E1784"/>
    <w:rsid w:val="009E1815"/>
    <w:rsid w:val="009E18F1"/>
    <w:rsid w:val="009E1907"/>
    <w:rsid w:val="009E194E"/>
    <w:rsid w:val="009E197D"/>
    <w:rsid w:val="009E19BC"/>
    <w:rsid w:val="009E1AE8"/>
    <w:rsid w:val="009E1B10"/>
    <w:rsid w:val="009E1B5C"/>
    <w:rsid w:val="009E1BBD"/>
    <w:rsid w:val="009E1BF7"/>
    <w:rsid w:val="009E1CAC"/>
    <w:rsid w:val="009E1D04"/>
    <w:rsid w:val="009E1D10"/>
    <w:rsid w:val="009E1D16"/>
    <w:rsid w:val="009E1DA6"/>
    <w:rsid w:val="009E1DBA"/>
    <w:rsid w:val="009E1E1E"/>
    <w:rsid w:val="009E1E3D"/>
    <w:rsid w:val="009E1E40"/>
    <w:rsid w:val="009E1E72"/>
    <w:rsid w:val="009E1E7C"/>
    <w:rsid w:val="009E1F4C"/>
    <w:rsid w:val="009E1F66"/>
    <w:rsid w:val="009E1F79"/>
    <w:rsid w:val="009E1F7A"/>
    <w:rsid w:val="009E1F7E"/>
    <w:rsid w:val="009E1FA3"/>
    <w:rsid w:val="009E1FAF"/>
    <w:rsid w:val="009E2055"/>
    <w:rsid w:val="009E206C"/>
    <w:rsid w:val="009E20EB"/>
    <w:rsid w:val="009E21A8"/>
    <w:rsid w:val="009E21C3"/>
    <w:rsid w:val="009E21E3"/>
    <w:rsid w:val="009E21EE"/>
    <w:rsid w:val="009E2288"/>
    <w:rsid w:val="009E229E"/>
    <w:rsid w:val="009E2326"/>
    <w:rsid w:val="009E23A5"/>
    <w:rsid w:val="009E23AE"/>
    <w:rsid w:val="009E23BA"/>
    <w:rsid w:val="009E2402"/>
    <w:rsid w:val="009E2481"/>
    <w:rsid w:val="009E24A7"/>
    <w:rsid w:val="009E24E0"/>
    <w:rsid w:val="009E2562"/>
    <w:rsid w:val="009E2591"/>
    <w:rsid w:val="009E259A"/>
    <w:rsid w:val="009E25EC"/>
    <w:rsid w:val="009E2614"/>
    <w:rsid w:val="009E261F"/>
    <w:rsid w:val="009E2627"/>
    <w:rsid w:val="009E2645"/>
    <w:rsid w:val="009E2696"/>
    <w:rsid w:val="009E26A4"/>
    <w:rsid w:val="009E2735"/>
    <w:rsid w:val="009E2798"/>
    <w:rsid w:val="009E27A9"/>
    <w:rsid w:val="009E280A"/>
    <w:rsid w:val="009E281B"/>
    <w:rsid w:val="009E282F"/>
    <w:rsid w:val="009E2850"/>
    <w:rsid w:val="009E285C"/>
    <w:rsid w:val="009E28C4"/>
    <w:rsid w:val="009E28CB"/>
    <w:rsid w:val="009E28CF"/>
    <w:rsid w:val="009E290B"/>
    <w:rsid w:val="009E2953"/>
    <w:rsid w:val="009E29A0"/>
    <w:rsid w:val="009E29E6"/>
    <w:rsid w:val="009E2A10"/>
    <w:rsid w:val="009E2A5E"/>
    <w:rsid w:val="009E2AB8"/>
    <w:rsid w:val="009E2B17"/>
    <w:rsid w:val="009E2B95"/>
    <w:rsid w:val="009E2BDE"/>
    <w:rsid w:val="009E2BF3"/>
    <w:rsid w:val="009E2C06"/>
    <w:rsid w:val="009E2C27"/>
    <w:rsid w:val="009E2C85"/>
    <w:rsid w:val="009E2DA8"/>
    <w:rsid w:val="009E2DC1"/>
    <w:rsid w:val="009E2DC3"/>
    <w:rsid w:val="009E2DDD"/>
    <w:rsid w:val="009E2E6B"/>
    <w:rsid w:val="009E2EA8"/>
    <w:rsid w:val="009E2EB1"/>
    <w:rsid w:val="009E2F38"/>
    <w:rsid w:val="009E2F9D"/>
    <w:rsid w:val="009E2FAE"/>
    <w:rsid w:val="009E3071"/>
    <w:rsid w:val="009E3073"/>
    <w:rsid w:val="009E3084"/>
    <w:rsid w:val="009E32A8"/>
    <w:rsid w:val="009E32F5"/>
    <w:rsid w:val="009E334C"/>
    <w:rsid w:val="009E341B"/>
    <w:rsid w:val="009E3435"/>
    <w:rsid w:val="009E3439"/>
    <w:rsid w:val="009E3467"/>
    <w:rsid w:val="009E34DE"/>
    <w:rsid w:val="009E351C"/>
    <w:rsid w:val="009E352F"/>
    <w:rsid w:val="009E355C"/>
    <w:rsid w:val="009E35AD"/>
    <w:rsid w:val="009E3605"/>
    <w:rsid w:val="009E364E"/>
    <w:rsid w:val="009E3665"/>
    <w:rsid w:val="009E369C"/>
    <w:rsid w:val="009E36F7"/>
    <w:rsid w:val="009E36F8"/>
    <w:rsid w:val="009E372E"/>
    <w:rsid w:val="009E379F"/>
    <w:rsid w:val="009E37A6"/>
    <w:rsid w:val="009E38D0"/>
    <w:rsid w:val="009E391E"/>
    <w:rsid w:val="009E391F"/>
    <w:rsid w:val="009E39AA"/>
    <w:rsid w:val="009E3A56"/>
    <w:rsid w:val="009E3AA1"/>
    <w:rsid w:val="009E3ADA"/>
    <w:rsid w:val="009E3BDB"/>
    <w:rsid w:val="009E3BF1"/>
    <w:rsid w:val="009E3C63"/>
    <w:rsid w:val="009E3CB2"/>
    <w:rsid w:val="009E3CEB"/>
    <w:rsid w:val="009E3D06"/>
    <w:rsid w:val="009E3E6F"/>
    <w:rsid w:val="009E3E84"/>
    <w:rsid w:val="009E3EFC"/>
    <w:rsid w:val="009E3F1A"/>
    <w:rsid w:val="009E3F47"/>
    <w:rsid w:val="009E3F54"/>
    <w:rsid w:val="009E3F76"/>
    <w:rsid w:val="009E3FBA"/>
    <w:rsid w:val="009E400D"/>
    <w:rsid w:val="009E4065"/>
    <w:rsid w:val="009E40A3"/>
    <w:rsid w:val="009E40FE"/>
    <w:rsid w:val="009E412D"/>
    <w:rsid w:val="009E41B3"/>
    <w:rsid w:val="009E41B7"/>
    <w:rsid w:val="009E41F1"/>
    <w:rsid w:val="009E4265"/>
    <w:rsid w:val="009E42A9"/>
    <w:rsid w:val="009E42C4"/>
    <w:rsid w:val="009E4316"/>
    <w:rsid w:val="009E4372"/>
    <w:rsid w:val="009E438A"/>
    <w:rsid w:val="009E4392"/>
    <w:rsid w:val="009E43AD"/>
    <w:rsid w:val="009E43D9"/>
    <w:rsid w:val="009E4430"/>
    <w:rsid w:val="009E4434"/>
    <w:rsid w:val="009E4453"/>
    <w:rsid w:val="009E4469"/>
    <w:rsid w:val="009E4491"/>
    <w:rsid w:val="009E4564"/>
    <w:rsid w:val="009E45B9"/>
    <w:rsid w:val="009E45C7"/>
    <w:rsid w:val="009E4601"/>
    <w:rsid w:val="009E4665"/>
    <w:rsid w:val="009E469D"/>
    <w:rsid w:val="009E4710"/>
    <w:rsid w:val="009E4721"/>
    <w:rsid w:val="009E4793"/>
    <w:rsid w:val="009E47A7"/>
    <w:rsid w:val="009E47D3"/>
    <w:rsid w:val="009E4830"/>
    <w:rsid w:val="009E4838"/>
    <w:rsid w:val="009E4854"/>
    <w:rsid w:val="009E487C"/>
    <w:rsid w:val="009E4891"/>
    <w:rsid w:val="009E4898"/>
    <w:rsid w:val="009E48A1"/>
    <w:rsid w:val="009E48E8"/>
    <w:rsid w:val="009E490A"/>
    <w:rsid w:val="009E4981"/>
    <w:rsid w:val="009E49EA"/>
    <w:rsid w:val="009E4A16"/>
    <w:rsid w:val="009E4A4D"/>
    <w:rsid w:val="009E4A5C"/>
    <w:rsid w:val="009E4AB0"/>
    <w:rsid w:val="009E4AE7"/>
    <w:rsid w:val="009E4BAB"/>
    <w:rsid w:val="009E4BD3"/>
    <w:rsid w:val="009E4BF3"/>
    <w:rsid w:val="009E4C8F"/>
    <w:rsid w:val="009E4CC6"/>
    <w:rsid w:val="009E4D0F"/>
    <w:rsid w:val="009E4D4D"/>
    <w:rsid w:val="009E4D5F"/>
    <w:rsid w:val="009E4D95"/>
    <w:rsid w:val="009E4DC1"/>
    <w:rsid w:val="009E4DC7"/>
    <w:rsid w:val="009E4E1E"/>
    <w:rsid w:val="009E4E28"/>
    <w:rsid w:val="009E4E2C"/>
    <w:rsid w:val="009E4E5B"/>
    <w:rsid w:val="009E4E66"/>
    <w:rsid w:val="009E4E8D"/>
    <w:rsid w:val="009E4ED4"/>
    <w:rsid w:val="009E4F18"/>
    <w:rsid w:val="009E4F90"/>
    <w:rsid w:val="009E4FB6"/>
    <w:rsid w:val="009E5022"/>
    <w:rsid w:val="009E5029"/>
    <w:rsid w:val="009E509C"/>
    <w:rsid w:val="009E50B7"/>
    <w:rsid w:val="009E511C"/>
    <w:rsid w:val="009E5140"/>
    <w:rsid w:val="009E5141"/>
    <w:rsid w:val="009E516C"/>
    <w:rsid w:val="009E5238"/>
    <w:rsid w:val="009E52AF"/>
    <w:rsid w:val="009E52C3"/>
    <w:rsid w:val="009E5345"/>
    <w:rsid w:val="009E534A"/>
    <w:rsid w:val="009E5352"/>
    <w:rsid w:val="009E5366"/>
    <w:rsid w:val="009E53AB"/>
    <w:rsid w:val="009E53E1"/>
    <w:rsid w:val="009E5407"/>
    <w:rsid w:val="009E5420"/>
    <w:rsid w:val="009E5442"/>
    <w:rsid w:val="009E54A3"/>
    <w:rsid w:val="009E54DB"/>
    <w:rsid w:val="009E54F4"/>
    <w:rsid w:val="009E54FB"/>
    <w:rsid w:val="009E5502"/>
    <w:rsid w:val="009E550E"/>
    <w:rsid w:val="009E5556"/>
    <w:rsid w:val="009E557F"/>
    <w:rsid w:val="009E5587"/>
    <w:rsid w:val="009E5604"/>
    <w:rsid w:val="009E5672"/>
    <w:rsid w:val="009E5701"/>
    <w:rsid w:val="009E5730"/>
    <w:rsid w:val="009E5740"/>
    <w:rsid w:val="009E5765"/>
    <w:rsid w:val="009E57B2"/>
    <w:rsid w:val="009E57C2"/>
    <w:rsid w:val="009E57E9"/>
    <w:rsid w:val="009E5827"/>
    <w:rsid w:val="009E5855"/>
    <w:rsid w:val="009E587D"/>
    <w:rsid w:val="009E58FF"/>
    <w:rsid w:val="009E5912"/>
    <w:rsid w:val="009E5931"/>
    <w:rsid w:val="009E5977"/>
    <w:rsid w:val="009E59B7"/>
    <w:rsid w:val="009E59BA"/>
    <w:rsid w:val="009E59CD"/>
    <w:rsid w:val="009E59DB"/>
    <w:rsid w:val="009E5A13"/>
    <w:rsid w:val="009E5A66"/>
    <w:rsid w:val="009E5A78"/>
    <w:rsid w:val="009E5A9E"/>
    <w:rsid w:val="009E5AA7"/>
    <w:rsid w:val="009E5AC2"/>
    <w:rsid w:val="009E5B04"/>
    <w:rsid w:val="009E5B4E"/>
    <w:rsid w:val="009E5B5A"/>
    <w:rsid w:val="009E5B90"/>
    <w:rsid w:val="009E5BB5"/>
    <w:rsid w:val="009E5C22"/>
    <w:rsid w:val="009E5C26"/>
    <w:rsid w:val="009E5C2B"/>
    <w:rsid w:val="009E5C2C"/>
    <w:rsid w:val="009E5C73"/>
    <w:rsid w:val="009E5CBA"/>
    <w:rsid w:val="009E5D33"/>
    <w:rsid w:val="009E5D40"/>
    <w:rsid w:val="009E5D68"/>
    <w:rsid w:val="009E5D70"/>
    <w:rsid w:val="009E5D9C"/>
    <w:rsid w:val="009E5DC5"/>
    <w:rsid w:val="009E5E06"/>
    <w:rsid w:val="009E5E55"/>
    <w:rsid w:val="009E5E5A"/>
    <w:rsid w:val="009E5E82"/>
    <w:rsid w:val="009E5ED7"/>
    <w:rsid w:val="009E60A4"/>
    <w:rsid w:val="009E60C5"/>
    <w:rsid w:val="009E60CB"/>
    <w:rsid w:val="009E6100"/>
    <w:rsid w:val="009E613B"/>
    <w:rsid w:val="009E61F2"/>
    <w:rsid w:val="009E624F"/>
    <w:rsid w:val="009E62B1"/>
    <w:rsid w:val="009E62BF"/>
    <w:rsid w:val="009E62CC"/>
    <w:rsid w:val="009E633D"/>
    <w:rsid w:val="009E6379"/>
    <w:rsid w:val="009E6472"/>
    <w:rsid w:val="009E6504"/>
    <w:rsid w:val="009E65D1"/>
    <w:rsid w:val="009E65E9"/>
    <w:rsid w:val="009E662A"/>
    <w:rsid w:val="009E6639"/>
    <w:rsid w:val="009E6665"/>
    <w:rsid w:val="009E666D"/>
    <w:rsid w:val="009E6687"/>
    <w:rsid w:val="009E66A6"/>
    <w:rsid w:val="009E6746"/>
    <w:rsid w:val="009E677B"/>
    <w:rsid w:val="009E67B8"/>
    <w:rsid w:val="009E67D5"/>
    <w:rsid w:val="009E6811"/>
    <w:rsid w:val="009E6824"/>
    <w:rsid w:val="009E685C"/>
    <w:rsid w:val="009E6868"/>
    <w:rsid w:val="009E688F"/>
    <w:rsid w:val="009E68CE"/>
    <w:rsid w:val="009E68D8"/>
    <w:rsid w:val="009E6914"/>
    <w:rsid w:val="009E6952"/>
    <w:rsid w:val="009E69E5"/>
    <w:rsid w:val="009E6A44"/>
    <w:rsid w:val="009E6A61"/>
    <w:rsid w:val="009E6AB8"/>
    <w:rsid w:val="009E6B0A"/>
    <w:rsid w:val="009E6BD4"/>
    <w:rsid w:val="009E6BFC"/>
    <w:rsid w:val="009E6C02"/>
    <w:rsid w:val="009E6C13"/>
    <w:rsid w:val="009E6C65"/>
    <w:rsid w:val="009E6D15"/>
    <w:rsid w:val="009E6D78"/>
    <w:rsid w:val="009E6D80"/>
    <w:rsid w:val="009E6DB3"/>
    <w:rsid w:val="009E6E97"/>
    <w:rsid w:val="009E6EBC"/>
    <w:rsid w:val="009E6F15"/>
    <w:rsid w:val="009E6F24"/>
    <w:rsid w:val="009E6F62"/>
    <w:rsid w:val="009E6FC6"/>
    <w:rsid w:val="009E6FE3"/>
    <w:rsid w:val="009E7031"/>
    <w:rsid w:val="009E7037"/>
    <w:rsid w:val="009E7041"/>
    <w:rsid w:val="009E7044"/>
    <w:rsid w:val="009E7071"/>
    <w:rsid w:val="009E707E"/>
    <w:rsid w:val="009E7095"/>
    <w:rsid w:val="009E7117"/>
    <w:rsid w:val="009E7137"/>
    <w:rsid w:val="009E714F"/>
    <w:rsid w:val="009E7186"/>
    <w:rsid w:val="009E71A7"/>
    <w:rsid w:val="009E727D"/>
    <w:rsid w:val="009E72FF"/>
    <w:rsid w:val="009E7342"/>
    <w:rsid w:val="009E73AF"/>
    <w:rsid w:val="009E73EC"/>
    <w:rsid w:val="009E748A"/>
    <w:rsid w:val="009E749C"/>
    <w:rsid w:val="009E754C"/>
    <w:rsid w:val="009E7652"/>
    <w:rsid w:val="009E7660"/>
    <w:rsid w:val="009E769E"/>
    <w:rsid w:val="009E769F"/>
    <w:rsid w:val="009E76C6"/>
    <w:rsid w:val="009E76D6"/>
    <w:rsid w:val="009E772E"/>
    <w:rsid w:val="009E7765"/>
    <w:rsid w:val="009E77BE"/>
    <w:rsid w:val="009E7858"/>
    <w:rsid w:val="009E787C"/>
    <w:rsid w:val="009E78BF"/>
    <w:rsid w:val="009E7942"/>
    <w:rsid w:val="009E7971"/>
    <w:rsid w:val="009E79AB"/>
    <w:rsid w:val="009E79B0"/>
    <w:rsid w:val="009E79B3"/>
    <w:rsid w:val="009E79E7"/>
    <w:rsid w:val="009E7A50"/>
    <w:rsid w:val="009E7A64"/>
    <w:rsid w:val="009E7A7B"/>
    <w:rsid w:val="009E7AAA"/>
    <w:rsid w:val="009E7AD4"/>
    <w:rsid w:val="009E7AF5"/>
    <w:rsid w:val="009E7B67"/>
    <w:rsid w:val="009E7B75"/>
    <w:rsid w:val="009E7C9A"/>
    <w:rsid w:val="009E7D12"/>
    <w:rsid w:val="009E7DC0"/>
    <w:rsid w:val="009E7E52"/>
    <w:rsid w:val="009E7E9A"/>
    <w:rsid w:val="009E7ED6"/>
    <w:rsid w:val="009E7EEE"/>
    <w:rsid w:val="009E7F5C"/>
    <w:rsid w:val="009E7FC8"/>
    <w:rsid w:val="009E7FE1"/>
    <w:rsid w:val="009F0018"/>
    <w:rsid w:val="009F00F0"/>
    <w:rsid w:val="009F0100"/>
    <w:rsid w:val="009F017B"/>
    <w:rsid w:val="009F01E8"/>
    <w:rsid w:val="009F0221"/>
    <w:rsid w:val="009F02C4"/>
    <w:rsid w:val="009F0333"/>
    <w:rsid w:val="009F038A"/>
    <w:rsid w:val="009F03A0"/>
    <w:rsid w:val="009F03BA"/>
    <w:rsid w:val="009F03CF"/>
    <w:rsid w:val="009F0405"/>
    <w:rsid w:val="009F0430"/>
    <w:rsid w:val="009F045F"/>
    <w:rsid w:val="009F0486"/>
    <w:rsid w:val="009F04BD"/>
    <w:rsid w:val="009F0560"/>
    <w:rsid w:val="009F056B"/>
    <w:rsid w:val="009F059B"/>
    <w:rsid w:val="009F0607"/>
    <w:rsid w:val="009F0646"/>
    <w:rsid w:val="009F0668"/>
    <w:rsid w:val="009F068B"/>
    <w:rsid w:val="009F06B3"/>
    <w:rsid w:val="009F06E6"/>
    <w:rsid w:val="009F071C"/>
    <w:rsid w:val="009F07E6"/>
    <w:rsid w:val="009F0835"/>
    <w:rsid w:val="009F0852"/>
    <w:rsid w:val="009F099D"/>
    <w:rsid w:val="009F09A5"/>
    <w:rsid w:val="009F09C6"/>
    <w:rsid w:val="009F0A00"/>
    <w:rsid w:val="009F0A04"/>
    <w:rsid w:val="009F0A40"/>
    <w:rsid w:val="009F0A61"/>
    <w:rsid w:val="009F0A82"/>
    <w:rsid w:val="009F0AA6"/>
    <w:rsid w:val="009F0AC3"/>
    <w:rsid w:val="009F0B24"/>
    <w:rsid w:val="009F0B31"/>
    <w:rsid w:val="009F0B35"/>
    <w:rsid w:val="009F0BA3"/>
    <w:rsid w:val="009F0BB2"/>
    <w:rsid w:val="009F0BB6"/>
    <w:rsid w:val="009F0BCD"/>
    <w:rsid w:val="009F0C3C"/>
    <w:rsid w:val="009F0C76"/>
    <w:rsid w:val="009F0C8C"/>
    <w:rsid w:val="009F0CAD"/>
    <w:rsid w:val="009F0CDE"/>
    <w:rsid w:val="009F0EC6"/>
    <w:rsid w:val="009F0EFD"/>
    <w:rsid w:val="009F0F8A"/>
    <w:rsid w:val="009F0FB0"/>
    <w:rsid w:val="009F0FC5"/>
    <w:rsid w:val="009F0FDE"/>
    <w:rsid w:val="009F1007"/>
    <w:rsid w:val="009F105C"/>
    <w:rsid w:val="009F1061"/>
    <w:rsid w:val="009F1086"/>
    <w:rsid w:val="009F1104"/>
    <w:rsid w:val="009F11ED"/>
    <w:rsid w:val="009F1208"/>
    <w:rsid w:val="009F125F"/>
    <w:rsid w:val="009F1267"/>
    <w:rsid w:val="009F12D6"/>
    <w:rsid w:val="009F12DB"/>
    <w:rsid w:val="009F12E6"/>
    <w:rsid w:val="009F12F2"/>
    <w:rsid w:val="009F13DB"/>
    <w:rsid w:val="009F13ED"/>
    <w:rsid w:val="009F1418"/>
    <w:rsid w:val="009F143F"/>
    <w:rsid w:val="009F1475"/>
    <w:rsid w:val="009F1588"/>
    <w:rsid w:val="009F159C"/>
    <w:rsid w:val="009F169A"/>
    <w:rsid w:val="009F16AB"/>
    <w:rsid w:val="009F16D1"/>
    <w:rsid w:val="009F1721"/>
    <w:rsid w:val="009F176D"/>
    <w:rsid w:val="009F17C6"/>
    <w:rsid w:val="009F1828"/>
    <w:rsid w:val="009F18CA"/>
    <w:rsid w:val="009F190E"/>
    <w:rsid w:val="009F1945"/>
    <w:rsid w:val="009F1948"/>
    <w:rsid w:val="009F1A35"/>
    <w:rsid w:val="009F1AD8"/>
    <w:rsid w:val="009F1ADD"/>
    <w:rsid w:val="009F1B82"/>
    <w:rsid w:val="009F1BAD"/>
    <w:rsid w:val="009F1C41"/>
    <w:rsid w:val="009F1C74"/>
    <w:rsid w:val="009F1CEA"/>
    <w:rsid w:val="009F1CFA"/>
    <w:rsid w:val="009F1CFD"/>
    <w:rsid w:val="009F1D25"/>
    <w:rsid w:val="009F1D66"/>
    <w:rsid w:val="009F1D6A"/>
    <w:rsid w:val="009F1DBF"/>
    <w:rsid w:val="009F1DC2"/>
    <w:rsid w:val="009F1DDF"/>
    <w:rsid w:val="009F1E02"/>
    <w:rsid w:val="009F1E7E"/>
    <w:rsid w:val="009F1EB6"/>
    <w:rsid w:val="009F1EE8"/>
    <w:rsid w:val="009F1F1F"/>
    <w:rsid w:val="009F1F50"/>
    <w:rsid w:val="009F1F83"/>
    <w:rsid w:val="009F1F87"/>
    <w:rsid w:val="009F1FC5"/>
    <w:rsid w:val="009F1FE8"/>
    <w:rsid w:val="009F1FF7"/>
    <w:rsid w:val="009F202E"/>
    <w:rsid w:val="009F2076"/>
    <w:rsid w:val="009F207F"/>
    <w:rsid w:val="009F20B1"/>
    <w:rsid w:val="009F20BC"/>
    <w:rsid w:val="009F20DF"/>
    <w:rsid w:val="009F216A"/>
    <w:rsid w:val="009F2182"/>
    <w:rsid w:val="009F224E"/>
    <w:rsid w:val="009F22C0"/>
    <w:rsid w:val="009F22F6"/>
    <w:rsid w:val="009F230C"/>
    <w:rsid w:val="009F235F"/>
    <w:rsid w:val="009F23DB"/>
    <w:rsid w:val="009F24A5"/>
    <w:rsid w:val="009F24D2"/>
    <w:rsid w:val="009F24DE"/>
    <w:rsid w:val="009F24F7"/>
    <w:rsid w:val="009F254B"/>
    <w:rsid w:val="009F2564"/>
    <w:rsid w:val="009F2583"/>
    <w:rsid w:val="009F2593"/>
    <w:rsid w:val="009F2706"/>
    <w:rsid w:val="009F2757"/>
    <w:rsid w:val="009F2796"/>
    <w:rsid w:val="009F27AB"/>
    <w:rsid w:val="009F27BF"/>
    <w:rsid w:val="009F285E"/>
    <w:rsid w:val="009F28B4"/>
    <w:rsid w:val="009F28C4"/>
    <w:rsid w:val="009F28E8"/>
    <w:rsid w:val="009F2956"/>
    <w:rsid w:val="009F295F"/>
    <w:rsid w:val="009F2979"/>
    <w:rsid w:val="009F29B1"/>
    <w:rsid w:val="009F29D3"/>
    <w:rsid w:val="009F2A07"/>
    <w:rsid w:val="009F2ABA"/>
    <w:rsid w:val="009F2AD3"/>
    <w:rsid w:val="009F2AF3"/>
    <w:rsid w:val="009F2B56"/>
    <w:rsid w:val="009F2B93"/>
    <w:rsid w:val="009F2BEF"/>
    <w:rsid w:val="009F2C40"/>
    <w:rsid w:val="009F2C4A"/>
    <w:rsid w:val="009F2C92"/>
    <w:rsid w:val="009F2CA8"/>
    <w:rsid w:val="009F2CEB"/>
    <w:rsid w:val="009F2CEE"/>
    <w:rsid w:val="009F2D14"/>
    <w:rsid w:val="009F2D51"/>
    <w:rsid w:val="009F2E32"/>
    <w:rsid w:val="009F2F1E"/>
    <w:rsid w:val="009F2F6C"/>
    <w:rsid w:val="009F303C"/>
    <w:rsid w:val="009F3077"/>
    <w:rsid w:val="009F3090"/>
    <w:rsid w:val="009F30EB"/>
    <w:rsid w:val="009F3198"/>
    <w:rsid w:val="009F31C4"/>
    <w:rsid w:val="009F31F8"/>
    <w:rsid w:val="009F3237"/>
    <w:rsid w:val="009F3247"/>
    <w:rsid w:val="009F329B"/>
    <w:rsid w:val="009F32C2"/>
    <w:rsid w:val="009F32DE"/>
    <w:rsid w:val="009F32EC"/>
    <w:rsid w:val="009F333F"/>
    <w:rsid w:val="009F3382"/>
    <w:rsid w:val="009F33BA"/>
    <w:rsid w:val="009F33F0"/>
    <w:rsid w:val="009F340F"/>
    <w:rsid w:val="009F3447"/>
    <w:rsid w:val="009F345E"/>
    <w:rsid w:val="009F356C"/>
    <w:rsid w:val="009F35F9"/>
    <w:rsid w:val="009F360E"/>
    <w:rsid w:val="009F3657"/>
    <w:rsid w:val="009F3686"/>
    <w:rsid w:val="009F36BA"/>
    <w:rsid w:val="009F3744"/>
    <w:rsid w:val="009F3777"/>
    <w:rsid w:val="009F378B"/>
    <w:rsid w:val="009F3828"/>
    <w:rsid w:val="009F3829"/>
    <w:rsid w:val="009F392A"/>
    <w:rsid w:val="009F396B"/>
    <w:rsid w:val="009F3A0E"/>
    <w:rsid w:val="009F3A28"/>
    <w:rsid w:val="009F3A43"/>
    <w:rsid w:val="009F3A54"/>
    <w:rsid w:val="009F3A94"/>
    <w:rsid w:val="009F3AB0"/>
    <w:rsid w:val="009F3B71"/>
    <w:rsid w:val="009F3BB9"/>
    <w:rsid w:val="009F3C10"/>
    <w:rsid w:val="009F3C35"/>
    <w:rsid w:val="009F3C4C"/>
    <w:rsid w:val="009F3C90"/>
    <w:rsid w:val="009F3CFB"/>
    <w:rsid w:val="009F3D25"/>
    <w:rsid w:val="009F3DB7"/>
    <w:rsid w:val="009F3DBA"/>
    <w:rsid w:val="009F3E9E"/>
    <w:rsid w:val="009F3EDD"/>
    <w:rsid w:val="009F3F1B"/>
    <w:rsid w:val="009F3FC8"/>
    <w:rsid w:val="009F3FDC"/>
    <w:rsid w:val="009F4039"/>
    <w:rsid w:val="009F40DF"/>
    <w:rsid w:val="009F4115"/>
    <w:rsid w:val="009F414F"/>
    <w:rsid w:val="009F4155"/>
    <w:rsid w:val="009F41C1"/>
    <w:rsid w:val="009F4222"/>
    <w:rsid w:val="009F4224"/>
    <w:rsid w:val="009F42F3"/>
    <w:rsid w:val="009F4327"/>
    <w:rsid w:val="009F43CD"/>
    <w:rsid w:val="009F4461"/>
    <w:rsid w:val="009F44C4"/>
    <w:rsid w:val="009F44F0"/>
    <w:rsid w:val="009F44F8"/>
    <w:rsid w:val="009F45CE"/>
    <w:rsid w:val="009F45F2"/>
    <w:rsid w:val="009F461E"/>
    <w:rsid w:val="009F4643"/>
    <w:rsid w:val="009F4647"/>
    <w:rsid w:val="009F4670"/>
    <w:rsid w:val="009F46AB"/>
    <w:rsid w:val="009F46DC"/>
    <w:rsid w:val="009F46EC"/>
    <w:rsid w:val="009F4767"/>
    <w:rsid w:val="009F47EE"/>
    <w:rsid w:val="009F47FD"/>
    <w:rsid w:val="009F47FE"/>
    <w:rsid w:val="009F484D"/>
    <w:rsid w:val="009F4928"/>
    <w:rsid w:val="009F49D9"/>
    <w:rsid w:val="009F49DE"/>
    <w:rsid w:val="009F4A10"/>
    <w:rsid w:val="009F4AB2"/>
    <w:rsid w:val="009F4AF5"/>
    <w:rsid w:val="009F4B03"/>
    <w:rsid w:val="009F4B4C"/>
    <w:rsid w:val="009F4B95"/>
    <w:rsid w:val="009F4BD9"/>
    <w:rsid w:val="009F4BEC"/>
    <w:rsid w:val="009F4BF1"/>
    <w:rsid w:val="009F4C11"/>
    <w:rsid w:val="009F4C84"/>
    <w:rsid w:val="009F4CA1"/>
    <w:rsid w:val="009F4CCA"/>
    <w:rsid w:val="009F4CCF"/>
    <w:rsid w:val="009F4CD3"/>
    <w:rsid w:val="009F4CD5"/>
    <w:rsid w:val="009F4CF7"/>
    <w:rsid w:val="009F4D45"/>
    <w:rsid w:val="009F4E03"/>
    <w:rsid w:val="009F4EA7"/>
    <w:rsid w:val="009F4EBF"/>
    <w:rsid w:val="009F4EC4"/>
    <w:rsid w:val="009F4F01"/>
    <w:rsid w:val="009F4F16"/>
    <w:rsid w:val="009F4F1A"/>
    <w:rsid w:val="009F4F5B"/>
    <w:rsid w:val="009F4FA9"/>
    <w:rsid w:val="009F4FCD"/>
    <w:rsid w:val="009F4FD8"/>
    <w:rsid w:val="009F5013"/>
    <w:rsid w:val="009F5024"/>
    <w:rsid w:val="009F5036"/>
    <w:rsid w:val="009F503F"/>
    <w:rsid w:val="009F505B"/>
    <w:rsid w:val="009F5066"/>
    <w:rsid w:val="009F509D"/>
    <w:rsid w:val="009F5116"/>
    <w:rsid w:val="009F511E"/>
    <w:rsid w:val="009F515C"/>
    <w:rsid w:val="009F51C1"/>
    <w:rsid w:val="009F51E4"/>
    <w:rsid w:val="009F5206"/>
    <w:rsid w:val="009F5291"/>
    <w:rsid w:val="009F52BA"/>
    <w:rsid w:val="009F52E3"/>
    <w:rsid w:val="009F52EE"/>
    <w:rsid w:val="009F5354"/>
    <w:rsid w:val="009F53CD"/>
    <w:rsid w:val="009F545E"/>
    <w:rsid w:val="009F5465"/>
    <w:rsid w:val="009F549D"/>
    <w:rsid w:val="009F54B3"/>
    <w:rsid w:val="009F54B9"/>
    <w:rsid w:val="009F54E7"/>
    <w:rsid w:val="009F557D"/>
    <w:rsid w:val="009F5583"/>
    <w:rsid w:val="009F55FD"/>
    <w:rsid w:val="009F5796"/>
    <w:rsid w:val="009F57A7"/>
    <w:rsid w:val="009F57D6"/>
    <w:rsid w:val="009F5815"/>
    <w:rsid w:val="009F5847"/>
    <w:rsid w:val="009F5864"/>
    <w:rsid w:val="009F5872"/>
    <w:rsid w:val="009F58FC"/>
    <w:rsid w:val="009F5903"/>
    <w:rsid w:val="009F590C"/>
    <w:rsid w:val="009F592E"/>
    <w:rsid w:val="009F5958"/>
    <w:rsid w:val="009F5A29"/>
    <w:rsid w:val="009F5A4D"/>
    <w:rsid w:val="009F5A6F"/>
    <w:rsid w:val="009F5A9E"/>
    <w:rsid w:val="009F5AB3"/>
    <w:rsid w:val="009F5B35"/>
    <w:rsid w:val="009F5B6F"/>
    <w:rsid w:val="009F5B97"/>
    <w:rsid w:val="009F5BE3"/>
    <w:rsid w:val="009F5C2A"/>
    <w:rsid w:val="009F5C46"/>
    <w:rsid w:val="009F5C61"/>
    <w:rsid w:val="009F5D1D"/>
    <w:rsid w:val="009F5D29"/>
    <w:rsid w:val="009F5DA0"/>
    <w:rsid w:val="009F5DC2"/>
    <w:rsid w:val="009F5E3D"/>
    <w:rsid w:val="009F5E46"/>
    <w:rsid w:val="009F5E64"/>
    <w:rsid w:val="009F5E9C"/>
    <w:rsid w:val="009F5F5E"/>
    <w:rsid w:val="009F5F95"/>
    <w:rsid w:val="009F5F96"/>
    <w:rsid w:val="009F5FDA"/>
    <w:rsid w:val="009F5FF5"/>
    <w:rsid w:val="009F6074"/>
    <w:rsid w:val="009F60CE"/>
    <w:rsid w:val="009F613A"/>
    <w:rsid w:val="009F6144"/>
    <w:rsid w:val="009F617B"/>
    <w:rsid w:val="009F618C"/>
    <w:rsid w:val="009F6211"/>
    <w:rsid w:val="009F623F"/>
    <w:rsid w:val="009F624D"/>
    <w:rsid w:val="009F627E"/>
    <w:rsid w:val="009F62A3"/>
    <w:rsid w:val="009F62EA"/>
    <w:rsid w:val="009F62EC"/>
    <w:rsid w:val="009F62F6"/>
    <w:rsid w:val="009F63E9"/>
    <w:rsid w:val="009F64BA"/>
    <w:rsid w:val="009F655D"/>
    <w:rsid w:val="009F655E"/>
    <w:rsid w:val="009F6584"/>
    <w:rsid w:val="009F65B6"/>
    <w:rsid w:val="009F65B7"/>
    <w:rsid w:val="009F6604"/>
    <w:rsid w:val="009F6616"/>
    <w:rsid w:val="009F662B"/>
    <w:rsid w:val="009F662E"/>
    <w:rsid w:val="009F664D"/>
    <w:rsid w:val="009F66A9"/>
    <w:rsid w:val="009F66D0"/>
    <w:rsid w:val="009F66FD"/>
    <w:rsid w:val="009F67E5"/>
    <w:rsid w:val="009F67FD"/>
    <w:rsid w:val="009F6871"/>
    <w:rsid w:val="009F6896"/>
    <w:rsid w:val="009F68A1"/>
    <w:rsid w:val="009F68E5"/>
    <w:rsid w:val="009F6945"/>
    <w:rsid w:val="009F694D"/>
    <w:rsid w:val="009F6A20"/>
    <w:rsid w:val="009F6A21"/>
    <w:rsid w:val="009F6A8B"/>
    <w:rsid w:val="009F6AA9"/>
    <w:rsid w:val="009F6B2D"/>
    <w:rsid w:val="009F6B4A"/>
    <w:rsid w:val="009F6BCD"/>
    <w:rsid w:val="009F6C3E"/>
    <w:rsid w:val="009F6C42"/>
    <w:rsid w:val="009F6D76"/>
    <w:rsid w:val="009F6DA0"/>
    <w:rsid w:val="009F6DA9"/>
    <w:rsid w:val="009F6EC5"/>
    <w:rsid w:val="009F6EF4"/>
    <w:rsid w:val="009F6FD6"/>
    <w:rsid w:val="009F6FF2"/>
    <w:rsid w:val="009F708F"/>
    <w:rsid w:val="009F713E"/>
    <w:rsid w:val="009F7184"/>
    <w:rsid w:val="009F7192"/>
    <w:rsid w:val="009F71AA"/>
    <w:rsid w:val="009F7213"/>
    <w:rsid w:val="009F7268"/>
    <w:rsid w:val="009F7272"/>
    <w:rsid w:val="009F72A0"/>
    <w:rsid w:val="009F72A4"/>
    <w:rsid w:val="009F72CB"/>
    <w:rsid w:val="009F72F5"/>
    <w:rsid w:val="009F7302"/>
    <w:rsid w:val="009F73B8"/>
    <w:rsid w:val="009F7407"/>
    <w:rsid w:val="009F742D"/>
    <w:rsid w:val="009F745B"/>
    <w:rsid w:val="009F749A"/>
    <w:rsid w:val="009F74E5"/>
    <w:rsid w:val="009F74FD"/>
    <w:rsid w:val="009F756B"/>
    <w:rsid w:val="009F7611"/>
    <w:rsid w:val="009F77E7"/>
    <w:rsid w:val="009F77FD"/>
    <w:rsid w:val="009F7870"/>
    <w:rsid w:val="009F78F4"/>
    <w:rsid w:val="009F7929"/>
    <w:rsid w:val="009F792C"/>
    <w:rsid w:val="009F7934"/>
    <w:rsid w:val="009F7938"/>
    <w:rsid w:val="009F7956"/>
    <w:rsid w:val="009F7985"/>
    <w:rsid w:val="009F79BA"/>
    <w:rsid w:val="009F79DA"/>
    <w:rsid w:val="009F7A1C"/>
    <w:rsid w:val="009F7A6C"/>
    <w:rsid w:val="009F7AA2"/>
    <w:rsid w:val="009F7AA9"/>
    <w:rsid w:val="009F7AAC"/>
    <w:rsid w:val="009F7AC2"/>
    <w:rsid w:val="009F7B01"/>
    <w:rsid w:val="009F7B24"/>
    <w:rsid w:val="009F7B27"/>
    <w:rsid w:val="009F7B34"/>
    <w:rsid w:val="009F7B95"/>
    <w:rsid w:val="009F7C33"/>
    <w:rsid w:val="009F7C6C"/>
    <w:rsid w:val="009F7C8F"/>
    <w:rsid w:val="009F7DBE"/>
    <w:rsid w:val="009F7DE2"/>
    <w:rsid w:val="009F7E2E"/>
    <w:rsid w:val="009F7E58"/>
    <w:rsid w:val="009F7E7D"/>
    <w:rsid w:val="009F7E8E"/>
    <w:rsid w:val="009F7EB6"/>
    <w:rsid w:val="009F7F0D"/>
    <w:rsid w:val="009F7F2B"/>
    <w:rsid w:val="009F7F68"/>
    <w:rsid w:val="009F7FA3"/>
    <w:rsid w:val="009F7FD1"/>
    <w:rsid w:val="00A0000D"/>
    <w:rsid w:val="00A00035"/>
    <w:rsid w:val="00A0004D"/>
    <w:rsid w:val="00A00081"/>
    <w:rsid w:val="00A000EB"/>
    <w:rsid w:val="00A000F1"/>
    <w:rsid w:val="00A000FF"/>
    <w:rsid w:val="00A00134"/>
    <w:rsid w:val="00A00150"/>
    <w:rsid w:val="00A00160"/>
    <w:rsid w:val="00A00191"/>
    <w:rsid w:val="00A001AB"/>
    <w:rsid w:val="00A001B6"/>
    <w:rsid w:val="00A001F3"/>
    <w:rsid w:val="00A00209"/>
    <w:rsid w:val="00A0022C"/>
    <w:rsid w:val="00A00265"/>
    <w:rsid w:val="00A002E2"/>
    <w:rsid w:val="00A002E4"/>
    <w:rsid w:val="00A00323"/>
    <w:rsid w:val="00A00363"/>
    <w:rsid w:val="00A00386"/>
    <w:rsid w:val="00A003DC"/>
    <w:rsid w:val="00A0050E"/>
    <w:rsid w:val="00A005EC"/>
    <w:rsid w:val="00A0064C"/>
    <w:rsid w:val="00A006BB"/>
    <w:rsid w:val="00A006BE"/>
    <w:rsid w:val="00A00796"/>
    <w:rsid w:val="00A007C9"/>
    <w:rsid w:val="00A008A3"/>
    <w:rsid w:val="00A008A7"/>
    <w:rsid w:val="00A008D5"/>
    <w:rsid w:val="00A008DD"/>
    <w:rsid w:val="00A00A45"/>
    <w:rsid w:val="00A00A6C"/>
    <w:rsid w:val="00A00A7F"/>
    <w:rsid w:val="00A00AB9"/>
    <w:rsid w:val="00A00AC0"/>
    <w:rsid w:val="00A00B2A"/>
    <w:rsid w:val="00A00B52"/>
    <w:rsid w:val="00A00BD8"/>
    <w:rsid w:val="00A00D96"/>
    <w:rsid w:val="00A00E06"/>
    <w:rsid w:val="00A00E62"/>
    <w:rsid w:val="00A00EA1"/>
    <w:rsid w:val="00A00ED4"/>
    <w:rsid w:val="00A00F7D"/>
    <w:rsid w:val="00A00FDF"/>
    <w:rsid w:val="00A00FE0"/>
    <w:rsid w:val="00A00FEF"/>
    <w:rsid w:val="00A01010"/>
    <w:rsid w:val="00A0102C"/>
    <w:rsid w:val="00A01051"/>
    <w:rsid w:val="00A01079"/>
    <w:rsid w:val="00A010FF"/>
    <w:rsid w:val="00A01153"/>
    <w:rsid w:val="00A01179"/>
    <w:rsid w:val="00A011DB"/>
    <w:rsid w:val="00A011FB"/>
    <w:rsid w:val="00A011FD"/>
    <w:rsid w:val="00A0125D"/>
    <w:rsid w:val="00A0127E"/>
    <w:rsid w:val="00A012C9"/>
    <w:rsid w:val="00A012D0"/>
    <w:rsid w:val="00A0134C"/>
    <w:rsid w:val="00A0138E"/>
    <w:rsid w:val="00A013E3"/>
    <w:rsid w:val="00A01402"/>
    <w:rsid w:val="00A0140F"/>
    <w:rsid w:val="00A01426"/>
    <w:rsid w:val="00A01434"/>
    <w:rsid w:val="00A014AD"/>
    <w:rsid w:val="00A014D4"/>
    <w:rsid w:val="00A01506"/>
    <w:rsid w:val="00A0150D"/>
    <w:rsid w:val="00A01527"/>
    <w:rsid w:val="00A01624"/>
    <w:rsid w:val="00A01625"/>
    <w:rsid w:val="00A01656"/>
    <w:rsid w:val="00A0169A"/>
    <w:rsid w:val="00A016C8"/>
    <w:rsid w:val="00A0170E"/>
    <w:rsid w:val="00A017AD"/>
    <w:rsid w:val="00A017F3"/>
    <w:rsid w:val="00A0184B"/>
    <w:rsid w:val="00A01866"/>
    <w:rsid w:val="00A018BD"/>
    <w:rsid w:val="00A018F7"/>
    <w:rsid w:val="00A01946"/>
    <w:rsid w:val="00A019A9"/>
    <w:rsid w:val="00A019B9"/>
    <w:rsid w:val="00A019D6"/>
    <w:rsid w:val="00A019FD"/>
    <w:rsid w:val="00A01A09"/>
    <w:rsid w:val="00A01A48"/>
    <w:rsid w:val="00A01A6E"/>
    <w:rsid w:val="00A01AC8"/>
    <w:rsid w:val="00A01B56"/>
    <w:rsid w:val="00A01B58"/>
    <w:rsid w:val="00A01BD8"/>
    <w:rsid w:val="00A01BED"/>
    <w:rsid w:val="00A01C32"/>
    <w:rsid w:val="00A01C77"/>
    <w:rsid w:val="00A01CB6"/>
    <w:rsid w:val="00A01D05"/>
    <w:rsid w:val="00A01D4B"/>
    <w:rsid w:val="00A01D8E"/>
    <w:rsid w:val="00A01DC3"/>
    <w:rsid w:val="00A01E13"/>
    <w:rsid w:val="00A01F4C"/>
    <w:rsid w:val="00A01F65"/>
    <w:rsid w:val="00A01F6B"/>
    <w:rsid w:val="00A01FE6"/>
    <w:rsid w:val="00A01FF2"/>
    <w:rsid w:val="00A01FF3"/>
    <w:rsid w:val="00A02005"/>
    <w:rsid w:val="00A02023"/>
    <w:rsid w:val="00A02036"/>
    <w:rsid w:val="00A0204A"/>
    <w:rsid w:val="00A0207E"/>
    <w:rsid w:val="00A020E9"/>
    <w:rsid w:val="00A020EB"/>
    <w:rsid w:val="00A02102"/>
    <w:rsid w:val="00A0210D"/>
    <w:rsid w:val="00A0212D"/>
    <w:rsid w:val="00A0214F"/>
    <w:rsid w:val="00A021BA"/>
    <w:rsid w:val="00A021CE"/>
    <w:rsid w:val="00A021E7"/>
    <w:rsid w:val="00A02208"/>
    <w:rsid w:val="00A02240"/>
    <w:rsid w:val="00A0226A"/>
    <w:rsid w:val="00A0226F"/>
    <w:rsid w:val="00A022AC"/>
    <w:rsid w:val="00A022D0"/>
    <w:rsid w:val="00A022FB"/>
    <w:rsid w:val="00A023A1"/>
    <w:rsid w:val="00A023FA"/>
    <w:rsid w:val="00A02419"/>
    <w:rsid w:val="00A0247F"/>
    <w:rsid w:val="00A02485"/>
    <w:rsid w:val="00A024DB"/>
    <w:rsid w:val="00A02544"/>
    <w:rsid w:val="00A02568"/>
    <w:rsid w:val="00A0259A"/>
    <w:rsid w:val="00A0261F"/>
    <w:rsid w:val="00A026B7"/>
    <w:rsid w:val="00A0274E"/>
    <w:rsid w:val="00A027D9"/>
    <w:rsid w:val="00A028B1"/>
    <w:rsid w:val="00A02914"/>
    <w:rsid w:val="00A0291A"/>
    <w:rsid w:val="00A02991"/>
    <w:rsid w:val="00A029F5"/>
    <w:rsid w:val="00A02A16"/>
    <w:rsid w:val="00A02A26"/>
    <w:rsid w:val="00A02A78"/>
    <w:rsid w:val="00A02AB9"/>
    <w:rsid w:val="00A02B52"/>
    <w:rsid w:val="00A02B5E"/>
    <w:rsid w:val="00A02B64"/>
    <w:rsid w:val="00A02B6F"/>
    <w:rsid w:val="00A02B97"/>
    <w:rsid w:val="00A02B9F"/>
    <w:rsid w:val="00A02BAD"/>
    <w:rsid w:val="00A02C05"/>
    <w:rsid w:val="00A02C13"/>
    <w:rsid w:val="00A02C3C"/>
    <w:rsid w:val="00A02CC2"/>
    <w:rsid w:val="00A02CEF"/>
    <w:rsid w:val="00A02D1F"/>
    <w:rsid w:val="00A02D4E"/>
    <w:rsid w:val="00A02E09"/>
    <w:rsid w:val="00A02E29"/>
    <w:rsid w:val="00A02E70"/>
    <w:rsid w:val="00A02E76"/>
    <w:rsid w:val="00A02EA6"/>
    <w:rsid w:val="00A02F01"/>
    <w:rsid w:val="00A02F71"/>
    <w:rsid w:val="00A02F82"/>
    <w:rsid w:val="00A02F94"/>
    <w:rsid w:val="00A02FC5"/>
    <w:rsid w:val="00A02FD0"/>
    <w:rsid w:val="00A02FED"/>
    <w:rsid w:val="00A03002"/>
    <w:rsid w:val="00A03019"/>
    <w:rsid w:val="00A030F2"/>
    <w:rsid w:val="00A03126"/>
    <w:rsid w:val="00A03131"/>
    <w:rsid w:val="00A031B2"/>
    <w:rsid w:val="00A031DD"/>
    <w:rsid w:val="00A0322C"/>
    <w:rsid w:val="00A03260"/>
    <w:rsid w:val="00A03274"/>
    <w:rsid w:val="00A0329D"/>
    <w:rsid w:val="00A033CB"/>
    <w:rsid w:val="00A033D4"/>
    <w:rsid w:val="00A03417"/>
    <w:rsid w:val="00A03441"/>
    <w:rsid w:val="00A0345B"/>
    <w:rsid w:val="00A034E3"/>
    <w:rsid w:val="00A03510"/>
    <w:rsid w:val="00A035D5"/>
    <w:rsid w:val="00A03622"/>
    <w:rsid w:val="00A03638"/>
    <w:rsid w:val="00A0369B"/>
    <w:rsid w:val="00A036E6"/>
    <w:rsid w:val="00A03703"/>
    <w:rsid w:val="00A03796"/>
    <w:rsid w:val="00A037C6"/>
    <w:rsid w:val="00A03817"/>
    <w:rsid w:val="00A0382C"/>
    <w:rsid w:val="00A038B5"/>
    <w:rsid w:val="00A03940"/>
    <w:rsid w:val="00A03997"/>
    <w:rsid w:val="00A03A20"/>
    <w:rsid w:val="00A03A6A"/>
    <w:rsid w:val="00A03AE4"/>
    <w:rsid w:val="00A03AF3"/>
    <w:rsid w:val="00A03BAB"/>
    <w:rsid w:val="00A03BE9"/>
    <w:rsid w:val="00A03C3F"/>
    <w:rsid w:val="00A03C8D"/>
    <w:rsid w:val="00A03D19"/>
    <w:rsid w:val="00A03E2C"/>
    <w:rsid w:val="00A03E3A"/>
    <w:rsid w:val="00A03E52"/>
    <w:rsid w:val="00A03E8E"/>
    <w:rsid w:val="00A03EB1"/>
    <w:rsid w:val="00A03ECB"/>
    <w:rsid w:val="00A03EEC"/>
    <w:rsid w:val="00A03FC0"/>
    <w:rsid w:val="00A04049"/>
    <w:rsid w:val="00A04070"/>
    <w:rsid w:val="00A040D0"/>
    <w:rsid w:val="00A0417B"/>
    <w:rsid w:val="00A0418E"/>
    <w:rsid w:val="00A041A2"/>
    <w:rsid w:val="00A041FB"/>
    <w:rsid w:val="00A0427B"/>
    <w:rsid w:val="00A042F6"/>
    <w:rsid w:val="00A043BB"/>
    <w:rsid w:val="00A043BE"/>
    <w:rsid w:val="00A04408"/>
    <w:rsid w:val="00A04470"/>
    <w:rsid w:val="00A04477"/>
    <w:rsid w:val="00A04478"/>
    <w:rsid w:val="00A044E1"/>
    <w:rsid w:val="00A044E9"/>
    <w:rsid w:val="00A0451B"/>
    <w:rsid w:val="00A0452A"/>
    <w:rsid w:val="00A0458D"/>
    <w:rsid w:val="00A045E9"/>
    <w:rsid w:val="00A04674"/>
    <w:rsid w:val="00A0468C"/>
    <w:rsid w:val="00A046B2"/>
    <w:rsid w:val="00A046BC"/>
    <w:rsid w:val="00A04701"/>
    <w:rsid w:val="00A04722"/>
    <w:rsid w:val="00A0474D"/>
    <w:rsid w:val="00A0476C"/>
    <w:rsid w:val="00A04783"/>
    <w:rsid w:val="00A047F2"/>
    <w:rsid w:val="00A04821"/>
    <w:rsid w:val="00A048EB"/>
    <w:rsid w:val="00A048F3"/>
    <w:rsid w:val="00A0495D"/>
    <w:rsid w:val="00A04975"/>
    <w:rsid w:val="00A049A3"/>
    <w:rsid w:val="00A049A8"/>
    <w:rsid w:val="00A049C1"/>
    <w:rsid w:val="00A04A6A"/>
    <w:rsid w:val="00A04A91"/>
    <w:rsid w:val="00A04A99"/>
    <w:rsid w:val="00A04ACA"/>
    <w:rsid w:val="00A04B51"/>
    <w:rsid w:val="00A04B93"/>
    <w:rsid w:val="00A04BAC"/>
    <w:rsid w:val="00A04BCC"/>
    <w:rsid w:val="00A04C1D"/>
    <w:rsid w:val="00A04C25"/>
    <w:rsid w:val="00A04C2E"/>
    <w:rsid w:val="00A04C48"/>
    <w:rsid w:val="00A04C68"/>
    <w:rsid w:val="00A04C79"/>
    <w:rsid w:val="00A04C97"/>
    <w:rsid w:val="00A04CA3"/>
    <w:rsid w:val="00A04D0C"/>
    <w:rsid w:val="00A04D1B"/>
    <w:rsid w:val="00A04D4E"/>
    <w:rsid w:val="00A04D6C"/>
    <w:rsid w:val="00A04E49"/>
    <w:rsid w:val="00A04E8A"/>
    <w:rsid w:val="00A04F83"/>
    <w:rsid w:val="00A04F8E"/>
    <w:rsid w:val="00A050F8"/>
    <w:rsid w:val="00A0512B"/>
    <w:rsid w:val="00A051E5"/>
    <w:rsid w:val="00A0523F"/>
    <w:rsid w:val="00A05292"/>
    <w:rsid w:val="00A05360"/>
    <w:rsid w:val="00A053C2"/>
    <w:rsid w:val="00A05428"/>
    <w:rsid w:val="00A0542C"/>
    <w:rsid w:val="00A0547A"/>
    <w:rsid w:val="00A054D4"/>
    <w:rsid w:val="00A054E1"/>
    <w:rsid w:val="00A054E6"/>
    <w:rsid w:val="00A05511"/>
    <w:rsid w:val="00A055C6"/>
    <w:rsid w:val="00A0566B"/>
    <w:rsid w:val="00A056A9"/>
    <w:rsid w:val="00A0570F"/>
    <w:rsid w:val="00A05769"/>
    <w:rsid w:val="00A057AF"/>
    <w:rsid w:val="00A057B1"/>
    <w:rsid w:val="00A057BE"/>
    <w:rsid w:val="00A057F4"/>
    <w:rsid w:val="00A05843"/>
    <w:rsid w:val="00A05847"/>
    <w:rsid w:val="00A0586F"/>
    <w:rsid w:val="00A05875"/>
    <w:rsid w:val="00A0589D"/>
    <w:rsid w:val="00A059A6"/>
    <w:rsid w:val="00A059F5"/>
    <w:rsid w:val="00A059F9"/>
    <w:rsid w:val="00A05A3F"/>
    <w:rsid w:val="00A05A54"/>
    <w:rsid w:val="00A05A95"/>
    <w:rsid w:val="00A05AF2"/>
    <w:rsid w:val="00A05B40"/>
    <w:rsid w:val="00A05BC7"/>
    <w:rsid w:val="00A05BD1"/>
    <w:rsid w:val="00A05BE5"/>
    <w:rsid w:val="00A05C57"/>
    <w:rsid w:val="00A05C71"/>
    <w:rsid w:val="00A05CC8"/>
    <w:rsid w:val="00A05CE6"/>
    <w:rsid w:val="00A05CFC"/>
    <w:rsid w:val="00A05D1B"/>
    <w:rsid w:val="00A05DEF"/>
    <w:rsid w:val="00A05E47"/>
    <w:rsid w:val="00A05E4E"/>
    <w:rsid w:val="00A05EF2"/>
    <w:rsid w:val="00A05EFA"/>
    <w:rsid w:val="00A05F4C"/>
    <w:rsid w:val="00A05FBF"/>
    <w:rsid w:val="00A05FF5"/>
    <w:rsid w:val="00A06007"/>
    <w:rsid w:val="00A06020"/>
    <w:rsid w:val="00A06032"/>
    <w:rsid w:val="00A0605F"/>
    <w:rsid w:val="00A06122"/>
    <w:rsid w:val="00A0615F"/>
    <w:rsid w:val="00A0616A"/>
    <w:rsid w:val="00A0617F"/>
    <w:rsid w:val="00A061BF"/>
    <w:rsid w:val="00A061E0"/>
    <w:rsid w:val="00A061F3"/>
    <w:rsid w:val="00A06203"/>
    <w:rsid w:val="00A06222"/>
    <w:rsid w:val="00A06241"/>
    <w:rsid w:val="00A0624A"/>
    <w:rsid w:val="00A0629D"/>
    <w:rsid w:val="00A0629E"/>
    <w:rsid w:val="00A062D0"/>
    <w:rsid w:val="00A06337"/>
    <w:rsid w:val="00A0639B"/>
    <w:rsid w:val="00A06411"/>
    <w:rsid w:val="00A06434"/>
    <w:rsid w:val="00A06442"/>
    <w:rsid w:val="00A0646B"/>
    <w:rsid w:val="00A0648A"/>
    <w:rsid w:val="00A064AD"/>
    <w:rsid w:val="00A064E3"/>
    <w:rsid w:val="00A06536"/>
    <w:rsid w:val="00A06564"/>
    <w:rsid w:val="00A0667A"/>
    <w:rsid w:val="00A06685"/>
    <w:rsid w:val="00A06692"/>
    <w:rsid w:val="00A0672F"/>
    <w:rsid w:val="00A0673A"/>
    <w:rsid w:val="00A067C9"/>
    <w:rsid w:val="00A06846"/>
    <w:rsid w:val="00A06901"/>
    <w:rsid w:val="00A06936"/>
    <w:rsid w:val="00A06938"/>
    <w:rsid w:val="00A06958"/>
    <w:rsid w:val="00A069D9"/>
    <w:rsid w:val="00A06A00"/>
    <w:rsid w:val="00A06A0E"/>
    <w:rsid w:val="00A06A16"/>
    <w:rsid w:val="00A06AD7"/>
    <w:rsid w:val="00A06AF6"/>
    <w:rsid w:val="00A06AF8"/>
    <w:rsid w:val="00A06B0C"/>
    <w:rsid w:val="00A06C1C"/>
    <w:rsid w:val="00A06C8C"/>
    <w:rsid w:val="00A06CD1"/>
    <w:rsid w:val="00A06E51"/>
    <w:rsid w:val="00A06ED3"/>
    <w:rsid w:val="00A06EEF"/>
    <w:rsid w:val="00A06F9F"/>
    <w:rsid w:val="00A06FD6"/>
    <w:rsid w:val="00A0702C"/>
    <w:rsid w:val="00A070D3"/>
    <w:rsid w:val="00A07120"/>
    <w:rsid w:val="00A07215"/>
    <w:rsid w:val="00A07267"/>
    <w:rsid w:val="00A07271"/>
    <w:rsid w:val="00A072E1"/>
    <w:rsid w:val="00A07327"/>
    <w:rsid w:val="00A07354"/>
    <w:rsid w:val="00A073A5"/>
    <w:rsid w:val="00A07408"/>
    <w:rsid w:val="00A07415"/>
    <w:rsid w:val="00A07419"/>
    <w:rsid w:val="00A07457"/>
    <w:rsid w:val="00A07470"/>
    <w:rsid w:val="00A074BC"/>
    <w:rsid w:val="00A0754D"/>
    <w:rsid w:val="00A07555"/>
    <w:rsid w:val="00A07557"/>
    <w:rsid w:val="00A0756D"/>
    <w:rsid w:val="00A075A0"/>
    <w:rsid w:val="00A075A8"/>
    <w:rsid w:val="00A075B8"/>
    <w:rsid w:val="00A07603"/>
    <w:rsid w:val="00A07667"/>
    <w:rsid w:val="00A0766C"/>
    <w:rsid w:val="00A076AA"/>
    <w:rsid w:val="00A076BB"/>
    <w:rsid w:val="00A0770B"/>
    <w:rsid w:val="00A07715"/>
    <w:rsid w:val="00A077B6"/>
    <w:rsid w:val="00A077FD"/>
    <w:rsid w:val="00A07806"/>
    <w:rsid w:val="00A0784D"/>
    <w:rsid w:val="00A07885"/>
    <w:rsid w:val="00A0788B"/>
    <w:rsid w:val="00A078A4"/>
    <w:rsid w:val="00A078CE"/>
    <w:rsid w:val="00A078E6"/>
    <w:rsid w:val="00A07903"/>
    <w:rsid w:val="00A07955"/>
    <w:rsid w:val="00A07995"/>
    <w:rsid w:val="00A07997"/>
    <w:rsid w:val="00A079A6"/>
    <w:rsid w:val="00A079D3"/>
    <w:rsid w:val="00A079FB"/>
    <w:rsid w:val="00A07A02"/>
    <w:rsid w:val="00A07AAA"/>
    <w:rsid w:val="00A07B11"/>
    <w:rsid w:val="00A07B29"/>
    <w:rsid w:val="00A07B5B"/>
    <w:rsid w:val="00A07B70"/>
    <w:rsid w:val="00A07BE8"/>
    <w:rsid w:val="00A07BF4"/>
    <w:rsid w:val="00A07C03"/>
    <w:rsid w:val="00A07C04"/>
    <w:rsid w:val="00A07C74"/>
    <w:rsid w:val="00A07CA9"/>
    <w:rsid w:val="00A07D6A"/>
    <w:rsid w:val="00A07DA7"/>
    <w:rsid w:val="00A07E37"/>
    <w:rsid w:val="00A07E5C"/>
    <w:rsid w:val="00A07E6C"/>
    <w:rsid w:val="00A07EB6"/>
    <w:rsid w:val="00A10004"/>
    <w:rsid w:val="00A10006"/>
    <w:rsid w:val="00A10012"/>
    <w:rsid w:val="00A10089"/>
    <w:rsid w:val="00A100A9"/>
    <w:rsid w:val="00A10130"/>
    <w:rsid w:val="00A10132"/>
    <w:rsid w:val="00A101BF"/>
    <w:rsid w:val="00A101C7"/>
    <w:rsid w:val="00A101F8"/>
    <w:rsid w:val="00A1026D"/>
    <w:rsid w:val="00A10277"/>
    <w:rsid w:val="00A1029B"/>
    <w:rsid w:val="00A102A4"/>
    <w:rsid w:val="00A102A5"/>
    <w:rsid w:val="00A102C8"/>
    <w:rsid w:val="00A102DB"/>
    <w:rsid w:val="00A102E2"/>
    <w:rsid w:val="00A102F9"/>
    <w:rsid w:val="00A10317"/>
    <w:rsid w:val="00A103E4"/>
    <w:rsid w:val="00A103E6"/>
    <w:rsid w:val="00A1046F"/>
    <w:rsid w:val="00A104B6"/>
    <w:rsid w:val="00A10559"/>
    <w:rsid w:val="00A1058A"/>
    <w:rsid w:val="00A10597"/>
    <w:rsid w:val="00A1059A"/>
    <w:rsid w:val="00A105B9"/>
    <w:rsid w:val="00A1060B"/>
    <w:rsid w:val="00A1063C"/>
    <w:rsid w:val="00A106BB"/>
    <w:rsid w:val="00A10721"/>
    <w:rsid w:val="00A107AA"/>
    <w:rsid w:val="00A107F7"/>
    <w:rsid w:val="00A1083D"/>
    <w:rsid w:val="00A10856"/>
    <w:rsid w:val="00A108A5"/>
    <w:rsid w:val="00A108B2"/>
    <w:rsid w:val="00A108DF"/>
    <w:rsid w:val="00A108F3"/>
    <w:rsid w:val="00A1091B"/>
    <w:rsid w:val="00A1092C"/>
    <w:rsid w:val="00A10985"/>
    <w:rsid w:val="00A10A46"/>
    <w:rsid w:val="00A10A7D"/>
    <w:rsid w:val="00A10AE5"/>
    <w:rsid w:val="00A10AFD"/>
    <w:rsid w:val="00A10B24"/>
    <w:rsid w:val="00A10B67"/>
    <w:rsid w:val="00A10B98"/>
    <w:rsid w:val="00A10BD1"/>
    <w:rsid w:val="00A10BD7"/>
    <w:rsid w:val="00A10C3C"/>
    <w:rsid w:val="00A10C7A"/>
    <w:rsid w:val="00A10C90"/>
    <w:rsid w:val="00A10CF3"/>
    <w:rsid w:val="00A10D1E"/>
    <w:rsid w:val="00A10D29"/>
    <w:rsid w:val="00A10D33"/>
    <w:rsid w:val="00A10DB8"/>
    <w:rsid w:val="00A10DC7"/>
    <w:rsid w:val="00A10E34"/>
    <w:rsid w:val="00A10E80"/>
    <w:rsid w:val="00A10EA7"/>
    <w:rsid w:val="00A10EB0"/>
    <w:rsid w:val="00A10EC8"/>
    <w:rsid w:val="00A10ECA"/>
    <w:rsid w:val="00A10EE9"/>
    <w:rsid w:val="00A10F58"/>
    <w:rsid w:val="00A10FB2"/>
    <w:rsid w:val="00A11001"/>
    <w:rsid w:val="00A11040"/>
    <w:rsid w:val="00A11089"/>
    <w:rsid w:val="00A110AA"/>
    <w:rsid w:val="00A110B2"/>
    <w:rsid w:val="00A11116"/>
    <w:rsid w:val="00A11153"/>
    <w:rsid w:val="00A11180"/>
    <w:rsid w:val="00A11247"/>
    <w:rsid w:val="00A11266"/>
    <w:rsid w:val="00A112B0"/>
    <w:rsid w:val="00A112E8"/>
    <w:rsid w:val="00A1131A"/>
    <w:rsid w:val="00A11346"/>
    <w:rsid w:val="00A11356"/>
    <w:rsid w:val="00A113F2"/>
    <w:rsid w:val="00A11439"/>
    <w:rsid w:val="00A114BE"/>
    <w:rsid w:val="00A11587"/>
    <w:rsid w:val="00A115A1"/>
    <w:rsid w:val="00A115F0"/>
    <w:rsid w:val="00A11766"/>
    <w:rsid w:val="00A1177A"/>
    <w:rsid w:val="00A11787"/>
    <w:rsid w:val="00A117A5"/>
    <w:rsid w:val="00A117CA"/>
    <w:rsid w:val="00A117D1"/>
    <w:rsid w:val="00A11822"/>
    <w:rsid w:val="00A1182B"/>
    <w:rsid w:val="00A11874"/>
    <w:rsid w:val="00A118A1"/>
    <w:rsid w:val="00A118CF"/>
    <w:rsid w:val="00A1191A"/>
    <w:rsid w:val="00A1193B"/>
    <w:rsid w:val="00A119FF"/>
    <w:rsid w:val="00A11A47"/>
    <w:rsid w:val="00A11ACA"/>
    <w:rsid w:val="00A11AF3"/>
    <w:rsid w:val="00A11B10"/>
    <w:rsid w:val="00A11B1E"/>
    <w:rsid w:val="00A11B22"/>
    <w:rsid w:val="00A11B2C"/>
    <w:rsid w:val="00A11C01"/>
    <w:rsid w:val="00A11C2D"/>
    <w:rsid w:val="00A11C35"/>
    <w:rsid w:val="00A11C45"/>
    <w:rsid w:val="00A11C61"/>
    <w:rsid w:val="00A11C6F"/>
    <w:rsid w:val="00A11C90"/>
    <w:rsid w:val="00A11CEA"/>
    <w:rsid w:val="00A11F0B"/>
    <w:rsid w:val="00A12017"/>
    <w:rsid w:val="00A121B9"/>
    <w:rsid w:val="00A121E2"/>
    <w:rsid w:val="00A121EF"/>
    <w:rsid w:val="00A12235"/>
    <w:rsid w:val="00A12243"/>
    <w:rsid w:val="00A1225A"/>
    <w:rsid w:val="00A122E5"/>
    <w:rsid w:val="00A12305"/>
    <w:rsid w:val="00A12345"/>
    <w:rsid w:val="00A12349"/>
    <w:rsid w:val="00A12407"/>
    <w:rsid w:val="00A12413"/>
    <w:rsid w:val="00A12469"/>
    <w:rsid w:val="00A12547"/>
    <w:rsid w:val="00A12568"/>
    <w:rsid w:val="00A1258E"/>
    <w:rsid w:val="00A125D0"/>
    <w:rsid w:val="00A125D3"/>
    <w:rsid w:val="00A12641"/>
    <w:rsid w:val="00A1267F"/>
    <w:rsid w:val="00A12682"/>
    <w:rsid w:val="00A12689"/>
    <w:rsid w:val="00A126B9"/>
    <w:rsid w:val="00A127A8"/>
    <w:rsid w:val="00A127BB"/>
    <w:rsid w:val="00A12881"/>
    <w:rsid w:val="00A128EB"/>
    <w:rsid w:val="00A128F9"/>
    <w:rsid w:val="00A12967"/>
    <w:rsid w:val="00A1297B"/>
    <w:rsid w:val="00A12A0F"/>
    <w:rsid w:val="00A12A7A"/>
    <w:rsid w:val="00A12A88"/>
    <w:rsid w:val="00A12ABD"/>
    <w:rsid w:val="00A12AE3"/>
    <w:rsid w:val="00A12AE6"/>
    <w:rsid w:val="00A12B21"/>
    <w:rsid w:val="00A12B3F"/>
    <w:rsid w:val="00A12B65"/>
    <w:rsid w:val="00A12B8C"/>
    <w:rsid w:val="00A12BAB"/>
    <w:rsid w:val="00A12C27"/>
    <w:rsid w:val="00A12C2F"/>
    <w:rsid w:val="00A12C45"/>
    <w:rsid w:val="00A12C50"/>
    <w:rsid w:val="00A12C7C"/>
    <w:rsid w:val="00A12CD1"/>
    <w:rsid w:val="00A12D19"/>
    <w:rsid w:val="00A12D32"/>
    <w:rsid w:val="00A12D91"/>
    <w:rsid w:val="00A12D94"/>
    <w:rsid w:val="00A12E21"/>
    <w:rsid w:val="00A12E46"/>
    <w:rsid w:val="00A12E4F"/>
    <w:rsid w:val="00A12E55"/>
    <w:rsid w:val="00A12E7F"/>
    <w:rsid w:val="00A12E9C"/>
    <w:rsid w:val="00A12F64"/>
    <w:rsid w:val="00A12F8E"/>
    <w:rsid w:val="00A12F9F"/>
    <w:rsid w:val="00A1307E"/>
    <w:rsid w:val="00A13088"/>
    <w:rsid w:val="00A130BF"/>
    <w:rsid w:val="00A1318E"/>
    <w:rsid w:val="00A131A9"/>
    <w:rsid w:val="00A1320F"/>
    <w:rsid w:val="00A13234"/>
    <w:rsid w:val="00A1326B"/>
    <w:rsid w:val="00A13287"/>
    <w:rsid w:val="00A132AD"/>
    <w:rsid w:val="00A13301"/>
    <w:rsid w:val="00A13302"/>
    <w:rsid w:val="00A13312"/>
    <w:rsid w:val="00A13348"/>
    <w:rsid w:val="00A13383"/>
    <w:rsid w:val="00A133C6"/>
    <w:rsid w:val="00A133DD"/>
    <w:rsid w:val="00A13474"/>
    <w:rsid w:val="00A134D0"/>
    <w:rsid w:val="00A13503"/>
    <w:rsid w:val="00A13515"/>
    <w:rsid w:val="00A13533"/>
    <w:rsid w:val="00A13552"/>
    <w:rsid w:val="00A1359E"/>
    <w:rsid w:val="00A135B1"/>
    <w:rsid w:val="00A135E5"/>
    <w:rsid w:val="00A1362E"/>
    <w:rsid w:val="00A13694"/>
    <w:rsid w:val="00A1370D"/>
    <w:rsid w:val="00A13766"/>
    <w:rsid w:val="00A137DE"/>
    <w:rsid w:val="00A138FC"/>
    <w:rsid w:val="00A1393A"/>
    <w:rsid w:val="00A13958"/>
    <w:rsid w:val="00A13A1A"/>
    <w:rsid w:val="00A13AB9"/>
    <w:rsid w:val="00A13ABC"/>
    <w:rsid w:val="00A13B1F"/>
    <w:rsid w:val="00A13B7F"/>
    <w:rsid w:val="00A13C0C"/>
    <w:rsid w:val="00A13CCF"/>
    <w:rsid w:val="00A13D2E"/>
    <w:rsid w:val="00A13D5A"/>
    <w:rsid w:val="00A13DD2"/>
    <w:rsid w:val="00A13E2D"/>
    <w:rsid w:val="00A13E2F"/>
    <w:rsid w:val="00A13E36"/>
    <w:rsid w:val="00A13E56"/>
    <w:rsid w:val="00A13E5A"/>
    <w:rsid w:val="00A13E61"/>
    <w:rsid w:val="00A13E63"/>
    <w:rsid w:val="00A13EB5"/>
    <w:rsid w:val="00A13EBC"/>
    <w:rsid w:val="00A13EC6"/>
    <w:rsid w:val="00A13ED5"/>
    <w:rsid w:val="00A13EFF"/>
    <w:rsid w:val="00A13F29"/>
    <w:rsid w:val="00A13F52"/>
    <w:rsid w:val="00A13F53"/>
    <w:rsid w:val="00A13F60"/>
    <w:rsid w:val="00A13FC9"/>
    <w:rsid w:val="00A13FD3"/>
    <w:rsid w:val="00A14030"/>
    <w:rsid w:val="00A1409F"/>
    <w:rsid w:val="00A1418A"/>
    <w:rsid w:val="00A1420B"/>
    <w:rsid w:val="00A1425A"/>
    <w:rsid w:val="00A1425B"/>
    <w:rsid w:val="00A1427C"/>
    <w:rsid w:val="00A142CB"/>
    <w:rsid w:val="00A142D1"/>
    <w:rsid w:val="00A142DE"/>
    <w:rsid w:val="00A14344"/>
    <w:rsid w:val="00A14354"/>
    <w:rsid w:val="00A143B0"/>
    <w:rsid w:val="00A143C0"/>
    <w:rsid w:val="00A143CF"/>
    <w:rsid w:val="00A1440D"/>
    <w:rsid w:val="00A1446B"/>
    <w:rsid w:val="00A144F7"/>
    <w:rsid w:val="00A14578"/>
    <w:rsid w:val="00A145A5"/>
    <w:rsid w:val="00A145C6"/>
    <w:rsid w:val="00A145D9"/>
    <w:rsid w:val="00A1468A"/>
    <w:rsid w:val="00A147CD"/>
    <w:rsid w:val="00A1482C"/>
    <w:rsid w:val="00A14868"/>
    <w:rsid w:val="00A14895"/>
    <w:rsid w:val="00A148B5"/>
    <w:rsid w:val="00A14905"/>
    <w:rsid w:val="00A1494A"/>
    <w:rsid w:val="00A14977"/>
    <w:rsid w:val="00A14A5C"/>
    <w:rsid w:val="00A14A95"/>
    <w:rsid w:val="00A14ABC"/>
    <w:rsid w:val="00A14ACC"/>
    <w:rsid w:val="00A14B0E"/>
    <w:rsid w:val="00A14B3F"/>
    <w:rsid w:val="00A14B9E"/>
    <w:rsid w:val="00A14C58"/>
    <w:rsid w:val="00A14C73"/>
    <w:rsid w:val="00A14CDE"/>
    <w:rsid w:val="00A14D40"/>
    <w:rsid w:val="00A14D67"/>
    <w:rsid w:val="00A14D9A"/>
    <w:rsid w:val="00A14DD9"/>
    <w:rsid w:val="00A14E08"/>
    <w:rsid w:val="00A14E55"/>
    <w:rsid w:val="00A14E5E"/>
    <w:rsid w:val="00A14E96"/>
    <w:rsid w:val="00A14E9A"/>
    <w:rsid w:val="00A14EAF"/>
    <w:rsid w:val="00A14ECC"/>
    <w:rsid w:val="00A14F6E"/>
    <w:rsid w:val="00A14F8B"/>
    <w:rsid w:val="00A15000"/>
    <w:rsid w:val="00A15013"/>
    <w:rsid w:val="00A15015"/>
    <w:rsid w:val="00A1504C"/>
    <w:rsid w:val="00A15107"/>
    <w:rsid w:val="00A1510E"/>
    <w:rsid w:val="00A15124"/>
    <w:rsid w:val="00A151C5"/>
    <w:rsid w:val="00A151E1"/>
    <w:rsid w:val="00A15234"/>
    <w:rsid w:val="00A15256"/>
    <w:rsid w:val="00A15275"/>
    <w:rsid w:val="00A1528A"/>
    <w:rsid w:val="00A152B4"/>
    <w:rsid w:val="00A152D9"/>
    <w:rsid w:val="00A1539C"/>
    <w:rsid w:val="00A153FD"/>
    <w:rsid w:val="00A1543D"/>
    <w:rsid w:val="00A15443"/>
    <w:rsid w:val="00A15448"/>
    <w:rsid w:val="00A1546F"/>
    <w:rsid w:val="00A154BB"/>
    <w:rsid w:val="00A154CA"/>
    <w:rsid w:val="00A15509"/>
    <w:rsid w:val="00A155A1"/>
    <w:rsid w:val="00A155A3"/>
    <w:rsid w:val="00A155CA"/>
    <w:rsid w:val="00A155F3"/>
    <w:rsid w:val="00A15728"/>
    <w:rsid w:val="00A1572B"/>
    <w:rsid w:val="00A157A8"/>
    <w:rsid w:val="00A15808"/>
    <w:rsid w:val="00A15835"/>
    <w:rsid w:val="00A15890"/>
    <w:rsid w:val="00A1591A"/>
    <w:rsid w:val="00A15974"/>
    <w:rsid w:val="00A15976"/>
    <w:rsid w:val="00A15993"/>
    <w:rsid w:val="00A15A15"/>
    <w:rsid w:val="00A15A97"/>
    <w:rsid w:val="00A15AE5"/>
    <w:rsid w:val="00A15AEC"/>
    <w:rsid w:val="00A15B0A"/>
    <w:rsid w:val="00A15B57"/>
    <w:rsid w:val="00A15B94"/>
    <w:rsid w:val="00A15BDF"/>
    <w:rsid w:val="00A15BE4"/>
    <w:rsid w:val="00A15D39"/>
    <w:rsid w:val="00A15D3F"/>
    <w:rsid w:val="00A15D59"/>
    <w:rsid w:val="00A15DC5"/>
    <w:rsid w:val="00A15E09"/>
    <w:rsid w:val="00A15ECD"/>
    <w:rsid w:val="00A15F4E"/>
    <w:rsid w:val="00A15F5C"/>
    <w:rsid w:val="00A15F83"/>
    <w:rsid w:val="00A16052"/>
    <w:rsid w:val="00A16074"/>
    <w:rsid w:val="00A160AB"/>
    <w:rsid w:val="00A16179"/>
    <w:rsid w:val="00A161FB"/>
    <w:rsid w:val="00A161FE"/>
    <w:rsid w:val="00A1623D"/>
    <w:rsid w:val="00A16284"/>
    <w:rsid w:val="00A16288"/>
    <w:rsid w:val="00A1628D"/>
    <w:rsid w:val="00A1633A"/>
    <w:rsid w:val="00A163D1"/>
    <w:rsid w:val="00A16498"/>
    <w:rsid w:val="00A164D7"/>
    <w:rsid w:val="00A16525"/>
    <w:rsid w:val="00A16556"/>
    <w:rsid w:val="00A1655B"/>
    <w:rsid w:val="00A1657E"/>
    <w:rsid w:val="00A16589"/>
    <w:rsid w:val="00A165F4"/>
    <w:rsid w:val="00A166D6"/>
    <w:rsid w:val="00A167B5"/>
    <w:rsid w:val="00A1684A"/>
    <w:rsid w:val="00A1685C"/>
    <w:rsid w:val="00A168AE"/>
    <w:rsid w:val="00A16910"/>
    <w:rsid w:val="00A16939"/>
    <w:rsid w:val="00A169C1"/>
    <w:rsid w:val="00A16A79"/>
    <w:rsid w:val="00A16B1A"/>
    <w:rsid w:val="00A16B2B"/>
    <w:rsid w:val="00A16BD1"/>
    <w:rsid w:val="00A16C32"/>
    <w:rsid w:val="00A16C4D"/>
    <w:rsid w:val="00A16D20"/>
    <w:rsid w:val="00A16D21"/>
    <w:rsid w:val="00A16D30"/>
    <w:rsid w:val="00A16D6C"/>
    <w:rsid w:val="00A16D82"/>
    <w:rsid w:val="00A16E2D"/>
    <w:rsid w:val="00A16E5B"/>
    <w:rsid w:val="00A16E82"/>
    <w:rsid w:val="00A16F27"/>
    <w:rsid w:val="00A16F28"/>
    <w:rsid w:val="00A16F7D"/>
    <w:rsid w:val="00A16FAE"/>
    <w:rsid w:val="00A16FBE"/>
    <w:rsid w:val="00A17007"/>
    <w:rsid w:val="00A17047"/>
    <w:rsid w:val="00A170D4"/>
    <w:rsid w:val="00A170E2"/>
    <w:rsid w:val="00A171C2"/>
    <w:rsid w:val="00A17244"/>
    <w:rsid w:val="00A1733D"/>
    <w:rsid w:val="00A1741C"/>
    <w:rsid w:val="00A1741F"/>
    <w:rsid w:val="00A1745A"/>
    <w:rsid w:val="00A17534"/>
    <w:rsid w:val="00A1756D"/>
    <w:rsid w:val="00A1757F"/>
    <w:rsid w:val="00A17592"/>
    <w:rsid w:val="00A17597"/>
    <w:rsid w:val="00A17622"/>
    <w:rsid w:val="00A17627"/>
    <w:rsid w:val="00A17663"/>
    <w:rsid w:val="00A17682"/>
    <w:rsid w:val="00A1769A"/>
    <w:rsid w:val="00A1769F"/>
    <w:rsid w:val="00A176C0"/>
    <w:rsid w:val="00A176F8"/>
    <w:rsid w:val="00A1774F"/>
    <w:rsid w:val="00A17782"/>
    <w:rsid w:val="00A177D2"/>
    <w:rsid w:val="00A177F3"/>
    <w:rsid w:val="00A17827"/>
    <w:rsid w:val="00A17855"/>
    <w:rsid w:val="00A17861"/>
    <w:rsid w:val="00A17874"/>
    <w:rsid w:val="00A178EA"/>
    <w:rsid w:val="00A178EF"/>
    <w:rsid w:val="00A1795F"/>
    <w:rsid w:val="00A17965"/>
    <w:rsid w:val="00A1797C"/>
    <w:rsid w:val="00A17A55"/>
    <w:rsid w:val="00A17AC7"/>
    <w:rsid w:val="00A17AD0"/>
    <w:rsid w:val="00A17B5B"/>
    <w:rsid w:val="00A17B82"/>
    <w:rsid w:val="00A17B90"/>
    <w:rsid w:val="00A17BA1"/>
    <w:rsid w:val="00A17BEE"/>
    <w:rsid w:val="00A17C26"/>
    <w:rsid w:val="00A17C34"/>
    <w:rsid w:val="00A17CC5"/>
    <w:rsid w:val="00A17CDA"/>
    <w:rsid w:val="00A17D48"/>
    <w:rsid w:val="00A17EC3"/>
    <w:rsid w:val="00A17ECC"/>
    <w:rsid w:val="00A17F45"/>
    <w:rsid w:val="00A17FC7"/>
    <w:rsid w:val="00A17FDC"/>
    <w:rsid w:val="00A200A3"/>
    <w:rsid w:val="00A20177"/>
    <w:rsid w:val="00A20191"/>
    <w:rsid w:val="00A201B3"/>
    <w:rsid w:val="00A2024E"/>
    <w:rsid w:val="00A20279"/>
    <w:rsid w:val="00A2029C"/>
    <w:rsid w:val="00A202F2"/>
    <w:rsid w:val="00A20356"/>
    <w:rsid w:val="00A203A3"/>
    <w:rsid w:val="00A203D7"/>
    <w:rsid w:val="00A203F3"/>
    <w:rsid w:val="00A20474"/>
    <w:rsid w:val="00A204B2"/>
    <w:rsid w:val="00A204EB"/>
    <w:rsid w:val="00A20585"/>
    <w:rsid w:val="00A20594"/>
    <w:rsid w:val="00A205F0"/>
    <w:rsid w:val="00A20614"/>
    <w:rsid w:val="00A2061E"/>
    <w:rsid w:val="00A206A3"/>
    <w:rsid w:val="00A206A6"/>
    <w:rsid w:val="00A206F5"/>
    <w:rsid w:val="00A207A6"/>
    <w:rsid w:val="00A20855"/>
    <w:rsid w:val="00A208A9"/>
    <w:rsid w:val="00A208CC"/>
    <w:rsid w:val="00A208D3"/>
    <w:rsid w:val="00A208E9"/>
    <w:rsid w:val="00A2092D"/>
    <w:rsid w:val="00A209D2"/>
    <w:rsid w:val="00A20B09"/>
    <w:rsid w:val="00A20B20"/>
    <w:rsid w:val="00A20BA6"/>
    <w:rsid w:val="00A20BD7"/>
    <w:rsid w:val="00A20C00"/>
    <w:rsid w:val="00A20C58"/>
    <w:rsid w:val="00A20C67"/>
    <w:rsid w:val="00A20C82"/>
    <w:rsid w:val="00A20CD2"/>
    <w:rsid w:val="00A20D6C"/>
    <w:rsid w:val="00A20D7A"/>
    <w:rsid w:val="00A20DEB"/>
    <w:rsid w:val="00A20DFB"/>
    <w:rsid w:val="00A20E8C"/>
    <w:rsid w:val="00A20EEA"/>
    <w:rsid w:val="00A20F3F"/>
    <w:rsid w:val="00A20F8D"/>
    <w:rsid w:val="00A20F91"/>
    <w:rsid w:val="00A2100B"/>
    <w:rsid w:val="00A21049"/>
    <w:rsid w:val="00A2105C"/>
    <w:rsid w:val="00A21084"/>
    <w:rsid w:val="00A21106"/>
    <w:rsid w:val="00A21189"/>
    <w:rsid w:val="00A2119A"/>
    <w:rsid w:val="00A211A1"/>
    <w:rsid w:val="00A212AA"/>
    <w:rsid w:val="00A212DB"/>
    <w:rsid w:val="00A21304"/>
    <w:rsid w:val="00A2130C"/>
    <w:rsid w:val="00A2132A"/>
    <w:rsid w:val="00A21393"/>
    <w:rsid w:val="00A2145F"/>
    <w:rsid w:val="00A21475"/>
    <w:rsid w:val="00A2154D"/>
    <w:rsid w:val="00A21599"/>
    <w:rsid w:val="00A215D7"/>
    <w:rsid w:val="00A21613"/>
    <w:rsid w:val="00A21661"/>
    <w:rsid w:val="00A2168F"/>
    <w:rsid w:val="00A216D8"/>
    <w:rsid w:val="00A21787"/>
    <w:rsid w:val="00A217C3"/>
    <w:rsid w:val="00A217F7"/>
    <w:rsid w:val="00A21809"/>
    <w:rsid w:val="00A21822"/>
    <w:rsid w:val="00A21844"/>
    <w:rsid w:val="00A21853"/>
    <w:rsid w:val="00A2197A"/>
    <w:rsid w:val="00A219E7"/>
    <w:rsid w:val="00A219F3"/>
    <w:rsid w:val="00A21A17"/>
    <w:rsid w:val="00A21A2B"/>
    <w:rsid w:val="00A21A75"/>
    <w:rsid w:val="00A21B1F"/>
    <w:rsid w:val="00A21B29"/>
    <w:rsid w:val="00A21B8F"/>
    <w:rsid w:val="00A21BD6"/>
    <w:rsid w:val="00A21CF7"/>
    <w:rsid w:val="00A21D9C"/>
    <w:rsid w:val="00A21DE4"/>
    <w:rsid w:val="00A21DFF"/>
    <w:rsid w:val="00A21E11"/>
    <w:rsid w:val="00A21E50"/>
    <w:rsid w:val="00A21E5B"/>
    <w:rsid w:val="00A21E9E"/>
    <w:rsid w:val="00A21ED9"/>
    <w:rsid w:val="00A21F35"/>
    <w:rsid w:val="00A21F57"/>
    <w:rsid w:val="00A21F7E"/>
    <w:rsid w:val="00A21FCB"/>
    <w:rsid w:val="00A2201A"/>
    <w:rsid w:val="00A2202D"/>
    <w:rsid w:val="00A2203D"/>
    <w:rsid w:val="00A22069"/>
    <w:rsid w:val="00A220C0"/>
    <w:rsid w:val="00A2210D"/>
    <w:rsid w:val="00A2217C"/>
    <w:rsid w:val="00A22188"/>
    <w:rsid w:val="00A221AB"/>
    <w:rsid w:val="00A221C0"/>
    <w:rsid w:val="00A221EB"/>
    <w:rsid w:val="00A222EA"/>
    <w:rsid w:val="00A22321"/>
    <w:rsid w:val="00A22334"/>
    <w:rsid w:val="00A22423"/>
    <w:rsid w:val="00A22426"/>
    <w:rsid w:val="00A22448"/>
    <w:rsid w:val="00A22471"/>
    <w:rsid w:val="00A2248F"/>
    <w:rsid w:val="00A224FC"/>
    <w:rsid w:val="00A224FD"/>
    <w:rsid w:val="00A2250A"/>
    <w:rsid w:val="00A2255E"/>
    <w:rsid w:val="00A2257F"/>
    <w:rsid w:val="00A225CF"/>
    <w:rsid w:val="00A2262B"/>
    <w:rsid w:val="00A22637"/>
    <w:rsid w:val="00A22645"/>
    <w:rsid w:val="00A2269F"/>
    <w:rsid w:val="00A2273C"/>
    <w:rsid w:val="00A2276B"/>
    <w:rsid w:val="00A2277A"/>
    <w:rsid w:val="00A22803"/>
    <w:rsid w:val="00A22858"/>
    <w:rsid w:val="00A228EA"/>
    <w:rsid w:val="00A228FC"/>
    <w:rsid w:val="00A229E0"/>
    <w:rsid w:val="00A229E6"/>
    <w:rsid w:val="00A22A09"/>
    <w:rsid w:val="00A22A1A"/>
    <w:rsid w:val="00A22A1F"/>
    <w:rsid w:val="00A22A3E"/>
    <w:rsid w:val="00A22A5A"/>
    <w:rsid w:val="00A22A87"/>
    <w:rsid w:val="00A22ACA"/>
    <w:rsid w:val="00A22AD5"/>
    <w:rsid w:val="00A22B01"/>
    <w:rsid w:val="00A22B44"/>
    <w:rsid w:val="00A22B47"/>
    <w:rsid w:val="00A22BB5"/>
    <w:rsid w:val="00A22BC8"/>
    <w:rsid w:val="00A22BCD"/>
    <w:rsid w:val="00A22BD4"/>
    <w:rsid w:val="00A22BE7"/>
    <w:rsid w:val="00A22BFE"/>
    <w:rsid w:val="00A22C4C"/>
    <w:rsid w:val="00A22C96"/>
    <w:rsid w:val="00A22CAE"/>
    <w:rsid w:val="00A22CBB"/>
    <w:rsid w:val="00A22D02"/>
    <w:rsid w:val="00A22D50"/>
    <w:rsid w:val="00A22D5A"/>
    <w:rsid w:val="00A22D67"/>
    <w:rsid w:val="00A22E08"/>
    <w:rsid w:val="00A22E32"/>
    <w:rsid w:val="00A22E8D"/>
    <w:rsid w:val="00A22E93"/>
    <w:rsid w:val="00A22EF0"/>
    <w:rsid w:val="00A22F32"/>
    <w:rsid w:val="00A22F43"/>
    <w:rsid w:val="00A22FA6"/>
    <w:rsid w:val="00A22FD7"/>
    <w:rsid w:val="00A230B3"/>
    <w:rsid w:val="00A230F6"/>
    <w:rsid w:val="00A2312A"/>
    <w:rsid w:val="00A23187"/>
    <w:rsid w:val="00A231EC"/>
    <w:rsid w:val="00A23258"/>
    <w:rsid w:val="00A232A9"/>
    <w:rsid w:val="00A232BB"/>
    <w:rsid w:val="00A23319"/>
    <w:rsid w:val="00A2331E"/>
    <w:rsid w:val="00A23368"/>
    <w:rsid w:val="00A23404"/>
    <w:rsid w:val="00A23410"/>
    <w:rsid w:val="00A23428"/>
    <w:rsid w:val="00A23450"/>
    <w:rsid w:val="00A2345B"/>
    <w:rsid w:val="00A234EC"/>
    <w:rsid w:val="00A23533"/>
    <w:rsid w:val="00A23539"/>
    <w:rsid w:val="00A23542"/>
    <w:rsid w:val="00A23556"/>
    <w:rsid w:val="00A235C4"/>
    <w:rsid w:val="00A23635"/>
    <w:rsid w:val="00A2363B"/>
    <w:rsid w:val="00A236F2"/>
    <w:rsid w:val="00A2372C"/>
    <w:rsid w:val="00A23804"/>
    <w:rsid w:val="00A23940"/>
    <w:rsid w:val="00A2397A"/>
    <w:rsid w:val="00A23A29"/>
    <w:rsid w:val="00A23A54"/>
    <w:rsid w:val="00A23AA1"/>
    <w:rsid w:val="00A23AEF"/>
    <w:rsid w:val="00A23B0D"/>
    <w:rsid w:val="00A23BEF"/>
    <w:rsid w:val="00A23C09"/>
    <w:rsid w:val="00A23C57"/>
    <w:rsid w:val="00A23C91"/>
    <w:rsid w:val="00A23CB9"/>
    <w:rsid w:val="00A23CBC"/>
    <w:rsid w:val="00A23D42"/>
    <w:rsid w:val="00A23DD3"/>
    <w:rsid w:val="00A23E0F"/>
    <w:rsid w:val="00A23E95"/>
    <w:rsid w:val="00A23E9D"/>
    <w:rsid w:val="00A23FAF"/>
    <w:rsid w:val="00A23FCD"/>
    <w:rsid w:val="00A2403F"/>
    <w:rsid w:val="00A24053"/>
    <w:rsid w:val="00A24069"/>
    <w:rsid w:val="00A2406F"/>
    <w:rsid w:val="00A240C1"/>
    <w:rsid w:val="00A240C8"/>
    <w:rsid w:val="00A240CB"/>
    <w:rsid w:val="00A240EF"/>
    <w:rsid w:val="00A240F6"/>
    <w:rsid w:val="00A24110"/>
    <w:rsid w:val="00A24170"/>
    <w:rsid w:val="00A24173"/>
    <w:rsid w:val="00A2417F"/>
    <w:rsid w:val="00A2427F"/>
    <w:rsid w:val="00A242DA"/>
    <w:rsid w:val="00A24328"/>
    <w:rsid w:val="00A243DE"/>
    <w:rsid w:val="00A243F9"/>
    <w:rsid w:val="00A244A9"/>
    <w:rsid w:val="00A244B9"/>
    <w:rsid w:val="00A244BF"/>
    <w:rsid w:val="00A244D6"/>
    <w:rsid w:val="00A2457F"/>
    <w:rsid w:val="00A24585"/>
    <w:rsid w:val="00A24595"/>
    <w:rsid w:val="00A245B5"/>
    <w:rsid w:val="00A245BE"/>
    <w:rsid w:val="00A2461F"/>
    <w:rsid w:val="00A24644"/>
    <w:rsid w:val="00A2465E"/>
    <w:rsid w:val="00A24668"/>
    <w:rsid w:val="00A2469E"/>
    <w:rsid w:val="00A24756"/>
    <w:rsid w:val="00A24761"/>
    <w:rsid w:val="00A247DE"/>
    <w:rsid w:val="00A247EB"/>
    <w:rsid w:val="00A2483C"/>
    <w:rsid w:val="00A24898"/>
    <w:rsid w:val="00A24907"/>
    <w:rsid w:val="00A24946"/>
    <w:rsid w:val="00A24958"/>
    <w:rsid w:val="00A2495F"/>
    <w:rsid w:val="00A2496C"/>
    <w:rsid w:val="00A24A23"/>
    <w:rsid w:val="00A24A90"/>
    <w:rsid w:val="00A24B7B"/>
    <w:rsid w:val="00A24BE4"/>
    <w:rsid w:val="00A24CDC"/>
    <w:rsid w:val="00A24CEA"/>
    <w:rsid w:val="00A24D6B"/>
    <w:rsid w:val="00A24DF0"/>
    <w:rsid w:val="00A24DF2"/>
    <w:rsid w:val="00A24DFB"/>
    <w:rsid w:val="00A24E16"/>
    <w:rsid w:val="00A24EF1"/>
    <w:rsid w:val="00A24FEA"/>
    <w:rsid w:val="00A24FF5"/>
    <w:rsid w:val="00A25004"/>
    <w:rsid w:val="00A25026"/>
    <w:rsid w:val="00A2504A"/>
    <w:rsid w:val="00A250A1"/>
    <w:rsid w:val="00A250A2"/>
    <w:rsid w:val="00A250F0"/>
    <w:rsid w:val="00A2513D"/>
    <w:rsid w:val="00A25167"/>
    <w:rsid w:val="00A251A3"/>
    <w:rsid w:val="00A252AB"/>
    <w:rsid w:val="00A25307"/>
    <w:rsid w:val="00A25352"/>
    <w:rsid w:val="00A253BF"/>
    <w:rsid w:val="00A253D5"/>
    <w:rsid w:val="00A254FD"/>
    <w:rsid w:val="00A25543"/>
    <w:rsid w:val="00A25570"/>
    <w:rsid w:val="00A255DC"/>
    <w:rsid w:val="00A25777"/>
    <w:rsid w:val="00A2578A"/>
    <w:rsid w:val="00A257C2"/>
    <w:rsid w:val="00A257C4"/>
    <w:rsid w:val="00A257E1"/>
    <w:rsid w:val="00A257F9"/>
    <w:rsid w:val="00A25830"/>
    <w:rsid w:val="00A25837"/>
    <w:rsid w:val="00A25841"/>
    <w:rsid w:val="00A25851"/>
    <w:rsid w:val="00A25861"/>
    <w:rsid w:val="00A2587B"/>
    <w:rsid w:val="00A2588C"/>
    <w:rsid w:val="00A258C4"/>
    <w:rsid w:val="00A258DC"/>
    <w:rsid w:val="00A2592B"/>
    <w:rsid w:val="00A25953"/>
    <w:rsid w:val="00A2597E"/>
    <w:rsid w:val="00A2599F"/>
    <w:rsid w:val="00A25A12"/>
    <w:rsid w:val="00A25A33"/>
    <w:rsid w:val="00A25A80"/>
    <w:rsid w:val="00A25AD9"/>
    <w:rsid w:val="00A25B07"/>
    <w:rsid w:val="00A25B1B"/>
    <w:rsid w:val="00A25B21"/>
    <w:rsid w:val="00A25B59"/>
    <w:rsid w:val="00A25BE2"/>
    <w:rsid w:val="00A25C1E"/>
    <w:rsid w:val="00A25C5C"/>
    <w:rsid w:val="00A25C9A"/>
    <w:rsid w:val="00A25CC3"/>
    <w:rsid w:val="00A25D20"/>
    <w:rsid w:val="00A25DB9"/>
    <w:rsid w:val="00A25DF7"/>
    <w:rsid w:val="00A25E8D"/>
    <w:rsid w:val="00A25EA9"/>
    <w:rsid w:val="00A25EBE"/>
    <w:rsid w:val="00A25F00"/>
    <w:rsid w:val="00A25F17"/>
    <w:rsid w:val="00A25F3B"/>
    <w:rsid w:val="00A25F79"/>
    <w:rsid w:val="00A25FEA"/>
    <w:rsid w:val="00A2607F"/>
    <w:rsid w:val="00A26131"/>
    <w:rsid w:val="00A2614A"/>
    <w:rsid w:val="00A2615C"/>
    <w:rsid w:val="00A2617C"/>
    <w:rsid w:val="00A261FC"/>
    <w:rsid w:val="00A26217"/>
    <w:rsid w:val="00A26285"/>
    <w:rsid w:val="00A26295"/>
    <w:rsid w:val="00A262F0"/>
    <w:rsid w:val="00A2632D"/>
    <w:rsid w:val="00A26338"/>
    <w:rsid w:val="00A26346"/>
    <w:rsid w:val="00A26393"/>
    <w:rsid w:val="00A263A6"/>
    <w:rsid w:val="00A26401"/>
    <w:rsid w:val="00A264A0"/>
    <w:rsid w:val="00A264AE"/>
    <w:rsid w:val="00A26532"/>
    <w:rsid w:val="00A26600"/>
    <w:rsid w:val="00A26620"/>
    <w:rsid w:val="00A26625"/>
    <w:rsid w:val="00A2666D"/>
    <w:rsid w:val="00A266A8"/>
    <w:rsid w:val="00A266AF"/>
    <w:rsid w:val="00A2670B"/>
    <w:rsid w:val="00A2672B"/>
    <w:rsid w:val="00A26741"/>
    <w:rsid w:val="00A26745"/>
    <w:rsid w:val="00A2675D"/>
    <w:rsid w:val="00A267C0"/>
    <w:rsid w:val="00A267CE"/>
    <w:rsid w:val="00A267DC"/>
    <w:rsid w:val="00A26818"/>
    <w:rsid w:val="00A2687B"/>
    <w:rsid w:val="00A268C6"/>
    <w:rsid w:val="00A268D5"/>
    <w:rsid w:val="00A26906"/>
    <w:rsid w:val="00A2690A"/>
    <w:rsid w:val="00A2692E"/>
    <w:rsid w:val="00A2694E"/>
    <w:rsid w:val="00A26957"/>
    <w:rsid w:val="00A269CA"/>
    <w:rsid w:val="00A26A48"/>
    <w:rsid w:val="00A26A4F"/>
    <w:rsid w:val="00A26A77"/>
    <w:rsid w:val="00A26AA2"/>
    <w:rsid w:val="00A26B03"/>
    <w:rsid w:val="00A26B52"/>
    <w:rsid w:val="00A26B62"/>
    <w:rsid w:val="00A26BB7"/>
    <w:rsid w:val="00A26BDE"/>
    <w:rsid w:val="00A26C4D"/>
    <w:rsid w:val="00A26D40"/>
    <w:rsid w:val="00A26D6F"/>
    <w:rsid w:val="00A26DC5"/>
    <w:rsid w:val="00A26DC9"/>
    <w:rsid w:val="00A26DF8"/>
    <w:rsid w:val="00A26E75"/>
    <w:rsid w:val="00A26E7D"/>
    <w:rsid w:val="00A26E87"/>
    <w:rsid w:val="00A26EF9"/>
    <w:rsid w:val="00A26F3C"/>
    <w:rsid w:val="00A27004"/>
    <w:rsid w:val="00A27012"/>
    <w:rsid w:val="00A27057"/>
    <w:rsid w:val="00A27064"/>
    <w:rsid w:val="00A27087"/>
    <w:rsid w:val="00A27120"/>
    <w:rsid w:val="00A2714A"/>
    <w:rsid w:val="00A27158"/>
    <w:rsid w:val="00A2715F"/>
    <w:rsid w:val="00A27160"/>
    <w:rsid w:val="00A2716E"/>
    <w:rsid w:val="00A2718E"/>
    <w:rsid w:val="00A2723A"/>
    <w:rsid w:val="00A27255"/>
    <w:rsid w:val="00A27286"/>
    <w:rsid w:val="00A27298"/>
    <w:rsid w:val="00A272CC"/>
    <w:rsid w:val="00A272DE"/>
    <w:rsid w:val="00A272ED"/>
    <w:rsid w:val="00A272F7"/>
    <w:rsid w:val="00A2735C"/>
    <w:rsid w:val="00A273E6"/>
    <w:rsid w:val="00A273E8"/>
    <w:rsid w:val="00A27468"/>
    <w:rsid w:val="00A2748B"/>
    <w:rsid w:val="00A27550"/>
    <w:rsid w:val="00A27552"/>
    <w:rsid w:val="00A27556"/>
    <w:rsid w:val="00A27567"/>
    <w:rsid w:val="00A275C9"/>
    <w:rsid w:val="00A275CA"/>
    <w:rsid w:val="00A27600"/>
    <w:rsid w:val="00A2762F"/>
    <w:rsid w:val="00A2767F"/>
    <w:rsid w:val="00A2769A"/>
    <w:rsid w:val="00A276FE"/>
    <w:rsid w:val="00A276FF"/>
    <w:rsid w:val="00A27733"/>
    <w:rsid w:val="00A2773A"/>
    <w:rsid w:val="00A2775B"/>
    <w:rsid w:val="00A27761"/>
    <w:rsid w:val="00A27766"/>
    <w:rsid w:val="00A2777B"/>
    <w:rsid w:val="00A2777E"/>
    <w:rsid w:val="00A277BD"/>
    <w:rsid w:val="00A27803"/>
    <w:rsid w:val="00A27868"/>
    <w:rsid w:val="00A27893"/>
    <w:rsid w:val="00A2789A"/>
    <w:rsid w:val="00A278BB"/>
    <w:rsid w:val="00A27901"/>
    <w:rsid w:val="00A27912"/>
    <w:rsid w:val="00A27917"/>
    <w:rsid w:val="00A27924"/>
    <w:rsid w:val="00A2792E"/>
    <w:rsid w:val="00A27950"/>
    <w:rsid w:val="00A279BE"/>
    <w:rsid w:val="00A27A5B"/>
    <w:rsid w:val="00A27A7A"/>
    <w:rsid w:val="00A27A9C"/>
    <w:rsid w:val="00A27AE8"/>
    <w:rsid w:val="00A27BF5"/>
    <w:rsid w:val="00A27C3D"/>
    <w:rsid w:val="00A27C58"/>
    <w:rsid w:val="00A27C5D"/>
    <w:rsid w:val="00A27CBF"/>
    <w:rsid w:val="00A27CD0"/>
    <w:rsid w:val="00A27CF4"/>
    <w:rsid w:val="00A27D1D"/>
    <w:rsid w:val="00A27D59"/>
    <w:rsid w:val="00A27E36"/>
    <w:rsid w:val="00A27E38"/>
    <w:rsid w:val="00A27E4E"/>
    <w:rsid w:val="00A27E66"/>
    <w:rsid w:val="00A27E84"/>
    <w:rsid w:val="00A27EE1"/>
    <w:rsid w:val="00A27EF1"/>
    <w:rsid w:val="00A27F11"/>
    <w:rsid w:val="00A27F1C"/>
    <w:rsid w:val="00A30029"/>
    <w:rsid w:val="00A3004D"/>
    <w:rsid w:val="00A30055"/>
    <w:rsid w:val="00A3009C"/>
    <w:rsid w:val="00A300E0"/>
    <w:rsid w:val="00A300FE"/>
    <w:rsid w:val="00A30124"/>
    <w:rsid w:val="00A30133"/>
    <w:rsid w:val="00A3016A"/>
    <w:rsid w:val="00A301A8"/>
    <w:rsid w:val="00A301D4"/>
    <w:rsid w:val="00A30227"/>
    <w:rsid w:val="00A30232"/>
    <w:rsid w:val="00A30298"/>
    <w:rsid w:val="00A30299"/>
    <w:rsid w:val="00A302AF"/>
    <w:rsid w:val="00A302F3"/>
    <w:rsid w:val="00A30306"/>
    <w:rsid w:val="00A303D1"/>
    <w:rsid w:val="00A303DD"/>
    <w:rsid w:val="00A30478"/>
    <w:rsid w:val="00A304BC"/>
    <w:rsid w:val="00A304C8"/>
    <w:rsid w:val="00A304CB"/>
    <w:rsid w:val="00A304F6"/>
    <w:rsid w:val="00A304F8"/>
    <w:rsid w:val="00A305A6"/>
    <w:rsid w:val="00A305BF"/>
    <w:rsid w:val="00A30635"/>
    <w:rsid w:val="00A30637"/>
    <w:rsid w:val="00A30641"/>
    <w:rsid w:val="00A30665"/>
    <w:rsid w:val="00A306A8"/>
    <w:rsid w:val="00A306C4"/>
    <w:rsid w:val="00A3073D"/>
    <w:rsid w:val="00A30795"/>
    <w:rsid w:val="00A30842"/>
    <w:rsid w:val="00A3085A"/>
    <w:rsid w:val="00A308AD"/>
    <w:rsid w:val="00A308BF"/>
    <w:rsid w:val="00A3092F"/>
    <w:rsid w:val="00A309BE"/>
    <w:rsid w:val="00A309D3"/>
    <w:rsid w:val="00A30A28"/>
    <w:rsid w:val="00A30A63"/>
    <w:rsid w:val="00A30AA4"/>
    <w:rsid w:val="00A30B4B"/>
    <w:rsid w:val="00A30B6F"/>
    <w:rsid w:val="00A30B99"/>
    <w:rsid w:val="00A30BC4"/>
    <w:rsid w:val="00A30C64"/>
    <w:rsid w:val="00A30C6A"/>
    <w:rsid w:val="00A30CA1"/>
    <w:rsid w:val="00A30CB8"/>
    <w:rsid w:val="00A30D00"/>
    <w:rsid w:val="00A30D4C"/>
    <w:rsid w:val="00A30D85"/>
    <w:rsid w:val="00A30D97"/>
    <w:rsid w:val="00A30DB3"/>
    <w:rsid w:val="00A30DB7"/>
    <w:rsid w:val="00A30DC9"/>
    <w:rsid w:val="00A30E20"/>
    <w:rsid w:val="00A30EA9"/>
    <w:rsid w:val="00A30ED2"/>
    <w:rsid w:val="00A30EF5"/>
    <w:rsid w:val="00A30F4D"/>
    <w:rsid w:val="00A30F64"/>
    <w:rsid w:val="00A30F8B"/>
    <w:rsid w:val="00A30FB7"/>
    <w:rsid w:val="00A30FF2"/>
    <w:rsid w:val="00A3102C"/>
    <w:rsid w:val="00A3105A"/>
    <w:rsid w:val="00A3105B"/>
    <w:rsid w:val="00A3107E"/>
    <w:rsid w:val="00A310EB"/>
    <w:rsid w:val="00A310FB"/>
    <w:rsid w:val="00A3111C"/>
    <w:rsid w:val="00A31127"/>
    <w:rsid w:val="00A3112E"/>
    <w:rsid w:val="00A31199"/>
    <w:rsid w:val="00A3121D"/>
    <w:rsid w:val="00A31257"/>
    <w:rsid w:val="00A31292"/>
    <w:rsid w:val="00A312F8"/>
    <w:rsid w:val="00A31358"/>
    <w:rsid w:val="00A3135B"/>
    <w:rsid w:val="00A3136E"/>
    <w:rsid w:val="00A3137D"/>
    <w:rsid w:val="00A3142B"/>
    <w:rsid w:val="00A314A1"/>
    <w:rsid w:val="00A314CB"/>
    <w:rsid w:val="00A3153C"/>
    <w:rsid w:val="00A3154D"/>
    <w:rsid w:val="00A3160B"/>
    <w:rsid w:val="00A3163E"/>
    <w:rsid w:val="00A316E1"/>
    <w:rsid w:val="00A316F7"/>
    <w:rsid w:val="00A3172A"/>
    <w:rsid w:val="00A317AF"/>
    <w:rsid w:val="00A317F7"/>
    <w:rsid w:val="00A31912"/>
    <w:rsid w:val="00A31921"/>
    <w:rsid w:val="00A3198A"/>
    <w:rsid w:val="00A31A23"/>
    <w:rsid w:val="00A31A66"/>
    <w:rsid w:val="00A31ACC"/>
    <w:rsid w:val="00A31B0B"/>
    <w:rsid w:val="00A31B70"/>
    <w:rsid w:val="00A31B91"/>
    <w:rsid w:val="00A31BA1"/>
    <w:rsid w:val="00A31C14"/>
    <w:rsid w:val="00A31C63"/>
    <w:rsid w:val="00A31CEF"/>
    <w:rsid w:val="00A31CF5"/>
    <w:rsid w:val="00A31E47"/>
    <w:rsid w:val="00A31EC6"/>
    <w:rsid w:val="00A31EF7"/>
    <w:rsid w:val="00A32015"/>
    <w:rsid w:val="00A32020"/>
    <w:rsid w:val="00A32045"/>
    <w:rsid w:val="00A320A0"/>
    <w:rsid w:val="00A320A8"/>
    <w:rsid w:val="00A320F4"/>
    <w:rsid w:val="00A321E0"/>
    <w:rsid w:val="00A321F0"/>
    <w:rsid w:val="00A32206"/>
    <w:rsid w:val="00A32210"/>
    <w:rsid w:val="00A32257"/>
    <w:rsid w:val="00A32264"/>
    <w:rsid w:val="00A32268"/>
    <w:rsid w:val="00A3226B"/>
    <w:rsid w:val="00A3226C"/>
    <w:rsid w:val="00A3226F"/>
    <w:rsid w:val="00A3227B"/>
    <w:rsid w:val="00A3228A"/>
    <w:rsid w:val="00A322D0"/>
    <w:rsid w:val="00A32308"/>
    <w:rsid w:val="00A3230F"/>
    <w:rsid w:val="00A3231E"/>
    <w:rsid w:val="00A32357"/>
    <w:rsid w:val="00A32373"/>
    <w:rsid w:val="00A323C3"/>
    <w:rsid w:val="00A3241D"/>
    <w:rsid w:val="00A32430"/>
    <w:rsid w:val="00A32448"/>
    <w:rsid w:val="00A3247E"/>
    <w:rsid w:val="00A3249C"/>
    <w:rsid w:val="00A324C8"/>
    <w:rsid w:val="00A32505"/>
    <w:rsid w:val="00A32528"/>
    <w:rsid w:val="00A32530"/>
    <w:rsid w:val="00A325A9"/>
    <w:rsid w:val="00A32616"/>
    <w:rsid w:val="00A32627"/>
    <w:rsid w:val="00A32639"/>
    <w:rsid w:val="00A32679"/>
    <w:rsid w:val="00A32715"/>
    <w:rsid w:val="00A32790"/>
    <w:rsid w:val="00A327FF"/>
    <w:rsid w:val="00A3285F"/>
    <w:rsid w:val="00A328A4"/>
    <w:rsid w:val="00A328B5"/>
    <w:rsid w:val="00A328C1"/>
    <w:rsid w:val="00A328C4"/>
    <w:rsid w:val="00A3294C"/>
    <w:rsid w:val="00A329C1"/>
    <w:rsid w:val="00A329CE"/>
    <w:rsid w:val="00A32A59"/>
    <w:rsid w:val="00A32AE9"/>
    <w:rsid w:val="00A32B7A"/>
    <w:rsid w:val="00A32B91"/>
    <w:rsid w:val="00A32B92"/>
    <w:rsid w:val="00A32BE5"/>
    <w:rsid w:val="00A32BF6"/>
    <w:rsid w:val="00A32C1E"/>
    <w:rsid w:val="00A32C7C"/>
    <w:rsid w:val="00A32C7D"/>
    <w:rsid w:val="00A32D31"/>
    <w:rsid w:val="00A32DC2"/>
    <w:rsid w:val="00A32E2C"/>
    <w:rsid w:val="00A32E3D"/>
    <w:rsid w:val="00A32EB1"/>
    <w:rsid w:val="00A32EC5"/>
    <w:rsid w:val="00A32ED0"/>
    <w:rsid w:val="00A32EE5"/>
    <w:rsid w:val="00A32F93"/>
    <w:rsid w:val="00A32FF1"/>
    <w:rsid w:val="00A33023"/>
    <w:rsid w:val="00A330AD"/>
    <w:rsid w:val="00A330E5"/>
    <w:rsid w:val="00A3312E"/>
    <w:rsid w:val="00A33195"/>
    <w:rsid w:val="00A33263"/>
    <w:rsid w:val="00A332B0"/>
    <w:rsid w:val="00A332DD"/>
    <w:rsid w:val="00A332E8"/>
    <w:rsid w:val="00A332F4"/>
    <w:rsid w:val="00A333B4"/>
    <w:rsid w:val="00A33437"/>
    <w:rsid w:val="00A334C6"/>
    <w:rsid w:val="00A334DC"/>
    <w:rsid w:val="00A33587"/>
    <w:rsid w:val="00A33592"/>
    <w:rsid w:val="00A335C3"/>
    <w:rsid w:val="00A3360E"/>
    <w:rsid w:val="00A33637"/>
    <w:rsid w:val="00A3363F"/>
    <w:rsid w:val="00A336BD"/>
    <w:rsid w:val="00A337BF"/>
    <w:rsid w:val="00A337E9"/>
    <w:rsid w:val="00A3385E"/>
    <w:rsid w:val="00A33882"/>
    <w:rsid w:val="00A3390E"/>
    <w:rsid w:val="00A3391D"/>
    <w:rsid w:val="00A3393F"/>
    <w:rsid w:val="00A339B8"/>
    <w:rsid w:val="00A339E1"/>
    <w:rsid w:val="00A33A62"/>
    <w:rsid w:val="00A33B04"/>
    <w:rsid w:val="00A33B4F"/>
    <w:rsid w:val="00A33B9C"/>
    <w:rsid w:val="00A33BC6"/>
    <w:rsid w:val="00A33BED"/>
    <w:rsid w:val="00A33D11"/>
    <w:rsid w:val="00A33D49"/>
    <w:rsid w:val="00A33D4E"/>
    <w:rsid w:val="00A33DAC"/>
    <w:rsid w:val="00A33DC7"/>
    <w:rsid w:val="00A33DD5"/>
    <w:rsid w:val="00A33E43"/>
    <w:rsid w:val="00A33E7F"/>
    <w:rsid w:val="00A33E99"/>
    <w:rsid w:val="00A33EA9"/>
    <w:rsid w:val="00A33EB1"/>
    <w:rsid w:val="00A33F3D"/>
    <w:rsid w:val="00A33F70"/>
    <w:rsid w:val="00A33F81"/>
    <w:rsid w:val="00A33FA6"/>
    <w:rsid w:val="00A33FC7"/>
    <w:rsid w:val="00A33FCC"/>
    <w:rsid w:val="00A3401C"/>
    <w:rsid w:val="00A34037"/>
    <w:rsid w:val="00A34071"/>
    <w:rsid w:val="00A340ED"/>
    <w:rsid w:val="00A34198"/>
    <w:rsid w:val="00A341EA"/>
    <w:rsid w:val="00A34211"/>
    <w:rsid w:val="00A34238"/>
    <w:rsid w:val="00A34269"/>
    <w:rsid w:val="00A34281"/>
    <w:rsid w:val="00A342C9"/>
    <w:rsid w:val="00A342CA"/>
    <w:rsid w:val="00A342DE"/>
    <w:rsid w:val="00A342F8"/>
    <w:rsid w:val="00A34313"/>
    <w:rsid w:val="00A3431E"/>
    <w:rsid w:val="00A343BE"/>
    <w:rsid w:val="00A343DA"/>
    <w:rsid w:val="00A343E0"/>
    <w:rsid w:val="00A3440A"/>
    <w:rsid w:val="00A34417"/>
    <w:rsid w:val="00A3446C"/>
    <w:rsid w:val="00A34471"/>
    <w:rsid w:val="00A344B5"/>
    <w:rsid w:val="00A344B6"/>
    <w:rsid w:val="00A345A0"/>
    <w:rsid w:val="00A345F6"/>
    <w:rsid w:val="00A3461D"/>
    <w:rsid w:val="00A3464E"/>
    <w:rsid w:val="00A3466C"/>
    <w:rsid w:val="00A34671"/>
    <w:rsid w:val="00A34691"/>
    <w:rsid w:val="00A346D6"/>
    <w:rsid w:val="00A34790"/>
    <w:rsid w:val="00A347D7"/>
    <w:rsid w:val="00A34801"/>
    <w:rsid w:val="00A3480F"/>
    <w:rsid w:val="00A34813"/>
    <w:rsid w:val="00A348B9"/>
    <w:rsid w:val="00A348F2"/>
    <w:rsid w:val="00A348FF"/>
    <w:rsid w:val="00A34A61"/>
    <w:rsid w:val="00A34B5B"/>
    <w:rsid w:val="00A34B75"/>
    <w:rsid w:val="00A34BAD"/>
    <w:rsid w:val="00A34BD5"/>
    <w:rsid w:val="00A34BE5"/>
    <w:rsid w:val="00A34C15"/>
    <w:rsid w:val="00A34CC5"/>
    <w:rsid w:val="00A34CDF"/>
    <w:rsid w:val="00A34CF3"/>
    <w:rsid w:val="00A34D44"/>
    <w:rsid w:val="00A34D64"/>
    <w:rsid w:val="00A34E1C"/>
    <w:rsid w:val="00A34EAC"/>
    <w:rsid w:val="00A34ED0"/>
    <w:rsid w:val="00A34EDE"/>
    <w:rsid w:val="00A34F18"/>
    <w:rsid w:val="00A34F33"/>
    <w:rsid w:val="00A34F3B"/>
    <w:rsid w:val="00A34F49"/>
    <w:rsid w:val="00A34FAF"/>
    <w:rsid w:val="00A350A8"/>
    <w:rsid w:val="00A350CD"/>
    <w:rsid w:val="00A35113"/>
    <w:rsid w:val="00A35169"/>
    <w:rsid w:val="00A35177"/>
    <w:rsid w:val="00A3524B"/>
    <w:rsid w:val="00A3526B"/>
    <w:rsid w:val="00A35406"/>
    <w:rsid w:val="00A35477"/>
    <w:rsid w:val="00A354BA"/>
    <w:rsid w:val="00A354E0"/>
    <w:rsid w:val="00A354FC"/>
    <w:rsid w:val="00A35524"/>
    <w:rsid w:val="00A355A4"/>
    <w:rsid w:val="00A355A8"/>
    <w:rsid w:val="00A35615"/>
    <w:rsid w:val="00A356B8"/>
    <w:rsid w:val="00A356EB"/>
    <w:rsid w:val="00A3578D"/>
    <w:rsid w:val="00A35792"/>
    <w:rsid w:val="00A3582F"/>
    <w:rsid w:val="00A35864"/>
    <w:rsid w:val="00A3586C"/>
    <w:rsid w:val="00A358AF"/>
    <w:rsid w:val="00A358E1"/>
    <w:rsid w:val="00A3592E"/>
    <w:rsid w:val="00A35995"/>
    <w:rsid w:val="00A3599C"/>
    <w:rsid w:val="00A359B2"/>
    <w:rsid w:val="00A359C1"/>
    <w:rsid w:val="00A359E0"/>
    <w:rsid w:val="00A359FC"/>
    <w:rsid w:val="00A35AE3"/>
    <w:rsid w:val="00A35B78"/>
    <w:rsid w:val="00A35C2E"/>
    <w:rsid w:val="00A35C4F"/>
    <w:rsid w:val="00A35D4A"/>
    <w:rsid w:val="00A35D77"/>
    <w:rsid w:val="00A35D8A"/>
    <w:rsid w:val="00A35DBF"/>
    <w:rsid w:val="00A35E1F"/>
    <w:rsid w:val="00A35E64"/>
    <w:rsid w:val="00A35E85"/>
    <w:rsid w:val="00A35ED2"/>
    <w:rsid w:val="00A35F2A"/>
    <w:rsid w:val="00A35FCE"/>
    <w:rsid w:val="00A35FE5"/>
    <w:rsid w:val="00A36003"/>
    <w:rsid w:val="00A36016"/>
    <w:rsid w:val="00A36022"/>
    <w:rsid w:val="00A360DB"/>
    <w:rsid w:val="00A36101"/>
    <w:rsid w:val="00A36137"/>
    <w:rsid w:val="00A36143"/>
    <w:rsid w:val="00A361D6"/>
    <w:rsid w:val="00A36208"/>
    <w:rsid w:val="00A36243"/>
    <w:rsid w:val="00A362A9"/>
    <w:rsid w:val="00A362BB"/>
    <w:rsid w:val="00A362C6"/>
    <w:rsid w:val="00A3631B"/>
    <w:rsid w:val="00A3631F"/>
    <w:rsid w:val="00A36326"/>
    <w:rsid w:val="00A3632F"/>
    <w:rsid w:val="00A363F5"/>
    <w:rsid w:val="00A36434"/>
    <w:rsid w:val="00A36475"/>
    <w:rsid w:val="00A3651A"/>
    <w:rsid w:val="00A36551"/>
    <w:rsid w:val="00A36598"/>
    <w:rsid w:val="00A36638"/>
    <w:rsid w:val="00A3665F"/>
    <w:rsid w:val="00A36660"/>
    <w:rsid w:val="00A3668B"/>
    <w:rsid w:val="00A366A9"/>
    <w:rsid w:val="00A3678B"/>
    <w:rsid w:val="00A3678D"/>
    <w:rsid w:val="00A367C2"/>
    <w:rsid w:val="00A367C5"/>
    <w:rsid w:val="00A367D0"/>
    <w:rsid w:val="00A367DC"/>
    <w:rsid w:val="00A367F9"/>
    <w:rsid w:val="00A368C6"/>
    <w:rsid w:val="00A368D4"/>
    <w:rsid w:val="00A3690E"/>
    <w:rsid w:val="00A3696B"/>
    <w:rsid w:val="00A3698A"/>
    <w:rsid w:val="00A369EB"/>
    <w:rsid w:val="00A369F5"/>
    <w:rsid w:val="00A36A0D"/>
    <w:rsid w:val="00A36A1B"/>
    <w:rsid w:val="00A36A8A"/>
    <w:rsid w:val="00A36A90"/>
    <w:rsid w:val="00A36A94"/>
    <w:rsid w:val="00A36A9A"/>
    <w:rsid w:val="00A36AAB"/>
    <w:rsid w:val="00A36AFB"/>
    <w:rsid w:val="00A36B2A"/>
    <w:rsid w:val="00A36B50"/>
    <w:rsid w:val="00A36B72"/>
    <w:rsid w:val="00A36B73"/>
    <w:rsid w:val="00A36B7C"/>
    <w:rsid w:val="00A36BA1"/>
    <w:rsid w:val="00A36BB4"/>
    <w:rsid w:val="00A36BC4"/>
    <w:rsid w:val="00A36C10"/>
    <w:rsid w:val="00A36C55"/>
    <w:rsid w:val="00A36C85"/>
    <w:rsid w:val="00A36C89"/>
    <w:rsid w:val="00A36D13"/>
    <w:rsid w:val="00A36DA4"/>
    <w:rsid w:val="00A36DBA"/>
    <w:rsid w:val="00A36DDB"/>
    <w:rsid w:val="00A36E07"/>
    <w:rsid w:val="00A36E08"/>
    <w:rsid w:val="00A36E3D"/>
    <w:rsid w:val="00A36E5B"/>
    <w:rsid w:val="00A36E71"/>
    <w:rsid w:val="00A36E8D"/>
    <w:rsid w:val="00A36E8F"/>
    <w:rsid w:val="00A36EE1"/>
    <w:rsid w:val="00A36F5C"/>
    <w:rsid w:val="00A36F86"/>
    <w:rsid w:val="00A36FAC"/>
    <w:rsid w:val="00A36FB0"/>
    <w:rsid w:val="00A36FEC"/>
    <w:rsid w:val="00A37007"/>
    <w:rsid w:val="00A370ED"/>
    <w:rsid w:val="00A37154"/>
    <w:rsid w:val="00A3719D"/>
    <w:rsid w:val="00A371A7"/>
    <w:rsid w:val="00A371EE"/>
    <w:rsid w:val="00A37219"/>
    <w:rsid w:val="00A3727D"/>
    <w:rsid w:val="00A37296"/>
    <w:rsid w:val="00A372F2"/>
    <w:rsid w:val="00A372FA"/>
    <w:rsid w:val="00A3741F"/>
    <w:rsid w:val="00A37443"/>
    <w:rsid w:val="00A374DC"/>
    <w:rsid w:val="00A37558"/>
    <w:rsid w:val="00A37568"/>
    <w:rsid w:val="00A37586"/>
    <w:rsid w:val="00A375A5"/>
    <w:rsid w:val="00A375AB"/>
    <w:rsid w:val="00A3767B"/>
    <w:rsid w:val="00A376C5"/>
    <w:rsid w:val="00A37829"/>
    <w:rsid w:val="00A37880"/>
    <w:rsid w:val="00A3788E"/>
    <w:rsid w:val="00A37905"/>
    <w:rsid w:val="00A3796E"/>
    <w:rsid w:val="00A37A1B"/>
    <w:rsid w:val="00A37AA6"/>
    <w:rsid w:val="00A37AD0"/>
    <w:rsid w:val="00A37AD9"/>
    <w:rsid w:val="00A37B1F"/>
    <w:rsid w:val="00A37B75"/>
    <w:rsid w:val="00A37BC2"/>
    <w:rsid w:val="00A37BE0"/>
    <w:rsid w:val="00A37BE2"/>
    <w:rsid w:val="00A37C2A"/>
    <w:rsid w:val="00A37D11"/>
    <w:rsid w:val="00A37D7E"/>
    <w:rsid w:val="00A37D89"/>
    <w:rsid w:val="00A37D9A"/>
    <w:rsid w:val="00A37DB4"/>
    <w:rsid w:val="00A37DF2"/>
    <w:rsid w:val="00A37EE4"/>
    <w:rsid w:val="00A37FCE"/>
    <w:rsid w:val="00A37FDD"/>
    <w:rsid w:val="00A40031"/>
    <w:rsid w:val="00A4004D"/>
    <w:rsid w:val="00A400E0"/>
    <w:rsid w:val="00A4010B"/>
    <w:rsid w:val="00A4013B"/>
    <w:rsid w:val="00A401C8"/>
    <w:rsid w:val="00A401E5"/>
    <w:rsid w:val="00A40250"/>
    <w:rsid w:val="00A4032F"/>
    <w:rsid w:val="00A4033E"/>
    <w:rsid w:val="00A4038F"/>
    <w:rsid w:val="00A403A1"/>
    <w:rsid w:val="00A403B7"/>
    <w:rsid w:val="00A403FF"/>
    <w:rsid w:val="00A4043D"/>
    <w:rsid w:val="00A404E3"/>
    <w:rsid w:val="00A404FA"/>
    <w:rsid w:val="00A4059E"/>
    <w:rsid w:val="00A405B4"/>
    <w:rsid w:val="00A405E8"/>
    <w:rsid w:val="00A405F0"/>
    <w:rsid w:val="00A405F5"/>
    <w:rsid w:val="00A40690"/>
    <w:rsid w:val="00A406D0"/>
    <w:rsid w:val="00A40738"/>
    <w:rsid w:val="00A40745"/>
    <w:rsid w:val="00A407C4"/>
    <w:rsid w:val="00A40853"/>
    <w:rsid w:val="00A4086B"/>
    <w:rsid w:val="00A4087B"/>
    <w:rsid w:val="00A4089A"/>
    <w:rsid w:val="00A408C0"/>
    <w:rsid w:val="00A408E5"/>
    <w:rsid w:val="00A408FE"/>
    <w:rsid w:val="00A4092B"/>
    <w:rsid w:val="00A40936"/>
    <w:rsid w:val="00A4094E"/>
    <w:rsid w:val="00A409EF"/>
    <w:rsid w:val="00A40A2B"/>
    <w:rsid w:val="00A40A8C"/>
    <w:rsid w:val="00A40AA6"/>
    <w:rsid w:val="00A40AEE"/>
    <w:rsid w:val="00A40B1D"/>
    <w:rsid w:val="00A40B36"/>
    <w:rsid w:val="00A40B65"/>
    <w:rsid w:val="00A40B87"/>
    <w:rsid w:val="00A40B92"/>
    <w:rsid w:val="00A40BAD"/>
    <w:rsid w:val="00A40BB9"/>
    <w:rsid w:val="00A40BC9"/>
    <w:rsid w:val="00A40C6D"/>
    <w:rsid w:val="00A40D4B"/>
    <w:rsid w:val="00A40D5D"/>
    <w:rsid w:val="00A40D6B"/>
    <w:rsid w:val="00A40D79"/>
    <w:rsid w:val="00A40D81"/>
    <w:rsid w:val="00A40D91"/>
    <w:rsid w:val="00A40D92"/>
    <w:rsid w:val="00A40E69"/>
    <w:rsid w:val="00A40EC0"/>
    <w:rsid w:val="00A40EC3"/>
    <w:rsid w:val="00A40F18"/>
    <w:rsid w:val="00A40F24"/>
    <w:rsid w:val="00A40F25"/>
    <w:rsid w:val="00A40F2B"/>
    <w:rsid w:val="00A40F3A"/>
    <w:rsid w:val="00A40F3F"/>
    <w:rsid w:val="00A40F95"/>
    <w:rsid w:val="00A40FDA"/>
    <w:rsid w:val="00A4100D"/>
    <w:rsid w:val="00A41061"/>
    <w:rsid w:val="00A410D5"/>
    <w:rsid w:val="00A410E7"/>
    <w:rsid w:val="00A410F0"/>
    <w:rsid w:val="00A4111D"/>
    <w:rsid w:val="00A4114E"/>
    <w:rsid w:val="00A411FD"/>
    <w:rsid w:val="00A4120B"/>
    <w:rsid w:val="00A4121D"/>
    <w:rsid w:val="00A41246"/>
    <w:rsid w:val="00A41263"/>
    <w:rsid w:val="00A41309"/>
    <w:rsid w:val="00A4134F"/>
    <w:rsid w:val="00A4136C"/>
    <w:rsid w:val="00A41393"/>
    <w:rsid w:val="00A413A0"/>
    <w:rsid w:val="00A4141E"/>
    <w:rsid w:val="00A4142D"/>
    <w:rsid w:val="00A41434"/>
    <w:rsid w:val="00A4146B"/>
    <w:rsid w:val="00A4148B"/>
    <w:rsid w:val="00A414F6"/>
    <w:rsid w:val="00A41512"/>
    <w:rsid w:val="00A41554"/>
    <w:rsid w:val="00A415C0"/>
    <w:rsid w:val="00A41676"/>
    <w:rsid w:val="00A41697"/>
    <w:rsid w:val="00A41706"/>
    <w:rsid w:val="00A41742"/>
    <w:rsid w:val="00A41752"/>
    <w:rsid w:val="00A4176C"/>
    <w:rsid w:val="00A41772"/>
    <w:rsid w:val="00A417A9"/>
    <w:rsid w:val="00A417BB"/>
    <w:rsid w:val="00A41840"/>
    <w:rsid w:val="00A4185F"/>
    <w:rsid w:val="00A419B0"/>
    <w:rsid w:val="00A41A1A"/>
    <w:rsid w:val="00A41A50"/>
    <w:rsid w:val="00A41A59"/>
    <w:rsid w:val="00A41B35"/>
    <w:rsid w:val="00A41B4B"/>
    <w:rsid w:val="00A41BD3"/>
    <w:rsid w:val="00A41BD4"/>
    <w:rsid w:val="00A41BD9"/>
    <w:rsid w:val="00A41C20"/>
    <w:rsid w:val="00A41C73"/>
    <w:rsid w:val="00A41CA7"/>
    <w:rsid w:val="00A41CAA"/>
    <w:rsid w:val="00A41CF6"/>
    <w:rsid w:val="00A41D1B"/>
    <w:rsid w:val="00A41D24"/>
    <w:rsid w:val="00A41D51"/>
    <w:rsid w:val="00A41E7D"/>
    <w:rsid w:val="00A41E92"/>
    <w:rsid w:val="00A41EA6"/>
    <w:rsid w:val="00A41EFF"/>
    <w:rsid w:val="00A41F09"/>
    <w:rsid w:val="00A41F65"/>
    <w:rsid w:val="00A41F91"/>
    <w:rsid w:val="00A41FDE"/>
    <w:rsid w:val="00A42007"/>
    <w:rsid w:val="00A42022"/>
    <w:rsid w:val="00A4203F"/>
    <w:rsid w:val="00A4206D"/>
    <w:rsid w:val="00A42071"/>
    <w:rsid w:val="00A420F9"/>
    <w:rsid w:val="00A4213F"/>
    <w:rsid w:val="00A42162"/>
    <w:rsid w:val="00A42175"/>
    <w:rsid w:val="00A42185"/>
    <w:rsid w:val="00A421C3"/>
    <w:rsid w:val="00A421C9"/>
    <w:rsid w:val="00A422A5"/>
    <w:rsid w:val="00A422BD"/>
    <w:rsid w:val="00A422ED"/>
    <w:rsid w:val="00A422EE"/>
    <w:rsid w:val="00A422FA"/>
    <w:rsid w:val="00A42324"/>
    <w:rsid w:val="00A42338"/>
    <w:rsid w:val="00A42362"/>
    <w:rsid w:val="00A4239E"/>
    <w:rsid w:val="00A423DE"/>
    <w:rsid w:val="00A423F1"/>
    <w:rsid w:val="00A423F3"/>
    <w:rsid w:val="00A42403"/>
    <w:rsid w:val="00A42447"/>
    <w:rsid w:val="00A4246B"/>
    <w:rsid w:val="00A42472"/>
    <w:rsid w:val="00A4249A"/>
    <w:rsid w:val="00A424F5"/>
    <w:rsid w:val="00A4254D"/>
    <w:rsid w:val="00A42646"/>
    <w:rsid w:val="00A426A1"/>
    <w:rsid w:val="00A426EA"/>
    <w:rsid w:val="00A42751"/>
    <w:rsid w:val="00A427AA"/>
    <w:rsid w:val="00A427DA"/>
    <w:rsid w:val="00A428D7"/>
    <w:rsid w:val="00A429F3"/>
    <w:rsid w:val="00A42A31"/>
    <w:rsid w:val="00A42A47"/>
    <w:rsid w:val="00A42A50"/>
    <w:rsid w:val="00A42B5A"/>
    <w:rsid w:val="00A42C0D"/>
    <w:rsid w:val="00A42C1B"/>
    <w:rsid w:val="00A42C21"/>
    <w:rsid w:val="00A42C57"/>
    <w:rsid w:val="00A42C98"/>
    <w:rsid w:val="00A42CFE"/>
    <w:rsid w:val="00A42D9D"/>
    <w:rsid w:val="00A42DB2"/>
    <w:rsid w:val="00A42DF9"/>
    <w:rsid w:val="00A42E17"/>
    <w:rsid w:val="00A42E2C"/>
    <w:rsid w:val="00A42EC0"/>
    <w:rsid w:val="00A42EDA"/>
    <w:rsid w:val="00A42EF9"/>
    <w:rsid w:val="00A42FC7"/>
    <w:rsid w:val="00A43027"/>
    <w:rsid w:val="00A43060"/>
    <w:rsid w:val="00A430DE"/>
    <w:rsid w:val="00A43112"/>
    <w:rsid w:val="00A43180"/>
    <w:rsid w:val="00A431D5"/>
    <w:rsid w:val="00A43209"/>
    <w:rsid w:val="00A4321C"/>
    <w:rsid w:val="00A4321F"/>
    <w:rsid w:val="00A43228"/>
    <w:rsid w:val="00A43260"/>
    <w:rsid w:val="00A43262"/>
    <w:rsid w:val="00A43298"/>
    <w:rsid w:val="00A4329C"/>
    <w:rsid w:val="00A432B7"/>
    <w:rsid w:val="00A43300"/>
    <w:rsid w:val="00A4331F"/>
    <w:rsid w:val="00A4333D"/>
    <w:rsid w:val="00A433B0"/>
    <w:rsid w:val="00A4341A"/>
    <w:rsid w:val="00A43472"/>
    <w:rsid w:val="00A434E9"/>
    <w:rsid w:val="00A4356C"/>
    <w:rsid w:val="00A43571"/>
    <w:rsid w:val="00A4358B"/>
    <w:rsid w:val="00A4358E"/>
    <w:rsid w:val="00A43641"/>
    <w:rsid w:val="00A43699"/>
    <w:rsid w:val="00A436EE"/>
    <w:rsid w:val="00A4378A"/>
    <w:rsid w:val="00A437D4"/>
    <w:rsid w:val="00A43874"/>
    <w:rsid w:val="00A43880"/>
    <w:rsid w:val="00A438DF"/>
    <w:rsid w:val="00A4391C"/>
    <w:rsid w:val="00A43A6B"/>
    <w:rsid w:val="00A43AF1"/>
    <w:rsid w:val="00A43B27"/>
    <w:rsid w:val="00A43B2D"/>
    <w:rsid w:val="00A43B36"/>
    <w:rsid w:val="00A43B74"/>
    <w:rsid w:val="00A43B8C"/>
    <w:rsid w:val="00A43BA5"/>
    <w:rsid w:val="00A43BC5"/>
    <w:rsid w:val="00A43BE4"/>
    <w:rsid w:val="00A43C35"/>
    <w:rsid w:val="00A43C39"/>
    <w:rsid w:val="00A43C6A"/>
    <w:rsid w:val="00A43C8D"/>
    <w:rsid w:val="00A43CCB"/>
    <w:rsid w:val="00A43D33"/>
    <w:rsid w:val="00A43D9D"/>
    <w:rsid w:val="00A43DAE"/>
    <w:rsid w:val="00A43DB5"/>
    <w:rsid w:val="00A43E70"/>
    <w:rsid w:val="00A43E75"/>
    <w:rsid w:val="00A43E76"/>
    <w:rsid w:val="00A43E87"/>
    <w:rsid w:val="00A43EB1"/>
    <w:rsid w:val="00A43EBA"/>
    <w:rsid w:val="00A43FC1"/>
    <w:rsid w:val="00A43FE7"/>
    <w:rsid w:val="00A4400E"/>
    <w:rsid w:val="00A4405C"/>
    <w:rsid w:val="00A440BB"/>
    <w:rsid w:val="00A440EC"/>
    <w:rsid w:val="00A44103"/>
    <w:rsid w:val="00A44118"/>
    <w:rsid w:val="00A442BD"/>
    <w:rsid w:val="00A442C5"/>
    <w:rsid w:val="00A442CD"/>
    <w:rsid w:val="00A44322"/>
    <w:rsid w:val="00A4434E"/>
    <w:rsid w:val="00A4435D"/>
    <w:rsid w:val="00A4438C"/>
    <w:rsid w:val="00A443B3"/>
    <w:rsid w:val="00A443C5"/>
    <w:rsid w:val="00A4443C"/>
    <w:rsid w:val="00A444B1"/>
    <w:rsid w:val="00A444EC"/>
    <w:rsid w:val="00A44545"/>
    <w:rsid w:val="00A445D6"/>
    <w:rsid w:val="00A445E2"/>
    <w:rsid w:val="00A445EE"/>
    <w:rsid w:val="00A44631"/>
    <w:rsid w:val="00A44639"/>
    <w:rsid w:val="00A4464C"/>
    <w:rsid w:val="00A4464D"/>
    <w:rsid w:val="00A44650"/>
    <w:rsid w:val="00A44674"/>
    <w:rsid w:val="00A44719"/>
    <w:rsid w:val="00A4482D"/>
    <w:rsid w:val="00A448D6"/>
    <w:rsid w:val="00A4490F"/>
    <w:rsid w:val="00A4491A"/>
    <w:rsid w:val="00A44926"/>
    <w:rsid w:val="00A44974"/>
    <w:rsid w:val="00A4499C"/>
    <w:rsid w:val="00A4499D"/>
    <w:rsid w:val="00A449A2"/>
    <w:rsid w:val="00A449B8"/>
    <w:rsid w:val="00A44A32"/>
    <w:rsid w:val="00A44A75"/>
    <w:rsid w:val="00A44ABF"/>
    <w:rsid w:val="00A44B08"/>
    <w:rsid w:val="00A44B0D"/>
    <w:rsid w:val="00A44B13"/>
    <w:rsid w:val="00A44B4A"/>
    <w:rsid w:val="00A44B62"/>
    <w:rsid w:val="00A44B67"/>
    <w:rsid w:val="00A44B85"/>
    <w:rsid w:val="00A44BE0"/>
    <w:rsid w:val="00A44BE3"/>
    <w:rsid w:val="00A44C5E"/>
    <w:rsid w:val="00A44CB3"/>
    <w:rsid w:val="00A44CDC"/>
    <w:rsid w:val="00A44CF9"/>
    <w:rsid w:val="00A44D6D"/>
    <w:rsid w:val="00A44D86"/>
    <w:rsid w:val="00A44DB0"/>
    <w:rsid w:val="00A44E00"/>
    <w:rsid w:val="00A44E5F"/>
    <w:rsid w:val="00A44E68"/>
    <w:rsid w:val="00A44EBD"/>
    <w:rsid w:val="00A44FD5"/>
    <w:rsid w:val="00A44FDA"/>
    <w:rsid w:val="00A4500D"/>
    <w:rsid w:val="00A4503C"/>
    <w:rsid w:val="00A45066"/>
    <w:rsid w:val="00A45113"/>
    <w:rsid w:val="00A4517F"/>
    <w:rsid w:val="00A45184"/>
    <w:rsid w:val="00A451BA"/>
    <w:rsid w:val="00A451C5"/>
    <w:rsid w:val="00A451E7"/>
    <w:rsid w:val="00A4525E"/>
    <w:rsid w:val="00A452BB"/>
    <w:rsid w:val="00A45357"/>
    <w:rsid w:val="00A4538F"/>
    <w:rsid w:val="00A453E6"/>
    <w:rsid w:val="00A45425"/>
    <w:rsid w:val="00A45444"/>
    <w:rsid w:val="00A454CD"/>
    <w:rsid w:val="00A454EA"/>
    <w:rsid w:val="00A45610"/>
    <w:rsid w:val="00A45671"/>
    <w:rsid w:val="00A4568B"/>
    <w:rsid w:val="00A45691"/>
    <w:rsid w:val="00A45751"/>
    <w:rsid w:val="00A45775"/>
    <w:rsid w:val="00A45825"/>
    <w:rsid w:val="00A4593B"/>
    <w:rsid w:val="00A45963"/>
    <w:rsid w:val="00A45987"/>
    <w:rsid w:val="00A459C4"/>
    <w:rsid w:val="00A459CD"/>
    <w:rsid w:val="00A45AB6"/>
    <w:rsid w:val="00A45AC1"/>
    <w:rsid w:val="00A45AF4"/>
    <w:rsid w:val="00A45B8C"/>
    <w:rsid w:val="00A45BB7"/>
    <w:rsid w:val="00A45BD1"/>
    <w:rsid w:val="00A45BE3"/>
    <w:rsid w:val="00A45C5A"/>
    <w:rsid w:val="00A45C94"/>
    <w:rsid w:val="00A45CA4"/>
    <w:rsid w:val="00A45CA9"/>
    <w:rsid w:val="00A45CAD"/>
    <w:rsid w:val="00A45CFB"/>
    <w:rsid w:val="00A45D45"/>
    <w:rsid w:val="00A45D4B"/>
    <w:rsid w:val="00A45D93"/>
    <w:rsid w:val="00A45DA9"/>
    <w:rsid w:val="00A45DC9"/>
    <w:rsid w:val="00A45DF1"/>
    <w:rsid w:val="00A45E2D"/>
    <w:rsid w:val="00A45E3E"/>
    <w:rsid w:val="00A45E78"/>
    <w:rsid w:val="00A45E7A"/>
    <w:rsid w:val="00A45EC9"/>
    <w:rsid w:val="00A45EF1"/>
    <w:rsid w:val="00A45F03"/>
    <w:rsid w:val="00A45F1F"/>
    <w:rsid w:val="00A45F32"/>
    <w:rsid w:val="00A45F6F"/>
    <w:rsid w:val="00A45F9A"/>
    <w:rsid w:val="00A45FB8"/>
    <w:rsid w:val="00A45FFB"/>
    <w:rsid w:val="00A46000"/>
    <w:rsid w:val="00A46004"/>
    <w:rsid w:val="00A4602C"/>
    <w:rsid w:val="00A46059"/>
    <w:rsid w:val="00A4605D"/>
    <w:rsid w:val="00A46082"/>
    <w:rsid w:val="00A4610C"/>
    <w:rsid w:val="00A4614F"/>
    <w:rsid w:val="00A46197"/>
    <w:rsid w:val="00A4619A"/>
    <w:rsid w:val="00A4623A"/>
    <w:rsid w:val="00A46253"/>
    <w:rsid w:val="00A4626A"/>
    <w:rsid w:val="00A4627B"/>
    <w:rsid w:val="00A46293"/>
    <w:rsid w:val="00A462B9"/>
    <w:rsid w:val="00A463C1"/>
    <w:rsid w:val="00A46408"/>
    <w:rsid w:val="00A46427"/>
    <w:rsid w:val="00A4642A"/>
    <w:rsid w:val="00A46497"/>
    <w:rsid w:val="00A464B9"/>
    <w:rsid w:val="00A464EF"/>
    <w:rsid w:val="00A4651E"/>
    <w:rsid w:val="00A46548"/>
    <w:rsid w:val="00A46569"/>
    <w:rsid w:val="00A465AB"/>
    <w:rsid w:val="00A46691"/>
    <w:rsid w:val="00A46699"/>
    <w:rsid w:val="00A466DA"/>
    <w:rsid w:val="00A466F9"/>
    <w:rsid w:val="00A46788"/>
    <w:rsid w:val="00A46792"/>
    <w:rsid w:val="00A467BE"/>
    <w:rsid w:val="00A467D5"/>
    <w:rsid w:val="00A4682B"/>
    <w:rsid w:val="00A46872"/>
    <w:rsid w:val="00A468F2"/>
    <w:rsid w:val="00A469B7"/>
    <w:rsid w:val="00A469D4"/>
    <w:rsid w:val="00A46A59"/>
    <w:rsid w:val="00A46A76"/>
    <w:rsid w:val="00A46AA8"/>
    <w:rsid w:val="00A46ACD"/>
    <w:rsid w:val="00A46B51"/>
    <w:rsid w:val="00A46BCD"/>
    <w:rsid w:val="00A46C21"/>
    <w:rsid w:val="00A46C45"/>
    <w:rsid w:val="00A46C74"/>
    <w:rsid w:val="00A46CD4"/>
    <w:rsid w:val="00A46D04"/>
    <w:rsid w:val="00A46DA8"/>
    <w:rsid w:val="00A46E40"/>
    <w:rsid w:val="00A46E61"/>
    <w:rsid w:val="00A46E8A"/>
    <w:rsid w:val="00A46F43"/>
    <w:rsid w:val="00A46F98"/>
    <w:rsid w:val="00A46FB0"/>
    <w:rsid w:val="00A46FBD"/>
    <w:rsid w:val="00A46FF5"/>
    <w:rsid w:val="00A4708B"/>
    <w:rsid w:val="00A470C6"/>
    <w:rsid w:val="00A470F4"/>
    <w:rsid w:val="00A4714B"/>
    <w:rsid w:val="00A47197"/>
    <w:rsid w:val="00A4724B"/>
    <w:rsid w:val="00A47258"/>
    <w:rsid w:val="00A47293"/>
    <w:rsid w:val="00A472C1"/>
    <w:rsid w:val="00A472E0"/>
    <w:rsid w:val="00A47356"/>
    <w:rsid w:val="00A4735A"/>
    <w:rsid w:val="00A47371"/>
    <w:rsid w:val="00A473B3"/>
    <w:rsid w:val="00A473CB"/>
    <w:rsid w:val="00A473DE"/>
    <w:rsid w:val="00A473F4"/>
    <w:rsid w:val="00A47416"/>
    <w:rsid w:val="00A47427"/>
    <w:rsid w:val="00A474C1"/>
    <w:rsid w:val="00A474D9"/>
    <w:rsid w:val="00A474F4"/>
    <w:rsid w:val="00A474F8"/>
    <w:rsid w:val="00A4754E"/>
    <w:rsid w:val="00A4756E"/>
    <w:rsid w:val="00A4760F"/>
    <w:rsid w:val="00A47621"/>
    <w:rsid w:val="00A476C2"/>
    <w:rsid w:val="00A476C7"/>
    <w:rsid w:val="00A47752"/>
    <w:rsid w:val="00A47774"/>
    <w:rsid w:val="00A4778D"/>
    <w:rsid w:val="00A477EF"/>
    <w:rsid w:val="00A47818"/>
    <w:rsid w:val="00A47819"/>
    <w:rsid w:val="00A4786F"/>
    <w:rsid w:val="00A478AE"/>
    <w:rsid w:val="00A478C7"/>
    <w:rsid w:val="00A4795E"/>
    <w:rsid w:val="00A4799F"/>
    <w:rsid w:val="00A479A0"/>
    <w:rsid w:val="00A479A3"/>
    <w:rsid w:val="00A47A0B"/>
    <w:rsid w:val="00A47A23"/>
    <w:rsid w:val="00A47A7E"/>
    <w:rsid w:val="00A47AB7"/>
    <w:rsid w:val="00A47AE7"/>
    <w:rsid w:val="00A47B11"/>
    <w:rsid w:val="00A47BAA"/>
    <w:rsid w:val="00A47BB6"/>
    <w:rsid w:val="00A47C0A"/>
    <w:rsid w:val="00A47C16"/>
    <w:rsid w:val="00A47C2E"/>
    <w:rsid w:val="00A47C2F"/>
    <w:rsid w:val="00A47C35"/>
    <w:rsid w:val="00A47C7A"/>
    <w:rsid w:val="00A47CD8"/>
    <w:rsid w:val="00A47D17"/>
    <w:rsid w:val="00A47D31"/>
    <w:rsid w:val="00A47D52"/>
    <w:rsid w:val="00A47DC1"/>
    <w:rsid w:val="00A47E42"/>
    <w:rsid w:val="00A47E9D"/>
    <w:rsid w:val="00A47F8F"/>
    <w:rsid w:val="00A5002D"/>
    <w:rsid w:val="00A50053"/>
    <w:rsid w:val="00A5005C"/>
    <w:rsid w:val="00A50064"/>
    <w:rsid w:val="00A50090"/>
    <w:rsid w:val="00A500D6"/>
    <w:rsid w:val="00A50104"/>
    <w:rsid w:val="00A50126"/>
    <w:rsid w:val="00A50152"/>
    <w:rsid w:val="00A501B8"/>
    <w:rsid w:val="00A501E8"/>
    <w:rsid w:val="00A5020D"/>
    <w:rsid w:val="00A5021D"/>
    <w:rsid w:val="00A5026F"/>
    <w:rsid w:val="00A50273"/>
    <w:rsid w:val="00A5027B"/>
    <w:rsid w:val="00A502BA"/>
    <w:rsid w:val="00A50303"/>
    <w:rsid w:val="00A50460"/>
    <w:rsid w:val="00A50498"/>
    <w:rsid w:val="00A504B2"/>
    <w:rsid w:val="00A504C7"/>
    <w:rsid w:val="00A50504"/>
    <w:rsid w:val="00A5052B"/>
    <w:rsid w:val="00A50555"/>
    <w:rsid w:val="00A505D0"/>
    <w:rsid w:val="00A506CD"/>
    <w:rsid w:val="00A506EB"/>
    <w:rsid w:val="00A5078B"/>
    <w:rsid w:val="00A507AC"/>
    <w:rsid w:val="00A50830"/>
    <w:rsid w:val="00A50838"/>
    <w:rsid w:val="00A508AC"/>
    <w:rsid w:val="00A508C2"/>
    <w:rsid w:val="00A508C6"/>
    <w:rsid w:val="00A508D1"/>
    <w:rsid w:val="00A508EC"/>
    <w:rsid w:val="00A508F6"/>
    <w:rsid w:val="00A50903"/>
    <w:rsid w:val="00A5092E"/>
    <w:rsid w:val="00A50946"/>
    <w:rsid w:val="00A509D7"/>
    <w:rsid w:val="00A509DD"/>
    <w:rsid w:val="00A509DF"/>
    <w:rsid w:val="00A509F7"/>
    <w:rsid w:val="00A50A06"/>
    <w:rsid w:val="00A50A36"/>
    <w:rsid w:val="00A50A42"/>
    <w:rsid w:val="00A50A54"/>
    <w:rsid w:val="00A50A60"/>
    <w:rsid w:val="00A50AC3"/>
    <w:rsid w:val="00A50B63"/>
    <w:rsid w:val="00A50B72"/>
    <w:rsid w:val="00A50B78"/>
    <w:rsid w:val="00A50B88"/>
    <w:rsid w:val="00A50BAD"/>
    <w:rsid w:val="00A50BF3"/>
    <w:rsid w:val="00A50BFB"/>
    <w:rsid w:val="00A50C31"/>
    <w:rsid w:val="00A50CAD"/>
    <w:rsid w:val="00A50CAE"/>
    <w:rsid w:val="00A50D02"/>
    <w:rsid w:val="00A50D33"/>
    <w:rsid w:val="00A50D43"/>
    <w:rsid w:val="00A50DC6"/>
    <w:rsid w:val="00A50DC7"/>
    <w:rsid w:val="00A50DD9"/>
    <w:rsid w:val="00A50E04"/>
    <w:rsid w:val="00A50E46"/>
    <w:rsid w:val="00A50E92"/>
    <w:rsid w:val="00A50ED3"/>
    <w:rsid w:val="00A51059"/>
    <w:rsid w:val="00A510E7"/>
    <w:rsid w:val="00A510FA"/>
    <w:rsid w:val="00A5110D"/>
    <w:rsid w:val="00A51131"/>
    <w:rsid w:val="00A51154"/>
    <w:rsid w:val="00A51170"/>
    <w:rsid w:val="00A51199"/>
    <w:rsid w:val="00A511B1"/>
    <w:rsid w:val="00A511F0"/>
    <w:rsid w:val="00A511F1"/>
    <w:rsid w:val="00A511F7"/>
    <w:rsid w:val="00A51246"/>
    <w:rsid w:val="00A51270"/>
    <w:rsid w:val="00A51273"/>
    <w:rsid w:val="00A513A8"/>
    <w:rsid w:val="00A513CF"/>
    <w:rsid w:val="00A513E7"/>
    <w:rsid w:val="00A5141B"/>
    <w:rsid w:val="00A5141E"/>
    <w:rsid w:val="00A5152E"/>
    <w:rsid w:val="00A51547"/>
    <w:rsid w:val="00A51560"/>
    <w:rsid w:val="00A51599"/>
    <w:rsid w:val="00A515BF"/>
    <w:rsid w:val="00A51649"/>
    <w:rsid w:val="00A5168B"/>
    <w:rsid w:val="00A516B1"/>
    <w:rsid w:val="00A516C5"/>
    <w:rsid w:val="00A5171A"/>
    <w:rsid w:val="00A5175F"/>
    <w:rsid w:val="00A5179C"/>
    <w:rsid w:val="00A517CD"/>
    <w:rsid w:val="00A517E1"/>
    <w:rsid w:val="00A517EA"/>
    <w:rsid w:val="00A5183B"/>
    <w:rsid w:val="00A51840"/>
    <w:rsid w:val="00A518F5"/>
    <w:rsid w:val="00A51909"/>
    <w:rsid w:val="00A51942"/>
    <w:rsid w:val="00A51953"/>
    <w:rsid w:val="00A51973"/>
    <w:rsid w:val="00A51977"/>
    <w:rsid w:val="00A51986"/>
    <w:rsid w:val="00A51995"/>
    <w:rsid w:val="00A519C3"/>
    <w:rsid w:val="00A51A0B"/>
    <w:rsid w:val="00A51A25"/>
    <w:rsid w:val="00A51A36"/>
    <w:rsid w:val="00A51A5D"/>
    <w:rsid w:val="00A51AB5"/>
    <w:rsid w:val="00A51B66"/>
    <w:rsid w:val="00A51B9B"/>
    <w:rsid w:val="00A51BB4"/>
    <w:rsid w:val="00A51BFB"/>
    <w:rsid w:val="00A51CA7"/>
    <w:rsid w:val="00A51CD2"/>
    <w:rsid w:val="00A51D46"/>
    <w:rsid w:val="00A51D49"/>
    <w:rsid w:val="00A51D90"/>
    <w:rsid w:val="00A51DAB"/>
    <w:rsid w:val="00A51DEE"/>
    <w:rsid w:val="00A51EC6"/>
    <w:rsid w:val="00A51F50"/>
    <w:rsid w:val="00A51F5C"/>
    <w:rsid w:val="00A51FAB"/>
    <w:rsid w:val="00A51FB0"/>
    <w:rsid w:val="00A5200A"/>
    <w:rsid w:val="00A52031"/>
    <w:rsid w:val="00A5208E"/>
    <w:rsid w:val="00A520D5"/>
    <w:rsid w:val="00A5217F"/>
    <w:rsid w:val="00A5219E"/>
    <w:rsid w:val="00A521CD"/>
    <w:rsid w:val="00A521E3"/>
    <w:rsid w:val="00A5221F"/>
    <w:rsid w:val="00A5223C"/>
    <w:rsid w:val="00A52251"/>
    <w:rsid w:val="00A522E2"/>
    <w:rsid w:val="00A52344"/>
    <w:rsid w:val="00A523F8"/>
    <w:rsid w:val="00A5247A"/>
    <w:rsid w:val="00A524E6"/>
    <w:rsid w:val="00A524F5"/>
    <w:rsid w:val="00A5251E"/>
    <w:rsid w:val="00A5252A"/>
    <w:rsid w:val="00A52582"/>
    <w:rsid w:val="00A525A0"/>
    <w:rsid w:val="00A52686"/>
    <w:rsid w:val="00A52692"/>
    <w:rsid w:val="00A526B9"/>
    <w:rsid w:val="00A526E0"/>
    <w:rsid w:val="00A52704"/>
    <w:rsid w:val="00A52776"/>
    <w:rsid w:val="00A5278A"/>
    <w:rsid w:val="00A5279F"/>
    <w:rsid w:val="00A527C3"/>
    <w:rsid w:val="00A5282D"/>
    <w:rsid w:val="00A52859"/>
    <w:rsid w:val="00A52865"/>
    <w:rsid w:val="00A52877"/>
    <w:rsid w:val="00A5287B"/>
    <w:rsid w:val="00A528C4"/>
    <w:rsid w:val="00A5292F"/>
    <w:rsid w:val="00A52990"/>
    <w:rsid w:val="00A52B4D"/>
    <w:rsid w:val="00A52B9D"/>
    <w:rsid w:val="00A52BA9"/>
    <w:rsid w:val="00A52BD5"/>
    <w:rsid w:val="00A52C06"/>
    <w:rsid w:val="00A52C6A"/>
    <w:rsid w:val="00A52C9D"/>
    <w:rsid w:val="00A52D57"/>
    <w:rsid w:val="00A52DB9"/>
    <w:rsid w:val="00A52E59"/>
    <w:rsid w:val="00A52E77"/>
    <w:rsid w:val="00A52EF2"/>
    <w:rsid w:val="00A52F06"/>
    <w:rsid w:val="00A52FCE"/>
    <w:rsid w:val="00A53019"/>
    <w:rsid w:val="00A53062"/>
    <w:rsid w:val="00A53083"/>
    <w:rsid w:val="00A530F5"/>
    <w:rsid w:val="00A5317E"/>
    <w:rsid w:val="00A5318E"/>
    <w:rsid w:val="00A531A1"/>
    <w:rsid w:val="00A531E5"/>
    <w:rsid w:val="00A531E7"/>
    <w:rsid w:val="00A531F2"/>
    <w:rsid w:val="00A5320B"/>
    <w:rsid w:val="00A5322A"/>
    <w:rsid w:val="00A53258"/>
    <w:rsid w:val="00A5326C"/>
    <w:rsid w:val="00A53317"/>
    <w:rsid w:val="00A53346"/>
    <w:rsid w:val="00A53348"/>
    <w:rsid w:val="00A5334C"/>
    <w:rsid w:val="00A533BC"/>
    <w:rsid w:val="00A53405"/>
    <w:rsid w:val="00A53465"/>
    <w:rsid w:val="00A534AB"/>
    <w:rsid w:val="00A534B1"/>
    <w:rsid w:val="00A534B6"/>
    <w:rsid w:val="00A534CA"/>
    <w:rsid w:val="00A535B7"/>
    <w:rsid w:val="00A5360D"/>
    <w:rsid w:val="00A5365F"/>
    <w:rsid w:val="00A5366A"/>
    <w:rsid w:val="00A53673"/>
    <w:rsid w:val="00A536B2"/>
    <w:rsid w:val="00A536C8"/>
    <w:rsid w:val="00A536F1"/>
    <w:rsid w:val="00A53796"/>
    <w:rsid w:val="00A537D6"/>
    <w:rsid w:val="00A53856"/>
    <w:rsid w:val="00A538D4"/>
    <w:rsid w:val="00A5396F"/>
    <w:rsid w:val="00A539AB"/>
    <w:rsid w:val="00A539F8"/>
    <w:rsid w:val="00A53B4D"/>
    <w:rsid w:val="00A53B55"/>
    <w:rsid w:val="00A53B59"/>
    <w:rsid w:val="00A53BCB"/>
    <w:rsid w:val="00A53CB1"/>
    <w:rsid w:val="00A53CCA"/>
    <w:rsid w:val="00A53CD0"/>
    <w:rsid w:val="00A53D16"/>
    <w:rsid w:val="00A53DB7"/>
    <w:rsid w:val="00A53E34"/>
    <w:rsid w:val="00A53E46"/>
    <w:rsid w:val="00A53E75"/>
    <w:rsid w:val="00A53E87"/>
    <w:rsid w:val="00A53FCB"/>
    <w:rsid w:val="00A54064"/>
    <w:rsid w:val="00A54091"/>
    <w:rsid w:val="00A540B0"/>
    <w:rsid w:val="00A540B1"/>
    <w:rsid w:val="00A540DB"/>
    <w:rsid w:val="00A540E4"/>
    <w:rsid w:val="00A540F0"/>
    <w:rsid w:val="00A54105"/>
    <w:rsid w:val="00A541CC"/>
    <w:rsid w:val="00A541E1"/>
    <w:rsid w:val="00A54200"/>
    <w:rsid w:val="00A5420C"/>
    <w:rsid w:val="00A54214"/>
    <w:rsid w:val="00A54218"/>
    <w:rsid w:val="00A5422C"/>
    <w:rsid w:val="00A542BA"/>
    <w:rsid w:val="00A54302"/>
    <w:rsid w:val="00A54319"/>
    <w:rsid w:val="00A5432D"/>
    <w:rsid w:val="00A54349"/>
    <w:rsid w:val="00A54363"/>
    <w:rsid w:val="00A5438D"/>
    <w:rsid w:val="00A543A2"/>
    <w:rsid w:val="00A543BA"/>
    <w:rsid w:val="00A54418"/>
    <w:rsid w:val="00A54452"/>
    <w:rsid w:val="00A5449E"/>
    <w:rsid w:val="00A5453C"/>
    <w:rsid w:val="00A54545"/>
    <w:rsid w:val="00A54549"/>
    <w:rsid w:val="00A54561"/>
    <w:rsid w:val="00A54596"/>
    <w:rsid w:val="00A545C8"/>
    <w:rsid w:val="00A545E6"/>
    <w:rsid w:val="00A5460E"/>
    <w:rsid w:val="00A54623"/>
    <w:rsid w:val="00A54670"/>
    <w:rsid w:val="00A546EA"/>
    <w:rsid w:val="00A5474D"/>
    <w:rsid w:val="00A54821"/>
    <w:rsid w:val="00A5483F"/>
    <w:rsid w:val="00A54890"/>
    <w:rsid w:val="00A548A9"/>
    <w:rsid w:val="00A548B6"/>
    <w:rsid w:val="00A548E9"/>
    <w:rsid w:val="00A5494F"/>
    <w:rsid w:val="00A54978"/>
    <w:rsid w:val="00A54983"/>
    <w:rsid w:val="00A549BA"/>
    <w:rsid w:val="00A54A75"/>
    <w:rsid w:val="00A54A97"/>
    <w:rsid w:val="00A54ABF"/>
    <w:rsid w:val="00A54B2B"/>
    <w:rsid w:val="00A54B3F"/>
    <w:rsid w:val="00A54B70"/>
    <w:rsid w:val="00A54B9E"/>
    <w:rsid w:val="00A54BCA"/>
    <w:rsid w:val="00A54BFA"/>
    <w:rsid w:val="00A54BFE"/>
    <w:rsid w:val="00A54C34"/>
    <w:rsid w:val="00A54C9A"/>
    <w:rsid w:val="00A54CEA"/>
    <w:rsid w:val="00A54CFA"/>
    <w:rsid w:val="00A54D3E"/>
    <w:rsid w:val="00A54D46"/>
    <w:rsid w:val="00A54D4B"/>
    <w:rsid w:val="00A54D4F"/>
    <w:rsid w:val="00A54DAE"/>
    <w:rsid w:val="00A54DEE"/>
    <w:rsid w:val="00A54E19"/>
    <w:rsid w:val="00A54E35"/>
    <w:rsid w:val="00A54E58"/>
    <w:rsid w:val="00A54EEE"/>
    <w:rsid w:val="00A54F56"/>
    <w:rsid w:val="00A5505C"/>
    <w:rsid w:val="00A5508B"/>
    <w:rsid w:val="00A55121"/>
    <w:rsid w:val="00A5514F"/>
    <w:rsid w:val="00A551C9"/>
    <w:rsid w:val="00A551CF"/>
    <w:rsid w:val="00A5523A"/>
    <w:rsid w:val="00A552D6"/>
    <w:rsid w:val="00A552DD"/>
    <w:rsid w:val="00A552ED"/>
    <w:rsid w:val="00A55307"/>
    <w:rsid w:val="00A55361"/>
    <w:rsid w:val="00A55398"/>
    <w:rsid w:val="00A553C2"/>
    <w:rsid w:val="00A55438"/>
    <w:rsid w:val="00A5543A"/>
    <w:rsid w:val="00A55491"/>
    <w:rsid w:val="00A554A8"/>
    <w:rsid w:val="00A554F5"/>
    <w:rsid w:val="00A55525"/>
    <w:rsid w:val="00A55572"/>
    <w:rsid w:val="00A5557C"/>
    <w:rsid w:val="00A55608"/>
    <w:rsid w:val="00A5564B"/>
    <w:rsid w:val="00A55672"/>
    <w:rsid w:val="00A55679"/>
    <w:rsid w:val="00A556A1"/>
    <w:rsid w:val="00A556BF"/>
    <w:rsid w:val="00A556DC"/>
    <w:rsid w:val="00A55720"/>
    <w:rsid w:val="00A5575E"/>
    <w:rsid w:val="00A5576F"/>
    <w:rsid w:val="00A557C0"/>
    <w:rsid w:val="00A557CD"/>
    <w:rsid w:val="00A557DB"/>
    <w:rsid w:val="00A557DE"/>
    <w:rsid w:val="00A5583F"/>
    <w:rsid w:val="00A55840"/>
    <w:rsid w:val="00A55866"/>
    <w:rsid w:val="00A5587A"/>
    <w:rsid w:val="00A5587F"/>
    <w:rsid w:val="00A5598A"/>
    <w:rsid w:val="00A55A43"/>
    <w:rsid w:val="00A55A69"/>
    <w:rsid w:val="00A55A82"/>
    <w:rsid w:val="00A55A99"/>
    <w:rsid w:val="00A55ABE"/>
    <w:rsid w:val="00A55B0A"/>
    <w:rsid w:val="00A55B22"/>
    <w:rsid w:val="00A55B5B"/>
    <w:rsid w:val="00A55BB5"/>
    <w:rsid w:val="00A55C19"/>
    <w:rsid w:val="00A55C3B"/>
    <w:rsid w:val="00A55C4D"/>
    <w:rsid w:val="00A55C71"/>
    <w:rsid w:val="00A55D1D"/>
    <w:rsid w:val="00A55D6A"/>
    <w:rsid w:val="00A55DEF"/>
    <w:rsid w:val="00A55E05"/>
    <w:rsid w:val="00A55E1F"/>
    <w:rsid w:val="00A55EF2"/>
    <w:rsid w:val="00A55F33"/>
    <w:rsid w:val="00A55F47"/>
    <w:rsid w:val="00A55FFB"/>
    <w:rsid w:val="00A5602E"/>
    <w:rsid w:val="00A56037"/>
    <w:rsid w:val="00A56102"/>
    <w:rsid w:val="00A5616B"/>
    <w:rsid w:val="00A56243"/>
    <w:rsid w:val="00A5626E"/>
    <w:rsid w:val="00A562EE"/>
    <w:rsid w:val="00A56335"/>
    <w:rsid w:val="00A56341"/>
    <w:rsid w:val="00A56366"/>
    <w:rsid w:val="00A56379"/>
    <w:rsid w:val="00A5638E"/>
    <w:rsid w:val="00A5640B"/>
    <w:rsid w:val="00A564C3"/>
    <w:rsid w:val="00A564E5"/>
    <w:rsid w:val="00A565AC"/>
    <w:rsid w:val="00A5660B"/>
    <w:rsid w:val="00A5661F"/>
    <w:rsid w:val="00A56646"/>
    <w:rsid w:val="00A566AB"/>
    <w:rsid w:val="00A566C1"/>
    <w:rsid w:val="00A566C4"/>
    <w:rsid w:val="00A566F7"/>
    <w:rsid w:val="00A5674B"/>
    <w:rsid w:val="00A56792"/>
    <w:rsid w:val="00A567B2"/>
    <w:rsid w:val="00A567CB"/>
    <w:rsid w:val="00A5686B"/>
    <w:rsid w:val="00A5690E"/>
    <w:rsid w:val="00A5693D"/>
    <w:rsid w:val="00A56946"/>
    <w:rsid w:val="00A56994"/>
    <w:rsid w:val="00A569FD"/>
    <w:rsid w:val="00A56A69"/>
    <w:rsid w:val="00A56A6A"/>
    <w:rsid w:val="00A56A76"/>
    <w:rsid w:val="00A56AEC"/>
    <w:rsid w:val="00A56B0E"/>
    <w:rsid w:val="00A56B19"/>
    <w:rsid w:val="00A56B79"/>
    <w:rsid w:val="00A56B93"/>
    <w:rsid w:val="00A56BCC"/>
    <w:rsid w:val="00A56BCD"/>
    <w:rsid w:val="00A56C10"/>
    <w:rsid w:val="00A56C5A"/>
    <w:rsid w:val="00A56D0C"/>
    <w:rsid w:val="00A56D32"/>
    <w:rsid w:val="00A56D49"/>
    <w:rsid w:val="00A56DB6"/>
    <w:rsid w:val="00A56DED"/>
    <w:rsid w:val="00A56E43"/>
    <w:rsid w:val="00A56E5A"/>
    <w:rsid w:val="00A56E7C"/>
    <w:rsid w:val="00A56E94"/>
    <w:rsid w:val="00A56EDB"/>
    <w:rsid w:val="00A56F50"/>
    <w:rsid w:val="00A56FB4"/>
    <w:rsid w:val="00A56FC9"/>
    <w:rsid w:val="00A57019"/>
    <w:rsid w:val="00A5701C"/>
    <w:rsid w:val="00A57026"/>
    <w:rsid w:val="00A57035"/>
    <w:rsid w:val="00A5703E"/>
    <w:rsid w:val="00A5704F"/>
    <w:rsid w:val="00A57088"/>
    <w:rsid w:val="00A570A3"/>
    <w:rsid w:val="00A570C7"/>
    <w:rsid w:val="00A570D8"/>
    <w:rsid w:val="00A57200"/>
    <w:rsid w:val="00A57206"/>
    <w:rsid w:val="00A5720B"/>
    <w:rsid w:val="00A57229"/>
    <w:rsid w:val="00A57290"/>
    <w:rsid w:val="00A57364"/>
    <w:rsid w:val="00A57396"/>
    <w:rsid w:val="00A573CC"/>
    <w:rsid w:val="00A573D4"/>
    <w:rsid w:val="00A573ED"/>
    <w:rsid w:val="00A573FF"/>
    <w:rsid w:val="00A57429"/>
    <w:rsid w:val="00A57448"/>
    <w:rsid w:val="00A574FB"/>
    <w:rsid w:val="00A57522"/>
    <w:rsid w:val="00A575BC"/>
    <w:rsid w:val="00A57623"/>
    <w:rsid w:val="00A5769B"/>
    <w:rsid w:val="00A576C1"/>
    <w:rsid w:val="00A5774D"/>
    <w:rsid w:val="00A57761"/>
    <w:rsid w:val="00A577CF"/>
    <w:rsid w:val="00A577E5"/>
    <w:rsid w:val="00A577F0"/>
    <w:rsid w:val="00A577FD"/>
    <w:rsid w:val="00A5782E"/>
    <w:rsid w:val="00A57895"/>
    <w:rsid w:val="00A57993"/>
    <w:rsid w:val="00A57999"/>
    <w:rsid w:val="00A579CF"/>
    <w:rsid w:val="00A579E5"/>
    <w:rsid w:val="00A579E7"/>
    <w:rsid w:val="00A579EB"/>
    <w:rsid w:val="00A57A69"/>
    <w:rsid w:val="00A57A8B"/>
    <w:rsid w:val="00A57AED"/>
    <w:rsid w:val="00A57B22"/>
    <w:rsid w:val="00A57B39"/>
    <w:rsid w:val="00A57B5E"/>
    <w:rsid w:val="00A57B79"/>
    <w:rsid w:val="00A57BFC"/>
    <w:rsid w:val="00A57CD6"/>
    <w:rsid w:val="00A57CE8"/>
    <w:rsid w:val="00A57D64"/>
    <w:rsid w:val="00A57D7F"/>
    <w:rsid w:val="00A57DC5"/>
    <w:rsid w:val="00A57DCD"/>
    <w:rsid w:val="00A57E6F"/>
    <w:rsid w:val="00A57EBA"/>
    <w:rsid w:val="00A57ED1"/>
    <w:rsid w:val="00A57F81"/>
    <w:rsid w:val="00A57FBC"/>
    <w:rsid w:val="00A57FBE"/>
    <w:rsid w:val="00A57FCF"/>
    <w:rsid w:val="00A60041"/>
    <w:rsid w:val="00A60049"/>
    <w:rsid w:val="00A6006B"/>
    <w:rsid w:val="00A6007D"/>
    <w:rsid w:val="00A600B2"/>
    <w:rsid w:val="00A600DD"/>
    <w:rsid w:val="00A601CD"/>
    <w:rsid w:val="00A6027B"/>
    <w:rsid w:val="00A6028B"/>
    <w:rsid w:val="00A602A5"/>
    <w:rsid w:val="00A602CB"/>
    <w:rsid w:val="00A60325"/>
    <w:rsid w:val="00A60332"/>
    <w:rsid w:val="00A60362"/>
    <w:rsid w:val="00A603CF"/>
    <w:rsid w:val="00A60402"/>
    <w:rsid w:val="00A60445"/>
    <w:rsid w:val="00A6045B"/>
    <w:rsid w:val="00A604E3"/>
    <w:rsid w:val="00A60565"/>
    <w:rsid w:val="00A605AB"/>
    <w:rsid w:val="00A605BD"/>
    <w:rsid w:val="00A605F5"/>
    <w:rsid w:val="00A6061A"/>
    <w:rsid w:val="00A60639"/>
    <w:rsid w:val="00A60694"/>
    <w:rsid w:val="00A606A2"/>
    <w:rsid w:val="00A606AD"/>
    <w:rsid w:val="00A60720"/>
    <w:rsid w:val="00A6085C"/>
    <w:rsid w:val="00A6086E"/>
    <w:rsid w:val="00A6089B"/>
    <w:rsid w:val="00A608A2"/>
    <w:rsid w:val="00A608A3"/>
    <w:rsid w:val="00A608DD"/>
    <w:rsid w:val="00A608E2"/>
    <w:rsid w:val="00A609CD"/>
    <w:rsid w:val="00A60A09"/>
    <w:rsid w:val="00A60A1C"/>
    <w:rsid w:val="00A60A26"/>
    <w:rsid w:val="00A60A61"/>
    <w:rsid w:val="00A60A64"/>
    <w:rsid w:val="00A60ABB"/>
    <w:rsid w:val="00A60ABD"/>
    <w:rsid w:val="00A60B07"/>
    <w:rsid w:val="00A60B1F"/>
    <w:rsid w:val="00A60B60"/>
    <w:rsid w:val="00A60C49"/>
    <w:rsid w:val="00A60C50"/>
    <w:rsid w:val="00A60C95"/>
    <w:rsid w:val="00A60CAB"/>
    <w:rsid w:val="00A60CE8"/>
    <w:rsid w:val="00A60D4E"/>
    <w:rsid w:val="00A60E56"/>
    <w:rsid w:val="00A60E5B"/>
    <w:rsid w:val="00A60EC9"/>
    <w:rsid w:val="00A60EF7"/>
    <w:rsid w:val="00A60F08"/>
    <w:rsid w:val="00A60F1D"/>
    <w:rsid w:val="00A60F2A"/>
    <w:rsid w:val="00A60F6E"/>
    <w:rsid w:val="00A60F81"/>
    <w:rsid w:val="00A60FFB"/>
    <w:rsid w:val="00A61004"/>
    <w:rsid w:val="00A61012"/>
    <w:rsid w:val="00A61033"/>
    <w:rsid w:val="00A610BC"/>
    <w:rsid w:val="00A610E9"/>
    <w:rsid w:val="00A6114F"/>
    <w:rsid w:val="00A61153"/>
    <w:rsid w:val="00A611AA"/>
    <w:rsid w:val="00A611C2"/>
    <w:rsid w:val="00A611D7"/>
    <w:rsid w:val="00A61256"/>
    <w:rsid w:val="00A61262"/>
    <w:rsid w:val="00A612F9"/>
    <w:rsid w:val="00A6134D"/>
    <w:rsid w:val="00A61364"/>
    <w:rsid w:val="00A613AF"/>
    <w:rsid w:val="00A613B5"/>
    <w:rsid w:val="00A613BC"/>
    <w:rsid w:val="00A61467"/>
    <w:rsid w:val="00A6149F"/>
    <w:rsid w:val="00A614B8"/>
    <w:rsid w:val="00A61504"/>
    <w:rsid w:val="00A6155F"/>
    <w:rsid w:val="00A61580"/>
    <w:rsid w:val="00A6166A"/>
    <w:rsid w:val="00A61686"/>
    <w:rsid w:val="00A61688"/>
    <w:rsid w:val="00A61712"/>
    <w:rsid w:val="00A61734"/>
    <w:rsid w:val="00A617E3"/>
    <w:rsid w:val="00A61830"/>
    <w:rsid w:val="00A6186F"/>
    <w:rsid w:val="00A618B4"/>
    <w:rsid w:val="00A618FC"/>
    <w:rsid w:val="00A61911"/>
    <w:rsid w:val="00A61960"/>
    <w:rsid w:val="00A61996"/>
    <w:rsid w:val="00A61A3A"/>
    <w:rsid w:val="00A61A7C"/>
    <w:rsid w:val="00A61AD8"/>
    <w:rsid w:val="00A61B24"/>
    <w:rsid w:val="00A61B7F"/>
    <w:rsid w:val="00A61BF2"/>
    <w:rsid w:val="00A61BF3"/>
    <w:rsid w:val="00A61BFC"/>
    <w:rsid w:val="00A61CB5"/>
    <w:rsid w:val="00A61CE7"/>
    <w:rsid w:val="00A61D36"/>
    <w:rsid w:val="00A61D8F"/>
    <w:rsid w:val="00A61DF4"/>
    <w:rsid w:val="00A61E06"/>
    <w:rsid w:val="00A61E8C"/>
    <w:rsid w:val="00A61E9A"/>
    <w:rsid w:val="00A61ED6"/>
    <w:rsid w:val="00A61F1B"/>
    <w:rsid w:val="00A61F4D"/>
    <w:rsid w:val="00A61F57"/>
    <w:rsid w:val="00A61F99"/>
    <w:rsid w:val="00A61FF0"/>
    <w:rsid w:val="00A62037"/>
    <w:rsid w:val="00A62048"/>
    <w:rsid w:val="00A620D4"/>
    <w:rsid w:val="00A620D9"/>
    <w:rsid w:val="00A6210D"/>
    <w:rsid w:val="00A6217F"/>
    <w:rsid w:val="00A62253"/>
    <w:rsid w:val="00A6227F"/>
    <w:rsid w:val="00A6228F"/>
    <w:rsid w:val="00A6234B"/>
    <w:rsid w:val="00A62359"/>
    <w:rsid w:val="00A62368"/>
    <w:rsid w:val="00A62429"/>
    <w:rsid w:val="00A6242C"/>
    <w:rsid w:val="00A62467"/>
    <w:rsid w:val="00A62587"/>
    <w:rsid w:val="00A625A8"/>
    <w:rsid w:val="00A625DC"/>
    <w:rsid w:val="00A62618"/>
    <w:rsid w:val="00A626EB"/>
    <w:rsid w:val="00A6274F"/>
    <w:rsid w:val="00A6275A"/>
    <w:rsid w:val="00A627A4"/>
    <w:rsid w:val="00A627C0"/>
    <w:rsid w:val="00A627CC"/>
    <w:rsid w:val="00A62804"/>
    <w:rsid w:val="00A62817"/>
    <w:rsid w:val="00A62847"/>
    <w:rsid w:val="00A6284D"/>
    <w:rsid w:val="00A62858"/>
    <w:rsid w:val="00A6295F"/>
    <w:rsid w:val="00A629FF"/>
    <w:rsid w:val="00A62A20"/>
    <w:rsid w:val="00A62A93"/>
    <w:rsid w:val="00A62AB8"/>
    <w:rsid w:val="00A62AE5"/>
    <w:rsid w:val="00A62AED"/>
    <w:rsid w:val="00A62AFF"/>
    <w:rsid w:val="00A62B25"/>
    <w:rsid w:val="00A62BB5"/>
    <w:rsid w:val="00A62BD8"/>
    <w:rsid w:val="00A62C7F"/>
    <w:rsid w:val="00A62CA1"/>
    <w:rsid w:val="00A62CA5"/>
    <w:rsid w:val="00A62CD1"/>
    <w:rsid w:val="00A62DF1"/>
    <w:rsid w:val="00A62E35"/>
    <w:rsid w:val="00A62F10"/>
    <w:rsid w:val="00A62F46"/>
    <w:rsid w:val="00A62F4B"/>
    <w:rsid w:val="00A62F60"/>
    <w:rsid w:val="00A62F77"/>
    <w:rsid w:val="00A62FDB"/>
    <w:rsid w:val="00A63022"/>
    <w:rsid w:val="00A63029"/>
    <w:rsid w:val="00A63053"/>
    <w:rsid w:val="00A63075"/>
    <w:rsid w:val="00A630A4"/>
    <w:rsid w:val="00A630D6"/>
    <w:rsid w:val="00A630EF"/>
    <w:rsid w:val="00A63158"/>
    <w:rsid w:val="00A63159"/>
    <w:rsid w:val="00A6317D"/>
    <w:rsid w:val="00A6318C"/>
    <w:rsid w:val="00A631CA"/>
    <w:rsid w:val="00A631F7"/>
    <w:rsid w:val="00A63268"/>
    <w:rsid w:val="00A632E6"/>
    <w:rsid w:val="00A633B0"/>
    <w:rsid w:val="00A633BD"/>
    <w:rsid w:val="00A633CC"/>
    <w:rsid w:val="00A633D7"/>
    <w:rsid w:val="00A63409"/>
    <w:rsid w:val="00A63419"/>
    <w:rsid w:val="00A6343B"/>
    <w:rsid w:val="00A6343D"/>
    <w:rsid w:val="00A63488"/>
    <w:rsid w:val="00A634EE"/>
    <w:rsid w:val="00A634F4"/>
    <w:rsid w:val="00A635CF"/>
    <w:rsid w:val="00A63619"/>
    <w:rsid w:val="00A63625"/>
    <w:rsid w:val="00A63639"/>
    <w:rsid w:val="00A63644"/>
    <w:rsid w:val="00A63679"/>
    <w:rsid w:val="00A63691"/>
    <w:rsid w:val="00A6369A"/>
    <w:rsid w:val="00A636C3"/>
    <w:rsid w:val="00A63760"/>
    <w:rsid w:val="00A637A3"/>
    <w:rsid w:val="00A63808"/>
    <w:rsid w:val="00A63812"/>
    <w:rsid w:val="00A63963"/>
    <w:rsid w:val="00A63975"/>
    <w:rsid w:val="00A6399E"/>
    <w:rsid w:val="00A639BA"/>
    <w:rsid w:val="00A639DF"/>
    <w:rsid w:val="00A639E0"/>
    <w:rsid w:val="00A639FC"/>
    <w:rsid w:val="00A63A15"/>
    <w:rsid w:val="00A63A42"/>
    <w:rsid w:val="00A63AA4"/>
    <w:rsid w:val="00A63AAC"/>
    <w:rsid w:val="00A63B1F"/>
    <w:rsid w:val="00A63B64"/>
    <w:rsid w:val="00A63BB4"/>
    <w:rsid w:val="00A63BB7"/>
    <w:rsid w:val="00A63BE1"/>
    <w:rsid w:val="00A63BE3"/>
    <w:rsid w:val="00A63C1F"/>
    <w:rsid w:val="00A63C23"/>
    <w:rsid w:val="00A63D51"/>
    <w:rsid w:val="00A63DAA"/>
    <w:rsid w:val="00A63E0E"/>
    <w:rsid w:val="00A63E60"/>
    <w:rsid w:val="00A63E9A"/>
    <w:rsid w:val="00A63EA7"/>
    <w:rsid w:val="00A63EC3"/>
    <w:rsid w:val="00A63ED6"/>
    <w:rsid w:val="00A64020"/>
    <w:rsid w:val="00A64047"/>
    <w:rsid w:val="00A64081"/>
    <w:rsid w:val="00A6415F"/>
    <w:rsid w:val="00A6416B"/>
    <w:rsid w:val="00A641D6"/>
    <w:rsid w:val="00A64237"/>
    <w:rsid w:val="00A6424A"/>
    <w:rsid w:val="00A642C2"/>
    <w:rsid w:val="00A64348"/>
    <w:rsid w:val="00A643A0"/>
    <w:rsid w:val="00A643BC"/>
    <w:rsid w:val="00A643D0"/>
    <w:rsid w:val="00A643DB"/>
    <w:rsid w:val="00A644C1"/>
    <w:rsid w:val="00A64599"/>
    <w:rsid w:val="00A645A9"/>
    <w:rsid w:val="00A645BC"/>
    <w:rsid w:val="00A645CB"/>
    <w:rsid w:val="00A645CC"/>
    <w:rsid w:val="00A64643"/>
    <w:rsid w:val="00A6466F"/>
    <w:rsid w:val="00A646D0"/>
    <w:rsid w:val="00A6475F"/>
    <w:rsid w:val="00A6476F"/>
    <w:rsid w:val="00A64782"/>
    <w:rsid w:val="00A64791"/>
    <w:rsid w:val="00A6479D"/>
    <w:rsid w:val="00A647A0"/>
    <w:rsid w:val="00A647B4"/>
    <w:rsid w:val="00A64842"/>
    <w:rsid w:val="00A6488D"/>
    <w:rsid w:val="00A648C8"/>
    <w:rsid w:val="00A64909"/>
    <w:rsid w:val="00A6496E"/>
    <w:rsid w:val="00A649A8"/>
    <w:rsid w:val="00A649BF"/>
    <w:rsid w:val="00A64A29"/>
    <w:rsid w:val="00A64A3A"/>
    <w:rsid w:val="00A64A43"/>
    <w:rsid w:val="00A64ADA"/>
    <w:rsid w:val="00A64AED"/>
    <w:rsid w:val="00A64B53"/>
    <w:rsid w:val="00A64B62"/>
    <w:rsid w:val="00A64B9B"/>
    <w:rsid w:val="00A64BCE"/>
    <w:rsid w:val="00A64BD2"/>
    <w:rsid w:val="00A64BD4"/>
    <w:rsid w:val="00A64CEB"/>
    <w:rsid w:val="00A64D1E"/>
    <w:rsid w:val="00A64DC3"/>
    <w:rsid w:val="00A64DE5"/>
    <w:rsid w:val="00A64E86"/>
    <w:rsid w:val="00A64EE8"/>
    <w:rsid w:val="00A64F02"/>
    <w:rsid w:val="00A64F1D"/>
    <w:rsid w:val="00A64F28"/>
    <w:rsid w:val="00A65074"/>
    <w:rsid w:val="00A65089"/>
    <w:rsid w:val="00A65091"/>
    <w:rsid w:val="00A6509B"/>
    <w:rsid w:val="00A650A4"/>
    <w:rsid w:val="00A650C1"/>
    <w:rsid w:val="00A6526B"/>
    <w:rsid w:val="00A652D3"/>
    <w:rsid w:val="00A65304"/>
    <w:rsid w:val="00A6539A"/>
    <w:rsid w:val="00A653A6"/>
    <w:rsid w:val="00A654FD"/>
    <w:rsid w:val="00A65572"/>
    <w:rsid w:val="00A655A5"/>
    <w:rsid w:val="00A65638"/>
    <w:rsid w:val="00A6565E"/>
    <w:rsid w:val="00A65662"/>
    <w:rsid w:val="00A65695"/>
    <w:rsid w:val="00A65698"/>
    <w:rsid w:val="00A656A9"/>
    <w:rsid w:val="00A656B2"/>
    <w:rsid w:val="00A656F6"/>
    <w:rsid w:val="00A6572B"/>
    <w:rsid w:val="00A65746"/>
    <w:rsid w:val="00A6576D"/>
    <w:rsid w:val="00A6578C"/>
    <w:rsid w:val="00A657F8"/>
    <w:rsid w:val="00A6585D"/>
    <w:rsid w:val="00A6588A"/>
    <w:rsid w:val="00A658A4"/>
    <w:rsid w:val="00A658CB"/>
    <w:rsid w:val="00A65909"/>
    <w:rsid w:val="00A65948"/>
    <w:rsid w:val="00A6595B"/>
    <w:rsid w:val="00A6595E"/>
    <w:rsid w:val="00A659AB"/>
    <w:rsid w:val="00A659C1"/>
    <w:rsid w:val="00A659E6"/>
    <w:rsid w:val="00A659F4"/>
    <w:rsid w:val="00A659FB"/>
    <w:rsid w:val="00A65A00"/>
    <w:rsid w:val="00A65ABE"/>
    <w:rsid w:val="00A65AE2"/>
    <w:rsid w:val="00A65B06"/>
    <w:rsid w:val="00A65B39"/>
    <w:rsid w:val="00A65B44"/>
    <w:rsid w:val="00A65B4E"/>
    <w:rsid w:val="00A65B82"/>
    <w:rsid w:val="00A65BFA"/>
    <w:rsid w:val="00A65C11"/>
    <w:rsid w:val="00A65C12"/>
    <w:rsid w:val="00A65C30"/>
    <w:rsid w:val="00A65C49"/>
    <w:rsid w:val="00A65C85"/>
    <w:rsid w:val="00A65CA6"/>
    <w:rsid w:val="00A65CDB"/>
    <w:rsid w:val="00A65D0A"/>
    <w:rsid w:val="00A65D28"/>
    <w:rsid w:val="00A65DB1"/>
    <w:rsid w:val="00A65EB6"/>
    <w:rsid w:val="00A65EEE"/>
    <w:rsid w:val="00A65EFD"/>
    <w:rsid w:val="00A65F25"/>
    <w:rsid w:val="00A65FA3"/>
    <w:rsid w:val="00A65FD6"/>
    <w:rsid w:val="00A66049"/>
    <w:rsid w:val="00A6605C"/>
    <w:rsid w:val="00A6605F"/>
    <w:rsid w:val="00A66065"/>
    <w:rsid w:val="00A660E3"/>
    <w:rsid w:val="00A66109"/>
    <w:rsid w:val="00A66127"/>
    <w:rsid w:val="00A66136"/>
    <w:rsid w:val="00A6613F"/>
    <w:rsid w:val="00A66164"/>
    <w:rsid w:val="00A661B6"/>
    <w:rsid w:val="00A66215"/>
    <w:rsid w:val="00A662B9"/>
    <w:rsid w:val="00A662EE"/>
    <w:rsid w:val="00A6631E"/>
    <w:rsid w:val="00A66336"/>
    <w:rsid w:val="00A66374"/>
    <w:rsid w:val="00A6637A"/>
    <w:rsid w:val="00A663DC"/>
    <w:rsid w:val="00A663EF"/>
    <w:rsid w:val="00A664E3"/>
    <w:rsid w:val="00A664FA"/>
    <w:rsid w:val="00A66512"/>
    <w:rsid w:val="00A6651C"/>
    <w:rsid w:val="00A66547"/>
    <w:rsid w:val="00A665CD"/>
    <w:rsid w:val="00A665E3"/>
    <w:rsid w:val="00A66721"/>
    <w:rsid w:val="00A667BC"/>
    <w:rsid w:val="00A6690C"/>
    <w:rsid w:val="00A6690E"/>
    <w:rsid w:val="00A669C4"/>
    <w:rsid w:val="00A66A09"/>
    <w:rsid w:val="00A66A1C"/>
    <w:rsid w:val="00A66A9A"/>
    <w:rsid w:val="00A66ADD"/>
    <w:rsid w:val="00A66B40"/>
    <w:rsid w:val="00A66B8C"/>
    <w:rsid w:val="00A66B8D"/>
    <w:rsid w:val="00A66BDC"/>
    <w:rsid w:val="00A66BF2"/>
    <w:rsid w:val="00A66C62"/>
    <w:rsid w:val="00A66C6F"/>
    <w:rsid w:val="00A66C91"/>
    <w:rsid w:val="00A66CB1"/>
    <w:rsid w:val="00A66CBC"/>
    <w:rsid w:val="00A66CBE"/>
    <w:rsid w:val="00A66CBF"/>
    <w:rsid w:val="00A66DCF"/>
    <w:rsid w:val="00A66E43"/>
    <w:rsid w:val="00A66E73"/>
    <w:rsid w:val="00A66EBA"/>
    <w:rsid w:val="00A66EE1"/>
    <w:rsid w:val="00A66F55"/>
    <w:rsid w:val="00A66F81"/>
    <w:rsid w:val="00A66FE1"/>
    <w:rsid w:val="00A6707A"/>
    <w:rsid w:val="00A670B0"/>
    <w:rsid w:val="00A670F6"/>
    <w:rsid w:val="00A670FB"/>
    <w:rsid w:val="00A6715C"/>
    <w:rsid w:val="00A6718F"/>
    <w:rsid w:val="00A671D2"/>
    <w:rsid w:val="00A67226"/>
    <w:rsid w:val="00A6724A"/>
    <w:rsid w:val="00A672CF"/>
    <w:rsid w:val="00A673AD"/>
    <w:rsid w:val="00A673BE"/>
    <w:rsid w:val="00A673D3"/>
    <w:rsid w:val="00A67412"/>
    <w:rsid w:val="00A67449"/>
    <w:rsid w:val="00A67491"/>
    <w:rsid w:val="00A674C2"/>
    <w:rsid w:val="00A6754E"/>
    <w:rsid w:val="00A67582"/>
    <w:rsid w:val="00A6759F"/>
    <w:rsid w:val="00A675C9"/>
    <w:rsid w:val="00A67651"/>
    <w:rsid w:val="00A676C5"/>
    <w:rsid w:val="00A67781"/>
    <w:rsid w:val="00A67801"/>
    <w:rsid w:val="00A67852"/>
    <w:rsid w:val="00A67884"/>
    <w:rsid w:val="00A67886"/>
    <w:rsid w:val="00A678DE"/>
    <w:rsid w:val="00A6791A"/>
    <w:rsid w:val="00A6792D"/>
    <w:rsid w:val="00A67940"/>
    <w:rsid w:val="00A67969"/>
    <w:rsid w:val="00A679EF"/>
    <w:rsid w:val="00A67A2A"/>
    <w:rsid w:val="00A67A3A"/>
    <w:rsid w:val="00A67A48"/>
    <w:rsid w:val="00A67A59"/>
    <w:rsid w:val="00A67AA0"/>
    <w:rsid w:val="00A67AA5"/>
    <w:rsid w:val="00A67AE2"/>
    <w:rsid w:val="00A67AF7"/>
    <w:rsid w:val="00A67B1A"/>
    <w:rsid w:val="00A67B41"/>
    <w:rsid w:val="00A67B4B"/>
    <w:rsid w:val="00A67BAA"/>
    <w:rsid w:val="00A67BAE"/>
    <w:rsid w:val="00A67BBE"/>
    <w:rsid w:val="00A67BE2"/>
    <w:rsid w:val="00A67C0B"/>
    <w:rsid w:val="00A67C96"/>
    <w:rsid w:val="00A67CCC"/>
    <w:rsid w:val="00A67CCF"/>
    <w:rsid w:val="00A67D1A"/>
    <w:rsid w:val="00A67D6E"/>
    <w:rsid w:val="00A67DB5"/>
    <w:rsid w:val="00A67DC9"/>
    <w:rsid w:val="00A67E3B"/>
    <w:rsid w:val="00A67E54"/>
    <w:rsid w:val="00A67E88"/>
    <w:rsid w:val="00A67E8A"/>
    <w:rsid w:val="00A67EA8"/>
    <w:rsid w:val="00A67EAB"/>
    <w:rsid w:val="00A67EB6"/>
    <w:rsid w:val="00A67EDD"/>
    <w:rsid w:val="00A67EF7"/>
    <w:rsid w:val="00A67EFA"/>
    <w:rsid w:val="00A67F0E"/>
    <w:rsid w:val="00A67F19"/>
    <w:rsid w:val="00A67F53"/>
    <w:rsid w:val="00A67F5F"/>
    <w:rsid w:val="00A67FC9"/>
    <w:rsid w:val="00A70023"/>
    <w:rsid w:val="00A7009A"/>
    <w:rsid w:val="00A70122"/>
    <w:rsid w:val="00A70134"/>
    <w:rsid w:val="00A70138"/>
    <w:rsid w:val="00A70154"/>
    <w:rsid w:val="00A70181"/>
    <w:rsid w:val="00A70195"/>
    <w:rsid w:val="00A7025B"/>
    <w:rsid w:val="00A7026D"/>
    <w:rsid w:val="00A70284"/>
    <w:rsid w:val="00A702B6"/>
    <w:rsid w:val="00A702CD"/>
    <w:rsid w:val="00A70312"/>
    <w:rsid w:val="00A7037C"/>
    <w:rsid w:val="00A7038B"/>
    <w:rsid w:val="00A7038C"/>
    <w:rsid w:val="00A70434"/>
    <w:rsid w:val="00A704AE"/>
    <w:rsid w:val="00A704FE"/>
    <w:rsid w:val="00A704FF"/>
    <w:rsid w:val="00A7051D"/>
    <w:rsid w:val="00A70531"/>
    <w:rsid w:val="00A70564"/>
    <w:rsid w:val="00A705E6"/>
    <w:rsid w:val="00A705FF"/>
    <w:rsid w:val="00A7062C"/>
    <w:rsid w:val="00A70635"/>
    <w:rsid w:val="00A7066A"/>
    <w:rsid w:val="00A70734"/>
    <w:rsid w:val="00A7074B"/>
    <w:rsid w:val="00A70772"/>
    <w:rsid w:val="00A707BF"/>
    <w:rsid w:val="00A707F8"/>
    <w:rsid w:val="00A70893"/>
    <w:rsid w:val="00A70900"/>
    <w:rsid w:val="00A70965"/>
    <w:rsid w:val="00A7097B"/>
    <w:rsid w:val="00A709AA"/>
    <w:rsid w:val="00A709B5"/>
    <w:rsid w:val="00A709FD"/>
    <w:rsid w:val="00A70A9A"/>
    <w:rsid w:val="00A70AF5"/>
    <w:rsid w:val="00A70B4D"/>
    <w:rsid w:val="00A70B84"/>
    <w:rsid w:val="00A70B86"/>
    <w:rsid w:val="00A70C1C"/>
    <w:rsid w:val="00A70C2D"/>
    <w:rsid w:val="00A70C35"/>
    <w:rsid w:val="00A70C44"/>
    <w:rsid w:val="00A70C52"/>
    <w:rsid w:val="00A70C73"/>
    <w:rsid w:val="00A70C90"/>
    <w:rsid w:val="00A70C91"/>
    <w:rsid w:val="00A70CBE"/>
    <w:rsid w:val="00A70CC4"/>
    <w:rsid w:val="00A70CEF"/>
    <w:rsid w:val="00A70D1D"/>
    <w:rsid w:val="00A70D25"/>
    <w:rsid w:val="00A70D3C"/>
    <w:rsid w:val="00A70D42"/>
    <w:rsid w:val="00A70D58"/>
    <w:rsid w:val="00A70D5E"/>
    <w:rsid w:val="00A70D73"/>
    <w:rsid w:val="00A70E3A"/>
    <w:rsid w:val="00A70E6C"/>
    <w:rsid w:val="00A70E83"/>
    <w:rsid w:val="00A70EC6"/>
    <w:rsid w:val="00A70EC9"/>
    <w:rsid w:val="00A70F03"/>
    <w:rsid w:val="00A70F29"/>
    <w:rsid w:val="00A70F9C"/>
    <w:rsid w:val="00A70FBE"/>
    <w:rsid w:val="00A70FF2"/>
    <w:rsid w:val="00A7101E"/>
    <w:rsid w:val="00A71030"/>
    <w:rsid w:val="00A710CA"/>
    <w:rsid w:val="00A71113"/>
    <w:rsid w:val="00A711A4"/>
    <w:rsid w:val="00A711B5"/>
    <w:rsid w:val="00A711FD"/>
    <w:rsid w:val="00A71219"/>
    <w:rsid w:val="00A71314"/>
    <w:rsid w:val="00A71435"/>
    <w:rsid w:val="00A7143E"/>
    <w:rsid w:val="00A7145F"/>
    <w:rsid w:val="00A71470"/>
    <w:rsid w:val="00A7148F"/>
    <w:rsid w:val="00A714F9"/>
    <w:rsid w:val="00A715A1"/>
    <w:rsid w:val="00A715DE"/>
    <w:rsid w:val="00A7171C"/>
    <w:rsid w:val="00A7174D"/>
    <w:rsid w:val="00A717A1"/>
    <w:rsid w:val="00A717CD"/>
    <w:rsid w:val="00A717E6"/>
    <w:rsid w:val="00A717ED"/>
    <w:rsid w:val="00A71804"/>
    <w:rsid w:val="00A7183A"/>
    <w:rsid w:val="00A718AB"/>
    <w:rsid w:val="00A71909"/>
    <w:rsid w:val="00A71923"/>
    <w:rsid w:val="00A71956"/>
    <w:rsid w:val="00A71969"/>
    <w:rsid w:val="00A71985"/>
    <w:rsid w:val="00A719E2"/>
    <w:rsid w:val="00A71A62"/>
    <w:rsid w:val="00A71A99"/>
    <w:rsid w:val="00A71AD8"/>
    <w:rsid w:val="00A71AEA"/>
    <w:rsid w:val="00A71B56"/>
    <w:rsid w:val="00A71BAA"/>
    <w:rsid w:val="00A71DE2"/>
    <w:rsid w:val="00A71EC9"/>
    <w:rsid w:val="00A71EE0"/>
    <w:rsid w:val="00A72024"/>
    <w:rsid w:val="00A72042"/>
    <w:rsid w:val="00A7210A"/>
    <w:rsid w:val="00A72117"/>
    <w:rsid w:val="00A72127"/>
    <w:rsid w:val="00A72128"/>
    <w:rsid w:val="00A7212C"/>
    <w:rsid w:val="00A7213F"/>
    <w:rsid w:val="00A7219A"/>
    <w:rsid w:val="00A721EE"/>
    <w:rsid w:val="00A721EF"/>
    <w:rsid w:val="00A72224"/>
    <w:rsid w:val="00A72269"/>
    <w:rsid w:val="00A7226D"/>
    <w:rsid w:val="00A72270"/>
    <w:rsid w:val="00A72275"/>
    <w:rsid w:val="00A722AC"/>
    <w:rsid w:val="00A722B2"/>
    <w:rsid w:val="00A722BB"/>
    <w:rsid w:val="00A722DA"/>
    <w:rsid w:val="00A722F7"/>
    <w:rsid w:val="00A72335"/>
    <w:rsid w:val="00A72372"/>
    <w:rsid w:val="00A7238D"/>
    <w:rsid w:val="00A723B3"/>
    <w:rsid w:val="00A723DC"/>
    <w:rsid w:val="00A72407"/>
    <w:rsid w:val="00A72465"/>
    <w:rsid w:val="00A72486"/>
    <w:rsid w:val="00A724A5"/>
    <w:rsid w:val="00A72524"/>
    <w:rsid w:val="00A72542"/>
    <w:rsid w:val="00A725BA"/>
    <w:rsid w:val="00A7262B"/>
    <w:rsid w:val="00A72744"/>
    <w:rsid w:val="00A72770"/>
    <w:rsid w:val="00A727B0"/>
    <w:rsid w:val="00A727BF"/>
    <w:rsid w:val="00A728AB"/>
    <w:rsid w:val="00A728AF"/>
    <w:rsid w:val="00A728B1"/>
    <w:rsid w:val="00A72928"/>
    <w:rsid w:val="00A7292F"/>
    <w:rsid w:val="00A72959"/>
    <w:rsid w:val="00A72983"/>
    <w:rsid w:val="00A72A28"/>
    <w:rsid w:val="00A72A91"/>
    <w:rsid w:val="00A72A95"/>
    <w:rsid w:val="00A72AD4"/>
    <w:rsid w:val="00A72ADA"/>
    <w:rsid w:val="00A72B1E"/>
    <w:rsid w:val="00A72B27"/>
    <w:rsid w:val="00A72B5C"/>
    <w:rsid w:val="00A72C1D"/>
    <w:rsid w:val="00A72C76"/>
    <w:rsid w:val="00A72C9B"/>
    <w:rsid w:val="00A72CB1"/>
    <w:rsid w:val="00A72CF1"/>
    <w:rsid w:val="00A72D00"/>
    <w:rsid w:val="00A72D31"/>
    <w:rsid w:val="00A72D9A"/>
    <w:rsid w:val="00A72DA3"/>
    <w:rsid w:val="00A72E2F"/>
    <w:rsid w:val="00A72E70"/>
    <w:rsid w:val="00A72E92"/>
    <w:rsid w:val="00A72EC0"/>
    <w:rsid w:val="00A72F83"/>
    <w:rsid w:val="00A72F85"/>
    <w:rsid w:val="00A72FEF"/>
    <w:rsid w:val="00A73045"/>
    <w:rsid w:val="00A7304B"/>
    <w:rsid w:val="00A730D6"/>
    <w:rsid w:val="00A730FA"/>
    <w:rsid w:val="00A7319A"/>
    <w:rsid w:val="00A731B7"/>
    <w:rsid w:val="00A731E8"/>
    <w:rsid w:val="00A731F6"/>
    <w:rsid w:val="00A7323B"/>
    <w:rsid w:val="00A73313"/>
    <w:rsid w:val="00A73322"/>
    <w:rsid w:val="00A7332E"/>
    <w:rsid w:val="00A73384"/>
    <w:rsid w:val="00A733B1"/>
    <w:rsid w:val="00A733DA"/>
    <w:rsid w:val="00A7341F"/>
    <w:rsid w:val="00A7343E"/>
    <w:rsid w:val="00A73460"/>
    <w:rsid w:val="00A7350C"/>
    <w:rsid w:val="00A7350E"/>
    <w:rsid w:val="00A73517"/>
    <w:rsid w:val="00A73538"/>
    <w:rsid w:val="00A73569"/>
    <w:rsid w:val="00A7359E"/>
    <w:rsid w:val="00A7361D"/>
    <w:rsid w:val="00A73623"/>
    <w:rsid w:val="00A73662"/>
    <w:rsid w:val="00A73674"/>
    <w:rsid w:val="00A736DB"/>
    <w:rsid w:val="00A736ED"/>
    <w:rsid w:val="00A73772"/>
    <w:rsid w:val="00A7378B"/>
    <w:rsid w:val="00A737B4"/>
    <w:rsid w:val="00A737E0"/>
    <w:rsid w:val="00A7385C"/>
    <w:rsid w:val="00A7387E"/>
    <w:rsid w:val="00A738E1"/>
    <w:rsid w:val="00A738F7"/>
    <w:rsid w:val="00A739C6"/>
    <w:rsid w:val="00A73B4F"/>
    <w:rsid w:val="00A73C02"/>
    <w:rsid w:val="00A73C1C"/>
    <w:rsid w:val="00A73C58"/>
    <w:rsid w:val="00A73C5B"/>
    <w:rsid w:val="00A73D84"/>
    <w:rsid w:val="00A73DC5"/>
    <w:rsid w:val="00A73DD2"/>
    <w:rsid w:val="00A73E03"/>
    <w:rsid w:val="00A73E4D"/>
    <w:rsid w:val="00A73EBE"/>
    <w:rsid w:val="00A73F0B"/>
    <w:rsid w:val="00A73F5C"/>
    <w:rsid w:val="00A73F91"/>
    <w:rsid w:val="00A73F9D"/>
    <w:rsid w:val="00A73FA2"/>
    <w:rsid w:val="00A73FAD"/>
    <w:rsid w:val="00A73FFE"/>
    <w:rsid w:val="00A74006"/>
    <w:rsid w:val="00A74077"/>
    <w:rsid w:val="00A740AC"/>
    <w:rsid w:val="00A7410A"/>
    <w:rsid w:val="00A74172"/>
    <w:rsid w:val="00A741D5"/>
    <w:rsid w:val="00A7422D"/>
    <w:rsid w:val="00A7429F"/>
    <w:rsid w:val="00A742BB"/>
    <w:rsid w:val="00A742BC"/>
    <w:rsid w:val="00A742EB"/>
    <w:rsid w:val="00A742F2"/>
    <w:rsid w:val="00A7432A"/>
    <w:rsid w:val="00A743C8"/>
    <w:rsid w:val="00A743E5"/>
    <w:rsid w:val="00A74404"/>
    <w:rsid w:val="00A74408"/>
    <w:rsid w:val="00A74410"/>
    <w:rsid w:val="00A7441B"/>
    <w:rsid w:val="00A74422"/>
    <w:rsid w:val="00A74439"/>
    <w:rsid w:val="00A74474"/>
    <w:rsid w:val="00A744A2"/>
    <w:rsid w:val="00A74504"/>
    <w:rsid w:val="00A745AF"/>
    <w:rsid w:val="00A745CB"/>
    <w:rsid w:val="00A745F8"/>
    <w:rsid w:val="00A7463F"/>
    <w:rsid w:val="00A74666"/>
    <w:rsid w:val="00A7466A"/>
    <w:rsid w:val="00A7468C"/>
    <w:rsid w:val="00A74776"/>
    <w:rsid w:val="00A7477E"/>
    <w:rsid w:val="00A747AE"/>
    <w:rsid w:val="00A747D6"/>
    <w:rsid w:val="00A74849"/>
    <w:rsid w:val="00A74923"/>
    <w:rsid w:val="00A7493E"/>
    <w:rsid w:val="00A74945"/>
    <w:rsid w:val="00A7497C"/>
    <w:rsid w:val="00A749DD"/>
    <w:rsid w:val="00A74A0B"/>
    <w:rsid w:val="00A74A17"/>
    <w:rsid w:val="00A74A31"/>
    <w:rsid w:val="00A74A6E"/>
    <w:rsid w:val="00A74AB1"/>
    <w:rsid w:val="00A74AB3"/>
    <w:rsid w:val="00A74ABC"/>
    <w:rsid w:val="00A74AC6"/>
    <w:rsid w:val="00A74AD1"/>
    <w:rsid w:val="00A74B02"/>
    <w:rsid w:val="00A74B49"/>
    <w:rsid w:val="00A74B91"/>
    <w:rsid w:val="00A74B95"/>
    <w:rsid w:val="00A74C0A"/>
    <w:rsid w:val="00A74C70"/>
    <w:rsid w:val="00A74C8C"/>
    <w:rsid w:val="00A74CBB"/>
    <w:rsid w:val="00A74CC6"/>
    <w:rsid w:val="00A74D1D"/>
    <w:rsid w:val="00A74D28"/>
    <w:rsid w:val="00A74D63"/>
    <w:rsid w:val="00A74D88"/>
    <w:rsid w:val="00A74DB9"/>
    <w:rsid w:val="00A74DDD"/>
    <w:rsid w:val="00A74E36"/>
    <w:rsid w:val="00A74E48"/>
    <w:rsid w:val="00A74E80"/>
    <w:rsid w:val="00A74EA2"/>
    <w:rsid w:val="00A74ED2"/>
    <w:rsid w:val="00A74F1D"/>
    <w:rsid w:val="00A74F25"/>
    <w:rsid w:val="00A74F45"/>
    <w:rsid w:val="00A74F4C"/>
    <w:rsid w:val="00A74F6C"/>
    <w:rsid w:val="00A74F8B"/>
    <w:rsid w:val="00A74F8E"/>
    <w:rsid w:val="00A74FEA"/>
    <w:rsid w:val="00A75020"/>
    <w:rsid w:val="00A750BB"/>
    <w:rsid w:val="00A750FA"/>
    <w:rsid w:val="00A7514E"/>
    <w:rsid w:val="00A7518E"/>
    <w:rsid w:val="00A75347"/>
    <w:rsid w:val="00A7535E"/>
    <w:rsid w:val="00A75393"/>
    <w:rsid w:val="00A753F7"/>
    <w:rsid w:val="00A75416"/>
    <w:rsid w:val="00A75473"/>
    <w:rsid w:val="00A75535"/>
    <w:rsid w:val="00A755AA"/>
    <w:rsid w:val="00A75628"/>
    <w:rsid w:val="00A75644"/>
    <w:rsid w:val="00A75654"/>
    <w:rsid w:val="00A75676"/>
    <w:rsid w:val="00A756F4"/>
    <w:rsid w:val="00A75751"/>
    <w:rsid w:val="00A7577B"/>
    <w:rsid w:val="00A757AF"/>
    <w:rsid w:val="00A757B7"/>
    <w:rsid w:val="00A757CC"/>
    <w:rsid w:val="00A757D0"/>
    <w:rsid w:val="00A7580E"/>
    <w:rsid w:val="00A75885"/>
    <w:rsid w:val="00A758C2"/>
    <w:rsid w:val="00A7598F"/>
    <w:rsid w:val="00A759E8"/>
    <w:rsid w:val="00A75A02"/>
    <w:rsid w:val="00A75A21"/>
    <w:rsid w:val="00A75A2A"/>
    <w:rsid w:val="00A75A2D"/>
    <w:rsid w:val="00A75A3E"/>
    <w:rsid w:val="00A75A3F"/>
    <w:rsid w:val="00A75B1A"/>
    <w:rsid w:val="00A75BB0"/>
    <w:rsid w:val="00A75BD5"/>
    <w:rsid w:val="00A75C84"/>
    <w:rsid w:val="00A75C8F"/>
    <w:rsid w:val="00A75C93"/>
    <w:rsid w:val="00A75D16"/>
    <w:rsid w:val="00A75D1B"/>
    <w:rsid w:val="00A75DA5"/>
    <w:rsid w:val="00A75DAC"/>
    <w:rsid w:val="00A75E4A"/>
    <w:rsid w:val="00A75EC2"/>
    <w:rsid w:val="00A75EC7"/>
    <w:rsid w:val="00A75ED1"/>
    <w:rsid w:val="00A75EE0"/>
    <w:rsid w:val="00A75F0D"/>
    <w:rsid w:val="00A75F8F"/>
    <w:rsid w:val="00A75FAE"/>
    <w:rsid w:val="00A75FDE"/>
    <w:rsid w:val="00A76001"/>
    <w:rsid w:val="00A7604D"/>
    <w:rsid w:val="00A7609A"/>
    <w:rsid w:val="00A760D0"/>
    <w:rsid w:val="00A760EE"/>
    <w:rsid w:val="00A7619A"/>
    <w:rsid w:val="00A761B6"/>
    <w:rsid w:val="00A761F4"/>
    <w:rsid w:val="00A7623E"/>
    <w:rsid w:val="00A7624E"/>
    <w:rsid w:val="00A76255"/>
    <w:rsid w:val="00A76292"/>
    <w:rsid w:val="00A76316"/>
    <w:rsid w:val="00A76317"/>
    <w:rsid w:val="00A76327"/>
    <w:rsid w:val="00A76328"/>
    <w:rsid w:val="00A7638A"/>
    <w:rsid w:val="00A763E5"/>
    <w:rsid w:val="00A76408"/>
    <w:rsid w:val="00A76412"/>
    <w:rsid w:val="00A76455"/>
    <w:rsid w:val="00A76457"/>
    <w:rsid w:val="00A76461"/>
    <w:rsid w:val="00A7647F"/>
    <w:rsid w:val="00A76486"/>
    <w:rsid w:val="00A764E0"/>
    <w:rsid w:val="00A764F5"/>
    <w:rsid w:val="00A764F6"/>
    <w:rsid w:val="00A7652B"/>
    <w:rsid w:val="00A76533"/>
    <w:rsid w:val="00A76578"/>
    <w:rsid w:val="00A765E8"/>
    <w:rsid w:val="00A7660E"/>
    <w:rsid w:val="00A766A4"/>
    <w:rsid w:val="00A7671E"/>
    <w:rsid w:val="00A76752"/>
    <w:rsid w:val="00A76772"/>
    <w:rsid w:val="00A7682D"/>
    <w:rsid w:val="00A7687E"/>
    <w:rsid w:val="00A76892"/>
    <w:rsid w:val="00A768A1"/>
    <w:rsid w:val="00A76979"/>
    <w:rsid w:val="00A769AC"/>
    <w:rsid w:val="00A769E7"/>
    <w:rsid w:val="00A76A41"/>
    <w:rsid w:val="00A76A4F"/>
    <w:rsid w:val="00A76A5D"/>
    <w:rsid w:val="00A76AB1"/>
    <w:rsid w:val="00A76AFC"/>
    <w:rsid w:val="00A76B8C"/>
    <w:rsid w:val="00A76BB3"/>
    <w:rsid w:val="00A76C1F"/>
    <w:rsid w:val="00A76C3E"/>
    <w:rsid w:val="00A76CC8"/>
    <w:rsid w:val="00A76D15"/>
    <w:rsid w:val="00A76D52"/>
    <w:rsid w:val="00A76DCD"/>
    <w:rsid w:val="00A76DCF"/>
    <w:rsid w:val="00A76E34"/>
    <w:rsid w:val="00A76ECD"/>
    <w:rsid w:val="00A76F20"/>
    <w:rsid w:val="00A76F42"/>
    <w:rsid w:val="00A76F9D"/>
    <w:rsid w:val="00A76FD4"/>
    <w:rsid w:val="00A77081"/>
    <w:rsid w:val="00A77087"/>
    <w:rsid w:val="00A770CD"/>
    <w:rsid w:val="00A7713D"/>
    <w:rsid w:val="00A77227"/>
    <w:rsid w:val="00A77345"/>
    <w:rsid w:val="00A7734B"/>
    <w:rsid w:val="00A7736A"/>
    <w:rsid w:val="00A77386"/>
    <w:rsid w:val="00A77414"/>
    <w:rsid w:val="00A77416"/>
    <w:rsid w:val="00A77498"/>
    <w:rsid w:val="00A774AC"/>
    <w:rsid w:val="00A774C4"/>
    <w:rsid w:val="00A774CB"/>
    <w:rsid w:val="00A77548"/>
    <w:rsid w:val="00A775B9"/>
    <w:rsid w:val="00A77649"/>
    <w:rsid w:val="00A77664"/>
    <w:rsid w:val="00A77666"/>
    <w:rsid w:val="00A77696"/>
    <w:rsid w:val="00A776AC"/>
    <w:rsid w:val="00A7770A"/>
    <w:rsid w:val="00A7777B"/>
    <w:rsid w:val="00A77789"/>
    <w:rsid w:val="00A777B2"/>
    <w:rsid w:val="00A77885"/>
    <w:rsid w:val="00A778A8"/>
    <w:rsid w:val="00A778E4"/>
    <w:rsid w:val="00A77905"/>
    <w:rsid w:val="00A7796B"/>
    <w:rsid w:val="00A779CA"/>
    <w:rsid w:val="00A77B1F"/>
    <w:rsid w:val="00A77B6A"/>
    <w:rsid w:val="00A77BEB"/>
    <w:rsid w:val="00A77BFF"/>
    <w:rsid w:val="00A77C99"/>
    <w:rsid w:val="00A77CD4"/>
    <w:rsid w:val="00A77CF9"/>
    <w:rsid w:val="00A77D1C"/>
    <w:rsid w:val="00A77D55"/>
    <w:rsid w:val="00A77D76"/>
    <w:rsid w:val="00A77D9B"/>
    <w:rsid w:val="00A77DC5"/>
    <w:rsid w:val="00A77DF8"/>
    <w:rsid w:val="00A77E4C"/>
    <w:rsid w:val="00A77F1E"/>
    <w:rsid w:val="00A77F68"/>
    <w:rsid w:val="00A77F6D"/>
    <w:rsid w:val="00A77F8F"/>
    <w:rsid w:val="00A80007"/>
    <w:rsid w:val="00A8002B"/>
    <w:rsid w:val="00A8006A"/>
    <w:rsid w:val="00A800D3"/>
    <w:rsid w:val="00A800F9"/>
    <w:rsid w:val="00A80109"/>
    <w:rsid w:val="00A80115"/>
    <w:rsid w:val="00A80136"/>
    <w:rsid w:val="00A801B3"/>
    <w:rsid w:val="00A801B5"/>
    <w:rsid w:val="00A801EA"/>
    <w:rsid w:val="00A80271"/>
    <w:rsid w:val="00A80273"/>
    <w:rsid w:val="00A802EB"/>
    <w:rsid w:val="00A8031A"/>
    <w:rsid w:val="00A80369"/>
    <w:rsid w:val="00A803DF"/>
    <w:rsid w:val="00A803F7"/>
    <w:rsid w:val="00A80400"/>
    <w:rsid w:val="00A8046A"/>
    <w:rsid w:val="00A80475"/>
    <w:rsid w:val="00A80485"/>
    <w:rsid w:val="00A804A3"/>
    <w:rsid w:val="00A804B7"/>
    <w:rsid w:val="00A80569"/>
    <w:rsid w:val="00A8056A"/>
    <w:rsid w:val="00A80594"/>
    <w:rsid w:val="00A80633"/>
    <w:rsid w:val="00A80640"/>
    <w:rsid w:val="00A806DF"/>
    <w:rsid w:val="00A8073C"/>
    <w:rsid w:val="00A80752"/>
    <w:rsid w:val="00A80763"/>
    <w:rsid w:val="00A8076C"/>
    <w:rsid w:val="00A8079E"/>
    <w:rsid w:val="00A8079F"/>
    <w:rsid w:val="00A807B2"/>
    <w:rsid w:val="00A807EA"/>
    <w:rsid w:val="00A8081A"/>
    <w:rsid w:val="00A80820"/>
    <w:rsid w:val="00A80827"/>
    <w:rsid w:val="00A8082C"/>
    <w:rsid w:val="00A8085B"/>
    <w:rsid w:val="00A808D9"/>
    <w:rsid w:val="00A809C4"/>
    <w:rsid w:val="00A809DD"/>
    <w:rsid w:val="00A80A0A"/>
    <w:rsid w:val="00A80A19"/>
    <w:rsid w:val="00A80A65"/>
    <w:rsid w:val="00A80AAC"/>
    <w:rsid w:val="00A80B42"/>
    <w:rsid w:val="00A80B58"/>
    <w:rsid w:val="00A80B77"/>
    <w:rsid w:val="00A80C5D"/>
    <w:rsid w:val="00A80C72"/>
    <w:rsid w:val="00A80C7B"/>
    <w:rsid w:val="00A80D41"/>
    <w:rsid w:val="00A80D42"/>
    <w:rsid w:val="00A80D4D"/>
    <w:rsid w:val="00A80D53"/>
    <w:rsid w:val="00A80D59"/>
    <w:rsid w:val="00A80D5A"/>
    <w:rsid w:val="00A80D83"/>
    <w:rsid w:val="00A80D9E"/>
    <w:rsid w:val="00A80DD4"/>
    <w:rsid w:val="00A80DDC"/>
    <w:rsid w:val="00A80E9B"/>
    <w:rsid w:val="00A80EB9"/>
    <w:rsid w:val="00A80EF5"/>
    <w:rsid w:val="00A80F5E"/>
    <w:rsid w:val="00A80F77"/>
    <w:rsid w:val="00A80FA2"/>
    <w:rsid w:val="00A80FBC"/>
    <w:rsid w:val="00A810B4"/>
    <w:rsid w:val="00A810C8"/>
    <w:rsid w:val="00A81111"/>
    <w:rsid w:val="00A8116F"/>
    <w:rsid w:val="00A81176"/>
    <w:rsid w:val="00A81181"/>
    <w:rsid w:val="00A811C1"/>
    <w:rsid w:val="00A811E6"/>
    <w:rsid w:val="00A811F0"/>
    <w:rsid w:val="00A81231"/>
    <w:rsid w:val="00A81293"/>
    <w:rsid w:val="00A8129C"/>
    <w:rsid w:val="00A812A3"/>
    <w:rsid w:val="00A812A4"/>
    <w:rsid w:val="00A812B0"/>
    <w:rsid w:val="00A813FA"/>
    <w:rsid w:val="00A8141D"/>
    <w:rsid w:val="00A81473"/>
    <w:rsid w:val="00A814CA"/>
    <w:rsid w:val="00A814D7"/>
    <w:rsid w:val="00A81518"/>
    <w:rsid w:val="00A81542"/>
    <w:rsid w:val="00A8154F"/>
    <w:rsid w:val="00A81559"/>
    <w:rsid w:val="00A8155C"/>
    <w:rsid w:val="00A8157F"/>
    <w:rsid w:val="00A815E1"/>
    <w:rsid w:val="00A81622"/>
    <w:rsid w:val="00A8167C"/>
    <w:rsid w:val="00A81682"/>
    <w:rsid w:val="00A816B7"/>
    <w:rsid w:val="00A816F1"/>
    <w:rsid w:val="00A81744"/>
    <w:rsid w:val="00A81750"/>
    <w:rsid w:val="00A81790"/>
    <w:rsid w:val="00A817E5"/>
    <w:rsid w:val="00A81944"/>
    <w:rsid w:val="00A81965"/>
    <w:rsid w:val="00A819BD"/>
    <w:rsid w:val="00A819D8"/>
    <w:rsid w:val="00A81A61"/>
    <w:rsid w:val="00A81BA1"/>
    <w:rsid w:val="00A81BEA"/>
    <w:rsid w:val="00A81C34"/>
    <w:rsid w:val="00A81C66"/>
    <w:rsid w:val="00A81CA2"/>
    <w:rsid w:val="00A81CC7"/>
    <w:rsid w:val="00A81D47"/>
    <w:rsid w:val="00A81DC4"/>
    <w:rsid w:val="00A81E7F"/>
    <w:rsid w:val="00A81E92"/>
    <w:rsid w:val="00A81E94"/>
    <w:rsid w:val="00A81F35"/>
    <w:rsid w:val="00A81F8F"/>
    <w:rsid w:val="00A81F93"/>
    <w:rsid w:val="00A81FD1"/>
    <w:rsid w:val="00A81FE3"/>
    <w:rsid w:val="00A81FF7"/>
    <w:rsid w:val="00A82006"/>
    <w:rsid w:val="00A82057"/>
    <w:rsid w:val="00A820DC"/>
    <w:rsid w:val="00A820FE"/>
    <w:rsid w:val="00A82146"/>
    <w:rsid w:val="00A82217"/>
    <w:rsid w:val="00A82229"/>
    <w:rsid w:val="00A82231"/>
    <w:rsid w:val="00A82290"/>
    <w:rsid w:val="00A822A1"/>
    <w:rsid w:val="00A822AE"/>
    <w:rsid w:val="00A822C8"/>
    <w:rsid w:val="00A822D5"/>
    <w:rsid w:val="00A82326"/>
    <w:rsid w:val="00A8233F"/>
    <w:rsid w:val="00A8234F"/>
    <w:rsid w:val="00A82371"/>
    <w:rsid w:val="00A82392"/>
    <w:rsid w:val="00A823A4"/>
    <w:rsid w:val="00A823C4"/>
    <w:rsid w:val="00A823CF"/>
    <w:rsid w:val="00A823D0"/>
    <w:rsid w:val="00A823DE"/>
    <w:rsid w:val="00A823EF"/>
    <w:rsid w:val="00A8245A"/>
    <w:rsid w:val="00A8249E"/>
    <w:rsid w:val="00A824B4"/>
    <w:rsid w:val="00A824C9"/>
    <w:rsid w:val="00A824CB"/>
    <w:rsid w:val="00A82503"/>
    <w:rsid w:val="00A82619"/>
    <w:rsid w:val="00A82697"/>
    <w:rsid w:val="00A8269E"/>
    <w:rsid w:val="00A826CF"/>
    <w:rsid w:val="00A826F8"/>
    <w:rsid w:val="00A8272A"/>
    <w:rsid w:val="00A82762"/>
    <w:rsid w:val="00A82787"/>
    <w:rsid w:val="00A827A5"/>
    <w:rsid w:val="00A82866"/>
    <w:rsid w:val="00A82876"/>
    <w:rsid w:val="00A828D3"/>
    <w:rsid w:val="00A828F2"/>
    <w:rsid w:val="00A8293A"/>
    <w:rsid w:val="00A8296D"/>
    <w:rsid w:val="00A8298D"/>
    <w:rsid w:val="00A829A0"/>
    <w:rsid w:val="00A829A7"/>
    <w:rsid w:val="00A829B2"/>
    <w:rsid w:val="00A829C2"/>
    <w:rsid w:val="00A829D9"/>
    <w:rsid w:val="00A829DE"/>
    <w:rsid w:val="00A82A0B"/>
    <w:rsid w:val="00A82A58"/>
    <w:rsid w:val="00A82AD5"/>
    <w:rsid w:val="00A82AD8"/>
    <w:rsid w:val="00A82B13"/>
    <w:rsid w:val="00A82B87"/>
    <w:rsid w:val="00A82BE2"/>
    <w:rsid w:val="00A82BFB"/>
    <w:rsid w:val="00A82C20"/>
    <w:rsid w:val="00A82C70"/>
    <w:rsid w:val="00A82C8E"/>
    <w:rsid w:val="00A82CB1"/>
    <w:rsid w:val="00A82D1E"/>
    <w:rsid w:val="00A82D5C"/>
    <w:rsid w:val="00A82D69"/>
    <w:rsid w:val="00A82DD9"/>
    <w:rsid w:val="00A82F39"/>
    <w:rsid w:val="00A82FFA"/>
    <w:rsid w:val="00A830D8"/>
    <w:rsid w:val="00A83111"/>
    <w:rsid w:val="00A83121"/>
    <w:rsid w:val="00A8317F"/>
    <w:rsid w:val="00A831E2"/>
    <w:rsid w:val="00A832C5"/>
    <w:rsid w:val="00A832CD"/>
    <w:rsid w:val="00A83304"/>
    <w:rsid w:val="00A83342"/>
    <w:rsid w:val="00A83370"/>
    <w:rsid w:val="00A83386"/>
    <w:rsid w:val="00A83394"/>
    <w:rsid w:val="00A833A3"/>
    <w:rsid w:val="00A833BC"/>
    <w:rsid w:val="00A833E9"/>
    <w:rsid w:val="00A833EB"/>
    <w:rsid w:val="00A83445"/>
    <w:rsid w:val="00A8346D"/>
    <w:rsid w:val="00A83494"/>
    <w:rsid w:val="00A83538"/>
    <w:rsid w:val="00A8357D"/>
    <w:rsid w:val="00A835A5"/>
    <w:rsid w:val="00A835C6"/>
    <w:rsid w:val="00A835DD"/>
    <w:rsid w:val="00A83603"/>
    <w:rsid w:val="00A83621"/>
    <w:rsid w:val="00A83666"/>
    <w:rsid w:val="00A8366D"/>
    <w:rsid w:val="00A836B5"/>
    <w:rsid w:val="00A836B6"/>
    <w:rsid w:val="00A836CB"/>
    <w:rsid w:val="00A83719"/>
    <w:rsid w:val="00A8372E"/>
    <w:rsid w:val="00A83750"/>
    <w:rsid w:val="00A83755"/>
    <w:rsid w:val="00A83770"/>
    <w:rsid w:val="00A83788"/>
    <w:rsid w:val="00A837D5"/>
    <w:rsid w:val="00A837D8"/>
    <w:rsid w:val="00A8383C"/>
    <w:rsid w:val="00A83841"/>
    <w:rsid w:val="00A83893"/>
    <w:rsid w:val="00A838B4"/>
    <w:rsid w:val="00A83906"/>
    <w:rsid w:val="00A83953"/>
    <w:rsid w:val="00A83956"/>
    <w:rsid w:val="00A839B2"/>
    <w:rsid w:val="00A839CA"/>
    <w:rsid w:val="00A839E2"/>
    <w:rsid w:val="00A83A3A"/>
    <w:rsid w:val="00A83A80"/>
    <w:rsid w:val="00A83A8D"/>
    <w:rsid w:val="00A83A93"/>
    <w:rsid w:val="00A83B05"/>
    <w:rsid w:val="00A83B78"/>
    <w:rsid w:val="00A83BB8"/>
    <w:rsid w:val="00A83BF0"/>
    <w:rsid w:val="00A83BF1"/>
    <w:rsid w:val="00A83CD9"/>
    <w:rsid w:val="00A83D21"/>
    <w:rsid w:val="00A83D3A"/>
    <w:rsid w:val="00A83DD2"/>
    <w:rsid w:val="00A83DD7"/>
    <w:rsid w:val="00A83DDE"/>
    <w:rsid w:val="00A83E09"/>
    <w:rsid w:val="00A83E31"/>
    <w:rsid w:val="00A83E46"/>
    <w:rsid w:val="00A83E98"/>
    <w:rsid w:val="00A83F2E"/>
    <w:rsid w:val="00A83FAA"/>
    <w:rsid w:val="00A83FE0"/>
    <w:rsid w:val="00A8403B"/>
    <w:rsid w:val="00A8407A"/>
    <w:rsid w:val="00A840C0"/>
    <w:rsid w:val="00A84129"/>
    <w:rsid w:val="00A84135"/>
    <w:rsid w:val="00A841C3"/>
    <w:rsid w:val="00A841DA"/>
    <w:rsid w:val="00A84206"/>
    <w:rsid w:val="00A84211"/>
    <w:rsid w:val="00A84268"/>
    <w:rsid w:val="00A8427C"/>
    <w:rsid w:val="00A84302"/>
    <w:rsid w:val="00A84327"/>
    <w:rsid w:val="00A8432F"/>
    <w:rsid w:val="00A8433B"/>
    <w:rsid w:val="00A8438D"/>
    <w:rsid w:val="00A843A4"/>
    <w:rsid w:val="00A843C2"/>
    <w:rsid w:val="00A843EA"/>
    <w:rsid w:val="00A8444F"/>
    <w:rsid w:val="00A844D4"/>
    <w:rsid w:val="00A844E7"/>
    <w:rsid w:val="00A844F9"/>
    <w:rsid w:val="00A84500"/>
    <w:rsid w:val="00A8456E"/>
    <w:rsid w:val="00A84586"/>
    <w:rsid w:val="00A84597"/>
    <w:rsid w:val="00A84656"/>
    <w:rsid w:val="00A84662"/>
    <w:rsid w:val="00A846EC"/>
    <w:rsid w:val="00A846F7"/>
    <w:rsid w:val="00A846FA"/>
    <w:rsid w:val="00A84770"/>
    <w:rsid w:val="00A84801"/>
    <w:rsid w:val="00A848A2"/>
    <w:rsid w:val="00A84954"/>
    <w:rsid w:val="00A84988"/>
    <w:rsid w:val="00A849EC"/>
    <w:rsid w:val="00A84A38"/>
    <w:rsid w:val="00A84A39"/>
    <w:rsid w:val="00A84B1E"/>
    <w:rsid w:val="00A84B96"/>
    <w:rsid w:val="00A84BFE"/>
    <w:rsid w:val="00A84C05"/>
    <w:rsid w:val="00A84CA7"/>
    <w:rsid w:val="00A84CCA"/>
    <w:rsid w:val="00A84CCC"/>
    <w:rsid w:val="00A84D45"/>
    <w:rsid w:val="00A84D59"/>
    <w:rsid w:val="00A84DA1"/>
    <w:rsid w:val="00A84E33"/>
    <w:rsid w:val="00A84EA0"/>
    <w:rsid w:val="00A84F02"/>
    <w:rsid w:val="00A84F90"/>
    <w:rsid w:val="00A84FED"/>
    <w:rsid w:val="00A8502A"/>
    <w:rsid w:val="00A8509D"/>
    <w:rsid w:val="00A850DD"/>
    <w:rsid w:val="00A850DE"/>
    <w:rsid w:val="00A8510C"/>
    <w:rsid w:val="00A8511D"/>
    <w:rsid w:val="00A851A0"/>
    <w:rsid w:val="00A851AA"/>
    <w:rsid w:val="00A85201"/>
    <w:rsid w:val="00A8527C"/>
    <w:rsid w:val="00A8528A"/>
    <w:rsid w:val="00A852D0"/>
    <w:rsid w:val="00A8534E"/>
    <w:rsid w:val="00A853A2"/>
    <w:rsid w:val="00A853DA"/>
    <w:rsid w:val="00A853EC"/>
    <w:rsid w:val="00A853F6"/>
    <w:rsid w:val="00A85412"/>
    <w:rsid w:val="00A85446"/>
    <w:rsid w:val="00A85448"/>
    <w:rsid w:val="00A85485"/>
    <w:rsid w:val="00A8549E"/>
    <w:rsid w:val="00A854FD"/>
    <w:rsid w:val="00A85511"/>
    <w:rsid w:val="00A85513"/>
    <w:rsid w:val="00A8553A"/>
    <w:rsid w:val="00A85552"/>
    <w:rsid w:val="00A85573"/>
    <w:rsid w:val="00A85596"/>
    <w:rsid w:val="00A855E3"/>
    <w:rsid w:val="00A85647"/>
    <w:rsid w:val="00A85658"/>
    <w:rsid w:val="00A85678"/>
    <w:rsid w:val="00A856D1"/>
    <w:rsid w:val="00A85735"/>
    <w:rsid w:val="00A857B5"/>
    <w:rsid w:val="00A85862"/>
    <w:rsid w:val="00A85868"/>
    <w:rsid w:val="00A8589A"/>
    <w:rsid w:val="00A85993"/>
    <w:rsid w:val="00A859C7"/>
    <w:rsid w:val="00A859D9"/>
    <w:rsid w:val="00A85A1F"/>
    <w:rsid w:val="00A85A28"/>
    <w:rsid w:val="00A85A3E"/>
    <w:rsid w:val="00A85A4B"/>
    <w:rsid w:val="00A85AAB"/>
    <w:rsid w:val="00A85AC8"/>
    <w:rsid w:val="00A85AD5"/>
    <w:rsid w:val="00A85B11"/>
    <w:rsid w:val="00A85B85"/>
    <w:rsid w:val="00A85B91"/>
    <w:rsid w:val="00A85BC4"/>
    <w:rsid w:val="00A85C46"/>
    <w:rsid w:val="00A85C54"/>
    <w:rsid w:val="00A85C56"/>
    <w:rsid w:val="00A85C5D"/>
    <w:rsid w:val="00A85C65"/>
    <w:rsid w:val="00A85CCC"/>
    <w:rsid w:val="00A85CCE"/>
    <w:rsid w:val="00A85CD7"/>
    <w:rsid w:val="00A85CE1"/>
    <w:rsid w:val="00A85CEC"/>
    <w:rsid w:val="00A85CFC"/>
    <w:rsid w:val="00A85D21"/>
    <w:rsid w:val="00A85D3D"/>
    <w:rsid w:val="00A85D58"/>
    <w:rsid w:val="00A85DAE"/>
    <w:rsid w:val="00A85DC2"/>
    <w:rsid w:val="00A85DE8"/>
    <w:rsid w:val="00A85E15"/>
    <w:rsid w:val="00A85E7F"/>
    <w:rsid w:val="00A85E8A"/>
    <w:rsid w:val="00A85EA0"/>
    <w:rsid w:val="00A85EAA"/>
    <w:rsid w:val="00A85EAD"/>
    <w:rsid w:val="00A85F10"/>
    <w:rsid w:val="00A85F11"/>
    <w:rsid w:val="00A85F8A"/>
    <w:rsid w:val="00A85FFC"/>
    <w:rsid w:val="00A86011"/>
    <w:rsid w:val="00A86053"/>
    <w:rsid w:val="00A860A1"/>
    <w:rsid w:val="00A8611A"/>
    <w:rsid w:val="00A8622A"/>
    <w:rsid w:val="00A8626C"/>
    <w:rsid w:val="00A862C2"/>
    <w:rsid w:val="00A862CE"/>
    <w:rsid w:val="00A8630D"/>
    <w:rsid w:val="00A8632A"/>
    <w:rsid w:val="00A8636C"/>
    <w:rsid w:val="00A86547"/>
    <w:rsid w:val="00A86584"/>
    <w:rsid w:val="00A865DE"/>
    <w:rsid w:val="00A865F1"/>
    <w:rsid w:val="00A865FC"/>
    <w:rsid w:val="00A86614"/>
    <w:rsid w:val="00A86672"/>
    <w:rsid w:val="00A866EF"/>
    <w:rsid w:val="00A867A6"/>
    <w:rsid w:val="00A867AD"/>
    <w:rsid w:val="00A867F4"/>
    <w:rsid w:val="00A867F7"/>
    <w:rsid w:val="00A86816"/>
    <w:rsid w:val="00A86817"/>
    <w:rsid w:val="00A8681D"/>
    <w:rsid w:val="00A86831"/>
    <w:rsid w:val="00A86844"/>
    <w:rsid w:val="00A868B0"/>
    <w:rsid w:val="00A868F2"/>
    <w:rsid w:val="00A86922"/>
    <w:rsid w:val="00A86A43"/>
    <w:rsid w:val="00A86A74"/>
    <w:rsid w:val="00A86AA7"/>
    <w:rsid w:val="00A86AC0"/>
    <w:rsid w:val="00A86AC3"/>
    <w:rsid w:val="00A86AC7"/>
    <w:rsid w:val="00A86B6E"/>
    <w:rsid w:val="00A86B8E"/>
    <w:rsid w:val="00A86BBE"/>
    <w:rsid w:val="00A86BEB"/>
    <w:rsid w:val="00A86BF3"/>
    <w:rsid w:val="00A86BF9"/>
    <w:rsid w:val="00A86C13"/>
    <w:rsid w:val="00A86DCA"/>
    <w:rsid w:val="00A86DD6"/>
    <w:rsid w:val="00A86DE6"/>
    <w:rsid w:val="00A86DFD"/>
    <w:rsid w:val="00A86E24"/>
    <w:rsid w:val="00A86E41"/>
    <w:rsid w:val="00A86E60"/>
    <w:rsid w:val="00A86E9F"/>
    <w:rsid w:val="00A86EA2"/>
    <w:rsid w:val="00A86EBB"/>
    <w:rsid w:val="00A86F6E"/>
    <w:rsid w:val="00A86FED"/>
    <w:rsid w:val="00A87088"/>
    <w:rsid w:val="00A870CF"/>
    <w:rsid w:val="00A870EB"/>
    <w:rsid w:val="00A8710C"/>
    <w:rsid w:val="00A8716B"/>
    <w:rsid w:val="00A87187"/>
    <w:rsid w:val="00A8722D"/>
    <w:rsid w:val="00A87268"/>
    <w:rsid w:val="00A872A0"/>
    <w:rsid w:val="00A87317"/>
    <w:rsid w:val="00A8732A"/>
    <w:rsid w:val="00A8736A"/>
    <w:rsid w:val="00A87439"/>
    <w:rsid w:val="00A87488"/>
    <w:rsid w:val="00A874E4"/>
    <w:rsid w:val="00A87536"/>
    <w:rsid w:val="00A8753D"/>
    <w:rsid w:val="00A875F7"/>
    <w:rsid w:val="00A87609"/>
    <w:rsid w:val="00A87626"/>
    <w:rsid w:val="00A87628"/>
    <w:rsid w:val="00A87646"/>
    <w:rsid w:val="00A8765A"/>
    <w:rsid w:val="00A8767E"/>
    <w:rsid w:val="00A87690"/>
    <w:rsid w:val="00A876AF"/>
    <w:rsid w:val="00A8771A"/>
    <w:rsid w:val="00A8771B"/>
    <w:rsid w:val="00A8776D"/>
    <w:rsid w:val="00A87777"/>
    <w:rsid w:val="00A87792"/>
    <w:rsid w:val="00A878A5"/>
    <w:rsid w:val="00A878DB"/>
    <w:rsid w:val="00A87974"/>
    <w:rsid w:val="00A879F2"/>
    <w:rsid w:val="00A879F4"/>
    <w:rsid w:val="00A87A74"/>
    <w:rsid w:val="00A87A84"/>
    <w:rsid w:val="00A87AAF"/>
    <w:rsid w:val="00A87B21"/>
    <w:rsid w:val="00A87B42"/>
    <w:rsid w:val="00A87B47"/>
    <w:rsid w:val="00A87B4A"/>
    <w:rsid w:val="00A87BE0"/>
    <w:rsid w:val="00A87C0A"/>
    <w:rsid w:val="00A87C0E"/>
    <w:rsid w:val="00A87C2A"/>
    <w:rsid w:val="00A87C58"/>
    <w:rsid w:val="00A87C88"/>
    <w:rsid w:val="00A87CB4"/>
    <w:rsid w:val="00A87D0E"/>
    <w:rsid w:val="00A87D30"/>
    <w:rsid w:val="00A87DAE"/>
    <w:rsid w:val="00A87DC3"/>
    <w:rsid w:val="00A87DFD"/>
    <w:rsid w:val="00A87E2F"/>
    <w:rsid w:val="00A87EBB"/>
    <w:rsid w:val="00A87EFA"/>
    <w:rsid w:val="00A87F2E"/>
    <w:rsid w:val="00A87F69"/>
    <w:rsid w:val="00A87F6E"/>
    <w:rsid w:val="00A9002B"/>
    <w:rsid w:val="00A90045"/>
    <w:rsid w:val="00A90048"/>
    <w:rsid w:val="00A900BB"/>
    <w:rsid w:val="00A900D0"/>
    <w:rsid w:val="00A900D2"/>
    <w:rsid w:val="00A9011D"/>
    <w:rsid w:val="00A9015C"/>
    <w:rsid w:val="00A901A2"/>
    <w:rsid w:val="00A901A3"/>
    <w:rsid w:val="00A902B3"/>
    <w:rsid w:val="00A902DE"/>
    <w:rsid w:val="00A902F6"/>
    <w:rsid w:val="00A90346"/>
    <w:rsid w:val="00A9034B"/>
    <w:rsid w:val="00A903A7"/>
    <w:rsid w:val="00A903BE"/>
    <w:rsid w:val="00A90403"/>
    <w:rsid w:val="00A90480"/>
    <w:rsid w:val="00A9051C"/>
    <w:rsid w:val="00A905F2"/>
    <w:rsid w:val="00A90659"/>
    <w:rsid w:val="00A9066D"/>
    <w:rsid w:val="00A906C2"/>
    <w:rsid w:val="00A906CE"/>
    <w:rsid w:val="00A906DD"/>
    <w:rsid w:val="00A906EA"/>
    <w:rsid w:val="00A90764"/>
    <w:rsid w:val="00A9077F"/>
    <w:rsid w:val="00A90784"/>
    <w:rsid w:val="00A90799"/>
    <w:rsid w:val="00A907BD"/>
    <w:rsid w:val="00A907F2"/>
    <w:rsid w:val="00A907F9"/>
    <w:rsid w:val="00A9082C"/>
    <w:rsid w:val="00A90852"/>
    <w:rsid w:val="00A90861"/>
    <w:rsid w:val="00A908A4"/>
    <w:rsid w:val="00A908AC"/>
    <w:rsid w:val="00A908FA"/>
    <w:rsid w:val="00A90904"/>
    <w:rsid w:val="00A90926"/>
    <w:rsid w:val="00A9099A"/>
    <w:rsid w:val="00A90A0F"/>
    <w:rsid w:val="00A90AAA"/>
    <w:rsid w:val="00A90AB1"/>
    <w:rsid w:val="00A90B4A"/>
    <w:rsid w:val="00A90BA4"/>
    <w:rsid w:val="00A90BBA"/>
    <w:rsid w:val="00A90C42"/>
    <w:rsid w:val="00A90C62"/>
    <w:rsid w:val="00A90CDA"/>
    <w:rsid w:val="00A90D45"/>
    <w:rsid w:val="00A90DB7"/>
    <w:rsid w:val="00A90E79"/>
    <w:rsid w:val="00A90EB4"/>
    <w:rsid w:val="00A90ED4"/>
    <w:rsid w:val="00A90EDB"/>
    <w:rsid w:val="00A90EE9"/>
    <w:rsid w:val="00A90F32"/>
    <w:rsid w:val="00A90F33"/>
    <w:rsid w:val="00A90FA0"/>
    <w:rsid w:val="00A90FFD"/>
    <w:rsid w:val="00A9100D"/>
    <w:rsid w:val="00A910A0"/>
    <w:rsid w:val="00A910AE"/>
    <w:rsid w:val="00A91143"/>
    <w:rsid w:val="00A9114E"/>
    <w:rsid w:val="00A911D6"/>
    <w:rsid w:val="00A911EF"/>
    <w:rsid w:val="00A911F3"/>
    <w:rsid w:val="00A9121E"/>
    <w:rsid w:val="00A91250"/>
    <w:rsid w:val="00A912A1"/>
    <w:rsid w:val="00A912AE"/>
    <w:rsid w:val="00A9149F"/>
    <w:rsid w:val="00A914C2"/>
    <w:rsid w:val="00A91535"/>
    <w:rsid w:val="00A91593"/>
    <w:rsid w:val="00A91595"/>
    <w:rsid w:val="00A91606"/>
    <w:rsid w:val="00A9168D"/>
    <w:rsid w:val="00A916F9"/>
    <w:rsid w:val="00A91732"/>
    <w:rsid w:val="00A91782"/>
    <w:rsid w:val="00A9179E"/>
    <w:rsid w:val="00A917C3"/>
    <w:rsid w:val="00A9183F"/>
    <w:rsid w:val="00A91881"/>
    <w:rsid w:val="00A918A6"/>
    <w:rsid w:val="00A918CB"/>
    <w:rsid w:val="00A918ED"/>
    <w:rsid w:val="00A9190F"/>
    <w:rsid w:val="00A91926"/>
    <w:rsid w:val="00A9193D"/>
    <w:rsid w:val="00A91946"/>
    <w:rsid w:val="00A91954"/>
    <w:rsid w:val="00A91956"/>
    <w:rsid w:val="00A919DF"/>
    <w:rsid w:val="00A91A50"/>
    <w:rsid w:val="00A91AAC"/>
    <w:rsid w:val="00A91AB2"/>
    <w:rsid w:val="00A91ABF"/>
    <w:rsid w:val="00A91B15"/>
    <w:rsid w:val="00A91B57"/>
    <w:rsid w:val="00A91B96"/>
    <w:rsid w:val="00A91C12"/>
    <w:rsid w:val="00A91C2E"/>
    <w:rsid w:val="00A91C6E"/>
    <w:rsid w:val="00A91CC2"/>
    <w:rsid w:val="00A91CD4"/>
    <w:rsid w:val="00A91CD8"/>
    <w:rsid w:val="00A91CF7"/>
    <w:rsid w:val="00A91CFD"/>
    <w:rsid w:val="00A91D26"/>
    <w:rsid w:val="00A91D35"/>
    <w:rsid w:val="00A91D63"/>
    <w:rsid w:val="00A91D8E"/>
    <w:rsid w:val="00A91DB3"/>
    <w:rsid w:val="00A91DF7"/>
    <w:rsid w:val="00A91E57"/>
    <w:rsid w:val="00A91E65"/>
    <w:rsid w:val="00A91E77"/>
    <w:rsid w:val="00A91E80"/>
    <w:rsid w:val="00A91EB2"/>
    <w:rsid w:val="00A91ED8"/>
    <w:rsid w:val="00A91EFA"/>
    <w:rsid w:val="00A91F74"/>
    <w:rsid w:val="00A91F7E"/>
    <w:rsid w:val="00A91F87"/>
    <w:rsid w:val="00A91FB8"/>
    <w:rsid w:val="00A91FC5"/>
    <w:rsid w:val="00A920AF"/>
    <w:rsid w:val="00A920F7"/>
    <w:rsid w:val="00A92137"/>
    <w:rsid w:val="00A92139"/>
    <w:rsid w:val="00A9218F"/>
    <w:rsid w:val="00A921A4"/>
    <w:rsid w:val="00A921D3"/>
    <w:rsid w:val="00A9225C"/>
    <w:rsid w:val="00A922B6"/>
    <w:rsid w:val="00A922F9"/>
    <w:rsid w:val="00A9232D"/>
    <w:rsid w:val="00A92330"/>
    <w:rsid w:val="00A92361"/>
    <w:rsid w:val="00A92399"/>
    <w:rsid w:val="00A9239F"/>
    <w:rsid w:val="00A923ED"/>
    <w:rsid w:val="00A9241B"/>
    <w:rsid w:val="00A9243B"/>
    <w:rsid w:val="00A9246D"/>
    <w:rsid w:val="00A9248E"/>
    <w:rsid w:val="00A924BF"/>
    <w:rsid w:val="00A924E0"/>
    <w:rsid w:val="00A92547"/>
    <w:rsid w:val="00A92558"/>
    <w:rsid w:val="00A925AB"/>
    <w:rsid w:val="00A925EA"/>
    <w:rsid w:val="00A92619"/>
    <w:rsid w:val="00A9264B"/>
    <w:rsid w:val="00A92680"/>
    <w:rsid w:val="00A926B0"/>
    <w:rsid w:val="00A926BE"/>
    <w:rsid w:val="00A926C8"/>
    <w:rsid w:val="00A92718"/>
    <w:rsid w:val="00A927B1"/>
    <w:rsid w:val="00A927FA"/>
    <w:rsid w:val="00A92817"/>
    <w:rsid w:val="00A9290A"/>
    <w:rsid w:val="00A92998"/>
    <w:rsid w:val="00A929B9"/>
    <w:rsid w:val="00A929CA"/>
    <w:rsid w:val="00A92A52"/>
    <w:rsid w:val="00A92A8A"/>
    <w:rsid w:val="00A92AB9"/>
    <w:rsid w:val="00A92ACD"/>
    <w:rsid w:val="00A92AEC"/>
    <w:rsid w:val="00A92B00"/>
    <w:rsid w:val="00A92B6F"/>
    <w:rsid w:val="00A92B94"/>
    <w:rsid w:val="00A92BBF"/>
    <w:rsid w:val="00A92BC3"/>
    <w:rsid w:val="00A92BC8"/>
    <w:rsid w:val="00A92C88"/>
    <w:rsid w:val="00A92CA6"/>
    <w:rsid w:val="00A92CFC"/>
    <w:rsid w:val="00A92D0A"/>
    <w:rsid w:val="00A92D17"/>
    <w:rsid w:val="00A92D38"/>
    <w:rsid w:val="00A92D66"/>
    <w:rsid w:val="00A92D9B"/>
    <w:rsid w:val="00A92DAD"/>
    <w:rsid w:val="00A92DDC"/>
    <w:rsid w:val="00A92E79"/>
    <w:rsid w:val="00A92ED1"/>
    <w:rsid w:val="00A92F20"/>
    <w:rsid w:val="00A92F73"/>
    <w:rsid w:val="00A92FBD"/>
    <w:rsid w:val="00A9301F"/>
    <w:rsid w:val="00A9304D"/>
    <w:rsid w:val="00A93135"/>
    <w:rsid w:val="00A9316F"/>
    <w:rsid w:val="00A9318D"/>
    <w:rsid w:val="00A931B6"/>
    <w:rsid w:val="00A931C8"/>
    <w:rsid w:val="00A931E8"/>
    <w:rsid w:val="00A931FA"/>
    <w:rsid w:val="00A93223"/>
    <w:rsid w:val="00A93242"/>
    <w:rsid w:val="00A93249"/>
    <w:rsid w:val="00A93267"/>
    <w:rsid w:val="00A9326B"/>
    <w:rsid w:val="00A93270"/>
    <w:rsid w:val="00A932CB"/>
    <w:rsid w:val="00A9338E"/>
    <w:rsid w:val="00A933AB"/>
    <w:rsid w:val="00A933E7"/>
    <w:rsid w:val="00A9345B"/>
    <w:rsid w:val="00A9357A"/>
    <w:rsid w:val="00A9358B"/>
    <w:rsid w:val="00A9359F"/>
    <w:rsid w:val="00A93675"/>
    <w:rsid w:val="00A93679"/>
    <w:rsid w:val="00A936B2"/>
    <w:rsid w:val="00A93747"/>
    <w:rsid w:val="00A93770"/>
    <w:rsid w:val="00A93796"/>
    <w:rsid w:val="00A93836"/>
    <w:rsid w:val="00A93840"/>
    <w:rsid w:val="00A93859"/>
    <w:rsid w:val="00A93864"/>
    <w:rsid w:val="00A93894"/>
    <w:rsid w:val="00A938F2"/>
    <w:rsid w:val="00A938FB"/>
    <w:rsid w:val="00A93987"/>
    <w:rsid w:val="00A93A26"/>
    <w:rsid w:val="00A93AC1"/>
    <w:rsid w:val="00A93AC5"/>
    <w:rsid w:val="00A93ADF"/>
    <w:rsid w:val="00A93B10"/>
    <w:rsid w:val="00A93B1D"/>
    <w:rsid w:val="00A93B33"/>
    <w:rsid w:val="00A93B3E"/>
    <w:rsid w:val="00A93B81"/>
    <w:rsid w:val="00A93B9B"/>
    <w:rsid w:val="00A93BA7"/>
    <w:rsid w:val="00A93BF4"/>
    <w:rsid w:val="00A93C1F"/>
    <w:rsid w:val="00A93C8E"/>
    <w:rsid w:val="00A93CCA"/>
    <w:rsid w:val="00A93CCB"/>
    <w:rsid w:val="00A93CE0"/>
    <w:rsid w:val="00A93D1A"/>
    <w:rsid w:val="00A93D2A"/>
    <w:rsid w:val="00A93D51"/>
    <w:rsid w:val="00A93E07"/>
    <w:rsid w:val="00A93E1A"/>
    <w:rsid w:val="00A93E22"/>
    <w:rsid w:val="00A93E62"/>
    <w:rsid w:val="00A93F26"/>
    <w:rsid w:val="00A93F9A"/>
    <w:rsid w:val="00A93FB3"/>
    <w:rsid w:val="00A93FDB"/>
    <w:rsid w:val="00A93FFB"/>
    <w:rsid w:val="00A9401C"/>
    <w:rsid w:val="00A940DA"/>
    <w:rsid w:val="00A9411A"/>
    <w:rsid w:val="00A9416A"/>
    <w:rsid w:val="00A941F0"/>
    <w:rsid w:val="00A94208"/>
    <w:rsid w:val="00A942B8"/>
    <w:rsid w:val="00A942C6"/>
    <w:rsid w:val="00A9430C"/>
    <w:rsid w:val="00A94372"/>
    <w:rsid w:val="00A94378"/>
    <w:rsid w:val="00A94459"/>
    <w:rsid w:val="00A94516"/>
    <w:rsid w:val="00A9452E"/>
    <w:rsid w:val="00A94531"/>
    <w:rsid w:val="00A9454D"/>
    <w:rsid w:val="00A94566"/>
    <w:rsid w:val="00A9457E"/>
    <w:rsid w:val="00A9458E"/>
    <w:rsid w:val="00A945F8"/>
    <w:rsid w:val="00A94610"/>
    <w:rsid w:val="00A94622"/>
    <w:rsid w:val="00A94696"/>
    <w:rsid w:val="00A946DE"/>
    <w:rsid w:val="00A94741"/>
    <w:rsid w:val="00A94753"/>
    <w:rsid w:val="00A94766"/>
    <w:rsid w:val="00A947CD"/>
    <w:rsid w:val="00A9481B"/>
    <w:rsid w:val="00A9483A"/>
    <w:rsid w:val="00A948D9"/>
    <w:rsid w:val="00A9493A"/>
    <w:rsid w:val="00A94973"/>
    <w:rsid w:val="00A94992"/>
    <w:rsid w:val="00A949DB"/>
    <w:rsid w:val="00A949E3"/>
    <w:rsid w:val="00A94A11"/>
    <w:rsid w:val="00A94A33"/>
    <w:rsid w:val="00A94B77"/>
    <w:rsid w:val="00A94B7D"/>
    <w:rsid w:val="00A94C21"/>
    <w:rsid w:val="00A94C60"/>
    <w:rsid w:val="00A94C9B"/>
    <w:rsid w:val="00A94CAC"/>
    <w:rsid w:val="00A94CCA"/>
    <w:rsid w:val="00A94CCC"/>
    <w:rsid w:val="00A94CF9"/>
    <w:rsid w:val="00A94D15"/>
    <w:rsid w:val="00A94E1D"/>
    <w:rsid w:val="00A94E51"/>
    <w:rsid w:val="00A94E5C"/>
    <w:rsid w:val="00A94E82"/>
    <w:rsid w:val="00A94E87"/>
    <w:rsid w:val="00A94EC0"/>
    <w:rsid w:val="00A94F15"/>
    <w:rsid w:val="00A94FF6"/>
    <w:rsid w:val="00A95024"/>
    <w:rsid w:val="00A95029"/>
    <w:rsid w:val="00A9504F"/>
    <w:rsid w:val="00A9507C"/>
    <w:rsid w:val="00A950B8"/>
    <w:rsid w:val="00A95141"/>
    <w:rsid w:val="00A9516D"/>
    <w:rsid w:val="00A951A1"/>
    <w:rsid w:val="00A9524A"/>
    <w:rsid w:val="00A95253"/>
    <w:rsid w:val="00A9526C"/>
    <w:rsid w:val="00A952F0"/>
    <w:rsid w:val="00A953EB"/>
    <w:rsid w:val="00A95414"/>
    <w:rsid w:val="00A9543B"/>
    <w:rsid w:val="00A9546F"/>
    <w:rsid w:val="00A95474"/>
    <w:rsid w:val="00A954B2"/>
    <w:rsid w:val="00A954C1"/>
    <w:rsid w:val="00A9550A"/>
    <w:rsid w:val="00A95511"/>
    <w:rsid w:val="00A95548"/>
    <w:rsid w:val="00A95574"/>
    <w:rsid w:val="00A95584"/>
    <w:rsid w:val="00A95594"/>
    <w:rsid w:val="00A95647"/>
    <w:rsid w:val="00A95650"/>
    <w:rsid w:val="00A9566D"/>
    <w:rsid w:val="00A956B6"/>
    <w:rsid w:val="00A956BB"/>
    <w:rsid w:val="00A956C9"/>
    <w:rsid w:val="00A956F2"/>
    <w:rsid w:val="00A9579B"/>
    <w:rsid w:val="00A957E5"/>
    <w:rsid w:val="00A9582B"/>
    <w:rsid w:val="00A958AE"/>
    <w:rsid w:val="00A95952"/>
    <w:rsid w:val="00A95962"/>
    <w:rsid w:val="00A9596C"/>
    <w:rsid w:val="00A959AF"/>
    <w:rsid w:val="00A959D0"/>
    <w:rsid w:val="00A959F3"/>
    <w:rsid w:val="00A95A00"/>
    <w:rsid w:val="00A95A03"/>
    <w:rsid w:val="00A95A26"/>
    <w:rsid w:val="00A95A32"/>
    <w:rsid w:val="00A95A8F"/>
    <w:rsid w:val="00A95A99"/>
    <w:rsid w:val="00A95A9F"/>
    <w:rsid w:val="00A95AAD"/>
    <w:rsid w:val="00A95AB3"/>
    <w:rsid w:val="00A95ACD"/>
    <w:rsid w:val="00A95ACE"/>
    <w:rsid w:val="00A95AFD"/>
    <w:rsid w:val="00A95B0D"/>
    <w:rsid w:val="00A95B22"/>
    <w:rsid w:val="00A95B2E"/>
    <w:rsid w:val="00A95BE3"/>
    <w:rsid w:val="00A95C4A"/>
    <w:rsid w:val="00A95C5D"/>
    <w:rsid w:val="00A95C68"/>
    <w:rsid w:val="00A95CD7"/>
    <w:rsid w:val="00A95D3D"/>
    <w:rsid w:val="00A95D74"/>
    <w:rsid w:val="00A95DA1"/>
    <w:rsid w:val="00A95DC0"/>
    <w:rsid w:val="00A95E46"/>
    <w:rsid w:val="00A95E69"/>
    <w:rsid w:val="00A95E71"/>
    <w:rsid w:val="00A95E74"/>
    <w:rsid w:val="00A95E9A"/>
    <w:rsid w:val="00A95EAF"/>
    <w:rsid w:val="00A95EDC"/>
    <w:rsid w:val="00A95EF0"/>
    <w:rsid w:val="00A95F3B"/>
    <w:rsid w:val="00A95F5D"/>
    <w:rsid w:val="00A95F6A"/>
    <w:rsid w:val="00A95FCD"/>
    <w:rsid w:val="00A96009"/>
    <w:rsid w:val="00A9606D"/>
    <w:rsid w:val="00A960F9"/>
    <w:rsid w:val="00A96111"/>
    <w:rsid w:val="00A96121"/>
    <w:rsid w:val="00A9613B"/>
    <w:rsid w:val="00A96163"/>
    <w:rsid w:val="00A961EF"/>
    <w:rsid w:val="00A9621E"/>
    <w:rsid w:val="00A96262"/>
    <w:rsid w:val="00A962EC"/>
    <w:rsid w:val="00A96303"/>
    <w:rsid w:val="00A96308"/>
    <w:rsid w:val="00A96312"/>
    <w:rsid w:val="00A963B1"/>
    <w:rsid w:val="00A9643A"/>
    <w:rsid w:val="00A964B7"/>
    <w:rsid w:val="00A964B9"/>
    <w:rsid w:val="00A96533"/>
    <w:rsid w:val="00A96622"/>
    <w:rsid w:val="00A966D2"/>
    <w:rsid w:val="00A966D9"/>
    <w:rsid w:val="00A966FC"/>
    <w:rsid w:val="00A9670D"/>
    <w:rsid w:val="00A967F9"/>
    <w:rsid w:val="00A9680F"/>
    <w:rsid w:val="00A9697E"/>
    <w:rsid w:val="00A9697F"/>
    <w:rsid w:val="00A96984"/>
    <w:rsid w:val="00A9699E"/>
    <w:rsid w:val="00A969AF"/>
    <w:rsid w:val="00A969CE"/>
    <w:rsid w:val="00A96A10"/>
    <w:rsid w:val="00A96A6F"/>
    <w:rsid w:val="00A96A7A"/>
    <w:rsid w:val="00A96A91"/>
    <w:rsid w:val="00A96ABE"/>
    <w:rsid w:val="00A96B05"/>
    <w:rsid w:val="00A96B18"/>
    <w:rsid w:val="00A96B5B"/>
    <w:rsid w:val="00A96BB9"/>
    <w:rsid w:val="00A96C71"/>
    <w:rsid w:val="00A96C9A"/>
    <w:rsid w:val="00A96CF9"/>
    <w:rsid w:val="00A96D2D"/>
    <w:rsid w:val="00A96D3B"/>
    <w:rsid w:val="00A96D61"/>
    <w:rsid w:val="00A96DE4"/>
    <w:rsid w:val="00A96E16"/>
    <w:rsid w:val="00A96E7C"/>
    <w:rsid w:val="00A96E94"/>
    <w:rsid w:val="00A96EA9"/>
    <w:rsid w:val="00A96F4F"/>
    <w:rsid w:val="00A96FA5"/>
    <w:rsid w:val="00A96FED"/>
    <w:rsid w:val="00A97014"/>
    <w:rsid w:val="00A970A3"/>
    <w:rsid w:val="00A9714A"/>
    <w:rsid w:val="00A97164"/>
    <w:rsid w:val="00A9719B"/>
    <w:rsid w:val="00A971AA"/>
    <w:rsid w:val="00A971AC"/>
    <w:rsid w:val="00A971C0"/>
    <w:rsid w:val="00A97216"/>
    <w:rsid w:val="00A9721C"/>
    <w:rsid w:val="00A97287"/>
    <w:rsid w:val="00A97386"/>
    <w:rsid w:val="00A973BC"/>
    <w:rsid w:val="00A9740D"/>
    <w:rsid w:val="00A9741C"/>
    <w:rsid w:val="00A97420"/>
    <w:rsid w:val="00A974A0"/>
    <w:rsid w:val="00A974BE"/>
    <w:rsid w:val="00A974FB"/>
    <w:rsid w:val="00A9750B"/>
    <w:rsid w:val="00A9756B"/>
    <w:rsid w:val="00A975BF"/>
    <w:rsid w:val="00A975F0"/>
    <w:rsid w:val="00A976BE"/>
    <w:rsid w:val="00A97713"/>
    <w:rsid w:val="00A97794"/>
    <w:rsid w:val="00A977B4"/>
    <w:rsid w:val="00A977B9"/>
    <w:rsid w:val="00A977F5"/>
    <w:rsid w:val="00A97845"/>
    <w:rsid w:val="00A978A0"/>
    <w:rsid w:val="00A978CE"/>
    <w:rsid w:val="00A978CF"/>
    <w:rsid w:val="00A978F9"/>
    <w:rsid w:val="00A9793B"/>
    <w:rsid w:val="00A97949"/>
    <w:rsid w:val="00A9794E"/>
    <w:rsid w:val="00A9798E"/>
    <w:rsid w:val="00A979D2"/>
    <w:rsid w:val="00A97A07"/>
    <w:rsid w:val="00A97A2A"/>
    <w:rsid w:val="00A97B9A"/>
    <w:rsid w:val="00A97BBB"/>
    <w:rsid w:val="00A97C72"/>
    <w:rsid w:val="00A97C76"/>
    <w:rsid w:val="00A97D21"/>
    <w:rsid w:val="00A97D4F"/>
    <w:rsid w:val="00A97D97"/>
    <w:rsid w:val="00A97DC0"/>
    <w:rsid w:val="00A97DFE"/>
    <w:rsid w:val="00A97E21"/>
    <w:rsid w:val="00A97E52"/>
    <w:rsid w:val="00A97EAD"/>
    <w:rsid w:val="00A97EBF"/>
    <w:rsid w:val="00A97EE2"/>
    <w:rsid w:val="00A97EE7"/>
    <w:rsid w:val="00A97F4F"/>
    <w:rsid w:val="00A97F9E"/>
    <w:rsid w:val="00A97FA9"/>
    <w:rsid w:val="00A97FD8"/>
    <w:rsid w:val="00AA0059"/>
    <w:rsid w:val="00AA006D"/>
    <w:rsid w:val="00AA0087"/>
    <w:rsid w:val="00AA00AA"/>
    <w:rsid w:val="00AA00F3"/>
    <w:rsid w:val="00AA011B"/>
    <w:rsid w:val="00AA0198"/>
    <w:rsid w:val="00AA01F0"/>
    <w:rsid w:val="00AA0202"/>
    <w:rsid w:val="00AA0258"/>
    <w:rsid w:val="00AA025C"/>
    <w:rsid w:val="00AA02A7"/>
    <w:rsid w:val="00AA02FA"/>
    <w:rsid w:val="00AA0302"/>
    <w:rsid w:val="00AA032B"/>
    <w:rsid w:val="00AA0369"/>
    <w:rsid w:val="00AA036C"/>
    <w:rsid w:val="00AA036F"/>
    <w:rsid w:val="00AA037C"/>
    <w:rsid w:val="00AA038D"/>
    <w:rsid w:val="00AA03B0"/>
    <w:rsid w:val="00AA03B8"/>
    <w:rsid w:val="00AA03E7"/>
    <w:rsid w:val="00AA0468"/>
    <w:rsid w:val="00AA047A"/>
    <w:rsid w:val="00AA04E7"/>
    <w:rsid w:val="00AA0532"/>
    <w:rsid w:val="00AA055A"/>
    <w:rsid w:val="00AA0577"/>
    <w:rsid w:val="00AA059C"/>
    <w:rsid w:val="00AA05DE"/>
    <w:rsid w:val="00AA0616"/>
    <w:rsid w:val="00AA063F"/>
    <w:rsid w:val="00AA068C"/>
    <w:rsid w:val="00AA06AB"/>
    <w:rsid w:val="00AA06BE"/>
    <w:rsid w:val="00AA0720"/>
    <w:rsid w:val="00AA089F"/>
    <w:rsid w:val="00AA08C2"/>
    <w:rsid w:val="00AA0904"/>
    <w:rsid w:val="00AA0968"/>
    <w:rsid w:val="00AA09B2"/>
    <w:rsid w:val="00AA09CD"/>
    <w:rsid w:val="00AA09E7"/>
    <w:rsid w:val="00AA09FA"/>
    <w:rsid w:val="00AA0A12"/>
    <w:rsid w:val="00AA0AC6"/>
    <w:rsid w:val="00AA0AEA"/>
    <w:rsid w:val="00AA0B4C"/>
    <w:rsid w:val="00AA0B62"/>
    <w:rsid w:val="00AA0B74"/>
    <w:rsid w:val="00AA0C08"/>
    <w:rsid w:val="00AA0C58"/>
    <w:rsid w:val="00AA0C8D"/>
    <w:rsid w:val="00AA0CBF"/>
    <w:rsid w:val="00AA0CC4"/>
    <w:rsid w:val="00AA0CEB"/>
    <w:rsid w:val="00AA0D23"/>
    <w:rsid w:val="00AA0D6E"/>
    <w:rsid w:val="00AA0D7C"/>
    <w:rsid w:val="00AA0DBE"/>
    <w:rsid w:val="00AA0E53"/>
    <w:rsid w:val="00AA0E94"/>
    <w:rsid w:val="00AA0EE9"/>
    <w:rsid w:val="00AA0F91"/>
    <w:rsid w:val="00AA0FDB"/>
    <w:rsid w:val="00AA1018"/>
    <w:rsid w:val="00AA1024"/>
    <w:rsid w:val="00AA1045"/>
    <w:rsid w:val="00AA105B"/>
    <w:rsid w:val="00AA10A5"/>
    <w:rsid w:val="00AA10DA"/>
    <w:rsid w:val="00AA10EA"/>
    <w:rsid w:val="00AA10F5"/>
    <w:rsid w:val="00AA111F"/>
    <w:rsid w:val="00AA117C"/>
    <w:rsid w:val="00AA11A1"/>
    <w:rsid w:val="00AA11CF"/>
    <w:rsid w:val="00AA11EF"/>
    <w:rsid w:val="00AA1292"/>
    <w:rsid w:val="00AA1303"/>
    <w:rsid w:val="00AA132D"/>
    <w:rsid w:val="00AA132E"/>
    <w:rsid w:val="00AA13DF"/>
    <w:rsid w:val="00AA13FF"/>
    <w:rsid w:val="00AA14BB"/>
    <w:rsid w:val="00AA14E5"/>
    <w:rsid w:val="00AA1554"/>
    <w:rsid w:val="00AA1571"/>
    <w:rsid w:val="00AA1596"/>
    <w:rsid w:val="00AA15B1"/>
    <w:rsid w:val="00AA15F2"/>
    <w:rsid w:val="00AA1600"/>
    <w:rsid w:val="00AA16A3"/>
    <w:rsid w:val="00AA171C"/>
    <w:rsid w:val="00AA1745"/>
    <w:rsid w:val="00AA1795"/>
    <w:rsid w:val="00AA1863"/>
    <w:rsid w:val="00AA18F9"/>
    <w:rsid w:val="00AA1911"/>
    <w:rsid w:val="00AA1947"/>
    <w:rsid w:val="00AA1986"/>
    <w:rsid w:val="00AA1987"/>
    <w:rsid w:val="00AA199E"/>
    <w:rsid w:val="00AA19EC"/>
    <w:rsid w:val="00AA1A1A"/>
    <w:rsid w:val="00AA1A3A"/>
    <w:rsid w:val="00AA1A99"/>
    <w:rsid w:val="00AA1AEA"/>
    <w:rsid w:val="00AA1B2C"/>
    <w:rsid w:val="00AA1B39"/>
    <w:rsid w:val="00AA1B82"/>
    <w:rsid w:val="00AA1B9C"/>
    <w:rsid w:val="00AA1C2A"/>
    <w:rsid w:val="00AA1C85"/>
    <w:rsid w:val="00AA1C9E"/>
    <w:rsid w:val="00AA1D27"/>
    <w:rsid w:val="00AA1D2D"/>
    <w:rsid w:val="00AA1D89"/>
    <w:rsid w:val="00AA1DD6"/>
    <w:rsid w:val="00AA1DD8"/>
    <w:rsid w:val="00AA1DF9"/>
    <w:rsid w:val="00AA1E4E"/>
    <w:rsid w:val="00AA1ECC"/>
    <w:rsid w:val="00AA1EDE"/>
    <w:rsid w:val="00AA1EF7"/>
    <w:rsid w:val="00AA1F6D"/>
    <w:rsid w:val="00AA1F98"/>
    <w:rsid w:val="00AA201E"/>
    <w:rsid w:val="00AA205D"/>
    <w:rsid w:val="00AA20BB"/>
    <w:rsid w:val="00AA20D7"/>
    <w:rsid w:val="00AA2120"/>
    <w:rsid w:val="00AA21EC"/>
    <w:rsid w:val="00AA2216"/>
    <w:rsid w:val="00AA2226"/>
    <w:rsid w:val="00AA224B"/>
    <w:rsid w:val="00AA227F"/>
    <w:rsid w:val="00AA229D"/>
    <w:rsid w:val="00AA22E1"/>
    <w:rsid w:val="00AA2325"/>
    <w:rsid w:val="00AA235D"/>
    <w:rsid w:val="00AA242A"/>
    <w:rsid w:val="00AA24B2"/>
    <w:rsid w:val="00AA253B"/>
    <w:rsid w:val="00AA2568"/>
    <w:rsid w:val="00AA2598"/>
    <w:rsid w:val="00AA25DA"/>
    <w:rsid w:val="00AA2624"/>
    <w:rsid w:val="00AA265F"/>
    <w:rsid w:val="00AA26D0"/>
    <w:rsid w:val="00AA26DD"/>
    <w:rsid w:val="00AA2707"/>
    <w:rsid w:val="00AA2738"/>
    <w:rsid w:val="00AA2812"/>
    <w:rsid w:val="00AA2898"/>
    <w:rsid w:val="00AA28BE"/>
    <w:rsid w:val="00AA2932"/>
    <w:rsid w:val="00AA29F0"/>
    <w:rsid w:val="00AA29F1"/>
    <w:rsid w:val="00AA2A03"/>
    <w:rsid w:val="00AA2A0A"/>
    <w:rsid w:val="00AA2A0C"/>
    <w:rsid w:val="00AA2A4F"/>
    <w:rsid w:val="00AA2A76"/>
    <w:rsid w:val="00AA2BC8"/>
    <w:rsid w:val="00AA2C04"/>
    <w:rsid w:val="00AA2C3F"/>
    <w:rsid w:val="00AA2C81"/>
    <w:rsid w:val="00AA2D5F"/>
    <w:rsid w:val="00AA2D7A"/>
    <w:rsid w:val="00AA2DB3"/>
    <w:rsid w:val="00AA2DC9"/>
    <w:rsid w:val="00AA2E04"/>
    <w:rsid w:val="00AA2E63"/>
    <w:rsid w:val="00AA2EB2"/>
    <w:rsid w:val="00AA2F27"/>
    <w:rsid w:val="00AA2F6B"/>
    <w:rsid w:val="00AA2FA9"/>
    <w:rsid w:val="00AA2FC2"/>
    <w:rsid w:val="00AA2FC5"/>
    <w:rsid w:val="00AA3045"/>
    <w:rsid w:val="00AA3099"/>
    <w:rsid w:val="00AA309E"/>
    <w:rsid w:val="00AA30B8"/>
    <w:rsid w:val="00AA3155"/>
    <w:rsid w:val="00AA318A"/>
    <w:rsid w:val="00AA3205"/>
    <w:rsid w:val="00AA3227"/>
    <w:rsid w:val="00AA327A"/>
    <w:rsid w:val="00AA3283"/>
    <w:rsid w:val="00AA32B7"/>
    <w:rsid w:val="00AA32B9"/>
    <w:rsid w:val="00AA32EC"/>
    <w:rsid w:val="00AA3357"/>
    <w:rsid w:val="00AA337A"/>
    <w:rsid w:val="00AA33B1"/>
    <w:rsid w:val="00AA342E"/>
    <w:rsid w:val="00AA3449"/>
    <w:rsid w:val="00AA34CA"/>
    <w:rsid w:val="00AA34E7"/>
    <w:rsid w:val="00AA3543"/>
    <w:rsid w:val="00AA3571"/>
    <w:rsid w:val="00AA358F"/>
    <w:rsid w:val="00AA35F3"/>
    <w:rsid w:val="00AA35F6"/>
    <w:rsid w:val="00AA360F"/>
    <w:rsid w:val="00AA3610"/>
    <w:rsid w:val="00AA362E"/>
    <w:rsid w:val="00AA3684"/>
    <w:rsid w:val="00AA36A6"/>
    <w:rsid w:val="00AA36D9"/>
    <w:rsid w:val="00AA36EC"/>
    <w:rsid w:val="00AA372E"/>
    <w:rsid w:val="00AA3735"/>
    <w:rsid w:val="00AA3755"/>
    <w:rsid w:val="00AA37A2"/>
    <w:rsid w:val="00AA37C0"/>
    <w:rsid w:val="00AA37FB"/>
    <w:rsid w:val="00AA3800"/>
    <w:rsid w:val="00AA38C0"/>
    <w:rsid w:val="00AA398A"/>
    <w:rsid w:val="00AA39DD"/>
    <w:rsid w:val="00AA3A0F"/>
    <w:rsid w:val="00AA3A2F"/>
    <w:rsid w:val="00AA3A74"/>
    <w:rsid w:val="00AA3A9D"/>
    <w:rsid w:val="00AA3B5F"/>
    <w:rsid w:val="00AA3BA3"/>
    <w:rsid w:val="00AA3BE2"/>
    <w:rsid w:val="00AA3C09"/>
    <w:rsid w:val="00AA3C14"/>
    <w:rsid w:val="00AA3C31"/>
    <w:rsid w:val="00AA3C64"/>
    <w:rsid w:val="00AA3C89"/>
    <w:rsid w:val="00AA3D25"/>
    <w:rsid w:val="00AA3DDF"/>
    <w:rsid w:val="00AA3DEC"/>
    <w:rsid w:val="00AA3E37"/>
    <w:rsid w:val="00AA3F1E"/>
    <w:rsid w:val="00AA3F27"/>
    <w:rsid w:val="00AA3FCA"/>
    <w:rsid w:val="00AA3FD8"/>
    <w:rsid w:val="00AA409F"/>
    <w:rsid w:val="00AA40A0"/>
    <w:rsid w:val="00AA40BE"/>
    <w:rsid w:val="00AA4158"/>
    <w:rsid w:val="00AA415B"/>
    <w:rsid w:val="00AA418F"/>
    <w:rsid w:val="00AA41AE"/>
    <w:rsid w:val="00AA420A"/>
    <w:rsid w:val="00AA422B"/>
    <w:rsid w:val="00AA425F"/>
    <w:rsid w:val="00AA42C0"/>
    <w:rsid w:val="00AA42E3"/>
    <w:rsid w:val="00AA4303"/>
    <w:rsid w:val="00AA4313"/>
    <w:rsid w:val="00AA431E"/>
    <w:rsid w:val="00AA433C"/>
    <w:rsid w:val="00AA4350"/>
    <w:rsid w:val="00AA43A6"/>
    <w:rsid w:val="00AA445D"/>
    <w:rsid w:val="00AA446B"/>
    <w:rsid w:val="00AA44D1"/>
    <w:rsid w:val="00AA44E1"/>
    <w:rsid w:val="00AA44FE"/>
    <w:rsid w:val="00AA4512"/>
    <w:rsid w:val="00AA465A"/>
    <w:rsid w:val="00AA46DA"/>
    <w:rsid w:val="00AA4713"/>
    <w:rsid w:val="00AA4726"/>
    <w:rsid w:val="00AA472B"/>
    <w:rsid w:val="00AA4745"/>
    <w:rsid w:val="00AA479C"/>
    <w:rsid w:val="00AA482C"/>
    <w:rsid w:val="00AA493E"/>
    <w:rsid w:val="00AA4968"/>
    <w:rsid w:val="00AA4972"/>
    <w:rsid w:val="00AA498C"/>
    <w:rsid w:val="00AA4A3A"/>
    <w:rsid w:val="00AA4A78"/>
    <w:rsid w:val="00AA4AB8"/>
    <w:rsid w:val="00AA4B01"/>
    <w:rsid w:val="00AA4B03"/>
    <w:rsid w:val="00AA4B13"/>
    <w:rsid w:val="00AA4BA9"/>
    <w:rsid w:val="00AA4C00"/>
    <w:rsid w:val="00AA4C3F"/>
    <w:rsid w:val="00AA4C8E"/>
    <w:rsid w:val="00AA4CC7"/>
    <w:rsid w:val="00AA4CDA"/>
    <w:rsid w:val="00AA4D4C"/>
    <w:rsid w:val="00AA4D6D"/>
    <w:rsid w:val="00AA4E51"/>
    <w:rsid w:val="00AA4E78"/>
    <w:rsid w:val="00AA4EC1"/>
    <w:rsid w:val="00AA5013"/>
    <w:rsid w:val="00AA502C"/>
    <w:rsid w:val="00AA5042"/>
    <w:rsid w:val="00AA5061"/>
    <w:rsid w:val="00AA522A"/>
    <w:rsid w:val="00AA5250"/>
    <w:rsid w:val="00AA5273"/>
    <w:rsid w:val="00AA52CB"/>
    <w:rsid w:val="00AA52F7"/>
    <w:rsid w:val="00AA52FA"/>
    <w:rsid w:val="00AA5347"/>
    <w:rsid w:val="00AA534F"/>
    <w:rsid w:val="00AA5355"/>
    <w:rsid w:val="00AA53B5"/>
    <w:rsid w:val="00AA53F4"/>
    <w:rsid w:val="00AA5434"/>
    <w:rsid w:val="00AA5445"/>
    <w:rsid w:val="00AA544A"/>
    <w:rsid w:val="00AA5461"/>
    <w:rsid w:val="00AA549A"/>
    <w:rsid w:val="00AA5509"/>
    <w:rsid w:val="00AA5562"/>
    <w:rsid w:val="00AA556C"/>
    <w:rsid w:val="00AA5576"/>
    <w:rsid w:val="00AA557E"/>
    <w:rsid w:val="00AA55CF"/>
    <w:rsid w:val="00AA5610"/>
    <w:rsid w:val="00AA5635"/>
    <w:rsid w:val="00AA5651"/>
    <w:rsid w:val="00AA5660"/>
    <w:rsid w:val="00AA56C0"/>
    <w:rsid w:val="00AA56C6"/>
    <w:rsid w:val="00AA575C"/>
    <w:rsid w:val="00AA57BB"/>
    <w:rsid w:val="00AA583D"/>
    <w:rsid w:val="00AA585C"/>
    <w:rsid w:val="00AA5869"/>
    <w:rsid w:val="00AA5878"/>
    <w:rsid w:val="00AA587C"/>
    <w:rsid w:val="00AA5897"/>
    <w:rsid w:val="00AA589E"/>
    <w:rsid w:val="00AA58A4"/>
    <w:rsid w:val="00AA58C9"/>
    <w:rsid w:val="00AA592B"/>
    <w:rsid w:val="00AA593D"/>
    <w:rsid w:val="00AA5A5A"/>
    <w:rsid w:val="00AA5A95"/>
    <w:rsid w:val="00AA5A9E"/>
    <w:rsid w:val="00AA5B41"/>
    <w:rsid w:val="00AA5B52"/>
    <w:rsid w:val="00AA5BAD"/>
    <w:rsid w:val="00AA5BF4"/>
    <w:rsid w:val="00AA5C49"/>
    <w:rsid w:val="00AA5C4B"/>
    <w:rsid w:val="00AA5C82"/>
    <w:rsid w:val="00AA5C8C"/>
    <w:rsid w:val="00AA5C8F"/>
    <w:rsid w:val="00AA5CAB"/>
    <w:rsid w:val="00AA5CFE"/>
    <w:rsid w:val="00AA5DD5"/>
    <w:rsid w:val="00AA5DE4"/>
    <w:rsid w:val="00AA5E3D"/>
    <w:rsid w:val="00AA5E6E"/>
    <w:rsid w:val="00AA5EB4"/>
    <w:rsid w:val="00AA5EDC"/>
    <w:rsid w:val="00AA5EDD"/>
    <w:rsid w:val="00AA5F15"/>
    <w:rsid w:val="00AA5FE7"/>
    <w:rsid w:val="00AA6104"/>
    <w:rsid w:val="00AA6164"/>
    <w:rsid w:val="00AA6285"/>
    <w:rsid w:val="00AA62B0"/>
    <w:rsid w:val="00AA6358"/>
    <w:rsid w:val="00AA645D"/>
    <w:rsid w:val="00AA6469"/>
    <w:rsid w:val="00AA6477"/>
    <w:rsid w:val="00AA6492"/>
    <w:rsid w:val="00AA64C2"/>
    <w:rsid w:val="00AA64CF"/>
    <w:rsid w:val="00AA655B"/>
    <w:rsid w:val="00AA6578"/>
    <w:rsid w:val="00AA6607"/>
    <w:rsid w:val="00AA661D"/>
    <w:rsid w:val="00AA664A"/>
    <w:rsid w:val="00AA66A0"/>
    <w:rsid w:val="00AA66AB"/>
    <w:rsid w:val="00AA66CE"/>
    <w:rsid w:val="00AA67AF"/>
    <w:rsid w:val="00AA67C8"/>
    <w:rsid w:val="00AA689A"/>
    <w:rsid w:val="00AA69A7"/>
    <w:rsid w:val="00AA69B5"/>
    <w:rsid w:val="00AA6A0C"/>
    <w:rsid w:val="00AA6A2C"/>
    <w:rsid w:val="00AA6A3B"/>
    <w:rsid w:val="00AA6A8B"/>
    <w:rsid w:val="00AA6A8C"/>
    <w:rsid w:val="00AA6AC5"/>
    <w:rsid w:val="00AA6AEC"/>
    <w:rsid w:val="00AA6AF3"/>
    <w:rsid w:val="00AA6B17"/>
    <w:rsid w:val="00AA6B37"/>
    <w:rsid w:val="00AA6B4C"/>
    <w:rsid w:val="00AA6B81"/>
    <w:rsid w:val="00AA6B92"/>
    <w:rsid w:val="00AA6BC6"/>
    <w:rsid w:val="00AA6BD7"/>
    <w:rsid w:val="00AA6C64"/>
    <w:rsid w:val="00AA6D6E"/>
    <w:rsid w:val="00AA6DBE"/>
    <w:rsid w:val="00AA6DC3"/>
    <w:rsid w:val="00AA6DDE"/>
    <w:rsid w:val="00AA6DE0"/>
    <w:rsid w:val="00AA6DF0"/>
    <w:rsid w:val="00AA6E1F"/>
    <w:rsid w:val="00AA6E51"/>
    <w:rsid w:val="00AA6E54"/>
    <w:rsid w:val="00AA6E75"/>
    <w:rsid w:val="00AA6E77"/>
    <w:rsid w:val="00AA6EAB"/>
    <w:rsid w:val="00AA6ED1"/>
    <w:rsid w:val="00AA6F14"/>
    <w:rsid w:val="00AA6F17"/>
    <w:rsid w:val="00AA6F20"/>
    <w:rsid w:val="00AA6F58"/>
    <w:rsid w:val="00AA6F5A"/>
    <w:rsid w:val="00AA6F8D"/>
    <w:rsid w:val="00AA700B"/>
    <w:rsid w:val="00AA7081"/>
    <w:rsid w:val="00AA70C2"/>
    <w:rsid w:val="00AA7102"/>
    <w:rsid w:val="00AA7116"/>
    <w:rsid w:val="00AA7148"/>
    <w:rsid w:val="00AA718F"/>
    <w:rsid w:val="00AA7236"/>
    <w:rsid w:val="00AA7253"/>
    <w:rsid w:val="00AA7277"/>
    <w:rsid w:val="00AA72C2"/>
    <w:rsid w:val="00AA7384"/>
    <w:rsid w:val="00AA73A9"/>
    <w:rsid w:val="00AA73AF"/>
    <w:rsid w:val="00AA73B9"/>
    <w:rsid w:val="00AA73FE"/>
    <w:rsid w:val="00AA7490"/>
    <w:rsid w:val="00AA74EC"/>
    <w:rsid w:val="00AA74F3"/>
    <w:rsid w:val="00AA751D"/>
    <w:rsid w:val="00AA753A"/>
    <w:rsid w:val="00AA75D6"/>
    <w:rsid w:val="00AA75D9"/>
    <w:rsid w:val="00AA75FB"/>
    <w:rsid w:val="00AA7675"/>
    <w:rsid w:val="00AA76E3"/>
    <w:rsid w:val="00AA7704"/>
    <w:rsid w:val="00AA7730"/>
    <w:rsid w:val="00AA7758"/>
    <w:rsid w:val="00AA775B"/>
    <w:rsid w:val="00AA776D"/>
    <w:rsid w:val="00AA7786"/>
    <w:rsid w:val="00AA77A7"/>
    <w:rsid w:val="00AA77F5"/>
    <w:rsid w:val="00AA77F8"/>
    <w:rsid w:val="00AA7811"/>
    <w:rsid w:val="00AA781D"/>
    <w:rsid w:val="00AA7853"/>
    <w:rsid w:val="00AA78C4"/>
    <w:rsid w:val="00AA792B"/>
    <w:rsid w:val="00AA7954"/>
    <w:rsid w:val="00AA796D"/>
    <w:rsid w:val="00AA797F"/>
    <w:rsid w:val="00AA7985"/>
    <w:rsid w:val="00AA7992"/>
    <w:rsid w:val="00AA7999"/>
    <w:rsid w:val="00AA79AC"/>
    <w:rsid w:val="00AA7A0B"/>
    <w:rsid w:val="00AA7A53"/>
    <w:rsid w:val="00AA7AC5"/>
    <w:rsid w:val="00AA7AC8"/>
    <w:rsid w:val="00AA7ADC"/>
    <w:rsid w:val="00AA7AF1"/>
    <w:rsid w:val="00AA7B80"/>
    <w:rsid w:val="00AA7BC5"/>
    <w:rsid w:val="00AA7BD0"/>
    <w:rsid w:val="00AA7C2B"/>
    <w:rsid w:val="00AA7C36"/>
    <w:rsid w:val="00AA7D00"/>
    <w:rsid w:val="00AA7D19"/>
    <w:rsid w:val="00AA7D1B"/>
    <w:rsid w:val="00AA7DA9"/>
    <w:rsid w:val="00AA7E13"/>
    <w:rsid w:val="00AA7E18"/>
    <w:rsid w:val="00AA7E4C"/>
    <w:rsid w:val="00AA7EA4"/>
    <w:rsid w:val="00AA7ED4"/>
    <w:rsid w:val="00AA7EE5"/>
    <w:rsid w:val="00AA7F3E"/>
    <w:rsid w:val="00AA7F58"/>
    <w:rsid w:val="00AA7F99"/>
    <w:rsid w:val="00AB0021"/>
    <w:rsid w:val="00AB0082"/>
    <w:rsid w:val="00AB0099"/>
    <w:rsid w:val="00AB00E8"/>
    <w:rsid w:val="00AB010F"/>
    <w:rsid w:val="00AB0127"/>
    <w:rsid w:val="00AB016A"/>
    <w:rsid w:val="00AB0201"/>
    <w:rsid w:val="00AB0238"/>
    <w:rsid w:val="00AB02BD"/>
    <w:rsid w:val="00AB02D2"/>
    <w:rsid w:val="00AB0359"/>
    <w:rsid w:val="00AB03AD"/>
    <w:rsid w:val="00AB045A"/>
    <w:rsid w:val="00AB047E"/>
    <w:rsid w:val="00AB051A"/>
    <w:rsid w:val="00AB0535"/>
    <w:rsid w:val="00AB05EB"/>
    <w:rsid w:val="00AB069A"/>
    <w:rsid w:val="00AB06D2"/>
    <w:rsid w:val="00AB06DE"/>
    <w:rsid w:val="00AB0706"/>
    <w:rsid w:val="00AB070A"/>
    <w:rsid w:val="00AB0710"/>
    <w:rsid w:val="00AB07B7"/>
    <w:rsid w:val="00AB07D3"/>
    <w:rsid w:val="00AB0819"/>
    <w:rsid w:val="00AB08AF"/>
    <w:rsid w:val="00AB0954"/>
    <w:rsid w:val="00AB09AA"/>
    <w:rsid w:val="00AB09DA"/>
    <w:rsid w:val="00AB0A0A"/>
    <w:rsid w:val="00AB0A14"/>
    <w:rsid w:val="00AB0A25"/>
    <w:rsid w:val="00AB0A5A"/>
    <w:rsid w:val="00AB0B4B"/>
    <w:rsid w:val="00AB0BDE"/>
    <w:rsid w:val="00AB0C18"/>
    <w:rsid w:val="00AB0C60"/>
    <w:rsid w:val="00AB0D32"/>
    <w:rsid w:val="00AB0D52"/>
    <w:rsid w:val="00AB0D5D"/>
    <w:rsid w:val="00AB0D73"/>
    <w:rsid w:val="00AB0DBC"/>
    <w:rsid w:val="00AB0E6A"/>
    <w:rsid w:val="00AB0E87"/>
    <w:rsid w:val="00AB0EE2"/>
    <w:rsid w:val="00AB0F61"/>
    <w:rsid w:val="00AB0F8D"/>
    <w:rsid w:val="00AB0FB7"/>
    <w:rsid w:val="00AB0FF9"/>
    <w:rsid w:val="00AB1012"/>
    <w:rsid w:val="00AB101D"/>
    <w:rsid w:val="00AB103C"/>
    <w:rsid w:val="00AB104D"/>
    <w:rsid w:val="00AB10E7"/>
    <w:rsid w:val="00AB110F"/>
    <w:rsid w:val="00AB1118"/>
    <w:rsid w:val="00AB1120"/>
    <w:rsid w:val="00AB116D"/>
    <w:rsid w:val="00AB119B"/>
    <w:rsid w:val="00AB1287"/>
    <w:rsid w:val="00AB12FA"/>
    <w:rsid w:val="00AB1353"/>
    <w:rsid w:val="00AB135B"/>
    <w:rsid w:val="00AB13E4"/>
    <w:rsid w:val="00AB141D"/>
    <w:rsid w:val="00AB1424"/>
    <w:rsid w:val="00AB142A"/>
    <w:rsid w:val="00AB144F"/>
    <w:rsid w:val="00AB14CE"/>
    <w:rsid w:val="00AB14EB"/>
    <w:rsid w:val="00AB151B"/>
    <w:rsid w:val="00AB1538"/>
    <w:rsid w:val="00AB1555"/>
    <w:rsid w:val="00AB15A5"/>
    <w:rsid w:val="00AB15C7"/>
    <w:rsid w:val="00AB1613"/>
    <w:rsid w:val="00AB167F"/>
    <w:rsid w:val="00AB1681"/>
    <w:rsid w:val="00AB16C0"/>
    <w:rsid w:val="00AB16D5"/>
    <w:rsid w:val="00AB16DE"/>
    <w:rsid w:val="00AB16F6"/>
    <w:rsid w:val="00AB174A"/>
    <w:rsid w:val="00AB179C"/>
    <w:rsid w:val="00AB17AB"/>
    <w:rsid w:val="00AB17DC"/>
    <w:rsid w:val="00AB1836"/>
    <w:rsid w:val="00AB1843"/>
    <w:rsid w:val="00AB189E"/>
    <w:rsid w:val="00AB18AF"/>
    <w:rsid w:val="00AB190E"/>
    <w:rsid w:val="00AB197E"/>
    <w:rsid w:val="00AB1A81"/>
    <w:rsid w:val="00AB1AAD"/>
    <w:rsid w:val="00AB1B85"/>
    <w:rsid w:val="00AB1BB1"/>
    <w:rsid w:val="00AB1C11"/>
    <w:rsid w:val="00AB1C5E"/>
    <w:rsid w:val="00AB1C88"/>
    <w:rsid w:val="00AB1CEC"/>
    <w:rsid w:val="00AB1D09"/>
    <w:rsid w:val="00AB1DA2"/>
    <w:rsid w:val="00AB1E40"/>
    <w:rsid w:val="00AB1E8B"/>
    <w:rsid w:val="00AB1EA5"/>
    <w:rsid w:val="00AB1F6F"/>
    <w:rsid w:val="00AB1FCE"/>
    <w:rsid w:val="00AB1FD2"/>
    <w:rsid w:val="00AB1FFD"/>
    <w:rsid w:val="00AB202E"/>
    <w:rsid w:val="00AB204D"/>
    <w:rsid w:val="00AB2199"/>
    <w:rsid w:val="00AB21B4"/>
    <w:rsid w:val="00AB21C1"/>
    <w:rsid w:val="00AB21E4"/>
    <w:rsid w:val="00AB223B"/>
    <w:rsid w:val="00AB224B"/>
    <w:rsid w:val="00AB2269"/>
    <w:rsid w:val="00AB228E"/>
    <w:rsid w:val="00AB2309"/>
    <w:rsid w:val="00AB2378"/>
    <w:rsid w:val="00AB23A1"/>
    <w:rsid w:val="00AB23BC"/>
    <w:rsid w:val="00AB2488"/>
    <w:rsid w:val="00AB2540"/>
    <w:rsid w:val="00AB2546"/>
    <w:rsid w:val="00AB25C7"/>
    <w:rsid w:val="00AB25D8"/>
    <w:rsid w:val="00AB26B9"/>
    <w:rsid w:val="00AB26D9"/>
    <w:rsid w:val="00AB27B9"/>
    <w:rsid w:val="00AB27FF"/>
    <w:rsid w:val="00AB28EA"/>
    <w:rsid w:val="00AB296E"/>
    <w:rsid w:val="00AB2970"/>
    <w:rsid w:val="00AB2A20"/>
    <w:rsid w:val="00AB2A2A"/>
    <w:rsid w:val="00AB2A4C"/>
    <w:rsid w:val="00AB2A8B"/>
    <w:rsid w:val="00AB2B53"/>
    <w:rsid w:val="00AB2B8E"/>
    <w:rsid w:val="00AB2BB3"/>
    <w:rsid w:val="00AB2BD8"/>
    <w:rsid w:val="00AB2C2D"/>
    <w:rsid w:val="00AB2C45"/>
    <w:rsid w:val="00AB2C75"/>
    <w:rsid w:val="00AB2D0A"/>
    <w:rsid w:val="00AB2D44"/>
    <w:rsid w:val="00AB2D8F"/>
    <w:rsid w:val="00AB2D9D"/>
    <w:rsid w:val="00AB2DA8"/>
    <w:rsid w:val="00AB2DBC"/>
    <w:rsid w:val="00AB2DC6"/>
    <w:rsid w:val="00AB2DD4"/>
    <w:rsid w:val="00AB2DF8"/>
    <w:rsid w:val="00AB2E84"/>
    <w:rsid w:val="00AB2E8D"/>
    <w:rsid w:val="00AB2E9C"/>
    <w:rsid w:val="00AB2F38"/>
    <w:rsid w:val="00AB2F44"/>
    <w:rsid w:val="00AB2F50"/>
    <w:rsid w:val="00AB3020"/>
    <w:rsid w:val="00AB3023"/>
    <w:rsid w:val="00AB3028"/>
    <w:rsid w:val="00AB30E0"/>
    <w:rsid w:val="00AB3165"/>
    <w:rsid w:val="00AB31B0"/>
    <w:rsid w:val="00AB31CA"/>
    <w:rsid w:val="00AB3220"/>
    <w:rsid w:val="00AB3252"/>
    <w:rsid w:val="00AB3284"/>
    <w:rsid w:val="00AB32A6"/>
    <w:rsid w:val="00AB32CC"/>
    <w:rsid w:val="00AB32D7"/>
    <w:rsid w:val="00AB33A2"/>
    <w:rsid w:val="00AB34A4"/>
    <w:rsid w:val="00AB34C7"/>
    <w:rsid w:val="00AB34D4"/>
    <w:rsid w:val="00AB34E3"/>
    <w:rsid w:val="00AB34EF"/>
    <w:rsid w:val="00AB3564"/>
    <w:rsid w:val="00AB3594"/>
    <w:rsid w:val="00AB35AD"/>
    <w:rsid w:val="00AB3607"/>
    <w:rsid w:val="00AB3617"/>
    <w:rsid w:val="00AB3658"/>
    <w:rsid w:val="00AB3682"/>
    <w:rsid w:val="00AB3699"/>
    <w:rsid w:val="00AB36F2"/>
    <w:rsid w:val="00AB36FF"/>
    <w:rsid w:val="00AB3764"/>
    <w:rsid w:val="00AB37B5"/>
    <w:rsid w:val="00AB37BF"/>
    <w:rsid w:val="00AB37D5"/>
    <w:rsid w:val="00AB37FF"/>
    <w:rsid w:val="00AB3820"/>
    <w:rsid w:val="00AB3823"/>
    <w:rsid w:val="00AB3854"/>
    <w:rsid w:val="00AB38C1"/>
    <w:rsid w:val="00AB38C2"/>
    <w:rsid w:val="00AB3967"/>
    <w:rsid w:val="00AB397C"/>
    <w:rsid w:val="00AB398A"/>
    <w:rsid w:val="00AB39A0"/>
    <w:rsid w:val="00AB3A42"/>
    <w:rsid w:val="00AB3A61"/>
    <w:rsid w:val="00AB3A96"/>
    <w:rsid w:val="00AB3AAB"/>
    <w:rsid w:val="00AB3B0E"/>
    <w:rsid w:val="00AB3B22"/>
    <w:rsid w:val="00AB3B26"/>
    <w:rsid w:val="00AB3C0D"/>
    <w:rsid w:val="00AB3C4E"/>
    <w:rsid w:val="00AB3C87"/>
    <w:rsid w:val="00AB3D5A"/>
    <w:rsid w:val="00AB3D65"/>
    <w:rsid w:val="00AB3D92"/>
    <w:rsid w:val="00AB3E0C"/>
    <w:rsid w:val="00AB3E24"/>
    <w:rsid w:val="00AB3E4D"/>
    <w:rsid w:val="00AB3EBD"/>
    <w:rsid w:val="00AB3ED9"/>
    <w:rsid w:val="00AB3EEA"/>
    <w:rsid w:val="00AB3EEB"/>
    <w:rsid w:val="00AB3EF0"/>
    <w:rsid w:val="00AB3F0D"/>
    <w:rsid w:val="00AB3F3C"/>
    <w:rsid w:val="00AB3F7B"/>
    <w:rsid w:val="00AB3FAD"/>
    <w:rsid w:val="00AB4033"/>
    <w:rsid w:val="00AB40AD"/>
    <w:rsid w:val="00AB40E3"/>
    <w:rsid w:val="00AB40FA"/>
    <w:rsid w:val="00AB414B"/>
    <w:rsid w:val="00AB4152"/>
    <w:rsid w:val="00AB41B3"/>
    <w:rsid w:val="00AB42C5"/>
    <w:rsid w:val="00AB4359"/>
    <w:rsid w:val="00AB436B"/>
    <w:rsid w:val="00AB4384"/>
    <w:rsid w:val="00AB4385"/>
    <w:rsid w:val="00AB439C"/>
    <w:rsid w:val="00AB43F3"/>
    <w:rsid w:val="00AB4434"/>
    <w:rsid w:val="00AB4470"/>
    <w:rsid w:val="00AB4474"/>
    <w:rsid w:val="00AB448D"/>
    <w:rsid w:val="00AB449B"/>
    <w:rsid w:val="00AB44CB"/>
    <w:rsid w:val="00AB450A"/>
    <w:rsid w:val="00AB4517"/>
    <w:rsid w:val="00AB4579"/>
    <w:rsid w:val="00AB46C5"/>
    <w:rsid w:val="00AB46D5"/>
    <w:rsid w:val="00AB46E4"/>
    <w:rsid w:val="00AB485B"/>
    <w:rsid w:val="00AB48B5"/>
    <w:rsid w:val="00AB492D"/>
    <w:rsid w:val="00AB4937"/>
    <w:rsid w:val="00AB4A45"/>
    <w:rsid w:val="00AB4A68"/>
    <w:rsid w:val="00AB4A6B"/>
    <w:rsid w:val="00AB4AE7"/>
    <w:rsid w:val="00AB4AF8"/>
    <w:rsid w:val="00AB4B4C"/>
    <w:rsid w:val="00AB4B99"/>
    <w:rsid w:val="00AB4C64"/>
    <w:rsid w:val="00AB4C7B"/>
    <w:rsid w:val="00AB4CF4"/>
    <w:rsid w:val="00AB4D9C"/>
    <w:rsid w:val="00AB4DF0"/>
    <w:rsid w:val="00AB4DF6"/>
    <w:rsid w:val="00AB4DF7"/>
    <w:rsid w:val="00AB4E00"/>
    <w:rsid w:val="00AB4E02"/>
    <w:rsid w:val="00AB4E6B"/>
    <w:rsid w:val="00AB4E8E"/>
    <w:rsid w:val="00AB4EB2"/>
    <w:rsid w:val="00AB4EFF"/>
    <w:rsid w:val="00AB4FAC"/>
    <w:rsid w:val="00AB4FAE"/>
    <w:rsid w:val="00AB4FC2"/>
    <w:rsid w:val="00AB4FF0"/>
    <w:rsid w:val="00AB50CB"/>
    <w:rsid w:val="00AB50E9"/>
    <w:rsid w:val="00AB5106"/>
    <w:rsid w:val="00AB5114"/>
    <w:rsid w:val="00AB5152"/>
    <w:rsid w:val="00AB524C"/>
    <w:rsid w:val="00AB5307"/>
    <w:rsid w:val="00AB536F"/>
    <w:rsid w:val="00AB5406"/>
    <w:rsid w:val="00AB54A0"/>
    <w:rsid w:val="00AB54C5"/>
    <w:rsid w:val="00AB54C7"/>
    <w:rsid w:val="00AB54FB"/>
    <w:rsid w:val="00AB5500"/>
    <w:rsid w:val="00AB5504"/>
    <w:rsid w:val="00AB5529"/>
    <w:rsid w:val="00AB5544"/>
    <w:rsid w:val="00AB5580"/>
    <w:rsid w:val="00AB55A4"/>
    <w:rsid w:val="00AB564C"/>
    <w:rsid w:val="00AB5658"/>
    <w:rsid w:val="00AB56EC"/>
    <w:rsid w:val="00AB56FD"/>
    <w:rsid w:val="00AB5732"/>
    <w:rsid w:val="00AB5786"/>
    <w:rsid w:val="00AB57FC"/>
    <w:rsid w:val="00AB5866"/>
    <w:rsid w:val="00AB5889"/>
    <w:rsid w:val="00AB58E0"/>
    <w:rsid w:val="00AB58F2"/>
    <w:rsid w:val="00AB5901"/>
    <w:rsid w:val="00AB5929"/>
    <w:rsid w:val="00AB592C"/>
    <w:rsid w:val="00AB5962"/>
    <w:rsid w:val="00AB59B4"/>
    <w:rsid w:val="00AB59C8"/>
    <w:rsid w:val="00AB59CC"/>
    <w:rsid w:val="00AB59E9"/>
    <w:rsid w:val="00AB5A33"/>
    <w:rsid w:val="00AB5A38"/>
    <w:rsid w:val="00AB5AC3"/>
    <w:rsid w:val="00AB5AEB"/>
    <w:rsid w:val="00AB5AFF"/>
    <w:rsid w:val="00AB5BFA"/>
    <w:rsid w:val="00AB5C71"/>
    <w:rsid w:val="00AB5D3A"/>
    <w:rsid w:val="00AB5DA6"/>
    <w:rsid w:val="00AB5DF0"/>
    <w:rsid w:val="00AB5DF4"/>
    <w:rsid w:val="00AB5E51"/>
    <w:rsid w:val="00AB5E53"/>
    <w:rsid w:val="00AB5E58"/>
    <w:rsid w:val="00AB5EA1"/>
    <w:rsid w:val="00AB5EBD"/>
    <w:rsid w:val="00AB5EF0"/>
    <w:rsid w:val="00AB5EFB"/>
    <w:rsid w:val="00AB601F"/>
    <w:rsid w:val="00AB6028"/>
    <w:rsid w:val="00AB6029"/>
    <w:rsid w:val="00AB6052"/>
    <w:rsid w:val="00AB60A7"/>
    <w:rsid w:val="00AB60D2"/>
    <w:rsid w:val="00AB60D6"/>
    <w:rsid w:val="00AB60F2"/>
    <w:rsid w:val="00AB611F"/>
    <w:rsid w:val="00AB618D"/>
    <w:rsid w:val="00AB6257"/>
    <w:rsid w:val="00AB62AF"/>
    <w:rsid w:val="00AB62B2"/>
    <w:rsid w:val="00AB6327"/>
    <w:rsid w:val="00AB6354"/>
    <w:rsid w:val="00AB635F"/>
    <w:rsid w:val="00AB6371"/>
    <w:rsid w:val="00AB644F"/>
    <w:rsid w:val="00AB646C"/>
    <w:rsid w:val="00AB648E"/>
    <w:rsid w:val="00AB652D"/>
    <w:rsid w:val="00AB653D"/>
    <w:rsid w:val="00AB6589"/>
    <w:rsid w:val="00AB65CD"/>
    <w:rsid w:val="00AB6631"/>
    <w:rsid w:val="00AB6637"/>
    <w:rsid w:val="00AB668B"/>
    <w:rsid w:val="00AB6699"/>
    <w:rsid w:val="00AB66F5"/>
    <w:rsid w:val="00AB67D8"/>
    <w:rsid w:val="00AB67DF"/>
    <w:rsid w:val="00AB685A"/>
    <w:rsid w:val="00AB68AB"/>
    <w:rsid w:val="00AB68F8"/>
    <w:rsid w:val="00AB6951"/>
    <w:rsid w:val="00AB69B7"/>
    <w:rsid w:val="00AB69CA"/>
    <w:rsid w:val="00AB69CB"/>
    <w:rsid w:val="00AB6A27"/>
    <w:rsid w:val="00AB6A44"/>
    <w:rsid w:val="00AB6ACD"/>
    <w:rsid w:val="00AB6B09"/>
    <w:rsid w:val="00AB6B31"/>
    <w:rsid w:val="00AB6B3D"/>
    <w:rsid w:val="00AB6B61"/>
    <w:rsid w:val="00AB6B97"/>
    <w:rsid w:val="00AB6BA8"/>
    <w:rsid w:val="00AB6C1F"/>
    <w:rsid w:val="00AB6C2B"/>
    <w:rsid w:val="00AB6C57"/>
    <w:rsid w:val="00AB6C78"/>
    <w:rsid w:val="00AB6CD7"/>
    <w:rsid w:val="00AB6CFA"/>
    <w:rsid w:val="00AB6D57"/>
    <w:rsid w:val="00AB6D86"/>
    <w:rsid w:val="00AB6DB6"/>
    <w:rsid w:val="00AB6F49"/>
    <w:rsid w:val="00AB7025"/>
    <w:rsid w:val="00AB702A"/>
    <w:rsid w:val="00AB706D"/>
    <w:rsid w:val="00AB7152"/>
    <w:rsid w:val="00AB72A4"/>
    <w:rsid w:val="00AB72AA"/>
    <w:rsid w:val="00AB72C9"/>
    <w:rsid w:val="00AB735D"/>
    <w:rsid w:val="00AB73ED"/>
    <w:rsid w:val="00AB73FC"/>
    <w:rsid w:val="00AB74A1"/>
    <w:rsid w:val="00AB74A7"/>
    <w:rsid w:val="00AB7540"/>
    <w:rsid w:val="00AB758B"/>
    <w:rsid w:val="00AB759C"/>
    <w:rsid w:val="00AB75A1"/>
    <w:rsid w:val="00AB75BC"/>
    <w:rsid w:val="00AB75EA"/>
    <w:rsid w:val="00AB7601"/>
    <w:rsid w:val="00AB760C"/>
    <w:rsid w:val="00AB7611"/>
    <w:rsid w:val="00AB7661"/>
    <w:rsid w:val="00AB76FF"/>
    <w:rsid w:val="00AB7703"/>
    <w:rsid w:val="00AB77A0"/>
    <w:rsid w:val="00AB77AD"/>
    <w:rsid w:val="00AB77AE"/>
    <w:rsid w:val="00AB77ED"/>
    <w:rsid w:val="00AB78A5"/>
    <w:rsid w:val="00AB78D6"/>
    <w:rsid w:val="00AB7929"/>
    <w:rsid w:val="00AB7A54"/>
    <w:rsid w:val="00AB7A61"/>
    <w:rsid w:val="00AB7A66"/>
    <w:rsid w:val="00AB7AD4"/>
    <w:rsid w:val="00AB7ADD"/>
    <w:rsid w:val="00AB7AE0"/>
    <w:rsid w:val="00AB7BB1"/>
    <w:rsid w:val="00AB7BC0"/>
    <w:rsid w:val="00AB7BE4"/>
    <w:rsid w:val="00AB7C11"/>
    <w:rsid w:val="00AB7C31"/>
    <w:rsid w:val="00AB7C4C"/>
    <w:rsid w:val="00AB7C64"/>
    <w:rsid w:val="00AB7CBC"/>
    <w:rsid w:val="00AB7CC4"/>
    <w:rsid w:val="00AB7CCE"/>
    <w:rsid w:val="00AB7D03"/>
    <w:rsid w:val="00AB7D2B"/>
    <w:rsid w:val="00AB7DA9"/>
    <w:rsid w:val="00AB7DAB"/>
    <w:rsid w:val="00AB7DE2"/>
    <w:rsid w:val="00AB7E09"/>
    <w:rsid w:val="00AB7E29"/>
    <w:rsid w:val="00AB7E5A"/>
    <w:rsid w:val="00AB7E96"/>
    <w:rsid w:val="00AB7EE9"/>
    <w:rsid w:val="00AB7F21"/>
    <w:rsid w:val="00AB7F6F"/>
    <w:rsid w:val="00AB7F71"/>
    <w:rsid w:val="00AB7FB0"/>
    <w:rsid w:val="00AB7FB3"/>
    <w:rsid w:val="00AC004F"/>
    <w:rsid w:val="00AC0067"/>
    <w:rsid w:val="00AC0089"/>
    <w:rsid w:val="00AC00E7"/>
    <w:rsid w:val="00AC0141"/>
    <w:rsid w:val="00AC014C"/>
    <w:rsid w:val="00AC01CE"/>
    <w:rsid w:val="00AC0200"/>
    <w:rsid w:val="00AC020E"/>
    <w:rsid w:val="00AC022C"/>
    <w:rsid w:val="00AC025E"/>
    <w:rsid w:val="00AC0292"/>
    <w:rsid w:val="00AC02AF"/>
    <w:rsid w:val="00AC02BB"/>
    <w:rsid w:val="00AC02C6"/>
    <w:rsid w:val="00AC02C9"/>
    <w:rsid w:val="00AC0312"/>
    <w:rsid w:val="00AC0376"/>
    <w:rsid w:val="00AC0392"/>
    <w:rsid w:val="00AC03EF"/>
    <w:rsid w:val="00AC0432"/>
    <w:rsid w:val="00AC04D3"/>
    <w:rsid w:val="00AC054D"/>
    <w:rsid w:val="00AC0570"/>
    <w:rsid w:val="00AC05AB"/>
    <w:rsid w:val="00AC05F7"/>
    <w:rsid w:val="00AC0613"/>
    <w:rsid w:val="00AC061C"/>
    <w:rsid w:val="00AC06A5"/>
    <w:rsid w:val="00AC06C3"/>
    <w:rsid w:val="00AC0721"/>
    <w:rsid w:val="00AC0766"/>
    <w:rsid w:val="00AC077A"/>
    <w:rsid w:val="00AC0853"/>
    <w:rsid w:val="00AC0855"/>
    <w:rsid w:val="00AC08E2"/>
    <w:rsid w:val="00AC0901"/>
    <w:rsid w:val="00AC0962"/>
    <w:rsid w:val="00AC09A3"/>
    <w:rsid w:val="00AC0A15"/>
    <w:rsid w:val="00AC0A3D"/>
    <w:rsid w:val="00AC0AA3"/>
    <w:rsid w:val="00AC0AA4"/>
    <w:rsid w:val="00AC0ADD"/>
    <w:rsid w:val="00AC0B7C"/>
    <w:rsid w:val="00AC0B91"/>
    <w:rsid w:val="00AC0BA0"/>
    <w:rsid w:val="00AC0BB6"/>
    <w:rsid w:val="00AC0BDB"/>
    <w:rsid w:val="00AC0C13"/>
    <w:rsid w:val="00AC0C64"/>
    <w:rsid w:val="00AC0CC3"/>
    <w:rsid w:val="00AC0D6F"/>
    <w:rsid w:val="00AC0DC0"/>
    <w:rsid w:val="00AC0E7D"/>
    <w:rsid w:val="00AC0F47"/>
    <w:rsid w:val="00AC10C7"/>
    <w:rsid w:val="00AC10DE"/>
    <w:rsid w:val="00AC1113"/>
    <w:rsid w:val="00AC1186"/>
    <w:rsid w:val="00AC11A7"/>
    <w:rsid w:val="00AC120A"/>
    <w:rsid w:val="00AC12B9"/>
    <w:rsid w:val="00AC1306"/>
    <w:rsid w:val="00AC133C"/>
    <w:rsid w:val="00AC1374"/>
    <w:rsid w:val="00AC1430"/>
    <w:rsid w:val="00AC143C"/>
    <w:rsid w:val="00AC144A"/>
    <w:rsid w:val="00AC14D5"/>
    <w:rsid w:val="00AC151E"/>
    <w:rsid w:val="00AC151F"/>
    <w:rsid w:val="00AC1526"/>
    <w:rsid w:val="00AC154C"/>
    <w:rsid w:val="00AC155E"/>
    <w:rsid w:val="00AC158A"/>
    <w:rsid w:val="00AC164C"/>
    <w:rsid w:val="00AC1693"/>
    <w:rsid w:val="00AC1740"/>
    <w:rsid w:val="00AC1749"/>
    <w:rsid w:val="00AC1798"/>
    <w:rsid w:val="00AC17B4"/>
    <w:rsid w:val="00AC180D"/>
    <w:rsid w:val="00AC18A4"/>
    <w:rsid w:val="00AC18A5"/>
    <w:rsid w:val="00AC18EF"/>
    <w:rsid w:val="00AC1926"/>
    <w:rsid w:val="00AC1965"/>
    <w:rsid w:val="00AC1969"/>
    <w:rsid w:val="00AC197B"/>
    <w:rsid w:val="00AC19E0"/>
    <w:rsid w:val="00AC19F2"/>
    <w:rsid w:val="00AC1A16"/>
    <w:rsid w:val="00AC1A23"/>
    <w:rsid w:val="00AC1A3F"/>
    <w:rsid w:val="00AC1A69"/>
    <w:rsid w:val="00AC1AFE"/>
    <w:rsid w:val="00AC1B71"/>
    <w:rsid w:val="00AC1BB5"/>
    <w:rsid w:val="00AC1BE5"/>
    <w:rsid w:val="00AC1BF4"/>
    <w:rsid w:val="00AC1C01"/>
    <w:rsid w:val="00AC1C15"/>
    <w:rsid w:val="00AC1C33"/>
    <w:rsid w:val="00AC1C55"/>
    <w:rsid w:val="00AC1D24"/>
    <w:rsid w:val="00AC1D29"/>
    <w:rsid w:val="00AC1D6F"/>
    <w:rsid w:val="00AC1D83"/>
    <w:rsid w:val="00AC1E55"/>
    <w:rsid w:val="00AC1E99"/>
    <w:rsid w:val="00AC1EA7"/>
    <w:rsid w:val="00AC1EBB"/>
    <w:rsid w:val="00AC1EDF"/>
    <w:rsid w:val="00AC1EE7"/>
    <w:rsid w:val="00AC1EEB"/>
    <w:rsid w:val="00AC1F3E"/>
    <w:rsid w:val="00AC1F53"/>
    <w:rsid w:val="00AC1F61"/>
    <w:rsid w:val="00AC1F9D"/>
    <w:rsid w:val="00AC1FCD"/>
    <w:rsid w:val="00AC2033"/>
    <w:rsid w:val="00AC2055"/>
    <w:rsid w:val="00AC206D"/>
    <w:rsid w:val="00AC207A"/>
    <w:rsid w:val="00AC2096"/>
    <w:rsid w:val="00AC20BE"/>
    <w:rsid w:val="00AC20CA"/>
    <w:rsid w:val="00AC20F9"/>
    <w:rsid w:val="00AC210F"/>
    <w:rsid w:val="00AC217E"/>
    <w:rsid w:val="00AC21FA"/>
    <w:rsid w:val="00AC2269"/>
    <w:rsid w:val="00AC22C1"/>
    <w:rsid w:val="00AC22D8"/>
    <w:rsid w:val="00AC230D"/>
    <w:rsid w:val="00AC2332"/>
    <w:rsid w:val="00AC2335"/>
    <w:rsid w:val="00AC23EB"/>
    <w:rsid w:val="00AC246A"/>
    <w:rsid w:val="00AC24BD"/>
    <w:rsid w:val="00AC250D"/>
    <w:rsid w:val="00AC2515"/>
    <w:rsid w:val="00AC2546"/>
    <w:rsid w:val="00AC25A4"/>
    <w:rsid w:val="00AC25B5"/>
    <w:rsid w:val="00AC25DE"/>
    <w:rsid w:val="00AC25E1"/>
    <w:rsid w:val="00AC2603"/>
    <w:rsid w:val="00AC260A"/>
    <w:rsid w:val="00AC2619"/>
    <w:rsid w:val="00AC2711"/>
    <w:rsid w:val="00AC2716"/>
    <w:rsid w:val="00AC27E0"/>
    <w:rsid w:val="00AC27F1"/>
    <w:rsid w:val="00AC27F6"/>
    <w:rsid w:val="00AC2811"/>
    <w:rsid w:val="00AC2818"/>
    <w:rsid w:val="00AC2836"/>
    <w:rsid w:val="00AC2846"/>
    <w:rsid w:val="00AC285F"/>
    <w:rsid w:val="00AC28AF"/>
    <w:rsid w:val="00AC28D2"/>
    <w:rsid w:val="00AC28D7"/>
    <w:rsid w:val="00AC298E"/>
    <w:rsid w:val="00AC2A26"/>
    <w:rsid w:val="00AC2AC6"/>
    <w:rsid w:val="00AC2C09"/>
    <w:rsid w:val="00AC2C14"/>
    <w:rsid w:val="00AC2C65"/>
    <w:rsid w:val="00AC2C66"/>
    <w:rsid w:val="00AC2D65"/>
    <w:rsid w:val="00AC2D66"/>
    <w:rsid w:val="00AC2E23"/>
    <w:rsid w:val="00AC2E50"/>
    <w:rsid w:val="00AC2E54"/>
    <w:rsid w:val="00AC2EA2"/>
    <w:rsid w:val="00AC2EC6"/>
    <w:rsid w:val="00AC2EF0"/>
    <w:rsid w:val="00AC2F19"/>
    <w:rsid w:val="00AC2F23"/>
    <w:rsid w:val="00AC2F66"/>
    <w:rsid w:val="00AC2FED"/>
    <w:rsid w:val="00AC307C"/>
    <w:rsid w:val="00AC308A"/>
    <w:rsid w:val="00AC30A4"/>
    <w:rsid w:val="00AC30D2"/>
    <w:rsid w:val="00AC30D3"/>
    <w:rsid w:val="00AC30FE"/>
    <w:rsid w:val="00AC3136"/>
    <w:rsid w:val="00AC316D"/>
    <w:rsid w:val="00AC3198"/>
    <w:rsid w:val="00AC31F0"/>
    <w:rsid w:val="00AC3250"/>
    <w:rsid w:val="00AC3279"/>
    <w:rsid w:val="00AC328A"/>
    <w:rsid w:val="00AC331F"/>
    <w:rsid w:val="00AC338D"/>
    <w:rsid w:val="00AC33A2"/>
    <w:rsid w:val="00AC3443"/>
    <w:rsid w:val="00AC3494"/>
    <w:rsid w:val="00AC34E1"/>
    <w:rsid w:val="00AC3518"/>
    <w:rsid w:val="00AC3543"/>
    <w:rsid w:val="00AC356E"/>
    <w:rsid w:val="00AC3576"/>
    <w:rsid w:val="00AC359C"/>
    <w:rsid w:val="00AC35B1"/>
    <w:rsid w:val="00AC35BD"/>
    <w:rsid w:val="00AC35C1"/>
    <w:rsid w:val="00AC35DC"/>
    <w:rsid w:val="00AC3609"/>
    <w:rsid w:val="00AC3659"/>
    <w:rsid w:val="00AC365F"/>
    <w:rsid w:val="00AC36AA"/>
    <w:rsid w:val="00AC36F7"/>
    <w:rsid w:val="00AC373F"/>
    <w:rsid w:val="00AC376E"/>
    <w:rsid w:val="00AC380E"/>
    <w:rsid w:val="00AC3855"/>
    <w:rsid w:val="00AC385D"/>
    <w:rsid w:val="00AC3878"/>
    <w:rsid w:val="00AC387E"/>
    <w:rsid w:val="00AC38A3"/>
    <w:rsid w:val="00AC38D9"/>
    <w:rsid w:val="00AC38DD"/>
    <w:rsid w:val="00AC3966"/>
    <w:rsid w:val="00AC3981"/>
    <w:rsid w:val="00AC39D8"/>
    <w:rsid w:val="00AC3A83"/>
    <w:rsid w:val="00AC3A97"/>
    <w:rsid w:val="00AC3B20"/>
    <w:rsid w:val="00AC3B40"/>
    <w:rsid w:val="00AC3BA1"/>
    <w:rsid w:val="00AC3C6B"/>
    <w:rsid w:val="00AC3C97"/>
    <w:rsid w:val="00AC3CE1"/>
    <w:rsid w:val="00AC3D21"/>
    <w:rsid w:val="00AC3DB5"/>
    <w:rsid w:val="00AC3DBF"/>
    <w:rsid w:val="00AC3DE0"/>
    <w:rsid w:val="00AC3E8C"/>
    <w:rsid w:val="00AC3E9F"/>
    <w:rsid w:val="00AC3EB0"/>
    <w:rsid w:val="00AC3EE3"/>
    <w:rsid w:val="00AC3EEC"/>
    <w:rsid w:val="00AC3EFE"/>
    <w:rsid w:val="00AC3F1F"/>
    <w:rsid w:val="00AC3F8F"/>
    <w:rsid w:val="00AC3FC7"/>
    <w:rsid w:val="00AC3FED"/>
    <w:rsid w:val="00AC4036"/>
    <w:rsid w:val="00AC4071"/>
    <w:rsid w:val="00AC407E"/>
    <w:rsid w:val="00AC4080"/>
    <w:rsid w:val="00AC4089"/>
    <w:rsid w:val="00AC4127"/>
    <w:rsid w:val="00AC413F"/>
    <w:rsid w:val="00AC415E"/>
    <w:rsid w:val="00AC41B3"/>
    <w:rsid w:val="00AC41E2"/>
    <w:rsid w:val="00AC4211"/>
    <w:rsid w:val="00AC427F"/>
    <w:rsid w:val="00AC42B9"/>
    <w:rsid w:val="00AC42BF"/>
    <w:rsid w:val="00AC42D9"/>
    <w:rsid w:val="00AC42F1"/>
    <w:rsid w:val="00AC4306"/>
    <w:rsid w:val="00AC4391"/>
    <w:rsid w:val="00AC4484"/>
    <w:rsid w:val="00AC44BA"/>
    <w:rsid w:val="00AC44CD"/>
    <w:rsid w:val="00AC44FB"/>
    <w:rsid w:val="00AC45DD"/>
    <w:rsid w:val="00AC4628"/>
    <w:rsid w:val="00AC4678"/>
    <w:rsid w:val="00AC46BC"/>
    <w:rsid w:val="00AC46F9"/>
    <w:rsid w:val="00AC4731"/>
    <w:rsid w:val="00AC4779"/>
    <w:rsid w:val="00AC47B7"/>
    <w:rsid w:val="00AC47BF"/>
    <w:rsid w:val="00AC480D"/>
    <w:rsid w:val="00AC4831"/>
    <w:rsid w:val="00AC488C"/>
    <w:rsid w:val="00AC488F"/>
    <w:rsid w:val="00AC48A4"/>
    <w:rsid w:val="00AC48AF"/>
    <w:rsid w:val="00AC49CE"/>
    <w:rsid w:val="00AC49F8"/>
    <w:rsid w:val="00AC4A21"/>
    <w:rsid w:val="00AC4A30"/>
    <w:rsid w:val="00AC4A91"/>
    <w:rsid w:val="00AC4ACF"/>
    <w:rsid w:val="00AC4B17"/>
    <w:rsid w:val="00AC4B40"/>
    <w:rsid w:val="00AC4B51"/>
    <w:rsid w:val="00AC4B69"/>
    <w:rsid w:val="00AC4B8D"/>
    <w:rsid w:val="00AC4BB9"/>
    <w:rsid w:val="00AC4BBB"/>
    <w:rsid w:val="00AC4BDF"/>
    <w:rsid w:val="00AC4CED"/>
    <w:rsid w:val="00AC4D6E"/>
    <w:rsid w:val="00AC4D96"/>
    <w:rsid w:val="00AC4E41"/>
    <w:rsid w:val="00AC4E5D"/>
    <w:rsid w:val="00AC4EE4"/>
    <w:rsid w:val="00AC4F70"/>
    <w:rsid w:val="00AC4F9E"/>
    <w:rsid w:val="00AC5012"/>
    <w:rsid w:val="00AC501C"/>
    <w:rsid w:val="00AC5049"/>
    <w:rsid w:val="00AC5057"/>
    <w:rsid w:val="00AC507B"/>
    <w:rsid w:val="00AC508B"/>
    <w:rsid w:val="00AC50D3"/>
    <w:rsid w:val="00AC5184"/>
    <w:rsid w:val="00AC5185"/>
    <w:rsid w:val="00AC5192"/>
    <w:rsid w:val="00AC5197"/>
    <w:rsid w:val="00AC51B1"/>
    <w:rsid w:val="00AC51D7"/>
    <w:rsid w:val="00AC5292"/>
    <w:rsid w:val="00AC52D9"/>
    <w:rsid w:val="00AC52DE"/>
    <w:rsid w:val="00AC52E2"/>
    <w:rsid w:val="00AC52ED"/>
    <w:rsid w:val="00AC52FD"/>
    <w:rsid w:val="00AC531C"/>
    <w:rsid w:val="00AC53CB"/>
    <w:rsid w:val="00AC5487"/>
    <w:rsid w:val="00AC5526"/>
    <w:rsid w:val="00AC5591"/>
    <w:rsid w:val="00AC55C3"/>
    <w:rsid w:val="00AC55D4"/>
    <w:rsid w:val="00AC560B"/>
    <w:rsid w:val="00AC5610"/>
    <w:rsid w:val="00AC5643"/>
    <w:rsid w:val="00AC5649"/>
    <w:rsid w:val="00AC566A"/>
    <w:rsid w:val="00AC566D"/>
    <w:rsid w:val="00AC5699"/>
    <w:rsid w:val="00AC56A4"/>
    <w:rsid w:val="00AC56AA"/>
    <w:rsid w:val="00AC56B1"/>
    <w:rsid w:val="00AC56E4"/>
    <w:rsid w:val="00AC5713"/>
    <w:rsid w:val="00AC5715"/>
    <w:rsid w:val="00AC5745"/>
    <w:rsid w:val="00AC5774"/>
    <w:rsid w:val="00AC58A8"/>
    <w:rsid w:val="00AC58B1"/>
    <w:rsid w:val="00AC58F6"/>
    <w:rsid w:val="00AC596D"/>
    <w:rsid w:val="00AC597E"/>
    <w:rsid w:val="00AC59D8"/>
    <w:rsid w:val="00AC59DA"/>
    <w:rsid w:val="00AC5A60"/>
    <w:rsid w:val="00AC5B5F"/>
    <w:rsid w:val="00AC5B67"/>
    <w:rsid w:val="00AC5B6A"/>
    <w:rsid w:val="00AC5BBB"/>
    <w:rsid w:val="00AC5C59"/>
    <w:rsid w:val="00AC5D5A"/>
    <w:rsid w:val="00AC5D84"/>
    <w:rsid w:val="00AC5DC0"/>
    <w:rsid w:val="00AC5DC6"/>
    <w:rsid w:val="00AC5E0C"/>
    <w:rsid w:val="00AC5E3B"/>
    <w:rsid w:val="00AC5E92"/>
    <w:rsid w:val="00AC5EC2"/>
    <w:rsid w:val="00AC6038"/>
    <w:rsid w:val="00AC619B"/>
    <w:rsid w:val="00AC61FA"/>
    <w:rsid w:val="00AC622D"/>
    <w:rsid w:val="00AC6296"/>
    <w:rsid w:val="00AC62B1"/>
    <w:rsid w:val="00AC62C8"/>
    <w:rsid w:val="00AC6310"/>
    <w:rsid w:val="00AC6372"/>
    <w:rsid w:val="00AC6401"/>
    <w:rsid w:val="00AC6407"/>
    <w:rsid w:val="00AC640C"/>
    <w:rsid w:val="00AC64B7"/>
    <w:rsid w:val="00AC64E4"/>
    <w:rsid w:val="00AC651D"/>
    <w:rsid w:val="00AC653E"/>
    <w:rsid w:val="00AC653F"/>
    <w:rsid w:val="00AC6569"/>
    <w:rsid w:val="00AC65CA"/>
    <w:rsid w:val="00AC6603"/>
    <w:rsid w:val="00AC664D"/>
    <w:rsid w:val="00AC6674"/>
    <w:rsid w:val="00AC66FE"/>
    <w:rsid w:val="00AC6728"/>
    <w:rsid w:val="00AC673A"/>
    <w:rsid w:val="00AC673E"/>
    <w:rsid w:val="00AC6742"/>
    <w:rsid w:val="00AC6756"/>
    <w:rsid w:val="00AC67B6"/>
    <w:rsid w:val="00AC67F6"/>
    <w:rsid w:val="00AC67FC"/>
    <w:rsid w:val="00AC6839"/>
    <w:rsid w:val="00AC6883"/>
    <w:rsid w:val="00AC68AA"/>
    <w:rsid w:val="00AC68CA"/>
    <w:rsid w:val="00AC68CB"/>
    <w:rsid w:val="00AC68FF"/>
    <w:rsid w:val="00AC6925"/>
    <w:rsid w:val="00AC6953"/>
    <w:rsid w:val="00AC699E"/>
    <w:rsid w:val="00AC69C0"/>
    <w:rsid w:val="00AC69CD"/>
    <w:rsid w:val="00AC69F2"/>
    <w:rsid w:val="00AC6A13"/>
    <w:rsid w:val="00AC6A5F"/>
    <w:rsid w:val="00AC6A8E"/>
    <w:rsid w:val="00AC6A98"/>
    <w:rsid w:val="00AC6B02"/>
    <w:rsid w:val="00AC6B80"/>
    <w:rsid w:val="00AC6B8B"/>
    <w:rsid w:val="00AC6BA2"/>
    <w:rsid w:val="00AC6C1A"/>
    <w:rsid w:val="00AC6C37"/>
    <w:rsid w:val="00AC6C86"/>
    <w:rsid w:val="00AC6DB0"/>
    <w:rsid w:val="00AC6DF7"/>
    <w:rsid w:val="00AC6E10"/>
    <w:rsid w:val="00AC6E3D"/>
    <w:rsid w:val="00AC6E45"/>
    <w:rsid w:val="00AC6E5E"/>
    <w:rsid w:val="00AC6E69"/>
    <w:rsid w:val="00AC6E89"/>
    <w:rsid w:val="00AC6EF7"/>
    <w:rsid w:val="00AC6F37"/>
    <w:rsid w:val="00AC6F49"/>
    <w:rsid w:val="00AC6F4B"/>
    <w:rsid w:val="00AC6F5A"/>
    <w:rsid w:val="00AC701F"/>
    <w:rsid w:val="00AC710A"/>
    <w:rsid w:val="00AC7122"/>
    <w:rsid w:val="00AC7133"/>
    <w:rsid w:val="00AC7171"/>
    <w:rsid w:val="00AC71D9"/>
    <w:rsid w:val="00AC7221"/>
    <w:rsid w:val="00AC7286"/>
    <w:rsid w:val="00AC72D1"/>
    <w:rsid w:val="00AC7364"/>
    <w:rsid w:val="00AC73BC"/>
    <w:rsid w:val="00AC740B"/>
    <w:rsid w:val="00AC7513"/>
    <w:rsid w:val="00AC7514"/>
    <w:rsid w:val="00AC7528"/>
    <w:rsid w:val="00AC7534"/>
    <w:rsid w:val="00AC7542"/>
    <w:rsid w:val="00AC7572"/>
    <w:rsid w:val="00AC75AA"/>
    <w:rsid w:val="00AC75CE"/>
    <w:rsid w:val="00AC762C"/>
    <w:rsid w:val="00AC764D"/>
    <w:rsid w:val="00AC7662"/>
    <w:rsid w:val="00AC767A"/>
    <w:rsid w:val="00AC779A"/>
    <w:rsid w:val="00AC77DF"/>
    <w:rsid w:val="00AC78A4"/>
    <w:rsid w:val="00AC78C8"/>
    <w:rsid w:val="00AC78E6"/>
    <w:rsid w:val="00AC79E3"/>
    <w:rsid w:val="00AC79EF"/>
    <w:rsid w:val="00AC7A0F"/>
    <w:rsid w:val="00AC7A13"/>
    <w:rsid w:val="00AC7A3D"/>
    <w:rsid w:val="00AC7A56"/>
    <w:rsid w:val="00AC7AE5"/>
    <w:rsid w:val="00AC7AFC"/>
    <w:rsid w:val="00AC7B0D"/>
    <w:rsid w:val="00AC7B21"/>
    <w:rsid w:val="00AC7B50"/>
    <w:rsid w:val="00AC7B52"/>
    <w:rsid w:val="00AC7B70"/>
    <w:rsid w:val="00AC7BA5"/>
    <w:rsid w:val="00AC7BA7"/>
    <w:rsid w:val="00AC7BB8"/>
    <w:rsid w:val="00AC7BE1"/>
    <w:rsid w:val="00AC7BF9"/>
    <w:rsid w:val="00AC7C04"/>
    <w:rsid w:val="00AC7C84"/>
    <w:rsid w:val="00AC7C9E"/>
    <w:rsid w:val="00AC7CCD"/>
    <w:rsid w:val="00AC7CD8"/>
    <w:rsid w:val="00AC7D7E"/>
    <w:rsid w:val="00AC7D96"/>
    <w:rsid w:val="00AC7D97"/>
    <w:rsid w:val="00AC7DD2"/>
    <w:rsid w:val="00AC7E9C"/>
    <w:rsid w:val="00AC7EA7"/>
    <w:rsid w:val="00AC7EB0"/>
    <w:rsid w:val="00AC7EC6"/>
    <w:rsid w:val="00AC7EDB"/>
    <w:rsid w:val="00AC7EDC"/>
    <w:rsid w:val="00AC7EF5"/>
    <w:rsid w:val="00AD004F"/>
    <w:rsid w:val="00AD005E"/>
    <w:rsid w:val="00AD009F"/>
    <w:rsid w:val="00AD00AD"/>
    <w:rsid w:val="00AD0171"/>
    <w:rsid w:val="00AD0176"/>
    <w:rsid w:val="00AD01AE"/>
    <w:rsid w:val="00AD01F0"/>
    <w:rsid w:val="00AD0223"/>
    <w:rsid w:val="00AD023B"/>
    <w:rsid w:val="00AD023F"/>
    <w:rsid w:val="00AD0247"/>
    <w:rsid w:val="00AD025B"/>
    <w:rsid w:val="00AD02E4"/>
    <w:rsid w:val="00AD0324"/>
    <w:rsid w:val="00AD0341"/>
    <w:rsid w:val="00AD03F8"/>
    <w:rsid w:val="00AD0421"/>
    <w:rsid w:val="00AD04DA"/>
    <w:rsid w:val="00AD05A0"/>
    <w:rsid w:val="00AD05B0"/>
    <w:rsid w:val="00AD05BB"/>
    <w:rsid w:val="00AD05F3"/>
    <w:rsid w:val="00AD0653"/>
    <w:rsid w:val="00AD066E"/>
    <w:rsid w:val="00AD067A"/>
    <w:rsid w:val="00AD0680"/>
    <w:rsid w:val="00AD06C3"/>
    <w:rsid w:val="00AD06DB"/>
    <w:rsid w:val="00AD06F5"/>
    <w:rsid w:val="00AD0721"/>
    <w:rsid w:val="00AD073F"/>
    <w:rsid w:val="00AD075A"/>
    <w:rsid w:val="00AD079B"/>
    <w:rsid w:val="00AD07AA"/>
    <w:rsid w:val="00AD07B2"/>
    <w:rsid w:val="00AD07B3"/>
    <w:rsid w:val="00AD0804"/>
    <w:rsid w:val="00AD0855"/>
    <w:rsid w:val="00AD086B"/>
    <w:rsid w:val="00AD08A0"/>
    <w:rsid w:val="00AD08A6"/>
    <w:rsid w:val="00AD08BD"/>
    <w:rsid w:val="00AD09A3"/>
    <w:rsid w:val="00AD09DF"/>
    <w:rsid w:val="00AD09F7"/>
    <w:rsid w:val="00AD09FB"/>
    <w:rsid w:val="00AD0A0D"/>
    <w:rsid w:val="00AD0A1D"/>
    <w:rsid w:val="00AD0A27"/>
    <w:rsid w:val="00AD0A4A"/>
    <w:rsid w:val="00AD0B0A"/>
    <w:rsid w:val="00AD0B3B"/>
    <w:rsid w:val="00AD0B4D"/>
    <w:rsid w:val="00AD0C34"/>
    <w:rsid w:val="00AD0C43"/>
    <w:rsid w:val="00AD0C55"/>
    <w:rsid w:val="00AD0C96"/>
    <w:rsid w:val="00AD0CC6"/>
    <w:rsid w:val="00AD0CF1"/>
    <w:rsid w:val="00AD0D54"/>
    <w:rsid w:val="00AD0D60"/>
    <w:rsid w:val="00AD0DB7"/>
    <w:rsid w:val="00AD0DEE"/>
    <w:rsid w:val="00AD0E94"/>
    <w:rsid w:val="00AD0EA2"/>
    <w:rsid w:val="00AD0EA5"/>
    <w:rsid w:val="00AD0EFC"/>
    <w:rsid w:val="00AD0FB5"/>
    <w:rsid w:val="00AD0FEB"/>
    <w:rsid w:val="00AD0FF9"/>
    <w:rsid w:val="00AD103F"/>
    <w:rsid w:val="00AD10D3"/>
    <w:rsid w:val="00AD10D6"/>
    <w:rsid w:val="00AD10DD"/>
    <w:rsid w:val="00AD10FF"/>
    <w:rsid w:val="00AD1123"/>
    <w:rsid w:val="00AD1156"/>
    <w:rsid w:val="00AD1186"/>
    <w:rsid w:val="00AD1197"/>
    <w:rsid w:val="00AD11A1"/>
    <w:rsid w:val="00AD1223"/>
    <w:rsid w:val="00AD1265"/>
    <w:rsid w:val="00AD132B"/>
    <w:rsid w:val="00AD147B"/>
    <w:rsid w:val="00AD1486"/>
    <w:rsid w:val="00AD148B"/>
    <w:rsid w:val="00AD14F2"/>
    <w:rsid w:val="00AD1508"/>
    <w:rsid w:val="00AD151E"/>
    <w:rsid w:val="00AD1594"/>
    <w:rsid w:val="00AD15C0"/>
    <w:rsid w:val="00AD1669"/>
    <w:rsid w:val="00AD1672"/>
    <w:rsid w:val="00AD16D7"/>
    <w:rsid w:val="00AD171D"/>
    <w:rsid w:val="00AD1724"/>
    <w:rsid w:val="00AD17B6"/>
    <w:rsid w:val="00AD181A"/>
    <w:rsid w:val="00AD1888"/>
    <w:rsid w:val="00AD18A2"/>
    <w:rsid w:val="00AD18BF"/>
    <w:rsid w:val="00AD18EB"/>
    <w:rsid w:val="00AD1994"/>
    <w:rsid w:val="00AD1A6D"/>
    <w:rsid w:val="00AD1AEC"/>
    <w:rsid w:val="00AD1AFB"/>
    <w:rsid w:val="00AD1B82"/>
    <w:rsid w:val="00AD1BA9"/>
    <w:rsid w:val="00AD1BC1"/>
    <w:rsid w:val="00AD1C07"/>
    <w:rsid w:val="00AD1C16"/>
    <w:rsid w:val="00AD1C95"/>
    <w:rsid w:val="00AD1CAD"/>
    <w:rsid w:val="00AD1DD7"/>
    <w:rsid w:val="00AD1DDF"/>
    <w:rsid w:val="00AD1E7F"/>
    <w:rsid w:val="00AD1E96"/>
    <w:rsid w:val="00AD1EC7"/>
    <w:rsid w:val="00AD1EF5"/>
    <w:rsid w:val="00AD2021"/>
    <w:rsid w:val="00AD206B"/>
    <w:rsid w:val="00AD20A9"/>
    <w:rsid w:val="00AD20CE"/>
    <w:rsid w:val="00AD20E8"/>
    <w:rsid w:val="00AD21CA"/>
    <w:rsid w:val="00AD2215"/>
    <w:rsid w:val="00AD2296"/>
    <w:rsid w:val="00AD22F3"/>
    <w:rsid w:val="00AD22FD"/>
    <w:rsid w:val="00AD2430"/>
    <w:rsid w:val="00AD247B"/>
    <w:rsid w:val="00AD2493"/>
    <w:rsid w:val="00AD2505"/>
    <w:rsid w:val="00AD2536"/>
    <w:rsid w:val="00AD2591"/>
    <w:rsid w:val="00AD25BA"/>
    <w:rsid w:val="00AD2723"/>
    <w:rsid w:val="00AD27BF"/>
    <w:rsid w:val="00AD2810"/>
    <w:rsid w:val="00AD2837"/>
    <w:rsid w:val="00AD2936"/>
    <w:rsid w:val="00AD294D"/>
    <w:rsid w:val="00AD295D"/>
    <w:rsid w:val="00AD2993"/>
    <w:rsid w:val="00AD29F7"/>
    <w:rsid w:val="00AD2A6B"/>
    <w:rsid w:val="00AD2A7D"/>
    <w:rsid w:val="00AD2ACD"/>
    <w:rsid w:val="00AD2B28"/>
    <w:rsid w:val="00AD2B4F"/>
    <w:rsid w:val="00AD2BC0"/>
    <w:rsid w:val="00AD2BEB"/>
    <w:rsid w:val="00AD2C30"/>
    <w:rsid w:val="00AD2C81"/>
    <w:rsid w:val="00AD2CAA"/>
    <w:rsid w:val="00AD2D1A"/>
    <w:rsid w:val="00AD2DA8"/>
    <w:rsid w:val="00AD2DA9"/>
    <w:rsid w:val="00AD2E08"/>
    <w:rsid w:val="00AD2E3E"/>
    <w:rsid w:val="00AD2E61"/>
    <w:rsid w:val="00AD2ECD"/>
    <w:rsid w:val="00AD2EED"/>
    <w:rsid w:val="00AD2EF2"/>
    <w:rsid w:val="00AD2F0B"/>
    <w:rsid w:val="00AD2F2B"/>
    <w:rsid w:val="00AD2F4E"/>
    <w:rsid w:val="00AD2F6F"/>
    <w:rsid w:val="00AD2FA6"/>
    <w:rsid w:val="00AD3071"/>
    <w:rsid w:val="00AD3076"/>
    <w:rsid w:val="00AD309D"/>
    <w:rsid w:val="00AD312B"/>
    <w:rsid w:val="00AD316E"/>
    <w:rsid w:val="00AD31CD"/>
    <w:rsid w:val="00AD31D9"/>
    <w:rsid w:val="00AD328D"/>
    <w:rsid w:val="00AD32C6"/>
    <w:rsid w:val="00AD32D4"/>
    <w:rsid w:val="00AD32E6"/>
    <w:rsid w:val="00AD32FC"/>
    <w:rsid w:val="00AD3351"/>
    <w:rsid w:val="00AD3386"/>
    <w:rsid w:val="00AD3494"/>
    <w:rsid w:val="00AD3577"/>
    <w:rsid w:val="00AD35C7"/>
    <w:rsid w:val="00AD35D1"/>
    <w:rsid w:val="00AD35E7"/>
    <w:rsid w:val="00AD3631"/>
    <w:rsid w:val="00AD364A"/>
    <w:rsid w:val="00AD3665"/>
    <w:rsid w:val="00AD3675"/>
    <w:rsid w:val="00AD367A"/>
    <w:rsid w:val="00AD3694"/>
    <w:rsid w:val="00AD36AC"/>
    <w:rsid w:val="00AD36C9"/>
    <w:rsid w:val="00AD36E3"/>
    <w:rsid w:val="00AD36F5"/>
    <w:rsid w:val="00AD3751"/>
    <w:rsid w:val="00AD37B6"/>
    <w:rsid w:val="00AD3810"/>
    <w:rsid w:val="00AD381E"/>
    <w:rsid w:val="00AD38B6"/>
    <w:rsid w:val="00AD3909"/>
    <w:rsid w:val="00AD390F"/>
    <w:rsid w:val="00AD39F1"/>
    <w:rsid w:val="00AD3A21"/>
    <w:rsid w:val="00AD3A84"/>
    <w:rsid w:val="00AD3AA9"/>
    <w:rsid w:val="00AD3AC4"/>
    <w:rsid w:val="00AD3BAF"/>
    <w:rsid w:val="00AD3BD3"/>
    <w:rsid w:val="00AD3BDA"/>
    <w:rsid w:val="00AD3C00"/>
    <w:rsid w:val="00AD3C1E"/>
    <w:rsid w:val="00AD3CAC"/>
    <w:rsid w:val="00AD3D34"/>
    <w:rsid w:val="00AD3D56"/>
    <w:rsid w:val="00AD3D6E"/>
    <w:rsid w:val="00AD3D99"/>
    <w:rsid w:val="00AD3D9F"/>
    <w:rsid w:val="00AD3DAA"/>
    <w:rsid w:val="00AD3DB2"/>
    <w:rsid w:val="00AD3DDB"/>
    <w:rsid w:val="00AD3E21"/>
    <w:rsid w:val="00AD3E4A"/>
    <w:rsid w:val="00AD3E81"/>
    <w:rsid w:val="00AD3E9E"/>
    <w:rsid w:val="00AD3EDD"/>
    <w:rsid w:val="00AD402F"/>
    <w:rsid w:val="00AD407A"/>
    <w:rsid w:val="00AD410A"/>
    <w:rsid w:val="00AD429C"/>
    <w:rsid w:val="00AD42A6"/>
    <w:rsid w:val="00AD42D9"/>
    <w:rsid w:val="00AD4395"/>
    <w:rsid w:val="00AD43AB"/>
    <w:rsid w:val="00AD43C0"/>
    <w:rsid w:val="00AD444F"/>
    <w:rsid w:val="00AD4459"/>
    <w:rsid w:val="00AD445C"/>
    <w:rsid w:val="00AD4463"/>
    <w:rsid w:val="00AD4549"/>
    <w:rsid w:val="00AD4593"/>
    <w:rsid w:val="00AD46C4"/>
    <w:rsid w:val="00AD4742"/>
    <w:rsid w:val="00AD4791"/>
    <w:rsid w:val="00AD47F2"/>
    <w:rsid w:val="00AD4821"/>
    <w:rsid w:val="00AD4824"/>
    <w:rsid w:val="00AD4848"/>
    <w:rsid w:val="00AD4865"/>
    <w:rsid w:val="00AD487C"/>
    <w:rsid w:val="00AD4975"/>
    <w:rsid w:val="00AD49AD"/>
    <w:rsid w:val="00AD4A25"/>
    <w:rsid w:val="00AD4A6E"/>
    <w:rsid w:val="00AD4AFD"/>
    <w:rsid w:val="00AD4B3C"/>
    <w:rsid w:val="00AD4B58"/>
    <w:rsid w:val="00AD4BBA"/>
    <w:rsid w:val="00AD4BBB"/>
    <w:rsid w:val="00AD4C58"/>
    <w:rsid w:val="00AD4C81"/>
    <w:rsid w:val="00AD4D03"/>
    <w:rsid w:val="00AD4D32"/>
    <w:rsid w:val="00AD4D8E"/>
    <w:rsid w:val="00AD4DC9"/>
    <w:rsid w:val="00AD4DEF"/>
    <w:rsid w:val="00AD4DF8"/>
    <w:rsid w:val="00AD4E13"/>
    <w:rsid w:val="00AD4E2D"/>
    <w:rsid w:val="00AD4E35"/>
    <w:rsid w:val="00AD4E76"/>
    <w:rsid w:val="00AD4E98"/>
    <w:rsid w:val="00AD4EB3"/>
    <w:rsid w:val="00AD4EF8"/>
    <w:rsid w:val="00AD4F29"/>
    <w:rsid w:val="00AD4F65"/>
    <w:rsid w:val="00AD4F77"/>
    <w:rsid w:val="00AD4F8E"/>
    <w:rsid w:val="00AD4F94"/>
    <w:rsid w:val="00AD503A"/>
    <w:rsid w:val="00AD506E"/>
    <w:rsid w:val="00AD509E"/>
    <w:rsid w:val="00AD50A8"/>
    <w:rsid w:val="00AD50A9"/>
    <w:rsid w:val="00AD513E"/>
    <w:rsid w:val="00AD5179"/>
    <w:rsid w:val="00AD51F5"/>
    <w:rsid w:val="00AD5225"/>
    <w:rsid w:val="00AD5239"/>
    <w:rsid w:val="00AD523B"/>
    <w:rsid w:val="00AD52BC"/>
    <w:rsid w:val="00AD52CC"/>
    <w:rsid w:val="00AD530C"/>
    <w:rsid w:val="00AD5310"/>
    <w:rsid w:val="00AD5314"/>
    <w:rsid w:val="00AD5316"/>
    <w:rsid w:val="00AD5340"/>
    <w:rsid w:val="00AD538E"/>
    <w:rsid w:val="00AD53D4"/>
    <w:rsid w:val="00AD5416"/>
    <w:rsid w:val="00AD5430"/>
    <w:rsid w:val="00AD543A"/>
    <w:rsid w:val="00AD5449"/>
    <w:rsid w:val="00AD5453"/>
    <w:rsid w:val="00AD54C9"/>
    <w:rsid w:val="00AD5536"/>
    <w:rsid w:val="00AD554C"/>
    <w:rsid w:val="00AD5581"/>
    <w:rsid w:val="00AD558D"/>
    <w:rsid w:val="00AD5598"/>
    <w:rsid w:val="00AD55BE"/>
    <w:rsid w:val="00AD5605"/>
    <w:rsid w:val="00AD5606"/>
    <w:rsid w:val="00AD5680"/>
    <w:rsid w:val="00AD56C6"/>
    <w:rsid w:val="00AD56E4"/>
    <w:rsid w:val="00AD570E"/>
    <w:rsid w:val="00AD5712"/>
    <w:rsid w:val="00AD574B"/>
    <w:rsid w:val="00AD576D"/>
    <w:rsid w:val="00AD578C"/>
    <w:rsid w:val="00AD57C3"/>
    <w:rsid w:val="00AD5813"/>
    <w:rsid w:val="00AD584F"/>
    <w:rsid w:val="00AD5870"/>
    <w:rsid w:val="00AD58C9"/>
    <w:rsid w:val="00AD58F6"/>
    <w:rsid w:val="00AD597F"/>
    <w:rsid w:val="00AD5A17"/>
    <w:rsid w:val="00AD5A20"/>
    <w:rsid w:val="00AD5AA2"/>
    <w:rsid w:val="00AD5AE1"/>
    <w:rsid w:val="00AD5AFA"/>
    <w:rsid w:val="00AD5B1B"/>
    <w:rsid w:val="00AD5B45"/>
    <w:rsid w:val="00AD5B68"/>
    <w:rsid w:val="00AD5B95"/>
    <w:rsid w:val="00AD5B9B"/>
    <w:rsid w:val="00AD5BD1"/>
    <w:rsid w:val="00AD5BEF"/>
    <w:rsid w:val="00AD5C2F"/>
    <w:rsid w:val="00AD5C3D"/>
    <w:rsid w:val="00AD5C60"/>
    <w:rsid w:val="00AD5C6B"/>
    <w:rsid w:val="00AD5C9C"/>
    <w:rsid w:val="00AD5CE8"/>
    <w:rsid w:val="00AD5CFE"/>
    <w:rsid w:val="00AD5D37"/>
    <w:rsid w:val="00AD5DAC"/>
    <w:rsid w:val="00AD5DB2"/>
    <w:rsid w:val="00AD5DB6"/>
    <w:rsid w:val="00AD5DC3"/>
    <w:rsid w:val="00AD5DCD"/>
    <w:rsid w:val="00AD5E55"/>
    <w:rsid w:val="00AD5EFC"/>
    <w:rsid w:val="00AD5F55"/>
    <w:rsid w:val="00AD5F5A"/>
    <w:rsid w:val="00AD5F94"/>
    <w:rsid w:val="00AD602F"/>
    <w:rsid w:val="00AD603E"/>
    <w:rsid w:val="00AD6093"/>
    <w:rsid w:val="00AD60D6"/>
    <w:rsid w:val="00AD60EE"/>
    <w:rsid w:val="00AD611E"/>
    <w:rsid w:val="00AD6132"/>
    <w:rsid w:val="00AD6134"/>
    <w:rsid w:val="00AD6143"/>
    <w:rsid w:val="00AD619D"/>
    <w:rsid w:val="00AD61A8"/>
    <w:rsid w:val="00AD61D9"/>
    <w:rsid w:val="00AD62AC"/>
    <w:rsid w:val="00AD62B6"/>
    <w:rsid w:val="00AD633B"/>
    <w:rsid w:val="00AD634F"/>
    <w:rsid w:val="00AD63AD"/>
    <w:rsid w:val="00AD63DE"/>
    <w:rsid w:val="00AD63ED"/>
    <w:rsid w:val="00AD6453"/>
    <w:rsid w:val="00AD6479"/>
    <w:rsid w:val="00AD64A5"/>
    <w:rsid w:val="00AD64F1"/>
    <w:rsid w:val="00AD6551"/>
    <w:rsid w:val="00AD6567"/>
    <w:rsid w:val="00AD65B3"/>
    <w:rsid w:val="00AD65CC"/>
    <w:rsid w:val="00AD661B"/>
    <w:rsid w:val="00AD6622"/>
    <w:rsid w:val="00AD6630"/>
    <w:rsid w:val="00AD6650"/>
    <w:rsid w:val="00AD6659"/>
    <w:rsid w:val="00AD6696"/>
    <w:rsid w:val="00AD6697"/>
    <w:rsid w:val="00AD66A0"/>
    <w:rsid w:val="00AD66AF"/>
    <w:rsid w:val="00AD66C5"/>
    <w:rsid w:val="00AD66CF"/>
    <w:rsid w:val="00AD66D8"/>
    <w:rsid w:val="00AD66DF"/>
    <w:rsid w:val="00AD66ED"/>
    <w:rsid w:val="00AD671F"/>
    <w:rsid w:val="00AD673D"/>
    <w:rsid w:val="00AD675B"/>
    <w:rsid w:val="00AD6797"/>
    <w:rsid w:val="00AD67B4"/>
    <w:rsid w:val="00AD67BA"/>
    <w:rsid w:val="00AD67D4"/>
    <w:rsid w:val="00AD6831"/>
    <w:rsid w:val="00AD6886"/>
    <w:rsid w:val="00AD68A4"/>
    <w:rsid w:val="00AD68D3"/>
    <w:rsid w:val="00AD6905"/>
    <w:rsid w:val="00AD6908"/>
    <w:rsid w:val="00AD6919"/>
    <w:rsid w:val="00AD693F"/>
    <w:rsid w:val="00AD69B8"/>
    <w:rsid w:val="00AD69C1"/>
    <w:rsid w:val="00AD69C7"/>
    <w:rsid w:val="00AD69DC"/>
    <w:rsid w:val="00AD6AAE"/>
    <w:rsid w:val="00AD6AEB"/>
    <w:rsid w:val="00AD6B2D"/>
    <w:rsid w:val="00AD6B6F"/>
    <w:rsid w:val="00AD6BD7"/>
    <w:rsid w:val="00AD6C75"/>
    <w:rsid w:val="00AD6C8C"/>
    <w:rsid w:val="00AD6C93"/>
    <w:rsid w:val="00AD6CC4"/>
    <w:rsid w:val="00AD6CD9"/>
    <w:rsid w:val="00AD6D45"/>
    <w:rsid w:val="00AD6D97"/>
    <w:rsid w:val="00AD6DD9"/>
    <w:rsid w:val="00AD6DF8"/>
    <w:rsid w:val="00AD6E59"/>
    <w:rsid w:val="00AD6E79"/>
    <w:rsid w:val="00AD6F62"/>
    <w:rsid w:val="00AD6F8E"/>
    <w:rsid w:val="00AD6F99"/>
    <w:rsid w:val="00AD6F9D"/>
    <w:rsid w:val="00AD700E"/>
    <w:rsid w:val="00AD7030"/>
    <w:rsid w:val="00AD70AC"/>
    <w:rsid w:val="00AD70AF"/>
    <w:rsid w:val="00AD70BB"/>
    <w:rsid w:val="00AD712D"/>
    <w:rsid w:val="00AD713D"/>
    <w:rsid w:val="00AD7164"/>
    <w:rsid w:val="00AD717F"/>
    <w:rsid w:val="00AD71D6"/>
    <w:rsid w:val="00AD71EF"/>
    <w:rsid w:val="00AD723A"/>
    <w:rsid w:val="00AD7240"/>
    <w:rsid w:val="00AD725A"/>
    <w:rsid w:val="00AD7275"/>
    <w:rsid w:val="00AD72C3"/>
    <w:rsid w:val="00AD730D"/>
    <w:rsid w:val="00AD733D"/>
    <w:rsid w:val="00AD73BF"/>
    <w:rsid w:val="00AD7440"/>
    <w:rsid w:val="00AD7460"/>
    <w:rsid w:val="00AD7576"/>
    <w:rsid w:val="00AD758C"/>
    <w:rsid w:val="00AD75AA"/>
    <w:rsid w:val="00AD75D8"/>
    <w:rsid w:val="00AD765B"/>
    <w:rsid w:val="00AD768A"/>
    <w:rsid w:val="00AD76AF"/>
    <w:rsid w:val="00AD76B6"/>
    <w:rsid w:val="00AD770E"/>
    <w:rsid w:val="00AD772A"/>
    <w:rsid w:val="00AD776A"/>
    <w:rsid w:val="00AD7774"/>
    <w:rsid w:val="00AD779B"/>
    <w:rsid w:val="00AD77D2"/>
    <w:rsid w:val="00AD77EA"/>
    <w:rsid w:val="00AD77F8"/>
    <w:rsid w:val="00AD7838"/>
    <w:rsid w:val="00AD7864"/>
    <w:rsid w:val="00AD788F"/>
    <w:rsid w:val="00AD7913"/>
    <w:rsid w:val="00AD7999"/>
    <w:rsid w:val="00AD79E0"/>
    <w:rsid w:val="00AD7A35"/>
    <w:rsid w:val="00AD7B5D"/>
    <w:rsid w:val="00AD7B7C"/>
    <w:rsid w:val="00AD7B87"/>
    <w:rsid w:val="00AD7B89"/>
    <w:rsid w:val="00AD7BD0"/>
    <w:rsid w:val="00AD7C1E"/>
    <w:rsid w:val="00AD7CB9"/>
    <w:rsid w:val="00AD7D6A"/>
    <w:rsid w:val="00AD7D8B"/>
    <w:rsid w:val="00AD7DAF"/>
    <w:rsid w:val="00AD7E8A"/>
    <w:rsid w:val="00AD7E97"/>
    <w:rsid w:val="00AE0020"/>
    <w:rsid w:val="00AE0030"/>
    <w:rsid w:val="00AE003D"/>
    <w:rsid w:val="00AE0047"/>
    <w:rsid w:val="00AE006B"/>
    <w:rsid w:val="00AE006D"/>
    <w:rsid w:val="00AE006E"/>
    <w:rsid w:val="00AE00AB"/>
    <w:rsid w:val="00AE00C7"/>
    <w:rsid w:val="00AE00E3"/>
    <w:rsid w:val="00AE00F6"/>
    <w:rsid w:val="00AE014D"/>
    <w:rsid w:val="00AE0155"/>
    <w:rsid w:val="00AE0173"/>
    <w:rsid w:val="00AE01DC"/>
    <w:rsid w:val="00AE0264"/>
    <w:rsid w:val="00AE0344"/>
    <w:rsid w:val="00AE0376"/>
    <w:rsid w:val="00AE03F7"/>
    <w:rsid w:val="00AE047B"/>
    <w:rsid w:val="00AE048F"/>
    <w:rsid w:val="00AE04F6"/>
    <w:rsid w:val="00AE055F"/>
    <w:rsid w:val="00AE0599"/>
    <w:rsid w:val="00AE05D4"/>
    <w:rsid w:val="00AE05EA"/>
    <w:rsid w:val="00AE064D"/>
    <w:rsid w:val="00AE06F7"/>
    <w:rsid w:val="00AE072F"/>
    <w:rsid w:val="00AE078D"/>
    <w:rsid w:val="00AE07D1"/>
    <w:rsid w:val="00AE07DE"/>
    <w:rsid w:val="00AE084A"/>
    <w:rsid w:val="00AE08C8"/>
    <w:rsid w:val="00AE0913"/>
    <w:rsid w:val="00AE093A"/>
    <w:rsid w:val="00AE0A08"/>
    <w:rsid w:val="00AE0A2A"/>
    <w:rsid w:val="00AE0AF6"/>
    <w:rsid w:val="00AE0B11"/>
    <w:rsid w:val="00AE0B42"/>
    <w:rsid w:val="00AE0C18"/>
    <w:rsid w:val="00AE0C1E"/>
    <w:rsid w:val="00AE0C51"/>
    <w:rsid w:val="00AE0CFA"/>
    <w:rsid w:val="00AE0D02"/>
    <w:rsid w:val="00AE0E1A"/>
    <w:rsid w:val="00AE0E24"/>
    <w:rsid w:val="00AE0E60"/>
    <w:rsid w:val="00AE0EF7"/>
    <w:rsid w:val="00AE0EF9"/>
    <w:rsid w:val="00AE0F3C"/>
    <w:rsid w:val="00AE1037"/>
    <w:rsid w:val="00AE1098"/>
    <w:rsid w:val="00AE10E6"/>
    <w:rsid w:val="00AE1121"/>
    <w:rsid w:val="00AE112D"/>
    <w:rsid w:val="00AE1135"/>
    <w:rsid w:val="00AE113E"/>
    <w:rsid w:val="00AE11AC"/>
    <w:rsid w:val="00AE11C2"/>
    <w:rsid w:val="00AE1200"/>
    <w:rsid w:val="00AE1211"/>
    <w:rsid w:val="00AE121C"/>
    <w:rsid w:val="00AE1267"/>
    <w:rsid w:val="00AE12C5"/>
    <w:rsid w:val="00AE133E"/>
    <w:rsid w:val="00AE134F"/>
    <w:rsid w:val="00AE1390"/>
    <w:rsid w:val="00AE13AA"/>
    <w:rsid w:val="00AE1507"/>
    <w:rsid w:val="00AE158D"/>
    <w:rsid w:val="00AE15D7"/>
    <w:rsid w:val="00AE15EB"/>
    <w:rsid w:val="00AE1678"/>
    <w:rsid w:val="00AE1757"/>
    <w:rsid w:val="00AE17B0"/>
    <w:rsid w:val="00AE1894"/>
    <w:rsid w:val="00AE190B"/>
    <w:rsid w:val="00AE191C"/>
    <w:rsid w:val="00AE192A"/>
    <w:rsid w:val="00AE192E"/>
    <w:rsid w:val="00AE198E"/>
    <w:rsid w:val="00AE19A8"/>
    <w:rsid w:val="00AE19F3"/>
    <w:rsid w:val="00AE1A3C"/>
    <w:rsid w:val="00AE1ADE"/>
    <w:rsid w:val="00AE1B03"/>
    <w:rsid w:val="00AE1B4F"/>
    <w:rsid w:val="00AE1B59"/>
    <w:rsid w:val="00AE1B8F"/>
    <w:rsid w:val="00AE1BC9"/>
    <w:rsid w:val="00AE1C6A"/>
    <w:rsid w:val="00AE1CB4"/>
    <w:rsid w:val="00AE1D11"/>
    <w:rsid w:val="00AE1D1B"/>
    <w:rsid w:val="00AE1D51"/>
    <w:rsid w:val="00AE1D95"/>
    <w:rsid w:val="00AE1DCD"/>
    <w:rsid w:val="00AE1DDD"/>
    <w:rsid w:val="00AE1DE7"/>
    <w:rsid w:val="00AE1DFE"/>
    <w:rsid w:val="00AE1E02"/>
    <w:rsid w:val="00AE1E19"/>
    <w:rsid w:val="00AE1E4E"/>
    <w:rsid w:val="00AE1E6A"/>
    <w:rsid w:val="00AE1EA5"/>
    <w:rsid w:val="00AE1EA6"/>
    <w:rsid w:val="00AE1F22"/>
    <w:rsid w:val="00AE1F3A"/>
    <w:rsid w:val="00AE1F57"/>
    <w:rsid w:val="00AE1FA0"/>
    <w:rsid w:val="00AE1FE1"/>
    <w:rsid w:val="00AE2033"/>
    <w:rsid w:val="00AE2073"/>
    <w:rsid w:val="00AE209D"/>
    <w:rsid w:val="00AE20FF"/>
    <w:rsid w:val="00AE213B"/>
    <w:rsid w:val="00AE21A6"/>
    <w:rsid w:val="00AE21D8"/>
    <w:rsid w:val="00AE21E8"/>
    <w:rsid w:val="00AE223B"/>
    <w:rsid w:val="00AE2255"/>
    <w:rsid w:val="00AE22D3"/>
    <w:rsid w:val="00AE22F2"/>
    <w:rsid w:val="00AE233D"/>
    <w:rsid w:val="00AE238E"/>
    <w:rsid w:val="00AE2403"/>
    <w:rsid w:val="00AE246D"/>
    <w:rsid w:val="00AE2497"/>
    <w:rsid w:val="00AE24D5"/>
    <w:rsid w:val="00AE24DE"/>
    <w:rsid w:val="00AE2593"/>
    <w:rsid w:val="00AE25B0"/>
    <w:rsid w:val="00AE25EE"/>
    <w:rsid w:val="00AE25FF"/>
    <w:rsid w:val="00AE2629"/>
    <w:rsid w:val="00AE26B3"/>
    <w:rsid w:val="00AE2731"/>
    <w:rsid w:val="00AE275A"/>
    <w:rsid w:val="00AE2762"/>
    <w:rsid w:val="00AE27A1"/>
    <w:rsid w:val="00AE27C6"/>
    <w:rsid w:val="00AE2805"/>
    <w:rsid w:val="00AE282E"/>
    <w:rsid w:val="00AE29D5"/>
    <w:rsid w:val="00AE2A54"/>
    <w:rsid w:val="00AE2A78"/>
    <w:rsid w:val="00AE2AA7"/>
    <w:rsid w:val="00AE2B5C"/>
    <w:rsid w:val="00AE2BC0"/>
    <w:rsid w:val="00AE2BD6"/>
    <w:rsid w:val="00AE2CB7"/>
    <w:rsid w:val="00AE2CE2"/>
    <w:rsid w:val="00AE2D67"/>
    <w:rsid w:val="00AE2D81"/>
    <w:rsid w:val="00AE2DBA"/>
    <w:rsid w:val="00AE2DC6"/>
    <w:rsid w:val="00AE2DFB"/>
    <w:rsid w:val="00AE2DFE"/>
    <w:rsid w:val="00AE2E35"/>
    <w:rsid w:val="00AE2E5B"/>
    <w:rsid w:val="00AE2E7D"/>
    <w:rsid w:val="00AE2F2F"/>
    <w:rsid w:val="00AE2F3C"/>
    <w:rsid w:val="00AE2FB8"/>
    <w:rsid w:val="00AE2FD2"/>
    <w:rsid w:val="00AE3012"/>
    <w:rsid w:val="00AE303A"/>
    <w:rsid w:val="00AE304C"/>
    <w:rsid w:val="00AE30B9"/>
    <w:rsid w:val="00AE310D"/>
    <w:rsid w:val="00AE316E"/>
    <w:rsid w:val="00AE31C3"/>
    <w:rsid w:val="00AE31D9"/>
    <w:rsid w:val="00AE31EA"/>
    <w:rsid w:val="00AE31FC"/>
    <w:rsid w:val="00AE3268"/>
    <w:rsid w:val="00AE3280"/>
    <w:rsid w:val="00AE32C3"/>
    <w:rsid w:val="00AE3390"/>
    <w:rsid w:val="00AE33D8"/>
    <w:rsid w:val="00AE33FF"/>
    <w:rsid w:val="00AE340B"/>
    <w:rsid w:val="00AE3410"/>
    <w:rsid w:val="00AE34F8"/>
    <w:rsid w:val="00AE3576"/>
    <w:rsid w:val="00AE35F7"/>
    <w:rsid w:val="00AE35FB"/>
    <w:rsid w:val="00AE361B"/>
    <w:rsid w:val="00AE368B"/>
    <w:rsid w:val="00AE3734"/>
    <w:rsid w:val="00AE37A4"/>
    <w:rsid w:val="00AE37A7"/>
    <w:rsid w:val="00AE37E6"/>
    <w:rsid w:val="00AE37EE"/>
    <w:rsid w:val="00AE3806"/>
    <w:rsid w:val="00AE3819"/>
    <w:rsid w:val="00AE387C"/>
    <w:rsid w:val="00AE3882"/>
    <w:rsid w:val="00AE38E5"/>
    <w:rsid w:val="00AE392A"/>
    <w:rsid w:val="00AE3934"/>
    <w:rsid w:val="00AE39B1"/>
    <w:rsid w:val="00AE39DD"/>
    <w:rsid w:val="00AE39F3"/>
    <w:rsid w:val="00AE39FD"/>
    <w:rsid w:val="00AE3A38"/>
    <w:rsid w:val="00AE3A7C"/>
    <w:rsid w:val="00AE3AA0"/>
    <w:rsid w:val="00AE3AF8"/>
    <w:rsid w:val="00AE3B01"/>
    <w:rsid w:val="00AE3BCC"/>
    <w:rsid w:val="00AE3C41"/>
    <w:rsid w:val="00AE3C7A"/>
    <w:rsid w:val="00AE3CD6"/>
    <w:rsid w:val="00AE3D1C"/>
    <w:rsid w:val="00AE3D34"/>
    <w:rsid w:val="00AE3DBB"/>
    <w:rsid w:val="00AE3DF4"/>
    <w:rsid w:val="00AE3E67"/>
    <w:rsid w:val="00AE3E8E"/>
    <w:rsid w:val="00AE3EDC"/>
    <w:rsid w:val="00AE3EEE"/>
    <w:rsid w:val="00AE3F51"/>
    <w:rsid w:val="00AE3F53"/>
    <w:rsid w:val="00AE3F87"/>
    <w:rsid w:val="00AE401D"/>
    <w:rsid w:val="00AE4055"/>
    <w:rsid w:val="00AE40D7"/>
    <w:rsid w:val="00AE40FB"/>
    <w:rsid w:val="00AE4121"/>
    <w:rsid w:val="00AE41CC"/>
    <w:rsid w:val="00AE41D2"/>
    <w:rsid w:val="00AE4237"/>
    <w:rsid w:val="00AE4382"/>
    <w:rsid w:val="00AE43C5"/>
    <w:rsid w:val="00AE4502"/>
    <w:rsid w:val="00AE451F"/>
    <w:rsid w:val="00AE45C9"/>
    <w:rsid w:val="00AE467D"/>
    <w:rsid w:val="00AE4683"/>
    <w:rsid w:val="00AE4694"/>
    <w:rsid w:val="00AE46E7"/>
    <w:rsid w:val="00AE46FC"/>
    <w:rsid w:val="00AE473A"/>
    <w:rsid w:val="00AE474B"/>
    <w:rsid w:val="00AE47F9"/>
    <w:rsid w:val="00AE4830"/>
    <w:rsid w:val="00AE483D"/>
    <w:rsid w:val="00AE483F"/>
    <w:rsid w:val="00AE4874"/>
    <w:rsid w:val="00AE48D2"/>
    <w:rsid w:val="00AE48DF"/>
    <w:rsid w:val="00AE48E7"/>
    <w:rsid w:val="00AE492A"/>
    <w:rsid w:val="00AE493E"/>
    <w:rsid w:val="00AE4951"/>
    <w:rsid w:val="00AE4990"/>
    <w:rsid w:val="00AE4A2A"/>
    <w:rsid w:val="00AE4AD5"/>
    <w:rsid w:val="00AE4AF3"/>
    <w:rsid w:val="00AE4AFA"/>
    <w:rsid w:val="00AE4B5B"/>
    <w:rsid w:val="00AE4BE8"/>
    <w:rsid w:val="00AE4BFF"/>
    <w:rsid w:val="00AE4C09"/>
    <w:rsid w:val="00AE4C4A"/>
    <w:rsid w:val="00AE4C9A"/>
    <w:rsid w:val="00AE4CC5"/>
    <w:rsid w:val="00AE4CDD"/>
    <w:rsid w:val="00AE4D02"/>
    <w:rsid w:val="00AE4D57"/>
    <w:rsid w:val="00AE4DE3"/>
    <w:rsid w:val="00AE4E38"/>
    <w:rsid w:val="00AE4E3C"/>
    <w:rsid w:val="00AE4E60"/>
    <w:rsid w:val="00AE4F76"/>
    <w:rsid w:val="00AE4FAE"/>
    <w:rsid w:val="00AE4FE6"/>
    <w:rsid w:val="00AE500A"/>
    <w:rsid w:val="00AE5050"/>
    <w:rsid w:val="00AE50CA"/>
    <w:rsid w:val="00AE5109"/>
    <w:rsid w:val="00AE512F"/>
    <w:rsid w:val="00AE5197"/>
    <w:rsid w:val="00AE51FB"/>
    <w:rsid w:val="00AE5287"/>
    <w:rsid w:val="00AE52B0"/>
    <w:rsid w:val="00AE5357"/>
    <w:rsid w:val="00AE53E2"/>
    <w:rsid w:val="00AE54DE"/>
    <w:rsid w:val="00AE5565"/>
    <w:rsid w:val="00AE557E"/>
    <w:rsid w:val="00AE55E8"/>
    <w:rsid w:val="00AE5666"/>
    <w:rsid w:val="00AE5687"/>
    <w:rsid w:val="00AE5691"/>
    <w:rsid w:val="00AE5696"/>
    <w:rsid w:val="00AE56AD"/>
    <w:rsid w:val="00AE5707"/>
    <w:rsid w:val="00AE5864"/>
    <w:rsid w:val="00AE5882"/>
    <w:rsid w:val="00AE58A7"/>
    <w:rsid w:val="00AE58BF"/>
    <w:rsid w:val="00AE58E5"/>
    <w:rsid w:val="00AE58FA"/>
    <w:rsid w:val="00AE5924"/>
    <w:rsid w:val="00AE59D1"/>
    <w:rsid w:val="00AE59D6"/>
    <w:rsid w:val="00AE59F6"/>
    <w:rsid w:val="00AE59FC"/>
    <w:rsid w:val="00AE5A16"/>
    <w:rsid w:val="00AE5A1A"/>
    <w:rsid w:val="00AE5A46"/>
    <w:rsid w:val="00AE5B31"/>
    <w:rsid w:val="00AE5B3D"/>
    <w:rsid w:val="00AE5B3E"/>
    <w:rsid w:val="00AE5B47"/>
    <w:rsid w:val="00AE5B5C"/>
    <w:rsid w:val="00AE5BEE"/>
    <w:rsid w:val="00AE5BFF"/>
    <w:rsid w:val="00AE5C27"/>
    <w:rsid w:val="00AE5D3B"/>
    <w:rsid w:val="00AE5D68"/>
    <w:rsid w:val="00AE5DC6"/>
    <w:rsid w:val="00AE5E0E"/>
    <w:rsid w:val="00AE5E9F"/>
    <w:rsid w:val="00AE5ECA"/>
    <w:rsid w:val="00AE5ECB"/>
    <w:rsid w:val="00AE5EF3"/>
    <w:rsid w:val="00AE5F68"/>
    <w:rsid w:val="00AE5F8B"/>
    <w:rsid w:val="00AE5FD6"/>
    <w:rsid w:val="00AE6032"/>
    <w:rsid w:val="00AE6087"/>
    <w:rsid w:val="00AE614B"/>
    <w:rsid w:val="00AE6158"/>
    <w:rsid w:val="00AE6166"/>
    <w:rsid w:val="00AE617B"/>
    <w:rsid w:val="00AE61C2"/>
    <w:rsid w:val="00AE623E"/>
    <w:rsid w:val="00AE62BC"/>
    <w:rsid w:val="00AE62ED"/>
    <w:rsid w:val="00AE62F8"/>
    <w:rsid w:val="00AE630E"/>
    <w:rsid w:val="00AE6318"/>
    <w:rsid w:val="00AE63C5"/>
    <w:rsid w:val="00AE6403"/>
    <w:rsid w:val="00AE6435"/>
    <w:rsid w:val="00AE6457"/>
    <w:rsid w:val="00AE64AC"/>
    <w:rsid w:val="00AE64C7"/>
    <w:rsid w:val="00AE64F9"/>
    <w:rsid w:val="00AE6628"/>
    <w:rsid w:val="00AE668F"/>
    <w:rsid w:val="00AE6690"/>
    <w:rsid w:val="00AE669F"/>
    <w:rsid w:val="00AE66B9"/>
    <w:rsid w:val="00AE66FC"/>
    <w:rsid w:val="00AE6703"/>
    <w:rsid w:val="00AE672A"/>
    <w:rsid w:val="00AE67FD"/>
    <w:rsid w:val="00AE681D"/>
    <w:rsid w:val="00AE6856"/>
    <w:rsid w:val="00AE6861"/>
    <w:rsid w:val="00AE6890"/>
    <w:rsid w:val="00AE68A2"/>
    <w:rsid w:val="00AE691F"/>
    <w:rsid w:val="00AE69EC"/>
    <w:rsid w:val="00AE69FD"/>
    <w:rsid w:val="00AE6A3C"/>
    <w:rsid w:val="00AE6A5F"/>
    <w:rsid w:val="00AE6A64"/>
    <w:rsid w:val="00AE6A81"/>
    <w:rsid w:val="00AE6A98"/>
    <w:rsid w:val="00AE6AC6"/>
    <w:rsid w:val="00AE6AE7"/>
    <w:rsid w:val="00AE6AF5"/>
    <w:rsid w:val="00AE6B1E"/>
    <w:rsid w:val="00AE6C3D"/>
    <w:rsid w:val="00AE6C75"/>
    <w:rsid w:val="00AE6C99"/>
    <w:rsid w:val="00AE6CCC"/>
    <w:rsid w:val="00AE6CDB"/>
    <w:rsid w:val="00AE6D47"/>
    <w:rsid w:val="00AE6D8D"/>
    <w:rsid w:val="00AE6DF1"/>
    <w:rsid w:val="00AE6E07"/>
    <w:rsid w:val="00AE6E30"/>
    <w:rsid w:val="00AE6E52"/>
    <w:rsid w:val="00AE6EC9"/>
    <w:rsid w:val="00AE6F2B"/>
    <w:rsid w:val="00AE6F7A"/>
    <w:rsid w:val="00AE6F85"/>
    <w:rsid w:val="00AE7040"/>
    <w:rsid w:val="00AE704A"/>
    <w:rsid w:val="00AE7053"/>
    <w:rsid w:val="00AE7063"/>
    <w:rsid w:val="00AE709A"/>
    <w:rsid w:val="00AE70B7"/>
    <w:rsid w:val="00AE70E4"/>
    <w:rsid w:val="00AE70F5"/>
    <w:rsid w:val="00AE7150"/>
    <w:rsid w:val="00AE71F0"/>
    <w:rsid w:val="00AE7210"/>
    <w:rsid w:val="00AE724E"/>
    <w:rsid w:val="00AE72DC"/>
    <w:rsid w:val="00AE72DD"/>
    <w:rsid w:val="00AE72E3"/>
    <w:rsid w:val="00AE72F9"/>
    <w:rsid w:val="00AE7331"/>
    <w:rsid w:val="00AE73E8"/>
    <w:rsid w:val="00AE7444"/>
    <w:rsid w:val="00AE7448"/>
    <w:rsid w:val="00AE747E"/>
    <w:rsid w:val="00AE7492"/>
    <w:rsid w:val="00AE749C"/>
    <w:rsid w:val="00AE74AA"/>
    <w:rsid w:val="00AE74E0"/>
    <w:rsid w:val="00AE7644"/>
    <w:rsid w:val="00AE7688"/>
    <w:rsid w:val="00AE7747"/>
    <w:rsid w:val="00AE777B"/>
    <w:rsid w:val="00AE779B"/>
    <w:rsid w:val="00AE77CE"/>
    <w:rsid w:val="00AE77D4"/>
    <w:rsid w:val="00AE7843"/>
    <w:rsid w:val="00AE79AC"/>
    <w:rsid w:val="00AE79D9"/>
    <w:rsid w:val="00AE79DE"/>
    <w:rsid w:val="00AE7A3C"/>
    <w:rsid w:val="00AE7AAC"/>
    <w:rsid w:val="00AE7B28"/>
    <w:rsid w:val="00AE7BD2"/>
    <w:rsid w:val="00AE7BDF"/>
    <w:rsid w:val="00AE7C7E"/>
    <w:rsid w:val="00AE7C8E"/>
    <w:rsid w:val="00AE7CAD"/>
    <w:rsid w:val="00AE7CF0"/>
    <w:rsid w:val="00AE7CF9"/>
    <w:rsid w:val="00AE7D3B"/>
    <w:rsid w:val="00AE7E8E"/>
    <w:rsid w:val="00AE7E9E"/>
    <w:rsid w:val="00AE7EBE"/>
    <w:rsid w:val="00AE7F36"/>
    <w:rsid w:val="00AE7F79"/>
    <w:rsid w:val="00AE7F95"/>
    <w:rsid w:val="00AE7FC5"/>
    <w:rsid w:val="00AF0009"/>
    <w:rsid w:val="00AF0035"/>
    <w:rsid w:val="00AF0073"/>
    <w:rsid w:val="00AF00C5"/>
    <w:rsid w:val="00AF0120"/>
    <w:rsid w:val="00AF0145"/>
    <w:rsid w:val="00AF0152"/>
    <w:rsid w:val="00AF0160"/>
    <w:rsid w:val="00AF0178"/>
    <w:rsid w:val="00AF01C1"/>
    <w:rsid w:val="00AF020C"/>
    <w:rsid w:val="00AF0250"/>
    <w:rsid w:val="00AF0287"/>
    <w:rsid w:val="00AF02FD"/>
    <w:rsid w:val="00AF030D"/>
    <w:rsid w:val="00AF035B"/>
    <w:rsid w:val="00AF0377"/>
    <w:rsid w:val="00AF03B3"/>
    <w:rsid w:val="00AF0405"/>
    <w:rsid w:val="00AF041F"/>
    <w:rsid w:val="00AF0434"/>
    <w:rsid w:val="00AF0449"/>
    <w:rsid w:val="00AF04B0"/>
    <w:rsid w:val="00AF0530"/>
    <w:rsid w:val="00AF0591"/>
    <w:rsid w:val="00AF05B5"/>
    <w:rsid w:val="00AF0618"/>
    <w:rsid w:val="00AF0627"/>
    <w:rsid w:val="00AF06B8"/>
    <w:rsid w:val="00AF06D3"/>
    <w:rsid w:val="00AF06DA"/>
    <w:rsid w:val="00AF06ED"/>
    <w:rsid w:val="00AF0745"/>
    <w:rsid w:val="00AF07A2"/>
    <w:rsid w:val="00AF07BF"/>
    <w:rsid w:val="00AF07E8"/>
    <w:rsid w:val="00AF08B1"/>
    <w:rsid w:val="00AF09C0"/>
    <w:rsid w:val="00AF0A34"/>
    <w:rsid w:val="00AF0B03"/>
    <w:rsid w:val="00AF0B7B"/>
    <w:rsid w:val="00AF0B7C"/>
    <w:rsid w:val="00AF0BA1"/>
    <w:rsid w:val="00AF0C40"/>
    <w:rsid w:val="00AF0CAD"/>
    <w:rsid w:val="00AF0CCF"/>
    <w:rsid w:val="00AF0D02"/>
    <w:rsid w:val="00AF0D13"/>
    <w:rsid w:val="00AF0D75"/>
    <w:rsid w:val="00AF0DFE"/>
    <w:rsid w:val="00AF0E22"/>
    <w:rsid w:val="00AF0F78"/>
    <w:rsid w:val="00AF0FB5"/>
    <w:rsid w:val="00AF1112"/>
    <w:rsid w:val="00AF1157"/>
    <w:rsid w:val="00AF11A3"/>
    <w:rsid w:val="00AF122E"/>
    <w:rsid w:val="00AF1249"/>
    <w:rsid w:val="00AF12DE"/>
    <w:rsid w:val="00AF12F7"/>
    <w:rsid w:val="00AF1306"/>
    <w:rsid w:val="00AF1343"/>
    <w:rsid w:val="00AF1369"/>
    <w:rsid w:val="00AF136A"/>
    <w:rsid w:val="00AF139E"/>
    <w:rsid w:val="00AF13F4"/>
    <w:rsid w:val="00AF1419"/>
    <w:rsid w:val="00AF1438"/>
    <w:rsid w:val="00AF1447"/>
    <w:rsid w:val="00AF1460"/>
    <w:rsid w:val="00AF14E3"/>
    <w:rsid w:val="00AF14F6"/>
    <w:rsid w:val="00AF1530"/>
    <w:rsid w:val="00AF157C"/>
    <w:rsid w:val="00AF15EE"/>
    <w:rsid w:val="00AF16BB"/>
    <w:rsid w:val="00AF1701"/>
    <w:rsid w:val="00AF171B"/>
    <w:rsid w:val="00AF1736"/>
    <w:rsid w:val="00AF174C"/>
    <w:rsid w:val="00AF17B1"/>
    <w:rsid w:val="00AF190C"/>
    <w:rsid w:val="00AF192F"/>
    <w:rsid w:val="00AF195B"/>
    <w:rsid w:val="00AF19A9"/>
    <w:rsid w:val="00AF19C3"/>
    <w:rsid w:val="00AF1A2C"/>
    <w:rsid w:val="00AF1A2F"/>
    <w:rsid w:val="00AF1A69"/>
    <w:rsid w:val="00AF1AB7"/>
    <w:rsid w:val="00AF1ACA"/>
    <w:rsid w:val="00AF1AF6"/>
    <w:rsid w:val="00AF1AFC"/>
    <w:rsid w:val="00AF1B37"/>
    <w:rsid w:val="00AF1BA5"/>
    <w:rsid w:val="00AF1BB5"/>
    <w:rsid w:val="00AF1BBD"/>
    <w:rsid w:val="00AF1C3F"/>
    <w:rsid w:val="00AF1D2C"/>
    <w:rsid w:val="00AF1E3C"/>
    <w:rsid w:val="00AF1E70"/>
    <w:rsid w:val="00AF1E7B"/>
    <w:rsid w:val="00AF1EAB"/>
    <w:rsid w:val="00AF2005"/>
    <w:rsid w:val="00AF20A8"/>
    <w:rsid w:val="00AF20D0"/>
    <w:rsid w:val="00AF20E2"/>
    <w:rsid w:val="00AF20F3"/>
    <w:rsid w:val="00AF20F8"/>
    <w:rsid w:val="00AF20FA"/>
    <w:rsid w:val="00AF2118"/>
    <w:rsid w:val="00AF212D"/>
    <w:rsid w:val="00AF21AB"/>
    <w:rsid w:val="00AF220C"/>
    <w:rsid w:val="00AF2230"/>
    <w:rsid w:val="00AF2317"/>
    <w:rsid w:val="00AF2323"/>
    <w:rsid w:val="00AF2378"/>
    <w:rsid w:val="00AF2399"/>
    <w:rsid w:val="00AF2411"/>
    <w:rsid w:val="00AF246C"/>
    <w:rsid w:val="00AF248E"/>
    <w:rsid w:val="00AF24E1"/>
    <w:rsid w:val="00AF25FB"/>
    <w:rsid w:val="00AF260B"/>
    <w:rsid w:val="00AF2667"/>
    <w:rsid w:val="00AF2700"/>
    <w:rsid w:val="00AF270D"/>
    <w:rsid w:val="00AF2780"/>
    <w:rsid w:val="00AF2788"/>
    <w:rsid w:val="00AF2799"/>
    <w:rsid w:val="00AF27E9"/>
    <w:rsid w:val="00AF27F4"/>
    <w:rsid w:val="00AF27F6"/>
    <w:rsid w:val="00AF288B"/>
    <w:rsid w:val="00AF28C9"/>
    <w:rsid w:val="00AF28CA"/>
    <w:rsid w:val="00AF28CC"/>
    <w:rsid w:val="00AF2902"/>
    <w:rsid w:val="00AF2925"/>
    <w:rsid w:val="00AF296D"/>
    <w:rsid w:val="00AF2A48"/>
    <w:rsid w:val="00AF2A62"/>
    <w:rsid w:val="00AF2BA7"/>
    <w:rsid w:val="00AF2BF2"/>
    <w:rsid w:val="00AF2C00"/>
    <w:rsid w:val="00AF2C43"/>
    <w:rsid w:val="00AF2C47"/>
    <w:rsid w:val="00AF2C56"/>
    <w:rsid w:val="00AF2C83"/>
    <w:rsid w:val="00AF2CA8"/>
    <w:rsid w:val="00AF2D42"/>
    <w:rsid w:val="00AF2D45"/>
    <w:rsid w:val="00AF2D51"/>
    <w:rsid w:val="00AF2D7D"/>
    <w:rsid w:val="00AF2D92"/>
    <w:rsid w:val="00AF2DA1"/>
    <w:rsid w:val="00AF2DF0"/>
    <w:rsid w:val="00AF2E3B"/>
    <w:rsid w:val="00AF2E5D"/>
    <w:rsid w:val="00AF2EEA"/>
    <w:rsid w:val="00AF2EEB"/>
    <w:rsid w:val="00AF2F23"/>
    <w:rsid w:val="00AF2F95"/>
    <w:rsid w:val="00AF2FC7"/>
    <w:rsid w:val="00AF2FE7"/>
    <w:rsid w:val="00AF3008"/>
    <w:rsid w:val="00AF3037"/>
    <w:rsid w:val="00AF3065"/>
    <w:rsid w:val="00AF308D"/>
    <w:rsid w:val="00AF30B7"/>
    <w:rsid w:val="00AF30F0"/>
    <w:rsid w:val="00AF30F6"/>
    <w:rsid w:val="00AF3130"/>
    <w:rsid w:val="00AF315A"/>
    <w:rsid w:val="00AF3167"/>
    <w:rsid w:val="00AF3249"/>
    <w:rsid w:val="00AF325E"/>
    <w:rsid w:val="00AF335C"/>
    <w:rsid w:val="00AF341D"/>
    <w:rsid w:val="00AF34D8"/>
    <w:rsid w:val="00AF34DF"/>
    <w:rsid w:val="00AF3554"/>
    <w:rsid w:val="00AF3561"/>
    <w:rsid w:val="00AF358F"/>
    <w:rsid w:val="00AF35A3"/>
    <w:rsid w:val="00AF35EF"/>
    <w:rsid w:val="00AF366E"/>
    <w:rsid w:val="00AF36CB"/>
    <w:rsid w:val="00AF36E2"/>
    <w:rsid w:val="00AF36E8"/>
    <w:rsid w:val="00AF370C"/>
    <w:rsid w:val="00AF3714"/>
    <w:rsid w:val="00AF372E"/>
    <w:rsid w:val="00AF3749"/>
    <w:rsid w:val="00AF3813"/>
    <w:rsid w:val="00AF3824"/>
    <w:rsid w:val="00AF394F"/>
    <w:rsid w:val="00AF3A78"/>
    <w:rsid w:val="00AF3AA5"/>
    <w:rsid w:val="00AF3AAB"/>
    <w:rsid w:val="00AF3ABC"/>
    <w:rsid w:val="00AF3B2F"/>
    <w:rsid w:val="00AF3B33"/>
    <w:rsid w:val="00AF3B4D"/>
    <w:rsid w:val="00AF3B7D"/>
    <w:rsid w:val="00AF3B88"/>
    <w:rsid w:val="00AF3B9F"/>
    <w:rsid w:val="00AF3C3E"/>
    <w:rsid w:val="00AF3C69"/>
    <w:rsid w:val="00AF3C70"/>
    <w:rsid w:val="00AF3C8C"/>
    <w:rsid w:val="00AF3CBE"/>
    <w:rsid w:val="00AF3CFF"/>
    <w:rsid w:val="00AF3D2F"/>
    <w:rsid w:val="00AF3D5E"/>
    <w:rsid w:val="00AF3DBC"/>
    <w:rsid w:val="00AF3E58"/>
    <w:rsid w:val="00AF3E7A"/>
    <w:rsid w:val="00AF4004"/>
    <w:rsid w:val="00AF4044"/>
    <w:rsid w:val="00AF40B0"/>
    <w:rsid w:val="00AF40BD"/>
    <w:rsid w:val="00AF4137"/>
    <w:rsid w:val="00AF4167"/>
    <w:rsid w:val="00AF41B7"/>
    <w:rsid w:val="00AF4210"/>
    <w:rsid w:val="00AF421F"/>
    <w:rsid w:val="00AF424D"/>
    <w:rsid w:val="00AF4258"/>
    <w:rsid w:val="00AF42AB"/>
    <w:rsid w:val="00AF431F"/>
    <w:rsid w:val="00AF4331"/>
    <w:rsid w:val="00AF4333"/>
    <w:rsid w:val="00AF4363"/>
    <w:rsid w:val="00AF44EB"/>
    <w:rsid w:val="00AF461C"/>
    <w:rsid w:val="00AF46C5"/>
    <w:rsid w:val="00AF46CC"/>
    <w:rsid w:val="00AF473E"/>
    <w:rsid w:val="00AF4750"/>
    <w:rsid w:val="00AF47AE"/>
    <w:rsid w:val="00AF4805"/>
    <w:rsid w:val="00AF488F"/>
    <w:rsid w:val="00AF489E"/>
    <w:rsid w:val="00AF498E"/>
    <w:rsid w:val="00AF4A13"/>
    <w:rsid w:val="00AF4A53"/>
    <w:rsid w:val="00AF4A97"/>
    <w:rsid w:val="00AF4AA5"/>
    <w:rsid w:val="00AF4AE2"/>
    <w:rsid w:val="00AF4B1C"/>
    <w:rsid w:val="00AF4B32"/>
    <w:rsid w:val="00AF4B5B"/>
    <w:rsid w:val="00AF4B73"/>
    <w:rsid w:val="00AF4C31"/>
    <w:rsid w:val="00AF4C42"/>
    <w:rsid w:val="00AF4C53"/>
    <w:rsid w:val="00AF4C55"/>
    <w:rsid w:val="00AF4CE8"/>
    <w:rsid w:val="00AF4D39"/>
    <w:rsid w:val="00AF4D75"/>
    <w:rsid w:val="00AF4D82"/>
    <w:rsid w:val="00AF4DCC"/>
    <w:rsid w:val="00AF4DF8"/>
    <w:rsid w:val="00AF4E09"/>
    <w:rsid w:val="00AF4E0F"/>
    <w:rsid w:val="00AF4E15"/>
    <w:rsid w:val="00AF4E5C"/>
    <w:rsid w:val="00AF4E8E"/>
    <w:rsid w:val="00AF4E9D"/>
    <w:rsid w:val="00AF4ECB"/>
    <w:rsid w:val="00AF4EE5"/>
    <w:rsid w:val="00AF4F1C"/>
    <w:rsid w:val="00AF5005"/>
    <w:rsid w:val="00AF5041"/>
    <w:rsid w:val="00AF509D"/>
    <w:rsid w:val="00AF50C4"/>
    <w:rsid w:val="00AF50E5"/>
    <w:rsid w:val="00AF5142"/>
    <w:rsid w:val="00AF5145"/>
    <w:rsid w:val="00AF51A7"/>
    <w:rsid w:val="00AF5207"/>
    <w:rsid w:val="00AF5249"/>
    <w:rsid w:val="00AF5289"/>
    <w:rsid w:val="00AF528D"/>
    <w:rsid w:val="00AF52DD"/>
    <w:rsid w:val="00AF53E1"/>
    <w:rsid w:val="00AF5549"/>
    <w:rsid w:val="00AF5585"/>
    <w:rsid w:val="00AF55AE"/>
    <w:rsid w:val="00AF55E1"/>
    <w:rsid w:val="00AF569C"/>
    <w:rsid w:val="00AF56A2"/>
    <w:rsid w:val="00AF56C6"/>
    <w:rsid w:val="00AF56DA"/>
    <w:rsid w:val="00AF5707"/>
    <w:rsid w:val="00AF5719"/>
    <w:rsid w:val="00AF5747"/>
    <w:rsid w:val="00AF5760"/>
    <w:rsid w:val="00AF57A2"/>
    <w:rsid w:val="00AF57E4"/>
    <w:rsid w:val="00AF57FE"/>
    <w:rsid w:val="00AF5886"/>
    <w:rsid w:val="00AF58A3"/>
    <w:rsid w:val="00AF591E"/>
    <w:rsid w:val="00AF592E"/>
    <w:rsid w:val="00AF5960"/>
    <w:rsid w:val="00AF5985"/>
    <w:rsid w:val="00AF598B"/>
    <w:rsid w:val="00AF598C"/>
    <w:rsid w:val="00AF59B5"/>
    <w:rsid w:val="00AF59BF"/>
    <w:rsid w:val="00AF59D0"/>
    <w:rsid w:val="00AF5AAC"/>
    <w:rsid w:val="00AF5B90"/>
    <w:rsid w:val="00AF5B9A"/>
    <w:rsid w:val="00AF5BCA"/>
    <w:rsid w:val="00AF5C12"/>
    <w:rsid w:val="00AF5C36"/>
    <w:rsid w:val="00AF5C84"/>
    <w:rsid w:val="00AF5CF9"/>
    <w:rsid w:val="00AF5D42"/>
    <w:rsid w:val="00AF5E48"/>
    <w:rsid w:val="00AF5E74"/>
    <w:rsid w:val="00AF5E8B"/>
    <w:rsid w:val="00AF5F01"/>
    <w:rsid w:val="00AF5F04"/>
    <w:rsid w:val="00AF5F52"/>
    <w:rsid w:val="00AF5F8C"/>
    <w:rsid w:val="00AF5FDF"/>
    <w:rsid w:val="00AF5FE0"/>
    <w:rsid w:val="00AF5FE5"/>
    <w:rsid w:val="00AF60F2"/>
    <w:rsid w:val="00AF60F6"/>
    <w:rsid w:val="00AF610C"/>
    <w:rsid w:val="00AF61FE"/>
    <w:rsid w:val="00AF6204"/>
    <w:rsid w:val="00AF62FA"/>
    <w:rsid w:val="00AF633B"/>
    <w:rsid w:val="00AF63C0"/>
    <w:rsid w:val="00AF63F7"/>
    <w:rsid w:val="00AF645B"/>
    <w:rsid w:val="00AF648E"/>
    <w:rsid w:val="00AF64A9"/>
    <w:rsid w:val="00AF6517"/>
    <w:rsid w:val="00AF6552"/>
    <w:rsid w:val="00AF656F"/>
    <w:rsid w:val="00AF6585"/>
    <w:rsid w:val="00AF659E"/>
    <w:rsid w:val="00AF65A7"/>
    <w:rsid w:val="00AF662E"/>
    <w:rsid w:val="00AF666D"/>
    <w:rsid w:val="00AF666F"/>
    <w:rsid w:val="00AF6689"/>
    <w:rsid w:val="00AF6720"/>
    <w:rsid w:val="00AF675F"/>
    <w:rsid w:val="00AF67BF"/>
    <w:rsid w:val="00AF680E"/>
    <w:rsid w:val="00AF6888"/>
    <w:rsid w:val="00AF6898"/>
    <w:rsid w:val="00AF68A5"/>
    <w:rsid w:val="00AF6948"/>
    <w:rsid w:val="00AF698B"/>
    <w:rsid w:val="00AF698F"/>
    <w:rsid w:val="00AF6A85"/>
    <w:rsid w:val="00AF6ADA"/>
    <w:rsid w:val="00AF6AE8"/>
    <w:rsid w:val="00AF6B07"/>
    <w:rsid w:val="00AF6B14"/>
    <w:rsid w:val="00AF6B2A"/>
    <w:rsid w:val="00AF6B6E"/>
    <w:rsid w:val="00AF6B82"/>
    <w:rsid w:val="00AF6BA2"/>
    <w:rsid w:val="00AF6BB4"/>
    <w:rsid w:val="00AF6BE2"/>
    <w:rsid w:val="00AF6BF1"/>
    <w:rsid w:val="00AF6C05"/>
    <w:rsid w:val="00AF6C98"/>
    <w:rsid w:val="00AF6CA4"/>
    <w:rsid w:val="00AF6CF2"/>
    <w:rsid w:val="00AF6CFA"/>
    <w:rsid w:val="00AF6D35"/>
    <w:rsid w:val="00AF6D3F"/>
    <w:rsid w:val="00AF6DE2"/>
    <w:rsid w:val="00AF6E0C"/>
    <w:rsid w:val="00AF6E3F"/>
    <w:rsid w:val="00AF6E5A"/>
    <w:rsid w:val="00AF6E7A"/>
    <w:rsid w:val="00AF6E7B"/>
    <w:rsid w:val="00AF6EA0"/>
    <w:rsid w:val="00AF6EC7"/>
    <w:rsid w:val="00AF6ED7"/>
    <w:rsid w:val="00AF6F61"/>
    <w:rsid w:val="00AF6F89"/>
    <w:rsid w:val="00AF6FB5"/>
    <w:rsid w:val="00AF7038"/>
    <w:rsid w:val="00AF7039"/>
    <w:rsid w:val="00AF705D"/>
    <w:rsid w:val="00AF7096"/>
    <w:rsid w:val="00AF70BF"/>
    <w:rsid w:val="00AF711C"/>
    <w:rsid w:val="00AF7127"/>
    <w:rsid w:val="00AF7134"/>
    <w:rsid w:val="00AF7156"/>
    <w:rsid w:val="00AF7194"/>
    <w:rsid w:val="00AF7203"/>
    <w:rsid w:val="00AF7236"/>
    <w:rsid w:val="00AF72CF"/>
    <w:rsid w:val="00AF7387"/>
    <w:rsid w:val="00AF741C"/>
    <w:rsid w:val="00AF7490"/>
    <w:rsid w:val="00AF7492"/>
    <w:rsid w:val="00AF74A5"/>
    <w:rsid w:val="00AF751A"/>
    <w:rsid w:val="00AF7564"/>
    <w:rsid w:val="00AF75D3"/>
    <w:rsid w:val="00AF75D4"/>
    <w:rsid w:val="00AF75DB"/>
    <w:rsid w:val="00AF762B"/>
    <w:rsid w:val="00AF7682"/>
    <w:rsid w:val="00AF76C0"/>
    <w:rsid w:val="00AF76D8"/>
    <w:rsid w:val="00AF76ED"/>
    <w:rsid w:val="00AF76FD"/>
    <w:rsid w:val="00AF774C"/>
    <w:rsid w:val="00AF77C0"/>
    <w:rsid w:val="00AF7856"/>
    <w:rsid w:val="00AF7879"/>
    <w:rsid w:val="00AF7883"/>
    <w:rsid w:val="00AF790C"/>
    <w:rsid w:val="00AF7925"/>
    <w:rsid w:val="00AF7931"/>
    <w:rsid w:val="00AF797E"/>
    <w:rsid w:val="00AF7A31"/>
    <w:rsid w:val="00AF7A32"/>
    <w:rsid w:val="00AF7A67"/>
    <w:rsid w:val="00AF7A80"/>
    <w:rsid w:val="00AF7ABD"/>
    <w:rsid w:val="00AF7AD2"/>
    <w:rsid w:val="00AF7B41"/>
    <w:rsid w:val="00AF7B8D"/>
    <w:rsid w:val="00AF7BAB"/>
    <w:rsid w:val="00AF7C29"/>
    <w:rsid w:val="00AF7C3F"/>
    <w:rsid w:val="00AF7C62"/>
    <w:rsid w:val="00AF7CFB"/>
    <w:rsid w:val="00AF7D18"/>
    <w:rsid w:val="00AF7D45"/>
    <w:rsid w:val="00AF7D6C"/>
    <w:rsid w:val="00AF7DDE"/>
    <w:rsid w:val="00AF7DEF"/>
    <w:rsid w:val="00AF7E14"/>
    <w:rsid w:val="00AF7E5E"/>
    <w:rsid w:val="00AF7E7D"/>
    <w:rsid w:val="00AF7E92"/>
    <w:rsid w:val="00AF7EAB"/>
    <w:rsid w:val="00AF7EAD"/>
    <w:rsid w:val="00AF7F43"/>
    <w:rsid w:val="00AF7FEC"/>
    <w:rsid w:val="00B00011"/>
    <w:rsid w:val="00B0001D"/>
    <w:rsid w:val="00B00073"/>
    <w:rsid w:val="00B000D0"/>
    <w:rsid w:val="00B0014E"/>
    <w:rsid w:val="00B00198"/>
    <w:rsid w:val="00B001BC"/>
    <w:rsid w:val="00B001D1"/>
    <w:rsid w:val="00B00225"/>
    <w:rsid w:val="00B00254"/>
    <w:rsid w:val="00B00270"/>
    <w:rsid w:val="00B002B2"/>
    <w:rsid w:val="00B002C9"/>
    <w:rsid w:val="00B0032E"/>
    <w:rsid w:val="00B0032F"/>
    <w:rsid w:val="00B00339"/>
    <w:rsid w:val="00B0034C"/>
    <w:rsid w:val="00B0034D"/>
    <w:rsid w:val="00B0034E"/>
    <w:rsid w:val="00B0037E"/>
    <w:rsid w:val="00B0038F"/>
    <w:rsid w:val="00B00391"/>
    <w:rsid w:val="00B003A0"/>
    <w:rsid w:val="00B004DB"/>
    <w:rsid w:val="00B00579"/>
    <w:rsid w:val="00B00597"/>
    <w:rsid w:val="00B005BB"/>
    <w:rsid w:val="00B005CB"/>
    <w:rsid w:val="00B005E7"/>
    <w:rsid w:val="00B00660"/>
    <w:rsid w:val="00B006C8"/>
    <w:rsid w:val="00B00723"/>
    <w:rsid w:val="00B00758"/>
    <w:rsid w:val="00B007B4"/>
    <w:rsid w:val="00B007F5"/>
    <w:rsid w:val="00B00807"/>
    <w:rsid w:val="00B0081C"/>
    <w:rsid w:val="00B00847"/>
    <w:rsid w:val="00B0086A"/>
    <w:rsid w:val="00B0087E"/>
    <w:rsid w:val="00B00898"/>
    <w:rsid w:val="00B008A3"/>
    <w:rsid w:val="00B008D4"/>
    <w:rsid w:val="00B0090E"/>
    <w:rsid w:val="00B00975"/>
    <w:rsid w:val="00B00982"/>
    <w:rsid w:val="00B00993"/>
    <w:rsid w:val="00B009A6"/>
    <w:rsid w:val="00B009B9"/>
    <w:rsid w:val="00B009FF"/>
    <w:rsid w:val="00B00A1A"/>
    <w:rsid w:val="00B00A60"/>
    <w:rsid w:val="00B00AC4"/>
    <w:rsid w:val="00B00AE5"/>
    <w:rsid w:val="00B00B45"/>
    <w:rsid w:val="00B00B59"/>
    <w:rsid w:val="00B00B5E"/>
    <w:rsid w:val="00B00BE5"/>
    <w:rsid w:val="00B00C01"/>
    <w:rsid w:val="00B00C2C"/>
    <w:rsid w:val="00B00CEF"/>
    <w:rsid w:val="00B00D3D"/>
    <w:rsid w:val="00B00D41"/>
    <w:rsid w:val="00B00D78"/>
    <w:rsid w:val="00B00D94"/>
    <w:rsid w:val="00B00DA7"/>
    <w:rsid w:val="00B00DDC"/>
    <w:rsid w:val="00B00E2C"/>
    <w:rsid w:val="00B00ED7"/>
    <w:rsid w:val="00B00FBA"/>
    <w:rsid w:val="00B01013"/>
    <w:rsid w:val="00B01051"/>
    <w:rsid w:val="00B01064"/>
    <w:rsid w:val="00B0106D"/>
    <w:rsid w:val="00B0107B"/>
    <w:rsid w:val="00B010A6"/>
    <w:rsid w:val="00B010A8"/>
    <w:rsid w:val="00B010B9"/>
    <w:rsid w:val="00B010CA"/>
    <w:rsid w:val="00B010F3"/>
    <w:rsid w:val="00B011F7"/>
    <w:rsid w:val="00B0122B"/>
    <w:rsid w:val="00B0122E"/>
    <w:rsid w:val="00B0125F"/>
    <w:rsid w:val="00B01299"/>
    <w:rsid w:val="00B0137C"/>
    <w:rsid w:val="00B0138C"/>
    <w:rsid w:val="00B013CD"/>
    <w:rsid w:val="00B013D9"/>
    <w:rsid w:val="00B013F9"/>
    <w:rsid w:val="00B01421"/>
    <w:rsid w:val="00B01441"/>
    <w:rsid w:val="00B0145B"/>
    <w:rsid w:val="00B014B0"/>
    <w:rsid w:val="00B014BA"/>
    <w:rsid w:val="00B014CC"/>
    <w:rsid w:val="00B014E8"/>
    <w:rsid w:val="00B015AF"/>
    <w:rsid w:val="00B015CA"/>
    <w:rsid w:val="00B015E3"/>
    <w:rsid w:val="00B015EA"/>
    <w:rsid w:val="00B0169D"/>
    <w:rsid w:val="00B016A8"/>
    <w:rsid w:val="00B01735"/>
    <w:rsid w:val="00B01794"/>
    <w:rsid w:val="00B017BE"/>
    <w:rsid w:val="00B017F3"/>
    <w:rsid w:val="00B017F7"/>
    <w:rsid w:val="00B01823"/>
    <w:rsid w:val="00B01941"/>
    <w:rsid w:val="00B019E0"/>
    <w:rsid w:val="00B01A3D"/>
    <w:rsid w:val="00B01A47"/>
    <w:rsid w:val="00B01A70"/>
    <w:rsid w:val="00B01AEE"/>
    <w:rsid w:val="00B01B01"/>
    <w:rsid w:val="00B01BAD"/>
    <w:rsid w:val="00B01BC4"/>
    <w:rsid w:val="00B01C0A"/>
    <w:rsid w:val="00B01CB4"/>
    <w:rsid w:val="00B01CE6"/>
    <w:rsid w:val="00B01D92"/>
    <w:rsid w:val="00B01DDC"/>
    <w:rsid w:val="00B01EE2"/>
    <w:rsid w:val="00B01EEE"/>
    <w:rsid w:val="00B01F0D"/>
    <w:rsid w:val="00B01F91"/>
    <w:rsid w:val="00B01FD6"/>
    <w:rsid w:val="00B02016"/>
    <w:rsid w:val="00B02092"/>
    <w:rsid w:val="00B020C8"/>
    <w:rsid w:val="00B0210A"/>
    <w:rsid w:val="00B0210C"/>
    <w:rsid w:val="00B021A7"/>
    <w:rsid w:val="00B02216"/>
    <w:rsid w:val="00B02326"/>
    <w:rsid w:val="00B02332"/>
    <w:rsid w:val="00B02364"/>
    <w:rsid w:val="00B0237A"/>
    <w:rsid w:val="00B023A6"/>
    <w:rsid w:val="00B023BF"/>
    <w:rsid w:val="00B0243D"/>
    <w:rsid w:val="00B02464"/>
    <w:rsid w:val="00B0247B"/>
    <w:rsid w:val="00B024DF"/>
    <w:rsid w:val="00B0253D"/>
    <w:rsid w:val="00B0256E"/>
    <w:rsid w:val="00B025FD"/>
    <w:rsid w:val="00B0268A"/>
    <w:rsid w:val="00B0274A"/>
    <w:rsid w:val="00B02779"/>
    <w:rsid w:val="00B027BE"/>
    <w:rsid w:val="00B027E3"/>
    <w:rsid w:val="00B027FB"/>
    <w:rsid w:val="00B027FD"/>
    <w:rsid w:val="00B02836"/>
    <w:rsid w:val="00B02862"/>
    <w:rsid w:val="00B028C3"/>
    <w:rsid w:val="00B02937"/>
    <w:rsid w:val="00B0295D"/>
    <w:rsid w:val="00B02989"/>
    <w:rsid w:val="00B029A9"/>
    <w:rsid w:val="00B029B1"/>
    <w:rsid w:val="00B02A10"/>
    <w:rsid w:val="00B02A18"/>
    <w:rsid w:val="00B02A35"/>
    <w:rsid w:val="00B02AB1"/>
    <w:rsid w:val="00B02AFB"/>
    <w:rsid w:val="00B02B21"/>
    <w:rsid w:val="00B02B3C"/>
    <w:rsid w:val="00B02BAB"/>
    <w:rsid w:val="00B02BB0"/>
    <w:rsid w:val="00B02BC5"/>
    <w:rsid w:val="00B02BCA"/>
    <w:rsid w:val="00B02BE4"/>
    <w:rsid w:val="00B02BE6"/>
    <w:rsid w:val="00B02C06"/>
    <w:rsid w:val="00B02C3C"/>
    <w:rsid w:val="00B02C7E"/>
    <w:rsid w:val="00B02C83"/>
    <w:rsid w:val="00B02D9D"/>
    <w:rsid w:val="00B02E17"/>
    <w:rsid w:val="00B02E76"/>
    <w:rsid w:val="00B02E79"/>
    <w:rsid w:val="00B02E84"/>
    <w:rsid w:val="00B02E91"/>
    <w:rsid w:val="00B02F41"/>
    <w:rsid w:val="00B02FC6"/>
    <w:rsid w:val="00B0303A"/>
    <w:rsid w:val="00B030EE"/>
    <w:rsid w:val="00B030FD"/>
    <w:rsid w:val="00B031CD"/>
    <w:rsid w:val="00B031E3"/>
    <w:rsid w:val="00B031F7"/>
    <w:rsid w:val="00B03225"/>
    <w:rsid w:val="00B03271"/>
    <w:rsid w:val="00B032BF"/>
    <w:rsid w:val="00B032FE"/>
    <w:rsid w:val="00B0333B"/>
    <w:rsid w:val="00B0339C"/>
    <w:rsid w:val="00B033A9"/>
    <w:rsid w:val="00B033BD"/>
    <w:rsid w:val="00B03428"/>
    <w:rsid w:val="00B03434"/>
    <w:rsid w:val="00B03438"/>
    <w:rsid w:val="00B03512"/>
    <w:rsid w:val="00B03541"/>
    <w:rsid w:val="00B03575"/>
    <w:rsid w:val="00B0358F"/>
    <w:rsid w:val="00B0359F"/>
    <w:rsid w:val="00B035ED"/>
    <w:rsid w:val="00B0360B"/>
    <w:rsid w:val="00B036DD"/>
    <w:rsid w:val="00B0370C"/>
    <w:rsid w:val="00B0379C"/>
    <w:rsid w:val="00B037A6"/>
    <w:rsid w:val="00B037B7"/>
    <w:rsid w:val="00B037DA"/>
    <w:rsid w:val="00B0380B"/>
    <w:rsid w:val="00B03859"/>
    <w:rsid w:val="00B038DB"/>
    <w:rsid w:val="00B0390F"/>
    <w:rsid w:val="00B03A1D"/>
    <w:rsid w:val="00B03AA4"/>
    <w:rsid w:val="00B03AE7"/>
    <w:rsid w:val="00B03AF8"/>
    <w:rsid w:val="00B03C0B"/>
    <w:rsid w:val="00B03C1D"/>
    <w:rsid w:val="00B03CB8"/>
    <w:rsid w:val="00B03D1A"/>
    <w:rsid w:val="00B03D4A"/>
    <w:rsid w:val="00B03D4E"/>
    <w:rsid w:val="00B03DA7"/>
    <w:rsid w:val="00B03DC9"/>
    <w:rsid w:val="00B03E18"/>
    <w:rsid w:val="00B03E3A"/>
    <w:rsid w:val="00B03E9F"/>
    <w:rsid w:val="00B03EAD"/>
    <w:rsid w:val="00B03EFA"/>
    <w:rsid w:val="00B03F24"/>
    <w:rsid w:val="00B03F2D"/>
    <w:rsid w:val="00B03F61"/>
    <w:rsid w:val="00B03FD6"/>
    <w:rsid w:val="00B03FFB"/>
    <w:rsid w:val="00B0403D"/>
    <w:rsid w:val="00B04082"/>
    <w:rsid w:val="00B040E1"/>
    <w:rsid w:val="00B040E8"/>
    <w:rsid w:val="00B040F8"/>
    <w:rsid w:val="00B040FE"/>
    <w:rsid w:val="00B041D8"/>
    <w:rsid w:val="00B041F3"/>
    <w:rsid w:val="00B0425A"/>
    <w:rsid w:val="00B042C4"/>
    <w:rsid w:val="00B04324"/>
    <w:rsid w:val="00B04326"/>
    <w:rsid w:val="00B04340"/>
    <w:rsid w:val="00B0437F"/>
    <w:rsid w:val="00B043BE"/>
    <w:rsid w:val="00B043F7"/>
    <w:rsid w:val="00B044B2"/>
    <w:rsid w:val="00B044D5"/>
    <w:rsid w:val="00B04516"/>
    <w:rsid w:val="00B0455D"/>
    <w:rsid w:val="00B0458E"/>
    <w:rsid w:val="00B045FC"/>
    <w:rsid w:val="00B04605"/>
    <w:rsid w:val="00B0461F"/>
    <w:rsid w:val="00B04656"/>
    <w:rsid w:val="00B0466B"/>
    <w:rsid w:val="00B0466F"/>
    <w:rsid w:val="00B04680"/>
    <w:rsid w:val="00B04729"/>
    <w:rsid w:val="00B04737"/>
    <w:rsid w:val="00B047C6"/>
    <w:rsid w:val="00B047E4"/>
    <w:rsid w:val="00B04829"/>
    <w:rsid w:val="00B0483C"/>
    <w:rsid w:val="00B04873"/>
    <w:rsid w:val="00B048F2"/>
    <w:rsid w:val="00B04A00"/>
    <w:rsid w:val="00B04A0E"/>
    <w:rsid w:val="00B04A1E"/>
    <w:rsid w:val="00B04A9B"/>
    <w:rsid w:val="00B04AD8"/>
    <w:rsid w:val="00B04B27"/>
    <w:rsid w:val="00B04B86"/>
    <w:rsid w:val="00B04B8F"/>
    <w:rsid w:val="00B04C3E"/>
    <w:rsid w:val="00B04C5B"/>
    <w:rsid w:val="00B04C77"/>
    <w:rsid w:val="00B04CDF"/>
    <w:rsid w:val="00B04D1E"/>
    <w:rsid w:val="00B04D36"/>
    <w:rsid w:val="00B04D41"/>
    <w:rsid w:val="00B04D7E"/>
    <w:rsid w:val="00B04D9C"/>
    <w:rsid w:val="00B04E1F"/>
    <w:rsid w:val="00B04E24"/>
    <w:rsid w:val="00B04E5C"/>
    <w:rsid w:val="00B04E74"/>
    <w:rsid w:val="00B04E79"/>
    <w:rsid w:val="00B04E92"/>
    <w:rsid w:val="00B04EC4"/>
    <w:rsid w:val="00B04F1F"/>
    <w:rsid w:val="00B04F2D"/>
    <w:rsid w:val="00B04F47"/>
    <w:rsid w:val="00B04F61"/>
    <w:rsid w:val="00B04F74"/>
    <w:rsid w:val="00B05002"/>
    <w:rsid w:val="00B05050"/>
    <w:rsid w:val="00B05107"/>
    <w:rsid w:val="00B05144"/>
    <w:rsid w:val="00B051B3"/>
    <w:rsid w:val="00B0521B"/>
    <w:rsid w:val="00B0522A"/>
    <w:rsid w:val="00B0525B"/>
    <w:rsid w:val="00B05276"/>
    <w:rsid w:val="00B052B3"/>
    <w:rsid w:val="00B052D3"/>
    <w:rsid w:val="00B052D6"/>
    <w:rsid w:val="00B052FA"/>
    <w:rsid w:val="00B05324"/>
    <w:rsid w:val="00B053CE"/>
    <w:rsid w:val="00B05478"/>
    <w:rsid w:val="00B0549C"/>
    <w:rsid w:val="00B054E5"/>
    <w:rsid w:val="00B054F8"/>
    <w:rsid w:val="00B054FD"/>
    <w:rsid w:val="00B05529"/>
    <w:rsid w:val="00B0555D"/>
    <w:rsid w:val="00B0561C"/>
    <w:rsid w:val="00B05644"/>
    <w:rsid w:val="00B05659"/>
    <w:rsid w:val="00B056CD"/>
    <w:rsid w:val="00B0575F"/>
    <w:rsid w:val="00B05786"/>
    <w:rsid w:val="00B057C8"/>
    <w:rsid w:val="00B057FB"/>
    <w:rsid w:val="00B057FF"/>
    <w:rsid w:val="00B05859"/>
    <w:rsid w:val="00B058C8"/>
    <w:rsid w:val="00B058F0"/>
    <w:rsid w:val="00B05972"/>
    <w:rsid w:val="00B05973"/>
    <w:rsid w:val="00B05A24"/>
    <w:rsid w:val="00B05A34"/>
    <w:rsid w:val="00B05AA1"/>
    <w:rsid w:val="00B05AF0"/>
    <w:rsid w:val="00B05B02"/>
    <w:rsid w:val="00B05B05"/>
    <w:rsid w:val="00B05B18"/>
    <w:rsid w:val="00B05B3C"/>
    <w:rsid w:val="00B05B5C"/>
    <w:rsid w:val="00B05B89"/>
    <w:rsid w:val="00B05BCD"/>
    <w:rsid w:val="00B05C04"/>
    <w:rsid w:val="00B05C0D"/>
    <w:rsid w:val="00B05C60"/>
    <w:rsid w:val="00B05C95"/>
    <w:rsid w:val="00B05CA7"/>
    <w:rsid w:val="00B05CB5"/>
    <w:rsid w:val="00B05CD3"/>
    <w:rsid w:val="00B05CF5"/>
    <w:rsid w:val="00B05CF6"/>
    <w:rsid w:val="00B05D46"/>
    <w:rsid w:val="00B05D71"/>
    <w:rsid w:val="00B05D9D"/>
    <w:rsid w:val="00B05DA1"/>
    <w:rsid w:val="00B05DC5"/>
    <w:rsid w:val="00B05E84"/>
    <w:rsid w:val="00B05EFD"/>
    <w:rsid w:val="00B05F11"/>
    <w:rsid w:val="00B05F60"/>
    <w:rsid w:val="00B05FFF"/>
    <w:rsid w:val="00B0601D"/>
    <w:rsid w:val="00B0604B"/>
    <w:rsid w:val="00B06058"/>
    <w:rsid w:val="00B0618C"/>
    <w:rsid w:val="00B06195"/>
    <w:rsid w:val="00B06201"/>
    <w:rsid w:val="00B06242"/>
    <w:rsid w:val="00B06268"/>
    <w:rsid w:val="00B062CA"/>
    <w:rsid w:val="00B062D9"/>
    <w:rsid w:val="00B0631E"/>
    <w:rsid w:val="00B06342"/>
    <w:rsid w:val="00B06344"/>
    <w:rsid w:val="00B063C2"/>
    <w:rsid w:val="00B063D8"/>
    <w:rsid w:val="00B063EF"/>
    <w:rsid w:val="00B0644B"/>
    <w:rsid w:val="00B064B5"/>
    <w:rsid w:val="00B064D6"/>
    <w:rsid w:val="00B0650F"/>
    <w:rsid w:val="00B0651D"/>
    <w:rsid w:val="00B06528"/>
    <w:rsid w:val="00B0654A"/>
    <w:rsid w:val="00B0654B"/>
    <w:rsid w:val="00B06584"/>
    <w:rsid w:val="00B065B4"/>
    <w:rsid w:val="00B0660C"/>
    <w:rsid w:val="00B066CD"/>
    <w:rsid w:val="00B066EA"/>
    <w:rsid w:val="00B06701"/>
    <w:rsid w:val="00B06708"/>
    <w:rsid w:val="00B06723"/>
    <w:rsid w:val="00B0676C"/>
    <w:rsid w:val="00B06778"/>
    <w:rsid w:val="00B067CF"/>
    <w:rsid w:val="00B067DE"/>
    <w:rsid w:val="00B06844"/>
    <w:rsid w:val="00B068A8"/>
    <w:rsid w:val="00B068D7"/>
    <w:rsid w:val="00B0694A"/>
    <w:rsid w:val="00B06991"/>
    <w:rsid w:val="00B06A2D"/>
    <w:rsid w:val="00B06A58"/>
    <w:rsid w:val="00B06A61"/>
    <w:rsid w:val="00B06A93"/>
    <w:rsid w:val="00B06AAD"/>
    <w:rsid w:val="00B06ACB"/>
    <w:rsid w:val="00B06AD5"/>
    <w:rsid w:val="00B06B47"/>
    <w:rsid w:val="00B06B79"/>
    <w:rsid w:val="00B06C5D"/>
    <w:rsid w:val="00B06C71"/>
    <w:rsid w:val="00B06C83"/>
    <w:rsid w:val="00B06CE1"/>
    <w:rsid w:val="00B06CFA"/>
    <w:rsid w:val="00B06E23"/>
    <w:rsid w:val="00B06E40"/>
    <w:rsid w:val="00B06E4B"/>
    <w:rsid w:val="00B06EBB"/>
    <w:rsid w:val="00B06ECF"/>
    <w:rsid w:val="00B06ED0"/>
    <w:rsid w:val="00B06F6A"/>
    <w:rsid w:val="00B06FC2"/>
    <w:rsid w:val="00B06FC7"/>
    <w:rsid w:val="00B06FE3"/>
    <w:rsid w:val="00B0700D"/>
    <w:rsid w:val="00B0703B"/>
    <w:rsid w:val="00B0709C"/>
    <w:rsid w:val="00B07122"/>
    <w:rsid w:val="00B07177"/>
    <w:rsid w:val="00B071CD"/>
    <w:rsid w:val="00B071DB"/>
    <w:rsid w:val="00B071EA"/>
    <w:rsid w:val="00B071FD"/>
    <w:rsid w:val="00B07265"/>
    <w:rsid w:val="00B07311"/>
    <w:rsid w:val="00B07371"/>
    <w:rsid w:val="00B07383"/>
    <w:rsid w:val="00B073A3"/>
    <w:rsid w:val="00B073AA"/>
    <w:rsid w:val="00B073D9"/>
    <w:rsid w:val="00B07437"/>
    <w:rsid w:val="00B07458"/>
    <w:rsid w:val="00B0745F"/>
    <w:rsid w:val="00B07479"/>
    <w:rsid w:val="00B07517"/>
    <w:rsid w:val="00B075C3"/>
    <w:rsid w:val="00B075F2"/>
    <w:rsid w:val="00B075FF"/>
    <w:rsid w:val="00B07667"/>
    <w:rsid w:val="00B07668"/>
    <w:rsid w:val="00B076D2"/>
    <w:rsid w:val="00B0771F"/>
    <w:rsid w:val="00B07726"/>
    <w:rsid w:val="00B07729"/>
    <w:rsid w:val="00B0774B"/>
    <w:rsid w:val="00B0774C"/>
    <w:rsid w:val="00B077AC"/>
    <w:rsid w:val="00B077D4"/>
    <w:rsid w:val="00B077E6"/>
    <w:rsid w:val="00B07861"/>
    <w:rsid w:val="00B07865"/>
    <w:rsid w:val="00B078C0"/>
    <w:rsid w:val="00B079A8"/>
    <w:rsid w:val="00B079D2"/>
    <w:rsid w:val="00B07A20"/>
    <w:rsid w:val="00B07A24"/>
    <w:rsid w:val="00B07A64"/>
    <w:rsid w:val="00B07A67"/>
    <w:rsid w:val="00B07A6C"/>
    <w:rsid w:val="00B07AB0"/>
    <w:rsid w:val="00B07B48"/>
    <w:rsid w:val="00B07B4D"/>
    <w:rsid w:val="00B07BC8"/>
    <w:rsid w:val="00B07BD2"/>
    <w:rsid w:val="00B07BE2"/>
    <w:rsid w:val="00B07C1E"/>
    <w:rsid w:val="00B07C6A"/>
    <w:rsid w:val="00B07CA0"/>
    <w:rsid w:val="00B07D03"/>
    <w:rsid w:val="00B07D0B"/>
    <w:rsid w:val="00B07D5A"/>
    <w:rsid w:val="00B07D5C"/>
    <w:rsid w:val="00B07DD8"/>
    <w:rsid w:val="00B07E20"/>
    <w:rsid w:val="00B07ED3"/>
    <w:rsid w:val="00B07F0C"/>
    <w:rsid w:val="00B07F1E"/>
    <w:rsid w:val="00B07F26"/>
    <w:rsid w:val="00B07F34"/>
    <w:rsid w:val="00B07F55"/>
    <w:rsid w:val="00B07F9C"/>
    <w:rsid w:val="00B07FDD"/>
    <w:rsid w:val="00B07FE5"/>
    <w:rsid w:val="00B10013"/>
    <w:rsid w:val="00B10042"/>
    <w:rsid w:val="00B10076"/>
    <w:rsid w:val="00B100B1"/>
    <w:rsid w:val="00B100C1"/>
    <w:rsid w:val="00B100C6"/>
    <w:rsid w:val="00B101C1"/>
    <w:rsid w:val="00B101D0"/>
    <w:rsid w:val="00B101E8"/>
    <w:rsid w:val="00B1022A"/>
    <w:rsid w:val="00B10274"/>
    <w:rsid w:val="00B10293"/>
    <w:rsid w:val="00B102C1"/>
    <w:rsid w:val="00B102D6"/>
    <w:rsid w:val="00B10378"/>
    <w:rsid w:val="00B10390"/>
    <w:rsid w:val="00B10416"/>
    <w:rsid w:val="00B10429"/>
    <w:rsid w:val="00B1044F"/>
    <w:rsid w:val="00B1049B"/>
    <w:rsid w:val="00B104EE"/>
    <w:rsid w:val="00B1053F"/>
    <w:rsid w:val="00B1056E"/>
    <w:rsid w:val="00B105DD"/>
    <w:rsid w:val="00B105DE"/>
    <w:rsid w:val="00B105F7"/>
    <w:rsid w:val="00B10606"/>
    <w:rsid w:val="00B1060B"/>
    <w:rsid w:val="00B10619"/>
    <w:rsid w:val="00B10624"/>
    <w:rsid w:val="00B10646"/>
    <w:rsid w:val="00B10657"/>
    <w:rsid w:val="00B1065A"/>
    <w:rsid w:val="00B106B9"/>
    <w:rsid w:val="00B1071E"/>
    <w:rsid w:val="00B107C4"/>
    <w:rsid w:val="00B107FE"/>
    <w:rsid w:val="00B10855"/>
    <w:rsid w:val="00B10962"/>
    <w:rsid w:val="00B10A09"/>
    <w:rsid w:val="00B10A58"/>
    <w:rsid w:val="00B10A84"/>
    <w:rsid w:val="00B10ABE"/>
    <w:rsid w:val="00B10B12"/>
    <w:rsid w:val="00B10B47"/>
    <w:rsid w:val="00B10BB9"/>
    <w:rsid w:val="00B10C9E"/>
    <w:rsid w:val="00B10CAD"/>
    <w:rsid w:val="00B10DD1"/>
    <w:rsid w:val="00B10E31"/>
    <w:rsid w:val="00B10E35"/>
    <w:rsid w:val="00B10ED0"/>
    <w:rsid w:val="00B10EE8"/>
    <w:rsid w:val="00B10EF7"/>
    <w:rsid w:val="00B10F10"/>
    <w:rsid w:val="00B10F11"/>
    <w:rsid w:val="00B10F75"/>
    <w:rsid w:val="00B10F9F"/>
    <w:rsid w:val="00B10FD8"/>
    <w:rsid w:val="00B10FF5"/>
    <w:rsid w:val="00B110C6"/>
    <w:rsid w:val="00B110F2"/>
    <w:rsid w:val="00B11125"/>
    <w:rsid w:val="00B11152"/>
    <w:rsid w:val="00B11157"/>
    <w:rsid w:val="00B11165"/>
    <w:rsid w:val="00B11176"/>
    <w:rsid w:val="00B11196"/>
    <w:rsid w:val="00B11204"/>
    <w:rsid w:val="00B11275"/>
    <w:rsid w:val="00B1127A"/>
    <w:rsid w:val="00B112D0"/>
    <w:rsid w:val="00B11375"/>
    <w:rsid w:val="00B113E1"/>
    <w:rsid w:val="00B11435"/>
    <w:rsid w:val="00B1143A"/>
    <w:rsid w:val="00B11489"/>
    <w:rsid w:val="00B11537"/>
    <w:rsid w:val="00B11567"/>
    <w:rsid w:val="00B11613"/>
    <w:rsid w:val="00B11637"/>
    <w:rsid w:val="00B116CC"/>
    <w:rsid w:val="00B11738"/>
    <w:rsid w:val="00B117DA"/>
    <w:rsid w:val="00B117F2"/>
    <w:rsid w:val="00B117F6"/>
    <w:rsid w:val="00B1180D"/>
    <w:rsid w:val="00B118F7"/>
    <w:rsid w:val="00B119F3"/>
    <w:rsid w:val="00B11A0B"/>
    <w:rsid w:val="00B11A53"/>
    <w:rsid w:val="00B11A9A"/>
    <w:rsid w:val="00B11B34"/>
    <w:rsid w:val="00B11B51"/>
    <w:rsid w:val="00B11C29"/>
    <w:rsid w:val="00B11C5D"/>
    <w:rsid w:val="00B11CB9"/>
    <w:rsid w:val="00B11CC1"/>
    <w:rsid w:val="00B11D64"/>
    <w:rsid w:val="00B11D9C"/>
    <w:rsid w:val="00B11DCC"/>
    <w:rsid w:val="00B11E1B"/>
    <w:rsid w:val="00B11E26"/>
    <w:rsid w:val="00B11E42"/>
    <w:rsid w:val="00B11EFD"/>
    <w:rsid w:val="00B11F0D"/>
    <w:rsid w:val="00B11F0E"/>
    <w:rsid w:val="00B11F93"/>
    <w:rsid w:val="00B11FDB"/>
    <w:rsid w:val="00B1200A"/>
    <w:rsid w:val="00B1203D"/>
    <w:rsid w:val="00B12045"/>
    <w:rsid w:val="00B120B0"/>
    <w:rsid w:val="00B120B4"/>
    <w:rsid w:val="00B12188"/>
    <w:rsid w:val="00B121BC"/>
    <w:rsid w:val="00B121F6"/>
    <w:rsid w:val="00B12240"/>
    <w:rsid w:val="00B12275"/>
    <w:rsid w:val="00B122B7"/>
    <w:rsid w:val="00B122E7"/>
    <w:rsid w:val="00B122FA"/>
    <w:rsid w:val="00B1234F"/>
    <w:rsid w:val="00B123D2"/>
    <w:rsid w:val="00B1241B"/>
    <w:rsid w:val="00B124FC"/>
    <w:rsid w:val="00B12508"/>
    <w:rsid w:val="00B12537"/>
    <w:rsid w:val="00B125CD"/>
    <w:rsid w:val="00B12648"/>
    <w:rsid w:val="00B12656"/>
    <w:rsid w:val="00B12726"/>
    <w:rsid w:val="00B1274C"/>
    <w:rsid w:val="00B1275F"/>
    <w:rsid w:val="00B1278A"/>
    <w:rsid w:val="00B12833"/>
    <w:rsid w:val="00B1283A"/>
    <w:rsid w:val="00B12873"/>
    <w:rsid w:val="00B1287D"/>
    <w:rsid w:val="00B1288E"/>
    <w:rsid w:val="00B12893"/>
    <w:rsid w:val="00B128B3"/>
    <w:rsid w:val="00B128F5"/>
    <w:rsid w:val="00B1292C"/>
    <w:rsid w:val="00B12936"/>
    <w:rsid w:val="00B12A7E"/>
    <w:rsid w:val="00B12ADF"/>
    <w:rsid w:val="00B12B5C"/>
    <w:rsid w:val="00B12B71"/>
    <w:rsid w:val="00B12BC7"/>
    <w:rsid w:val="00B12BE0"/>
    <w:rsid w:val="00B12BFD"/>
    <w:rsid w:val="00B12CCC"/>
    <w:rsid w:val="00B12CE3"/>
    <w:rsid w:val="00B12D6A"/>
    <w:rsid w:val="00B12D71"/>
    <w:rsid w:val="00B12E5C"/>
    <w:rsid w:val="00B12E8B"/>
    <w:rsid w:val="00B12E9A"/>
    <w:rsid w:val="00B12F24"/>
    <w:rsid w:val="00B12F6F"/>
    <w:rsid w:val="00B12F71"/>
    <w:rsid w:val="00B12FB9"/>
    <w:rsid w:val="00B12FD9"/>
    <w:rsid w:val="00B1301C"/>
    <w:rsid w:val="00B13057"/>
    <w:rsid w:val="00B13062"/>
    <w:rsid w:val="00B1308F"/>
    <w:rsid w:val="00B13095"/>
    <w:rsid w:val="00B130A9"/>
    <w:rsid w:val="00B130B1"/>
    <w:rsid w:val="00B130B2"/>
    <w:rsid w:val="00B130FF"/>
    <w:rsid w:val="00B13102"/>
    <w:rsid w:val="00B13103"/>
    <w:rsid w:val="00B13113"/>
    <w:rsid w:val="00B1314A"/>
    <w:rsid w:val="00B1328F"/>
    <w:rsid w:val="00B132A8"/>
    <w:rsid w:val="00B132BC"/>
    <w:rsid w:val="00B1336F"/>
    <w:rsid w:val="00B13388"/>
    <w:rsid w:val="00B13393"/>
    <w:rsid w:val="00B1340E"/>
    <w:rsid w:val="00B13485"/>
    <w:rsid w:val="00B134B2"/>
    <w:rsid w:val="00B1350E"/>
    <w:rsid w:val="00B13534"/>
    <w:rsid w:val="00B1354F"/>
    <w:rsid w:val="00B1357D"/>
    <w:rsid w:val="00B135D9"/>
    <w:rsid w:val="00B13778"/>
    <w:rsid w:val="00B13800"/>
    <w:rsid w:val="00B13918"/>
    <w:rsid w:val="00B1391C"/>
    <w:rsid w:val="00B1395D"/>
    <w:rsid w:val="00B139FD"/>
    <w:rsid w:val="00B13A25"/>
    <w:rsid w:val="00B13A6B"/>
    <w:rsid w:val="00B13AAF"/>
    <w:rsid w:val="00B13AB7"/>
    <w:rsid w:val="00B13B01"/>
    <w:rsid w:val="00B13B89"/>
    <w:rsid w:val="00B13BA1"/>
    <w:rsid w:val="00B13BDC"/>
    <w:rsid w:val="00B13BF3"/>
    <w:rsid w:val="00B13C46"/>
    <w:rsid w:val="00B13C53"/>
    <w:rsid w:val="00B13C54"/>
    <w:rsid w:val="00B13C89"/>
    <w:rsid w:val="00B13D00"/>
    <w:rsid w:val="00B13D26"/>
    <w:rsid w:val="00B13D5A"/>
    <w:rsid w:val="00B13D80"/>
    <w:rsid w:val="00B13D8F"/>
    <w:rsid w:val="00B13D9D"/>
    <w:rsid w:val="00B13DA1"/>
    <w:rsid w:val="00B13E3F"/>
    <w:rsid w:val="00B13F5E"/>
    <w:rsid w:val="00B13F5F"/>
    <w:rsid w:val="00B13F7A"/>
    <w:rsid w:val="00B14070"/>
    <w:rsid w:val="00B140FC"/>
    <w:rsid w:val="00B14165"/>
    <w:rsid w:val="00B1418B"/>
    <w:rsid w:val="00B14195"/>
    <w:rsid w:val="00B141E1"/>
    <w:rsid w:val="00B14249"/>
    <w:rsid w:val="00B1427E"/>
    <w:rsid w:val="00B142CB"/>
    <w:rsid w:val="00B142D6"/>
    <w:rsid w:val="00B14306"/>
    <w:rsid w:val="00B14345"/>
    <w:rsid w:val="00B14358"/>
    <w:rsid w:val="00B143FE"/>
    <w:rsid w:val="00B1440F"/>
    <w:rsid w:val="00B14422"/>
    <w:rsid w:val="00B14472"/>
    <w:rsid w:val="00B144A2"/>
    <w:rsid w:val="00B144F7"/>
    <w:rsid w:val="00B14503"/>
    <w:rsid w:val="00B14512"/>
    <w:rsid w:val="00B1454D"/>
    <w:rsid w:val="00B14555"/>
    <w:rsid w:val="00B14558"/>
    <w:rsid w:val="00B1455F"/>
    <w:rsid w:val="00B145AB"/>
    <w:rsid w:val="00B145B5"/>
    <w:rsid w:val="00B14601"/>
    <w:rsid w:val="00B1464B"/>
    <w:rsid w:val="00B14678"/>
    <w:rsid w:val="00B14693"/>
    <w:rsid w:val="00B1475D"/>
    <w:rsid w:val="00B1479F"/>
    <w:rsid w:val="00B14894"/>
    <w:rsid w:val="00B148D3"/>
    <w:rsid w:val="00B14947"/>
    <w:rsid w:val="00B14965"/>
    <w:rsid w:val="00B14A06"/>
    <w:rsid w:val="00B14A2B"/>
    <w:rsid w:val="00B14A82"/>
    <w:rsid w:val="00B14B34"/>
    <w:rsid w:val="00B14B43"/>
    <w:rsid w:val="00B14B84"/>
    <w:rsid w:val="00B14B9F"/>
    <w:rsid w:val="00B14BB3"/>
    <w:rsid w:val="00B14C19"/>
    <w:rsid w:val="00B14C22"/>
    <w:rsid w:val="00B14C8B"/>
    <w:rsid w:val="00B14C9C"/>
    <w:rsid w:val="00B14D06"/>
    <w:rsid w:val="00B14D0B"/>
    <w:rsid w:val="00B14D1B"/>
    <w:rsid w:val="00B14D1E"/>
    <w:rsid w:val="00B14D73"/>
    <w:rsid w:val="00B14E32"/>
    <w:rsid w:val="00B14E7F"/>
    <w:rsid w:val="00B14EDB"/>
    <w:rsid w:val="00B14EF3"/>
    <w:rsid w:val="00B14F07"/>
    <w:rsid w:val="00B14F46"/>
    <w:rsid w:val="00B14FBD"/>
    <w:rsid w:val="00B15024"/>
    <w:rsid w:val="00B150DC"/>
    <w:rsid w:val="00B1511B"/>
    <w:rsid w:val="00B1512A"/>
    <w:rsid w:val="00B15159"/>
    <w:rsid w:val="00B151AE"/>
    <w:rsid w:val="00B151FA"/>
    <w:rsid w:val="00B15294"/>
    <w:rsid w:val="00B152E6"/>
    <w:rsid w:val="00B15300"/>
    <w:rsid w:val="00B1533F"/>
    <w:rsid w:val="00B15368"/>
    <w:rsid w:val="00B153B6"/>
    <w:rsid w:val="00B153F9"/>
    <w:rsid w:val="00B15431"/>
    <w:rsid w:val="00B154E9"/>
    <w:rsid w:val="00B155CF"/>
    <w:rsid w:val="00B155F2"/>
    <w:rsid w:val="00B1561D"/>
    <w:rsid w:val="00B15628"/>
    <w:rsid w:val="00B1562D"/>
    <w:rsid w:val="00B15647"/>
    <w:rsid w:val="00B15663"/>
    <w:rsid w:val="00B1568E"/>
    <w:rsid w:val="00B156BF"/>
    <w:rsid w:val="00B156CB"/>
    <w:rsid w:val="00B156DE"/>
    <w:rsid w:val="00B1571B"/>
    <w:rsid w:val="00B15780"/>
    <w:rsid w:val="00B15836"/>
    <w:rsid w:val="00B158F2"/>
    <w:rsid w:val="00B1591C"/>
    <w:rsid w:val="00B1593A"/>
    <w:rsid w:val="00B159FB"/>
    <w:rsid w:val="00B15A24"/>
    <w:rsid w:val="00B15A2A"/>
    <w:rsid w:val="00B15A5E"/>
    <w:rsid w:val="00B15ABE"/>
    <w:rsid w:val="00B15B12"/>
    <w:rsid w:val="00B15BD5"/>
    <w:rsid w:val="00B15C57"/>
    <w:rsid w:val="00B15C78"/>
    <w:rsid w:val="00B15CA4"/>
    <w:rsid w:val="00B15CA8"/>
    <w:rsid w:val="00B15CB3"/>
    <w:rsid w:val="00B15CDA"/>
    <w:rsid w:val="00B15D1C"/>
    <w:rsid w:val="00B15D9F"/>
    <w:rsid w:val="00B15DD0"/>
    <w:rsid w:val="00B15DE2"/>
    <w:rsid w:val="00B15E13"/>
    <w:rsid w:val="00B15E16"/>
    <w:rsid w:val="00B15E1F"/>
    <w:rsid w:val="00B15E65"/>
    <w:rsid w:val="00B15F11"/>
    <w:rsid w:val="00B15F22"/>
    <w:rsid w:val="00B15F24"/>
    <w:rsid w:val="00B15F37"/>
    <w:rsid w:val="00B15F40"/>
    <w:rsid w:val="00B15F6D"/>
    <w:rsid w:val="00B15FE8"/>
    <w:rsid w:val="00B15FEF"/>
    <w:rsid w:val="00B16049"/>
    <w:rsid w:val="00B1608D"/>
    <w:rsid w:val="00B16164"/>
    <w:rsid w:val="00B161AD"/>
    <w:rsid w:val="00B1621B"/>
    <w:rsid w:val="00B16225"/>
    <w:rsid w:val="00B1625C"/>
    <w:rsid w:val="00B1625E"/>
    <w:rsid w:val="00B162E4"/>
    <w:rsid w:val="00B1637D"/>
    <w:rsid w:val="00B163A4"/>
    <w:rsid w:val="00B164DA"/>
    <w:rsid w:val="00B1659A"/>
    <w:rsid w:val="00B165DB"/>
    <w:rsid w:val="00B1661F"/>
    <w:rsid w:val="00B166CD"/>
    <w:rsid w:val="00B16727"/>
    <w:rsid w:val="00B16749"/>
    <w:rsid w:val="00B1677F"/>
    <w:rsid w:val="00B16882"/>
    <w:rsid w:val="00B1692A"/>
    <w:rsid w:val="00B16A0B"/>
    <w:rsid w:val="00B16A7C"/>
    <w:rsid w:val="00B16AA3"/>
    <w:rsid w:val="00B16AC5"/>
    <w:rsid w:val="00B16AE5"/>
    <w:rsid w:val="00B16B1A"/>
    <w:rsid w:val="00B16B2B"/>
    <w:rsid w:val="00B16B6F"/>
    <w:rsid w:val="00B16BA9"/>
    <w:rsid w:val="00B16BD7"/>
    <w:rsid w:val="00B16C0C"/>
    <w:rsid w:val="00B16C5A"/>
    <w:rsid w:val="00B16C73"/>
    <w:rsid w:val="00B16CAA"/>
    <w:rsid w:val="00B16CB5"/>
    <w:rsid w:val="00B16CDB"/>
    <w:rsid w:val="00B16E0B"/>
    <w:rsid w:val="00B16E3B"/>
    <w:rsid w:val="00B16E58"/>
    <w:rsid w:val="00B16E79"/>
    <w:rsid w:val="00B16EA8"/>
    <w:rsid w:val="00B16F04"/>
    <w:rsid w:val="00B16F1D"/>
    <w:rsid w:val="00B16F42"/>
    <w:rsid w:val="00B16FB7"/>
    <w:rsid w:val="00B16FBE"/>
    <w:rsid w:val="00B1701D"/>
    <w:rsid w:val="00B17069"/>
    <w:rsid w:val="00B1708A"/>
    <w:rsid w:val="00B17097"/>
    <w:rsid w:val="00B170F5"/>
    <w:rsid w:val="00B170FD"/>
    <w:rsid w:val="00B17126"/>
    <w:rsid w:val="00B17135"/>
    <w:rsid w:val="00B1713C"/>
    <w:rsid w:val="00B171A1"/>
    <w:rsid w:val="00B17248"/>
    <w:rsid w:val="00B17278"/>
    <w:rsid w:val="00B1727B"/>
    <w:rsid w:val="00B172CD"/>
    <w:rsid w:val="00B172D2"/>
    <w:rsid w:val="00B17322"/>
    <w:rsid w:val="00B17390"/>
    <w:rsid w:val="00B17407"/>
    <w:rsid w:val="00B17457"/>
    <w:rsid w:val="00B17470"/>
    <w:rsid w:val="00B1747B"/>
    <w:rsid w:val="00B17496"/>
    <w:rsid w:val="00B174CC"/>
    <w:rsid w:val="00B1752B"/>
    <w:rsid w:val="00B17592"/>
    <w:rsid w:val="00B175B3"/>
    <w:rsid w:val="00B17601"/>
    <w:rsid w:val="00B1765C"/>
    <w:rsid w:val="00B17671"/>
    <w:rsid w:val="00B176CB"/>
    <w:rsid w:val="00B176EE"/>
    <w:rsid w:val="00B17716"/>
    <w:rsid w:val="00B17717"/>
    <w:rsid w:val="00B17753"/>
    <w:rsid w:val="00B1787E"/>
    <w:rsid w:val="00B17887"/>
    <w:rsid w:val="00B1788C"/>
    <w:rsid w:val="00B17A97"/>
    <w:rsid w:val="00B17AC3"/>
    <w:rsid w:val="00B17B32"/>
    <w:rsid w:val="00B17BBF"/>
    <w:rsid w:val="00B17BC3"/>
    <w:rsid w:val="00B17BCE"/>
    <w:rsid w:val="00B17BE6"/>
    <w:rsid w:val="00B17C0F"/>
    <w:rsid w:val="00B17C5B"/>
    <w:rsid w:val="00B17CCE"/>
    <w:rsid w:val="00B17CDB"/>
    <w:rsid w:val="00B17D4D"/>
    <w:rsid w:val="00B17EA9"/>
    <w:rsid w:val="00B17F3B"/>
    <w:rsid w:val="00B17FD4"/>
    <w:rsid w:val="00B2002E"/>
    <w:rsid w:val="00B20038"/>
    <w:rsid w:val="00B20043"/>
    <w:rsid w:val="00B200BA"/>
    <w:rsid w:val="00B2012D"/>
    <w:rsid w:val="00B20181"/>
    <w:rsid w:val="00B20194"/>
    <w:rsid w:val="00B20239"/>
    <w:rsid w:val="00B20308"/>
    <w:rsid w:val="00B20342"/>
    <w:rsid w:val="00B20361"/>
    <w:rsid w:val="00B2038E"/>
    <w:rsid w:val="00B203A9"/>
    <w:rsid w:val="00B203C6"/>
    <w:rsid w:val="00B203D0"/>
    <w:rsid w:val="00B20465"/>
    <w:rsid w:val="00B2046B"/>
    <w:rsid w:val="00B204DF"/>
    <w:rsid w:val="00B20532"/>
    <w:rsid w:val="00B20543"/>
    <w:rsid w:val="00B2056C"/>
    <w:rsid w:val="00B205CB"/>
    <w:rsid w:val="00B205F5"/>
    <w:rsid w:val="00B2061C"/>
    <w:rsid w:val="00B20674"/>
    <w:rsid w:val="00B206BF"/>
    <w:rsid w:val="00B206C0"/>
    <w:rsid w:val="00B20761"/>
    <w:rsid w:val="00B207B4"/>
    <w:rsid w:val="00B20804"/>
    <w:rsid w:val="00B20828"/>
    <w:rsid w:val="00B20862"/>
    <w:rsid w:val="00B208F8"/>
    <w:rsid w:val="00B2094F"/>
    <w:rsid w:val="00B20952"/>
    <w:rsid w:val="00B209A1"/>
    <w:rsid w:val="00B209A2"/>
    <w:rsid w:val="00B209F3"/>
    <w:rsid w:val="00B20A0C"/>
    <w:rsid w:val="00B20A3B"/>
    <w:rsid w:val="00B20A76"/>
    <w:rsid w:val="00B20A9B"/>
    <w:rsid w:val="00B20AF4"/>
    <w:rsid w:val="00B20B34"/>
    <w:rsid w:val="00B20B5D"/>
    <w:rsid w:val="00B20CDA"/>
    <w:rsid w:val="00B20D07"/>
    <w:rsid w:val="00B20D6D"/>
    <w:rsid w:val="00B20DD9"/>
    <w:rsid w:val="00B20DDE"/>
    <w:rsid w:val="00B20E06"/>
    <w:rsid w:val="00B20E33"/>
    <w:rsid w:val="00B20E52"/>
    <w:rsid w:val="00B20F10"/>
    <w:rsid w:val="00B20F19"/>
    <w:rsid w:val="00B20F32"/>
    <w:rsid w:val="00B20F74"/>
    <w:rsid w:val="00B20FE5"/>
    <w:rsid w:val="00B2108C"/>
    <w:rsid w:val="00B21099"/>
    <w:rsid w:val="00B210A0"/>
    <w:rsid w:val="00B210C2"/>
    <w:rsid w:val="00B210C9"/>
    <w:rsid w:val="00B210FB"/>
    <w:rsid w:val="00B211CB"/>
    <w:rsid w:val="00B211E3"/>
    <w:rsid w:val="00B2120C"/>
    <w:rsid w:val="00B21211"/>
    <w:rsid w:val="00B21236"/>
    <w:rsid w:val="00B2130E"/>
    <w:rsid w:val="00B2131E"/>
    <w:rsid w:val="00B2135D"/>
    <w:rsid w:val="00B2138C"/>
    <w:rsid w:val="00B2139E"/>
    <w:rsid w:val="00B213E2"/>
    <w:rsid w:val="00B21437"/>
    <w:rsid w:val="00B21481"/>
    <w:rsid w:val="00B214F9"/>
    <w:rsid w:val="00B2156A"/>
    <w:rsid w:val="00B215C2"/>
    <w:rsid w:val="00B215F6"/>
    <w:rsid w:val="00B21619"/>
    <w:rsid w:val="00B21622"/>
    <w:rsid w:val="00B2164B"/>
    <w:rsid w:val="00B2170D"/>
    <w:rsid w:val="00B21734"/>
    <w:rsid w:val="00B2173B"/>
    <w:rsid w:val="00B217AD"/>
    <w:rsid w:val="00B217DE"/>
    <w:rsid w:val="00B217E7"/>
    <w:rsid w:val="00B21889"/>
    <w:rsid w:val="00B218C9"/>
    <w:rsid w:val="00B219B0"/>
    <w:rsid w:val="00B219D1"/>
    <w:rsid w:val="00B21A2B"/>
    <w:rsid w:val="00B21A99"/>
    <w:rsid w:val="00B21B5B"/>
    <w:rsid w:val="00B21BEE"/>
    <w:rsid w:val="00B21C4D"/>
    <w:rsid w:val="00B21C7E"/>
    <w:rsid w:val="00B21C91"/>
    <w:rsid w:val="00B21D09"/>
    <w:rsid w:val="00B21D2F"/>
    <w:rsid w:val="00B21D52"/>
    <w:rsid w:val="00B21D74"/>
    <w:rsid w:val="00B21D80"/>
    <w:rsid w:val="00B21DD7"/>
    <w:rsid w:val="00B21E14"/>
    <w:rsid w:val="00B21E4C"/>
    <w:rsid w:val="00B21E6E"/>
    <w:rsid w:val="00B21ECE"/>
    <w:rsid w:val="00B21EE6"/>
    <w:rsid w:val="00B21F1F"/>
    <w:rsid w:val="00B21FD7"/>
    <w:rsid w:val="00B21FDB"/>
    <w:rsid w:val="00B21FE3"/>
    <w:rsid w:val="00B22091"/>
    <w:rsid w:val="00B220D7"/>
    <w:rsid w:val="00B2212D"/>
    <w:rsid w:val="00B22142"/>
    <w:rsid w:val="00B2214C"/>
    <w:rsid w:val="00B22202"/>
    <w:rsid w:val="00B22220"/>
    <w:rsid w:val="00B2226E"/>
    <w:rsid w:val="00B2227E"/>
    <w:rsid w:val="00B222BB"/>
    <w:rsid w:val="00B22317"/>
    <w:rsid w:val="00B223D5"/>
    <w:rsid w:val="00B22420"/>
    <w:rsid w:val="00B22454"/>
    <w:rsid w:val="00B224A2"/>
    <w:rsid w:val="00B22537"/>
    <w:rsid w:val="00B225C3"/>
    <w:rsid w:val="00B225F9"/>
    <w:rsid w:val="00B225FA"/>
    <w:rsid w:val="00B226A8"/>
    <w:rsid w:val="00B226B3"/>
    <w:rsid w:val="00B226CA"/>
    <w:rsid w:val="00B226E4"/>
    <w:rsid w:val="00B2272C"/>
    <w:rsid w:val="00B22777"/>
    <w:rsid w:val="00B22790"/>
    <w:rsid w:val="00B22794"/>
    <w:rsid w:val="00B22852"/>
    <w:rsid w:val="00B22861"/>
    <w:rsid w:val="00B22877"/>
    <w:rsid w:val="00B22881"/>
    <w:rsid w:val="00B22949"/>
    <w:rsid w:val="00B22976"/>
    <w:rsid w:val="00B2299D"/>
    <w:rsid w:val="00B229D6"/>
    <w:rsid w:val="00B229DC"/>
    <w:rsid w:val="00B229F5"/>
    <w:rsid w:val="00B22A7A"/>
    <w:rsid w:val="00B22A9A"/>
    <w:rsid w:val="00B22AD0"/>
    <w:rsid w:val="00B22B02"/>
    <w:rsid w:val="00B22B04"/>
    <w:rsid w:val="00B22B39"/>
    <w:rsid w:val="00B22BA9"/>
    <w:rsid w:val="00B22BD8"/>
    <w:rsid w:val="00B22BD9"/>
    <w:rsid w:val="00B22BDD"/>
    <w:rsid w:val="00B22BE7"/>
    <w:rsid w:val="00B22C84"/>
    <w:rsid w:val="00B22C99"/>
    <w:rsid w:val="00B22D01"/>
    <w:rsid w:val="00B22D22"/>
    <w:rsid w:val="00B22D8B"/>
    <w:rsid w:val="00B22DAA"/>
    <w:rsid w:val="00B22E04"/>
    <w:rsid w:val="00B22E15"/>
    <w:rsid w:val="00B22E75"/>
    <w:rsid w:val="00B22ED1"/>
    <w:rsid w:val="00B22ED3"/>
    <w:rsid w:val="00B22F09"/>
    <w:rsid w:val="00B22F0B"/>
    <w:rsid w:val="00B22F75"/>
    <w:rsid w:val="00B22FBA"/>
    <w:rsid w:val="00B22FC2"/>
    <w:rsid w:val="00B22FD4"/>
    <w:rsid w:val="00B22FEF"/>
    <w:rsid w:val="00B2302C"/>
    <w:rsid w:val="00B2302F"/>
    <w:rsid w:val="00B230FE"/>
    <w:rsid w:val="00B23112"/>
    <w:rsid w:val="00B2313F"/>
    <w:rsid w:val="00B2318F"/>
    <w:rsid w:val="00B231D6"/>
    <w:rsid w:val="00B231DA"/>
    <w:rsid w:val="00B231F2"/>
    <w:rsid w:val="00B23213"/>
    <w:rsid w:val="00B23235"/>
    <w:rsid w:val="00B23303"/>
    <w:rsid w:val="00B2332E"/>
    <w:rsid w:val="00B23334"/>
    <w:rsid w:val="00B233D8"/>
    <w:rsid w:val="00B233FD"/>
    <w:rsid w:val="00B2343D"/>
    <w:rsid w:val="00B2343E"/>
    <w:rsid w:val="00B23469"/>
    <w:rsid w:val="00B23535"/>
    <w:rsid w:val="00B23548"/>
    <w:rsid w:val="00B23550"/>
    <w:rsid w:val="00B23618"/>
    <w:rsid w:val="00B23621"/>
    <w:rsid w:val="00B23656"/>
    <w:rsid w:val="00B2365B"/>
    <w:rsid w:val="00B23664"/>
    <w:rsid w:val="00B236A1"/>
    <w:rsid w:val="00B236FB"/>
    <w:rsid w:val="00B23709"/>
    <w:rsid w:val="00B2375A"/>
    <w:rsid w:val="00B23783"/>
    <w:rsid w:val="00B237D2"/>
    <w:rsid w:val="00B237E4"/>
    <w:rsid w:val="00B2384C"/>
    <w:rsid w:val="00B2385A"/>
    <w:rsid w:val="00B23917"/>
    <w:rsid w:val="00B23954"/>
    <w:rsid w:val="00B2395A"/>
    <w:rsid w:val="00B23967"/>
    <w:rsid w:val="00B23982"/>
    <w:rsid w:val="00B239BB"/>
    <w:rsid w:val="00B23A0F"/>
    <w:rsid w:val="00B23A9A"/>
    <w:rsid w:val="00B23ACE"/>
    <w:rsid w:val="00B23B54"/>
    <w:rsid w:val="00B23B75"/>
    <w:rsid w:val="00B23BA6"/>
    <w:rsid w:val="00B23CD1"/>
    <w:rsid w:val="00B23CE4"/>
    <w:rsid w:val="00B23D6B"/>
    <w:rsid w:val="00B23D78"/>
    <w:rsid w:val="00B23D7B"/>
    <w:rsid w:val="00B23E57"/>
    <w:rsid w:val="00B23E5F"/>
    <w:rsid w:val="00B23E85"/>
    <w:rsid w:val="00B23ED7"/>
    <w:rsid w:val="00B23F40"/>
    <w:rsid w:val="00B23F75"/>
    <w:rsid w:val="00B23FEA"/>
    <w:rsid w:val="00B24013"/>
    <w:rsid w:val="00B2406C"/>
    <w:rsid w:val="00B2411F"/>
    <w:rsid w:val="00B2414E"/>
    <w:rsid w:val="00B24164"/>
    <w:rsid w:val="00B24172"/>
    <w:rsid w:val="00B2423D"/>
    <w:rsid w:val="00B2423F"/>
    <w:rsid w:val="00B24279"/>
    <w:rsid w:val="00B24288"/>
    <w:rsid w:val="00B242A6"/>
    <w:rsid w:val="00B24307"/>
    <w:rsid w:val="00B24346"/>
    <w:rsid w:val="00B24362"/>
    <w:rsid w:val="00B243D1"/>
    <w:rsid w:val="00B2447C"/>
    <w:rsid w:val="00B2453C"/>
    <w:rsid w:val="00B24562"/>
    <w:rsid w:val="00B24583"/>
    <w:rsid w:val="00B245A5"/>
    <w:rsid w:val="00B245DC"/>
    <w:rsid w:val="00B245E4"/>
    <w:rsid w:val="00B24641"/>
    <w:rsid w:val="00B24701"/>
    <w:rsid w:val="00B24717"/>
    <w:rsid w:val="00B24719"/>
    <w:rsid w:val="00B2475C"/>
    <w:rsid w:val="00B2478A"/>
    <w:rsid w:val="00B247F7"/>
    <w:rsid w:val="00B247FB"/>
    <w:rsid w:val="00B24845"/>
    <w:rsid w:val="00B24867"/>
    <w:rsid w:val="00B248C5"/>
    <w:rsid w:val="00B248CF"/>
    <w:rsid w:val="00B248D7"/>
    <w:rsid w:val="00B2499A"/>
    <w:rsid w:val="00B249A1"/>
    <w:rsid w:val="00B249C8"/>
    <w:rsid w:val="00B249FA"/>
    <w:rsid w:val="00B24A17"/>
    <w:rsid w:val="00B24A3C"/>
    <w:rsid w:val="00B24A46"/>
    <w:rsid w:val="00B24AB7"/>
    <w:rsid w:val="00B24B17"/>
    <w:rsid w:val="00B24B3B"/>
    <w:rsid w:val="00B24B3D"/>
    <w:rsid w:val="00B24B4B"/>
    <w:rsid w:val="00B24B5C"/>
    <w:rsid w:val="00B24B60"/>
    <w:rsid w:val="00B24BBB"/>
    <w:rsid w:val="00B24BC0"/>
    <w:rsid w:val="00B24C1E"/>
    <w:rsid w:val="00B24C7E"/>
    <w:rsid w:val="00B24CF7"/>
    <w:rsid w:val="00B24D5F"/>
    <w:rsid w:val="00B24D91"/>
    <w:rsid w:val="00B24DBA"/>
    <w:rsid w:val="00B24DBE"/>
    <w:rsid w:val="00B24DC9"/>
    <w:rsid w:val="00B24E15"/>
    <w:rsid w:val="00B24E47"/>
    <w:rsid w:val="00B24E4B"/>
    <w:rsid w:val="00B24E69"/>
    <w:rsid w:val="00B24F22"/>
    <w:rsid w:val="00B24F2E"/>
    <w:rsid w:val="00B24F71"/>
    <w:rsid w:val="00B24F76"/>
    <w:rsid w:val="00B24F80"/>
    <w:rsid w:val="00B24FBF"/>
    <w:rsid w:val="00B24FCD"/>
    <w:rsid w:val="00B24FF3"/>
    <w:rsid w:val="00B25039"/>
    <w:rsid w:val="00B2503D"/>
    <w:rsid w:val="00B25093"/>
    <w:rsid w:val="00B250C9"/>
    <w:rsid w:val="00B250D8"/>
    <w:rsid w:val="00B250E2"/>
    <w:rsid w:val="00B250E7"/>
    <w:rsid w:val="00B250F2"/>
    <w:rsid w:val="00B25101"/>
    <w:rsid w:val="00B25107"/>
    <w:rsid w:val="00B25134"/>
    <w:rsid w:val="00B25136"/>
    <w:rsid w:val="00B2513A"/>
    <w:rsid w:val="00B25176"/>
    <w:rsid w:val="00B25193"/>
    <w:rsid w:val="00B251A3"/>
    <w:rsid w:val="00B251E7"/>
    <w:rsid w:val="00B251EC"/>
    <w:rsid w:val="00B25256"/>
    <w:rsid w:val="00B2528B"/>
    <w:rsid w:val="00B25299"/>
    <w:rsid w:val="00B252B3"/>
    <w:rsid w:val="00B252D0"/>
    <w:rsid w:val="00B252DB"/>
    <w:rsid w:val="00B252DD"/>
    <w:rsid w:val="00B25305"/>
    <w:rsid w:val="00B2534E"/>
    <w:rsid w:val="00B25362"/>
    <w:rsid w:val="00B253D3"/>
    <w:rsid w:val="00B2542E"/>
    <w:rsid w:val="00B25474"/>
    <w:rsid w:val="00B2547D"/>
    <w:rsid w:val="00B254D8"/>
    <w:rsid w:val="00B254E8"/>
    <w:rsid w:val="00B25513"/>
    <w:rsid w:val="00B2558D"/>
    <w:rsid w:val="00B255BA"/>
    <w:rsid w:val="00B25607"/>
    <w:rsid w:val="00B25636"/>
    <w:rsid w:val="00B2569C"/>
    <w:rsid w:val="00B25706"/>
    <w:rsid w:val="00B257A8"/>
    <w:rsid w:val="00B25824"/>
    <w:rsid w:val="00B2583A"/>
    <w:rsid w:val="00B258A2"/>
    <w:rsid w:val="00B258E4"/>
    <w:rsid w:val="00B2591F"/>
    <w:rsid w:val="00B25940"/>
    <w:rsid w:val="00B259AE"/>
    <w:rsid w:val="00B25A85"/>
    <w:rsid w:val="00B25B14"/>
    <w:rsid w:val="00B25B1C"/>
    <w:rsid w:val="00B25B6E"/>
    <w:rsid w:val="00B25C76"/>
    <w:rsid w:val="00B25C90"/>
    <w:rsid w:val="00B25CAD"/>
    <w:rsid w:val="00B25D4F"/>
    <w:rsid w:val="00B25E4E"/>
    <w:rsid w:val="00B25E5E"/>
    <w:rsid w:val="00B25E69"/>
    <w:rsid w:val="00B25E78"/>
    <w:rsid w:val="00B25E9A"/>
    <w:rsid w:val="00B25ED6"/>
    <w:rsid w:val="00B25ED9"/>
    <w:rsid w:val="00B25F56"/>
    <w:rsid w:val="00B25FA7"/>
    <w:rsid w:val="00B25FC2"/>
    <w:rsid w:val="00B25FDD"/>
    <w:rsid w:val="00B25FE8"/>
    <w:rsid w:val="00B26022"/>
    <w:rsid w:val="00B26033"/>
    <w:rsid w:val="00B260F4"/>
    <w:rsid w:val="00B2612A"/>
    <w:rsid w:val="00B2619C"/>
    <w:rsid w:val="00B261B5"/>
    <w:rsid w:val="00B26212"/>
    <w:rsid w:val="00B2625C"/>
    <w:rsid w:val="00B26351"/>
    <w:rsid w:val="00B263B8"/>
    <w:rsid w:val="00B263C2"/>
    <w:rsid w:val="00B263DD"/>
    <w:rsid w:val="00B26423"/>
    <w:rsid w:val="00B2644E"/>
    <w:rsid w:val="00B2649A"/>
    <w:rsid w:val="00B26564"/>
    <w:rsid w:val="00B2660F"/>
    <w:rsid w:val="00B2661B"/>
    <w:rsid w:val="00B26626"/>
    <w:rsid w:val="00B26681"/>
    <w:rsid w:val="00B26692"/>
    <w:rsid w:val="00B266E9"/>
    <w:rsid w:val="00B266EC"/>
    <w:rsid w:val="00B2671C"/>
    <w:rsid w:val="00B2675F"/>
    <w:rsid w:val="00B26774"/>
    <w:rsid w:val="00B267BB"/>
    <w:rsid w:val="00B267EC"/>
    <w:rsid w:val="00B267F2"/>
    <w:rsid w:val="00B26808"/>
    <w:rsid w:val="00B26822"/>
    <w:rsid w:val="00B268CB"/>
    <w:rsid w:val="00B268EA"/>
    <w:rsid w:val="00B26904"/>
    <w:rsid w:val="00B26906"/>
    <w:rsid w:val="00B269D4"/>
    <w:rsid w:val="00B269E2"/>
    <w:rsid w:val="00B26A65"/>
    <w:rsid w:val="00B26AA1"/>
    <w:rsid w:val="00B26ABA"/>
    <w:rsid w:val="00B26ACB"/>
    <w:rsid w:val="00B26B39"/>
    <w:rsid w:val="00B26B62"/>
    <w:rsid w:val="00B26BC4"/>
    <w:rsid w:val="00B26C20"/>
    <w:rsid w:val="00B26C40"/>
    <w:rsid w:val="00B26C44"/>
    <w:rsid w:val="00B26C93"/>
    <w:rsid w:val="00B26CA7"/>
    <w:rsid w:val="00B26CFF"/>
    <w:rsid w:val="00B26D00"/>
    <w:rsid w:val="00B26D54"/>
    <w:rsid w:val="00B26D7D"/>
    <w:rsid w:val="00B26DC1"/>
    <w:rsid w:val="00B26DC6"/>
    <w:rsid w:val="00B26DE1"/>
    <w:rsid w:val="00B26DE9"/>
    <w:rsid w:val="00B26EB1"/>
    <w:rsid w:val="00B26EBC"/>
    <w:rsid w:val="00B26FA8"/>
    <w:rsid w:val="00B26FD2"/>
    <w:rsid w:val="00B27007"/>
    <w:rsid w:val="00B27029"/>
    <w:rsid w:val="00B27058"/>
    <w:rsid w:val="00B27080"/>
    <w:rsid w:val="00B270C6"/>
    <w:rsid w:val="00B2722E"/>
    <w:rsid w:val="00B27231"/>
    <w:rsid w:val="00B27280"/>
    <w:rsid w:val="00B2728C"/>
    <w:rsid w:val="00B27296"/>
    <w:rsid w:val="00B272B4"/>
    <w:rsid w:val="00B272F7"/>
    <w:rsid w:val="00B273D2"/>
    <w:rsid w:val="00B27443"/>
    <w:rsid w:val="00B2744D"/>
    <w:rsid w:val="00B2745D"/>
    <w:rsid w:val="00B2748F"/>
    <w:rsid w:val="00B274BB"/>
    <w:rsid w:val="00B27513"/>
    <w:rsid w:val="00B27532"/>
    <w:rsid w:val="00B27538"/>
    <w:rsid w:val="00B2754E"/>
    <w:rsid w:val="00B27566"/>
    <w:rsid w:val="00B275D1"/>
    <w:rsid w:val="00B275EA"/>
    <w:rsid w:val="00B27638"/>
    <w:rsid w:val="00B2770C"/>
    <w:rsid w:val="00B2774F"/>
    <w:rsid w:val="00B27774"/>
    <w:rsid w:val="00B277D6"/>
    <w:rsid w:val="00B27803"/>
    <w:rsid w:val="00B27865"/>
    <w:rsid w:val="00B27868"/>
    <w:rsid w:val="00B2788E"/>
    <w:rsid w:val="00B2789D"/>
    <w:rsid w:val="00B27A2E"/>
    <w:rsid w:val="00B27A63"/>
    <w:rsid w:val="00B27ABA"/>
    <w:rsid w:val="00B27B22"/>
    <w:rsid w:val="00B27B7B"/>
    <w:rsid w:val="00B27BEE"/>
    <w:rsid w:val="00B27C31"/>
    <w:rsid w:val="00B27C81"/>
    <w:rsid w:val="00B27D15"/>
    <w:rsid w:val="00B27D2B"/>
    <w:rsid w:val="00B27D4C"/>
    <w:rsid w:val="00B27D62"/>
    <w:rsid w:val="00B27D65"/>
    <w:rsid w:val="00B27D9F"/>
    <w:rsid w:val="00B27DD1"/>
    <w:rsid w:val="00B27E25"/>
    <w:rsid w:val="00B27E30"/>
    <w:rsid w:val="00B27E5C"/>
    <w:rsid w:val="00B27E9D"/>
    <w:rsid w:val="00B27EBC"/>
    <w:rsid w:val="00B27EEC"/>
    <w:rsid w:val="00B27EEE"/>
    <w:rsid w:val="00B27F92"/>
    <w:rsid w:val="00B27FC2"/>
    <w:rsid w:val="00B300F9"/>
    <w:rsid w:val="00B30196"/>
    <w:rsid w:val="00B30199"/>
    <w:rsid w:val="00B3019F"/>
    <w:rsid w:val="00B301A7"/>
    <w:rsid w:val="00B301F5"/>
    <w:rsid w:val="00B30202"/>
    <w:rsid w:val="00B30254"/>
    <w:rsid w:val="00B3027A"/>
    <w:rsid w:val="00B30283"/>
    <w:rsid w:val="00B30320"/>
    <w:rsid w:val="00B30324"/>
    <w:rsid w:val="00B303B7"/>
    <w:rsid w:val="00B30475"/>
    <w:rsid w:val="00B30492"/>
    <w:rsid w:val="00B304C3"/>
    <w:rsid w:val="00B30507"/>
    <w:rsid w:val="00B305CD"/>
    <w:rsid w:val="00B3061C"/>
    <w:rsid w:val="00B30624"/>
    <w:rsid w:val="00B30650"/>
    <w:rsid w:val="00B306BC"/>
    <w:rsid w:val="00B306DB"/>
    <w:rsid w:val="00B30787"/>
    <w:rsid w:val="00B307EE"/>
    <w:rsid w:val="00B30861"/>
    <w:rsid w:val="00B30880"/>
    <w:rsid w:val="00B308A8"/>
    <w:rsid w:val="00B308C1"/>
    <w:rsid w:val="00B30938"/>
    <w:rsid w:val="00B3094C"/>
    <w:rsid w:val="00B309CC"/>
    <w:rsid w:val="00B30A50"/>
    <w:rsid w:val="00B30AAC"/>
    <w:rsid w:val="00B30ADC"/>
    <w:rsid w:val="00B30B4C"/>
    <w:rsid w:val="00B30B7B"/>
    <w:rsid w:val="00B30BC0"/>
    <w:rsid w:val="00B30C46"/>
    <w:rsid w:val="00B30C73"/>
    <w:rsid w:val="00B30C83"/>
    <w:rsid w:val="00B30D69"/>
    <w:rsid w:val="00B30DA6"/>
    <w:rsid w:val="00B30E14"/>
    <w:rsid w:val="00B30E34"/>
    <w:rsid w:val="00B30E99"/>
    <w:rsid w:val="00B30E9A"/>
    <w:rsid w:val="00B30F2B"/>
    <w:rsid w:val="00B30F4C"/>
    <w:rsid w:val="00B30F61"/>
    <w:rsid w:val="00B30F78"/>
    <w:rsid w:val="00B30F86"/>
    <w:rsid w:val="00B3101B"/>
    <w:rsid w:val="00B3104D"/>
    <w:rsid w:val="00B310CF"/>
    <w:rsid w:val="00B310EA"/>
    <w:rsid w:val="00B310F4"/>
    <w:rsid w:val="00B3117C"/>
    <w:rsid w:val="00B31202"/>
    <w:rsid w:val="00B31247"/>
    <w:rsid w:val="00B31259"/>
    <w:rsid w:val="00B31269"/>
    <w:rsid w:val="00B31295"/>
    <w:rsid w:val="00B312D6"/>
    <w:rsid w:val="00B31366"/>
    <w:rsid w:val="00B31372"/>
    <w:rsid w:val="00B31376"/>
    <w:rsid w:val="00B313A9"/>
    <w:rsid w:val="00B313AB"/>
    <w:rsid w:val="00B31432"/>
    <w:rsid w:val="00B31441"/>
    <w:rsid w:val="00B31491"/>
    <w:rsid w:val="00B3152A"/>
    <w:rsid w:val="00B3154A"/>
    <w:rsid w:val="00B31564"/>
    <w:rsid w:val="00B315AC"/>
    <w:rsid w:val="00B315C0"/>
    <w:rsid w:val="00B315C7"/>
    <w:rsid w:val="00B31630"/>
    <w:rsid w:val="00B316B8"/>
    <w:rsid w:val="00B316D7"/>
    <w:rsid w:val="00B316FE"/>
    <w:rsid w:val="00B31785"/>
    <w:rsid w:val="00B31854"/>
    <w:rsid w:val="00B31896"/>
    <w:rsid w:val="00B3189D"/>
    <w:rsid w:val="00B318A9"/>
    <w:rsid w:val="00B318E0"/>
    <w:rsid w:val="00B3193C"/>
    <w:rsid w:val="00B31962"/>
    <w:rsid w:val="00B31988"/>
    <w:rsid w:val="00B319A8"/>
    <w:rsid w:val="00B319FD"/>
    <w:rsid w:val="00B31A0A"/>
    <w:rsid w:val="00B31A59"/>
    <w:rsid w:val="00B31A6D"/>
    <w:rsid w:val="00B31A98"/>
    <w:rsid w:val="00B31AA8"/>
    <w:rsid w:val="00B31B1D"/>
    <w:rsid w:val="00B31B30"/>
    <w:rsid w:val="00B31B9B"/>
    <w:rsid w:val="00B31BAC"/>
    <w:rsid w:val="00B31BBB"/>
    <w:rsid w:val="00B31C1F"/>
    <w:rsid w:val="00B31C52"/>
    <w:rsid w:val="00B31CAE"/>
    <w:rsid w:val="00B31D3C"/>
    <w:rsid w:val="00B31D4F"/>
    <w:rsid w:val="00B31DF6"/>
    <w:rsid w:val="00B31E2D"/>
    <w:rsid w:val="00B31E82"/>
    <w:rsid w:val="00B31E9E"/>
    <w:rsid w:val="00B31F16"/>
    <w:rsid w:val="00B31F88"/>
    <w:rsid w:val="00B31FB4"/>
    <w:rsid w:val="00B3208D"/>
    <w:rsid w:val="00B320D7"/>
    <w:rsid w:val="00B3218B"/>
    <w:rsid w:val="00B321B9"/>
    <w:rsid w:val="00B321DD"/>
    <w:rsid w:val="00B32263"/>
    <w:rsid w:val="00B3228C"/>
    <w:rsid w:val="00B322C6"/>
    <w:rsid w:val="00B322D3"/>
    <w:rsid w:val="00B322DF"/>
    <w:rsid w:val="00B32303"/>
    <w:rsid w:val="00B32383"/>
    <w:rsid w:val="00B323E2"/>
    <w:rsid w:val="00B32429"/>
    <w:rsid w:val="00B32455"/>
    <w:rsid w:val="00B32496"/>
    <w:rsid w:val="00B32508"/>
    <w:rsid w:val="00B32535"/>
    <w:rsid w:val="00B32722"/>
    <w:rsid w:val="00B32724"/>
    <w:rsid w:val="00B327F4"/>
    <w:rsid w:val="00B32812"/>
    <w:rsid w:val="00B32818"/>
    <w:rsid w:val="00B32891"/>
    <w:rsid w:val="00B32938"/>
    <w:rsid w:val="00B32989"/>
    <w:rsid w:val="00B329DD"/>
    <w:rsid w:val="00B32A03"/>
    <w:rsid w:val="00B32A6F"/>
    <w:rsid w:val="00B32A7B"/>
    <w:rsid w:val="00B32AC4"/>
    <w:rsid w:val="00B32AEE"/>
    <w:rsid w:val="00B32AF9"/>
    <w:rsid w:val="00B32C28"/>
    <w:rsid w:val="00B32C34"/>
    <w:rsid w:val="00B32C6E"/>
    <w:rsid w:val="00B32CF2"/>
    <w:rsid w:val="00B32D45"/>
    <w:rsid w:val="00B32D46"/>
    <w:rsid w:val="00B32D80"/>
    <w:rsid w:val="00B32D8C"/>
    <w:rsid w:val="00B32D9E"/>
    <w:rsid w:val="00B32DCC"/>
    <w:rsid w:val="00B32E2E"/>
    <w:rsid w:val="00B32EA0"/>
    <w:rsid w:val="00B32ECA"/>
    <w:rsid w:val="00B32EFD"/>
    <w:rsid w:val="00B32F18"/>
    <w:rsid w:val="00B32F1A"/>
    <w:rsid w:val="00B32F69"/>
    <w:rsid w:val="00B32FB2"/>
    <w:rsid w:val="00B32FD5"/>
    <w:rsid w:val="00B32FE9"/>
    <w:rsid w:val="00B33000"/>
    <w:rsid w:val="00B33029"/>
    <w:rsid w:val="00B33034"/>
    <w:rsid w:val="00B33041"/>
    <w:rsid w:val="00B330E5"/>
    <w:rsid w:val="00B330F2"/>
    <w:rsid w:val="00B3311F"/>
    <w:rsid w:val="00B3315F"/>
    <w:rsid w:val="00B331B3"/>
    <w:rsid w:val="00B331F5"/>
    <w:rsid w:val="00B3325D"/>
    <w:rsid w:val="00B3326D"/>
    <w:rsid w:val="00B3326F"/>
    <w:rsid w:val="00B33338"/>
    <w:rsid w:val="00B3335D"/>
    <w:rsid w:val="00B333A3"/>
    <w:rsid w:val="00B333F3"/>
    <w:rsid w:val="00B33474"/>
    <w:rsid w:val="00B33477"/>
    <w:rsid w:val="00B334A4"/>
    <w:rsid w:val="00B33562"/>
    <w:rsid w:val="00B3356F"/>
    <w:rsid w:val="00B33585"/>
    <w:rsid w:val="00B33592"/>
    <w:rsid w:val="00B335C1"/>
    <w:rsid w:val="00B335CC"/>
    <w:rsid w:val="00B335EE"/>
    <w:rsid w:val="00B335F2"/>
    <w:rsid w:val="00B33636"/>
    <w:rsid w:val="00B33694"/>
    <w:rsid w:val="00B336B1"/>
    <w:rsid w:val="00B336F4"/>
    <w:rsid w:val="00B33737"/>
    <w:rsid w:val="00B33756"/>
    <w:rsid w:val="00B337A0"/>
    <w:rsid w:val="00B337A9"/>
    <w:rsid w:val="00B337C5"/>
    <w:rsid w:val="00B337DF"/>
    <w:rsid w:val="00B33844"/>
    <w:rsid w:val="00B338A8"/>
    <w:rsid w:val="00B33946"/>
    <w:rsid w:val="00B33989"/>
    <w:rsid w:val="00B339CE"/>
    <w:rsid w:val="00B339FF"/>
    <w:rsid w:val="00B33A61"/>
    <w:rsid w:val="00B33B0B"/>
    <w:rsid w:val="00B33B6C"/>
    <w:rsid w:val="00B33B7B"/>
    <w:rsid w:val="00B33BBB"/>
    <w:rsid w:val="00B33C53"/>
    <w:rsid w:val="00B33C97"/>
    <w:rsid w:val="00B33C9A"/>
    <w:rsid w:val="00B33CCD"/>
    <w:rsid w:val="00B33DC8"/>
    <w:rsid w:val="00B33DE4"/>
    <w:rsid w:val="00B33E52"/>
    <w:rsid w:val="00B33E74"/>
    <w:rsid w:val="00B33EB1"/>
    <w:rsid w:val="00B33EFE"/>
    <w:rsid w:val="00B33F24"/>
    <w:rsid w:val="00B33F30"/>
    <w:rsid w:val="00B33F3A"/>
    <w:rsid w:val="00B33F7A"/>
    <w:rsid w:val="00B33F7F"/>
    <w:rsid w:val="00B33F8E"/>
    <w:rsid w:val="00B34022"/>
    <w:rsid w:val="00B34036"/>
    <w:rsid w:val="00B340BC"/>
    <w:rsid w:val="00B340EA"/>
    <w:rsid w:val="00B34179"/>
    <w:rsid w:val="00B34204"/>
    <w:rsid w:val="00B3420A"/>
    <w:rsid w:val="00B3420D"/>
    <w:rsid w:val="00B3422F"/>
    <w:rsid w:val="00B34244"/>
    <w:rsid w:val="00B34250"/>
    <w:rsid w:val="00B34269"/>
    <w:rsid w:val="00B342AB"/>
    <w:rsid w:val="00B342C8"/>
    <w:rsid w:val="00B342E7"/>
    <w:rsid w:val="00B342F5"/>
    <w:rsid w:val="00B3438D"/>
    <w:rsid w:val="00B343BC"/>
    <w:rsid w:val="00B343D1"/>
    <w:rsid w:val="00B343D8"/>
    <w:rsid w:val="00B343E0"/>
    <w:rsid w:val="00B343ED"/>
    <w:rsid w:val="00B34403"/>
    <w:rsid w:val="00B3440A"/>
    <w:rsid w:val="00B34427"/>
    <w:rsid w:val="00B3442C"/>
    <w:rsid w:val="00B34478"/>
    <w:rsid w:val="00B3449D"/>
    <w:rsid w:val="00B344B0"/>
    <w:rsid w:val="00B344B1"/>
    <w:rsid w:val="00B344B8"/>
    <w:rsid w:val="00B34527"/>
    <w:rsid w:val="00B34572"/>
    <w:rsid w:val="00B345D2"/>
    <w:rsid w:val="00B3462C"/>
    <w:rsid w:val="00B34666"/>
    <w:rsid w:val="00B3468F"/>
    <w:rsid w:val="00B346B5"/>
    <w:rsid w:val="00B346D0"/>
    <w:rsid w:val="00B347B7"/>
    <w:rsid w:val="00B347B8"/>
    <w:rsid w:val="00B34802"/>
    <w:rsid w:val="00B3483A"/>
    <w:rsid w:val="00B348A1"/>
    <w:rsid w:val="00B348FB"/>
    <w:rsid w:val="00B349B9"/>
    <w:rsid w:val="00B349E0"/>
    <w:rsid w:val="00B349FE"/>
    <w:rsid w:val="00B34A67"/>
    <w:rsid w:val="00B34ABE"/>
    <w:rsid w:val="00B34ACA"/>
    <w:rsid w:val="00B34ACD"/>
    <w:rsid w:val="00B34B5B"/>
    <w:rsid w:val="00B34BAB"/>
    <w:rsid w:val="00B34BB4"/>
    <w:rsid w:val="00B34BD2"/>
    <w:rsid w:val="00B34C25"/>
    <w:rsid w:val="00B34C44"/>
    <w:rsid w:val="00B34C8A"/>
    <w:rsid w:val="00B34CA5"/>
    <w:rsid w:val="00B34D32"/>
    <w:rsid w:val="00B34D61"/>
    <w:rsid w:val="00B34DAD"/>
    <w:rsid w:val="00B34DD7"/>
    <w:rsid w:val="00B34DDF"/>
    <w:rsid w:val="00B34DF7"/>
    <w:rsid w:val="00B34DFD"/>
    <w:rsid w:val="00B34E2E"/>
    <w:rsid w:val="00B34F62"/>
    <w:rsid w:val="00B34F9B"/>
    <w:rsid w:val="00B34FC7"/>
    <w:rsid w:val="00B35049"/>
    <w:rsid w:val="00B35060"/>
    <w:rsid w:val="00B350E0"/>
    <w:rsid w:val="00B3512C"/>
    <w:rsid w:val="00B3515C"/>
    <w:rsid w:val="00B3524C"/>
    <w:rsid w:val="00B3525B"/>
    <w:rsid w:val="00B3526B"/>
    <w:rsid w:val="00B352DC"/>
    <w:rsid w:val="00B352FE"/>
    <w:rsid w:val="00B35480"/>
    <w:rsid w:val="00B35493"/>
    <w:rsid w:val="00B3550C"/>
    <w:rsid w:val="00B3551D"/>
    <w:rsid w:val="00B3553B"/>
    <w:rsid w:val="00B355A4"/>
    <w:rsid w:val="00B355B5"/>
    <w:rsid w:val="00B3568E"/>
    <w:rsid w:val="00B35697"/>
    <w:rsid w:val="00B356B3"/>
    <w:rsid w:val="00B356D6"/>
    <w:rsid w:val="00B35705"/>
    <w:rsid w:val="00B357AA"/>
    <w:rsid w:val="00B35801"/>
    <w:rsid w:val="00B35922"/>
    <w:rsid w:val="00B35945"/>
    <w:rsid w:val="00B35955"/>
    <w:rsid w:val="00B35961"/>
    <w:rsid w:val="00B3598B"/>
    <w:rsid w:val="00B359B2"/>
    <w:rsid w:val="00B359BE"/>
    <w:rsid w:val="00B35A3A"/>
    <w:rsid w:val="00B35B01"/>
    <w:rsid w:val="00B35B09"/>
    <w:rsid w:val="00B35B25"/>
    <w:rsid w:val="00B35B6A"/>
    <w:rsid w:val="00B35B74"/>
    <w:rsid w:val="00B35B79"/>
    <w:rsid w:val="00B35BA9"/>
    <w:rsid w:val="00B35BAB"/>
    <w:rsid w:val="00B35C17"/>
    <w:rsid w:val="00B35C1F"/>
    <w:rsid w:val="00B35C68"/>
    <w:rsid w:val="00B35C9D"/>
    <w:rsid w:val="00B35CA1"/>
    <w:rsid w:val="00B35CAA"/>
    <w:rsid w:val="00B35D17"/>
    <w:rsid w:val="00B35DB1"/>
    <w:rsid w:val="00B35DEF"/>
    <w:rsid w:val="00B35E56"/>
    <w:rsid w:val="00B35E93"/>
    <w:rsid w:val="00B35EB0"/>
    <w:rsid w:val="00B35F01"/>
    <w:rsid w:val="00B35F16"/>
    <w:rsid w:val="00B35F17"/>
    <w:rsid w:val="00B35F3A"/>
    <w:rsid w:val="00B35F52"/>
    <w:rsid w:val="00B35F76"/>
    <w:rsid w:val="00B35F77"/>
    <w:rsid w:val="00B35F8E"/>
    <w:rsid w:val="00B35FB7"/>
    <w:rsid w:val="00B3601E"/>
    <w:rsid w:val="00B36053"/>
    <w:rsid w:val="00B36077"/>
    <w:rsid w:val="00B3611B"/>
    <w:rsid w:val="00B3615F"/>
    <w:rsid w:val="00B36160"/>
    <w:rsid w:val="00B36168"/>
    <w:rsid w:val="00B361B8"/>
    <w:rsid w:val="00B361F3"/>
    <w:rsid w:val="00B36233"/>
    <w:rsid w:val="00B3627C"/>
    <w:rsid w:val="00B362B2"/>
    <w:rsid w:val="00B36395"/>
    <w:rsid w:val="00B3639E"/>
    <w:rsid w:val="00B363E2"/>
    <w:rsid w:val="00B363FF"/>
    <w:rsid w:val="00B36418"/>
    <w:rsid w:val="00B3646F"/>
    <w:rsid w:val="00B364AD"/>
    <w:rsid w:val="00B3652C"/>
    <w:rsid w:val="00B365F3"/>
    <w:rsid w:val="00B36612"/>
    <w:rsid w:val="00B36653"/>
    <w:rsid w:val="00B36688"/>
    <w:rsid w:val="00B3674D"/>
    <w:rsid w:val="00B3679A"/>
    <w:rsid w:val="00B36805"/>
    <w:rsid w:val="00B3680B"/>
    <w:rsid w:val="00B3684A"/>
    <w:rsid w:val="00B36850"/>
    <w:rsid w:val="00B36886"/>
    <w:rsid w:val="00B368ED"/>
    <w:rsid w:val="00B36949"/>
    <w:rsid w:val="00B36965"/>
    <w:rsid w:val="00B36997"/>
    <w:rsid w:val="00B369C7"/>
    <w:rsid w:val="00B369E6"/>
    <w:rsid w:val="00B36A6A"/>
    <w:rsid w:val="00B36BBA"/>
    <w:rsid w:val="00B36C20"/>
    <w:rsid w:val="00B36C32"/>
    <w:rsid w:val="00B36CDE"/>
    <w:rsid w:val="00B36CFB"/>
    <w:rsid w:val="00B36D24"/>
    <w:rsid w:val="00B36DC8"/>
    <w:rsid w:val="00B36E29"/>
    <w:rsid w:val="00B36E51"/>
    <w:rsid w:val="00B36EC5"/>
    <w:rsid w:val="00B36F34"/>
    <w:rsid w:val="00B36F5B"/>
    <w:rsid w:val="00B36FC1"/>
    <w:rsid w:val="00B37004"/>
    <w:rsid w:val="00B3708E"/>
    <w:rsid w:val="00B3710D"/>
    <w:rsid w:val="00B3712E"/>
    <w:rsid w:val="00B37179"/>
    <w:rsid w:val="00B371B7"/>
    <w:rsid w:val="00B3720F"/>
    <w:rsid w:val="00B3738E"/>
    <w:rsid w:val="00B373B2"/>
    <w:rsid w:val="00B373BA"/>
    <w:rsid w:val="00B373E7"/>
    <w:rsid w:val="00B37498"/>
    <w:rsid w:val="00B374FB"/>
    <w:rsid w:val="00B37506"/>
    <w:rsid w:val="00B37520"/>
    <w:rsid w:val="00B37544"/>
    <w:rsid w:val="00B37550"/>
    <w:rsid w:val="00B375B3"/>
    <w:rsid w:val="00B375EC"/>
    <w:rsid w:val="00B37658"/>
    <w:rsid w:val="00B3765F"/>
    <w:rsid w:val="00B3766B"/>
    <w:rsid w:val="00B3767E"/>
    <w:rsid w:val="00B37689"/>
    <w:rsid w:val="00B37730"/>
    <w:rsid w:val="00B37733"/>
    <w:rsid w:val="00B37748"/>
    <w:rsid w:val="00B3774A"/>
    <w:rsid w:val="00B3777C"/>
    <w:rsid w:val="00B377C8"/>
    <w:rsid w:val="00B3781F"/>
    <w:rsid w:val="00B37851"/>
    <w:rsid w:val="00B37863"/>
    <w:rsid w:val="00B3787C"/>
    <w:rsid w:val="00B378AC"/>
    <w:rsid w:val="00B378D7"/>
    <w:rsid w:val="00B378F3"/>
    <w:rsid w:val="00B379C5"/>
    <w:rsid w:val="00B379CF"/>
    <w:rsid w:val="00B37A11"/>
    <w:rsid w:val="00B37A2D"/>
    <w:rsid w:val="00B37A53"/>
    <w:rsid w:val="00B37AA0"/>
    <w:rsid w:val="00B37AE7"/>
    <w:rsid w:val="00B37AEC"/>
    <w:rsid w:val="00B37B10"/>
    <w:rsid w:val="00B37B25"/>
    <w:rsid w:val="00B37B34"/>
    <w:rsid w:val="00B37B67"/>
    <w:rsid w:val="00B37B8C"/>
    <w:rsid w:val="00B37BCC"/>
    <w:rsid w:val="00B37BF4"/>
    <w:rsid w:val="00B37C39"/>
    <w:rsid w:val="00B37C5A"/>
    <w:rsid w:val="00B37C8F"/>
    <w:rsid w:val="00B37CC3"/>
    <w:rsid w:val="00B37CDC"/>
    <w:rsid w:val="00B37D38"/>
    <w:rsid w:val="00B37D85"/>
    <w:rsid w:val="00B37DC1"/>
    <w:rsid w:val="00B37DFF"/>
    <w:rsid w:val="00B37E21"/>
    <w:rsid w:val="00B37E65"/>
    <w:rsid w:val="00B37E73"/>
    <w:rsid w:val="00B37E79"/>
    <w:rsid w:val="00B37E91"/>
    <w:rsid w:val="00B37EDB"/>
    <w:rsid w:val="00B37F78"/>
    <w:rsid w:val="00B37FB3"/>
    <w:rsid w:val="00B37FC7"/>
    <w:rsid w:val="00B400EB"/>
    <w:rsid w:val="00B4011B"/>
    <w:rsid w:val="00B40157"/>
    <w:rsid w:val="00B401D2"/>
    <w:rsid w:val="00B401D8"/>
    <w:rsid w:val="00B40203"/>
    <w:rsid w:val="00B40218"/>
    <w:rsid w:val="00B402F3"/>
    <w:rsid w:val="00B40344"/>
    <w:rsid w:val="00B40361"/>
    <w:rsid w:val="00B40377"/>
    <w:rsid w:val="00B403C9"/>
    <w:rsid w:val="00B403CE"/>
    <w:rsid w:val="00B403FD"/>
    <w:rsid w:val="00B4042B"/>
    <w:rsid w:val="00B404CA"/>
    <w:rsid w:val="00B40574"/>
    <w:rsid w:val="00B40590"/>
    <w:rsid w:val="00B40594"/>
    <w:rsid w:val="00B405BD"/>
    <w:rsid w:val="00B40611"/>
    <w:rsid w:val="00B4061E"/>
    <w:rsid w:val="00B4063B"/>
    <w:rsid w:val="00B40671"/>
    <w:rsid w:val="00B40694"/>
    <w:rsid w:val="00B406DA"/>
    <w:rsid w:val="00B4070C"/>
    <w:rsid w:val="00B40735"/>
    <w:rsid w:val="00B4075A"/>
    <w:rsid w:val="00B40829"/>
    <w:rsid w:val="00B40865"/>
    <w:rsid w:val="00B408A2"/>
    <w:rsid w:val="00B408CC"/>
    <w:rsid w:val="00B40934"/>
    <w:rsid w:val="00B4093C"/>
    <w:rsid w:val="00B4098D"/>
    <w:rsid w:val="00B409D0"/>
    <w:rsid w:val="00B409FC"/>
    <w:rsid w:val="00B40A4E"/>
    <w:rsid w:val="00B40A71"/>
    <w:rsid w:val="00B40B01"/>
    <w:rsid w:val="00B40B5C"/>
    <w:rsid w:val="00B40B71"/>
    <w:rsid w:val="00B40C54"/>
    <w:rsid w:val="00B40C55"/>
    <w:rsid w:val="00B40C6F"/>
    <w:rsid w:val="00B40C83"/>
    <w:rsid w:val="00B40CA0"/>
    <w:rsid w:val="00B40CD2"/>
    <w:rsid w:val="00B40CF7"/>
    <w:rsid w:val="00B40D0F"/>
    <w:rsid w:val="00B40D8F"/>
    <w:rsid w:val="00B40E8A"/>
    <w:rsid w:val="00B40EBD"/>
    <w:rsid w:val="00B40EE2"/>
    <w:rsid w:val="00B40EF8"/>
    <w:rsid w:val="00B40FD6"/>
    <w:rsid w:val="00B4102B"/>
    <w:rsid w:val="00B4104F"/>
    <w:rsid w:val="00B410B2"/>
    <w:rsid w:val="00B410B9"/>
    <w:rsid w:val="00B410E1"/>
    <w:rsid w:val="00B410E9"/>
    <w:rsid w:val="00B41161"/>
    <w:rsid w:val="00B41167"/>
    <w:rsid w:val="00B41169"/>
    <w:rsid w:val="00B411BD"/>
    <w:rsid w:val="00B411E4"/>
    <w:rsid w:val="00B4128A"/>
    <w:rsid w:val="00B412B9"/>
    <w:rsid w:val="00B412F4"/>
    <w:rsid w:val="00B41335"/>
    <w:rsid w:val="00B4139C"/>
    <w:rsid w:val="00B413D6"/>
    <w:rsid w:val="00B4140E"/>
    <w:rsid w:val="00B41490"/>
    <w:rsid w:val="00B4149F"/>
    <w:rsid w:val="00B414E5"/>
    <w:rsid w:val="00B4153B"/>
    <w:rsid w:val="00B41579"/>
    <w:rsid w:val="00B415BC"/>
    <w:rsid w:val="00B4165A"/>
    <w:rsid w:val="00B41670"/>
    <w:rsid w:val="00B41693"/>
    <w:rsid w:val="00B416B0"/>
    <w:rsid w:val="00B4171F"/>
    <w:rsid w:val="00B41759"/>
    <w:rsid w:val="00B4179E"/>
    <w:rsid w:val="00B417C0"/>
    <w:rsid w:val="00B41841"/>
    <w:rsid w:val="00B4184C"/>
    <w:rsid w:val="00B41864"/>
    <w:rsid w:val="00B41923"/>
    <w:rsid w:val="00B41941"/>
    <w:rsid w:val="00B41987"/>
    <w:rsid w:val="00B41990"/>
    <w:rsid w:val="00B419B4"/>
    <w:rsid w:val="00B419EE"/>
    <w:rsid w:val="00B41A82"/>
    <w:rsid w:val="00B41AEB"/>
    <w:rsid w:val="00B41B32"/>
    <w:rsid w:val="00B41B59"/>
    <w:rsid w:val="00B41BAE"/>
    <w:rsid w:val="00B41BCB"/>
    <w:rsid w:val="00B41BDA"/>
    <w:rsid w:val="00B41CE2"/>
    <w:rsid w:val="00B41DAC"/>
    <w:rsid w:val="00B41DC5"/>
    <w:rsid w:val="00B41DEA"/>
    <w:rsid w:val="00B41E5C"/>
    <w:rsid w:val="00B41E7C"/>
    <w:rsid w:val="00B41E97"/>
    <w:rsid w:val="00B41EAA"/>
    <w:rsid w:val="00B41ED1"/>
    <w:rsid w:val="00B41ED7"/>
    <w:rsid w:val="00B41EF6"/>
    <w:rsid w:val="00B41F5B"/>
    <w:rsid w:val="00B41F61"/>
    <w:rsid w:val="00B41F6C"/>
    <w:rsid w:val="00B41F7A"/>
    <w:rsid w:val="00B42055"/>
    <w:rsid w:val="00B420C7"/>
    <w:rsid w:val="00B420DF"/>
    <w:rsid w:val="00B42166"/>
    <w:rsid w:val="00B42184"/>
    <w:rsid w:val="00B42188"/>
    <w:rsid w:val="00B421E4"/>
    <w:rsid w:val="00B421F9"/>
    <w:rsid w:val="00B4225D"/>
    <w:rsid w:val="00B422F9"/>
    <w:rsid w:val="00B42300"/>
    <w:rsid w:val="00B42389"/>
    <w:rsid w:val="00B423A1"/>
    <w:rsid w:val="00B423BA"/>
    <w:rsid w:val="00B423ED"/>
    <w:rsid w:val="00B4242F"/>
    <w:rsid w:val="00B42447"/>
    <w:rsid w:val="00B424AB"/>
    <w:rsid w:val="00B424E4"/>
    <w:rsid w:val="00B424E5"/>
    <w:rsid w:val="00B42528"/>
    <w:rsid w:val="00B42551"/>
    <w:rsid w:val="00B425DD"/>
    <w:rsid w:val="00B425F0"/>
    <w:rsid w:val="00B4266F"/>
    <w:rsid w:val="00B426A9"/>
    <w:rsid w:val="00B426B5"/>
    <w:rsid w:val="00B426C2"/>
    <w:rsid w:val="00B42748"/>
    <w:rsid w:val="00B42776"/>
    <w:rsid w:val="00B42777"/>
    <w:rsid w:val="00B42794"/>
    <w:rsid w:val="00B42844"/>
    <w:rsid w:val="00B4287B"/>
    <w:rsid w:val="00B4288E"/>
    <w:rsid w:val="00B428CC"/>
    <w:rsid w:val="00B428D2"/>
    <w:rsid w:val="00B4296A"/>
    <w:rsid w:val="00B42984"/>
    <w:rsid w:val="00B42A4E"/>
    <w:rsid w:val="00B42A8E"/>
    <w:rsid w:val="00B42A99"/>
    <w:rsid w:val="00B42AD6"/>
    <w:rsid w:val="00B42AFA"/>
    <w:rsid w:val="00B42CA5"/>
    <w:rsid w:val="00B42CEA"/>
    <w:rsid w:val="00B42DF1"/>
    <w:rsid w:val="00B42DF6"/>
    <w:rsid w:val="00B42DF9"/>
    <w:rsid w:val="00B42E0A"/>
    <w:rsid w:val="00B42E38"/>
    <w:rsid w:val="00B42E48"/>
    <w:rsid w:val="00B42E7E"/>
    <w:rsid w:val="00B42F2F"/>
    <w:rsid w:val="00B42F55"/>
    <w:rsid w:val="00B42F66"/>
    <w:rsid w:val="00B42FF0"/>
    <w:rsid w:val="00B4300F"/>
    <w:rsid w:val="00B43058"/>
    <w:rsid w:val="00B430CB"/>
    <w:rsid w:val="00B430D9"/>
    <w:rsid w:val="00B431B5"/>
    <w:rsid w:val="00B431EE"/>
    <w:rsid w:val="00B43232"/>
    <w:rsid w:val="00B43254"/>
    <w:rsid w:val="00B43357"/>
    <w:rsid w:val="00B43386"/>
    <w:rsid w:val="00B433B1"/>
    <w:rsid w:val="00B4341D"/>
    <w:rsid w:val="00B43432"/>
    <w:rsid w:val="00B43456"/>
    <w:rsid w:val="00B43471"/>
    <w:rsid w:val="00B434DE"/>
    <w:rsid w:val="00B4358C"/>
    <w:rsid w:val="00B435FF"/>
    <w:rsid w:val="00B43648"/>
    <w:rsid w:val="00B436AD"/>
    <w:rsid w:val="00B43755"/>
    <w:rsid w:val="00B43760"/>
    <w:rsid w:val="00B437D0"/>
    <w:rsid w:val="00B43885"/>
    <w:rsid w:val="00B438D9"/>
    <w:rsid w:val="00B438E0"/>
    <w:rsid w:val="00B43905"/>
    <w:rsid w:val="00B43916"/>
    <w:rsid w:val="00B43956"/>
    <w:rsid w:val="00B43971"/>
    <w:rsid w:val="00B439B4"/>
    <w:rsid w:val="00B439D5"/>
    <w:rsid w:val="00B43AAA"/>
    <w:rsid w:val="00B43B18"/>
    <w:rsid w:val="00B43B29"/>
    <w:rsid w:val="00B43B2D"/>
    <w:rsid w:val="00B43C71"/>
    <w:rsid w:val="00B43CC7"/>
    <w:rsid w:val="00B43CD1"/>
    <w:rsid w:val="00B43D08"/>
    <w:rsid w:val="00B43D3F"/>
    <w:rsid w:val="00B43D52"/>
    <w:rsid w:val="00B43D55"/>
    <w:rsid w:val="00B43DAE"/>
    <w:rsid w:val="00B43DCE"/>
    <w:rsid w:val="00B43E5B"/>
    <w:rsid w:val="00B43E90"/>
    <w:rsid w:val="00B43F0C"/>
    <w:rsid w:val="00B43FE5"/>
    <w:rsid w:val="00B44018"/>
    <w:rsid w:val="00B44083"/>
    <w:rsid w:val="00B4413A"/>
    <w:rsid w:val="00B44142"/>
    <w:rsid w:val="00B441A3"/>
    <w:rsid w:val="00B4426A"/>
    <w:rsid w:val="00B4429F"/>
    <w:rsid w:val="00B442F3"/>
    <w:rsid w:val="00B44302"/>
    <w:rsid w:val="00B44320"/>
    <w:rsid w:val="00B4432E"/>
    <w:rsid w:val="00B44362"/>
    <w:rsid w:val="00B44373"/>
    <w:rsid w:val="00B443AF"/>
    <w:rsid w:val="00B443B6"/>
    <w:rsid w:val="00B4443A"/>
    <w:rsid w:val="00B4448E"/>
    <w:rsid w:val="00B444B6"/>
    <w:rsid w:val="00B444C4"/>
    <w:rsid w:val="00B444DB"/>
    <w:rsid w:val="00B444DE"/>
    <w:rsid w:val="00B44524"/>
    <w:rsid w:val="00B4453F"/>
    <w:rsid w:val="00B445F0"/>
    <w:rsid w:val="00B4463A"/>
    <w:rsid w:val="00B44661"/>
    <w:rsid w:val="00B4469F"/>
    <w:rsid w:val="00B44744"/>
    <w:rsid w:val="00B44771"/>
    <w:rsid w:val="00B4477C"/>
    <w:rsid w:val="00B44785"/>
    <w:rsid w:val="00B4478B"/>
    <w:rsid w:val="00B447A5"/>
    <w:rsid w:val="00B4480E"/>
    <w:rsid w:val="00B44915"/>
    <w:rsid w:val="00B44979"/>
    <w:rsid w:val="00B449EB"/>
    <w:rsid w:val="00B44A04"/>
    <w:rsid w:val="00B44A2B"/>
    <w:rsid w:val="00B44A39"/>
    <w:rsid w:val="00B44A3C"/>
    <w:rsid w:val="00B44AA1"/>
    <w:rsid w:val="00B44ABA"/>
    <w:rsid w:val="00B44B09"/>
    <w:rsid w:val="00B44BB3"/>
    <w:rsid w:val="00B44BC3"/>
    <w:rsid w:val="00B44BD4"/>
    <w:rsid w:val="00B44BD8"/>
    <w:rsid w:val="00B44C6F"/>
    <w:rsid w:val="00B44D1F"/>
    <w:rsid w:val="00B44D61"/>
    <w:rsid w:val="00B44D77"/>
    <w:rsid w:val="00B44DA8"/>
    <w:rsid w:val="00B44E2F"/>
    <w:rsid w:val="00B44EB3"/>
    <w:rsid w:val="00B44EBB"/>
    <w:rsid w:val="00B44F08"/>
    <w:rsid w:val="00B44F8F"/>
    <w:rsid w:val="00B44FA8"/>
    <w:rsid w:val="00B44FB2"/>
    <w:rsid w:val="00B44FCA"/>
    <w:rsid w:val="00B44FDD"/>
    <w:rsid w:val="00B44FEC"/>
    <w:rsid w:val="00B4506E"/>
    <w:rsid w:val="00B45071"/>
    <w:rsid w:val="00B450DE"/>
    <w:rsid w:val="00B45176"/>
    <w:rsid w:val="00B4517B"/>
    <w:rsid w:val="00B4519D"/>
    <w:rsid w:val="00B451C8"/>
    <w:rsid w:val="00B451EB"/>
    <w:rsid w:val="00B4520C"/>
    <w:rsid w:val="00B45296"/>
    <w:rsid w:val="00B4536D"/>
    <w:rsid w:val="00B45413"/>
    <w:rsid w:val="00B45465"/>
    <w:rsid w:val="00B454C3"/>
    <w:rsid w:val="00B4550F"/>
    <w:rsid w:val="00B45523"/>
    <w:rsid w:val="00B45593"/>
    <w:rsid w:val="00B455A5"/>
    <w:rsid w:val="00B455D6"/>
    <w:rsid w:val="00B4560C"/>
    <w:rsid w:val="00B45619"/>
    <w:rsid w:val="00B4567C"/>
    <w:rsid w:val="00B456A9"/>
    <w:rsid w:val="00B456E3"/>
    <w:rsid w:val="00B456EB"/>
    <w:rsid w:val="00B45711"/>
    <w:rsid w:val="00B4571C"/>
    <w:rsid w:val="00B45727"/>
    <w:rsid w:val="00B45744"/>
    <w:rsid w:val="00B45770"/>
    <w:rsid w:val="00B45772"/>
    <w:rsid w:val="00B4577E"/>
    <w:rsid w:val="00B457B0"/>
    <w:rsid w:val="00B457BB"/>
    <w:rsid w:val="00B457C9"/>
    <w:rsid w:val="00B457CE"/>
    <w:rsid w:val="00B457DD"/>
    <w:rsid w:val="00B45829"/>
    <w:rsid w:val="00B458A0"/>
    <w:rsid w:val="00B459C1"/>
    <w:rsid w:val="00B45A65"/>
    <w:rsid w:val="00B45B18"/>
    <w:rsid w:val="00B45B32"/>
    <w:rsid w:val="00B45B64"/>
    <w:rsid w:val="00B45B7F"/>
    <w:rsid w:val="00B45BC8"/>
    <w:rsid w:val="00B45C4F"/>
    <w:rsid w:val="00B45C61"/>
    <w:rsid w:val="00B45C6F"/>
    <w:rsid w:val="00B45C7C"/>
    <w:rsid w:val="00B45CCA"/>
    <w:rsid w:val="00B45D1F"/>
    <w:rsid w:val="00B45D37"/>
    <w:rsid w:val="00B45D50"/>
    <w:rsid w:val="00B45D75"/>
    <w:rsid w:val="00B45D7A"/>
    <w:rsid w:val="00B45DF8"/>
    <w:rsid w:val="00B45DFA"/>
    <w:rsid w:val="00B45E1A"/>
    <w:rsid w:val="00B45E45"/>
    <w:rsid w:val="00B45E6F"/>
    <w:rsid w:val="00B45E9B"/>
    <w:rsid w:val="00B45EA8"/>
    <w:rsid w:val="00B45F6E"/>
    <w:rsid w:val="00B45F97"/>
    <w:rsid w:val="00B45F9F"/>
    <w:rsid w:val="00B4600D"/>
    <w:rsid w:val="00B46030"/>
    <w:rsid w:val="00B4604E"/>
    <w:rsid w:val="00B46084"/>
    <w:rsid w:val="00B460EA"/>
    <w:rsid w:val="00B46118"/>
    <w:rsid w:val="00B46165"/>
    <w:rsid w:val="00B46168"/>
    <w:rsid w:val="00B46189"/>
    <w:rsid w:val="00B461BC"/>
    <w:rsid w:val="00B461CD"/>
    <w:rsid w:val="00B46251"/>
    <w:rsid w:val="00B46292"/>
    <w:rsid w:val="00B4630D"/>
    <w:rsid w:val="00B46327"/>
    <w:rsid w:val="00B46360"/>
    <w:rsid w:val="00B46368"/>
    <w:rsid w:val="00B463BF"/>
    <w:rsid w:val="00B4643F"/>
    <w:rsid w:val="00B46445"/>
    <w:rsid w:val="00B46447"/>
    <w:rsid w:val="00B4648C"/>
    <w:rsid w:val="00B464AC"/>
    <w:rsid w:val="00B464B5"/>
    <w:rsid w:val="00B464F8"/>
    <w:rsid w:val="00B46523"/>
    <w:rsid w:val="00B46544"/>
    <w:rsid w:val="00B4659F"/>
    <w:rsid w:val="00B465D6"/>
    <w:rsid w:val="00B465EF"/>
    <w:rsid w:val="00B46607"/>
    <w:rsid w:val="00B46626"/>
    <w:rsid w:val="00B4668B"/>
    <w:rsid w:val="00B46695"/>
    <w:rsid w:val="00B46714"/>
    <w:rsid w:val="00B46793"/>
    <w:rsid w:val="00B4679D"/>
    <w:rsid w:val="00B467B1"/>
    <w:rsid w:val="00B468DD"/>
    <w:rsid w:val="00B468E2"/>
    <w:rsid w:val="00B46910"/>
    <w:rsid w:val="00B46926"/>
    <w:rsid w:val="00B4692C"/>
    <w:rsid w:val="00B4696D"/>
    <w:rsid w:val="00B469B3"/>
    <w:rsid w:val="00B469BE"/>
    <w:rsid w:val="00B46A1F"/>
    <w:rsid w:val="00B46A31"/>
    <w:rsid w:val="00B46A37"/>
    <w:rsid w:val="00B46AA1"/>
    <w:rsid w:val="00B46B77"/>
    <w:rsid w:val="00B46BB9"/>
    <w:rsid w:val="00B46BC6"/>
    <w:rsid w:val="00B46BD4"/>
    <w:rsid w:val="00B46BEC"/>
    <w:rsid w:val="00B46C24"/>
    <w:rsid w:val="00B46C2C"/>
    <w:rsid w:val="00B46CE9"/>
    <w:rsid w:val="00B46D55"/>
    <w:rsid w:val="00B46DC9"/>
    <w:rsid w:val="00B46DE7"/>
    <w:rsid w:val="00B46E39"/>
    <w:rsid w:val="00B46F0B"/>
    <w:rsid w:val="00B46F18"/>
    <w:rsid w:val="00B46FED"/>
    <w:rsid w:val="00B4706C"/>
    <w:rsid w:val="00B470A9"/>
    <w:rsid w:val="00B470FA"/>
    <w:rsid w:val="00B4710E"/>
    <w:rsid w:val="00B4712E"/>
    <w:rsid w:val="00B47165"/>
    <w:rsid w:val="00B471A9"/>
    <w:rsid w:val="00B471F0"/>
    <w:rsid w:val="00B47267"/>
    <w:rsid w:val="00B47270"/>
    <w:rsid w:val="00B472B8"/>
    <w:rsid w:val="00B473DB"/>
    <w:rsid w:val="00B473EE"/>
    <w:rsid w:val="00B47464"/>
    <w:rsid w:val="00B47477"/>
    <w:rsid w:val="00B474D0"/>
    <w:rsid w:val="00B474DA"/>
    <w:rsid w:val="00B4750E"/>
    <w:rsid w:val="00B47561"/>
    <w:rsid w:val="00B4756D"/>
    <w:rsid w:val="00B475B3"/>
    <w:rsid w:val="00B475D9"/>
    <w:rsid w:val="00B476AC"/>
    <w:rsid w:val="00B476E4"/>
    <w:rsid w:val="00B47797"/>
    <w:rsid w:val="00B477AF"/>
    <w:rsid w:val="00B477BA"/>
    <w:rsid w:val="00B47858"/>
    <w:rsid w:val="00B47861"/>
    <w:rsid w:val="00B47867"/>
    <w:rsid w:val="00B47868"/>
    <w:rsid w:val="00B4788B"/>
    <w:rsid w:val="00B4789A"/>
    <w:rsid w:val="00B478A5"/>
    <w:rsid w:val="00B478DC"/>
    <w:rsid w:val="00B47911"/>
    <w:rsid w:val="00B47930"/>
    <w:rsid w:val="00B4794C"/>
    <w:rsid w:val="00B47A0B"/>
    <w:rsid w:val="00B47A29"/>
    <w:rsid w:val="00B47A4C"/>
    <w:rsid w:val="00B47A7F"/>
    <w:rsid w:val="00B47A9E"/>
    <w:rsid w:val="00B47AC4"/>
    <w:rsid w:val="00B47AE1"/>
    <w:rsid w:val="00B47B2D"/>
    <w:rsid w:val="00B47C43"/>
    <w:rsid w:val="00B47C5A"/>
    <w:rsid w:val="00B47C63"/>
    <w:rsid w:val="00B47C9C"/>
    <w:rsid w:val="00B47CD8"/>
    <w:rsid w:val="00B47D29"/>
    <w:rsid w:val="00B47D99"/>
    <w:rsid w:val="00B47DA5"/>
    <w:rsid w:val="00B47DB2"/>
    <w:rsid w:val="00B47DC4"/>
    <w:rsid w:val="00B47DCE"/>
    <w:rsid w:val="00B47DDB"/>
    <w:rsid w:val="00B47DF1"/>
    <w:rsid w:val="00B47E0C"/>
    <w:rsid w:val="00B47E2E"/>
    <w:rsid w:val="00B47E50"/>
    <w:rsid w:val="00B47EB1"/>
    <w:rsid w:val="00B47F2C"/>
    <w:rsid w:val="00B47F5B"/>
    <w:rsid w:val="00B47F7F"/>
    <w:rsid w:val="00B47F85"/>
    <w:rsid w:val="00B47FC4"/>
    <w:rsid w:val="00B47FCC"/>
    <w:rsid w:val="00B47FD6"/>
    <w:rsid w:val="00B47FFE"/>
    <w:rsid w:val="00B50049"/>
    <w:rsid w:val="00B5013F"/>
    <w:rsid w:val="00B5014C"/>
    <w:rsid w:val="00B50179"/>
    <w:rsid w:val="00B50189"/>
    <w:rsid w:val="00B501C4"/>
    <w:rsid w:val="00B5021E"/>
    <w:rsid w:val="00B50238"/>
    <w:rsid w:val="00B5023D"/>
    <w:rsid w:val="00B502AB"/>
    <w:rsid w:val="00B5031F"/>
    <w:rsid w:val="00B5032A"/>
    <w:rsid w:val="00B5035C"/>
    <w:rsid w:val="00B503A3"/>
    <w:rsid w:val="00B503B1"/>
    <w:rsid w:val="00B503DA"/>
    <w:rsid w:val="00B503FD"/>
    <w:rsid w:val="00B50438"/>
    <w:rsid w:val="00B504B3"/>
    <w:rsid w:val="00B504DA"/>
    <w:rsid w:val="00B50508"/>
    <w:rsid w:val="00B50514"/>
    <w:rsid w:val="00B505B0"/>
    <w:rsid w:val="00B505BC"/>
    <w:rsid w:val="00B505CE"/>
    <w:rsid w:val="00B505ED"/>
    <w:rsid w:val="00B5061F"/>
    <w:rsid w:val="00B506B9"/>
    <w:rsid w:val="00B506EB"/>
    <w:rsid w:val="00B50771"/>
    <w:rsid w:val="00B50790"/>
    <w:rsid w:val="00B507A9"/>
    <w:rsid w:val="00B50837"/>
    <w:rsid w:val="00B50844"/>
    <w:rsid w:val="00B5096E"/>
    <w:rsid w:val="00B50A86"/>
    <w:rsid w:val="00B50AA9"/>
    <w:rsid w:val="00B50AD7"/>
    <w:rsid w:val="00B50B48"/>
    <w:rsid w:val="00B50B4F"/>
    <w:rsid w:val="00B50B6A"/>
    <w:rsid w:val="00B50B89"/>
    <w:rsid w:val="00B50B9E"/>
    <w:rsid w:val="00B50C16"/>
    <w:rsid w:val="00B50C9B"/>
    <w:rsid w:val="00B50D84"/>
    <w:rsid w:val="00B50E35"/>
    <w:rsid w:val="00B50E41"/>
    <w:rsid w:val="00B50E78"/>
    <w:rsid w:val="00B50E86"/>
    <w:rsid w:val="00B50F3C"/>
    <w:rsid w:val="00B51029"/>
    <w:rsid w:val="00B51049"/>
    <w:rsid w:val="00B5106A"/>
    <w:rsid w:val="00B5108B"/>
    <w:rsid w:val="00B51091"/>
    <w:rsid w:val="00B51094"/>
    <w:rsid w:val="00B51105"/>
    <w:rsid w:val="00B51172"/>
    <w:rsid w:val="00B51182"/>
    <w:rsid w:val="00B51194"/>
    <w:rsid w:val="00B511B1"/>
    <w:rsid w:val="00B5121B"/>
    <w:rsid w:val="00B5125D"/>
    <w:rsid w:val="00B5134B"/>
    <w:rsid w:val="00B513D2"/>
    <w:rsid w:val="00B51439"/>
    <w:rsid w:val="00B5144E"/>
    <w:rsid w:val="00B514DA"/>
    <w:rsid w:val="00B51558"/>
    <w:rsid w:val="00B515AF"/>
    <w:rsid w:val="00B515B9"/>
    <w:rsid w:val="00B51629"/>
    <w:rsid w:val="00B51650"/>
    <w:rsid w:val="00B51668"/>
    <w:rsid w:val="00B51737"/>
    <w:rsid w:val="00B5175C"/>
    <w:rsid w:val="00B51775"/>
    <w:rsid w:val="00B517E3"/>
    <w:rsid w:val="00B51822"/>
    <w:rsid w:val="00B51837"/>
    <w:rsid w:val="00B51843"/>
    <w:rsid w:val="00B51848"/>
    <w:rsid w:val="00B51858"/>
    <w:rsid w:val="00B5187E"/>
    <w:rsid w:val="00B5188E"/>
    <w:rsid w:val="00B51890"/>
    <w:rsid w:val="00B5190D"/>
    <w:rsid w:val="00B51916"/>
    <w:rsid w:val="00B51938"/>
    <w:rsid w:val="00B51985"/>
    <w:rsid w:val="00B519EE"/>
    <w:rsid w:val="00B51A06"/>
    <w:rsid w:val="00B51A0F"/>
    <w:rsid w:val="00B51A13"/>
    <w:rsid w:val="00B51A64"/>
    <w:rsid w:val="00B51A7C"/>
    <w:rsid w:val="00B51AD6"/>
    <w:rsid w:val="00B51AEE"/>
    <w:rsid w:val="00B51B4E"/>
    <w:rsid w:val="00B51BAC"/>
    <w:rsid w:val="00B51CB5"/>
    <w:rsid w:val="00B51D03"/>
    <w:rsid w:val="00B51D61"/>
    <w:rsid w:val="00B51E07"/>
    <w:rsid w:val="00B51EF5"/>
    <w:rsid w:val="00B51EF6"/>
    <w:rsid w:val="00B51F76"/>
    <w:rsid w:val="00B51FAF"/>
    <w:rsid w:val="00B51FD2"/>
    <w:rsid w:val="00B51FE1"/>
    <w:rsid w:val="00B51FF6"/>
    <w:rsid w:val="00B52023"/>
    <w:rsid w:val="00B52056"/>
    <w:rsid w:val="00B52077"/>
    <w:rsid w:val="00B520A2"/>
    <w:rsid w:val="00B520B0"/>
    <w:rsid w:val="00B520E3"/>
    <w:rsid w:val="00B5212D"/>
    <w:rsid w:val="00B52136"/>
    <w:rsid w:val="00B521F9"/>
    <w:rsid w:val="00B52217"/>
    <w:rsid w:val="00B52241"/>
    <w:rsid w:val="00B522AE"/>
    <w:rsid w:val="00B522C2"/>
    <w:rsid w:val="00B52301"/>
    <w:rsid w:val="00B5236A"/>
    <w:rsid w:val="00B52393"/>
    <w:rsid w:val="00B523F1"/>
    <w:rsid w:val="00B5240D"/>
    <w:rsid w:val="00B52433"/>
    <w:rsid w:val="00B5245D"/>
    <w:rsid w:val="00B52466"/>
    <w:rsid w:val="00B52500"/>
    <w:rsid w:val="00B5252A"/>
    <w:rsid w:val="00B52578"/>
    <w:rsid w:val="00B525CF"/>
    <w:rsid w:val="00B5264A"/>
    <w:rsid w:val="00B52659"/>
    <w:rsid w:val="00B526B5"/>
    <w:rsid w:val="00B526E8"/>
    <w:rsid w:val="00B52712"/>
    <w:rsid w:val="00B52750"/>
    <w:rsid w:val="00B52829"/>
    <w:rsid w:val="00B52844"/>
    <w:rsid w:val="00B5285C"/>
    <w:rsid w:val="00B52861"/>
    <w:rsid w:val="00B52868"/>
    <w:rsid w:val="00B5288F"/>
    <w:rsid w:val="00B528CA"/>
    <w:rsid w:val="00B528FA"/>
    <w:rsid w:val="00B52930"/>
    <w:rsid w:val="00B52996"/>
    <w:rsid w:val="00B529D1"/>
    <w:rsid w:val="00B529E7"/>
    <w:rsid w:val="00B52B48"/>
    <w:rsid w:val="00B52B87"/>
    <w:rsid w:val="00B52BA1"/>
    <w:rsid w:val="00B52BA9"/>
    <w:rsid w:val="00B52BCA"/>
    <w:rsid w:val="00B52BDC"/>
    <w:rsid w:val="00B52C9B"/>
    <w:rsid w:val="00B52DBC"/>
    <w:rsid w:val="00B52E19"/>
    <w:rsid w:val="00B52EA2"/>
    <w:rsid w:val="00B52EA4"/>
    <w:rsid w:val="00B52F5C"/>
    <w:rsid w:val="00B52FA8"/>
    <w:rsid w:val="00B52FC8"/>
    <w:rsid w:val="00B5301B"/>
    <w:rsid w:val="00B5303E"/>
    <w:rsid w:val="00B5305E"/>
    <w:rsid w:val="00B530A8"/>
    <w:rsid w:val="00B53120"/>
    <w:rsid w:val="00B53123"/>
    <w:rsid w:val="00B531A7"/>
    <w:rsid w:val="00B531F4"/>
    <w:rsid w:val="00B53207"/>
    <w:rsid w:val="00B53214"/>
    <w:rsid w:val="00B53224"/>
    <w:rsid w:val="00B532B7"/>
    <w:rsid w:val="00B53301"/>
    <w:rsid w:val="00B53353"/>
    <w:rsid w:val="00B533AB"/>
    <w:rsid w:val="00B533E2"/>
    <w:rsid w:val="00B53403"/>
    <w:rsid w:val="00B53435"/>
    <w:rsid w:val="00B5343D"/>
    <w:rsid w:val="00B534F0"/>
    <w:rsid w:val="00B534F8"/>
    <w:rsid w:val="00B53552"/>
    <w:rsid w:val="00B5358C"/>
    <w:rsid w:val="00B535AA"/>
    <w:rsid w:val="00B535D4"/>
    <w:rsid w:val="00B535E4"/>
    <w:rsid w:val="00B536A1"/>
    <w:rsid w:val="00B53770"/>
    <w:rsid w:val="00B537AC"/>
    <w:rsid w:val="00B537C0"/>
    <w:rsid w:val="00B537F5"/>
    <w:rsid w:val="00B53817"/>
    <w:rsid w:val="00B53831"/>
    <w:rsid w:val="00B53876"/>
    <w:rsid w:val="00B538B6"/>
    <w:rsid w:val="00B53912"/>
    <w:rsid w:val="00B53921"/>
    <w:rsid w:val="00B5394E"/>
    <w:rsid w:val="00B5398A"/>
    <w:rsid w:val="00B539C9"/>
    <w:rsid w:val="00B539D8"/>
    <w:rsid w:val="00B53A33"/>
    <w:rsid w:val="00B53A69"/>
    <w:rsid w:val="00B53B25"/>
    <w:rsid w:val="00B53C17"/>
    <w:rsid w:val="00B53C1C"/>
    <w:rsid w:val="00B53C73"/>
    <w:rsid w:val="00B53C87"/>
    <w:rsid w:val="00B53CD1"/>
    <w:rsid w:val="00B53D02"/>
    <w:rsid w:val="00B53D08"/>
    <w:rsid w:val="00B53D16"/>
    <w:rsid w:val="00B53D2A"/>
    <w:rsid w:val="00B53D58"/>
    <w:rsid w:val="00B53D6F"/>
    <w:rsid w:val="00B53D71"/>
    <w:rsid w:val="00B53DAF"/>
    <w:rsid w:val="00B53DBA"/>
    <w:rsid w:val="00B53DBC"/>
    <w:rsid w:val="00B53DD6"/>
    <w:rsid w:val="00B53E18"/>
    <w:rsid w:val="00B53E2A"/>
    <w:rsid w:val="00B53F05"/>
    <w:rsid w:val="00B53F10"/>
    <w:rsid w:val="00B53F12"/>
    <w:rsid w:val="00B53F29"/>
    <w:rsid w:val="00B53F73"/>
    <w:rsid w:val="00B53FA3"/>
    <w:rsid w:val="00B53FB1"/>
    <w:rsid w:val="00B53FC3"/>
    <w:rsid w:val="00B54002"/>
    <w:rsid w:val="00B54058"/>
    <w:rsid w:val="00B5409F"/>
    <w:rsid w:val="00B540DF"/>
    <w:rsid w:val="00B540E1"/>
    <w:rsid w:val="00B5410E"/>
    <w:rsid w:val="00B5411C"/>
    <w:rsid w:val="00B54192"/>
    <w:rsid w:val="00B541E1"/>
    <w:rsid w:val="00B54276"/>
    <w:rsid w:val="00B543C6"/>
    <w:rsid w:val="00B544A1"/>
    <w:rsid w:val="00B544A2"/>
    <w:rsid w:val="00B54548"/>
    <w:rsid w:val="00B54626"/>
    <w:rsid w:val="00B54681"/>
    <w:rsid w:val="00B546DB"/>
    <w:rsid w:val="00B546E7"/>
    <w:rsid w:val="00B54727"/>
    <w:rsid w:val="00B54730"/>
    <w:rsid w:val="00B54789"/>
    <w:rsid w:val="00B547AC"/>
    <w:rsid w:val="00B54871"/>
    <w:rsid w:val="00B5488B"/>
    <w:rsid w:val="00B54894"/>
    <w:rsid w:val="00B548AD"/>
    <w:rsid w:val="00B548D8"/>
    <w:rsid w:val="00B548DD"/>
    <w:rsid w:val="00B5496E"/>
    <w:rsid w:val="00B54996"/>
    <w:rsid w:val="00B549BA"/>
    <w:rsid w:val="00B549D6"/>
    <w:rsid w:val="00B54A87"/>
    <w:rsid w:val="00B54A93"/>
    <w:rsid w:val="00B54AB2"/>
    <w:rsid w:val="00B54ADB"/>
    <w:rsid w:val="00B54B0B"/>
    <w:rsid w:val="00B54B0C"/>
    <w:rsid w:val="00B54B54"/>
    <w:rsid w:val="00B54B55"/>
    <w:rsid w:val="00B54C1B"/>
    <w:rsid w:val="00B54C35"/>
    <w:rsid w:val="00B54C45"/>
    <w:rsid w:val="00B54C51"/>
    <w:rsid w:val="00B54D05"/>
    <w:rsid w:val="00B54D37"/>
    <w:rsid w:val="00B54D8C"/>
    <w:rsid w:val="00B54DCC"/>
    <w:rsid w:val="00B54E38"/>
    <w:rsid w:val="00B54E55"/>
    <w:rsid w:val="00B54E64"/>
    <w:rsid w:val="00B54F4C"/>
    <w:rsid w:val="00B54F53"/>
    <w:rsid w:val="00B54F57"/>
    <w:rsid w:val="00B54FDB"/>
    <w:rsid w:val="00B54FE4"/>
    <w:rsid w:val="00B55028"/>
    <w:rsid w:val="00B55097"/>
    <w:rsid w:val="00B5509B"/>
    <w:rsid w:val="00B550A3"/>
    <w:rsid w:val="00B550A5"/>
    <w:rsid w:val="00B550D6"/>
    <w:rsid w:val="00B550FF"/>
    <w:rsid w:val="00B5514B"/>
    <w:rsid w:val="00B55183"/>
    <w:rsid w:val="00B551C2"/>
    <w:rsid w:val="00B55264"/>
    <w:rsid w:val="00B552B4"/>
    <w:rsid w:val="00B552BE"/>
    <w:rsid w:val="00B552C4"/>
    <w:rsid w:val="00B5532E"/>
    <w:rsid w:val="00B55341"/>
    <w:rsid w:val="00B5534E"/>
    <w:rsid w:val="00B55380"/>
    <w:rsid w:val="00B55384"/>
    <w:rsid w:val="00B55394"/>
    <w:rsid w:val="00B55427"/>
    <w:rsid w:val="00B5544B"/>
    <w:rsid w:val="00B554B1"/>
    <w:rsid w:val="00B55511"/>
    <w:rsid w:val="00B5559E"/>
    <w:rsid w:val="00B55706"/>
    <w:rsid w:val="00B55711"/>
    <w:rsid w:val="00B5571F"/>
    <w:rsid w:val="00B5576A"/>
    <w:rsid w:val="00B5577F"/>
    <w:rsid w:val="00B557BF"/>
    <w:rsid w:val="00B557EC"/>
    <w:rsid w:val="00B557ED"/>
    <w:rsid w:val="00B5581D"/>
    <w:rsid w:val="00B55838"/>
    <w:rsid w:val="00B55848"/>
    <w:rsid w:val="00B5585E"/>
    <w:rsid w:val="00B558DD"/>
    <w:rsid w:val="00B55948"/>
    <w:rsid w:val="00B55A5C"/>
    <w:rsid w:val="00B55A63"/>
    <w:rsid w:val="00B55A8D"/>
    <w:rsid w:val="00B55AAD"/>
    <w:rsid w:val="00B55AB7"/>
    <w:rsid w:val="00B55B09"/>
    <w:rsid w:val="00B55B0D"/>
    <w:rsid w:val="00B55B25"/>
    <w:rsid w:val="00B55B44"/>
    <w:rsid w:val="00B55B8C"/>
    <w:rsid w:val="00B55B96"/>
    <w:rsid w:val="00B55BDC"/>
    <w:rsid w:val="00B55C0D"/>
    <w:rsid w:val="00B55C2D"/>
    <w:rsid w:val="00B55C86"/>
    <w:rsid w:val="00B55D3F"/>
    <w:rsid w:val="00B55D67"/>
    <w:rsid w:val="00B55DC1"/>
    <w:rsid w:val="00B55E07"/>
    <w:rsid w:val="00B55EA3"/>
    <w:rsid w:val="00B55F14"/>
    <w:rsid w:val="00B55F28"/>
    <w:rsid w:val="00B55F63"/>
    <w:rsid w:val="00B55F6F"/>
    <w:rsid w:val="00B55F9F"/>
    <w:rsid w:val="00B56020"/>
    <w:rsid w:val="00B5603E"/>
    <w:rsid w:val="00B5604D"/>
    <w:rsid w:val="00B560E3"/>
    <w:rsid w:val="00B5614D"/>
    <w:rsid w:val="00B5616C"/>
    <w:rsid w:val="00B561B5"/>
    <w:rsid w:val="00B561C1"/>
    <w:rsid w:val="00B56238"/>
    <w:rsid w:val="00B56246"/>
    <w:rsid w:val="00B5625D"/>
    <w:rsid w:val="00B562C3"/>
    <w:rsid w:val="00B562D8"/>
    <w:rsid w:val="00B562DE"/>
    <w:rsid w:val="00B5630B"/>
    <w:rsid w:val="00B5639A"/>
    <w:rsid w:val="00B563AA"/>
    <w:rsid w:val="00B563AE"/>
    <w:rsid w:val="00B563D8"/>
    <w:rsid w:val="00B56413"/>
    <w:rsid w:val="00B5647F"/>
    <w:rsid w:val="00B5649C"/>
    <w:rsid w:val="00B564BA"/>
    <w:rsid w:val="00B564FE"/>
    <w:rsid w:val="00B5650C"/>
    <w:rsid w:val="00B5651B"/>
    <w:rsid w:val="00B5651D"/>
    <w:rsid w:val="00B56522"/>
    <w:rsid w:val="00B5655A"/>
    <w:rsid w:val="00B5656C"/>
    <w:rsid w:val="00B5657C"/>
    <w:rsid w:val="00B565B1"/>
    <w:rsid w:val="00B5662F"/>
    <w:rsid w:val="00B5664F"/>
    <w:rsid w:val="00B566F5"/>
    <w:rsid w:val="00B56745"/>
    <w:rsid w:val="00B5678B"/>
    <w:rsid w:val="00B567C2"/>
    <w:rsid w:val="00B567D6"/>
    <w:rsid w:val="00B5680C"/>
    <w:rsid w:val="00B56817"/>
    <w:rsid w:val="00B56859"/>
    <w:rsid w:val="00B56866"/>
    <w:rsid w:val="00B568CE"/>
    <w:rsid w:val="00B568F8"/>
    <w:rsid w:val="00B5690D"/>
    <w:rsid w:val="00B5690F"/>
    <w:rsid w:val="00B56A3B"/>
    <w:rsid w:val="00B56A95"/>
    <w:rsid w:val="00B56A9D"/>
    <w:rsid w:val="00B56ACA"/>
    <w:rsid w:val="00B56B9F"/>
    <w:rsid w:val="00B56C62"/>
    <w:rsid w:val="00B56D04"/>
    <w:rsid w:val="00B56D8A"/>
    <w:rsid w:val="00B56ECB"/>
    <w:rsid w:val="00B56F43"/>
    <w:rsid w:val="00B56F52"/>
    <w:rsid w:val="00B56F75"/>
    <w:rsid w:val="00B56FD9"/>
    <w:rsid w:val="00B56FFE"/>
    <w:rsid w:val="00B5704A"/>
    <w:rsid w:val="00B5706C"/>
    <w:rsid w:val="00B570CB"/>
    <w:rsid w:val="00B570D6"/>
    <w:rsid w:val="00B57127"/>
    <w:rsid w:val="00B57133"/>
    <w:rsid w:val="00B57154"/>
    <w:rsid w:val="00B57185"/>
    <w:rsid w:val="00B57187"/>
    <w:rsid w:val="00B571B8"/>
    <w:rsid w:val="00B571C0"/>
    <w:rsid w:val="00B571D5"/>
    <w:rsid w:val="00B571D9"/>
    <w:rsid w:val="00B571E5"/>
    <w:rsid w:val="00B57228"/>
    <w:rsid w:val="00B57240"/>
    <w:rsid w:val="00B57288"/>
    <w:rsid w:val="00B57296"/>
    <w:rsid w:val="00B572EE"/>
    <w:rsid w:val="00B5741B"/>
    <w:rsid w:val="00B5745D"/>
    <w:rsid w:val="00B5745F"/>
    <w:rsid w:val="00B5748E"/>
    <w:rsid w:val="00B57508"/>
    <w:rsid w:val="00B57540"/>
    <w:rsid w:val="00B5754A"/>
    <w:rsid w:val="00B5754B"/>
    <w:rsid w:val="00B5757A"/>
    <w:rsid w:val="00B57584"/>
    <w:rsid w:val="00B575CD"/>
    <w:rsid w:val="00B575EB"/>
    <w:rsid w:val="00B5760C"/>
    <w:rsid w:val="00B57612"/>
    <w:rsid w:val="00B57630"/>
    <w:rsid w:val="00B5763F"/>
    <w:rsid w:val="00B5768A"/>
    <w:rsid w:val="00B5772C"/>
    <w:rsid w:val="00B57772"/>
    <w:rsid w:val="00B57790"/>
    <w:rsid w:val="00B5779F"/>
    <w:rsid w:val="00B57827"/>
    <w:rsid w:val="00B5783F"/>
    <w:rsid w:val="00B57843"/>
    <w:rsid w:val="00B5784F"/>
    <w:rsid w:val="00B57894"/>
    <w:rsid w:val="00B578DB"/>
    <w:rsid w:val="00B5792E"/>
    <w:rsid w:val="00B57934"/>
    <w:rsid w:val="00B57936"/>
    <w:rsid w:val="00B5795E"/>
    <w:rsid w:val="00B57969"/>
    <w:rsid w:val="00B579AD"/>
    <w:rsid w:val="00B579E4"/>
    <w:rsid w:val="00B57AAC"/>
    <w:rsid w:val="00B57B1F"/>
    <w:rsid w:val="00B57B27"/>
    <w:rsid w:val="00B57B2A"/>
    <w:rsid w:val="00B57B57"/>
    <w:rsid w:val="00B57BCC"/>
    <w:rsid w:val="00B57C13"/>
    <w:rsid w:val="00B57C8C"/>
    <w:rsid w:val="00B57D5B"/>
    <w:rsid w:val="00B57E1F"/>
    <w:rsid w:val="00B57EDF"/>
    <w:rsid w:val="00B57FBC"/>
    <w:rsid w:val="00B57FC8"/>
    <w:rsid w:val="00B60008"/>
    <w:rsid w:val="00B60024"/>
    <w:rsid w:val="00B60066"/>
    <w:rsid w:val="00B60068"/>
    <w:rsid w:val="00B600A6"/>
    <w:rsid w:val="00B600C8"/>
    <w:rsid w:val="00B6012D"/>
    <w:rsid w:val="00B60154"/>
    <w:rsid w:val="00B601A2"/>
    <w:rsid w:val="00B601A7"/>
    <w:rsid w:val="00B601D6"/>
    <w:rsid w:val="00B6022C"/>
    <w:rsid w:val="00B60258"/>
    <w:rsid w:val="00B6028D"/>
    <w:rsid w:val="00B602A2"/>
    <w:rsid w:val="00B6032D"/>
    <w:rsid w:val="00B60372"/>
    <w:rsid w:val="00B60380"/>
    <w:rsid w:val="00B60385"/>
    <w:rsid w:val="00B60394"/>
    <w:rsid w:val="00B60397"/>
    <w:rsid w:val="00B603BF"/>
    <w:rsid w:val="00B603F4"/>
    <w:rsid w:val="00B6049B"/>
    <w:rsid w:val="00B604A1"/>
    <w:rsid w:val="00B604D9"/>
    <w:rsid w:val="00B60540"/>
    <w:rsid w:val="00B60572"/>
    <w:rsid w:val="00B60586"/>
    <w:rsid w:val="00B605A1"/>
    <w:rsid w:val="00B605E7"/>
    <w:rsid w:val="00B605F9"/>
    <w:rsid w:val="00B606D9"/>
    <w:rsid w:val="00B60711"/>
    <w:rsid w:val="00B60720"/>
    <w:rsid w:val="00B60749"/>
    <w:rsid w:val="00B6079F"/>
    <w:rsid w:val="00B607A0"/>
    <w:rsid w:val="00B60858"/>
    <w:rsid w:val="00B60917"/>
    <w:rsid w:val="00B60933"/>
    <w:rsid w:val="00B60982"/>
    <w:rsid w:val="00B6098D"/>
    <w:rsid w:val="00B609B4"/>
    <w:rsid w:val="00B609CF"/>
    <w:rsid w:val="00B609E7"/>
    <w:rsid w:val="00B60A3D"/>
    <w:rsid w:val="00B60A48"/>
    <w:rsid w:val="00B60A51"/>
    <w:rsid w:val="00B60A57"/>
    <w:rsid w:val="00B60A95"/>
    <w:rsid w:val="00B60ABE"/>
    <w:rsid w:val="00B60BA8"/>
    <w:rsid w:val="00B60BCD"/>
    <w:rsid w:val="00B60C25"/>
    <w:rsid w:val="00B60C63"/>
    <w:rsid w:val="00B60CC1"/>
    <w:rsid w:val="00B60CCC"/>
    <w:rsid w:val="00B60D7B"/>
    <w:rsid w:val="00B60D9F"/>
    <w:rsid w:val="00B60E29"/>
    <w:rsid w:val="00B60E5C"/>
    <w:rsid w:val="00B60E66"/>
    <w:rsid w:val="00B60F45"/>
    <w:rsid w:val="00B60FAB"/>
    <w:rsid w:val="00B60FAD"/>
    <w:rsid w:val="00B6119A"/>
    <w:rsid w:val="00B611BB"/>
    <w:rsid w:val="00B61232"/>
    <w:rsid w:val="00B6126F"/>
    <w:rsid w:val="00B612DD"/>
    <w:rsid w:val="00B6136B"/>
    <w:rsid w:val="00B61451"/>
    <w:rsid w:val="00B61497"/>
    <w:rsid w:val="00B61540"/>
    <w:rsid w:val="00B61588"/>
    <w:rsid w:val="00B6160E"/>
    <w:rsid w:val="00B61614"/>
    <w:rsid w:val="00B6171C"/>
    <w:rsid w:val="00B61785"/>
    <w:rsid w:val="00B617B2"/>
    <w:rsid w:val="00B6180D"/>
    <w:rsid w:val="00B61828"/>
    <w:rsid w:val="00B61844"/>
    <w:rsid w:val="00B61856"/>
    <w:rsid w:val="00B61967"/>
    <w:rsid w:val="00B61988"/>
    <w:rsid w:val="00B619EA"/>
    <w:rsid w:val="00B61A38"/>
    <w:rsid w:val="00B61A6A"/>
    <w:rsid w:val="00B61AD2"/>
    <w:rsid w:val="00B61B47"/>
    <w:rsid w:val="00B61BB0"/>
    <w:rsid w:val="00B61BD6"/>
    <w:rsid w:val="00B61C77"/>
    <w:rsid w:val="00B61C7F"/>
    <w:rsid w:val="00B61CD0"/>
    <w:rsid w:val="00B61CFF"/>
    <w:rsid w:val="00B61D29"/>
    <w:rsid w:val="00B61D56"/>
    <w:rsid w:val="00B61D5E"/>
    <w:rsid w:val="00B61D61"/>
    <w:rsid w:val="00B61D7D"/>
    <w:rsid w:val="00B61D8E"/>
    <w:rsid w:val="00B61DDE"/>
    <w:rsid w:val="00B61DEE"/>
    <w:rsid w:val="00B61E41"/>
    <w:rsid w:val="00B61EE4"/>
    <w:rsid w:val="00B61F36"/>
    <w:rsid w:val="00B61F47"/>
    <w:rsid w:val="00B61FE2"/>
    <w:rsid w:val="00B6201D"/>
    <w:rsid w:val="00B620E0"/>
    <w:rsid w:val="00B62108"/>
    <w:rsid w:val="00B62191"/>
    <w:rsid w:val="00B621AF"/>
    <w:rsid w:val="00B62228"/>
    <w:rsid w:val="00B62249"/>
    <w:rsid w:val="00B62282"/>
    <w:rsid w:val="00B622AE"/>
    <w:rsid w:val="00B622BA"/>
    <w:rsid w:val="00B622C9"/>
    <w:rsid w:val="00B6230F"/>
    <w:rsid w:val="00B6237C"/>
    <w:rsid w:val="00B623A2"/>
    <w:rsid w:val="00B623AA"/>
    <w:rsid w:val="00B623D2"/>
    <w:rsid w:val="00B6241B"/>
    <w:rsid w:val="00B624C4"/>
    <w:rsid w:val="00B6255B"/>
    <w:rsid w:val="00B62577"/>
    <w:rsid w:val="00B625B0"/>
    <w:rsid w:val="00B625D2"/>
    <w:rsid w:val="00B62641"/>
    <w:rsid w:val="00B626A1"/>
    <w:rsid w:val="00B626D4"/>
    <w:rsid w:val="00B626EF"/>
    <w:rsid w:val="00B62716"/>
    <w:rsid w:val="00B62744"/>
    <w:rsid w:val="00B62765"/>
    <w:rsid w:val="00B62785"/>
    <w:rsid w:val="00B627A6"/>
    <w:rsid w:val="00B627C5"/>
    <w:rsid w:val="00B62805"/>
    <w:rsid w:val="00B62880"/>
    <w:rsid w:val="00B628A7"/>
    <w:rsid w:val="00B62A18"/>
    <w:rsid w:val="00B62A1E"/>
    <w:rsid w:val="00B62A2D"/>
    <w:rsid w:val="00B62A4D"/>
    <w:rsid w:val="00B62A9D"/>
    <w:rsid w:val="00B62AC8"/>
    <w:rsid w:val="00B62B70"/>
    <w:rsid w:val="00B62B9E"/>
    <w:rsid w:val="00B62CD0"/>
    <w:rsid w:val="00B62CE1"/>
    <w:rsid w:val="00B62D91"/>
    <w:rsid w:val="00B62E90"/>
    <w:rsid w:val="00B62EE2"/>
    <w:rsid w:val="00B62F1D"/>
    <w:rsid w:val="00B62F96"/>
    <w:rsid w:val="00B62F9C"/>
    <w:rsid w:val="00B62FDD"/>
    <w:rsid w:val="00B62FEF"/>
    <w:rsid w:val="00B63016"/>
    <w:rsid w:val="00B63071"/>
    <w:rsid w:val="00B630A4"/>
    <w:rsid w:val="00B63132"/>
    <w:rsid w:val="00B631C1"/>
    <w:rsid w:val="00B631F2"/>
    <w:rsid w:val="00B63201"/>
    <w:rsid w:val="00B63236"/>
    <w:rsid w:val="00B63253"/>
    <w:rsid w:val="00B63259"/>
    <w:rsid w:val="00B63323"/>
    <w:rsid w:val="00B63349"/>
    <w:rsid w:val="00B6334C"/>
    <w:rsid w:val="00B6336B"/>
    <w:rsid w:val="00B63397"/>
    <w:rsid w:val="00B6339E"/>
    <w:rsid w:val="00B633C8"/>
    <w:rsid w:val="00B633EF"/>
    <w:rsid w:val="00B63497"/>
    <w:rsid w:val="00B634D9"/>
    <w:rsid w:val="00B634E3"/>
    <w:rsid w:val="00B63531"/>
    <w:rsid w:val="00B63587"/>
    <w:rsid w:val="00B6358D"/>
    <w:rsid w:val="00B63591"/>
    <w:rsid w:val="00B635AE"/>
    <w:rsid w:val="00B635D3"/>
    <w:rsid w:val="00B63624"/>
    <w:rsid w:val="00B636AC"/>
    <w:rsid w:val="00B636F5"/>
    <w:rsid w:val="00B63739"/>
    <w:rsid w:val="00B63751"/>
    <w:rsid w:val="00B63794"/>
    <w:rsid w:val="00B6379E"/>
    <w:rsid w:val="00B637D1"/>
    <w:rsid w:val="00B63835"/>
    <w:rsid w:val="00B638C2"/>
    <w:rsid w:val="00B63902"/>
    <w:rsid w:val="00B63941"/>
    <w:rsid w:val="00B63A42"/>
    <w:rsid w:val="00B63AFD"/>
    <w:rsid w:val="00B63B11"/>
    <w:rsid w:val="00B63B28"/>
    <w:rsid w:val="00B63B33"/>
    <w:rsid w:val="00B63B5E"/>
    <w:rsid w:val="00B63BBB"/>
    <w:rsid w:val="00B63C54"/>
    <w:rsid w:val="00B63D00"/>
    <w:rsid w:val="00B63D32"/>
    <w:rsid w:val="00B63D34"/>
    <w:rsid w:val="00B63D62"/>
    <w:rsid w:val="00B63D76"/>
    <w:rsid w:val="00B63E24"/>
    <w:rsid w:val="00B63E37"/>
    <w:rsid w:val="00B63EDF"/>
    <w:rsid w:val="00B64084"/>
    <w:rsid w:val="00B640C8"/>
    <w:rsid w:val="00B6411C"/>
    <w:rsid w:val="00B64121"/>
    <w:rsid w:val="00B64204"/>
    <w:rsid w:val="00B64259"/>
    <w:rsid w:val="00B64274"/>
    <w:rsid w:val="00B64287"/>
    <w:rsid w:val="00B64294"/>
    <w:rsid w:val="00B642BB"/>
    <w:rsid w:val="00B64349"/>
    <w:rsid w:val="00B64352"/>
    <w:rsid w:val="00B64363"/>
    <w:rsid w:val="00B643A2"/>
    <w:rsid w:val="00B643E3"/>
    <w:rsid w:val="00B64458"/>
    <w:rsid w:val="00B64563"/>
    <w:rsid w:val="00B6456A"/>
    <w:rsid w:val="00B645AB"/>
    <w:rsid w:val="00B645B4"/>
    <w:rsid w:val="00B64639"/>
    <w:rsid w:val="00B64644"/>
    <w:rsid w:val="00B646DB"/>
    <w:rsid w:val="00B646E2"/>
    <w:rsid w:val="00B64715"/>
    <w:rsid w:val="00B647DA"/>
    <w:rsid w:val="00B6480B"/>
    <w:rsid w:val="00B6484C"/>
    <w:rsid w:val="00B64865"/>
    <w:rsid w:val="00B6487E"/>
    <w:rsid w:val="00B64895"/>
    <w:rsid w:val="00B648A9"/>
    <w:rsid w:val="00B648AA"/>
    <w:rsid w:val="00B648E3"/>
    <w:rsid w:val="00B64968"/>
    <w:rsid w:val="00B649EC"/>
    <w:rsid w:val="00B64A32"/>
    <w:rsid w:val="00B64A49"/>
    <w:rsid w:val="00B64A69"/>
    <w:rsid w:val="00B64B0A"/>
    <w:rsid w:val="00B64B48"/>
    <w:rsid w:val="00B64BA5"/>
    <w:rsid w:val="00B64BB2"/>
    <w:rsid w:val="00B64C66"/>
    <w:rsid w:val="00B64C94"/>
    <w:rsid w:val="00B64C9B"/>
    <w:rsid w:val="00B64CDC"/>
    <w:rsid w:val="00B64D47"/>
    <w:rsid w:val="00B64D65"/>
    <w:rsid w:val="00B64D7D"/>
    <w:rsid w:val="00B64DA1"/>
    <w:rsid w:val="00B64DDA"/>
    <w:rsid w:val="00B64E1A"/>
    <w:rsid w:val="00B64E3C"/>
    <w:rsid w:val="00B64E90"/>
    <w:rsid w:val="00B64EE8"/>
    <w:rsid w:val="00B64EFD"/>
    <w:rsid w:val="00B64F06"/>
    <w:rsid w:val="00B64F3A"/>
    <w:rsid w:val="00B64F5F"/>
    <w:rsid w:val="00B64F66"/>
    <w:rsid w:val="00B64F72"/>
    <w:rsid w:val="00B64F84"/>
    <w:rsid w:val="00B65069"/>
    <w:rsid w:val="00B65080"/>
    <w:rsid w:val="00B65087"/>
    <w:rsid w:val="00B650D3"/>
    <w:rsid w:val="00B650EC"/>
    <w:rsid w:val="00B65116"/>
    <w:rsid w:val="00B65133"/>
    <w:rsid w:val="00B651A5"/>
    <w:rsid w:val="00B651E1"/>
    <w:rsid w:val="00B65201"/>
    <w:rsid w:val="00B65254"/>
    <w:rsid w:val="00B652D1"/>
    <w:rsid w:val="00B6536A"/>
    <w:rsid w:val="00B653EB"/>
    <w:rsid w:val="00B65450"/>
    <w:rsid w:val="00B654C0"/>
    <w:rsid w:val="00B654F0"/>
    <w:rsid w:val="00B654FA"/>
    <w:rsid w:val="00B65513"/>
    <w:rsid w:val="00B6554E"/>
    <w:rsid w:val="00B655F1"/>
    <w:rsid w:val="00B655F2"/>
    <w:rsid w:val="00B65606"/>
    <w:rsid w:val="00B65617"/>
    <w:rsid w:val="00B6565F"/>
    <w:rsid w:val="00B6567B"/>
    <w:rsid w:val="00B656A6"/>
    <w:rsid w:val="00B656C6"/>
    <w:rsid w:val="00B657B3"/>
    <w:rsid w:val="00B657CD"/>
    <w:rsid w:val="00B657F1"/>
    <w:rsid w:val="00B65869"/>
    <w:rsid w:val="00B65876"/>
    <w:rsid w:val="00B6588A"/>
    <w:rsid w:val="00B658CD"/>
    <w:rsid w:val="00B6592D"/>
    <w:rsid w:val="00B659D6"/>
    <w:rsid w:val="00B65A1B"/>
    <w:rsid w:val="00B65A23"/>
    <w:rsid w:val="00B65A2E"/>
    <w:rsid w:val="00B65A6D"/>
    <w:rsid w:val="00B65AD7"/>
    <w:rsid w:val="00B65B03"/>
    <w:rsid w:val="00B65B0B"/>
    <w:rsid w:val="00B65B47"/>
    <w:rsid w:val="00B65B60"/>
    <w:rsid w:val="00B65C27"/>
    <w:rsid w:val="00B65C79"/>
    <w:rsid w:val="00B65D22"/>
    <w:rsid w:val="00B65E0F"/>
    <w:rsid w:val="00B65E7E"/>
    <w:rsid w:val="00B65EA5"/>
    <w:rsid w:val="00B65EA7"/>
    <w:rsid w:val="00B65EC6"/>
    <w:rsid w:val="00B65EC8"/>
    <w:rsid w:val="00B65EE9"/>
    <w:rsid w:val="00B65EF9"/>
    <w:rsid w:val="00B65F5E"/>
    <w:rsid w:val="00B65F7C"/>
    <w:rsid w:val="00B6606C"/>
    <w:rsid w:val="00B66074"/>
    <w:rsid w:val="00B6608D"/>
    <w:rsid w:val="00B660C3"/>
    <w:rsid w:val="00B66163"/>
    <w:rsid w:val="00B66187"/>
    <w:rsid w:val="00B661F7"/>
    <w:rsid w:val="00B661FD"/>
    <w:rsid w:val="00B66209"/>
    <w:rsid w:val="00B6630F"/>
    <w:rsid w:val="00B6631B"/>
    <w:rsid w:val="00B6632D"/>
    <w:rsid w:val="00B66369"/>
    <w:rsid w:val="00B6636D"/>
    <w:rsid w:val="00B66381"/>
    <w:rsid w:val="00B663BA"/>
    <w:rsid w:val="00B663C5"/>
    <w:rsid w:val="00B66435"/>
    <w:rsid w:val="00B6647B"/>
    <w:rsid w:val="00B66489"/>
    <w:rsid w:val="00B665E2"/>
    <w:rsid w:val="00B66612"/>
    <w:rsid w:val="00B6662E"/>
    <w:rsid w:val="00B66673"/>
    <w:rsid w:val="00B666C2"/>
    <w:rsid w:val="00B666D0"/>
    <w:rsid w:val="00B66727"/>
    <w:rsid w:val="00B667C4"/>
    <w:rsid w:val="00B66809"/>
    <w:rsid w:val="00B66894"/>
    <w:rsid w:val="00B668D9"/>
    <w:rsid w:val="00B66967"/>
    <w:rsid w:val="00B66A26"/>
    <w:rsid w:val="00B66A4F"/>
    <w:rsid w:val="00B66B6A"/>
    <w:rsid w:val="00B66B78"/>
    <w:rsid w:val="00B66C27"/>
    <w:rsid w:val="00B66C9B"/>
    <w:rsid w:val="00B66CD4"/>
    <w:rsid w:val="00B66CF7"/>
    <w:rsid w:val="00B66CFF"/>
    <w:rsid w:val="00B66D0F"/>
    <w:rsid w:val="00B66D80"/>
    <w:rsid w:val="00B66D92"/>
    <w:rsid w:val="00B66F26"/>
    <w:rsid w:val="00B66F94"/>
    <w:rsid w:val="00B66FBA"/>
    <w:rsid w:val="00B66FC7"/>
    <w:rsid w:val="00B66FD4"/>
    <w:rsid w:val="00B67054"/>
    <w:rsid w:val="00B6708B"/>
    <w:rsid w:val="00B670D6"/>
    <w:rsid w:val="00B670E3"/>
    <w:rsid w:val="00B67129"/>
    <w:rsid w:val="00B6718E"/>
    <w:rsid w:val="00B67190"/>
    <w:rsid w:val="00B671F1"/>
    <w:rsid w:val="00B6722A"/>
    <w:rsid w:val="00B672B2"/>
    <w:rsid w:val="00B6732A"/>
    <w:rsid w:val="00B67385"/>
    <w:rsid w:val="00B6738A"/>
    <w:rsid w:val="00B673A0"/>
    <w:rsid w:val="00B67449"/>
    <w:rsid w:val="00B674B1"/>
    <w:rsid w:val="00B674CA"/>
    <w:rsid w:val="00B674D1"/>
    <w:rsid w:val="00B67511"/>
    <w:rsid w:val="00B67525"/>
    <w:rsid w:val="00B6758D"/>
    <w:rsid w:val="00B675B2"/>
    <w:rsid w:val="00B675C0"/>
    <w:rsid w:val="00B675DD"/>
    <w:rsid w:val="00B67631"/>
    <w:rsid w:val="00B6763F"/>
    <w:rsid w:val="00B6766D"/>
    <w:rsid w:val="00B6768B"/>
    <w:rsid w:val="00B676AF"/>
    <w:rsid w:val="00B67718"/>
    <w:rsid w:val="00B6773B"/>
    <w:rsid w:val="00B6775A"/>
    <w:rsid w:val="00B67787"/>
    <w:rsid w:val="00B677AC"/>
    <w:rsid w:val="00B677C3"/>
    <w:rsid w:val="00B67814"/>
    <w:rsid w:val="00B67863"/>
    <w:rsid w:val="00B678D5"/>
    <w:rsid w:val="00B6793C"/>
    <w:rsid w:val="00B67A3D"/>
    <w:rsid w:val="00B67A68"/>
    <w:rsid w:val="00B67A6B"/>
    <w:rsid w:val="00B67A6C"/>
    <w:rsid w:val="00B67AA4"/>
    <w:rsid w:val="00B67C3B"/>
    <w:rsid w:val="00B67C4C"/>
    <w:rsid w:val="00B67C93"/>
    <w:rsid w:val="00B67CD8"/>
    <w:rsid w:val="00B67D34"/>
    <w:rsid w:val="00B67D50"/>
    <w:rsid w:val="00B67D61"/>
    <w:rsid w:val="00B67D6C"/>
    <w:rsid w:val="00B67D70"/>
    <w:rsid w:val="00B67D8C"/>
    <w:rsid w:val="00B67DC7"/>
    <w:rsid w:val="00B67DE9"/>
    <w:rsid w:val="00B67E21"/>
    <w:rsid w:val="00B67E3D"/>
    <w:rsid w:val="00B67E55"/>
    <w:rsid w:val="00B67E5B"/>
    <w:rsid w:val="00B67E60"/>
    <w:rsid w:val="00B67E7D"/>
    <w:rsid w:val="00B67ECF"/>
    <w:rsid w:val="00B67EED"/>
    <w:rsid w:val="00B67F29"/>
    <w:rsid w:val="00B67F3D"/>
    <w:rsid w:val="00B67F79"/>
    <w:rsid w:val="00B67FF3"/>
    <w:rsid w:val="00B70042"/>
    <w:rsid w:val="00B700B8"/>
    <w:rsid w:val="00B700FF"/>
    <w:rsid w:val="00B70109"/>
    <w:rsid w:val="00B7013F"/>
    <w:rsid w:val="00B701A1"/>
    <w:rsid w:val="00B701A7"/>
    <w:rsid w:val="00B701DA"/>
    <w:rsid w:val="00B701E7"/>
    <w:rsid w:val="00B70200"/>
    <w:rsid w:val="00B7022C"/>
    <w:rsid w:val="00B70270"/>
    <w:rsid w:val="00B70299"/>
    <w:rsid w:val="00B7029A"/>
    <w:rsid w:val="00B702E1"/>
    <w:rsid w:val="00B7030F"/>
    <w:rsid w:val="00B70340"/>
    <w:rsid w:val="00B703A9"/>
    <w:rsid w:val="00B703B1"/>
    <w:rsid w:val="00B703EE"/>
    <w:rsid w:val="00B705BB"/>
    <w:rsid w:val="00B705BF"/>
    <w:rsid w:val="00B705EE"/>
    <w:rsid w:val="00B70623"/>
    <w:rsid w:val="00B70652"/>
    <w:rsid w:val="00B70666"/>
    <w:rsid w:val="00B70689"/>
    <w:rsid w:val="00B70721"/>
    <w:rsid w:val="00B70742"/>
    <w:rsid w:val="00B70766"/>
    <w:rsid w:val="00B707A0"/>
    <w:rsid w:val="00B707D5"/>
    <w:rsid w:val="00B70821"/>
    <w:rsid w:val="00B70846"/>
    <w:rsid w:val="00B70870"/>
    <w:rsid w:val="00B70892"/>
    <w:rsid w:val="00B708D2"/>
    <w:rsid w:val="00B708D5"/>
    <w:rsid w:val="00B70939"/>
    <w:rsid w:val="00B70A17"/>
    <w:rsid w:val="00B70A35"/>
    <w:rsid w:val="00B70A48"/>
    <w:rsid w:val="00B70A86"/>
    <w:rsid w:val="00B70AA6"/>
    <w:rsid w:val="00B70AC1"/>
    <w:rsid w:val="00B70AD6"/>
    <w:rsid w:val="00B70AD7"/>
    <w:rsid w:val="00B70AD9"/>
    <w:rsid w:val="00B70AED"/>
    <w:rsid w:val="00B70BCF"/>
    <w:rsid w:val="00B70BD5"/>
    <w:rsid w:val="00B70C2F"/>
    <w:rsid w:val="00B70C55"/>
    <w:rsid w:val="00B70C70"/>
    <w:rsid w:val="00B70CA3"/>
    <w:rsid w:val="00B70CDD"/>
    <w:rsid w:val="00B70D2E"/>
    <w:rsid w:val="00B70D62"/>
    <w:rsid w:val="00B70DA5"/>
    <w:rsid w:val="00B70DBE"/>
    <w:rsid w:val="00B70DD0"/>
    <w:rsid w:val="00B70E02"/>
    <w:rsid w:val="00B70E5E"/>
    <w:rsid w:val="00B70F0A"/>
    <w:rsid w:val="00B70F17"/>
    <w:rsid w:val="00B70F41"/>
    <w:rsid w:val="00B70F65"/>
    <w:rsid w:val="00B70F70"/>
    <w:rsid w:val="00B70FD2"/>
    <w:rsid w:val="00B70FD5"/>
    <w:rsid w:val="00B70FEC"/>
    <w:rsid w:val="00B710E2"/>
    <w:rsid w:val="00B710F1"/>
    <w:rsid w:val="00B71105"/>
    <w:rsid w:val="00B71118"/>
    <w:rsid w:val="00B71209"/>
    <w:rsid w:val="00B71276"/>
    <w:rsid w:val="00B71286"/>
    <w:rsid w:val="00B7128D"/>
    <w:rsid w:val="00B71309"/>
    <w:rsid w:val="00B7137E"/>
    <w:rsid w:val="00B71433"/>
    <w:rsid w:val="00B714C5"/>
    <w:rsid w:val="00B714CD"/>
    <w:rsid w:val="00B7156B"/>
    <w:rsid w:val="00B715C5"/>
    <w:rsid w:val="00B715F9"/>
    <w:rsid w:val="00B715FA"/>
    <w:rsid w:val="00B7165F"/>
    <w:rsid w:val="00B716C8"/>
    <w:rsid w:val="00B71707"/>
    <w:rsid w:val="00B71708"/>
    <w:rsid w:val="00B7173B"/>
    <w:rsid w:val="00B71782"/>
    <w:rsid w:val="00B717C9"/>
    <w:rsid w:val="00B717F0"/>
    <w:rsid w:val="00B71835"/>
    <w:rsid w:val="00B7185A"/>
    <w:rsid w:val="00B71860"/>
    <w:rsid w:val="00B71882"/>
    <w:rsid w:val="00B719AC"/>
    <w:rsid w:val="00B719EA"/>
    <w:rsid w:val="00B71A97"/>
    <w:rsid w:val="00B71A99"/>
    <w:rsid w:val="00B71A9B"/>
    <w:rsid w:val="00B71AAD"/>
    <w:rsid w:val="00B71AC7"/>
    <w:rsid w:val="00B71ACF"/>
    <w:rsid w:val="00B71B14"/>
    <w:rsid w:val="00B71B16"/>
    <w:rsid w:val="00B71B4D"/>
    <w:rsid w:val="00B71B5F"/>
    <w:rsid w:val="00B71B9E"/>
    <w:rsid w:val="00B71BC5"/>
    <w:rsid w:val="00B71BE0"/>
    <w:rsid w:val="00B71BFF"/>
    <w:rsid w:val="00B71CF1"/>
    <w:rsid w:val="00B71D04"/>
    <w:rsid w:val="00B71D84"/>
    <w:rsid w:val="00B71DCB"/>
    <w:rsid w:val="00B71E12"/>
    <w:rsid w:val="00B71E28"/>
    <w:rsid w:val="00B71E35"/>
    <w:rsid w:val="00B71F20"/>
    <w:rsid w:val="00B71FA7"/>
    <w:rsid w:val="00B71FBF"/>
    <w:rsid w:val="00B71FC9"/>
    <w:rsid w:val="00B71FD3"/>
    <w:rsid w:val="00B72099"/>
    <w:rsid w:val="00B720A7"/>
    <w:rsid w:val="00B720EB"/>
    <w:rsid w:val="00B720FB"/>
    <w:rsid w:val="00B72137"/>
    <w:rsid w:val="00B721E0"/>
    <w:rsid w:val="00B721EA"/>
    <w:rsid w:val="00B7227D"/>
    <w:rsid w:val="00B722BD"/>
    <w:rsid w:val="00B722E6"/>
    <w:rsid w:val="00B72341"/>
    <w:rsid w:val="00B72356"/>
    <w:rsid w:val="00B72468"/>
    <w:rsid w:val="00B7246F"/>
    <w:rsid w:val="00B724A2"/>
    <w:rsid w:val="00B72583"/>
    <w:rsid w:val="00B72616"/>
    <w:rsid w:val="00B72621"/>
    <w:rsid w:val="00B72632"/>
    <w:rsid w:val="00B72691"/>
    <w:rsid w:val="00B7274C"/>
    <w:rsid w:val="00B7279E"/>
    <w:rsid w:val="00B727A9"/>
    <w:rsid w:val="00B728B1"/>
    <w:rsid w:val="00B728E2"/>
    <w:rsid w:val="00B728F2"/>
    <w:rsid w:val="00B728F9"/>
    <w:rsid w:val="00B72947"/>
    <w:rsid w:val="00B72963"/>
    <w:rsid w:val="00B7296D"/>
    <w:rsid w:val="00B72971"/>
    <w:rsid w:val="00B7298A"/>
    <w:rsid w:val="00B729F0"/>
    <w:rsid w:val="00B729FB"/>
    <w:rsid w:val="00B72A02"/>
    <w:rsid w:val="00B72AAC"/>
    <w:rsid w:val="00B72B52"/>
    <w:rsid w:val="00B72B59"/>
    <w:rsid w:val="00B72B97"/>
    <w:rsid w:val="00B72BC9"/>
    <w:rsid w:val="00B72BCA"/>
    <w:rsid w:val="00B72C27"/>
    <w:rsid w:val="00B72C6A"/>
    <w:rsid w:val="00B72CAF"/>
    <w:rsid w:val="00B72D1A"/>
    <w:rsid w:val="00B72D5C"/>
    <w:rsid w:val="00B72E4F"/>
    <w:rsid w:val="00B72E60"/>
    <w:rsid w:val="00B72E73"/>
    <w:rsid w:val="00B72E8C"/>
    <w:rsid w:val="00B72EBD"/>
    <w:rsid w:val="00B72ECE"/>
    <w:rsid w:val="00B72F40"/>
    <w:rsid w:val="00B72F71"/>
    <w:rsid w:val="00B72F8E"/>
    <w:rsid w:val="00B72FAC"/>
    <w:rsid w:val="00B72FBF"/>
    <w:rsid w:val="00B72FCD"/>
    <w:rsid w:val="00B72FD7"/>
    <w:rsid w:val="00B72FF2"/>
    <w:rsid w:val="00B73031"/>
    <w:rsid w:val="00B7304C"/>
    <w:rsid w:val="00B730A1"/>
    <w:rsid w:val="00B730D5"/>
    <w:rsid w:val="00B73151"/>
    <w:rsid w:val="00B7316C"/>
    <w:rsid w:val="00B73172"/>
    <w:rsid w:val="00B731D0"/>
    <w:rsid w:val="00B7323F"/>
    <w:rsid w:val="00B7327A"/>
    <w:rsid w:val="00B7328E"/>
    <w:rsid w:val="00B732F6"/>
    <w:rsid w:val="00B73310"/>
    <w:rsid w:val="00B73348"/>
    <w:rsid w:val="00B73365"/>
    <w:rsid w:val="00B73389"/>
    <w:rsid w:val="00B733F8"/>
    <w:rsid w:val="00B7344F"/>
    <w:rsid w:val="00B73476"/>
    <w:rsid w:val="00B734B7"/>
    <w:rsid w:val="00B7351E"/>
    <w:rsid w:val="00B73522"/>
    <w:rsid w:val="00B73549"/>
    <w:rsid w:val="00B73582"/>
    <w:rsid w:val="00B735AA"/>
    <w:rsid w:val="00B735CE"/>
    <w:rsid w:val="00B73662"/>
    <w:rsid w:val="00B736A0"/>
    <w:rsid w:val="00B736A1"/>
    <w:rsid w:val="00B7378B"/>
    <w:rsid w:val="00B7380D"/>
    <w:rsid w:val="00B738FA"/>
    <w:rsid w:val="00B739ED"/>
    <w:rsid w:val="00B739EF"/>
    <w:rsid w:val="00B73A87"/>
    <w:rsid w:val="00B73B5A"/>
    <w:rsid w:val="00B73B6B"/>
    <w:rsid w:val="00B73B6F"/>
    <w:rsid w:val="00B73B7E"/>
    <w:rsid w:val="00B73B83"/>
    <w:rsid w:val="00B73B8F"/>
    <w:rsid w:val="00B73BC5"/>
    <w:rsid w:val="00B73BF6"/>
    <w:rsid w:val="00B73CBE"/>
    <w:rsid w:val="00B73CC9"/>
    <w:rsid w:val="00B73CDD"/>
    <w:rsid w:val="00B73CF9"/>
    <w:rsid w:val="00B73D00"/>
    <w:rsid w:val="00B73D40"/>
    <w:rsid w:val="00B73EE7"/>
    <w:rsid w:val="00B73F17"/>
    <w:rsid w:val="00B73F3C"/>
    <w:rsid w:val="00B73FA0"/>
    <w:rsid w:val="00B73FBF"/>
    <w:rsid w:val="00B73FC4"/>
    <w:rsid w:val="00B73FDB"/>
    <w:rsid w:val="00B74043"/>
    <w:rsid w:val="00B74047"/>
    <w:rsid w:val="00B740D4"/>
    <w:rsid w:val="00B740DC"/>
    <w:rsid w:val="00B740DD"/>
    <w:rsid w:val="00B74117"/>
    <w:rsid w:val="00B741F5"/>
    <w:rsid w:val="00B74222"/>
    <w:rsid w:val="00B742D8"/>
    <w:rsid w:val="00B74342"/>
    <w:rsid w:val="00B74362"/>
    <w:rsid w:val="00B74370"/>
    <w:rsid w:val="00B74399"/>
    <w:rsid w:val="00B743DD"/>
    <w:rsid w:val="00B74443"/>
    <w:rsid w:val="00B744CB"/>
    <w:rsid w:val="00B744E6"/>
    <w:rsid w:val="00B74504"/>
    <w:rsid w:val="00B74524"/>
    <w:rsid w:val="00B7463F"/>
    <w:rsid w:val="00B746F8"/>
    <w:rsid w:val="00B74721"/>
    <w:rsid w:val="00B74731"/>
    <w:rsid w:val="00B7473E"/>
    <w:rsid w:val="00B74764"/>
    <w:rsid w:val="00B7477D"/>
    <w:rsid w:val="00B747B4"/>
    <w:rsid w:val="00B74827"/>
    <w:rsid w:val="00B748B1"/>
    <w:rsid w:val="00B748EF"/>
    <w:rsid w:val="00B748FF"/>
    <w:rsid w:val="00B74924"/>
    <w:rsid w:val="00B74945"/>
    <w:rsid w:val="00B74997"/>
    <w:rsid w:val="00B7499B"/>
    <w:rsid w:val="00B749A5"/>
    <w:rsid w:val="00B749B0"/>
    <w:rsid w:val="00B749DB"/>
    <w:rsid w:val="00B74AFB"/>
    <w:rsid w:val="00B74B29"/>
    <w:rsid w:val="00B74B8C"/>
    <w:rsid w:val="00B74BC9"/>
    <w:rsid w:val="00B74BE8"/>
    <w:rsid w:val="00B74C76"/>
    <w:rsid w:val="00B74C77"/>
    <w:rsid w:val="00B74C88"/>
    <w:rsid w:val="00B74CF4"/>
    <w:rsid w:val="00B74D8B"/>
    <w:rsid w:val="00B74DE6"/>
    <w:rsid w:val="00B74DFD"/>
    <w:rsid w:val="00B74E62"/>
    <w:rsid w:val="00B74EC6"/>
    <w:rsid w:val="00B75057"/>
    <w:rsid w:val="00B75058"/>
    <w:rsid w:val="00B7505C"/>
    <w:rsid w:val="00B75075"/>
    <w:rsid w:val="00B750B3"/>
    <w:rsid w:val="00B750ED"/>
    <w:rsid w:val="00B75170"/>
    <w:rsid w:val="00B751A1"/>
    <w:rsid w:val="00B751A2"/>
    <w:rsid w:val="00B751D1"/>
    <w:rsid w:val="00B752F8"/>
    <w:rsid w:val="00B75305"/>
    <w:rsid w:val="00B7530B"/>
    <w:rsid w:val="00B75310"/>
    <w:rsid w:val="00B7532C"/>
    <w:rsid w:val="00B7537A"/>
    <w:rsid w:val="00B75404"/>
    <w:rsid w:val="00B75420"/>
    <w:rsid w:val="00B75448"/>
    <w:rsid w:val="00B75468"/>
    <w:rsid w:val="00B7546C"/>
    <w:rsid w:val="00B7548F"/>
    <w:rsid w:val="00B75502"/>
    <w:rsid w:val="00B75526"/>
    <w:rsid w:val="00B7558D"/>
    <w:rsid w:val="00B755A3"/>
    <w:rsid w:val="00B755CE"/>
    <w:rsid w:val="00B755D8"/>
    <w:rsid w:val="00B75641"/>
    <w:rsid w:val="00B756B8"/>
    <w:rsid w:val="00B756EC"/>
    <w:rsid w:val="00B75750"/>
    <w:rsid w:val="00B7584A"/>
    <w:rsid w:val="00B7585C"/>
    <w:rsid w:val="00B758D0"/>
    <w:rsid w:val="00B7591F"/>
    <w:rsid w:val="00B75AB0"/>
    <w:rsid w:val="00B75BC8"/>
    <w:rsid w:val="00B75BD5"/>
    <w:rsid w:val="00B75CD6"/>
    <w:rsid w:val="00B75CDC"/>
    <w:rsid w:val="00B75D11"/>
    <w:rsid w:val="00B75D54"/>
    <w:rsid w:val="00B75DA2"/>
    <w:rsid w:val="00B75DB8"/>
    <w:rsid w:val="00B75DBB"/>
    <w:rsid w:val="00B75E0E"/>
    <w:rsid w:val="00B75EDB"/>
    <w:rsid w:val="00B75F25"/>
    <w:rsid w:val="00B75F4D"/>
    <w:rsid w:val="00B75F5F"/>
    <w:rsid w:val="00B75F89"/>
    <w:rsid w:val="00B75F94"/>
    <w:rsid w:val="00B75FAA"/>
    <w:rsid w:val="00B75FF3"/>
    <w:rsid w:val="00B76045"/>
    <w:rsid w:val="00B76058"/>
    <w:rsid w:val="00B76060"/>
    <w:rsid w:val="00B7609B"/>
    <w:rsid w:val="00B76125"/>
    <w:rsid w:val="00B761BB"/>
    <w:rsid w:val="00B761D7"/>
    <w:rsid w:val="00B761F1"/>
    <w:rsid w:val="00B7622B"/>
    <w:rsid w:val="00B76241"/>
    <w:rsid w:val="00B7624E"/>
    <w:rsid w:val="00B76260"/>
    <w:rsid w:val="00B76271"/>
    <w:rsid w:val="00B762AF"/>
    <w:rsid w:val="00B762CE"/>
    <w:rsid w:val="00B76302"/>
    <w:rsid w:val="00B76344"/>
    <w:rsid w:val="00B76370"/>
    <w:rsid w:val="00B76379"/>
    <w:rsid w:val="00B763A4"/>
    <w:rsid w:val="00B76488"/>
    <w:rsid w:val="00B76511"/>
    <w:rsid w:val="00B76525"/>
    <w:rsid w:val="00B76549"/>
    <w:rsid w:val="00B7656C"/>
    <w:rsid w:val="00B7660A"/>
    <w:rsid w:val="00B76617"/>
    <w:rsid w:val="00B7661D"/>
    <w:rsid w:val="00B7662D"/>
    <w:rsid w:val="00B76651"/>
    <w:rsid w:val="00B76669"/>
    <w:rsid w:val="00B76676"/>
    <w:rsid w:val="00B766CC"/>
    <w:rsid w:val="00B766EA"/>
    <w:rsid w:val="00B76755"/>
    <w:rsid w:val="00B76774"/>
    <w:rsid w:val="00B76795"/>
    <w:rsid w:val="00B767B9"/>
    <w:rsid w:val="00B76811"/>
    <w:rsid w:val="00B76842"/>
    <w:rsid w:val="00B76856"/>
    <w:rsid w:val="00B768C0"/>
    <w:rsid w:val="00B768F7"/>
    <w:rsid w:val="00B76952"/>
    <w:rsid w:val="00B769C5"/>
    <w:rsid w:val="00B76A0D"/>
    <w:rsid w:val="00B76A1A"/>
    <w:rsid w:val="00B76A2B"/>
    <w:rsid w:val="00B76A4D"/>
    <w:rsid w:val="00B76B2D"/>
    <w:rsid w:val="00B76B9D"/>
    <w:rsid w:val="00B76C24"/>
    <w:rsid w:val="00B76C2B"/>
    <w:rsid w:val="00B76CD3"/>
    <w:rsid w:val="00B76CDA"/>
    <w:rsid w:val="00B76D18"/>
    <w:rsid w:val="00B76D9B"/>
    <w:rsid w:val="00B76DAF"/>
    <w:rsid w:val="00B76DEF"/>
    <w:rsid w:val="00B76DF4"/>
    <w:rsid w:val="00B76E13"/>
    <w:rsid w:val="00B76EC6"/>
    <w:rsid w:val="00B76ED7"/>
    <w:rsid w:val="00B76F2A"/>
    <w:rsid w:val="00B76F96"/>
    <w:rsid w:val="00B76F9D"/>
    <w:rsid w:val="00B76FB7"/>
    <w:rsid w:val="00B76FBD"/>
    <w:rsid w:val="00B77023"/>
    <w:rsid w:val="00B77118"/>
    <w:rsid w:val="00B7711A"/>
    <w:rsid w:val="00B7714B"/>
    <w:rsid w:val="00B771EA"/>
    <w:rsid w:val="00B771F0"/>
    <w:rsid w:val="00B7724C"/>
    <w:rsid w:val="00B772B2"/>
    <w:rsid w:val="00B772E0"/>
    <w:rsid w:val="00B772FD"/>
    <w:rsid w:val="00B7734D"/>
    <w:rsid w:val="00B77385"/>
    <w:rsid w:val="00B773C7"/>
    <w:rsid w:val="00B773F1"/>
    <w:rsid w:val="00B77419"/>
    <w:rsid w:val="00B77445"/>
    <w:rsid w:val="00B77491"/>
    <w:rsid w:val="00B774C9"/>
    <w:rsid w:val="00B77508"/>
    <w:rsid w:val="00B7753F"/>
    <w:rsid w:val="00B77554"/>
    <w:rsid w:val="00B77555"/>
    <w:rsid w:val="00B77572"/>
    <w:rsid w:val="00B7757D"/>
    <w:rsid w:val="00B77650"/>
    <w:rsid w:val="00B7768F"/>
    <w:rsid w:val="00B77724"/>
    <w:rsid w:val="00B77877"/>
    <w:rsid w:val="00B77880"/>
    <w:rsid w:val="00B778B2"/>
    <w:rsid w:val="00B778B9"/>
    <w:rsid w:val="00B778C7"/>
    <w:rsid w:val="00B77953"/>
    <w:rsid w:val="00B779AF"/>
    <w:rsid w:val="00B77A61"/>
    <w:rsid w:val="00B77A88"/>
    <w:rsid w:val="00B77B02"/>
    <w:rsid w:val="00B77B33"/>
    <w:rsid w:val="00B77B89"/>
    <w:rsid w:val="00B77B8E"/>
    <w:rsid w:val="00B77BA8"/>
    <w:rsid w:val="00B77BDC"/>
    <w:rsid w:val="00B77BFB"/>
    <w:rsid w:val="00B77C41"/>
    <w:rsid w:val="00B77C95"/>
    <w:rsid w:val="00B77CB9"/>
    <w:rsid w:val="00B77CBC"/>
    <w:rsid w:val="00B77CE3"/>
    <w:rsid w:val="00B77D10"/>
    <w:rsid w:val="00B77D2F"/>
    <w:rsid w:val="00B77D4B"/>
    <w:rsid w:val="00B77D63"/>
    <w:rsid w:val="00B77DFB"/>
    <w:rsid w:val="00B77E04"/>
    <w:rsid w:val="00B77EF0"/>
    <w:rsid w:val="00B77F12"/>
    <w:rsid w:val="00B77F20"/>
    <w:rsid w:val="00B77F43"/>
    <w:rsid w:val="00B77FC2"/>
    <w:rsid w:val="00B77FF5"/>
    <w:rsid w:val="00B77FFB"/>
    <w:rsid w:val="00B8009A"/>
    <w:rsid w:val="00B800C2"/>
    <w:rsid w:val="00B8012A"/>
    <w:rsid w:val="00B80164"/>
    <w:rsid w:val="00B801C8"/>
    <w:rsid w:val="00B801F1"/>
    <w:rsid w:val="00B80218"/>
    <w:rsid w:val="00B80219"/>
    <w:rsid w:val="00B8022E"/>
    <w:rsid w:val="00B802F5"/>
    <w:rsid w:val="00B80332"/>
    <w:rsid w:val="00B80367"/>
    <w:rsid w:val="00B803C1"/>
    <w:rsid w:val="00B80403"/>
    <w:rsid w:val="00B8043A"/>
    <w:rsid w:val="00B804C1"/>
    <w:rsid w:val="00B804C2"/>
    <w:rsid w:val="00B804DF"/>
    <w:rsid w:val="00B8055A"/>
    <w:rsid w:val="00B805B9"/>
    <w:rsid w:val="00B8062A"/>
    <w:rsid w:val="00B80639"/>
    <w:rsid w:val="00B806A5"/>
    <w:rsid w:val="00B80711"/>
    <w:rsid w:val="00B80715"/>
    <w:rsid w:val="00B80745"/>
    <w:rsid w:val="00B807E9"/>
    <w:rsid w:val="00B8093B"/>
    <w:rsid w:val="00B80966"/>
    <w:rsid w:val="00B8096C"/>
    <w:rsid w:val="00B809A2"/>
    <w:rsid w:val="00B809D8"/>
    <w:rsid w:val="00B809E0"/>
    <w:rsid w:val="00B80A05"/>
    <w:rsid w:val="00B80A4E"/>
    <w:rsid w:val="00B80A51"/>
    <w:rsid w:val="00B80A73"/>
    <w:rsid w:val="00B80A7F"/>
    <w:rsid w:val="00B80AE2"/>
    <w:rsid w:val="00B80B0A"/>
    <w:rsid w:val="00B80B17"/>
    <w:rsid w:val="00B80B21"/>
    <w:rsid w:val="00B80B5E"/>
    <w:rsid w:val="00B80B6B"/>
    <w:rsid w:val="00B80C43"/>
    <w:rsid w:val="00B80C95"/>
    <w:rsid w:val="00B80D15"/>
    <w:rsid w:val="00B80D1C"/>
    <w:rsid w:val="00B80D43"/>
    <w:rsid w:val="00B80D46"/>
    <w:rsid w:val="00B80D73"/>
    <w:rsid w:val="00B80D84"/>
    <w:rsid w:val="00B80D90"/>
    <w:rsid w:val="00B80D97"/>
    <w:rsid w:val="00B80D9C"/>
    <w:rsid w:val="00B80DE5"/>
    <w:rsid w:val="00B80DF6"/>
    <w:rsid w:val="00B80E2F"/>
    <w:rsid w:val="00B80E31"/>
    <w:rsid w:val="00B80E9A"/>
    <w:rsid w:val="00B80EAB"/>
    <w:rsid w:val="00B80EF5"/>
    <w:rsid w:val="00B80F9D"/>
    <w:rsid w:val="00B80FEE"/>
    <w:rsid w:val="00B8105C"/>
    <w:rsid w:val="00B810D9"/>
    <w:rsid w:val="00B810E1"/>
    <w:rsid w:val="00B81236"/>
    <w:rsid w:val="00B81252"/>
    <w:rsid w:val="00B812E3"/>
    <w:rsid w:val="00B812FB"/>
    <w:rsid w:val="00B81306"/>
    <w:rsid w:val="00B81332"/>
    <w:rsid w:val="00B81350"/>
    <w:rsid w:val="00B81383"/>
    <w:rsid w:val="00B81392"/>
    <w:rsid w:val="00B81423"/>
    <w:rsid w:val="00B8145C"/>
    <w:rsid w:val="00B81474"/>
    <w:rsid w:val="00B8149A"/>
    <w:rsid w:val="00B814FF"/>
    <w:rsid w:val="00B8153C"/>
    <w:rsid w:val="00B81559"/>
    <w:rsid w:val="00B8157D"/>
    <w:rsid w:val="00B815A4"/>
    <w:rsid w:val="00B815BC"/>
    <w:rsid w:val="00B81613"/>
    <w:rsid w:val="00B81625"/>
    <w:rsid w:val="00B81635"/>
    <w:rsid w:val="00B81664"/>
    <w:rsid w:val="00B81672"/>
    <w:rsid w:val="00B816C2"/>
    <w:rsid w:val="00B816E8"/>
    <w:rsid w:val="00B817D2"/>
    <w:rsid w:val="00B81836"/>
    <w:rsid w:val="00B81843"/>
    <w:rsid w:val="00B81875"/>
    <w:rsid w:val="00B81892"/>
    <w:rsid w:val="00B81947"/>
    <w:rsid w:val="00B8198E"/>
    <w:rsid w:val="00B819FA"/>
    <w:rsid w:val="00B81A3B"/>
    <w:rsid w:val="00B81A47"/>
    <w:rsid w:val="00B81A6D"/>
    <w:rsid w:val="00B81AE2"/>
    <w:rsid w:val="00B81B3F"/>
    <w:rsid w:val="00B81B46"/>
    <w:rsid w:val="00B81BAA"/>
    <w:rsid w:val="00B81C96"/>
    <w:rsid w:val="00B81D45"/>
    <w:rsid w:val="00B81D60"/>
    <w:rsid w:val="00B81D7C"/>
    <w:rsid w:val="00B81D7E"/>
    <w:rsid w:val="00B81D8F"/>
    <w:rsid w:val="00B81DC9"/>
    <w:rsid w:val="00B81E30"/>
    <w:rsid w:val="00B81E9C"/>
    <w:rsid w:val="00B81ED1"/>
    <w:rsid w:val="00B81F18"/>
    <w:rsid w:val="00B81FB2"/>
    <w:rsid w:val="00B82036"/>
    <w:rsid w:val="00B8212C"/>
    <w:rsid w:val="00B82141"/>
    <w:rsid w:val="00B82174"/>
    <w:rsid w:val="00B82195"/>
    <w:rsid w:val="00B821D3"/>
    <w:rsid w:val="00B8221D"/>
    <w:rsid w:val="00B82277"/>
    <w:rsid w:val="00B82278"/>
    <w:rsid w:val="00B8229D"/>
    <w:rsid w:val="00B82318"/>
    <w:rsid w:val="00B82321"/>
    <w:rsid w:val="00B82386"/>
    <w:rsid w:val="00B823C4"/>
    <w:rsid w:val="00B823E2"/>
    <w:rsid w:val="00B823EE"/>
    <w:rsid w:val="00B8240D"/>
    <w:rsid w:val="00B824A2"/>
    <w:rsid w:val="00B824CB"/>
    <w:rsid w:val="00B825BA"/>
    <w:rsid w:val="00B8260D"/>
    <w:rsid w:val="00B8266F"/>
    <w:rsid w:val="00B826B1"/>
    <w:rsid w:val="00B826F7"/>
    <w:rsid w:val="00B8274A"/>
    <w:rsid w:val="00B82761"/>
    <w:rsid w:val="00B82772"/>
    <w:rsid w:val="00B827C5"/>
    <w:rsid w:val="00B82805"/>
    <w:rsid w:val="00B828D6"/>
    <w:rsid w:val="00B828F0"/>
    <w:rsid w:val="00B82970"/>
    <w:rsid w:val="00B829A2"/>
    <w:rsid w:val="00B829FC"/>
    <w:rsid w:val="00B82A05"/>
    <w:rsid w:val="00B82B33"/>
    <w:rsid w:val="00B82BDC"/>
    <w:rsid w:val="00B82BEB"/>
    <w:rsid w:val="00B82BED"/>
    <w:rsid w:val="00B82C05"/>
    <w:rsid w:val="00B82C0C"/>
    <w:rsid w:val="00B82C59"/>
    <w:rsid w:val="00B82CA7"/>
    <w:rsid w:val="00B82CC2"/>
    <w:rsid w:val="00B82D51"/>
    <w:rsid w:val="00B82D70"/>
    <w:rsid w:val="00B82DC9"/>
    <w:rsid w:val="00B82DE3"/>
    <w:rsid w:val="00B82E63"/>
    <w:rsid w:val="00B82EB6"/>
    <w:rsid w:val="00B82F98"/>
    <w:rsid w:val="00B82FE9"/>
    <w:rsid w:val="00B8302F"/>
    <w:rsid w:val="00B83072"/>
    <w:rsid w:val="00B83081"/>
    <w:rsid w:val="00B830AC"/>
    <w:rsid w:val="00B830E9"/>
    <w:rsid w:val="00B830F6"/>
    <w:rsid w:val="00B83155"/>
    <w:rsid w:val="00B8319C"/>
    <w:rsid w:val="00B831D1"/>
    <w:rsid w:val="00B83224"/>
    <w:rsid w:val="00B8322E"/>
    <w:rsid w:val="00B832C1"/>
    <w:rsid w:val="00B83309"/>
    <w:rsid w:val="00B83327"/>
    <w:rsid w:val="00B8336D"/>
    <w:rsid w:val="00B83440"/>
    <w:rsid w:val="00B83441"/>
    <w:rsid w:val="00B834E9"/>
    <w:rsid w:val="00B835B6"/>
    <w:rsid w:val="00B83601"/>
    <w:rsid w:val="00B83650"/>
    <w:rsid w:val="00B8370E"/>
    <w:rsid w:val="00B83726"/>
    <w:rsid w:val="00B83732"/>
    <w:rsid w:val="00B83773"/>
    <w:rsid w:val="00B83788"/>
    <w:rsid w:val="00B837E0"/>
    <w:rsid w:val="00B83902"/>
    <w:rsid w:val="00B8393A"/>
    <w:rsid w:val="00B83957"/>
    <w:rsid w:val="00B8397B"/>
    <w:rsid w:val="00B83A07"/>
    <w:rsid w:val="00B83A10"/>
    <w:rsid w:val="00B83A1C"/>
    <w:rsid w:val="00B83A7E"/>
    <w:rsid w:val="00B83AB2"/>
    <w:rsid w:val="00B83BB0"/>
    <w:rsid w:val="00B83BDF"/>
    <w:rsid w:val="00B83C19"/>
    <w:rsid w:val="00B83C45"/>
    <w:rsid w:val="00B83C53"/>
    <w:rsid w:val="00B83CD1"/>
    <w:rsid w:val="00B83D3F"/>
    <w:rsid w:val="00B83D43"/>
    <w:rsid w:val="00B83D6C"/>
    <w:rsid w:val="00B83D9A"/>
    <w:rsid w:val="00B83E32"/>
    <w:rsid w:val="00B83E59"/>
    <w:rsid w:val="00B83ED0"/>
    <w:rsid w:val="00B83ED3"/>
    <w:rsid w:val="00B83EE5"/>
    <w:rsid w:val="00B83EFF"/>
    <w:rsid w:val="00B83F19"/>
    <w:rsid w:val="00B83F35"/>
    <w:rsid w:val="00B83F74"/>
    <w:rsid w:val="00B83F9F"/>
    <w:rsid w:val="00B84033"/>
    <w:rsid w:val="00B840E6"/>
    <w:rsid w:val="00B8413C"/>
    <w:rsid w:val="00B84196"/>
    <w:rsid w:val="00B841A8"/>
    <w:rsid w:val="00B841B9"/>
    <w:rsid w:val="00B841E2"/>
    <w:rsid w:val="00B8426F"/>
    <w:rsid w:val="00B84274"/>
    <w:rsid w:val="00B842AF"/>
    <w:rsid w:val="00B84305"/>
    <w:rsid w:val="00B84306"/>
    <w:rsid w:val="00B84381"/>
    <w:rsid w:val="00B843B7"/>
    <w:rsid w:val="00B8442A"/>
    <w:rsid w:val="00B84491"/>
    <w:rsid w:val="00B844BD"/>
    <w:rsid w:val="00B844E1"/>
    <w:rsid w:val="00B84527"/>
    <w:rsid w:val="00B84587"/>
    <w:rsid w:val="00B8459E"/>
    <w:rsid w:val="00B845C4"/>
    <w:rsid w:val="00B845E6"/>
    <w:rsid w:val="00B8467A"/>
    <w:rsid w:val="00B846A9"/>
    <w:rsid w:val="00B846AC"/>
    <w:rsid w:val="00B846DF"/>
    <w:rsid w:val="00B846F9"/>
    <w:rsid w:val="00B847ED"/>
    <w:rsid w:val="00B84855"/>
    <w:rsid w:val="00B8491A"/>
    <w:rsid w:val="00B84997"/>
    <w:rsid w:val="00B849A5"/>
    <w:rsid w:val="00B849C5"/>
    <w:rsid w:val="00B849D6"/>
    <w:rsid w:val="00B84AE6"/>
    <w:rsid w:val="00B84AE9"/>
    <w:rsid w:val="00B84B33"/>
    <w:rsid w:val="00B84B67"/>
    <w:rsid w:val="00B84C2D"/>
    <w:rsid w:val="00B84C73"/>
    <w:rsid w:val="00B84C78"/>
    <w:rsid w:val="00B84D9E"/>
    <w:rsid w:val="00B84DDB"/>
    <w:rsid w:val="00B84F45"/>
    <w:rsid w:val="00B84F72"/>
    <w:rsid w:val="00B84F88"/>
    <w:rsid w:val="00B84F89"/>
    <w:rsid w:val="00B84FA5"/>
    <w:rsid w:val="00B84FF2"/>
    <w:rsid w:val="00B8503F"/>
    <w:rsid w:val="00B85099"/>
    <w:rsid w:val="00B850ED"/>
    <w:rsid w:val="00B85100"/>
    <w:rsid w:val="00B8515F"/>
    <w:rsid w:val="00B85172"/>
    <w:rsid w:val="00B851D8"/>
    <w:rsid w:val="00B85247"/>
    <w:rsid w:val="00B85295"/>
    <w:rsid w:val="00B852B9"/>
    <w:rsid w:val="00B852E7"/>
    <w:rsid w:val="00B8531B"/>
    <w:rsid w:val="00B8534D"/>
    <w:rsid w:val="00B85380"/>
    <w:rsid w:val="00B85389"/>
    <w:rsid w:val="00B853B8"/>
    <w:rsid w:val="00B85450"/>
    <w:rsid w:val="00B85471"/>
    <w:rsid w:val="00B85525"/>
    <w:rsid w:val="00B85558"/>
    <w:rsid w:val="00B85591"/>
    <w:rsid w:val="00B855F7"/>
    <w:rsid w:val="00B8564A"/>
    <w:rsid w:val="00B8569B"/>
    <w:rsid w:val="00B8569C"/>
    <w:rsid w:val="00B856B5"/>
    <w:rsid w:val="00B856F8"/>
    <w:rsid w:val="00B8575A"/>
    <w:rsid w:val="00B85796"/>
    <w:rsid w:val="00B857AC"/>
    <w:rsid w:val="00B857C3"/>
    <w:rsid w:val="00B857CA"/>
    <w:rsid w:val="00B85835"/>
    <w:rsid w:val="00B8589E"/>
    <w:rsid w:val="00B858A5"/>
    <w:rsid w:val="00B858BE"/>
    <w:rsid w:val="00B85900"/>
    <w:rsid w:val="00B85913"/>
    <w:rsid w:val="00B859EB"/>
    <w:rsid w:val="00B85A39"/>
    <w:rsid w:val="00B85A80"/>
    <w:rsid w:val="00B85AE0"/>
    <w:rsid w:val="00B85AE3"/>
    <w:rsid w:val="00B85B69"/>
    <w:rsid w:val="00B85BA0"/>
    <w:rsid w:val="00B85BA6"/>
    <w:rsid w:val="00B85BD2"/>
    <w:rsid w:val="00B85BDE"/>
    <w:rsid w:val="00B85C61"/>
    <w:rsid w:val="00B85C7D"/>
    <w:rsid w:val="00B85CC6"/>
    <w:rsid w:val="00B85CD7"/>
    <w:rsid w:val="00B85E35"/>
    <w:rsid w:val="00B85ED6"/>
    <w:rsid w:val="00B85F3E"/>
    <w:rsid w:val="00B85F4E"/>
    <w:rsid w:val="00B85FDB"/>
    <w:rsid w:val="00B85FEF"/>
    <w:rsid w:val="00B8600C"/>
    <w:rsid w:val="00B8607E"/>
    <w:rsid w:val="00B8609C"/>
    <w:rsid w:val="00B860B3"/>
    <w:rsid w:val="00B860B4"/>
    <w:rsid w:val="00B860BA"/>
    <w:rsid w:val="00B860BC"/>
    <w:rsid w:val="00B860DB"/>
    <w:rsid w:val="00B86133"/>
    <w:rsid w:val="00B86175"/>
    <w:rsid w:val="00B8618C"/>
    <w:rsid w:val="00B861A1"/>
    <w:rsid w:val="00B861A7"/>
    <w:rsid w:val="00B861E5"/>
    <w:rsid w:val="00B861E9"/>
    <w:rsid w:val="00B862EA"/>
    <w:rsid w:val="00B863BF"/>
    <w:rsid w:val="00B863D8"/>
    <w:rsid w:val="00B863DF"/>
    <w:rsid w:val="00B8642D"/>
    <w:rsid w:val="00B864A2"/>
    <w:rsid w:val="00B864D9"/>
    <w:rsid w:val="00B8651F"/>
    <w:rsid w:val="00B86565"/>
    <w:rsid w:val="00B86574"/>
    <w:rsid w:val="00B86592"/>
    <w:rsid w:val="00B86598"/>
    <w:rsid w:val="00B8659B"/>
    <w:rsid w:val="00B8663F"/>
    <w:rsid w:val="00B86688"/>
    <w:rsid w:val="00B866A4"/>
    <w:rsid w:val="00B8674B"/>
    <w:rsid w:val="00B867CC"/>
    <w:rsid w:val="00B86885"/>
    <w:rsid w:val="00B868A2"/>
    <w:rsid w:val="00B868B2"/>
    <w:rsid w:val="00B8693D"/>
    <w:rsid w:val="00B8698E"/>
    <w:rsid w:val="00B86A04"/>
    <w:rsid w:val="00B86A32"/>
    <w:rsid w:val="00B86ABC"/>
    <w:rsid w:val="00B86BA9"/>
    <w:rsid w:val="00B86BB3"/>
    <w:rsid w:val="00B86BE4"/>
    <w:rsid w:val="00B86C19"/>
    <w:rsid w:val="00B86C21"/>
    <w:rsid w:val="00B86C2C"/>
    <w:rsid w:val="00B86C3A"/>
    <w:rsid w:val="00B86CA8"/>
    <w:rsid w:val="00B86CB9"/>
    <w:rsid w:val="00B86D2B"/>
    <w:rsid w:val="00B86D48"/>
    <w:rsid w:val="00B86D66"/>
    <w:rsid w:val="00B86DC8"/>
    <w:rsid w:val="00B86DF6"/>
    <w:rsid w:val="00B86DF7"/>
    <w:rsid w:val="00B86EC4"/>
    <w:rsid w:val="00B86F3F"/>
    <w:rsid w:val="00B86FC5"/>
    <w:rsid w:val="00B86FE9"/>
    <w:rsid w:val="00B87052"/>
    <w:rsid w:val="00B8705D"/>
    <w:rsid w:val="00B8711B"/>
    <w:rsid w:val="00B87191"/>
    <w:rsid w:val="00B871C0"/>
    <w:rsid w:val="00B871C7"/>
    <w:rsid w:val="00B871DC"/>
    <w:rsid w:val="00B87257"/>
    <w:rsid w:val="00B87296"/>
    <w:rsid w:val="00B872BD"/>
    <w:rsid w:val="00B872C1"/>
    <w:rsid w:val="00B872C5"/>
    <w:rsid w:val="00B872E8"/>
    <w:rsid w:val="00B87320"/>
    <w:rsid w:val="00B87507"/>
    <w:rsid w:val="00B8753A"/>
    <w:rsid w:val="00B8757D"/>
    <w:rsid w:val="00B87592"/>
    <w:rsid w:val="00B87596"/>
    <w:rsid w:val="00B875D5"/>
    <w:rsid w:val="00B875E2"/>
    <w:rsid w:val="00B87606"/>
    <w:rsid w:val="00B87629"/>
    <w:rsid w:val="00B8768A"/>
    <w:rsid w:val="00B876D0"/>
    <w:rsid w:val="00B87744"/>
    <w:rsid w:val="00B87779"/>
    <w:rsid w:val="00B87785"/>
    <w:rsid w:val="00B87836"/>
    <w:rsid w:val="00B8788C"/>
    <w:rsid w:val="00B878D9"/>
    <w:rsid w:val="00B878E8"/>
    <w:rsid w:val="00B878EF"/>
    <w:rsid w:val="00B87906"/>
    <w:rsid w:val="00B87980"/>
    <w:rsid w:val="00B879A9"/>
    <w:rsid w:val="00B87A17"/>
    <w:rsid w:val="00B87A22"/>
    <w:rsid w:val="00B87A46"/>
    <w:rsid w:val="00B87A62"/>
    <w:rsid w:val="00B87AC2"/>
    <w:rsid w:val="00B87AD2"/>
    <w:rsid w:val="00B87BD4"/>
    <w:rsid w:val="00B87BE5"/>
    <w:rsid w:val="00B87C39"/>
    <w:rsid w:val="00B87C8D"/>
    <w:rsid w:val="00B87CDB"/>
    <w:rsid w:val="00B87CF2"/>
    <w:rsid w:val="00B87D30"/>
    <w:rsid w:val="00B87D89"/>
    <w:rsid w:val="00B87DC8"/>
    <w:rsid w:val="00B87E04"/>
    <w:rsid w:val="00B87E26"/>
    <w:rsid w:val="00B87E44"/>
    <w:rsid w:val="00B87E64"/>
    <w:rsid w:val="00B87E82"/>
    <w:rsid w:val="00B87E90"/>
    <w:rsid w:val="00B87F0A"/>
    <w:rsid w:val="00B87F81"/>
    <w:rsid w:val="00B87FA5"/>
    <w:rsid w:val="00B87FDF"/>
    <w:rsid w:val="00B90051"/>
    <w:rsid w:val="00B9009B"/>
    <w:rsid w:val="00B90117"/>
    <w:rsid w:val="00B90119"/>
    <w:rsid w:val="00B901F7"/>
    <w:rsid w:val="00B901FD"/>
    <w:rsid w:val="00B90206"/>
    <w:rsid w:val="00B90217"/>
    <w:rsid w:val="00B90256"/>
    <w:rsid w:val="00B9025D"/>
    <w:rsid w:val="00B902C1"/>
    <w:rsid w:val="00B902CD"/>
    <w:rsid w:val="00B90307"/>
    <w:rsid w:val="00B9030B"/>
    <w:rsid w:val="00B9037C"/>
    <w:rsid w:val="00B903B0"/>
    <w:rsid w:val="00B9041A"/>
    <w:rsid w:val="00B90423"/>
    <w:rsid w:val="00B9049E"/>
    <w:rsid w:val="00B9056F"/>
    <w:rsid w:val="00B9058F"/>
    <w:rsid w:val="00B90626"/>
    <w:rsid w:val="00B90655"/>
    <w:rsid w:val="00B90676"/>
    <w:rsid w:val="00B9068C"/>
    <w:rsid w:val="00B906A3"/>
    <w:rsid w:val="00B906B9"/>
    <w:rsid w:val="00B90717"/>
    <w:rsid w:val="00B907CE"/>
    <w:rsid w:val="00B90804"/>
    <w:rsid w:val="00B90873"/>
    <w:rsid w:val="00B908C3"/>
    <w:rsid w:val="00B90910"/>
    <w:rsid w:val="00B90925"/>
    <w:rsid w:val="00B909B3"/>
    <w:rsid w:val="00B909D3"/>
    <w:rsid w:val="00B90A5D"/>
    <w:rsid w:val="00B90A84"/>
    <w:rsid w:val="00B90A8B"/>
    <w:rsid w:val="00B90AC2"/>
    <w:rsid w:val="00B90B22"/>
    <w:rsid w:val="00B90B26"/>
    <w:rsid w:val="00B90B34"/>
    <w:rsid w:val="00B90B3E"/>
    <w:rsid w:val="00B90CC5"/>
    <w:rsid w:val="00B90CD7"/>
    <w:rsid w:val="00B90D0F"/>
    <w:rsid w:val="00B90D83"/>
    <w:rsid w:val="00B90D9D"/>
    <w:rsid w:val="00B90DAA"/>
    <w:rsid w:val="00B90DD3"/>
    <w:rsid w:val="00B90DD5"/>
    <w:rsid w:val="00B90E39"/>
    <w:rsid w:val="00B90E60"/>
    <w:rsid w:val="00B90E68"/>
    <w:rsid w:val="00B90EC1"/>
    <w:rsid w:val="00B90EE1"/>
    <w:rsid w:val="00B90EF6"/>
    <w:rsid w:val="00B90F7C"/>
    <w:rsid w:val="00B91006"/>
    <w:rsid w:val="00B91031"/>
    <w:rsid w:val="00B9109A"/>
    <w:rsid w:val="00B91107"/>
    <w:rsid w:val="00B9117C"/>
    <w:rsid w:val="00B91190"/>
    <w:rsid w:val="00B911A0"/>
    <w:rsid w:val="00B911DD"/>
    <w:rsid w:val="00B911EB"/>
    <w:rsid w:val="00B91208"/>
    <w:rsid w:val="00B9120A"/>
    <w:rsid w:val="00B91222"/>
    <w:rsid w:val="00B91247"/>
    <w:rsid w:val="00B9126F"/>
    <w:rsid w:val="00B912C8"/>
    <w:rsid w:val="00B912D8"/>
    <w:rsid w:val="00B913B0"/>
    <w:rsid w:val="00B913FB"/>
    <w:rsid w:val="00B9145B"/>
    <w:rsid w:val="00B9146C"/>
    <w:rsid w:val="00B9148F"/>
    <w:rsid w:val="00B914F3"/>
    <w:rsid w:val="00B9154D"/>
    <w:rsid w:val="00B91550"/>
    <w:rsid w:val="00B91569"/>
    <w:rsid w:val="00B91582"/>
    <w:rsid w:val="00B9159C"/>
    <w:rsid w:val="00B915A3"/>
    <w:rsid w:val="00B915EE"/>
    <w:rsid w:val="00B91627"/>
    <w:rsid w:val="00B91638"/>
    <w:rsid w:val="00B916B9"/>
    <w:rsid w:val="00B916D6"/>
    <w:rsid w:val="00B91706"/>
    <w:rsid w:val="00B91728"/>
    <w:rsid w:val="00B91762"/>
    <w:rsid w:val="00B91788"/>
    <w:rsid w:val="00B917EA"/>
    <w:rsid w:val="00B9183F"/>
    <w:rsid w:val="00B91855"/>
    <w:rsid w:val="00B91869"/>
    <w:rsid w:val="00B919A9"/>
    <w:rsid w:val="00B91A37"/>
    <w:rsid w:val="00B91A5F"/>
    <w:rsid w:val="00B91A6A"/>
    <w:rsid w:val="00B91A7D"/>
    <w:rsid w:val="00B91A85"/>
    <w:rsid w:val="00B91A8A"/>
    <w:rsid w:val="00B91AC8"/>
    <w:rsid w:val="00B91ACB"/>
    <w:rsid w:val="00B91BFA"/>
    <w:rsid w:val="00B91C18"/>
    <w:rsid w:val="00B91C91"/>
    <w:rsid w:val="00B91CEF"/>
    <w:rsid w:val="00B91CF5"/>
    <w:rsid w:val="00B91CF7"/>
    <w:rsid w:val="00B91D84"/>
    <w:rsid w:val="00B91D9B"/>
    <w:rsid w:val="00B91DD3"/>
    <w:rsid w:val="00B91E1A"/>
    <w:rsid w:val="00B91E39"/>
    <w:rsid w:val="00B91E42"/>
    <w:rsid w:val="00B91E82"/>
    <w:rsid w:val="00B91E9B"/>
    <w:rsid w:val="00B91ED1"/>
    <w:rsid w:val="00B91ED8"/>
    <w:rsid w:val="00B91F03"/>
    <w:rsid w:val="00B91F18"/>
    <w:rsid w:val="00B91F6F"/>
    <w:rsid w:val="00B91FC1"/>
    <w:rsid w:val="00B920D1"/>
    <w:rsid w:val="00B920D3"/>
    <w:rsid w:val="00B920E1"/>
    <w:rsid w:val="00B920ED"/>
    <w:rsid w:val="00B921A6"/>
    <w:rsid w:val="00B921B1"/>
    <w:rsid w:val="00B921D6"/>
    <w:rsid w:val="00B92232"/>
    <w:rsid w:val="00B922B6"/>
    <w:rsid w:val="00B922DE"/>
    <w:rsid w:val="00B923AD"/>
    <w:rsid w:val="00B923DB"/>
    <w:rsid w:val="00B92486"/>
    <w:rsid w:val="00B924AA"/>
    <w:rsid w:val="00B924FF"/>
    <w:rsid w:val="00B92508"/>
    <w:rsid w:val="00B92518"/>
    <w:rsid w:val="00B9259A"/>
    <w:rsid w:val="00B925D5"/>
    <w:rsid w:val="00B925E4"/>
    <w:rsid w:val="00B92620"/>
    <w:rsid w:val="00B92622"/>
    <w:rsid w:val="00B9264C"/>
    <w:rsid w:val="00B92654"/>
    <w:rsid w:val="00B92692"/>
    <w:rsid w:val="00B9272E"/>
    <w:rsid w:val="00B92734"/>
    <w:rsid w:val="00B9277A"/>
    <w:rsid w:val="00B92786"/>
    <w:rsid w:val="00B9278A"/>
    <w:rsid w:val="00B92818"/>
    <w:rsid w:val="00B9285D"/>
    <w:rsid w:val="00B92866"/>
    <w:rsid w:val="00B928BA"/>
    <w:rsid w:val="00B928D5"/>
    <w:rsid w:val="00B9298C"/>
    <w:rsid w:val="00B92999"/>
    <w:rsid w:val="00B929BA"/>
    <w:rsid w:val="00B92A85"/>
    <w:rsid w:val="00B92AB3"/>
    <w:rsid w:val="00B92B0F"/>
    <w:rsid w:val="00B92B72"/>
    <w:rsid w:val="00B92BA1"/>
    <w:rsid w:val="00B92C76"/>
    <w:rsid w:val="00B92C92"/>
    <w:rsid w:val="00B92CB3"/>
    <w:rsid w:val="00B92CBC"/>
    <w:rsid w:val="00B92D69"/>
    <w:rsid w:val="00B92D88"/>
    <w:rsid w:val="00B92E1C"/>
    <w:rsid w:val="00B92E3F"/>
    <w:rsid w:val="00B92E8D"/>
    <w:rsid w:val="00B92E96"/>
    <w:rsid w:val="00B92FEB"/>
    <w:rsid w:val="00B93008"/>
    <w:rsid w:val="00B9305F"/>
    <w:rsid w:val="00B93095"/>
    <w:rsid w:val="00B9317F"/>
    <w:rsid w:val="00B9319A"/>
    <w:rsid w:val="00B931AA"/>
    <w:rsid w:val="00B93249"/>
    <w:rsid w:val="00B93331"/>
    <w:rsid w:val="00B933C5"/>
    <w:rsid w:val="00B933E4"/>
    <w:rsid w:val="00B93467"/>
    <w:rsid w:val="00B9347C"/>
    <w:rsid w:val="00B935C9"/>
    <w:rsid w:val="00B935F2"/>
    <w:rsid w:val="00B935FE"/>
    <w:rsid w:val="00B93600"/>
    <w:rsid w:val="00B93621"/>
    <w:rsid w:val="00B93629"/>
    <w:rsid w:val="00B9364C"/>
    <w:rsid w:val="00B9365C"/>
    <w:rsid w:val="00B936A9"/>
    <w:rsid w:val="00B936B7"/>
    <w:rsid w:val="00B936B8"/>
    <w:rsid w:val="00B936C5"/>
    <w:rsid w:val="00B936E4"/>
    <w:rsid w:val="00B93815"/>
    <w:rsid w:val="00B9385C"/>
    <w:rsid w:val="00B93881"/>
    <w:rsid w:val="00B9389E"/>
    <w:rsid w:val="00B938AB"/>
    <w:rsid w:val="00B938D4"/>
    <w:rsid w:val="00B939BF"/>
    <w:rsid w:val="00B939C3"/>
    <w:rsid w:val="00B939E5"/>
    <w:rsid w:val="00B939FB"/>
    <w:rsid w:val="00B93A23"/>
    <w:rsid w:val="00B93A26"/>
    <w:rsid w:val="00B93AC4"/>
    <w:rsid w:val="00B93B15"/>
    <w:rsid w:val="00B93B2F"/>
    <w:rsid w:val="00B93B30"/>
    <w:rsid w:val="00B93B34"/>
    <w:rsid w:val="00B93B49"/>
    <w:rsid w:val="00B93B86"/>
    <w:rsid w:val="00B93BC4"/>
    <w:rsid w:val="00B93BF0"/>
    <w:rsid w:val="00B93BFD"/>
    <w:rsid w:val="00B93C30"/>
    <w:rsid w:val="00B93CA2"/>
    <w:rsid w:val="00B93CAA"/>
    <w:rsid w:val="00B93CD4"/>
    <w:rsid w:val="00B93D1B"/>
    <w:rsid w:val="00B93D3A"/>
    <w:rsid w:val="00B93D7D"/>
    <w:rsid w:val="00B93D9D"/>
    <w:rsid w:val="00B93E0E"/>
    <w:rsid w:val="00B93E26"/>
    <w:rsid w:val="00B93E52"/>
    <w:rsid w:val="00B93E8B"/>
    <w:rsid w:val="00B93E9D"/>
    <w:rsid w:val="00B93F0B"/>
    <w:rsid w:val="00B93F26"/>
    <w:rsid w:val="00B93FC8"/>
    <w:rsid w:val="00B93FCC"/>
    <w:rsid w:val="00B94004"/>
    <w:rsid w:val="00B94022"/>
    <w:rsid w:val="00B9402E"/>
    <w:rsid w:val="00B9403E"/>
    <w:rsid w:val="00B94052"/>
    <w:rsid w:val="00B9409D"/>
    <w:rsid w:val="00B94114"/>
    <w:rsid w:val="00B9411F"/>
    <w:rsid w:val="00B9412F"/>
    <w:rsid w:val="00B94131"/>
    <w:rsid w:val="00B94136"/>
    <w:rsid w:val="00B94166"/>
    <w:rsid w:val="00B94185"/>
    <w:rsid w:val="00B941AC"/>
    <w:rsid w:val="00B941ED"/>
    <w:rsid w:val="00B94271"/>
    <w:rsid w:val="00B9428B"/>
    <w:rsid w:val="00B94292"/>
    <w:rsid w:val="00B942F7"/>
    <w:rsid w:val="00B94322"/>
    <w:rsid w:val="00B94390"/>
    <w:rsid w:val="00B94399"/>
    <w:rsid w:val="00B94434"/>
    <w:rsid w:val="00B9449C"/>
    <w:rsid w:val="00B94557"/>
    <w:rsid w:val="00B945A0"/>
    <w:rsid w:val="00B945C7"/>
    <w:rsid w:val="00B945E7"/>
    <w:rsid w:val="00B945F7"/>
    <w:rsid w:val="00B94608"/>
    <w:rsid w:val="00B9467A"/>
    <w:rsid w:val="00B9467C"/>
    <w:rsid w:val="00B946B7"/>
    <w:rsid w:val="00B946C8"/>
    <w:rsid w:val="00B9471A"/>
    <w:rsid w:val="00B9475A"/>
    <w:rsid w:val="00B9475E"/>
    <w:rsid w:val="00B947C5"/>
    <w:rsid w:val="00B947D9"/>
    <w:rsid w:val="00B9481C"/>
    <w:rsid w:val="00B9487E"/>
    <w:rsid w:val="00B94883"/>
    <w:rsid w:val="00B948AB"/>
    <w:rsid w:val="00B948B3"/>
    <w:rsid w:val="00B948C3"/>
    <w:rsid w:val="00B94921"/>
    <w:rsid w:val="00B94941"/>
    <w:rsid w:val="00B9498E"/>
    <w:rsid w:val="00B94997"/>
    <w:rsid w:val="00B94999"/>
    <w:rsid w:val="00B949E6"/>
    <w:rsid w:val="00B94A04"/>
    <w:rsid w:val="00B94A05"/>
    <w:rsid w:val="00B94A13"/>
    <w:rsid w:val="00B94AA8"/>
    <w:rsid w:val="00B94AB4"/>
    <w:rsid w:val="00B94B23"/>
    <w:rsid w:val="00B94B32"/>
    <w:rsid w:val="00B94B9C"/>
    <w:rsid w:val="00B94BC6"/>
    <w:rsid w:val="00B94C5B"/>
    <w:rsid w:val="00B94C82"/>
    <w:rsid w:val="00B94C88"/>
    <w:rsid w:val="00B94CBD"/>
    <w:rsid w:val="00B94D13"/>
    <w:rsid w:val="00B94D56"/>
    <w:rsid w:val="00B94D82"/>
    <w:rsid w:val="00B94DD4"/>
    <w:rsid w:val="00B94DE4"/>
    <w:rsid w:val="00B94EB9"/>
    <w:rsid w:val="00B94F21"/>
    <w:rsid w:val="00B94F4B"/>
    <w:rsid w:val="00B94F4D"/>
    <w:rsid w:val="00B94F6D"/>
    <w:rsid w:val="00B94FA9"/>
    <w:rsid w:val="00B94FE8"/>
    <w:rsid w:val="00B94FEB"/>
    <w:rsid w:val="00B950EA"/>
    <w:rsid w:val="00B950F7"/>
    <w:rsid w:val="00B951B4"/>
    <w:rsid w:val="00B951BF"/>
    <w:rsid w:val="00B951E9"/>
    <w:rsid w:val="00B951FF"/>
    <w:rsid w:val="00B95210"/>
    <w:rsid w:val="00B952DE"/>
    <w:rsid w:val="00B9537F"/>
    <w:rsid w:val="00B953C9"/>
    <w:rsid w:val="00B954B1"/>
    <w:rsid w:val="00B954B7"/>
    <w:rsid w:val="00B954E3"/>
    <w:rsid w:val="00B9551D"/>
    <w:rsid w:val="00B9553C"/>
    <w:rsid w:val="00B95570"/>
    <w:rsid w:val="00B95579"/>
    <w:rsid w:val="00B955AA"/>
    <w:rsid w:val="00B955F4"/>
    <w:rsid w:val="00B95606"/>
    <w:rsid w:val="00B9568E"/>
    <w:rsid w:val="00B956B1"/>
    <w:rsid w:val="00B956C4"/>
    <w:rsid w:val="00B95705"/>
    <w:rsid w:val="00B9575F"/>
    <w:rsid w:val="00B95770"/>
    <w:rsid w:val="00B95781"/>
    <w:rsid w:val="00B95880"/>
    <w:rsid w:val="00B95890"/>
    <w:rsid w:val="00B958EA"/>
    <w:rsid w:val="00B95976"/>
    <w:rsid w:val="00B95979"/>
    <w:rsid w:val="00B9598A"/>
    <w:rsid w:val="00B95990"/>
    <w:rsid w:val="00B959A7"/>
    <w:rsid w:val="00B959E1"/>
    <w:rsid w:val="00B95A23"/>
    <w:rsid w:val="00B95A3E"/>
    <w:rsid w:val="00B95A98"/>
    <w:rsid w:val="00B95ACB"/>
    <w:rsid w:val="00B95ACC"/>
    <w:rsid w:val="00B95AD9"/>
    <w:rsid w:val="00B95BBE"/>
    <w:rsid w:val="00B95C39"/>
    <w:rsid w:val="00B95C44"/>
    <w:rsid w:val="00B95CC3"/>
    <w:rsid w:val="00B95D0C"/>
    <w:rsid w:val="00B95D29"/>
    <w:rsid w:val="00B95DFC"/>
    <w:rsid w:val="00B95E00"/>
    <w:rsid w:val="00B95E02"/>
    <w:rsid w:val="00B95E07"/>
    <w:rsid w:val="00B95E78"/>
    <w:rsid w:val="00B95EBF"/>
    <w:rsid w:val="00B95EE4"/>
    <w:rsid w:val="00B95F0A"/>
    <w:rsid w:val="00B95F56"/>
    <w:rsid w:val="00B95F8E"/>
    <w:rsid w:val="00B95FAA"/>
    <w:rsid w:val="00B96059"/>
    <w:rsid w:val="00B96101"/>
    <w:rsid w:val="00B96116"/>
    <w:rsid w:val="00B96168"/>
    <w:rsid w:val="00B9617C"/>
    <w:rsid w:val="00B961C6"/>
    <w:rsid w:val="00B961FB"/>
    <w:rsid w:val="00B96255"/>
    <w:rsid w:val="00B9629A"/>
    <w:rsid w:val="00B962AE"/>
    <w:rsid w:val="00B96369"/>
    <w:rsid w:val="00B9636A"/>
    <w:rsid w:val="00B9637C"/>
    <w:rsid w:val="00B96395"/>
    <w:rsid w:val="00B963D5"/>
    <w:rsid w:val="00B96458"/>
    <w:rsid w:val="00B9651D"/>
    <w:rsid w:val="00B965A0"/>
    <w:rsid w:val="00B96607"/>
    <w:rsid w:val="00B96614"/>
    <w:rsid w:val="00B96626"/>
    <w:rsid w:val="00B9665F"/>
    <w:rsid w:val="00B966AD"/>
    <w:rsid w:val="00B966CF"/>
    <w:rsid w:val="00B966D6"/>
    <w:rsid w:val="00B96744"/>
    <w:rsid w:val="00B9674C"/>
    <w:rsid w:val="00B9677B"/>
    <w:rsid w:val="00B967A7"/>
    <w:rsid w:val="00B967CA"/>
    <w:rsid w:val="00B96801"/>
    <w:rsid w:val="00B96807"/>
    <w:rsid w:val="00B9688A"/>
    <w:rsid w:val="00B968DA"/>
    <w:rsid w:val="00B96907"/>
    <w:rsid w:val="00B9698A"/>
    <w:rsid w:val="00B969BF"/>
    <w:rsid w:val="00B969CD"/>
    <w:rsid w:val="00B969F9"/>
    <w:rsid w:val="00B96A01"/>
    <w:rsid w:val="00B96A94"/>
    <w:rsid w:val="00B96AA7"/>
    <w:rsid w:val="00B96AD0"/>
    <w:rsid w:val="00B96B4E"/>
    <w:rsid w:val="00B96B81"/>
    <w:rsid w:val="00B96BAB"/>
    <w:rsid w:val="00B96C10"/>
    <w:rsid w:val="00B96C42"/>
    <w:rsid w:val="00B96C6D"/>
    <w:rsid w:val="00B96C86"/>
    <w:rsid w:val="00B96C8B"/>
    <w:rsid w:val="00B96CA0"/>
    <w:rsid w:val="00B96D0E"/>
    <w:rsid w:val="00B96D3C"/>
    <w:rsid w:val="00B96D4D"/>
    <w:rsid w:val="00B96D55"/>
    <w:rsid w:val="00B96D72"/>
    <w:rsid w:val="00B96D77"/>
    <w:rsid w:val="00B96D96"/>
    <w:rsid w:val="00B96DBF"/>
    <w:rsid w:val="00B96DC4"/>
    <w:rsid w:val="00B96DC6"/>
    <w:rsid w:val="00B96F57"/>
    <w:rsid w:val="00B96FAE"/>
    <w:rsid w:val="00B96FBB"/>
    <w:rsid w:val="00B96FD9"/>
    <w:rsid w:val="00B97044"/>
    <w:rsid w:val="00B9705B"/>
    <w:rsid w:val="00B97078"/>
    <w:rsid w:val="00B9708F"/>
    <w:rsid w:val="00B970A5"/>
    <w:rsid w:val="00B970B8"/>
    <w:rsid w:val="00B970D4"/>
    <w:rsid w:val="00B970EA"/>
    <w:rsid w:val="00B970EC"/>
    <w:rsid w:val="00B97143"/>
    <w:rsid w:val="00B97192"/>
    <w:rsid w:val="00B971B0"/>
    <w:rsid w:val="00B97229"/>
    <w:rsid w:val="00B97233"/>
    <w:rsid w:val="00B97247"/>
    <w:rsid w:val="00B97297"/>
    <w:rsid w:val="00B97366"/>
    <w:rsid w:val="00B9736E"/>
    <w:rsid w:val="00B97373"/>
    <w:rsid w:val="00B97398"/>
    <w:rsid w:val="00B973DC"/>
    <w:rsid w:val="00B9740F"/>
    <w:rsid w:val="00B9741D"/>
    <w:rsid w:val="00B97469"/>
    <w:rsid w:val="00B9748B"/>
    <w:rsid w:val="00B974BC"/>
    <w:rsid w:val="00B975B2"/>
    <w:rsid w:val="00B975F2"/>
    <w:rsid w:val="00B97654"/>
    <w:rsid w:val="00B97655"/>
    <w:rsid w:val="00B9776A"/>
    <w:rsid w:val="00B9777E"/>
    <w:rsid w:val="00B977CA"/>
    <w:rsid w:val="00B97809"/>
    <w:rsid w:val="00B97833"/>
    <w:rsid w:val="00B97858"/>
    <w:rsid w:val="00B978AB"/>
    <w:rsid w:val="00B978CA"/>
    <w:rsid w:val="00B9790F"/>
    <w:rsid w:val="00B97954"/>
    <w:rsid w:val="00B97976"/>
    <w:rsid w:val="00B97997"/>
    <w:rsid w:val="00B979EE"/>
    <w:rsid w:val="00B97A50"/>
    <w:rsid w:val="00B97A54"/>
    <w:rsid w:val="00B97A70"/>
    <w:rsid w:val="00B97AB2"/>
    <w:rsid w:val="00B97AE7"/>
    <w:rsid w:val="00B97B21"/>
    <w:rsid w:val="00B97B43"/>
    <w:rsid w:val="00B97B4D"/>
    <w:rsid w:val="00B97BA6"/>
    <w:rsid w:val="00B97BED"/>
    <w:rsid w:val="00B97C19"/>
    <w:rsid w:val="00B97C68"/>
    <w:rsid w:val="00B97CC6"/>
    <w:rsid w:val="00B97CD4"/>
    <w:rsid w:val="00B97CDF"/>
    <w:rsid w:val="00B97D26"/>
    <w:rsid w:val="00B97D56"/>
    <w:rsid w:val="00B97D64"/>
    <w:rsid w:val="00B97D71"/>
    <w:rsid w:val="00B97D93"/>
    <w:rsid w:val="00B97DC3"/>
    <w:rsid w:val="00B97E1D"/>
    <w:rsid w:val="00B97E20"/>
    <w:rsid w:val="00B97E6B"/>
    <w:rsid w:val="00B97EFC"/>
    <w:rsid w:val="00B97F16"/>
    <w:rsid w:val="00B97F2A"/>
    <w:rsid w:val="00B97F34"/>
    <w:rsid w:val="00B97F39"/>
    <w:rsid w:val="00B97FB1"/>
    <w:rsid w:val="00B97FD2"/>
    <w:rsid w:val="00BA00BF"/>
    <w:rsid w:val="00BA0151"/>
    <w:rsid w:val="00BA01A6"/>
    <w:rsid w:val="00BA01C5"/>
    <w:rsid w:val="00BA023B"/>
    <w:rsid w:val="00BA0272"/>
    <w:rsid w:val="00BA030F"/>
    <w:rsid w:val="00BA0393"/>
    <w:rsid w:val="00BA043C"/>
    <w:rsid w:val="00BA050F"/>
    <w:rsid w:val="00BA0543"/>
    <w:rsid w:val="00BA0591"/>
    <w:rsid w:val="00BA05A0"/>
    <w:rsid w:val="00BA06AF"/>
    <w:rsid w:val="00BA06D0"/>
    <w:rsid w:val="00BA06FD"/>
    <w:rsid w:val="00BA0700"/>
    <w:rsid w:val="00BA0741"/>
    <w:rsid w:val="00BA07A8"/>
    <w:rsid w:val="00BA07CB"/>
    <w:rsid w:val="00BA0801"/>
    <w:rsid w:val="00BA0829"/>
    <w:rsid w:val="00BA0832"/>
    <w:rsid w:val="00BA092B"/>
    <w:rsid w:val="00BA092E"/>
    <w:rsid w:val="00BA0936"/>
    <w:rsid w:val="00BA0960"/>
    <w:rsid w:val="00BA096C"/>
    <w:rsid w:val="00BA0990"/>
    <w:rsid w:val="00BA09A8"/>
    <w:rsid w:val="00BA09AF"/>
    <w:rsid w:val="00BA0A04"/>
    <w:rsid w:val="00BA0AA2"/>
    <w:rsid w:val="00BA0ABD"/>
    <w:rsid w:val="00BA0AFA"/>
    <w:rsid w:val="00BA0B20"/>
    <w:rsid w:val="00BA0B24"/>
    <w:rsid w:val="00BA0B7C"/>
    <w:rsid w:val="00BA0B9D"/>
    <w:rsid w:val="00BA0BB3"/>
    <w:rsid w:val="00BA0BB4"/>
    <w:rsid w:val="00BA0BDB"/>
    <w:rsid w:val="00BA0BED"/>
    <w:rsid w:val="00BA0C17"/>
    <w:rsid w:val="00BA0CDB"/>
    <w:rsid w:val="00BA0D7F"/>
    <w:rsid w:val="00BA0DB4"/>
    <w:rsid w:val="00BA0DC6"/>
    <w:rsid w:val="00BA0DDC"/>
    <w:rsid w:val="00BA0E2D"/>
    <w:rsid w:val="00BA0E4E"/>
    <w:rsid w:val="00BA0EE1"/>
    <w:rsid w:val="00BA0EF5"/>
    <w:rsid w:val="00BA0F12"/>
    <w:rsid w:val="00BA0F1F"/>
    <w:rsid w:val="00BA0F24"/>
    <w:rsid w:val="00BA0F41"/>
    <w:rsid w:val="00BA0F42"/>
    <w:rsid w:val="00BA0F4C"/>
    <w:rsid w:val="00BA0F66"/>
    <w:rsid w:val="00BA0F99"/>
    <w:rsid w:val="00BA0FE2"/>
    <w:rsid w:val="00BA1038"/>
    <w:rsid w:val="00BA10D3"/>
    <w:rsid w:val="00BA112D"/>
    <w:rsid w:val="00BA114E"/>
    <w:rsid w:val="00BA1179"/>
    <w:rsid w:val="00BA118F"/>
    <w:rsid w:val="00BA1273"/>
    <w:rsid w:val="00BA12C2"/>
    <w:rsid w:val="00BA131C"/>
    <w:rsid w:val="00BA1387"/>
    <w:rsid w:val="00BA1398"/>
    <w:rsid w:val="00BA1471"/>
    <w:rsid w:val="00BA14AD"/>
    <w:rsid w:val="00BA14C7"/>
    <w:rsid w:val="00BA1505"/>
    <w:rsid w:val="00BA1556"/>
    <w:rsid w:val="00BA15EC"/>
    <w:rsid w:val="00BA1630"/>
    <w:rsid w:val="00BA1660"/>
    <w:rsid w:val="00BA167D"/>
    <w:rsid w:val="00BA1686"/>
    <w:rsid w:val="00BA16A7"/>
    <w:rsid w:val="00BA16F0"/>
    <w:rsid w:val="00BA16F6"/>
    <w:rsid w:val="00BA16FE"/>
    <w:rsid w:val="00BA17B0"/>
    <w:rsid w:val="00BA180A"/>
    <w:rsid w:val="00BA1825"/>
    <w:rsid w:val="00BA182D"/>
    <w:rsid w:val="00BA182F"/>
    <w:rsid w:val="00BA187D"/>
    <w:rsid w:val="00BA18A4"/>
    <w:rsid w:val="00BA191E"/>
    <w:rsid w:val="00BA193A"/>
    <w:rsid w:val="00BA1975"/>
    <w:rsid w:val="00BA19FD"/>
    <w:rsid w:val="00BA1A45"/>
    <w:rsid w:val="00BA1A6F"/>
    <w:rsid w:val="00BA1A82"/>
    <w:rsid w:val="00BA1A88"/>
    <w:rsid w:val="00BA1AC9"/>
    <w:rsid w:val="00BA1AE9"/>
    <w:rsid w:val="00BA1B82"/>
    <w:rsid w:val="00BA1B9C"/>
    <w:rsid w:val="00BA1BF0"/>
    <w:rsid w:val="00BA1C79"/>
    <w:rsid w:val="00BA1CA8"/>
    <w:rsid w:val="00BA1DD6"/>
    <w:rsid w:val="00BA1E78"/>
    <w:rsid w:val="00BA1EE8"/>
    <w:rsid w:val="00BA1F1D"/>
    <w:rsid w:val="00BA1F3A"/>
    <w:rsid w:val="00BA1F65"/>
    <w:rsid w:val="00BA1FBD"/>
    <w:rsid w:val="00BA1FD7"/>
    <w:rsid w:val="00BA1FF8"/>
    <w:rsid w:val="00BA2006"/>
    <w:rsid w:val="00BA2014"/>
    <w:rsid w:val="00BA202B"/>
    <w:rsid w:val="00BA2032"/>
    <w:rsid w:val="00BA203E"/>
    <w:rsid w:val="00BA204E"/>
    <w:rsid w:val="00BA210F"/>
    <w:rsid w:val="00BA2137"/>
    <w:rsid w:val="00BA2150"/>
    <w:rsid w:val="00BA2159"/>
    <w:rsid w:val="00BA2233"/>
    <w:rsid w:val="00BA2282"/>
    <w:rsid w:val="00BA2289"/>
    <w:rsid w:val="00BA22C7"/>
    <w:rsid w:val="00BA236D"/>
    <w:rsid w:val="00BA23F1"/>
    <w:rsid w:val="00BA2408"/>
    <w:rsid w:val="00BA241A"/>
    <w:rsid w:val="00BA245D"/>
    <w:rsid w:val="00BA247E"/>
    <w:rsid w:val="00BA24A3"/>
    <w:rsid w:val="00BA252C"/>
    <w:rsid w:val="00BA2569"/>
    <w:rsid w:val="00BA2578"/>
    <w:rsid w:val="00BA258C"/>
    <w:rsid w:val="00BA25D9"/>
    <w:rsid w:val="00BA260C"/>
    <w:rsid w:val="00BA267F"/>
    <w:rsid w:val="00BA2691"/>
    <w:rsid w:val="00BA2704"/>
    <w:rsid w:val="00BA2712"/>
    <w:rsid w:val="00BA2729"/>
    <w:rsid w:val="00BA2768"/>
    <w:rsid w:val="00BA279D"/>
    <w:rsid w:val="00BA27A1"/>
    <w:rsid w:val="00BA285A"/>
    <w:rsid w:val="00BA286A"/>
    <w:rsid w:val="00BA2870"/>
    <w:rsid w:val="00BA287E"/>
    <w:rsid w:val="00BA288C"/>
    <w:rsid w:val="00BA28AF"/>
    <w:rsid w:val="00BA2915"/>
    <w:rsid w:val="00BA2975"/>
    <w:rsid w:val="00BA2995"/>
    <w:rsid w:val="00BA2A35"/>
    <w:rsid w:val="00BA2A7B"/>
    <w:rsid w:val="00BA2AB3"/>
    <w:rsid w:val="00BA2AF2"/>
    <w:rsid w:val="00BA2C16"/>
    <w:rsid w:val="00BA2C67"/>
    <w:rsid w:val="00BA2CB0"/>
    <w:rsid w:val="00BA2CCD"/>
    <w:rsid w:val="00BA2D48"/>
    <w:rsid w:val="00BA2D6F"/>
    <w:rsid w:val="00BA2D91"/>
    <w:rsid w:val="00BA2E26"/>
    <w:rsid w:val="00BA2E4A"/>
    <w:rsid w:val="00BA2E8F"/>
    <w:rsid w:val="00BA2EA3"/>
    <w:rsid w:val="00BA2F21"/>
    <w:rsid w:val="00BA2F30"/>
    <w:rsid w:val="00BA2F6B"/>
    <w:rsid w:val="00BA2F72"/>
    <w:rsid w:val="00BA2FE1"/>
    <w:rsid w:val="00BA3062"/>
    <w:rsid w:val="00BA3088"/>
    <w:rsid w:val="00BA30C7"/>
    <w:rsid w:val="00BA3148"/>
    <w:rsid w:val="00BA3151"/>
    <w:rsid w:val="00BA32D2"/>
    <w:rsid w:val="00BA3301"/>
    <w:rsid w:val="00BA330F"/>
    <w:rsid w:val="00BA331C"/>
    <w:rsid w:val="00BA3370"/>
    <w:rsid w:val="00BA33B6"/>
    <w:rsid w:val="00BA3401"/>
    <w:rsid w:val="00BA343D"/>
    <w:rsid w:val="00BA3447"/>
    <w:rsid w:val="00BA34A2"/>
    <w:rsid w:val="00BA3544"/>
    <w:rsid w:val="00BA35D2"/>
    <w:rsid w:val="00BA3614"/>
    <w:rsid w:val="00BA3697"/>
    <w:rsid w:val="00BA3725"/>
    <w:rsid w:val="00BA3731"/>
    <w:rsid w:val="00BA3772"/>
    <w:rsid w:val="00BA3774"/>
    <w:rsid w:val="00BA37A8"/>
    <w:rsid w:val="00BA37C5"/>
    <w:rsid w:val="00BA37DA"/>
    <w:rsid w:val="00BA3887"/>
    <w:rsid w:val="00BA38CF"/>
    <w:rsid w:val="00BA392D"/>
    <w:rsid w:val="00BA3954"/>
    <w:rsid w:val="00BA39A0"/>
    <w:rsid w:val="00BA39AF"/>
    <w:rsid w:val="00BA39BC"/>
    <w:rsid w:val="00BA39C1"/>
    <w:rsid w:val="00BA3A53"/>
    <w:rsid w:val="00BA3A5A"/>
    <w:rsid w:val="00BA3A5D"/>
    <w:rsid w:val="00BA3A79"/>
    <w:rsid w:val="00BA3AD0"/>
    <w:rsid w:val="00BA3AE8"/>
    <w:rsid w:val="00BA3AF0"/>
    <w:rsid w:val="00BA3B10"/>
    <w:rsid w:val="00BA3B3D"/>
    <w:rsid w:val="00BA3B7F"/>
    <w:rsid w:val="00BA3BF0"/>
    <w:rsid w:val="00BA3C0E"/>
    <w:rsid w:val="00BA3CBA"/>
    <w:rsid w:val="00BA3D4D"/>
    <w:rsid w:val="00BA3D6B"/>
    <w:rsid w:val="00BA3DAA"/>
    <w:rsid w:val="00BA3DFD"/>
    <w:rsid w:val="00BA3E98"/>
    <w:rsid w:val="00BA3E99"/>
    <w:rsid w:val="00BA3EB0"/>
    <w:rsid w:val="00BA3EBB"/>
    <w:rsid w:val="00BA3F18"/>
    <w:rsid w:val="00BA3F1F"/>
    <w:rsid w:val="00BA3F87"/>
    <w:rsid w:val="00BA3FD7"/>
    <w:rsid w:val="00BA406F"/>
    <w:rsid w:val="00BA40E2"/>
    <w:rsid w:val="00BA419E"/>
    <w:rsid w:val="00BA41A8"/>
    <w:rsid w:val="00BA41B9"/>
    <w:rsid w:val="00BA4257"/>
    <w:rsid w:val="00BA426F"/>
    <w:rsid w:val="00BA42E8"/>
    <w:rsid w:val="00BA430B"/>
    <w:rsid w:val="00BA4339"/>
    <w:rsid w:val="00BA43E1"/>
    <w:rsid w:val="00BA4444"/>
    <w:rsid w:val="00BA44CE"/>
    <w:rsid w:val="00BA44E5"/>
    <w:rsid w:val="00BA45E2"/>
    <w:rsid w:val="00BA45F6"/>
    <w:rsid w:val="00BA4657"/>
    <w:rsid w:val="00BA4674"/>
    <w:rsid w:val="00BA4679"/>
    <w:rsid w:val="00BA468F"/>
    <w:rsid w:val="00BA4706"/>
    <w:rsid w:val="00BA470A"/>
    <w:rsid w:val="00BA47AC"/>
    <w:rsid w:val="00BA47C6"/>
    <w:rsid w:val="00BA47DB"/>
    <w:rsid w:val="00BA47E7"/>
    <w:rsid w:val="00BA47EE"/>
    <w:rsid w:val="00BA4880"/>
    <w:rsid w:val="00BA48E0"/>
    <w:rsid w:val="00BA48FD"/>
    <w:rsid w:val="00BA495A"/>
    <w:rsid w:val="00BA498E"/>
    <w:rsid w:val="00BA49A2"/>
    <w:rsid w:val="00BA49BF"/>
    <w:rsid w:val="00BA4AAA"/>
    <w:rsid w:val="00BA4AD4"/>
    <w:rsid w:val="00BA4B16"/>
    <w:rsid w:val="00BA4B22"/>
    <w:rsid w:val="00BA4B54"/>
    <w:rsid w:val="00BA4B55"/>
    <w:rsid w:val="00BA4B93"/>
    <w:rsid w:val="00BA4BA1"/>
    <w:rsid w:val="00BA4BB0"/>
    <w:rsid w:val="00BA4C1B"/>
    <w:rsid w:val="00BA4C2B"/>
    <w:rsid w:val="00BA4CD2"/>
    <w:rsid w:val="00BA4CD7"/>
    <w:rsid w:val="00BA4CE7"/>
    <w:rsid w:val="00BA4D25"/>
    <w:rsid w:val="00BA4D96"/>
    <w:rsid w:val="00BA4DF0"/>
    <w:rsid w:val="00BA4E4B"/>
    <w:rsid w:val="00BA4EC1"/>
    <w:rsid w:val="00BA4EF7"/>
    <w:rsid w:val="00BA4F39"/>
    <w:rsid w:val="00BA4F46"/>
    <w:rsid w:val="00BA4F55"/>
    <w:rsid w:val="00BA4F6F"/>
    <w:rsid w:val="00BA4F82"/>
    <w:rsid w:val="00BA4F85"/>
    <w:rsid w:val="00BA4FA3"/>
    <w:rsid w:val="00BA507E"/>
    <w:rsid w:val="00BA50BE"/>
    <w:rsid w:val="00BA516A"/>
    <w:rsid w:val="00BA5189"/>
    <w:rsid w:val="00BA51A1"/>
    <w:rsid w:val="00BA5226"/>
    <w:rsid w:val="00BA5229"/>
    <w:rsid w:val="00BA5244"/>
    <w:rsid w:val="00BA5256"/>
    <w:rsid w:val="00BA526D"/>
    <w:rsid w:val="00BA52A0"/>
    <w:rsid w:val="00BA52D0"/>
    <w:rsid w:val="00BA5302"/>
    <w:rsid w:val="00BA5315"/>
    <w:rsid w:val="00BA5393"/>
    <w:rsid w:val="00BA53CA"/>
    <w:rsid w:val="00BA546F"/>
    <w:rsid w:val="00BA5489"/>
    <w:rsid w:val="00BA54F1"/>
    <w:rsid w:val="00BA54F8"/>
    <w:rsid w:val="00BA551A"/>
    <w:rsid w:val="00BA555E"/>
    <w:rsid w:val="00BA5564"/>
    <w:rsid w:val="00BA55D3"/>
    <w:rsid w:val="00BA5604"/>
    <w:rsid w:val="00BA561C"/>
    <w:rsid w:val="00BA56BA"/>
    <w:rsid w:val="00BA56C7"/>
    <w:rsid w:val="00BA56D4"/>
    <w:rsid w:val="00BA573C"/>
    <w:rsid w:val="00BA5744"/>
    <w:rsid w:val="00BA5770"/>
    <w:rsid w:val="00BA5799"/>
    <w:rsid w:val="00BA57D5"/>
    <w:rsid w:val="00BA57DB"/>
    <w:rsid w:val="00BA581A"/>
    <w:rsid w:val="00BA5870"/>
    <w:rsid w:val="00BA58BC"/>
    <w:rsid w:val="00BA58DE"/>
    <w:rsid w:val="00BA5925"/>
    <w:rsid w:val="00BA59F8"/>
    <w:rsid w:val="00BA5A49"/>
    <w:rsid w:val="00BA5A8E"/>
    <w:rsid w:val="00BA5AA1"/>
    <w:rsid w:val="00BA5ADB"/>
    <w:rsid w:val="00BA5B19"/>
    <w:rsid w:val="00BA5B4D"/>
    <w:rsid w:val="00BA5B58"/>
    <w:rsid w:val="00BA5B69"/>
    <w:rsid w:val="00BA5B71"/>
    <w:rsid w:val="00BA5B94"/>
    <w:rsid w:val="00BA5BBA"/>
    <w:rsid w:val="00BA5BC1"/>
    <w:rsid w:val="00BA5C06"/>
    <w:rsid w:val="00BA5C0D"/>
    <w:rsid w:val="00BA5C55"/>
    <w:rsid w:val="00BA5C5B"/>
    <w:rsid w:val="00BA5CB7"/>
    <w:rsid w:val="00BA5D39"/>
    <w:rsid w:val="00BA5DFA"/>
    <w:rsid w:val="00BA5E25"/>
    <w:rsid w:val="00BA5E6C"/>
    <w:rsid w:val="00BA5EBE"/>
    <w:rsid w:val="00BA5EFA"/>
    <w:rsid w:val="00BA5F67"/>
    <w:rsid w:val="00BA5FEC"/>
    <w:rsid w:val="00BA6079"/>
    <w:rsid w:val="00BA6133"/>
    <w:rsid w:val="00BA6189"/>
    <w:rsid w:val="00BA61A9"/>
    <w:rsid w:val="00BA61F7"/>
    <w:rsid w:val="00BA623A"/>
    <w:rsid w:val="00BA6255"/>
    <w:rsid w:val="00BA6306"/>
    <w:rsid w:val="00BA633B"/>
    <w:rsid w:val="00BA634D"/>
    <w:rsid w:val="00BA63A4"/>
    <w:rsid w:val="00BA63E3"/>
    <w:rsid w:val="00BA63F1"/>
    <w:rsid w:val="00BA6462"/>
    <w:rsid w:val="00BA6499"/>
    <w:rsid w:val="00BA64A1"/>
    <w:rsid w:val="00BA64A4"/>
    <w:rsid w:val="00BA64F8"/>
    <w:rsid w:val="00BA6500"/>
    <w:rsid w:val="00BA653E"/>
    <w:rsid w:val="00BA6546"/>
    <w:rsid w:val="00BA6548"/>
    <w:rsid w:val="00BA655B"/>
    <w:rsid w:val="00BA6582"/>
    <w:rsid w:val="00BA65AA"/>
    <w:rsid w:val="00BA6626"/>
    <w:rsid w:val="00BA6644"/>
    <w:rsid w:val="00BA665A"/>
    <w:rsid w:val="00BA6661"/>
    <w:rsid w:val="00BA6705"/>
    <w:rsid w:val="00BA671A"/>
    <w:rsid w:val="00BA6777"/>
    <w:rsid w:val="00BA67F8"/>
    <w:rsid w:val="00BA6800"/>
    <w:rsid w:val="00BA6916"/>
    <w:rsid w:val="00BA69CE"/>
    <w:rsid w:val="00BA69D1"/>
    <w:rsid w:val="00BA69D7"/>
    <w:rsid w:val="00BA6A0F"/>
    <w:rsid w:val="00BA6A2A"/>
    <w:rsid w:val="00BA6A70"/>
    <w:rsid w:val="00BA6ACB"/>
    <w:rsid w:val="00BA6B96"/>
    <w:rsid w:val="00BA6CB2"/>
    <w:rsid w:val="00BA6CBC"/>
    <w:rsid w:val="00BA6CE3"/>
    <w:rsid w:val="00BA6D71"/>
    <w:rsid w:val="00BA6DA4"/>
    <w:rsid w:val="00BA6DD3"/>
    <w:rsid w:val="00BA6DFE"/>
    <w:rsid w:val="00BA6E44"/>
    <w:rsid w:val="00BA6EB0"/>
    <w:rsid w:val="00BA6EB4"/>
    <w:rsid w:val="00BA6F13"/>
    <w:rsid w:val="00BA6F87"/>
    <w:rsid w:val="00BA6FBB"/>
    <w:rsid w:val="00BA6FC6"/>
    <w:rsid w:val="00BA7184"/>
    <w:rsid w:val="00BA71AB"/>
    <w:rsid w:val="00BA7223"/>
    <w:rsid w:val="00BA722E"/>
    <w:rsid w:val="00BA724E"/>
    <w:rsid w:val="00BA72CB"/>
    <w:rsid w:val="00BA7318"/>
    <w:rsid w:val="00BA731C"/>
    <w:rsid w:val="00BA7325"/>
    <w:rsid w:val="00BA7328"/>
    <w:rsid w:val="00BA735E"/>
    <w:rsid w:val="00BA73D6"/>
    <w:rsid w:val="00BA7462"/>
    <w:rsid w:val="00BA7463"/>
    <w:rsid w:val="00BA748B"/>
    <w:rsid w:val="00BA74F6"/>
    <w:rsid w:val="00BA7517"/>
    <w:rsid w:val="00BA751E"/>
    <w:rsid w:val="00BA7537"/>
    <w:rsid w:val="00BA7569"/>
    <w:rsid w:val="00BA7627"/>
    <w:rsid w:val="00BA7665"/>
    <w:rsid w:val="00BA7699"/>
    <w:rsid w:val="00BA76AB"/>
    <w:rsid w:val="00BA76AF"/>
    <w:rsid w:val="00BA76EA"/>
    <w:rsid w:val="00BA76F1"/>
    <w:rsid w:val="00BA779A"/>
    <w:rsid w:val="00BA77CC"/>
    <w:rsid w:val="00BA781F"/>
    <w:rsid w:val="00BA789D"/>
    <w:rsid w:val="00BA7966"/>
    <w:rsid w:val="00BA7969"/>
    <w:rsid w:val="00BA79CF"/>
    <w:rsid w:val="00BA7A4B"/>
    <w:rsid w:val="00BA7AEF"/>
    <w:rsid w:val="00BA7B21"/>
    <w:rsid w:val="00BA7B6A"/>
    <w:rsid w:val="00BA7C23"/>
    <w:rsid w:val="00BA7C50"/>
    <w:rsid w:val="00BA7C64"/>
    <w:rsid w:val="00BA7C66"/>
    <w:rsid w:val="00BA7C76"/>
    <w:rsid w:val="00BA7C77"/>
    <w:rsid w:val="00BA7C9A"/>
    <w:rsid w:val="00BA7CBA"/>
    <w:rsid w:val="00BA7CEB"/>
    <w:rsid w:val="00BA7D34"/>
    <w:rsid w:val="00BA7D61"/>
    <w:rsid w:val="00BA7DD7"/>
    <w:rsid w:val="00BA7E7C"/>
    <w:rsid w:val="00BA7F13"/>
    <w:rsid w:val="00BA7F59"/>
    <w:rsid w:val="00BA7F8F"/>
    <w:rsid w:val="00BA7FD4"/>
    <w:rsid w:val="00BA7FEC"/>
    <w:rsid w:val="00BB0012"/>
    <w:rsid w:val="00BB0039"/>
    <w:rsid w:val="00BB003A"/>
    <w:rsid w:val="00BB00A2"/>
    <w:rsid w:val="00BB00F0"/>
    <w:rsid w:val="00BB01A8"/>
    <w:rsid w:val="00BB01CF"/>
    <w:rsid w:val="00BB01D1"/>
    <w:rsid w:val="00BB0319"/>
    <w:rsid w:val="00BB0321"/>
    <w:rsid w:val="00BB0344"/>
    <w:rsid w:val="00BB0392"/>
    <w:rsid w:val="00BB0394"/>
    <w:rsid w:val="00BB040D"/>
    <w:rsid w:val="00BB0415"/>
    <w:rsid w:val="00BB0432"/>
    <w:rsid w:val="00BB0440"/>
    <w:rsid w:val="00BB0449"/>
    <w:rsid w:val="00BB045C"/>
    <w:rsid w:val="00BB0484"/>
    <w:rsid w:val="00BB04BF"/>
    <w:rsid w:val="00BB04CB"/>
    <w:rsid w:val="00BB04E7"/>
    <w:rsid w:val="00BB050A"/>
    <w:rsid w:val="00BB0531"/>
    <w:rsid w:val="00BB0597"/>
    <w:rsid w:val="00BB059D"/>
    <w:rsid w:val="00BB05A1"/>
    <w:rsid w:val="00BB05CB"/>
    <w:rsid w:val="00BB0600"/>
    <w:rsid w:val="00BB0762"/>
    <w:rsid w:val="00BB084D"/>
    <w:rsid w:val="00BB085E"/>
    <w:rsid w:val="00BB0937"/>
    <w:rsid w:val="00BB097C"/>
    <w:rsid w:val="00BB09A0"/>
    <w:rsid w:val="00BB09A2"/>
    <w:rsid w:val="00BB09AC"/>
    <w:rsid w:val="00BB0A7A"/>
    <w:rsid w:val="00BB0A80"/>
    <w:rsid w:val="00BB0B2E"/>
    <w:rsid w:val="00BB0B3B"/>
    <w:rsid w:val="00BB0B57"/>
    <w:rsid w:val="00BB0BB4"/>
    <w:rsid w:val="00BB0BDF"/>
    <w:rsid w:val="00BB0BEC"/>
    <w:rsid w:val="00BB0C7A"/>
    <w:rsid w:val="00BB0C7D"/>
    <w:rsid w:val="00BB0C96"/>
    <w:rsid w:val="00BB0CC0"/>
    <w:rsid w:val="00BB0D04"/>
    <w:rsid w:val="00BB0D5C"/>
    <w:rsid w:val="00BB0D6E"/>
    <w:rsid w:val="00BB0D9A"/>
    <w:rsid w:val="00BB0E03"/>
    <w:rsid w:val="00BB0E3B"/>
    <w:rsid w:val="00BB0F70"/>
    <w:rsid w:val="00BB0F88"/>
    <w:rsid w:val="00BB0F8D"/>
    <w:rsid w:val="00BB0FB0"/>
    <w:rsid w:val="00BB10DE"/>
    <w:rsid w:val="00BB10F6"/>
    <w:rsid w:val="00BB112B"/>
    <w:rsid w:val="00BB112F"/>
    <w:rsid w:val="00BB1137"/>
    <w:rsid w:val="00BB11EA"/>
    <w:rsid w:val="00BB1213"/>
    <w:rsid w:val="00BB1237"/>
    <w:rsid w:val="00BB126D"/>
    <w:rsid w:val="00BB1318"/>
    <w:rsid w:val="00BB134D"/>
    <w:rsid w:val="00BB134E"/>
    <w:rsid w:val="00BB13A4"/>
    <w:rsid w:val="00BB13D8"/>
    <w:rsid w:val="00BB13F9"/>
    <w:rsid w:val="00BB144F"/>
    <w:rsid w:val="00BB146E"/>
    <w:rsid w:val="00BB14A3"/>
    <w:rsid w:val="00BB14B3"/>
    <w:rsid w:val="00BB14CA"/>
    <w:rsid w:val="00BB14D9"/>
    <w:rsid w:val="00BB1545"/>
    <w:rsid w:val="00BB166D"/>
    <w:rsid w:val="00BB16BD"/>
    <w:rsid w:val="00BB1702"/>
    <w:rsid w:val="00BB1715"/>
    <w:rsid w:val="00BB176A"/>
    <w:rsid w:val="00BB177B"/>
    <w:rsid w:val="00BB1781"/>
    <w:rsid w:val="00BB17B3"/>
    <w:rsid w:val="00BB17CB"/>
    <w:rsid w:val="00BB1819"/>
    <w:rsid w:val="00BB184D"/>
    <w:rsid w:val="00BB189D"/>
    <w:rsid w:val="00BB18F3"/>
    <w:rsid w:val="00BB1941"/>
    <w:rsid w:val="00BB195D"/>
    <w:rsid w:val="00BB19A9"/>
    <w:rsid w:val="00BB19AC"/>
    <w:rsid w:val="00BB1A8B"/>
    <w:rsid w:val="00BB1B01"/>
    <w:rsid w:val="00BB1B19"/>
    <w:rsid w:val="00BB1B8C"/>
    <w:rsid w:val="00BB1BD6"/>
    <w:rsid w:val="00BB1C53"/>
    <w:rsid w:val="00BB1C8D"/>
    <w:rsid w:val="00BB1CC9"/>
    <w:rsid w:val="00BB1D1E"/>
    <w:rsid w:val="00BB1D41"/>
    <w:rsid w:val="00BB1D44"/>
    <w:rsid w:val="00BB1D71"/>
    <w:rsid w:val="00BB1DB2"/>
    <w:rsid w:val="00BB1E02"/>
    <w:rsid w:val="00BB1E26"/>
    <w:rsid w:val="00BB1F1C"/>
    <w:rsid w:val="00BB1F95"/>
    <w:rsid w:val="00BB2011"/>
    <w:rsid w:val="00BB201E"/>
    <w:rsid w:val="00BB202F"/>
    <w:rsid w:val="00BB203A"/>
    <w:rsid w:val="00BB203C"/>
    <w:rsid w:val="00BB2061"/>
    <w:rsid w:val="00BB20AC"/>
    <w:rsid w:val="00BB20CF"/>
    <w:rsid w:val="00BB215A"/>
    <w:rsid w:val="00BB2166"/>
    <w:rsid w:val="00BB2169"/>
    <w:rsid w:val="00BB216D"/>
    <w:rsid w:val="00BB21EF"/>
    <w:rsid w:val="00BB222E"/>
    <w:rsid w:val="00BB2338"/>
    <w:rsid w:val="00BB23AC"/>
    <w:rsid w:val="00BB23B3"/>
    <w:rsid w:val="00BB245D"/>
    <w:rsid w:val="00BB2469"/>
    <w:rsid w:val="00BB2486"/>
    <w:rsid w:val="00BB2539"/>
    <w:rsid w:val="00BB254B"/>
    <w:rsid w:val="00BB258A"/>
    <w:rsid w:val="00BB259B"/>
    <w:rsid w:val="00BB25A2"/>
    <w:rsid w:val="00BB25B0"/>
    <w:rsid w:val="00BB25BB"/>
    <w:rsid w:val="00BB263C"/>
    <w:rsid w:val="00BB2668"/>
    <w:rsid w:val="00BB2685"/>
    <w:rsid w:val="00BB26F1"/>
    <w:rsid w:val="00BB27B8"/>
    <w:rsid w:val="00BB27B9"/>
    <w:rsid w:val="00BB27CC"/>
    <w:rsid w:val="00BB27D4"/>
    <w:rsid w:val="00BB27FC"/>
    <w:rsid w:val="00BB2824"/>
    <w:rsid w:val="00BB28A6"/>
    <w:rsid w:val="00BB28BB"/>
    <w:rsid w:val="00BB28C2"/>
    <w:rsid w:val="00BB28F0"/>
    <w:rsid w:val="00BB2925"/>
    <w:rsid w:val="00BB293E"/>
    <w:rsid w:val="00BB2998"/>
    <w:rsid w:val="00BB29A1"/>
    <w:rsid w:val="00BB29AB"/>
    <w:rsid w:val="00BB29C6"/>
    <w:rsid w:val="00BB29E1"/>
    <w:rsid w:val="00BB2A16"/>
    <w:rsid w:val="00BB2A5F"/>
    <w:rsid w:val="00BB2A87"/>
    <w:rsid w:val="00BB2A94"/>
    <w:rsid w:val="00BB2AE5"/>
    <w:rsid w:val="00BB2B12"/>
    <w:rsid w:val="00BB2B5E"/>
    <w:rsid w:val="00BB2B8B"/>
    <w:rsid w:val="00BB2BC1"/>
    <w:rsid w:val="00BB2BF0"/>
    <w:rsid w:val="00BB2C41"/>
    <w:rsid w:val="00BB2C62"/>
    <w:rsid w:val="00BB2C92"/>
    <w:rsid w:val="00BB2CFE"/>
    <w:rsid w:val="00BB2D08"/>
    <w:rsid w:val="00BB2D26"/>
    <w:rsid w:val="00BB2D93"/>
    <w:rsid w:val="00BB2E45"/>
    <w:rsid w:val="00BB2F12"/>
    <w:rsid w:val="00BB2F28"/>
    <w:rsid w:val="00BB2F74"/>
    <w:rsid w:val="00BB2FDA"/>
    <w:rsid w:val="00BB3006"/>
    <w:rsid w:val="00BB3015"/>
    <w:rsid w:val="00BB3046"/>
    <w:rsid w:val="00BB3048"/>
    <w:rsid w:val="00BB30A0"/>
    <w:rsid w:val="00BB3133"/>
    <w:rsid w:val="00BB3136"/>
    <w:rsid w:val="00BB319D"/>
    <w:rsid w:val="00BB31CE"/>
    <w:rsid w:val="00BB31DD"/>
    <w:rsid w:val="00BB31E5"/>
    <w:rsid w:val="00BB32C2"/>
    <w:rsid w:val="00BB3358"/>
    <w:rsid w:val="00BB33E6"/>
    <w:rsid w:val="00BB33E7"/>
    <w:rsid w:val="00BB33FA"/>
    <w:rsid w:val="00BB3442"/>
    <w:rsid w:val="00BB347C"/>
    <w:rsid w:val="00BB34CB"/>
    <w:rsid w:val="00BB34E1"/>
    <w:rsid w:val="00BB34F0"/>
    <w:rsid w:val="00BB34FC"/>
    <w:rsid w:val="00BB3557"/>
    <w:rsid w:val="00BB3594"/>
    <w:rsid w:val="00BB366E"/>
    <w:rsid w:val="00BB36C2"/>
    <w:rsid w:val="00BB36EE"/>
    <w:rsid w:val="00BB3759"/>
    <w:rsid w:val="00BB3770"/>
    <w:rsid w:val="00BB3865"/>
    <w:rsid w:val="00BB3885"/>
    <w:rsid w:val="00BB395E"/>
    <w:rsid w:val="00BB39A5"/>
    <w:rsid w:val="00BB39B6"/>
    <w:rsid w:val="00BB39B7"/>
    <w:rsid w:val="00BB39CD"/>
    <w:rsid w:val="00BB39F7"/>
    <w:rsid w:val="00BB3A63"/>
    <w:rsid w:val="00BB3A6C"/>
    <w:rsid w:val="00BB3A9D"/>
    <w:rsid w:val="00BB3B1F"/>
    <w:rsid w:val="00BB3BAD"/>
    <w:rsid w:val="00BB3BED"/>
    <w:rsid w:val="00BB3C75"/>
    <w:rsid w:val="00BB3C90"/>
    <w:rsid w:val="00BB3D7B"/>
    <w:rsid w:val="00BB3DB9"/>
    <w:rsid w:val="00BB3E1E"/>
    <w:rsid w:val="00BB3E39"/>
    <w:rsid w:val="00BB3ECF"/>
    <w:rsid w:val="00BB3F1B"/>
    <w:rsid w:val="00BB3F62"/>
    <w:rsid w:val="00BB3F6D"/>
    <w:rsid w:val="00BB3F7F"/>
    <w:rsid w:val="00BB3F8C"/>
    <w:rsid w:val="00BB3FD3"/>
    <w:rsid w:val="00BB3FE9"/>
    <w:rsid w:val="00BB3FF9"/>
    <w:rsid w:val="00BB4068"/>
    <w:rsid w:val="00BB408F"/>
    <w:rsid w:val="00BB4096"/>
    <w:rsid w:val="00BB4109"/>
    <w:rsid w:val="00BB4135"/>
    <w:rsid w:val="00BB4152"/>
    <w:rsid w:val="00BB4158"/>
    <w:rsid w:val="00BB4167"/>
    <w:rsid w:val="00BB41A6"/>
    <w:rsid w:val="00BB41D6"/>
    <w:rsid w:val="00BB41E4"/>
    <w:rsid w:val="00BB41EE"/>
    <w:rsid w:val="00BB4266"/>
    <w:rsid w:val="00BB4275"/>
    <w:rsid w:val="00BB4279"/>
    <w:rsid w:val="00BB42E5"/>
    <w:rsid w:val="00BB42ED"/>
    <w:rsid w:val="00BB4385"/>
    <w:rsid w:val="00BB4404"/>
    <w:rsid w:val="00BB44A1"/>
    <w:rsid w:val="00BB44B8"/>
    <w:rsid w:val="00BB44D9"/>
    <w:rsid w:val="00BB4515"/>
    <w:rsid w:val="00BB453E"/>
    <w:rsid w:val="00BB457A"/>
    <w:rsid w:val="00BB45FD"/>
    <w:rsid w:val="00BB4625"/>
    <w:rsid w:val="00BB463B"/>
    <w:rsid w:val="00BB467F"/>
    <w:rsid w:val="00BB46C0"/>
    <w:rsid w:val="00BB46CB"/>
    <w:rsid w:val="00BB46DE"/>
    <w:rsid w:val="00BB46E6"/>
    <w:rsid w:val="00BB46E9"/>
    <w:rsid w:val="00BB476D"/>
    <w:rsid w:val="00BB47A4"/>
    <w:rsid w:val="00BB483D"/>
    <w:rsid w:val="00BB48B5"/>
    <w:rsid w:val="00BB4992"/>
    <w:rsid w:val="00BB4A09"/>
    <w:rsid w:val="00BB4A72"/>
    <w:rsid w:val="00BB4AC2"/>
    <w:rsid w:val="00BB4B11"/>
    <w:rsid w:val="00BB4B26"/>
    <w:rsid w:val="00BB4BEC"/>
    <w:rsid w:val="00BB4C74"/>
    <w:rsid w:val="00BB4CCC"/>
    <w:rsid w:val="00BB4CD0"/>
    <w:rsid w:val="00BB4CED"/>
    <w:rsid w:val="00BB4D0F"/>
    <w:rsid w:val="00BB4D73"/>
    <w:rsid w:val="00BB4D7B"/>
    <w:rsid w:val="00BB4D7C"/>
    <w:rsid w:val="00BB4DC1"/>
    <w:rsid w:val="00BB4EEC"/>
    <w:rsid w:val="00BB4EF7"/>
    <w:rsid w:val="00BB4F0A"/>
    <w:rsid w:val="00BB4F35"/>
    <w:rsid w:val="00BB4F65"/>
    <w:rsid w:val="00BB4FFB"/>
    <w:rsid w:val="00BB507F"/>
    <w:rsid w:val="00BB51EE"/>
    <w:rsid w:val="00BB51FD"/>
    <w:rsid w:val="00BB5223"/>
    <w:rsid w:val="00BB524B"/>
    <w:rsid w:val="00BB527E"/>
    <w:rsid w:val="00BB52EF"/>
    <w:rsid w:val="00BB536F"/>
    <w:rsid w:val="00BB5381"/>
    <w:rsid w:val="00BB53F2"/>
    <w:rsid w:val="00BB54B2"/>
    <w:rsid w:val="00BB54C8"/>
    <w:rsid w:val="00BB550B"/>
    <w:rsid w:val="00BB5517"/>
    <w:rsid w:val="00BB556B"/>
    <w:rsid w:val="00BB5583"/>
    <w:rsid w:val="00BB55B9"/>
    <w:rsid w:val="00BB55F8"/>
    <w:rsid w:val="00BB5622"/>
    <w:rsid w:val="00BB562D"/>
    <w:rsid w:val="00BB568D"/>
    <w:rsid w:val="00BB5729"/>
    <w:rsid w:val="00BB57D7"/>
    <w:rsid w:val="00BB57E9"/>
    <w:rsid w:val="00BB5816"/>
    <w:rsid w:val="00BB5908"/>
    <w:rsid w:val="00BB5930"/>
    <w:rsid w:val="00BB594A"/>
    <w:rsid w:val="00BB59A1"/>
    <w:rsid w:val="00BB5A4A"/>
    <w:rsid w:val="00BB5A8F"/>
    <w:rsid w:val="00BB5A93"/>
    <w:rsid w:val="00BB5A97"/>
    <w:rsid w:val="00BB5AAF"/>
    <w:rsid w:val="00BB5AE1"/>
    <w:rsid w:val="00BB5AE4"/>
    <w:rsid w:val="00BB5B28"/>
    <w:rsid w:val="00BB5B7F"/>
    <w:rsid w:val="00BB5B87"/>
    <w:rsid w:val="00BB5C12"/>
    <w:rsid w:val="00BB5C56"/>
    <w:rsid w:val="00BB5C6F"/>
    <w:rsid w:val="00BB5C8A"/>
    <w:rsid w:val="00BB5CAE"/>
    <w:rsid w:val="00BB5CDE"/>
    <w:rsid w:val="00BB5D41"/>
    <w:rsid w:val="00BB5D60"/>
    <w:rsid w:val="00BB5DBB"/>
    <w:rsid w:val="00BB5DCA"/>
    <w:rsid w:val="00BB5E35"/>
    <w:rsid w:val="00BB5F56"/>
    <w:rsid w:val="00BB5FAD"/>
    <w:rsid w:val="00BB6043"/>
    <w:rsid w:val="00BB6046"/>
    <w:rsid w:val="00BB60EA"/>
    <w:rsid w:val="00BB6156"/>
    <w:rsid w:val="00BB6199"/>
    <w:rsid w:val="00BB6303"/>
    <w:rsid w:val="00BB6322"/>
    <w:rsid w:val="00BB634A"/>
    <w:rsid w:val="00BB6399"/>
    <w:rsid w:val="00BB63F6"/>
    <w:rsid w:val="00BB6491"/>
    <w:rsid w:val="00BB64B3"/>
    <w:rsid w:val="00BB650E"/>
    <w:rsid w:val="00BB65B2"/>
    <w:rsid w:val="00BB65F3"/>
    <w:rsid w:val="00BB660C"/>
    <w:rsid w:val="00BB6634"/>
    <w:rsid w:val="00BB6656"/>
    <w:rsid w:val="00BB66B1"/>
    <w:rsid w:val="00BB66D8"/>
    <w:rsid w:val="00BB673E"/>
    <w:rsid w:val="00BB673F"/>
    <w:rsid w:val="00BB675F"/>
    <w:rsid w:val="00BB6788"/>
    <w:rsid w:val="00BB6789"/>
    <w:rsid w:val="00BB679A"/>
    <w:rsid w:val="00BB67B1"/>
    <w:rsid w:val="00BB67B7"/>
    <w:rsid w:val="00BB67E2"/>
    <w:rsid w:val="00BB6853"/>
    <w:rsid w:val="00BB6961"/>
    <w:rsid w:val="00BB6A67"/>
    <w:rsid w:val="00BB6A6D"/>
    <w:rsid w:val="00BB6AD9"/>
    <w:rsid w:val="00BB6B23"/>
    <w:rsid w:val="00BB6B7A"/>
    <w:rsid w:val="00BB6BB3"/>
    <w:rsid w:val="00BB6BD0"/>
    <w:rsid w:val="00BB6C00"/>
    <w:rsid w:val="00BB6C3E"/>
    <w:rsid w:val="00BB6C53"/>
    <w:rsid w:val="00BB6C6A"/>
    <w:rsid w:val="00BB6C71"/>
    <w:rsid w:val="00BB6C87"/>
    <w:rsid w:val="00BB6CDE"/>
    <w:rsid w:val="00BB6D69"/>
    <w:rsid w:val="00BB6D8F"/>
    <w:rsid w:val="00BB6D94"/>
    <w:rsid w:val="00BB6DDB"/>
    <w:rsid w:val="00BB6E79"/>
    <w:rsid w:val="00BB6EB1"/>
    <w:rsid w:val="00BB6EC2"/>
    <w:rsid w:val="00BB6FAE"/>
    <w:rsid w:val="00BB6FE5"/>
    <w:rsid w:val="00BB7072"/>
    <w:rsid w:val="00BB70E4"/>
    <w:rsid w:val="00BB712F"/>
    <w:rsid w:val="00BB7156"/>
    <w:rsid w:val="00BB720C"/>
    <w:rsid w:val="00BB723E"/>
    <w:rsid w:val="00BB7261"/>
    <w:rsid w:val="00BB726C"/>
    <w:rsid w:val="00BB7287"/>
    <w:rsid w:val="00BB72DE"/>
    <w:rsid w:val="00BB7329"/>
    <w:rsid w:val="00BB7330"/>
    <w:rsid w:val="00BB73C4"/>
    <w:rsid w:val="00BB73ED"/>
    <w:rsid w:val="00BB745D"/>
    <w:rsid w:val="00BB7483"/>
    <w:rsid w:val="00BB74D6"/>
    <w:rsid w:val="00BB74FF"/>
    <w:rsid w:val="00BB7530"/>
    <w:rsid w:val="00BB7540"/>
    <w:rsid w:val="00BB75AD"/>
    <w:rsid w:val="00BB76CB"/>
    <w:rsid w:val="00BB77CB"/>
    <w:rsid w:val="00BB77CC"/>
    <w:rsid w:val="00BB7809"/>
    <w:rsid w:val="00BB7817"/>
    <w:rsid w:val="00BB783C"/>
    <w:rsid w:val="00BB7870"/>
    <w:rsid w:val="00BB78AE"/>
    <w:rsid w:val="00BB78B4"/>
    <w:rsid w:val="00BB78C3"/>
    <w:rsid w:val="00BB790E"/>
    <w:rsid w:val="00BB793C"/>
    <w:rsid w:val="00BB7963"/>
    <w:rsid w:val="00BB7990"/>
    <w:rsid w:val="00BB79F9"/>
    <w:rsid w:val="00BB7A72"/>
    <w:rsid w:val="00BB7A8D"/>
    <w:rsid w:val="00BB7A8F"/>
    <w:rsid w:val="00BB7A9E"/>
    <w:rsid w:val="00BB7AE7"/>
    <w:rsid w:val="00BB7AF8"/>
    <w:rsid w:val="00BB7B38"/>
    <w:rsid w:val="00BB7B52"/>
    <w:rsid w:val="00BB7B81"/>
    <w:rsid w:val="00BB7B88"/>
    <w:rsid w:val="00BB7BB2"/>
    <w:rsid w:val="00BB7BD1"/>
    <w:rsid w:val="00BB7BDF"/>
    <w:rsid w:val="00BB7CBE"/>
    <w:rsid w:val="00BB7CD4"/>
    <w:rsid w:val="00BB7D01"/>
    <w:rsid w:val="00BB7D18"/>
    <w:rsid w:val="00BB7D41"/>
    <w:rsid w:val="00BB7D9F"/>
    <w:rsid w:val="00BB7DA1"/>
    <w:rsid w:val="00BB7DC2"/>
    <w:rsid w:val="00BB7E07"/>
    <w:rsid w:val="00BB7E7D"/>
    <w:rsid w:val="00BB7ED8"/>
    <w:rsid w:val="00BB7EE7"/>
    <w:rsid w:val="00BB7FBE"/>
    <w:rsid w:val="00BC0025"/>
    <w:rsid w:val="00BC004B"/>
    <w:rsid w:val="00BC0061"/>
    <w:rsid w:val="00BC0071"/>
    <w:rsid w:val="00BC00F0"/>
    <w:rsid w:val="00BC0100"/>
    <w:rsid w:val="00BC015B"/>
    <w:rsid w:val="00BC0184"/>
    <w:rsid w:val="00BC01EA"/>
    <w:rsid w:val="00BC025B"/>
    <w:rsid w:val="00BC0267"/>
    <w:rsid w:val="00BC0269"/>
    <w:rsid w:val="00BC0294"/>
    <w:rsid w:val="00BC02A2"/>
    <w:rsid w:val="00BC02DB"/>
    <w:rsid w:val="00BC035B"/>
    <w:rsid w:val="00BC03B5"/>
    <w:rsid w:val="00BC03B7"/>
    <w:rsid w:val="00BC03F2"/>
    <w:rsid w:val="00BC042C"/>
    <w:rsid w:val="00BC046E"/>
    <w:rsid w:val="00BC04B3"/>
    <w:rsid w:val="00BC04E8"/>
    <w:rsid w:val="00BC04F5"/>
    <w:rsid w:val="00BC05AD"/>
    <w:rsid w:val="00BC05F2"/>
    <w:rsid w:val="00BC06AA"/>
    <w:rsid w:val="00BC06C4"/>
    <w:rsid w:val="00BC0755"/>
    <w:rsid w:val="00BC0783"/>
    <w:rsid w:val="00BC07DB"/>
    <w:rsid w:val="00BC084C"/>
    <w:rsid w:val="00BC0906"/>
    <w:rsid w:val="00BC0914"/>
    <w:rsid w:val="00BC0966"/>
    <w:rsid w:val="00BC096B"/>
    <w:rsid w:val="00BC09A1"/>
    <w:rsid w:val="00BC09B3"/>
    <w:rsid w:val="00BC09EF"/>
    <w:rsid w:val="00BC0A1B"/>
    <w:rsid w:val="00BC0A55"/>
    <w:rsid w:val="00BC0A87"/>
    <w:rsid w:val="00BC0A93"/>
    <w:rsid w:val="00BC0AA1"/>
    <w:rsid w:val="00BC0AD9"/>
    <w:rsid w:val="00BC0AEF"/>
    <w:rsid w:val="00BC0B53"/>
    <w:rsid w:val="00BC0B57"/>
    <w:rsid w:val="00BC0B6A"/>
    <w:rsid w:val="00BC0B6B"/>
    <w:rsid w:val="00BC0BE3"/>
    <w:rsid w:val="00BC0C0C"/>
    <w:rsid w:val="00BC0C22"/>
    <w:rsid w:val="00BC0C5F"/>
    <w:rsid w:val="00BC0C76"/>
    <w:rsid w:val="00BC0CAB"/>
    <w:rsid w:val="00BC0CB7"/>
    <w:rsid w:val="00BC0CBB"/>
    <w:rsid w:val="00BC0CDF"/>
    <w:rsid w:val="00BC0D29"/>
    <w:rsid w:val="00BC0DA2"/>
    <w:rsid w:val="00BC0E3B"/>
    <w:rsid w:val="00BC0E41"/>
    <w:rsid w:val="00BC0E89"/>
    <w:rsid w:val="00BC0ED6"/>
    <w:rsid w:val="00BC0F42"/>
    <w:rsid w:val="00BC0FD4"/>
    <w:rsid w:val="00BC0FF0"/>
    <w:rsid w:val="00BC108F"/>
    <w:rsid w:val="00BC109B"/>
    <w:rsid w:val="00BC10BF"/>
    <w:rsid w:val="00BC110D"/>
    <w:rsid w:val="00BC11A5"/>
    <w:rsid w:val="00BC11FF"/>
    <w:rsid w:val="00BC127D"/>
    <w:rsid w:val="00BC1293"/>
    <w:rsid w:val="00BC12A5"/>
    <w:rsid w:val="00BC12CF"/>
    <w:rsid w:val="00BC133D"/>
    <w:rsid w:val="00BC135A"/>
    <w:rsid w:val="00BC1362"/>
    <w:rsid w:val="00BC1417"/>
    <w:rsid w:val="00BC157B"/>
    <w:rsid w:val="00BC1620"/>
    <w:rsid w:val="00BC16A3"/>
    <w:rsid w:val="00BC173B"/>
    <w:rsid w:val="00BC1742"/>
    <w:rsid w:val="00BC1770"/>
    <w:rsid w:val="00BC17FA"/>
    <w:rsid w:val="00BC1817"/>
    <w:rsid w:val="00BC1867"/>
    <w:rsid w:val="00BC1886"/>
    <w:rsid w:val="00BC18A1"/>
    <w:rsid w:val="00BC18A5"/>
    <w:rsid w:val="00BC1961"/>
    <w:rsid w:val="00BC19A1"/>
    <w:rsid w:val="00BC19B0"/>
    <w:rsid w:val="00BC19E3"/>
    <w:rsid w:val="00BC1A0B"/>
    <w:rsid w:val="00BC1A4C"/>
    <w:rsid w:val="00BC1A4E"/>
    <w:rsid w:val="00BC1A86"/>
    <w:rsid w:val="00BC1A8A"/>
    <w:rsid w:val="00BC1AD4"/>
    <w:rsid w:val="00BC1B7A"/>
    <w:rsid w:val="00BC1BE2"/>
    <w:rsid w:val="00BC1BFB"/>
    <w:rsid w:val="00BC1C47"/>
    <w:rsid w:val="00BC1C6A"/>
    <w:rsid w:val="00BC1CA9"/>
    <w:rsid w:val="00BC1CED"/>
    <w:rsid w:val="00BC1D3C"/>
    <w:rsid w:val="00BC1D5C"/>
    <w:rsid w:val="00BC1D6E"/>
    <w:rsid w:val="00BC1DD1"/>
    <w:rsid w:val="00BC1E02"/>
    <w:rsid w:val="00BC1E28"/>
    <w:rsid w:val="00BC1F25"/>
    <w:rsid w:val="00BC1FB1"/>
    <w:rsid w:val="00BC1FB2"/>
    <w:rsid w:val="00BC1FBC"/>
    <w:rsid w:val="00BC1FFA"/>
    <w:rsid w:val="00BC208F"/>
    <w:rsid w:val="00BC2098"/>
    <w:rsid w:val="00BC209D"/>
    <w:rsid w:val="00BC20A1"/>
    <w:rsid w:val="00BC20DC"/>
    <w:rsid w:val="00BC2115"/>
    <w:rsid w:val="00BC2124"/>
    <w:rsid w:val="00BC2148"/>
    <w:rsid w:val="00BC21BC"/>
    <w:rsid w:val="00BC21CC"/>
    <w:rsid w:val="00BC21CE"/>
    <w:rsid w:val="00BC21F7"/>
    <w:rsid w:val="00BC22B6"/>
    <w:rsid w:val="00BC22EE"/>
    <w:rsid w:val="00BC231B"/>
    <w:rsid w:val="00BC23B7"/>
    <w:rsid w:val="00BC23F6"/>
    <w:rsid w:val="00BC2460"/>
    <w:rsid w:val="00BC24CB"/>
    <w:rsid w:val="00BC24D3"/>
    <w:rsid w:val="00BC2505"/>
    <w:rsid w:val="00BC253D"/>
    <w:rsid w:val="00BC2568"/>
    <w:rsid w:val="00BC258C"/>
    <w:rsid w:val="00BC25D3"/>
    <w:rsid w:val="00BC25D7"/>
    <w:rsid w:val="00BC25DC"/>
    <w:rsid w:val="00BC25E3"/>
    <w:rsid w:val="00BC2610"/>
    <w:rsid w:val="00BC264C"/>
    <w:rsid w:val="00BC2677"/>
    <w:rsid w:val="00BC26A7"/>
    <w:rsid w:val="00BC26EA"/>
    <w:rsid w:val="00BC2734"/>
    <w:rsid w:val="00BC27A2"/>
    <w:rsid w:val="00BC27B2"/>
    <w:rsid w:val="00BC2860"/>
    <w:rsid w:val="00BC2874"/>
    <w:rsid w:val="00BC28DB"/>
    <w:rsid w:val="00BC2910"/>
    <w:rsid w:val="00BC2957"/>
    <w:rsid w:val="00BC2967"/>
    <w:rsid w:val="00BC296D"/>
    <w:rsid w:val="00BC297C"/>
    <w:rsid w:val="00BC2999"/>
    <w:rsid w:val="00BC29AE"/>
    <w:rsid w:val="00BC29EA"/>
    <w:rsid w:val="00BC2A22"/>
    <w:rsid w:val="00BC2A5C"/>
    <w:rsid w:val="00BC2B8E"/>
    <w:rsid w:val="00BC2C06"/>
    <w:rsid w:val="00BC2C56"/>
    <w:rsid w:val="00BC2CD8"/>
    <w:rsid w:val="00BC2D0B"/>
    <w:rsid w:val="00BC2D1D"/>
    <w:rsid w:val="00BC2D24"/>
    <w:rsid w:val="00BC2D70"/>
    <w:rsid w:val="00BC2D8B"/>
    <w:rsid w:val="00BC2E1A"/>
    <w:rsid w:val="00BC2E69"/>
    <w:rsid w:val="00BC2E6F"/>
    <w:rsid w:val="00BC2EA5"/>
    <w:rsid w:val="00BC2EC2"/>
    <w:rsid w:val="00BC2EDE"/>
    <w:rsid w:val="00BC2EE1"/>
    <w:rsid w:val="00BC2EEB"/>
    <w:rsid w:val="00BC2EFC"/>
    <w:rsid w:val="00BC2F89"/>
    <w:rsid w:val="00BC2FCA"/>
    <w:rsid w:val="00BC302A"/>
    <w:rsid w:val="00BC3040"/>
    <w:rsid w:val="00BC3045"/>
    <w:rsid w:val="00BC306A"/>
    <w:rsid w:val="00BC30B1"/>
    <w:rsid w:val="00BC30B6"/>
    <w:rsid w:val="00BC30D2"/>
    <w:rsid w:val="00BC3110"/>
    <w:rsid w:val="00BC3114"/>
    <w:rsid w:val="00BC3135"/>
    <w:rsid w:val="00BC3151"/>
    <w:rsid w:val="00BC321B"/>
    <w:rsid w:val="00BC325A"/>
    <w:rsid w:val="00BC32C2"/>
    <w:rsid w:val="00BC32E1"/>
    <w:rsid w:val="00BC32FE"/>
    <w:rsid w:val="00BC3303"/>
    <w:rsid w:val="00BC3329"/>
    <w:rsid w:val="00BC334D"/>
    <w:rsid w:val="00BC33D1"/>
    <w:rsid w:val="00BC341B"/>
    <w:rsid w:val="00BC34AF"/>
    <w:rsid w:val="00BC3517"/>
    <w:rsid w:val="00BC354E"/>
    <w:rsid w:val="00BC354F"/>
    <w:rsid w:val="00BC35DE"/>
    <w:rsid w:val="00BC3635"/>
    <w:rsid w:val="00BC3641"/>
    <w:rsid w:val="00BC365A"/>
    <w:rsid w:val="00BC3682"/>
    <w:rsid w:val="00BC3693"/>
    <w:rsid w:val="00BC371A"/>
    <w:rsid w:val="00BC372C"/>
    <w:rsid w:val="00BC3772"/>
    <w:rsid w:val="00BC3783"/>
    <w:rsid w:val="00BC378E"/>
    <w:rsid w:val="00BC37C4"/>
    <w:rsid w:val="00BC37DA"/>
    <w:rsid w:val="00BC387A"/>
    <w:rsid w:val="00BC38CC"/>
    <w:rsid w:val="00BC38E6"/>
    <w:rsid w:val="00BC3929"/>
    <w:rsid w:val="00BC394B"/>
    <w:rsid w:val="00BC3977"/>
    <w:rsid w:val="00BC3982"/>
    <w:rsid w:val="00BC3A84"/>
    <w:rsid w:val="00BC3B63"/>
    <w:rsid w:val="00BC3BDF"/>
    <w:rsid w:val="00BC3BEA"/>
    <w:rsid w:val="00BC3C2E"/>
    <w:rsid w:val="00BC3CBB"/>
    <w:rsid w:val="00BC3CE8"/>
    <w:rsid w:val="00BC3CF4"/>
    <w:rsid w:val="00BC3D8B"/>
    <w:rsid w:val="00BC3DD1"/>
    <w:rsid w:val="00BC3E01"/>
    <w:rsid w:val="00BC3EB3"/>
    <w:rsid w:val="00BC3EC2"/>
    <w:rsid w:val="00BC3FA9"/>
    <w:rsid w:val="00BC3FB4"/>
    <w:rsid w:val="00BC3FBB"/>
    <w:rsid w:val="00BC3FE3"/>
    <w:rsid w:val="00BC4000"/>
    <w:rsid w:val="00BC402C"/>
    <w:rsid w:val="00BC404C"/>
    <w:rsid w:val="00BC405C"/>
    <w:rsid w:val="00BC40E7"/>
    <w:rsid w:val="00BC40EA"/>
    <w:rsid w:val="00BC40EB"/>
    <w:rsid w:val="00BC4120"/>
    <w:rsid w:val="00BC414C"/>
    <w:rsid w:val="00BC41B8"/>
    <w:rsid w:val="00BC4226"/>
    <w:rsid w:val="00BC423D"/>
    <w:rsid w:val="00BC4267"/>
    <w:rsid w:val="00BC427F"/>
    <w:rsid w:val="00BC42BA"/>
    <w:rsid w:val="00BC42C0"/>
    <w:rsid w:val="00BC42E0"/>
    <w:rsid w:val="00BC430E"/>
    <w:rsid w:val="00BC435E"/>
    <w:rsid w:val="00BC4368"/>
    <w:rsid w:val="00BC4370"/>
    <w:rsid w:val="00BC439D"/>
    <w:rsid w:val="00BC43AC"/>
    <w:rsid w:val="00BC43AD"/>
    <w:rsid w:val="00BC4401"/>
    <w:rsid w:val="00BC441A"/>
    <w:rsid w:val="00BC44CF"/>
    <w:rsid w:val="00BC456B"/>
    <w:rsid w:val="00BC4633"/>
    <w:rsid w:val="00BC46E5"/>
    <w:rsid w:val="00BC46ED"/>
    <w:rsid w:val="00BC46EF"/>
    <w:rsid w:val="00BC46F2"/>
    <w:rsid w:val="00BC4795"/>
    <w:rsid w:val="00BC479B"/>
    <w:rsid w:val="00BC47F8"/>
    <w:rsid w:val="00BC482C"/>
    <w:rsid w:val="00BC4887"/>
    <w:rsid w:val="00BC48C8"/>
    <w:rsid w:val="00BC48F7"/>
    <w:rsid w:val="00BC4911"/>
    <w:rsid w:val="00BC4926"/>
    <w:rsid w:val="00BC4956"/>
    <w:rsid w:val="00BC4988"/>
    <w:rsid w:val="00BC49C2"/>
    <w:rsid w:val="00BC49CF"/>
    <w:rsid w:val="00BC49D5"/>
    <w:rsid w:val="00BC4A21"/>
    <w:rsid w:val="00BC4A4F"/>
    <w:rsid w:val="00BC4A8E"/>
    <w:rsid w:val="00BC4ABF"/>
    <w:rsid w:val="00BC4AE2"/>
    <w:rsid w:val="00BC4B93"/>
    <w:rsid w:val="00BC4C89"/>
    <w:rsid w:val="00BC4CF7"/>
    <w:rsid w:val="00BC4D43"/>
    <w:rsid w:val="00BC4D46"/>
    <w:rsid w:val="00BC4D7D"/>
    <w:rsid w:val="00BC4E27"/>
    <w:rsid w:val="00BC4E44"/>
    <w:rsid w:val="00BC4E9D"/>
    <w:rsid w:val="00BC4EA2"/>
    <w:rsid w:val="00BC4ED1"/>
    <w:rsid w:val="00BC4EEB"/>
    <w:rsid w:val="00BC4F09"/>
    <w:rsid w:val="00BC4FBA"/>
    <w:rsid w:val="00BC5069"/>
    <w:rsid w:val="00BC50C7"/>
    <w:rsid w:val="00BC50EB"/>
    <w:rsid w:val="00BC5156"/>
    <w:rsid w:val="00BC51B3"/>
    <w:rsid w:val="00BC5240"/>
    <w:rsid w:val="00BC52BC"/>
    <w:rsid w:val="00BC52F8"/>
    <w:rsid w:val="00BC5347"/>
    <w:rsid w:val="00BC537E"/>
    <w:rsid w:val="00BC53B3"/>
    <w:rsid w:val="00BC53D4"/>
    <w:rsid w:val="00BC53E7"/>
    <w:rsid w:val="00BC53E8"/>
    <w:rsid w:val="00BC545A"/>
    <w:rsid w:val="00BC545C"/>
    <w:rsid w:val="00BC54D0"/>
    <w:rsid w:val="00BC550E"/>
    <w:rsid w:val="00BC5547"/>
    <w:rsid w:val="00BC5550"/>
    <w:rsid w:val="00BC5596"/>
    <w:rsid w:val="00BC55BE"/>
    <w:rsid w:val="00BC5606"/>
    <w:rsid w:val="00BC560D"/>
    <w:rsid w:val="00BC562F"/>
    <w:rsid w:val="00BC56D5"/>
    <w:rsid w:val="00BC56FB"/>
    <w:rsid w:val="00BC5714"/>
    <w:rsid w:val="00BC5750"/>
    <w:rsid w:val="00BC5779"/>
    <w:rsid w:val="00BC57C8"/>
    <w:rsid w:val="00BC57E0"/>
    <w:rsid w:val="00BC5800"/>
    <w:rsid w:val="00BC581D"/>
    <w:rsid w:val="00BC584E"/>
    <w:rsid w:val="00BC5850"/>
    <w:rsid w:val="00BC58FC"/>
    <w:rsid w:val="00BC59CA"/>
    <w:rsid w:val="00BC59FD"/>
    <w:rsid w:val="00BC5A67"/>
    <w:rsid w:val="00BC5AFF"/>
    <w:rsid w:val="00BC5B3F"/>
    <w:rsid w:val="00BC5B55"/>
    <w:rsid w:val="00BC5BCC"/>
    <w:rsid w:val="00BC5C13"/>
    <w:rsid w:val="00BC5C3B"/>
    <w:rsid w:val="00BC5C54"/>
    <w:rsid w:val="00BC5C6D"/>
    <w:rsid w:val="00BC5C94"/>
    <w:rsid w:val="00BC5CA3"/>
    <w:rsid w:val="00BC5CBF"/>
    <w:rsid w:val="00BC5D4D"/>
    <w:rsid w:val="00BC5D89"/>
    <w:rsid w:val="00BC5DAB"/>
    <w:rsid w:val="00BC5E2B"/>
    <w:rsid w:val="00BC5ED8"/>
    <w:rsid w:val="00BC5EE0"/>
    <w:rsid w:val="00BC5EFE"/>
    <w:rsid w:val="00BC5F08"/>
    <w:rsid w:val="00BC5F54"/>
    <w:rsid w:val="00BC5F9E"/>
    <w:rsid w:val="00BC6030"/>
    <w:rsid w:val="00BC6057"/>
    <w:rsid w:val="00BC60D6"/>
    <w:rsid w:val="00BC60F8"/>
    <w:rsid w:val="00BC6154"/>
    <w:rsid w:val="00BC6217"/>
    <w:rsid w:val="00BC6222"/>
    <w:rsid w:val="00BC6225"/>
    <w:rsid w:val="00BC6237"/>
    <w:rsid w:val="00BC62C8"/>
    <w:rsid w:val="00BC62DC"/>
    <w:rsid w:val="00BC630A"/>
    <w:rsid w:val="00BC6337"/>
    <w:rsid w:val="00BC633A"/>
    <w:rsid w:val="00BC63A5"/>
    <w:rsid w:val="00BC6460"/>
    <w:rsid w:val="00BC6466"/>
    <w:rsid w:val="00BC6499"/>
    <w:rsid w:val="00BC6534"/>
    <w:rsid w:val="00BC65EE"/>
    <w:rsid w:val="00BC6635"/>
    <w:rsid w:val="00BC6694"/>
    <w:rsid w:val="00BC66E4"/>
    <w:rsid w:val="00BC67DB"/>
    <w:rsid w:val="00BC6800"/>
    <w:rsid w:val="00BC68C0"/>
    <w:rsid w:val="00BC68E9"/>
    <w:rsid w:val="00BC690F"/>
    <w:rsid w:val="00BC693B"/>
    <w:rsid w:val="00BC6956"/>
    <w:rsid w:val="00BC696A"/>
    <w:rsid w:val="00BC6984"/>
    <w:rsid w:val="00BC69A0"/>
    <w:rsid w:val="00BC69EC"/>
    <w:rsid w:val="00BC69F7"/>
    <w:rsid w:val="00BC6A86"/>
    <w:rsid w:val="00BC6A93"/>
    <w:rsid w:val="00BC6AB5"/>
    <w:rsid w:val="00BC6BBF"/>
    <w:rsid w:val="00BC6BCC"/>
    <w:rsid w:val="00BC6C97"/>
    <w:rsid w:val="00BC6CCE"/>
    <w:rsid w:val="00BC6CD9"/>
    <w:rsid w:val="00BC6CDE"/>
    <w:rsid w:val="00BC6D20"/>
    <w:rsid w:val="00BC6D4C"/>
    <w:rsid w:val="00BC6D6E"/>
    <w:rsid w:val="00BC6DBD"/>
    <w:rsid w:val="00BC6DBE"/>
    <w:rsid w:val="00BC6DE3"/>
    <w:rsid w:val="00BC6E71"/>
    <w:rsid w:val="00BC6E76"/>
    <w:rsid w:val="00BC6EBF"/>
    <w:rsid w:val="00BC6EC0"/>
    <w:rsid w:val="00BC6EEC"/>
    <w:rsid w:val="00BC6F3C"/>
    <w:rsid w:val="00BC6F45"/>
    <w:rsid w:val="00BC6F53"/>
    <w:rsid w:val="00BC6F61"/>
    <w:rsid w:val="00BC6FE8"/>
    <w:rsid w:val="00BC6FF6"/>
    <w:rsid w:val="00BC7037"/>
    <w:rsid w:val="00BC7055"/>
    <w:rsid w:val="00BC70A2"/>
    <w:rsid w:val="00BC7106"/>
    <w:rsid w:val="00BC7125"/>
    <w:rsid w:val="00BC7211"/>
    <w:rsid w:val="00BC721E"/>
    <w:rsid w:val="00BC7237"/>
    <w:rsid w:val="00BC7257"/>
    <w:rsid w:val="00BC7258"/>
    <w:rsid w:val="00BC72B1"/>
    <w:rsid w:val="00BC72B8"/>
    <w:rsid w:val="00BC72F8"/>
    <w:rsid w:val="00BC73CF"/>
    <w:rsid w:val="00BC741D"/>
    <w:rsid w:val="00BC749E"/>
    <w:rsid w:val="00BC74CD"/>
    <w:rsid w:val="00BC74FE"/>
    <w:rsid w:val="00BC750D"/>
    <w:rsid w:val="00BC7531"/>
    <w:rsid w:val="00BC75CD"/>
    <w:rsid w:val="00BC7643"/>
    <w:rsid w:val="00BC76DB"/>
    <w:rsid w:val="00BC76E1"/>
    <w:rsid w:val="00BC7725"/>
    <w:rsid w:val="00BC7747"/>
    <w:rsid w:val="00BC77C8"/>
    <w:rsid w:val="00BC77F2"/>
    <w:rsid w:val="00BC7808"/>
    <w:rsid w:val="00BC7837"/>
    <w:rsid w:val="00BC786C"/>
    <w:rsid w:val="00BC78E0"/>
    <w:rsid w:val="00BC78EB"/>
    <w:rsid w:val="00BC793D"/>
    <w:rsid w:val="00BC7954"/>
    <w:rsid w:val="00BC79D4"/>
    <w:rsid w:val="00BC7A0F"/>
    <w:rsid w:val="00BC7A2B"/>
    <w:rsid w:val="00BC7A37"/>
    <w:rsid w:val="00BC7A59"/>
    <w:rsid w:val="00BC7A8D"/>
    <w:rsid w:val="00BC7AA7"/>
    <w:rsid w:val="00BC7AC1"/>
    <w:rsid w:val="00BC7BE6"/>
    <w:rsid w:val="00BC7C69"/>
    <w:rsid w:val="00BC7CED"/>
    <w:rsid w:val="00BC7D48"/>
    <w:rsid w:val="00BC7D62"/>
    <w:rsid w:val="00BC7D9D"/>
    <w:rsid w:val="00BC7DA2"/>
    <w:rsid w:val="00BC7DAB"/>
    <w:rsid w:val="00BC7DFE"/>
    <w:rsid w:val="00BC7E07"/>
    <w:rsid w:val="00BC7E80"/>
    <w:rsid w:val="00BC7F23"/>
    <w:rsid w:val="00BC7F50"/>
    <w:rsid w:val="00BC7F6F"/>
    <w:rsid w:val="00BD0089"/>
    <w:rsid w:val="00BD0096"/>
    <w:rsid w:val="00BD00CB"/>
    <w:rsid w:val="00BD0108"/>
    <w:rsid w:val="00BD010E"/>
    <w:rsid w:val="00BD014F"/>
    <w:rsid w:val="00BD0175"/>
    <w:rsid w:val="00BD0203"/>
    <w:rsid w:val="00BD03BE"/>
    <w:rsid w:val="00BD0405"/>
    <w:rsid w:val="00BD049C"/>
    <w:rsid w:val="00BD051C"/>
    <w:rsid w:val="00BD0532"/>
    <w:rsid w:val="00BD0545"/>
    <w:rsid w:val="00BD059C"/>
    <w:rsid w:val="00BD0608"/>
    <w:rsid w:val="00BD060F"/>
    <w:rsid w:val="00BD0633"/>
    <w:rsid w:val="00BD0663"/>
    <w:rsid w:val="00BD0690"/>
    <w:rsid w:val="00BD06DE"/>
    <w:rsid w:val="00BD071E"/>
    <w:rsid w:val="00BD07A4"/>
    <w:rsid w:val="00BD07B9"/>
    <w:rsid w:val="00BD0800"/>
    <w:rsid w:val="00BD08AE"/>
    <w:rsid w:val="00BD08D9"/>
    <w:rsid w:val="00BD08F6"/>
    <w:rsid w:val="00BD0907"/>
    <w:rsid w:val="00BD0919"/>
    <w:rsid w:val="00BD091A"/>
    <w:rsid w:val="00BD0926"/>
    <w:rsid w:val="00BD0948"/>
    <w:rsid w:val="00BD0988"/>
    <w:rsid w:val="00BD0999"/>
    <w:rsid w:val="00BD09BF"/>
    <w:rsid w:val="00BD09E4"/>
    <w:rsid w:val="00BD0A20"/>
    <w:rsid w:val="00BD0A30"/>
    <w:rsid w:val="00BD0A3A"/>
    <w:rsid w:val="00BD0B32"/>
    <w:rsid w:val="00BD0B66"/>
    <w:rsid w:val="00BD0B72"/>
    <w:rsid w:val="00BD0BDD"/>
    <w:rsid w:val="00BD0BEC"/>
    <w:rsid w:val="00BD0C10"/>
    <w:rsid w:val="00BD0C12"/>
    <w:rsid w:val="00BD0C28"/>
    <w:rsid w:val="00BD0C91"/>
    <w:rsid w:val="00BD0CA5"/>
    <w:rsid w:val="00BD0CB7"/>
    <w:rsid w:val="00BD0CBA"/>
    <w:rsid w:val="00BD0CE2"/>
    <w:rsid w:val="00BD0CE3"/>
    <w:rsid w:val="00BD0CEF"/>
    <w:rsid w:val="00BD0CF7"/>
    <w:rsid w:val="00BD0CFE"/>
    <w:rsid w:val="00BD0D0D"/>
    <w:rsid w:val="00BD0D35"/>
    <w:rsid w:val="00BD0E19"/>
    <w:rsid w:val="00BD0E30"/>
    <w:rsid w:val="00BD0E3E"/>
    <w:rsid w:val="00BD0E68"/>
    <w:rsid w:val="00BD0EC9"/>
    <w:rsid w:val="00BD0F8D"/>
    <w:rsid w:val="00BD0FB5"/>
    <w:rsid w:val="00BD11C0"/>
    <w:rsid w:val="00BD11FA"/>
    <w:rsid w:val="00BD1263"/>
    <w:rsid w:val="00BD12A2"/>
    <w:rsid w:val="00BD12DA"/>
    <w:rsid w:val="00BD1322"/>
    <w:rsid w:val="00BD1394"/>
    <w:rsid w:val="00BD13EF"/>
    <w:rsid w:val="00BD1463"/>
    <w:rsid w:val="00BD146A"/>
    <w:rsid w:val="00BD148F"/>
    <w:rsid w:val="00BD14C7"/>
    <w:rsid w:val="00BD157D"/>
    <w:rsid w:val="00BD1581"/>
    <w:rsid w:val="00BD16A2"/>
    <w:rsid w:val="00BD16AE"/>
    <w:rsid w:val="00BD1726"/>
    <w:rsid w:val="00BD177D"/>
    <w:rsid w:val="00BD17E2"/>
    <w:rsid w:val="00BD17E6"/>
    <w:rsid w:val="00BD1816"/>
    <w:rsid w:val="00BD1856"/>
    <w:rsid w:val="00BD1861"/>
    <w:rsid w:val="00BD1892"/>
    <w:rsid w:val="00BD191E"/>
    <w:rsid w:val="00BD1973"/>
    <w:rsid w:val="00BD1974"/>
    <w:rsid w:val="00BD1990"/>
    <w:rsid w:val="00BD19A5"/>
    <w:rsid w:val="00BD19C0"/>
    <w:rsid w:val="00BD19C6"/>
    <w:rsid w:val="00BD19C8"/>
    <w:rsid w:val="00BD1A02"/>
    <w:rsid w:val="00BD1A36"/>
    <w:rsid w:val="00BD1AB7"/>
    <w:rsid w:val="00BD1AFE"/>
    <w:rsid w:val="00BD1B19"/>
    <w:rsid w:val="00BD1B3B"/>
    <w:rsid w:val="00BD1B3E"/>
    <w:rsid w:val="00BD1B79"/>
    <w:rsid w:val="00BD1B82"/>
    <w:rsid w:val="00BD1BB1"/>
    <w:rsid w:val="00BD1BC9"/>
    <w:rsid w:val="00BD1C4F"/>
    <w:rsid w:val="00BD1C55"/>
    <w:rsid w:val="00BD1C66"/>
    <w:rsid w:val="00BD1CD1"/>
    <w:rsid w:val="00BD1D6F"/>
    <w:rsid w:val="00BD1D85"/>
    <w:rsid w:val="00BD1D90"/>
    <w:rsid w:val="00BD1E1E"/>
    <w:rsid w:val="00BD1E8D"/>
    <w:rsid w:val="00BD1EA1"/>
    <w:rsid w:val="00BD1ED6"/>
    <w:rsid w:val="00BD1EF9"/>
    <w:rsid w:val="00BD1F07"/>
    <w:rsid w:val="00BD1FA4"/>
    <w:rsid w:val="00BD1FB6"/>
    <w:rsid w:val="00BD2000"/>
    <w:rsid w:val="00BD201D"/>
    <w:rsid w:val="00BD20A1"/>
    <w:rsid w:val="00BD20FB"/>
    <w:rsid w:val="00BD211F"/>
    <w:rsid w:val="00BD2183"/>
    <w:rsid w:val="00BD219D"/>
    <w:rsid w:val="00BD2275"/>
    <w:rsid w:val="00BD22A0"/>
    <w:rsid w:val="00BD22AD"/>
    <w:rsid w:val="00BD22D4"/>
    <w:rsid w:val="00BD22FF"/>
    <w:rsid w:val="00BD2313"/>
    <w:rsid w:val="00BD2349"/>
    <w:rsid w:val="00BD2405"/>
    <w:rsid w:val="00BD248C"/>
    <w:rsid w:val="00BD2490"/>
    <w:rsid w:val="00BD24F0"/>
    <w:rsid w:val="00BD24FF"/>
    <w:rsid w:val="00BD250B"/>
    <w:rsid w:val="00BD2538"/>
    <w:rsid w:val="00BD2553"/>
    <w:rsid w:val="00BD25A8"/>
    <w:rsid w:val="00BD25BB"/>
    <w:rsid w:val="00BD25FD"/>
    <w:rsid w:val="00BD26AB"/>
    <w:rsid w:val="00BD26FC"/>
    <w:rsid w:val="00BD2739"/>
    <w:rsid w:val="00BD27C7"/>
    <w:rsid w:val="00BD2812"/>
    <w:rsid w:val="00BD2816"/>
    <w:rsid w:val="00BD2834"/>
    <w:rsid w:val="00BD2899"/>
    <w:rsid w:val="00BD28C4"/>
    <w:rsid w:val="00BD28D0"/>
    <w:rsid w:val="00BD2A21"/>
    <w:rsid w:val="00BD2AD6"/>
    <w:rsid w:val="00BD2B05"/>
    <w:rsid w:val="00BD2B4D"/>
    <w:rsid w:val="00BD2B9A"/>
    <w:rsid w:val="00BD2B9F"/>
    <w:rsid w:val="00BD2BB7"/>
    <w:rsid w:val="00BD2BDC"/>
    <w:rsid w:val="00BD2BF3"/>
    <w:rsid w:val="00BD2C69"/>
    <w:rsid w:val="00BD2C89"/>
    <w:rsid w:val="00BD2CC8"/>
    <w:rsid w:val="00BD2CE5"/>
    <w:rsid w:val="00BD2DA5"/>
    <w:rsid w:val="00BD2DA7"/>
    <w:rsid w:val="00BD2DBD"/>
    <w:rsid w:val="00BD2DD2"/>
    <w:rsid w:val="00BD2DDC"/>
    <w:rsid w:val="00BD2DE9"/>
    <w:rsid w:val="00BD2E3A"/>
    <w:rsid w:val="00BD2E44"/>
    <w:rsid w:val="00BD2E88"/>
    <w:rsid w:val="00BD2EB5"/>
    <w:rsid w:val="00BD2EBA"/>
    <w:rsid w:val="00BD2FCC"/>
    <w:rsid w:val="00BD3003"/>
    <w:rsid w:val="00BD3027"/>
    <w:rsid w:val="00BD302F"/>
    <w:rsid w:val="00BD30B8"/>
    <w:rsid w:val="00BD313D"/>
    <w:rsid w:val="00BD318A"/>
    <w:rsid w:val="00BD31A2"/>
    <w:rsid w:val="00BD31BF"/>
    <w:rsid w:val="00BD31D5"/>
    <w:rsid w:val="00BD31E1"/>
    <w:rsid w:val="00BD3246"/>
    <w:rsid w:val="00BD32A2"/>
    <w:rsid w:val="00BD32D3"/>
    <w:rsid w:val="00BD330A"/>
    <w:rsid w:val="00BD3343"/>
    <w:rsid w:val="00BD334C"/>
    <w:rsid w:val="00BD33B1"/>
    <w:rsid w:val="00BD33E8"/>
    <w:rsid w:val="00BD3415"/>
    <w:rsid w:val="00BD3462"/>
    <w:rsid w:val="00BD346E"/>
    <w:rsid w:val="00BD3499"/>
    <w:rsid w:val="00BD34B0"/>
    <w:rsid w:val="00BD3579"/>
    <w:rsid w:val="00BD3582"/>
    <w:rsid w:val="00BD3630"/>
    <w:rsid w:val="00BD3633"/>
    <w:rsid w:val="00BD363F"/>
    <w:rsid w:val="00BD3669"/>
    <w:rsid w:val="00BD3684"/>
    <w:rsid w:val="00BD369F"/>
    <w:rsid w:val="00BD37D3"/>
    <w:rsid w:val="00BD37E8"/>
    <w:rsid w:val="00BD380E"/>
    <w:rsid w:val="00BD381A"/>
    <w:rsid w:val="00BD382E"/>
    <w:rsid w:val="00BD3839"/>
    <w:rsid w:val="00BD3867"/>
    <w:rsid w:val="00BD38E9"/>
    <w:rsid w:val="00BD38F7"/>
    <w:rsid w:val="00BD3928"/>
    <w:rsid w:val="00BD394E"/>
    <w:rsid w:val="00BD399A"/>
    <w:rsid w:val="00BD399E"/>
    <w:rsid w:val="00BD39FD"/>
    <w:rsid w:val="00BD3A21"/>
    <w:rsid w:val="00BD3A6B"/>
    <w:rsid w:val="00BD3AEA"/>
    <w:rsid w:val="00BD3B34"/>
    <w:rsid w:val="00BD3B4E"/>
    <w:rsid w:val="00BD3B61"/>
    <w:rsid w:val="00BD3B85"/>
    <w:rsid w:val="00BD3BAE"/>
    <w:rsid w:val="00BD3BB7"/>
    <w:rsid w:val="00BD3BE9"/>
    <w:rsid w:val="00BD3C61"/>
    <w:rsid w:val="00BD3C9D"/>
    <w:rsid w:val="00BD3D54"/>
    <w:rsid w:val="00BD3D68"/>
    <w:rsid w:val="00BD3D97"/>
    <w:rsid w:val="00BD3DFF"/>
    <w:rsid w:val="00BD3EA4"/>
    <w:rsid w:val="00BD3F55"/>
    <w:rsid w:val="00BD3F9B"/>
    <w:rsid w:val="00BD3FAF"/>
    <w:rsid w:val="00BD3FDC"/>
    <w:rsid w:val="00BD4071"/>
    <w:rsid w:val="00BD40B9"/>
    <w:rsid w:val="00BD4143"/>
    <w:rsid w:val="00BD416C"/>
    <w:rsid w:val="00BD41D1"/>
    <w:rsid w:val="00BD4204"/>
    <w:rsid w:val="00BD4216"/>
    <w:rsid w:val="00BD42B7"/>
    <w:rsid w:val="00BD42CE"/>
    <w:rsid w:val="00BD432D"/>
    <w:rsid w:val="00BD43E4"/>
    <w:rsid w:val="00BD43F2"/>
    <w:rsid w:val="00BD4411"/>
    <w:rsid w:val="00BD44CE"/>
    <w:rsid w:val="00BD44E2"/>
    <w:rsid w:val="00BD459F"/>
    <w:rsid w:val="00BD45A5"/>
    <w:rsid w:val="00BD45EB"/>
    <w:rsid w:val="00BD463A"/>
    <w:rsid w:val="00BD4642"/>
    <w:rsid w:val="00BD46FE"/>
    <w:rsid w:val="00BD4703"/>
    <w:rsid w:val="00BD4743"/>
    <w:rsid w:val="00BD476D"/>
    <w:rsid w:val="00BD47CB"/>
    <w:rsid w:val="00BD47F9"/>
    <w:rsid w:val="00BD48ED"/>
    <w:rsid w:val="00BD48F7"/>
    <w:rsid w:val="00BD490C"/>
    <w:rsid w:val="00BD494A"/>
    <w:rsid w:val="00BD4957"/>
    <w:rsid w:val="00BD49A6"/>
    <w:rsid w:val="00BD4AF9"/>
    <w:rsid w:val="00BD4B85"/>
    <w:rsid w:val="00BD4C40"/>
    <w:rsid w:val="00BD4C4F"/>
    <w:rsid w:val="00BD4C5D"/>
    <w:rsid w:val="00BD4D35"/>
    <w:rsid w:val="00BD4D40"/>
    <w:rsid w:val="00BD4D73"/>
    <w:rsid w:val="00BD4D90"/>
    <w:rsid w:val="00BD4E62"/>
    <w:rsid w:val="00BD4EC4"/>
    <w:rsid w:val="00BD4EEC"/>
    <w:rsid w:val="00BD4F00"/>
    <w:rsid w:val="00BD4F34"/>
    <w:rsid w:val="00BD4F58"/>
    <w:rsid w:val="00BD4FAA"/>
    <w:rsid w:val="00BD4FC5"/>
    <w:rsid w:val="00BD4FE3"/>
    <w:rsid w:val="00BD5035"/>
    <w:rsid w:val="00BD5065"/>
    <w:rsid w:val="00BD5082"/>
    <w:rsid w:val="00BD5090"/>
    <w:rsid w:val="00BD50A1"/>
    <w:rsid w:val="00BD50AA"/>
    <w:rsid w:val="00BD50AC"/>
    <w:rsid w:val="00BD50DC"/>
    <w:rsid w:val="00BD512B"/>
    <w:rsid w:val="00BD51F7"/>
    <w:rsid w:val="00BD5302"/>
    <w:rsid w:val="00BD5374"/>
    <w:rsid w:val="00BD53C2"/>
    <w:rsid w:val="00BD542F"/>
    <w:rsid w:val="00BD552F"/>
    <w:rsid w:val="00BD5576"/>
    <w:rsid w:val="00BD55EE"/>
    <w:rsid w:val="00BD5614"/>
    <w:rsid w:val="00BD566E"/>
    <w:rsid w:val="00BD57C2"/>
    <w:rsid w:val="00BD57E4"/>
    <w:rsid w:val="00BD5831"/>
    <w:rsid w:val="00BD588C"/>
    <w:rsid w:val="00BD5897"/>
    <w:rsid w:val="00BD591F"/>
    <w:rsid w:val="00BD5947"/>
    <w:rsid w:val="00BD595B"/>
    <w:rsid w:val="00BD59B7"/>
    <w:rsid w:val="00BD59C1"/>
    <w:rsid w:val="00BD59F7"/>
    <w:rsid w:val="00BD5A1F"/>
    <w:rsid w:val="00BD5A61"/>
    <w:rsid w:val="00BD5B15"/>
    <w:rsid w:val="00BD5B7B"/>
    <w:rsid w:val="00BD5BA6"/>
    <w:rsid w:val="00BD5BBF"/>
    <w:rsid w:val="00BD5BD3"/>
    <w:rsid w:val="00BD5BEA"/>
    <w:rsid w:val="00BD5BFC"/>
    <w:rsid w:val="00BD5C0A"/>
    <w:rsid w:val="00BD5CC3"/>
    <w:rsid w:val="00BD5CCA"/>
    <w:rsid w:val="00BD5D58"/>
    <w:rsid w:val="00BD5D90"/>
    <w:rsid w:val="00BD5E1B"/>
    <w:rsid w:val="00BD5ED5"/>
    <w:rsid w:val="00BD5F55"/>
    <w:rsid w:val="00BD6075"/>
    <w:rsid w:val="00BD608A"/>
    <w:rsid w:val="00BD60ED"/>
    <w:rsid w:val="00BD6123"/>
    <w:rsid w:val="00BD6171"/>
    <w:rsid w:val="00BD61CF"/>
    <w:rsid w:val="00BD6219"/>
    <w:rsid w:val="00BD6232"/>
    <w:rsid w:val="00BD6311"/>
    <w:rsid w:val="00BD63D6"/>
    <w:rsid w:val="00BD647D"/>
    <w:rsid w:val="00BD64A9"/>
    <w:rsid w:val="00BD64D9"/>
    <w:rsid w:val="00BD650E"/>
    <w:rsid w:val="00BD6517"/>
    <w:rsid w:val="00BD6525"/>
    <w:rsid w:val="00BD6588"/>
    <w:rsid w:val="00BD65A8"/>
    <w:rsid w:val="00BD6621"/>
    <w:rsid w:val="00BD6624"/>
    <w:rsid w:val="00BD6675"/>
    <w:rsid w:val="00BD66C6"/>
    <w:rsid w:val="00BD66E0"/>
    <w:rsid w:val="00BD66F1"/>
    <w:rsid w:val="00BD6734"/>
    <w:rsid w:val="00BD675D"/>
    <w:rsid w:val="00BD6873"/>
    <w:rsid w:val="00BD689C"/>
    <w:rsid w:val="00BD68F3"/>
    <w:rsid w:val="00BD68F8"/>
    <w:rsid w:val="00BD68FA"/>
    <w:rsid w:val="00BD6913"/>
    <w:rsid w:val="00BD6926"/>
    <w:rsid w:val="00BD6941"/>
    <w:rsid w:val="00BD6964"/>
    <w:rsid w:val="00BD69AB"/>
    <w:rsid w:val="00BD69AF"/>
    <w:rsid w:val="00BD69B2"/>
    <w:rsid w:val="00BD6A08"/>
    <w:rsid w:val="00BD6A9C"/>
    <w:rsid w:val="00BD6C01"/>
    <w:rsid w:val="00BD6C6C"/>
    <w:rsid w:val="00BD6CA2"/>
    <w:rsid w:val="00BD6CC7"/>
    <w:rsid w:val="00BD6D01"/>
    <w:rsid w:val="00BD6D32"/>
    <w:rsid w:val="00BD6D39"/>
    <w:rsid w:val="00BD6D62"/>
    <w:rsid w:val="00BD6E00"/>
    <w:rsid w:val="00BD6E1E"/>
    <w:rsid w:val="00BD6EB1"/>
    <w:rsid w:val="00BD6EDC"/>
    <w:rsid w:val="00BD6EE5"/>
    <w:rsid w:val="00BD6F22"/>
    <w:rsid w:val="00BD6F81"/>
    <w:rsid w:val="00BD6F8A"/>
    <w:rsid w:val="00BD6FBF"/>
    <w:rsid w:val="00BD6FDC"/>
    <w:rsid w:val="00BD6FE2"/>
    <w:rsid w:val="00BD7018"/>
    <w:rsid w:val="00BD701B"/>
    <w:rsid w:val="00BD7045"/>
    <w:rsid w:val="00BD708C"/>
    <w:rsid w:val="00BD70BE"/>
    <w:rsid w:val="00BD711C"/>
    <w:rsid w:val="00BD7127"/>
    <w:rsid w:val="00BD713B"/>
    <w:rsid w:val="00BD7169"/>
    <w:rsid w:val="00BD7182"/>
    <w:rsid w:val="00BD7189"/>
    <w:rsid w:val="00BD71B9"/>
    <w:rsid w:val="00BD71C5"/>
    <w:rsid w:val="00BD7258"/>
    <w:rsid w:val="00BD729F"/>
    <w:rsid w:val="00BD72FF"/>
    <w:rsid w:val="00BD731A"/>
    <w:rsid w:val="00BD7346"/>
    <w:rsid w:val="00BD7349"/>
    <w:rsid w:val="00BD7421"/>
    <w:rsid w:val="00BD744F"/>
    <w:rsid w:val="00BD7488"/>
    <w:rsid w:val="00BD748F"/>
    <w:rsid w:val="00BD74F8"/>
    <w:rsid w:val="00BD7567"/>
    <w:rsid w:val="00BD75EF"/>
    <w:rsid w:val="00BD7609"/>
    <w:rsid w:val="00BD7649"/>
    <w:rsid w:val="00BD7680"/>
    <w:rsid w:val="00BD76E5"/>
    <w:rsid w:val="00BD76EE"/>
    <w:rsid w:val="00BD773A"/>
    <w:rsid w:val="00BD77BB"/>
    <w:rsid w:val="00BD77D5"/>
    <w:rsid w:val="00BD77F8"/>
    <w:rsid w:val="00BD78A4"/>
    <w:rsid w:val="00BD78EB"/>
    <w:rsid w:val="00BD78F6"/>
    <w:rsid w:val="00BD791A"/>
    <w:rsid w:val="00BD795D"/>
    <w:rsid w:val="00BD798B"/>
    <w:rsid w:val="00BD799E"/>
    <w:rsid w:val="00BD79D8"/>
    <w:rsid w:val="00BD79E0"/>
    <w:rsid w:val="00BD79FA"/>
    <w:rsid w:val="00BD7A16"/>
    <w:rsid w:val="00BD7AB3"/>
    <w:rsid w:val="00BD7B3F"/>
    <w:rsid w:val="00BD7B75"/>
    <w:rsid w:val="00BD7BA1"/>
    <w:rsid w:val="00BD7C56"/>
    <w:rsid w:val="00BD7C93"/>
    <w:rsid w:val="00BD7D02"/>
    <w:rsid w:val="00BD7D2B"/>
    <w:rsid w:val="00BD7D40"/>
    <w:rsid w:val="00BD7D65"/>
    <w:rsid w:val="00BD7E42"/>
    <w:rsid w:val="00BD7E48"/>
    <w:rsid w:val="00BD7E69"/>
    <w:rsid w:val="00BD7EC6"/>
    <w:rsid w:val="00BD7EEE"/>
    <w:rsid w:val="00BD7EEF"/>
    <w:rsid w:val="00BD7FF8"/>
    <w:rsid w:val="00BE0023"/>
    <w:rsid w:val="00BE0078"/>
    <w:rsid w:val="00BE0083"/>
    <w:rsid w:val="00BE00C6"/>
    <w:rsid w:val="00BE0113"/>
    <w:rsid w:val="00BE014B"/>
    <w:rsid w:val="00BE014D"/>
    <w:rsid w:val="00BE018C"/>
    <w:rsid w:val="00BE019A"/>
    <w:rsid w:val="00BE019F"/>
    <w:rsid w:val="00BE01DD"/>
    <w:rsid w:val="00BE0213"/>
    <w:rsid w:val="00BE024E"/>
    <w:rsid w:val="00BE0337"/>
    <w:rsid w:val="00BE0369"/>
    <w:rsid w:val="00BE03F1"/>
    <w:rsid w:val="00BE04A0"/>
    <w:rsid w:val="00BE04AC"/>
    <w:rsid w:val="00BE04D4"/>
    <w:rsid w:val="00BE0509"/>
    <w:rsid w:val="00BE0514"/>
    <w:rsid w:val="00BE0531"/>
    <w:rsid w:val="00BE0563"/>
    <w:rsid w:val="00BE05DF"/>
    <w:rsid w:val="00BE062D"/>
    <w:rsid w:val="00BE0758"/>
    <w:rsid w:val="00BE07B4"/>
    <w:rsid w:val="00BE081D"/>
    <w:rsid w:val="00BE0824"/>
    <w:rsid w:val="00BE0877"/>
    <w:rsid w:val="00BE08B3"/>
    <w:rsid w:val="00BE08BE"/>
    <w:rsid w:val="00BE08E6"/>
    <w:rsid w:val="00BE0941"/>
    <w:rsid w:val="00BE0982"/>
    <w:rsid w:val="00BE09B1"/>
    <w:rsid w:val="00BE0A0B"/>
    <w:rsid w:val="00BE0A36"/>
    <w:rsid w:val="00BE0A3F"/>
    <w:rsid w:val="00BE0A55"/>
    <w:rsid w:val="00BE0B05"/>
    <w:rsid w:val="00BE0B66"/>
    <w:rsid w:val="00BE0B7D"/>
    <w:rsid w:val="00BE0B9A"/>
    <w:rsid w:val="00BE0BAA"/>
    <w:rsid w:val="00BE0BB6"/>
    <w:rsid w:val="00BE0BC3"/>
    <w:rsid w:val="00BE0BF7"/>
    <w:rsid w:val="00BE0C11"/>
    <w:rsid w:val="00BE0C1F"/>
    <w:rsid w:val="00BE0C84"/>
    <w:rsid w:val="00BE0CDD"/>
    <w:rsid w:val="00BE0CE8"/>
    <w:rsid w:val="00BE0D45"/>
    <w:rsid w:val="00BE0D64"/>
    <w:rsid w:val="00BE0E2F"/>
    <w:rsid w:val="00BE0EF8"/>
    <w:rsid w:val="00BE0EFF"/>
    <w:rsid w:val="00BE0F17"/>
    <w:rsid w:val="00BE0F2A"/>
    <w:rsid w:val="00BE0F52"/>
    <w:rsid w:val="00BE0F62"/>
    <w:rsid w:val="00BE0F97"/>
    <w:rsid w:val="00BE0FE7"/>
    <w:rsid w:val="00BE0FF8"/>
    <w:rsid w:val="00BE1010"/>
    <w:rsid w:val="00BE1040"/>
    <w:rsid w:val="00BE104C"/>
    <w:rsid w:val="00BE1118"/>
    <w:rsid w:val="00BE11C8"/>
    <w:rsid w:val="00BE11F7"/>
    <w:rsid w:val="00BE121A"/>
    <w:rsid w:val="00BE122A"/>
    <w:rsid w:val="00BE1246"/>
    <w:rsid w:val="00BE1251"/>
    <w:rsid w:val="00BE125F"/>
    <w:rsid w:val="00BE1286"/>
    <w:rsid w:val="00BE12F9"/>
    <w:rsid w:val="00BE1311"/>
    <w:rsid w:val="00BE147E"/>
    <w:rsid w:val="00BE156C"/>
    <w:rsid w:val="00BE1581"/>
    <w:rsid w:val="00BE158D"/>
    <w:rsid w:val="00BE15B5"/>
    <w:rsid w:val="00BE15C3"/>
    <w:rsid w:val="00BE15EF"/>
    <w:rsid w:val="00BE1637"/>
    <w:rsid w:val="00BE16E6"/>
    <w:rsid w:val="00BE16F6"/>
    <w:rsid w:val="00BE17DE"/>
    <w:rsid w:val="00BE17EC"/>
    <w:rsid w:val="00BE17F3"/>
    <w:rsid w:val="00BE183C"/>
    <w:rsid w:val="00BE1843"/>
    <w:rsid w:val="00BE18B4"/>
    <w:rsid w:val="00BE18B9"/>
    <w:rsid w:val="00BE18BE"/>
    <w:rsid w:val="00BE19B0"/>
    <w:rsid w:val="00BE19D7"/>
    <w:rsid w:val="00BE19FA"/>
    <w:rsid w:val="00BE19FD"/>
    <w:rsid w:val="00BE1A1B"/>
    <w:rsid w:val="00BE1A6B"/>
    <w:rsid w:val="00BE1A9F"/>
    <w:rsid w:val="00BE1AB9"/>
    <w:rsid w:val="00BE1B85"/>
    <w:rsid w:val="00BE1C24"/>
    <w:rsid w:val="00BE1C60"/>
    <w:rsid w:val="00BE1D01"/>
    <w:rsid w:val="00BE1D23"/>
    <w:rsid w:val="00BE1D2D"/>
    <w:rsid w:val="00BE1D55"/>
    <w:rsid w:val="00BE1D6E"/>
    <w:rsid w:val="00BE1D95"/>
    <w:rsid w:val="00BE1E2F"/>
    <w:rsid w:val="00BE1E36"/>
    <w:rsid w:val="00BE1EDB"/>
    <w:rsid w:val="00BE1F56"/>
    <w:rsid w:val="00BE206C"/>
    <w:rsid w:val="00BE2084"/>
    <w:rsid w:val="00BE209B"/>
    <w:rsid w:val="00BE21D3"/>
    <w:rsid w:val="00BE21DB"/>
    <w:rsid w:val="00BE21F0"/>
    <w:rsid w:val="00BE2203"/>
    <w:rsid w:val="00BE2261"/>
    <w:rsid w:val="00BE2302"/>
    <w:rsid w:val="00BE2373"/>
    <w:rsid w:val="00BE2399"/>
    <w:rsid w:val="00BE23B3"/>
    <w:rsid w:val="00BE23BB"/>
    <w:rsid w:val="00BE23DB"/>
    <w:rsid w:val="00BE23E1"/>
    <w:rsid w:val="00BE242E"/>
    <w:rsid w:val="00BE2445"/>
    <w:rsid w:val="00BE246F"/>
    <w:rsid w:val="00BE2489"/>
    <w:rsid w:val="00BE24C8"/>
    <w:rsid w:val="00BE24DB"/>
    <w:rsid w:val="00BE250E"/>
    <w:rsid w:val="00BE252A"/>
    <w:rsid w:val="00BE25D0"/>
    <w:rsid w:val="00BE260A"/>
    <w:rsid w:val="00BE2649"/>
    <w:rsid w:val="00BE268E"/>
    <w:rsid w:val="00BE26BE"/>
    <w:rsid w:val="00BE26C9"/>
    <w:rsid w:val="00BE26D4"/>
    <w:rsid w:val="00BE26DA"/>
    <w:rsid w:val="00BE26ED"/>
    <w:rsid w:val="00BE26FF"/>
    <w:rsid w:val="00BE2772"/>
    <w:rsid w:val="00BE2804"/>
    <w:rsid w:val="00BE280B"/>
    <w:rsid w:val="00BE28C1"/>
    <w:rsid w:val="00BE28D2"/>
    <w:rsid w:val="00BE2905"/>
    <w:rsid w:val="00BE290B"/>
    <w:rsid w:val="00BE298B"/>
    <w:rsid w:val="00BE29F7"/>
    <w:rsid w:val="00BE2A0D"/>
    <w:rsid w:val="00BE2A77"/>
    <w:rsid w:val="00BE2AB1"/>
    <w:rsid w:val="00BE2B34"/>
    <w:rsid w:val="00BE2B39"/>
    <w:rsid w:val="00BE2B83"/>
    <w:rsid w:val="00BE2BB5"/>
    <w:rsid w:val="00BE2BCA"/>
    <w:rsid w:val="00BE2BCF"/>
    <w:rsid w:val="00BE2BDF"/>
    <w:rsid w:val="00BE2BF7"/>
    <w:rsid w:val="00BE2C0B"/>
    <w:rsid w:val="00BE2C17"/>
    <w:rsid w:val="00BE2C3D"/>
    <w:rsid w:val="00BE2CAC"/>
    <w:rsid w:val="00BE2CDE"/>
    <w:rsid w:val="00BE2CE8"/>
    <w:rsid w:val="00BE2D28"/>
    <w:rsid w:val="00BE2D43"/>
    <w:rsid w:val="00BE2DA6"/>
    <w:rsid w:val="00BE2DFE"/>
    <w:rsid w:val="00BE2E45"/>
    <w:rsid w:val="00BE2E48"/>
    <w:rsid w:val="00BE2E6F"/>
    <w:rsid w:val="00BE2E90"/>
    <w:rsid w:val="00BE2ECA"/>
    <w:rsid w:val="00BE2EE0"/>
    <w:rsid w:val="00BE2F39"/>
    <w:rsid w:val="00BE2F52"/>
    <w:rsid w:val="00BE2F6C"/>
    <w:rsid w:val="00BE2FC4"/>
    <w:rsid w:val="00BE2FCF"/>
    <w:rsid w:val="00BE302B"/>
    <w:rsid w:val="00BE3054"/>
    <w:rsid w:val="00BE308A"/>
    <w:rsid w:val="00BE3140"/>
    <w:rsid w:val="00BE319A"/>
    <w:rsid w:val="00BE31B0"/>
    <w:rsid w:val="00BE328D"/>
    <w:rsid w:val="00BE32C7"/>
    <w:rsid w:val="00BE330C"/>
    <w:rsid w:val="00BE3328"/>
    <w:rsid w:val="00BE3381"/>
    <w:rsid w:val="00BE3382"/>
    <w:rsid w:val="00BE33C6"/>
    <w:rsid w:val="00BE33E1"/>
    <w:rsid w:val="00BE3428"/>
    <w:rsid w:val="00BE3496"/>
    <w:rsid w:val="00BE34E7"/>
    <w:rsid w:val="00BE35DA"/>
    <w:rsid w:val="00BE364F"/>
    <w:rsid w:val="00BE36AD"/>
    <w:rsid w:val="00BE36B1"/>
    <w:rsid w:val="00BE36DC"/>
    <w:rsid w:val="00BE3704"/>
    <w:rsid w:val="00BE370D"/>
    <w:rsid w:val="00BE3733"/>
    <w:rsid w:val="00BE3744"/>
    <w:rsid w:val="00BE375C"/>
    <w:rsid w:val="00BE38A2"/>
    <w:rsid w:val="00BE3914"/>
    <w:rsid w:val="00BE395E"/>
    <w:rsid w:val="00BE39D9"/>
    <w:rsid w:val="00BE3A21"/>
    <w:rsid w:val="00BE3A38"/>
    <w:rsid w:val="00BE3AFE"/>
    <w:rsid w:val="00BE3C25"/>
    <w:rsid w:val="00BE3C2B"/>
    <w:rsid w:val="00BE3C2C"/>
    <w:rsid w:val="00BE3C6B"/>
    <w:rsid w:val="00BE3CD4"/>
    <w:rsid w:val="00BE3D07"/>
    <w:rsid w:val="00BE3DBF"/>
    <w:rsid w:val="00BE3DC1"/>
    <w:rsid w:val="00BE3DD7"/>
    <w:rsid w:val="00BE3E33"/>
    <w:rsid w:val="00BE3E55"/>
    <w:rsid w:val="00BE3E6D"/>
    <w:rsid w:val="00BE3E7F"/>
    <w:rsid w:val="00BE3F06"/>
    <w:rsid w:val="00BE3F54"/>
    <w:rsid w:val="00BE3F9B"/>
    <w:rsid w:val="00BE3FDD"/>
    <w:rsid w:val="00BE4022"/>
    <w:rsid w:val="00BE4065"/>
    <w:rsid w:val="00BE40FE"/>
    <w:rsid w:val="00BE4124"/>
    <w:rsid w:val="00BE419C"/>
    <w:rsid w:val="00BE41C6"/>
    <w:rsid w:val="00BE4200"/>
    <w:rsid w:val="00BE427E"/>
    <w:rsid w:val="00BE42E9"/>
    <w:rsid w:val="00BE4311"/>
    <w:rsid w:val="00BE4320"/>
    <w:rsid w:val="00BE4354"/>
    <w:rsid w:val="00BE4379"/>
    <w:rsid w:val="00BE438F"/>
    <w:rsid w:val="00BE43E8"/>
    <w:rsid w:val="00BE441E"/>
    <w:rsid w:val="00BE4461"/>
    <w:rsid w:val="00BE4475"/>
    <w:rsid w:val="00BE4490"/>
    <w:rsid w:val="00BE44D7"/>
    <w:rsid w:val="00BE4510"/>
    <w:rsid w:val="00BE4528"/>
    <w:rsid w:val="00BE452B"/>
    <w:rsid w:val="00BE454D"/>
    <w:rsid w:val="00BE455A"/>
    <w:rsid w:val="00BE45F8"/>
    <w:rsid w:val="00BE4602"/>
    <w:rsid w:val="00BE4656"/>
    <w:rsid w:val="00BE4668"/>
    <w:rsid w:val="00BE46D2"/>
    <w:rsid w:val="00BE46E0"/>
    <w:rsid w:val="00BE46E3"/>
    <w:rsid w:val="00BE471D"/>
    <w:rsid w:val="00BE4723"/>
    <w:rsid w:val="00BE47D0"/>
    <w:rsid w:val="00BE47D2"/>
    <w:rsid w:val="00BE47DD"/>
    <w:rsid w:val="00BE4801"/>
    <w:rsid w:val="00BE480B"/>
    <w:rsid w:val="00BE4823"/>
    <w:rsid w:val="00BE4860"/>
    <w:rsid w:val="00BE4861"/>
    <w:rsid w:val="00BE4863"/>
    <w:rsid w:val="00BE486E"/>
    <w:rsid w:val="00BE48B6"/>
    <w:rsid w:val="00BE4910"/>
    <w:rsid w:val="00BE49F4"/>
    <w:rsid w:val="00BE4A05"/>
    <w:rsid w:val="00BE4A2C"/>
    <w:rsid w:val="00BE4A38"/>
    <w:rsid w:val="00BE4A42"/>
    <w:rsid w:val="00BE4ABE"/>
    <w:rsid w:val="00BE4AC6"/>
    <w:rsid w:val="00BE4AE0"/>
    <w:rsid w:val="00BE4B15"/>
    <w:rsid w:val="00BE4B2E"/>
    <w:rsid w:val="00BE4B3C"/>
    <w:rsid w:val="00BE4B44"/>
    <w:rsid w:val="00BE4BC9"/>
    <w:rsid w:val="00BE4BD2"/>
    <w:rsid w:val="00BE4C54"/>
    <w:rsid w:val="00BE4CA6"/>
    <w:rsid w:val="00BE4CBC"/>
    <w:rsid w:val="00BE4CC7"/>
    <w:rsid w:val="00BE4CCD"/>
    <w:rsid w:val="00BE4D80"/>
    <w:rsid w:val="00BE4DD3"/>
    <w:rsid w:val="00BE4F11"/>
    <w:rsid w:val="00BE4F1A"/>
    <w:rsid w:val="00BE4F86"/>
    <w:rsid w:val="00BE4F8C"/>
    <w:rsid w:val="00BE4FAE"/>
    <w:rsid w:val="00BE4FB5"/>
    <w:rsid w:val="00BE5008"/>
    <w:rsid w:val="00BE501C"/>
    <w:rsid w:val="00BE5089"/>
    <w:rsid w:val="00BE50A9"/>
    <w:rsid w:val="00BE50BB"/>
    <w:rsid w:val="00BE50CA"/>
    <w:rsid w:val="00BE511E"/>
    <w:rsid w:val="00BE513E"/>
    <w:rsid w:val="00BE513F"/>
    <w:rsid w:val="00BE5158"/>
    <w:rsid w:val="00BE516F"/>
    <w:rsid w:val="00BE51CB"/>
    <w:rsid w:val="00BE51E5"/>
    <w:rsid w:val="00BE521E"/>
    <w:rsid w:val="00BE529F"/>
    <w:rsid w:val="00BE5386"/>
    <w:rsid w:val="00BE538A"/>
    <w:rsid w:val="00BE5399"/>
    <w:rsid w:val="00BE539D"/>
    <w:rsid w:val="00BE53C4"/>
    <w:rsid w:val="00BE53DD"/>
    <w:rsid w:val="00BE53ED"/>
    <w:rsid w:val="00BE53FB"/>
    <w:rsid w:val="00BE5407"/>
    <w:rsid w:val="00BE540E"/>
    <w:rsid w:val="00BE541C"/>
    <w:rsid w:val="00BE547E"/>
    <w:rsid w:val="00BE54CD"/>
    <w:rsid w:val="00BE54D6"/>
    <w:rsid w:val="00BE54EE"/>
    <w:rsid w:val="00BE5537"/>
    <w:rsid w:val="00BE5568"/>
    <w:rsid w:val="00BE5580"/>
    <w:rsid w:val="00BE5593"/>
    <w:rsid w:val="00BE55C1"/>
    <w:rsid w:val="00BE55E1"/>
    <w:rsid w:val="00BE562A"/>
    <w:rsid w:val="00BE56EF"/>
    <w:rsid w:val="00BE57C9"/>
    <w:rsid w:val="00BE57DC"/>
    <w:rsid w:val="00BE57F1"/>
    <w:rsid w:val="00BE5805"/>
    <w:rsid w:val="00BE58D2"/>
    <w:rsid w:val="00BE5937"/>
    <w:rsid w:val="00BE59BB"/>
    <w:rsid w:val="00BE59F8"/>
    <w:rsid w:val="00BE59F9"/>
    <w:rsid w:val="00BE5A3B"/>
    <w:rsid w:val="00BE5A9E"/>
    <w:rsid w:val="00BE5AC7"/>
    <w:rsid w:val="00BE5B2B"/>
    <w:rsid w:val="00BE5C06"/>
    <w:rsid w:val="00BE5C48"/>
    <w:rsid w:val="00BE5C84"/>
    <w:rsid w:val="00BE5CCF"/>
    <w:rsid w:val="00BE5D01"/>
    <w:rsid w:val="00BE5D1A"/>
    <w:rsid w:val="00BE5D43"/>
    <w:rsid w:val="00BE5D76"/>
    <w:rsid w:val="00BE5D7E"/>
    <w:rsid w:val="00BE5DEA"/>
    <w:rsid w:val="00BE5E0F"/>
    <w:rsid w:val="00BE5E80"/>
    <w:rsid w:val="00BE5E86"/>
    <w:rsid w:val="00BE5EE9"/>
    <w:rsid w:val="00BE5F25"/>
    <w:rsid w:val="00BE5F7A"/>
    <w:rsid w:val="00BE5FC0"/>
    <w:rsid w:val="00BE5FDE"/>
    <w:rsid w:val="00BE6037"/>
    <w:rsid w:val="00BE6091"/>
    <w:rsid w:val="00BE60EA"/>
    <w:rsid w:val="00BE6134"/>
    <w:rsid w:val="00BE61BE"/>
    <w:rsid w:val="00BE61E0"/>
    <w:rsid w:val="00BE6274"/>
    <w:rsid w:val="00BE631E"/>
    <w:rsid w:val="00BE6350"/>
    <w:rsid w:val="00BE6386"/>
    <w:rsid w:val="00BE6399"/>
    <w:rsid w:val="00BE63B8"/>
    <w:rsid w:val="00BE63E2"/>
    <w:rsid w:val="00BE644B"/>
    <w:rsid w:val="00BE649B"/>
    <w:rsid w:val="00BE64BC"/>
    <w:rsid w:val="00BE6516"/>
    <w:rsid w:val="00BE6548"/>
    <w:rsid w:val="00BE6572"/>
    <w:rsid w:val="00BE65E5"/>
    <w:rsid w:val="00BE6605"/>
    <w:rsid w:val="00BE6640"/>
    <w:rsid w:val="00BE66FA"/>
    <w:rsid w:val="00BE672D"/>
    <w:rsid w:val="00BE674E"/>
    <w:rsid w:val="00BE6804"/>
    <w:rsid w:val="00BE6829"/>
    <w:rsid w:val="00BE692B"/>
    <w:rsid w:val="00BE698E"/>
    <w:rsid w:val="00BE6A22"/>
    <w:rsid w:val="00BE6A37"/>
    <w:rsid w:val="00BE6A40"/>
    <w:rsid w:val="00BE6A48"/>
    <w:rsid w:val="00BE6A78"/>
    <w:rsid w:val="00BE6AAB"/>
    <w:rsid w:val="00BE6AF9"/>
    <w:rsid w:val="00BE6AFD"/>
    <w:rsid w:val="00BE6B1F"/>
    <w:rsid w:val="00BE6B27"/>
    <w:rsid w:val="00BE6B30"/>
    <w:rsid w:val="00BE6B39"/>
    <w:rsid w:val="00BE6B6E"/>
    <w:rsid w:val="00BE6B79"/>
    <w:rsid w:val="00BE6B7D"/>
    <w:rsid w:val="00BE6C29"/>
    <w:rsid w:val="00BE6C8C"/>
    <w:rsid w:val="00BE6C9E"/>
    <w:rsid w:val="00BE6CF8"/>
    <w:rsid w:val="00BE6D87"/>
    <w:rsid w:val="00BE6D88"/>
    <w:rsid w:val="00BE6DA3"/>
    <w:rsid w:val="00BE6E32"/>
    <w:rsid w:val="00BE6EB6"/>
    <w:rsid w:val="00BE6F04"/>
    <w:rsid w:val="00BE6F14"/>
    <w:rsid w:val="00BE6F38"/>
    <w:rsid w:val="00BE6F4D"/>
    <w:rsid w:val="00BE6F8B"/>
    <w:rsid w:val="00BE6FEA"/>
    <w:rsid w:val="00BE6FF3"/>
    <w:rsid w:val="00BE6FF7"/>
    <w:rsid w:val="00BE70A3"/>
    <w:rsid w:val="00BE70FC"/>
    <w:rsid w:val="00BE713F"/>
    <w:rsid w:val="00BE7199"/>
    <w:rsid w:val="00BE71AB"/>
    <w:rsid w:val="00BE71F2"/>
    <w:rsid w:val="00BE724E"/>
    <w:rsid w:val="00BE72CF"/>
    <w:rsid w:val="00BE73E8"/>
    <w:rsid w:val="00BE741A"/>
    <w:rsid w:val="00BE7442"/>
    <w:rsid w:val="00BE7465"/>
    <w:rsid w:val="00BE750B"/>
    <w:rsid w:val="00BE7514"/>
    <w:rsid w:val="00BE7524"/>
    <w:rsid w:val="00BE754B"/>
    <w:rsid w:val="00BE7577"/>
    <w:rsid w:val="00BE764A"/>
    <w:rsid w:val="00BE76CC"/>
    <w:rsid w:val="00BE76CE"/>
    <w:rsid w:val="00BE76EE"/>
    <w:rsid w:val="00BE76F7"/>
    <w:rsid w:val="00BE770C"/>
    <w:rsid w:val="00BE7718"/>
    <w:rsid w:val="00BE7732"/>
    <w:rsid w:val="00BE7765"/>
    <w:rsid w:val="00BE77A2"/>
    <w:rsid w:val="00BE77C5"/>
    <w:rsid w:val="00BE77FB"/>
    <w:rsid w:val="00BE7886"/>
    <w:rsid w:val="00BE78D4"/>
    <w:rsid w:val="00BE78F6"/>
    <w:rsid w:val="00BE790C"/>
    <w:rsid w:val="00BE791E"/>
    <w:rsid w:val="00BE794C"/>
    <w:rsid w:val="00BE797D"/>
    <w:rsid w:val="00BE7A3D"/>
    <w:rsid w:val="00BE7B25"/>
    <w:rsid w:val="00BE7B70"/>
    <w:rsid w:val="00BE7BB8"/>
    <w:rsid w:val="00BE7BF1"/>
    <w:rsid w:val="00BE7BFB"/>
    <w:rsid w:val="00BE7C58"/>
    <w:rsid w:val="00BE7C98"/>
    <w:rsid w:val="00BE7D89"/>
    <w:rsid w:val="00BE7F03"/>
    <w:rsid w:val="00BE7F11"/>
    <w:rsid w:val="00BE7FA0"/>
    <w:rsid w:val="00BE7FBE"/>
    <w:rsid w:val="00BE7FC8"/>
    <w:rsid w:val="00BE7FDF"/>
    <w:rsid w:val="00BF0035"/>
    <w:rsid w:val="00BF003D"/>
    <w:rsid w:val="00BF0052"/>
    <w:rsid w:val="00BF0053"/>
    <w:rsid w:val="00BF009E"/>
    <w:rsid w:val="00BF00C8"/>
    <w:rsid w:val="00BF0151"/>
    <w:rsid w:val="00BF0196"/>
    <w:rsid w:val="00BF01A7"/>
    <w:rsid w:val="00BF01E5"/>
    <w:rsid w:val="00BF0262"/>
    <w:rsid w:val="00BF02C1"/>
    <w:rsid w:val="00BF0310"/>
    <w:rsid w:val="00BF037F"/>
    <w:rsid w:val="00BF03AC"/>
    <w:rsid w:val="00BF03B6"/>
    <w:rsid w:val="00BF03C3"/>
    <w:rsid w:val="00BF03E4"/>
    <w:rsid w:val="00BF041A"/>
    <w:rsid w:val="00BF0449"/>
    <w:rsid w:val="00BF046B"/>
    <w:rsid w:val="00BF0492"/>
    <w:rsid w:val="00BF04A0"/>
    <w:rsid w:val="00BF058C"/>
    <w:rsid w:val="00BF05ED"/>
    <w:rsid w:val="00BF0604"/>
    <w:rsid w:val="00BF064B"/>
    <w:rsid w:val="00BF06B1"/>
    <w:rsid w:val="00BF06B7"/>
    <w:rsid w:val="00BF06C5"/>
    <w:rsid w:val="00BF06CB"/>
    <w:rsid w:val="00BF0705"/>
    <w:rsid w:val="00BF0734"/>
    <w:rsid w:val="00BF0746"/>
    <w:rsid w:val="00BF075D"/>
    <w:rsid w:val="00BF0770"/>
    <w:rsid w:val="00BF078F"/>
    <w:rsid w:val="00BF07D0"/>
    <w:rsid w:val="00BF0840"/>
    <w:rsid w:val="00BF087E"/>
    <w:rsid w:val="00BF08CD"/>
    <w:rsid w:val="00BF08D6"/>
    <w:rsid w:val="00BF09BC"/>
    <w:rsid w:val="00BF09DC"/>
    <w:rsid w:val="00BF09E4"/>
    <w:rsid w:val="00BF09EA"/>
    <w:rsid w:val="00BF09F5"/>
    <w:rsid w:val="00BF0A1B"/>
    <w:rsid w:val="00BF0A2F"/>
    <w:rsid w:val="00BF0A9B"/>
    <w:rsid w:val="00BF0AA2"/>
    <w:rsid w:val="00BF0B4D"/>
    <w:rsid w:val="00BF0B63"/>
    <w:rsid w:val="00BF0B69"/>
    <w:rsid w:val="00BF0BC4"/>
    <w:rsid w:val="00BF0D44"/>
    <w:rsid w:val="00BF0D7D"/>
    <w:rsid w:val="00BF0D8B"/>
    <w:rsid w:val="00BF0D93"/>
    <w:rsid w:val="00BF0DB9"/>
    <w:rsid w:val="00BF0DF6"/>
    <w:rsid w:val="00BF0E8B"/>
    <w:rsid w:val="00BF0EE3"/>
    <w:rsid w:val="00BF0EF5"/>
    <w:rsid w:val="00BF0FB6"/>
    <w:rsid w:val="00BF1032"/>
    <w:rsid w:val="00BF1049"/>
    <w:rsid w:val="00BF1050"/>
    <w:rsid w:val="00BF1059"/>
    <w:rsid w:val="00BF106B"/>
    <w:rsid w:val="00BF109D"/>
    <w:rsid w:val="00BF10B2"/>
    <w:rsid w:val="00BF10B3"/>
    <w:rsid w:val="00BF1123"/>
    <w:rsid w:val="00BF1185"/>
    <w:rsid w:val="00BF11B0"/>
    <w:rsid w:val="00BF128D"/>
    <w:rsid w:val="00BF12D1"/>
    <w:rsid w:val="00BF13CA"/>
    <w:rsid w:val="00BF144F"/>
    <w:rsid w:val="00BF14B0"/>
    <w:rsid w:val="00BF14CD"/>
    <w:rsid w:val="00BF14EE"/>
    <w:rsid w:val="00BF1506"/>
    <w:rsid w:val="00BF152D"/>
    <w:rsid w:val="00BF15F7"/>
    <w:rsid w:val="00BF1632"/>
    <w:rsid w:val="00BF1661"/>
    <w:rsid w:val="00BF1708"/>
    <w:rsid w:val="00BF1716"/>
    <w:rsid w:val="00BF1764"/>
    <w:rsid w:val="00BF178A"/>
    <w:rsid w:val="00BF17E7"/>
    <w:rsid w:val="00BF17F3"/>
    <w:rsid w:val="00BF17F7"/>
    <w:rsid w:val="00BF1825"/>
    <w:rsid w:val="00BF1828"/>
    <w:rsid w:val="00BF1836"/>
    <w:rsid w:val="00BF1839"/>
    <w:rsid w:val="00BF1864"/>
    <w:rsid w:val="00BF1870"/>
    <w:rsid w:val="00BF18DB"/>
    <w:rsid w:val="00BF1927"/>
    <w:rsid w:val="00BF1A6C"/>
    <w:rsid w:val="00BF1A86"/>
    <w:rsid w:val="00BF1A9D"/>
    <w:rsid w:val="00BF1AA0"/>
    <w:rsid w:val="00BF1B1D"/>
    <w:rsid w:val="00BF1B4E"/>
    <w:rsid w:val="00BF1B8C"/>
    <w:rsid w:val="00BF1B8E"/>
    <w:rsid w:val="00BF1BD0"/>
    <w:rsid w:val="00BF1BF3"/>
    <w:rsid w:val="00BF1C53"/>
    <w:rsid w:val="00BF1C73"/>
    <w:rsid w:val="00BF1D0F"/>
    <w:rsid w:val="00BF1D69"/>
    <w:rsid w:val="00BF1D7D"/>
    <w:rsid w:val="00BF1DC7"/>
    <w:rsid w:val="00BF1DD6"/>
    <w:rsid w:val="00BF1DD8"/>
    <w:rsid w:val="00BF1E2C"/>
    <w:rsid w:val="00BF1E5C"/>
    <w:rsid w:val="00BF1EAB"/>
    <w:rsid w:val="00BF1EB0"/>
    <w:rsid w:val="00BF1F0A"/>
    <w:rsid w:val="00BF1F42"/>
    <w:rsid w:val="00BF1F5D"/>
    <w:rsid w:val="00BF2027"/>
    <w:rsid w:val="00BF2042"/>
    <w:rsid w:val="00BF2090"/>
    <w:rsid w:val="00BF212E"/>
    <w:rsid w:val="00BF21DB"/>
    <w:rsid w:val="00BF2201"/>
    <w:rsid w:val="00BF2245"/>
    <w:rsid w:val="00BF2294"/>
    <w:rsid w:val="00BF22BE"/>
    <w:rsid w:val="00BF22E4"/>
    <w:rsid w:val="00BF2313"/>
    <w:rsid w:val="00BF232E"/>
    <w:rsid w:val="00BF23C6"/>
    <w:rsid w:val="00BF242E"/>
    <w:rsid w:val="00BF24D8"/>
    <w:rsid w:val="00BF2503"/>
    <w:rsid w:val="00BF2531"/>
    <w:rsid w:val="00BF2536"/>
    <w:rsid w:val="00BF253B"/>
    <w:rsid w:val="00BF255B"/>
    <w:rsid w:val="00BF256D"/>
    <w:rsid w:val="00BF25B2"/>
    <w:rsid w:val="00BF2612"/>
    <w:rsid w:val="00BF2665"/>
    <w:rsid w:val="00BF26AE"/>
    <w:rsid w:val="00BF26CB"/>
    <w:rsid w:val="00BF26CE"/>
    <w:rsid w:val="00BF26F1"/>
    <w:rsid w:val="00BF270B"/>
    <w:rsid w:val="00BF2714"/>
    <w:rsid w:val="00BF27C5"/>
    <w:rsid w:val="00BF2894"/>
    <w:rsid w:val="00BF28D7"/>
    <w:rsid w:val="00BF28DB"/>
    <w:rsid w:val="00BF290A"/>
    <w:rsid w:val="00BF2998"/>
    <w:rsid w:val="00BF29D3"/>
    <w:rsid w:val="00BF29E6"/>
    <w:rsid w:val="00BF29FD"/>
    <w:rsid w:val="00BF2A4F"/>
    <w:rsid w:val="00BF2A9F"/>
    <w:rsid w:val="00BF2AAF"/>
    <w:rsid w:val="00BF2ACB"/>
    <w:rsid w:val="00BF2B25"/>
    <w:rsid w:val="00BF2B39"/>
    <w:rsid w:val="00BF2BCF"/>
    <w:rsid w:val="00BF2C12"/>
    <w:rsid w:val="00BF2C2A"/>
    <w:rsid w:val="00BF2CD9"/>
    <w:rsid w:val="00BF2CFD"/>
    <w:rsid w:val="00BF2D01"/>
    <w:rsid w:val="00BF2D4E"/>
    <w:rsid w:val="00BF2D60"/>
    <w:rsid w:val="00BF2D8A"/>
    <w:rsid w:val="00BF2E81"/>
    <w:rsid w:val="00BF2F07"/>
    <w:rsid w:val="00BF2F22"/>
    <w:rsid w:val="00BF2F56"/>
    <w:rsid w:val="00BF2F66"/>
    <w:rsid w:val="00BF2F72"/>
    <w:rsid w:val="00BF2F94"/>
    <w:rsid w:val="00BF3029"/>
    <w:rsid w:val="00BF314B"/>
    <w:rsid w:val="00BF3192"/>
    <w:rsid w:val="00BF3199"/>
    <w:rsid w:val="00BF31A4"/>
    <w:rsid w:val="00BF31F6"/>
    <w:rsid w:val="00BF3224"/>
    <w:rsid w:val="00BF32DF"/>
    <w:rsid w:val="00BF3324"/>
    <w:rsid w:val="00BF3371"/>
    <w:rsid w:val="00BF3388"/>
    <w:rsid w:val="00BF33A8"/>
    <w:rsid w:val="00BF33C7"/>
    <w:rsid w:val="00BF33DB"/>
    <w:rsid w:val="00BF3427"/>
    <w:rsid w:val="00BF342B"/>
    <w:rsid w:val="00BF3451"/>
    <w:rsid w:val="00BF34D9"/>
    <w:rsid w:val="00BF3503"/>
    <w:rsid w:val="00BF351B"/>
    <w:rsid w:val="00BF3528"/>
    <w:rsid w:val="00BF354D"/>
    <w:rsid w:val="00BF355B"/>
    <w:rsid w:val="00BF356D"/>
    <w:rsid w:val="00BF35FE"/>
    <w:rsid w:val="00BF3612"/>
    <w:rsid w:val="00BF3625"/>
    <w:rsid w:val="00BF3690"/>
    <w:rsid w:val="00BF3692"/>
    <w:rsid w:val="00BF36A3"/>
    <w:rsid w:val="00BF36F9"/>
    <w:rsid w:val="00BF371D"/>
    <w:rsid w:val="00BF3730"/>
    <w:rsid w:val="00BF377B"/>
    <w:rsid w:val="00BF37A9"/>
    <w:rsid w:val="00BF37B3"/>
    <w:rsid w:val="00BF385E"/>
    <w:rsid w:val="00BF38AE"/>
    <w:rsid w:val="00BF38BC"/>
    <w:rsid w:val="00BF3903"/>
    <w:rsid w:val="00BF3949"/>
    <w:rsid w:val="00BF395D"/>
    <w:rsid w:val="00BF3960"/>
    <w:rsid w:val="00BF3996"/>
    <w:rsid w:val="00BF3A1F"/>
    <w:rsid w:val="00BF3A67"/>
    <w:rsid w:val="00BF3A95"/>
    <w:rsid w:val="00BF3AFB"/>
    <w:rsid w:val="00BF3B41"/>
    <w:rsid w:val="00BF3B97"/>
    <w:rsid w:val="00BF3BA3"/>
    <w:rsid w:val="00BF3BA4"/>
    <w:rsid w:val="00BF3C47"/>
    <w:rsid w:val="00BF3C5B"/>
    <w:rsid w:val="00BF3C7C"/>
    <w:rsid w:val="00BF3C89"/>
    <w:rsid w:val="00BF3C8D"/>
    <w:rsid w:val="00BF3CB1"/>
    <w:rsid w:val="00BF3D0A"/>
    <w:rsid w:val="00BF3DE5"/>
    <w:rsid w:val="00BF3E4D"/>
    <w:rsid w:val="00BF3E5E"/>
    <w:rsid w:val="00BF3E98"/>
    <w:rsid w:val="00BF3EB1"/>
    <w:rsid w:val="00BF3FCE"/>
    <w:rsid w:val="00BF3FE0"/>
    <w:rsid w:val="00BF3FE6"/>
    <w:rsid w:val="00BF3FF4"/>
    <w:rsid w:val="00BF4051"/>
    <w:rsid w:val="00BF405A"/>
    <w:rsid w:val="00BF40C9"/>
    <w:rsid w:val="00BF411F"/>
    <w:rsid w:val="00BF419C"/>
    <w:rsid w:val="00BF4280"/>
    <w:rsid w:val="00BF428B"/>
    <w:rsid w:val="00BF42C1"/>
    <w:rsid w:val="00BF42CD"/>
    <w:rsid w:val="00BF4305"/>
    <w:rsid w:val="00BF4352"/>
    <w:rsid w:val="00BF43A9"/>
    <w:rsid w:val="00BF43B7"/>
    <w:rsid w:val="00BF43CC"/>
    <w:rsid w:val="00BF43E2"/>
    <w:rsid w:val="00BF4471"/>
    <w:rsid w:val="00BF44E1"/>
    <w:rsid w:val="00BF45B2"/>
    <w:rsid w:val="00BF45C7"/>
    <w:rsid w:val="00BF45F8"/>
    <w:rsid w:val="00BF463C"/>
    <w:rsid w:val="00BF4669"/>
    <w:rsid w:val="00BF46C4"/>
    <w:rsid w:val="00BF46EA"/>
    <w:rsid w:val="00BF46F6"/>
    <w:rsid w:val="00BF470E"/>
    <w:rsid w:val="00BF476C"/>
    <w:rsid w:val="00BF47DF"/>
    <w:rsid w:val="00BF47E9"/>
    <w:rsid w:val="00BF481B"/>
    <w:rsid w:val="00BF493C"/>
    <w:rsid w:val="00BF49A3"/>
    <w:rsid w:val="00BF4A22"/>
    <w:rsid w:val="00BF4A3F"/>
    <w:rsid w:val="00BF4A75"/>
    <w:rsid w:val="00BF4A98"/>
    <w:rsid w:val="00BF4AB7"/>
    <w:rsid w:val="00BF4ABB"/>
    <w:rsid w:val="00BF4AC8"/>
    <w:rsid w:val="00BF4B05"/>
    <w:rsid w:val="00BF4B2A"/>
    <w:rsid w:val="00BF4B34"/>
    <w:rsid w:val="00BF4BD5"/>
    <w:rsid w:val="00BF4BF2"/>
    <w:rsid w:val="00BF4C02"/>
    <w:rsid w:val="00BF4C4A"/>
    <w:rsid w:val="00BF4C57"/>
    <w:rsid w:val="00BF4C5D"/>
    <w:rsid w:val="00BF4C8C"/>
    <w:rsid w:val="00BF4C92"/>
    <w:rsid w:val="00BF4CA3"/>
    <w:rsid w:val="00BF4CAB"/>
    <w:rsid w:val="00BF4CC4"/>
    <w:rsid w:val="00BF4CE4"/>
    <w:rsid w:val="00BF4D24"/>
    <w:rsid w:val="00BF4D2D"/>
    <w:rsid w:val="00BF4D38"/>
    <w:rsid w:val="00BF4D88"/>
    <w:rsid w:val="00BF4DCB"/>
    <w:rsid w:val="00BF4DE1"/>
    <w:rsid w:val="00BF4E05"/>
    <w:rsid w:val="00BF4E3B"/>
    <w:rsid w:val="00BF4E66"/>
    <w:rsid w:val="00BF4F22"/>
    <w:rsid w:val="00BF4F87"/>
    <w:rsid w:val="00BF4F96"/>
    <w:rsid w:val="00BF4FB0"/>
    <w:rsid w:val="00BF501E"/>
    <w:rsid w:val="00BF5040"/>
    <w:rsid w:val="00BF5094"/>
    <w:rsid w:val="00BF513B"/>
    <w:rsid w:val="00BF5154"/>
    <w:rsid w:val="00BF517F"/>
    <w:rsid w:val="00BF51A3"/>
    <w:rsid w:val="00BF51B0"/>
    <w:rsid w:val="00BF51F2"/>
    <w:rsid w:val="00BF5225"/>
    <w:rsid w:val="00BF531E"/>
    <w:rsid w:val="00BF5380"/>
    <w:rsid w:val="00BF539F"/>
    <w:rsid w:val="00BF53D2"/>
    <w:rsid w:val="00BF53E6"/>
    <w:rsid w:val="00BF53E8"/>
    <w:rsid w:val="00BF5435"/>
    <w:rsid w:val="00BF5455"/>
    <w:rsid w:val="00BF5464"/>
    <w:rsid w:val="00BF546F"/>
    <w:rsid w:val="00BF5491"/>
    <w:rsid w:val="00BF54BE"/>
    <w:rsid w:val="00BF54EA"/>
    <w:rsid w:val="00BF5531"/>
    <w:rsid w:val="00BF55D3"/>
    <w:rsid w:val="00BF5665"/>
    <w:rsid w:val="00BF56B2"/>
    <w:rsid w:val="00BF56CA"/>
    <w:rsid w:val="00BF570B"/>
    <w:rsid w:val="00BF5784"/>
    <w:rsid w:val="00BF579D"/>
    <w:rsid w:val="00BF57A7"/>
    <w:rsid w:val="00BF5839"/>
    <w:rsid w:val="00BF5842"/>
    <w:rsid w:val="00BF589E"/>
    <w:rsid w:val="00BF58A3"/>
    <w:rsid w:val="00BF58FE"/>
    <w:rsid w:val="00BF5937"/>
    <w:rsid w:val="00BF594D"/>
    <w:rsid w:val="00BF5953"/>
    <w:rsid w:val="00BF596C"/>
    <w:rsid w:val="00BF5985"/>
    <w:rsid w:val="00BF5B0F"/>
    <w:rsid w:val="00BF5B1F"/>
    <w:rsid w:val="00BF5B95"/>
    <w:rsid w:val="00BF5BD6"/>
    <w:rsid w:val="00BF5C27"/>
    <w:rsid w:val="00BF5C33"/>
    <w:rsid w:val="00BF5C8A"/>
    <w:rsid w:val="00BF5CB0"/>
    <w:rsid w:val="00BF5CDE"/>
    <w:rsid w:val="00BF5CED"/>
    <w:rsid w:val="00BF5DA2"/>
    <w:rsid w:val="00BF5DE5"/>
    <w:rsid w:val="00BF5DF2"/>
    <w:rsid w:val="00BF5E30"/>
    <w:rsid w:val="00BF5EB9"/>
    <w:rsid w:val="00BF5EBD"/>
    <w:rsid w:val="00BF5EC9"/>
    <w:rsid w:val="00BF5F8B"/>
    <w:rsid w:val="00BF5F97"/>
    <w:rsid w:val="00BF5FC2"/>
    <w:rsid w:val="00BF5FD9"/>
    <w:rsid w:val="00BF5FDB"/>
    <w:rsid w:val="00BF600C"/>
    <w:rsid w:val="00BF604E"/>
    <w:rsid w:val="00BF6092"/>
    <w:rsid w:val="00BF6136"/>
    <w:rsid w:val="00BF617A"/>
    <w:rsid w:val="00BF61B9"/>
    <w:rsid w:val="00BF622A"/>
    <w:rsid w:val="00BF62A6"/>
    <w:rsid w:val="00BF62F0"/>
    <w:rsid w:val="00BF6392"/>
    <w:rsid w:val="00BF63E1"/>
    <w:rsid w:val="00BF63EF"/>
    <w:rsid w:val="00BF642B"/>
    <w:rsid w:val="00BF64DD"/>
    <w:rsid w:val="00BF64E8"/>
    <w:rsid w:val="00BF651D"/>
    <w:rsid w:val="00BF6530"/>
    <w:rsid w:val="00BF6534"/>
    <w:rsid w:val="00BF6567"/>
    <w:rsid w:val="00BF660E"/>
    <w:rsid w:val="00BF6632"/>
    <w:rsid w:val="00BF6685"/>
    <w:rsid w:val="00BF6711"/>
    <w:rsid w:val="00BF6728"/>
    <w:rsid w:val="00BF677A"/>
    <w:rsid w:val="00BF6794"/>
    <w:rsid w:val="00BF67AA"/>
    <w:rsid w:val="00BF67D3"/>
    <w:rsid w:val="00BF68A0"/>
    <w:rsid w:val="00BF68A7"/>
    <w:rsid w:val="00BF68AE"/>
    <w:rsid w:val="00BF68B9"/>
    <w:rsid w:val="00BF68EC"/>
    <w:rsid w:val="00BF69C1"/>
    <w:rsid w:val="00BF69F0"/>
    <w:rsid w:val="00BF6B2F"/>
    <w:rsid w:val="00BF6B88"/>
    <w:rsid w:val="00BF6BF7"/>
    <w:rsid w:val="00BF6C1A"/>
    <w:rsid w:val="00BF6C35"/>
    <w:rsid w:val="00BF6CCC"/>
    <w:rsid w:val="00BF6D0F"/>
    <w:rsid w:val="00BF6D11"/>
    <w:rsid w:val="00BF6D28"/>
    <w:rsid w:val="00BF6DB9"/>
    <w:rsid w:val="00BF6DD0"/>
    <w:rsid w:val="00BF6DFB"/>
    <w:rsid w:val="00BF6E19"/>
    <w:rsid w:val="00BF6E2B"/>
    <w:rsid w:val="00BF6E40"/>
    <w:rsid w:val="00BF6E6F"/>
    <w:rsid w:val="00BF6E87"/>
    <w:rsid w:val="00BF6E9D"/>
    <w:rsid w:val="00BF6EAB"/>
    <w:rsid w:val="00BF6EC3"/>
    <w:rsid w:val="00BF6ECF"/>
    <w:rsid w:val="00BF6ED1"/>
    <w:rsid w:val="00BF6F20"/>
    <w:rsid w:val="00BF6F3C"/>
    <w:rsid w:val="00BF6FED"/>
    <w:rsid w:val="00BF700A"/>
    <w:rsid w:val="00BF7025"/>
    <w:rsid w:val="00BF7038"/>
    <w:rsid w:val="00BF704B"/>
    <w:rsid w:val="00BF705D"/>
    <w:rsid w:val="00BF7138"/>
    <w:rsid w:val="00BF716A"/>
    <w:rsid w:val="00BF716B"/>
    <w:rsid w:val="00BF7170"/>
    <w:rsid w:val="00BF7177"/>
    <w:rsid w:val="00BF717D"/>
    <w:rsid w:val="00BF7204"/>
    <w:rsid w:val="00BF724A"/>
    <w:rsid w:val="00BF724E"/>
    <w:rsid w:val="00BF7281"/>
    <w:rsid w:val="00BF7382"/>
    <w:rsid w:val="00BF73CA"/>
    <w:rsid w:val="00BF7412"/>
    <w:rsid w:val="00BF745A"/>
    <w:rsid w:val="00BF746E"/>
    <w:rsid w:val="00BF749A"/>
    <w:rsid w:val="00BF74F5"/>
    <w:rsid w:val="00BF74FC"/>
    <w:rsid w:val="00BF757F"/>
    <w:rsid w:val="00BF760F"/>
    <w:rsid w:val="00BF7695"/>
    <w:rsid w:val="00BF76BC"/>
    <w:rsid w:val="00BF7738"/>
    <w:rsid w:val="00BF779B"/>
    <w:rsid w:val="00BF780C"/>
    <w:rsid w:val="00BF7822"/>
    <w:rsid w:val="00BF784D"/>
    <w:rsid w:val="00BF78CE"/>
    <w:rsid w:val="00BF78E1"/>
    <w:rsid w:val="00BF78F8"/>
    <w:rsid w:val="00BF7992"/>
    <w:rsid w:val="00BF7999"/>
    <w:rsid w:val="00BF7A88"/>
    <w:rsid w:val="00BF7A98"/>
    <w:rsid w:val="00BF7ABA"/>
    <w:rsid w:val="00BF7B5E"/>
    <w:rsid w:val="00BF7BA3"/>
    <w:rsid w:val="00BF7C19"/>
    <w:rsid w:val="00BF7C81"/>
    <w:rsid w:val="00BF7C89"/>
    <w:rsid w:val="00BF7C8D"/>
    <w:rsid w:val="00BF7CB7"/>
    <w:rsid w:val="00BF7D57"/>
    <w:rsid w:val="00BF7D8B"/>
    <w:rsid w:val="00BF7DBF"/>
    <w:rsid w:val="00BF7E17"/>
    <w:rsid w:val="00BF7EC5"/>
    <w:rsid w:val="00BF7EC7"/>
    <w:rsid w:val="00BF7EEF"/>
    <w:rsid w:val="00BF7F02"/>
    <w:rsid w:val="00BF7F18"/>
    <w:rsid w:val="00BF7F65"/>
    <w:rsid w:val="00BF7FB1"/>
    <w:rsid w:val="00C0004D"/>
    <w:rsid w:val="00C0009A"/>
    <w:rsid w:val="00C000E3"/>
    <w:rsid w:val="00C000FD"/>
    <w:rsid w:val="00C00101"/>
    <w:rsid w:val="00C00159"/>
    <w:rsid w:val="00C001DB"/>
    <w:rsid w:val="00C0020B"/>
    <w:rsid w:val="00C00224"/>
    <w:rsid w:val="00C0023E"/>
    <w:rsid w:val="00C00271"/>
    <w:rsid w:val="00C00318"/>
    <w:rsid w:val="00C0033A"/>
    <w:rsid w:val="00C00382"/>
    <w:rsid w:val="00C003E6"/>
    <w:rsid w:val="00C00499"/>
    <w:rsid w:val="00C004B4"/>
    <w:rsid w:val="00C004BA"/>
    <w:rsid w:val="00C0058F"/>
    <w:rsid w:val="00C0059A"/>
    <w:rsid w:val="00C005F2"/>
    <w:rsid w:val="00C00649"/>
    <w:rsid w:val="00C0065E"/>
    <w:rsid w:val="00C0066D"/>
    <w:rsid w:val="00C0069F"/>
    <w:rsid w:val="00C006A3"/>
    <w:rsid w:val="00C006D4"/>
    <w:rsid w:val="00C00743"/>
    <w:rsid w:val="00C00758"/>
    <w:rsid w:val="00C007F6"/>
    <w:rsid w:val="00C008FB"/>
    <w:rsid w:val="00C00971"/>
    <w:rsid w:val="00C009EE"/>
    <w:rsid w:val="00C00A4A"/>
    <w:rsid w:val="00C00A8A"/>
    <w:rsid w:val="00C00A8F"/>
    <w:rsid w:val="00C00A91"/>
    <w:rsid w:val="00C00A92"/>
    <w:rsid w:val="00C00B4D"/>
    <w:rsid w:val="00C00BF8"/>
    <w:rsid w:val="00C00C02"/>
    <w:rsid w:val="00C00C05"/>
    <w:rsid w:val="00C00C30"/>
    <w:rsid w:val="00C00C60"/>
    <w:rsid w:val="00C00C93"/>
    <w:rsid w:val="00C00CC5"/>
    <w:rsid w:val="00C00CF1"/>
    <w:rsid w:val="00C00D6E"/>
    <w:rsid w:val="00C00D8A"/>
    <w:rsid w:val="00C00D9C"/>
    <w:rsid w:val="00C00DCD"/>
    <w:rsid w:val="00C00DF7"/>
    <w:rsid w:val="00C00E3E"/>
    <w:rsid w:val="00C00E5D"/>
    <w:rsid w:val="00C00ED0"/>
    <w:rsid w:val="00C00F04"/>
    <w:rsid w:val="00C00F08"/>
    <w:rsid w:val="00C00F90"/>
    <w:rsid w:val="00C01026"/>
    <w:rsid w:val="00C01089"/>
    <w:rsid w:val="00C010BB"/>
    <w:rsid w:val="00C010F7"/>
    <w:rsid w:val="00C0110F"/>
    <w:rsid w:val="00C0114A"/>
    <w:rsid w:val="00C011D3"/>
    <w:rsid w:val="00C01225"/>
    <w:rsid w:val="00C01287"/>
    <w:rsid w:val="00C012B3"/>
    <w:rsid w:val="00C012FE"/>
    <w:rsid w:val="00C0132B"/>
    <w:rsid w:val="00C013A1"/>
    <w:rsid w:val="00C013BD"/>
    <w:rsid w:val="00C01458"/>
    <w:rsid w:val="00C0146B"/>
    <w:rsid w:val="00C0149C"/>
    <w:rsid w:val="00C014A2"/>
    <w:rsid w:val="00C014BA"/>
    <w:rsid w:val="00C01531"/>
    <w:rsid w:val="00C015D9"/>
    <w:rsid w:val="00C01764"/>
    <w:rsid w:val="00C01769"/>
    <w:rsid w:val="00C0176E"/>
    <w:rsid w:val="00C01793"/>
    <w:rsid w:val="00C01798"/>
    <w:rsid w:val="00C017BB"/>
    <w:rsid w:val="00C017C1"/>
    <w:rsid w:val="00C01870"/>
    <w:rsid w:val="00C018D6"/>
    <w:rsid w:val="00C01906"/>
    <w:rsid w:val="00C01916"/>
    <w:rsid w:val="00C019F5"/>
    <w:rsid w:val="00C019F8"/>
    <w:rsid w:val="00C01A0B"/>
    <w:rsid w:val="00C01A4F"/>
    <w:rsid w:val="00C01A66"/>
    <w:rsid w:val="00C01B04"/>
    <w:rsid w:val="00C01B38"/>
    <w:rsid w:val="00C01B3F"/>
    <w:rsid w:val="00C01BEA"/>
    <w:rsid w:val="00C01C1B"/>
    <w:rsid w:val="00C01C32"/>
    <w:rsid w:val="00C01C63"/>
    <w:rsid w:val="00C01C94"/>
    <w:rsid w:val="00C01DE9"/>
    <w:rsid w:val="00C01DEA"/>
    <w:rsid w:val="00C01E9E"/>
    <w:rsid w:val="00C01EB0"/>
    <w:rsid w:val="00C01EDB"/>
    <w:rsid w:val="00C01EF2"/>
    <w:rsid w:val="00C01F06"/>
    <w:rsid w:val="00C01F35"/>
    <w:rsid w:val="00C01F5F"/>
    <w:rsid w:val="00C01F70"/>
    <w:rsid w:val="00C01F78"/>
    <w:rsid w:val="00C01F7E"/>
    <w:rsid w:val="00C01FB7"/>
    <w:rsid w:val="00C02043"/>
    <w:rsid w:val="00C02048"/>
    <w:rsid w:val="00C02062"/>
    <w:rsid w:val="00C0208D"/>
    <w:rsid w:val="00C020DC"/>
    <w:rsid w:val="00C02146"/>
    <w:rsid w:val="00C0215F"/>
    <w:rsid w:val="00C021AC"/>
    <w:rsid w:val="00C021C0"/>
    <w:rsid w:val="00C021E3"/>
    <w:rsid w:val="00C0220A"/>
    <w:rsid w:val="00C022E1"/>
    <w:rsid w:val="00C02340"/>
    <w:rsid w:val="00C0237A"/>
    <w:rsid w:val="00C0241B"/>
    <w:rsid w:val="00C024A9"/>
    <w:rsid w:val="00C024AA"/>
    <w:rsid w:val="00C024DE"/>
    <w:rsid w:val="00C02525"/>
    <w:rsid w:val="00C025AE"/>
    <w:rsid w:val="00C02607"/>
    <w:rsid w:val="00C02616"/>
    <w:rsid w:val="00C0264B"/>
    <w:rsid w:val="00C026DA"/>
    <w:rsid w:val="00C026E5"/>
    <w:rsid w:val="00C02770"/>
    <w:rsid w:val="00C02797"/>
    <w:rsid w:val="00C027A7"/>
    <w:rsid w:val="00C027C6"/>
    <w:rsid w:val="00C027FA"/>
    <w:rsid w:val="00C0283E"/>
    <w:rsid w:val="00C028E5"/>
    <w:rsid w:val="00C028FC"/>
    <w:rsid w:val="00C02926"/>
    <w:rsid w:val="00C02938"/>
    <w:rsid w:val="00C0296D"/>
    <w:rsid w:val="00C029DB"/>
    <w:rsid w:val="00C029FD"/>
    <w:rsid w:val="00C02A06"/>
    <w:rsid w:val="00C02A4A"/>
    <w:rsid w:val="00C02A4E"/>
    <w:rsid w:val="00C02B1C"/>
    <w:rsid w:val="00C02B25"/>
    <w:rsid w:val="00C02B2D"/>
    <w:rsid w:val="00C02B70"/>
    <w:rsid w:val="00C02B90"/>
    <w:rsid w:val="00C02B96"/>
    <w:rsid w:val="00C02C0A"/>
    <w:rsid w:val="00C02C3F"/>
    <w:rsid w:val="00C02C97"/>
    <w:rsid w:val="00C02D21"/>
    <w:rsid w:val="00C02D3C"/>
    <w:rsid w:val="00C02DE7"/>
    <w:rsid w:val="00C02E09"/>
    <w:rsid w:val="00C02E1F"/>
    <w:rsid w:val="00C02EE6"/>
    <w:rsid w:val="00C02F1D"/>
    <w:rsid w:val="00C02F24"/>
    <w:rsid w:val="00C02F26"/>
    <w:rsid w:val="00C02F62"/>
    <w:rsid w:val="00C0304E"/>
    <w:rsid w:val="00C03093"/>
    <w:rsid w:val="00C030BB"/>
    <w:rsid w:val="00C03169"/>
    <w:rsid w:val="00C0317B"/>
    <w:rsid w:val="00C031E4"/>
    <w:rsid w:val="00C031E8"/>
    <w:rsid w:val="00C0322C"/>
    <w:rsid w:val="00C0323C"/>
    <w:rsid w:val="00C0325B"/>
    <w:rsid w:val="00C03275"/>
    <w:rsid w:val="00C03281"/>
    <w:rsid w:val="00C03289"/>
    <w:rsid w:val="00C032AB"/>
    <w:rsid w:val="00C032C4"/>
    <w:rsid w:val="00C032F1"/>
    <w:rsid w:val="00C0331E"/>
    <w:rsid w:val="00C03333"/>
    <w:rsid w:val="00C03385"/>
    <w:rsid w:val="00C033EA"/>
    <w:rsid w:val="00C033F5"/>
    <w:rsid w:val="00C03452"/>
    <w:rsid w:val="00C03455"/>
    <w:rsid w:val="00C0346B"/>
    <w:rsid w:val="00C0348F"/>
    <w:rsid w:val="00C0354B"/>
    <w:rsid w:val="00C0356F"/>
    <w:rsid w:val="00C03584"/>
    <w:rsid w:val="00C035C6"/>
    <w:rsid w:val="00C035FF"/>
    <w:rsid w:val="00C036AE"/>
    <w:rsid w:val="00C03711"/>
    <w:rsid w:val="00C03779"/>
    <w:rsid w:val="00C03796"/>
    <w:rsid w:val="00C0379A"/>
    <w:rsid w:val="00C037AC"/>
    <w:rsid w:val="00C03830"/>
    <w:rsid w:val="00C03841"/>
    <w:rsid w:val="00C03878"/>
    <w:rsid w:val="00C0387C"/>
    <w:rsid w:val="00C03899"/>
    <w:rsid w:val="00C0389F"/>
    <w:rsid w:val="00C038E7"/>
    <w:rsid w:val="00C038EB"/>
    <w:rsid w:val="00C03904"/>
    <w:rsid w:val="00C0390B"/>
    <w:rsid w:val="00C03A83"/>
    <w:rsid w:val="00C03A9D"/>
    <w:rsid w:val="00C03AF6"/>
    <w:rsid w:val="00C03B1B"/>
    <w:rsid w:val="00C03B3C"/>
    <w:rsid w:val="00C03B40"/>
    <w:rsid w:val="00C03B42"/>
    <w:rsid w:val="00C03B52"/>
    <w:rsid w:val="00C03C05"/>
    <w:rsid w:val="00C03C93"/>
    <w:rsid w:val="00C03D2A"/>
    <w:rsid w:val="00C03D2C"/>
    <w:rsid w:val="00C03D76"/>
    <w:rsid w:val="00C03D84"/>
    <w:rsid w:val="00C03DAB"/>
    <w:rsid w:val="00C03DF0"/>
    <w:rsid w:val="00C03E63"/>
    <w:rsid w:val="00C03E64"/>
    <w:rsid w:val="00C03E6A"/>
    <w:rsid w:val="00C03E75"/>
    <w:rsid w:val="00C03EE9"/>
    <w:rsid w:val="00C03F3F"/>
    <w:rsid w:val="00C03F82"/>
    <w:rsid w:val="00C03FB0"/>
    <w:rsid w:val="00C03FE9"/>
    <w:rsid w:val="00C0400F"/>
    <w:rsid w:val="00C0405A"/>
    <w:rsid w:val="00C041A3"/>
    <w:rsid w:val="00C04245"/>
    <w:rsid w:val="00C0433D"/>
    <w:rsid w:val="00C04342"/>
    <w:rsid w:val="00C04347"/>
    <w:rsid w:val="00C04353"/>
    <w:rsid w:val="00C0439B"/>
    <w:rsid w:val="00C044F7"/>
    <w:rsid w:val="00C045AE"/>
    <w:rsid w:val="00C04632"/>
    <w:rsid w:val="00C04650"/>
    <w:rsid w:val="00C0465D"/>
    <w:rsid w:val="00C04679"/>
    <w:rsid w:val="00C0468C"/>
    <w:rsid w:val="00C04693"/>
    <w:rsid w:val="00C046D0"/>
    <w:rsid w:val="00C0472A"/>
    <w:rsid w:val="00C04735"/>
    <w:rsid w:val="00C04746"/>
    <w:rsid w:val="00C0474B"/>
    <w:rsid w:val="00C04762"/>
    <w:rsid w:val="00C0477C"/>
    <w:rsid w:val="00C04786"/>
    <w:rsid w:val="00C04788"/>
    <w:rsid w:val="00C0479E"/>
    <w:rsid w:val="00C047B4"/>
    <w:rsid w:val="00C047CF"/>
    <w:rsid w:val="00C047D1"/>
    <w:rsid w:val="00C047DF"/>
    <w:rsid w:val="00C047F6"/>
    <w:rsid w:val="00C04857"/>
    <w:rsid w:val="00C048F8"/>
    <w:rsid w:val="00C0493B"/>
    <w:rsid w:val="00C049BE"/>
    <w:rsid w:val="00C049E3"/>
    <w:rsid w:val="00C04A1B"/>
    <w:rsid w:val="00C04A43"/>
    <w:rsid w:val="00C04A67"/>
    <w:rsid w:val="00C04A85"/>
    <w:rsid w:val="00C04A9B"/>
    <w:rsid w:val="00C04AA3"/>
    <w:rsid w:val="00C04BC6"/>
    <w:rsid w:val="00C04C38"/>
    <w:rsid w:val="00C04C64"/>
    <w:rsid w:val="00C04CBB"/>
    <w:rsid w:val="00C04CBF"/>
    <w:rsid w:val="00C04D37"/>
    <w:rsid w:val="00C04DC3"/>
    <w:rsid w:val="00C04DDD"/>
    <w:rsid w:val="00C04E00"/>
    <w:rsid w:val="00C04E09"/>
    <w:rsid w:val="00C04EB8"/>
    <w:rsid w:val="00C04F0D"/>
    <w:rsid w:val="00C04F78"/>
    <w:rsid w:val="00C04FA3"/>
    <w:rsid w:val="00C04FA6"/>
    <w:rsid w:val="00C04FD1"/>
    <w:rsid w:val="00C0503C"/>
    <w:rsid w:val="00C0505F"/>
    <w:rsid w:val="00C05100"/>
    <w:rsid w:val="00C0511D"/>
    <w:rsid w:val="00C05196"/>
    <w:rsid w:val="00C051BA"/>
    <w:rsid w:val="00C051FE"/>
    <w:rsid w:val="00C0520C"/>
    <w:rsid w:val="00C0522E"/>
    <w:rsid w:val="00C05260"/>
    <w:rsid w:val="00C052AC"/>
    <w:rsid w:val="00C052B4"/>
    <w:rsid w:val="00C052B9"/>
    <w:rsid w:val="00C052C0"/>
    <w:rsid w:val="00C052E3"/>
    <w:rsid w:val="00C05336"/>
    <w:rsid w:val="00C0533D"/>
    <w:rsid w:val="00C05351"/>
    <w:rsid w:val="00C0539F"/>
    <w:rsid w:val="00C05429"/>
    <w:rsid w:val="00C05436"/>
    <w:rsid w:val="00C0543E"/>
    <w:rsid w:val="00C054DA"/>
    <w:rsid w:val="00C055A8"/>
    <w:rsid w:val="00C055B0"/>
    <w:rsid w:val="00C055B7"/>
    <w:rsid w:val="00C0562C"/>
    <w:rsid w:val="00C05638"/>
    <w:rsid w:val="00C056B3"/>
    <w:rsid w:val="00C056F2"/>
    <w:rsid w:val="00C05703"/>
    <w:rsid w:val="00C05760"/>
    <w:rsid w:val="00C0578B"/>
    <w:rsid w:val="00C05791"/>
    <w:rsid w:val="00C05797"/>
    <w:rsid w:val="00C057A9"/>
    <w:rsid w:val="00C057CE"/>
    <w:rsid w:val="00C05827"/>
    <w:rsid w:val="00C05911"/>
    <w:rsid w:val="00C05987"/>
    <w:rsid w:val="00C05AD6"/>
    <w:rsid w:val="00C05B02"/>
    <w:rsid w:val="00C05B1B"/>
    <w:rsid w:val="00C05B98"/>
    <w:rsid w:val="00C05C28"/>
    <w:rsid w:val="00C05C6A"/>
    <w:rsid w:val="00C05CA4"/>
    <w:rsid w:val="00C05CA7"/>
    <w:rsid w:val="00C05CC3"/>
    <w:rsid w:val="00C05CF7"/>
    <w:rsid w:val="00C05D02"/>
    <w:rsid w:val="00C05D47"/>
    <w:rsid w:val="00C05D59"/>
    <w:rsid w:val="00C05E43"/>
    <w:rsid w:val="00C05F1A"/>
    <w:rsid w:val="00C0604A"/>
    <w:rsid w:val="00C06052"/>
    <w:rsid w:val="00C06072"/>
    <w:rsid w:val="00C0609A"/>
    <w:rsid w:val="00C060C3"/>
    <w:rsid w:val="00C060CB"/>
    <w:rsid w:val="00C060EB"/>
    <w:rsid w:val="00C06100"/>
    <w:rsid w:val="00C06105"/>
    <w:rsid w:val="00C06166"/>
    <w:rsid w:val="00C061A9"/>
    <w:rsid w:val="00C061BF"/>
    <w:rsid w:val="00C06231"/>
    <w:rsid w:val="00C06244"/>
    <w:rsid w:val="00C06248"/>
    <w:rsid w:val="00C062A7"/>
    <w:rsid w:val="00C062B8"/>
    <w:rsid w:val="00C062C3"/>
    <w:rsid w:val="00C062F2"/>
    <w:rsid w:val="00C062FF"/>
    <w:rsid w:val="00C06320"/>
    <w:rsid w:val="00C06332"/>
    <w:rsid w:val="00C06348"/>
    <w:rsid w:val="00C06393"/>
    <w:rsid w:val="00C063BC"/>
    <w:rsid w:val="00C063E5"/>
    <w:rsid w:val="00C0643A"/>
    <w:rsid w:val="00C064DC"/>
    <w:rsid w:val="00C064F8"/>
    <w:rsid w:val="00C0651B"/>
    <w:rsid w:val="00C0651E"/>
    <w:rsid w:val="00C06556"/>
    <w:rsid w:val="00C0656B"/>
    <w:rsid w:val="00C065DC"/>
    <w:rsid w:val="00C0661D"/>
    <w:rsid w:val="00C0663D"/>
    <w:rsid w:val="00C066D5"/>
    <w:rsid w:val="00C0671E"/>
    <w:rsid w:val="00C0676D"/>
    <w:rsid w:val="00C06790"/>
    <w:rsid w:val="00C067A5"/>
    <w:rsid w:val="00C067DF"/>
    <w:rsid w:val="00C06874"/>
    <w:rsid w:val="00C068E4"/>
    <w:rsid w:val="00C068FC"/>
    <w:rsid w:val="00C06950"/>
    <w:rsid w:val="00C06964"/>
    <w:rsid w:val="00C0697A"/>
    <w:rsid w:val="00C06AAB"/>
    <w:rsid w:val="00C06AD5"/>
    <w:rsid w:val="00C06ADC"/>
    <w:rsid w:val="00C06B57"/>
    <w:rsid w:val="00C06BBB"/>
    <w:rsid w:val="00C06BEA"/>
    <w:rsid w:val="00C06C1E"/>
    <w:rsid w:val="00C06C84"/>
    <w:rsid w:val="00C06C95"/>
    <w:rsid w:val="00C06CA4"/>
    <w:rsid w:val="00C06CA9"/>
    <w:rsid w:val="00C06D05"/>
    <w:rsid w:val="00C06D0A"/>
    <w:rsid w:val="00C06D93"/>
    <w:rsid w:val="00C06DA6"/>
    <w:rsid w:val="00C06DAA"/>
    <w:rsid w:val="00C06DB5"/>
    <w:rsid w:val="00C06DE0"/>
    <w:rsid w:val="00C06DE4"/>
    <w:rsid w:val="00C06E64"/>
    <w:rsid w:val="00C06E7E"/>
    <w:rsid w:val="00C06EB1"/>
    <w:rsid w:val="00C06F37"/>
    <w:rsid w:val="00C06F38"/>
    <w:rsid w:val="00C06F81"/>
    <w:rsid w:val="00C06FBD"/>
    <w:rsid w:val="00C06FFD"/>
    <w:rsid w:val="00C07010"/>
    <w:rsid w:val="00C07041"/>
    <w:rsid w:val="00C07073"/>
    <w:rsid w:val="00C070BF"/>
    <w:rsid w:val="00C070E8"/>
    <w:rsid w:val="00C070FF"/>
    <w:rsid w:val="00C07135"/>
    <w:rsid w:val="00C07158"/>
    <w:rsid w:val="00C071CB"/>
    <w:rsid w:val="00C0720D"/>
    <w:rsid w:val="00C07220"/>
    <w:rsid w:val="00C0749D"/>
    <w:rsid w:val="00C074A8"/>
    <w:rsid w:val="00C07525"/>
    <w:rsid w:val="00C075C7"/>
    <w:rsid w:val="00C07627"/>
    <w:rsid w:val="00C0764C"/>
    <w:rsid w:val="00C07686"/>
    <w:rsid w:val="00C07688"/>
    <w:rsid w:val="00C0768E"/>
    <w:rsid w:val="00C076CC"/>
    <w:rsid w:val="00C076D6"/>
    <w:rsid w:val="00C07752"/>
    <w:rsid w:val="00C07797"/>
    <w:rsid w:val="00C0783C"/>
    <w:rsid w:val="00C07867"/>
    <w:rsid w:val="00C078C8"/>
    <w:rsid w:val="00C07991"/>
    <w:rsid w:val="00C079DA"/>
    <w:rsid w:val="00C07A31"/>
    <w:rsid w:val="00C07AD8"/>
    <w:rsid w:val="00C07AEE"/>
    <w:rsid w:val="00C07BAB"/>
    <w:rsid w:val="00C07BBB"/>
    <w:rsid w:val="00C07C33"/>
    <w:rsid w:val="00C07C64"/>
    <w:rsid w:val="00C07C71"/>
    <w:rsid w:val="00C07D30"/>
    <w:rsid w:val="00C07D35"/>
    <w:rsid w:val="00C07D3F"/>
    <w:rsid w:val="00C07D84"/>
    <w:rsid w:val="00C07DA6"/>
    <w:rsid w:val="00C07DB6"/>
    <w:rsid w:val="00C07E16"/>
    <w:rsid w:val="00C07E9D"/>
    <w:rsid w:val="00C07EC5"/>
    <w:rsid w:val="00C07F13"/>
    <w:rsid w:val="00C07FA8"/>
    <w:rsid w:val="00C10008"/>
    <w:rsid w:val="00C10057"/>
    <w:rsid w:val="00C10067"/>
    <w:rsid w:val="00C100DC"/>
    <w:rsid w:val="00C10124"/>
    <w:rsid w:val="00C10140"/>
    <w:rsid w:val="00C10178"/>
    <w:rsid w:val="00C101E4"/>
    <w:rsid w:val="00C101E6"/>
    <w:rsid w:val="00C10288"/>
    <w:rsid w:val="00C10290"/>
    <w:rsid w:val="00C102E1"/>
    <w:rsid w:val="00C102E3"/>
    <w:rsid w:val="00C102F3"/>
    <w:rsid w:val="00C102FA"/>
    <w:rsid w:val="00C10352"/>
    <w:rsid w:val="00C10355"/>
    <w:rsid w:val="00C1036D"/>
    <w:rsid w:val="00C10399"/>
    <w:rsid w:val="00C103A1"/>
    <w:rsid w:val="00C103B1"/>
    <w:rsid w:val="00C103CC"/>
    <w:rsid w:val="00C1040F"/>
    <w:rsid w:val="00C1041D"/>
    <w:rsid w:val="00C10464"/>
    <w:rsid w:val="00C104F0"/>
    <w:rsid w:val="00C10505"/>
    <w:rsid w:val="00C10557"/>
    <w:rsid w:val="00C10575"/>
    <w:rsid w:val="00C10656"/>
    <w:rsid w:val="00C10723"/>
    <w:rsid w:val="00C107D8"/>
    <w:rsid w:val="00C10800"/>
    <w:rsid w:val="00C10810"/>
    <w:rsid w:val="00C10814"/>
    <w:rsid w:val="00C10817"/>
    <w:rsid w:val="00C1083F"/>
    <w:rsid w:val="00C10858"/>
    <w:rsid w:val="00C10874"/>
    <w:rsid w:val="00C108A4"/>
    <w:rsid w:val="00C108B8"/>
    <w:rsid w:val="00C108E5"/>
    <w:rsid w:val="00C10925"/>
    <w:rsid w:val="00C10936"/>
    <w:rsid w:val="00C109C7"/>
    <w:rsid w:val="00C10A7D"/>
    <w:rsid w:val="00C10A8A"/>
    <w:rsid w:val="00C10B19"/>
    <w:rsid w:val="00C10B27"/>
    <w:rsid w:val="00C10B80"/>
    <w:rsid w:val="00C10BB9"/>
    <w:rsid w:val="00C10C4E"/>
    <w:rsid w:val="00C10CA5"/>
    <w:rsid w:val="00C10CE0"/>
    <w:rsid w:val="00C10D13"/>
    <w:rsid w:val="00C10D60"/>
    <w:rsid w:val="00C10D91"/>
    <w:rsid w:val="00C10E98"/>
    <w:rsid w:val="00C10EBC"/>
    <w:rsid w:val="00C10EDF"/>
    <w:rsid w:val="00C10EE7"/>
    <w:rsid w:val="00C10F67"/>
    <w:rsid w:val="00C10F6F"/>
    <w:rsid w:val="00C10F7C"/>
    <w:rsid w:val="00C10F95"/>
    <w:rsid w:val="00C10FAA"/>
    <w:rsid w:val="00C10FBD"/>
    <w:rsid w:val="00C11073"/>
    <w:rsid w:val="00C11271"/>
    <w:rsid w:val="00C112D7"/>
    <w:rsid w:val="00C11308"/>
    <w:rsid w:val="00C11333"/>
    <w:rsid w:val="00C11342"/>
    <w:rsid w:val="00C11353"/>
    <w:rsid w:val="00C11367"/>
    <w:rsid w:val="00C11370"/>
    <w:rsid w:val="00C113A8"/>
    <w:rsid w:val="00C113C2"/>
    <w:rsid w:val="00C113CB"/>
    <w:rsid w:val="00C113DA"/>
    <w:rsid w:val="00C113DF"/>
    <w:rsid w:val="00C113E6"/>
    <w:rsid w:val="00C113F2"/>
    <w:rsid w:val="00C114CF"/>
    <w:rsid w:val="00C11548"/>
    <w:rsid w:val="00C11581"/>
    <w:rsid w:val="00C115BA"/>
    <w:rsid w:val="00C11646"/>
    <w:rsid w:val="00C1169B"/>
    <w:rsid w:val="00C116A0"/>
    <w:rsid w:val="00C1176A"/>
    <w:rsid w:val="00C1187C"/>
    <w:rsid w:val="00C118A2"/>
    <w:rsid w:val="00C118F8"/>
    <w:rsid w:val="00C118FD"/>
    <w:rsid w:val="00C11925"/>
    <w:rsid w:val="00C1192A"/>
    <w:rsid w:val="00C11955"/>
    <w:rsid w:val="00C11957"/>
    <w:rsid w:val="00C11983"/>
    <w:rsid w:val="00C11B00"/>
    <w:rsid w:val="00C11B34"/>
    <w:rsid w:val="00C11B5A"/>
    <w:rsid w:val="00C11B64"/>
    <w:rsid w:val="00C11B69"/>
    <w:rsid w:val="00C11B81"/>
    <w:rsid w:val="00C11B98"/>
    <w:rsid w:val="00C11BE1"/>
    <w:rsid w:val="00C11C2C"/>
    <w:rsid w:val="00C11C35"/>
    <w:rsid w:val="00C11C52"/>
    <w:rsid w:val="00C11C87"/>
    <w:rsid w:val="00C11C89"/>
    <w:rsid w:val="00C11C8D"/>
    <w:rsid w:val="00C11C98"/>
    <w:rsid w:val="00C11CA2"/>
    <w:rsid w:val="00C11D04"/>
    <w:rsid w:val="00C11D6F"/>
    <w:rsid w:val="00C11DFC"/>
    <w:rsid w:val="00C11E46"/>
    <w:rsid w:val="00C11E64"/>
    <w:rsid w:val="00C11E7D"/>
    <w:rsid w:val="00C11F68"/>
    <w:rsid w:val="00C11FA1"/>
    <w:rsid w:val="00C11FB2"/>
    <w:rsid w:val="00C11FC8"/>
    <w:rsid w:val="00C11FF6"/>
    <w:rsid w:val="00C12058"/>
    <w:rsid w:val="00C12098"/>
    <w:rsid w:val="00C120BD"/>
    <w:rsid w:val="00C1211E"/>
    <w:rsid w:val="00C12137"/>
    <w:rsid w:val="00C121D5"/>
    <w:rsid w:val="00C12201"/>
    <w:rsid w:val="00C1221D"/>
    <w:rsid w:val="00C1222D"/>
    <w:rsid w:val="00C12230"/>
    <w:rsid w:val="00C1226D"/>
    <w:rsid w:val="00C122A7"/>
    <w:rsid w:val="00C122EE"/>
    <w:rsid w:val="00C122FE"/>
    <w:rsid w:val="00C1236F"/>
    <w:rsid w:val="00C12373"/>
    <w:rsid w:val="00C123A7"/>
    <w:rsid w:val="00C123F4"/>
    <w:rsid w:val="00C1240F"/>
    <w:rsid w:val="00C1242A"/>
    <w:rsid w:val="00C12455"/>
    <w:rsid w:val="00C12494"/>
    <w:rsid w:val="00C124C1"/>
    <w:rsid w:val="00C1259F"/>
    <w:rsid w:val="00C12658"/>
    <w:rsid w:val="00C1273B"/>
    <w:rsid w:val="00C1275E"/>
    <w:rsid w:val="00C12765"/>
    <w:rsid w:val="00C1277D"/>
    <w:rsid w:val="00C1278A"/>
    <w:rsid w:val="00C1288F"/>
    <w:rsid w:val="00C1289C"/>
    <w:rsid w:val="00C128E4"/>
    <w:rsid w:val="00C12972"/>
    <w:rsid w:val="00C12974"/>
    <w:rsid w:val="00C129AA"/>
    <w:rsid w:val="00C129C6"/>
    <w:rsid w:val="00C129EA"/>
    <w:rsid w:val="00C12AEC"/>
    <w:rsid w:val="00C12B04"/>
    <w:rsid w:val="00C12B2B"/>
    <w:rsid w:val="00C12B53"/>
    <w:rsid w:val="00C12B83"/>
    <w:rsid w:val="00C12C04"/>
    <w:rsid w:val="00C12C3F"/>
    <w:rsid w:val="00C12C6C"/>
    <w:rsid w:val="00C12CE5"/>
    <w:rsid w:val="00C12CEB"/>
    <w:rsid w:val="00C12E10"/>
    <w:rsid w:val="00C12E1F"/>
    <w:rsid w:val="00C12E43"/>
    <w:rsid w:val="00C12EB9"/>
    <w:rsid w:val="00C12F0C"/>
    <w:rsid w:val="00C12F32"/>
    <w:rsid w:val="00C12F59"/>
    <w:rsid w:val="00C12F6A"/>
    <w:rsid w:val="00C12F9A"/>
    <w:rsid w:val="00C130AE"/>
    <w:rsid w:val="00C130C8"/>
    <w:rsid w:val="00C130F9"/>
    <w:rsid w:val="00C13169"/>
    <w:rsid w:val="00C131A1"/>
    <w:rsid w:val="00C131D8"/>
    <w:rsid w:val="00C131EA"/>
    <w:rsid w:val="00C1325A"/>
    <w:rsid w:val="00C1326F"/>
    <w:rsid w:val="00C1328A"/>
    <w:rsid w:val="00C13297"/>
    <w:rsid w:val="00C132AB"/>
    <w:rsid w:val="00C132BE"/>
    <w:rsid w:val="00C13304"/>
    <w:rsid w:val="00C13383"/>
    <w:rsid w:val="00C133A1"/>
    <w:rsid w:val="00C133B3"/>
    <w:rsid w:val="00C133B4"/>
    <w:rsid w:val="00C133BD"/>
    <w:rsid w:val="00C133D5"/>
    <w:rsid w:val="00C133E8"/>
    <w:rsid w:val="00C13427"/>
    <w:rsid w:val="00C134B6"/>
    <w:rsid w:val="00C134E2"/>
    <w:rsid w:val="00C13515"/>
    <w:rsid w:val="00C1352A"/>
    <w:rsid w:val="00C1358D"/>
    <w:rsid w:val="00C135A0"/>
    <w:rsid w:val="00C135E2"/>
    <w:rsid w:val="00C135F7"/>
    <w:rsid w:val="00C13632"/>
    <w:rsid w:val="00C13647"/>
    <w:rsid w:val="00C1364A"/>
    <w:rsid w:val="00C13715"/>
    <w:rsid w:val="00C13738"/>
    <w:rsid w:val="00C137F6"/>
    <w:rsid w:val="00C1388F"/>
    <w:rsid w:val="00C1391E"/>
    <w:rsid w:val="00C1395E"/>
    <w:rsid w:val="00C13975"/>
    <w:rsid w:val="00C1398F"/>
    <w:rsid w:val="00C1399C"/>
    <w:rsid w:val="00C139B3"/>
    <w:rsid w:val="00C139D3"/>
    <w:rsid w:val="00C13A49"/>
    <w:rsid w:val="00C13A9C"/>
    <w:rsid w:val="00C13B0D"/>
    <w:rsid w:val="00C13B18"/>
    <w:rsid w:val="00C13B6A"/>
    <w:rsid w:val="00C13BFE"/>
    <w:rsid w:val="00C13C04"/>
    <w:rsid w:val="00C13C84"/>
    <w:rsid w:val="00C13D52"/>
    <w:rsid w:val="00C13D93"/>
    <w:rsid w:val="00C13D96"/>
    <w:rsid w:val="00C13DE1"/>
    <w:rsid w:val="00C13DE2"/>
    <w:rsid w:val="00C13E18"/>
    <w:rsid w:val="00C13E9D"/>
    <w:rsid w:val="00C13EB3"/>
    <w:rsid w:val="00C13EEB"/>
    <w:rsid w:val="00C13EF2"/>
    <w:rsid w:val="00C13F35"/>
    <w:rsid w:val="00C13F53"/>
    <w:rsid w:val="00C13FB6"/>
    <w:rsid w:val="00C1402E"/>
    <w:rsid w:val="00C140AF"/>
    <w:rsid w:val="00C140B3"/>
    <w:rsid w:val="00C140D0"/>
    <w:rsid w:val="00C14130"/>
    <w:rsid w:val="00C14165"/>
    <w:rsid w:val="00C141AB"/>
    <w:rsid w:val="00C141C3"/>
    <w:rsid w:val="00C141DD"/>
    <w:rsid w:val="00C141E7"/>
    <w:rsid w:val="00C1423A"/>
    <w:rsid w:val="00C14278"/>
    <w:rsid w:val="00C14292"/>
    <w:rsid w:val="00C1433E"/>
    <w:rsid w:val="00C1441A"/>
    <w:rsid w:val="00C14465"/>
    <w:rsid w:val="00C144C0"/>
    <w:rsid w:val="00C144FC"/>
    <w:rsid w:val="00C14549"/>
    <w:rsid w:val="00C145BE"/>
    <w:rsid w:val="00C145DD"/>
    <w:rsid w:val="00C14647"/>
    <w:rsid w:val="00C1468F"/>
    <w:rsid w:val="00C1469E"/>
    <w:rsid w:val="00C146B6"/>
    <w:rsid w:val="00C147D0"/>
    <w:rsid w:val="00C147EE"/>
    <w:rsid w:val="00C148A2"/>
    <w:rsid w:val="00C148C5"/>
    <w:rsid w:val="00C14908"/>
    <w:rsid w:val="00C1490A"/>
    <w:rsid w:val="00C1493B"/>
    <w:rsid w:val="00C14949"/>
    <w:rsid w:val="00C14966"/>
    <w:rsid w:val="00C149A7"/>
    <w:rsid w:val="00C149B2"/>
    <w:rsid w:val="00C149EF"/>
    <w:rsid w:val="00C14A76"/>
    <w:rsid w:val="00C14AA0"/>
    <w:rsid w:val="00C14AB5"/>
    <w:rsid w:val="00C14AFD"/>
    <w:rsid w:val="00C14B12"/>
    <w:rsid w:val="00C14B46"/>
    <w:rsid w:val="00C14B54"/>
    <w:rsid w:val="00C14BB5"/>
    <w:rsid w:val="00C14C27"/>
    <w:rsid w:val="00C14C68"/>
    <w:rsid w:val="00C14CA5"/>
    <w:rsid w:val="00C14CD1"/>
    <w:rsid w:val="00C14CE8"/>
    <w:rsid w:val="00C14D6C"/>
    <w:rsid w:val="00C14D87"/>
    <w:rsid w:val="00C14E07"/>
    <w:rsid w:val="00C14E30"/>
    <w:rsid w:val="00C14E46"/>
    <w:rsid w:val="00C14E5F"/>
    <w:rsid w:val="00C14E83"/>
    <w:rsid w:val="00C14E9C"/>
    <w:rsid w:val="00C14ED0"/>
    <w:rsid w:val="00C14EDA"/>
    <w:rsid w:val="00C14F4F"/>
    <w:rsid w:val="00C1500B"/>
    <w:rsid w:val="00C150D8"/>
    <w:rsid w:val="00C150E4"/>
    <w:rsid w:val="00C15135"/>
    <w:rsid w:val="00C15244"/>
    <w:rsid w:val="00C15299"/>
    <w:rsid w:val="00C1532F"/>
    <w:rsid w:val="00C1534B"/>
    <w:rsid w:val="00C153B8"/>
    <w:rsid w:val="00C153DC"/>
    <w:rsid w:val="00C153F0"/>
    <w:rsid w:val="00C1545F"/>
    <w:rsid w:val="00C15484"/>
    <w:rsid w:val="00C1549E"/>
    <w:rsid w:val="00C154A0"/>
    <w:rsid w:val="00C154A8"/>
    <w:rsid w:val="00C154EE"/>
    <w:rsid w:val="00C1551C"/>
    <w:rsid w:val="00C15546"/>
    <w:rsid w:val="00C1555A"/>
    <w:rsid w:val="00C155FE"/>
    <w:rsid w:val="00C15636"/>
    <w:rsid w:val="00C15638"/>
    <w:rsid w:val="00C15640"/>
    <w:rsid w:val="00C156A5"/>
    <w:rsid w:val="00C156B0"/>
    <w:rsid w:val="00C156B1"/>
    <w:rsid w:val="00C15718"/>
    <w:rsid w:val="00C1572B"/>
    <w:rsid w:val="00C1573D"/>
    <w:rsid w:val="00C15758"/>
    <w:rsid w:val="00C15768"/>
    <w:rsid w:val="00C1577C"/>
    <w:rsid w:val="00C1582B"/>
    <w:rsid w:val="00C15931"/>
    <w:rsid w:val="00C1598F"/>
    <w:rsid w:val="00C15A11"/>
    <w:rsid w:val="00C15A43"/>
    <w:rsid w:val="00C15A65"/>
    <w:rsid w:val="00C15AD4"/>
    <w:rsid w:val="00C15B09"/>
    <w:rsid w:val="00C15B30"/>
    <w:rsid w:val="00C15B53"/>
    <w:rsid w:val="00C15C22"/>
    <w:rsid w:val="00C15C57"/>
    <w:rsid w:val="00C15C9F"/>
    <w:rsid w:val="00C15CA4"/>
    <w:rsid w:val="00C15D09"/>
    <w:rsid w:val="00C15D2D"/>
    <w:rsid w:val="00C15D82"/>
    <w:rsid w:val="00C15D86"/>
    <w:rsid w:val="00C15EC2"/>
    <w:rsid w:val="00C15F2D"/>
    <w:rsid w:val="00C15FCE"/>
    <w:rsid w:val="00C16009"/>
    <w:rsid w:val="00C16077"/>
    <w:rsid w:val="00C1607B"/>
    <w:rsid w:val="00C160A8"/>
    <w:rsid w:val="00C160C3"/>
    <w:rsid w:val="00C160E0"/>
    <w:rsid w:val="00C16104"/>
    <w:rsid w:val="00C161D1"/>
    <w:rsid w:val="00C161F2"/>
    <w:rsid w:val="00C16224"/>
    <w:rsid w:val="00C1622F"/>
    <w:rsid w:val="00C16290"/>
    <w:rsid w:val="00C16343"/>
    <w:rsid w:val="00C16358"/>
    <w:rsid w:val="00C1636C"/>
    <w:rsid w:val="00C1638C"/>
    <w:rsid w:val="00C16416"/>
    <w:rsid w:val="00C1643A"/>
    <w:rsid w:val="00C1647A"/>
    <w:rsid w:val="00C16491"/>
    <w:rsid w:val="00C164FB"/>
    <w:rsid w:val="00C16597"/>
    <w:rsid w:val="00C165A7"/>
    <w:rsid w:val="00C16618"/>
    <w:rsid w:val="00C16630"/>
    <w:rsid w:val="00C1669A"/>
    <w:rsid w:val="00C166B2"/>
    <w:rsid w:val="00C1671C"/>
    <w:rsid w:val="00C1675D"/>
    <w:rsid w:val="00C167A4"/>
    <w:rsid w:val="00C16829"/>
    <w:rsid w:val="00C1682C"/>
    <w:rsid w:val="00C1687C"/>
    <w:rsid w:val="00C1689E"/>
    <w:rsid w:val="00C16936"/>
    <w:rsid w:val="00C1694C"/>
    <w:rsid w:val="00C16974"/>
    <w:rsid w:val="00C169F2"/>
    <w:rsid w:val="00C16A18"/>
    <w:rsid w:val="00C16A8B"/>
    <w:rsid w:val="00C16B07"/>
    <w:rsid w:val="00C16B14"/>
    <w:rsid w:val="00C16B75"/>
    <w:rsid w:val="00C16B8B"/>
    <w:rsid w:val="00C16B9D"/>
    <w:rsid w:val="00C16BA1"/>
    <w:rsid w:val="00C16BE8"/>
    <w:rsid w:val="00C16C5E"/>
    <w:rsid w:val="00C16D92"/>
    <w:rsid w:val="00C16F18"/>
    <w:rsid w:val="00C16F28"/>
    <w:rsid w:val="00C16F2A"/>
    <w:rsid w:val="00C16FB4"/>
    <w:rsid w:val="00C16FC1"/>
    <w:rsid w:val="00C17024"/>
    <w:rsid w:val="00C17058"/>
    <w:rsid w:val="00C1709F"/>
    <w:rsid w:val="00C170F0"/>
    <w:rsid w:val="00C17105"/>
    <w:rsid w:val="00C1712E"/>
    <w:rsid w:val="00C17136"/>
    <w:rsid w:val="00C17137"/>
    <w:rsid w:val="00C1718B"/>
    <w:rsid w:val="00C171DE"/>
    <w:rsid w:val="00C1723F"/>
    <w:rsid w:val="00C1730A"/>
    <w:rsid w:val="00C1731A"/>
    <w:rsid w:val="00C17342"/>
    <w:rsid w:val="00C1735B"/>
    <w:rsid w:val="00C173B5"/>
    <w:rsid w:val="00C173F7"/>
    <w:rsid w:val="00C1740F"/>
    <w:rsid w:val="00C17430"/>
    <w:rsid w:val="00C17436"/>
    <w:rsid w:val="00C1743F"/>
    <w:rsid w:val="00C17445"/>
    <w:rsid w:val="00C174A1"/>
    <w:rsid w:val="00C174B4"/>
    <w:rsid w:val="00C174C8"/>
    <w:rsid w:val="00C17589"/>
    <w:rsid w:val="00C175B6"/>
    <w:rsid w:val="00C175D3"/>
    <w:rsid w:val="00C17652"/>
    <w:rsid w:val="00C17694"/>
    <w:rsid w:val="00C1769F"/>
    <w:rsid w:val="00C176BB"/>
    <w:rsid w:val="00C176CB"/>
    <w:rsid w:val="00C176E4"/>
    <w:rsid w:val="00C17712"/>
    <w:rsid w:val="00C17766"/>
    <w:rsid w:val="00C17780"/>
    <w:rsid w:val="00C177A0"/>
    <w:rsid w:val="00C177CD"/>
    <w:rsid w:val="00C1792F"/>
    <w:rsid w:val="00C17967"/>
    <w:rsid w:val="00C179EF"/>
    <w:rsid w:val="00C17A5F"/>
    <w:rsid w:val="00C17A72"/>
    <w:rsid w:val="00C17A87"/>
    <w:rsid w:val="00C17AB0"/>
    <w:rsid w:val="00C17B72"/>
    <w:rsid w:val="00C17B94"/>
    <w:rsid w:val="00C17BBC"/>
    <w:rsid w:val="00C17BE2"/>
    <w:rsid w:val="00C17C03"/>
    <w:rsid w:val="00C17C68"/>
    <w:rsid w:val="00C17CA4"/>
    <w:rsid w:val="00C17CAE"/>
    <w:rsid w:val="00C17CBE"/>
    <w:rsid w:val="00C17D26"/>
    <w:rsid w:val="00C17D8B"/>
    <w:rsid w:val="00C17DCB"/>
    <w:rsid w:val="00C17DED"/>
    <w:rsid w:val="00C17E81"/>
    <w:rsid w:val="00C17EA1"/>
    <w:rsid w:val="00C17ECF"/>
    <w:rsid w:val="00C17F08"/>
    <w:rsid w:val="00C17F4F"/>
    <w:rsid w:val="00C17F55"/>
    <w:rsid w:val="00C17F98"/>
    <w:rsid w:val="00C2004B"/>
    <w:rsid w:val="00C20054"/>
    <w:rsid w:val="00C20064"/>
    <w:rsid w:val="00C20090"/>
    <w:rsid w:val="00C200D1"/>
    <w:rsid w:val="00C200D6"/>
    <w:rsid w:val="00C20134"/>
    <w:rsid w:val="00C2015A"/>
    <w:rsid w:val="00C20197"/>
    <w:rsid w:val="00C201B8"/>
    <w:rsid w:val="00C201FB"/>
    <w:rsid w:val="00C2022B"/>
    <w:rsid w:val="00C2023C"/>
    <w:rsid w:val="00C2028C"/>
    <w:rsid w:val="00C2028F"/>
    <w:rsid w:val="00C202B0"/>
    <w:rsid w:val="00C202B6"/>
    <w:rsid w:val="00C202CA"/>
    <w:rsid w:val="00C2030E"/>
    <w:rsid w:val="00C2033C"/>
    <w:rsid w:val="00C2041D"/>
    <w:rsid w:val="00C204A6"/>
    <w:rsid w:val="00C204F3"/>
    <w:rsid w:val="00C2050D"/>
    <w:rsid w:val="00C2053C"/>
    <w:rsid w:val="00C2066C"/>
    <w:rsid w:val="00C206E1"/>
    <w:rsid w:val="00C20735"/>
    <w:rsid w:val="00C2073E"/>
    <w:rsid w:val="00C207AF"/>
    <w:rsid w:val="00C207FD"/>
    <w:rsid w:val="00C20808"/>
    <w:rsid w:val="00C20868"/>
    <w:rsid w:val="00C208C7"/>
    <w:rsid w:val="00C20936"/>
    <w:rsid w:val="00C209FE"/>
    <w:rsid w:val="00C20A23"/>
    <w:rsid w:val="00C20A4E"/>
    <w:rsid w:val="00C20A50"/>
    <w:rsid w:val="00C20A51"/>
    <w:rsid w:val="00C20A98"/>
    <w:rsid w:val="00C20B48"/>
    <w:rsid w:val="00C20BA5"/>
    <w:rsid w:val="00C20BC2"/>
    <w:rsid w:val="00C20BD5"/>
    <w:rsid w:val="00C20BE1"/>
    <w:rsid w:val="00C20C6D"/>
    <w:rsid w:val="00C20CAE"/>
    <w:rsid w:val="00C20D0B"/>
    <w:rsid w:val="00C20D2C"/>
    <w:rsid w:val="00C20DB2"/>
    <w:rsid w:val="00C20E51"/>
    <w:rsid w:val="00C20E55"/>
    <w:rsid w:val="00C20EE4"/>
    <w:rsid w:val="00C20F54"/>
    <w:rsid w:val="00C20FF8"/>
    <w:rsid w:val="00C2104C"/>
    <w:rsid w:val="00C21078"/>
    <w:rsid w:val="00C21086"/>
    <w:rsid w:val="00C210B4"/>
    <w:rsid w:val="00C210D5"/>
    <w:rsid w:val="00C210D9"/>
    <w:rsid w:val="00C21122"/>
    <w:rsid w:val="00C21137"/>
    <w:rsid w:val="00C21149"/>
    <w:rsid w:val="00C2116D"/>
    <w:rsid w:val="00C2119B"/>
    <w:rsid w:val="00C211A1"/>
    <w:rsid w:val="00C211BA"/>
    <w:rsid w:val="00C211E0"/>
    <w:rsid w:val="00C21213"/>
    <w:rsid w:val="00C21251"/>
    <w:rsid w:val="00C2126A"/>
    <w:rsid w:val="00C2129D"/>
    <w:rsid w:val="00C212B1"/>
    <w:rsid w:val="00C212D7"/>
    <w:rsid w:val="00C21317"/>
    <w:rsid w:val="00C21376"/>
    <w:rsid w:val="00C2137F"/>
    <w:rsid w:val="00C2140A"/>
    <w:rsid w:val="00C21526"/>
    <w:rsid w:val="00C2154E"/>
    <w:rsid w:val="00C21551"/>
    <w:rsid w:val="00C21579"/>
    <w:rsid w:val="00C21599"/>
    <w:rsid w:val="00C215F1"/>
    <w:rsid w:val="00C215F5"/>
    <w:rsid w:val="00C215FA"/>
    <w:rsid w:val="00C2160C"/>
    <w:rsid w:val="00C21621"/>
    <w:rsid w:val="00C21645"/>
    <w:rsid w:val="00C21651"/>
    <w:rsid w:val="00C216C0"/>
    <w:rsid w:val="00C2177A"/>
    <w:rsid w:val="00C217E6"/>
    <w:rsid w:val="00C21829"/>
    <w:rsid w:val="00C218E5"/>
    <w:rsid w:val="00C2198C"/>
    <w:rsid w:val="00C21A1D"/>
    <w:rsid w:val="00C21A76"/>
    <w:rsid w:val="00C21A8D"/>
    <w:rsid w:val="00C21AB3"/>
    <w:rsid w:val="00C21AD7"/>
    <w:rsid w:val="00C21AE9"/>
    <w:rsid w:val="00C21B6B"/>
    <w:rsid w:val="00C21B91"/>
    <w:rsid w:val="00C21B99"/>
    <w:rsid w:val="00C21C3C"/>
    <w:rsid w:val="00C21C5A"/>
    <w:rsid w:val="00C21C61"/>
    <w:rsid w:val="00C21CAF"/>
    <w:rsid w:val="00C21CEE"/>
    <w:rsid w:val="00C21D68"/>
    <w:rsid w:val="00C21DA9"/>
    <w:rsid w:val="00C21DC5"/>
    <w:rsid w:val="00C21DE2"/>
    <w:rsid w:val="00C21E56"/>
    <w:rsid w:val="00C21E83"/>
    <w:rsid w:val="00C21E98"/>
    <w:rsid w:val="00C21E9D"/>
    <w:rsid w:val="00C21EF8"/>
    <w:rsid w:val="00C21F62"/>
    <w:rsid w:val="00C21F66"/>
    <w:rsid w:val="00C21FCC"/>
    <w:rsid w:val="00C22007"/>
    <w:rsid w:val="00C2203E"/>
    <w:rsid w:val="00C22095"/>
    <w:rsid w:val="00C220D2"/>
    <w:rsid w:val="00C220E6"/>
    <w:rsid w:val="00C22143"/>
    <w:rsid w:val="00C22177"/>
    <w:rsid w:val="00C22186"/>
    <w:rsid w:val="00C2226C"/>
    <w:rsid w:val="00C222CF"/>
    <w:rsid w:val="00C222E3"/>
    <w:rsid w:val="00C22333"/>
    <w:rsid w:val="00C22337"/>
    <w:rsid w:val="00C22366"/>
    <w:rsid w:val="00C223A0"/>
    <w:rsid w:val="00C223A9"/>
    <w:rsid w:val="00C223AA"/>
    <w:rsid w:val="00C2245D"/>
    <w:rsid w:val="00C2246B"/>
    <w:rsid w:val="00C224B2"/>
    <w:rsid w:val="00C224CC"/>
    <w:rsid w:val="00C22558"/>
    <w:rsid w:val="00C225ED"/>
    <w:rsid w:val="00C22657"/>
    <w:rsid w:val="00C22785"/>
    <w:rsid w:val="00C227B7"/>
    <w:rsid w:val="00C227BB"/>
    <w:rsid w:val="00C22869"/>
    <w:rsid w:val="00C22954"/>
    <w:rsid w:val="00C22970"/>
    <w:rsid w:val="00C229C4"/>
    <w:rsid w:val="00C22A6F"/>
    <w:rsid w:val="00C22A99"/>
    <w:rsid w:val="00C22AD9"/>
    <w:rsid w:val="00C22B01"/>
    <w:rsid w:val="00C22B11"/>
    <w:rsid w:val="00C22B55"/>
    <w:rsid w:val="00C22C0A"/>
    <w:rsid w:val="00C22C40"/>
    <w:rsid w:val="00C22C4A"/>
    <w:rsid w:val="00C22CD0"/>
    <w:rsid w:val="00C22CD6"/>
    <w:rsid w:val="00C22D0E"/>
    <w:rsid w:val="00C22D63"/>
    <w:rsid w:val="00C22DCA"/>
    <w:rsid w:val="00C22E37"/>
    <w:rsid w:val="00C22E72"/>
    <w:rsid w:val="00C22E9E"/>
    <w:rsid w:val="00C22ECD"/>
    <w:rsid w:val="00C22F6F"/>
    <w:rsid w:val="00C22F8A"/>
    <w:rsid w:val="00C22FC7"/>
    <w:rsid w:val="00C23005"/>
    <w:rsid w:val="00C23027"/>
    <w:rsid w:val="00C23052"/>
    <w:rsid w:val="00C230FE"/>
    <w:rsid w:val="00C2315E"/>
    <w:rsid w:val="00C23170"/>
    <w:rsid w:val="00C2319C"/>
    <w:rsid w:val="00C231D9"/>
    <w:rsid w:val="00C23286"/>
    <w:rsid w:val="00C232F1"/>
    <w:rsid w:val="00C23314"/>
    <w:rsid w:val="00C233FE"/>
    <w:rsid w:val="00C23403"/>
    <w:rsid w:val="00C23476"/>
    <w:rsid w:val="00C234BD"/>
    <w:rsid w:val="00C23548"/>
    <w:rsid w:val="00C23554"/>
    <w:rsid w:val="00C235BB"/>
    <w:rsid w:val="00C235CF"/>
    <w:rsid w:val="00C235F8"/>
    <w:rsid w:val="00C23677"/>
    <w:rsid w:val="00C236F9"/>
    <w:rsid w:val="00C23738"/>
    <w:rsid w:val="00C23786"/>
    <w:rsid w:val="00C2378B"/>
    <w:rsid w:val="00C23889"/>
    <w:rsid w:val="00C238B7"/>
    <w:rsid w:val="00C238CA"/>
    <w:rsid w:val="00C2390F"/>
    <w:rsid w:val="00C23A0D"/>
    <w:rsid w:val="00C23A0E"/>
    <w:rsid w:val="00C23A8B"/>
    <w:rsid w:val="00C23AAD"/>
    <w:rsid w:val="00C23AF9"/>
    <w:rsid w:val="00C23C30"/>
    <w:rsid w:val="00C23CC3"/>
    <w:rsid w:val="00C23CFA"/>
    <w:rsid w:val="00C23D66"/>
    <w:rsid w:val="00C23D6A"/>
    <w:rsid w:val="00C23D98"/>
    <w:rsid w:val="00C23DB3"/>
    <w:rsid w:val="00C23DC4"/>
    <w:rsid w:val="00C23DCC"/>
    <w:rsid w:val="00C23E10"/>
    <w:rsid w:val="00C23E5C"/>
    <w:rsid w:val="00C23E94"/>
    <w:rsid w:val="00C23E9C"/>
    <w:rsid w:val="00C23EBD"/>
    <w:rsid w:val="00C23ED3"/>
    <w:rsid w:val="00C23EF6"/>
    <w:rsid w:val="00C24056"/>
    <w:rsid w:val="00C2410E"/>
    <w:rsid w:val="00C24182"/>
    <w:rsid w:val="00C24215"/>
    <w:rsid w:val="00C2421F"/>
    <w:rsid w:val="00C24282"/>
    <w:rsid w:val="00C242C5"/>
    <w:rsid w:val="00C242F9"/>
    <w:rsid w:val="00C2433B"/>
    <w:rsid w:val="00C24357"/>
    <w:rsid w:val="00C243D7"/>
    <w:rsid w:val="00C244BE"/>
    <w:rsid w:val="00C244FC"/>
    <w:rsid w:val="00C24561"/>
    <w:rsid w:val="00C245F3"/>
    <w:rsid w:val="00C2462E"/>
    <w:rsid w:val="00C24660"/>
    <w:rsid w:val="00C24664"/>
    <w:rsid w:val="00C246AC"/>
    <w:rsid w:val="00C246CF"/>
    <w:rsid w:val="00C246D5"/>
    <w:rsid w:val="00C24770"/>
    <w:rsid w:val="00C2477D"/>
    <w:rsid w:val="00C247F3"/>
    <w:rsid w:val="00C2481D"/>
    <w:rsid w:val="00C24914"/>
    <w:rsid w:val="00C24940"/>
    <w:rsid w:val="00C24948"/>
    <w:rsid w:val="00C2494A"/>
    <w:rsid w:val="00C2496E"/>
    <w:rsid w:val="00C249C4"/>
    <w:rsid w:val="00C249CE"/>
    <w:rsid w:val="00C249F0"/>
    <w:rsid w:val="00C24A09"/>
    <w:rsid w:val="00C24A2A"/>
    <w:rsid w:val="00C24A38"/>
    <w:rsid w:val="00C24A52"/>
    <w:rsid w:val="00C24B1E"/>
    <w:rsid w:val="00C24BBA"/>
    <w:rsid w:val="00C24BFB"/>
    <w:rsid w:val="00C24C30"/>
    <w:rsid w:val="00C24CC2"/>
    <w:rsid w:val="00C24CE9"/>
    <w:rsid w:val="00C24D1B"/>
    <w:rsid w:val="00C24D47"/>
    <w:rsid w:val="00C24DBA"/>
    <w:rsid w:val="00C24DF7"/>
    <w:rsid w:val="00C24DFF"/>
    <w:rsid w:val="00C24E32"/>
    <w:rsid w:val="00C24F9C"/>
    <w:rsid w:val="00C24FBA"/>
    <w:rsid w:val="00C24FCC"/>
    <w:rsid w:val="00C25039"/>
    <w:rsid w:val="00C2503B"/>
    <w:rsid w:val="00C2504E"/>
    <w:rsid w:val="00C2509B"/>
    <w:rsid w:val="00C250B6"/>
    <w:rsid w:val="00C25148"/>
    <w:rsid w:val="00C25160"/>
    <w:rsid w:val="00C251A4"/>
    <w:rsid w:val="00C251CC"/>
    <w:rsid w:val="00C251E9"/>
    <w:rsid w:val="00C25243"/>
    <w:rsid w:val="00C25442"/>
    <w:rsid w:val="00C25470"/>
    <w:rsid w:val="00C25485"/>
    <w:rsid w:val="00C254EB"/>
    <w:rsid w:val="00C25508"/>
    <w:rsid w:val="00C25586"/>
    <w:rsid w:val="00C255AE"/>
    <w:rsid w:val="00C255E5"/>
    <w:rsid w:val="00C255FD"/>
    <w:rsid w:val="00C25637"/>
    <w:rsid w:val="00C25640"/>
    <w:rsid w:val="00C256C2"/>
    <w:rsid w:val="00C256C8"/>
    <w:rsid w:val="00C256CE"/>
    <w:rsid w:val="00C256FE"/>
    <w:rsid w:val="00C25784"/>
    <w:rsid w:val="00C2582F"/>
    <w:rsid w:val="00C258FD"/>
    <w:rsid w:val="00C25910"/>
    <w:rsid w:val="00C2592C"/>
    <w:rsid w:val="00C25992"/>
    <w:rsid w:val="00C2599D"/>
    <w:rsid w:val="00C25A3C"/>
    <w:rsid w:val="00C25A51"/>
    <w:rsid w:val="00C25A5E"/>
    <w:rsid w:val="00C25A7D"/>
    <w:rsid w:val="00C25B1D"/>
    <w:rsid w:val="00C25B4C"/>
    <w:rsid w:val="00C25B5E"/>
    <w:rsid w:val="00C25BBD"/>
    <w:rsid w:val="00C25C05"/>
    <w:rsid w:val="00C25C45"/>
    <w:rsid w:val="00C25C6C"/>
    <w:rsid w:val="00C25C6F"/>
    <w:rsid w:val="00C25C91"/>
    <w:rsid w:val="00C25CE3"/>
    <w:rsid w:val="00C25D5E"/>
    <w:rsid w:val="00C25E5F"/>
    <w:rsid w:val="00C25EA5"/>
    <w:rsid w:val="00C25EE7"/>
    <w:rsid w:val="00C25F04"/>
    <w:rsid w:val="00C25F19"/>
    <w:rsid w:val="00C25F1F"/>
    <w:rsid w:val="00C25F57"/>
    <w:rsid w:val="00C25F58"/>
    <w:rsid w:val="00C25F5D"/>
    <w:rsid w:val="00C25F73"/>
    <w:rsid w:val="00C25F9B"/>
    <w:rsid w:val="00C25FE3"/>
    <w:rsid w:val="00C26038"/>
    <w:rsid w:val="00C2605F"/>
    <w:rsid w:val="00C26094"/>
    <w:rsid w:val="00C2611B"/>
    <w:rsid w:val="00C26133"/>
    <w:rsid w:val="00C26150"/>
    <w:rsid w:val="00C261B6"/>
    <w:rsid w:val="00C261E7"/>
    <w:rsid w:val="00C261E8"/>
    <w:rsid w:val="00C2621B"/>
    <w:rsid w:val="00C262BC"/>
    <w:rsid w:val="00C26328"/>
    <w:rsid w:val="00C26366"/>
    <w:rsid w:val="00C263A3"/>
    <w:rsid w:val="00C26462"/>
    <w:rsid w:val="00C26464"/>
    <w:rsid w:val="00C2648D"/>
    <w:rsid w:val="00C26493"/>
    <w:rsid w:val="00C264B0"/>
    <w:rsid w:val="00C264C4"/>
    <w:rsid w:val="00C264F3"/>
    <w:rsid w:val="00C2666F"/>
    <w:rsid w:val="00C266C2"/>
    <w:rsid w:val="00C266CF"/>
    <w:rsid w:val="00C266F2"/>
    <w:rsid w:val="00C26712"/>
    <w:rsid w:val="00C26715"/>
    <w:rsid w:val="00C267F0"/>
    <w:rsid w:val="00C267FD"/>
    <w:rsid w:val="00C268BC"/>
    <w:rsid w:val="00C268C1"/>
    <w:rsid w:val="00C26901"/>
    <w:rsid w:val="00C2690A"/>
    <w:rsid w:val="00C2696C"/>
    <w:rsid w:val="00C26981"/>
    <w:rsid w:val="00C269A7"/>
    <w:rsid w:val="00C26A43"/>
    <w:rsid w:val="00C26A64"/>
    <w:rsid w:val="00C26A8D"/>
    <w:rsid w:val="00C26B45"/>
    <w:rsid w:val="00C26B98"/>
    <w:rsid w:val="00C26BC4"/>
    <w:rsid w:val="00C26BE6"/>
    <w:rsid w:val="00C26C7C"/>
    <w:rsid w:val="00C26CBA"/>
    <w:rsid w:val="00C26CC6"/>
    <w:rsid w:val="00C26CF3"/>
    <w:rsid w:val="00C26D21"/>
    <w:rsid w:val="00C26D48"/>
    <w:rsid w:val="00C26DA3"/>
    <w:rsid w:val="00C26EBE"/>
    <w:rsid w:val="00C26F59"/>
    <w:rsid w:val="00C26F8B"/>
    <w:rsid w:val="00C27073"/>
    <w:rsid w:val="00C270C6"/>
    <w:rsid w:val="00C27133"/>
    <w:rsid w:val="00C27174"/>
    <w:rsid w:val="00C271A0"/>
    <w:rsid w:val="00C271CE"/>
    <w:rsid w:val="00C271D4"/>
    <w:rsid w:val="00C2723A"/>
    <w:rsid w:val="00C2727C"/>
    <w:rsid w:val="00C272A0"/>
    <w:rsid w:val="00C27384"/>
    <w:rsid w:val="00C27411"/>
    <w:rsid w:val="00C27438"/>
    <w:rsid w:val="00C27486"/>
    <w:rsid w:val="00C274C8"/>
    <w:rsid w:val="00C274CE"/>
    <w:rsid w:val="00C274E5"/>
    <w:rsid w:val="00C274EF"/>
    <w:rsid w:val="00C2752C"/>
    <w:rsid w:val="00C27579"/>
    <w:rsid w:val="00C275D4"/>
    <w:rsid w:val="00C275E3"/>
    <w:rsid w:val="00C27608"/>
    <w:rsid w:val="00C27629"/>
    <w:rsid w:val="00C27631"/>
    <w:rsid w:val="00C276BA"/>
    <w:rsid w:val="00C276DD"/>
    <w:rsid w:val="00C276E7"/>
    <w:rsid w:val="00C27721"/>
    <w:rsid w:val="00C27727"/>
    <w:rsid w:val="00C2773B"/>
    <w:rsid w:val="00C27770"/>
    <w:rsid w:val="00C2777A"/>
    <w:rsid w:val="00C277C9"/>
    <w:rsid w:val="00C277DC"/>
    <w:rsid w:val="00C27819"/>
    <w:rsid w:val="00C2789E"/>
    <w:rsid w:val="00C278B3"/>
    <w:rsid w:val="00C278B4"/>
    <w:rsid w:val="00C27A53"/>
    <w:rsid w:val="00C27A55"/>
    <w:rsid w:val="00C27AB0"/>
    <w:rsid w:val="00C27ABB"/>
    <w:rsid w:val="00C27B49"/>
    <w:rsid w:val="00C27B4F"/>
    <w:rsid w:val="00C27B7B"/>
    <w:rsid w:val="00C27BBE"/>
    <w:rsid w:val="00C27BD7"/>
    <w:rsid w:val="00C27C0C"/>
    <w:rsid w:val="00C27C66"/>
    <w:rsid w:val="00C27C85"/>
    <w:rsid w:val="00C27D16"/>
    <w:rsid w:val="00C27D41"/>
    <w:rsid w:val="00C27D58"/>
    <w:rsid w:val="00C27DD8"/>
    <w:rsid w:val="00C27DF6"/>
    <w:rsid w:val="00C27DF8"/>
    <w:rsid w:val="00C27E0E"/>
    <w:rsid w:val="00C27E70"/>
    <w:rsid w:val="00C27ED3"/>
    <w:rsid w:val="00C27F24"/>
    <w:rsid w:val="00C27F8D"/>
    <w:rsid w:val="00C27FD6"/>
    <w:rsid w:val="00C27FE4"/>
    <w:rsid w:val="00C27FE5"/>
    <w:rsid w:val="00C27FFE"/>
    <w:rsid w:val="00C30000"/>
    <w:rsid w:val="00C30001"/>
    <w:rsid w:val="00C3000A"/>
    <w:rsid w:val="00C3002F"/>
    <w:rsid w:val="00C300B7"/>
    <w:rsid w:val="00C300ED"/>
    <w:rsid w:val="00C30133"/>
    <w:rsid w:val="00C3013D"/>
    <w:rsid w:val="00C30166"/>
    <w:rsid w:val="00C301D6"/>
    <w:rsid w:val="00C301EB"/>
    <w:rsid w:val="00C301F0"/>
    <w:rsid w:val="00C30234"/>
    <w:rsid w:val="00C302D2"/>
    <w:rsid w:val="00C3032B"/>
    <w:rsid w:val="00C30395"/>
    <w:rsid w:val="00C303EA"/>
    <w:rsid w:val="00C30516"/>
    <w:rsid w:val="00C305D3"/>
    <w:rsid w:val="00C305D5"/>
    <w:rsid w:val="00C305EC"/>
    <w:rsid w:val="00C30600"/>
    <w:rsid w:val="00C3066A"/>
    <w:rsid w:val="00C30677"/>
    <w:rsid w:val="00C30691"/>
    <w:rsid w:val="00C306FE"/>
    <w:rsid w:val="00C3071B"/>
    <w:rsid w:val="00C30747"/>
    <w:rsid w:val="00C30791"/>
    <w:rsid w:val="00C3087D"/>
    <w:rsid w:val="00C30887"/>
    <w:rsid w:val="00C30889"/>
    <w:rsid w:val="00C308AE"/>
    <w:rsid w:val="00C308B6"/>
    <w:rsid w:val="00C30915"/>
    <w:rsid w:val="00C30946"/>
    <w:rsid w:val="00C30958"/>
    <w:rsid w:val="00C3095C"/>
    <w:rsid w:val="00C30A1B"/>
    <w:rsid w:val="00C30A7B"/>
    <w:rsid w:val="00C30A99"/>
    <w:rsid w:val="00C30AD8"/>
    <w:rsid w:val="00C30AD9"/>
    <w:rsid w:val="00C30B6E"/>
    <w:rsid w:val="00C30BCE"/>
    <w:rsid w:val="00C30BF0"/>
    <w:rsid w:val="00C30C0B"/>
    <w:rsid w:val="00C30C31"/>
    <w:rsid w:val="00C30C8F"/>
    <w:rsid w:val="00C30C92"/>
    <w:rsid w:val="00C30CB9"/>
    <w:rsid w:val="00C30D0F"/>
    <w:rsid w:val="00C30D5F"/>
    <w:rsid w:val="00C30DB9"/>
    <w:rsid w:val="00C30E33"/>
    <w:rsid w:val="00C30E48"/>
    <w:rsid w:val="00C30EA3"/>
    <w:rsid w:val="00C30EC1"/>
    <w:rsid w:val="00C30EC2"/>
    <w:rsid w:val="00C30ECE"/>
    <w:rsid w:val="00C30F63"/>
    <w:rsid w:val="00C30F99"/>
    <w:rsid w:val="00C30FA9"/>
    <w:rsid w:val="00C30FB2"/>
    <w:rsid w:val="00C30FEE"/>
    <w:rsid w:val="00C31004"/>
    <w:rsid w:val="00C31052"/>
    <w:rsid w:val="00C310E8"/>
    <w:rsid w:val="00C3115E"/>
    <w:rsid w:val="00C31168"/>
    <w:rsid w:val="00C311DA"/>
    <w:rsid w:val="00C312A6"/>
    <w:rsid w:val="00C312B1"/>
    <w:rsid w:val="00C31313"/>
    <w:rsid w:val="00C31360"/>
    <w:rsid w:val="00C31437"/>
    <w:rsid w:val="00C314B5"/>
    <w:rsid w:val="00C314C6"/>
    <w:rsid w:val="00C31538"/>
    <w:rsid w:val="00C31630"/>
    <w:rsid w:val="00C31645"/>
    <w:rsid w:val="00C31658"/>
    <w:rsid w:val="00C31683"/>
    <w:rsid w:val="00C3170D"/>
    <w:rsid w:val="00C3172C"/>
    <w:rsid w:val="00C31737"/>
    <w:rsid w:val="00C31745"/>
    <w:rsid w:val="00C3176F"/>
    <w:rsid w:val="00C317E2"/>
    <w:rsid w:val="00C3182F"/>
    <w:rsid w:val="00C31831"/>
    <w:rsid w:val="00C318E6"/>
    <w:rsid w:val="00C318F1"/>
    <w:rsid w:val="00C318F2"/>
    <w:rsid w:val="00C318F3"/>
    <w:rsid w:val="00C3190D"/>
    <w:rsid w:val="00C31948"/>
    <w:rsid w:val="00C3195C"/>
    <w:rsid w:val="00C319D2"/>
    <w:rsid w:val="00C319DE"/>
    <w:rsid w:val="00C31A02"/>
    <w:rsid w:val="00C31A07"/>
    <w:rsid w:val="00C31A78"/>
    <w:rsid w:val="00C31ACD"/>
    <w:rsid w:val="00C31AFF"/>
    <w:rsid w:val="00C31B1A"/>
    <w:rsid w:val="00C31B7C"/>
    <w:rsid w:val="00C31BBC"/>
    <w:rsid w:val="00C31BBF"/>
    <w:rsid w:val="00C31BC6"/>
    <w:rsid w:val="00C31C73"/>
    <w:rsid w:val="00C31D76"/>
    <w:rsid w:val="00C31DFA"/>
    <w:rsid w:val="00C31E19"/>
    <w:rsid w:val="00C31E2B"/>
    <w:rsid w:val="00C31E66"/>
    <w:rsid w:val="00C31E74"/>
    <w:rsid w:val="00C31F14"/>
    <w:rsid w:val="00C31F79"/>
    <w:rsid w:val="00C31F81"/>
    <w:rsid w:val="00C32025"/>
    <w:rsid w:val="00C3204F"/>
    <w:rsid w:val="00C320B0"/>
    <w:rsid w:val="00C320FB"/>
    <w:rsid w:val="00C32125"/>
    <w:rsid w:val="00C32199"/>
    <w:rsid w:val="00C321BD"/>
    <w:rsid w:val="00C321D1"/>
    <w:rsid w:val="00C32212"/>
    <w:rsid w:val="00C32285"/>
    <w:rsid w:val="00C322C2"/>
    <w:rsid w:val="00C32349"/>
    <w:rsid w:val="00C3234A"/>
    <w:rsid w:val="00C32351"/>
    <w:rsid w:val="00C3236C"/>
    <w:rsid w:val="00C323D1"/>
    <w:rsid w:val="00C323EC"/>
    <w:rsid w:val="00C32496"/>
    <w:rsid w:val="00C324E1"/>
    <w:rsid w:val="00C325C6"/>
    <w:rsid w:val="00C32616"/>
    <w:rsid w:val="00C32655"/>
    <w:rsid w:val="00C3268C"/>
    <w:rsid w:val="00C3279E"/>
    <w:rsid w:val="00C327AA"/>
    <w:rsid w:val="00C327E3"/>
    <w:rsid w:val="00C327F1"/>
    <w:rsid w:val="00C3281D"/>
    <w:rsid w:val="00C32837"/>
    <w:rsid w:val="00C32850"/>
    <w:rsid w:val="00C3286A"/>
    <w:rsid w:val="00C3288F"/>
    <w:rsid w:val="00C32931"/>
    <w:rsid w:val="00C32948"/>
    <w:rsid w:val="00C32955"/>
    <w:rsid w:val="00C329A3"/>
    <w:rsid w:val="00C329BD"/>
    <w:rsid w:val="00C329C0"/>
    <w:rsid w:val="00C32A39"/>
    <w:rsid w:val="00C32A4F"/>
    <w:rsid w:val="00C32AA7"/>
    <w:rsid w:val="00C32AC1"/>
    <w:rsid w:val="00C32AD9"/>
    <w:rsid w:val="00C32B27"/>
    <w:rsid w:val="00C32B51"/>
    <w:rsid w:val="00C32B58"/>
    <w:rsid w:val="00C32B9E"/>
    <w:rsid w:val="00C32C25"/>
    <w:rsid w:val="00C32C58"/>
    <w:rsid w:val="00C32CD0"/>
    <w:rsid w:val="00C32CEF"/>
    <w:rsid w:val="00C32D4F"/>
    <w:rsid w:val="00C32E09"/>
    <w:rsid w:val="00C32E43"/>
    <w:rsid w:val="00C32E69"/>
    <w:rsid w:val="00C32E6A"/>
    <w:rsid w:val="00C32EC4"/>
    <w:rsid w:val="00C32EF8"/>
    <w:rsid w:val="00C32F00"/>
    <w:rsid w:val="00C32F67"/>
    <w:rsid w:val="00C32F70"/>
    <w:rsid w:val="00C32F91"/>
    <w:rsid w:val="00C32FE9"/>
    <w:rsid w:val="00C33009"/>
    <w:rsid w:val="00C33010"/>
    <w:rsid w:val="00C33066"/>
    <w:rsid w:val="00C330CA"/>
    <w:rsid w:val="00C330E4"/>
    <w:rsid w:val="00C33132"/>
    <w:rsid w:val="00C331AE"/>
    <w:rsid w:val="00C33207"/>
    <w:rsid w:val="00C33236"/>
    <w:rsid w:val="00C33249"/>
    <w:rsid w:val="00C332DE"/>
    <w:rsid w:val="00C33303"/>
    <w:rsid w:val="00C33370"/>
    <w:rsid w:val="00C3337B"/>
    <w:rsid w:val="00C3337D"/>
    <w:rsid w:val="00C3338A"/>
    <w:rsid w:val="00C333BC"/>
    <w:rsid w:val="00C33525"/>
    <w:rsid w:val="00C33551"/>
    <w:rsid w:val="00C33567"/>
    <w:rsid w:val="00C335C1"/>
    <w:rsid w:val="00C33628"/>
    <w:rsid w:val="00C33650"/>
    <w:rsid w:val="00C33672"/>
    <w:rsid w:val="00C336E8"/>
    <w:rsid w:val="00C337BE"/>
    <w:rsid w:val="00C33848"/>
    <w:rsid w:val="00C338D8"/>
    <w:rsid w:val="00C338DC"/>
    <w:rsid w:val="00C338F1"/>
    <w:rsid w:val="00C33920"/>
    <w:rsid w:val="00C3392B"/>
    <w:rsid w:val="00C3396E"/>
    <w:rsid w:val="00C339A7"/>
    <w:rsid w:val="00C339DE"/>
    <w:rsid w:val="00C33A2F"/>
    <w:rsid w:val="00C33A8B"/>
    <w:rsid w:val="00C33ADA"/>
    <w:rsid w:val="00C33B67"/>
    <w:rsid w:val="00C33B7A"/>
    <w:rsid w:val="00C33BA1"/>
    <w:rsid w:val="00C33C03"/>
    <w:rsid w:val="00C33C4E"/>
    <w:rsid w:val="00C33C55"/>
    <w:rsid w:val="00C33C73"/>
    <w:rsid w:val="00C33D21"/>
    <w:rsid w:val="00C33D28"/>
    <w:rsid w:val="00C33D2D"/>
    <w:rsid w:val="00C33D77"/>
    <w:rsid w:val="00C33D7D"/>
    <w:rsid w:val="00C33D7E"/>
    <w:rsid w:val="00C33DA6"/>
    <w:rsid w:val="00C33DB4"/>
    <w:rsid w:val="00C33E75"/>
    <w:rsid w:val="00C33EB1"/>
    <w:rsid w:val="00C33EBC"/>
    <w:rsid w:val="00C33EC1"/>
    <w:rsid w:val="00C33EE4"/>
    <w:rsid w:val="00C33F3A"/>
    <w:rsid w:val="00C33F45"/>
    <w:rsid w:val="00C33F78"/>
    <w:rsid w:val="00C33F9E"/>
    <w:rsid w:val="00C33FBE"/>
    <w:rsid w:val="00C3401F"/>
    <w:rsid w:val="00C3406C"/>
    <w:rsid w:val="00C34088"/>
    <w:rsid w:val="00C340FA"/>
    <w:rsid w:val="00C3414F"/>
    <w:rsid w:val="00C3415B"/>
    <w:rsid w:val="00C341A7"/>
    <w:rsid w:val="00C341A8"/>
    <w:rsid w:val="00C341DB"/>
    <w:rsid w:val="00C34200"/>
    <w:rsid w:val="00C3420D"/>
    <w:rsid w:val="00C34232"/>
    <w:rsid w:val="00C3423F"/>
    <w:rsid w:val="00C3426C"/>
    <w:rsid w:val="00C342F5"/>
    <w:rsid w:val="00C34326"/>
    <w:rsid w:val="00C34389"/>
    <w:rsid w:val="00C343C0"/>
    <w:rsid w:val="00C3440B"/>
    <w:rsid w:val="00C34413"/>
    <w:rsid w:val="00C34415"/>
    <w:rsid w:val="00C3444A"/>
    <w:rsid w:val="00C344B9"/>
    <w:rsid w:val="00C344BA"/>
    <w:rsid w:val="00C3453C"/>
    <w:rsid w:val="00C3457A"/>
    <w:rsid w:val="00C34597"/>
    <w:rsid w:val="00C3459F"/>
    <w:rsid w:val="00C34632"/>
    <w:rsid w:val="00C346B8"/>
    <w:rsid w:val="00C346D4"/>
    <w:rsid w:val="00C346D8"/>
    <w:rsid w:val="00C346F6"/>
    <w:rsid w:val="00C34758"/>
    <w:rsid w:val="00C34771"/>
    <w:rsid w:val="00C347F3"/>
    <w:rsid w:val="00C34858"/>
    <w:rsid w:val="00C34927"/>
    <w:rsid w:val="00C3499E"/>
    <w:rsid w:val="00C349A4"/>
    <w:rsid w:val="00C349A8"/>
    <w:rsid w:val="00C349E2"/>
    <w:rsid w:val="00C34A10"/>
    <w:rsid w:val="00C34A4D"/>
    <w:rsid w:val="00C34A93"/>
    <w:rsid w:val="00C34C33"/>
    <w:rsid w:val="00C34C53"/>
    <w:rsid w:val="00C34C72"/>
    <w:rsid w:val="00C34C8A"/>
    <w:rsid w:val="00C34C9C"/>
    <w:rsid w:val="00C34CFD"/>
    <w:rsid w:val="00C34D41"/>
    <w:rsid w:val="00C34D72"/>
    <w:rsid w:val="00C34DF3"/>
    <w:rsid w:val="00C34E52"/>
    <w:rsid w:val="00C34E5E"/>
    <w:rsid w:val="00C34E90"/>
    <w:rsid w:val="00C34FC0"/>
    <w:rsid w:val="00C35064"/>
    <w:rsid w:val="00C350AF"/>
    <w:rsid w:val="00C350BF"/>
    <w:rsid w:val="00C350DD"/>
    <w:rsid w:val="00C350F8"/>
    <w:rsid w:val="00C35287"/>
    <w:rsid w:val="00C352A1"/>
    <w:rsid w:val="00C35343"/>
    <w:rsid w:val="00C35377"/>
    <w:rsid w:val="00C3548C"/>
    <w:rsid w:val="00C354AB"/>
    <w:rsid w:val="00C354B1"/>
    <w:rsid w:val="00C35536"/>
    <w:rsid w:val="00C3553E"/>
    <w:rsid w:val="00C35591"/>
    <w:rsid w:val="00C355E5"/>
    <w:rsid w:val="00C355F2"/>
    <w:rsid w:val="00C35631"/>
    <w:rsid w:val="00C356DC"/>
    <w:rsid w:val="00C356F3"/>
    <w:rsid w:val="00C35701"/>
    <w:rsid w:val="00C35702"/>
    <w:rsid w:val="00C3575E"/>
    <w:rsid w:val="00C357A4"/>
    <w:rsid w:val="00C357B1"/>
    <w:rsid w:val="00C357B5"/>
    <w:rsid w:val="00C357D8"/>
    <w:rsid w:val="00C35871"/>
    <w:rsid w:val="00C358DE"/>
    <w:rsid w:val="00C35937"/>
    <w:rsid w:val="00C3593D"/>
    <w:rsid w:val="00C359B5"/>
    <w:rsid w:val="00C359C6"/>
    <w:rsid w:val="00C35A63"/>
    <w:rsid w:val="00C35A8B"/>
    <w:rsid w:val="00C35A8D"/>
    <w:rsid w:val="00C35AC2"/>
    <w:rsid w:val="00C35AFC"/>
    <w:rsid w:val="00C35B10"/>
    <w:rsid w:val="00C35B42"/>
    <w:rsid w:val="00C35B52"/>
    <w:rsid w:val="00C35BCD"/>
    <w:rsid w:val="00C35C04"/>
    <w:rsid w:val="00C35C10"/>
    <w:rsid w:val="00C35C1A"/>
    <w:rsid w:val="00C35CFE"/>
    <w:rsid w:val="00C35D06"/>
    <w:rsid w:val="00C35D24"/>
    <w:rsid w:val="00C35DE6"/>
    <w:rsid w:val="00C35E03"/>
    <w:rsid w:val="00C35E67"/>
    <w:rsid w:val="00C35EB3"/>
    <w:rsid w:val="00C35EC2"/>
    <w:rsid w:val="00C35F16"/>
    <w:rsid w:val="00C35F29"/>
    <w:rsid w:val="00C35F7F"/>
    <w:rsid w:val="00C35F9D"/>
    <w:rsid w:val="00C35FA1"/>
    <w:rsid w:val="00C35FD3"/>
    <w:rsid w:val="00C36079"/>
    <w:rsid w:val="00C3607F"/>
    <w:rsid w:val="00C360C3"/>
    <w:rsid w:val="00C360C4"/>
    <w:rsid w:val="00C360D8"/>
    <w:rsid w:val="00C360DC"/>
    <w:rsid w:val="00C36162"/>
    <w:rsid w:val="00C36182"/>
    <w:rsid w:val="00C361BC"/>
    <w:rsid w:val="00C361CA"/>
    <w:rsid w:val="00C36236"/>
    <w:rsid w:val="00C363A5"/>
    <w:rsid w:val="00C363B6"/>
    <w:rsid w:val="00C36446"/>
    <w:rsid w:val="00C3646D"/>
    <w:rsid w:val="00C364BC"/>
    <w:rsid w:val="00C36584"/>
    <w:rsid w:val="00C36590"/>
    <w:rsid w:val="00C36638"/>
    <w:rsid w:val="00C36647"/>
    <w:rsid w:val="00C366D7"/>
    <w:rsid w:val="00C366D9"/>
    <w:rsid w:val="00C366DA"/>
    <w:rsid w:val="00C366F9"/>
    <w:rsid w:val="00C3671F"/>
    <w:rsid w:val="00C36765"/>
    <w:rsid w:val="00C3676B"/>
    <w:rsid w:val="00C3680C"/>
    <w:rsid w:val="00C36855"/>
    <w:rsid w:val="00C36883"/>
    <w:rsid w:val="00C3688D"/>
    <w:rsid w:val="00C3688F"/>
    <w:rsid w:val="00C3691F"/>
    <w:rsid w:val="00C36964"/>
    <w:rsid w:val="00C3697B"/>
    <w:rsid w:val="00C369BE"/>
    <w:rsid w:val="00C369C9"/>
    <w:rsid w:val="00C36A0E"/>
    <w:rsid w:val="00C36A60"/>
    <w:rsid w:val="00C36A77"/>
    <w:rsid w:val="00C36B75"/>
    <w:rsid w:val="00C36B88"/>
    <w:rsid w:val="00C36B8E"/>
    <w:rsid w:val="00C36BED"/>
    <w:rsid w:val="00C36C0D"/>
    <w:rsid w:val="00C36C1A"/>
    <w:rsid w:val="00C36C74"/>
    <w:rsid w:val="00C36CE2"/>
    <w:rsid w:val="00C36CEB"/>
    <w:rsid w:val="00C36D50"/>
    <w:rsid w:val="00C36DE8"/>
    <w:rsid w:val="00C36E1F"/>
    <w:rsid w:val="00C36F42"/>
    <w:rsid w:val="00C36F96"/>
    <w:rsid w:val="00C36FA6"/>
    <w:rsid w:val="00C37017"/>
    <w:rsid w:val="00C37084"/>
    <w:rsid w:val="00C370AC"/>
    <w:rsid w:val="00C371F2"/>
    <w:rsid w:val="00C37240"/>
    <w:rsid w:val="00C37290"/>
    <w:rsid w:val="00C3731D"/>
    <w:rsid w:val="00C37414"/>
    <w:rsid w:val="00C37465"/>
    <w:rsid w:val="00C37469"/>
    <w:rsid w:val="00C3747E"/>
    <w:rsid w:val="00C375C6"/>
    <w:rsid w:val="00C37655"/>
    <w:rsid w:val="00C37678"/>
    <w:rsid w:val="00C376A3"/>
    <w:rsid w:val="00C376C0"/>
    <w:rsid w:val="00C37730"/>
    <w:rsid w:val="00C37761"/>
    <w:rsid w:val="00C377BB"/>
    <w:rsid w:val="00C377D9"/>
    <w:rsid w:val="00C3787D"/>
    <w:rsid w:val="00C378AD"/>
    <w:rsid w:val="00C378D8"/>
    <w:rsid w:val="00C378EF"/>
    <w:rsid w:val="00C37905"/>
    <w:rsid w:val="00C37933"/>
    <w:rsid w:val="00C37936"/>
    <w:rsid w:val="00C3798D"/>
    <w:rsid w:val="00C37996"/>
    <w:rsid w:val="00C379EA"/>
    <w:rsid w:val="00C37A00"/>
    <w:rsid w:val="00C37A13"/>
    <w:rsid w:val="00C37A6F"/>
    <w:rsid w:val="00C37A8A"/>
    <w:rsid w:val="00C37ABC"/>
    <w:rsid w:val="00C37AC3"/>
    <w:rsid w:val="00C37B05"/>
    <w:rsid w:val="00C37B13"/>
    <w:rsid w:val="00C37C2C"/>
    <w:rsid w:val="00C37C5B"/>
    <w:rsid w:val="00C37D6B"/>
    <w:rsid w:val="00C37DB1"/>
    <w:rsid w:val="00C37DF7"/>
    <w:rsid w:val="00C37E01"/>
    <w:rsid w:val="00C37E33"/>
    <w:rsid w:val="00C37EAC"/>
    <w:rsid w:val="00C37EE4"/>
    <w:rsid w:val="00C37F12"/>
    <w:rsid w:val="00C37F1A"/>
    <w:rsid w:val="00C37F3B"/>
    <w:rsid w:val="00C37F4A"/>
    <w:rsid w:val="00C37FAD"/>
    <w:rsid w:val="00C37FED"/>
    <w:rsid w:val="00C37FF1"/>
    <w:rsid w:val="00C4000A"/>
    <w:rsid w:val="00C4000E"/>
    <w:rsid w:val="00C40034"/>
    <w:rsid w:val="00C40081"/>
    <w:rsid w:val="00C4013A"/>
    <w:rsid w:val="00C40229"/>
    <w:rsid w:val="00C40292"/>
    <w:rsid w:val="00C402FC"/>
    <w:rsid w:val="00C4037B"/>
    <w:rsid w:val="00C403BA"/>
    <w:rsid w:val="00C403EA"/>
    <w:rsid w:val="00C40418"/>
    <w:rsid w:val="00C40429"/>
    <w:rsid w:val="00C406BC"/>
    <w:rsid w:val="00C40700"/>
    <w:rsid w:val="00C4072F"/>
    <w:rsid w:val="00C40747"/>
    <w:rsid w:val="00C407C7"/>
    <w:rsid w:val="00C407F6"/>
    <w:rsid w:val="00C4082E"/>
    <w:rsid w:val="00C408A7"/>
    <w:rsid w:val="00C408B0"/>
    <w:rsid w:val="00C408BC"/>
    <w:rsid w:val="00C408C7"/>
    <w:rsid w:val="00C408DB"/>
    <w:rsid w:val="00C408F2"/>
    <w:rsid w:val="00C4092A"/>
    <w:rsid w:val="00C40958"/>
    <w:rsid w:val="00C40A3C"/>
    <w:rsid w:val="00C40A7D"/>
    <w:rsid w:val="00C40A8B"/>
    <w:rsid w:val="00C40B15"/>
    <w:rsid w:val="00C40B24"/>
    <w:rsid w:val="00C40B70"/>
    <w:rsid w:val="00C40B72"/>
    <w:rsid w:val="00C40BCE"/>
    <w:rsid w:val="00C40C3A"/>
    <w:rsid w:val="00C40C81"/>
    <w:rsid w:val="00C40C95"/>
    <w:rsid w:val="00C40CB9"/>
    <w:rsid w:val="00C40D53"/>
    <w:rsid w:val="00C40DBC"/>
    <w:rsid w:val="00C40F30"/>
    <w:rsid w:val="00C40F84"/>
    <w:rsid w:val="00C40FA6"/>
    <w:rsid w:val="00C40FB1"/>
    <w:rsid w:val="00C40FE6"/>
    <w:rsid w:val="00C40FFE"/>
    <w:rsid w:val="00C4101F"/>
    <w:rsid w:val="00C41050"/>
    <w:rsid w:val="00C4106F"/>
    <w:rsid w:val="00C41098"/>
    <w:rsid w:val="00C41119"/>
    <w:rsid w:val="00C411BF"/>
    <w:rsid w:val="00C412B8"/>
    <w:rsid w:val="00C412EC"/>
    <w:rsid w:val="00C412F3"/>
    <w:rsid w:val="00C413B1"/>
    <w:rsid w:val="00C41432"/>
    <w:rsid w:val="00C41452"/>
    <w:rsid w:val="00C414A4"/>
    <w:rsid w:val="00C414BB"/>
    <w:rsid w:val="00C414E3"/>
    <w:rsid w:val="00C414F8"/>
    <w:rsid w:val="00C41510"/>
    <w:rsid w:val="00C4152B"/>
    <w:rsid w:val="00C4152F"/>
    <w:rsid w:val="00C4155E"/>
    <w:rsid w:val="00C41582"/>
    <w:rsid w:val="00C4159E"/>
    <w:rsid w:val="00C4165D"/>
    <w:rsid w:val="00C41677"/>
    <w:rsid w:val="00C416E6"/>
    <w:rsid w:val="00C41747"/>
    <w:rsid w:val="00C41752"/>
    <w:rsid w:val="00C4177D"/>
    <w:rsid w:val="00C417A6"/>
    <w:rsid w:val="00C417D1"/>
    <w:rsid w:val="00C417E6"/>
    <w:rsid w:val="00C41818"/>
    <w:rsid w:val="00C41831"/>
    <w:rsid w:val="00C41872"/>
    <w:rsid w:val="00C4187C"/>
    <w:rsid w:val="00C41890"/>
    <w:rsid w:val="00C41891"/>
    <w:rsid w:val="00C418C5"/>
    <w:rsid w:val="00C418CF"/>
    <w:rsid w:val="00C41A3D"/>
    <w:rsid w:val="00C41AAB"/>
    <w:rsid w:val="00C41AC0"/>
    <w:rsid w:val="00C41AC2"/>
    <w:rsid w:val="00C41B15"/>
    <w:rsid w:val="00C41B2C"/>
    <w:rsid w:val="00C41B33"/>
    <w:rsid w:val="00C41B49"/>
    <w:rsid w:val="00C41BB6"/>
    <w:rsid w:val="00C41C13"/>
    <w:rsid w:val="00C41C6B"/>
    <w:rsid w:val="00C41C86"/>
    <w:rsid w:val="00C41CBC"/>
    <w:rsid w:val="00C41D1C"/>
    <w:rsid w:val="00C41D37"/>
    <w:rsid w:val="00C41D6C"/>
    <w:rsid w:val="00C41D8A"/>
    <w:rsid w:val="00C41E4F"/>
    <w:rsid w:val="00C41EA9"/>
    <w:rsid w:val="00C41EB4"/>
    <w:rsid w:val="00C41ED1"/>
    <w:rsid w:val="00C41FE7"/>
    <w:rsid w:val="00C4202D"/>
    <w:rsid w:val="00C4208A"/>
    <w:rsid w:val="00C420D3"/>
    <w:rsid w:val="00C42220"/>
    <w:rsid w:val="00C422D9"/>
    <w:rsid w:val="00C42335"/>
    <w:rsid w:val="00C4236D"/>
    <w:rsid w:val="00C423F9"/>
    <w:rsid w:val="00C42443"/>
    <w:rsid w:val="00C4244C"/>
    <w:rsid w:val="00C424E7"/>
    <w:rsid w:val="00C424F6"/>
    <w:rsid w:val="00C42506"/>
    <w:rsid w:val="00C4250C"/>
    <w:rsid w:val="00C42528"/>
    <w:rsid w:val="00C42558"/>
    <w:rsid w:val="00C42599"/>
    <w:rsid w:val="00C425C9"/>
    <w:rsid w:val="00C42624"/>
    <w:rsid w:val="00C426C0"/>
    <w:rsid w:val="00C426C8"/>
    <w:rsid w:val="00C426FC"/>
    <w:rsid w:val="00C42720"/>
    <w:rsid w:val="00C4274C"/>
    <w:rsid w:val="00C42757"/>
    <w:rsid w:val="00C42769"/>
    <w:rsid w:val="00C427C9"/>
    <w:rsid w:val="00C427CD"/>
    <w:rsid w:val="00C4289B"/>
    <w:rsid w:val="00C428C1"/>
    <w:rsid w:val="00C4290A"/>
    <w:rsid w:val="00C42948"/>
    <w:rsid w:val="00C4295A"/>
    <w:rsid w:val="00C429B1"/>
    <w:rsid w:val="00C429B9"/>
    <w:rsid w:val="00C429BA"/>
    <w:rsid w:val="00C429F0"/>
    <w:rsid w:val="00C429FF"/>
    <w:rsid w:val="00C42A39"/>
    <w:rsid w:val="00C42A5D"/>
    <w:rsid w:val="00C42A61"/>
    <w:rsid w:val="00C42A79"/>
    <w:rsid w:val="00C42AB7"/>
    <w:rsid w:val="00C42ACE"/>
    <w:rsid w:val="00C42B4C"/>
    <w:rsid w:val="00C42B90"/>
    <w:rsid w:val="00C42BDA"/>
    <w:rsid w:val="00C42C1F"/>
    <w:rsid w:val="00C42C56"/>
    <w:rsid w:val="00C42CC8"/>
    <w:rsid w:val="00C42CCE"/>
    <w:rsid w:val="00C42D28"/>
    <w:rsid w:val="00C42D2F"/>
    <w:rsid w:val="00C42D6B"/>
    <w:rsid w:val="00C42D76"/>
    <w:rsid w:val="00C42D97"/>
    <w:rsid w:val="00C42E15"/>
    <w:rsid w:val="00C42E5E"/>
    <w:rsid w:val="00C42EA7"/>
    <w:rsid w:val="00C42EB0"/>
    <w:rsid w:val="00C42EC9"/>
    <w:rsid w:val="00C42F21"/>
    <w:rsid w:val="00C42F28"/>
    <w:rsid w:val="00C42F31"/>
    <w:rsid w:val="00C42FB0"/>
    <w:rsid w:val="00C42FE7"/>
    <w:rsid w:val="00C4301D"/>
    <w:rsid w:val="00C430B2"/>
    <w:rsid w:val="00C430BA"/>
    <w:rsid w:val="00C430CF"/>
    <w:rsid w:val="00C430DD"/>
    <w:rsid w:val="00C4316C"/>
    <w:rsid w:val="00C4317B"/>
    <w:rsid w:val="00C43189"/>
    <w:rsid w:val="00C431BF"/>
    <w:rsid w:val="00C431E8"/>
    <w:rsid w:val="00C431FA"/>
    <w:rsid w:val="00C432EE"/>
    <w:rsid w:val="00C4336F"/>
    <w:rsid w:val="00C43379"/>
    <w:rsid w:val="00C433DF"/>
    <w:rsid w:val="00C43408"/>
    <w:rsid w:val="00C4344C"/>
    <w:rsid w:val="00C43465"/>
    <w:rsid w:val="00C434EE"/>
    <w:rsid w:val="00C4351A"/>
    <w:rsid w:val="00C43561"/>
    <w:rsid w:val="00C43563"/>
    <w:rsid w:val="00C436B5"/>
    <w:rsid w:val="00C436EE"/>
    <w:rsid w:val="00C437BA"/>
    <w:rsid w:val="00C437D3"/>
    <w:rsid w:val="00C43800"/>
    <w:rsid w:val="00C43840"/>
    <w:rsid w:val="00C43842"/>
    <w:rsid w:val="00C438D6"/>
    <w:rsid w:val="00C438FE"/>
    <w:rsid w:val="00C43916"/>
    <w:rsid w:val="00C43941"/>
    <w:rsid w:val="00C43968"/>
    <w:rsid w:val="00C439DC"/>
    <w:rsid w:val="00C439ED"/>
    <w:rsid w:val="00C439FF"/>
    <w:rsid w:val="00C43A5B"/>
    <w:rsid w:val="00C43A67"/>
    <w:rsid w:val="00C43A7F"/>
    <w:rsid w:val="00C43B2E"/>
    <w:rsid w:val="00C43B3C"/>
    <w:rsid w:val="00C43BBE"/>
    <w:rsid w:val="00C43BCB"/>
    <w:rsid w:val="00C43BE5"/>
    <w:rsid w:val="00C43C5E"/>
    <w:rsid w:val="00C43D2E"/>
    <w:rsid w:val="00C43D50"/>
    <w:rsid w:val="00C43DCD"/>
    <w:rsid w:val="00C43DD3"/>
    <w:rsid w:val="00C43E95"/>
    <w:rsid w:val="00C43ED5"/>
    <w:rsid w:val="00C43F02"/>
    <w:rsid w:val="00C43F1C"/>
    <w:rsid w:val="00C43F20"/>
    <w:rsid w:val="00C43F5B"/>
    <w:rsid w:val="00C44062"/>
    <w:rsid w:val="00C4408C"/>
    <w:rsid w:val="00C440E5"/>
    <w:rsid w:val="00C4411B"/>
    <w:rsid w:val="00C4419A"/>
    <w:rsid w:val="00C441A0"/>
    <w:rsid w:val="00C4421F"/>
    <w:rsid w:val="00C44237"/>
    <w:rsid w:val="00C44273"/>
    <w:rsid w:val="00C44299"/>
    <w:rsid w:val="00C442F6"/>
    <w:rsid w:val="00C44319"/>
    <w:rsid w:val="00C4434B"/>
    <w:rsid w:val="00C4438F"/>
    <w:rsid w:val="00C44391"/>
    <w:rsid w:val="00C443A4"/>
    <w:rsid w:val="00C443A8"/>
    <w:rsid w:val="00C44449"/>
    <w:rsid w:val="00C4444C"/>
    <w:rsid w:val="00C44455"/>
    <w:rsid w:val="00C44499"/>
    <w:rsid w:val="00C4450C"/>
    <w:rsid w:val="00C4451F"/>
    <w:rsid w:val="00C44529"/>
    <w:rsid w:val="00C4453A"/>
    <w:rsid w:val="00C44540"/>
    <w:rsid w:val="00C44548"/>
    <w:rsid w:val="00C44560"/>
    <w:rsid w:val="00C44591"/>
    <w:rsid w:val="00C445C8"/>
    <w:rsid w:val="00C445F3"/>
    <w:rsid w:val="00C44668"/>
    <w:rsid w:val="00C446B9"/>
    <w:rsid w:val="00C446E9"/>
    <w:rsid w:val="00C44730"/>
    <w:rsid w:val="00C44739"/>
    <w:rsid w:val="00C4477B"/>
    <w:rsid w:val="00C447A9"/>
    <w:rsid w:val="00C44804"/>
    <w:rsid w:val="00C44805"/>
    <w:rsid w:val="00C44816"/>
    <w:rsid w:val="00C44821"/>
    <w:rsid w:val="00C44863"/>
    <w:rsid w:val="00C44864"/>
    <w:rsid w:val="00C44866"/>
    <w:rsid w:val="00C44886"/>
    <w:rsid w:val="00C448B0"/>
    <w:rsid w:val="00C4492B"/>
    <w:rsid w:val="00C44948"/>
    <w:rsid w:val="00C44960"/>
    <w:rsid w:val="00C44992"/>
    <w:rsid w:val="00C449D3"/>
    <w:rsid w:val="00C44A2E"/>
    <w:rsid w:val="00C44A8B"/>
    <w:rsid w:val="00C44B91"/>
    <w:rsid w:val="00C44B98"/>
    <w:rsid w:val="00C44B9A"/>
    <w:rsid w:val="00C44B9E"/>
    <w:rsid w:val="00C44BC1"/>
    <w:rsid w:val="00C44C74"/>
    <w:rsid w:val="00C44C9D"/>
    <w:rsid w:val="00C44D19"/>
    <w:rsid w:val="00C44DA6"/>
    <w:rsid w:val="00C44EC1"/>
    <w:rsid w:val="00C44ED1"/>
    <w:rsid w:val="00C44F49"/>
    <w:rsid w:val="00C44F7F"/>
    <w:rsid w:val="00C44FA5"/>
    <w:rsid w:val="00C45001"/>
    <w:rsid w:val="00C4500E"/>
    <w:rsid w:val="00C45015"/>
    <w:rsid w:val="00C4504D"/>
    <w:rsid w:val="00C45054"/>
    <w:rsid w:val="00C45100"/>
    <w:rsid w:val="00C45106"/>
    <w:rsid w:val="00C4522B"/>
    <w:rsid w:val="00C45247"/>
    <w:rsid w:val="00C45249"/>
    <w:rsid w:val="00C4525F"/>
    <w:rsid w:val="00C45268"/>
    <w:rsid w:val="00C45283"/>
    <w:rsid w:val="00C45289"/>
    <w:rsid w:val="00C4528F"/>
    <w:rsid w:val="00C4529E"/>
    <w:rsid w:val="00C452F7"/>
    <w:rsid w:val="00C45314"/>
    <w:rsid w:val="00C4548B"/>
    <w:rsid w:val="00C4548D"/>
    <w:rsid w:val="00C454C1"/>
    <w:rsid w:val="00C4551A"/>
    <w:rsid w:val="00C4551D"/>
    <w:rsid w:val="00C45593"/>
    <w:rsid w:val="00C4560F"/>
    <w:rsid w:val="00C45633"/>
    <w:rsid w:val="00C45763"/>
    <w:rsid w:val="00C45777"/>
    <w:rsid w:val="00C457AD"/>
    <w:rsid w:val="00C45821"/>
    <w:rsid w:val="00C45853"/>
    <w:rsid w:val="00C458AC"/>
    <w:rsid w:val="00C4592C"/>
    <w:rsid w:val="00C4595C"/>
    <w:rsid w:val="00C45973"/>
    <w:rsid w:val="00C45979"/>
    <w:rsid w:val="00C4597B"/>
    <w:rsid w:val="00C459DE"/>
    <w:rsid w:val="00C45A0F"/>
    <w:rsid w:val="00C45A53"/>
    <w:rsid w:val="00C45A7C"/>
    <w:rsid w:val="00C45A83"/>
    <w:rsid w:val="00C45AB6"/>
    <w:rsid w:val="00C45B0B"/>
    <w:rsid w:val="00C45B33"/>
    <w:rsid w:val="00C45C26"/>
    <w:rsid w:val="00C45C40"/>
    <w:rsid w:val="00C45C8A"/>
    <w:rsid w:val="00C45C91"/>
    <w:rsid w:val="00C45CB1"/>
    <w:rsid w:val="00C45D56"/>
    <w:rsid w:val="00C45ED4"/>
    <w:rsid w:val="00C45F6C"/>
    <w:rsid w:val="00C45FBE"/>
    <w:rsid w:val="00C45FD9"/>
    <w:rsid w:val="00C46051"/>
    <w:rsid w:val="00C46059"/>
    <w:rsid w:val="00C46074"/>
    <w:rsid w:val="00C4607A"/>
    <w:rsid w:val="00C4609B"/>
    <w:rsid w:val="00C460C3"/>
    <w:rsid w:val="00C460D9"/>
    <w:rsid w:val="00C4610A"/>
    <w:rsid w:val="00C46117"/>
    <w:rsid w:val="00C461BD"/>
    <w:rsid w:val="00C46268"/>
    <w:rsid w:val="00C46289"/>
    <w:rsid w:val="00C462D2"/>
    <w:rsid w:val="00C462DF"/>
    <w:rsid w:val="00C462FF"/>
    <w:rsid w:val="00C4633F"/>
    <w:rsid w:val="00C4635D"/>
    <w:rsid w:val="00C4636B"/>
    <w:rsid w:val="00C463AD"/>
    <w:rsid w:val="00C463F7"/>
    <w:rsid w:val="00C463FA"/>
    <w:rsid w:val="00C463FF"/>
    <w:rsid w:val="00C46406"/>
    <w:rsid w:val="00C4644F"/>
    <w:rsid w:val="00C46495"/>
    <w:rsid w:val="00C46531"/>
    <w:rsid w:val="00C46542"/>
    <w:rsid w:val="00C46565"/>
    <w:rsid w:val="00C46584"/>
    <w:rsid w:val="00C46603"/>
    <w:rsid w:val="00C46606"/>
    <w:rsid w:val="00C46627"/>
    <w:rsid w:val="00C466C8"/>
    <w:rsid w:val="00C466F8"/>
    <w:rsid w:val="00C4670C"/>
    <w:rsid w:val="00C46722"/>
    <w:rsid w:val="00C46753"/>
    <w:rsid w:val="00C467C6"/>
    <w:rsid w:val="00C467E8"/>
    <w:rsid w:val="00C46821"/>
    <w:rsid w:val="00C46850"/>
    <w:rsid w:val="00C4686D"/>
    <w:rsid w:val="00C46894"/>
    <w:rsid w:val="00C46915"/>
    <w:rsid w:val="00C46918"/>
    <w:rsid w:val="00C46937"/>
    <w:rsid w:val="00C469D8"/>
    <w:rsid w:val="00C469DA"/>
    <w:rsid w:val="00C46A07"/>
    <w:rsid w:val="00C46A60"/>
    <w:rsid w:val="00C46B18"/>
    <w:rsid w:val="00C46B3A"/>
    <w:rsid w:val="00C46C33"/>
    <w:rsid w:val="00C46C47"/>
    <w:rsid w:val="00C46C74"/>
    <w:rsid w:val="00C46C96"/>
    <w:rsid w:val="00C46C98"/>
    <w:rsid w:val="00C46CE5"/>
    <w:rsid w:val="00C46CEC"/>
    <w:rsid w:val="00C46CF1"/>
    <w:rsid w:val="00C46D00"/>
    <w:rsid w:val="00C46DE8"/>
    <w:rsid w:val="00C46DFA"/>
    <w:rsid w:val="00C46E5A"/>
    <w:rsid w:val="00C46E60"/>
    <w:rsid w:val="00C46E6D"/>
    <w:rsid w:val="00C46E91"/>
    <w:rsid w:val="00C46EB7"/>
    <w:rsid w:val="00C46F42"/>
    <w:rsid w:val="00C46FA7"/>
    <w:rsid w:val="00C4701A"/>
    <w:rsid w:val="00C4704A"/>
    <w:rsid w:val="00C47095"/>
    <w:rsid w:val="00C47153"/>
    <w:rsid w:val="00C4717E"/>
    <w:rsid w:val="00C4719F"/>
    <w:rsid w:val="00C471E2"/>
    <w:rsid w:val="00C471E3"/>
    <w:rsid w:val="00C4722B"/>
    <w:rsid w:val="00C4722F"/>
    <w:rsid w:val="00C47257"/>
    <w:rsid w:val="00C47342"/>
    <w:rsid w:val="00C47389"/>
    <w:rsid w:val="00C473B6"/>
    <w:rsid w:val="00C473FC"/>
    <w:rsid w:val="00C47410"/>
    <w:rsid w:val="00C4744E"/>
    <w:rsid w:val="00C47508"/>
    <w:rsid w:val="00C47533"/>
    <w:rsid w:val="00C4759A"/>
    <w:rsid w:val="00C476AC"/>
    <w:rsid w:val="00C476DB"/>
    <w:rsid w:val="00C47716"/>
    <w:rsid w:val="00C47765"/>
    <w:rsid w:val="00C47795"/>
    <w:rsid w:val="00C4779F"/>
    <w:rsid w:val="00C477BA"/>
    <w:rsid w:val="00C477F5"/>
    <w:rsid w:val="00C47828"/>
    <w:rsid w:val="00C478AB"/>
    <w:rsid w:val="00C478D6"/>
    <w:rsid w:val="00C478F0"/>
    <w:rsid w:val="00C478F9"/>
    <w:rsid w:val="00C47928"/>
    <w:rsid w:val="00C47933"/>
    <w:rsid w:val="00C4796B"/>
    <w:rsid w:val="00C4797C"/>
    <w:rsid w:val="00C4798E"/>
    <w:rsid w:val="00C47996"/>
    <w:rsid w:val="00C479A6"/>
    <w:rsid w:val="00C479BD"/>
    <w:rsid w:val="00C479DE"/>
    <w:rsid w:val="00C47A20"/>
    <w:rsid w:val="00C47A24"/>
    <w:rsid w:val="00C47A39"/>
    <w:rsid w:val="00C47A95"/>
    <w:rsid w:val="00C47AEA"/>
    <w:rsid w:val="00C47B8E"/>
    <w:rsid w:val="00C47BA2"/>
    <w:rsid w:val="00C47BD0"/>
    <w:rsid w:val="00C47C3D"/>
    <w:rsid w:val="00C47C98"/>
    <w:rsid w:val="00C47C9F"/>
    <w:rsid w:val="00C47CBF"/>
    <w:rsid w:val="00C47D24"/>
    <w:rsid w:val="00C47D47"/>
    <w:rsid w:val="00C47D4E"/>
    <w:rsid w:val="00C47D7F"/>
    <w:rsid w:val="00C47DC8"/>
    <w:rsid w:val="00C47DDD"/>
    <w:rsid w:val="00C47E28"/>
    <w:rsid w:val="00C47E35"/>
    <w:rsid w:val="00C47E6E"/>
    <w:rsid w:val="00C47EA9"/>
    <w:rsid w:val="00C47ECC"/>
    <w:rsid w:val="00C47F33"/>
    <w:rsid w:val="00C47FA9"/>
    <w:rsid w:val="00C47FAA"/>
    <w:rsid w:val="00C47FBD"/>
    <w:rsid w:val="00C50065"/>
    <w:rsid w:val="00C50085"/>
    <w:rsid w:val="00C500B6"/>
    <w:rsid w:val="00C501D3"/>
    <w:rsid w:val="00C50215"/>
    <w:rsid w:val="00C5021B"/>
    <w:rsid w:val="00C5021D"/>
    <w:rsid w:val="00C50231"/>
    <w:rsid w:val="00C502D4"/>
    <w:rsid w:val="00C502E0"/>
    <w:rsid w:val="00C502E1"/>
    <w:rsid w:val="00C502E4"/>
    <w:rsid w:val="00C50317"/>
    <w:rsid w:val="00C50338"/>
    <w:rsid w:val="00C50395"/>
    <w:rsid w:val="00C503AA"/>
    <w:rsid w:val="00C503FC"/>
    <w:rsid w:val="00C50414"/>
    <w:rsid w:val="00C504A9"/>
    <w:rsid w:val="00C50523"/>
    <w:rsid w:val="00C5052E"/>
    <w:rsid w:val="00C50565"/>
    <w:rsid w:val="00C505CF"/>
    <w:rsid w:val="00C50622"/>
    <w:rsid w:val="00C50625"/>
    <w:rsid w:val="00C506BE"/>
    <w:rsid w:val="00C506D5"/>
    <w:rsid w:val="00C506F5"/>
    <w:rsid w:val="00C5071D"/>
    <w:rsid w:val="00C5079F"/>
    <w:rsid w:val="00C507A7"/>
    <w:rsid w:val="00C507BB"/>
    <w:rsid w:val="00C507E7"/>
    <w:rsid w:val="00C50865"/>
    <w:rsid w:val="00C5090B"/>
    <w:rsid w:val="00C50910"/>
    <w:rsid w:val="00C5096A"/>
    <w:rsid w:val="00C50983"/>
    <w:rsid w:val="00C509A1"/>
    <w:rsid w:val="00C50A17"/>
    <w:rsid w:val="00C50A57"/>
    <w:rsid w:val="00C50A8D"/>
    <w:rsid w:val="00C50AA8"/>
    <w:rsid w:val="00C50AFA"/>
    <w:rsid w:val="00C50B02"/>
    <w:rsid w:val="00C50BA9"/>
    <w:rsid w:val="00C50BAB"/>
    <w:rsid w:val="00C50BE4"/>
    <w:rsid w:val="00C50BED"/>
    <w:rsid w:val="00C50BF2"/>
    <w:rsid w:val="00C50C2F"/>
    <w:rsid w:val="00C50C35"/>
    <w:rsid w:val="00C50CAC"/>
    <w:rsid w:val="00C50D6F"/>
    <w:rsid w:val="00C50E27"/>
    <w:rsid w:val="00C50E69"/>
    <w:rsid w:val="00C50EC5"/>
    <w:rsid w:val="00C50EEE"/>
    <w:rsid w:val="00C50F2A"/>
    <w:rsid w:val="00C50F2B"/>
    <w:rsid w:val="00C50F76"/>
    <w:rsid w:val="00C51054"/>
    <w:rsid w:val="00C510EF"/>
    <w:rsid w:val="00C5111E"/>
    <w:rsid w:val="00C511EB"/>
    <w:rsid w:val="00C511EE"/>
    <w:rsid w:val="00C5123D"/>
    <w:rsid w:val="00C512B4"/>
    <w:rsid w:val="00C512CF"/>
    <w:rsid w:val="00C5131F"/>
    <w:rsid w:val="00C51331"/>
    <w:rsid w:val="00C51350"/>
    <w:rsid w:val="00C51353"/>
    <w:rsid w:val="00C51452"/>
    <w:rsid w:val="00C51464"/>
    <w:rsid w:val="00C514E8"/>
    <w:rsid w:val="00C51500"/>
    <w:rsid w:val="00C5152D"/>
    <w:rsid w:val="00C51539"/>
    <w:rsid w:val="00C51561"/>
    <w:rsid w:val="00C51566"/>
    <w:rsid w:val="00C5158C"/>
    <w:rsid w:val="00C515B0"/>
    <w:rsid w:val="00C515DB"/>
    <w:rsid w:val="00C5160F"/>
    <w:rsid w:val="00C51650"/>
    <w:rsid w:val="00C51694"/>
    <w:rsid w:val="00C516BE"/>
    <w:rsid w:val="00C517AD"/>
    <w:rsid w:val="00C517D8"/>
    <w:rsid w:val="00C517FF"/>
    <w:rsid w:val="00C51875"/>
    <w:rsid w:val="00C5187B"/>
    <w:rsid w:val="00C51894"/>
    <w:rsid w:val="00C518AE"/>
    <w:rsid w:val="00C5191F"/>
    <w:rsid w:val="00C51957"/>
    <w:rsid w:val="00C5195E"/>
    <w:rsid w:val="00C51982"/>
    <w:rsid w:val="00C5199D"/>
    <w:rsid w:val="00C519CF"/>
    <w:rsid w:val="00C519F4"/>
    <w:rsid w:val="00C51B34"/>
    <w:rsid w:val="00C51B59"/>
    <w:rsid w:val="00C51B5E"/>
    <w:rsid w:val="00C51B78"/>
    <w:rsid w:val="00C51BBA"/>
    <w:rsid w:val="00C51C16"/>
    <w:rsid w:val="00C51C55"/>
    <w:rsid w:val="00C51C76"/>
    <w:rsid w:val="00C51D0D"/>
    <w:rsid w:val="00C51E6E"/>
    <w:rsid w:val="00C51EBB"/>
    <w:rsid w:val="00C51F8D"/>
    <w:rsid w:val="00C51F9A"/>
    <w:rsid w:val="00C51FCC"/>
    <w:rsid w:val="00C51FCD"/>
    <w:rsid w:val="00C51FD4"/>
    <w:rsid w:val="00C52059"/>
    <w:rsid w:val="00C520B0"/>
    <w:rsid w:val="00C520C0"/>
    <w:rsid w:val="00C5212B"/>
    <w:rsid w:val="00C5216D"/>
    <w:rsid w:val="00C5216F"/>
    <w:rsid w:val="00C521C1"/>
    <w:rsid w:val="00C52233"/>
    <w:rsid w:val="00C52243"/>
    <w:rsid w:val="00C522A9"/>
    <w:rsid w:val="00C522ED"/>
    <w:rsid w:val="00C52382"/>
    <w:rsid w:val="00C5244B"/>
    <w:rsid w:val="00C524A7"/>
    <w:rsid w:val="00C524D4"/>
    <w:rsid w:val="00C5258D"/>
    <w:rsid w:val="00C525C3"/>
    <w:rsid w:val="00C525DC"/>
    <w:rsid w:val="00C525F4"/>
    <w:rsid w:val="00C52609"/>
    <w:rsid w:val="00C5267A"/>
    <w:rsid w:val="00C526E4"/>
    <w:rsid w:val="00C52721"/>
    <w:rsid w:val="00C527B1"/>
    <w:rsid w:val="00C527C1"/>
    <w:rsid w:val="00C527DA"/>
    <w:rsid w:val="00C52817"/>
    <w:rsid w:val="00C5281D"/>
    <w:rsid w:val="00C52853"/>
    <w:rsid w:val="00C52854"/>
    <w:rsid w:val="00C528BE"/>
    <w:rsid w:val="00C528DE"/>
    <w:rsid w:val="00C528E4"/>
    <w:rsid w:val="00C5292B"/>
    <w:rsid w:val="00C529B9"/>
    <w:rsid w:val="00C529C8"/>
    <w:rsid w:val="00C52A86"/>
    <w:rsid w:val="00C52A89"/>
    <w:rsid w:val="00C52A8E"/>
    <w:rsid w:val="00C52ADD"/>
    <w:rsid w:val="00C52B4F"/>
    <w:rsid w:val="00C52BB4"/>
    <w:rsid w:val="00C52C40"/>
    <w:rsid w:val="00C52C8D"/>
    <w:rsid w:val="00C52CAA"/>
    <w:rsid w:val="00C52D67"/>
    <w:rsid w:val="00C52E26"/>
    <w:rsid w:val="00C52E6D"/>
    <w:rsid w:val="00C52ECE"/>
    <w:rsid w:val="00C52EF8"/>
    <w:rsid w:val="00C52F49"/>
    <w:rsid w:val="00C52F95"/>
    <w:rsid w:val="00C52FB5"/>
    <w:rsid w:val="00C52FBE"/>
    <w:rsid w:val="00C52FCC"/>
    <w:rsid w:val="00C53027"/>
    <w:rsid w:val="00C530C1"/>
    <w:rsid w:val="00C53102"/>
    <w:rsid w:val="00C53156"/>
    <w:rsid w:val="00C5319C"/>
    <w:rsid w:val="00C531B6"/>
    <w:rsid w:val="00C531F9"/>
    <w:rsid w:val="00C5320C"/>
    <w:rsid w:val="00C5320D"/>
    <w:rsid w:val="00C53247"/>
    <w:rsid w:val="00C53265"/>
    <w:rsid w:val="00C532A0"/>
    <w:rsid w:val="00C532C0"/>
    <w:rsid w:val="00C532FA"/>
    <w:rsid w:val="00C5336D"/>
    <w:rsid w:val="00C53418"/>
    <w:rsid w:val="00C53430"/>
    <w:rsid w:val="00C53469"/>
    <w:rsid w:val="00C53494"/>
    <w:rsid w:val="00C534CC"/>
    <w:rsid w:val="00C53502"/>
    <w:rsid w:val="00C5354C"/>
    <w:rsid w:val="00C53584"/>
    <w:rsid w:val="00C5358E"/>
    <w:rsid w:val="00C535E0"/>
    <w:rsid w:val="00C5361E"/>
    <w:rsid w:val="00C53642"/>
    <w:rsid w:val="00C536BB"/>
    <w:rsid w:val="00C536D2"/>
    <w:rsid w:val="00C536EF"/>
    <w:rsid w:val="00C537FA"/>
    <w:rsid w:val="00C5387A"/>
    <w:rsid w:val="00C53891"/>
    <w:rsid w:val="00C538A4"/>
    <w:rsid w:val="00C5396C"/>
    <w:rsid w:val="00C53984"/>
    <w:rsid w:val="00C539F3"/>
    <w:rsid w:val="00C53A6E"/>
    <w:rsid w:val="00C53B30"/>
    <w:rsid w:val="00C53B58"/>
    <w:rsid w:val="00C53BCD"/>
    <w:rsid w:val="00C53BCE"/>
    <w:rsid w:val="00C53BF0"/>
    <w:rsid w:val="00C53C0F"/>
    <w:rsid w:val="00C53C28"/>
    <w:rsid w:val="00C53C43"/>
    <w:rsid w:val="00C53C60"/>
    <w:rsid w:val="00C53CA4"/>
    <w:rsid w:val="00C53D1F"/>
    <w:rsid w:val="00C53D23"/>
    <w:rsid w:val="00C53D8F"/>
    <w:rsid w:val="00C53E3F"/>
    <w:rsid w:val="00C53E74"/>
    <w:rsid w:val="00C53E78"/>
    <w:rsid w:val="00C53EA6"/>
    <w:rsid w:val="00C53EFC"/>
    <w:rsid w:val="00C53F8B"/>
    <w:rsid w:val="00C53FE3"/>
    <w:rsid w:val="00C540DE"/>
    <w:rsid w:val="00C540E7"/>
    <w:rsid w:val="00C5413D"/>
    <w:rsid w:val="00C54179"/>
    <w:rsid w:val="00C541F0"/>
    <w:rsid w:val="00C54202"/>
    <w:rsid w:val="00C5426A"/>
    <w:rsid w:val="00C54286"/>
    <w:rsid w:val="00C542AD"/>
    <w:rsid w:val="00C542E7"/>
    <w:rsid w:val="00C542F4"/>
    <w:rsid w:val="00C542F9"/>
    <w:rsid w:val="00C5431A"/>
    <w:rsid w:val="00C543D1"/>
    <w:rsid w:val="00C54445"/>
    <w:rsid w:val="00C544AA"/>
    <w:rsid w:val="00C544E1"/>
    <w:rsid w:val="00C544F0"/>
    <w:rsid w:val="00C54513"/>
    <w:rsid w:val="00C54615"/>
    <w:rsid w:val="00C546A9"/>
    <w:rsid w:val="00C546B9"/>
    <w:rsid w:val="00C546D7"/>
    <w:rsid w:val="00C546F4"/>
    <w:rsid w:val="00C54717"/>
    <w:rsid w:val="00C5472F"/>
    <w:rsid w:val="00C547E4"/>
    <w:rsid w:val="00C547E5"/>
    <w:rsid w:val="00C54859"/>
    <w:rsid w:val="00C5495E"/>
    <w:rsid w:val="00C54969"/>
    <w:rsid w:val="00C5497D"/>
    <w:rsid w:val="00C549D8"/>
    <w:rsid w:val="00C54A34"/>
    <w:rsid w:val="00C54A5C"/>
    <w:rsid w:val="00C54A6B"/>
    <w:rsid w:val="00C54AB3"/>
    <w:rsid w:val="00C54BC6"/>
    <w:rsid w:val="00C54C6F"/>
    <w:rsid w:val="00C54CC9"/>
    <w:rsid w:val="00C54CEF"/>
    <w:rsid w:val="00C54D1C"/>
    <w:rsid w:val="00C54D95"/>
    <w:rsid w:val="00C54D9D"/>
    <w:rsid w:val="00C54E08"/>
    <w:rsid w:val="00C54E43"/>
    <w:rsid w:val="00C54E54"/>
    <w:rsid w:val="00C54E6F"/>
    <w:rsid w:val="00C54F69"/>
    <w:rsid w:val="00C54F95"/>
    <w:rsid w:val="00C550CE"/>
    <w:rsid w:val="00C550E3"/>
    <w:rsid w:val="00C5511F"/>
    <w:rsid w:val="00C551B7"/>
    <w:rsid w:val="00C5528E"/>
    <w:rsid w:val="00C552B3"/>
    <w:rsid w:val="00C5531E"/>
    <w:rsid w:val="00C55363"/>
    <w:rsid w:val="00C5536D"/>
    <w:rsid w:val="00C55375"/>
    <w:rsid w:val="00C553AD"/>
    <w:rsid w:val="00C553C8"/>
    <w:rsid w:val="00C554C0"/>
    <w:rsid w:val="00C554C9"/>
    <w:rsid w:val="00C554D0"/>
    <w:rsid w:val="00C5554B"/>
    <w:rsid w:val="00C555BC"/>
    <w:rsid w:val="00C5560A"/>
    <w:rsid w:val="00C55652"/>
    <w:rsid w:val="00C55693"/>
    <w:rsid w:val="00C556AE"/>
    <w:rsid w:val="00C556F2"/>
    <w:rsid w:val="00C55765"/>
    <w:rsid w:val="00C55802"/>
    <w:rsid w:val="00C55818"/>
    <w:rsid w:val="00C55857"/>
    <w:rsid w:val="00C55861"/>
    <w:rsid w:val="00C55883"/>
    <w:rsid w:val="00C558A4"/>
    <w:rsid w:val="00C55935"/>
    <w:rsid w:val="00C55964"/>
    <w:rsid w:val="00C55A39"/>
    <w:rsid w:val="00C55A4D"/>
    <w:rsid w:val="00C55A8A"/>
    <w:rsid w:val="00C55AF1"/>
    <w:rsid w:val="00C55B01"/>
    <w:rsid w:val="00C55B1D"/>
    <w:rsid w:val="00C55BBA"/>
    <w:rsid w:val="00C55C75"/>
    <w:rsid w:val="00C55D2B"/>
    <w:rsid w:val="00C55DCD"/>
    <w:rsid w:val="00C55DF1"/>
    <w:rsid w:val="00C55E03"/>
    <w:rsid w:val="00C55E05"/>
    <w:rsid w:val="00C55E47"/>
    <w:rsid w:val="00C55E60"/>
    <w:rsid w:val="00C55E9E"/>
    <w:rsid w:val="00C55EA1"/>
    <w:rsid w:val="00C55EB1"/>
    <w:rsid w:val="00C55EE3"/>
    <w:rsid w:val="00C55EEE"/>
    <w:rsid w:val="00C55F27"/>
    <w:rsid w:val="00C55F2E"/>
    <w:rsid w:val="00C55F4D"/>
    <w:rsid w:val="00C55F50"/>
    <w:rsid w:val="00C55FBA"/>
    <w:rsid w:val="00C56006"/>
    <w:rsid w:val="00C5604B"/>
    <w:rsid w:val="00C56097"/>
    <w:rsid w:val="00C5609E"/>
    <w:rsid w:val="00C5613D"/>
    <w:rsid w:val="00C561F9"/>
    <w:rsid w:val="00C561FB"/>
    <w:rsid w:val="00C56266"/>
    <w:rsid w:val="00C56282"/>
    <w:rsid w:val="00C5629A"/>
    <w:rsid w:val="00C562EB"/>
    <w:rsid w:val="00C56314"/>
    <w:rsid w:val="00C563C2"/>
    <w:rsid w:val="00C563C7"/>
    <w:rsid w:val="00C5642F"/>
    <w:rsid w:val="00C5648D"/>
    <w:rsid w:val="00C56495"/>
    <w:rsid w:val="00C5650F"/>
    <w:rsid w:val="00C56516"/>
    <w:rsid w:val="00C5656F"/>
    <w:rsid w:val="00C56573"/>
    <w:rsid w:val="00C565B4"/>
    <w:rsid w:val="00C56651"/>
    <w:rsid w:val="00C5665F"/>
    <w:rsid w:val="00C566A1"/>
    <w:rsid w:val="00C566C9"/>
    <w:rsid w:val="00C566D2"/>
    <w:rsid w:val="00C567A2"/>
    <w:rsid w:val="00C56837"/>
    <w:rsid w:val="00C56861"/>
    <w:rsid w:val="00C568D8"/>
    <w:rsid w:val="00C56A57"/>
    <w:rsid w:val="00C56A8F"/>
    <w:rsid w:val="00C56AA1"/>
    <w:rsid w:val="00C56AB1"/>
    <w:rsid w:val="00C56ABB"/>
    <w:rsid w:val="00C56AF9"/>
    <w:rsid w:val="00C56B1F"/>
    <w:rsid w:val="00C56B5A"/>
    <w:rsid w:val="00C56C37"/>
    <w:rsid w:val="00C56CEC"/>
    <w:rsid w:val="00C56D3B"/>
    <w:rsid w:val="00C56D45"/>
    <w:rsid w:val="00C56D77"/>
    <w:rsid w:val="00C56DA4"/>
    <w:rsid w:val="00C56DDD"/>
    <w:rsid w:val="00C56EA3"/>
    <w:rsid w:val="00C56EBB"/>
    <w:rsid w:val="00C56ED6"/>
    <w:rsid w:val="00C56F02"/>
    <w:rsid w:val="00C56F5A"/>
    <w:rsid w:val="00C56F91"/>
    <w:rsid w:val="00C56FD4"/>
    <w:rsid w:val="00C56FF9"/>
    <w:rsid w:val="00C57012"/>
    <w:rsid w:val="00C5702F"/>
    <w:rsid w:val="00C570F8"/>
    <w:rsid w:val="00C57190"/>
    <w:rsid w:val="00C5719E"/>
    <w:rsid w:val="00C571FC"/>
    <w:rsid w:val="00C57323"/>
    <w:rsid w:val="00C5733D"/>
    <w:rsid w:val="00C573D5"/>
    <w:rsid w:val="00C573E9"/>
    <w:rsid w:val="00C5740B"/>
    <w:rsid w:val="00C574AA"/>
    <w:rsid w:val="00C574B8"/>
    <w:rsid w:val="00C574BD"/>
    <w:rsid w:val="00C5750B"/>
    <w:rsid w:val="00C57646"/>
    <w:rsid w:val="00C5766F"/>
    <w:rsid w:val="00C576D0"/>
    <w:rsid w:val="00C57704"/>
    <w:rsid w:val="00C577A5"/>
    <w:rsid w:val="00C577AC"/>
    <w:rsid w:val="00C57825"/>
    <w:rsid w:val="00C578BB"/>
    <w:rsid w:val="00C57915"/>
    <w:rsid w:val="00C57942"/>
    <w:rsid w:val="00C57950"/>
    <w:rsid w:val="00C579A4"/>
    <w:rsid w:val="00C579A8"/>
    <w:rsid w:val="00C57A1E"/>
    <w:rsid w:val="00C57ACF"/>
    <w:rsid w:val="00C57B49"/>
    <w:rsid w:val="00C57B83"/>
    <w:rsid w:val="00C57B9A"/>
    <w:rsid w:val="00C57C43"/>
    <w:rsid w:val="00C57C92"/>
    <w:rsid w:val="00C57D20"/>
    <w:rsid w:val="00C57D2C"/>
    <w:rsid w:val="00C57D5E"/>
    <w:rsid w:val="00C57D82"/>
    <w:rsid w:val="00C57DA4"/>
    <w:rsid w:val="00C57E13"/>
    <w:rsid w:val="00C57E20"/>
    <w:rsid w:val="00C57E90"/>
    <w:rsid w:val="00C57F29"/>
    <w:rsid w:val="00C57FC4"/>
    <w:rsid w:val="00C57FD7"/>
    <w:rsid w:val="00C57FE3"/>
    <w:rsid w:val="00C57FED"/>
    <w:rsid w:val="00C6001E"/>
    <w:rsid w:val="00C60071"/>
    <w:rsid w:val="00C600B5"/>
    <w:rsid w:val="00C600DC"/>
    <w:rsid w:val="00C600F4"/>
    <w:rsid w:val="00C60112"/>
    <w:rsid w:val="00C6015B"/>
    <w:rsid w:val="00C60198"/>
    <w:rsid w:val="00C60271"/>
    <w:rsid w:val="00C602CE"/>
    <w:rsid w:val="00C602E0"/>
    <w:rsid w:val="00C602F1"/>
    <w:rsid w:val="00C6036A"/>
    <w:rsid w:val="00C603F1"/>
    <w:rsid w:val="00C6046C"/>
    <w:rsid w:val="00C6053D"/>
    <w:rsid w:val="00C60606"/>
    <w:rsid w:val="00C60616"/>
    <w:rsid w:val="00C60628"/>
    <w:rsid w:val="00C60655"/>
    <w:rsid w:val="00C6069C"/>
    <w:rsid w:val="00C60704"/>
    <w:rsid w:val="00C6071F"/>
    <w:rsid w:val="00C60724"/>
    <w:rsid w:val="00C60731"/>
    <w:rsid w:val="00C60743"/>
    <w:rsid w:val="00C6078A"/>
    <w:rsid w:val="00C60815"/>
    <w:rsid w:val="00C608D4"/>
    <w:rsid w:val="00C6099A"/>
    <w:rsid w:val="00C60A18"/>
    <w:rsid w:val="00C60A22"/>
    <w:rsid w:val="00C60AC3"/>
    <w:rsid w:val="00C60B05"/>
    <w:rsid w:val="00C60B23"/>
    <w:rsid w:val="00C60B34"/>
    <w:rsid w:val="00C60B37"/>
    <w:rsid w:val="00C60B44"/>
    <w:rsid w:val="00C60BA5"/>
    <w:rsid w:val="00C60BB4"/>
    <w:rsid w:val="00C60C30"/>
    <w:rsid w:val="00C60C7A"/>
    <w:rsid w:val="00C60C7C"/>
    <w:rsid w:val="00C60CDE"/>
    <w:rsid w:val="00C60D1D"/>
    <w:rsid w:val="00C60DBC"/>
    <w:rsid w:val="00C60E15"/>
    <w:rsid w:val="00C60E2D"/>
    <w:rsid w:val="00C60E45"/>
    <w:rsid w:val="00C60EC9"/>
    <w:rsid w:val="00C60F65"/>
    <w:rsid w:val="00C60FAB"/>
    <w:rsid w:val="00C6106A"/>
    <w:rsid w:val="00C610D9"/>
    <w:rsid w:val="00C610F9"/>
    <w:rsid w:val="00C6110C"/>
    <w:rsid w:val="00C61126"/>
    <w:rsid w:val="00C6112A"/>
    <w:rsid w:val="00C61186"/>
    <w:rsid w:val="00C611F5"/>
    <w:rsid w:val="00C611F7"/>
    <w:rsid w:val="00C61203"/>
    <w:rsid w:val="00C61220"/>
    <w:rsid w:val="00C61230"/>
    <w:rsid w:val="00C612B1"/>
    <w:rsid w:val="00C612D8"/>
    <w:rsid w:val="00C613C2"/>
    <w:rsid w:val="00C61412"/>
    <w:rsid w:val="00C61469"/>
    <w:rsid w:val="00C61479"/>
    <w:rsid w:val="00C6148C"/>
    <w:rsid w:val="00C614B7"/>
    <w:rsid w:val="00C614E6"/>
    <w:rsid w:val="00C61580"/>
    <w:rsid w:val="00C615AA"/>
    <w:rsid w:val="00C615B2"/>
    <w:rsid w:val="00C615F6"/>
    <w:rsid w:val="00C6160A"/>
    <w:rsid w:val="00C61614"/>
    <w:rsid w:val="00C61684"/>
    <w:rsid w:val="00C616E8"/>
    <w:rsid w:val="00C61721"/>
    <w:rsid w:val="00C617A0"/>
    <w:rsid w:val="00C617AA"/>
    <w:rsid w:val="00C617DC"/>
    <w:rsid w:val="00C61830"/>
    <w:rsid w:val="00C6184F"/>
    <w:rsid w:val="00C618C1"/>
    <w:rsid w:val="00C618D5"/>
    <w:rsid w:val="00C618F5"/>
    <w:rsid w:val="00C61917"/>
    <w:rsid w:val="00C61939"/>
    <w:rsid w:val="00C619A1"/>
    <w:rsid w:val="00C619B5"/>
    <w:rsid w:val="00C619C2"/>
    <w:rsid w:val="00C619CF"/>
    <w:rsid w:val="00C619EC"/>
    <w:rsid w:val="00C61A8E"/>
    <w:rsid w:val="00C61AD3"/>
    <w:rsid w:val="00C61BC3"/>
    <w:rsid w:val="00C61C2B"/>
    <w:rsid w:val="00C61C2C"/>
    <w:rsid w:val="00C61CB1"/>
    <w:rsid w:val="00C61D1C"/>
    <w:rsid w:val="00C61D20"/>
    <w:rsid w:val="00C61D4B"/>
    <w:rsid w:val="00C61D56"/>
    <w:rsid w:val="00C61D69"/>
    <w:rsid w:val="00C61DC6"/>
    <w:rsid w:val="00C61E09"/>
    <w:rsid w:val="00C61E47"/>
    <w:rsid w:val="00C61E6F"/>
    <w:rsid w:val="00C61E82"/>
    <w:rsid w:val="00C61EB9"/>
    <w:rsid w:val="00C61F42"/>
    <w:rsid w:val="00C61F90"/>
    <w:rsid w:val="00C6201B"/>
    <w:rsid w:val="00C62063"/>
    <w:rsid w:val="00C62070"/>
    <w:rsid w:val="00C62090"/>
    <w:rsid w:val="00C6213C"/>
    <w:rsid w:val="00C62167"/>
    <w:rsid w:val="00C621D8"/>
    <w:rsid w:val="00C622F1"/>
    <w:rsid w:val="00C6230D"/>
    <w:rsid w:val="00C62372"/>
    <w:rsid w:val="00C6238F"/>
    <w:rsid w:val="00C623B3"/>
    <w:rsid w:val="00C623BB"/>
    <w:rsid w:val="00C623E5"/>
    <w:rsid w:val="00C6240B"/>
    <w:rsid w:val="00C62441"/>
    <w:rsid w:val="00C62460"/>
    <w:rsid w:val="00C624A7"/>
    <w:rsid w:val="00C62527"/>
    <w:rsid w:val="00C62588"/>
    <w:rsid w:val="00C625EB"/>
    <w:rsid w:val="00C625F4"/>
    <w:rsid w:val="00C62698"/>
    <w:rsid w:val="00C6269D"/>
    <w:rsid w:val="00C626D7"/>
    <w:rsid w:val="00C626E4"/>
    <w:rsid w:val="00C626F4"/>
    <w:rsid w:val="00C626F6"/>
    <w:rsid w:val="00C6270B"/>
    <w:rsid w:val="00C62711"/>
    <w:rsid w:val="00C62744"/>
    <w:rsid w:val="00C62782"/>
    <w:rsid w:val="00C62797"/>
    <w:rsid w:val="00C62863"/>
    <w:rsid w:val="00C62867"/>
    <w:rsid w:val="00C62899"/>
    <w:rsid w:val="00C628BD"/>
    <w:rsid w:val="00C628F2"/>
    <w:rsid w:val="00C6290E"/>
    <w:rsid w:val="00C629E4"/>
    <w:rsid w:val="00C62A30"/>
    <w:rsid w:val="00C62A86"/>
    <w:rsid w:val="00C62ACF"/>
    <w:rsid w:val="00C62AF8"/>
    <w:rsid w:val="00C62B6F"/>
    <w:rsid w:val="00C62BBD"/>
    <w:rsid w:val="00C62BCE"/>
    <w:rsid w:val="00C62C08"/>
    <w:rsid w:val="00C62C57"/>
    <w:rsid w:val="00C62C60"/>
    <w:rsid w:val="00C62C93"/>
    <w:rsid w:val="00C62CB0"/>
    <w:rsid w:val="00C62E58"/>
    <w:rsid w:val="00C62EA4"/>
    <w:rsid w:val="00C62FA7"/>
    <w:rsid w:val="00C62FBC"/>
    <w:rsid w:val="00C63009"/>
    <w:rsid w:val="00C6304A"/>
    <w:rsid w:val="00C630A4"/>
    <w:rsid w:val="00C630D0"/>
    <w:rsid w:val="00C6314F"/>
    <w:rsid w:val="00C63157"/>
    <w:rsid w:val="00C631A9"/>
    <w:rsid w:val="00C631B0"/>
    <w:rsid w:val="00C631B8"/>
    <w:rsid w:val="00C63260"/>
    <w:rsid w:val="00C63297"/>
    <w:rsid w:val="00C632A9"/>
    <w:rsid w:val="00C632AC"/>
    <w:rsid w:val="00C632B0"/>
    <w:rsid w:val="00C632F4"/>
    <w:rsid w:val="00C63330"/>
    <w:rsid w:val="00C63336"/>
    <w:rsid w:val="00C6336A"/>
    <w:rsid w:val="00C63391"/>
    <w:rsid w:val="00C6343C"/>
    <w:rsid w:val="00C63475"/>
    <w:rsid w:val="00C634F0"/>
    <w:rsid w:val="00C63504"/>
    <w:rsid w:val="00C63646"/>
    <w:rsid w:val="00C63663"/>
    <w:rsid w:val="00C636AC"/>
    <w:rsid w:val="00C637C5"/>
    <w:rsid w:val="00C637DC"/>
    <w:rsid w:val="00C638AF"/>
    <w:rsid w:val="00C638BB"/>
    <w:rsid w:val="00C638E7"/>
    <w:rsid w:val="00C63918"/>
    <w:rsid w:val="00C63990"/>
    <w:rsid w:val="00C63A12"/>
    <w:rsid w:val="00C63A8F"/>
    <w:rsid w:val="00C63B35"/>
    <w:rsid w:val="00C63BAB"/>
    <w:rsid w:val="00C63BD0"/>
    <w:rsid w:val="00C63BD1"/>
    <w:rsid w:val="00C63C43"/>
    <w:rsid w:val="00C63C76"/>
    <w:rsid w:val="00C63C91"/>
    <w:rsid w:val="00C63CAA"/>
    <w:rsid w:val="00C63D67"/>
    <w:rsid w:val="00C63D68"/>
    <w:rsid w:val="00C63D72"/>
    <w:rsid w:val="00C63DA9"/>
    <w:rsid w:val="00C63DAF"/>
    <w:rsid w:val="00C63E20"/>
    <w:rsid w:val="00C63ECD"/>
    <w:rsid w:val="00C63F23"/>
    <w:rsid w:val="00C63FC0"/>
    <w:rsid w:val="00C64062"/>
    <w:rsid w:val="00C6407C"/>
    <w:rsid w:val="00C64084"/>
    <w:rsid w:val="00C640DB"/>
    <w:rsid w:val="00C64117"/>
    <w:rsid w:val="00C64156"/>
    <w:rsid w:val="00C64171"/>
    <w:rsid w:val="00C641CF"/>
    <w:rsid w:val="00C6425A"/>
    <w:rsid w:val="00C6436F"/>
    <w:rsid w:val="00C64380"/>
    <w:rsid w:val="00C643B3"/>
    <w:rsid w:val="00C64474"/>
    <w:rsid w:val="00C64605"/>
    <w:rsid w:val="00C6465D"/>
    <w:rsid w:val="00C64664"/>
    <w:rsid w:val="00C646D1"/>
    <w:rsid w:val="00C646D2"/>
    <w:rsid w:val="00C64709"/>
    <w:rsid w:val="00C64727"/>
    <w:rsid w:val="00C64735"/>
    <w:rsid w:val="00C6476B"/>
    <w:rsid w:val="00C64773"/>
    <w:rsid w:val="00C647CC"/>
    <w:rsid w:val="00C6484F"/>
    <w:rsid w:val="00C64889"/>
    <w:rsid w:val="00C648CD"/>
    <w:rsid w:val="00C648D0"/>
    <w:rsid w:val="00C6493D"/>
    <w:rsid w:val="00C6495F"/>
    <w:rsid w:val="00C64A0C"/>
    <w:rsid w:val="00C64A87"/>
    <w:rsid w:val="00C64AD0"/>
    <w:rsid w:val="00C64B06"/>
    <w:rsid w:val="00C64B5E"/>
    <w:rsid w:val="00C64B6D"/>
    <w:rsid w:val="00C64B79"/>
    <w:rsid w:val="00C64BA6"/>
    <w:rsid w:val="00C64C37"/>
    <w:rsid w:val="00C64C44"/>
    <w:rsid w:val="00C64C6A"/>
    <w:rsid w:val="00C64C8F"/>
    <w:rsid w:val="00C64D33"/>
    <w:rsid w:val="00C64DB6"/>
    <w:rsid w:val="00C64DFD"/>
    <w:rsid w:val="00C64EE4"/>
    <w:rsid w:val="00C64F0B"/>
    <w:rsid w:val="00C64F1C"/>
    <w:rsid w:val="00C65008"/>
    <w:rsid w:val="00C6504D"/>
    <w:rsid w:val="00C65058"/>
    <w:rsid w:val="00C650FF"/>
    <w:rsid w:val="00C65174"/>
    <w:rsid w:val="00C6518A"/>
    <w:rsid w:val="00C65205"/>
    <w:rsid w:val="00C65208"/>
    <w:rsid w:val="00C65242"/>
    <w:rsid w:val="00C652EE"/>
    <w:rsid w:val="00C652EF"/>
    <w:rsid w:val="00C65300"/>
    <w:rsid w:val="00C65397"/>
    <w:rsid w:val="00C653B3"/>
    <w:rsid w:val="00C653D4"/>
    <w:rsid w:val="00C653EB"/>
    <w:rsid w:val="00C653EE"/>
    <w:rsid w:val="00C65402"/>
    <w:rsid w:val="00C65449"/>
    <w:rsid w:val="00C6544B"/>
    <w:rsid w:val="00C654AA"/>
    <w:rsid w:val="00C654B9"/>
    <w:rsid w:val="00C65548"/>
    <w:rsid w:val="00C655FF"/>
    <w:rsid w:val="00C6562B"/>
    <w:rsid w:val="00C65690"/>
    <w:rsid w:val="00C656B6"/>
    <w:rsid w:val="00C656B9"/>
    <w:rsid w:val="00C656DE"/>
    <w:rsid w:val="00C6571E"/>
    <w:rsid w:val="00C65730"/>
    <w:rsid w:val="00C65758"/>
    <w:rsid w:val="00C657BC"/>
    <w:rsid w:val="00C657CE"/>
    <w:rsid w:val="00C657DD"/>
    <w:rsid w:val="00C657E7"/>
    <w:rsid w:val="00C65806"/>
    <w:rsid w:val="00C65876"/>
    <w:rsid w:val="00C658D1"/>
    <w:rsid w:val="00C658F1"/>
    <w:rsid w:val="00C65942"/>
    <w:rsid w:val="00C65992"/>
    <w:rsid w:val="00C6599A"/>
    <w:rsid w:val="00C65A48"/>
    <w:rsid w:val="00C65A52"/>
    <w:rsid w:val="00C65AAC"/>
    <w:rsid w:val="00C65ACB"/>
    <w:rsid w:val="00C65AF9"/>
    <w:rsid w:val="00C65B01"/>
    <w:rsid w:val="00C65B18"/>
    <w:rsid w:val="00C65B21"/>
    <w:rsid w:val="00C65BA1"/>
    <w:rsid w:val="00C65BF2"/>
    <w:rsid w:val="00C65C1B"/>
    <w:rsid w:val="00C65CD2"/>
    <w:rsid w:val="00C65CD6"/>
    <w:rsid w:val="00C65D5D"/>
    <w:rsid w:val="00C65D69"/>
    <w:rsid w:val="00C65D92"/>
    <w:rsid w:val="00C65E96"/>
    <w:rsid w:val="00C65EB3"/>
    <w:rsid w:val="00C65EE6"/>
    <w:rsid w:val="00C65EEB"/>
    <w:rsid w:val="00C65EF3"/>
    <w:rsid w:val="00C65F81"/>
    <w:rsid w:val="00C65FA3"/>
    <w:rsid w:val="00C65FA6"/>
    <w:rsid w:val="00C65FC2"/>
    <w:rsid w:val="00C65FC3"/>
    <w:rsid w:val="00C66026"/>
    <w:rsid w:val="00C66044"/>
    <w:rsid w:val="00C66069"/>
    <w:rsid w:val="00C660FB"/>
    <w:rsid w:val="00C66127"/>
    <w:rsid w:val="00C66137"/>
    <w:rsid w:val="00C661F4"/>
    <w:rsid w:val="00C6620F"/>
    <w:rsid w:val="00C66222"/>
    <w:rsid w:val="00C6623F"/>
    <w:rsid w:val="00C66253"/>
    <w:rsid w:val="00C6629A"/>
    <w:rsid w:val="00C66343"/>
    <w:rsid w:val="00C663AE"/>
    <w:rsid w:val="00C663B1"/>
    <w:rsid w:val="00C663CC"/>
    <w:rsid w:val="00C66440"/>
    <w:rsid w:val="00C6655C"/>
    <w:rsid w:val="00C66571"/>
    <w:rsid w:val="00C665D1"/>
    <w:rsid w:val="00C66654"/>
    <w:rsid w:val="00C666D5"/>
    <w:rsid w:val="00C66707"/>
    <w:rsid w:val="00C6674C"/>
    <w:rsid w:val="00C66761"/>
    <w:rsid w:val="00C668CA"/>
    <w:rsid w:val="00C668EF"/>
    <w:rsid w:val="00C66912"/>
    <w:rsid w:val="00C6699E"/>
    <w:rsid w:val="00C669A3"/>
    <w:rsid w:val="00C66A15"/>
    <w:rsid w:val="00C66A37"/>
    <w:rsid w:val="00C66A49"/>
    <w:rsid w:val="00C66A60"/>
    <w:rsid w:val="00C66AD6"/>
    <w:rsid w:val="00C66B46"/>
    <w:rsid w:val="00C66B6D"/>
    <w:rsid w:val="00C66BCA"/>
    <w:rsid w:val="00C66BDF"/>
    <w:rsid w:val="00C66C1C"/>
    <w:rsid w:val="00C66C37"/>
    <w:rsid w:val="00C66C97"/>
    <w:rsid w:val="00C66CFF"/>
    <w:rsid w:val="00C66D1C"/>
    <w:rsid w:val="00C66D6E"/>
    <w:rsid w:val="00C66E2D"/>
    <w:rsid w:val="00C66ED0"/>
    <w:rsid w:val="00C66ED3"/>
    <w:rsid w:val="00C66FA1"/>
    <w:rsid w:val="00C66FF1"/>
    <w:rsid w:val="00C67060"/>
    <w:rsid w:val="00C67085"/>
    <w:rsid w:val="00C67090"/>
    <w:rsid w:val="00C670AC"/>
    <w:rsid w:val="00C670E8"/>
    <w:rsid w:val="00C670F5"/>
    <w:rsid w:val="00C670F8"/>
    <w:rsid w:val="00C6720A"/>
    <w:rsid w:val="00C67221"/>
    <w:rsid w:val="00C672B0"/>
    <w:rsid w:val="00C672D1"/>
    <w:rsid w:val="00C672E8"/>
    <w:rsid w:val="00C67323"/>
    <w:rsid w:val="00C67365"/>
    <w:rsid w:val="00C673A8"/>
    <w:rsid w:val="00C673B3"/>
    <w:rsid w:val="00C673DD"/>
    <w:rsid w:val="00C6747A"/>
    <w:rsid w:val="00C6747C"/>
    <w:rsid w:val="00C674A6"/>
    <w:rsid w:val="00C6752F"/>
    <w:rsid w:val="00C67572"/>
    <w:rsid w:val="00C6757B"/>
    <w:rsid w:val="00C67644"/>
    <w:rsid w:val="00C6766B"/>
    <w:rsid w:val="00C6770A"/>
    <w:rsid w:val="00C6771B"/>
    <w:rsid w:val="00C6771D"/>
    <w:rsid w:val="00C6773D"/>
    <w:rsid w:val="00C6773E"/>
    <w:rsid w:val="00C67758"/>
    <w:rsid w:val="00C6777B"/>
    <w:rsid w:val="00C6778C"/>
    <w:rsid w:val="00C677FC"/>
    <w:rsid w:val="00C6781C"/>
    <w:rsid w:val="00C67832"/>
    <w:rsid w:val="00C6784B"/>
    <w:rsid w:val="00C67857"/>
    <w:rsid w:val="00C67870"/>
    <w:rsid w:val="00C6788C"/>
    <w:rsid w:val="00C678B0"/>
    <w:rsid w:val="00C67966"/>
    <w:rsid w:val="00C679A5"/>
    <w:rsid w:val="00C679CE"/>
    <w:rsid w:val="00C679DA"/>
    <w:rsid w:val="00C67A21"/>
    <w:rsid w:val="00C67A58"/>
    <w:rsid w:val="00C67A5F"/>
    <w:rsid w:val="00C67AA9"/>
    <w:rsid w:val="00C67B01"/>
    <w:rsid w:val="00C67B8E"/>
    <w:rsid w:val="00C67BB9"/>
    <w:rsid w:val="00C67C31"/>
    <w:rsid w:val="00C67C8A"/>
    <w:rsid w:val="00C67CDE"/>
    <w:rsid w:val="00C67CE3"/>
    <w:rsid w:val="00C67D2A"/>
    <w:rsid w:val="00C67D5E"/>
    <w:rsid w:val="00C67D85"/>
    <w:rsid w:val="00C67E59"/>
    <w:rsid w:val="00C67E7A"/>
    <w:rsid w:val="00C67E84"/>
    <w:rsid w:val="00C67EEF"/>
    <w:rsid w:val="00C67EFA"/>
    <w:rsid w:val="00C67F63"/>
    <w:rsid w:val="00C67F80"/>
    <w:rsid w:val="00C67F8C"/>
    <w:rsid w:val="00C67FB5"/>
    <w:rsid w:val="00C70018"/>
    <w:rsid w:val="00C7001D"/>
    <w:rsid w:val="00C700AF"/>
    <w:rsid w:val="00C700B7"/>
    <w:rsid w:val="00C700C7"/>
    <w:rsid w:val="00C700F3"/>
    <w:rsid w:val="00C7012D"/>
    <w:rsid w:val="00C70204"/>
    <w:rsid w:val="00C70206"/>
    <w:rsid w:val="00C702A3"/>
    <w:rsid w:val="00C702F6"/>
    <w:rsid w:val="00C7030E"/>
    <w:rsid w:val="00C70344"/>
    <w:rsid w:val="00C7034D"/>
    <w:rsid w:val="00C7040C"/>
    <w:rsid w:val="00C7040E"/>
    <w:rsid w:val="00C70415"/>
    <w:rsid w:val="00C7042C"/>
    <w:rsid w:val="00C7043A"/>
    <w:rsid w:val="00C7044E"/>
    <w:rsid w:val="00C70488"/>
    <w:rsid w:val="00C704BF"/>
    <w:rsid w:val="00C70501"/>
    <w:rsid w:val="00C7052B"/>
    <w:rsid w:val="00C705F1"/>
    <w:rsid w:val="00C705F8"/>
    <w:rsid w:val="00C70601"/>
    <w:rsid w:val="00C7065A"/>
    <w:rsid w:val="00C7066F"/>
    <w:rsid w:val="00C7067C"/>
    <w:rsid w:val="00C706A4"/>
    <w:rsid w:val="00C706F7"/>
    <w:rsid w:val="00C7071C"/>
    <w:rsid w:val="00C70804"/>
    <w:rsid w:val="00C708C5"/>
    <w:rsid w:val="00C708CA"/>
    <w:rsid w:val="00C70904"/>
    <w:rsid w:val="00C70952"/>
    <w:rsid w:val="00C70957"/>
    <w:rsid w:val="00C7095C"/>
    <w:rsid w:val="00C7098A"/>
    <w:rsid w:val="00C7098D"/>
    <w:rsid w:val="00C709A7"/>
    <w:rsid w:val="00C709B6"/>
    <w:rsid w:val="00C709BA"/>
    <w:rsid w:val="00C709E2"/>
    <w:rsid w:val="00C709FD"/>
    <w:rsid w:val="00C70A73"/>
    <w:rsid w:val="00C70AE4"/>
    <w:rsid w:val="00C70B3A"/>
    <w:rsid w:val="00C70B7C"/>
    <w:rsid w:val="00C70B85"/>
    <w:rsid w:val="00C70B93"/>
    <w:rsid w:val="00C70BBA"/>
    <w:rsid w:val="00C70C74"/>
    <w:rsid w:val="00C70DAB"/>
    <w:rsid w:val="00C70E25"/>
    <w:rsid w:val="00C70E82"/>
    <w:rsid w:val="00C70E85"/>
    <w:rsid w:val="00C70F09"/>
    <w:rsid w:val="00C70FE9"/>
    <w:rsid w:val="00C7105F"/>
    <w:rsid w:val="00C7108D"/>
    <w:rsid w:val="00C71090"/>
    <w:rsid w:val="00C710C2"/>
    <w:rsid w:val="00C710E4"/>
    <w:rsid w:val="00C7112E"/>
    <w:rsid w:val="00C71132"/>
    <w:rsid w:val="00C71156"/>
    <w:rsid w:val="00C71158"/>
    <w:rsid w:val="00C7115C"/>
    <w:rsid w:val="00C71162"/>
    <w:rsid w:val="00C7116A"/>
    <w:rsid w:val="00C71175"/>
    <w:rsid w:val="00C711D3"/>
    <w:rsid w:val="00C7123F"/>
    <w:rsid w:val="00C71254"/>
    <w:rsid w:val="00C7127F"/>
    <w:rsid w:val="00C712AA"/>
    <w:rsid w:val="00C712BE"/>
    <w:rsid w:val="00C712D6"/>
    <w:rsid w:val="00C712FF"/>
    <w:rsid w:val="00C7138C"/>
    <w:rsid w:val="00C7141F"/>
    <w:rsid w:val="00C71433"/>
    <w:rsid w:val="00C7145B"/>
    <w:rsid w:val="00C714D1"/>
    <w:rsid w:val="00C714D5"/>
    <w:rsid w:val="00C714D7"/>
    <w:rsid w:val="00C71514"/>
    <w:rsid w:val="00C715CF"/>
    <w:rsid w:val="00C715E1"/>
    <w:rsid w:val="00C715EC"/>
    <w:rsid w:val="00C71644"/>
    <w:rsid w:val="00C716FC"/>
    <w:rsid w:val="00C71709"/>
    <w:rsid w:val="00C718E0"/>
    <w:rsid w:val="00C718EE"/>
    <w:rsid w:val="00C71904"/>
    <w:rsid w:val="00C71A03"/>
    <w:rsid w:val="00C71A6D"/>
    <w:rsid w:val="00C71A70"/>
    <w:rsid w:val="00C71AC6"/>
    <w:rsid w:val="00C71AD2"/>
    <w:rsid w:val="00C71B1C"/>
    <w:rsid w:val="00C71B2D"/>
    <w:rsid w:val="00C71B6B"/>
    <w:rsid w:val="00C71BEB"/>
    <w:rsid w:val="00C71C11"/>
    <w:rsid w:val="00C71C30"/>
    <w:rsid w:val="00C71C32"/>
    <w:rsid w:val="00C71C33"/>
    <w:rsid w:val="00C71C43"/>
    <w:rsid w:val="00C71C52"/>
    <w:rsid w:val="00C71C5C"/>
    <w:rsid w:val="00C71C92"/>
    <w:rsid w:val="00C71CB6"/>
    <w:rsid w:val="00C71D2A"/>
    <w:rsid w:val="00C71E7E"/>
    <w:rsid w:val="00C71E82"/>
    <w:rsid w:val="00C71EEE"/>
    <w:rsid w:val="00C71F8F"/>
    <w:rsid w:val="00C71F92"/>
    <w:rsid w:val="00C71FF2"/>
    <w:rsid w:val="00C71FF5"/>
    <w:rsid w:val="00C72030"/>
    <w:rsid w:val="00C72069"/>
    <w:rsid w:val="00C7207E"/>
    <w:rsid w:val="00C72081"/>
    <w:rsid w:val="00C720AB"/>
    <w:rsid w:val="00C720BF"/>
    <w:rsid w:val="00C72103"/>
    <w:rsid w:val="00C721E6"/>
    <w:rsid w:val="00C7225F"/>
    <w:rsid w:val="00C722DB"/>
    <w:rsid w:val="00C72325"/>
    <w:rsid w:val="00C72398"/>
    <w:rsid w:val="00C723BA"/>
    <w:rsid w:val="00C72435"/>
    <w:rsid w:val="00C72437"/>
    <w:rsid w:val="00C72482"/>
    <w:rsid w:val="00C72489"/>
    <w:rsid w:val="00C724F4"/>
    <w:rsid w:val="00C7253B"/>
    <w:rsid w:val="00C72546"/>
    <w:rsid w:val="00C72568"/>
    <w:rsid w:val="00C7256B"/>
    <w:rsid w:val="00C7257F"/>
    <w:rsid w:val="00C725B7"/>
    <w:rsid w:val="00C725CE"/>
    <w:rsid w:val="00C7260D"/>
    <w:rsid w:val="00C7265F"/>
    <w:rsid w:val="00C7269A"/>
    <w:rsid w:val="00C726A4"/>
    <w:rsid w:val="00C726C1"/>
    <w:rsid w:val="00C72721"/>
    <w:rsid w:val="00C72740"/>
    <w:rsid w:val="00C72765"/>
    <w:rsid w:val="00C727A8"/>
    <w:rsid w:val="00C727B1"/>
    <w:rsid w:val="00C727E6"/>
    <w:rsid w:val="00C72846"/>
    <w:rsid w:val="00C728AC"/>
    <w:rsid w:val="00C728B5"/>
    <w:rsid w:val="00C728BA"/>
    <w:rsid w:val="00C72906"/>
    <w:rsid w:val="00C72920"/>
    <w:rsid w:val="00C729CF"/>
    <w:rsid w:val="00C729D7"/>
    <w:rsid w:val="00C72A32"/>
    <w:rsid w:val="00C72A93"/>
    <w:rsid w:val="00C72BAC"/>
    <w:rsid w:val="00C72BB9"/>
    <w:rsid w:val="00C72BBD"/>
    <w:rsid w:val="00C72BF2"/>
    <w:rsid w:val="00C72BF6"/>
    <w:rsid w:val="00C72C32"/>
    <w:rsid w:val="00C72C58"/>
    <w:rsid w:val="00C72C69"/>
    <w:rsid w:val="00C72D66"/>
    <w:rsid w:val="00C72DF3"/>
    <w:rsid w:val="00C72E53"/>
    <w:rsid w:val="00C72E6C"/>
    <w:rsid w:val="00C72EBA"/>
    <w:rsid w:val="00C72F82"/>
    <w:rsid w:val="00C72F93"/>
    <w:rsid w:val="00C72F9E"/>
    <w:rsid w:val="00C73024"/>
    <w:rsid w:val="00C73044"/>
    <w:rsid w:val="00C7307B"/>
    <w:rsid w:val="00C7307D"/>
    <w:rsid w:val="00C73080"/>
    <w:rsid w:val="00C730D8"/>
    <w:rsid w:val="00C730E7"/>
    <w:rsid w:val="00C7316C"/>
    <w:rsid w:val="00C7317D"/>
    <w:rsid w:val="00C731B2"/>
    <w:rsid w:val="00C731F4"/>
    <w:rsid w:val="00C7324F"/>
    <w:rsid w:val="00C732B8"/>
    <w:rsid w:val="00C73401"/>
    <w:rsid w:val="00C7340C"/>
    <w:rsid w:val="00C73420"/>
    <w:rsid w:val="00C7347C"/>
    <w:rsid w:val="00C734A8"/>
    <w:rsid w:val="00C734C6"/>
    <w:rsid w:val="00C734EC"/>
    <w:rsid w:val="00C73547"/>
    <w:rsid w:val="00C735DE"/>
    <w:rsid w:val="00C735E4"/>
    <w:rsid w:val="00C73627"/>
    <w:rsid w:val="00C7364D"/>
    <w:rsid w:val="00C73678"/>
    <w:rsid w:val="00C736B2"/>
    <w:rsid w:val="00C736BA"/>
    <w:rsid w:val="00C736BD"/>
    <w:rsid w:val="00C736FA"/>
    <w:rsid w:val="00C73726"/>
    <w:rsid w:val="00C7373D"/>
    <w:rsid w:val="00C73761"/>
    <w:rsid w:val="00C7378B"/>
    <w:rsid w:val="00C737AE"/>
    <w:rsid w:val="00C737F9"/>
    <w:rsid w:val="00C73852"/>
    <w:rsid w:val="00C738C4"/>
    <w:rsid w:val="00C738E4"/>
    <w:rsid w:val="00C73958"/>
    <w:rsid w:val="00C739F6"/>
    <w:rsid w:val="00C73B2A"/>
    <w:rsid w:val="00C73B94"/>
    <w:rsid w:val="00C73BC6"/>
    <w:rsid w:val="00C73BED"/>
    <w:rsid w:val="00C73BF6"/>
    <w:rsid w:val="00C73C49"/>
    <w:rsid w:val="00C73CC5"/>
    <w:rsid w:val="00C73D46"/>
    <w:rsid w:val="00C73D90"/>
    <w:rsid w:val="00C73DB0"/>
    <w:rsid w:val="00C73DB7"/>
    <w:rsid w:val="00C73E18"/>
    <w:rsid w:val="00C73EBD"/>
    <w:rsid w:val="00C73ECE"/>
    <w:rsid w:val="00C73F00"/>
    <w:rsid w:val="00C73F73"/>
    <w:rsid w:val="00C7400B"/>
    <w:rsid w:val="00C74012"/>
    <w:rsid w:val="00C74064"/>
    <w:rsid w:val="00C7406B"/>
    <w:rsid w:val="00C740BF"/>
    <w:rsid w:val="00C740C2"/>
    <w:rsid w:val="00C7421A"/>
    <w:rsid w:val="00C7424F"/>
    <w:rsid w:val="00C7428F"/>
    <w:rsid w:val="00C7435B"/>
    <w:rsid w:val="00C7437C"/>
    <w:rsid w:val="00C7439A"/>
    <w:rsid w:val="00C743B0"/>
    <w:rsid w:val="00C743D2"/>
    <w:rsid w:val="00C744C0"/>
    <w:rsid w:val="00C744CB"/>
    <w:rsid w:val="00C744F0"/>
    <w:rsid w:val="00C74532"/>
    <w:rsid w:val="00C74552"/>
    <w:rsid w:val="00C74555"/>
    <w:rsid w:val="00C74579"/>
    <w:rsid w:val="00C74597"/>
    <w:rsid w:val="00C745F7"/>
    <w:rsid w:val="00C7464A"/>
    <w:rsid w:val="00C7469E"/>
    <w:rsid w:val="00C746F8"/>
    <w:rsid w:val="00C74724"/>
    <w:rsid w:val="00C7476C"/>
    <w:rsid w:val="00C7476E"/>
    <w:rsid w:val="00C747B1"/>
    <w:rsid w:val="00C747C8"/>
    <w:rsid w:val="00C747FE"/>
    <w:rsid w:val="00C748F6"/>
    <w:rsid w:val="00C74914"/>
    <w:rsid w:val="00C749D8"/>
    <w:rsid w:val="00C749E8"/>
    <w:rsid w:val="00C74AA7"/>
    <w:rsid w:val="00C74AD2"/>
    <w:rsid w:val="00C74ADD"/>
    <w:rsid w:val="00C74B22"/>
    <w:rsid w:val="00C74B3C"/>
    <w:rsid w:val="00C74B56"/>
    <w:rsid w:val="00C74BA9"/>
    <w:rsid w:val="00C74BEC"/>
    <w:rsid w:val="00C74BFA"/>
    <w:rsid w:val="00C74C0C"/>
    <w:rsid w:val="00C74C0E"/>
    <w:rsid w:val="00C74C4D"/>
    <w:rsid w:val="00C74C62"/>
    <w:rsid w:val="00C74C75"/>
    <w:rsid w:val="00C74C76"/>
    <w:rsid w:val="00C74CB1"/>
    <w:rsid w:val="00C74CB6"/>
    <w:rsid w:val="00C74CE4"/>
    <w:rsid w:val="00C74D42"/>
    <w:rsid w:val="00C74D50"/>
    <w:rsid w:val="00C74D9D"/>
    <w:rsid w:val="00C74DA9"/>
    <w:rsid w:val="00C74DAE"/>
    <w:rsid w:val="00C74E18"/>
    <w:rsid w:val="00C74E2E"/>
    <w:rsid w:val="00C74E36"/>
    <w:rsid w:val="00C74E7E"/>
    <w:rsid w:val="00C74E98"/>
    <w:rsid w:val="00C74EA6"/>
    <w:rsid w:val="00C74ED4"/>
    <w:rsid w:val="00C74F0A"/>
    <w:rsid w:val="00C74FBD"/>
    <w:rsid w:val="00C74FFD"/>
    <w:rsid w:val="00C750CB"/>
    <w:rsid w:val="00C750D7"/>
    <w:rsid w:val="00C750DD"/>
    <w:rsid w:val="00C75132"/>
    <w:rsid w:val="00C751CD"/>
    <w:rsid w:val="00C7524F"/>
    <w:rsid w:val="00C75298"/>
    <w:rsid w:val="00C752BB"/>
    <w:rsid w:val="00C75351"/>
    <w:rsid w:val="00C75362"/>
    <w:rsid w:val="00C75363"/>
    <w:rsid w:val="00C75382"/>
    <w:rsid w:val="00C75386"/>
    <w:rsid w:val="00C753AC"/>
    <w:rsid w:val="00C753CE"/>
    <w:rsid w:val="00C75437"/>
    <w:rsid w:val="00C7543C"/>
    <w:rsid w:val="00C754AE"/>
    <w:rsid w:val="00C754F2"/>
    <w:rsid w:val="00C755CC"/>
    <w:rsid w:val="00C75607"/>
    <w:rsid w:val="00C756C1"/>
    <w:rsid w:val="00C756CC"/>
    <w:rsid w:val="00C756F1"/>
    <w:rsid w:val="00C7570F"/>
    <w:rsid w:val="00C7575A"/>
    <w:rsid w:val="00C75783"/>
    <w:rsid w:val="00C7579E"/>
    <w:rsid w:val="00C757A0"/>
    <w:rsid w:val="00C757B6"/>
    <w:rsid w:val="00C75820"/>
    <w:rsid w:val="00C758AD"/>
    <w:rsid w:val="00C758E8"/>
    <w:rsid w:val="00C7591D"/>
    <w:rsid w:val="00C75A03"/>
    <w:rsid w:val="00C75A4A"/>
    <w:rsid w:val="00C75A56"/>
    <w:rsid w:val="00C75AA3"/>
    <w:rsid w:val="00C75AEF"/>
    <w:rsid w:val="00C75B4F"/>
    <w:rsid w:val="00C75B62"/>
    <w:rsid w:val="00C75B72"/>
    <w:rsid w:val="00C75B79"/>
    <w:rsid w:val="00C75B97"/>
    <w:rsid w:val="00C75BE9"/>
    <w:rsid w:val="00C75BF6"/>
    <w:rsid w:val="00C75C30"/>
    <w:rsid w:val="00C75C66"/>
    <w:rsid w:val="00C75CC7"/>
    <w:rsid w:val="00C75CC9"/>
    <w:rsid w:val="00C75CF7"/>
    <w:rsid w:val="00C75D24"/>
    <w:rsid w:val="00C75D25"/>
    <w:rsid w:val="00C75D66"/>
    <w:rsid w:val="00C75DFE"/>
    <w:rsid w:val="00C75E29"/>
    <w:rsid w:val="00C75E32"/>
    <w:rsid w:val="00C75E57"/>
    <w:rsid w:val="00C75E6C"/>
    <w:rsid w:val="00C75E77"/>
    <w:rsid w:val="00C75EA5"/>
    <w:rsid w:val="00C75F6B"/>
    <w:rsid w:val="00C75F84"/>
    <w:rsid w:val="00C75F92"/>
    <w:rsid w:val="00C75FCB"/>
    <w:rsid w:val="00C76095"/>
    <w:rsid w:val="00C760AB"/>
    <w:rsid w:val="00C760C7"/>
    <w:rsid w:val="00C760D8"/>
    <w:rsid w:val="00C76103"/>
    <w:rsid w:val="00C7619F"/>
    <w:rsid w:val="00C761FF"/>
    <w:rsid w:val="00C76248"/>
    <w:rsid w:val="00C76280"/>
    <w:rsid w:val="00C762C5"/>
    <w:rsid w:val="00C76318"/>
    <w:rsid w:val="00C76363"/>
    <w:rsid w:val="00C76392"/>
    <w:rsid w:val="00C763AE"/>
    <w:rsid w:val="00C7641D"/>
    <w:rsid w:val="00C7644C"/>
    <w:rsid w:val="00C7645A"/>
    <w:rsid w:val="00C764D6"/>
    <w:rsid w:val="00C76541"/>
    <w:rsid w:val="00C76551"/>
    <w:rsid w:val="00C76595"/>
    <w:rsid w:val="00C7659E"/>
    <w:rsid w:val="00C765C8"/>
    <w:rsid w:val="00C7666D"/>
    <w:rsid w:val="00C76698"/>
    <w:rsid w:val="00C766DF"/>
    <w:rsid w:val="00C76760"/>
    <w:rsid w:val="00C767CD"/>
    <w:rsid w:val="00C767D7"/>
    <w:rsid w:val="00C767F7"/>
    <w:rsid w:val="00C76804"/>
    <w:rsid w:val="00C76874"/>
    <w:rsid w:val="00C768FE"/>
    <w:rsid w:val="00C76914"/>
    <w:rsid w:val="00C76978"/>
    <w:rsid w:val="00C769EC"/>
    <w:rsid w:val="00C76A34"/>
    <w:rsid w:val="00C76A58"/>
    <w:rsid w:val="00C76A74"/>
    <w:rsid w:val="00C76A75"/>
    <w:rsid w:val="00C76AAB"/>
    <w:rsid w:val="00C76ACF"/>
    <w:rsid w:val="00C76AD6"/>
    <w:rsid w:val="00C76AE8"/>
    <w:rsid w:val="00C76B22"/>
    <w:rsid w:val="00C76B4E"/>
    <w:rsid w:val="00C76B8C"/>
    <w:rsid w:val="00C76BD8"/>
    <w:rsid w:val="00C76C0A"/>
    <w:rsid w:val="00C76C64"/>
    <w:rsid w:val="00C76C7C"/>
    <w:rsid w:val="00C76C8E"/>
    <w:rsid w:val="00C76D28"/>
    <w:rsid w:val="00C76D49"/>
    <w:rsid w:val="00C76D7D"/>
    <w:rsid w:val="00C76D84"/>
    <w:rsid w:val="00C76E27"/>
    <w:rsid w:val="00C76F22"/>
    <w:rsid w:val="00C76F44"/>
    <w:rsid w:val="00C76F94"/>
    <w:rsid w:val="00C76FA2"/>
    <w:rsid w:val="00C76FC8"/>
    <w:rsid w:val="00C7702E"/>
    <w:rsid w:val="00C77059"/>
    <w:rsid w:val="00C77061"/>
    <w:rsid w:val="00C77138"/>
    <w:rsid w:val="00C77145"/>
    <w:rsid w:val="00C7716E"/>
    <w:rsid w:val="00C77345"/>
    <w:rsid w:val="00C7735F"/>
    <w:rsid w:val="00C77384"/>
    <w:rsid w:val="00C77391"/>
    <w:rsid w:val="00C77430"/>
    <w:rsid w:val="00C77479"/>
    <w:rsid w:val="00C77492"/>
    <w:rsid w:val="00C774F2"/>
    <w:rsid w:val="00C77554"/>
    <w:rsid w:val="00C7755B"/>
    <w:rsid w:val="00C77582"/>
    <w:rsid w:val="00C77594"/>
    <w:rsid w:val="00C77627"/>
    <w:rsid w:val="00C7775A"/>
    <w:rsid w:val="00C77761"/>
    <w:rsid w:val="00C7777A"/>
    <w:rsid w:val="00C77783"/>
    <w:rsid w:val="00C77784"/>
    <w:rsid w:val="00C777E2"/>
    <w:rsid w:val="00C77839"/>
    <w:rsid w:val="00C7785D"/>
    <w:rsid w:val="00C7789F"/>
    <w:rsid w:val="00C778A6"/>
    <w:rsid w:val="00C778F1"/>
    <w:rsid w:val="00C7793A"/>
    <w:rsid w:val="00C779F4"/>
    <w:rsid w:val="00C77A28"/>
    <w:rsid w:val="00C77A3A"/>
    <w:rsid w:val="00C77A3C"/>
    <w:rsid w:val="00C77A6E"/>
    <w:rsid w:val="00C77A86"/>
    <w:rsid w:val="00C77AF0"/>
    <w:rsid w:val="00C77BC0"/>
    <w:rsid w:val="00C77C11"/>
    <w:rsid w:val="00C77C17"/>
    <w:rsid w:val="00C77C82"/>
    <w:rsid w:val="00C77C83"/>
    <w:rsid w:val="00C77D72"/>
    <w:rsid w:val="00C77DF1"/>
    <w:rsid w:val="00C77E2A"/>
    <w:rsid w:val="00C77E75"/>
    <w:rsid w:val="00C77E7C"/>
    <w:rsid w:val="00C77E7E"/>
    <w:rsid w:val="00C77EA1"/>
    <w:rsid w:val="00C77EF9"/>
    <w:rsid w:val="00C77F3D"/>
    <w:rsid w:val="00C80008"/>
    <w:rsid w:val="00C8006A"/>
    <w:rsid w:val="00C80095"/>
    <w:rsid w:val="00C8009D"/>
    <w:rsid w:val="00C80131"/>
    <w:rsid w:val="00C80202"/>
    <w:rsid w:val="00C8021B"/>
    <w:rsid w:val="00C8022B"/>
    <w:rsid w:val="00C80288"/>
    <w:rsid w:val="00C802FD"/>
    <w:rsid w:val="00C8035B"/>
    <w:rsid w:val="00C8036E"/>
    <w:rsid w:val="00C80378"/>
    <w:rsid w:val="00C80409"/>
    <w:rsid w:val="00C8042D"/>
    <w:rsid w:val="00C80486"/>
    <w:rsid w:val="00C80489"/>
    <w:rsid w:val="00C80490"/>
    <w:rsid w:val="00C804CA"/>
    <w:rsid w:val="00C80587"/>
    <w:rsid w:val="00C805A6"/>
    <w:rsid w:val="00C80612"/>
    <w:rsid w:val="00C806E1"/>
    <w:rsid w:val="00C8073E"/>
    <w:rsid w:val="00C80748"/>
    <w:rsid w:val="00C80810"/>
    <w:rsid w:val="00C80871"/>
    <w:rsid w:val="00C80887"/>
    <w:rsid w:val="00C8088E"/>
    <w:rsid w:val="00C808A2"/>
    <w:rsid w:val="00C808A3"/>
    <w:rsid w:val="00C808A8"/>
    <w:rsid w:val="00C808BA"/>
    <w:rsid w:val="00C808C8"/>
    <w:rsid w:val="00C8095A"/>
    <w:rsid w:val="00C8095C"/>
    <w:rsid w:val="00C8097B"/>
    <w:rsid w:val="00C809B1"/>
    <w:rsid w:val="00C80A26"/>
    <w:rsid w:val="00C80A82"/>
    <w:rsid w:val="00C80ABA"/>
    <w:rsid w:val="00C80BAE"/>
    <w:rsid w:val="00C80BF1"/>
    <w:rsid w:val="00C80C21"/>
    <w:rsid w:val="00C80C61"/>
    <w:rsid w:val="00C80C69"/>
    <w:rsid w:val="00C80C8F"/>
    <w:rsid w:val="00C80CF7"/>
    <w:rsid w:val="00C80D06"/>
    <w:rsid w:val="00C80D52"/>
    <w:rsid w:val="00C80D6F"/>
    <w:rsid w:val="00C80DE2"/>
    <w:rsid w:val="00C80DED"/>
    <w:rsid w:val="00C80DF5"/>
    <w:rsid w:val="00C80EA2"/>
    <w:rsid w:val="00C80EF2"/>
    <w:rsid w:val="00C80F2E"/>
    <w:rsid w:val="00C81003"/>
    <w:rsid w:val="00C81090"/>
    <w:rsid w:val="00C810A5"/>
    <w:rsid w:val="00C810EE"/>
    <w:rsid w:val="00C81121"/>
    <w:rsid w:val="00C81170"/>
    <w:rsid w:val="00C81173"/>
    <w:rsid w:val="00C8120D"/>
    <w:rsid w:val="00C81254"/>
    <w:rsid w:val="00C8126A"/>
    <w:rsid w:val="00C81305"/>
    <w:rsid w:val="00C8131A"/>
    <w:rsid w:val="00C8131B"/>
    <w:rsid w:val="00C81331"/>
    <w:rsid w:val="00C8136E"/>
    <w:rsid w:val="00C813C2"/>
    <w:rsid w:val="00C813EF"/>
    <w:rsid w:val="00C8149B"/>
    <w:rsid w:val="00C814A6"/>
    <w:rsid w:val="00C8156B"/>
    <w:rsid w:val="00C8158A"/>
    <w:rsid w:val="00C8168F"/>
    <w:rsid w:val="00C816E2"/>
    <w:rsid w:val="00C81768"/>
    <w:rsid w:val="00C81781"/>
    <w:rsid w:val="00C817B4"/>
    <w:rsid w:val="00C817B8"/>
    <w:rsid w:val="00C81826"/>
    <w:rsid w:val="00C8184F"/>
    <w:rsid w:val="00C81876"/>
    <w:rsid w:val="00C818B5"/>
    <w:rsid w:val="00C818BB"/>
    <w:rsid w:val="00C818F8"/>
    <w:rsid w:val="00C818FC"/>
    <w:rsid w:val="00C8190C"/>
    <w:rsid w:val="00C81939"/>
    <w:rsid w:val="00C8195D"/>
    <w:rsid w:val="00C8199B"/>
    <w:rsid w:val="00C819AF"/>
    <w:rsid w:val="00C819FA"/>
    <w:rsid w:val="00C81A05"/>
    <w:rsid w:val="00C81A35"/>
    <w:rsid w:val="00C81A5C"/>
    <w:rsid w:val="00C81A80"/>
    <w:rsid w:val="00C81AB0"/>
    <w:rsid w:val="00C81B39"/>
    <w:rsid w:val="00C81B40"/>
    <w:rsid w:val="00C81B48"/>
    <w:rsid w:val="00C81BAC"/>
    <w:rsid w:val="00C81C31"/>
    <w:rsid w:val="00C81C34"/>
    <w:rsid w:val="00C81C8D"/>
    <w:rsid w:val="00C81C99"/>
    <w:rsid w:val="00C81D2D"/>
    <w:rsid w:val="00C81D95"/>
    <w:rsid w:val="00C81E55"/>
    <w:rsid w:val="00C81EF0"/>
    <w:rsid w:val="00C81FF2"/>
    <w:rsid w:val="00C81FFD"/>
    <w:rsid w:val="00C82012"/>
    <w:rsid w:val="00C8206B"/>
    <w:rsid w:val="00C82119"/>
    <w:rsid w:val="00C82137"/>
    <w:rsid w:val="00C8217E"/>
    <w:rsid w:val="00C82208"/>
    <w:rsid w:val="00C82256"/>
    <w:rsid w:val="00C82268"/>
    <w:rsid w:val="00C822D9"/>
    <w:rsid w:val="00C822E5"/>
    <w:rsid w:val="00C8237F"/>
    <w:rsid w:val="00C823B1"/>
    <w:rsid w:val="00C8240C"/>
    <w:rsid w:val="00C8244A"/>
    <w:rsid w:val="00C824AE"/>
    <w:rsid w:val="00C825E3"/>
    <w:rsid w:val="00C82756"/>
    <w:rsid w:val="00C82759"/>
    <w:rsid w:val="00C82771"/>
    <w:rsid w:val="00C82798"/>
    <w:rsid w:val="00C827BA"/>
    <w:rsid w:val="00C827C3"/>
    <w:rsid w:val="00C82863"/>
    <w:rsid w:val="00C82938"/>
    <w:rsid w:val="00C82999"/>
    <w:rsid w:val="00C829F6"/>
    <w:rsid w:val="00C82A5C"/>
    <w:rsid w:val="00C82A7F"/>
    <w:rsid w:val="00C82AC4"/>
    <w:rsid w:val="00C82ADB"/>
    <w:rsid w:val="00C82AE9"/>
    <w:rsid w:val="00C82AF8"/>
    <w:rsid w:val="00C82B18"/>
    <w:rsid w:val="00C82B5C"/>
    <w:rsid w:val="00C82B60"/>
    <w:rsid w:val="00C82B88"/>
    <w:rsid w:val="00C82B8C"/>
    <w:rsid w:val="00C82BE7"/>
    <w:rsid w:val="00C82C5B"/>
    <w:rsid w:val="00C82CA8"/>
    <w:rsid w:val="00C82D02"/>
    <w:rsid w:val="00C82D32"/>
    <w:rsid w:val="00C82DB4"/>
    <w:rsid w:val="00C82DE5"/>
    <w:rsid w:val="00C82DEA"/>
    <w:rsid w:val="00C82E27"/>
    <w:rsid w:val="00C82E40"/>
    <w:rsid w:val="00C82F29"/>
    <w:rsid w:val="00C82F47"/>
    <w:rsid w:val="00C82FDE"/>
    <w:rsid w:val="00C83022"/>
    <w:rsid w:val="00C8302D"/>
    <w:rsid w:val="00C830BC"/>
    <w:rsid w:val="00C830F5"/>
    <w:rsid w:val="00C83136"/>
    <w:rsid w:val="00C83193"/>
    <w:rsid w:val="00C83198"/>
    <w:rsid w:val="00C831F9"/>
    <w:rsid w:val="00C8320B"/>
    <w:rsid w:val="00C83265"/>
    <w:rsid w:val="00C8326C"/>
    <w:rsid w:val="00C83277"/>
    <w:rsid w:val="00C832CB"/>
    <w:rsid w:val="00C832F8"/>
    <w:rsid w:val="00C83306"/>
    <w:rsid w:val="00C8331D"/>
    <w:rsid w:val="00C8335C"/>
    <w:rsid w:val="00C83388"/>
    <w:rsid w:val="00C83397"/>
    <w:rsid w:val="00C8339F"/>
    <w:rsid w:val="00C833BF"/>
    <w:rsid w:val="00C833E1"/>
    <w:rsid w:val="00C83458"/>
    <w:rsid w:val="00C834BD"/>
    <w:rsid w:val="00C83529"/>
    <w:rsid w:val="00C83622"/>
    <w:rsid w:val="00C836DD"/>
    <w:rsid w:val="00C83703"/>
    <w:rsid w:val="00C8371F"/>
    <w:rsid w:val="00C83728"/>
    <w:rsid w:val="00C837A0"/>
    <w:rsid w:val="00C837EE"/>
    <w:rsid w:val="00C83833"/>
    <w:rsid w:val="00C83846"/>
    <w:rsid w:val="00C8388C"/>
    <w:rsid w:val="00C838BB"/>
    <w:rsid w:val="00C838C3"/>
    <w:rsid w:val="00C838DA"/>
    <w:rsid w:val="00C838E9"/>
    <w:rsid w:val="00C83905"/>
    <w:rsid w:val="00C83999"/>
    <w:rsid w:val="00C83A12"/>
    <w:rsid w:val="00C83A1A"/>
    <w:rsid w:val="00C83A32"/>
    <w:rsid w:val="00C83A34"/>
    <w:rsid w:val="00C83A51"/>
    <w:rsid w:val="00C83A64"/>
    <w:rsid w:val="00C83C96"/>
    <w:rsid w:val="00C83D0B"/>
    <w:rsid w:val="00C83D6D"/>
    <w:rsid w:val="00C83D7D"/>
    <w:rsid w:val="00C83DD0"/>
    <w:rsid w:val="00C83E70"/>
    <w:rsid w:val="00C83EF8"/>
    <w:rsid w:val="00C83F51"/>
    <w:rsid w:val="00C83F59"/>
    <w:rsid w:val="00C83F91"/>
    <w:rsid w:val="00C83F9C"/>
    <w:rsid w:val="00C83F9F"/>
    <w:rsid w:val="00C83FC6"/>
    <w:rsid w:val="00C83FD4"/>
    <w:rsid w:val="00C83FE7"/>
    <w:rsid w:val="00C84000"/>
    <w:rsid w:val="00C8402E"/>
    <w:rsid w:val="00C84030"/>
    <w:rsid w:val="00C8408D"/>
    <w:rsid w:val="00C84103"/>
    <w:rsid w:val="00C841BF"/>
    <w:rsid w:val="00C841F1"/>
    <w:rsid w:val="00C84212"/>
    <w:rsid w:val="00C8428A"/>
    <w:rsid w:val="00C842BB"/>
    <w:rsid w:val="00C842E3"/>
    <w:rsid w:val="00C8438B"/>
    <w:rsid w:val="00C84391"/>
    <w:rsid w:val="00C84398"/>
    <w:rsid w:val="00C843E4"/>
    <w:rsid w:val="00C84460"/>
    <w:rsid w:val="00C844D6"/>
    <w:rsid w:val="00C84536"/>
    <w:rsid w:val="00C84537"/>
    <w:rsid w:val="00C8453F"/>
    <w:rsid w:val="00C8458A"/>
    <w:rsid w:val="00C845B8"/>
    <w:rsid w:val="00C845C4"/>
    <w:rsid w:val="00C845ED"/>
    <w:rsid w:val="00C845F3"/>
    <w:rsid w:val="00C84625"/>
    <w:rsid w:val="00C84654"/>
    <w:rsid w:val="00C846A9"/>
    <w:rsid w:val="00C846C0"/>
    <w:rsid w:val="00C846F4"/>
    <w:rsid w:val="00C846F8"/>
    <w:rsid w:val="00C84731"/>
    <w:rsid w:val="00C84736"/>
    <w:rsid w:val="00C847DD"/>
    <w:rsid w:val="00C848D1"/>
    <w:rsid w:val="00C848E3"/>
    <w:rsid w:val="00C84912"/>
    <w:rsid w:val="00C849C4"/>
    <w:rsid w:val="00C849CA"/>
    <w:rsid w:val="00C849E0"/>
    <w:rsid w:val="00C84AD4"/>
    <w:rsid w:val="00C84B06"/>
    <w:rsid w:val="00C84B17"/>
    <w:rsid w:val="00C84B2C"/>
    <w:rsid w:val="00C84B7E"/>
    <w:rsid w:val="00C84BBB"/>
    <w:rsid w:val="00C84BC1"/>
    <w:rsid w:val="00C84BF4"/>
    <w:rsid w:val="00C84C01"/>
    <w:rsid w:val="00C84CB3"/>
    <w:rsid w:val="00C84D2D"/>
    <w:rsid w:val="00C84D42"/>
    <w:rsid w:val="00C84D6A"/>
    <w:rsid w:val="00C84D83"/>
    <w:rsid w:val="00C84E2B"/>
    <w:rsid w:val="00C84E33"/>
    <w:rsid w:val="00C84E3A"/>
    <w:rsid w:val="00C84E57"/>
    <w:rsid w:val="00C84E9C"/>
    <w:rsid w:val="00C84EB7"/>
    <w:rsid w:val="00C84EE7"/>
    <w:rsid w:val="00C84F01"/>
    <w:rsid w:val="00C84F46"/>
    <w:rsid w:val="00C84F83"/>
    <w:rsid w:val="00C84FD2"/>
    <w:rsid w:val="00C85163"/>
    <w:rsid w:val="00C85164"/>
    <w:rsid w:val="00C85200"/>
    <w:rsid w:val="00C85206"/>
    <w:rsid w:val="00C8520E"/>
    <w:rsid w:val="00C85224"/>
    <w:rsid w:val="00C85286"/>
    <w:rsid w:val="00C852B4"/>
    <w:rsid w:val="00C8535D"/>
    <w:rsid w:val="00C8536D"/>
    <w:rsid w:val="00C8539C"/>
    <w:rsid w:val="00C85517"/>
    <w:rsid w:val="00C8554A"/>
    <w:rsid w:val="00C855B0"/>
    <w:rsid w:val="00C855D1"/>
    <w:rsid w:val="00C8567A"/>
    <w:rsid w:val="00C8567D"/>
    <w:rsid w:val="00C8573A"/>
    <w:rsid w:val="00C8574B"/>
    <w:rsid w:val="00C85787"/>
    <w:rsid w:val="00C857AD"/>
    <w:rsid w:val="00C8582A"/>
    <w:rsid w:val="00C8583D"/>
    <w:rsid w:val="00C858AE"/>
    <w:rsid w:val="00C858D4"/>
    <w:rsid w:val="00C858EC"/>
    <w:rsid w:val="00C858FC"/>
    <w:rsid w:val="00C85924"/>
    <w:rsid w:val="00C85987"/>
    <w:rsid w:val="00C85991"/>
    <w:rsid w:val="00C85A3C"/>
    <w:rsid w:val="00C85A45"/>
    <w:rsid w:val="00C85BC3"/>
    <w:rsid w:val="00C85BE6"/>
    <w:rsid w:val="00C85CBB"/>
    <w:rsid w:val="00C85DB0"/>
    <w:rsid w:val="00C85DCE"/>
    <w:rsid w:val="00C85DF8"/>
    <w:rsid w:val="00C85E07"/>
    <w:rsid w:val="00C85ED1"/>
    <w:rsid w:val="00C85F51"/>
    <w:rsid w:val="00C85F5E"/>
    <w:rsid w:val="00C8601C"/>
    <w:rsid w:val="00C86050"/>
    <w:rsid w:val="00C860E0"/>
    <w:rsid w:val="00C8610B"/>
    <w:rsid w:val="00C8619E"/>
    <w:rsid w:val="00C861B9"/>
    <w:rsid w:val="00C86235"/>
    <w:rsid w:val="00C86292"/>
    <w:rsid w:val="00C862D4"/>
    <w:rsid w:val="00C862FD"/>
    <w:rsid w:val="00C8631F"/>
    <w:rsid w:val="00C86362"/>
    <w:rsid w:val="00C86370"/>
    <w:rsid w:val="00C86378"/>
    <w:rsid w:val="00C8639E"/>
    <w:rsid w:val="00C863BA"/>
    <w:rsid w:val="00C8640D"/>
    <w:rsid w:val="00C8646A"/>
    <w:rsid w:val="00C864A9"/>
    <w:rsid w:val="00C865A8"/>
    <w:rsid w:val="00C865B3"/>
    <w:rsid w:val="00C865D5"/>
    <w:rsid w:val="00C865D9"/>
    <w:rsid w:val="00C8660C"/>
    <w:rsid w:val="00C86634"/>
    <w:rsid w:val="00C86672"/>
    <w:rsid w:val="00C8667D"/>
    <w:rsid w:val="00C86686"/>
    <w:rsid w:val="00C8671A"/>
    <w:rsid w:val="00C867B9"/>
    <w:rsid w:val="00C867DE"/>
    <w:rsid w:val="00C86826"/>
    <w:rsid w:val="00C8686D"/>
    <w:rsid w:val="00C86882"/>
    <w:rsid w:val="00C868E5"/>
    <w:rsid w:val="00C8693D"/>
    <w:rsid w:val="00C869C7"/>
    <w:rsid w:val="00C869D8"/>
    <w:rsid w:val="00C869D9"/>
    <w:rsid w:val="00C869F4"/>
    <w:rsid w:val="00C86A1D"/>
    <w:rsid w:val="00C86A2F"/>
    <w:rsid w:val="00C86A5C"/>
    <w:rsid w:val="00C86A67"/>
    <w:rsid w:val="00C86AF8"/>
    <w:rsid w:val="00C86B4F"/>
    <w:rsid w:val="00C86B59"/>
    <w:rsid w:val="00C86BA7"/>
    <w:rsid w:val="00C86BB5"/>
    <w:rsid w:val="00C86C0F"/>
    <w:rsid w:val="00C86C16"/>
    <w:rsid w:val="00C86C31"/>
    <w:rsid w:val="00C86CFA"/>
    <w:rsid w:val="00C86D11"/>
    <w:rsid w:val="00C86D30"/>
    <w:rsid w:val="00C86D33"/>
    <w:rsid w:val="00C86D37"/>
    <w:rsid w:val="00C86D82"/>
    <w:rsid w:val="00C86DBA"/>
    <w:rsid w:val="00C86E84"/>
    <w:rsid w:val="00C86EAA"/>
    <w:rsid w:val="00C86F22"/>
    <w:rsid w:val="00C86F64"/>
    <w:rsid w:val="00C86F7E"/>
    <w:rsid w:val="00C86FEE"/>
    <w:rsid w:val="00C8701B"/>
    <w:rsid w:val="00C87064"/>
    <w:rsid w:val="00C8708B"/>
    <w:rsid w:val="00C870A1"/>
    <w:rsid w:val="00C870BF"/>
    <w:rsid w:val="00C870C8"/>
    <w:rsid w:val="00C8715D"/>
    <w:rsid w:val="00C871A6"/>
    <w:rsid w:val="00C871CE"/>
    <w:rsid w:val="00C8721A"/>
    <w:rsid w:val="00C87223"/>
    <w:rsid w:val="00C87229"/>
    <w:rsid w:val="00C87265"/>
    <w:rsid w:val="00C872DC"/>
    <w:rsid w:val="00C87329"/>
    <w:rsid w:val="00C8733E"/>
    <w:rsid w:val="00C873E8"/>
    <w:rsid w:val="00C87420"/>
    <w:rsid w:val="00C87442"/>
    <w:rsid w:val="00C87498"/>
    <w:rsid w:val="00C874F1"/>
    <w:rsid w:val="00C8756A"/>
    <w:rsid w:val="00C87583"/>
    <w:rsid w:val="00C87585"/>
    <w:rsid w:val="00C875A3"/>
    <w:rsid w:val="00C875C1"/>
    <w:rsid w:val="00C875F8"/>
    <w:rsid w:val="00C8769D"/>
    <w:rsid w:val="00C8773F"/>
    <w:rsid w:val="00C87744"/>
    <w:rsid w:val="00C8775F"/>
    <w:rsid w:val="00C87773"/>
    <w:rsid w:val="00C877E3"/>
    <w:rsid w:val="00C877E4"/>
    <w:rsid w:val="00C87804"/>
    <w:rsid w:val="00C87823"/>
    <w:rsid w:val="00C87831"/>
    <w:rsid w:val="00C8791C"/>
    <w:rsid w:val="00C8791D"/>
    <w:rsid w:val="00C8793A"/>
    <w:rsid w:val="00C87A42"/>
    <w:rsid w:val="00C87A44"/>
    <w:rsid w:val="00C87AA1"/>
    <w:rsid w:val="00C87B29"/>
    <w:rsid w:val="00C87B96"/>
    <w:rsid w:val="00C87D02"/>
    <w:rsid w:val="00C87D32"/>
    <w:rsid w:val="00C87D5B"/>
    <w:rsid w:val="00C87D7D"/>
    <w:rsid w:val="00C87DC8"/>
    <w:rsid w:val="00C87E17"/>
    <w:rsid w:val="00C87E30"/>
    <w:rsid w:val="00C87ED9"/>
    <w:rsid w:val="00C87F1C"/>
    <w:rsid w:val="00C87F44"/>
    <w:rsid w:val="00C87F67"/>
    <w:rsid w:val="00C87FD4"/>
    <w:rsid w:val="00C87FFE"/>
    <w:rsid w:val="00C90056"/>
    <w:rsid w:val="00C90074"/>
    <w:rsid w:val="00C9007F"/>
    <w:rsid w:val="00C9008B"/>
    <w:rsid w:val="00C900B2"/>
    <w:rsid w:val="00C900EA"/>
    <w:rsid w:val="00C90129"/>
    <w:rsid w:val="00C90172"/>
    <w:rsid w:val="00C901BB"/>
    <w:rsid w:val="00C901C9"/>
    <w:rsid w:val="00C9024F"/>
    <w:rsid w:val="00C90250"/>
    <w:rsid w:val="00C9025A"/>
    <w:rsid w:val="00C9037F"/>
    <w:rsid w:val="00C903B9"/>
    <w:rsid w:val="00C903CF"/>
    <w:rsid w:val="00C903FE"/>
    <w:rsid w:val="00C90462"/>
    <w:rsid w:val="00C90464"/>
    <w:rsid w:val="00C9047B"/>
    <w:rsid w:val="00C90495"/>
    <w:rsid w:val="00C90498"/>
    <w:rsid w:val="00C90522"/>
    <w:rsid w:val="00C9059F"/>
    <w:rsid w:val="00C90612"/>
    <w:rsid w:val="00C90614"/>
    <w:rsid w:val="00C90623"/>
    <w:rsid w:val="00C90655"/>
    <w:rsid w:val="00C90691"/>
    <w:rsid w:val="00C906E7"/>
    <w:rsid w:val="00C9070E"/>
    <w:rsid w:val="00C90712"/>
    <w:rsid w:val="00C90720"/>
    <w:rsid w:val="00C90753"/>
    <w:rsid w:val="00C907F9"/>
    <w:rsid w:val="00C90825"/>
    <w:rsid w:val="00C9082B"/>
    <w:rsid w:val="00C9083B"/>
    <w:rsid w:val="00C9084C"/>
    <w:rsid w:val="00C908D8"/>
    <w:rsid w:val="00C9090C"/>
    <w:rsid w:val="00C90954"/>
    <w:rsid w:val="00C90978"/>
    <w:rsid w:val="00C9098D"/>
    <w:rsid w:val="00C90991"/>
    <w:rsid w:val="00C90995"/>
    <w:rsid w:val="00C90A1D"/>
    <w:rsid w:val="00C90A2F"/>
    <w:rsid w:val="00C90A40"/>
    <w:rsid w:val="00C90A6D"/>
    <w:rsid w:val="00C90B23"/>
    <w:rsid w:val="00C90B2D"/>
    <w:rsid w:val="00C90B3C"/>
    <w:rsid w:val="00C90B67"/>
    <w:rsid w:val="00C90B78"/>
    <w:rsid w:val="00C90B8D"/>
    <w:rsid w:val="00C90C15"/>
    <w:rsid w:val="00C90C35"/>
    <w:rsid w:val="00C90CA0"/>
    <w:rsid w:val="00C90CBA"/>
    <w:rsid w:val="00C90CD1"/>
    <w:rsid w:val="00C90CF4"/>
    <w:rsid w:val="00C90D49"/>
    <w:rsid w:val="00C90DDF"/>
    <w:rsid w:val="00C90E1A"/>
    <w:rsid w:val="00C90E82"/>
    <w:rsid w:val="00C90EA7"/>
    <w:rsid w:val="00C90ED6"/>
    <w:rsid w:val="00C90EF1"/>
    <w:rsid w:val="00C90EFF"/>
    <w:rsid w:val="00C90FC0"/>
    <w:rsid w:val="00C911E4"/>
    <w:rsid w:val="00C9120D"/>
    <w:rsid w:val="00C91238"/>
    <w:rsid w:val="00C91370"/>
    <w:rsid w:val="00C913AC"/>
    <w:rsid w:val="00C913C3"/>
    <w:rsid w:val="00C9141F"/>
    <w:rsid w:val="00C91433"/>
    <w:rsid w:val="00C91453"/>
    <w:rsid w:val="00C914DA"/>
    <w:rsid w:val="00C9151A"/>
    <w:rsid w:val="00C91538"/>
    <w:rsid w:val="00C91546"/>
    <w:rsid w:val="00C9157E"/>
    <w:rsid w:val="00C9159D"/>
    <w:rsid w:val="00C915CC"/>
    <w:rsid w:val="00C91618"/>
    <w:rsid w:val="00C9162A"/>
    <w:rsid w:val="00C916A1"/>
    <w:rsid w:val="00C916AF"/>
    <w:rsid w:val="00C916CB"/>
    <w:rsid w:val="00C91777"/>
    <w:rsid w:val="00C91807"/>
    <w:rsid w:val="00C9180D"/>
    <w:rsid w:val="00C91815"/>
    <w:rsid w:val="00C91868"/>
    <w:rsid w:val="00C918B6"/>
    <w:rsid w:val="00C918CB"/>
    <w:rsid w:val="00C91948"/>
    <w:rsid w:val="00C91A58"/>
    <w:rsid w:val="00C91A62"/>
    <w:rsid w:val="00C91A86"/>
    <w:rsid w:val="00C91AC2"/>
    <w:rsid w:val="00C91B0C"/>
    <w:rsid w:val="00C91B35"/>
    <w:rsid w:val="00C91B4E"/>
    <w:rsid w:val="00C91B7F"/>
    <w:rsid w:val="00C91BA6"/>
    <w:rsid w:val="00C91BB9"/>
    <w:rsid w:val="00C91C96"/>
    <w:rsid w:val="00C91CBB"/>
    <w:rsid w:val="00C91CCA"/>
    <w:rsid w:val="00C91D27"/>
    <w:rsid w:val="00C91D68"/>
    <w:rsid w:val="00C91D9B"/>
    <w:rsid w:val="00C91DAE"/>
    <w:rsid w:val="00C91DF5"/>
    <w:rsid w:val="00C91E4D"/>
    <w:rsid w:val="00C91E73"/>
    <w:rsid w:val="00C91E85"/>
    <w:rsid w:val="00C91EDA"/>
    <w:rsid w:val="00C91F97"/>
    <w:rsid w:val="00C9203F"/>
    <w:rsid w:val="00C920AF"/>
    <w:rsid w:val="00C92101"/>
    <w:rsid w:val="00C92197"/>
    <w:rsid w:val="00C921C3"/>
    <w:rsid w:val="00C921CE"/>
    <w:rsid w:val="00C9223F"/>
    <w:rsid w:val="00C92240"/>
    <w:rsid w:val="00C9228B"/>
    <w:rsid w:val="00C922A9"/>
    <w:rsid w:val="00C92347"/>
    <w:rsid w:val="00C9235D"/>
    <w:rsid w:val="00C92363"/>
    <w:rsid w:val="00C923B8"/>
    <w:rsid w:val="00C92435"/>
    <w:rsid w:val="00C92542"/>
    <w:rsid w:val="00C92576"/>
    <w:rsid w:val="00C925E5"/>
    <w:rsid w:val="00C9260C"/>
    <w:rsid w:val="00C9261A"/>
    <w:rsid w:val="00C9265B"/>
    <w:rsid w:val="00C926E9"/>
    <w:rsid w:val="00C92751"/>
    <w:rsid w:val="00C92762"/>
    <w:rsid w:val="00C927C3"/>
    <w:rsid w:val="00C92805"/>
    <w:rsid w:val="00C92830"/>
    <w:rsid w:val="00C928E1"/>
    <w:rsid w:val="00C92929"/>
    <w:rsid w:val="00C929AC"/>
    <w:rsid w:val="00C929B8"/>
    <w:rsid w:val="00C92A28"/>
    <w:rsid w:val="00C92B1D"/>
    <w:rsid w:val="00C92BB1"/>
    <w:rsid w:val="00C92BBE"/>
    <w:rsid w:val="00C92BD3"/>
    <w:rsid w:val="00C92BE2"/>
    <w:rsid w:val="00C92C1A"/>
    <w:rsid w:val="00C92C89"/>
    <w:rsid w:val="00C92CC8"/>
    <w:rsid w:val="00C92D53"/>
    <w:rsid w:val="00C92DCA"/>
    <w:rsid w:val="00C92E1F"/>
    <w:rsid w:val="00C92E33"/>
    <w:rsid w:val="00C92E46"/>
    <w:rsid w:val="00C92E60"/>
    <w:rsid w:val="00C92E61"/>
    <w:rsid w:val="00C92E90"/>
    <w:rsid w:val="00C92EC9"/>
    <w:rsid w:val="00C92ECB"/>
    <w:rsid w:val="00C92EE6"/>
    <w:rsid w:val="00C92F16"/>
    <w:rsid w:val="00C92F35"/>
    <w:rsid w:val="00C92F47"/>
    <w:rsid w:val="00C92F72"/>
    <w:rsid w:val="00C92F8E"/>
    <w:rsid w:val="00C92FAF"/>
    <w:rsid w:val="00C92FD4"/>
    <w:rsid w:val="00C93013"/>
    <w:rsid w:val="00C93015"/>
    <w:rsid w:val="00C93018"/>
    <w:rsid w:val="00C93019"/>
    <w:rsid w:val="00C9302D"/>
    <w:rsid w:val="00C9317D"/>
    <w:rsid w:val="00C931F9"/>
    <w:rsid w:val="00C932AB"/>
    <w:rsid w:val="00C932DA"/>
    <w:rsid w:val="00C9330F"/>
    <w:rsid w:val="00C93319"/>
    <w:rsid w:val="00C9331E"/>
    <w:rsid w:val="00C93369"/>
    <w:rsid w:val="00C933EB"/>
    <w:rsid w:val="00C9342C"/>
    <w:rsid w:val="00C93490"/>
    <w:rsid w:val="00C9349A"/>
    <w:rsid w:val="00C934AB"/>
    <w:rsid w:val="00C934FA"/>
    <w:rsid w:val="00C93570"/>
    <w:rsid w:val="00C935A5"/>
    <w:rsid w:val="00C935E2"/>
    <w:rsid w:val="00C935F6"/>
    <w:rsid w:val="00C935FE"/>
    <w:rsid w:val="00C935FF"/>
    <w:rsid w:val="00C9367B"/>
    <w:rsid w:val="00C936C1"/>
    <w:rsid w:val="00C936CA"/>
    <w:rsid w:val="00C93713"/>
    <w:rsid w:val="00C9372F"/>
    <w:rsid w:val="00C93731"/>
    <w:rsid w:val="00C9378A"/>
    <w:rsid w:val="00C937CC"/>
    <w:rsid w:val="00C937D1"/>
    <w:rsid w:val="00C93896"/>
    <w:rsid w:val="00C938F0"/>
    <w:rsid w:val="00C9390F"/>
    <w:rsid w:val="00C93913"/>
    <w:rsid w:val="00C9394F"/>
    <w:rsid w:val="00C93988"/>
    <w:rsid w:val="00C93A01"/>
    <w:rsid w:val="00C93A56"/>
    <w:rsid w:val="00C93AAB"/>
    <w:rsid w:val="00C93ABB"/>
    <w:rsid w:val="00C93AD0"/>
    <w:rsid w:val="00C93AFC"/>
    <w:rsid w:val="00C93B02"/>
    <w:rsid w:val="00C93B0B"/>
    <w:rsid w:val="00C93B4F"/>
    <w:rsid w:val="00C93B72"/>
    <w:rsid w:val="00C93BD2"/>
    <w:rsid w:val="00C93C21"/>
    <w:rsid w:val="00C93CB5"/>
    <w:rsid w:val="00C93CC7"/>
    <w:rsid w:val="00C93D72"/>
    <w:rsid w:val="00C93D75"/>
    <w:rsid w:val="00C93D7B"/>
    <w:rsid w:val="00C93D8C"/>
    <w:rsid w:val="00C93D99"/>
    <w:rsid w:val="00C93DDC"/>
    <w:rsid w:val="00C93DE3"/>
    <w:rsid w:val="00C93E0A"/>
    <w:rsid w:val="00C93E10"/>
    <w:rsid w:val="00C93E21"/>
    <w:rsid w:val="00C93E97"/>
    <w:rsid w:val="00C93EA9"/>
    <w:rsid w:val="00C93EAF"/>
    <w:rsid w:val="00C93F18"/>
    <w:rsid w:val="00C93F37"/>
    <w:rsid w:val="00C93F45"/>
    <w:rsid w:val="00C93FA1"/>
    <w:rsid w:val="00C93FF4"/>
    <w:rsid w:val="00C94012"/>
    <w:rsid w:val="00C9403E"/>
    <w:rsid w:val="00C94054"/>
    <w:rsid w:val="00C94075"/>
    <w:rsid w:val="00C940DD"/>
    <w:rsid w:val="00C940DF"/>
    <w:rsid w:val="00C94120"/>
    <w:rsid w:val="00C94128"/>
    <w:rsid w:val="00C94164"/>
    <w:rsid w:val="00C94190"/>
    <w:rsid w:val="00C941CF"/>
    <w:rsid w:val="00C942B4"/>
    <w:rsid w:val="00C942D7"/>
    <w:rsid w:val="00C94375"/>
    <w:rsid w:val="00C9437F"/>
    <w:rsid w:val="00C94386"/>
    <w:rsid w:val="00C943E8"/>
    <w:rsid w:val="00C94409"/>
    <w:rsid w:val="00C94462"/>
    <w:rsid w:val="00C944B3"/>
    <w:rsid w:val="00C94511"/>
    <w:rsid w:val="00C94596"/>
    <w:rsid w:val="00C945AC"/>
    <w:rsid w:val="00C945CE"/>
    <w:rsid w:val="00C945EE"/>
    <w:rsid w:val="00C94620"/>
    <w:rsid w:val="00C9463C"/>
    <w:rsid w:val="00C9464E"/>
    <w:rsid w:val="00C94660"/>
    <w:rsid w:val="00C946E9"/>
    <w:rsid w:val="00C946FF"/>
    <w:rsid w:val="00C947BB"/>
    <w:rsid w:val="00C947D0"/>
    <w:rsid w:val="00C94860"/>
    <w:rsid w:val="00C94865"/>
    <w:rsid w:val="00C948B3"/>
    <w:rsid w:val="00C948F3"/>
    <w:rsid w:val="00C9491D"/>
    <w:rsid w:val="00C9492F"/>
    <w:rsid w:val="00C949A4"/>
    <w:rsid w:val="00C949DA"/>
    <w:rsid w:val="00C94A01"/>
    <w:rsid w:val="00C94A0F"/>
    <w:rsid w:val="00C94A29"/>
    <w:rsid w:val="00C94A36"/>
    <w:rsid w:val="00C94A3F"/>
    <w:rsid w:val="00C94A44"/>
    <w:rsid w:val="00C94A5C"/>
    <w:rsid w:val="00C94A76"/>
    <w:rsid w:val="00C94A92"/>
    <w:rsid w:val="00C94AB1"/>
    <w:rsid w:val="00C94AC8"/>
    <w:rsid w:val="00C94AD7"/>
    <w:rsid w:val="00C94B1B"/>
    <w:rsid w:val="00C94B2D"/>
    <w:rsid w:val="00C94B7C"/>
    <w:rsid w:val="00C94B85"/>
    <w:rsid w:val="00C94B86"/>
    <w:rsid w:val="00C94BFE"/>
    <w:rsid w:val="00C94C3A"/>
    <w:rsid w:val="00C94C9A"/>
    <w:rsid w:val="00C94CB2"/>
    <w:rsid w:val="00C94D7C"/>
    <w:rsid w:val="00C94D98"/>
    <w:rsid w:val="00C94E08"/>
    <w:rsid w:val="00C94E8D"/>
    <w:rsid w:val="00C94ED2"/>
    <w:rsid w:val="00C94EF7"/>
    <w:rsid w:val="00C94FCD"/>
    <w:rsid w:val="00C94FEC"/>
    <w:rsid w:val="00C95048"/>
    <w:rsid w:val="00C95085"/>
    <w:rsid w:val="00C950D8"/>
    <w:rsid w:val="00C95135"/>
    <w:rsid w:val="00C951A7"/>
    <w:rsid w:val="00C951EC"/>
    <w:rsid w:val="00C951ED"/>
    <w:rsid w:val="00C951FD"/>
    <w:rsid w:val="00C952FE"/>
    <w:rsid w:val="00C95341"/>
    <w:rsid w:val="00C953F6"/>
    <w:rsid w:val="00C9548B"/>
    <w:rsid w:val="00C95493"/>
    <w:rsid w:val="00C95497"/>
    <w:rsid w:val="00C954AF"/>
    <w:rsid w:val="00C955A8"/>
    <w:rsid w:val="00C955AA"/>
    <w:rsid w:val="00C95646"/>
    <w:rsid w:val="00C9568B"/>
    <w:rsid w:val="00C956EA"/>
    <w:rsid w:val="00C9570B"/>
    <w:rsid w:val="00C95757"/>
    <w:rsid w:val="00C95759"/>
    <w:rsid w:val="00C9577B"/>
    <w:rsid w:val="00C9582F"/>
    <w:rsid w:val="00C95838"/>
    <w:rsid w:val="00C9586A"/>
    <w:rsid w:val="00C9587C"/>
    <w:rsid w:val="00C9588D"/>
    <w:rsid w:val="00C958F9"/>
    <w:rsid w:val="00C95924"/>
    <w:rsid w:val="00C9593B"/>
    <w:rsid w:val="00C95997"/>
    <w:rsid w:val="00C959A0"/>
    <w:rsid w:val="00C959AF"/>
    <w:rsid w:val="00C959FB"/>
    <w:rsid w:val="00C95A23"/>
    <w:rsid w:val="00C95A57"/>
    <w:rsid w:val="00C95A5F"/>
    <w:rsid w:val="00C95A66"/>
    <w:rsid w:val="00C95A98"/>
    <w:rsid w:val="00C95A9A"/>
    <w:rsid w:val="00C95AEC"/>
    <w:rsid w:val="00C95B5D"/>
    <w:rsid w:val="00C95BA3"/>
    <w:rsid w:val="00C95BBC"/>
    <w:rsid w:val="00C95C52"/>
    <w:rsid w:val="00C95C62"/>
    <w:rsid w:val="00C95C80"/>
    <w:rsid w:val="00C95C91"/>
    <w:rsid w:val="00C95C9E"/>
    <w:rsid w:val="00C95CAB"/>
    <w:rsid w:val="00C95CF9"/>
    <w:rsid w:val="00C95D66"/>
    <w:rsid w:val="00C95E4E"/>
    <w:rsid w:val="00C95E65"/>
    <w:rsid w:val="00C95E83"/>
    <w:rsid w:val="00C95EEC"/>
    <w:rsid w:val="00C95F37"/>
    <w:rsid w:val="00C96029"/>
    <w:rsid w:val="00C9604F"/>
    <w:rsid w:val="00C96082"/>
    <w:rsid w:val="00C96084"/>
    <w:rsid w:val="00C960F3"/>
    <w:rsid w:val="00C961E1"/>
    <w:rsid w:val="00C96226"/>
    <w:rsid w:val="00C9624E"/>
    <w:rsid w:val="00C96252"/>
    <w:rsid w:val="00C96261"/>
    <w:rsid w:val="00C96270"/>
    <w:rsid w:val="00C962E1"/>
    <w:rsid w:val="00C9631C"/>
    <w:rsid w:val="00C96329"/>
    <w:rsid w:val="00C96341"/>
    <w:rsid w:val="00C963FA"/>
    <w:rsid w:val="00C964AF"/>
    <w:rsid w:val="00C964CC"/>
    <w:rsid w:val="00C964D1"/>
    <w:rsid w:val="00C96522"/>
    <w:rsid w:val="00C96559"/>
    <w:rsid w:val="00C965FC"/>
    <w:rsid w:val="00C96627"/>
    <w:rsid w:val="00C96636"/>
    <w:rsid w:val="00C966A8"/>
    <w:rsid w:val="00C966AE"/>
    <w:rsid w:val="00C966DD"/>
    <w:rsid w:val="00C96750"/>
    <w:rsid w:val="00C96752"/>
    <w:rsid w:val="00C967C9"/>
    <w:rsid w:val="00C967F6"/>
    <w:rsid w:val="00C96826"/>
    <w:rsid w:val="00C96827"/>
    <w:rsid w:val="00C968C1"/>
    <w:rsid w:val="00C96971"/>
    <w:rsid w:val="00C96975"/>
    <w:rsid w:val="00C9698D"/>
    <w:rsid w:val="00C969BC"/>
    <w:rsid w:val="00C96AC9"/>
    <w:rsid w:val="00C96ADF"/>
    <w:rsid w:val="00C96AF6"/>
    <w:rsid w:val="00C96B4C"/>
    <w:rsid w:val="00C96B67"/>
    <w:rsid w:val="00C96BA8"/>
    <w:rsid w:val="00C96BCA"/>
    <w:rsid w:val="00C96C41"/>
    <w:rsid w:val="00C96C8E"/>
    <w:rsid w:val="00C96C90"/>
    <w:rsid w:val="00C96CCC"/>
    <w:rsid w:val="00C96CCD"/>
    <w:rsid w:val="00C96D00"/>
    <w:rsid w:val="00C96D18"/>
    <w:rsid w:val="00C96D85"/>
    <w:rsid w:val="00C96DD0"/>
    <w:rsid w:val="00C96E05"/>
    <w:rsid w:val="00C96E56"/>
    <w:rsid w:val="00C96ECD"/>
    <w:rsid w:val="00C96EE5"/>
    <w:rsid w:val="00C96EF2"/>
    <w:rsid w:val="00C96EFD"/>
    <w:rsid w:val="00C96EFF"/>
    <w:rsid w:val="00C96F14"/>
    <w:rsid w:val="00C96F26"/>
    <w:rsid w:val="00C96FAD"/>
    <w:rsid w:val="00C96FAE"/>
    <w:rsid w:val="00C9701E"/>
    <w:rsid w:val="00C9703E"/>
    <w:rsid w:val="00C9713D"/>
    <w:rsid w:val="00C97196"/>
    <w:rsid w:val="00C971DF"/>
    <w:rsid w:val="00C97269"/>
    <w:rsid w:val="00C972AC"/>
    <w:rsid w:val="00C972AF"/>
    <w:rsid w:val="00C972CE"/>
    <w:rsid w:val="00C9730C"/>
    <w:rsid w:val="00C9733F"/>
    <w:rsid w:val="00C973BA"/>
    <w:rsid w:val="00C9745F"/>
    <w:rsid w:val="00C9746A"/>
    <w:rsid w:val="00C97479"/>
    <w:rsid w:val="00C974FB"/>
    <w:rsid w:val="00C97543"/>
    <w:rsid w:val="00C97577"/>
    <w:rsid w:val="00C9757B"/>
    <w:rsid w:val="00C97593"/>
    <w:rsid w:val="00C9759B"/>
    <w:rsid w:val="00C9760A"/>
    <w:rsid w:val="00C97615"/>
    <w:rsid w:val="00C9764D"/>
    <w:rsid w:val="00C976A1"/>
    <w:rsid w:val="00C976E0"/>
    <w:rsid w:val="00C9771D"/>
    <w:rsid w:val="00C97739"/>
    <w:rsid w:val="00C977DC"/>
    <w:rsid w:val="00C977E3"/>
    <w:rsid w:val="00C97822"/>
    <w:rsid w:val="00C97878"/>
    <w:rsid w:val="00C978B3"/>
    <w:rsid w:val="00C978D4"/>
    <w:rsid w:val="00C978D7"/>
    <w:rsid w:val="00C978DE"/>
    <w:rsid w:val="00C9794F"/>
    <w:rsid w:val="00C9799D"/>
    <w:rsid w:val="00C979C1"/>
    <w:rsid w:val="00C97A16"/>
    <w:rsid w:val="00C97AAD"/>
    <w:rsid w:val="00C97AD7"/>
    <w:rsid w:val="00C97B16"/>
    <w:rsid w:val="00C97B3C"/>
    <w:rsid w:val="00C97B6D"/>
    <w:rsid w:val="00C97B9F"/>
    <w:rsid w:val="00C97BE2"/>
    <w:rsid w:val="00C97C1D"/>
    <w:rsid w:val="00C97C55"/>
    <w:rsid w:val="00C97C59"/>
    <w:rsid w:val="00C97C6B"/>
    <w:rsid w:val="00C97CAD"/>
    <w:rsid w:val="00C97CB1"/>
    <w:rsid w:val="00C97D5C"/>
    <w:rsid w:val="00C97D71"/>
    <w:rsid w:val="00C97ECA"/>
    <w:rsid w:val="00C97F1F"/>
    <w:rsid w:val="00C97F3D"/>
    <w:rsid w:val="00C97F55"/>
    <w:rsid w:val="00CA0012"/>
    <w:rsid w:val="00CA0038"/>
    <w:rsid w:val="00CA0049"/>
    <w:rsid w:val="00CA007E"/>
    <w:rsid w:val="00CA008C"/>
    <w:rsid w:val="00CA00BD"/>
    <w:rsid w:val="00CA00DC"/>
    <w:rsid w:val="00CA00DE"/>
    <w:rsid w:val="00CA0123"/>
    <w:rsid w:val="00CA0197"/>
    <w:rsid w:val="00CA01EC"/>
    <w:rsid w:val="00CA0212"/>
    <w:rsid w:val="00CA0245"/>
    <w:rsid w:val="00CA0248"/>
    <w:rsid w:val="00CA0249"/>
    <w:rsid w:val="00CA02F2"/>
    <w:rsid w:val="00CA0322"/>
    <w:rsid w:val="00CA0323"/>
    <w:rsid w:val="00CA03C7"/>
    <w:rsid w:val="00CA041B"/>
    <w:rsid w:val="00CA046F"/>
    <w:rsid w:val="00CA0492"/>
    <w:rsid w:val="00CA0495"/>
    <w:rsid w:val="00CA04A5"/>
    <w:rsid w:val="00CA04A6"/>
    <w:rsid w:val="00CA0586"/>
    <w:rsid w:val="00CA05BC"/>
    <w:rsid w:val="00CA05D6"/>
    <w:rsid w:val="00CA0666"/>
    <w:rsid w:val="00CA0691"/>
    <w:rsid w:val="00CA070D"/>
    <w:rsid w:val="00CA0714"/>
    <w:rsid w:val="00CA074B"/>
    <w:rsid w:val="00CA0765"/>
    <w:rsid w:val="00CA07B5"/>
    <w:rsid w:val="00CA07D4"/>
    <w:rsid w:val="00CA07EB"/>
    <w:rsid w:val="00CA087F"/>
    <w:rsid w:val="00CA08D5"/>
    <w:rsid w:val="00CA08E0"/>
    <w:rsid w:val="00CA090C"/>
    <w:rsid w:val="00CA0944"/>
    <w:rsid w:val="00CA09A8"/>
    <w:rsid w:val="00CA09C6"/>
    <w:rsid w:val="00CA0A8E"/>
    <w:rsid w:val="00CA0A97"/>
    <w:rsid w:val="00CA0AB9"/>
    <w:rsid w:val="00CA0B18"/>
    <w:rsid w:val="00CA0BB7"/>
    <w:rsid w:val="00CA0BF6"/>
    <w:rsid w:val="00CA0CDD"/>
    <w:rsid w:val="00CA0D3B"/>
    <w:rsid w:val="00CA0D65"/>
    <w:rsid w:val="00CA0DFD"/>
    <w:rsid w:val="00CA0E59"/>
    <w:rsid w:val="00CA0EC8"/>
    <w:rsid w:val="00CA0ECE"/>
    <w:rsid w:val="00CA0EF8"/>
    <w:rsid w:val="00CA0F32"/>
    <w:rsid w:val="00CA0FCC"/>
    <w:rsid w:val="00CA0FF9"/>
    <w:rsid w:val="00CA1021"/>
    <w:rsid w:val="00CA105D"/>
    <w:rsid w:val="00CA1150"/>
    <w:rsid w:val="00CA116F"/>
    <w:rsid w:val="00CA11A3"/>
    <w:rsid w:val="00CA11F3"/>
    <w:rsid w:val="00CA1269"/>
    <w:rsid w:val="00CA1274"/>
    <w:rsid w:val="00CA131B"/>
    <w:rsid w:val="00CA1320"/>
    <w:rsid w:val="00CA1339"/>
    <w:rsid w:val="00CA133C"/>
    <w:rsid w:val="00CA1356"/>
    <w:rsid w:val="00CA13B4"/>
    <w:rsid w:val="00CA13BC"/>
    <w:rsid w:val="00CA13CC"/>
    <w:rsid w:val="00CA13D4"/>
    <w:rsid w:val="00CA1430"/>
    <w:rsid w:val="00CA1477"/>
    <w:rsid w:val="00CA149C"/>
    <w:rsid w:val="00CA14B1"/>
    <w:rsid w:val="00CA14F0"/>
    <w:rsid w:val="00CA1523"/>
    <w:rsid w:val="00CA1533"/>
    <w:rsid w:val="00CA1534"/>
    <w:rsid w:val="00CA15DD"/>
    <w:rsid w:val="00CA1651"/>
    <w:rsid w:val="00CA167C"/>
    <w:rsid w:val="00CA16DE"/>
    <w:rsid w:val="00CA16E1"/>
    <w:rsid w:val="00CA1712"/>
    <w:rsid w:val="00CA17DF"/>
    <w:rsid w:val="00CA1801"/>
    <w:rsid w:val="00CA180F"/>
    <w:rsid w:val="00CA1877"/>
    <w:rsid w:val="00CA1955"/>
    <w:rsid w:val="00CA1974"/>
    <w:rsid w:val="00CA1982"/>
    <w:rsid w:val="00CA19F4"/>
    <w:rsid w:val="00CA1A3F"/>
    <w:rsid w:val="00CA1A61"/>
    <w:rsid w:val="00CA1A68"/>
    <w:rsid w:val="00CA1A72"/>
    <w:rsid w:val="00CA1A8B"/>
    <w:rsid w:val="00CA1A91"/>
    <w:rsid w:val="00CA1A96"/>
    <w:rsid w:val="00CA1AFF"/>
    <w:rsid w:val="00CA1B27"/>
    <w:rsid w:val="00CA1B2A"/>
    <w:rsid w:val="00CA1B6F"/>
    <w:rsid w:val="00CA1BBF"/>
    <w:rsid w:val="00CA1C09"/>
    <w:rsid w:val="00CA1C26"/>
    <w:rsid w:val="00CA1C53"/>
    <w:rsid w:val="00CA1C5F"/>
    <w:rsid w:val="00CA1CA5"/>
    <w:rsid w:val="00CA1CB8"/>
    <w:rsid w:val="00CA1CCA"/>
    <w:rsid w:val="00CA1CFF"/>
    <w:rsid w:val="00CA1D30"/>
    <w:rsid w:val="00CA1E21"/>
    <w:rsid w:val="00CA1E24"/>
    <w:rsid w:val="00CA1E97"/>
    <w:rsid w:val="00CA1EA7"/>
    <w:rsid w:val="00CA206D"/>
    <w:rsid w:val="00CA2132"/>
    <w:rsid w:val="00CA21AD"/>
    <w:rsid w:val="00CA21EF"/>
    <w:rsid w:val="00CA2247"/>
    <w:rsid w:val="00CA2249"/>
    <w:rsid w:val="00CA225D"/>
    <w:rsid w:val="00CA2275"/>
    <w:rsid w:val="00CA22A2"/>
    <w:rsid w:val="00CA2315"/>
    <w:rsid w:val="00CA2372"/>
    <w:rsid w:val="00CA23A2"/>
    <w:rsid w:val="00CA23EC"/>
    <w:rsid w:val="00CA2421"/>
    <w:rsid w:val="00CA245D"/>
    <w:rsid w:val="00CA249C"/>
    <w:rsid w:val="00CA2523"/>
    <w:rsid w:val="00CA2526"/>
    <w:rsid w:val="00CA25C5"/>
    <w:rsid w:val="00CA2603"/>
    <w:rsid w:val="00CA2610"/>
    <w:rsid w:val="00CA261D"/>
    <w:rsid w:val="00CA2640"/>
    <w:rsid w:val="00CA267F"/>
    <w:rsid w:val="00CA26D1"/>
    <w:rsid w:val="00CA270F"/>
    <w:rsid w:val="00CA277B"/>
    <w:rsid w:val="00CA2786"/>
    <w:rsid w:val="00CA27EB"/>
    <w:rsid w:val="00CA285E"/>
    <w:rsid w:val="00CA286B"/>
    <w:rsid w:val="00CA28F9"/>
    <w:rsid w:val="00CA2920"/>
    <w:rsid w:val="00CA293B"/>
    <w:rsid w:val="00CA2941"/>
    <w:rsid w:val="00CA2957"/>
    <w:rsid w:val="00CA297E"/>
    <w:rsid w:val="00CA29BD"/>
    <w:rsid w:val="00CA29C1"/>
    <w:rsid w:val="00CA29C6"/>
    <w:rsid w:val="00CA29D5"/>
    <w:rsid w:val="00CA2A07"/>
    <w:rsid w:val="00CA2A56"/>
    <w:rsid w:val="00CA2A6B"/>
    <w:rsid w:val="00CA2AD2"/>
    <w:rsid w:val="00CA2AE2"/>
    <w:rsid w:val="00CA2AFF"/>
    <w:rsid w:val="00CA2B50"/>
    <w:rsid w:val="00CA2B5B"/>
    <w:rsid w:val="00CA2B79"/>
    <w:rsid w:val="00CA2CBA"/>
    <w:rsid w:val="00CA2CD1"/>
    <w:rsid w:val="00CA2D3C"/>
    <w:rsid w:val="00CA2DDA"/>
    <w:rsid w:val="00CA2E2B"/>
    <w:rsid w:val="00CA2E87"/>
    <w:rsid w:val="00CA2EAF"/>
    <w:rsid w:val="00CA2F56"/>
    <w:rsid w:val="00CA2F9D"/>
    <w:rsid w:val="00CA2FD7"/>
    <w:rsid w:val="00CA2FE9"/>
    <w:rsid w:val="00CA30DA"/>
    <w:rsid w:val="00CA310B"/>
    <w:rsid w:val="00CA317F"/>
    <w:rsid w:val="00CA31E9"/>
    <w:rsid w:val="00CA3202"/>
    <w:rsid w:val="00CA3203"/>
    <w:rsid w:val="00CA3284"/>
    <w:rsid w:val="00CA32DA"/>
    <w:rsid w:val="00CA330D"/>
    <w:rsid w:val="00CA3312"/>
    <w:rsid w:val="00CA33B1"/>
    <w:rsid w:val="00CA33B5"/>
    <w:rsid w:val="00CA340B"/>
    <w:rsid w:val="00CA3412"/>
    <w:rsid w:val="00CA347F"/>
    <w:rsid w:val="00CA3496"/>
    <w:rsid w:val="00CA34B2"/>
    <w:rsid w:val="00CA3545"/>
    <w:rsid w:val="00CA3555"/>
    <w:rsid w:val="00CA36B7"/>
    <w:rsid w:val="00CA36D6"/>
    <w:rsid w:val="00CA37D6"/>
    <w:rsid w:val="00CA384E"/>
    <w:rsid w:val="00CA3863"/>
    <w:rsid w:val="00CA3867"/>
    <w:rsid w:val="00CA3893"/>
    <w:rsid w:val="00CA38DC"/>
    <w:rsid w:val="00CA3936"/>
    <w:rsid w:val="00CA397A"/>
    <w:rsid w:val="00CA3A90"/>
    <w:rsid w:val="00CA3B28"/>
    <w:rsid w:val="00CA3B37"/>
    <w:rsid w:val="00CA3B4A"/>
    <w:rsid w:val="00CA3B6A"/>
    <w:rsid w:val="00CA3B9D"/>
    <w:rsid w:val="00CA3BA0"/>
    <w:rsid w:val="00CA3BF5"/>
    <w:rsid w:val="00CA3C1E"/>
    <w:rsid w:val="00CA3C58"/>
    <w:rsid w:val="00CA3C5D"/>
    <w:rsid w:val="00CA3C6C"/>
    <w:rsid w:val="00CA3C78"/>
    <w:rsid w:val="00CA3CFB"/>
    <w:rsid w:val="00CA3D3B"/>
    <w:rsid w:val="00CA3D60"/>
    <w:rsid w:val="00CA3DBF"/>
    <w:rsid w:val="00CA3E13"/>
    <w:rsid w:val="00CA3E25"/>
    <w:rsid w:val="00CA3E2B"/>
    <w:rsid w:val="00CA3E46"/>
    <w:rsid w:val="00CA3E8A"/>
    <w:rsid w:val="00CA3EF4"/>
    <w:rsid w:val="00CA3F40"/>
    <w:rsid w:val="00CA3FD5"/>
    <w:rsid w:val="00CA4050"/>
    <w:rsid w:val="00CA4064"/>
    <w:rsid w:val="00CA407A"/>
    <w:rsid w:val="00CA407B"/>
    <w:rsid w:val="00CA40C7"/>
    <w:rsid w:val="00CA410A"/>
    <w:rsid w:val="00CA41D8"/>
    <w:rsid w:val="00CA4206"/>
    <w:rsid w:val="00CA4215"/>
    <w:rsid w:val="00CA42D3"/>
    <w:rsid w:val="00CA42EA"/>
    <w:rsid w:val="00CA42F6"/>
    <w:rsid w:val="00CA4302"/>
    <w:rsid w:val="00CA4377"/>
    <w:rsid w:val="00CA43A2"/>
    <w:rsid w:val="00CA440B"/>
    <w:rsid w:val="00CA44BE"/>
    <w:rsid w:val="00CA44E2"/>
    <w:rsid w:val="00CA44EE"/>
    <w:rsid w:val="00CA44F2"/>
    <w:rsid w:val="00CA44FF"/>
    <w:rsid w:val="00CA4535"/>
    <w:rsid w:val="00CA453A"/>
    <w:rsid w:val="00CA453E"/>
    <w:rsid w:val="00CA4544"/>
    <w:rsid w:val="00CA4548"/>
    <w:rsid w:val="00CA4592"/>
    <w:rsid w:val="00CA45A9"/>
    <w:rsid w:val="00CA4612"/>
    <w:rsid w:val="00CA4613"/>
    <w:rsid w:val="00CA462D"/>
    <w:rsid w:val="00CA4658"/>
    <w:rsid w:val="00CA46C0"/>
    <w:rsid w:val="00CA4762"/>
    <w:rsid w:val="00CA47CC"/>
    <w:rsid w:val="00CA4832"/>
    <w:rsid w:val="00CA4840"/>
    <w:rsid w:val="00CA486F"/>
    <w:rsid w:val="00CA48D8"/>
    <w:rsid w:val="00CA48E6"/>
    <w:rsid w:val="00CA48F9"/>
    <w:rsid w:val="00CA49C9"/>
    <w:rsid w:val="00CA4A35"/>
    <w:rsid w:val="00CA4AA3"/>
    <w:rsid w:val="00CA4B04"/>
    <w:rsid w:val="00CA4B16"/>
    <w:rsid w:val="00CA4B7C"/>
    <w:rsid w:val="00CA4B83"/>
    <w:rsid w:val="00CA4B92"/>
    <w:rsid w:val="00CA4BFA"/>
    <w:rsid w:val="00CA4CB1"/>
    <w:rsid w:val="00CA4CD0"/>
    <w:rsid w:val="00CA4CD6"/>
    <w:rsid w:val="00CA4CDF"/>
    <w:rsid w:val="00CA4CE0"/>
    <w:rsid w:val="00CA4CF4"/>
    <w:rsid w:val="00CA4D3B"/>
    <w:rsid w:val="00CA4D5E"/>
    <w:rsid w:val="00CA4D8B"/>
    <w:rsid w:val="00CA4E0A"/>
    <w:rsid w:val="00CA4E22"/>
    <w:rsid w:val="00CA4E25"/>
    <w:rsid w:val="00CA4E6D"/>
    <w:rsid w:val="00CA4E74"/>
    <w:rsid w:val="00CA4EBF"/>
    <w:rsid w:val="00CA4F09"/>
    <w:rsid w:val="00CA4F15"/>
    <w:rsid w:val="00CA4FD9"/>
    <w:rsid w:val="00CA5042"/>
    <w:rsid w:val="00CA5049"/>
    <w:rsid w:val="00CA50A0"/>
    <w:rsid w:val="00CA50A7"/>
    <w:rsid w:val="00CA50AA"/>
    <w:rsid w:val="00CA50B2"/>
    <w:rsid w:val="00CA50B8"/>
    <w:rsid w:val="00CA50D9"/>
    <w:rsid w:val="00CA50EB"/>
    <w:rsid w:val="00CA50FB"/>
    <w:rsid w:val="00CA517F"/>
    <w:rsid w:val="00CA51A9"/>
    <w:rsid w:val="00CA51C0"/>
    <w:rsid w:val="00CA51CC"/>
    <w:rsid w:val="00CA525B"/>
    <w:rsid w:val="00CA5267"/>
    <w:rsid w:val="00CA5315"/>
    <w:rsid w:val="00CA535F"/>
    <w:rsid w:val="00CA5473"/>
    <w:rsid w:val="00CA54CF"/>
    <w:rsid w:val="00CA5563"/>
    <w:rsid w:val="00CA5611"/>
    <w:rsid w:val="00CA5613"/>
    <w:rsid w:val="00CA563C"/>
    <w:rsid w:val="00CA5642"/>
    <w:rsid w:val="00CA5664"/>
    <w:rsid w:val="00CA5690"/>
    <w:rsid w:val="00CA56E4"/>
    <w:rsid w:val="00CA5708"/>
    <w:rsid w:val="00CA5735"/>
    <w:rsid w:val="00CA5748"/>
    <w:rsid w:val="00CA5761"/>
    <w:rsid w:val="00CA57A9"/>
    <w:rsid w:val="00CA57AE"/>
    <w:rsid w:val="00CA5861"/>
    <w:rsid w:val="00CA587A"/>
    <w:rsid w:val="00CA58AC"/>
    <w:rsid w:val="00CA58F6"/>
    <w:rsid w:val="00CA58FD"/>
    <w:rsid w:val="00CA5907"/>
    <w:rsid w:val="00CA5A2F"/>
    <w:rsid w:val="00CA5A87"/>
    <w:rsid w:val="00CA5A95"/>
    <w:rsid w:val="00CA5A99"/>
    <w:rsid w:val="00CA5AB1"/>
    <w:rsid w:val="00CA5AB9"/>
    <w:rsid w:val="00CA5AE8"/>
    <w:rsid w:val="00CA5B0C"/>
    <w:rsid w:val="00CA5BDE"/>
    <w:rsid w:val="00CA5BF1"/>
    <w:rsid w:val="00CA5C09"/>
    <w:rsid w:val="00CA5CF4"/>
    <w:rsid w:val="00CA5D06"/>
    <w:rsid w:val="00CA5D15"/>
    <w:rsid w:val="00CA5D3A"/>
    <w:rsid w:val="00CA5D5B"/>
    <w:rsid w:val="00CA5D98"/>
    <w:rsid w:val="00CA5DA8"/>
    <w:rsid w:val="00CA5DBB"/>
    <w:rsid w:val="00CA5DBC"/>
    <w:rsid w:val="00CA5E17"/>
    <w:rsid w:val="00CA5E45"/>
    <w:rsid w:val="00CA5E7A"/>
    <w:rsid w:val="00CA5E8C"/>
    <w:rsid w:val="00CA5F32"/>
    <w:rsid w:val="00CA5F47"/>
    <w:rsid w:val="00CA5F71"/>
    <w:rsid w:val="00CA5FA2"/>
    <w:rsid w:val="00CA5FE0"/>
    <w:rsid w:val="00CA6003"/>
    <w:rsid w:val="00CA605D"/>
    <w:rsid w:val="00CA60DA"/>
    <w:rsid w:val="00CA6108"/>
    <w:rsid w:val="00CA6183"/>
    <w:rsid w:val="00CA6198"/>
    <w:rsid w:val="00CA61EC"/>
    <w:rsid w:val="00CA6219"/>
    <w:rsid w:val="00CA6226"/>
    <w:rsid w:val="00CA623C"/>
    <w:rsid w:val="00CA6256"/>
    <w:rsid w:val="00CA62CB"/>
    <w:rsid w:val="00CA6344"/>
    <w:rsid w:val="00CA634A"/>
    <w:rsid w:val="00CA6358"/>
    <w:rsid w:val="00CA635E"/>
    <w:rsid w:val="00CA6376"/>
    <w:rsid w:val="00CA6430"/>
    <w:rsid w:val="00CA6437"/>
    <w:rsid w:val="00CA650C"/>
    <w:rsid w:val="00CA657E"/>
    <w:rsid w:val="00CA65A8"/>
    <w:rsid w:val="00CA65C9"/>
    <w:rsid w:val="00CA65CE"/>
    <w:rsid w:val="00CA65D5"/>
    <w:rsid w:val="00CA65E8"/>
    <w:rsid w:val="00CA65EC"/>
    <w:rsid w:val="00CA664D"/>
    <w:rsid w:val="00CA666D"/>
    <w:rsid w:val="00CA66E4"/>
    <w:rsid w:val="00CA6752"/>
    <w:rsid w:val="00CA676E"/>
    <w:rsid w:val="00CA67A3"/>
    <w:rsid w:val="00CA67CD"/>
    <w:rsid w:val="00CA6872"/>
    <w:rsid w:val="00CA6880"/>
    <w:rsid w:val="00CA6889"/>
    <w:rsid w:val="00CA68B1"/>
    <w:rsid w:val="00CA6907"/>
    <w:rsid w:val="00CA690D"/>
    <w:rsid w:val="00CA697B"/>
    <w:rsid w:val="00CA6990"/>
    <w:rsid w:val="00CA69A0"/>
    <w:rsid w:val="00CA69A4"/>
    <w:rsid w:val="00CA69B2"/>
    <w:rsid w:val="00CA69E8"/>
    <w:rsid w:val="00CA6A12"/>
    <w:rsid w:val="00CA6A93"/>
    <w:rsid w:val="00CA6B04"/>
    <w:rsid w:val="00CA6B27"/>
    <w:rsid w:val="00CA6B4E"/>
    <w:rsid w:val="00CA6C28"/>
    <w:rsid w:val="00CA6C65"/>
    <w:rsid w:val="00CA6C6B"/>
    <w:rsid w:val="00CA6C87"/>
    <w:rsid w:val="00CA6C8B"/>
    <w:rsid w:val="00CA6C95"/>
    <w:rsid w:val="00CA6C99"/>
    <w:rsid w:val="00CA6CCC"/>
    <w:rsid w:val="00CA6D29"/>
    <w:rsid w:val="00CA6DB7"/>
    <w:rsid w:val="00CA6DDE"/>
    <w:rsid w:val="00CA6DFF"/>
    <w:rsid w:val="00CA6E02"/>
    <w:rsid w:val="00CA6E1B"/>
    <w:rsid w:val="00CA6E7F"/>
    <w:rsid w:val="00CA6EA8"/>
    <w:rsid w:val="00CA6F42"/>
    <w:rsid w:val="00CA6F7F"/>
    <w:rsid w:val="00CA6FB1"/>
    <w:rsid w:val="00CA6FE3"/>
    <w:rsid w:val="00CA701D"/>
    <w:rsid w:val="00CA7022"/>
    <w:rsid w:val="00CA7043"/>
    <w:rsid w:val="00CA70A0"/>
    <w:rsid w:val="00CA70A4"/>
    <w:rsid w:val="00CA70BF"/>
    <w:rsid w:val="00CA70D9"/>
    <w:rsid w:val="00CA7142"/>
    <w:rsid w:val="00CA716C"/>
    <w:rsid w:val="00CA71EF"/>
    <w:rsid w:val="00CA7208"/>
    <w:rsid w:val="00CA726E"/>
    <w:rsid w:val="00CA729B"/>
    <w:rsid w:val="00CA72A0"/>
    <w:rsid w:val="00CA72B2"/>
    <w:rsid w:val="00CA7328"/>
    <w:rsid w:val="00CA73B4"/>
    <w:rsid w:val="00CA73E4"/>
    <w:rsid w:val="00CA73FB"/>
    <w:rsid w:val="00CA741E"/>
    <w:rsid w:val="00CA745C"/>
    <w:rsid w:val="00CA7474"/>
    <w:rsid w:val="00CA74B6"/>
    <w:rsid w:val="00CA74CA"/>
    <w:rsid w:val="00CA752D"/>
    <w:rsid w:val="00CA754E"/>
    <w:rsid w:val="00CA7557"/>
    <w:rsid w:val="00CA756A"/>
    <w:rsid w:val="00CA75A2"/>
    <w:rsid w:val="00CA7641"/>
    <w:rsid w:val="00CA764E"/>
    <w:rsid w:val="00CA7666"/>
    <w:rsid w:val="00CA7696"/>
    <w:rsid w:val="00CA76B1"/>
    <w:rsid w:val="00CA76EB"/>
    <w:rsid w:val="00CA76F0"/>
    <w:rsid w:val="00CA76FE"/>
    <w:rsid w:val="00CA7779"/>
    <w:rsid w:val="00CA777E"/>
    <w:rsid w:val="00CA7884"/>
    <w:rsid w:val="00CA78EB"/>
    <w:rsid w:val="00CA7944"/>
    <w:rsid w:val="00CA794F"/>
    <w:rsid w:val="00CA796A"/>
    <w:rsid w:val="00CA797F"/>
    <w:rsid w:val="00CA79C5"/>
    <w:rsid w:val="00CA79F8"/>
    <w:rsid w:val="00CA7A1F"/>
    <w:rsid w:val="00CA7A44"/>
    <w:rsid w:val="00CA7A4E"/>
    <w:rsid w:val="00CA7A72"/>
    <w:rsid w:val="00CA7B12"/>
    <w:rsid w:val="00CA7B6C"/>
    <w:rsid w:val="00CA7B83"/>
    <w:rsid w:val="00CA7BE8"/>
    <w:rsid w:val="00CA7C5C"/>
    <w:rsid w:val="00CA7C7D"/>
    <w:rsid w:val="00CA7C95"/>
    <w:rsid w:val="00CA7CCE"/>
    <w:rsid w:val="00CA7CE9"/>
    <w:rsid w:val="00CA7D12"/>
    <w:rsid w:val="00CA7D4A"/>
    <w:rsid w:val="00CA7D4C"/>
    <w:rsid w:val="00CA7DEF"/>
    <w:rsid w:val="00CA7E0F"/>
    <w:rsid w:val="00CA7EFB"/>
    <w:rsid w:val="00CA7F39"/>
    <w:rsid w:val="00CA7F91"/>
    <w:rsid w:val="00CA7FFD"/>
    <w:rsid w:val="00CB000B"/>
    <w:rsid w:val="00CB0017"/>
    <w:rsid w:val="00CB00DD"/>
    <w:rsid w:val="00CB00F4"/>
    <w:rsid w:val="00CB01EC"/>
    <w:rsid w:val="00CB0270"/>
    <w:rsid w:val="00CB0280"/>
    <w:rsid w:val="00CB0296"/>
    <w:rsid w:val="00CB02D2"/>
    <w:rsid w:val="00CB0316"/>
    <w:rsid w:val="00CB032D"/>
    <w:rsid w:val="00CB0361"/>
    <w:rsid w:val="00CB038F"/>
    <w:rsid w:val="00CB03DA"/>
    <w:rsid w:val="00CB03EF"/>
    <w:rsid w:val="00CB0482"/>
    <w:rsid w:val="00CB0502"/>
    <w:rsid w:val="00CB0582"/>
    <w:rsid w:val="00CB05B0"/>
    <w:rsid w:val="00CB05D7"/>
    <w:rsid w:val="00CB0634"/>
    <w:rsid w:val="00CB0684"/>
    <w:rsid w:val="00CB06CA"/>
    <w:rsid w:val="00CB06CF"/>
    <w:rsid w:val="00CB06D0"/>
    <w:rsid w:val="00CB06E4"/>
    <w:rsid w:val="00CB0771"/>
    <w:rsid w:val="00CB0792"/>
    <w:rsid w:val="00CB0796"/>
    <w:rsid w:val="00CB07CB"/>
    <w:rsid w:val="00CB0804"/>
    <w:rsid w:val="00CB094B"/>
    <w:rsid w:val="00CB0951"/>
    <w:rsid w:val="00CB0986"/>
    <w:rsid w:val="00CB09C8"/>
    <w:rsid w:val="00CB0A29"/>
    <w:rsid w:val="00CB0A3E"/>
    <w:rsid w:val="00CB0A51"/>
    <w:rsid w:val="00CB0BE5"/>
    <w:rsid w:val="00CB0BF3"/>
    <w:rsid w:val="00CB0BF6"/>
    <w:rsid w:val="00CB0C5E"/>
    <w:rsid w:val="00CB0C90"/>
    <w:rsid w:val="00CB0CA5"/>
    <w:rsid w:val="00CB0CCB"/>
    <w:rsid w:val="00CB0CDB"/>
    <w:rsid w:val="00CB0D8B"/>
    <w:rsid w:val="00CB0E20"/>
    <w:rsid w:val="00CB0E9E"/>
    <w:rsid w:val="00CB0F27"/>
    <w:rsid w:val="00CB1077"/>
    <w:rsid w:val="00CB10D0"/>
    <w:rsid w:val="00CB1126"/>
    <w:rsid w:val="00CB1133"/>
    <w:rsid w:val="00CB1139"/>
    <w:rsid w:val="00CB11BF"/>
    <w:rsid w:val="00CB11CB"/>
    <w:rsid w:val="00CB1226"/>
    <w:rsid w:val="00CB122F"/>
    <w:rsid w:val="00CB125F"/>
    <w:rsid w:val="00CB12C3"/>
    <w:rsid w:val="00CB12C4"/>
    <w:rsid w:val="00CB12D8"/>
    <w:rsid w:val="00CB12E3"/>
    <w:rsid w:val="00CB132A"/>
    <w:rsid w:val="00CB134B"/>
    <w:rsid w:val="00CB1356"/>
    <w:rsid w:val="00CB1393"/>
    <w:rsid w:val="00CB13AC"/>
    <w:rsid w:val="00CB13AE"/>
    <w:rsid w:val="00CB13B5"/>
    <w:rsid w:val="00CB1418"/>
    <w:rsid w:val="00CB1435"/>
    <w:rsid w:val="00CB1436"/>
    <w:rsid w:val="00CB147C"/>
    <w:rsid w:val="00CB14E5"/>
    <w:rsid w:val="00CB1510"/>
    <w:rsid w:val="00CB1517"/>
    <w:rsid w:val="00CB1586"/>
    <w:rsid w:val="00CB15A6"/>
    <w:rsid w:val="00CB1672"/>
    <w:rsid w:val="00CB16AE"/>
    <w:rsid w:val="00CB16EB"/>
    <w:rsid w:val="00CB1724"/>
    <w:rsid w:val="00CB1733"/>
    <w:rsid w:val="00CB1750"/>
    <w:rsid w:val="00CB177D"/>
    <w:rsid w:val="00CB1786"/>
    <w:rsid w:val="00CB1824"/>
    <w:rsid w:val="00CB182A"/>
    <w:rsid w:val="00CB1868"/>
    <w:rsid w:val="00CB189F"/>
    <w:rsid w:val="00CB190A"/>
    <w:rsid w:val="00CB197F"/>
    <w:rsid w:val="00CB19A3"/>
    <w:rsid w:val="00CB19FE"/>
    <w:rsid w:val="00CB1A01"/>
    <w:rsid w:val="00CB1A2E"/>
    <w:rsid w:val="00CB1A51"/>
    <w:rsid w:val="00CB1A7B"/>
    <w:rsid w:val="00CB1ACA"/>
    <w:rsid w:val="00CB1B18"/>
    <w:rsid w:val="00CB1B41"/>
    <w:rsid w:val="00CB1B8F"/>
    <w:rsid w:val="00CB1C58"/>
    <w:rsid w:val="00CB1C5B"/>
    <w:rsid w:val="00CB1C5D"/>
    <w:rsid w:val="00CB1C6B"/>
    <w:rsid w:val="00CB1C81"/>
    <w:rsid w:val="00CB1CE3"/>
    <w:rsid w:val="00CB1D38"/>
    <w:rsid w:val="00CB1DA6"/>
    <w:rsid w:val="00CB1DE7"/>
    <w:rsid w:val="00CB1EAD"/>
    <w:rsid w:val="00CB1ED7"/>
    <w:rsid w:val="00CB1EE7"/>
    <w:rsid w:val="00CB1F1F"/>
    <w:rsid w:val="00CB1F24"/>
    <w:rsid w:val="00CB1F89"/>
    <w:rsid w:val="00CB1FB4"/>
    <w:rsid w:val="00CB1FC6"/>
    <w:rsid w:val="00CB1FEC"/>
    <w:rsid w:val="00CB203C"/>
    <w:rsid w:val="00CB205D"/>
    <w:rsid w:val="00CB206F"/>
    <w:rsid w:val="00CB2093"/>
    <w:rsid w:val="00CB20E4"/>
    <w:rsid w:val="00CB2127"/>
    <w:rsid w:val="00CB2180"/>
    <w:rsid w:val="00CB21B8"/>
    <w:rsid w:val="00CB21D8"/>
    <w:rsid w:val="00CB228D"/>
    <w:rsid w:val="00CB2301"/>
    <w:rsid w:val="00CB2329"/>
    <w:rsid w:val="00CB233E"/>
    <w:rsid w:val="00CB2373"/>
    <w:rsid w:val="00CB23AD"/>
    <w:rsid w:val="00CB2452"/>
    <w:rsid w:val="00CB246B"/>
    <w:rsid w:val="00CB2482"/>
    <w:rsid w:val="00CB24A0"/>
    <w:rsid w:val="00CB24B1"/>
    <w:rsid w:val="00CB24CE"/>
    <w:rsid w:val="00CB24E0"/>
    <w:rsid w:val="00CB24F1"/>
    <w:rsid w:val="00CB2523"/>
    <w:rsid w:val="00CB2588"/>
    <w:rsid w:val="00CB25C3"/>
    <w:rsid w:val="00CB25CC"/>
    <w:rsid w:val="00CB25CF"/>
    <w:rsid w:val="00CB2654"/>
    <w:rsid w:val="00CB2675"/>
    <w:rsid w:val="00CB2738"/>
    <w:rsid w:val="00CB277C"/>
    <w:rsid w:val="00CB27A1"/>
    <w:rsid w:val="00CB27B6"/>
    <w:rsid w:val="00CB2932"/>
    <w:rsid w:val="00CB299F"/>
    <w:rsid w:val="00CB29BC"/>
    <w:rsid w:val="00CB2B0F"/>
    <w:rsid w:val="00CB2B2D"/>
    <w:rsid w:val="00CB2BFC"/>
    <w:rsid w:val="00CB2C13"/>
    <w:rsid w:val="00CB2C24"/>
    <w:rsid w:val="00CB2D04"/>
    <w:rsid w:val="00CB2D1F"/>
    <w:rsid w:val="00CB2D23"/>
    <w:rsid w:val="00CB2D2D"/>
    <w:rsid w:val="00CB2D7D"/>
    <w:rsid w:val="00CB2D7F"/>
    <w:rsid w:val="00CB2DA6"/>
    <w:rsid w:val="00CB2DAB"/>
    <w:rsid w:val="00CB2DF4"/>
    <w:rsid w:val="00CB2E00"/>
    <w:rsid w:val="00CB2E20"/>
    <w:rsid w:val="00CB2E8A"/>
    <w:rsid w:val="00CB2EC0"/>
    <w:rsid w:val="00CB2EF9"/>
    <w:rsid w:val="00CB2F00"/>
    <w:rsid w:val="00CB2F73"/>
    <w:rsid w:val="00CB3019"/>
    <w:rsid w:val="00CB303A"/>
    <w:rsid w:val="00CB3041"/>
    <w:rsid w:val="00CB312F"/>
    <w:rsid w:val="00CB3135"/>
    <w:rsid w:val="00CB3141"/>
    <w:rsid w:val="00CB3154"/>
    <w:rsid w:val="00CB327E"/>
    <w:rsid w:val="00CB32D9"/>
    <w:rsid w:val="00CB332B"/>
    <w:rsid w:val="00CB3368"/>
    <w:rsid w:val="00CB336B"/>
    <w:rsid w:val="00CB33B1"/>
    <w:rsid w:val="00CB33F2"/>
    <w:rsid w:val="00CB33F3"/>
    <w:rsid w:val="00CB349D"/>
    <w:rsid w:val="00CB34A9"/>
    <w:rsid w:val="00CB351F"/>
    <w:rsid w:val="00CB3556"/>
    <w:rsid w:val="00CB3632"/>
    <w:rsid w:val="00CB3639"/>
    <w:rsid w:val="00CB3658"/>
    <w:rsid w:val="00CB3662"/>
    <w:rsid w:val="00CB36BD"/>
    <w:rsid w:val="00CB3725"/>
    <w:rsid w:val="00CB37C7"/>
    <w:rsid w:val="00CB37FA"/>
    <w:rsid w:val="00CB37FB"/>
    <w:rsid w:val="00CB3834"/>
    <w:rsid w:val="00CB383A"/>
    <w:rsid w:val="00CB384F"/>
    <w:rsid w:val="00CB389F"/>
    <w:rsid w:val="00CB3917"/>
    <w:rsid w:val="00CB3934"/>
    <w:rsid w:val="00CB39AD"/>
    <w:rsid w:val="00CB3A0F"/>
    <w:rsid w:val="00CB3A20"/>
    <w:rsid w:val="00CB3A58"/>
    <w:rsid w:val="00CB3A67"/>
    <w:rsid w:val="00CB3A9B"/>
    <w:rsid w:val="00CB3B07"/>
    <w:rsid w:val="00CB3B6B"/>
    <w:rsid w:val="00CB3BC7"/>
    <w:rsid w:val="00CB3BEC"/>
    <w:rsid w:val="00CB3C91"/>
    <w:rsid w:val="00CB3CD8"/>
    <w:rsid w:val="00CB3D6F"/>
    <w:rsid w:val="00CB3DEC"/>
    <w:rsid w:val="00CB3DFF"/>
    <w:rsid w:val="00CB3E04"/>
    <w:rsid w:val="00CB3E43"/>
    <w:rsid w:val="00CB3EBF"/>
    <w:rsid w:val="00CB3F58"/>
    <w:rsid w:val="00CB3F78"/>
    <w:rsid w:val="00CB402B"/>
    <w:rsid w:val="00CB4032"/>
    <w:rsid w:val="00CB40AB"/>
    <w:rsid w:val="00CB40D2"/>
    <w:rsid w:val="00CB4148"/>
    <w:rsid w:val="00CB4151"/>
    <w:rsid w:val="00CB41AD"/>
    <w:rsid w:val="00CB41C2"/>
    <w:rsid w:val="00CB41D7"/>
    <w:rsid w:val="00CB41E0"/>
    <w:rsid w:val="00CB41EC"/>
    <w:rsid w:val="00CB424B"/>
    <w:rsid w:val="00CB4308"/>
    <w:rsid w:val="00CB4346"/>
    <w:rsid w:val="00CB4354"/>
    <w:rsid w:val="00CB43FB"/>
    <w:rsid w:val="00CB444E"/>
    <w:rsid w:val="00CB446E"/>
    <w:rsid w:val="00CB44B0"/>
    <w:rsid w:val="00CB44B3"/>
    <w:rsid w:val="00CB44D4"/>
    <w:rsid w:val="00CB44DE"/>
    <w:rsid w:val="00CB459A"/>
    <w:rsid w:val="00CB45D3"/>
    <w:rsid w:val="00CB461A"/>
    <w:rsid w:val="00CB4650"/>
    <w:rsid w:val="00CB4665"/>
    <w:rsid w:val="00CB46BB"/>
    <w:rsid w:val="00CB46D8"/>
    <w:rsid w:val="00CB46FC"/>
    <w:rsid w:val="00CB4754"/>
    <w:rsid w:val="00CB4759"/>
    <w:rsid w:val="00CB4796"/>
    <w:rsid w:val="00CB47A9"/>
    <w:rsid w:val="00CB47D2"/>
    <w:rsid w:val="00CB47ED"/>
    <w:rsid w:val="00CB47FA"/>
    <w:rsid w:val="00CB480A"/>
    <w:rsid w:val="00CB483F"/>
    <w:rsid w:val="00CB4861"/>
    <w:rsid w:val="00CB4862"/>
    <w:rsid w:val="00CB48A7"/>
    <w:rsid w:val="00CB48C0"/>
    <w:rsid w:val="00CB48D7"/>
    <w:rsid w:val="00CB4901"/>
    <w:rsid w:val="00CB490A"/>
    <w:rsid w:val="00CB4946"/>
    <w:rsid w:val="00CB4982"/>
    <w:rsid w:val="00CB49C3"/>
    <w:rsid w:val="00CB49E1"/>
    <w:rsid w:val="00CB4A2C"/>
    <w:rsid w:val="00CB4A8B"/>
    <w:rsid w:val="00CB4AE7"/>
    <w:rsid w:val="00CB4B31"/>
    <w:rsid w:val="00CB4C8B"/>
    <w:rsid w:val="00CB4CA3"/>
    <w:rsid w:val="00CB4CF9"/>
    <w:rsid w:val="00CB4D09"/>
    <w:rsid w:val="00CB4D56"/>
    <w:rsid w:val="00CB4E6A"/>
    <w:rsid w:val="00CB4E79"/>
    <w:rsid w:val="00CB4EA6"/>
    <w:rsid w:val="00CB4ED5"/>
    <w:rsid w:val="00CB4EE9"/>
    <w:rsid w:val="00CB4EFB"/>
    <w:rsid w:val="00CB4F36"/>
    <w:rsid w:val="00CB4F3E"/>
    <w:rsid w:val="00CB4FB0"/>
    <w:rsid w:val="00CB4FBD"/>
    <w:rsid w:val="00CB4FC2"/>
    <w:rsid w:val="00CB4FC4"/>
    <w:rsid w:val="00CB508E"/>
    <w:rsid w:val="00CB5094"/>
    <w:rsid w:val="00CB50B2"/>
    <w:rsid w:val="00CB50C5"/>
    <w:rsid w:val="00CB50E1"/>
    <w:rsid w:val="00CB5100"/>
    <w:rsid w:val="00CB5133"/>
    <w:rsid w:val="00CB5161"/>
    <w:rsid w:val="00CB51E0"/>
    <w:rsid w:val="00CB5215"/>
    <w:rsid w:val="00CB5357"/>
    <w:rsid w:val="00CB5377"/>
    <w:rsid w:val="00CB53BB"/>
    <w:rsid w:val="00CB53DF"/>
    <w:rsid w:val="00CB53F1"/>
    <w:rsid w:val="00CB543E"/>
    <w:rsid w:val="00CB5443"/>
    <w:rsid w:val="00CB54AC"/>
    <w:rsid w:val="00CB54C9"/>
    <w:rsid w:val="00CB54CF"/>
    <w:rsid w:val="00CB54DE"/>
    <w:rsid w:val="00CB5524"/>
    <w:rsid w:val="00CB5528"/>
    <w:rsid w:val="00CB55CC"/>
    <w:rsid w:val="00CB565A"/>
    <w:rsid w:val="00CB5673"/>
    <w:rsid w:val="00CB56C1"/>
    <w:rsid w:val="00CB56E4"/>
    <w:rsid w:val="00CB5748"/>
    <w:rsid w:val="00CB5784"/>
    <w:rsid w:val="00CB57A1"/>
    <w:rsid w:val="00CB57D2"/>
    <w:rsid w:val="00CB57E1"/>
    <w:rsid w:val="00CB580F"/>
    <w:rsid w:val="00CB5817"/>
    <w:rsid w:val="00CB582C"/>
    <w:rsid w:val="00CB5834"/>
    <w:rsid w:val="00CB58F2"/>
    <w:rsid w:val="00CB5949"/>
    <w:rsid w:val="00CB5A79"/>
    <w:rsid w:val="00CB5A94"/>
    <w:rsid w:val="00CB5AC2"/>
    <w:rsid w:val="00CB5AC3"/>
    <w:rsid w:val="00CB5B74"/>
    <w:rsid w:val="00CB5BA2"/>
    <w:rsid w:val="00CB5C00"/>
    <w:rsid w:val="00CB5C0E"/>
    <w:rsid w:val="00CB5C20"/>
    <w:rsid w:val="00CB5C41"/>
    <w:rsid w:val="00CB5CAC"/>
    <w:rsid w:val="00CB5CB0"/>
    <w:rsid w:val="00CB5CDD"/>
    <w:rsid w:val="00CB5D59"/>
    <w:rsid w:val="00CB5DA6"/>
    <w:rsid w:val="00CB5DB8"/>
    <w:rsid w:val="00CB5DF6"/>
    <w:rsid w:val="00CB5E3B"/>
    <w:rsid w:val="00CB5E4A"/>
    <w:rsid w:val="00CB5EA7"/>
    <w:rsid w:val="00CB5ED3"/>
    <w:rsid w:val="00CB5EE8"/>
    <w:rsid w:val="00CB5F50"/>
    <w:rsid w:val="00CB5F5D"/>
    <w:rsid w:val="00CB5F83"/>
    <w:rsid w:val="00CB601D"/>
    <w:rsid w:val="00CB602B"/>
    <w:rsid w:val="00CB6034"/>
    <w:rsid w:val="00CB6061"/>
    <w:rsid w:val="00CB6066"/>
    <w:rsid w:val="00CB60AE"/>
    <w:rsid w:val="00CB60BF"/>
    <w:rsid w:val="00CB611C"/>
    <w:rsid w:val="00CB6163"/>
    <w:rsid w:val="00CB6280"/>
    <w:rsid w:val="00CB62A1"/>
    <w:rsid w:val="00CB62BB"/>
    <w:rsid w:val="00CB6349"/>
    <w:rsid w:val="00CB6353"/>
    <w:rsid w:val="00CB6356"/>
    <w:rsid w:val="00CB63C1"/>
    <w:rsid w:val="00CB63F9"/>
    <w:rsid w:val="00CB6516"/>
    <w:rsid w:val="00CB65AB"/>
    <w:rsid w:val="00CB65D8"/>
    <w:rsid w:val="00CB661F"/>
    <w:rsid w:val="00CB6622"/>
    <w:rsid w:val="00CB6624"/>
    <w:rsid w:val="00CB662E"/>
    <w:rsid w:val="00CB6774"/>
    <w:rsid w:val="00CB6780"/>
    <w:rsid w:val="00CB67E2"/>
    <w:rsid w:val="00CB67E5"/>
    <w:rsid w:val="00CB6802"/>
    <w:rsid w:val="00CB6804"/>
    <w:rsid w:val="00CB6858"/>
    <w:rsid w:val="00CB6866"/>
    <w:rsid w:val="00CB687F"/>
    <w:rsid w:val="00CB691F"/>
    <w:rsid w:val="00CB6921"/>
    <w:rsid w:val="00CB694A"/>
    <w:rsid w:val="00CB69A6"/>
    <w:rsid w:val="00CB69D6"/>
    <w:rsid w:val="00CB6A47"/>
    <w:rsid w:val="00CB6AA6"/>
    <w:rsid w:val="00CB6AB8"/>
    <w:rsid w:val="00CB6B15"/>
    <w:rsid w:val="00CB6B3A"/>
    <w:rsid w:val="00CB6B99"/>
    <w:rsid w:val="00CB6BAF"/>
    <w:rsid w:val="00CB6C18"/>
    <w:rsid w:val="00CB6D28"/>
    <w:rsid w:val="00CB6D35"/>
    <w:rsid w:val="00CB6D3E"/>
    <w:rsid w:val="00CB6DE1"/>
    <w:rsid w:val="00CB6E72"/>
    <w:rsid w:val="00CB6ED7"/>
    <w:rsid w:val="00CB6EDE"/>
    <w:rsid w:val="00CB6F5B"/>
    <w:rsid w:val="00CB6F75"/>
    <w:rsid w:val="00CB6F85"/>
    <w:rsid w:val="00CB7002"/>
    <w:rsid w:val="00CB700A"/>
    <w:rsid w:val="00CB702C"/>
    <w:rsid w:val="00CB70A2"/>
    <w:rsid w:val="00CB70A6"/>
    <w:rsid w:val="00CB70EF"/>
    <w:rsid w:val="00CB711B"/>
    <w:rsid w:val="00CB7184"/>
    <w:rsid w:val="00CB7197"/>
    <w:rsid w:val="00CB71A3"/>
    <w:rsid w:val="00CB7247"/>
    <w:rsid w:val="00CB7254"/>
    <w:rsid w:val="00CB72B4"/>
    <w:rsid w:val="00CB72CE"/>
    <w:rsid w:val="00CB7393"/>
    <w:rsid w:val="00CB73BA"/>
    <w:rsid w:val="00CB74A0"/>
    <w:rsid w:val="00CB751C"/>
    <w:rsid w:val="00CB755A"/>
    <w:rsid w:val="00CB7560"/>
    <w:rsid w:val="00CB7593"/>
    <w:rsid w:val="00CB75A2"/>
    <w:rsid w:val="00CB75E1"/>
    <w:rsid w:val="00CB7640"/>
    <w:rsid w:val="00CB775D"/>
    <w:rsid w:val="00CB77BE"/>
    <w:rsid w:val="00CB77C0"/>
    <w:rsid w:val="00CB782B"/>
    <w:rsid w:val="00CB7850"/>
    <w:rsid w:val="00CB7878"/>
    <w:rsid w:val="00CB78F8"/>
    <w:rsid w:val="00CB78FD"/>
    <w:rsid w:val="00CB7935"/>
    <w:rsid w:val="00CB797E"/>
    <w:rsid w:val="00CB79DA"/>
    <w:rsid w:val="00CB79E3"/>
    <w:rsid w:val="00CB79FA"/>
    <w:rsid w:val="00CB7A06"/>
    <w:rsid w:val="00CB7A26"/>
    <w:rsid w:val="00CB7A81"/>
    <w:rsid w:val="00CB7A89"/>
    <w:rsid w:val="00CB7A8D"/>
    <w:rsid w:val="00CB7ADC"/>
    <w:rsid w:val="00CB7AEB"/>
    <w:rsid w:val="00CB7B22"/>
    <w:rsid w:val="00CB7BE3"/>
    <w:rsid w:val="00CB7C32"/>
    <w:rsid w:val="00CB7C45"/>
    <w:rsid w:val="00CB7C87"/>
    <w:rsid w:val="00CB7C89"/>
    <w:rsid w:val="00CB7C8D"/>
    <w:rsid w:val="00CB7CC8"/>
    <w:rsid w:val="00CB7CF1"/>
    <w:rsid w:val="00CB7CF8"/>
    <w:rsid w:val="00CB7CFF"/>
    <w:rsid w:val="00CB7D0B"/>
    <w:rsid w:val="00CB7D40"/>
    <w:rsid w:val="00CB7D69"/>
    <w:rsid w:val="00CB7D83"/>
    <w:rsid w:val="00CB7D8F"/>
    <w:rsid w:val="00CB7DCB"/>
    <w:rsid w:val="00CB7DF9"/>
    <w:rsid w:val="00CB7E4D"/>
    <w:rsid w:val="00CB7E6A"/>
    <w:rsid w:val="00CB7EAB"/>
    <w:rsid w:val="00CB7F07"/>
    <w:rsid w:val="00CB7F0E"/>
    <w:rsid w:val="00CB7F87"/>
    <w:rsid w:val="00CB7FE8"/>
    <w:rsid w:val="00CC0018"/>
    <w:rsid w:val="00CC0063"/>
    <w:rsid w:val="00CC00B4"/>
    <w:rsid w:val="00CC00F7"/>
    <w:rsid w:val="00CC01B9"/>
    <w:rsid w:val="00CC01CB"/>
    <w:rsid w:val="00CC0256"/>
    <w:rsid w:val="00CC0269"/>
    <w:rsid w:val="00CC027A"/>
    <w:rsid w:val="00CC027F"/>
    <w:rsid w:val="00CC0291"/>
    <w:rsid w:val="00CC02C7"/>
    <w:rsid w:val="00CC0301"/>
    <w:rsid w:val="00CC0358"/>
    <w:rsid w:val="00CC0381"/>
    <w:rsid w:val="00CC0443"/>
    <w:rsid w:val="00CC047C"/>
    <w:rsid w:val="00CC0484"/>
    <w:rsid w:val="00CC04D0"/>
    <w:rsid w:val="00CC04DA"/>
    <w:rsid w:val="00CC051B"/>
    <w:rsid w:val="00CC0545"/>
    <w:rsid w:val="00CC0548"/>
    <w:rsid w:val="00CC055A"/>
    <w:rsid w:val="00CC0588"/>
    <w:rsid w:val="00CC05DA"/>
    <w:rsid w:val="00CC0647"/>
    <w:rsid w:val="00CC06CD"/>
    <w:rsid w:val="00CC06E8"/>
    <w:rsid w:val="00CC073F"/>
    <w:rsid w:val="00CC078B"/>
    <w:rsid w:val="00CC07C4"/>
    <w:rsid w:val="00CC07CB"/>
    <w:rsid w:val="00CC07DC"/>
    <w:rsid w:val="00CC0898"/>
    <w:rsid w:val="00CC08D6"/>
    <w:rsid w:val="00CC08E7"/>
    <w:rsid w:val="00CC0944"/>
    <w:rsid w:val="00CC0959"/>
    <w:rsid w:val="00CC0A1D"/>
    <w:rsid w:val="00CC0A95"/>
    <w:rsid w:val="00CC0AAF"/>
    <w:rsid w:val="00CC0ABB"/>
    <w:rsid w:val="00CC0AC3"/>
    <w:rsid w:val="00CC0AEF"/>
    <w:rsid w:val="00CC0B07"/>
    <w:rsid w:val="00CC0B5D"/>
    <w:rsid w:val="00CC0BAC"/>
    <w:rsid w:val="00CC0C0A"/>
    <w:rsid w:val="00CC0C11"/>
    <w:rsid w:val="00CC0C6B"/>
    <w:rsid w:val="00CC0C74"/>
    <w:rsid w:val="00CC0C76"/>
    <w:rsid w:val="00CC0C83"/>
    <w:rsid w:val="00CC0C96"/>
    <w:rsid w:val="00CC0C9B"/>
    <w:rsid w:val="00CC0CCB"/>
    <w:rsid w:val="00CC0CD7"/>
    <w:rsid w:val="00CC0CF3"/>
    <w:rsid w:val="00CC0D8F"/>
    <w:rsid w:val="00CC0DAA"/>
    <w:rsid w:val="00CC0E50"/>
    <w:rsid w:val="00CC0E53"/>
    <w:rsid w:val="00CC0E8C"/>
    <w:rsid w:val="00CC0F36"/>
    <w:rsid w:val="00CC0F46"/>
    <w:rsid w:val="00CC0F4A"/>
    <w:rsid w:val="00CC0FD9"/>
    <w:rsid w:val="00CC1014"/>
    <w:rsid w:val="00CC1039"/>
    <w:rsid w:val="00CC1055"/>
    <w:rsid w:val="00CC1124"/>
    <w:rsid w:val="00CC117E"/>
    <w:rsid w:val="00CC11B8"/>
    <w:rsid w:val="00CC11E9"/>
    <w:rsid w:val="00CC1238"/>
    <w:rsid w:val="00CC131A"/>
    <w:rsid w:val="00CC1335"/>
    <w:rsid w:val="00CC133F"/>
    <w:rsid w:val="00CC1369"/>
    <w:rsid w:val="00CC136F"/>
    <w:rsid w:val="00CC1377"/>
    <w:rsid w:val="00CC1461"/>
    <w:rsid w:val="00CC14C5"/>
    <w:rsid w:val="00CC1553"/>
    <w:rsid w:val="00CC157D"/>
    <w:rsid w:val="00CC15B1"/>
    <w:rsid w:val="00CC15E5"/>
    <w:rsid w:val="00CC16DC"/>
    <w:rsid w:val="00CC16EA"/>
    <w:rsid w:val="00CC179D"/>
    <w:rsid w:val="00CC17F4"/>
    <w:rsid w:val="00CC1834"/>
    <w:rsid w:val="00CC1889"/>
    <w:rsid w:val="00CC1917"/>
    <w:rsid w:val="00CC1939"/>
    <w:rsid w:val="00CC198B"/>
    <w:rsid w:val="00CC19AD"/>
    <w:rsid w:val="00CC1A16"/>
    <w:rsid w:val="00CC1A5C"/>
    <w:rsid w:val="00CC1A5F"/>
    <w:rsid w:val="00CC1AA6"/>
    <w:rsid w:val="00CC1AC5"/>
    <w:rsid w:val="00CC1B05"/>
    <w:rsid w:val="00CC1B12"/>
    <w:rsid w:val="00CC1B45"/>
    <w:rsid w:val="00CC1B54"/>
    <w:rsid w:val="00CC1B79"/>
    <w:rsid w:val="00CC1B81"/>
    <w:rsid w:val="00CC1C06"/>
    <w:rsid w:val="00CC1C5B"/>
    <w:rsid w:val="00CC1C9A"/>
    <w:rsid w:val="00CC1CA1"/>
    <w:rsid w:val="00CC1CB7"/>
    <w:rsid w:val="00CC1D45"/>
    <w:rsid w:val="00CC1DA9"/>
    <w:rsid w:val="00CC1DB0"/>
    <w:rsid w:val="00CC1DCC"/>
    <w:rsid w:val="00CC1E3C"/>
    <w:rsid w:val="00CC1E8A"/>
    <w:rsid w:val="00CC1EAE"/>
    <w:rsid w:val="00CC1FD7"/>
    <w:rsid w:val="00CC1FE9"/>
    <w:rsid w:val="00CC1FF3"/>
    <w:rsid w:val="00CC202A"/>
    <w:rsid w:val="00CC20F0"/>
    <w:rsid w:val="00CC20FC"/>
    <w:rsid w:val="00CC2108"/>
    <w:rsid w:val="00CC2148"/>
    <w:rsid w:val="00CC2191"/>
    <w:rsid w:val="00CC21EE"/>
    <w:rsid w:val="00CC2208"/>
    <w:rsid w:val="00CC2277"/>
    <w:rsid w:val="00CC22F2"/>
    <w:rsid w:val="00CC2332"/>
    <w:rsid w:val="00CC2386"/>
    <w:rsid w:val="00CC23D9"/>
    <w:rsid w:val="00CC241E"/>
    <w:rsid w:val="00CC2426"/>
    <w:rsid w:val="00CC2432"/>
    <w:rsid w:val="00CC2436"/>
    <w:rsid w:val="00CC251D"/>
    <w:rsid w:val="00CC2584"/>
    <w:rsid w:val="00CC259E"/>
    <w:rsid w:val="00CC25A6"/>
    <w:rsid w:val="00CC26B4"/>
    <w:rsid w:val="00CC26D8"/>
    <w:rsid w:val="00CC26F6"/>
    <w:rsid w:val="00CC2736"/>
    <w:rsid w:val="00CC27B2"/>
    <w:rsid w:val="00CC27B9"/>
    <w:rsid w:val="00CC27CE"/>
    <w:rsid w:val="00CC2877"/>
    <w:rsid w:val="00CC2902"/>
    <w:rsid w:val="00CC2927"/>
    <w:rsid w:val="00CC2941"/>
    <w:rsid w:val="00CC29C5"/>
    <w:rsid w:val="00CC2BCD"/>
    <w:rsid w:val="00CC2BD9"/>
    <w:rsid w:val="00CC2BE7"/>
    <w:rsid w:val="00CC2C0D"/>
    <w:rsid w:val="00CC2C63"/>
    <w:rsid w:val="00CC2C76"/>
    <w:rsid w:val="00CC2C7E"/>
    <w:rsid w:val="00CC2C81"/>
    <w:rsid w:val="00CC2C8A"/>
    <w:rsid w:val="00CC2D62"/>
    <w:rsid w:val="00CC2E25"/>
    <w:rsid w:val="00CC2E2C"/>
    <w:rsid w:val="00CC2E68"/>
    <w:rsid w:val="00CC2E70"/>
    <w:rsid w:val="00CC2E94"/>
    <w:rsid w:val="00CC2EA0"/>
    <w:rsid w:val="00CC2EA4"/>
    <w:rsid w:val="00CC2EAE"/>
    <w:rsid w:val="00CC2EC3"/>
    <w:rsid w:val="00CC2EFB"/>
    <w:rsid w:val="00CC2F6C"/>
    <w:rsid w:val="00CC2FD7"/>
    <w:rsid w:val="00CC2FE4"/>
    <w:rsid w:val="00CC2FF5"/>
    <w:rsid w:val="00CC3020"/>
    <w:rsid w:val="00CC3090"/>
    <w:rsid w:val="00CC30A4"/>
    <w:rsid w:val="00CC3127"/>
    <w:rsid w:val="00CC3142"/>
    <w:rsid w:val="00CC3262"/>
    <w:rsid w:val="00CC3266"/>
    <w:rsid w:val="00CC328D"/>
    <w:rsid w:val="00CC332B"/>
    <w:rsid w:val="00CC333D"/>
    <w:rsid w:val="00CC335C"/>
    <w:rsid w:val="00CC33AA"/>
    <w:rsid w:val="00CC3444"/>
    <w:rsid w:val="00CC3473"/>
    <w:rsid w:val="00CC34AB"/>
    <w:rsid w:val="00CC35BA"/>
    <w:rsid w:val="00CC35E8"/>
    <w:rsid w:val="00CC35E9"/>
    <w:rsid w:val="00CC363F"/>
    <w:rsid w:val="00CC364D"/>
    <w:rsid w:val="00CC3670"/>
    <w:rsid w:val="00CC36D0"/>
    <w:rsid w:val="00CC3742"/>
    <w:rsid w:val="00CC3797"/>
    <w:rsid w:val="00CC37E8"/>
    <w:rsid w:val="00CC3834"/>
    <w:rsid w:val="00CC38A2"/>
    <w:rsid w:val="00CC38CD"/>
    <w:rsid w:val="00CC38D1"/>
    <w:rsid w:val="00CC38D8"/>
    <w:rsid w:val="00CC38D9"/>
    <w:rsid w:val="00CC3905"/>
    <w:rsid w:val="00CC3913"/>
    <w:rsid w:val="00CC393D"/>
    <w:rsid w:val="00CC396F"/>
    <w:rsid w:val="00CC398C"/>
    <w:rsid w:val="00CC39AE"/>
    <w:rsid w:val="00CC39B1"/>
    <w:rsid w:val="00CC39E4"/>
    <w:rsid w:val="00CC39E6"/>
    <w:rsid w:val="00CC3A00"/>
    <w:rsid w:val="00CC3A4D"/>
    <w:rsid w:val="00CC3A67"/>
    <w:rsid w:val="00CC3A70"/>
    <w:rsid w:val="00CC3A88"/>
    <w:rsid w:val="00CC3A8B"/>
    <w:rsid w:val="00CC3ADE"/>
    <w:rsid w:val="00CC3AF6"/>
    <w:rsid w:val="00CC3B99"/>
    <w:rsid w:val="00CC3C07"/>
    <w:rsid w:val="00CC3CF0"/>
    <w:rsid w:val="00CC3D00"/>
    <w:rsid w:val="00CC3E4E"/>
    <w:rsid w:val="00CC3EED"/>
    <w:rsid w:val="00CC3F26"/>
    <w:rsid w:val="00CC3F52"/>
    <w:rsid w:val="00CC3F9D"/>
    <w:rsid w:val="00CC3FC8"/>
    <w:rsid w:val="00CC4014"/>
    <w:rsid w:val="00CC4021"/>
    <w:rsid w:val="00CC4034"/>
    <w:rsid w:val="00CC4089"/>
    <w:rsid w:val="00CC40BD"/>
    <w:rsid w:val="00CC40DB"/>
    <w:rsid w:val="00CC42DE"/>
    <w:rsid w:val="00CC42FF"/>
    <w:rsid w:val="00CC4320"/>
    <w:rsid w:val="00CC4334"/>
    <w:rsid w:val="00CC4343"/>
    <w:rsid w:val="00CC4346"/>
    <w:rsid w:val="00CC43C4"/>
    <w:rsid w:val="00CC44BA"/>
    <w:rsid w:val="00CC44D6"/>
    <w:rsid w:val="00CC44F2"/>
    <w:rsid w:val="00CC4556"/>
    <w:rsid w:val="00CC455A"/>
    <w:rsid w:val="00CC4678"/>
    <w:rsid w:val="00CC46DA"/>
    <w:rsid w:val="00CC46F8"/>
    <w:rsid w:val="00CC474B"/>
    <w:rsid w:val="00CC475E"/>
    <w:rsid w:val="00CC4791"/>
    <w:rsid w:val="00CC47C0"/>
    <w:rsid w:val="00CC482E"/>
    <w:rsid w:val="00CC483A"/>
    <w:rsid w:val="00CC485B"/>
    <w:rsid w:val="00CC488D"/>
    <w:rsid w:val="00CC48A2"/>
    <w:rsid w:val="00CC4916"/>
    <w:rsid w:val="00CC497B"/>
    <w:rsid w:val="00CC4987"/>
    <w:rsid w:val="00CC498F"/>
    <w:rsid w:val="00CC4A34"/>
    <w:rsid w:val="00CC4A75"/>
    <w:rsid w:val="00CC4B0A"/>
    <w:rsid w:val="00CC4BEE"/>
    <w:rsid w:val="00CC4C13"/>
    <w:rsid w:val="00CC4C17"/>
    <w:rsid w:val="00CC4C59"/>
    <w:rsid w:val="00CC4C9A"/>
    <w:rsid w:val="00CC4CB3"/>
    <w:rsid w:val="00CC4CCA"/>
    <w:rsid w:val="00CC4D44"/>
    <w:rsid w:val="00CC4D82"/>
    <w:rsid w:val="00CC4DAB"/>
    <w:rsid w:val="00CC4E23"/>
    <w:rsid w:val="00CC4E26"/>
    <w:rsid w:val="00CC4E84"/>
    <w:rsid w:val="00CC4EBE"/>
    <w:rsid w:val="00CC4EE5"/>
    <w:rsid w:val="00CC4EFD"/>
    <w:rsid w:val="00CC4F41"/>
    <w:rsid w:val="00CC4FF6"/>
    <w:rsid w:val="00CC502A"/>
    <w:rsid w:val="00CC5045"/>
    <w:rsid w:val="00CC5064"/>
    <w:rsid w:val="00CC5093"/>
    <w:rsid w:val="00CC50FC"/>
    <w:rsid w:val="00CC5113"/>
    <w:rsid w:val="00CC513C"/>
    <w:rsid w:val="00CC517F"/>
    <w:rsid w:val="00CC5198"/>
    <w:rsid w:val="00CC51A2"/>
    <w:rsid w:val="00CC51DA"/>
    <w:rsid w:val="00CC5217"/>
    <w:rsid w:val="00CC5278"/>
    <w:rsid w:val="00CC52A3"/>
    <w:rsid w:val="00CC52B2"/>
    <w:rsid w:val="00CC52C8"/>
    <w:rsid w:val="00CC52D0"/>
    <w:rsid w:val="00CC5307"/>
    <w:rsid w:val="00CC537C"/>
    <w:rsid w:val="00CC53A1"/>
    <w:rsid w:val="00CC53AB"/>
    <w:rsid w:val="00CC5418"/>
    <w:rsid w:val="00CC545F"/>
    <w:rsid w:val="00CC5464"/>
    <w:rsid w:val="00CC5487"/>
    <w:rsid w:val="00CC54AF"/>
    <w:rsid w:val="00CC54F9"/>
    <w:rsid w:val="00CC550B"/>
    <w:rsid w:val="00CC552B"/>
    <w:rsid w:val="00CC5536"/>
    <w:rsid w:val="00CC5566"/>
    <w:rsid w:val="00CC55B5"/>
    <w:rsid w:val="00CC5624"/>
    <w:rsid w:val="00CC564D"/>
    <w:rsid w:val="00CC565C"/>
    <w:rsid w:val="00CC56DD"/>
    <w:rsid w:val="00CC56EF"/>
    <w:rsid w:val="00CC57AC"/>
    <w:rsid w:val="00CC5844"/>
    <w:rsid w:val="00CC5849"/>
    <w:rsid w:val="00CC588C"/>
    <w:rsid w:val="00CC58C2"/>
    <w:rsid w:val="00CC58F2"/>
    <w:rsid w:val="00CC5929"/>
    <w:rsid w:val="00CC5995"/>
    <w:rsid w:val="00CC5A6A"/>
    <w:rsid w:val="00CC5ABB"/>
    <w:rsid w:val="00CC5AE3"/>
    <w:rsid w:val="00CC5AFA"/>
    <w:rsid w:val="00CC5B00"/>
    <w:rsid w:val="00CC5B2F"/>
    <w:rsid w:val="00CC5BE7"/>
    <w:rsid w:val="00CC5C25"/>
    <w:rsid w:val="00CC5C50"/>
    <w:rsid w:val="00CC5C79"/>
    <w:rsid w:val="00CC5C88"/>
    <w:rsid w:val="00CC5D61"/>
    <w:rsid w:val="00CC5F5B"/>
    <w:rsid w:val="00CC5F64"/>
    <w:rsid w:val="00CC5F6D"/>
    <w:rsid w:val="00CC5F84"/>
    <w:rsid w:val="00CC5F91"/>
    <w:rsid w:val="00CC602C"/>
    <w:rsid w:val="00CC604B"/>
    <w:rsid w:val="00CC6094"/>
    <w:rsid w:val="00CC614B"/>
    <w:rsid w:val="00CC616D"/>
    <w:rsid w:val="00CC6194"/>
    <w:rsid w:val="00CC619C"/>
    <w:rsid w:val="00CC61C7"/>
    <w:rsid w:val="00CC61D1"/>
    <w:rsid w:val="00CC61E4"/>
    <w:rsid w:val="00CC6273"/>
    <w:rsid w:val="00CC62DF"/>
    <w:rsid w:val="00CC62E1"/>
    <w:rsid w:val="00CC6349"/>
    <w:rsid w:val="00CC634B"/>
    <w:rsid w:val="00CC63F2"/>
    <w:rsid w:val="00CC63F3"/>
    <w:rsid w:val="00CC63F4"/>
    <w:rsid w:val="00CC6441"/>
    <w:rsid w:val="00CC645F"/>
    <w:rsid w:val="00CC6482"/>
    <w:rsid w:val="00CC6541"/>
    <w:rsid w:val="00CC654C"/>
    <w:rsid w:val="00CC655F"/>
    <w:rsid w:val="00CC65C5"/>
    <w:rsid w:val="00CC65CE"/>
    <w:rsid w:val="00CC6600"/>
    <w:rsid w:val="00CC661E"/>
    <w:rsid w:val="00CC6620"/>
    <w:rsid w:val="00CC665B"/>
    <w:rsid w:val="00CC665E"/>
    <w:rsid w:val="00CC66C8"/>
    <w:rsid w:val="00CC670D"/>
    <w:rsid w:val="00CC6717"/>
    <w:rsid w:val="00CC6800"/>
    <w:rsid w:val="00CC68B7"/>
    <w:rsid w:val="00CC6AC3"/>
    <w:rsid w:val="00CC6B9E"/>
    <w:rsid w:val="00CC6BA6"/>
    <w:rsid w:val="00CC6CC9"/>
    <w:rsid w:val="00CC6D36"/>
    <w:rsid w:val="00CC6D95"/>
    <w:rsid w:val="00CC6DC3"/>
    <w:rsid w:val="00CC6F8C"/>
    <w:rsid w:val="00CC6FE3"/>
    <w:rsid w:val="00CC700B"/>
    <w:rsid w:val="00CC7063"/>
    <w:rsid w:val="00CC7064"/>
    <w:rsid w:val="00CC7082"/>
    <w:rsid w:val="00CC708F"/>
    <w:rsid w:val="00CC70C5"/>
    <w:rsid w:val="00CC70D1"/>
    <w:rsid w:val="00CC70F5"/>
    <w:rsid w:val="00CC7112"/>
    <w:rsid w:val="00CC7137"/>
    <w:rsid w:val="00CC71D6"/>
    <w:rsid w:val="00CC71E4"/>
    <w:rsid w:val="00CC7277"/>
    <w:rsid w:val="00CC72F1"/>
    <w:rsid w:val="00CC73BD"/>
    <w:rsid w:val="00CC74BD"/>
    <w:rsid w:val="00CC74D6"/>
    <w:rsid w:val="00CC74E9"/>
    <w:rsid w:val="00CC7518"/>
    <w:rsid w:val="00CC7565"/>
    <w:rsid w:val="00CC75C0"/>
    <w:rsid w:val="00CC760A"/>
    <w:rsid w:val="00CC767B"/>
    <w:rsid w:val="00CC768A"/>
    <w:rsid w:val="00CC76FC"/>
    <w:rsid w:val="00CC7727"/>
    <w:rsid w:val="00CC777A"/>
    <w:rsid w:val="00CC7790"/>
    <w:rsid w:val="00CC77A7"/>
    <w:rsid w:val="00CC77E5"/>
    <w:rsid w:val="00CC780C"/>
    <w:rsid w:val="00CC78A2"/>
    <w:rsid w:val="00CC78B1"/>
    <w:rsid w:val="00CC790E"/>
    <w:rsid w:val="00CC7923"/>
    <w:rsid w:val="00CC79E3"/>
    <w:rsid w:val="00CC79E8"/>
    <w:rsid w:val="00CC79F7"/>
    <w:rsid w:val="00CC7A12"/>
    <w:rsid w:val="00CC7A25"/>
    <w:rsid w:val="00CC7A46"/>
    <w:rsid w:val="00CC7A83"/>
    <w:rsid w:val="00CC7AB3"/>
    <w:rsid w:val="00CC7AD3"/>
    <w:rsid w:val="00CC7B58"/>
    <w:rsid w:val="00CC7B5E"/>
    <w:rsid w:val="00CC7C0C"/>
    <w:rsid w:val="00CC7C4E"/>
    <w:rsid w:val="00CC7CB7"/>
    <w:rsid w:val="00CC7CF7"/>
    <w:rsid w:val="00CC7D0C"/>
    <w:rsid w:val="00CC7D23"/>
    <w:rsid w:val="00CC7D58"/>
    <w:rsid w:val="00CC7DC9"/>
    <w:rsid w:val="00CC7DF4"/>
    <w:rsid w:val="00CC7E18"/>
    <w:rsid w:val="00CC7E64"/>
    <w:rsid w:val="00CC7EA2"/>
    <w:rsid w:val="00CC7EA3"/>
    <w:rsid w:val="00CC7EAC"/>
    <w:rsid w:val="00CC7EC3"/>
    <w:rsid w:val="00CC7EDF"/>
    <w:rsid w:val="00CC7F8B"/>
    <w:rsid w:val="00CC7F9D"/>
    <w:rsid w:val="00CC7FAA"/>
    <w:rsid w:val="00CC7FD6"/>
    <w:rsid w:val="00CD000A"/>
    <w:rsid w:val="00CD0028"/>
    <w:rsid w:val="00CD0082"/>
    <w:rsid w:val="00CD009F"/>
    <w:rsid w:val="00CD00FC"/>
    <w:rsid w:val="00CD0166"/>
    <w:rsid w:val="00CD0214"/>
    <w:rsid w:val="00CD0227"/>
    <w:rsid w:val="00CD0254"/>
    <w:rsid w:val="00CD025C"/>
    <w:rsid w:val="00CD026D"/>
    <w:rsid w:val="00CD0279"/>
    <w:rsid w:val="00CD02C7"/>
    <w:rsid w:val="00CD030E"/>
    <w:rsid w:val="00CD0313"/>
    <w:rsid w:val="00CD035C"/>
    <w:rsid w:val="00CD03A6"/>
    <w:rsid w:val="00CD03F1"/>
    <w:rsid w:val="00CD04C9"/>
    <w:rsid w:val="00CD04D8"/>
    <w:rsid w:val="00CD0522"/>
    <w:rsid w:val="00CD056A"/>
    <w:rsid w:val="00CD056F"/>
    <w:rsid w:val="00CD0591"/>
    <w:rsid w:val="00CD05D3"/>
    <w:rsid w:val="00CD0636"/>
    <w:rsid w:val="00CD0657"/>
    <w:rsid w:val="00CD06A5"/>
    <w:rsid w:val="00CD0709"/>
    <w:rsid w:val="00CD072C"/>
    <w:rsid w:val="00CD073E"/>
    <w:rsid w:val="00CD0809"/>
    <w:rsid w:val="00CD0838"/>
    <w:rsid w:val="00CD092C"/>
    <w:rsid w:val="00CD097A"/>
    <w:rsid w:val="00CD09D3"/>
    <w:rsid w:val="00CD09F9"/>
    <w:rsid w:val="00CD0A00"/>
    <w:rsid w:val="00CD0A76"/>
    <w:rsid w:val="00CD0A9A"/>
    <w:rsid w:val="00CD0AA1"/>
    <w:rsid w:val="00CD0B40"/>
    <w:rsid w:val="00CD0B51"/>
    <w:rsid w:val="00CD0BAF"/>
    <w:rsid w:val="00CD0C07"/>
    <w:rsid w:val="00CD0C13"/>
    <w:rsid w:val="00CD0C1D"/>
    <w:rsid w:val="00CD0C22"/>
    <w:rsid w:val="00CD0D2C"/>
    <w:rsid w:val="00CD0E4F"/>
    <w:rsid w:val="00CD0EB1"/>
    <w:rsid w:val="00CD0EE5"/>
    <w:rsid w:val="00CD0F17"/>
    <w:rsid w:val="00CD0F61"/>
    <w:rsid w:val="00CD0F6D"/>
    <w:rsid w:val="00CD0F96"/>
    <w:rsid w:val="00CD0FC9"/>
    <w:rsid w:val="00CD0FCF"/>
    <w:rsid w:val="00CD0FD6"/>
    <w:rsid w:val="00CD0FE1"/>
    <w:rsid w:val="00CD1098"/>
    <w:rsid w:val="00CD10C4"/>
    <w:rsid w:val="00CD115F"/>
    <w:rsid w:val="00CD1169"/>
    <w:rsid w:val="00CD116A"/>
    <w:rsid w:val="00CD1199"/>
    <w:rsid w:val="00CD11AF"/>
    <w:rsid w:val="00CD1234"/>
    <w:rsid w:val="00CD1251"/>
    <w:rsid w:val="00CD1284"/>
    <w:rsid w:val="00CD1308"/>
    <w:rsid w:val="00CD1323"/>
    <w:rsid w:val="00CD1326"/>
    <w:rsid w:val="00CD1369"/>
    <w:rsid w:val="00CD137B"/>
    <w:rsid w:val="00CD1386"/>
    <w:rsid w:val="00CD1394"/>
    <w:rsid w:val="00CD139C"/>
    <w:rsid w:val="00CD13BF"/>
    <w:rsid w:val="00CD1441"/>
    <w:rsid w:val="00CD144B"/>
    <w:rsid w:val="00CD1466"/>
    <w:rsid w:val="00CD1478"/>
    <w:rsid w:val="00CD14B4"/>
    <w:rsid w:val="00CD14E3"/>
    <w:rsid w:val="00CD151D"/>
    <w:rsid w:val="00CD1523"/>
    <w:rsid w:val="00CD1546"/>
    <w:rsid w:val="00CD156E"/>
    <w:rsid w:val="00CD15A8"/>
    <w:rsid w:val="00CD15B9"/>
    <w:rsid w:val="00CD15E0"/>
    <w:rsid w:val="00CD160B"/>
    <w:rsid w:val="00CD165F"/>
    <w:rsid w:val="00CD170A"/>
    <w:rsid w:val="00CD17F3"/>
    <w:rsid w:val="00CD181C"/>
    <w:rsid w:val="00CD183E"/>
    <w:rsid w:val="00CD1878"/>
    <w:rsid w:val="00CD18D1"/>
    <w:rsid w:val="00CD194B"/>
    <w:rsid w:val="00CD19A5"/>
    <w:rsid w:val="00CD19D7"/>
    <w:rsid w:val="00CD19FA"/>
    <w:rsid w:val="00CD1A13"/>
    <w:rsid w:val="00CD1A44"/>
    <w:rsid w:val="00CD1A4C"/>
    <w:rsid w:val="00CD1B37"/>
    <w:rsid w:val="00CD1B6D"/>
    <w:rsid w:val="00CD1B9F"/>
    <w:rsid w:val="00CD1BA6"/>
    <w:rsid w:val="00CD1BDC"/>
    <w:rsid w:val="00CD1BF0"/>
    <w:rsid w:val="00CD1D20"/>
    <w:rsid w:val="00CD1D6E"/>
    <w:rsid w:val="00CD1D99"/>
    <w:rsid w:val="00CD1DAF"/>
    <w:rsid w:val="00CD1E0F"/>
    <w:rsid w:val="00CD1E22"/>
    <w:rsid w:val="00CD1E70"/>
    <w:rsid w:val="00CD1EE1"/>
    <w:rsid w:val="00CD1F26"/>
    <w:rsid w:val="00CD203D"/>
    <w:rsid w:val="00CD2059"/>
    <w:rsid w:val="00CD206D"/>
    <w:rsid w:val="00CD20C9"/>
    <w:rsid w:val="00CD20D7"/>
    <w:rsid w:val="00CD2189"/>
    <w:rsid w:val="00CD218B"/>
    <w:rsid w:val="00CD2197"/>
    <w:rsid w:val="00CD21CB"/>
    <w:rsid w:val="00CD21E4"/>
    <w:rsid w:val="00CD2317"/>
    <w:rsid w:val="00CD23E7"/>
    <w:rsid w:val="00CD23EC"/>
    <w:rsid w:val="00CD2419"/>
    <w:rsid w:val="00CD2442"/>
    <w:rsid w:val="00CD246F"/>
    <w:rsid w:val="00CD24AE"/>
    <w:rsid w:val="00CD24FD"/>
    <w:rsid w:val="00CD2568"/>
    <w:rsid w:val="00CD25AD"/>
    <w:rsid w:val="00CD264B"/>
    <w:rsid w:val="00CD26AF"/>
    <w:rsid w:val="00CD26BB"/>
    <w:rsid w:val="00CD26CD"/>
    <w:rsid w:val="00CD26FD"/>
    <w:rsid w:val="00CD2711"/>
    <w:rsid w:val="00CD2737"/>
    <w:rsid w:val="00CD2739"/>
    <w:rsid w:val="00CD2752"/>
    <w:rsid w:val="00CD2768"/>
    <w:rsid w:val="00CD27B0"/>
    <w:rsid w:val="00CD285E"/>
    <w:rsid w:val="00CD2863"/>
    <w:rsid w:val="00CD286D"/>
    <w:rsid w:val="00CD28CC"/>
    <w:rsid w:val="00CD290D"/>
    <w:rsid w:val="00CD292B"/>
    <w:rsid w:val="00CD292F"/>
    <w:rsid w:val="00CD2949"/>
    <w:rsid w:val="00CD29A7"/>
    <w:rsid w:val="00CD29A9"/>
    <w:rsid w:val="00CD29DD"/>
    <w:rsid w:val="00CD29FD"/>
    <w:rsid w:val="00CD2A0F"/>
    <w:rsid w:val="00CD2A36"/>
    <w:rsid w:val="00CD2A48"/>
    <w:rsid w:val="00CD2A57"/>
    <w:rsid w:val="00CD2AE0"/>
    <w:rsid w:val="00CD2B61"/>
    <w:rsid w:val="00CD2C2B"/>
    <w:rsid w:val="00CD2C99"/>
    <w:rsid w:val="00CD2D22"/>
    <w:rsid w:val="00CD2D2D"/>
    <w:rsid w:val="00CD2D9B"/>
    <w:rsid w:val="00CD2DD8"/>
    <w:rsid w:val="00CD2E4F"/>
    <w:rsid w:val="00CD2E59"/>
    <w:rsid w:val="00CD2F1D"/>
    <w:rsid w:val="00CD2F5F"/>
    <w:rsid w:val="00CD2FCC"/>
    <w:rsid w:val="00CD300C"/>
    <w:rsid w:val="00CD30A0"/>
    <w:rsid w:val="00CD30AA"/>
    <w:rsid w:val="00CD30D7"/>
    <w:rsid w:val="00CD3135"/>
    <w:rsid w:val="00CD317D"/>
    <w:rsid w:val="00CD31AF"/>
    <w:rsid w:val="00CD31FA"/>
    <w:rsid w:val="00CD323E"/>
    <w:rsid w:val="00CD3244"/>
    <w:rsid w:val="00CD32F1"/>
    <w:rsid w:val="00CD3315"/>
    <w:rsid w:val="00CD3338"/>
    <w:rsid w:val="00CD33C1"/>
    <w:rsid w:val="00CD3420"/>
    <w:rsid w:val="00CD34A9"/>
    <w:rsid w:val="00CD3502"/>
    <w:rsid w:val="00CD357F"/>
    <w:rsid w:val="00CD3593"/>
    <w:rsid w:val="00CD365E"/>
    <w:rsid w:val="00CD3689"/>
    <w:rsid w:val="00CD3709"/>
    <w:rsid w:val="00CD3734"/>
    <w:rsid w:val="00CD3787"/>
    <w:rsid w:val="00CD37E6"/>
    <w:rsid w:val="00CD37F6"/>
    <w:rsid w:val="00CD38F2"/>
    <w:rsid w:val="00CD38FD"/>
    <w:rsid w:val="00CD3922"/>
    <w:rsid w:val="00CD3958"/>
    <w:rsid w:val="00CD3988"/>
    <w:rsid w:val="00CD39B2"/>
    <w:rsid w:val="00CD3A3D"/>
    <w:rsid w:val="00CD3ABF"/>
    <w:rsid w:val="00CD3AE6"/>
    <w:rsid w:val="00CD3BD8"/>
    <w:rsid w:val="00CD3C23"/>
    <w:rsid w:val="00CD3C2E"/>
    <w:rsid w:val="00CD3C3B"/>
    <w:rsid w:val="00CD3C7B"/>
    <w:rsid w:val="00CD3CD1"/>
    <w:rsid w:val="00CD3D2C"/>
    <w:rsid w:val="00CD3D6E"/>
    <w:rsid w:val="00CD3E4B"/>
    <w:rsid w:val="00CD3EAD"/>
    <w:rsid w:val="00CD3EF3"/>
    <w:rsid w:val="00CD3F08"/>
    <w:rsid w:val="00CD3F5D"/>
    <w:rsid w:val="00CD3F8C"/>
    <w:rsid w:val="00CD3FF7"/>
    <w:rsid w:val="00CD405D"/>
    <w:rsid w:val="00CD407A"/>
    <w:rsid w:val="00CD40C9"/>
    <w:rsid w:val="00CD40F0"/>
    <w:rsid w:val="00CD41D8"/>
    <w:rsid w:val="00CD41E7"/>
    <w:rsid w:val="00CD423B"/>
    <w:rsid w:val="00CD42CA"/>
    <w:rsid w:val="00CD42D5"/>
    <w:rsid w:val="00CD42D9"/>
    <w:rsid w:val="00CD42DD"/>
    <w:rsid w:val="00CD431D"/>
    <w:rsid w:val="00CD4337"/>
    <w:rsid w:val="00CD4354"/>
    <w:rsid w:val="00CD4372"/>
    <w:rsid w:val="00CD4381"/>
    <w:rsid w:val="00CD4394"/>
    <w:rsid w:val="00CD43C0"/>
    <w:rsid w:val="00CD43F0"/>
    <w:rsid w:val="00CD43F4"/>
    <w:rsid w:val="00CD4468"/>
    <w:rsid w:val="00CD449E"/>
    <w:rsid w:val="00CD44A1"/>
    <w:rsid w:val="00CD44C0"/>
    <w:rsid w:val="00CD44CD"/>
    <w:rsid w:val="00CD44D8"/>
    <w:rsid w:val="00CD44DC"/>
    <w:rsid w:val="00CD44EA"/>
    <w:rsid w:val="00CD458E"/>
    <w:rsid w:val="00CD45B0"/>
    <w:rsid w:val="00CD45B4"/>
    <w:rsid w:val="00CD461F"/>
    <w:rsid w:val="00CD4662"/>
    <w:rsid w:val="00CD46DB"/>
    <w:rsid w:val="00CD4707"/>
    <w:rsid w:val="00CD47AB"/>
    <w:rsid w:val="00CD481B"/>
    <w:rsid w:val="00CD4825"/>
    <w:rsid w:val="00CD482A"/>
    <w:rsid w:val="00CD48AD"/>
    <w:rsid w:val="00CD48F6"/>
    <w:rsid w:val="00CD4928"/>
    <w:rsid w:val="00CD49A3"/>
    <w:rsid w:val="00CD49F2"/>
    <w:rsid w:val="00CD4A27"/>
    <w:rsid w:val="00CD4AA1"/>
    <w:rsid w:val="00CD4AA4"/>
    <w:rsid w:val="00CD4ACD"/>
    <w:rsid w:val="00CD4B17"/>
    <w:rsid w:val="00CD4B8C"/>
    <w:rsid w:val="00CD4B97"/>
    <w:rsid w:val="00CD4BB2"/>
    <w:rsid w:val="00CD4C34"/>
    <w:rsid w:val="00CD4CC0"/>
    <w:rsid w:val="00CD4D62"/>
    <w:rsid w:val="00CD4E1A"/>
    <w:rsid w:val="00CD4E6E"/>
    <w:rsid w:val="00CD4E82"/>
    <w:rsid w:val="00CD4EA6"/>
    <w:rsid w:val="00CD4F06"/>
    <w:rsid w:val="00CD4F3C"/>
    <w:rsid w:val="00CD4F63"/>
    <w:rsid w:val="00CD4FB0"/>
    <w:rsid w:val="00CD4FD0"/>
    <w:rsid w:val="00CD5085"/>
    <w:rsid w:val="00CD50AB"/>
    <w:rsid w:val="00CD5131"/>
    <w:rsid w:val="00CD5135"/>
    <w:rsid w:val="00CD51E8"/>
    <w:rsid w:val="00CD5208"/>
    <w:rsid w:val="00CD5211"/>
    <w:rsid w:val="00CD5213"/>
    <w:rsid w:val="00CD529D"/>
    <w:rsid w:val="00CD52C3"/>
    <w:rsid w:val="00CD52D1"/>
    <w:rsid w:val="00CD5310"/>
    <w:rsid w:val="00CD536A"/>
    <w:rsid w:val="00CD5436"/>
    <w:rsid w:val="00CD544B"/>
    <w:rsid w:val="00CD5460"/>
    <w:rsid w:val="00CD5461"/>
    <w:rsid w:val="00CD5478"/>
    <w:rsid w:val="00CD54D0"/>
    <w:rsid w:val="00CD5525"/>
    <w:rsid w:val="00CD554E"/>
    <w:rsid w:val="00CD5582"/>
    <w:rsid w:val="00CD55C8"/>
    <w:rsid w:val="00CD5649"/>
    <w:rsid w:val="00CD56CC"/>
    <w:rsid w:val="00CD5744"/>
    <w:rsid w:val="00CD5758"/>
    <w:rsid w:val="00CD5776"/>
    <w:rsid w:val="00CD578D"/>
    <w:rsid w:val="00CD57F5"/>
    <w:rsid w:val="00CD582B"/>
    <w:rsid w:val="00CD58BD"/>
    <w:rsid w:val="00CD58E0"/>
    <w:rsid w:val="00CD598A"/>
    <w:rsid w:val="00CD59BC"/>
    <w:rsid w:val="00CD59CA"/>
    <w:rsid w:val="00CD59F1"/>
    <w:rsid w:val="00CD5A00"/>
    <w:rsid w:val="00CD5A55"/>
    <w:rsid w:val="00CD5A72"/>
    <w:rsid w:val="00CD5A8F"/>
    <w:rsid w:val="00CD5ACE"/>
    <w:rsid w:val="00CD5B1F"/>
    <w:rsid w:val="00CD5B60"/>
    <w:rsid w:val="00CD5B6B"/>
    <w:rsid w:val="00CD5BD1"/>
    <w:rsid w:val="00CD5C0B"/>
    <w:rsid w:val="00CD5C32"/>
    <w:rsid w:val="00CD5CA4"/>
    <w:rsid w:val="00CD5D37"/>
    <w:rsid w:val="00CD5D38"/>
    <w:rsid w:val="00CD5D57"/>
    <w:rsid w:val="00CD5D6E"/>
    <w:rsid w:val="00CD5D9B"/>
    <w:rsid w:val="00CD5DA7"/>
    <w:rsid w:val="00CD5DF5"/>
    <w:rsid w:val="00CD5E4A"/>
    <w:rsid w:val="00CD5F0F"/>
    <w:rsid w:val="00CD5F8D"/>
    <w:rsid w:val="00CD610C"/>
    <w:rsid w:val="00CD613B"/>
    <w:rsid w:val="00CD614B"/>
    <w:rsid w:val="00CD6170"/>
    <w:rsid w:val="00CD6178"/>
    <w:rsid w:val="00CD61B7"/>
    <w:rsid w:val="00CD61EE"/>
    <w:rsid w:val="00CD6260"/>
    <w:rsid w:val="00CD62FA"/>
    <w:rsid w:val="00CD63B2"/>
    <w:rsid w:val="00CD63B5"/>
    <w:rsid w:val="00CD63DF"/>
    <w:rsid w:val="00CD6436"/>
    <w:rsid w:val="00CD64D5"/>
    <w:rsid w:val="00CD64DB"/>
    <w:rsid w:val="00CD655B"/>
    <w:rsid w:val="00CD655D"/>
    <w:rsid w:val="00CD6578"/>
    <w:rsid w:val="00CD657F"/>
    <w:rsid w:val="00CD65A5"/>
    <w:rsid w:val="00CD65EA"/>
    <w:rsid w:val="00CD65F2"/>
    <w:rsid w:val="00CD664F"/>
    <w:rsid w:val="00CD66EF"/>
    <w:rsid w:val="00CD670E"/>
    <w:rsid w:val="00CD68B8"/>
    <w:rsid w:val="00CD68CB"/>
    <w:rsid w:val="00CD68FF"/>
    <w:rsid w:val="00CD695C"/>
    <w:rsid w:val="00CD6999"/>
    <w:rsid w:val="00CD69D3"/>
    <w:rsid w:val="00CD69D6"/>
    <w:rsid w:val="00CD6A9E"/>
    <w:rsid w:val="00CD6AA5"/>
    <w:rsid w:val="00CD6AF7"/>
    <w:rsid w:val="00CD6B56"/>
    <w:rsid w:val="00CD6BA7"/>
    <w:rsid w:val="00CD6BE3"/>
    <w:rsid w:val="00CD6C29"/>
    <w:rsid w:val="00CD6C5F"/>
    <w:rsid w:val="00CD6C9D"/>
    <w:rsid w:val="00CD6CD1"/>
    <w:rsid w:val="00CD6CF8"/>
    <w:rsid w:val="00CD6D47"/>
    <w:rsid w:val="00CD6DAF"/>
    <w:rsid w:val="00CD6DFE"/>
    <w:rsid w:val="00CD6E06"/>
    <w:rsid w:val="00CD6E89"/>
    <w:rsid w:val="00CD6F24"/>
    <w:rsid w:val="00CD6F67"/>
    <w:rsid w:val="00CD6F6C"/>
    <w:rsid w:val="00CD6FD5"/>
    <w:rsid w:val="00CD6FD9"/>
    <w:rsid w:val="00CD6FFF"/>
    <w:rsid w:val="00CD701A"/>
    <w:rsid w:val="00CD701F"/>
    <w:rsid w:val="00CD703F"/>
    <w:rsid w:val="00CD7048"/>
    <w:rsid w:val="00CD7119"/>
    <w:rsid w:val="00CD7170"/>
    <w:rsid w:val="00CD7186"/>
    <w:rsid w:val="00CD71FF"/>
    <w:rsid w:val="00CD7203"/>
    <w:rsid w:val="00CD7213"/>
    <w:rsid w:val="00CD7290"/>
    <w:rsid w:val="00CD72AB"/>
    <w:rsid w:val="00CD72AC"/>
    <w:rsid w:val="00CD72C4"/>
    <w:rsid w:val="00CD7364"/>
    <w:rsid w:val="00CD736D"/>
    <w:rsid w:val="00CD737E"/>
    <w:rsid w:val="00CD741F"/>
    <w:rsid w:val="00CD7446"/>
    <w:rsid w:val="00CD7448"/>
    <w:rsid w:val="00CD748E"/>
    <w:rsid w:val="00CD74FC"/>
    <w:rsid w:val="00CD7531"/>
    <w:rsid w:val="00CD7563"/>
    <w:rsid w:val="00CD7571"/>
    <w:rsid w:val="00CD75DF"/>
    <w:rsid w:val="00CD7623"/>
    <w:rsid w:val="00CD76D2"/>
    <w:rsid w:val="00CD7711"/>
    <w:rsid w:val="00CD77CF"/>
    <w:rsid w:val="00CD7910"/>
    <w:rsid w:val="00CD794B"/>
    <w:rsid w:val="00CD79D9"/>
    <w:rsid w:val="00CD79EC"/>
    <w:rsid w:val="00CD7A4D"/>
    <w:rsid w:val="00CD7ABA"/>
    <w:rsid w:val="00CD7AE2"/>
    <w:rsid w:val="00CD7AE8"/>
    <w:rsid w:val="00CD7B56"/>
    <w:rsid w:val="00CD7BA9"/>
    <w:rsid w:val="00CD7C31"/>
    <w:rsid w:val="00CD7C53"/>
    <w:rsid w:val="00CD7C68"/>
    <w:rsid w:val="00CD7C9E"/>
    <w:rsid w:val="00CD7CD5"/>
    <w:rsid w:val="00CD7CFB"/>
    <w:rsid w:val="00CD7D88"/>
    <w:rsid w:val="00CD7D8B"/>
    <w:rsid w:val="00CD7DA3"/>
    <w:rsid w:val="00CD7DC0"/>
    <w:rsid w:val="00CD7E29"/>
    <w:rsid w:val="00CD7E3D"/>
    <w:rsid w:val="00CD7E5E"/>
    <w:rsid w:val="00CD7E66"/>
    <w:rsid w:val="00CD7EC0"/>
    <w:rsid w:val="00CD7ECF"/>
    <w:rsid w:val="00CD7F14"/>
    <w:rsid w:val="00CD7F24"/>
    <w:rsid w:val="00CD7FA8"/>
    <w:rsid w:val="00CD7FF4"/>
    <w:rsid w:val="00CE0013"/>
    <w:rsid w:val="00CE0040"/>
    <w:rsid w:val="00CE004C"/>
    <w:rsid w:val="00CE00BF"/>
    <w:rsid w:val="00CE00D1"/>
    <w:rsid w:val="00CE0143"/>
    <w:rsid w:val="00CE0177"/>
    <w:rsid w:val="00CE01C4"/>
    <w:rsid w:val="00CE01DC"/>
    <w:rsid w:val="00CE022E"/>
    <w:rsid w:val="00CE0237"/>
    <w:rsid w:val="00CE0264"/>
    <w:rsid w:val="00CE026E"/>
    <w:rsid w:val="00CE0278"/>
    <w:rsid w:val="00CE0282"/>
    <w:rsid w:val="00CE028B"/>
    <w:rsid w:val="00CE028D"/>
    <w:rsid w:val="00CE0298"/>
    <w:rsid w:val="00CE02BE"/>
    <w:rsid w:val="00CE02C9"/>
    <w:rsid w:val="00CE02DB"/>
    <w:rsid w:val="00CE02EB"/>
    <w:rsid w:val="00CE0306"/>
    <w:rsid w:val="00CE0309"/>
    <w:rsid w:val="00CE03BA"/>
    <w:rsid w:val="00CE03E2"/>
    <w:rsid w:val="00CE042F"/>
    <w:rsid w:val="00CE0430"/>
    <w:rsid w:val="00CE0436"/>
    <w:rsid w:val="00CE0459"/>
    <w:rsid w:val="00CE04C9"/>
    <w:rsid w:val="00CE04D3"/>
    <w:rsid w:val="00CE051F"/>
    <w:rsid w:val="00CE052D"/>
    <w:rsid w:val="00CE05A3"/>
    <w:rsid w:val="00CE05B1"/>
    <w:rsid w:val="00CE05B4"/>
    <w:rsid w:val="00CE05C9"/>
    <w:rsid w:val="00CE05D6"/>
    <w:rsid w:val="00CE0698"/>
    <w:rsid w:val="00CE06F6"/>
    <w:rsid w:val="00CE0741"/>
    <w:rsid w:val="00CE077A"/>
    <w:rsid w:val="00CE0795"/>
    <w:rsid w:val="00CE07AF"/>
    <w:rsid w:val="00CE07B0"/>
    <w:rsid w:val="00CE07C6"/>
    <w:rsid w:val="00CE07D8"/>
    <w:rsid w:val="00CE07EE"/>
    <w:rsid w:val="00CE080E"/>
    <w:rsid w:val="00CE0811"/>
    <w:rsid w:val="00CE0892"/>
    <w:rsid w:val="00CE0952"/>
    <w:rsid w:val="00CE0972"/>
    <w:rsid w:val="00CE0A05"/>
    <w:rsid w:val="00CE0A25"/>
    <w:rsid w:val="00CE0A57"/>
    <w:rsid w:val="00CE0A69"/>
    <w:rsid w:val="00CE0A90"/>
    <w:rsid w:val="00CE0ACC"/>
    <w:rsid w:val="00CE0AEA"/>
    <w:rsid w:val="00CE0B0C"/>
    <w:rsid w:val="00CE0B65"/>
    <w:rsid w:val="00CE0B9D"/>
    <w:rsid w:val="00CE0BDE"/>
    <w:rsid w:val="00CE0C1F"/>
    <w:rsid w:val="00CE0C33"/>
    <w:rsid w:val="00CE0C51"/>
    <w:rsid w:val="00CE0C96"/>
    <w:rsid w:val="00CE0C9C"/>
    <w:rsid w:val="00CE0D75"/>
    <w:rsid w:val="00CE0D9D"/>
    <w:rsid w:val="00CE0E15"/>
    <w:rsid w:val="00CE0E35"/>
    <w:rsid w:val="00CE0EA5"/>
    <w:rsid w:val="00CE0EE3"/>
    <w:rsid w:val="00CE0F18"/>
    <w:rsid w:val="00CE0F47"/>
    <w:rsid w:val="00CE0F49"/>
    <w:rsid w:val="00CE0F86"/>
    <w:rsid w:val="00CE0FCC"/>
    <w:rsid w:val="00CE0FF8"/>
    <w:rsid w:val="00CE1156"/>
    <w:rsid w:val="00CE1160"/>
    <w:rsid w:val="00CE1169"/>
    <w:rsid w:val="00CE116F"/>
    <w:rsid w:val="00CE1178"/>
    <w:rsid w:val="00CE11A5"/>
    <w:rsid w:val="00CE11AE"/>
    <w:rsid w:val="00CE11C8"/>
    <w:rsid w:val="00CE1202"/>
    <w:rsid w:val="00CE123B"/>
    <w:rsid w:val="00CE126A"/>
    <w:rsid w:val="00CE128F"/>
    <w:rsid w:val="00CE12E7"/>
    <w:rsid w:val="00CE13A8"/>
    <w:rsid w:val="00CE1435"/>
    <w:rsid w:val="00CE1487"/>
    <w:rsid w:val="00CE148D"/>
    <w:rsid w:val="00CE1494"/>
    <w:rsid w:val="00CE1503"/>
    <w:rsid w:val="00CE1508"/>
    <w:rsid w:val="00CE153B"/>
    <w:rsid w:val="00CE15B5"/>
    <w:rsid w:val="00CE1619"/>
    <w:rsid w:val="00CE16F3"/>
    <w:rsid w:val="00CE16F6"/>
    <w:rsid w:val="00CE174F"/>
    <w:rsid w:val="00CE177D"/>
    <w:rsid w:val="00CE187C"/>
    <w:rsid w:val="00CE1886"/>
    <w:rsid w:val="00CE18A7"/>
    <w:rsid w:val="00CE18CA"/>
    <w:rsid w:val="00CE18DE"/>
    <w:rsid w:val="00CE18EF"/>
    <w:rsid w:val="00CE194D"/>
    <w:rsid w:val="00CE1997"/>
    <w:rsid w:val="00CE19DD"/>
    <w:rsid w:val="00CE1A56"/>
    <w:rsid w:val="00CE1ABA"/>
    <w:rsid w:val="00CE1ADF"/>
    <w:rsid w:val="00CE1AF1"/>
    <w:rsid w:val="00CE1B09"/>
    <w:rsid w:val="00CE1B0D"/>
    <w:rsid w:val="00CE1B6E"/>
    <w:rsid w:val="00CE1BBB"/>
    <w:rsid w:val="00CE1C1B"/>
    <w:rsid w:val="00CE1C87"/>
    <w:rsid w:val="00CE1CB5"/>
    <w:rsid w:val="00CE1D30"/>
    <w:rsid w:val="00CE1D80"/>
    <w:rsid w:val="00CE1DAD"/>
    <w:rsid w:val="00CE1DDD"/>
    <w:rsid w:val="00CE1E15"/>
    <w:rsid w:val="00CE1E54"/>
    <w:rsid w:val="00CE1E83"/>
    <w:rsid w:val="00CE1ED1"/>
    <w:rsid w:val="00CE1F2A"/>
    <w:rsid w:val="00CE1F9F"/>
    <w:rsid w:val="00CE1FA2"/>
    <w:rsid w:val="00CE1FA5"/>
    <w:rsid w:val="00CE200D"/>
    <w:rsid w:val="00CE2059"/>
    <w:rsid w:val="00CE2067"/>
    <w:rsid w:val="00CE2093"/>
    <w:rsid w:val="00CE20E2"/>
    <w:rsid w:val="00CE212D"/>
    <w:rsid w:val="00CE2138"/>
    <w:rsid w:val="00CE214E"/>
    <w:rsid w:val="00CE2150"/>
    <w:rsid w:val="00CE2179"/>
    <w:rsid w:val="00CE21EB"/>
    <w:rsid w:val="00CE229A"/>
    <w:rsid w:val="00CE22AD"/>
    <w:rsid w:val="00CE22C8"/>
    <w:rsid w:val="00CE22D4"/>
    <w:rsid w:val="00CE22E6"/>
    <w:rsid w:val="00CE2359"/>
    <w:rsid w:val="00CE2394"/>
    <w:rsid w:val="00CE23A2"/>
    <w:rsid w:val="00CE23D7"/>
    <w:rsid w:val="00CE2468"/>
    <w:rsid w:val="00CE2478"/>
    <w:rsid w:val="00CE24C9"/>
    <w:rsid w:val="00CE2509"/>
    <w:rsid w:val="00CE252F"/>
    <w:rsid w:val="00CE2597"/>
    <w:rsid w:val="00CE25D1"/>
    <w:rsid w:val="00CE2625"/>
    <w:rsid w:val="00CE2659"/>
    <w:rsid w:val="00CE2677"/>
    <w:rsid w:val="00CE2754"/>
    <w:rsid w:val="00CE27B1"/>
    <w:rsid w:val="00CE27C4"/>
    <w:rsid w:val="00CE27E4"/>
    <w:rsid w:val="00CE285C"/>
    <w:rsid w:val="00CE287F"/>
    <w:rsid w:val="00CE28C0"/>
    <w:rsid w:val="00CE2904"/>
    <w:rsid w:val="00CE2939"/>
    <w:rsid w:val="00CE2957"/>
    <w:rsid w:val="00CE2973"/>
    <w:rsid w:val="00CE29B8"/>
    <w:rsid w:val="00CE2A22"/>
    <w:rsid w:val="00CE2AA1"/>
    <w:rsid w:val="00CE2B03"/>
    <w:rsid w:val="00CE2B50"/>
    <w:rsid w:val="00CE2B67"/>
    <w:rsid w:val="00CE2BA5"/>
    <w:rsid w:val="00CE2BC9"/>
    <w:rsid w:val="00CE2BDD"/>
    <w:rsid w:val="00CE2BEC"/>
    <w:rsid w:val="00CE2C02"/>
    <w:rsid w:val="00CE2C0B"/>
    <w:rsid w:val="00CE2C23"/>
    <w:rsid w:val="00CE2C2C"/>
    <w:rsid w:val="00CE2C44"/>
    <w:rsid w:val="00CE2C70"/>
    <w:rsid w:val="00CE2CEC"/>
    <w:rsid w:val="00CE2CFF"/>
    <w:rsid w:val="00CE2D19"/>
    <w:rsid w:val="00CE2D75"/>
    <w:rsid w:val="00CE2D8F"/>
    <w:rsid w:val="00CE2D9B"/>
    <w:rsid w:val="00CE2DB2"/>
    <w:rsid w:val="00CE2DF9"/>
    <w:rsid w:val="00CE2E06"/>
    <w:rsid w:val="00CE2E0B"/>
    <w:rsid w:val="00CE2E1C"/>
    <w:rsid w:val="00CE2E6E"/>
    <w:rsid w:val="00CE2EA5"/>
    <w:rsid w:val="00CE2EDF"/>
    <w:rsid w:val="00CE2F4B"/>
    <w:rsid w:val="00CE2FAD"/>
    <w:rsid w:val="00CE2FF8"/>
    <w:rsid w:val="00CE301F"/>
    <w:rsid w:val="00CE302C"/>
    <w:rsid w:val="00CE307B"/>
    <w:rsid w:val="00CE308B"/>
    <w:rsid w:val="00CE309C"/>
    <w:rsid w:val="00CE30C1"/>
    <w:rsid w:val="00CE30F3"/>
    <w:rsid w:val="00CE315B"/>
    <w:rsid w:val="00CE318C"/>
    <w:rsid w:val="00CE3191"/>
    <w:rsid w:val="00CE31AF"/>
    <w:rsid w:val="00CE31C9"/>
    <w:rsid w:val="00CE3277"/>
    <w:rsid w:val="00CE3279"/>
    <w:rsid w:val="00CE32DC"/>
    <w:rsid w:val="00CE32F8"/>
    <w:rsid w:val="00CE3327"/>
    <w:rsid w:val="00CE332A"/>
    <w:rsid w:val="00CE336A"/>
    <w:rsid w:val="00CE344B"/>
    <w:rsid w:val="00CE345C"/>
    <w:rsid w:val="00CE3468"/>
    <w:rsid w:val="00CE3482"/>
    <w:rsid w:val="00CE34B9"/>
    <w:rsid w:val="00CE368F"/>
    <w:rsid w:val="00CE36BC"/>
    <w:rsid w:val="00CE36D0"/>
    <w:rsid w:val="00CE3710"/>
    <w:rsid w:val="00CE3732"/>
    <w:rsid w:val="00CE374C"/>
    <w:rsid w:val="00CE376A"/>
    <w:rsid w:val="00CE37F5"/>
    <w:rsid w:val="00CE3809"/>
    <w:rsid w:val="00CE38A5"/>
    <w:rsid w:val="00CE38B0"/>
    <w:rsid w:val="00CE38C4"/>
    <w:rsid w:val="00CE38E3"/>
    <w:rsid w:val="00CE3908"/>
    <w:rsid w:val="00CE390B"/>
    <w:rsid w:val="00CE3949"/>
    <w:rsid w:val="00CE39BF"/>
    <w:rsid w:val="00CE39D5"/>
    <w:rsid w:val="00CE3A56"/>
    <w:rsid w:val="00CE3A72"/>
    <w:rsid w:val="00CE3AA1"/>
    <w:rsid w:val="00CE3AA7"/>
    <w:rsid w:val="00CE3AB6"/>
    <w:rsid w:val="00CE3AE2"/>
    <w:rsid w:val="00CE3B1A"/>
    <w:rsid w:val="00CE3B78"/>
    <w:rsid w:val="00CE3BA3"/>
    <w:rsid w:val="00CE3C18"/>
    <w:rsid w:val="00CE3C91"/>
    <w:rsid w:val="00CE3CD4"/>
    <w:rsid w:val="00CE3D19"/>
    <w:rsid w:val="00CE3D87"/>
    <w:rsid w:val="00CE3DC9"/>
    <w:rsid w:val="00CE3DCE"/>
    <w:rsid w:val="00CE3DF4"/>
    <w:rsid w:val="00CE3E0A"/>
    <w:rsid w:val="00CE3E67"/>
    <w:rsid w:val="00CE3E86"/>
    <w:rsid w:val="00CE3EA1"/>
    <w:rsid w:val="00CE3EB2"/>
    <w:rsid w:val="00CE3EC6"/>
    <w:rsid w:val="00CE3F18"/>
    <w:rsid w:val="00CE3F7F"/>
    <w:rsid w:val="00CE3FD0"/>
    <w:rsid w:val="00CE3FD8"/>
    <w:rsid w:val="00CE4023"/>
    <w:rsid w:val="00CE4033"/>
    <w:rsid w:val="00CE4043"/>
    <w:rsid w:val="00CE4052"/>
    <w:rsid w:val="00CE4095"/>
    <w:rsid w:val="00CE409B"/>
    <w:rsid w:val="00CE40A0"/>
    <w:rsid w:val="00CE40D6"/>
    <w:rsid w:val="00CE40F6"/>
    <w:rsid w:val="00CE412D"/>
    <w:rsid w:val="00CE4164"/>
    <w:rsid w:val="00CE41BF"/>
    <w:rsid w:val="00CE41D4"/>
    <w:rsid w:val="00CE4288"/>
    <w:rsid w:val="00CE430C"/>
    <w:rsid w:val="00CE431B"/>
    <w:rsid w:val="00CE433F"/>
    <w:rsid w:val="00CE4388"/>
    <w:rsid w:val="00CE43D3"/>
    <w:rsid w:val="00CE43EE"/>
    <w:rsid w:val="00CE4411"/>
    <w:rsid w:val="00CE4417"/>
    <w:rsid w:val="00CE44C8"/>
    <w:rsid w:val="00CE44CB"/>
    <w:rsid w:val="00CE44DE"/>
    <w:rsid w:val="00CE4533"/>
    <w:rsid w:val="00CE45AE"/>
    <w:rsid w:val="00CE45C0"/>
    <w:rsid w:val="00CE45EF"/>
    <w:rsid w:val="00CE45FB"/>
    <w:rsid w:val="00CE460E"/>
    <w:rsid w:val="00CE4656"/>
    <w:rsid w:val="00CE4662"/>
    <w:rsid w:val="00CE4683"/>
    <w:rsid w:val="00CE4692"/>
    <w:rsid w:val="00CE46DB"/>
    <w:rsid w:val="00CE46DF"/>
    <w:rsid w:val="00CE4720"/>
    <w:rsid w:val="00CE4785"/>
    <w:rsid w:val="00CE478C"/>
    <w:rsid w:val="00CE47C5"/>
    <w:rsid w:val="00CE492F"/>
    <w:rsid w:val="00CE4988"/>
    <w:rsid w:val="00CE49D3"/>
    <w:rsid w:val="00CE49E4"/>
    <w:rsid w:val="00CE49E6"/>
    <w:rsid w:val="00CE49EC"/>
    <w:rsid w:val="00CE49FD"/>
    <w:rsid w:val="00CE4A38"/>
    <w:rsid w:val="00CE4A3F"/>
    <w:rsid w:val="00CE4A45"/>
    <w:rsid w:val="00CE4A55"/>
    <w:rsid w:val="00CE4A65"/>
    <w:rsid w:val="00CE4A78"/>
    <w:rsid w:val="00CE4A85"/>
    <w:rsid w:val="00CE4AA1"/>
    <w:rsid w:val="00CE4AFC"/>
    <w:rsid w:val="00CE4B2E"/>
    <w:rsid w:val="00CE4B61"/>
    <w:rsid w:val="00CE4BC0"/>
    <w:rsid w:val="00CE4BD9"/>
    <w:rsid w:val="00CE4C23"/>
    <w:rsid w:val="00CE4C2C"/>
    <w:rsid w:val="00CE4CE2"/>
    <w:rsid w:val="00CE4CF0"/>
    <w:rsid w:val="00CE4D8F"/>
    <w:rsid w:val="00CE4E5B"/>
    <w:rsid w:val="00CE4EA8"/>
    <w:rsid w:val="00CE4EAF"/>
    <w:rsid w:val="00CE4ECE"/>
    <w:rsid w:val="00CE4EE5"/>
    <w:rsid w:val="00CE4F0E"/>
    <w:rsid w:val="00CE4F99"/>
    <w:rsid w:val="00CE4FB8"/>
    <w:rsid w:val="00CE4FCE"/>
    <w:rsid w:val="00CE4FF4"/>
    <w:rsid w:val="00CE500F"/>
    <w:rsid w:val="00CE5023"/>
    <w:rsid w:val="00CE5056"/>
    <w:rsid w:val="00CE50C3"/>
    <w:rsid w:val="00CE50EB"/>
    <w:rsid w:val="00CE50F2"/>
    <w:rsid w:val="00CE50FE"/>
    <w:rsid w:val="00CE5102"/>
    <w:rsid w:val="00CE511F"/>
    <w:rsid w:val="00CE5131"/>
    <w:rsid w:val="00CE513F"/>
    <w:rsid w:val="00CE5183"/>
    <w:rsid w:val="00CE5198"/>
    <w:rsid w:val="00CE51A1"/>
    <w:rsid w:val="00CE527F"/>
    <w:rsid w:val="00CE5364"/>
    <w:rsid w:val="00CE5398"/>
    <w:rsid w:val="00CE53A1"/>
    <w:rsid w:val="00CE5445"/>
    <w:rsid w:val="00CE5459"/>
    <w:rsid w:val="00CE54ED"/>
    <w:rsid w:val="00CE552E"/>
    <w:rsid w:val="00CE5553"/>
    <w:rsid w:val="00CE557D"/>
    <w:rsid w:val="00CE55AA"/>
    <w:rsid w:val="00CE55D4"/>
    <w:rsid w:val="00CE5645"/>
    <w:rsid w:val="00CE565E"/>
    <w:rsid w:val="00CE56E8"/>
    <w:rsid w:val="00CE56FB"/>
    <w:rsid w:val="00CE5780"/>
    <w:rsid w:val="00CE5789"/>
    <w:rsid w:val="00CE5796"/>
    <w:rsid w:val="00CE57E3"/>
    <w:rsid w:val="00CE5816"/>
    <w:rsid w:val="00CE585B"/>
    <w:rsid w:val="00CE5878"/>
    <w:rsid w:val="00CE589B"/>
    <w:rsid w:val="00CE58BB"/>
    <w:rsid w:val="00CE58D0"/>
    <w:rsid w:val="00CE5961"/>
    <w:rsid w:val="00CE5990"/>
    <w:rsid w:val="00CE5B84"/>
    <w:rsid w:val="00CE5BB1"/>
    <w:rsid w:val="00CE5C25"/>
    <w:rsid w:val="00CE5C3F"/>
    <w:rsid w:val="00CE5C75"/>
    <w:rsid w:val="00CE5C7C"/>
    <w:rsid w:val="00CE5CA3"/>
    <w:rsid w:val="00CE5CAC"/>
    <w:rsid w:val="00CE5CC9"/>
    <w:rsid w:val="00CE5CE0"/>
    <w:rsid w:val="00CE5CE8"/>
    <w:rsid w:val="00CE5D4D"/>
    <w:rsid w:val="00CE5D78"/>
    <w:rsid w:val="00CE5D7D"/>
    <w:rsid w:val="00CE5D88"/>
    <w:rsid w:val="00CE5DB3"/>
    <w:rsid w:val="00CE5DB4"/>
    <w:rsid w:val="00CE5DD4"/>
    <w:rsid w:val="00CE5DE4"/>
    <w:rsid w:val="00CE5E54"/>
    <w:rsid w:val="00CE5E5A"/>
    <w:rsid w:val="00CE5E6F"/>
    <w:rsid w:val="00CE5EB0"/>
    <w:rsid w:val="00CE5F40"/>
    <w:rsid w:val="00CE5FAD"/>
    <w:rsid w:val="00CE5FE2"/>
    <w:rsid w:val="00CE5FE9"/>
    <w:rsid w:val="00CE5FFA"/>
    <w:rsid w:val="00CE6071"/>
    <w:rsid w:val="00CE6123"/>
    <w:rsid w:val="00CE616F"/>
    <w:rsid w:val="00CE617C"/>
    <w:rsid w:val="00CE6194"/>
    <w:rsid w:val="00CE61D8"/>
    <w:rsid w:val="00CE61DE"/>
    <w:rsid w:val="00CE621F"/>
    <w:rsid w:val="00CE6232"/>
    <w:rsid w:val="00CE62BC"/>
    <w:rsid w:val="00CE632B"/>
    <w:rsid w:val="00CE6335"/>
    <w:rsid w:val="00CE6363"/>
    <w:rsid w:val="00CE63A4"/>
    <w:rsid w:val="00CE63BF"/>
    <w:rsid w:val="00CE63E3"/>
    <w:rsid w:val="00CE63FE"/>
    <w:rsid w:val="00CE6404"/>
    <w:rsid w:val="00CE64A6"/>
    <w:rsid w:val="00CE64C1"/>
    <w:rsid w:val="00CE64E7"/>
    <w:rsid w:val="00CE6503"/>
    <w:rsid w:val="00CE6542"/>
    <w:rsid w:val="00CE657E"/>
    <w:rsid w:val="00CE6583"/>
    <w:rsid w:val="00CE6616"/>
    <w:rsid w:val="00CE6674"/>
    <w:rsid w:val="00CE668B"/>
    <w:rsid w:val="00CE669C"/>
    <w:rsid w:val="00CE66AE"/>
    <w:rsid w:val="00CE66D3"/>
    <w:rsid w:val="00CE6763"/>
    <w:rsid w:val="00CE67BD"/>
    <w:rsid w:val="00CE67BE"/>
    <w:rsid w:val="00CE67D5"/>
    <w:rsid w:val="00CE67DC"/>
    <w:rsid w:val="00CE6812"/>
    <w:rsid w:val="00CE68C8"/>
    <w:rsid w:val="00CE68D2"/>
    <w:rsid w:val="00CE6905"/>
    <w:rsid w:val="00CE6974"/>
    <w:rsid w:val="00CE69E7"/>
    <w:rsid w:val="00CE69EE"/>
    <w:rsid w:val="00CE69F0"/>
    <w:rsid w:val="00CE6A22"/>
    <w:rsid w:val="00CE6AC3"/>
    <w:rsid w:val="00CE6B7F"/>
    <w:rsid w:val="00CE6BBD"/>
    <w:rsid w:val="00CE6BDE"/>
    <w:rsid w:val="00CE6C6E"/>
    <w:rsid w:val="00CE6CC9"/>
    <w:rsid w:val="00CE6D01"/>
    <w:rsid w:val="00CE6D1A"/>
    <w:rsid w:val="00CE6D1E"/>
    <w:rsid w:val="00CE6D92"/>
    <w:rsid w:val="00CE6D96"/>
    <w:rsid w:val="00CE6DBA"/>
    <w:rsid w:val="00CE6DD3"/>
    <w:rsid w:val="00CE6E38"/>
    <w:rsid w:val="00CE6E3F"/>
    <w:rsid w:val="00CE6E54"/>
    <w:rsid w:val="00CE6E7C"/>
    <w:rsid w:val="00CE6EB0"/>
    <w:rsid w:val="00CE6F46"/>
    <w:rsid w:val="00CE6F7F"/>
    <w:rsid w:val="00CE6F92"/>
    <w:rsid w:val="00CE6F9B"/>
    <w:rsid w:val="00CE6FB5"/>
    <w:rsid w:val="00CE700E"/>
    <w:rsid w:val="00CE7039"/>
    <w:rsid w:val="00CE705F"/>
    <w:rsid w:val="00CE7068"/>
    <w:rsid w:val="00CE709E"/>
    <w:rsid w:val="00CE70A6"/>
    <w:rsid w:val="00CE70E2"/>
    <w:rsid w:val="00CE70F5"/>
    <w:rsid w:val="00CE7109"/>
    <w:rsid w:val="00CE7149"/>
    <w:rsid w:val="00CE7166"/>
    <w:rsid w:val="00CE7181"/>
    <w:rsid w:val="00CE727F"/>
    <w:rsid w:val="00CE735E"/>
    <w:rsid w:val="00CE7373"/>
    <w:rsid w:val="00CE737F"/>
    <w:rsid w:val="00CE73C5"/>
    <w:rsid w:val="00CE73F6"/>
    <w:rsid w:val="00CE741D"/>
    <w:rsid w:val="00CE7426"/>
    <w:rsid w:val="00CE7427"/>
    <w:rsid w:val="00CE74A1"/>
    <w:rsid w:val="00CE74EB"/>
    <w:rsid w:val="00CE750D"/>
    <w:rsid w:val="00CE7517"/>
    <w:rsid w:val="00CE751F"/>
    <w:rsid w:val="00CE766E"/>
    <w:rsid w:val="00CE767C"/>
    <w:rsid w:val="00CE76D3"/>
    <w:rsid w:val="00CE76D4"/>
    <w:rsid w:val="00CE76F2"/>
    <w:rsid w:val="00CE774D"/>
    <w:rsid w:val="00CE7790"/>
    <w:rsid w:val="00CE77B2"/>
    <w:rsid w:val="00CE77B9"/>
    <w:rsid w:val="00CE77BB"/>
    <w:rsid w:val="00CE77CA"/>
    <w:rsid w:val="00CE783C"/>
    <w:rsid w:val="00CE785C"/>
    <w:rsid w:val="00CE787A"/>
    <w:rsid w:val="00CE7891"/>
    <w:rsid w:val="00CE7910"/>
    <w:rsid w:val="00CE7956"/>
    <w:rsid w:val="00CE7968"/>
    <w:rsid w:val="00CE7971"/>
    <w:rsid w:val="00CE797A"/>
    <w:rsid w:val="00CE7996"/>
    <w:rsid w:val="00CE79C0"/>
    <w:rsid w:val="00CE79CB"/>
    <w:rsid w:val="00CE79F7"/>
    <w:rsid w:val="00CE7A53"/>
    <w:rsid w:val="00CE7A79"/>
    <w:rsid w:val="00CE7AA4"/>
    <w:rsid w:val="00CE7B08"/>
    <w:rsid w:val="00CE7BCD"/>
    <w:rsid w:val="00CE7C2D"/>
    <w:rsid w:val="00CE7CBC"/>
    <w:rsid w:val="00CE7CF9"/>
    <w:rsid w:val="00CE7D8F"/>
    <w:rsid w:val="00CE7DA2"/>
    <w:rsid w:val="00CE7DE3"/>
    <w:rsid w:val="00CE7E48"/>
    <w:rsid w:val="00CE7E5F"/>
    <w:rsid w:val="00CE7EB4"/>
    <w:rsid w:val="00CE7F77"/>
    <w:rsid w:val="00CE7FA6"/>
    <w:rsid w:val="00CF0095"/>
    <w:rsid w:val="00CF00C0"/>
    <w:rsid w:val="00CF00F9"/>
    <w:rsid w:val="00CF0119"/>
    <w:rsid w:val="00CF017C"/>
    <w:rsid w:val="00CF02E0"/>
    <w:rsid w:val="00CF02EC"/>
    <w:rsid w:val="00CF0389"/>
    <w:rsid w:val="00CF0420"/>
    <w:rsid w:val="00CF0456"/>
    <w:rsid w:val="00CF0479"/>
    <w:rsid w:val="00CF04E6"/>
    <w:rsid w:val="00CF0525"/>
    <w:rsid w:val="00CF0528"/>
    <w:rsid w:val="00CF054D"/>
    <w:rsid w:val="00CF057E"/>
    <w:rsid w:val="00CF05C4"/>
    <w:rsid w:val="00CF05CF"/>
    <w:rsid w:val="00CF0623"/>
    <w:rsid w:val="00CF069A"/>
    <w:rsid w:val="00CF074E"/>
    <w:rsid w:val="00CF07CC"/>
    <w:rsid w:val="00CF07E1"/>
    <w:rsid w:val="00CF0863"/>
    <w:rsid w:val="00CF0982"/>
    <w:rsid w:val="00CF0988"/>
    <w:rsid w:val="00CF09D1"/>
    <w:rsid w:val="00CF0A32"/>
    <w:rsid w:val="00CF0A56"/>
    <w:rsid w:val="00CF0A8A"/>
    <w:rsid w:val="00CF0AAE"/>
    <w:rsid w:val="00CF0AE9"/>
    <w:rsid w:val="00CF0B70"/>
    <w:rsid w:val="00CF0B88"/>
    <w:rsid w:val="00CF0B98"/>
    <w:rsid w:val="00CF0C65"/>
    <w:rsid w:val="00CF0C72"/>
    <w:rsid w:val="00CF0CAB"/>
    <w:rsid w:val="00CF0D2E"/>
    <w:rsid w:val="00CF0DBA"/>
    <w:rsid w:val="00CF0DC2"/>
    <w:rsid w:val="00CF0DD8"/>
    <w:rsid w:val="00CF0E08"/>
    <w:rsid w:val="00CF0E29"/>
    <w:rsid w:val="00CF0E78"/>
    <w:rsid w:val="00CF0EE8"/>
    <w:rsid w:val="00CF0F06"/>
    <w:rsid w:val="00CF0F50"/>
    <w:rsid w:val="00CF0FC9"/>
    <w:rsid w:val="00CF0FD7"/>
    <w:rsid w:val="00CF1053"/>
    <w:rsid w:val="00CF10CF"/>
    <w:rsid w:val="00CF1105"/>
    <w:rsid w:val="00CF1193"/>
    <w:rsid w:val="00CF11C7"/>
    <w:rsid w:val="00CF1289"/>
    <w:rsid w:val="00CF1354"/>
    <w:rsid w:val="00CF140B"/>
    <w:rsid w:val="00CF141A"/>
    <w:rsid w:val="00CF1485"/>
    <w:rsid w:val="00CF14A8"/>
    <w:rsid w:val="00CF14B7"/>
    <w:rsid w:val="00CF1522"/>
    <w:rsid w:val="00CF1574"/>
    <w:rsid w:val="00CF157C"/>
    <w:rsid w:val="00CF15A8"/>
    <w:rsid w:val="00CF15C2"/>
    <w:rsid w:val="00CF1688"/>
    <w:rsid w:val="00CF16BC"/>
    <w:rsid w:val="00CF1736"/>
    <w:rsid w:val="00CF17B3"/>
    <w:rsid w:val="00CF17D9"/>
    <w:rsid w:val="00CF1856"/>
    <w:rsid w:val="00CF188D"/>
    <w:rsid w:val="00CF18A0"/>
    <w:rsid w:val="00CF18B4"/>
    <w:rsid w:val="00CF18EC"/>
    <w:rsid w:val="00CF18F9"/>
    <w:rsid w:val="00CF1969"/>
    <w:rsid w:val="00CF198D"/>
    <w:rsid w:val="00CF19AB"/>
    <w:rsid w:val="00CF19BF"/>
    <w:rsid w:val="00CF19EB"/>
    <w:rsid w:val="00CF1A2F"/>
    <w:rsid w:val="00CF1A4D"/>
    <w:rsid w:val="00CF1A4F"/>
    <w:rsid w:val="00CF1A77"/>
    <w:rsid w:val="00CF1B54"/>
    <w:rsid w:val="00CF1B9F"/>
    <w:rsid w:val="00CF1BF9"/>
    <w:rsid w:val="00CF1C22"/>
    <w:rsid w:val="00CF1C5C"/>
    <w:rsid w:val="00CF1C6B"/>
    <w:rsid w:val="00CF1C90"/>
    <w:rsid w:val="00CF1CF6"/>
    <w:rsid w:val="00CF1D38"/>
    <w:rsid w:val="00CF1D3F"/>
    <w:rsid w:val="00CF1D84"/>
    <w:rsid w:val="00CF1DF2"/>
    <w:rsid w:val="00CF1E7C"/>
    <w:rsid w:val="00CF1E7D"/>
    <w:rsid w:val="00CF1EB2"/>
    <w:rsid w:val="00CF1EE5"/>
    <w:rsid w:val="00CF1EED"/>
    <w:rsid w:val="00CF1F35"/>
    <w:rsid w:val="00CF1FA8"/>
    <w:rsid w:val="00CF1FAE"/>
    <w:rsid w:val="00CF20CA"/>
    <w:rsid w:val="00CF20F4"/>
    <w:rsid w:val="00CF2137"/>
    <w:rsid w:val="00CF2157"/>
    <w:rsid w:val="00CF217E"/>
    <w:rsid w:val="00CF21A1"/>
    <w:rsid w:val="00CF21AD"/>
    <w:rsid w:val="00CF21DE"/>
    <w:rsid w:val="00CF2206"/>
    <w:rsid w:val="00CF2207"/>
    <w:rsid w:val="00CF2216"/>
    <w:rsid w:val="00CF2240"/>
    <w:rsid w:val="00CF226D"/>
    <w:rsid w:val="00CF2289"/>
    <w:rsid w:val="00CF22C7"/>
    <w:rsid w:val="00CF2300"/>
    <w:rsid w:val="00CF235A"/>
    <w:rsid w:val="00CF23A5"/>
    <w:rsid w:val="00CF23F7"/>
    <w:rsid w:val="00CF2420"/>
    <w:rsid w:val="00CF24BB"/>
    <w:rsid w:val="00CF250F"/>
    <w:rsid w:val="00CF252F"/>
    <w:rsid w:val="00CF253A"/>
    <w:rsid w:val="00CF25C9"/>
    <w:rsid w:val="00CF2610"/>
    <w:rsid w:val="00CF2617"/>
    <w:rsid w:val="00CF266B"/>
    <w:rsid w:val="00CF2673"/>
    <w:rsid w:val="00CF269F"/>
    <w:rsid w:val="00CF26D7"/>
    <w:rsid w:val="00CF271F"/>
    <w:rsid w:val="00CF276C"/>
    <w:rsid w:val="00CF2789"/>
    <w:rsid w:val="00CF283A"/>
    <w:rsid w:val="00CF288F"/>
    <w:rsid w:val="00CF293E"/>
    <w:rsid w:val="00CF299A"/>
    <w:rsid w:val="00CF29A7"/>
    <w:rsid w:val="00CF29DA"/>
    <w:rsid w:val="00CF29E7"/>
    <w:rsid w:val="00CF2A06"/>
    <w:rsid w:val="00CF2A07"/>
    <w:rsid w:val="00CF2A86"/>
    <w:rsid w:val="00CF2AA8"/>
    <w:rsid w:val="00CF2AF3"/>
    <w:rsid w:val="00CF2B1B"/>
    <w:rsid w:val="00CF2C3E"/>
    <w:rsid w:val="00CF2C43"/>
    <w:rsid w:val="00CF2C92"/>
    <w:rsid w:val="00CF2C94"/>
    <w:rsid w:val="00CF2CB8"/>
    <w:rsid w:val="00CF2DF4"/>
    <w:rsid w:val="00CF2E76"/>
    <w:rsid w:val="00CF2F21"/>
    <w:rsid w:val="00CF2F3C"/>
    <w:rsid w:val="00CF2FAC"/>
    <w:rsid w:val="00CF305E"/>
    <w:rsid w:val="00CF3091"/>
    <w:rsid w:val="00CF30FA"/>
    <w:rsid w:val="00CF3129"/>
    <w:rsid w:val="00CF31C5"/>
    <w:rsid w:val="00CF3252"/>
    <w:rsid w:val="00CF32A9"/>
    <w:rsid w:val="00CF32BC"/>
    <w:rsid w:val="00CF32E0"/>
    <w:rsid w:val="00CF32F4"/>
    <w:rsid w:val="00CF32F6"/>
    <w:rsid w:val="00CF3313"/>
    <w:rsid w:val="00CF331F"/>
    <w:rsid w:val="00CF33F3"/>
    <w:rsid w:val="00CF3400"/>
    <w:rsid w:val="00CF3407"/>
    <w:rsid w:val="00CF340A"/>
    <w:rsid w:val="00CF3434"/>
    <w:rsid w:val="00CF3541"/>
    <w:rsid w:val="00CF3562"/>
    <w:rsid w:val="00CF359D"/>
    <w:rsid w:val="00CF35B0"/>
    <w:rsid w:val="00CF35B7"/>
    <w:rsid w:val="00CF36BC"/>
    <w:rsid w:val="00CF376F"/>
    <w:rsid w:val="00CF37BB"/>
    <w:rsid w:val="00CF3814"/>
    <w:rsid w:val="00CF381D"/>
    <w:rsid w:val="00CF382D"/>
    <w:rsid w:val="00CF3860"/>
    <w:rsid w:val="00CF3908"/>
    <w:rsid w:val="00CF391C"/>
    <w:rsid w:val="00CF3925"/>
    <w:rsid w:val="00CF392C"/>
    <w:rsid w:val="00CF3933"/>
    <w:rsid w:val="00CF3935"/>
    <w:rsid w:val="00CF3939"/>
    <w:rsid w:val="00CF3964"/>
    <w:rsid w:val="00CF3994"/>
    <w:rsid w:val="00CF39E5"/>
    <w:rsid w:val="00CF39FD"/>
    <w:rsid w:val="00CF3A31"/>
    <w:rsid w:val="00CF3A3D"/>
    <w:rsid w:val="00CF3AC8"/>
    <w:rsid w:val="00CF3ACE"/>
    <w:rsid w:val="00CF3AE0"/>
    <w:rsid w:val="00CF3AF8"/>
    <w:rsid w:val="00CF3B44"/>
    <w:rsid w:val="00CF3BC7"/>
    <w:rsid w:val="00CF3BE8"/>
    <w:rsid w:val="00CF3C03"/>
    <w:rsid w:val="00CF3C4E"/>
    <w:rsid w:val="00CF3C64"/>
    <w:rsid w:val="00CF3C69"/>
    <w:rsid w:val="00CF3CA8"/>
    <w:rsid w:val="00CF3CB2"/>
    <w:rsid w:val="00CF3CD7"/>
    <w:rsid w:val="00CF3CD8"/>
    <w:rsid w:val="00CF3CDD"/>
    <w:rsid w:val="00CF3CE2"/>
    <w:rsid w:val="00CF3D02"/>
    <w:rsid w:val="00CF3D84"/>
    <w:rsid w:val="00CF3DC6"/>
    <w:rsid w:val="00CF3DD2"/>
    <w:rsid w:val="00CF3E2A"/>
    <w:rsid w:val="00CF3E69"/>
    <w:rsid w:val="00CF3EC4"/>
    <w:rsid w:val="00CF3F5B"/>
    <w:rsid w:val="00CF3F8F"/>
    <w:rsid w:val="00CF3FB8"/>
    <w:rsid w:val="00CF404C"/>
    <w:rsid w:val="00CF40A2"/>
    <w:rsid w:val="00CF40A9"/>
    <w:rsid w:val="00CF4114"/>
    <w:rsid w:val="00CF4153"/>
    <w:rsid w:val="00CF4191"/>
    <w:rsid w:val="00CF421A"/>
    <w:rsid w:val="00CF4238"/>
    <w:rsid w:val="00CF4275"/>
    <w:rsid w:val="00CF4297"/>
    <w:rsid w:val="00CF42A1"/>
    <w:rsid w:val="00CF42C1"/>
    <w:rsid w:val="00CF433A"/>
    <w:rsid w:val="00CF438B"/>
    <w:rsid w:val="00CF43D5"/>
    <w:rsid w:val="00CF43EF"/>
    <w:rsid w:val="00CF44FF"/>
    <w:rsid w:val="00CF459E"/>
    <w:rsid w:val="00CF45CE"/>
    <w:rsid w:val="00CF45ED"/>
    <w:rsid w:val="00CF4600"/>
    <w:rsid w:val="00CF4665"/>
    <w:rsid w:val="00CF4668"/>
    <w:rsid w:val="00CF4671"/>
    <w:rsid w:val="00CF4673"/>
    <w:rsid w:val="00CF468E"/>
    <w:rsid w:val="00CF469F"/>
    <w:rsid w:val="00CF46B7"/>
    <w:rsid w:val="00CF46E8"/>
    <w:rsid w:val="00CF474F"/>
    <w:rsid w:val="00CF4774"/>
    <w:rsid w:val="00CF47D4"/>
    <w:rsid w:val="00CF47DF"/>
    <w:rsid w:val="00CF47E7"/>
    <w:rsid w:val="00CF47FF"/>
    <w:rsid w:val="00CF48BA"/>
    <w:rsid w:val="00CF48BC"/>
    <w:rsid w:val="00CF48E7"/>
    <w:rsid w:val="00CF491C"/>
    <w:rsid w:val="00CF495D"/>
    <w:rsid w:val="00CF496F"/>
    <w:rsid w:val="00CF499C"/>
    <w:rsid w:val="00CF49B3"/>
    <w:rsid w:val="00CF4A1A"/>
    <w:rsid w:val="00CF4A3E"/>
    <w:rsid w:val="00CF4A4B"/>
    <w:rsid w:val="00CF4A50"/>
    <w:rsid w:val="00CF4A82"/>
    <w:rsid w:val="00CF4AA1"/>
    <w:rsid w:val="00CF4AD1"/>
    <w:rsid w:val="00CF4AEB"/>
    <w:rsid w:val="00CF4B42"/>
    <w:rsid w:val="00CF4BEB"/>
    <w:rsid w:val="00CF4BF3"/>
    <w:rsid w:val="00CF4C41"/>
    <w:rsid w:val="00CF4CAB"/>
    <w:rsid w:val="00CF4D23"/>
    <w:rsid w:val="00CF4D29"/>
    <w:rsid w:val="00CF4D4B"/>
    <w:rsid w:val="00CF4D75"/>
    <w:rsid w:val="00CF4D76"/>
    <w:rsid w:val="00CF4D7F"/>
    <w:rsid w:val="00CF4E46"/>
    <w:rsid w:val="00CF4E62"/>
    <w:rsid w:val="00CF4E71"/>
    <w:rsid w:val="00CF4EF0"/>
    <w:rsid w:val="00CF4F00"/>
    <w:rsid w:val="00CF4F8C"/>
    <w:rsid w:val="00CF4F92"/>
    <w:rsid w:val="00CF4FBA"/>
    <w:rsid w:val="00CF4FD4"/>
    <w:rsid w:val="00CF5007"/>
    <w:rsid w:val="00CF5021"/>
    <w:rsid w:val="00CF505B"/>
    <w:rsid w:val="00CF50A3"/>
    <w:rsid w:val="00CF50B4"/>
    <w:rsid w:val="00CF5145"/>
    <w:rsid w:val="00CF515F"/>
    <w:rsid w:val="00CF51AC"/>
    <w:rsid w:val="00CF5239"/>
    <w:rsid w:val="00CF5264"/>
    <w:rsid w:val="00CF52F1"/>
    <w:rsid w:val="00CF5352"/>
    <w:rsid w:val="00CF53F2"/>
    <w:rsid w:val="00CF542F"/>
    <w:rsid w:val="00CF5460"/>
    <w:rsid w:val="00CF5492"/>
    <w:rsid w:val="00CF54DC"/>
    <w:rsid w:val="00CF5551"/>
    <w:rsid w:val="00CF555B"/>
    <w:rsid w:val="00CF559D"/>
    <w:rsid w:val="00CF55F4"/>
    <w:rsid w:val="00CF565F"/>
    <w:rsid w:val="00CF57A1"/>
    <w:rsid w:val="00CF582E"/>
    <w:rsid w:val="00CF583E"/>
    <w:rsid w:val="00CF592A"/>
    <w:rsid w:val="00CF592C"/>
    <w:rsid w:val="00CF5968"/>
    <w:rsid w:val="00CF5971"/>
    <w:rsid w:val="00CF59A5"/>
    <w:rsid w:val="00CF59C5"/>
    <w:rsid w:val="00CF5A01"/>
    <w:rsid w:val="00CF5A3E"/>
    <w:rsid w:val="00CF5A43"/>
    <w:rsid w:val="00CF5A4C"/>
    <w:rsid w:val="00CF5A90"/>
    <w:rsid w:val="00CF5ABC"/>
    <w:rsid w:val="00CF5B21"/>
    <w:rsid w:val="00CF5B53"/>
    <w:rsid w:val="00CF5C91"/>
    <w:rsid w:val="00CF5D0C"/>
    <w:rsid w:val="00CF5D5C"/>
    <w:rsid w:val="00CF5D6F"/>
    <w:rsid w:val="00CF5D73"/>
    <w:rsid w:val="00CF5D8A"/>
    <w:rsid w:val="00CF5DD0"/>
    <w:rsid w:val="00CF5DEB"/>
    <w:rsid w:val="00CF5E1E"/>
    <w:rsid w:val="00CF5E61"/>
    <w:rsid w:val="00CF5E90"/>
    <w:rsid w:val="00CF5EC3"/>
    <w:rsid w:val="00CF5EDD"/>
    <w:rsid w:val="00CF5F03"/>
    <w:rsid w:val="00CF5F2A"/>
    <w:rsid w:val="00CF5F9C"/>
    <w:rsid w:val="00CF5FF4"/>
    <w:rsid w:val="00CF60B0"/>
    <w:rsid w:val="00CF60FE"/>
    <w:rsid w:val="00CF6123"/>
    <w:rsid w:val="00CF613C"/>
    <w:rsid w:val="00CF6183"/>
    <w:rsid w:val="00CF6212"/>
    <w:rsid w:val="00CF6218"/>
    <w:rsid w:val="00CF62D8"/>
    <w:rsid w:val="00CF6319"/>
    <w:rsid w:val="00CF631D"/>
    <w:rsid w:val="00CF6341"/>
    <w:rsid w:val="00CF637C"/>
    <w:rsid w:val="00CF63C2"/>
    <w:rsid w:val="00CF63E1"/>
    <w:rsid w:val="00CF6423"/>
    <w:rsid w:val="00CF6432"/>
    <w:rsid w:val="00CF649A"/>
    <w:rsid w:val="00CF64A2"/>
    <w:rsid w:val="00CF64AA"/>
    <w:rsid w:val="00CF64E2"/>
    <w:rsid w:val="00CF6507"/>
    <w:rsid w:val="00CF658B"/>
    <w:rsid w:val="00CF6596"/>
    <w:rsid w:val="00CF6612"/>
    <w:rsid w:val="00CF6627"/>
    <w:rsid w:val="00CF668C"/>
    <w:rsid w:val="00CF66B2"/>
    <w:rsid w:val="00CF66B7"/>
    <w:rsid w:val="00CF66C0"/>
    <w:rsid w:val="00CF676D"/>
    <w:rsid w:val="00CF67A0"/>
    <w:rsid w:val="00CF67DB"/>
    <w:rsid w:val="00CF67FE"/>
    <w:rsid w:val="00CF6805"/>
    <w:rsid w:val="00CF6807"/>
    <w:rsid w:val="00CF68C6"/>
    <w:rsid w:val="00CF68F9"/>
    <w:rsid w:val="00CF6900"/>
    <w:rsid w:val="00CF6924"/>
    <w:rsid w:val="00CF6944"/>
    <w:rsid w:val="00CF698B"/>
    <w:rsid w:val="00CF69AC"/>
    <w:rsid w:val="00CF69BF"/>
    <w:rsid w:val="00CF69EE"/>
    <w:rsid w:val="00CF6A30"/>
    <w:rsid w:val="00CF6A39"/>
    <w:rsid w:val="00CF6A43"/>
    <w:rsid w:val="00CF6A8E"/>
    <w:rsid w:val="00CF6B1F"/>
    <w:rsid w:val="00CF6C29"/>
    <w:rsid w:val="00CF6C49"/>
    <w:rsid w:val="00CF6C5A"/>
    <w:rsid w:val="00CF6C7F"/>
    <w:rsid w:val="00CF6D16"/>
    <w:rsid w:val="00CF6D1E"/>
    <w:rsid w:val="00CF6D43"/>
    <w:rsid w:val="00CF6D9A"/>
    <w:rsid w:val="00CF6E11"/>
    <w:rsid w:val="00CF6E18"/>
    <w:rsid w:val="00CF6E20"/>
    <w:rsid w:val="00CF6E80"/>
    <w:rsid w:val="00CF6F2E"/>
    <w:rsid w:val="00CF6F4A"/>
    <w:rsid w:val="00CF6FA4"/>
    <w:rsid w:val="00CF6FBA"/>
    <w:rsid w:val="00CF6FBE"/>
    <w:rsid w:val="00CF6FEE"/>
    <w:rsid w:val="00CF70E2"/>
    <w:rsid w:val="00CF7125"/>
    <w:rsid w:val="00CF712F"/>
    <w:rsid w:val="00CF72A0"/>
    <w:rsid w:val="00CF72B7"/>
    <w:rsid w:val="00CF7302"/>
    <w:rsid w:val="00CF731A"/>
    <w:rsid w:val="00CF7342"/>
    <w:rsid w:val="00CF73A1"/>
    <w:rsid w:val="00CF73AB"/>
    <w:rsid w:val="00CF73B3"/>
    <w:rsid w:val="00CF73DE"/>
    <w:rsid w:val="00CF73EB"/>
    <w:rsid w:val="00CF743D"/>
    <w:rsid w:val="00CF7451"/>
    <w:rsid w:val="00CF745D"/>
    <w:rsid w:val="00CF748B"/>
    <w:rsid w:val="00CF7492"/>
    <w:rsid w:val="00CF7568"/>
    <w:rsid w:val="00CF759F"/>
    <w:rsid w:val="00CF75A4"/>
    <w:rsid w:val="00CF75D0"/>
    <w:rsid w:val="00CF75F5"/>
    <w:rsid w:val="00CF764B"/>
    <w:rsid w:val="00CF76C6"/>
    <w:rsid w:val="00CF76E1"/>
    <w:rsid w:val="00CF7753"/>
    <w:rsid w:val="00CF7774"/>
    <w:rsid w:val="00CF778F"/>
    <w:rsid w:val="00CF77D0"/>
    <w:rsid w:val="00CF7836"/>
    <w:rsid w:val="00CF7853"/>
    <w:rsid w:val="00CF78DD"/>
    <w:rsid w:val="00CF7913"/>
    <w:rsid w:val="00CF791B"/>
    <w:rsid w:val="00CF79A8"/>
    <w:rsid w:val="00CF79B5"/>
    <w:rsid w:val="00CF79D5"/>
    <w:rsid w:val="00CF79DB"/>
    <w:rsid w:val="00CF7A07"/>
    <w:rsid w:val="00CF7A09"/>
    <w:rsid w:val="00CF7AA9"/>
    <w:rsid w:val="00CF7ADD"/>
    <w:rsid w:val="00CF7B24"/>
    <w:rsid w:val="00CF7B2C"/>
    <w:rsid w:val="00CF7B33"/>
    <w:rsid w:val="00CF7BB6"/>
    <w:rsid w:val="00CF7C1B"/>
    <w:rsid w:val="00CF7D04"/>
    <w:rsid w:val="00CF7D3A"/>
    <w:rsid w:val="00CF7D49"/>
    <w:rsid w:val="00CF7DD3"/>
    <w:rsid w:val="00CF7DE0"/>
    <w:rsid w:val="00CF7E0C"/>
    <w:rsid w:val="00CF7EC1"/>
    <w:rsid w:val="00CF7EC9"/>
    <w:rsid w:val="00CF7EE2"/>
    <w:rsid w:val="00CF7F29"/>
    <w:rsid w:val="00CF7F54"/>
    <w:rsid w:val="00CF7FA4"/>
    <w:rsid w:val="00CF7FD3"/>
    <w:rsid w:val="00CF7FDC"/>
    <w:rsid w:val="00D0006B"/>
    <w:rsid w:val="00D00125"/>
    <w:rsid w:val="00D001AD"/>
    <w:rsid w:val="00D001C8"/>
    <w:rsid w:val="00D001D2"/>
    <w:rsid w:val="00D0024A"/>
    <w:rsid w:val="00D00258"/>
    <w:rsid w:val="00D0027E"/>
    <w:rsid w:val="00D00287"/>
    <w:rsid w:val="00D002D8"/>
    <w:rsid w:val="00D00316"/>
    <w:rsid w:val="00D00377"/>
    <w:rsid w:val="00D003B3"/>
    <w:rsid w:val="00D00412"/>
    <w:rsid w:val="00D00438"/>
    <w:rsid w:val="00D00469"/>
    <w:rsid w:val="00D004BA"/>
    <w:rsid w:val="00D004F4"/>
    <w:rsid w:val="00D00542"/>
    <w:rsid w:val="00D00553"/>
    <w:rsid w:val="00D00575"/>
    <w:rsid w:val="00D0057D"/>
    <w:rsid w:val="00D00583"/>
    <w:rsid w:val="00D0059C"/>
    <w:rsid w:val="00D005C1"/>
    <w:rsid w:val="00D005F7"/>
    <w:rsid w:val="00D00668"/>
    <w:rsid w:val="00D006E0"/>
    <w:rsid w:val="00D006F4"/>
    <w:rsid w:val="00D0075F"/>
    <w:rsid w:val="00D00794"/>
    <w:rsid w:val="00D007AA"/>
    <w:rsid w:val="00D007CD"/>
    <w:rsid w:val="00D007F3"/>
    <w:rsid w:val="00D00849"/>
    <w:rsid w:val="00D008D6"/>
    <w:rsid w:val="00D0090A"/>
    <w:rsid w:val="00D00929"/>
    <w:rsid w:val="00D0097E"/>
    <w:rsid w:val="00D0099E"/>
    <w:rsid w:val="00D009A0"/>
    <w:rsid w:val="00D009C4"/>
    <w:rsid w:val="00D00A03"/>
    <w:rsid w:val="00D00A08"/>
    <w:rsid w:val="00D00A0B"/>
    <w:rsid w:val="00D00A73"/>
    <w:rsid w:val="00D00ABA"/>
    <w:rsid w:val="00D00B64"/>
    <w:rsid w:val="00D00B69"/>
    <w:rsid w:val="00D00B8A"/>
    <w:rsid w:val="00D00C1A"/>
    <w:rsid w:val="00D00C2C"/>
    <w:rsid w:val="00D00CD0"/>
    <w:rsid w:val="00D00DDE"/>
    <w:rsid w:val="00D00DE8"/>
    <w:rsid w:val="00D00E13"/>
    <w:rsid w:val="00D00E74"/>
    <w:rsid w:val="00D00F2F"/>
    <w:rsid w:val="00D01032"/>
    <w:rsid w:val="00D010C7"/>
    <w:rsid w:val="00D01120"/>
    <w:rsid w:val="00D01141"/>
    <w:rsid w:val="00D011C7"/>
    <w:rsid w:val="00D01205"/>
    <w:rsid w:val="00D01232"/>
    <w:rsid w:val="00D013B4"/>
    <w:rsid w:val="00D013BE"/>
    <w:rsid w:val="00D013C0"/>
    <w:rsid w:val="00D01411"/>
    <w:rsid w:val="00D0141B"/>
    <w:rsid w:val="00D0145B"/>
    <w:rsid w:val="00D0146E"/>
    <w:rsid w:val="00D014F9"/>
    <w:rsid w:val="00D01500"/>
    <w:rsid w:val="00D0151F"/>
    <w:rsid w:val="00D0153C"/>
    <w:rsid w:val="00D01591"/>
    <w:rsid w:val="00D015CC"/>
    <w:rsid w:val="00D015DC"/>
    <w:rsid w:val="00D015E7"/>
    <w:rsid w:val="00D016FE"/>
    <w:rsid w:val="00D016FF"/>
    <w:rsid w:val="00D01752"/>
    <w:rsid w:val="00D01787"/>
    <w:rsid w:val="00D017D2"/>
    <w:rsid w:val="00D01880"/>
    <w:rsid w:val="00D018B5"/>
    <w:rsid w:val="00D018C0"/>
    <w:rsid w:val="00D0190B"/>
    <w:rsid w:val="00D01918"/>
    <w:rsid w:val="00D019CF"/>
    <w:rsid w:val="00D019D7"/>
    <w:rsid w:val="00D01A7B"/>
    <w:rsid w:val="00D01AD2"/>
    <w:rsid w:val="00D01ADA"/>
    <w:rsid w:val="00D01B40"/>
    <w:rsid w:val="00D01B60"/>
    <w:rsid w:val="00D01BAC"/>
    <w:rsid w:val="00D01C84"/>
    <w:rsid w:val="00D01D00"/>
    <w:rsid w:val="00D01D08"/>
    <w:rsid w:val="00D01D1D"/>
    <w:rsid w:val="00D01D27"/>
    <w:rsid w:val="00D01D76"/>
    <w:rsid w:val="00D01D81"/>
    <w:rsid w:val="00D01DA9"/>
    <w:rsid w:val="00D01DD9"/>
    <w:rsid w:val="00D01E28"/>
    <w:rsid w:val="00D01E32"/>
    <w:rsid w:val="00D01E6F"/>
    <w:rsid w:val="00D01E9C"/>
    <w:rsid w:val="00D01EF6"/>
    <w:rsid w:val="00D01F3D"/>
    <w:rsid w:val="00D01F55"/>
    <w:rsid w:val="00D01F8C"/>
    <w:rsid w:val="00D01FA0"/>
    <w:rsid w:val="00D01FAB"/>
    <w:rsid w:val="00D01FD8"/>
    <w:rsid w:val="00D0204E"/>
    <w:rsid w:val="00D02063"/>
    <w:rsid w:val="00D02068"/>
    <w:rsid w:val="00D02082"/>
    <w:rsid w:val="00D020D4"/>
    <w:rsid w:val="00D020E9"/>
    <w:rsid w:val="00D0212F"/>
    <w:rsid w:val="00D0217B"/>
    <w:rsid w:val="00D0218E"/>
    <w:rsid w:val="00D021EE"/>
    <w:rsid w:val="00D0221C"/>
    <w:rsid w:val="00D02235"/>
    <w:rsid w:val="00D0224A"/>
    <w:rsid w:val="00D022BF"/>
    <w:rsid w:val="00D022C4"/>
    <w:rsid w:val="00D022E4"/>
    <w:rsid w:val="00D0231C"/>
    <w:rsid w:val="00D0236D"/>
    <w:rsid w:val="00D02377"/>
    <w:rsid w:val="00D023BB"/>
    <w:rsid w:val="00D023C0"/>
    <w:rsid w:val="00D023D8"/>
    <w:rsid w:val="00D02400"/>
    <w:rsid w:val="00D02419"/>
    <w:rsid w:val="00D02433"/>
    <w:rsid w:val="00D02452"/>
    <w:rsid w:val="00D02459"/>
    <w:rsid w:val="00D02530"/>
    <w:rsid w:val="00D02577"/>
    <w:rsid w:val="00D025BA"/>
    <w:rsid w:val="00D025C1"/>
    <w:rsid w:val="00D025C2"/>
    <w:rsid w:val="00D025F2"/>
    <w:rsid w:val="00D02645"/>
    <w:rsid w:val="00D02689"/>
    <w:rsid w:val="00D026CC"/>
    <w:rsid w:val="00D02805"/>
    <w:rsid w:val="00D0288C"/>
    <w:rsid w:val="00D028A9"/>
    <w:rsid w:val="00D028AC"/>
    <w:rsid w:val="00D028B9"/>
    <w:rsid w:val="00D0294C"/>
    <w:rsid w:val="00D029DF"/>
    <w:rsid w:val="00D02B24"/>
    <w:rsid w:val="00D02B3D"/>
    <w:rsid w:val="00D02BC3"/>
    <w:rsid w:val="00D02C63"/>
    <w:rsid w:val="00D02CA8"/>
    <w:rsid w:val="00D02CE3"/>
    <w:rsid w:val="00D02D05"/>
    <w:rsid w:val="00D02DB5"/>
    <w:rsid w:val="00D02DC5"/>
    <w:rsid w:val="00D02E0F"/>
    <w:rsid w:val="00D02E32"/>
    <w:rsid w:val="00D02E50"/>
    <w:rsid w:val="00D02E87"/>
    <w:rsid w:val="00D02FF8"/>
    <w:rsid w:val="00D0301E"/>
    <w:rsid w:val="00D0305C"/>
    <w:rsid w:val="00D03060"/>
    <w:rsid w:val="00D030AB"/>
    <w:rsid w:val="00D03120"/>
    <w:rsid w:val="00D0313B"/>
    <w:rsid w:val="00D03149"/>
    <w:rsid w:val="00D031B0"/>
    <w:rsid w:val="00D031EE"/>
    <w:rsid w:val="00D0323C"/>
    <w:rsid w:val="00D03250"/>
    <w:rsid w:val="00D032B0"/>
    <w:rsid w:val="00D032DA"/>
    <w:rsid w:val="00D0330B"/>
    <w:rsid w:val="00D0332E"/>
    <w:rsid w:val="00D0338E"/>
    <w:rsid w:val="00D03397"/>
    <w:rsid w:val="00D033B0"/>
    <w:rsid w:val="00D03433"/>
    <w:rsid w:val="00D03451"/>
    <w:rsid w:val="00D0346C"/>
    <w:rsid w:val="00D03551"/>
    <w:rsid w:val="00D0357A"/>
    <w:rsid w:val="00D03597"/>
    <w:rsid w:val="00D0359A"/>
    <w:rsid w:val="00D035D8"/>
    <w:rsid w:val="00D035EB"/>
    <w:rsid w:val="00D035F4"/>
    <w:rsid w:val="00D0361F"/>
    <w:rsid w:val="00D03631"/>
    <w:rsid w:val="00D0365D"/>
    <w:rsid w:val="00D0366C"/>
    <w:rsid w:val="00D036A9"/>
    <w:rsid w:val="00D03785"/>
    <w:rsid w:val="00D037AA"/>
    <w:rsid w:val="00D037C3"/>
    <w:rsid w:val="00D037E1"/>
    <w:rsid w:val="00D037F3"/>
    <w:rsid w:val="00D037F8"/>
    <w:rsid w:val="00D037FE"/>
    <w:rsid w:val="00D03866"/>
    <w:rsid w:val="00D03871"/>
    <w:rsid w:val="00D038BF"/>
    <w:rsid w:val="00D038FB"/>
    <w:rsid w:val="00D038FF"/>
    <w:rsid w:val="00D03911"/>
    <w:rsid w:val="00D0395C"/>
    <w:rsid w:val="00D03A50"/>
    <w:rsid w:val="00D03A66"/>
    <w:rsid w:val="00D03AC7"/>
    <w:rsid w:val="00D03B0C"/>
    <w:rsid w:val="00D03B8F"/>
    <w:rsid w:val="00D03BE3"/>
    <w:rsid w:val="00D03C6E"/>
    <w:rsid w:val="00D03C7A"/>
    <w:rsid w:val="00D03CB7"/>
    <w:rsid w:val="00D03CB8"/>
    <w:rsid w:val="00D03D20"/>
    <w:rsid w:val="00D03D27"/>
    <w:rsid w:val="00D03D39"/>
    <w:rsid w:val="00D03DB9"/>
    <w:rsid w:val="00D03DF4"/>
    <w:rsid w:val="00D03E3F"/>
    <w:rsid w:val="00D03E56"/>
    <w:rsid w:val="00D03EB6"/>
    <w:rsid w:val="00D03F03"/>
    <w:rsid w:val="00D03F7B"/>
    <w:rsid w:val="00D03FDF"/>
    <w:rsid w:val="00D03FE5"/>
    <w:rsid w:val="00D04020"/>
    <w:rsid w:val="00D040B3"/>
    <w:rsid w:val="00D040D1"/>
    <w:rsid w:val="00D04117"/>
    <w:rsid w:val="00D04125"/>
    <w:rsid w:val="00D04152"/>
    <w:rsid w:val="00D0417F"/>
    <w:rsid w:val="00D041AD"/>
    <w:rsid w:val="00D04222"/>
    <w:rsid w:val="00D04239"/>
    <w:rsid w:val="00D0423D"/>
    <w:rsid w:val="00D042FD"/>
    <w:rsid w:val="00D0431F"/>
    <w:rsid w:val="00D0434D"/>
    <w:rsid w:val="00D043C7"/>
    <w:rsid w:val="00D04408"/>
    <w:rsid w:val="00D044B6"/>
    <w:rsid w:val="00D044DC"/>
    <w:rsid w:val="00D045B7"/>
    <w:rsid w:val="00D045D4"/>
    <w:rsid w:val="00D046D5"/>
    <w:rsid w:val="00D04734"/>
    <w:rsid w:val="00D04769"/>
    <w:rsid w:val="00D047EB"/>
    <w:rsid w:val="00D047FC"/>
    <w:rsid w:val="00D0486E"/>
    <w:rsid w:val="00D04A00"/>
    <w:rsid w:val="00D04A3E"/>
    <w:rsid w:val="00D04A46"/>
    <w:rsid w:val="00D04A50"/>
    <w:rsid w:val="00D04A60"/>
    <w:rsid w:val="00D04C2D"/>
    <w:rsid w:val="00D04C8A"/>
    <w:rsid w:val="00D04CE5"/>
    <w:rsid w:val="00D04D22"/>
    <w:rsid w:val="00D04D61"/>
    <w:rsid w:val="00D04DC3"/>
    <w:rsid w:val="00D04E08"/>
    <w:rsid w:val="00D04E34"/>
    <w:rsid w:val="00D04E9C"/>
    <w:rsid w:val="00D04F26"/>
    <w:rsid w:val="00D04F2C"/>
    <w:rsid w:val="00D04F43"/>
    <w:rsid w:val="00D04FB5"/>
    <w:rsid w:val="00D05028"/>
    <w:rsid w:val="00D0502B"/>
    <w:rsid w:val="00D05089"/>
    <w:rsid w:val="00D050D0"/>
    <w:rsid w:val="00D05114"/>
    <w:rsid w:val="00D051DF"/>
    <w:rsid w:val="00D05283"/>
    <w:rsid w:val="00D0528B"/>
    <w:rsid w:val="00D0528F"/>
    <w:rsid w:val="00D05371"/>
    <w:rsid w:val="00D05393"/>
    <w:rsid w:val="00D053FC"/>
    <w:rsid w:val="00D053FD"/>
    <w:rsid w:val="00D05439"/>
    <w:rsid w:val="00D0549A"/>
    <w:rsid w:val="00D05507"/>
    <w:rsid w:val="00D0556F"/>
    <w:rsid w:val="00D05579"/>
    <w:rsid w:val="00D0565C"/>
    <w:rsid w:val="00D05686"/>
    <w:rsid w:val="00D056C7"/>
    <w:rsid w:val="00D056E6"/>
    <w:rsid w:val="00D05756"/>
    <w:rsid w:val="00D05762"/>
    <w:rsid w:val="00D0577A"/>
    <w:rsid w:val="00D057C9"/>
    <w:rsid w:val="00D057D9"/>
    <w:rsid w:val="00D057DC"/>
    <w:rsid w:val="00D057F6"/>
    <w:rsid w:val="00D05865"/>
    <w:rsid w:val="00D058B5"/>
    <w:rsid w:val="00D058D0"/>
    <w:rsid w:val="00D05961"/>
    <w:rsid w:val="00D059D7"/>
    <w:rsid w:val="00D05A27"/>
    <w:rsid w:val="00D05A7D"/>
    <w:rsid w:val="00D05A8D"/>
    <w:rsid w:val="00D05AB9"/>
    <w:rsid w:val="00D05AC1"/>
    <w:rsid w:val="00D05AFC"/>
    <w:rsid w:val="00D05B95"/>
    <w:rsid w:val="00D05BB7"/>
    <w:rsid w:val="00D05BCF"/>
    <w:rsid w:val="00D05BDF"/>
    <w:rsid w:val="00D05C3B"/>
    <w:rsid w:val="00D05C3D"/>
    <w:rsid w:val="00D05CD4"/>
    <w:rsid w:val="00D05D4D"/>
    <w:rsid w:val="00D05D6A"/>
    <w:rsid w:val="00D05D9A"/>
    <w:rsid w:val="00D05DD8"/>
    <w:rsid w:val="00D05E30"/>
    <w:rsid w:val="00D05F28"/>
    <w:rsid w:val="00D05F9C"/>
    <w:rsid w:val="00D05FB5"/>
    <w:rsid w:val="00D05FC3"/>
    <w:rsid w:val="00D06011"/>
    <w:rsid w:val="00D0607C"/>
    <w:rsid w:val="00D06133"/>
    <w:rsid w:val="00D06158"/>
    <w:rsid w:val="00D061C1"/>
    <w:rsid w:val="00D06253"/>
    <w:rsid w:val="00D06299"/>
    <w:rsid w:val="00D0629E"/>
    <w:rsid w:val="00D0638A"/>
    <w:rsid w:val="00D0639E"/>
    <w:rsid w:val="00D063C5"/>
    <w:rsid w:val="00D063D1"/>
    <w:rsid w:val="00D063DD"/>
    <w:rsid w:val="00D063DE"/>
    <w:rsid w:val="00D06427"/>
    <w:rsid w:val="00D06457"/>
    <w:rsid w:val="00D0648B"/>
    <w:rsid w:val="00D064FF"/>
    <w:rsid w:val="00D0653B"/>
    <w:rsid w:val="00D0654A"/>
    <w:rsid w:val="00D06569"/>
    <w:rsid w:val="00D06593"/>
    <w:rsid w:val="00D065C3"/>
    <w:rsid w:val="00D06615"/>
    <w:rsid w:val="00D066E9"/>
    <w:rsid w:val="00D066ED"/>
    <w:rsid w:val="00D0673C"/>
    <w:rsid w:val="00D06740"/>
    <w:rsid w:val="00D067FF"/>
    <w:rsid w:val="00D06802"/>
    <w:rsid w:val="00D06808"/>
    <w:rsid w:val="00D06830"/>
    <w:rsid w:val="00D06890"/>
    <w:rsid w:val="00D068AD"/>
    <w:rsid w:val="00D068D6"/>
    <w:rsid w:val="00D0690D"/>
    <w:rsid w:val="00D06918"/>
    <w:rsid w:val="00D0692F"/>
    <w:rsid w:val="00D0696B"/>
    <w:rsid w:val="00D069CE"/>
    <w:rsid w:val="00D06A47"/>
    <w:rsid w:val="00D06A52"/>
    <w:rsid w:val="00D06A75"/>
    <w:rsid w:val="00D06ABB"/>
    <w:rsid w:val="00D06AE1"/>
    <w:rsid w:val="00D06AF0"/>
    <w:rsid w:val="00D06AF8"/>
    <w:rsid w:val="00D06B00"/>
    <w:rsid w:val="00D06B4A"/>
    <w:rsid w:val="00D06B7D"/>
    <w:rsid w:val="00D06B92"/>
    <w:rsid w:val="00D06BB8"/>
    <w:rsid w:val="00D06BFB"/>
    <w:rsid w:val="00D06C76"/>
    <w:rsid w:val="00D06CD2"/>
    <w:rsid w:val="00D06D0B"/>
    <w:rsid w:val="00D06D13"/>
    <w:rsid w:val="00D06E11"/>
    <w:rsid w:val="00D06E20"/>
    <w:rsid w:val="00D06E3E"/>
    <w:rsid w:val="00D06E4D"/>
    <w:rsid w:val="00D06E83"/>
    <w:rsid w:val="00D06F01"/>
    <w:rsid w:val="00D06F04"/>
    <w:rsid w:val="00D06FAC"/>
    <w:rsid w:val="00D06FFF"/>
    <w:rsid w:val="00D0701E"/>
    <w:rsid w:val="00D0705D"/>
    <w:rsid w:val="00D070A1"/>
    <w:rsid w:val="00D070A2"/>
    <w:rsid w:val="00D070BB"/>
    <w:rsid w:val="00D070E4"/>
    <w:rsid w:val="00D070F1"/>
    <w:rsid w:val="00D070FB"/>
    <w:rsid w:val="00D07127"/>
    <w:rsid w:val="00D0713C"/>
    <w:rsid w:val="00D0715F"/>
    <w:rsid w:val="00D07192"/>
    <w:rsid w:val="00D0723E"/>
    <w:rsid w:val="00D0724B"/>
    <w:rsid w:val="00D0724F"/>
    <w:rsid w:val="00D0727C"/>
    <w:rsid w:val="00D072BD"/>
    <w:rsid w:val="00D07353"/>
    <w:rsid w:val="00D07379"/>
    <w:rsid w:val="00D073BC"/>
    <w:rsid w:val="00D07479"/>
    <w:rsid w:val="00D0755A"/>
    <w:rsid w:val="00D075BD"/>
    <w:rsid w:val="00D07623"/>
    <w:rsid w:val="00D07633"/>
    <w:rsid w:val="00D07657"/>
    <w:rsid w:val="00D0766B"/>
    <w:rsid w:val="00D07678"/>
    <w:rsid w:val="00D076AF"/>
    <w:rsid w:val="00D076CA"/>
    <w:rsid w:val="00D076D1"/>
    <w:rsid w:val="00D076ED"/>
    <w:rsid w:val="00D077DF"/>
    <w:rsid w:val="00D077EA"/>
    <w:rsid w:val="00D07841"/>
    <w:rsid w:val="00D078E2"/>
    <w:rsid w:val="00D078ED"/>
    <w:rsid w:val="00D0792A"/>
    <w:rsid w:val="00D079B7"/>
    <w:rsid w:val="00D07A17"/>
    <w:rsid w:val="00D07A27"/>
    <w:rsid w:val="00D07A2F"/>
    <w:rsid w:val="00D07A50"/>
    <w:rsid w:val="00D07A64"/>
    <w:rsid w:val="00D07ABC"/>
    <w:rsid w:val="00D07ACA"/>
    <w:rsid w:val="00D07B3B"/>
    <w:rsid w:val="00D07B68"/>
    <w:rsid w:val="00D07BA7"/>
    <w:rsid w:val="00D07BBC"/>
    <w:rsid w:val="00D07C15"/>
    <w:rsid w:val="00D07C74"/>
    <w:rsid w:val="00D07CA8"/>
    <w:rsid w:val="00D07CEC"/>
    <w:rsid w:val="00D07D03"/>
    <w:rsid w:val="00D07D2C"/>
    <w:rsid w:val="00D07DA8"/>
    <w:rsid w:val="00D07DF6"/>
    <w:rsid w:val="00D07E5C"/>
    <w:rsid w:val="00D07E8D"/>
    <w:rsid w:val="00D07F40"/>
    <w:rsid w:val="00D07F70"/>
    <w:rsid w:val="00D07FB0"/>
    <w:rsid w:val="00D07FBF"/>
    <w:rsid w:val="00D07FC4"/>
    <w:rsid w:val="00D07FDB"/>
    <w:rsid w:val="00D1001F"/>
    <w:rsid w:val="00D1007E"/>
    <w:rsid w:val="00D100CB"/>
    <w:rsid w:val="00D10135"/>
    <w:rsid w:val="00D10150"/>
    <w:rsid w:val="00D101AA"/>
    <w:rsid w:val="00D10208"/>
    <w:rsid w:val="00D1022B"/>
    <w:rsid w:val="00D10383"/>
    <w:rsid w:val="00D103B6"/>
    <w:rsid w:val="00D10413"/>
    <w:rsid w:val="00D10423"/>
    <w:rsid w:val="00D10496"/>
    <w:rsid w:val="00D104C7"/>
    <w:rsid w:val="00D104F3"/>
    <w:rsid w:val="00D10515"/>
    <w:rsid w:val="00D10535"/>
    <w:rsid w:val="00D10551"/>
    <w:rsid w:val="00D10599"/>
    <w:rsid w:val="00D105EC"/>
    <w:rsid w:val="00D10660"/>
    <w:rsid w:val="00D10671"/>
    <w:rsid w:val="00D106BD"/>
    <w:rsid w:val="00D106C5"/>
    <w:rsid w:val="00D10745"/>
    <w:rsid w:val="00D1078C"/>
    <w:rsid w:val="00D1079A"/>
    <w:rsid w:val="00D107B9"/>
    <w:rsid w:val="00D107E3"/>
    <w:rsid w:val="00D1082D"/>
    <w:rsid w:val="00D108E0"/>
    <w:rsid w:val="00D10923"/>
    <w:rsid w:val="00D1092C"/>
    <w:rsid w:val="00D10983"/>
    <w:rsid w:val="00D109AE"/>
    <w:rsid w:val="00D109C1"/>
    <w:rsid w:val="00D109DE"/>
    <w:rsid w:val="00D10A03"/>
    <w:rsid w:val="00D10A47"/>
    <w:rsid w:val="00D10B34"/>
    <w:rsid w:val="00D10B52"/>
    <w:rsid w:val="00D10B80"/>
    <w:rsid w:val="00D10BB3"/>
    <w:rsid w:val="00D10BB4"/>
    <w:rsid w:val="00D10BDE"/>
    <w:rsid w:val="00D10C73"/>
    <w:rsid w:val="00D10CD3"/>
    <w:rsid w:val="00D10CDD"/>
    <w:rsid w:val="00D10D02"/>
    <w:rsid w:val="00D10D12"/>
    <w:rsid w:val="00D10D6B"/>
    <w:rsid w:val="00D10D7F"/>
    <w:rsid w:val="00D10D9D"/>
    <w:rsid w:val="00D10DD2"/>
    <w:rsid w:val="00D10E34"/>
    <w:rsid w:val="00D10E8F"/>
    <w:rsid w:val="00D10EE2"/>
    <w:rsid w:val="00D10F4A"/>
    <w:rsid w:val="00D10F6A"/>
    <w:rsid w:val="00D10F73"/>
    <w:rsid w:val="00D10F91"/>
    <w:rsid w:val="00D10FEA"/>
    <w:rsid w:val="00D11015"/>
    <w:rsid w:val="00D11036"/>
    <w:rsid w:val="00D1104F"/>
    <w:rsid w:val="00D110DB"/>
    <w:rsid w:val="00D110E0"/>
    <w:rsid w:val="00D11115"/>
    <w:rsid w:val="00D11144"/>
    <w:rsid w:val="00D11184"/>
    <w:rsid w:val="00D1120A"/>
    <w:rsid w:val="00D1127A"/>
    <w:rsid w:val="00D11287"/>
    <w:rsid w:val="00D1132E"/>
    <w:rsid w:val="00D1137D"/>
    <w:rsid w:val="00D11381"/>
    <w:rsid w:val="00D11396"/>
    <w:rsid w:val="00D113BC"/>
    <w:rsid w:val="00D113E6"/>
    <w:rsid w:val="00D113F1"/>
    <w:rsid w:val="00D11423"/>
    <w:rsid w:val="00D114FC"/>
    <w:rsid w:val="00D11524"/>
    <w:rsid w:val="00D11585"/>
    <w:rsid w:val="00D115C4"/>
    <w:rsid w:val="00D1164A"/>
    <w:rsid w:val="00D1166A"/>
    <w:rsid w:val="00D116A8"/>
    <w:rsid w:val="00D116D1"/>
    <w:rsid w:val="00D1171D"/>
    <w:rsid w:val="00D1179D"/>
    <w:rsid w:val="00D118D9"/>
    <w:rsid w:val="00D1190F"/>
    <w:rsid w:val="00D1191C"/>
    <w:rsid w:val="00D11964"/>
    <w:rsid w:val="00D119B0"/>
    <w:rsid w:val="00D119D9"/>
    <w:rsid w:val="00D119ED"/>
    <w:rsid w:val="00D11A0C"/>
    <w:rsid w:val="00D11A21"/>
    <w:rsid w:val="00D11A23"/>
    <w:rsid w:val="00D11A2A"/>
    <w:rsid w:val="00D11A5A"/>
    <w:rsid w:val="00D11AC3"/>
    <w:rsid w:val="00D11AC9"/>
    <w:rsid w:val="00D11B74"/>
    <w:rsid w:val="00D11BBE"/>
    <w:rsid w:val="00D11BC3"/>
    <w:rsid w:val="00D11C04"/>
    <w:rsid w:val="00D11C5A"/>
    <w:rsid w:val="00D11C94"/>
    <w:rsid w:val="00D11D1A"/>
    <w:rsid w:val="00D11D1C"/>
    <w:rsid w:val="00D11D30"/>
    <w:rsid w:val="00D11D74"/>
    <w:rsid w:val="00D11E3F"/>
    <w:rsid w:val="00D11E82"/>
    <w:rsid w:val="00D11E92"/>
    <w:rsid w:val="00D11E9A"/>
    <w:rsid w:val="00D11EB0"/>
    <w:rsid w:val="00D11F7A"/>
    <w:rsid w:val="00D11FCC"/>
    <w:rsid w:val="00D11FD3"/>
    <w:rsid w:val="00D11FDD"/>
    <w:rsid w:val="00D12008"/>
    <w:rsid w:val="00D12016"/>
    <w:rsid w:val="00D12044"/>
    <w:rsid w:val="00D120CF"/>
    <w:rsid w:val="00D12137"/>
    <w:rsid w:val="00D12147"/>
    <w:rsid w:val="00D1217D"/>
    <w:rsid w:val="00D121AA"/>
    <w:rsid w:val="00D121DF"/>
    <w:rsid w:val="00D1227B"/>
    <w:rsid w:val="00D122AF"/>
    <w:rsid w:val="00D122BF"/>
    <w:rsid w:val="00D122C9"/>
    <w:rsid w:val="00D122DD"/>
    <w:rsid w:val="00D1231F"/>
    <w:rsid w:val="00D12322"/>
    <w:rsid w:val="00D1233B"/>
    <w:rsid w:val="00D123AE"/>
    <w:rsid w:val="00D123D4"/>
    <w:rsid w:val="00D123D7"/>
    <w:rsid w:val="00D12474"/>
    <w:rsid w:val="00D124A8"/>
    <w:rsid w:val="00D124AC"/>
    <w:rsid w:val="00D124E5"/>
    <w:rsid w:val="00D1259A"/>
    <w:rsid w:val="00D125DC"/>
    <w:rsid w:val="00D125E8"/>
    <w:rsid w:val="00D12660"/>
    <w:rsid w:val="00D126C1"/>
    <w:rsid w:val="00D126FE"/>
    <w:rsid w:val="00D12748"/>
    <w:rsid w:val="00D127AF"/>
    <w:rsid w:val="00D127D6"/>
    <w:rsid w:val="00D12868"/>
    <w:rsid w:val="00D128AC"/>
    <w:rsid w:val="00D128AF"/>
    <w:rsid w:val="00D128D4"/>
    <w:rsid w:val="00D128DC"/>
    <w:rsid w:val="00D12902"/>
    <w:rsid w:val="00D129A5"/>
    <w:rsid w:val="00D12A61"/>
    <w:rsid w:val="00D12A63"/>
    <w:rsid w:val="00D12A87"/>
    <w:rsid w:val="00D12AD9"/>
    <w:rsid w:val="00D12B6D"/>
    <w:rsid w:val="00D12B98"/>
    <w:rsid w:val="00D12BC6"/>
    <w:rsid w:val="00D12BCD"/>
    <w:rsid w:val="00D12CBE"/>
    <w:rsid w:val="00D12CDC"/>
    <w:rsid w:val="00D12D1F"/>
    <w:rsid w:val="00D12DB3"/>
    <w:rsid w:val="00D12E2C"/>
    <w:rsid w:val="00D12E45"/>
    <w:rsid w:val="00D12E75"/>
    <w:rsid w:val="00D12ED8"/>
    <w:rsid w:val="00D12F2D"/>
    <w:rsid w:val="00D12F5D"/>
    <w:rsid w:val="00D12F5F"/>
    <w:rsid w:val="00D12FE0"/>
    <w:rsid w:val="00D1304A"/>
    <w:rsid w:val="00D130CE"/>
    <w:rsid w:val="00D130CF"/>
    <w:rsid w:val="00D1310D"/>
    <w:rsid w:val="00D13143"/>
    <w:rsid w:val="00D13170"/>
    <w:rsid w:val="00D1321C"/>
    <w:rsid w:val="00D1325F"/>
    <w:rsid w:val="00D13263"/>
    <w:rsid w:val="00D13281"/>
    <w:rsid w:val="00D132BF"/>
    <w:rsid w:val="00D132C5"/>
    <w:rsid w:val="00D132CB"/>
    <w:rsid w:val="00D13350"/>
    <w:rsid w:val="00D1336D"/>
    <w:rsid w:val="00D133C6"/>
    <w:rsid w:val="00D133CB"/>
    <w:rsid w:val="00D1345D"/>
    <w:rsid w:val="00D13486"/>
    <w:rsid w:val="00D13487"/>
    <w:rsid w:val="00D134E0"/>
    <w:rsid w:val="00D134EC"/>
    <w:rsid w:val="00D13543"/>
    <w:rsid w:val="00D13549"/>
    <w:rsid w:val="00D13585"/>
    <w:rsid w:val="00D135C5"/>
    <w:rsid w:val="00D135D8"/>
    <w:rsid w:val="00D13614"/>
    <w:rsid w:val="00D13637"/>
    <w:rsid w:val="00D1364F"/>
    <w:rsid w:val="00D13690"/>
    <w:rsid w:val="00D136B8"/>
    <w:rsid w:val="00D136C8"/>
    <w:rsid w:val="00D1371B"/>
    <w:rsid w:val="00D137A5"/>
    <w:rsid w:val="00D13830"/>
    <w:rsid w:val="00D1385D"/>
    <w:rsid w:val="00D138DC"/>
    <w:rsid w:val="00D138FC"/>
    <w:rsid w:val="00D13A37"/>
    <w:rsid w:val="00D13B2A"/>
    <w:rsid w:val="00D13B5F"/>
    <w:rsid w:val="00D13BFE"/>
    <w:rsid w:val="00D13C1C"/>
    <w:rsid w:val="00D13C25"/>
    <w:rsid w:val="00D13CD2"/>
    <w:rsid w:val="00D13D0A"/>
    <w:rsid w:val="00D13D15"/>
    <w:rsid w:val="00D13D88"/>
    <w:rsid w:val="00D13DA8"/>
    <w:rsid w:val="00D13E08"/>
    <w:rsid w:val="00D13E42"/>
    <w:rsid w:val="00D13FA5"/>
    <w:rsid w:val="00D13FB5"/>
    <w:rsid w:val="00D13FF7"/>
    <w:rsid w:val="00D14135"/>
    <w:rsid w:val="00D1415D"/>
    <w:rsid w:val="00D141C2"/>
    <w:rsid w:val="00D141FB"/>
    <w:rsid w:val="00D1421C"/>
    <w:rsid w:val="00D1427C"/>
    <w:rsid w:val="00D143B6"/>
    <w:rsid w:val="00D143F3"/>
    <w:rsid w:val="00D14487"/>
    <w:rsid w:val="00D144A5"/>
    <w:rsid w:val="00D144A7"/>
    <w:rsid w:val="00D144AC"/>
    <w:rsid w:val="00D144D8"/>
    <w:rsid w:val="00D144EA"/>
    <w:rsid w:val="00D144EF"/>
    <w:rsid w:val="00D14514"/>
    <w:rsid w:val="00D1458E"/>
    <w:rsid w:val="00D14644"/>
    <w:rsid w:val="00D1467E"/>
    <w:rsid w:val="00D14708"/>
    <w:rsid w:val="00D14715"/>
    <w:rsid w:val="00D14735"/>
    <w:rsid w:val="00D1479C"/>
    <w:rsid w:val="00D1481C"/>
    <w:rsid w:val="00D148FC"/>
    <w:rsid w:val="00D14921"/>
    <w:rsid w:val="00D14945"/>
    <w:rsid w:val="00D14993"/>
    <w:rsid w:val="00D149C5"/>
    <w:rsid w:val="00D149ED"/>
    <w:rsid w:val="00D14A64"/>
    <w:rsid w:val="00D14A72"/>
    <w:rsid w:val="00D14AEC"/>
    <w:rsid w:val="00D14B3E"/>
    <w:rsid w:val="00D14B8F"/>
    <w:rsid w:val="00D14C3A"/>
    <w:rsid w:val="00D14C46"/>
    <w:rsid w:val="00D14C90"/>
    <w:rsid w:val="00D14D83"/>
    <w:rsid w:val="00D14DB8"/>
    <w:rsid w:val="00D14DF0"/>
    <w:rsid w:val="00D14E1A"/>
    <w:rsid w:val="00D14E5A"/>
    <w:rsid w:val="00D14E92"/>
    <w:rsid w:val="00D14EA8"/>
    <w:rsid w:val="00D14EB2"/>
    <w:rsid w:val="00D14ECA"/>
    <w:rsid w:val="00D14ECF"/>
    <w:rsid w:val="00D14EF0"/>
    <w:rsid w:val="00D14F3D"/>
    <w:rsid w:val="00D14F66"/>
    <w:rsid w:val="00D14F89"/>
    <w:rsid w:val="00D15004"/>
    <w:rsid w:val="00D15010"/>
    <w:rsid w:val="00D15065"/>
    <w:rsid w:val="00D1509F"/>
    <w:rsid w:val="00D150C1"/>
    <w:rsid w:val="00D150CA"/>
    <w:rsid w:val="00D150CC"/>
    <w:rsid w:val="00D150D2"/>
    <w:rsid w:val="00D150EB"/>
    <w:rsid w:val="00D151E4"/>
    <w:rsid w:val="00D15219"/>
    <w:rsid w:val="00D15236"/>
    <w:rsid w:val="00D15291"/>
    <w:rsid w:val="00D15296"/>
    <w:rsid w:val="00D1529E"/>
    <w:rsid w:val="00D152C0"/>
    <w:rsid w:val="00D1533F"/>
    <w:rsid w:val="00D15364"/>
    <w:rsid w:val="00D153B4"/>
    <w:rsid w:val="00D15409"/>
    <w:rsid w:val="00D1543D"/>
    <w:rsid w:val="00D15446"/>
    <w:rsid w:val="00D15484"/>
    <w:rsid w:val="00D15497"/>
    <w:rsid w:val="00D154F6"/>
    <w:rsid w:val="00D1558B"/>
    <w:rsid w:val="00D155A7"/>
    <w:rsid w:val="00D15602"/>
    <w:rsid w:val="00D15628"/>
    <w:rsid w:val="00D156E0"/>
    <w:rsid w:val="00D15714"/>
    <w:rsid w:val="00D15796"/>
    <w:rsid w:val="00D15804"/>
    <w:rsid w:val="00D15883"/>
    <w:rsid w:val="00D158EA"/>
    <w:rsid w:val="00D15A57"/>
    <w:rsid w:val="00D15AB3"/>
    <w:rsid w:val="00D15AD2"/>
    <w:rsid w:val="00D15B2C"/>
    <w:rsid w:val="00D15B42"/>
    <w:rsid w:val="00D15BC1"/>
    <w:rsid w:val="00D15C4E"/>
    <w:rsid w:val="00D15C57"/>
    <w:rsid w:val="00D15C85"/>
    <w:rsid w:val="00D15CEE"/>
    <w:rsid w:val="00D15D11"/>
    <w:rsid w:val="00D15D1A"/>
    <w:rsid w:val="00D15DBD"/>
    <w:rsid w:val="00D15DC3"/>
    <w:rsid w:val="00D15DD4"/>
    <w:rsid w:val="00D15E3F"/>
    <w:rsid w:val="00D15E4F"/>
    <w:rsid w:val="00D15E56"/>
    <w:rsid w:val="00D15EDA"/>
    <w:rsid w:val="00D15EF1"/>
    <w:rsid w:val="00D15EFB"/>
    <w:rsid w:val="00D15F51"/>
    <w:rsid w:val="00D15FB8"/>
    <w:rsid w:val="00D15FBB"/>
    <w:rsid w:val="00D15FCB"/>
    <w:rsid w:val="00D16008"/>
    <w:rsid w:val="00D16084"/>
    <w:rsid w:val="00D160CB"/>
    <w:rsid w:val="00D160FF"/>
    <w:rsid w:val="00D16116"/>
    <w:rsid w:val="00D16144"/>
    <w:rsid w:val="00D161CE"/>
    <w:rsid w:val="00D161D5"/>
    <w:rsid w:val="00D1626F"/>
    <w:rsid w:val="00D162A0"/>
    <w:rsid w:val="00D162AE"/>
    <w:rsid w:val="00D162C3"/>
    <w:rsid w:val="00D162F1"/>
    <w:rsid w:val="00D1635D"/>
    <w:rsid w:val="00D16384"/>
    <w:rsid w:val="00D163A4"/>
    <w:rsid w:val="00D163B3"/>
    <w:rsid w:val="00D163BC"/>
    <w:rsid w:val="00D16421"/>
    <w:rsid w:val="00D16458"/>
    <w:rsid w:val="00D1646B"/>
    <w:rsid w:val="00D1646F"/>
    <w:rsid w:val="00D1649E"/>
    <w:rsid w:val="00D164B5"/>
    <w:rsid w:val="00D16504"/>
    <w:rsid w:val="00D16531"/>
    <w:rsid w:val="00D16549"/>
    <w:rsid w:val="00D165F7"/>
    <w:rsid w:val="00D16621"/>
    <w:rsid w:val="00D16630"/>
    <w:rsid w:val="00D1663C"/>
    <w:rsid w:val="00D16665"/>
    <w:rsid w:val="00D16674"/>
    <w:rsid w:val="00D1668B"/>
    <w:rsid w:val="00D166A3"/>
    <w:rsid w:val="00D166B2"/>
    <w:rsid w:val="00D166B9"/>
    <w:rsid w:val="00D166CC"/>
    <w:rsid w:val="00D16761"/>
    <w:rsid w:val="00D16774"/>
    <w:rsid w:val="00D167DC"/>
    <w:rsid w:val="00D167F5"/>
    <w:rsid w:val="00D16840"/>
    <w:rsid w:val="00D168E5"/>
    <w:rsid w:val="00D16931"/>
    <w:rsid w:val="00D16A33"/>
    <w:rsid w:val="00D16AA3"/>
    <w:rsid w:val="00D16AF5"/>
    <w:rsid w:val="00D16B3D"/>
    <w:rsid w:val="00D16B81"/>
    <w:rsid w:val="00D16C00"/>
    <w:rsid w:val="00D16C06"/>
    <w:rsid w:val="00D16C09"/>
    <w:rsid w:val="00D16C30"/>
    <w:rsid w:val="00D16C87"/>
    <w:rsid w:val="00D16D17"/>
    <w:rsid w:val="00D16D43"/>
    <w:rsid w:val="00D16D7A"/>
    <w:rsid w:val="00D16DC2"/>
    <w:rsid w:val="00D16E77"/>
    <w:rsid w:val="00D16EA9"/>
    <w:rsid w:val="00D16F5C"/>
    <w:rsid w:val="00D16F70"/>
    <w:rsid w:val="00D16F86"/>
    <w:rsid w:val="00D17020"/>
    <w:rsid w:val="00D17022"/>
    <w:rsid w:val="00D17029"/>
    <w:rsid w:val="00D1703F"/>
    <w:rsid w:val="00D1704F"/>
    <w:rsid w:val="00D170C4"/>
    <w:rsid w:val="00D170CC"/>
    <w:rsid w:val="00D17105"/>
    <w:rsid w:val="00D17133"/>
    <w:rsid w:val="00D17174"/>
    <w:rsid w:val="00D171B2"/>
    <w:rsid w:val="00D172AD"/>
    <w:rsid w:val="00D172FF"/>
    <w:rsid w:val="00D17370"/>
    <w:rsid w:val="00D17394"/>
    <w:rsid w:val="00D173C2"/>
    <w:rsid w:val="00D173D2"/>
    <w:rsid w:val="00D173FE"/>
    <w:rsid w:val="00D1743F"/>
    <w:rsid w:val="00D1748C"/>
    <w:rsid w:val="00D174BA"/>
    <w:rsid w:val="00D174D7"/>
    <w:rsid w:val="00D174E2"/>
    <w:rsid w:val="00D17535"/>
    <w:rsid w:val="00D175AA"/>
    <w:rsid w:val="00D175BB"/>
    <w:rsid w:val="00D175DC"/>
    <w:rsid w:val="00D1764E"/>
    <w:rsid w:val="00D1766A"/>
    <w:rsid w:val="00D17707"/>
    <w:rsid w:val="00D1776A"/>
    <w:rsid w:val="00D17782"/>
    <w:rsid w:val="00D177BB"/>
    <w:rsid w:val="00D177DA"/>
    <w:rsid w:val="00D177E7"/>
    <w:rsid w:val="00D1786B"/>
    <w:rsid w:val="00D1787C"/>
    <w:rsid w:val="00D178F1"/>
    <w:rsid w:val="00D17962"/>
    <w:rsid w:val="00D1799E"/>
    <w:rsid w:val="00D17A86"/>
    <w:rsid w:val="00D17AC1"/>
    <w:rsid w:val="00D17B0C"/>
    <w:rsid w:val="00D17B84"/>
    <w:rsid w:val="00D17BA6"/>
    <w:rsid w:val="00D17BED"/>
    <w:rsid w:val="00D17C1E"/>
    <w:rsid w:val="00D17C45"/>
    <w:rsid w:val="00D17CEB"/>
    <w:rsid w:val="00D17D40"/>
    <w:rsid w:val="00D17DAD"/>
    <w:rsid w:val="00D17E12"/>
    <w:rsid w:val="00D17E60"/>
    <w:rsid w:val="00D17E7F"/>
    <w:rsid w:val="00D17EA7"/>
    <w:rsid w:val="00D17EB2"/>
    <w:rsid w:val="00D17FED"/>
    <w:rsid w:val="00D20026"/>
    <w:rsid w:val="00D20051"/>
    <w:rsid w:val="00D20054"/>
    <w:rsid w:val="00D20098"/>
    <w:rsid w:val="00D200E4"/>
    <w:rsid w:val="00D200F0"/>
    <w:rsid w:val="00D20190"/>
    <w:rsid w:val="00D201B9"/>
    <w:rsid w:val="00D20203"/>
    <w:rsid w:val="00D20217"/>
    <w:rsid w:val="00D20254"/>
    <w:rsid w:val="00D20263"/>
    <w:rsid w:val="00D20289"/>
    <w:rsid w:val="00D202BD"/>
    <w:rsid w:val="00D202F0"/>
    <w:rsid w:val="00D20385"/>
    <w:rsid w:val="00D203B6"/>
    <w:rsid w:val="00D20425"/>
    <w:rsid w:val="00D20443"/>
    <w:rsid w:val="00D20452"/>
    <w:rsid w:val="00D204B8"/>
    <w:rsid w:val="00D204C4"/>
    <w:rsid w:val="00D204CF"/>
    <w:rsid w:val="00D204ED"/>
    <w:rsid w:val="00D20507"/>
    <w:rsid w:val="00D2056B"/>
    <w:rsid w:val="00D205AF"/>
    <w:rsid w:val="00D2060A"/>
    <w:rsid w:val="00D2062E"/>
    <w:rsid w:val="00D20652"/>
    <w:rsid w:val="00D206A4"/>
    <w:rsid w:val="00D206E5"/>
    <w:rsid w:val="00D20725"/>
    <w:rsid w:val="00D20735"/>
    <w:rsid w:val="00D20741"/>
    <w:rsid w:val="00D2074B"/>
    <w:rsid w:val="00D20762"/>
    <w:rsid w:val="00D207EC"/>
    <w:rsid w:val="00D207EE"/>
    <w:rsid w:val="00D2089B"/>
    <w:rsid w:val="00D208A7"/>
    <w:rsid w:val="00D208DF"/>
    <w:rsid w:val="00D20913"/>
    <w:rsid w:val="00D209CE"/>
    <w:rsid w:val="00D209E1"/>
    <w:rsid w:val="00D209EF"/>
    <w:rsid w:val="00D209F8"/>
    <w:rsid w:val="00D20AEE"/>
    <w:rsid w:val="00D20AF8"/>
    <w:rsid w:val="00D20B55"/>
    <w:rsid w:val="00D20B6B"/>
    <w:rsid w:val="00D20B89"/>
    <w:rsid w:val="00D20BE7"/>
    <w:rsid w:val="00D20C88"/>
    <w:rsid w:val="00D20D13"/>
    <w:rsid w:val="00D20D1A"/>
    <w:rsid w:val="00D20D39"/>
    <w:rsid w:val="00D20D5E"/>
    <w:rsid w:val="00D20DC2"/>
    <w:rsid w:val="00D20E68"/>
    <w:rsid w:val="00D20E72"/>
    <w:rsid w:val="00D20F3C"/>
    <w:rsid w:val="00D20F9D"/>
    <w:rsid w:val="00D20FE1"/>
    <w:rsid w:val="00D20FE4"/>
    <w:rsid w:val="00D20FF9"/>
    <w:rsid w:val="00D210C1"/>
    <w:rsid w:val="00D21105"/>
    <w:rsid w:val="00D2110C"/>
    <w:rsid w:val="00D21197"/>
    <w:rsid w:val="00D211AC"/>
    <w:rsid w:val="00D211B7"/>
    <w:rsid w:val="00D211C7"/>
    <w:rsid w:val="00D211C8"/>
    <w:rsid w:val="00D2123A"/>
    <w:rsid w:val="00D21274"/>
    <w:rsid w:val="00D212DB"/>
    <w:rsid w:val="00D212E2"/>
    <w:rsid w:val="00D212F0"/>
    <w:rsid w:val="00D212FC"/>
    <w:rsid w:val="00D21372"/>
    <w:rsid w:val="00D21384"/>
    <w:rsid w:val="00D213A1"/>
    <w:rsid w:val="00D213B6"/>
    <w:rsid w:val="00D213B9"/>
    <w:rsid w:val="00D213BE"/>
    <w:rsid w:val="00D213C5"/>
    <w:rsid w:val="00D213F0"/>
    <w:rsid w:val="00D21412"/>
    <w:rsid w:val="00D2142B"/>
    <w:rsid w:val="00D2150A"/>
    <w:rsid w:val="00D2153B"/>
    <w:rsid w:val="00D2154C"/>
    <w:rsid w:val="00D2157A"/>
    <w:rsid w:val="00D215A8"/>
    <w:rsid w:val="00D215E4"/>
    <w:rsid w:val="00D2168C"/>
    <w:rsid w:val="00D21695"/>
    <w:rsid w:val="00D216DF"/>
    <w:rsid w:val="00D2177C"/>
    <w:rsid w:val="00D21813"/>
    <w:rsid w:val="00D21826"/>
    <w:rsid w:val="00D21829"/>
    <w:rsid w:val="00D21888"/>
    <w:rsid w:val="00D2188F"/>
    <w:rsid w:val="00D21894"/>
    <w:rsid w:val="00D218CB"/>
    <w:rsid w:val="00D2195F"/>
    <w:rsid w:val="00D219AF"/>
    <w:rsid w:val="00D219F1"/>
    <w:rsid w:val="00D21A20"/>
    <w:rsid w:val="00D21A22"/>
    <w:rsid w:val="00D21A62"/>
    <w:rsid w:val="00D21A73"/>
    <w:rsid w:val="00D21B68"/>
    <w:rsid w:val="00D21B76"/>
    <w:rsid w:val="00D21B98"/>
    <w:rsid w:val="00D21BA4"/>
    <w:rsid w:val="00D21BCB"/>
    <w:rsid w:val="00D21BCC"/>
    <w:rsid w:val="00D21C02"/>
    <w:rsid w:val="00D21C3D"/>
    <w:rsid w:val="00D21C6F"/>
    <w:rsid w:val="00D21C79"/>
    <w:rsid w:val="00D21C8D"/>
    <w:rsid w:val="00D21CBF"/>
    <w:rsid w:val="00D21D08"/>
    <w:rsid w:val="00D21D0A"/>
    <w:rsid w:val="00D21D55"/>
    <w:rsid w:val="00D21D7D"/>
    <w:rsid w:val="00D21DC5"/>
    <w:rsid w:val="00D21E0A"/>
    <w:rsid w:val="00D21E13"/>
    <w:rsid w:val="00D21F3B"/>
    <w:rsid w:val="00D21F9D"/>
    <w:rsid w:val="00D21FB3"/>
    <w:rsid w:val="00D21FF4"/>
    <w:rsid w:val="00D22036"/>
    <w:rsid w:val="00D220C5"/>
    <w:rsid w:val="00D22185"/>
    <w:rsid w:val="00D221B3"/>
    <w:rsid w:val="00D221C9"/>
    <w:rsid w:val="00D22221"/>
    <w:rsid w:val="00D22224"/>
    <w:rsid w:val="00D22239"/>
    <w:rsid w:val="00D22248"/>
    <w:rsid w:val="00D22251"/>
    <w:rsid w:val="00D2225F"/>
    <w:rsid w:val="00D22262"/>
    <w:rsid w:val="00D22277"/>
    <w:rsid w:val="00D223C3"/>
    <w:rsid w:val="00D22406"/>
    <w:rsid w:val="00D22476"/>
    <w:rsid w:val="00D224CF"/>
    <w:rsid w:val="00D224F2"/>
    <w:rsid w:val="00D22505"/>
    <w:rsid w:val="00D22557"/>
    <w:rsid w:val="00D22566"/>
    <w:rsid w:val="00D22681"/>
    <w:rsid w:val="00D226C1"/>
    <w:rsid w:val="00D22714"/>
    <w:rsid w:val="00D22755"/>
    <w:rsid w:val="00D2275B"/>
    <w:rsid w:val="00D2275D"/>
    <w:rsid w:val="00D2276A"/>
    <w:rsid w:val="00D22781"/>
    <w:rsid w:val="00D227BD"/>
    <w:rsid w:val="00D22842"/>
    <w:rsid w:val="00D2286E"/>
    <w:rsid w:val="00D228C1"/>
    <w:rsid w:val="00D22901"/>
    <w:rsid w:val="00D22910"/>
    <w:rsid w:val="00D22993"/>
    <w:rsid w:val="00D22995"/>
    <w:rsid w:val="00D229B2"/>
    <w:rsid w:val="00D22A1B"/>
    <w:rsid w:val="00D22A24"/>
    <w:rsid w:val="00D22A57"/>
    <w:rsid w:val="00D22A8A"/>
    <w:rsid w:val="00D22B12"/>
    <w:rsid w:val="00D22BA4"/>
    <w:rsid w:val="00D22BDC"/>
    <w:rsid w:val="00D22BED"/>
    <w:rsid w:val="00D22C02"/>
    <w:rsid w:val="00D22C2C"/>
    <w:rsid w:val="00D22C68"/>
    <w:rsid w:val="00D22C77"/>
    <w:rsid w:val="00D22CA1"/>
    <w:rsid w:val="00D22CED"/>
    <w:rsid w:val="00D22CF6"/>
    <w:rsid w:val="00D22D5A"/>
    <w:rsid w:val="00D22D67"/>
    <w:rsid w:val="00D22D76"/>
    <w:rsid w:val="00D22D87"/>
    <w:rsid w:val="00D22D8C"/>
    <w:rsid w:val="00D22DAC"/>
    <w:rsid w:val="00D22DCC"/>
    <w:rsid w:val="00D22DD4"/>
    <w:rsid w:val="00D22E39"/>
    <w:rsid w:val="00D22E53"/>
    <w:rsid w:val="00D22EC0"/>
    <w:rsid w:val="00D22F08"/>
    <w:rsid w:val="00D22F15"/>
    <w:rsid w:val="00D22F58"/>
    <w:rsid w:val="00D22FF2"/>
    <w:rsid w:val="00D23045"/>
    <w:rsid w:val="00D230E4"/>
    <w:rsid w:val="00D23117"/>
    <w:rsid w:val="00D2311C"/>
    <w:rsid w:val="00D23126"/>
    <w:rsid w:val="00D2315C"/>
    <w:rsid w:val="00D2316A"/>
    <w:rsid w:val="00D23197"/>
    <w:rsid w:val="00D231A7"/>
    <w:rsid w:val="00D23246"/>
    <w:rsid w:val="00D2325F"/>
    <w:rsid w:val="00D2328D"/>
    <w:rsid w:val="00D232D8"/>
    <w:rsid w:val="00D23306"/>
    <w:rsid w:val="00D23343"/>
    <w:rsid w:val="00D23366"/>
    <w:rsid w:val="00D23368"/>
    <w:rsid w:val="00D2338F"/>
    <w:rsid w:val="00D23415"/>
    <w:rsid w:val="00D2341F"/>
    <w:rsid w:val="00D23435"/>
    <w:rsid w:val="00D2343D"/>
    <w:rsid w:val="00D23455"/>
    <w:rsid w:val="00D234E0"/>
    <w:rsid w:val="00D234E4"/>
    <w:rsid w:val="00D235B2"/>
    <w:rsid w:val="00D235D8"/>
    <w:rsid w:val="00D23614"/>
    <w:rsid w:val="00D23695"/>
    <w:rsid w:val="00D2369B"/>
    <w:rsid w:val="00D236AE"/>
    <w:rsid w:val="00D236FB"/>
    <w:rsid w:val="00D23707"/>
    <w:rsid w:val="00D2379B"/>
    <w:rsid w:val="00D237E6"/>
    <w:rsid w:val="00D23827"/>
    <w:rsid w:val="00D2389C"/>
    <w:rsid w:val="00D23911"/>
    <w:rsid w:val="00D239A0"/>
    <w:rsid w:val="00D23A53"/>
    <w:rsid w:val="00D23A6D"/>
    <w:rsid w:val="00D23A8E"/>
    <w:rsid w:val="00D23AA0"/>
    <w:rsid w:val="00D23AFD"/>
    <w:rsid w:val="00D23B39"/>
    <w:rsid w:val="00D23B7D"/>
    <w:rsid w:val="00D23BC2"/>
    <w:rsid w:val="00D23BCC"/>
    <w:rsid w:val="00D23BCE"/>
    <w:rsid w:val="00D23C07"/>
    <w:rsid w:val="00D23C1C"/>
    <w:rsid w:val="00D23C67"/>
    <w:rsid w:val="00D23CC6"/>
    <w:rsid w:val="00D23D17"/>
    <w:rsid w:val="00D23D2B"/>
    <w:rsid w:val="00D23D53"/>
    <w:rsid w:val="00D23D90"/>
    <w:rsid w:val="00D23DE4"/>
    <w:rsid w:val="00D23E18"/>
    <w:rsid w:val="00D23E33"/>
    <w:rsid w:val="00D23E8D"/>
    <w:rsid w:val="00D23F81"/>
    <w:rsid w:val="00D23F99"/>
    <w:rsid w:val="00D23FE5"/>
    <w:rsid w:val="00D24014"/>
    <w:rsid w:val="00D2411B"/>
    <w:rsid w:val="00D241CC"/>
    <w:rsid w:val="00D2427F"/>
    <w:rsid w:val="00D242B0"/>
    <w:rsid w:val="00D24346"/>
    <w:rsid w:val="00D243AB"/>
    <w:rsid w:val="00D2443F"/>
    <w:rsid w:val="00D24448"/>
    <w:rsid w:val="00D244BA"/>
    <w:rsid w:val="00D2450C"/>
    <w:rsid w:val="00D24527"/>
    <w:rsid w:val="00D2463F"/>
    <w:rsid w:val="00D246E9"/>
    <w:rsid w:val="00D246FF"/>
    <w:rsid w:val="00D24736"/>
    <w:rsid w:val="00D247A3"/>
    <w:rsid w:val="00D247C6"/>
    <w:rsid w:val="00D24843"/>
    <w:rsid w:val="00D24847"/>
    <w:rsid w:val="00D24881"/>
    <w:rsid w:val="00D2489F"/>
    <w:rsid w:val="00D248AF"/>
    <w:rsid w:val="00D248E9"/>
    <w:rsid w:val="00D24944"/>
    <w:rsid w:val="00D2496B"/>
    <w:rsid w:val="00D24988"/>
    <w:rsid w:val="00D249F6"/>
    <w:rsid w:val="00D24A25"/>
    <w:rsid w:val="00D24A76"/>
    <w:rsid w:val="00D24A91"/>
    <w:rsid w:val="00D24AE6"/>
    <w:rsid w:val="00D24AF3"/>
    <w:rsid w:val="00D24B13"/>
    <w:rsid w:val="00D24B80"/>
    <w:rsid w:val="00D24BD8"/>
    <w:rsid w:val="00D24C0A"/>
    <w:rsid w:val="00D24C18"/>
    <w:rsid w:val="00D24C55"/>
    <w:rsid w:val="00D24CD3"/>
    <w:rsid w:val="00D24D05"/>
    <w:rsid w:val="00D24D41"/>
    <w:rsid w:val="00D24D52"/>
    <w:rsid w:val="00D24D7C"/>
    <w:rsid w:val="00D24DE0"/>
    <w:rsid w:val="00D24E1C"/>
    <w:rsid w:val="00D24E99"/>
    <w:rsid w:val="00D24EA3"/>
    <w:rsid w:val="00D24ECC"/>
    <w:rsid w:val="00D24ED2"/>
    <w:rsid w:val="00D25029"/>
    <w:rsid w:val="00D2505D"/>
    <w:rsid w:val="00D25080"/>
    <w:rsid w:val="00D25085"/>
    <w:rsid w:val="00D250E3"/>
    <w:rsid w:val="00D25100"/>
    <w:rsid w:val="00D25104"/>
    <w:rsid w:val="00D2510D"/>
    <w:rsid w:val="00D2510F"/>
    <w:rsid w:val="00D25122"/>
    <w:rsid w:val="00D25148"/>
    <w:rsid w:val="00D25172"/>
    <w:rsid w:val="00D2518D"/>
    <w:rsid w:val="00D251D2"/>
    <w:rsid w:val="00D2522F"/>
    <w:rsid w:val="00D252B1"/>
    <w:rsid w:val="00D252BA"/>
    <w:rsid w:val="00D252D5"/>
    <w:rsid w:val="00D252E9"/>
    <w:rsid w:val="00D252EE"/>
    <w:rsid w:val="00D2532E"/>
    <w:rsid w:val="00D253EA"/>
    <w:rsid w:val="00D25434"/>
    <w:rsid w:val="00D25498"/>
    <w:rsid w:val="00D254D2"/>
    <w:rsid w:val="00D25521"/>
    <w:rsid w:val="00D25524"/>
    <w:rsid w:val="00D25550"/>
    <w:rsid w:val="00D255B5"/>
    <w:rsid w:val="00D255D2"/>
    <w:rsid w:val="00D255F0"/>
    <w:rsid w:val="00D255F2"/>
    <w:rsid w:val="00D25601"/>
    <w:rsid w:val="00D25622"/>
    <w:rsid w:val="00D2565A"/>
    <w:rsid w:val="00D256DB"/>
    <w:rsid w:val="00D256EE"/>
    <w:rsid w:val="00D25717"/>
    <w:rsid w:val="00D2577D"/>
    <w:rsid w:val="00D257A5"/>
    <w:rsid w:val="00D257D5"/>
    <w:rsid w:val="00D257EB"/>
    <w:rsid w:val="00D257FD"/>
    <w:rsid w:val="00D25893"/>
    <w:rsid w:val="00D258AD"/>
    <w:rsid w:val="00D2590A"/>
    <w:rsid w:val="00D2595F"/>
    <w:rsid w:val="00D25A77"/>
    <w:rsid w:val="00D25AE1"/>
    <w:rsid w:val="00D25C5A"/>
    <w:rsid w:val="00D25CA8"/>
    <w:rsid w:val="00D25CB8"/>
    <w:rsid w:val="00D25CE0"/>
    <w:rsid w:val="00D25CF0"/>
    <w:rsid w:val="00D25D10"/>
    <w:rsid w:val="00D25D22"/>
    <w:rsid w:val="00D25D26"/>
    <w:rsid w:val="00D25D2A"/>
    <w:rsid w:val="00D25D2D"/>
    <w:rsid w:val="00D25D52"/>
    <w:rsid w:val="00D25D65"/>
    <w:rsid w:val="00D25E71"/>
    <w:rsid w:val="00D25E77"/>
    <w:rsid w:val="00D25ECB"/>
    <w:rsid w:val="00D25F57"/>
    <w:rsid w:val="00D25FDE"/>
    <w:rsid w:val="00D25FEF"/>
    <w:rsid w:val="00D26018"/>
    <w:rsid w:val="00D26065"/>
    <w:rsid w:val="00D260C5"/>
    <w:rsid w:val="00D260D7"/>
    <w:rsid w:val="00D26101"/>
    <w:rsid w:val="00D2613C"/>
    <w:rsid w:val="00D26144"/>
    <w:rsid w:val="00D26152"/>
    <w:rsid w:val="00D261A8"/>
    <w:rsid w:val="00D261B7"/>
    <w:rsid w:val="00D261CD"/>
    <w:rsid w:val="00D26223"/>
    <w:rsid w:val="00D2628A"/>
    <w:rsid w:val="00D2636A"/>
    <w:rsid w:val="00D26384"/>
    <w:rsid w:val="00D26399"/>
    <w:rsid w:val="00D263CC"/>
    <w:rsid w:val="00D263CD"/>
    <w:rsid w:val="00D263E4"/>
    <w:rsid w:val="00D2642B"/>
    <w:rsid w:val="00D26670"/>
    <w:rsid w:val="00D266B8"/>
    <w:rsid w:val="00D266C4"/>
    <w:rsid w:val="00D266E6"/>
    <w:rsid w:val="00D26757"/>
    <w:rsid w:val="00D2677D"/>
    <w:rsid w:val="00D2679F"/>
    <w:rsid w:val="00D2680E"/>
    <w:rsid w:val="00D268B4"/>
    <w:rsid w:val="00D268E6"/>
    <w:rsid w:val="00D2693B"/>
    <w:rsid w:val="00D269B4"/>
    <w:rsid w:val="00D269C4"/>
    <w:rsid w:val="00D269FD"/>
    <w:rsid w:val="00D269FF"/>
    <w:rsid w:val="00D26A1F"/>
    <w:rsid w:val="00D26A7C"/>
    <w:rsid w:val="00D26AAF"/>
    <w:rsid w:val="00D26AB6"/>
    <w:rsid w:val="00D26B50"/>
    <w:rsid w:val="00D26B80"/>
    <w:rsid w:val="00D26B99"/>
    <w:rsid w:val="00D26BE4"/>
    <w:rsid w:val="00D26BFE"/>
    <w:rsid w:val="00D26C4F"/>
    <w:rsid w:val="00D26CBC"/>
    <w:rsid w:val="00D26D35"/>
    <w:rsid w:val="00D26D70"/>
    <w:rsid w:val="00D26DD9"/>
    <w:rsid w:val="00D26DDE"/>
    <w:rsid w:val="00D26E00"/>
    <w:rsid w:val="00D26E0D"/>
    <w:rsid w:val="00D26E30"/>
    <w:rsid w:val="00D26E55"/>
    <w:rsid w:val="00D26EE4"/>
    <w:rsid w:val="00D26EE9"/>
    <w:rsid w:val="00D26F27"/>
    <w:rsid w:val="00D26F66"/>
    <w:rsid w:val="00D2703D"/>
    <w:rsid w:val="00D27080"/>
    <w:rsid w:val="00D270BF"/>
    <w:rsid w:val="00D27110"/>
    <w:rsid w:val="00D27133"/>
    <w:rsid w:val="00D2717D"/>
    <w:rsid w:val="00D27183"/>
    <w:rsid w:val="00D2718E"/>
    <w:rsid w:val="00D271CA"/>
    <w:rsid w:val="00D2721C"/>
    <w:rsid w:val="00D2723F"/>
    <w:rsid w:val="00D2724E"/>
    <w:rsid w:val="00D27280"/>
    <w:rsid w:val="00D2729F"/>
    <w:rsid w:val="00D272FB"/>
    <w:rsid w:val="00D27377"/>
    <w:rsid w:val="00D27392"/>
    <w:rsid w:val="00D273B0"/>
    <w:rsid w:val="00D273C5"/>
    <w:rsid w:val="00D2740E"/>
    <w:rsid w:val="00D27410"/>
    <w:rsid w:val="00D27437"/>
    <w:rsid w:val="00D2743E"/>
    <w:rsid w:val="00D2745E"/>
    <w:rsid w:val="00D27491"/>
    <w:rsid w:val="00D274DA"/>
    <w:rsid w:val="00D274E8"/>
    <w:rsid w:val="00D274F3"/>
    <w:rsid w:val="00D27536"/>
    <w:rsid w:val="00D27556"/>
    <w:rsid w:val="00D275A1"/>
    <w:rsid w:val="00D275DB"/>
    <w:rsid w:val="00D276C7"/>
    <w:rsid w:val="00D27749"/>
    <w:rsid w:val="00D277D1"/>
    <w:rsid w:val="00D278D4"/>
    <w:rsid w:val="00D27913"/>
    <w:rsid w:val="00D2794C"/>
    <w:rsid w:val="00D2796E"/>
    <w:rsid w:val="00D27971"/>
    <w:rsid w:val="00D279B5"/>
    <w:rsid w:val="00D279E1"/>
    <w:rsid w:val="00D279E8"/>
    <w:rsid w:val="00D27A21"/>
    <w:rsid w:val="00D27A5E"/>
    <w:rsid w:val="00D27AE0"/>
    <w:rsid w:val="00D27AEE"/>
    <w:rsid w:val="00D27B14"/>
    <w:rsid w:val="00D27DB7"/>
    <w:rsid w:val="00D27DD0"/>
    <w:rsid w:val="00D27E61"/>
    <w:rsid w:val="00D27F34"/>
    <w:rsid w:val="00D27F9F"/>
    <w:rsid w:val="00D30017"/>
    <w:rsid w:val="00D3001B"/>
    <w:rsid w:val="00D30023"/>
    <w:rsid w:val="00D30059"/>
    <w:rsid w:val="00D3005F"/>
    <w:rsid w:val="00D300BD"/>
    <w:rsid w:val="00D300DA"/>
    <w:rsid w:val="00D300DC"/>
    <w:rsid w:val="00D300DF"/>
    <w:rsid w:val="00D3010C"/>
    <w:rsid w:val="00D30181"/>
    <w:rsid w:val="00D301BF"/>
    <w:rsid w:val="00D3020F"/>
    <w:rsid w:val="00D30238"/>
    <w:rsid w:val="00D3026F"/>
    <w:rsid w:val="00D302B8"/>
    <w:rsid w:val="00D30302"/>
    <w:rsid w:val="00D3040B"/>
    <w:rsid w:val="00D30447"/>
    <w:rsid w:val="00D3044D"/>
    <w:rsid w:val="00D30453"/>
    <w:rsid w:val="00D30456"/>
    <w:rsid w:val="00D30516"/>
    <w:rsid w:val="00D3052A"/>
    <w:rsid w:val="00D30540"/>
    <w:rsid w:val="00D305FB"/>
    <w:rsid w:val="00D3063E"/>
    <w:rsid w:val="00D30650"/>
    <w:rsid w:val="00D306A9"/>
    <w:rsid w:val="00D306D9"/>
    <w:rsid w:val="00D30718"/>
    <w:rsid w:val="00D3074D"/>
    <w:rsid w:val="00D3077B"/>
    <w:rsid w:val="00D307B7"/>
    <w:rsid w:val="00D3080C"/>
    <w:rsid w:val="00D30846"/>
    <w:rsid w:val="00D30850"/>
    <w:rsid w:val="00D3087B"/>
    <w:rsid w:val="00D30894"/>
    <w:rsid w:val="00D308B7"/>
    <w:rsid w:val="00D308DE"/>
    <w:rsid w:val="00D30972"/>
    <w:rsid w:val="00D309D4"/>
    <w:rsid w:val="00D309D6"/>
    <w:rsid w:val="00D309D9"/>
    <w:rsid w:val="00D309E7"/>
    <w:rsid w:val="00D30A0E"/>
    <w:rsid w:val="00D30A84"/>
    <w:rsid w:val="00D30A9C"/>
    <w:rsid w:val="00D30AB4"/>
    <w:rsid w:val="00D30AE8"/>
    <w:rsid w:val="00D30B09"/>
    <w:rsid w:val="00D30B64"/>
    <w:rsid w:val="00D30B78"/>
    <w:rsid w:val="00D30BAE"/>
    <w:rsid w:val="00D30BEC"/>
    <w:rsid w:val="00D30C9B"/>
    <w:rsid w:val="00D30CA2"/>
    <w:rsid w:val="00D30CE0"/>
    <w:rsid w:val="00D30CF0"/>
    <w:rsid w:val="00D30CFF"/>
    <w:rsid w:val="00D30D8B"/>
    <w:rsid w:val="00D30D98"/>
    <w:rsid w:val="00D30E67"/>
    <w:rsid w:val="00D30F4A"/>
    <w:rsid w:val="00D30FAC"/>
    <w:rsid w:val="00D30FB2"/>
    <w:rsid w:val="00D30FBE"/>
    <w:rsid w:val="00D30FD1"/>
    <w:rsid w:val="00D3103C"/>
    <w:rsid w:val="00D3104E"/>
    <w:rsid w:val="00D3107D"/>
    <w:rsid w:val="00D31097"/>
    <w:rsid w:val="00D310D9"/>
    <w:rsid w:val="00D310E4"/>
    <w:rsid w:val="00D31132"/>
    <w:rsid w:val="00D31143"/>
    <w:rsid w:val="00D31157"/>
    <w:rsid w:val="00D3123D"/>
    <w:rsid w:val="00D31252"/>
    <w:rsid w:val="00D312A1"/>
    <w:rsid w:val="00D312BD"/>
    <w:rsid w:val="00D31310"/>
    <w:rsid w:val="00D31368"/>
    <w:rsid w:val="00D313B1"/>
    <w:rsid w:val="00D313E9"/>
    <w:rsid w:val="00D3143C"/>
    <w:rsid w:val="00D31469"/>
    <w:rsid w:val="00D3149F"/>
    <w:rsid w:val="00D31500"/>
    <w:rsid w:val="00D3150D"/>
    <w:rsid w:val="00D3151C"/>
    <w:rsid w:val="00D31574"/>
    <w:rsid w:val="00D316D3"/>
    <w:rsid w:val="00D316ED"/>
    <w:rsid w:val="00D316F8"/>
    <w:rsid w:val="00D31741"/>
    <w:rsid w:val="00D31747"/>
    <w:rsid w:val="00D3174E"/>
    <w:rsid w:val="00D31757"/>
    <w:rsid w:val="00D31767"/>
    <w:rsid w:val="00D31776"/>
    <w:rsid w:val="00D31782"/>
    <w:rsid w:val="00D31830"/>
    <w:rsid w:val="00D31847"/>
    <w:rsid w:val="00D3184F"/>
    <w:rsid w:val="00D3186A"/>
    <w:rsid w:val="00D3189A"/>
    <w:rsid w:val="00D318DB"/>
    <w:rsid w:val="00D318FC"/>
    <w:rsid w:val="00D31904"/>
    <w:rsid w:val="00D31922"/>
    <w:rsid w:val="00D31943"/>
    <w:rsid w:val="00D31957"/>
    <w:rsid w:val="00D319AF"/>
    <w:rsid w:val="00D319C2"/>
    <w:rsid w:val="00D319C3"/>
    <w:rsid w:val="00D31A13"/>
    <w:rsid w:val="00D31A8E"/>
    <w:rsid w:val="00D31A98"/>
    <w:rsid w:val="00D31AB1"/>
    <w:rsid w:val="00D31AE8"/>
    <w:rsid w:val="00D31B4C"/>
    <w:rsid w:val="00D31BA4"/>
    <w:rsid w:val="00D31BA9"/>
    <w:rsid w:val="00D31BC1"/>
    <w:rsid w:val="00D31BC7"/>
    <w:rsid w:val="00D31BDF"/>
    <w:rsid w:val="00D31BF8"/>
    <w:rsid w:val="00D31C24"/>
    <w:rsid w:val="00D31C84"/>
    <w:rsid w:val="00D31CA5"/>
    <w:rsid w:val="00D31CCB"/>
    <w:rsid w:val="00D31CD9"/>
    <w:rsid w:val="00D31D2E"/>
    <w:rsid w:val="00D31D31"/>
    <w:rsid w:val="00D31D3D"/>
    <w:rsid w:val="00D31D50"/>
    <w:rsid w:val="00D31DAA"/>
    <w:rsid w:val="00D31DD6"/>
    <w:rsid w:val="00D31E2D"/>
    <w:rsid w:val="00D31E39"/>
    <w:rsid w:val="00D31E3C"/>
    <w:rsid w:val="00D31EA4"/>
    <w:rsid w:val="00D31EA5"/>
    <w:rsid w:val="00D31ED2"/>
    <w:rsid w:val="00D31ED7"/>
    <w:rsid w:val="00D31F08"/>
    <w:rsid w:val="00D31F0F"/>
    <w:rsid w:val="00D31F3D"/>
    <w:rsid w:val="00D31FAC"/>
    <w:rsid w:val="00D31FAF"/>
    <w:rsid w:val="00D31FF0"/>
    <w:rsid w:val="00D32006"/>
    <w:rsid w:val="00D32079"/>
    <w:rsid w:val="00D32094"/>
    <w:rsid w:val="00D3214D"/>
    <w:rsid w:val="00D32171"/>
    <w:rsid w:val="00D32184"/>
    <w:rsid w:val="00D322BE"/>
    <w:rsid w:val="00D322DF"/>
    <w:rsid w:val="00D323A1"/>
    <w:rsid w:val="00D323C8"/>
    <w:rsid w:val="00D323DD"/>
    <w:rsid w:val="00D3249B"/>
    <w:rsid w:val="00D324AC"/>
    <w:rsid w:val="00D32563"/>
    <w:rsid w:val="00D32565"/>
    <w:rsid w:val="00D32575"/>
    <w:rsid w:val="00D32579"/>
    <w:rsid w:val="00D3257A"/>
    <w:rsid w:val="00D325A1"/>
    <w:rsid w:val="00D325D4"/>
    <w:rsid w:val="00D32627"/>
    <w:rsid w:val="00D32699"/>
    <w:rsid w:val="00D3269A"/>
    <w:rsid w:val="00D326A1"/>
    <w:rsid w:val="00D326A8"/>
    <w:rsid w:val="00D3271C"/>
    <w:rsid w:val="00D32786"/>
    <w:rsid w:val="00D3279D"/>
    <w:rsid w:val="00D327C0"/>
    <w:rsid w:val="00D32818"/>
    <w:rsid w:val="00D3283C"/>
    <w:rsid w:val="00D328E3"/>
    <w:rsid w:val="00D32913"/>
    <w:rsid w:val="00D32977"/>
    <w:rsid w:val="00D32988"/>
    <w:rsid w:val="00D329BD"/>
    <w:rsid w:val="00D329F2"/>
    <w:rsid w:val="00D32A56"/>
    <w:rsid w:val="00D32A66"/>
    <w:rsid w:val="00D32BED"/>
    <w:rsid w:val="00D32C13"/>
    <w:rsid w:val="00D32CB8"/>
    <w:rsid w:val="00D32CD8"/>
    <w:rsid w:val="00D32D13"/>
    <w:rsid w:val="00D32DBD"/>
    <w:rsid w:val="00D32EA5"/>
    <w:rsid w:val="00D32F0F"/>
    <w:rsid w:val="00D32F33"/>
    <w:rsid w:val="00D32F6F"/>
    <w:rsid w:val="00D32F8C"/>
    <w:rsid w:val="00D32F9E"/>
    <w:rsid w:val="00D33021"/>
    <w:rsid w:val="00D33069"/>
    <w:rsid w:val="00D33076"/>
    <w:rsid w:val="00D33082"/>
    <w:rsid w:val="00D330C5"/>
    <w:rsid w:val="00D33282"/>
    <w:rsid w:val="00D33298"/>
    <w:rsid w:val="00D332D1"/>
    <w:rsid w:val="00D3336D"/>
    <w:rsid w:val="00D3339B"/>
    <w:rsid w:val="00D333A2"/>
    <w:rsid w:val="00D333B5"/>
    <w:rsid w:val="00D333D5"/>
    <w:rsid w:val="00D3344A"/>
    <w:rsid w:val="00D3348F"/>
    <w:rsid w:val="00D3349A"/>
    <w:rsid w:val="00D335AD"/>
    <w:rsid w:val="00D335EF"/>
    <w:rsid w:val="00D3366C"/>
    <w:rsid w:val="00D336BB"/>
    <w:rsid w:val="00D336EF"/>
    <w:rsid w:val="00D33738"/>
    <w:rsid w:val="00D33747"/>
    <w:rsid w:val="00D33767"/>
    <w:rsid w:val="00D33794"/>
    <w:rsid w:val="00D3379D"/>
    <w:rsid w:val="00D337BE"/>
    <w:rsid w:val="00D337D2"/>
    <w:rsid w:val="00D337E0"/>
    <w:rsid w:val="00D33826"/>
    <w:rsid w:val="00D338EF"/>
    <w:rsid w:val="00D33907"/>
    <w:rsid w:val="00D3391D"/>
    <w:rsid w:val="00D33983"/>
    <w:rsid w:val="00D3399C"/>
    <w:rsid w:val="00D33A13"/>
    <w:rsid w:val="00D33A91"/>
    <w:rsid w:val="00D33AE1"/>
    <w:rsid w:val="00D33B42"/>
    <w:rsid w:val="00D33BBC"/>
    <w:rsid w:val="00D33BFB"/>
    <w:rsid w:val="00D33C00"/>
    <w:rsid w:val="00D33C01"/>
    <w:rsid w:val="00D33C1F"/>
    <w:rsid w:val="00D33C8B"/>
    <w:rsid w:val="00D33CB0"/>
    <w:rsid w:val="00D33CD3"/>
    <w:rsid w:val="00D33D03"/>
    <w:rsid w:val="00D33D25"/>
    <w:rsid w:val="00D33D34"/>
    <w:rsid w:val="00D33D4D"/>
    <w:rsid w:val="00D33DC2"/>
    <w:rsid w:val="00D33DF3"/>
    <w:rsid w:val="00D33E4B"/>
    <w:rsid w:val="00D33E71"/>
    <w:rsid w:val="00D33E9C"/>
    <w:rsid w:val="00D33EC3"/>
    <w:rsid w:val="00D33EEC"/>
    <w:rsid w:val="00D33FA7"/>
    <w:rsid w:val="00D33FC9"/>
    <w:rsid w:val="00D33FEA"/>
    <w:rsid w:val="00D34008"/>
    <w:rsid w:val="00D3401B"/>
    <w:rsid w:val="00D3403E"/>
    <w:rsid w:val="00D340D4"/>
    <w:rsid w:val="00D34111"/>
    <w:rsid w:val="00D34131"/>
    <w:rsid w:val="00D3418A"/>
    <w:rsid w:val="00D3418C"/>
    <w:rsid w:val="00D341C5"/>
    <w:rsid w:val="00D34276"/>
    <w:rsid w:val="00D34303"/>
    <w:rsid w:val="00D3430B"/>
    <w:rsid w:val="00D34358"/>
    <w:rsid w:val="00D34404"/>
    <w:rsid w:val="00D344A4"/>
    <w:rsid w:val="00D34501"/>
    <w:rsid w:val="00D3451C"/>
    <w:rsid w:val="00D34553"/>
    <w:rsid w:val="00D345C8"/>
    <w:rsid w:val="00D345D8"/>
    <w:rsid w:val="00D34622"/>
    <w:rsid w:val="00D34641"/>
    <w:rsid w:val="00D346C5"/>
    <w:rsid w:val="00D346C7"/>
    <w:rsid w:val="00D346ED"/>
    <w:rsid w:val="00D34701"/>
    <w:rsid w:val="00D34758"/>
    <w:rsid w:val="00D34761"/>
    <w:rsid w:val="00D347C2"/>
    <w:rsid w:val="00D347E9"/>
    <w:rsid w:val="00D347EF"/>
    <w:rsid w:val="00D347F1"/>
    <w:rsid w:val="00D34809"/>
    <w:rsid w:val="00D3484B"/>
    <w:rsid w:val="00D3498B"/>
    <w:rsid w:val="00D349D2"/>
    <w:rsid w:val="00D34A8F"/>
    <w:rsid w:val="00D34AF1"/>
    <w:rsid w:val="00D34B50"/>
    <w:rsid w:val="00D34B92"/>
    <w:rsid w:val="00D34BAF"/>
    <w:rsid w:val="00D34BEC"/>
    <w:rsid w:val="00D34BF2"/>
    <w:rsid w:val="00D34C50"/>
    <w:rsid w:val="00D34C57"/>
    <w:rsid w:val="00D34C8B"/>
    <w:rsid w:val="00D34D42"/>
    <w:rsid w:val="00D34D50"/>
    <w:rsid w:val="00D34DC7"/>
    <w:rsid w:val="00D34DFF"/>
    <w:rsid w:val="00D34F14"/>
    <w:rsid w:val="00D34F91"/>
    <w:rsid w:val="00D34FFE"/>
    <w:rsid w:val="00D3501C"/>
    <w:rsid w:val="00D3501F"/>
    <w:rsid w:val="00D35067"/>
    <w:rsid w:val="00D350D2"/>
    <w:rsid w:val="00D351AC"/>
    <w:rsid w:val="00D351BC"/>
    <w:rsid w:val="00D351DE"/>
    <w:rsid w:val="00D351F4"/>
    <w:rsid w:val="00D35212"/>
    <w:rsid w:val="00D3523D"/>
    <w:rsid w:val="00D35264"/>
    <w:rsid w:val="00D3526E"/>
    <w:rsid w:val="00D35284"/>
    <w:rsid w:val="00D35289"/>
    <w:rsid w:val="00D3528C"/>
    <w:rsid w:val="00D35294"/>
    <w:rsid w:val="00D35295"/>
    <w:rsid w:val="00D35296"/>
    <w:rsid w:val="00D3529B"/>
    <w:rsid w:val="00D352A1"/>
    <w:rsid w:val="00D352B6"/>
    <w:rsid w:val="00D352F9"/>
    <w:rsid w:val="00D353DD"/>
    <w:rsid w:val="00D35407"/>
    <w:rsid w:val="00D35412"/>
    <w:rsid w:val="00D354CE"/>
    <w:rsid w:val="00D354F2"/>
    <w:rsid w:val="00D3550F"/>
    <w:rsid w:val="00D35513"/>
    <w:rsid w:val="00D35578"/>
    <w:rsid w:val="00D355E5"/>
    <w:rsid w:val="00D356AD"/>
    <w:rsid w:val="00D356BB"/>
    <w:rsid w:val="00D35740"/>
    <w:rsid w:val="00D357C4"/>
    <w:rsid w:val="00D357D9"/>
    <w:rsid w:val="00D357EF"/>
    <w:rsid w:val="00D35855"/>
    <w:rsid w:val="00D3589F"/>
    <w:rsid w:val="00D358C8"/>
    <w:rsid w:val="00D35928"/>
    <w:rsid w:val="00D35932"/>
    <w:rsid w:val="00D359BA"/>
    <w:rsid w:val="00D359EE"/>
    <w:rsid w:val="00D35A06"/>
    <w:rsid w:val="00D35A71"/>
    <w:rsid w:val="00D35AEC"/>
    <w:rsid w:val="00D35B08"/>
    <w:rsid w:val="00D35B7A"/>
    <w:rsid w:val="00D35B7B"/>
    <w:rsid w:val="00D35BAC"/>
    <w:rsid w:val="00D35BF3"/>
    <w:rsid w:val="00D35C6B"/>
    <w:rsid w:val="00D35C9E"/>
    <w:rsid w:val="00D35D53"/>
    <w:rsid w:val="00D35E20"/>
    <w:rsid w:val="00D35E29"/>
    <w:rsid w:val="00D35E35"/>
    <w:rsid w:val="00D35EA6"/>
    <w:rsid w:val="00D35ED7"/>
    <w:rsid w:val="00D35F00"/>
    <w:rsid w:val="00D35F04"/>
    <w:rsid w:val="00D35F35"/>
    <w:rsid w:val="00D35F43"/>
    <w:rsid w:val="00D35F5B"/>
    <w:rsid w:val="00D360F6"/>
    <w:rsid w:val="00D36153"/>
    <w:rsid w:val="00D36156"/>
    <w:rsid w:val="00D36163"/>
    <w:rsid w:val="00D361F3"/>
    <w:rsid w:val="00D36208"/>
    <w:rsid w:val="00D36266"/>
    <w:rsid w:val="00D362C6"/>
    <w:rsid w:val="00D362E7"/>
    <w:rsid w:val="00D3637D"/>
    <w:rsid w:val="00D3639A"/>
    <w:rsid w:val="00D36447"/>
    <w:rsid w:val="00D36450"/>
    <w:rsid w:val="00D364A3"/>
    <w:rsid w:val="00D364BB"/>
    <w:rsid w:val="00D364CA"/>
    <w:rsid w:val="00D364EC"/>
    <w:rsid w:val="00D364FA"/>
    <w:rsid w:val="00D365B0"/>
    <w:rsid w:val="00D365D1"/>
    <w:rsid w:val="00D36650"/>
    <w:rsid w:val="00D3666E"/>
    <w:rsid w:val="00D36698"/>
    <w:rsid w:val="00D3669A"/>
    <w:rsid w:val="00D367BD"/>
    <w:rsid w:val="00D367F0"/>
    <w:rsid w:val="00D3685A"/>
    <w:rsid w:val="00D3686B"/>
    <w:rsid w:val="00D36882"/>
    <w:rsid w:val="00D36884"/>
    <w:rsid w:val="00D368CA"/>
    <w:rsid w:val="00D36917"/>
    <w:rsid w:val="00D3692C"/>
    <w:rsid w:val="00D3694A"/>
    <w:rsid w:val="00D36A75"/>
    <w:rsid w:val="00D36A77"/>
    <w:rsid w:val="00D36A7D"/>
    <w:rsid w:val="00D36A96"/>
    <w:rsid w:val="00D36AAF"/>
    <w:rsid w:val="00D36B14"/>
    <w:rsid w:val="00D36B71"/>
    <w:rsid w:val="00D36C15"/>
    <w:rsid w:val="00D36C2E"/>
    <w:rsid w:val="00D36C65"/>
    <w:rsid w:val="00D36D52"/>
    <w:rsid w:val="00D36D82"/>
    <w:rsid w:val="00D36E35"/>
    <w:rsid w:val="00D36E6A"/>
    <w:rsid w:val="00D36EA1"/>
    <w:rsid w:val="00D36ECC"/>
    <w:rsid w:val="00D36F49"/>
    <w:rsid w:val="00D3701B"/>
    <w:rsid w:val="00D37025"/>
    <w:rsid w:val="00D37063"/>
    <w:rsid w:val="00D3707B"/>
    <w:rsid w:val="00D370D9"/>
    <w:rsid w:val="00D37102"/>
    <w:rsid w:val="00D3718B"/>
    <w:rsid w:val="00D371D8"/>
    <w:rsid w:val="00D37228"/>
    <w:rsid w:val="00D3722E"/>
    <w:rsid w:val="00D37284"/>
    <w:rsid w:val="00D372FC"/>
    <w:rsid w:val="00D37407"/>
    <w:rsid w:val="00D3744B"/>
    <w:rsid w:val="00D3749B"/>
    <w:rsid w:val="00D374A1"/>
    <w:rsid w:val="00D374BB"/>
    <w:rsid w:val="00D374E0"/>
    <w:rsid w:val="00D374E7"/>
    <w:rsid w:val="00D3753E"/>
    <w:rsid w:val="00D37540"/>
    <w:rsid w:val="00D37543"/>
    <w:rsid w:val="00D37554"/>
    <w:rsid w:val="00D37566"/>
    <w:rsid w:val="00D375A8"/>
    <w:rsid w:val="00D375C8"/>
    <w:rsid w:val="00D375D1"/>
    <w:rsid w:val="00D375D7"/>
    <w:rsid w:val="00D375DB"/>
    <w:rsid w:val="00D37612"/>
    <w:rsid w:val="00D3762F"/>
    <w:rsid w:val="00D3763C"/>
    <w:rsid w:val="00D37696"/>
    <w:rsid w:val="00D37778"/>
    <w:rsid w:val="00D37799"/>
    <w:rsid w:val="00D37845"/>
    <w:rsid w:val="00D37890"/>
    <w:rsid w:val="00D378B1"/>
    <w:rsid w:val="00D378EF"/>
    <w:rsid w:val="00D37925"/>
    <w:rsid w:val="00D379E1"/>
    <w:rsid w:val="00D379E8"/>
    <w:rsid w:val="00D37AA8"/>
    <w:rsid w:val="00D37AAE"/>
    <w:rsid w:val="00D37B8D"/>
    <w:rsid w:val="00D37BA0"/>
    <w:rsid w:val="00D37BE4"/>
    <w:rsid w:val="00D37C2F"/>
    <w:rsid w:val="00D37C5F"/>
    <w:rsid w:val="00D37CFF"/>
    <w:rsid w:val="00D37D16"/>
    <w:rsid w:val="00D37D27"/>
    <w:rsid w:val="00D37D77"/>
    <w:rsid w:val="00D37E30"/>
    <w:rsid w:val="00D37FC1"/>
    <w:rsid w:val="00D37FFC"/>
    <w:rsid w:val="00D40091"/>
    <w:rsid w:val="00D400EB"/>
    <w:rsid w:val="00D401C9"/>
    <w:rsid w:val="00D401F7"/>
    <w:rsid w:val="00D40227"/>
    <w:rsid w:val="00D40233"/>
    <w:rsid w:val="00D40275"/>
    <w:rsid w:val="00D402B7"/>
    <w:rsid w:val="00D402FF"/>
    <w:rsid w:val="00D403BC"/>
    <w:rsid w:val="00D403E4"/>
    <w:rsid w:val="00D40405"/>
    <w:rsid w:val="00D4040A"/>
    <w:rsid w:val="00D40444"/>
    <w:rsid w:val="00D40453"/>
    <w:rsid w:val="00D4050A"/>
    <w:rsid w:val="00D405B5"/>
    <w:rsid w:val="00D405E0"/>
    <w:rsid w:val="00D405F0"/>
    <w:rsid w:val="00D406CF"/>
    <w:rsid w:val="00D40709"/>
    <w:rsid w:val="00D4079A"/>
    <w:rsid w:val="00D407B1"/>
    <w:rsid w:val="00D407C7"/>
    <w:rsid w:val="00D407F3"/>
    <w:rsid w:val="00D40800"/>
    <w:rsid w:val="00D4081C"/>
    <w:rsid w:val="00D4083B"/>
    <w:rsid w:val="00D4088A"/>
    <w:rsid w:val="00D40976"/>
    <w:rsid w:val="00D40985"/>
    <w:rsid w:val="00D40A34"/>
    <w:rsid w:val="00D40A7D"/>
    <w:rsid w:val="00D40AA6"/>
    <w:rsid w:val="00D40ACD"/>
    <w:rsid w:val="00D40B85"/>
    <w:rsid w:val="00D40BF6"/>
    <w:rsid w:val="00D40C22"/>
    <w:rsid w:val="00D40C2C"/>
    <w:rsid w:val="00D40C7F"/>
    <w:rsid w:val="00D40D07"/>
    <w:rsid w:val="00D40D18"/>
    <w:rsid w:val="00D40E81"/>
    <w:rsid w:val="00D40EB2"/>
    <w:rsid w:val="00D40EBD"/>
    <w:rsid w:val="00D41036"/>
    <w:rsid w:val="00D4105E"/>
    <w:rsid w:val="00D41082"/>
    <w:rsid w:val="00D41083"/>
    <w:rsid w:val="00D41105"/>
    <w:rsid w:val="00D4110A"/>
    <w:rsid w:val="00D41199"/>
    <w:rsid w:val="00D41223"/>
    <w:rsid w:val="00D41228"/>
    <w:rsid w:val="00D412B9"/>
    <w:rsid w:val="00D412F0"/>
    <w:rsid w:val="00D412F8"/>
    <w:rsid w:val="00D4132E"/>
    <w:rsid w:val="00D4139C"/>
    <w:rsid w:val="00D413DE"/>
    <w:rsid w:val="00D41405"/>
    <w:rsid w:val="00D41447"/>
    <w:rsid w:val="00D4150F"/>
    <w:rsid w:val="00D41529"/>
    <w:rsid w:val="00D41573"/>
    <w:rsid w:val="00D415E0"/>
    <w:rsid w:val="00D4160E"/>
    <w:rsid w:val="00D4160F"/>
    <w:rsid w:val="00D41633"/>
    <w:rsid w:val="00D416F8"/>
    <w:rsid w:val="00D417B1"/>
    <w:rsid w:val="00D417B8"/>
    <w:rsid w:val="00D4183D"/>
    <w:rsid w:val="00D4183F"/>
    <w:rsid w:val="00D41865"/>
    <w:rsid w:val="00D418A7"/>
    <w:rsid w:val="00D4198C"/>
    <w:rsid w:val="00D41992"/>
    <w:rsid w:val="00D419EC"/>
    <w:rsid w:val="00D41A9C"/>
    <w:rsid w:val="00D41AE6"/>
    <w:rsid w:val="00D41AEA"/>
    <w:rsid w:val="00D41BB2"/>
    <w:rsid w:val="00D41BF5"/>
    <w:rsid w:val="00D41C0F"/>
    <w:rsid w:val="00D41C5B"/>
    <w:rsid w:val="00D41C93"/>
    <w:rsid w:val="00D41D62"/>
    <w:rsid w:val="00D41D7D"/>
    <w:rsid w:val="00D41DBB"/>
    <w:rsid w:val="00D41DCE"/>
    <w:rsid w:val="00D41E3C"/>
    <w:rsid w:val="00D41E4A"/>
    <w:rsid w:val="00D41E4B"/>
    <w:rsid w:val="00D41E52"/>
    <w:rsid w:val="00D41E5A"/>
    <w:rsid w:val="00D41E74"/>
    <w:rsid w:val="00D41E7D"/>
    <w:rsid w:val="00D41E88"/>
    <w:rsid w:val="00D41E9A"/>
    <w:rsid w:val="00D41EA3"/>
    <w:rsid w:val="00D41FA8"/>
    <w:rsid w:val="00D41FED"/>
    <w:rsid w:val="00D4202F"/>
    <w:rsid w:val="00D4208A"/>
    <w:rsid w:val="00D420A5"/>
    <w:rsid w:val="00D42160"/>
    <w:rsid w:val="00D421E5"/>
    <w:rsid w:val="00D421F2"/>
    <w:rsid w:val="00D42297"/>
    <w:rsid w:val="00D42299"/>
    <w:rsid w:val="00D42327"/>
    <w:rsid w:val="00D4232E"/>
    <w:rsid w:val="00D42334"/>
    <w:rsid w:val="00D42368"/>
    <w:rsid w:val="00D4246D"/>
    <w:rsid w:val="00D42568"/>
    <w:rsid w:val="00D425A7"/>
    <w:rsid w:val="00D42627"/>
    <w:rsid w:val="00D42631"/>
    <w:rsid w:val="00D42675"/>
    <w:rsid w:val="00D4269B"/>
    <w:rsid w:val="00D426A0"/>
    <w:rsid w:val="00D426D2"/>
    <w:rsid w:val="00D426E0"/>
    <w:rsid w:val="00D42714"/>
    <w:rsid w:val="00D42720"/>
    <w:rsid w:val="00D42746"/>
    <w:rsid w:val="00D42769"/>
    <w:rsid w:val="00D42775"/>
    <w:rsid w:val="00D427D7"/>
    <w:rsid w:val="00D4287B"/>
    <w:rsid w:val="00D428C8"/>
    <w:rsid w:val="00D4290C"/>
    <w:rsid w:val="00D429CD"/>
    <w:rsid w:val="00D42A2A"/>
    <w:rsid w:val="00D42A33"/>
    <w:rsid w:val="00D42A7B"/>
    <w:rsid w:val="00D42AE1"/>
    <w:rsid w:val="00D42B4C"/>
    <w:rsid w:val="00D42B58"/>
    <w:rsid w:val="00D42B94"/>
    <w:rsid w:val="00D42C09"/>
    <w:rsid w:val="00D42C2F"/>
    <w:rsid w:val="00D42C3A"/>
    <w:rsid w:val="00D42D2D"/>
    <w:rsid w:val="00D42D72"/>
    <w:rsid w:val="00D42D9F"/>
    <w:rsid w:val="00D42DEF"/>
    <w:rsid w:val="00D42E30"/>
    <w:rsid w:val="00D42E6E"/>
    <w:rsid w:val="00D42F1E"/>
    <w:rsid w:val="00D42F20"/>
    <w:rsid w:val="00D42F22"/>
    <w:rsid w:val="00D42F34"/>
    <w:rsid w:val="00D42F75"/>
    <w:rsid w:val="00D42F9B"/>
    <w:rsid w:val="00D42FD4"/>
    <w:rsid w:val="00D42FE7"/>
    <w:rsid w:val="00D43019"/>
    <w:rsid w:val="00D4302B"/>
    <w:rsid w:val="00D4305D"/>
    <w:rsid w:val="00D430C7"/>
    <w:rsid w:val="00D43122"/>
    <w:rsid w:val="00D4312D"/>
    <w:rsid w:val="00D4314F"/>
    <w:rsid w:val="00D43168"/>
    <w:rsid w:val="00D43193"/>
    <w:rsid w:val="00D431B9"/>
    <w:rsid w:val="00D431DC"/>
    <w:rsid w:val="00D4320D"/>
    <w:rsid w:val="00D43214"/>
    <w:rsid w:val="00D43216"/>
    <w:rsid w:val="00D43219"/>
    <w:rsid w:val="00D43255"/>
    <w:rsid w:val="00D4326C"/>
    <w:rsid w:val="00D4327C"/>
    <w:rsid w:val="00D43296"/>
    <w:rsid w:val="00D432CA"/>
    <w:rsid w:val="00D432E5"/>
    <w:rsid w:val="00D43333"/>
    <w:rsid w:val="00D43339"/>
    <w:rsid w:val="00D43351"/>
    <w:rsid w:val="00D4335B"/>
    <w:rsid w:val="00D43364"/>
    <w:rsid w:val="00D433F9"/>
    <w:rsid w:val="00D433FE"/>
    <w:rsid w:val="00D434B9"/>
    <w:rsid w:val="00D434C5"/>
    <w:rsid w:val="00D434D0"/>
    <w:rsid w:val="00D4354F"/>
    <w:rsid w:val="00D4355C"/>
    <w:rsid w:val="00D43575"/>
    <w:rsid w:val="00D435AA"/>
    <w:rsid w:val="00D435B5"/>
    <w:rsid w:val="00D435BB"/>
    <w:rsid w:val="00D435CF"/>
    <w:rsid w:val="00D43608"/>
    <w:rsid w:val="00D43638"/>
    <w:rsid w:val="00D4363C"/>
    <w:rsid w:val="00D43748"/>
    <w:rsid w:val="00D4378B"/>
    <w:rsid w:val="00D437B5"/>
    <w:rsid w:val="00D437D5"/>
    <w:rsid w:val="00D43854"/>
    <w:rsid w:val="00D438E6"/>
    <w:rsid w:val="00D438F8"/>
    <w:rsid w:val="00D43938"/>
    <w:rsid w:val="00D43A0A"/>
    <w:rsid w:val="00D43A29"/>
    <w:rsid w:val="00D43A7B"/>
    <w:rsid w:val="00D43AF5"/>
    <w:rsid w:val="00D43AFB"/>
    <w:rsid w:val="00D43B0B"/>
    <w:rsid w:val="00D43B1A"/>
    <w:rsid w:val="00D43B31"/>
    <w:rsid w:val="00D43B3C"/>
    <w:rsid w:val="00D43B5A"/>
    <w:rsid w:val="00D43B67"/>
    <w:rsid w:val="00D43B9D"/>
    <w:rsid w:val="00D43C16"/>
    <w:rsid w:val="00D43CD1"/>
    <w:rsid w:val="00D43D67"/>
    <w:rsid w:val="00D43DAF"/>
    <w:rsid w:val="00D43DCD"/>
    <w:rsid w:val="00D43DE9"/>
    <w:rsid w:val="00D43E94"/>
    <w:rsid w:val="00D43EBB"/>
    <w:rsid w:val="00D43F1A"/>
    <w:rsid w:val="00D43F39"/>
    <w:rsid w:val="00D43F8C"/>
    <w:rsid w:val="00D43F9D"/>
    <w:rsid w:val="00D43FB4"/>
    <w:rsid w:val="00D43FEA"/>
    <w:rsid w:val="00D44086"/>
    <w:rsid w:val="00D440BF"/>
    <w:rsid w:val="00D440DB"/>
    <w:rsid w:val="00D4412E"/>
    <w:rsid w:val="00D4416D"/>
    <w:rsid w:val="00D4418C"/>
    <w:rsid w:val="00D44201"/>
    <w:rsid w:val="00D44253"/>
    <w:rsid w:val="00D4429B"/>
    <w:rsid w:val="00D4436F"/>
    <w:rsid w:val="00D4438B"/>
    <w:rsid w:val="00D443A6"/>
    <w:rsid w:val="00D443FF"/>
    <w:rsid w:val="00D44420"/>
    <w:rsid w:val="00D44492"/>
    <w:rsid w:val="00D444B7"/>
    <w:rsid w:val="00D444CC"/>
    <w:rsid w:val="00D444F3"/>
    <w:rsid w:val="00D44601"/>
    <w:rsid w:val="00D4471F"/>
    <w:rsid w:val="00D44733"/>
    <w:rsid w:val="00D44770"/>
    <w:rsid w:val="00D4478A"/>
    <w:rsid w:val="00D44797"/>
    <w:rsid w:val="00D4481B"/>
    <w:rsid w:val="00D4482C"/>
    <w:rsid w:val="00D4483B"/>
    <w:rsid w:val="00D44877"/>
    <w:rsid w:val="00D4499D"/>
    <w:rsid w:val="00D449C8"/>
    <w:rsid w:val="00D449F7"/>
    <w:rsid w:val="00D44A2B"/>
    <w:rsid w:val="00D44A5B"/>
    <w:rsid w:val="00D44A65"/>
    <w:rsid w:val="00D44BDE"/>
    <w:rsid w:val="00D44C5B"/>
    <w:rsid w:val="00D44C97"/>
    <w:rsid w:val="00D44CA4"/>
    <w:rsid w:val="00D44CAD"/>
    <w:rsid w:val="00D44CC8"/>
    <w:rsid w:val="00D44CF7"/>
    <w:rsid w:val="00D44D20"/>
    <w:rsid w:val="00D44D34"/>
    <w:rsid w:val="00D44D79"/>
    <w:rsid w:val="00D44D88"/>
    <w:rsid w:val="00D44EDC"/>
    <w:rsid w:val="00D44F01"/>
    <w:rsid w:val="00D44F94"/>
    <w:rsid w:val="00D44F97"/>
    <w:rsid w:val="00D44FB2"/>
    <w:rsid w:val="00D44FFD"/>
    <w:rsid w:val="00D450AA"/>
    <w:rsid w:val="00D450B2"/>
    <w:rsid w:val="00D4516C"/>
    <w:rsid w:val="00D45208"/>
    <w:rsid w:val="00D4520A"/>
    <w:rsid w:val="00D45291"/>
    <w:rsid w:val="00D452B2"/>
    <w:rsid w:val="00D452CB"/>
    <w:rsid w:val="00D452CF"/>
    <w:rsid w:val="00D452EE"/>
    <w:rsid w:val="00D452F0"/>
    <w:rsid w:val="00D45325"/>
    <w:rsid w:val="00D45337"/>
    <w:rsid w:val="00D453F8"/>
    <w:rsid w:val="00D4541D"/>
    <w:rsid w:val="00D45436"/>
    <w:rsid w:val="00D4543F"/>
    <w:rsid w:val="00D4548F"/>
    <w:rsid w:val="00D454CA"/>
    <w:rsid w:val="00D45512"/>
    <w:rsid w:val="00D455A8"/>
    <w:rsid w:val="00D455C6"/>
    <w:rsid w:val="00D455E6"/>
    <w:rsid w:val="00D455FB"/>
    <w:rsid w:val="00D45604"/>
    <w:rsid w:val="00D45623"/>
    <w:rsid w:val="00D4564C"/>
    <w:rsid w:val="00D45696"/>
    <w:rsid w:val="00D45747"/>
    <w:rsid w:val="00D45796"/>
    <w:rsid w:val="00D457F2"/>
    <w:rsid w:val="00D4582E"/>
    <w:rsid w:val="00D458FB"/>
    <w:rsid w:val="00D45924"/>
    <w:rsid w:val="00D4592D"/>
    <w:rsid w:val="00D45959"/>
    <w:rsid w:val="00D45961"/>
    <w:rsid w:val="00D4597E"/>
    <w:rsid w:val="00D45A5E"/>
    <w:rsid w:val="00D45BB2"/>
    <w:rsid w:val="00D45BFC"/>
    <w:rsid w:val="00D45CA4"/>
    <w:rsid w:val="00D45D0A"/>
    <w:rsid w:val="00D45D29"/>
    <w:rsid w:val="00D45DE4"/>
    <w:rsid w:val="00D45EDC"/>
    <w:rsid w:val="00D45F1E"/>
    <w:rsid w:val="00D45FA7"/>
    <w:rsid w:val="00D45FBF"/>
    <w:rsid w:val="00D45FEB"/>
    <w:rsid w:val="00D46029"/>
    <w:rsid w:val="00D4604F"/>
    <w:rsid w:val="00D46079"/>
    <w:rsid w:val="00D460D9"/>
    <w:rsid w:val="00D460FB"/>
    <w:rsid w:val="00D461C6"/>
    <w:rsid w:val="00D461FF"/>
    <w:rsid w:val="00D4627C"/>
    <w:rsid w:val="00D462B1"/>
    <w:rsid w:val="00D462DF"/>
    <w:rsid w:val="00D4639A"/>
    <w:rsid w:val="00D4640E"/>
    <w:rsid w:val="00D4642E"/>
    <w:rsid w:val="00D4649B"/>
    <w:rsid w:val="00D464D9"/>
    <w:rsid w:val="00D46554"/>
    <w:rsid w:val="00D465A4"/>
    <w:rsid w:val="00D465A7"/>
    <w:rsid w:val="00D465B8"/>
    <w:rsid w:val="00D4661D"/>
    <w:rsid w:val="00D466E8"/>
    <w:rsid w:val="00D46722"/>
    <w:rsid w:val="00D46764"/>
    <w:rsid w:val="00D46790"/>
    <w:rsid w:val="00D46867"/>
    <w:rsid w:val="00D46896"/>
    <w:rsid w:val="00D468B1"/>
    <w:rsid w:val="00D46973"/>
    <w:rsid w:val="00D469C5"/>
    <w:rsid w:val="00D46A28"/>
    <w:rsid w:val="00D46AAA"/>
    <w:rsid w:val="00D46AB4"/>
    <w:rsid w:val="00D46AB5"/>
    <w:rsid w:val="00D46B7D"/>
    <w:rsid w:val="00D46BA1"/>
    <w:rsid w:val="00D46C02"/>
    <w:rsid w:val="00D46CF4"/>
    <w:rsid w:val="00D46D1C"/>
    <w:rsid w:val="00D46DC8"/>
    <w:rsid w:val="00D46E34"/>
    <w:rsid w:val="00D46FBD"/>
    <w:rsid w:val="00D46FC7"/>
    <w:rsid w:val="00D46FE2"/>
    <w:rsid w:val="00D4702B"/>
    <w:rsid w:val="00D4704B"/>
    <w:rsid w:val="00D47097"/>
    <w:rsid w:val="00D470D4"/>
    <w:rsid w:val="00D470DC"/>
    <w:rsid w:val="00D4711E"/>
    <w:rsid w:val="00D4714C"/>
    <w:rsid w:val="00D47166"/>
    <w:rsid w:val="00D47171"/>
    <w:rsid w:val="00D471C8"/>
    <w:rsid w:val="00D471E8"/>
    <w:rsid w:val="00D471F5"/>
    <w:rsid w:val="00D47222"/>
    <w:rsid w:val="00D472D9"/>
    <w:rsid w:val="00D472EC"/>
    <w:rsid w:val="00D4732F"/>
    <w:rsid w:val="00D473C6"/>
    <w:rsid w:val="00D473D2"/>
    <w:rsid w:val="00D473EF"/>
    <w:rsid w:val="00D47412"/>
    <w:rsid w:val="00D47468"/>
    <w:rsid w:val="00D47469"/>
    <w:rsid w:val="00D47476"/>
    <w:rsid w:val="00D47499"/>
    <w:rsid w:val="00D474B6"/>
    <w:rsid w:val="00D474FA"/>
    <w:rsid w:val="00D47515"/>
    <w:rsid w:val="00D47556"/>
    <w:rsid w:val="00D475EA"/>
    <w:rsid w:val="00D4764D"/>
    <w:rsid w:val="00D47693"/>
    <w:rsid w:val="00D476DF"/>
    <w:rsid w:val="00D476E6"/>
    <w:rsid w:val="00D47756"/>
    <w:rsid w:val="00D47764"/>
    <w:rsid w:val="00D47768"/>
    <w:rsid w:val="00D47794"/>
    <w:rsid w:val="00D477E6"/>
    <w:rsid w:val="00D47842"/>
    <w:rsid w:val="00D47845"/>
    <w:rsid w:val="00D47867"/>
    <w:rsid w:val="00D478CF"/>
    <w:rsid w:val="00D478DA"/>
    <w:rsid w:val="00D478EA"/>
    <w:rsid w:val="00D47930"/>
    <w:rsid w:val="00D47949"/>
    <w:rsid w:val="00D479B0"/>
    <w:rsid w:val="00D479CD"/>
    <w:rsid w:val="00D47A2E"/>
    <w:rsid w:val="00D47A62"/>
    <w:rsid w:val="00D47AB8"/>
    <w:rsid w:val="00D47AB9"/>
    <w:rsid w:val="00D47AE4"/>
    <w:rsid w:val="00D47B29"/>
    <w:rsid w:val="00D47B4F"/>
    <w:rsid w:val="00D47B5D"/>
    <w:rsid w:val="00D47B61"/>
    <w:rsid w:val="00D47C36"/>
    <w:rsid w:val="00D47C68"/>
    <w:rsid w:val="00D47C84"/>
    <w:rsid w:val="00D47C91"/>
    <w:rsid w:val="00D47CD5"/>
    <w:rsid w:val="00D47D04"/>
    <w:rsid w:val="00D47D2B"/>
    <w:rsid w:val="00D47D62"/>
    <w:rsid w:val="00D47D85"/>
    <w:rsid w:val="00D47D8A"/>
    <w:rsid w:val="00D47D9B"/>
    <w:rsid w:val="00D47DD3"/>
    <w:rsid w:val="00D47E15"/>
    <w:rsid w:val="00D47E27"/>
    <w:rsid w:val="00D47E28"/>
    <w:rsid w:val="00D47E47"/>
    <w:rsid w:val="00D47E54"/>
    <w:rsid w:val="00D47E6F"/>
    <w:rsid w:val="00D47EA9"/>
    <w:rsid w:val="00D47EE1"/>
    <w:rsid w:val="00D47EE6"/>
    <w:rsid w:val="00D47F17"/>
    <w:rsid w:val="00D47F1F"/>
    <w:rsid w:val="00D47F64"/>
    <w:rsid w:val="00D47F72"/>
    <w:rsid w:val="00D47F89"/>
    <w:rsid w:val="00D47FF1"/>
    <w:rsid w:val="00D5004C"/>
    <w:rsid w:val="00D5004D"/>
    <w:rsid w:val="00D5006D"/>
    <w:rsid w:val="00D5007D"/>
    <w:rsid w:val="00D50094"/>
    <w:rsid w:val="00D5009E"/>
    <w:rsid w:val="00D501A2"/>
    <w:rsid w:val="00D501B1"/>
    <w:rsid w:val="00D50257"/>
    <w:rsid w:val="00D5026A"/>
    <w:rsid w:val="00D50293"/>
    <w:rsid w:val="00D502D7"/>
    <w:rsid w:val="00D50310"/>
    <w:rsid w:val="00D50355"/>
    <w:rsid w:val="00D50358"/>
    <w:rsid w:val="00D50360"/>
    <w:rsid w:val="00D5036E"/>
    <w:rsid w:val="00D5037B"/>
    <w:rsid w:val="00D5039D"/>
    <w:rsid w:val="00D50505"/>
    <w:rsid w:val="00D50527"/>
    <w:rsid w:val="00D5054E"/>
    <w:rsid w:val="00D50590"/>
    <w:rsid w:val="00D505A0"/>
    <w:rsid w:val="00D505D4"/>
    <w:rsid w:val="00D50637"/>
    <w:rsid w:val="00D5063D"/>
    <w:rsid w:val="00D50656"/>
    <w:rsid w:val="00D5065B"/>
    <w:rsid w:val="00D50677"/>
    <w:rsid w:val="00D50681"/>
    <w:rsid w:val="00D5069F"/>
    <w:rsid w:val="00D506CE"/>
    <w:rsid w:val="00D5070F"/>
    <w:rsid w:val="00D50748"/>
    <w:rsid w:val="00D5074A"/>
    <w:rsid w:val="00D5079B"/>
    <w:rsid w:val="00D507DF"/>
    <w:rsid w:val="00D507E0"/>
    <w:rsid w:val="00D507F5"/>
    <w:rsid w:val="00D5081F"/>
    <w:rsid w:val="00D5089D"/>
    <w:rsid w:val="00D508C8"/>
    <w:rsid w:val="00D508E5"/>
    <w:rsid w:val="00D508F7"/>
    <w:rsid w:val="00D50919"/>
    <w:rsid w:val="00D50921"/>
    <w:rsid w:val="00D50951"/>
    <w:rsid w:val="00D509A7"/>
    <w:rsid w:val="00D509D8"/>
    <w:rsid w:val="00D50A0B"/>
    <w:rsid w:val="00D50A62"/>
    <w:rsid w:val="00D50A8A"/>
    <w:rsid w:val="00D50AAF"/>
    <w:rsid w:val="00D50AC7"/>
    <w:rsid w:val="00D50AC9"/>
    <w:rsid w:val="00D50AF5"/>
    <w:rsid w:val="00D50B0C"/>
    <w:rsid w:val="00D50BAD"/>
    <w:rsid w:val="00D50BAF"/>
    <w:rsid w:val="00D50BC6"/>
    <w:rsid w:val="00D50BCE"/>
    <w:rsid w:val="00D50BD2"/>
    <w:rsid w:val="00D50C6B"/>
    <w:rsid w:val="00D50C87"/>
    <w:rsid w:val="00D50CEB"/>
    <w:rsid w:val="00D50D0F"/>
    <w:rsid w:val="00D50D34"/>
    <w:rsid w:val="00D50E9E"/>
    <w:rsid w:val="00D50E9F"/>
    <w:rsid w:val="00D50EC0"/>
    <w:rsid w:val="00D50F2A"/>
    <w:rsid w:val="00D50F35"/>
    <w:rsid w:val="00D50F47"/>
    <w:rsid w:val="00D50F6C"/>
    <w:rsid w:val="00D50F81"/>
    <w:rsid w:val="00D50FE5"/>
    <w:rsid w:val="00D5109C"/>
    <w:rsid w:val="00D5113C"/>
    <w:rsid w:val="00D5117B"/>
    <w:rsid w:val="00D511F7"/>
    <w:rsid w:val="00D512B2"/>
    <w:rsid w:val="00D512C3"/>
    <w:rsid w:val="00D51327"/>
    <w:rsid w:val="00D51338"/>
    <w:rsid w:val="00D51368"/>
    <w:rsid w:val="00D5138B"/>
    <w:rsid w:val="00D513EB"/>
    <w:rsid w:val="00D51437"/>
    <w:rsid w:val="00D51469"/>
    <w:rsid w:val="00D514FF"/>
    <w:rsid w:val="00D51663"/>
    <w:rsid w:val="00D516AC"/>
    <w:rsid w:val="00D516C9"/>
    <w:rsid w:val="00D5170C"/>
    <w:rsid w:val="00D51739"/>
    <w:rsid w:val="00D51740"/>
    <w:rsid w:val="00D51762"/>
    <w:rsid w:val="00D517E5"/>
    <w:rsid w:val="00D51830"/>
    <w:rsid w:val="00D518C9"/>
    <w:rsid w:val="00D5196A"/>
    <w:rsid w:val="00D5199A"/>
    <w:rsid w:val="00D519AA"/>
    <w:rsid w:val="00D519C7"/>
    <w:rsid w:val="00D519E1"/>
    <w:rsid w:val="00D51AB4"/>
    <w:rsid w:val="00D51AD9"/>
    <w:rsid w:val="00D51AE0"/>
    <w:rsid w:val="00D51B2A"/>
    <w:rsid w:val="00D51B7B"/>
    <w:rsid w:val="00D51BA6"/>
    <w:rsid w:val="00D51C27"/>
    <w:rsid w:val="00D51C49"/>
    <w:rsid w:val="00D51C90"/>
    <w:rsid w:val="00D51CD0"/>
    <w:rsid w:val="00D51D39"/>
    <w:rsid w:val="00D51DB1"/>
    <w:rsid w:val="00D51DC1"/>
    <w:rsid w:val="00D51DF8"/>
    <w:rsid w:val="00D51E7E"/>
    <w:rsid w:val="00D51EE3"/>
    <w:rsid w:val="00D51F1F"/>
    <w:rsid w:val="00D51F5F"/>
    <w:rsid w:val="00D51FA6"/>
    <w:rsid w:val="00D52047"/>
    <w:rsid w:val="00D52051"/>
    <w:rsid w:val="00D520F6"/>
    <w:rsid w:val="00D52136"/>
    <w:rsid w:val="00D5217A"/>
    <w:rsid w:val="00D5218B"/>
    <w:rsid w:val="00D521A5"/>
    <w:rsid w:val="00D52304"/>
    <w:rsid w:val="00D52338"/>
    <w:rsid w:val="00D52346"/>
    <w:rsid w:val="00D52372"/>
    <w:rsid w:val="00D523DE"/>
    <w:rsid w:val="00D52440"/>
    <w:rsid w:val="00D52446"/>
    <w:rsid w:val="00D524F2"/>
    <w:rsid w:val="00D5250F"/>
    <w:rsid w:val="00D52582"/>
    <w:rsid w:val="00D525A7"/>
    <w:rsid w:val="00D52602"/>
    <w:rsid w:val="00D5264B"/>
    <w:rsid w:val="00D52722"/>
    <w:rsid w:val="00D5273F"/>
    <w:rsid w:val="00D52755"/>
    <w:rsid w:val="00D52786"/>
    <w:rsid w:val="00D527EA"/>
    <w:rsid w:val="00D5286D"/>
    <w:rsid w:val="00D5286F"/>
    <w:rsid w:val="00D52871"/>
    <w:rsid w:val="00D528AE"/>
    <w:rsid w:val="00D528C3"/>
    <w:rsid w:val="00D528E9"/>
    <w:rsid w:val="00D52926"/>
    <w:rsid w:val="00D5298F"/>
    <w:rsid w:val="00D5299B"/>
    <w:rsid w:val="00D52A03"/>
    <w:rsid w:val="00D52A05"/>
    <w:rsid w:val="00D52A46"/>
    <w:rsid w:val="00D52A4A"/>
    <w:rsid w:val="00D52ADA"/>
    <w:rsid w:val="00D52AF3"/>
    <w:rsid w:val="00D52BDA"/>
    <w:rsid w:val="00D52C27"/>
    <w:rsid w:val="00D52CB2"/>
    <w:rsid w:val="00D52CED"/>
    <w:rsid w:val="00D52D14"/>
    <w:rsid w:val="00D52D5B"/>
    <w:rsid w:val="00D52DFD"/>
    <w:rsid w:val="00D52E05"/>
    <w:rsid w:val="00D52E0B"/>
    <w:rsid w:val="00D52E19"/>
    <w:rsid w:val="00D52E34"/>
    <w:rsid w:val="00D52E83"/>
    <w:rsid w:val="00D52F01"/>
    <w:rsid w:val="00D52F28"/>
    <w:rsid w:val="00D52F5F"/>
    <w:rsid w:val="00D52F69"/>
    <w:rsid w:val="00D5301E"/>
    <w:rsid w:val="00D53050"/>
    <w:rsid w:val="00D5308D"/>
    <w:rsid w:val="00D530A2"/>
    <w:rsid w:val="00D53134"/>
    <w:rsid w:val="00D53137"/>
    <w:rsid w:val="00D53140"/>
    <w:rsid w:val="00D53161"/>
    <w:rsid w:val="00D5321E"/>
    <w:rsid w:val="00D5326B"/>
    <w:rsid w:val="00D53280"/>
    <w:rsid w:val="00D532A4"/>
    <w:rsid w:val="00D532C8"/>
    <w:rsid w:val="00D532E2"/>
    <w:rsid w:val="00D53346"/>
    <w:rsid w:val="00D53358"/>
    <w:rsid w:val="00D5335E"/>
    <w:rsid w:val="00D533C2"/>
    <w:rsid w:val="00D5345A"/>
    <w:rsid w:val="00D534CF"/>
    <w:rsid w:val="00D534D2"/>
    <w:rsid w:val="00D534F8"/>
    <w:rsid w:val="00D53511"/>
    <w:rsid w:val="00D53542"/>
    <w:rsid w:val="00D5356D"/>
    <w:rsid w:val="00D535A3"/>
    <w:rsid w:val="00D5360C"/>
    <w:rsid w:val="00D536E6"/>
    <w:rsid w:val="00D53701"/>
    <w:rsid w:val="00D53720"/>
    <w:rsid w:val="00D537B6"/>
    <w:rsid w:val="00D537C2"/>
    <w:rsid w:val="00D537D5"/>
    <w:rsid w:val="00D537E1"/>
    <w:rsid w:val="00D537F0"/>
    <w:rsid w:val="00D537F3"/>
    <w:rsid w:val="00D53821"/>
    <w:rsid w:val="00D538A2"/>
    <w:rsid w:val="00D538BD"/>
    <w:rsid w:val="00D5390A"/>
    <w:rsid w:val="00D5391A"/>
    <w:rsid w:val="00D53962"/>
    <w:rsid w:val="00D539D4"/>
    <w:rsid w:val="00D53A07"/>
    <w:rsid w:val="00D53A1E"/>
    <w:rsid w:val="00D53A69"/>
    <w:rsid w:val="00D53A91"/>
    <w:rsid w:val="00D53ABF"/>
    <w:rsid w:val="00D53AC4"/>
    <w:rsid w:val="00D53BF7"/>
    <w:rsid w:val="00D53C3C"/>
    <w:rsid w:val="00D53C5C"/>
    <w:rsid w:val="00D53C70"/>
    <w:rsid w:val="00D53CE7"/>
    <w:rsid w:val="00D53D94"/>
    <w:rsid w:val="00D53E25"/>
    <w:rsid w:val="00D53E39"/>
    <w:rsid w:val="00D53E6C"/>
    <w:rsid w:val="00D53E9D"/>
    <w:rsid w:val="00D53EB0"/>
    <w:rsid w:val="00D53EE1"/>
    <w:rsid w:val="00D53FF4"/>
    <w:rsid w:val="00D54012"/>
    <w:rsid w:val="00D5404D"/>
    <w:rsid w:val="00D5407A"/>
    <w:rsid w:val="00D5409C"/>
    <w:rsid w:val="00D540B2"/>
    <w:rsid w:val="00D540DF"/>
    <w:rsid w:val="00D54100"/>
    <w:rsid w:val="00D5418B"/>
    <w:rsid w:val="00D541B8"/>
    <w:rsid w:val="00D541F2"/>
    <w:rsid w:val="00D54273"/>
    <w:rsid w:val="00D542D3"/>
    <w:rsid w:val="00D542F4"/>
    <w:rsid w:val="00D5432A"/>
    <w:rsid w:val="00D54335"/>
    <w:rsid w:val="00D54345"/>
    <w:rsid w:val="00D54353"/>
    <w:rsid w:val="00D5443F"/>
    <w:rsid w:val="00D5446A"/>
    <w:rsid w:val="00D54489"/>
    <w:rsid w:val="00D54493"/>
    <w:rsid w:val="00D544AD"/>
    <w:rsid w:val="00D544B4"/>
    <w:rsid w:val="00D54523"/>
    <w:rsid w:val="00D54532"/>
    <w:rsid w:val="00D54584"/>
    <w:rsid w:val="00D54585"/>
    <w:rsid w:val="00D545B0"/>
    <w:rsid w:val="00D54714"/>
    <w:rsid w:val="00D54749"/>
    <w:rsid w:val="00D5474E"/>
    <w:rsid w:val="00D5476B"/>
    <w:rsid w:val="00D5482A"/>
    <w:rsid w:val="00D5484D"/>
    <w:rsid w:val="00D54850"/>
    <w:rsid w:val="00D54857"/>
    <w:rsid w:val="00D5485B"/>
    <w:rsid w:val="00D5489F"/>
    <w:rsid w:val="00D54913"/>
    <w:rsid w:val="00D5491C"/>
    <w:rsid w:val="00D54955"/>
    <w:rsid w:val="00D549AE"/>
    <w:rsid w:val="00D549CC"/>
    <w:rsid w:val="00D549D0"/>
    <w:rsid w:val="00D549FB"/>
    <w:rsid w:val="00D54A05"/>
    <w:rsid w:val="00D54A26"/>
    <w:rsid w:val="00D54A34"/>
    <w:rsid w:val="00D54A6F"/>
    <w:rsid w:val="00D54A7A"/>
    <w:rsid w:val="00D54AC0"/>
    <w:rsid w:val="00D54AD5"/>
    <w:rsid w:val="00D54AE3"/>
    <w:rsid w:val="00D54B20"/>
    <w:rsid w:val="00D54B7B"/>
    <w:rsid w:val="00D54BDD"/>
    <w:rsid w:val="00D54BE0"/>
    <w:rsid w:val="00D54C20"/>
    <w:rsid w:val="00D54C22"/>
    <w:rsid w:val="00D54C2E"/>
    <w:rsid w:val="00D54C3F"/>
    <w:rsid w:val="00D54CB7"/>
    <w:rsid w:val="00D54CE0"/>
    <w:rsid w:val="00D54D6E"/>
    <w:rsid w:val="00D54DB1"/>
    <w:rsid w:val="00D54E1A"/>
    <w:rsid w:val="00D54E98"/>
    <w:rsid w:val="00D54F28"/>
    <w:rsid w:val="00D54F52"/>
    <w:rsid w:val="00D54F60"/>
    <w:rsid w:val="00D54FD0"/>
    <w:rsid w:val="00D55050"/>
    <w:rsid w:val="00D55068"/>
    <w:rsid w:val="00D5507E"/>
    <w:rsid w:val="00D550C0"/>
    <w:rsid w:val="00D550FE"/>
    <w:rsid w:val="00D5512C"/>
    <w:rsid w:val="00D5514F"/>
    <w:rsid w:val="00D551BB"/>
    <w:rsid w:val="00D5522F"/>
    <w:rsid w:val="00D552BF"/>
    <w:rsid w:val="00D552E5"/>
    <w:rsid w:val="00D552F1"/>
    <w:rsid w:val="00D55368"/>
    <w:rsid w:val="00D55421"/>
    <w:rsid w:val="00D55446"/>
    <w:rsid w:val="00D5544B"/>
    <w:rsid w:val="00D5544E"/>
    <w:rsid w:val="00D554A8"/>
    <w:rsid w:val="00D554A9"/>
    <w:rsid w:val="00D554C6"/>
    <w:rsid w:val="00D554F2"/>
    <w:rsid w:val="00D55501"/>
    <w:rsid w:val="00D5552A"/>
    <w:rsid w:val="00D5556D"/>
    <w:rsid w:val="00D55570"/>
    <w:rsid w:val="00D55601"/>
    <w:rsid w:val="00D55647"/>
    <w:rsid w:val="00D5564D"/>
    <w:rsid w:val="00D55652"/>
    <w:rsid w:val="00D5566A"/>
    <w:rsid w:val="00D556A6"/>
    <w:rsid w:val="00D556DF"/>
    <w:rsid w:val="00D556E9"/>
    <w:rsid w:val="00D5570F"/>
    <w:rsid w:val="00D55718"/>
    <w:rsid w:val="00D55721"/>
    <w:rsid w:val="00D5572D"/>
    <w:rsid w:val="00D55747"/>
    <w:rsid w:val="00D55796"/>
    <w:rsid w:val="00D5581F"/>
    <w:rsid w:val="00D55883"/>
    <w:rsid w:val="00D5588B"/>
    <w:rsid w:val="00D55896"/>
    <w:rsid w:val="00D55903"/>
    <w:rsid w:val="00D559A7"/>
    <w:rsid w:val="00D559C1"/>
    <w:rsid w:val="00D559D1"/>
    <w:rsid w:val="00D55A17"/>
    <w:rsid w:val="00D55A28"/>
    <w:rsid w:val="00D55A45"/>
    <w:rsid w:val="00D55A57"/>
    <w:rsid w:val="00D55AAD"/>
    <w:rsid w:val="00D55AD8"/>
    <w:rsid w:val="00D55B47"/>
    <w:rsid w:val="00D55B5D"/>
    <w:rsid w:val="00D55C02"/>
    <w:rsid w:val="00D55C17"/>
    <w:rsid w:val="00D55C3F"/>
    <w:rsid w:val="00D55C5C"/>
    <w:rsid w:val="00D55C94"/>
    <w:rsid w:val="00D55D1D"/>
    <w:rsid w:val="00D55D68"/>
    <w:rsid w:val="00D55D78"/>
    <w:rsid w:val="00D55DA7"/>
    <w:rsid w:val="00D55DCB"/>
    <w:rsid w:val="00D55E49"/>
    <w:rsid w:val="00D55E4E"/>
    <w:rsid w:val="00D55E5A"/>
    <w:rsid w:val="00D55EFE"/>
    <w:rsid w:val="00D55FC1"/>
    <w:rsid w:val="00D560B7"/>
    <w:rsid w:val="00D560EB"/>
    <w:rsid w:val="00D560F5"/>
    <w:rsid w:val="00D56109"/>
    <w:rsid w:val="00D56179"/>
    <w:rsid w:val="00D5622C"/>
    <w:rsid w:val="00D56253"/>
    <w:rsid w:val="00D56271"/>
    <w:rsid w:val="00D562EA"/>
    <w:rsid w:val="00D5635F"/>
    <w:rsid w:val="00D56396"/>
    <w:rsid w:val="00D563C7"/>
    <w:rsid w:val="00D563F0"/>
    <w:rsid w:val="00D563F1"/>
    <w:rsid w:val="00D56426"/>
    <w:rsid w:val="00D56451"/>
    <w:rsid w:val="00D56457"/>
    <w:rsid w:val="00D5646E"/>
    <w:rsid w:val="00D56512"/>
    <w:rsid w:val="00D56517"/>
    <w:rsid w:val="00D565C4"/>
    <w:rsid w:val="00D565D1"/>
    <w:rsid w:val="00D56641"/>
    <w:rsid w:val="00D56687"/>
    <w:rsid w:val="00D5669E"/>
    <w:rsid w:val="00D566B5"/>
    <w:rsid w:val="00D566D1"/>
    <w:rsid w:val="00D56740"/>
    <w:rsid w:val="00D56779"/>
    <w:rsid w:val="00D5678D"/>
    <w:rsid w:val="00D567A9"/>
    <w:rsid w:val="00D56827"/>
    <w:rsid w:val="00D56899"/>
    <w:rsid w:val="00D568C0"/>
    <w:rsid w:val="00D568DC"/>
    <w:rsid w:val="00D568F9"/>
    <w:rsid w:val="00D56936"/>
    <w:rsid w:val="00D5694C"/>
    <w:rsid w:val="00D5695A"/>
    <w:rsid w:val="00D56976"/>
    <w:rsid w:val="00D569A3"/>
    <w:rsid w:val="00D569DF"/>
    <w:rsid w:val="00D56A9B"/>
    <w:rsid w:val="00D56B71"/>
    <w:rsid w:val="00D56C06"/>
    <w:rsid w:val="00D56C1A"/>
    <w:rsid w:val="00D56CAA"/>
    <w:rsid w:val="00D56D12"/>
    <w:rsid w:val="00D56D17"/>
    <w:rsid w:val="00D56D32"/>
    <w:rsid w:val="00D56D84"/>
    <w:rsid w:val="00D56D94"/>
    <w:rsid w:val="00D56DC6"/>
    <w:rsid w:val="00D56DE0"/>
    <w:rsid w:val="00D56E5B"/>
    <w:rsid w:val="00D56EAD"/>
    <w:rsid w:val="00D56F12"/>
    <w:rsid w:val="00D56F1B"/>
    <w:rsid w:val="00D56F85"/>
    <w:rsid w:val="00D56FC3"/>
    <w:rsid w:val="00D56FCB"/>
    <w:rsid w:val="00D56FF1"/>
    <w:rsid w:val="00D56FFB"/>
    <w:rsid w:val="00D57004"/>
    <w:rsid w:val="00D57009"/>
    <w:rsid w:val="00D5701E"/>
    <w:rsid w:val="00D57040"/>
    <w:rsid w:val="00D57046"/>
    <w:rsid w:val="00D570B8"/>
    <w:rsid w:val="00D5717E"/>
    <w:rsid w:val="00D571D2"/>
    <w:rsid w:val="00D57200"/>
    <w:rsid w:val="00D5721A"/>
    <w:rsid w:val="00D57275"/>
    <w:rsid w:val="00D5728F"/>
    <w:rsid w:val="00D57302"/>
    <w:rsid w:val="00D57367"/>
    <w:rsid w:val="00D57394"/>
    <w:rsid w:val="00D57397"/>
    <w:rsid w:val="00D573BE"/>
    <w:rsid w:val="00D57423"/>
    <w:rsid w:val="00D5743D"/>
    <w:rsid w:val="00D57489"/>
    <w:rsid w:val="00D574F2"/>
    <w:rsid w:val="00D5752F"/>
    <w:rsid w:val="00D57584"/>
    <w:rsid w:val="00D575B0"/>
    <w:rsid w:val="00D575BF"/>
    <w:rsid w:val="00D575C4"/>
    <w:rsid w:val="00D57696"/>
    <w:rsid w:val="00D576A4"/>
    <w:rsid w:val="00D576BC"/>
    <w:rsid w:val="00D576C8"/>
    <w:rsid w:val="00D576E2"/>
    <w:rsid w:val="00D57710"/>
    <w:rsid w:val="00D57827"/>
    <w:rsid w:val="00D57861"/>
    <w:rsid w:val="00D57918"/>
    <w:rsid w:val="00D57930"/>
    <w:rsid w:val="00D57943"/>
    <w:rsid w:val="00D57949"/>
    <w:rsid w:val="00D5796D"/>
    <w:rsid w:val="00D579BE"/>
    <w:rsid w:val="00D579F1"/>
    <w:rsid w:val="00D57AE5"/>
    <w:rsid w:val="00D57B00"/>
    <w:rsid w:val="00D57B15"/>
    <w:rsid w:val="00D57BD8"/>
    <w:rsid w:val="00D57BE9"/>
    <w:rsid w:val="00D57BF0"/>
    <w:rsid w:val="00D57C3B"/>
    <w:rsid w:val="00D57C9D"/>
    <w:rsid w:val="00D57C9E"/>
    <w:rsid w:val="00D57D38"/>
    <w:rsid w:val="00D57D5D"/>
    <w:rsid w:val="00D57D97"/>
    <w:rsid w:val="00D57DDC"/>
    <w:rsid w:val="00D57DE5"/>
    <w:rsid w:val="00D57E41"/>
    <w:rsid w:val="00D57E62"/>
    <w:rsid w:val="00D57E98"/>
    <w:rsid w:val="00D57F0D"/>
    <w:rsid w:val="00D57F31"/>
    <w:rsid w:val="00D57F64"/>
    <w:rsid w:val="00D57F82"/>
    <w:rsid w:val="00D57FE5"/>
    <w:rsid w:val="00D60005"/>
    <w:rsid w:val="00D6002B"/>
    <w:rsid w:val="00D600A6"/>
    <w:rsid w:val="00D6010F"/>
    <w:rsid w:val="00D6014B"/>
    <w:rsid w:val="00D601E9"/>
    <w:rsid w:val="00D60217"/>
    <w:rsid w:val="00D60244"/>
    <w:rsid w:val="00D602CD"/>
    <w:rsid w:val="00D60353"/>
    <w:rsid w:val="00D6036D"/>
    <w:rsid w:val="00D603B6"/>
    <w:rsid w:val="00D60482"/>
    <w:rsid w:val="00D60488"/>
    <w:rsid w:val="00D6048A"/>
    <w:rsid w:val="00D604A0"/>
    <w:rsid w:val="00D60501"/>
    <w:rsid w:val="00D6054F"/>
    <w:rsid w:val="00D60575"/>
    <w:rsid w:val="00D6062C"/>
    <w:rsid w:val="00D60689"/>
    <w:rsid w:val="00D60744"/>
    <w:rsid w:val="00D6079E"/>
    <w:rsid w:val="00D607B4"/>
    <w:rsid w:val="00D607C3"/>
    <w:rsid w:val="00D6080A"/>
    <w:rsid w:val="00D6080E"/>
    <w:rsid w:val="00D60829"/>
    <w:rsid w:val="00D60893"/>
    <w:rsid w:val="00D60901"/>
    <w:rsid w:val="00D6096B"/>
    <w:rsid w:val="00D60972"/>
    <w:rsid w:val="00D6097A"/>
    <w:rsid w:val="00D60984"/>
    <w:rsid w:val="00D609A7"/>
    <w:rsid w:val="00D609C4"/>
    <w:rsid w:val="00D60A1A"/>
    <w:rsid w:val="00D60ABF"/>
    <w:rsid w:val="00D60AC8"/>
    <w:rsid w:val="00D60B11"/>
    <w:rsid w:val="00D60BAB"/>
    <w:rsid w:val="00D60BC0"/>
    <w:rsid w:val="00D60BE2"/>
    <w:rsid w:val="00D60C17"/>
    <w:rsid w:val="00D60C21"/>
    <w:rsid w:val="00D60C35"/>
    <w:rsid w:val="00D60C47"/>
    <w:rsid w:val="00D60C56"/>
    <w:rsid w:val="00D60C90"/>
    <w:rsid w:val="00D60C9C"/>
    <w:rsid w:val="00D60CE3"/>
    <w:rsid w:val="00D60CF2"/>
    <w:rsid w:val="00D60CFF"/>
    <w:rsid w:val="00D60DB1"/>
    <w:rsid w:val="00D60DBF"/>
    <w:rsid w:val="00D60DCF"/>
    <w:rsid w:val="00D60DFB"/>
    <w:rsid w:val="00D60E8D"/>
    <w:rsid w:val="00D60EE6"/>
    <w:rsid w:val="00D60F16"/>
    <w:rsid w:val="00D60F52"/>
    <w:rsid w:val="00D60FB3"/>
    <w:rsid w:val="00D60FE3"/>
    <w:rsid w:val="00D61084"/>
    <w:rsid w:val="00D6108E"/>
    <w:rsid w:val="00D61093"/>
    <w:rsid w:val="00D610D6"/>
    <w:rsid w:val="00D6115E"/>
    <w:rsid w:val="00D61182"/>
    <w:rsid w:val="00D61201"/>
    <w:rsid w:val="00D61203"/>
    <w:rsid w:val="00D61225"/>
    <w:rsid w:val="00D61260"/>
    <w:rsid w:val="00D61387"/>
    <w:rsid w:val="00D613E8"/>
    <w:rsid w:val="00D6143B"/>
    <w:rsid w:val="00D61456"/>
    <w:rsid w:val="00D61561"/>
    <w:rsid w:val="00D6157B"/>
    <w:rsid w:val="00D615D0"/>
    <w:rsid w:val="00D615E4"/>
    <w:rsid w:val="00D61609"/>
    <w:rsid w:val="00D61673"/>
    <w:rsid w:val="00D6167C"/>
    <w:rsid w:val="00D6169C"/>
    <w:rsid w:val="00D616B2"/>
    <w:rsid w:val="00D616B4"/>
    <w:rsid w:val="00D616FD"/>
    <w:rsid w:val="00D6170F"/>
    <w:rsid w:val="00D61747"/>
    <w:rsid w:val="00D6178C"/>
    <w:rsid w:val="00D61877"/>
    <w:rsid w:val="00D618EB"/>
    <w:rsid w:val="00D618FA"/>
    <w:rsid w:val="00D61911"/>
    <w:rsid w:val="00D61965"/>
    <w:rsid w:val="00D61975"/>
    <w:rsid w:val="00D61994"/>
    <w:rsid w:val="00D619CE"/>
    <w:rsid w:val="00D619FE"/>
    <w:rsid w:val="00D61A37"/>
    <w:rsid w:val="00D61AAA"/>
    <w:rsid w:val="00D61ABC"/>
    <w:rsid w:val="00D61ACA"/>
    <w:rsid w:val="00D61AD7"/>
    <w:rsid w:val="00D61AF2"/>
    <w:rsid w:val="00D61B5C"/>
    <w:rsid w:val="00D61BE1"/>
    <w:rsid w:val="00D61BE7"/>
    <w:rsid w:val="00D61C13"/>
    <w:rsid w:val="00D61C16"/>
    <w:rsid w:val="00D61C1D"/>
    <w:rsid w:val="00D61C3B"/>
    <w:rsid w:val="00D61D08"/>
    <w:rsid w:val="00D61D5B"/>
    <w:rsid w:val="00D61D6C"/>
    <w:rsid w:val="00D61EA0"/>
    <w:rsid w:val="00D61EC2"/>
    <w:rsid w:val="00D61EC4"/>
    <w:rsid w:val="00D61EC9"/>
    <w:rsid w:val="00D61EF3"/>
    <w:rsid w:val="00D61F25"/>
    <w:rsid w:val="00D61F9A"/>
    <w:rsid w:val="00D61FA6"/>
    <w:rsid w:val="00D61FB3"/>
    <w:rsid w:val="00D61FDA"/>
    <w:rsid w:val="00D61FE7"/>
    <w:rsid w:val="00D6200B"/>
    <w:rsid w:val="00D62043"/>
    <w:rsid w:val="00D6205D"/>
    <w:rsid w:val="00D620A9"/>
    <w:rsid w:val="00D620C9"/>
    <w:rsid w:val="00D620F1"/>
    <w:rsid w:val="00D620F6"/>
    <w:rsid w:val="00D62135"/>
    <w:rsid w:val="00D6218F"/>
    <w:rsid w:val="00D621C6"/>
    <w:rsid w:val="00D621EB"/>
    <w:rsid w:val="00D62221"/>
    <w:rsid w:val="00D62225"/>
    <w:rsid w:val="00D622A0"/>
    <w:rsid w:val="00D62367"/>
    <w:rsid w:val="00D623A7"/>
    <w:rsid w:val="00D623B7"/>
    <w:rsid w:val="00D6248C"/>
    <w:rsid w:val="00D6252A"/>
    <w:rsid w:val="00D62573"/>
    <w:rsid w:val="00D625A8"/>
    <w:rsid w:val="00D6267D"/>
    <w:rsid w:val="00D6268A"/>
    <w:rsid w:val="00D62695"/>
    <w:rsid w:val="00D626B6"/>
    <w:rsid w:val="00D626C6"/>
    <w:rsid w:val="00D626CC"/>
    <w:rsid w:val="00D62709"/>
    <w:rsid w:val="00D6270F"/>
    <w:rsid w:val="00D62799"/>
    <w:rsid w:val="00D627CB"/>
    <w:rsid w:val="00D627ED"/>
    <w:rsid w:val="00D62819"/>
    <w:rsid w:val="00D6283A"/>
    <w:rsid w:val="00D62854"/>
    <w:rsid w:val="00D6293C"/>
    <w:rsid w:val="00D6294C"/>
    <w:rsid w:val="00D62989"/>
    <w:rsid w:val="00D62993"/>
    <w:rsid w:val="00D629A5"/>
    <w:rsid w:val="00D629E9"/>
    <w:rsid w:val="00D62ADE"/>
    <w:rsid w:val="00D62C5F"/>
    <w:rsid w:val="00D62D50"/>
    <w:rsid w:val="00D62D89"/>
    <w:rsid w:val="00D62E14"/>
    <w:rsid w:val="00D62E33"/>
    <w:rsid w:val="00D62EF8"/>
    <w:rsid w:val="00D62F41"/>
    <w:rsid w:val="00D62F55"/>
    <w:rsid w:val="00D62F5E"/>
    <w:rsid w:val="00D62FAD"/>
    <w:rsid w:val="00D62FF6"/>
    <w:rsid w:val="00D62FFC"/>
    <w:rsid w:val="00D63008"/>
    <w:rsid w:val="00D63071"/>
    <w:rsid w:val="00D63081"/>
    <w:rsid w:val="00D6309C"/>
    <w:rsid w:val="00D630D9"/>
    <w:rsid w:val="00D630EA"/>
    <w:rsid w:val="00D6318E"/>
    <w:rsid w:val="00D631EA"/>
    <w:rsid w:val="00D6323F"/>
    <w:rsid w:val="00D63245"/>
    <w:rsid w:val="00D63279"/>
    <w:rsid w:val="00D632B0"/>
    <w:rsid w:val="00D632FE"/>
    <w:rsid w:val="00D6332E"/>
    <w:rsid w:val="00D6333C"/>
    <w:rsid w:val="00D63379"/>
    <w:rsid w:val="00D6338F"/>
    <w:rsid w:val="00D633A3"/>
    <w:rsid w:val="00D633D8"/>
    <w:rsid w:val="00D6340D"/>
    <w:rsid w:val="00D63462"/>
    <w:rsid w:val="00D63465"/>
    <w:rsid w:val="00D634E3"/>
    <w:rsid w:val="00D635B5"/>
    <w:rsid w:val="00D635DA"/>
    <w:rsid w:val="00D63625"/>
    <w:rsid w:val="00D6362F"/>
    <w:rsid w:val="00D6369D"/>
    <w:rsid w:val="00D636A0"/>
    <w:rsid w:val="00D636BA"/>
    <w:rsid w:val="00D636F0"/>
    <w:rsid w:val="00D636F1"/>
    <w:rsid w:val="00D63733"/>
    <w:rsid w:val="00D6375B"/>
    <w:rsid w:val="00D63777"/>
    <w:rsid w:val="00D63797"/>
    <w:rsid w:val="00D637AF"/>
    <w:rsid w:val="00D637DE"/>
    <w:rsid w:val="00D63810"/>
    <w:rsid w:val="00D63830"/>
    <w:rsid w:val="00D638AC"/>
    <w:rsid w:val="00D63903"/>
    <w:rsid w:val="00D639A0"/>
    <w:rsid w:val="00D639E5"/>
    <w:rsid w:val="00D63A38"/>
    <w:rsid w:val="00D63A65"/>
    <w:rsid w:val="00D63A80"/>
    <w:rsid w:val="00D63AB6"/>
    <w:rsid w:val="00D63AC9"/>
    <w:rsid w:val="00D63AF6"/>
    <w:rsid w:val="00D63B29"/>
    <w:rsid w:val="00D63B52"/>
    <w:rsid w:val="00D63B5D"/>
    <w:rsid w:val="00D63B63"/>
    <w:rsid w:val="00D63B8F"/>
    <w:rsid w:val="00D63BC3"/>
    <w:rsid w:val="00D63BDC"/>
    <w:rsid w:val="00D63BF5"/>
    <w:rsid w:val="00D63C37"/>
    <w:rsid w:val="00D63C74"/>
    <w:rsid w:val="00D63C8C"/>
    <w:rsid w:val="00D63CE3"/>
    <w:rsid w:val="00D63DC2"/>
    <w:rsid w:val="00D63DF7"/>
    <w:rsid w:val="00D63E85"/>
    <w:rsid w:val="00D63EA5"/>
    <w:rsid w:val="00D63F08"/>
    <w:rsid w:val="00D63F4E"/>
    <w:rsid w:val="00D63FA9"/>
    <w:rsid w:val="00D63FAA"/>
    <w:rsid w:val="00D63FEE"/>
    <w:rsid w:val="00D64018"/>
    <w:rsid w:val="00D6403D"/>
    <w:rsid w:val="00D64299"/>
    <w:rsid w:val="00D642B0"/>
    <w:rsid w:val="00D64304"/>
    <w:rsid w:val="00D64418"/>
    <w:rsid w:val="00D64476"/>
    <w:rsid w:val="00D644A2"/>
    <w:rsid w:val="00D64540"/>
    <w:rsid w:val="00D64559"/>
    <w:rsid w:val="00D6459F"/>
    <w:rsid w:val="00D645A7"/>
    <w:rsid w:val="00D645C7"/>
    <w:rsid w:val="00D64658"/>
    <w:rsid w:val="00D646AF"/>
    <w:rsid w:val="00D6473E"/>
    <w:rsid w:val="00D647BB"/>
    <w:rsid w:val="00D647C0"/>
    <w:rsid w:val="00D647EE"/>
    <w:rsid w:val="00D64806"/>
    <w:rsid w:val="00D64814"/>
    <w:rsid w:val="00D64866"/>
    <w:rsid w:val="00D64887"/>
    <w:rsid w:val="00D6490B"/>
    <w:rsid w:val="00D64917"/>
    <w:rsid w:val="00D649A1"/>
    <w:rsid w:val="00D649AC"/>
    <w:rsid w:val="00D649C4"/>
    <w:rsid w:val="00D64A2E"/>
    <w:rsid w:val="00D64A52"/>
    <w:rsid w:val="00D64ABD"/>
    <w:rsid w:val="00D64B64"/>
    <w:rsid w:val="00D64B76"/>
    <w:rsid w:val="00D64BE4"/>
    <w:rsid w:val="00D64C0B"/>
    <w:rsid w:val="00D64C27"/>
    <w:rsid w:val="00D64C3F"/>
    <w:rsid w:val="00D64C58"/>
    <w:rsid w:val="00D64C7D"/>
    <w:rsid w:val="00D64C92"/>
    <w:rsid w:val="00D64CA8"/>
    <w:rsid w:val="00D64CBF"/>
    <w:rsid w:val="00D64D38"/>
    <w:rsid w:val="00D64D87"/>
    <w:rsid w:val="00D64ECE"/>
    <w:rsid w:val="00D64F2E"/>
    <w:rsid w:val="00D64F5C"/>
    <w:rsid w:val="00D65022"/>
    <w:rsid w:val="00D65044"/>
    <w:rsid w:val="00D650F2"/>
    <w:rsid w:val="00D6510B"/>
    <w:rsid w:val="00D651A4"/>
    <w:rsid w:val="00D651D6"/>
    <w:rsid w:val="00D651E3"/>
    <w:rsid w:val="00D65218"/>
    <w:rsid w:val="00D65258"/>
    <w:rsid w:val="00D65275"/>
    <w:rsid w:val="00D65368"/>
    <w:rsid w:val="00D653F3"/>
    <w:rsid w:val="00D65453"/>
    <w:rsid w:val="00D654F8"/>
    <w:rsid w:val="00D6550D"/>
    <w:rsid w:val="00D65532"/>
    <w:rsid w:val="00D6553D"/>
    <w:rsid w:val="00D655EF"/>
    <w:rsid w:val="00D65612"/>
    <w:rsid w:val="00D656DC"/>
    <w:rsid w:val="00D65769"/>
    <w:rsid w:val="00D6578F"/>
    <w:rsid w:val="00D657BB"/>
    <w:rsid w:val="00D65902"/>
    <w:rsid w:val="00D65937"/>
    <w:rsid w:val="00D65945"/>
    <w:rsid w:val="00D659C3"/>
    <w:rsid w:val="00D65A24"/>
    <w:rsid w:val="00D65A5F"/>
    <w:rsid w:val="00D65B97"/>
    <w:rsid w:val="00D65CE7"/>
    <w:rsid w:val="00D65D73"/>
    <w:rsid w:val="00D65D7E"/>
    <w:rsid w:val="00D65DAB"/>
    <w:rsid w:val="00D65E4C"/>
    <w:rsid w:val="00D65EDA"/>
    <w:rsid w:val="00D65EFC"/>
    <w:rsid w:val="00D65F14"/>
    <w:rsid w:val="00D66032"/>
    <w:rsid w:val="00D66052"/>
    <w:rsid w:val="00D6605D"/>
    <w:rsid w:val="00D66061"/>
    <w:rsid w:val="00D66063"/>
    <w:rsid w:val="00D6609E"/>
    <w:rsid w:val="00D660A5"/>
    <w:rsid w:val="00D660E5"/>
    <w:rsid w:val="00D660ED"/>
    <w:rsid w:val="00D660F1"/>
    <w:rsid w:val="00D660F4"/>
    <w:rsid w:val="00D66136"/>
    <w:rsid w:val="00D6613B"/>
    <w:rsid w:val="00D6614C"/>
    <w:rsid w:val="00D6616F"/>
    <w:rsid w:val="00D66192"/>
    <w:rsid w:val="00D66203"/>
    <w:rsid w:val="00D66218"/>
    <w:rsid w:val="00D66269"/>
    <w:rsid w:val="00D66273"/>
    <w:rsid w:val="00D6627A"/>
    <w:rsid w:val="00D6628B"/>
    <w:rsid w:val="00D66298"/>
    <w:rsid w:val="00D662B0"/>
    <w:rsid w:val="00D6638E"/>
    <w:rsid w:val="00D6644B"/>
    <w:rsid w:val="00D66484"/>
    <w:rsid w:val="00D6649D"/>
    <w:rsid w:val="00D664D2"/>
    <w:rsid w:val="00D664E4"/>
    <w:rsid w:val="00D66500"/>
    <w:rsid w:val="00D66517"/>
    <w:rsid w:val="00D66525"/>
    <w:rsid w:val="00D6652B"/>
    <w:rsid w:val="00D66546"/>
    <w:rsid w:val="00D6665A"/>
    <w:rsid w:val="00D66697"/>
    <w:rsid w:val="00D666B7"/>
    <w:rsid w:val="00D666BB"/>
    <w:rsid w:val="00D666C1"/>
    <w:rsid w:val="00D666C7"/>
    <w:rsid w:val="00D6671E"/>
    <w:rsid w:val="00D66787"/>
    <w:rsid w:val="00D66810"/>
    <w:rsid w:val="00D66840"/>
    <w:rsid w:val="00D668B4"/>
    <w:rsid w:val="00D668DD"/>
    <w:rsid w:val="00D66933"/>
    <w:rsid w:val="00D66947"/>
    <w:rsid w:val="00D6697B"/>
    <w:rsid w:val="00D66982"/>
    <w:rsid w:val="00D66A8A"/>
    <w:rsid w:val="00D66B26"/>
    <w:rsid w:val="00D66B85"/>
    <w:rsid w:val="00D66C23"/>
    <w:rsid w:val="00D66C5B"/>
    <w:rsid w:val="00D66CD3"/>
    <w:rsid w:val="00D66D0C"/>
    <w:rsid w:val="00D66D18"/>
    <w:rsid w:val="00D66D27"/>
    <w:rsid w:val="00D66D5B"/>
    <w:rsid w:val="00D66D85"/>
    <w:rsid w:val="00D66E17"/>
    <w:rsid w:val="00D66EE2"/>
    <w:rsid w:val="00D66EF2"/>
    <w:rsid w:val="00D66F06"/>
    <w:rsid w:val="00D66F0B"/>
    <w:rsid w:val="00D66F21"/>
    <w:rsid w:val="00D66F42"/>
    <w:rsid w:val="00D66F4A"/>
    <w:rsid w:val="00D66F81"/>
    <w:rsid w:val="00D66F90"/>
    <w:rsid w:val="00D66FBF"/>
    <w:rsid w:val="00D6700F"/>
    <w:rsid w:val="00D6702A"/>
    <w:rsid w:val="00D67071"/>
    <w:rsid w:val="00D670A1"/>
    <w:rsid w:val="00D670A7"/>
    <w:rsid w:val="00D67111"/>
    <w:rsid w:val="00D6717B"/>
    <w:rsid w:val="00D671AD"/>
    <w:rsid w:val="00D671B6"/>
    <w:rsid w:val="00D67208"/>
    <w:rsid w:val="00D6722C"/>
    <w:rsid w:val="00D672A8"/>
    <w:rsid w:val="00D672F3"/>
    <w:rsid w:val="00D67338"/>
    <w:rsid w:val="00D67339"/>
    <w:rsid w:val="00D6736C"/>
    <w:rsid w:val="00D6737F"/>
    <w:rsid w:val="00D67483"/>
    <w:rsid w:val="00D6749B"/>
    <w:rsid w:val="00D6759F"/>
    <w:rsid w:val="00D67665"/>
    <w:rsid w:val="00D6772C"/>
    <w:rsid w:val="00D6777B"/>
    <w:rsid w:val="00D6777C"/>
    <w:rsid w:val="00D6778E"/>
    <w:rsid w:val="00D6781A"/>
    <w:rsid w:val="00D67829"/>
    <w:rsid w:val="00D6789B"/>
    <w:rsid w:val="00D678E3"/>
    <w:rsid w:val="00D678EF"/>
    <w:rsid w:val="00D679A4"/>
    <w:rsid w:val="00D679FE"/>
    <w:rsid w:val="00D67A91"/>
    <w:rsid w:val="00D67AD5"/>
    <w:rsid w:val="00D67AF1"/>
    <w:rsid w:val="00D67B34"/>
    <w:rsid w:val="00D67B38"/>
    <w:rsid w:val="00D67C2B"/>
    <w:rsid w:val="00D67C2E"/>
    <w:rsid w:val="00D67D0D"/>
    <w:rsid w:val="00D67D51"/>
    <w:rsid w:val="00D67E46"/>
    <w:rsid w:val="00D67E57"/>
    <w:rsid w:val="00D67E9B"/>
    <w:rsid w:val="00D67EAD"/>
    <w:rsid w:val="00D67EFC"/>
    <w:rsid w:val="00D67F03"/>
    <w:rsid w:val="00D67F3D"/>
    <w:rsid w:val="00D67F93"/>
    <w:rsid w:val="00D67FB2"/>
    <w:rsid w:val="00D67FD1"/>
    <w:rsid w:val="00D67FF2"/>
    <w:rsid w:val="00D7000A"/>
    <w:rsid w:val="00D70050"/>
    <w:rsid w:val="00D700AF"/>
    <w:rsid w:val="00D700FD"/>
    <w:rsid w:val="00D70155"/>
    <w:rsid w:val="00D70183"/>
    <w:rsid w:val="00D701A6"/>
    <w:rsid w:val="00D70214"/>
    <w:rsid w:val="00D70226"/>
    <w:rsid w:val="00D702EE"/>
    <w:rsid w:val="00D7032D"/>
    <w:rsid w:val="00D70331"/>
    <w:rsid w:val="00D7035C"/>
    <w:rsid w:val="00D7039A"/>
    <w:rsid w:val="00D7041E"/>
    <w:rsid w:val="00D704C3"/>
    <w:rsid w:val="00D70543"/>
    <w:rsid w:val="00D7055A"/>
    <w:rsid w:val="00D70584"/>
    <w:rsid w:val="00D705C6"/>
    <w:rsid w:val="00D705DF"/>
    <w:rsid w:val="00D7062B"/>
    <w:rsid w:val="00D7063D"/>
    <w:rsid w:val="00D70654"/>
    <w:rsid w:val="00D70671"/>
    <w:rsid w:val="00D7067A"/>
    <w:rsid w:val="00D706BD"/>
    <w:rsid w:val="00D70731"/>
    <w:rsid w:val="00D70742"/>
    <w:rsid w:val="00D7075A"/>
    <w:rsid w:val="00D70762"/>
    <w:rsid w:val="00D7076E"/>
    <w:rsid w:val="00D70788"/>
    <w:rsid w:val="00D70846"/>
    <w:rsid w:val="00D70878"/>
    <w:rsid w:val="00D7089D"/>
    <w:rsid w:val="00D708AF"/>
    <w:rsid w:val="00D708B9"/>
    <w:rsid w:val="00D708F8"/>
    <w:rsid w:val="00D7092F"/>
    <w:rsid w:val="00D7094B"/>
    <w:rsid w:val="00D7098E"/>
    <w:rsid w:val="00D7099C"/>
    <w:rsid w:val="00D709CA"/>
    <w:rsid w:val="00D709D6"/>
    <w:rsid w:val="00D709E1"/>
    <w:rsid w:val="00D70A45"/>
    <w:rsid w:val="00D70A76"/>
    <w:rsid w:val="00D70AF4"/>
    <w:rsid w:val="00D70B0A"/>
    <w:rsid w:val="00D70B63"/>
    <w:rsid w:val="00D70B79"/>
    <w:rsid w:val="00D70B95"/>
    <w:rsid w:val="00D70C24"/>
    <w:rsid w:val="00D70CDF"/>
    <w:rsid w:val="00D70DAB"/>
    <w:rsid w:val="00D70DF0"/>
    <w:rsid w:val="00D70E43"/>
    <w:rsid w:val="00D70ED5"/>
    <w:rsid w:val="00D70ED9"/>
    <w:rsid w:val="00D70EF8"/>
    <w:rsid w:val="00D70FF5"/>
    <w:rsid w:val="00D71007"/>
    <w:rsid w:val="00D71021"/>
    <w:rsid w:val="00D7102B"/>
    <w:rsid w:val="00D7107F"/>
    <w:rsid w:val="00D71084"/>
    <w:rsid w:val="00D71091"/>
    <w:rsid w:val="00D710C2"/>
    <w:rsid w:val="00D71145"/>
    <w:rsid w:val="00D7115C"/>
    <w:rsid w:val="00D7118D"/>
    <w:rsid w:val="00D71197"/>
    <w:rsid w:val="00D711AA"/>
    <w:rsid w:val="00D711E3"/>
    <w:rsid w:val="00D711F2"/>
    <w:rsid w:val="00D71263"/>
    <w:rsid w:val="00D7131B"/>
    <w:rsid w:val="00D71393"/>
    <w:rsid w:val="00D713B5"/>
    <w:rsid w:val="00D71401"/>
    <w:rsid w:val="00D71467"/>
    <w:rsid w:val="00D7147B"/>
    <w:rsid w:val="00D7149F"/>
    <w:rsid w:val="00D714B0"/>
    <w:rsid w:val="00D715B2"/>
    <w:rsid w:val="00D715D2"/>
    <w:rsid w:val="00D71602"/>
    <w:rsid w:val="00D7160B"/>
    <w:rsid w:val="00D71618"/>
    <w:rsid w:val="00D716AF"/>
    <w:rsid w:val="00D71740"/>
    <w:rsid w:val="00D71849"/>
    <w:rsid w:val="00D718D9"/>
    <w:rsid w:val="00D71924"/>
    <w:rsid w:val="00D71975"/>
    <w:rsid w:val="00D71990"/>
    <w:rsid w:val="00D71993"/>
    <w:rsid w:val="00D719B1"/>
    <w:rsid w:val="00D719FB"/>
    <w:rsid w:val="00D71A2E"/>
    <w:rsid w:val="00D71A90"/>
    <w:rsid w:val="00D71ACC"/>
    <w:rsid w:val="00D71B69"/>
    <w:rsid w:val="00D71B78"/>
    <w:rsid w:val="00D71B7F"/>
    <w:rsid w:val="00D71BAE"/>
    <w:rsid w:val="00D71C01"/>
    <w:rsid w:val="00D71C0D"/>
    <w:rsid w:val="00D71C4E"/>
    <w:rsid w:val="00D71CAD"/>
    <w:rsid w:val="00D71CD0"/>
    <w:rsid w:val="00D71CD2"/>
    <w:rsid w:val="00D71CED"/>
    <w:rsid w:val="00D71D0E"/>
    <w:rsid w:val="00D71D36"/>
    <w:rsid w:val="00D71D7E"/>
    <w:rsid w:val="00D71DF6"/>
    <w:rsid w:val="00D71E5E"/>
    <w:rsid w:val="00D71E63"/>
    <w:rsid w:val="00D71EFA"/>
    <w:rsid w:val="00D71FF0"/>
    <w:rsid w:val="00D7204B"/>
    <w:rsid w:val="00D72089"/>
    <w:rsid w:val="00D720AE"/>
    <w:rsid w:val="00D720BA"/>
    <w:rsid w:val="00D72118"/>
    <w:rsid w:val="00D721D1"/>
    <w:rsid w:val="00D7221C"/>
    <w:rsid w:val="00D7223B"/>
    <w:rsid w:val="00D72397"/>
    <w:rsid w:val="00D723F2"/>
    <w:rsid w:val="00D72402"/>
    <w:rsid w:val="00D7244D"/>
    <w:rsid w:val="00D72466"/>
    <w:rsid w:val="00D724F0"/>
    <w:rsid w:val="00D72566"/>
    <w:rsid w:val="00D7258D"/>
    <w:rsid w:val="00D725B1"/>
    <w:rsid w:val="00D7260C"/>
    <w:rsid w:val="00D72623"/>
    <w:rsid w:val="00D72661"/>
    <w:rsid w:val="00D72664"/>
    <w:rsid w:val="00D72728"/>
    <w:rsid w:val="00D72730"/>
    <w:rsid w:val="00D72751"/>
    <w:rsid w:val="00D727A2"/>
    <w:rsid w:val="00D7286B"/>
    <w:rsid w:val="00D728EA"/>
    <w:rsid w:val="00D728F2"/>
    <w:rsid w:val="00D72912"/>
    <w:rsid w:val="00D72916"/>
    <w:rsid w:val="00D7295B"/>
    <w:rsid w:val="00D729D4"/>
    <w:rsid w:val="00D729DC"/>
    <w:rsid w:val="00D729DE"/>
    <w:rsid w:val="00D72A6C"/>
    <w:rsid w:val="00D72A84"/>
    <w:rsid w:val="00D72AC1"/>
    <w:rsid w:val="00D72B4C"/>
    <w:rsid w:val="00D72B77"/>
    <w:rsid w:val="00D72BAA"/>
    <w:rsid w:val="00D72BB5"/>
    <w:rsid w:val="00D72BF3"/>
    <w:rsid w:val="00D72BFE"/>
    <w:rsid w:val="00D72D21"/>
    <w:rsid w:val="00D72E40"/>
    <w:rsid w:val="00D72E6D"/>
    <w:rsid w:val="00D72F39"/>
    <w:rsid w:val="00D72FAC"/>
    <w:rsid w:val="00D73017"/>
    <w:rsid w:val="00D73028"/>
    <w:rsid w:val="00D730A0"/>
    <w:rsid w:val="00D73103"/>
    <w:rsid w:val="00D731A5"/>
    <w:rsid w:val="00D731D0"/>
    <w:rsid w:val="00D7326A"/>
    <w:rsid w:val="00D732D1"/>
    <w:rsid w:val="00D732FF"/>
    <w:rsid w:val="00D73319"/>
    <w:rsid w:val="00D7331B"/>
    <w:rsid w:val="00D73395"/>
    <w:rsid w:val="00D7339A"/>
    <w:rsid w:val="00D73424"/>
    <w:rsid w:val="00D7344B"/>
    <w:rsid w:val="00D73451"/>
    <w:rsid w:val="00D73474"/>
    <w:rsid w:val="00D734C0"/>
    <w:rsid w:val="00D734F4"/>
    <w:rsid w:val="00D734FE"/>
    <w:rsid w:val="00D73568"/>
    <w:rsid w:val="00D735CB"/>
    <w:rsid w:val="00D735F5"/>
    <w:rsid w:val="00D73650"/>
    <w:rsid w:val="00D73683"/>
    <w:rsid w:val="00D7369D"/>
    <w:rsid w:val="00D73727"/>
    <w:rsid w:val="00D7375E"/>
    <w:rsid w:val="00D73770"/>
    <w:rsid w:val="00D7377F"/>
    <w:rsid w:val="00D7378E"/>
    <w:rsid w:val="00D737ED"/>
    <w:rsid w:val="00D7382C"/>
    <w:rsid w:val="00D73875"/>
    <w:rsid w:val="00D7388D"/>
    <w:rsid w:val="00D73898"/>
    <w:rsid w:val="00D738A7"/>
    <w:rsid w:val="00D738D1"/>
    <w:rsid w:val="00D738D6"/>
    <w:rsid w:val="00D7390A"/>
    <w:rsid w:val="00D73924"/>
    <w:rsid w:val="00D7392A"/>
    <w:rsid w:val="00D73941"/>
    <w:rsid w:val="00D7399D"/>
    <w:rsid w:val="00D739C4"/>
    <w:rsid w:val="00D73A62"/>
    <w:rsid w:val="00D73AFB"/>
    <w:rsid w:val="00D73B04"/>
    <w:rsid w:val="00D73B09"/>
    <w:rsid w:val="00D73B36"/>
    <w:rsid w:val="00D73B6D"/>
    <w:rsid w:val="00D73B74"/>
    <w:rsid w:val="00D73BD7"/>
    <w:rsid w:val="00D73BF5"/>
    <w:rsid w:val="00D73C11"/>
    <w:rsid w:val="00D73C8E"/>
    <w:rsid w:val="00D73DA0"/>
    <w:rsid w:val="00D73DC2"/>
    <w:rsid w:val="00D73DEC"/>
    <w:rsid w:val="00D73EAA"/>
    <w:rsid w:val="00D73ED7"/>
    <w:rsid w:val="00D73F1F"/>
    <w:rsid w:val="00D7400C"/>
    <w:rsid w:val="00D740F8"/>
    <w:rsid w:val="00D74132"/>
    <w:rsid w:val="00D741CA"/>
    <w:rsid w:val="00D74277"/>
    <w:rsid w:val="00D74283"/>
    <w:rsid w:val="00D742DC"/>
    <w:rsid w:val="00D742FB"/>
    <w:rsid w:val="00D7430C"/>
    <w:rsid w:val="00D7432F"/>
    <w:rsid w:val="00D743D7"/>
    <w:rsid w:val="00D74400"/>
    <w:rsid w:val="00D74468"/>
    <w:rsid w:val="00D74473"/>
    <w:rsid w:val="00D7447C"/>
    <w:rsid w:val="00D7457E"/>
    <w:rsid w:val="00D74638"/>
    <w:rsid w:val="00D7479B"/>
    <w:rsid w:val="00D747C3"/>
    <w:rsid w:val="00D747D6"/>
    <w:rsid w:val="00D747D9"/>
    <w:rsid w:val="00D7483D"/>
    <w:rsid w:val="00D74847"/>
    <w:rsid w:val="00D7486D"/>
    <w:rsid w:val="00D74887"/>
    <w:rsid w:val="00D748E2"/>
    <w:rsid w:val="00D74947"/>
    <w:rsid w:val="00D7495A"/>
    <w:rsid w:val="00D7495B"/>
    <w:rsid w:val="00D74965"/>
    <w:rsid w:val="00D74986"/>
    <w:rsid w:val="00D749FA"/>
    <w:rsid w:val="00D74A05"/>
    <w:rsid w:val="00D74A22"/>
    <w:rsid w:val="00D74A4C"/>
    <w:rsid w:val="00D74A57"/>
    <w:rsid w:val="00D74A81"/>
    <w:rsid w:val="00D74A9E"/>
    <w:rsid w:val="00D74B0F"/>
    <w:rsid w:val="00D74B50"/>
    <w:rsid w:val="00D74B71"/>
    <w:rsid w:val="00D74B90"/>
    <w:rsid w:val="00D74C0B"/>
    <w:rsid w:val="00D74C1A"/>
    <w:rsid w:val="00D74C51"/>
    <w:rsid w:val="00D74C8E"/>
    <w:rsid w:val="00D74CA9"/>
    <w:rsid w:val="00D74CC6"/>
    <w:rsid w:val="00D74CC7"/>
    <w:rsid w:val="00D74D13"/>
    <w:rsid w:val="00D74D84"/>
    <w:rsid w:val="00D74E4A"/>
    <w:rsid w:val="00D74E58"/>
    <w:rsid w:val="00D74E5A"/>
    <w:rsid w:val="00D74E6B"/>
    <w:rsid w:val="00D74EFC"/>
    <w:rsid w:val="00D74F26"/>
    <w:rsid w:val="00D74FA4"/>
    <w:rsid w:val="00D74FDD"/>
    <w:rsid w:val="00D74FF4"/>
    <w:rsid w:val="00D75035"/>
    <w:rsid w:val="00D7508D"/>
    <w:rsid w:val="00D750BD"/>
    <w:rsid w:val="00D750DC"/>
    <w:rsid w:val="00D75124"/>
    <w:rsid w:val="00D75134"/>
    <w:rsid w:val="00D7521A"/>
    <w:rsid w:val="00D75274"/>
    <w:rsid w:val="00D752A1"/>
    <w:rsid w:val="00D752E8"/>
    <w:rsid w:val="00D75365"/>
    <w:rsid w:val="00D753BC"/>
    <w:rsid w:val="00D753D6"/>
    <w:rsid w:val="00D753E9"/>
    <w:rsid w:val="00D753F6"/>
    <w:rsid w:val="00D753FC"/>
    <w:rsid w:val="00D7541C"/>
    <w:rsid w:val="00D754BA"/>
    <w:rsid w:val="00D7551D"/>
    <w:rsid w:val="00D755E4"/>
    <w:rsid w:val="00D755E9"/>
    <w:rsid w:val="00D7566F"/>
    <w:rsid w:val="00D756DD"/>
    <w:rsid w:val="00D756E2"/>
    <w:rsid w:val="00D7580F"/>
    <w:rsid w:val="00D75845"/>
    <w:rsid w:val="00D758A7"/>
    <w:rsid w:val="00D7592C"/>
    <w:rsid w:val="00D75932"/>
    <w:rsid w:val="00D75962"/>
    <w:rsid w:val="00D7596F"/>
    <w:rsid w:val="00D75A41"/>
    <w:rsid w:val="00D75A59"/>
    <w:rsid w:val="00D75A5D"/>
    <w:rsid w:val="00D75A70"/>
    <w:rsid w:val="00D75A95"/>
    <w:rsid w:val="00D75AA6"/>
    <w:rsid w:val="00D75AAA"/>
    <w:rsid w:val="00D75AAF"/>
    <w:rsid w:val="00D75B0D"/>
    <w:rsid w:val="00D75B12"/>
    <w:rsid w:val="00D75B75"/>
    <w:rsid w:val="00D75BB8"/>
    <w:rsid w:val="00D75BDA"/>
    <w:rsid w:val="00D75BDD"/>
    <w:rsid w:val="00D75C57"/>
    <w:rsid w:val="00D75CB7"/>
    <w:rsid w:val="00D75CC2"/>
    <w:rsid w:val="00D75D81"/>
    <w:rsid w:val="00D75E47"/>
    <w:rsid w:val="00D75EB5"/>
    <w:rsid w:val="00D75F38"/>
    <w:rsid w:val="00D75FD3"/>
    <w:rsid w:val="00D75FF7"/>
    <w:rsid w:val="00D75FFD"/>
    <w:rsid w:val="00D76008"/>
    <w:rsid w:val="00D76072"/>
    <w:rsid w:val="00D76085"/>
    <w:rsid w:val="00D7608F"/>
    <w:rsid w:val="00D76096"/>
    <w:rsid w:val="00D760B0"/>
    <w:rsid w:val="00D760BE"/>
    <w:rsid w:val="00D7611C"/>
    <w:rsid w:val="00D76179"/>
    <w:rsid w:val="00D7620D"/>
    <w:rsid w:val="00D76248"/>
    <w:rsid w:val="00D76257"/>
    <w:rsid w:val="00D76274"/>
    <w:rsid w:val="00D7627C"/>
    <w:rsid w:val="00D762E8"/>
    <w:rsid w:val="00D762EA"/>
    <w:rsid w:val="00D7634F"/>
    <w:rsid w:val="00D7635A"/>
    <w:rsid w:val="00D76362"/>
    <w:rsid w:val="00D763CF"/>
    <w:rsid w:val="00D7641D"/>
    <w:rsid w:val="00D76442"/>
    <w:rsid w:val="00D76499"/>
    <w:rsid w:val="00D76500"/>
    <w:rsid w:val="00D7657D"/>
    <w:rsid w:val="00D76587"/>
    <w:rsid w:val="00D76612"/>
    <w:rsid w:val="00D7667A"/>
    <w:rsid w:val="00D766A8"/>
    <w:rsid w:val="00D766D9"/>
    <w:rsid w:val="00D766DB"/>
    <w:rsid w:val="00D766E6"/>
    <w:rsid w:val="00D766F2"/>
    <w:rsid w:val="00D7672E"/>
    <w:rsid w:val="00D76743"/>
    <w:rsid w:val="00D7675E"/>
    <w:rsid w:val="00D7677B"/>
    <w:rsid w:val="00D7678F"/>
    <w:rsid w:val="00D767AC"/>
    <w:rsid w:val="00D76810"/>
    <w:rsid w:val="00D76910"/>
    <w:rsid w:val="00D76930"/>
    <w:rsid w:val="00D769A6"/>
    <w:rsid w:val="00D769BA"/>
    <w:rsid w:val="00D769D7"/>
    <w:rsid w:val="00D76A56"/>
    <w:rsid w:val="00D76ACD"/>
    <w:rsid w:val="00D76AEF"/>
    <w:rsid w:val="00D76B50"/>
    <w:rsid w:val="00D76C1D"/>
    <w:rsid w:val="00D76C22"/>
    <w:rsid w:val="00D76C4D"/>
    <w:rsid w:val="00D76C69"/>
    <w:rsid w:val="00D76C92"/>
    <w:rsid w:val="00D76C9E"/>
    <w:rsid w:val="00D76CB1"/>
    <w:rsid w:val="00D76CB9"/>
    <w:rsid w:val="00D76CCE"/>
    <w:rsid w:val="00D76CE0"/>
    <w:rsid w:val="00D76CFD"/>
    <w:rsid w:val="00D76D33"/>
    <w:rsid w:val="00D76D91"/>
    <w:rsid w:val="00D76E0E"/>
    <w:rsid w:val="00D76E1F"/>
    <w:rsid w:val="00D76E56"/>
    <w:rsid w:val="00D76E65"/>
    <w:rsid w:val="00D76E9D"/>
    <w:rsid w:val="00D76EB6"/>
    <w:rsid w:val="00D76EE1"/>
    <w:rsid w:val="00D76F1B"/>
    <w:rsid w:val="00D76F32"/>
    <w:rsid w:val="00D76F59"/>
    <w:rsid w:val="00D76F8B"/>
    <w:rsid w:val="00D76FAD"/>
    <w:rsid w:val="00D7701C"/>
    <w:rsid w:val="00D7702C"/>
    <w:rsid w:val="00D77056"/>
    <w:rsid w:val="00D7708D"/>
    <w:rsid w:val="00D770D6"/>
    <w:rsid w:val="00D77116"/>
    <w:rsid w:val="00D771BA"/>
    <w:rsid w:val="00D771D9"/>
    <w:rsid w:val="00D771FC"/>
    <w:rsid w:val="00D77200"/>
    <w:rsid w:val="00D77204"/>
    <w:rsid w:val="00D77241"/>
    <w:rsid w:val="00D77255"/>
    <w:rsid w:val="00D7725E"/>
    <w:rsid w:val="00D772BD"/>
    <w:rsid w:val="00D772E1"/>
    <w:rsid w:val="00D7736E"/>
    <w:rsid w:val="00D7737C"/>
    <w:rsid w:val="00D77389"/>
    <w:rsid w:val="00D773AE"/>
    <w:rsid w:val="00D773B4"/>
    <w:rsid w:val="00D773F7"/>
    <w:rsid w:val="00D773FC"/>
    <w:rsid w:val="00D77401"/>
    <w:rsid w:val="00D7746B"/>
    <w:rsid w:val="00D77470"/>
    <w:rsid w:val="00D7747B"/>
    <w:rsid w:val="00D7750F"/>
    <w:rsid w:val="00D775CA"/>
    <w:rsid w:val="00D775FC"/>
    <w:rsid w:val="00D7762E"/>
    <w:rsid w:val="00D776D7"/>
    <w:rsid w:val="00D776FC"/>
    <w:rsid w:val="00D77778"/>
    <w:rsid w:val="00D77795"/>
    <w:rsid w:val="00D777DC"/>
    <w:rsid w:val="00D777F6"/>
    <w:rsid w:val="00D777FE"/>
    <w:rsid w:val="00D77896"/>
    <w:rsid w:val="00D778F1"/>
    <w:rsid w:val="00D7790E"/>
    <w:rsid w:val="00D77930"/>
    <w:rsid w:val="00D7797F"/>
    <w:rsid w:val="00D779A7"/>
    <w:rsid w:val="00D779BE"/>
    <w:rsid w:val="00D77AB1"/>
    <w:rsid w:val="00D77ACF"/>
    <w:rsid w:val="00D77B1D"/>
    <w:rsid w:val="00D77B4A"/>
    <w:rsid w:val="00D77B87"/>
    <w:rsid w:val="00D77BB5"/>
    <w:rsid w:val="00D77BB9"/>
    <w:rsid w:val="00D77BEA"/>
    <w:rsid w:val="00D77CC7"/>
    <w:rsid w:val="00D77D1B"/>
    <w:rsid w:val="00D77D34"/>
    <w:rsid w:val="00D77D39"/>
    <w:rsid w:val="00D77D42"/>
    <w:rsid w:val="00D77D57"/>
    <w:rsid w:val="00D77D62"/>
    <w:rsid w:val="00D77E31"/>
    <w:rsid w:val="00D77E56"/>
    <w:rsid w:val="00D77E96"/>
    <w:rsid w:val="00D77EDE"/>
    <w:rsid w:val="00D77F02"/>
    <w:rsid w:val="00D77F1D"/>
    <w:rsid w:val="00D77FD6"/>
    <w:rsid w:val="00D77FE1"/>
    <w:rsid w:val="00D8006D"/>
    <w:rsid w:val="00D80082"/>
    <w:rsid w:val="00D8008B"/>
    <w:rsid w:val="00D8009D"/>
    <w:rsid w:val="00D800A9"/>
    <w:rsid w:val="00D800CE"/>
    <w:rsid w:val="00D800E9"/>
    <w:rsid w:val="00D800FE"/>
    <w:rsid w:val="00D801ED"/>
    <w:rsid w:val="00D8025C"/>
    <w:rsid w:val="00D80294"/>
    <w:rsid w:val="00D802B0"/>
    <w:rsid w:val="00D80313"/>
    <w:rsid w:val="00D8039A"/>
    <w:rsid w:val="00D8039F"/>
    <w:rsid w:val="00D803CB"/>
    <w:rsid w:val="00D803FE"/>
    <w:rsid w:val="00D80426"/>
    <w:rsid w:val="00D80427"/>
    <w:rsid w:val="00D804A7"/>
    <w:rsid w:val="00D804EC"/>
    <w:rsid w:val="00D804FE"/>
    <w:rsid w:val="00D80516"/>
    <w:rsid w:val="00D80541"/>
    <w:rsid w:val="00D80558"/>
    <w:rsid w:val="00D805CF"/>
    <w:rsid w:val="00D8061B"/>
    <w:rsid w:val="00D80632"/>
    <w:rsid w:val="00D80676"/>
    <w:rsid w:val="00D806C4"/>
    <w:rsid w:val="00D807DB"/>
    <w:rsid w:val="00D80889"/>
    <w:rsid w:val="00D8093D"/>
    <w:rsid w:val="00D8097B"/>
    <w:rsid w:val="00D8099E"/>
    <w:rsid w:val="00D80A12"/>
    <w:rsid w:val="00D80A2A"/>
    <w:rsid w:val="00D80A9B"/>
    <w:rsid w:val="00D80B35"/>
    <w:rsid w:val="00D80B7B"/>
    <w:rsid w:val="00D80C3A"/>
    <w:rsid w:val="00D80C3B"/>
    <w:rsid w:val="00D80C8F"/>
    <w:rsid w:val="00D80C96"/>
    <w:rsid w:val="00D80CAC"/>
    <w:rsid w:val="00D80CFD"/>
    <w:rsid w:val="00D80E03"/>
    <w:rsid w:val="00D80E17"/>
    <w:rsid w:val="00D80E2C"/>
    <w:rsid w:val="00D80E81"/>
    <w:rsid w:val="00D80EDC"/>
    <w:rsid w:val="00D80EFB"/>
    <w:rsid w:val="00D80FE2"/>
    <w:rsid w:val="00D8111C"/>
    <w:rsid w:val="00D81150"/>
    <w:rsid w:val="00D811B9"/>
    <w:rsid w:val="00D811C7"/>
    <w:rsid w:val="00D811E1"/>
    <w:rsid w:val="00D81209"/>
    <w:rsid w:val="00D81266"/>
    <w:rsid w:val="00D81285"/>
    <w:rsid w:val="00D812D0"/>
    <w:rsid w:val="00D81310"/>
    <w:rsid w:val="00D8131E"/>
    <w:rsid w:val="00D81325"/>
    <w:rsid w:val="00D81361"/>
    <w:rsid w:val="00D81369"/>
    <w:rsid w:val="00D813F3"/>
    <w:rsid w:val="00D8141B"/>
    <w:rsid w:val="00D8144C"/>
    <w:rsid w:val="00D8146C"/>
    <w:rsid w:val="00D81492"/>
    <w:rsid w:val="00D814A4"/>
    <w:rsid w:val="00D81553"/>
    <w:rsid w:val="00D8158E"/>
    <w:rsid w:val="00D81593"/>
    <w:rsid w:val="00D815BF"/>
    <w:rsid w:val="00D815C9"/>
    <w:rsid w:val="00D815EC"/>
    <w:rsid w:val="00D815FD"/>
    <w:rsid w:val="00D81680"/>
    <w:rsid w:val="00D81690"/>
    <w:rsid w:val="00D816A2"/>
    <w:rsid w:val="00D816CC"/>
    <w:rsid w:val="00D81709"/>
    <w:rsid w:val="00D81773"/>
    <w:rsid w:val="00D817CA"/>
    <w:rsid w:val="00D817E1"/>
    <w:rsid w:val="00D817F2"/>
    <w:rsid w:val="00D8186D"/>
    <w:rsid w:val="00D8186F"/>
    <w:rsid w:val="00D818BD"/>
    <w:rsid w:val="00D81994"/>
    <w:rsid w:val="00D819B4"/>
    <w:rsid w:val="00D819F0"/>
    <w:rsid w:val="00D81A28"/>
    <w:rsid w:val="00D81A29"/>
    <w:rsid w:val="00D81A2B"/>
    <w:rsid w:val="00D81A54"/>
    <w:rsid w:val="00D81AC9"/>
    <w:rsid w:val="00D81AFB"/>
    <w:rsid w:val="00D81AFC"/>
    <w:rsid w:val="00D81B0B"/>
    <w:rsid w:val="00D81B57"/>
    <w:rsid w:val="00D81B84"/>
    <w:rsid w:val="00D81B8E"/>
    <w:rsid w:val="00D81BD7"/>
    <w:rsid w:val="00D81BD9"/>
    <w:rsid w:val="00D81C04"/>
    <w:rsid w:val="00D81CB4"/>
    <w:rsid w:val="00D81D21"/>
    <w:rsid w:val="00D81DC1"/>
    <w:rsid w:val="00D81E26"/>
    <w:rsid w:val="00D81EBE"/>
    <w:rsid w:val="00D81EEA"/>
    <w:rsid w:val="00D81F0F"/>
    <w:rsid w:val="00D81F83"/>
    <w:rsid w:val="00D8201A"/>
    <w:rsid w:val="00D8211A"/>
    <w:rsid w:val="00D82143"/>
    <w:rsid w:val="00D82172"/>
    <w:rsid w:val="00D82176"/>
    <w:rsid w:val="00D821D0"/>
    <w:rsid w:val="00D8227E"/>
    <w:rsid w:val="00D822C8"/>
    <w:rsid w:val="00D822FA"/>
    <w:rsid w:val="00D8230A"/>
    <w:rsid w:val="00D823BA"/>
    <w:rsid w:val="00D823DA"/>
    <w:rsid w:val="00D8241F"/>
    <w:rsid w:val="00D82445"/>
    <w:rsid w:val="00D82499"/>
    <w:rsid w:val="00D824BC"/>
    <w:rsid w:val="00D824E6"/>
    <w:rsid w:val="00D82534"/>
    <w:rsid w:val="00D825BF"/>
    <w:rsid w:val="00D825E1"/>
    <w:rsid w:val="00D8263C"/>
    <w:rsid w:val="00D8265B"/>
    <w:rsid w:val="00D82698"/>
    <w:rsid w:val="00D826A1"/>
    <w:rsid w:val="00D8272B"/>
    <w:rsid w:val="00D827C0"/>
    <w:rsid w:val="00D82815"/>
    <w:rsid w:val="00D8282E"/>
    <w:rsid w:val="00D8288A"/>
    <w:rsid w:val="00D8290B"/>
    <w:rsid w:val="00D8290D"/>
    <w:rsid w:val="00D82998"/>
    <w:rsid w:val="00D829FF"/>
    <w:rsid w:val="00D82B55"/>
    <w:rsid w:val="00D82BB7"/>
    <w:rsid w:val="00D82BEF"/>
    <w:rsid w:val="00D82BF1"/>
    <w:rsid w:val="00D82C22"/>
    <w:rsid w:val="00D82C92"/>
    <w:rsid w:val="00D82C99"/>
    <w:rsid w:val="00D82CA5"/>
    <w:rsid w:val="00D82CA9"/>
    <w:rsid w:val="00D82CB5"/>
    <w:rsid w:val="00D82CF5"/>
    <w:rsid w:val="00D82D54"/>
    <w:rsid w:val="00D82D65"/>
    <w:rsid w:val="00D82DB7"/>
    <w:rsid w:val="00D82E6B"/>
    <w:rsid w:val="00D82E7E"/>
    <w:rsid w:val="00D82F35"/>
    <w:rsid w:val="00D82FB3"/>
    <w:rsid w:val="00D82FCF"/>
    <w:rsid w:val="00D82FD5"/>
    <w:rsid w:val="00D82FDE"/>
    <w:rsid w:val="00D82FFA"/>
    <w:rsid w:val="00D83008"/>
    <w:rsid w:val="00D830E0"/>
    <w:rsid w:val="00D830EB"/>
    <w:rsid w:val="00D83112"/>
    <w:rsid w:val="00D83140"/>
    <w:rsid w:val="00D83166"/>
    <w:rsid w:val="00D831A4"/>
    <w:rsid w:val="00D831CD"/>
    <w:rsid w:val="00D831DC"/>
    <w:rsid w:val="00D83207"/>
    <w:rsid w:val="00D83257"/>
    <w:rsid w:val="00D832D4"/>
    <w:rsid w:val="00D8336F"/>
    <w:rsid w:val="00D83380"/>
    <w:rsid w:val="00D83385"/>
    <w:rsid w:val="00D8338B"/>
    <w:rsid w:val="00D83393"/>
    <w:rsid w:val="00D83426"/>
    <w:rsid w:val="00D83499"/>
    <w:rsid w:val="00D83536"/>
    <w:rsid w:val="00D835C4"/>
    <w:rsid w:val="00D835D5"/>
    <w:rsid w:val="00D835E3"/>
    <w:rsid w:val="00D835FE"/>
    <w:rsid w:val="00D83677"/>
    <w:rsid w:val="00D8367D"/>
    <w:rsid w:val="00D8379D"/>
    <w:rsid w:val="00D83839"/>
    <w:rsid w:val="00D83846"/>
    <w:rsid w:val="00D83856"/>
    <w:rsid w:val="00D8388B"/>
    <w:rsid w:val="00D838F4"/>
    <w:rsid w:val="00D838F6"/>
    <w:rsid w:val="00D8394E"/>
    <w:rsid w:val="00D8399C"/>
    <w:rsid w:val="00D83A7D"/>
    <w:rsid w:val="00D83AB8"/>
    <w:rsid w:val="00D83ABA"/>
    <w:rsid w:val="00D83AEA"/>
    <w:rsid w:val="00D83B40"/>
    <w:rsid w:val="00D83B47"/>
    <w:rsid w:val="00D83C07"/>
    <w:rsid w:val="00D83C0E"/>
    <w:rsid w:val="00D83C16"/>
    <w:rsid w:val="00D83C1D"/>
    <w:rsid w:val="00D83C46"/>
    <w:rsid w:val="00D83C7F"/>
    <w:rsid w:val="00D83C95"/>
    <w:rsid w:val="00D83CDD"/>
    <w:rsid w:val="00D83CE6"/>
    <w:rsid w:val="00D83CEB"/>
    <w:rsid w:val="00D83D40"/>
    <w:rsid w:val="00D83D51"/>
    <w:rsid w:val="00D83DAC"/>
    <w:rsid w:val="00D83E21"/>
    <w:rsid w:val="00D83E3F"/>
    <w:rsid w:val="00D83E83"/>
    <w:rsid w:val="00D83EA1"/>
    <w:rsid w:val="00D83F00"/>
    <w:rsid w:val="00D83F74"/>
    <w:rsid w:val="00D8403E"/>
    <w:rsid w:val="00D840BE"/>
    <w:rsid w:val="00D8418E"/>
    <w:rsid w:val="00D84192"/>
    <w:rsid w:val="00D84256"/>
    <w:rsid w:val="00D84272"/>
    <w:rsid w:val="00D84287"/>
    <w:rsid w:val="00D842CB"/>
    <w:rsid w:val="00D84314"/>
    <w:rsid w:val="00D84325"/>
    <w:rsid w:val="00D84334"/>
    <w:rsid w:val="00D84362"/>
    <w:rsid w:val="00D84386"/>
    <w:rsid w:val="00D843B8"/>
    <w:rsid w:val="00D843D3"/>
    <w:rsid w:val="00D843DC"/>
    <w:rsid w:val="00D84435"/>
    <w:rsid w:val="00D8446A"/>
    <w:rsid w:val="00D844EA"/>
    <w:rsid w:val="00D8450D"/>
    <w:rsid w:val="00D8451B"/>
    <w:rsid w:val="00D8451C"/>
    <w:rsid w:val="00D84547"/>
    <w:rsid w:val="00D84559"/>
    <w:rsid w:val="00D8459E"/>
    <w:rsid w:val="00D845B6"/>
    <w:rsid w:val="00D845C5"/>
    <w:rsid w:val="00D845D8"/>
    <w:rsid w:val="00D84613"/>
    <w:rsid w:val="00D84628"/>
    <w:rsid w:val="00D84636"/>
    <w:rsid w:val="00D84659"/>
    <w:rsid w:val="00D8466C"/>
    <w:rsid w:val="00D846F6"/>
    <w:rsid w:val="00D84735"/>
    <w:rsid w:val="00D84774"/>
    <w:rsid w:val="00D84795"/>
    <w:rsid w:val="00D847C1"/>
    <w:rsid w:val="00D84818"/>
    <w:rsid w:val="00D8481C"/>
    <w:rsid w:val="00D84939"/>
    <w:rsid w:val="00D849D3"/>
    <w:rsid w:val="00D849FF"/>
    <w:rsid w:val="00D84A2E"/>
    <w:rsid w:val="00D84A49"/>
    <w:rsid w:val="00D84A63"/>
    <w:rsid w:val="00D84AA0"/>
    <w:rsid w:val="00D84AE2"/>
    <w:rsid w:val="00D84AE6"/>
    <w:rsid w:val="00D84B37"/>
    <w:rsid w:val="00D84B78"/>
    <w:rsid w:val="00D84B87"/>
    <w:rsid w:val="00D84B91"/>
    <w:rsid w:val="00D84C0A"/>
    <w:rsid w:val="00D84C58"/>
    <w:rsid w:val="00D84CC7"/>
    <w:rsid w:val="00D84CFC"/>
    <w:rsid w:val="00D84CFE"/>
    <w:rsid w:val="00D84D12"/>
    <w:rsid w:val="00D84D37"/>
    <w:rsid w:val="00D84D7F"/>
    <w:rsid w:val="00D84DEF"/>
    <w:rsid w:val="00D84E09"/>
    <w:rsid w:val="00D84E1D"/>
    <w:rsid w:val="00D84E73"/>
    <w:rsid w:val="00D84EDF"/>
    <w:rsid w:val="00D84F75"/>
    <w:rsid w:val="00D84F9B"/>
    <w:rsid w:val="00D84FCE"/>
    <w:rsid w:val="00D8502B"/>
    <w:rsid w:val="00D8506B"/>
    <w:rsid w:val="00D8509B"/>
    <w:rsid w:val="00D850B6"/>
    <w:rsid w:val="00D850E2"/>
    <w:rsid w:val="00D8512C"/>
    <w:rsid w:val="00D85137"/>
    <w:rsid w:val="00D8517B"/>
    <w:rsid w:val="00D851E9"/>
    <w:rsid w:val="00D8520D"/>
    <w:rsid w:val="00D85222"/>
    <w:rsid w:val="00D85246"/>
    <w:rsid w:val="00D85255"/>
    <w:rsid w:val="00D85270"/>
    <w:rsid w:val="00D8528D"/>
    <w:rsid w:val="00D85291"/>
    <w:rsid w:val="00D852C2"/>
    <w:rsid w:val="00D852E3"/>
    <w:rsid w:val="00D85324"/>
    <w:rsid w:val="00D853B1"/>
    <w:rsid w:val="00D85472"/>
    <w:rsid w:val="00D85528"/>
    <w:rsid w:val="00D855E9"/>
    <w:rsid w:val="00D855FB"/>
    <w:rsid w:val="00D85625"/>
    <w:rsid w:val="00D8566C"/>
    <w:rsid w:val="00D856B9"/>
    <w:rsid w:val="00D85731"/>
    <w:rsid w:val="00D857B8"/>
    <w:rsid w:val="00D85845"/>
    <w:rsid w:val="00D85852"/>
    <w:rsid w:val="00D85904"/>
    <w:rsid w:val="00D85947"/>
    <w:rsid w:val="00D85991"/>
    <w:rsid w:val="00D85A23"/>
    <w:rsid w:val="00D85A27"/>
    <w:rsid w:val="00D85A6A"/>
    <w:rsid w:val="00D85AD8"/>
    <w:rsid w:val="00D85B07"/>
    <w:rsid w:val="00D85B2F"/>
    <w:rsid w:val="00D85B53"/>
    <w:rsid w:val="00D85B66"/>
    <w:rsid w:val="00D85B86"/>
    <w:rsid w:val="00D85BC5"/>
    <w:rsid w:val="00D85BF9"/>
    <w:rsid w:val="00D85C99"/>
    <w:rsid w:val="00D85CE2"/>
    <w:rsid w:val="00D85D15"/>
    <w:rsid w:val="00D85D85"/>
    <w:rsid w:val="00D85DD8"/>
    <w:rsid w:val="00D85DF3"/>
    <w:rsid w:val="00D85E88"/>
    <w:rsid w:val="00D85E9A"/>
    <w:rsid w:val="00D85F5A"/>
    <w:rsid w:val="00D85FA3"/>
    <w:rsid w:val="00D86033"/>
    <w:rsid w:val="00D86037"/>
    <w:rsid w:val="00D86069"/>
    <w:rsid w:val="00D86071"/>
    <w:rsid w:val="00D860C4"/>
    <w:rsid w:val="00D860CF"/>
    <w:rsid w:val="00D860FD"/>
    <w:rsid w:val="00D86103"/>
    <w:rsid w:val="00D86119"/>
    <w:rsid w:val="00D86121"/>
    <w:rsid w:val="00D8615E"/>
    <w:rsid w:val="00D8618F"/>
    <w:rsid w:val="00D861CD"/>
    <w:rsid w:val="00D86302"/>
    <w:rsid w:val="00D86316"/>
    <w:rsid w:val="00D86337"/>
    <w:rsid w:val="00D86357"/>
    <w:rsid w:val="00D86362"/>
    <w:rsid w:val="00D863B2"/>
    <w:rsid w:val="00D863EC"/>
    <w:rsid w:val="00D863EF"/>
    <w:rsid w:val="00D86424"/>
    <w:rsid w:val="00D864B6"/>
    <w:rsid w:val="00D86519"/>
    <w:rsid w:val="00D86546"/>
    <w:rsid w:val="00D865DB"/>
    <w:rsid w:val="00D8660A"/>
    <w:rsid w:val="00D86611"/>
    <w:rsid w:val="00D8661E"/>
    <w:rsid w:val="00D8664A"/>
    <w:rsid w:val="00D86678"/>
    <w:rsid w:val="00D8667D"/>
    <w:rsid w:val="00D8667E"/>
    <w:rsid w:val="00D8668B"/>
    <w:rsid w:val="00D866AB"/>
    <w:rsid w:val="00D86785"/>
    <w:rsid w:val="00D8679B"/>
    <w:rsid w:val="00D8685D"/>
    <w:rsid w:val="00D86872"/>
    <w:rsid w:val="00D868A4"/>
    <w:rsid w:val="00D868C2"/>
    <w:rsid w:val="00D86A30"/>
    <w:rsid w:val="00D86A34"/>
    <w:rsid w:val="00D86A8A"/>
    <w:rsid w:val="00D86AA2"/>
    <w:rsid w:val="00D86B1C"/>
    <w:rsid w:val="00D86BA5"/>
    <w:rsid w:val="00D86BC1"/>
    <w:rsid w:val="00D86C78"/>
    <w:rsid w:val="00D86C7F"/>
    <w:rsid w:val="00D86CB9"/>
    <w:rsid w:val="00D86CCE"/>
    <w:rsid w:val="00D86D52"/>
    <w:rsid w:val="00D86D70"/>
    <w:rsid w:val="00D86D89"/>
    <w:rsid w:val="00D86D92"/>
    <w:rsid w:val="00D86E1D"/>
    <w:rsid w:val="00D86E3A"/>
    <w:rsid w:val="00D86E5F"/>
    <w:rsid w:val="00D86EC6"/>
    <w:rsid w:val="00D86EC7"/>
    <w:rsid w:val="00D86F3A"/>
    <w:rsid w:val="00D86F41"/>
    <w:rsid w:val="00D86F96"/>
    <w:rsid w:val="00D87077"/>
    <w:rsid w:val="00D870E8"/>
    <w:rsid w:val="00D87139"/>
    <w:rsid w:val="00D8714D"/>
    <w:rsid w:val="00D871A3"/>
    <w:rsid w:val="00D8722A"/>
    <w:rsid w:val="00D87261"/>
    <w:rsid w:val="00D87271"/>
    <w:rsid w:val="00D872D2"/>
    <w:rsid w:val="00D872ED"/>
    <w:rsid w:val="00D872EE"/>
    <w:rsid w:val="00D87314"/>
    <w:rsid w:val="00D87359"/>
    <w:rsid w:val="00D8740B"/>
    <w:rsid w:val="00D87487"/>
    <w:rsid w:val="00D874B8"/>
    <w:rsid w:val="00D874C4"/>
    <w:rsid w:val="00D874F7"/>
    <w:rsid w:val="00D87506"/>
    <w:rsid w:val="00D87558"/>
    <w:rsid w:val="00D8758F"/>
    <w:rsid w:val="00D875A8"/>
    <w:rsid w:val="00D875E8"/>
    <w:rsid w:val="00D8760C"/>
    <w:rsid w:val="00D87635"/>
    <w:rsid w:val="00D8767A"/>
    <w:rsid w:val="00D876CC"/>
    <w:rsid w:val="00D876E9"/>
    <w:rsid w:val="00D87776"/>
    <w:rsid w:val="00D877FE"/>
    <w:rsid w:val="00D8782C"/>
    <w:rsid w:val="00D87830"/>
    <w:rsid w:val="00D87901"/>
    <w:rsid w:val="00D87935"/>
    <w:rsid w:val="00D8796B"/>
    <w:rsid w:val="00D87977"/>
    <w:rsid w:val="00D879C0"/>
    <w:rsid w:val="00D87A4B"/>
    <w:rsid w:val="00D87A9C"/>
    <w:rsid w:val="00D87AA0"/>
    <w:rsid w:val="00D87AD7"/>
    <w:rsid w:val="00D87BD4"/>
    <w:rsid w:val="00D87BDE"/>
    <w:rsid w:val="00D87C95"/>
    <w:rsid w:val="00D87CAE"/>
    <w:rsid w:val="00D87D5D"/>
    <w:rsid w:val="00D87D7C"/>
    <w:rsid w:val="00D87D88"/>
    <w:rsid w:val="00D87D98"/>
    <w:rsid w:val="00D87D9F"/>
    <w:rsid w:val="00D87DAD"/>
    <w:rsid w:val="00D87E38"/>
    <w:rsid w:val="00D87E93"/>
    <w:rsid w:val="00D87F11"/>
    <w:rsid w:val="00D87F39"/>
    <w:rsid w:val="00D87F83"/>
    <w:rsid w:val="00D87FA7"/>
    <w:rsid w:val="00D87FEC"/>
    <w:rsid w:val="00D90006"/>
    <w:rsid w:val="00D9006E"/>
    <w:rsid w:val="00D90077"/>
    <w:rsid w:val="00D900D4"/>
    <w:rsid w:val="00D90101"/>
    <w:rsid w:val="00D90187"/>
    <w:rsid w:val="00D90243"/>
    <w:rsid w:val="00D9026E"/>
    <w:rsid w:val="00D90270"/>
    <w:rsid w:val="00D90286"/>
    <w:rsid w:val="00D9029B"/>
    <w:rsid w:val="00D902C6"/>
    <w:rsid w:val="00D902EB"/>
    <w:rsid w:val="00D90303"/>
    <w:rsid w:val="00D9034C"/>
    <w:rsid w:val="00D903C2"/>
    <w:rsid w:val="00D903D6"/>
    <w:rsid w:val="00D90413"/>
    <w:rsid w:val="00D90450"/>
    <w:rsid w:val="00D904A7"/>
    <w:rsid w:val="00D904E9"/>
    <w:rsid w:val="00D90500"/>
    <w:rsid w:val="00D905AA"/>
    <w:rsid w:val="00D905DD"/>
    <w:rsid w:val="00D90600"/>
    <w:rsid w:val="00D9060F"/>
    <w:rsid w:val="00D9066C"/>
    <w:rsid w:val="00D9069F"/>
    <w:rsid w:val="00D90751"/>
    <w:rsid w:val="00D907C2"/>
    <w:rsid w:val="00D907EB"/>
    <w:rsid w:val="00D90822"/>
    <w:rsid w:val="00D908B0"/>
    <w:rsid w:val="00D908E8"/>
    <w:rsid w:val="00D90912"/>
    <w:rsid w:val="00D9093E"/>
    <w:rsid w:val="00D90A00"/>
    <w:rsid w:val="00D90A09"/>
    <w:rsid w:val="00D90A13"/>
    <w:rsid w:val="00D90A55"/>
    <w:rsid w:val="00D90A63"/>
    <w:rsid w:val="00D90AA6"/>
    <w:rsid w:val="00D90B02"/>
    <w:rsid w:val="00D90B1B"/>
    <w:rsid w:val="00D90B4B"/>
    <w:rsid w:val="00D90B77"/>
    <w:rsid w:val="00D90B9F"/>
    <w:rsid w:val="00D90BC2"/>
    <w:rsid w:val="00D90BE1"/>
    <w:rsid w:val="00D90BFE"/>
    <w:rsid w:val="00D90C0F"/>
    <w:rsid w:val="00D90C39"/>
    <w:rsid w:val="00D90CCB"/>
    <w:rsid w:val="00D90CDB"/>
    <w:rsid w:val="00D90CF6"/>
    <w:rsid w:val="00D90CFA"/>
    <w:rsid w:val="00D90CFD"/>
    <w:rsid w:val="00D90D05"/>
    <w:rsid w:val="00D90DE4"/>
    <w:rsid w:val="00D90E1C"/>
    <w:rsid w:val="00D90E31"/>
    <w:rsid w:val="00D90E8A"/>
    <w:rsid w:val="00D90EBF"/>
    <w:rsid w:val="00D90EE8"/>
    <w:rsid w:val="00D90F31"/>
    <w:rsid w:val="00D90F5D"/>
    <w:rsid w:val="00D90F7C"/>
    <w:rsid w:val="00D90FD1"/>
    <w:rsid w:val="00D90FEF"/>
    <w:rsid w:val="00D9108A"/>
    <w:rsid w:val="00D910F2"/>
    <w:rsid w:val="00D91116"/>
    <w:rsid w:val="00D9118A"/>
    <w:rsid w:val="00D911A6"/>
    <w:rsid w:val="00D91257"/>
    <w:rsid w:val="00D91285"/>
    <w:rsid w:val="00D91342"/>
    <w:rsid w:val="00D91351"/>
    <w:rsid w:val="00D91362"/>
    <w:rsid w:val="00D913D0"/>
    <w:rsid w:val="00D913D4"/>
    <w:rsid w:val="00D9146D"/>
    <w:rsid w:val="00D91486"/>
    <w:rsid w:val="00D914C3"/>
    <w:rsid w:val="00D915D6"/>
    <w:rsid w:val="00D91614"/>
    <w:rsid w:val="00D91616"/>
    <w:rsid w:val="00D91658"/>
    <w:rsid w:val="00D91694"/>
    <w:rsid w:val="00D91784"/>
    <w:rsid w:val="00D9178C"/>
    <w:rsid w:val="00D917C2"/>
    <w:rsid w:val="00D91826"/>
    <w:rsid w:val="00D91834"/>
    <w:rsid w:val="00D9184F"/>
    <w:rsid w:val="00D9192E"/>
    <w:rsid w:val="00D91949"/>
    <w:rsid w:val="00D919B0"/>
    <w:rsid w:val="00D91AD1"/>
    <w:rsid w:val="00D91BC5"/>
    <w:rsid w:val="00D91BFF"/>
    <w:rsid w:val="00D91C3C"/>
    <w:rsid w:val="00D91C9A"/>
    <w:rsid w:val="00D91CBB"/>
    <w:rsid w:val="00D91D2D"/>
    <w:rsid w:val="00D91D51"/>
    <w:rsid w:val="00D91D59"/>
    <w:rsid w:val="00D91D63"/>
    <w:rsid w:val="00D91D81"/>
    <w:rsid w:val="00D91E22"/>
    <w:rsid w:val="00D91E35"/>
    <w:rsid w:val="00D91E75"/>
    <w:rsid w:val="00D91E80"/>
    <w:rsid w:val="00D91E9D"/>
    <w:rsid w:val="00D91ECC"/>
    <w:rsid w:val="00D91F0A"/>
    <w:rsid w:val="00D91F38"/>
    <w:rsid w:val="00D91F44"/>
    <w:rsid w:val="00D91FE0"/>
    <w:rsid w:val="00D92022"/>
    <w:rsid w:val="00D92042"/>
    <w:rsid w:val="00D920A1"/>
    <w:rsid w:val="00D920D9"/>
    <w:rsid w:val="00D9213B"/>
    <w:rsid w:val="00D92149"/>
    <w:rsid w:val="00D92162"/>
    <w:rsid w:val="00D9218A"/>
    <w:rsid w:val="00D92199"/>
    <w:rsid w:val="00D921A7"/>
    <w:rsid w:val="00D9221B"/>
    <w:rsid w:val="00D92272"/>
    <w:rsid w:val="00D92283"/>
    <w:rsid w:val="00D9233B"/>
    <w:rsid w:val="00D9234D"/>
    <w:rsid w:val="00D9238F"/>
    <w:rsid w:val="00D923E1"/>
    <w:rsid w:val="00D923F3"/>
    <w:rsid w:val="00D92446"/>
    <w:rsid w:val="00D92481"/>
    <w:rsid w:val="00D924A8"/>
    <w:rsid w:val="00D92543"/>
    <w:rsid w:val="00D92549"/>
    <w:rsid w:val="00D92568"/>
    <w:rsid w:val="00D925C4"/>
    <w:rsid w:val="00D92651"/>
    <w:rsid w:val="00D926A0"/>
    <w:rsid w:val="00D926AC"/>
    <w:rsid w:val="00D926CB"/>
    <w:rsid w:val="00D9278A"/>
    <w:rsid w:val="00D927AF"/>
    <w:rsid w:val="00D9283C"/>
    <w:rsid w:val="00D9284A"/>
    <w:rsid w:val="00D928E2"/>
    <w:rsid w:val="00D928E7"/>
    <w:rsid w:val="00D92917"/>
    <w:rsid w:val="00D92A02"/>
    <w:rsid w:val="00D92A9A"/>
    <w:rsid w:val="00D92AFF"/>
    <w:rsid w:val="00D92B10"/>
    <w:rsid w:val="00D92B45"/>
    <w:rsid w:val="00D92B57"/>
    <w:rsid w:val="00D92B7B"/>
    <w:rsid w:val="00D92B90"/>
    <w:rsid w:val="00D92B9E"/>
    <w:rsid w:val="00D92BD1"/>
    <w:rsid w:val="00D92C20"/>
    <w:rsid w:val="00D92C3C"/>
    <w:rsid w:val="00D92CAF"/>
    <w:rsid w:val="00D92E06"/>
    <w:rsid w:val="00D92E3F"/>
    <w:rsid w:val="00D92E71"/>
    <w:rsid w:val="00D92EA9"/>
    <w:rsid w:val="00D92EAB"/>
    <w:rsid w:val="00D92EE3"/>
    <w:rsid w:val="00D92F1C"/>
    <w:rsid w:val="00D92F3D"/>
    <w:rsid w:val="00D92F64"/>
    <w:rsid w:val="00D92FA7"/>
    <w:rsid w:val="00D92FC1"/>
    <w:rsid w:val="00D92FEC"/>
    <w:rsid w:val="00D9302F"/>
    <w:rsid w:val="00D93036"/>
    <w:rsid w:val="00D9306F"/>
    <w:rsid w:val="00D930BE"/>
    <w:rsid w:val="00D930EA"/>
    <w:rsid w:val="00D9314D"/>
    <w:rsid w:val="00D93342"/>
    <w:rsid w:val="00D93354"/>
    <w:rsid w:val="00D933CB"/>
    <w:rsid w:val="00D933F5"/>
    <w:rsid w:val="00D93459"/>
    <w:rsid w:val="00D934BE"/>
    <w:rsid w:val="00D934D8"/>
    <w:rsid w:val="00D9355A"/>
    <w:rsid w:val="00D9357E"/>
    <w:rsid w:val="00D935B9"/>
    <w:rsid w:val="00D935D9"/>
    <w:rsid w:val="00D935E2"/>
    <w:rsid w:val="00D9362E"/>
    <w:rsid w:val="00D93632"/>
    <w:rsid w:val="00D9369D"/>
    <w:rsid w:val="00D936CF"/>
    <w:rsid w:val="00D936DA"/>
    <w:rsid w:val="00D93703"/>
    <w:rsid w:val="00D93707"/>
    <w:rsid w:val="00D93722"/>
    <w:rsid w:val="00D93728"/>
    <w:rsid w:val="00D93740"/>
    <w:rsid w:val="00D937DD"/>
    <w:rsid w:val="00D93823"/>
    <w:rsid w:val="00D93833"/>
    <w:rsid w:val="00D9385E"/>
    <w:rsid w:val="00D93898"/>
    <w:rsid w:val="00D938B8"/>
    <w:rsid w:val="00D93934"/>
    <w:rsid w:val="00D9396F"/>
    <w:rsid w:val="00D9398D"/>
    <w:rsid w:val="00D939F4"/>
    <w:rsid w:val="00D939FF"/>
    <w:rsid w:val="00D93AE5"/>
    <w:rsid w:val="00D93AF9"/>
    <w:rsid w:val="00D93B39"/>
    <w:rsid w:val="00D93B62"/>
    <w:rsid w:val="00D93BFC"/>
    <w:rsid w:val="00D93C08"/>
    <w:rsid w:val="00D93C18"/>
    <w:rsid w:val="00D93C8C"/>
    <w:rsid w:val="00D93CDC"/>
    <w:rsid w:val="00D93CEC"/>
    <w:rsid w:val="00D93CF2"/>
    <w:rsid w:val="00D93D22"/>
    <w:rsid w:val="00D93D85"/>
    <w:rsid w:val="00D93D88"/>
    <w:rsid w:val="00D93D9C"/>
    <w:rsid w:val="00D93E19"/>
    <w:rsid w:val="00D93E1B"/>
    <w:rsid w:val="00D93F37"/>
    <w:rsid w:val="00D93F64"/>
    <w:rsid w:val="00D93F90"/>
    <w:rsid w:val="00D93FDB"/>
    <w:rsid w:val="00D93FE8"/>
    <w:rsid w:val="00D9400A"/>
    <w:rsid w:val="00D9401F"/>
    <w:rsid w:val="00D94089"/>
    <w:rsid w:val="00D940B4"/>
    <w:rsid w:val="00D94127"/>
    <w:rsid w:val="00D94187"/>
    <w:rsid w:val="00D9422E"/>
    <w:rsid w:val="00D9423D"/>
    <w:rsid w:val="00D942B7"/>
    <w:rsid w:val="00D942BF"/>
    <w:rsid w:val="00D942F6"/>
    <w:rsid w:val="00D943DC"/>
    <w:rsid w:val="00D943E2"/>
    <w:rsid w:val="00D9444E"/>
    <w:rsid w:val="00D944AB"/>
    <w:rsid w:val="00D944C7"/>
    <w:rsid w:val="00D94505"/>
    <w:rsid w:val="00D9450F"/>
    <w:rsid w:val="00D94556"/>
    <w:rsid w:val="00D94586"/>
    <w:rsid w:val="00D94592"/>
    <w:rsid w:val="00D945D2"/>
    <w:rsid w:val="00D94620"/>
    <w:rsid w:val="00D94673"/>
    <w:rsid w:val="00D946A0"/>
    <w:rsid w:val="00D946FB"/>
    <w:rsid w:val="00D94848"/>
    <w:rsid w:val="00D94876"/>
    <w:rsid w:val="00D9489F"/>
    <w:rsid w:val="00D948C2"/>
    <w:rsid w:val="00D948E9"/>
    <w:rsid w:val="00D94901"/>
    <w:rsid w:val="00D94912"/>
    <w:rsid w:val="00D94913"/>
    <w:rsid w:val="00D9495D"/>
    <w:rsid w:val="00D949AA"/>
    <w:rsid w:val="00D949B9"/>
    <w:rsid w:val="00D949D2"/>
    <w:rsid w:val="00D94A22"/>
    <w:rsid w:val="00D94A4C"/>
    <w:rsid w:val="00D94A53"/>
    <w:rsid w:val="00D94AA0"/>
    <w:rsid w:val="00D94AEB"/>
    <w:rsid w:val="00D94AF3"/>
    <w:rsid w:val="00D94AFF"/>
    <w:rsid w:val="00D94B1C"/>
    <w:rsid w:val="00D94B1E"/>
    <w:rsid w:val="00D94B41"/>
    <w:rsid w:val="00D94C33"/>
    <w:rsid w:val="00D94D0C"/>
    <w:rsid w:val="00D94D89"/>
    <w:rsid w:val="00D94D91"/>
    <w:rsid w:val="00D94DAE"/>
    <w:rsid w:val="00D94E41"/>
    <w:rsid w:val="00D94E47"/>
    <w:rsid w:val="00D94E83"/>
    <w:rsid w:val="00D94F41"/>
    <w:rsid w:val="00D94F6E"/>
    <w:rsid w:val="00D94FA4"/>
    <w:rsid w:val="00D94FAB"/>
    <w:rsid w:val="00D94FDF"/>
    <w:rsid w:val="00D9506A"/>
    <w:rsid w:val="00D950DF"/>
    <w:rsid w:val="00D95109"/>
    <w:rsid w:val="00D9511C"/>
    <w:rsid w:val="00D9517B"/>
    <w:rsid w:val="00D95224"/>
    <w:rsid w:val="00D95266"/>
    <w:rsid w:val="00D952BA"/>
    <w:rsid w:val="00D952F9"/>
    <w:rsid w:val="00D95333"/>
    <w:rsid w:val="00D9535E"/>
    <w:rsid w:val="00D953B2"/>
    <w:rsid w:val="00D953C1"/>
    <w:rsid w:val="00D9540F"/>
    <w:rsid w:val="00D95433"/>
    <w:rsid w:val="00D954DA"/>
    <w:rsid w:val="00D954DD"/>
    <w:rsid w:val="00D955A7"/>
    <w:rsid w:val="00D95728"/>
    <w:rsid w:val="00D9573D"/>
    <w:rsid w:val="00D95770"/>
    <w:rsid w:val="00D957B1"/>
    <w:rsid w:val="00D95875"/>
    <w:rsid w:val="00D958D8"/>
    <w:rsid w:val="00D95960"/>
    <w:rsid w:val="00D95A0C"/>
    <w:rsid w:val="00D95A96"/>
    <w:rsid w:val="00D95AAC"/>
    <w:rsid w:val="00D95ABF"/>
    <w:rsid w:val="00D95AE2"/>
    <w:rsid w:val="00D95AEA"/>
    <w:rsid w:val="00D95B16"/>
    <w:rsid w:val="00D95B2A"/>
    <w:rsid w:val="00D95B31"/>
    <w:rsid w:val="00D95B97"/>
    <w:rsid w:val="00D95C09"/>
    <w:rsid w:val="00D95C31"/>
    <w:rsid w:val="00D95C39"/>
    <w:rsid w:val="00D95C48"/>
    <w:rsid w:val="00D95C53"/>
    <w:rsid w:val="00D95C97"/>
    <w:rsid w:val="00D95D34"/>
    <w:rsid w:val="00D95D38"/>
    <w:rsid w:val="00D95D5E"/>
    <w:rsid w:val="00D95D65"/>
    <w:rsid w:val="00D95DA7"/>
    <w:rsid w:val="00D95E63"/>
    <w:rsid w:val="00D95E7E"/>
    <w:rsid w:val="00D95E82"/>
    <w:rsid w:val="00D95EDB"/>
    <w:rsid w:val="00D95F3B"/>
    <w:rsid w:val="00D95F48"/>
    <w:rsid w:val="00D95F57"/>
    <w:rsid w:val="00D95F58"/>
    <w:rsid w:val="00D95F8A"/>
    <w:rsid w:val="00D95FB9"/>
    <w:rsid w:val="00D9600F"/>
    <w:rsid w:val="00D96027"/>
    <w:rsid w:val="00D96097"/>
    <w:rsid w:val="00D9609E"/>
    <w:rsid w:val="00D960B8"/>
    <w:rsid w:val="00D960C0"/>
    <w:rsid w:val="00D961C0"/>
    <w:rsid w:val="00D961DB"/>
    <w:rsid w:val="00D96206"/>
    <w:rsid w:val="00D9622B"/>
    <w:rsid w:val="00D9625B"/>
    <w:rsid w:val="00D9625C"/>
    <w:rsid w:val="00D96297"/>
    <w:rsid w:val="00D962DA"/>
    <w:rsid w:val="00D962FA"/>
    <w:rsid w:val="00D9630D"/>
    <w:rsid w:val="00D96368"/>
    <w:rsid w:val="00D9638B"/>
    <w:rsid w:val="00D963A3"/>
    <w:rsid w:val="00D963F8"/>
    <w:rsid w:val="00D96413"/>
    <w:rsid w:val="00D96494"/>
    <w:rsid w:val="00D9650F"/>
    <w:rsid w:val="00D9655C"/>
    <w:rsid w:val="00D9659C"/>
    <w:rsid w:val="00D965F5"/>
    <w:rsid w:val="00D9666A"/>
    <w:rsid w:val="00D96670"/>
    <w:rsid w:val="00D966D2"/>
    <w:rsid w:val="00D96708"/>
    <w:rsid w:val="00D967D8"/>
    <w:rsid w:val="00D96801"/>
    <w:rsid w:val="00D96817"/>
    <w:rsid w:val="00D96820"/>
    <w:rsid w:val="00D96843"/>
    <w:rsid w:val="00D96882"/>
    <w:rsid w:val="00D968BC"/>
    <w:rsid w:val="00D9690B"/>
    <w:rsid w:val="00D9690C"/>
    <w:rsid w:val="00D96923"/>
    <w:rsid w:val="00D96949"/>
    <w:rsid w:val="00D96959"/>
    <w:rsid w:val="00D96966"/>
    <w:rsid w:val="00D9697B"/>
    <w:rsid w:val="00D9697E"/>
    <w:rsid w:val="00D969C2"/>
    <w:rsid w:val="00D96A05"/>
    <w:rsid w:val="00D96A10"/>
    <w:rsid w:val="00D96A69"/>
    <w:rsid w:val="00D96AA0"/>
    <w:rsid w:val="00D96ACC"/>
    <w:rsid w:val="00D96B04"/>
    <w:rsid w:val="00D96B68"/>
    <w:rsid w:val="00D96B6E"/>
    <w:rsid w:val="00D96BB4"/>
    <w:rsid w:val="00D96BD5"/>
    <w:rsid w:val="00D96BE1"/>
    <w:rsid w:val="00D96C25"/>
    <w:rsid w:val="00D96C76"/>
    <w:rsid w:val="00D96C80"/>
    <w:rsid w:val="00D96CE1"/>
    <w:rsid w:val="00D96D43"/>
    <w:rsid w:val="00D96E15"/>
    <w:rsid w:val="00D96EA9"/>
    <w:rsid w:val="00D96F9F"/>
    <w:rsid w:val="00D97007"/>
    <w:rsid w:val="00D9701F"/>
    <w:rsid w:val="00D97041"/>
    <w:rsid w:val="00D970E2"/>
    <w:rsid w:val="00D9713D"/>
    <w:rsid w:val="00D9714A"/>
    <w:rsid w:val="00D971A7"/>
    <w:rsid w:val="00D971AB"/>
    <w:rsid w:val="00D971D5"/>
    <w:rsid w:val="00D971FB"/>
    <w:rsid w:val="00D972B3"/>
    <w:rsid w:val="00D972B5"/>
    <w:rsid w:val="00D9732B"/>
    <w:rsid w:val="00D97339"/>
    <w:rsid w:val="00D97353"/>
    <w:rsid w:val="00D9740B"/>
    <w:rsid w:val="00D97449"/>
    <w:rsid w:val="00D97466"/>
    <w:rsid w:val="00D97488"/>
    <w:rsid w:val="00D974AB"/>
    <w:rsid w:val="00D974BC"/>
    <w:rsid w:val="00D974C5"/>
    <w:rsid w:val="00D974EE"/>
    <w:rsid w:val="00D9750C"/>
    <w:rsid w:val="00D97512"/>
    <w:rsid w:val="00D97572"/>
    <w:rsid w:val="00D9759B"/>
    <w:rsid w:val="00D975A6"/>
    <w:rsid w:val="00D97623"/>
    <w:rsid w:val="00D97630"/>
    <w:rsid w:val="00D97661"/>
    <w:rsid w:val="00D97665"/>
    <w:rsid w:val="00D97682"/>
    <w:rsid w:val="00D97695"/>
    <w:rsid w:val="00D9769F"/>
    <w:rsid w:val="00D976E9"/>
    <w:rsid w:val="00D977DF"/>
    <w:rsid w:val="00D977F3"/>
    <w:rsid w:val="00D9780D"/>
    <w:rsid w:val="00D97839"/>
    <w:rsid w:val="00D9788B"/>
    <w:rsid w:val="00D978B7"/>
    <w:rsid w:val="00D978D0"/>
    <w:rsid w:val="00D978F6"/>
    <w:rsid w:val="00D9794E"/>
    <w:rsid w:val="00D97957"/>
    <w:rsid w:val="00D97A09"/>
    <w:rsid w:val="00D97A4F"/>
    <w:rsid w:val="00D97A8D"/>
    <w:rsid w:val="00D97AAB"/>
    <w:rsid w:val="00D97AF5"/>
    <w:rsid w:val="00D97AFA"/>
    <w:rsid w:val="00D97B36"/>
    <w:rsid w:val="00D97B44"/>
    <w:rsid w:val="00D97B71"/>
    <w:rsid w:val="00D97BBA"/>
    <w:rsid w:val="00D97BC9"/>
    <w:rsid w:val="00D97BDA"/>
    <w:rsid w:val="00D97C43"/>
    <w:rsid w:val="00D97C5A"/>
    <w:rsid w:val="00D97C5E"/>
    <w:rsid w:val="00D97C6B"/>
    <w:rsid w:val="00D97CBB"/>
    <w:rsid w:val="00D97D01"/>
    <w:rsid w:val="00D97D10"/>
    <w:rsid w:val="00D97D42"/>
    <w:rsid w:val="00D97D93"/>
    <w:rsid w:val="00D97DAD"/>
    <w:rsid w:val="00D97E6F"/>
    <w:rsid w:val="00D97F56"/>
    <w:rsid w:val="00D97F61"/>
    <w:rsid w:val="00D97F6C"/>
    <w:rsid w:val="00D97F82"/>
    <w:rsid w:val="00D97F87"/>
    <w:rsid w:val="00D97F92"/>
    <w:rsid w:val="00D97F9B"/>
    <w:rsid w:val="00D97FDF"/>
    <w:rsid w:val="00DA00EC"/>
    <w:rsid w:val="00DA0133"/>
    <w:rsid w:val="00DA0166"/>
    <w:rsid w:val="00DA0191"/>
    <w:rsid w:val="00DA01A9"/>
    <w:rsid w:val="00DA01CE"/>
    <w:rsid w:val="00DA01E8"/>
    <w:rsid w:val="00DA023B"/>
    <w:rsid w:val="00DA0257"/>
    <w:rsid w:val="00DA0266"/>
    <w:rsid w:val="00DA02DE"/>
    <w:rsid w:val="00DA0358"/>
    <w:rsid w:val="00DA03A4"/>
    <w:rsid w:val="00DA03D1"/>
    <w:rsid w:val="00DA046D"/>
    <w:rsid w:val="00DA04C4"/>
    <w:rsid w:val="00DA0544"/>
    <w:rsid w:val="00DA058C"/>
    <w:rsid w:val="00DA05EA"/>
    <w:rsid w:val="00DA05F6"/>
    <w:rsid w:val="00DA0607"/>
    <w:rsid w:val="00DA06B4"/>
    <w:rsid w:val="00DA06D4"/>
    <w:rsid w:val="00DA06D8"/>
    <w:rsid w:val="00DA077B"/>
    <w:rsid w:val="00DA078D"/>
    <w:rsid w:val="00DA0824"/>
    <w:rsid w:val="00DA0873"/>
    <w:rsid w:val="00DA0876"/>
    <w:rsid w:val="00DA089B"/>
    <w:rsid w:val="00DA08A5"/>
    <w:rsid w:val="00DA08BF"/>
    <w:rsid w:val="00DA08EE"/>
    <w:rsid w:val="00DA0919"/>
    <w:rsid w:val="00DA099F"/>
    <w:rsid w:val="00DA09EA"/>
    <w:rsid w:val="00DA09FD"/>
    <w:rsid w:val="00DA0A31"/>
    <w:rsid w:val="00DA0AA0"/>
    <w:rsid w:val="00DA0ADC"/>
    <w:rsid w:val="00DA0AF0"/>
    <w:rsid w:val="00DA0AFF"/>
    <w:rsid w:val="00DA0B33"/>
    <w:rsid w:val="00DA0C01"/>
    <w:rsid w:val="00DA0C34"/>
    <w:rsid w:val="00DA0D2F"/>
    <w:rsid w:val="00DA0D73"/>
    <w:rsid w:val="00DA0D75"/>
    <w:rsid w:val="00DA0E43"/>
    <w:rsid w:val="00DA0E70"/>
    <w:rsid w:val="00DA0E81"/>
    <w:rsid w:val="00DA0EA0"/>
    <w:rsid w:val="00DA0EB9"/>
    <w:rsid w:val="00DA0F3F"/>
    <w:rsid w:val="00DA0F4A"/>
    <w:rsid w:val="00DA0F5D"/>
    <w:rsid w:val="00DA0FFA"/>
    <w:rsid w:val="00DA102D"/>
    <w:rsid w:val="00DA10A6"/>
    <w:rsid w:val="00DA1133"/>
    <w:rsid w:val="00DA11C9"/>
    <w:rsid w:val="00DA12B1"/>
    <w:rsid w:val="00DA1306"/>
    <w:rsid w:val="00DA1338"/>
    <w:rsid w:val="00DA1380"/>
    <w:rsid w:val="00DA139E"/>
    <w:rsid w:val="00DA142F"/>
    <w:rsid w:val="00DA1480"/>
    <w:rsid w:val="00DA1500"/>
    <w:rsid w:val="00DA152D"/>
    <w:rsid w:val="00DA153A"/>
    <w:rsid w:val="00DA15F3"/>
    <w:rsid w:val="00DA1614"/>
    <w:rsid w:val="00DA163D"/>
    <w:rsid w:val="00DA16A0"/>
    <w:rsid w:val="00DA1732"/>
    <w:rsid w:val="00DA1760"/>
    <w:rsid w:val="00DA17C1"/>
    <w:rsid w:val="00DA17C7"/>
    <w:rsid w:val="00DA186A"/>
    <w:rsid w:val="00DA1896"/>
    <w:rsid w:val="00DA192A"/>
    <w:rsid w:val="00DA1966"/>
    <w:rsid w:val="00DA199C"/>
    <w:rsid w:val="00DA1A07"/>
    <w:rsid w:val="00DA1A46"/>
    <w:rsid w:val="00DA1A9E"/>
    <w:rsid w:val="00DA1AEA"/>
    <w:rsid w:val="00DA1B06"/>
    <w:rsid w:val="00DA1B98"/>
    <w:rsid w:val="00DA1B9F"/>
    <w:rsid w:val="00DA1C43"/>
    <w:rsid w:val="00DA1C84"/>
    <w:rsid w:val="00DA1CC8"/>
    <w:rsid w:val="00DA1D02"/>
    <w:rsid w:val="00DA1D5C"/>
    <w:rsid w:val="00DA1DAD"/>
    <w:rsid w:val="00DA1E29"/>
    <w:rsid w:val="00DA1E38"/>
    <w:rsid w:val="00DA1EBB"/>
    <w:rsid w:val="00DA1ECD"/>
    <w:rsid w:val="00DA1EF9"/>
    <w:rsid w:val="00DA1F2C"/>
    <w:rsid w:val="00DA1F3A"/>
    <w:rsid w:val="00DA1FC4"/>
    <w:rsid w:val="00DA1FDC"/>
    <w:rsid w:val="00DA1FE1"/>
    <w:rsid w:val="00DA1FE5"/>
    <w:rsid w:val="00DA1FF5"/>
    <w:rsid w:val="00DA2041"/>
    <w:rsid w:val="00DA2073"/>
    <w:rsid w:val="00DA2093"/>
    <w:rsid w:val="00DA20BF"/>
    <w:rsid w:val="00DA20F1"/>
    <w:rsid w:val="00DA21C0"/>
    <w:rsid w:val="00DA221F"/>
    <w:rsid w:val="00DA2238"/>
    <w:rsid w:val="00DA225A"/>
    <w:rsid w:val="00DA229A"/>
    <w:rsid w:val="00DA230E"/>
    <w:rsid w:val="00DA23B2"/>
    <w:rsid w:val="00DA23C4"/>
    <w:rsid w:val="00DA23CF"/>
    <w:rsid w:val="00DA23D4"/>
    <w:rsid w:val="00DA23D9"/>
    <w:rsid w:val="00DA241E"/>
    <w:rsid w:val="00DA2445"/>
    <w:rsid w:val="00DA246C"/>
    <w:rsid w:val="00DA2473"/>
    <w:rsid w:val="00DA248D"/>
    <w:rsid w:val="00DA24E1"/>
    <w:rsid w:val="00DA251D"/>
    <w:rsid w:val="00DA252C"/>
    <w:rsid w:val="00DA2553"/>
    <w:rsid w:val="00DA25FF"/>
    <w:rsid w:val="00DA261D"/>
    <w:rsid w:val="00DA2657"/>
    <w:rsid w:val="00DA265F"/>
    <w:rsid w:val="00DA26AA"/>
    <w:rsid w:val="00DA2718"/>
    <w:rsid w:val="00DA273F"/>
    <w:rsid w:val="00DA275F"/>
    <w:rsid w:val="00DA27CE"/>
    <w:rsid w:val="00DA281E"/>
    <w:rsid w:val="00DA286C"/>
    <w:rsid w:val="00DA28E1"/>
    <w:rsid w:val="00DA2904"/>
    <w:rsid w:val="00DA293D"/>
    <w:rsid w:val="00DA295E"/>
    <w:rsid w:val="00DA29A2"/>
    <w:rsid w:val="00DA29D0"/>
    <w:rsid w:val="00DA29E7"/>
    <w:rsid w:val="00DA2A07"/>
    <w:rsid w:val="00DA2A30"/>
    <w:rsid w:val="00DA2A3C"/>
    <w:rsid w:val="00DA2A87"/>
    <w:rsid w:val="00DA2A93"/>
    <w:rsid w:val="00DA2B03"/>
    <w:rsid w:val="00DA2B3D"/>
    <w:rsid w:val="00DA2B88"/>
    <w:rsid w:val="00DA2BA9"/>
    <w:rsid w:val="00DA2BB0"/>
    <w:rsid w:val="00DA2BB7"/>
    <w:rsid w:val="00DA2BFC"/>
    <w:rsid w:val="00DA2CCC"/>
    <w:rsid w:val="00DA2D02"/>
    <w:rsid w:val="00DA2DD9"/>
    <w:rsid w:val="00DA2E06"/>
    <w:rsid w:val="00DA2E07"/>
    <w:rsid w:val="00DA2EB0"/>
    <w:rsid w:val="00DA2EB7"/>
    <w:rsid w:val="00DA2ED5"/>
    <w:rsid w:val="00DA2ED7"/>
    <w:rsid w:val="00DA2FC4"/>
    <w:rsid w:val="00DA300B"/>
    <w:rsid w:val="00DA3024"/>
    <w:rsid w:val="00DA3109"/>
    <w:rsid w:val="00DA315A"/>
    <w:rsid w:val="00DA31AE"/>
    <w:rsid w:val="00DA31F0"/>
    <w:rsid w:val="00DA3258"/>
    <w:rsid w:val="00DA329E"/>
    <w:rsid w:val="00DA3311"/>
    <w:rsid w:val="00DA3333"/>
    <w:rsid w:val="00DA3356"/>
    <w:rsid w:val="00DA335F"/>
    <w:rsid w:val="00DA33BA"/>
    <w:rsid w:val="00DA340B"/>
    <w:rsid w:val="00DA3420"/>
    <w:rsid w:val="00DA34A9"/>
    <w:rsid w:val="00DA34E9"/>
    <w:rsid w:val="00DA34EA"/>
    <w:rsid w:val="00DA357D"/>
    <w:rsid w:val="00DA3600"/>
    <w:rsid w:val="00DA3633"/>
    <w:rsid w:val="00DA36EE"/>
    <w:rsid w:val="00DA370D"/>
    <w:rsid w:val="00DA374F"/>
    <w:rsid w:val="00DA382B"/>
    <w:rsid w:val="00DA383D"/>
    <w:rsid w:val="00DA391B"/>
    <w:rsid w:val="00DA39AC"/>
    <w:rsid w:val="00DA3A17"/>
    <w:rsid w:val="00DA3A5C"/>
    <w:rsid w:val="00DA3AB6"/>
    <w:rsid w:val="00DA3ACF"/>
    <w:rsid w:val="00DA3B11"/>
    <w:rsid w:val="00DA3B1E"/>
    <w:rsid w:val="00DA3B3B"/>
    <w:rsid w:val="00DA3B65"/>
    <w:rsid w:val="00DA3BB6"/>
    <w:rsid w:val="00DA3BE8"/>
    <w:rsid w:val="00DA3C13"/>
    <w:rsid w:val="00DA3C5D"/>
    <w:rsid w:val="00DA3C65"/>
    <w:rsid w:val="00DA3CB5"/>
    <w:rsid w:val="00DA3D43"/>
    <w:rsid w:val="00DA3D96"/>
    <w:rsid w:val="00DA3DFA"/>
    <w:rsid w:val="00DA3E12"/>
    <w:rsid w:val="00DA3E88"/>
    <w:rsid w:val="00DA3F20"/>
    <w:rsid w:val="00DA3F30"/>
    <w:rsid w:val="00DA401F"/>
    <w:rsid w:val="00DA4050"/>
    <w:rsid w:val="00DA405A"/>
    <w:rsid w:val="00DA4081"/>
    <w:rsid w:val="00DA409E"/>
    <w:rsid w:val="00DA4126"/>
    <w:rsid w:val="00DA415E"/>
    <w:rsid w:val="00DA4252"/>
    <w:rsid w:val="00DA42A8"/>
    <w:rsid w:val="00DA42C5"/>
    <w:rsid w:val="00DA4328"/>
    <w:rsid w:val="00DA435B"/>
    <w:rsid w:val="00DA437E"/>
    <w:rsid w:val="00DA43AF"/>
    <w:rsid w:val="00DA4402"/>
    <w:rsid w:val="00DA4478"/>
    <w:rsid w:val="00DA44A4"/>
    <w:rsid w:val="00DA4537"/>
    <w:rsid w:val="00DA456E"/>
    <w:rsid w:val="00DA4575"/>
    <w:rsid w:val="00DA45A3"/>
    <w:rsid w:val="00DA45CC"/>
    <w:rsid w:val="00DA462C"/>
    <w:rsid w:val="00DA472D"/>
    <w:rsid w:val="00DA4773"/>
    <w:rsid w:val="00DA47E2"/>
    <w:rsid w:val="00DA47ED"/>
    <w:rsid w:val="00DA4877"/>
    <w:rsid w:val="00DA48DA"/>
    <w:rsid w:val="00DA4989"/>
    <w:rsid w:val="00DA49CD"/>
    <w:rsid w:val="00DA4A00"/>
    <w:rsid w:val="00DA4A30"/>
    <w:rsid w:val="00DA4A41"/>
    <w:rsid w:val="00DA4A6F"/>
    <w:rsid w:val="00DA4AB0"/>
    <w:rsid w:val="00DA4AFA"/>
    <w:rsid w:val="00DA4C12"/>
    <w:rsid w:val="00DA4C46"/>
    <w:rsid w:val="00DA4C53"/>
    <w:rsid w:val="00DA4C8A"/>
    <w:rsid w:val="00DA4CBB"/>
    <w:rsid w:val="00DA4D16"/>
    <w:rsid w:val="00DA4D3B"/>
    <w:rsid w:val="00DA4DA0"/>
    <w:rsid w:val="00DA4DA5"/>
    <w:rsid w:val="00DA4DD8"/>
    <w:rsid w:val="00DA4E64"/>
    <w:rsid w:val="00DA4E65"/>
    <w:rsid w:val="00DA4F8C"/>
    <w:rsid w:val="00DA507F"/>
    <w:rsid w:val="00DA5091"/>
    <w:rsid w:val="00DA50AA"/>
    <w:rsid w:val="00DA50B9"/>
    <w:rsid w:val="00DA5132"/>
    <w:rsid w:val="00DA51BD"/>
    <w:rsid w:val="00DA5218"/>
    <w:rsid w:val="00DA5246"/>
    <w:rsid w:val="00DA52E8"/>
    <w:rsid w:val="00DA5345"/>
    <w:rsid w:val="00DA5384"/>
    <w:rsid w:val="00DA5410"/>
    <w:rsid w:val="00DA5498"/>
    <w:rsid w:val="00DA5563"/>
    <w:rsid w:val="00DA5582"/>
    <w:rsid w:val="00DA559F"/>
    <w:rsid w:val="00DA55E0"/>
    <w:rsid w:val="00DA55E7"/>
    <w:rsid w:val="00DA5604"/>
    <w:rsid w:val="00DA5648"/>
    <w:rsid w:val="00DA56B8"/>
    <w:rsid w:val="00DA5748"/>
    <w:rsid w:val="00DA57AE"/>
    <w:rsid w:val="00DA58AD"/>
    <w:rsid w:val="00DA5916"/>
    <w:rsid w:val="00DA594B"/>
    <w:rsid w:val="00DA595C"/>
    <w:rsid w:val="00DA59FE"/>
    <w:rsid w:val="00DA5A39"/>
    <w:rsid w:val="00DA5A4F"/>
    <w:rsid w:val="00DA5A64"/>
    <w:rsid w:val="00DA5A6C"/>
    <w:rsid w:val="00DA5AC3"/>
    <w:rsid w:val="00DA5ACE"/>
    <w:rsid w:val="00DA5AD8"/>
    <w:rsid w:val="00DA5AEB"/>
    <w:rsid w:val="00DA5B02"/>
    <w:rsid w:val="00DA5B03"/>
    <w:rsid w:val="00DA5B6B"/>
    <w:rsid w:val="00DA5C89"/>
    <w:rsid w:val="00DA5C8F"/>
    <w:rsid w:val="00DA5CD1"/>
    <w:rsid w:val="00DA5CF2"/>
    <w:rsid w:val="00DA5D03"/>
    <w:rsid w:val="00DA5D2E"/>
    <w:rsid w:val="00DA5D7D"/>
    <w:rsid w:val="00DA5DC7"/>
    <w:rsid w:val="00DA5E17"/>
    <w:rsid w:val="00DA5F3E"/>
    <w:rsid w:val="00DA5F5E"/>
    <w:rsid w:val="00DA5F87"/>
    <w:rsid w:val="00DA5FC9"/>
    <w:rsid w:val="00DA5FCD"/>
    <w:rsid w:val="00DA6006"/>
    <w:rsid w:val="00DA600F"/>
    <w:rsid w:val="00DA603B"/>
    <w:rsid w:val="00DA603D"/>
    <w:rsid w:val="00DA60A4"/>
    <w:rsid w:val="00DA60CB"/>
    <w:rsid w:val="00DA60D1"/>
    <w:rsid w:val="00DA6159"/>
    <w:rsid w:val="00DA6161"/>
    <w:rsid w:val="00DA61A6"/>
    <w:rsid w:val="00DA61E3"/>
    <w:rsid w:val="00DA625A"/>
    <w:rsid w:val="00DA629C"/>
    <w:rsid w:val="00DA62B5"/>
    <w:rsid w:val="00DA62FC"/>
    <w:rsid w:val="00DA6313"/>
    <w:rsid w:val="00DA6358"/>
    <w:rsid w:val="00DA6371"/>
    <w:rsid w:val="00DA639E"/>
    <w:rsid w:val="00DA63CA"/>
    <w:rsid w:val="00DA63DA"/>
    <w:rsid w:val="00DA63EB"/>
    <w:rsid w:val="00DA6401"/>
    <w:rsid w:val="00DA6406"/>
    <w:rsid w:val="00DA64AD"/>
    <w:rsid w:val="00DA64B8"/>
    <w:rsid w:val="00DA64D4"/>
    <w:rsid w:val="00DA64FF"/>
    <w:rsid w:val="00DA652F"/>
    <w:rsid w:val="00DA653E"/>
    <w:rsid w:val="00DA65CF"/>
    <w:rsid w:val="00DA65D6"/>
    <w:rsid w:val="00DA65E7"/>
    <w:rsid w:val="00DA664B"/>
    <w:rsid w:val="00DA6687"/>
    <w:rsid w:val="00DA6688"/>
    <w:rsid w:val="00DA6691"/>
    <w:rsid w:val="00DA66BF"/>
    <w:rsid w:val="00DA66D7"/>
    <w:rsid w:val="00DA66F6"/>
    <w:rsid w:val="00DA670E"/>
    <w:rsid w:val="00DA67AD"/>
    <w:rsid w:val="00DA67D9"/>
    <w:rsid w:val="00DA682D"/>
    <w:rsid w:val="00DA688E"/>
    <w:rsid w:val="00DA6895"/>
    <w:rsid w:val="00DA68BC"/>
    <w:rsid w:val="00DA68E1"/>
    <w:rsid w:val="00DA6919"/>
    <w:rsid w:val="00DA691D"/>
    <w:rsid w:val="00DA6962"/>
    <w:rsid w:val="00DA69F2"/>
    <w:rsid w:val="00DA6A00"/>
    <w:rsid w:val="00DA6A2C"/>
    <w:rsid w:val="00DA6A56"/>
    <w:rsid w:val="00DA6A96"/>
    <w:rsid w:val="00DA6AD1"/>
    <w:rsid w:val="00DA6AF1"/>
    <w:rsid w:val="00DA6AF7"/>
    <w:rsid w:val="00DA6B68"/>
    <w:rsid w:val="00DA6B7E"/>
    <w:rsid w:val="00DA6C19"/>
    <w:rsid w:val="00DA6C39"/>
    <w:rsid w:val="00DA6C56"/>
    <w:rsid w:val="00DA6C72"/>
    <w:rsid w:val="00DA6D19"/>
    <w:rsid w:val="00DA6D1A"/>
    <w:rsid w:val="00DA6D87"/>
    <w:rsid w:val="00DA6E18"/>
    <w:rsid w:val="00DA6E52"/>
    <w:rsid w:val="00DA6E78"/>
    <w:rsid w:val="00DA6E8A"/>
    <w:rsid w:val="00DA6E8D"/>
    <w:rsid w:val="00DA6F85"/>
    <w:rsid w:val="00DA7034"/>
    <w:rsid w:val="00DA712C"/>
    <w:rsid w:val="00DA7144"/>
    <w:rsid w:val="00DA7191"/>
    <w:rsid w:val="00DA720D"/>
    <w:rsid w:val="00DA7284"/>
    <w:rsid w:val="00DA72B4"/>
    <w:rsid w:val="00DA72D4"/>
    <w:rsid w:val="00DA7319"/>
    <w:rsid w:val="00DA7363"/>
    <w:rsid w:val="00DA737A"/>
    <w:rsid w:val="00DA742C"/>
    <w:rsid w:val="00DA744A"/>
    <w:rsid w:val="00DA7469"/>
    <w:rsid w:val="00DA747C"/>
    <w:rsid w:val="00DA7481"/>
    <w:rsid w:val="00DA74E7"/>
    <w:rsid w:val="00DA7515"/>
    <w:rsid w:val="00DA7551"/>
    <w:rsid w:val="00DA75AE"/>
    <w:rsid w:val="00DA7600"/>
    <w:rsid w:val="00DA7603"/>
    <w:rsid w:val="00DA768E"/>
    <w:rsid w:val="00DA76AE"/>
    <w:rsid w:val="00DA76BA"/>
    <w:rsid w:val="00DA76D8"/>
    <w:rsid w:val="00DA76DA"/>
    <w:rsid w:val="00DA7731"/>
    <w:rsid w:val="00DA7778"/>
    <w:rsid w:val="00DA780C"/>
    <w:rsid w:val="00DA7818"/>
    <w:rsid w:val="00DA7857"/>
    <w:rsid w:val="00DA7887"/>
    <w:rsid w:val="00DA7892"/>
    <w:rsid w:val="00DA78F2"/>
    <w:rsid w:val="00DA7937"/>
    <w:rsid w:val="00DA7985"/>
    <w:rsid w:val="00DA7990"/>
    <w:rsid w:val="00DA79E1"/>
    <w:rsid w:val="00DA7A4C"/>
    <w:rsid w:val="00DA7A63"/>
    <w:rsid w:val="00DA7A64"/>
    <w:rsid w:val="00DA7A91"/>
    <w:rsid w:val="00DA7ACA"/>
    <w:rsid w:val="00DA7AD2"/>
    <w:rsid w:val="00DA7B2F"/>
    <w:rsid w:val="00DA7B3E"/>
    <w:rsid w:val="00DA7B3F"/>
    <w:rsid w:val="00DA7B41"/>
    <w:rsid w:val="00DA7B58"/>
    <w:rsid w:val="00DA7B83"/>
    <w:rsid w:val="00DA7BA7"/>
    <w:rsid w:val="00DA7C16"/>
    <w:rsid w:val="00DA7C8E"/>
    <w:rsid w:val="00DA7D51"/>
    <w:rsid w:val="00DA7D68"/>
    <w:rsid w:val="00DA7E70"/>
    <w:rsid w:val="00DA7E97"/>
    <w:rsid w:val="00DB0005"/>
    <w:rsid w:val="00DB0014"/>
    <w:rsid w:val="00DB0086"/>
    <w:rsid w:val="00DB00C0"/>
    <w:rsid w:val="00DB00CC"/>
    <w:rsid w:val="00DB00DD"/>
    <w:rsid w:val="00DB0166"/>
    <w:rsid w:val="00DB01D3"/>
    <w:rsid w:val="00DB01DC"/>
    <w:rsid w:val="00DB01FA"/>
    <w:rsid w:val="00DB0211"/>
    <w:rsid w:val="00DB0273"/>
    <w:rsid w:val="00DB0287"/>
    <w:rsid w:val="00DB028E"/>
    <w:rsid w:val="00DB029E"/>
    <w:rsid w:val="00DB02BA"/>
    <w:rsid w:val="00DB03BE"/>
    <w:rsid w:val="00DB03D2"/>
    <w:rsid w:val="00DB0490"/>
    <w:rsid w:val="00DB04A7"/>
    <w:rsid w:val="00DB04BE"/>
    <w:rsid w:val="00DB04D2"/>
    <w:rsid w:val="00DB05A2"/>
    <w:rsid w:val="00DB0643"/>
    <w:rsid w:val="00DB06A3"/>
    <w:rsid w:val="00DB06DC"/>
    <w:rsid w:val="00DB06E5"/>
    <w:rsid w:val="00DB06F3"/>
    <w:rsid w:val="00DB0700"/>
    <w:rsid w:val="00DB0771"/>
    <w:rsid w:val="00DB0779"/>
    <w:rsid w:val="00DB077D"/>
    <w:rsid w:val="00DB07C3"/>
    <w:rsid w:val="00DB082F"/>
    <w:rsid w:val="00DB086A"/>
    <w:rsid w:val="00DB0879"/>
    <w:rsid w:val="00DB089C"/>
    <w:rsid w:val="00DB08CB"/>
    <w:rsid w:val="00DB08F2"/>
    <w:rsid w:val="00DB08F5"/>
    <w:rsid w:val="00DB08FA"/>
    <w:rsid w:val="00DB0902"/>
    <w:rsid w:val="00DB0955"/>
    <w:rsid w:val="00DB0971"/>
    <w:rsid w:val="00DB0992"/>
    <w:rsid w:val="00DB0996"/>
    <w:rsid w:val="00DB09A7"/>
    <w:rsid w:val="00DB09DA"/>
    <w:rsid w:val="00DB09E6"/>
    <w:rsid w:val="00DB0A00"/>
    <w:rsid w:val="00DB0A1E"/>
    <w:rsid w:val="00DB0A2D"/>
    <w:rsid w:val="00DB0A87"/>
    <w:rsid w:val="00DB0AA2"/>
    <w:rsid w:val="00DB0AC5"/>
    <w:rsid w:val="00DB0B0A"/>
    <w:rsid w:val="00DB0B1F"/>
    <w:rsid w:val="00DB0C39"/>
    <w:rsid w:val="00DB0C6D"/>
    <w:rsid w:val="00DB0CEC"/>
    <w:rsid w:val="00DB0CFA"/>
    <w:rsid w:val="00DB0D65"/>
    <w:rsid w:val="00DB0D78"/>
    <w:rsid w:val="00DB0DCF"/>
    <w:rsid w:val="00DB0E12"/>
    <w:rsid w:val="00DB0E20"/>
    <w:rsid w:val="00DB0E51"/>
    <w:rsid w:val="00DB0E96"/>
    <w:rsid w:val="00DB0EFC"/>
    <w:rsid w:val="00DB0F2B"/>
    <w:rsid w:val="00DB0F51"/>
    <w:rsid w:val="00DB0FCA"/>
    <w:rsid w:val="00DB108F"/>
    <w:rsid w:val="00DB1192"/>
    <w:rsid w:val="00DB1240"/>
    <w:rsid w:val="00DB1267"/>
    <w:rsid w:val="00DB12AE"/>
    <w:rsid w:val="00DB12B1"/>
    <w:rsid w:val="00DB1361"/>
    <w:rsid w:val="00DB1374"/>
    <w:rsid w:val="00DB1388"/>
    <w:rsid w:val="00DB13F7"/>
    <w:rsid w:val="00DB1464"/>
    <w:rsid w:val="00DB1547"/>
    <w:rsid w:val="00DB1599"/>
    <w:rsid w:val="00DB15B7"/>
    <w:rsid w:val="00DB15CF"/>
    <w:rsid w:val="00DB1670"/>
    <w:rsid w:val="00DB178F"/>
    <w:rsid w:val="00DB17CF"/>
    <w:rsid w:val="00DB186F"/>
    <w:rsid w:val="00DB190E"/>
    <w:rsid w:val="00DB191E"/>
    <w:rsid w:val="00DB1936"/>
    <w:rsid w:val="00DB194D"/>
    <w:rsid w:val="00DB1986"/>
    <w:rsid w:val="00DB19CC"/>
    <w:rsid w:val="00DB1A04"/>
    <w:rsid w:val="00DB1A34"/>
    <w:rsid w:val="00DB1AE9"/>
    <w:rsid w:val="00DB1AEC"/>
    <w:rsid w:val="00DB1AF1"/>
    <w:rsid w:val="00DB1B3D"/>
    <w:rsid w:val="00DB1BEB"/>
    <w:rsid w:val="00DB1C05"/>
    <w:rsid w:val="00DB1C3E"/>
    <w:rsid w:val="00DB1C62"/>
    <w:rsid w:val="00DB1CAA"/>
    <w:rsid w:val="00DB1CB8"/>
    <w:rsid w:val="00DB1CBC"/>
    <w:rsid w:val="00DB1CC8"/>
    <w:rsid w:val="00DB1D23"/>
    <w:rsid w:val="00DB1D3E"/>
    <w:rsid w:val="00DB1D7B"/>
    <w:rsid w:val="00DB1DD1"/>
    <w:rsid w:val="00DB1DE5"/>
    <w:rsid w:val="00DB1DEE"/>
    <w:rsid w:val="00DB1DF3"/>
    <w:rsid w:val="00DB1DFB"/>
    <w:rsid w:val="00DB1E7B"/>
    <w:rsid w:val="00DB1EAE"/>
    <w:rsid w:val="00DB1EE8"/>
    <w:rsid w:val="00DB1EEC"/>
    <w:rsid w:val="00DB1F1F"/>
    <w:rsid w:val="00DB2038"/>
    <w:rsid w:val="00DB207D"/>
    <w:rsid w:val="00DB2093"/>
    <w:rsid w:val="00DB2142"/>
    <w:rsid w:val="00DB2183"/>
    <w:rsid w:val="00DB21DC"/>
    <w:rsid w:val="00DB21E3"/>
    <w:rsid w:val="00DB2213"/>
    <w:rsid w:val="00DB227E"/>
    <w:rsid w:val="00DB2284"/>
    <w:rsid w:val="00DB22C6"/>
    <w:rsid w:val="00DB2312"/>
    <w:rsid w:val="00DB2322"/>
    <w:rsid w:val="00DB2395"/>
    <w:rsid w:val="00DB23C8"/>
    <w:rsid w:val="00DB23EB"/>
    <w:rsid w:val="00DB23F0"/>
    <w:rsid w:val="00DB23F3"/>
    <w:rsid w:val="00DB2478"/>
    <w:rsid w:val="00DB24A5"/>
    <w:rsid w:val="00DB24CB"/>
    <w:rsid w:val="00DB24DC"/>
    <w:rsid w:val="00DB2512"/>
    <w:rsid w:val="00DB2560"/>
    <w:rsid w:val="00DB2626"/>
    <w:rsid w:val="00DB2671"/>
    <w:rsid w:val="00DB2714"/>
    <w:rsid w:val="00DB27A2"/>
    <w:rsid w:val="00DB27AA"/>
    <w:rsid w:val="00DB27AF"/>
    <w:rsid w:val="00DB27CF"/>
    <w:rsid w:val="00DB2898"/>
    <w:rsid w:val="00DB28B5"/>
    <w:rsid w:val="00DB28CC"/>
    <w:rsid w:val="00DB28F9"/>
    <w:rsid w:val="00DB298F"/>
    <w:rsid w:val="00DB29A3"/>
    <w:rsid w:val="00DB29B1"/>
    <w:rsid w:val="00DB29DE"/>
    <w:rsid w:val="00DB2A1B"/>
    <w:rsid w:val="00DB2A21"/>
    <w:rsid w:val="00DB2A25"/>
    <w:rsid w:val="00DB2A2B"/>
    <w:rsid w:val="00DB2A39"/>
    <w:rsid w:val="00DB2A40"/>
    <w:rsid w:val="00DB2AB0"/>
    <w:rsid w:val="00DB2AD5"/>
    <w:rsid w:val="00DB2AEA"/>
    <w:rsid w:val="00DB2B12"/>
    <w:rsid w:val="00DB2BFE"/>
    <w:rsid w:val="00DB2C1A"/>
    <w:rsid w:val="00DB2C52"/>
    <w:rsid w:val="00DB2C8D"/>
    <w:rsid w:val="00DB2CB2"/>
    <w:rsid w:val="00DB2CEA"/>
    <w:rsid w:val="00DB2D03"/>
    <w:rsid w:val="00DB2D59"/>
    <w:rsid w:val="00DB2DB4"/>
    <w:rsid w:val="00DB2DC1"/>
    <w:rsid w:val="00DB2DE0"/>
    <w:rsid w:val="00DB2E44"/>
    <w:rsid w:val="00DB2E59"/>
    <w:rsid w:val="00DB2E78"/>
    <w:rsid w:val="00DB2E8B"/>
    <w:rsid w:val="00DB2E99"/>
    <w:rsid w:val="00DB2EC8"/>
    <w:rsid w:val="00DB2F35"/>
    <w:rsid w:val="00DB2F6D"/>
    <w:rsid w:val="00DB2F76"/>
    <w:rsid w:val="00DB2FAA"/>
    <w:rsid w:val="00DB3015"/>
    <w:rsid w:val="00DB3020"/>
    <w:rsid w:val="00DB3043"/>
    <w:rsid w:val="00DB304B"/>
    <w:rsid w:val="00DB309C"/>
    <w:rsid w:val="00DB3148"/>
    <w:rsid w:val="00DB3211"/>
    <w:rsid w:val="00DB3293"/>
    <w:rsid w:val="00DB3341"/>
    <w:rsid w:val="00DB3342"/>
    <w:rsid w:val="00DB337B"/>
    <w:rsid w:val="00DB33CC"/>
    <w:rsid w:val="00DB33E1"/>
    <w:rsid w:val="00DB33F7"/>
    <w:rsid w:val="00DB34DB"/>
    <w:rsid w:val="00DB3533"/>
    <w:rsid w:val="00DB35A9"/>
    <w:rsid w:val="00DB360E"/>
    <w:rsid w:val="00DB366D"/>
    <w:rsid w:val="00DB36AE"/>
    <w:rsid w:val="00DB36B1"/>
    <w:rsid w:val="00DB36D6"/>
    <w:rsid w:val="00DB372C"/>
    <w:rsid w:val="00DB3744"/>
    <w:rsid w:val="00DB380F"/>
    <w:rsid w:val="00DB382D"/>
    <w:rsid w:val="00DB386B"/>
    <w:rsid w:val="00DB388E"/>
    <w:rsid w:val="00DB38E0"/>
    <w:rsid w:val="00DB38E4"/>
    <w:rsid w:val="00DB38F5"/>
    <w:rsid w:val="00DB3918"/>
    <w:rsid w:val="00DB3971"/>
    <w:rsid w:val="00DB3995"/>
    <w:rsid w:val="00DB39B1"/>
    <w:rsid w:val="00DB39C2"/>
    <w:rsid w:val="00DB39DD"/>
    <w:rsid w:val="00DB3A08"/>
    <w:rsid w:val="00DB3A09"/>
    <w:rsid w:val="00DB3A68"/>
    <w:rsid w:val="00DB3AD8"/>
    <w:rsid w:val="00DB3AF2"/>
    <w:rsid w:val="00DB3B0D"/>
    <w:rsid w:val="00DB3B54"/>
    <w:rsid w:val="00DB3B75"/>
    <w:rsid w:val="00DB3BDF"/>
    <w:rsid w:val="00DB3BEE"/>
    <w:rsid w:val="00DB3C45"/>
    <w:rsid w:val="00DB3C47"/>
    <w:rsid w:val="00DB3CC3"/>
    <w:rsid w:val="00DB3CDC"/>
    <w:rsid w:val="00DB3CDD"/>
    <w:rsid w:val="00DB3CF5"/>
    <w:rsid w:val="00DB3DDC"/>
    <w:rsid w:val="00DB3F2B"/>
    <w:rsid w:val="00DB3F64"/>
    <w:rsid w:val="00DB3FBB"/>
    <w:rsid w:val="00DB4074"/>
    <w:rsid w:val="00DB41E5"/>
    <w:rsid w:val="00DB41E7"/>
    <w:rsid w:val="00DB42B4"/>
    <w:rsid w:val="00DB42FC"/>
    <w:rsid w:val="00DB4362"/>
    <w:rsid w:val="00DB4380"/>
    <w:rsid w:val="00DB43A9"/>
    <w:rsid w:val="00DB43C3"/>
    <w:rsid w:val="00DB43E7"/>
    <w:rsid w:val="00DB4431"/>
    <w:rsid w:val="00DB4434"/>
    <w:rsid w:val="00DB4442"/>
    <w:rsid w:val="00DB44B4"/>
    <w:rsid w:val="00DB44BA"/>
    <w:rsid w:val="00DB4509"/>
    <w:rsid w:val="00DB451C"/>
    <w:rsid w:val="00DB455E"/>
    <w:rsid w:val="00DB4569"/>
    <w:rsid w:val="00DB45E5"/>
    <w:rsid w:val="00DB467D"/>
    <w:rsid w:val="00DB46EB"/>
    <w:rsid w:val="00DB4721"/>
    <w:rsid w:val="00DB473B"/>
    <w:rsid w:val="00DB4761"/>
    <w:rsid w:val="00DB4774"/>
    <w:rsid w:val="00DB4807"/>
    <w:rsid w:val="00DB4823"/>
    <w:rsid w:val="00DB4831"/>
    <w:rsid w:val="00DB4945"/>
    <w:rsid w:val="00DB4993"/>
    <w:rsid w:val="00DB4A55"/>
    <w:rsid w:val="00DB4A77"/>
    <w:rsid w:val="00DB4ACA"/>
    <w:rsid w:val="00DB4AF1"/>
    <w:rsid w:val="00DB4B49"/>
    <w:rsid w:val="00DB4BA8"/>
    <w:rsid w:val="00DB4BD6"/>
    <w:rsid w:val="00DB4C72"/>
    <w:rsid w:val="00DB4CD9"/>
    <w:rsid w:val="00DB4D0F"/>
    <w:rsid w:val="00DB4D74"/>
    <w:rsid w:val="00DB4D8C"/>
    <w:rsid w:val="00DB4DC2"/>
    <w:rsid w:val="00DB4DF9"/>
    <w:rsid w:val="00DB4E49"/>
    <w:rsid w:val="00DB4E8F"/>
    <w:rsid w:val="00DB4EF9"/>
    <w:rsid w:val="00DB4F3C"/>
    <w:rsid w:val="00DB4F54"/>
    <w:rsid w:val="00DB4F5F"/>
    <w:rsid w:val="00DB4FD7"/>
    <w:rsid w:val="00DB503A"/>
    <w:rsid w:val="00DB5054"/>
    <w:rsid w:val="00DB505B"/>
    <w:rsid w:val="00DB5086"/>
    <w:rsid w:val="00DB50DF"/>
    <w:rsid w:val="00DB50F1"/>
    <w:rsid w:val="00DB5141"/>
    <w:rsid w:val="00DB516A"/>
    <w:rsid w:val="00DB518B"/>
    <w:rsid w:val="00DB518C"/>
    <w:rsid w:val="00DB51E5"/>
    <w:rsid w:val="00DB51E7"/>
    <w:rsid w:val="00DB5211"/>
    <w:rsid w:val="00DB524E"/>
    <w:rsid w:val="00DB5280"/>
    <w:rsid w:val="00DB5290"/>
    <w:rsid w:val="00DB538E"/>
    <w:rsid w:val="00DB53D6"/>
    <w:rsid w:val="00DB5482"/>
    <w:rsid w:val="00DB54EE"/>
    <w:rsid w:val="00DB5525"/>
    <w:rsid w:val="00DB55EC"/>
    <w:rsid w:val="00DB5669"/>
    <w:rsid w:val="00DB56D0"/>
    <w:rsid w:val="00DB572A"/>
    <w:rsid w:val="00DB5806"/>
    <w:rsid w:val="00DB5809"/>
    <w:rsid w:val="00DB5828"/>
    <w:rsid w:val="00DB5841"/>
    <w:rsid w:val="00DB5861"/>
    <w:rsid w:val="00DB586F"/>
    <w:rsid w:val="00DB58C7"/>
    <w:rsid w:val="00DB58D9"/>
    <w:rsid w:val="00DB5905"/>
    <w:rsid w:val="00DB595C"/>
    <w:rsid w:val="00DB59C6"/>
    <w:rsid w:val="00DB5A13"/>
    <w:rsid w:val="00DB5A18"/>
    <w:rsid w:val="00DB5A71"/>
    <w:rsid w:val="00DB5AE1"/>
    <w:rsid w:val="00DB5AFB"/>
    <w:rsid w:val="00DB5B2E"/>
    <w:rsid w:val="00DB5BD9"/>
    <w:rsid w:val="00DB5BF7"/>
    <w:rsid w:val="00DB5C0F"/>
    <w:rsid w:val="00DB5C44"/>
    <w:rsid w:val="00DB5C4C"/>
    <w:rsid w:val="00DB5C9A"/>
    <w:rsid w:val="00DB5CE4"/>
    <w:rsid w:val="00DB5D22"/>
    <w:rsid w:val="00DB5D4F"/>
    <w:rsid w:val="00DB5DD5"/>
    <w:rsid w:val="00DB5DE7"/>
    <w:rsid w:val="00DB5DF1"/>
    <w:rsid w:val="00DB5E01"/>
    <w:rsid w:val="00DB5E1F"/>
    <w:rsid w:val="00DB5E5A"/>
    <w:rsid w:val="00DB5EDF"/>
    <w:rsid w:val="00DB5F11"/>
    <w:rsid w:val="00DB5F1A"/>
    <w:rsid w:val="00DB5F24"/>
    <w:rsid w:val="00DB5F40"/>
    <w:rsid w:val="00DB5FDE"/>
    <w:rsid w:val="00DB6011"/>
    <w:rsid w:val="00DB6020"/>
    <w:rsid w:val="00DB6049"/>
    <w:rsid w:val="00DB60A2"/>
    <w:rsid w:val="00DB60AD"/>
    <w:rsid w:val="00DB60D2"/>
    <w:rsid w:val="00DB60E4"/>
    <w:rsid w:val="00DB6151"/>
    <w:rsid w:val="00DB615B"/>
    <w:rsid w:val="00DB6179"/>
    <w:rsid w:val="00DB61BC"/>
    <w:rsid w:val="00DB61FB"/>
    <w:rsid w:val="00DB6253"/>
    <w:rsid w:val="00DB6259"/>
    <w:rsid w:val="00DB6278"/>
    <w:rsid w:val="00DB627D"/>
    <w:rsid w:val="00DB62E6"/>
    <w:rsid w:val="00DB6311"/>
    <w:rsid w:val="00DB63A5"/>
    <w:rsid w:val="00DB6485"/>
    <w:rsid w:val="00DB6521"/>
    <w:rsid w:val="00DB6528"/>
    <w:rsid w:val="00DB6536"/>
    <w:rsid w:val="00DB655C"/>
    <w:rsid w:val="00DB6564"/>
    <w:rsid w:val="00DB6591"/>
    <w:rsid w:val="00DB65C9"/>
    <w:rsid w:val="00DB65CE"/>
    <w:rsid w:val="00DB6600"/>
    <w:rsid w:val="00DB662F"/>
    <w:rsid w:val="00DB6650"/>
    <w:rsid w:val="00DB6762"/>
    <w:rsid w:val="00DB676C"/>
    <w:rsid w:val="00DB6802"/>
    <w:rsid w:val="00DB6827"/>
    <w:rsid w:val="00DB685E"/>
    <w:rsid w:val="00DB686F"/>
    <w:rsid w:val="00DB68AE"/>
    <w:rsid w:val="00DB68B1"/>
    <w:rsid w:val="00DB68E0"/>
    <w:rsid w:val="00DB68E3"/>
    <w:rsid w:val="00DB68E9"/>
    <w:rsid w:val="00DB6910"/>
    <w:rsid w:val="00DB6965"/>
    <w:rsid w:val="00DB696F"/>
    <w:rsid w:val="00DB6A22"/>
    <w:rsid w:val="00DB6A2F"/>
    <w:rsid w:val="00DB6A91"/>
    <w:rsid w:val="00DB6B37"/>
    <w:rsid w:val="00DB6B3C"/>
    <w:rsid w:val="00DB6B41"/>
    <w:rsid w:val="00DB6B6C"/>
    <w:rsid w:val="00DB6B8F"/>
    <w:rsid w:val="00DB6BED"/>
    <w:rsid w:val="00DB6C41"/>
    <w:rsid w:val="00DB6C4F"/>
    <w:rsid w:val="00DB6CD5"/>
    <w:rsid w:val="00DB6D57"/>
    <w:rsid w:val="00DB6DB3"/>
    <w:rsid w:val="00DB6E1B"/>
    <w:rsid w:val="00DB6F28"/>
    <w:rsid w:val="00DB6F69"/>
    <w:rsid w:val="00DB7027"/>
    <w:rsid w:val="00DB7062"/>
    <w:rsid w:val="00DB706F"/>
    <w:rsid w:val="00DB70F8"/>
    <w:rsid w:val="00DB710E"/>
    <w:rsid w:val="00DB7154"/>
    <w:rsid w:val="00DB71B1"/>
    <w:rsid w:val="00DB71CD"/>
    <w:rsid w:val="00DB7333"/>
    <w:rsid w:val="00DB73AC"/>
    <w:rsid w:val="00DB73B3"/>
    <w:rsid w:val="00DB73EC"/>
    <w:rsid w:val="00DB7480"/>
    <w:rsid w:val="00DB748E"/>
    <w:rsid w:val="00DB7498"/>
    <w:rsid w:val="00DB74E7"/>
    <w:rsid w:val="00DB750B"/>
    <w:rsid w:val="00DB75A5"/>
    <w:rsid w:val="00DB7615"/>
    <w:rsid w:val="00DB76AD"/>
    <w:rsid w:val="00DB76F6"/>
    <w:rsid w:val="00DB76FC"/>
    <w:rsid w:val="00DB7742"/>
    <w:rsid w:val="00DB776D"/>
    <w:rsid w:val="00DB777B"/>
    <w:rsid w:val="00DB7798"/>
    <w:rsid w:val="00DB77D1"/>
    <w:rsid w:val="00DB783A"/>
    <w:rsid w:val="00DB78BB"/>
    <w:rsid w:val="00DB78C7"/>
    <w:rsid w:val="00DB78F7"/>
    <w:rsid w:val="00DB7936"/>
    <w:rsid w:val="00DB7937"/>
    <w:rsid w:val="00DB7945"/>
    <w:rsid w:val="00DB79B7"/>
    <w:rsid w:val="00DB7A2B"/>
    <w:rsid w:val="00DB7A49"/>
    <w:rsid w:val="00DB7B9A"/>
    <w:rsid w:val="00DB7BC8"/>
    <w:rsid w:val="00DB7BF2"/>
    <w:rsid w:val="00DB7C06"/>
    <w:rsid w:val="00DB7C4E"/>
    <w:rsid w:val="00DB7C74"/>
    <w:rsid w:val="00DB7CC3"/>
    <w:rsid w:val="00DB7CFA"/>
    <w:rsid w:val="00DB7D79"/>
    <w:rsid w:val="00DB7DB8"/>
    <w:rsid w:val="00DB7DC2"/>
    <w:rsid w:val="00DB7DC8"/>
    <w:rsid w:val="00DB7E1F"/>
    <w:rsid w:val="00DB7E5B"/>
    <w:rsid w:val="00DB7F1B"/>
    <w:rsid w:val="00DB7FCF"/>
    <w:rsid w:val="00DC0096"/>
    <w:rsid w:val="00DC00B9"/>
    <w:rsid w:val="00DC00D7"/>
    <w:rsid w:val="00DC0109"/>
    <w:rsid w:val="00DC0123"/>
    <w:rsid w:val="00DC016A"/>
    <w:rsid w:val="00DC02A4"/>
    <w:rsid w:val="00DC0303"/>
    <w:rsid w:val="00DC038B"/>
    <w:rsid w:val="00DC0440"/>
    <w:rsid w:val="00DC04A7"/>
    <w:rsid w:val="00DC04BF"/>
    <w:rsid w:val="00DC05BD"/>
    <w:rsid w:val="00DC05CD"/>
    <w:rsid w:val="00DC05DE"/>
    <w:rsid w:val="00DC0683"/>
    <w:rsid w:val="00DC06FF"/>
    <w:rsid w:val="00DC07B3"/>
    <w:rsid w:val="00DC07F4"/>
    <w:rsid w:val="00DC0927"/>
    <w:rsid w:val="00DC095E"/>
    <w:rsid w:val="00DC099E"/>
    <w:rsid w:val="00DC0A62"/>
    <w:rsid w:val="00DC0A80"/>
    <w:rsid w:val="00DC0AA0"/>
    <w:rsid w:val="00DC0AB3"/>
    <w:rsid w:val="00DC0B35"/>
    <w:rsid w:val="00DC0B4A"/>
    <w:rsid w:val="00DC0BB8"/>
    <w:rsid w:val="00DC0BC4"/>
    <w:rsid w:val="00DC0BEE"/>
    <w:rsid w:val="00DC0C84"/>
    <w:rsid w:val="00DC0D5E"/>
    <w:rsid w:val="00DC0D7C"/>
    <w:rsid w:val="00DC0DAC"/>
    <w:rsid w:val="00DC0E41"/>
    <w:rsid w:val="00DC0EDB"/>
    <w:rsid w:val="00DC0F2C"/>
    <w:rsid w:val="00DC0F32"/>
    <w:rsid w:val="00DC0F97"/>
    <w:rsid w:val="00DC0FBC"/>
    <w:rsid w:val="00DC0FFE"/>
    <w:rsid w:val="00DC1001"/>
    <w:rsid w:val="00DC100E"/>
    <w:rsid w:val="00DC1091"/>
    <w:rsid w:val="00DC10D2"/>
    <w:rsid w:val="00DC1108"/>
    <w:rsid w:val="00DC11F5"/>
    <w:rsid w:val="00DC122C"/>
    <w:rsid w:val="00DC123B"/>
    <w:rsid w:val="00DC1258"/>
    <w:rsid w:val="00DC1283"/>
    <w:rsid w:val="00DC128B"/>
    <w:rsid w:val="00DC129A"/>
    <w:rsid w:val="00DC12C3"/>
    <w:rsid w:val="00DC12CF"/>
    <w:rsid w:val="00DC12E2"/>
    <w:rsid w:val="00DC12F3"/>
    <w:rsid w:val="00DC131B"/>
    <w:rsid w:val="00DC1327"/>
    <w:rsid w:val="00DC137D"/>
    <w:rsid w:val="00DC1397"/>
    <w:rsid w:val="00DC13B0"/>
    <w:rsid w:val="00DC13F3"/>
    <w:rsid w:val="00DC1407"/>
    <w:rsid w:val="00DC1412"/>
    <w:rsid w:val="00DC1426"/>
    <w:rsid w:val="00DC1470"/>
    <w:rsid w:val="00DC14E8"/>
    <w:rsid w:val="00DC155C"/>
    <w:rsid w:val="00DC1570"/>
    <w:rsid w:val="00DC15BB"/>
    <w:rsid w:val="00DC1610"/>
    <w:rsid w:val="00DC1631"/>
    <w:rsid w:val="00DC164A"/>
    <w:rsid w:val="00DC1693"/>
    <w:rsid w:val="00DC1733"/>
    <w:rsid w:val="00DC17B9"/>
    <w:rsid w:val="00DC17E6"/>
    <w:rsid w:val="00DC17F4"/>
    <w:rsid w:val="00DC1817"/>
    <w:rsid w:val="00DC1827"/>
    <w:rsid w:val="00DC1861"/>
    <w:rsid w:val="00DC1873"/>
    <w:rsid w:val="00DC1907"/>
    <w:rsid w:val="00DC190D"/>
    <w:rsid w:val="00DC190F"/>
    <w:rsid w:val="00DC194A"/>
    <w:rsid w:val="00DC1961"/>
    <w:rsid w:val="00DC19EA"/>
    <w:rsid w:val="00DC1A6A"/>
    <w:rsid w:val="00DC1A7C"/>
    <w:rsid w:val="00DC1AB3"/>
    <w:rsid w:val="00DC1B18"/>
    <w:rsid w:val="00DC1B74"/>
    <w:rsid w:val="00DC1B7A"/>
    <w:rsid w:val="00DC1BBD"/>
    <w:rsid w:val="00DC1C6A"/>
    <w:rsid w:val="00DC1C74"/>
    <w:rsid w:val="00DC1C83"/>
    <w:rsid w:val="00DC1C96"/>
    <w:rsid w:val="00DC1CA0"/>
    <w:rsid w:val="00DC1CE5"/>
    <w:rsid w:val="00DC1CE7"/>
    <w:rsid w:val="00DC1CEB"/>
    <w:rsid w:val="00DC1D18"/>
    <w:rsid w:val="00DC1D3B"/>
    <w:rsid w:val="00DC1D85"/>
    <w:rsid w:val="00DC1E5A"/>
    <w:rsid w:val="00DC1E9A"/>
    <w:rsid w:val="00DC1EA1"/>
    <w:rsid w:val="00DC1EE0"/>
    <w:rsid w:val="00DC1EEA"/>
    <w:rsid w:val="00DC1F26"/>
    <w:rsid w:val="00DC1F34"/>
    <w:rsid w:val="00DC1F48"/>
    <w:rsid w:val="00DC20EF"/>
    <w:rsid w:val="00DC2159"/>
    <w:rsid w:val="00DC219C"/>
    <w:rsid w:val="00DC21B9"/>
    <w:rsid w:val="00DC2203"/>
    <w:rsid w:val="00DC22B6"/>
    <w:rsid w:val="00DC22BC"/>
    <w:rsid w:val="00DC2372"/>
    <w:rsid w:val="00DC239E"/>
    <w:rsid w:val="00DC23E4"/>
    <w:rsid w:val="00DC2401"/>
    <w:rsid w:val="00DC241B"/>
    <w:rsid w:val="00DC255E"/>
    <w:rsid w:val="00DC256B"/>
    <w:rsid w:val="00DC2583"/>
    <w:rsid w:val="00DC25A0"/>
    <w:rsid w:val="00DC25B4"/>
    <w:rsid w:val="00DC25CC"/>
    <w:rsid w:val="00DC2675"/>
    <w:rsid w:val="00DC2677"/>
    <w:rsid w:val="00DC26A1"/>
    <w:rsid w:val="00DC26DC"/>
    <w:rsid w:val="00DC26FD"/>
    <w:rsid w:val="00DC2732"/>
    <w:rsid w:val="00DC2757"/>
    <w:rsid w:val="00DC279E"/>
    <w:rsid w:val="00DC28D1"/>
    <w:rsid w:val="00DC291D"/>
    <w:rsid w:val="00DC295D"/>
    <w:rsid w:val="00DC29CB"/>
    <w:rsid w:val="00DC29DF"/>
    <w:rsid w:val="00DC29E8"/>
    <w:rsid w:val="00DC2AD9"/>
    <w:rsid w:val="00DC2AEF"/>
    <w:rsid w:val="00DC2B04"/>
    <w:rsid w:val="00DC2B09"/>
    <w:rsid w:val="00DC2B6C"/>
    <w:rsid w:val="00DC2B70"/>
    <w:rsid w:val="00DC2BFE"/>
    <w:rsid w:val="00DC2C03"/>
    <w:rsid w:val="00DC2C2A"/>
    <w:rsid w:val="00DC2CCA"/>
    <w:rsid w:val="00DC2D65"/>
    <w:rsid w:val="00DC2D8A"/>
    <w:rsid w:val="00DC2D97"/>
    <w:rsid w:val="00DC2DC3"/>
    <w:rsid w:val="00DC2E01"/>
    <w:rsid w:val="00DC2E70"/>
    <w:rsid w:val="00DC2E9A"/>
    <w:rsid w:val="00DC2F21"/>
    <w:rsid w:val="00DC2F22"/>
    <w:rsid w:val="00DC2F5C"/>
    <w:rsid w:val="00DC2F5F"/>
    <w:rsid w:val="00DC2F66"/>
    <w:rsid w:val="00DC2F84"/>
    <w:rsid w:val="00DC2F93"/>
    <w:rsid w:val="00DC2FD4"/>
    <w:rsid w:val="00DC3031"/>
    <w:rsid w:val="00DC3044"/>
    <w:rsid w:val="00DC306C"/>
    <w:rsid w:val="00DC3079"/>
    <w:rsid w:val="00DC307C"/>
    <w:rsid w:val="00DC30EE"/>
    <w:rsid w:val="00DC310A"/>
    <w:rsid w:val="00DC31BE"/>
    <w:rsid w:val="00DC31FD"/>
    <w:rsid w:val="00DC323A"/>
    <w:rsid w:val="00DC3290"/>
    <w:rsid w:val="00DC32AE"/>
    <w:rsid w:val="00DC3360"/>
    <w:rsid w:val="00DC3461"/>
    <w:rsid w:val="00DC3529"/>
    <w:rsid w:val="00DC3541"/>
    <w:rsid w:val="00DC355B"/>
    <w:rsid w:val="00DC3578"/>
    <w:rsid w:val="00DC35AD"/>
    <w:rsid w:val="00DC364C"/>
    <w:rsid w:val="00DC3661"/>
    <w:rsid w:val="00DC3693"/>
    <w:rsid w:val="00DC3698"/>
    <w:rsid w:val="00DC3750"/>
    <w:rsid w:val="00DC375F"/>
    <w:rsid w:val="00DC37C0"/>
    <w:rsid w:val="00DC37EB"/>
    <w:rsid w:val="00DC386E"/>
    <w:rsid w:val="00DC3879"/>
    <w:rsid w:val="00DC38A0"/>
    <w:rsid w:val="00DC38F8"/>
    <w:rsid w:val="00DC391B"/>
    <w:rsid w:val="00DC391C"/>
    <w:rsid w:val="00DC395D"/>
    <w:rsid w:val="00DC39DF"/>
    <w:rsid w:val="00DC3A61"/>
    <w:rsid w:val="00DC3A8F"/>
    <w:rsid w:val="00DC3B44"/>
    <w:rsid w:val="00DC3BB6"/>
    <w:rsid w:val="00DC3BD2"/>
    <w:rsid w:val="00DC3C50"/>
    <w:rsid w:val="00DC3C7B"/>
    <w:rsid w:val="00DC3C8E"/>
    <w:rsid w:val="00DC3C9D"/>
    <w:rsid w:val="00DC3CA2"/>
    <w:rsid w:val="00DC3CFB"/>
    <w:rsid w:val="00DC3D43"/>
    <w:rsid w:val="00DC3D86"/>
    <w:rsid w:val="00DC3D9B"/>
    <w:rsid w:val="00DC3DA7"/>
    <w:rsid w:val="00DC3DBA"/>
    <w:rsid w:val="00DC3DEF"/>
    <w:rsid w:val="00DC3DF6"/>
    <w:rsid w:val="00DC3E6F"/>
    <w:rsid w:val="00DC3F36"/>
    <w:rsid w:val="00DC3F4C"/>
    <w:rsid w:val="00DC3F54"/>
    <w:rsid w:val="00DC3F99"/>
    <w:rsid w:val="00DC4011"/>
    <w:rsid w:val="00DC4035"/>
    <w:rsid w:val="00DC409D"/>
    <w:rsid w:val="00DC4136"/>
    <w:rsid w:val="00DC417D"/>
    <w:rsid w:val="00DC417F"/>
    <w:rsid w:val="00DC419D"/>
    <w:rsid w:val="00DC419E"/>
    <w:rsid w:val="00DC41B0"/>
    <w:rsid w:val="00DC41CE"/>
    <w:rsid w:val="00DC41E0"/>
    <w:rsid w:val="00DC41FD"/>
    <w:rsid w:val="00DC4209"/>
    <w:rsid w:val="00DC420A"/>
    <w:rsid w:val="00DC4225"/>
    <w:rsid w:val="00DC4229"/>
    <w:rsid w:val="00DC428E"/>
    <w:rsid w:val="00DC42BE"/>
    <w:rsid w:val="00DC4307"/>
    <w:rsid w:val="00DC435C"/>
    <w:rsid w:val="00DC43B4"/>
    <w:rsid w:val="00DC43DB"/>
    <w:rsid w:val="00DC4402"/>
    <w:rsid w:val="00DC4406"/>
    <w:rsid w:val="00DC4499"/>
    <w:rsid w:val="00DC44D4"/>
    <w:rsid w:val="00DC4523"/>
    <w:rsid w:val="00DC456A"/>
    <w:rsid w:val="00DC456D"/>
    <w:rsid w:val="00DC459F"/>
    <w:rsid w:val="00DC45B5"/>
    <w:rsid w:val="00DC45E2"/>
    <w:rsid w:val="00DC45F5"/>
    <w:rsid w:val="00DC4601"/>
    <w:rsid w:val="00DC4703"/>
    <w:rsid w:val="00DC47C7"/>
    <w:rsid w:val="00DC47CE"/>
    <w:rsid w:val="00DC47DA"/>
    <w:rsid w:val="00DC480D"/>
    <w:rsid w:val="00DC481C"/>
    <w:rsid w:val="00DC4869"/>
    <w:rsid w:val="00DC4924"/>
    <w:rsid w:val="00DC4939"/>
    <w:rsid w:val="00DC4964"/>
    <w:rsid w:val="00DC4979"/>
    <w:rsid w:val="00DC499D"/>
    <w:rsid w:val="00DC49E8"/>
    <w:rsid w:val="00DC49FE"/>
    <w:rsid w:val="00DC4A05"/>
    <w:rsid w:val="00DC4A09"/>
    <w:rsid w:val="00DC4A30"/>
    <w:rsid w:val="00DC4A51"/>
    <w:rsid w:val="00DC4A7C"/>
    <w:rsid w:val="00DC4A85"/>
    <w:rsid w:val="00DC4B39"/>
    <w:rsid w:val="00DC4B8B"/>
    <w:rsid w:val="00DC4BD8"/>
    <w:rsid w:val="00DC4BEF"/>
    <w:rsid w:val="00DC4C8F"/>
    <w:rsid w:val="00DC4C91"/>
    <w:rsid w:val="00DC4CA2"/>
    <w:rsid w:val="00DC4CFD"/>
    <w:rsid w:val="00DC4D65"/>
    <w:rsid w:val="00DC4D8A"/>
    <w:rsid w:val="00DC4D9B"/>
    <w:rsid w:val="00DC4DA5"/>
    <w:rsid w:val="00DC4DF4"/>
    <w:rsid w:val="00DC4E1D"/>
    <w:rsid w:val="00DC4E48"/>
    <w:rsid w:val="00DC4F1B"/>
    <w:rsid w:val="00DC4F24"/>
    <w:rsid w:val="00DC4F37"/>
    <w:rsid w:val="00DC4F5A"/>
    <w:rsid w:val="00DC4F92"/>
    <w:rsid w:val="00DC4F98"/>
    <w:rsid w:val="00DC4FDA"/>
    <w:rsid w:val="00DC4FDB"/>
    <w:rsid w:val="00DC5017"/>
    <w:rsid w:val="00DC5075"/>
    <w:rsid w:val="00DC50A7"/>
    <w:rsid w:val="00DC50C1"/>
    <w:rsid w:val="00DC5100"/>
    <w:rsid w:val="00DC512D"/>
    <w:rsid w:val="00DC5136"/>
    <w:rsid w:val="00DC519B"/>
    <w:rsid w:val="00DC51D3"/>
    <w:rsid w:val="00DC51E2"/>
    <w:rsid w:val="00DC51FB"/>
    <w:rsid w:val="00DC5252"/>
    <w:rsid w:val="00DC5259"/>
    <w:rsid w:val="00DC5266"/>
    <w:rsid w:val="00DC530D"/>
    <w:rsid w:val="00DC5346"/>
    <w:rsid w:val="00DC539F"/>
    <w:rsid w:val="00DC53B4"/>
    <w:rsid w:val="00DC53B9"/>
    <w:rsid w:val="00DC540B"/>
    <w:rsid w:val="00DC5420"/>
    <w:rsid w:val="00DC5512"/>
    <w:rsid w:val="00DC5539"/>
    <w:rsid w:val="00DC55B1"/>
    <w:rsid w:val="00DC55E6"/>
    <w:rsid w:val="00DC5601"/>
    <w:rsid w:val="00DC5608"/>
    <w:rsid w:val="00DC564D"/>
    <w:rsid w:val="00DC5663"/>
    <w:rsid w:val="00DC56BD"/>
    <w:rsid w:val="00DC56DA"/>
    <w:rsid w:val="00DC56DF"/>
    <w:rsid w:val="00DC56ED"/>
    <w:rsid w:val="00DC577A"/>
    <w:rsid w:val="00DC57E3"/>
    <w:rsid w:val="00DC57E5"/>
    <w:rsid w:val="00DC5829"/>
    <w:rsid w:val="00DC5957"/>
    <w:rsid w:val="00DC596F"/>
    <w:rsid w:val="00DC5980"/>
    <w:rsid w:val="00DC5A18"/>
    <w:rsid w:val="00DC5A95"/>
    <w:rsid w:val="00DC5ACD"/>
    <w:rsid w:val="00DC5BF0"/>
    <w:rsid w:val="00DC5C2C"/>
    <w:rsid w:val="00DC5C64"/>
    <w:rsid w:val="00DC5CCA"/>
    <w:rsid w:val="00DC5CD4"/>
    <w:rsid w:val="00DC5D91"/>
    <w:rsid w:val="00DC5DC5"/>
    <w:rsid w:val="00DC5E06"/>
    <w:rsid w:val="00DC5E95"/>
    <w:rsid w:val="00DC5EDA"/>
    <w:rsid w:val="00DC5EE7"/>
    <w:rsid w:val="00DC5F95"/>
    <w:rsid w:val="00DC603F"/>
    <w:rsid w:val="00DC6066"/>
    <w:rsid w:val="00DC608C"/>
    <w:rsid w:val="00DC61CB"/>
    <w:rsid w:val="00DC620F"/>
    <w:rsid w:val="00DC6253"/>
    <w:rsid w:val="00DC625A"/>
    <w:rsid w:val="00DC626F"/>
    <w:rsid w:val="00DC628B"/>
    <w:rsid w:val="00DC62EF"/>
    <w:rsid w:val="00DC6307"/>
    <w:rsid w:val="00DC631C"/>
    <w:rsid w:val="00DC6373"/>
    <w:rsid w:val="00DC6392"/>
    <w:rsid w:val="00DC6406"/>
    <w:rsid w:val="00DC64A1"/>
    <w:rsid w:val="00DC64C0"/>
    <w:rsid w:val="00DC64F8"/>
    <w:rsid w:val="00DC6573"/>
    <w:rsid w:val="00DC6574"/>
    <w:rsid w:val="00DC659D"/>
    <w:rsid w:val="00DC65C4"/>
    <w:rsid w:val="00DC65C9"/>
    <w:rsid w:val="00DC65D4"/>
    <w:rsid w:val="00DC65EC"/>
    <w:rsid w:val="00DC6628"/>
    <w:rsid w:val="00DC6676"/>
    <w:rsid w:val="00DC66AB"/>
    <w:rsid w:val="00DC672B"/>
    <w:rsid w:val="00DC674C"/>
    <w:rsid w:val="00DC674E"/>
    <w:rsid w:val="00DC678D"/>
    <w:rsid w:val="00DC67C1"/>
    <w:rsid w:val="00DC684F"/>
    <w:rsid w:val="00DC68AC"/>
    <w:rsid w:val="00DC68B0"/>
    <w:rsid w:val="00DC68F1"/>
    <w:rsid w:val="00DC693A"/>
    <w:rsid w:val="00DC6969"/>
    <w:rsid w:val="00DC69AB"/>
    <w:rsid w:val="00DC6A15"/>
    <w:rsid w:val="00DC6A27"/>
    <w:rsid w:val="00DC6A41"/>
    <w:rsid w:val="00DC6A78"/>
    <w:rsid w:val="00DC6A7E"/>
    <w:rsid w:val="00DC6AA1"/>
    <w:rsid w:val="00DC6AB9"/>
    <w:rsid w:val="00DC6AE9"/>
    <w:rsid w:val="00DC6B0B"/>
    <w:rsid w:val="00DC6B24"/>
    <w:rsid w:val="00DC6B34"/>
    <w:rsid w:val="00DC6B9F"/>
    <w:rsid w:val="00DC6BF4"/>
    <w:rsid w:val="00DC6C20"/>
    <w:rsid w:val="00DC6C2C"/>
    <w:rsid w:val="00DC6C53"/>
    <w:rsid w:val="00DC6C91"/>
    <w:rsid w:val="00DC6C98"/>
    <w:rsid w:val="00DC6CF6"/>
    <w:rsid w:val="00DC6D5E"/>
    <w:rsid w:val="00DC6E0C"/>
    <w:rsid w:val="00DC6E44"/>
    <w:rsid w:val="00DC6E56"/>
    <w:rsid w:val="00DC6EAD"/>
    <w:rsid w:val="00DC6EE7"/>
    <w:rsid w:val="00DC6F1B"/>
    <w:rsid w:val="00DC6F51"/>
    <w:rsid w:val="00DC6F72"/>
    <w:rsid w:val="00DC6FC1"/>
    <w:rsid w:val="00DC6FC3"/>
    <w:rsid w:val="00DC7022"/>
    <w:rsid w:val="00DC7082"/>
    <w:rsid w:val="00DC709D"/>
    <w:rsid w:val="00DC70A8"/>
    <w:rsid w:val="00DC70B1"/>
    <w:rsid w:val="00DC7132"/>
    <w:rsid w:val="00DC716A"/>
    <w:rsid w:val="00DC7182"/>
    <w:rsid w:val="00DC71F0"/>
    <w:rsid w:val="00DC727C"/>
    <w:rsid w:val="00DC72C9"/>
    <w:rsid w:val="00DC7343"/>
    <w:rsid w:val="00DC7367"/>
    <w:rsid w:val="00DC7389"/>
    <w:rsid w:val="00DC739F"/>
    <w:rsid w:val="00DC73E6"/>
    <w:rsid w:val="00DC73F7"/>
    <w:rsid w:val="00DC74BB"/>
    <w:rsid w:val="00DC74DC"/>
    <w:rsid w:val="00DC7506"/>
    <w:rsid w:val="00DC751B"/>
    <w:rsid w:val="00DC7540"/>
    <w:rsid w:val="00DC754C"/>
    <w:rsid w:val="00DC7554"/>
    <w:rsid w:val="00DC75A8"/>
    <w:rsid w:val="00DC7626"/>
    <w:rsid w:val="00DC7663"/>
    <w:rsid w:val="00DC7701"/>
    <w:rsid w:val="00DC772A"/>
    <w:rsid w:val="00DC77E4"/>
    <w:rsid w:val="00DC77EB"/>
    <w:rsid w:val="00DC780F"/>
    <w:rsid w:val="00DC782E"/>
    <w:rsid w:val="00DC7850"/>
    <w:rsid w:val="00DC7870"/>
    <w:rsid w:val="00DC78B9"/>
    <w:rsid w:val="00DC796F"/>
    <w:rsid w:val="00DC7A36"/>
    <w:rsid w:val="00DC7A37"/>
    <w:rsid w:val="00DC7A8A"/>
    <w:rsid w:val="00DC7AB7"/>
    <w:rsid w:val="00DC7ABD"/>
    <w:rsid w:val="00DC7AF9"/>
    <w:rsid w:val="00DC7B1B"/>
    <w:rsid w:val="00DC7B76"/>
    <w:rsid w:val="00DC7C16"/>
    <w:rsid w:val="00DC7C62"/>
    <w:rsid w:val="00DC7CBA"/>
    <w:rsid w:val="00DC7CF6"/>
    <w:rsid w:val="00DC7DDA"/>
    <w:rsid w:val="00DC7E92"/>
    <w:rsid w:val="00DC7ED5"/>
    <w:rsid w:val="00DC7F29"/>
    <w:rsid w:val="00DC7F51"/>
    <w:rsid w:val="00DC7F8C"/>
    <w:rsid w:val="00DC7FE1"/>
    <w:rsid w:val="00DD002B"/>
    <w:rsid w:val="00DD0096"/>
    <w:rsid w:val="00DD009D"/>
    <w:rsid w:val="00DD00F5"/>
    <w:rsid w:val="00DD012A"/>
    <w:rsid w:val="00DD0171"/>
    <w:rsid w:val="00DD0208"/>
    <w:rsid w:val="00DD0350"/>
    <w:rsid w:val="00DD0386"/>
    <w:rsid w:val="00DD03C9"/>
    <w:rsid w:val="00DD03D3"/>
    <w:rsid w:val="00DD03DE"/>
    <w:rsid w:val="00DD03FB"/>
    <w:rsid w:val="00DD041A"/>
    <w:rsid w:val="00DD0480"/>
    <w:rsid w:val="00DD04BA"/>
    <w:rsid w:val="00DD04C2"/>
    <w:rsid w:val="00DD0524"/>
    <w:rsid w:val="00DD0538"/>
    <w:rsid w:val="00DD057E"/>
    <w:rsid w:val="00DD0732"/>
    <w:rsid w:val="00DD0771"/>
    <w:rsid w:val="00DD07BF"/>
    <w:rsid w:val="00DD0833"/>
    <w:rsid w:val="00DD0850"/>
    <w:rsid w:val="00DD08D4"/>
    <w:rsid w:val="00DD0915"/>
    <w:rsid w:val="00DD0A1D"/>
    <w:rsid w:val="00DD0A37"/>
    <w:rsid w:val="00DD0A63"/>
    <w:rsid w:val="00DD0ADE"/>
    <w:rsid w:val="00DD0B8F"/>
    <w:rsid w:val="00DD0BD2"/>
    <w:rsid w:val="00DD0BFC"/>
    <w:rsid w:val="00DD0C19"/>
    <w:rsid w:val="00DD0C5D"/>
    <w:rsid w:val="00DD0D58"/>
    <w:rsid w:val="00DD0D75"/>
    <w:rsid w:val="00DD0D9F"/>
    <w:rsid w:val="00DD0E0E"/>
    <w:rsid w:val="00DD0E20"/>
    <w:rsid w:val="00DD0EE2"/>
    <w:rsid w:val="00DD0EEA"/>
    <w:rsid w:val="00DD0EFC"/>
    <w:rsid w:val="00DD0F58"/>
    <w:rsid w:val="00DD0F5D"/>
    <w:rsid w:val="00DD0FD2"/>
    <w:rsid w:val="00DD1057"/>
    <w:rsid w:val="00DD10CD"/>
    <w:rsid w:val="00DD111C"/>
    <w:rsid w:val="00DD1123"/>
    <w:rsid w:val="00DD1154"/>
    <w:rsid w:val="00DD1166"/>
    <w:rsid w:val="00DD1175"/>
    <w:rsid w:val="00DD1237"/>
    <w:rsid w:val="00DD124C"/>
    <w:rsid w:val="00DD1279"/>
    <w:rsid w:val="00DD12AB"/>
    <w:rsid w:val="00DD12C8"/>
    <w:rsid w:val="00DD1315"/>
    <w:rsid w:val="00DD132A"/>
    <w:rsid w:val="00DD1333"/>
    <w:rsid w:val="00DD1334"/>
    <w:rsid w:val="00DD135A"/>
    <w:rsid w:val="00DD1362"/>
    <w:rsid w:val="00DD13E2"/>
    <w:rsid w:val="00DD1468"/>
    <w:rsid w:val="00DD1484"/>
    <w:rsid w:val="00DD14DE"/>
    <w:rsid w:val="00DD14F5"/>
    <w:rsid w:val="00DD14F9"/>
    <w:rsid w:val="00DD153B"/>
    <w:rsid w:val="00DD1574"/>
    <w:rsid w:val="00DD1586"/>
    <w:rsid w:val="00DD158F"/>
    <w:rsid w:val="00DD15F4"/>
    <w:rsid w:val="00DD15FF"/>
    <w:rsid w:val="00DD1680"/>
    <w:rsid w:val="00DD1687"/>
    <w:rsid w:val="00DD16A1"/>
    <w:rsid w:val="00DD16AC"/>
    <w:rsid w:val="00DD179B"/>
    <w:rsid w:val="00DD192E"/>
    <w:rsid w:val="00DD197C"/>
    <w:rsid w:val="00DD1995"/>
    <w:rsid w:val="00DD19C2"/>
    <w:rsid w:val="00DD19D7"/>
    <w:rsid w:val="00DD19DA"/>
    <w:rsid w:val="00DD19EB"/>
    <w:rsid w:val="00DD1A2A"/>
    <w:rsid w:val="00DD1A7B"/>
    <w:rsid w:val="00DD1B0F"/>
    <w:rsid w:val="00DD1B23"/>
    <w:rsid w:val="00DD1B2F"/>
    <w:rsid w:val="00DD1B5F"/>
    <w:rsid w:val="00DD1BCE"/>
    <w:rsid w:val="00DD1BDA"/>
    <w:rsid w:val="00DD1BF5"/>
    <w:rsid w:val="00DD1BFE"/>
    <w:rsid w:val="00DD1C22"/>
    <w:rsid w:val="00DD1CEE"/>
    <w:rsid w:val="00DD1CEF"/>
    <w:rsid w:val="00DD1D0A"/>
    <w:rsid w:val="00DD1D94"/>
    <w:rsid w:val="00DD1DB0"/>
    <w:rsid w:val="00DD1DC4"/>
    <w:rsid w:val="00DD1DD1"/>
    <w:rsid w:val="00DD1DFF"/>
    <w:rsid w:val="00DD1E2E"/>
    <w:rsid w:val="00DD1E74"/>
    <w:rsid w:val="00DD1EE8"/>
    <w:rsid w:val="00DD1F5C"/>
    <w:rsid w:val="00DD1FFE"/>
    <w:rsid w:val="00DD201C"/>
    <w:rsid w:val="00DD2029"/>
    <w:rsid w:val="00DD20B9"/>
    <w:rsid w:val="00DD20C9"/>
    <w:rsid w:val="00DD211A"/>
    <w:rsid w:val="00DD2163"/>
    <w:rsid w:val="00DD218D"/>
    <w:rsid w:val="00DD21BA"/>
    <w:rsid w:val="00DD2211"/>
    <w:rsid w:val="00DD2233"/>
    <w:rsid w:val="00DD223D"/>
    <w:rsid w:val="00DD22E5"/>
    <w:rsid w:val="00DD2303"/>
    <w:rsid w:val="00DD234A"/>
    <w:rsid w:val="00DD237C"/>
    <w:rsid w:val="00DD238F"/>
    <w:rsid w:val="00DD245D"/>
    <w:rsid w:val="00DD24BA"/>
    <w:rsid w:val="00DD24E7"/>
    <w:rsid w:val="00DD25C3"/>
    <w:rsid w:val="00DD2606"/>
    <w:rsid w:val="00DD2628"/>
    <w:rsid w:val="00DD268A"/>
    <w:rsid w:val="00DD26FA"/>
    <w:rsid w:val="00DD2727"/>
    <w:rsid w:val="00DD273F"/>
    <w:rsid w:val="00DD276B"/>
    <w:rsid w:val="00DD277F"/>
    <w:rsid w:val="00DD279A"/>
    <w:rsid w:val="00DD27D1"/>
    <w:rsid w:val="00DD282E"/>
    <w:rsid w:val="00DD2837"/>
    <w:rsid w:val="00DD2842"/>
    <w:rsid w:val="00DD2864"/>
    <w:rsid w:val="00DD288B"/>
    <w:rsid w:val="00DD28AC"/>
    <w:rsid w:val="00DD28CF"/>
    <w:rsid w:val="00DD28EA"/>
    <w:rsid w:val="00DD28F5"/>
    <w:rsid w:val="00DD2970"/>
    <w:rsid w:val="00DD297A"/>
    <w:rsid w:val="00DD297B"/>
    <w:rsid w:val="00DD29A4"/>
    <w:rsid w:val="00DD29BC"/>
    <w:rsid w:val="00DD29D6"/>
    <w:rsid w:val="00DD2A49"/>
    <w:rsid w:val="00DD2A7E"/>
    <w:rsid w:val="00DD2A9C"/>
    <w:rsid w:val="00DD2AC3"/>
    <w:rsid w:val="00DD2B10"/>
    <w:rsid w:val="00DD2B3E"/>
    <w:rsid w:val="00DD2C5F"/>
    <w:rsid w:val="00DD2C77"/>
    <w:rsid w:val="00DD2D5C"/>
    <w:rsid w:val="00DD2D5D"/>
    <w:rsid w:val="00DD2D6B"/>
    <w:rsid w:val="00DD2DAA"/>
    <w:rsid w:val="00DD2DC5"/>
    <w:rsid w:val="00DD2DE0"/>
    <w:rsid w:val="00DD2E41"/>
    <w:rsid w:val="00DD2E4F"/>
    <w:rsid w:val="00DD2E84"/>
    <w:rsid w:val="00DD2E8B"/>
    <w:rsid w:val="00DD2EE9"/>
    <w:rsid w:val="00DD2EEE"/>
    <w:rsid w:val="00DD2F2B"/>
    <w:rsid w:val="00DD2FA1"/>
    <w:rsid w:val="00DD2FB0"/>
    <w:rsid w:val="00DD3015"/>
    <w:rsid w:val="00DD3025"/>
    <w:rsid w:val="00DD3065"/>
    <w:rsid w:val="00DD309A"/>
    <w:rsid w:val="00DD30DD"/>
    <w:rsid w:val="00DD3193"/>
    <w:rsid w:val="00DD3202"/>
    <w:rsid w:val="00DD322E"/>
    <w:rsid w:val="00DD3248"/>
    <w:rsid w:val="00DD3260"/>
    <w:rsid w:val="00DD32B7"/>
    <w:rsid w:val="00DD32BE"/>
    <w:rsid w:val="00DD3300"/>
    <w:rsid w:val="00DD3313"/>
    <w:rsid w:val="00DD3350"/>
    <w:rsid w:val="00DD33BA"/>
    <w:rsid w:val="00DD347A"/>
    <w:rsid w:val="00DD34BE"/>
    <w:rsid w:val="00DD34D5"/>
    <w:rsid w:val="00DD34D8"/>
    <w:rsid w:val="00DD353D"/>
    <w:rsid w:val="00DD35A2"/>
    <w:rsid w:val="00DD35C5"/>
    <w:rsid w:val="00DD361A"/>
    <w:rsid w:val="00DD3647"/>
    <w:rsid w:val="00DD3662"/>
    <w:rsid w:val="00DD36DF"/>
    <w:rsid w:val="00DD36F2"/>
    <w:rsid w:val="00DD372C"/>
    <w:rsid w:val="00DD374A"/>
    <w:rsid w:val="00DD3795"/>
    <w:rsid w:val="00DD37C3"/>
    <w:rsid w:val="00DD37CD"/>
    <w:rsid w:val="00DD383D"/>
    <w:rsid w:val="00DD38B5"/>
    <w:rsid w:val="00DD38D9"/>
    <w:rsid w:val="00DD38DC"/>
    <w:rsid w:val="00DD3901"/>
    <w:rsid w:val="00DD398A"/>
    <w:rsid w:val="00DD39A5"/>
    <w:rsid w:val="00DD39C7"/>
    <w:rsid w:val="00DD3A29"/>
    <w:rsid w:val="00DD3A5A"/>
    <w:rsid w:val="00DD3A5F"/>
    <w:rsid w:val="00DD3A7C"/>
    <w:rsid w:val="00DD3AF4"/>
    <w:rsid w:val="00DD3B05"/>
    <w:rsid w:val="00DD3B16"/>
    <w:rsid w:val="00DD3C3F"/>
    <w:rsid w:val="00DD3CCB"/>
    <w:rsid w:val="00DD3D13"/>
    <w:rsid w:val="00DD3D44"/>
    <w:rsid w:val="00DD3D65"/>
    <w:rsid w:val="00DD3D6A"/>
    <w:rsid w:val="00DD3D82"/>
    <w:rsid w:val="00DD3D8A"/>
    <w:rsid w:val="00DD3D8B"/>
    <w:rsid w:val="00DD3D9F"/>
    <w:rsid w:val="00DD3DF9"/>
    <w:rsid w:val="00DD3DFA"/>
    <w:rsid w:val="00DD3DFD"/>
    <w:rsid w:val="00DD3E3A"/>
    <w:rsid w:val="00DD3E45"/>
    <w:rsid w:val="00DD3E88"/>
    <w:rsid w:val="00DD3E95"/>
    <w:rsid w:val="00DD3EEC"/>
    <w:rsid w:val="00DD3F0A"/>
    <w:rsid w:val="00DD3F2D"/>
    <w:rsid w:val="00DD3F51"/>
    <w:rsid w:val="00DD3F62"/>
    <w:rsid w:val="00DD3FB9"/>
    <w:rsid w:val="00DD3FBE"/>
    <w:rsid w:val="00DD4160"/>
    <w:rsid w:val="00DD41B9"/>
    <w:rsid w:val="00DD4230"/>
    <w:rsid w:val="00DD4261"/>
    <w:rsid w:val="00DD4278"/>
    <w:rsid w:val="00DD42EC"/>
    <w:rsid w:val="00DD435A"/>
    <w:rsid w:val="00DD4365"/>
    <w:rsid w:val="00DD437C"/>
    <w:rsid w:val="00DD43D3"/>
    <w:rsid w:val="00DD44BC"/>
    <w:rsid w:val="00DD44F3"/>
    <w:rsid w:val="00DD459D"/>
    <w:rsid w:val="00DD4610"/>
    <w:rsid w:val="00DD46D8"/>
    <w:rsid w:val="00DD4732"/>
    <w:rsid w:val="00DD4759"/>
    <w:rsid w:val="00DD47A4"/>
    <w:rsid w:val="00DD47EB"/>
    <w:rsid w:val="00DD4810"/>
    <w:rsid w:val="00DD482B"/>
    <w:rsid w:val="00DD482E"/>
    <w:rsid w:val="00DD4881"/>
    <w:rsid w:val="00DD493C"/>
    <w:rsid w:val="00DD4982"/>
    <w:rsid w:val="00DD498B"/>
    <w:rsid w:val="00DD49DA"/>
    <w:rsid w:val="00DD4A13"/>
    <w:rsid w:val="00DD4A44"/>
    <w:rsid w:val="00DD4A75"/>
    <w:rsid w:val="00DD4AAB"/>
    <w:rsid w:val="00DD4ADA"/>
    <w:rsid w:val="00DD4B15"/>
    <w:rsid w:val="00DD4CBD"/>
    <w:rsid w:val="00DD4D1F"/>
    <w:rsid w:val="00DD4D20"/>
    <w:rsid w:val="00DD4D2C"/>
    <w:rsid w:val="00DD4D8B"/>
    <w:rsid w:val="00DD4DB7"/>
    <w:rsid w:val="00DD4E03"/>
    <w:rsid w:val="00DD4F0B"/>
    <w:rsid w:val="00DD4F26"/>
    <w:rsid w:val="00DD4F5F"/>
    <w:rsid w:val="00DD502B"/>
    <w:rsid w:val="00DD503F"/>
    <w:rsid w:val="00DD5091"/>
    <w:rsid w:val="00DD50F0"/>
    <w:rsid w:val="00DD515C"/>
    <w:rsid w:val="00DD51B7"/>
    <w:rsid w:val="00DD51D6"/>
    <w:rsid w:val="00DD51F8"/>
    <w:rsid w:val="00DD5222"/>
    <w:rsid w:val="00DD523E"/>
    <w:rsid w:val="00DD52B8"/>
    <w:rsid w:val="00DD5361"/>
    <w:rsid w:val="00DD53A9"/>
    <w:rsid w:val="00DD53DF"/>
    <w:rsid w:val="00DD5455"/>
    <w:rsid w:val="00DD5484"/>
    <w:rsid w:val="00DD54A0"/>
    <w:rsid w:val="00DD54DC"/>
    <w:rsid w:val="00DD5514"/>
    <w:rsid w:val="00DD551D"/>
    <w:rsid w:val="00DD5577"/>
    <w:rsid w:val="00DD55AC"/>
    <w:rsid w:val="00DD55B9"/>
    <w:rsid w:val="00DD5613"/>
    <w:rsid w:val="00DD5662"/>
    <w:rsid w:val="00DD5678"/>
    <w:rsid w:val="00DD56CC"/>
    <w:rsid w:val="00DD570D"/>
    <w:rsid w:val="00DD5716"/>
    <w:rsid w:val="00DD57B2"/>
    <w:rsid w:val="00DD5871"/>
    <w:rsid w:val="00DD5874"/>
    <w:rsid w:val="00DD5878"/>
    <w:rsid w:val="00DD58AC"/>
    <w:rsid w:val="00DD58C0"/>
    <w:rsid w:val="00DD598C"/>
    <w:rsid w:val="00DD59EE"/>
    <w:rsid w:val="00DD59F0"/>
    <w:rsid w:val="00DD5A75"/>
    <w:rsid w:val="00DD5AA5"/>
    <w:rsid w:val="00DD5AC9"/>
    <w:rsid w:val="00DD5B06"/>
    <w:rsid w:val="00DD5B3C"/>
    <w:rsid w:val="00DD5C08"/>
    <w:rsid w:val="00DD5C25"/>
    <w:rsid w:val="00DD5C54"/>
    <w:rsid w:val="00DD5C67"/>
    <w:rsid w:val="00DD5C9F"/>
    <w:rsid w:val="00DD5D32"/>
    <w:rsid w:val="00DD5D35"/>
    <w:rsid w:val="00DD5D3D"/>
    <w:rsid w:val="00DD5DA7"/>
    <w:rsid w:val="00DD5DDE"/>
    <w:rsid w:val="00DD5E24"/>
    <w:rsid w:val="00DD5EBF"/>
    <w:rsid w:val="00DD5EF7"/>
    <w:rsid w:val="00DD5F14"/>
    <w:rsid w:val="00DD5F42"/>
    <w:rsid w:val="00DD5FB5"/>
    <w:rsid w:val="00DD5FB6"/>
    <w:rsid w:val="00DD5FF3"/>
    <w:rsid w:val="00DD604F"/>
    <w:rsid w:val="00DD6063"/>
    <w:rsid w:val="00DD6107"/>
    <w:rsid w:val="00DD6145"/>
    <w:rsid w:val="00DD6315"/>
    <w:rsid w:val="00DD6318"/>
    <w:rsid w:val="00DD6352"/>
    <w:rsid w:val="00DD637A"/>
    <w:rsid w:val="00DD63D6"/>
    <w:rsid w:val="00DD647D"/>
    <w:rsid w:val="00DD64B1"/>
    <w:rsid w:val="00DD64D4"/>
    <w:rsid w:val="00DD6549"/>
    <w:rsid w:val="00DD65FF"/>
    <w:rsid w:val="00DD668F"/>
    <w:rsid w:val="00DD6758"/>
    <w:rsid w:val="00DD678C"/>
    <w:rsid w:val="00DD6852"/>
    <w:rsid w:val="00DD6874"/>
    <w:rsid w:val="00DD68A7"/>
    <w:rsid w:val="00DD68D2"/>
    <w:rsid w:val="00DD68F8"/>
    <w:rsid w:val="00DD6947"/>
    <w:rsid w:val="00DD698E"/>
    <w:rsid w:val="00DD6999"/>
    <w:rsid w:val="00DD699E"/>
    <w:rsid w:val="00DD69BE"/>
    <w:rsid w:val="00DD6A02"/>
    <w:rsid w:val="00DD6A05"/>
    <w:rsid w:val="00DD6A1D"/>
    <w:rsid w:val="00DD6AC7"/>
    <w:rsid w:val="00DD6AD8"/>
    <w:rsid w:val="00DD6B23"/>
    <w:rsid w:val="00DD6BD7"/>
    <w:rsid w:val="00DD6BDD"/>
    <w:rsid w:val="00DD6C1E"/>
    <w:rsid w:val="00DD6C24"/>
    <w:rsid w:val="00DD6C8F"/>
    <w:rsid w:val="00DD6CA8"/>
    <w:rsid w:val="00DD6CFF"/>
    <w:rsid w:val="00DD6D2E"/>
    <w:rsid w:val="00DD6D38"/>
    <w:rsid w:val="00DD6D99"/>
    <w:rsid w:val="00DD6DB8"/>
    <w:rsid w:val="00DD6E13"/>
    <w:rsid w:val="00DD6E38"/>
    <w:rsid w:val="00DD6E71"/>
    <w:rsid w:val="00DD6E82"/>
    <w:rsid w:val="00DD6EA2"/>
    <w:rsid w:val="00DD6EB4"/>
    <w:rsid w:val="00DD6EC8"/>
    <w:rsid w:val="00DD6EE8"/>
    <w:rsid w:val="00DD6F3A"/>
    <w:rsid w:val="00DD6F56"/>
    <w:rsid w:val="00DD6F92"/>
    <w:rsid w:val="00DD6FBA"/>
    <w:rsid w:val="00DD6FBC"/>
    <w:rsid w:val="00DD6FC1"/>
    <w:rsid w:val="00DD6FE2"/>
    <w:rsid w:val="00DD6FEC"/>
    <w:rsid w:val="00DD7073"/>
    <w:rsid w:val="00DD7084"/>
    <w:rsid w:val="00DD7097"/>
    <w:rsid w:val="00DD70F1"/>
    <w:rsid w:val="00DD70F7"/>
    <w:rsid w:val="00DD7119"/>
    <w:rsid w:val="00DD7148"/>
    <w:rsid w:val="00DD71A5"/>
    <w:rsid w:val="00DD7218"/>
    <w:rsid w:val="00DD72D4"/>
    <w:rsid w:val="00DD72E0"/>
    <w:rsid w:val="00DD7357"/>
    <w:rsid w:val="00DD738F"/>
    <w:rsid w:val="00DD7442"/>
    <w:rsid w:val="00DD7451"/>
    <w:rsid w:val="00DD74D5"/>
    <w:rsid w:val="00DD7515"/>
    <w:rsid w:val="00DD755B"/>
    <w:rsid w:val="00DD75F6"/>
    <w:rsid w:val="00DD7626"/>
    <w:rsid w:val="00DD7666"/>
    <w:rsid w:val="00DD7722"/>
    <w:rsid w:val="00DD7748"/>
    <w:rsid w:val="00DD7773"/>
    <w:rsid w:val="00DD780E"/>
    <w:rsid w:val="00DD7835"/>
    <w:rsid w:val="00DD786A"/>
    <w:rsid w:val="00DD7918"/>
    <w:rsid w:val="00DD7919"/>
    <w:rsid w:val="00DD7992"/>
    <w:rsid w:val="00DD79D6"/>
    <w:rsid w:val="00DD79E2"/>
    <w:rsid w:val="00DD7A2E"/>
    <w:rsid w:val="00DD7A33"/>
    <w:rsid w:val="00DD7A3C"/>
    <w:rsid w:val="00DD7ABE"/>
    <w:rsid w:val="00DD7AC9"/>
    <w:rsid w:val="00DD7AD7"/>
    <w:rsid w:val="00DD7B5D"/>
    <w:rsid w:val="00DD7B73"/>
    <w:rsid w:val="00DD7C76"/>
    <w:rsid w:val="00DD7C7A"/>
    <w:rsid w:val="00DD7C7C"/>
    <w:rsid w:val="00DD7C8B"/>
    <w:rsid w:val="00DD7DA7"/>
    <w:rsid w:val="00DD7E5A"/>
    <w:rsid w:val="00DD7E7C"/>
    <w:rsid w:val="00DD7EAE"/>
    <w:rsid w:val="00DD7F6C"/>
    <w:rsid w:val="00DD7F9A"/>
    <w:rsid w:val="00DD7FF8"/>
    <w:rsid w:val="00DE0015"/>
    <w:rsid w:val="00DE00C1"/>
    <w:rsid w:val="00DE00DB"/>
    <w:rsid w:val="00DE00E0"/>
    <w:rsid w:val="00DE0118"/>
    <w:rsid w:val="00DE012F"/>
    <w:rsid w:val="00DE0166"/>
    <w:rsid w:val="00DE0197"/>
    <w:rsid w:val="00DE01A6"/>
    <w:rsid w:val="00DE01EC"/>
    <w:rsid w:val="00DE02EF"/>
    <w:rsid w:val="00DE0308"/>
    <w:rsid w:val="00DE0351"/>
    <w:rsid w:val="00DE0355"/>
    <w:rsid w:val="00DE03C7"/>
    <w:rsid w:val="00DE03FB"/>
    <w:rsid w:val="00DE0433"/>
    <w:rsid w:val="00DE0448"/>
    <w:rsid w:val="00DE0460"/>
    <w:rsid w:val="00DE050A"/>
    <w:rsid w:val="00DE05D1"/>
    <w:rsid w:val="00DE0612"/>
    <w:rsid w:val="00DE0642"/>
    <w:rsid w:val="00DE069A"/>
    <w:rsid w:val="00DE072D"/>
    <w:rsid w:val="00DE0767"/>
    <w:rsid w:val="00DE0772"/>
    <w:rsid w:val="00DE0782"/>
    <w:rsid w:val="00DE07CD"/>
    <w:rsid w:val="00DE081D"/>
    <w:rsid w:val="00DE0828"/>
    <w:rsid w:val="00DE0861"/>
    <w:rsid w:val="00DE091A"/>
    <w:rsid w:val="00DE097F"/>
    <w:rsid w:val="00DE09B0"/>
    <w:rsid w:val="00DE09BE"/>
    <w:rsid w:val="00DE09FA"/>
    <w:rsid w:val="00DE0A2C"/>
    <w:rsid w:val="00DE0A3B"/>
    <w:rsid w:val="00DE0A47"/>
    <w:rsid w:val="00DE0A6F"/>
    <w:rsid w:val="00DE0A8A"/>
    <w:rsid w:val="00DE0AA1"/>
    <w:rsid w:val="00DE0AC7"/>
    <w:rsid w:val="00DE0B5B"/>
    <w:rsid w:val="00DE0BAF"/>
    <w:rsid w:val="00DE0BC4"/>
    <w:rsid w:val="00DE0BE0"/>
    <w:rsid w:val="00DE0BFA"/>
    <w:rsid w:val="00DE0C02"/>
    <w:rsid w:val="00DE0C57"/>
    <w:rsid w:val="00DE0C5A"/>
    <w:rsid w:val="00DE0C5F"/>
    <w:rsid w:val="00DE0DD4"/>
    <w:rsid w:val="00DE0E1F"/>
    <w:rsid w:val="00DE0E80"/>
    <w:rsid w:val="00DE1075"/>
    <w:rsid w:val="00DE11C7"/>
    <w:rsid w:val="00DE11E1"/>
    <w:rsid w:val="00DE122F"/>
    <w:rsid w:val="00DE1259"/>
    <w:rsid w:val="00DE12C9"/>
    <w:rsid w:val="00DE1301"/>
    <w:rsid w:val="00DE131C"/>
    <w:rsid w:val="00DE1387"/>
    <w:rsid w:val="00DE13B6"/>
    <w:rsid w:val="00DE13F9"/>
    <w:rsid w:val="00DE1414"/>
    <w:rsid w:val="00DE1418"/>
    <w:rsid w:val="00DE145E"/>
    <w:rsid w:val="00DE1461"/>
    <w:rsid w:val="00DE14C4"/>
    <w:rsid w:val="00DE1536"/>
    <w:rsid w:val="00DE1644"/>
    <w:rsid w:val="00DE16A7"/>
    <w:rsid w:val="00DE1779"/>
    <w:rsid w:val="00DE1787"/>
    <w:rsid w:val="00DE17A0"/>
    <w:rsid w:val="00DE17A8"/>
    <w:rsid w:val="00DE17FF"/>
    <w:rsid w:val="00DE1839"/>
    <w:rsid w:val="00DE183A"/>
    <w:rsid w:val="00DE186F"/>
    <w:rsid w:val="00DE18A2"/>
    <w:rsid w:val="00DE194B"/>
    <w:rsid w:val="00DE196A"/>
    <w:rsid w:val="00DE1992"/>
    <w:rsid w:val="00DE19AE"/>
    <w:rsid w:val="00DE19DC"/>
    <w:rsid w:val="00DE1A47"/>
    <w:rsid w:val="00DE1A49"/>
    <w:rsid w:val="00DE1A55"/>
    <w:rsid w:val="00DE1A93"/>
    <w:rsid w:val="00DE1A9E"/>
    <w:rsid w:val="00DE1AE0"/>
    <w:rsid w:val="00DE1AE1"/>
    <w:rsid w:val="00DE1AEF"/>
    <w:rsid w:val="00DE1B37"/>
    <w:rsid w:val="00DE1B5B"/>
    <w:rsid w:val="00DE1BC2"/>
    <w:rsid w:val="00DE1C6B"/>
    <w:rsid w:val="00DE1C70"/>
    <w:rsid w:val="00DE1CAE"/>
    <w:rsid w:val="00DE1CD9"/>
    <w:rsid w:val="00DE1CDD"/>
    <w:rsid w:val="00DE1CE4"/>
    <w:rsid w:val="00DE1D00"/>
    <w:rsid w:val="00DE1D6A"/>
    <w:rsid w:val="00DE1E2D"/>
    <w:rsid w:val="00DE1E51"/>
    <w:rsid w:val="00DE1E58"/>
    <w:rsid w:val="00DE1E82"/>
    <w:rsid w:val="00DE1EBF"/>
    <w:rsid w:val="00DE1EC0"/>
    <w:rsid w:val="00DE1F29"/>
    <w:rsid w:val="00DE1F94"/>
    <w:rsid w:val="00DE1FEB"/>
    <w:rsid w:val="00DE20BE"/>
    <w:rsid w:val="00DE2119"/>
    <w:rsid w:val="00DE2131"/>
    <w:rsid w:val="00DE21F2"/>
    <w:rsid w:val="00DE220C"/>
    <w:rsid w:val="00DE2262"/>
    <w:rsid w:val="00DE2273"/>
    <w:rsid w:val="00DE22AE"/>
    <w:rsid w:val="00DE22D2"/>
    <w:rsid w:val="00DE232A"/>
    <w:rsid w:val="00DE2333"/>
    <w:rsid w:val="00DE23AF"/>
    <w:rsid w:val="00DE23B4"/>
    <w:rsid w:val="00DE23B7"/>
    <w:rsid w:val="00DE242A"/>
    <w:rsid w:val="00DE24A0"/>
    <w:rsid w:val="00DE24B5"/>
    <w:rsid w:val="00DE24CA"/>
    <w:rsid w:val="00DE258F"/>
    <w:rsid w:val="00DE2632"/>
    <w:rsid w:val="00DE2671"/>
    <w:rsid w:val="00DE26B9"/>
    <w:rsid w:val="00DE2778"/>
    <w:rsid w:val="00DE27C5"/>
    <w:rsid w:val="00DE27D2"/>
    <w:rsid w:val="00DE28AE"/>
    <w:rsid w:val="00DE2900"/>
    <w:rsid w:val="00DE2972"/>
    <w:rsid w:val="00DE29D1"/>
    <w:rsid w:val="00DE29D8"/>
    <w:rsid w:val="00DE2A26"/>
    <w:rsid w:val="00DE2A3E"/>
    <w:rsid w:val="00DE2AC7"/>
    <w:rsid w:val="00DE2ADC"/>
    <w:rsid w:val="00DE2B27"/>
    <w:rsid w:val="00DE2B6A"/>
    <w:rsid w:val="00DE2B73"/>
    <w:rsid w:val="00DE2C0C"/>
    <w:rsid w:val="00DE2C40"/>
    <w:rsid w:val="00DE2C42"/>
    <w:rsid w:val="00DE2D11"/>
    <w:rsid w:val="00DE2D25"/>
    <w:rsid w:val="00DE2D41"/>
    <w:rsid w:val="00DE2DD4"/>
    <w:rsid w:val="00DE2DE6"/>
    <w:rsid w:val="00DE2E84"/>
    <w:rsid w:val="00DE2FA0"/>
    <w:rsid w:val="00DE3004"/>
    <w:rsid w:val="00DE300F"/>
    <w:rsid w:val="00DE309C"/>
    <w:rsid w:val="00DE30A0"/>
    <w:rsid w:val="00DE30BE"/>
    <w:rsid w:val="00DE3104"/>
    <w:rsid w:val="00DE311A"/>
    <w:rsid w:val="00DE3120"/>
    <w:rsid w:val="00DE3139"/>
    <w:rsid w:val="00DE3197"/>
    <w:rsid w:val="00DE3263"/>
    <w:rsid w:val="00DE3281"/>
    <w:rsid w:val="00DE3287"/>
    <w:rsid w:val="00DE329E"/>
    <w:rsid w:val="00DE32A2"/>
    <w:rsid w:val="00DE32B2"/>
    <w:rsid w:val="00DE32E8"/>
    <w:rsid w:val="00DE333B"/>
    <w:rsid w:val="00DE3371"/>
    <w:rsid w:val="00DE338F"/>
    <w:rsid w:val="00DE3392"/>
    <w:rsid w:val="00DE3397"/>
    <w:rsid w:val="00DE33B4"/>
    <w:rsid w:val="00DE33E7"/>
    <w:rsid w:val="00DE3434"/>
    <w:rsid w:val="00DE343A"/>
    <w:rsid w:val="00DE3457"/>
    <w:rsid w:val="00DE34B8"/>
    <w:rsid w:val="00DE34D1"/>
    <w:rsid w:val="00DE34F3"/>
    <w:rsid w:val="00DE352E"/>
    <w:rsid w:val="00DE3537"/>
    <w:rsid w:val="00DE353B"/>
    <w:rsid w:val="00DE35D4"/>
    <w:rsid w:val="00DE35F3"/>
    <w:rsid w:val="00DE365B"/>
    <w:rsid w:val="00DE36C7"/>
    <w:rsid w:val="00DE36EB"/>
    <w:rsid w:val="00DE36EE"/>
    <w:rsid w:val="00DE3789"/>
    <w:rsid w:val="00DE37CB"/>
    <w:rsid w:val="00DE37F4"/>
    <w:rsid w:val="00DE3814"/>
    <w:rsid w:val="00DE381E"/>
    <w:rsid w:val="00DE38D5"/>
    <w:rsid w:val="00DE38E7"/>
    <w:rsid w:val="00DE3909"/>
    <w:rsid w:val="00DE3976"/>
    <w:rsid w:val="00DE3991"/>
    <w:rsid w:val="00DE3A3F"/>
    <w:rsid w:val="00DE3A47"/>
    <w:rsid w:val="00DE3A53"/>
    <w:rsid w:val="00DE3A74"/>
    <w:rsid w:val="00DE3AB4"/>
    <w:rsid w:val="00DE3ACF"/>
    <w:rsid w:val="00DE3AF1"/>
    <w:rsid w:val="00DE3B81"/>
    <w:rsid w:val="00DE3BB6"/>
    <w:rsid w:val="00DE3BC7"/>
    <w:rsid w:val="00DE3C02"/>
    <w:rsid w:val="00DE3C9F"/>
    <w:rsid w:val="00DE3CEB"/>
    <w:rsid w:val="00DE3D74"/>
    <w:rsid w:val="00DE3D8E"/>
    <w:rsid w:val="00DE3E92"/>
    <w:rsid w:val="00DE3EB2"/>
    <w:rsid w:val="00DE3ED7"/>
    <w:rsid w:val="00DE3EEC"/>
    <w:rsid w:val="00DE3EF8"/>
    <w:rsid w:val="00DE3F2D"/>
    <w:rsid w:val="00DE3F67"/>
    <w:rsid w:val="00DE3F7E"/>
    <w:rsid w:val="00DE3F7F"/>
    <w:rsid w:val="00DE3F8A"/>
    <w:rsid w:val="00DE3FA1"/>
    <w:rsid w:val="00DE3FFB"/>
    <w:rsid w:val="00DE4070"/>
    <w:rsid w:val="00DE4072"/>
    <w:rsid w:val="00DE40CE"/>
    <w:rsid w:val="00DE4120"/>
    <w:rsid w:val="00DE413B"/>
    <w:rsid w:val="00DE417B"/>
    <w:rsid w:val="00DE41C6"/>
    <w:rsid w:val="00DE41E2"/>
    <w:rsid w:val="00DE41EE"/>
    <w:rsid w:val="00DE4239"/>
    <w:rsid w:val="00DE42BC"/>
    <w:rsid w:val="00DE42F8"/>
    <w:rsid w:val="00DE4390"/>
    <w:rsid w:val="00DE439A"/>
    <w:rsid w:val="00DE43AE"/>
    <w:rsid w:val="00DE43BA"/>
    <w:rsid w:val="00DE4467"/>
    <w:rsid w:val="00DE447E"/>
    <w:rsid w:val="00DE448C"/>
    <w:rsid w:val="00DE44AB"/>
    <w:rsid w:val="00DE44CC"/>
    <w:rsid w:val="00DE4511"/>
    <w:rsid w:val="00DE4539"/>
    <w:rsid w:val="00DE45D2"/>
    <w:rsid w:val="00DE465B"/>
    <w:rsid w:val="00DE46AC"/>
    <w:rsid w:val="00DE46D6"/>
    <w:rsid w:val="00DE46EC"/>
    <w:rsid w:val="00DE473D"/>
    <w:rsid w:val="00DE475F"/>
    <w:rsid w:val="00DE4791"/>
    <w:rsid w:val="00DE480C"/>
    <w:rsid w:val="00DE4887"/>
    <w:rsid w:val="00DE48CB"/>
    <w:rsid w:val="00DE491A"/>
    <w:rsid w:val="00DE4923"/>
    <w:rsid w:val="00DE49D9"/>
    <w:rsid w:val="00DE4A58"/>
    <w:rsid w:val="00DE4AC4"/>
    <w:rsid w:val="00DE4AE0"/>
    <w:rsid w:val="00DE4B17"/>
    <w:rsid w:val="00DE4B30"/>
    <w:rsid w:val="00DE4B65"/>
    <w:rsid w:val="00DE4BA6"/>
    <w:rsid w:val="00DE4C59"/>
    <w:rsid w:val="00DE4C67"/>
    <w:rsid w:val="00DE4C9D"/>
    <w:rsid w:val="00DE4CA1"/>
    <w:rsid w:val="00DE4CBE"/>
    <w:rsid w:val="00DE4DB6"/>
    <w:rsid w:val="00DE4DF8"/>
    <w:rsid w:val="00DE4E2F"/>
    <w:rsid w:val="00DE4EF2"/>
    <w:rsid w:val="00DE4F23"/>
    <w:rsid w:val="00DE4F5E"/>
    <w:rsid w:val="00DE4FBE"/>
    <w:rsid w:val="00DE5008"/>
    <w:rsid w:val="00DE5022"/>
    <w:rsid w:val="00DE502C"/>
    <w:rsid w:val="00DE50AC"/>
    <w:rsid w:val="00DE50E3"/>
    <w:rsid w:val="00DE51B5"/>
    <w:rsid w:val="00DE520D"/>
    <w:rsid w:val="00DE5255"/>
    <w:rsid w:val="00DE525D"/>
    <w:rsid w:val="00DE526B"/>
    <w:rsid w:val="00DE52F5"/>
    <w:rsid w:val="00DE533A"/>
    <w:rsid w:val="00DE5360"/>
    <w:rsid w:val="00DE5385"/>
    <w:rsid w:val="00DE549F"/>
    <w:rsid w:val="00DE54B9"/>
    <w:rsid w:val="00DE5507"/>
    <w:rsid w:val="00DE550D"/>
    <w:rsid w:val="00DE5595"/>
    <w:rsid w:val="00DE5641"/>
    <w:rsid w:val="00DE567E"/>
    <w:rsid w:val="00DE56A4"/>
    <w:rsid w:val="00DE56E5"/>
    <w:rsid w:val="00DE5782"/>
    <w:rsid w:val="00DE57A4"/>
    <w:rsid w:val="00DE57C7"/>
    <w:rsid w:val="00DE57EE"/>
    <w:rsid w:val="00DE5801"/>
    <w:rsid w:val="00DE5811"/>
    <w:rsid w:val="00DE5838"/>
    <w:rsid w:val="00DE584C"/>
    <w:rsid w:val="00DE585A"/>
    <w:rsid w:val="00DE5904"/>
    <w:rsid w:val="00DE5923"/>
    <w:rsid w:val="00DE599B"/>
    <w:rsid w:val="00DE59DC"/>
    <w:rsid w:val="00DE59FA"/>
    <w:rsid w:val="00DE5A24"/>
    <w:rsid w:val="00DE5A5E"/>
    <w:rsid w:val="00DE5A7A"/>
    <w:rsid w:val="00DE5AE6"/>
    <w:rsid w:val="00DE5B03"/>
    <w:rsid w:val="00DE5B37"/>
    <w:rsid w:val="00DE5B3E"/>
    <w:rsid w:val="00DE5B7B"/>
    <w:rsid w:val="00DE5BA8"/>
    <w:rsid w:val="00DE5C77"/>
    <w:rsid w:val="00DE5C80"/>
    <w:rsid w:val="00DE5D26"/>
    <w:rsid w:val="00DE5D2F"/>
    <w:rsid w:val="00DE5D41"/>
    <w:rsid w:val="00DE5D50"/>
    <w:rsid w:val="00DE5DB1"/>
    <w:rsid w:val="00DE5DE0"/>
    <w:rsid w:val="00DE5DE7"/>
    <w:rsid w:val="00DE5E21"/>
    <w:rsid w:val="00DE5E6B"/>
    <w:rsid w:val="00DE5E94"/>
    <w:rsid w:val="00DE5ECE"/>
    <w:rsid w:val="00DE5F63"/>
    <w:rsid w:val="00DE5F6A"/>
    <w:rsid w:val="00DE5F97"/>
    <w:rsid w:val="00DE6003"/>
    <w:rsid w:val="00DE6029"/>
    <w:rsid w:val="00DE6032"/>
    <w:rsid w:val="00DE606C"/>
    <w:rsid w:val="00DE606D"/>
    <w:rsid w:val="00DE6082"/>
    <w:rsid w:val="00DE609F"/>
    <w:rsid w:val="00DE60CB"/>
    <w:rsid w:val="00DE610A"/>
    <w:rsid w:val="00DE613E"/>
    <w:rsid w:val="00DE6158"/>
    <w:rsid w:val="00DE624F"/>
    <w:rsid w:val="00DE6267"/>
    <w:rsid w:val="00DE62A8"/>
    <w:rsid w:val="00DE62C7"/>
    <w:rsid w:val="00DE6310"/>
    <w:rsid w:val="00DE6334"/>
    <w:rsid w:val="00DE634D"/>
    <w:rsid w:val="00DE638C"/>
    <w:rsid w:val="00DE63AC"/>
    <w:rsid w:val="00DE63DB"/>
    <w:rsid w:val="00DE63E9"/>
    <w:rsid w:val="00DE6400"/>
    <w:rsid w:val="00DE6413"/>
    <w:rsid w:val="00DE6456"/>
    <w:rsid w:val="00DE6477"/>
    <w:rsid w:val="00DE64CE"/>
    <w:rsid w:val="00DE6501"/>
    <w:rsid w:val="00DE655C"/>
    <w:rsid w:val="00DE6613"/>
    <w:rsid w:val="00DE666E"/>
    <w:rsid w:val="00DE667B"/>
    <w:rsid w:val="00DE66D8"/>
    <w:rsid w:val="00DE6701"/>
    <w:rsid w:val="00DE672E"/>
    <w:rsid w:val="00DE6746"/>
    <w:rsid w:val="00DE67D7"/>
    <w:rsid w:val="00DE6899"/>
    <w:rsid w:val="00DE68F0"/>
    <w:rsid w:val="00DE695D"/>
    <w:rsid w:val="00DE69FB"/>
    <w:rsid w:val="00DE6A03"/>
    <w:rsid w:val="00DE6ACB"/>
    <w:rsid w:val="00DE6B59"/>
    <w:rsid w:val="00DE6B70"/>
    <w:rsid w:val="00DE6B7F"/>
    <w:rsid w:val="00DE6C04"/>
    <w:rsid w:val="00DE6C09"/>
    <w:rsid w:val="00DE6CAB"/>
    <w:rsid w:val="00DE6CC9"/>
    <w:rsid w:val="00DE6D60"/>
    <w:rsid w:val="00DE6D89"/>
    <w:rsid w:val="00DE6D9D"/>
    <w:rsid w:val="00DE6DA8"/>
    <w:rsid w:val="00DE6DED"/>
    <w:rsid w:val="00DE6E17"/>
    <w:rsid w:val="00DE6E41"/>
    <w:rsid w:val="00DE6E61"/>
    <w:rsid w:val="00DE6E98"/>
    <w:rsid w:val="00DE6F68"/>
    <w:rsid w:val="00DE6F6E"/>
    <w:rsid w:val="00DE6FC5"/>
    <w:rsid w:val="00DE6FCF"/>
    <w:rsid w:val="00DE704B"/>
    <w:rsid w:val="00DE70BB"/>
    <w:rsid w:val="00DE7104"/>
    <w:rsid w:val="00DE710E"/>
    <w:rsid w:val="00DE713A"/>
    <w:rsid w:val="00DE715C"/>
    <w:rsid w:val="00DE7187"/>
    <w:rsid w:val="00DE71C7"/>
    <w:rsid w:val="00DE7207"/>
    <w:rsid w:val="00DE728B"/>
    <w:rsid w:val="00DE72A6"/>
    <w:rsid w:val="00DE73AE"/>
    <w:rsid w:val="00DE73B1"/>
    <w:rsid w:val="00DE73B5"/>
    <w:rsid w:val="00DE7480"/>
    <w:rsid w:val="00DE748F"/>
    <w:rsid w:val="00DE74E0"/>
    <w:rsid w:val="00DE752B"/>
    <w:rsid w:val="00DE7665"/>
    <w:rsid w:val="00DE76C9"/>
    <w:rsid w:val="00DE76EC"/>
    <w:rsid w:val="00DE7724"/>
    <w:rsid w:val="00DE7746"/>
    <w:rsid w:val="00DE7795"/>
    <w:rsid w:val="00DE77D6"/>
    <w:rsid w:val="00DE77ED"/>
    <w:rsid w:val="00DE7819"/>
    <w:rsid w:val="00DE7878"/>
    <w:rsid w:val="00DE78A1"/>
    <w:rsid w:val="00DE78C1"/>
    <w:rsid w:val="00DE78D1"/>
    <w:rsid w:val="00DE7966"/>
    <w:rsid w:val="00DE7A83"/>
    <w:rsid w:val="00DE7A9B"/>
    <w:rsid w:val="00DE7B00"/>
    <w:rsid w:val="00DE7B57"/>
    <w:rsid w:val="00DE7BA4"/>
    <w:rsid w:val="00DE7BFC"/>
    <w:rsid w:val="00DE7C0C"/>
    <w:rsid w:val="00DE7C14"/>
    <w:rsid w:val="00DE7C3B"/>
    <w:rsid w:val="00DE7CCF"/>
    <w:rsid w:val="00DE7CF7"/>
    <w:rsid w:val="00DE7D0F"/>
    <w:rsid w:val="00DE7D16"/>
    <w:rsid w:val="00DE7D3B"/>
    <w:rsid w:val="00DE7D3F"/>
    <w:rsid w:val="00DE7D5C"/>
    <w:rsid w:val="00DE7D66"/>
    <w:rsid w:val="00DE7DE9"/>
    <w:rsid w:val="00DE7DEC"/>
    <w:rsid w:val="00DE7E13"/>
    <w:rsid w:val="00DE7E24"/>
    <w:rsid w:val="00DE7E86"/>
    <w:rsid w:val="00DE7EBA"/>
    <w:rsid w:val="00DE7F32"/>
    <w:rsid w:val="00DE7F44"/>
    <w:rsid w:val="00DE7F65"/>
    <w:rsid w:val="00DE7FDF"/>
    <w:rsid w:val="00DE7FED"/>
    <w:rsid w:val="00DF001C"/>
    <w:rsid w:val="00DF0038"/>
    <w:rsid w:val="00DF005C"/>
    <w:rsid w:val="00DF00F9"/>
    <w:rsid w:val="00DF013A"/>
    <w:rsid w:val="00DF0145"/>
    <w:rsid w:val="00DF0162"/>
    <w:rsid w:val="00DF0170"/>
    <w:rsid w:val="00DF0193"/>
    <w:rsid w:val="00DF01B7"/>
    <w:rsid w:val="00DF01BC"/>
    <w:rsid w:val="00DF0202"/>
    <w:rsid w:val="00DF020C"/>
    <w:rsid w:val="00DF023F"/>
    <w:rsid w:val="00DF02AE"/>
    <w:rsid w:val="00DF02E2"/>
    <w:rsid w:val="00DF0337"/>
    <w:rsid w:val="00DF0390"/>
    <w:rsid w:val="00DF03AF"/>
    <w:rsid w:val="00DF03B8"/>
    <w:rsid w:val="00DF03C2"/>
    <w:rsid w:val="00DF03F9"/>
    <w:rsid w:val="00DF0446"/>
    <w:rsid w:val="00DF046C"/>
    <w:rsid w:val="00DF0478"/>
    <w:rsid w:val="00DF04D4"/>
    <w:rsid w:val="00DF055D"/>
    <w:rsid w:val="00DF05EC"/>
    <w:rsid w:val="00DF05ED"/>
    <w:rsid w:val="00DF064A"/>
    <w:rsid w:val="00DF0793"/>
    <w:rsid w:val="00DF0794"/>
    <w:rsid w:val="00DF0799"/>
    <w:rsid w:val="00DF07AE"/>
    <w:rsid w:val="00DF07C3"/>
    <w:rsid w:val="00DF080B"/>
    <w:rsid w:val="00DF082A"/>
    <w:rsid w:val="00DF0853"/>
    <w:rsid w:val="00DF088D"/>
    <w:rsid w:val="00DF08DC"/>
    <w:rsid w:val="00DF09A3"/>
    <w:rsid w:val="00DF0A29"/>
    <w:rsid w:val="00DF0AAE"/>
    <w:rsid w:val="00DF0ADE"/>
    <w:rsid w:val="00DF0AE7"/>
    <w:rsid w:val="00DF0B16"/>
    <w:rsid w:val="00DF0B62"/>
    <w:rsid w:val="00DF0B77"/>
    <w:rsid w:val="00DF0D65"/>
    <w:rsid w:val="00DF0D7F"/>
    <w:rsid w:val="00DF0DCE"/>
    <w:rsid w:val="00DF0E02"/>
    <w:rsid w:val="00DF0E81"/>
    <w:rsid w:val="00DF0E97"/>
    <w:rsid w:val="00DF0EBC"/>
    <w:rsid w:val="00DF0F0E"/>
    <w:rsid w:val="00DF0F0F"/>
    <w:rsid w:val="00DF0F30"/>
    <w:rsid w:val="00DF0F31"/>
    <w:rsid w:val="00DF0F3E"/>
    <w:rsid w:val="00DF0F5D"/>
    <w:rsid w:val="00DF0F5F"/>
    <w:rsid w:val="00DF0F80"/>
    <w:rsid w:val="00DF0F95"/>
    <w:rsid w:val="00DF1005"/>
    <w:rsid w:val="00DF1096"/>
    <w:rsid w:val="00DF109F"/>
    <w:rsid w:val="00DF1177"/>
    <w:rsid w:val="00DF1181"/>
    <w:rsid w:val="00DF1194"/>
    <w:rsid w:val="00DF11CB"/>
    <w:rsid w:val="00DF1297"/>
    <w:rsid w:val="00DF12C5"/>
    <w:rsid w:val="00DF1316"/>
    <w:rsid w:val="00DF1378"/>
    <w:rsid w:val="00DF13BD"/>
    <w:rsid w:val="00DF13C9"/>
    <w:rsid w:val="00DF1442"/>
    <w:rsid w:val="00DF1457"/>
    <w:rsid w:val="00DF1481"/>
    <w:rsid w:val="00DF14B3"/>
    <w:rsid w:val="00DF1517"/>
    <w:rsid w:val="00DF1542"/>
    <w:rsid w:val="00DF15ED"/>
    <w:rsid w:val="00DF1626"/>
    <w:rsid w:val="00DF164D"/>
    <w:rsid w:val="00DF1672"/>
    <w:rsid w:val="00DF167E"/>
    <w:rsid w:val="00DF16FF"/>
    <w:rsid w:val="00DF1700"/>
    <w:rsid w:val="00DF17B2"/>
    <w:rsid w:val="00DF17BA"/>
    <w:rsid w:val="00DF1812"/>
    <w:rsid w:val="00DF1841"/>
    <w:rsid w:val="00DF186E"/>
    <w:rsid w:val="00DF18AF"/>
    <w:rsid w:val="00DF1911"/>
    <w:rsid w:val="00DF1919"/>
    <w:rsid w:val="00DF1925"/>
    <w:rsid w:val="00DF195B"/>
    <w:rsid w:val="00DF19A9"/>
    <w:rsid w:val="00DF1A0D"/>
    <w:rsid w:val="00DF1A16"/>
    <w:rsid w:val="00DF1A1A"/>
    <w:rsid w:val="00DF1A46"/>
    <w:rsid w:val="00DF1A49"/>
    <w:rsid w:val="00DF1B4D"/>
    <w:rsid w:val="00DF1BE1"/>
    <w:rsid w:val="00DF1C06"/>
    <w:rsid w:val="00DF1CAA"/>
    <w:rsid w:val="00DF1CF1"/>
    <w:rsid w:val="00DF1D50"/>
    <w:rsid w:val="00DF1DAA"/>
    <w:rsid w:val="00DF1E02"/>
    <w:rsid w:val="00DF1E03"/>
    <w:rsid w:val="00DF1E3D"/>
    <w:rsid w:val="00DF1E40"/>
    <w:rsid w:val="00DF1E54"/>
    <w:rsid w:val="00DF1E59"/>
    <w:rsid w:val="00DF1EE7"/>
    <w:rsid w:val="00DF1F68"/>
    <w:rsid w:val="00DF1F96"/>
    <w:rsid w:val="00DF1FB2"/>
    <w:rsid w:val="00DF1FC7"/>
    <w:rsid w:val="00DF2031"/>
    <w:rsid w:val="00DF207B"/>
    <w:rsid w:val="00DF20B4"/>
    <w:rsid w:val="00DF20CC"/>
    <w:rsid w:val="00DF20FE"/>
    <w:rsid w:val="00DF216D"/>
    <w:rsid w:val="00DF21AA"/>
    <w:rsid w:val="00DF21D8"/>
    <w:rsid w:val="00DF21E9"/>
    <w:rsid w:val="00DF21F7"/>
    <w:rsid w:val="00DF2241"/>
    <w:rsid w:val="00DF2283"/>
    <w:rsid w:val="00DF22A9"/>
    <w:rsid w:val="00DF232F"/>
    <w:rsid w:val="00DF23A4"/>
    <w:rsid w:val="00DF2406"/>
    <w:rsid w:val="00DF24B8"/>
    <w:rsid w:val="00DF2511"/>
    <w:rsid w:val="00DF251E"/>
    <w:rsid w:val="00DF252D"/>
    <w:rsid w:val="00DF259B"/>
    <w:rsid w:val="00DF25A0"/>
    <w:rsid w:val="00DF25C1"/>
    <w:rsid w:val="00DF2608"/>
    <w:rsid w:val="00DF269D"/>
    <w:rsid w:val="00DF26FD"/>
    <w:rsid w:val="00DF2705"/>
    <w:rsid w:val="00DF2721"/>
    <w:rsid w:val="00DF27C3"/>
    <w:rsid w:val="00DF27FE"/>
    <w:rsid w:val="00DF28BD"/>
    <w:rsid w:val="00DF28DD"/>
    <w:rsid w:val="00DF292E"/>
    <w:rsid w:val="00DF294A"/>
    <w:rsid w:val="00DF29E3"/>
    <w:rsid w:val="00DF29F7"/>
    <w:rsid w:val="00DF29FA"/>
    <w:rsid w:val="00DF2A01"/>
    <w:rsid w:val="00DF2ABA"/>
    <w:rsid w:val="00DF2B32"/>
    <w:rsid w:val="00DF2B8B"/>
    <w:rsid w:val="00DF2C18"/>
    <w:rsid w:val="00DF2C6F"/>
    <w:rsid w:val="00DF2CE7"/>
    <w:rsid w:val="00DF2CF3"/>
    <w:rsid w:val="00DF2D17"/>
    <w:rsid w:val="00DF2D48"/>
    <w:rsid w:val="00DF2D59"/>
    <w:rsid w:val="00DF2D99"/>
    <w:rsid w:val="00DF2E68"/>
    <w:rsid w:val="00DF2EAB"/>
    <w:rsid w:val="00DF2EF1"/>
    <w:rsid w:val="00DF2EF9"/>
    <w:rsid w:val="00DF2F09"/>
    <w:rsid w:val="00DF2F55"/>
    <w:rsid w:val="00DF2F60"/>
    <w:rsid w:val="00DF2FDA"/>
    <w:rsid w:val="00DF3037"/>
    <w:rsid w:val="00DF31C0"/>
    <w:rsid w:val="00DF31F8"/>
    <w:rsid w:val="00DF31FF"/>
    <w:rsid w:val="00DF322B"/>
    <w:rsid w:val="00DF325F"/>
    <w:rsid w:val="00DF3269"/>
    <w:rsid w:val="00DF333F"/>
    <w:rsid w:val="00DF3341"/>
    <w:rsid w:val="00DF3345"/>
    <w:rsid w:val="00DF337B"/>
    <w:rsid w:val="00DF3394"/>
    <w:rsid w:val="00DF33CE"/>
    <w:rsid w:val="00DF347F"/>
    <w:rsid w:val="00DF348A"/>
    <w:rsid w:val="00DF34CF"/>
    <w:rsid w:val="00DF3529"/>
    <w:rsid w:val="00DF3543"/>
    <w:rsid w:val="00DF3546"/>
    <w:rsid w:val="00DF355F"/>
    <w:rsid w:val="00DF35D1"/>
    <w:rsid w:val="00DF35E2"/>
    <w:rsid w:val="00DF35F1"/>
    <w:rsid w:val="00DF361C"/>
    <w:rsid w:val="00DF368D"/>
    <w:rsid w:val="00DF36E4"/>
    <w:rsid w:val="00DF37B6"/>
    <w:rsid w:val="00DF37DD"/>
    <w:rsid w:val="00DF37F2"/>
    <w:rsid w:val="00DF385D"/>
    <w:rsid w:val="00DF3884"/>
    <w:rsid w:val="00DF38FD"/>
    <w:rsid w:val="00DF3905"/>
    <w:rsid w:val="00DF3942"/>
    <w:rsid w:val="00DF3943"/>
    <w:rsid w:val="00DF397F"/>
    <w:rsid w:val="00DF3999"/>
    <w:rsid w:val="00DF399A"/>
    <w:rsid w:val="00DF39A3"/>
    <w:rsid w:val="00DF3A2A"/>
    <w:rsid w:val="00DF3A51"/>
    <w:rsid w:val="00DF3AE9"/>
    <w:rsid w:val="00DF3B02"/>
    <w:rsid w:val="00DF3BD1"/>
    <w:rsid w:val="00DF3BEC"/>
    <w:rsid w:val="00DF3C90"/>
    <w:rsid w:val="00DF3C98"/>
    <w:rsid w:val="00DF3CE7"/>
    <w:rsid w:val="00DF3CF7"/>
    <w:rsid w:val="00DF3D36"/>
    <w:rsid w:val="00DF3DC4"/>
    <w:rsid w:val="00DF3DD7"/>
    <w:rsid w:val="00DF3DD9"/>
    <w:rsid w:val="00DF3E08"/>
    <w:rsid w:val="00DF3E24"/>
    <w:rsid w:val="00DF3E58"/>
    <w:rsid w:val="00DF3E6E"/>
    <w:rsid w:val="00DF3F05"/>
    <w:rsid w:val="00DF3F35"/>
    <w:rsid w:val="00DF3FB4"/>
    <w:rsid w:val="00DF3FCB"/>
    <w:rsid w:val="00DF3FCD"/>
    <w:rsid w:val="00DF3FDF"/>
    <w:rsid w:val="00DF3FE0"/>
    <w:rsid w:val="00DF3FE5"/>
    <w:rsid w:val="00DF400E"/>
    <w:rsid w:val="00DF4021"/>
    <w:rsid w:val="00DF405F"/>
    <w:rsid w:val="00DF40B2"/>
    <w:rsid w:val="00DF40E8"/>
    <w:rsid w:val="00DF413B"/>
    <w:rsid w:val="00DF416C"/>
    <w:rsid w:val="00DF4177"/>
    <w:rsid w:val="00DF41C1"/>
    <w:rsid w:val="00DF4243"/>
    <w:rsid w:val="00DF425B"/>
    <w:rsid w:val="00DF42FC"/>
    <w:rsid w:val="00DF4314"/>
    <w:rsid w:val="00DF43A5"/>
    <w:rsid w:val="00DF4406"/>
    <w:rsid w:val="00DF4434"/>
    <w:rsid w:val="00DF4440"/>
    <w:rsid w:val="00DF450D"/>
    <w:rsid w:val="00DF4513"/>
    <w:rsid w:val="00DF4561"/>
    <w:rsid w:val="00DF45CD"/>
    <w:rsid w:val="00DF4672"/>
    <w:rsid w:val="00DF469D"/>
    <w:rsid w:val="00DF4703"/>
    <w:rsid w:val="00DF471D"/>
    <w:rsid w:val="00DF4759"/>
    <w:rsid w:val="00DF47A1"/>
    <w:rsid w:val="00DF4827"/>
    <w:rsid w:val="00DF484E"/>
    <w:rsid w:val="00DF48ED"/>
    <w:rsid w:val="00DF4920"/>
    <w:rsid w:val="00DF49CC"/>
    <w:rsid w:val="00DF4A00"/>
    <w:rsid w:val="00DF4A25"/>
    <w:rsid w:val="00DF4A38"/>
    <w:rsid w:val="00DF4A7D"/>
    <w:rsid w:val="00DF4AA4"/>
    <w:rsid w:val="00DF4ABC"/>
    <w:rsid w:val="00DF4AFD"/>
    <w:rsid w:val="00DF4B05"/>
    <w:rsid w:val="00DF4B12"/>
    <w:rsid w:val="00DF4B22"/>
    <w:rsid w:val="00DF4B25"/>
    <w:rsid w:val="00DF4B2C"/>
    <w:rsid w:val="00DF4BBA"/>
    <w:rsid w:val="00DF4BE9"/>
    <w:rsid w:val="00DF4C05"/>
    <w:rsid w:val="00DF4C8A"/>
    <w:rsid w:val="00DF4C8F"/>
    <w:rsid w:val="00DF4CC2"/>
    <w:rsid w:val="00DF4D04"/>
    <w:rsid w:val="00DF4D48"/>
    <w:rsid w:val="00DF4D62"/>
    <w:rsid w:val="00DF4D68"/>
    <w:rsid w:val="00DF4D98"/>
    <w:rsid w:val="00DF4DD5"/>
    <w:rsid w:val="00DF4E2C"/>
    <w:rsid w:val="00DF4E8C"/>
    <w:rsid w:val="00DF4FBF"/>
    <w:rsid w:val="00DF503A"/>
    <w:rsid w:val="00DF506B"/>
    <w:rsid w:val="00DF50A3"/>
    <w:rsid w:val="00DF5193"/>
    <w:rsid w:val="00DF519D"/>
    <w:rsid w:val="00DF520D"/>
    <w:rsid w:val="00DF5258"/>
    <w:rsid w:val="00DF52A0"/>
    <w:rsid w:val="00DF52C1"/>
    <w:rsid w:val="00DF5353"/>
    <w:rsid w:val="00DF5369"/>
    <w:rsid w:val="00DF540E"/>
    <w:rsid w:val="00DF542B"/>
    <w:rsid w:val="00DF5434"/>
    <w:rsid w:val="00DF5466"/>
    <w:rsid w:val="00DF551C"/>
    <w:rsid w:val="00DF55F6"/>
    <w:rsid w:val="00DF5631"/>
    <w:rsid w:val="00DF56CE"/>
    <w:rsid w:val="00DF5761"/>
    <w:rsid w:val="00DF5771"/>
    <w:rsid w:val="00DF57C8"/>
    <w:rsid w:val="00DF5815"/>
    <w:rsid w:val="00DF5825"/>
    <w:rsid w:val="00DF58CC"/>
    <w:rsid w:val="00DF5907"/>
    <w:rsid w:val="00DF5974"/>
    <w:rsid w:val="00DF5990"/>
    <w:rsid w:val="00DF599D"/>
    <w:rsid w:val="00DF59D5"/>
    <w:rsid w:val="00DF5A16"/>
    <w:rsid w:val="00DF5A21"/>
    <w:rsid w:val="00DF5A94"/>
    <w:rsid w:val="00DF5B17"/>
    <w:rsid w:val="00DF5B3F"/>
    <w:rsid w:val="00DF5B8F"/>
    <w:rsid w:val="00DF5C09"/>
    <w:rsid w:val="00DF5C47"/>
    <w:rsid w:val="00DF5C49"/>
    <w:rsid w:val="00DF5CD0"/>
    <w:rsid w:val="00DF5CF2"/>
    <w:rsid w:val="00DF5D20"/>
    <w:rsid w:val="00DF5D67"/>
    <w:rsid w:val="00DF5D96"/>
    <w:rsid w:val="00DF5E02"/>
    <w:rsid w:val="00DF5E22"/>
    <w:rsid w:val="00DF5E6D"/>
    <w:rsid w:val="00DF5E70"/>
    <w:rsid w:val="00DF5F06"/>
    <w:rsid w:val="00DF5F97"/>
    <w:rsid w:val="00DF5FA4"/>
    <w:rsid w:val="00DF6025"/>
    <w:rsid w:val="00DF603E"/>
    <w:rsid w:val="00DF6046"/>
    <w:rsid w:val="00DF608B"/>
    <w:rsid w:val="00DF60C6"/>
    <w:rsid w:val="00DF610D"/>
    <w:rsid w:val="00DF61A6"/>
    <w:rsid w:val="00DF62AC"/>
    <w:rsid w:val="00DF630F"/>
    <w:rsid w:val="00DF6346"/>
    <w:rsid w:val="00DF634D"/>
    <w:rsid w:val="00DF637B"/>
    <w:rsid w:val="00DF63B9"/>
    <w:rsid w:val="00DF6403"/>
    <w:rsid w:val="00DF642F"/>
    <w:rsid w:val="00DF643F"/>
    <w:rsid w:val="00DF64DE"/>
    <w:rsid w:val="00DF6505"/>
    <w:rsid w:val="00DF6554"/>
    <w:rsid w:val="00DF659F"/>
    <w:rsid w:val="00DF65A0"/>
    <w:rsid w:val="00DF65A4"/>
    <w:rsid w:val="00DF65C4"/>
    <w:rsid w:val="00DF6610"/>
    <w:rsid w:val="00DF6655"/>
    <w:rsid w:val="00DF669B"/>
    <w:rsid w:val="00DF66C1"/>
    <w:rsid w:val="00DF6708"/>
    <w:rsid w:val="00DF672A"/>
    <w:rsid w:val="00DF672B"/>
    <w:rsid w:val="00DF672E"/>
    <w:rsid w:val="00DF674A"/>
    <w:rsid w:val="00DF6788"/>
    <w:rsid w:val="00DF67F8"/>
    <w:rsid w:val="00DF6845"/>
    <w:rsid w:val="00DF68C0"/>
    <w:rsid w:val="00DF6909"/>
    <w:rsid w:val="00DF690E"/>
    <w:rsid w:val="00DF691C"/>
    <w:rsid w:val="00DF692D"/>
    <w:rsid w:val="00DF69C2"/>
    <w:rsid w:val="00DF69F6"/>
    <w:rsid w:val="00DF6A34"/>
    <w:rsid w:val="00DF6A72"/>
    <w:rsid w:val="00DF6AA1"/>
    <w:rsid w:val="00DF6B0B"/>
    <w:rsid w:val="00DF6B1E"/>
    <w:rsid w:val="00DF6B20"/>
    <w:rsid w:val="00DF6B3C"/>
    <w:rsid w:val="00DF6B8A"/>
    <w:rsid w:val="00DF6BA9"/>
    <w:rsid w:val="00DF6BE5"/>
    <w:rsid w:val="00DF6C12"/>
    <w:rsid w:val="00DF6C56"/>
    <w:rsid w:val="00DF6DA7"/>
    <w:rsid w:val="00DF6DAA"/>
    <w:rsid w:val="00DF6DF3"/>
    <w:rsid w:val="00DF6E03"/>
    <w:rsid w:val="00DF6E1D"/>
    <w:rsid w:val="00DF6E8B"/>
    <w:rsid w:val="00DF6F8B"/>
    <w:rsid w:val="00DF7025"/>
    <w:rsid w:val="00DF704D"/>
    <w:rsid w:val="00DF70B5"/>
    <w:rsid w:val="00DF70FB"/>
    <w:rsid w:val="00DF711D"/>
    <w:rsid w:val="00DF712C"/>
    <w:rsid w:val="00DF713B"/>
    <w:rsid w:val="00DF71AC"/>
    <w:rsid w:val="00DF71D3"/>
    <w:rsid w:val="00DF720D"/>
    <w:rsid w:val="00DF721D"/>
    <w:rsid w:val="00DF724C"/>
    <w:rsid w:val="00DF729E"/>
    <w:rsid w:val="00DF732E"/>
    <w:rsid w:val="00DF7348"/>
    <w:rsid w:val="00DF7373"/>
    <w:rsid w:val="00DF739D"/>
    <w:rsid w:val="00DF7434"/>
    <w:rsid w:val="00DF7438"/>
    <w:rsid w:val="00DF743A"/>
    <w:rsid w:val="00DF7454"/>
    <w:rsid w:val="00DF74EC"/>
    <w:rsid w:val="00DF74F1"/>
    <w:rsid w:val="00DF750A"/>
    <w:rsid w:val="00DF750C"/>
    <w:rsid w:val="00DF7523"/>
    <w:rsid w:val="00DF7543"/>
    <w:rsid w:val="00DF7558"/>
    <w:rsid w:val="00DF757E"/>
    <w:rsid w:val="00DF757F"/>
    <w:rsid w:val="00DF75BA"/>
    <w:rsid w:val="00DF7653"/>
    <w:rsid w:val="00DF76BB"/>
    <w:rsid w:val="00DF76D6"/>
    <w:rsid w:val="00DF7764"/>
    <w:rsid w:val="00DF7778"/>
    <w:rsid w:val="00DF77C2"/>
    <w:rsid w:val="00DF77D2"/>
    <w:rsid w:val="00DF7855"/>
    <w:rsid w:val="00DF7868"/>
    <w:rsid w:val="00DF7895"/>
    <w:rsid w:val="00DF7947"/>
    <w:rsid w:val="00DF794E"/>
    <w:rsid w:val="00DF7994"/>
    <w:rsid w:val="00DF7996"/>
    <w:rsid w:val="00DF7998"/>
    <w:rsid w:val="00DF79E8"/>
    <w:rsid w:val="00DF7A0F"/>
    <w:rsid w:val="00DF7A40"/>
    <w:rsid w:val="00DF7A60"/>
    <w:rsid w:val="00DF7ADF"/>
    <w:rsid w:val="00DF7B03"/>
    <w:rsid w:val="00DF7B40"/>
    <w:rsid w:val="00DF7B73"/>
    <w:rsid w:val="00DF7BCA"/>
    <w:rsid w:val="00DF7C64"/>
    <w:rsid w:val="00DF7C7D"/>
    <w:rsid w:val="00DF7C81"/>
    <w:rsid w:val="00DF7CB9"/>
    <w:rsid w:val="00DF7CDE"/>
    <w:rsid w:val="00DF7CED"/>
    <w:rsid w:val="00DF7D37"/>
    <w:rsid w:val="00DF7D5C"/>
    <w:rsid w:val="00DF7D7C"/>
    <w:rsid w:val="00DF7D90"/>
    <w:rsid w:val="00DF7DCD"/>
    <w:rsid w:val="00DF7E09"/>
    <w:rsid w:val="00DF7E45"/>
    <w:rsid w:val="00DF7EC8"/>
    <w:rsid w:val="00DF7ED8"/>
    <w:rsid w:val="00DF7EF3"/>
    <w:rsid w:val="00DF7F15"/>
    <w:rsid w:val="00DF7F39"/>
    <w:rsid w:val="00DF7F63"/>
    <w:rsid w:val="00DF7F6A"/>
    <w:rsid w:val="00DF7F78"/>
    <w:rsid w:val="00DF7F7E"/>
    <w:rsid w:val="00DF7FAA"/>
    <w:rsid w:val="00DFBC2F"/>
    <w:rsid w:val="00E0001A"/>
    <w:rsid w:val="00E0002F"/>
    <w:rsid w:val="00E00034"/>
    <w:rsid w:val="00E0003A"/>
    <w:rsid w:val="00E00101"/>
    <w:rsid w:val="00E00150"/>
    <w:rsid w:val="00E00195"/>
    <w:rsid w:val="00E0019B"/>
    <w:rsid w:val="00E001A5"/>
    <w:rsid w:val="00E001BC"/>
    <w:rsid w:val="00E001CD"/>
    <w:rsid w:val="00E00230"/>
    <w:rsid w:val="00E002A9"/>
    <w:rsid w:val="00E002F2"/>
    <w:rsid w:val="00E00300"/>
    <w:rsid w:val="00E00305"/>
    <w:rsid w:val="00E00328"/>
    <w:rsid w:val="00E003AB"/>
    <w:rsid w:val="00E0040F"/>
    <w:rsid w:val="00E00484"/>
    <w:rsid w:val="00E004A6"/>
    <w:rsid w:val="00E004B6"/>
    <w:rsid w:val="00E004CD"/>
    <w:rsid w:val="00E004E1"/>
    <w:rsid w:val="00E0054B"/>
    <w:rsid w:val="00E00568"/>
    <w:rsid w:val="00E005DA"/>
    <w:rsid w:val="00E005F0"/>
    <w:rsid w:val="00E00622"/>
    <w:rsid w:val="00E006A6"/>
    <w:rsid w:val="00E0070F"/>
    <w:rsid w:val="00E0074D"/>
    <w:rsid w:val="00E007B8"/>
    <w:rsid w:val="00E007D8"/>
    <w:rsid w:val="00E007ED"/>
    <w:rsid w:val="00E008FD"/>
    <w:rsid w:val="00E00927"/>
    <w:rsid w:val="00E0092F"/>
    <w:rsid w:val="00E0099F"/>
    <w:rsid w:val="00E00A03"/>
    <w:rsid w:val="00E00A47"/>
    <w:rsid w:val="00E00AE8"/>
    <w:rsid w:val="00E00AED"/>
    <w:rsid w:val="00E00B16"/>
    <w:rsid w:val="00E00B65"/>
    <w:rsid w:val="00E00B7C"/>
    <w:rsid w:val="00E00B89"/>
    <w:rsid w:val="00E00BD1"/>
    <w:rsid w:val="00E00BE2"/>
    <w:rsid w:val="00E00C1C"/>
    <w:rsid w:val="00E00C40"/>
    <w:rsid w:val="00E00CE0"/>
    <w:rsid w:val="00E00CEC"/>
    <w:rsid w:val="00E00D2D"/>
    <w:rsid w:val="00E00D3B"/>
    <w:rsid w:val="00E00D96"/>
    <w:rsid w:val="00E00E00"/>
    <w:rsid w:val="00E00EFA"/>
    <w:rsid w:val="00E00F03"/>
    <w:rsid w:val="00E00F18"/>
    <w:rsid w:val="00E00F29"/>
    <w:rsid w:val="00E00F45"/>
    <w:rsid w:val="00E00FB2"/>
    <w:rsid w:val="00E00FC2"/>
    <w:rsid w:val="00E00FC5"/>
    <w:rsid w:val="00E00FFF"/>
    <w:rsid w:val="00E01032"/>
    <w:rsid w:val="00E01033"/>
    <w:rsid w:val="00E01063"/>
    <w:rsid w:val="00E010CF"/>
    <w:rsid w:val="00E010D5"/>
    <w:rsid w:val="00E01157"/>
    <w:rsid w:val="00E011BD"/>
    <w:rsid w:val="00E01243"/>
    <w:rsid w:val="00E01273"/>
    <w:rsid w:val="00E012A5"/>
    <w:rsid w:val="00E012C3"/>
    <w:rsid w:val="00E0130A"/>
    <w:rsid w:val="00E01362"/>
    <w:rsid w:val="00E01391"/>
    <w:rsid w:val="00E013A2"/>
    <w:rsid w:val="00E0145F"/>
    <w:rsid w:val="00E01474"/>
    <w:rsid w:val="00E014DE"/>
    <w:rsid w:val="00E014ED"/>
    <w:rsid w:val="00E01570"/>
    <w:rsid w:val="00E0165A"/>
    <w:rsid w:val="00E0166B"/>
    <w:rsid w:val="00E0168B"/>
    <w:rsid w:val="00E016A4"/>
    <w:rsid w:val="00E016D5"/>
    <w:rsid w:val="00E016F4"/>
    <w:rsid w:val="00E0170D"/>
    <w:rsid w:val="00E01732"/>
    <w:rsid w:val="00E0173B"/>
    <w:rsid w:val="00E01774"/>
    <w:rsid w:val="00E0177B"/>
    <w:rsid w:val="00E0179E"/>
    <w:rsid w:val="00E017C5"/>
    <w:rsid w:val="00E017DF"/>
    <w:rsid w:val="00E01817"/>
    <w:rsid w:val="00E01857"/>
    <w:rsid w:val="00E018BC"/>
    <w:rsid w:val="00E018DB"/>
    <w:rsid w:val="00E018F1"/>
    <w:rsid w:val="00E0190B"/>
    <w:rsid w:val="00E01915"/>
    <w:rsid w:val="00E0192C"/>
    <w:rsid w:val="00E01944"/>
    <w:rsid w:val="00E01951"/>
    <w:rsid w:val="00E019A3"/>
    <w:rsid w:val="00E01A05"/>
    <w:rsid w:val="00E01A2A"/>
    <w:rsid w:val="00E01BAA"/>
    <w:rsid w:val="00E01BB3"/>
    <w:rsid w:val="00E01BD6"/>
    <w:rsid w:val="00E01BEB"/>
    <w:rsid w:val="00E01C27"/>
    <w:rsid w:val="00E01C86"/>
    <w:rsid w:val="00E01CE2"/>
    <w:rsid w:val="00E01D07"/>
    <w:rsid w:val="00E01D37"/>
    <w:rsid w:val="00E01D47"/>
    <w:rsid w:val="00E01E39"/>
    <w:rsid w:val="00E01E43"/>
    <w:rsid w:val="00E01E6A"/>
    <w:rsid w:val="00E01E82"/>
    <w:rsid w:val="00E01EC1"/>
    <w:rsid w:val="00E01F1A"/>
    <w:rsid w:val="00E01F32"/>
    <w:rsid w:val="00E01F4B"/>
    <w:rsid w:val="00E01F68"/>
    <w:rsid w:val="00E01F9E"/>
    <w:rsid w:val="00E01FA7"/>
    <w:rsid w:val="00E02032"/>
    <w:rsid w:val="00E0205F"/>
    <w:rsid w:val="00E02104"/>
    <w:rsid w:val="00E021F0"/>
    <w:rsid w:val="00E0224E"/>
    <w:rsid w:val="00E0227A"/>
    <w:rsid w:val="00E02285"/>
    <w:rsid w:val="00E0230D"/>
    <w:rsid w:val="00E023BC"/>
    <w:rsid w:val="00E0240E"/>
    <w:rsid w:val="00E0244A"/>
    <w:rsid w:val="00E0247E"/>
    <w:rsid w:val="00E02518"/>
    <w:rsid w:val="00E02548"/>
    <w:rsid w:val="00E025A5"/>
    <w:rsid w:val="00E02631"/>
    <w:rsid w:val="00E026AE"/>
    <w:rsid w:val="00E026B0"/>
    <w:rsid w:val="00E026C5"/>
    <w:rsid w:val="00E0270C"/>
    <w:rsid w:val="00E02728"/>
    <w:rsid w:val="00E02731"/>
    <w:rsid w:val="00E02756"/>
    <w:rsid w:val="00E0276F"/>
    <w:rsid w:val="00E0277B"/>
    <w:rsid w:val="00E027CD"/>
    <w:rsid w:val="00E0283D"/>
    <w:rsid w:val="00E0289C"/>
    <w:rsid w:val="00E028DF"/>
    <w:rsid w:val="00E0293D"/>
    <w:rsid w:val="00E02A26"/>
    <w:rsid w:val="00E02A42"/>
    <w:rsid w:val="00E02A51"/>
    <w:rsid w:val="00E02A98"/>
    <w:rsid w:val="00E02ABB"/>
    <w:rsid w:val="00E02AFB"/>
    <w:rsid w:val="00E02BEC"/>
    <w:rsid w:val="00E02BF1"/>
    <w:rsid w:val="00E02C03"/>
    <w:rsid w:val="00E02C5C"/>
    <w:rsid w:val="00E02C72"/>
    <w:rsid w:val="00E02CA5"/>
    <w:rsid w:val="00E02CBE"/>
    <w:rsid w:val="00E02D1F"/>
    <w:rsid w:val="00E02D98"/>
    <w:rsid w:val="00E02E42"/>
    <w:rsid w:val="00E02EAF"/>
    <w:rsid w:val="00E02F09"/>
    <w:rsid w:val="00E02F44"/>
    <w:rsid w:val="00E02F6F"/>
    <w:rsid w:val="00E02FA4"/>
    <w:rsid w:val="00E0301E"/>
    <w:rsid w:val="00E03053"/>
    <w:rsid w:val="00E030B4"/>
    <w:rsid w:val="00E03102"/>
    <w:rsid w:val="00E0311D"/>
    <w:rsid w:val="00E031C3"/>
    <w:rsid w:val="00E0325F"/>
    <w:rsid w:val="00E0326D"/>
    <w:rsid w:val="00E03273"/>
    <w:rsid w:val="00E03284"/>
    <w:rsid w:val="00E0328E"/>
    <w:rsid w:val="00E032D5"/>
    <w:rsid w:val="00E03346"/>
    <w:rsid w:val="00E03358"/>
    <w:rsid w:val="00E033D9"/>
    <w:rsid w:val="00E033E2"/>
    <w:rsid w:val="00E033EF"/>
    <w:rsid w:val="00E03456"/>
    <w:rsid w:val="00E03577"/>
    <w:rsid w:val="00E035FF"/>
    <w:rsid w:val="00E03617"/>
    <w:rsid w:val="00E0365D"/>
    <w:rsid w:val="00E036DC"/>
    <w:rsid w:val="00E036F6"/>
    <w:rsid w:val="00E036F8"/>
    <w:rsid w:val="00E03724"/>
    <w:rsid w:val="00E0372A"/>
    <w:rsid w:val="00E0377F"/>
    <w:rsid w:val="00E037C9"/>
    <w:rsid w:val="00E037EA"/>
    <w:rsid w:val="00E0381E"/>
    <w:rsid w:val="00E03909"/>
    <w:rsid w:val="00E039B9"/>
    <w:rsid w:val="00E039C5"/>
    <w:rsid w:val="00E039F7"/>
    <w:rsid w:val="00E03A40"/>
    <w:rsid w:val="00E03A67"/>
    <w:rsid w:val="00E03AD2"/>
    <w:rsid w:val="00E03B05"/>
    <w:rsid w:val="00E03B0D"/>
    <w:rsid w:val="00E03B95"/>
    <w:rsid w:val="00E03B99"/>
    <w:rsid w:val="00E03BA9"/>
    <w:rsid w:val="00E03C0A"/>
    <w:rsid w:val="00E03C53"/>
    <w:rsid w:val="00E03C67"/>
    <w:rsid w:val="00E03CE7"/>
    <w:rsid w:val="00E03D33"/>
    <w:rsid w:val="00E03D56"/>
    <w:rsid w:val="00E03D8C"/>
    <w:rsid w:val="00E03DDF"/>
    <w:rsid w:val="00E03DE8"/>
    <w:rsid w:val="00E03DF3"/>
    <w:rsid w:val="00E03E2F"/>
    <w:rsid w:val="00E03EB8"/>
    <w:rsid w:val="00E03F0B"/>
    <w:rsid w:val="00E03F4A"/>
    <w:rsid w:val="00E03F9F"/>
    <w:rsid w:val="00E03FD5"/>
    <w:rsid w:val="00E04022"/>
    <w:rsid w:val="00E0402B"/>
    <w:rsid w:val="00E0408E"/>
    <w:rsid w:val="00E04110"/>
    <w:rsid w:val="00E0414B"/>
    <w:rsid w:val="00E04168"/>
    <w:rsid w:val="00E04173"/>
    <w:rsid w:val="00E04176"/>
    <w:rsid w:val="00E041F4"/>
    <w:rsid w:val="00E04226"/>
    <w:rsid w:val="00E04236"/>
    <w:rsid w:val="00E04281"/>
    <w:rsid w:val="00E042BD"/>
    <w:rsid w:val="00E0435E"/>
    <w:rsid w:val="00E04369"/>
    <w:rsid w:val="00E043A1"/>
    <w:rsid w:val="00E043F2"/>
    <w:rsid w:val="00E04424"/>
    <w:rsid w:val="00E0444E"/>
    <w:rsid w:val="00E04472"/>
    <w:rsid w:val="00E04513"/>
    <w:rsid w:val="00E046C9"/>
    <w:rsid w:val="00E046DA"/>
    <w:rsid w:val="00E046F1"/>
    <w:rsid w:val="00E046FB"/>
    <w:rsid w:val="00E0471D"/>
    <w:rsid w:val="00E0476C"/>
    <w:rsid w:val="00E0482F"/>
    <w:rsid w:val="00E048DF"/>
    <w:rsid w:val="00E048F0"/>
    <w:rsid w:val="00E048FA"/>
    <w:rsid w:val="00E04926"/>
    <w:rsid w:val="00E04936"/>
    <w:rsid w:val="00E04938"/>
    <w:rsid w:val="00E0494C"/>
    <w:rsid w:val="00E049E0"/>
    <w:rsid w:val="00E049FB"/>
    <w:rsid w:val="00E04A72"/>
    <w:rsid w:val="00E04A9B"/>
    <w:rsid w:val="00E04AC2"/>
    <w:rsid w:val="00E04AF6"/>
    <w:rsid w:val="00E04B41"/>
    <w:rsid w:val="00E04B51"/>
    <w:rsid w:val="00E04B97"/>
    <w:rsid w:val="00E04BD4"/>
    <w:rsid w:val="00E04BD7"/>
    <w:rsid w:val="00E04BE1"/>
    <w:rsid w:val="00E04C0E"/>
    <w:rsid w:val="00E04C9C"/>
    <w:rsid w:val="00E04CB7"/>
    <w:rsid w:val="00E04CC4"/>
    <w:rsid w:val="00E04CF6"/>
    <w:rsid w:val="00E04D0F"/>
    <w:rsid w:val="00E04D89"/>
    <w:rsid w:val="00E04E50"/>
    <w:rsid w:val="00E04EAA"/>
    <w:rsid w:val="00E04F73"/>
    <w:rsid w:val="00E04FD6"/>
    <w:rsid w:val="00E05090"/>
    <w:rsid w:val="00E050AB"/>
    <w:rsid w:val="00E050E1"/>
    <w:rsid w:val="00E05100"/>
    <w:rsid w:val="00E0514F"/>
    <w:rsid w:val="00E0520D"/>
    <w:rsid w:val="00E05246"/>
    <w:rsid w:val="00E0528A"/>
    <w:rsid w:val="00E0538C"/>
    <w:rsid w:val="00E053A4"/>
    <w:rsid w:val="00E0540B"/>
    <w:rsid w:val="00E05503"/>
    <w:rsid w:val="00E0557A"/>
    <w:rsid w:val="00E0557C"/>
    <w:rsid w:val="00E05594"/>
    <w:rsid w:val="00E055D0"/>
    <w:rsid w:val="00E05611"/>
    <w:rsid w:val="00E05616"/>
    <w:rsid w:val="00E0562B"/>
    <w:rsid w:val="00E0563D"/>
    <w:rsid w:val="00E05643"/>
    <w:rsid w:val="00E05701"/>
    <w:rsid w:val="00E05749"/>
    <w:rsid w:val="00E05754"/>
    <w:rsid w:val="00E0577F"/>
    <w:rsid w:val="00E05781"/>
    <w:rsid w:val="00E057FE"/>
    <w:rsid w:val="00E05829"/>
    <w:rsid w:val="00E05841"/>
    <w:rsid w:val="00E058E5"/>
    <w:rsid w:val="00E05918"/>
    <w:rsid w:val="00E05957"/>
    <w:rsid w:val="00E05979"/>
    <w:rsid w:val="00E05985"/>
    <w:rsid w:val="00E05A12"/>
    <w:rsid w:val="00E05A1D"/>
    <w:rsid w:val="00E05A2B"/>
    <w:rsid w:val="00E05A58"/>
    <w:rsid w:val="00E05AB3"/>
    <w:rsid w:val="00E05AE9"/>
    <w:rsid w:val="00E05B46"/>
    <w:rsid w:val="00E05C52"/>
    <w:rsid w:val="00E05CD9"/>
    <w:rsid w:val="00E05CDC"/>
    <w:rsid w:val="00E05CEE"/>
    <w:rsid w:val="00E05D15"/>
    <w:rsid w:val="00E05D25"/>
    <w:rsid w:val="00E05DCF"/>
    <w:rsid w:val="00E05DF7"/>
    <w:rsid w:val="00E05E22"/>
    <w:rsid w:val="00E05E28"/>
    <w:rsid w:val="00E05E2D"/>
    <w:rsid w:val="00E05E2F"/>
    <w:rsid w:val="00E05E73"/>
    <w:rsid w:val="00E05F52"/>
    <w:rsid w:val="00E05F61"/>
    <w:rsid w:val="00E0603E"/>
    <w:rsid w:val="00E06059"/>
    <w:rsid w:val="00E06076"/>
    <w:rsid w:val="00E06081"/>
    <w:rsid w:val="00E060B0"/>
    <w:rsid w:val="00E060C2"/>
    <w:rsid w:val="00E0612F"/>
    <w:rsid w:val="00E061EA"/>
    <w:rsid w:val="00E061FB"/>
    <w:rsid w:val="00E06231"/>
    <w:rsid w:val="00E06233"/>
    <w:rsid w:val="00E06272"/>
    <w:rsid w:val="00E0628B"/>
    <w:rsid w:val="00E06358"/>
    <w:rsid w:val="00E063CA"/>
    <w:rsid w:val="00E063E1"/>
    <w:rsid w:val="00E063F0"/>
    <w:rsid w:val="00E0641D"/>
    <w:rsid w:val="00E064C4"/>
    <w:rsid w:val="00E064F7"/>
    <w:rsid w:val="00E06515"/>
    <w:rsid w:val="00E06569"/>
    <w:rsid w:val="00E06619"/>
    <w:rsid w:val="00E06623"/>
    <w:rsid w:val="00E0666F"/>
    <w:rsid w:val="00E066BF"/>
    <w:rsid w:val="00E0672E"/>
    <w:rsid w:val="00E06740"/>
    <w:rsid w:val="00E06744"/>
    <w:rsid w:val="00E06785"/>
    <w:rsid w:val="00E067BE"/>
    <w:rsid w:val="00E06839"/>
    <w:rsid w:val="00E06881"/>
    <w:rsid w:val="00E0692B"/>
    <w:rsid w:val="00E06983"/>
    <w:rsid w:val="00E0699E"/>
    <w:rsid w:val="00E069A4"/>
    <w:rsid w:val="00E069B2"/>
    <w:rsid w:val="00E06A67"/>
    <w:rsid w:val="00E06A79"/>
    <w:rsid w:val="00E06B9C"/>
    <w:rsid w:val="00E06BB5"/>
    <w:rsid w:val="00E06BE2"/>
    <w:rsid w:val="00E06C2C"/>
    <w:rsid w:val="00E06C41"/>
    <w:rsid w:val="00E06CC2"/>
    <w:rsid w:val="00E06CE3"/>
    <w:rsid w:val="00E06D0D"/>
    <w:rsid w:val="00E06D26"/>
    <w:rsid w:val="00E06D48"/>
    <w:rsid w:val="00E06D59"/>
    <w:rsid w:val="00E06DBE"/>
    <w:rsid w:val="00E06E19"/>
    <w:rsid w:val="00E06E38"/>
    <w:rsid w:val="00E06E41"/>
    <w:rsid w:val="00E06E84"/>
    <w:rsid w:val="00E06E8D"/>
    <w:rsid w:val="00E06EB5"/>
    <w:rsid w:val="00E06EBC"/>
    <w:rsid w:val="00E06F64"/>
    <w:rsid w:val="00E070B1"/>
    <w:rsid w:val="00E070BE"/>
    <w:rsid w:val="00E070F5"/>
    <w:rsid w:val="00E07131"/>
    <w:rsid w:val="00E07170"/>
    <w:rsid w:val="00E071C5"/>
    <w:rsid w:val="00E071FE"/>
    <w:rsid w:val="00E07230"/>
    <w:rsid w:val="00E0723B"/>
    <w:rsid w:val="00E0730D"/>
    <w:rsid w:val="00E0735E"/>
    <w:rsid w:val="00E07373"/>
    <w:rsid w:val="00E073C5"/>
    <w:rsid w:val="00E073ED"/>
    <w:rsid w:val="00E07453"/>
    <w:rsid w:val="00E074F7"/>
    <w:rsid w:val="00E074FB"/>
    <w:rsid w:val="00E0758A"/>
    <w:rsid w:val="00E075DB"/>
    <w:rsid w:val="00E0765A"/>
    <w:rsid w:val="00E0774F"/>
    <w:rsid w:val="00E07793"/>
    <w:rsid w:val="00E077AC"/>
    <w:rsid w:val="00E077C3"/>
    <w:rsid w:val="00E07825"/>
    <w:rsid w:val="00E07830"/>
    <w:rsid w:val="00E07858"/>
    <w:rsid w:val="00E0788D"/>
    <w:rsid w:val="00E078A1"/>
    <w:rsid w:val="00E07951"/>
    <w:rsid w:val="00E0795A"/>
    <w:rsid w:val="00E0795E"/>
    <w:rsid w:val="00E07991"/>
    <w:rsid w:val="00E079C8"/>
    <w:rsid w:val="00E07AD7"/>
    <w:rsid w:val="00E07AD9"/>
    <w:rsid w:val="00E07B30"/>
    <w:rsid w:val="00E07B38"/>
    <w:rsid w:val="00E07B67"/>
    <w:rsid w:val="00E07B72"/>
    <w:rsid w:val="00E07B8F"/>
    <w:rsid w:val="00E07BD4"/>
    <w:rsid w:val="00E07BDA"/>
    <w:rsid w:val="00E07BFC"/>
    <w:rsid w:val="00E07C5D"/>
    <w:rsid w:val="00E07C5F"/>
    <w:rsid w:val="00E07C73"/>
    <w:rsid w:val="00E07C74"/>
    <w:rsid w:val="00E07D40"/>
    <w:rsid w:val="00E07DCF"/>
    <w:rsid w:val="00E07DDD"/>
    <w:rsid w:val="00E07DE5"/>
    <w:rsid w:val="00E07DE6"/>
    <w:rsid w:val="00E07DF7"/>
    <w:rsid w:val="00E07E0F"/>
    <w:rsid w:val="00E07E54"/>
    <w:rsid w:val="00E07E93"/>
    <w:rsid w:val="00E07F49"/>
    <w:rsid w:val="00E07F50"/>
    <w:rsid w:val="00E07F93"/>
    <w:rsid w:val="00E07FBA"/>
    <w:rsid w:val="00E1008F"/>
    <w:rsid w:val="00E101F7"/>
    <w:rsid w:val="00E102AF"/>
    <w:rsid w:val="00E102DB"/>
    <w:rsid w:val="00E10330"/>
    <w:rsid w:val="00E1033C"/>
    <w:rsid w:val="00E10425"/>
    <w:rsid w:val="00E1045E"/>
    <w:rsid w:val="00E1046F"/>
    <w:rsid w:val="00E104AF"/>
    <w:rsid w:val="00E104C4"/>
    <w:rsid w:val="00E104CF"/>
    <w:rsid w:val="00E10588"/>
    <w:rsid w:val="00E105E8"/>
    <w:rsid w:val="00E10640"/>
    <w:rsid w:val="00E1066B"/>
    <w:rsid w:val="00E10694"/>
    <w:rsid w:val="00E106A2"/>
    <w:rsid w:val="00E10703"/>
    <w:rsid w:val="00E1070F"/>
    <w:rsid w:val="00E1074D"/>
    <w:rsid w:val="00E1074F"/>
    <w:rsid w:val="00E107E7"/>
    <w:rsid w:val="00E10859"/>
    <w:rsid w:val="00E108A6"/>
    <w:rsid w:val="00E10936"/>
    <w:rsid w:val="00E10961"/>
    <w:rsid w:val="00E10989"/>
    <w:rsid w:val="00E1099B"/>
    <w:rsid w:val="00E109CF"/>
    <w:rsid w:val="00E109E8"/>
    <w:rsid w:val="00E10A28"/>
    <w:rsid w:val="00E10AC6"/>
    <w:rsid w:val="00E10B0B"/>
    <w:rsid w:val="00E10B42"/>
    <w:rsid w:val="00E10B8B"/>
    <w:rsid w:val="00E10C07"/>
    <w:rsid w:val="00E10C18"/>
    <w:rsid w:val="00E10C7C"/>
    <w:rsid w:val="00E10C93"/>
    <w:rsid w:val="00E10D3A"/>
    <w:rsid w:val="00E10D7E"/>
    <w:rsid w:val="00E10DE0"/>
    <w:rsid w:val="00E10F9D"/>
    <w:rsid w:val="00E10FA1"/>
    <w:rsid w:val="00E11075"/>
    <w:rsid w:val="00E110D7"/>
    <w:rsid w:val="00E1113C"/>
    <w:rsid w:val="00E1117C"/>
    <w:rsid w:val="00E1117D"/>
    <w:rsid w:val="00E111A6"/>
    <w:rsid w:val="00E111A7"/>
    <w:rsid w:val="00E11274"/>
    <w:rsid w:val="00E112D9"/>
    <w:rsid w:val="00E112E0"/>
    <w:rsid w:val="00E113BE"/>
    <w:rsid w:val="00E113CB"/>
    <w:rsid w:val="00E11409"/>
    <w:rsid w:val="00E1141F"/>
    <w:rsid w:val="00E1146B"/>
    <w:rsid w:val="00E11545"/>
    <w:rsid w:val="00E1158A"/>
    <w:rsid w:val="00E115F2"/>
    <w:rsid w:val="00E11626"/>
    <w:rsid w:val="00E1166B"/>
    <w:rsid w:val="00E116E0"/>
    <w:rsid w:val="00E1172B"/>
    <w:rsid w:val="00E11771"/>
    <w:rsid w:val="00E11782"/>
    <w:rsid w:val="00E117B7"/>
    <w:rsid w:val="00E11818"/>
    <w:rsid w:val="00E11834"/>
    <w:rsid w:val="00E1187C"/>
    <w:rsid w:val="00E11880"/>
    <w:rsid w:val="00E118C6"/>
    <w:rsid w:val="00E118DE"/>
    <w:rsid w:val="00E118F3"/>
    <w:rsid w:val="00E1192E"/>
    <w:rsid w:val="00E11959"/>
    <w:rsid w:val="00E11977"/>
    <w:rsid w:val="00E119C7"/>
    <w:rsid w:val="00E119DD"/>
    <w:rsid w:val="00E11A0C"/>
    <w:rsid w:val="00E11A3C"/>
    <w:rsid w:val="00E11A5A"/>
    <w:rsid w:val="00E11A8C"/>
    <w:rsid w:val="00E11AB5"/>
    <w:rsid w:val="00E11AE8"/>
    <w:rsid w:val="00E11AEB"/>
    <w:rsid w:val="00E11B8D"/>
    <w:rsid w:val="00E11BE2"/>
    <w:rsid w:val="00E11C2B"/>
    <w:rsid w:val="00E11C36"/>
    <w:rsid w:val="00E11C40"/>
    <w:rsid w:val="00E11C49"/>
    <w:rsid w:val="00E11DD1"/>
    <w:rsid w:val="00E11E64"/>
    <w:rsid w:val="00E11EA5"/>
    <w:rsid w:val="00E11EE6"/>
    <w:rsid w:val="00E11F2A"/>
    <w:rsid w:val="00E11F78"/>
    <w:rsid w:val="00E11FE2"/>
    <w:rsid w:val="00E12035"/>
    <w:rsid w:val="00E1206C"/>
    <w:rsid w:val="00E1209A"/>
    <w:rsid w:val="00E120C6"/>
    <w:rsid w:val="00E120DB"/>
    <w:rsid w:val="00E120E4"/>
    <w:rsid w:val="00E12137"/>
    <w:rsid w:val="00E1219B"/>
    <w:rsid w:val="00E1222C"/>
    <w:rsid w:val="00E1223F"/>
    <w:rsid w:val="00E1227A"/>
    <w:rsid w:val="00E122DE"/>
    <w:rsid w:val="00E122F2"/>
    <w:rsid w:val="00E1230D"/>
    <w:rsid w:val="00E12338"/>
    <w:rsid w:val="00E1235D"/>
    <w:rsid w:val="00E1236A"/>
    <w:rsid w:val="00E12394"/>
    <w:rsid w:val="00E123AB"/>
    <w:rsid w:val="00E1248C"/>
    <w:rsid w:val="00E1249E"/>
    <w:rsid w:val="00E124AE"/>
    <w:rsid w:val="00E124CD"/>
    <w:rsid w:val="00E124F0"/>
    <w:rsid w:val="00E12533"/>
    <w:rsid w:val="00E1254E"/>
    <w:rsid w:val="00E12566"/>
    <w:rsid w:val="00E12584"/>
    <w:rsid w:val="00E12594"/>
    <w:rsid w:val="00E125D6"/>
    <w:rsid w:val="00E125D7"/>
    <w:rsid w:val="00E125EA"/>
    <w:rsid w:val="00E12628"/>
    <w:rsid w:val="00E12678"/>
    <w:rsid w:val="00E1267A"/>
    <w:rsid w:val="00E1267B"/>
    <w:rsid w:val="00E12686"/>
    <w:rsid w:val="00E12689"/>
    <w:rsid w:val="00E126B2"/>
    <w:rsid w:val="00E12766"/>
    <w:rsid w:val="00E1278C"/>
    <w:rsid w:val="00E127A4"/>
    <w:rsid w:val="00E1282C"/>
    <w:rsid w:val="00E1284C"/>
    <w:rsid w:val="00E12863"/>
    <w:rsid w:val="00E12887"/>
    <w:rsid w:val="00E128CF"/>
    <w:rsid w:val="00E128EF"/>
    <w:rsid w:val="00E128FA"/>
    <w:rsid w:val="00E12924"/>
    <w:rsid w:val="00E1294D"/>
    <w:rsid w:val="00E12952"/>
    <w:rsid w:val="00E129DF"/>
    <w:rsid w:val="00E12A02"/>
    <w:rsid w:val="00E12A15"/>
    <w:rsid w:val="00E12A4C"/>
    <w:rsid w:val="00E12A86"/>
    <w:rsid w:val="00E12B2F"/>
    <w:rsid w:val="00E12C47"/>
    <w:rsid w:val="00E12C8F"/>
    <w:rsid w:val="00E12CC5"/>
    <w:rsid w:val="00E12D3B"/>
    <w:rsid w:val="00E12D52"/>
    <w:rsid w:val="00E12D68"/>
    <w:rsid w:val="00E12DBA"/>
    <w:rsid w:val="00E12E21"/>
    <w:rsid w:val="00E12E78"/>
    <w:rsid w:val="00E12EB2"/>
    <w:rsid w:val="00E12EDE"/>
    <w:rsid w:val="00E12F02"/>
    <w:rsid w:val="00E12F7E"/>
    <w:rsid w:val="00E12F8D"/>
    <w:rsid w:val="00E12FCB"/>
    <w:rsid w:val="00E1302B"/>
    <w:rsid w:val="00E13038"/>
    <w:rsid w:val="00E1304E"/>
    <w:rsid w:val="00E13079"/>
    <w:rsid w:val="00E130F8"/>
    <w:rsid w:val="00E13180"/>
    <w:rsid w:val="00E13237"/>
    <w:rsid w:val="00E1329B"/>
    <w:rsid w:val="00E132A5"/>
    <w:rsid w:val="00E132F3"/>
    <w:rsid w:val="00E13310"/>
    <w:rsid w:val="00E13359"/>
    <w:rsid w:val="00E1335F"/>
    <w:rsid w:val="00E133B0"/>
    <w:rsid w:val="00E133DC"/>
    <w:rsid w:val="00E13407"/>
    <w:rsid w:val="00E13476"/>
    <w:rsid w:val="00E134D4"/>
    <w:rsid w:val="00E134E3"/>
    <w:rsid w:val="00E13516"/>
    <w:rsid w:val="00E1353F"/>
    <w:rsid w:val="00E13545"/>
    <w:rsid w:val="00E13610"/>
    <w:rsid w:val="00E136E4"/>
    <w:rsid w:val="00E136F2"/>
    <w:rsid w:val="00E13718"/>
    <w:rsid w:val="00E13753"/>
    <w:rsid w:val="00E1376E"/>
    <w:rsid w:val="00E13787"/>
    <w:rsid w:val="00E13805"/>
    <w:rsid w:val="00E1381E"/>
    <w:rsid w:val="00E1384B"/>
    <w:rsid w:val="00E1390C"/>
    <w:rsid w:val="00E1392E"/>
    <w:rsid w:val="00E13982"/>
    <w:rsid w:val="00E13989"/>
    <w:rsid w:val="00E139BD"/>
    <w:rsid w:val="00E139BF"/>
    <w:rsid w:val="00E139FA"/>
    <w:rsid w:val="00E13A28"/>
    <w:rsid w:val="00E13A57"/>
    <w:rsid w:val="00E13A87"/>
    <w:rsid w:val="00E13A9C"/>
    <w:rsid w:val="00E13AAE"/>
    <w:rsid w:val="00E13B07"/>
    <w:rsid w:val="00E13B7A"/>
    <w:rsid w:val="00E13BAA"/>
    <w:rsid w:val="00E13BAE"/>
    <w:rsid w:val="00E13BC9"/>
    <w:rsid w:val="00E13C06"/>
    <w:rsid w:val="00E13C63"/>
    <w:rsid w:val="00E13C69"/>
    <w:rsid w:val="00E13CAC"/>
    <w:rsid w:val="00E13D0E"/>
    <w:rsid w:val="00E13D3F"/>
    <w:rsid w:val="00E13D99"/>
    <w:rsid w:val="00E13DA4"/>
    <w:rsid w:val="00E13DDD"/>
    <w:rsid w:val="00E13DEA"/>
    <w:rsid w:val="00E13DF0"/>
    <w:rsid w:val="00E13E75"/>
    <w:rsid w:val="00E13E90"/>
    <w:rsid w:val="00E13EB7"/>
    <w:rsid w:val="00E13EBE"/>
    <w:rsid w:val="00E13EFE"/>
    <w:rsid w:val="00E13F6E"/>
    <w:rsid w:val="00E13FF0"/>
    <w:rsid w:val="00E13FF4"/>
    <w:rsid w:val="00E13FF7"/>
    <w:rsid w:val="00E1402A"/>
    <w:rsid w:val="00E1408D"/>
    <w:rsid w:val="00E1412B"/>
    <w:rsid w:val="00E14155"/>
    <w:rsid w:val="00E1418D"/>
    <w:rsid w:val="00E141B5"/>
    <w:rsid w:val="00E1429F"/>
    <w:rsid w:val="00E1434B"/>
    <w:rsid w:val="00E145B3"/>
    <w:rsid w:val="00E145BD"/>
    <w:rsid w:val="00E14607"/>
    <w:rsid w:val="00E14614"/>
    <w:rsid w:val="00E1468E"/>
    <w:rsid w:val="00E146E5"/>
    <w:rsid w:val="00E14719"/>
    <w:rsid w:val="00E1474F"/>
    <w:rsid w:val="00E14810"/>
    <w:rsid w:val="00E1483A"/>
    <w:rsid w:val="00E148B6"/>
    <w:rsid w:val="00E148D8"/>
    <w:rsid w:val="00E14914"/>
    <w:rsid w:val="00E1494F"/>
    <w:rsid w:val="00E14985"/>
    <w:rsid w:val="00E149BA"/>
    <w:rsid w:val="00E149DA"/>
    <w:rsid w:val="00E14A03"/>
    <w:rsid w:val="00E14A49"/>
    <w:rsid w:val="00E14A92"/>
    <w:rsid w:val="00E14AA6"/>
    <w:rsid w:val="00E14AAA"/>
    <w:rsid w:val="00E14AB7"/>
    <w:rsid w:val="00E14B77"/>
    <w:rsid w:val="00E14B7E"/>
    <w:rsid w:val="00E14BE2"/>
    <w:rsid w:val="00E14C4A"/>
    <w:rsid w:val="00E14C4F"/>
    <w:rsid w:val="00E14C88"/>
    <w:rsid w:val="00E14CBB"/>
    <w:rsid w:val="00E14D47"/>
    <w:rsid w:val="00E14D77"/>
    <w:rsid w:val="00E14D7C"/>
    <w:rsid w:val="00E14DA8"/>
    <w:rsid w:val="00E14E88"/>
    <w:rsid w:val="00E14E97"/>
    <w:rsid w:val="00E14EB1"/>
    <w:rsid w:val="00E14EB2"/>
    <w:rsid w:val="00E14F9A"/>
    <w:rsid w:val="00E14FA1"/>
    <w:rsid w:val="00E15004"/>
    <w:rsid w:val="00E1500F"/>
    <w:rsid w:val="00E15039"/>
    <w:rsid w:val="00E150AB"/>
    <w:rsid w:val="00E150C2"/>
    <w:rsid w:val="00E150DA"/>
    <w:rsid w:val="00E15152"/>
    <w:rsid w:val="00E15156"/>
    <w:rsid w:val="00E1516B"/>
    <w:rsid w:val="00E15171"/>
    <w:rsid w:val="00E1518A"/>
    <w:rsid w:val="00E15207"/>
    <w:rsid w:val="00E15214"/>
    <w:rsid w:val="00E152E1"/>
    <w:rsid w:val="00E152F3"/>
    <w:rsid w:val="00E15329"/>
    <w:rsid w:val="00E15331"/>
    <w:rsid w:val="00E15347"/>
    <w:rsid w:val="00E153AF"/>
    <w:rsid w:val="00E153EB"/>
    <w:rsid w:val="00E153FF"/>
    <w:rsid w:val="00E1542D"/>
    <w:rsid w:val="00E15450"/>
    <w:rsid w:val="00E15473"/>
    <w:rsid w:val="00E15496"/>
    <w:rsid w:val="00E154BD"/>
    <w:rsid w:val="00E1552B"/>
    <w:rsid w:val="00E155AC"/>
    <w:rsid w:val="00E155DE"/>
    <w:rsid w:val="00E1565F"/>
    <w:rsid w:val="00E156B2"/>
    <w:rsid w:val="00E1573E"/>
    <w:rsid w:val="00E15771"/>
    <w:rsid w:val="00E157B8"/>
    <w:rsid w:val="00E157BC"/>
    <w:rsid w:val="00E157C4"/>
    <w:rsid w:val="00E157D6"/>
    <w:rsid w:val="00E15861"/>
    <w:rsid w:val="00E1587B"/>
    <w:rsid w:val="00E15888"/>
    <w:rsid w:val="00E158B9"/>
    <w:rsid w:val="00E158DF"/>
    <w:rsid w:val="00E158F6"/>
    <w:rsid w:val="00E15905"/>
    <w:rsid w:val="00E15933"/>
    <w:rsid w:val="00E15963"/>
    <w:rsid w:val="00E15988"/>
    <w:rsid w:val="00E15994"/>
    <w:rsid w:val="00E159E5"/>
    <w:rsid w:val="00E15A39"/>
    <w:rsid w:val="00E15A6C"/>
    <w:rsid w:val="00E15A90"/>
    <w:rsid w:val="00E15BF0"/>
    <w:rsid w:val="00E15C19"/>
    <w:rsid w:val="00E15CC9"/>
    <w:rsid w:val="00E15CCE"/>
    <w:rsid w:val="00E15CD4"/>
    <w:rsid w:val="00E15CEB"/>
    <w:rsid w:val="00E15D44"/>
    <w:rsid w:val="00E15D64"/>
    <w:rsid w:val="00E15D6A"/>
    <w:rsid w:val="00E15D94"/>
    <w:rsid w:val="00E15DA4"/>
    <w:rsid w:val="00E15E20"/>
    <w:rsid w:val="00E15E48"/>
    <w:rsid w:val="00E15E49"/>
    <w:rsid w:val="00E15EA4"/>
    <w:rsid w:val="00E15EE6"/>
    <w:rsid w:val="00E16037"/>
    <w:rsid w:val="00E16064"/>
    <w:rsid w:val="00E16066"/>
    <w:rsid w:val="00E1606B"/>
    <w:rsid w:val="00E1606E"/>
    <w:rsid w:val="00E160C8"/>
    <w:rsid w:val="00E160F5"/>
    <w:rsid w:val="00E1611F"/>
    <w:rsid w:val="00E161CE"/>
    <w:rsid w:val="00E161DD"/>
    <w:rsid w:val="00E161FD"/>
    <w:rsid w:val="00E16231"/>
    <w:rsid w:val="00E162C9"/>
    <w:rsid w:val="00E162E3"/>
    <w:rsid w:val="00E16368"/>
    <w:rsid w:val="00E16396"/>
    <w:rsid w:val="00E1643B"/>
    <w:rsid w:val="00E164B6"/>
    <w:rsid w:val="00E16502"/>
    <w:rsid w:val="00E16546"/>
    <w:rsid w:val="00E165B6"/>
    <w:rsid w:val="00E1660E"/>
    <w:rsid w:val="00E16628"/>
    <w:rsid w:val="00E16635"/>
    <w:rsid w:val="00E166A4"/>
    <w:rsid w:val="00E166C4"/>
    <w:rsid w:val="00E1685B"/>
    <w:rsid w:val="00E16864"/>
    <w:rsid w:val="00E16879"/>
    <w:rsid w:val="00E168C3"/>
    <w:rsid w:val="00E168F4"/>
    <w:rsid w:val="00E1690E"/>
    <w:rsid w:val="00E169A3"/>
    <w:rsid w:val="00E169CB"/>
    <w:rsid w:val="00E16A4E"/>
    <w:rsid w:val="00E16A54"/>
    <w:rsid w:val="00E16A77"/>
    <w:rsid w:val="00E16AFC"/>
    <w:rsid w:val="00E16B0E"/>
    <w:rsid w:val="00E16BAE"/>
    <w:rsid w:val="00E16C12"/>
    <w:rsid w:val="00E16C5A"/>
    <w:rsid w:val="00E16D27"/>
    <w:rsid w:val="00E16DE0"/>
    <w:rsid w:val="00E16E2A"/>
    <w:rsid w:val="00E16E65"/>
    <w:rsid w:val="00E16E8D"/>
    <w:rsid w:val="00E16EC0"/>
    <w:rsid w:val="00E16F51"/>
    <w:rsid w:val="00E16F59"/>
    <w:rsid w:val="00E16F85"/>
    <w:rsid w:val="00E16FB3"/>
    <w:rsid w:val="00E17019"/>
    <w:rsid w:val="00E17072"/>
    <w:rsid w:val="00E170FA"/>
    <w:rsid w:val="00E171AB"/>
    <w:rsid w:val="00E171E1"/>
    <w:rsid w:val="00E17253"/>
    <w:rsid w:val="00E17280"/>
    <w:rsid w:val="00E1728D"/>
    <w:rsid w:val="00E1736F"/>
    <w:rsid w:val="00E17391"/>
    <w:rsid w:val="00E173B9"/>
    <w:rsid w:val="00E173BE"/>
    <w:rsid w:val="00E173D3"/>
    <w:rsid w:val="00E17415"/>
    <w:rsid w:val="00E17520"/>
    <w:rsid w:val="00E1755B"/>
    <w:rsid w:val="00E175B0"/>
    <w:rsid w:val="00E175E0"/>
    <w:rsid w:val="00E176D8"/>
    <w:rsid w:val="00E177DF"/>
    <w:rsid w:val="00E17839"/>
    <w:rsid w:val="00E1783D"/>
    <w:rsid w:val="00E178AB"/>
    <w:rsid w:val="00E178F9"/>
    <w:rsid w:val="00E1794C"/>
    <w:rsid w:val="00E17961"/>
    <w:rsid w:val="00E17A06"/>
    <w:rsid w:val="00E17A10"/>
    <w:rsid w:val="00E17A12"/>
    <w:rsid w:val="00E17A20"/>
    <w:rsid w:val="00E17A3B"/>
    <w:rsid w:val="00E17A6B"/>
    <w:rsid w:val="00E17A8F"/>
    <w:rsid w:val="00E17A90"/>
    <w:rsid w:val="00E17AB4"/>
    <w:rsid w:val="00E17B54"/>
    <w:rsid w:val="00E17B81"/>
    <w:rsid w:val="00E17BBE"/>
    <w:rsid w:val="00E17C10"/>
    <w:rsid w:val="00E17C6F"/>
    <w:rsid w:val="00E17CFD"/>
    <w:rsid w:val="00E17D4C"/>
    <w:rsid w:val="00E17DC8"/>
    <w:rsid w:val="00E17E14"/>
    <w:rsid w:val="00E17E57"/>
    <w:rsid w:val="00E17EB8"/>
    <w:rsid w:val="00E17EE0"/>
    <w:rsid w:val="00E17F19"/>
    <w:rsid w:val="00E17F21"/>
    <w:rsid w:val="00E17F3E"/>
    <w:rsid w:val="00E17FF1"/>
    <w:rsid w:val="00E2002D"/>
    <w:rsid w:val="00E2002F"/>
    <w:rsid w:val="00E20045"/>
    <w:rsid w:val="00E200A9"/>
    <w:rsid w:val="00E20169"/>
    <w:rsid w:val="00E20186"/>
    <w:rsid w:val="00E201CB"/>
    <w:rsid w:val="00E201FB"/>
    <w:rsid w:val="00E20206"/>
    <w:rsid w:val="00E20226"/>
    <w:rsid w:val="00E2024C"/>
    <w:rsid w:val="00E20287"/>
    <w:rsid w:val="00E202DB"/>
    <w:rsid w:val="00E20305"/>
    <w:rsid w:val="00E203D4"/>
    <w:rsid w:val="00E203F8"/>
    <w:rsid w:val="00E20419"/>
    <w:rsid w:val="00E20433"/>
    <w:rsid w:val="00E2044F"/>
    <w:rsid w:val="00E20469"/>
    <w:rsid w:val="00E2046B"/>
    <w:rsid w:val="00E20478"/>
    <w:rsid w:val="00E20501"/>
    <w:rsid w:val="00E20516"/>
    <w:rsid w:val="00E20572"/>
    <w:rsid w:val="00E2057E"/>
    <w:rsid w:val="00E205EF"/>
    <w:rsid w:val="00E20663"/>
    <w:rsid w:val="00E2066B"/>
    <w:rsid w:val="00E20680"/>
    <w:rsid w:val="00E20685"/>
    <w:rsid w:val="00E206CD"/>
    <w:rsid w:val="00E206F7"/>
    <w:rsid w:val="00E2072D"/>
    <w:rsid w:val="00E20767"/>
    <w:rsid w:val="00E20771"/>
    <w:rsid w:val="00E207AC"/>
    <w:rsid w:val="00E20815"/>
    <w:rsid w:val="00E20835"/>
    <w:rsid w:val="00E20885"/>
    <w:rsid w:val="00E2088B"/>
    <w:rsid w:val="00E208A4"/>
    <w:rsid w:val="00E208B9"/>
    <w:rsid w:val="00E20917"/>
    <w:rsid w:val="00E209A3"/>
    <w:rsid w:val="00E209B9"/>
    <w:rsid w:val="00E209DD"/>
    <w:rsid w:val="00E20A56"/>
    <w:rsid w:val="00E20A59"/>
    <w:rsid w:val="00E20AB3"/>
    <w:rsid w:val="00E20AD3"/>
    <w:rsid w:val="00E20AFC"/>
    <w:rsid w:val="00E20B58"/>
    <w:rsid w:val="00E20B89"/>
    <w:rsid w:val="00E20BA9"/>
    <w:rsid w:val="00E20BC5"/>
    <w:rsid w:val="00E20C0F"/>
    <w:rsid w:val="00E20CDB"/>
    <w:rsid w:val="00E20CE6"/>
    <w:rsid w:val="00E20D91"/>
    <w:rsid w:val="00E20DE3"/>
    <w:rsid w:val="00E20DE7"/>
    <w:rsid w:val="00E20E17"/>
    <w:rsid w:val="00E20E2C"/>
    <w:rsid w:val="00E20E40"/>
    <w:rsid w:val="00E20E87"/>
    <w:rsid w:val="00E20F45"/>
    <w:rsid w:val="00E20F56"/>
    <w:rsid w:val="00E20FAB"/>
    <w:rsid w:val="00E20FBE"/>
    <w:rsid w:val="00E2103F"/>
    <w:rsid w:val="00E2108C"/>
    <w:rsid w:val="00E210AE"/>
    <w:rsid w:val="00E210ED"/>
    <w:rsid w:val="00E21127"/>
    <w:rsid w:val="00E21130"/>
    <w:rsid w:val="00E2116E"/>
    <w:rsid w:val="00E21171"/>
    <w:rsid w:val="00E2118B"/>
    <w:rsid w:val="00E21256"/>
    <w:rsid w:val="00E21280"/>
    <w:rsid w:val="00E212D3"/>
    <w:rsid w:val="00E212DC"/>
    <w:rsid w:val="00E21311"/>
    <w:rsid w:val="00E2132C"/>
    <w:rsid w:val="00E21398"/>
    <w:rsid w:val="00E2139E"/>
    <w:rsid w:val="00E214F6"/>
    <w:rsid w:val="00E21505"/>
    <w:rsid w:val="00E2152B"/>
    <w:rsid w:val="00E21541"/>
    <w:rsid w:val="00E2154B"/>
    <w:rsid w:val="00E21585"/>
    <w:rsid w:val="00E215B7"/>
    <w:rsid w:val="00E215CD"/>
    <w:rsid w:val="00E2160E"/>
    <w:rsid w:val="00E21626"/>
    <w:rsid w:val="00E216D1"/>
    <w:rsid w:val="00E216FA"/>
    <w:rsid w:val="00E21737"/>
    <w:rsid w:val="00E217AB"/>
    <w:rsid w:val="00E2181A"/>
    <w:rsid w:val="00E2185C"/>
    <w:rsid w:val="00E218BE"/>
    <w:rsid w:val="00E2194A"/>
    <w:rsid w:val="00E21A5E"/>
    <w:rsid w:val="00E21AED"/>
    <w:rsid w:val="00E21B16"/>
    <w:rsid w:val="00E21B76"/>
    <w:rsid w:val="00E21B90"/>
    <w:rsid w:val="00E21B9D"/>
    <w:rsid w:val="00E21BE5"/>
    <w:rsid w:val="00E21BE7"/>
    <w:rsid w:val="00E21C7B"/>
    <w:rsid w:val="00E21CA5"/>
    <w:rsid w:val="00E21D4D"/>
    <w:rsid w:val="00E21D77"/>
    <w:rsid w:val="00E21D7A"/>
    <w:rsid w:val="00E21DAA"/>
    <w:rsid w:val="00E21DC4"/>
    <w:rsid w:val="00E21DD3"/>
    <w:rsid w:val="00E21E34"/>
    <w:rsid w:val="00E21E8B"/>
    <w:rsid w:val="00E21EA4"/>
    <w:rsid w:val="00E21ED1"/>
    <w:rsid w:val="00E21F76"/>
    <w:rsid w:val="00E21F9E"/>
    <w:rsid w:val="00E22071"/>
    <w:rsid w:val="00E220A5"/>
    <w:rsid w:val="00E220C6"/>
    <w:rsid w:val="00E2220D"/>
    <w:rsid w:val="00E22216"/>
    <w:rsid w:val="00E2223B"/>
    <w:rsid w:val="00E22256"/>
    <w:rsid w:val="00E22308"/>
    <w:rsid w:val="00E22321"/>
    <w:rsid w:val="00E22348"/>
    <w:rsid w:val="00E2238E"/>
    <w:rsid w:val="00E223DB"/>
    <w:rsid w:val="00E224A5"/>
    <w:rsid w:val="00E224F2"/>
    <w:rsid w:val="00E2251E"/>
    <w:rsid w:val="00E2253D"/>
    <w:rsid w:val="00E22564"/>
    <w:rsid w:val="00E2258B"/>
    <w:rsid w:val="00E225A4"/>
    <w:rsid w:val="00E225A9"/>
    <w:rsid w:val="00E225AD"/>
    <w:rsid w:val="00E225D7"/>
    <w:rsid w:val="00E22673"/>
    <w:rsid w:val="00E226DB"/>
    <w:rsid w:val="00E22706"/>
    <w:rsid w:val="00E22716"/>
    <w:rsid w:val="00E2271D"/>
    <w:rsid w:val="00E227C2"/>
    <w:rsid w:val="00E227DD"/>
    <w:rsid w:val="00E227E9"/>
    <w:rsid w:val="00E2286E"/>
    <w:rsid w:val="00E22874"/>
    <w:rsid w:val="00E228F6"/>
    <w:rsid w:val="00E2293D"/>
    <w:rsid w:val="00E22946"/>
    <w:rsid w:val="00E229F8"/>
    <w:rsid w:val="00E22AA0"/>
    <w:rsid w:val="00E22AA3"/>
    <w:rsid w:val="00E22AFD"/>
    <w:rsid w:val="00E22B28"/>
    <w:rsid w:val="00E22B83"/>
    <w:rsid w:val="00E22B9A"/>
    <w:rsid w:val="00E22BB8"/>
    <w:rsid w:val="00E22CBF"/>
    <w:rsid w:val="00E22D08"/>
    <w:rsid w:val="00E22D27"/>
    <w:rsid w:val="00E22D41"/>
    <w:rsid w:val="00E22D52"/>
    <w:rsid w:val="00E22D63"/>
    <w:rsid w:val="00E22D85"/>
    <w:rsid w:val="00E22DD9"/>
    <w:rsid w:val="00E22E19"/>
    <w:rsid w:val="00E22E59"/>
    <w:rsid w:val="00E22EAA"/>
    <w:rsid w:val="00E22EB4"/>
    <w:rsid w:val="00E22EF3"/>
    <w:rsid w:val="00E22F71"/>
    <w:rsid w:val="00E22F7D"/>
    <w:rsid w:val="00E22FB4"/>
    <w:rsid w:val="00E2301A"/>
    <w:rsid w:val="00E2303B"/>
    <w:rsid w:val="00E2303D"/>
    <w:rsid w:val="00E23042"/>
    <w:rsid w:val="00E23088"/>
    <w:rsid w:val="00E230AB"/>
    <w:rsid w:val="00E230AE"/>
    <w:rsid w:val="00E230EA"/>
    <w:rsid w:val="00E230FA"/>
    <w:rsid w:val="00E2314C"/>
    <w:rsid w:val="00E23159"/>
    <w:rsid w:val="00E2318B"/>
    <w:rsid w:val="00E23211"/>
    <w:rsid w:val="00E232DF"/>
    <w:rsid w:val="00E2340D"/>
    <w:rsid w:val="00E23422"/>
    <w:rsid w:val="00E23446"/>
    <w:rsid w:val="00E234A8"/>
    <w:rsid w:val="00E23532"/>
    <w:rsid w:val="00E23536"/>
    <w:rsid w:val="00E235C2"/>
    <w:rsid w:val="00E235C5"/>
    <w:rsid w:val="00E235E0"/>
    <w:rsid w:val="00E235E2"/>
    <w:rsid w:val="00E2370E"/>
    <w:rsid w:val="00E2370F"/>
    <w:rsid w:val="00E2372D"/>
    <w:rsid w:val="00E23736"/>
    <w:rsid w:val="00E237A0"/>
    <w:rsid w:val="00E2387B"/>
    <w:rsid w:val="00E2389C"/>
    <w:rsid w:val="00E238B9"/>
    <w:rsid w:val="00E238BF"/>
    <w:rsid w:val="00E238C2"/>
    <w:rsid w:val="00E238E9"/>
    <w:rsid w:val="00E23923"/>
    <w:rsid w:val="00E23962"/>
    <w:rsid w:val="00E23975"/>
    <w:rsid w:val="00E239B4"/>
    <w:rsid w:val="00E239B9"/>
    <w:rsid w:val="00E239C4"/>
    <w:rsid w:val="00E239E2"/>
    <w:rsid w:val="00E239E4"/>
    <w:rsid w:val="00E23A13"/>
    <w:rsid w:val="00E23A15"/>
    <w:rsid w:val="00E23A4E"/>
    <w:rsid w:val="00E23B16"/>
    <w:rsid w:val="00E23B2A"/>
    <w:rsid w:val="00E23B98"/>
    <w:rsid w:val="00E23BD5"/>
    <w:rsid w:val="00E23C06"/>
    <w:rsid w:val="00E23C3B"/>
    <w:rsid w:val="00E23C46"/>
    <w:rsid w:val="00E23CC6"/>
    <w:rsid w:val="00E23CDD"/>
    <w:rsid w:val="00E23D20"/>
    <w:rsid w:val="00E23D69"/>
    <w:rsid w:val="00E23D73"/>
    <w:rsid w:val="00E23DE4"/>
    <w:rsid w:val="00E23E17"/>
    <w:rsid w:val="00E23E52"/>
    <w:rsid w:val="00E23E63"/>
    <w:rsid w:val="00E23E70"/>
    <w:rsid w:val="00E23E74"/>
    <w:rsid w:val="00E23E85"/>
    <w:rsid w:val="00E23E92"/>
    <w:rsid w:val="00E23EB1"/>
    <w:rsid w:val="00E23EB3"/>
    <w:rsid w:val="00E23F5A"/>
    <w:rsid w:val="00E23F66"/>
    <w:rsid w:val="00E23FA5"/>
    <w:rsid w:val="00E23FCC"/>
    <w:rsid w:val="00E23FD1"/>
    <w:rsid w:val="00E24067"/>
    <w:rsid w:val="00E240B6"/>
    <w:rsid w:val="00E2414F"/>
    <w:rsid w:val="00E2419A"/>
    <w:rsid w:val="00E241BA"/>
    <w:rsid w:val="00E24242"/>
    <w:rsid w:val="00E2425D"/>
    <w:rsid w:val="00E24274"/>
    <w:rsid w:val="00E2427F"/>
    <w:rsid w:val="00E2429E"/>
    <w:rsid w:val="00E242B2"/>
    <w:rsid w:val="00E242D0"/>
    <w:rsid w:val="00E242E6"/>
    <w:rsid w:val="00E24340"/>
    <w:rsid w:val="00E243D8"/>
    <w:rsid w:val="00E24407"/>
    <w:rsid w:val="00E24439"/>
    <w:rsid w:val="00E2447F"/>
    <w:rsid w:val="00E244F6"/>
    <w:rsid w:val="00E244FE"/>
    <w:rsid w:val="00E2458A"/>
    <w:rsid w:val="00E245D9"/>
    <w:rsid w:val="00E24616"/>
    <w:rsid w:val="00E2462D"/>
    <w:rsid w:val="00E246C4"/>
    <w:rsid w:val="00E2470C"/>
    <w:rsid w:val="00E24718"/>
    <w:rsid w:val="00E24799"/>
    <w:rsid w:val="00E2479C"/>
    <w:rsid w:val="00E24890"/>
    <w:rsid w:val="00E2495F"/>
    <w:rsid w:val="00E249D9"/>
    <w:rsid w:val="00E24BE7"/>
    <w:rsid w:val="00E24C0B"/>
    <w:rsid w:val="00E24C86"/>
    <w:rsid w:val="00E24CEE"/>
    <w:rsid w:val="00E24DD4"/>
    <w:rsid w:val="00E24DDD"/>
    <w:rsid w:val="00E24DFE"/>
    <w:rsid w:val="00E24E1A"/>
    <w:rsid w:val="00E24E26"/>
    <w:rsid w:val="00E24EC0"/>
    <w:rsid w:val="00E24EC9"/>
    <w:rsid w:val="00E24F01"/>
    <w:rsid w:val="00E24F39"/>
    <w:rsid w:val="00E24FE8"/>
    <w:rsid w:val="00E24FF0"/>
    <w:rsid w:val="00E25004"/>
    <w:rsid w:val="00E25029"/>
    <w:rsid w:val="00E251AC"/>
    <w:rsid w:val="00E251D1"/>
    <w:rsid w:val="00E252FA"/>
    <w:rsid w:val="00E2530C"/>
    <w:rsid w:val="00E25333"/>
    <w:rsid w:val="00E25335"/>
    <w:rsid w:val="00E2538C"/>
    <w:rsid w:val="00E253CB"/>
    <w:rsid w:val="00E253D1"/>
    <w:rsid w:val="00E2540D"/>
    <w:rsid w:val="00E2540F"/>
    <w:rsid w:val="00E25444"/>
    <w:rsid w:val="00E2545B"/>
    <w:rsid w:val="00E254D6"/>
    <w:rsid w:val="00E254DC"/>
    <w:rsid w:val="00E2554A"/>
    <w:rsid w:val="00E255A1"/>
    <w:rsid w:val="00E2565D"/>
    <w:rsid w:val="00E2566D"/>
    <w:rsid w:val="00E256DF"/>
    <w:rsid w:val="00E256F1"/>
    <w:rsid w:val="00E256FA"/>
    <w:rsid w:val="00E25700"/>
    <w:rsid w:val="00E25709"/>
    <w:rsid w:val="00E25711"/>
    <w:rsid w:val="00E257C1"/>
    <w:rsid w:val="00E257DD"/>
    <w:rsid w:val="00E257F1"/>
    <w:rsid w:val="00E25820"/>
    <w:rsid w:val="00E2584D"/>
    <w:rsid w:val="00E25863"/>
    <w:rsid w:val="00E2591E"/>
    <w:rsid w:val="00E2593B"/>
    <w:rsid w:val="00E2596B"/>
    <w:rsid w:val="00E259C6"/>
    <w:rsid w:val="00E259F3"/>
    <w:rsid w:val="00E259F6"/>
    <w:rsid w:val="00E25A30"/>
    <w:rsid w:val="00E25A4C"/>
    <w:rsid w:val="00E25A6B"/>
    <w:rsid w:val="00E25A74"/>
    <w:rsid w:val="00E25AAD"/>
    <w:rsid w:val="00E25AE0"/>
    <w:rsid w:val="00E25AE8"/>
    <w:rsid w:val="00E25B6B"/>
    <w:rsid w:val="00E25BE6"/>
    <w:rsid w:val="00E25BF4"/>
    <w:rsid w:val="00E25BF7"/>
    <w:rsid w:val="00E25C16"/>
    <w:rsid w:val="00E25C54"/>
    <w:rsid w:val="00E25C67"/>
    <w:rsid w:val="00E25CA6"/>
    <w:rsid w:val="00E25CB1"/>
    <w:rsid w:val="00E25CEF"/>
    <w:rsid w:val="00E25D15"/>
    <w:rsid w:val="00E25D59"/>
    <w:rsid w:val="00E25D74"/>
    <w:rsid w:val="00E25D9B"/>
    <w:rsid w:val="00E25DAF"/>
    <w:rsid w:val="00E25DF1"/>
    <w:rsid w:val="00E25E35"/>
    <w:rsid w:val="00E25E9D"/>
    <w:rsid w:val="00E25EEE"/>
    <w:rsid w:val="00E25F58"/>
    <w:rsid w:val="00E25F85"/>
    <w:rsid w:val="00E25F8A"/>
    <w:rsid w:val="00E25F9F"/>
    <w:rsid w:val="00E25FA9"/>
    <w:rsid w:val="00E25FD0"/>
    <w:rsid w:val="00E26005"/>
    <w:rsid w:val="00E26074"/>
    <w:rsid w:val="00E26080"/>
    <w:rsid w:val="00E260BB"/>
    <w:rsid w:val="00E26122"/>
    <w:rsid w:val="00E2614A"/>
    <w:rsid w:val="00E26177"/>
    <w:rsid w:val="00E2617F"/>
    <w:rsid w:val="00E261CA"/>
    <w:rsid w:val="00E261CC"/>
    <w:rsid w:val="00E261D5"/>
    <w:rsid w:val="00E261DD"/>
    <w:rsid w:val="00E26220"/>
    <w:rsid w:val="00E26282"/>
    <w:rsid w:val="00E262E0"/>
    <w:rsid w:val="00E26303"/>
    <w:rsid w:val="00E26346"/>
    <w:rsid w:val="00E26367"/>
    <w:rsid w:val="00E26392"/>
    <w:rsid w:val="00E2643D"/>
    <w:rsid w:val="00E26448"/>
    <w:rsid w:val="00E26449"/>
    <w:rsid w:val="00E2644F"/>
    <w:rsid w:val="00E26453"/>
    <w:rsid w:val="00E26480"/>
    <w:rsid w:val="00E26485"/>
    <w:rsid w:val="00E264A4"/>
    <w:rsid w:val="00E264E3"/>
    <w:rsid w:val="00E265C8"/>
    <w:rsid w:val="00E2663C"/>
    <w:rsid w:val="00E26654"/>
    <w:rsid w:val="00E26685"/>
    <w:rsid w:val="00E2669D"/>
    <w:rsid w:val="00E266A3"/>
    <w:rsid w:val="00E266B2"/>
    <w:rsid w:val="00E26745"/>
    <w:rsid w:val="00E26766"/>
    <w:rsid w:val="00E267C7"/>
    <w:rsid w:val="00E267D5"/>
    <w:rsid w:val="00E26850"/>
    <w:rsid w:val="00E2685D"/>
    <w:rsid w:val="00E26875"/>
    <w:rsid w:val="00E2691F"/>
    <w:rsid w:val="00E26921"/>
    <w:rsid w:val="00E269AE"/>
    <w:rsid w:val="00E26A94"/>
    <w:rsid w:val="00E26AD6"/>
    <w:rsid w:val="00E26B57"/>
    <w:rsid w:val="00E26BBF"/>
    <w:rsid w:val="00E26C0F"/>
    <w:rsid w:val="00E26C29"/>
    <w:rsid w:val="00E26D17"/>
    <w:rsid w:val="00E26E0A"/>
    <w:rsid w:val="00E26E25"/>
    <w:rsid w:val="00E26E6E"/>
    <w:rsid w:val="00E26E7E"/>
    <w:rsid w:val="00E26EF6"/>
    <w:rsid w:val="00E26F04"/>
    <w:rsid w:val="00E26F1F"/>
    <w:rsid w:val="00E26FF3"/>
    <w:rsid w:val="00E26FFE"/>
    <w:rsid w:val="00E27022"/>
    <w:rsid w:val="00E27031"/>
    <w:rsid w:val="00E27091"/>
    <w:rsid w:val="00E27095"/>
    <w:rsid w:val="00E270EB"/>
    <w:rsid w:val="00E2711B"/>
    <w:rsid w:val="00E27124"/>
    <w:rsid w:val="00E272A4"/>
    <w:rsid w:val="00E2732D"/>
    <w:rsid w:val="00E2733C"/>
    <w:rsid w:val="00E27341"/>
    <w:rsid w:val="00E27349"/>
    <w:rsid w:val="00E27362"/>
    <w:rsid w:val="00E2736F"/>
    <w:rsid w:val="00E273C2"/>
    <w:rsid w:val="00E273EF"/>
    <w:rsid w:val="00E273FD"/>
    <w:rsid w:val="00E2740B"/>
    <w:rsid w:val="00E2740D"/>
    <w:rsid w:val="00E2744B"/>
    <w:rsid w:val="00E274A0"/>
    <w:rsid w:val="00E275A1"/>
    <w:rsid w:val="00E275FB"/>
    <w:rsid w:val="00E27648"/>
    <w:rsid w:val="00E2764D"/>
    <w:rsid w:val="00E276A7"/>
    <w:rsid w:val="00E276D1"/>
    <w:rsid w:val="00E27810"/>
    <w:rsid w:val="00E278B1"/>
    <w:rsid w:val="00E27980"/>
    <w:rsid w:val="00E279AE"/>
    <w:rsid w:val="00E279F0"/>
    <w:rsid w:val="00E27A56"/>
    <w:rsid w:val="00E27A66"/>
    <w:rsid w:val="00E27B25"/>
    <w:rsid w:val="00E27B7F"/>
    <w:rsid w:val="00E27BD9"/>
    <w:rsid w:val="00E27C33"/>
    <w:rsid w:val="00E27C58"/>
    <w:rsid w:val="00E27CB7"/>
    <w:rsid w:val="00E27D12"/>
    <w:rsid w:val="00E27DE1"/>
    <w:rsid w:val="00E27ECB"/>
    <w:rsid w:val="00E27F3A"/>
    <w:rsid w:val="00E30028"/>
    <w:rsid w:val="00E300FF"/>
    <w:rsid w:val="00E30160"/>
    <w:rsid w:val="00E30221"/>
    <w:rsid w:val="00E3024A"/>
    <w:rsid w:val="00E30374"/>
    <w:rsid w:val="00E303C2"/>
    <w:rsid w:val="00E303DD"/>
    <w:rsid w:val="00E30481"/>
    <w:rsid w:val="00E304CE"/>
    <w:rsid w:val="00E304EB"/>
    <w:rsid w:val="00E304F4"/>
    <w:rsid w:val="00E30521"/>
    <w:rsid w:val="00E30552"/>
    <w:rsid w:val="00E3055C"/>
    <w:rsid w:val="00E3056F"/>
    <w:rsid w:val="00E305A5"/>
    <w:rsid w:val="00E30687"/>
    <w:rsid w:val="00E306AE"/>
    <w:rsid w:val="00E306C1"/>
    <w:rsid w:val="00E306DB"/>
    <w:rsid w:val="00E306F9"/>
    <w:rsid w:val="00E30718"/>
    <w:rsid w:val="00E307A0"/>
    <w:rsid w:val="00E30814"/>
    <w:rsid w:val="00E308B0"/>
    <w:rsid w:val="00E30904"/>
    <w:rsid w:val="00E30966"/>
    <w:rsid w:val="00E3096F"/>
    <w:rsid w:val="00E309C3"/>
    <w:rsid w:val="00E309D1"/>
    <w:rsid w:val="00E30A05"/>
    <w:rsid w:val="00E30A1D"/>
    <w:rsid w:val="00E30A63"/>
    <w:rsid w:val="00E30A88"/>
    <w:rsid w:val="00E30AD0"/>
    <w:rsid w:val="00E30B01"/>
    <w:rsid w:val="00E30B6F"/>
    <w:rsid w:val="00E30B88"/>
    <w:rsid w:val="00E30B94"/>
    <w:rsid w:val="00E30BCF"/>
    <w:rsid w:val="00E30BFD"/>
    <w:rsid w:val="00E30C0F"/>
    <w:rsid w:val="00E30C1F"/>
    <w:rsid w:val="00E30C39"/>
    <w:rsid w:val="00E30C5D"/>
    <w:rsid w:val="00E30C8F"/>
    <w:rsid w:val="00E30CBF"/>
    <w:rsid w:val="00E30CDC"/>
    <w:rsid w:val="00E30D03"/>
    <w:rsid w:val="00E30D75"/>
    <w:rsid w:val="00E30D92"/>
    <w:rsid w:val="00E30DDE"/>
    <w:rsid w:val="00E30E6C"/>
    <w:rsid w:val="00E30E6F"/>
    <w:rsid w:val="00E30EAF"/>
    <w:rsid w:val="00E30ED5"/>
    <w:rsid w:val="00E30F30"/>
    <w:rsid w:val="00E30F6C"/>
    <w:rsid w:val="00E30FEC"/>
    <w:rsid w:val="00E3103A"/>
    <w:rsid w:val="00E310D2"/>
    <w:rsid w:val="00E310EA"/>
    <w:rsid w:val="00E31100"/>
    <w:rsid w:val="00E31145"/>
    <w:rsid w:val="00E311C2"/>
    <w:rsid w:val="00E311C4"/>
    <w:rsid w:val="00E31244"/>
    <w:rsid w:val="00E312DB"/>
    <w:rsid w:val="00E31301"/>
    <w:rsid w:val="00E31302"/>
    <w:rsid w:val="00E3131E"/>
    <w:rsid w:val="00E31349"/>
    <w:rsid w:val="00E313AF"/>
    <w:rsid w:val="00E313DA"/>
    <w:rsid w:val="00E31472"/>
    <w:rsid w:val="00E314E8"/>
    <w:rsid w:val="00E31512"/>
    <w:rsid w:val="00E3155D"/>
    <w:rsid w:val="00E3158A"/>
    <w:rsid w:val="00E315A7"/>
    <w:rsid w:val="00E31657"/>
    <w:rsid w:val="00E31683"/>
    <w:rsid w:val="00E3168B"/>
    <w:rsid w:val="00E316B7"/>
    <w:rsid w:val="00E316BE"/>
    <w:rsid w:val="00E316EF"/>
    <w:rsid w:val="00E3170A"/>
    <w:rsid w:val="00E3175F"/>
    <w:rsid w:val="00E3178D"/>
    <w:rsid w:val="00E31790"/>
    <w:rsid w:val="00E317E5"/>
    <w:rsid w:val="00E31837"/>
    <w:rsid w:val="00E31882"/>
    <w:rsid w:val="00E31895"/>
    <w:rsid w:val="00E318C1"/>
    <w:rsid w:val="00E3190F"/>
    <w:rsid w:val="00E3194A"/>
    <w:rsid w:val="00E31953"/>
    <w:rsid w:val="00E31A60"/>
    <w:rsid w:val="00E31A94"/>
    <w:rsid w:val="00E31A9B"/>
    <w:rsid w:val="00E31AF6"/>
    <w:rsid w:val="00E31B1C"/>
    <w:rsid w:val="00E31B67"/>
    <w:rsid w:val="00E31B8C"/>
    <w:rsid w:val="00E31BE9"/>
    <w:rsid w:val="00E31C70"/>
    <w:rsid w:val="00E31D11"/>
    <w:rsid w:val="00E31D3A"/>
    <w:rsid w:val="00E31D99"/>
    <w:rsid w:val="00E31DE8"/>
    <w:rsid w:val="00E31E19"/>
    <w:rsid w:val="00E31E1B"/>
    <w:rsid w:val="00E31E5B"/>
    <w:rsid w:val="00E31EA6"/>
    <w:rsid w:val="00E31EC7"/>
    <w:rsid w:val="00E31EC8"/>
    <w:rsid w:val="00E31EE8"/>
    <w:rsid w:val="00E31F05"/>
    <w:rsid w:val="00E31F26"/>
    <w:rsid w:val="00E31F4F"/>
    <w:rsid w:val="00E31F75"/>
    <w:rsid w:val="00E31FCB"/>
    <w:rsid w:val="00E31FE6"/>
    <w:rsid w:val="00E31FE7"/>
    <w:rsid w:val="00E32044"/>
    <w:rsid w:val="00E32061"/>
    <w:rsid w:val="00E320BE"/>
    <w:rsid w:val="00E32121"/>
    <w:rsid w:val="00E3218E"/>
    <w:rsid w:val="00E32208"/>
    <w:rsid w:val="00E322D4"/>
    <w:rsid w:val="00E322DD"/>
    <w:rsid w:val="00E322FB"/>
    <w:rsid w:val="00E32305"/>
    <w:rsid w:val="00E32353"/>
    <w:rsid w:val="00E32386"/>
    <w:rsid w:val="00E3238C"/>
    <w:rsid w:val="00E323AD"/>
    <w:rsid w:val="00E323CF"/>
    <w:rsid w:val="00E3246D"/>
    <w:rsid w:val="00E32497"/>
    <w:rsid w:val="00E324CF"/>
    <w:rsid w:val="00E324E9"/>
    <w:rsid w:val="00E32505"/>
    <w:rsid w:val="00E3250E"/>
    <w:rsid w:val="00E32522"/>
    <w:rsid w:val="00E32529"/>
    <w:rsid w:val="00E3257C"/>
    <w:rsid w:val="00E32598"/>
    <w:rsid w:val="00E32626"/>
    <w:rsid w:val="00E3264E"/>
    <w:rsid w:val="00E3266F"/>
    <w:rsid w:val="00E326A4"/>
    <w:rsid w:val="00E326F8"/>
    <w:rsid w:val="00E326FF"/>
    <w:rsid w:val="00E32768"/>
    <w:rsid w:val="00E3277B"/>
    <w:rsid w:val="00E327B7"/>
    <w:rsid w:val="00E327D1"/>
    <w:rsid w:val="00E3287A"/>
    <w:rsid w:val="00E328DC"/>
    <w:rsid w:val="00E32919"/>
    <w:rsid w:val="00E3295A"/>
    <w:rsid w:val="00E3299A"/>
    <w:rsid w:val="00E32B38"/>
    <w:rsid w:val="00E32B51"/>
    <w:rsid w:val="00E32C6C"/>
    <w:rsid w:val="00E32C83"/>
    <w:rsid w:val="00E32CE5"/>
    <w:rsid w:val="00E32D09"/>
    <w:rsid w:val="00E32D11"/>
    <w:rsid w:val="00E32D49"/>
    <w:rsid w:val="00E32D74"/>
    <w:rsid w:val="00E32DB8"/>
    <w:rsid w:val="00E32DDC"/>
    <w:rsid w:val="00E32E2E"/>
    <w:rsid w:val="00E32E34"/>
    <w:rsid w:val="00E32E35"/>
    <w:rsid w:val="00E32E41"/>
    <w:rsid w:val="00E32E68"/>
    <w:rsid w:val="00E32E76"/>
    <w:rsid w:val="00E32E99"/>
    <w:rsid w:val="00E32EB9"/>
    <w:rsid w:val="00E32EC5"/>
    <w:rsid w:val="00E32EF6"/>
    <w:rsid w:val="00E32F56"/>
    <w:rsid w:val="00E32F94"/>
    <w:rsid w:val="00E32FA5"/>
    <w:rsid w:val="00E32FDB"/>
    <w:rsid w:val="00E33033"/>
    <w:rsid w:val="00E3303A"/>
    <w:rsid w:val="00E330BB"/>
    <w:rsid w:val="00E330FA"/>
    <w:rsid w:val="00E33119"/>
    <w:rsid w:val="00E33129"/>
    <w:rsid w:val="00E331CA"/>
    <w:rsid w:val="00E3326A"/>
    <w:rsid w:val="00E3333A"/>
    <w:rsid w:val="00E3336C"/>
    <w:rsid w:val="00E3337E"/>
    <w:rsid w:val="00E3337F"/>
    <w:rsid w:val="00E33387"/>
    <w:rsid w:val="00E3339E"/>
    <w:rsid w:val="00E333DF"/>
    <w:rsid w:val="00E33420"/>
    <w:rsid w:val="00E3346F"/>
    <w:rsid w:val="00E3347A"/>
    <w:rsid w:val="00E33513"/>
    <w:rsid w:val="00E33539"/>
    <w:rsid w:val="00E3357C"/>
    <w:rsid w:val="00E33694"/>
    <w:rsid w:val="00E336A9"/>
    <w:rsid w:val="00E336F7"/>
    <w:rsid w:val="00E33726"/>
    <w:rsid w:val="00E337D2"/>
    <w:rsid w:val="00E3381A"/>
    <w:rsid w:val="00E3381D"/>
    <w:rsid w:val="00E33894"/>
    <w:rsid w:val="00E338B0"/>
    <w:rsid w:val="00E338B4"/>
    <w:rsid w:val="00E3393E"/>
    <w:rsid w:val="00E33942"/>
    <w:rsid w:val="00E33967"/>
    <w:rsid w:val="00E33989"/>
    <w:rsid w:val="00E33A02"/>
    <w:rsid w:val="00E33A0F"/>
    <w:rsid w:val="00E33A86"/>
    <w:rsid w:val="00E33B23"/>
    <w:rsid w:val="00E33B89"/>
    <w:rsid w:val="00E33BEC"/>
    <w:rsid w:val="00E33BF7"/>
    <w:rsid w:val="00E33C04"/>
    <w:rsid w:val="00E33C5C"/>
    <w:rsid w:val="00E33C88"/>
    <w:rsid w:val="00E33C97"/>
    <w:rsid w:val="00E33D12"/>
    <w:rsid w:val="00E33D2F"/>
    <w:rsid w:val="00E33D32"/>
    <w:rsid w:val="00E33D4D"/>
    <w:rsid w:val="00E33D88"/>
    <w:rsid w:val="00E33EBE"/>
    <w:rsid w:val="00E33ED1"/>
    <w:rsid w:val="00E33F3D"/>
    <w:rsid w:val="00E33F56"/>
    <w:rsid w:val="00E33F6D"/>
    <w:rsid w:val="00E33F76"/>
    <w:rsid w:val="00E33FB9"/>
    <w:rsid w:val="00E33FC6"/>
    <w:rsid w:val="00E33FEB"/>
    <w:rsid w:val="00E3400D"/>
    <w:rsid w:val="00E3403A"/>
    <w:rsid w:val="00E340A6"/>
    <w:rsid w:val="00E340D4"/>
    <w:rsid w:val="00E3410F"/>
    <w:rsid w:val="00E3411B"/>
    <w:rsid w:val="00E34134"/>
    <w:rsid w:val="00E3418A"/>
    <w:rsid w:val="00E34260"/>
    <w:rsid w:val="00E34263"/>
    <w:rsid w:val="00E3427E"/>
    <w:rsid w:val="00E342B7"/>
    <w:rsid w:val="00E34328"/>
    <w:rsid w:val="00E34361"/>
    <w:rsid w:val="00E34363"/>
    <w:rsid w:val="00E343BB"/>
    <w:rsid w:val="00E3441A"/>
    <w:rsid w:val="00E34429"/>
    <w:rsid w:val="00E34462"/>
    <w:rsid w:val="00E34522"/>
    <w:rsid w:val="00E34581"/>
    <w:rsid w:val="00E34688"/>
    <w:rsid w:val="00E346C7"/>
    <w:rsid w:val="00E346FD"/>
    <w:rsid w:val="00E3473C"/>
    <w:rsid w:val="00E3473D"/>
    <w:rsid w:val="00E34753"/>
    <w:rsid w:val="00E3476F"/>
    <w:rsid w:val="00E347B9"/>
    <w:rsid w:val="00E347D3"/>
    <w:rsid w:val="00E347F1"/>
    <w:rsid w:val="00E347F3"/>
    <w:rsid w:val="00E347F5"/>
    <w:rsid w:val="00E34826"/>
    <w:rsid w:val="00E3484E"/>
    <w:rsid w:val="00E34864"/>
    <w:rsid w:val="00E34885"/>
    <w:rsid w:val="00E34977"/>
    <w:rsid w:val="00E3497B"/>
    <w:rsid w:val="00E3499C"/>
    <w:rsid w:val="00E34A2F"/>
    <w:rsid w:val="00E34A60"/>
    <w:rsid w:val="00E34A80"/>
    <w:rsid w:val="00E34AD3"/>
    <w:rsid w:val="00E34AD9"/>
    <w:rsid w:val="00E34B12"/>
    <w:rsid w:val="00E34B1D"/>
    <w:rsid w:val="00E34BF5"/>
    <w:rsid w:val="00E34C1D"/>
    <w:rsid w:val="00E34C20"/>
    <w:rsid w:val="00E34C24"/>
    <w:rsid w:val="00E34C2A"/>
    <w:rsid w:val="00E34C2F"/>
    <w:rsid w:val="00E34C84"/>
    <w:rsid w:val="00E34CBA"/>
    <w:rsid w:val="00E34D5C"/>
    <w:rsid w:val="00E34D63"/>
    <w:rsid w:val="00E34DA5"/>
    <w:rsid w:val="00E34DF1"/>
    <w:rsid w:val="00E34E2E"/>
    <w:rsid w:val="00E34E30"/>
    <w:rsid w:val="00E34E55"/>
    <w:rsid w:val="00E34F10"/>
    <w:rsid w:val="00E34F22"/>
    <w:rsid w:val="00E34F2E"/>
    <w:rsid w:val="00E34F53"/>
    <w:rsid w:val="00E34F90"/>
    <w:rsid w:val="00E34FA9"/>
    <w:rsid w:val="00E35060"/>
    <w:rsid w:val="00E35086"/>
    <w:rsid w:val="00E350C4"/>
    <w:rsid w:val="00E350C8"/>
    <w:rsid w:val="00E350D2"/>
    <w:rsid w:val="00E350F8"/>
    <w:rsid w:val="00E351EB"/>
    <w:rsid w:val="00E3525E"/>
    <w:rsid w:val="00E352A3"/>
    <w:rsid w:val="00E3533F"/>
    <w:rsid w:val="00E35398"/>
    <w:rsid w:val="00E35454"/>
    <w:rsid w:val="00E3549C"/>
    <w:rsid w:val="00E354D3"/>
    <w:rsid w:val="00E3550B"/>
    <w:rsid w:val="00E3552F"/>
    <w:rsid w:val="00E35559"/>
    <w:rsid w:val="00E3557E"/>
    <w:rsid w:val="00E35605"/>
    <w:rsid w:val="00E35651"/>
    <w:rsid w:val="00E35668"/>
    <w:rsid w:val="00E35697"/>
    <w:rsid w:val="00E356E6"/>
    <w:rsid w:val="00E356F4"/>
    <w:rsid w:val="00E35791"/>
    <w:rsid w:val="00E357B1"/>
    <w:rsid w:val="00E357CD"/>
    <w:rsid w:val="00E357F4"/>
    <w:rsid w:val="00E35804"/>
    <w:rsid w:val="00E35808"/>
    <w:rsid w:val="00E35867"/>
    <w:rsid w:val="00E358BB"/>
    <w:rsid w:val="00E358C1"/>
    <w:rsid w:val="00E358DC"/>
    <w:rsid w:val="00E358EE"/>
    <w:rsid w:val="00E358FC"/>
    <w:rsid w:val="00E3590D"/>
    <w:rsid w:val="00E3591E"/>
    <w:rsid w:val="00E3598B"/>
    <w:rsid w:val="00E35A11"/>
    <w:rsid w:val="00E35A2B"/>
    <w:rsid w:val="00E35A6D"/>
    <w:rsid w:val="00E35AF2"/>
    <w:rsid w:val="00E35B11"/>
    <w:rsid w:val="00E35B31"/>
    <w:rsid w:val="00E35B38"/>
    <w:rsid w:val="00E35B3C"/>
    <w:rsid w:val="00E35B47"/>
    <w:rsid w:val="00E35BA3"/>
    <w:rsid w:val="00E35C0A"/>
    <w:rsid w:val="00E35C69"/>
    <w:rsid w:val="00E35CEC"/>
    <w:rsid w:val="00E35CF7"/>
    <w:rsid w:val="00E35D5E"/>
    <w:rsid w:val="00E35DAC"/>
    <w:rsid w:val="00E35DE5"/>
    <w:rsid w:val="00E35DFD"/>
    <w:rsid w:val="00E35EAC"/>
    <w:rsid w:val="00E35ED2"/>
    <w:rsid w:val="00E3611D"/>
    <w:rsid w:val="00E36185"/>
    <w:rsid w:val="00E361FE"/>
    <w:rsid w:val="00E3620F"/>
    <w:rsid w:val="00E36245"/>
    <w:rsid w:val="00E36255"/>
    <w:rsid w:val="00E3625D"/>
    <w:rsid w:val="00E36262"/>
    <w:rsid w:val="00E362CC"/>
    <w:rsid w:val="00E362E1"/>
    <w:rsid w:val="00E362E3"/>
    <w:rsid w:val="00E36313"/>
    <w:rsid w:val="00E36399"/>
    <w:rsid w:val="00E3639F"/>
    <w:rsid w:val="00E363AA"/>
    <w:rsid w:val="00E36424"/>
    <w:rsid w:val="00E36477"/>
    <w:rsid w:val="00E364A7"/>
    <w:rsid w:val="00E36569"/>
    <w:rsid w:val="00E365C1"/>
    <w:rsid w:val="00E3661F"/>
    <w:rsid w:val="00E366D7"/>
    <w:rsid w:val="00E367EB"/>
    <w:rsid w:val="00E36840"/>
    <w:rsid w:val="00E36860"/>
    <w:rsid w:val="00E3687C"/>
    <w:rsid w:val="00E3695D"/>
    <w:rsid w:val="00E36A14"/>
    <w:rsid w:val="00E36A3A"/>
    <w:rsid w:val="00E36AA7"/>
    <w:rsid w:val="00E36AB5"/>
    <w:rsid w:val="00E36AFF"/>
    <w:rsid w:val="00E36B1A"/>
    <w:rsid w:val="00E36B4D"/>
    <w:rsid w:val="00E36BAC"/>
    <w:rsid w:val="00E36BB6"/>
    <w:rsid w:val="00E36C39"/>
    <w:rsid w:val="00E36C3A"/>
    <w:rsid w:val="00E36C3C"/>
    <w:rsid w:val="00E36C56"/>
    <w:rsid w:val="00E36C96"/>
    <w:rsid w:val="00E36CFA"/>
    <w:rsid w:val="00E36D78"/>
    <w:rsid w:val="00E36D86"/>
    <w:rsid w:val="00E36D8F"/>
    <w:rsid w:val="00E36DB4"/>
    <w:rsid w:val="00E36DFC"/>
    <w:rsid w:val="00E36E77"/>
    <w:rsid w:val="00E36EAB"/>
    <w:rsid w:val="00E36EFF"/>
    <w:rsid w:val="00E36F06"/>
    <w:rsid w:val="00E36F3C"/>
    <w:rsid w:val="00E36F8A"/>
    <w:rsid w:val="00E36FC5"/>
    <w:rsid w:val="00E36FCE"/>
    <w:rsid w:val="00E37042"/>
    <w:rsid w:val="00E37049"/>
    <w:rsid w:val="00E3707C"/>
    <w:rsid w:val="00E3709A"/>
    <w:rsid w:val="00E371CF"/>
    <w:rsid w:val="00E371E4"/>
    <w:rsid w:val="00E371F7"/>
    <w:rsid w:val="00E37255"/>
    <w:rsid w:val="00E37283"/>
    <w:rsid w:val="00E37294"/>
    <w:rsid w:val="00E372B4"/>
    <w:rsid w:val="00E372FC"/>
    <w:rsid w:val="00E37341"/>
    <w:rsid w:val="00E373E2"/>
    <w:rsid w:val="00E37465"/>
    <w:rsid w:val="00E37471"/>
    <w:rsid w:val="00E374BD"/>
    <w:rsid w:val="00E374ED"/>
    <w:rsid w:val="00E37504"/>
    <w:rsid w:val="00E37512"/>
    <w:rsid w:val="00E3754C"/>
    <w:rsid w:val="00E3756B"/>
    <w:rsid w:val="00E376BF"/>
    <w:rsid w:val="00E376DF"/>
    <w:rsid w:val="00E376E2"/>
    <w:rsid w:val="00E3770C"/>
    <w:rsid w:val="00E37715"/>
    <w:rsid w:val="00E3777C"/>
    <w:rsid w:val="00E377A3"/>
    <w:rsid w:val="00E377F2"/>
    <w:rsid w:val="00E3785D"/>
    <w:rsid w:val="00E3787B"/>
    <w:rsid w:val="00E378A7"/>
    <w:rsid w:val="00E378B3"/>
    <w:rsid w:val="00E378D4"/>
    <w:rsid w:val="00E378FF"/>
    <w:rsid w:val="00E37916"/>
    <w:rsid w:val="00E3791C"/>
    <w:rsid w:val="00E37948"/>
    <w:rsid w:val="00E37959"/>
    <w:rsid w:val="00E37985"/>
    <w:rsid w:val="00E379AF"/>
    <w:rsid w:val="00E379B1"/>
    <w:rsid w:val="00E379F5"/>
    <w:rsid w:val="00E379F7"/>
    <w:rsid w:val="00E37A1E"/>
    <w:rsid w:val="00E37A50"/>
    <w:rsid w:val="00E37AFC"/>
    <w:rsid w:val="00E37BAF"/>
    <w:rsid w:val="00E37C06"/>
    <w:rsid w:val="00E37C26"/>
    <w:rsid w:val="00E37CBE"/>
    <w:rsid w:val="00E37CDD"/>
    <w:rsid w:val="00E37D19"/>
    <w:rsid w:val="00E37D39"/>
    <w:rsid w:val="00E37D3D"/>
    <w:rsid w:val="00E37DE0"/>
    <w:rsid w:val="00E37E64"/>
    <w:rsid w:val="00E37E80"/>
    <w:rsid w:val="00E37F05"/>
    <w:rsid w:val="00E37F81"/>
    <w:rsid w:val="00E40034"/>
    <w:rsid w:val="00E400C9"/>
    <w:rsid w:val="00E40106"/>
    <w:rsid w:val="00E401FD"/>
    <w:rsid w:val="00E40252"/>
    <w:rsid w:val="00E40263"/>
    <w:rsid w:val="00E402AA"/>
    <w:rsid w:val="00E402DE"/>
    <w:rsid w:val="00E4030A"/>
    <w:rsid w:val="00E4037F"/>
    <w:rsid w:val="00E40399"/>
    <w:rsid w:val="00E403A1"/>
    <w:rsid w:val="00E403AA"/>
    <w:rsid w:val="00E403C1"/>
    <w:rsid w:val="00E404AB"/>
    <w:rsid w:val="00E404C1"/>
    <w:rsid w:val="00E404FD"/>
    <w:rsid w:val="00E40512"/>
    <w:rsid w:val="00E40539"/>
    <w:rsid w:val="00E4053E"/>
    <w:rsid w:val="00E405B5"/>
    <w:rsid w:val="00E405E2"/>
    <w:rsid w:val="00E406AA"/>
    <w:rsid w:val="00E406B6"/>
    <w:rsid w:val="00E40780"/>
    <w:rsid w:val="00E407EB"/>
    <w:rsid w:val="00E4089D"/>
    <w:rsid w:val="00E408E1"/>
    <w:rsid w:val="00E40959"/>
    <w:rsid w:val="00E40999"/>
    <w:rsid w:val="00E409A0"/>
    <w:rsid w:val="00E40A3A"/>
    <w:rsid w:val="00E40AB3"/>
    <w:rsid w:val="00E40ACD"/>
    <w:rsid w:val="00E40AE5"/>
    <w:rsid w:val="00E40B72"/>
    <w:rsid w:val="00E40B7B"/>
    <w:rsid w:val="00E40B92"/>
    <w:rsid w:val="00E40C08"/>
    <w:rsid w:val="00E40C3C"/>
    <w:rsid w:val="00E40C40"/>
    <w:rsid w:val="00E40C43"/>
    <w:rsid w:val="00E40CDA"/>
    <w:rsid w:val="00E40CE3"/>
    <w:rsid w:val="00E40D1C"/>
    <w:rsid w:val="00E40D33"/>
    <w:rsid w:val="00E40D53"/>
    <w:rsid w:val="00E40D63"/>
    <w:rsid w:val="00E40D76"/>
    <w:rsid w:val="00E40DAF"/>
    <w:rsid w:val="00E40E20"/>
    <w:rsid w:val="00E40E61"/>
    <w:rsid w:val="00E40E8E"/>
    <w:rsid w:val="00E40EF0"/>
    <w:rsid w:val="00E40F10"/>
    <w:rsid w:val="00E40F31"/>
    <w:rsid w:val="00E40FBB"/>
    <w:rsid w:val="00E4102E"/>
    <w:rsid w:val="00E41087"/>
    <w:rsid w:val="00E4108D"/>
    <w:rsid w:val="00E411AC"/>
    <w:rsid w:val="00E411B3"/>
    <w:rsid w:val="00E411C2"/>
    <w:rsid w:val="00E411DB"/>
    <w:rsid w:val="00E412E0"/>
    <w:rsid w:val="00E412E7"/>
    <w:rsid w:val="00E41305"/>
    <w:rsid w:val="00E4135D"/>
    <w:rsid w:val="00E41360"/>
    <w:rsid w:val="00E4136A"/>
    <w:rsid w:val="00E4138C"/>
    <w:rsid w:val="00E413E9"/>
    <w:rsid w:val="00E4142E"/>
    <w:rsid w:val="00E41435"/>
    <w:rsid w:val="00E41456"/>
    <w:rsid w:val="00E414DE"/>
    <w:rsid w:val="00E414FB"/>
    <w:rsid w:val="00E415AE"/>
    <w:rsid w:val="00E415B7"/>
    <w:rsid w:val="00E415E8"/>
    <w:rsid w:val="00E415F7"/>
    <w:rsid w:val="00E41613"/>
    <w:rsid w:val="00E41661"/>
    <w:rsid w:val="00E4168E"/>
    <w:rsid w:val="00E416A7"/>
    <w:rsid w:val="00E416B9"/>
    <w:rsid w:val="00E416F5"/>
    <w:rsid w:val="00E416F9"/>
    <w:rsid w:val="00E41708"/>
    <w:rsid w:val="00E41716"/>
    <w:rsid w:val="00E4177C"/>
    <w:rsid w:val="00E4180C"/>
    <w:rsid w:val="00E41844"/>
    <w:rsid w:val="00E4184C"/>
    <w:rsid w:val="00E418E1"/>
    <w:rsid w:val="00E418EB"/>
    <w:rsid w:val="00E41906"/>
    <w:rsid w:val="00E41982"/>
    <w:rsid w:val="00E41983"/>
    <w:rsid w:val="00E4198F"/>
    <w:rsid w:val="00E4199B"/>
    <w:rsid w:val="00E419B7"/>
    <w:rsid w:val="00E419BD"/>
    <w:rsid w:val="00E419EF"/>
    <w:rsid w:val="00E41A11"/>
    <w:rsid w:val="00E41A50"/>
    <w:rsid w:val="00E41ADD"/>
    <w:rsid w:val="00E41B0F"/>
    <w:rsid w:val="00E41B3F"/>
    <w:rsid w:val="00E41B9A"/>
    <w:rsid w:val="00E41B9F"/>
    <w:rsid w:val="00E41BB8"/>
    <w:rsid w:val="00E41C5F"/>
    <w:rsid w:val="00E41D4F"/>
    <w:rsid w:val="00E41DB8"/>
    <w:rsid w:val="00E41E08"/>
    <w:rsid w:val="00E41E6E"/>
    <w:rsid w:val="00E41E74"/>
    <w:rsid w:val="00E41ED0"/>
    <w:rsid w:val="00E41ED1"/>
    <w:rsid w:val="00E41EDB"/>
    <w:rsid w:val="00E41F5D"/>
    <w:rsid w:val="00E41F7B"/>
    <w:rsid w:val="00E41F9D"/>
    <w:rsid w:val="00E42094"/>
    <w:rsid w:val="00E420CD"/>
    <w:rsid w:val="00E4210F"/>
    <w:rsid w:val="00E42119"/>
    <w:rsid w:val="00E421C0"/>
    <w:rsid w:val="00E421EC"/>
    <w:rsid w:val="00E42205"/>
    <w:rsid w:val="00E42220"/>
    <w:rsid w:val="00E4223E"/>
    <w:rsid w:val="00E42272"/>
    <w:rsid w:val="00E4229F"/>
    <w:rsid w:val="00E422DB"/>
    <w:rsid w:val="00E4237A"/>
    <w:rsid w:val="00E42380"/>
    <w:rsid w:val="00E42382"/>
    <w:rsid w:val="00E423BA"/>
    <w:rsid w:val="00E423C7"/>
    <w:rsid w:val="00E42412"/>
    <w:rsid w:val="00E4248B"/>
    <w:rsid w:val="00E4252B"/>
    <w:rsid w:val="00E4257C"/>
    <w:rsid w:val="00E425AA"/>
    <w:rsid w:val="00E4260B"/>
    <w:rsid w:val="00E42668"/>
    <w:rsid w:val="00E42676"/>
    <w:rsid w:val="00E426AA"/>
    <w:rsid w:val="00E4272A"/>
    <w:rsid w:val="00E4276B"/>
    <w:rsid w:val="00E427C9"/>
    <w:rsid w:val="00E4281D"/>
    <w:rsid w:val="00E4284B"/>
    <w:rsid w:val="00E42864"/>
    <w:rsid w:val="00E42883"/>
    <w:rsid w:val="00E42935"/>
    <w:rsid w:val="00E4295F"/>
    <w:rsid w:val="00E42A47"/>
    <w:rsid w:val="00E42A52"/>
    <w:rsid w:val="00E42A83"/>
    <w:rsid w:val="00E42AE5"/>
    <w:rsid w:val="00E42B76"/>
    <w:rsid w:val="00E42BB5"/>
    <w:rsid w:val="00E42BE0"/>
    <w:rsid w:val="00E42C8F"/>
    <w:rsid w:val="00E42D3E"/>
    <w:rsid w:val="00E42D46"/>
    <w:rsid w:val="00E42D86"/>
    <w:rsid w:val="00E42DBF"/>
    <w:rsid w:val="00E42DD7"/>
    <w:rsid w:val="00E42DFA"/>
    <w:rsid w:val="00E42E83"/>
    <w:rsid w:val="00E42E91"/>
    <w:rsid w:val="00E42F1C"/>
    <w:rsid w:val="00E42F89"/>
    <w:rsid w:val="00E42FB0"/>
    <w:rsid w:val="00E42FF7"/>
    <w:rsid w:val="00E43080"/>
    <w:rsid w:val="00E43126"/>
    <w:rsid w:val="00E4312D"/>
    <w:rsid w:val="00E431AD"/>
    <w:rsid w:val="00E431E4"/>
    <w:rsid w:val="00E43204"/>
    <w:rsid w:val="00E43225"/>
    <w:rsid w:val="00E43246"/>
    <w:rsid w:val="00E43258"/>
    <w:rsid w:val="00E432B8"/>
    <w:rsid w:val="00E432EC"/>
    <w:rsid w:val="00E43332"/>
    <w:rsid w:val="00E43382"/>
    <w:rsid w:val="00E43433"/>
    <w:rsid w:val="00E43440"/>
    <w:rsid w:val="00E43463"/>
    <w:rsid w:val="00E4348D"/>
    <w:rsid w:val="00E434D7"/>
    <w:rsid w:val="00E43524"/>
    <w:rsid w:val="00E435C3"/>
    <w:rsid w:val="00E435D8"/>
    <w:rsid w:val="00E4363F"/>
    <w:rsid w:val="00E43798"/>
    <w:rsid w:val="00E437AD"/>
    <w:rsid w:val="00E4383F"/>
    <w:rsid w:val="00E439A6"/>
    <w:rsid w:val="00E439CF"/>
    <w:rsid w:val="00E439E4"/>
    <w:rsid w:val="00E43A2E"/>
    <w:rsid w:val="00E43A42"/>
    <w:rsid w:val="00E43A8A"/>
    <w:rsid w:val="00E43AA8"/>
    <w:rsid w:val="00E43AAA"/>
    <w:rsid w:val="00E43ABE"/>
    <w:rsid w:val="00E43ACC"/>
    <w:rsid w:val="00E43AD0"/>
    <w:rsid w:val="00E43B1B"/>
    <w:rsid w:val="00E43B6E"/>
    <w:rsid w:val="00E43B72"/>
    <w:rsid w:val="00E43B78"/>
    <w:rsid w:val="00E43B8F"/>
    <w:rsid w:val="00E43BC4"/>
    <w:rsid w:val="00E43BE7"/>
    <w:rsid w:val="00E43C3E"/>
    <w:rsid w:val="00E43C5C"/>
    <w:rsid w:val="00E43C6D"/>
    <w:rsid w:val="00E43CAC"/>
    <w:rsid w:val="00E43CD6"/>
    <w:rsid w:val="00E43CDB"/>
    <w:rsid w:val="00E43CEF"/>
    <w:rsid w:val="00E43D1A"/>
    <w:rsid w:val="00E43D56"/>
    <w:rsid w:val="00E43DB9"/>
    <w:rsid w:val="00E43DE0"/>
    <w:rsid w:val="00E43DFB"/>
    <w:rsid w:val="00E43E7A"/>
    <w:rsid w:val="00E43F01"/>
    <w:rsid w:val="00E43F50"/>
    <w:rsid w:val="00E43F74"/>
    <w:rsid w:val="00E43F80"/>
    <w:rsid w:val="00E43FA5"/>
    <w:rsid w:val="00E43FCC"/>
    <w:rsid w:val="00E44008"/>
    <w:rsid w:val="00E44038"/>
    <w:rsid w:val="00E440D3"/>
    <w:rsid w:val="00E4411F"/>
    <w:rsid w:val="00E4416C"/>
    <w:rsid w:val="00E4418D"/>
    <w:rsid w:val="00E441B2"/>
    <w:rsid w:val="00E441B8"/>
    <w:rsid w:val="00E442AA"/>
    <w:rsid w:val="00E442CB"/>
    <w:rsid w:val="00E44326"/>
    <w:rsid w:val="00E44331"/>
    <w:rsid w:val="00E44337"/>
    <w:rsid w:val="00E443C2"/>
    <w:rsid w:val="00E444B9"/>
    <w:rsid w:val="00E44578"/>
    <w:rsid w:val="00E445A8"/>
    <w:rsid w:val="00E445C6"/>
    <w:rsid w:val="00E44639"/>
    <w:rsid w:val="00E44653"/>
    <w:rsid w:val="00E44690"/>
    <w:rsid w:val="00E446B8"/>
    <w:rsid w:val="00E4471F"/>
    <w:rsid w:val="00E4472E"/>
    <w:rsid w:val="00E447D5"/>
    <w:rsid w:val="00E447F1"/>
    <w:rsid w:val="00E4482C"/>
    <w:rsid w:val="00E44838"/>
    <w:rsid w:val="00E4486E"/>
    <w:rsid w:val="00E448C2"/>
    <w:rsid w:val="00E44939"/>
    <w:rsid w:val="00E4495B"/>
    <w:rsid w:val="00E449B1"/>
    <w:rsid w:val="00E44A98"/>
    <w:rsid w:val="00E44AB0"/>
    <w:rsid w:val="00E44B18"/>
    <w:rsid w:val="00E44B88"/>
    <w:rsid w:val="00E44BEF"/>
    <w:rsid w:val="00E44C17"/>
    <w:rsid w:val="00E44C35"/>
    <w:rsid w:val="00E44C98"/>
    <w:rsid w:val="00E44CFC"/>
    <w:rsid w:val="00E44D28"/>
    <w:rsid w:val="00E44DEC"/>
    <w:rsid w:val="00E44E87"/>
    <w:rsid w:val="00E44EB0"/>
    <w:rsid w:val="00E44EB4"/>
    <w:rsid w:val="00E44EC6"/>
    <w:rsid w:val="00E44EF7"/>
    <w:rsid w:val="00E44F72"/>
    <w:rsid w:val="00E44FBB"/>
    <w:rsid w:val="00E44FC8"/>
    <w:rsid w:val="00E44FDE"/>
    <w:rsid w:val="00E4504A"/>
    <w:rsid w:val="00E4506F"/>
    <w:rsid w:val="00E450C1"/>
    <w:rsid w:val="00E4515B"/>
    <w:rsid w:val="00E45196"/>
    <w:rsid w:val="00E451E0"/>
    <w:rsid w:val="00E45224"/>
    <w:rsid w:val="00E4524B"/>
    <w:rsid w:val="00E45280"/>
    <w:rsid w:val="00E45297"/>
    <w:rsid w:val="00E452A2"/>
    <w:rsid w:val="00E452DB"/>
    <w:rsid w:val="00E452F2"/>
    <w:rsid w:val="00E45344"/>
    <w:rsid w:val="00E4534B"/>
    <w:rsid w:val="00E4537C"/>
    <w:rsid w:val="00E45382"/>
    <w:rsid w:val="00E453AF"/>
    <w:rsid w:val="00E453B9"/>
    <w:rsid w:val="00E453BA"/>
    <w:rsid w:val="00E45405"/>
    <w:rsid w:val="00E45424"/>
    <w:rsid w:val="00E4542B"/>
    <w:rsid w:val="00E45471"/>
    <w:rsid w:val="00E45482"/>
    <w:rsid w:val="00E45483"/>
    <w:rsid w:val="00E454CC"/>
    <w:rsid w:val="00E4553A"/>
    <w:rsid w:val="00E45589"/>
    <w:rsid w:val="00E45590"/>
    <w:rsid w:val="00E4559A"/>
    <w:rsid w:val="00E455AE"/>
    <w:rsid w:val="00E455BE"/>
    <w:rsid w:val="00E45610"/>
    <w:rsid w:val="00E4563A"/>
    <w:rsid w:val="00E45647"/>
    <w:rsid w:val="00E45682"/>
    <w:rsid w:val="00E45768"/>
    <w:rsid w:val="00E4579C"/>
    <w:rsid w:val="00E457C9"/>
    <w:rsid w:val="00E45849"/>
    <w:rsid w:val="00E45851"/>
    <w:rsid w:val="00E4585A"/>
    <w:rsid w:val="00E45897"/>
    <w:rsid w:val="00E458F9"/>
    <w:rsid w:val="00E45921"/>
    <w:rsid w:val="00E459A1"/>
    <w:rsid w:val="00E459C6"/>
    <w:rsid w:val="00E45A10"/>
    <w:rsid w:val="00E45A72"/>
    <w:rsid w:val="00E45A9A"/>
    <w:rsid w:val="00E45AE5"/>
    <w:rsid w:val="00E45AFA"/>
    <w:rsid w:val="00E45B38"/>
    <w:rsid w:val="00E45B3E"/>
    <w:rsid w:val="00E45B53"/>
    <w:rsid w:val="00E45BBD"/>
    <w:rsid w:val="00E45BC5"/>
    <w:rsid w:val="00E45BFD"/>
    <w:rsid w:val="00E45C17"/>
    <w:rsid w:val="00E45C71"/>
    <w:rsid w:val="00E45C86"/>
    <w:rsid w:val="00E45CC7"/>
    <w:rsid w:val="00E45CD3"/>
    <w:rsid w:val="00E45D18"/>
    <w:rsid w:val="00E45D3F"/>
    <w:rsid w:val="00E45D8B"/>
    <w:rsid w:val="00E45DA1"/>
    <w:rsid w:val="00E45E85"/>
    <w:rsid w:val="00E45EF0"/>
    <w:rsid w:val="00E45F26"/>
    <w:rsid w:val="00E45F42"/>
    <w:rsid w:val="00E45F86"/>
    <w:rsid w:val="00E45F9D"/>
    <w:rsid w:val="00E46003"/>
    <w:rsid w:val="00E46046"/>
    <w:rsid w:val="00E4605D"/>
    <w:rsid w:val="00E46083"/>
    <w:rsid w:val="00E460B1"/>
    <w:rsid w:val="00E460D9"/>
    <w:rsid w:val="00E46136"/>
    <w:rsid w:val="00E4615C"/>
    <w:rsid w:val="00E46191"/>
    <w:rsid w:val="00E46199"/>
    <w:rsid w:val="00E461E6"/>
    <w:rsid w:val="00E46294"/>
    <w:rsid w:val="00E46299"/>
    <w:rsid w:val="00E46300"/>
    <w:rsid w:val="00E46350"/>
    <w:rsid w:val="00E46368"/>
    <w:rsid w:val="00E463FB"/>
    <w:rsid w:val="00E464CF"/>
    <w:rsid w:val="00E464DD"/>
    <w:rsid w:val="00E46541"/>
    <w:rsid w:val="00E465AC"/>
    <w:rsid w:val="00E465C6"/>
    <w:rsid w:val="00E465D3"/>
    <w:rsid w:val="00E46632"/>
    <w:rsid w:val="00E46711"/>
    <w:rsid w:val="00E467A7"/>
    <w:rsid w:val="00E467BE"/>
    <w:rsid w:val="00E467E2"/>
    <w:rsid w:val="00E467E8"/>
    <w:rsid w:val="00E4680C"/>
    <w:rsid w:val="00E46831"/>
    <w:rsid w:val="00E46868"/>
    <w:rsid w:val="00E468F0"/>
    <w:rsid w:val="00E46906"/>
    <w:rsid w:val="00E4699D"/>
    <w:rsid w:val="00E46A04"/>
    <w:rsid w:val="00E46A49"/>
    <w:rsid w:val="00E46A69"/>
    <w:rsid w:val="00E46A6D"/>
    <w:rsid w:val="00E46ABF"/>
    <w:rsid w:val="00E46AE6"/>
    <w:rsid w:val="00E46B6E"/>
    <w:rsid w:val="00E46BA4"/>
    <w:rsid w:val="00E46BB3"/>
    <w:rsid w:val="00E46BCA"/>
    <w:rsid w:val="00E46C6C"/>
    <w:rsid w:val="00E46C7C"/>
    <w:rsid w:val="00E46CB0"/>
    <w:rsid w:val="00E46CC6"/>
    <w:rsid w:val="00E46CF1"/>
    <w:rsid w:val="00E46D79"/>
    <w:rsid w:val="00E46D86"/>
    <w:rsid w:val="00E46DA2"/>
    <w:rsid w:val="00E46E1B"/>
    <w:rsid w:val="00E46E99"/>
    <w:rsid w:val="00E46F15"/>
    <w:rsid w:val="00E46F4E"/>
    <w:rsid w:val="00E46F62"/>
    <w:rsid w:val="00E46FAF"/>
    <w:rsid w:val="00E46FBC"/>
    <w:rsid w:val="00E46FDC"/>
    <w:rsid w:val="00E47015"/>
    <w:rsid w:val="00E47069"/>
    <w:rsid w:val="00E4706E"/>
    <w:rsid w:val="00E470BA"/>
    <w:rsid w:val="00E470D2"/>
    <w:rsid w:val="00E470ED"/>
    <w:rsid w:val="00E470F7"/>
    <w:rsid w:val="00E47111"/>
    <w:rsid w:val="00E47128"/>
    <w:rsid w:val="00E47140"/>
    <w:rsid w:val="00E47143"/>
    <w:rsid w:val="00E47186"/>
    <w:rsid w:val="00E471B5"/>
    <w:rsid w:val="00E471CE"/>
    <w:rsid w:val="00E471EB"/>
    <w:rsid w:val="00E47225"/>
    <w:rsid w:val="00E47269"/>
    <w:rsid w:val="00E47273"/>
    <w:rsid w:val="00E472A5"/>
    <w:rsid w:val="00E472AA"/>
    <w:rsid w:val="00E472E7"/>
    <w:rsid w:val="00E4731D"/>
    <w:rsid w:val="00E4735E"/>
    <w:rsid w:val="00E4738D"/>
    <w:rsid w:val="00E473A5"/>
    <w:rsid w:val="00E473AC"/>
    <w:rsid w:val="00E473C7"/>
    <w:rsid w:val="00E473D0"/>
    <w:rsid w:val="00E473D9"/>
    <w:rsid w:val="00E474CB"/>
    <w:rsid w:val="00E474D3"/>
    <w:rsid w:val="00E4753F"/>
    <w:rsid w:val="00E4757C"/>
    <w:rsid w:val="00E475B9"/>
    <w:rsid w:val="00E475F3"/>
    <w:rsid w:val="00E475F9"/>
    <w:rsid w:val="00E47665"/>
    <w:rsid w:val="00E476A5"/>
    <w:rsid w:val="00E476B5"/>
    <w:rsid w:val="00E476B8"/>
    <w:rsid w:val="00E476E6"/>
    <w:rsid w:val="00E476F0"/>
    <w:rsid w:val="00E4770C"/>
    <w:rsid w:val="00E47729"/>
    <w:rsid w:val="00E4773A"/>
    <w:rsid w:val="00E4778E"/>
    <w:rsid w:val="00E477E6"/>
    <w:rsid w:val="00E47844"/>
    <w:rsid w:val="00E478AF"/>
    <w:rsid w:val="00E478CB"/>
    <w:rsid w:val="00E478FD"/>
    <w:rsid w:val="00E47921"/>
    <w:rsid w:val="00E47929"/>
    <w:rsid w:val="00E47936"/>
    <w:rsid w:val="00E47939"/>
    <w:rsid w:val="00E47945"/>
    <w:rsid w:val="00E4795A"/>
    <w:rsid w:val="00E479A1"/>
    <w:rsid w:val="00E479C0"/>
    <w:rsid w:val="00E47AAD"/>
    <w:rsid w:val="00E47ABE"/>
    <w:rsid w:val="00E47AE7"/>
    <w:rsid w:val="00E47B31"/>
    <w:rsid w:val="00E47B51"/>
    <w:rsid w:val="00E47B83"/>
    <w:rsid w:val="00E47BEB"/>
    <w:rsid w:val="00E47C82"/>
    <w:rsid w:val="00E47C9E"/>
    <w:rsid w:val="00E47CD7"/>
    <w:rsid w:val="00E47D0D"/>
    <w:rsid w:val="00E47D46"/>
    <w:rsid w:val="00E47D6D"/>
    <w:rsid w:val="00E47DB1"/>
    <w:rsid w:val="00E47E0C"/>
    <w:rsid w:val="00E47E8F"/>
    <w:rsid w:val="00E47EC2"/>
    <w:rsid w:val="00E47EE8"/>
    <w:rsid w:val="00E47F04"/>
    <w:rsid w:val="00E47F85"/>
    <w:rsid w:val="00E47FE7"/>
    <w:rsid w:val="00E50016"/>
    <w:rsid w:val="00E50030"/>
    <w:rsid w:val="00E50039"/>
    <w:rsid w:val="00E5005F"/>
    <w:rsid w:val="00E50068"/>
    <w:rsid w:val="00E50090"/>
    <w:rsid w:val="00E50095"/>
    <w:rsid w:val="00E500D9"/>
    <w:rsid w:val="00E50114"/>
    <w:rsid w:val="00E50131"/>
    <w:rsid w:val="00E50142"/>
    <w:rsid w:val="00E50152"/>
    <w:rsid w:val="00E50153"/>
    <w:rsid w:val="00E50191"/>
    <w:rsid w:val="00E501D1"/>
    <w:rsid w:val="00E50268"/>
    <w:rsid w:val="00E50291"/>
    <w:rsid w:val="00E502A2"/>
    <w:rsid w:val="00E502D9"/>
    <w:rsid w:val="00E502F2"/>
    <w:rsid w:val="00E5031C"/>
    <w:rsid w:val="00E50382"/>
    <w:rsid w:val="00E50391"/>
    <w:rsid w:val="00E503CB"/>
    <w:rsid w:val="00E503D5"/>
    <w:rsid w:val="00E504B3"/>
    <w:rsid w:val="00E506DE"/>
    <w:rsid w:val="00E50710"/>
    <w:rsid w:val="00E50716"/>
    <w:rsid w:val="00E507BD"/>
    <w:rsid w:val="00E50871"/>
    <w:rsid w:val="00E50881"/>
    <w:rsid w:val="00E50891"/>
    <w:rsid w:val="00E508E3"/>
    <w:rsid w:val="00E508EB"/>
    <w:rsid w:val="00E5091B"/>
    <w:rsid w:val="00E50920"/>
    <w:rsid w:val="00E509AB"/>
    <w:rsid w:val="00E50A09"/>
    <w:rsid w:val="00E50A16"/>
    <w:rsid w:val="00E50A17"/>
    <w:rsid w:val="00E50A24"/>
    <w:rsid w:val="00E50A5D"/>
    <w:rsid w:val="00E50AC0"/>
    <w:rsid w:val="00E50AD1"/>
    <w:rsid w:val="00E50B15"/>
    <w:rsid w:val="00E50B23"/>
    <w:rsid w:val="00E50B6E"/>
    <w:rsid w:val="00E50B7B"/>
    <w:rsid w:val="00E50B8D"/>
    <w:rsid w:val="00E50C31"/>
    <w:rsid w:val="00E50C45"/>
    <w:rsid w:val="00E50C54"/>
    <w:rsid w:val="00E50D71"/>
    <w:rsid w:val="00E50DEF"/>
    <w:rsid w:val="00E50E30"/>
    <w:rsid w:val="00E50ECE"/>
    <w:rsid w:val="00E50EDF"/>
    <w:rsid w:val="00E50F11"/>
    <w:rsid w:val="00E50F5A"/>
    <w:rsid w:val="00E50F88"/>
    <w:rsid w:val="00E50FD7"/>
    <w:rsid w:val="00E50FEE"/>
    <w:rsid w:val="00E50FF4"/>
    <w:rsid w:val="00E5104A"/>
    <w:rsid w:val="00E51092"/>
    <w:rsid w:val="00E510D6"/>
    <w:rsid w:val="00E510EC"/>
    <w:rsid w:val="00E510FF"/>
    <w:rsid w:val="00E51100"/>
    <w:rsid w:val="00E51187"/>
    <w:rsid w:val="00E511B9"/>
    <w:rsid w:val="00E511E3"/>
    <w:rsid w:val="00E511E8"/>
    <w:rsid w:val="00E51299"/>
    <w:rsid w:val="00E512BC"/>
    <w:rsid w:val="00E512FF"/>
    <w:rsid w:val="00E51327"/>
    <w:rsid w:val="00E51348"/>
    <w:rsid w:val="00E513E6"/>
    <w:rsid w:val="00E51455"/>
    <w:rsid w:val="00E51462"/>
    <w:rsid w:val="00E51469"/>
    <w:rsid w:val="00E5148D"/>
    <w:rsid w:val="00E514B6"/>
    <w:rsid w:val="00E514DC"/>
    <w:rsid w:val="00E5150D"/>
    <w:rsid w:val="00E51564"/>
    <w:rsid w:val="00E51566"/>
    <w:rsid w:val="00E51616"/>
    <w:rsid w:val="00E51669"/>
    <w:rsid w:val="00E51707"/>
    <w:rsid w:val="00E5175F"/>
    <w:rsid w:val="00E5177D"/>
    <w:rsid w:val="00E5179D"/>
    <w:rsid w:val="00E517B4"/>
    <w:rsid w:val="00E517BC"/>
    <w:rsid w:val="00E517D1"/>
    <w:rsid w:val="00E5186C"/>
    <w:rsid w:val="00E51943"/>
    <w:rsid w:val="00E519B0"/>
    <w:rsid w:val="00E519F5"/>
    <w:rsid w:val="00E51B77"/>
    <w:rsid w:val="00E51B81"/>
    <w:rsid w:val="00E51BE3"/>
    <w:rsid w:val="00E51C2C"/>
    <w:rsid w:val="00E51C35"/>
    <w:rsid w:val="00E51C6B"/>
    <w:rsid w:val="00E51D38"/>
    <w:rsid w:val="00E51D6C"/>
    <w:rsid w:val="00E51DF5"/>
    <w:rsid w:val="00E51E79"/>
    <w:rsid w:val="00E51EAC"/>
    <w:rsid w:val="00E51EBD"/>
    <w:rsid w:val="00E51F1F"/>
    <w:rsid w:val="00E51F2A"/>
    <w:rsid w:val="00E51F73"/>
    <w:rsid w:val="00E51FA6"/>
    <w:rsid w:val="00E51FF1"/>
    <w:rsid w:val="00E51FF3"/>
    <w:rsid w:val="00E52070"/>
    <w:rsid w:val="00E5219B"/>
    <w:rsid w:val="00E521D0"/>
    <w:rsid w:val="00E521F2"/>
    <w:rsid w:val="00E5221A"/>
    <w:rsid w:val="00E52245"/>
    <w:rsid w:val="00E5228A"/>
    <w:rsid w:val="00E522BB"/>
    <w:rsid w:val="00E522BC"/>
    <w:rsid w:val="00E522ED"/>
    <w:rsid w:val="00E52301"/>
    <w:rsid w:val="00E52313"/>
    <w:rsid w:val="00E5234F"/>
    <w:rsid w:val="00E52374"/>
    <w:rsid w:val="00E52389"/>
    <w:rsid w:val="00E523C0"/>
    <w:rsid w:val="00E524D0"/>
    <w:rsid w:val="00E5250E"/>
    <w:rsid w:val="00E5257C"/>
    <w:rsid w:val="00E525C4"/>
    <w:rsid w:val="00E525D4"/>
    <w:rsid w:val="00E525FB"/>
    <w:rsid w:val="00E52634"/>
    <w:rsid w:val="00E5267D"/>
    <w:rsid w:val="00E52696"/>
    <w:rsid w:val="00E526C5"/>
    <w:rsid w:val="00E526FD"/>
    <w:rsid w:val="00E52712"/>
    <w:rsid w:val="00E52735"/>
    <w:rsid w:val="00E52740"/>
    <w:rsid w:val="00E52751"/>
    <w:rsid w:val="00E52785"/>
    <w:rsid w:val="00E527FA"/>
    <w:rsid w:val="00E52821"/>
    <w:rsid w:val="00E5284C"/>
    <w:rsid w:val="00E52899"/>
    <w:rsid w:val="00E528B1"/>
    <w:rsid w:val="00E5293B"/>
    <w:rsid w:val="00E5293C"/>
    <w:rsid w:val="00E5293E"/>
    <w:rsid w:val="00E529EE"/>
    <w:rsid w:val="00E529FB"/>
    <w:rsid w:val="00E52A07"/>
    <w:rsid w:val="00E52A13"/>
    <w:rsid w:val="00E52A3D"/>
    <w:rsid w:val="00E52A68"/>
    <w:rsid w:val="00E52A97"/>
    <w:rsid w:val="00E52AA0"/>
    <w:rsid w:val="00E52AB8"/>
    <w:rsid w:val="00E52ABF"/>
    <w:rsid w:val="00E52AF7"/>
    <w:rsid w:val="00E52AFF"/>
    <w:rsid w:val="00E52B10"/>
    <w:rsid w:val="00E52B1E"/>
    <w:rsid w:val="00E52B44"/>
    <w:rsid w:val="00E52C0E"/>
    <w:rsid w:val="00E52C2D"/>
    <w:rsid w:val="00E52C7D"/>
    <w:rsid w:val="00E52CE1"/>
    <w:rsid w:val="00E52D0A"/>
    <w:rsid w:val="00E52D19"/>
    <w:rsid w:val="00E52D78"/>
    <w:rsid w:val="00E52E07"/>
    <w:rsid w:val="00E52E8D"/>
    <w:rsid w:val="00E52EF0"/>
    <w:rsid w:val="00E52F52"/>
    <w:rsid w:val="00E53057"/>
    <w:rsid w:val="00E5305B"/>
    <w:rsid w:val="00E53083"/>
    <w:rsid w:val="00E53089"/>
    <w:rsid w:val="00E53112"/>
    <w:rsid w:val="00E53135"/>
    <w:rsid w:val="00E53142"/>
    <w:rsid w:val="00E53177"/>
    <w:rsid w:val="00E5318B"/>
    <w:rsid w:val="00E53242"/>
    <w:rsid w:val="00E5326A"/>
    <w:rsid w:val="00E53319"/>
    <w:rsid w:val="00E53341"/>
    <w:rsid w:val="00E53370"/>
    <w:rsid w:val="00E5337A"/>
    <w:rsid w:val="00E5338D"/>
    <w:rsid w:val="00E533A0"/>
    <w:rsid w:val="00E533A9"/>
    <w:rsid w:val="00E533D9"/>
    <w:rsid w:val="00E53446"/>
    <w:rsid w:val="00E53482"/>
    <w:rsid w:val="00E534EC"/>
    <w:rsid w:val="00E53527"/>
    <w:rsid w:val="00E53548"/>
    <w:rsid w:val="00E53589"/>
    <w:rsid w:val="00E535C5"/>
    <w:rsid w:val="00E535E0"/>
    <w:rsid w:val="00E53651"/>
    <w:rsid w:val="00E53657"/>
    <w:rsid w:val="00E53679"/>
    <w:rsid w:val="00E53681"/>
    <w:rsid w:val="00E536E5"/>
    <w:rsid w:val="00E53754"/>
    <w:rsid w:val="00E53764"/>
    <w:rsid w:val="00E537B6"/>
    <w:rsid w:val="00E537D9"/>
    <w:rsid w:val="00E53801"/>
    <w:rsid w:val="00E5385F"/>
    <w:rsid w:val="00E53869"/>
    <w:rsid w:val="00E53935"/>
    <w:rsid w:val="00E53944"/>
    <w:rsid w:val="00E53987"/>
    <w:rsid w:val="00E539FB"/>
    <w:rsid w:val="00E53A3A"/>
    <w:rsid w:val="00E53A68"/>
    <w:rsid w:val="00E53AD8"/>
    <w:rsid w:val="00E53AF5"/>
    <w:rsid w:val="00E53B88"/>
    <w:rsid w:val="00E53BE2"/>
    <w:rsid w:val="00E53C10"/>
    <w:rsid w:val="00E53C17"/>
    <w:rsid w:val="00E53C2B"/>
    <w:rsid w:val="00E53C2D"/>
    <w:rsid w:val="00E53D2B"/>
    <w:rsid w:val="00E53D9F"/>
    <w:rsid w:val="00E53DC1"/>
    <w:rsid w:val="00E53E1A"/>
    <w:rsid w:val="00E53E4A"/>
    <w:rsid w:val="00E53E73"/>
    <w:rsid w:val="00E53F1A"/>
    <w:rsid w:val="00E53F2C"/>
    <w:rsid w:val="00E53F64"/>
    <w:rsid w:val="00E53F67"/>
    <w:rsid w:val="00E53F6A"/>
    <w:rsid w:val="00E53F86"/>
    <w:rsid w:val="00E53FC7"/>
    <w:rsid w:val="00E54019"/>
    <w:rsid w:val="00E54026"/>
    <w:rsid w:val="00E54076"/>
    <w:rsid w:val="00E54077"/>
    <w:rsid w:val="00E54078"/>
    <w:rsid w:val="00E540C2"/>
    <w:rsid w:val="00E54100"/>
    <w:rsid w:val="00E54107"/>
    <w:rsid w:val="00E54109"/>
    <w:rsid w:val="00E5413E"/>
    <w:rsid w:val="00E5415E"/>
    <w:rsid w:val="00E54164"/>
    <w:rsid w:val="00E54188"/>
    <w:rsid w:val="00E54192"/>
    <w:rsid w:val="00E541C4"/>
    <w:rsid w:val="00E5422A"/>
    <w:rsid w:val="00E54245"/>
    <w:rsid w:val="00E54299"/>
    <w:rsid w:val="00E542A2"/>
    <w:rsid w:val="00E542F8"/>
    <w:rsid w:val="00E543E0"/>
    <w:rsid w:val="00E54427"/>
    <w:rsid w:val="00E5447C"/>
    <w:rsid w:val="00E544A3"/>
    <w:rsid w:val="00E544C0"/>
    <w:rsid w:val="00E544F1"/>
    <w:rsid w:val="00E544F6"/>
    <w:rsid w:val="00E54515"/>
    <w:rsid w:val="00E54548"/>
    <w:rsid w:val="00E54555"/>
    <w:rsid w:val="00E54556"/>
    <w:rsid w:val="00E54642"/>
    <w:rsid w:val="00E54649"/>
    <w:rsid w:val="00E54658"/>
    <w:rsid w:val="00E54694"/>
    <w:rsid w:val="00E546B3"/>
    <w:rsid w:val="00E54716"/>
    <w:rsid w:val="00E547A1"/>
    <w:rsid w:val="00E547F9"/>
    <w:rsid w:val="00E547FA"/>
    <w:rsid w:val="00E54897"/>
    <w:rsid w:val="00E548AE"/>
    <w:rsid w:val="00E548E4"/>
    <w:rsid w:val="00E5490F"/>
    <w:rsid w:val="00E549B8"/>
    <w:rsid w:val="00E54A3C"/>
    <w:rsid w:val="00E54A73"/>
    <w:rsid w:val="00E54A79"/>
    <w:rsid w:val="00E54A8F"/>
    <w:rsid w:val="00E54ACC"/>
    <w:rsid w:val="00E54AE9"/>
    <w:rsid w:val="00E54B52"/>
    <w:rsid w:val="00E54B5A"/>
    <w:rsid w:val="00E54B73"/>
    <w:rsid w:val="00E54B7A"/>
    <w:rsid w:val="00E54BB6"/>
    <w:rsid w:val="00E54BD7"/>
    <w:rsid w:val="00E54BE3"/>
    <w:rsid w:val="00E54BFD"/>
    <w:rsid w:val="00E54C12"/>
    <w:rsid w:val="00E54C2F"/>
    <w:rsid w:val="00E54CA2"/>
    <w:rsid w:val="00E54D64"/>
    <w:rsid w:val="00E54DB8"/>
    <w:rsid w:val="00E54DE5"/>
    <w:rsid w:val="00E54E60"/>
    <w:rsid w:val="00E54E7C"/>
    <w:rsid w:val="00E54EB5"/>
    <w:rsid w:val="00E54EDA"/>
    <w:rsid w:val="00E54F4F"/>
    <w:rsid w:val="00E550B7"/>
    <w:rsid w:val="00E550C1"/>
    <w:rsid w:val="00E5513D"/>
    <w:rsid w:val="00E55167"/>
    <w:rsid w:val="00E55198"/>
    <w:rsid w:val="00E551C6"/>
    <w:rsid w:val="00E551D3"/>
    <w:rsid w:val="00E551FF"/>
    <w:rsid w:val="00E55201"/>
    <w:rsid w:val="00E5524F"/>
    <w:rsid w:val="00E55276"/>
    <w:rsid w:val="00E552D6"/>
    <w:rsid w:val="00E552FB"/>
    <w:rsid w:val="00E5530D"/>
    <w:rsid w:val="00E55367"/>
    <w:rsid w:val="00E553B0"/>
    <w:rsid w:val="00E553B1"/>
    <w:rsid w:val="00E553DA"/>
    <w:rsid w:val="00E5540A"/>
    <w:rsid w:val="00E5544F"/>
    <w:rsid w:val="00E55483"/>
    <w:rsid w:val="00E55500"/>
    <w:rsid w:val="00E5557B"/>
    <w:rsid w:val="00E555CC"/>
    <w:rsid w:val="00E555E0"/>
    <w:rsid w:val="00E5560D"/>
    <w:rsid w:val="00E55630"/>
    <w:rsid w:val="00E55643"/>
    <w:rsid w:val="00E55663"/>
    <w:rsid w:val="00E556BA"/>
    <w:rsid w:val="00E55742"/>
    <w:rsid w:val="00E55758"/>
    <w:rsid w:val="00E55769"/>
    <w:rsid w:val="00E55787"/>
    <w:rsid w:val="00E55792"/>
    <w:rsid w:val="00E55803"/>
    <w:rsid w:val="00E55806"/>
    <w:rsid w:val="00E55809"/>
    <w:rsid w:val="00E55810"/>
    <w:rsid w:val="00E55821"/>
    <w:rsid w:val="00E55860"/>
    <w:rsid w:val="00E55971"/>
    <w:rsid w:val="00E559D5"/>
    <w:rsid w:val="00E559EC"/>
    <w:rsid w:val="00E55A0D"/>
    <w:rsid w:val="00E55A18"/>
    <w:rsid w:val="00E55A45"/>
    <w:rsid w:val="00E55A5F"/>
    <w:rsid w:val="00E55A9F"/>
    <w:rsid w:val="00E55AB8"/>
    <w:rsid w:val="00E55AC0"/>
    <w:rsid w:val="00E55AE2"/>
    <w:rsid w:val="00E55B27"/>
    <w:rsid w:val="00E55B3B"/>
    <w:rsid w:val="00E55B8A"/>
    <w:rsid w:val="00E55BAC"/>
    <w:rsid w:val="00E55BB7"/>
    <w:rsid w:val="00E55C33"/>
    <w:rsid w:val="00E55C9C"/>
    <w:rsid w:val="00E55CB9"/>
    <w:rsid w:val="00E55D00"/>
    <w:rsid w:val="00E55D05"/>
    <w:rsid w:val="00E55D2E"/>
    <w:rsid w:val="00E55D46"/>
    <w:rsid w:val="00E55D62"/>
    <w:rsid w:val="00E55D83"/>
    <w:rsid w:val="00E55D9E"/>
    <w:rsid w:val="00E55E04"/>
    <w:rsid w:val="00E55F50"/>
    <w:rsid w:val="00E55F73"/>
    <w:rsid w:val="00E55F77"/>
    <w:rsid w:val="00E55F93"/>
    <w:rsid w:val="00E55FAA"/>
    <w:rsid w:val="00E55FB5"/>
    <w:rsid w:val="00E55FD0"/>
    <w:rsid w:val="00E5600A"/>
    <w:rsid w:val="00E56021"/>
    <w:rsid w:val="00E56048"/>
    <w:rsid w:val="00E56062"/>
    <w:rsid w:val="00E5607C"/>
    <w:rsid w:val="00E560B8"/>
    <w:rsid w:val="00E56112"/>
    <w:rsid w:val="00E56177"/>
    <w:rsid w:val="00E561AC"/>
    <w:rsid w:val="00E561C7"/>
    <w:rsid w:val="00E561DE"/>
    <w:rsid w:val="00E56224"/>
    <w:rsid w:val="00E5628A"/>
    <w:rsid w:val="00E562B5"/>
    <w:rsid w:val="00E562FB"/>
    <w:rsid w:val="00E5631B"/>
    <w:rsid w:val="00E56327"/>
    <w:rsid w:val="00E5636C"/>
    <w:rsid w:val="00E56396"/>
    <w:rsid w:val="00E563AD"/>
    <w:rsid w:val="00E563B8"/>
    <w:rsid w:val="00E563C9"/>
    <w:rsid w:val="00E563D6"/>
    <w:rsid w:val="00E563E6"/>
    <w:rsid w:val="00E56411"/>
    <w:rsid w:val="00E56423"/>
    <w:rsid w:val="00E5643C"/>
    <w:rsid w:val="00E5645E"/>
    <w:rsid w:val="00E564B6"/>
    <w:rsid w:val="00E564C1"/>
    <w:rsid w:val="00E564F0"/>
    <w:rsid w:val="00E564F2"/>
    <w:rsid w:val="00E56505"/>
    <w:rsid w:val="00E5653D"/>
    <w:rsid w:val="00E5654C"/>
    <w:rsid w:val="00E56564"/>
    <w:rsid w:val="00E565DB"/>
    <w:rsid w:val="00E56606"/>
    <w:rsid w:val="00E56668"/>
    <w:rsid w:val="00E566CB"/>
    <w:rsid w:val="00E566DF"/>
    <w:rsid w:val="00E5673C"/>
    <w:rsid w:val="00E567B2"/>
    <w:rsid w:val="00E567C3"/>
    <w:rsid w:val="00E56844"/>
    <w:rsid w:val="00E5687A"/>
    <w:rsid w:val="00E568D2"/>
    <w:rsid w:val="00E568F6"/>
    <w:rsid w:val="00E56969"/>
    <w:rsid w:val="00E5697A"/>
    <w:rsid w:val="00E569E0"/>
    <w:rsid w:val="00E56A3E"/>
    <w:rsid w:val="00E56A45"/>
    <w:rsid w:val="00E56B51"/>
    <w:rsid w:val="00E56B64"/>
    <w:rsid w:val="00E56B80"/>
    <w:rsid w:val="00E56BF8"/>
    <w:rsid w:val="00E56C2B"/>
    <w:rsid w:val="00E56D0A"/>
    <w:rsid w:val="00E56D29"/>
    <w:rsid w:val="00E56D9D"/>
    <w:rsid w:val="00E56DE3"/>
    <w:rsid w:val="00E56E34"/>
    <w:rsid w:val="00E56F19"/>
    <w:rsid w:val="00E56F23"/>
    <w:rsid w:val="00E56F66"/>
    <w:rsid w:val="00E56FF2"/>
    <w:rsid w:val="00E571B8"/>
    <w:rsid w:val="00E571BF"/>
    <w:rsid w:val="00E57232"/>
    <w:rsid w:val="00E57285"/>
    <w:rsid w:val="00E5729D"/>
    <w:rsid w:val="00E572EA"/>
    <w:rsid w:val="00E57335"/>
    <w:rsid w:val="00E573E4"/>
    <w:rsid w:val="00E5743C"/>
    <w:rsid w:val="00E5745E"/>
    <w:rsid w:val="00E57482"/>
    <w:rsid w:val="00E574B5"/>
    <w:rsid w:val="00E574F9"/>
    <w:rsid w:val="00E57559"/>
    <w:rsid w:val="00E575E8"/>
    <w:rsid w:val="00E57642"/>
    <w:rsid w:val="00E576B9"/>
    <w:rsid w:val="00E576BA"/>
    <w:rsid w:val="00E576E5"/>
    <w:rsid w:val="00E577DA"/>
    <w:rsid w:val="00E5782E"/>
    <w:rsid w:val="00E57859"/>
    <w:rsid w:val="00E57868"/>
    <w:rsid w:val="00E578BC"/>
    <w:rsid w:val="00E578D5"/>
    <w:rsid w:val="00E5791E"/>
    <w:rsid w:val="00E5793C"/>
    <w:rsid w:val="00E57949"/>
    <w:rsid w:val="00E5796B"/>
    <w:rsid w:val="00E57A57"/>
    <w:rsid w:val="00E57A6F"/>
    <w:rsid w:val="00E57AA9"/>
    <w:rsid w:val="00E57AD2"/>
    <w:rsid w:val="00E57AE6"/>
    <w:rsid w:val="00E57B17"/>
    <w:rsid w:val="00E57B69"/>
    <w:rsid w:val="00E57B8E"/>
    <w:rsid w:val="00E57B9B"/>
    <w:rsid w:val="00E57C01"/>
    <w:rsid w:val="00E57C38"/>
    <w:rsid w:val="00E57C4A"/>
    <w:rsid w:val="00E57C4B"/>
    <w:rsid w:val="00E57C92"/>
    <w:rsid w:val="00E57CA3"/>
    <w:rsid w:val="00E57CF9"/>
    <w:rsid w:val="00E57D17"/>
    <w:rsid w:val="00E57D18"/>
    <w:rsid w:val="00E57D78"/>
    <w:rsid w:val="00E57DB3"/>
    <w:rsid w:val="00E57E52"/>
    <w:rsid w:val="00E57EB9"/>
    <w:rsid w:val="00E57EC1"/>
    <w:rsid w:val="00E57EC4"/>
    <w:rsid w:val="00E57ED3"/>
    <w:rsid w:val="00E57ED4"/>
    <w:rsid w:val="00E57F15"/>
    <w:rsid w:val="00E57F62"/>
    <w:rsid w:val="00E57F63"/>
    <w:rsid w:val="00E57FBA"/>
    <w:rsid w:val="00E60000"/>
    <w:rsid w:val="00E60028"/>
    <w:rsid w:val="00E6004C"/>
    <w:rsid w:val="00E600B0"/>
    <w:rsid w:val="00E60122"/>
    <w:rsid w:val="00E6015D"/>
    <w:rsid w:val="00E601FE"/>
    <w:rsid w:val="00E60282"/>
    <w:rsid w:val="00E602CE"/>
    <w:rsid w:val="00E60322"/>
    <w:rsid w:val="00E60361"/>
    <w:rsid w:val="00E60371"/>
    <w:rsid w:val="00E603CB"/>
    <w:rsid w:val="00E603DE"/>
    <w:rsid w:val="00E603F9"/>
    <w:rsid w:val="00E603FF"/>
    <w:rsid w:val="00E60429"/>
    <w:rsid w:val="00E6045D"/>
    <w:rsid w:val="00E60468"/>
    <w:rsid w:val="00E604A6"/>
    <w:rsid w:val="00E60524"/>
    <w:rsid w:val="00E6055F"/>
    <w:rsid w:val="00E6059D"/>
    <w:rsid w:val="00E6059F"/>
    <w:rsid w:val="00E60622"/>
    <w:rsid w:val="00E6062B"/>
    <w:rsid w:val="00E60662"/>
    <w:rsid w:val="00E60683"/>
    <w:rsid w:val="00E60801"/>
    <w:rsid w:val="00E6081D"/>
    <w:rsid w:val="00E6082F"/>
    <w:rsid w:val="00E60848"/>
    <w:rsid w:val="00E6089B"/>
    <w:rsid w:val="00E608BC"/>
    <w:rsid w:val="00E60923"/>
    <w:rsid w:val="00E60977"/>
    <w:rsid w:val="00E609CA"/>
    <w:rsid w:val="00E609E0"/>
    <w:rsid w:val="00E60A05"/>
    <w:rsid w:val="00E60A5E"/>
    <w:rsid w:val="00E60A77"/>
    <w:rsid w:val="00E60A97"/>
    <w:rsid w:val="00E60AD8"/>
    <w:rsid w:val="00E60B5F"/>
    <w:rsid w:val="00E60B74"/>
    <w:rsid w:val="00E60BA8"/>
    <w:rsid w:val="00E60C1A"/>
    <w:rsid w:val="00E60CF0"/>
    <w:rsid w:val="00E60CFA"/>
    <w:rsid w:val="00E60D03"/>
    <w:rsid w:val="00E60D96"/>
    <w:rsid w:val="00E60DD3"/>
    <w:rsid w:val="00E60E27"/>
    <w:rsid w:val="00E60EE3"/>
    <w:rsid w:val="00E60F0C"/>
    <w:rsid w:val="00E60F44"/>
    <w:rsid w:val="00E60FE4"/>
    <w:rsid w:val="00E60FE5"/>
    <w:rsid w:val="00E60FE6"/>
    <w:rsid w:val="00E61007"/>
    <w:rsid w:val="00E61020"/>
    <w:rsid w:val="00E61065"/>
    <w:rsid w:val="00E6106C"/>
    <w:rsid w:val="00E61095"/>
    <w:rsid w:val="00E610D4"/>
    <w:rsid w:val="00E6120C"/>
    <w:rsid w:val="00E61220"/>
    <w:rsid w:val="00E6125B"/>
    <w:rsid w:val="00E612B3"/>
    <w:rsid w:val="00E612C8"/>
    <w:rsid w:val="00E6132A"/>
    <w:rsid w:val="00E6134B"/>
    <w:rsid w:val="00E613D4"/>
    <w:rsid w:val="00E6141C"/>
    <w:rsid w:val="00E61431"/>
    <w:rsid w:val="00E6144E"/>
    <w:rsid w:val="00E61461"/>
    <w:rsid w:val="00E6147E"/>
    <w:rsid w:val="00E61485"/>
    <w:rsid w:val="00E61496"/>
    <w:rsid w:val="00E61695"/>
    <w:rsid w:val="00E616C9"/>
    <w:rsid w:val="00E616CE"/>
    <w:rsid w:val="00E617A8"/>
    <w:rsid w:val="00E6180D"/>
    <w:rsid w:val="00E6183C"/>
    <w:rsid w:val="00E618BA"/>
    <w:rsid w:val="00E61905"/>
    <w:rsid w:val="00E61926"/>
    <w:rsid w:val="00E61989"/>
    <w:rsid w:val="00E619A2"/>
    <w:rsid w:val="00E619A7"/>
    <w:rsid w:val="00E619AB"/>
    <w:rsid w:val="00E619E5"/>
    <w:rsid w:val="00E61A04"/>
    <w:rsid w:val="00E61A05"/>
    <w:rsid w:val="00E61A72"/>
    <w:rsid w:val="00E61A86"/>
    <w:rsid w:val="00E61ACB"/>
    <w:rsid w:val="00E61B0B"/>
    <w:rsid w:val="00E61B19"/>
    <w:rsid w:val="00E61B32"/>
    <w:rsid w:val="00E61BD7"/>
    <w:rsid w:val="00E61BF4"/>
    <w:rsid w:val="00E61C8F"/>
    <w:rsid w:val="00E61C9B"/>
    <w:rsid w:val="00E61D95"/>
    <w:rsid w:val="00E61DCA"/>
    <w:rsid w:val="00E61DF2"/>
    <w:rsid w:val="00E61E40"/>
    <w:rsid w:val="00E61EB8"/>
    <w:rsid w:val="00E61F38"/>
    <w:rsid w:val="00E61FD2"/>
    <w:rsid w:val="00E61FDB"/>
    <w:rsid w:val="00E61FEE"/>
    <w:rsid w:val="00E62003"/>
    <w:rsid w:val="00E620A1"/>
    <w:rsid w:val="00E620C9"/>
    <w:rsid w:val="00E620D1"/>
    <w:rsid w:val="00E621EA"/>
    <w:rsid w:val="00E6222A"/>
    <w:rsid w:val="00E62234"/>
    <w:rsid w:val="00E6223E"/>
    <w:rsid w:val="00E62243"/>
    <w:rsid w:val="00E6226A"/>
    <w:rsid w:val="00E6229A"/>
    <w:rsid w:val="00E6230A"/>
    <w:rsid w:val="00E62347"/>
    <w:rsid w:val="00E62358"/>
    <w:rsid w:val="00E62376"/>
    <w:rsid w:val="00E623CE"/>
    <w:rsid w:val="00E623F7"/>
    <w:rsid w:val="00E6242A"/>
    <w:rsid w:val="00E6245F"/>
    <w:rsid w:val="00E624A4"/>
    <w:rsid w:val="00E624B6"/>
    <w:rsid w:val="00E62535"/>
    <w:rsid w:val="00E6258F"/>
    <w:rsid w:val="00E62628"/>
    <w:rsid w:val="00E626CB"/>
    <w:rsid w:val="00E626D2"/>
    <w:rsid w:val="00E626EF"/>
    <w:rsid w:val="00E6271C"/>
    <w:rsid w:val="00E6273B"/>
    <w:rsid w:val="00E62748"/>
    <w:rsid w:val="00E6276E"/>
    <w:rsid w:val="00E6281A"/>
    <w:rsid w:val="00E6282A"/>
    <w:rsid w:val="00E62873"/>
    <w:rsid w:val="00E6288C"/>
    <w:rsid w:val="00E628AD"/>
    <w:rsid w:val="00E628ED"/>
    <w:rsid w:val="00E628F6"/>
    <w:rsid w:val="00E62939"/>
    <w:rsid w:val="00E62959"/>
    <w:rsid w:val="00E6296E"/>
    <w:rsid w:val="00E62985"/>
    <w:rsid w:val="00E629AA"/>
    <w:rsid w:val="00E629CF"/>
    <w:rsid w:val="00E62A77"/>
    <w:rsid w:val="00E62A96"/>
    <w:rsid w:val="00E62AC0"/>
    <w:rsid w:val="00E62AD4"/>
    <w:rsid w:val="00E62AF0"/>
    <w:rsid w:val="00E62B7C"/>
    <w:rsid w:val="00E62BAB"/>
    <w:rsid w:val="00E62BC2"/>
    <w:rsid w:val="00E62C27"/>
    <w:rsid w:val="00E62C6B"/>
    <w:rsid w:val="00E62CBB"/>
    <w:rsid w:val="00E62CFC"/>
    <w:rsid w:val="00E62D13"/>
    <w:rsid w:val="00E62D29"/>
    <w:rsid w:val="00E62D57"/>
    <w:rsid w:val="00E62DA1"/>
    <w:rsid w:val="00E62DBD"/>
    <w:rsid w:val="00E62DF6"/>
    <w:rsid w:val="00E62E42"/>
    <w:rsid w:val="00E62E71"/>
    <w:rsid w:val="00E62EFF"/>
    <w:rsid w:val="00E62F2E"/>
    <w:rsid w:val="00E62FDE"/>
    <w:rsid w:val="00E63054"/>
    <w:rsid w:val="00E6306A"/>
    <w:rsid w:val="00E6306B"/>
    <w:rsid w:val="00E63081"/>
    <w:rsid w:val="00E630B9"/>
    <w:rsid w:val="00E630BE"/>
    <w:rsid w:val="00E630FF"/>
    <w:rsid w:val="00E6310C"/>
    <w:rsid w:val="00E63180"/>
    <w:rsid w:val="00E63187"/>
    <w:rsid w:val="00E631A4"/>
    <w:rsid w:val="00E631D2"/>
    <w:rsid w:val="00E631E8"/>
    <w:rsid w:val="00E632DD"/>
    <w:rsid w:val="00E632EE"/>
    <w:rsid w:val="00E6330C"/>
    <w:rsid w:val="00E63383"/>
    <w:rsid w:val="00E6339B"/>
    <w:rsid w:val="00E633A1"/>
    <w:rsid w:val="00E633AD"/>
    <w:rsid w:val="00E63423"/>
    <w:rsid w:val="00E6348B"/>
    <w:rsid w:val="00E6349D"/>
    <w:rsid w:val="00E634B4"/>
    <w:rsid w:val="00E634B9"/>
    <w:rsid w:val="00E634F9"/>
    <w:rsid w:val="00E6350C"/>
    <w:rsid w:val="00E6358C"/>
    <w:rsid w:val="00E635A0"/>
    <w:rsid w:val="00E635AF"/>
    <w:rsid w:val="00E635C6"/>
    <w:rsid w:val="00E635E5"/>
    <w:rsid w:val="00E635FB"/>
    <w:rsid w:val="00E63704"/>
    <w:rsid w:val="00E63709"/>
    <w:rsid w:val="00E6374B"/>
    <w:rsid w:val="00E637A0"/>
    <w:rsid w:val="00E637F2"/>
    <w:rsid w:val="00E6381D"/>
    <w:rsid w:val="00E638D2"/>
    <w:rsid w:val="00E63926"/>
    <w:rsid w:val="00E6394F"/>
    <w:rsid w:val="00E639C3"/>
    <w:rsid w:val="00E639F6"/>
    <w:rsid w:val="00E63A29"/>
    <w:rsid w:val="00E63A56"/>
    <w:rsid w:val="00E63A5E"/>
    <w:rsid w:val="00E63A8C"/>
    <w:rsid w:val="00E63AA1"/>
    <w:rsid w:val="00E63BA4"/>
    <w:rsid w:val="00E63BAF"/>
    <w:rsid w:val="00E63BFF"/>
    <w:rsid w:val="00E63C01"/>
    <w:rsid w:val="00E63C44"/>
    <w:rsid w:val="00E63C51"/>
    <w:rsid w:val="00E63CD1"/>
    <w:rsid w:val="00E63D03"/>
    <w:rsid w:val="00E63D76"/>
    <w:rsid w:val="00E63D94"/>
    <w:rsid w:val="00E63D9F"/>
    <w:rsid w:val="00E63DAF"/>
    <w:rsid w:val="00E63E0B"/>
    <w:rsid w:val="00E63E17"/>
    <w:rsid w:val="00E63E43"/>
    <w:rsid w:val="00E63ECB"/>
    <w:rsid w:val="00E63F5A"/>
    <w:rsid w:val="00E63F68"/>
    <w:rsid w:val="00E63F6C"/>
    <w:rsid w:val="00E63FC7"/>
    <w:rsid w:val="00E64110"/>
    <w:rsid w:val="00E64128"/>
    <w:rsid w:val="00E64162"/>
    <w:rsid w:val="00E6416D"/>
    <w:rsid w:val="00E641B9"/>
    <w:rsid w:val="00E641BA"/>
    <w:rsid w:val="00E641E3"/>
    <w:rsid w:val="00E64206"/>
    <w:rsid w:val="00E64255"/>
    <w:rsid w:val="00E64257"/>
    <w:rsid w:val="00E6427A"/>
    <w:rsid w:val="00E642CA"/>
    <w:rsid w:val="00E642D2"/>
    <w:rsid w:val="00E6438F"/>
    <w:rsid w:val="00E6441F"/>
    <w:rsid w:val="00E644E1"/>
    <w:rsid w:val="00E644F7"/>
    <w:rsid w:val="00E644FF"/>
    <w:rsid w:val="00E64508"/>
    <w:rsid w:val="00E6456C"/>
    <w:rsid w:val="00E64656"/>
    <w:rsid w:val="00E6466B"/>
    <w:rsid w:val="00E646A4"/>
    <w:rsid w:val="00E64712"/>
    <w:rsid w:val="00E64740"/>
    <w:rsid w:val="00E647D6"/>
    <w:rsid w:val="00E64809"/>
    <w:rsid w:val="00E64834"/>
    <w:rsid w:val="00E64849"/>
    <w:rsid w:val="00E64891"/>
    <w:rsid w:val="00E64898"/>
    <w:rsid w:val="00E648D5"/>
    <w:rsid w:val="00E6499A"/>
    <w:rsid w:val="00E649A6"/>
    <w:rsid w:val="00E649BF"/>
    <w:rsid w:val="00E64A4A"/>
    <w:rsid w:val="00E64A4E"/>
    <w:rsid w:val="00E64A9B"/>
    <w:rsid w:val="00E64B05"/>
    <w:rsid w:val="00E64B1A"/>
    <w:rsid w:val="00E64B26"/>
    <w:rsid w:val="00E64B66"/>
    <w:rsid w:val="00E64BE0"/>
    <w:rsid w:val="00E64BE8"/>
    <w:rsid w:val="00E64C7F"/>
    <w:rsid w:val="00E64C87"/>
    <w:rsid w:val="00E64CA4"/>
    <w:rsid w:val="00E64CB3"/>
    <w:rsid w:val="00E64CBA"/>
    <w:rsid w:val="00E64CBC"/>
    <w:rsid w:val="00E64CDD"/>
    <w:rsid w:val="00E64D1F"/>
    <w:rsid w:val="00E64DA7"/>
    <w:rsid w:val="00E64DAD"/>
    <w:rsid w:val="00E64DD1"/>
    <w:rsid w:val="00E64EDB"/>
    <w:rsid w:val="00E64F69"/>
    <w:rsid w:val="00E64FD8"/>
    <w:rsid w:val="00E64FF3"/>
    <w:rsid w:val="00E6500A"/>
    <w:rsid w:val="00E65038"/>
    <w:rsid w:val="00E6503C"/>
    <w:rsid w:val="00E6506C"/>
    <w:rsid w:val="00E650B1"/>
    <w:rsid w:val="00E650FE"/>
    <w:rsid w:val="00E651C1"/>
    <w:rsid w:val="00E651C7"/>
    <w:rsid w:val="00E65206"/>
    <w:rsid w:val="00E6522F"/>
    <w:rsid w:val="00E65241"/>
    <w:rsid w:val="00E65250"/>
    <w:rsid w:val="00E652B1"/>
    <w:rsid w:val="00E652EB"/>
    <w:rsid w:val="00E65311"/>
    <w:rsid w:val="00E65335"/>
    <w:rsid w:val="00E65354"/>
    <w:rsid w:val="00E65376"/>
    <w:rsid w:val="00E65378"/>
    <w:rsid w:val="00E65382"/>
    <w:rsid w:val="00E65396"/>
    <w:rsid w:val="00E653BA"/>
    <w:rsid w:val="00E65440"/>
    <w:rsid w:val="00E65459"/>
    <w:rsid w:val="00E6545F"/>
    <w:rsid w:val="00E6547D"/>
    <w:rsid w:val="00E654B1"/>
    <w:rsid w:val="00E654B7"/>
    <w:rsid w:val="00E6557C"/>
    <w:rsid w:val="00E65585"/>
    <w:rsid w:val="00E6558B"/>
    <w:rsid w:val="00E6562D"/>
    <w:rsid w:val="00E6568D"/>
    <w:rsid w:val="00E656AC"/>
    <w:rsid w:val="00E656D1"/>
    <w:rsid w:val="00E65738"/>
    <w:rsid w:val="00E657C9"/>
    <w:rsid w:val="00E657E9"/>
    <w:rsid w:val="00E657FE"/>
    <w:rsid w:val="00E6582A"/>
    <w:rsid w:val="00E65886"/>
    <w:rsid w:val="00E65969"/>
    <w:rsid w:val="00E6596B"/>
    <w:rsid w:val="00E65972"/>
    <w:rsid w:val="00E659D8"/>
    <w:rsid w:val="00E65AAD"/>
    <w:rsid w:val="00E65AD0"/>
    <w:rsid w:val="00E65AEB"/>
    <w:rsid w:val="00E65AF9"/>
    <w:rsid w:val="00E65B43"/>
    <w:rsid w:val="00E65B83"/>
    <w:rsid w:val="00E65B9D"/>
    <w:rsid w:val="00E65CE4"/>
    <w:rsid w:val="00E65CF8"/>
    <w:rsid w:val="00E65CFD"/>
    <w:rsid w:val="00E65D17"/>
    <w:rsid w:val="00E65D29"/>
    <w:rsid w:val="00E65D34"/>
    <w:rsid w:val="00E65E1B"/>
    <w:rsid w:val="00E65F0A"/>
    <w:rsid w:val="00E65F54"/>
    <w:rsid w:val="00E65F58"/>
    <w:rsid w:val="00E6601D"/>
    <w:rsid w:val="00E6602F"/>
    <w:rsid w:val="00E660C1"/>
    <w:rsid w:val="00E660D3"/>
    <w:rsid w:val="00E66170"/>
    <w:rsid w:val="00E66195"/>
    <w:rsid w:val="00E661AE"/>
    <w:rsid w:val="00E661C5"/>
    <w:rsid w:val="00E66224"/>
    <w:rsid w:val="00E6628B"/>
    <w:rsid w:val="00E662C5"/>
    <w:rsid w:val="00E662C9"/>
    <w:rsid w:val="00E662EA"/>
    <w:rsid w:val="00E66423"/>
    <w:rsid w:val="00E66429"/>
    <w:rsid w:val="00E6647C"/>
    <w:rsid w:val="00E6647E"/>
    <w:rsid w:val="00E664BF"/>
    <w:rsid w:val="00E664C4"/>
    <w:rsid w:val="00E664C5"/>
    <w:rsid w:val="00E6650E"/>
    <w:rsid w:val="00E66593"/>
    <w:rsid w:val="00E666B0"/>
    <w:rsid w:val="00E666F4"/>
    <w:rsid w:val="00E66756"/>
    <w:rsid w:val="00E6678C"/>
    <w:rsid w:val="00E667C2"/>
    <w:rsid w:val="00E667E6"/>
    <w:rsid w:val="00E667EA"/>
    <w:rsid w:val="00E667F5"/>
    <w:rsid w:val="00E66804"/>
    <w:rsid w:val="00E6683F"/>
    <w:rsid w:val="00E6693A"/>
    <w:rsid w:val="00E66953"/>
    <w:rsid w:val="00E66972"/>
    <w:rsid w:val="00E669A8"/>
    <w:rsid w:val="00E669FF"/>
    <w:rsid w:val="00E66A8A"/>
    <w:rsid w:val="00E66A8B"/>
    <w:rsid w:val="00E66A9C"/>
    <w:rsid w:val="00E66ACD"/>
    <w:rsid w:val="00E66AE9"/>
    <w:rsid w:val="00E66B95"/>
    <w:rsid w:val="00E66C33"/>
    <w:rsid w:val="00E66C3C"/>
    <w:rsid w:val="00E66D51"/>
    <w:rsid w:val="00E66D91"/>
    <w:rsid w:val="00E66D94"/>
    <w:rsid w:val="00E66DE6"/>
    <w:rsid w:val="00E66E38"/>
    <w:rsid w:val="00E66EC6"/>
    <w:rsid w:val="00E66ECB"/>
    <w:rsid w:val="00E66F0A"/>
    <w:rsid w:val="00E66F7D"/>
    <w:rsid w:val="00E66FC9"/>
    <w:rsid w:val="00E67043"/>
    <w:rsid w:val="00E670E1"/>
    <w:rsid w:val="00E670EE"/>
    <w:rsid w:val="00E67129"/>
    <w:rsid w:val="00E67165"/>
    <w:rsid w:val="00E67197"/>
    <w:rsid w:val="00E6719D"/>
    <w:rsid w:val="00E671C6"/>
    <w:rsid w:val="00E671D9"/>
    <w:rsid w:val="00E67225"/>
    <w:rsid w:val="00E6723F"/>
    <w:rsid w:val="00E672B2"/>
    <w:rsid w:val="00E672DE"/>
    <w:rsid w:val="00E67319"/>
    <w:rsid w:val="00E6733A"/>
    <w:rsid w:val="00E6733E"/>
    <w:rsid w:val="00E67373"/>
    <w:rsid w:val="00E673BA"/>
    <w:rsid w:val="00E673F2"/>
    <w:rsid w:val="00E67405"/>
    <w:rsid w:val="00E67465"/>
    <w:rsid w:val="00E67488"/>
    <w:rsid w:val="00E674A4"/>
    <w:rsid w:val="00E674A9"/>
    <w:rsid w:val="00E674C9"/>
    <w:rsid w:val="00E674ED"/>
    <w:rsid w:val="00E67518"/>
    <w:rsid w:val="00E67544"/>
    <w:rsid w:val="00E6763B"/>
    <w:rsid w:val="00E676DE"/>
    <w:rsid w:val="00E67704"/>
    <w:rsid w:val="00E67712"/>
    <w:rsid w:val="00E677BE"/>
    <w:rsid w:val="00E677EB"/>
    <w:rsid w:val="00E67833"/>
    <w:rsid w:val="00E67843"/>
    <w:rsid w:val="00E6785C"/>
    <w:rsid w:val="00E6786B"/>
    <w:rsid w:val="00E678B2"/>
    <w:rsid w:val="00E678C3"/>
    <w:rsid w:val="00E678CC"/>
    <w:rsid w:val="00E6790A"/>
    <w:rsid w:val="00E6793E"/>
    <w:rsid w:val="00E6798F"/>
    <w:rsid w:val="00E679AF"/>
    <w:rsid w:val="00E679D8"/>
    <w:rsid w:val="00E679E4"/>
    <w:rsid w:val="00E67ACC"/>
    <w:rsid w:val="00E67ACD"/>
    <w:rsid w:val="00E67ADB"/>
    <w:rsid w:val="00E67B9A"/>
    <w:rsid w:val="00E67B9D"/>
    <w:rsid w:val="00E67BAF"/>
    <w:rsid w:val="00E67C5B"/>
    <w:rsid w:val="00E67CAA"/>
    <w:rsid w:val="00E67D08"/>
    <w:rsid w:val="00E67DBB"/>
    <w:rsid w:val="00E67F1B"/>
    <w:rsid w:val="00E67F44"/>
    <w:rsid w:val="00E67F69"/>
    <w:rsid w:val="00E67FB4"/>
    <w:rsid w:val="00E70047"/>
    <w:rsid w:val="00E700B8"/>
    <w:rsid w:val="00E700F7"/>
    <w:rsid w:val="00E70171"/>
    <w:rsid w:val="00E7017A"/>
    <w:rsid w:val="00E701B8"/>
    <w:rsid w:val="00E701C7"/>
    <w:rsid w:val="00E70205"/>
    <w:rsid w:val="00E7021C"/>
    <w:rsid w:val="00E7027B"/>
    <w:rsid w:val="00E702EE"/>
    <w:rsid w:val="00E7030A"/>
    <w:rsid w:val="00E7033B"/>
    <w:rsid w:val="00E7036A"/>
    <w:rsid w:val="00E703C6"/>
    <w:rsid w:val="00E70409"/>
    <w:rsid w:val="00E7041D"/>
    <w:rsid w:val="00E704E5"/>
    <w:rsid w:val="00E70516"/>
    <w:rsid w:val="00E7051B"/>
    <w:rsid w:val="00E70576"/>
    <w:rsid w:val="00E705AE"/>
    <w:rsid w:val="00E705C7"/>
    <w:rsid w:val="00E70665"/>
    <w:rsid w:val="00E706FE"/>
    <w:rsid w:val="00E70729"/>
    <w:rsid w:val="00E70746"/>
    <w:rsid w:val="00E7083C"/>
    <w:rsid w:val="00E708F2"/>
    <w:rsid w:val="00E70940"/>
    <w:rsid w:val="00E7094A"/>
    <w:rsid w:val="00E7099A"/>
    <w:rsid w:val="00E709A5"/>
    <w:rsid w:val="00E70A14"/>
    <w:rsid w:val="00E70A1C"/>
    <w:rsid w:val="00E70A4A"/>
    <w:rsid w:val="00E70ACE"/>
    <w:rsid w:val="00E70AF1"/>
    <w:rsid w:val="00E70AF2"/>
    <w:rsid w:val="00E70B48"/>
    <w:rsid w:val="00E70B6D"/>
    <w:rsid w:val="00E70C1E"/>
    <w:rsid w:val="00E70C31"/>
    <w:rsid w:val="00E70C84"/>
    <w:rsid w:val="00E70CBD"/>
    <w:rsid w:val="00E70CCA"/>
    <w:rsid w:val="00E70CF4"/>
    <w:rsid w:val="00E70D74"/>
    <w:rsid w:val="00E70D87"/>
    <w:rsid w:val="00E70D91"/>
    <w:rsid w:val="00E70DE3"/>
    <w:rsid w:val="00E70E1A"/>
    <w:rsid w:val="00E70EC6"/>
    <w:rsid w:val="00E70F29"/>
    <w:rsid w:val="00E70F45"/>
    <w:rsid w:val="00E70F50"/>
    <w:rsid w:val="00E70FB3"/>
    <w:rsid w:val="00E70FD0"/>
    <w:rsid w:val="00E70FE4"/>
    <w:rsid w:val="00E7100C"/>
    <w:rsid w:val="00E71051"/>
    <w:rsid w:val="00E71096"/>
    <w:rsid w:val="00E71106"/>
    <w:rsid w:val="00E7111C"/>
    <w:rsid w:val="00E7120A"/>
    <w:rsid w:val="00E7120F"/>
    <w:rsid w:val="00E7121E"/>
    <w:rsid w:val="00E71246"/>
    <w:rsid w:val="00E71304"/>
    <w:rsid w:val="00E713A9"/>
    <w:rsid w:val="00E713BE"/>
    <w:rsid w:val="00E7147A"/>
    <w:rsid w:val="00E714BF"/>
    <w:rsid w:val="00E714F2"/>
    <w:rsid w:val="00E71510"/>
    <w:rsid w:val="00E7152D"/>
    <w:rsid w:val="00E7152F"/>
    <w:rsid w:val="00E7154C"/>
    <w:rsid w:val="00E71587"/>
    <w:rsid w:val="00E71604"/>
    <w:rsid w:val="00E71615"/>
    <w:rsid w:val="00E71626"/>
    <w:rsid w:val="00E7164B"/>
    <w:rsid w:val="00E716A0"/>
    <w:rsid w:val="00E716BE"/>
    <w:rsid w:val="00E71738"/>
    <w:rsid w:val="00E71772"/>
    <w:rsid w:val="00E7177A"/>
    <w:rsid w:val="00E7177C"/>
    <w:rsid w:val="00E717D4"/>
    <w:rsid w:val="00E717F4"/>
    <w:rsid w:val="00E7184C"/>
    <w:rsid w:val="00E718A4"/>
    <w:rsid w:val="00E718AE"/>
    <w:rsid w:val="00E718BC"/>
    <w:rsid w:val="00E718C1"/>
    <w:rsid w:val="00E718C7"/>
    <w:rsid w:val="00E718EA"/>
    <w:rsid w:val="00E718F4"/>
    <w:rsid w:val="00E719D2"/>
    <w:rsid w:val="00E719FA"/>
    <w:rsid w:val="00E71A1C"/>
    <w:rsid w:val="00E71B82"/>
    <w:rsid w:val="00E71B8A"/>
    <w:rsid w:val="00E71B8C"/>
    <w:rsid w:val="00E71B98"/>
    <w:rsid w:val="00E71BDC"/>
    <w:rsid w:val="00E71C24"/>
    <w:rsid w:val="00E71C58"/>
    <w:rsid w:val="00E71C88"/>
    <w:rsid w:val="00E71CD6"/>
    <w:rsid w:val="00E71D46"/>
    <w:rsid w:val="00E71E1F"/>
    <w:rsid w:val="00E71E5C"/>
    <w:rsid w:val="00E71E96"/>
    <w:rsid w:val="00E71EC0"/>
    <w:rsid w:val="00E71EE7"/>
    <w:rsid w:val="00E71EF8"/>
    <w:rsid w:val="00E71F69"/>
    <w:rsid w:val="00E71F95"/>
    <w:rsid w:val="00E71F9E"/>
    <w:rsid w:val="00E71FC0"/>
    <w:rsid w:val="00E71FD4"/>
    <w:rsid w:val="00E7206F"/>
    <w:rsid w:val="00E720B2"/>
    <w:rsid w:val="00E720FC"/>
    <w:rsid w:val="00E7212C"/>
    <w:rsid w:val="00E72183"/>
    <w:rsid w:val="00E721D1"/>
    <w:rsid w:val="00E721DF"/>
    <w:rsid w:val="00E721E4"/>
    <w:rsid w:val="00E72296"/>
    <w:rsid w:val="00E722BD"/>
    <w:rsid w:val="00E7232C"/>
    <w:rsid w:val="00E72375"/>
    <w:rsid w:val="00E7237D"/>
    <w:rsid w:val="00E72396"/>
    <w:rsid w:val="00E723C0"/>
    <w:rsid w:val="00E723EF"/>
    <w:rsid w:val="00E72425"/>
    <w:rsid w:val="00E72442"/>
    <w:rsid w:val="00E7244E"/>
    <w:rsid w:val="00E7248A"/>
    <w:rsid w:val="00E724AA"/>
    <w:rsid w:val="00E724AF"/>
    <w:rsid w:val="00E7252D"/>
    <w:rsid w:val="00E7254A"/>
    <w:rsid w:val="00E7255A"/>
    <w:rsid w:val="00E7265B"/>
    <w:rsid w:val="00E72685"/>
    <w:rsid w:val="00E726B6"/>
    <w:rsid w:val="00E72700"/>
    <w:rsid w:val="00E7274E"/>
    <w:rsid w:val="00E72790"/>
    <w:rsid w:val="00E72804"/>
    <w:rsid w:val="00E7282B"/>
    <w:rsid w:val="00E7298A"/>
    <w:rsid w:val="00E729C8"/>
    <w:rsid w:val="00E729EE"/>
    <w:rsid w:val="00E72A1A"/>
    <w:rsid w:val="00E72A22"/>
    <w:rsid w:val="00E72A26"/>
    <w:rsid w:val="00E72A3F"/>
    <w:rsid w:val="00E72AA1"/>
    <w:rsid w:val="00E72ADE"/>
    <w:rsid w:val="00E72AF1"/>
    <w:rsid w:val="00E72B4F"/>
    <w:rsid w:val="00E72B8D"/>
    <w:rsid w:val="00E72BA3"/>
    <w:rsid w:val="00E72BE2"/>
    <w:rsid w:val="00E72C91"/>
    <w:rsid w:val="00E72CD6"/>
    <w:rsid w:val="00E72D09"/>
    <w:rsid w:val="00E72D0D"/>
    <w:rsid w:val="00E72D49"/>
    <w:rsid w:val="00E72D7C"/>
    <w:rsid w:val="00E72D8A"/>
    <w:rsid w:val="00E72D9F"/>
    <w:rsid w:val="00E72DD4"/>
    <w:rsid w:val="00E72E66"/>
    <w:rsid w:val="00E72E6A"/>
    <w:rsid w:val="00E72EC3"/>
    <w:rsid w:val="00E72EC6"/>
    <w:rsid w:val="00E72F22"/>
    <w:rsid w:val="00E72FA0"/>
    <w:rsid w:val="00E72FA1"/>
    <w:rsid w:val="00E72FB8"/>
    <w:rsid w:val="00E73003"/>
    <w:rsid w:val="00E73010"/>
    <w:rsid w:val="00E73035"/>
    <w:rsid w:val="00E7306C"/>
    <w:rsid w:val="00E730C8"/>
    <w:rsid w:val="00E73122"/>
    <w:rsid w:val="00E7313A"/>
    <w:rsid w:val="00E7314D"/>
    <w:rsid w:val="00E7316A"/>
    <w:rsid w:val="00E731BF"/>
    <w:rsid w:val="00E731F7"/>
    <w:rsid w:val="00E7325B"/>
    <w:rsid w:val="00E732F4"/>
    <w:rsid w:val="00E7332F"/>
    <w:rsid w:val="00E7333E"/>
    <w:rsid w:val="00E733A2"/>
    <w:rsid w:val="00E733FF"/>
    <w:rsid w:val="00E7341C"/>
    <w:rsid w:val="00E7343E"/>
    <w:rsid w:val="00E73450"/>
    <w:rsid w:val="00E73460"/>
    <w:rsid w:val="00E7347F"/>
    <w:rsid w:val="00E73492"/>
    <w:rsid w:val="00E734FD"/>
    <w:rsid w:val="00E73528"/>
    <w:rsid w:val="00E73552"/>
    <w:rsid w:val="00E735C3"/>
    <w:rsid w:val="00E73603"/>
    <w:rsid w:val="00E73615"/>
    <w:rsid w:val="00E736BE"/>
    <w:rsid w:val="00E736F6"/>
    <w:rsid w:val="00E73744"/>
    <w:rsid w:val="00E73746"/>
    <w:rsid w:val="00E737B1"/>
    <w:rsid w:val="00E737D8"/>
    <w:rsid w:val="00E737E1"/>
    <w:rsid w:val="00E7380A"/>
    <w:rsid w:val="00E73881"/>
    <w:rsid w:val="00E738EE"/>
    <w:rsid w:val="00E73930"/>
    <w:rsid w:val="00E7394E"/>
    <w:rsid w:val="00E73975"/>
    <w:rsid w:val="00E739BB"/>
    <w:rsid w:val="00E739C7"/>
    <w:rsid w:val="00E73A25"/>
    <w:rsid w:val="00E73AEC"/>
    <w:rsid w:val="00E73B2B"/>
    <w:rsid w:val="00E73B3F"/>
    <w:rsid w:val="00E73B83"/>
    <w:rsid w:val="00E73BF2"/>
    <w:rsid w:val="00E73BFD"/>
    <w:rsid w:val="00E73C0A"/>
    <w:rsid w:val="00E73CB5"/>
    <w:rsid w:val="00E73CF2"/>
    <w:rsid w:val="00E73D58"/>
    <w:rsid w:val="00E73D73"/>
    <w:rsid w:val="00E73D82"/>
    <w:rsid w:val="00E73D9A"/>
    <w:rsid w:val="00E73DD9"/>
    <w:rsid w:val="00E73E18"/>
    <w:rsid w:val="00E73E8B"/>
    <w:rsid w:val="00E73F32"/>
    <w:rsid w:val="00E73F6D"/>
    <w:rsid w:val="00E73F97"/>
    <w:rsid w:val="00E740C4"/>
    <w:rsid w:val="00E740D8"/>
    <w:rsid w:val="00E74102"/>
    <w:rsid w:val="00E74179"/>
    <w:rsid w:val="00E7418B"/>
    <w:rsid w:val="00E74192"/>
    <w:rsid w:val="00E741BF"/>
    <w:rsid w:val="00E74211"/>
    <w:rsid w:val="00E74281"/>
    <w:rsid w:val="00E742B9"/>
    <w:rsid w:val="00E742EA"/>
    <w:rsid w:val="00E74307"/>
    <w:rsid w:val="00E74362"/>
    <w:rsid w:val="00E7436C"/>
    <w:rsid w:val="00E74397"/>
    <w:rsid w:val="00E743DC"/>
    <w:rsid w:val="00E74408"/>
    <w:rsid w:val="00E744E3"/>
    <w:rsid w:val="00E7454E"/>
    <w:rsid w:val="00E74560"/>
    <w:rsid w:val="00E7458C"/>
    <w:rsid w:val="00E74591"/>
    <w:rsid w:val="00E745AE"/>
    <w:rsid w:val="00E745D3"/>
    <w:rsid w:val="00E74642"/>
    <w:rsid w:val="00E7467C"/>
    <w:rsid w:val="00E746A2"/>
    <w:rsid w:val="00E746C5"/>
    <w:rsid w:val="00E746D2"/>
    <w:rsid w:val="00E7471C"/>
    <w:rsid w:val="00E74770"/>
    <w:rsid w:val="00E747BE"/>
    <w:rsid w:val="00E747C4"/>
    <w:rsid w:val="00E747D5"/>
    <w:rsid w:val="00E7481F"/>
    <w:rsid w:val="00E74831"/>
    <w:rsid w:val="00E7484A"/>
    <w:rsid w:val="00E748D2"/>
    <w:rsid w:val="00E74917"/>
    <w:rsid w:val="00E74978"/>
    <w:rsid w:val="00E749BF"/>
    <w:rsid w:val="00E749D9"/>
    <w:rsid w:val="00E749DF"/>
    <w:rsid w:val="00E74A00"/>
    <w:rsid w:val="00E74A75"/>
    <w:rsid w:val="00E74A82"/>
    <w:rsid w:val="00E74AA2"/>
    <w:rsid w:val="00E74ACB"/>
    <w:rsid w:val="00E74B43"/>
    <w:rsid w:val="00E74BB1"/>
    <w:rsid w:val="00E74BF6"/>
    <w:rsid w:val="00E74C7A"/>
    <w:rsid w:val="00E74C82"/>
    <w:rsid w:val="00E74CD6"/>
    <w:rsid w:val="00E74D16"/>
    <w:rsid w:val="00E74D2F"/>
    <w:rsid w:val="00E74D79"/>
    <w:rsid w:val="00E74DAF"/>
    <w:rsid w:val="00E74E18"/>
    <w:rsid w:val="00E74E85"/>
    <w:rsid w:val="00E74EAC"/>
    <w:rsid w:val="00E74EBD"/>
    <w:rsid w:val="00E74EF7"/>
    <w:rsid w:val="00E74F2C"/>
    <w:rsid w:val="00E74FA2"/>
    <w:rsid w:val="00E75013"/>
    <w:rsid w:val="00E75028"/>
    <w:rsid w:val="00E75043"/>
    <w:rsid w:val="00E75056"/>
    <w:rsid w:val="00E7508B"/>
    <w:rsid w:val="00E750D5"/>
    <w:rsid w:val="00E75101"/>
    <w:rsid w:val="00E75109"/>
    <w:rsid w:val="00E7510C"/>
    <w:rsid w:val="00E7522D"/>
    <w:rsid w:val="00E7524B"/>
    <w:rsid w:val="00E7533D"/>
    <w:rsid w:val="00E7536F"/>
    <w:rsid w:val="00E753CF"/>
    <w:rsid w:val="00E75442"/>
    <w:rsid w:val="00E754E0"/>
    <w:rsid w:val="00E754FE"/>
    <w:rsid w:val="00E75511"/>
    <w:rsid w:val="00E75592"/>
    <w:rsid w:val="00E755DB"/>
    <w:rsid w:val="00E75640"/>
    <w:rsid w:val="00E75668"/>
    <w:rsid w:val="00E75693"/>
    <w:rsid w:val="00E75694"/>
    <w:rsid w:val="00E756EE"/>
    <w:rsid w:val="00E756FC"/>
    <w:rsid w:val="00E75703"/>
    <w:rsid w:val="00E75704"/>
    <w:rsid w:val="00E7578F"/>
    <w:rsid w:val="00E757B5"/>
    <w:rsid w:val="00E75869"/>
    <w:rsid w:val="00E7590F"/>
    <w:rsid w:val="00E75992"/>
    <w:rsid w:val="00E7599C"/>
    <w:rsid w:val="00E759B0"/>
    <w:rsid w:val="00E75A2C"/>
    <w:rsid w:val="00E75A57"/>
    <w:rsid w:val="00E75AA0"/>
    <w:rsid w:val="00E75ACD"/>
    <w:rsid w:val="00E75ADE"/>
    <w:rsid w:val="00E75B02"/>
    <w:rsid w:val="00E75B8C"/>
    <w:rsid w:val="00E75BB2"/>
    <w:rsid w:val="00E75BE9"/>
    <w:rsid w:val="00E75C20"/>
    <w:rsid w:val="00E75C3B"/>
    <w:rsid w:val="00E75CFD"/>
    <w:rsid w:val="00E75D54"/>
    <w:rsid w:val="00E75D59"/>
    <w:rsid w:val="00E75E5A"/>
    <w:rsid w:val="00E75E7E"/>
    <w:rsid w:val="00E75F75"/>
    <w:rsid w:val="00E75F98"/>
    <w:rsid w:val="00E75FA0"/>
    <w:rsid w:val="00E75FE7"/>
    <w:rsid w:val="00E760B9"/>
    <w:rsid w:val="00E76162"/>
    <w:rsid w:val="00E76172"/>
    <w:rsid w:val="00E76177"/>
    <w:rsid w:val="00E761C8"/>
    <w:rsid w:val="00E761CD"/>
    <w:rsid w:val="00E761E8"/>
    <w:rsid w:val="00E76295"/>
    <w:rsid w:val="00E76317"/>
    <w:rsid w:val="00E7633E"/>
    <w:rsid w:val="00E76361"/>
    <w:rsid w:val="00E76362"/>
    <w:rsid w:val="00E76392"/>
    <w:rsid w:val="00E763B0"/>
    <w:rsid w:val="00E763D1"/>
    <w:rsid w:val="00E763EA"/>
    <w:rsid w:val="00E764A4"/>
    <w:rsid w:val="00E7651B"/>
    <w:rsid w:val="00E76594"/>
    <w:rsid w:val="00E765EC"/>
    <w:rsid w:val="00E765F6"/>
    <w:rsid w:val="00E76615"/>
    <w:rsid w:val="00E7663F"/>
    <w:rsid w:val="00E76643"/>
    <w:rsid w:val="00E7666F"/>
    <w:rsid w:val="00E76674"/>
    <w:rsid w:val="00E76679"/>
    <w:rsid w:val="00E7667E"/>
    <w:rsid w:val="00E7671C"/>
    <w:rsid w:val="00E76730"/>
    <w:rsid w:val="00E76788"/>
    <w:rsid w:val="00E767A7"/>
    <w:rsid w:val="00E767E7"/>
    <w:rsid w:val="00E767FB"/>
    <w:rsid w:val="00E7683B"/>
    <w:rsid w:val="00E76877"/>
    <w:rsid w:val="00E768D3"/>
    <w:rsid w:val="00E768E3"/>
    <w:rsid w:val="00E769D7"/>
    <w:rsid w:val="00E76A7A"/>
    <w:rsid w:val="00E76AA1"/>
    <w:rsid w:val="00E76AB9"/>
    <w:rsid w:val="00E76AD2"/>
    <w:rsid w:val="00E76AED"/>
    <w:rsid w:val="00E76B4A"/>
    <w:rsid w:val="00E76BA8"/>
    <w:rsid w:val="00E76BAD"/>
    <w:rsid w:val="00E76BB5"/>
    <w:rsid w:val="00E76BE9"/>
    <w:rsid w:val="00E76C17"/>
    <w:rsid w:val="00E76C1F"/>
    <w:rsid w:val="00E76C8F"/>
    <w:rsid w:val="00E76D16"/>
    <w:rsid w:val="00E76D28"/>
    <w:rsid w:val="00E76D51"/>
    <w:rsid w:val="00E76D7D"/>
    <w:rsid w:val="00E76DB1"/>
    <w:rsid w:val="00E76DF0"/>
    <w:rsid w:val="00E76DF8"/>
    <w:rsid w:val="00E76E4C"/>
    <w:rsid w:val="00E76E97"/>
    <w:rsid w:val="00E76EB0"/>
    <w:rsid w:val="00E76EE3"/>
    <w:rsid w:val="00E76EFF"/>
    <w:rsid w:val="00E76F1F"/>
    <w:rsid w:val="00E76FBF"/>
    <w:rsid w:val="00E77040"/>
    <w:rsid w:val="00E77046"/>
    <w:rsid w:val="00E770B6"/>
    <w:rsid w:val="00E770CB"/>
    <w:rsid w:val="00E770D7"/>
    <w:rsid w:val="00E770F2"/>
    <w:rsid w:val="00E77110"/>
    <w:rsid w:val="00E77157"/>
    <w:rsid w:val="00E77178"/>
    <w:rsid w:val="00E7719B"/>
    <w:rsid w:val="00E771CF"/>
    <w:rsid w:val="00E77222"/>
    <w:rsid w:val="00E7724E"/>
    <w:rsid w:val="00E772C7"/>
    <w:rsid w:val="00E77319"/>
    <w:rsid w:val="00E7736E"/>
    <w:rsid w:val="00E77399"/>
    <w:rsid w:val="00E773DD"/>
    <w:rsid w:val="00E773F0"/>
    <w:rsid w:val="00E77444"/>
    <w:rsid w:val="00E774CE"/>
    <w:rsid w:val="00E774DC"/>
    <w:rsid w:val="00E77534"/>
    <w:rsid w:val="00E77539"/>
    <w:rsid w:val="00E775C8"/>
    <w:rsid w:val="00E77623"/>
    <w:rsid w:val="00E77694"/>
    <w:rsid w:val="00E776AA"/>
    <w:rsid w:val="00E776FD"/>
    <w:rsid w:val="00E77756"/>
    <w:rsid w:val="00E7776B"/>
    <w:rsid w:val="00E7777B"/>
    <w:rsid w:val="00E77790"/>
    <w:rsid w:val="00E7779F"/>
    <w:rsid w:val="00E777C8"/>
    <w:rsid w:val="00E77802"/>
    <w:rsid w:val="00E77849"/>
    <w:rsid w:val="00E77856"/>
    <w:rsid w:val="00E778A9"/>
    <w:rsid w:val="00E77904"/>
    <w:rsid w:val="00E7797D"/>
    <w:rsid w:val="00E77980"/>
    <w:rsid w:val="00E779E1"/>
    <w:rsid w:val="00E77A1C"/>
    <w:rsid w:val="00E77A4E"/>
    <w:rsid w:val="00E77A8F"/>
    <w:rsid w:val="00E77A9E"/>
    <w:rsid w:val="00E77ADF"/>
    <w:rsid w:val="00E77AEC"/>
    <w:rsid w:val="00E77C0D"/>
    <w:rsid w:val="00E77CA9"/>
    <w:rsid w:val="00E77CAD"/>
    <w:rsid w:val="00E77D4A"/>
    <w:rsid w:val="00E77D54"/>
    <w:rsid w:val="00E77DA3"/>
    <w:rsid w:val="00E77E49"/>
    <w:rsid w:val="00E77E9F"/>
    <w:rsid w:val="00E77F91"/>
    <w:rsid w:val="00E8002B"/>
    <w:rsid w:val="00E80088"/>
    <w:rsid w:val="00E800D7"/>
    <w:rsid w:val="00E800F9"/>
    <w:rsid w:val="00E800FA"/>
    <w:rsid w:val="00E801BB"/>
    <w:rsid w:val="00E80267"/>
    <w:rsid w:val="00E80271"/>
    <w:rsid w:val="00E802BC"/>
    <w:rsid w:val="00E802C8"/>
    <w:rsid w:val="00E802DD"/>
    <w:rsid w:val="00E80336"/>
    <w:rsid w:val="00E8033C"/>
    <w:rsid w:val="00E80346"/>
    <w:rsid w:val="00E803F9"/>
    <w:rsid w:val="00E8040C"/>
    <w:rsid w:val="00E8041C"/>
    <w:rsid w:val="00E8057A"/>
    <w:rsid w:val="00E80593"/>
    <w:rsid w:val="00E8059E"/>
    <w:rsid w:val="00E805E8"/>
    <w:rsid w:val="00E8061F"/>
    <w:rsid w:val="00E8066F"/>
    <w:rsid w:val="00E806AE"/>
    <w:rsid w:val="00E806AF"/>
    <w:rsid w:val="00E806CB"/>
    <w:rsid w:val="00E806D8"/>
    <w:rsid w:val="00E806E0"/>
    <w:rsid w:val="00E806E2"/>
    <w:rsid w:val="00E80700"/>
    <w:rsid w:val="00E80725"/>
    <w:rsid w:val="00E8074A"/>
    <w:rsid w:val="00E807A5"/>
    <w:rsid w:val="00E807ED"/>
    <w:rsid w:val="00E807F0"/>
    <w:rsid w:val="00E80874"/>
    <w:rsid w:val="00E80923"/>
    <w:rsid w:val="00E80939"/>
    <w:rsid w:val="00E80977"/>
    <w:rsid w:val="00E809EF"/>
    <w:rsid w:val="00E809FD"/>
    <w:rsid w:val="00E80A3B"/>
    <w:rsid w:val="00E80A58"/>
    <w:rsid w:val="00E80ACC"/>
    <w:rsid w:val="00E80B20"/>
    <w:rsid w:val="00E80B5E"/>
    <w:rsid w:val="00E80B80"/>
    <w:rsid w:val="00E80B91"/>
    <w:rsid w:val="00E80BB6"/>
    <w:rsid w:val="00E80C1E"/>
    <w:rsid w:val="00E80C92"/>
    <w:rsid w:val="00E80C93"/>
    <w:rsid w:val="00E80D22"/>
    <w:rsid w:val="00E80D37"/>
    <w:rsid w:val="00E80D55"/>
    <w:rsid w:val="00E80D5F"/>
    <w:rsid w:val="00E80E2D"/>
    <w:rsid w:val="00E80E51"/>
    <w:rsid w:val="00E80E6B"/>
    <w:rsid w:val="00E80EA8"/>
    <w:rsid w:val="00E80EEE"/>
    <w:rsid w:val="00E80F52"/>
    <w:rsid w:val="00E80F5F"/>
    <w:rsid w:val="00E80FD0"/>
    <w:rsid w:val="00E80FE6"/>
    <w:rsid w:val="00E810CC"/>
    <w:rsid w:val="00E8120C"/>
    <w:rsid w:val="00E8127F"/>
    <w:rsid w:val="00E81295"/>
    <w:rsid w:val="00E81296"/>
    <w:rsid w:val="00E812B3"/>
    <w:rsid w:val="00E813AD"/>
    <w:rsid w:val="00E813E3"/>
    <w:rsid w:val="00E8146E"/>
    <w:rsid w:val="00E814A9"/>
    <w:rsid w:val="00E816C3"/>
    <w:rsid w:val="00E81746"/>
    <w:rsid w:val="00E81756"/>
    <w:rsid w:val="00E81813"/>
    <w:rsid w:val="00E81832"/>
    <w:rsid w:val="00E8183E"/>
    <w:rsid w:val="00E81840"/>
    <w:rsid w:val="00E8185F"/>
    <w:rsid w:val="00E81881"/>
    <w:rsid w:val="00E81885"/>
    <w:rsid w:val="00E8189F"/>
    <w:rsid w:val="00E818AF"/>
    <w:rsid w:val="00E818EF"/>
    <w:rsid w:val="00E8192A"/>
    <w:rsid w:val="00E81943"/>
    <w:rsid w:val="00E8197D"/>
    <w:rsid w:val="00E819AA"/>
    <w:rsid w:val="00E819CF"/>
    <w:rsid w:val="00E81A0D"/>
    <w:rsid w:val="00E81B94"/>
    <w:rsid w:val="00E81BD2"/>
    <w:rsid w:val="00E81BE8"/>
    <w:rsid w:val="00E81BF2"/>
    <w:rsid w:val="00E81BFA"/>
    <w:rsid w:val="00E81C23"/>
    <w:rsid w:val="00E81C44"/>
    <w:rsid w:val="00E81C64"/>
    <w:rsid w:val="00E81C9C"/>
    <w:rsid w:val="00E81DC5"/>
    <w:rsid w:val="00E81E0A"/>
    <w:rsid w:val="00E81E26"/>
    <w:rsid w:val="00E81E27"/>
    <w:rsid w:val="00E81EBF"/>
    <w:rsid w:val="00E81ED1"/>
    <w:rsid w:val="00E81EE0"/>
    <w:rsid w:val="00E81F5A"/>
    <w:rsid w:val="00E81F9B"/>
    <w:rsid w:val="00E81FD8"/>
    <w:rsid w:val="00E820CF"/>
    <w:rsid w:val="00E820E6"/>
    <w:rsid w:val="00E820ED"/>
    <w:rsid w:val="00E821A7"/>
    <w:rsid w:val="00E82233"/>
    <w:rsid w:val="00E822EA"/>
    <w:rsid w:val="00E82321"/>
    <w:rsid w:val="00E82323"/>
    <w:rsid w:val="00E8236B"/>
    <w:rsid w:val="00E82376"/>
    <w:rsid w:val="00E823CD"/>
    <w:rsid w:val="00E823E1"/>
    <w:rsid w:val="00E824BD"/>
    <w:rsid w:val="00E824DF"/>
    <w:rsid w:val="00E825FF"/>
    <w:rsid w:val="00E82638"/>
    <w:rsid w:val="00E82639"/>
    <w:rsid w:val="00E82715"/>
    <w:rsid w:val="00E8273C"/>
    <w:rsid w:val="00E82753"/>
    <w:rsid w:val="00E82831"/>
    <w:rsid w:val="00E8286A"/>
    <w:rsid w:val="00E828C6"/>
    <w:rsid w:val="00E8292D"/>
    <w:rsid w:val="00E82A48"/>
    <w:rsid w:val="00E82A6A"/>
    <w:rsid w:val="00E82AC2"/>
    <w:rsid w:val="00E82B59"/>
    <w:rsid w:val="00E82B97"/>
    <w:rsid w:val="00E82BAC"/>
    <w:rsid w:val="00E82BAE"/>
    <w:rsid w:val="00E82C00"/>
    <w:rsid w:val="00E82C06"/>
    <w:rsid w:val="00E82C25"/>
    <w:rsid w:val="00E82C60"/>
    <w:rsid w:val="00E82CA5"/>
    <w:rsid w:val="00E82D02"/>
    <w:rsid w:val="00E82DAE"/>
    <w:rsid w:val="00E82DBF"/>
    <w:rsid w:val="00E82EE3"/>
    <w:rsid w:val="00E82F1B"/>
    <w:rsid w:val="00E82F8B"/>
    <w:rsid w:val="00E82F8D"/>
    <w:rsid w:val="00E82F9C"/>
    <w:rsid w:val="00E82FE1"/>
    <w:rsid w:val="00E8305C"/>
    <w:rsid w:val="00E8305D"/>
    <w:rsid w:val="00E83080"/>
    <w:rsid w:val="00E83081"/>
    <w:rsid w:val="00E8309C"/>
    <w:rsid w:val="00E830AF"/>
    <w:rsid w:val="00E830DF"/>
    <w:rsid w:val="00E8315E"/>
    <w:rsid w:val="00E83185"/>
    <w:rsid w:val="00E831B1"/>
    <w:rsid w:val="00E83203"/>
    <w:rsid w:val="00E83243"/>
    <w:rsid w:val="00E832A5"/>
    <w:rsid w:val="00E832C2"/>
    <w:rsid w:val="00E832D4"/>
    <w:rsid w:val="00E83305"/>
    <w:rsid w:val="00E83308"/>
    <w:rsid w:val="00E83332"/>
    <w:rsid w:val="00E833B4"/>
    <w:rsid w:val="00E833F9"/>
    <w:rsid w:val="00E834A2"/>
    <w:rsid w:val="00E834A9"/>
    <w:rsid w:val="00E834B3"/>
    <w:rsid w:val="00E834CF"/>
    <w:rsid w:val="00E834D2"/>
    <w:rsid w:val="00E83530"/>
    <w:rsid w:val="00E83582"/>
    <w:rsid w:val="00E835C4"/>
    <w:rsid w:val="00E835D2"/>
    <w:rsid w:val="00E835D6"/>
    <w:rsid w:val="00E835EE"/>
    <w:rsid w:val="00E83607"/>
    <w:rsid w:val="00E83679"/>
    <w:rsid w:val="00E836A1"/>
    <w:rsid w:val="00E836C4"/>
    <w:rsid w:val="00E8372D"/>
    <w:rsid w:val="00E83735"/>
    <w:rsid w:val="00E8373E"/>
    <w:rsid w:val="00E8376C"/>
    <w:rsid w:val="00E83781"/>
    <w:rsid w:val="00E837C2"/>
    <w:rsid w:val="00E8383A"/>
    <w:rsid w:val="00E8383C"/>
    <w:rsid w:val="00E838C1"/>
    <w:rsid w:val="00E838E6"/>
    <w:rsid w:val="00E838EE"/>
    <w:rsid w:val="00E838F3"/>
    <w:rsid w:val="00E8399F"/>
    <w:rsid w:val="00E839D9"/>
    <w:rsid w:val="00E83A85"/>
    <w:rsid w:val="00E83AD4"/>
    <w:rsid w:val="00E83B34"/>
    <w:rsid w:val="00E83B3F"/>
    <w:rsid w:val="00E83B57"/>
    <w:rsid w:val="00E83C10"/>
    <w:rsid w:val="00E83C2E"/>
    <w:rsid w:val="00E83C31"/>
    <w:rsid w:val="00E83C80"/>
    <w:rsid w:val="00E83D17"/>
    <w:rsid w:val="00E83D93"/>
    <w:rsid w:val="00E83DC4"/>
    <w:rsid w:val="00E83E93"/>
    <w:rsid w:val="00E83E96"/>
    <w:rsid w:val="00E83EFA"/>
    <w:rsid w:val="00E83FAC"/>
    <w:rsid w:val="00E83FB1"/>
    <w:rsid w:val="00E83FDF"/>
    <w:rsid w:val="00E83FF6"/>
    <w:rsid w:val="00E84095"/>
    <w:rsid w:val="00E840B2"/>
    <w:rsid w:val="00E840F9"/>
    <w:rsid w:val="00E8410C"/>
    <w:rsid w:val="00E84160"/>
    <w:rsid w:val="00E841BA"/>
    <w:rsid w:val="00E841CE"/>
    <w:rsid w:val="00E841FB"/>
    <w:rsid w:val="00E84214"/>
    <w:rsid w:val="00E8427B"/>
    <w:rsid w:val="00E8427D"/>
    <w:rsid w:val="00E843C1"/>
    <w:rsid w:val="00E843F9"/>
    <w:rsid w:val="00E8443B"/>
    <w:rsid w:val="00E84468"/>
    <w:rsid w:val="00E844CD"/>
    <w:rsid w:val="00E844D5"/>
    <w:rsid w:val="00E84546"/>
    <w:rsid w:val="00E8454F"/>
    <w:rsid w:val="00E84558"/>
    <w:rsid w:val="00E84581"/>
    <w:rsid w:val="00E845CA"/>
    <w:rsid w:val="00E8460A"/>
    <w:rsid w:val="00E84674"/>
    <w:rsid w:val="00E84680"/>
    <w:rsid w:val="00E8468F"/>
    <w:rsid w:val="00E846F7"/>
    <w:rsid w:val="00E84706"/>
    <w:rsid w:val="00E84727"/>
    <w:rsid w:val="00E84736"/>
    <w:rsid w:val="00E84755"/>
    <w:rsid w:val="00E847DD"/>
    <w:rsid w:val="00E847EC"/>
    <w:rsid w:val="00E84801"/>
    <w:rsid w:val="00E84825"/>
    <w:rsid w:val="00E8486E"/>
    <w:rsid w:val="00E84934"/>
    <w:rsid w:val="00E84955"/>
    <w:rsid w:val="00E8497F"/>
    <w:rsid w:val="00E84AB0"/>
    <w:rsid w:val="00E84B41"/>
    <w:rsid w:val="00E84B66"/>
    <w:rsid w:val="00E84B6B"/>
    <w:rsid w:val="00E84B99"/>
    <w:rsid w:val="00E84BB6"/>
    <w:rsid w:val="00E84C06"/>
    <w:rsid w:val="00E84CD8"/>
    <w:rsid w:val="00E84CDD"/>
    <w:rsid w:val="00E84CE4"/>
    <w:rsid w:val="00E84D09"/>
    <w:rsid w:val="00E84D42"/>
    <w:rsid w:val="00E84DE1"/>
    <w:rsid w:val="00E84E14"/>
    <w:rsid w:val="00E84E55"/>
    <w:rsid w:val="00E84EAE"/>
    <w:rsid w:val="00E84ED1"/>
    <w:rsid w:val="00E84F2B"/>
    <w:rsid w:val="00E84F3D"/>
    <w:rsid w:val="00E84F6E"/>
    <w:rsid w:val="00E84F80"/>
    <w:rsid w:val="00E84FF7"/>
    <w:rsid w:val="00E85007"/>
    <w:rsid w:val="00E8503C"/>
    <w:rsid w:val="00E85054"/>
    <w:rsid w:val="00E85064"/>
    <w:rsid w:val="00E85095"/>
    <w:rsid w:val="00E85124"/>
    <w:rsid w:val="00E851A8"/>
    <w:rsid w:val="00E8521C"/>
    <w:rsid w:val="00E8529E"/>
    <w:rsid w:val="00E85338"/>
    <w:rsid w:val="00E85391"/>
    <w:rsid w:val="00E85437"/>
    <w:rsid w:val="00E85453"/>
    <w:rsid w:val="00E85460"/>
    <w:rsid w:val="00E854F6"/>
    <w:rsid w:val="00E85512"/>
    <w:rsid w:val="00E855F7"/>
    <w:rsid w:val="00E8565B"/>
    <w:rsid w:val="00E85689"/>
    <w:rsid w:val="00E85762"/>
    <w:rsid w:val="00E8580F"/>
    <w:rsid w:val="00E85824"/>
    <w:rsid w:val="00E8587A"/>
    <w:rsid w:val="00E8587F"/>
    <w:rsid w:val="00E85897"/>
    <w:rsid w:val="00E858FF"/>
    <w:rsid w:val="00E85928"/>
    <w:rsid w:val="00E8598E"/>
    <w:rsid w:val="00E859B5"/>
    <w:rsid w:val="00E859CF"/>
    <w:rsid w:val="00E859DD"/>
    <w:rsid w:val="00E859F4"/>
    <w:rsid w:val="00E85A0B"/>
    <w:rsid w:val="00E85A99"/>
    <w:rsid w:val="00E85A9A"/>
    <w:rsid w:val="00E85AAD"/>
    <w:rsid w:val="00E85ADF"/>
    <w:rsid w:val="00E85BA7"/>
    <w:rsid w:val="00E85BAC"/>
    <w:rsid w:val="00E85BB1"/>
    <w:rsid w:val="00E85C3B"/>
    <w:rsid w:val="00E85C72"/>
    <w:rsid w:val="00E85D69"/>
    <w:rsid w:val="00E85D6D"/>
    <w:rsid w:val="00E85D79"/>
    <w:rsid w:val="00E85E1A"/>
    <w:rsid w:val="00E85E1E"/>
    <w:rsid w:val="00E85F0B"/>
    <w:rsid w:val="00E85F60"/>
    <w:rsid w:val="00E85F67"/>
    <w:rsid w:val="00E85FAF"/>
    <w:rsid w:val="00E85FB9"/>
    <w:rsid w:val="00E85FC5"/>
    <w:rsid w:val="00E8601D"/>
    <w:rsid w:val="00E8605E"/>
    <w:rsid w:val="00E86074"/>
    <w:rsid w:val="00E86091"/>
    <w:rsid w:val="00E861A4"/>
    <w:rsid w:val="00E861FA"/>
    <w:rsid w:val="00E86302"/>
    <w:rsid w:val="00E8630C"/>
    <w:rsid w:val="00E86319"/>
    <w:rsid w:val="00E86374"/>
    <w:rsid w:val="00E86376"/>
    <w:rsid w:val="00E863A9"/>
    <w:rsid w:val="00E86459"/>
    <w:rsid w:val="00E86523"/>
    <w:rsid w:val="00E8653A"/>
    <w:rsid w:val="00E86545"/>
    <w:rsid w:val="00E86550"/>
    <w:rsid w:val="00E8655B"/>
    <w:rsid w:val="00E86579"/>
    <w:rsid w:val="00E8659E"/>
    <w:rsid w:val="00E865B3"/>
    <w:rsid w:val="00E8660D"/>
    <w:rsid w:val="00E8666F"/>
    <w:rsid w:val="00E86707"/>
    <w:rsid w:val="00E867D2"/>
    <w:rsid w:val="00E867DB"/>
    <w:rsid w:val="00E86830"/>
    <w:rsid w:val="00E8683E"/>
    <w:rsid w:val="00E86842"/>
    <w:rsid w:val="00E868EE"/>
    <w:rsid w:val="00E86989"/>
    <w:rsid w:val="00E86A12"/>
    <w:rsid w:val="00E86A79"/>
    <w:rsid w:val="00E86A9D"/>
    <w:rsid w:val="00E86AC9"/>
    <w:rsid w:val="00E86B1F"/>
    <w:rsid w:val="00E86B7C"/>
    <w:rsid w:val="00E86C54"/>
    <w:rsid w:val="00E86C86"/>
    <w:rsid w:val="00E86C8F"/>
    <w:rsid w:val="00E86CC4"/>
    <w:rsid w:val="00E86D38"/>
    <w:rsid w:val="00E86E02"/>
    <w:rsid w:val="00E86E64"/>
    <w:rsid w:val="00E86EAA"/>
    <w:rsid w:val="00E86F45"/>
    <w:rsid w:val="00E86F5B"/>
    <w:rsid w:val="00E86F6B"/>
    <w:rsid w:val="00E86FE4"/>
    <w:rsid w:val="00E87046"/>
    <w:rsid w:val="00E870B4"/>
    <w:rsid w:val="00E870EF"/>
    <w:rsid w:val="00E87111"/>
    <w:rsid w:val="00E87123"/>
    <w:rsid w:val="00E87142"/>
    <w:rsid w:val="00E8724F"/>
    <w:rsid w:val="00E87265"/>
    <w:rsid w:val="00E8729B"/>
    <w:rsid w:val="00E872A4"/>
    <w:rsid w:val="00E872C6"/>
    <w:rsid w:val="00E872DB"/>
    <w:rsid w:val="00E873D0"/>
    <w:rsid w:val="00E87450"/>
    <w:rsid w:val="00E87459"/>
    <w:rsid w:val="00E87493"/>
    <w:rsid w:val="00E87496"/>
    <w:rsid w:val="00E874AA"/>
    <w:rsid w:val="00E874CC"/>
    <w:rsid w:val="00E874E1"/>
    <w:rsid w:val="00E87582"/>
    <w:rsid w:val="00E875BF"/>
    <w:rsid w:val="00E875CE"/>
    <w:rsid w:val="00E875F1"/>
    <w:rsid w:val="00E8764A"/>
    <w:rsid w:val="00E876A4"/>
    <w:rsid w:val="00E8773E"/>
    <w:rsid w:val="00E8776F"/>
    <w:rsid w:val="00E8778A"/>
    <w:rsid w:val="00E877B0"/>
    <w:rsid w:val="00E877C5"/>
    <w:rsid w:val="00E877D9"/>
    <w:rsid w:val="00E8780D"/>
    <w:rsid w:val="00E87860"/>
    <w:rsid w:val="00E87865"/>
    <w:rsid w:val="00E87873"/>
    <w:rsid w:val="00E87885"/>
    <w:rsid w:val="00E8789E"/>
    <w:rsid w:val="00E8791F"/>
    <w:rsid w:val="00E87965"/>
    <w:rsid w:val="00E87A13"/>
    <w:rsid w:val="00E87A22"/>
    <w:rsid w:val="00E87A96"/>
    <w:rsid w:val="00E87BDA"/>
    <w:rsid w:val="00E87C3D"/>
    <w:rsid w:val="00E87CBF"/>
    <w:rsid w:val="00E87CEA"/>
    <w:rsid w:val="00E87D24"/>
    <w:rsid w:val="00E87DD8"/>
    <w:rsid w:val="00E87DFC"/>
    <w:rsid w:val="00E87E08"/>
    <w:rsid w:val="00E87E54"/>
    <w:rsid w:val="00E87E5B"/>
    <w:rsid w:val="00E87F21"/>
    <w:rsid w:val="00E87F67"/>
    <w:rsid w:val="00E87F7D"/>
    <w:rsid w:val="00E90081"/>
    <w:rsid w:val="00E900B6"/>
    <w:rsid w:val="00E900D3"/>
    <w:rsid w:val="00E90127"/>
    <w:rsid w:val="00E90153"/>
    <w:rsid w:val="00E90164"/>
    <w:rsid w:val="00E9018D"/>
    <w:rsid w:val="00E901B7"/>
    <w:rsid w:val="00E90233"/>
    <w:rsid w:val="00E902C9"/>
    <w:rsid w:val="00E902FE"/>
    <w:rsid w:val="00E90319"/>
    <w:rsid w:val="00E90384"/>
    <w:rsid w:val="00E90469"/>
    <w:rsid w:val="00E9046C"/>
    <w:rsid w:val="00E904AC"/>
    <w:rsid w:val="00E904D2"/>
    <w:rsid w:val="00E9063A"/>
    <w:rsid w:val="00E906A8"/>
    <w:rsid w:val="00E9070A"/>
    <w:rsid w:val="00E9076A"/>
    <w:rsid w:val="00E90787"/>
    <w:rsid w:val="00E907AF"/>
    <w:rsid w:val="00E907C4"/>
    <w:rsid w:val="00E9081A"/>
    <w:rsid w:val="00E9081D"/>
    <w:rsid w:val="00E9083D"/>
    <w:rsid w:val="00E90855"/>
    <w:rsid w:val="00E90860"/>
    <w:rsid w:val="00E90883"/>
    <w:rsid w:val="00E9088B"/>
    <w:rsid w:val="00E908AE"/>
    <w:rsid w:val="00E90912"/>
    <w:rsid w:val="00E90916"/>
    <w:rsid w:val="00E90938"/>
    <w:rsid w:val="00E90939"/>
    <w:rsid w:val="00E90972"/>
    <w:rsid w:val="00E909D9"/>
    <w:rsid w:val="00E90A1F"/>
    <w:rsid w:val="00E90A53"/>
    <w:rsid w:val="00E90AD8"/>
    <w:rsid w:val="00E90AE6"/>
    <w:rsid w:val="00E90AE7"/>
    <w:rsid w:val="00E90AE9"/>
    <w:rsid w:val="00E90B09"/>
    <w:rsid w:val="00E90B0D"/>
    <w:rsid w:val="00E90B39"/>
    <w:rsid w:val="00E90B4A"/>
    <w:rsid w:val="00E90B7F"/>
    <w:rsid w:val="00E90BAF"/>
    <w:rsid w:val="00E90BC5"/>
    <w:rsid w:val="00E90C58"/>
    <w:rsid w:val="00E90C88"/>
    <w:rsid w:val="00E90C98"/>
    <w:rsid w:val="00E90CF0"/>
    <w:rsid w:val="00E90D04"/>
    <w:rsid w:val="00E90D6B"/>
    <w:rsid w:val="00E90DC7"/>
    <w:rsid w:val="00E90E7E"/>
    <w:rsid w:val="00E90E81"/>
    <w:rsid w:val="00E90EB0"/>
    <w:rsid w:val="00E90EB3"/>
    <w:rsid w:val="00E90F33"/>
    <w:rsid w:val="00E90FEB"/>
    <w:rsid w:val="00E9105E"/>
    <w:rsid w:val="00E9108A"/>
    <w:rsid w:val="00E910CA"/>
    <w:rsid w:val="00E910E7"/>
    <w:rsid w:val="00E910E9"/>
    <w:rsid w:val="00E9113B"/>
    <w:rsid w:val="00E91149"/>
    <w:rsid w:val="00E91152"/>
    <w:rsid w:val="00E91195"/>
    <w:rsid w:val="00E911BB"/>
    <w:rsid w:val="00E911BE"/>
    <w:rsid w:val="00E91234"/>
    <w:rsid w:val="00E91238"/>
    <w:rsid w:val="00E912E7"/>
    <w:rsid w:val="00E9134A"/>
    <w:rsid w:val="00E9134F"/>
    <w:rsid w:val="00E9135A"/>
    <w:rsid w:val="00E913CB"/>
    <w:rsid w:val="00E913D2"/>
    <w:rsid w:val="00E91496"/>
    <w:rsid w:val="00E91519"/>
    <w:rsid w:val="00E91531"/>
    <w:rsid w:val="00E91548"/>
    <w:rsid w:val="00E9158B"/>
    <w:rsid w:val="00E91592"/>
    <w:rsid w:val="00E915BF"/>
    <w:rsid w:val="00E91601"/>
    <w:rsid w:val="00E91622"/>
    <w:rsid w:val="00E91693"/>
    <w:rsid w:val="00E9169A"/>
    <w:rsid w:val="00E916BF"/>
    <w:rsid w:val="00E91737"/>
    <w:rsid w:val="00E91788"/>
    <w:rsid w:val="00E917B7"/>
    <w:rsid w:val="00E917BE"/>
    <w:rsid w:val="00E9180B"/>
    <w:rsid w:val="00E91812"/>
    <w:rsid w:val="00E918B2"/>
    <w:rsid w:val="00E918D9"/>
    <w:rsid w:val="00E91901"/>
    <w:rsid w:val="00E91917"/>
    <w:rsid w:val="00E919B3"/>
    <w:rsid w:val="00E919C1"/>
    <w:rsid w:val="00E919C3"/>
    <w:rsid w:val="00E91A3E"/>
    <w:rsid w:val="00E91AE4"/>
    <w:rsid w:val="00E91B25"/>
    <w:rsid w:val="00E91BE9"/>
    <w:rsid w:val="00E91C15"/>
    <w:rsid w:val="00E91C38"/>
    <w:rsid w:val="00E91CA0"/>
    <w:rsid w:val="00E91CF0"/>
    <w:rsid w:val="00E91D31"/>
    <w:rsid w:val="00E91D7F"/>
    <w:rsid w:val="00E91D9D"/>
    <w:rsid w:val="00E91DB3"/>
    <w:rsid w:val="00E91DDC"/>
    <w:rsid w:val="00E91DF2"/>
    <w:rsid w:val="00E91DFA"/>
    <w:rsid w:val="00E91E23"/>
    <w:rsid w:val="00E91E3C"/>
    <w:rsid w:val="00E91E95"/>
    <w:rsid w:val="00E91E9F"/>
    <w:rsid w:val="00E91F46"/>
    <w:rsid w:val="00E91F9C"/>
    <w:rsid w:val="00E91FEA"/>
    <w:rsid w:val="00E92015"/>
    <w:rsid w:val="00E9205C"/>
    <w:rsid w:val="00E92074"/>
    <w:rsid w:val="00E92096"/>
    <w:rsid w:val="00E920BE"/>
    <w:rsid w:val="00E920DA"/>
    <w:rsid w:val="00E920EB"/>
    <w:rsid w:val="00E920FD"/>
    <w:rsid w:val="00E9219D"/>
    <w:rsid w:val="00E921FD"/>
    <w:rsid w:val="00E92266"/>
    <w:rsid w:val="00E92310"/>
    <w:rsid w:val="00E92320"/>
    <w:rsid w:val="00E92370"/>
    <w:rsid w:val="00E92376"/>
    <w:rsid w:val="00E923AE"/>
    <w:rsid w:val="00E923B0"/>
    <w:rsid w:val="00E9241A"/>
    <w:rsid w:val="00E9241D"/>
    <w:rsid w:val="00E92420"/>
    <w:rsid w:val="00E924AF"/>
    <w:rsid w:val="00E92558"/>
    <w:rsid w:val="00E92568"/>
    <w:rsid w:val="00E9258F"/>
    <w:rsid w:val="00E925B7"/>
    <w:rsid w:val="00E925E0"/>
    <w:rsid w:val="00E92614"/>
    <w:rsid w:val="00E92627"/>
    <w:rsid w:val="00E92634"/>
    <w:rsid w:val="00E92648"/>
    <w:rsid w:val="00E9265E"/>
    <w:rsid w:val="00E92690"/>
    <w:rsid w:val="00E92714"/>
    <w:rsid w:val="00E92738"/>
    <w:rsid w:val="00E9273D"/>
    <w:rsid w:val="00E927B9"/>
    <w:rsid w:val="00E9288D"/>
    <w:rsid w:val="00E928B7"/>
    <w:rsid w:val="00E928F2"/>
    <w:rsid w:val="00E928FD"/>
    <w:rsid w:val="00E92949"/>
    <w:rsid w:val="00E92A17"/>
    <w:rsid w:val="00E92A20"/>
    <w:rsid w:val="00E92B80"/>
    <w:rsid w:val="00E92B8F"/>
    <w:rsid w:val="00E92C28"/>
    <w:rsid w:val="00E92C69"/>
    <w:rsid w:val="00E92C74"/>
    <w:rsid w:val="00E92C87"/>
    <w:rsid w:val="00E92CE2"/>
    <w:rsid w:val="00E92CF9"/>
    <w:rsid w:val="00E92D78"/>
    <w:rsid w:val="00E92D9C"/>
    <w:rsid w:val="00E92DCF"/>
    <w:rsid w:val="00E92DE8"/>
    <w:rsid w:val="00E92E1A"/>
    <w:rsid w:val="00E92F21"/>
    <w:rsid w:val="00E92F28"/>
    <w:rsid w:val="00E92F53"/>
    <w:rsid w:val="00E9304D"/>
    <w:rsid w:val="00E930F4"/>
    <w:rsid w:val="00E9314A"/>
    <w:rsid w:val="00E931A6"/>
    <w:rsid w:val="00E931BD"/>
    <w:rsid w:val="00E931C3"/>
    <w:rsid w:val="00E931D0"/>
    <w:rsid w:val="00E93227"/>
    <w:rsid w:val="00E9323F"/>
    <w:rsid w:val="00E93257"/>
    <w:rsid w:val="00E9328D"/>
    <w:rsid w:val="00E932DD"/>
    <w:rsid w:val="00E932EC"/>
    <w:rsid w:val="00E93328"/>
    <w:rsid w:val="00E9333F"/>
    <w:rsid w:val="00E93364"/>
    <w:rsid w:val="00E93382"/>
    <w:rsid w:val="00E93387"/>
    <w:rsid w:val="00E933DE"/>
    <w:rsid w:val="00E934F7"/>
    <w:rsid w:val="00E93524"/>
    <w:rsid w:val="00E9355A"/>
    <w:rsid w:val="00E93573"/>
    <w:rsid w:val="00E9362D"/>
    <w:rsid w:val="00E93669"/>
    <w:rsid w:val="00E936CB"/>
    <w:rsid w:val="00E936D2"/>
    <w:rsid w:val="00E93702"/>
    <w:rsid w:val="00E9372F"/>
    <w:rsid w:val="00E937B1"/>
    <w:rsid w:val="00E937C6"/>
    <w:rsid w:val="00E937DF"/>
    <w:rsid w:val="00E937E0"/>
    <w:rsid w:val="00E93813"/>
    <w:rsid w:val="00E93816"/>
    <w:rsid w:val="00E93826"/>
    <w:rsid w:val="00E9388A"/>
    <w:rsid w:val="00E938B1"/>
    <w:rsid w:val="00E93926"/>
    <w:rsid w:val="00E93928"/>
    <w:rsid w:val="00E9393F"/>
    <w:rsid w:val="00E9395D"/>
    <w:rsid w:val="00E9397F"/>
    <w:rsid w:val="00E93990"/>
    <w:rsid w:val="00E939DD"/>
    <w:rsid w:val="00E939FF"/>
    <w:rsid w:val="00E93A44"/>
    <w:rsid w:val="00E93A4D"/>
    <w:rsid w:val="00E93A6B"/>
    <w:rsid w:val="00E93A7D"/>
    <w:rsid w:val="00E93A93"/>
    <w:rsid w:val="00E93AEA"/>
    <w:rsid w:val="00E93B09"/>
    <w:rsid w:val="00E93B25"/>
    <w:rsid w:val="00E93B4B"/>
    <w:rsid w:val="00E93B69"/>
    <w:rsid w:val="00E93BF6"/>
    <w:rsid w:val="00E93C90"/>
    <w:rsid w:val="00E93CA9"/>
    <w:rsid w:val="00E93CE8"/>
    <w:rsid w:val="00E93CFD"/>
    <w:rsid w:val="00E93D56"/>
    <w:rsid w:val="00E93D98"/>
    <w:rsid w:val="00E93DE2"/>
    <w:rsid w:val="00E93E0B"/>
    <w:rsid w:val="00E93EB5"/>
    <w:rsid w:val="00E93F1E"/>
    <w:rsid w:val="00E93FE7"/>
    <w:rsid w:val="00E93FEF"/>
    <w:rsid w:val="00E94018"/>
    <w:rsid w:val="00E94023"/>
    <w:rsid w:val="00E9402C"/>
    <w:rsid w:val="00E9402E"/>
    <w:rsid w:val="00E94046"/>
    <w:rsid w:val="00E94062"/>
    <w:rsid w:val="00E940A6"/>
    <w:rsid w:val="00E94164"/>
    <w:rsid w:val="00E9416C"/>
    <w:rsid w:val="00E9416D"/>
    <w:rsid w:val="00E941A9"/>
    <w:rsid w:val="00E941EB"/>
    <w:rsid w:val="00E94264"/>
    <w:rsid w:val="00E94287"/>
    <w:rsid w:val="00E94298"/>
    <w:rsid w:val="00E9429B"/>
    <w:rsid w:val="00E94330"/>
    <w:rsid w:val="00E94388"/>
    <w:rsid w:val="00E943D2"/>
    <w:rsid w:val="00E94426"/>
    <w:rsid w:val="00E94448"/>
    <w:rsid w:val="00E944B7"/>
    <w:rsid w:val="00E944DB"/>
    <w:rsid w:val="00E9459E"/>
    <w:rsid w:val="00E945BE"/>
    <w:rsid w:val="00E94603"/>
    <w:rsid w:val="00E946E8"/>
    <w:rsid w:val="00E946FD"/>
    <w:rsid w:val="00E9471D"/>
    <w:rsid w:val="00E94723"/>
    <w:rsid w:val="00E9487D"/>
    <w:rsid w:val="00E94890"/>
    <w:rsid w:val="00E948AA"/>
    <w:rsid w:val="00E948B2"/>
    <w:rsid w:val="00E9492B"/>
    <w:rsid w:val="00E9495D"/>
    <w:rsid w:val="00E94995"/>
    <w:rsid w:val="00E949A9"/>
    <w:rsid w:val="00E949EB"/>
    <w:rsid w:val="00E94A1D"/>
    <w:rsid w:val="00E94A7B"/>
    <w:rsid w:val="00E94A93"/>
    <w:rsid w:val="00E94AA5"/>
    <w:rsid w:val="00E94ACD"/>
    <w:rsid w:val="00E94B18"/>
    <w:rsid w:val="00E94B71"/>
    <w:rsid w:val="00E94B9A"/>
    <w:rsid w:val="00E94BED"/>
    <w:rsid w:val="00E94C15"/>
    <w:rsid w:val="00E94C2E"/>
    <w:rsid w:val="00E94C6C"/>
    <w:rsid w:val="00E94D17"/>
    <w:rsid w:val="00E94D47"/>
    <w:rsid w:val="00E94DEC"/>
    <w:rsid w:val="00E94E3B"/>
    <w:rsid w:val="00E94E8A"/>
    <w:rsid w:val="00E94E8E"/>
    <w:rsid w:val="00E94EC4"/>
    <w:rsid w:val="00E94ED2"/>
    <w:rsid w:val="00E94F1A"/>
    <w:rsid w:val="00E94F4B"/>
    <w:rsid w:val="00E94FC2"/>
    <w:rsid w:val="00E950C6"/>
    <w:rsid w:val="00E9512D"/>
    <w:rsid w:val="00E9512F"/>
    <w:rsid w:val="00E951C3"/>
    <w:rsid w:val="00E951DC"/>
    <w:rsid w:val="00E9525D"/>
    <w:rsid w:val="00E9526A"/>
    <w:rsid w:val="00E952C0"/>
    <w:rsid w:val="00E952C7"/>
    <w:rsid w:val="00E952D3"/>
    <w:rsid w:val="00E95372"/>
    <w:rsid w:val="00E953A2"/>
    <w:rsid w:val="00E953A6"/>
    <w:rsid w:val="00E953D5"/>
    <w:rsid w:val="00E95410"/>
    <w:rsid w:val="00E9543B"/>
    <w:rsid w:val="00E95453"/>
    <w:rsid w:val="00E95487"/>
    <w:rsid w:val="00E95501"/>
    <w:rsid w:val="00E95531"/>
    <w:rsid w:val="00E95558"/>
    <w:rsid w:val="00E9556F"/>
    <w:rsid w:val="00E95597"/>
    <w:rsid w:val="00E955D4"/>
    <w:rsid w:val="00E9562A"/>
    <w:rsid w:val="00E95643"/>
    <w:rsid w:val="00E956EA"/>
    <w:rsid w:val="00E9583E"/>
    <w:rsid w:val="00E95843"/>
    <w:rsid w:val="00E95887"/>
    <w:rsid w:val="00E958B4"/>
    <w:rsid w:val="00E958EF"/>
    <w:rsid w:val="00E95973"/>
    <w:rsid w:val="00E95975"/>
    <w:rsid w:val="00E959BC"/>
    <w:rsid w:val="00E959DB"/>
    <w:rsid w:val="00E959ED"/>
    <w:rsid w:val="00E95A3A"/>
    <w:rsid w:val="00E95A3D"/>
    <w:rsid w:val="00E95A86"/>
    <w:rsid w:val="00E95AC9"/>
    <w:rsid w:val="00E95ACA"/>
    <w:rsid w:val="00E95AD1"/>
    <w:rsid w:val="00E95B11"/>
    <w:rsid w:val="00E95B7A"/>
    <w:rsid w:val="00E95B80"/>
    <w:rsid w:val="00E95B83"/>
    <w:rsid w:val="00E95BBD"/>
    <w:rsid w:val="00E95CB2"/>
    <w:rsid w:val="00E95D4D"/>
    <w:rsid w:val="00E95D7C"/>
    <w:rsid w:val="00E95D91"/>
    <w:rsid w:val="00E95D93"/>
    <w:rsid w:val="00E95DAF"/>
    <w:rsid w:val="00E95DCF"/>
    <w:rsid w:val="00E95DD4"/>
    <w:rsid w:val="00E95DF5"/>
    <w:rsid w:val="00E95E58"/>
    <w:rsid w:val="00E95E5D"/>
    <w:rsid w:val="00E95E9C"/>
    <w:rsid w:val="00E95EF5"/>
    <w:rsid w:val="00E95F11"/>
    <w:rsid w:val="00E95F61"/>
    <w:rsid w:val="00E95F64"/>
    <w:rsid w:val="00E95FFC"/>
    <w:rsid w:val="00E96036"/>
    <w:rsid w:val="00E960CB"/>
    <w:rsid w:val="00E9617F"/>
    <w:rsid w:val="00E96190"/>
    <w:rsid w:val="00E961AC"/>
    <w:rsid w:val="00E9622A"/>
    <w:rsid w:val="00E96324"/>
    <w:rsid w:val="00E9632F"/>
    <w:rsid w:val="00E96382"/>
    <w:rsid w:val="00E96383"/>
    <w:rsid w:val="00E9638B"/>
    <w:rsid w:val="00E963E7"/>
    <w:rsid w:val="00E963F1"/>
    <w:rsid w:val="00E96462"/>
    <w:rsid w:val="00E964D2"/>
    <w:rsid w:val="00E964FF"/>
    <w:rsid w:val="00E9657C"/>
    <w:rsid w:val="00E965D2"/>
    <w:rsid w:val="00E965E3"/>
    <w:rsid w:val="00E9660C"/>
    <w:rsid w:val="00E96675"/>
    <w:rsid w:val="00E966B0"/>
    <w:rsid w:val="00E9670E"/>
    <w:rsid w:val="00E96725"/>
    <w:rsid w:val="00E9673B"/>
    <w:rsid w:val="00E96748"/>
    <w:rsid w:val="00E96777"/>
    <w:rsid w:val="00E96807"/>
    <w:rsid w:val="00E9680D"/>
    <w:rsid w:val="00E96814"/>
    <w:rsid w:val="00E9681F"/>
    <w:rsid w:val="00E96894"/>
    <w:rsid w:val="00E968AB"/>
    <w:rsid w:val="00E968E3"/>
    <w:rsid w:val="00E96A39"/>
    <w:rsid w:val="00E96A5F"/>
    <w:rsid w:val="00E96AF0"/>
    <w:rsid w:val="00E96B59"/>
    <w:rsid w:val="00E96B97"/>
    <w:rsid w:val="00E96C2D"/>
    <w:rsid w:val="00E96CA4"/>
    <w:rsid w:val="00E96CE4"/>
    <w:rsid w:val="00E96D5E"/>
    <w:rsid w:val="00E96D68"/>
    <w:rsid w:val="00E96D89"/>
    <w:rsid w:val="00E96D9D"/>
    <w:rsid w:val="00E96E57"/>
    <w:rsid w:val="00E96E8C"/>
    <w:rsid w:val="00E96E9F"/>
    <w:rsid w:val="00E96EE0"/>
    <w:rsid w:val="00E96EE8"/>
    <w:rsid w:val="00E96F6C"/>
    <w:rsid w:val="00E97004"/>
    <w:rsid w:val="00E97090"/>
    <w:rsid w:val="00E970B1"/>
    <w:rsid w:val="00E970CF"/>
    <w:rsid w:val="00E97146"/>
    <w:rsid w:val="00E9714B"/>
    <w:rsid w:val="00E9719F"/>
    <w:rsid w:val="00E971CE"/>
    <w:rsid w:val="00E9724F"/>
    <w:rsid w:val="00E97286"/>
    <w:rsid w:val="00E972B5"/>
    <w:rsid w:val="00E972DA"/>
    <w:rsid w:val="00E972DF"/>
    <w:rsid w:val="00E972F8"/>
    <w:rsid w:val="00E972FF"/>
    <w:rsid w:val="00E9731A"/>
    <w:rsid w:val="00E9731F"/>
    <w:rsid w:val="00E97351"/>
    <w:rsid w:val="00E97354"/>
    <w:rsid w:val="00E973C2"/>
    <w:rsid w:val="00E97401"/>
    <w:rsid w:val="00E97427"/>
    <w:rsid w:val="00E97438"/>
    <w:rsid w:val="00E9745D"/>
    <w:rsid w:val="00E974E7"/>
    <w:rsid w:val="00E97515"/>
    <w:rsid w:val="00E97529"/>
    <w:rsid w:val="00E97536"/>
    <w:rsid w:val="00E975A5"/>
    <w:rsid w:val="00E975CC"/>
    <w:rsid w:val="00E975D2"/>
    <w:rsid w:val="00E97631"/>
    <w:rsid w:val="00E97712"/>
    <w:rsid w:val="00E97726"/>
    <w:rsid w:val="00E977D4"/>
    <w:rsid w:val="00E977F6"/>
    <w:rsid w:val="00E97831"/>
    <w:rsid w:val="00E97859"/>
    <w:rsid w:val="00E97874"/>
    <w:rsid w:val="00E97918"/>
    <w:rsid w:val="00E9799B"/>
    <w:rsid w:val="00E979BF"/>
    <w:rsid w:val="00E979C5"/>
    <w:rsid w:val="00E979DA"/>
    <w:rsid w:val="00E97A16"/>
    <w:rsid w:val="00E97A18"/>
    <w:rsid w:val="00E97A36"/>
    <w:rsid w:val="00E97A78"/>
    <w:rsid w:val="00E97A90"/>
    <w:rsid w:val="00E97A9E"/>
    <w:rsid w:val="00E97AA9"/>
    <w:rsid w:val="00E97BA3"/>
    <w:rsid w:val="00E97BCB"/>
    <w:rsid w:val="00E97BD9"/>
    <w:rsid w:val="00E97CB9"/>
    <w:rsid w:val="00E97CED"/>
    <w:rsid w:val="00E97CFB"/>
    <w:rsid w:val="00E97D4B"/>
    <w:rsid w:val="00E97D5E"/>
    <w:rsid w:val="00E97D76"/>
    <w:rsid w:val="00E97D77"/>
    <w:rsid w:val="00E97D9C"/>
    <w:rsid w:val="00E97E54"/>
    <w:rsid w:val="00E97E8F"/>
    <w:rsid w:val="00E97EB7"/>
    <w:rsid w:val="00E97EC5"/>
    <w:rsid w:val="00E97EC9"/>
    <w:rsid w:val="00E97EE1"/>
    <w:rsid w:val="00E97EF9"/>
    <w:rsid w:val="00E97EFF"/>
    <w:rsid w:val="00E97F69"/>
    <w:rsid w:val="00E97FE1"/>
    <w:rsid w:val="00EA00E5"/>
    <w:rsid w:val="00EA01C5"/>
    <w:rsid w:val="00EA01F0"/>
    <w:rsid w:val="00EA0211"/>
    <w:rsid w:val="00EA0227"/>
    <w:rsid w:val="00EA023D"/>
    <w:rsid w:val="00EA0265"/>
    <w:rsid w:val="00EA0270"/>
    <w:rsid w:val="00EA02D5"/>
    <w:rsid w:val="00EA02F0"/>
    <w:rsid w:val="00EA0364"/>
    <w:rsid w:val="00EA0374"/>
    <w:rsid w:val="00EA037E"/>
    <w:rsid w:val="00EA03CB"/>
    <w:rsid w:val="00EA0426"/>
    <w:rsid w:val="00EA049F"/>
    <w:rsid w:val="00EA04F6"/>
    <w:rsid w:val="00EA052E"/>
    <w:rsid w:val="00EA0546"/>
    <w:rsid w:val="00EA058D"/>
    <w:rsid w:val="00EA066D"/>
    <w:rsid w:val="00EA07CB"/>
    <w:rsid w:val="00EA089E"/>
    <w:rsid w:val="00EA08B7"/>
    <w:rsid w:val="00EA08C9"/>
    <w:rsid w:val="00EA091B"/>
    <w:rsid w:val="00EA094E"/>
    <w:rsid w:val="00EA095F"/>
    <w:rsid w:val="00EA0A30"/>
    <w:rsid w:val="00EA0ABD"/>
    <w:rsid w:val="00EA0B3B"/>
    <w:rsid w:val="00EA0B78"/>
    <w:rsid w:val="00EA0B87"/>
    <w:rsid w:val="00EA0B92"/>
    <w:rsid w:val="00EA0B9D"/>
    <w:rsid w:val="00EA0CF5"/>
    <w:rsid w:val="00EA0CFD"/>
    <w:rsid w:val="00EA0D60"/>
    <w:rsid w:val="00EA0EA0"/>
    <w:rsid w:val="00EA0EE0"/>
    <w:rsid w:val="00EA0EE1"/>
    <w:rsid w:val="00EA0F3E"/>
    <w:rsid w:val="00EA0F7C"/>
    <w:rsid w:val="00EA0FBC"/>
    <w:rsid w:val="00EA1027"/>
    <w:rsid w:val="00EA1094"/>
    <w:rsid w:val="00EA10B3"/>
    <w:rsid w:val="00EA10CB"/>
    <w:rsid w:val="00EA11C6"/>
    <w:rsid w:val="00EA11F8"/>
    <w:rsid w:val="00EA123F"/>
    <w:rsid w:val="00EA128B"/>
    <w:rsid w:val="00EA1394"/>
    <w:rsid w:val="00EA13B0"/>
    <w:rsid w:val="00EA140B"/>
    <w:rsid w:val="00EA144C"/>
    <w:rsid w:val="00EA1460"/>
    <w:rsid w:val="00EA14E8"/>
    <w:rsid w:val="00EA14FA"/>
    <w:rsid w:val="00EA1590"/>
    <w:rsid w:val="00EA161E"/>
    <w:rsid w:val="00EA1645"/>
    <w:rsid w:val="00EA1698"/>
    <w:rsid w:val="00EA16BE"/>
    <w:rsid w:val="00EA16CF"/>
    <w:rsid w:val="00EA16D5"/>
    <w:rsid w:val="00EA16FC"/>
    <w:rsid w:val="00EA1711"/>
    <w:rsid w:val="00EA1730"/>
    <w:rsid w:val="00EA1803"/>
    <w:rsid w:val="00EA1825"/>
    <w:rsid w:val="00EA183B"/>
    <w:rsid w:val="00EA18BE"/>
    <w:rsid w:val="00EA18F5"/>
    <w:rsid w:val="00EA18FF"/>
    <w:rsid w:val="00EA1946"/>
    <w:rsid w:val="00EA1A26"/>
    <w:rsid w:val="00EA1A33"/>
    <w:rsid w:val="00EA1A94"/>
    <w:rsid w:val="00EA1AA3"/>
    <w:rsid w:val="00EA1B57"/>
    <w:rsid w:val="00EA1B5D"/>
    <w:rsid w:val="00EA1B62"/>
    <w:rsid w:val="00EA1B6E"/>
    <w:rsid w:val="00EA1B9B"/>
    <w:rsid w:val="00EA1BD0"/>
    <w:rsid w:val="00EA1C24"/>
    <w:rsid w:val="00EA1C5D"/>
    <w:rsid w:val="00EA1C61"/>
    <w:rsid w:val="00EA1D23"/>
    <w:rsid w:val="00EA1D9F"/>
    <w:rsid w:val="00EA1DE8"/>
    <w:rsid w:val="00EA1E26"/>
    <w:rsid w:val="00EA1E34"/>
    <w:rsid w:val="00EA1FB7"/>
    <w:rsid w:val="00EA1FE4"/>
    <w:rsid w:val="00EA200B"/>
    <w:rsid w:val="00EA2069"/>
    <w:rsid w:val="00EA2075"/>
    <w:rsid w:val="00EA2093"/>
    <w:rsid w:val="00EA20A1"/>
    <w:rsid w:val="00EA20A5"/>
    <w:rsid w:val="00EA20AA"/>
    <w:rsid w:val="00EA20FC"/>
    <w:rsid w:val="00EA2153"/>
    <w:rsid w:val="00EA21BC"/>
    <w:rsid w:val="00EA21F7"/>
    <w:rsid w:val="00EA228B"/>
    <w:rsid w:val="00EA230D"/>
    <w:rsid w:val="00EA237D"/>
    <w:rsid w:val="00EA239A"/>
    <w:rsid w:val="00EA23E7"/>
    <w:rsid w:val="00EA23E8"/>
    <w:rsid w:val="00EA23E9"/>
    <w:rsid w:val="00EA243A"/>
    <w:rsid w:val="00EA244C"/>
    <w:rsid w:val="00EA24C1"/>
    <w:rsid w:val="00EA24DE"/>
    <w:rsid w:val="00EA2523"/>
    <w:rsid w:val="00EA2549"/>
    <w:rsid w:val="00EA2559"/>
    <w:rsid w:val="00EA259B"/>
    <w:rsid w:val="00EA2620"/>
    <w:rsid w:val="00EA263A"/>
    <w:rsid w:val="00EA266B"/>
    <w:rsid w:val="00EA2690"/>
    <w:rsid w:val="00EA2697"/>
    <w:rsid w:val="00EA275D"/>
    <w:rsid w:val="00EA2788"/>
    <w:rsid w:val="00EA27CA"/>
    <w:rsid w:val="00EA2828"/>
    <w:rsid w:val="00EA2842"/>
    <w:rsid w:val="00EA287A"/>
    <w:rsid w:val="00EA289F"/>
    <w:rsid w:val="00EA28C1"/>
    <w:rsid w:val="00EA2907"/>
    <w:rsid w:val="00EA2929"/>
    <w:rsid w:val="00EA293B"/>
    <w:rsid w:val="00EA295D"/>
    <w:rsid w:val="00EA2A1D"/>
    <w:rsid w:val="00EA2ADA"/>
    <w:rsid w:val="00EA2B97"/>
    <w:rsid w:val="00EA2BF7"/>
    <w:rsid w:val="00EA2C0C"/>
    <w:rsid w:val="00EA2C12"/>
    <w:rsid w:val="00EA2C34"/>
    <w:rsid w:val="00EA2C8D"/>
    <w:rsid w:val="00EA2CC5"/>
    <w:rsid w:val="00EA2CCA"/>
    <w:rsid w:val="00EA2CD2"/>
    <w:rsid w:val="00EA2D10"/>
    <w:rsid w:val="00EA2D42"/>
    <w:rsid w:val="00EA2D8B"/>
    <w:rsid w:val="00EA2E42"/>
    <w:rsid w:val="00EA2E50"/>
    <w:rsid w:val="00EA2E6D"/>
    <w:rsid w:val="00EA2EA1"/>
    <w:rsid w:val="00EA2F22"/>
    <w:rsid w:val="00EA2F87"/>
    <w:rsid w:val="00EA2FB6"/>
    <w:rsid w:val="00EA2FC4"/>
    <w:rsid w:val="00EA2FFE"/>
    <w:rsid w:val="00EA3058"/>
    <w:rsid w:val="00EA3060"/>
    <w:rsid w:val="00EA3076"/>
    <w:rsid w:val="00EA30CB"/>
    <w:rsid w:val="00EA3133"/>
    <w:rsid w:val="00EA318E"/>
    <w:rsid w:val="00EA31B3"/>
    <w:rsid w:val="00EA31B6"/>
    <w:rsid w:val="00EA31E7"/>
    <w:rsid w:val="00EA3225"/>
    <w:rsid w:val="00EA3290"/>
    <w:rsid w:val="00EA32A1"/>
    <w:rsid w:val="00EA32CF"/>
    <w:rsid w:val="00EA32D7"/>
    <w:rsid w:val="00EA3333"/>
    <w:rsid w:val="00EA333E"/>
    <w:rsid w:val="00EA3352"/>
    <w:rsid w:val="00EA33A5"/>
    <w:rsid w:val="00EA3425"/>
    <w:rsid w:val="00EA343D"/>
    <w:rsid w:val="00EA3443"/>
    <w:rsid w:val="00EA348B"/>
    <w:rsid w:val="00EA3533"/>
    <w:rsid w:val="00EA355A"/>
    <w:rsid w:val="00EA3599"/>
    <w:rsid w:val="00EA36E7"/>
    <w:rsid w:val="00EA37C2"/>
    <w:rsid w:val="00EA37DC"/>
    <w:rsid w:val="00EA37E2"/>
    <w:rsid w:val="00EA37E8"/>
    <w:rsid w:val="00EA3809"/>
    <w:rsid w:val="00EA3853"/>
    <w:rsid w:val="00EA38C2"/>
    <w:rsid w:val="00EA38D2"/>
    <w:rsid w:val="00EA38E3"/>
    <w:rsid w:val="00EA3A1D"/>
    <w:rsid w:val="00EA3A26"/>
    <w:rsid w:val="00EA3A8C"/>
    <w:rsid w:val="00EA3ACA"/>
    <w:rsid w:val="00EA3B26"/>
    <w:rsid w:val="00EA3B28"/>
    <w:rsid w:val="00EA3B29"/>
    <w:rsid w:val="00EA3B3E"/>
    <w:rsid w:val="00EA3B53"/>
    <w:rsid w:val="00EA3B81"/>
    <w:rsid w:val="00EA3BBC"/>
    <w:rsid w:val="00EA3C96"/>
    <w:rsid w:val="00EA3CC8"/>
    <w:rsid w:val="00EA3CE3"/>
    <w:rsid w:val="00EA3D09"/>
    <w:rsid w:val="00EA3D15"/>
    <w:rsid w:val="00EA3D4B"/>
    <w:rsid w:val="00EA3D66"/>
    <w:rsid w:val="00EA3D8E"/>
    <w:rsid w:val="00EA3DB5"/>
    <w:rsid w:val="00EA3DF4"/>
    <w:rsid w:val="00EA3E54"/>
    <w:rsid w:val="00EA3EBD"/>
    <w:rsid w:val="00EA3F2E"/>
    <w:rsid w:val="00EA3F90"/>
    <w:rsid w:val="00EA3F93"/>
    <w:rsid w:val="00EA3FB6"/>
    <w:rsid w:val="00EA3FCE"/>
    <w:rsid w:val="00EA4069"/>
    <w:rsid w:val="00EA409B"/>
    <w:rsid w:val="00EA4110"/>
    <w:rsid w:val="00EA411A"/>
    <w:rsid w:val="00EA427E"/>
    <w:rsid w:val="00EA4285"/>
    <w:rsid w:val="00EA42B0"/>
    <w:rsid w:val="00EA42C0"/>
    <w:rsid w:val="00EA42F2"/>
    <w:rsid w:val="00EA433A"/>
    <w:rsid w:val="00EA436D"/>
    <w:rsid w:val="00EA438A"/>
    <w:rsid w:val="00EA4444"/>
    <w:rsid w:val="00EA4472"/>
    <w:rsid w:val="00EA454F"/>
    <w:rsid w:val="00EA456E"/>
    <w:rsid w:val="00EA4590"/>
    <w:rsid w:val="00EA45B5"/>
    <w:rsid w:val="00EA464B"/>
    <w:rsid w:val="00EA469C"/>
    <w:rsid w:val="00EA46A7"/>
    <w:rsid w:val="00EA46E1"/>
    <w:rsid w:val="00EA47D4"/>
    <w:rsid w:val="00EA47F6"/>
    <w:rsid w:val="00EA4839"/>
    <w:rsid w:val="00EA484C"/>
    <w:rsid w:val="00EA4873"/>
    <w:rsid w:val="00EA48F0"/>
    <w:rsid w:val="00EA4944"/>
    <w:rsid w:val="00EA496B"/>
    <w:rsid w:val="00EA4993"/>
    <w:rsid w:val="00EA499D"/>
    <w:rsid w:val="00EA49C4"/>
    <w:rsid w:val="00EA49E9"/>
    <w:rsid w:val="00EA4A75"/>
    <w:rsid w:val="00EA4A7B"/>
    <w:rsid w:val="00EA4ABA"/>
    <w:rsid w:val="00EA4B60"/>
    <w:rsid w:val="00EA4B8C"/>
    <w:rsid w:val="00EA4BD1"/>
    <w:rsid w:val="00EA4C60"/>
    <w:rsid w:val="00EA4C84"/>
    <w:rsid w:val="00EA4CBA"/>
    <w:rsid w:val="00EA4CF7"/>
    <w:rsid w:val="00EA4D01"/>
    <w:rsid w:val="00EA4D2A"/>
    <w:rsid w:val="00EA4DAB"/>
    <w:rsid w:val="00EA4E57"/>
    <w:rsid w:val="00EA4E61"/>
    <w:rsid w:val="00EA4E6D"/>
    <w:rsid w:val="00EA4E6E"/>
    <w:rsid w:val="00EA4E73"/>
    <w:rsid w:val="00EA4EA1"/>
    <w:rsid w:val="00EA4EB2"/>
    <w:rsid w:val="00EA4F1C"/>
    <w:rsid w:val="00EA4F74"/>
    <w:rsid w:val="00EA4F85"/>
    <w:rsid w:val="00EA5097"/>
    <w:rsid w:val="00EA50FD"/>
    <w:rsid w:val="00EA510D"/>
    <w:rsid w:val="00EA5147"/>
    <w:rsid w:val="00EA514A"/>
    <w:rsid w:val="00EA5180"/>
    <w:rsid w:val="00EA5203"/>
    <w:rsid w:val="00EA5249"/>
    <w:rsid w:val="00EA53A7"/>
    <w:rsid w:val="00EA5400"/>
    <w:rsid w:val="00EA54E0"/>
    <w:rsid w:val="00EA556B"/>
    <w:rsid w:val="00EA55EC"/>
    <w:rsid w:val="00EA5674"/>
    <w:rsid w:val="00EA56BA"/>
    <w:rsid w:val="00EA56FE"/>
    <w:rsid w:val="00EA5703"/>
    <w:rsid w:val="00EA57AB"/>
    <w:rsid w:val="00EA5829"/>
    <w:rsid w:val="00EA5875"/>
    <w:rsid w:val="00EA589B"/>
    <w:rsid w:val="00EA58A7"/>
    <w:rsid w:val="00EA58C7"/>
    <w:rsid w:val="00EA58FD"/>
    <w:rsid w:val="00EA5906"/>
    <w:rsid w:val="00EA5925"/>
    <w:rsid w:val="00EA5938"/>
    <w:rsid w:val="00EA5946"/>
    <w:rsid w:val="00EA594C"/>
    <w:rsid w:val="00EA599A"/>
    <w:rsid w:val="00EA59EC"/>
    <w:rsid w:val="00EA5A03"/>
    <w:rsid w:val="00EA5A2F"/>
    <w:rsid w:val="00EA5B39"/>
    <w:rsid w:val="00EA5B57"/>
    <w:rsid w:val="00EA5B7E"/>
    <w:rsid w:val="00EA5B82"/>
    <w:rsid w:val="00EA5BBC"/>
    <w:rsid w:val="00EA5C62"/>
    <w:rsid w:val="00EA5C9C"/>
    <w:rsid w:val="00EA5CB0"/>
    <w:rsid w:val="00EA5D05"/>
    <w:rsid w:val="00EA5D36"/>
    <w:rsid w:val="00EA5D47"/>
    <w:rsid w:val="00EA5D59"/>
    <w:rsid w:val="00EA5D5E"/>
    <w:rsid w:val="00EA5E7A"/>
    <w:rsid w:val="00EA5E7B"/>
    <w:rsid w:val="00EA5EE4"/>
    <w:rsid w:val="00EA5EF2"/>
    <w:rsid w:val="00EA5F1E"/>
    <w:rsid w:val="00EA5F40"/>
    <w:rsid w:val="00EA5F4B"/>
    <w:rsid w:val="00EA5F82"/>
    <w:rsid w:val="00EA5FA6"/>
    <w:rsid w:val="00EA5FEA"/>
    <w:rsid w:val="00EA5FF2"/>
    <w:rsid w:val="00EA6006"/>
    <w:rsid w:val="00EA6024"/>
    <w:rsid w:val="00EA603C"/>
    <w:rsid w:val="00EA609C"/>
    <w:rsid w:val="00EA60A4"/>
    <w:rsid w:val="00EA6172"/>
    <w:rsid w:val="00EA61F7"/>
    <w:rsid w:val="00EA61FE"/>
    <w:rsid w:val="00EA620F"/>
    <w:rsid w:val="00EA6217"/>
    <w:rsid w:val="00EA621C"/>
    <w:rsid w:val="00EA6231"/>
    <w:rsid w:val="00EA6271"/>
    <w:rsid w:val="00EA627D"/>
    <w:rsid w:val="00EA6299"/>
    <w:rsid w:val="00EA62BD"/>
    <w:rsid w:val="00EA62E1"/>
    <w:rsid w:val="00EA630D"/>
    <w:rsid w:val="00EA6344"/>
    <w:rsid w:val="00EA6376"/>
    <w:rsid w:val="00EA638B"/>
    <w:rsid w:val="00EA63B6"/>
    <w:rsid w:val="00EA63F4"/>
    <w:rsid w:val="00EA6403"/>
    <w:rsid w:val="00EA6423"/>
    <w:rsid w:val="00EA6483"/>
    <w:rsid w:val="00EA648D"/>
    <w:rsid w:val="00EA64B5"/>
    <w:rsid w:val="00EA6529"/>
    <w:rsid w:val="00EA6565"/>
    <w:rsid w:val="00EA6578"/>
    <w:rsid w:val="00EA665D"/>
    <w:rsid w:val="00EA6680"/>
    <w:rsid w:val="00EA66C7"/>
    <w:rsid w:val="00EA66DF"/>
    <w:rsid w:val="00EA6706"/>
    <w:rsid w:val="00EA6845"/>
    <w:rsid w:val="00EA6857"/>
    <w:rsid w:val="00EA693F"/>
    <w:rsid w:val="00EA696B"/>
    <w:rsid w:val="00EA6AB0"/>
    <w:rsid w:val="00EA6AB7"/>
    <w:rsid w:val="00EA6AD8"/>
    <w:rsid w:val="00EA6AFE"/>
    <w:rsid w:val="00EA6B01"/>
    <w:rsid w:val="00EA6B87"/>
    <w:rsid w:val="00EA6BA2"/>
    <w:rsid w:val="00EA6BC6"/>
    <w:rsid w:val="00EA6C22"/>
    <w:rsid w:val="00EA6C3F"/>
    <w:rsid w:val="00EA6C56"/>
    <w:rsid w:val="00EA6C57"/>
    <w:rsid w:val="00EA6C7C"/>
    <w:rsid w:val="00EA6D10"/>
    <w:rsid w:val="00EA6D47"/>
    <w:rsid w:val="00EA6D70"/>
    <w:rsid w:val="00EA6DC1"/>
    <w:rsid w:val="00EA6E56"/>
    <w:rsid w:val="00EA6E7A"/>
    <w:rsid w:val="00EA6ED3"/>
    <w:rsid w:val="00EA6EE5"/>
    <w:rsid w:val="00EA6EEC"/>
    <w:rsid w:val="00EA6EFD"/>
    <w:rsid w:val="00EA6F26"/>
    <w:rsid w:val="00EA6F41"/>
    <w:rsid w:val="00EA6F8C"/>
    <w:rsid w:val="00EA6FE1"/>
    <w:rsid w:val="00EA7004"/>
    <w:rsid w:val="00EA7021"/>
    <w:rsid w:val="00EA704B"/>
    <w:rsid w:val="00EA7089"/>
    <w:rsid w:val="00EA70A8"/>
    <w:rsid w:val="00EA70D5"/>
    <w:rsid w:val="00EA71FA"/>
    <w:rsid w:val="00EA7287"/>
    <w:rsid w:val="00EA72B3"/>
    <w:rsid w:val="00EA73E6"/>
    <w:rsid w:val="00EA73F7"/>
    <w:rsid w:val="00EA740F"/>
    <w:rsid w:val="00EA743B"/>
    <w:rsid w:val="00EA74E5"/>
    <w:rsid w:val="00EA750B"/>
    <w:rsid w:val="00EA752E"/>
    <w:rsid w:val="00EA759F"/>
    <w:rsid w:val="00EA75E0"/>
    <w:rsid w:val="00EA7662"/>
    <w:rsid w:val="00EA7697"/>
    <w:rsid w:val="00EA771D"/>
    <w:rsid w:val="00EA7726"/>
    <w:rsid w:val="00EA77C9"/>
    <w:rsid w:val="00EA77EA"/>
    <w:rsid w:val="00EA7818"/>
    <w:rsid w:val="00EA785B"/>
    <w:rsid w:val="00EA7866"/>
    <w:rsid w:val="00EA78A5"/>
    <w:rsid w:val="00EA78D7"/>
    <w:rsid w:val="00EA79D5"/>
    <w:rsid w:val="00EA79EE"/>
    <w:rsid w:val="00EA7A35"/>
    <w:rsid w:val="00EA7A4B"/>
    <w:rsid w:val="00EA7B7E"/>
    <w:rsid w:val="00EA7B8F"/>
    <w:rsid w:val="00EA7B99"/>
    <w:rsid w:val="00EA7BD6"/>
    <w:rsid w:val="00EA7BE9"/>
    <w:rsid w:val="00EA7C08"/>
    <w:rsid w:val="00EA7C2F"/>
    <w:rsid w:val="00EA7C5C"/>
    <w:rsid w:val="00EA7C70"/>
    <w:rsid w:val="00EA7C93"/>
    <w:rsid w:val="00EA7CD3"/>
    <w:rsid w:val="00EA7CD4"/>
    <w:rsid w:val="00EA7D30"/>
    <w:rsid w:val="00EA7D45"/>
    <w:rsid w:val="00EA7D59"/>
    <w:rsid w:val="00EA7DAC"/>
    <w:rsid w:val="00EA7E90"/>
    <w:rsid w:val="00EA7EA8"/>
    <w:rsid w:val="00EA7EB0"/>
    <w:rsid w:val="00EA7F8E"/>
    <w:rsid w:val="00EA7FD6"/>
    <w:rsid w:val="00EA7FFB"/>
    <w:rsid w:val="00EB00B7"/>
    <w:rsid w:val="00EB013D"/>
    <w:rsid w:val="00EB014F"/>
    <w:rsid w:val="00EB01AE"/>
    <w:rsid w:val="00EB030F"/>
    <w:rsid w:val="00EB0332"/>
    <w:rsid w:val="00EB033C"/>
    <w:rsid w:val="00EB0342"/>
    <w:rsid w:val="00EB0357"/>
    <w:rsid w:val="00EB0360"/>
    <w:rsid w:val="00EB0405"/>
    <w:rsid w:val="00EB041B"/>
    <w:rsid w:val="00EB0442"/>
    <w:rsid w:val="00EB0479"/>
    <w:rsid w:val="00EB047F"/>
    <w:rsid w:val="00EB051F"/>
    <w:rsid w:val="00EB0590"/>
    <w:rsid w:val="00EB05D5"/>
    <w:rsid w:val="00EB0669"/>
    <w:rsid w:val="00EB0743"/>
    <w:rsid w:val="00EB07CD"/>
    <w:rsid w:val="00EB07F0"/>
    <w:rsid w:val="00EB0801"/>
    <w:rsid w:val="00EB0830"/>
    <w:rsid w:val="00EB0856"/>
    <w:rsid w:val="00EB08B3"/>
    <w:rsid w:val="00EB08F1"/>
    <w:rsid w:val="00EB094E"/>
    <w:rsid w:val="00EB096C"/>
    <w:rsid w:val="00EB097B"/>
    <w:rsid w:val="00EB098B"/>
    <w:rsid w:val="00EB099B"/>
    <w:rsid w:val="00EB09CC"/>
    <w:rsid w:val="00EB0A49"/>
    <w:rsid w:val="00EB0A6C"/>
    <w:rsid w:val="00EB0A8C"/>
    <w:rsid w:val="00EB0B0B"/>
    <w:rsid w:val="00EB0B61"/>
    <w:rsid w:val="00EB0B6C"/>
    <w:rsid w:val="00EB0BCE"/>
    <w:rsid w:val="00EB0C24"/>
    <w:rsid w:val="00EB0C77"/>
    <w:rsid w:val="00EB0C85"/>
    <w:rsid w:val="00EB0CA0"/>
    <w:rsid w:val="00EB0CAF"/>
    <w:rsid w:val="00EB0CC6"/>
    <w:rsid w:val="00EB0CE2"/>
    <w:rsid w:val="00EB0CF9"/>
    <w:rsid w:val="00EB0DA6"/>
    <w:rsid w:val="00EB0DC9"/>
    <w:rsid w:val="00EB0E25"/>
    <w:rsid w:val="00EB0ED7"/>
    <w:rsid w:val="00EB0F01"/>
    <w:rsid w:val="00EB0F22"/>
    <w:rsid w:val="00EB0F48"/>
    <w:rsid w:val="00EB0F4D"/>
    <w:rsid w:val="00EB0FA2"/>
    <w:rsid w:val="00EB1075"/>
    <w:rsid w:val="00EB107B"/>
    <w:rsid w:val="00EB10A2"/>
    <w:rsid w:val="00EB10A4"/>
    <w:rsid w:val="00EB10AF"/>
    <w:rsid w:val="00EB10CC"/>
    <w:rsid w:val="00EB1122"/>
    <w:rsid w:val="00EB1154"/>
    <w:rsid w:val="00EB1169"/>
    <w:rsid w:val="00EB116A"/>
    <w:rsid w:val="00EB116B"/>
    <w:rsid w:val="00EB11DA"/>
    <w:rsid w:val="00EB11E8"/>
    <w:rsid w:val="00EB11FA"/>
    <w:rsid w:val="00EB11FF"/>
    <w:rsid w:val="00EB124F"/>
    <w:rsid w:val="00EB1322"/>
    <w:rsid w:val="00EB13BF"/>
    <w:rsid w:val="00EB1486"/>
    <w:rsid w:val="00EB14DF"/>
    <w:rsid w:val="00EB153A"/>
    <w:rsid w:val="00EB15BA"/>
    <w:rsid w:val="00EB15EA"/>
    <w:rsid w:val="00EB167F"/>
    <w:rsid w:val="00EB16A5"/>
    <w:rsid w:val="00EB16DC"/>
    <w:rsid w:val="00EB1713"/>
    <w:rsid w:val="00EB174B"/>
    <w:rsid w:val="00EB1797"/>
    <w:rsid w:val="00EB17C2"/>
    <w:rsid w:val="00EB17F4"/>
    <w:rsid w:val="00EB1841"/>
    <w:rsid w:val="00EB1873"/>
    <w:rsid w:val="00EB18CA"/>
    <w:rsid w:val="00EB18D8"/>
    <w:rsid w:val="00EB19AC"/>
    <w:rsid w:val="00EB1A33"/>
    <w:rsid w:val="00EB1A6E"/>
    <w:rsid w:val="00EB1A83"/>
    <w:rsid w:val="00EB1AB1"/>
    <w:rsid w:val="00EB1AD6"/>
    <w:rsid w:val="00EB1B1A"/>
    <w:rsid w:val="00EB1B1C"/>
    <w:rsid w:val="00EB1B66"/>
    <w:rsid w:val="00EB1B74"/>
    <w:rsid w:val="00EB1B96"/>
    <w:rsid w:val="00EB1BA4"/>
    <w:rsid w:val="00EB1BE3"/>
    <w:rsid w:val="00EB1C90"/>
    <w:rsid w:val="00EB1D16"/>
    <w:rsid w:val="00EB1D24"/>
    <w:rsid w:val="00EB1DC8"/>
    <w:rsid w:val="00EB1DF4"/>
    <w:rsid w:val="00EB1E80"/>
    <w:rsid w:val="00EB1E8D"/>
    <w:rsid w:val="00EB1EAF"/>
    <w:rsid w:val="00EB1F0F"/>
    <w:rsid w:val="00EB208B"/>
    <w:rsid w:val="00EB20A3"/>
    <w:rsid w:val="00EB20E2"/>
    <w:rsid w:val="00EB2203"/>
    <w:rsid w:val="00EB233E"/>
    <w:rsid w:val="00EB239E"/>
    <w:rsid w:val="00EB23F0"/>
    <w:rsid w:val="00EB2410"/>
    <w:rsid w:val="00EB243C"/>
    <w:rsid w:val="00EB2464"/>
    <w:rsid w:val="00EB249C"/>
    <w:rsid w:val="00EB24A9"/>
    <w:rsid w:val="00EB24B6"/>
    <w:rsid w:val="00EB24CC"/>
    <w:rsid w:val="00EB250A"/>
    <w:rsid w:val="00EB2513"/>
    <w:rsid w:val="00EB2577"/>
    <w:rsid w:val="00EB2590"/>
    <w:rsid w:val="00EB25AE"/>
    <w:rsid w:val="00EB25B2"/>
    <w:rsid w:val="00EB262A"/>
    <w:rsid w:val="00EB2666"/>
    <w:rsid w:val="00EB2690"/>
    <w:rsid w:val="00EB26A2"/>
    <w:rsid w:val="00EB26E1"/>
    <w:rsid w:val="00EB277E"/>
    <w:rsid w:val="00EB2810"/>
    <w:rsid w:val="00EB287D"/>
    <w:rsid w:val="00EB2894"/>
    <w:rsid w:val="00EB289C"/>
    <w:rsid w:val="00EB28A8"/>
    <w:rsid w:val="00EB2902"/>
    <w:rsid w:val="00EB298A"/>
    <w:rsid w:val="00EB2A46"/>
    <w:rsid w:val="00EB2AD0"/>
    <w:rsid w:val="00EB2C2D"/>
    <w:rsid w:val="00EB2C35"/>
    <w:rsid w:val="00EB2C80"/>
    <w:rsid w:val="00EB2CA1"/>
    <w:rsid w:val="00EB2CEA"/>
    <w:rsid w:val="00EB2D4E"/>
    <w:rsid w:val="00EB2DA1"/>
    <w:rsid w:val="00EB2DF3"/>
    <w:rsid w:val="00EB2DF5"/>
    <w:rsid w:val="00EB2E3A"/>
    <w:rsid w:val="00EB2E65"/>
    <w:rsid w:val="00EB2EC5"/>
    <w:rsid w:val="00EB2F33"/>
    <w:rsid w:val="00EB2F6C"/>
    <w:rsid w:val="00EB2FA6"/>
    <w:rsid w:val="00EB2FBB"/>
    <w:rsid w:val="00EB2FC5"/>
    <w:rsid w:val="00EB3013"/>
    <w:rsid w:val="00EB3081"/>
    <w:rsid w:val="00EB30A8"/>
    <w:rsid w:val="00EB30B3"/>
    <w:rsid w:val="00EB30E3"/>
    <w:rsid w:val="00EB3143"/>
    <w:rsid w:val="00EB3199"/>
    <w:rsid w:val="00EB320B"/>
    <w:rsid w:val="00EB3238"/>
    <w:rsid w:val="00EB3255"/>
    <w:rsid w:val="00EB3282"/>
    <w:rsid w:val="00EB32BF"/>
    <w:rsid w:val="00EB3335"/>
    <w:rsid w:val="00EB336F"/>
    <w:rsid w:val="00EB3381"/>
    <w:rsid w:val="00EB33BF"/>
    <w:rsid w:val="00EB33E7"/>
    <w:rsid w:val="00EB342F"/>
    <w:rsid w:val="00EB34B7"/>
    <w:rsid w:val="00EB34E0"/>
    <w:rsid w:val="00EB34F0"/>
    <w:rsid w:val="00EB3510"/>
    <w:rsid w:val="00EB35A7"/>
    <w:rsid w:val="00EB363E"/>
    <w:rsid w:val="00EB366F"/>
    <w:rsid w:val="00EB368A"/>
    <w:rsid w:val="00EB36AC"/>
    <w:rsid w:val="00EB36F7"/>
    <w:rsid w:val="00EB3752"/>
    <w:rsid w:val="00EB37BC"/>
    <w:rsid w:val="00EB37E7"/>
    <w:rsid w:val="00EB3806"/>
    <w:rsid w:val="00EB3826"/>
    <w:rsid w:val="00EB3850"/>
    <w:rsid w:val="00EB386D"/>
    <w:rsid w:val="00EB387A"/>
    <w:rsid w:val="00EB38B3"/>
    <w:rsid w:val="00EB3964"/>
    <w:rsid w:val="00EB39BF"/>
    <w:rsid w:val="00EB39E3"/>
    <w:rsid w:val="00EB3A6D"/>
    <w:rsid w:val="00EB3B2F"/>
    <w:rsid w:val="00EB3B5E"/>
    <w:rsid w:val="00EB3B88"/>
    <w:rsid w:val="00EB3B96"/>
    <w:rsid w:val="00EB3BBC"/>
    <w:rsid w:val="00EB3CE6"/>
    <w:rsid w:val="00EB3D18"/>
    <w:rsid w:val="00EB3D6F"/>
    <w:rsid w:val="00EB3DF9"/>
    <w:rsid w:val="00EB3E89"/>
    <w:rsid w:val="00EB3EE2"/>
    <w:rsid w:val="00EB3F13"/>
    <w:rsid w:val="00EB3F56"/>
    <w:rsid w:val="00EB3FC4"/>
    <w:rsid w:val="00EB3FC8"/>
    <w:rsid w:val="00EB3FD6"/>
    <w:rsid w:val="00EB4020"/>
    <w:rsid w:val="00EB4021"/>
    <w:rsid w:val="00EB4050"/>
    <w:rsid w:val="00EB405F"/>
    <w:rsid w:val="00EB40D7"/>
    <w:rsid w:val="00EB40E3"/>
    <w:rsid w:val="00EB4111"/>
    <w:rsid w:val="00EB414F"/>
    <w:rsid w:val="00EB4174"/>
    <w:rsid w:val="00EB418D"/>
    <w:rsid w:val="00EB41BC"/>
    <w:rsid w:val="00EB41CD"/>
    <w:rsid w:val="00EB4203"/>
    <w:rsid w:val="00EB423D"/>
    <w:rsid w:val="00EB424E"/>
    <w:rsid w:val="00EB4268"/>
    <w:rsid w:val="00EB4272"/>
    <w:rsid w:val="00EB4283"/>
    <w:rsid w:val="00EB4287"/>
    <w:rsid w:val="00EB42AE"/>
    <w:rsid w:val="00EB4322"/>
    <w:rsid w:val="00EB4354"/>
    <w:rsid w:val="00EB4405"/>
    <w:rsid w:val="00EB4495"/>
    <w:rsid w:val="00EB44AD"/>
    <w:rsid w:val="00EB44D9"/>
    <w:rsid w:val="00EB44E1"/>
    <w:rsid w:val="00EB44ED"/>
    <w:rsid w:val="00EB4510"/>
    <w:rsid w:val="00EB4526"/>
    <w:rsid w:val="00EB455D"/>
    <w:rsid w:val="00EB456A"/>
    <w:rsid w:val="00EB45E6"/>
    <w:rsid w:val="00EB4607"/>
    <w:rsid w:val="00EB4629"/>
    <w:rsid w:val="00EB469E"/>
    <w:rsid w:val="00EB46EC"/>
    <w:rsid w:val="00EB4767"/>
    <w:rsid w:val="00EB4798"/>
    <w:rsid w:val="00EB481F"/>
    <w:rsid w:val="00EB4998"/>
    <w:rsid w:val="00EB499E"/>
    <w:rsid w:val="00EB49DE"/>
    <w:rsid w:val="00EB4A03"/>
    <w:rsid w:val="00EB4A9A"/>
    <w:rsid w:val="00EB4AE1"/>
    <w:rsid w:val="00EB4B13"/>
    <w:rsid w:val="00EB4B76"/>
    <w:rsid w:val="00EB4B80"/>
    <w:rsid w:val="00EB4B91"/>
    <w:rsid w:val="00EB4BAB"/>
    <w:rsid w:val="00EB4BFE"/>
    <w:rsid w:val="00EB4C1E"/>
    <w:rsid w:val="00EB4C64"/>
    <w:rsid w:val="00EB4C67"/>
    <w:rsid w:val="00EB4CB2"/>
    <w:rsid w:val="00EB4CBE"/>
    <w:rsid w:val="00EB4D2E"/>
    <w:rsid w:val="00EB4D44"/>
    <w:rsid w:val="00EB4E2B"/>
    <w:rsid w:val="00EB4ECC"/>
    <w:rsid w:val="00EB4F2A"/>
    <w:rsid w:val="00EB4F71"/>
    <w:rsid w:val="00EB4FC0"/>
    <w:rsid w:val="00EB4FE3"/>
    <w:rsid w:val="00EB50A4"/>
    <w:rsid w:val="00EB50E0"/>
    <w:rsid w:val="00EB5129"/>
    <w:rsid w:val="00EB5144"/>
    <w:rsid w:val="00EB5185"/>
    <w:rsid w:val="00EB51E3"/>
    <w:rsid w:val="00EB5269"/>
    <w:rsid w:val="00EB530E"/>
    <w:rsid w:val="00EB53AA"/>
    <w:rsid w:val="00EB53CA"/>
    <w:rsid w:val="00EB5425"/>
    <w:rsid w:val="00EB544B"/>
    <w:rsid w:val="00EB548A"/>
    <w:rsid w:val="00EB5495"/>
    <w:rsid w:val="00EB54BC"/>
    <w:rsid w:val="00EB54E6"/>
    <w:rsid w:val="00EB5532"/>
    <w:rsid w:val="00EB5537"/>
    <w:rsid w:val="00EB55C7"/>
    <w:rsid w:val="00EB55D8"/>
    <w:rsid w:val="00EB567C"/>
    <w:rsid w:val="00EB56F7"/>
    <w:rsid w:val="00EB5738"/>
    <w:rsid w:val="00EB573E"/>
    <w:rsid w:val="00EB5760"/>
    <w:rsid w:val="00EB57AA"/>
    <w:rsid w:val="00EB57B6"/>
    <w:rsid w:val="00EB57C6"/>
    <w:rsid w:val="00EB580C"/>
    <w:rsid w:val="00EB5843"/>
    <w:rsid w:val="00EB5845"/>
    <w:rsid w:val="00EB5850"/>
    <w:rsid w:val="00EB587B"/>
    <w:rsid w:val="00EB58E0"/>
    <w:rsid w:val="00EB5918"/>
    <w:rsid w:val="00EB592E"/>
    <w:rsid w:val="00EB595E"/>
    <w:rsid w:val="00EB59BD"/>
    <w:rsid w:val="00EB5A53"/>
    <w:rsid w:val="00EB5A8F"/>
    <w:rsid w:val="00EB5A9D"/>
    <w:rsid w:val="00EB5AA4"/>
    <w:rsid w:val="00EB5AAA"/>
    <w:rsid w:val="00EB5B1A"/>
    <w:rsid w:val="00EB5B1B"/>
    <w:rsid w:val="00EB5B6C"/>
    <w:rsid w:val="00EB5BC0"/>
    <w:rsid w:val="00EB5C20"/>
    <w:rsid w:val="00EB5C35"/>
    <w:rsid w:val="00EB5C80"/>
    <w:rsid w:val="00EB5CD5"/>
    <w:rsid w:val="00EB5D1F"/>
    <w:rsid w:val="00EB5D79"/>
    <w:rsid w:val="00EB5D99"/>
    <w:rsid w:val="00EB5D9F"/>
    <w:rsid w:val="00EB5E00"/>
    <w:rsid w:val="00EB5E4F"/>
    <w:rsid w:val="00EB5EDF"/>
    <w:rsid w:val="00EB5F30"/>
    <w:rsid w:val="00EB5F4F"/>
    <w:rsid w:val="00EB5F54"/>
    <w:rsid w:val="00EB5FF7"/>
    <w:rsid w:val="00EB6018"/>
    <w:rsid w:val="00EB6045"/>
    <w:rsid w:val="00EB6054"/>
    <w:rsid w:val="00EB6077"/>
    <w:rsid w:val="00EB618A"/>
    <w:rsid w:val="00EB61B4"/>
    <w:rsid w:val="00EB626C"/>
    <w:rsid w:val="00EB62DD"/>
    <w:rsid w:val="00EB6320"/>
    <w:rsid w:val="00EB632C"/>
    <w:rsid w:val="00EB6374"/>
    <w:rsid w:val="00EB6411"/>
    <w:rsid w:val="00EB644C"/>
    <w:rsid w:val="00EB6495"/>
    <w:rsid w:val="00EB64A0"/>
    <w:rsid w:val="00EB64C4"/>
    <w:rsid w:val="00EB6565"/>
    <w:rsid w:val="00EB657B"/>
    <w:rsid w:val="00EB65BC"/>
    <w:rsid w:val="00EB65D5"/>
    <w:rsid w:val="00EB65FB"/>
    <w:rsid w:val="00EB65FF"/>
    <w:rsid w:val="00EB6677"/>
    <w:rsid w:val="00EB6692"/>
    <w:rsid w:val="00EB66DD"/>
    <w:rsid w:val="00EB6818"/>
    <w:rsid w:val="00EB6868"/>
    <w:rsid w:val="00EB68EE"/>
    <w:rsid w:val="00EB6900"/>
    <w:rsid w:val="00EB6916"/>
    <w:rsid w:val="00EB6923"/>
    <w:rsid w:val="00EB6932"/>
    <w:rsid w:val="00EB694D"/>
    <w:rsid w:val="00EB6956"/>
    <w:rsid w:val="00EB695D"/>
    <w:rsid w:val="00EB696C"/>
    <w:rsid w:val="00EB69C7"/>
    <w:rsid w:val="00EB69E6"/>
    <w:rsid w:val="00EB6AE3"/>
    <w:rsid w:val="00EB6B13"/>
    <w:rsid w:val="00EB6B6D"/>
    <w:rsid w:val="00EB6C1E"/>
    <w:rsid w:val="00EB6CBF"/>
    <w:rsid w:val="00EB6D6A"/>
    <w:rsid w:val="00EB6DBB"/>
    <w:rsid w:val="00EB6E1A"/>
    <w:rsid w:val="00EB6E3F"/>
    <w:rsid w:val="00EB6E41"/>
    <w:rsid w:val="00EB6ECD"/>
    <w:rsid w:val="00EB6F2C"/>
    <w:rsid w:val="00EB70BA"/>
    <w:rsid w:val="00EB714B"/>
    <w:rsid w:val="00EB7154"/>
    <w:rsid w:val="00EB719B"/>
    <w:rsid w:val="00EB719E"/>
    <w:rsid w:val="00EB71BB"/>
    <w:rsid w:val="00EB7203"/>
    <w:rsid w:val="00EB7237"/>
    <w:rsid w:val="00EB7238"/>
    <w:rsid w:val="00EB724F"/>
    <w:rsid w:val="00EB72DB"/>
    <w:rsid w:val="00EB73E0"/>
    <w:rsid w:val="00EB73F7"/>
    <w:rsid w:val="00EB74C2"/>
    <w:rsid w:val="00EB74D1"/>
    <w:rsid w:val="00EB74E8"/>
    <w:rsid w:val="00EB753E"/>
    <w:rsid w:val="00EB756B"/>
    <w:rsid w:val="00EB757E"/>
    <w:rsid w:val="00EB7583"/>
    <w:rsid w:val="00EB7599"/>
    <w:rsid w:val="00EB7639"/>
    <w:rsid w:val="00EB7659"/>
    <w:rsid w:val="00EB766D"/>
    <w:rsid w:val="00EB7678"/>
    <w:rsid w:val="00EB767D"/>
    <w:rsid w:val="00EB769A"/>
    <w:rsid w:val="00EB76B6"/>
    <w:rsid w:val="00EB76F5"/>
    <w:rsid w:val="00EB7783"/>
    <w:rsid w:val="00EB77B3"/>
    <w:rsid w:val="00EB77EA"/>
    <w:rsid w:val="00EB7837"/>
    <w:rsid w:val="00EB783E"/>
    <w:rsid w:val="00EB7856"/>
    <w:rsid w:val="00EB78C2"/>
    <w:rsid w:val="00EB78F2"/>
    <w:rsid w:val="00EB79B0"/>
    <w:rsid w:val="00EB79BE"/>
    <w:rsid w:val="00EB79FD"/>
    <w:rsid w:val="00EB7A53"/>
    <w:rsid w:val="00EB7AC8"/>
    <w:rsid w:val="00EB7C14"/>
    <w:rsid w:val="00EB7C20"/>
    <w:rsid w:val="00EB7C69"/>
    <w:rsid w:val="00EB7C6D"/>
    <w:rsid w:val="00EB7C9D"/>
    <w:rsid w:val="00EB7CAA"/>
    <w:rsid w:val="00EB7CDD"/>
    <w:rsid w:val="00EB7D14"/>
    <w:rsid w:val="00EB7D7A"/>
    <w:rsid w:val="00EB7DAE"/>
    <w:rsid w:val="00EB7E3D"/>
    <w:rsid w:val="00EB7E74"/>
    <w:rsid w:val="00EB7E96"/>
    <w:rsid w:val="00EB7F0E"/>
    <w:rsid w:val="00EB7F2E"/>
    <w:rsid w:val="00EC0034"/>
    <w:rsid w:val="00EC0118"/>
    <w:rsid w:val="00EC014F"/>
    <w:rsid w:val="00EC02BE"/>
    <w:rsid w:val="00EC02C9"/>
    <w:rsid w:val="00EC02D6"/>
    <w:rsid w:val="00EC02F2"/>
    <w:rsid w:val="00EC02FD"/>
    <w:rsid w:val="00EC0307"/>
    <w:rsid w:val="00EC0338"/>
    <w:rsid w:val="00EC034B"/>
    <w:rsid w:val="00EC0386"/>
    <w:rsid w:val="00EC038E"/>
    <w:rsid w:val="00EC03B2"/>
    <w:rsid w:val="00EC046F"/>
    <w:rsid w:val="00EC04E4"/>
    <w:rsid w:val="00EC050F"/>
    <w:rsid w:val="00EC05F4"/>
    <w:rsid w:val="00EC0653"/>
    <w:rsid w:val="00EC06D1"/>
    <w:rsid w:val="00EC06F0"/>
    <w:rsid w:val="00EC0707"/>
    <w:rsid w:val="00EC071B"/>
    <w:rsid w:val="00EC0747"/>
    <w:rsid w:val="00EC0789"/>
    <w:rsid w:val="00EC07A7"/>
    <w:rsid w:val="00EC07D5"/>
    <w:rsid w:val="00EC0865"/>
    <w:rsid w:val="00EC0965"/>
    <w:rsid w:val="00EC0981"/>
    <w:rsid w:val="00EC09CB"/>
    <w:rsid w:val="00EC09CF"/>
    <w:rsid w:val="00EC0A05"/>
    <w:rsid w:val="00EC0A1E"/>
    <w:rsid w:val="00EC0ABB"/>
    <w:rsid w:val="00EC0AC8"/>
    <w:rsid w:val="00EC0B6C"/>
    <w:rsid w:val="00EC0BDA"/>
    <w:rsid w:val="00EC0C5D"/>
    <w:rsid w:val="00EC0C69"/>
    <w:rsid w:val="00EC0C92"/>
    <w:rsid w:val="00EC0C98"/>
    <w:rsid w:val="00EC0C9A"/>
    <w:rsid w:val="00EC0CD9"/>
    <w:rsid w:val="00EC0CF9"/>
    <w:rsid w:val="00EC0D31"/>
    <w:rsid w:val="00EC0DC4"/>
    <w:rsid w:val="00EC0DFE"/>
    <w:rsid w:val="00EC0E26"/>
    <w:rsid w:val="00EC0E57"/>
    <w:rsid w:val="00EC0E95"/>
    <w:rsid w:val="00EC0F7A"/>
    <w:rsid w:val="00EC0F7B"/>
    <w:rsid w:val="00EC1042"/>
    <w:rsid w:val="00EC1088"/>
    <w:rsid w:val="00EC1130"/>
    <w:rsid w:val="00EC1133"/>
    <w:rsid w:val="00EC117F"/>
    <w:rsid w:val="00EC119D"/>
    <w:rsid w:val="00EC120D"/>
    <w:rsid w:val="00EC1237"/>
    <w:rsid w:val="00EC12B8"/>
    <w:rsid w:val="00EC130C"/>
    <w:rsid w:val="00EC13A5"/>
    <w:rsid w:val="00EC13EB"/>
    <w:rsid w:val="00EC1453"/>
    <w:rsid w:val="00EC1460"/>
    <w:rsid w:val="00EC1478"/>
    <w:rsid w:val="00EC149C"/>
    <w:rsid w:val="00EC14A4"/>
    <w:rsid w:val="00EC1518"/>
    <w:rsid w:val="00EC1524"/>
    <w:rsid w:val="00EC164D"/>
    <w:rsid w:val="00EC16C5"/>
    <w:rsid w:val="00EC1726"/>
    <w:rsid w:val="00EC174E"/>
    <w:rsid w:val="00EC1808"/>
    <w:rsid w:val="00EC1882"/>
    <w:rsid w:val="00EC1883"/>
    <w:rsid w:val="00EC1887"/>
    <w:rsid w:val="00EC18DF"/>
    <w:rsid w:val="00EC18EA"/>
    <w:rsid w:val="00EC1900"/>
    <w:rsid w:val="00EC1911"/>
    <w:rsid w:val="00EC196A"/>
    <w:rsid w:val="00EC1995"/>
    <w:rsid w:val="00EC19C1"/>
    <w:rsid w:val="00EC1A10"/>
    <w:rsid w:val="00EC1A49"/>
    <w:rsid w:val="00EC1A99"/>
    <w:rsid w:val="00EC1ABF"/>
    <w:rsid w:val="00EC1ACC"/>
    <w:rsid w:val="00EC1AFD"/>
    <w:rsid w:val="00EC1B2D"/>
    <w:rsid w:val="00EC1C1F"/>
    <w:rsid w:val="00EC1C93"/>
    <w:rsid w:val="00EC1CC6"/>
    <w:rsid w:val="00EC1CD9"/>
    <w:rsid w:val="00EC1D75"/>
    <w:rsid w:val="00EC1EED"/>
    <w:rsid w:val="00EC1EFA"/>
    <w:rsid w:val="00EC1F08"/>
    <w:rsid w:val="00EC1F09"/>
    <w:rsid w:val="00EC200B"/>
    <w:rsid w:val="00EC2017"/>
    <w:rsid w:val="00EC2066"/>
    <w:rsid w:val="00EC20C2"/>
    <w:rsid w:val="00EC212F"/>
    <w:rsid w:val="00EC215F"/>
    <w:rsid w:val="00EC221D"/>
    <w:rsid w:val="00EC2238"/>
    <w:rsid w:val="00EC2251"/>
    <w:rsid w:val="00EC2260"/>
    <w:rsid w:val="00EC22A6"/>
    <w:rsid w:val="00EC22E3"/>
    <w:rsid w:val="00EC2379"/>
    <w:rsid w:val="00EC2383"/>
    <w:rsid w:val="00EC2472"/>
    <w:rsid w:val="00EC24BA"/>
    <w:rsid w:val="00EC24DC"/>
    <w:rsid w:val="00EC24E1"/>
    <w:rsid w:val="00EC25F7"/>
    <w:rsid w:val="00EC2625"/>
    <w:rsid w:val="00EC271D"/>
    <w:rsid w:val="00EC2742"/>
    <w:rsid w:val="00EC274D"/>
    <w:rsid w:val="00EC2768"/>
    <w:rsid w:val="00EC279D"/>
    <w:rsid w:val="00EC27B1"/>
    <w:rsid w:val="00EC27F2"/>
    <w:rsid w:val="00EC283D"/>
    <w:rsid w:val="00EC2854"/>
    <w:rsid w:val="00EC28D1"/>
    <w:rsid w:val="00EC2912"/>
    <w:rsid w:val="00EC2943"/>
    <w:rsid w:val="00EC297B"/>
    <w:rsid w:val="00EC2988"/>
    <w:rsid w:val="00EC29CC"/>
    <w:rsid w:val="00EC2A54"/>
    <w:rsid w:val="00EC2A9F"/>
    <w:rsid w:val="00EC2AAA"/>
    <w:rsid w:val="00EC2B38"/>
    <w:rsid w:val="00EC2B55"/>
    <w:rsid w:val="00EC2B70"/>
    <w:rsid w:val="00EC2BA6"/>
    <w:rsid w:val="00EC2BC5"/>
    <w:rsid w:val="00EC2C1C"/>
    <w:rsid w:val="00EC2C22"/>
    <w:rsid w:val="00EC2C56"/>
    <w:rsid w:val="00EC2C89"/>
    <w:rsid w:val="00EC2D69"/>
    <w:rsid w:val="00EC2D84"/>
    <w:rsid w:val="00EC2DBA"/>
    <w:rsid w:val="00EC2DBE"/>
    <w:rsid w:val="00EC2E1F"/>
    <w:rsid w:val="00EC2E28"/>
    <w:rsid w:val="00EC2E92"/>
    <w:rsid w:val="00EC2E96"/>
    <w:rsid w:val="00EC2F7F"/>
    <w:rsid w:val="00EC2FB0"/>
    <w:rsid w:val="00EC2FCA"/>
    <w:rsid w:val="00EC2FDB"/>
    <w:rsid w:val="00EC306A"/>
    <w:rsid w:val="00EC30E2"/>
    <w:rsid w:val="00EC30FE"/>
    <w:rsid w:val="00EC3113"/>
    <w:rsid w:val="00EC318D"/>
    <w:rsid w:val="00EC319E"/>
    <w:rsid w:val="00EC31A8"/>
    <w:rsid w:val="00EC31B3"/>
    <w:rsid w:val="00EC31C7"/>
    <w:rsid w:val="00EC3228"/>
    <w:rsid w:val="00EC327B"/>
    <w:rsid w:val="00EC32A1"/>
    <w:rsid w:val="00EC32BE"/>
    <w:rsid w:val="00EC32C5"/>
    <w:rsid w:val="00EC32D5"/>
    <w:rsid w:val="00EC32F3"/>
    <w:rsid w:val="00EC3301"/>
    <w:rsid w:val="00EC3316"/>
    <w:rsid w:val="00EC3368"/>
    <w:rsid w:val="00EC3374"/>
    <w:rsid w:val="00EC3382"/>
    <w:rsid w:val="00EC3393"/>
    <w:rsid w:val="00EC33B2"/>
    <w:rsid w:val="00EC33CC"/>
    <w:rsid w:val="00EC33D5"/>
    <w:rsid w:val="00EC33F2"/>
    <w:rsid w:val="00EC33FF"/>
    <w:rsid w:val="00EC3432"/>
    <w:rsid w:val="00EC3474"/>
    <w:rsid w:val="00EC348B"/>
    <w:rsid w:val="00EC34EB"/>
    <w:rsid w:val="00EC3500"/>
    <w:rsid w:val="00EC3512"/>
    <w:rsid w:val="00EC353F"/>
    <w:rsid w:val="00EC354E"/>
    <w:rsid w:val="00EC3579"/>
    <w:rsid w:val="00EC357A"/>
    <w:rsid w:val="00EC35AD"/>
    <w:rsid w:val="00EC35E0"/>
    <w:rsid w:val="00EC3602"/>
    <w:rsid w:val="00EC362D"/>
    <w:rsid w:val="00EC36A0"/>
    <w:rsid w:val="00EC36AB"/>
    <w:rsid w:val="00EC3707"/>
    <w:rsid w:val="00EC374F"/>
    <w:rsid w:val="00EC38D4"/>
    <w:rsid w:val="00EC394B"/>
    <w:rsid w:val="00EC395B"/>
    <w:rsid w:val="00EC398A"/>
    <w:rsid w:val="00EC3994"/>
    <w:rsid w:val="00EC399A"/>
    <w:rsid w:val="00EC39B4"/>
    <w:rsid w:val="00EC39BB"/>
    <w:rsid w:val="00EC39E2"/>
    <w:rsid w:val="00EC39F5"/>
    <w:rsid w:val="00EC3A80"/>
    <w:rsid w:val="00EC3AB3"/>
    <w:rsid w:val="00EC3AFA"/>
    <w:rsid w:val="00EC3B24"/>
    <w:rsid w:val="00EC3BB1"/>
    <w:rsid w:val="00EC3BB3"/>
    <w:rsid w:val="00EC3BC1"/>
    <w:rsid w:val="00EC3BC5"/>
    <w:rsid w:val="00EC3C0B"/>
    <w:rsid w:val="00EC3C11"/>
    <w:rsid w:val="00EC3C23"/>
    <w:rsid w:val="00EC3CE7"/>
    <w:rsid w:val="00EC3D33"/>
    <w:rsid w:val="00EC3DAA"/>
    <w:rsid w:val="00EC3E2D"/>
    <w:rsid w:val="00EC3EA2"/>
    <w:rsid w:val="00EC3ED3"/>
    <w:rsid w:val="00EC3F64"/>
    <w:rsid w:val="00EC3F93"/>
    <w:rsid w:val="00EC3FFF"/>
    <w:rsid w:val="00EC4013"/>
    <w:rsid w:val="00EC4043"/>
    <w:rsid w:val="00EC408D"/>
    <w:rsid w:val="00EC40AC"/>
    <w:rsid w:val="00EC4111"/>
    <w:rsid w:val="00EC4145"/>
    <w:rsid w:val="00EC41BD"/>
    <w:rsid w:val="00EC4228"/>
    <w:rsid w:val="00EC422B"/>
    <w:rsid w:val="00EC42AB"/>
    <w:rsid w:val="00EC42B4"/>
    <w:rsid w:val="00EC42E2"/>
    <w:rsid w:val="00EC4309"/>
    <w:rsid w:val="00EC4366"/>
    <w:rsid w:val="00EC4389"/>
    <w:rsid w:val="00EC43CD"/>
    <w:rsid w:val="00EC43DE"/>
    <w:rsid w:val="00EC4467"/>
    <w:rsid w:val="00EC44B7"/>
    <w:rsid w:val="00EC45B2"/>
    <w:rsid w:val="00EC460E"/>
    <w:rsid w:val="00EC463A"/>
    <w:rsid w:val="00EC4643"/>
    <w:rsid w:val="00EC465D"/>
    <w:rsid w:val="00EC4773"/>
    <w:rsid w:val="00EC479B"/>
    <w:rsid w:val="00EC4825"/>
    <w:rsid w:val="00EC4839"/>
    <w:rsid w:val="00EC488E"/>
    <w:rsid w:val="00EC496C"/>
    <w:rsid w:val="00EC4A1D"/>
    <w:rsid w:val="00EC4A20"/>
    <w:rsid w:val="00EC4A29"/>
    <w:rsid w:val="00EC4AAF"/>
    <w:rsid w:val="00EC4B08"/>
    <w:rsid w:val="00EC4B50"/>
    <w:rsid w:val="00EC4B80"/>
    <w:rsid w:val="00EC4BAB"/>
    <w:rsid w:val="00EC4BEA"/>
    <w:rsid w:val="00EC4C11"/>
    <w:rsid w:val="00EC4C7E"/>
    <w:rsid w:val="00EC4CCC"/>
    <w:rsid w:val="00EC4CFD"/>
    <w:rsid w:val="00EC4D51"/>
    <w:rsid w:val="00EC4E2A"/>
    <w:rsid w:val="00EC4E85"/>
    <w:rsid w:val="00EC4E89"/>
    <w:rsid w:val="00EC4E8C"/>
    <w:rsid w:val="00EC4ECB"/>
    <w:rsid w:val="00EC4F0F"/>
    <w:rsid w:val="00EC4F19"/>
    <w:rsid w:val="00EC4F1B"/>
    <w:rsid w:val="00EC4F4C"/>
    <w:rsid w:val="00EC4FAD"/>
    <w:rsid w:val="00EC4FDE"/>
    <w:rsid w:val="00EC4FE1"/>
    <w:rsid w:val="00EC4FE5"/>
    <w:rsid w:val="00EC4FE6"/>
    <w:rsid w:val="00EC5006"/>
    <w:rsid w:val="00EC5061"/>
    <w:rsid w:val="00EC5083"/>
    <w:rsid w:val="00EC5099"/>
    <w:rsid w:val="00EC509D"/>
    <w:rsid w:val="00EC51D8"/>
    <w:rsid w:val="00EC5238"/>
    <w:rsid w:val="00EC52D5"/>
    <w:rsid w:val="00EC52E9"/>
    <w:rsid w:val="00EC53C1"/>
    <w:rsid w:val="00EC5456"/>
    <w:rsid w:val="00EC5469"/>
    <w:rsid w:val="00EC549F"/>
    <w:rsid w:val="00EC54A6"/>
    <w:rsid w:val="00EC54CC"/>
    <w:rsid w:val="00EC54D3"/>
    <w:rsid w:val="00EC54E9"/>
    <w:rsid w:val="00EC54FD"/>
    <w:rsid w:val="00EC55A4"/>
    <w:rsid w:val="00EC5621"/>
    <w:rsid w:val="00EC565B"/>
    <w:rsid w:val="00EC56BC"/>
    <w:rsid w:val="00EC5703"/>
    <w:rsid w:val="00EC577E"/>
    <w:rsid w:val="00EC57EA"/>
    <w:rsid w:val="00EC5835"/>
    <w:rsid w:val="00EC584E"/>
    <w:rsid w:val="00EC58CF"/>
    <w:rsid w:val="00EC58FA"/>
    <w:rsid w:val="00EC590D"/>
    <w:rsid w:val="00EC5B2B"/>
    <w:rsid w:val="00EC5B97"/>
    <w:rsid w:val="00EC5BCB"/>
    <w:rsid w:val="00EC5C66"/>
    <w:rsid w:val="00EC5C67"/>
    <w:rsid w:val="00EC5D33"/>
    <w:rsid w:val="00EC5D5B"/>
    <w:rsid w:val="00EC5DA1"/>
    <w:rsid w:val="00EC5E07"/>
    <w:rsid w:val="00EC5E0A"/>
    <w:rsid w:val="00EC5E56"/>
    <w:rsid w:val="00EC5E72"/>
    <w:rsid w:val="00EC5EB8"/>
    <w:rsid w:val="00EC5ECD"/>
    <w:rsid w:val="00EC5F58"/>
    <w:rsid w:val="00EC5F65"/>
    <w:rsid w:val="00EC5F9D"/>
    <w:rsid w:val="00EC5FB4"/>
    <w:rsid w:val="00EC5FFF"/>
    <w:rsid w:val="00EC603F"/>
    <w:rsid w:val="00EC606F"/>
    <w:rsid w:val="00EC614A"/>
    <w:rsid w:val="00EC61A4"/>
    <w:rsid w:val="00EC61BC"/>
    <w:rsid w:val="00EC61C9"/>
    <w:rsid w:val="00EC61E4"/>
    <w:rsid w:val="00EC6247"/>
    <w:rsid w:val="00EC6263"/>
    <w:rsid w:val="00EC6265"/>
    <w:rsid w:val="00EC62C1"/>
    <w:rsid w:val="00EC6336"/>
    <w:rsid w:val="00EC6353"/>
    <w:rsid w:val="00EC6356"/>
    <w:rsid w:val="00EC6399"/>
    <w:rsid w:val="00EC63F1"/>
    <w:rsid w:val="00EC640E"/>
    <w:rsid w:val="00EC644D"/>
    <w:rsid w:val="00EC644F"/>
    <w:rsid w:val="00EC6460"/>
    <w:rsid w:val="00EC6484"/>
    <w:rsid w:val="00EC6519"/>
    <w:rsid w:val="00EC6547"/>
    <w:rsid w:val="00EC657B"/>
    <w:rsid w:val="00EC657D"/>
    <w:rsid w:val="00EC65AA"/>
    <w:rsid w:val="00EC65BB"/>
    <w:rsid w:val="00EC661C"/>
    <w:rsid w:val="00EC6677"/>
    <w:rsid w:val="00EC66AF"/>
    <w:rsid w:val="00EC66DE"/>
    <w:rsid w:val="00EC66E6"/>
    <w:rsid w:val="00EC671A"/>
    <w:rsid w:val="00EC6721"/>
    <w:rsid w:val="00EC6793"/>
    <w:rsid w:val="00EC67FA"/>
    <w:rsid w:val="00EC6826"/>
    <w:rsid w:val="00EC6972"/>
    <w:rsid w:val="00EC6994"/>
    <w:rsid w:val="00EC6A3A"/>
    <w:rsid w:val="00EC6A41"/>
    <w:rsid w:val="00EC6A44"/>
    <w:rsid w:val="00EC6A4E"/>
    <w:rsid w:val="00EC6A52"/>
    <w:rsid w:val="00EC6A8E"/>
    <w:rsid w:val="00EC6AAA"/>
    <w:rsid w:val="00EC6B4C"/>
    <w:rsid w:val="00EC6B85"/>
    <w:rsid w:val="00EC6BC5"/>
    <w:rsid w:val="00EC6BF7"/>
    <w:rsid w:val="00EC6C14"/>
    <w:rsid w:val="00EC6C58"/>
    <w:rsid w:val="00EC6CB0"/>
    <w:rsid w:val="00EC6CB2"/>
    <w:rsid w:val="00EC6CC1"/>
    <w:rsid w:val="00EC6CF4"/>
    <w:rsid w:val="00EC6D43"/>
    <w:rsid w:val="00EC6D54"/>
    <w:rsid w:val="00EC6DAD"/>
    <w:rsid w:val="00EC6DCC"/>
    <w:rsid w:val="00EC6DFD"/>
    <w:rsid w:val="00EC6E15"/>
    <w:rsid w:val="00EC6EAA"/>
    <w:rsid w:val="00EC6ED6"/>
    <w:rsid w:val="00EC6EDA"/>
    <w:rsid w:val="00EC6EE0"/>
    <w:rsid w:val="00EC6EEF"/>
    <w:rsid w:val="00EC6F08"/>
    <w:rsid w:val="00EC6F3E"/>
    <w:rsid w:val="00EC6F73"/>
    <w:rsid w:val="00EC6F97"/>
    <w:rsid w:val="00EC704E"/>
    <w:rsid w:val="00EC7064"/>
    <w:rsid w:val="00EC70AB"/>
    <w:rsid w:val="00EC70C5"/>
    <w:rsid w:val="00EC711B"/>
    <w:rsid w:val="00EC7150"/>
    <w:rsid w:val="00EC715E"/>
    <w:rsid w:val="00EC7175"/>
    <w:rsid w:val="00EC71AE"/>
    <w:rsid w:val="00EC71F5"/>
    <w:rsid w:val="00EC721F"/>
    <w:rsid w:val="00EC7238"/>
    <w:rsid w:val="00EC725C"/>
    <w:rsid w:val="00EC7286"/>
    <w:rsid w:val="00EC72AE"/>
    <w:rsid w:val="00EC72C4"/>
    <w:rsid w:val="00EC72D8"/>
    <w:rsid w:val="00EC733C"/>
    <w:rsid w:val="00EC7382"/>
    <w:rsid w:val="00EC73D7"/>
    <w:rsid w:val="00EC7439"/>
    <w:rsid w:val="00EC746F"/>
    <w:rsid w:val="00EC7472"/>
    <w:rsid w:val="00EC74E4"/>
    <w:rsid w:val="00EC74FD"/>
    <w:rsid w:val="00EC751C"/>
    <w:rsid w:val="00EC7533"/>
    <w:rsid w:val="00EC753B"/>
    <w:rsid w:val="00EC7574"/>
    <w:rsid w:val="00EC7582"/>
    <w:rsid w:val="00EC7706"/>
    <w:rsid w:val="00EC7715"/>
    <w:rsid w:val="00EC7758"/>
    <w:rsid w:val="00EC7771"/>
    <w:rsid w:val="00EC7797"/>
    <w:rsid w:val="00EC77F5"/>
    <w:rsid w:val="00EC7800"/>
    <w:rsid w:val="00EC7808"/>
    <w:rsid w:val="00EC780D"/>
    <w:rsid w:val="00EC784C"/>
    <w:rsid w:val="00EC7868"/>
    <w:rsid w:val="00EC78ED"/>
    <w:rsid w:val="00EC7904"/>
    <w:rsid w:val="00EC7906"/>
    <w:rsid w:val="00EC792B"/>
    <w:rsid w:val="00EC7965"/>
    <w:rsid w:val="00EC79A9"/>
    <w:rsid w:val="00EC7A4C"/>
    <w:rsid w:val="00EC7A7E"/>
    <w:rsid w:val="00EC7ACE"/>
    <w:rsid w:val="00EC7AE0"/>
    <w:rsid w:val="00EC7B26"/>
    <w:rsid w:val="00EC7B66"/>
    <w:rsid w:val="00EC7B94"/>
    <w:rsid w:val="00EC7BBF"/>
    <w:rsid w:val="00EC7BDC"/>
    <w:rsid w:val="00EC7CD7"/>
    <w:rsid w:val="00EC7D54"/>
    <w:rsid w:val="00EC7E1D"/>
    <w:rsid w:val="00EC7E9B"/>
    <w:rsid w:val="00EC7EA9"/>
    <w:rsid w:val="00EC7EEC"/>
    <w:rsid w:val="00EC7F01"/>
    <w:rsid w:val="00EC7F09"/>
    <w:rsid w:val="00EC7F28"/>
    <w:rsid w:val="00EC7F5D"/>
    <w:rsid w:val="00EC7FA9"/>
    <w:rsid w:val="00ED005A"/>
    <w:rsid w:val="00ED0060"/>
    <w:rsid w:val="00ED00C2"/>
    <w:rsid w:val="00ED00C9"/>
    <w:rsid w:val="00ED0286"/>
    <w:rsid w:val="00ED02CA"/>
    <w:rsid w:val="00ED02F5"/>
    <w:rsid w:val="00ED0317"/>
    <w:rsid w:val="00ED033D"/>
    <w:rsid w:val="00ED03AA"/>
    <w:rsid w:val="00ED03D6"/>
    <w:rsid w:val="00ED03FB"/>
    <w:rsid w:val="00ED0444"/>
    <w:rsid w:val="00ED0483"/>
    <w:rsid w:val="00ED0506"/>
    <w:rsid w:val="00ED0516"/>
    <w:rsid w:val="00ED0555"/>
    <w:rsid w:val="00ED05CC"/>
    <w:rsid w:val="00ED05CF"/>
    <w:rsid w:val="00ED05EB"/>
    <w:rsid w:val="00ED061B"/>
    <w:rsid w:val="00ED07AE"/>
    <w:rsid w:val="00ED07BA"/>
    <w:rsid w:val="00ED0828"/>
    <w:rsid w:val="00ED084C"/>
    <w:rsid w:val="00ED08A7"/>
    <w:rsid w:val="00ED08C5"/>
    <w:rsid w:val="00ED08F2"/>
    <w:rsid w:val="00ED0905"/>
    <w:rsid w:val="00ED0922"/>
    <w:rsid w:val="00ED0933"/>
    <w:rsid w:val="00ED0943"/>
    <w:rsid w:val="00ED0967"/>
    <w:rsid w:val="00ED096F"/>
    <w:rsid w:val="00ED097A"/>
    <w:rsid w:val="00ED09D2"/>
    <w:rsid w:val="00ED0A41"/>
    <w:rsid w:val="00ED0A64"/>
    <w:rsid w:val="00ED0A73"/>
    <w:rsid w:val="00ED0ABB"/>
    <w:rsid w:val="00ED0AEC"/>
    <w:rsid w:val="00ED0B43"/>
    <w:rsid w:val="00ED0B70"/>
    <w:rsid w:val="00ED0B9B"/>
    <w:rsid w:val="00ED0BAC"/>
    <w:rsid w:val="00ED0BB2"/>
    <w:rsid w:val="00ED0BD6"/>
    <w:rsid w:val="00ED0C71"/>
    <w:rsid w:val="00ED0C95"/>
    <w:rsid w:val="00ED0CA3"/>
    <w:rsid w:val="00ED0D04"/>
    <w:rsid w:val="00ED0D46"/>
    <w:rsid w:val="00ED0D88"/>
    <w:rsid w:val="00ED0D94"/>
    <w:rsid w:val="00ED0DF3"/>
    <w:rsid w:val="00ED0E36"/>
    <w:rsid w:val="00ED0E44"/>
    <w:rsid w:val="00ED0ED8"/>
    <w:rsid w:val="00ED0EF2"/>
    <w:rsid w:val="00ED0F09"/>
    <w:rsid w:val="00ED0F57"/>
    <w:rsid w:val="00ED0F5A"/>
    <w:rsid w:val="00ED0F98"/>
    <w:rsid w:val="00ED0FB3"/>
    <w:rsid w:val="00ED0FD6"/>
    <w:rsid w:val="00ED0FF1"/>
    <w:rsid w:val="00ED1012"/>
    <w:rsid w:val="00ED1016"/>
    <w:rsid w:val="00ED10BD"/>
    <w:rsid w:val="00ED1114"/>
    <w:rsid w:val="00ED1130"/>
    <w:rsid w:val="00ED1132"/>
    <w:rsid w:val="00ED1191"/>
    <w:rsid w:val="00ED119A"/>
    <w:rsid w:val="00ED122C"/>
    <w:rsid w:val="00ED12DF"/>
    <w:rsid w:val="00ED1355"/>
    <w:rsid w:val="00ED13C8"/>
    <w:rsid w:val="00ED140B"/>
    <w:rsid w:val="00ED141F"/>
    <w:rsid w:val="00ED14DA"/>
    <w:rsid w:val="00ED150C"/>
    <w:rsid w:val="00ED1552"/>
    <w:rsid w:val="00ED159B"/>
    <w:rsid w:val="00ED15B4"/>
    <w:rsid w:val="00ED15F5"/>
    <w:rsid w:val="00ED15FA"/>
    <w:rsid w:val="00ED1632"/>
    <w:rsid w:val="00ED1662"/>
    <w:rsid w:val="00ED1668"/>
    <w:rsid w:val="00ED1674"/>
    <w:rsid w:val="00ED169E"/>
    <w:rsid w:val="00ED16BC"/>
    <w:rsid w:val="00ED16F1"/>
    <w:rsid w:val="00ED1743"/>
    <w:rsid w:val="00ED175E"/>
    <w:rsid w:val="00ED1767"/>
    <w:rsid w:val="00ED17DF"/>
    <w:rsid w:val="00ED1813"/>
    <w:rsid w:val="00ED1823"/>
    <w:rsid w:val="00ED189F"/>
    <w:rsid w:val="00ED18C5"/>
    <w:rsid w:val="00ED18E2"/>
    <w:rsid w:val="00ED1921"/>
    <w:rsid w:val="00ED192E"/>
    <w:rsid w:val="00ED193B"/>
    <w:rsid w:val="00ED198B"/>
    <w:rsid w:val="00ED1995"/>
    <w:rsid w:val="00ED1A23"/>
    <w:rsid w:val="00ED1BB2"/>
    <w:rsid w:val="00ED1BDF"/>
    <w:rsid w:val="00ED1C42"/>
    <w:rsid w:val="00ED1C48"/>
    <w:rsid w:val="00ED1CB2"/>
    <w:rsid w:val="00ED1CD4"/>
    <w:rsid w:val="00ED1CF9"/>
    <w:rsid w:val="00ED1D1A"/>
    <w:rsid w:val="00ED1D2D"/>
    <w:rsid w:val="00ED1D37"/>
    <w:rsid w:val="00ED1D4B"/>
    <w:rsid w:val="00ED1E24"/>
    <w:rsid w:val="00ED1E32"/>
    <w:rsid w:val="00ED1E3F"/>
    <w:rsid w:val="00ED1E4A"/>
    <w:rsid w:val="00ED1E64"/>
    <w:rsid w:val="00ED1E67"/>
    <w:rsid w:val="00ED1EA3"/>
    <w:rsid w:val="00ED1FA9"/>
    <w:rsid w:val="00ED1FCA"/>
    <w:rsid w:val="00ED1FF8"/>
    <w:rsid w:val="00ED1FFA"/>
    <w:rsid w:val="00ED200F"/>
    <w:rsid w:val="00ED2049"/>
    <w:rsid w:val="00ED2051"/>
    <w:rsid w:val="00ED2061"/>
    <w:rsid w:val="00ED2089"/>
    <w:rsid w:val="00ED208F"/>
    <w:rsid w:val="00ED2097"/>
    <w:rsid w:val="00ED20CF"/>
    <w:rsid w:val="00ED20FD"/>
    <w:rsid w:val="00ED211D"/>
    <w:rsid w:val="00ED21BA"/>
    <w:rsid w:val="00ED21EA"/>
    <w:rsid w:val="00ED2227"/>
    <w:rsid w:val="00ED22C1"/>
    <w:rsid w:val="00ED22EA"/>
    <w:rsid w:val="00ED22FC"/>
    <w:rsid w:val="00ED2313"/>
    <w:rsid w:val="00ED232B"/>
    <w:rsid w:val="00ED2376"/>
    <w:rsid w:val="00ED23A7"/>
    <w:rsid w:val="00ED2419"/>
    <w:rsid w:val="00ED24E0"/>
    <w:rsid w:val="00ED2530"/>
    <w:rsid w:val="00ED25AE"/>
    <w:rsid w:val="00ED2608"/>
    <w:rsid w:val="00ED261B"/>
    <w:rsid w:val="00ED26BE"/>
    <w:rsid w:val="00ED2757"/>
    <w:rsid w:val="00ED2764"/>
    <w:rsid w:val="00ED2879"/>
    <w:rsid w:val="00ED288D"/>
    <w:rsid w:val="00ED28E1"/>
    <w:rsid w:val="00ED295B"/>
    <w:rsid w:val="00ED2970"/>
    <w:rsid w:val="00ED2984"/>
    <w:rsid w:val="00ED29DE"/>
    <w:rsid w:val="00ED2A70"/>
    <w:rsid w:val="00ED2A80"/>
    <w:rsid w:val="00ED2A8A"/>
    <w:rsid w:val="00ED2AA0"/>
    <w:rsid w:val="00ED2AE3"/>
    <w:rsid w:val="00ED2B6B"/>
    <w:rsid w:val="00ED2B8B"/>
    <w:rsid w:val="00ED2BA3"/>
    <w:rsid w:val="00ED2BB7"/>
    <w:rsid w:val="00ED2C15"/>
    <w:rsid w:val="00ED2C3C"/>
    <w:rsid w:val="00ED2C77"/>
    <w:rsid w:val="00ED2CF1"/>
    <w:rsid w:val="00ED2D08"/>
    <w:rsid w:val="00ED2D0A"/>
    <w:rsid w:val="00ED2D2F"/>
    <w:rsid w:val="00ED2D8E"/>
    <w:rsid w:val="00ED2DBD"/>
    <w:rsid w:val="00ED2DF2"/>
    <w:rsid w:val="00ED2E67"/>
    <w:rsid w:val="00ED2EDF"/>
    <w:rsid w:val="00ED2F0A"/>
    <w:rsid w:val="00ED2F74"/>
    <w:rsid w:val="00ED3097"/>
    <w:rsid w:val="00ED30D9"/>
    <w:rsid w:val="00ED310D"/>
    <w:rsid w:val="00ED3120"/>
    <w:rsid w:val="00ED3140"/>
    <w:rsid w:val="00ED3184"/>
    <w:rsid w:val="00ED31C7"/>
    <w:rsid w:val="00ED31CC"/>
    <w:rsid w:val="00ED31E3"/>
    <w:rsid w:val="00ED3214"/>
    <w:rsid w:val="00ED3223"/>
    <w:rsid w:val="00ED3225"/>
    <w:rsid w:val="00ED3232"/>
    <w:rsid w:val="00ED334F"/>
    <w:rsid w:val="00ED3369"/>
    <w:rsid w:val="00ED33C8"/>
    <w:rsid w:val="00ED3434"/>
    <w:rsid w:val="00ED3461"/>
    <w:rsid w:val="00ED346E"/>
    <w:rsid w:val="00ED34A0"/>
    <w:rsid w:val="00ED34C3"/>
    <w:rsid w:val="00ED34D2"/>
    <w:rsid w:val="00ED34DA"/>
    <w:rsid w:val="00ED3505"/>
    <w:rsid w:val="00ED350A"/>
    <w:rsid w:val="00ED3558"/>
    <w:rsid w:val="00ED357B"/>
    <w:rsid w:val="00ED35DC"/>
    <w:rsid w:val="00ED360A"/>
    <w:rsid w:val="00ED3651"/>
    <w:rsid w:val="00ED365E"/>
    <w:rsid w:val="00ED369A"/>
    <w:rsid w:val="00ED369E"/>
    <w:rsid w:val="00ED36F8"/>
    <w:rsid w:val="00ED377E"/>
    <w:rsid w:val="00ED37B7"/>
    <w:rsid w:val="00ED37CB"/>
    <w:rsid w:val="00ED37F7"/>
    <w:rsid w:val="00ED382D"/>
    <w:rsid w:val="00ED3839"/>
    <w:rsid w:val="00ED3849"/>
    <w:rsid w:val="00ED384F"/>
    <w:rsid w:val="00ED3852"/>
    <w:rsid w:val="00ED3864"/>
    <w:rsid w:val="00ED38B3"/>
    <w:rsid w:val="00ED38B8"/>
    <w:rsid w:val="00ED395B"/>
    <w:rsid w:val="00ED397B"/>
    <w:rsid w:val="00ED3980"/>
    <w:rsid w:val="00ED3A33"/>
    <w:rsid w:val="00ED3A45"/>
    <w:rsid w:val="00ED3A86"/>
    <w:rsid w:val="00ED3A9B"/>
    <w:rsid w:val="00ED3B3D"/>
    <w:rsid w:val="00ED3BB7"/>
    <w:rsid w:val="00ED3BB9"/>
    <w:rsid w:val="00ED3C31"/>
    <w:rsid w:val="00ED3CB5"/>
    <w:rsid w:val="00ED3CE3"/>
    <w:rsid w:val="00ED3CF9"/>
    <w:rsid w:val="00ED3D8C"/>
    <w:rsid w:val="00ED3D95"/>
    <w:rsid w:val="00ED3DB8"/>
    <w:rsid w:val="00ED3E6F"/>
    <w:rsid w:val="00ED3F2E"/>
    <w:rsid w:val="00ED3F4A"/>
    <w:rsid w:val="00ED3F55"/>
    <w:rsid w:val="00ED3F5E"/>
    <w:rsid w:val="00ED3F65"/>
    <w:rsid w:val="00ED3F93"/>
    <w:rsid w:val="00ED3FD8"/>
    <w:rsid w:val="00ED400C"/>
    <w:rsid w:val="00ED4011"/>
    <w:rsid w:val="00ED4045"/>
    <w:rsid w:val="00ED4048"/>
    <w:rsid w:val="00ED4088"/>
    <w:rsid w:val="00ED40D3"/>
    <w:rsid w:val="00ED40E8"/>
    <w:rsid w:val="00ED4113"/>
    <w:rsid w:val="00ED4131"/>
    <w:rsid w:val="00ED4138"/>
    <w:rsid w:val="00ED4141"/>
    <w:rsid w:val="00ED4144"/>
    <w:rsid w:val="00ED4174"/>
    <w:rsid w:val="00ED4177"/>
    <w:rsid w:val="00ED41F7"/>
    <w:rsid w:val="00ED42B2"/>
    <w:rsid w:val="00ED42E0"/>
    <w:rsid w:val="00ED430C"/>
    <w:rsid w:val="00ED43A5"/>
    <w:rsid w:val="00ED43DD"/>
    <w:rsid w:val="00ED4458"/>
    <w:rsid w:val="00ED447B"/>
    <w:rsid w:val="00ED44B7"/>
    <w:rsid w:val="00ED4566"/>
    <w:rsid w:val="00ED45BF"/>
    <w:rsid w:val="00ED45CE"/>
    <w:rsid w:val="00ED45DC"/>
    <w:rsid w:val="00ED45F7"/>
    <w:rsid w:val="00ED4650"/>
    <w:rsid w:val="00ED468D"/>
    <w:rsid w:val="00ED478E"/>
    <w:rsid w:val="00ED4822"/>
    <w:rsid w:val="00ED4888"/>
    <w:rsid w:val="00ED48D1"/>
    <w:rsid w:val="00ED4947"/>
    <w:rsid w:val="00ED49D4"/>
    <w:rsid w:val="00ED49E9"/>
    <w:rsid w:val="00ED4A13"/>
    <w:rsid w:val="00ED4A55"/>
    <w:rsid w:val="00ED4A64"/>
    <w:rsid w:val="00ED4A80"/>
    <w:rsid w:val="00ED4AAB"/>
    <w:rsid w:val="00ED4B75"/>
    <w:rsid w:val="00ED4BCF"/>
    <w:rsid w:val="00ED4BDA"/>
    <w:rsid w:val="00ED4C1F"/>
    <w:rsid w:val="00ED4C58"/>
    <w:rsid w:val="00ED4C5C"/>
    <w:rsid w:val="00ED4C65"/>
    <w:rsid w:val="00ED4C73"/>
    <w:rsid w:val="00ED4C91"/>
    <w:rsid w:val="00ED4C9B"/>
    <w:rsid w:val="00ED4DA1"/>
    <w:rsid w:val="00ED4DC1"/>
    <w:rsid w:val="00ED4E0E"/>
    <w:rsid w:val="00ED4E20"/>
    <w:rsid w:val="00ED4E40"/>
    <w:rsid w:val="00ED4E95"/>
    <w:rsid w:val="00ED4ED1"/>
    <w:rsid w:val="00ED4EE9"/>
    <w:rsid w:val="00ED4F3D"/>
    <w:rsid w:val="00ED4F63"/>
    <w:rsid w:val="00ED4F7A"/>
    <w:rsid w:val="00ED4FAE"/>
    <w:rsid w:val="00ED4FE6"/>
    <w:rsid w:val="00ED4FF8"/>
    <w:rsid w:val="00ED5007"/>
    <w:rsid w:val="00ED502C"/>
    <w:rsid w:val="00ED503B"/>
    <w:rsid w:val="00ED5075"/>
    <w:rsid w:val="00ED50A3"/>
    <w:rsid w:val="00ED50C2"/>
    <w:rsid w:val="00ED5173"/>
    <w:rsid w:val="00ED51B3"/>
    <w:rsid w:val="00ED51C6"/>
    <w:rsid w:val="00ED5202"/>
    <w:rsid w:val="00ED5240"/>
    <w:rsid w:val="00ED52CB"/>
    <w:rsid w:val="00ED5306"/>
    <w:rsid w:val="00ED5370"/>
    <w:rsid w:val="00ED5409"/>
    <w:rsid w:val="00ED5411"/>
    <w:rsid w:val="00ED5415"/>
    <w:rsid w:val="00ED5429"/>
    <w:rsid w:val="00ED5471"/>
    <w:rsid w:val="00ED548A"/>
    <w:rsid w:val="00ED54C4"/>
    <w:rsid w:val="00ED5561"/>
    <w:rsid w:val="00ED55E4"/>
    <w:rsid w:val="00ED56B8"/>
    <w:rsid w:val="00ED56D8"/>
    <w:rsid w:val="00ED56E5"/>
    <w:rsid w:val="00ED56F3"/>
    <w:rsid w:val="00ED576B"/>
    <w:rsid w:val="00ED5776"/>
    <w:rsid w:val="00ED577C"/>
    <w:rsid w:val="00ED579A"/>
    <w:rsid w:val="00ED5803"/>
    <w:rsid w:val="00ED5833"/>
    <w:rsid w:val="00ED584A"/>
    <w:rsid w:val="00ED58F9"/>
    <w:rsid w:val="00ED590C"/>
    <w:rsid w:val="00ED59AD"/>
    <w:rsid w:val="00ED5A6D"/>
    <w:rsid w:val="00ED5A8C"/>
    <w:rsid w:val="00ED5A97"/>
    <w:rsid w:val="00ED5A9E"/>
    <w:rsid w:val="00ED5AAB"/>
    <w:rsid w:val="00ED5AAF"/>
    <w:rsid w:val="00ED5AE1"/>
    <w:rsid w:val="00ED5AE3"/>
    <w:rsid w:val="00ED5AF1"/>
    <w:rsid w:val="00ED5B36"/>
    <w:rsid w:val="00ED5B97"/>
    <w:rsid w:val="00ED5BA7"/>
    <w:rsid w:val="00ED5BE4"/>
    <w:rsid w:val="00ED5BFF"/>
    <w:rsid w:val="00ED5C2A"/>
    <w:rsid w:val="00ED5CE1"/>
    <w:rsid w:val="00ED5D5C"/>
    <w:rsid w:val="00ED5D66"/>
    <w:rsid w:val="00ED5DA4"/>
    <w:rsid w:val="00ED5DC4"/>
    <w:rsid w:val="00ED5DE8"/>
    <w:rsid w:val="00ED5DF0"/>
    <w:rsid w:val="00ED5E1B"/>
    <w:rsid w:val="00ED5EFE"/>
    <w:rsid w:val="00ED5F51"/>
    <w:rsid w:val="00ED5F8F"/>
    <w:rsid w:val="00ED5FAE"/>
    <w:rsid w:val="00ED5FB8"/>
    <w:rsid w:val="00ED5FCE"/>
    <w:rsid w:val="00ED5FE6"/>
    <w:rsid w:val="00ED60AD"/>
    <w:rsid w:val="00ED60B4"/>
    <w:rsid w:val="00ED60EA"/>
    <w:rsid w:val="00ED610B"/>
    <w:rsid w:val="00ED61D4"/>
    <w:rsid w:val="00ED61ED"/>
    <w:rsid w:val="00ED6229"/>
    <w:rsid w:val="00ED62C4"/>
    <w:rsid w:val="00ED62CC"/>
    <w:rsid w:val="00ED62D9"/>
    <w:rsid w:val="00ED63B4"/>
    <w:rsid w:val="00ED63DD"/>
    <w:rsid w:val="00ED63EB"/>
    <w:rsid w:val="00ED6403"/>
    <w:rsid w:val="00ED646A"/>
    <w:rsid w:val="00ED64B0"/>
    <w:rsid w:val="00ED6559"/>
    <w:rsid w:val="00ED6578"/>
    <w:rsid w:val="00ED660F"/>
    <w:rsid w:val="00ED6630"/>
    <w:rsid w:val="00ED663B"/>
    <w:rsid w:val="00ED6641"/>
    <w:rsid w:val="00ED664F"/>
    <w:rsid w:val="00ED66F0"/>
    <w:rsid w:val="00ED6718"/>
    <w:rsid w:val="00ED67C8"/>
    <w:rsid w:val="00ED67CA"/>
    <w:rsid w:val="00ED68D9"/>
    <w:rsid w:val="00ED68E5"/>
    <w:rsid w:val="00ED6911"/>
    <w:rsid w:val="00ED692D"/>
    <w:rsid w:val="00ED6974"/>
    <w:rsid w:val="00ED69D4"/>
    <w:rsid w:val="00ED6A08"/>
    <w:rsid w:val="00ED6A78"/>
    <w:rsid w:val="00ED6B23"/>
    <w:rsid w:val="00ED6B2E"/>
    <w:rsid w:val="00ED6B53"/>
    <w:rsid w:val="00ED6B5F"/>
    <w:rsid w:val="00ED6B70"/>
    <w:rsid w:val="00ED6C00"/>
    <w:rsid w:val="00ED6C02"/>
    <w:rsid w:val="00ED6C0B"/>
    <w:rsid w:val="00ED6C21"/>
    <w:rsid w:val="00ED6D7A"/>
    <w:rsid w:val="00ED6DB4"/>
    <w:rsid w:val="00ED6DB8"/>
    <w:rsid w:val="00ED6E15"/>
    <w:rsid w:val="00ED6EF7"/>
    <w:rsid w:val="00ED6F02"/>
    <w:rsid w:val="00ED6F21"/>
    <w:rsid w:val="00ED6FC0"/>
    <w:rsid w:val="00ED6FC7"/>
    <w:rsid w:val="00ED6FDB"/>
    <w:rsid w:val="00ED6FF2"/>
    <w:rsid w:val="00ED709A"/>
    <w:rsid w:val="00ED7103"/>
    <w:rsid w:val="00ED7142"/>
    <w:rsid w:val="00ED71B9"/>
    <w:rsid w:val="00ED7206"/>
    <w:rsid w:val="00ED722B"/>
    <w:rsid w:val="00ED7288"/>
    <w:rsid w:val="00ED72EA"/>
    <w:rsid w:val="00ED7327"/>
    <w:rsid w:val="00ED7330"/>
    <w:rsid w:val="00ED73AA"/>
    <w:rsid w:val="00ED73F2"/>
    <w:rsid w:val="00ED740F"/>
    <w:rsid w:val="00ED744D"/>
    <w:rsid w:val="00ED74EE"/>
    <w:rsid w:val="00ED7500"/>
    <w:rsid w:val="00ED7508"/>
    <w:rsid w:val="00ED750D"/>
    <w:rsid w:val="00ED7627"/>
    <w:rsid w:val="00ED76DC"/>
    <w:rsid w:val="00ED7706"/>
    <w:rsid w:val="00ED7709"/>
    <w:rsid w:val="00ED770F"/>
    <w:rsid w:val="00ED7758"/>
    <w:rsid w:val="00ED7801"/>
    <w:rsid w:val="00ED7811"/>
    <w:rsid w:val="00ED78F4"/>
    <w:rsid w:val="00ED7924"/>
    <w:rsid w:val="00ED795A"/>
    <w:rsid w:val="00ED79BE"/>
    <w:rsid w:val="00ED79C2"/>
    <w:rsid w:val="00ED79D8"/>
    <w:rsid w:val="00ED7A32"/>
    <w:rsid w:val="00ED7A5C"/>
    <w:rsid w:val="00ED7A9D"/>
    <w:rsid w:val="00ED7AC4"/>
    <w:rsid w:val="00ED7ACB"/>
    <w:rsid w:val="00ED7AE9"/>
    <w:rsid w:val="00ED7B3D"/>
    <w:rsid w:val="00ED7B74"/>
    <w:rsid w:val="00ED7BF0"/>
    <w:rsid w:val="00ED7C59"/>
    <w:rsid w:val="00ED7C5E"/>
    <w:rsid w:val="00ED7C82"/>
    <w:rsid w:val="00ED7CAA"/>
    <w:rsid w:val="00ED7CCB"/>
    <w:rsid w:val="00ED7CF7"/>
    <w:rsid w:val="00ED7D14"/>
    <w:rsid w:val="00ED7E0A"/>
    <w:rsid w:val="00ED7E39"/>
    <w:rsid w:val="00ED7EAF"/>
    <w:rsid w:val="00ED7EB9"/>
    <w:rsid w:val="00ED7EC1"/>
    <w:rsid w:val="00ED7ED6"/>
    <w:rsid w:val="00ED7F9D"/>
    <w:rsid w:val="00ED7FB5"/>
    <w:rsid w:val="00ED7FD2"/>
    <w:rsid w:val="00EE0003"/>
    <w:rsid w:val="00EE0027"/>
    <w:rsid w:val="00EE0085"/>
    <w:rsid w:val="00EE009F"/>
    <w:rsid w:val="00EE00A6"/>
    <w:rsid w:val="00EE00AD"/>
    <w:rsid w:val="00EE00C1"/>
    <w:rsid w:val="00EE00C4"/>
    <w:rsid w:val="00EE00E6"/>
    <w:rsid w:val="00EE00F5"/>
    <w:rsid w:val="00EE011C"/>
    <w:rsid w:val="00EE0174"/>
    <w:rsid w:val="00EE01A2"/>
    <w:rsid w:val="00EE01C8"/>
    <w:rsid w:val="00EE0264"/>
    <w:rsid w:val="00EE0268"/>
    <w:rsid w:val="00EE02EF"/>
    <w:rsid w:val="00EE033B"/>
    <w:rsid w:val="00EE035F"/>
    <w:rsid w:val="00EE03D6"/>
    <w:rsid w:val="00EE0403"/>
    <w:rsid w:val="00EE0468"/>
    <w:rsid w:val="00EE04C7"/>
    <w:rsid w:val="00EE055A"/>
    <w:rsid w:val="00EE0592"/>
    <w:rsid w:val="00EE05C0"/>
    <w:rsid w:val="00EE05D4"/>
    <w:rsid w:val="00EE05FA"/>
    <w:rsid w:val="00EE0652"/>
    <w:rsid w:val="00EE06F4"/>
    <w:rsid w:val="00EE06FE"/>
    <w:rsid w:val="00EE0786"/>
    <w:rsid w:val="00EE078F"/>
    <w:rsid w:val="00EE07F9"/>
    <w:rsid w:val="00EE0809"/>
    <w:rsid w:val="00EE08B0"/>
    <w:rsid w:val="00EE09A2"/>
    <w:rsid w:val="00EE09D1"/>
    <w:rsid w:val="00EE0A67"/>
    <w:rsid w:val="00EE0A77"/>
    <w:rsid w:val="00EE0A97"/>
    <w:rsid w:val="00EE0B27"/>
    <w:rsid w:val="00EE0B2F"/>
    <w:rsid w:val="00EE0B3A"/>
    <w:rsid w:val="00EE0B72"/>
    <w:rsid w:val="00EE0B9F"/>
    <w:rsid w:val="00EE0C89"/>
    <w:rsid w:val="00EE0CB8"/>
    <w:rsid w:val="00EE0CCC"/>
    <w:rsid w:val="00EE0D27"/>
    <w:rsid w:val="00EE0D54"/>
    <w:rsid w:val="00EE0DB1"/>
    <w:rsid w:val="00EE0E63"/>
    <w:rsid w:val="00EE0E7C"/>
    <w:rsid w:val="00EE0E95"/>
    <w:rsid w:val="00EE0EEB"/>
    <w:rsid w:val="00EE0EED"/>
    <w:rsid w:val="00EE0F5A"/>
    <w:rsid w:val="00EE0FA3"/>
    <w:rsid w:val="00EE0FD6"/>
    <w:rsid w:val="00EE0FE7"/>
    <w:rsid w:val="00EE1035"/>
    <w:rsid w:val="00EE106C"/>
    <w:rsid w:val="00EE10FD"/>
    <w:rsid w:val="00EE1119"/>
    <w:rsid w:val="00EE112E"/>
    <w:rsid w:val="00EE1158"/>
    <w:rsid w:val="00EE11F3"/>
    <w:rsid w:val="00EE1227"/>
    <w:rsid w:val="00EE123A"/>
    <w:rsid w:val="00EE1262"/>
    <w:rsid w:val="00EE126A"/>
    <w:rsid w:val="00EE12E6"/>
    <w:rsid w:val="00EE1348"/>
    <w:rsid w:val="00EE137E"/>
    <w:rsid w:val="00EE13AE"/>
    <w:rsid w:val="00EE13FC"/>
    <w:rsid w:val="00EE140B"/>
    <w:rsid w:val="00EE144C"/>
    <w:rsid w:val="00EE1536"/>
    <w:rsid w:val="00EE155B"/>
    <w:rsid w:val="00EE159B"/>
    <w:rsid w:val="00EE15AF"/>
    <w:rsid w:val="00EE15BF"/>
    <w:rsid w:val="00EE1650"/>
    <w:rsid w:val="00EE1671"/>
    <w:rsid w:val="00EE16A0"/>
    <w:rsid w:val="00EE177B"/>
    <w:rsid w:val="00EE178B"/>
    <w:rsid w:val="00EE17A3"/>
    <w:rsid w:val="00EE17ED"/>
    <w:rsid w:val="00EE17FD"/>
    <w:rsid w:val="00EE1837"/>
    <w:rsid w:val="00EE1914"/>
    <w:rsid w:val="00EE1930"/>
    <w:rsid w:val="00EE197C"/>
    <w:rsid w:val="00EE199D"/>
    <w:rsid w:val="00EE19A9"/>
    <w:rsid w:val="00EE19EE"/>
    <w:rsid w:val="00EE1B03"/>
    <w:rsid w:val="00EE1B56"/>
    <w:rsid w:val="00EE1B63"/>
    <w:rsid w:val="00EE1B79"/>
    <w:rsid w:val="00EE1B7C"/>
    <w:rsid w:val="00EE1BB1"/>
    <w:rsid w:val="00EE1BBE"/>
    <w:rsid w:val="00EE1BDC"/>
    <w:rsid w:val="00EE1C4C"/>
    <w:rsid w:val="00EE1C5A"/>
    <w:rsid w:val="00EE1C91"/>
    <w:rsid w:val="00EE1CDC"/>
    <w:rsid w:val="00EE1CE6"/>
    <w:rsid w:val="00EE1D46"/>
    <w:rsid w:val="00EE1D6D"/>
    <w:rsid w:val="00EE1D9D"/>
    <w:rsid w:val="00EE1DE1"/>
    <w:rsid w:val="00EE1DFC"/>
    <w:rsid w:val="00EE1E6A"/>
    <w:rsid w:val="00EE1F47"/>
    <w:rsid w:val="00EE1F76"/>
    <w:rsid w:val="00EE1FA6"/>
    <w:rsid w:val="00EE2027"/>
    <w:rsid w:val="00EE2091"/>
    <w:rsid w:val="00EE2098"/>
    <w:rsid w:val="00EE20AA"/>
    <w:rsid w:val="00EE214D"/>
    <w:rsid w:val="00EE2208"/>
    <w:rsid w:val="00EE2294"/>
    <w:rsid w:val="00EE2347"/>
    <w:rsid w:val="00EE234B"/>
    <w:rsid w:val="00EE2369"/>
    <w:rsid w:val="00EE2388"/>
    <w:rsid w:val="00EE23AC"/>
    <w:rsid w:val="00EE2459"/>
    <w:rsid w:val="00EE2466"/>
    <w:rsid w:val="00EE2518"/>
    <w:rsid w:val="00EE252D"/>
    <w:rsid w:val="00EE2543"/>
    <w:rsid w:val="00EE25A6"/>
    <w:rsid w:val="00EE25C9"/>
    <w:rsid w:val="00EE2602"/>
    <w:rsid w:val="00EE2612"/>
    <w:rsid w:val="00EE2684"/>
    <w:rsid w:val="00EE2695"/>
    <w:rsid w:val="00EE26A2"/>
    <w:rsid w:val="00EE26AF"/>
    <w:rsid w:val="00EE278A"/>
    <w:rsid w:val="00EE27EA"/>
    <w:rsid w:val="00EE2852"/>
    <w:rsid w:val="00EE2892"/>
    <w:rsid w:val="00EE28E2"/>
    <w:rsid w:val="00EE290C"/>
    <w:rsid w:val="00EE2913"/>
    <w:rsid w:val="00EE2923"/>
    <w:rsid w:val="00EE2976"/>
    <w:rsid w:val="00EE2AC5"/>
    <w:rsid w:val="00EE2B1C"/>
    <w:rsid w:val="00EE2B5E"/>
    <w:rsid w:val="00EE2B64"/>
    <w:rsid w:val="00EE2B94"/>
    <w:rsid w:val="00EE2BAC"/>
    <w:rsid w:val="00EE2BDF"/>
    <w:rsid w:val="00EE2C0F"/>
    <w:rsid w:val="00EE2C9A"/>
    <w:rsid w:val="00EE2CE8"/>
    <w:rsid w:val="00EE2CEB"/>
    <w:rsid w:val="00EE2CFA"/>
    <w:rsid w:val="00EE2D34"/>
    <w:rsid w:val="00EE2DED"/>
    <w:rsid w:val="00EE2DEF"/>
    <w:rsid w:val="00EE2E92"/>
    <w:rsid w:val="00EE2E9F"/>
    <w:rsid w:val="00EE2EB9"/>
    <w:rsid w:val="00EE2F3F"/>
    <w:rsid w:val="00EE2F75"/>
    <w:rsid w:val="00EE2F8B"/>
    <w:rsid w:val="00EE303B"/>
    <w:rsid w:val="00EE30B8"/>
    <w:rsid w:val="00EE311E"/>
    <w:rsid w:val="00EE3129"/>
    <w:rsid w:val="00EE31E7"/>
    <w:rsid w:val="00EE3202"/>
    <w:rsid w:val="00EE3217"/>
    <w:rsid w:val="00EE321D"/>
    <w:rsid w:val="00EE32B1"/>
    <w:rsid w:val="00EE32B9"/>
    <w:rsid w:val="00EE32EA"/>
    <w:rsid w:val="00EE3306"/>
    <w:rsid w:val="00EE3316"/>
    <w:rsid w:val="00EE3342"/>
    <w:rsid w:val="00EE335B"/>
    <w:rsid w:val="00EE33D4"/>
    <w:rsid w:val="00EE345C"/>
    <w:rsid w:val="00EE3477"/>
    <w:rsid w:val="00EE34A9"/>
    <w:rsid w:val="00EE3546"/>
    <w:rsid w:val="00EE355F"/>
    <w:rsid w:val="00EE3562"/>
    <w:rsid w:val="00EE35AD"/>
    <w:rsid w:val="00EE35BC"/>
    <w:rsid w:val="00EE35D7"/>
    <w:rsid w:val="00EE35E1"/>
    <w:rsid w:val="00EE360A"/>
    <w:rsid w:val="00EE365A"/>
    <w:rsid w:val="00EE36AA"/>
    <w:rsid w:val="00EE36B6"/>
    <w:rsid w:val="00EE3705"/>
    <w:rsid w:val="00EE37D1"/>
    <w:rsid w:val="00EE37D5"/>
    <w:rsid w:val="00EE381D"/>
    <w:rsid w:val="00EE3828"/>
    <w:rsid w:val="00EE3835"/>
    <w:rsid w:val="00EE3838"/>
    <w:rsid w:val="00EE384E"/>
    <w:rsid w:val="00EE3882"/>
    <w:rsid w:val="00EE38C2"/>
    <w:rsid w:val="00EE38F7"/>
    <w:rsid w:val="00EE3930"/>
    <w:rsid w:val="00EE3973"/>
    <w:rsid w:val="00EE3975"/>
    <w:rsid w:val="00EE398B"/>
    <w:rsid w:val="00EE3998"/>
    <w:rsid w:val="00EE39A4"/>
    <w:rsid w:val="00EE39E9"/>
    <w:rsid w:val="00EE39EB"/>
    <w:rsid w:val="00EE3A56"/>
    <w:rsid w:val="00EE3A64"/>
    <w:rsid w:val="00EE3AAC"/>
    <w:rsid w:val="00EE3BBF"/>
    <w:rsid w:val="00EE3C16"/>
    <w:rsid w:val="00EE3C4E"/>
    <w:rsid w:val="00EE3C5A"/>
    <w:rsid w:val="00EE3C8B"/>
    <w:rsid w:val="00EE3C9B"/>
    <w:rsid w:val="00EE3CA4"/>
    <w:rsid w:val="00EE3CEC"/>
    <w:rsid w:val="00EE3CFD"/>
    <w:rsid w:val="00EE3D0E"/>
    <w:rsid w:val="00EE3D17"/>
    <w:rsid w:val="00EE3D2E"/>
    <w:rsid w:val="00EE3D6D"/>
    <w:rsid w:val="00EE3DC5"/>
    <w:rsid w:val="00EE3DC8"/>
    <w:rsid w:val="00EE3DE3"/>
    <w:rsid w:val="00EE3E0B"/>
    <w:rsid w:val="00EE3E38"/>
    <w:rsid w:val="00EE3E83"/>
    <w:rsid w:val="00EE3E8D"/>
    <w:rsid w:val="00EE3E94"/>
    <w:rsid w:val="00EE3E96"/>
    <w:rsid w:val="00EE3EB1"/>
    <w:rsid w:val="00EE3F02"/>
    <w:rsid w:val="00EE3F59"/>
    <w:rsid w:val="00EE3F75"/>
    <w:rsid w:val="00EE3FEC"/>
    <w:rsid w:val="00EE4052"/>
    <w:rsid w:val="00EE4065"/>
    <w:rsid w:val="00EE4143"/>
    <w:rsid w:val="00EE415F"/>
    <w:rsid w:val="00EE4175"/>
    <w:rsid w:val="00EE41A1"/>
    <w:rsid w:val="00EE41D0"/>
    <w:rsid w:val="00EE4209"/>
    <w:rsid w:val="00EE424C"/>
    <w:rsid w:val="00EE4263"/>
    <w:rsid w:val="00EE42C7"/>
    <w:rsid w:val="00EE42DD"/>
    <w:rsid w:val="00EE4306"/>
    <w:rsid w:val="00EE4359"/>
    <w:rsid w:val="00EE4430"/>
    <w:rsid w:val="00EE44C4"/>
    <w:rsid w:val="00EE44E2"/>
    <w:rsid w:val="00EE44E8"/>
    <w:rsid w:val="00EE4509"/>
    <w:rsid w:val="00EE450F"/>
    <w:rsid w:val="00EE4527"/>
    <w:rsid w:val="00EE461A"/>
    <w:rsid w:val="00EE463C"/>
    <w:rsid w:val="00EE4689"/>
    <w:rsid w:val="00EE46B9"/>
    <w:rsid w:val="00EE4705"/>
    <w:rsid w:val="00EE470B"/>
    <w:rsid w:val="00EE471B"/>
    <w:rsid w:val="00EE474B"/>
    <w:rsid w:val="00EE475D"/>
    <w:rsid w:val="00EE4770"/>
    <w:rsid w:val="00EE47D8"/>
    <w:rsid w:val="00EE4823"/>
    <w:rsid w:val="00EE4853"/>
    <w:rsid w:val="00EE489A"/>
    <w:rsid w:val="00EE48D2"/>
    <w:rsid w:val="00EE48DD"/>
    <w:rsid w:val="00EE4922"/>
    <w:rsid w:val="00EE4968"/>
    <w:rsid w:val="00EE49DD"/>
    <w:rsid w:val="00EE4A1C"/>
    <w:rsid w:val="00EE4A20"/>
    <w:rsid w:val="00EE4A5F"/>
    <w:rsid w:val="00EE4A6A"/>
    <w:rsid w:val="00EE4A8C"/>
    <w:rsid w:val="00EE4B3A"/>
    <w:rsid w:val="00EE4B8F"/>
    <w:rsid w:val="00EE4BF2"/>
    <w:rsid w:val="00EE4C33"/>
    <w:rsid w:val="00EE4CA4"/>
    <w:rsid w:val="00EE4CD2"/>
    <w:rsid w:val="00EE4D05"/>
    <w:rsid w:val="00EE4D37"/>
    <w:rsid w:val="00EE4E51"/>
    <w:rsid w:val="00EE4E9B"/>
    <w:rsid w:val="00EE4F35"/>
    <w:rsid w:val="00EE4F41"/>
    <w:rsid w:val="00EE4F53"/>
    <w:rsid w:val="00EE508A"/>
    <w:rsid w:val="00EE5096"/>
    <w:rsid w:val="00EE50D0"/>
    <w:rsid w:val="00EE50E8"/>
    <w:rsid w:val="00EE5101"/>
    <w:rsid w:val="00EE51AE"/>
    <w:rsid w:val="00EE520B"/>
    <w:rsid w:val="00EE528E"/>
    <w:rsid w:val="00EE52AA"/>
    <w:rsid w:val="00EE52AB"/>
    <w:rsid w:val="00EE52CD"/>
    <w:rsid w:val="00EE5301"/>
    <w:rsid w:val="00EE5314"/>
    <w:rsid w:val="00EE53A3"/>
    <w:rsid w:val="00EE53E2"/>
    <w:rsid w:val="00EE5401"/>
    <w:rsid w:val="00EE540E"/>
    <w:rsid w:val="00EE546F"/>
    <w:rsid w:val="00EE5470"/>
    <w:rsid w:val="00EE549C"/>
    <w:rsid w:val="00EE54CD"/>
    <w:rsid w:val="00EE54DD"/>
    <w:rsid w:val="00EE5526"/>
    <w:rsid w:val="00EE55A7"/>
    <w:rsid w:val="00EE5615"/>
    <w:rsid w:val="00EE56E7"/>
    <w:rsid w:val="00EE5725"/>
    <w:rsid w:val="00EE5756"/>
    <w:rsid w:val="00EE57C7"/>
    <w:rsid w:val="00EE57D8"/>
    <w:rsid w:val="00EE57E1"/>
    <w:rsid w:val="00EE5884"/>
    <w:rsid w:val="00EE58EF"/>
    <w:rsid w:val="00EE5998"/>
    <w:rsid w:val="00EE59C6"/>
    <w:rsid w:val="00EE5A91"/>
    <w:rsid w:val="00EE5AC9"/>
    <w:rsid w:val="00EE5ACE"/>
    <w:rsid w:val="00EE5B31"/>
    <w:rsid w:val="00EE5B42"/>
    <w:rsid w:val="00EE5B4B"/>
    <w:rsid w:val="00EE5B65"/>
    <w:rsid w:val="00EE5B94"/>
    <w:rsid w:val="00EE5C0E"/>
    <w:rsid w:val="00EE5C1A"/>
    <w:rsid w:val="00EE5C55"/>
    <w:rsid w:val="00EE5C64"/>
    <w:rsid w:val="00EE5C87"/>
    <w:rsid w:val="00EE5CAD"/>
    <w:rsid w:val="00EE5CC2"/>
    <w:rsid w:val="00EE5CEE"/>
    <w:rsid w:val="00EE5D0E"/>
    <w:rsid w:val="00EE5D13"/>
    <w:rsid w:val="00EE5D21"/>
    <w:rsid w:val="00EE5D57"/>
    <w:rsid w:val="00EE5D68"/>
    <w:rsid w:val="00EE5D9B"/>
    <w:rsid w:val="00EE5DA8"/>
    <w:rsid w:val="00EE5DC0"/>
    <w:rsid w:val="00EE5E1D"/>
    <w:rsid w:val="00EE5F1E"/>
    <w:rsid w:val="00EE5F46"/>
    <w:rsid w:val="00EE5FA1"/>
    <w:rsid w:val="00EE5FC5"/>
    <w:rsid w:val="00EE5FCB"/>
    <w:rsid w:val="00EE601F"/>
    <w:rsid w:val="00EE6041"/>
    <w:rsid w:val="00EE604C"/>
    <w:rsid w:val="00EE6109"/>
    <w:rsid w:val="00EE6128"/>
    <w:rsid w:val="00EE61F0"/>
    <w:rsid w:val="00EE6236"/>
    <w:rsid w:val="00EE62BF"/>
    <w:rsid w:val="00EE6381"/>
    <w:rsid w:val="00EE638E"/>
    <w:rsid w:val="00EE6409"/>
    <w:rsid w:val="00EE646A"/>
    <w:rsid w:val="00EE646B"/>
    <w:rsid w:val="00EE646E"/>
    <w:rsid w:val="00EE6476"/>
    <w:rsid w:val="00EE647A"/>
    <w:rsid w:val="00EE64E7"/>
    <w:rsid w:val="00EE6505"/>
    <w:rsid w:val="00EE6535"/>
    <w:rsid w:val="00EE656F"/>
    <w:rsid w:val="00EE65A2"/>
    <w:rsid w:val="00EE65C2"/>
    <w:rsid w:val="00EE65C5"/>
    <w:rsid w:val="00EE65D7"/>
    <w:rsid w:val="00EE65EA"/>
    <w:rsid w:val="00EE65FF"/>
    <w:rsid w:val="00EE6616"/>
    <w:rsid w:val="00EE6643"/>
    <w:rsid w:val="00EE66D9"/>
    <w:rsid w:val="00EE6770"/>
    <w:rsid w:val="00EE6775"/>
    <w:rsid w:val="00EE681E"/>
    <w:rsid w:val="00EE686E"/>
    <w:rsid w:val="00EE689D"/>
    <w:rsid w:val="00EE68E4"/>
    <w:rsid w:val="00EE6957"/>
    <w:rsid w:val="00EE696C"/>
    <w:rsid w:val="00EE6973"/>
    <w:rsid w:val="00EE6988"/>
    <w:rsid w:val="00EE69A1"/>
    <w:rsid w:val="00EE69CD"/>
    <w:rsid w:val="00EE69E5"/>
    <w:rsid w:val="00EE6AA8"/>
    <w:rsid w:val="00EE6B3F"/>
    <w:rsid w:val="00EE6B4D"/>
    <w:rsid w:val="00EE6B77"/>
    <w:rsid w:val="00EE6BC6"/>
    <w:rsid w:val="00EE6BFD"/>
    <w:rsid w:val="00EE6C09"/>
    <w:rsid w:val="00EE6C5F"/>
    <w:rsid w:val="00EE6CEA"/>
    <w:rsid w:val="00EE6D14"/>
    <w:rsid w:val="00EE6D3D"/>
    <w:rsid w:val="00EE6D56"/>
    <w:rsid w:val="00EE6DE2"/>
    <w:rsid w:val="00EE6F9D"/>
    <w:rsid w:val="00EE6FA5"/>
    <w:rsid w:val="00EE7096"/>
    <w:rsid w:val="00EE70CB"/>
    <w:rsid w:val="00EE70D5"/>
    <w:rsid w:val="00EE7151"/>
    <w:rsid w:val="00EE7158"/>
    <w:rsid w:val="00EE7159"/>
    <w:rsid w:val="00EE7182"/>
    <w:rsid w:val="00EE71E9"/>
    <w:rsid w:val="00EE7218"/>
    <w:rsid w:val="00EE7219"/>
    <w:rsid w:val="00EE723C"/>
    <w:rsid w:val="00EE72A5"/>
    <w:rsid w:val="00EE72C3"/>
    <w:rsid w:val="00EE72EE"/>
    <w:rsid w:val="00EE7315"/>
    <w:rsid w:val="00EE7337"/>
    <w:rsid w:val="00EE73B9"/>
    <w:rsid w:val="00EE73F0"/>
    <w:rsid w:val="00EE73FA"/>
    <w:rsid w:val="00EE7417"/>
    <w:rsid w:val="00EE741D"/>
    <w:rsid w:val="00EE7430"/>
    <w:rsid w:val="00EE7492"/>
    <w:rsid w:val="00EE74EF"/>
    <w:rsid w:val="00EE74F2"/>
    <w:rsid w:val="00EE751D"/>
    <w:rsid w:val="00EE756B"/>
    <w:rsid w:val="00EE7579"/>
    <w:rsid w:val="00EE758E"/>
    <w:rsid w:val="00EE75BC"/>
    <w:rsid w:val="00EE775C"/>
    <w:rsid w:val="00EE778E"/>
    <w:rsid w:val="00EE77B7"/>
    <w:rsid w:val="00EE77D4"/>
    <w:rsid w:val="00EE77D5"/>
    <w:rsid w:val="00EE77F8"/>
    <w:rsid w:val="00EE7879"/>
    <w:rsid w:val="00EE7908"/>
    <w:rsid w:val="00EE79CD"/>
    <w:rsid w:val="00EE7B33"/>
    <w:rsid w:val="00EE7B5E"/>
    <w:rsid w:val="00EE7B71"/>
    <w:rsid w:val="00EE7BA4"/>
    <w:rsid w:val="00EE7BB1"/>
    <w:rsid w:val="00EE7C38"/>
    <w:rsid w:val="00EE7D11"/>
    <w:rsid w:val="00EE7D66"/>
    <w:rsid w:val="00EE7E1C"/>
    <w:rsid w:val="00EE7E8A"/>
    <w:rsid w:val="00EE7EAD"/>
    <w:rsid w:val="00EE7FA1"/>
    <w:rsid w:val="00EE7FBC"/>
    <w:rsid w:val="00EE7FDA"/>
    <w:rsid w:val="00EF0029"/>
    <w:rsid w:val="00EF0048"/>
    <w:rsid w:val="00EF0062"/>
    <w:rsid w:val="00EF0088"/>
    <w:rsid w:val="00EF009B"/>
    <w:rsid w:val="00EF00AA"/>
    <w:rsid w:val="00EF0125"/>
    <w:rsid w:val="00EF01AA"/>
    <w:rsid w:val="00EF027D"/>
    <w:rsid w:val="00EF02B4"/>
    <w:rsid w:val="00EF03A7"/>
    <w:rsid w:val="00EF03B7"/>
    <w:rsid w:val="00EF0422"/>
    <w:rsid w:val="00EF048C"/>
    <w:rsid w:val="00EF04BE"/>
    <w:rsid w:val="00EF0560"/>
    <w:rsid w:val="00EF0569"/>
    <w:rsid w:val="00EF056F"/>
    <w:rsid w:val="00EF0587"/>
    <w:rsid w:val="00EF060C"/>
    <w:rsid w:val="00EF06D9"/>
    <w:rsid w:val="00EF072F"/>
    <w:rsid w:val="00EF074D"/>
    <w:rsid w:val="00EF0764"/>
    <w:rsid w:val="00EF0770"/>
    <w:rsid w:val="00EF0771"/>
    <w:rsid w:val="00EF0781"/>
    <w:rsid w:val="00EF0787"/>
    <w:rsid w:val="00EF07BB"/>
    <w:rsid w:val="00EF07D0"/>
    <w:rsid w:val="00EF07E1"/>
    <w:rsid w:val="00EF081F"/>
    <w:rsid w:val="00EF083C"/>
    <w:rsid w:val="00EF0897"/>
    <w:rsid w:val="00EF08A6"/>
    <w:rsid w:val="00EF08C2"/>
    <w:rsid w:val="00EF09B3"/>
    <w:rsid w:val="00EF09F5"/>
    <w:rsid w:val="00EF0A1F"/>
    <w:rsid w:val="00EF0A39"/>
    <w:rsid w:val="00EF0A49"/>
    <w:rsid w:val="00EF0A5D"/>
    <w:rsid w:val="00EF0AEF"/>
    <w:rsid w:val="00EF0B39"/>
    <w:rsid w:val="00EF0BE1"/>
    <w:rsid w:val="00EF0BE8"/>
    <w:rsid w:val="00EF0C21"/>
    <w:rsid w:val="00EF0C7F"/>
    <w:rsid w:val="00EF0C8A"/>
    <w:rsid w:val="00EF0CC7"/>
    <w:rsid w:val="00EF0CFB"/>
    <w:rsid w:val="00EF0D3B"/>
    <w:rsid w:val="00EF0DBB"/>
    <w:rsid w:val="00EF0E04"/>
    <w:rsid w:val="00EF0E2B"/>
    <w:rsid w:val="00EF0E44"/>
    <w:rsid w:val="00EF0E86"/>
    <w:rsid w:val="00EF0EAE"/>
    <w:rsid w:val="00EF0EE2"/>
    <w:rsid w:val="00EF0F98"/>
    <w:rsid w:val="00EF0FC7"/>
    <w:rsid w:val="00EF0FD5"/>
    <w:rsid w:val="00EF0FDD"/>
    <w:rsid w:val="00EF100E"/>
    <w:rsid w:val="00EF10E3"/>
    <w:rsid w:val="00EF1103"/>
    <w:rsid w:val="00EF1104"/>
    <w:rsid w:val="00EF1164"/>
    <w:rsid w:val="00EF1169"/>
    <w:rsid w:val="00EF11B0"/>
    <w:rsid w:val="00EF11D0"/>
    <w:rsid w:val="00EF11DE"/>
    <w:rsid w:val="00EF1201"/>
    <w:rsid w:val="00EF124D"/>
    <w:rsid w:val="00EF1261"/>
    <w:rsid w:val="00EF1301"/>
    <w:rsid w:val="00EF1318"/>
    <w:rsid w:val="00EF134D"/>
    <w:rsid w:val="00EF1355"/>
    <w:rsid w:val="00EF136E"/>
    <w:rsid w:val="00EF1488"/>
    <w:rsid w:val="00EF1495"/>
    <w:rsid w:val="00EF14F8"/>
    <w:rsid w:val="00EF1505"/>
    <w:rsid w:val="00EF1519"/>
    <w:rsid w:val="00EF154B"/>
    <w:rsid w:val="00EF155D"/>
    <w:rsid w:val="00EF15D3"/>
    <w:rsid w:val="00EF1683"/>
    <w:rsid w:val="00EF1692"/>
    <w:rsid w:val="00EF177E"/>
    <w:rsid w:val="00EF181E"/>
    <w:rsid w:val="00EF185E"/>
    <w:rsid w:val="00EF18FB"/>
    <w:rsid w:val="00EF1907"/>
    <w:rsid w:val="00EF1941"/>
    <w:rsid w:val="00EF1994"/>
    <w:rsid w:val="00EF19BE"/>
    <w:rsid w:val="00EF1A1D"/>
    <w:rsid w:val="00EF1A49"/>
    <w:rsid w:val="00EF1A82"/>
    <w:rsid w:val="00EF1B7D"/>
    <w:rsid w:val="00EF1B8A"/>
    <w:rsid w:val="00EF1BDB"/>
    <w:rsid w:val="00EF1BED"/>
    <w:rsid w:val="00EF1C40"/>
    <w:rsid w:val="00EF1C5B"/>
    <w:rsid w:val="00EF1C8B"/>
    <w:rsid w:val="00EF1CBE"/>
    <w:rsid w:val="00EF1D23"/>
    <w:rsid w:val="00EF1D52"/>
    <w:rsid w:val="00EF1DB1"/>
    <w:rsid w:val="00EF1DDC"/>
    <w:rsid w:val="00EF1E7E"/>
    <w:rsid w:val="00EF1ED7"/>
    <w:rsid w:val="00EF1EE0"/>
    <w:rsid w:val="00EF1F82"/>
    <w:rsid w:val="00EF1FE7"/>
    <w:rsid w:val="00EF2095"/>
    <w:rsid w:val="00EF20EB"/>
    <w:rsid w:val="00EF20FA"/>
    <w:rsid w:val="00EF20FC"/>
    <w:rsid w:val="00EF21FD"/>
    <w:rsid w:val="00EF2208"/>
    <w:rsid w:val="00EF228B"/>
    <w:rsid w:val="00EF22D4"/>
    <w:rsid w:val="00EF2322"/>
    <w:rsid w:val="00EF23B2"/>
    <w:rsid w:val="00EF23B6"/>
    <w:rsid w:val="00EF23FE"/>
    <w:rsid w:val="00EF243F"/>
    <w:rsid w:val="00EF2498"/>
    <w:rsid w:val="00EF24CE"/>
    <w:rsid w:val="00EF24FC"/>
    <w:rsid w:val="00EF2501"/>
    <w:rsid w:val="00EF2509"/>
    <w:rsid w:val="00EF253D"/>
    <w:rsid w:val="00EF2574"/>
    <w:rsid w:val="00EF2593"/>
    <w:rsid w:val="00EF25B5"/>
    <w:rsid w:val="00EF266D"/>
    <w:rsid w:val="00EF271D"/>
    <w:rsid w:val="00EF2735"/>
    <w:rsid w:val="00EF277D"/>
    <w:rsid w:val="00EF27B4"/>
    <w:rsid w:val="00EF27C2"/>
    <w:rsid w:val="00EF27FE"/>
    <w:rsid w:val="00EF28CE"/>
    <w:rsid w:val="00EF28E8"/>
    <w:rsid w:val="00EF2921"/>
    <w:rsid w:val="00EF2941"/>
    <w:rsid w:val="00EF2984"/>
    <w:rsid w:val="00EF298E"/>
    <w:rsid w:val="00EF29B6"/>
    <w:rsid w:val="00EF2A26"/>
    <w:rsid w:val="00EF2A54"/>
    <w:rsid w:val="00EF2AE0"/>
    <w:rsid w:val="00EF2AF4"/>
    <w:rsid w:val="00EF2B5A"/>
    <w:rsid w:val="00EF2B72"/>
    <w:rsid w:val="00EF2BB7"/>
    <w:rsid w:val="00EF2BBC"/>
    <w:rsid w:val="00EF2C1D"/>
    <w:rsid w:val="00EF2C6C"/>
    <w:rsid w:val="00EF2CCE"/>
    <w:rsid w:val="00EF2D67"/>
    <w:rsid w:val="00EF2D69"/>
    <w:rsid w:val="00EF2D9C"/>
    <w:rsid w:val="00EF2D9F"/>
    <w:rsid w:val="00EF2DC5"/>
    <w:rsid w:val="00EF2DD2"/>
    <w:rsid w:val="00EF2E1F"/>
    <w:rsid w:val="00EF2E7C"/>
    <w:rsid w:val="00EF2E7D"/>
    <w:rsid w:val="00EF2E95"/>
    <w:rsid w:val="00EF2EA8"/>
    <w:rsid w:val="00EF2EBF"/>
    <w:rsid w:val="00EF2F52"/>
    <w:rsid w:val="00EF2F7F"/>
    <w:rsid w:val="00EF2FAF"/>
    <w:rsid w:val="00EF2FEA"/>
    <w:rsid w:val="00EF3035"/>
    <w:rsid w:val="00EF304F"/>
    <w:rsid w:val="00EF30C0"/>
    <w:rsid w:val="00EF3208"/>
    <w:rsid w:val="00EF3284"/>
    <w:rsid w:val="00EF3326"/>
    <w:rsid w:val="00EF339F"/>
    <w:rsid w:val="00EF33A6"/>
    <w:rsid w:val="00EF3429"/>
    <w:rsid w:val="00EF344C"/>
    <w:rsid w:val="00EF3473"/>
    <w:rsid w:val="00EF3495"/>
    <w:rsid w:val="00EF34E7"/>
    <w:rsid w:val="00EF354C"/>
    <w:rsid w:val="00EF35DC"/>
    <w:rsid w:val="00EF35FB"/>
    <w:rsid w:val="00EF36A1"/>
    <w:rsid w:val="00EF36B9"/>
    <w:rsid w:val="00EF36E1"/>
    <w:rsid w:val="00EF372D"/>
    <w:rsid w:val="00EF3756"/>
    <w:rsid w:val="00EF378B"/>
    <w:rsid w:val="00EF3792"/>
    <w:rsid w:val="00EF37CC"/>
    <w:rsid w:val="00EF3861"/>
    <w:rsid w:val="00EF38CA"/>
    <w:rsid w:val="00EF39CF"/>
    <w:rsid w:val="00EF39E9"/>
    <w:rsid w:val="00EF3A4D"/>
    <w:rsid w:val="00EF3A62"/>
    <w:rsid w:val="00EF3A87"/>
    <w:rsid w:val="00EF3A89"/>
    <w:rsid w:val="00EF3ADB"/>
    <w:rsid w:val="00EF3B19"/>
    <w:rsid w:val="00EF3B3E"/>
    <w:rsid w:val="00EF3B68"/>
    <w:rsid w:val="00EF3B77"/>
    <w:rsid w:val="00EF3B90"/>
    <w:rsid w:val="00EF3BA1"/>
    <w:rsid w:val="00EF3BD8"/>
    <w:rsid w:val="00EF3BF6"/>
    <w:rsid w:val="00EF3C37"/>
    <w:rsid w:val="00EF3C78"/>
    <w:rsid w:val="00EF3C97"/>
    <w:rsid w:val="00EF3CC5"/>
    <w:rsid w:val="00EF3DC7"/>
    <w:rsid w:val="00EF3E74"/>
    <w:rsid w:val="00EF3E77"/>
    <w:rsid w:val="00EF3E8A"/>
    <w:rsid w:val="00EF3E95"/>
    <w:rsid w:val="00EF3ECE"/>
    <w:rsid w:val="00EF3EEC"/>
    <w:rsid w:val="00EF3F14"/>
    <w:rsid w:val="00EF3F22"/>
    <w:rsid w:val="00EF3F70"/>
    <w:rsid w:val="00EF3F7F"/>
    <w:rsid w:val="00EF3FA2"/>
    <w:rsid w:val="00EF4207"/>
    <w:rsid w:val="00EF420A"/>
    <w:rsid w:val="00EF4284"/>
    <w:rsid w:val="00EF42A7"/>
    <w:rsid w:val="00EF4367"/>
    <w:rsid w:val="00EF4413"/>
    <w:rsid w:val="00EF4416"/>
    <w:rsid w:val="00EF442D"/>
    <w:rsid w:val="00EF4457"/>
    <w:rsid w:val="00EF4461"/>
    <w:rsid w:val="00EF44A7"/>
    <w:rsid w:val="00EF44BE"/>
    <w:rsid w:val="00EF44FA"/>
    <w:rsid w:val="00EF4506"/>
    <w:rsid w:val="00EF451B"/>
    <w:rsid w:val="00EF452B"/>
    <w:rsid w:val="00EF4661"/>
    <w:rsid w:val="00EF46E7"/>
    <w:rsid w:val="00EF4706"/>
    <w:rsid w:val="00EF47CE"/>
    <w:rsid w:val="00EF48C4"/>
    <w:rsid w:val="00EF4972"/>
    <w:rsid w:val="00EF4996"/>
    <w:rsid w:val="00EF4998"/>
    <w:rsid w:val="00EF49C6"/>
    <w:rsid w:val="00EF49D1"/>
    <w:rsid w:val="00EF4A31"/>
    <w:rsid w:val="00EF4A64"/>
    <w:rsid w:val="00EF4AAB"/>
    <w:rsid w:val="00EF4ABC"/>
    <w:rsid w:val="00EF4B49"/>
    <w:rsid w:val="00EF4B69"/>
    <w:rsid w:val="00EF4C73"/>
    <w:rsid w:val="00EF4C76"/>
    <w:rsid w:val="00EF4CD3"/>
    <w:rsid w:val="00EF4CD6"/>
    <w:rsid w:val="00EF4E0D"/>
    <w:rsid w:val="00EF4E11"/>
    <w:rsid w:val="00EF4E15"/>
    <w:rsid w:val="00EF4E83"/>
    <w:rsid w:val="00EF4EB3"/>
    <w:rsid w:val="00EF4F13"/>
    <w:rsid w:val="00EF4F65"/>
    <w:rsid w:val="00EF4F81"/>
    <w:rsid w:val="00EF4FB1"/>
    <w:rsid w:val="00EF500E"/>
    <w:rsid w:val="00EF50C8"/>
    <w:rsid w:val="00EF5146"/>
    <w:rsid w:val="00EF5204"/>
    <w:rsid w:val="00EF5245"/>
    <w:rsid w:val="00EF5296"/>
    <w:rsid w:val="00EF52C5"/>
    <w:rsid w:val="00EF52CD"/>
    <w:rsid w:val="00EF532B"/>
    <w:rsid w:val="00EF538D"/>
    <w:rsid w:val="00EF53B9"/>
    <w:rsid w:val="00EF53D2"/>
    <w:rsid w:val="00EF548A"/>
    <w:rsid w:val="00EF54BD"/>
    <w:rsid w:val="00EF54C3"/>
    <w:rsid w:val="00EF54E7"/>
    <w:rsid w:val="00EF5529"/>
    <w:rsid w:val="00EF555D"/>
    <w:rsid w:val="00EF558D"/>
    <w:rsid w:val="00EF5614"/>
    <w:rsid w:val="00EF568A"/>
    <w:rsid w:val="00EF577C"/>
    <w:rsid w:val="00EF5788"/>
    <w:rsid w:val="00EF582B"/>
    <w:rsid w:val="00EF5870"/>
    <w:rsid w:val="00EF5877"/>
    <w:rsid w:val="00EF5883"/>
    <w:rsid w:val="00EF58BF"/>
    <w:rsid w:val="00EF5926"/>
    <w:rsid w:val="00EF59F5"/>
    <w:rsid w:val="00EF5A9C"/>
    <w:rsid w:val="00EF5AF5"/>
    <w:rsid w:val="00EF5B22"/>
    <w:rsid w:val="00EF5B75"/>
    <w:rsid w:val="00EF5BB3"/>
    <w:rsid w:val="00EF5BC3"/>
    <w:rsid w:val="00EF5C04"/>
    <w:rsid w:val="00EF5C10"/>
    <w:rsid w:val="00EF5C18"/>
    <w:rsid w:val="00EF5C7C"/>
    <w:rsid w:val="00EF5C97"/>
    <w:rsid w:val="00EF5C9E"/>
    <w:rsid w:val="00EF5CC4"/>
    <w:rsid w:val="00EF5CE5"/>
    <w:rsid w:val="00EF5D36"/>
    <w:rsid w:val="00EF5D69"/>
    <w:rsid w:val="00EF5E47"/>
    <w:rsid w:val="00EF5E68"/>
    <w:rsid w:val="00EF5E97"/>
    <w:rsid w:val="00EF5F03"/>
    <w:rsid w:val="00EF5F58"/>
    <w:rsid w:val="00EF5F64"/>
    <w:rsid w:val="00EF5F7D"/>
    <w:rsid w:val="00EF5FA5"/>
    <w:rsid w:val="00EF5FFE"/>
    <w:rsid w:val="00EF60A9"/>
    <w:rsid w:val="00EF60B4"/>
    <w:rsid w:val="00EF60E5"/>
    <w:rsid w:val="00EF613A"/>
    <w:rsid w:val="00EF6185"/>
    <w:rsid w:val="00EF61E7"/>
    <w:rsid w:val="00EF61ED"/>
    <w:rsid w:val="00EF6237"/>
    <w:rsid w:val="00EF6259"/>
    <w:rsid w:val="00EF625C"/>
    <w:rsid w:val="00EF6275"/>
    <w:rsid w:val="00EF62C3"/>
    <w:rsid w:val="00EF6398"/>
    <w:rsid w:val="00EF63D8"/>
    <w:rsid w:val="00EF6401"/>
    <w:rsid w:val="00EF641C"/>
    <w:rsid w:val="00EF64BC"/>
    <w:rsid w:val="00EF651E"/>
    <w:rsid w:val="00EF66CF"/>
    <w:rsid w:val="00EF67C1"/>
    <w:rsid w:val="00EF6836"/>
    <w:rsid w:val="00EF6841"/>
    <w:rsid w:val="00EF684B"/>
    <w:rsid w:val="00EF68C3"/>
    <w:rsid w:val="00EF68C8"/>
    <w:rsid w:val="00EF693E"/>
    <w:rsid w:val="00EF69F6"/>
    <w:rsid w:val="00EF6A14"/>
    <w:rsid w:val="00EF6A84"/>
    <w:rsid w:val="00EF6B5F"/>
    <w:rsid w:val="00EF6B81"/>
    <w:rsid w:val="00EF6BC7"/>
    <w:rsid w:val="00EF6C31"/>
    <w:rsid w:val="00EF6C7F"/>
    <w:rsid w:val="00EF6CCB"/>
    <w:rsid w:val="00EF6CE9"/>
    <w:rsid w:val="00EF6CF9"/>
    <w:rsid w:val="00EF6E20"/>
    <w:rsid w:val="00EF6E4F"/>
    <w:rsid w:val="00EF6E80"/>
    <w:rsid w:val="00EF6ED6"/>
    <w:rsid w:val="00EF6F2E"/>
    <w:rsid w:val="00EF6F3C"/>
    <w:rsid w:val="00EF705F"/>
    <w:rsid w:val="00EF707B"/>
    <w:rsid w:val="00EF708E"/>
    <w:rsid w:val="00EF7113"/>
    <w:rsid w:val="00EF7120"/>
    <w:rsid w:val="00EF71E6"/>
    <w:rsid w:val="00EF71EA"/>
    <w:rsid w:val="00EF7203"/>
    <w:rsid w:val="00EF7216"/>
    <w:rsid w:val="00EF7237"/>
    <w:rsid w:val="00EF7246"/>
    <w:rsid w:val="00EF7337"/>
    <w:rsid w:val="00EF7412"/>
    <w:rsid w:val="00EF745B"/>
    <w:rsid w:val="00EF7491"/>
    <w:rsid w:val="00EF7509"/>
    <w:rsid w:val="00EF751B"/>
    <w:rsid w:val="00EF752E"/>
    <w:rsid w:val="00EF75BF"/>
    <w:rsid w:val="00EF767E"/>
    <w:rsid w:val="00EF7693"/>
    <w:rsid w:val="00EF76E2"/>
    <w:rsid w:val="00EF776A"/>
    <w:rsid w:val="00EF786B"/>
    <w:rsid w:val="00EF78D3"/>
    <w:rsid w:val="00EF7932"/>
    <w:rsid w:val="00EF79D7"/>
    <w:rsid w:val="00EF7A81"/>
    <w:rsid w:val="00EF7A82"/>
    <w:rsid w:val="00EF7B4F"/>
    <w:rsid w:val="00EF7B55"/>
    <w:rsid w:val="00EF7B70"/>
    <w:rsid w:val="00EF7BED"/>
    <w:rsid w:val="00EF7C40"/>
    <w:rsid w:val="00EF7C8A"/>
    <w:rsid w:val="00EF7C9F"/>
    <w:rsid w:val="00EF7CDA"/>
    <w:rsid w:val="00EF7D1B"/>
    <w:rsid w:val="00EF7D23"/>
    <w:rsid w:val="00EF7D28"/>
    <w:rsid w:val="00EF7D8B"/>
    <w:rsid w:val="00EF7E07"/>
    <w:rsid w:val="00EF7E8C"/>
    <w:rsid w:val="00EF7E97"/>
    <w:rsid w:val="00EF7ECB"/>
    <w:rsid w:val="00EF7EDF"/>
    <w:rsid w:val="00EF7F04"/>
    <w:rsid w:val="00EF7F54"/>
    <w:rsid w:val="00EF7FE4"/>
    <w:rsid w:val="00F00044"/>
    <w:rsid w:val="00F00074"/>
    <w:rsid w:val="00F0011F"/>
    <w:rsid w:val="00F00134"/>
    <w:rsid w:val="00F001DE"/>
    <w:rsid w:val="00F0020C"/>
    <w:rsid w:val="00F00266"/>
    <w:rsid w:val="00F00294"/>
    <w:rsid w:val="00F002AD"/>
    <w:rsid w:val="00F003B7"/>
    <w:rsid w:val="00F003F6"/>
    <w:rsid w:val="00F0041E"/>
    <w:rsid w:val="00F00496"/>
    <w:rsid w:val="00F004E1"/>
    <w:rsid w:val="00F0050A"/>
    <w:rsid w:val="00F0055A"/>
    <w:rsid w:val="00F0055E"/>
    <w:rsid w:val="00F0056D"/>
    <w:rsid w:val="00F0058B"/>
    <w:rsid w:val="00F005CF"/>
    <w:rsid w:val="00F005DD"/>
    <w:rsid w:val="00F005F0"/>
    <w:rsid w:val="00F005F6"/>
    <w:rsid w:val="00F00641"/>
    <w:rsid w:val="00F00665"/>
    <w:rsid w:val="00F006FD"/>
    <w:rsid w:val="00F00774"/>
    <w:rsid w:val="00F00789"/>
    <w:rsid w:val="00F007A2"/>
    <w:rsid w:val="00F007F5"/>
    <w:rsid w:val="00F008B2"/>
    <w:rsid w:val="00F008BC"/>
    <w:rsid w:val="00F0090B"/>
    <w:rsid w:val="00F00920"/>
    <w:rsid w:val="00F00A87"/>
    <w:rsid w:val="00F00A8C"/>
    <w:rsid w:val="00F00ABE"/>
    <w:rsid w:val="00F00AE1"/>
    <w:rsid w:val="00F00B09"/>
    <w:rsid w:val="00F00B67"/>
    <w:rsid w:val="00F00B6E"/>
    <w:rsid w:val="00F00B96"/>
    <w:rsid w:val="00F00BA7"/>
    <w:rsid w:val="00F00BC2"/>
    <w:rsid w:val="00F00C00"/>
    <w:rsid w:val="00F00C18"/>
    <w:rsid w:val="00F00C48"/>
    <w:rsid w:val="00F00C60"/>
    <w:rsid w:val="00F00CA0"/>
    <w:rsid w:val="00F00CBC"/>
    <w:rsid w:val="00F00CD4"/>
    <w:rsid w:val="00F00D0B"/>
    <w:rsid w:val="00F00D53"/>
    <w:rsid w:val="00F00D69"/>
    <w:rsid w:val="00F00D77"/>
    <w:rsid w:val="00F00DA1"/>
    <w:rsid w:val="00F00DF3"/>
    <w:rsid w:val="00F00E87"/>
    <w:rsid w:val="00F00E9A"/>
    <w:rsid w:val="00F00EBC"/>
    <w:rsid w:val="00F00EC4"/>
    <w:rsid w:val="00F00EF6"/>
    <w:rsid w:val="00F00F1B"/>
    <w:rsid w:val="00F00F7F"/>
    <w:rsid w:val="00F00F87"/>
    <w:rsid w:val="00F01011"/>
    <w:rsid w:val="00F0102A"/>
    <w:rsid w:val="00F01057"/>
    <w:rsid w:val="00F01067"/>
    <w:rsid w:val="00F010EF"/>
    <w:rsid w:val="00F011AE"/>
    <w:rsid w:val="00F011E6"/>
    <w:rsid w:val="00F011EE"/>
    <w:rsid w:val="00F0121F"/>
    <w:rsid w:val="00F01240"/>
    <w:rsid w:val="00F012BD"/>
    <w:rsid w:val="00F01330"/>
    <w:rsid w:val="00F0134D"/>
    <w:rsid w:val="00F01369"/>
    <w:rsid w:val="00F01387"/>
    <w:rsid w:val="00F01456"/>
    <w:rsid w:val="00F01473"/>
    <w:rsid w:val="00F01548"/>
    <w:rsid w:val="00F0158B"/>
    <w:rsid w:val="00F0159E"/>
    <w:rsid w:val="00F015C1"/>
    <w:rsid w:val="00F01602"/>
    <w:rsid w:val="00F01649"/>
    <w:rsid w:val="00F01681"/>
    <w:rsid w:val="00F0168D"/>
    <w:rsid w:val="00F0169F"/>
    <w:rsid w:val="00F016B1"/>
    <w:rsid w:val="00F016D7"/>
    <w:rsid w:val="00F016DB"/>
    <w:rsid w:val="00F016FB"/>
    <w:rsid w:val="00F0170F"/>
    <w:rsid w:val="00F01832"/>
    <w:rsid w:val="00F0184C"/>
    <w:rsid w:val="00F01879"/>
    <w:rsid w:val="00F018CD"/>
    <w:rsid w:val="00F0190D"/>
    <w:rsid w:val="00F0194D"/>
    <w:rsid w:val="00F01A14"/>
    <w:rsid w:val="00F01A2B"/>
    <w:rsid w:val="00F01AB5"/>
    <w:rsid w:val="00F01AD1"/>
    <w:rsid w:val="00F01AF2"/>
    <w:rsid w:val="00F01B95"/>
    <w:rsid w:val="00F01BAC"/>
    <w:rsid w:val="00F01BF8"/>
    <w:rsid w:val="00F01C24"/>
    <w:rsid w:val="00F01C39"/>
    <w:rsid w:val="00F01C3F"/>
    <w:rsid w:val="00F01C5C"/>
    <w:rsid w:val="00F01C6E"/>
    <w:rsid w:val="00F01C81"/>
    <w:rsid w:val="00F01C84"/>
    <w:rsid w:val="00F01C91"/>
    <w:rsid w:val="00F01CB0"/>
    <w:rsid w:val="00F01CB8"/>
    <w:rsid w:val="00F01DC4"/>
    <w:rsid w:val="00F01DCE"/>
    <w:rsid w:val="00F01E3D"/>
    <w:rsid w:val="00F01EC7"/>
    <w:rsid w:val="00F01ECE"/>
    <w:rsid w:val="00F01F15"/>
    <w:rsid w:val="00F01F2C"/>
    <w:rsid w:val="00F01F4B"/>
    <w:rsid w:val="00F01F62"/>
    <w:rsid w:val="00F01F72"/>
    <w:rsid w:val="00F01F8E"/>
    <w:rsid w:val="00F0202A"/>
    <w:rsid w:val="00F0202E"/>
    <w:rsid w:val="00F0205F"/>
    <w:rsid w:val="00F0206F"/>
    <w:rsid w:val="00F020AB"/>
    <w:rsid w:val="00F02114"/>
    <w:rsid w:val="00F0213F"/>
    <w:rsid w:val="00F0216A"/>
    <w:rsid w:val="00F0217B"/>
    <w:rsid w:val="00F021E6"/>
    <w:rsid w:val="00F02214"/>
    <w:rsid w:val="00F02218"/>
    <w:rsid w:val="00F022B6"/>
    <w:rsid w:val="00F022BF"/>
    <w:rsid w:val="00F022D7"/>
    <w:rsid w:val="00F02316"/>
    <w:rsid w:val="00F0231C"/>
    <w:rsid w:val="00F02365"/>
    <w:rsid w:val="00F02369"/>
    <w:rsid w:val="00F0238F"/>
    <w:rsid w:val="00F023F7"/>
    <w:rsid w:val="00F0241D"/>
    <w:rsid w:val="00F0244D"/>
    <w:rsid w:val="00F02559"/>
    <w:rsid w:val="00F025BB"/>
    <w:rsid w:val="00F025D3"/>
    <w:rsid w:val="00F0262C"/>
    <w:rsid w:val="00F02640"/>
    <w:rsid w:val="00F0267D"/>
    <w:rsid w:val="00F02711"/>
    <w:rsid w:val="00F02724"/>
    <w:rsid w:val="00F0273A"/>
    <w:rsid w:val="00F0273E"/>
    <w:rsid w:val="00F02747"/>
    <w:rsid w:val="00F0276C"/>
    <w:rsid w:val="00F027AD"/>
    <w:rsid w:val="00F027E4"/>
    <w:rsid w:val="00F02873"/>
    <w:rsid w:val="00F0288A"/>
    <w:rsid w:val="00F0298C"/>
    <w:rsid w:val="00F029B0"/>
    <w:rsid w:val="00F029D5"/>
    <w:rsid w:val="00F029E5"/>
    <w:rsid w:val="00F029E9"/>
    <w:rsid w:val="00F02A08"/>
    <w:rsid w:val="00F02A2D"/>
    <w:rsid w:val="00F02A70"/>
    <w:rsid w:val="00F02A9B"/>
    <w:rsid w:val="00F02B2A"/>
    <w:rsid w:val="00F02B4F"/>
    <w:rsid w:val="00F02BB2"/>
    <w:rsid w:val="00F02C27"/>
    <w:rsid w:val="00F02C62"/>
    <w:rsid w:val="00F02C85"/>
    <w:rsid w:val="00F02CA0"/>
    <w:rsid w:val="00F02CA2"/>
    <w:rsid w:val="00F02CDE"/>
    <w:rsid w:val="00F02CE1"/>
    <w:rsid w:val="00F02CF8"/>
    <w:rsid w:val="00F02D1C"/>
    <w:rsid w:val="00F02D41"/>
    <w:rsid w:val="00F02D53"/>
    <w:rsid w:val="00F02D58"/>
    <w:rsid w:val="00F02D5B"/>
    <w:rsid w:val="00F02D8C"/>
    <w:rsid w:val="00F02DF4"/>
    <w:rsid w:val="00F02E0C"/>
    <w:rsid w:val="00F02E1D"/>
    <w:rsid w:val="00F02E6C"/>
    <w:rsid w:val="00F02E85"/>
    <w:rsid w:val="00F02EC4"/>
    <w:rsid w:val="00F02EC9"/>
    <w:rsid w:val="00F02F15"/>
    <w:rsid w:val="00F02F41"/>
    <w:rsid w:val="00F03083"/>
    <w:rsid w:val="00F0308E"/>
    <w:rsid w:val="00F030A5"/>
    <w:rsid w:val="00F03142"/>
    <w:rsid w:val="00F03149"/>
    <w:rsid w:val="00F031C1"/>
    <w:rsid w:val="00F0321D"/>
    <w:rsid w:val="00F0323B"/>
    <w:rsid w:val="00F0324E"/>
    <w:rsid w:val="00F03284"/>
    <w:rsid w:val="00F03299"/>
    <w:rsid w:val="00F032FF"/>
    <w:rsid w:val="00F03304"/>
    <w:rsid w:val="00F03337"/>
    <w:rsid w:val="00F0335A"/>
    <w:rsid w:val="00F033C0"/>
    <w:rsid w:val="00F033D2"/>
    <w:rsid w:val="00F03443"/>
    <w:rsid w:val="00F0344D"/>
    <w:rsid w:val="00F03494"/>
    <w:rsid w:val="00F034A4"/>
    <w:rsid w:val="00F034F1"/>
    <w:rsid w:val="00F03566"/>
    <w:rsid w:val="00F03575"/>
    <w:rsid w:val="00F03584"/>
    <w:rsid w:val="00F0358C"/>
    <w:rsid w:val="00F035B5"/>
    <w:rsid w:val="00F035F3"/>
    <w:rsid w:val="00F03601"/>
    <w:rsid w:val="00F036BF"/>
    <w:rsid w:val="00F03725"/>
    <w:rsid w:val="00F03792"/>
    <w:rsid w:val="00F037C4"/>
    <w:rsid w:val="00F037C6"/>
    <w:rsid w:val="00F037E8"/>
    <w:rsid w:val="00F03803"/>
    <w:rsid w:val="00F0383A"/>
    <w:rsid w:val="00F03877"/>
    <w:rsid w:val="00F0389A"/>
    <w:rsid w:val="00F03920"/>
    <w:rsid w:val="00F039B0"/>
    <w:rsid w:val="00F039C0"/>
    <w:rsid w:val="00F039EE"/>
    <w:rsid w:val="00F03A01"/>
    <w:rsid w:val="00F03A9B"/>
    <w:rsid w:val="00F03AB8"/>
    <w:rsid w:val="00F03ACF"/>
    <w:rsid w:val="00F03ADC"/>
    <w:rsid w:val="00F03B17"/>
    <w:rsid w:val="00F03BDB"/>
    <w:rsid w:val="00F03C13"/>
    <w:rsid w:val="00F03C79"/>
    <w:rsid w:val="00F03C95"/>
    <w:rsid w:val="00F03CAA"/>
    <w:rsid w:val="00F03CB0"/>
    <w:rsid w:val="00F03CFA"/>
    <w:rsid w:val="00F03D9E"/>
    <w:rsid w:val="00F03DBE"/>
    <w:rsid w:val="00F03DC3"/>
    <w:rsid w:val="00F03DD4"/>
    <w:rsid w:val="00F03E0D"/>
    <w:rsid w:val="00F03E80"/>
    <w:rsid w:val="00F03E99"/>
    <w:rsid w:val="00F03E9A"/>
    <w:rsid w:val="00F03EEA"/>
    <w:rsid w:val="00F03F9B"/>
    <w:rsid w:val="00F03F9D"/>
    <w:rsid w:val="00F03FAC"/>
    <w:rsid w:val="00F03FD5"/>
    <w:rsid w:val="00F040D0"/>
    <w:rsid w:val="00F040FB"/>
    <w:rsid w:val="00F0416A"/>
    <w:rsid w:val="00F04181"/>
    <w:rsid w:val="00F041C5"/>
    <w:rsid w:val="00F04215"/>
    <w:rsid w:val="00F04221"/>
    <w:rsid w:val="00F04266"/>
    <w:rsid w:val="00F04267"/>
    <w:rsid w:val="00F04295"/>
    <w:rsid w:val="00F0435A"/>
    <w:rsid w:val="00F0437F"/>
    <w:rsid w:val="00F04394"/>
    <w:rsid w:val="00F043DB"/>
    <w:rsid w:val="00F04408"/>
    <w:rsid w:val="00F04425"/>
    <w:rsid w:val="00F044B0"/>
    <w:rsid w:val="00F0452F"/>
    <w:rsid w:val="00F045A3"/>
    <w:rsid w:val="00F045AD"/>
    <w:rsid w:val="00F045D1"/>
    <w:rsid w:val="00F045E4"/>
    <w:rsid w:val="00F045E6"/>
    <w:rsid w:val="00F04621"/>
    <w:rsid w:val="00F046FC"/>
    <w:rsid w:val="00F04703"/>
    <w:rsid w:val="00F04746"/>
    <w:rsid w:val="00F0478B"/>
    <w:rsid w:val="00F0478F"/>
    <w:rsid w:val="00F04834"/>
    <w:rsid w:val="00F0487A"/>
    <w:rsid w:val="00F04880"/>
    <w:rsid w:val="00F04887"/>
    <w:rsid w:val="00F048BA"/>
    <w:rsid w:val="00F048EE"/>
    <w:rsid w:val="00F04931"/>
    <w:rsid w:val="00F04941"/>
    <w:rsid w:val="00F0498C"/>
    <w:rsid w:val="00F04A33"/>
    <w:rsid w:val="00F04A5C"/>
    <w:rsid w:val="00F04B2B"/>
    <w:rsid w:val="00F04B3A"/>
    <w:rsid w:val="00F04B6D"/>
    <w:rsid w:val="00F04B7F"/>
    <w:rsid w:val="00F04B94"/>
    <w:rsid w:val="00F04B95"/>
    <w:rsid w:val="00F04BA2"/>
    <w:rsid w:val="00F04BA5"/>
    <w:rsid w:val="00F04BD6"/>
    <w:rsid w:val="00F04BEB"/>
    <w:rsid w:val="00F04C41"/>
    <w:rsid w:val="00F04CC4"/>
    <w:rsid w:val="00F04CE4"/>
    <w:rsid w:val="00F04D7C"/>
    <w:rsid w:val="00F04D88"/>
    <w:rsid w:val="00F04DA7"/>
    <w:rsid w:val="00F04DC6"/>
    <w:rsid w:val="00F04E1C"/>
    <w:rsid w:val="00F04E32"/>
    <w:rsid w:val="00F04E4E"/>
    <w:rsid w:val="00F04F56"/>
    <w:rsid w:val="00F04F74"/>
    <w:rsid w:val="00F04FBD"/>
    <w:rsid w:val="00F04FDC"/>
    <w:rsid w:val="00F04FDE"/>
    <w:rsid w:val="00F04FFA"/>
    <w:rsid w:val="00F0503D"/>
    <w:rsid w:val="00F05047"/>
    <w:rsid w:val="00F05057"/>
    <w:rsid w:val="00F050F0"/>
    <w:rsid w:val="00F0511A"/>
    <w:rsid w:val="00F05142"/>
    <w:rsid w:val="00F05151"/>
    <w:rsid w:val="00F0515E"/>
    <w:rsid w:val="00F0519B"/>
    <w:rsid w:val="00F051E1"/>
    <w:rsid w:val="00F05241"/>
    <w:rsid w:val="00F052C3"/>
    <w:rsid w:val="00F052E6"/>
    <w:rsid w:val="00F0537E"/>
    <w:rsid w:val="00F053B5"/>
    <w:rsid w:val="00F053C5"/>
    <w:rsid w:val="00F05415"/>
    <w:rsid w:val="00F054F2"/>
    <w:rsid w:val="00F05519"/>
    <w:rsid w:val="00F05540"/>
    <w:rsid w:val="00F05554"/>
    <w:rsid w:val="00F05559"/>
    <w:rsid w:val="00F055A7"/>
    <w:rsid w:val="00F055C3"/>
    <w:rsid w:val="00F055D0"/>
    <w:rsid w:val="00F055EA"/>
    <w:rsid w:val="00F055F6"/>
    <w:rsid w:val="00F05718"/>
    <w:rsid w:val="00F05755"/>
    <w:rsid w:val="00F057AC"/>
    <w:rsid w:val="00F0582C"/>
    <w:rsid w:val="00F058B9"/>
    <w:rsid w:val="00F05905"/>
    <w:rsid w:val="00F05938"/>
    <w:rsid w:val="00F05973"/>
    <w:rsid w:val="00F0597E"/>
    <w:rsid w:val="00F059A6"/>
    <w:rsid w:val="00F059B0"/>
    <w:rsid w:val="00F059B4"/>
    <w:rsid w:val="00F05A0F"/>
    <w:rsid w:val="00F05A2C"/>
    <w:rsid w:val="00F05A3D"/>
    <w:rsid w:val="00F05A95"/>
    <w:rsid w:val="00F05AA1"/>
    <w:rsid w:val="00F05AF0"/>
    <w:rsid w:val="00F05B63"/>
    <w:rsid w:val="00F05B78"/>
    <w:rsid w:val="00F05B7A"/>
    <w:rsid w:val="00F05B7B"/>
    <w:rsid w:val="00F05BD6"/>
    <w:rsid w:val="00F05BFE"/>
    <w:rsid w:val="00F05CC9"/>
    <w:rsid w:val="00F05CD7"/>
    <w:rsid w:val="00F05D12"/>
    <w:rsid w:val="00F05DB6"/>
    <w:rsid w:val="00F05DEE"/>
    <w:rsid w:val="00F05E0A"/>
    <w:rsid w:val="00F05E40"/>
    <w:rsid w:val="00F05ED1"/>
    <w:rsid w:val="00F05F02"/>
    <w:rsid w:val="00F05F6E"/>
    <w:rsid w:val="00F05FED"/>
    <w:rsid w:val="00F0600C"/>
    <w:rsid w:val="00F06016"/>
    <w:rsid w:val="00F0601C"/>
    <w:rsid w:val="00F06059"/>
    <w:rsid w:val="00F06089"/>
    <w:rsid w:val="00F060AC"/>
    <w:rsid w:val="00F06103"/>
    <w:rsid w:val="00F06133"/>
    <w:rsid w:val="00F06165"/>
    <w:rsid w:val="00F06235"/>
    <w:rsid w:val="00F06251"/>
    <w:rsid w:val="00F0625A"/>
    <w:rsid w:val="00F0627D"/>
    <w:rsid w:val="00F062A6"/>
    <w:rsid w:val="00F062CD"/>
    <w:rsid w:val="00F062CE"/>
    <w:rsid w:val="00F062F2"/>
    <w:rsid w:val="00F06328"/>
    <w:rsid w:val="00F0632A"/>
    <w:rsid w:val="00F06338"/>
    <w:rsid w:val="00F06341"/>
    <w:rsid w:val="00F0635B"/>
    <w:rsid w:val="00F0636D"/>
    <w:rsid w:val="00F063C1"/>
    <w:rsid w:val="00F06415"/>
    <w:rsid w:val="00F06448"/>
    <w:rsid w:val="00F06468"/>
    <w:rsid w:val="00F0649E"/>
    <w:rsid w:val="00F064E7"/>
    <w:rsid w:val="00F06546"/>
    <w:rsid w:val="00F06567"/>
    <w:rsid w:val="00F0658C"/>
    <w:rsid w:val="00F065B1"/>
    <w:rsid w:val="00F065D3"/>
    <w:rsid w:val="00F0660F"/>
    <w:rsid w:val="00F0669D"/>
    <w:rsid w:val="00F06706"/>
    <w:rsid w:val="00F0670D"/>
    <w:rsid w:val="00F067B8"/>
    <w:rsid w:val="00F067D3"/>
    <w:rsid w:val="00F06856"/>
    <w:rsid w:val="00F068BC"/>
    <w:rsid w:val="00F068FB"/>
    <w:rsid w:val="00F06904"/>
    <w:rsid w:val="00F06914"/>
    <w:rsid w:val="00F06956"/>
    <w:rsid w:val="00F069EA"/>
    <w:rsid w:val="00F06A48"/>
    <w:rsid w:val="00F06A5A"/>
    <w:rsid w:val="00F06A8F"/>
    <w:rsid w:val="00F06ADD"/>
    <w:rsid w:val="00F06B04"/>
    <w:rsid w:val="00F06B0A"/>
    <w:rsid w:val="00F06B11"/>
    <w:rsid w:val="00F06B43"/>
    <w:rsid w:val="00F06B97"/>
    <w:rsid w:val="00F06BBA"/>
    <w:rsid w:val="00F06C1D"/>
    <w:rsid w:val="00F06C49"/>
    <w:rsid w:val="00F06CCB"/>
    <w:rsid w:val="00F06CEA"/>
    <w:rsid w:val="00F06D04"/>
    <w:rsid w:val="00F06D2E"/>
    <w:rsid w:val="00F06D77"/>
    <w:rsid w:val="00F06D93"/>
    <w:rsid w:val="00F06DC9"/>
    <w:rsid w:val="00F06DEC"/>
    <w:rsid w:val="00F06E63"/>
    <w:rsid w:val="00F06E81"/>
    <w:rsid w:val="00F06ED9"/>
    <w:rsid w:val="00F06EFA"/>
    <w:rsid w:val="00F06F23"/>
    <w:rsid w:val="00F06F56"/>
    <w:rsid w:val="00F06FDE"/>
    <w:rsid w:val="00F06FE9"/>
    <w:rsid w:val="00F07025"/>
    <w:rsid w:val="00F070D7"/>
    <w:rsid w:val="00F0712B"/>
    <w:rsid w:val="00F07132"/>
    <w:rsid w:val="00F07141"/>
    <w:rsid w:val="00F07183"/>
    <w:rsid w:val="00F071B9"/>
    <w:rsid w:val="00F071BF"/>
    <w:rsid w:val="00F071E3"/>
    <w:rsid w:val="00F07253"/>
    <w:rsid w:val="00F072E7"/>
    <w:rsid w:val="00F07305"/>
    <w:rsid w:val="00F07338"/>
    <w:rsid w:val="00F0739B"/>
    <w:rsid w:val="00F073A9"/>
    <w:rsid w:val="00F073D2"/>
    <w:rsid w:val="00F073D5"/>
    <w:rsid w:val="00F07469"/>
    <w:rsid w:val="00F07485"/>
    <w:rsid w:val="00F07493"/>
    <w:rsid w:val="00F074E8"/>
    <w:rsid w:val="00F0750C"/>
    <w:rsid w:val="00F07522"/>
    <w:rsid w:val="00F07541"/>
    <w:rsid w:val="00F0756D"/>
    <w:rsid w:val="00F075A8"/>
    <w:rsid w:val="00F0762D"/>
    <w:rsid w:val="00F0775C"/>
    <w:rsid w:val="00F07799"/>
    <w:rsid w:val="00F07866"/>
    <w:rsid w:val="00F078B9"/>
    <w:rsid w:val="00F078CE"/>
    <w:rsid w:val="00F078D6"/>
    <w:rsid w:val="00F078E7"/>
    <w:rsid w:val="00F078E8"/>
    <w:rsid w:val="00F07967"/>
    <w:rsid w:val="00F07A45"/>
    <w:rsid w:val="00F07A4A"/>
    <w:rsid w:val="00F07AC4"/>
    <w:rsid w:val="00F07B24"/>
    <w:rsid w:val="00F07B39"/>
    <w:rsid w:val="00F07B41"/>
    <w:rsid w:val="00F07B51"/>
    <w:rsid w:val="00F07B5B"/>
    <w:rsid w:val="00F07BA0"/>
    <w:rsid w:val="00F07C8D"/>
    <w:rsid w:val="00F07CA4"/>
    <w:rsid w:val="00F07D3D"/>
    <w:rsid w:val="00F07D4D"/>
    <w:rsid w:val="00F07D68"/>
    <w:rsid w:val="00F07D91"/>
    <w:rsid w:val="00F07E1A"/>
    <w:rsid w:val="00F07E5D"/>
    <w:rsid w:val="00F07F56"/>
    <w:rsid w:val="00F07FA9"/>
    <w:rsid w:val="00F07FE0"/>
    <w:rsid w:val="00F10045"/>
    <w:rsid w:val="00F10059"/>
    <w:rsid w:val="00F100B6"/>
    <w:rsid w:val="00F100C2"/>
    <w:rsid w:val="00F100CF"/>
    <w:rsid w:val="00F100EE"/>
    <w:rsid w:val="00F1011D"/>
    <w:rsid w:val="00F10120"/>
    <w:rsid w:val="00F1013C"/>
    <w:rsid w:val="00F10140"/>
    <w:rsid w:val="00F101A1"/>
    <w:rsid w:val="00F101A7"/>
    <w:rsid w:val="00F101E3"/>
    <w:rsid w:val="00F1021E"/>
    <w:rsid w:val="00F1022C"/>
    <w:rsid w:val="00F10232"/>
    <w:rsid w:val="00F1026A"/>
    <w:rsid w:val="00F1027D"/>
    <w:rsid w:val="00F102AC"/>
    <w:rsid w:val="00F102EC"/>
    <w:rsid w:val="00F1039D"/>
    <w:rsid w:val="00F103BF"/>
    <w:rsid w:val="00F10425"/>
    <w:rsid w:val="00F10439"/>
    <w:rsid w:val="00F104CD"/>
    <w:rsid w:val="00F1055F"/>
    <w:rsid w:val="00F105F5"/>
    <w:rsid w:val="00F1063E"/>
    <w:rsid w:val="00F10645"/>
    <w:rsid w:val="00F10674"/>
    <w:rsid w:val="00F1068A"/>
    <w:rsid w:val="00F1070F"/>
    <w:rsid w:val="00F107A3"/>
    <w:rsid w:val="00F107A7"/>
    <w:rsid w:val="00F107C6"/>
    <w:rsid w:val="00F107DD"/>
    <w:rsid w:val="00F10820"/>
    <w:rsid w:val="00F108F3"/>
    <w:rsid w:val="00F10901"/>
    <w:rsid w:val="00F10937"/>
    <w:rsid w:val="00F109AD"/>
    <w:rsid w:val="00F109B3"/>
    <w:rsid w:val="00F10A48"/>
    <w:rsid w:val="00F10A6E"/>
    <w:rsid w:val="00F10AE5"/>
    <w:rsid w:val="00F10AE7"/>
    <w:rsid w:val="00F10BBA"/>
    <w:rsid w:val="00F10BD6"/>
    <w:rsid w:val="00F10C04"/>
    <w:rsid w:val="00F10C6B"/>
    <w:rsid w:val="00F10C75"/>
    <w:rsid w:val="00F10D0F"/>
    <w:rsid w:val="00F10D1C"/>
    <w:rsid w:val="00F10D31"/>
    <w:rsid w:val="00F10D37"/>
    <w:rsid w:val="00F10DD6"/>
    <w:rsid w:val="00F10E13"/>
    <w:rsid w:val="00F10E3B"/>
    <w:rsid w:val="00F10E3F"/>
    <w:rsid w:val="00F10E44"/>
    <w:rsid w:val="00F10ED4"/>
    <w:rsid w:val="00F10EDC"/>
    <w:rsid w:val="00F10EEB"/>
    <w:rsid w:val="00F10F54"/>
    <w:rsid w:val="00F10FC9"/>
    <w:rsid w:val="00F10FFB"/>
    <w:rsid w:val="00F1101E"/>
    <w:rsid w:val="00F1104B"/>
    <w:rsid w:val="00F110CA"/>
    <w:rsid w:val="00F11129"/>
    <w:rsid w:val="00F11141"/>
    <w:rsid w:val="00F111A7"/>
    <w:rsid w:val="00F111FF"/>
    <w:rsid w:val="00F11278"/>
    <w:rsid w:val="00F112A2"/>
    <w:rsid w:val="00F112D1"/>
    <w:rsid w:val="00F112EA"/>
    <w:rsid w:val="00F112FC"/>
    <w:rsid w:val="00F11351"/>
    <w:rsid w:val="00F11358"/>
    <w:rsid w:val="00F1136C"/>
    <w:rsid w:val="00F113A5"/>
    <w:rsid w:val="00F113AA"/>
    <w:rsid w:val="00F1143D"/>
    <w:rsid w:val="00F1144B"/>
    <w:rsid w:val="00F11471"/>
    <w:rsid w:val="00F114A8"/>
    <w:rsid w:val="00F1150C"/>
    <w:rsid w:val="00F1156E"/>
    <w:rsid w:val="00F1158E"/>
    <w:rsid w:val="00F11625"/>
    <w:rsid w:val="00F1164E"/>
    <w:rsid w:val="00F11668"/>
    <w:rsid w:val="00F11675"/>
    <w:rsid w:val="00F116C4"/>
    <w:rsid w:val="00F1174E"/>
    <w:rsid w:val="00F11759"/>
    <w:rsid w:val="00F117CA"/>
    <w:rsid w:val="00F117F3"/>
    <w:rsid w:val="00F11899"/>
    <w:rsid w:val="00F118B6"/>
    <w:rsid w:val="00F11900"/>
    <w:rsid w:val="00F11960"/>
    <w:rsid w:val="00F1196F"/>
    <w:rsid w:val="00F119CC"/>
    <w:rsid w:val="00F11A24"/>
    <w:rsid w:val="00F11A2C"/>
    <w:rsid w:val="00F11A42"/>
    <w:rsid w:val="00F11A80"/>
    <w:rsid w:val="00F11B1F"/>
    <w:rsid w:val="00F11B32"/>
    <w:rsid w:val="00F11C21"/>
    <w:rsid w:val="00F11C6B"/>
    <w:rsid w:val="00F11C74"/>
    <w:rsid w:val="00F11C86"/>
    <w:rsid w:val="00F11CA2"/>
    <w:rsid w:val="00F11CE5"/>
    <w:rsid w:val="00F11CFE"/>
    <w:rsid w:val="00F11D1A"/>
    <w:rsid w:val="00F11D39"/>
    <w:rsid w:val="00F11DB2"/>
    <w:rsid w:val="00F11DC3"/>
    <w:rsid w:val="00F11E0D"/>
    <w:rsid w:val="00F11F1C"/>
    <w:rsid w:val="00F11F33"/>
    <w:rsid w:val="00F11F69"/>
    <w:rsid w:val="00F11F6C"/>
    <w:rsid w:val="00F11F94"/>
    <w:rsid w:val="00F11FB5"/>
    <w:rsid w:val="00F11FCC"/>
    <w:rsid w:val="00F12008"/>
    <w:rsid w:val="00F12031"/>
    <w:rsid w:val="00F12044"/>
    <w:rsid w:val="00F120B4"/>
    <w:rsid w:val="00F1212C"/>
    <w:rsid w:val="00F12191"/>
    <w:rsid w:val="00F1221B"/>
    <w:rsid w:val="00F1225C"/>
    <w:rsid w:val="00F12275"/>
    <w:rsid w:val="00F122B7"/>
    <w:rsid w:val="00F122CA"/>
    <w:rsid w:val="00F122E2"/>
    <w:rsid w:val="00F122E9"/>
    <w:rsid w:val="00F12329"/>
    <w:rsid w:val="00F1232E"/>
    <w:rsid w:val="00F123AD"/>
    <w:rsid w:val="00F123C1"/>
    <w:rsid w:val="00F123CF"/>
    <w:rsid w:val="00F1242E"/>
    <w:rsid w:val="00F12434"/>
    <w:rsid w:val="00F124AD"/>
    <w:rsid w:val="00F125DA"/>
    <w:rsid w:val="00F12623"/>
    <w:rsid w:val="00F12680"/>
    <w:rsid w:val="00F12681"/>
    <w:rsid w:val="00F12691"/>
    <w:rsid w:val="00F126AD"/>
    <w:rsid w:val="00F12711"/>
    <w:rsid w:val="00F12758"/>
    <w:rsid w:val="00F1278E"/>
    <w:rsid w:val="00F127E5"/>
    <w:rsid w:val="00F1282F"/>
    <w:rsid w:val="00F12839"/>
    <w:rsid w:val="00F12895"/>
    <w:rsid w:val="00F128FA"/>
    <w:rsid w:val="00F12928"/>
    <w:rsid w:val="00F12989"/>
    <w:rsid w:val="00F129AE"/>
    <w:rsid w:val="00F129B8"/>
    <w:rsid w:val="00F129CE"/>
    <w:rsid w:val="00F12A2F"/>
    <w:rsid w:val="00F12A3B"/>
    <w:rsid w:val="00F12A44"/>
    <w:rsid w:val="00F12ABD"/>
    <w:rsid w:val="00F12AD0"/>
    <w:rsid w:val="00F12B26"/>
    <w:rsid w:val="00F12B9A"/>
    <w:rsid w:val="00F12BBA"/>
    <w:rsid w:val="00F12BE6"/>
    <w:rsid w:val="00F12C1C"/>
    <w:rsid w:val="00F12C4A"/>
    <w:rsid w:val="00F12CB7"/>
    <w:rsid w:val="00F12CD8"/>
    <w:rsid w:val="00F12CF2"/>
    <w:rsid w:val="00F12D11"/>
    <w:rsid w:val="00F12D39"/>
    <w:rsid w:val="00F12DBB"/>
    <w:rsid w:val="00F12E05"/>
    <w:rsid w:val="00F12EC5"/>
    <w:rsid w:val="00F12EF0"/>
    <w:rsid w:val="00F12EF2"/>
    <w:rsid w:val="00F12F55"/>
    <w:rsid w:val="00F12FA2"/>
    <w:rsid w:val="00F12FBB"/>
    <w:rsid w:val="00F12FDF"/>
    <w:rsid w:val="00F12FFF"/>
    <w:rsid w:val="00F1300A"/>
    <w:rsid w:val="00F13022"/>
    <w:rsid w:val="00F130DF"/>
    <w:rsid w:val="00F130FC"/>
    <w:rsid w:val="00F13120"/>
    <w:rsid w:val="00F13165"/>
    <w:rsid w:val="00F13183"/>
    <w:rsid w:val="00F13212"/>
    <w:rsid w:val="00F13246"/>
    <w:rsid w:val="00F132AF"/>
    <w:rsid w:val="00F132BF"/>
    <w:rsid w:val="00F132E7"/>
    <w:rsid w:val="00F13335"/>
    <w:rsid w:val="00F13367"/>
    <w:rsid w:val="00F134F7"/>
    <w:rsid w:val="00F13528"/>
    <w:rsid w:val="00F1352B"/>
    <w:rsid w:val="00F135A8"/>
    <w:rsid w:val="00F135D2"/>
    <w:rsid w:val="00F135FA"/>
    <w:rsid w:val="00F13621"/>
    <w:rsid w:val="00F13653"/>
    <w:rsid w:val="00F13683"/>
    <w:rsid w:val="00F13696"/>
    <w:rsid w:val="00F13811"/>
    <w:rsid w:val="00F13857"/>
    <w:rsid w:val="00F1387B"/>
    <w:rsid w:val="00F138BC"/>
    <w:rsid w:val="00F13920"/>
    <w:rsid w:val="00F1395B"/>
    <w:rsid w:val="00F1397A"/>
    <w:rsid w:val="00F139EF"/>
    <w:rsid w:val="00F13A5D"/>
    <w:rsid w:val="00F13AA7"/>
    <w:rsid w:val="00F13AC0"/>
    <w:rsid w:val="00F13AD0"/>
    <w:rsid w:val="00F13AE9"/>
    <w:rsid w:val="00F13AFC"/>
    <w:rsid w:val="00F13B07"/>
    <w:rsid w:val="00F13B24"/>
    <w:rsid w:val="00F13B82"/>
    <w:rsid w:val="00F13C0D"/>
    <w:rsid w:val="00F13C39"/>
    <w:rsid w:val="00F13C8F"/>
    <w:rsid w:val="00F13CB4"/>
    <w:rsid w:val="00F13CD1"/>
    <w:rsid w:val="00F13D07"/>
    <w:rsid w:val="00F13D4D"/>
    <w:rsid w:val="00F13D54"/>
    <w:rsid w:val="00F13E52"/>
    <w:rsid w:val="00F13ED9"/>
    <w:rsid w:val="00F13EF7"/>
    <w:rsid w:val="00F13F2B"/>
    <w:rsid w:val="00F13F42"/>
    <w:rsid w:val="00F13F74"/>
    <w:rsid w:val="00F13F96"/>
    <w:rsid w:val="00F13FD7"/>
    <w:rsid w:val="00F13FD8"/>
    <w:rsid w:val="00F13FE0"/>
    <w:rsid w:val="00F13FEB"/>
    <w:rsid w:val="00F13FF2"/>
    <w:rsid w:val="00F13FF9"/>
    <w:rsid w:val="00F14003"/>
    <w:rsid w:val="00F140A6"/>
    <w:rsid w:val="00F140F0"/>
    <w:rsid w:val="00F140FD"/>
    <w:rsid w:val="00F1410D"/>
    <w:rsid w:val="00F14126"/>
    <w:rsid w:val="00F14147"/>
    <w:rsid w:val="00F1417B"/>
    <w:rsid w:val="00F14188"/>
    <w:rsid w:val="00F14229"/>
    <w:rsid w:val="00F14262"/>
    <w:rsid w:val="00F142E9"/>
    <w:rsid w:val="00F1438E"/>
    <w:rsid w:val="00F144B6"/>
    <w:rsid w:val="00F1453F"/>
    <w:rsid w:val="00F14571"/>
    <w:rsid w:val="00F145D0"/>
    <w:rsid w:val="00F145FC"/>
    <w:rsid w:val="00F14642"/>
    <w:rsid w:val="00F1464D"/>
    <w:rsid w:val="00F14685"/>
    <w:rsid w:val="00F1471C"/>
    <w:rsid w:val="00F147FF"/>
    <w:rsid w:val="00F1481C"/>
    <w:rsid w:val="00F14872"/>
    <w:rsid w:val="00F14885"/>
    <w:rsid w:val="00F14886"/>
    <w:rsid w:val="00F148FF"/>
    <w:rsid w:val="00F1492E"/>
    <w:rsid w:val="00F1494E"/>
    <w:rsid w:val="00F14965"/>
    <w:rsid w:val="00F14971"/>
    <w:rsid w:val="00F14983"/>
    <w:rsid w:val="00F14984"/>
    <w:rsid w:val="00F14997"/>
    <w:rsid w:val="00F149BF"/>
    <w:rsid w:val="00F14A54"/>
    <w:rsid w:val="00F14A60"/>
    <w:rsid w:val="00F14A8D"/>
    <w:rsid w:val="00F14B3F"/>
    <w:rsid w:val="00F14BA2"/>
    <w:rsid w:val="00F14C22"/>
    <w:rsid w:val="00F14C6F"/>
    <w:rsid w:val="00F14C8E"/>
    <w:rsid w:val="00F14CB4"/>
    <w:rsid w:val="00F14D0A"/>
    <w:rsid w:val="00F14D2E"/>
    <w:rsid w:val="00F14DA8"/>
    <w:rsid w:val="00F14DCC"/>
    <w:rsid w:val="00F14E20"/>
    <w:rsid w:val="00F14E42"/>
    <w:rsid w:val="00F14E51"/>
    <w:rsid w:val="00F14E63"/>
    <w:rsid w:val="00F14E76"/>
    <w:rsid w:val="00F14E7C"/>
    <w:rsid w:val="00F14E9E"/>
    <w:rsid w:val="00F14F55"/>
    <w:rsid w:val="00F14F60"/>
    <w:rsid w:val="00F15087"/>
    <w:rsid w:val="00F150B2"/>
    <w:rsid w:val="00F150C8"/>
    <w:rsid w:val="00F150D3"/>
    <w:rsid w:val="00F150F9"/>
    <w:rsid w:val="00F15173"/>
    <w:rsid w:val="00F15240"/>
    <w:rsid w:val="00F152AA"/>
    <w:rsid w:val="00F152AF"/>
    <w:rsid w:val="00F15322"/>
    <w:rsid w:val="00F1533B"/>
    <w:rsid w:val="00F153A3"/>
    <w:rsid w:val="00F15413"/>
    <w:rsid w:val="00F15417"/>
    <w:rsid w:val="00F154D5"/>
    <w:rsid w:val="00F1557E"/>
    <w:rsid w:val="00F155AF"/>
    <w:rsid w:val="00F155B9"/>
    <w:rsid w:val="00F155E1"/>
    <w:rsid w:val="00F155EB"/>
    <w:rsid w:val="00F155F3"/>
    <w:rsid w:val="00F15600"/>
    <w:rsid w:val="00F15678"/>
    <w:rsid w:val="00F15684"/>
    <w:rsid w:val="00F156A5"/>
    <w:rsid w:val="00F156B2"/>
    <w:rsid w:val="00F15705"/>
    <w:rsid w:val="00F15766"/>
    <w:rsid w:val="00F15775"/>
    <w:rsid w:val="00F15788"/>
    <w:rsid w:val="00F1578F"/>
    <w:rsid w:val="00F157AD"/>
    <w:rsid w:val="00F157B1"/>
    <w:rsid w:val="00F158AC"/>
    <w:rsid w:val="00F158E5"/>
    <w:rsid w:val="00F15912"/>
    <w:rsid w:val="00F1592F"/>
    <w:rsid w:val="00F159A1"/>
    <w:rsid w:val="00F159EC"/>
    <w:rsid w:val="00F15A4E"/>
    <w:rsid w:val="00F15A73"/>
    <w:rsid w:val="00F15A7B"/>
    <w:rsid w:val="00F15A86"/>
    <w:rsid w:val="00F15A90"/>
    <w:rsid w:val="00F15AB5"/>
    <w:rsid w:val="00F15B10"/>
    <w:rsid w:val="00F15B32"/>
    <w:rsid w:val="00F15B36"/>
    <w:rsid w:val="00F15B60"/>
    <w:rsid w:val="00F15B67"/>
    <w:rsid w:val="00F15C18"/>
    <w:rsid w:val="00F15CA0"/>
    <w:rsid w:val="00F15CAC"/>
    <w:rsid w:val="00F15CC7"/>
    <w:rsid w:val="00F15CD7"/>
    <w:rsid w:val="00F15CDB"/>
    <w:rsid w:val="00F15CEF"/>
    <w:rsid w:val="00F15D0F"/>
    <w:rsid w:val="00F15D50"/>
    <w:rsid w:val="00F15D5E"/>
    <w:rsid w:val="00F15DCD"/>
    <w:rsid w:val="00F15E36"/>
    <w:rsid w:val="00F15E4F"/>
    <w:rsid w:val="00F15ECE"/>
    <w:rsid w:val="00F15EE9"/>
    <w:rsid w:val="00F15F0E"/>
    <w:rsid w:val="00F15F24"/>
    <w:rsid w:val="00F15F50"/>
    <w:rsid w:val="00F15F6C"/>
    <w:rsid w:val="00F15FC9"/>
    <w:rsid w:val="00F16047"/>
    <w:rsid w:val="00F1604D"/>
    <w:rsid w:val="00F1605C"/>
    <w:rsid w:val="00F16089"/>
    <w:rsid w:val="00F160B4"/>
    <w:rsid w:val="00F1610D"/>
    <w:rsid w:val="00F16116"/>
    <w:rsid w:val="00F1613E"/>
    <w:rsid w:val="00F16179"/>
    <w:rsid w:val="00F1617C"/>
    <w:rsid w:val="00F161D0"/>
    <w:rsid w:val="00F161F7"/>
    <w:rsid w:val="00F161FF"/>
    <w:rsid w:val="00F16223"/>
    <w:rsid w:val="00F163C8"/>
    <w:rsid w:val="00F163F9"/>
    <w:rsid w:val="00F1648D"/>
    <w:rsid w:val="00F164D3"/>
    <w:rsid w:val="00F16557"/>
    <w:rsid w:val="00F16577"/>
    <w:rsid w:val="00F165BF"/>
    <w:rsid w:val="00F165C6"/>
    <w:rsid w:val="00F16627"/>
    <w:rsid w:val="00F16630"/>
    <w:rsid w:val="00F16639"/>
    <w:rsid w:val="00F1671B"/>
    <w:rsid w:val="00F1677F"/>
    <w:rsid w:val="00F16782"/>
    <w:rsid w:val="00F1678C"/>
    <w:rsid w:val="00F1679A"/>
    <w:rsid w:val="00F1679C"/>
    <w:rsid w:val="00F16807"/>
    <w:rsid w:val="00F16850"/>
    <w:rsid w:val="00F16852"/>
    <w:rsid w:val="00F1685B"/>
    <w:rsid w:val="00F16898"/>
    <w:rsid w:val="00F1689C"/>
    <w:rsid w:val="00F168E2"/>
    <w:rsid w:val="00F168F6"/>
    <w:rsid w:val="00F16901"/>
    <w:rsid w:val="00F16982"/>
    <w:rsid w:val="00F169AA"/>
    <w:rsid w:val="00F169D9"/>
    <w:rsid w:val="00F169F5"/>
    <w:rsid w:val="00F16A0E"/>
    <w:rsid w:val="00F16A8D"/>
    <w:rsid w:val="00F16AA8"/>
    <w:rsid w:val="00F16AA9"/>
    <w:rsid w:val="00F16AAD"/>
    <w:rsid w:val="00F16AD8"/>
    <w:rsid w:val="00F16B3D"/>
    <w:rsid w:val="00F16BAA"/>
    <w:rsid w:val="00F16BDF"/>
    <w:rsid w:val="00F16BE2"/>
    <w:rsid w:val="00F16CAF"/>
    <w:rsid w:val="00F16D90"/>
    <w:rsid w:val="00F16DA2"/>
    <w:rsid w:val="00F16E52"/>
    <w:rsid w:val="00F16EA3"/>
    <w:rsid w:val="00F16EAD"/>
    <w:rsid w:val="00F16EE7"/>
    <w:rsid w:val="00F16F33"/>
    <w:rsid w:val="00F16F78"/>
    <w:rsid w:val="00F16FB3"/>
    <w:rsid w:val="00F16FD8"/>
    <w:rsid w:val="00F17072"/>
    <w:rsid w:val="00F17078"/>
    <w:rsid w:val="00F17082"/>
    <w:rsid w:val="00F1714C"/>
    <w:rsid w:val="00F17156"/>
    <w:rsid w:val="00F17186"/>
    <w:rsid w:val="00F171D6"/>
    <w:rsid w:val="00F171E7"/>
    <w:rsid w:val="00F171F5"/>
    <w:rsid w:val="00F1724A"/>
    <w:rsid w:val="00F1727A"/>
    <w:rsid w:val="00F172AF"/>
    <w:rsid w:val="00F1733D"/>
    <w:rsid w:val="00F173CE"/>
    <w:rsid w:val="00F1747B"/>
    <w:rsid w:val="00F1748A"/>
    <w:rsid w:val="00F174A8"/>
    <w:rsid w:val="00F175A7"/>
    <w:rsid w:val="00F175F0"/>
    <w:rsid w:val="00F17635"/>
    <w:rsid w:val="00F1765F"/>
    <w:rsid w:val="00F17683"/>
    <w:rsid w:val="00F1768A"/>
    <w:rsid w:val="00F1775E"/>
    <w:rsid w:val="00F177C3"/>
    <w:rsid w:val="00F17809"/>
    <w:rsid w:val="00F17836"/>
    <w:rsid w:val="00F1783E"/>
    <w:rsid w:val="00F178C6"/>
    <w:rsid w:val="00F178DC"/>
    <w:rsid w:val="00F1790B"/>
    <w:rsid w:val="00F17983"/>
    <w:rsid w:val="00F179FD"/>
    <w:rsid w:val="00F17A07"/>
    <w:rsid w:val="00F17A17"/>
    <w:rsid w:val="00F17A3E"/>
    <w:rsid w:val="00F17A9B"/>
    <w:rsid w:val="00F17AE2"/>
    <w:rsid w:val="00F17AF7"/>
    <w:rsid w:val="00F17B3E"/>
    <w:rsid w:val="00F17B78"/>
    <w:rsid w:val="00F17B8B"/>
    <w:rsid w:val="00F17C21"/>
    <w:rsid w:val="00F17C66"/>
    <w:rsid w:val="00F17CBF"/>
    <w:rsid w:val="00F17CD8"/>
    <w:rsid w:val="00F17CFB"/>
    <w:rsid w:val="00F17CFF"/>
    <w:rsid w:val="00F17D7F"/>
    <w:rsid w:val="00F17E30"/>
    <w:rsid w:val="00F17E45"/>
    <w:rsid w:val="00F17E53"/>
    <w:rsid w:val="00F17EC8"/>
    <w:rsid w:val="00F17F63"/>
    <w:rsid w:val="00F17FB4"/>
    <w:rsid w:val="00F17FCF"/>
    <w:rsid w:val="00F17FEE"/>
    <w:rsid w:val="00F20017"/>
    <w:rsid w:val="00F20060"/>
    <w:rsid w:val="00F200D3"/>
    <w:rsid w:val="00F20167"/>
    <w:rsid w:val="00F20221"/>
    <w:rsid w:val="00F20259"/>
    <w:rsid w:val="00F20284"/>
    <w:rsid w:val="00F202B0"/>
    <w:rsid w:val="00F202FA"/>
    <w:rsid w:val="00F2033E"/>
    <w:rsid w:val="00F20346"/>
    <w:rsid w:val="00F203ED"/>
    <w:rsid w:val="00F203FA"/>
    <w:rsid w:val="00F20430"/>
    <w:rsid w:val="00F20433"/>
    <w:rsid w:val="00F20490"/>
    <w:rsid w:val="00F204AB"/>
    <w:rsid w:val="00F20557"/>
    <w:rsid w:val="00F20594"/>
    <w:rsid w:val="00F205CE"/>
    <w:rsid w:val="00F205EA"/>
    <w:rsid w:val="00F20618"/>
    <w:rsid w:val="00F206DB"/>
    <w:rsid w:val="00F20703"/>
    <w:rsid w:val="00F20720"/>
    <w:rsid w:val="00F20740"/>
    <w:rsid w:val="00F2076C"/>
    <w:rsid w:val="00F20819"/>
    <w:rsid w:val="00F20845"/>
    <w:rsid w:val="00F2086C"/>
    <w:rsid w:val="00F208BF"/>
    <w:rsid w:val="00F2094F"/>
    <w:rsid w:val="00F20A49"/>
    <w:rsid w:val="00F20A61"/>
    <w:rsid w:val="00F20A8B"/>
    <w:rsid w:val="00F20AF9"/>
    <w:rsid w:val="00F20B12"/>
    <w:rsid w:val="00F20B20"/>
    <w:rsid w:val="00F20B26"/>
    <w:rsid w:val="00F20B39"/>
    <w:rsid w:val="00F20B94"/>
    <w:rsid w:val="00F20BF2"/>
    <w:rsid w:val="00F20C9B"/>
    <w:rsid w:val="00F20D4F"/>
    <w:rsid w:val="00F20D67"/>
    <w:rsid w:val="00F20DD3"/>
    <w:rsid w:val="00F20E0D"/>
    <w:rsid w:val="00F20F39"/>
    <w:rsid w:val="00F20F5C"/>
    <w:rsid w:val="00F20F84"/>
    <w:rsid w:val="00F20FB5"/>
    <w:rsid w:val="00F2104F"/>
    <w:rsid w:val="00F2108C"/>
    <w:rsid w:val="00F2111F"/>
    <w:rsid w:val="00F211F3"/>
    <w:rsid w:val="00F21218"/>
    <w:rsid w:val="00F21240"/>
    <w:rsid w:val="00F21265"/>
    <w:rsid w:val="00F212CB"/>
    <w:rsid w:val="00F212D4"/>
    <w:rsid w:val="00F212DD"/>
    <w:rsid w:val="00F212EC"/>
    <w:rsid w:val="00F212F3"/>
    <w:rsid w:val="00F2130F"/>
    <w:rsid w:val="00F21310"/>
    <w:rsid w:val="00F21332"/>
    <w:rsid w:val="00F21349"/>
    <w:rsid w:val="00F21388"/>
    <w:rsid w:val="00F213A7"/>
    <w:rsid w:val="00F213FE"/>
    <w:rsid w:val="00F21401"/>
    <w:rsid w:val="00F21460"/>
    <w:rsid w:val="00F21487"/>
    <w:rsid w:val="00F214AD"/>
    <w:rsid w:val="00F2156D"/>
    <w:rsid w:val="00F215D2"/>
    <w:rsid w:val="00F21666"/>
    <w:rsid w:val="00F2167D"/>
    <w:rsid w:val="00F21688"/>
    <w:rsid w:val="00F216B4"/>
    <w:rsid w:val="00F216F5"/>
    <w:rsid w:val="00F21718"/>
    <w:rsid w:val="00F2175A"/>
    <w:rsid w:val="00F2179E"/>
    <w:rsid w:val="00F217F8"/>
    <w:rsid w:val="00F21849"/>
    <w:rsid w:val="00F2184E"/>
    <w:rsid w:val="00F218FA"/>
    <w:rsid w:val="00F21938"/>
    <w:rsid w:val="00F21939"/>
    <w:rsid w:val="00F219F3"/>
    <w:rsid w:val="00F219F6"/>
    <w:rsid w:val="00F21A03"/>
    <w:rsid w:val="00F21A3C"/>
    <w:rsid w:val="00F21A44"/>
    <w:rsid w:val="00F21A5C"/>
    <w:rsid w:val="00F21A78"/>
    <w:rsid w:val="00F21B1B"/>
    <w:rsid w:val="00F21B39"/>
    <w:rsid w:val="00F21B43"/>
    <w:rsid w:val="00F21BB9"/>
    <w:rsid w:val="00F21BBF"/>
    <w:rsid w:val="00F21C30"/>
    <w:rsid w:val="00F21C85"/>
    <w:rsid w:val="00F21CDC"/>
    <w:rsid w:val="00F21CE5"/>
    <w:rsid w:val="00F21D44"/>
    <w:rsid w:val="00F21D6A"/>
    <w:rsid w:val="00F21DC0"/>
    <w:rsid w:val="00F21E15"/>
    <w:rsid w:val="00F21E8C"/>
    <w:rsid w:val="00F21F9B"/>
    <w:rsid w:val="00F21FCC"/>
    <w:rsid w:val="00F21FFF"/>
    <w:rsid w:val="00F220BF"/>
    <w:rsid w:val="00F220E0"/>
    <w:rsid w:val="00F2213C"/>
    <w:rsid w:val="00F22155"/>
    <w:rsid w:val="00F2217A"/>
    <w:rsid w:val="00F221D4"/>
    <w:rsid w:val="00F22249"/>
    <w:rsid w:val="00F2243F"/>
    <w:rsid w:val="00F22458"/>
    <w:rsid w:val="00F2247A"/>
    <w:rsid w:val="00F224A0"/>
    <w:rsid w:val="00F225BB"/>
    <w:rsid w:val="00F225E2"/>
    <w:rsid w:val="00F22664"/>
    <w:rsid w:val="00F22720"/>
    <w:rsid w:val="00F2281F"/>
    <w:rsid w:val="00F22822"/>
    <w:rsid w:val="00F22897"/>
    <w:rsid w:val="00F228DE"/>
    <w:rsid w:val="00F228E7"/>
    <w:rsid w:val="00F22934"/>
    <w:rsid w:val="00F2295F"/>
    <w:rsid w:val="00F2297D"/>
    <w:rsid w:val="00F229C4"/>
    <w:rsid w:val="00F229D8"/>
    <w:rsid w:val="00F22A37"/>
    <w:rsid w:val="00F22A3C"/>
    <w:rsid w:val="00F22A5C"/>
    <w:rsid w:val="00F22A69"/>
    <w:rsid w:val="00F22AA4"/>
    <w:rsid w:val="00F22AF2"/>
    <w:rsid w:val="00F22B18"/>
    <w:rsid w:val="00F22B2E"/>
    <w:rsid w:val="00F22B9E"/>
    <w:rsid w:val="00F22BA6"/>
    <w:rsid w:val="00F22BDE"/>
    <w:rsid w:val="00F22BF8"/>
    <w:rsid w:val="00F22BF9"/>
    <w:rsid w:val="00F22CBD"/>
    <w:rsid w:val="00F22DC2"/>
    <w:rsid w:val="00F22DE0"/>
    <w:rsid w:val="00F22E5E"/>
    <w:rsid w:val="00F22EA2"/>
    <w:rsid w:val="00F22F7C"/>
    <w:rsid w:val="00F22F94"/>
    <w:rsid w:val="00F22FAB"/>
    <w:rsid w:val="00F22FF9"/>
    <w:rsid w:val="00F23040"/>
    <w:rsid w:val="00F23096"/>
    <w:rsid w:val="00F2309A"/>
    <w:rsid w:val="00F23175"/>
    <w:rsid w:val="00F231B9"/>
    <w:rsid w:val="00F23237"/>
    <w:rsid w:val="00F2324F"/>
    <w:rsid w:val="00F23251"/>
    <w:rsid w:val="00F23281"/>
    <w:rsid w:val="00F232C5"/>
    <w:rsid w:val="00F232CC"/>
    <w:rsid w:val="00F2331C"/>
    <w:rsid w:val="00F2331D"/>
    <w:rsid w:val="00F23323"/>
    <w:rsid w:val="00F2336E"/>
    <w:rsid w:val="00F2338E"/>
    <w:rsid w:val="00F233BD"/>
    <w:rsid w:val="00F2341E"/>
    <w:rsid w:val="00F2342F"/>
    <w:rsid w:val="00F23475"/>
    <w:rsid w:val="00F234A2"/>
    <w:rsid w:val="00F23505"/>
    <w:rsid w:val="00F235EB"/>
    <w:rsid w:val="00F23656"/>
    <w:rsid w:val="00F2367E"/>
    <w:rsid w:val="00F23682"/>
    <w:rsid w:val="00F236CB"/>
    <w:rsid w:val="00F236CF"/>
    <w:rsid w:val="00F236ED"/>
    <w:rsid w:val="00F238AA"/>
    <w:rsid w:val="00F238C2"/>
    <w:rsid w:val="00F238C8"/>
    <w:rsid w:val="00F2395B"/>
    <w:rsid w:val="00F23981"/>
    <w:rsid w:val="00F239D7"/>
    <w:rsid w:val="00F23A79"/>
    <w:rsid w:val="00F23ACD"/>
    <w:rsid w:val="00F23AE1"/>
    <w:rsid w:val="00F23AF8"/>
    <w:rsid w:val="00F23AFF"/>
    <w:rsid w:val="00F23B67"/>
    <w:rsid w:val="00F23BBC"/>
    <w:rsid w:val="00F23BC1"/>
    <w:rsid w:val="00F23BD8"/>
    <w:rsid w:val="00F23C7C"/>
    <w:rsid w:val="00F23CE3"/>
    <w:rsid w:val="00F23CF0"/>
    <w:rsid w:val="00F23D4B"/>
    <w:rsid w:val="00F23D6C"/>
    <w:rsid w:val="00F23D7B"/>
    <w:rsid w:val="00F23D81"/>
    <w:rsid w:val="00F23D82"/>
    <w:rsid w:val="00F23DC0"/>
    <w:rsid w:val="00F23E28"/>
    <w:rsid w:val="00F23E5D"/>
    <w:rsid w:val="00F23E5E"/>
    <w:rsid w:val="00F23E67"/>
    <w:rsid w:val="00F23EDC"/>
    <w:rsid w:val="00F23EF0"/>
    <w:rsid w:val="00F23EFF"/>
    <w:rsid w:val="00F23F90"/>
    <w:rsid w:val="00F23F95"/>
    <w:rsid w:val="00F23FE9"/>
    <w:rsid w:val="00F2402F"/>
    <w:rsid w:val="00F2404A"/>
    <w:rsid w:val="00F2405B"/>
    <w:rsid w:val="00F2405E"/>
    <w:rsid w:val="00F24063"/>
    <w:rsid w:val="00F240CF"/>
    <w:rsid w:val="00F240EC"/>
    <w:rsid w:val="00F24134"/>
    <w:rsid w:val="00F24141"/>
    <w:rsid w:val="00F2418B"/>
    <w:rsid w:val="00F241BA"/>
    <w:rsid w:val="00F241BD"/>
    <w:rsid w:val="00F24237"/>
    <w:rsid w:val="00F242A9"/>
    <w:rsid w:val="00F242C7"/>
    <w:rsid w:val="00F2430F"/>
    <w:rsid w:val="00F24314"/>
    <w:rsid w:val="00F2434E"/>
    <w:rsid w:val="00F24359"/>
    <w:rsid w:val="00F243F1"/>
    <w:rsid w:val="00F24439"/>
    <w:rsid w:val="00F24440"/>
    <w:rsid w:val="00F24441"/>
    <w:rsid w:val="00F2446A"/>
    <w:rsid w:val="00F24539"/>
    <w:rsid w:val="00F24560"/>
    <w:rsid w:val="00F24580"/>
    <w:rsid w:val="00F2459B"/>
    <w:rsid w:val="00F245B6"/>
    <w:rsid w:val="00F24602"/>
    <w:rsid w:val="00F24611"/>
    <w:rsid w:val="00F2465C"/>
    <w:rsid w:val="00F246B7"/>
    <w:rsid w:val="00F2470B"/>
    <w:rsid w:val="00F24722"/>
    <w:rsid w:val="00F24746"/>
    <w:rsid w:val="00F24786"/>
    <w:rsid w:val="00F24841"/>
    <w:rsid w:val="00F24872"/>
    <w:rsid w:val="00F248E0"/>
    <w:rsid w:val="00F248FD"/>
    <w:rsid w:val="00F2498B"/>
    <w:rsid w:val="00F2499D"/>
    <w:rsid w:val="00F2499E"/>
    <w:rsid w:val="00F249C0"/>
    <w:rsid w:val="00F249D8"/>
    <w:rsid w:val="00F249F6"/>
    <w:rsid w:val="00F24A57"/>
    <w:rsid w:val="00F24A85"/>
    <w:rsid w:val="00F24A9E"/>
    <w:rsid w:val="00F24ABE"/>
    <w:rsid w:val="00F24ACE"/>
    <w:rsid w:val="00F24B00"/>
    <w:rsid w:val="00F24B87"/>
    <w:rsid w:val="00F24BE0"/>
    <w:rsid w:val="00F24BEE"/>
    <w:rsid w:val="00F24BFC"/>
    <w:rsid w:val="00F24C4D"/>
    <w:rsid w:val="00F24C68"/>
    <w:rsid w:val="00F24CA5"/>
    <w:rsid w:val="00F24D1A"/>
    <w:rsid w:val="00F24D54"/>
    <w:rsid w:val="00F24D78"/>
    <w:rsid w:val="00F24DF7"/>
    <w:rsid w:val="00F24E1F"/>
    <w:rsid w:val="00F24EE2"/>
    <w:rsid w:val="00F24F0A"/>
    <w:rsid w:val="00F24F3A"/>
    <w:rsid w:val="00F24F3B"/>
    <w:rsid w:val="00F24F46"/>
    <w:rsid w:val="00F24F78"/>
    <w:rsid w:val="00F25066"/>
    <w:rsid w:val="00F25113"/>
    <w:rsid w:val="00F25128"/>
    <w:rsid w:val="00F25233"/>
    <w:rsid w:val="00F25239"/>
    <w:rsid w:val="00F25245"/>
    <w:rsid w:val="00F25263"/>
    <w:rsid w:val="00F2529E"/>
    <w:rsid w:val="00F2529F"/>
    <w:rsid w:val="00F252AF"/>
    <w:rsid w:val="00F252E1"/>
    <w:rsid w:val="00F252E8"/>
    <w:rsid w:val="00F25305"/>
    <w:rsid w:val="00F25307"/>
    <w:rsid w:val="00F2535D"/>
    <w:rsid w:val="00F25377"/>
    <w:rsid w:val="00F25393"/>
    <w:rsid w:val="00F253C4"/>
    <w:rsid w:val="00F253E4"/>
    <w:rsid w:val="00F25447"/>
    <w:rsid w:val="00F25574"/>
    <w:rsid w:val="00F25578"/>
    <w:rsid w:val="00F255C0"/>
    <w:rsid w:val="00F255D8"/>
    <w:rsid w:val="00F255DB"/>
    <w:rsid w:val="00F255E1"/>
    <w:rsid w:val="00F255E7"/>
    <w:rsid w:val="00F255FA"/>
    <w:rsid w:val="00F25631"/>
    <w:rsid w:val="00F2572F"/>
    <w:rsid w:val="00F257F0"/>
    <w:rsid w:val="00F25808"/>
    <w:rsid w:val="00F25817"/>
    <w:rsid w:val="00F25826"/>
    <w:rsid w:val="00F25831"/>
    <w:rsid w:val="00F25860"/>
    <w:rsid w:val="00F258CA"/>
    <w:rsid w:val="00F259D7"/>
    <w:rsid w:val="00F25B13"/>
    <w:rsid w:val="00F25B2E"/>
    <w:rsid w:val="00F25C08"/>
    <w:rsid w:val="00F25C1E"/>
    <w:rsid w:val="00F25CE1"/>
    <w:rsid w:val="00F25D90"/>
    <w:rsid w:val="00F25D93"/>
    <w:rsid w:val="00F25DA8"/>
    <w:rsid w:val="00F25DFA"/>
    <w:rsid w:val="00F25E20"/>
    <w:rsid w:val="00F25E24"/>
    <w:rsid w:val="00F25EE1"/>
    <w:rsid w:val="00F26016"/>
    <w:rsid w:val="00F2606C"/>
    <w:rsid w:val="00F2608D"/>
    <w:rsid w:val="00F2610D"/>
    <w:rsid w:val="00F26194"/>
    <w:rsid w:val="00F26205"/>
    <w:rsid w:val="00F26222"/>
    <w:rsid w:val="00F26225"/>
    <w:rsid w:val="00F2626A"/>
    <w:rsid w:val="00F26293"/>
    <w:rsid w:val="00F2636E"/>
    <w:rsid w:val="00F26389"/>
    <w:rsid w:val="00F263A0"/>
    <w:rsid w:val="00F26443"/>
    <w:rsid w:val="00F26473"/>
    <w:rsid w:val="00F264CD"/>
    <w:rsid w:val="00F26535"/>
    <w:rsid w:val="00F26591"/>
    <w:rsid w:val="00F265E5"/>
    <w:rsid w:val="00F2665C"/>
    <w:rsid w:val="00F2667A"/>
    <w:rsid w:val="00F266E8"/>
    <w:rsid w:val="00F266EC"/>
    <w:rsid w:val="00F2671D"/>
    <w:rsid w:val="00F26784"/>
    <w:rsid w:val="00F26786"/>
    <w:rsid w:val="00F26808"/>
    <w:rsid w:val="00F2680E"/>
    <w:rsid w:val="00F2681F"/>
    <w:rsid w:val="00F2682E"/>
    <w:rsid w:val="00F2684A"/>
    <w:rsid w:val="00F26897"/>
    <w:rsid w:val="00F268A8"/>
    <w:rsid w:val="00F268B1"/>
    <w:rsid w:val="00F268BD"/>
    <w:rsid w:val="00F268FB"/>
    <w:rsid w:val="00F26900"/>
    <w:rsid w:val="00F26922"/>
    <w:rsid w:val="00F26931"/>
    <w:rsid w:val="00F26938"/>
    <w:rsid w:val="00F2697A"/>
    <w:rsid w:val="00F26994"/>
    <w:rsid w:val="00F26BD1"/>
    <w:rsid w:val="00F26C37"/>
    <w:rsid w:val="00F26C8B"/>
    <w:rsid w:val="00F26CD8"/>
    <w:rsid w:val="00F26DAB"/>
    <w:rsid w:val="00F26E10"/>
    <w:rsid w:val="00F26E48"/>
    <w:rsid w:val="00F26E4B"/>
    <w:rsid w:val="00F26EA2"/>
    <w:rsid w:val="00F26EBD"/>
    <w:rsid w:val="00F26ECA"/>
    <w:rsid w:val="00F26F4D"/>
    <w:rsid w:val="00F26F83"/>
    <w:rsid w:val="00F26FCE"/>
    <w:rsid w:val="00F27047"/>
    <w:rsid w:val="00F270B1"/>
    <w:rsid w:val="00F270C4"/>
    <w:rsid w:val="00F270CE"/>
    <w:rsid w:val="00F27198"/>
    <w:rsid w:val="00F27235"/>
    <w:rsid w:val="00F2725A"/>
    <w:rsid w:val="00F27276"/>
    <w:rsid w:val="00F27301"/>
    <w:rsid w:val="00F273C8"/>
    <w:rsid w:val="00F273F1"/>
    <w:rsid w:val="00F274AB"/>
    <w:rsid w:val="00F274C5"/>
    <w:rsid w:val="00F275B1"/>
    <w:rsid w:val="00F275C5"/>
    <w:rsid w:val="00F275CD"/>
    <w:rsid w:val="00F275D5"/>
    <w:rsid w:val="00F275E1"/>
    <w:rsid w:val="00F276B0"/>
    <w:rsid w:val="00F27711"/>
    <w:rsid w:val="00F27716"/>
    <w:rsid w:val="00F27739"/>
    <w:rsid w:val="00F2774F"/>
    <w:rsid w:val="00F27796"/>
    <w:rsid w:val="00F277FC"/>
    <w:rsid w:val="00F2783F"/>
    <w:rsid w:val="00F27856"/>
    <w:rsid w:val="00F2795A"/>
    <w:rsid w:val="00F27981"/>
    <w:rsid w:val="00F2798A"/>
    <w:rsid w:val="00F279BB"/>
    <w:rsid w:val="00F279EE"/>
    <w:rsid w:val="00F27A1D"/>
    <w:rsid w:val="00F27A8D"/>
    <w:rsid w:val="00F27AA9"/>
    <w:rsid w:val="00F27AD9"/>
    <w:rsid w:val="00F27B0F"/>
    <w:rsid w:val="00F27B51"/>
    <w:rsid w:val="00F27B72"/>
    <w:rsid w:val="00F27B9B"/>
    <w:rsid w:val="00F27BC7"/>
    <w:rsid w:val="00F27C26"/>
    <w:rsid w:val="00F27C33"/>
    <w:rsid w:val="00F27C3A"/>
    <w:rsid w:val="00F27C4A"/>
    <w:rsid w:val="00F27C56"/>
    <w:rsid w:val="00F27CB3"/>
    <w:rsid w:val="00F27CDA"/>
    <w:rsid w:val="00F27CFB"/>
    <w:rsid w:val="00F27DE8"/>
    <w:rsid w:val="00F27DED"/>
    <w:rsid w:val="00F27DF2"/>
    <w:rsid w:val="00F27DFA"/>
    <w:rsid w:val="00F27E09"/>
    <w:rsid w:val="00F27E33"/>
    <w:rsid w:val="00F27F37"/>
    <w:rsid w:val="00F27FB7"/>
    <w:rsid w:val="00F27FBC"/>
    <w:rsid w:val="00F30072"/>
    <w:rsid w:val="00F30073"/>
    <w:rsid w:val="00F300A1"/>
    <w:rsid w:val="00F300E3"/>
    <w:rsid w:val="00F3010A"/>
    <w:rsid w:val="00F30128"/>
    <w:rsid w:val="00F3014A"/>
    <w:rsid w:val="00F30166"/>
    <w:rsid w:val="00F30239"/>
    <w:rsid w:val="00F30273"/>
    <w:rsid w:val="00F30295"/>
    <w:rsid w:val="00F302B2"/>
    <w:rsid w:val="00F302B9"/>
    <w:rsid w:val="00F302BC"/>
    <w:rsid w:val="00F302C2"/>
    <w:rsid w:val="00F302D3"/>
    <w:rsid w:val="00F302DF"/>
    <w:rsid w:val="00F30360"/>
    <w:rsid w:val="00F303C1"/>
    <w:rsid w:val="00F303F3"/>
    <w:rsid w:val="00F303F7"/>
    <w:rsid w:val="00F3040C"/>
    <w:rsid w:val="00F3046E"/>
    <w:rsid w:val="00F3049D"/>
    <w:rsid w:val="00F304B0"/>
    <w:rsid w:val="00F304B6"/>
    <w:rsid w:val="00F304CD"/>
    <w:rsid w:val="00F30583"/>
    <w:rsid w:val="00F30612"/>
    <w:rsid w:val="00F30626"/>
    <w:rsid w:val="00F30645"/>
    <w:rsid w:val="00F3065F"/>
    <w:rsid w:val="00F3066D"/>
    <w:rsid w:val="00F30735"/>
    <w:rsid w:val="00F30737"/>
    <w:rsid w:val="00F30744"/>
    <w:rsid w:val="00F307D5"/>
    <w:rsid w:val="00F307F0"/>
    <w:rsid w:val="00F30833"/>
    <w:rsid w:val="00F3083A"/>
    <w:rsid w:val="00F3087C"/>
    <w:rsid w:val="00F3089A"/>
    <w:rsid w:val="00F308BD"/>
    <w:rsid w:val="00F308F5"/>
    <w:rsid w:val="00F30990"/>
    <w:rsid w:val="00F309A3"/>
    <w:rsid w:val="00F309CB"/>
    <w:rsid w:val="00F309D5"/>
    <w:rsid w:val="00F30A3B"/>
    <w:rsid w:val="00F30A73"/>
    <w:rsid w:val="00F30AB3"/>
    <w:rsid w:val="00F30ABF"/>
    <w:rsid w:val="00F30BAD"/>
    <w:rsid w:val="00F30BB9"/>
    <w:rsid w:val="00F30BCC"/>
    <w:rsid w:val="00F30BE5"/>
    <w:rsid w:val="00F30BEB"/>
    <w:rsid w:val="00F30C00"/>
    <w:rsid w:val="00F30C3A"/>
    <w:rsid w:val="00F30C3F"/>
    <w:rsid w:val="00F30C6C"/>
    <w:rsid w:val="00F30C83"/>
    <w:rsid w:val="00F30CA0"/>
    <w:rsid w:val="00F30CE1"/>
    <w:rsid w:val="00F30CFE"/>
    <w:rsid w:val="00F30D42"/>
    <w:rsid w:val="00F30D56"/>
    <w:rsid w:val="00F30F22"/>
    <w:rsid w:val="00F30F42"/>
    <w:rsid w:val="00F30F94"/>
    <w:rsid w:val="00F30F9F"/>
    <w:rsid w:val="00F31178"/>
    <w:rsid w:val="00F31194"/>
    <w:rsid w:val="00F311B5"/>
    <w:rsid w:val="00F311C1"/>
    <w:rsid w:val="00F3127C"/>
    <w:rsid w:val="00F31289"/>
    <w:rsid w:val="00F312AD"/>
    <w:rsid w:val="00F312C7"/>
    <w:rsid w:val="00F3130F"/>
    <w:rsid w:val="00F31368"/>
    <w:rsid w:val="00F3139A"/>
    <w:rsid w:val="00F313E6"/>
    <w:rsid w:val="00F31424"/>
    <w:rsid w:val="00F3149C"/>
    <w:rsid w:val="00F314DC"/>
    <w:rsid w:val="00F314DF"/>
    <w:rsid w:val="00F31504"/>
    <w:rsid w:val="00F31580"/>
    <w:rsid w:val="00F315A1"/>
    <w:rsid w:val="00F31697"/>
    <w:rsid w:val="00F316DE"/>
    <w:rsid w:val="00F316F8"/>
    <w:rsid w:val="00F31729"/>
    <w:rsid w:val="00F31749"/>
    <w:rsid w:val="00F317B9"/>
    <w:rsid w:val="00F31802"/>
    <w:rsid w:val="00F3183D"/>
    <w:rsid w:val="00F318AE"/>
    <w:rsid w:val="00F318B1"/>
    <w:rsid w:val="00F31921"/>
    <w:rsid w:val="00F31936"/>
    <w:rsid w:val="00F319A3"/>
    <w:rsid w:val="00F319AE"/>
    <w:rsid w:val="00F319F1"/>
    <w:rsid w:val="00F31A82"/>
    <w:rsid w:val="00F31A9F"/>
    <w:rsid w:val="00F31B0D"/>
    <w:rsid w:val="00F31B39"/>
    <w:rsid w:val="00F31BEC"/>
    <w:rsid w:val="00F31CBC"/>
    <w:rsid w:val="00F31CF2"/>
    <w:rsid w:val="00F31D5D"/>
    <w:rsid w:val="00F31D97"/>
    <w:rsid w:val="00F31DA2"/>
    <w:rsid w:val="00F31DEA"/>
    <w:rsid w:val="00F31E53"/>
    <w:rsid w:val="00F31E5D"/>
    <w:rsid w:val="00F31ECD"/>
    <w:rsid w:val="00F31F7E"/>
    <w:rsid w:val="00F31FB2"/>
    <w:rsid w:val="00F31FE8"/>
    <w:rsid w:val="00F3206C"/>
    <w:rsid w:val="00F32085"/>
    <w:rsid w:val="00F32117"/>
    <w:rsid w:val="00F3217D"/>
    <w:rsid w:val="00F321DF"/>
    <w:rsid w:val="00F321E4"/>
    <w:rsid w:val="00F32220"/>
    <w:rsid w:val="00F3222E"/>
    <w:rsid w:val="00F322A4"/>
    <w:rsid w:val="00F322CC"/>
    <w:rsid w:val="00F322D7"/>
    <w:rsid w:val="00F32311"/>
    <w:rsid w:val="00F3233A"/>
    <w:rsid w:val="00F32361"/>
    <w:rsid w:val="00F32387"/>
    <w:rsid w:val="00F32398"/>
    <w:rsid w:val="00F32415"/>
    <w:rsid w:val="00F3243A"/>
    <w:rsid w:val="00F32472"/>
    <w:rsid w:val="00F32518"/>
    <w:rsid w:val="00F32605"/>
    <w:rsid w:val="00F32685"/>
    <w:rsid w:val="00F326BF"/>
    <w:rsid w:val="00F32719"/>
    <w:rsid w:val="00F3273B"/>
    <w:rsid w:val="00F32741"/>
    <w:rsid w:val="00F32770"/>
    <w:rsid w:val="00F327DD"/>
    <w:rsid w:val="00F32817"/>
    <w:rsid w:val="00F32848"/>
    <w:rsid w:val="00F3287D"/>
    <w:rsid w:val="00F32881"/>
    <w:rsid w:val="00F328BF"/>
    <w:rsid w:val="00F3290B"/>
    <w:rsid w:val="00F3293A"/>
    <w:rsid w:val="00F32949"/>
    <w:rsid w:val="00F3294B"/>
    <w:rsid w:val="00F32958"/>
    <w:rsid w:val="00F329B6"/>
    <w:rsid w:val="00F329BC"/>
    <w:rsid w:val="00F329BD"/>
    <w:rsid w:val="00F329C6"/>
    <w:rsid w:val="00F329CD"/>
    <w:rsid w:val="00F32A0F"/>
    <w:rsid w:val="00F32A2C"/>
    <w:rsid w:val="00F32A7F"/>
    <w:rsid w:val="00F32ADD"/>
    <w:rsid w:val="00F32AF5"/>
    <w:rsid w:val="00F32B02"/>
    <w:rsid w:val="00F32C1C"/>
    <w:rsid w:val="00F32C28"/>
    <w:rsid w:val="00F32CA5"/>
    <w:rsid w:val="00F32CC3"/>
    <w:rsid w:val="00F32CE4"/>
    <w:rsid w:val="00F32CF3"/>
    <w:rsid w:val="00F32D64"/>
    <w:rsid w:val="00F32DBF"/>
    <w:rsid w:val="00F32E2A"/>
    <w:rsid w:val="00F32EC0"/>
    <w:rsid w:val="00F32EFC"/>
    <w:rsid w:val="00F32F69"/>
    <w:rsid w:val="00F32F9A"/>
    <w:rsid w:val="00F32FE8"/>
    <w:rsid w:val="00F33013"/>
    <w:rsid w:val="00F330A1"/>
    <w:rsid w:val="00F3313A"/>
    <w:rsid w:val="00F331DF"/>
    <w:rsid w:val="00F331FF"/>
    <w:rsid w:val="00F33220"/>
    <w:rsid w:val="00F3323C"/>
    <w:rsid w:val="00F33265"/>
    <w:rsid w:val="00F332A3"/>
    <w:rsid w:val="00F33333"/>
    <w:rsid w:val="00F33340"/>
    <w:rsid w:val="00F333AD"/>
    <w:rsid w:val="00F333CD"/>
    <w:rsid w:val="00F333FD"/>
    <w:rsid w:val="00F3340B"/>
    <w:rsid w:val="00F33423"/>
    <w:rsid w:val="00F33432"/>
    <w:rsid w:val="00F334E1"/>
    <w:rsid w:val="00F3351F"/>
    <w:rsid w:val="00F3356D"/>
    <w:rsid w:val="00F3358E"/>
    <w:rsid w:val="00F335E0"/>
    <w:rsid w:val="00F33608"/>
    <w:rsid w:val="00F3369B"/>
    <w:rsid w:val="00F336E1"/>
    <w:rsid w:val="00F337EE"/>
    <w:rsid w:val="00F3380A"/>
    <w:rsid w:val="00F33836"/>
    <w:rsid w:val="00F3384B"/>
    <w:rsid w:val="00F338A5"/>
    <w:rsid w:val="00F33923"/>
    <w:rsid w:val="00F33971"/>
    <w:rsid w:val="00F33987"/>
    <w:rsid w:val="00F33996"/>
    <w:rsid w:val="00F339CC"/>
    <w:rsid w:val="00F339F7"/>
    <w:rsid w:val="00F33A22"/>
    <w:rsid w:val="00F33A89"/>
    <w:rsid w:val="00F33AAE"/>
    <w:rsid w:val="00F33AE0"/>
    <w:rsid w:val="00F33AF1"/>
    <w:rsid w:val="00F33B2F"/>
    <w:rsid w:val="00F33B32"/>
    <w:rsid w:val="00F33BB8"/>
    <w:rsid w:val="00F33CB0"/>
    <w:rsid w:val="00F33CB9"/>
    <w:rsid w:val="00F33CC7"/>
    <w:rsid w:val="00F33CD6"/>
    <w:rsid w:val="00F33D10"/>
    <w:rsid w:val="00F33D11"/>
    <w:rsid w:val="00F33D21"/>
    <w:rsid w:val="00F33D2D"/>
    <w:rsid w:val="00F33D75"/>
    <w:rsid w:val="00F33E16"/>
    <w:rsid w:val="00F33E1B"/>
    <w:rsid w:val="00F33E29"/>
    <w:rsid w:val="00F33E4B"/>
    <w:rsid w:val="00F33E81"/>
    <w:rsid w:val="00F33F01"/>
    <w:rsid w:val="00F33F1B"/>
    <w:rsid w:val="00F33F2A"/>
    <w:rsid w:val="00F34043"/>
    <w:rsid w:val="00F3404A"/>
    <w:rsid w:val="00F34063"/>
    <w:rsid w:val="00F340B7"/>
    <w:rsid w:val="00F340DD"/>
    <w:rsid w:val="00F34126"/>
    <w:rsid w:val="00F34174"/>
    <w:rsid w:val="00F34177"/>
    <w:rsid w:val="00F341AA"/>
    <w:rsid w:val="00F341FD"/>
    <w:rsid w:val="00F34230"/>
    <w:rsid w:val="00F34254"/>
    <w:rsid w:val="00F34283"/>
    <w:rsid w:val="00F342DF"/>
    <w:rsid w:val="00F3433C"/>
    <w:rsid w:val="00F3439C"/>
    <w:rsid w:val="00F343BD"/>
    <w:rsid w:val="00F343C0"/>
    <w:rsid w:val="00F34403"/>
    <w:rsid w:val="00F344AC"/>
    <w:rsid w:val="00F34501"/>
    <w:rsid w:val="00F34584"/>
    <w:rsid w:val="00F345EB"/>
    <w:rsid w:val="00F34652"/>
    <w:rsid w:val="00F34657"/>
    <w:rsid w:val="00F346CD"/>
    <w:rsid w:val="00F346FE"/>
    <w:rsid w:val="00F3471C"/>
    <w:rsid w:val="00F347A0"/>
    <w:rsid w:val="00F347F3"/>
    <w:rsid w:val="00F34831"/>
    <w:rsid w:val="00F3486F"/>
    <w:rsid w:val="00F34A73"/>
    <w:rsid w:val="00F34A8D"/>
    <w:rsid w:val="00F34AB1"/>
    <w:rsid w:val="00F34AD3"/>
    <w:rsid w:val="00F34B35"/>
    <w:rsid w:val="00F34C2A"/>
    <w:rsid w:val="00F34C47"/>
    <w:rsid w:val="00F34C97"/>
    <w:rsid w:val="00F34D16"/>
    <w:rsid w:val="00F34D55"/>
    <w:rsid w:val="00F34E2C"/>
    <w:rsid w:val="00F34E8C"/>
    <w:rsid w:val="00F34E90"/>
    <w:rsid w:val="00F34E9A"/>
    <w:rsid w:val="00F34EAF"/>
    <w:rsid w:val="00F34F41"/>
    <w:rsid w:val="00F35052"/>
    <w:rsid w:val="00F3508F"/>
    <w:rsid w:val="00F35136"/>
    <w:rsid w:val="00F3513A"/>
    <w:rsid w:val="00F35141"/>
    <w:rsid w:val="00F35183"/>
    <w:rsid w:val="00F35224"/>
    <w:rsid w:val="00F35255"/>
    <w:rsid w:val="00F3526E"/>
    <w:rsid w:val="00F3527C"/>
    <w:rsid w:val="00F3528E"/>
    <w:rsid w:val="00F3529B"/>
    <w:rsid w:val="00F35314"/>
    <w:rsid w:val="00F35318"/>
    <w:rsid w:val="00F353F5"/>
    <w:rsid w:val="00F35426"/>
    <w:rsid w:val="00F35432"/>
    <w:rsid w:val="00F35441"/>
    <w:rsid w:val="00F35507"/>
    <w:rsid w:val="00F35538"/>
    <w:rsid w:val="00F3559F"/>
    <w:rsid w:val="00F3565C"/>
    <w:rsid w:val="00F35666"/>
    <w:rsid w:val="00F3566B"/>
    <w:rsid w:val="00F356BE"/>
    <w:rsid w:val="00F356F5"/>
    <w:rsid w:val="00F35700"/>
    <w:rsid w:val="00F35727"/>
    <w:rsid w:val="00F357DE"/>
    <w:rsid w:val="00F35800"/>
    <w:rsid w:val="00F35806"/>
    <w:rsid w:val="00F3581E"/>
    <w:rsid w:val="00F35845"/>
    <w:rsid w:val="00F3590E"/>
    <w:rsid w:val="00F3591B"/>
    <w:rsid w:val="00F35926"/>
    <w:rsid w:val="00F359B1"/>
    <w:rsid w:val="00F359DA"/>
    <w:rsid w:val="00F359FD"/>
    <w:rsid w:val="00F35A27"/>
    <w:rsid w:val="00F35A4C"/>
    <w:rsid w:val="00F35ABA"/>
    <w:rsid w:val="00F35AEA"/>
    <w:rsid w:val="00F35AF3"/>
    <w:rsid w:val="00F35B5E"/>
    <w:rsid w:val="00F35B82"/>
    <w:rsid w:val="00F35BF8"/>
    <w:rsid w:val="00F35C08"/>
    <w:rsid w:val="00F35C95"/>
    <w:rsid w:val="00F35C97"/>
    <w:rsid w:val="00F35D0C"/>
    <w:rsid w:val="00F35DB2"/>
    <w:rsid w:val="00F35E15"/>
    <w:rsid w:val="00F35F61"/>
    <w:rsid w:val="00F35FCB"/>
    <w:rsid w:val="00F36055"/>
    <w:rsid w:val="00F360E7"/>
    <w:rsid w:val="00F360F5"/>
    <w:rsid w:val="00F360FE"/>
    <w:rsid w:val="00F36106"/>
    <w:rsid w:val="00F3610A"/>
    <w:rsid w:val="00F36154"/>
    <w:rsid w:val="00F3615C"/>
    <w:rsid w:val="00F36192"/>
    <w:rsid w:val="00F3619B"/>
    <w:rsid w:val="00F361FC"/>
    <w:rsid w:val="00F36231"/>
    <w:rsid w:val="00F36260"/>
    <w:rsid w:val="00F36267"/>
    <w:rsid w:val="00F36278"/>
    <w:rsid w:val="00F362A2"/>
    <w:rsid w:val="00F362AC"/>
    <w:rsid w:val="00F362E6"/>
    <w:rsid w:val="00F36323"/>
    <w:rsid w:val="00F3633A"/>
    <w:rsid w:val="00F363CE"/>
    <w:rsid w:val="00F36407"/>
    <w:rsid w:val="00F364B1"/>
    <w:rsid w:val="00F364C9"/>
    <w:rsid w:val="00F36523"/>
    <w:rsid w:val="00F36562"/>
    <w:rsid w:val="00F3658C"/>
    <w:rsid w:val="00F365C6"/>
    <w:rsid w:val="00F365F6"/>
    <w:rsid w:val="00F366BA"/>
    <w:rsid w:val="00F36714"/>
    <w:rsid w:val="00F36749"/>
    <w:rsid w:val="00F3676A"/>
    <w:rsid w:val="00F367D3"/>
    <w:rsid w:val="00F367D8"/>
    <w:rsid w:val="00F36807"/>
    <w:rsid w:val="00F3689B"/>
    <w:rsid w:val="00F36931"/>
    <w:rsid w:val="00F3697C"/>
    <w:rsid w:val="00F36990"/>
    <w:rsid w:val="00F369B4"/>
    <w:rsid w:val="00F369BB"/>
    <w:rsid w:val="00F36A1B"/>
    <w:rsid w:val="00F36A4C"/>
    <w:rsid w:val="00F36A5B"/>
    <w:rsid w:val="00F36A90"/>
    <w:rsid w:val="00F36AAE"/>
    <w:rsid w:val="00F36AD9"/>
    <w:rsid w:val="00F36B65"/>
    <w:rsid w:val="00F36B91"/>
    <w:rsid w:val="00F36BA3"/>
    <w:rsid w:val="00F36C6A"/>
    <w:rsid w:val="00F36CAC"/>
    <w:rsid w:val="00F36CED"/>
    <w:rsid w:val="00F36D4F"/>
    <w:rsid w:val="00F36D51"/>
    <w:rsid w:val="00F36DD8"/>
    <w:rsid w:val="00F36E83"/>
    <w:rsid w:val="00F36F48"/>
    <w:rsid w:val="00F36FD0"/>
    <w:rsid w:val="00F3701B"/>
    <w:rsid w:val="00F37075"/>
    <w:rsid w:val="00F3715F"/>
    <w:rsid w:val="00F371D9"/>
    <w:rsid w:val="00F3728B"/>
    <w:rsid w:val="00F37309"/>
    <w:rsid w:val="00F37323"/>
    <w:rsid w:val="00F3732C"/>
    <w:rsid w:val="00F373EE"/>
    <w:rsid w:val="00F3740B"/>
    <w:rsid w:val="00F37442"/>
    <w:rsid w:val="00F3746F"/>
    <w:rsid w:val="00F37480"/>
    <w:rsid w:val="00F37489"/>
    <w:rsid w:val="00F374A9"/>
    <w:rsid w:val="00F37524"/>
    <w:rsid w:val="00F37571"/>
    <w:rsid w:val="00F375BD"/>
    <w:rsid w:val="00F375D3"/>
    <w:rsid w:val="00F37606"/>
    <w:rsid w:val="00F3762E"/>
    <w:rsid w:val="00F37664"/>
    <w:rsid w:val="00F3768D"/>
    <w:rsid w:val="00F37708"/>
    <w:rsid w:val="00F37709"/>
    <w:rsid w:val="00F37761"/>
    <w:rsid w:val="00F37798"/>
    <w:rsid w:val="00F3779B"/>
    <w:rsid w:val="00F377EE"/>
    <w:rsid w:val="00F378A2"/>
    <w:rsid w:val="00F378A9"/>
    <w:rsid w:val="00F378BE"/>
    <w:rsid w:val="00F378C5"/>
    <w:rsid w:val="00F378E8"/>
    <w:rsid w:val="00F37935"/>
    <w:rsid w:val="00F3794D"/>
    <w:rsid w:val="00F37960"/>
    <w:rsid w:val="00F379B3"/>
    <w:rsid w:val="00F379B6"/>
    <w:rsid w:val="00F379FF"/>
    <w:rsid w:val="00F37A19"/>
    <w:rsid w:val="00F37A46"/>
    <w:rsid w:val="00F37A4D"/>
    <w:rsid w:val="00F37A76"/>
    <w:rsid w:val="00F37A88"/>
    <w:rsid w:val="00F37A8D"/>
    <w:rsid w:val="00F37A90"/>
    <w:rsid w:val="00F37AD4"/>
    <w:rsid w:val="00F37ADB"/>
    <w:rsid w:val="00F37AEC"/>
    <w:rsid w:val="00F37B26"/>
    <w:rsid w:val="00F37B6D"/>
    <w:rsid w:val="00F37C16"/>
    <w:rsid w:val="00F37C99"/>
    <w:rsid w:val="00F37CC2"/>
    <w:rsid w:val="00F37D5A"/>
    <w:rsid w:val="00F37DA5"/>
    <w:rsid w:val="00F37DC4"/>
    <w:rsid w:val="00F37DD8"/>
    <w:rsid w:val="00F37E2C"/>
    <w:rsid w:val="00F37EC8"/>
    <w:rsid w:val="00F37EDF"/>
    <w:rsid w:val="00F37F06"/>
    <w:rsid w:val="00F37F59"/>
    <w:rsid w:val="00F37F64"/>
    <w:rsid w:val="00F37F7E"/>
    <w:rsid w:val="00F37FE1"/>
    <w:rsid w:val="00F4009D"/>
    <w:rsid w:val="00F4012C"/>
    <w:rsid w:val="00F40163"/>
    <w:rsid w:val="00F40188"/>
    <w:rsid w:val="00F401DC"/>
    <w:rsid w:val="00F401ED"/>
    <w:rsid w:val="00F401FD"/>
    <w:rsid w:val="00F40249"/>
    <w:rsid w:val="00F402CA"/>
    <w:rsid w:val="00F402E7"/>
    <w:rsid w:val="00F40323"/>
    <w:rsid w:val="00F40385"/>
    <w:rsid w:val="00F403E6"/>
    <w:rsid w:val="00F4041B"/>
    <w:rsid w:val="00F4043F"/>
    <w:rsid w:val="00F40497"/>
    <w:rsid w:val="00F40589"/>
    <w:rsid w:val="00F405E9"/>
    <w:rsid w:val="00F4064D"/>
    <w:rsid w:val="00F40657"/>
    <w:rsid w:val="00F4068D"/>
    <w:rsid w:val="00F4069B"/>
    <w:rsid w:val="00F40700"/>
    <w:rsid w:val="00F4070F"/>
    <w:rsid w:val="00F4071B"/>
    <w:rsid w:val="00F40720"/>
    <w:rsid w:val="00F4077E"/>
    <w:rsid w:val="00F407C4"/>
    <w:rsid w:val="00F407E7"/>
    <w:rsid w:val="00F40805"/>
    <w:rsid w:val="00F40826"/>
    <w:rsid w:val="00F408D6"/>
    <w:rsid w:val="00F408E5"/>
    <w:rsid w:val="00F40916"/>
    <w:rsid w:val="00F40A4C"/>
    <w:rsid w:val="00F40A59"/>
    <w:rsid w:val="00F40AC0"/>
    <w:rsid w:val="00F40AD6"/>
    <w:rsid w:val="00F40AFE"/>
    <w:rsid w:val="00F40B85"/>
    <w:rsid w:val="00F40C01"/>
    <w:rsid w:val="00F40C4F"/>
    <w:rsid w:val="00F40D36"/>
    <w:rsid w:val="00F40D65"/>
    <w:rsid w:val="00F40E08"/>
    <w:rsid w:val="00F40E44"/>
    <w:rsid w:val="00F40E6B"/>
    <w:rsid w:val="00F40EDD"/>
    <w:rsid w:val="00F40F54"/>
    <w:rsid w:val="00F40F68"/>
    <w:rsid w:val="00F40FD5"/>
    <w:rsid w:val="00F4100C"/>
    <w:rsid w:val="00F410DF"/>
    <w:rsid w:val="00F41151"/>
    <w:rsid w:val="00F411A9"/>
    <w:rsid w:val="00F411B3"/>
    <w:rsid w:val="00F411D0"/>
    <w:rsid w:val="00F4120B"/>
    <w:rsid w:val="00F4123A"/>
    <w:rsid w:val="00F4128F"/>
    <w:rsid w:val="00F412AE"/>
    <w:rsid w:val="00F41312"/>
    <w:rsid w:val="00F4138D"/>
    <w:rsid w:val="00F413A6"/>
    <w:rsid w:val="00F4142E"/>
    <w:rsid w:val="00F41441"/>
    <w:rsid w:val="00F4145E"/>
    <w:rsid w:val="00F414AA"/>
    <w:rsid w:val="00F414EE"/>
    <w:rsid w:val="00F4151F"/>
    <w:rsid w:val="00F41599"/>
    <w:rsid w:val="00F415F2"/>
    <w:rsid w:val="00F41607"/>
    <w:rsid w:val="00F41707"/>
    <w:rsid w:val="00F4174C"/>
    <w:rsid w:val="00F4174F"/>
    <w:rsid w:val="00F41803"/>
    <w:rsid w:val="00F41813"/>
    <w:rsid w:val="00F4185C"/>
    <w:rsid w:val="00F418AB"/>
    <w:rsid w:val="00F418BB"/>
    <w:rsid w:val="00F418D8"/>
    <w:rsid w:val="00F418E2"/>
    <w:rsid w:val="00F418EE"/>
    <w:rsid w:val="00F418FE"/>
    <w:rsid w:val="00F41957"/>
    <w:rsid w:val="00F41965"/>
    <w:rsid w:val="00F41973"/>
    <w:rsid w:val="00F41995"/>
    <w:rsid w:val="00F419AA"/>
    <w:rsid w:val="00F419AB"/>
    <w:rsid w:val="00F419C2"/>
    <w:rsid w:val="00F41A17"/>
    <w:rsid w:val="00F41A3A"/>
    <w:rsid w:val="00F41A82"/>
    <w:rsid w:val="00F41AAF"/>
    <w:rsid w:val="00F41AEA"/>
    <w:rsid w:val="00F41B3F"/>
    <w:rsid w:val="00F41B5A"/>
    <w:rsid w:val="00F41B86"/>
    <w:rsid w:val="00F41B87"/>
    <w:rsid w:val="00F41C21"/>
    <w:rsid w:val="00F41C23"/>
    <w:rsid w:val="00F41C89"/>
    <w:rsid w:val="00F41C9C"/>
    <w:rsid w:val="00F41CC6"/>
    <w:rsid w:val="00F41D45"/>
    <w:rsid w:val="00F41D62"/>
    <w:rsid w:val="00F41E0C"/>
    <w:rsid w:val="00F41E5B"/>
    <w:rsid w:val="00F41E7B"/>
    <w:rsid w:val="00F41F48"/>
    <w:rsid w:val="00F41F90"/>
    <w:rsid w:val="00F41FA1"/>
    <w:rsid w:val="00F42023"/>
    <w:rsid w:val="00F42035"/>
    <w:rsid w:val="00F42050"/>
    <w:rsid w:val="00F4206D"/>
    <w:rsid w:val="00F42082"/>
    <w:rsid w:val="00F4209C"/>
    <w:rsid w:val="00F420DB"/>
    <w:rsid w:val="00F420E4"/>
    <w:rsid w:val="00F420EB"/>
    <w:rsid w:val="00F420F7"/>
    <w:rsid w:val="00F4210C"/>
    <w:rsid w:val="00F42149"/>
    <w:rsid w:val="00F4214B"/>
    <w:rsid w:val="00F421EE"/>
    <w:rsid w:val="00F42231"/>
    <w:rsid w:val="00F4224A"/>
    <w:rsid w:val="00F42261"/>
    <w:rsid w:val="00F4233A"/>
    <w:rsid w:val="00F42349"/>
    <w:rsid w:val="00F4237F"/>
    <w:rsid w:val="00F4239B"/>
    <w:rsid w:val="00F423BC"/>
    <w:rsid w:val="00F423FB"/>
    <w:rsid w:val="00F424D4"/>
    <w:rsid w:val="00F424D9"/>
    <w:rsid w:val="00F4255C"/>
    <w:rsid w:val="00F42587"/>
    <w:rsid w:val="00F426AB"/>
    <w:rsid w:val="00F426D9"/>
    <w:rsid w:val="00F426DF"/>
    <w:rsid w:val="00F4272E"/>
    <w:rsid w:val="00F42742"/>
    <w:rsid w:val="00F4276E"/>
    <w:rsid w:val="00F42795"/>
    <w:rsid w:val="00F427A7"/>
    <w:rsid w:val="00F427DF"/>
    <w:rsid w:val="00F42802"/>
    <w:rsid w:val="00F42830"/>
    <w:rsid w:val="00F4285A"/>
    <w:rsid w:val="00F428CF"/>
    <w:rsid w:val="00F42904"/>
    <w:rsid w:val="00F42907"/>
    <w:rsid w:val="00F42932"/>
    <w:rsid w:val="00F42954"/>
    <w:rsid w:val="00F42969"/>
    <w:rsid w:val="00F429A8"/>
    <w:rsid w:val="00F429F2"/>
    <w:rsid w:val="00F42A29"/>
    <w:rsid w:val="00F42A57"/>
    <w:rsid w:val="00F42AEB"/>
    <w:rsid w:val="00F42AF8"/>
    <w:rsid w:val="00F42B05"/>
    <w:rsid w:val="00F42B2B"/>
    <w:rsid w:val="00F42BBB"/>
    <w:rsid w:val="00F42BDF"/>
    <w:rsid w:val="00F42BEC"/>
    <w:rsid w:val="00F42C02"/>
    <w:rsid w:val="00F42C0A"/>
    <w:rsid w:val="00F42D27"/>
    <w:rsid w:val="00F42D49"/>
    <w:rsid w:val="00F42D8C"/>
    <w:rsid w:val="00F42DD0"/>
    <w:rsid w:val="00F42DDB"/>
    <w:rsid w:val="00F42E63"/>
    <w:rsid w:val="00F42E79"/>
    <w:rsid w:val="00F42EBA"/>
    <w:rsid w:val="00F42EC9"/>
    <w:rsid w:val="00F42EEC"/>
    <w:rsid w:val="00F42F0F"/>
    <w:rsid w:val="00F42F46"/>
    <w:rsid w:val="00F42F54"/>
    <w:rsid w:val="00F42F65"/>
    <w:rsid w:val="00F42FDA"/>
    <w:rsid w:val="00F43024"/>
    <w:rsid w:val="00F430AD"/>
    <w:rsid w:val="00F43143"/>
    <w:rsid w:val="00F431CD"/>
    <w:rsid w:val="00F431E2"/>
    <w:rsid w:val="00F4320F"/>
    <w:rsid w:val="00F43242"/>
    <w:rsid w:val="00F4324E"/>
    <w:rsid w:val="00F4326A"/>
    <w:rsid w:val="00F432A7"/>
    <w:rsid w:val="00F432C8"/>
    <w:rsid w:val="00F432CB"/>
    <w:rsid w:val="00F4333C"/>
    <w:rsid w:val="00F4335F"/>
    <w:rsid w:val="00F43369"/>
    <w:rsid w:val="00F4339B"/>
    <w:rsid w:val="00F433BC"/>
    <w:rsid w:val="00F433E6"/>
    <w:rsid w:val="00F43405"/>
    <w:rsid w:val="00F4341B"/>
    <w:rsid w:val="00F43443"/>
    <w:rsid w:val="00F434BB"/>
    <w:rsid w:val="00F434D6"/>
    <w:rsid w:val="00F434DC"/>
    <w:rsid w:val="00F43556"/>
    <w:rsid w:val="00F435A9"/>
    <w:rsid w:val="00F43611"/>
    <w:rsid w:val="00F43628"/>
    <w:rsid w:val="00F43633"/>
    <w:rsid w:val="00F436BB"/>
    <w:rsid w:val="00F43701"/>
    <w:rsid w:val="00F43702"/>
    <w:rsid w:val="00F437BF"/>
    <w:rsid w:val="00F437C1"/>
    <w:rsid w:val="00F437E4"/>
    <w:rsid w:val="00F437F6"/>
    <w:rsid w:val="00F437F7"/>
    <w:rsid w:val="00F4381A"/>
    <w:rsid w:val="00F438C3"/>
    <w:rsid w:val="00F43918"/>
    <w:rsid w:val="00F4391B"/>
    <w:rsid w:val="00F43920"/>
    <w:rsid w:val="00F43955"/>
    <w:rsid w:val="00F439FA"/>
    <w:rsid w:val="00F43A15"/>
    <w:rsid w:val="00F43A63"/>
    <w:rsid w:val="00F43A66"/>
    <w:rsid w:val="00F43A9E"/>
    <w:rsid w:val="00F43AAE"/>
    <w:rsid w:val="00F43AB8"/>
    <w:rsid w:val="00F43AE2"/>
    <w:rsid w:val="00F43AF2"/>
    <w:rsid w:val="00F43AFC"/>
    <w:rsid w:val="00F43AFD"/>
    <w:rsid w:val="00F43B05"/>
    <w:rsid w:val="00F43BF9"/>
    <w:rsid w:val="00F43C04"/>
    <w:rsid w:val="00F43C3F"/>
    <w:rsid w:val="00F43C9F"/>
    <w:rsid w:val="00F43CAD"/>
    <w:rsid w:val="00F43CDA"/>
    <w:rsid w:val="00F43CF9"/>
    <w:rsid w:val="00F43D06"/>
    <w:rsid w:val="00F43D08"/>
    <w:rsid w:val="00F43D65"/>
    <w:rsid w:val="00F43D83"/>
    <w:rsid w:val="00F43DDC"/>
    <w:rsid w:val="00F43DE0"/>
    <w:rsid w:val="00F43DE7"/>
    <w:rsid w:val="00F43ECC"/>
    <w:rsid w:val="00F43F18"/>
    <w:rsid w:val="00F43F47"/>
    <w:rsid w:val="00F43F86"/>
    <w:rsid w:val="00F4400C"/>
    <w:rsid w:val="00F4408B"/>
    <w:rsid w:val="00F440ED"/>
    <w:rsid w:val="00F44117"/>
    <w:rsid w:val="00F44150"/>
    <w:rsid w:val="00F441F3"/>
    <w:rsid w:val="00F4420B"/>
    <w:rsid w:val="00F4432A"/>
    <w:rsid w:val="00F44332"/>
    <w:rsid w:val="00F44365"/>
    <w:rsid w:val="00F4441F"/>
    <w:rsid w:val="00F44424"/>
    <w:rsid w:val="00F4449B"/>
    <w:rsid w:val="00F444AC"/>
    <w:rsid w:val="00F444D8"/>
    <w:rsid w:val="00F44511"/>
    <w:rsid w:val="00F44619"/>
    <w:rsid w:val="00F44635"/>
    <w:rsid w:val="00F44651"/>
    <w:rsid w:val="00F44688"/>
    <w:rsid w:val="00F4472C"/>
    <w:rsid w:val="00F44788"/>
    <w:rsid w:val="00F447CC"/>
    <w:rsid w:val="00F44802"/>
    <w:rsid w:val="00F44852"/>
    <w:rsid w:val="00F4489F"/>
    <w:rsid w:val="00F448AA"/>
    <w:rsid w:val="00F448EB"/>
    <w:rsid w:val="00F448FF"/>
    <w:rsid w:val="00F44931"/>
    <w:rsid w:val="00F4496B"/>
    <w:rsid w:val="00F4496C"/>
    <w:rsid w:val="00F449D2"/>
    <w:rsid w:val="00F449E4"/>
    <w:rsid w:val="00F449FA"/>
    <w:rsid w:val="00F44A48"/>
    <w:rsid w:val="00F44A68"/>
    <w:rsid w:val="00F44A7E"/>
    <w:rsid w:val="00F44AA0"/>
    <w:rsid w:val="00F44AA1"/>
    <w:rsid w:val="00F44ACA"/>
    <w:rsid w:val="00F44B14"/>
    <w:rsid w:val="00F44B1A"/>
    <w:rsid w:val="00F44B40"/>
    <w:rsid w:val="00F44B8A"/>
    <w:rsid w:val="00F44C3B"/>
    <w:rsid w:val="00F44C4A"/>
    <w:rsid w:val="00F44C81"/>
    <w:rsid w:val="00F44CD5"/>
    <w:rsid w:val="00F44CFE"/>
    <w:rsid w:val="00F44D0B"/>
    <w:rsid w:val="00F44D0D"/>
    <w:rsid w:val="00F44D22"/>
    <w:rsid w:val="00F44D27"/>
    <w:rsid w:val="00F44D70"/>
    <w:rsid w:val="00F44E2D"/>
    <w:rsid w:val="00F44E6B"/>
    <w:rsid w:val="00F44EBA"/>
    <w:rsid w:val="00F44EDC"/>
    <w:rsid w:val="00F44EEB"/>
    <w:rsid w:val="00F44EF8"/>
    <w:rsid w:val="00F44F2B"/>
    <w:rsid w:val="00F44F3F"/>
    <w:rsid w:val="00F44F58"/>
    <w:rsid w:val="00F44FE8"/>
    <w:rsid w:val="00F4507A"/>
    <w:rsid w:val="00F450A2"/>
    <w:rsid w:val="00F450A5"/>
    <w:rsid w:val="00F45123"/>
    <w:rsid w:val="00F45147"/>
    <w:rsid w:val="00F45155"/>
    <w:rsid w:val="00F45195"/>
    <w:rsid w:val="00F451B8"/>
    <w:rsid w:val="00F451D1"/>
    <w:rsid w:val="00F45328"/>
    <w:rsid w:val="00F45407"/>
    <w:rsid w:val="00F45422"/>
    <w:rsid w:val="00F4551D"/>
    <w:rsid w:val="00F45579"/>
    <w:rsid w:val="00F4558D"/>
    <w:rsid w:val="00F4567D"/>
    <w:rsid w:val="00F456E0"/>
    <w:rsid w:val="00F4574E"/>
    <w:rsid w:val="00F4578E"/>
    <w:rsid w:val="00F457C5"/>
    <w:rsid w:val="00F45807"/>
    <w:rsid w:val="00F4586D"/>
    <w:rsid w:val="00F458C0"/>
    <w:rsid w:val="00F458C9"/>
    <w:rsid w:val="00F458E9"/>
    <w:rsid w:val="00F4593D"/>
    <w:rsid w:val="00F45944"/>
    <w:rsid w:val="00F45976"/>
    <w:rsid w:val="00F4597A"/>
    <w:rsid w:val="00F459EE"/>
    <w:rsid w:val="00F459FC"/>
    <w:rsid w:val="00F459FE"/>
    <w:rsid w:val="00F45A0B"/>
    <w:rsid w:val="00F45A18"/>
    <w:rsid w:val="00F45AC6"/>
    <w:rsid w:val="00F45AEC"/>
    <w:rsid w:val="00F45AF2"/>
    <w:rsid w:val="00F45B3E"/>
    <w:rsid w:val="00F45B59"/>
    <w:rsid w:val="00F45B5A"/>
    <w:rsid w:val="00F45B7B"/>
    <w:rsid w:val="00F45BF1"/>
    <w:rsid w:val="00F45C9F"/>
    <w:rsid w:val="00F45CCC"/>
    <w:rsid w:val="00F45CD1"/>
    <w:rsid w:val="00F45D07"/>
    <w:rsid w:val="00F45D4A"/>
    <w:rsid w:val="00F45D97"/>
    <w:rsid w:val="00F45E16"/>
    <w:rsid w:val="00F45E25"/>
    <w:rsid w:val="00F45E2C"/>
    <w:rsid w:val="00F45EB9"/>
    <w:rsid w:val="00F45F5E"/>
    <w:rsid w:val="00F45F74"/>
    <w:rsid w:val="00F45FEB"/>
    <w:rsid w:val="00F4601E"/>
    <w:rsid w:val="00F46085"/>
    <w:rsid w:val="00F460BF"/>
    <w:rsid w:val="00F46155"/>
    <w:rsid w:val="00F46178"/>
    <w:rsid w:val="00F4617B"/>
    <w:rsid w:val="00F46276"/>
    <w:rsid w:val="00F462DF"/>
    <w:rsid w:val="00F46342"/>
    <w:rsid w:val="00F46368"/>
    <w:rsid w:val="00F463A8"/>
    <w:rsid w:val="00F463C9"/>
    <w:rsid w:val="00F463F9"/>
    <w:rsid w:val="00F46418"/>
    <w:rsid w:val="00F4648D"/>
    <w:rsid w:val="00F4649F"/>
    <w:rsid w:val="00F4652B"/>
    <w:rsid w:val="00F46533"/>
    <w:rsid w:val="00F465DC"/>
    <w:rsid w:val="00F46739"/>
    <w:rsid w:val="00F4675A"/>
    <w:rsid w:val="00F4678B"/>
    <w:rsid w:val="00F467C3"/>
    <w:rsid w:val="00F467D9"/>
    <w:rsid w:val="00F467E7"/>
    <w:rsid w:val="00F467F7"/>
    <w:rsid w:val="00F46804"/>
    <w:rsid w:val="00F46807"/>
    <w:rsid w:val="00F46823"/>
    <w:rsid w:val="00F46870"/>
    <w:rsid w:val="00F46874"/>
    <w:rsid w:val="00F46875"/>
    <w:rsid w:val="00F468AB"/>
    <w:rsid w:val="00F468BB"/>
    <w:rsid w:val="00F468BD"/>
    <w:rsid w:val="00F468DE"/>
    <w:rsid w:val="00F468F2"/>
    <w:rsid w:val="00F46991"/>
    <w:rsid w:val="00F46A2B"/>
    <w:rsid w:val="00F46A4B"/>
    <w:rsid w:val="00F46A65"/>
    <w:rsid w:val="00F46B13"/>
    <w:rsid w:val="00F46B1D"/>
    <w:rsid w:val="00F46B22"/>
    <w:rsid w:val="00F46B7E"/>
    <w:rsid w:val="00F46BB9"/>
    <w:rsid w:val="00F46BD0"/>
    <w:rsid w:val="00F46C1C"/>
    <w:rsid w:val="00F46C9C"/>
    <w:rsid w:val="00F46DA3"/>
    <w:rsid w:val="00F46DED"/>
    <w:rsid w:val="00F46E40"/>
    <w:rsid w:val="00F46E43"/>
    <w:rsid w:val="00F46E64"/>
    <w:rsid w:val="00F46E66"/>
    <w:rsid w:val="00F46EA5"/>
    <w:rsid w:val="00F46EAA"/>
    <w:rsid w:val="00F46EC1"/>
    <w:rsid w:val="00F46F1C"/>
    <w:rsid w:val="00F46F5F"/>
    <w:rsid w:val="00F46FC4"/>
    <w:rsid w:val="00F46FE8"/>
    <w:rsid w:val="00F47017"/>
    <w:rsid w:val="00F47067"/>
    <w:rsid w:val="00F47070"/>
    <w:rsid w:val="00F47093"/>
    <w:rsid w:val="00F470A0"/>
    <w:rsid w:val="00F470D8"/>
    <w:rsid w:val="00F470F5"/>
    <w:rsid w:val="00F47122"/>
    <w:rsid w:val="00F47200"/>
    <w:rsid w:val="00F47236"/>
    <w:rsid w:val="00F474A6"/>
    <w:rsid w:val="00F474C9"/>
    <w:rsid w:val="00F4756E"/>
    <w:rsid w:val="00F47573"/>
    <w:rsid w:val="00F4759C"/>
    <w:rsid w:val="00F475CA"/>
    <w:rsid w:val="00F47648"/>
    <w:rsid w:val="00F476BA"/>
    <w:rsid w:val="00F47732"/>
    <w:rsid w:val="00F47771"/>
    <w:rsid w:val="00F4779D"/>
    <w:rsid w:val="00F47808"/>
    <w:rsid w:val="00F47824"/>
    <w:rsid w:val="00F47841"/>
    <w:rsid w:val="00F47843"/>
    <w:rsid w:val="00F4785F"/>
    <w:rsid w:val="00F47875"/>
    <w:rsid w:val="00F478FF"/>
    <w:rsid w:val="00F479B5"/>
    <w:rsid w:val="00F47A02"/>
    <w:rsid w:val="00F47A1B"/>
    <w:rsid w:val="00F47A22"/>
    <w:rsid w:val="00F47A5F"/>
    <w:rsid w:val="00F47A79"/>
    <w:rsid w:val="00F47A99"/>
    <w:rsid w:val="00F47AAC"/>
    <w:rsid w:val="00F47B27"/>
    <w:rsid w:val="00F47BE9"/>
    <w:rsid w:val="00F47CD5"/>
    <w:rsid w:val="00F47CFD"/>
    <w:rsid w:val="00F47D0E"/>
    <w:rsid w:val="00F47DA4"/>
    <w:rsid w:val="00F47DDA"/>
    <w:rsid w:val="00F47DFA"/>
    <w:rsid w:val="00F47E59"/>
    <w:rsid w:val="00F47EF4"/>
    <w:rsid w:val="00F47EFE"/>
    <w:rsid w:val="00F47F2A"/>
    <w:rsid w:val="00F47F93"/>
    <w:rsid w:val="00F47FB2"/>
    <w:rsid w:val="00F47FB6"/>
    <w:rsid w:val="00F47FC3"/>
    <w:rsid w:val="00F47FCB"/>
    <w:rsid w:val="00F47FF1"/>
    <w:rsid w:val="00F50030"/>
    <w:rsid w:val="00F50047"/>
    <w:rsid w:val="00F500BB"/>
    <w:rsid w:val="00F50153"/>
    <w:rsid w:val="00F50172"/>
    <w:rsid w:val="00F50199"/>
    <w:rsid w:val="00F5023D"/>
    <w:rsid w:val="00F5024F"/>
    <w:rsid w:val="00F50252"/>
    <w:rsid w:val="00F50377"/>
    <w:rsid w:val="00F503EE"/>
    <w:rsid w:val="00F50539"/>
    <w:rsid w:val="00F50565"/>
    <w:rsid w:val="00F50611"/>
    <w:rsid w:val="00F506D2"/>
    <w:rsid w:val="00F50722"/>
    <w:rsid w:val="00F507A9"/>
    <w:rsid w:val="00F50820"/>
    <w:rsid w:val="00F5087A"/>
    <w:rsid w:val="00F5090B"/>
    <w:rsid w:val="00F5091B"/>
    <w:rsid w:val="00F50933"/>
    <w:rsid w:val="00F509ED"/>
    <w:rsid w:val="00F50A6D"/>
    <w:rsid w:val="00F50A73"/>
    <w:rsid w:val="00F50AC7"/>
    <w:rsid w:val="00F50AD1"/>
    <w:rsid w:val="00F50AE9"/>
    <w:rsid w:val="00F50AF0"/>
    <w:rsid w:val="00F50B13"/>
    <w:rsid w:val="00F50B63"/>
    <w:rsid w:val="00F50C81"/>
    <w:rsid w:val="00F50C84"/>
    <w:rsid w:val="00F50C8A"/>
    <w:rsid w:val="00F50CEB"/>
    <w:rsid w:val="00F50CEC"/>
    <w:rsid w:val="00F50D04"/>
    <w:rsid w:val="00F50D61"/>
    <w:rsid w:val="00F50DAA"/>
    <w:rsid w:val="00F50DD9"/>
    <w:rsid w:val="00F50E2F"/>
    <w:rsid w:val="00F50E7B"/>
    <w:rsid w:val="00F50E98"/>
    <w:rsid w:val="00F50ECD"/>
    <w:rsid w:val="00F50F11"/>
    <w:rsid w:val="00F50F2A"/>
    <w:rsid w:val="00F50F4C"/>
    <w:rsid w:val="00F50F4E"/>
    <w:rsid w:val="00F50F6A"/>
    <w:rsid w:val="00F5101D"/>
    <w:rsid w:val="00F510AA"/>
    <w:rsid w:val="00F51154"/>
    <w:rsid w:val="00F51158"/>
    <w:rsid w:val="00F5117B"/>
    <w:rsid w:val="00F51191"/>
    <w:rsid w:val="00F511A2"/>
    <w:rsid w:val="00F511C4"/>
    <w:rsid w:val="00F511E4"/>
    <w:rsid w:val="00F511E6"/>
    <w:rsid w:val="00F5127C"/>
    <w:rsid w:val="00F512DE"/>
    <w:rsid w:val="00F512E5"/>
    <w:rsid w:val="00F51362"/>
    <w:rsid w:val="00F51412"/>
    <w:rsid w:val="00F5146E"/>
    <w:rsid w:val="00F514B5"/>
    <w:rsid w:val="00F51510"/>
    <w:rsid w:val="00F51549"/>
    <w:rsid w:val="00F51550"/>
    <w:rsid w:val="00F515C5"/>
    <w:rsid w:val="00F515DD"/>
    <w:rsid w:val="00F515E3"/>
    <w:rsid w:val="00F51608"/>
    <w:rsid w:val="00F5162E"/>
    <w:rsid w:val="00F51634"/>
    <w:rsid w:val="00F51655"/>
    <w:rsid w:val="00F51658"/>
    <w:rsid w:val="00F516C2"/>
    <w:rsid w:val="00F5176B"/>
    <w:rsid w:val="00F517FD"/>
    <w:rsid w:val="00F51822"/>
    <w:rsid w:val="00F5183F"/>
    <w:rsid w:val="00F51925"/>
    <w:rsid w:val="00F51930"/>
    <w:rsid w:val="00F519A3"/>
    <w:rsid w:val="00F519B2"/>
    <w:rsid w:val="00F519F8"/>
    <w:rsid w:val="00F51A21"/>
    <w:rsid w:val="00F51B69"/>
    <w:rsid w:val="00F51B73"/>
    <w:rsid w:val="00F51B7B"/>
    <w:rsid w:val="00F51C24"/>
    <w:rsid w:val="00F51C41"/>
    <w:rsid w:val="00F51D34"/>
    <w:rsid w:val="00F51D3D"/>
    <w:rsid w:val="00F51D60"/>
    <w:rsid w:val="00F51D7C"/>
    <w:rsid w:val="00F51DA0"/>
    <w:rsid w:val="00F51DF6"/>
    <w:rsid w:val="00F51E12"/>
    <w:rsid w:val="00F51EA4"/>
    <w:rsid w:val="00F51ECA"/>
    <w:rsid w:val="00F51EDB"/>
    <w:rsid w:val="00F51F41"/>
    <w:rsid w:val="00F51F76"/>
    <w:rsid w:val="00F51F8F"/>
    <w:rsid w:val="00F52026"/>
    <w:rsid w:val="00F520AC"/>
    <w:rsid w:val="00F520B9"/>
    <w:rsid w:val="00F520C9"/>
    <w:rsid w:val="00F520D2"/>
    <w:rsid w:val="00F520E9"/>
    <w:rsid w:val="00F521B5"/>
    <w:rsid w:val="00F521BD"/>
    <w:rsid w:val="00F52223"/>
    <w:rsid w:val="00F52234"/>
    <w:rsid w:val="00F5223A"/>
    <w:rsid w:val="00F5223D"/>
    <w:rsid w:val="00F5226B"/>
    <w:rsid w:val="00F522C5"/>
    <w:rsid w:val="00F52350"/>
    <w:rsid w:val="00F5235C"/>
    <w:rsid w:val="00F52365"/>
    <w:rsid w:val="00F5236F"/>
    <w:rsid w:val="00F523BC"/>
    <w:rsid w:val="00F52460"/>
    <w:rsid w:val="00F524D2"/>
    <w:rsid w:val="00F52547"/>
    <w:rsid w:val="00F52556"/>
    <w:rsid w:val="00F5256E"/>
    <w:rsid w:val="00F5258A"/>
    <w:rsid w:val="00F525AF"/>
    <w:rsid w:val="00F525C0"/>
    <w:rsid w:val="00F525D9"/>
    <w:rsid w:val="00F525E7"/>
    <w:rsid w:val="00F52616"/>
    <w:rsid w:val="00F526A9"/>
    <w:rsid w:val="00F526D9"/>
    <w:rsid w:val="00F526F3"/>
    <w:rsid w:val="00F5274E"/>
    <w:rsid w:val="00F52782"/>
    <w:rsid w:val="00F527E8"/>
    <w:rsid w:val="00F528D7"/>
    <w:rsid w:val="00F528F5"/>
    <w:rsid w:val="00F528FD"/>
    <w:rsid w:val="00F5290F"/>
    <w:rsid w:val="00F52927"/>
    <w:rsid w:val="00F52938"/>
    <w:rsid w:val="00F529C3"/>
    <w:rsid w:val="00F529EE"/>
    <w:rsid w:val="00F52ACE"/>
    <w:rsid w:val="00F52B50"/>
    <w:rsid w:val="00F52BD1"/>
    <w:rsid w:val="00F52C2B"/>
    <w:rsid w:val="00F52D4C"/>
    <w:rsid w:val="00F52D61"/>
    <w:rsid w:val="00F52D6F"/>
    <w:rsid w:val="00F52DC9"/>
    <w:rsid w:val="00F52E5B"/>
    <w:rsid w:val="00F52E69"/>
    <w:rsid w:val="00F52F41"/>
    <w:rsid w:val="00F52F61"/>
    <w:rsid w:val="00F5305A"/>
    <w:rsid w:val="00F5305D"/>
    <w:rsid w:val="00F530BF"/>
    <w:rsid w:val="00F53117"/>
    <w:rsid w:val="00F531AC"/>
    <w:rsid w:val="00F531B6"/>
    <w:rsid w:val="00F5322C"/>
    <w:rsid w:val="00F5322F"/>
    <w:rsid w:val="00F53268"/>
    <w:rsid w:val="00F532AA"/>
    <w:rsid w:val="00F532BA"/>
    <w:rsid w:val="00F53303"/>
    <w:rsid w:val="00F5331D"/>
    <w:rsid w:val="00F53341"/>
    <w:rsid w:val="00F53346"/>
    <w:rsid w:val="00F53423"/>
    <w:rsid w:val="00F53427"/>
    <w:rsid w:val="00F534E9"/>
    <w:rsid w:val="00F534ED"/>
    <w:rsid w:val="00F534F5"/>
    <w:rsid w:val="00F5352D"/>
    <w:rsid w:val="00F535D7"/>
    <w:rsid w:val="00F53671"/>
    <w:rsid w:val="00F536C7"/>
    <w:rsid w:val="00F536D2"/>
    <w:rsid w:val="00F53723"/>
    <w:rsid w:val="00F53728"/>
    <w:rsid w:val="00F537E8"/>
    <w:rsid w:val="00F53863"/>
    <w:rsid w:val="00F538D3"/>
    <w:rsid w:val="00F53923"/>
    <w:rsid w:val="00F5397F"/>
    <w:rsid w:val="00F53ABA"/>
    <w:rsid w:val="00F53BE2"/>
    <w:rsid w:val="00F53C97"/>
    <w:rsid w:val="00F53CC3"/>
    <w:rsid w:val="00F53D21"/>
    <w:rsid w:val="00F53D6E"/>
    <w:rsid w:val="00F53E01"/>
    <w:rsid w:val="00F53E77"/>
    <w:rsid w:val="00F53EC9"/>
    <w:rsid w:val="00F53F38"/>
    <w:rsid w:val="00F53F3E"/>
    <w:rsid w:val="00F53F6A"/>
    <w:rsid w:val="00F53FF6"/>
    <w:rsid w:val="00F54051"/>
    <w:rsid w:val="00F5408B"/>
    <w:rsid w:val="00F540D3"/>
    <w:rsid w:val="00F5418A"/>
    <w:rsid w:val="00F541E1"/>
    <w:rsid w:val="00F54208"/>
    <w:rsid w:val="00F54219"/>
    <w:rsid w:val="00F54286"/>
    <w:rsid w:val="00F542C5"/>
    <w:rsid w:val="00F543AF"/>
    <w:rsid w:val="00F543C6"/>
    <w:rsid w:val="00F54402"/>
    <w:rsid w:val="00F54494"/>
    <w:rsid w:val="00F544E2"/>
    <w:rsid w:val="00F54537"/>
    <w:rsid w:val="00F54604"/>
    <w:rsid w:val="00F54620"/>
    <w:rsid w:val="00F546AD"/>
    <w:rsid w:val="00F546F8"/>
    <w:rsid w:val="00F54705"/>
    <w:rsid w:val="00F5473D"/>
    <w:rsid w:val="00F54768"/>
    <w:rsid w:val="00F54775"/>
    <w:rsid w:val="00F547C8"/>
    <w:rsid w:val="00F547CD"/>
    <w:rsid w:val="00F54985"/>
    <w:rsid w:val="00F5498B"/>
    <w:rsid w:val="00F549D6"/>
    <w:rsid w:val="00F549EF"/>
    <w:rsid w:val="00F54A11"/>
    <w:rsid w:val="00F54A84"/>
    <w:rsid w:val="00F54A8B"/>
    <w:rsid w:val="00F54AB1"/>
    <w:rsid w:val="00F54ACF"/>
    <w:rsid w:val="00F54AE1"/>
    <w:rsid w:val="00F54AF0"/>
    <w:rsid w:val="00F54B36"/>
    <w:rsid w:val="00F54B5C"/>
    <w:rsid w:val="00F54B69"/>
    <w:rsid w:val="00F54B8B"/>
    <w:rsid w:val="00F54BA6"/>
    <w:rsid w:val="00F54CA1"/>
    <w:rsid w:val="00F54CAE"/>
    <w:rsid w:val="00F54D22"/>
    <w:rsid w:val="00F54D48"/>
    <w:rsid w:val="00F54DBA"/>
    <w:rsid w:val="00F54DBB"/>
    <w:rsid w:val="00F54E1F"/>
    <w:rsid w:val="00F54E3D"/>
    <w:rsid w:val="00F54E8A"/>
    <w:rsid w:val="00F54EC6"/>
    <w:rsid w:val="00F54ED1"/>
    <w:rsid w:val="00F54EEE"/>
    <w:rsid w:val="00F54F24"/>
    <w:rsid w:val="00F54F6C"/>
    <w:rsid w:val="00F54F98"/>
    <w:rsid w:val="00F54FC5"/>
    <w:rsid w:val="00F550AA"/>
    <w:rsid w:val="00F550CA"/>
    <w:rsid w:val="00F550D2"/>
    <w:rsid w:val="00F550EE"/>
    <w:rsid w:val="00F55116"/>
    <w:rsid w:val="00F55162"/>
    <w:rsid w:val="00F552D0"/>
    <w:rsid w:val="00F5531E"/>
    <w:rsid w:val="00F553A8"/>
    <w:rsid w:val="00F55454"/>
    <w:rsid w:val="00F55493"/>
    <w:rsid w:val="00F554EB"/>
    <w:rsid w:val="00F55532"/>
    <w:rsid w:val="00F55556"/>
    <w:rsid w:val="00F55592"/>
    <w:rsid w:val="00F555DD"/>
    <w:rsid w:val="00F5565A"/>
    <w:rsid w:val="00F5566A"/>
    <w:rsid w:val="00F5574C"/>
    <w:rsid w:val="00F55866"/>
    <w:rsid w:val="00F55877"/>
    <w:rsid w:val="00F5589F"/>
    <w:rsid w:val="00F558B3"/>
    <w:rsid w:val="00F558C6"/>
    <w:rsid w:val="00F558E0"/>
    <w:rsid w:val="00F55915"/>
    <w:rsid w:val="00F55932"/>
    <w:rsid w:val="00F55947"/>
    <w:rsid w:val="00F559D0"/>
    <w:rsid w:val="00F55A65"/>
    <w:rsid w:val="00F55A68"/>
    <w:rsid w:val="00F55A86"/>
    <w:rsid w:val="00F55A89"/>
    <w:rsid w:val="00F55B15"/>
    <w:rsid w:val="00F55B49"/>
    <w:rsid w:val="00F55B65"/>
    <w:rsid w:val="00F55B76"/>
    <w:rsid w:val="00F55BEF"/>
    <w:rsid w:val="00F55BF3"/>
    <w:rsid w:val="00F55C07"/>
    <w:rsid w:val="00F55C70"/>
    <w:rsid w:val="00F55C81"/>
    <w:rsid w:val="00F55C96"/>
    <w:rsid w:val="00F55CCB"/>
    <w:rsid w:val="00F55CD3"/>
    <w:rsid w:val="00F55D44"/>
    <w:rsid w:val="00F55E16"/>
    <w:rsid w:val="00F55E31"/>
    <w:rsid w:val="00F55E38"/>
    <w:rsid w:val="00F55E3C"/>
    <w:rsid w:val="00F55EA2"/>
    <w:rsid w:val="00F55F29"/>
    <w:rsid w:val="00F55F45"/>
    <w:rsid w:val="00F55F72"/>
    <w:rsid w:val="00F55FB4"/>
    <w:rsid w:val="00F55FC9"/>
    <w:rsid w:val="00F55FED"/>
    <w:rsid w:val="00F56032"/>
    <w:rsid w:val="00F56066"/>
    <w:rsid w:val="00F5608F"/>
    <w:rsid w:val="00F560AF"/>
    <w:rsid w:val="00F560B4"/>
    <w:rsid w:val="00F56104"/>
    <w:rsid w:val="00F561E7"/>
    <w:rsid w:val="00F5624B"/>
    <w:rsid w:val="00F56264"/>
    <w:rsid w:val="00F5626D"/>
    <w:rsid w:val="00F56293"/>
    <w:rsid w:val="00F562FD"/>
    <w:rsid w:val="00F5630D"/>
    <w:rsid w:val="00F56345"/>
    <w:rsid w:val="00F5634F"/>
    <w:rsid w:val="00F5635D"/>
    <w:rsid w:val="00F563B9"/>
    <w:rsid w:val="00F563C2"/>
    <w:rsid w:val="00F563DF"/>
    <w:rsid w:val="00F563EA"/>
    <w:rsid w:val="00F56421"/>
    <w:rsid w:val="00F56430"/>
    <w:rsid w:val="00F564BC"/>
    <w:rsid w:val="00F56531"/>
    <w:rsid w:val="00F56548"/>
    <w:rsid w:val="00F56586"/>
    <w:rsid w:val="00F5659B"/>
    <w:rsid w:val="00F565A3"/>
    <w:rsid w:val="00F565CA"/>
    <w:rsid w:val="00F565EC"/>
    <w:rsid w:val="00F56607"/>
    <w:rsid w:val="00F56622"/>
    <w:rsid w:val="00F5664A"/>
    <w:rsid w:val="00F56662"/>
    <w:rsid w:val="00F56678"/>
    <w:rsid w:val="00F56681"/>
    <w:rsid w:val="00F56683"/>
    <w:rsid w:val="00F566C2"/>
    <w:rsid w:val="00F56716"/>
    <w:rsid w:val="00F5673E"/>
    <w:rsid w:val="00F56746"/>
    <w:rsid w:val="00F5674F"/>
    <w:rsid w:val="00F56766"/>
    <w:rsid w:val="00F56776"/>
    <w:rsid w:val="00F567DB"/>
    <w:rsid w:val="00F567DC"/>
    <w:rsid w:val="00F567F2"/>
    <w:rsid w:val="00F5685E"/>
    <w:rsid w:val="00F5686A"/>
    <w:rsid w:val="00F568C9"/>
    <w:rsid w:val="00F568DA"/>
    <w:rsid w:val="00F56921"/>
    <w:rsid w:val="00F5693E"/>
    <w:rsid w:val="00F5697F"/>
    <w:rsid w:val="00F569A4"/>
    <w:rsid w:val="00F56A11"/>
    <w:rsid w:val="00F56A1C"/>
    <w:rsid w:val="00F56AA2"/>
    <w:rsid w:val="00F56B34"/>
    <w:rsid w:val="00F56B48"/>
    <w:rsid w:val="00F56B65"/>
    <w:rsid w:val="00F56B77"/>
    <w:rsid w:val="00F56C10"/>
    <w:rsid w:val="00F56C9B"/>
    <w:rsid w:val="00F56CAB"/>
    <w:rsid w:val="00F56CF5"/>
    <w:rsid w:val="00F56D32"/>
    <w:rsid w:val="00F56D8F"/>
    <w:rsid w:val="00F56E09"/>
    <w:rsid w:val="00F56E2E"/>
    <w:rsid w:val="00F56E8E"/>
    <w:rsid w:val="00F56EE4"/>
    <w:rsid w:val="00F56F12"/>
    <w:rsid w:val="00F56F27"/>
    <w:rsid w:val="00F56F2C"/>
    <w:rsid w:val="00F56FCA"/>
    <w:rsid w:val="00F57007"/>
    <w:rsid w:val="00F57023"/>
    <w:rsid w:val="00F570FE"/>
    <w:rsid w:val="00F57105"/>
    <w:rsid w:val="00F57175"/>
    <w:rsid w:val="00F57299"/>
    <w:rsid w:val="00F572A8"/>
    <w:rsid w:val="00F57300"/>
    <w:rsid w:val="00F57302"/>
    <w:rsid w:val="00F57312"/>
    <w:rsid w:val="00F57329"/>
    <w:rsid w:val="00F573A8"/>
    <w:rsid w:val="00F573BD"/>
    <w:rsid w:val="00F57428"/>
    <w:rsid w:val="00F57486"/>
    <w:rsid w:val="00F57563"/>
    <w:rsid w:val="00F576D0"/>
    <w:rsid w:val="00F5773D"/>
    <w:rsid w:val="00F5773F"/>
    <w:rsid w:val="00F577C3"/>
    <w:rsid w:val="00F57809"/>
    <w:rsid w:val="00F57895"/>
    <w:rsid w:val="00F5790F"/>
    <w:rsid w:val="00F57966"/>
    <w:rsid w:val="00F5796C"/>
    <w:rsid w:val="00F57A17"/>
    <w:rsid w:val="00F57A2C"/>
    <w:rsid w:val="00F57A53"/>
    <w:rsid w:val="00F57AA3"/>
    <w:rsid w:val="00F57B46"/>
    <w:rsid w:val="00F57B68"/>
    <w:rsid w:val="00F57B6F"/>
    <w:rsid w:val="00F57B97"/>
    <w:rsid w:val="00F57C02"/>
    <w:rsid w:val="00F57C7A"/>
    <w:rsid w:val="00F57C7C"/>
    <w:rsid w:val="00F57CA6"/>
    <w:rsid w:val="00F57CA8"/>
    <w:rsid w:val="00F57D51"/>
    <w:rsid w:val="00F57DD4"/>
    <w:rsid w:val="00F57E62"/>
    <w:rsid w:val="00F57EA1"/>
    <w:rsid w:val="00F57F25"/>
    <w:rsid w:val="00F57F9E"/>
    <w:rsid w:val="00F57FAD"/>
    <w:rsid w:val="00F57FEE"/>
    <w:rsid w:val="00F60009"/>
    <w:rsid w:val="00F600E1"/>
    <w:rsid w:val="00F6010C"/>
    <w:rsid w:val="00F601A5"/>
    <w:rsid w:val="00F601B9"/>
    <w:rsid w:val="00F601C6"/>
    <w:rsid w:val="00F601D7"/>
    <w:rsid w:val="00F6022F"/>
    <w:rsid w:val="00F60289"/>
    <w:rsid w:val="00F6035C"/>
    <w:rsid w:val="00F6038B"/>
    <w:rsid w:val="00F60417"/>
    <w:rsid w:val="00F60431"/>
    <w:rsid w:val="00F60435"/>
    <w:rsid w:val="00F60455"/>
    <w:rsid w:val="00F6048A"/>
    <w:rsid w:val="00F604C4"/>
    <w:rsid w:val="00F60514"/>
    <w:rsid w:val="00F6052D"/>
    <w:rsid w:val="00F605A3"/>
    <w:rsid w:val="00F605CA"/>
    <w:rsid w:val="00F60626"/>
    <w:rsid w:val="00F6063F"/>
    <w:rsid w:val="00F606ED"/>
    <w:rsid w:val="00F60744"/>
    <w:rsid w:val="00F6074D"/>
    <w:rsid w:val="00F6079A"/>
    <w:rsid w:val="00F60894"/>
    <w:rsid w:val="00F6091F"/>
    <w:rsid w:val="00F60942"/>
    <w:rsid w:val="00F60949"/>
    <w:rsid w:val="00F6094F"/>
    <w:rsid w:val="00F60A3E"/>
    <w:rsid w:val="00F60B1E"/>
    <w:rsid w:val="00F60B39"/>
    <w:rsid w:val="00F60BA9"/>
    <w:rsid w:val="00F60BAB"/>
    <w:rsid w:val="00F60C18"/>
    <w:rsid w:val="00F60C1D"/>
    <w:rsid w:val="00F60CAF"/>
    <w:rsid w:val="00F60D67"/>
    <w:rsid w:val="00F60E23"/>
    <w:rsid w:val="00F60E42"/>
    <w:rsid w:val="00F60ED0"/>
    <w:rsid w:val="00F60F1A"/>
    <w:rsid w:val="00F60F7B"/>
    <w:rsid w:val="00F60F84"/>
    <w:rsid w:val="00F60FE2"/>
    <w:rsid w:val="00F61034"/>
    <w:rsid w:val="00F61086"/>
    <w:rsid w:val="00F61159"/>
    <w:rsid w:val="00F611D4"/>
    <w:rsid w:val="00F611DE"/>
    <w:rsid w:val="00F611F2"/>
    <w:rsid w:val="00F61284"/>
    <w:rsid w:val="00F612A3"/>
    <w:rsid w:val="00F612E5"/>
    <w:rsid w:val="00F6133A"/>
    <w:rsid w:val="00F6140C"/>
    <w:rsid w:val="00F61464"/>
    <w:rsid w:val="00F6147A"/>
    <w:rsid w:val="00F61484"/>
    <w:rsid w:val="00F61503"/>
    <w:rsid w:val="00F61538"/>
    <w:rsid w:val="00F615A3"/>
    <w:rsid w:val="00F615B0"/>
    <w:rsid w:val="00F615D3"/>
    <w:rsid w:val="00F61607"/>
    <w:rsid w:val="00F6161C"/>
    <w:rsid w:val="00F6164F"/>
    <w:rsid w:val="00F6169A"/>
    <w:rsid w:val="00F616AF"/>
    <w:rsid w:val="00F61753"/>
    <w:rsid w:val="00F61799"/>
    <w:rsid w:val="00F617CD"/>
    <w:rsid w:val="00F617EF"/>
    <w:rsid w:val="00F617F9"/>
    <w:rsid w:val="00F61801"/>
    <w:rsid w:val="00F61830"/>
    <w:rsid w:val="00F6188D"/>
    <w:rsid w:val="00F61908"/>
    <w:rsid w:val="00F61917"/>
    <w:rsid w:val="00F61A70"/>
    <w:rsid w:val="00F61A72"/>
    <w:rsid w:val="00F61AC0"/>
    <w:rsid w:val="00F61B1E"/>
    <w:rsid w:val="00F61B55"/>
    <w:rsid w:val="00F61B5C"/>
    <w:rsid w:val="00F61B87"/>
    <w:rsid w:val="00F61B9A"/>
    <w:rsid w:val="00F61BB4"/>
    <w:rsid w:val="00F61C53"/>
    <w:rsid w:val="00F61C6A"/>
    <w:rsid w:val="00F61C84"/>
    <w:rsid w:val="00F61C93"/>
    <w:rsid w:val="00F61CD0"/>
    <w:rsid w:val="00F61D21"/>
    <w:rsid w:val="00F61D2A"/>
    <w:rsid w:val="00F61D4B"/>
    <w:rsid w:val="00F61D6B"/>
    <w:rsid w:val="00F61D7F"/>
    <w:rsid w:val="00F61DAA"/>
    <w:rsid w:val="00F61E5B"/>
    <w:rsid w:val="00F61E9D"/>
    <w:rsid w:val="00F61ECF"/>
    <w:rsid w:val="00F61EF6"/>
    <w:rsid w:val="00F61F1D"/>
    <w:rsid w:val="00F61F39"/>
    <w:rsid w:val="00F61F85"/>
    <w:rsid w:val="00F61FCB"/>
    <w:rsid w:val="00F62082"/>
    <w:rsid w:val="00F62110"/>
    <w:rsid w:val="00F6215B"/>
    <w:rsid w:val="00F62174"/>
    <w:rsid w:val="00F621A5"/>
    <w:rsid w:val="00F62215"/>
    <w:rsid w:val="00F6222E"/>
    <w:rsid w:val="00F622FA"/>
    <w:rsid w:val="00F62339"/>
    <w:rsid w:val="00F6237F"/>
    <w:rsid w:val="00F6238A"/>
    <w:rsid w:val="00F6238C"/>
    <w:rsid w:val="00F6239B"/>
    <w:rsid w:val="00F623CC"/>
    <w:rsid w:val="00F62421"/>
    <w:rsid w:val="00F6247A"/>
    <w:rsid w:val="00F6247C"/>
    <w:rsid w:val="00F624BF"/>
    <w:rsid w:val="00F625B1"/>
    <w:rsid w:val="00F625C0"/>
    <w:rsid w:val="00F625EB"/>
    <w:rsid w:val="00F62654"/>
    <w:rsid w:val="00F626FE"/>
    <w:rsid w:val="00F627A9"/>
    <w:rsid w:val="00F627AD"/>
    <w:rsid w:val="00F62853"/>
    <w:rsid w:val="00F628A3"/>
    <w:rsid w:val="00F628B1"/>
    <w:rsid w:val="00F628B5"/>
    <w:rsid w:val="00F6293C"/>
    <w:rsid w:val="00F6297E"/>
    <w:rsid w:val="00F629E5"/>
    <w:rsid w:val="00F629FC"/>
    <w:rsid w:val="00F62A13"/>
    <w:rsid w:val="00F62A92"/>
    <w:rsid w:val="00F62ACB"/>
    <w:rsid w:val="00F62B02"/>
    <w:rsid w:val="00F62C8A"/>
    <w:rsid w:val="00F62C9F"/>
    <w:rsid w:val="00F62D55"/>
    <w:rsid w:val="00F62DDA"/>
    <w:rsid w:val="00F62DFF"/>
    <w:rsid w:val="00F62E00"/>
    <w:rsid w:val="00F62E56"/>
    <w:rsid w:val="00F62E75"/>
    <w:rsid w:val="00F62EA1"/>
    <w:rsid w:val="00F62EEE"/>
    <w:rsid w:val="00F62F45"/>
    <w:rsid w:val="00F62F76"/>
    <w:rsid w:val="00F62FC4"/>
    <w:rsid w:val="00F63046"/>
    <w:rsid w:val="00F63104"/>
    <w:rsid w:val="00F63112"/>
    <w:rsid w:val="00F63140"/>
    <w:rsid w:val="00F6318D"/>
    <w:rsid w:val="00F631FB"/>
    <w:rsid w:val="00F63283"/>
    <w:rsid w:val="00F632B8"/>
    <w:rsid w:val="00F632DA"/>
    <w:rsid w:val="00F63418"/>
    <w:rsid w:val="00F6342A"/>
    <w:rsid w:val="00F63523"/>
    <w:rsid w:val="00F635A3"/>
    <w:rsid w:val="00F635C6"/>
    <w:rsid w:val="00F6360C"/>
    <w:rsid w:val="00F63630"/>
    <w:rsid w:val="00F6366B"/>
    <w:rsid w:val="00F636A6"/>
    <w:rsid w:val="00F636BC"/>
    <w:rsid w:val="00F636D1"/>
    <w:rsid w:val="00F63720"/>
    <w:rsid w:val="00F6378F"/>
    <w:rsid w:val="00F637A5"/>
    <w:rsid w:val="00F637AB"/>
    <w:rsid w:val="00F637E5"/>
    <w:rsid w:val="00F63818"/>
    <w:rsid w:val="00F63846"/>
    <w:rsid w:val="00F6388B"/>
    <w:rsid w:val="00F638DF"/>
    <w:rsid w:val="00F6391D"/>
    <w:rsid w:val="00F63934"/>
    <w:rsid w:val="00F63947"/>
    <w:rsid w:val="00F63971"/>
    <w:rsid w:val="00F63986"/>
    <w:rsid w:val="00F63A02"/>
    <w:rsid w:val="00F63A25"/>
    <w:rsid w:val="00F63A86"/>
    <w:rsid w:val="00F63A9D"/>
    <w:rsid w:val="00F63AE5"/>
    <w:rsid w:val="00F63AEE"/>
    <w:rsid w:val="00F63AF0"/>
    <w:rsid w:val="00F63B1E"/>
    <w:rsid w:val="00F63B29"/>
    <w:rsid w:val="00F63B3C"/>
    <w:rsid w:val="00F63B52"/>
    <w:rsid w:val="00F63B85"/>
    <w:rsid w:val="00F63BEF"/>
    <w:rsid w:val="00F63D4B"/>
    <w:rsid w:val="00F63D61"/>
    <w:rsid w:val="00F63DBC"/>
    <w:rsid w:val="00F63DEA"/>
    <w:rsid w:val="00F63E83"/>
    <w:rsid w:val="00F63EA4"/>
    <w:rsid w:val="00F63F1A"/>
    <w:rsid w:val="00F63F2F"/>
    <w:rsid w:val="00F63F96"/>
    <w:rsid w:val="00F63F99"/>
    <w:rsid w:val="00F64005"/>
    <w:rsid w:val="00F64043"/>
    <w:rsid w:val="00F64046"/>
    <w:rsid w:val="00F64071"/>
    <w:rsid w:val="00F640EE"/>
    <w:rsid w:val="00F64117"/>
    <w:rsid w:val="00F64139"/>
    <w:rsid w:val="00F64188"/>
    <w:rsid w:val="00F641C0"/>
    <w:rsid w:val="00F641D3"/>
    <w:rsid w:val="00F6420B"/>
    <w:rsid w:val="00F64227"/>
    <w:rsid w:val="00F64235"/>
    <w:rsid w:val="00F64251"/>
    <w:rsid w:val="00F6429B"/>
    <w:rsid w:val="00F642A0"/>
    <w:rsid w:val="00F642E0"/>
    <w:rsid w:val="00F642FD"/>
    <w:rsid w:val="00F64342"/>
    <w:rsid w:val="00F64366"/>
    <w:rsid w:val="00F643EE"/>
    <w:rsid w:val="00F643F4"/>
    <w:rsid w:val="00F64402"/>
    <w:rsid w:val="00F64473"/>
    <w:rsid w:val="00F64479"/>
    <w:rsid w:val="00F64498"/>
    <w:rsid w:val="00F6451E"/>
    <w:rsid w:val="00F6454D"/>
    <w:rsid w:val="00F645DD"/>
    <w:rsid w:val="00F6461C"/>
    <w:rsid w:val="00F64625"/>
    <w:rsid w:val="00F646C1"/>
    <w:rsid w:val="00F64767"/>
    <w:rsid w:val="00F647B1"/>
    <w:rsid w:val="00F6484E"/>
    <w:rsid w:val="00F6485A"/>
    <w:rsid w:val="00F648BB"/>
    <w:rsid w:val="00F648CE"/>
    <w:rsid w:val="00F648E7"/>
    <w:rsid w:val="00F6494C"/>
    <w:rsid w:val="00F649B8"/>
    <w:rsid w:val="00F649F0"/>
    <w:rsid w:val="00F64A16"/>
    <w:rsid w:val="00F64A52"/>
    <w:rsid w:val="00F64A7B"/>
    <w:rsid w:val="00F64AB0"/>
    <w:rsid w:val="00F64AB8"/>
    <w:rsid w:val="00F64B0C"/>
    <w:rsid w:val="00F64B4B"/>
    <w:rsid w:val="00F64B56"/>
    <w:rsid w:val="00F64B72"/>
    <w:rsid w:val="00F64C7B"/>
    <w:rsid w:val="00F64C7F"/>
    <w:rsid w:val="00F64CB2"/>
    <w:rsid w:val="00F64CDE"/>
    <w:rsid w:val="00F64D06"/>
    <w:rsid w:val="00F64DB0"/>
    <w:rsid w:val="00F64DCA"/>
    <w:rsid w:val="00F64DE2"/>
    <w:rsid w:val="00F64DF2"/>
    <w:rsid w:val="00F64E16"/>
    <w:rsid w:val="00F64E28"/>
    <w:rsid w:val="00F64E3D"/>
    <w:rsid w:val="00F64E3F"/>
    <w:rsid w:val="00F64E58"/>
    <w:rsid w:val="00F64E6E"/>
    <w:rsid w:val="00F64E83"/>
    <w:rsid w:val="00F64E9F"/>
    <w:rsid w:val="00F64F37"/>
    <w:rsid w:val="00F64F3B"/>
    <w:rsid w:val="00F64FE2"/>
    <w:rsid w:val="00F6500D"/>
    <w:rsid w:val="00F650D7"/>
    <w:rsid w:val="00F650E4"/>
    <w:rsid w:val="00F650EB"/>
    <w:rsid w:val="00F650FC"/>
    <w:rsid w:val="00F65106"/>
    <w:rsid w:val="00F65108"/>
    <w:rsid w:val="00F65124"/>
    <w:rsid w:val="00F65125"/>
    <w:rsid w:val="00F65137"/>
    <w:rsid w:val="00F6514C"/>
    <w:rsid w:val="00F65163"/>
    <w:rsid w:val="00F65194"/>
    <w:rsid w:val="00F6524D"/>
    <w:rsid w:val="00F65267"/>
    <w:rsid w:val="00F652AC"/>
    <w:rsid w:val="00F652F0"/>
    <w:rsid w:val="00F65318"/>
    <w:rsid w:val="00F65344"/>
    <w:rsid w:val="00F6534E"/>
    <w:rsid w:val="00F654E0"/>
    <w:rsid w:val="00F65525"/>
    <w:rsid w:val="00F65569"/>
    <w:rsid w:val="00F65575"/>
    <w:rsid w:val="00F6558A"/>
    <w:rsid w:val="00F655E3"/>
    <w:rsid w:val="00F656CC"/>
    <w:rsid w:val="00F656DF"/>
    <w:rsid w:val="00F656FF"/>
    <w:rsid w:val="00F65727"/>
    <w:rsid w:val="00F65763"/>
    <w:rsid w:val="00F65777"/>
    <w:rsid w:val="00F65785"/>
    <w:rsid w:val="00F657E3"/>
    <w:rsid w:val="00F657FB"/>
    <w:rsid w:val="00F6585A"/>
    <w:rsid w:val="00F658C4"/>
    <w:rsid w:val="00F65902"/>
    <w:rsid w:val="00F6597A"/>
    <w:rsid w:val="00F65999"/>
    <w:rsid w:val="00F65A73"/>
    <w:rsid w:val="00F65A92"/>
    <w:rsid w:val="00F65AE5"/>
    <w:rsid w:val="00F65AF7"/>
    <w:rsid w:val="00F65BE9"/>
    <w:rsid w:val="00F65C9A"/>
    <w:rsid w:val="00F65CAF"/>
    <w:rsid w:val="00F65CB8"/>
    <w:rsid w:val="00F65D38"/>
    <w:rsid w:val="00F65D79"/>
    <w:rsid w:val="00F65DD5"/>
    <w:rsid w:val="00F65E51"/>
    <w:rsid w:val="00F65E8D"/>
    <w:rsid w:val="00F65EC8"/>
    <w:rsid w:val="00F65F33"/>
    <w:rsid w:val="00F65F54"/>
    <w:rsid w:val="00F65FA7"/>
    <w:rsid w:val="00F65FB5"/>
    <w:rsid w:val="00F66002"/>
    <w:rsid w:val="00F66051"/>
    <w:rsid w:val="00F660A1"/>
    <w:rsid w:val="00F660D7"/>
    <w:rsid w:val="00F66123"/>
    <w:rsid w:val="00F661A0"/>
    <w:rsid w:val="00F661BB"/>
    <w:rsid w:val="00F661FC"/>
    <w:rsid w:val="00F66205"/>
    <w:rsid w:val="00F6622B"/>
    <w:rsid w:val="00F66241"/>
    <w:rsid w:val="00F662C7"/>
    <w:rsid w:val="00F662DB"/>
    <w:rsid w:val="00F66356"/>
    <w:rsid w:val="00F66395"/>
    <w:rsid w:val="00F66411"/>
    <w:rsid w:val="00F66431"/>
    <w:rsid w:val="00F66433"/>
    <w:rsid w:val="00F6645F"/>
    <w:rsid w:val="00F66482"/>
    <w:rsid w:val="00F664BB"/>
    <w:rsid w:val="00F664CA"/>
    <w:rsid w:val="00F664E1"/>
    <w:rsid w:val="00F664ED"/>
    <w:rsid w:val="00F66505"/>
    <w:rsid w:val="00F66558"/>
    <w:rsid w:val="00F66588"/>
    <w:rsid w:val="00F66598"/>
    <w:rsid w:val="00F665D9"/>
    <w:rsid w:val="00F665F4"/>
    <w:rsid w:val="00F66604"/>
    <w:rsid w:val="00F6661E"/>
    <w:rsid w:val="00F666B3"/>
    <w:rsid w:val="00F666C9"/>
    <w:rsid w:val="00F666D6"/>
    <w:rsid w:val="00F66754"/>
    <w:rsid w:val="00F667A8"/>
    <w:rsid w:val="00F667D7"/>
    <w:rsid w:val="00F667FD"/>
    <w:rsid w:val="00F66801"/>
    <w:rsid w:val="00F66881"/>
    <w:rsid w:val="00F66891"/>
    <w:rsid w:val="00F6689B"/>
    <w:rsid w:val="00F66A28"/>
    <w:rsid w:val="00F66A5F"/>
    <w:rsid w:val="00F66AD2"/>
    <w:rsid w:val="00F66B68"/>
    <w:rsid w:val="00F66CA2"/>
    <w:rsid w:val="00F66CF1"/>
    <w:rsid w:val="00F66D03"/>
    <w:rsid w:val="00F66D80"/>
    <w:rsid w:val="00F66DB0"/>
    <w:rsid w:val="00F66E04"/>
    <w:rsid w:val="00F66EB7"/>
    <w:rsid w:val="00F66ECE"/>
    <w:rsid w:val="00F66ED1"/>
    <w:rsid w:val="00F66EE8"/>
    <w:rsid w:val="00F66F19"/>
    <w:rsid w:val="00F66F58"/>
    <w:rsid w:val="00F66FA1"/>
    <w:rsid w:val="00F66FDE"/>
    <w:rsid w:val="00F6703D"/>
    <w:rsid w:val="00F67044"/>
    <w:rsid w:val="00F67046"/>
    <w:rsid w:val="00F670CE"/>
    <w:rsid w:val="00F67146"/>
    <w:rsid w:val="00F67182"/>
    <w:rsid w:val="00F6718F"/>
    <w:rsid w:val="00F672E3"/>
    <w:rsid w:val="00F67321"/>
    <w:rsid w:val="00F67399"/>
    <w:rsid w:val="00F673E6"/>
    <w:rsid w:val="00F673EB"/>
    <w:rsid w:val="00F6743F"/>
    <w:rsid w:val="00F67454"/>
    <w:rsid w:val="00F674CB"/>
    <w:rsid w:val="00F67541"/>
    <w:rsid w:val="00F675B0"/>
    <w:rsid w:val="00F675BD"/>
    <w:rsid w:val="00F675DA"/>
    <w:rsid w:val="00F67618"/>
    <w:rsid w:val="00F67650"/>
    <w:rsid w:val="00F6768A"/>
    <w:rsid w:val="00F676BF"/>
    <w:rsid w:val="00F676D2"/>
    <w:rsid w:val="00F676EC"/>
    <w:rsid w:val="00F67735"/>
    <w:rsid w:val="00F6774F"/>
    <w:rsid w:val="00F67795"/>
    <w:rsid w:val="00F677E4"/>
    <w:rsid w:val="00F67812"/>
    <w:rsid w:val="00F6782A"/>
    <w:rsid w:val="00F6784F"/>
    <w:rsid w:val="00F678E2"/>
    <w:rsid w:val="00F67905"/>
    <w:rsid w:val="00F67917"/>
    <w:rsid w:val="00F67923"/>
    <w:rsid w:val="00F67947"/>
    <w:rsid w:val="00F67988"/>
    <w:rsid w:val="00F679C9"/>
    <w:rsid w:val="00F67A0D"/>
    <w:rsid w:val="00F67A51"/>
    <w:rsid w:val="00F67A68"/>
    <w:rsid w:val="00F67A7C"/>
    <w:rsid w:val="00F67AF5"/>
    <w:rsid w:val="00F67B8D"/>
    <w:rsid w:val="00F67BD0"/>
    <w:rsid w:val="00F67C5B"/>
    <w:rsid w:val="00F67C65"/>
    <w:rsid w:val="00F67C9A"/>
    <w:rsid w:val="00F67D0C"/>
    <w:rsid w:val="00F67D26"/>
    <w:rsid w:val="00F67D2D"/>
    <w:rsid w:val="00F67D66"/>
    <w:rsid w:val="00F67D6E"/>
    <w:rsid w:val="00F67D89"/>
    <w:rsid w:val="00F67DBA"/>
    <w:rsid w:val="00F67E3D"/>
    <w:rsid w:val="00F67E5C"/>
    <w:rsid w:val="00F67E9E"/>
    <w:rsid w:val="00F67ECE"/>
    <w:rsid w:val="00F67F0C"/>
    <w:rsid w:val="00F67F4B"/>
    <w:rsid w:val="00F67F53"/>
    <w:rsid w:val="00F67F7D"/>
    <w:rsid w:val="00F67F9A"/>
    <w:rsid w:val="00F67FD8"/>
    <w:rsid w:val="00F67FF1"/>
    <w:rsid w:val="00F67FFD"/>
    <w:rsid w:val="00F70039"/>
    <w:rsid w:val="00F7010E"/>
    <w:rsid w:val="00F7011B"/>
    <w:rsid w:val="00F70167"/>
    <w:rsid w:val="00F70192"/>
    <w:rsid w:val="00F70194"/>
    <w:rsid w:val="00F701A9"/>
    <w:rsid w:val="00F70213"/>
    <w:rsid w:val="00F70226"/>
    <w:rsid w:val="00F70228"/>
    <w:rsid w:val="00F70231"/>
    <w:rsid w:val="00F7023A"/>
    <w:rsid w:val="00F70335"/>
    <w:rsid w:val="00F70343"/>
    <w:rsid w:val="00F7034E"/>
    <w:rsid w:val="00F703D6"/>
    <w:rsid w:val="00F703E5"/>
    <w:rsid w:val="00F7043E"/>
    <w:rsid w:val="00F70481"/>
    <w:rsid w:val="00F70485"/>
    <w:rsid w:val="00F7048C"/>
    <w:rsid w:val="00F70498"/>
    <w:rsid w:val="00F704BB"/>
    <w:rsid w:val="00F704CF"/>
    <w:rsid w:val="00F7051D"/>
    <w:rsid w:val="00F70532"/>
    <w:rsid w:val="00F7053F"/>
    <w:rsid w:val="00F705CD"/>
    <w:rsid w:val="00F7065A"/>
    <w:rsid w:val="00F706DF"/>
    <w:rsid w:val="00F706E7"/>
    <w:rsid w:val="00F706F4"/>
    <w:rsid w:val="00F708C4"/>
    <w:rsid w:val="00F7094E"/>
    <w:rsid w:val="00F7096D"/>
    <w:rsid w:val="00F70983"/>
    <w:rsid w:val="00F709A6"/>
    <w:rsid w:val="00F709A9"/>
    <w:rsid w:val="00F709B4"/>
    <w:rsid w:val="00F709C0"/>
    <w:rsid w:val="00F70A2D"/>
    <w:rsid w:val="00F70A5F"/>
    <w:rsid w:val="00F70A7A"/>
    <w:rsid w:val="00F70ADC"/>
    <w:rsid w:val="00F70B1B"/>
    <w:rsid w:val="00F70B1D"/>
    <w:rsid w:val="00F70B20"/>
    <w:rsid w:val="00F70B33"/>
    <w:rsid w:val="00F70B4B"/>
    <w:rsid w:val="00F70C28"/>
    <w:rsid w:val="00F70C5E"/>
    <w:rsid w:val="00F70C88"/>
    <w:rsid w:val="00F70D0B"/>
    <w:rsid w:val="00F70E0F"/>
    <w:rsid w:val="00F70E43"/>
    <w:rsid w:val="00F70E54"/>
    <w:rsid w:val="00F70E64"/>
    <w:rsid w:val="00F70E6F"/>
    <w:rsid w:val="00F70F30"/>
    <w:rsid w:val="00F70FBA"/>
    <w:rsid w:val="00F70FCA"/>
    <w:rsid w:val="00F70FD6"/>
    <w:rsid w:val="00F71060"/>
    <w:rsid w:val="00F71069"/>
    <w:rsid w:val="00F7106F"/>
    <w:rsid w:val="00F7107D"/>
    <w:rsid w:val="00F71093"/>
    <w:rsid w:val="00F71094"/>
    <w:rsid w:val="00F710C3"/>
    <w:rsid w:val="00F7110B"/>
    <w:rsid w:val="00F71114"/>
    <w:rsid w:val="00F7118C"/>
    <w:rsid w:val="00F71195"/>
    <w:rsid w:val="00F711AF"/>
    <w:rsid w:val="00F711B5"/>
    <w:rsid w:val="00F7123F"/>
    <w:rsid w:val="00F712CF"/>
    <w:rsid w:val="00F7131C"/>
    <w:rsid w:val="00F7139C"/>
    <w:rsid w:val="00F713D1"/>
    <w:rsid w:val="00F71418"/>
    <w:rsid w:val="00F71455"/>
    <w:rsid w:val="00F7145D"/>
    <w:rsid w:val="00F7147B"/>
    <w:rsid w:val="00F714FC"/>
    <w:rsid w:val="00F71588"/>
    <w:rsid w:val="00F715B3"/>
    <w:rsid w:val="00F715B9"/>
    <w:rsid w:val="00F715F0"/>
    <w:rsid w:val="00F71612"/>
    <w:rsid w:val="00F7163C"/>
    <w:rsid w:val="00F7165E"/>
    <w:rsid w:val="00F7167A"/>
    <w:rsid w:val="00F7169A"/>
    <w:rsid w:val="00F7170C"/>
    <w:rsid w:val="00F7180C"/>
    <w:rsid w:val="00F7180E"/>
    <w:rsid w:val="00F71881"/>
    <w:rsid w:val="00F7188A"/>
    <w:rsid w:val="00F7188B"/>
    <w:rsid w:val="00F7189D"/>
    <w:rsid w:val="00F718CB"/>
    <w:rsid w:val="00F71933"/>
    <w:rsid w:val="00F71953"/>
    <w:rsid w:val="00F7198C"/>
    <w:rsid w:val="00F719A3"/>
    <w:rsid w:val="00F719EA"/>
    <w:rsid w:val="00F71A16"/>
    <w:rsid w:val="00F71A39"/>
    <w:rsid w:val="00F71A6F"/>
    <w:rsid w:val="00F71AB6"/>
    <w:rsid w:val="00F71B4C"/>
    <w:rsid w:val="00F71BD1"/>
    <w:rsid w:val="00F71C6C"/>
    <w:rsid w:val="00F71C81"/>
    <w:rsid w:val="00F71CCB"/>
    <w:rsid w:val="00F71D19"/>
    <w:rsid w:val="00F71D63"/>
    <w:rsid w:val="00F71D8C"/>
    <w:rsid w:val="00F71D9B"/>
    <w:rsid w:val="00F71E42"/>
    <w:rsid w:val="00F71E50"/>
    <w:rsid w:val="00F71EC2"/>
    <w:rsid w:val="00F71F32"/>
    <w:rsid w:val="00F71F7C"/>
    <w:rsid w:val="00F71F89"/>
    <w:rsid w:val="00F71FDF"/>
    <w:rsid w:val="00F720B1"/>
    <w:rsid w:val="00F720E2"/>
    <w:rsid w:val="00F72136"/>
    <w:rsid w:val="00F7217A"/>
    <w:rsid w:val="00F721BC"/>
    <w:rsid w:val="00F7227D"/>
    <w:rsid w:val="00F7228B"/>
    <w:rsid w:val="00F722CF"/>
    <w:rsid w:val="00F722D6"/>
    <w:rsid w:val="00F722DE"/>
    <w:rsid w:val="00F722E2"/>
    <w:rsid w:val="00F722E5"/>
    <w:rsid w:val="00F72306"/>
    <w:rsid w:val="00F7239C"/>
    <w:rsid w:val="00F723CB"/>
    <w:rsid w:val="00F723F2"/>
    <w:rsid w:val="00F72448"/>
    <w:rsid w:val="00F72465"/>
    <w:rsid w:val="00F72499"/>
    <w:rsid w:val="00F724A4"/>
    <w:rsid w:val="00F724A8"/>
    <w:rsid w:val="00F724BF"/>
    <w:rsid w:val="00F72537"/>
    <w:rsid w:val="00F725D5"/>
    <w:rsid w:val="00F725FC"/>
    <w:rsid w:val="00F72716"/>
    <w:rsid w:val="00F72727"/>
    <w:rsid w:val="00F7278B"/>
    <w:rsid w:val="00F727C3"/>
    <w:rsid w:val="00F727C8"/>
    <w:rsid w:val="00F727D2"/>
    <w:rsid w:val="00F7283B"/>
    <w:rsid w:val="00F7283E"/>
    <w:rsid w:val="00F72855"/>
    <w:rsid w:val="00F728F0"/>
    <w:rsid w:val="00F72924"/>
    <w:rsid w:val="00F729A4"/>
    <w:rsid w:val="00F72A25"/>
    <w:rsid w:val="00F72A9D"/>
    <w:rsid w:val="00F72AD6"/>
    <w:rsid w:val="00F72B2F"/>
    <w:rsid w:val="00F72B5F"/>
    <w:rsid w:val="00F72BA7"/>
    <w:rsid w:val="00F72BB6"/>
    <w:rsid w:val="00F72C0A"/>
    <w:rsid w:val="00F72C45"/>
    <w:rsid w:val="00F72C9F"/>
    <w:rsid w:val="00F72D20"/>
    <w:rsid w:val="00F72D2A"/>
    <w:rsid w:val="00F72D79"/>
    <w:rsid w:val="00F72DB7"/>
    <w:rsid w:val="00F72DBB"/>
    <w:rsid w:val="00F72E01"/>
    <w:rsid w:val="00F72E06"/>
    <w:rsid w:val="00F72E46"/>
    <w:rsid w:val="00F72EB8"/>
    <w:rsid w:val="00F72EEE"/>
    <w:rsid w:val="00F72EF1"/>
    <w:rsid w:val="00F72EFE"/>
    <w:rsid w:val="00F73020"/>
    <w:rsid w:val="00F73074"/>
    <w:rsid w:val="00F730B7"/>
    <w:rsid w:val="00F73150"/>
    <w:rsid w:val="00F73158"/>
    <w:rsid w:val="00F7315A"/>
    <w:rsid w:val="00F73192"/>
    <w:rsid w:val="00F73193"/>
    <w:rsid w:val="00F7328C"/>
    <w:rsid w:val="00F732A6"/>
    <w:rsid w:val="00F73401"/>
    <w:rsid w:val="00F73447"/>
    <w:rsid w:val="00F735AE"/>
    <w:rsid w:val="00F735F0"/>
    <w:rsid w:val="00F73607"/>
    <w:rsid w:val="00F7362E"/>
    <w:rsid w:val="00F73731"/>
    <w:rsid w:val="00F7374B"/>
    <w:rsid w:val="00F73766"/>
    <w:rsid w:val="00F73778"/>
    <w:rsid w:val="00F737F1"/>
    <w:rsid w:val="00F73865"/>
    <w:rsid w:val="00F73920"/>
    <w:rsid w:val="00F7392C"/>
    <w:rsid w:val="00F73937"/>
    <w:rsid w:val="00F7395A"/>
    <w:rsid w:val="00F739B6"/>
    <w:rsid w:val="00F73A19"/>
    <w:rsid w:val="00F73A77"/>
    <w:rsid w:val="00F73A9F"/>
    <w:rsid w:val="00F73AB2"/>
    <w:rsid w:val="00F73ACD"/>
    <w:rsid w:val="00F73B26"/>
    <w:rsid w:val="00F73B2E"/>
    <w:rsid w:val="00F73B94"/>
    <w:rsid w:val="00F73B9B"/>
    <w:rsid w:val="00F73BAC"/>
    <w:rsid w:val="00F73BB8"/>
    <w:rsid w:val="00F73BD8"/>
    <w:rsid w:val="00F73C35"/>
    <w:rsid w:val="00F73C54"/>
    <w:rsid w:val="00F73C5C"/>
    <w:rsid w:val="00F73C74"/>
    <w:rsid w:val="00F73C77"/>
    <w:rsid w:val="00F73D6E"/>
    <w:rsid w:val="00F73DC9"/>
    <w:rsid w:val="00F73DD2"/>
    <w:rsid w:val="00F73E28"/>
    <w:rsid w:val="00F73F45"/>
    <w:rsid w:val="00F73FC0"/>
    <w:rsid w:val="00F74060"/>
    <w:rsid w:val="00F7408C"/>
    <w:rsid w:val="00F7409A"/>
    <w:rsid w:val="00F740A0"/>
    <w:rsid w:val="00F740CB"/>
    <w:rsid w:val="00F740DA"/>
    <w:rsid w:val="00F740F4"/>
    <w:rsid w:val="00F74109"/>
    <w:rsid w:val="00F74121"/>
    <w:rsid w:val="00F74127"/>
    <w:rsid w:val="00F741AE"/>
    <w:rsid w:val="00F7426D"/>
    <w:rsid w:val="00F742A5"/>
    <w:rsid w:val="00F742D7"/>
    <w:rsid w:val="00F742F7"/>
    <w:rsid w:val="00F74304"/>
    <w:rsid w:val="00F7436F"/>
    <w:rsid w:val="00F743B2"/>
    <w:rsid w:val="00F743DF"/>
    <w:rsid w:val="00F743F8"/>
    <w:rsid w:val="00F74455"/>
    <w:rsid w:val="00F744C3"/>
    <w:rsid w:val="00F744D3"/>
    <w:rsid w:val="00F7452B"/>
    <w:rsid w:val="00F74560"/>
    <w:rsid w:val="00F745AF"/>
    <w:rsid w:val="00F745B6"/>
    <w:rsid w:val="00F745D9"/>
    <w:rsid w:val="00F746DD"/>
    <w:rsid w:val="00F747E2"/>
    <w:rsid w:val="00F747EB"/>
    <w:rsid w:val="00F74867"/>
    <w:rsid w:val="00F74897"/>
    <w:rsid w:val="00F74899"/>
    <w:rsid w:val="00F748BA"/>
    <w:rsid w:val="00F7495F"/>
    <w:rsid w:val="00F74971"/>
    <w:rsid w:val="00F749DD"/>
    <w:rsid w:val="00F749EF"/>
    <w:rsid w:val="00F74A2F"/>
    <w:rsid w:val="00F74A78"/>
    <w:rsid w:val="00F74A93"/>
    <w:rsid w:val="00F74ACA"/>
    <w:rsid w:val="00F74B21"/>
    <w:rsid w:val="00F74B40"/>
    <w:rsid w:val="00F74BAF"/>
    <w:rsid w:val="00F74BE8"/>
    <w:rsid w:val="00F74C1A"/>
    <w:rsid w:val="00F74D17"/>
    <w:rsid w:val="00F74DAD"/>
    <w:rsid w:val="00F74DE6"/>
    <w:rsid w:val="00F74DF4"/>
    <w:rsid w:val="00F74E19"/>
    <w:rsid w:val="00F74E2C"/>
    <w:rsid w:val="00F74EF1"/>
    <w:rsid w:val="00F74F9C"/>
    <w:rsid w:val="00F74FE8"/>
    <w:rsid w:val="00F7501A"/>
    <w:rsid w:val="00F7501F"/>
    <w:rsid w:val="00F75047"/>
    <w:rsid w:val="00F7504D"/>
    <w:rsid w:val="00F750AF"/>
    <w:rsid w:val="00F75146"/>
    <w:rsid w:val="00F7515C"/>
    <w:rsid w:val="00F75196"/>
    <w:rsid w:val="00F751E9"/>
    <w:rsid w:val="00F75270"/>
    <w:rsid w:val="00F7527F"/>
    <w:rsid w:val="00F7529D"/>
    <w:rsid w:val="00F752B3"/>
    <w:rsid w:val="00F752DB"/>
    <w:rsid w:val="00F75312"/>
    <w:rsid w:val="00F75334"/>
    <w:rsid w:val="00F753A2"/>
    <w:rsid w:val="00F753D4"/>
    <w:rsid w:val="00F75477"/>
    <w:rsid w:val="00F75662"/>
    <w:rsid w:val="00F75676"/>
    <w:rsid w:val="00F7567A"/>
    <w:rsid w:val="00F75696"/>
    <w:rsid w:val="00F756BD"/>
    <w:rsid w:val="00F756D2"/>
    <w:rsid w:val="00F756FE"/>
    <w:rsid w:val="00F75714"/>
    <w:rsid w:val="00F75736"/>
    <w:rsid w:val="00F75742"/>
    <w:rsid w:val="00F757C5"/>
    <w:rsid w:val="00F75897"/>
    <w:rsid w:val="00F758AC"/>
    <w:rsid w:val="00F758E1"/>
    <w:rsid w:val="00F75902"/>
    <w:rsid w:val="00F75905"/>
    <w:rsid w:val="00F75906"/>
    <w:rsid w:val="00F75919"/>
    <w:rsid w:val="00F7591D"/>
    <w:rsid w:val="00F75968"/>
    <w:rsid w:val="00F759B0"/>
    <w:rsid w:val="00F759B1"/>
    <w:rsid w:val="00F759D1"/>
    <w:rsid w:val="00F75A67"/>
    <w:rsid w:val="00F75AAC"/>
    <w:rsid w:val="00F75AB0"/>
    <w:rsid w:val="00F75AFE"/>
    <w:rsid w:val="00F75B3D"/>
    <w:rsid w:val="00F75B47"/>
    <w:rsid w:val="00F75B6E"/>
    <w:rsid w:val="00F75BCB"/>
    <w:rsid w:val="00F75C26"/>
    <w:rsid w:val="00F75C49"/>
    <w:rsid w:val="00F75C57"/>
    <w:rsid w:val="00F75CA2"/>
    <w:rsid w:val="00F75CA6"/>
    <w:rsid w:val="00F75CD9"/>
    <w:rsid w:val="00F75D11"/>
    <w:rsid w:val="00F75D46"/>
    <w:rsid w:val="00F75D78"/>
    <w:rsid w:val="00F75DE0"/>
    <w:rsid w:val="00F75E1F"/>
    <w:rsid w:val="00F75E21"/>
    <w:rsid w:val="00F75E48"/>
    <w:rsid w:val="00F75E69"/>
    <w:rsid w:val="00F75E89"/>
    <w:rsid w:val="00F75F3E"/>
    <w:rsid w:val="00F75F48"/>
    <w:rsid w:val="00F75FB2"/>
    <w:rsid w:val="00F75FDD"/>
    <w:rsid w:val="00F76028"/>
    <w:rsid w:val="00F760AC"/>
    <w:rsid w:val="00F760E2"/>
    <w:rsid w:val="00F760F1"/>
    <w:rsid w:val="00F7611E"/>
    <w:rsid w:val="00F76127"/>
    <w:rsid w:val="00F76171"/>
    <w:rsid w:val="00F761A6"/>
    <w:rsid w:val="00F761E7"/>
    <w:rsid w:val="00F76207"/>
    <w:rsid w:val="00F7628D"/>
    <w:rsid w:val="00F7629D"/>
    <w:rsid w:val="00F76389"/>
    <w:rsid w:val="00F7639D"/>
    <w:rsid w:val="00F763A3"/>
    <w:rsid w:val="00F7640E"/>
    <w:rsid w:val="00F7642C"/>
    <w:rsid w:val="00F764B7"/>
    <w:rsid w:val="00F76507"/>
    <w:rsid w:val="00F7652A"/>
    <w:rsid w:val="00F7655B"/>
    <w:rsid w:val="00F765B7"/>
    <w:rsid w:val="00F76611"/>
    <w:rsid w:val="00F76612"/>
    <w:rsid w:val="00F76613"/>
    <w:rsid w:val="00F76636"/>
    <w:rsid w:val="00F7669D"/>
    <w:rsid w:val="00F766B8"/>
    <w:rsid w:val="00F766D3"/>
    <w:rsid w:val="00F766EB"/>
    <w:rsid w:val="00F7670A"/>
    <w:rsid w:val="00F76714"/>
    <w:rsid w:val="00F76785"/>
    <w:rsid w:val="00F76786"/>
    <w:rsid w:val="00F767A5"/>
    <w:rsid w:val="00F767B6"/>
    <w:rsid w:val="00F767F6"/>
    <w:rsid w:val="00F7680A"/>
    <w:rsid w:val="00F768BE"/>
    <w:rsid w:val="00F7690D"/>
    <w:rsid w:val="00F76928"/>
    <w:rsid w:val="00F76957"/>
    <w:rsid w:val="00F76A83"/>
    <w:rsid w:val="00F76A91"/>
    <w:rsid w:val="00F76AA5"/>
    <w:rsid w:val="00F76B2D"/>
    <w:rsid w:val="00F76B79"/>
    <w:rsid w:val="00F76B98"/>
    <w:rsid w:val="00F76BAC"/>
    <w:rsid w:val="00F76BF3"/>
    <w:rsid w:val="00F76C16"/>
    <w:rsid w:val="00F76C73"/>
    <w:rsid w:val="00F76C83"/>
    <w:rsid w:val="00F76CF5"/>
    <w:rsid w:val="00F76D42"/>
    <w:rsid w:val="00F76D51"/>
    <w:rsid w:val="00F76D78"/>
    <w:rsid w:val="00F76DD1"/>
    <w:rsid w:val="00F76DDE"/>
    <w:rsid w:val="00F76E31"/>
    <w:rsid w:val="00F76E65"/>
    <w:rsid w:val="00F76E72"/>
    <w:rsid w:val="00F76EBE"/>
    <w:rsid w:val="00F76F3C"/>
    <w:rsid w:val="00F76F45"/>
    <w:rsid w:val="00F76F75"/>
    <w:rsid w:val="00F76FAC"/>
    <w:rsid w:val="00F76FB2"/>
    <w:rsid w:val="00F76FC6"/>
    <w:rsid w:val="00F7706D"/>
    <w:rsid w:val="00F770A8"/>
    <w:rsid w:val="00F7712E"/>
    <w:rsid w:val="00F771D1"/>
    <w:rsid w:val="00F7722D"/>
    <w:rsid w:val="00F77230"/>
    <w:rsid w:val="00F7726A"/>
    <w:rsid w:val="00F772C8"/>
    <w:rsid w:val="00F77346"/>
    <w:rsid w:val="00F774A1"/>
    <w:rsid w:val="00F77516"/>
    <w:rsid w:val="00F775AE"/>
    <w:rsid w:val="00F775C9"/>
    <w:rsid w:val="00F775CE"/>
    <w:rsid w:val="00F775F6"/>
    <w:rsid w:val="00F7762F"/>
    <w:rsid w:val="00F7766C"/>
    <w:rsid w:val="00F776ED"/>
    <w:rsid w:val="00F7774F"/>
    <w:rsid w:val="00F7775A"/>
    <w:rsid w:val="00F7775B"/>
    <w:rsid w:val="00F7776D"/>
    <w:rsid w:val="00F777A1"/>
    <w:rsid w:val="00F777EE"/>
    <w:rsid w:val="00F777FF"/>
    <w:rsid w:val="00F77819"/>
    <w:rsid w:val="00F77845"/>
    <w:rsid w:val="00F7787C"/>
    <w:rsid w:val="00F7788E"/>
    <w:rsid w:val="00F778BA"/>
    <w:rsid w:val="00F7791E"/>
    <w:rsid w:val="00F77932"/>
    <w:rsid w:val="00F7796D"/>
    <w:rsid w:val="00F77984"/>
    <w:rsid w:val="00F77999"/>
    <w:rsid w:val="00F779A1"/>
    <w:rsid w:val="00F779BD"/>
    <w:rsid w:val="00F779EF"/>
    <w:rsid w:val="00F77A11"/>
    <w:rsid w:val="00F77A1C"/>
    <w:rsid w:val="00F77A21"/>
    <w:rsid w:val="00F77AA3"/>
    <w:rsid w:val="00F77AED"/>
    <w:rsid w:val="00F77AFB"/>
    <w:rsid w:val="00F77BA2"/>
    <w:rsid w:val="00F77BBC"/>
    <w:rsid w:val="00F77BF6"/>
    <w:rsid w:val="00F77CEA"/>
    <w:rsid w:val="00F77CFF"/>
    <w:rsid w:val="00F77D08"/>
    <w:rsid w:val="00F77D0D"/>
    <w:rsid w:val="00F77D30"/>
    <w:rsid w:val="00F77D38"/>
    <w:rsid w:val="00F77D41"/>
    <w:rsid w:val="00F77D7C"/>
    <w:rsid w:val="00F77DBE"/>
    <w:rsid w:val="00F77E37"/>
    <w:rsid w:val="00F77E86"/>
    <w:rsid w:val="00F77E99"/>
    <w:rsid w:val="00F77F02"/>
    <w:rsid w:val="00F77F19"/>
    <w:rsid w:val="00F77F3E"/>
    <w:rsid w:val="00F77F4C"/>
    <w:rsid w:val="00F77FF8"/>
    <w:rsid w:val="00F8002C"/>
    <w:rsid w:val="00F80044"/>
    <w:rsid w:val="00F8004B"/>
    <w:rsid w:val="00F80071"/>
    <w:rsid w:val="00F8008D"/>
    <w:rsid w:val="00F800C6"/>
    <w:rsid w:val="00F800D1"/>
    <w:rsid w:val="00F8012C"/>
    <w:rsid w:val="00F8013F"/>
    <w:rsid w:val="00F8014A"/>
    <w:rsid w:val="00F80253"/>
    <w:rsid w:val="00F80259"/>
    <w:rsid w:val="00F8025C"/>
    <w:rsid w:val="00F802CA"/>
    <w:rsid w:val="00F8036B"/>
    <w:rsid w:val="00F803A2"/>
    <w:rsid w:val="00F803BA"/>
    <w:rsid w:val="00F803CB"/>
    <w:rsid w:val="00F8046B"/>
    <w:rsid w:val="00F80483"/>
    <w:rsid w:val="00F804A7"/>
    <w:rsid w:val="00F804B6"/>
    <w:rsid w:val="00F804BF"/>
    <w:rsid w:val="00F80562"/>
    <w:rsid w:val="00F80590"/>
    <w:rsid w:val="00F8071E"/>
    <w:rsid w:val="00F80748"/>
    <w:rsid w:val="00F80768"/>
    <w:rsid w:val="00F807A5"/>
    <w:rsid w:val="00F807B2"/>
    <w:rsid w:val="00F80834"/>
    <w:rsid w:val="00F80845"/>
    <w:rsid w:val="00F80894"/>
    <w:rsid w:val="00F80918"/>
    <w:rsid w:val="00F8092A"/>
    <w:rsid w:val="00F80938"/>
    <w:rsid w:val="00F8093A"/>
    <w:rsid w:val="00F809A0"/>
    <w:rsid w:val="00F809C6"/>
    <w:rsid w:val="00F80A61"/>
    <w:rsid w:val="00F80AA3"/>
    <w:rsid w:val="00F80AC3"/>
    <w:rsid w:val="00F80BF2"/>
    <w:rsid w:val="00F80C03"/>
    <w:rsid w:val="00F80C20"/>
    <w:rsid w:val="00F80C9C"/>
    <w:rsid w:val="00F80D44"/>
    <w:rsid w:val="00F80D5F"/>
    <w:rsid w:val="00F80DC6"/>
    <w:rsid w:val="00F80DCD"/>
    <w:rsid w:val="00F80E14"/>
    <w:rsid w:val="00F80E31"/>
    <w:rsid w:val="00F80E43"/>
    <w:rsid w:val="00F80E59"/>
    <w:rsid w:val="00F80EBC"/>
    <w:rsid w:val="00F80ED3"/>
    <w:rsid w:val="00F80F09"/>
    <w:rsid w:val="00F80F34"/>
    <w:rsid w:val="00F810A2"/>
    <w:rsid w:val="00F810D7"/>
    <w:rsid w:val="00F8112C"/>
    <w:rsid w:val="00F811BD"/>
    <w:rsid w:val="00F81245"/>
    <w:rsid w:val="00F812DC"/>
    <w:rsid w:val="00F8134D"/>
    <w:rsid w:val="00F8135B"/>
    <w:rsid w:val="00F8144A"/>
    <w:rsid w:val="00F81470"/>
    <w:rsid w:val="00F814FB"/>
    <w:rsid w:val="00F81563"/>
    <w:rsid w:val="00F81603"/>
    <w:rsid w:val="00F81657"/>
    <w:rsid w:val="00F81698"/>
    <w:rsid w:val="00F8169E"/>
    <w:rsid w:val="00F81756"/>
    <w:rsid w:val="00F81762"/>
    <w:rsid w:val="00F8179D"/>
    <w:rsid w:val="00F817B5"/>
    <w:rsid w:val="00F817CD"/>
    <w:rsid w:val="00F817E2"/>
    <w:rsid w:val="00F817E5"/>
    <w:rsid w:val="00F817EE"/>
    <w:rsid w:val="00F81826"/>
    <w:rsid w:val="00F818A7"/>
    <w:rsid w:val="00F818A9"/>
    <w:rsid w:val="00F818B7"/>
    <w:rsid w:val="00F818CA"/>
    <w:rsid w:val="00F8190A"/>
    <w:rsid w:val="00F81919"/>
    <w:rsid w:val="00F81970"/>
    <w:rsid w:val="00F819DF"/>
    <w:rsid w:val="00F819FF"/>
    <w:rsid w:val="00F81A1B"/>
    <w:rsid w:val="00F81A49"/>
    <w:rsid w:val="00F81B0B"/>
    <w:rsid w:val="00F81B38"/>
    <w:rsid w:val="00F81B86"/>
    <w:rsid w:val="00F81BC0"/>
    <w:rsid w:val="00F81C83"/>
    <w:rsid w:val="00F81CD9"/>
    <w:rsid w:val="00F81CED"/>
    <w:rsid w:val="00F81D05"/>
    <w:rsid w:val="00F81D26"/>
    <w:rsid w:val="00F81D40"/>
    <w:rsid w:val="00F81DBC"/>
    <w:rsid w:val="00F81DFD"/>
    <w:rsid w:val="00F81E0C"/>
    <w:rsid w:val="00F81E2E"/>
    <w:rsid w:val="00F81E8F"/>
    <w:rsid w:val="00F81E96"/>
    <w:rsid w:val="00F81EE5"/>
    <w:rsid w:val="00F81F0A"/>
    <w:rsid w:val="00F81F0F"/>
    <w:rsid w:val="00F81F19"/>
    <w:rsid w:val="00F81F5F"/>
    <w:rsid w:val="00F81F78"/>
    <w:rsid w:val="00F81F82"/>
    <w:rsid w:val="00F81FB1"/>
    <w:rsid w:val="00F81FB2"/>
    <w:rsid w:val="00F82006"/>
    <w:rsid w:val="00F82018"/>
    <w:rsid w:val="00F82034"/>
    <w:rsid w:val="00F82064"/>
    <w:rsid w:val="00F82132"/>
    <w:rsid w:val="00F82254"/>
    <w:rsid w:val="00F822C5"/>
    <w:rsid w:val="00F822DD"/>
    <w:rsid w:val="00F82383"/>
    <w:rsid w:val="00F8240C"/>
    <w:rsid w:val="00F82465"/>
    <w:rsid w:val="00F824B7"/>
    <w:rsid w:val="00F82511"/>
    <w:rsid w:val="00F82576"/>
    <w:rsid w:val="00F8257F"/>
    <w:rsid w:val="00F82581"/>
    <w:rsid w:val="00F82585"/>
    <w:rsid w:val="00F825E7"/>
    <w:rsid w:val="00F8266C"/>
    <w:rsid w:val="00F826E3"/>
    <w:rsid w:val="00F82700"/>
    <w:rsid w:val="00F82713"/>
    <w:rsid w:val="00F8271E"/>
    <w:rsid w:val="00F82724"/>
    <w:rsid w:val="00F82733"/>
    <w:rsid w:val="00F8277E"/>
    <w:rsid w:val="00F827B2"/>
    <w:rsid w:val="00F827D8"/>
    <w:rsid w:val="00F827F1"/>
    <w:rsid w:val="00F82807"/>
    <w:rsid w:val="00F8285C"/>
    <w:rsid w:val="00F8288F"/>
    <w:rsid w:val="00F828A2"/>
    <w:rsid w:val="00F828E7"/>
    <w:rsid w:val="00F8290D"/>
    <w:rsid w:val="00F82970"/>
    <w:rsid w:val="00F8297F"/>
    <w:rsid w:val="00F829AB"/>
    <w:rsid w:val="00F829F9"/>
    <w:rsid w:val="00F82A21"/>
    <w:rsid w:val="00F82AA2"/>
    <w:rsid w:val="00F82AA6"/>
    <w:rsid w:val="00F82AD8"/>
    <w:rsid w:val="00F82AE6"/>
    <w:rsid w:val="00F82AEA"/>
    <w:rsid w:val="00F82B53"/>
    <w:rsid w:val="00F82B8B"/>
    <w:rsid w:val="00F82B9E"/>
    <w:rsid w:val="00F82BB7"/>
    <w:rsid w:val="00F82C52"/>
    <w:rsid w:val="00F82C81"/>
    <w:rsid w:val="00F82CA3"/>
    <w:rsid w:val="00F82D09"/>
    <w:rsid w:val="00F82D18"/>
    <w:rsid w:val="00F82D3E"/>
    <w:rsid w:val="00F82DF1"/>
    <w:rsid w:val="00F82DFA"/>
    <w:rsid w:val="00F82E11"/>
    <w:rsid w:val="00F82E45"/>
    <w:rsid w:val="00F82E5F"/>
    <w:rsid w:val="00F82EB6"/>
    <w:rsid w:val="00F82EE3"/>
    <w:rsid w:val="00F82EFF"/>
    <w:rsid w:val="00F82F07"/>
    <w:rsid w:val="00F82F41"/>
    <w:rsid w:val="00F82F59"/>
    <w:rsid w:val="00F82F6E"/>
    <w:rsid w:val="00F82F9B"/>
    <w:rsid w:val="00F82FB4"/>
    <w:rsid w:val="00F83039"/>
    <w:rsid w:val="00F8309C"/>
    <w:rsid w:val="00F830A5"/>
    <w:rsid w:val="00F830A6"/>
    <w:rsid w:val="00F8316C"/>
    <w:rsid w:val="00F8317E"/>
    <w:rsid w:val="00F83198"/>
    <w:rsid w:val="00F831C1"/>
    <w:rsid w:val="00F831E8"/>
    <w:rsid w:val="00F831EE"/>
    <w:rsid w:val="00F8321D"/>
    <w:rsid w:val="00F832C9"/>
    <w:rsid w:val="00F832D7"/>
    <w:rsid w:val="00F833B0"/>
    <w:rsid w:val="00F833C6"/>
    <w:rsid w:val="00F833F4"/>
    <w:rsid w:val="00F83400"/>
    <w:rsid w:val="00F8347E"/>
    <w:rsid w:val="00F834A3"/>
    <w:rsid w:val="00F834F9"/>
    <w:rsid w:val="00F8350E"/>
    <w:rsid w:val="00F8354B"/>
    <w:rsid w:val="00F8357E"/>
    <w:rsid w:val="00F835EF"/>
    <w:rsid w:val="00F83653"/>
    <w:rsid w:val="00F8366D"/>
    <w:rsid w:val="00F836D2"/>
    <w:rsid w:val="00F8375C"/>
    <w:rsid w:val="00F8377A"/>
    <w:rsid w:val="00F837E0"/>
    <w:rsid w:val="00F837ED"/>
    <w:rsid w:val="00F83889"/>
    <w:rsid w:val="00F83890"/>
    <w:rsid w:val="00F838A8"/>
    <w:rsid w:val="00F8396E"/>
    <w:rsid w:val="00F83985"/>
    <w:rsid w:val="00F839DF"/>
    <w:rsid w:val="00F839F2"/>
    <w:rsid w:val="00F83A09"/>
    <w:rsid w:val="00F83A15"/>
    <w:rsid w:val="00F83A7D"/>
    <w:rsid w:val="00F83A8A"/>
    <w:rsid w:val="00F83AB1"/>
    <w:rsid w:val="00F83B5C"/>
    <w:rsid w:val="00F83B8E"/>
    <w:rsid w:val="00F83BE0"/>
    <w:rsid w:val="00F83BEB"/>
    <w:rsid w:val="00F83BF7"/>
    <w:rsid w:val="00F83CFF"/>
    <w:rsid w:val="00F83D35"/>
    <w:rsid w:val="00F83D43"/>
    <w:rsid w:val="00F83D4E"/>
    <w:rsid w:val="00F83D50"/>
    <w:rsid w:val="00F83DE9"/>
    <w:rsid w:val="00F83E24"/>
    <w:rsid w:val="00F83EE7"/>
    <w:rsid w:val="00F83F77"/>
    <w:rsid w:val="00F83FB1"/>
    <w:rsid w:val="00F84037"/>
    <w:rsid w:val="00F84038"/>
    <w:rsid w:val="00F84047"/>
    <w:rsid w:val="00F84058"/>
    <w:rsid w:val="00F84062"/>
    <w:rsid w:val="00F840CE"/>
    <w:rsid w:val="00F840DB"/>
    <w:rsid w:val="00F84104"/>
    <w:rsid w:val="00F84174"/>
    <w:rsid w:val="00F841BE"/>
    <w:rsid w:val="00F841DD"/>
    <w:rsid w:val="00F84207"/>
    <w:rsid w:val="00F84232"/>
    <w:rsid w:val="00F842B7"/>
    <w:rsid w:val="00F842D3"/>
    <w:rsid w:val="00F843B2"/>
    <w:rsid w:val="00F843BC"/>
    <w:rsid w:val="00F843FE"/>
    <w:rsid w:val="00F84458"/>
    <w:rsid w:val="00F844E0"/>
    <w:rsid w:val="00F8454A"/>
    <w:rsid w:val="00F845A3"/>
    <w:rsid w:val="00F845AC"/>
    <w:rsid w:val="00F84602"/>
    <w:rsid w:val="00F84613"/>
    <w:rsid w:val="00F8477F"/>
    <w:rsid w:val="00F847CD"/>
    <w:rsid w:val="00F84829"/>
    <w:rsid w:val="00F84858"/>
    <w:rsid w:val="00F84896"/>
    <w:rsid w:val="00F84933"/>
    <w:rsid w:val="00F8494E"/>
    <w:rsid w:val="00F84991"/>
    <w:rsid w:val="00F849A8"/>
    <w:rsid w:val="00F84A30"/>
    <w:rsid w:val="00F84A47"/>
    <w:rsid w:val="00F84AE4"/>
    <w:rsid w:val="00F84B17"/>
    <w:rsid w:val="00F84B31"/>
    <w:rsid w:val="00F84B43"/>
    <w:rsid w:val="00F84BB2"/>
    <w:rsid w:val="00F84BED"/>
    <w:rsid w:val="00F84BF5"/>
    <w:rsid w:val="00F84C38"/>
    <w:rsid w:val="00F84C3B"/>
    <w:rsid w:val="00F84C4A"/>
    <w:rsid w:val="00F84CFB"/>
    <w:rsid w:val="00F84D0A"/>
    <w:rsid w:val="00F84D43"/>
    <w:rsid w:val="00F84D84"/>
    <w:rsid w:val="00F84E8F"/>
    <w:rsid w:val="00F84ECD"/>
    <w:rsid w:val="00F84F91"/>
    <w:rsid w:val="00F84FBB"/>
    <w:rsid w:val="00F85034"/>
    <w:rsid w:val="00F85036"/>
    <w:rsid w:val="00F85046"/>
    <w:rsid w:val="00F8506B"/>
    <w:rsid w:val="00F850C7"/>
    <w:rsid w:val="00F85130"/>
    <w:rsid w:val="00F8523A"/>
    <w:rsid w:val="00F85242"/>
    <w:rsid w:val="00F85342"/>
    <w:rsid w:val="00F853A3"/>
    <w:rsid w:val="00F853AB"/>
    <w:rsid w:val="00F853E7"/>
    <w:rsid w:val="00F85416"/>
    <w:rsid w:val="00F85469"/>
    <w:rsid w:val="00F854DD"/>
    <w:rsid w:val="00F854EA"/>
    <w:rsid w:val="00F85592"/>
    <w:rsid w:val="00F855B4"/>
    <w:rsid w:val="00F855C2"/>
    <w:rsid w:val="00F855F9"/>
    <w:rsid w:val="00F85665"/>
    <w:rsid w:val="00F8570E"/>
    <w:rsid w:val="00F85731"/>
    <w:rsid w:val="00F8574A"/>
    <w:rsid w:val="00F85784"/>
    <w:rsid w:val="00F8578E"/>
    <w:rsid w:val="00F857B1"/>
    <w:rsid w:val="00F857C7"/>
    <w:rsid w:val="00F85856"/>
    <w:rsid w:val="00F85859"/>
    <w:rsid w:val="00F85878"/>
    <w:rsid w:val="00F8587A"/>
    <w:rsid w:val="00F8587C"/>
    <w:rsid w:val="00F8588A"/>
    <w:rsid w:val="00F858F1"/>
    <w:rsid w:val="00F858F6"/>
    <w:rsid w:val="00F85970"/>
    <w:rsid w:val="00F85974"/>
    <w:rsid w:val="00F859A0"/>
    <w:rsid w:val="00F85A01"/>
    <w:rsid w:val="00F85A33"/>
    <w:rsid w:val="00F85B6E"/>
    <w:rsid w:val="00F85C5C"/>
    <w:rsid w:val="00F85C82"/>
    <w:rsid w:val="00F85D51"/>
    <w:rsid w:val="00F85D67"/>
    <w:rsid w:val="00F85D9C"/>
    <w:rsid w:val="00F85E95"/>
    <w:rsid w:val="00F85F0C"/>
    <w:rsid w:val="00F85F1E"/>
    <w:rsid w:val="00F85F20"/>
    <w:rsid w:val="00F85F85"/>
    <w:rsid w:val="00F86019"/>
    <w:rsid w:val="00F8606F"/>
    <w:rsid w:val="00F8607A"/>
    <w:rsid w:val="00F860AD"/>
    <w:rsid w:val="00F860C2"/>
    <w:rsid w:val="00F86101"/>
    <w:rsid w:val="00F86118"/>
    <w:rsid w:val="00F8613D"/>
    <w:rsid w:val="00F8619F"/>
    <w:rsid w:val="00F861E4"/>
    <w:rsid w:val="00F861E7"/>
    <w:rsid w:val="00F861EA"/>
    <w:rsid w:val="00F8624B"/>
    <w:rsid w:val="00F86274"/>
    <w:rsid w:val="00F862AD"/>
    <w:rsid w:val="00F862BA"/>
    <w:rsid w:val="00F862C8"/>
    <w:rsid w:val="00F862E2"/>
    <w:rsid w:val="00F86322"/>
    <w:rsid w:val="00F86343"/>
    <w:rsid w:val="00F86398"/>
    <w:rsid w:val="00F864B4"/>
    <w:rsid w:val="00F864D0"/>
    <w:rsid w:val="00F864F8"/>
    <w:rsid w:val="00F86519"/>
    <w:rsid w:val="00F8652F"/>
    <w:rsid w:val="00F86559"/>
    <w:rsid w:val="00F86584"/>
    <w:rsid w:val="00F86613"/>
    <w:rsid w:val="00F86660"/>
    <w:rsid w:val="00F86678"/>
    <w:rsid w:val="00F86695"/>
    <w:rsid w:val="00F866CC"/>
    <w:rsid w:val="00F866E4"/>
    <w:rsid w:val="00F8672D"/>
    <w:rsid w:val="00F86769"/>
    <w:rsid w:val="00F8677E"/>
    <w:rsid w:val="00F8678E"/>
    <w:rsid w:val="00F867DE"/>
    <w:rsid w:val="00F86898"/>
    <w:rsid w:val="00F869F1"/>
    <w:rsid w:val="00F86A11"/>
    <w:rsid w:val="00F86ABB"/>
    <w:rsid w:val="00F86B26"/>
    <w:rsid w:val="00F86BC8"/>
    <w:rsid w:val="00F86C24"/>
    <w:rsid w:val="00F86C49"/>
    <w:rsid w:val="00F86CA8"/>
    <w:rsid w:val="00F86CCB"/>
    <w:rsid w:val="00F86E3B"/>
    <w:rsid w:val="00F86E51"/>
    <w:rsid w:val="00F86E58"/>
    <w:rsid w:val="00F86E76"/>
    <w:rsid w:val="00F86F84"/>
    <w:rsid w:val="00F86F9F"/>
    <w:rsid w:val="00F86FD4"/>
    <w:rsid w:val="00F87012"/>
    <w:rsid w:val="00F87013"/>
    <w:rsid w:val="00F87055"/>
    <w:rsid w:val="00F87073"/>
    <w:rsid w:val="00F870AA"/>
    <w:rsid w:val="00F870B0"/>
    <w:rsid w:val="00F870FA"/>
    <w:rsid w:val="00F870FE"/>
    <w:rsid w:val="00F87102"/>
    <w:rsid w:val="00F8717C"/>
    <w:rsid w:val="00F871A5"/>
    <w:rsid w:val="00F871BD"/>
    <w:rsid w:val="00F8723B"/>
    <w:rsid w:val="00F87262"/>
    <w:rsid w:val="00F87275"/>
    <w:rsid w:val="00F872D8"/>
    <w:rsid w:val="00F872D9"/>
    <w:rsid w:val="00F872DE"/>
    <w:rsid w:val="00F872F2"/>
    <w:rsid w:val="00F873B7"/>
    <w:rsid w:val="00F874EF"/>
    <w:rsid w:val="00F87508"/>
    <w:rsid w:val="00F87513"/>
    <w:rsid w:val="00F875AB"/>
    <w:rsid w:val="00F8765B"/>
    <w:rsid w:val="00F8767E"/>
    <w:rsid w:val="00F87685"/>
    <w:rsid w:val="00F87691"/>
    <w:rsid w:val="00F87750"/>
    <w:rsid w:val="00F87782"/>
    <w:rsid w:val="00F877AC"/>
    <w:rsid w:val="00F877F8"/>
    <w:rsid w:val="00F8786B"/>
    <w:rsid w:val="00F87880"/>
    <w:rsid w:val="00F87884"/>
    <w:rsid w:val="00F87951"/>
    <w:rsid w:val="00F8795C"/>
    <w:rsid w:val="00F87999"/>
    <w:rsid w:val="00F879A7"/>
    <w:rsid w:val="00F879EC"/>
    <w:rsid w:val="00F87A90"/>
    <w:rsid w:val="00F87A91"/>
    <w:rsid w:val="00F87AC3"/>
    <w:rsid w:val="00F87ACA"/>
    <w:rsid w:val="00F87ADC"/>
    <w:rsid w:val="00F87AE9"/>
    <w:rsid w:val="00F87B4C"/>
    <w:rsid w:val="00F87B4F"/>
    <w:rsid w:val="00F87BDF"/>
    <w:rsid w:val="00F87C59"/>
    <w:rsid w:val="00F87C9C"/>
    <w:rsid w:val="00F87CBB"/>
    <w:rsid w:val="00F87CD8"/>
    <w:rsid w:val="00F87CF4"/>
    <w:rsid w:val="00F87D61"/>
    <w:rsid w:val="00F87D85"/>
    <w:rsid w:val="00F87E31"/>
    <w:rsid w:val="00F87EA0"/>
    <w:rsid w:val="00F87ECD"/>
    <w:rsid w:val="00F87EE4"/>
    <w:rsid w:val="00F87F1D"/>
    <w:rsid w:val="00F87F70"/>
    <w:rsid w:val="00F87FB2"/>
    <w:rsid w:val="00F87FBA"/>
    <w:rsid w:val="00F90017"/>
    <w:rsid w:val="00F9001A"/>
    <w:rsid w:val="00F90022"/>
    <w:rsid w:val="00F90031"/>
    <w:rsid w:val="00F90032"/>
    <w:rsid w:val="00F9010F"/>
    <w:rsid w:val="00F90152"/>
    <w:rsid w:val="00F901BB"/>
    <w:rsid w:val="00F901E0"/>
    <w:rsid w:val="00F901F2"/>
    <w:rsid w:val="00F90247"/>
    <w:rsid w:val="00F90258"/>
    <w:rsid w:val="00F90276"/>
    <w:rsid w:val="00F902A6"/>
    <w:rsid w:val="00F9039A"/>
    <w:rsid w:val="00F9049E"/>
    <w:rsid w:val="00F904C3"/>
    <w:rsid w:val="00F904F6"/>
    <w:rsid w:val="00F90556"/>
    <w:rsid w:val="00F90566"/>
    <w:rsid w:val="00F90570"/>
    <w:rsid w:val="00F9058C"/>
    <w:rsid w:val="00F90591"/>
    <w:rsid w:val="00F905C5"/>
    <w:rsid w:val="00F905F7"/>
    <w:rsid w:val="00F9062F"/>
    <w:rsid w:val="00F9063B"/>
    <w:rsid w:val="00F906B8"/>
    <w:rsid w:val="00F906CA"/>
    <w:rsid w:val="00F906F3"/>
    <w:rsid w:val="00F90703"/>
    <w:rsid w:val="00F90704"/>
    <w:rsid w:val="00F90711"/>
    <w:rsid w:val="00F90714"/>
    <w:rsid w:val="00F90729"/>
    <w:rsid w:val="00F907B8"/>
    <w:rsid w:val="00F90848"/>
    <w:rsid w:val="00F9086D"/>
    <w:rsid w:val="00F90909"/>
    <w:rsid w:val="00F90927"/>
    <w:rsid w:val="00F909C2"/>
    <w:rsid w:val="00F909FA"/>
    <w:rsid w:val="00F90A41"/>
    <w:rsid w:val="00F90A5A"/>
    <w:rsid w:val="00F90AA2"/>
    <w:rsid w:val="00F90AD6"/>
    <w:rsid w:val="00F90B21"/>
    <w:rsid w:val="00F90B38"/>
    <w:rsid w:val="00F90C5E"/>
    <w:rsid w:val="00F90CBF"/>
    <w:rsid w:val="00F90CC9"/>
    <w:rsid w:val="00F90CFD"/>
    <w:rsid w:val="00F90D44"/>
    <w:rsid w:val="00F90D76"/>
    <w:rsid w:val="00F90DDC"/>
    <w:rsid w:val="00F90E7E"/>
    <w:rsid w:val="00F90EB3"/>
    <w:rsid w:val="00F90F01"/>
    <w:rsid w:val="00F90F0C"/>
    <w:rsid w:val="00F90F51"/>
    <w:rsid w:val="00F90F5E"/>
    <w:rsid w:val="00F90FBD"/>
    <w:rsid w:val="00F90FC9"/>
    <w:rsid w:val="00F90FDC"/>
    <w:rsid w:val="00F90FE3"/>
    <w:rsid w:val="00F91038"/>
    <w:rsid w:val="00F91085"/>
    <w:rsid w:val="00F9118C"/>
    <w:rsid w:val="00F9118E"/>
    <w:rsid w:val="00F91276"/>
    <w:rsid w:val="00F91298"/>
    <w:rsid w:val="00F9129C"/>
    <w:rsid w:val="00F912A7"/>
    <w:rsid w:val="00F912B4"/>
    <w:rsid w:val="00F912FD"/>
    <w:rsid w:val="00F91346"/>
    <w:rsid w:val="00F9141A"/>
    <w:rsid w:val="00F914E0"/>
    <w:rsid w:val="00F914EE"/>
    <w:rsid w:val="00F914F8"/>
    <w:rsid w:val="00F91515"/>
    <w:rsid w:val="00F91546"/>
    <w:rsid w:val="00F91567"/>
    <w:rsid w:val="00F915BF"/>
    <w:rsid w:val="00F91608"/>
    <w:rsid w:val="00F91669"/>
    <w:rsid w:val="00F91689"/>
    <w:rsid w:val="00F916B3"/>
    <w:rsid w:val="00F916F0"/>
    <w:rsid w:val="00F9174F"/>
    <w:rsid w:val="00F91798"/>
    <w:rsid w:val="00F91816"/>
    <w:rsid w:val="00F91839"/>
    <w:rsid w:val="00F9189A"/>
    <w:rsid w:val="00F918A6"/>
    <w:rsid w:val="00F9194A"/>
    <w:rsid w:val="00F91978"/>
    <w:rsid w:val="00F919F4"/>
    <w:rsid w:val="00F91A2B"/>
    <w:rsid w:val="00F91A58"/>
    <w:rsid w:val="00F91A77"/>
    <w:rsid w:val="00F91A87"/>
    <w:rsid w:val="00F91A9B"/>
    <w:rsid w:val="00F91AD4"/>
    <w:rsid w:val="00F91ADA"/>
    <w:rsid w:val="00F91AE9"/>
    <w:rsid w:val="00F91B5B"/>
    <w:rsid w:val="00F91BCA"/>
    <w:rsid w:val="00F91BE9"/>
    <w:rsid w:val="00F91C05"/>
    <w:rsid w:val="00F91C25"/>
    <w:rsid w:val="00F91C3B"/>
    <w:rsid w:val="00F91C4F"/>
    <w:rsid w:val="00F91CA0"/>
    <w:rsid w:val="00F91CB3"/>
    <w:rsid w:val="00F91CD4"/>
    <w:rsid w:val="00F91CEE"/>
    <w:rsid w:val="00F91CFB"/>
    <w:rsid w:val="00F91CFD"/>
    <w:rsid w:val="00F91D0F"/>
    <w:rsid w:val="00F91D34"/>
    <w:rsid w:val="00F91D79"/>
    <w:rsid w:val="00F91DB1"/>
    <w:rsid w:val="00F91DDB"/>
    <w:rsid w:val="00F91E68"/>
    <w:rsid w:val="00F91F47"/>
    <w:rsid w:val="00F91FB0"/>
    <w:rsid w:val="00F91FBF"/>
    <w:rsid w:val="00F9203D"/>
    <w:rsid w:val="00F9208A"/>
    <w:rsid w:val="00F9208D"/>
    <w:rsid w:val="00F9209F"/>
    <w:rsid w:val="00F92114"/>
    <w:rsid w:val="00F9214F"/>
    <w:rsid w:val="00F921E5"/>
    <w:rsid w:val="00F9223C"/>
    <w:rsid w:val="00F9225E"/>
    <w:rsid w:val="00F92280"/>
    <w:rsid w:val="00F92284"/>
    <w:rsid w:val="00F9235F"/>
    <w:rsid w:val="00F92364"/>
    <w:rsid w:val="00F9240E"/>
    <w:rsid w:val="00F92425"/>
    <w:rsid w:val="00F9243A"/>
    <w:rsid w:val="00F92452"/>
    <w:rsid w:val="00F92466"/>
    <w:rsid w:val="00F924BF"/>
    <w:rsid w:val="00F92546"/>
    <w:rsid w:val="00F9255F"/>
    <w:rsid w:val="00F92590"/>
    <w:rsid w:val="00F92606"/>
    <w:rsid w:val="00F92612"/>
    <w:rsid w:val="00F926AE"/>
    <w:rsid w:val="00F926DE"/>
    <w:rsid w:val="00F92735"/>
    <w:rsid w:val="00F92760"/>
    <w:rsid w:val="00F927A7"/>
    <w:rsid w:val="00F927B5"/>
    <w:rsid w:val="00F927BA"/>
    <w:rsid w:val="00F9283A"/>
    <w:rsid w:val="00F92876"/>
    <w:rsid w:val="00F9289E"/>
    <w:rsid w:val="00F928DC"/>
    <w:rsid w:val="00F92959"/>
    <w:rsid w:val="00F9298F"/>
    <w:rsid w:val="00F929E1"/>
    <w:rsid w:val="00F92A21"/>
    <w:rsid w:val="00F92A48"/>
    <w:rsid w:val="00F92A67"/>
    <w:rsid w:val="00F92A7E"/>
    <w:rsid w:val="00F92B6C"/>
    <w:rsid w:val="00F92BA9"/>
    <w:rsid w:val="00F92BAD"/>
    <w:rsid w:val="00F92C8D"/>
    <w:rsid w:val="00F92C8E"/>
    <w:rsid w:val="00F92CE8"/>
    <w:rsid w:val="00F92D49"/>
    <w:rsid w:val="00F92DF7"/>
    <w:rsid w:val="00F92E38"/>
    <w:rsid w:val="00F92E65"/>
    <w:rsid w:val="00F92E7D"/>
    <w:rsid w:val="00F92EAD"/>
    <w:rsid w:val="00F92EB7"/>
    <w:rsid w:val="00F92EF5"/>
    <w:rsid w:val="00F92F2B"/>
    <w:rsid w:val="00F92F7F"/>
    <w:rsid w:val="00F92FD0"/>
    <w:rsid w:val="00F92FE5"/>
    <w:rsid w:val="00F92FEE"/>
    <w:rsid w:val="00F93059"/>
    <w:rsid w:val="00F93072"/>
    <w:rsid w:val="00F93086"/>
    <w:rsid w:val="00F93098"/>
    <w:rsid w:val="00F930C3"/>
    <w:rsid w:val="00F930E6"/>
    <w:rsid w:val="00F93116"/>
    <w:rsid w:val="00F93185"/>
    <w:rsid w:val="00F93245"/>
    <w:rsid w:val="00F932EC"/>
    <w:rsid w:val="00F9330C"/>
    <w:rsid w:val="00F93315"/>
    <w:rsid w:val="00F93338"/>
    <w:rsid w:val="00F93365"/>
    <w:rsid w:val="00F9338A"/>
    <w:rsid w:val="00F933DF"/>
    <w:rsid w:val="00F9340E"/>
    <w:rsid w:val="00F93443"/>
    <w:rsid w:val="00F93444"/>
    <w:rsid w:val="00F93473"/>
    <w:rsid w:val="00F93475"/>
    <w:rsid w:val="00F9348D"/>
    <w:rsid w:val="00F934FF"/>
    <w:rsid w:val="00F935C1"/>
    <w:rsid w:val="00F93626"/>
    <w:rsid w:val="00F93698"/>
    <w:rsid w:val="00F93743"/>
    <w:rsid w:val="00F93796"/>
    <w:rsid w:val="00F9379E"/>
    <w:rsid w:val="00F93824"/>
    <w:rsid w:val="00F9384F"/>
    <w:rsid w:val="00F9392A"/>
    <w:rsid w:val="00F9392E"/>
    <w:rsid w:val="00F93968"/>
    <w:rsid w:val="00F9397D"/>
    <w:rsid w:val="00F93A0B"/>
    <w:rsid w:val="00F93A34"/>
    <w:rsid w:val="00F93A6F"/>
    <w:rsid w:val="00F93B32"/>
    <w:rsid w:val="00F93BDB"/>
    <w:rsid w:val="00F93C25"/>
    <w:rsid w:val="00F93C33"/>
    <w:rsid w:val="00F93C5E"/>
    <w:rsid w:val="00F93CF5"/>
    <w:rsid w:val="00F93D29"/>
    <w:rsid w:val="00F93D4B"/>
    <w:rsid w:val="00F93ED9"/>
    <w:rsid w:val="00F93F29"/>
    <w:rsid w:val="00F93F2D"/>
    <w:rsid w:val="00F93F88"/>
    <w:rsid w:val="00F93FB5"/>
    <w:rsid w:val="00F93FEA"/>
    <w:rsid w:val="00F93FED"/>
    <w:rsid w:val="00F9404C"/>
    <w:rsid w:val="00F9406D"/>
    <w:rsid w:val="00F94109"/>
    <w:rsid w:val="00F94110"/>
    <w:rsid w:val="00F94135"/>
    <w:rsid w:val="00F9415C"/>
    <w:rsid w:val="00F9415D"/>
    <w:rsid w:val="00F9415E"/>
    <w:rsid w:val="00F94173"/>
    <w:rsid w:val="00F942C0"/>
    <w:rsid w:val="00F943F7"/>
    <w:rsid w:val="00F94445"/>
    <w:rsid w:val="00F94480"/>
    <w:rsid w:val="00F944F0"/>
    <w:rsid w:val="00F944FF"/>
    <w:rsid w:val="00F946A8"/>
    <w:rsid w:val="00F9472A"/>
    <w:rsid w:val="00F9473B"/>
    <w:rsid w:val="00F947EA"/>
    <w:rsid w:val="00F94880"/>
    <w:rsid w:val="00F94920"/>
    <w:rsid w:val="00F94963"/>
    <w:rsid w:val="00F94978"/>
    <w:rsid w:val="00F9499D"/>
    <w:rsid w:val="00F949A5"/>
    <w:rsid w:val="00F949B1"/>
    <w:rsid w:val="00F94ABA"/>
    <w:rsid w:val="00F94ADD"/>
    <w:rsid w:val="00F94B11"/>
    <w:rsid w:val="00F94B22"/>
    <w:rsid w:val="00F94B3D"/>
    <w:rsid w:val="00F94B3E"/>
    <w:rsid w:val="00F94BA5"/>
    <w:rsid w:val="00F94BCE"/>
    <w:rsid w:val="00F94C05"/>
    <w:rsid w:val="00F94CAE"/>
    <w:rsid w:val="00F94DA8"/>
    <w:rsid w:val="00F94DBC"/>
    <w:rsid w:val="00F94E0F"/>
    <w:rsid w:val="00F94E36"/>
    <w:rsid w:val="00F94EBB"/>
    <w:rsid w:val="00F94EC8"/>
    <w:rsid w:val="00F94ED8"/>
    <w:rsid w:val="00F94F09"/>
    <w:rsid w:val="00F94F8A"/>
    <w:rsid w:val="00F94FD3"/>
    <w:rsid w:val="00F94FFC"/>
    <w:rsid w:val="00F95009"/>
    <w:rsid w:val="00F95107"/>
    <w:rsid w:val="00F9519D"/>
    <w:rsid w:val="00F951DB"/>
    <w:rsid w:val="00F951E0"/>
    <w:rsid w:val="00F95254"/>
    <w:rsid w:val="00F9529A"/>
    <w:rsid w:val="00F95310"/>
    <w:rsid w:val="00F9531A"/>
    <w:rsid w:val="00F95361"/>
    <w:rsid w:val="00F95399"/>
    <w:rsid w:val="00F953C3"/>
    <w:rsid w:val="00F953DD"/>
    <w:rsid w:val="00F954FA"/>
    <w:rsid w:val="00F9550E"/>
    <w:rsid w:val="00F9556D"/>
    <w:rsid w:val="00F95576"/>
    <w:rsid w:val="00F955A5"/>
    <w:rsid w:val="00F955B6"/>
    <w:rsid w:val="00F95611"/>
    <w:rsid w:val="00F95632"/>
    <w:rsid w:val="00F9563D"/>
    <w:rsid w:val="00F95678"/>
    <w:rsid w:val="00F956AE"/>
    <w:rsid w:val="00F956EA"/>
    <w:rsid w:val="00F956EE"/>
    <w:rsid w:val="00F9578F"/>
    <w:rsid w:val="00F95828"/>
    <w:rsid w:val="00F95847"/>
    <w:rsid w:val="00F9586A"/>
    <w:rsid w:val="00F958D3"/>
    <w:rsid w:val="00F9593A"/>
    <w:rsid w:val="00F95958"/>
    <w:rsid w:val="00F9596D"/>
    <w:rsid w:val="00F9598C"/>
    <w:rsid w:val="00F959BC"/>
    <w:rsid w:val="00F959FD"/>
    <w:rsid w:val="00F95A3A"/>
    <w:rsid w:val="00F95A41"/>
    <w:rsid w:val="00F95B3A"/>
    <w:rsid w:val="00F95B48"/>
    <w:rsid w:val="00F95BD5"/>
    <w:rsid w:val="00F95C0A"/>
    <w:rsid w:val="00F95C51"/>
    <w:rsid w:val="00F95C60"/>
    <w:rsid w:val="00F95C79"/>
    <w:rsid w:val="00F95C8D"/>
    <w:rsid w:val="00F95CE9"/>
    <w:rsid w:val="00F95CF3"/>
    <w:rsid w:val="00F95D09"/>
    <w:rsid w:val="00F95D17"/>
    <w:rsid w:val="00F95D9A"/>
    <w:rsid w:val="00F95DC3"/>
    <w:rsid w:val="00F95E09"/>
    <w:rsid w:val="00F95E63"/>
    <w:rsid w:val="00F95F20"/>
    <w:rsid w:val="00F95F70"/>
    <w:rsid w:val="00F95F91"/>
    <w:rsid w:val="00F95FBE"/>
    <w:rsid w:val="00F95FD2"/>
    <w:rsid w:val="00F96041"/>
    <w:rsid w:val="00F96052"/>
    <w:rsid w:val="00F9605D"/>
    <w:rsid w:val="00F960A9"/>
    <w:rsid w:val="00F960AE"/>
    <w:rsid w:val="00F9614D"/>
    <w:rsid w:val="00F96198"/>
    <w:rsid w:val="00F961D6"/>
    <w:rsid w:val="00F96213"/>
    <w:rsid w:val="00F96241"/>
    <w:rsid w:val="00F962A5"/>
    <w:rsid w:val="00F962FA"/>
    <w:rsid w:val="00F9632E"/>
    <w:rsid w:val="00F9647B"/>
    <w:rsid w:val="00F96496"/>
    <w:rsid w:val="00F96502"/>
    <w:rsid w:val="00F965D8"/>
    <w:rsid w:val="00F96621"/>
    <w:rsid w:val="00F9666D"/>
    <w:rsid w:val="00F966A0"/>
    <w:rsid w:val="00F966CF"/>
    <w:rsid w:val="00F966D4"/>
    <w:rsid w:val="00F9673D"/>
    <w:rsid w:val="00F96752"/>
    <w:rsid w:val="00F96769"/>
    <w:rsid w:val="00F96776"/>
    <w:rsid w:val="00F967AD"/>
    <w:rsid w:val="00F96842"/>
    <w:rsid w:val="00F96947"/>
    <w:rsid w:val="00F9696E"/>
    <w:rsid w:val="00F96996"/>
    <w:rsid w:val="00F969BA"/>
    <w:rsid w:val="00F969E6"/>
    <w:rsid w:val="00F969F5"/>
    <w:rsid w:val="00F96A34"/>
    <w:rsid w:val="00F96A4A"/>
    <w:rsid w:val="00F96AAB"/>
    <w:rsid w:val="00F96B0A"/>
    <w:rsid w:val="00F96B10"/>
    <w:rsid w:val="00F96B4E"/>
    <w:rsid w:val="00F96B6D"/>
    <w:rsid w:val="00F96BC7"/>
    <w:rsid w:val="00F96C0C"/>
    <w:rsid w:val="00F96C31"/>
    <w:rsid w:val="00F96C46"/>
    <w:rsid w:val="00F96C47"/>
    <w:rsid w:val="00F96CA4"/>
    <w:rsid w:val="00F96CDC"/>
    <w:rsid w:val="00F96CEF"/>
    <w:rsid w:val="00F96D14"/>
    <w:rsid w:val="00F96D16"/>
    <w:rsid w:val="00F96DAC"/>
    <w:rsid w:val="00F96DBF"/>
    <w:rsid w:val="00F96DD2"/>
    <w:rsid w:val="00F96DDA"/>
    <w:rsid w:val="00F96DE4"/>
    <w:rsid w:val="00F96E04"/>
    <w:rsid w:val="00F96E86"/>
    <w:rsid w:val="00F96E98"/>
    <w:rsid w:val="00F96EC9"/>
    <w:rsid w:val="00F96F58"/>
    <w:rsid w:val="00F96FBD"/>
    <w:rsid w:val="00F96FE3"/>
    <w:rsid w:val="00F97014"/>
    <w:rsid w:val="00F9701B"/>
    <w:rsid w:val="00F97095"/>
    <w:rsid w:val="00F970E3"/>
    <w:rsid w:val="00F97126"/>
    <w:rsid w:val="00F97136"/>
    <w:rsid w:val="00F9717F"/>
    <w:rsid w:val="00F971CF"/>
    <w:rsid w:val="00F971F4"/>
    <w:rsid w:val="00F9720F"/>
    <w:rsid w:val="00F9728A"/>
    <w:rsid w:val="00F972EC"/>
    <w:rsid w:val="00F9736B"/>
    <w:rsid w:val="00F9736F"/>
    <w:rsid w:val="00F973B7"/>
    <w:rsid w:val="00F973D1"/>
    <w:rsid w:val="00F97460"/>
    <w:rsid w:val="00F9749B"/>
    <w:rsid w:val="00F974BC"/>
    <w:rsid w:val="00F974BF"/>
    <w:rsid w:val="00F974C5"/>
    <w:rsid w:val="00F974D0"/>
    <w:rsid w:val="00F97510"/>
    <w:rsid w:val="00F9751A"/>
    <w:rsid w:val="00F9752D"/>
    <w:rsid w:val="00F97544"/>
    <w:rsid w:val="00F97593"/>
    <w:rsid w:val="00F975E0"/>
    <w:rsid w:val="00F9767A"/>
    <w:rsid w:val="00F9767C"/>
    <w:rsid w:val="00F9767F"/>
    <w:rsid w:val="00F976C6"/>
    <w:rsid w:val="00F976D5"/>
    <w:rsid w:val="00F976E4"/>
    <w:rsid w:val="00F976ED"/>
    <w:rsid w:val="00F9772A"/>
    <w:rsid w:val="00F9772D"/>
    <w:rsid w:val="00F97732"/>
    <w:rsid w:val="00F97749"/>
    <w:rsid w:val="00F977B6"/>
    <w:rsid w:val="00F9787F"/>
    <w:rsid w:val="00F978B9"/>
    <w:rsid w:val="00F978FE"/>
    <w:rsid w:val="00F97918"/>
    <w:rsid w:val="00F9798D"/>
    <w:rsid w:val="00F9799F"/>
    <w:rsid w:val="00F97A5F"/>
    <w:rsid w:val="00F97A62"/>
    <w:rsid w:val="00F97A6F"/>
    <w:rsid w:val="00F97AAD"/>
    <w:rsid w:val="00F97ADF"/>
    <w:rsid w:val="00F97B0E"/>
    <w:rsid w:val="00F97B24"/>
    <w:rsid w:val="00F97B38"/>
    <w:rsid w:val="00F97B5F"/>
    <w:rsid w:val="00F97BAD"/>
    <w:rsid w:val="00F97BCB"/>
    <w:rsid w:val="00F97D9F"/>
    <w:rsid w:val="00F97DC6"/>
    <w:rsid w:val="00F97DC7"/>
    <w:rsid w:val="00F97E95"/>
    <w:rsid w:val="00F97EC5"/>
    <w:rsid w:val="00F97ED4"/>
    <w:rsid w:val="00F97F59"/>
    <w:rsid w:val="00FA002D"/>
    <w:rsid w:val="00FA0062"/>
    <w:rsid w:val="00FA008B"/>
    <w:rsid w:val="00FA010C"/>
    <w:rsid w:val="00FA0118"/>
    <w:rsid w:val="00FA015B"/>
    <w:rsid w:val="00FA01B7"/>
    <w:rsid w:val="00FA01B8"/>
    <w:rsid w:val="00FA01FC"/>
    <w:rsid w:val="00FA0212"/>
    <w:rsid w:val="00FA028B"/>
    <w:rsid w:val="00FA0299"/>
    <w:rsid w:val="00FA02D4"/>
    <w:rsid w:val="00FA02F0"/>
    <w:rsid w:val="00FA02F8"/>
    <w:rsid w:val="00FA036B"/>
    <w:rsid w:val="00FA03CD"/>
    <w:rsid w:val="00FA03DD"/>
    <w:rsid w:val="00FA03E2"/>
    <w:rsid w:val="00FA03E4"/>
    <w:rsid w:val="00FA040D"/>
    <w:rsid w:val="00FA0429"/>
    <w:rsid w:val="00FA046A"/>
    <w:rsid w:val="00FA047D"/>
    <w:rsid w:val="00FA0491"/>
    <w:rsid w:val="00FA049B"/>
    <w:rsid w:val="00FA0536"/>
    <w:rsid w:val="00FA0561"/>
    <w:rsid w:val="00FA05D6"/>
    <w:rsid w:val="00FA05FB"/>
    <w:rsid w:val="00FA0620"/>
    <w:rsid w:val="00FA0621"/>
    <w:rsid w:val="00FA0631"/>
    <w:rsid w:val="00FA06CE"/>
    <w:rsid w:val="00FA06D8"/>
    <w:rsid w:val="00FA06FB"/>
    <w:rsid w:val="00FA0703"/>
    <w:rsid w:val="00FA0732"/>
    <w:rsid w:val="00FA0782"/>
    <w:rsid w:val="00FA07AD"/>
    <w:rsid w:val="00FA07C3"/>
    <w:rsid w:val="00FA07D1"/>
    <w:rsid w:val="00FA07E1"/>
    <w:rsid w:val="00FA0847"/>
    <w:rsid w:val="00FA08A5"/>
    <w:rsid w:val="00FA08F7"/>
    <w:rsid w:val="00FA092E"/>
    <w:rsid w:val="00FA096F"/>
    <w:rsid w:val="00FA0A4C"/>
    <w:rsid w:val="00FA0A93"/>
    <w:rsid w:val="00FA0ADB"/>
    <w:rsid w:val="00FA0BE6"/>
    <w:rsid w:val="00FA0BF4"/>
    <w:rsid w:val="00FA0C0C"/>
    <w:rsid w:val="00FA0C2D"/>
    <w:rsid w:val="00FA0D30"/>
    <w:rsid w:val="00FA0D3D"/>
    <w:rsid w:val="00FA0D98"/>
    <w:rsid w:val="00FA0DBD"/>
    <w:rsid w:val="00FA0E08"/>
    <w:rsid w:val="00FA0E54"/>
    <w:rsid w:val="00FA0EDD"/>
    <w:rsid w:val="00FA0EF8"/>
    <w:rsid w:val="00FA1003"/>
    <w:rsid w:val="00FA106D"/>
    <w:rsid w:val="00FA10A3"/>
    <w:rsid w:val="00FA1153"/>
    <w:rsid w:val="00FA1183"/>
    <w:rsid w:val="00FA11A1"/>
    <w:rsid w:val="00FA132A"/>
    <w:rsid w:val="00FA1347"/>
    <w:rsid w:val="00FA1372"/>
    <w:rsid w:val="00FA13DA"/>
    <w:rsid w:val="00FA1470"/>
    <w:rsid w:val="00FA1487"/>
    <w:rsid w:val="00FA152A"/>
    <w:rsid w:val="00FA1533"/>
    <w:rsid w:val="00FA1544"/>
    <w:rsid w:val="00FA15F1"/>
    <w:rsid w:val="00FA160B"/>
    <w:rsid w:val="00FA1622"/>
    <w:rsid w:val="00FA164F"/>
    <w:rsid w:val="00FA168E"/>
    <w:rsid w:val="00FA16EF"/>
    <w:rsid w:val="00FA17CC"/>
    <w:rsid w:val="00FA182F"/>
    <w:rsid w:val="00FA192C"/>
    <w:rsid w:val="00FA19B1"/>
    <w:rsid w:val="00FA1A06"/>
    <w:rsid w:val="00FA1A1B"/>
    <w:rsid w:val="00FA1A22"/>
    <w:rsid w:val="00FA1AA0"/>
    <w:rsid w:val="00FA1B0E"/>
    <w:rsid w:val="00FA1B14"/>
    <w:rsid w:val="00FA1B1C"/>
    <w:rsid w:val="00FA1B20"/>
    <w:rsid w:val="00FA1B35"/>
    <w:rsid w:val="00FA1BC7"/>
    <w:rsid w:val="00FA1C1E"/>
    <w:rsid w:val="00FA1C26"/>
    <w:rsid w:val="00FA1C5A"/>
    <w:rsid w:val="00FA1C8A"/>
    <w:rsid w:val="00FA1CAB"/>
    <w:rsid w:val="00FA1CC3"/>
    <w:rsid w:val="00FA1CD2"/>
    <w:rsid w:val="00FA1D04"/>
    <w:rsid w:val="00FA1D20"/>
    <w:rsid w:val="00FA1D38"/>
    <w:rsid w:val="00FA1D56"/>
    <w:rsid w:val="00FA1DC8"/>
    <w:rsid w:val="00FA1E1A"/>
    <w:rsid w:val="00FA1EB4"/>
    <w:rsid w:val="00FA1ED9"/>
    <w:rsid w:val="00FA1F82"/>
    <w:rsid w:val="00FA2023"/>
    <w:rsid w:val="00FA20EA"/>
    <w:rsid w:val="00FA2101"/>
    <w:rsid w:val="00FA2184"/>
    <w:rsid w:val="00FA218F"/>
    <w:rsid w:val="00FA21F2"/>
    <w:rsid w:val="00FA2210"/>
    <w:rsid w:val="00FA2214"/>
    <w:rsid w:val="00FA2218"/>
    <w:rsid w:val="00FA224A"/>
    <w:rsid w:val="00FA229D"/>
    <w:rsid w:val="00FA22E7"/>
    <w:rsid w:val="00FA2326"/>
    <w:rsid w:val="00FA2346"/>
    <w:rsid w:val="00FA238C"/>
    <w:rsid w:val="00FA23B0"/>
    <w:rsid w:val="00FA241B"/>
    <w:rsid w:val="00FA2436"/>
    <w:rsid w:val="00FA2448"/>
    <w:rsid w:val="00FA2450"/>
    <w:rsid w:val="00FA2456"/>
    <w:rsid w:val="00FA24AF"/>
    <w:rsid w:val="00FA2542"/>
    <w:rsid w:val="00FA256F"/>
    <w:rsid w:val="00FA25E7"/>
    <w:rsid w:val="00FA260E"/>
    <w:rsid w:val="00FA266D"/>
    <w:rsid w:val="00FA2671"/>
    <w:rsid w:val="00FA267F"/>
    <w:rsid w:val="00FA2692"/>
    <w:rsid w:val="00FA26CD"/>
    <w:rsid w:val="00FA270B"/>
    <w:rsid w:val="00FA2730"/>
    <w:rsid w:val="00FA2732"/>
    <w:rsid w:val="00FA2733"/>
    <w:rsid w:val="00FA2755"/>
    <w:rsid w:val="00FA27A1"/>
    <w:rsid w:val="00FA27EA"/>
    <w:rsid w:val="00FA280B"/>
    <w:rsid w:val="00FA2839"/>
    <w:rsid w:val="00FA2854"/>
    <w:rsid w:val="00FA2885"/>
    <w:rsid w:val="00FA290A"/>
    <w:rsid w:val="00FA2912"/>
    <w:rsid w:val="00FA2939"/>
    <w:rsid w:val="00FA294F"/>
    <w:rsid w:val="00FA2A31"/>
    <w:rsid w:val="00FA2A33"/>
    <w:rsid w:val="00FA2A46"/>
    <w:rsid w:val="00FA2A65"/>
    <w:rsid w:val="00FA2AC9"/>
    <w:rsid w:val="00FA2B8F"/>
    <w:rsid w:val="00FA2BB1"/>
    <w:rsid w:val="00FA2BB4"/>
    <w:rsid w:val="00FA2BB8"/>
    <w:rsid w:val="00FA2C05"/>
    <w:rsid w:val="00FA2C5B"/>
    <w:rsid w:val="00FA2C5E"/>
    <w:rsid w:val="00FA2C6D"/>
    <w:rsid w:val="00FA2C9F"/>
    <w:rsid w:val="00FA2CDC"/>
    <w:rsid w:val="00FA2CF6"/>
    <w:rsid w:val="00FA2D77"/>
    <w:rsid w:val="00FA2DC0"/>
    <w:rsid w:val="00FA2E58"/>
    <w:rsid w:val="00FA2E5B"/>
    <w:rsid w:val="00FA2F0F"/>
    <w:rsid w:val="00FA2F4E"/>
    <w:rsid w:val="00FA2F58"/>
    <w:rsid w:val="00FA2FA3"/>
    <w:rsid w:val="00FA2FD5"/>
    <w:rsid w:val="00FA3012"/>
    <w:rsid w:val="00FA3057"/>
    <w:rsid w:val="00FA3097"/>
    <w:rsid w:val="00FA30FE"/>
    <w:rsid w:val="00FA310D"/>
    <w:rsid w:val="00FA3140"/>
    <w:rsid w:val="00FA314E"/>
    <w:rsid w:val="00FA319D"/>
    <w:rsid w:val="00FA31C7"/>
    <w:rsid w:val="00FA31D7"/>
    <w:rsid w:val="00FA322C"/>
    <w:rsid w:val="00FA3256"/>
    <w:rsid w:val="00FA3270"/>
    <w:rsid w:val="00FA32DD"/>
    <w:rsid w:val="00FA335F"/>
    <w:rsid w:val="00FA33A3"/>
    <w:rsid w:val="00FA340F"/>
    <w:rsid w:val="00FA3429"/>
    <w:rsid w:val="00FA3439"/>
    <w:rsid w:val="00FA3450"/>
    <w:rsid w:val="00FA34D9"/>
    <w:rsid w:val="00FA350D"/>
    <w:rsid w:val="00FA3517"/>
    <w:rsid w:val="00FA3551"/>
    <w:rsid w:val="00FA36B3"/>
    <w:rsid w:val="00FA36FF"/>
    <w:rsid w:val="00FA3700"/>
    <w:rsid w:val="00FA3708"/>
    <w:rsid w:val="00FA3724"/>
    <w:rsid w:val="00FA3736"/>
    <w:rsid w:val="00FA3764"/>
    <w:rsid w:val="00FA3863"/>
    <w:rsid w:val="00FA3875"/>
    <w:rsid w:val="00FA3884"/>
    <w:rsid w:val="00FA3898"/>
    <w:rsid w:val="00FA38A1"/>
    <w:rsid w:val="00FA38CE"/>
    <w:rsid w:val="00FA392D"/>
    <w:rsid w:val="00FA392F"/>
    <w:rsid w:val="00FA397F"/>
    <w:rsid w:val="00FA39A1"/>
    <w:rsid w:val="00FA39B8"/>
    <w:rsid w:val="00FA3A28"/>
    <w:rsid w:val="00FA3A3D"/>
    <w:rsid w:val="00FA3A5B"/>
    <w:rsid w:val="00FA3AEA"/>
    <w:rsid w:val="00FA3B24"/>
    <w:rsid w:val="00FA3B25"/>
    <w:rsid w:val="00FA3B6C"/>
    <w:rsid w:val="00FA3B95"/>
    <w:rsid w:val="00FA3BF1"/>
    <w:rsid w:val="00FA3BF7"/>
    <w:rsid w:val="00FA3C9D"/>
    <w:rsid w:val="00FA3CC0"/>
    <w:rsid w:val="00FA3D3E"/>
    <w:rsid w:val="00FA3D67"/>
    <w:rsid w:val="00FA3E7F"/>
    <w:rsid w:val="00FA3ECA"/>
    <w:rsid w:val="00FA3F69"/>
    <w:rsid w:val="00FA3FBC"/>
    <w:rsid w:val="00FA3FCB"/>
    <w:rsid w:val="00FA3FD1"/>
    <w:rsid w:val="00FA40A8"/>
    <w:rsid w:val="00FA4184"/>
    <w:rsid w:val="00FA4237"/>
    <w:rsid w:val="00FA4238"/>
    <w:rsid w:val="00FA4257"/>
    <w:rsid w:val="00FA427F"/>
    <w:rsid w:val="00FA4296"/>
    <w:rsid w:val="00FA42C2"/>
    <w:rsid w:val="00FA4377"/>
    <w:rsid w:val="00FA43EF"/>
    <w:rsid w:val="00FA447B"/>
    <w:rsid w:val="00FA4492"/>
    <w:rsid w:val="00FA450C"/>
    <w:rsid w:val="00FA4515"/>
    <w:rsid w:val="00FA452E"/>
    <w:rsid w:val="00FA455E"/>
    <w:rsid w:val="00FA4577"/>
    <w:rsid w:val="00FA4738"/>
    <w:rsid w:val="00FA4744"/>
    <w:rsid w:val="00FA4780"/>
    <w:rsid w:val="00FA47A2"/>
    <w:rsid w:val="00FA47F0"/>
    <w:rsid w:val="00FA47F5"/>
    <w:rsid w:val="00FA4811"/>
    <w:rsid w:val="00FA4834"/>
    <w:rsid w:val="00FA484C"/>
    <w:rsid w:val="00FA4898"/>
    <w:rsid w:val="00FA48B6"/>
    <w:rsid w:val="00FA4949"/>
    <w:rsid w:val="00FA49DD"/>
    <w:rsid w:val="00FA4A04"/>
    <w:rsid w:val="00FA4A0D"/>
    <w:rsid w:val="00FA4A5B"/>
    <w:rsid w:val="00FA4B31"/>
    <w:rsid w:val="00FA4B79"/>
    <w:rsid w:val="00FA4B94"/>
    <w:rsid w:val="00FA4B9D"/>
    <w:rsid w:val="00FA4C1B"/>
    <w:rsid w:val="00FA4C51"/>
    <w:rsid w:val="00FA4CBB"/>
    <w:rsid w:val="00FA4D77"/>
    <w:rsid w:val="00FA4D7A"/>
    <w:rsid w:val="00FA4D7E"/>
    <w:rsid w:val="00FA4DCB"/>
    <w:rsid w:val="00FA4DE4"/>
    <w:rsid w:val="00FA4E28"/>
    <w:rsid w:val="00FA4E2F"/>
    <w:rsid w:val="00FA4E36"/>
    <w:rsid w:val="00FA4E9C"/>
    <w:rsid w:val="00FA4F0B"/>
    <w:rsid w:val="00FA4F8A"/>
    <w:rsid w:val="00FA4FCF"/>
    <w:rsid w:val="00FA5020"/>
    <w:rsid w:val="00FA5056"/>
    <w:rsid w:val="00FA50C5"/>
    <w:rsid w:val="00FA50FA"/>
    <w:rsid w:val="00FA512C"/>
    <w:rsid w:val="00FA513D"/>
    <w:rsid w:val="00FA5140"/>
    <w:rsid w:val="00FA5167"/>
    <w:rsid w:val="00FA516D"/>
    <w:rsid w:val="00FA51CD"/>
    <w:rsid w:val="00FA527A"/>
    <w:rsid w:val="00FA52A4"/>
    <w:rsid w:val="00FA52A8"/>
    <w:rsid w:val="00FA52DC"/>
    <w:rsid w:val="00FA52DE"/>
    <w:rsid w:val="00FA53BA"/>
    <w:rsid w:val="00FA53C5"/>
    <w:rsid w:val="00FA53E1"/>
    <w:rsid w:val="00FA544D"/>
    <w:rsid w:val="00FA5508"/>
    <w:rsid w:val="00FA550F"/>
    <w:rsid w:val="00FA5561"/>
    <w:rsid w:val="00FA5589"/>
    <w:rsid w:val="00FA55E7"/>
    <w:rsid w:val="00FA5605"/>
    <w:rsid w:val="00FA5649"/>
    <w:rsid w:val="00FA5654"/>
    <w:rsid w:val="00FA56C6"/>
    <w:rsid w:val="00FA56E5"/>
    <w:rsid w:val="00FA5716"/>
    <w:rsid w:val="00FA572D"/>
    <w:rsid w:val="00FA5750"/>
    <w:rsid w:val="00FA5770"/>
    <w:rsid w:val="00FA579E"/>
    <w:rsid w:val="00FA57DC"/>
    <w:rsid w:val="00FA57FE"/>
    <w:rsid w:val="00FA5831"/>
    <w:rsid w:val="00FA58AC"/>
    <w:rsid w:val="00FA58AE"/>
    <w:rsid w:val="00FA58C3"/>
    <w:rsid w:val="00FA58CE"/>
    <w:rsid w:val="00FA58F2"/>
    <w:rsid w:val="00FA58F9"/>
    <w:rsid w:val="00FA59AD"/>
    <w:rsid w:val="00FA5A1C"/>
    <w:rsid w:val="00FA5A3A"/>
    <w:rsid w:val="00FA5A4E"/>
    <w:rsid w:val="00FA5AFA"/>
    <w:rsid w:val="00FA5B0C"/>
    <w:rsid w:val="00FA5B0E"/>
    <w:rsid w:val="00FA5B6F"/>
    <w:rsid w:val="00FA5B76"/>
    <w:rsid w:val="00FA5BB8"/>
    <w:rsid w:val="00FA5BF4"/>
    <w:rsid w:val="00FA5BFB"/>
    <w:rsid w:val="00FA5C02"/>
    <w:rsid w:val="00FA5C04"/>
    <w:rsid w:val="00FA5C3E"/>
    <w:rsid w:val="00FA5C75"/>
    <w:rsid w:val="00FA5CE9"/>
    <w:rsid w:val="00FA5CEA"/>
    <w:rsid w:val="00FA5CED"/>
    <w:rsid w:val="00FA5CF4"/>
    <w:rsid w:val="00FA5E69"/>
    <w:rsid w:val="00FA5F0C"/>
    <w:rsid w:val="00FA5F83"/>
    <w:rsid w:val="00FA6002"/>
    <w:rsid w:val="00FA6030"/>
    <w:rsid w:val="00FA6080"/>
    <w:rsid w:val="00FA609F"/>
    <w:rsid w:val="00FA6188"/>
    <w:rsid w:val="00FA621B"/>
    <w:rsid w:val="00FA6266"/>
    <w:rsid w:val="00FA626D"/>
    <w:rsid w:val="00FA6288"/>
    <w:rsid w:val="00FA62F3"/>
    <w:rsid w:val="00FA642A"/>
    <w:rsid w:val="00FA6445"/>
    <w:rsid w:val="00FA645C"/>
    <w:rsid w:val="00FA6521"/>
    <w:rsid w:val="00FA654A"/>
    <w:rsid w:val="00FA659A"/>
    <w:rsid w:val="00FA65E9"/>
    <w:rsid w:val="00FA6661"/>
    <w:rsid w:val="00FA6688"/>
    <w:rsid w:val="00FA6694"/>
    <w:rsid w:val="00FA66AC"/>
    <w:rsid w:val="00FA66C1"/>
    <w:rsid w:val="00FA66ED"/>
    <w:rsid w:val="00FA671D"/>
    <w:rsid w:val="00FA6735"/>
    <w:rsid w:val="00FA6752"/>
    <w:rsid w:val="00FA675E"/>
    <w:rsid w:val="00FA6772"/>
    <w:rsid w:val="00FA6775"/>
    <w:rsid w:val="00FA683A"/>
    <w:rsid w:val="00FA6866"/>
    <w:rsid w:val="00FA686A"/>
    <w:rsid w:val="00FA68FE"/>
    <w:rsid w:val="00FA690E"/>
    <w:rsid w:val="00FA691E"/>
    <w:rsid w:val="00FA6943"/>
    <w:rsid w:val="00FA6973"/>
    <w:rsid w:val="00FA6994"/>
    <w:rsid w:val="00FA6A58"/>
    <w:rsid w:val="00FA6A6D"/>
    <w:rsid w:val="00FA6B60"/>
    <w:rsid w:val="00FA6B80"/>
    <w:rsid w:val="00FA6BB0"/>
    <w:rsid w:val="00FA6BEF"/>
    <w:rsid w:val="00FA6C0B"/>
    <w:rsid w:val="00FA6C34"/>
    <w:rsid w:val="00FA6C7A"/>
    <w:rsid w:val="00FA6C93"/>
    <w:rsid w:val="00FA6D3B"/>
    <w:rsid w:val="00FA6D79"/>
    <w:rsid w:val="00FA6DE7"/>
    <w:rsid w:val="00FA6E34"/>
    <w:rsid w:val="00FA6E39"/>
    <w:rsid w:val="00FA6E77"/>
    <w:rsid w:val="00FA6EAB"/>
    <w:rsid w:val="00FA6F1B"/>
    <w:rsid w:val="00FA6F9D"/>
    <w:rsid w:val="00FA6FA0"/>
    <w:rsid w:val="00FA6FB7"/>
    <w:rsid w:val="00FA7008"/>
    <w:rsid w:val="00FA7016"/>
    <w:rsid w:val="00FA709A"/>
    <w:rsid w:val="00FA70B8"/>
    <w:rsid w:val="00FA70D6"/>
    <w:rsid w:val="00FA70DC"/>
    <w:rsid w:val="00FA7144"/>
    <w:rsid w:val="00FA7181"/>
    <w:rsid w:val="00FA71DC"/>
    <w:rsid w:val="00FA7202"/>
    <w:rsid w:val="00FA7215"/>
    <w:rsid w:val="00FA728E"/>
    <w:rsid w:val="00FA72A8"/>
    <w:rsid w:val="00FA72AF"/>
    <w:rsid w:val="00FA72F6"/>
    <w:rsid w:val="00FA738B"/>
    <w:rsid w:val="00FA73C2"/>
    <w:rsid w:val="00FA73FC"/>
    <w:rsid w:val="00FA7426"/>
    <w:rsid w:val="00FA74C8"/>
    <w:rsid w:val="00FA750B"/>
    <w:rsid w:val="00FA7530"/>
    <w:rsid w:val="00FA759A"/>
    <w:rsid w:val="00FA75DE"/>
    <w:rsid w:val="00FA764D"/>
    <w:rsid w:val="00FA76B6"/>
    <w:rsid w:val="00FA76D8"/>
    <w:rsid w:val="00FA7708"/>
    <w:rsid w:val="00FA775C"/>
    <w:rsid w:val="00FA7781"/>
    <w:rsid w:val="00FA7800"/>
    <w:rsid w:val="00FA7836"/>
    <w:rsid w:val="00FA78A8"/>
    <w:rsid w:val="00FA78DE"/>
    <w:rsid w:val="00FA795C"/>
    <w:rsid w:val="00FA7983"/>
    <w:rsid w:val="00FA799C"/>
    <w:rsid w:val="00FA7A23"/>
    <w:rsid w:val="00FA7A2E"/>
    <w:rsid w:val="00FA7B03"/>
    <w:rsid w:val="00FA7B3A"/>
    <w:rsid w:val="00FA7B75"/>
    <w:rsid w:val="00FA7B78"/>
    <w:rsid w:val="00FA7C40"/>
    <w:rsid w:val="00FA7C98"/>
    <w:rsid w:val="00FA7CE8"/>
    <w:rsid w:val="00FA7CEB"/>
    <w:rsid w:val="00FA7D1A"/>
    <w:rsid w:val="00FA7D4D"/>
    <w:rsid w:val="00FA7D8F"/>
    <w:rsid w:val="00FA7DBD"/>
    <w:rsid w:val="00FA7DE2"/>
    <w:rsid w:val="00FA7DE3"/>
    <w:rsid w:val="00FA7E55"/>
    <w:rsid w:val="00FA7E60"/>
    <w:rsid w:val="00FA7E83"/>
    <w:rsid w:val="00FA7E91"/>
    <w:rsid w:val="00FA7E98"/>
    <w:rsid w:val="00FA7ED6"/>
    <w:rsid w:val="00FA7EDC"/>
    <w:rsid w:val="00FA7F4B"/>
    <w:rsid w:val="00FA7F78"/>
    <w:rsid w:val="00FA7F8A"/>
    <w:rsid w:val="00FA7FA5"/>
    <w:rsid w:val="00FA7FAE"/>
    <w:rsid w:val="00FA7FE8"/>
    <w:rsid w:val="00FB0023"/>
    <w:rsid w:val="00FB0091"/>
    <w:rsid w:val="00FB00A8"/>
    <w:rsid w:val="00FB00B9"/>
    <w:rsid w:val="00FB00F2"/>
    <w:rsid w:val="00FB0147"/>
    <w:rsid w:val="00FB0173"/>
    <w:rsid w:val="00FB0228"/>
    <w:rsid w:val="00FB0242"/>
    <w:rsid w:val="00FB029B"/>
    <w:rsid w:val="00FB02CC"/>
    <w:rsid w:val="00FB030E"/>
    <w:rsid w:val="00FB0406"/>
    <w:rsid w:val="00FB0416"/>
    <w:rsid w:val="00FB053B"/>
    <w:rsid w:val="00FB055E"/>
    <w:rsid w:val="00FB0577"/>
    <w:rsid w:val="00FB0581"/>
    <w:rsid w:val="00FB066E"/>
    <w:rsid w:val="00FB06EE"/>
    <w:rsid w:val="00FB075F"/>
    <w:rsid w:val="00FB07CF"/>
    <w:rsid w:val="00FB07FE"/>
    <w:rsid w:val="00FB080B"/>
    <w:rsid w:val="00FB0833"/>
    <w:rsid w:val="00FB083A"/>
    <w:rsid w:val="00FB0859"/>
    <w:rsid w:val="00FB0921"/>
    <w:rsid w:val="00FB093A"/>
    <w:rsid w:val="00FB0961"/>
    <w:rsid w:val="00FB097D"/>
    <w:rsid w:val="00FB0A1C"/>
    <w:rsid w:val="00FB0A3C"/>
    <w:rsid w:val="00FB0A5A"/>
    <w:rsid w:val="00FB0A65"/>
    <w:rsid w:val="00FB0ABA"/>
    <w:rsid w:val="00FB0AC7"/>
    <w:rsid w:val="00FB0AE5"/>
    <w:rsid w:val="00FB0BA7"/>
    <w:rsid w:val="00FB0BBE"/>
    <w:rsid w:val="00FB0BD4"/>
    <w:rsid w:val="00FB0C1C"/>
    <w:rsid w:val="00FB0C3C"/>
    <w:rsid w:val="00FB0C4B"/>
    <w:rsid w:val="00FB0C6D"/>
    <w:rsid w:val="00FB0C82"/>
    <w:rsid w:val="00FB0CB1"/>
    <w:rsid w:val="00FB0CE8"/>
    <w:rsid w:val="00FB0D3D"/>
    <w:rsid w:val="00FB0D42"/>
    <w:rsid w:val="00FB0D9D"/>
    <w:rsid w:val="00FB0DA7"/>
    <w:rsid w:val="00FB0DB7"/>
    <w:rsid w:val="00FB0E00"/>
    <w:rsid w:val="00FB0E2A"/>
    <w:rsid w:val="00FB0E6C"/>
    <w:rsid w:val="00FB0E85"/>
    <w:rsid w:val="00FB0F46"/>
    <w:rsid w:val="00FB0F7C"/>
    <w:rsid w:val="00FB0FAB"/>
    <w:rsid w:val="00FB0FEF"/>
    <w:rsid w:val="00FB0FF8"/>
    <w:rsid w:val="00FB107F"/>
    <w:rsid w:val="00FB115A"/>
    <w:rsid w:val="00FB1185"/>
    <w:rsid w:val="00FB1190"/>
    <w:rsid w:val="00FB1199"/>
    <w:rsid w:val="00FB11D0"/>
    <w:rsid w:val="00FB1201"/>
    <w:rsid w:val="00FB122B"/>
    <w:rsid w:val="00FB1276"/>
    <w:rsid w:val="00FB127E"/>
    <w:rsid w:val="00FB12D5"/>
    <w:rsid w:val="00FB1359"/>
    <w:rsid w:val="00FB138B"/>
    <w:rsid w:val="00FB1406"/>
    <w:rsid w:val="00FB147B"/>
    <w:rsid w:val="00FB147D"/>
    <w:rsid w:val="00FB1504"/>
    <w:rsid w:val="00FB151A"/>
    <w:rsid w:val="00FB1581"/>
    <w:rsid w:val="00FB1587"/>
    <w:rsid w:val="00FB1594"/>
    <w:rsid w:val="00FB15C1"/>
    <w:rsid w:val="00FB1615"/>
    <w:rsid w:val="00FB1626"/>
    <w:rsid w:val="00FB1640"/>
    <w:rsid w:val="00FB16F0"/>
    <w:rsid w:val="00FB1731"/>
    <w:rsid w:val="00FB178F"/>
    <w:rsid w:val="00FB17A6"/>
    <w:rsid w:val="00FB17B3"/>
    <w:rsid w:val="00FB17FB"/>
    <w:rsid w:val="00FB1861"/>
    <w:rsid w:val="00FB186A"/>
    <w:rsid w:val="00FB18A1"/>
    <w:rsid w:val="00FB1942"/>
    <w:rsid w:val="00FB199B"/>
    <w:rsid w:val="00FB19A2"/>
    <w:rsid w:val="00FB19E2"/>
    <w:rsid w:val="00FB1A27"/>
    <w:rsid w:val="00FB1A55"/>
    <w:rsid w:val="00FB1A95"/>
    <w:rsid w:val="00FB1B02"/>
    <w:rsid w:val="00FB1B2A"/>
    <w:rsid w:val="00FB1B2E"/>
    <w:rsid w:val="00FB1BBC"/>
    <w:rsid w:val="00FB1BEA"/>
    <w:rsid w:val="00FB1BF6"/>
    <w:rsid w:val="00FB1C0A"/>
    <w:rsid w:val="00FB1C8E"/>
    <w:rsid w:val="00FB1C92"/>
    <w:rsid w:val="00FB1CE6"/>
    <w:rsid w:val="00FB1D2C"/>
    <w:rsid w:val="00FB1D38"/>
    <w:rsid w:val="00FB1D95"/>
    <w:rsid w:val="00FB1D97"/>
    <w:rsid w:val="00FB1DAE"/>
    <w:rsid w:val="00FB1DC5"/>
    <w:rsid w:val="00FB1DC9"/>
    <w:rsid w:val="00FB1E15"/>
    <w:rsid w:val="00FB1E32"/>
    <w:rsid w:val="00FB1EE3"/>
    <w:rsid w:val="00FB1EFB"/>
    <w:rsid w:val="00FB1F06"/>
    <w:rsid w:val="00FB1F92"/>
    <w:rsid w:val="00FB1F9B"/>
    <w:rsid w:val="00FB1FDB"/>
    <w:rsid w:val="00FB203B"/>
    <w:rsid w:val="00FB2166"/>
    <w:rsid w:val="00FB222F"/>
    <w:rsid w:val="00FB2293"/>
    <w:rsid w:val="00FB22E8"/>
    <w:rsid w:val="00FB230E"/>
    <w:rsid w:val="00FB2314"/>
    <w:rsid w:val="00FB235D"/>
    <w:rsid w:val="00FB23BE"/>
    <w:rsid w:val="00FB2414"/>
    <w:rsid w:val="00FB24BF"/>
    <w:rsid w:val="00FB24D1"/>
    <w:rsid w:val="00FB2529"/>
    <w:rsid w:val="00FB2554"/>
    <w:rsid w:val="00FB255A"/>
    <w:rsid w:val="00FB25A0"/>
    <w:rsid w:val="00FB2646"/>
    <w:rsid w:val="00FB26A2"/>
    <w:rsid w:val="00FB26B4"/>
    <w:rsid w:val="00FB26CD"/>
    <w:rsid w:val="00FB26FD"/>
    <w:rsid w:val="00FB274F"/>
    <w:rsid w:val="00FB275F"/>
    <w:rsid w:val="00FB2760"/>
    <w:rsid w:val="00FB2765"/>
    <w:rsid w:val="00FB27A0"/>
    <w:rsid w:val="00FB27B1"/>
    <w:rsid w:val="00FB27BB"/>
    <w:rsid w:val="00FB27D6"/>
    <w:rsid w:val="00FB286F"/>
    <w:rsid w:val="00FB2872"/>
    <w:rsid w:val="00FB288F"/>
    <w:rsid w:val="00FB28DA"/>
    <w:rsid w:val="00FB28EE"/>
    <w:rsid w:val="00FB2900"/>
    <w:rsid w:val="00FB2941"/>
    <w:rsid w:val="00FB294F"/>
    <w:rsid w:val="00FB298C"/>
    <w:rsid w:val="00FB29DE"/>
    <w:rsid w:val="00FB29EC"/>
    <w:rsid w:val="00FB2A0C"/>
    <w:rsid w:val="00FB2A78"/>
    <w:rsid w:val="00FB2ADE"/>
    <w:rsid w:val="00FB2AE6"/>
    <w:rsid w:val="00FB2B2B"/>
    <w:rsid w:val="00FB2B6E"/>
    <w:rsid w:val="00FB2B9E"/>
    <w:rsid w:val="00FB2C04"/>
    <w:rsid w:val="00FB2C08"/>
    <w:rsid w:val="00FB2C4A"/>
    <w:rsid w:val="00FB2C54"/>
    <w:rsid w:val="00FB2C8A"/>
    <w:rsid w:val="00FB2CCF"/>
    <w:rsid w:val="00FB2D06"/>
    <w:rsid w:val="00FB2D2E"/>
    <w:rsid w:val="00FB2D58"/>
    <w:rsid w:val="00FB2DFE"/>
    <w:rsid w:val="00FB2E2A"/>
    <w:rsid w:val="00FB2E4D"/>
    <w:rsid w:val="00FB2E6F"/>
    <w:rsid w:val="00FB2E75"/>
    <w:rsid w:val="00FB2ED0"/>
    <w:rsid w:val="00FB2ED4"/>
    <w:rsid w:val="00FB2F70"/>
    <w:rsid w:val="00FB2F94"/>
    <w:rsid w:val="00FB2FD8"/>
    <w:rsid w:val="00FB306C"/>
    <w:rsid w:val="00FB3076"/>
    <w:rsid w:val="00FB309C"/>
    <w:rsid w:val="00FB30D0"/>
    <w:rsid w:val="00FB3105"/>
    <w:rsid w:val="00FB312F"/>
    <w:rsid w:val="00FB31A2"/>
    <w:rsid w:val="00FB31B9"/>
    <w:rsid w:val="00FB31EC"/>
    <w:rsid w:val="00FB3285"/>
    <w:rsid w:val="00FB32AF"/>
    <w:rsid w:val="00FB3303"/>
    <w:rsid w:val="00FB3379"/>
    <w:rsid w:val="00FB3389"/>
    <w:rsid w:val="00FB33D9"/>
    <w:rsid w:val="00FB33F4"/>
    <w:rsid w:val="00FB340C"/>
    <w:rsid w:val="00FB3476"/>
    <w:rsid w:val="00FB3488"/>
    <w:rsid w:val="00FB34FB"/>
    <w:rsid w:val="00FB3531"/>
    <w:rsid w:val="00FB3555"/>
    <w:rsid w:val="00FB3595"/>
    <w:rsid w:val="00FB35E0"/>
    <w:rsid w:val="00FB370D"/>
    <w:rsid w:val="00FB3740"/>
    <w:rsid w:val="00FB376A"/>
    <w:rsid w:val="00FB37A8"/>
    <w:rsid w:val="00FB384F"/>
    <w:rsid w:val="00FB387B"/>
    <w:rsid w:val="00FB38B3"/>
    <w:rsid w:val="00FB38B7"/>
    <w:rsid w:val="00FB38EA"/>
    <w:rsid w:val="00FB392B"/>
    <w:rsid w:val="00FB396D"/>
    <w:rsid w:val="00FB39BA"/>
    <w:rsid w:val="00FB39BC"/>
    <w:rsid w:val="00FB3B2C"/>
    <w:rsid w:val="00FB3BC8"/>
    <w:rsid w:val="00FB3BE8"/>
    <w:rsid w:val="00FB3BFF"/>
    <w:rsid w:val="00FB3C09"/>
    <w:rsid w:val="00FB3C1C"/>
    <w:rsid w:val="00FB3C37"/>
    <w:rsid w:val="00FB3C52"/>
    <w:rsid w:val="00FB3D01"/>
    <w:rsid w:val="00FB3D5F"/>
    <w:rsid w:val="00FB3D88"/>
    <w:rsid w:val="00FB3DAA"/>
    <w:rsid w:val="00FB3E29"/>
    <w:rsid w:val="00FB3E30"/>
    <w:rsid w:val="00FB3E33"/>
    <w:rsid w:val="00FB3E36"/>
    <w:rsid w:val="00FB3E46"/>
    <w:rsid w:val="00FB3E9B"/>
    <w:rsid w:val="00FB3EF8"/>
    <w:rsid w:val="00FB3F83"/>
    <w:rsid w:val="00FB3F92"/>
    <w:rsid w:val="00FB3F9D"/>
    <w:rsid w:val="00FB3FC1"/>
    <w:rsid w:val="00FB3FF1"/>
    <w:rsid w:val="00FB4034"/>
    <w:rsid w:val="00FB403B"/>
    <w:rsid w:val="00FB4055"/>
    <w:rsid w:val="00FB40DA"/>
    <w:rsid w:val="00FB410D"/>
    <w:rsid w:val="00FB41B5"/>
    <w:rsid w:val="00FB4263"/>
    <w:rsid w:val="00FB4279"/>
    <w:rsid w:val="00FB42F3"/>
    <w:rsid w:val="00FB431E"/>
    <w:rsid w:val="00FB435E"/>
    <w:rsid w:val="00FB43CE"/>
    <w:rsid w:val="00FB43F5"/>
    <w:rsid w:val="00FB4470"/>
    <w:rsid w:val="00FB448A"/>
    <w:rsid w:val="00FB450E"/>
    <w:rsid w:val="00FB453A"/>
    <w:rsid w:val="00FB454B"/>
    <w:rsid w:val="00FB4577"/>
    <w:rsid w:val="00FB458C"/>
    <w:rsid w:val="00FB45BF"/>
    <w:rsid w:val="00FB45E9"/>
    <w:rsid w:val="00FB460E"/>
    <w:rsid w:val="00FB463E"/>
    <w:rsid w:val="00FB4647"/>
    <w:rsid w:val="00FB4667"/>
    <w:rsid w:val="00FB469B"/>
    <w:rsid w:val="00FB46B2"/>
    <w:rsid w:val="00FB46D0"/>
    <w:rsid w:val="00FB46DF"/>
    <w:rsid w:val="00FB4717"/>
    <w:rsid w:val="00FB4753"/>
    <w:rsid w:val="00FB4763"/>
    <w:rsid w:val="00FB4786"/>
    <w:rsid w:val="00FB4798"/>
    <w:rsid w:val="00FB47AD"/>
    <w:rsid w:val="00FB47B5"/>
    <w:rsid w:val="00FB47EC"/>
    <w:rsid w:val="00FB486F"/>
    <w:rsid w:val="00FB48C3"/>
    <w:rsid w:val="00FB48CB"/>
    <w:rsid w:val="00FB4959"/>
    <w:rsid w:val="00FB49A3"/>
    <w:rsid w:val="00FB49CF"/>
    <w:rsid w:val="00FB49DB"/>
    <w:rsid w:val="00FB4A05"/>
    <w:rsid w:val="00FB4ACD"/>
    <w:rsid w:val="00FB4AEB"/>
    <w:rsid w:val="00FB4B70"/>
    <w:rsid w:val="00FB4BEE"/>
    <w:rsid w:val="00FB4BF4"/>
    <w:rsid w:val="00FB4C6B"/>
    <w:rsid w:val="00FB4CD4"/>
    <w:rsid w:val="00FB4D70"/>
    <w:rsid w:val="00FB4D84"/>
    <w:rsid w:val="00FB4DA4"/>
    <w:rsid w:val="00FB4DF6"/>
    <w:rsid w:val="00FB4E5B"/>
    <w:rsid w:val="00FB4E73"/>
    <w:rsid w:val="00FB4ED1"/>
    <w:rsid w:val="00FB4EE6"/>
    <w:rsid w:val="00FB4EE7"/>
    <w:rsid w:val="00FB4EF3"/>
    <w:rsid w:val="00FB4F31"/>
    <w:rsid w:val="00FB4F4A"/>
    <w:rsid w:val="00FB4F60"/>
    <w:rsid w:val="00FB4FAF"/>
    <w:rsid w:val="00FB4FF0"/>
    <w:rsid w:val="00FB4FFF"/>
    <w:rsid w:val="00FB5024"/>
    <w:rsid w:val="00FB5033"/>
    <w:rsid w:val="00FB5057"/>
    <w:rsid w:val="00FB5092"/>
    <w:rsid w:val="00FB512A"/>
    <w:rsid w:val="00FB512E"/>
    <w:rsid w:val="00FB5155"/>
    <w:rsid w:val="00FB5199"/>
    <w:rsid w:val="00FB51AD"/>
    <w:rsid w:val="00FB5258"/>
    <w:rsid w:val="00FB529D"/>
    <w:rsid w:val="00FB52C0"/>
    <w:rsid w:val="00FB52E9"/>
    <w:rsid w:val="00FB5331"/>
    <w:rsid w:val="00FB535D"/>
    <w:rsid w:val="00FB5392"/>
    <w:rsid w:val="00FB53AF"/>
    <w:rsid w:val="00FB53B0"/>
    <w:rsid w:val="00FB53C4"/>
    <w:rsid w:val="00FB53DE"/>
    <w:rsid w:val="00FB5458"/>
    <w:rsid w:val="00FB5486"/>
    <w:rsid w:val="00FB548D"/>
    <w:rsid w:val="00FB54A9"/>
    <w:rsid w:val="00FB54C4"/>
    <w:rsid w:val="00FB54CB"/>
    <w:rsid w:val="00FB54DF"/>
    <w:rsid w:val="00FB5549"/>
    <w:rsid w:val="00FB5559"/>
    <w:rsid w:val="00FB5578"/>
    <w:rsid w:val="00FB5589"/>
    <w:rsid w:val="00FB560C"/>
    <w:rsid w:val="00FB5692"/>
    <w:rsid w:val="00FB5696"/>
    <w:rsid w:val="00FB56B2"/>
    <w:rsid w:val="00FB56D9"/>
    <w:rsid w:val="00FB5712"/>
    <w:rsid w:val="00FB5753"/>
    <w:rsid w:val="00FB5820"/>
    <w:rsid w:val="00FB5824"/>
    <w:rsid w:val="00FB5826"/>
    <w:rsid w:val="00FB5852"/>
    <w:rsid w:val="00FB591C"/>
    <w:rsid w:val="00FB5921"/>
    <w:rsid w:val="00FB593B"/>
    <w:rsid w:val="00FB59BF"/>
    <w:rsid w:val="00FB59CD"/>
    <w:rsid w:val="00FB5A6D"/>
    <w:rsid w:val="00FB5A76"/>
    <w:rsid w:val="00FB5A8E"/>
    <w:rsid w:val="00FB5A9D"/>
    <w:rsid w:val="00FB5ACA"/>
    <w:rsid w:val="00FB5BB1"/>
    <w:rsid w:val="00FB5BBA"/>
    <w:rsid w:val="00FB5BE1"/>
    <w:rsid w:val="00FB5C03"/>
    <w:rsid w:val="00FB5C12"/>
    <w:rsid w:val="00FB5CE1"/>
    <w:rsid w:val="00FB5CF3"/>
    <w:rsid w:val="00FB5D1B"/>
    <w:rsid w:val="00FB5D20"/>
    <w:rsid w:val="00FB5D3E"/>
    <w:rsid w:val="00FB5D46"/>
    <w:rsid w:val="00FB5D84"/>
    <w:rsid w:val="00FB5D9D"/>
    <w:rsid w:val="00FB5DAF"/>
    <w:rsid w:val="00FB5E13"/>
    <w:rsid w:val="00FB5ED4"/>
    <w:rsid w:val="00FB5FEB"/>
    <w:rsid w:val="00FB60D2"/>
    <w:rsid w:val="00FB60EE"/>
    <w:rsid w:val="00FB61D4"/>
    <w:rsid w:val="00FB6311"/>
    <w:rsid w:val="00FB63DA"/>
    <w:rsid w:val="00FB63FD"/>
    <w:rsid w:val="00FB6441"/>
    <w:rsid w:val="00FB6458"/>
    <w:rsid w:val="00FB64DB"/>
    <w:rsid w:val="00FB6652"/>
    <w:rsid w:val="00FB6666"/>
    <w:rsid w:val="00FB666E"/>
    <w:rsid w:val="00FB6676"/>
    <w:rsid w:val="00FB66FA"/>
    <w:rsid w:val="00FB6780"/>
    <w:rsid w:val="00FB678B"/>
    <w:rsid w:val="00FB679C"/>
    <w:rsid w:val="00FB67B4"/>
    <w:rsid w:val="00FB67CA"/>
    <w:rsid w:val="00FB6869"/>
    <w:rsid w:val="00FB686D"/>
    <w:rsid w:val="00FB6883"/>
    <w:rsid w:val="00FB68A5"/>
    <w:rsid w:val="00FB68D5"/>
    <w:rsid w:val="00FB6902"/>
    <w:rsid w:val="00FB691B"/>
    <w:rsid w:val="00FB6944"/>
    <w:rsid w:val="00FB69A6"/>
    <w:rsid w:val="00FB69D4"/>
    <w:rsid w:val="00FB6AA9"/>
    <w:rsid w:val="00FB6ACE"/>
    <w:rsid w:val="00FB6B13"/>
    <w:rsid w:val="00FB6B31"/>
    <w:rsid w:val="00FB6B4F"/>
    <w:rsid w:val="00FB6B64"/>
    <w:rsid w:val="00FB6BB6"/>
    <w:rsid w:val="00FB6C1A"/>
    <w:rsid w:val="00FB6C4C"/>
    <w:rsid w:val="00FB6C55"/>
    <w:rsid w:val="00FB6C6D"/>
    <w:rsid w:val="00FB6CBE"/>
    <w:rsid w:val="00FB6D51"/>
    <w:rsid w:val="00FB6D77"/>
    <w:rsid w:val="00FB6D94"/>
    <w:rsid w:val="00FB6DC6"/>
    <w:rsid w:val="00FB6DCE"/>
    <w:rsid w:val="00FB6DD6"/>
    <w:rsid w:val="00FB6DFB"/>
    <w:rsid w:val="00FB6DFE"/>
    <w:rsid w:val="00FB6E0D"/>
    <w:rsid w:val="00FB6E36"/>
    <w:rsid w:val="00FB6E91"/>
    <w:rsid w:val="00FB6EDA"/>
    <w:rsid w:val="00FB6FA7"/>
    <w:rsid w:val="00FB6FBF"/>
    <w:rsid w:val="00FB7005"/>
    <w:rsid w:val="00FB703B"/>
    <w:rsid w:val="00FB70E0"/>
    <w:rsid w:val="00FB7117"/>
    <w:rsid w:val="00FB712B"/>
    <w:rsid w:val="00FB71B6"/>
    <w:rsid w:val="00FB72B8"/>
    <w:rsid w:val="00FB733E"/>
    <w:rsid w:val="00FB735E"/>
    <w:rsid w:val="00FB7364"/>
    <w:rsid w:val="00FB7378"/>
    <w:rsid w:val="00FB7396"/>
    <w:rsid w:val="00FB73A8"/>
    <w:rsid w:val="00FB742A"/>
    <w:rsid w:val="00FB742B"/>
    <w:rsid w:val="00FB7446"/>
    <w:rsid w:val="00FB7455"/>
    <w:rsid w:val="00FB747E"/>
    <w:rsid w:val="00FB749B"/>
    <w:rsid w:val="00FB75A6"/>
    <w:rsid w:val="00FB7611"/>
    <w:rsid w:val="00FB761C"/>
    <w:rsid w:val="00FB7634"/>
    <w:rsid w:val="00FB7680"/>
    <w:rsid w:val="00FB7685"/>
    <w:rsid w:val="00FB76F0"/>
    <w:rsid w:val="00FB7717"/>
    <w:rsid w:val="00FB7785"/>
    <w:rsid w:val="00FB778E"/>
    <w:rsid w:val="00FB77A6"/>
    <w:rsid w:val="00FB77C5"/>
    <w:rsid w:val="00FB77F6"/>
    <w:rsid w:val="00FB7810"/>
    <w:rsid w:val="00FB781F"/>
    <w:rsid w:val="00FB7887"/>
    <w:rsid w:val="00FB78C0"/>
    <w:rsid w:val="00FB78FF"/>
    <w:rsid w:val="00FB7961"/>
    <w:rsid w:val="00FB7992"/>
    <w:rsid w:val="00FB79C5"/>
    <w:rsid w:val="00FB79F5"/>
    <w:rsid w:val="00FB7A5C"/>
    <w:rsid w:val="00FB7A6A"/>
    <w:rsid w:val="00FB7ABA"/>
    <w:rsid w:val="00FB7AEF"/>
    <w:rsid w:val="00FB7AFE"/>
    <w:rsid w:val="00FB7B4F"/>
    <w:rsid w:val="00FB7B6F"/>
    <w:rsid w:val="00FB7B79"/>
    <w:rsid w:val="00FB7B9E"/>
    <w:rsid w:val="00FB7BAE"/>
    <w:rsid w:val="00FB7BCD"/>
    <w:rsid w:val="00FB7C0C"/>
    <w:rsid w:val="00FB7C81"/>
    <w:rsid w:val="00FB7C83"/>
    <w:rsid w:val="00FB7CBE"/>
    <w:rsid w:val="00FB7CF3"/>
    <w:rsid w:val="00FB7D7B"/>
    <w:rsid w:val="00FB7DA2"/>
    <w:rsid w:val="00FB7DBB"/>
    <w:rsid w:val="00FB7E1E"/>
    <w:rsid w:val="00FB7E66"/>
    <w:rsid w:val="00FB7EB8"/>
    <w:rsid w:val="00FB7ECA"/>
    <w:rsid w:val="00FB7EFE"/>
    <w:rsid w:val="00FB7F2B"/>
    <w:rsid w:val="00FB7F41"/>
    <w:rsid w:val="00FB7F57"/>
    <w:rsid w:val="00FB7FA9"/>
    <w:rsid w:val="00FB7FCD"/>
    <w:rsid w:val="00FB7FEA"/>
    <w:rsid w:val="00FC0063"/>
    <w:rsid w:val="00FC0068"/>
    <w:rsid w:val="00FC00BC"/>
    <w:rsid w:val="00FC00ED"/>
    <w:rsid w:val="00FC0107"/>
    <w:rsid w:val="00FC0127"/>
    <w:rsid w:val="00FC0150"/>
    <w:rsid w:val="00FC0153"/>
    <w:rsid w:val="00FC01A9"/>
    <w:rsid w:val="00FC0249"/>
    <w:rsid w:val="00FC02AE"/>
    <w:rsid w:val="00FC02CF"/>
    <w:rsid w:val="00FC02FC"/>
    <w:rsid w:val="00FC0316"/>
    <w:rsid w:val="00FC0358"/>
    <w:rsid w:val="00FC03CF"/>
    <w:rsid w:val="00FC03D2"/>
    <w:rsid w:val="00FC03D7"/>
    <w:rsid w:val="00FC0461"/>
    <w:rsid w:val="00FC0491"/>
    <w:rsid w:val="00FC059F"/>
    <w:rsid w:val="00FC0610"/>
    <w:rsid w:val="00FC0611"/>
    <w:rsid w:val="00FC061F"/>
    <w:rsid w:val="00FC0621"/>
    <w:rsid w:val="00FC0671"/>
    <w:rsid w:val="00FC0701"/>
    <w:rsid w:val="00FC073D"/>
    <w:rsid w:val="00FC075B"/>
    <w:rsid w:val="00FC07F2"/>
    <w:rsid w:val="00FC0821"/>
    <w:rsid w:val="00FC08E8"/>
    <w:rsid w:val="00FC091A"/>
    <w:rsid w:val="00FC096B"/>
    <w:rsid w:val="00FC0983"/>
    <w:rsid w:val="00FC098E"/>
    <w:rsid w:val="00FC0A1B"/>
    <w:rsid w:val="00FC0A46"/>
    <w:rsid w:val="00FC0A54"/>
    <w:rsid w:val="00FC0B28"/>
    <w:rsid w:val="00FC0B6F"/>
    <w:rsid w:val="00FC0BC2"/>
    <w:rsid w:val="00FC0C1C"/>
    <w:rsid w:val="00FC0CFF"/>
    <w:rsid w:val="00FC0D10"/>
    <w:rsid w:val="00FC0D2D"/>
    <w:rsid w:val="00FC0DAA"/>
    <w:rsid w:val="00FC0E23"/>
    <w:rsid w:val="00FC0E47"/>
    <w:rsid w:val="00FC0E80"/>
    <w:rsid w:val="00FC0EA4"/>
    <w:rsid w:val="00FC0ED4"/>
    <w:rsid w:val="00FC0EDA"/>
    <w:rsid w:val="00FC0EED"/>
    <w:rsid w:val="00FC0F6D"/>
    <w:rsid w:val="00FC0F7F"/>
    <w:rsid w:val="00FC0FCB"/>
    <w:rsid w:val="00FC0FFA"/>
    <w:rsid w:val="00FC105D"/>
    <w:rsid w:val="00FC108E"/>
    <w:rsid w:val="00FC10C1"/>
    <w:rsid w:val="00FC1103"/>
    <w:rsid w:val="00FC113F"/>
    <w:rsid w:val="00FC115B"/>
    <w:rsid w:val="00FC11FC"/>
    <w:rsid w:val="00FC1243"/>
    <w:rsid w:val="00FC1287"/>
    <w:rsid w:val="00FC1290"/>
    <w:rsid w:val="00FC12A0"/>
    <w:rsid w:val="00FC12EE"/>
    <w:rsid w:val="00FC1348"/>
    <w:rsid w:val="00FC13C8"/>
    <w:rsid w:val="00FC13CC"/>
    <w:rsid w:val="00FC141F"/>
    <w:rsid w:val="00FC145E"/>
    <w:rsid w:val="00FC14E1"/>
    <w:rsid w:val="00FC14FA"/>
    <w:rsid w:val="00FC154E"/>
    <w:rsid w:val="00FC154F"/>
    <w:rsid w:val="00FC1595"/>
    <w:rsid w:val="00FC15E9"/>
    <w:rsid w:val="00FC1647"/>
    <w:rsid w:val="00FC1699"/>
    <w:rsid w:val="00FC16AA"/>
    <w:rsid w:val="00FC16B2"/>
    <w:rsid w:val="00FC1755"/>
    <w:rsid w:val="00FC1776"/>
    <w:rsid w:val="00FC1845"/>
    <w:rsid w:val="00FC184B"/>
    <w:rsid w:val="00FC1877"/>
    <w:rsid w:val="00FC199F"/>
    <w:rsid w:val="00FC19D6"/>
    <w:rsid w:val="00FC19DB"/>
    <w:rsid w:val="00FC19F0"/>
    <w:rsid w:val="00FC1A85"/>
    <w:rsid w:val="00FC1A96"/>
    <w:rsid w:val="00FC1A9E"/>
    <w:rsid w:val="00FC1AAF"/>
    <w:rsid w:val="00FC1ABE"/>
    <w:rsid w:val="00FC1BAF"/>
    <w:rsid w:val="00FC1BE5"/>
    <w:rsid w:val="00FC1BF2"/>
    <w:rsid w:val="00FC1C04"/>
    <w:rsid w:val="00FC1C0D"/>
    <w:rsid w:val="00FC1C53"/>
    <w:rsid w:val="00FC1D0F"/>
    <w:rsid w:val="00FC1DDA"/>
    <w:rsid w:val="00FC1E27"/>
    <w:rsid w:val="00FC1E38"/>
    <w:rsid w:val="00FC1E45"/>
    <w:rsid w:val="00FC1EA0"/>
    <w:rsid w:val="00FC1F04"/>
    <w:rsid w:val="00FC1F1E"/>
    <w:rsid w:val="00FC1F2E"/>
    <w:rsid w:val="00FC1F93"/>
    <w:rsid w:val="00FC1FBE"/>
    <w:rsid w:val="00FC2022"/>
    <w:rsid w:val="00FC2035"/>
    <w:rsid w:val="00FC20AF"/>
    <w:rsid w:val="00FC20E9"/>
    <w:rsid w:val="00FC2129"/>
    <w:rsid w:val="00FC2143"/>
    <w:rsid w:val="00FC21C7"/>
    <w:rsid w:val="00FC2242"/>
    <w:rsid w:val="00FC2258"/>
    <w:rsid w:val="00FC231B"/>
    <w:rsid w:val="00FC241C"/>
    <w:rsid w:val="00FC2490"/>
    <w:rsid w:val="00FC24A2"/>
    <w:rsid w:val="00FC24E9"/>
    <w:rsid w:val="00FC24FC"/>
    <w:rsid w:val="00FC2516"/>
    <w:rsid w:val="00FC257C"/>
    <w:rsid w:val="00FC25F4"/>
    <w:rsid w:val="00FC2603"/>
    <w:rsid w:val="00FC2632"/>
    <w:rsid w:val="00FC26C9"/>
    <w:rsid w:val="00FC26CD"/>
    <w:rsid w:val="00FC2743"/>
    <w:rsid w:val="00FC275C"/>
    <w:rsid w:val="00FC2783"/>
    <w:rsid w:val="00FC280D"/>
    <w:rsid w:val="00FC2839"/>
    <w:rsid w:val="00FC28AA"/>
    <w:rsid w:val="00FC295F"/>
    <w:rsid w:val="00FC2985"/>
    <w:rsid w:val="00FC29A3"/>
    <w:rsid w:val="00FC29D8"/>
    <w:rsid w:val="00FC29E4"/>
    <w:rsid w:val="00FC2A92"/>
    <w:rsid w:val="00FC2B20"/>
    <w:rsid w:val="00FC2B66"/>
    <w:rsid w:val="00FC2B6B"/>
    <w:rsid w:val="00FC2B89"/>
    <w:rsid w:val="00FC2C76"/>
    <w:rsid w:val="00FC2C8D"/>
    <w:rsid w:val="00FC2C96"/>
    <w:rsid w:val="00FC2CA2"/>
    <w:rsid w:val="00FC2CE8"/>
    <w:rsid w:val="00FC2CF0"/>
    <w:rsid w:val="00FC2DC9"/>
    <w:rsid w:val="00FC2DD2"/>
    <w:rsid w:val="00FC2E50"/>
    <w:rsid w:val="00FC2E73"/>
    <w:rsid w:val="00FC2EF0"/>
    <w:rsid w:val="00FC2FAF"/>
    <w:rsid w:val="00FC3067"/>
    <w:rsid w:val="00FC3096"/>
    <w:rsid w:val="00FC30A9"/>
    <w:rsid w:val="00FC30E0"/>
    <w:rsid w:val="00FC30FD"/>
    <w:rsid w:val="00FC3153"/>
    <w:rsid w:val="00FC3188"/>
    <w:rsid w:val="00FC31A3"/>
    <w:rsid w:val="00FC31AE"/>
    <w:rsid w:val="00FC31C5"/>
    <w:rsid w:val="00FC3215"/>
    <w:rsid w:val="00FC328B"/>
    <w:rsid w:val="00FC3338"/>
    <w:rsid w:val="00FC3392"/>
    <w:rsid w:val="00FC3396"/>
    <w:rsid w:val="00FC33B4"/>
    <w:rsid w:val="00FC33E0"/>
    <w:rsid w:val="00FC33FE"/>
    <w:rsid w:val="00FC340B"/>
    <w:rsid w:val="00FC3412"/>
    <w:rsid w:val="00FC342D"/>
    <w:rsid w:val="00FC3446"/>
    <w:rsid w:val="00FC34AB"/>
    <w:rsid w:val="00FC34B8"/>
    <w:rsid w:val="00FC34BE"/>
    <w:rsid w:val="00FC34F4"/>
    <w:rsid w:val="00FC3502"/>
    <w:rsid w:val="00FC351D"/>
    <w:rsid w:val="00FC352E"/>
    <w:rsid w:val="00FC3558"/>
    <w:rsid w:val="00FC358A"/>
    <w:rsid w:val="00FC35AE"/>
    <w:rsid w:val="00FC35C4"/>
    <w:rsid w:val="00FC35E4"/>
    <w:rsid w:val="00FC35E7"/>
    <w:rsid w:val="00FC35F8"/>
    <w:rsid w:val="00FC3607"/>
    <w:rsid w:val="00FC3665"/>
    <w:rsid w:val="00FC3666"/>
    <w:rsid w:val="00FC3671"/>
    <w:rsid w:val="00FC369E"/>
    <w:rsid w:val="00FC36C1"/>
    <w:rsid w:val="00FC36D2"/>
    <w:rsid w:val="00FC36F2"/>
    <w:rsid w:val="00FC37E7"/>
    <w:rsid w:val="00FC3850"/>
    <w:rsid w:val="00FC389E"/>
    <w:rsid w:val="00FC38E0"/>
    <w:rsid w:val="00FC38FC"/>
    <w:rsid w:val="00FC3902"/>
    <w:rsid w:val="00FC3915"/>
    <w:rsid w:val="00FC3A79"/>
    <w:rsid w:val="00FC3AA1"/>
    <w:rsid w:val="00FC3AF0"/>
    <w:rsid w:val="00FC3B0C"/>
    <w:rsid w:val="00FC3B16"/>
    <w:rsid w:val="00FC3B27"/>
    <w:rsid w:val="00FC3B2E"/>
    <w:rsid w:val="00FC3B30"/>
    <w:rsid w:val="00FC3B36"/>
    <w:rsid w:val="00FC3B89"/>
    <w:rsid w:val="00FC3B8E"/>
    <w:rsid w:val="00FC3BBB"/>
    <w:rsid w:val="00FC3C52"/>
    <w:rsid w:val="00FC3C5B"/>
    <w:rsid w:val="00FC3C7D"/>
    <w:rsid w:val="00FC3CC0"/>
    <w:rsid w:val="00FC3D23"/>
    <w:rsid w:val="00FC3D30"/>
    <w:rsid w:val="00FC3D54"/>
    <w:rsid w:val="00FC3D63"/>
    <w:rsid w:val="00FC3DC4"/>
    <w:rsid w:val="00FC3E02"/>
    <w:rsid w:val="00FC3E0B"/>
    <w:rsid w:val="00FC3E1C"/>
    <w:rsid w:val="00FC3E28"/>
    <w:rsid w:val="00FC3E42"/>
    <w:rsid w:val="00FC3E8B"/>
    <w:rsid w:val="00FC3ED1"/>
    <w:rsid w:val="00FC3EFF"/>
    <w:rsid w:val="00FC3FF2"/>
    <w:rsid w:val="00FC4028"/>
    <w:rsid w:val="00FC4035"/>
    <w:rsid w:val="00FC4046"/>
    <w:rsid w:val="00FC40E2"/>
    <w:rsid w:val="00FC4101"/>
    <w:rsid w:val="00FC4170"/>
    <w:rsid w:val="00FC4175"/>
    <w:rsid w:val="00FC41D3"/>
    <w:rsid w:val="00FC41EE"/>
    <w:rsid w:val="00FC41EF"/>
    <w:rsid w:val="00FC4227"/>
    <w:rsid w:val="00FC4232"/>
    <w:rsid w:val="00FC4310"/>
    <w:rsid w:val="00FC4367"/>
    <w:rsid w:val="00FC4384"/>
    <w:rsid w:val="00FC4386"/>
    <w:rsid w:val="00FC43D8"/>
    <w:rsid w:val="00FC43FA"/>
    <w:rsid w:val="00FC4442"/>
    <w:rsid w:val="00FC4469"/>
    <w:rsid w:val="00FC4507"/>
    <w:rsid w:val="00FC4539"/>
    <w:rsid w:val="00FC458F"/>
    <w:rsid w:val="00FC46FA"/>
    <w:rsid w:val="00FC4725"/>
    <w:rsid w:val="00FC472F"/>
    <w:rsid w:val="00FC476B"/>
    <w:rsid w:val="00FC478B"/>
    <w:rsid w:val="00FC47E5"/>
    <w:rsid w:val="00FC481F"/>
    <w:rsid w:val="00FC4840"/>
    <w:rsid w:val="00FC49A9"/>
    <w:rsid w:val="00FC49CF"/>
    <w:rsid w:val="00FC49E2"/>
    <w:rsid w:val="00FC4AB6"/>
    <w:rsid w:val="00FC4AD7"/>
    <w:rsid w:val="00FC4AE0"/>
    <w:rsid w:val="00FC4AE7"/>
    <w:rsid w:val="00FC4AEE"/>
    <w:rsid w:val="00FC4B1C"/>
    <w:rsid w:val="00FC4B66"/>
    <w:rsid w:val="00FC4B6D"/>
    <w:rsid w:val="00FC4B7E"/>
    <w:rsid w:val="00FC4BDB"/>
    <w:rsid w:val="00FC4C2B"/>
    <w:rsid w:val="00FC4C4A"/>
    <w:rsid w:val="00FC4C5C"/>
    <w:rsid w:val="00FC4D09"/>
    <w:rsid w:val="00FC4D1F"/>
    <w:rsid w:val="00FC4D3E"/>
    <w:rsid w:val="00FC4D6E"/>
    <w:rsid w:val="00FC4D84"/>
    <w:rsid w:val="00FC4D8C"/>
    <w:rsid w:val="00FC4DBC"/>
    <w:rsid w:val="00FC4E7A"/>
    <w:rsid w:val="00FC4EF8"/>
    <w:rsid w:val="00FC4F04"/>
    <w:rsid w:val="00FC4F1F"/>
    <w:rsid w:val="00FC4F3B"/>
    <w:rsid w:val="00FC4F80"/>
    <w:rsid w:val="00FC500B"/>
    <w:rsid w:val="00FC502B"/>
    <w:rsid w:val="00FC503B"/>
    <w:rsid w:val="00FC506E"/>
    <w:rsid w:val="00FC5097"/>
    <w:rsid w:val="00FC50D2"/>
    <w:rsid w:val="00FC5153"/>
    <w:rsid w:val="00FC517C"/>
    <w:rsid w:val="00FC51F7"/>
    <w:rsid w:val="00FC5221"/>
    <w:rsid w:val="00FC5232"/>
    <w:rsid w:val="00FC5270"/>
    <w:rsid w:val="00FC52B0"/>
    <w:rsid w:val="00FC52CD"/>
    <w:rsid w:val="00FC52E0"/>
    <w:rsid w:val="00FC5313"/>
    <w:rsid w:val="00FC5319"/>
    <w:rsid w:val="00FC53C0"/>
    <w:rsid w:val="00FC5412"/>
    <w:rsid w:val="00FC5427"/>
    <w:rsid w:val="00FC5482"/>
    <w:rsid w:val="00FC5511"/>
    <w:rsid w:val="00FC558D"/>
    <w:rsid w:val="00FC55EA"/>
    <w:rsid w:val="00FC55F8"/>
    <w:rsid w:val="00FC5651"/>
    <w:rsid w:val="00FC5672"/>
    <w:rsid w:val="00FC56CE"/>
    <w:rsid w:val="00FC56D1"/>
    <w:rsid w:val="00FC5711"/>
    <w:rsid w:val="00FC5736"/>
    <w:rsid w:val="00FC5739"/>
    <w:rsid w:val="00FC5745"/>
    <w:rsid w:val="00FC5784"/>
    <w:rsid w:val="00FC579E"/>
    <w:rsid w:val="00FC57DF"/>
    <w:rsid w:val="00FC582E"/>
    <w:rsid w:val="00FC58A2"/>
    <w:rsid w:val="00FC58B8"/>
    <w:rsid w:val="00FC58C5"/>
    <w:rsid w:val="00FC58EF"/>
    <w:rsid w:val="00FC5959"/>
    <w:rsid w:val="00FC5973"/>
    <w:rsid w:val="00FC59BE"/>
    <w:rsid w:val="00FC59E2"/>
    <w:rsid w:val="00FC5A2D"/>
    <w:rsid w:val="00FC5A30"/>
    <w:rsid w:val="00FC5A52"/>
    <w:rsid w:val="00FC5AE9"/>
    <w:rsid w:val="00FC5AF5"/>
    <w:rsid w:val="00FC5B27"/>
    <w:rsid w:val="00FC5BC2"/>
    <w:rsid w:val="00FC5BEC"/>
    <w:rsid w:val="00FC5C1C"/>
    <w:rsid w:val="00FC5C31"/>
    <w:rsid w:val="00FC5C7E"/>
    <w:rsid w:val="00FC5CD2"/>
    <w:rsid w:val="00FC5CD5"/>
    <w:rsid w:val="00FC5CDF"/>
    <w:rsid w:val="00FC5D31"/>
    <w:rsid w:val="00FC5D64"/>
    <w:rsid w:val="00FC5D7F"/>
    <w:rsid w:val="00FC5DEC"/>
    <w:rsid w:val="00FC5DF2"/>
    <w:rsid w:val="00FC5E09"/>
    <w:rsid w:val="00FC5E58"/>
    <w:rsid w:val="00FC5EA1"/>
    <w:rsid w:val="00FC5F0B"/>
    <w:rsid w:val="00FC5FFE"/>
    <w:rsid w:val="00FC6022"/>
    <w:rsid w:val="00FC6061"/>
    <w:rsid w:val="00FC60BB"/>
    <w:rsid w:val="00FC60ED"/>
    <w:rsid w:val="00FC611D"/>
    <w:rsid w:val="00FC61B2"/>
    <w:rsid w:val="00FC624D"/>
    <w:rsid w:val="00FC6279"/>
    <w:rsid w:val="00FC62AF"/>
    <w:rsid w:val="00FC632F"/>
    <w:rsid w:val="00FC63D5"/>
    <w:rsid w:val="00FC63D8"/>
    <w:rsid w:val="00FC648C"/>
    <w:rsid w:val="00FC6512"/>
    <w:rsid w:val="00FC657A"/>
    <w:rsid w:val="00FC65B3"/>
    <w:rsid w:val="00FC65BB"/>
    <w:rsid w:val="00FC6604"/>
    <w:rsid w:val="00FC6649"/>
    <w:rsid w:val="00FC667C"/>
    <w:rsid w:val="00FC6717"/>
    <w:rsid w:val="00FC6779"/>
    <w:rsid w:val="00FC67AC"/>
    <w:rsid w:val="00FC6854"/>
    <w:rsid w:val="00FC6898"/>
    <w:rsid w:val="00FC68A8"/>
    <w:rsid w:val="00FC68CD"/>
    <w:rsid w:val="00FC68EA"/>
    <w:rsid w:val="00FC68F6"/>
    <w:rsid w:val="00FC6916"/>
    <w:rsid w:val="00FC694E"/>
    <w:rsid w:val="00FC696F"/>
    <w:rsid w:val="00FC69D8"/>
    <w:rsid w:val="00FC6A6B"/>
    <w:rsid w:val="00FC6A8F"/>
    <w:rsid w:val="00FC6AB4"/>
    <w:rsid w:val="00FC6ACE"/>
    <w:rsid w:val="00FC6B8F"/>
    <w:rsid w:val="00FC6B9B"/>
    <w:rsid w:val="00FC6BC3"/>
    <w:rsid w:val="00FC6BE8"/>
    <w:rsid w:val="00FC6BFD"/>
    <w:rsid w:val="00FC6C08"/>
    <w:rsid w:val="00FC6C31"/>
    <w:rsid w:val="00FC6D00"/>
    <w:rsid w:val="00FC6D04"/>
    <w:rsid w:val="00FC6D11"/>
    <w:rsid w:val="00FC6E2C"/>
    <w:rsid w:val="00FC6E6B"/>
    <w:rsid w:val="00FC6E98"/>
    <w:rsid w:val="00FC6F00"/>
    <w:rsid w:val="00FC6F1C"/>
    <w:rsid w:val="00FC6F43"/>
    <w:rsid w:val="00FC6F66"/>
    <w:rsid w:val="00FC6F6F"/>
    <w:rsid w:val="00FC6FB4"/>
    <w:rsid w:val="00FC6FB9"/>
    <w:rsid w:val="00FC704A"/>
    <w:rsid w:val="00FC7050"/>
    <w:rsid w:val="00FC705C"/>
    <w:rsid w:val="00FC7098"/>
    <w:rsid w:val="00FC7099"/>
    <w:rsid w:val="00FC7107"/>
    <w:rsid w:val="00FC71A7"/>
    <w:rsid w:val="00FC71E1"/>
    <w:rsid w:val="00FC71FA"/>
    <w:rsid w:val="00FC720B"/>
    <w:rsid w:val="00FC7224"/>
    <w:rsid w:val="00FC723C"/>
    <w:rsid w:val="00FC72B5"/>
    <w:rsid w:val="00FC72D1"/>
    <w:rsid w:val="00FC72E3"/>
    <w:rsid w:val="00FC7342"/>
    <w:rsid w:val="00FC7391"/>
    <w:rsid w:val="00FC739D"/>
    <w:rsid w:val="00FC73F6"/>
    <w:rsid w:val="00FC7408"/>
    <w:rsid w:val="00FC7415"/>
    <w:rsid w:val="00FC746D"/>
    <w:rsid w:val="00FC7493"/>
    <w:rsid w:val="00FC7523"/>
    <w:rsid w:val="00FC75B4"/>
    <w:rsid w:val="00FC75E0"/>
    <w:rsid w:val="00FC75F4"/>
    <w:rsid w:val="00FC7608"/>
    <w:rsid w:val="00FC764F"/>
    <w:rsid w:val="00FC7687"/>
    <w:rsid w:val="00FC776E"/>
    <w:rsid w:val="00FC779C"/>
    <w:rsid w:val="00FC7805"/>
    <w:rsid w:val="00FC7841"/>
    <w:rsid w:val="00FC7861"/>
    <w:rsid w:val="00FC7863"/>
    <w:rsid w:val="00FC787C"/>
    <w:rsid w:val="00FC7936"/>
    <w:rsid w:val="00FC7961"/>
    <w:rsid w:val="00FC7975"/>
    <w:rsid w:val="00FC79E2"/>
    <w:rsid w:val="00FC7A6C"/>
    <w:rsid w:val="00FC7A78"/>
    <w:rsid w:val="00FC7A82"/>
    <w:rsid w:val="00FC7AEC"/>
    <w:rsid w:val="00FC7B22"/>
    <w:rsid w:val="00FC7B3F"/>
    <w:rsid w:val="00FC7B5E"/>
    <w:rsid w:val="00FC7BD4"/>
    <w:rsid w:val="00FC7C20"/>
    <w:rsid w:val="00FC7C53"/>
    <w:rsid w:val="00FC7C7B"/>
    <w:rsid w:val="00FC7CFB"/>
    <w:rsid w:val="00FC7D01"/>
    <w:rsid w:val="00FC7D1A"/>
    <w:rsid w:val="00FC7D2D"/>
    <w:rsid w:val="00FC7D55"/>
    <w:rsid w:val="00FC7D6F"/>
    <w:rsid w:val="00FC7DB7"/>
    <w:rsid w:val="00FC7E22"/>
    <w:rsid w:val="00FC7EFF"/>
    <w:rsid w:val="00FC7F8E"/>
    <w:rsid w:val="00FC7F9B"/>
    <w:rsid w:val="00FC7F9F"/>
    <w:rsid w:val="00FC7FA8"/>
    <w:rsid w:val="00FC7FD3"/>
    <w:rsid w:val="00FD00A7"/>
    <w:rsid w:val="00FD00FC"/>
    <w:rsid w:val="00FD0101"/>
    <w:rsid w:val="00FD0106"/>
    <w:rsid w:val="00FD0122"/>
    <w:rsid w:val="00FD0140"/>
    <w:rsid w:val="00FD01A1"/>
    <w:rsid w:val="00FD01AB"/>
    <w:rsid w:val="00FD01D3"/>
    <w:rsid w:val="00FD023E"/>
    <w:rsid w:val="00FD0252"/>
    <w:rsid w:val="00FD0281"/>
    <w:rsid w:val="00FD0287"/>
    <w:rsid w:val="00FD02B6"/>
    <w:rsid w:val="00FD02FB"/>
    <w:rsid w:val="00FD0393"/>
    <w:rsid w:val="00FD039F"/>
    <w:rsid w:val="00FD03CD"/>
    <w:rsid w:val="00FD03D8"/>
    <w:rsid w:val="00FD03D9"/>
    <w:rsid w:val="00FD03EC"/>
    <w:rsid w:val="00FD03F3"/>
    <w:rsid w:val="00FD042F"/>
    <w:rsid w:val="00FD05BB"/>
    <w:rsid w:val="00FD05C6"/>
    <w:rsid w:val="00FD062B"/>
    <w:rsid w:val="00FD0681"/>
    <w:rsid w:val="00FD0797"/>
    <w:rsid w:val="00FD07D0"/>
    <w:rsid w:val="00FD0885"/>
    <w:rsid w:val="00FD08DA"/>
    <w:rsid w:val="00FD09E2"/>
    <w:rsid w:val="00FD0A02"/>
    <w:rsid w:val="00FD0ABC"/>
    <w:rsid w:val="00FD0AD7"/>
    <w:rsid w:val="00FD0B21"/>
    <w:rsid w:val="00FD0B74"/>
    <w:rsid w:val="00FD0BAD"/>
    <w:rsid w:val="00FD0C14"/>
    <w:rsid w:val="00FD0C18"/>
    <w:rsid w:val="00FD0CDE"/>
    <w:rsid w:val="00FD0D4E"/>
    <w:rsid w:val="00FD0E3F"/>
    <w:rsid w:val="00FD0E73"/>
    <w:rsid w:val="00FD0E98"/>
    <w:rsid w:val="00FD0EAD"/>
    <w:rsid w:val="00FD0EF6"/>
    <w:rsid w:val="00FD0F20"/>
    <w:rsid w:val="00FD0F30"/>
    <w:rsid w:val="00FD0F64"/>
    <w:rsid w:val="00FD0FEF"/>
    <w:rsid w:val="00FD101E"/>
    <w:rsid w:val="00FD108D"/>
    <w:rsid w:val="00FD10F7"/>
    <w:rsid w:val="00FD1130"/>
    <w:rsid w:val="00FD1132"/>
    <w:rsid w:val="00FD11B9"/>
    <w:rsid w:val="00FD11CC"/>
    <w:rsid w:val="00FD1287"/>
    <w:rsid w:val="00FD1289"/>
    <w:rsid w:val="00FD1305"/>
    <w:rsid w:val="00FD1349"/>
    <w:rsid w:val="00FD13A9"/>
    <w:rsid w:val="00FD141C"/>
    <w:rsid w:val="00FD1471"/>
    <w:rsid w:val="00FD14C4"/>
    <w:rsid w:val="00FD1507"/>
    <w:rsid w:val="00FD1594"/>
    <w:rsid w:val="00FD1599"/>
    <w:rsid w:val="00FD15A2"/>
    <w:rsid w:val="00FD1690"/>
    <w:rsid w:val="00FD16DE"/>
    <w:rsid w:val="00FD16ED"/>
    <w:rsid w:val="00FD174B"/>
    <w:rsid w:val="00FD174E"/>
    <w:rsid w:val="00FD1800"/>
    <w:rsid w:val="00FD18F5"/>
    <w:rsid w:val="00FD192A"/>
    <w:rsid w:val="00FD196B"/>
    <w:rsid w:val="00FD19C1"/>
    <w:rsid w:val="00FD1A3B"/>
    <w:rsid w:val="00FD1A5E"/>
    <w:rsid w:val="00FD1B40"/>
    <w:rsid w:val="00FD1B60"/>
    <w:rsid w:val="00FD1B6F"/>
    <w:rsid w:val="00FD1B70"/>
    <w:rsid w:val="00FD1BCC"/>
    <w:rsid w:val="00FD1C07"/>
    <w:rsid w:val="00FD1C1D"/>
    <w:rsid w:val="00FD1C89"/>
    <w:rsid w:val="00FD1CAE"/>
    <w:rsid w:val="00FD1CC6"/>
    <w:rsid w:val="00FD1D55"/>
    <w:rsid w:val="00FD1E37"/>
    <w:rsid w:val="00FD1EC2"/>
    <w:rsid w:val="00FD1F4D"/>
    <w:rsid w:val="00FD1F8B"/>
    <w:rsid w:val="00FD1F8F"/>
    <w:rsid w:val="00FD1FA9"/>
    <w:rsid w:val="00FD1FBC"/>
    <w:rsid w:val="00FD1FEE"/>
    <w:rsid w:val="00FD1FFA"/>
    <w:rsid w:val="00FD215F"/>
    <w:rsid w:val="00FD2173"/>
    <w:rsid w:val="00FD21CF"/>
    <w:rsid w:val="00FD221D"/>
    <w:rsid w:val="00FD2277"/>
    <w:rsid w:val="00FD2291"/>
    <w:rsid w:val="00FD232F"/>
    <w:rsid w:val="00FD2337"/>
    <w:rsid w:val="00FD233D"/>
    <w:rsid w:val="00FD2391"/>
    <w:rsid w:val="00FD2392"/>
    <w:rsid w:val="00FD23B2"/>
    <w:rsid w:val="00FD23C7"/>
    <w:rsid w:val="00FD2466"/>
    <w:rsid w:val="00FD2519"/>
    <w:rsid w:val="00FD2541"/>
    <w:rsid w:val="00FD2556"/>
    <w:rsid w:val="00FD2558"/>
    <w:rsid w:val="00FD2566"/>
    <w:rsid w:val="00FD256A"/>
    <w:rsid w:val="00FD25B9"/>
    <w:rsid w:val="00FD2661"/>
    <w:rsid w:val="00FD271A"/>
    <w:rsid w:val="00FD2731"/>
    <w:rsid w:val="00FD2775"/>
    <w:rsid w:val="00FD27A6"/>
    <w:rsid w:val="00FD2814"/>
    <w:rsid w:val="00FD2836"/>
    <w:rsid w:val="00FD28DD"/>
    <w:rsid w:val="00FD28E4"/>
    <w:rsid w:val="00FD28EC"/>
    <w:rsid w:val="00FD28F2"/>
    <w:rsid w:val="00FD294E"/>
    <w:rsid w:val="00FD2959"/>
    <w:rsid w:val="00FD29C2"/>
    <w:rsid w:val="00FD2AEE"/>
    <w:rsid w:val="00FD2AF5"/>
    <w:rsid w:val="00FD2BAC"/>
    <w:rsid w:val="00FD2BE8"/>
    <w:rsid w:val="00FD2C7A"/>
    <w:rsid w:val="00FD2C7C"/>
    <w:rsid w:val="00FD2D10"/>
    <w:rsid w:val="00FD2D13"/>
    <w:rsid w:val="00FD2D82"/>
    <w:rsid w:val="00FD2DD2"/>
    <w:rsid w:val="00FD2DF8"/>
    <w:rsid w:val="00FD2EE4"/>
    <w:rsid w:val="00FD2F0D"/>
    <w:rsid w:val="00FD2F33"/>
    <w:rsid w:val="00FD2FA2"/>
    <w:rsid w:val="00FD2FBB"/>
    <w:rsid w:val="00FD2FCD"/>
    <w:rsid w:val="00FD3005"/>
    <w:rsid w:val="00FD303A"/>
    <w:rsid w:val="00FD3099"/>
    <w:rsid w:val="00FD3120"/>
    <w:rsid w:val="00FD3185"/>
    <w:rsid w:val="00FD3248"/>
    <w:rsid w:val="00FD328D"/>
    <w:rsid w:val="00FD32B5"/>
    <w:rsid w:val="00FD3388"/>
    <w:rsid w:val="00FD33CA"/>
    <w:rsid w:val="00FD3446"/>
    <w:rsid w:val="00FD3545"/>
    <w:rsid w:val="00FD357A"/>
    <w:rsid w:val="00FD35BC"/>
    <w:rsid w:val="00FD3678"/>
    <w:rsid w:val="00FD36C6"/>
    <w:rsid w:val="00FD36E5"/>
    <w:rsid w:val="00FD374E"/>
    <w:rsid w:val="00FD375E"/>
    <w:rsid w:val="00FD3784"/>
    <w:rsid w:val="00FD3785"/>
    <w:rsid w:val="00FD378B"/>
    <w:rsid w:val="00FD37CA"/>
    <w:rsid w:val="00FD37EC"/>
    <w:rsid w:val="00FD385F"/>
    <w:rsid w:val="00FD3864"/>
    <w:rsid w:val="00FD388F"/>
    <w:rsid w:val="00FD38D7"/>
    <w:rsid w:val="00FD391E"/>
    <w:rsid w:val="00FD393B"/>
    <w:rsid w:val="00FD394A"/>
    <w:rsid w:val="00FD3995"/>
    <w:rsid w:val="00FD39D9"/>
    <w:rsid w:val="00FD3A89"/>
    <w:rsid w:val="00FD3A96"/>
    <w:rsid w:val="00FD3ADD"/>
    <w:rsid w:val="00FD3B3A"/>
    <w:rsid w:val="00FD3B52"/>
    <w:rsid w:val="00FD3B86"/>
    <w:rsid w:val="00FD3BB7"/>
    <w:rsid w:val="00FD3C14"/>
    <w:rsid w:val="00FD3C42"/>
    <w:rsid w:val="00FD3C47"/>
    <w:rsid w:val="00FD3C9A"/>
    <w:rsid w:val="00FD3CF8"/>
    <w:rsid w:val="00FD3DA9"/>
    <w:rsid w:val="00FD3E38"/>
    <w:rsid w:val="00FD3EB0"/>
    <w:rsid w:val="00FD3EFB"/>
    <w:rsid w:val="00FD3F4C"/>
    <w:rsid w:val="00FD400A"/>
    <w:rsid w:val="00FD40C9"/>
    <w:rsid w:val="00FD415F"/>
    <w:rsid w:val="00FD41A1"/>
    <w:rsid w:val="00FD4212"/>
    <w:rsid w:val="00FD424D"/>
    <w:rsid w:val="00FD4272"/>
    <w:rsid w:val="00FD42A0"/>
    <w:rsid w:val="00FD42CA"/>
    <w:rsid w:val="00FD431B"/>
    <w:rsid w:val="00FD4459"/>
    <w:rsid w:val="00FD44AA"/>
    <w:rsid w:val="00FD4509"/>
    <w:rsid w:val="00FD451F"/>
    <w:rsid w:val="00FD45C7"/>
    <w:rsid w:val="00FD45CE"/>
    <w:rsid w:val="00FD462A"/>
    <w:rsid w:val="00FD470A"/>
    <w:rsid w:val="00FD47B6"/>
    <w:rsid w:val="00FD47F7"/>
    <w:rsid w:val="00FD48AA"/>
    <w:rsid w:val="00FD4953"/>
    <w:rsid w:val="00FD4975"/>
    <w:rsid w:val="00FD49CC"/>
    <w:rsid w:val="00FD4B0C"/>
    <w:rsid w:val="00FD4B0F"/>
    <w:rsid w:val="00FD4B8E"/>
    <w:rsid w:val="00FD4BDA"/>
    <w:rsid w:val="00FD4C18"/>
    <w:rsid w:val="00FD4C19"/>
    <w:rsid w:val="00FD4C9B"/>
    <w:rsid w:val="00FD4CBC"/>
    <w:rsid w:val="00FD4CEB"/>
    <w:rsid w:val="00FD4CED"/>
    <w:rsid w:val="00FD4D23"/>
    <w:rsid w:val="00FD4D50"/>
    <w:rsid w:val="00FD4DCC"/>
    <w:rsid w:val="00FD4DDF"/>
    <w:rsid w:val="00FD4E29"/>
    <w:rsid w:val="00FD4E9D"/>
    <w:rsid w:val="00FD4EFF"/>
    <w:rsid w:val="00FD4F19"/>
    <w:rsid w:val="00FD4F6E"/>
    <w:rsid w:val="00FD4F7C"/>
    <w:rsid w:val="00FD4F86"/>
    <w:rsid w:val="00FD4FE8"/>
    <w:rsid w:val="00FD515E"/>
    <w:rsid w:val="00FD5167"/>
    <w:rsid w:val="00FD526F"/>
    <w:rsid w:val="00FD527E"/>
    <w:rsid w:val="00FD52BF"/>
    <w:rsid w:val="00FD5336"/>
    <w:rsid w:val="00FD5337"/>
    <w:rsid w:val="00FD5364"/>
    <w:rsid w:val="00FD53A3"/>
    <w:rsid w:val="00FD53BF"/>
    <w:rsid w:val="00FD53D5"/>
    <w:rsid w:val="00FD546A"/>
    <w:rsid w:val="00FD5494"/>
    <w:rsid w:val="00FD5519"/>
    <w:rsid w:val="00FD559E"/>
    <w:rsid w:val="00FD55A4"/>
    <w:rsid w:val="00FD55AB"/>
    <w:rsid w:val="00FD55E9"/>
    <w:rsid w:val="00FD55FD"/>
    <w:rsid w:val="00FD561B"/>
    <w:rsid w:val="00FD564E"/>
    <w:rsid w:val="00FD566C"/>
    <w:rsid w:val="00FD5703"/>
    <w:rsid w:val="00FD5777"/>
    <w:rsid w:val="00FD5797"/>
    <w:rsid w:val="00FD579E"/>
    <w:rsid w:val="00FD5A15"/>
    <w:rsid w:val="00FD5AD2"/>
    <w:rsid w:val="00FD5B37"/>
    <w:rsid w:val="00FD5B8F"/>
    <w:rsid w:val="00FD5B95"/>
    <w:rsid w:val="00FD5C52"/>
    <w:rsid w:val="00FD5C6F"/>
    <w:rsid w:val="00FD5CCC"/>
    <w:rsid w:val="00FD5D2E"/>
    <w:rsid w:val="00FD5D64"/>
    <w:rsid w:val="00FD5E51"/>
    <w:rsid w:val="00FD5E83"/>
    <w:rsid w:val="00FD5EC5"/>
    <w:rsid w:val="00FD5F04"/>
    <w:rsid w:val="00FD5FB3"/>
    <w:rsid w:val="00FD5FBC"/>
    <w:rsid w:val="00FD5FC5"/>
    <w:rsid w:val="00FD5FE7"/>
    <w:rsid w:val="00FD602E"/>
    <w:rsid w:val="00FD60FC"/>
    <w:rsid w:val="00FD6132"/>
    <w:rsid w:val="00FD6172"/>
    <w:rsid w:val="00FD6225"/>
    <w:rsid w:val="00FD6273"/>
    <w:rsid w:val="00FD62A8"/>
    <w:rsid w:val="00FD62C4"/>
    <w:rsid w:val="00FD6319"/>
    <w:rsid w:val="00FD6347"/>
    <w:rsid w:val="00FD63FE"/>
    <w:rsid w:val="00FD6489"/>
    <w:rsid w:val="00FD6529"/>
    <w:rsid w:val="00FD6544"/>
    <w:rsid w:val="00FD6571"/>
    <w:rsid w:val="00FD6577"/>
    <w:rsid w:val="00FD657A"/>
    <w:rsid w:val="00FD659A"/>
    <w:rsid w:val="00FD65A3"/>
    <w:rsid w:val="00FD65BC"/>
    <w:rsid w:val="00FD66F9"/>
    <w:rsid w:val="00FD6714"/>
    <w:rsid w:val="00FD674E"/>
    <w:rsid w:val="00FD6768"/>
    <w:rsid w:val="00FD6777"/>
    <w:rsid w:val="00FD677B"/>
    <w:rsid w:val="00FD677D"/>
    <w:rsid w:val="00FD67E3"/>
    <w:rsid w:val="00FD6802"/>
    <w:rsid w:val="00FD682C"/>
    <w:rsid w:val="00FD6873"/>
    <w:rsid w:val="00FD6899"/>
    <w:rsid w:val="00FD68A5"/>
    <w:rsid w:val="00FD699B"/>
    <w:rsid w:val="00FD69C0"/>
    <w:rsid w:val="00FD69CD"/>
    <w:rsid w:val="00FD6A01"/>
    <w:rsid w:val="00FD6A05"/>
    <w:rsid w:val="00FD6A11"/>
    <w:rsid w:val="00FD6A36"/>
    <w:rsid w:val="00FD6BE2"/>
    <w:rsid w:val="00FD6BE7"/>
    <w:rsid w:val="00FD6BE8"/>
    <w:rsid w:val="00FD6BEE"/>
    <w:rsid w:val="00FD6C98"/>
    <w:rsid w:val="00FD6CD2"/>
    <w:rsid w:val="00FD6D1E"/>
    <w:rsid w:val="00FD6D87"/>
    <w:rsid w:val="00FD6DC0"/>
    <w:rsid w:val="00FD6E0E"/>
    <w:rsid w:val="00FD6E17"/>
    <w:rsid w:val="00FD6E20"/>
    <w:rsid w:val="00FD6E78"/>
    <w:rsid w:val="00FD6E9D"/>
    <w:rsid w:val="00FD6EB8"/>
    <w:rsid w:val="00FD6F36"/>
    <w:rsid w:val="00FD6F52"/>
    <w:rsid w:val="00FD6FE2"/>
    <w:rsid w:val="00FD7031"/>
    <w:rsid w:val="00FD7036"/>
    <w:rsid w:val="00FD7093"/>
    <w:rsid w:val="00FD7098"/>
    <w:rsid w:val="00FD7104"/>
    <w:rsid w:val="00FD7110"/>
    <w:rsid w:val="00FD7116"/>
    <w:rsid w:val="00FD71A1"/>
    <w:rsid w:val="00FD71EE"/>
    <w:rsid w:val="00FD71F4"/>
    <w:rsid w:val="00FD71FD"/>
    <w:rsid w:val="00FD720F"/>
    <w:rsid w:val="00FD721D"/>
    <w:rsid w:val="00FD7234"/>
    <w:rsid w:val="00FD72B7"/>
    <w:rsid w:val="00FD72EC"/>
    <w:rsid w:val="00FD7304"/>
    <w:rsid w:val="00FD734B"/>
    <w:rsid w:val="00FD7418"/>
    <w:rsid w:val="00FD7507"/>
    <w:rsid w:val="00FD758D"/>
    <w:rsid w:val="00FD7597"/>
    <w:rsid w:val="00FD75A3"/>
    <w:rsid w:val="00FD75B8"/>
    <w:rsid w:val="00FD75D9"/>
    <w:rsid w:val="00FD7664"/>
    <w:rsid w:val="00FD776A"/>
    <w:rsid w:val="00FD77A6"/>
    <w:rsid w:val="00FD77B1"/>
    <w:rsid w:val="00FD78DE"/>
    <w:rsid w:val="00FD7941"/>
    <w:rsid w:val="00FD794A"/>
    <w:rsid w:val="00FD7958"/>
    <w:rsid w:val="00FD7A2B"/>
    <w:rsid w:val="00FD7AAD"/>
    <w:rsid w:val="00FD7ACD"/>
    <w:rsid w:val="00FD7AD3"/>
    <w:rsid w:val="00FD7AF9"/>
    <w:rsid w:val="00FD7B1C"/>
    <w:rsid w:val="00FD7B3B"/>
    <w:rsid w:val="00FD7B4F"/>
    <w:rsid w:val="00FD7B57"/>
    <w:rsid w:val="00FD7B71"/>
    <w:rsid w:val="00FD7B81"/>
    <w:rsid w:val="00FD7B86"/>
    <w:rsid w:val="00FD7B88"/>
    <w:rsid w:val="00FD7BAE"/>
    <w:rsid w:val="00FD7BDC"/>
    <w:rsid w:val="00FD7BEF"/>
    <w:rsid w:val="00FD7C42"/>
    <w:rsid w:val="00FD7C49"/>
    <w:rsid w:val="00FD7CCC"/>
    <w:rsid w:val="00FD7CD8"/>
    <w:rsid w:val="00FD7D3E"/>
    <w:rsid w:val="00FD7D52"/>
    <w:rsid w:val="00FD7DB0"/>
    <w:rsid w:val="00FD7DD1"/>
    <w:rsid w:val="00FD7E14"/>
    <w:rsid w:val="00FD7E40"/>
    <w:rsid w:val="00FD7E75"/>
    <w:rsid w:val="00FD7E7F"/>
    <w:rsid w:val="00FD7EB0"/>
    <w:rsid w:val="00FD7F12"/>
    <w:rsid w:val="00FD7F18"/>
    <w:rsid w:val="00FD7F54"/>
    <w:rsid w:val="00FD7F5A"/>
    <w:rsid w:val="00FD7F6E"/>
    <w:rsid w:val="00FD7FB5"/>
    <w:rsid w:val="00FD7FBB"/>
    <w:rsid w:val="00FD7FEF"/>
    <w:rsid w:val="00FE0024"/>
    <w:rsid w:val="00FE011F"/>
    <w:rsid w:val="00FE0242"/>
    <w:rsid w:val="00FE0276"/>
    <w:rsid w:val="00FE0282"/>
    <w:rsid w:val="00FE0295"/>
    <w:rsid w:val="00FE0328"/>
    <w:rsid w:val="00FE0352"/>
    <w:rsid w:val="00FE0366"/>
    <w:rsid w:val="00FE03FF"/>
    <w:rsid w:val="00FE043F"/>
    <w:rsid w:val="00FE04BC"/>
    <w:rsid w:val="00FE04D1"/>
    <w:rsid w:val="00FE050D"/>
    <w:rsid w:val="00FE0529"/>
    <w:rsid w:val="00FE054D"/>
    <w:rsid w:val="00FE057F"/>
    <w:rsid w:val="00FE05BF"/>
    <w:rsid w:val="00FE060E"/>
    <w:rsid w:val="00FE061D"/>
    <w:rsid w:val="00FE0620"/>
    <w:rsid w:val="00FE0631"/>
    <w:rsid w:val="00FE06E3"/>
    <w:rsid w:val="00FE0718"/>
    <w:rsid w:val="00FE0792"/>
    <w:rsid w:val="00FE07DB"/>
    <w:rsid w:val="00FE0844"/>
    <w:rsid w:val="00FE087D"/>
    <w:rsid w:val="00FE094E"/>
    <w:rsid w:val="00FE09E7"/>
    <w:rsid w:val="00FE09FE"/>
    <w:rsid w:val="00FE0A38"/>
    <w:rsid w:val="00FE0B63"/>
    <w:rsid w:val="00FE0B90"/>
    <w:rsid w:val="00FE0B9E"/>
    <w:rsid w:val="00FE0BA9"/>
    <w:rsid w:val="00FE0BC8"/>
    <w:rsid w:val="00FE0BF4"/>
    <w:rsid w:val="00FE0CAD"/>
    <w:rsid w:val="00FE0D28"/>
    <w:rsid w:val="00FE0D76"/>
    <w:rsid w:val="00FE0D9A"/>
    <w:rsid w:val="00FE0DB5"/>
    <w:rsid w:val="00FE0E21"/>
    <w:rsid w:val="00FE0E26"/>
    <w:rsid w:val="00FE0E42"/>
    <w:rsid w:val="00FE0E5C"/>
    <w:rsid w:val="00FE0E93"/>
    <w:rsid w:val="00FE0ECA"/>
    <w:rsid w:val="00FE0F04"/>
    <w:rsid w:val="00FE0F38"/>
    <w:rsid w:val="00FE0F4F"/>
    <w:rsid w:val="00FE0F6C"/>
    <w:rsid w:val="00FE100C"/>
    <w:rsid w:val="00FE1023"/>
    <w:rsid w:val="00FE1041"/>
    <w:rsid w:val="00FE1042"/>
    <w:rsid w:val="00FE1043"/>
    <w:rsid w:val="00FE1086"/>
    <w:rsid w:val="00FE1089"/>
    <w:rsid w:val="00FE10AD"/>
    <w:rsid w:val="00FE10CC"/>
    <w:rsid w:val="00FE10FB"/>
    <w:rsid w:val="00FE110F"/>
    <w:rsid w:val="00FE1119"/>
    <w:rsid w:val="00FE1149"/>
    <w:rsid w:val="00FE1168"/>
    <w:rsid w:val="00FE1173"/>
    <w:rsid w:val="00FE1223"/>
    <w:rsid w:val="00FE1250"/>
    <w:rsid w:val="00FE1281"/>
    <w:rsid w:val="00FE1283"/>
    <w:rsid w:val="00FE12DF"/>
    <w:rsid w:val="00FE1308"/>
    <w:rsid w:val="00FE1310"/>
    <w:rsid w:val="00FE132A"/>
    <w:rsid w:val="00FE1386"/>
    <w:rsid w:val="00FE13B0"/>
    <w:rsid w:val="00FE13F1"/>
    <w:rsid w:val="00FE1436"/>
    <w:rsid w:val="00FE143C"/>
    <w:rsid w:val="00FE144C"/>
    <w:rsid w:val="00FE14B7"/>
    <w:rsid w:val="00FE151A"/>
    <w:rsid w:val="00FE1523"/>
    <w:rsid w:val="00FE153B"/>
    <w:rsid w:val="00FE1544"/>
    <w:rsid w:val="00FE154A"/>
    <w:rsid w:val="00FE1579"/>
    <w:rsid w:val="00FE157E"/>
    <w:rsid w:val="00FE1599"/>
    <w:rsid w:val="00FE159D"/>
    <w:rsid w:val="00FE15DA"/>
    <w:rsid w:val="00FE1619"/>
    <w:rsid w:val="00FE162A"/>
    <w:rsid w:val="00FE1692"/>
    <w:rsid w:val="00FE1709"/>
    <w:rsid w:val="00FE1745"/>
    <w:rsid w:val="00FE1782"/>
    <w:rsid w:val="00FE180B"/>
    <w:rsid w:val="00FE1889"/>
    <w:rsid w:val="00FE18B7"/>
    <w:rsid w:val="00FE18C7"/>
    <w:rsid w:val="00FE18E1"/>
    <w:rsid w:val="00FE18F1"/>
    <w:rsid w:val="00FE1904"/>
    <w:rsid w:val="00FE192F"/>
    <w:rsid w:val="00FE196E"/>
    <w:rsid w:val="00FE199C"/>
    <w:rsid w:val="00FE1A66"/>
    <w:rsid w:val="00FE1A7B"/>
    <w:rsid w:val="00FE1B5F"/>
    <w:rsid w:val="00FE1BA9"/>
    <w:rsid w:val="00FE1BC7"/>
    <w:rsid w:val="00FE1BE6"/>
    <w:rsid w:val="00FE1C3E"/>
    <w:rsid w:val="00FE1C57"/>
    <w:rsid w:val="00FE1C6A"/>
    <w:rsid w:val="00FE1C6F"/>
    <w:rsid w:val="00FE1C9F"/>
    <w:rsid w:val="00FE1CC0"/>
    <w:rsid w:val="00FE1CED"/>
    <w:rsid w:val="00FE1D96"/>
    <w:rsid w:val="00FE1E08"/>
    <w:rsid w:val="00FE1E19"/>
    <w:rsid w:val="00FE1E25"/>
    <w:rsid w:val="00FE1E2B"/>
    <w:rsid w:val="00FE1E9E"/>
    <w:rsid w:val="00FE1F20"/>
    <w:rsid w:val="00FE1F48"/>
    <w:rsid w:val="00FE207F"/>
    <w:rsid w:val="00FE20ED"/>
    <w:rsid w:val="00FE2105"/>
    <w:rsid w:val="00FE2121"/>
    <w:rsid w:val="00FE2185"/>
    <w:rsid w:val="00FE21FB"/>
    <w:rsid w:val="00FE2218"/>
    <w:rsid w:val="00FE2378"/>
    <w:rsid w:val="00FE23AA"/>
    <w:rsid w:val="00FE23B8"/>
    <w:rsid w:val="00FE2479"/>
    <w:rsid w:val="00FE24E0"/>
    <w:rsid w:val="00FE24FF"/>
    <w:rsid w:val="00FE255F"/>
    <w:rsid w:val="00FE2602"/>
    <w:rsid w:val="00FE2632"/>
    <w:rsid w:val="00FE267E"/>
    <w:rsid w:val="00FE26A0"/>
    <w:rsid w:val="00FE26F5"/>
    <w:rsid w:val="00FE2715"/>
    <w:rsid w:val="00FE271E"/>
    <w:rsid w:val="00FE27B3"/>
    <w:rsid w:val="00FE2813"/>
    <w:rsid w:val="00FE2825"/>
    <w:rsid w:val="00FE28AC"/>
    <w:rsid w:val="00FE28BB"/>
    <w:rsid w:val="00FE299D"/>
    <w:rsid w:val="00FE2A07"/>
    <w:rsid w:val="00FE2A2D"/>
    <w:rsid w:val="00FE2ADE"/>
    <w:rsid w:val="00FE2B93"/>
    <w:rsid w:val="00FE2BA8"/>
    <w:rsid w:val="00FE2BBC"/>
    <w:rsid w:val="00FE2C5D"/>
    <w:rsid w:val="00FE2C65"/>
    <w:rsid w:val="00FE2C73"/>
    <w:rsid w:val="00FE2D2B"/>
    <w:rsid w:val="00FE2E0F"/>
    <w:rsid w:val="00FE2E24"/>
    <w:rsid w:val="00FE2E6B"/>
    <w:rsid w:val="00FE2E78"/>
    <w:rsid w:val="00FE2F01"/>
    <w:rsid w:val="00FE2F3B"/>
    <w:rsid w:val="00FE2F50"/>
    <w:rsid w:val="00FE2F63"/>
    <w:rsid w:val="00FE2FC4"/>
    <w:rsid w:val="00FE3020"/>
    <w:rsid w:val="00FE30C2"/>
    <w:rsid w:val="00FE30ED"/>
    <w:rsid w:val="00FE313B"/>
    <w:rsid w:val="00FE316E"/>
    <w:rsid w:val="00FE31D1"/>
    <w:rsid w:val="00FE3210"/>
    <w:rsid w:val="00FE3256"/>
    <w:rsid w:val="00FE32F0"/>
    <w:rsid w:val="00FE33EB"/>
    <w:rsid w:val="00FE3472"/>
    <w:rsid w:val="00FE34CD"/>
    <w:rsid w:val="00FE34FB"/>
    <w:rsid w:val="00FE350F"/>
    <w:rsid w:val="00FE35CE"/>
    <w:rsid w:val="00FE35F8"/>
    <w:rsid w:val="00FE3668"/>
    <w:rsid w:val="00FE373E"/>
    <w:rsid w:val="00FE37DC"/>
    <w:rsid w:val="00FE37FD"/>
    <w:rsid w:val="00FE384B"/>
    <w:rsid w:val="00FE385B"/>
    <w:rsid w:val="00FE38CB"/>
    <w:rsid w:val="00FE38DD"/>
    <w:rsid w:val="00FE38E2"/>
    <w:rsid w:val="00FE38F8"/>
    <w:rsid w:val="00FE3AAD"/>
    <w:rsid w:val="00FE3ABF"/>
    <w:rsid w:val="00FE3AC0"/>
    <w:rsid w:val="00FE3AD4"/>
    <w:rsid w:val="00FE3B77"/>
    <w:rsid w:val="00FE3BC7"/>
    <w:rsid w:val="00FE3C44"/>
    <w:rsid w:val="00FE3C94"/>
    <w:rsid w:val="00FE3D48"/>
    <w:rsid w:val="00FE3DD8"/>
    <w:rsid w:val="00FE3E68"/>
    <w:rsid w:val="00FE3F0C"/>
    <w:rsid w:val="00FE4038"/>
    <w:rsid w:val="00FE40D7"/>
    <w:rsid w:val="00FE414D"/>
    <w:rsid w:val="00FE41E3"/>
    <w:rsid w:val="00FE4204"/>
    <w:rsid w:val="00FE4254"/>
    <w:rsid w:val="00FE425E"/>
    <w:rsid w:val="00FE4277"/>
    <w:rsid w:val="00FE4290"/>
    <w:rsid w:val="00FE42C4"/>
    <w:rsid w:val="00FE430E"/>
    <w:rsid w:val="00FE439E"/>
    <w:rsid w:val="00FE4493"/>
    <w:rsid w:val="00FE44A5"/>
    <w:rsid w:val="00FE44E6"/>
    <w:rsid w:val="00FE44EC"/>
    <w:rsid w:val="00FE4551"/>
    <w:rsid w:val="00FE4583"/>
    <w:rsid w:val="00FE4620"/>
    <w:rsid w:val="00FE4658"/>
    <w:rsid w:val="00FE466A"/>
    <w:rsid w:val="00FE4689"/>
    <w:rsid w:val="00FE469F"/>
    <w:rsid w:val="00FE46A5"/>
    <w:rsid w:val="00FE470A"/>
    <w:rsid w:val="00FE47FA"/>
    <w:rsid w:val="00FE4877"/>
    <w:rsid w:val="00FE48C0"/>
    <w:rsid w:val="00FE4932"/>
    <w:rsid w:val="00FE4935"/>
    <w:rsid w:val="00FE499F"/>
    <w:rsid w:val="00FE49A1"/>
    <w:rsid w:val="00FE4A17"/>
    <w:rsid w:val="00FE4A60"/>
    <w:rsid w:val="00FE4A67"/>
    <w:rsid w:val="00FE4A6B"/>
    <w:rsid w:val="00FE4AA6"/>
    <w:rsid w:val="00FE4B06"/>
    <w:rsid w:val="00FE4B26"/>
    <w:rsid w:val="00FE4B96"/>
    <w:rsid w:val="00FE4BB7"/>
    <w:rsid w:val="00FE4C9E"/>
    <w:rsid w:val="00FE4CA9"/>
    <w:rsid w:val="00FE4CE5"/>
    <w:rsid w:val="00FE4E09"/>
    <w:rsid w:val="00FE4EEF"/>
    <w:rsid w:val="00FE4F2B"/>
    <w:rsid w:val="00FE4F76"/>
    <w:rsid w:val="00FE4F92"/>
    <w:rsid w:val="00FE5020"/>
    <w:rsid w:val="00FE5026"/>
    <w:rsid w:val="00FE5075"/>
    <w:rsid w:val="00FE5087"/>
    <w:rsid w:val="00FE50F4"/>
    <w:rsid w:val="00FE5106"/>
    <w:rsid w:val="00FE5150"/>
    <w:rsid w:val="00FE5172"/>
    <w:rsid w:val="00FE5182"/>
    <w:rsid w:val="00FE51B9"/>
    <w:rsid w:val="00FE52F0"/>
    <w:rsid w:val="00FE532F"/>
    <w:rsid w:val="00FE5330"/>
    <w:rsid w:val="00FE535F"/>
    <w:rsid w:val="00FE5389"/>
    <w:rsid w:val="00FE53A1"/>
    <w:rsid w:val="00FE53CE"/>
    <w:rsid w:val="00FE54D4"/>
    <w:rsid w:val="00FE551D"/>
    <w:rsid w:val="00FE5547"/>
    <w:rsid w:val="00FE5591"/>
    <w:rsid w:val="00FE55E1"/>
    <w:rsid w:val="00FE5606"/>
    <w:rsid w:val="00FE561F"/>
    <w:rsid w:val="00FE564B"/>
    <w:rsid w:val="00FE566B"/>
    <w:rsid w:val="00FE567E"/>
    <w:rsid w:val="00FE56D0"/>
    <w:rsid w:val="00FE5702"/>
    <w:rsid w:val="00FE5736"/>
    <w:rsid w:val="00FE5751"/>
    <w:rsid w:val="00FE5790"/>
    <w:rsid w:val="00FE579B"/>
    <w:rsid w:val="00FE581E"/>
    <w:rsid w:val="00FE5865"/>
    <w:rsid w:val="00FE58DB"/>
    <w:rsid w:val="00FE5919"/>
    <w:rsid w:val="00FE5927"/>
    <w:rsid w:val="00FE5965"/>
    <w:rsid w:val="00FE59AA"/>
    <w:rsid w:val="00FE5AAD"/>
    <w:rsid w:val="00FE5AB1"/>
    <w:rsid w:val="00FE5B50"/>
    <w:rsid w:val="00FE5B64"/>
    <w:rsid w:val="00FE5BE6"/>
    <w:rsid w:val="00FE5C27"/>
    <w:rsid w:val="00FE5C6E"/>
    <w:rsid w:val="00FE5D48"/>
    <w:rsid w:val="00FE5DC2"/>
    <w:rsid w:val="00FE5DDB"/>
    <w:rsid w:val="00FE5DE8"/>
    <w:rsid w:val="00FE5E01"/>
    <w:rsid w:val="00FE5E37"/>
    <w:rsid w:val="00FE5E38"/>
    <w:rsid w:val="00FE5E84"/>
    <w:rsid w:val="00FE5F13"/>
    <w:rsid w:val="00FE5F46"/>
    <w:rsid w:val="00FE605F"/>
    <w:rsid w:val="00FE607C"/>
    <w:rsid w:val="00FE60AB"/>
    <w:rsid w:val="00FE6164"/>
    <w:rsid w:val="00FE6170"/>
    <w:rsid w:val="00FE6185"/>
    <w:rsid w:val="00FE61EF"/>
    <w:rsid w:val="00FE624C"/>
    <w:rsid w:val="00FE625F"/>
    <w:rsid w:val="00FE6282"/>
    <w:rsid w:val="00FE6376"/>
    <w:rsid w:val="00FE63F9"/>
    <w:rsid w:val="00FE641F"/>
    <w:rsid w:val="00FE6450"/>
    <w:rsid w:val="00FE6460"/>
    <w:rsid w:val="00FE6480"/>
    <w:rsid w:val="00FE657B"/>
    <w:rsid w:val="00FE6597"/>
    <w:rsid w:val="00FE65C5"/>
    <w:rsid w:val="00FE66B2"/>
    <w:rsid w:val="00FE66C1"/>
    <w:rsid w:val="00FE66E8"/>
    <w:rsid w:val="00FE66F7"/>
    <w:rsid w:val="00FE6771"/>
    <w:rsid w:val="00FE6783"/>
    <w:rsid w:val="00FE67D4"/>
    <w:rsid w:val="00FE687A"/>
    <w:rsid w:val="00FE68E1"/>
    <w:rsid w:val="00FE6930"/>
    <w:rsid w:val="00FE6A1B"/>
    <w:rsid w:val="00FE6A2C"/>
    <w:rsid w:val="00FE6A4C"/>
    <w:rsid w:val="00FE6AB2"/>
    <w:rsid w:val="00FE6B70"/>
    <w:rsid w:val="00FE6C58"/>
    <w:rsid w:val="00FE6C76"/>
    <w:rsid w:val="00FE6CA0"/>
    <w:rsid w:val="00FE6CB2"/>
    <w:rsid w:val="00FE6CED"/>
    <w:rsid w:val="00FE6D06"/>
    <w:rsid w:val="00FE6D59"/>
    <w:rsid w:val="00FE6DCD"/>
    <w:rsid w:val="00FE6E90"/>
    <w:rsid w:val="00FE6EE4"/>
    <w:rsid w:val="00FE6EE5"/>
    <w:rsid w:val="00FE6F09"/>
    <w:rsid w:val="00FE6F14"/>
    <w:rsid w:val="00FE7114"/>
    <w:rsid w:val="00FE711E"/>
    <w:rsid w:val="00FE715E"/>
    <w:rsid w:val="00FE71DF"/>
    <w:rsid w:val="00FE7217"/>
    <w:rsid w:val="00FE72D0"/>
    <w:rsid w:val="00FE733F"/>
    <w:rsid w:val="00FE73E0"/>
    <w:rsid w:val="00FE74D3"/>
    <w:rsid w:val="00FE750D"/>
    <w:rsid w:val="00FE758A"/>
    <w:rsid w:val="00FE7656"/>
    <w:rsid w:val="00FE76AD"/>
    <w:rsid w:val="00FE770F"/>
    <w:rsid w:val="00FE778D"/>
    <w:rsid w:val="00FE7793"/>
    <w:rsid w:val="00FE77D9"/>
    <w:rsid w:val="00FE77DE"/>
    <w:rsid w:val="00FE787A"/>
    <w:rsid w:val="00FE78A6"/>
    <w:rsid w:val="00FE78D0"/>
    <w:rsid w:val="00FE78E1"/>
    <w:rsid w:val="00FE79B5"/>
    <w:rsid w:val="00FE79DF"/>
    <w:rsid w:val="00FE7AE7"/>
    <w:rsid w:val="00FE7B33"/>
    <w:rsid w:val="00FE7B35"/>
    <w:rsid w:val="00FE7B3C"/>
    <w:rsid w:val="00FE7C23"/>
    <w:rsid w:val="00FE7C3F"/>
    <w:rsid w:val="00FE7C5E"/>
    <w:rsid w:val="00FE7C62"/>
    <w:rsid w:val="00FE7C6C"/>
    <w:rsid w:val="00FE7CD4"/>
    <w:rsid w:val="00FE7CFB"/>
    <w:rsid w:val="00FE7D4F"/>
    <w:rsid w:val="00FE7D9D"/>
    <w:rsid w:val="00FE7DC3"/>
    <w:rsid w:val="00FE7DE2"/>
    <w:rsid w:val="00FE7E4C"/>
    <w:rsid w:val="00FE7EA1"/>
    <w:rsid w:val="00FE7EB7"/>
    <w:rsid w:val="00FE7EC9"/>
    <w:rsid w:val="00FE7FD0"/>
    <w:rsid w:val="00FF011F"/>
    <w:rsid w:val="00FF0147"/>
    <w:rsid w:val="00FF0165"/>
    <w:rsid w:val="00FF017F"/>
    <w:rsid w:val="00FF01A8"/>
    <w:rsid w:val="00FF01B7"/>
    <w:rsid w:val="00FF01D2"/>
    <w:rsid w:val="00FF0224"/>
    <w:rsid w:val="00FF0227"/>
    <w:rsid w:val="00FF02AA"/>
    <w:rsid w:val="00FF02EC"/>
    <w:rsid w:val="00FF034A"/>
    <w:rsid w:val="00FF0368"/>
    <w:rsid w:val="00FF039E"/>
    <w:rsid w:val="00FF044C"/>
    <w:rsid w:val="00FF0470"/>
    <w:rsid w:val="00FF04AD"/>
    <w:rsid w:val="00FF04BA"/>
    <w:rsid w:val="00FF04CE"/>
    <w:rsid w:val="00FF04E7"/>
    <w:rsid w:val="00FF04ED"/>
    <w:rsid w:val="00FF0681"/>
    <w:rsid w:val="00FF0703"/>
    <w:rsid w:val="00FF0778"/>
    <w:rsid w:val="00FF077F"/>
    <w:rsid w:val="00FF08AB"/>
    <w:rsid w:val="00FF0920"/>
    <w:rsid w:val="00FF0985"/>
    <w:rsid w:val="00FF098A"/>
    <w:rsid w:val="00FF0A9C"/>
    <w:rsid w:val="00FF0AB2"/>
    <w:rsid w:val="00FF0ACA"/>
    <w:rsid w:val="00FF0B38"/>
    <w:rsid w:val="00FF0B66"/>
    <w:rsid w:val="00FF0BCA"/>
    <w:rsid w:val="00FF0C6A"/>
    <w:rsid w:val="00FF0C6B"/>
    <w:rsid w:val="00FF0CE5"/>
    <w:rsid w:val="00FF0CF4"/>
    <w:rsid w:val="00FF0D40"/>
    <w:rsid w:val="00FF0DCA"/>
    <w:rsid w:val="00FF0DD2"/>
    <w:rsid w:val="00FF0DD9"/>
    <w:rsid w:val="00FF0DED"/>
    <w:rsid w:val="00FF0DF2"/>
    <w:rsid w:val="00FF0E5C"/>
    <w:rsid w:val="00FF0E7C"/>
    <w:rsid w:val="00FF0E92"/>
    <w:rsid w:val="00FF0EF5"/>
    <w:rsid w:val="00FF0F1F"/>
    <w:rsid w:val="00FF0F5B"/>
    <w:rsid w:val="00FF0F82"/>
    <w:rsid w:val="00FF0F83"/>
    <w:rsid w:val="00FF0F90"/>
    <w:rsid w:val="00FF0FDE"/>
    <w:rsid w:val="00FF1079"/>
    <w:rsid w:val="00FF10E0"/>
    <w:rsid w:val="00FF1158"/>
    <w:rsid w:val="00FF119F"/>
    <w:rsid w:val="00FF11C7"/>
    <w:rsid w:val="00FF11E3"/>
    <w:rsid w:val="00FF131A"/>
    <w:rsid w:val="00FF13AC"/>
    <w:rsid w:val="00FF1420"/>
    <w:rsid w:val="00FF1422"/>
    <w:rsid w:val="00FF147B"/>
    <w:rsid w:val="00FF1480"/>
    <w:rsid w:val="00FF14D2"/>
    <w:rsid w:val="00FF1567"/>
    <w:rsid w:val="00FF161B"/>
    <w:rsid w:val="00FF164B"/>
    <w:rsid w:val="00FF16C2"/>
    <w:rsid w:val="00FF16C9"/>
    <w:rsid w:val="00FF16EC"/>
    <w:rsid w:val="00FF1735"/>
    <w:rsid w:val="00FF174A"/>
    <w:rsid w:val="00FF178F"/>
    <w:rsid w:val="00FF189E"/>
    <w:rsid w:val="00FF195C"/>
    <w:rsid w:val="00FF1995"/>
    <w:rsid w:val="00FF19F5"/>
    <w:rsid w:val="00FF1A2F"/>
    <w:rsid w:val="00FF1A37"/>
    <w:rsid w:val="00FF1AB7"/>
    <w:rsid w:val="00FF1AE1"/>
    <w:rsid w:val="00FF1B3A"/>
    <w:rsid w:val="00FF1B42"/>
    <w:rsid w:val="00FF1B63"/>
    <w:rsid w:val="00FF1B90"/>
    <w:rsid w:val="00FF1BFB"/>
    <w:rsid w:val="00FF1C3E"/>
    <w:rsid w:val="00FF1C4D"/>
    <w:rsid w:val="00FF1CA1"/>
    <w:rsid w:val="00FF1D45"/>
    <w:rsid w:val="00FF1D5B"/>
    <w:rsid w:val="00FF1D68"/>
    <w:rsid w:val="00FF1D7E"/>
    <w:rsid w:val="00FF1E01"/>
    <w:rsid w:val="00FF1E39"/>
    <w:rsid w:val="00FF1EB4"/>
    <w:rsid w:val="00FF1F2E"/>
    <w:rsid w:val="00FF1F86"/>
    <w:rsid w:val="00FF1FAA"/>
    <w:rsid w:val="00FF1FCB"/>
    <w:rsid w:val="00FF1FF7"/>
    <w:rsid w:val="00FF2106"/>
    <w:rsid w:val="00FF2122"/>
    <w:rsid w:val="00FF2133"/>
    <w:rsid w:val="00FF215A"/>
    <w:rsid w:val="00FF2162"/>
    <w:rsid w:val="00FF21AC"/>
    <w:rsid w:val="00FF2230"/>
    <w:rsid w:val="00FF225F"/>
    <w:rsid w:val="00FF22D2"/>
    <w:rsid w:val="00FF238E"/>
    <w:rsid w:val="00FF23C1"/>
    <w:rsid w:val="00FF2492"/>
    <w:rsid w:val="00FF24FE"/>
    <w:rsid w:val="00FF25B7"/>
    <w:rsid w:val="00FF261B"/>
    <w:rsid w:val="00FF2623"/>
    <w:rsid w:val="00FF26B5"/>
    <w:rsid w:val="00FF26C2"/>
    <w:rsid w:val="00FF270C"/>
    <w:rsid w:val="00FF2750"/>
    <w:rsid w:val="00FF28A4"/>
    <w:rsid w:val="00FF28B5"/>
    <w:rsid w:val="00FF2911"/>
    <w:rsid w:val="00FF2963"/>
    <w:rsid w:val="00FF29D5"/>
    <w:rsid w:val="00FF2A03"/>
    <w:rsid w:val="00FF2AC0"/>
    <w:rsid w:val="00FF2ACF"/>
    <w:rsid w:val="00FF2B14"/>
    <w:rsid w:val="00FF2B54"/>
    <w:rsid w:val="00FF2B95"/>
    <w:rsid w:val="00FF2BA2"/>
    <w:rsid w:val="00FF2BBE"/>
    <w:rsid w:val="00FF2C12"/>
    <w:rsid w:val="00FF2C72"/>
    <w:rsid w:val="00FF2CBA"/>
    <w:rsid w:val="00FF2CBE"/>
    <w:rsid w:val="00FF2DBA"/>
    <w:rsid w:val="00FF2DCA"/>
    <w:rsid w:val="00FF2DF4"/>
    <w:rsid w:val="00FF2E6A"/>
    <w:rsid w:val="00FF2E6F"/>
    <w:rsid w:val="00FF2E72"/>
    <w:rsid w:val="00FF2E8C"/>
    <w:rsid w:val="00FF2EA8"/>
    <w:rsid w:val="00FF2EC0"/>
    <w:rsid w:val="00FF2EC7"/>
    <w:rsid w:val="00FF2EE1"/>
    <w:rsid w:val="00FF2EF7"/>
    <w:rsid w:val="00FF2F0C"/>
    <w:rsid w:val="00FF2F30"/>
    <w:rsid w:val="00FF2F8C"/>
    <w:rsid w:val="00FF2FBA"/>
    <w:rsid w:val="00FF2FDA"/>
    <w:rsid w:val="00FF30EF"/>
    <w:rsid w:val="00FF30FC"/>
    <w:rsid w:val="00FF31AC"/>
    <w:rsid w:val="00FF31D8"/>
    <w:rsid w:val="00FF31EE"/>
    <w:rsid w:val="00FF320D"/>
    <w:rsid w:val="00FF32A6"/>
    <w:rsid w:val="00FF32AB"/>
    <w:rsid w:val="00FF32D0"/>
    <w:rsid w:val="00FF330C"/>
    <w:rsid w:val="00FF3313"/>
    <w:rsid w:val="00FF333F"/>
    <w:rsid w:val="00FF3345"/>
    <w:rsid w:val="00FF336E"/>
    <w:rsid w:val="00FF3417"/>
    <w:rsid w:val="00FF3419"/>
    <w:rsid w:val="00FF3472"/>
    <w:rsid w:val="00FF3488"/>
    <w:rsid w:val="00FF34AA"/>
    <w:rsid w:val="00FF34BF"/>
    <w:rsid w:val="00FF34C1"/>
    <w:rsid w:val="00FF34CA"/>
    <w:rsid w:val="00FF359C"/>
    <w:rsid w:val="00FF359F"/>
    <w:rsid w:val="00FF35E9"/>
    <w:rsid w:val="00FF3670"/>
    <w:rsid w:val="00FF3676"/>
    <w:rsid w:val="00FF36E9"/>
    <w:rsid w:val="00FF3792"/>
    <w:rsid w:val="00FF3795"/>
    <w:rsid w:val="00FF3796"/>
    <w:rsid w:val="00FF37C2"/>
    <w:rsid w:val="00FF37D9"/>
    <w:rsid w:val="00FF37EE"/>
    <w:rsid w:val="00FF3871"/>
    <w:rsid w:val="00FF38BD"/>
    <w:rsid w:val="00FF38E8"/>
    <w:rsid w:val="00FF3941"/>
    <w:rsid w:val="00FF3C54"/>
    <w:rsid w:val="00FF3CA5"/>
    <w:rsid w:val="00FF3D51"/>
    <w:rsid w:val="00FF3DA1"/>
    <w:rsid w:val="00FF3DEC"/>
    <w:rsid w:val="00FF3E51"/>
    <w:rsid w:val="00FF3EC4"/>
    <w:rsid w:val="00FF3EC9"/>
    <w:rsid w:val="00FF3F07"/>
    <w:rsid w:val="00FF3F44"/>
    <w:rsid w:val="00FF3F94"/>
    <w:rsid w:val="00FF3FFA"/>
    <w:rsid w:val="00FF401B"/>
    <w:rsid w:val="00FF407E"/>
    <w:rsid w:val="00FF4090"/>
    <w:rsid w:val="00FF40B6"/>
    <w:rsid w:val="00FF40BA"/>
    <w:rsid w:val="00FF4151"/>
    <w:rsid w:val="00FF4184"/>
    <w:rsid w:val="00FF41A7"/>
    <w:rsid w:val="00FF41B2"/>
    <w:rsid w:val="00FF41CA"/>
    <w:rsid w:val="00FF42A6"/>
    <w:rsid w:val="00FF42F4"/>
    <w:rsid w:val="00FF4345"/>
    <w:rsid w:val="00FF4355"/>
    <w:rsid w:val="00FF435A"/>
    <w:rsid w:val="00FF43A9"/>
    <w:rsid w:val="00FF441C"/>
    <w:rsid w:val="00FF44AE"/>
    <w:rsid w:val="00FF44BF"/>
    <w:rsid w:val="00FF44EE"/>
    <w:rsid w:val="00FF4517"/>
    <w:rsid w:val="00FF4583"/>
    <w:rsid w:val="00FF45D2"/>
    <w:rsid w:val="00FF465D"/>
    <w:rsid w:val="00FF4660"/>
    <w:rsid w:val="00FF4757"/>
    <w:rsid w:val="00FF475B"/>
    <w:rsid w:val="00FF4781"/>
    <w:rsid w:val="00FF47D6"/>
    <w:rsid w:val="00FF47FD"/>
    <w:rsid w:val="00FF48E1"/>
    <w:rsid w:val="00FF494B"/>
    <w:rsid w:val="00FF4984"/>
    <w:rsid w:val="00FF49E0"/>
    <w:rsid w:val="00FF4A22"/>
    <w:rsid w:val="00FF4A6C"/>
    <w:rsid w:val="00FF4AEA"/>
    <w:rsid w:val="00FF4B27"/>
    <w:rsid w:val="00FF4B86"/>
    <w:rsid w:val="00FF4BAB"/>
    <w:rsid w:val="00FF4BBB"/>
    <w:rsid w:val="00FF4BD1"/>
    <w:rsid w:val="00FF4BF0"/>
    <w:rsid w:val="00FF4C02"/>
    <w:rsid w:val="00FF4C2C"/>
    <w:rsid w:val="00FF4C5E"/>
    <w:rsid w:val="00FF4C75"/>
    <w:rsid w:val="00FF4C7C"/>
    <w:rsid w:val="00FF4C98"/>
    <w:rsid w:val="00FF4DF2"/>
    <w:rsid w:val="00FF4E06"/>
    <w:rsid w:val="00FF4E1D"/>
    <w:rsid w:val="00FF4EFC"/>
    <w:rsid w:val="00FF4F1F"/>
    <w:rsid w:val="00FF4F25"/>
    <w:rsid w:val="00FF4F39"/>
    <w:rsid w:val="00FF4F9C"/>
    <w:rsid w:val="00FF5003"/>
    <w:rsid w:val="00FF501F"/>
    <w:rsid w:val="00FF5030"/>
    <w:rsid w:val="00FF505B"/>
    <w:rsid w:val="00FF50D0"/>
    <w:rsid w:val="00FF50DF"/>
    <w:rsid w:val="00FF50FA"/>
    <w:rsid w:val="00FF511F"/>
    <w:rsid w:val="00FF5160"/>
    <w:rsid w:val="00FF5195"/>
    <w:rsid w:val="00FF51C8"/>
    <w:rsid w:val="00FF5279"/>
    <w:rsid w:val="00FF52DA"/>
    <w:rsid w:val="00FF52F8"/>
    <w:rsid w:val="00FF5317"/>
    <w:rsid w:val="00FF532C"/>
    <w:rsid w:val="00FF5411"/>
    <w:rsid w:val="00FF5412"/>
    <w:rsid w:val="00FF5448"/>
    <w:rsid w:val="00FF5476"/>
    <w:rsid w:val="00FF54FE"/>
    <w:rsid w:val="00FF5523"/>
    <w:rsid w:val="00FF553F"/>
    <w:rsid w:val="00FF5545"/>
    <w:rsid w:val="00FF55D3"/>
    <w:rsid w:val="00FF55DD"/>
    <w:rsid w:val="00FF55F8"/>
    <w:rsid w:val="00FF564E"/>
    <w:rsid w:val="00FF568D"/>
    <w:rsid w:val="00FF5750"/>
    <w:rsid w:val="00FF5778"/>
    <w:rsid w:val="00FF57A2"/>
    <w:rsid w:val="00FF5831"/>
    <w:rsid w:val="00FF5886"/>
    <w:rsid w:val="00FF58C9"/>
    <w:rsid w:val="00FF5944"/>
    <w:rsid w:val="00FF595E"/>
    <w:rsid w:val="00FF5A47"/>
    <w:rsid w:val="00FF5A73"/>
    <w:rsid w:val="00FF5B95"/>
    <w:rsid w:val="00FF5BF1"/>
    <w:rsid w:val="00FF5D1F"/>
    <w:rsid w:val="00FF5D57"/>
    <w:rsid w:val="00FF5D97"/>
    <w:rsid w:val="00FF5DC2"/>
    <w:rsid w:val="00FF5DF2"/>
    <w:rsid w:val="00FF5E19"/>
    <w:rsid w:val="00FF5EF8"/>
    <w:rsid w:val="00FF5F85"/>
    <w:rsid w:val="00FF5FA2"/>
    <w:rsid w:val="00FF5FC0"/>
    <w:rsid w:val="00FF6079"/>
    <w:rsid w:val="00FF60A9"/>
    <w:rsid w:val="00FF6300"/>
    <w:rsid w:val="00FF63C6"/>
    <w:rsid w:val="00FF6435"/>
    <w:rsid w:val="00FF6448"/>
    <w:rsid w:val="00FF6494"/>
    <w:rsid w:val="00FF64A2"/>
    <w:rsid w:val="00FF64BA"/>
    <w:rsid w:val="00FF64BB"/>
    <w:rsid w:val="00FF6522"/>
    <w:rsid w:val="00FF656B"/>
    <w:rsid w:val="00FF6596"/>
    <w:rsid w:val="00FF65BF"/>
    <w:rsid w:val="00FF65D2"/>
    <w:rsid w:val="00FF668F"/>
    <w:rsid w:val="00FF6694"/>
    <w:rsid w:val="00FF66CA"/>
    <w:rsid w:val="00FF6746"/>
    <w:rsid w:val="00FF6763"/>
    <w:rsid w:val="00FF6770"/>
    <w:rsid w:val="00FF6777"/>
    <w:rsid w:val="00FF67A7"/>
    <w:rsid w:val="00FF6822"/>
    <w:rsid w:val="00FF687D"/>
    <w:rsid w:val="00FF689A"/>
    <w:rsid w:val="00FF6920"/>
    <w:rsid w:val="00FF69A1"/>
    <w:rsid w:val="00FF69A4"/>
    <w:rsid w:val="00FF69D6"/>
    <w:rsid w:val="00FF6A7D"/>
    <w:rsid w:val="00FF6AD1"/>
    <w:rsid w:val="00FF6B80"/>
    <w:rsid w:val="00FF6BBC"/>
    <w:rsid w:val="00FF6BF1"/>
    <w:rsid w:val="00FF6C05"/>
    <w:rsid w:val="00FF6C06"/>
    <w:rsid w:val="00FF6C0B"/>
    <w:rsid w:val="00FF6CB1"/>
    <w:rsid w:val="00FF6CEB"/>
    <w:rsid w:val="00FF6D1A"/>
    <w:rsid w:val="00FF6D53"/>
    <w:rsid w:val="00FF6D6F"/>
    <w:rsid w:val="00FF6DB0"/>
    <w:rsid w:val="00FF6E33"/>
    <w:rsid w:val="00FF6E81"/>
    <w:rsid w:val="00FF6E8D"/>
    <w:rsid w:val="00FF6E9F"/>
    <w:rsid w:val="00FF6EB5"/>
    <w:rsid w:val="00FF6F30"/>
    <w:rsid w:val="00FF6F51"/>
    <w:rsid w:val="00FF6F55"/>
    <w:rsid w:val="00FF6F7F"/>
    <w:rsid w:val="00FF6F94"/>
    <w:rsid w:val="00FF6FB0"/>
    <w:rsid w:val="00FF6FD6"/>
    <w:rsid w:val="00FF7029"/>
    <w:rsid w:val="00FF709A"/>
    <w:rsid w:val="00FF70A7"/>
    <w:rsid w:val="00FF70E3"/>
    <w:rsid w:val="00FF70F1"/>
    <w:rsid w:val="00FF7110"/>
    <w:rsid w:val="00FF7187"/>
    <w:rsid w:val="00FF718D"/>
    <w:rsid w:val="00FF71AB"/>
    <w:rsid w:val="00FF722E"/>
    <w:rsid w:val="00FF7244"/>
    <w:rsid w:val="00FF7292"/>
    <w:rsid w:val="00FF72C7"/>
    <w:rsid w:val="00FF730C"/>
    <w:rsid w:val="00FF7312"/>
    <w:rsid w:val="00FF7315"/>
    <w:rsid w:val="00FF7320"/>
    <w:rsid w:val="00FF732C"/>
    <w:rsid w:val="00FF7343"/>
    <w:rsid w:val="00FF7369"/>
    <w:rsid w:val="00FF736F"/>
    <w:rsid w:val="00FF73A1"/>
    <w:rsid w:val="00FF73C8"/>
    <w:rsid w:val="00FF7400"/>
    <w:rsid w:val="00FF74B4"/>
    <w:rsid w:val="00FF74E0"/>
    <w:rsid w:val="00FF74E9"/>
    <w:rsid w:val="00FF7506"/>
    <w:rsid w:val="00FF7534"/>
    <w:rsid w:val="00FF7566"/>
    <w:rsid w:val="00FF7571"/>
    <w:rsid w:val="00FF759B"/>
    <w:rsid w:val="00FF75DF"/>
    <w:rsid w:val="00FF7617"/>
    <w:rsid w:val="00FF767F"/>
    <w:rsid w:val="00FF769E"/>
    <w:rsid w:val="00FF76E3"/>
    <w:rsid w:val="00FF76E8"/>
    <w:rsid w:val="00FF775C"/>
    <w:rsid w:val="00FF7767"/>
    <w:rsid w:val="00FF7770"/>
    <w:rsid w:val="00FF777C"/>
    <w:rsid w:val="00FF778C"/>
    <w:rsid w:val="00FF7795"/>
    <w:rsid w:val="00FF77CF"/>
    <w:rsid w:val="00FF7816"/>
    <w:rsid w:val="00FF7839"/>
    <w:rsid w:val="00FF7893"/>
    <w:rsid w:val="00FF79BB"/>
    <w:rsid w:val="00FF7A55"/>
    <w:rsid w:val="00FF7A6B"/>
    <w:rsid w:val="00FF7A6C"/>
    <w:rsid w:val="00FF7A6E"/>
    <w:rsid w:val="00FF7A80"/>
    <w:rsid w:val="00FF7B3F"/>
    <w:rsid w:val="00FF7B4B"/>
    <w:rsid w:val="00FF7B51"/>
    <w:rsid w:val="00FF7B73"/>
    <w:rsid w:val="00FF7B7F"/>
    <w:rsid w:val="00FF7BA5"/>
    <w:rsid w:val="00FF7C18"/>
    <w:rsid w:val="00FF7CF0"/>
    <w:rsid w:val="00FF7D01"/>
    <w:rsid w:val="00FF7D62"/>
    <w:rsid w:val="00FF7D8C"/>
    <w:rsid w:val="00FF7DA7"/>
    <w:rsid w:val="00FF7E31"/>
    <w:rsid w:val="00FF7E5D"/>
    <w:rsid w:val="00FF7E65"/>
    <w:rsid w:val="00FF7E66"/>
    <w:rsid w:val="00FF7E9D"/>
    <w:rsid w:val="00FF7ED8"/>
    <w:rsid w:val="00FF7EF7"/>
    <w:rsid w:val="00FF7F8C"/>
    <w:rsid w:val="00FF7F9D"/>
    <w:rsid w:val="00FF7FA1"/>
    <w:rsid w:val="017041FF"/>
    <w:rsid w:val="019BBFDA"/>
    <w:rsid w:val="01CA66BD"/>
    <w:rsid w:val="01D24B4A"/>
    <w:rsid w:val="023E7C5C"/>
    <w:rsid w:val="02A5767D"/>
    <w:rsid w:val="02B4DF1C"/>
    <w:rsid w:val="03AD3099"/>
    <w:rsid w:val="03CF4FBA"/>
    <w:rsid w:val="03EC7333"/>
    <w:rsid w:val="03F53BA8"/>
    <w:rsid w:val="04051FC5"/>
    <w:rsid w:val="0418DAB2"/>
    <w:rsid w:val="043C1662"/>
    <w:rsid w:val="046C8E0E"/>
    <w:rsid w:val="0470F365"/>
    <w:rsid w:val="0476015C"/>
    <w:rsid w:val="04A134DA"/>
    <w:rsid w:val="04D0C38D"/>
    <w:rsid w:val="05339578"/>
    <w:rsid w:val="053BA1EE"/>
    <w:rsid w:val="055801A6"/>
    <w:rsid w:val="056B6A00"/>
    <w:rsid w:val="062C098C"/>
    <w:rsid w:val="0636997A"/>
    <w:rsid w:val="066914C1"/>
    <w:rsid w:val="06DCBCBA"/>
    <w:rsid w:val="071A868D"/>
    <w:rsid w:val="07681205"/>
    <w:rsid w:val="0814CDF1"/>
    <w:rsid w:val="084EF333"/>
    <w:rsid w:val="085A1817"/>
    <w:rsid w:val="0881A545"/>
    <w:rsid w:val="08BB34C2"/>
    <w:rsid w:val="090D6384"/>
    <w:rsid w:val="096AA44E"/>
    <w:rsid w:val="09B22208"/>
    <w:rsid w:val="09D2B99C"/>
    <w:rsid w:val="09F208B6"/>
    <w:rsid w:val="0A28B861"/>
    <w:rsid w:val="0A31FAC0"/>
    <w:rsid w:val="0A3B4176"/>
    <w:rsid w:val="0A8E9760"/>
    <w:rsid w:val="0ADF8E06"/>
    <w:rsid w:val="0B11409D"/>
    <w:rsid w:val="0B453F83"/>
    <w:rsid w:val="0B996DD9"/>
    <w:rsid w:val="0BAB61D4"/>
    <w:rsid w:val="0BC0982C"/>
    <w:rsid w:val="0BC3FFDC"/>
    <w:rsid w:val="0BF46CFB"/>
    <w:rsid w:val="0C03E1BA"/>
    <w:rsid w:val="0C1F243D"/>
    <w:rsid w:val="0C3906DB"/>
    <w:rsid w:val="0C75AD81"/>
    <w:rsid w:val="0C7C368D"/>
    <w:rsid w:val="0C98C646"/>
    <w:rsid w:val="0CACBE55"/>
    <w:rsid w:val="0D253E63"/>
    <w:rsid w:val="0D3CEE11"/>
    <w:rsid w:val="0D697AB1"/>
    <w:rsid w:val="0D9F81B0"/>
    <w:rsid w:val="0DCB8EC2"/>
    <w:rsid w:val="0DCDD2F4"/>
    <w:rsid w:val="0DE14263"/>
    <w:rsid w:val="0E61FF33"/>
    <w:rsid w:val="0E6D0DA0"/>
    <w:rsid w:val="0E979CF1"/>
    <w:rsid w:val="0EA855DA"/>
    <w:rsid w:val="0EBB2A3A"/>
    <w:rsid w:val="0EC06CAC"/>
    <w:rsid w:val="0EC099FE"/>
    <w:rsid w:val="0ED30243"/>
    <w:rsid w:val="0EDE2E50"/>
    <w:rsid w:val="0FAF6219"/>
    <w:rsid w:val="0FBD6C58"/>
    <w:rsid w:val="1070536B"/>
    <w:rsid w:val="10708F06"/>
    <w:rsid w:val="1090A01E"/>
    <w:rsid w:val="10C34414"/>
    <w:rsid w:val="10D3D3F2"/>
    <w:rsid w:val="1171FF8E"/>
    <w:rsid w:val="117A9171"/>
    <w:rsid w:val="11A4C8A2"/>
    <w:rsid w:val="11DAC40A"/>
    <w:rsid w:val="1201F633"/>
    <w:rsid w:val="1224BD36"/>
    <w:rsid w:val="124F2AE2"/>
    <w:rsid w:val="12607BD2"/>
    <w:rsid w:val="12AA7E91"/>
    <w:rsid w:val="131ADD1C"/>
    <w:rsid w:val="138BE047"/>
    <w:rsid w:val="13C7BCA7"/>
    <w:rsid w:val="1418BD52"/>
    <w:rsid w:val="14A62A44"/>
    <w:rsid w:val="14BA9E18"/>
    <w:rsid w:val="151E47D1"/>
    <w:rsid w:val="15695CC4"/>
    <w:rsid w:val="15939D07"/>
    <w:rsid w:val="15BD2E81"/>
    <w:rsid w:val="167A7413"/>
    <w:rsid w:val="16F5CE9B"/>
    <w:rsid w:val="16FBA00E"/>
    <w:rsid w:val="176FA10B"/>
    <w:rsid w:val="178262A1"/>
    <w:rsid w:val="18657C56"/>
    <w:rsid w:val="1875F92B"/>
    <w:rsid w:val="18A22EBC"/>
    <w:rsid w:val="18CB5430"/>
    <w:rsid w:val="190F2C94"/>
    <w:rsid w:val="19284ADD"/>
    <w:rsid w:val="196C1A80"/>
    <w:rsid w:val="1985108A"/>
    <w:rsid w:val="198B6C06"/>
    <w:rsid w:val="19C82CB5"/>
    <w:rsid w:val="19E65C4C"/>
    <w:rsid w:val="19E82016"/>
    <w:rsid w:val="1A3294F9"/>
    <w:rsid w:val="1A713842"/>
    <w:rsid w:val="1B2677B4"/>
    <w:rsid w:val="1B358A22"/>
    <w:rsid w:val="1B3A3AC7"/>
    <w:rsid w:val="1B9E9ECB"/>
    <w:rsid w:val="1BA40F75"/>
    <w:rsid w:val="1C305A02"/>
    <w:rsid w:val="1C39048B"/>
    <w:rsid w:val="1C9B0D81"/>
    <w:rsid w:val="1CEE2474"/>
    <w:rsid w:val="1DB3813F"/>
    <w:rsid w:val="1DCFE585"/>
    <w:rsid w:val="1DD21A37"/>
    <w:rsid w:val="1DF87FD4"/>
    <w:rsid w:val="1E034DB5"/>
    <w:rsid w:val="1E2A6B87"/>
    <w:rsid w:val="1E2B83F2"/>
    <w:rsid w:val="1E2BBC2F"/>
    <w:rsid w:val="1E58116D"/>
    <w:rsid w:val="1E605D04"/>
    <w:rsid w:val="1E857FBF"/>
    <w:rsid w:val="1EB879EF"/>
    <w:rsid w:val="1ED29CD6"/>
    <w:rsid w:val="1EF453BB"/>
    <w:rsid w:val="1F5771F9"/>
    <w:rsid w:val="1F578C8B"/>
    <w:rsid w:val="1F59A64A"/>
    <w:rsid w:val="1F59BAF5"/>
    <w:rsid w:val="1F62030F"/>
    <w:rsid w:val="1F703A45"/>
    <w:rsid w:val="1FBF68BC"/>
    <w:rsid w:val="20037285"/>
    <w:rsid w:val="202DAA56"/>
    <w:rsid w:val="20859489"/>
    <w:rsid w:val="2089B1CE"/>
    <w:rsid w:val="20ACB755"/>
    <w:rsid w:val="20D6F177"/>
    <w:rsid w:val="20E980DF"/>
    <w:rsid w:val="212A4DCF"/>
    <w:rsid w:val="2133202E"/>
    <w:rsid w:val="2134F7C9"/>
    <w:rsid w:val="2139D102"/>
    <w:rsid w:val="2155F699"/>
    <w:rsid w:val="215B3D81"/>
    <w:rsid w:val="215D196C"/>
    <w:rsid w:val="21CEEB78"/>
    <w:rsid w:val="22428454"/>
    <w:rsid w:val="2285E6A7"/>
    <w:rsid w:val="22B15A80"/>
    <w:rsid w:val="22BC1DF3"/>
    <w:rsid w:val="22CAF8AF"/>
    <w:rsid w:val="22EAF14D"/>
    <w:rsid w:val="230A2836"/>
    <w:rsid w:val="230FD89A"/>
    <w:rsid w:val="234CD4D6"/>
    <w:rsid w:val="236D8123"/>
    <w:rsid w:val="23740616"/>
    <w:rsid w:val="23A8C8A7"/>
    <w:rsid w:val="23D163DC"/>
    <w:rsid w:val="23D2774A"/>
    <w:rsid w:val="243E983C"/>
    <w:rsid w:val="24506610"/>
    <w:rsid w:val="2547DB1E"/>
    <w:rsid w:val="257CB0D5"/>
    <w:rsid w:val="258FCFFD"/>
    <w:rsid w:val="25D5D8E9"/>
    <w:rsid w:val="25E155DD"/>
    <w:rsid w:val="261B157E"/>
    <w:rsid w:val="264A06DD"/>
    <w:rsid w:val="26507382"/>
    <w:rsid w:val="2678C736"/>
    <w:rsid w:val="26EE7222"/>
    <w:rsid w:val="26F3259E"/>
    <w:rsid w:val="26FEA980"/>
    <w:rsid w:val="270B76F2"/>
    <w:rsid w:val="2731D178"/>
    <w:rsid w:val="273F5241"/>
    <w:rsid w:val="276CD9B1"/>
    <w:rsid w:val="2771EA3A"/>
    <w:rsid w:val="279B9D0A"/>
    <w:rsid w:val="27BD1B37"/>
    <w:rsid w:val="27D50098"/>
    <w:rsid w:val="2891D86E"/>
    <w:rsid w:val="289D19F0"/>
    <w:rsid w:val="28C1D3E5"/>
    <w:rsid w:val="29224E65"/>
    <w:rsid w:val="29752E0F"/>
    <w:rsid w:val="299A3686"/>
    <w:rsid w:val="29EB3779"/>
    <w:rsid w:val="29F7DE39"/>
    <w:rsid w:val="2A0340BC"/>
    <w:rsid w:val="2A32BD53"/>
    <w:rsid w:val="2AB339DE"/>
    <w:rsid w:val="2ACEFDBE"/>
    <w:rsid w:val="2AF833AE"/>
    <w:rsid w:val="2BE6AE4D"/>
    <w:rsid w:val="2CAED842"/>
    <w:rsid w:val="2CE34E46"/>
    <w:rsid w:val="2CF74A43"/>
    <w:rsid w:val="2D02DF07"/>
    <w:rsid w:val="2D48B092"/>
    <w:rsid w:val="2D80116E"/>
    <w:rsid w:val="2D8CBDD8"/>
    <w:rsid w:val="2D8D678B"/>
    <w:rsid w:val="2DA6743E"/>
    <w:rsid w:val="2E0FC8E9"/>
    <w:rsid w:val="2E15FD69"/>
    <w:rsid w:val="2E4B2B4A"/>
    <w:rsid w:val="2F4195B1"/>
    <w:rsid w:val="30BE0785"/>
    <w:rsid w:val="310842C5"/>
    <w:rsid w:val="31084C0D"/>
    <w:rsid w:val="31194F8C"/>
    <w:rsid w:val="319959DE"/>
    <w:rsid w:val="31B25713"/>
    <w:rsid w:val="31D37B90"/>
    <w:rsid w:val="3223D87C"/>
    <w:rsid w:val="327BF88A"/>
    <w:rsid w:val="32A0482A"/>
    <w:rsid w:val="32B87597"/>
    <w:rsid w:val="32C546EE"/>
    <w:rsid w:val="3371BEC6"/>
    <w:rsid w:val="33EFCE38"/>
    <w:rsid w:val="34818257"/>
    <w:rsid w:val="34A750B5"/>
    <w:rsid w:val="34C14945"/>
    <w:rsid w:val="34D4BC2A"/>
    <w:rsid w:val="34D6FE2E"/>
    <w:rsid w:val="354D0874"/>
    <w:rsid w:val="35617F12"/>
    <w:rsid w:val="358D631A"/>
    <w:rsid w:val="35D180D2"/>
    <w:rsid w:val="36D1B56D"/>
    <w:rsid w:val="36E889C7"/>
    <w:rsid w:val="36F2548C"/>
    <w:rsid w:val="36F6B428"/>
    <w:rsid w:val="36FFA982"/>
    <w:rsid w:val="3725C062"/>
    <w:rsid w:val="37418CA5"/>
    <w:rsid w:val="37A44D77"/>
    <w:rsid w:val="37C9D41A"/>
    <w:rsid w:val="381BCDAA"/>
    <w:rsid w:val="38202921"/>
    <w:rsid w:val="38D193FA"/>
    <w:rsid w:val="39865FA7"/>
    <w:rsid w:val="39BDDDC8"/>
    <w:rsid w:val="39CAD894"/>
    <w:rsid w:val="3A045620"/>
    <w:rsid w:val="3A2612DD"/>
    <w:rsid w:val="3A33AACD"/>
    <w:rsid w:val="3A34B418"/>
    <w:rsid w:val="3A765E66"/>
    <w:rsid w:val="3A9FEE68"/>
    <w:rsid w:val="3AB142B2"/>
    <w:rsid w:val="3AD21955"/>
    <w:rsid w:val="3AF290EC"/>
    <w:rsid w:val="3B03F1BD"/>
    <w:rsid w:val="3B183ACA"/>
    <w:rsid w:val="3B9B6AB9"/>
    <w:rsid w:val="3C8CF7C6"/>
    <w:rsid w:val="3C9865A7"/>
    <w:rsid w:val="3CA3DE8F"/>
    <w:rsid w:val="3CFA14D1"/>
    <w:rsid w:val="3D6EDC9D"/>
    <w:rsid w:val="3D7D7D2A"/>
    <w:rsid w:val="3D7EB51A"/>
    <w:rsid w:val="3DA61129"/>
    <w:rsid w:val="3DAF0BB2"/>
    <w:rsid w:val="3DC9928C"/>
    <w:rsid w:val="3DF88102"/>
    <w:rsid w:val="3E47EE51"/>
    <w:rsid w:val="3E732D3D"/>
    <w:rsid w:val="3ED2F4D1"/>
    <w:rsid w:val="3ED55273"/>
    <w:rsid w:val="3EEC48C4"/>
    <w:rsid w:val="3F23C52A"/>
    <w:rsid w:val="3F44C948"/>
    <w:rsid w:val="3F4CE3C4"/>
    <w:rsid w:val="3F59FFAA"/>
    <w:rsid w:val="3F638EDD"/>
    <w:rsid w:val="3F7E436D"/>
    <w:rsid w:val="3F838FAF"/>
    <w:rsid w:val="3FC07269"/>
    <w:rsid w:val="3FDFFC1A"/>
    <w:rsid w:val="4021C5FC"/>
    <w:rsid w:val="40224C8E"/>
    <w:rsid w:val="4048B947"/>
    <w:rsid w:val="4052D68F"/>
    <w:rsid w:val="40E113AA"/>
    <w:rsid w:val="40F3A1DC"/>
    <w:rsid w:val="40FDB6B7"/>
    <w:rsid w:val="4156E877"/>
    <w:rsid w:val="417F0783"/>
    <w:rsid w:val="41A7E68A"/>
    <w:rsid w:val="41DF3067"/>
    <w:rsid w:val="41E34D88"/>
    <w:rsid w:val="41E4DC0C"/>
    <w:rsid w:val="426DDAA3"/>
    <w:rsid w:val="4279F3EA"/>
    <w:rsid w:val="42CC7B93"/>
    <w:rsid w:val="42D2ACC7"/>
    <w:rsid w:val="4301FE1C"/>
    <w:rsid w:val="435DCFE2"/>
    <w:rsid w:val="436629B7"/>
    <w:rsid w:val="43770F8C"/>
    <w:rsid w:val="43827B65"/>
    <w:rsid w:val="438B06BA"/>
    <w:rsid w:val="439ABF58"/>
    <w:rsid w:val="43D26A94"/>
    <w:rsid w:val="445CCB74"/>
    <w:rsid w:val="44679432"/>
    <w:rsid w:val="44E240A0"/>
    <w:rsid w:val="4510A396"/>
    <w:rsid w:val="45227EA7"/>
    <w:rsid w:val="453039A2"/>
    <w:rsid w:val="45322EA8"/>
    <w:rsid w:val="4537A063"/>
    <w:rsid w:val="4537D3EC"/>
    <w:rsid w:val="4546EBB9"/>
    <w:rsid w:val="45C37829"/>
    <w:rsid w:val="466927C4"/>
    <w:rsid w:val="46A08EF2"/>
    <w:rsid w:val="46BA6AFD"/>
    <w:rsid w:val="46D2D1A4"/>
    <w:rsid w:val="46D723A5"/>
    <w:rsid w:val="4720EAF4"/>
    <w:rsid w:val="472887F4"/>
    <w:rsid w:val="473F27DF"/>
    <w:rsid w:val="476334C1"/>
    <w:rsid w:val="47888A1F"/>
    <w:rsid w:val="47AFEFDD"/>
    <w:rsid w:val="48221233"/>
    <w:rsid w:val="48424069"/>
    <w:rsid w:val="4856D0A8"/>
    <w:rsid w:val="49AC5C14"/>
    <w:rsid w:val="49B32454"/>
    <w:rsid w:val="49EA7694"/>
    <w:rsid w:val="49F95BA4"/>
    <w:rsid w:val="4A0EC124"/>
    <w:rsid w:val="4A39A463"/>
    <w:rsid w:val="4B99658F"/>
    <w:rsid w:val="4B9E28F4"/>
    <w:rsid w:val="4BD52B26"/>
    <w:rsid w:val="4C45A426"/>
    <w:rsid w:val="4C6A083B"/>
    <w:rsid w:val="4C8B001D"/>
    <w:rsid w:val="4CD1DC1D"/>
    <w:rsid w:val="4D2AF786"/>
    <w:rsid w:val="4D489C97"/>
    <w:rsid w:val="4D809176"/>
    <w:rsid w:val="4D837E56"/>
    <w:rsid w:val="4DF8C8A6"/>
    <w:rsid w:val="4E662E93"/>
    <w:rsid w:val="4EAD11C2"/>
    <w:rsid w:val="4EFD97FC"/>
    <w:rsid w:val="4F12E046"/>
    <w:rsid w:val="4F997AB2"/>
    <w:rsid w:val="4FD9224A"/>
    <w:rsid w:val="50036C5E"/>
    <w:rsid w:val="503C5C76"/>
    <w:rsid w:val="505B065C"/>
    <w:rsid w:val="508F6C5B"/>
    <w:rsid w:val="50A014F8"/>
    <w:rsid w:val="50F90607"/>
    <w:rsid w:val="5160FADA"/>
    <w:rsid w:val="517B799F"/>
    <w:rsid w:val="51BA504F"/>
    <w:rsid w:val="51D8D5D2"/>
    <w:rsid w:val="520531B1"/>
    <w:rsid w:val="521CF334"/>
    <w:rsid w:val="5258307A"/>
    <w:rsid w:val="5261D468"/>
    <w:rsid w:val="52B359B1"/>
    <w:rsid w:val="52EC1B67"/>
    <w:rsid w:val="537AB27E"/>
    <w:rsid w:val="538F34CC"/>
    <w:rsid w:val="539CD51E"/>
    <w:rsid w:val="543351D1"/>
    <w:rsid w:val="5469855E"/>
    <w:rsid w:val="551BBC99"/>
    <w:rsid w:val="554573CA"/>
    <w:rsid w:val="556EFBB0"/>
    <w:rsid w:val="55778233"/>
    <w:rsid w:val="55C9A9E4"/>
    <w:rsid w:val="55CAF6C2"/>
    <w:rsid w:val="55CEF3E6"/>
    <w:rsid w:val="560DBBC5"/>
    <w:rsid w:val="56186452"/>
    <w:rsid w:val="562B616D"/>
    <w:rsid w:val="56433A78"/>
    <w:rsid w:val="56460CD7"/>
    <w:rsid w:val="566BCA31"/>
    <w:rsid w:val="56B3A5BF"/>
    <w:rsid w:val="56B65055"/>
    <w:rsid w:val="56EB1970"/>
    <w:rsid w:val="56F04B3D"/>
    <w:rsid w:val="56F26927"/>
    <w:rsid w:val="57163193"/>
    <w:rsid w:val="57ABC481"/>
    <w:rsid w:val="57AF29D2"/>
    <w:rsid w:val="57CCBD64"/>
    <w:rsid w:val="583555EB"/>
    <w:rsid w:val="58628791"/>
    <w:rsid w:val="5866B365"/>
    <w:rsid w:val="58954E5E"/>
    <w:rsid w:val="58A07EA6"/>
    <w:rsid w:val="58F35148"/>
    <w:rsid w:val="59351112"/>
    <w:rsid w:val="59AD7680"/>
    <w:rsid w:val="59CED0B8"/>
    <w:rsid w:val="59E89079"/>
    <w:rsid w:val="5A706B8C"/>
    <w:rsid w:val="5A7B58EE"/>
    <w:rsid w:val="5A8D066D"/>
    <w:rsid w:val="5ADA5C79"/>
    <w:rsid w:val="5B3DA4E3"/>
    <w:rsid w:val="5B54B7EA"/>
    <w:rsid w:val="5BB8C2A2"/>
    <w:rsid w:val="5C0624F0"/>
    <w:rsid w:val="5C125D5B"/>
    <w:rsid w:val="5C5CA9E9"/>
    <w:rsid w:val="5CFBD162"/>
    <w:rsid w:val="5D110EA7"/>
    <w:rsid w:val="5D2C98E7"/>
    <w:rsid w:val="5D4F2EFB"/>
    <w:rsid w:val="5D77558D"/>
    <w:rsid w:val="5D924986"/>
    <w:rsid w:val="5E0135B3"/>
    <w:rsid w:val="5E214A74"/>
    <w:rsid w:val="5E31F9A2"/>
    <w:rsid w:val="5E8FFDC0"/>
    <w:rsid w:val="5E9321BB"/>
    <w:rsid w:val="5E9C753E"/>
    <w:rsid w:val="5E9CDA43"/>
    <w:rsid w:val="5F420290"/>
    <w:rsid w:val="6070F91B"/>
    <w:rsid w:val="60BA260F"/>
    <w:rsid w:val="60BED44D"/>
    <w:rsid w:val="60C3B2C9"/>
    <w:rsid w:val="60E5C465"/>
    <w:rsid w:val="612C881A"/>
    <w:rsid w:val="612E194C"/>
    <w:rsid w:val="61718C0E"/>
    <w:rsid w:val="61F0DB0B"/>
    <w:rsid w:val="6209BBE1"/>
    <w:rsid w:val="620CAD81"/>
    <w:rsid w:val="62D6A80D"/>
    <w:rsid w:val="6308DDA2"/>
    <w:rsid w:val="632EDF80"/>
    <w:rsid w:val="63552824"/>
    <w:rsid w:val="6398428F"/>
    <w:rsid w:val="63B5DF66"/>
    <w:rsid w:val="63BBC6EE"/>
    <w:rsid w:val="642F8CC0"/>
    <w:rsid w:val="6453E93A"/>
    <w:rsid w:val="6463D656"/>
    <w:rsid w:val="64750100"/>
    <w:rsid w:val="64BF7EA4"/>
    <w:rsid w:val="65328B60"/>
    <w:rsid w:val="65B79845"/>
    <w:rsid w:val="65E94321"/>
    <w:rsid w:val="65ECB4D3"/>
    <w:rsid w:val="65FF7E26"/>
    <w:rsid w:val="66001674"/>
    <w:rsid w:val="660CA620"/>
    <w:rsid w:val="661FEE65"/>
    <w:rsid w:val="6622C6AC"/>
    <w:rsid w:val="665BE652"/>
    <w:rsid w:val="6661D5FB"/>
    <w:rsid w:val="668C2365"/>
    <w:rsid w:val="66A58473"/>
    <w:rsid w:val="66C7578C"/>
    <w:rsid w:val="66DF60D4"/>
    <w:rsid w:val="6769AF82"/>
    <w:rsid w:val="676B9723"/>
    <w:rsid w:val="6799D307"/>
    <w:rsid w:val="67CBAAA6"/>
    <w:rsid w:val="691F55C0"/>
    <w:rsid w:val="692726FB"/>
    <w:rsid w:val="693A88AE"/>
    <w:rsid w:val="69771680"/>
    <w:rsid w:val="69D135AC"/>
    <w:rsid w:val="69FC1E99"/>
    <w:rsid w:val="6A35078A"/>
    <w:rsid w:val="6A6B0F9A"/>
    <w:rsid w:val="6A97D5FC"/>
    <w:rsid w:val="6AB09E04"/>
    <w:rsid w:val="6AF164DF"/>
    <w:rsid w:val="6B0387C8"/>
    <w:rsid w:val="6B4F9E39"/>
    <w:rsid w:val="6B91EA8B"/>
    <w:rsid w:val="6BF8D5FB"/>
    <w:rsid w:val="6C3AAC4B"/>
    <w:rsid w:val="6C3EF972"/>
    <w:rsid w:val="6D148AE2"/>
    <w:rsid w:val="6D42517C"/>
    <w:rsid w:val="6D5080B3"/>
    <w:rsid w:val="6D8F5FF2"/>
    <w:rsid w:val="6DA8F805"/>
    <w:rsid w:val="6E1DA22D"/>
    <w:rsid w:val="6E75CCEA"/>
    <w:rsid w:val="6E7E1ECB"/>
    <w:rsid w:val="6EB8B84E"/>
    <w:rsid w:val="6EBE01BB"/>
    <w:rsid w:val="6F37DCBA"/>
    <w:rsid w:val="6F648D84"/>
    <w:rsid w:val="6FB497B6"/>
    <w:rsid w:val="6FB99786"/>
    <w:rsid w:val="6FF3C9F4"/>
    <w:rsid w:val="7092D773"/>
    <w:rsid w:val="70A1E523"/>
    <w:rsid w:val="7147C37F"/>
    <w:rsid w:val="71569B7F"/>
    <w:rsid w:val="71690EE3"/>
    <w:rsid w:val="71864E65"/>
    <w:rsid w:val="71A45D82"/>
    <w:rsid w:val="71D1C752"/>
    <w:rsid w:val="71D845CF"/>
    <w:rsid w:val="7210E76E"/>
    <w:rsid w:val="7223F73D"/>
    <w:rsid w:val="72908BC2"/>
    <w:rsid w:val="7369080F"/>
    <w:rsid w:val="738C3A2F"/>
    <w:rsid w:val="73946B1D"/>
    <w:rsid w:val="73E8050F"/>
    <w:rsid w:val="73F18C0E"/>
    <w:rsid w:val="7415EFA9"/>
    <w:rsid w:val="742130C6"/>
    <w:rsid w:val="744C84BC"/>
    <w:rsid w:val="7455151B"/>
    <w:rsid w:val="745B5B57"/>
    <w:rsid w:val="749F56E1"/>
    <w:rsid w:val="74B35A19"/>
    <w:rsid w:val="74F1CBA3"/>
    <w:rsid w:val="753A353D"/>
    <w:rsid w:val="7560DFEB"/>
    <w:rsid w:val="7605FBDE"/>
    <w:rsid w:val="76F1EBE5"/>
    <w:rsid w:val="76FE1425"/>
    <w:rsid w:val="76FE68E5"/>
    <w:rsid w:val="773961CC"/>
    <w:rsid w:val="77623DA5"/>
    <w:rsid w:val="77A9DAC3"/>
    <w:rsid w:val="77F84F63"/>
    <w:rsid w:val="78282305"/>
    <w:rsid w:val="782C135D"/>
    <w:rsid w:val="7835D01B"/>
    <w:rsid w:val="789585F2"/>
    <w:rsid w:val="78A92007"/>
    <w:rsid w:val="78B03FF0"/>
    <w:rsid w:val="78BF41EE"/>
    <w:rsid w:val="790C522E"/>
    <w:rsid w:val="79784326"/>
    <w:rsid w:val="799ACC93"/>
    <w:rsid w:val="79CD9C97"/>
    <w:rsid w:val="79DA27AF"/>
    <w:rsid w:val="7A131B96"/>
    <w:rsid w:val="7A13363C"/>
    <w:rsid w:val="7A1494F1"/>
    <w:rsid w:val="7A26AC29"/>
    <w:rsid w:val="7B207662"/>
    <w:rsid w:val="7B31BD7A"/>
    <w:rsid w:val="7B70B2A9"/>
    <w:rsid w:val="7B87D977"/>
    <w:rsid w:val="7BD11460"/>
    <w:rsid w:val="7BE6DF83"/>
    <w:rsid w:val="7C22B0A6"/>
    <w:rsid w:val="7C3CFE3D"/>
    <w:rsid w:val="7C9EB96B"/>
    <w:rsid w:val="7D3B3530"/>
    <w:rsid w:val="7DCE5DE9"/>
    <w:rsid w:val="7E2C55E1"/>
    <w:rsid w:val="7E423E32"/>
    <w:rsid w:val="7E59E674"/>
    <w:rsid w:val="7E7964F0"/>
    <w:rsid w:val="7E796ABB"/>
    <w:rsid w:val="7E834C86"/>
    <w:rsid w:val="7E879EB3"/>
    <w:rsid w:val="7E8C40F5"/>
    <w:rsid w:val="7ECD34A0"/>
    <w:rsid w:val="7F124A79"/>
    <w:rsid w:val="7F26E7CD"/>
    <w:rsid w:val="7F9A82FF"/>
    <w:rsid w:val="7FC08A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1E50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9" w:unhideWhenUsed="1"/>
    <w:lsdException w:name="toc 4" w:semiHidden="1" w:uiPriority="49" w:unhideWhenUsed="1"/>
    <w:lsdException w:name="toc 5" w:semiHidden="1" w:uiPriority="49" w:unhideWhenUsed="1"/>
    <w:lsdException w:name="toc 6" w:semiHidden="1" w:uiPriority="96" w:unhideWhenUsed="1"/>
    <w:lsdException w:name="toc 7" w:semiHidden="1" w:uiPriority="96" w:unhideWhenUsed="1"/>
    <w:lsdException w:name="toc 8" w:semiHidden="1" w:uiPriority="96"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lsdException w:name="header" w:semiHidden="1" w:uiPriority="8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19" w:unhideWhenUsed="1" w:qFormat="1"/>
    <w:lsdException w:name="List Number" w:semiHidden="1" w:uiPriority="19" w:unhideWhenUsed="1" w:qFormat="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semiHidden="1"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semiHidden="1" w:uiPriority="26" w:unhideWhenUsed="1" w:qFormat="1"/>
    <w:lsdException w:name="List Continue 2" w:semiHidden="1" w:uiPriority="26" w:unhideWhenUsed="1"/>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8" w:qFormat="1"/>
    <w:lsdException w:name="Emphasis" w:semiHidden="1" w:uiPriority="9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0EF"/>
    <w:pPr>
      <w:keepLines/>
    </w:pPr>
    <w:rPr>
      <w:rFonts w:cs="Times New Roman"/>
    </w:rPr>
  </w:style>
  <w:style w:type="paragraph" w:styleId="Heading1">
    <w:name w:val="heading 1"/>
    <w:basedOn w:val="Normal"/>
    <w:next w:val="Normal"/>
    <w:link w:val="Heading1Char"/>
    <w:uiPriority w:val="9"/>
    <w:qFormat/>
    <w:rsid w:val="002B6BC5"/>
    <w:pPr>
      <w:keepNext/>
      <w:tabs>
        <w:tab w:val="left" w:pos="397"/>
      </w:tabs>
      <w:spacing w:before="240"/>
      <w:outlineLvl w:val="0"/>
    </w:pPr>
    <w:rPr>
      <w:rFonts w:asciiTheme="majorHAnsi" w:eastAsiaTheme="majorEastAsia" w:hAnsiTheme="majorHAnsi" w:cstheme="majorBidi"/>
      <w:b/>
      <w:caps/>
      <w:sz w:val="27"/>
      <w:szCs w:val="32"/>
    </w:rPr>
  </w:style>
  <w:style w:type="paragraph" w:styleId="Heading2">
    <w:name w:val="heading 2"/>
    <w:basedOn w:val="Heading1"/>
    <w:next w:val="Normal"/>
    <w:link w:val="Heading2Char"/>
    <w:uiPriority w:val="9"/>
    <w:unhideWhenUsed/>
    <w:qFormat/>
    <w:rsid w:val="00AB3284"/>
    <w:pPr>
      <w:tabs>
        <w:tab w:val="clear" w:pos="397"/>
        <w:tab w:val="left" w:pos="624"/>
      </w:tabs>
      <w:ind w:left="624" w:hanging="624"/>
      <w:outlineLvl w:val="1"/>
    </w:pPr>
    <w:rPr>
      <w:caps w:val="0"/>
      <w:szCs w:val="26"/>
    </w:rPr>
  </w:style>
  <w:style w:type="paragraph" w:styleId="Heading3">
    <w:name w:val="heading 3"/>
    <w:basedOn w:val="Heading2"/>
    <w:next w:val="Normal"/>
    <w:link w:val="Heading3Char"/>
    <w:uiPriority w:val="9"/>
    <w:unhideWhenUsed/>
    <w:qFormat/>
    <w:rsid w:val="00112E3E"/>
    <w:pPr>
      <w:tabs>
        <w:tab w:val="clear" w:pos="624"/>
        <w:tab w:val="left" w:pos="907"/>
        <w:tab w:val="right" w:pos="9639"/>
      </w:tabs>
      <w:spacing w:after="60"/>
      <w:ind w:left="907" w:hanging="907"/>
      <w:outlineLvl w:val="2"/>
    </w:pPr>
    <w:rPr>
      <w:sz w:val="23"/>
      <w:szCs w:val="24"/>
    </w:rPr>
  </w:style>
  <w:style w:type="paragraph" w:styleId="Heading4">
    <w:name w:val="heading 4"/>
    <w:basedOn w:val="Heading3"/>
    <w:next w:val="Normal"/>
    <w:link w:val="Heading4Char"/>
    <w:uiPriority w:val="9"/>
    <w:unhideWhenUsed/>
    <w:qFormat/>
    <w:rsid w:val="00300A20"/>
    <w:pPr>
      <w:spacing w:before="180"/>
      <w:ind w:left="0" w:firstLine="0"/>
      <w:outlineLvl w:val="3"/>
    </w:pPr>
    <w:rPr>
      <w:b w:val="0"/>
      <w:i/>
      <w:iCs/>
      <w:sz w:val="22"/>
    </w:rPr>
  </w:style>
  <w:style w:type="paragraph" w:styleId="Heading5">
    <w:name w:val="heading 5"/>
    <w:basedOn w:val="Heading4"/>
    <w:next w:val="Normal"/>
    <w:link w:val="Heading5Char"/>
    <w:uiPriority w:val="9"/>
    <w:unhideWhenUsed/>
    <w:qFormat/>
    <w:rsid w:val="004241D6"/>
    <w:pPr>
      <w:outlineLvl w:val="4"/>
    </w:pPr>
    <w:rPr>
      <w:b/>
      <w:i w:val="0"/>
      <w:sz w:val="19"/>
    </w:rPr>
  </w:style>
  <w:style w:type="paragraph" w:styleId="Heading6">
    <w:name w:val="heading 6"/>
    <w:basedOn w:val="Normal"/>
    <w:next w:val="Normal"/>
    <w:link w:val="Heading6Char"/>
    <w:uiPriority w:val="9"/>
    <w:semiHidden/>
    <w:unhideWhenUsed/>
    <w:qFormat/>
    <w:rsid w:val="004241D6"/>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41D6"/>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41D6"/>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41D6"/>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1D6"/>
    <w:rPr>
      <w:rFonts w:asciiTheme="majorHAnsi" w:eastAsiaTheme="majorEastAsia" w:hAnsiTheme="majorHAnsi" w:cstheme="majorBidi"/>
      <w:b/>
      <w:caps/>
      <w:sz w:val="27"/>
      <w:szCs w:val="32"/>
    </w:rPr>
  </w:style>
  <w:style w:type="paragraph" w:customStyle="1" w:styleId="ChapterHeading">
    <w:name w:val="Chapter Heading"/>
    <w:basedOn w:val="Normal"/>
    <w:next w:val="Normal"/>
    <w:uiPriority w:val="84"/>
    <w:qFormat/>
    <w:rsid w:val="004241D6"/>
    <w:pPr>
      <w:keepNext/>
      <w:pBdr>
        <w:bottom w:val="single" w:sz="12" w:space="1" w:color="auto"/>
      </w:pBdr>
      <w:spacing w:before="1440" w:after="360"/>
      <w:outlineLvl w:val="0"/>
    </w:pPr>
    <w:rPr>
      <w:rFonts w:asciiTheme="majorHAnsi" w:hAnsiTheme="majorHAnsi" w:cstheme="minorBidi"/>
      <w:b/>
      <w:caps/>
      <w:sz w:val="36"/>
    </w:rPr>
  </w:style>
  <w:style w:type="character" w:customStyle="1" w:styleId="Heading2Char">
    <w:name w:val="Heading 2 Char"/>
    <w:basedOn w:val="DefaultParagraphFont"/>
    <w:link w:val="Heading2"/>
    <w:uiPriority w:val="9"/>
    <w:rsid w:val="004241D6"/>
    <w:rPr>
      <w:rFonts w:asciiTheme="majorHAnsi" w:eastAsiaTheme="majorEastAsia" w:hAnsiTheme="majorHAnsi" w:cstheme="majorBidi"/>
      <w:b/>
      <w:sz w:val="27"/>
      <w:szCs w:val="26"/>
    </w:rPr>
  </w:style>
  <w:style w:type="character" w:customStyle="1" w:styleId="Heading3Char">
    <w:name w:val="Heading 3 Char"/>
    <w:basedOn w:val="DefaultParagraphFont"/>
    <w:link w:val="Heading3"/>
    <w:uiPriority w:val="9"/>
    <w:rsid w:val="0031361C"/>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4241D6"/>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4241D6"/>
    <w:rPr>
      <w:rFonts w:asciiTheme="majorHAnsi" w:eastAsiaTheme="majorEastAsia" w:hAnsiTheme="majorHAnsi" w:cstheme="majorBidi"/>
      <w:b/>
      <w:iCs/>
      <w:sz w:val="19"/>
      <w:szCs w:val="24"/>
    </w:rPr>
  </w:style>
  <w:style w:type="numbering" w:customStyle="1" w:styleId="ListStyle-Heading">
    <w:name w:val="List Style - Heading"/>
    <w:uiPriority w:val="99"/>
    <w:rsid w:val="00591EA3"/>
  </w:style>
  <w:style w:type="paragraph" w:styleId="ListParagraph">
    <w:name w:val="List Paragraph"/>
    <w:basedOn w:val="Normal"/>
    <w:uiPriority w:val="34"/>
    <w:qFormat/>
    <w:rsid w:val="004241D6"/>
  </w:style>
  <w:style w:type="numbering" w:customStyle="1" w:styleId="ListStyle-Bullet">
    <w:name w:val="List Style - Bullet"/>
    <w:uiPriority w:val="99"/>
    <w:rsid w:val="00251776"/>
    <w:pPr>
      <w:numPr>
        <w:numId w:val="1"/>
      </w:numPr>
    </w:pPr>
  </w:style>
  <w:style w:type="paragraph" w:styleId="ListNumber">
    <w:name w:val="List Number"/>
    <w:basedOn w:val="Normal"/>
    <w:uiPriority w:val="19"/>
    <w:rsid w:val="004241D6"/>
    <w:pPr>
      <w:numPr>
        <w:numId w:val="12"/>
      </w:numPr>
      <w:spacing w:before="60" w:after="60"/>
    </w:pPr>
  </w:style>
  <w:style w:type="paragraph" w:styleId="ListBullet">
    <w:name w:val="List Bullet"/>
    <w:uiPriority w:val="19"/>
    <w:qFormat/>
    <w:rsid w:val="005D6935"/>
    <w:pPr>
      <w:numPr>
        <w:numId w:val="22"/>
      </w:numPr>
      <w:spacing w:before="60" w:after="60"/>
    </w:pPr>
  </w:style>
  <w:style w:type="paragraph" w:styleId="ListBullet2">
    <w:name w:val="List Bullet 2"/>
    <w:basedOn w:val="Normal"/>
    <w:uiPriority w:val="19"/>
    <w:unhideWhenUsed/>
    <w:rsid w:val="004241D6"/>
    <w:pPr>
      <w:numPr>
        <w:ilvl w:val="1"/>
        <w:numId w:val="22"/>
      </w:numPr>
      <w:tabs>
        <w:tab w:val="num" w:pos="643"/>
      </w:tabs>
      <w:spacing w:before="60" w:after="60"/>
    </w:pPr>
  </w:style>
  <w:style w:type="paragraph" w:styleId="ListBullet3">
    <w:name w:val="List Bullet 3"/>
    <w:basedOn w:val="Normal"/>
    <w:uiPriority w:val="19"/>
    <w:unhideWhenUsed/>
    <w:rsid w:val="004241D6"/>
    <w:pPr>
      <w:numPr>
        <w:ilvl w:val="2"/>
        <w:numId w:val="22"/>
      </w:numPr>
      <w:spacing w:before="60" w:after="60"/>
    </w:pPr>
  </w:style>
  <w:style w:type="numbering" w:customStyle="1" w:styleId="ListStyle-Number">
    <w:name w:val="List Style - Number"/>
    <w:uiPriority w:val="99"/>
    <w:rsid w:val="00251776"/>
    <w:pPr>
      <w:numPr>
        <w:numId w:val="2"/>
      </w:numPr>
    </w:pPr>
  </w:style>
  <w:style w:type="paragraph" w:styleId="ListContinue">
    <w:name w:val="List Continue"/>
    <w:basedOn w:val="Normal"/>
    <w:uiPriority w:val="26"/>
    <w:rsid w:val="004241D6"/>
    <w:pPr>
      <w:numPr>
        <w:numId w:val="10"/>
      </w:numPr>
      <w:spacing w:before="60" w:after="60"/>
    </w:pPr>
  </w:style>
  <w:style w:type="paragraph" w:styleId="ListNumber2">
    <w:name w:val="List Number 2"/>
    <w:basedOn w:val="Normal"/>
    <w:uiPriority w:val="19"/>
    <w:unhideWhenUsed/>
    <w:rsid w:val="004241D6"/>
    <w:pPr>
      <w:numPr>
        <w:ilvl w:val="1"/>
        <w:numId w:val="12"/>
      </w:numPr>
      <w:spacing w:before="60" w:after="60"/>
    </w:pPr>
  </w:style>
  <w:style w:type="paragraph" w:styleId="ListNumber3">
    <w:name w:val="List Number 3"/>
    <w:basedOn w:val="Normal"/>
    <w:uiPriority w:val="19"/>
    <w:unhideWhenUsed/>
    <w:rsid w:val="004241D6"/>
    <w:pPr>
      <w:numPr>
        <w:ilvl w:val="2"/>
        <w:numId w:val="12"/>
      </w:numPr>
      <w:spacing w:before="60" w:after="60"/>
    </w:pPr>
  </w:style>
  <w:style w:type="paragraph" w:styleId="ListContinue2">
    <w:name w:val="List Continue 2"/>
    <w:basedOn w:val="Normal"/>
    <w:uiPriority w:val="26"/>
    <w:unhideWhenUsed/>
    <w:rsid w:val="004241D6"/>
    <w:pPr>
      <w:numPr>
        <w:ilvl w:val="1"/>
        <w:numId w:val="10"/>
      </w:numPr>
      <w:spacing w:before="60" w:after="60"/>
    </w:pPr>
  </w:style>
  <w:style w:type="paragraph" w:styleId="ListContinue3">
    <w:name w:val="List Continue 3"/>
    <w:basedOn w:val="Normal"/>
    <w:uiPriority w:val="26"/>
    <w:unhideWhenUsed/>
    <w:rsid w:val="004241D6"/>
    <w:pPr>
      <w:numPr>
        <w:ilvl w:val="2"/>
        <w:numId w:val="10"/>
      </w:numPr>
      <w:spacing w:before="60" w:after="60"/>
    </w:pPr>
  </w:style>
  <w:style w:type="paragraph" w:customStyle="1" w:styleId="TableHeading">
    <w:name w:val="Table Heading"/>
    <w:basedOn w:val="Caption"/>
    <w:next w:val="Normal"/>
    <w:link w:val="TableHeadingChar"/>
    <w:uiPriority w:val="29"/>
    <w:qFormat/>
    <w:rsid w:val="003321EE"/>
    <w:pPr>
      <w:keepNext/>
      <w:tabs>
        <w:tab w:val="left" w:pos="1021"/>
        <w:tab w:val="right" w:pos="9639"/>
        <w:tab w:val="right" w:pos="14742"/>
      </w:tabs>
      <w:spacing w:before="120" w:after="60"/>
      <w:contextualSpacing/>
    </w:pPr>
    <w:rPr>
      <w:rFonts w:asciiTheme="majorHAnsi" w:hAnsiTheme="majorHAnsi" w:cstheme="minorBidi"/>
      <w:b/>
      <w:i w:val="0"/>
      <w:color w:val="auto"/>
      <w:sz w:val="20"/>
    </w:rPr>
  </w:style>
  <w:style w:type="paragraph" w:customStyle="1" w:styleId="Source">
    <w:name w:val="Source"/>
    <w:basedOn w:val="Note"/>
    <w:link w:val="SourceChar"/>
    <w:uiPriority w:val="30"/>
    <w:qFormat/>
    <w:rsid w:val="004241D6"/>
    <w:pPr>
      <w:spacing w:after="60"/>
    </w:pPr>
  </w:style>
  <w:style w:type="paragraph" w:styleId="Caption">
    <w:name w:val="caption"/>
    <w:basedOn w:val="Normal"/>
    <w:next w:val="Normal"/>
    <w:uiPriority w:val="35"/>
    <w:semiHidden/>
    <w:unhideWhenUsed/>
    <w:qFormat/>
    <w:rsid w:val="004241D6"/>
    <w:pPr>
      <w:spacing w:before="0" w:after="200"/>
    </w:pPr>
    <w:rPr>
      <w:i/>
      <w:iCs/>
      <w:color w:val="44546A" w:themeColor="text2"/>
      <w:sz w:val="18"/>
      <w:szCs w:val="18"/>
    </w:rPr>
  </w:style>
  <w:style w:type="paragraph" w:customStyle="1" w:styleId="Note">
    <w:name w:val="Note"/>
    <w:basedOn w:val="Normal"/>
    <w:link w:val="NoteChar"/>
    <w:uiPriority w:val="31"/>
    <w:qFormat/>
    <w:rsid w:val="004241D6"/>
    <w:pPr>
      <w:tabs>
        <w:tab w:val="left" w:pos="284"/>
      </w:tabs>
      <w:spacing w:before="60"/>
      <w:ind w:left="284" w:hanging="284"/>
      <w:contextualSpacing/>
    </w:pPr>
    <w:rPr>
      <w:rFonts w:asciiTheme="majorHAnsi" w:hAnsiTheme="majorHAnsi" w:cstheme="minorBidi"/>
      <w:i/>
      <w:sz w:val="14"/>
    </w:rPr>
  </w:style>
  <w:style w:type="paragraph" w:customStyle="1" w:styleId="Note2">
    <w:name w:val="Note 2"/>
    <w:basedOn w:val="Note"/>
    <w:uiPriority w:val="31"/>
    <w:qFormat/>
    <w:rsid w:val="004241D6"/>
    <w:pPr>
      <w:numPr>
        <w:numId w:val="4"/>
      </w:numPr>
    </w:pPr>
  </w:style>
  <w:style w:type="paragraph" w:customStyle="1" w:styleId="NoteContinue">
    <w:name w:val="Note Continue"/>
    <w:basedOn w:val="Note"/>
    <w:uiPriority w:val="31"/>
    <w:qFormat/>
    <w:rsid w:val="004241D6"/>
    <w:pPr>
      <w:ind w:firstLine="0"/>
    </w:pPr>
  </w:style>
  <w:style w:type="paragraph" w:customStyle="1" w:styleId="ShadedBoxText">
    <w:name w:val="Shaded Box Text"/>
    <w:basedOn w:val="Normal"/>
    <w:uiPriority w:val="38"/>
    <w:qFormat/>
    <w:rsid w:val="004241D6"/>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Heading">
    <w:name w:val="Shaded Box Heading"/>
    <w:basedOn w:val="ShadedBoxText"/>
    <w:next w:val="ShadedBoxText"/>
    <w:uiPriority w:val="38"/>
    <w:qFormat/>
    <w:rsid w:val="004241D6"/>
    <w:pPr>
      <w:keepNext/>
    </w:pPr>
    <w:rPr>
      <w:rFonts w:asciiTheme="majorHAnsi" w:hAnsiTheme="majorHAnsi"/>
      <w:b/>
      <w:sz w:val="20"/>
    </w:rPr>
  </w:style>
  <w:style w:type="paragraph" w:customStyle="1" w:styleId="ShadedBoxBullet">
    <w:name w:val="Shaded Box Bullet"/>
    <w:basedOn w:val="ListBullet"/>
    <w:uiPriority w:val="39"/>
    <w:qFormat/>
    <w:rsid w:val="004241D6"/>
    <w:pPr>
      <w:numPr>
        <w:numId w:val="0"/>
      </w:numPr>
      <w:pBdr>
        <w:top w:val="single" w:sz="6" w:space="3" w:color="auto"/>
        <w:left w:val="single" w:sz="6" w:space="4" w:color="auto"/>
        <w:bottom w:val="single" w:sz="6" w:space="3" w:color="auto"/>
        <w:right w:val="single" w:sz="6" w:space="4" w:color="auto"/>
      </w:pBdr>
      <w:shd w:val="clear" w:color="auto" w:fill="F2F2F2" w:themeFill="background1" w:themeFillShade="F2"/>
      <w:tabs>
        <w:tab w:val="num" w:pos="360"/>
      </w:tabs>
      <w:ind w:left="360" w:hanging="360"/>
    </w:pPr>
  </w:style>
  <w:style w:type="paragraph" w:customStyle="1" w:styleId="ShadedBoxBullet2">
    <w:name w:val="Shaded Box Bullet 2"/>
    <w:basedOn w:val="Normal"/>
    <w:next w:val="ShadedBoxText"/>
    <w:uiPriority w:val="39"/>
    <w:qFormat/>
    <w:rsid w:val="004241D6"/>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rPr>
      <w:rFonts w:cstheme="minorBidi"/>
    </w:rPr>
  </w:style>
  <w:style w:type="paragraph" w:styleId="Footer">
    <w:name w:val="footer"/>
    <w:basedOn w:val="Normal"/>
    <w:link w:val="FooterChar"/>
    <w:uiPriority w:val="99"/>
    <w:rsid w:val="004241D6"/>
    <w:pPr>
      <w:tabs>
        <w:tab w:val="center" w:pos="4513"/>
        <w:tab w:val="right" w:pos="9026"/>
      </w:tabs>
      <w:spacing w:before="0"/>
    </w:pPr>
  </w:style>
  <w:style w:type="character" w:customStyle="1" w:styleId="FooterChar">
    <w:name w:val="Footer Char"/>
    <w:basedOn w:val="DefaultParagraphFont"/>
    <w:link w:val="Footer"/>
    <w:uiPriority w:val="99"/>
    <w:rsid w:val="004241D6"/>
    <w:rPr>
      <w:rFonts w:cs="Times New Roman"/>
    </w:rPr>
  </w:style>
  <w:style w:type="paragraph" w:customStyle="1" w:styleId="FooterEvenPage">
    <w:name w:val="Footer [Even Page]"/>
    <w:basedOn w:val="Normal"/>
    <w:uiPriority w:val="99"/>
    <w:qFormat/>
    <w:rsid w:val="00A65638"/>
    <w:pPr>
      <w:pBdr>
        <w:top w:val="single" w:sz="6" w:space="1" w:color="auto"/>
      </w:pBdr>
      <w:tabs>
        <w:tab w:val="center" w:pos="3969"/>
        <w:tab w:val="right" w:pos="9639"/>
      </w:tabs>
    </w:pPr>
    <w:rPr>
      <w:rFonts w:asciiTheme="majorHAnsi" w:hAnsiTheme="majorHAnsi" w:cstheme="minorBidi"/>
      <w:sz w:val="18"/>
    </w:rPr>
  </w:style>
  <w:style w:type="paragraph" w:customStyle="1" w:styleId="FooterOddPage">
    <w:name w:val="Footer [Odd Page]"/>
    <w:basedOn w:val="Normal"/>
    <w:uiPriority w:val="99"/>
    <w:qFormat/>
    <w:rsid w:val="00A65638"/>
    <w:pPr>
      <w:pBdr>
        <w:top w:val="single" w:sz="6" w:space="1" w:color="auto"/>
      </w:pBdr>
      <w:tabs>
        <w:tab w:val="center" w:pos="5387"/>
        <w:tab w:val="right" w:pos="9639"/>
      </w:tabs>
    </w:pPr>
    <w:rPr>
      <w:rFonts w:asciiTheme="majorHAnsi" w:hAnsiTheme="majorHAnsi" w:cstheme="minorBidi"/>
      <w:sz w:val="18"/>
    </w:rPr>
  </w:style>
  <w:style w:type="paragraph" w:styleId="Header">
    <w:name w:val="header"/>
    <w:basedOn w:val="Normal"/>
    <w:link w:val="HeaderChar"/>
    <w:uiPriority w:val="84"/>
    <w:unhideWhenUsed/>
    <w:rsid w:val="0027381A"/>
    <w:pPr>
      <w:spacing w:after="180"/>
    </w:pPr>
    <w:rPr>
      <w:rFonts w:asciiTheme="majorHAnsi" w:hAnsiTheme="majorHAnsi"/>
      <w:b/>
      <w:color w:val="53565A"/>
    </w:rPr>
  </w:style>
  <w:style w:type="character" w:customStyle="1" w:styleId="HeaderChar">
    <w:name w:val="Header Char"/>
    <w:basedOn w:val="DefaultParagraphFont"/>
    <w:link w:val="Header"/>
    <w:uiPriority w:val="84"/>
    <w:rsid w:val="004241D6"/>
    <w:rPr>
      <w:rFonts w:asciiTheme="majorHAnsi" w:hAnsiTheme="majorHAnsi" w:cs="Times New Roman"/>
      <w:b/>
      <w:color w:val="53565A"/>
    </w:rPr>
  </w:style>
  <w:style w:type="paragraph" w:styleId="TOC1">
    <w:name w:val="toc 1"/>
    <w:basedOn w:val="Normal"/>
    <w:next w:val="Normal"/>
    <w:uiPriority w:val="39"/>
    <w:unhideWhenUsed/>
    <w:rsid w:val="004241D6"/>
    <w:pPr>
      <w:keepNext/>
      <w:tabs>
        <w:tab w:val="right" w:leader="dot" w:pos="9639"/>
      </w:tabs>
    </w:pPr>
    <w:rPr>
      <w:rFonts w:asciiTheme="majorHAnsi" w:hAnsiTheme="majorHAnsi" w:cstheme="minorBidi"/>
      <w:b/>
    </w:rPr>
  </w:style>
  <w:style w:type="paragraph" w:styleId="TOC2">
    <w:name w:val="toc 2"/>
    <w:basedOn w:val="TOC1"/>
    <w:uiPriority w:val="39"/>
    <w:unhideWhenUsed/>
    <w:rsid w:val="004241D6"/>
    <w:pPr>
      <w:ind w:left="568" w:hanging="284"/>
    </w:pPr>
    <w:rPr>
      <w:b w:val="0"/>
    </w:rPr>
  </w:style>
  <w:style w:type="paragraph" w:styleId="TOC9">
    <w:name w:val="toc 9"/>
    <w:basedOn w:val="Normal"/>
    <w:next w:val="Normal"/>
    <w:uiPriority w:val="39"/>
    <w:unhideWhenUsed/>
    <w:rsid w:val="00BC5B3F"/>
    <w:pPr>
      <w:tabs>
        <w:tab w:val="left" w:pos="567"/>
        <w:tab w:val="right" w:leader="dot" w:pos="4536"/>
      </w:tabs>
      <w:ind w:left="567" w:hanging="567"/>
    </w:pPr>
    <w:rPr>
      <w:rFonts w:cstheme="minorBidi"/>
      <w:sz w:val="20"/>
    </w:rPr>
  </w:style>
  <w:style w:type="table" w:customStyle="1" w:styleId="DTFTableNumeric">
    <w:name w:val="DTF Table [Numeric]"/>
    <w:basedOn w:val="TableNormal"/>
    <w:uiPriority w:val="99"/>
    <w:rsid w:val="004241D6"/>
    <w:pPr>
      <w:spacing w:before="20" w:after="20"/>
      <w:jc w:val="right"/>
    </w:pPr>
    <w:rPr>
      <w:rFonts w:asciiTheme="majorHAnsi" w:hAnsiTheme="majorHAns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styleId="TableGrid">
    <w:name w:val="Table Grid"/>
    <w:basedOn w:val="TableNormal"/>
    <w:uiPriority w:val="59"/>
    <w:rsid w:val="00251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Text">
    <w:name w:val="DTF Table [Text]"/>
    <w:basedOn w:val="TableNormal"/>
    <w:uiPriority w:val="99"/>
    <w:rsid w:val="004241D6"/>
    <w:pPr>
      <w:spacing w:before="60" w:after="60"/>
    </w:pPr>
    <w:rPr>
      <w:rFonts w:asciiTheme="majorHAnsi" w:hAnsiTheme="majorHAns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4241D6"/>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lastCol">
      <w:rPr>
        <w:b/>
      </w:rPr>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2Vert">
      <w:tblPr/>
      <w:tcPr>
        <w:tcBorders>
          <w:top w:val="nil"/>
          <w:left w:val="nil"/>
          <w:bottom w:val="single" w:sz="6" w:space="0" w:color="auto"/>
          <w:right w:val="nil"/>
          <w:insideH w:val="nil"/>
          <w:insideV w:val="nil"/>
          <w:tl2br w:val="nil"/>
          <w:tr2bl w:val="nil"/>
        </w:tcBorders>
        <w:shd w:val="clear" w:color="auto" w:fill="F2F2F2" w:themeFill="background1" w:themeFillShade="F2"/>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single" w:sz="6" w:space="0" w:color="auto"/>
          <w:left w:val="nil"/>
          <w:bottom w:val="single" w:sz="6" w:space="0" w:color="auto"/>
          <w:right w:val="nil"/>
          <w:insideH w:val="nil"/>
          <w:insideV w:val="nil"/>
          <w:tl2br w:val="nil"/>
          <w:tr2bl w:val="nil"/>
        </w:tcBorders>
        <w:shd w:val="clear" w:color="auto" w:fill="F2F2F2"/>
      </w:tcPr>
    </w:tblStylePr>
  </w:style>
  <w:style w:type="numbering" w:customStyle="1" w:styleId="ListStyle-Alpha">
    <w:name w:val="List Style - Alpha"/>
    <w:uiPriority w:val="99"/>
    <w:rsid w:val="002B7269"/>
    <w:pPr>
      <w:numPr>
        <w:numId w:val="3"/>
      </w:numPr>
    </w:pPr>
  </w:style>
  <w:style w:type="paragraph" w:customStyle="1" w:styleId="ListAlpha">
    <w:name w:val="List Alpha"/>
    <w:basedOn w:val="Normal"/>
    <w:uiPriority w:val="20"/>
    <w:qFormat/>
    <w:rsid w:val="004241D6"/>
    <w:pPr>
      <w:numPr>
        <w:numId w:val="11"/>
      </w:numPr>
      <w:spacing w:before="60" w:after="60"/>
    </w:pPr>
  </w:style>
  <w:style w:type="paragraph" w:customStyle="1" w:styleId="ListAlpha2">
    <w:name w:val="List Alpha 2"/>
    <w:basedOn w:val="Normal"/>
    <w:uiPriority w:val="20"/>
    <w:unhideWhenUsed/>
    <w:qFormat/>
    <w:rsid w:val="004241D6"/>
    <w:pPr>
      <w:numPr>
        <w:ilvl w:val="1"/>
        <w:numId w:val="11"/>
      </w:numPr>
      <w:spacing w:before="60" w:after="60"/>
    </w:pPr>
  </w:style>
  <w:style w:type="paragraph" w:customStyle="1" w:styleId="ListAlpha3">
    <w:name w:val="List Alpha 3"/>
    <w:basedOn w:val="Normal"/>
    <w:uiPriority w:val="20"/>
    <w:unhideWhenUsed/>
    <w:qFormat/>
    <w:rsid w:val="004241D6"/>
    <w:pPr>
      <w:numPr>
        <w:ilvl w:val="2"/>
        <w:numId w:val="11"/>
      </w:numPr>
      <w:spacing w:before="60" w:after="60"/>
    </w:pPr>
  </w:style>
  <w:style w:type="character" w:customStyle="1" w:styleId="Heading6Char">
    <w:name w:val="Heading 6 Char"/>
    <w:basedOn w:val="DefaultParagraphFont"/>
    <w:link w:val="Heading6"/>
    <w:uiPriority w:val="9"/>
    <w:semiHidden/>
    <w:rsid w:val="004241D6"/>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49"/>
    <w:rsid w:val="004241D6"/>
    <w:pPr>
      <w:spacing w:after="100"/>
      <w:ind w:left="660"/>
    </w:pPr>
  </w:style>
  <w:style w:type="character" w:styleId="Hyperlink">
    <w:name w:val="Hyperlink"/>
    <w:uiPriority w:val="99"/>
    <w:rsid w:val="00251776"/>
    <w:rPr>
      <w:color w:val="0000FF"/>
      <w:u w:val="single"/>
    </w:rPr>
  </w:style>
  <w:style w:type="table" w:styleId="LightList">
    <w:name w:val="Light List"/>
    <w:basedOn w:val="TableNormal"/>
    <w:uiPriority w:val="61"/>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251776"/>
    <w:rPr>
      <w:rFonts w:eastAsia="MS Minch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251776"/>
    <w:rPr>
      <w:rFonts w:eastAsia="MS Minch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2">
    <w:name w:val="Light List Accent 2"/>
    <w:basedOn w:val="TableNormal"/>
    <w:uiPriority w:val="61"/>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2">
    <w:name w:val="Light Grid Accent 2"/>
    <w:basedOn w:val="TableNormal"/>
    <w:uiPriority w:val="62"/>
    <w:rsid w:val="00251776"/>
    <w:rPr>
      <w:rFonts w:eastAsia="MS Mincho"/>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List-Accent3">
    <w:name w:val="Light List Accent 3"/>
    <w:basedOn w:val="TableNormal"/>
    <w:uiPriority w:val="61"/>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3">
    <w:name w:val="Light Grid Accent 3"/>
    <w:basedOn w:val="TableNormal"/>
    <w:uiPriority w:val="62"/>
    <w:rsid w:val="00251776"/>
    <w:rPr>
      <w:rFonts w:eastAsia="MS Mincho"/>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List-Accent4">
    <w:name w:val="Light List Accent 4"/>
    <w:basedOn w:val="TableNormal"/>
    <w:uiPriority w:val="61"/>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4">
    <w:name w:val="Light Grid Accent 4"/>
    <w:basedOn w:val="TableNormal"/>
    <w:uiPriority w:val="62"/>
    <w:rsid w:val="00251776"/>
    <w:rPr>
      <w:rFonts w:eastAsia="MS Mincho"/>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List-Accent5">
    <w:name w:val="Light List Accent 5"/>
    <w:basedOn w:val="TableNormal"/>
    <w:uiPriority w:val="61"/>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Grid-Accent5">
    <w:name w:val="Light Grid Accent 5"/>
    <w:basedOn w:val="TableNormal"/>
    <w:uiPriority w:val="62"/>
    <w:rsid w:val="00251776"/>
    <w:rPr>
      <w:rFonts w:eastAsia="MS Mincho"/>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List-Accent6">
    <w:name w:val="Light List Accent 6"/>
    <w:basedOn w:val="TableNormal"/>
    <w:uiPriority w:val="61"/>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6">
    <w:name w:val="Light Grid Accent 6"/>
    <w:basedOn w:val="TableNormal"/>
    <w:uiPriority w:val="62"/>
    <w:rsid w:val="00251776"/>
    <w:rPr>
      <w:rFonts w:eastAsia="MS Mincho"/>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TableHeadingChar">
    <w:name w:val="Table Heading Char"/>
    <w:basedOn w:val="DefaultParagraphFont"/>
    <w:link w:val="TableHeading"/>
    <w:uiPriority w:val="29"/>
    <w:rsid w:val="003321EE"/>
    <w:rPr>
      <w:rFonts w:asciiTheme="majorHAnsi" w:hAnsiTheme="majorHAnsi"/>
      <w:b/>
      <w:iCs/>
      <w:sz w:val="20"/>
      <w:szCs w:val="18"/>
    </w:rPr>
  </w:style>
  <w:style w:type="character" w:customStyle="1" w:styleId="NoteChar">
    <w:name w:val="Note Char"/>
    <w:basedOn w:val="DefaultParagraphFont"/>
    <w:link w:val="Note"/>
    <w:uiPriority w:val="31"/>
    <w:rsid w:val="004241D6"/>
    <w:rPr>
      <w:rFonts w:asciiTheme="majorHAnsi" w:hAnsiTheme="majorHAnsi"/>
      <w:i/>
      <w:sz w:val="14"/>
    </w:rPr>
  </w:style>
  <w:style w:type="paragraph" w:styleId="NoSpacing">
    <w:name w:val="No Spacing"/>
    <w:uiPriority w:val="99"/>
    <w:qFormat/>
    <w:rsid w:val="00A20CD2"/>
  </w:style>
  <w:style w:type="table" w:styleId="PlainTable3">
    <w:name w:val="Plain Table 3"/>
    <w:basedOn w:val="TableNormal"/>
    <w:uiPriority w:val="43"/>
    <w:rsid w:val="00A20CD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DTFTable">
    <w:name w:val="DTF Table"/>
    <w:basedOn w:val="TableNormal"/>
    <w:uiPriority w:val="99"/>
    <w:rsid w:val="00A20CD2"/>
    <w:pPr>
      <w:spacing w:before="20" w:after="20"/>
      <w:jc w:val="right"/>
    </w:pPr>
    <w:rPr>
      <w:rFonts w:asciiTheme="majorHAnsi" w:eastAsia="MS Mincho"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customStyle="1" w:styleId="TableUnits">
    <w:name w:val="Table Units"/>
    <w:basedOn w:val="Normal"/>
    <w:next w:val="Normal"/>
    <w:link w:val="TableUnitsChar"/>
    <w:uiPriority w:val="50"/>
    <w:qFormat/>
    <w:rsid w:val="00A20CD2"/>
    <w:pPr>
      <w:keepNext/>
      <w:tabs>
        <w:tab w:val="left" w:pos="567"/>
        <w:tab w:val="right" w:pos="9639"/>
        <w:tab w:val="right" w:pos="14572"/>
      </w:tabs>
      <w:spacing w:after="60"/>
      <w:ind w:left="1134" w:hanging="1134"/>
      <w:jc w:val="right"/>
    </w:pPr>
    <w:rPr>
      <w:rFonts w:asciiTheme="majorHAnsi" w:eastAsia="MS Mincho" w:hAnsiTheme="majorHAnsi"/>
      <w:b/>
      <w:sz w:val="20"/>
      <w:szCs w:val="20"/>
    </w:rPr>
  </w:style>
  <w:style w:type="character" w:customStyle="1" w:styleId="TableUnitsChar">
    <w:name w:val="Table Units Char"/>
    <w:basedOn w:val="DefaultParagraphFont"/>
    <w:link w:val="TableUnits"/>
    <w:uiPriority w:val="50"/>
    <w:rsid w:val="00A20CD2"/>
    <w:rPr>
      <w:rFonts w:asciiTheme="majorHAnsi" w:eastAsia="MS Mincho" w:hAnsiTheme="majorHAnsi"/>
      <w:b/>
      <w:sz w:val="20"/>
      <w:szCs w:val="20"/>
    </w:rPr>
  </w:style>
  <w:style w:type="paragraph" w:styleId="Revision">
    <w:name w:val="Revision"/>
    <w:hidden/>
    <w:uiPriority w:val="99"/>
    <w:semiHidden/>
    <w:rsid w:val="00A20CD2"/>
    <w:pPr>
      <w:spacing w:before="0"/>
    </w:pPr>
  </w:style>
  <w:style w:type="character" w:customStyle="1" w:styleId="Heading7Char">
    <w:name w:val="Heading 7 Char"/>
    <w:basedOn w:val="DefaultParagraphFont"/>
    <w:link w:val="Heading7"/>
    <w:uiPriority w:val="9"/>
    <w:semiHidden/>
    <w:rsid w:val="004241D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41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41D6"/>
    <w:rPr>
      <w:rFonts w:asciiTheme="majorHAnsi" w:eastAsiaTheme="majorEastAsia" w:hAnsiTheme="majorHAnsi" w:cstheme="majorBidi"/>
      <w:i/>
      <w:iCs/>
      <w:color w:val="272727" w:themeColor="text1" w:themeTint="D8"/>
      <w:sz w:val="21"/>
      <w:szCs w:val="21"/>
    </w:rPr>
  </w:style>
  <w:style w:type="paragraph" w:customStyle="1" w:styleId="DecimalAligned">
    <w:name w:val="Decimal Aligned"/>
    <w:basedOn w:val="Normal"/>
    <w:uiPriority w:val="40"/>
    <w:semiHidden/>
    <w:rsid w:val="00A20CD2"/>
    <w:pPr>
      <w:tabs>
        <w:tab w:val="decimal" w:pos="360"/>
      </w:tabs>
      <w:spacing w:after="200" w:line="276" w:lineRule="auto"/>
    </w:pPr>
    <w:rPr>
      <w:rFonts w:eastAsia="MS Mincho"/>
      <w:lang w:val="en-US" w:eastAsia="ja-JP"/>
    </w:rPr>
  </w:style>
  <w:style w:type="paragraph" w:styleId="FootnoteText">
    <w:name w:val="footnote text"/>
    <w:basedOn w:val="Normal"/>
    <w:link w:val="FootnoteTextChar"/>
    <w:uiPriority w:val="99"/>
    <w:semiHidden/>
    <w:qFormat/>
    <w:rsid w:val="00A20CD2"/>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A20CD2"/>
    <w:rPr>
      <w:rFonts w:eastAsiaTheme="minorEastAsia"/>
      <w:sz w:val="20"/>
      <w:lang w:val="en-US" w:eastAsia="ja-JP"/>
    </w:rPr>
  </w:style>
  <w:style w:type="numbering" w:styleId="111111">
    <w:name w:val="Outline List 2"/>
    <w:basedOn w:val="NoList"/>
    <w:uiPriority w:val="99"/>
    <w:semiHidden/>
    <w:unhideWhenUsed/>
    <w:rsid w:val="00A20CD2"/>
    <w:pPr>
      <w:numPr>
        <w:numId w:val="9"/>
      </w:numPr>
    </w:pPr>
  </w:style>
  <w:style w:type="paragraph" w:styleId="TOC3">
    <w:name w:val="toc 3"/>
    <w:basedOn w:val="Normal"/>
    <w:next w:val="Normal"/>
    <w:autoRedefine/>
    <w:uiPriority w:val="49"/>
    <w:semiHidden/>
    <w:rsid w:val="004241D6"/>
    <w:pPr>
      <w:spacing w:after="100"/>
      <w:ind w:left="440"/>
    </w:pPr>
  </w:style>
  <w:style w:type="paragraph" w:styleId="BalloonText">
    <w:name w:val="Balloon Text"/>
    <w:basedOn w:val="Normal"/>
    <w:link w:val="BalloonTextChar"/>
    <w:uiPriority w:val="99"/>
    <w:semiHidden/>
    <w:unhideWhenUsed/>
    <w:rsid w:val="00A20CD2"/>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A20CD2"/>
    <w:rPr>
      <w:rFonts w:ascii="Tahoma" w:eastAsia="MS Mincho" w:hAnsi="Tahoma" w:cs="Tahoma"/>
      <w:sz w:val="16"/>
      <w:szCs w:val="16"/>
    </w:rPr>
  </w:style>
  <w:style w:type="paragraph" w:styleId="ListNumber4">
    <w:name w:val="List Number 4"/>
    <w:basedOn w:val="Normal"/>
    <w:uiPriority w:val="19"/>
    <w:semiHidden/>
    <w:unhideWhenUsed/>
    <w:rsid w:val="00A20CD2"/>
    <w:pPr>
      <w:ind w:left="1136" w:hanging="284"/>
      <w:contextualSpacing/>
    </w:pPr>
    <w:rPr>
      <w:rFonts w:eastAsia="MS Mincho"/>
    </w:rPr>
  </w:style>
  <w:style w:type="paragraph" w:styleId="ListNumber5">
    <w:name w:val="List Number 5"/>
    <w:basedOn w:val="Normal"/>
    <w:uiPriority w:val="19"/>
    <w:semiHidden/>
    <w:unhideWhenUsed/>
    <w:rsid w:val="00A20CD2"/>
    <w:pPr>
      <w:ind w:left="1420" w:hanging="284"/>
      <w:contextualSpacing/>
    </w:pPr>
    <w:rPr>
      <w:rFonts w:eastAsia="MS Mincho"/>
    </w:rPr>
  </w:style>
  <w:style w:type="paragraph" w:styleId="ListBullet4">
    <w:name w:val="List Bullet 4"/>
    <w:basedOn w:val="Normal"/>
    <w:uiPriority w:val="19"/>
    <w:semiHidden/>
    <w:unhideWhenUsed/>
    <w:rsid w:val="00A20CD2"/>
    <w:pPr>
      <w:tabs>
        <w:tab w:val="num" w:pos="1492"/>
      </w:tabs>
      <w:ind w:left="1492" w:hanging="360"/>
      <w:contextualSpacing/>
    </w:pPr>
    <w:rPr>
      <w:rFonts w:eastAsia="MS Mincho"/>
    </w:rPr>
  </w:style>
  <w:style w:type="paragraph" w:styleId="ListBullet5">
    <w:name w:val="List Bullet 5"/>
    <w:basedOn w:val="Normal"/>
    <w:uiPriority w:val="19"/>
    <w:semiHidden/>
    <w:unhideWhenUsed/>
    <w:rsid w:val="00A20CD2"/>
    <w:pPr>
      <w:tabs>
        <w:tab w:val="num" w:pos="1492"/>
      </w:tabs>
      <w:ind w:left="1492" w:hanging="360"/>
      <w:contextualSpacing/>
    </w:pPr>
    <w:rPr>
      <w:rFonts w:eastAsia="MS Mincho"/>
    </w:rPr>
  </w:style>
  <w:style w:type="paragraph" w:styleId="ListContinue4">
    <w:name w:val="List Continue 4"/>
    <w:basedOn w:val="Normal"/>
    <w:uiPriority w:val="26"/>
    <w:semiHidden/>
    <w:unhideWhenUsed/>
    <w:rsid w:val="00A20CD2"/>
    <w:pPr>
      <w:ind w:left="1132"/>
      <w:contextualSpacing/>
    </w:pPr>
    <w:rPr>
      <w:rFonts w:eastAsia="MS Mincho"/>
    </w:rPr>
  </w:style>
  <w:style w:type="paragraph" w:styleId="ListContinue5">
    <w:name w:val="List Continue 5"/>
    <w:basedOn w:val="Normal"/>
    <w:uiPriority w:val="26"/>
    <w:semiHidden/>
    <w:unhideWhenUsed/>
    <w:rsid w:val="00A20CD2"/>
    <w:pPr>
      <w:ind w:left="1415"/>
      <w:contextualSpacing/>
    </w:pPr>
    <w:rPr>
      <w:rFonts w:eastAsia="MS Mincho"/>
    </w:rPr>
  </w:style>
  <w:style w:type="paragraph" w:styleId="TOC7">
    <w:name w:val="toc 7"/>
    <w:basedOn w:val="Normal"/>
    <w:next w:val="Normal"/>
    <w:autoRedefine/>
    <w:uiPriority w:val="96"/>
    <w:semiHidden/>
    <w:rsid w:val="00A20CD2"/>
    <w:pPr>
      <w:spacing w:after="100"/>
      <w:ind w:left="1320"/>
    </w:pPr>
    <w:rPr>
      <w:rFonts w:eastAsia="MS Mincho"/>
    </w:rPr>
  </w:style>
  <w:style w:type="numbering" w:styleId="1ai">
    <w:name w:val="Outline List 1"/>
    <w:basedOn w:val="NoList"/>
    <w:uiPriority w:val="99"/>
    <w:semiHidden/>
    <w:unhideWhenUsed/>
    <w:rsid w:val="00A20CD2"/>
    <w:pPr>
      <w:numPr>
        <w:numId w:val="4"/>
      </w:numPr>
    </w:pPr>
  </w:style>
  <w:style w:type="numbering" w:styleId="ArticleSection">
    <w:name w:val="Outline List 3"/>
    <w:basedOn w:val="NoList"/>
    <w:uiPriority w:val="99"/>
    <w:semiHidden/>
    <w:unhideWhenUsed/>
    <w:rsid w:val="00A20CD2"/>
  </w:style>
  <w:style w:type="paragraph" w:styleId="Bibliography">
    <w:name w:val="Bibliography"/>
    <w:basedOn w:val="Normal"/>
    <w:next w:val="Normal"/>
    <w:uiPriority w:val="37"/>
    <w:semiHidden/>
    <w:unhideWhenUsed/>
    <w:rsid w:val="00A20CD2"/>
    <w:rPr>
      <w:rFonts w:eastAsia="MS Mincho"/>
    </w:rPr>
  </w:style>
  <w:style w:type="paragraph" w:styleId="BlockText">
    <w:name w:val="Block Text"/>
    <w:basedOn w:val="Normal"/>
    <w:uiPriority w:val="99"/>
    <w:semiHidden/>
    <w:unhideWhenUsed/>
    <w:rsid w:val="00A20CD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i/>
      <w:iCs/>
      <w:color w:val="4472C4" w:themeColor="accent1"/>
    </w:rPr>
  </w:style>
  <w:style w:type="paragraph" w:styleId="BodyText">
    <w:name w:val="Body Text"/>
    <w:basedOn w:val="Normal"/>
    <w:link w:val="BodyTextChar"/>
    <w:uiPriority w:val="4"/>
    <w:semiHidden/>
    <w:unhideWhenUsed/>
    <w:rsid w:val="00A20CD2"/>
    <w:rPr>
      <w:rFonts w:eastAsia="MS Mincho"/>
    </w:rPr>
  </w:style>
  <w:style w:type="character" w:customStyle="1" w:styleId="BodyTextChar">
    <w:name w:val="Body Text Char"/>
    <w:basedOn w:val="DefaultParagraphFont"/>
    <w:link w:val="BodyText"/>
    <w:uiPriority w:val="4"/>
    <w:semiHidden/>
    <w:rsid w:val="00A20CD2"/>
    <w:rPr>
      <w:rFonts w:eastAsia="MS Mincho"/>
    </w:rPr>
  </w:style>
  <w:style w:type="paragraph" w:styleId="BodyText2">
    <w:name w:val="Body Text 2"/>
    <w:basedOn w:val="Normal"/>
    <w:link w:val="BodyText2Char"/>
    <w:uiPriority w:val="99"/>
    <w:semiHidden/>
    <w:unhideWhenUsed/>
    <w:rsid w:val="00A20CD2"/>
    <w:pPr>
      <w:spacing w:line="480" w:lineRule="auto"/>
    </w:pPr>
    <w:rPr>
      <w:rFonts w:eastAsia="MS Mincho"/>
    </w:rPr>
  </w:style>
  <w:style w:type="character" w:customStyle="1" w:styleId="BodyText2Char">
    <w:name w:val="Body Text 2 Char"/>
    <w:basedOn w:val="DefaultParagraphFont"/>
    <w:link w:val="BodyText2"/>
    <w:uiPriority w:val="99"/>
    <w:semiHidden/>
    <w:rsid w:val="00A20CD2"/>
    <w:rPr>
      <w:rFonts w:eastAsia="MS Mincho"/>
    </w:rPr>
  </w:style>
  <w:style w:type="paragraph" w:styleId="BodyText3">
    <w:name w:val="Body Text 3"/>
    <w:basedOn w:val="Normal"/>
    <w:link w:val="BodyText3Char"/>
    <w:uiPriority w:val="99"/>
    <w:semiHidden/>
    <w:unhideWhenUsed/>
    <w:rsid w:val="00A20CD2"/>
    <w:rPr>
      <w:rFonts w:eastAsia="MS Mincho"/>
      <w:sz w:val="16"/>
      <w:szCs w:val="16"/>
    </w:rPr>
  </w:style>
  <w:style w:type="character" w:customStyle="1" w:styleId="BodyText3Char">
    <w:name w:val="Body Text 3 Char"/>
    <w:basedOn w:val="DefaultParagraphFont"/>
    <w:link w:val="BodyText3"/>
    <w:uiPriority w:val="99"/>
    <w:semiHidden/>
    <w:rsid w:val="00A20CD2"/>
    <w:rPr>
      <w:rFonts w:eastAsia="MS Mincho"/>
      <w:sz w:val="16"/>
      <w:szCs w:val="16"/>
    </w:rPr>
  </w:style>
  <w:style w:type="paragraph" w:styleId="BodyTextFirstIndent">
    <w:name w:val="Body Text First Indent"/>
    <w:basedOn w:val="BodyText"/>
    <w:link w:val="BodyTextFirstIndentChar"/>
    <w:uiPriority w:val="99"/>
    <w:semiHidden/>
    <w:unhideWhenUsed/>
    <w:rsid w:val="00A20CD2"/>
    <w:pPr>
      <w:ind w:firstLine="360"/>
    </w:pPr>
  </w:style>
  <w:style w:type="character" w:customStyle="1" w:styleId="BodyTextFirstIndentChar">
    <w:name w:val="Body Text First Indent Char"/>
    <w:basedOn w:val="BodyTextChar"/>
    <w:link w:val="BodyTextFirstIndent"/>
    <w:uiPriority w:val="99"/>
    <w:semiHidden/>
    <w:rsid w:val="00A20CD2"/>
    <w:rPr>
      <w:rFonts w:eastAsia="MS Mincho"/>
    </w:rPr>
  </w:style>
  <w:style w:type="paragraph" w:styleId="BodyTextIndent">
    <w:name w:val="Body Text Indent"/>
    <w:basedOn w:val="Normal"/>
    <w:link w:val="BodyTextIndentChar"/>
    <w:uiPriority w:val="99"/>
    <w:semiHidden/>
    <w:unhideWhenUsed/>
    <w:rsid w:val="00A20CD2"/>
    <w:pPr>
      <w:ind w:left="283"/>
    </w:pPr>
    <w:rPr>
      <w:rFonts w:eastAsia="MS Mincho"/>
    </w:rPr>
  </w:style>
  <w:style w:type="character" w:customStyle="1" w:styleId="BodyTextIndentChar">
    <w:name w:val="Body Text Indent Char"/>
    <w:basedOn w:val="DefaultParagraphFont"/>
    <w:link w:val="BodyTextIndent"/>
    <w:uiPriority w:val="99"/>
    <w:semiHidden/>
    <w:rsid w:val="00A20CD2"/>
    <w:rPr>
      <w:rFonts w:eastAsia="MS Mincho"/>
    </w:rPr>
  </w:style>
  <w:style w:type="paragraph" w:styleId="BodyTextFirstIndent2">
    <w:name w:val="Body Text First Indent 2"/>
    <w:basedOn w:val="BodyTextIndent"/>
    <w:link w:val="BodyTextFirstIndent2Char"/>
    <w:uiPriority w:val="99"/>
    <w:semiHidden/>
    <w:unhideWhenUsed/>
    <w:rsid w:val="00A20CD2"/>
    <w:pPr>
      <w:ind w:left="360" w:firstLine="360"/>
    </w:pPr>
  </w:style>
  <w:style w:type="character" w:customStyle="1" w:styleId="BodyTextFirstIndent2Char">
    <w:name w:val="Body Text First Indent 2 Char"/>
    <w:basedOn w:val="BodyTextIndentChar"/>
    <w:link w:val="BodyTextFirstIndent2"/>
    <w:uiPriority w:val="99"/>
    <w:semiHidden/>
    <w:rsid w:val="00A20CD2"/>
    <w:rPr>
      <w:rFonts w:eastAsia="MS Mincho"/>
    </w:rPr>
  </w:style>
  <w:style w:type="paragraph" w:styleId="BodyTextIndent2">
    <w:name w:val="Body Text Indent 2"/>
    <w:basedOn w:val="Normal"/>
    <w:link w:val="BodyTextIndent2Char"/>
    <w:uiPriority w:val="99"/>
    <w:semiHidden/>
    <w:unhideWhenUsed/>
    <w:rsid w:val="00A20CD2"/>
    <w:pPr>
      <w:spacing w:line="480" w:lineRule="auto"/>
      <w:ind w:left="283"/>
    </w:pPr>
    <w:rPr>
      <w:rFonts w:eastAsia="MS Mincho"/>
    </w:rPr>
  </w:style>
  <w:style w:type="character" w:customStyle="1" w:styleId="BodyTextIndent2Char">
    <w:name w:val="Body Text Indent 2 Char"/>
    <w:basedOn w:val="DefaultParagraphFont"/>
    <w:link w:val="BodyTextIndent2"/>
    <w:uiPriority w:val="99"/>
    <w:semiHidden/>
    <w:rsid w:val="00A20CD2"/>
    <w:rPr>
      <w:rFonts w:eastAsia="MS Mincho"/>
    </w:rPr>
  </w:style>
  <w:style w:type="paragraph" w:styleId="BodyTextIndent3">
    <w:name w:val="Body Text Indent 3"/>
    <w:basedOn w:val="Normal"/>
    <w:link w:val="BodyTextIndent3Char"/>
    <w:uiPriority w:val="99"/>
    <w:semiHidden/>
    <w:unhideWhenUsed/>
    <w:rsid w:val="00A20CD2"/>
    <w:pPr>
      <w:ind w:left="283"/>
    </w:pPr>
    <w:rPr>
      <w:rFonts w:eastAsia="MS Mincho"/>
      <w:sz w:val="16"/>
      <w:szCs w:val="16"/>
    </w:rPr>
  </w:style>
  <w:style w:type="character" w:customStyle="1" w:styleId="BodyTextIndent3Char">
    <w:name w:val="Body Text Indent 3 Char"/>
    <w:basedOn w:val="DefaultParagraphFont"/>
    <w:link w:val="BodyTextIndent3"/>
    <w:uiPriority w:val="99"/>
    <w:semiHidden/>
    <w:rsid w:val="00A20CD2"/>
    <w:rPr>
      <w:rFonts w:eastAsia="MS Mincho"/>
      <w:sz w:val="16"/>
      <w:szCs w:val="16"/>
    </w:rPr>
  </w:style>
  <w:style w:type="paragraph" w:styleId="Closing">
    <w:name w:val="Closing"/>
    <w:basedOn w:val="Normal"/>
    <w:link w:val="ClosingChar"/>
    <w:uiPriority w:val="99"/>
    <w:semiHidden/>
    <w:unhideWhenUsed/>
    <w:rsid w:val="00A20CD2"/>
    <w:pPr>
      <w:ind w:left="4252"/>
    </w:pPr>
    <w:rPr>
      <w:rFonts w:eastAsia="MS Mincho"/>
    </w:rPr>
  </w:style>
  <w:style w:type="character" w:customStyle="1" w:styleId="ClosingChar">
    <w:name w:val="Closing Char"/>
    <w:basedOn w:val="DefaultParagraphFont"/>
    <w:link w:val="Closing"/>
    <w:uiPriority w:val="99"/>
    <w:semiHidden/>
    <w:rsid w:val="00A20CD2"/>
    <w:rPr>
      <w:rFonts w:eastAsia="MS Mincho"/>
    </w:rPr>
  </w:style>
  <w:style w:type="character" w:styleId="CommentReference">
    <w:name w:val="annotation reference"/>
    <w:basedOn w:val="DefaultParagraphFont"/>
    <w:uiPriority w:val="99"/>
    <w:semiHidden/>
    <w:unhideWhenUsed/>
    <w:rsid w:val="00A20CD2"/>
    <w:rPr>
      <w:sz w:val="16"/>
      <w:szCs w:val="16"/>
    </w:rPr>
  </w:style>
  <w:style w:type="paragraph" w:styleId="List2">
    <w:name w:val="List 2"/>
    <w:basedOn w:val="Normal"/>
    <w:uiPriority w:val="29"/>
    <w:semiHidden/>
    <w:rsid w:val="00A20CD2"/>
    <w:pPr>
      <w:ind w:left="566" w:hanging="283"/>
      <w:contextualSpacing/>
    </w:pPr>
    <w:rPr>
      <w:rFonts w:eastAsia="MS Mincho"/>
    </w:rPr>
  </w:style>
  <w:style w:type="paragraph" w:styleId="List3">
    <w:name w:val="List 3"/>
    <w:basedOn w:val="Normal"/>
    <w:uiPriority w:val="29"/>
    <w:semiHidden/>
    <w:unhideWhenUsed/>
    <w:rsid w:val="00A20CD2"/>
    <w:pPr>
      <w:ind w:left="849" w:hanging="283"/>
      <w:contextualSpacing/>
    </w:pPr>
    <w:rPr>
      <w:rFonts w:eastAsia="MS Mincho"/>
    </w:rPr>
  </w:style>
  <w:style w:type="paragraph" w:styleId="CommentText">
    <w:name w:val="annotation text"/>
    <w:basedOn w:val="Normal"/>
    <w:link w:val="CommentTextChar"/>
    <w:uiPriority w:val="99"/>
    <w:unhideWhenUsed/>
    <w:rsid w:val="00A20CD2"/>
    <w:rPr>
      <w:sz w:val="20"/>
      <w:szCs w:val="20"/>
    </w:rPr>
  </w:style>
  <w:style w:type="character" w:customStyle="1" w:styleId="CommentTextChar">
    <w:name w:val="Comment Text Char"/>
    <w:basedOn w:val="DefaultParagraphFont"/>
    <w:link w:val="CommentText"/>
    <w:uiPriority w:val="99"/>
    <w:rsid w:val="00A20CD2"/>
    <w:rPr>
      <w:sz w:val="20"/>
      <w:szCs w:val="20"/>
    </w:rPr>
  </w:style>
  <w:style w:type="paragraph" w:styleId="CommentSubject">
    <w:name w:val="annotation subject"/>
    <w:basedOn w:val="Normal"/>
    <w:next w:val="Normal"/>
    <w:link w:val="CommentSubjectChar"/>
    <w:uiPriority w:val="99"/>
    <w:semiHidden/>
    <w:unhideWhenUsed/>
    <w:rsid w:val="00A20CD2"/>
    <w:rPr>
      <w:b/>
      <w:bCs/>
    </w:rPr>
  </w:style>
  <w:style w:type="character" w:customStyle="1" w:styleId="CommentSubjectChar">
    <w:name w:val="Comment Subject Char"/>
    <w:basedOn w:val="CommentTextChar"/>
    <w:link w:val="CommentSubject"/>
    <w:uiPriority w:val="99"/>
    <w:semiHidden/>
    <w:rsid w:val="00A20CD2"/>
    <w:rPr>
      <w:b/>
      <w:bCs/>
      <w:sz w:val="20"/>
      <w:szCs w:val="20"/>
    </w:rPr>
  </w:style>
  <w:style w:type="paragraph" w:styleId="Date">
    <w:name w:val="Date"/>
    <w:basedOn w:val="Normal"/>
    <w:next w:val="Normal"/>
    <w:link w:val="DateChar"/>
    <w:uiPriority w:val="99"/>
    <w:semiHidden/>
    <w:unhideWhenUsed/>
    <w:rsid w:val="00A20CD2"/>
    <w:rPr>
      <w:rFonts w:eastAsia="MS Mincho"/>
    </w:rPr>
  </w:style>
  <w:style w:type="character" w:customStyle="1" w:styleId="DateChar">
    <w:name w:val="Date Char"/>
    <w:basedOn w:val="DefaultParagraphFont"/>
    <w:link w:val="Date"/>
    <w:uiPriority w:val="99"/>
    <w:semiHidden/>
    <w:rsid w:val="00A20CD2"/>
    <w:rPr>
      <w:rFonts w:eastAsia="MS Mincho"/>
    </w:rPr>
  </w:style>
  <w:style w:type="paragraph" w:styleId="DocumentMap">
    <w:name w:val="Document Map"/>
    <w:basedOn w:val="Normal"/>
    <w:link w:val="DocumentMapChar"/>
    <w:uiPriority w:val="99"/>
    <w:semiHidden/>
    <w:unhideWhenUsed/>
    <w:rsid w:val="00A20CD2"/>
    <w:rPr>
      <w:rFonts w:ascii="Tahoma" w:eastAsia="MS Mincho" w:hAnsi="Tahoma" w:cs="Tahoma"/>
      <w:sz w:val="16"/>
      <w:szCs w:val="16"/>
    </w:rPr>
  </w:style>
  <w:style w:type="character" w:customStyle="1" w:styleId="DocumentMapChar">
    <w:name w:val="Document Map Char"/>
    <w:basedOn w:val="DefaultParagraphFont"/>
    <w:link w:val="DocumentMap"/>
    <w:uiPriority w:val="99"/>
    <w:semiHidden/>
    <w:rsid w:val="00A20CD2"/>
    <w:rPr>
      <w:rFonts w:ascii="Tahoma" w:eastAsia="MS Mincho" w:hAnsi="Tahoma" w:cs="Tahoma"/>
      <w:sz w:val="16"/>
      <w:szCs w:val="16"/>
    </w:rPr>
  </w:style>
  <w:style w:type="paragraph" w:styleId="E-mailSignature">
    <w:name w:val="E-mail Signature"/>
    <w:basedOn w:val="Normal"/>
    <w:link w:val="E-mailSignatureChar"/>
    <w:uiPriority w:val="99"/>
    <w:semiHidden/>
    <w:unhideWhenUsed/>
    <w:rsid w:val="00A20CD2"/>
    <w:rPr>
      <w:rFonts w:eastAsia="MS Mincho"/>
    </w:rPr>
  </w:style>
  <w:style w:type="character" w:customStyle="1" w:styleId="E-mailSignatureChar">
    <w:name w:val="E-mail Signature Char"/>
    <w:basedOn w:val="DefaultParagraphFont"/>
    <w:link w:val="E-mailSignature"/>
    <w:uiPriority w:val="99"/>
    <w:semiHidden/>
    <w:rsid w:val="00A20CD2"/>
    <w:rPr>
      <w:rFonts w:eastAsia="MS Mincho"/>
    </w:rPr>
  </w:style>
  <w:style w:type="character" w:styleId="EndnoteReference">
    <w:name w:val="endnote reference"/>
    <w:basedOn w:val="DefaultParagraphFont"/>
    <w:uiPriority w:val="99"/>
    <w:semiHidden/>
    <w:unhideWhenUsed/>
    <w:rsid w:val="00A20CD2"/>
    <w:rPr>
      <w:vertAlign w:val="superscript"/>
    </w:rPr>
  </w:style>
  <w:style w:type="paragraph" w:styleId="EndnoteText">
    <w:name w:val="endnote text"/>
    <w:basedOn w:val="Normal"/>
    <w:link w:val="EndnoteTextChar"/>
    <w:uiPriority w:val="99"/>
    <w:semiHidden/>
    <w:unhideWhenUsed/>
    <w:rsid w:val="00A20CD2"/>
    <w:rPr>
      <w:rFonts w:eastAsia="MS Mincho"/>
      <w:sz w:val="20"/>
      <w:szCs w:val="20"/>
    </w:rPr>
  </w:style>
  <w:style w:type="character" w:customStyle="1" w:styleId="EndnoteTextChar">
    <w:name w:val="Endnote Text Char"/>
    <w:basedOn w:val="DefaultParagraphFont"/>
    <w:link w:val="EndnoteText"/>
    <w:uiPriority w:val="99"/>
    <w:semiHidden/>
    <w:rsid w:val="00A20CD2"/>
    <w:rPr>
      <w:rFonts w:eastAsia="MS Mincho"/>
      <w:sz w:val="20"/>
      <w:szCs w:val="20"/>
    </w:rPr>
  </w:style>
  <w:style w:type="paragraph" w:styleId="EnvelopeAddress">
    <w:name w:val="envelope address"/>
    <w:basedOn w:val="Normal"/>
    <w:uiPriority w:val="99"/>
    <w:semiHidden/>
    <w:unhideWhenUsed/>
    <w:rsid w:val="00A20CD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20CD2"/>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0CD2"/>
    <w:rPr>
      <w:color w:val="954F72" w:themeColor="followedHyperlink"/>
      <w:u w:val="single"/>
    </w:rPr>
  </w:style>
  <w:style w:type="character" w:styleId="FootnoteReference">
    <w:name w:val="footnote reference"/>
    <w:basedOn w:val="DefaultParagraphFont"/>
    <w:uiPriority w:val="99"/>
    <w:semiHidden/>
    <w:unhideWhenUsed/>
    <w:rsid w:val="00A20CD2"/>
    <w:rPr>
      <w:vertAlign w:val="superscript"/>
    </w:rPr>
  </w:style>
  <w:style w:type="paragraph" w:styleId="Index1">
    <w:name w:val="index 1"/>
    <w:basedOn w:val="Normal"/>
    <w:next w:val="Normal"/>
    <w:autoRedefine/>
    <w:uiPriority w:val="99"/>
    <w:semiHidden/>
    <w:unhideWhenUsed/>
    <w:rsid w:val="00A20CD2"/>
    <w:pPr>
      <w:ind w:left="220" w:hanging="220"/>
    </w:pPr>
    <w:rPr>
      <w:rFonts w:eastAsia="MS Mincho"/>
    </w:rPr>
  </w:style>
  <w:style w:type="paragraph" w:styleId="Index2">
    <w:name w:val="index 2"/>
    <w:basedOn w:val="Normal"/>
    <w:next w:val="Normal"/>
    <w:autoRedefine/>
    <w:uiPriority w:val="99"/>
    <w:semiHidden/>
    <w:unhideWhenUsed/>
    <w:rsid w:val="00A20CD2"/>
    <w:pPr>
      <w:ind w:left="440" w:hanging="220"/>
    </w:pPr>
    <w:rPr>
      <w:rFonts w:eastAsia="MS Mincho"/>
    </w:rPr>
  </w:style>
  <w:style w:type="paragraph" w:styleId="Index3">
    <w:name w:val="index 3"/>
    <w:basedOn w:val="Normal"/>
    <w:next w:val="Normal"/>
    <w:autoRedefine/>
    <w:uiPriority w:val="99"/>
    <w:semiHidden/>
    <w:unhideWhenUsed/>
    <w:rsid w:val="00A20CD2"/>
    <w:pPr>
      <w:ind w:left="660" w:hanging="220"/>
    </w:pPr>
    <w:rPr>
      <w:rFonts w:eastAsia="MS Mincho"/>
    </w:rPr>
  </w:style>
  <w:style w:type="paragraph" w:styleId="Index4">
    <w:name w:val="index 4"/>
    <w:basedOn w:val="Normal"/>
    <w:next w:val="Normal"/>
    <w:autoRedefine/>
    <w:uiPriority w:val="99"/>
    <w:semiHidden/>
    <w:unhideWhenUsed/>
    <w:rsid w:val="00A20CD2"/>
    <w:pPr>
      <w:ind w:left="880" w:hanging="220"/>
    </w:pPr>
    <w:rPr>
      <w:rFonts w:eastAsia="MS Mincho"/>
    </w:rPr>
  </w:style>
  <w:style w:type="paragraph" w:styleId="Index5">
    <w:name w:val="index 5"/>
    <w:basedOn w:val="Normal"/>
    <w:next w:val="Normal"/>
    <w:autoRedefine/>
    <w:uiPriority w:val="99"/>
    <w:semiHidden/>
    <w:unhideWhenUsed/>
    <w:rsid w:val="00A20CD2"/>
    <w:pPr>
      <w:ind w:left="1100" w:hanging="220"/>
    </w:pPr>
    <w:rPr>
      <w:rFonts w:eastAsia="MS Mincho"/>
    </w:rPr>
  </w:style>
  <w:style w:type="paragraph" w:styleId="Index6">
    <w:name w:val="index 6"/>
    <w:basedOn w:val="Normal"/>
    <w:next w:val="Normal"/>
    <w:autoRedefine/>
    <w:uiPriority w:val="99"/>
    <w:semiHidden/>
    <w:unhideWhenUsed/>
    <w:rsid w:val="00A20CD2"/>
    <w:pPr>
      <w:ind w:left="1320" w:hanging="220"/>
    </w:pPr>
    <w:rPr>
      <w:rFonts w:eastAsia="MS Mincho"/>
    </w:rPr>
  </w:style>
  <w:style w:type="paragraph" w:styleId="Index7">
    <w:name w:val="index 7"/>
    <w:basedOn w:val="Normal"/>
    <w:next w:val="Normal"/>
    <w:autoRedefine/>
    <w:uiPriority w:val="99"/>
    <w:semiHidden/>
    <w:unhideWhenUsed/>
    <w:rsid w:val="00A20CD2"/>
    <w:pPr>
      <w:ind w:left="1540" w:hanging="220"/>
    </w:pPr>
    <w:rPr>
      <w:rFonts w:eastAsia="MS Mincho"/>
    </w:rPr>
  </w:style>
  <w:style w:type="paragraph" w:styleId="Index8">
    <w:name w:val="index 8"/>
    <w:basedOn w:val="Normal"/>
    <w:next w:val="Normal"/>
    <w:autoRedefine/>
    <w:uiPriority w:val="99"/>
    <w:semiHidden/>
    <w:unhideWhenUsed/>
    <w:rsid w:val="00A20CD2"/>
    <w:pPr>
      <w:ind w:left="1760" w:hanging="220"/>
    </w:pPr>
    <w:rPr>
      <w:rFonts w:eastAsia="MS Mincho"/>
    </w:rPr>
  </w:style>
  <w:style w:type="paragraph" w:styleId="Index9">
    <w:name w:val="index 9"/>
    <w:basedOn w:val="Normal"/>
    <w:next w:val="Normal"/>
    <w:autoRedefine/>
    <w:uiPriority w:val="99"/>
    <w:semiHidden/>
    <w:unhideWhenUsed/>
    <w:rsid w:val="00A20CD2"/>
    <w:pPr>
      <w:ind w:left="1980" w:hanging="220"/>
    </w:pPr>
    <w:rPr>
      <w:rFonts w:eastAsia="MS Mincho"/>
    </w:rPr>
  </w:style>
  <w:style w:type="paragraph" w:styleId="IndexHeading">
    <w:name w:val="index heading"/>
    <w:basedOn w:val="Normal"/>
    <w:next w:val="Index1"/>
    <w:uiPriority w:val="99"/>
    <w:semiHidden/>
    <w:unhideWhenUsed/>
    <w:rsid w:val="00A20CD2"/>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A20CD2"/>
  </w:style>
  <w:style w:type="paragraph" w:styleId="List4">
    <w:name w:val="List 4"/>
    <w:basedOn w:val="Normal"/>
    <w:uiPriority w:val="29"/>
    <w:semiHidden/>
    <w:unhideWhenUsed/>
    <w:rsid w:val="00A20CD2"/>
    <w:pPr>
      <w:ind w:left="1132" w:hanging="283"/>
      <w:contextualSpacing/>
    </w:pPr>
    <w:rPr>
      <w:rFonts w:eastAsia="MS Mincho"/>
    </w:rPr>
  </w:style>
  <w:style w:type="paragraph" w:styleId="List5">
    <w:name w:val="List 5"/>
    <w:basedOn w:val="Normal"/>
    <w:uiPriority w:val="29"/>
    <w:semiHidden/>
    <w:unhideWhenUsed/>
    <w:rsid w:val="00A20CD2"/>
    <w:pPr>
      <w:ind w:left="1415" w:hanging="283"/>
      <w:contextualSpacing/>
    </w:pPr>
    <w:rPr>
      <w:rFonts w:eastAsia="MS Mincho"/>
    </w:rPr>
  </w:style>
  <w:style w:type="paragraph" w:styleId="MacroText">
    <w:name w:val="macro"/>
    <w:link w:val="MacroTextChar"/>
    <w:uiPriority w:val="99"/>
    <w:semiHidden/>
    <w:unhideWhenUsed/>
    <w:rsid w:val="00A20CD2"/>
    <w:pPr>
      <w:keepLines/>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cs="Consolas"/>
      <w:sz w:val="20"/>
      <w:szCs w:val="20"/>
    </w:rPr>
  </w:style>
  <w:style w:type="character" w:customStyle="1" w:styleId="MacroTextChar">
    <w:name w:val="Macro Text Char"/>
    <w:basedOn w:val="DefaultParagraphFont"/>
    <w:link w:val="MacroText"/>
    <w:uiPriority w:val="99"/>
    <w:semiHidden/>
    <w:rsid w:val="00A20CD2"/>
    <w:rPr>
      <w:rFonts w:ascii="Consolas" w:eastAsia="MS Mincho" w:hAnsi="Consolas" w:cs="Consolas"/>
      <w:sz w:val="20"/>
      <w:szCs w:val="20"/>
    </w:rPr>
  </w:style>
  <w:style w:type="paragraph" w:styleId="PlainText">
    <w:name w:val="Plain Text"/>
    <w:basedOn w:val="Normal"/>
    <w:link w:val="PlainTextChar"/>
    <w:uiPriority w:val="99"/>
    <w:unhideWhenUsed/>
    <w:rsid w:val="00A20CD2"/>
    <w:rPr>
      <w:rFonts w:ascii="Consolas" w:eastAsia="MS Mincho" w:hAnsi="Consolas" w:cs="Consolas"/>
      <w:sz w:val="21"/>
      <w:szCs w:val="21"/>
    </w:rPr>
  </w:style>
  <w:style w:type="character" w:customStyle="1" w:styleId="PlainTextChar">
    <w:name w:val="Plain Text Char"/>
    <w:basedOn w:val="DefaultParagraphFont"/>
    <w:link w:val="PlainText"/>
    <w:uiPriority w:val="99"/>
    <w:rsid w:val="00A20CD2"/>
    <w:rPr>
      <w:rFonts w:ascii="Consolas" w:eastAsia="MS Mincho" w:hAnsi="Consolas" w:cs="Consolas"/>
      <w:sz w:val="21"/>
      <w:szCs w:val="21"/>
    </w:rPr>
  </w:style>
  <w:style w:type="character" w:styleId="PlaceholderText">
    <w:name w:val="Placeholder Text"/>
    <w:basedOn w:val="DefaultParagraphFont"/>
    <w:uiPriority w:val="99"/>
    <w:semiHidden/>
    <w:rsid w:val="00A20CD2"/>
    <w:rPr>
      <w:color w:val="808080"/>
    </w:rPr>
  </w:style>
  <w:style w:type="paragraph" w:styleId="Signature">
    <w:name w:val="Signature"/>
    <w:basedOn w:val="Normal"/>
    <w:link w:val="SignatureChar"/>
    <w:uiPriority w:val="99"/>
    <w:semiHidden/>
    <w:unhideWhenUsed/>
    <w:rsid w:val="00A20CD2"/>
    <w:pPr>
      <w:ind w:left="4252"/>
    </w:pPr>
    <w:rPr>
      <w:rFonts w:eastAsia="MS Mincho"/>
    </w:rPr>
  </w:style>
  <w:style w:type="character" w:customStyle="1" w:styleId="SignatureChar">
    <w:name w:val="Signature Char"/>
    <w:basedOn w:val="DefaultParagraphFont"/>
    <w:link w:val="Signature"/>
    <w:uiPriority w:val="99"/>
    <w:semiHidden/>
    <w:rsid w:val="00A20CD2"/>
    <w:rPr>
      <w:rFonts w:eastAsia="MS Mincho"/>
    </w:rPr>
  </w:style>
  <w:style w:type="paragraph" w:styleId="TableofAuthorities">
    <w:name w:val="table of authorities"/>
    <w:basedOn w:val="Normal"/>
    <w:next w:val="Normal"/>
    <w:uiPriority w:val="99"/>
    <w:semiHidden/>
    <w:unhideWhenUsed/>
    <w:rsid w:val="00A20CD2"/>
    <w:pPr>
      <w:ind w:left="220" w:hanging="220"/>
    </w:pPr>
    <w:rPr>
      <w:rFonts w:eastAsia="MS Mincho"/>
    </w:rPr>
  </w:style>
  <w:style w:type="paragraph" w:styleId="TableofFigures">
    <w:name w:val="table of figures"/>
    <w:basedOn w:val="Normal"/>
    <w:next w:val="Normal"/>
    <w:uiPriority w:val="99"/>
    <w:semiHidden/>
    <w:unhideWhenUsed/>
    <w:rsid w:val="00A20CD2"/>
    <w:rPr>
      <w:rFonts w:eastAsia="MS Mincho"/>
    </w:rPr>
  </w:style>
  <w:style w:type="table" w:styleId="TableProfessional">
    <w:name w:val="Table Professional"/>
    <w:basedOn w:val="TableNormal"/>
    <w:uiPriority w:val="99"/>
    <w:semiHidden/>
    <w:unhideWhenUsed/>
    <w:rsid w:val="00A20CD2"/>
    <w:pPr>
      <w:keepLines/>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A20CD2"/>
    <w:pPr>
      <w:keepLines/>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uiPriority w:val="99"/>
    <w:semiHidden/>
    <w:unhideWhenUsed/>
    <w:rsid w:val="00A20CD2"/>
    <w:rPr>
      <w:rFonts w:asciiTheme="majorHAnsi" w:eastAsiaTheme="majorEastAsia" w:hAnsiTheme="majorHAnsi" w:cstheme="majorBidi"/>
      <w:b/>
      <w:bCs/>
      <w:sz w:val="24"/>
      <w:szCs w:val="24"/>
    </w:rPr>
  </w:style>
  <w:style w:type="paragraph" w:styleId="TOC5">
    <w:name w:val="toc 5"/>
    <w:basedOn w:val="Normal"/>
    <w:next w:val="Normal"/>
    <w:autoRedefine/>
    <w:uiPriority w:val="49"/>
    <w:semiHidden/>
    <w:rsid w:val="004241D6"/>
    <w:pPr>
      <w:spacing w:after="100"/>
      <w:ind w:left="880"/>
    </w:pPr>
  </w:style>
  <w:style w:type="paragraph" w:styleId="TOC6">
    <w:name w:val="toc 6"/>
    <w:basedOn w:val="Normal"/>
    <w:next w:val="Normal"/>
    <w:autoRedefine/>
    <w:uiPriority w:val="96"/>
    <w:semiHidden/>
    <w:rsid w:val="00A20CD2"/>
    <w:pPr>
      <w:spacing w:after="100"/>
      <w:ind w:left="1100"/>
    </w:pPr>
    <w:rPr>
      <w:rFonts w:eastAsia="MS Mincho"/>
    </w:rPr>
  </w:style>
  <w:style w:type="paragraph" w:styleId="TOC8">
    <w:name w:val="toc 8"/>
    <w:basedOn w:val="Normal"/>
    <w:next w:val="Normal"/>
    <w:autoRedefine/>
    <w:uiPriority w:val="96"/>
    <w:semiHidden/>
    <w:rsid w:val="00A20CD2"/>
    <w:pPr>
      <w:spacing w:after="100"/>
      <w:ind w:left="1540"/>
    </w:pPr>
    <w:rPr>
      <w:rFonts w:eastAsia="MS Mincho"/>
    </w:rPr>
  </w:style>
  <w:style w:type="paragraph" w:styleId="TOCHeading">
    <w:name w:val="TOC Heading"/>
    <w:basedOn w:val="ChapterHeading"/>
    <w:next w:val="Normal"/>
    <w:uiPriority w:val="89"/>
    <w:unhideWhenUsed/>
    <w:qFormat/>
    <w:rsid w:val="004241D6"/>
    <w:pPr>
      <w:spacing w:after="240"/>
      <w:outlineLvl w:val="9"/>
    </w:pPr>
  </w:style>
  <w:style w:type="paragraph" w:customStyle="1" w:styleId="HeadingContents">
    <w:name w:val="Heading [Contents]"/>
    <w:basedOn w:val="ChapterHeading"/>
    <w:next w:val="Normal"/>
    <w:uiPriority w:val="99"/>
    <w:semiHidden/>
    <w:rsid w:val="00A20CD2"/>
    <w:pPr>
      <w:pBdr>
        <w:bottom w:val="single" w:sz="12" w:space="7" w:color="auto"/>
      </w:pBdr>
    </w:pPr>
    <w:rPr>
      <w:rFonts w:ascii="Calibri" w:eastAsia="Times New Roman" w:hAnsi="Calibri" w:cs="Times New Roman"/>
      <w:b w:val="0"/>
      <w:caps w:val="0"/>
      <w:sz w:val="38"/>
      <w:szCs w:val="28"/>
    </w:rPr>
  </w:style>
  <w:style w:type="numbering" w:customStyle="1" w:styleId="ListAlphaStyle">
    <w:name w:val="List Alpha Style"/>
    <w:uiPriority w:val="99"/>
    <w:rsid w:val="00A20CD2"/>
    <w:pPr>
      <w:numPr>
        <w:numId w:val="6"/>
      </w:numPr>
    </w:pPr>
  </w:style>
  <w:style w:type="numbering" w:customStyle="1" w:styleId="ListNumberStyle">
    <w:name w:val="List Number Style"/>
    <w:uiPriority w:val="99"/>
    <w:rsid w:val="00A20CD2"/>
    <w:pPr>
      <w:numPr>
        <w:numId w:val="8"/>
      </w:numPr>
    </w:pPr>
  </w:style>
  <w:style w:type="paragraph" w:customStyle="1" w:styleId="ControlledEntitiesDepartment">
    <w:name w:val="Controlled Entities Department"/>
    <w:basedOn w:val="Normal"/>
    <w:next w:val="Normal"/>
    <w:uiPriority w:val="97"/>
    <w:qFormat/>
    <w:rsid w:val="00A20CD2"/>
    <w:pPr>
      <w:shd w:val="clear" w:color="auto" w:fill="D9D9D9" w:themeFill="background1" w:themeFillShade="D9"/>
      <w:spacing w:before="40" w:after="20"/>
      <w:ind w:left="170" w:hanging="170"/>
    </w:pPr>
    <w:rPr>
      <w:rFonts w:asciiTheme="majorHAnsi" w:hAnsiTheme="majorHAnsi"/>
      <w:b/>
      <w:bCs/>
      <w:sz w:val="18"/>
    </w:rPr>
  </w:style>
  <w:style w:type="numbering" w:customStyle="1" w:styleId="Bullet">
    <w:name w:val="Bullet"/>
    <w:uiPriority w:val="99"/>
    <w:rsid w:val="00A20CD2"/>
    <w:pPr>
      <w:numPr>
        <w:numId w:val="7"/>
      </w:numPr>
    </w:pPr>
  </w:style>
  <w:style w:type="table" w:customStyle="1" w:styleId="TableDTFGeneral">
    <w:name w:val="Table DTF General"/>
    <w:basedOn w:val="TableNormal"/>
    <w:uiPriority w:val="99"/>
    <w:rsid w:val="00A20CD2"/>
    <w:pPr>
      <w:spacing w:before="20" w:after="20"/>
      <w:jc w:val="right"/>
    </w:pPr>
    <w:rPr>
      <w:rFonts w:asciiTheme="majorHAnsi" w:eastAsia="MS Mincho"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HTMLAddress">
    <w:name w:val="HTML Address"/>
    <w:basedOn w:val="Normal"/>
    <w:link w:val="HTMLAddressChar"/>
    <w:uiPriority w:val="99"/>
    <w:semiHidden/>
    <w:unhideWhenUsed/>
    <w:rsid w:val="00A20CD2"/>
    <w:rPr>
      <w:i/>
      <w:iCs/>
    </w:rPr>
  </w:style>
  <w:style w:type="character" w:customStyle="1" w:styleId="HTMLAddressChar">
    <w:name w:val="HTML Address Char"/>
    <w:basedOn w:val="DefaultParagraphFont"/>
    <w:link w:val="HTMLAddress"/>
    <w:uiPriority w:val="99"/>
    <w:semiHidden/>
    <w:rsid w:val="00A20CD2"/>
    <w:rPr>
      <w:rFonts w:cs="Times New Roman"/>
      <w:i/>
      <w:iCs/>
    </w:rPr>
  </w:style>
  <w:style w:type="paragraph" w:styleId="HTMLPreformatted">
    <w:name w:val="HTML Preformatted"/>
    <w:basedOn w:val="Normal"/>
    <w:link w:val="HTMLPreformattedChar"/>
    <w:uiPriority w:val="99"/>
    <w:semiHidden/>
    <w:unhideWhenUsed/>
    <w:rsid w:val="00A20CD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CD2"/>
    <w:rPr>
      <w:rFonts w:ascii="Consolas" w:hAnsi="Consolas" w:cs="Times New Roman"/>
      <w:sz w:val="20"/>
      <w:szCs w:val="20"/>
    </w:rPr>
  </w:style>
  <w:style w:type="paragraph" w:styleId="List">
    <w:name w:val="List"/>
    <w:basedOn w:val="Normal"/>
    <w:uiPriority w:val="29"/>
    <w:semiHidden/>
    <w:unhideWhenUsed/>
    <w:rsid w:val="00A20CD2"/>
    <w:pPr>
      <w:ind w:left="283" w:hanging="283"/>
      <w:contextualSpacing/>
    </w:pPr>
  </w:style>
  <w:style w:type="paragraph" w:styleId="MessageHeader">
    <w:name w:val="Message Header"/>
    <w:basedOn w:val="Normal"/>
    <w:link w:val="MessageHeaderChar"/>
    <w:uiPriority w:val="99"/>
    <w:semiHidden/>
    <w:unhideWhenUsed/>
    <w:rsid w:val="00A20CD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20CD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20CD2"/>
    <w:rPr>
      <w:rFonts w:ascii="Times New Roman" w:hAnsi="Times New Roman"/>
      <w:sz w:val="24"/>
      <w:szCs w:val="24"/>
    </w:rPr>
  </w:style>
  <w:style w:type="paragraph" w:styleId="NormalIndent">
    <w:name w:val="Normal Indent"/>
    <w:basedOn w:val="Normal"/>
    <w:uiPriority w:val="99"/>
    <w:semiHidden/>
    <w:unhideWhenUsed/>
    <w:qFormat/>
    <w:rsid w:val="00A20CD2"/>
    <w:pPr>
      <w:ind w:left="720"/>
    </w:pPr>
  </w:style>
  <w:style w:type="paragraph" w:styleId="NoteHeading">
    <w:name w:val="Note Heading"/>
    <w:basedOn w:val="Normal"/>
    <w:next w:val="Normal"/>
    <w:link w:val="NoteHeadingChar"/>
    <w:uiPriority w:val="99"/>
    <w:semiHidden/>
    <w:unhideWhenUsed/>
    <w:rsid w:val="00A20CD2"/>
  </w:style>
  <w:style w:type="character" w:customStyle="1" w:styleId="NoteHeadingChar">
    <w:name w:val="Note Heading Char"/>
    <w:basedOn w:val="DefaultParagraphFont"/>
    <w:link w:val="NoteHeading"/>
    <w:uiPriority w:val="99"/>
    <w:semiHidden/>
    <w:rsid w:val="00A20CD2"/>
    <w:rPr>
      <w:rFonts w:cs="Times New Roman"/>
    </w:rPr>
  </w:style>
  <w:style w:type="paragraph" w:styleId="Salutation">
    <w:name w:val="Salutation"/>
    <w:basedOn w:val="Normal"/>
    <w:next w:val="Normal"/>
    <w:link w:val="SalutationChar"/>
    <w:uiPriority w:val="99"/>
    <w:semiHidden/>
    <w:unhideWhenUsed/>
    <w:rsid w:val="00A20CD2"/>
  </w:style>
  <w:style w:type="character" w:customStyle="1" w:styleId="SalutationChar">
    <w:name w:val="Salutation Char"/>
    <w:basedOn w:val="DefaultParagraphFont"/>
    <w:link w:val="Salutation"/>
    <w:uiPriority w:val="99"/>
    <w:semiHidden/>
    <w:rsid w:val="00A20CD2"/>
  </w:style>
  <w:style w:type="paragraph" w:styleId="Subtitle">
    <w:name w:val="Subtitle"/>
    <w:basedOn w:val="Normal"/>
    <w:next w:val="Normal"/>
    <w:link w:val="SubtitleChar"/>
    <w:uiPriority w:val="90"/>
    <w:qFormat/>
    <w:rsid w:val="00A20CD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0"/>
    <w:rsid w:val="00A20CD2"/>
    <w:rPr>
      <w:rFonts w:eastAsiaTheme="minorEastAsia" w:cs="Times New Roman"/>
      <w:color w:val="5A5A5A" w:themeColor="text1" w:themeTint="A5"/>
      <w:spacing w:val="15"/>
    </w:rPr>
  </w:style>
  <w:style w:type="paragraph" w:styleId="Title">
    <w:name w:val="Title"/>
    <w:basedOn w:val="Normal"/>
    <w:next w:val="Normal"/>
    <w:link w:val="TitleChar"/>
    <w:uiPriority w:val="89"/>
    <w:qFormat/>
    <w:rsid w:val="00A20C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89"/>
    <w:rsid w:val="00A20CD2"/>
    <w:rPr>
      <w:rFonts w:asciiTheme="majorHAnsi" w:eastAsiaTheme="majorEastAsia" w:hAnsiTheme="majorHAnsi" w:cstheme="majorBidi"/>
      <w:spacing w:val="-10"/>
      <w:kern w:val="28"/>
      <w:sz w:val="56"/>
      <w:szCs w:val="56"/>
    </w:rPr>
  </w:style>
  <w:style w:type="character" w:customStyle="1" w:styleId="SourceChar">
    <w:name w:val="Source Char"/>
    <w:link w:val="Source"/>
    <w:uiPriority w:val="30"/>
    <w:locked/>
    <w:rsid w:val="004241D6"/>
    <w:rPr>
      <w:rFonts w:asciiTheme="majorHAnsi" w:hAnsiTheme="majorHAnsi"/>
      <w:i/>
      <w:sz w:val="14"/>
    </w:rPr>
  </w:style>
  <w:style w:type="table" w:styleId="TableGridLight">
    <w:name w:val="Grid Table Light"/>
    <w:basedOn w:val="TableNormal"/>
    <w:uiPriority w:val="40"/>
    <w:rsid w:val="006917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C35E03"/>
    <w:rPr>
      <w:color w:val="2B579A"/>
      <w:shd w:val="clear" w:color="auto" w:fill="E6E6E6"/>
    </w:rPr>
  </w:style>
  <w:style w:type="paragraph" w:customStyle="1" w:styleId="ShadedNote">
    <w:name w:val="Shaded Note"/>
    <w:basedOn w:val="ShadedBoxText"/>
    <w:uiPriority w:val="37"/>
    <w:qFormat/>
    <w:rsid w:val="005A1E61"/>
    <w:pPr>
      <w:tabs>
        <w:tab w:val="left" w:pos="284"/>
      </w:tabs>
      <w:spacing w:before="60"/>
      <w:contextualSpacing/>
    </w:pPr>
    <w:rPr>
      <w:rFonts w:asciiTheme="majorHAnsi" w:hAnsiTheme="majorHAnsi"/>
      <w:i/>
      <w:sz w:val="14"/>
    </w:rPr>
  </w:style>
  <w:style w:type="paragraph" w:customStyle="1" w:styleId="Default">
    <w:name w:val="Default"/>
    <w:autoRedefine/>
    <w:rsid w:val="004D42F9"/>
    <w:pPr>
      <w:autoSpaceDE w:val="0"/>
      <w:autoSpaceDN w:val="0"/>
      <w:adjustRightInd w:val="0"/>
      <w:spacing w:line="240" w:lineRule="atLeast"/>
    </w:pPr>
    <w:rPr>
      <w:rFonts w:eastAsia="Times New Roman" w:cs="Times New Roman"/>
      <w:color w:val="000000"/>
      <w:szCs w:val="24"/>
      <w:lang w:eastAsia="en-AU"/>
    </w:rPr>
  </w:style>
  <w:style w:type="paragraph" w:styleId="IntenseQuote">
    <w:name w:val="Intense Quote"/>
    <w:basedOn w:val="Normal"/>
    <w:next w:val="Normal"/>
    <w:link w:val="IntenseQuoteChar"/>
    <w:uiPriority w:val="30"/>
    <w:qFormat/>
    <w:rsid w:val="004D42F9"/>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rPr>
  </w:style>
  <w:style w:type="character" w:customStyle="1" w:styleId="IntenseQuoteChar">
    <w:name w:val="Intense Quote Char"/>
    <w:basedOn w:val="DefaultParagraphFont"/>
    <w:link w:val="IntenseQuote"/>
    <w:uiPriority w:val="30"/>
    <w:rsid w:val="004D42F9"/>
    <w:rPr>
      <w:rFonts w:eastAsiaTheme="minorHAnsi" w:cs="Times New Roman"/>
      <w:i/>
      <w:iCs/>
      <w:color w:val="4472C4" w:themeColor="accent1"/>
    </w:rPr>
  </w:style>
  <w:style w:type="paragraph" w:styleId="Quote">
    <w:name w:val="Quote"/>
    <w:basedOn w:val="Normal"/>
    <w:next w:val="Normal"/>
    <w:link w:val="QuoteChar"/>
    <w:uiPriority w:val="29"/>
    <w:qFormat/>
    <w:rsid w:val="004D42F9"/>
    <w:pPr>
      <w:spacing w:before="20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4D42F9"/>
    <w:rPr>
      <w:rFonts w:eastAsiaTheme="minorHAnsi" w:cs="Times New Roman"/>
      <w:i/>
      <w:iCs/>
      <w:color w:val="404040" w:themeColor="text1" w:themeTint="BF"/>
    </w:rPr>
  </w:style>
  <w:style w:type="character" w:styleId="UnresolvedMention">
    <w:name w:val="Unresolved Mention"/>
    <w:basedOn w:val="DefaultParagraphFont"/>
    <w:uiPriority w:val="99"/>
    <w:semiHidden/>
    <w:unhideWhenUsed/>
    <w:rsid w:val="004D4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721">
      <w:bodyDiv w:val="1"/>
      <w:marLeft w:val="0"/>
      <w:marRight w:val="0"/>
      <w:marTop w:val="0"/>
      <w:marBottom w:val="0"/>
      <w:divBdr>
        <w:top w:val="none" w:sz="0" w:space="0" w:color="auto"/>
        <w:left w:val="none" w:sz="0" w:space="0" w:color="auto"/>
        <w:bottom w:val="none" w:sz="0" w:space="0" w:color="auto"/>
        <w:right w:val="none" w:sz="0" w:space="0" w:color="auto"/>
      </w:divBdr>
    </w:div>
    <w:div w:id="22630129">
      <w:bodyDiv w:val="1"/>
      <w:marLeft w:val="0"/>
      <w:marRight w:val="0"/>
      <w:marTop w:val="0"/>
      <w:marBottom w:val="0"/>
      <w:divBdr>
        <w:top w:val="none" w:sz="0" w:space="0" w:color="auto"/>
        <w:left w:val="none" w:sz="0" w:space="0" w:color="auto"/>
        <w:bottom w:val="none" w:sz="0" w:space="0" w:color="auto"/>
        <w:right w:val="none" w:sz="0" w:space="0" w:color="auto"/>
      </w:divBdr>
    </w:div>
    <w:div w:id="116877544">
      <w:bodyDiv w:val="1"/>
      <w:marLeft w:val="0"/>
      <w:marRight w:val="0"/>
      <w:marTop w:val="0"/>
      <w:marBottom w:val="0"/>
      <w:divBdr>
        <w:top w:val="none" w:sz="0" w:space="0" w:color="auto"/>
        <w:left w:val="none" w:sz="0" w:space="0" w:color="auto"/>
        <w:bottom w:val="none" w:sz="0" w:space="0" w:color="auto"/>
        <w:right w:val="none" w:sz="0" w:space="0" w:color="auto"/>
      </w:divBdr>
    </w:div>
    <w:div w:id="144248426">
      <w:bodyDiv w:val="1"/>
      <w:marLeft w:val="0"/>
      <w:marRight w:val="0"/>
      <w:marTop w:val="0"/>
      <w:marBottom w:val="0"/>
      <w:divBdr>
        <w:top w:val="none" w:sz="0" w:space="0" w:color="auto"/>
        <w:left w:val="none" w:sz="0" w:space="0" w:color="auto"/>
        <w:bottom w:val="none" w:sz="0" w:space="0" w:color="auto"/>
        <w:right w:val="none" w:sz="0" w:space="0" w:color="auto"/>
      </w:divBdr>
      <w:divsChild>
        <w:div w:id="716779531">
          <w:marLeft w:val="0"/>
          <w:marRight w:val="0"/>
          <w:marTop w:val="0"/>
          <w:marBottom w:val="0"/>
          <w:divBdr>
            <w:top w:val="none" w:sz="0" w:space="0" w:color="auto"/>
            <w:left w:val="none" w:sz="0" w:space="0" w:color="auto"/>
            <w:bottom w:val="none" w:sz="0" w:space="0" w:color="auto"/>
            <w:right w:val="none" w:sz="0" w:space="0" w:color="auto"/>
          </w:divBdr>
        </w:div>
        <w:div w:id="941648333">
          <w:marLeft w:val="0"/>
          <w:marRight w:val="0"/>
          <w:marTop w:val="0"/>
          <w:marBottom w:val="0"/>
          <w:divBdr>
            <w:top w:val="none" w:sz="0" w:space="0" w:color="auto"/>
            <w:left w:val="none" w:sz="0" w:space="0" w:color="auto"/>
            <w:bottom w:val="none" w:sz="0" w:space="0" w:color="auto"/>
            <w:right w:val="none" w:sz="0" w:space="0" w:color="auto"/>
          </w:divBdr>
        </w:div>
      </w:divsChild>
    </w:div>
    <w:div w:id="257257953">
      <w:bodyDiv w:val="1"/>
      <w:marLeft w:val="0"/>
      <w:marRight w:val="0"/>
      <w:marTop w:val="0"/>
      <w:marBottom w:val="0"/>
      <w:divBdr>
        <w:top w:val="none" w:sz="0" w:space="0" w:color="auto"/>
        <w:left w:val="none" w:sz="0" w:space="0" w:color="auto"/>
        <w:bottom w:val="none" w:sz="0" w:space="0" w:color="auto"/>
        <w:right w:val="none" w:sz="0" w:space="0" w:color="auto"/>
      </w:divBdr>
    </w:div>
    <w:div w:id="341863908">
      <w:bodyDiv w:val="1"/>
      <w:marLeft w:val="0"/>
      <w:marRight w:val="0"/>
      <w:marTop w:val="0"/>
      <w:marBottom w:val="0"/>
      <w:divBdr>
        <w:top w:val="none" w:sz="0" w:space="0" w:color="auto"/>
        <w:left w:val="none" w:sz="0" w:space="0" w:color="auto"/>
        <w:bottom w:val="none" w:sz="0" w:space="0" w:color="auto"/>
        <w:right w:val="none" w:sz="0" w:space="0" w:color="auto"/>
      </w:divBdr>
    </w:div>
    <w:div w:id="436485814">
      <w:bodyDiv w:val="1"/>
      <w:marLeft w:val="0"/>
      <w:marRight w:val="0"/>
      <w:marTop w:val="0"/>
      <w:marBottom w:val="0"/>
      <w:divBdr>
        <w:top w:val="none" w:sz="0" w:space="0" w:color="auto"/>
        <w:left w:val="none" w:sz="0" w:space="0" w:color="auto"/>
        <w:bottom w:val="none" w:sz="0" w:space="0" w:color="auto"/>
        <w:right w:val="none" w:sz="0" w:space="0" w:color="auto"/>
      </w:divBdr>
      <w:divsChild>
        <w:div w:id="1314211852">
          <w:marLeft w:val="0"/>
          <w:marRight w:val="0"/>
          <w:marTop w:val="0"/>
          <w:marBottom w:val="0"/>
          <w:divBdr>
            <w:top w:val="none" w:sz="0" w:space="0" w:color="auto"/>
            <w:left w:val="none" w:sz="0" w:space="0" w:color="auto"/>
            <w:bottom w:val="none" w:sz="0" w:space="0" w:color="auto"/>
            <w:right w:val="none" w:sz="0" w:space="0" w:color="auto"/>
          </w:divBdr>
        </w:div>
        <w:div w:id="1431386408">
          <w:marLeft w:val="0"/>
          <w:marRight w:val="0"/>
          <w:marTop w:val="0"/>
          <w:marBottom w:val="0"/>
          <w:divBdr>
            <w:top w:val="none" w:sz="0" w:space="0" w:color="auto"/>
            <w:left w:val="none" w:sz="0" w:space="0" w:color="auto"/>
            <w:bottom w:val="none" w:sz="0" w:space="0" w:color="auto"/>
            <w:right w:val="none" w:sz="0" w:space="0" w:color="auto"/>
          </w:divBdr>
        </w:div>
      </w:divsChild>
    </w:div>
    <w:div w:id="454564311">
      <w:bodyDiv w:val="1"/>
      <w:marLeft w:val="0"/>
      <w:marRight w:val="0"/>
      <w:marTop w:val="0"/>
      <w:marBottom w:val="0"/>
      <w:divBdr>
        <w:top w:val="none" w:sz="0" w:space="0" w:color="auto"/>
        <w:left w:val="none" w:sz="0" w:space="0" w:color="auto"/>
        <w:bottom w:val="none" w:sz="0" w:space="0" w:color="auto"/>
        <w:right w:val="none" w:sz="0" w:space="0" w:color="auto"/>
      </w:divBdr>
    </w:div>
    <w:div w:id="706873905">
      <w:bodyDiv w:val="1"/>
      <w:marLeft w:val="0"/>
      <w:marRight w:val="0"/>
      <w:marTop w:val="0"/>
      <w:marBottom w:val="0"/>
      <w:divBdr>
        <w:top w:val="none" w:sz="0" w:space="0" w:color="auto"/>
        <w:left w:val="none" w:sz="0" w:space="0" w:color="auto"/>
        <w:bottom w:val="none" w:sz="0" w:space="0" w:color="auto"/>
        <w:right w:val="none" w:sz="0" w:space="0" w:color="auto"/>
      </w:divBdr>
    </w:div>
    <w:div w:id="750741254">
      <w:bodyDiv w:val="1"/>
      <w:marLeft w:val="0"/>
      <w:marRight w:val="0"/>
      <w:marTop w:val="0"/>
      <w:marBottom w:val="0"/>
      <w:divBdr>
        <w:top w:val="none" w:sz="0" w:space="0" w:color="auto"/>
        <w:left w:val="none" w:sz="0" w:space="0" w:color="auto"/>
        <w:bottom w:val="none" w:sz="0" w:space="0" w:color="auto"/>
        <w:right w:val="none" w:sz="0" w:space="0" w:color="auto"/>
      </w:divBdr>
    </w:div>
    <w:div w:id="779761634">
      <w:bodyDiv w:val="1"/>
      <w:marLeft w:val="0"/>
      <w:marRight w:val="0"/>
      <w:marTop w:val="0"/>
      <w:marBottom w:val="0"/>
      <w:divBdr>
        <w:top w:val="none" w:sz="0" w:space="0" w:color="auto"/>
        <w:left w:val="none" w:sz="0" w:space="0" w:color="auto"/>
        <w:bottom w:val="none" w:sz="0" w:space="0" w:color="auto"/>
        <w:right w:val="none" w:sz="0" w:space="0" w:color="auto"/>
      </w:divBdr>
    </w:div>
    <w:div w:id="828012468">
      <w:bodyDiv w:val="1"/>
      <w:marLeft w:val="0"/>
      <w:marRight w:val="0"/>
      <w:marTop w:val="0"/>
      <w:marBottom w:val="0"/>
      <w:divBdr>
        <w:top w:val="none" w:sz="0" w:space="0" w:color="auto"/>
        <w:left w:val="none" w:sz="0" w:space="0" w:color="auto"/>
        <w:bottom w:val="none" w:sz="0" w:space="0" w:color="auto"/>
        <w:right w:val="none" w:sz="0" w:space="0" w:color="auto"/>
      </w:divBdr>
    </w:div>
    <w:div w:id="851601709">
      <w:bodyDiv w:val="1"/>
      <w:marLeft w:val="0"/>
      <w:marRight w:val="0"/>
      <w:marTop w:val="0"/>
      <w:marBottom w:val="0"/>
      <w:divBdr>
        <w:top w:val="none" w:sz="0" w:space="0" w:color="auto"/>
        <w:left w:val="none" w:sz="0" w:space="0" w:color="auto"/>
        <w:bottom w:val="none" w:sz="0" w:space="0" w:color="auto"/>
        <w:right w:val="none" w:sz="0" w:space="0" w:color="auto"/>
      </w:divBdr>
    </w:div>
    <w:div w:id="864294630">
      <w:bodyDiv w:val="1"/>
      <w:marLeft w:val="0"/>
      <w:marRight w:val="0"/>
      <w:marTop w:val="0"/>
      <w:marBottom w:val="0"/>
      <w:divBdr>
        <w:top w:val="none" w:sz="0" w:space="0" w:color="auto"/>
        <w:left w:val="none" w:sz="0" w:space="0" w:color="auto"/>
        <w:bottom w:val="none" w:sz="0" w:space="0" w:color="auto"/>
        <w:right w:val="none" w:sz="0" w:space="0" w:color="auto"/>
      </w:divBdr>
      <w:divsChild>
        <w:div w:id="1232735289">
          <w:marLeft w:val="0"/>
          <w:marRight w:val="0"/>
          <w:marTop w:val="0"/>
          <w:marBottom w:val="0"/>
          <w:divBdr>
            <w:top w:val="none" w:sz="0" w:space="0" w:color="auto"/>
            <w:left w:val="none" w:sz="0" w:space="0" w:color="auto"/>
            <w:bottom w:val="none" w:sz="0" w:space="0" w:color="auto"/>
            <w:right w:val="none" w:sz="0" w:space="0" w:color="auto"/>
          </w:divBdr>
        </w:div>
        <w:div w:id="1271550429">
          <w:marLeft w:val="0"/>
          <w:marRight w:val="0"/>
          <w:marTop w:val="0"/>
          <w:marBottom w:val="0"/>
          <w:divBdr>
            <w:top w:val="none" w:sz="0" w:space="0" w:color="auto"/>
            <w:left w:val="none" w:sz="0" w:space="0" w:color="auto"/>
            <w:bottom w:val="none" w:sz="0" w:space="0" w:color="auto"/>
            <w:right w:val="none" w:sz="0" w:space="0" w:color="auto"/>
          </w:divBdr>
        </w:div>
        <w:div w:id="1809086171">
          <w:marLeft w:val="0"/>
          <w:marRight w:val="0"/>
          <w:marTop w:val="0"/>
          <w:marBottom w:val="0"/>
          <w:divBdr>
            <w:top w:val="none" w:sz="0" w:space="0" w:color="auto"/>
            <w:left w:val="none" w:sz="0" w:space="0" w:color="auto"/>
            <w:bottom w:val="none" w:sz="0" w:space="0" w:color="auto"/>
            <w:right w:val="none" w:sz="0" w:space="0" w:color="auto"/>
          </w:divBdr>
        </w:div>
        <w:div w:id="2032337212">
          <w:marLeft w:val="0"/>
          <w:marRight w:val="0"/>
          <w:marTop w:val="0"/>
          <w:marBottom w:val="0"/>
          <w:divBdr>
            <w:top w:val="none" w:sz="0" w:space="0" w:color="auto"/>
            <w:left w:val="none" w:sz="0" w:space="0" w:color="auto"/>
            <w:bottom w:val="none" w:sz="0" w:space="0" w:color="auto"/>
            <w:right w:val="none" w:sz="0" w:space="0" w:color="auto"/>
          </w:divBdr>
        </w:div>
      </w:divsChild>
    </w:div>
    <w:div w:id="944657620">
      <w:bodyDiv w:val="1"/>
      <w:marLeft w:val="0"/>
      <w:marRight w:val="0"/>
      <w:marTop w:val="0"/>
      <w:marBottom w:val="0"/>
      <w:divBdr>
        <w:top w:val="none" w:sz="0" w:space="0" w:color="auto"/>
        <w:left w:val="none" w:sz="0" w:space="0" w:color="auto"/>
        <w:bottom w:val="none" w:sz="0" w:space="0" w:color="auto"/>
        <w:right w:val="none" w:sz="0" w:space="0" w:color="auto"/>
      </w:divBdr>
    </w:div>
    <w:div w:id="966349555">
      <w:bodyDiv w:val="1"/>
      <w:marLeft w:val="0"/>
      <w:marRight w:val="0"/>
      <w:marTop w:val="0"/>
      <w:marBottom w:val="0"/>
      <w:divBdr>
        <w:top w:val="none" w:sz="0" w:space="0" w:color="auto"/>
        <w:left w:val="none" w:sz="0" w:space="0" w:color="auto"/>
        <w:bottom w:val="none" w:sz="0" w:space="0" w:color="auto"/>
        <w:right w:val="none" w:sz="0" w:space="0" w:color="auto"/>
      </w:divBdr>
    </w:div>
    <w:div w:id="970399504">
      <w:bodyDiv w:val="1"/>
      <w:marLeft w:val="0"/>
      <w:marRight w:val="0"/>
      <w:marTop w:val="0"/>
      <w:marBottom w:val="0"/>
      <w:divBdr>
        <w:top w:val="none" w:sz="0" w:space="0" w:color="auto"/>
        <w:left w:val="none" w:sz="0" w:space="0" w:color="auto"/>
        <w:bottom w:val="none" w:sz="0" w:space="0" w:color="auto"/>
        <w:right w:val="none" w:sz="0" w:space="0" w:color="auto"/>
      </w:divBdr>
    </w:div>
    <w:div w:id="989021342">
      <w:bodyDiv w:val="1"/>
      <w:marLeft w:val="0"/>
      <w:marRight w:val="0"/>
      <w:marTop w:val="0"/>
      <w:marBottom w:val="0"/>
      <w:divBdr>
        <w:top w:val="none" w:sz="0" w:space="0" w:color="auto"/>
        <w:left w:val="none" w:sz="0" w:space="0" w:color="auto"/>
        <w:bottom w:val="none" w:sz="0" w:space="0" w:color="auto"/>
        <w:right w:val="none" w:sz="0" w:space="0" w:color="auto"/>
      </w:divBdr>
    </w:div>
    <w:div w:id="1032223121">
      <w:bodyDiv w:val="1"/>
      <w:marLeft w:val="0"/>
      <w:marRight w:val="0"/>
      <w:marTop w:val="0"/>
      <w:marBottom w:val="0"/>
      <w:divBdr>
        <w:top w:val="none" w:sz="0" w:space="0" w:color="auto"/>
        <w:left w:val="none" w:sz="0" w:space="0" w:color="auto"/>
        <w:bottom w:val="none" w:sz="0" w:space="0" w:color="auto"/>
        <w:right w:val="none" w:sz="0" w:space="0" w:color="auto"/>
      </w:divBdr>
    </w:div>
    <w:div w:id="1040326668">
      <w:bodyDiv w:val="1"/>
      <w:marLeft w:val="0"/>
      <w:marRight w:val="0"/>
      <w:marTop w:val="0"/>
      <w:marBottom w:val="0"/>
      <w:divBdr>
        <w:top w:val="none" w:sz="0" w:space="0" w:color="auto"/>
        <w:left w:val="none" w:sz="0" w:space="0" w:color="auto"/>
        <w:bottom w:val="none" w:sz="0" w:space="0" w:color="auto"/>
        <w:right w:val="none" w:sz="0" w:space="0" w:color="auto"/>
      </w:divBdr>
      <w:divsChild>
        <w:div w:id="293173125">
          <w:marLeft w:val="0"/>
          <w:marRight w:val="0"/>
          <w:marTop w:val="0"/>
          <w:marBottom w:val="0"/>
          <w:divBdr>
            <w:top w:val="none" w:sz="0" w:space="0" w:color="auto"/>
            <w:left w:val="none" w:sz="0" w:space="0" w:color="auto"/>
            <w:bottom w:val="none" w:sz="0" w:space="0" w:color="auto"/>
            <w:right w:val="none" w:sz="0" w:space="0" w:color="auto"/>
          </w:divBdr>
        </w:div>
        <w:div w:id="1304847682">
          <w:marLeft w:val="0"/>
          <w:marRight w:val="0"/>
          <w:marTop w:val="0"/>
          <w:marBottom w:val="0"/>
          <w:divBdr>
            <w:top w:val="none" w:sz="0" w:space="0" w:color="auto"/>
            <w:left w:val="none" w:sz="0" w:space="0" w:color="auto"/>
            <w:bottom w:val="none" w:sz="0" w:space="0" w:color="auto"/>
            <w:right w:val="none" w:sz="0" w:space="0" w:color="auto"/>
          </w:divBdr>
        </w:div>
      </w:divsChild>
    </w:div>
    <w:div w:id="1052197316">
      <w:bodyDiv w:val="1"/>
      <w:marLeft w:val="0"/>
      <w:marRight w:val="0"/>
      <w:marTop w:val="0"/>
      <w:marBottom w:val="0"/>
      <w:divBdr>
        <w:top w:val="none" w:sz="0" w:space="0" w:color="auto"/>
        <w:left w:val="none" w:sz="0" w:space="0" w:color="auto"/>
        <w:bottom w:val="none" w:sz="0" w:space="0" w:color="auto"/>
        <w:right w:val="none" w:sz="0" w:space="0" w:color="auto"/>
      </w:divBdr>
    </w:div>
    <w:div w:id="1090272692">
      <w:bodyDiv w:val="1"/>
      <w:marLeft w:val="0"/>
      <w:marRight w:val="0"/>
      <w:marTop w:val="0"/>
      <w:marBottom w:val="0"/>
      <w:divBdr>
        <w:top w:val="none" w:sz="0" w:space="0" w:color="auto"/>
        <w:left w:val="none" w:sz="0" w:space="0" w:color="auto"/>
        <w:bottom w:val="none" w:sz="0" w:space="0" w:color="auto"/>
        <w:right w:val="none" w:sz="0" w:space="0" w:color="auto"/>
      </w:divBdr>
    </w:div>
    <w:div w:id="1152065442">
      <w:bodyDiv w:val="1"/>
      <w:marLeft w:val="0"/>
      <w:marRight w:val="0"/>
      <w:marTop w:val="0"/>
      <w:marBottom w:val="0"/>
      <w:divBdr>
        <w:top w:val="none" w:sz="0" w:space="0" w:color="auto"/>
        <w:left w:val="none" w:sz="0" w:space="0" w:color="auto"/>
        <w:bottom w:val="none" w:sz="0" w:space="0" w:color="auto"/>
        <w:right w:val="none" w:sz="0" w:space="0" w:color="auto"/>
      </w:divBdr>
    </w:div>
    <w:div w:id="1200170051">
      <w:bodyDiv w:val="1"/>
      <w:marLeft w:val="0"/>
      <w:marRight w:val="0"/>
      <w:marTop w:val="0"/>
      <w:marBottom w:val="0"/>
      <w:divBdr>
        <w:top w:val="none" w:sz="0" w:space="0" w:color="auto"/>
        <w:left w:val="none" w:sz="0" w:space="0" w:color="auto"/>
        <w:bottom w:val="none" w:sz="0" w:space="0" w:color="auto"/>
        <w:right w:val="none" w:sz="0" w:space="0" w:color="auto"/>
      </w:divBdr>
    </w:div>
    <w:div w:id="1277178686">
      <w:bodyDiv w:val="1"/>
      <w:marLeft w:val="0"/>
      <w:marRight w:val="0"/>
      <w:marTop w:val="0"/>
      <w:marBottom w:val="0"/>
      <w:divBdr>
        <w:top w:val="none" w:sz="0" w:space="0" w:color="auto"/>
        <w:left w:val="none" w:sz="0" w:space="0" w:color="auto"/>
        <w:bottom w:val="none" w:sz="0" w:space="0" w:color="auto"/>
        <w:right w:val="none" w:sz="0" w:space="0" w:color="auto"/>
      </w:divBdr>
      <w:divsChild>
        <w:div w:id="434523817">
          <w:marLeft w:val="0"/>
          <w:marRight w:val="0"/>
          <w:marTop w:val="0"/>
          <w:marBottom w:val="0"/>
          <w:divBdr>
            <w:top w:val="none" w:sz="0" w:space="0" w:color="auto"/>
            <w:left w:val="none" w:sz="0" w:space="0" w:color="auto"/>
            <w:bottom w:val="none" w:sz="0" w:space="0" w:color="auto"/>
            <w:right w:val="none" w:sz="0" w:space="0" w:color="auto"/>
          </w:divBdr>
        </w:div>
        <w:div w:id="2100129757">
          <w:marLeft w:val="0"/>
          <w:marRight w:val="0"/>
          <w:marTop w:val="0"/>
          <w:marBottom w:val="0"/>
          <w:divBdr>
            <w:top w:val="none" w:sz="0" w:space="0" w:color="auto"/>
            <w:left w:val="none" w:sz="0" w:space="0" w:color="auto"/>
            <w:bottom w:val="none" w:sz="0" w:space="0" w:color="auto"/>
            <w:right w:val="none" w:sz="0" w:space="0" w:color="auto"/>
          </w:divBdr>
        </w:div>
      </w:divsChild>
    </w:div>
    <w:div w:id="1352876990">
      <w:bodyDiv w:val="1"/>
      <w:marLeft w:val="0"/>
      <w:marRight w:val="0"/>
      <w:marTop w:val="0"/>
      <w:marBottom w:val="0"/>
      <w:divBdr>
        <w:top w:val="none" w:sz="0" w:space="0" w:color="auto"/>
        <w:left w:val="none" w:sz="0" w:space="0" w:color="auto"/>
        <w:bottom w:val="none" w:sz="0" w:space="0" w:color="auto"/>
        <w:right w:val="none" w:sz="0" w:space="0" w:color="auto"/>
      </w:divBdr>
    </w:div>
    <w:div w:id="1421173123">
      <w:bodyDiv w:val="1"/>
      <w:marLeft w:val="0"/>
      <w:marRight w:val="0"/>
      <w:marTop w:val="0"/>
      <w:marBottom w:val="0"/>
      <w:divBdr>
        <w:top w:val="none" w:sz="0" w:space="0" w:color="auto"/>
        <w:left w:val="none" w:sz="0" w:space="0" w:color="auto"/>
        <w:bottom w:val="none" w:sz="0" w:space="0" w:color="auto"/>
        <w:right w:val="none" w:sz="0" w:space="0" w:color="auto"/>
      </w:divBdr>
    </w:div>
    <w:div w:id="1495801656">
      <w:bodyDiv w:val="1"/>
      <w:marLeft w:val="0"/>
      <w:marRight w:val="0"/>
      <w:marTop w:val="0"/>
      <w:marBottom w:val="0"/>
      <w:divBdr>
        <w:top w:val="none" w:sz="0" w:space="0" w:color="auto"/>
        <w:left w:val="none" w:sz="0" w:space="0" w:color="auto"/>
        <w:bottom w:val="none" w:sz="0" w:space="0" w:color="auto"/>
        <w:right w:val="none" w:sz="0" w:space="0" w:color="auto"/>
      </w:divBdr>
      <w:divsChild>
        <w:div w:id="309480002">
          <w:marLeft w:val="0"/>
          <w:marRight w:val="0"/>
          <w:marTop w:val="0"/>
          <w:marBottom w:val="0"/>
          <w:divBdr>
            <w:top w:val="none" w:sz="0" w:space="0" w:color="auto"/>
            <w:left w:val="none" w:sz="0" w:space="0" w:color="auto"/>
            <w:bottom w:val="none" w:sz="0" w:space="0" w:color="auto"/>
            <w:right w:val="none" w:sz="0" w:space="0" w:color="auto"/>
          </w:divBdr>
        </w:div>
        <w:div w:id="1168592294">
          <w:marLeft w:val="0"/>
          <w:marRight w:val="0"/>
          <w:marTop w:val="0"/>
          <w:marBottom w:val="0"/>
          <w:divBdr>
            <w:top w:val="none" w:sz="0" w:space="0" w:color="auto"/>
            <w:left w:val="none" w:sz="0" w:space="0" w:color="auto"/>
            <w:bottom w:val="none" w:sz="0" w:space="0" w:color="auto"/>
            <w:right w:val="none" w:sz="0" w:space="0" w:color="auto"/>
          </w:divBdr>
        </w:div>
        <w:div w:id="1547792309">
          <w:marLeft w:val="0"/>
          <w:marRight w:val="0"/>
          <w:marTop w:val="0"/>
          <w:marBottom w:val="0"/>
          <w:divBdr>
            <w:top w:val="none" w:sz="0" w:space="0" w:color="auto"/>
            <w:left w:val="none" w:sz="0" w:space="0" w:color="auto"/>
            <w:bottom w:val="none" w:sz="0" w:space="0" w:color="auto"/>
            <w:right w:val="none" w:sz="0" w:space="0" w:color="auto"/>
          </w:divBdr>
        </w:div>
        <w:div w:id="2102750938">
          <w:marLeft w:val="0"/>
          <w:marRight w:val="0"/>
          <w:marTop w:val="0"/>
          <w:marBottom w:val="0"/>
          <w:divBdr>
            <w:top w:val="none" w:sz="0" w:space="0" w:color="auto"/>
            <w:left w:val="none" w:sz="0" w:space="0" w:color="auto"/>
            <w:bottom w:val="none" w:sz="0" w:space="0" w:color="auto"/>
            <w:right w:val="none" w:sz="0" w:space="0" w:color="auto"/>
          </w:divBdr>
        </w:div>
      </w:divsChild>
    </w:div>
    <w:div w:id="1567836713">
      <w:bodyDiv w:val="1"/>
      <w:marLeft w:val="0"/>
      <w:marRight w:val="0"/>
      <w:marTop w:val="0"/>
      <w:marBottom w:val="0"/>
      <w:divBdr>
        <w:top w:val="none" w:sz="0" w:space="0" w:color="auto"/>
        <w:left w:val="none" w:sz="0" w:space="0" w:color="auto"/>
        <w:bottom w:val="none" w:sz="0" w:space="0" w:color="auto"/>
        <w:right w:val="none" w:sz="0" w:space="0" w:color="auto"/>
      </w:divBdr>
    </w:div>
    <w:div w:id="1590314461">
      <w:bodyDiv w:val="1"/>
      <w:marLeft w:val="0"/>
      <w:marRight w:val="0"/>
      <w:marTop w:val="0"/>
      <w:marBottom w:val="0"/>
      <w:divBdr>
        <w:top w:val="none" w:sz="0" w:space="0" w:color="auto"/>
        <w:left w:val="none" w:sz="0" w:space="0" w:color="auto"/>
        <w:bottom w:val="none" w:sz="0" w:space="0" w:color="auto"/>
        <w:right w:val="none" w:sz="0" w:space="0" w:color="auto"/>
      </w:divBdr>
    </w:div>
    <w:div w:id="1635714855">
      <w:bodyDiv w:val="1"/>
      <w:marLeft w:val="0"/>
      <w:marRight w:val="0"/>
      <w:marTop w:val="0"/>
      <w:marBottom w:val="0"/>
      <w:divBdr>
        <w:top w:val="none" w:sz="0" w:space="0" w:color="auto"/>
        <w:left w:val="none" w:sz="0" w:space="0" w:color="auto"/>
        <w:bottom w:val="none" w:sz="0" w:space="0" w:color="auto"/>
        <w:right w:val="none" w:sz="0" w:space="0" w:color="auto"/>
      </w:divBdr>
    </w:div>
    <w:div w:id="1647395450">
      <w:bodyDiv w:val="1"/>
      <w:marLeft w:val="0"/>
      <w:marRight w:val="0"/>
      <w:marTop w:val="0"/>
      <w:marBottom w:val="0"/>
      <w:divBdr>
        <w:top w:val="none" w:sz="0" w:space="0" w:color="auto"/>
        <w:left w:val="none" w:sz="0" w:space="0" w:color="auto"/>
        <w:bottom w:val="none" w:sz="0" w:space="0" w:color="auto"/>
        <w:right w:val="none" w:sz="0" w:space="0" w:color="auto"/>
      </w:divBdr>
      <w:divsChild>
        <w:div w:id="150299007">
          <w:marLeft w:val="0"/>
          <w:marRight w:val="0"/>
          <w:marTop w:val="0"/>
          <w:marBottom w:val="0"/>
          <w:divBdr>
            <w:top w:val="none" w:sz="0" w:space="0" w:color="auto"/>
            <w:left w:val="none" w:sz="0" w:space="0" w:color="auto"/>
            <w:bottom w:val="none" w:sz="0" w:space="0" w:color="auto"/>
            <w:right w:val="none" w:sz="0" w:space="0" w:color="auto"/>
          </w:divBdr>
        </w:div>
        <w:div w:id="1649086946">
          <w:marLeft w:val="0"/>
          <w:marRight w:val="0"/>
          <w:marTop w:val="0"/>
          <w:marBottom w:val="0"/>
          <w:divBdr>
            <w:top w:val="none" w:sz="0" w:space="0" w:color="auto"/>
            <w:left w:val="none" w:sz="0" w:space="0" w:color="auto"/>
            <w:bottom w:val="none" w:sz="0" w:space="0" w:color="auto"/>
            <w:right w:val="none" w:sz="0" w:space="0" w:color="auto"/>
          </w:divBdr>
        </w:div>
      </w:divsChild>
    </w:div>
    <w:div w:id="1653555711">
      <w:bodyDiv w:val="1"/>
      <w:marLeft w:val="0"/>
      <w:marRight w:val="0"/>
      <w:marTop w:val="0"/>
      <w:marBottom w:val="0"/>
      <w:divBdr>
        <w:top w:val="none" w:sz="0" w:space="0" w:color="auto"/>
        <w:left w:val="none" w:sz="0" w:space="0" w:color="auto"/>
        <w:bottom w:val="none" w:sz="0" w:space="0" w:color="auto"/>
        <w:right w:val="none" w:sz="0" w:space="0" w:color="auto"/>
      </w:divBdr>
    </w:div>
    <w:div w:id="1672365784">
      <w:bodyDiv w:val="1"/>
      <w:marLeft w:val="0"/>
      <w:marRight w:val="0"/>
      <w:marTop w:val="0"/>
      <w:marBottom w:val="0"/>
      <w:divBdr>
        <w:top w:val="none" w:sz="0" w:space="0" w:color="auto"/>
        <w:left w:val="none" w:sz="0" w:space="0" w:color="auto"/>
        <w:bottom w:val="none" w:sz="0" w:space="0" w:color="auto"/>
        <w:right w:val="none" w:sz="0" w:space="0" w:color="auto"/>
      </w:divBdr>
    </w:div>
    <w:div w:id="1757750954">
      <w:bodyDiv w:val="1"/>
      <w:marLeft w:val="0"/>
      <w:marRight w:val="0"/>
      <w:marTop w:val="0"/>
      <w:marBottom w:val="0"/>
      <w:divBdr>
        <w:top w:val="none" w:sz="0" w:space="0" w:color="auto"/>
        <w:left w:val="none" w:sz="0" w:space="0" w:color="auto"/>
        <w:bottom w:val="none" w:sz="0" w:space="0" w:color="auto"/>
        <w:right w:val="none" w:sz="0" w:space="0" w:color="auto"/>
      </w:divBdr>
    </w:div>
    <w:div w:id="1794903536">
      <w:bodyDiv w:val="1"/>
      <w:marLeft w:val="0"/>
      <w:marRight w:val="0"/>
      <w:marTop w:val="0"/>
      <w:marBottom w:val="0"/>
      <w:divBdr>
        <w:top w:val="none" w:sz="0" w:space="0" w:color="auto"/>
        <w:left w:val="none" w:sz="0" w:space="0" w:color="auto"/>
        <w:bottom w:val="none" w:sz="0" w:space="0" w:color="auto"/>
        <w:right w:val="none" w:sz="0" w:space="0" w:color="auto"/>
      </w:divBdr>
    </w:div>
    <w:div w:id="1798136531">
      <w:bodyDiv w:val="1"/>
      <w:marLeft w:val="0"/>
      <w:marRight w:val="0"/>
      <w:marTop w:val="0"/>
      <w:marBottom w:val="0"/>
      <w:divBdr>
        <w:top w:val="none" w:sz="0" w:space="0" w:color="auto"/>
        <w:left w:val="none" w:sz="0" w:space="0" w:color="auto"/>
        <w:bottom w:val="none" w:sz="0" w:space="0" w:color="auto"/>
        <w:right w:val="none" w:sz="0" w:space="0" w:color="auto"/>
      </w:divBdr>
      <w:divsChild>
        <w:div w:id="233243431">
          <w:marLeft w:val="0"/>
          <w:marRight w:val="0"/>
          <w:marTop w:val="0"/>
          <w:marBottom w:val="0"/>
          <w:divBdr>
            <w:top w:val="none" w:sz="0" w:space="0" w:color="auto"/>
            <w:left w:val="none" w:sz="0" w:space="0" w:color="auto"/>
            <w:bottom w:val="none" w:sz="0" w:space="0" w:color="auto"/>
            <w:right w:val="none" w:sz="0" w:space="0" w:color="auto"/>
          </w:divBdr>
        </w:div>
        <w:div w:id="591355587">
          <w:marLeft w:val="0"/>
          <w:marRight w:val="0"/>
          <w:marTop w:val="0"/>
          <w:marBottom w:val="0"/>
          <w:divBdr>
            <w:top w:val="none" w:sz="0" w:space="0" w:color="auto"/>
            <w:left w:val="none" w:sz="0" w:space="0" w:color="auto"/>
            <w:bottom w:val="none" w:sz="0" w:space="0" w:color="auto"/>
            <w:right w:val="none" w:sz="0" w:space="0" w:color="auto"/>
          </w:divBdr>
        </w:div>
      </w:divsChild>
    </w:div>
    <w:div w:id="1827159370">
      <w:bodyDiv w:val="1"/>
      <w:marLeft w:val="0"/>
      <w:marRight w:val="0"/>
      <w:marTop w:val="0"/>
      <w:marBottom w:val="0"/>
      <w:divBdr>
        <w:top w:val="none" w:sz="0" w:space="0" w:color="auto"/>
        <w:left w:val="none" w:sz="0" w:space="0" w:color="auto"/>
        <w:bottom w:val="none" w:sz="0" w:space="0" w:color="auto"/>
        <w:right w:val="none" w:sz="0" w:space="0" w:color="auto"/>
      </w:divBdr>
    </w:div>
    <w:div w:id="2002807108">
      <w:bodyDiv w:val="1"/>
      <w:marLeft w:val="0"/>
      <w:marRight w:val="0"/>
      <w:marTop w:val="0"/>
      <w:marBottom w:val="0"/>
      <w:divBdr>
        <w:top w:val="none" w:sz="0" w:space="0" w:color="auto"/>
        <w:left w:val="none" w:sz="0" w:space="0" w:color="auto"/>
        <w:bottom w:val="none" w:sz="0" w:space="0" w:color="auto"/>
        <w:right w:val="none" w:sz="0" w:space="0" w:color="auto"/>
      </w:divBdr>
    </w:div>
    <w:div w:id="20706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55.xml"/><Relationship Id="rId21" Type="http://schemas.openxmlformats.org/officeDocument/2006/relationships/image" Target="media/image3.png"/><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20.xml"/><Relationship Id="rId68" Type="http://schemas.openxmlformats.org/officeDocument/2006/relationships/header" Target="header25.xml"/><Relationship Id="rId84" Type="http://schemas.openxmlformats.org/officeDocument/2006/relationships/header" Target="header37.xml"/><Relationship Id="rId89" Type="http://schemas.openxmlformats.org/officeDocument/2006/relationships/footer" Target="footer20.xml"/><Relationship Id="rId112" Type="http://schemas.microsoft.com/office/2007/relationships/diagramDrawing" Target="diagrams/drawing1.xml"/><Relationship Id="rId133" Type="http://schemas.openxmlformats.org/officeDocument/2006/relationships/footer" Target="footer33.xml"/><Relationship Id="rId138" Type="http://schemas.openxmlformats.org/officeDocument/2006/relationships/header" Target="header69.xml"/><Relationship Id="rId16" Type="http://schemas.openxmlformats.org/officeDocument/2006/relationships/header" Target="header1.xml"/><Relationship Id="rId107" Type="http://schemas.openxmlformats.org/officeDocument/2006/relationships/header" Target="header52.xml"/><Relationship Id="rId11" Type="http://schemas.openxmlformats.org/officeDocument/2006/relationships/settings" Target="settings.xml"/><Relationship Id="rId32" Type="http://schemas.openxmlformats.org/officeDocument/2006/relationships/footer" Target="footer8.xml"/><Relationship Id="rId37" Type="http://schemas.openxmlformats.org/officeDocument/2006/relationships/footer" Target="footer11.xml"/><Relationship Id="rId53" Type="http://schemas.openxmlformats.org/officeDocument/2006/relationships/header" Target="header12.xml"/><Relationship Id="rId58" Type="http://schemas.openxmlformats.org/officeDocument/2006/relationships/header" Target="header15.xml"/><Relationship Id="rId74" Type="http://schemas.openxmlformats.org/officeDocument/2006/relationships/header" Target="header29.xml"/><Relationship Id="rId79" Type="http://schemas.openxmlformats.org/officeDocument/2006/relationships/header" Target="header32.xml"/><Relationship Id="rId102" Type="http://schemas.openxmlformats.org/officeDocument/2006/relationships/footer" Target="footer27.xml"/><Relationship Id="rId123" Type="http://schemas.openxmlformats.org/officeDocument/2006/relationships/footer" Target="footer32.xml"/><Relationship Id="rId128" Type="http://schemas.openxmlformats.org/officeDocument/2006/relationships/header" Target="header63.xml"/><Relationship Id="rId144" Type="http://schemas.openxmlformats.org/officeDocument/2006/relationships/footer" Target="footer41.xml"/><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footer" Target="footer21.xml"/><Relationship Id="rId95" Type="http://schemas.openxmlformats.org/officeDocument/2006/relationships/header" Target="header44.xml"/><Relationship Id="rId22" Type="http://schemas.openxmlformats.org/officeDocument/2006/relationships/footer" Target="footer2.xml"/><Relationship Id="rId27" Type="http://schemas.openxmlformats.org/officeDocument/2006/relationships/footer" Target="footer5.xm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eader" Target="header21.xml"/><Relationship Id="rId69" Type="http://schemas.openxmlformats.org/officeDocument/2006/relationships/header" Target="header26.xml"/><Relationship Id="rId113" Type="http://schemas.openxmlformats.org/officeDocument/2006/relationships/header" Target="header53.xml"/><Relationship Id="rId118" Type="http://schemas.openxmlformats.org/officeDocument/2006/relationships/header" Target="header56.xml"/><Relationship Id="rId134" Type="http://schemas.openxmlformats.org/officeDocument/2006/relationships/footer" Target="footer34.xml"/><Relationship Id="rId139" Type="http://schemas.openxmlformats.org/officeDocument/2006/relationships/footer" Target="footer37.xml"/><Relationship Id="rId80" Type="http://schemas.openxmlformats.org/officeDocument/2006/relationships/header" Target="header33.xml"/><Relationship Id="rId85" Type="http://schemas.openxmlformats.org/officeDocument/2006/relationships/header" Target="header3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chart" Target="charts/chart1.xml"/><Relationship Id="rId46" Type="http://schemas.openxmlformats.org/officeDocument/2006/relationships/image" Target="media/image10.png"/><Relationship Id="rId59" Type="http://schemas.openxmlformats.org/officeDocument/2006/relationships/header" Target="header16.xml"/><Relationship Id="rId67" Type="http://schemas.openxmlformats.org/officeDocument/2006/relationships/header" Target="header24.xml"/><Relationship Id="rId103" Type="http://schemas.openxmlformats.org/officeDocument/2006/relationships/header" Target="header48.xml"/><Relationship Id="rId108" Type="http://schemas.openxmlformats.org/officeDocument/2006/relationships/diagramData" Target="diagrams/data1.xml"/><Relationship Id="rId116" Type="http://schemas.openxmlformats.org/officeDocument/2006/relationships/footer" Target="footer29.xml"/><Relationship Id="rId124" Type="http://schemas.openxmlformats.org/officeDocument/2006/relationships/header" Target="header59.xml"/><Relationship Id="rId129" Type="http://schemas.openxmlformats.org/officeDocument/2006/relationships/header" Target="header64.xml"/><Relationship Id="rId137" Type="http://schemas.openxmlformats.org/officeDocument/2006/relationships/header" Target="header68.xml"/><Relationship Id="rId20" Type="http://schemas.openxmlformats.org/officeDocument/2006/relationships/image" Target="media/image2.png"/><Relationship Id="rId41" Type="http://schemas.openxmlformats.org/officeDocument/2006/relationships/image" Target="media/image5.png"/><Relationship Id="rId54" Type="http://schemas.openxmlformats.org/officeDocument/2006/relationships/footer" Target="footer14.xml"/><Relationship Id="rId62" Type="http://schemas.openxmlformats.org/officeDocument/2006/relationships/header" Target="header19.xml"/><Relationship Id="rId70" Type="http://schemas.openxmlformats.org/officeDocument/2006/relationships/header" Target="header27.xml"/><Relationship Id="rId75" Type="http://schemas.openxmlformats.org/officeDocument/2006/relationships/header" Target="header30.xml"/><Relationship Id="rId83" Type="http://schemas.openxmlformats.org/officeDocument/2006/relationships/header" Target="header36.xml"/><Relationship Id="rId88" Type="http://schemas.openxmlformats.org/officeDocument/2006/relationships/header" Target="header41.xml"/><Relationship Id="rId91" Type="http://schemas.openxmlformats.org/officeDocument/2006/relationships/header" Target="header42.xml"/><Relationship Id="rId96" Type="http://schemas.openxmlformats.org/officeDocument/2006/relationships/header" Target="header45.xml"/><Relationship Id="rId111" Type="http://schemas.openxmlformats.org/officeDocument/2006/relationships/diagramColors" Target="diagrams/colors1.xml"/><Relationship Id="rId132" Type="http://schemas.openxmlformats.org/officeDocument/2006/relationships/header" Target="header67.xml"/><Relationship Id="rId140" Type="http://schemas.openxmlformats.org/officeDocument/2006/relationships/footer" Target="footer38.xml"/><Relationship Id="rId145"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footer" Target="footer12.xml"/><Relationship Id="rId57" Type="http://schemas.openxmlformats.org/officeDocument/2006/relationships/footer" Target="footer15.xml"/><Relationship Id="rId106" Type="http://schemas.openxmlformats.org/officeDocument/2006/relationships/header" Target="header51.xml"/><Relationship Id="rId114" Type="http://schemas.openxmlformats.org/officeDocument/2006/relationships/header" Target="header54.xml"/><Relationship Id="rId119" Type="http://schemas.openxmlformats.org/officeDocument/2006/relationships/footer" Target="footer30.xml"/><Relationship Id="rId127" Type="http://schemas.openxmlformats.org/officeDocument/2006/relationships/header" Target="header62.xml"/><Relationship Id="rId10" Type="http://schemas.openxmlformats.org/officeDocument/2006/relationships/styles" Target="styles.xml"/><Relationship Id="rId31" Type="http://schemas.openxmlformats.org/officeDocument/2006/relationships/footer" Target="footer7.xml"/><Relationship Id="rId44" Type="http://schemas.openxmlformats.org/officeDocument/2006/relationships/image" Target="media/image8.png"/><Relationship Id="rId52"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header" Target="header22.xml"/><Relationship Id="rId73" Type="http://schemas.openxmlformats.org/officeDocument/2006/relationships/footer" Target="footer17.xml"/><Relationship Id="rId78" Type="http://schemas.openxmlformats.org/officeDocument/2006/relationships/header" Target="header31.xml"/><Relationship Id="rId81" Type="http://schemas.openxmlformats.org/officeDocument/2006/relationships/header" Target="header34.xml"/><Relationship Id="rId86" Type="http://schemas.openxmlformats.org/officeDocument/2006/relationships/header" Target="header39.xml"/><Relationship Id="rId94" Type="http://schemas.openxmlformats.org/officeDocument/2006/relationships/footer" Target="footer23.xml"/><Relationship Id="rId99" Type="http://schemas.openxmlformats.org/officeDocument/2006/relationships/header" Target="header46.xml"/><Relationship Id="rId101" Type="http://schemas.openxmlformats.org/officeDocument/2006/relationships/footer" Target="footer26.xml"/><Relationship Id="rId122" Type="http://schemas.openxmlformats.org/officeDocument/2006/relationships/header" Target="header58.xml"/><Relationship Id="rId130" Type="http://schemas.openxmlformats.org/officeDocument/2006/relationships/header" Target="header65.xml"/><Relationship Id="rId135" Type="http://schemas.openxmlformats.org/officeDocument/2006/relationships/footer" Target="footer35.xml"/><Relationship Id="rId143" Type="http://schemas.openxmlformats.org/officeDocument/2006/relationships/footer" Target="footer40.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3.xml"/><Relationship Id="rId39" Type="http://schemas.openxmlformats.org/officeDocument/2006/relationships/chart" Target="charts/chart2.xml"/><Relationship Id="rId109" Type="http://schemas.openxmlformats.org/officeDocument/2006/relationships/diagramLayout" Target="diagrams/layout1.xml"/><Relationship Id="rId34" Type="http://schemas.openxmlformats.org/officeDocument/2006/relationships/footer" Target="footer9.xml"/><Relationship Id="rId50" Type="http://schemas.openxmlformats.org/officeDocument/2006/relationships/footer" Target="footer13.xml"/><Relationship Id="rId55" Type="http://schemas.openxmlformats.org/officeDocument/2006/relationships/header" Target="header13.xml"/><Relationship Id="rId76" Type="http://schemas.openxmlformats.org/officeDocument/2006/relationships/footer" Target="footer18.xml"/><Relationship Id="rId97" Type="http://schemas.openxmlformats.org/officeDocument/2006/relationships/footer" Target="footer24.xml"/><Relationship Id="rId104" Type="http://schemas.openxmlformats.org/officeDocument/2006/relationships/header" Target="header49.xml"/><Relationship Id="rId120" Type="http://schemas.openxmlformats.org/officeDocument/2006/relationships/footer" Target="footer31.xml"/><Relationship Id="rId125" Type="http://schemas.openxmlformats.org/officeDocument/2006/relationships/header" Target="header60.xml"/><Relationship Id="rId141" Type="http://schemas.openxmlformats.org/officeDocument/2006/relationships/header" Target="header70.xml"/><Relationship Id="rId146" Type="http://schemas.openxmlformats.org/officeDocument/2006/relationships/footer" Target="footer43.xml"/><Relationship Id="rId7" Type="http://schemas.openxmlformats.org/officeDocument/2006/relationships/customXml" Target="../customXml/item7.xml"/><Relationship Id="rId71" Type="http://schemas.openxmlformats.org/officeDocument/2006/relationships/header" Target="header28.xml"/><Relationship Id="rId92" Type="http://schemas.openxmlformats.org/officeDocument/2006/relationships/header" Target="header43.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header" Target="header23.xml"/><Relationship Id="rId87" Type="http://schemas.openxmlformats.org/officeDocument/2006/relationships/header" Target="header40.xml"/><Relationship Id="rId110" Type="http://schemas.openxmlformats.org/officeDocument/2006/relationships/diagramQuickStyle" Target="diagrams/quickStyle1.xml"/><Relationship Id="rId115" Type="http://schemas.openxmlformats.org/officeDocument/2006/relationships/footer" Target="footer28.xml"/><Relationship Id="rId131" Type="http://schemas.openxmlformats.org/officeDocument/2006/relationships/header" Target="header66.xml"/><Relationship Id="rId136" Type="http://schemas.openxmlformats.org/officeDocument/2006/relationships/footer" Target="footer36.xml"/><Relationship Id="rId61" Type="http://schemas.openxmlformats.org/officeDocument/2006/relationships/header" Target="header18.xml"/><Relationship Id="rId82" Type="http://schemas.openxmlformats.org/officeDocument/2006/relationships/header" Target="header35.xml"/><Relationship Id="rId19" Type="http://schemas.openxmlformats.org/officeDocument/2006/relationships/footer" Target="footer1.xml"/><Relationship Id="rId14" Type="http://schemas.openxmlformats.org/officeDocument/2006/relationships/endnotes" Target="endnotes.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header" Target="header14.xml"/><Relationship Id="rId77" Type="http://schemas.openxmlformats.org/officeDocument/2006/relationships/footer" Target="footer19.xml"/><Relationship Id="rId100" Type="http://schemas.openxmlformats.org/officeDocument/2006/relationships/header" Target="header47.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footer" Target="footer44.xml"/><Relationship Id="rId8" Type="http://schemas.openxmlformats.org/officeDocument/2006/relationships/customXml" Target="../customXml/item8.xml"/><Relationship Id="rId51" Type="http://schemas.openxmlformats.org/officeDocument/2006/relationships/header" Target="header10.xml"/><Relationship Id="rId72" Type="http://schemas.openxmlformats.org/officeDocument/2006/relationships/footer" Target="footer16.xml"/><Relationship Id="rId93" Type="http://schemas.openxmlformats.org/officeDocument/2006/relationships/footer" Target="footer22.xml"/><Relationship Id="rId98" Type="http://schemas.openxmlformats.org/officeDocument/2006/relationships/footer" Target="footer25.xml"/><Relationship Id="rId121" Type="http://schemas.openxmlformats.org/officeDocument/2006/relationships/header" Target="header57.xml"/><Relationship Id="rId142" Type="http://schemas.openxmlformats.org/officeDocument/2006/relationships/footer" Target="footer39.xml"/></Relationships>
</file>

<file path=word/charts/_rels/chart1.xml.rels><?xml version="1.0" encoding="UTF-8" standalone="yes"?>
<Relationships xmlns="http://schemas.openxmlformats.org/package/2006/relationships"><Relationship Id="rId1" Type="http://schemas.openxmlformats.org/officeDocument/2006/relationships/oleObject" Target="https://vicgov.sharepoint.com/sites/VG002733/Annual%20Financial%20Report/CRA%20Coordination/Financial%20Statements/Manual%20Reports/Chp%203/Link_AFR_Chapter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vicgov.sharepoint.com/sites/VG002733/Annual%20Financial%20Report/CRA%20Coordination/Financial%20Statements/Manual%20Reports/Chp%203/Link_AFR_Chapter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6818340582063"/>
          <c:y val="5.6377981369347289E-2"/>
          <c:w val="0.86146650383267909"/>
          <c:h val="0.73264500997189652"/>
        </c:manualLayout>
      </c:layout>
      <c:barChart>
        <c:barDir val="col"/>
        <c:grouping val="clustered"/>
        <c:varyColors val="0"/>
        <c:ser>
          <c:idx val="0"/>
          <c:order val="0"/>
          <c:tx>
            <c:strRef>
              <c:f>'Chart 3.1 -&gt; RevContBySector'!$L$4</c:f>
              <c:strCache>
                <c:ptCount val="1"/>
                <c:pt idx="0">
                  <c:v>2023-24</c:v>
                </c:pt>
              </c:strCache>
            </c:strRef>
          </c:tx>
          <c:spPr>
            <a:solidFill>
              <a:schemeClr val="bg1">
                <a:lumMod val="75000"/>
              </a:schemeClr>
            </a:solidFill>
          </c:spPr>
          <c:invertIfNegative val="0"/>
          <c:cat>
            <c:strRef>
              <c:f>'Chart 3.1 -&gt; RevContBySector'!$K$5:$K$8</c:f>
              <c:strCache>
                <c:ptCount val="4"/>
                <c:pt idx="0">
                  <c:v>General government sector</c:v>
                </c:pt>
                <c:pt idx="1">
                  <c:v>Public non-financial corporations</c:v>
                </c:pt>
                <c:pt idx="2">
                  <c:v>Public financial corporations</c:v>
                </c:pt>
                <c:pt idx="3">
                  <c:v>State of Victoria</c:v>
                </c:pt>
              </c:strCache>
            </c:strRef>
          </c:cat>
          <c:val>
            <c:numRef>
              <c:f>'Chart 3.1 -&gt; RevContBySector'!$L$5:$L$8</c:f>
              <c:numCache>
                <c:formatCode>0.0</c:formatCode>
                <c:ptCount val="4"/>
                <c:pt idx="0">
                  <c:v>93.05517704494001</c:v>
                </c:pt>
                <c:pt idx="1">
                  <c:v>11.07932298617</c:v>
                </c:pt>
                <c:pt idx="2">
                  <c:v>15.750085582490001</c:v>
                </c:pt>
                <c:pt idx="3">
                  <c:v>107.6052567925</c:v>
                </c:pt>
              </c:numCache>
            </c:numRef>
          </c:val>
          <c:extLst>
            <c:ext xmlns:c16="http://schemas.microsoft.com/office/drawing/2014/chart" uri="{C3380CC4-5D6E-409C-BE32-E72D297353CC}">
              <c16:uniqueId val="{00000000-2B03-487F-A779-48F859AE0931}"/>
            </c:ext>
          </c:extLst>
        </c:ser>
        <c:ser>
          <c:idx val="1"/>
          <c:order val="1"/>
          <c:tx>
            <c:strRef>
              <c:f>'Chart 3.1 -&gt; RevContBySector'!$M$4</c:f>
              <c:strCache>
                <c:ptCount val="1"/>
                <c:pt idx="0">
                  <c:v>2024-25</c:v>
                </c:pt>
              </c:strCache>
            </c:strRef>
          </c:tx>
          <c:spPr>
            <a:solidFill>
              <a:schemeClr val="bg1">
                <a:lumMod val="50000"/>
              </a:schemeClr>
            </a:solidFill>
          </c:spPr>
          <c:invertIfNegative val="0"/>
          <c:cat>
            <c:strRef>
              <c:f>'Chart 3.1 -&gt; RevContBySector'!$K$5:$K$8</c:f>
              <c:strCache>
                <c:ptCount val="4"/>
                <c:pt idx="0">
                  <c:v>General government sector</c:v>
                </c:pt>
                <c:pt idx="1">
                  <c:v>Public non-financial corporations</c:v>
                </c:pt>
                <c:pt idx="2">
                  <c:v>Public financial corporations</c:v>
                </c:pt>
                <c:pt idx="3">
                  <c:v>State of Victoria</c:v>
                </c:pt>
              </c:strCache>
            </c:strRef>
          </c:cat>
          <c:val>
            <c:numRef>
              <c:f>'Chart 3.1 -&gt; RevContBySector'!$M$5:$M$8</c:f>
              <c:numCache>
                <c:formatCode>0.0</c:formatCode>
                <c:ptCount val="4"/>
                <c:pt idx="0">
                  <c:v>101.38022081778</c:v>
                </c:pt>
                <c:pt idx="1">
                  <c:v>11.70055887459</c:v>
                </c:pt>
                <c:pt idx="2">
                  <c:v>18.4311133705</c:v>
                </c:pt>
                <c:pt idx="3">
                  <c:v>117.79138742888</c:v>
                </c:pt>
              </c:numCache>
            </c:numRef>
          </c:val>
          <c:extLst>
            <c:ext xmlns:c16="http://schemas.microsoft.com/office/drawing/2014/chart" uri="{C3380CC4-5D6E-409C-BE32-E72D297353CC}">
              <c16:uniqueId val="{00000001-2B03-487F-A779-48F859AE0931}"/>
            </c:ext>
          </c:extLst>
        </c:ser>
        <c:dLbls>
          <c:showLegendKey val="0"/>
          <c:showVal val="0"/>
          <c:showCatName val="0"/>
          <c:showSerName val="0"/>
          <c:showPercent val="0"/>
          <c:showBubbleSize val="0"/>
        </c:dLbls>
        <c:gapWidth val="150"/>
        <c:axId val="204798592"/>
        <c:axId val="208740736"/>
      </c:barChart>
      <c:catAx>
        <c:axId val="204798592"/>
        <c:scaling>
          <c:orientation val="minMax"/>
        </c:scaling>
        <c:delete val="0"/>
        <c:axPos val="b"/>
        <c:numFmt formatCode="General" sourceLinked="0"/>
        <c:majorTickMark val="out"/>
        <c:minorTickMark val="none"/>
        <c:tickLblPos val="nextTo"/>
        <c:txPr>
          <a:bodyPr/>
          <a:lstStyle/>
          <a:p>
            <a:pPr>
              <a:defRPr>
                <a:latin typeface="+mj-lt"/>
              </a:defRPr>
            </a:pPr>
            <a:endParaRPr lang="en-US"/>
          </a:p>
        </c:txPr>
        <c:crossAx val="208740736"/>
        <c:crosses val="autoZero"/>
        <c:auto val="1"/>
        <c:lblAlgn val="ctr"/>
        <c:lblOffset val="100"/>
        <c:noMultiLvlLbl val="0"/>
      </c:catAx>
      <c:valAx>
        <c:axId val="208740736"/>
        <c:scaling>
          <c:orientation val="minMax"/>
        </c:scaling>
        <c:delete val="0"/>
        <c:axPos val="l"/>
        <c:majorGridlines>
          <c:spPr>
            <a:ln>
              <a:solidFill>
                <a:schemeClr val="bg1">
                  <a:lumMod val="75000"/>
                </a:schemeClr>
              </a:solidFill>
              <a:prstDash val="dash"/>
            </a:ln>
          </c:spPr>
        </c:majorGridlines>
        <c:title>
          <c:tx>
            <c:rich>
              <a:bodyPr rot="-5400000" vert="horz"/>
              <a:lstStyle/>
              <a:p>
                <a:pPr>
                  <a:defRPr sz="1000" baseline="0">
                    <a:latin typeface="Calibri" panose="020F0502020204030204" pitchFamily="34" charset="0"/>
                  </a:defRPr>
                </a:pPr>
                <a:r>
                  <a:rPr lang="en-AU" sz="1000" b="0" i="1" baseline="0">
                    <a:latin typeface="Calibri" panose="020F0502020204030204" pitchFamily="34" charset="0"/>
                  </a:rPr>
                  <a:t>$ billion</a:t>
                </a:r>
              </a:p>
            </c:rich>
          </c:tx>
          <c:layout>
            <c:manualLayout>
              <c:xMode val="edge"/>
              <c:yMode val="edge"/>
              <c:x val="2.0016147067556745E-3"/>
              <c:y val="0.33632094895261877"/>
            </c:manualLayout>
          </c:layout>
          <c:overlay val="0"/>
        </c:title>
        <c:numFmt formatCode="0.0" sourceLinked="1"/>
        <c:majorTickMark val="out"/>
        <c:minorTickMark val="none"/>
        <c:tickLblPos val="nextTo"/>
        <c:txPr>
          <a:bodyPr/>
          <a:lstStyle/>
          <a:p>
            <a:pPr>
              <a:defRPr>
                <a:latin typeface="+mj-lt"/>
              </a:defRPr>
            </a:pPr>
            <a:endParaRPr lang="en-US"/>
          </a:p>
        </c:txPr>
        <c:crossAx val="204798592"/>
        <c:crosses val="autoZero"/>
        <c:crossBetween val="between"/>
      </c:valAx>
    </c:plotArea>
    <c:legend>
      <c:legendPos val="b"/>
      <c:layout>
        <c:manualLayout>
          <c:xMode val="edge"/>
          <c:yMode val="edge"/>
          <c:x val="0.32877923229189226"/>
          <c:y val="0.92892687594653489"/>
          <c:w val="0.36878100405817438"/>
          <c:h val="5.3802616685848563E-2"/>
        </c:manualLayout>
      </c:layout>
      <c:overlay val="0"/>
      <c:txPr>
        <a:bodyPr/>
        <a:lstStyle/>
        <a:p>
          <a:pPr>
            <a:defRPr sz="1050" baseline="0">
              <a:latin typeface="+mj-lt"/>
            </a:defRPr>
          </a:pPr>
          <a:endParaRPr lang="en-US"/>
        </a:p>
      </c:txPr>
    </c:legend>
    <c:plotVisOnly val="1"/>
    <c:dispBlanksAs val="gap"/>
    <c:showDLblsOverMax val="0"/>
  </c:chart>
  <c:spPr>
    <a:ln>
      <a:noFill/>
    </a:ln>
  </c:spPr>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34103560668003"/>
          <c:y val="3.3809637431684678E-2"/>
          <c:w val="0.8667959961619307"/>
          <c:h val="0.75716762677392613"/>
        </c:manualLayout>
      </c:layout>
      <c:barChart>
        <c:barDir val="col"/>
        <c:grouping val="clustered"/>
        <c:varyColors val="0"/>
        <c:ser>
          <c:idx val="0"/>
          <c:order val="0"/>
          <c:tx>
            <c:strRef>
              <c:f>'Chart 3.2 -&gt; NetAssetsBySec'!$N$5</c:f>
              <c:strCache>
                <c:ptCount val="1"/>
                <c:pt idx="0">
                  <c:v>2023-24</c:v>
                </c:pt>
              </c:strCache>
            </c:strRef>
          </c:tx>
          <c:spPr>
            <a:solidFill>
              <a:srgbClr val="BFBFBF"/>
            </a:solidFill>
          </c:spPr>
          <c:invertIfNegative val="0"/>
          <c:cat>
            <c:strRef>
              <c:f>'Chart 3.2 -&gt; NetAssetsBySec'!$M$6:$M$9</c:f>
              <c:strCache>
                <c:ptCount val="4"/>
                <c:pt idx="0">
                  <c:v>General government sector</c:v>
                </c:pt>
                <c:pt idx="1">
                  <c:v>Public non-financial corporations</c:v>
                </c:pt>
                <c:pt idx="2">
                  <c:v>Public financial corporations</c:v>
                </c:pt>
                <c:pt idx="3">
                  <c:v>State of Victoria</c:v>
                </c:pt>
              </c:strCache>
            </c:strRef>
          </c:cat>
          <c:val>
            <c:numRef>
              <c:f>'Chart 3.2 -&gt; NetAssetsBySec'!$N$6:$N$9</c:f>
              <c:numCache>
                <c:formatCode>0</c:formatCode>
                <c:ptCount val="4"/>
                <c:pt idx="0">
                  <c:v>189.85929406099999</c:v>
                </c:pt>
                <c:pt idx="1">
                  <c:v>83.044769994879999</c:v>
                </c:pt>
                <c:pt idx="2">
                  <c:v>13.68275521304</c:v>
                </c:pt>
                <c:pt idx="3">
                  <c:v>239.90438244744001</c:v>
                </c:pt>
              </c:numCache>
            </c:numRef>
          </c:val>
          <c:extLst>
            <c:ext xmlns:c16="http://schemas.microsoft.com/office/drawing/2014/chart" uri="{C3380CC4-5D6E-409C-BE32-E72D297353CC}">
              <c16:uniqueId val="{00000000-F5B8-4D6A-9451-7B7568448268}"/>
            </c:ext>
          </c:extLst>
        </c:ser>
        <c:ser>
          <c:idx val="1"/>
          <c:order val="1"/>
          <c:tx>
            <c:strRef>
              <c:f>'Chart 3.2 -&gt; NetAssetsBySec'!$O$5</c:f>
              <c:strCache>
                <c:ptCount val="1"/>
                <c:pt idx="0">
                  <c:v>2024-25</c:v>
                </c:pt>
              </c:strCache>
            </c:strRef>
          </c:tx>
          <c:spPr>
            <a:solidFill>
              <a:srgbClr val="7F7F7F"/>
            </a:solidFill>
          </c:spPr>
          <c:invertIfNegative val="0"/>
          <c:cat>
            <c:strRef>
              <c:f>'Chart 3.2 -&gt; NetAssetsBySec'!$M$6:$M$9</c:f>
              <c:strCache>
                <c:ptCount val="4"/>
                <c:pt idx="0">
                  <c:v>General government sector</c:v>
                </c:pt>
                <c:pt idx="1">
                  <c:v>Public non-financial corporations</c:v>
                </c:pt>
                <c:pt idx="2">
                  <c:v>Public financial corporations</c:v>
                </c:pt>
                <c:pt idx="3">
                  <c:v>State of Victoria</c:v>
                </c:pt>
              </c:strCache>
            </c:strRef>
          </c:cat>
          <c:val>
            <c:numRef>
              <c:f>'Chart 3.2 -&gt; NetAssetsBySec'!$O$6:$O$9</c:f>
              <c:numCache>
                <c:formatCode>0</c:formatCode>
                <c:ptCount val="4"/>
                <c:pt idx="0">
                  <c:v>189.30652617569001</c:v>
                </c:pt>
                <c:pt idx="1">
                  <c:v>77.47990727602</c:v>
                </c:pt>
                <c:pt idx="2">
                  <c:v>9.3612418466599987</c:v>
                </c:pt>
                <c:pt idx="3">
                  <c:v>281.41447985562002</c:v>
                </c:pt>
              </c:numCache>
            </c:numRef>
          </c:val>
          <c:extLst>
            <c:ext xmlns:c16="http://schemas.microsoft.com/office/drawing/2014/chart" uri="{C3380CC4-5D6E-409C-BE32-E72D297353CC}">
              <c16:uniqueId val="{00000001-F5B8-4D6A-9451-7B7568448268}"/>
            </c:ext>
          </c:extLst>
        </c:ser>
        <c:dLbls>
          <c:showLegendKey val="0"/>
          <c:showVal val="0"/>
          <c:showCatName val="0"/>
          <c:showSerName val="0"/>
          <c:showPercent val="0"/>
          <c:showBubbleSize val="0"/>
        </c:dLbls>
        <c:gapWidth val="150"/>
        <c:axId val="334377728"/>
        <c:axId val="334379648"/>
      </c:barChart>
      <c:catAx>
        <c:axId val="334377728"/>
        <c:scaling>
          <c:orientation val="minMax"/>
        </c:scaling>
        <c:delete val="0"/>
        <c:axPos val="b"/>
        <c:numFmt formatCode="General" sourceLinked="0"/>
        <c:majorTickMark val="out"/>
        <c:minorTickMark val="none"/>
        <c:tickLblPos val="low"/>
        <c:txPr>
          <a:bodyPr/>
          <a:lstStyle/>
          <a:p>
            <a:pPr>
              <a:defRPr sz="1100">
                <a:latin typeface="+mj-lt"/>
              </a:defRPr>
            </a:pPr>
            <a:endParaRPr lang="en-US"/>
          </a:p>
        </c:txPr>
        <c:crossAx val="334379648"/>
        <c:crosses val="autoZero"/>
        <c:auto val="1"/>
        <c:lblAlgn val="ctr"/>
        <c:lblOffset val="100"/>
        <c:noMultiLvlLbl val="0"/>
      </c:catAx>
      <c:valAx>
        <c:axId val="334379648"/>
        <c:scaling>
          <c:orientation val="minMax"/>
          <c:max val="300"/>
        </c:scaling>
        <c:delete val="0"/>
        <c:axPos val="l"/>
        <c:majorGridlines>
          <c:spPr>
            <a:ln>
              <a:solidFill>
                <a:schemeClr val="bg1">
                  <a:lumMod val="75000"/>
                </a:schemeClr>
              </a:solidFill>
              <a:prstDash val="dash"/>
            </a:ln>
          </c:spPr>
        </c:majorGridlines>
        <c:title>
          <c:tx>
            <c:rich>
              <a:bodyPr rot="-5400000" vert="horz"/>
              <a:lstStyle/>
              <a:p>
                <a:pPr>
                  <a:defRPr sz="1100">
                    <a:latin typeface="+mj-lt"/>
                  </a:defRPr>
                </a:pPr>
                <a:r>
                  <a:rPr lang="en-AU" sz="1100" b="0" i="1">
                    <a:latin typeface="+mj-lt"/>
                  </a:rPr>
                  <a:t>$ billion</a:t>
                </a:r>
              </a:p>
            </c:rich>
          </c:tx>
          <c:layout>
            <c:manualLayout>
              <c:xMode val="edge"/>
              <c:yMode val="edge"/>
              <c:x val="1.3276434329065908E-2"/>
              <c:y val="0.37210485053004744"/>
            </c:manualLayout>
          </c:layout>
          <c:overlay val="0"/>
        </c:title>
        <c:numFmt formatCode="0" sourceLinked="1"/>
        <c:majorTickMark val="out"/>
        <c:minorTickMark val="none"/>
        <c:tickLblPos val="nextTo"/>
        <c:txPr>
          <a:bodyPr/>
          <a:lstStyle/>
          <a:p>
            <a:pPr>
              <a:defRPr sz="1100"/>
            </a:pPr>
            <a:endParaRPr lang="en-US"/>
          </a:p>
        </c:txPr>
        <c:crossAx val="334377728"/>
        <c:crosses val="autoZero"/>
        <c:crossBetween val="between"/>
      </c:valAx>
    </c:plotArea>
    <c:legend>
      <c:legendPos val="b"/>
      <c:layout>
        <c:manualLayout>
          <c:xMode val="edge"/>
          <c:yMode val="edge"/>
          <c:x val="0.29135590625851709"/>
          <c:y val="0.92873958936951073"/>
          <c:w val="0.4172880381417472"/>
          <c:h val="5.3944393314472053E-2"/>
        </c:manualLayout>
      </c:layout>
      <c:overlay val="0"/>
      <c:txPr>
        <a:bodyPr/>
        <a:lstStyle/>
        <a:p>
          <a:pPr>
            <a:defRPr sz="1050">
              <a:latin typeface="+mj-lt"/>
            </a:defRPr>
          </a:pPr>
          <a:endParaRPr lang="en-US"/>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a:noFill/>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17637" y="295146"/>
          <a:ext cx="973994" cy="112111"/>
        </a:xfrm>
        <a:custGeom>
          <a:avLst/>
          <a:gdLst/>
          <a:ahLst/>
          <a:cxnLst/>
          <a:rect l="0" t="0" r="0" b="0"/>
          <a:pathLst>
            <a:path>
              <a:moveTo>
                <a:pt x="0" y="0"/>
              </a:moveTo>
              <a:lnTo>
                <a:pt x="0" y="56055"/>
              </a:lnTo>
              <a:lnTo>
                <a:pt x="973994" y="56055"/>
              </a:lnTo>
              <a:lnTo>
                <a:pt x="973994"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371917" y="295146"/>
          <a:ext cx="91440" cy="112445"/>
        </a:xfrm>
        <a:custGeom>
          <a:avLst/>
          <a:gdLst/>
          <a:ahLst/>
          <a:cxnLst/>
          <a:rect l="0" t="0" r="0" b="0"/>
          <a:pathLst>
            <a:path>
              <a:moveTo>
                <a:pt x="45720" y="0"/>
              </a:moveTo>
              <a:lnTo>
                <a:pt x="45720" y="56389"/>
              </a:lnTo>
              <a:lnTo>
                <a:pt x="46627" y="56389"/>
              </a:lnTo>
              <a:lnTo>
                <a:pt x="46627" y="11244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87938" y="674189"/>
          <a:ext cx="110453" cy="745162"/>
        </a:xfrm>
        <a:custGeom>
          <a:avLst/>
          <a:gdLst/>
          <a:ahLst/>
          <a:cxnLst/>
          <a:rect l="0" t="0" r="0" b="0"/>
          <a:pathLst>
            <a:path>
              <a:moveTo>
                <a:pt x="0" y="0"/>
              </a:moveTo>
              <a:lnTo>
                <a:pt x="0" y="745162"/>
              </a:lnTo>
              <a:lnTo>
                <a:pt x="110453" y="745162"/>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87938" y="674189"/>
          <a:ext cx="112754" cy="462975"/>
        </a:xfrm>
        <a:custGeom>
          <a:avLst/>
          <a:gdLst/>
          <a:ahLst/>
          <a:cxnLst/>
          <a:rect l="0" t="0" r="0" b="0"/>
          <a:pathLst>
            <a:path>
              <a:moveTo>
                <a:pt x="0" y="0"/>
              </a:moveTo>
              <a:lnTo>
                <a:pt x="0" y="462975"/>
              </a:lnTo>
              <a:lnTo>
                <a:pt x="112754" y="462975"/>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87938" y="674189"/>
          <a:ext cx="107298" cy="180788"/>
        </a:xfrm>
        <a:custGeom>
          <a:avLst/>
          <a:gdLst/>
          <a:ahLst/>
          <a:cxnLst/>
          <a:rect l="0" t="0" r="0" b="0"/>
          <a:pathLst>
            <a:path>
              <a:moveTo>
                <a:pt x="0" y="0"/>
              </a:moveTo>
              <a:lnTo>
                <a:pt x="0" y="180788"/>
              </a:lnTo>
              <a:lnTo>
                <a:pt x="107298" y="180788"/>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32250" y="295146"/>
          <a:ext cx="985386" cy="112111"/>
        </a:xfrm>
        <a:custGeom>
          <a:avLst/>
          <a:gdLst/>
          <a:ahLst/>
          <a:cxnLst/>
          <a:rect l="0" t="0" r="0" b="0"/>
          <a:pathLst>
            <a:path>
              <a:moveTo>
                <a:pt x="985386" y="0"/>
              </a:moveTo>
              <a:lnTo>
                <a:pt x="985386" y="56055"/>
              </a:lnTo>
              <a:lnTo>
                <a:pt x="0" y="56055"/>
              </a:lnTo>
              <a:lnTo>
                <a:pt x="0" y="112111"/>
              </a:lnTo>
            </a:path>
          </a:pathLst>
        </a:custGeom>
        <a:noFill/>
        <a:ln w="12700" cap="flat" cmpd="sng" algn="ctr">
          <a:solidFill>
            <a:srgbClr val="53565A"/>
          </a:solidFill>
          <a:prstDash val="solid"/>
          <a:miter lim="800000"/>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981492" y="28214"/>
          <a:ext cx="87229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981492" y="28214"/>
        <a:ext cx="872290" cy="266931"/>
      </dsp:txXfrm>
    </dsp:sp>
    <dsp:sp modelId="{BAA3C8B2-4565-450E-A38F-592937A876D9}">
      <dsp:nvSpPr>
        <dsp:cNvPr id="0" name=""/>
        <dsp:cNvSpPr/>
      </dsp:nvSpPr>
      <dsp:spPr>
        <a:xfrm>
          <a:off x="1860" y="407257"/>
          <a:ext cx="860780"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860" y="407257"/>
        <a:ext cx="860780" cy="266931"/>
      </dsp:txXfrm>
    </dsp:sp>
    <dsp:sp modelId="{76789CFF-1D8C-4BE0-8614-2AADF7F28735}">
      <dsp:nvSpPr>
        <dsp:cNvPr id="0" name=""/>
        <dsp:cNvSpPr/>
      </dsp:nvSpPr>
      <dsp:spPr>
        <a:xfrm>
          <a:off x="195236" y="720854"/>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195236" y="720854"/>
        <a:ext cx="1271567" cy="268247"/>
      </dsp:txXfrm>
    </dsp:sp>
    <dsp:sp modelId="{E3E98BC3-F486-4BFA-B746-9B65AF5C4D86}">
      <dsp:nvSpPr>
        <dsp:cNvPr id="0" name=""/>
        <dsp:cNvSpPr/>
      </dsp:nvSpPr>
      <dsp:spPr>
        <a:xfrm>
          <a:off x="200692" y="1003041"/>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0692" y="1003041"/>
        <a:ext cx="1271567" cy="268247"/>
      </dsp:txXfrm>
    </dsp:sp>
    <dsp:sp modelId="{2119C946-9979-49E0-8DC6-9EF4C4600985}">
      <dsp:nvSpPr>
        <dsp:cNvPr id="0" name=""/>
        <dsp:cNvSpPr/>
      </dsp:nvSpPr>
      <dsp:spPr>
        <a:xfrm>
          <a:off x="198391" y="1285228"/>
          <a:ext cx="1271567" cy="268247"/>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198391" y="1285228"/>
        <a:ext cx="1271567" cy="268247"/>
      </dsp:txXfrm>
    </dsp:sp>
    <dsp:sp modelId="{F243EABE-D588-4E87-9A2E-252D2456CB1B}">
      <dsp:nvSpPr>
        <dsp:cNvPr id="0" name=""/>
        <dsp:cNvSpPr/>
      </dsp:nvSpPr>
      <dsp:spPr>
        <a:xfrm>
          <a:off x="987052" y="407591"/>
          <a:ext cx="86298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987052" y="407591"/>
        <a:ext cx="862985" cy="266931"/>
      </dsp:txXfrm>
    </dsp:sp>
    <dsp:sp modelId="{CE52E2CA-DBF0-4588-A20E-3A3D361D28EB}">
      <dsp:nvSpPr>
        <dsp:cNvPr id="0" name=""/>
        <dsp:cNvSpPr/>
      </dsp:nvSpPr>
      <dsp:spPr>
        <a:xfrm>
          <a:off x="1949848" y="407257"/>
          <a:ext cx="883565" cy="266931"/>
        </a:xfrm>
        <a:prstGeom prst="rect">
          <a:avLst/>
        </a:prstGeom>
        <a:solidFill>
          <a:srgbClr val="53565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1949848" y="407257"/>
        <a:ext cx="883565" cy="2669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47949C52A5C040BDD723AEE9C89399" ma:contentTypeVersion="12" ma:contentTypeDescription="Create a new document." ma:contentTypeScope="" ma:versionID="61c43e5a1876182ad7633c5507df6e1d">
  <xsd:schema xmlns:xsd="http://www.w3.org/2001/XMLSchema" xmlns:xs="http://www.w3.org/2001/XMLSchema" xmlns:p="http://schemas.microsoft.com/office/2006/metadata/properties" xmlns:ns2="3aa37c1d-eb3b-457f-b3d9-85aeca904df1" xmlns:ns3="e61515fc-75e5-429e-a506-e441d7619d0b" targetNamespace="http://schemas.microsoft.com/office/2006/metadata/properties" ma:root="true" ma:fieldsID="562fef99e6e0156e125e97a8db585a74" ns2:_="" ns3:_="">
    <xsd:import namespace="3aa37c1d-eb3b-457f-b3d9-85aeca904df1"/>
    <xsd:import namespace="e61515fc-75e5-429e-a506-e441d7619d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BriefAuth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7c1d-eb3b-457f-b3d9-85aeca904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BriefAuthor" ma:index="19" nillable="true" ma:displayName="Brief Author" ma:format="Dropdown" ma:internalName="BriefAutho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515fc-75e5-429e-a506-e441d7619d0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22eebc-afcd-4e4c-b57f-3599859104e8}" ma:internalName="TaxCatchAll" ma:showField="CatchAllData" ma:web="e61515fc-75e5-429e-a506-e441d7619d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1 6 " ? > < K a p i s h F i l e n a m e T o U r i M a p p i n g s   x m l n s : x s i = " h t t p : / / w w w . w 3 . o r g / 2 0 0 1 / X M L S c h e m a - i n s t a n c e "   x m l n s : x s d = " h t t p : / / w w w . w 3 . o r g / 2 0 0 1 / X M L S c h e m a " / > 
</file>

<file path=customXml/item5.xml>��< ? x m l   v e r s i o n = " 1 . 0 "   e n c o d i n g = " u t f - 1 6 " ? > < K a p i s h F i l e n a m e T o U r i M a p p i n g s   x m l n s : x s i = " h t t p : / / w w w . w 3 . o r g / 2 0 0 1 / X M L S c h e m a - i n s t a n c e "   x m l n s : x s d = " h t t p : / / w w w . w 3 . o r g / 2 0 0 1 / X M L S c h e m a " / > 
</file>

<file path=customXml/item6.xml>��< ? x m l   v e r s i o n = " 1 . 0 "   e n c o d i n g = " u t f - 1 6 " ? > < K a p i s h F i l e n a m e T o U r i M a p p i n g s   x m l n s : x s i = " h t t p : / / w w w . w 3 . o r g / 2 0 0 1 / X M L S c h e m a - i n s t a n c e "   x m l n s : x s d = " h t t p : / / w w w . w 3 . o r g / 2 0 0 1 / X M L 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BriefAuthor xmlns="3aa37c1d-eb3b-457f-b3d9-85aeca904df1" xsi:nil="true"/>
    <lcf76f155ced4ddcb4097134ff3c332f xmlns="3aa37c1d-eb3b-457f-b3d9-85aeca904df1">
      <Terms xmlns="http://schemas.microsoft.com/office/infopath/2007/PartnerControls"/>
    </lcf76f155ced4ddcb4097134ff3c332f>
    <TaxCatchAll xmlns="e61515fc-75e5-429e-a506-e441d7619d0b" xsi:nil="true"/>
  </documentManagement>
</p:properties>
</file>

<file path=customXml/itemProps1.xml><?xml version="1.0" encoding="utf-8"?>
<ds:datastoreItem xmlns:ds="http://schemas.openxmlformats.org/officeDocument/2006/customXml" ds:itemID="{82CBC07D-5B40-4E07-B094-AD85C6504FD4}">
  <ds:schemaRefs>
    <ds:schemaRef ds:uri="http://schemas.openxmlformats.org/officeDocument/2006/bibliography"/>
  </ds:schemaRefs>
</ds:datastoreItem>
</file>

<file path=customXml/itemProps2.xml><?xml version="1.0" encoding="utf-8"?>
<ds:datastoreItem xmlns:ds="http://schemas.openxmlformats.org/officeDocument/2006/customXml" ds:itemID="{41C9C400-3588-4748-B891-17528DC4ED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7c1d-eb3b-457f-b3d9-85aeca904df1"/>
    <ds:schemaRef ds:uri="e61515fc-75e5-429e-a506-e441d7619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BBDA32-94C3-4EB1-865D-7B297281691A}">
  <ds:schemaRefs>
    <ds:schemaRef ds:uri="http://www.w3.org/2001/XMLSchema"/>
  </ds:schemaRefs>
</ds:datastoreItem>
</file>

<file path=customXml/itemProps4.xml><?xml version="1.0" encoding="utf-8"?>
<ds:datastoreItem xmlns:ds="http://schemas.openxmlformats.org/officeDocument/2006/customXml" ds:itemID="{CE0EDC5A-5C19-491C-84F5-98ED5A153BCF}">
  <ds:schemaRefs>
    <ds:schemaRef ds:uri="http://www.w3.org/2001/XMLSchema"/>
  </ds:schemaRefs>
</ds:datastoreItem>
</file>

<file path=customXml/itemProps5.xml><?xml version="1.0" encoding="utf-8"?>
<ds:datastoreItem xmlns:ds="http://schemas.openxmlformats.org/officeDocument/2006/customXml" ds:itemID="{9F284186-ABFF-4EE5-A89F-9FC77EC6699C}">
  <ds:schemaRefs>
    <ds:schemaRef ds:uri="http://www.w3.org/2001/XMLSchema"/>
  </ds:schemaRefs>
</ds:datastoreItem>
</file>

<file path=customXml/itemProps6.xml><?xml version="1.0" encoding="utf-8"?>
<ds:datastoreItem xmlns:ds="http://schemas.openxmlformats.org/officeDocument/2006/customXml" ds:itemID="{9C9628D1-0E9B-45BA-B118-61DEF88E6D32}">
  <ds:schemaRefs>
    <ds:schemaRef ds:uri="http://www.w3.org/2001/XMLSchema"/>
  </ds:schemaRefs>
</ds:datastoreItem>
</file>

<file path=customXml/itemProps7.xml><?xml version="1.0" encoding="utf-8"?>
<ds:datastoreItem xmlns:ds="http://schemas.openxmlformats.org/officeDocument/2006/customXml" ds:itemID="{EBEF59ED-997A-483D-9FE6-4BFC2F2FE981}">
  <ds:schemaRefs>
    <ds:schemaRef ds:uri="http://schemas.microsoft.com/sharepoint/v3/contenttype/forms"/>
  </ds:schemaRefs>
</ds:datastoreItem>
</file>

<file path=customXml/itemProps8.xml><?xml version="1.0" encoding="utf-8"?>
<ds:datastoreItem xmlns:ds="http://schemas.openxmlformats.org/officeDocument/2006/customXml" ds:itemID="{CC9201F7-81B3-41A4-BB13-CA5B467D9044}">
  <ds:schemaRefs>
    <ds:schemaRef ds:uri="http://schemas.microsoft.com/office/2006/metadata/properties"/>
    <ds:schemaRef ds:uri="http://schemas.microsoft.com/office/infopath/2007/PartnerControls"/>
    <ds:schemaRef ds:uri="3aa37c1d-eb3b-457f-b3d9-85aeca904df1"/>
    <ds:schemaRef ds:uri="e61515fc-75e5-429e-a506-e441d7619d0b"/>
  </ds:schemaRefs>
</ds:datastoreItem>
</file>

<file path=docProps/app.xml><?xml version="1.0" encoding="utf-8"?>
<Properties xmlns="http://schemas.openxmlformats.org/officeDocument/2006/extended-properties" xmlns:vt="http://schemas.openxmlformats.org/officeDocument/2006/docPropsVTypes">
  <Template>Normal.dotm</Template>
  <TotalTime>1304</TotalTime>
  <Pages>203</Pages>
  <Words>82291</Words>
  <Characters>427091</Characters>
  <Application>Microsoft Office Word</Application>
  <DocSecurity>0</DocSecurity>
  <Lines>26693</Lines>
  <Paragraphs>18865</Paragraphs>
  <ScaleCrop>false</ScaleCrop>
  <HeadingPairs>
    <vt:vector size="2" baseType="variant">
      <vt:variant>
        <vt:lpstr>Title</vt:lpstr>
      </vt:variant>
      <vt:variant>
        <vt:i4>1</vt:i4>
      </vt:variant>
    </vt:vector>
  </HeadingPairs>
  <TitlesOfParts>
    <vt:vector size="1" baseType="lpstr">
      <vt:lpstr>2024-25 Financial Report</vt:lpstr>
    </vt:vector>
  </TitlesOfParts>
  <Company/>
  <LinksUpToDate>false</LinksUpToDate>
  <CharactersWithSpaces>490517</CharactersWithSpaces>
  <SharedDoc>false</SharedDoc>
  <HLinks>
    <vt:vector size="462" baseType="variant">
      <vt:variant>
        <vt:i4>1703994</vt:i4>
      </vt:variant>
      <vt:variant>
        <vt:i4>530</vt:i4>
      </vt:variant>
      <vt:variant>
        <vt:i4>0</vt:i4>
      </vt:variant>
      <vt:variant>
        <vt:i4>5</vt:i4>
      </vt:variant>
      <vt:variant>
        <vt:lpwstr/>
      </vt:variant>
      <vt:variant>
        <vt:lpwstr>_Toc209481986</vt:lpwstr>
      </vt:variant>
      <vt:variant>
        <vt:i4>1703994</vt:i4>
      </vt:variant>
      <vt:variant>
        <vt:i4>524</vt:i4>
      </vt:variant>
      <vt:variant>
        <vt:i4>0</vt:i4>
      </vt:variant>
      <vt:variant>
        <vt:i4>5</vt:i4>
      </vt:variant>
      <vt:variant>
        <vt:lpwstr/>
      </vt:variant>
      <vt:variant>
        <vt:lpwstr>_Toc209481985</vt:lpwstr>
      </vt:variant>
      <vt:variant>
        <vt:i4>1703994</vt:i4>
      </vt:variant>
      <vt:variant>
        <vt:i4>518</vt:i4>
      </vt:variant>
      <vt:variant>
        <vt:i4>0</vt:i4>
      </vt:variant>
      <vt:variant>
        <vt:i4>5</vt:i4>
      </vt:variant>
      <vt:variant>
        <vt:lpwstr/>
      </vt:variant>
      <vt:variant>
        <vt:lpwstr>_Toc209481984</vt:lpwstr>
      </vt:variant>
      <vt:variant>
        <vt:i4>1703994</vt:i4>
      </vt:variant>
      <vt:variant>
        <vt:i4>512</vt:i4>
      </vt:variant>
      <vt:variant>
        <vt:i4>0</vt:i4>
      </vt:variant>
      <vt:variant>
        <vt:i4>5</vt:i4>
      </vt:variant>
      <vt:variant>
        <vt:lpwstr/>
      </vt:variant>
      <vt:variant>
        <vt:lpwstr>_Toc209481983</vt:lpwstr>
      </vt:variant>
      <vt:variant>
        <vt:i4>1703994</vt:i4>
      </vt:variant>
      <vt:variant>
        <vt:i4>506</vt:i4>
      </vt:variant>
      <vt:variant>
        <vt:i4>0</vt:i4>
      </vt:variant>
      <vt:variant>
        <vt:i4>5</vt:i4>
      </vt:variant>
      <vt:variant>
        <vt:lpwstr/>
      </vt:variant>
      <vt:variant>
        <vt:lpwstr>_Toc209481982</vt:lpwstr>
      </vt:variant>
      <vt:variant>
        <vt:i4>1703994</vt:i4>
      </vt:variant>
      <vt:variant>
        <vt:i4>500</vt:i4>
      </vt:variant>
      <vt:variant>
        <vt:i4>0</vt:i4>
      </vt:variant>
      <vt:variant>
        <vt:i4>5</vt:i4>
      </vt:variant>
      <vt:variant>
        <vt:lpwstr/>
      </vt:variant>
      <vt:variant>
        <vt:lpwstr>_Toc209481981</vt:lpwstr>
      </vt:variant>
      <vt:variant>
        <vt:i4>1703994</vt:i4>
      </vt:variant>
      <vt:variant>
        <vt:i4>494</vt:i4>
      </vt:variant>
      <vt:variant>
        <vt:i4>0</vt:i4>
      </vt:variant>
      <vt:variant>
        <vt:i4>5</vt:i4>
      </vt:variant>
      <vt:variant>
        <vt:lpwstr/>
      </vt:variant>
      <vt:variant>
        <vt:lpwstr>_Toc209481980</vt:lpwstr>
      </vt:variant>
      <vt:variant>
        <vt:i4>1376314</vt:i4>
      </vt:variant>
      <vt:variant>
        <vt:i4>488</vt:i4>
      </vt:variant>
      <vt:variant>
        <vt:i4>0</vt:i4>
      </vt:variant>
      <vt:variant>
        <vt:i4>5</vt:i4>
      </vt:variant>
      <vt:variant>
        <vt:lpwstr/>
      </vt:variant>
      <vt:variant>
        <vt:lpwstr>_Toc209481979</vt:lpwstr>
      </vt:variant>
      <vt:variant>
        <vt:i4>1376314</vt:i4>
      </vt:variant>
      <vt:variant>
        <vt:i4>482</vt:i4>
      </vt:variant>
      <vt:variant>
        <vt:i4>0</vt:i4>
      </vt:variant>
      <vt:variant>
        <vt:i4>5</vt:i4>
      </vt:variant>
      <vt:variant>
        <vt:lpwstr/>
      </vt:variant>
      <vt:variant>
        <vt:lpwstr>_Toc209481978</vt:lpwstr>
      </vt:variant>
      <vt:variant>
        <vt:i4>1638453</vt:i4>
      </vt:variant>
      <vt:variant>
        <vt:i4>473</vt:i4>
      </vt:variant>
      <vt:variant>
        <vt:i4>0</vt:i4>
      </vt:variant>
      <vt:variant>
        <vt:i4>5</vt:i4>
      </vt:variant>
      <vt:variant>
        <vt:lpwstr/>
      </vt:variant>
      <vt:variant>
        <vt:lpwstr>_Toc209479932</vt:lpwstr>
      </vt:variant>
      <vt:variant>
        <vt:i4>1638453</vt:i4>
      </vt:variant>
      <vt:variant>
        <vt:i4>467</vt:i4>
      </vt:variant>
      <vt:variant>
        <vt:i4>0</vt:i4>
      </vt:variant>
      <vt:variant>
        <vt:i4>5</vt:i4>
      </vt:variant>
      <vt:variant>
        <vt:lpwstr/>
      </vt:variant>
      <vt:variant>
        <vt:lpwstr>_Toc209479931</vt:lpwstr>
      </vt:variant>
      <vt:variant>
        <vt:i4>1638453</vt:i4>
      </vt:variant>
      <vt:variant>
        <vt:i4>461</vt:i4>
      </vt:variant>
      <vt:variant>
        <vt:i4>0</vt:i4>
      </vt:variant>
      <vt:variant>
        <vt:i4>5</vt:i4>
      </vt:variant>
      <vt:variant>
        <vt:lpwstr/>
      </vt:variant>
      <vt:variant>
        <vt:lpwstr>_Toc209479930</vt:lpwstr>
      </vt:variant>
      <vt:variant>
        <vt:i4>1572917</vt:i4>
      </vt:variant>
      <vt:variant>
        <vt:i4>455</vt:i4>
      </vt:variant>
      <vt:variant>
        <vt:i4>0</vt:i4>
      </vt:variant>
      <vt:variant>
        <vt:i4>5</vt:i4>
      </vt:variant>
      <vt:variant>
        <vt:lpwstr/>
      </vt:variant>
      <vt:variant>
        <vt:lpwstr>_Toc209479929</vt:lpwstr>
      </vt:variant>
      <vt:variant>
        <vt:i4>1572917</vt:i4>
      </vt:variant>
      <vt:variant>
        <vt:i4>449</vt:i4>
      </vt:variant>
      <vt:variant>
        <vt:i4>0</vt:i4>
      </vt:variant>
      <vt:variant>
        <vt:i4>5</vt:i4>
      </vt:variant>
      <vt:variant>
        <vt:lpwstr/>
      </vt:variant>
      <vt:variant>
        <vt:lpwstr>_Toc209479928</vt:lpwstr>
      </vt:variant>
      <vt:variant>
        <vt:i4>1572917</vt:i4>
      </vt:variant>
      <vt:variant>
        <vt:i4>443</vt:i4>
      </vt:variant>
      <vt:variant>
        <vt:i4>0</vt:i4>
      </vt:variant>
      <vt:variant>
        <vt:i4>5</vt:i4>
      </vt:variant>
      <vt:variant>
        <vt:lpwstr/>
      </vt:variant>
      <vt:variant>
        <vt:lpwstr>_Toc209479927</vt:lpwstr>
      </vt:variant>
      <vt:variant>
        <vt:i4>1572917</vt:i4>
      </vt:variant>
      <vt:variant>
        <vt:i4>437</vt:i4>
      </vt:variant>
      <vt:variant>
        <vt:i4>0</vt:i4>
      </vt:variant>
      <vt:variant>
        <vt:i4>5</vt:i4>
      </vt:variant>
      <vt:variant>
        <vt:lpwstr/>
      </vt:variant>
      <vt:variant>
        <vt:lpwstr>_Toc209479926</vt:lpwstr>
      </vt:variant>
      <vt:variant>
        <vt:i4>1572917</vt:i4>
      </vt:variant>
      <vt:variant>
        <vt:i4>431</vt:i4>
      </vt:variant>
      <vt:variant>
        <vt:i4>0</vt:i4>
      </vt:variant>
      <vt:variant>
        <vt:i4>5</vt:i4>
      </vt:variant>
      <vt:variant>
        <vt:lpwstr/>
      </vt:variant>
      <vt:variant>
        <vt:lpwstr>_Toc209479925</vt:lpwstr>
      </vt:variant>
      <vt:variant>
        <vt:i4>1572917</vt:i4>
      </vt:variant>
      <vt:variant>
        <vt:i4>425</vt:i4>
      </vt:variant>
      <vt:variant>
        <vt:i4>0</vt:i4>
      </vt:variant>
      <vt:variant>
        <vt:i4>5</vt:i4>
      </vt:variant>
      <vt:variant>
        <vt:lpwstr/>
      </vt:variant>
      <vt:variant>
        <vt:lpwstr>_Toc209479924</vt:lpwstr>
      </vt:variant>
      <vt:variant>
        <vt:i4>1572917</vt:i4>
      </vt:variant>
      <vt:variant>
        <vt:i4>419</vt:i4>
      </vt:variant>
      <vt:variant>
        <vt:i4>0</vt:i4>
      </vt:variant>
      <vt:variant>
        <vt:i4>5</vt:i4>
      </vt:variant>
      <vt:variant>
        <vt:lpwstr/>
      </vt:variant>
      <vt:variant>
        <vt:lpwstr>_Toc209479923</vt:lpwstr>
      </vt:variant>
      <vt:variant>
        <vt:i4>1572917</vt:i4>
      </vt:variant>
      <vt:variant>
        <vt:i4>413</vt:i4>
      </vt:variant>
      <vt:variant>
        <vt:i4>0</vt:i4>
      </vt:variant>
      <vt:variant>
        <vt:i4>5</vt:i4>
      </vt:variant>
      <vt:variant>
        <vt:lpwstr/>
      </vt:variant>
      <vt:variant>
        <vt:lpwstr>_Toc209479922</vt:lpwstr>
      </vt:variant>
      <vt:variant>
        <vt:i4>1572917</vt:i4>
      </vt:variant>
      <vt:variant>
        <vt:i4>407</vt:i4>
      </vt:variant>
      <vt:variant>
        <vt:i4>0</vt:i4>
      </vt:variant>
      <vt:variant>
        <vt:i4>5</vt:i4>
      </vt:variant>
      <vt:variant>
        <vt:lpwstr/>
      </vt:variant>
      <vt:variant>
        <vt:lpwstr>_Toc209479921</vt:lpwstr>
      </vt:variant>
      <vt:variant>
        <vt:i4>1572917</vt:i4>
      </vt:variant>
      <vt:variant>
        <vt:i4>401</vt:i4>
      </vt:variant>
      <vt:variant>
        <vt:i4>0</vt:i4>
      </vt:variant>
      <vt:variant>
        <vt:i4>5</vt:i4>
      </vt:variant>
      <vt:variant>
        <vt:lpwstr/>
      </vt:variant>
      <vt:variant>
        <vt:lpwstr>_Toc209479920</vt:lpwstr>
      </vt:variant>
      <vt:variant>
        <vt:i4>1769525</vt:i4>
      </vt:variant>
      <vt:variant>
        <vt:i4>395</vt:i4>
      </vt:variant>
      <vt:variant>
        <vt:i4>0</vt:i4>
      </vt:variant>
      <vt:variant>
        <vt:i4>5</vt:i4>
      </vt:variant>
      <vt:variant>
        <vt:lpwstr/>
      </vt:variant>
      <vt:variant>
        <vt:lpwstr>_Toc209479919</vt:lpwstr>
      </vt:variant>
      <vt:variant>
        <vt:i4>1769525</vt:i4>
      </vt:variant>
      <vt:variant>
        <vt:i4>389</vt:i4>
      </vt:variant>
      <vt:variant>
        <vt:i4>0</vt:i4>
      </vt:variant>
      <vt:variant>
        <vt:i4>5</vt:i4>
      </vt:variant>
      <vt:variant>
        <vt:lpwstr/>
      </vt:variant>
      <vt:variant>
        <vt:lpwstr>_Toc209479918</vt:lpwstr>
      </vt:variant>
      <vt:variant>
        <vt:i4>1769525</vt:i4>
      </vt:variant>
      <vt:variant>
        <vt:i4>383</vt:i4>
      </vt:variant>
      <vt:variant>
        <vt:i4>0</vt:i4>
      </vt:variant>
      <vt:variant>
        <vt:i4>5</vt:i4>
      </vt:variant>
      <vt:variant>
        <vt:lpwstr/>
      </vt:variant>
      <vt:variant>
        <vt:lpwstr>_Toc209479917</vt:lpwstr>
      </vt:variant>
      <vt:variant>
        <vt:i4>1245242</vt:i4>
      </vt:variant>
      <vt:variant>
        <vt:i4>374</vt:i4>
      </vt:variant>
      <vt:variant>
        <vt:i4>0</vt:i4>
      </vt:variant>
      <vt:variant>
        <vt:i4>5</vt:i4>
      </vt:variant>
      <vt:variant>
        <vt:lpwstr/>
      </vt:variant>
      <vt:variant>
        <vt:lpwstr>_Toc209481910</vt:lpwstr>
      </vt:variant>
      <vt:variant>
        <vt:i4>1179706</vt:i4>
      </vt:variant>
      <vt:variant>
        <vt:i4>368</vt:i4>
      </vt:variant>
      <vt:variant>
        <vt:i4>0</vt:i4>
      </vt:variant>
      <vt:variant>
        <vt:i4>5</vt:i4>
      </vt:variant>
      <vt:variant>
        <vt:lpwstr/>
      </vt:variant>
      <vt:variant>
        <vt:lpwstr>_Toc209481909</vt:lpwstr>
      </vt:variant>
      <vt:variant>
        <vt:i4>1245243</vt:i4>
      </vt:variant>
      <vt:variant>
        <vt:i4>359</vt:i4>
      </vt:variant>
      <vt:variant>
        <vt:i4>0</vt:i4>
      </vt:variant>
      <vt:variant>
        <vt:i4>5</vt:i4>
      </vt:variant>
      <vt:variant>
        <vt:lpwstr/>
      </vt:variant>
      <vt:variant>
        <vt:lpwstr>_Toc209481818</vt:lpwstr>
      </vt:variant>
      <vt:variant>
        <vt:i4>1245243</vt:i4>
      </vt:variant>
      <vt:variant>
        <vt:i4>353</vt:i4>
      </vt:variant>
      <vt:variant>
        <vt:i4>0</vt:i4>
      </vt:variant>
      <vt:variant>
        <vt:i4>5</vt:i4>
      </vt:variant>
      <vt:variant>
        <vt:lpwstr/>
      </vt:variant>
      <vt:variant>
        <vt:lpwstr>_Toc209481817</vt:lpwstr>
      </vt:variant>
      <vt:variant>
        <vt:i4>1245243</vt:i4>
      </vt:variant>
      <vt:variant>
        <vt:i4>347</vt:i4>
      </vt:variant>
      <vt:variant>
        <vt:i4>0</vt:i4>
      </vt:variant>
      <vt:variant>
        <vt:i4>5</vt:i4>
      </vt:variant>
      <vt:variant>
        <vt:lpwstr/>
      </vt:variant>
      <vt:variant>
        <vt:lpwstr>_Toc209481816</vt:lpwstr>
      </vt:variant>
      <vt:variant>
        <vt:i4>1245243</vt:i4>
      </vt:variant>
      <vt:variant>
        <vt:i4>341</vt:i4>
      </vt:variant>
      <vt:variant>
        <vt:i4>0</vt:i4>
      </vt:variant>
      <vt:variant>
        <vt:i4>5</vt:i4>
      </vt:variant>
      <vt:variant>
        <vt:lpwstr/>
      </vt:variant>
      <vt:variant>
        <vt:lpwstr>_Toc209481815</vt:lpwstr>
      </vt:variant>
      <vt:variant>
        <vt:i4>1245243</vt:i4>
      </vt:variant>
      <vt:variant>
        <vt:i4>335</vt:i4>
      </vt:variant>
      <vt:variant>
        <vt:i4>0</vt:i4>
      </vt:variant>
      <vt:variant>
        <vt:i4>5</vt:i4>
      </vt:variant>
      <vt:variant>
        <vt:lpwstr/>
      </vt:variant>
      <vt:variant>
        <vt:lpwstr>_Toc209481814</vt:lpwstr>
      </vt:variant>
      <vt:variant>
        <vt:i4>1310772</vt:i4>
      </vt:variant>
      <vt:variant>
        <vt:i4>326</vt:i4>
      </vt:variant>
      <vt:variant>
        <vt:i4>0</vt:i4>
      </vt:variant>
      <vt:variant>
        <vt:i4>5</vt:i4>
      </vt:variant>
      <vt:variant>
        <vt:lpwstr/>
      </vt:variant>
      <vt:variant>
        <vt:lpwstr>_Toc209481767</vt:lpwstr>
      </vt:variant>
      <vt:variant>
        <vt:i4>1310772</vt:i4>
      </vt:variant>
      <vt:variant>
        <vt:i4>320</vt:i4>
      </vt:variant>
      <vt:variant>
        <vt:i4>0</vt:i4>
      </vt:variant>
      <vt:variant>
        <vt:i4>5</vt:i4>
      </vt:variant>
      <vt:variant>
        <vt:lpwstr/>
      </vt:variant>
      <vt:variant>
        <vt:lpwstr>_Toc209481764</vt:lpwstr>
      </vt:variant>
      <vt:variant>
        <vt:i4>1310772</vt:i4>
      </vt:variant>
      <vt:variant>
        <vt:i4>314</vt:i4>
      </vt:variant>
      <vt:variant>
        <vt:i4>0</vt:i4>
      </vt:variant>
      <vt:variant>
        <vt:i4>5</vt:i4>
      </vt:variant>
      <vt:variant>
        <vt:lpwstr/>
      </vt:variant>
      <vt:variant>
        <vt:lpwstr>_Toc209481763</vt:lpwstr>
      </vt:variant>
      <vt:variant>
        <vt:i4>1310772</vt:i4>
      </vt:variant>
      <vt:variant>
        <vt:i4>308</vt:i4>
      </vt:variant>
      <vt:variant>
        <vt:i4>0</vt:i4>
      </vt:variant>
      <vt:variant>
        <vt:i4>5</vt:i4>
      </vt:variant>
      <vt:variant>
        <vt:lpwstr/>
      </vt:variant>
      <vt:variant>
        <vt:lpwstr>_Toc209481762</vt:lpwstr>
      </vt:variant>
      <vt:variant>
        <vt:i4>1310772</vt:i4>
      </vt:variant>
      <vt:variant>
        <vt:i4>302</vt:i4>
      </vt:variant>
      <vt:variant>
        <vt:i4>0</vt:i4>
      </vt:variant>
      <vt:variant>
        <vt:i4>5</vt:i4>
      </vt:variant>
      <vt:variant>
        <vt:lpwstr/>
      </vt:variant>
      <vt:variant>
        <vt:lpwstr>_Toc209481761</vt:lpwstr>
      </vt:variant>
      <vt:variant>
        <vt:i4>1310772</vt:i4>
      </vt:variant>
      <vt:variant>
        <vt:i4>296</vt:i4>
      </vt:variant>
      <vt:variant>
        <vt:i4>0</vt:i4>
      </vt:variant>
      <vt:variant>
        <vt:i4>5</vt:i4>
      </vt:variant>
      <vt:variant>
        <vt:lpwstr/>
      </vt:variant>
      <vt:variant>
        <vt:lpwstr>_Toc209481760</vt:lpwstr>
      </vt:variant>
      <vt:variant>
        <vt:i4>1507380</vt:i4>
      </vt:variant>
      <vt:variant>
        <vt:i4>290</vt:i4>
      </vt:variant>
      <vt:variant>
        <vt:i4>0</vt:i4>
      </vt:variant>
      <vt:variant>
        <vt:i4>5</vt:i4>
      </vt:variant>
      <vt:variant>
        <vt:lpwstr/>
      </vt:variant>
      <vt:variant>
        <vt:lpwstr>_Toc209481759</vt:lpwstr>
      </vt:variant>
      <vt:variant>
        <vt:i4>1507380</vt:i4>
      </vt:variant>
      <vt:variant>
        <vt:i4>284</vt:i4>
      </vt:variant>
      <vt:variant>
        <vt:i4>0</vt:i4>
      </vt:variant>
      <vt:variant>
        <vt:i4>5</vt:i4>
      </vt:variant>
      <vt:variant>
        <vt:lpwstr/>
      </vt:variant>
      <vt:variant>
        <vt:lpwstr>_Toc209481758</vt:lpwstr>
      </vt:variant>
      <vt:variant>
        <vt:i4>1114164</vt:i4>
      </vt:variant>
      <vt:variant>
        <vt:i4>275</vt:i4>
      </vt:variant>
      <vt:variant>
        <vt:i4>0</vt:i4>
      </vt:variant>
      <vt:variant>
        <vt:i4>5</vt:i4>
      </vt:variant>
      <vt:variant>
        <vt:lpwstr/>
      </vt:variant>
      <vt:variant>
        <vt:lpwstr>_Toc209481738</vt:lpwstr>
      </vt:variant>
      <vt:variant>
        <vt:i4>1114164</vt:i4>
      </vt:variant>
      <vt:variant>
        <vt:i4>269</vt:i4>
      </vt:variant>
      <vt:variant>
        <vt:i4>0</vt:i4>
      </vt:variant>
      <vt:variant>
        <vt:i4>5</vt:i4>
      </vt:variant>
      <vt:variant>
        <vt:lpwstr/>
      </vt:variant>
      <vt:variant>
        <vt:lpwstr>_Toc209481737</vt:lpwstr>
      </vt:variant>
      <vt:variant>
        <vt:i4>1114164</vt:i4>
      </vt:variant>
      <vt:variant>
        <vt:i4>263</vt:i4>
      </vt:variant>
      <vt:variant>
        <vt:i4>0</vt:i4>
      </vt:variant>
      <vt:variant>
        <vt:i4>5</vt:i4>
      </vt:variant>
      <vt:variant>
        <vt:lpwstr/>
      </vt:variant>
      <vt:variant>
        <vt:lpwstr>_Toc209481736</vt:lpwstr>
      </vt:variant>
      <vt:variant>
        <vt:i4>1114164</vt:i4>
      </vt:variant>
      <vt:variant>
        <vt:i4>257</vt:i4>
      </vt:variant>
      <vt:variant>
        <vt:i4>0</vt:i4>
      </vt:variant>
      <vt:variant>
        <vt:i4>5</vt:i4>
      </vt:variant>
      <vt:variant>
        <vt:lpwstr/>
      </vt:variant>
      <vt:variant>
        <vt:lpwstr>_Toc209481735</vt:lpwstr>
      </vt:variant>
      <vt:variant>
        <vt:i4>1835069</vt:i4>
      </vt:variant>
      <vt:variant>
        <vt:i4>248</vt:i4>
      </vt:variant>
      <vt:variant>
        <vt:i4>0</vt:i4>
      </vt:variant>
      <vt:variant>
        <vt:i4>5</vt:i4>
      </vt:variant>
      <vt:variant>
        <vt:lpwstr/>
      </vt:variant>
      <vt:variant>
        <vt:lpwstr>_Toc209476191</vt:lpwstr>
      </vt:variant>
      <vt:variant>
        <vt:i4>1835069</vt:i4>
      </vt:variant>
      <vt:variant>
        <vt:i4>242</vt:i4>
      </vt:variant>
      <vt:variant>
        <vt:i4>0</vt:i4>
      </vt:variant>
      <vt:variant>
        <vt:i4>5</vt:i4>
      </vt:variant>
      <vt:variant>
        <vt:lpwstr/>
      </vt:variant>
      <vt:variant>
        <vt:lpwstr>_Toc209476190</vt:lpwstr>
      </vt:variant>
      <vt:variant>
        <vt:i4>1900605</vt:i4>
      </vt:variant>
      <vt:variant>
        <vt:i4>236</vt:i4>
      </vt:variant>
      <vt:variant>
        <vt:i4>0</vt:i4>
      </vt:variant>
      <vt:variant>
        <vt:i4>5</vt:i4>
      </vt:variant>
      <vt:variant>
        <vt:lpwstr/>
      </vt:variant>
      <vt:variant>
        <vt:lpwstr>_Toc209476189</vt:lpwstr>
      </vt:variant>
      <vt:variant>
        <vt:i4>1900605</vt:i4>
      </vt:variant>
      <vt:variant>
        <vt:i4>230</vt:i4>
      </vt:variant>
      <vt:variant>
        <vt:i4>0</vt:i4>
      </vt:variant>
      <vt:variant>
        <vt:i4>5</vt:i4>
      </vt:variant>
      <vt:variant>
        <vt:lpwstr/>
      </vt:variant>
      <vt:variant>
        <vt:lpwstr>_Toc209476188</vt:lpwstr>
      </vt:variant>
      <vt:variant>
        <vt:i4>1900605</vt:i4>
      </vt:variant>
      <vt:variant>
        <vt:i4>224</vt:i4>
      </vt:variant>
      <vt:variant>
        <vt:i4>0</vt:i4>
      </vt:variant>
      <vt:variant>
        <vt:i4>5</vt:i4>
      </vt:variant>
      <vt:variant>
        <vt:lpwstr/>
      </vt:variant>
      <vt:variant>
        <vt:lpwstr>_Toc209476187</vt:lpwstr>
      </vt:variant>
      <vt:variant>
        <vt:i4>1900605</vt:i4>
      </vt:variant>
      <vt:variant>
        <vt:i4>218</vt:i4>
      </vt:variant>
      <vt:variant>
        <vt:i4>0</vt:i4>
      </vt:variant>
      <vt:variant>
        <vt:i4>5</vt:i4>
      </vt:variant>
      <vt:variant>
        <vt:lpwstr/>
      </vt:variant>
      <vt:variant>
        <vt:lpwstr>_Toc209476186</vt:lpwstr>
      </vt:variant>
      <vt:variant>
        <vt:i4>1900605</vt:i4>
      </vt:variant>
      <vt:variant>
        <vt:i4>212</vt:i4>
      </vt:variant>
      <vt:variant>
        <vt:i4>0</vt:i4>
      </vt:variant>
      <vt:variant>
        <vt:i4>5</vt:i4>
      </vt:variant>
      <vt:variant>
        <vt:lpwstr/>
      </vt:variant>
      <vt:variant>
        <vt:lpwstr>_Toc209476185</vt:lpwstr>
      </vt:variant>
      <vt:variant>
        <vt:i4>1900605</vt:i4>
      </vt:variant>
      <vt:variant>
        <vt:i4>206</vt:i4>
      </vt:variant>
      <vt:variant>
        <vt:i4>0</vt:i4>
      </vt:variant>
      <vt:variant>
        <vt:i4>5</vt:i4>
      </vt:variant>
      <vt:variant>
        <vt:lpwstr/>
      </vt:variant>
      <vt:variant>
        <vt:lpwstr>_Toc209476184</vt:lpwstr>
      </vt:variant>
      <vt:variant>
        <vt:i4>1900605</vt:i4>
      </vt:variant>
      <vt:variant>
        <vt:i4>200</vt:i4>
      </vt:variant>
      <vt:variant>
        <vt:i4>0</vt:i4>
      </vt:variant>
      <vt:variant>
        <vt:i4>5</vt:i4>
      </vt:variant>
      <vt:variant>
        <vt:lpwstr/>
      </vt:variant>
      <vt:variant>
        <vt:lpwstr>_Toc209476183</vt:lpwstr>
      </vt:variant>
      <vt:variant>
        <vt:i4>1245245</vt:i4>
      </vt:variant>
      <vt:variant>
        <vt:i4>191</vt:i4>
      </vt:variant>
      <vt:variant>
        <vt:i4>0</vt:i4>
      </vt:variant>
      <vt:variant>
        <vt:i4>5</vt:i4>
      </vt:variant>
      <vt:variant>
        <vt:lpwstr/>
      </vt:variant>
      <vt:variant>
        <vt:lpwstr>_Toc209476167</vt:lpwstr>
      </vt:variant>
      <vt:variant>
        <vt:i4>1245245</vt:i4>
      </vt:variant>
      <vt:variant>
        <vt:i4>185</vt:i4>
      </vt:variant>
      <vt:variant>
        <vt:i4>0</vt:i4>
      </vt:variant>
      <vt:variant>
        <vt:i4>5</vt:i4>
      </vt:variant>
      <vt:variant>
        <vt:lpwstr/>
      </vt:variant>
      <vt:variant>
        <vt:lpwstr>_Toc209476166</vt:lpwstr>
      </vt:variant>
      <vt:variant>
        <vt:i4>1245245</vt:i4>
      </vt:variant>
      <vt:variant>
        <vt:i4>179</vt:i4>
      </vt:variant>
      <vt:variant>
        <vt:i4>0</vt:i4>
      </vt:variant>
      <vt:variant>
        <vt:i4>5</vt:i4>
      </vt:variant>
      <vt:variant>
        <vt:lpwstr/>
      </vt:variant>
      <vt:variant>
        <vt:lpwstr>_Toc209476165</vt:lpwstr>
      </vt:variant>
      <vt:variant>
        <vt:i4>1245245</vt:i4>
      </vt:variant>
      <vt:variant>
        <vt:i4>173</vt:i4>
      </vt:variant>
      <vt:variant>
        <vt:i4>0</vt:i4>
      </vt:variant>
      <vt:variant>
        <vt:i4>5</vt:i4>
      </vt:variant>
      <vt:variant>
        <vt:lpwstr/>
      </vt:variant>
      <vt:variant>
        <vt:lpwstr>_Toc209476164</vt:lpwstr>
      </vt:variant>
      <vt:variant>
        <vt:i4>1245245</vt:i4>
      </vt:variant>
      <vt:variant>
        <vt:i4>167</vt:i4>
      </vt:variant>
      <vt:variant>
        <vt:i4>0</vt:i4>
      </vt:variant>
      <vt:variant>
        <vt:i4>5</vt:i4>
      </vt:variant>
      <vt:variant>
        <vt:lpwstr/>
      </vt:variant>
      <vt:variant>
        <vt:lpwstr>_Toc209476163</vt:lpwstr>
      </vt:variant>
      <vt:variant>
        <vt:i4>1245245</vt:i4>
      </vt:variant>
      <vt:variant>
        <vt:i4>161</vt:i4>
      </vt:variant>
      <vt:variant>
        <vt:i4>0</vt:i4>
      </vt:variant>
      <vt:variant>
        <vt:i4>5</vt:i4>
      </vt:variant>
      <vt:variant>
        <vt:lpwstr/>
      </vt:variant>
      <vt:variant>
        <vt:lpwstr>_Toc209476162</vt:lpwstr>
      </vt:variant>
      <vt:variant>
        <vt:i4>1245245</vt:i4>
      </vt:variant>
      <vt:variant>
        <vt:i4>155</vt:i4>
      </vt:variant>
      <vt:variant>
        <vt:i4>0</vt:i4>
      </vt:variant>
      <vt:variant>
        <vt:i4>5</vt:i4>
      </vt:variant>
      <vt:variant>
        <vt:lpwstr/>
      </vt:variant>
      <vt:variant>
        <vt:lpwstr>_Toc209476161</vt:lpwstr>
      </vt:variant>
      <vt:variant>
        <vt:i4>1245245</vt:i4>
      </vt:variant>
      <vt:variant>
        <vt:i4>149</vt:i4>
      </vt:variant>
      <vt:variant>
        <vt:i4>0</vt:i4>
      </vt:variant>
      <vt:variant>
        <vt:i4>5</vt:i4>
      </vt:variant>
      <vt:variant>
        <vt:lpwstr/>
      </vt:variant>
      <vt:variant>
        <vt:lpwstr>_Toc209476160</vt:lpwstr>
      </vt:variant>
      <vt:variant>
        <vt:i4>1507380</vt:i4>
      </vt:variant>
      <vt:variant>
        <vt:i4>98</vt:i4>
      </vt:variant>
      <vt:variant>
        <vt:i4>0</vt:i4>
      </vt:variant>
      <vt:variant>
        <vt:i4>5</vt:i4>
      </vt:variant>
      <vt:variant>
        <vt:lpwstr/>
      </vt:variant>
      <vt:variant>
        <vt:lpwstr>_Toc209474804</vt:lpwstr>
      </vt:variant>
      <vt:variant>
        <vt:i4>1507380</vt:i4>
      </vt:variant>
      <vt:variant>
        <vt:i4>92</vt:i4>
      </vt:variant>
      <vt:variant>
        <vt:i4>0</vt:i4>
      </vt:variant>
      <vt:variant>
        <vt:i4>5</vt:i4>
      </vt:variant>
      <vt:variant>
        <vt:lpwstr/>
      </vt:variant>
      <vt:variant>
        <vt:lpwstr>_Toc209474803</vt:lpwstr>
      </vt:variant>
      <vt:variant>
        <vt:i4>1507380</vt:i4>
      </vt:variant>
      <vt:variant>
        <vt:i4>86</vt:i4>
      </vt:variant>
      <vt:variant>
        <vt:i4>0</vt:i4>
      </vt:variant>
      <vt:variant>
        <vt:i4>5</vt:i4>
      </vt:variant>
      <vt:variant>
        <vt:lpwstr/>
      </vt:variant>
      <vt:variant>
        <vt:lpwstr>_Toc209474802</vt:lpwstr>
      </vt:variant>
      <vt:variant>
        <vt:i4>1507380</vt:i4>
      </vt:variant>
      <vt:variant>
        <vt:i4>80</vt:i4>
      </vt:variant>
      <vt:variant>
        <vt:i4>0</vt:i4>
      </vt:variant>
      <vt:variant>
        <vt:i4>5</vt:i4>
      </vt:variant>
      <vt:variant>
        <vt:lpwstr/>
      </vt:variant>
      <vt:variant>
        <vt:lpwstr>_Toc209474801</vt:lpwstr>
      </vt:variant>
      <vt:variant>
        <vt:i4>2031675</vt:i4>
      </vt:variant>
      <vt:variant>
        <vt:i4>71</vt:i4>
      </vt:variant>
      <vt:variant>
        <vt:i4>0</vt:i4>
      </vt:variant>
      <vt:variant>
        <vt:i4>5</vt:i4>
      </vt:variant>
      <vt:variant>
        <vt:lpwstr/>
      </vt:variant>
      <vt:variant>
        <vt:lpwstr>_Toc209474784</vt:lpwstr>
      </vt:variant>
      <vt:variant>
        <vt:i4>2031675</vt:i4>
      </vt:variant>
      <vt:variant>
        <vt:i4>65</vt:i4>
      </vt:variant>
      <vt:variant>
        <vt:i4>0</vt:i4>
      </vt:variant>
      <vt:variant>
        <vt:i4>5</vt:i4>
      </vt:variant>
      <vt:variant>
        <vt:lpwstr/>
      </vt:variant>
      <vt:variant>
        <vt:lpwstr>_Toc209474783</vt:lpwstr>
      </vt:variant>
      <vt:variant>
        <vt:i4>2031675</vt:i4>
      </vt:variant>
      <vt:variant>
        <vt:i4>59</vt:i4>
      </vt:variant>
      <vt:variant>
        <vt:i4>0</vt:i4>
      </vt:variant>
      <vt:variant>
        <vt:i4>5</vt:i4>
      </vt:variant>
      <vt:variant>
        <vt:lpwstr/>
      </vt:variant>
      <vt:variant>
        <vt:lpwstr>_Toc209474782</vt:lpwstr>
      </vt:variant>
      <vt:variant>
        <vt:i4>2031675</vt:i4>
      </vt:variant>
      <vt:variant>
        <vt:i4>53</vt:i4>
      </vt:variant>
      <vt:variant>
        <vt:i4>0</vt:i4>
      </vt:variant>
      <vt:variant>
        <vt:i4>5</vt:i4>
      </vt:variant>
      <vt:variant>
        <vt:lpwstr/>
      </vt:variant>
      <vt:variant>
        <vt:lpwstr>_Toc209474781</vt:lpwstr>
      </vt:variant>
      <vt:variant>
        <vt:i4>2031675</vt:i4>
      </vt:variant>
      <vt:variant>
        <vt:i4>47</vt:i4>
      </vt:variant>
      <vt:variant>
        <vt:i4>0</vt:i4>
      </vt:variant>
      <vt:variant>
        <vt:i4>5</vt:i4>
      </vt:variant>
      <vt:variant>
        <vt:lpwstr/>
      </vt:variant>
      <vt:variant>
        <vt:lpwstr>_Toc209474780</vt:lpwstr>
      </vt:variant>
      <vt:variant>
        <vt:i4>1048635</vt:i4>
      </vt:variant>
      <vt:variant>
        <vt:i4>41</vt:i4>
      </vt:variant>
      <vt:variant>
        <vt:i4>0</vt:i4>
      </vt:variant>
      <vt:variant>
        <vt:i4>5</vt:i4>
      </vt:variant>
      <vt:variant>
        <vt:lpwstr/>
      </vt:variant>
      <vt:variant>
        <vt:lpwstr>_Toc209474779</vt:lpwstr>
      </vt:variant>
      <vt:variant>
        <vt:i4>1048635</vt:i4>
      </vt:variant>
      <vt:variant>
        <vt:i4>35</vt:i4>
      </vt:variant>
      <vt:variant>
        <vt:i4>0</vt:i4>
      </vt:variant>
      <vt:variant>
        <vt:i4>5</vt:i4>
      </vt:variant>
      <vt:variant>
        <vt:lpwstr/>
      </vt:variant>
      <vt:variant>
        <vt:lpwstr>_Toc209474778</vt:lpwstr>
      </vt:variant>
      <vt:variant>
        <vt:i4>1048635</vt:i4>
      </vt:variant>
      <vt:variant>
        <vt:i4>29</vt:i4>
      </vt:variant>
      <vt:variant>
        <vt:i4>0</vt:i4>
      </vt:variant>
      <vt:variant>
        <vt:i4>5</vt:i4>
      </vt:variant>
      <vt:variant>
        <vt:lpwstr/>
      </vt:variant>
      <vt:variant>
        <vt:lpwstr>_Toc209474777</vt:lpwstr>
      </vt:variant>
      <vt:variant>
        <vt:i4>1114171</vt:i4>
      </vt:variant>
      <vt:variant>
        <vt:i4>20</vt:i4>
      </vt:variant>
      <vt:variant>
        <vt:i4>0</vt:i4>
      </vt:variant>
      <vt:variant>
        <vt:i4>5</vt:i4>
      </vt:variant>
      <vt:variant>
        <vt:lpwstr/>
      </vt:variant>
      <vt:variant>
        <vt:lpwstr>_Toc209474767</vt:lpwstr>
      </vt:variant>
      <vt:variant>
        <vt:i4>1114171</vt:i4>
      </vt:variant>
      <vt:variant>
        <vt:i4>14</vt:i4>
      </vt:variant>
      <vt:variant>
        <vt:i4>0</vt:i4>
      </vt:variant>
      <vt:variant>
        <vt:i4>5</vt:i4>
      </vt:variant>
      <vt:variant>
        <vt:lpwstr/>
      </vt:variant>
      <vt:variant>
        <vt:lpwstr>_Toc209474766</vt:lpwstr>
      </vt:variant>
      <vt:variant>
        <vt:i4>1114171</vt:i4>
      </vt:variant>
      <vt:variant>
        <vt:i4>8</vt:i4>
      </vt:variant>
      <vt:variant>
        <vt:i4>0</vt:i4>
      </vt:variant>
      <vt:variant>
        <vt:i4>5</vt:i4>
      </vt:variant>
      <vt:variant>
        <vt:lpwstr/>
      </vt:variant>
      <vt:variant>
        <vt:lpwstr>_Toc209474765</vt:lpwstr>
      </vt:variant>
      <vt:variant>
        <vt:i4>1114171</vt:i4>
      </vt:variant>
      <vt:variant>
        <vt:i4>2</vt:i4>
      </vt:variant>
      <vt:variant>
        <vt:i4>0</vt:i4>
      </vt:variant>
      <vt:variant>
        <vt:i4>5</vt:i4>
      </vt:variant>
      <vt:variant>
        <vt:lpwstr/>
      </vt:variant>
      <vt:variant>
        <vt:lpwstr>_Toc209474764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3282</cp:revision>
  <cp:lastPrinted>2025-09-24T01:39:00Z</cp:lastPrinted>
  <dcterms:created xsi:type="dcterms:W3CDTF">2024-10-25T19:30:00Z</dcterms:created>
  <dcterms:modified xsi:type="dcterms:W3CDTF">2025-10-13T05:36:00Z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Method">
    <vt:lpwstr>Privileged</vt:lpwstr>
  </property>
  <property fmtid="{D5CDD505-2E9C-101B-9397-08002B2CF9AE}" pid="4" name="MSIP_Label_bb4ee517-5ca4-4fff-98d2-ed4f906edd6d_Name">
    <vt:lpwstr>bb4ee517-5ca4-4fff-98d2-ed4f906edd6d</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ContentBits">
    <vt:lpwstr>0</vt:lpwstr>
  </property>
  <property fmtid="{D5CDD505-2E9C-101B-9397-08002B2CF9AE}" pid="7" name="ContentTypeId">
    <vt:lpwstr>0x0101003947949C52A5C040BDD723AEE9C89399</vt:lpwstr>
  </property>
  <property fmtid="{D5CDD505-2E9C-101B-9397-08002B2CF9AE}" pid="8" name="MediaServiceImageTags">
    <vt:lpwstr/>
  </property>
  <property fmtid="{D5CDD505-2E9C-101B-9397-08002B2CF9AE}" pid="9" name="GrammarlyDocumentId">
    <vt:lpwstr>1cbef6d04bb608426aa280612381d7e3bed0ae6d99519c68c780a56b08c7ab23</vt:lpwstr>
  </property>
  <property fmtid="{D5CDD505-2E9C-101B-9397-08002B2CF9AE}" pid="10" name="MSIP_Label_bb4ee517-5ca4-4fff-98d2-ed4f906edd6d_SetDate">
    <vt:lpwstr>2025-10-10T00:26:26Z</vt:lpwstr>
  </property>
  <property fmtid="{D5CDD505-2E9C-101B-9397-08002B2CF9AE}" pid="11" name="MSIP_Label_bb4ee517-5ca4-4fff-98d2-ed4f906edd6d_ActionId">
    <vt:lpwstr>a69dd5e5-43f9-41a8-a3fa-8b6b748f3a94</vt:lpwstr>
  </property>
  <property fmtid="{D5CDD505-2E9C-101B-9397-08002B2CF9AE}" pid="12" name="MSIP_Label_bb4ee517-5ca4-4fff-98d2-ed4f906edd6d_Tag">
    <vt:lpwstr>10, 0, 1, 1</vt:lpwstr>
  </property>
</Properties>
</file>